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EE4F2" w14:textId="26C9CB02" w:rsidR="004D3C4D" w:rsidRDefault="00B01586" w:rsidP="00B01586">
      <w:pPr>
        <w:pStyle w:val="Pagedecouverture"/>
        <w:rPr>
          <w:noProof/>
        </w:rPr>
      </w:pPr>
      <w:bookmarkStart w:id="0" w:name="LW_BM_COVERPAGE"/>
      <w:r>
        <w:rPr>
          <w:noProof/>
        </w:rPr>
        <w:pict w14:anchorId="2BB94B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BCF8D780-F27B-4F60-ADA1-4017E44808E2" style="width:455.25pt;height:324pt">
            <v:imagedata r:id="rId11" o:title=""/>
          </v:shape>
        </w:pict>
      </w:r>
    </w:p>
    <w:bookmarkEnd w:id="0"/>
    <w:p w14:paraId="30523EE9" w14:textId="77777777" w:rsidR="00366DF9" w:rsidRDefault="00366DF9" w:rsidP="00366DF9">
      <w:pPr>
        <w:rPr>
          <w:noProof/>
        </w:rPr>
        <w:sectPr w:rsidR="00366DF9" w:rsidSect="00B0158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3277C22" w14:textId="7C1C75CD" w:rsidR="00B52E93" w:rsidRDefault="00B52E93" w:rsidP="004B7640">
      <w:pPr>
        <w:pStyle w:val="TOC1"/>
        <w:rPr>
          <w:noProof/>
        </w:rPr>
      </w:pPr>
      <w:bookmarkStart w:id="1" w:name="_GoBack"/>
      <w:bookmarkEnd w:id="1"/>
      <w:r>
        <w:rPr>
          <w:noProof/>
        </w:rPr>
        <w:lastRenderedPageBreak/>
        <w:t>Table des matières</w:t>
      </w:r>
    </w:p>
    <w:p w14:paraId="5919BFBB" w14:textId="77777777" w:rsidR="00B52E93" w:rsidRPr="00A2172A" w:rsidRDefault="00B52E93" w:rsidP="004B7640">
      <w:pPr>
        <w:pStyle w:val="TOC1"/>
        <w:rPr>
          <w:bCs/>
          <w:noProof/>
        </w:rPr>
      </w:pPr>
    </w:p>
    <w:p w14:paraId="71B41D21" w14:textId="3444CBAD" w:rsidR="00A2172A" w:rsidRPr="00A2172A" w:rsidRDefault="00B52E93">
      <w:pPr>
        <w:pStyle w:val="TOC1"/>
        <w:rPr>
          <w:rFonts w:eastAsiaTheme="minorEastAsia"/>
          <w:bCs/>
          <w:noProof/>
          <w:lang w:val="en-IE" w:eastAsia="en-IE"/>
        </w:rPr>
      </w:pPr>
      <w:r w:rsidRPr="00A2172A">
        <w:rPr>
          <w:bCs/>
          <w:noProof/>
          <w:sz w:val="24"/>
        </w:rPr>
        <w:fldChar w:fldCharType="begin"/>
      </w:r>
      <w:r w:rsidRPr="00A2172A">
        <w:rPr>
          <w:bCs/>
          <w:noProof/>
          <w:sz w:val="24"/>
        </w:rPr>
        <w:instrText xml:space="preserve"> TOC \o "1-1" \h \z \u </w:instrText>
      </w:r>
      <w:r w:rsidRPr="00A2172A">
        <w:rPr>
          <w:bCs/>
          <w:noProof/>
          <w:sz w:val="24"/>
        </w:rPr>
        <w:fldChar w:fldCharType="separate"/>
      </w:r>
      <w:hyperlink w:anchor="_Toc166664224" w:history="1">
        <w:r w:rsidR="00A2172A" w:rsidRPr="00A2172A">
          <w:rPr>
            <w:rStyle w:val="Hyperlink"/>
            <w:rFonts w:ascii="Times New Roman" w:hAnsi="Times New Roman" w:cs="Times New Roman"/>
            <w:bCs/>
            <w:noProof/>
          </w:rPr>
          <w:t>1.</w:t>
        </w:r>
        <w:r w:rsidR="00A2172A" w:rsidRPr="00A2172A">
          <w:rPr>
            <w:rFonts w:eastAsiaTheme="minorEastAsia"/>
            <w:bCs/>
            <w:noProof/>
            <w:lang w:val="en-IE" w:eastAsia="en-IE"/>
          </w:rPr>
          <w:tab/>
        </w:r>
        <w:r w:rsidR="00A2172A" w:rsidRPr="00A2172A">
          <w:rPr>
            <w:rStyle w:val="Hyperlink"/>
            <w:rFonts w:ascii="Times New Roman" w:hAnsi="Times New Roman"/>
            <w:bCs/>
            <w:noProof/>
          </w:rPr>
          <w:t>Introduction – le MPCU, renforcer la préparation de l’UE</w:t>
        </w:r>
        <w:r w:rsidR="00A2172A" w:rsidRPr="00A2172A">
          <w:rPr>
            <w:bCs/>
            <w:noProof/>
            <w:webHidden/>
          </w:rPr>
          <w:tab/>
        </w:r>
        <w:r w:rsidR="00A2172A" w:rsidRPr="00A2172A">
          <w:rPr>
            <w:bCs/>
            <w:noProof/>
            <w:webHidden/>
          </w:rPr>
          <w:fldChar w:fldCharType="begin"/>
        </w:r>
        <w:r w:rsidR="00A2172A" w:rsidRPr="00A2172A">
          <w:rPr>
            <w:bCs/>
            <w:noProof/>
            <w:webHidden/>
          </w:rPr>
          <w:instrText xml:space="preserve"> PAGEREF _Toc166664224 \h </w:instrText>
        </w:r>
        <w:r w:rsidR="00A2172A" w:rsidRPr="00A2172A">
          <w:rPr>
            <w:bCs/>
            <w:noProof/>
            <w:webHidden/>
          </w:rPr>
        </w:r>
        <w:r w:rsidR="00A2172A" w:rsidRPr="00A2172A">
          <w:rPr>
            <w:bCs/>
            <w:noProof/>
            <w:webHidden/>
          </w:rPr>
          <w:fldChar w:fldCharType="separate"/>
        </w:r>
        <w:r w:rsidR="00A2172A" w:rsidRPr="00A2172A">
          <w:rPr>
            <w:bCs/>
            <w:noProof/>
            <w:webHidden/>
          </w:rPr>
          <w:t>2</w:t>
        </w:r>
        <w:r w:rsidR="00A2172A" w:rsidRPr="00A2172A">
          <w:rPr>
            <w:bCs/>
            <w:noProof/>
            <w:webHidden/>
          </w:rPr>
          <w:fldChar w:fldCharType="end"/>
        </w:r>
      </w:hyperlink>
    </w:p>
    <w:p w14:paraId="25CE8010" w14:textId="59B1459C" w:rsidR="00A2172A" w:rsidRPr="00A2172A" w:rsidRDefault="00B01586">
      <w:pPr>
        <w:pStyle w:val="TOC1"/>
        <w:rPr>
          <w:rFonts w:eastAsiaTheme="minorEastAsia"/>
          <w:bCs/>
          <w:noProof/>
          <w:lang w:val="en-IE" w:eastAsia="en-IE"/>
        </w:rPr>
      </w:pPr>
      <w:hyperlink w:anchor="_Toc166664225" w:history="1">
        <w:r w:rsidR="00A2172A" w:rsidRPr="00A2172A">
          <w:rPr>
            <w:rStyle w:val="Hyperlink"/>
            <w:rFonts w:ascii="Times New Roman" w:hAnsi="Times New Roman" w:cs="Times New Roman"/>
            <w:bCs/>
            <w:noProof/>
          </w:rPr>
          <w:t>2.</w:t>
        </w:r>
        <w:r w:rsidR="00A2172A" w:rsidRPr="00A2172A">
          <w:rPr>
            <w:rFonts w:eastAsiaTheme="minorEastAsia"/>
            <w:bCs/>
            <w:noProof/>
            <w:lang w:val="en-IE" w:eastAsia="en-IE"/>
          </w:rPr>
          <w:tab/>
        </w:r>
        <w:r w:rsidR="00A2172A" w:rsidRPr="00A2172A">
          <w:rPr>
            <w:rStyle w:val="Hyperlink"/>
            <w:rFonts w:ascii="Times New Roman" w:hAnsi="Times New Roman"/>
            <w:bCs/>
            <w:noProof/>
          </w:rPr>
          <w:t>Obtenir des résultats en dépit des difficultés. Menaces à l’horizon.</w:t>
        </w:r>
        <w:r w:rsidR="00A2172A" w:rsidRPr="00A2172A">
          <w:rPr>
            <w:bCs/>
            <w:noProof/>
            <w:webHidden/>
          </w:rPr>
          <w:tab/>
        </w:r>
        <w:r w:rsidR="00A2172A" w:rsidRPr="00A2172A">
          <w:rPr>
            <w:bCs/>
            <w:noProof/>
            <w:webHidden/>
          </w:rPr>
          <w:fldChar w:fldCharType="begin"/>
        </w:r>
        <w:r w:rsidR="00A2172A" w:rsidRPr="00A2172A">
          <w:rPr>
            <w:bCs/>
            <w:noProof/>
            <w:webHidden/>
          </w:rPr>
          <w:instrText xml:space="preserve"> PAGEREF _Toc166664225 \h </w:instrText>
        </w:r>
        <w:r w:rsidR="00A2172A" w:rsidRPr="00A2172A">
          <w:rPr>
            <w:bCs/>
            <w:noProof/>
            <w:webHidden/>
          </w:rPr>
        </w:r>
        <w:r w:rsidR="00A2172A" w:rsidRPr="00A2172A">
          <w:rPr>
            <w:bCs/>
            <w:noProof/>
            <w:webHidden/>
          </w:rPr>
          <w:fldChar w:fldCharType="separate"/>
        </w:r>
        <w:r w:rsidR="00A2172A" w:rsidRPr="00A2172A">
          <w:rPr>
            <w:bCs/>
            <w:noProof/>
            <w:webHidden/>
          </w:rPr>
          <w:t>2</w:t>
        </w:r>
        <w:r w:rsidR="00A2172A" w:rsidRPr="00A2172A">
          <w:rPr>
            <w:bCs/>
            <w:noProof/>
            <w:webHidden/>
          </w:rPr>
          <w:fldChar w:fldCharType="end"/>
        </w:r>
      </w:hyperlink>
    </w:p>
    <w:p w14:paraId="7E13B010" w14:textId="22EE1263" w:rsidR="00A2172A" w:rsidRPr="00A2172A" w:rsidRDefault="00B01586">
      <w:pPr>
        <w:pStyle w:val="TOC1"/>
        <w:rPr>
          <w:rFonts w:eastAsiaTheme="minorEastAsia"/>
          <w:bCs/>
          <w:noProof/>
          <w:lang w:val="en-IE" w:eastAsia="en-IE"/>
        </w:rPr>
      </w:pPr>
      <w:hyperlink w:anchor="_Toc166664226" w:history="1">
        <w:r w:rsidR="00A2172A" w:rsidRPr="00A2172A">
          <w:rPr>
            <w:rStyle w:val="Hyperlink"/>
            <w:rFonts w:ascii="Times New Roman" w:hAnsi="Times New Roman" w:cs="Times New Roman"/>
            <w:bCs/>
            <w:noProof/>
          </w:rPr>
          <w:t>3.</w:t>
        </w:r>
        <w:r w:rsidR="00A2172A" w:rsidRPr="00A2172A">
          <w:rPr>
            <w:rFonts w:eastAsiaTheme="minorEastAsia"/>
            <w:bCs/>
            <w:noProof/>
            <w:lang w:val="en-IE" w:eastAsia="en-IE"/>
          </w:rPr>
          <w:tab/>
        </w:r>
        <w:r w:rsidR="00A2172A" w:rsidRPr="00A2172A">
          <w:rPr>
            <w:rStyle w:val="Hyperlink"/>
            <w:rFonts w:ascii="Times New Roman" w:hAnsi="Times New Roman"/>
            <w:bCs/>
            <w:noProof/>
          </w:rPr>
          <w:t>Résultats de l’évaluation – le MPCU opère dans un paysage des risques en pleine mutation</w:t>
        </w:r>
        <w:r w:rsidR="00A2172A" w:rsidRPr="00A2172A">
          <w:rPr>
            <w:bCs/>
            <w:noProof/>
            <w:webHidden/>
          </w:rPr>
          <w:tab/>
        </w:r>
        <w:r w:rsidR="00A2172A" w:rsidRPr="00A2172A">
          <w:rPr>
            <w:bCs/>
            <w:noProof/>
            <w:webHidden/>
          </w:rPr>
          <w:fldChar w:fldCharType="begin"/>
        </w:r>
        <w:r w:rsidR="00A2172A" w:rsidRPr="00A2172A">
          <w:rPr>
            <w:bCs/>
            <w:noProof/>
            <w:webHidden/>
          </w:rPr>
          <w:instrText xml:space="preserve"> PAGEREF _Toc166664226 \h </w:instrText>
        </w:r>
        <w:r w:rsidR="00A2172A" w:rsidRPr="00A2172A">
          <w:rPr>
            <w:bCs/>
            <w:noProof/>
            <w:webHidden/>
          </w:rPr>
        </w:r>
        <w:r w:rsidR="00A2172A" w:rsidRPr="00A2172A">
          <w:rPr>
            <w:bCs/>
            <w:noProof/>
            <w:webHidden/>
          </w:rPr>
          <w:fldChar w:fldCharType="separate"/>
        </w:r>
        <w:r w:rsidR="00A2172A" w:rsidRPr="00A2172A">
          <w:rPr>
            <w:bCs/>
            <w:noProof/>
            <w:webHidden/>
          </w:rPr>
          <w:t>6</w:t>
        </w:r>
        <w:r w:rsidR="00A2172A" w:rsidRPr="00A2172A">
          <w:rPr>
            <w:bCs/>
            <w:noProof/>
            <w:webHidden/>
          </w:rPr>
          <w:fldChar w:fldCharType="end"/>
        </w:r>
      </w:hyperlink>
    </w:p>
    <w:p w14:paraId="5456563D" w14:textId="14E8B791" w:rsidR="00A2172A" w:rsidRPr="00A2172A" w:rsidRDefault="00B01586">
      <w:pPr>
        <w:pStyle w:val="TOC1"/>
        <w:rPr>
          <w:rFonts w:eastAsiaTheme="minorEastAsia"/>
          <w:bCs/>
          <w:noProof/>
          <w:lang w:val="en-IE" w:eastAsia="en-IE"/>
        </w:rPr>
      </w:pPr>
      <w:hyperlink w:anchor="_Toc166664227" w:history="1">
        <w:r w:rsidR="00A2172A" w:rsidRPr="00A2172A">
          <w:rPr>
            <w:rStyle w:val="Hyperlink"/>
            <w:rFonts w:ascii="Times New Roman" w:hAnsi="Times New Roman" w:cs="Times New Roman"/>
            <w:bCs/>
            <w:noProof/>
          </w:rPr>
          <w:t>4.</w:t>
        </w:r>
        <w:r w:rsidR="00A2172A" w:rsidRPr="00A2172A">
          <w:rPr>
            <w:rFonts w:eastAsiaTheme="minorEastAsia"/>
            <w:bCs/>
            <w:noProof/>
            <w:lang w:val="en-IE" w:eastAsia="en-IE"/>
          </w:rPr>
          <w:tab/>
        </w:r>
        <w:r w:rsidR="00A2172A" w:rsidRPr="00A2172A">
          <w:rPr>
            <w:rStyle w:val="Hyperlink"/>
            <w:rFonts w:ascii="Times New Roman" w:hAnsi="Times New Roman"/>
            <w:bCs/>
            <w:noProof/>
          </w:rPr>
          <w:t>Perspectives – Tirer les leçons du passé pour renforcer la capacité de l’UE à faire face aux crises</w:t>
        </w:r>
        <w:r w:rsidR="00A2172A" w:rsidRPr="00A2172A">
          <w:rPr>
            <w:bCs/>
            <w:noProof/>
            <w:webHidden/>
          </w:rPr>
          <w:tab/>
        </w:r>
        <w:r w:rsidR="00A2172A">
          <w:rPr>
            <w:bCs/>
            <w:noProof/>
            <w:webHidden/>
          </w:rPr>
          <w:tab/>
        </w:r>
        <w:r w:rsidR="00A2172A">
          <w:rPr>
            <w:bCs/>
            <w:noProof/>
            <w:webHidden/>
          </w:rPr>
          <w:tab/>
        </w:r>
        <w:r w:rsidR="00A2172A" w:rsidRPr="00A2172A">
          <w:rPr>
            <w:bCs/>
            <w:noProof/>
            <w:webHidden/>
          </w:rPr>
          <w:fldChar w:fldCharType="begin"/>
        </w:r>
        <w:r w:rsidR="00A2172A" w:rsidRPr="00A2172A">
          <w:rPr>
            <w:bCs/>
            <w:noProof/>
            <w:webHidden/>
          </w:rPr>
          <w:instrText xml:space="preserve"> PAGEREF _Toc166664227 \h </w:instrText>
        </w:r>
        <w:r w:rsidR="00A2172A" w:rsidRPr="00A2172A">
          <w:rPr>
            <w:bCs/>
            <w:noProof/>
            <w:webHidden/>
          </w:rPr>
        </w:r>
        <w:r w:rsidR="00A2172A" w:rsidRPr="00A2172A">
          <w:rPr>
            <w:bCs/>
            <w:noProof/>
            <w:webHidden/>
          </w:rPr>
          <w:fldChar w:fldCharType="separate"/>
        </w:r>
        <w:r w:rsidR="00A2172A" w:rsidRPr="00A2172A">
          <w:rPr>
            <w:bCs/>
            <w:noProof/>
            <w:webHidden/>
          </w:rPr>
          <w:t>8</w:t>
        </w:r>
        <w:r w:rsidR="00A2172A" w:rsidRPr="00A2172A">
          <w:rPr>
            <w:bCs/>
            <w:noProof/>
            <w:webHidden/>
          </w:rPr>
          <w:fldChar w:fldCharType="end"/>
        </w:r>
      </w:hyperlink>
    </w:p>
    <w:p w14:paraId="0F3748E4" w14:textId="60678533" w:rsidR="00A2172A" w:rsidRPr="00A2172A" w:rsidRDefault="00B01586">
      <w:pPr>
        <w:pStyle w:val="TOC1"/>
        <w:rPr>
          <w:rFonts w:eastAsiaTheme="minorEastAsia"/>
          <w:bCs/>
          <w:noProof/>
          <w:lang w:val="en-IE" w:eastAsia="en-IE"/>
        </w:rPr>
      </w:pPr>
      <w:hyperlink w:anchor="_Toc166664228" w:history="1">
        <w:r w:rsidR="00A2172A" w:rsidRPr="00A2172A">
          <w:rPr>
            <w:rStyle w:val="Hyperlink"/>
            <w:rFonts w:ascii="Times New Roman" w:hAnsi="Times New Roman" w:cs="Times New Roman"/>
            <w:bCs/>
            <w:noProof/>
          </w:rPr>
          <w:t>5.</w:t>
        </w:r>
        <w:r w:rsidR="00A2172A" w:rsidRPr="00A2172A">
          <w:rPr>
            <w:rFonts w:eastAsiaTheme="minorEastAsia"/>
            <w:bCs/>
            <w:noProof/>
            <w:lang w:val="en-IE" w:eastAsia="en-IE"/>
          </w:rPr>
          <w:tab/>
        </w:r>
        <w:r w:rsidR="00A2172A" w:rsidRPr="00A2172A">
          <w:rPr>
            <w:rStyle w:val="Hyperlink"/>
            <w:rFonts w:ascii="Times New Roman" w:hAnsi="Times New Roman"/>
            <w:bCs/>
            <w:noProof/>
          </w:rPr>
          <w:t>Conclusion</w:t>
        </w:r>
        <w:r w:rsidR="00A2172A" w:rsidRPr="00A2172A">
          <w:rPr>
            <w:bCs/>
            <w:noProof/>
            <w:webHidden/>
          </w:rPr>
          <w:tab/>
        </w:r>
        <w:r w:rsidR="00A2172A" w:rsidRPr="00A2172A">
          <w:rPr>
            <w:bCs/>
            <w:noProof/>
            <w:webHidden/>
          </w:rPr>
          <w:fldChar w:fldCharType="begin"/>
        </w:r>
        <w:r w:rsidR="00A2172A" w:rsidRPr="00A2172A">
          <w:rPr>
            <w:bCs/>
            <w:noProof/>
            <w:webHidden/>
          </w:rPr>
          <w:instrText xml:space="preserve"> PAGEREF _Toc166664228 \h </w:instrText>
        </w:r>
        <w:r w:rsidR="00A2172A" w:rsidRPr="00A2172A">
          <w:rPr>
            <w:bCs/>
            <w:noProof/>
            <w:webHidden/>
          </w:rPr>
        </w:r>
        <w:r w:rsidR="00A2172A" w:rsidRPr="00A2172A">
          <w:rPr>
            <w:bCs/>
            <w:noProof/>
            <w:webHidden/>
          </w:rPr>
          <w:fldChar w:fldCharType="separate"/>
        </w:r>
        <w:r w:rsidR="00A2172A" w:rsidRPr="00A2172A">
          <w:rPr>
            <w:bCs/>
            <w:noProof/>
            <w:webHidden/>
          </w:rPr>
          <w:t>11</w:t>
        </w:r>
        <w:r w:rsidR="00A2172A" w:rsidRPr="00A2172A">
          <w:rPr>
            <w:bCs/>
            <w:noProof/>
            <w:webHidden/>
          </w:rPr>
          <w:fldChar w:fldCharType="end"/>
        </w:r>
      </w:hyperlink>
    </w:p>
    <w:p w14:paraId="3BCEF912" w14:textId="56F4076D" w:rsidR="00580D86" w:rsidRDefault="00B52E93" w:rsidP="00580D86">
      <w:pPr>
        <w:rPr>
          <w:rFonts w:ascii="Times New Roman" w:hAnsi="Times New Roman" w:cs="Times New Roman"/>
          <w:b/>
          <w:noProof/>
          <w:sz w:val="24"/>
        </w:rPr>
        <w:sectPr w:rsidR="00580D86" w:rsidSect="00785D4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pPr>
      <w:r w:rsidRPr="00A2172A">
        <w:rPr>
          <w:rFonts w:ascii="Times New Roman" w:hAnsi="Times New Roman" w:cs="Times New Roman"/>
          <w:bCs/>
          <w:noProof/>
          <w:sz w:val="24"/>
        </w:rPr>
        <w:fldChar w:fldCharType="end"/>
      </w:r>
    </w:p>
    <w:p w14:paraId="172D1799" w14:textId="6DC01460" w:rsidR="00810243" w:rsidRPr="00580D86" w:rsidRDefault="00810243" w:rsidP="00580D86">
      <w:pPr>
        <w:pStyle w:val="Heading1"/>
        <w:numPr>
          <w:ilvl w:val="0"/>
          <w:numId w:val="25"/>
        </w:numPr>
        <w:spacing w:after="240" w:line="240" w:lineRule="auto"/>
        <w:ind w:left="426"/>
        <w:rPr>
          <w:rFonts w:ascii="Times New Roman" w:hAnsi="Times New Roman" w:cs="Times New Roman"/>
          <w:b/>
          <w:bCs/>
          <w:noProof/>
          <w:color w:val="auto"/>
          <w:sz w:val="24"/>
          <w:szCs w:val="24"/>
        </w:rPr>
      </w:pPr>
      <w:bookmarkStart w:id="2" w:name="_Toc162506045"/>
      <w:bookmarkStart w:id="3" w:name="_Toc162506221"/>
      <w:bookmarkStart w:id="4" w:name="_Toc162510363"/>
      <w:bookmarkStart w:id="5" w:name="_Toc162511715"/>
      <w:bookmarkStart w:id="6" w:name="_Toc166664224"/>
      <w:bookmarkEnd w:id="2"/>
      <w:bookmarkEnd w:id="3"/>
      <w:bookmarkEnd w:id="4"/>
      <w:bookmarkEnd w:id="5"/>
      <w:r>
        <w:rPr>
          <w:rFonts w:ascii="Times New Roman" w:hAnsi="Times New Roman"/>
          <w:b/>
          <w:noProof/>
          <w:color w:val="auto"/>
          <w:sz w:val="24"/>
        </w:rPr>
        <w:t>Introduction – le MPCU, renforcer la préparation de l’UE</w:t>
      </w:r>
      <w:bookmarkEnd w:id="6"/>
    </w:p>
    <w:p w14:paraId="1939B11A" w14:textId="169CF4F0" w:rsidR="00CD4E4A" w:rsidRPr="00F17799" w:rsidRDefault="00CD4E4A" w:rsidP="00F17799">
      <w:pPr>
        <w:spacing w:after="0" w:line="240" w:lineRule="auto"/>
        <w:jc w:val="both"/>
        <w:rPr>
          <w:rFonts w:ascii="Times New Roman" w:hAnsi="Times New Roman" w:cs="Times New Roman"/>
          <w:noProof/>
          <w:sz w:val="24"/>
          <w:szCs w:val="24"/>
        </w:rPr>
      </w:pPr>
      <w:r>
        <w:rPr>
          <w:rFonts w:ascii="Times New Roman" w:hAnsi="Times New Roman"/>
          <w:noProof/>
          <w:sz w:val="24"/>
        </w:rPr>
        <w:t>À la suite d’une catastrophe, la protection civile</w:t>
      </w:r>
      <w:r w:rsidR="00580D86" w:rsidRPr="00F17799">
        <w:rPr>
          <w:rStyle w:val="FootnoteReference"/>
          <w:rFonts w:ascii="Times New Roman" w:hAnsi="Times New Roman" w:cs="Times New Roman"/>
          <w:noProof/>
          <w:sz w:val="24"/>
          <w:szCs w:val="24"/>
          <w:lang w:val="en-IE"/>
        </w:rPr>
        <w:footnoteReference w:id="2"/>
      </w:r>
      <w:r>
        <w:rPr>
          <w:rFonts w:ascii="Times New Roman" w:hAnsi="Times New Roman"/>
          <w:noProof/>
          <w:sz w:val="24"/>
        </w:rPr>
        <w:t xml:space="preserve"> constitue une bouée de sauvetage pour les populations concernées. Lorsqu’une crise dépasse les capacités d’un seul pays, le mécanisme de protection civile de l’Union (MPCU)</w:t>
      </w:r>
      <w:r w:rsidR="00580D86" w:rsidRPr="00F17799">
        <w:rPr>
          <w:rStyle w:val="FootnoteReference"/>
          <w:rFonts w:ascii="Times New Roman" w:hAnsi="Times New Roman" w:cs="Times New Roman"/>
          <w:noProof/>
          <w:sz w:val="24"/>
          <w:szCs w:val="24"/>
          <w:lang w:val="en-IE"/>
        </w:rPr>
        <w:footnoteReference w:id="3"/>
      </w:r>
      <w:r>
        <w:rPr>
          <w:rFonts w:ascii="Times New Roman" w:hAnsi="Times New Roman"/>
          <w:noProof/>
          <w:sz w:val="24"/>
        </w:rPr>
        <w:t xml:space="preserve"> fait office d’ossature opérationnelle, facilitant la réaction collective de l’Europe, tant dans l’Union que par-delà ses frontières.</w:t>
      </w:r>
    </w:p>
    <w:p w14:paraId="0476040A" w14:textId="34FFD64A" w:rsidR="00CD4E4A" w:rsidRPr="00A2172A" w:rsidRDefault="00CD4E4A" w:rsidP="00F17799">
      <w:pPr>
        <w:spacing w:after="0" w:line="240" w:lineRule="auto"/>
        <w:jc w:val="both"/>
        <w:rPr>
          <w:rFonts w:ascii="Times New Roman" w:hAnsi="Times New Roman" w:cs="Times New Roman"/>
          <w:noProof/>
          <w:sz w:val="24"/>
          <w:szCs w:val="24"/>
          <w:lang w:val="fr-BE"/>
        </w:rPr>
      </w:pPr>
    </w:p>
    <w:p w14:paraId="1764A76A" w14:textId="47027AE9" w:rsidR="00CD4E4A" w:rsidRPr="00F17799" w:rsidRDefault="00512857" w:rsidP="00F17799">
      <w:pPr>
        <w:spacing w:after="0" w:line="240" w:lineRule="auto"/>
        <w:jc w:val="both"/>
        <w:rPr>
          <w:rFonts w:ascii="Times New Roman" w:hAnsi="Times New Roman" w:cs="Times New Roman"/>
          <w:noProof/>
          <w:sz w:val="24"/>
          <w:szCs w:val="24"/>
        </w:rPr>
      </w:pPr>
      <w:r>
        <w:rPr>
          <w:rFonts w:ascii="Times New Roman" w:hAnsi="Times New Roman"/>
          <w:noProof/>
          <w:sz w:val="24"/>
        </w:rPr>
        <w:t>Activé plus de 500 fois au cours de la période évaluée (2017-2022), le MPCU a été appelé en intervention à plus de 320 reprises</w:t>
      </w:r>
      <w:r w:rsidR="008C398E" w:rsidRPr="00F17799">
        <w:rPr>
          <w:rFonts w:ascii="Times New Roman" w:hAnsi="Times New Roman" w:cs="Times New Roman"/>
          <w:noProof/>
          <w:sz w:val="24"/>
          <w:szCs w:val="24"/>
          <w:vertAlign w:val="superscript"/>
        </w:rPr>
        <w:footnoteReference w:id="4"/>
      </w:r>
      <w:r>
        <w:rPr>
          <w:rFonts w:ascii="Times New Roman" w:hAnsi="Times New Roman"/>
          <w:noProof/>
          <w:sz w:val="24"/>
        </w:rPr>
        <w:t xml:space="preserve"> rien que sur la période 2020-2022, soit en moyenne cinq fois plus qu’au cours de la décennie précédente. Cette tendance à la hausse souligne l’importance grandissante du MPCU dans le renforcement de la préparation d’urgence de l’Union à tous les niveaux.</w:t>
      </w:r>
    </w:p>
    <w:p w14:paraId="537EFEE0" w14:textId="77777777" w:rsidR="006F2EFC" w:rsidRPr="00A2172A" w:rsidRDefault="006F2EFC" w:rsidP="00F17799">
      <w:pPr>
        <w:spacing w:after="0" w:line="240" w:lineRule="auto"/>
        <w:jc w:val="both"/>
        <w:rPr>
          <w:rFonts w:ascii="Times New Roman" w:hAnsi="Times New Roman" w:cs="Times New Roman"/>
          <w:noProof/>
          <w:sz w:val="24"/>
          <w:szCs w:val="24"/>
          <w:lang w:val="fr-BE"/>
        </w:rPr>
      </w:pPr>
    </w:p>
    <w:p w14:paraId="61CCADD0" w14:textId="77777777" w:rsidR="000F16C4" w:rsidRPr="00F17799" w:rsidRDefault="00475AED" w:rsidP="00F17799">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En 2021, le prix d’excellence de la bonne administration décerné par le Médiateur européen a reconnu les contributions exceptionnelles de la DG ECHO et du SEAE, dont les efforts extraordinaires ont facilité le rapatriement de plus d’un demi-million de ressortissants de l’UE bloqués à l’étranger durant la pandémie de COVID-19. </w:t>
      </w:r>
    </w:p>
    <w:p w14:paraId="50B0AA6D" w14:textId="77777777" w:rsidR="000F16C4" w:rsidRPr="00A2172A" w:rsidRDefault="000F16C4" w:rsidP="00F17799">
      <w:pPr>
        <w:spacing w:after="0" w:line="240" w:lineRule="auto"/>
        <w:jc w:val="both"/>
        <w:rPr>
          <w:rFonts w:ascii="Times New Roman" w:hAnsi="Times New Roman" w:cs="Times New Roman"/>
          <w:noProof/>
          <w:sz w:val="24"/>
          <w:szCs w:val="24"/>
          <w:lang w:val="fr-BE"/>
        </w:rPr>
      </w:pPr>
    </w:p>
    <w:p w14:paraId="319D1924" w14:textId="6742FE67" w:rsidR="00D764EC" w:rsidRPr="00F17799" w:rsidRDefault="298BA897" w:rsidP="00F17799">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Ce prix illustre le rôle essentiel joué par les institutions et les agences de l’UE dans le cadre du MPCU en soutenant et en complétant l’action des États membres en période de crise. En substance, la sauvegarde de notre société, de la nature et de notre patrimoine culturel dépend de notre capacité à prévenir de futures catastrophes et à nous y préparer. La protection civile n’opère pas de manière isolée; elle exige de déployer des efforts de collaboration, de sortir des cloisonnements et d’œuvrer ensemble, en tant qu’Union intégrée, à la consolidation de notre résilience et de notre préparation collectives. </w:t>
      </w:r>
    </w:p>
    <w:p w14:paraId="474B4716" w14:textId="4546E601" w:rsidR="0D856574" w:rsidRPr="00A2172A" w:rsidRDefault="0D856574" w:rsidP="00F17799">
      <w:pPr>
        <w:spacing w:after="0" w:line="240" w:lineRule="auto"/>
        <w:jc w:val="both"/>
        <w:rPr>
          <w:rFonts w:ascii="Times New Roman" w:hAnsi="Times New Roman" w:cs="Times New Roman"/>
          <w:noProof/>
          <w:sz w:val="24"/>
          <w:szCs w:val="24"/>
          <w:lang w:val="fr-BE"/>
        </w:rPr>
      </w:pPr>
    </w:p>
    <w:p w14:paraId="65095291" w14:textId="37158835" w:rsidR="00D764EC" w:rsidRPr="00F17799" w:rsidRDefault="2CBD5924" w:rsidP="00F17799">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La présente communication met en lumière l’évolution des besoins et des défis liés au secteur de la protection civile en Europe et formule des recommandations visant à rendre plus efficace le continuum «prévention-préparation-réaction» en matière de gestion des catastrophes du MPCU. </w:t>
      </w:r>
    </w:p>
    <w:p w14:paraId="62E8C9D3" w14:textId="36802960" w:rsidR="007A323A" w:rsidRPr="009A7345" w:rsidRDefault="008A044A" w:rsidP="00580D86">
      <w:pPr>
        <w:pStyle w:val="Heading1"/>
        <w:numPr>
          <w:ilvl w:val="0"/>
          <w:numId w:val="25"/>
        </w:numPr>
        <w:spacing w:after="240" w:line="240" w:lineRule="auto"/>
        <w:ind w:left="426"/>
        <w:rPr>
          <w:rFonts w:ascii="Times New Roman" w:hAnsi="Times New Roman" w:cs="Times New Roman"/>
          <w:b/>
          <w:bCs/>
          <w:noProof/>
          <w:sz w:val="24"/>
          <w:szCs w:val="24"/>
        </w:rPr>
      </w:pPr>
      <w:bookmarkStart w:id="7" w:name="_Toc166664225"/>
      <w:r>
        <w:rPr>
          <w:rFonts w:ascii="Times New Roman" w:hAnsi="Times New Roman"/>
          <w:b/>
          <w:noProof/>
          <w:color w:val="auto"/>
          <w:sz w:val="24"/>
        </w:rPr>
        <w:t>Obtenir des résultats en dépit des difficultés. Menaces à l’horizon.</w:t>
      </w:r>
      <w:bookmarkEnd w:id="7"/>
      <w:r>
        <w:rPr>
          <w:rFonts w:ascii="Times New Roman" w:hAnsi="Times New Roman"/>
          <w:b/>
          <w:noProof/>
          <w:color w:val="auto"/>
          <w:sz w:val="24"/>
        </w:rPr>
        <w:t xml:space="preserve"> </w:t>
      </w:r>
    </w:p>
    <w:p w14:paraId="36146822" w14:textId="4BAD5237" w:rsidR="007A323A" w:rsidRDefault="00E51F58" w:rsidP="00F17799">
      <w:pPr>
        <w:spacing w:line="240" w:lineRule="auto"/>
        <w:jc w:val="both"/>
        <w:rPr>
          <w:rFonts w:ascii="Times New Roman" w:hAnsi="Times New Roman" w:cs="Times New Roman"/>
          <w:noProof/>
          <w:sz w:val="24"/>
          <w:szCs w:val="24"/>
        </w:rPr>
      </w:pPr>
      <w:r>
        <w:rPr>
          <w:rFonts w:ascii="Times New Roman" w:hAnsi="Times New Roman"/>
          <w:noProof/>
          <w:sz w:val="24"/>
        </w:rPr>
        <w:t>En Europe, le paysage des risques est en pleine mutation. De nos jours, l’UE fait face simultanément à une multitude de menaces et de défis caractérisés par leur diversité et leur complexité croissante. L’augmentation du nombre de conflits et de catastrophes naturelles et d’origine humaine, dont les phénomènes météorologiques extrêmes, et le caractère changeant des risques en matière de sécurité remettent de plus en plus en question la structure de la gestion, par l’UE, des risques de catastrophe et la capacité du MPCU à fonctionner de manière efficace. L’augmentation constante du nombre d’activations du MPCU ces dernières années donne à penser que cette tendance est là pour durer.</w:t>
      </w:r>
    </w:p>
    <w:p w14:paraId="47ADE6A5" w14:textId="41B86664" w:rsidR="00FD45DF" w:rsidRPr="00F17799" w:rsidRDefault="002A3086" w:rsidP="00580D86">
      <w:pPr>
        <w:pStyle w:val="Caption"/>
        <w:keepNext/>
        <w:rPr>
          <w:rFonts w:ascii="Times New Roman" w:hAnsi="Times New Roman" w:cs="Times New Roman"/>
          <w:noProof/>
          <w:color w:val="000000" w:themeColor="text1"/>
          <w:sz w:val="22"/>
          <w:szCs w:val="22"/>
        </w:rPr>
      </w:pPr>
      <w:r w:rsidRPr="002A3086">
        <w:rPr>
          <w:noProof/>
          <w:sz w:val="22"/>
          <w:szCs w:val="22"/>
          <w:lang w:val="en-GB" w:eastAsia="en-GB"/>
        </w:rPr>
        <w:drawing>
          <wp:anchor distT="0" distB="0" distL="114300" distR="114300" simplePos="0" relativeHeight="251657728" behindDoc="0" locked="0" layoutInCell="1" allowOverlap="1" wp14:anchorId="0F6B3537" wp14:editId="235CEF96">
            <wp:simplePos x="0" y="0"/>
            <wp:positionH relativeFrom="column">
              <wp:posOffset>71314</wp:posOffset>
            </wp:positionH>
            <wp:positionV relativeFrom="paragraph">
              <wp:posOffset>310101</wp:posOffset>
            </wp:positionV>
            <wp:extent cx="5462270" cy="18973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462270" cy="1897380"/>
                    </a:xfrm>
                    <a:prstGeom prst="rect">
                      <a:avLst/>
                    </a:prstGeom>
                  </pic:spPr>
                </pic:pic>
              </a:graphicData>
            </a:graphic>
            <wp14:sizeRelH relativeFrom="margin">
              <wp14:pctWidth>0</wp14:pctWidth>
            </wp14:sizeRelH>
            <wp14:sizeRelV relativeFrom="margin">
              <wp14:pctHeight>0</wp14:pctHeight>
            </wp14:sizeRelV>
          </wp:anchor>
        </w:drawing>
      </w:r>
      <w:r w:rsidR="00B01586">
        <w:rPr>
          <w:noProof/>
          <w:sz w:val="22"/>
          <w:szCs w:val="22"/>
        </w:rPr>
        <w:pict w14:anchorId="24455714">
          <v:shapetype id="_x0000_t202" coordsize="21600,21600" o:spt="202" path="m,l,21600r21600,l21600,xe">
            <v:stroke joinstyle="miter"/>
            <v:path gradientshapeok="t" o:connecttype="rect"/>
          </v:shapetype>
          <v:shape id="_x0000_s2054" type="#_x0000_t202" style="position:absolute;margin-left:2.05pt;margin-top:178.55pt;width:447.9pt;height:.05pt;z-index:251658241;mso-position-horizontal-relative:text;mso-position-vertical-relative:text" stroked="f">
            <v:textbox style="mso-fit-shape-to-text:t" inset="0,0,0,0">
              <w:txbxContent>
                <w:p w14:paraId="132A70BC" w14:textId="2A308D66" w:rsidR="00F17799" w:rsidRPr="00F17799" w:rsidRDefault="00F17799" w:rsidP="00F17799">
                  <w:pPr>
                    <w:pStyle w:val="Caption"/>
                    <w:jc w:val="both"/>
                    <w:rPr>
                      <w:rFonts w:ascii="Times New Roman" w:hAnsi="Times New Roman" w:cs="Times New Roman"/>
                      <w:noProof/>
                      <w:color w:val="000000" w:themeColor="text1"/>
                    </w:rPr>
                  </w:pPr>
                  <w:r>
                    <w:rPr>
                      <w:rFonts w:ascii="Times New Roman" w:hAnsi="Times New Roman"/>
                      <w:color w:val="000000" w:themeColor="text1"/>
                    </w:rPr>
                    <w:t>Le graphique (à gauche) montre le nombre en hausse des activations du MPCU entre 2017 et 2022. Les bulles (à droite) illustrent les types de crises pour lesquelles le MPCU est intervenu au cours de la même période.</w:t>
                  </w:r>
                </w:p>
              </w:txbxContent>
            </v:textbox>
            <w10:wrap type="topAndBottom"/>
          </v:shape>
        </w:pict>
      </w:r>
      <w:r w:rsidR="00DD79A8" w:rsidRPr="002A3086">
        <w:rPr>
          <w:noProof/>
          <w:sz w:val="22"/>
          <w:szCs w:val="22"/>
        </w:rPr>
        <w:t>Figure</w:t>
      </w:r>
      <w:r w:rsidR="00DD79A8" w:rsidRPr="002A3086">
        <w:rPr>
          <w:rFonts w:ascii="Times New Roman" w:hAnsi="Times New Roman"/>
          <w:noProof/>
          <w:color w:val="000000" w:themeColor="text1"/>
          <w:sz w:val="22"/>
          <w:szCs w:val="22"/>
        </w:rPr>
        <w:t> 1</w:t>
      </w:r>
      <w:r w:rsidR="00DD79A8">
        <w:rPr>
          <w:rFonts w:ascii="Times New Roman" w:hAnsi="Times New Roman"/>
          <w:noProof/>
          <w:color w:val="000000" w:themeColor="text1"/>
          <w:sz w:val="22"/>
        </w:rPr>
        <w:t xml:space="preserve"> - nombre et types d’activations du MPCU</w:t>
      </w:r>
    </w:p>
    <w:p w14:paraId="7B4593C2" w14:textId="7DF52C7B" w:rsidR="00EC4A4A" w:rsidRDefault="004716AC" w:rsidP="006479CB">
      <w:pPr>
        <w:spacing w:line="240" w:lineRule="auto"/>
        <w:jc w:val="both"/>
        <w:rPr>
          <w:rFonts w:ascii="Times New Roman" w:hAnsi="Times New Roman" w:cs="Times New Roman"/>
          <w:noProof/>
          <w:sz w:val="24"/>
          <w:szCs w:val="24"/>
        </w:rPr>
      </w:pPr>
      <w:r>
        <w:rPr>
          <w:rFonts w:ascii="Times New Roman" w:hAnsi="Times New Roman"/>
          <w:noProof/>
          <w:sz w:val="24"/>
        </w:rPr>
        <w:t>Les cinq dimensions clés soulignées ci-après mettent en exergue cette évolution du paysage des risques et montrent comment le MPCU utilise d’ores et déjà sa capacité d’adaptation et toute la palette de ses instruments pour remédier à ces risques dans chacune de ces dimensions. Toutefois, l’évolution du paysage des risques pourrait avoir des conséquences plus grandes encore à l’avenir sur la capacité de l’Europe à gérer les risques de catastrophes, en aggravant les lacunes actuelles en la matière.</w:t>
      </w:r>
    </w:p>
    <w:p w14:paraId="2795259D" w14:textId="11C7F1ED" w:rsidR="00456CCA" w:rsidRPr="00580D86" w:rsidRDefault="65028DBF" w:rsidP="00580D86">
      <w:pPr>
        <w:pStyle w:val="Heading2"/>
        <w:numPr>
          <w:ilvl w:val="1"/>
          <w:numId w:val="31"/>
        </w:numPr>
        <w:spacing w:before="120" w:after="240" w:line="240" w:lineRule="auto"/>
        <w:rPr>
          <w:rFonts w:ascii="Times New Roman" w:hAnsi="Times New Roman" w:cs="Times New Roman"/>
          <w:b/>
          <w:bCs/>
          <w:i/>
          <w:iCs/>
          <w:noProof/>
          <w:color w:val="auto"/>
          <w:sz w:val="22"/>
          <w:szCs w:val="22"/>
        </w:rPr>
      </w:pPr>
      <w:r>
        <w:rPr>
          <w:rFonts w:ascii="Times New Roman" w:hAnsi="Times New Roman"/>
          <w:b/>
          <w:i/>
          <w:noProof/>
          <w:color w:val="auto"/>
          <w:sz w:val="22"/>
        </w:rPr>
        <w:t>Faire face à la complexité: coordonner les réactions face aux crises émergentes</w:t>
      </w:r>
    </w:p>
    <w:p w14:paraId="2EB96B51" w14:textId="027E3A29" w:rsidR="00D552FB" w:rsidRPr="00E35483" w:rsidRDefault="006148FB" w:rsidP="00D957D2">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L’évaluation a souligné la remarquable flexibilité dont le MPCU a fait preuve en s’adaptant à des défis changeants</w:t>
      </w:r>
      <w:r w:rsidR="00191600" w:rsidRPr="00F17799">
        <w:rPr>
          <w:rStyle w:val="FootnoteReference"/>
          <w:rFonts w:ascii="Times New Roman" w:eastAsia="Times New Roman" w:hAnsi="Times New Roman" w:cs="Times New Roman"/>
          <w:noProof/>
          <w:color w:val="000000" w:themeColor="text1"/>
          <w:sz w:val="24"/>
          <w:szCs w:val="24"/>
          <w:lang w:val="en-IE"/>
        </w:rPr>
        <w:footnoteReference w:id="5"/>
      </w:r>
      <w:r>
        <w:rPr>
          <w:rFonts w:ascii="Times New Roman" w:hAnsi="Times New Roman"/>
          <w:noProof/>
          <w:sz w:val="24"/>
        </w:rPr>
        <w:t>. Les rapides ajustements opérés dans la législation de l’UE en vue d’intégrer les outils de la DG ECHO ont été cités comme de parfaits exemples de cette flexibilité. À cet égard, à la suite de la pandémie de COVID-19, la forte montée en puissance des capacités à constituer des stocks de fournitures médicales dans le cadre de rescEU a été considérée comme un accomplissement notable par l’écrasante majorité des parties prenantes</w:t>
      </w:r>
      <w:r w:rsidR="00844875">
        <w:rPr>
          <w:rStyle w:val="FootnoteReference"/>
          <w:rFonts w:ascii="Times New Roman" w:eastAsia="Times New Roman" w:hAnsi="Times New Roman" w:cs="Times New Roman"/>
          <w:noProof/>
          <w:sz w:val="24"/>
          <w:szCs w:val="24"/>
          <w:lang w:val="en-IE"/>
        </w:rPr>
        <w:footnoteReference w:id="6"/>
      </w:r>
      <w:r>
        <w:rPr>
          <w:rFonts w:ascii="Times New Roman" w:hAnsi="Times New Roman"/>
          <w:noProof/>
          <w:sz w:val="24"/>
        </w:rPr>
        <w:t xml:space="preserve">, tant au niveau national qu’à celui de l’UE. </w:t>
      </w:r>
    </w:p>
    <w:p w14:paraId="7B0E25B5" w14:textId="0E078A0A" w:rsidR="00EB058A" w:rsidRPr="00B203B2" w:rsidRDefault="00455A8D" w:rsidP="00D957D2">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Au fil de la période d’évaluation, il s’est avéré que le centre de coordination de la réaction d’urgence (ERCC) a joué un rôle déterminant dans la coordination des autorités sanitaires et de la protection civile, ainsi qu’entre les ministères des affaires étrangères dans les États membres et les États participants, et les délégations du SEAE et de l’UE. En outre, de concert avec le secrétaire général, il a facilité la coordination entre les directions générales de la Commission européenne, le SEAE et le Conseil. Cette coopération intersectorielle s’est révélée essentielle lorsqu’il s’est agi de faire face aux conséquences de la COVID-19, avec notamment l’approvisionnement en fournitures médicales et le soutien logistique à l’assistance consulaire pour le rapatriement des citoyens de l’UE bloqués dans des pays tiers. Dans ce contexte, les approches innovantes retenues et la faculté d’adaptation à des situations nouvelles ont été des facteurs de réussite capitaux. </w:t>
      </w:r>
    </w:p>
    <w:p w14:paraId="20856B95" w14:textId="3128ABD0" w:rsidR="00456CCA" w:rsidRPr="00580D86" w:rsidRDefault="2E782211" w:rsidP="00580D86">
      <w:pPr>
        <w:pStyle w:val="Heading2"/>
        <w:numPr>
          <w:ilvl w:val="1"/>
          <w:numId w:val="31"/>
        </w:numPr>
        <w:spacing w:before="120" w:after="240" w:line="240" w:lineRule="auto"/>
        <w:rPr>
          <w:rFonts w:ascii="Times New Roman" w:hAnsi="Times New Roman" w:cs="Times New Roman"/>
          <w:b/>
          <w:bCs/>
          <w:i/>
          <w:iCs/>
          <w:noProof/>
          <w:color w:val="auto"/>
          <w:sz w:val="22"/>
          <w:szCs w:val="22"/>
        </w:rPr>
      </w:pPr>
      <w:bookmarkStart w:id="8" w:name="_Toc162966519"/>
      <w:bookmarkEnd w:id="8"/>
      <w:r>
        <w:rPr>
          <w:rFonts w:ascii="Times New Roman" w:hAnsi="Times New Roman"/>
          <w:b/>
          <w:i/>
          <w:noProof/>
          <w:color w:val="auto"/>
          <w:sz w:val="22"/>
        </w:rPr>
        <w:t>Défis dynamiques: adapter les systèmes de cartographie des risques et d’alerte précoce</w:t>
      </w:r>
    </w:p>
    <w:p w14:paraId="401B1D9F" w14:textId="15D713C0" w:rsidR="00746FCA" w:rsidRDefault="00F751DA" w:rsidP="00D957D2">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groupe de réflexion composé de scientifiques contribuant à l’évaluation du MPCU a inventorié des domaines pouvant faire l’objet d’une amélioration afin de renforcer la capacité des systèmes d’alerte précoce à accroître la préparation à l’échelle nationale et à celle de l’UE. Les systèmes d’alerte précoce pourraient notamment être révisés, afin: </w:t>
      </w:r>
    </w:p>
    <w:p w14:paraId="78261BDB" w14:textId="37670D3A" w:rsidR="002A5B06" w:rsidRDefault="00F751DA" w:rsidP="00D957D2">
      <w:pPr>
        <w:spacing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1. de faire en sorte de</w:t>
      </w:r>
      <w:r>
        <w:rPr>
          <w:rFonts w:ascii="Times New Roman" w:hAnsi="Times New Roman"/>
          <w:b/>
          <w:noProof/>
          <w:sz w:val="24"/>
        </w:rPr>
        <w:t xml:space="preserve"> réduire la fragmentation</w:t>
      </w:r>
      <w:r>
        <w:rPr>
          <w:rFonts w:ascii="Times New Roman" w:hAnsi="Times New Roman"/>
          <w:noProof/>
          <w:sz w:val="24"/>
        </w:rPr>
        <w:t xml:space="preserve"> </w:t>
      </w:r>
      <w:r>
        <w:rPr>
          <w:rFonts w:ascii="Times New Roman" w:hAnsi="Times New Roman"/>
          <w:b/>
          <w:noProof/>
          <w:sz w:val="24"/>
        </w:rPr>
        <w:t>de l’information</w:t>
      </w:r>
      <w:r>
        <w:rPr>
          <w:rFonts w:ascii="Times New Roman" w:hAnsi="Times New Roman"/>
          <w:noProof/>
          <w:sz w:val="24"/>
        </w:rPr>
        <w:t xml:space="preserve"> entre les systèmes d’alerte précoce de l’UE et les systèmes nationaux: plusieurs parties prenantes ont souligné combien il était difficile de gérer une grande quantité d’informations provenant de différents systèmes et, partant, de mener rapidement à bien des évaluations d’experts lors des grands événements. De plus, les systèmes d’alerte précoce au niveau de l’UE pourraient influencer plus systématiquement les systèmes nationaux</w:t>
      </w:r>
      <w:r w:rsidR="000F38E5">
        <w:rPr>
          <w:rStyle w:val="FootnoteReference"/>
          <w:rFonts w:ascii="Times New Roman" w:eastAsia="Times New Roman" w:hAnsi="Times New Roman" w:cs="Times New Roman"/>
          <w:noProof/>
          <w:sz w:val="24"/>
          <w:szCs w:val="24"/>
          <w:lang w:val="en-IE"/>
        </w:rPr>
        <w:footnoteReference w:id="7"/>
      </w:r>
      <w:r>
        <w:rPr>
          <w:rFonts w:ascii="Times New Roman" w:hAnsi="Times New Roman"/>
          <w:noProof/>
          <w:sz w:val="24"/>
        </w:rPr>
        <w:t>;</w:t>
      </w:r>
    </w:p>
    <w:p w14:paraId="1367C006" w14:textId="771D7727" w:rsidR="00F751DA" w:rsidRPr="00F751DA" w:rsidRDefault="00F751DA" w:rsidP="00D957D2">
      <w:pPr>
        <w:spacing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2.</w:t>
      </w:r>
      <w:r>
        <w:rPr>
          <w:rFonts w:ascii="Times New Roman" w:hAnsi="Times New Roman"/>
          <w:b/>
          <w:noProof/>
          <w:sz w:val="24"/>
        </w:rPr>
        <w:t xml:space="preserve"> de couvrir plus de risques</w:t>
      </w:r>
      <w:r>
        <w:rPr>
          <w:rFonts w:ascii="Times New Roman" w:hAnsi="Times New Roman"/>
          <w:noProof/>
          <w:sz w:val="24"/>
        </w:rPr>
        <w:t>: les risques bénéficiant de la couverture la plus efficace de la part des systèmes d’alerte précoce et de surveillance étant les incendies de forêt, les inondations et les sécheresses, grâce à un suivi quasi instantané. Toutefois, le suivi des crues, des urgences sanitaires et d’autres catastrophes d’origine humaine ou anthropique pourrait être amélioré et rendu plus efficace</w:t>
      </w:r>
      <w:r w:rsidR="00C52DDD">
        <w:rPr>
          <w:rStyle w:val="FootnoteReference"/>
          <w:rFonts w:ascii="Times New Roman" w:eastAsia="Times New Roman" w:hAnsi="Times New Roman" w:cs="Times New Roman"/>
          <w:noProof/>
          <w:sz w:val="24"/>
          <w:szCs w:val="24"/>
          <w:lang w:val="en-IE"/>
        </w:rPr>
        <w:footnoteReference w:id="8"/>
      </w:r>
      <w:r>
        <w:rPr>
          <w:rFonts w:ascii="Times New Roman" w:hAnsi="Times New Roman"/>
          <w:noProof/>
          <w:sz w:val="24"/>
        </w:rPr>
        <w:t>.</w:t>
      </w:r>
    </w:p>
    <w:p w14:paraId="7602505B" w14:textId="06B99742" w:rsidR="388F9E1F" w:rsidRPr="00580D86" w:rsidRDefault="2F13AA3F" w:rsidP="00580D86">
      <w:pPr>
        <w:pStyle w:val="Heading2"/>
        <w:numPr>
          <w:ilvl w:val="1"/>
          <w:numId w:val="31"/>
        </w:numPr>
        <w:spacing w:before="120" w:after="240" w:line="240" w:lineRule="auto"/>
        <w:rPr>
          <w:rFonts w:ascii="Times New Roman" w:hAnsi="Times New Roman" w:cs="Times New Roman"/>
          <w:b/>
          <w:bCs/>
          <w:i/>
          <w:iCs/>
          <w:noProof/>
          <w:color w:val="auto"/>
          <w:sz w:val="22"/>
          <w:szCs w:val="22"/>
        </w:rPr>
      </w:pPr>
      <w:bookmarkStart w:id="9" w:name="_Toc162966521"/>
      <w:bookmarkStart w:id="10" w:name="_Toc162966522"/>
      <w:bookmarkEnd w:id="9"/>
      <w:bookmarkEnd w:id="10"/>
      <w:r>
        <w:rPr>
          <w:rFonts w:ascii="Times New Roman" w:hAnsi="Times New Roman"/>
          <w:b/>
          <w:i/>
          <w:noProof/>
          <w:color w:val="auto"/>
          <w:sz w:val="22"/>
        </w:rPr>
        <w:t>Réactions urgentes: mobiliser des ressources pour faire face à des catastrophes naturelles transfrontières graves</w:t>
      </w:r>
    </w:p>
    <w:p w14:paraId="57175951" w14:textId="15554033" w:rsidR="00E43ACA" w:rsidRPr="00C0357A" w:rsidRDefault="00C9639B" w:rsidP="00580D86">
      <w:pPr>
        <w:spacing w:line="240" w:lineRule="auto"/>
        <w:jc w:val="both"/>
        <w:rPr>
          <w:rFonts w:ascii="Times New Roman" w:hAnsi="Times New Roman" w:cs="Times New Roman"/>
          <w:noProof/>
          <w:sz w:val="24"/>
          <w:szCs w:val="24"/>
        </w:rPr>
      </w:pPr>
      <w:r>
        <w:rPr>
          <w:rFonts w:ascii="Times New Roman" w:hAnsi="Times New Roman"/>
          <w:noProof/>
          <w:sz w:val="24"/>
        </w:rPr>
        <w:t>Au cours de l’été 2023, l’Europe a été frappée par des vagues de chaleur, des incendies de forêt record et des inondations catastrophiques. Ces évènements se sont souvent produits simultanément, s’inscrivant dans un cadre plus large de climatologie extrême. En juillet en en août 2023, les températures mondiales ont atteint des sommets, dépassant le seuil de 1,5 °C fixé dans l’accord de Paris. Cela donne un aperçu des conditions estivales moyennes potentielles à l’avenir en l’absence d’une action pour le climat.</w:t>
      </w:r>
    </w:p>
    <w:p w14:paraId="23BC29E3" w14:textId="53EDE7CF" w:rsidR="00E43ACA" w:rsidRPr="00C0357A" w:rsidRDefault="00C9639B" w:rsidP="00580D8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résultats de l’évaluation ont montré que le prépositionnement de pompiers en 2021 avait eu un effet positif sur le partage des connaissances entre pompiers des régions concernées par les incendies de forêt. Cette approche a également reçu un accueil favorable en tant que moyen d’améliorer l’efficacité des réactions. En 2021, des pompiers ont été prépositionnés en Grèce afin d’apporter leur soutien lors de la saison estivale des incendies de forêt. À la suite des réactions positives des États membres et des États participants, cette initiative a été renouvelée et 11 États membres se sont engagés à envoyer près de 450 pompiers vers la France, la Grèce et le Portugal en préparation de la prochaine saison des incendies de forêt. </w:t>
      </w:r>
    </w:p>
    <w:p w14:paraId="0A25D5D7" w14:textId="7ABE94A3" w:rsidR="00202E45" w:rsidRPr="00B203B2" w:rsidRDefault="00A543D9" w:rsidP="00580D8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En outre, l’évaluation a souligné le fait que la grande majorité des parties prenantes louaient la flexibilité du MPCU et, mieux encore, sa capacité à s’adapter promptement à des situations nouvelles et à y faire face. L’introduction de la réserve rescEU, qui s’inscrit en complément de la décision récente, prise rapidement, de renforcer la flotte aérienne de rescEU, a été annoncée comme une remarquable démonstration de la flexibilité et des capacités d’innovation dont fait preuve le MPCU pour conserver toute sa pertinence. L’adaptabilité caractérisant le programme de formation du MPCU et EU MODEX a également été saluée et est considérée comme la preuve de la flexibilité du MPCU.</w:t>
      </w:r>
    </w:p>
    <w:p w14:paraId="7E39506B" w14:textId="49607EF5" w:rsidR="5CBEDE72" w:rsidRPr="00580D86" w:rsidRDefault="00127CC2" w:rsidP="00580D86">
      <w:pPr>
        <w:pStyle w:val="Heading2"/>
        <w:numPr>
          <w:ilvl w:val="1"/>
          <w:numId w:val="31"/>
        </w:numPr>
        <w:spacing w:before="120" w:after="240" w:line="240" w:lineRule="auto"/>
        <w:rPr>
          <w:rFonts w:ascii="Times New Roman" w:hAnsi="Times New Roman" w:cs="Times New Roman"/>
          <w:b/>
          <w:bCs/>
          <w:i/>
          <w:iCs/>
          <w:noProof/>
          <w:color w:val="auto"/>
          <w:sz w:val="22"/>
          <w:szCs w:val="22"/>
        </w:rPr>
      </w:pPr>
      <w:r>
        <w:rPr>
          <w:rFonts w:ascii="Times New Roman" w:hAnsi="Times New Roman"/>
          <w:b/>
          <w:i/>
          <w:noProof/>
          <w:color w:val="auto"/>
          <w:sz w:val="22"/>
        </w:rPr>
        <w:t>L’évolution des risques et des menaces pour la sécurité nécessite un renforcement des capacités de réaction</w:t>
      </w:r>
    </w:p>
    <w:p w14:paraId="60863DBB" w14:textId="6E13622A" w:rsidR="0080639A" w:rsidRDefault="0080639A" w:rsidP="00D957D2">
      <w:pPr>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La réponse à la guerre d’agression menée par la Russie contre l’Ukraine a été à l’origine de la plus importante activation du MPCU à ce jour, et notamment à la mise en place d’opérations logistiques complexes. Le 15 février 2022, l’Ukraine a activé le MPCU dans le cadre de la préparation à une situation d’urgence à grande échelle, avant d’actualiser sa demande d’origine par la suite. Les demandes ont notamment porté sur la livraison de fournitures médicales, de nourriture, d’abris, de dispositifs de lutte contre l’incendie, de matériel informatique et de communication, d’appareils de protection du patrimoine culturel, de contre-mesures CBRN et de fournitures agricoles. </w:t>
      </w:r>
    </w:p>
    <w:p w14:paraId="0213DE86" w14:textId="630D9733" w:rsidR="00886BAF" w:rsidRDefault="0080639A" w:rsidP="00D957D2">
      <w:pPr>
        <w:spacing w:line="240" w:lineRule="auto"/>
        <w:jc w:val="both"/>
        <w:rPr>
          <w:rFonts w:ascii="Times New Roman" w:eastAsia="Times New Roman" w:hAnsi="Times New Roman" w:cs="Times New Roman"/>
          <w:noProof/>
          <w:color w:val="000000"/>
          <w:sz w:val="24"/>
          <w:szCs w:val="24"/>
        </w:rPr>
      </w:pPr>
      <w:r>
        <w:rPr>
          <w:rFonts w:ascii="Times New Roman" w:hAnsi="Times New Roman"/>
          <w:noProof/>
          <w:sz w:val="24"/>
        </w:rPr>
        <w:t>L’ERCC a aidé la Pologne, la Roumanie et la Slovaquie à mettre en place des plateformes logistiques du MPCU</w:t>
      </w:r>
      <w:r w:rsidRPr="00255933">
        <w:rPr>
          <w:rFonts w:ascii="Times New Roman" w:eastAsia="Times New Roman" w:hAnsi="Times New Roman" w:cs="Times New Roman"/>
          <w:noProof/>
          <w:color w:val="000000"/>
          <w:sz w:val="24"/>
          <w:szCs w:val="24"/>
          <w:vertAlign w:val="superscript"/>
          <w:lang w:val="en-IE" w:eastAsia="en-GB"/>
        </w:rPr>
        <w:footnoteReference w:id="9"/>
      </w:r>
      <w:r>
        <w:rPr>
          <w:rFonts w:ascii="Times New Roman" w:hAnsi="Times New Roman"/>
          <w:noProof/>
          <w:sz w:val="24"/>
        </w:rPr>
        <w:t xml:space="preserve"> au sein desquelles l’aide offerte a été réceptionnée, consolidée, puis expédiée vers l’Ukraine.</w:t>
      </w:r>
      <w:r>
        <w:rPr>
          <w:rFonts w:ascii="Times New Roman" w:hAnsi="Times New Roman"/>
          <w:noProof/>
          <w:color w:val="000000"/>
          <w:sz w:val="24"/>
        </w:rPr>
        <w:t xml:space="preserve"> </w:t>
      </w:r>
      <w:r>
        <w:rPr>
          <w:rFonts w:ascii="Times New Roman" w:hAnsi="Times New Roman"/>
          <w:noProof/>
          <w:sz w:val="24"/>
        </w:rPr>
        <w:t>De plus, afin de faire face au nombre considérable de demandes émanant de sociétés privées à la suite de la campagne de la Commission appelant à soutenir l’Ukraine («Stand for Ukraine»), un projet pilote a été élaboré en Belgique pour acheminer les dons du secteur privé dans le cadre de rescEU.</w:t>
      </w:r>
      <w:r>
        <w:rPr>
          <w:rFonts w:ascii="Times New Roman" w:hAnsi="Times New Roman"/>
          <w:noProof/>
          <w:color w:val="000000"/>
          <w:sz w:val="24"/>
        </w:rPr>
        <w:t xml:space="preserve"> </w:t>
      </w:r>
    </w:p>
    <w:p w14:paraId="18FB2878" w14:textId="1B6E5BB1" w:rsidR="0080639A" w:rsidRPr="00255933" w:rsidRDefault="0080639A" w:rsidP="00D957D2">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Face à la demande croissante de traitements médicaux, la</w:t>
      </w:r>
      <w:r>
        <w:rPr>
          <w:rFonts w:ascii="Times New Roman" w:hAnsi="Times New Roman"/>
          <w:noProof/>
          <w:color w:val="000000"/>
          <w:sz w:val="24"/>
        </w:rPr>
        <w:t xml:space="preserve"> Commission européenne (</w:t>
      </w:r>
      <w:bookmarkStart w:id="11" w:name="_Int_7bp0WHNc"/>
      <w:r>
        <w:rPr>
          <w:rFonts w:ascii="Times New Roman" w:hAnsi="Times New Roman"/>
          <w:noProof/>
          <w:color w:val="000000"/>
          <w:sz w:val="24"/>
        </w:rPr>
        <w:t>DG</w:t>
      </w:r>
      <w:bookmarkEnd w:id="11"/>
      <w:r>
        <w:rPr>
          <w:rFonts w:ascii="Times New Roman" w:hAnsi="Times New Roman"/>
          <w:noProof/>
          <w:color w:val="000000"/>
          <w:sz w:val="24"/>
        </w:rPr>
        <w:t xml:space="preserve"> ECHO et DG SANTE) a mis au point un mode opératoire normalisé pour l’évacuation médicale (MEDEVAC) de personnes déplacées depuis l’Ukraine. La Pologne, la Moldavie, la Slovaquie et l’Ukraine ont appelé à l’aide pour des opérations d’évacuation médicale depuis leur territoire vers d’autres pays européens disposant de capacités hospitalières.</w:t>
      </w:r>
    </w:p>
    <w:p w14:paraId="2B6313AF" w14:textId="2A8516E3" w:rsidR="0038550A" w:rsidRPr="00C239E8" w:rsidRDefault="009F257A" w:rsidP="00D957D2">
      <w:pPr>
        <w:spacing w:line="240" w:lineRule="auto"/>
        <w:jc w:val="both"/>
        <w:rPr>
          <w:rFonts w:ascii="Times New Roman" w:hAnsi="Times New Roman" w:cs="Times New Roman"/>
          <w:noProof/>
          <w:sz w:val="28"/>
          <w:szCs w:val="28"/>
        </w:rPr>
      </w:pPr>
      <w:r>
        <w:rPr>
          <w:rFonts w:ascii="Times New Roman" w:hAnsi="Times New Roman"/>
          <w:noProof/>
          <w:sz w:val="24"/>
        </w:rPr>
        <w:t>En outre, l’initiative d’élaboration de scénarios</w:t>
      </w:r>
      <w:r w:rsidR="009D3F2A" w:rsidRPr="00C239E8">
        <w:rPr>
          <w:rStyle w:val="FootnoteReference"/>
          <w:rFonts w:ascii="Times New Roman" w:hAnsi="Times New Roman" w:cs="Times New Roman"/>
          <w:noProof/>
          <w:sz w:val="24"/>
          <w:szCs w:val="24"/>
          <w:lang w:val="en-IE"/>
        </w:rPr>
        <w:footnoteReference w:id="10"/>
      </w:r>
      <w:r>
        <w:rPr>
          <w:rFonts w:ascii="Times New Roman" w:hAnsi="Times New Roman"/>
          <w:noProof/>
          <w:sz w:val="24"/>
        </w:rPr>
        <w:t xml:space="preserve"> vise à fournir des éléments de preuve complets attestant l’apport d’améliorations supplémentaires dans le cadre du MPCU en vue de relever les défis anticipés dans un profil des risques européen en constante évolution, notamment les effets en cascade des menaces pour la sécurité, susceptibles de donner lieu à la survenance accrue de catastrophes transsectorielles et plurinationales à forte incidence. En substance, les scénarios renforcent les arguments en faveur de ressources supplémentaires, mais aussi d’adaptations à apporter au fonctionnement actuel du MPCU à tous les stades du cycle de gestion des situations d’urgence, ainsi que de modifications connexes du cadre juridique du MPCU.</w:t>
      </w:r>
    </w:p>
    <w:p w14:paraId="7FC11467" w14:textId="670189E8" w:rsidR="2EBB58B5" w:rsidRPr="00580D86" w:rsidRDefault="77924781" w:rsidP="00580D86">
      <w:pPr>
        <w:pStyle w:val="Heading2"/>
        <w:numPr>
          <w:ilvl w:val="1"/>
          <w:numId w:val="31"/>
        </w:numPr>
        <w:spacing w:before="120" w:after="240" w:line="240" w:lineRule="auto"/>
        <w:rPr>
          <w:rFonts w:ascii="Times New Roman" w:hAnsi="Times New Roman" w:cs="Times New Roman"/>
          <w:b/>
          <w:bCs/>
          <w:i/>
          <w:iCs/>
          <w:noProof/>
          <w:color w:val="auto"/>
          <w:sz w:val="22"/>
          <w:szCs w:val="22"/>
        </w:rPr>
      </w:pPr>
      <w:bookmarkStart w:id="12" w:name="_Toc162513246"/>
      <w:bookmarkStart w:id="13" w:name="_Toc162517595"/>
      <w:bookmarkStart w:id="14" w:name="_Toc162523498"/>
      <w:bookmarkStart w:id="15" w:name="_Toc162966525"/>
      <w:bookmarkEnd w:id="12"/>
      <w:bookmarkEnd w:id="13"/>
      <w:bookmarkEnd w:id="14"/>
      <w:bookmarkEnd w:id="15"/>
      <w:r>
        <w:rPr>
          <w:rFonts w:ascii="Times New Roman" w:hAnsi="Times New Roman"/>
          <w:b/>
          <w:i/>
          <w:noProof/>
          <w:color w:val="auto"/>
          <w:sz w:val="22"/>
        </w:rPr>
        <w:t>Protéger les personnes vulnérables: remédier aux conséquences des catastrophes sur les groupes vulnérables</w:t>
      </w:r>
    </w:p>
    <w:p w14:paraId="2C508E13" w14:textId="3188A2F7" w:rsidR="001873D4" w:rsidRPr="00D957D2" w:rsidRDefault="005B78ED" w:rsidP="7C9753B2">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Les risques climatiques touchent les populations vulnérables de manière disproportionnée en raison de facteurs socioéconomiques tels que le revenu, le sexe, l’âge, le handicap, la santé et l’exclusion sociale, sachant que des désavantages préexistants entravent encore davantage la capacité des groupes vulnérables à se remettre des catastrophes</w:t>
      </w:r>
      <w:r w:rsidR="00523692" w:rsidRPr="00D957D2">
        <w:rPr>
          <w:rStyle w:val="FootnoteReference"/>
          <w:rFonts w:ascii="Times New Roman" w:hAnsi="Times New Roman" w:cs="Times New Roman"/>
          <w:noProof/>
          <w:color w:val="000000" w:themeColor="text1"/>
          <w:sz w:val="24"/>
          <w:szCs w:val="24"/>
          <w:lang w:val="en-IE"/>
        </w:rPr>
        <w:footnoteReference w:id="11"/>
      </w:r>
      <w:r>
        <w:rPr>
          <w:rFonts w:ascii="Times New Roman" w:hAnsi="Times New Roman"/>
          <w:noProof/>
          <w:color w:val="000000" w:themeColor="text1"/>
          <w:sz w:val="24"/>
        </w:rPr>
        <w:t>. Des cas de violence à caractère sexiste et sexuel, de discours haineux et de xénophobie ont été répertoriés depuis le déclenchement de la guerre d’agression menée par la Russie contre l’Ukraine</w:t>
      </w:r>
    </w:p>
    <w:p w14:paraId="1DDE1EDC" w14:textId="34D2C590" w:rsidR="009B02A1" w:rsidRPr="00D957D2" w:rsidRDefault="00E33DF4" w:rsidP="009B02A1">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Compte tenu de ce qui précède et dans le cadre de la recommandation et de la communication de la Commission sur les «objectifs de l’Union européenne en matière de résilience face aux catastrophes»</w:t>
      </w:r>
      <w:r w:rsidR="00535054" w:rsidRPr="00D957D2">
        <w:rPr>
          <w:rStyle w:val="FootnoteReference"/>
          <w:rFonts w:ascii="Times New Roman" w:hAnsi="Times New Roman" w:cs="Times New Roman"/>
          <w:noProof/>
          <w:color w:val="000000" w:themeColor="text1"/>
          <w:sz w:val="24"/>
          <w:szCs w:val="24"/>
        </w:rPr>
        <w:footnoteReference w:id="12"/>
      </w:r>
      <w:r>
        <w:rPr>
          <w:rFonts w:ascii="Times New Roman" w:hAnsi="Times New Roman"/>
          <w:noProof/>
          <w:color w:val="000000" w:themeColor="text1"/>
          <w:sz w:val="24"/>
        </w:rPr>
        <w:t xml:space="preserve">, la Commission a plaidé en faveur de la prise en compte systématique des besoins particuliers des personnes en situation de vulnérabilité, notamment des personnes handicapées et des enfants, dans les systèmes d’alerte précoce nationaux. </w:t>
      </w:r>
    </w:p>
    <w:p w14:paraId="574B99E4" w14:textId="0BBDEEE6" w:rsidR="00240EFB" w:rsidRPr="009A7345" w:rsidRDefault="0081626B" w:rsidP="00580D86">
      <w:pPr>
        <w:pStyle w:val="Heading1"/>
        <w:numPr>
          <w:ilvl w:val="0"/>
          <w:numId w:val="31"/>
        </w:numPr>
        <w:spacing w:after="240" w:line="240" w:lineRule="auto"/>
        <w:ind w:left="426"/>
        <w:rPr>
          <w:rFonts w:ascii="Times New Roman" w:hAnsi="Times New Roman" w:cs="Times New Roman"/>
          <w:b/>
          <w:noProof/>
          <w:color w:val="auto"/>
          <w:sz w:val="24"/>
          <w:szCs w:val="24"/>
        </w:rPr>
      </w:pPr>
      <w:bookmarkStart w:id="16" w:name="_Toc162966527"/>
      <w:bookmarkStart w:id="17" w:name="_Toc162966560"/>
      <w:bookmarkStart w:id="18" w:name="_Toc162966528"/>
      <w:bookmarkStart w:id="19" w:name="_Toc162966561"/>
      <w:bookmarkStart w:id="20" w:name="_Toc162966529"/>
      <w:bookmarkStart w:id="21" w:name="_Toc162966562"/>
      <w:bookmarkStart w:id="22" w:name="_Toc162966530"/>
      <w:bookmarkStart w:id="23" w:name="_Toc162966563"/>
      <w:bookmarkStart w:id="24" w:name="_Toc162966531"/>
      <w:bookmarkStart w:id="25" w:name="_Toc162966564"/>
      <w:bookmarkStart w:id="26" w:name="_Toc162966532"/>
      <w:bookmarkStart w:id="27" w:name="_Toc162966565"/>
      <w:bookmarkStart w:id="28" w:name="_Toc166664226"/>
      <w:bookmarkEnd w:id="16"/>
      <w:bookmarkEnd w:id="17"/>
      <w:bookmarkEnd w:id="18"/>
      <w:bookmarkEnd w:id="19"/>
      <w:bookmarkEnd w:id="20"/>
      <w:bookmarkEnd w:id="21"/>
      <w:bookmarkEnd w:id="22"/>
      <w:bookmarkEnd w:id="23"/>
      <w:bookmarkEnd w:id="24"/>
      <w:bookmarkEnd w:id="25"/>
      <w:bookmarkEnd w:id="26"/>
      <w:bookmarkEnd w:id="27"/>
      <w:r>
        <w:rPr>
          <w:rFonts w:ascii="Times New Roman" w:hAnsi="Times New Roman"/>
          <w:b/>
          <w:noProof/>
          <w:color w:val="auto"/>
          <w:sz w:val="24"/>
        </w:rPr>
        <w:t>Résultats de l’évaluation – le MPCU opère dans un paysage des risques en pleine mutation</w:t>
      </w:r>
      <w:bookmarkEnd w:id="28"/>
    </w:p>
    <w:p w14:paraId="223BCD20" w14:textId="47F9A83A" w:rsidR="00AD4EA2" w:rsidRPr="00B203B2" w:rsidRDefault="06992325" w:rsidP="00580D86">
      <w:pPr>
        <w:spacing w:line="240" w:lineRule="auto"/>
        <w:jc w:val="both"/>
        <w:rPr>
          <w:rFonts w:ascii="Times New Roman" w:hAnsi="Times New Roman" w:cs="Times New Roman"/>
          <w:noProof/>
          <w:sz w:val="24"/>
          <w:szCs w:val="24"/>
        </w:rPr>
      </w:pPr>
      <w:r>
        <w:rPr>
          <w:rFonts w:ascii="Times New Roman" w:hAnsi="Times New Roman"/>
          <w:noProof/>
          <w:sz w:val="24"/>
        </w:rPr>
        <w:t>La nouvelle réalité en matière de gestion des situations d’urgence décrite ci-dessus a fourni au MPCU de nombreuses occasions de prouver son efficience et son efficacité en tant qu’instrument d’aide d’urgence en mesure de renforcer encore la résilience européenne face à des crises concurrentes à la fois complexes, de longue durée et occasionnelles. Les principales constatations des résultats obtenus par le MPCU au cours de la période 2017-2022 viennent souligner cette évaluation.</w:t>
      </w:r>
    </w:p>
    <w:p w14:paraId="2F06AA4C" w14:textId="745C1CC5" w:rsidR="00E63893" w:rsidRDefault="00B01586" w:rsidP="00580D86">
      <w:pPr>
        <w:spacing w:line="240" w:lineRule="auto"/>
        <w:rPr>
          <w:noProof/>
        </w:rPr>
      </w:pPr>
      <w:r>
        <w:rPr>
          <w:noProof/>
        </w:rPr>
      </w:r>
      <w:r>
        <w:rPr>
          <w:noProof/>
        </w:rPr>
        <w:pict w14:anchorId="59A4EC23">
          <v:rect id="_x0000_s2056" style="width:449.25pt;height:294.45pt;visibility:visible;mso-left-percent:-10001;mso-top-percent:-10001;mso-position-horizontal:absolute;mso-position-horizontal-relative:char;mso-position-vertical:absolute;mso-position-vertical-relative:line;mso-left-percent:-10001;mso-top-percent:-10001" fillcolor="white [3201]">
            <v:textbox style="mso-next-textbox:#_x0000_s2056">
              <w:txbxContent>
                <w:p w14:paraId="366E22CD" w14:textId="00656FC9" w:rsidR="000F78F3" w:rsidRPr="000C206C" w:rsidRDefault="000F78F3" w:rsidP="000C206C">
                  <w:pPr>
                    <w:jc w:val="both"/>
                    <w:rPr>
                      <w:rFonts w:ascii="Times New Roman" w:hAnsi="Times New Roman" w:cs="Times New Roman"/>
                      <w:b/>
                      <w:bCs/>
                      <w:i/>
                      <w:iCs/>
                      <w:kern w:val="0"/>
                      <w:sz w:val="20"/>
                      <w:szCs w:val="20"/>
                      <w14:ligatures w14:val="none"/>
                    </w:rPr>
                  </w:pPr>
                  <w:r>
                    <w:rPr>
                      <w:rFonts w:ascii="Times New Roman" w:hAnsi="Times New Roman"/>
                      <w:b/>
                      <w:i/>
                      <w:sz w:val="20"/>
                    </w:rPr>
                    <w:t>Principales constatations des résultats obtenus par le MPCU à partir de l’évaluation 2017-2022</w:t>
                  </w:r>
                </w:p>
                <w:p w14:paraId="3A39D037" w14:textId="04542AB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Le MPCU s’est adapté à l’évolution des pressions et des demandes et est parvenu à maintenir un taux de réponse élevé en dépit de l’augmentation des activations; </w:t>
                  </w:r>
                </w:p>
                <w:p w14:paraId="3083C301" w14:textId="26C83FF0" w:rsidR="00861E8F"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le MPCU a fait montre de flexibilité en s’adaptant à l’évolution des besoins sur le terrain et à des événements inattendus. Des réponses innovantes à des crises d’une nouvelle dimension ont été un facteur de réussite déterminant. </w:t>
                  </w:r>
                </w:p>
                <w:p w14:paraId="27510AB1" w14:textId="7777777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Le MPCU a consolidé ses volets «prévention» et «préparation», en renforçant leur rapport coût/efficacité; </w:t>
                  </w:r>
                </w:p>
                <w:p w14:paraId="6B13DD1F" w14:textId="51B41F3A"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il a contribué à renforcer la préparation aux catastrophes aux niveaux national et de l’UE;</w:t>
                  </w:r>
                </w:p>
                <w:p w14:paraId="7416F0A2" w14:textId="69FE9096"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il a aidé à améliorer la coopération entre les acteurs de la protection civile et les acteurs non traditionnels de la gestion des catastrophes;</w:t>
                  </w:r>
                </w:p>
                <w:p w14:paraId="2F1A7927" w14:textId="7777777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il a contribué à sensibiliser davantage aux catastrophes la communauté de la protection civile; </w:t>
                  </w:r>
                </w:p>
                <w:p w14:paraId="25A6A237" w14:textId="5A26372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la cartographie des risques réalisée au moyen de la vue d’ensemble des risques à l’échelle de l’UE a permis de renforcer la prévention des catastrophes, même si des difficultés subsistent en ce qui concerne la comparabilité et la disponibilité des données; </w:t>
                  </w:r>
                </w:p>
                <w:p w14:paraId="04A9D1AE" w14:textId="515942BC"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le MPCU a facilité la coopération transfrontière entre États membres de l’UE et États participants en matière de préparation aux catastrophes et de réaction à celles-ci;</w:t>
                  </w:r>
                </w:p>
                <w:p w14:paraId="052CC35C" w14:textId="307E6635" w:rsidR="00E971CB" w:rsidRPr="005E54C5" w:rsidRDefault="000F78F3" w:rsidP="005E54C5">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la DG ECHO et les autorités nationales de la protection civile sont confrontées à un manque de ressources et à une forte charge de travail.</w:t>
                  </w:r>
                </w:p>
              </w:txbxContent>
            </v:textbox>
            <w10:anchorlock/>
          </v:rect>
        </w:pict>
      </w:r>
    </w:p>
    <w:p w14:paraId="782C26EB" w14:textId="0F8F00B9" w:rsidR="003D30CE" w:rsidRPr="000C206C" w:rsidRDefault="4E5AD457" w:rsidP="00580D86">
      <w:pPr>
        <w:spacing w:line="240" w:lineRule="auto"/>
        <w:jc w:val="both"/>
        <w:rPr>
          <w:rFonts w:ascii="Times New Roman" w:hAnsi="Times New Roman" w:cs="Times New Roman"/>
          <w:noProof/>
          <w:sz w:val="24"/>
          <w:szCs w:val="24"/>
        </w:rPr>
      </w:pPr>
      <w:r>
        <w:rPr>
          <w:rFonts w:ascii="Times New Roman" w:hAnsi="Times New Roman"/>
          <w:noProof/>
          <w:sz w:val="24"/>
        </w:rPr>
        <w:t>Qui plus est, l’évaluation a montré que l’évolution des risques et du profil des menaces a mis à rude épreuve le MPCU. Cette vision est partagée par le Conseil européen, qui prône un système européen de gestion des crises élargi. Plusieurs conclusions du Conseil des années 2023</w:t>
      </w:r>
      <w:r w:rsidR="00191E93" w:rsidRPr="000C206C">
        <w:rPr>
          <w:rFonts w:ascii="Times New Roman" w:hAnsi="Times New Roman" w:cs="Times New Roman"/>
          <w:noProof/>
          <w:sz w:val="24"/>
          <w:szCs w:val="24"/>
          <w:vertAlign w:val="superscript"/>
          <w:lang w:val="en-IE"/>
        </w:rPr>
        <w:footnoteReference w:id="13"/>
      </w:r>
      <w:r>
        <w:rPr>
          <w:rFonts w:ascii="Times New Roman" w:hAnsi="Times New Roman"/>
          <w:noProof/>
          <w:sz w:val="24"/>
        </w:rPr>
        <w:t xml:space="preserve"> et 2024</w:t>
      </w:r>
      <w:r w:rsidR="005C4D01" w:rsidRPr="000C206C">
        <w:rPr>
          <w:rStyle w:val="FootnoteReference"/>
          <w:rFonts w:ascii="Times New Roman" w:hAnsi="Times New Roman" w:cs="Times New Roman"/>
          <w:noProof/>
          <w:sz w:val="24"/>
          <w:szCs w:val="24"/>
          <w:lang w:val="en-IE"/>
        </w:rPr>
        <w:footnoteReference w:id="14"/>
      </w:r>
      <w:r>
        <w:rPr>
          <w:rFonts w:ascii="Times New Roman" w:hAnsi="Times New Roman"/>
          <w:noProof/>
          <w:sz w:val="24"/>
        </w:rPr>
        <w:t xml:space="preserve"> prennent acte des défis posés par les crises de nature transsectorielle et transfrontière, ainsi que par les catastrophes naturelles et d’origine humaine, qui sont, de surcroît, exacerbées par l’intensification prévue des aléas climatiques. </w:t>
      </w:r>
    </w:p>
    <w:p w14:paraId="5C1AAEA8" w14:textId="2F0F4896" w:rsidR="0012279B" w:rsidRPr="000C206C" w:rsidRDefault="00E641C1" w:rsidP="00580D86">
      <w:pPr>
        <w:spacing w:line="240" w:lineRule="auto"/>
        <w:jc w:val="both"/>
        <w:rPr>
          <w:rFonts w:ascii="Times New Roman" w:hAnsi="Times New Roman" w:cs="Times New Roman"/>
          <w:noProof/>
          <w:sz w:val="24"/>
          <w:szCs w:val="24"/>
        </w:rPr>
      </w:pPr>
      <w:r>
        <w:rPr>
          <w:rFonts w:ascii="Times New Roman" w:hAnsi="Times New Roman"/>
          <w:noProof/>
          <w:sz w:val="24"/>
        </w:rPr>
        <w:t>De manière générale, l’accent est mis sur le renforcement de la résilience européenne dans des domaines stratégiques dans le cadre d’une approche «tous risques» de la préparation et de la réaction recourant aux mécanismes pertinents, dont le MPCU. De plus, la capacité à préserver les fonctions sociétales repose sur la volonté des États membres d’intégrer systématiquement l’approche «tous risques» dans l’ensemble des politiques concernées, ce qui garantit une résilience dès la conception («resilience by design»)</w:t>
      </w:r>
      <w:r w:rsidR="008E2A3F">
        <w:rPr>
          <w:rStyle w:val="FootnoteReference"/>
          <w:rFonts w:ascii="Times New Roman" w:hAnsi="Times New Roman" w:cs="Times New Roman"/>
          <w:noProof/>
          <w:sz w:val="24"/>
          <w:szCs w:val="24"/>
        </w:rPr>
        <w:footnoteReference w:id="15"/>
      </w:r>
      <w:r>
        <w:rPr>
          <w:rFonts w:ascii="Times New Roman" w:hAnsi="Times New Roman"/>
          <w:noProof/>
          <w:sz w:val="24"/>
        </w:rPr>
        <w:t>. La première ligne de défense en matière de gestion des risques réside dans des mesures susceptibles de réduire les vulnérabilités et de limiter l’exposition humaine</w:t>
      </w:r>
      <w:r w:rsidR="000852CB">
        <w:rPr>
          <w:rStyle w:val="FootnoteReference"/>
          <w:rFonts w:ascii="Times New Roman" w:hAnsi="Times New Roman" w:cs="Times New Roman"/>
          <w:noProof/>
          <w:sz w:val="24"/>
          <w:szCs w:val="24"/>
        </w:rPr>
        <w:footnoteReference w:id="16"/>
      </w:r>
      <w:r>
        <w:rPr>
          <w:rFonts w:ascii="Times New Roman" w:hAnsi="Times New Roman"/>
          <w:noProof/>
          <w:sz w:val="24"/>
        </w:rPr>
        <w:t xml:space="preserve">. Dans ce contexte, les efforts consentis en matière d’adaptation au changement climatique et d’atténuation de ses effets sont déterminants pour renforcer la résilience de l’UE et sa capacité de réaction aux crises. Compte tenu de cette orientation politique, il est désormais essentiel de veiller à préserver durablement le fonctionnement du modèle actuel de gestion des situations d’urgence du MPCU. Parallèlement, face aux nouveaux aléas et risques, il est manifestement nécessaire de continuer à doter le MPCU d’une approche «tous risques» plus inclusive dans une architecture européenne de gestion des crises élargie. </w:t>
      </w:r>
    </w:p>
    <w:p w14:paraId="4293B974" w14:textId="4624D291" w:rsidR="67BDC322" w:rsidRPr="000C206C" w:rsidRDefault="26809042" w:rsidP="00580D86">
      <w:pPr>
        <w:spacing w:line="240" w:lineRule="auto"/>
        <w:jc w:val="both"/>
        <w:rPr>
          <w:rFonts w:ascii="Times New Roman" w:hAnsi="Times New Roman" w:cs="Times New Roman"/>
          <w:noProof/>
          <w:sz w:val="24"/>
          <w:szCs w:val="24"/>
        </w:rPr>
      </w:pPr>
      <w:r>
        <w:rPr>
          <w:rFonts w:ascii="Times New Roman" w:hAnsi="Times New Roman"/>
          <w:noProof/>
          <w:sz w:val="24"/>
        </w:rPr>
        <w:t>Dans le même ordre d’idées, l’avis scientifique indépendant sur la gestion stratégique des crises dans l’UE adressé à l’UE par le groupe des conseillers scientifiques principaux</w:t>
      </w:r>
      <w:r w:rsidR="00A960E5" w:rsidRPr="000C206C">
        <w:rPr>
          <w:rStyle w:val="FootnoteReference"/>
          <w:rFonts w:ascii="Times New Roman" w:hAnsi="Times New Roman" w:cs="Times New Roman"/>
          <w:noProof/>
          <w:sz w:val="24"/>
          <w:szCs w:val="24"/>
        </w:rPr>
        <w:footnoteReference w:id="17"/>
      </w:r>
      <w:r w:rsidR="14B4ED1A" w:rsidRPr="000C206C">
        <w:rPr>
          <w:rStyle w:val="FootnoteReference"/>
          <w:rFonts w:ascii="Times New Roman" w:hAnsi="Times New Roman" w:cs="Times New Roman"/>
          <w:noProof/>
          <w:sz w:val="24"/>
          <w:szCs w:val="24"/>
        </w:rPr>
        <w:t xml:space="preserve"> </w:t>
      </w:r>
      <w:r>
        <w:rPr>
          <w:rStyle w:val="FootnoteReference"/>
          <w:rFonts w:ascii="Times New Roman" w:hAnsi="Times New Roman"/>
          <w:noProof/>
          <w:sz w:val="24"/>
        </w:rPr>
        <w:t xml:space="preserve"> </w:t>
      </w:r>
      <w:r>
        <w:rPr>
          <w:rFonts w:ascii="Times New Roman" w:hAnsi="Times New Roman"/>
          <w:noProof/>
          <w:sz w:val="24"/>
        </w:rPr>
        <w:t>a conclu qu’une gestion efficiente de la crise passait par le renforcement de la gouvernance de l’UE, la consolidation de la résilience des infrastructures, l’optimisation des ressources financières, la promotion de la collaboration sociétale et la mise à disposition de données pour une communication efficace.</w:t>
      </w:r>
    </w:p>
    <w:p w14:paraId="2C9F8F33" w14:textId="76FF8723" w:rsidR="00B42C74" w:rsidRDefault="00B01586" w:rsidP="1A112CA3">
      <w:pPr>
        <w:spacing w:line="276" w:lineRule="auto"/>
        <w:jc w:val="both"/>
        <w:rPr>
          <w:rFonts w:ascii="Times New Roman" w:hAnsi="Times New Roman" w:cs="Times New Roman"/>
          <w:noProof/>
          <w:sz w:val="24"/>
          <w:szCs w:val="24"/>
        </w:rPr>
      </w:pPr>
      <w:r>
        <w:rPr>
          <w:noProof/>
        </w:rPr>
      </w:r>
      <w:r>
        <w:rPr>
          <w:noProof/>
        </w:rPr>
        <w:pict w14:anchorId="4445B8B2">
          <v:rect id="Rectangle 1359430217" o:spid="_x0000_s2055" style="width:451.5pt;height:221.75pt;visibility:visible;mso-left-percent:-10001;mso-top-percent:-10001;mso-position-horizontal:absolute;mso-position-horizontal-relative:char;mso-position-vertical:absolute;mso-position-vertical-relative:line;mso-left-percent:-10001;mso-top-percent:-10001;v-text-anchor:middle" fillcolor="white [3201]">
            <v:textbox>
              <w:txbxContent>
                <w:p w14:paraId="41CB6998" w14:textId="3A6D87DA" w:rsidR="00720DC2" w:rsidRPr="00E971CB" w:rsidRDefault="00720DC2" w:rsidP="00E971CB">
                  <w:pPr>
                    <w:pStyle w:val="BodyText1"/>
                    <w:rPr>
                      <w:rFonts w:ascii="Times New Roman" w:hAnsi="Times New Roman"/>
                      <w:b/>
                      <w:bCs/>
                      <w:i/>
                      <w:iCs/>
                      <w:sz w:val="20"/>
                      <w:szCs w:val="20"/>
                      <w14:ligatures w14:val="none"/>
                    </w:rPr>
                  </w:pPr>
                  <w:r>
                    <w:rPr>
                      <w:rFonts w:ascii="Times New Roman" w:hAnsi="Times New Roman"/>
                      <w:b/>
                      <w:i/>
                      <w:sz w:val="20"/>
                    </w:rPr>
                    <w:t>Gestion stratégique des crises dans l’UE: améliorer la prévention des crises dans l’UE, la préparation et la réaction à celles-ci, ainsi que la résilience face à elles</w:t>
                  </w:r>
                </w:p>
                <w:p w14:paraId="339EB965" w14:textId="0A4AAF00" w:rsidR="00720DC2" w:rsidRPr="00E971CB" w:rsidRDefault="001856B4" w:rsidP="008B4261">
                  <w:pPr>
                    <w:pStyle w:val="BodyText1"/>
                    <w:spacing w:before="0" w:after="160" w:line="280" w:lineRule="exact"/>
                    <w:rPr>
                      <w:rFonts w:ascii="Times New Roman" w:hAnsi="Times New Roman"/>
                      <w:sz w:val="20"/>
                      <w:szCs w:val="20"/>
                    </w:rPr>
                  </w:pPr>
                  <w:r>
                    <w:rPr>
                      <w:rFonts w:ascii="Times New Roman" w:hAnsi="Times New Roman"/>
                      <w:sz w:val="20"/>
                    </w:rPr>
                    <w:t>Selon l’avis scientifique indépendant sur la gestion stratégique des crises dans l’UE adressé au collège des commissaires européens par le groupe des conseillers scientifiques principaux, l’UE devrait:</w:t>
                  </w:r>
                </w:p>
                <w:p w14:paraId="6B3B34FA" w14:textId="77777777" w:rsidR="00720DC2"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élaborer une feuille de route visant à créer des synergies entre la législation et les instruments existants; </w:t>
                  </w:r>
                </w:p>
                <w:p w14:paraId="6379B787" w14:textId="77777777" w:rsidR="000C206C"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réagir aux situations de crise en cascade et transfrontières en renforçant la gouvernance européenne en matière de gestion stratégique des crises; </w:t>
                  </w:r>
                </w:p>
                <w:p w14:paraId="627C29B3" w14:textId="5FD0AC95" w:rsidR="00720DC2"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renforcer la résilience des infrastructures critiques face aux effets en cascade; </w:t>
                  </w:r>
                </w:p>
                <w:p w14:paraId="61F6A4DA" w14:textId="77777777" w:rsidR="00E971CB"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rendre les instruments financiers et les ressources de l’UE plus évolutifs, plus rapidement déployables et plus efficaces;</w:t>
                  </w:r>
                </w:p>
                <w:p w14:paraId="57BAC246" w14:textId="77777777" w:rsidR="00E971CB"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collaborer étroitement avec la société afin de gérer efficacement les crises; et </w:t>
                  </w:r>
                </w:p>
                <w:p w14:paraId="6A955EB2" w14:textId="2F9DE72F" w:rsidR="00720DC2"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fournir des données interopérables de haute qualité et des informations faciles à communiquer dans le cadre de la gestion des crises.  </w:t>
                  </w:r>
                </w:p>
              </w:txbxContent>
            </v:textbox>
            <w10:anchorlock/>
          </v:rect>
        </w:pict>
      </w:r>
    </w:p>
    <w:p w14:paraId="525C02CA" w14:textId="1385DD37" w:rsidR="001B079B" w:rsidRDefault="008F051C" w:rsidP="00580D86">
      <w:pPr>
        <w:spacing w:line="240" w:lineRule="auto"/>
        <w:jc w:val="both"/>
        <w:rPr>
          <w:rFonts w:ascii="Times New Roman" w:hAnsi="Times New Roman" w:cs="Times New Roman"/>
          <w:noProof/>
          <w:sz w:val="24"/>
          <w:szCs w:val="24"/>
        </w:rPr>
      </w:pPr>
      <w:r>
        <w:rPr>
          <w:rFonts w:ascii="Times New Roman" w:hAnsi="Times New Roman"/>
          <w:noProof/>
          <w:sz w:val="24"/>
        </w:rPr>
        <w:t>En plus du besoin manifeste de renforcer la résilience européenne face aux chocs au niveau politique, neuf Européens sur dix pensent qu’il est important que l’UE contribue à coordonner la réaction aux catastrophes dans l’UE et au-delà</w:t>
      </w:r>
      <w:r w:rsidR="00876384" w:rsidRPr="00E971CB">
        <w:rPr>
          <w:rStyle w:val="FootnoteReference"/>
          <w:rFonts w:ascii="Times New Roman" w:hAnsi="Times New Roman" w:cs="Times New Roman"/>
          <w:noProof/>
          <w:sz w:val="24"/>
          <w:szCs w:val="24"/>
          <w:lang w:val="en-IE"/>
        </w:rPr>
        <w:footnoteReference w:id="18"/>
      </w:r>
      <w:r>
        <w:rPr>
          <w:rFonts w:ascii="Times New Roman" w:hAnsi="Times New Roman"/>
          <w:noProof/>
          <w:sz w:val="24"/>
        </w:rPr>
        <w:t xml:space="preserve">. En outre, 94 % des citoyens européens sont d’avis que si une catastrophe survient dans un pays membre de l’UE et que l’importance de cette catastrophe est telle que le pays en question ne peut y faire face seul, alors d’autres pays de l’UE devraient lui porter secours. </w:t>
      </w:r>
    </w:p>
    <w:p w14:paraId="5262F91A" w14:textId="0242AA1F" w:rsidR="00C6693A" w:rsidRPr="009A7345" w:rsidRDefault="00A21682" w:rsidP="00580D86">
      <w:pPr>
        <w:pStyle w:val="Heading1"/>
        <w:numPr>
          <w:ilvl w:val="0"/>
          <w:numId w:val="31"/>
        </w:numPr>
        <w:spacing w:before="0" w:after="240" w:line="240" w:lineRule="auto"/>
        <w:ind w:left="426"/>
        <w:rPr>
          <w:rFonts w:ascii="Times New Roman" w:hAnsi="Times New Roman" w:cs="Times New Roman"/>
          <w:b/>
          <w:bCs/>
          <w:noProof/>
          <w:color w:val="auto"/>
          <w:sz w:val="24"/>
          <w:szCs w:val="24"/>
        </w:rPr>
      </w:pPr>
      <w:bookmarkStart w:id="29" w:name="_Toc162523501"/>
      <w:bookmarkStart w:id="30" w:name="_Toc166664227"/>
      <w:bookmarkEnd w:id="29"/>
      <w:r>
        <w:rPr>
          <w:rFonts w:ascii="Times New Roman" w:hAnsi="Times New Roman"/>
          <w:b/>
          <w:noProof/>
          <w:color w:val="auto"/>
          <w:sz w:val="24"/>
        </w:rPr>
        <w:t>Perspectives – Tirer les leçons du passé pour renforcer la capacité de l’UE à faire face aux crises</w:t>
      </w:r>
      <w:bookmarkEnd w:id="30"/>
    </w:p>
    <w:p w14:paraId="7948DAF8" w14:textId="39963F4C" w:rsidR="00B64DDE" w:rsidRPr="00C0357A" w:rsidRDefault="003C3AD8" w:rsidP="00E971CB">
      <w:pPr>
        <w:autoSpaceDE w:val="0"/>
        <w:autoSpaceDN w:val="0"/>
        <w:spacing w:line="240" w:lineRule="auto"/>
        <w:jc w:val="both"/>
        <w:rPr>
          <w:rFonts w:ascii="Times New Roman" w:hAnsi="Times New Roman" w:cs="Times New Roman"/>
          <w:strike/>
          <w:noProof/>
          <w:sz w:val="24"/>
          <w:szCs w:val="24"/>
        </w:rPr>
      </w:pPr>
      <w:r>
        <w:rPr>
          <w:rFonts w:ascii="Times New Roman" w:hAnsi="Times New Roman"/>
          <w:noProof/>
          <w:sz w:val="24"/>
        </w:rPr>
        <w:t xml:space="preserve">Les dommages causés par des événements catastrophiques augmentent considérablement, tandis que la capacité globale à absorber et à surmonter de tels chocs est limitée. Il importe, dès lors, pour l’UE de faire en sorte que l’approche européenne de la gestion des crises soit à l’épreuve du temps. Cela passe nécessairement par un MPCU renforcé à même de s’adapter à un paysage des risques en constante évolution. Pour ce faire, la Commission a élaboré cinq recommandations stratégiques. </w:t>
      </w:r>
    </w:p>
    <w:p w14:paraId="7D6C2234" w14:textId="4E09EBB6" w:rsidR="00C5526C" w:rsidRPr="009A7345" w:rsidRDefault="00C5526C" w:rsidP="00580D86">
      <w:pPr>
        <w:spacing w:before="240" w:after="240" w:line="240" w:lineRule="auto"/>
        <w:jc w:val="both"/>
        <w:rPr>
          <w:rFonts w:ascii="Times New Roman" w:hAnsi="Times New Roman" w:cs="Times New Roman"/>
          <w:i/>
          <w:iCs/>
          <w:noProof/>
          <w:sz w:val="24"/>
          <w:szCs w:val="24"/>
        </w:rPr>
      </w:pPr>
      <w:r>
        <w:rPr>
          <w:rFonts w:ascii="Times New Roman" w:hAnsi="Times New Roman"/>
          <w:b/>
          <w:i/>
          <w:noProof/>
          <w:sz w:val="24"/>
        </w:rPr>
        <w:t>Recommandation nº 1: renforcer les capacités du MPCU en matière de réponse opérationnelle</w:t>
      </w:r>
    </w:p>
    <w:p w14:paraId="3B036F3E" w14:textId="77777777" w:rsidR="008973FF" w:rsidRDefault="00F024F8" w:rsidP="00E971CB">
      <w:pPr>
        <w:pStyle w:val="Bullet1"/>
        <w:numPr>
          <w:ilvl w:val="0"/>
          <w:numId w:val="0"/>
        </w:numPr>
        <w:spacing w:before="0" w:after="160" w:line="240" w:lineRule="auto"/>
        <w:jc w:val="both"/>
        <w:rPr>
          <w:rFonts w:ascii="Times New Roman" w:hAnsi="Times New Roman" w:cs="Times New Roman"/>
          <w:noProof/>
          <w:sz w:val="24"/>
          <w:szCs w:val="24"/>
        </w:rPr>
      </w:pPr>
      <w:r>
        <w:rPr>
          <w:rFonts w:ascii="Times New Roman" w:hAnsi="Times New Roman"/>
          <w:noProof/>
          <w:sz w:val="24"/>
        </w:rPr>
        <w:t xml:space="preserve">La réussite du MPCU repose essentiellement sur les capacités des États membres. Il convient de consolider encore ce socle, tout en promouvant l’approfondissement de la coopération au sein de la réserve européenne de protection civile et de rescEU. Il est fondamental de doter la réserve européenne de protection civile et rescEU de moyens leur permettant de faire face efficacement aux risques transfrontières de grande ampleur à venir. </w:t>
      </w:r>
    </w:p>
    <w:p w14:paraId="3D8FA12A" w14:textId="77777777" w:rsidR="008973FF" w:rsidRDefault="008973FF" w:rsidP="00E971CB">
      <w:pPr>
        <w:pStyle w:val="Bullet1"/>
        <w:numPr>
          <w:ilvl w:val="0"/>
          <w:numId w:val="0"/>
        </w:numPr>
        <w:spacing w:before="0" w:after="160" w:line="240" w:lineRule="auto"/>
        <w:jc w:val="both"/>
        <w:rPr>
          <w:rFonts w:ascii="Times New Roman" w:hAnsi="Times New Roman" w:cs="Times New Roman"/>
          <w:noProof/>
          <w:sz w:val="24"/>
          <w:szCs w:val="24"/>
        </w:rPr>
      </w:pPr>
    </w:p>
    <w:p w14:paraId="77241C4C" w14:textId="78605E22" w:rsidR="00310755" w:rsidRDefault="00836F9D" w:rsidP="00E971CB">
      <w:pPr>
        <w:pStyle w:val="Bullet1"/>
        <w:numPr>
          <w:ilvl w:val="0"/>
          <w:numId w:val="0"/>
        </w:numPr>
        <w:spacing w:before="0" w:afterLines="160" w:after="384" w:line="240" w:lineRule="auto"/>
        <w:jc w:val="both"/>
        <w:rPr>
          <w:rFonts w:ascii="Times New Roman" w:hAnsi="Times New Roman" w:cs="Times New Roman"/>
          <w:noProof/>
          <w:sz w:val="24"/>
          <w:szCs w:val="24"/>
          <w:highlight w:val="green"/>
        </w:rPr>
      </w:pPr>
      <w:r>
        <w:rPr>
          <w:rFonts w:ascii="Times New Roman" w:hAnsi="Times New Roman"/>
          <w:noProof/>
          <w:sz w:val="24"/>
        </w:rPr>
        <w:t>Les capacités du MPCU devraient être renforcées en tenant compte des lacunes recensées dans le cadre de l’analyse d’un scénario commun et de l’évaluation globale des besoins au niveau européen, tout en considérant le lien entre protection civile et sécurité et les besoins futurs d’interopérabilité en la matière comme une orientation stratégique importante pour l’avenir. Dans les secteurs où des besoins et des risques communs ont été inventoriés, l’expansion de rescEU est la solution alternative la plus efficace au regard des coûts, de même qu’une manifestation énergique de la solidarité européenne et de l’engagement de l’UE en faveur d’une résilience et d’une réponse collectives.</w:t>
      </w:r>
      <w:r>
        <w:rPr>
          <w:rFonts w:ascii="Times New Roman" w:hAnsi="Times New Roman"/>
          <w:noProof/>
          <w:sz w:val="24"/>
          <w:highlight w:val="green"/>
        </w:rPr>
        <w:t xml:space="preserve"> </w:t>
      </w:r>
    </w:p>
    <w:p w14:paraId="24C42081" w14:textId="446912F6" w:rsidR="000F48B2" w:rsidRDefault="000F48B2" w:rsidP="00E971CB">
      <w:pPr>
        <w:pStyle w:val="Bullet1"/>
        <w:numPr>
          <w:ilvl w:val="0"/>
          <w:numId w:val="0"/>
        </w:numPr>
        <w:spacing w:before="0" w:afterLines="160" w:after="384" w:line="240" w:lineRule="auto"/>
        <w:jc w:val="both"/>
        <w:rPr>
          <w:rFonts w:ascii="Times New Roman" w:hAnsi="Times New Roman" w:cs="Times New Roman"/>
          <w:noProof/>
          <w:sz w:val="24"/>
          <w:szCs w:val="24"/>
          <w:highlight w:val="green"/>
        </w:rPr>
      </w:pPr>
    </w:p>
    <w:p w14:paraId="51C914B3" w14:textId="2C2CF4F8" w:rsidR="227751E4" w:rsidRPr="00B203B2" w:rsidRDefault="00B96E4B" w:rsidP="00E971CB">
      <w:pPr>
        <w:pStyle w:val="Bullet1"/>
        <w:numPr>
          <w:ilvl w:val="0"/>
          <w:numId w:val="0"/>
        </w:numPr>
        <w:spacing w:before="0" w:afterLines="160" w:after="384" w:line="240" w:lineRule="auto"/>
        <w:jc w:val="both"/>
        <w:rPr>
          <w:rFonts w:ascii="Times New Roman" w:hAnsi="Times New Roman" w:cs="Times New Roman"/>
          <w:noProof/>
          <w:sz w:val="24"/>
          <w:szCs w:val="24"/>
        </w:rPr>
      </w:pPr>
      <w:r>
        <w:rPr>
          <w:rFonts w:ascii="Times New Roman" w:hAnsi="Times New Roman"/>
          <w:noProof/>
          <w:sz w:val="24"/>
        </w:rPr>
        <w:t xml:space="preserve">Qui plus est, le MPCU doit être en mesure de s’adapter en permanence à l’évolution des technologies et de jouer un rôle moteur dans l’élaboration et la promotion d’outils et d’instruments de réaction aux catastrophes qui soient à la fois efficaces et efficients.  </w:t>
      </w:r>
    </w:p>
    <w:p w14:paraId="72128FA3" w14:textId="0E4C940F" w:rsidR="227751E4" w:rsidRPr="009A7345" w:rsidRDefault="6BE39C62" w:rsidP="00580D86">
      <w:pPr>
        <w:spacing w:before="240" w:after="240" w:line="240" w:lineRule="auto"/>
        <w:jc w:val="both"/>
        <w:rPr>
          <w:rFonts w:ascii="Times New Roman" w:hAnsi="Times New Roman" w:cs="Times New Roman"/>
          <w:b/>
          <w:bCs/>
          <w:i/>
          <w:iCs/>
          <w:noProof/>
          <w:sz w:val="24"/>
          <w:szCs w:val="24"/>
        </w:rPr>
      </w:pPr>
      <w:r>
        <w:rPr>
          <w:rFonts w:ascii="Times New Roman" w:hAnsi="Times New Roman"/>
          <w:b/>
          <w:i/>
          <w:noProof/>
          <w:sz w:val="24"/>
        </w:rPr>
        <w:t xml:space="preserve">Recommandation nº 2: renforcer la prévention et la préparation de l’UE au moyen d’une coordination intersectorielle, d’une approche «tous risques» et d’un solide centre de coordination de la réaction d’urgence </w:t>
      </w:r>
    </w:p>
    <w:p w14:paraId="0503AFBB" w14:textId="4B14789A" w:rsidR="00E5393F" w:rsidRDefault="3DE00266" w:rsidP="00E971CB">
      <w:pPr>
        <w:spacing w:line="240" w:lineRule="auto"/>
        <w:jc w:val="both"/>
        <w:rPr>
          <w:rFonts w:ascii="Times New Roman" w:hAnsi="Times New Roman" w:cs="Times New Roman"/>
          <w:noProof/>
          <w:sz w:val="24"/>
          <w:szCs w:val="24"/>
        </w:rPr>
      </w:pPr>
      <w:r>
        <w:rPr>
          <w:rFonts w:ascii="Times New Roman" w:hAnsi="Times New Roman"/>
          <w:noProof/>
          <w:sz w:val="24"/>
        </w:rPr>
        <w:t>Il est impératif que l’ensemble des parties prenantes participent pleinement à tous les stades de la prévention des catastrophes ainsi que de la préparation et de la réaction à celles-ci dans le cadre d’une approche «tous risques» s’adressant à toutes les composantes de la société. L’ERCC a fait la preuve qu’il était capable de travailler en étroite concertation avec différents services lors de situations d’urgence et de crises complexes (notamment dans des domaines tels que les menaces CBRN, les opérations civilo-militaires, les cyberattaques, les menaces hybrides et sanitaires, le soutien logistique aux opérations d’assistance consulaire, et le changement climatique). Sa fragmentation en de nouvelles structures de réponse sectorielles ne serait guère propice au traitement de scénarios complexes et devrait donc être évitée. Le fait d’élever l’ERCC au rang de plateforme transsectorielle de crise de la Commission aurait pour effet de réunir l’expertise sectorielle de divers domaines d’action et de garantir une cohérence et une efficacité opérationnelles globales dans le cadre d’un système de réaction en cas de crise de l’UE mieux intégré.</w:t>
      </w:r>
    </w:p>
    <w:p w14:paraId="29E66848" w14:textId="6147B7DC" w:rsidR="00652E7C" w:rsidRPr="00C16671" w:rsidRDefault="00ED5B03" w:rsidP="00E971CB">
      <w:pPr>
        <w:spacing w:line="240" w:lineRule="auto"/>
        <w:jc w:val="both"/>
        <w:rPr>
          <w:rFonts w:ascii="Times New Roman" w:hAnsi="Times New Roman" w:cs="Times New Roman"/>
          <w:noProof/>
          <w:sz w:val="24"/>
          <w:szCs w:val="24"/>
        </w:rPr>
      </w:pPr>
      <w:r>
        <w:rPr>
          <w:rFonts w:ascii="Times New Roman" w:hAnsi="Times New Roman"/>
          <w:noProof/>
          <w:sz w:val="24"/>
        </w:rPr>
        <w:t>Il importe par conséquent de veiller à ce que l’ensemble des processus de l’UE et des processus nationaux soient alignés</w:t>
      </w:r>
      <w:r w:rsidR="00FA455E">
        <w:rPr>
          <w:rStyle w:val="FootnoteReference"/>
          <w:rFonts w:ascii="Times New Roman" w:hAnsi="Times New Roman" w:cs="Times New Roman"/>
          <w:noProof/>
          <w:sz w:val="24"/>
          <w:szCs w:val="24"/>
        </w:rPr>
        <w:footnoteReference w:id="19"/>
      </w:r>
      <w:r>
        <w:rPr>
          <w:rFonts w:ascii="Times New Roman" w:hAnsi="Times New Roman"/>
          <w:noProof/>
          <w:sz w:val="24"/>
        </w:rPr>
        <w:t xml:space="preserve"> de manière à garantir une résilience dès la conception. Le pilier «prévention» du MPCU demande à être mieux articulé avec d’autres politiques et programmes de l’UE susceptibles d’influer sur la résilience sociétale. </w:t>
      </w:r>
    </w:p>
    <w:p w14:paraId="0995D4C6" w14:textId="126CF50C" w:rsidR="00C1118D" w:rsidRDefault="00214C86" w:rsidP="00E971CB">
      <w:pPr>
        <w:spacing w:line="240" w:lineRule="auto"/>
        <w:jc w:val="both"/>
        <w:rPr>
          <w:rFonts w:ascii="Times New Roman" w:hAnsi="Times New Roman" w:cs="Times New Roman"/>
          <w:noProof/>
          <w:sz w:val="24"/>
          <w:szCs w:val="24"/>
        </w:rPr>
      </w:pPr>
      <w:r>
        <w:rPr>
          <w:rFonts w:ascii="Times New Roman" w:hAnsi="Times New Roman"/>
          <w:noProof/>
          <w:sz w:val="24"/>
        </w:rPr>
        <w:t xml:space="preserve">De plus, le fait de réagir à des catastrophes civiles avec des moyens relevant de la sécurité ou de la défense nécessite une coordination systématique entre autorités civiles, de la sécurité et de la défense à tous les stades du cycle de gestion des catastrophes. Les préparations civiles et militaires devraient être complémentaires les unes des autres et concerner l’ensemble de la société. L’ERCC devrait intensifier sa coopération avec l’OTAN, le SEAE et les Nations unies (OCHA), afin de faciliter le bon déroulement des opérations de réaction dans les situations d’urgence climatique ou les scénarios de conflit. Cela vaut aussi pour les échanges avec certaines organisations internationales et certains pays qui possèdent une connaissance spécialisée et des capacités essentielles pour la gestion des catastrophes de grande ampleur. </w:t>
      </w:r>
    </w:p>
    <w:p w14:paraId="6E5044AF" w14:textId="10A074BA" w:rsidR="005248B8" w:rsidRPr="00C239E8" w:rsidRDefault="001A627E" w:rsidP="00E971CB">
      <w:pPr>
        <w:spacing w:line="240" w:lineRule="auto"/>
        <w:jc w:val="both"/>
        <w:rPr>
          <w:rFonts w:ascii="Times New Roman" w:hAnsi="Times New Roman" w:cs="Times New Roman"/>
          <w:noProof/>
          <w:sz w:val="24"/>
          <w:szCs w:val="24"/>
        </w:rPr>
      </w:pPr>
      <w:r>
        <w:rPr>
          <w:rFonts w:ascii="Times New Roman" w:hAnsi="Times New Roman"/>
          <w:noProof/>
          <w:sz w:val="24"/>
        </w:rPr>
        <w:t>En outre, des efforts supplémentaires devraient être consentis pour renforcer la participation du secteur privé au niveau de l’UE dans des missions de protection civile spécialisées liées à la prévention, à la préparation et à la réaction. Il y a lieu dès lors de passer des accords de coopération stratégique avec les entités privées compétentes dans un cadre bien défini.</w:t>
      </w:r>
    </w:p>
    <w:p w14:paraId="7504694B" w14:textId="0FCD7467" w:rsidR="006871A5" w:rsidRPr="00580D86" w:rsidRDefault="006871A5" w:rsidP="00580D86">
      <w:pPr>
        <w:spacing w:before="240" w:after="240" w:line="240" w:lineRule="auto"/>
        <w:jc w:val="both"/>
        <w:rPr>
          <w:rFonts w:ascii="Times New Roman" w:hAnsi="Times New Roman" w:cs="Times New Roman"/>
          <w:b/>
          <w:bCs/>
          <w:i/>
          <w:iCs/>
          <w:noProof/>
          <w:sz w:val="24"/>
          <w:szCs w:val="24"/>
        </w:rPr>
      </w:pPr>
      <w:r>
        <w:rPr>
          <w:rFonts w:ascii="Times New Roman" w:hAnsi="Times New Roman"/>
          <w:b/>
          <w:i/>
          <w:noProof/>
          <w:sz w:val="24"/>
        </w:rPr>
        <w:t>Recommandation nº 3: rationaliser le partage des connaissances et de l’expertise en matière de recensement des risques et d’alerte précoce</w:t>
      </w:r>
    </w:p>
    <w:p w14:paraId="1DB09608" w14:textId="6B6395AB" w:rsidR="00C7125C" w:rsidRPr="00E971CB" w:rsidRDefault="00146E95" w:rsidP="00E971CB">
      <w:pPr>
        <w:spacing w:line="240" w:lineRule="auto"/>
        <w:jc w:val="both"/>
        <w:rPr>
          <w:rFonts w:ascii="Times New Roman" w:hAnsi="Times New Roman" w:cs="Times New Roman"/>
          <w:noProof/>
          <w:sz w:val="24"/>
          <w:szCs w:val="24"/>
        </w:rPr>
      </w:pPr>
      <w:r>
        <w:rPr>
          <w:rFonts w:ascii="Times New Roman" w:hAnsi="Times New Roman"/>
          <w:noProof/>
          <w:sz w:val="24"/>
        </w:rPr>
        <w:t>Les catastrophes à l’échelle de l’Union, transfrontières, plurinationales et transsectorielles doivent accéder à un rang plus élevé dans les évaluations européennes et nationales des risques pertinentes. Cela peut passer par une analyse plus approfondie des facteurs sous-jacents de risques et de menaces émergentes, une mobilisation des ressources existantes dans les différents secteurs, tant au niveau de l’UE qu’au niveau national, et une utilisation des connaissances et de l’expertise de tierces parties. Cela pourrait se traduire par une vue d’ensemble des risques à l’échelle de l’UE plus globale, reliant l’ensemble des secteurs</w:t>
      </w:r>
      <w:r w:rsidR="001037A3">
        <w:rPr>
          <w:rStyle w:val="FootnoteReference"/>
          <w:rFonts w:ascii="Times New Roman" w:hAnsi="Times New Roman" w:cs="Times New Roman"/>
          <w:noProof/>
          <w:sz w:val="24"/>
          <w:szCs w:val="24"/>
        </w:rPr>
        <w:footnoteReference w:id="20"/>
      </w:r>
      <w:r>
        <w:rPr>
          <w:rFonts w:ascii="Times New Roman" w:hAnsi="Times New Roman"/>
          <w:noProof/>
          <w:sz w:val="24"/>
        </w:rPr>
        <w:t xml:space="preserve">. </w:t>
      </w:r>
    </w:p>
    <w:p w14:paraId="68AB9D9C" w14:textId="0E277D51" w:rsidR="007B61FB" w:rsidRPr="00E971CB" w:rsidRDefault="007B61FB" w:rsidP="00E971CB">
      <w:pPr>
        <w:spacing w:line="240" w:lineRule="auto"/>
        <w:jc w:val="both"/>
        <w:rPr>
          <w:rFonts w:ascii="Times New Roman" w:hAnsi="Times New Roman" w:cs="Times New Roman"/>
          <w:noProof/>
          <w:sz w:val="24"/>
          <w:szCs w:val="24"/>
        </w:rPr>
      </w:pPr>
      <w:r>
        <w:rPr>
          <w:rFonts w:ascii="Times New Roman" w:hAnsi="Times New Roman"/>
          <w:noProof/>
          <w:sz w:val="24"/>
        </w:rPr>
        <w:t xml:space="preserve">En outre, les autorités nationales de la protection civile devraient partager davantage leurs connaissances, en particulier l’expertise hautement spécialisée concernant les catastrophes à faible probabilité d’occurrence mais à fort impact. Il est donc essentiel de renforcer le partage d’informations et l’interopérabilité des systèmes d’alerte précoce entre les États membres, en suivant une approche «tous risques». Le couple MPCU/ERCC est bien positionné pour coordonner ces efforts. </w:t>
      </w:r>
    </w:p>
    <w:p w14:paraId="4098810F" w14:textId="6671A646" w:rsidR="007C0CB7" w:rsidRPr="00E971CB" w:rsidRDefault="007B61FB" w:rsidP="00E971CB">
      <w:pPr>
        <w:spacing w:line="240" w:lineRule="auto"/>
        <w:jc w:val="both"/>
        <w:rPr>
          <w:rFonts w:ascii="Times New Roman" w:hAnsi="Times New Roman" w:cs="Times New Roman"/>
          <w:noProof/>
          <w:sz w:val="24"/>
          <w:szCs w:val="24"/>
        </w:rPr>
      </w:pPr>
      <w:r>
        <w:rPr>
          <w:rFonts w:ascii="Times New Roman" w:hAnsi="Times New Roman"/>
          <w:noProof/>
          <w:sz w:val="24"/>
        </w:rPr>
        <w:t xml:space="preserve">De plus, une structure européenne de gestion des catastrophes à la fois flexible et complète nécessite un échange de connaissances plus systématique à tous les niveaux. Le MPCU devrait être renforcé davantage pour relier les institutions scientifiques et les États membres et mettre ainsi des connaissances scientifiques à la disposition de l’ensemble des parties prenantes. </w:t>
      </w:r>
    </w:p>
    <w:p w14:paraId="7A5AB06A" w14:textId="076D0882" w:rsidR="00F646E1" w:rsidRPr="00E971CB" w:rsidRDefault="77D302FD" w:rsidP="00E971CB">
      <w:pPr>
        <w:spacing w:line="240" w:lineRule="auto"/>
        <w:jc w:val="both"/>
        <w:rPr>
          <w:rFonts w:ascii="Times New Roman" w:hAnsi="Times New Roman" w:cs="Times New Roman"/>
          <w:noProof/>
          <w:sz w:val="24"/>
          <w:szCs w:val="24"/>
        </w:rPr>
      </w:pPr>
      <w:r>
        <w:rPr>
          <w:rFonts w:ascii="Times New Roman" w:hAnsi="Times New Roman"/>
          <w:noProof/>
          <w:sz w:val="24"/>
        </w:rPr>
        <w:t xml:space="preserve">Le rôle de la Commission dans les efforts de communication en matière de crises et de risques de catastrophes devrait être complètement intégré dans les services afin d’apporter une valeur ajoutée aux États membres et aux citoyens européens. </w:t>
      </w:r>
    </w:p>
    <w:p w14:paraId="1E1606F4" w14:textId="752F8505" w:rsidR="001C61AF" w:rsidRPr="00580D86" w:rsidRDefault="001C61AF" w:rsidP="00580D86">
      <w:pPr>
        <w:spacing w:before="240" w:after="240" w:line="240" w:lineRule="auto"/>
        <w:jc w:val="both"/>
        <w:rPr>
          <w:rFonts w:ascii="Times New Roman" w:hAnsi="Times New Roman" w:cs="Times New Roman"/>
          <w:b/>
          <w:bCs/>
          <w:i/>
          <w:iCs/>
          <w:noProof/>
          <w:sz w:val="24"/>
          <w:szCs w:val="24"/>
        </w:rPr>
      </w:pPr>
      <w:r>
        <w:rPr>
          <w:rFonts w:ascii="Times New Roman" w:hAnsi="Times New Roman"/>
          <w:b/>
          <w:i/>
          <w:noProof/>
          <w:sz w:val="24"/>
        </w:rPr>
        <w:t>Recommandation nº 4: prendre en considération les besoins des groupes vulnérables dans les dispositifs actuels en matière de prévention, de préparation et de réaction</w:t>
      </w:r>
    </w:p>
    <w:p w14:paraId="463BA397" w14:textId="26C794CE" w:rsidR="000103C9" w:rsidRPr="00B203B2" w:rsidRDefault="35907ADF" w:rsidP="009D73B4">
      <w:pPr>
        <w:spacing w:afterLines="160" w:after="384" w:line="240" w:lineRule="auto"/>
        <w:jc w:val="both"/>
        <w:rPr>
          <w:rFonts w:ascii="Times New Roman" w:hAnsi="Times New Roman" w:cs="Times New Roman"/>
          <w:b/>
          <w:bCs/>
          <w:noProof/>
          <w:sz w:val="24"/>
          <w:szCs w:val="24"/>
        </w:rPr>
      </w:pPr>
      <w:r>
        <w:rPr>
          <w:rFonts w:ascii="Times New Roman" w:hAnsi="Times New Roman"/>
          <w:noProof/>
          <w:sz w:val="24"/>
        </w:rPr>
        <w:t xml:space="preserve">Les récents événements, tels que les crues, les incendies de forêts et la guerre d’agression menée par la Russie contre l’Ukraine, ont montré que les groupes vulnérables étaient touchés de manière disproportionnée lors des grandes catastrophes. Il est capital de satisfaire les besoins de ces groupes vulnérables, en particulier des personnes handicapées, des personnes âgées et des communautés marginalisées, dans le cadre des dispositifs actuels en matière de prévention, de préparation et de réaction. </w:t>
      </w:r>
    </w:p>
    <w:p w14:paraId="4A3DF376" w14:textId="7A64749C" w:rsidR="00E971CB" w:rsidRDefault="38BC4068" w:rsidP="009D73B4">
      <w:pPr>
        <w:spacing w:afterLines="160" w:after="384" w:line="240" w:lineRule="auto"/>
        <w:jc w:val="both"/>
        <w:rPr>
          <w:rFonts w:ascii="Times New Roman" w:hAnsi="Times New Roman" w:cs="Times New Roman"/>
          <w:noProof/>
          <w:sz w:val="24"/>
          <w:szCs w:val="24"/>
        </w:rPr>
      </w:pPr>
      <w:r>
        <w:rPr>
          <w:rFonts w:ascii="Times New Roman" w:hAnsi="Times New Roman"/>
          <w:noProof/>
          <w:sz w:val="24"/>
        </w:rPr>
        <w:t>Cet objectif peut être atteint à l’aide de diverses mesures, y compris des systèmes d’alerte précoce et des mécanismes d’alerte adaptés, afin de faire en sorte que les messages d’avertissement soient accessibles, clairs et exploitables et qu’ils soient communiqués dans de multiples langues, de manière à atteindre tous les segments de la population, en mettant en œuvre des actions de préparation et de réaction sur mesure, en intégrant systématiquement les groupes vulnérables dans l’évaluation des risques et en donnant à leurs représentants les moyens d’agir dans le cadre de la planification de la gestion des risques de catastrophes.</w:t>
      </w:r>
    </w:p>
    <w:p w14:paraId="3BDCE708" w14:textId="49DFC8BC" w:rsidR="00C62BDB" w:rsidRPr="00580D86" w:rsidRDefault="00E8730A" w:rsidP="00580D86">
      <w:pPr>
        <w:spacing w:before="240" w:after="240" w:line="240" w:lineRule="auto"/>
        <w:jc w:val="both"/>
        <w:rPr>
          <w:rFonts w:ascii="Times New Roman" w:hAnsi="Times New Roman" w:cs="Times New Roman"/>
          <w:b/>
          <w:bCs/>
          <w:i/>
          <w:iCs/>
          <w:noProof/>
          <w:sz w:val="24"/>
          <w:szCs w:val="24"/>
        </w:rPr>
      </w:pPr>
      <w:r>
        <w:rPr>
          <w:rFonts w:ascii="Times New Roman" w:hAnsi="Times New Roman"/>
          <w:b/>
          <w:i/>
          <w:noProof/>
          <w:sz w:val="24"/>
        </w:rPr>
        <w:t>Recommandation nº 5: augmenter le budget et renforcer les synergies et l’intégration dans les instruments de l’UE pertinents afin de garantir la durabilité de la gestion européenne des catastrophes dans tous les secteurs et par-delà les frontières</w:t>
      </w:r>
    </w:p>
    <w:p w14:paraId="599D9EFA" w14:textId="4CF1C0C7" w:rsidR="007D09A4" w:rsidRPr="00B203B2" w:rsidRDefault="06017B15" w:rsidP="009D73B4">
      <w:pPr>
        <w:spacing w:line="240" w:lineRule="auto"/>
        <w:jc w:val="both"/>
        <w:rPr>
          <w:rFonts w:ascii="Times New Roman" w:hAnsi="Times New Roman" w:cs="Times New Roman"/>
          <w:noProof/>
          <w:sz w:val="24"/>
          <w:szCs w:val="24"/>
        </w:rPr>
      </w:pPr>
      <w:r>
        <w:rPr>
          <w:rFonts w:ascii="Times New Roman" w:hAnsi="Times New Roman"/>
          <w:noProof/>
          <w:sz w:val="24"/>
        </w:rPr>
        <w:t xml:space="preserve">Il est fondamental de veiller à ce que les investissements de l’UE dans le cadre du MPCU soient à la fois efficaces et efficients, en mettant l’accent sur la durabilité des effets positifs obtenus sur la résilience européenne et l’existence des citoyens européens. De plus, il est essentiel de renforcer le budget consacré aux secteurs dans lesquels les investissements à l’échelle européenne s’avèrent économiquement efficaces et apportent une valeur ajoutée. </w:t>
      </w:r>
    </w:p>
    <w:p w14:paraId="7FD0FCF2" w14:textId="0BEB507E" w:rsidR="00C861D7" w:rsidRPr="00C239E8" w:rsidRDefault="00BA713F" w:rsidP="009D73B4">
      <w:pPr>
        <w:spacing w:line="240" w:lineRule="auto"/>
        <w:jc w:val="both"/>
        <w:rPr>
          <w:rFonts w:ascii="Times New Roman" w:hAnsi="Times New Roman" w:cs="Times New Roman"/>
          <w:noProof/>
          <w:sz w:val="24"/>
          <w:szCs w:val="24"/>
        </w:rPr>
      </w:pPr>
      <w:r>
        <w:rPr>
          <w:rFonts w:ascii="Times New Roman" w:hAnsi="Times New Roman"/>
          <w:noProof/>
          <w:sz w:val="24"/>
        </w:rPr>
        <w:t xml:space="preserve">En outre, la gestion européenne des risques de catastrophes doit être intégrée dans tous les instruments de financement pertinents de l’UE. Compte tenu du risque accru de catastrophes et des effets qui en découlent sur le plan du développement économique, social et environnemental dans l’UE, il importe que la gestion des risques de catastrophes soit intégrée dans l’ensemble des programmes de financement pertinents de l’UE, en tant que priorité pour les investissements. Chaque euro dépensé dans ce domaine permet d’épargner des montants considérables en matière de coûts de réaction, ce qui est particulièrement vrai dans le cas des incendies de forêts (environ 2 milliards d’EUR par an). </w:t>
      </w:r>
    </w:p>
    <w:p w14:paraId="17BD53B4" w14:textId="3BFAF8EB" w:rsidR="009D73B4" w:rsidRDefault="00BA713F" w:rsidP="009D73B4">
      <w:pPr>
        <w:spacing w:line="240" w:lineRule="auto"/>
        <w:jc w:val="both"/>
        <w:rPr>
          <w:rFonts w:ascii="Times New Roman" w:hAnsi="Times New Roman" w:cs="Times New Roman"/>
          <w:noProof/>
          <w:sz w:val="24"/>
          <w:szCs w:val="24"/>
        </w:rPr>
      </w:pPr>
      <w:r>
        <w:rPr>
          <w:rFonts w:ascii="Times New Roman" w:hAnsi="Times New Roman"/>
          <w:noProof/>
          <w:sz w:val="24"/>
        </w:rPr>
        <w:t>Qui plus est, pour ce qui est de compléter le cadre existant du MPCU, celui-ci doit être plus flexible pour adapter ses dispositifs de réaction et de financement de manière à faire face aux besoins exceptionnels générés par des scénarios de crises complexes ou prolongées, grâce éventuellement au recours à des mécanismes de financement d’urgence particuliers. Les autorités de la protection civile, les États membres et la Commission bénéficieraient d’une simplification des taux de cofinancement et d’une plus grande flexibilité dans les processus d’attributions directes. Ces mesures renforceraient, au bout du compte, la souplesse du MPCU et sa capacité à apporter aux crises des réponses sur mesure et en temps voulu.</w:t>
      </w:r>
    </w:p>
    <w:p w14:paraId="0AF6E84E" w14:textId="6ADF3DEF" w:rsidR="00A252E6" w:rsidRPr="009A7345" w:rsidRDefault="00A21682" w:rsidP="00580D86">
      <w:pPr>
        <w:pStyle w:val="Heading1"/>
        <w:numPr>
          <w:ilvl w:val="0"/>
          <w:numId w:val="31"/>
        </w:numPr>
        <w:spacing w:after="240" w:line="240" w:lineRule="auto"/>
        <w:rPr>
          <w:rFonts w:ascii="Times New Roman" w:hAnsi="Times New Roman" w:cs="Times New Roman"/>
          <w:b/>
          <w:bCs/>
          <w:noProof/>
          <w:color w:val="auto"/>
          <w:sz w:val="24"/>
          <w:szCs w:val="24"/>
        </w:rPr>
      </w:pPr>
      <w:bookmarkStart w:id="31" w:name="_Conclusion"/>
      <w:bookmarkStart w:id="32" w:name="_Toc166664228"/>
      <w:bookmarkEnd w:id="31"/>
      <w:r>
        <w:rPr>
          <w:rFonts w:ascii="Times New Roman" w:hAnsi="Times New Roman"/>
          <w:b/>
          <w:noProof/>
          <w:color w:val="auto"/>
          <w:sz w:val="24"/>
        </w:rPr>
        <w:t>Conclusion</w:t>
      </w:r>
      <w:bookmarkEnd w:id="32"/>
    </w:p>
    <w:p w14:paraId="785CACBC" w14:textId="74F81D2E" w:rsidR="00B46928" w:rsidRDefault="000D7F9B" w:rsidP="009D73B4">
      <w:pPr>
        <w:spacing w:line="240" w:lineRule="auto"/>
        <w:jc w:val="both"/>
        <w:rPr>
          <w:rFonts w:ascii="Times New Roman" w:hAnsi="Times New Roman" w:cs="Times New Roman"/>
          <w:noProof/>
          <w:sz w:val="24"/>
          <w:szCs w:val="24"/>
        </w:rPr>
      </w:pPr>
      <w:r>
        <w:rPr>
          <w:rFonts w:ascii="Times New Roman" w:hAnsi="Times New Roman"/>
          <w:noProof/>
          <w:sz w:val="24"/>
        </w:rPr>
        <w:t xml:space="preserve">Pour faire face à la nouvelle réalité de l’Europe, l’heure est venue désormais pour la Commission d’élaborer plus avant une approche intégrée de gestion des crises qui soit capable de réunir l’ensemble des services compétents de la Commission de manière coordonnée, et de soutenir efficacement, en les complétant, les efforts des États membres tout au long du continuum «prévention-préparation-réaction». Par conséquent, cette approche renforcée devrait encourager la prévention, stimuler la préparation et favoriser une réaction rapide et efficace aux catastrophes, tant au niveau des États membres qu’à celui de l’Union. </w:t>
      </w:r>
    </w:p>
    <w:p w14:paraId="1AC9C234" w14:textId="4C5DE6D4" w:rsidR="000D7F9B" w:rsidRDefault="001102D3" w:rsidP="009D73B4">
      <w:pPr>
        <w:spacing w:line="240" w:lineRule="auto"/>
        <w:jc w:val="both"/>
        <w:rPr>
          <w:rFonts w:ascii="Times New Roman" w:hAnsi="Times New Roman" w:cs="Times New Roman"/>
          <w:noProof/>
          <w:sz w:val="24"/>
          <w:szCs w:val="24"/>
        </w:rPr>
      </w:pPr>
      <w:r>
        <w:rPr>
          <w:rFonts w:ascii="Times New Roman" w:hAnsi="Times New Roman"/>
          <w:noProof/>
          <w:sz w:val="24"/>
        </w:rPr>
        <w:t xml:space="preserve">Au niveau de la Commission, il est nécessaire de suivre une approche horizontale pour améliorer la cohérence, et éviter les doubles emplois et chevauchements qui pourraient survenir lors de l’exploitation de potentielles synergies. L’ERCC est l’instance de coordination naturelle la plus compétente pour comprendre, analyser, coordonner et mobiliser les actions dans l’ensemble des secteurs et dimensions de la gestion des catastrophes concernés. Une fragmentation en une multitude d’instruments à travers différents services serait source d’inefficacité et de possible double emploi, ce qui serait préjudiciable à la gestion européenne des crises intégrée, résiliente et efficace que les citoyens européens appellent de leurs vœux. </w:t>
      </w:r>
    </w:p>
    <w:p w14:paraId="065E0CCB" w14:textId="496D3000" w:rsidR="003525E9" w:rsidRDefault="001102D3" w:rsidP="009D73B4">
      <w:pPr>
        <w:spacing w:line="240" w:lineRule="auto"/>
        <w:jc w:val="both"/>
        <w:rPr>
          <w:rFonts w:ascii="Times New Roman" w:hAnsi="Times New Roman" w:cs="Times New Roman"/>
          <w:noProof/>
          <w:sz w:val="24"/>
          <w:szCs w:val="24"/>
        </w:rPr>
      </w:pPr>
      <w:r>
        <w:rPr>
          <w:rFonts w:ascii="Times New Roman" w:hAnsi="Times New Roman"/>
          <w:noProof/>
          <w:sz w:val="24"/>
        </w:rPr>
        <w:t>De plus, la Commission et les États membres se doivent de renforcer leur préparation stratégique, en concertation étroite avec leurs principaux partenaires et les principales parties prenantes, s’ils entendent relever les grands défis en matière de gestion des crises de la décennie à venir, à savoir le changement climatique et l’évolution des menaces pour la sécurité. Le renforcement de rescEU, outil le plus efficace et efficient au niveau de l’UE, soutiendrait la résilience de l’Union face aux menaces susceptibles de porter atteinte à l’essence même de la société européenne.</w:t>
      </w:r>
    </w:p>
    <w:p w14:paraId="2B2DFE72" w14:textId="309EEBFF" w:rsidR="005D6FEB" w:rsidRPr="00975416" w:rsidRDefault="005D6FEB" w:rsidP="00326807">
      <w:pPr>
        <w:rPr>
          <w:b/>
          <w:bCs/>
          <w:noProof/>
        </w:rPr>
      </w:pPr>
    </w:p>
    <w:sectPr w:rsidR="005D6FEB" w:rsidRPr="00975416" w:rsidSect="00785D46">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50FB4" w14:textId="77777777" w:rsidR="00CB2209" w:rsidRDefault="00CB2209" w:rsidP="004D3C4D">
      <w:pPr>
        <w:spacing w:after="0" w:line="240" w:lineRule="auto"/>
      </w:pPr>
      <w:r>
        <w:separator/>
      </w:r>
    </w:p>
  </w:endnote>
  <w:endnote w:type="continuationSeparator" w:id="0">
    <w:p w14:paraId="15F15961" w14:textId="77777777" w:rsidR="00CB2209" w:rsidRDefault="00CB2209" w:rsidP="004D3C4D">
      <w:pPr>
        <w:spacing w:after="0" w:line="240" w:lineRule="auto"/>
      </w:pPr>
      <w:r>
        <w:continuationSeparator/>
      </w:r>
    </w:p>
  </w:endnote>
  <w:endnote w:type="continuationNotice" w:id="1">
    <w:p w14:paraId="51C6AD05" w14:textId="77777777" w:rsidR="00CB2209" w:rsidRDefault="00CB22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mbria"/>
    <w:charset w:val="00"/>
    <w:family w:val="swiss"/>
    <w:pitch w:val="variable"/>
    <w:sig w:usb0="20000287" w:usb1="00000003" w:usb2="00000000" w:usb3="00000000" w:csb0="0000019F" w:csb1="00000000"/>
  </w:font>
  <w:font w:name="EC Square Sans Pro">
    <w:altName w:val="Bahnschrift Light"/>
    <w:charset w:val="00"/>
    <w:family w:val="swiss"/>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C67BE" w14:textId="2D121805" w:rsidR="00B01586" w:rsidRPr="00B01586" w:rsidRDefault="00B01586" w:rsidP="00B01586">
    <w:pPr>
      <w:pStyle w:val="FooterCoverPage"/>
      <w:rPr>
        <w:rFonts w:ascii="Arial" w:hAnsi="Arial" w:cs="Arial"/>
        <w:b/>
        <w:sz w:val="48"/>
      </w:rPr>
    </w:pPr>
    <w:r w:rsidRPr="00B01586">
      <w:rPr>
        <w:rFonts w:ascii="Arial" w:hAnsi="Arial" w:cs="Arial"/>
        <w:b/>
        <w:sz w:val="48"/>
      </w:rPr>
      <w:t>FR</w:t>
    </w:r>
    <w:r w:rsidRPr="00B01586">
      <w:rPr>
        <w:rFonts w:ascii="Arial" w:hAnsi="Arial" w:cs="Arial"/>
        <w:b/>
        <w:sz w:val="48"/>
      </w:rPr>
      <w:tab/>
    </w:r>
    <w:r w:rsidRPr="00B01586">
      <w:rPr>
        <w:rFonts w:ascii="Arial" w:hAnsi="Arial" w:cs="Arial"/>
        <w:b/>
        <w:sz w:val="48"/>
      </w:rPr>
      <w:tab/>
    </w:r>
    <w:r w:rsidRPr="00B01586">
      <w:tab/>
    </w:r>
    <w:r w:rsidRPr="00B0158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005D5" w14:textId="6A4E47C9" w:rsidR="00B01586" w:rsidRPr="00B01586" w:rsidRDefault="00B01586" w:rsidP="00B01586">
    <w:pPr>
      <w:pStyle w:val="FooterCoverPage"/>
      <w:rPr>
        <w:rFonts w:ascii="Arial" w:hAnsi="Arial" w:cs="Arial"/>
        <w:b/>
        <w:sz w:val="48"/>
      </w:rPr>
    </w:pPr>
    <w:r w:rsidRPr="00B01586">
      <w:rPr>
        <w:rFonts w:ascii="Arial" w:hAnsi="Arial" w:cs="Arial"/>
        <w:b/>
        <w:sz w:val="48"/>
      </w:rPr>
      <w:t>FR</w:t>
    </w:r>
    <w:r w:rsidRPr="00B01586">
      <w:rPr>
        <w:rFonts w:ascii="Arial" w:hAnsi="Arial" w:cs="Arial"/>
        <w:b/>
        <w:sz w:val="48"/>
      </w:rPr>
      <w:tab/>
    </w:r>
    <w:r w:rsidRPr="00B01586">
      <w:rPr>
        <w:rFonts w:ascii="Arial" w:hAnsi="Arial" w:cs="Arial"/>
        <w:b/>
        <w:sz w:val="48"/>
      </w:rPr>
      <w:tab/>
    </w:r>
    <w:r w:rsidRPr="00B01586">
      <w:tab/>
    </w:r>
    <w:r w:rsidRPr="00B0158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8C303" w14:textId="77777777" w:rsidR="00B01586" w:rsidRPr="00B01586" w:rsidRDefault="00B01586" w:rsidP="00B0158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2" w14:textId="77777777" w:rsidR="004D3C4D" w:rsidRDefault="004D3C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09F67" w14:textId="78E94D01" w:rsidR="00B00F8A" w:rsidRDefault="00B00F8A">
    <w:pPr>
      <w:pStyle w:val="Footer"/>
      <w:jc w:val="center"/>
    </w:pPr>
  </w:p>
  <w:p w14:paraId="57DEE503" w14:textId="77777777" w:rsidR="004D3C4D" w:rsidRDefault="004D3C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5" w14:textId="77777777" w:rsidR="004D3C4D" w:rsidRDefault="004D3C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BF670" w14:textId="77777777" w:rsidR="00366DF9" w:rsidRDefault="00366DF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546742"/>
      <w:docPartObj>
        <w:docPartGallery w:val="Page Numbers (Bottom of Page)"/>
        <w:docPartUnique/>
      </w:docPartObj>
    </w:sdtPr>
    <w:sdtEndPr>
      <w:rPr>
        <w:noProof/>
      </w:rPr>
    </w:sdtEndPr>
    <w:sdtContent>
      <w:p w14:paraId="7422A6AC" w14:textId="6941E9FC" w:rsidR="00580D86" w:rsidRDefault="00580D86">
        <w:pPr>
          <w:pStyle w:val="Footer"/>
          <w:jc w:val="center"/>
        </w:pPr>
        <w:r>
          <w:fldChar w:fldCharType="begin"/>
        </w:r>
        <w:r>
          <w:instrText xml:space="preserve"> PAGE   \* MERGEFORMAT </w:instrText>
        </w:r>
        <w:r>
          <w:fldChar w:fldCharType="separate"/>
        </w:r>
        <w:r w:rsidR="00B01586">
          <w:rPr>
            <w:noProof/>
          </w:rPr>
          <w:t>8</w:t>
        </w:r>
        <w:r>
          <w:fldChar w:fldCharType="end"/>
        </w:r>
      </w:p>
    </w:sdtContent>
  </w:sdt>
  <w:p w14:paraId="7060FD4E" w14:textId="77777777" w:rsidR="00580D86" w:rsidRDefault="00580D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5B7D6" w14:textId="77777777" w:rsidR="00366DF9" w:rsidRDefault="00366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C23B1" w14:textId="77777777" w:rsidR="00CB2209" w:rsidRDefault="00CB2209" w:rsidP="004D3C4D">
      <w:pPr>
        <w:spacing w:after="0" w:line="240" w:lineRule="auto"/>
      </w:pPr>
      <w:r>
        <w:separator/>
      </w:r>
    </w:p>
  </w:footnote>
  <w:footnote w:type="continuationSeparator" w:id="0">
    <w:p w14:paraId="4FC0BD81" w14:textId="77777777" w:rsidR="00CB2209" w:rsidRDefault="00CB2209" w:rsidP="004D3C4D">
      <w:pPr>
        <w:spacing w:after="0" w:line="240" w:lineRule="auto"/>
      </w:pPr>
      <w:r>
        <w:continuationSeparator/>
      </w:r>
    </w:p>
  </w:footnote>
  <w:footnote w:type="continuationNotice" w:id="1">
    <w:p w14:paraId="2A4A7D66" w14:textId="77777777" w:rsidR="00CB2209" w:rsidRDefault="00CB2209">
      <w:pPr>
        <w:spacing w:after="0" w:line="240" w:lineRule="auto"/>
      </w:pPr>
    </w:p>
  </w:footnote>
  <w:footnote w:id="2">
    <w:p w14:paraId="7AC29EFA" w14:textId="296F1A20" w:rsidR="00580D86" w:rsidRPr="00D957D2" w:rsidRDefault="00580D86" w:rsidP="00580D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protection civile consiste à fournir une aide d’urgence sous l’égide des pouvoirs publics en préparation d’une catastrophe en Europe et dans le monde, ou immédiatement après la survenue de celle-ci.</w:t>
      </w:r>
    </w:p>
  </w:footnote>
  <w:footnote w:id="3">
    <w:p w14:paraId="07077CB2" w14:textId="18BCE6A4" w:rsidR="00580D86" w:rsidRPr="00D957D2" w:rsidRDefault="00580D86" w:rsidP="00580D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27 États membres de l’UE et 10 pays tiers (Albanie, Bosnie-Herzégovine, Islande, Macédoine du Nord, Moldavie, Monténégro, Norvège, Serbie, Turquie et Ukraine) participent au mécanisme de protection civile de l’Union.</w:t>
      </w:r>
    </w:p>
  </w:footnote>
  <w:footnote w:id="4">
    <w:p w14:paraId="41340D17" w14:textId="77777777" w:rsidR="008C398E" w:rsidRPr="00E93515" w:rsidRDefault="008C398E" w:rsidP="00580D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 l’activation de la part de l’Ukraine en 2022 dans le cadre de la guerre n’a été comptabilisée qu’une fois, elle représente plus de 120 demandes d’assistance actualisées.</w:t>
      </w:r>
    </w:p>
  </w:footnote>
  <w:footnote w:id="5">
    <w:p w14:paraId="04418C4F" w14:textId="57605C78" w:rsidR="00191600" w:rsidRPr="00F17799" w:rsidRDefault="00191600" w:rsidP="000E48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majorité des personnes ayant répondu à l’enquête menée avec les autorités des États membres (ICF, </w:t>
      </w:r>
      <w:hyperlink r:id="rId1" w:history="1">
        <w:r>
          <w:rPr>
            <w:rStyle w:val="Hyperlink"/>
            <w:rFonts w:ascii="Times New Roman" w:hAnsi="Times New Roman"/>
          </w:rPr>
          <w:t>étude indépendante d’appui à l’évaluation du MPCU pour la période 2017-2022</w:t>
        </w:r>
      </w:hyperlink>
      <w:r>
        <w:rPr>
          <w:rFonts w:ascii="Times New Roman" w:hAnsi="Times New Roman"/>
        </w:rPr>
        <w:t>).</w:t>
      </w:r>
    </w:p>
  </w:footnote>
  <w:footnote w:id="6">
    <w:p w14:paraId="7777CA6F" w14:textId="311C732F" w:rsidR="00844875" w:rsidRPr="00E35483" w:rsidRDefault="00844875" w:rsidP="00F17799">
      <w:pPr>
        <w:pStyle w:val="FootnoteText"/>
        <w:jc w:val="both"/>
      </w:pPr>
      <w:r>
        <w:rPr>
          <w:rStyle w:val="FootnoteReference"/>
          <w:rFonts w:ascii="Times New Roman" w:hAnsi="Times New Roman" w:cs="Times New Roman"/>
        </w:rPr>
        <w:footnoteRef/>
      </w:r>
      <w:r>
        <w:rPr>
          <w:rFonts w:ascii="Times New Roman" w:hAnsi="Times New Roman"/>
        </w:rPr>
        <w:t xml:space="preserve"> Enquête menée avec les autorités des États membres et les institutions de l’UE (ICF, </w:t>
      </w:r>
      <w:hyperlink r:id="rId2" w:history="1">
        <w:r>
          <w:rPr>
            <w:rStyle w:val="Hyperlink"/>
            <w:rFonts w:ascii="Times New Roman" w:hAnsi="Times New Roman"/>
          </w:rPr>
          <w:t>étude indépendante d’appui à l’évaluation du MPCU pour la période 2017-2022</w:t>
        </w:r>
      </w:hyperlink>
      <w:r>
        <w:rPr>
          <w:rFonts w:ascii="Times New Roman" w:hAnsi="Times New Roman"/>
        </w:rPr>
        <w:t>).</w:t>
      </w:r>
      <w:r>
        <w:t xml:space="preserve"> </w:t>
      </w:r>
    </w:p>
  </w:footnote>
  <w:footnote w:id="7">
    <w:p w14:paraId="03E731D2" w14:textId="56600AFC" w:rsidR="000F38E5" w:rsidRPr="00D957D2" w:rsidRDefault="000F38E5" w:rsidP="00580D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Dans ce contexte, une autorité nationale a fait remarquer que les systèmes nationaux de certains pays étaient mieux alignés que d’autres sur les systèmes d’alerte précoce de l’UE. Elle a mis l’accent sur un exemple notable lors des crues éclair survenues en Allemagne en 2021, où des informations d’alerte rapide étaient disponibles à l’échelle européenne, mais où les autorités locales et régionales méconnaissaient le système et n’avaient aucune idée de l’importance des crues anticipées.</w:t>
      </w:r>
    </w:p>
  </w:footnote>
  <w:footnote w:id="8">
    <w:p w14:paraId="7D4A03EB" w14:textId="538A7238" w:rsidR="00C52DDD" w:rsidRPr="00D957D2" w:rsidRDefault="00C52DDD" w:rsidP="00D957D2">
      <w:pPr>
        <w:pStyle w:val="FootnoteText"/>
        <w:jc w:val="both"/>
        <w:rPr>
          <w:rFonts w:ascii="Times New Roman" w:hAnsi="Times New Roman" w:cs="Times New Roman"/>
          <w:u w:val="single"/>
        </w:rPr>
      </w:pPr>
      <w:r>
        <w:rPr>
          <w:rStyle w:val="FootnoteReference"/>
          <w:rFonts w:ascii="Times New Roman" w:hAnsi="Times New Roman" w:cs="Times New Roman"/>
        </w:rPr>
        <w:footnoteRef/>
      </w:r>
      <w:r>
        <w:rPr>
          <w:rFonts w:ascii="Times New Roman" w:hAnsi="Times New Roman"/>
        </w:rPr>
        <w:t xml:space="preserve">  Un exemple récent d’intervention du MPCU dans ce domaine est le cofinancement d’un nouveau système d’alerte précoce «tous risques» pour le Service national de lutte contre l’incendie et de sauvetage de la Lettonie. Parmi les principaux résultats du projet figuraient une étude de faisabilité comparant les différentes solutions pouvant être apportées par les entreprises de télécommunications, une étude menée auprès de la population afin de comprendre le degré de sensibilisation des Lettons aux alertes aux catastrophes, ainsi qu’un projet d’architecture du système proposé comprenant l’infrastructure et l’interopérabilité requises. </w:t>
      </w:r>
    </w:p>
  </w:footnote>
  <w:footnote w:id="9">
    <w:p w14:paraId="764C4EE5" w14:textId="5B8CD5A3" w:rsidR="0080639A" w:rsidRPr="00D957D2" w:rsidRDefault="0080639A" w:rsidP="000C206C">
      <w:pPr>
        <w:pStyle w:val="FootnoteText"/>
        <w:jc w:val="both"/>
        <w:rPr>
          <w:rStyle w:val="FootnoteReference"/>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vertAlign w:val="baseline"/>
        </w:rPr>
        <w:t xml:space="preserve"> Soutien au financement des marchandises transitant par des plateformes</w:t>
      </w:r>
      <w:r>
        <w:rPr>
          <w:rFonts w:ascii="Times New Roman" w:hAnsi="Times New Roman"/>
        </w:rPr>
        <w:t>.</w:t>
      </w:r>
    </w:p>
  </w:footnote>
  <w:footnote w:id="10">
    <w:p w14:paraId="2F17B788" w14:textId="303C3C28" w:rsidR="009D3F2A" w:rsidRPr="00D957D2" w:rsidRDefault="009D3F2A" w:rsidP="000C206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Mise en œuvre conformément à l’article 10, paragraphe 1, de la décision nº 1313/2013/UE.</w:t>
      </w:r>
    </w:p>
  </w:footnote>
  <w:footnote w:id="11">
    <w:p w14:paraId="16C20AE1" w14:textId="7EB59BE1" w:rsidR="00523692" w:rsidRPr="00D957D2" w:rsidRDefault="00523692" w:rsidP="000C206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communication de la Commission au Parlement européen, au Conseil, au Comité économique et social européen et au Comité des régions: Gestion des risques climatiques – protection des personnes et de la prospérité [COM(2024) 91 final] &lt;</w:t>
      </w:r>
      <w:hyperlink r:id="rId3" w:history="1">
        <w:r>
          <w:rPr>
            <w:rStyle w:val="Hyperlink"/>
            <w:rFonts w:ascii="Times New Roman" w:hAnsi="Times New Roman"/>
            <w:color w:val="000000" w:themeColor="text1"/>
            <w:u w:val="none"/>
          </w:rPr>
          <w:t>https://eur-lex.europa.eu/legal-content/FR/TXT/?uri=CELEX%3A52024DC0091</w:t>
        </w:r>
      </w:hyperlink>
      <w:r>
        <w:rPr>
          <w:rFonts w:ascii="Times New Roman" w:hAnsi="Times New Roman"/>
        </w:rPr>
        <w:t>&gt;.</w:t>
      </w:r>
    </w:p>
  </w:footnote>
  <w:footnote w:id="12">
    <w:p w14:paraId="49B25166" w14:textId="02808503" w:rsidR="00535054" w:rsidRPr="00580D86" w:rsidRDefault="00535054" w:rsidP="000C206C">
      <w:pPr>
        <w:pStyle w:val="FootnoteText"/>
        <w:jc w:val="both"/>
      </w:pPr>
      <w:r>
        <w:rPr>
          <w:rStyle w:val="FootnoteReference"/>
          <w:rFonts w:ascii="Times New Roman" w:hAnsi="Times New Roman" w:cs="Times New Roman"/>
        </w:rPr>
        <w:footnoteRef/>
      </w:r>
      <w:r>
        <w:rPr>
          <w:rFonts w:ascii="Times New Roman" w:hAnsi="Times New Roman"/>
        </w:rPr>
        <w:t xml:space="preserve"> Recommandation de la Commission du 8 février 2023 relative aux objectifs de l’Union en matière de résilience face aux catastrophes (2023/C 56/01)  &lt;</w:t>
      </w:r>
      <w:hyperlink r:id="rId4" w:history="1">
        <w:r>
          <w:rPr>
            <w:rStyle w:val="Hyperlink"/>
            <w:rFonts w:ascii="Times New Roman" w:hAnsi="Times New Roman"/>
            <w:color w:val="000000" w:themeColor="text1"/>
            <w:u w:val="none"/>
          </w:rPr>
          <w:t>EUR-Lex - 32023H0215(01) - FR - EUR-Lex (europa.eu)</w:t>
        </w:r>
      </w:hyperlink>
      <w:r>
        <w:rPr>
          <w:rFonts w:ascii="Times New Roman" w:hAnsi="Times New Roman"/>
          <w:color w:val="000000" w:themeColor="text1"/>
        </w:rPr>
        <w:t>&gt;;</w:t>
      </w:r>
      <w:r>
        <w:rPr>
          <w:rFonts w:ascii="Times New Roman" w:hAnsi="Times New Roman"/>
        </w:rPr>
        <w:t xml:space="preserve"> Commission européenne, communication relative aux objectifs de l’Union européenne en matière de résilience face aux catastrophes: Agir de concert pour faire face aux futures urgences [COM(2023) 61 final] &lt;</w:t>
      </w:r>
      <w:r>
        <w:rPr>
          <w:rFonts w:ascii="Times New Roman" w:hAnsi="Times New Roman"/>
          <w:color w:val="000000" w:themeColor="text1"/>
        </w:rPr>
        <w:t xml:space="preserve"> </w:t>
      </w:r>
      <w:hyperlink r:id="rId5" w:history="1">
        <w:r>
          <w:rPr>
            <w:rStyle w:val="Hyperlink"/>
            <w:rFonts w:ascii="Times New Roman" w:hAnsi="Times New Roman"/>
            <w:color w:val="000000" w:themeColor="text1"/>
            <w:u w:val="none"/>
          </w:rPr>
          <w:t>EUR-Lex - 52023DC0061 -FR - EUR-Lex (europa.eu)</w:t>
        </w:r>
      </w:hyperlink>
      <w:r>
        <w:rPr>
          <w:rFonts w:ascii="Times New Roman" w:hAnsi="Times New Roman"/>
          <w:color w:val="000000" w:themeColor="text1"/>
        </w:rPr>
        <w:t>&gt;.</w:t>
      </w:r>
    </w:p>
  </w:footnote>
  <w:footnote w:id="13">
    <w:p w14:paraId="0C6B2A31" w14:textId="0EC489B6" w:rsidR="00191E93" w:rsidRPr="00A67EAA" w:rsidRDefault="00191E93" w:rsidP="000C206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Réunion du Conseil européen des 29 et 30 juin 2023 et des 26 et 27 octobre 2023.</w:t>
      </w:r>
    </w:p>
  </w:footnote>
  <w:footnote w:id="14">
    <w:p w14:paraId="7A0B22E6" w14:textId="24E3B514" w:rsidR="005C4D01" w:rsidRPr="008E2A3F" w:rsidRDefault="005C4D01" w:rsidP="000C206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Réunion du Conseil européen des 21 et 22 mars 2024.</w:t>
      </w:r>
    </w:p>
  </w:footnote>
  <w:footnote w:id="15">
    <w:p w14:paraId="256B718B" w14:textId="52F62D0B" w:rsidR="008E2A3F" w:rsidRPr="008E2A3F" w:rsidRDefault="008E2A3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décisions structurelles, comme celles relatives à l’aménagement du territoire, devraient envisager tous les risques pertinents et être approuvées par les autorités nationales chargées de la résilience des infrastructures et entités essentielles.</w:t>
      </w:r>
    </w:p>
  </w:footnote>
  <w:footnote w:id="16">
    <w:p w14:paraId="03E9971F" w14:textId="7F2713E8" w:rsidR="000852CB" w:rsidRPr="00A67EAA" w:rsidRDefault="000852CB" w:rsidP="000852C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COM(2024) 91 final.</w:t>
      </w:r>
    </w:p>
  </w:footnote>
  <w:footnote w:id="17">
    <w:p w14:paraId="56F2481D" w14:textId="615154F6" w:rsidR="51F8FC27" w:rsidRPr="009D73B4" w:rsidRDefault="51F8FC27" w:rsidP="000C206C">
      <w:pPr>
        <w:pStyle w:val="FootnoteText"/>
        <w:jc w:val="both"/>
        <w:rPr>
          <w:color w:val="000000" w:themeColor="text1"/>
        </w:rPr>
      </w:pP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Commission européenne, Direction générale de la recherche et de l’innovation, </w:t>
      </w:r>
      <w:r>
        <w:rPr>
          <w:rFonts w:ascii="Times New Roman" w:hAnsi="Times New Roman"/>
          <w:i/>
          <w:color w:val="000000" w:themeColor="text1"/>
        </w:rPr>
        <w:t>Gestion stratégique des crises dans l’UE</w:t>
      </w:r>
      <w:r>
        <w:rPr>
          <w:rFonts w:ascii="Times New Roman" w:hAnsi="Times New Roman"/>
          <w:color w:val="000000" w:themeColor="text1"/>
        </w:rPr>
        <w:t xml:space="preserve"> </w:t>
      </w:r>
      <w:r>
        <w:rPr>
          <w:rFonts w:ascii="Times New Roman" w:hAnsi="Times New Roman"/>
          <w:i/>
          <w:color w:val="000000" w:themeColor="text1"/>
        </w:rPr>
        <w:t>– Améliorer la prévention des crises dans l’UE, la préparation et la réaction à celles-ci, ainsi que la résilience face à elles,</w:t>
      </w:r>
      <w:r>
        <w:rPr>
          <w:rFonts w:ascii="Times New Roman" w:hAnsi="Times New Roman"/>
          <w:color w:val="000000" w:themeColor="text1"/>
        </w:rPr>
        <w:t xml:space="preserve"> Office des publications de l’Union européenne, 2022, &lt;</w:t>
      </w:r>
      <w:hyperlink r:id="rId6" w:history="1">
        <w:r>
          <w:rPr>
            <w:rStyle w:val="Hyperlink"/>
            <w:rFonts w:ascii="Times New Roman" w:hAnsi="Times New Roman"/>
            <w:color w:val="000000" w:themeColor="text1"/>
            <w:u w:val="none"/>
          </w:rPr>
          <w:t>https://data.europa.eu/doi/10.2777/517560</w:t>
        </w:r>
      </w:hyperlink>
      <w:r>
        <w:rPr>
          <w:rFonts w:ascii="Times New Roman" w:hAnsi="Times New Roman"/>
          <w:color w:val="000000" w:themeColor="text1"/>
        </w:rPr>
        <w:t>&gt;.</w:t>
      </w:r>
    </w:p>
  </w:footnote>
  <w:footnote w:id="18">
    <w:p w14:paraId="25056884" w14:textId="54D5B3FA" w:rsidR="00876384" w:rsidRPr="00E971CB" w:rsidRDefault="00876384" w:rsidP="00E971CB">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Commission européenne, protection civile – Eurobaromètre (février 2024), 2977 / SP541, </w:t>
      </w:r>
      <w:r>
        <w:rPr>
          <w:rFonts w:ascii="Times New Roman" w:hAnsi="Times New Roman"/>
          <w:color w:val="000000" w:themeColor="text1"/>
        </w:rPr>
        <w:t>&lt;</w:t>
      </w:r>
      <w:hyperlink r:id="rId7" w:history="1">
        <w:r>
          <w:rPr>
            <w:rStyle w:val="Hyperlink"/>
            <w:rFonts w:ascii="Times New Roman" w:hAnsi="Times New Roman"/>
            <w:color w:val="000000" w:themeColor="text1"/>
            <w:u w:val="none"/>
          </w:rPr>
          <w:t>Protection civile de l’UE - février 2024 - Enquête Eurobaromètre (europa.eu)</w:t>
        </w:r>
      </w:hyperlink>
      <w:r>
        <w:rPr>
          <w:rFonts w:ascii="Times New Roman" w:hAnsi="Times New Roman"/>
          <w:color w:val="000000" w:themeColor="text1"/>
        </w:rPr>
        <w:t xml:space="preserve">&gt;. </w:t>
      </w:r>
    </w:p>
  </w:footnote>
  <w:footnote w:id="19">
    <w:p w14:paraId="048B61DD" w14:textId="3DD570E6" w:rsidR="00FA455E" w:rsidRPr="00521584" w:rsidRDefault="00FA455E" w:rsidP="00FA455E">
      <w:pPr>
        <w:pStyle w:val="FootnoteText"/>
      </w:pPr>
      <w:r>
        <w:rPr>
          <w:rStyle w:val="FootnoteReference"/>
        </w:rPr>
        <w:footnoteRef/>
      </w:r>
      <w:r>
        <w:t xml:space="preserve"> Y compris en recourant à l’instrument d’appui technique et au programme Horizon Europe de la Commission européenne.</w:t>
      </w:r>
    </w:p>
  </w:footnote>
  <w:footnote w:id="20">
    <w:p w14:paraId="25A9FBEB" w14:textId="09F08026" w:rsidR="001037A3" w:rsidRPr="009B2469" w:rsidRDefault="001037A3" w:rsidP="001037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rôle du «service Copernicus de gestion des urgences» au niveau de l’UE et au niveau national devrait être renforcé. Une fois lancé, le nouveau service d’alerte d’urgence par satellite de Galileo (EWSS) constituera un précieux complément pour les systèmes d’alerte précoce existants.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7ABA5" w14:textId="77777777" w:rsidR="00B01586" w:rsidRPr="00B01586" w:rsidRDefault="00B01586" w:rsidP="00B0158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6D6D7" w14:textId="77777777" w:rsidR="00B01586" w:rsidRPr="00B01586" w:rsidRDefault="00B01586" w:rsidP="00B0158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18EB7" w14:textId="77777777" w:rsidR="00B01586" w:rsidRPr="00B01586" w:rsidRDefault="00B01586" w:rsidP="00B0158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0" w14:textId="77777777" w:rsidR="004D3C4D" w:rsidRDefault="004D3C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1" w14:textId="77777777" w:rsidR="004D3C4D" w:rsidRDefault="004D3C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4" w14:textId="77777777" w:rsidR="004D3C4D" w:rsidRDefault="004D3C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387D1" w14:textId="77777777" w:rsidR="00366DF9" w:rsidRDefault="00366DF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06EBB" w14:textId="77777777" w:rsidR="00366DF9" w:rsidRDefault="00366DF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00230" w14:textId="77777777" w:rsidR="00366DF9" w:rsidRDefault="00366D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05E9"/>
    <w:multiLevelType w:val="hybridMultilevel"/>
    <w:tmpl w:val="2EA605FC"/>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 w15:restartNumberingAfterBreak="0">
    <w:nsid w:val="03E922C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5E27E8"/>
    <w:multiLevelType w:val="hybridMultilevel"/>
    <w:tmpl w:val="68E80D68"/>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66D37"/>
    <w:multiLevelType w:val="multilevel"/>
    <w:tmpl w:val="6BBA32F8"/>
    <w:lvl w:ilvl="0">
      <w:start w:val="2"/>
      <w:numFmt w:val="decimal"/>
      <w:lvlText w:val="%1."/>
      <w:lvlJc w:val="left"/>
      <w:pPr>
        <w:ind w:left="720" w:hanging="360"/>
      </w:pPr>
      <w:rPr>
        <w:rFonts w:hint="default"/>
        <w:color w:val="auto"/>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CD28FD"/>
    <w:multiLevelType w:val="hybridMultilevel"/>
    <w:tmpl w:val="FFFFFFFF"/>
    <w:lvl w:ilvl="0" w:tplc="FAECE506">
      <w:start w:val="1"/>
      <w:numFmt w:val="decimal"/>
      <w:lvlText w:val="%1."/>
      <w:lvlJc w:val="left"/>
      <w:pPr>
        <w:ind w:left="720" w:hanging="360"/>
      </w:pPr>
    </w:lvl>
    <w:lvl w:ilvl="1" w:tplc="B380A400">
      <w:start w:val="1"/>
      <w:numFmt w:val="lowerLetter"/>
      <w:lvlText w:val="%2."/>
      <w:lvlJc w:val="left"/>
      <w:pPr>
        <w:ind w:left="1440" w:hanging="360"/>
      </w:pPr>
    </w:lvl>
    <w:lvl w:ilvl="2" w:tplc="10CE366A">
      <w:start w:val="1"/>
      <w:numFmt w:val="lowerRoman"/>
      <w:lvlText w:val="%3."/>
      <w:lvlJc w:val="right"/>
      <w:pPr>
        <w:ind w:left="2160" w:hanging="180"/>
      </w:pPr>
    </w:lvl>
    <w:lvl w:ilvl="3" w:tplc="0EA0913A">
      <w:start w:val="1"/>
      <w:numFmt w:val="decimal"/>
      <w:lvlText w:val="%4."/>
      <w:lvlJc w:val="left"/>
      <w:pPr>
        <w:ind w:left="2880" w:hanging="360"/>
      </w:pPr>
    </w:lvl>
    <w:lvl w:ilvl="4" w:tplc="F31882F0">
      <w:start w:val="1"/>
      <w:numFmt w:val="lowerLetter"/>
      <w:lvlText w:val="%5."/>
      <w:lvlJc w:val="left"/>
      <w:pPr>
        <w:ind w:left="3600" w:hanging="360"/>
      </w:pPr>
    </w:lvl>
    <w:lvl w:ilvl="5" w:tplc="D5C21518">
      <w:start w:val="1"/>
      <w:numFmt w:val="lowerRoman"/>
      <w:lvlText w:val="%6."/>
      <w:lvlJc w:val="right"/>
      <w:pPr>
        <w:ind w:left="4320" w:hanging="180"/>
      </w:pPr>
    </w:lvl>
    <w:lvl w:ilvl="6" w:tplc="8C3C6C0A">
      <w:start w:val="1"/>
      <w:numFmt w:val="decimal"/>
      <w:lvlText w:val="%7."/>
      <w:lvlJc w:val="left"/>
      <w:pPr>
        <w:ind w:left="5040" w:hanging="360"/>
      </w:pPr>
    </w:lvl>
    <w:lvl w:ilvl="7" w:tplc="1F648E22">
      <w:start w:val="1"/>
      <w:numFmt w:val="lowerLetter"/>
      <w:lvlText w:val="%8."/>
      <w:lvlJc w:val="left"/>
      <w:pPr>
        <w:ind w:left="5760" w:hanging="360"/>
      </w:pPr>
    </w:lvl>
    <w:lvl w:ilvl="8" w:tplc="11C06BB8">
      <w:start w:val="1"/>
      <w:numFmt w:val="lowerRoman"/>
      <w:lvlText w:val="%9."/>
      <w:lvlJc w:val="right"/>
      <w:pPr>
        <w:ind w:left="6480" w:hanging="180"/>
      </w:pPr>
    </w:lvl>
  </w:abstractNum>
  <w:abstractNum w:abstractNumId="5" w15:restartNumberingAfterBreak="0">
    <w:nsid w:val="155E65E2"/>
    <w:multiLevelType w:val="hybridMultilevel"/>
    <w:tmpl w:val="D010B5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9324EAE"/>
    <w:multiLevelType w:val="hybridMultilevel"/>
    <w:tmpl w:val="5A2CD8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CE53D73"/>
    <w:multiLevelType w:val="hybridMultilevel"/>
    <w:tmpl w:val="34AE444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7675B5"/>
    <w:multiLevelType w:val="hybridMultilevel"/>
    <w:tmpl w:val="6B60A072"/>
    <w:lvl w:ilvl="0" w:tplc="1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C550B1"/>
    <w:multiLevelType w:val="hybridMultilevel"/>
    <w:tmpl w:val="4BD458DE"/>
    <w:lvl w:ilvl="0" w:tplc="D624D314">
      <w:start w:val="4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9C47CF4"/>
    <w:multiLevelType w:val="hybridMultilevel"/>
    <w:tmpl w:val="0C00BA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EA018D"/>
    <w:multiLevelType w:val="hybridMultilevel"/>
    <w:tmpl w:val="406CBC44"/>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11C3AC7"/>
    <w:multiLevelType w:val="hybridMultilevel"/>
    <w:tmpl w:val="3E00C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1DB4B11"/>
    <w:multiLevelType w:val="hybridMultilevel"/>
    <w:tmpl w:val="05421A0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2687821"/>
    <w:multiLevelType w:val="hybridMultilevel"/>
    <w:tmpl w:val="9F3A08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382EFA6"/>
    <w:multiLevelType w:val="hybridMultilevel"/>
    <w:tmpl w:val="FFFFFFFF"/>
    <w:lvl w:ilvl="0" w:tplc="C5EEDA62">
      <w:start w:val="1"/>
      <w:numFmt w:val="bullet"/>
      <w:lvlText w:val=""/>
      <w:lvlJc w:val="left"/>
      <w:pPr>
        <w:ind w:left="700" w:hanging="360"/>
      </w:pPr>
      <w:rPr>
        <w:rFonts w:ascii="Symbol" w:hAnsi="Symbol" w:hint="default"/>
      </w:rPr>
    </w:lvl>
    <w:lvl w:ilvl="1" w:tplc="64F2036A">
      <w:start w:val="1"/>
      <w:numFmt w:val="bullet"/>
      <w:lvlText w:val="o"/>
      <w:lvlJc w:val="left"/>
      <w:pPr>
        <w:ind w:left="1440" w:hanging="360"/>
      </w:pPr>
      <w:rPr>
        <w:rFonts w:ascii="Courier New" w:hAnsi="Courier New" w:hint="default"/>
      </w:rPr>
    </w:lvl>
    <w:lvl w:ilvl="2" w:tplc="5F48EBC4">
      <w:start w:val="1"/>
      <w:numFmt w:val="bullet"/>
      <w:lvlText w:val=""/>
      <w:lvlJc w:val="left"/>
      <w:pPr>
        <w:ind w:left="2160" w:hanging="360"/>
      </w:pPr>
      <w:rPr>
        <w:rFonts w:ascii="Wingdings" w:hAnsi="Wingdings" w:hint="default"/>
      </w:rPr>
    </w:lvl>
    <w:lvl w:ilvl="3" w:tplc="8342DEEA">
      <w:start w:val="1"/>
      <w:numFmt w:val="bullet"/>
      <w:lvlText w:val=""/>
      <w:lvlJc w:val="left"/>
      <w:pPr>
        <w:ind w:left="2880" w:hanging="360"/>
      </w:pPr>
      <w:rPr>
        <w:rFonts w:ascii="Symbol" w:hAnsi="Symbol" w:hint="default"/>
      </w:rPr>
    </w:lvl>
    <w:lvl w:ilvl="4" w:tplc="525A9D14">
      <w:start w:val="1"/>
      <w:numFmt w:val="bullet"/>
      <w:lvlText w:val="o"/>
      <w:lvlJc w:val="left"/>
      <w:pPr>
        <w:ind w:left="3600" w:hanging="360"/>
      </w:pPr>
      <w:rPr>
        <w:rFonts w:ascii="Courier New" w:hAnsi="Courier New" w:hint="default"/>
      </w:rPr>
    </w:lvl>
    <w:lvl w:ilvl="5" w:tplc="7EB8F6B2">
      <w:start w:val="1"/>
      <w:numFmt w:val="bullet"/>
      <w:lvlText w:val=""/>
      <w:lvlJc w:val="left"/>
      <w:pPr>
        <w:ind w:left="4320" w:hanging="360"/>
      </w:pPr>
      <w:rPr>
        <w:rFonts w:ascii="Wingdings" w:hAnsi="Wingdings" w:hint="default"/>
      </w:rPr>
    </w:lvl>
    <w:lvl w:ilvl="6" w:tplc="D1064E50">
      <w:start w:val="1"/>
      <w:numFmt w:val="bullet"/>
      <w:lvlText w:val=""/>
      <w:lvlJc w:val="left"/>
      <w:pPr>
        <w:ind w:left="5040" w:hanging="360"/>
      </w:pPr>
      <w:rPr>
        <w:rFonts w:ascii="Symbol" w:hAnsi="Symbol" w:hint="default"/>
      </w:rPr>
    </w:lvl>
    <w:lvl w:ilvl="7" w:tplc="D09CA25C">
      <w:start w:val="1"/>
      <w:numFmt w:val="bullet"/>
      <w:lvlText w:val="o"/>
      <w:lvlJc w:val="left"/>
      <w:pPr>
        <w:ind w:left="5760" w:hanging="360"/>
      </w:pPr>
      <w:rPr>
        <w:rFonts w:ascii="Courier New" w:hAnsi="Courier New" w:hint="default"/>
      </w:rPr>
    </w:lvl>
    <w:lvl w:ilvl="8" w:tplc="11924A70">
      <w:start w:val="1"/>
      <w:numFmt w:val="bullet"/>
      <w:lvlText w:val=""/>
      <w:lvlJc w:val="left"/>
      <w:pPr>
        <w:ind w:left="6480" w:hanging="360"/>
      </w:pPr>
      <w:rPr>
        <w:rFonts w:ascii="Wingdings" w:hAnsi="Wingdings" w:hint="default"/>
      </w:rPr>
    </w:lvl>
  </w:abstractNum>
  <w:abstractNum w:abstractNumId="16" w15:restartNumberingAfterBreak="0">
    <w:nsid w:val="34265DDC"/>
    <w:multiLevelType w:val="hybridMultilevel"/>
    <w:tmpl w:val="2EA605FC"/>
    <w:lvl w:ilvl="0" w:tplc="1809000F">
      <w:start w:val="1"/>
      <w:numFmt w:val="decimal"/>
      <w:lvlText w:val="%1."/>
      <w:lvlJc w:val="left"/>
      <w:pPr>
        <w:ind w:left="2880" w:hanging="360"/>
      </w:p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7" w15:restartNumberingAfterBreak="0">
    <w:nsid w:val="34A43666"/>
    <w:multiLevelType w:val="hybridMultilevel"/>
    <w:tmpl w:val="0C00BA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B92A87"/>
    <w:multiLevelType w:val="multilevel"/>
    <w:tmpl w:val="3E1650CE"/>
    <w:lvl w:ilvl="0">
      <w:start w:val="1"/>
      <w:numFmt w:val="bullet"/>
      <w:pStyle w:val="Bullet1"/>
      <w:lvlText w:val="•"/>
      <w:lvlJc w:val="left"/>
      <w:pPr>
        <w:ind w:left="700" w:hanging="360"/>
      </w:pPr>
      <w:rPr>
        <w:rFonts w:hint="default"/>
        <w:color w:val="4BAFDD"/>
        <w:sz w:val="24"/>
      </w:rPr>
    </w:lvl>
    <w:lvl w:ilvl="1">
      <w:start w:val="1"/>
      <w:numFmt w:val="bullet"/>
      <w:pStyle w:val="Bullet2"/>
      <w:lvlText w:val="-"/>
      <w:lvlJc w:val="left"/>
      <w:pPr>
        <w:tabs>
          <w:tab w:val="num" w:pos="1021"/>
        </w:tabs>
        <w:ind w:left="1021" w:hanging="341"/>
      </w:pPr>
      <w:rPr>
        <w:rFonts w:ascii="Arial" w:hAnsi="Arial" w:hint="default"/>
        <w:color w:val="auto"/>
        <w:sz w:val="24"/>
      </w:rPr>
    </w:lvl>
    <w:lvl w:ilvl="2">
      <w:start w:val="1"/>
      <w:numFmt w:val="bullet"/>
      <w:pStyle w:val="Bullet3"/>
      <w:lvlText w:val="◦"/>
      <w:lvlJc w:val="left"/>
      <w:pPr>
        <w:tabs>
          <w:tab w:val="num" w:pos="1361"/>
        </w:tabs>
        <w:ind w:left="1361" w:hanging="340"/>
      </w:pPr>
      <w:rPr>
        <w:rFonts w:ascii="Arial" w:hAnsi="Arial" w:hint="default"/>
        <w:color w:val="44546A" w:themeColor="text2"/>
        <w:sz w:val="28"/>
      </w:rPr>
    </w:lvl>
    <w:lvl w:ilvl="3">
      <w:start w:val="1"/>
      <w:numFmt w:val="none"/>
      <w:lvlText w:val=""/>
      <w:lvlJc w:val="left"/>
      <w:pPr>
        <w:tabs>
          <w:tab w:val="num" w:pos="1361"/>
        </w:tabs>
        <w:ind w:left="1361" w:firstLine="0"/>
      </w:pPr>
      <w:rPr>
        <w:rFonts w:hint="default"/>
      </w:rPr>
    </w:lvl>
    <w:lvl w:ilvl="4">
      <w:start w:val="1"/>
      <w:numFmt w:val="none"/>
      <w:lvlText w:val=""/>
      <w:lvlJc w:val="left"/>
      <w:pPr>
        <w:tabs>
          <w:tab w:val="num" w:pos="1361"/>
        </w:tabs>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Text w:val=""/>
      <w:lvlJc w:val="left"/>
      <w:pPr>
        <w:tabs>
          <w:tab w:val="num" w:pos="1361"/>
        </w:tabs>
        <w:ind w:left="1361" w:firstLine="0"/>
      </w:pPr>
      <w:rPr>
        <w:rFonts w:hint="default"/>
      </w:rPr>
    </w:lvl>
    <w:lvl w:ilvl="8">
      <w:start w:val="1"/>
      <w:numFmt w:val="none"/>
      <w:lvlText w:val=""/>
      <w:lvlJc w:val="left"/>
      <w:pPr>
        <w:tabs>
          <w:tab w:val="num" w:pos="1361"/>
        </w:tabs>
        <w:ind w:left="1361" w:firstLine="0"/>
      </w:pPr>
      <w:rPr>
        <w:rFonts w:hint="default"/>
      </w:rPr>
    </w:lvl>
  </w:abstractNum>
  <w:abstractNum w:abstractNumId="19" w15:restartNumberingAfterBreak="0">
    <w:nsid w:val="3DD71455"/>
    <w:multiLevelType w:val="hybridMultilevel"/>
    <w:tmpl w:val="6C9CF8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5493BE5"/>
    <w:multiLevelType w:val="hybridMultilevel"/>
    <w:tmpl w:val="EB3633C2"/>
    <w:lvl w:ilvl="0" w:tplc="6846DEE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9923B9"/>
    <w:multiLevelType w:val="hybridMultilevel"/>
    <w:tmpl w:val="6B60A0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F035A8"/>
    <w:multiLevelType w:val="hybridMultilevel"/>
    <w:tmpl w:val="399470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1980B17"/>
    <w:multiLevelType w:val="hybridMultilevel"/>
    <w:tmpl w:val="FFFFFFFF"/>
    <w:lvl w:ilvl="0" w:tplc="4744515C">
      <w:start w:val="1"/>
      <w:numFmt w:val="bullet"/>
      <w:lvlText w:val="-"/>
      <w:lvlJc w:val="left"/>
      <w:pPr>
        <w:ind w:left="720" w:hanging="360"/>
      </w:pPr>
      <w:rPr>
        <w:rFonts w:ascii="Aptos" w:hAnsi="Aptos" w:hint="default"/>
      </w:rPr>
    </w:lvl>
    <w:lvl w:ilvl="1" w:tplc="9C6A0700">
      <w:start w:val="1"/>
      <w:numFmt w:val="bullet"/>
      <w:lvlText w:val="o"/>
      <w:lvlJc w:val="left"/>
      <w:pPr>
        <w:ind w:left="1440" w:hanging="360"/>
      </w:pPr>
      <w:rPr>
        <w:rFonts w:ascii="Courier New" w:hAnsi="Courier New" w:hint="default"/>
      </w:rPr>
    </w:lvl>
    <w:lvl w:ilvl="2" w:tplc="E8D6097E">
      <w:start w:val="1"/>
      <w:numFmt w:val="bullet"/>
      <w:lvlText w:val=""/>
      <w:lvlJc w:val="left"/>
      <w:pPr>
        <w:ind w:left="2160" w:hanging="360"/>
      </w:pPr>
      <w:rPr>
        <w:rFonts w:ascii="Wingdings" w:hAnsi="Wingdings" w:hint="default"/>
      </w:rPr>
    </w:lvl>
    <w:lvl w:ilvl="3" w:tplc="A6D4C3FC">
      <w:start w:val="1"/>
      <w:numFmt w:val="bullet"/>
      <w:lvlText w:val=""/>
      <w:lvlJc w:val="left"/>
      <w:pPr>
        <w:ind w:left="2880" w:hanging="360"/>
      </w:pPr>
      <w:rPr>
        <w:rFonts w:ascii="Symbol" w:hAnsi="Symbol" w:hint="default"/>
      </w:rPr>
    </w:lvl>
    <w:lvl w:ilvl="4" w:tplc="49A48B1A">
      <w:start w:val="1"/>
      <w:numFmt w:val="bullet"/>
      <w:lvlText w:val="o"/>
      <w:lvlJc w:val="left"/>
      <w:pPr>
        <w:ind w:left="3600" w:hanging="360"/>
      </w:pPr>
      <w:rPr>
        <w:rFonts w:ascii="Courier New" w:hAnsi="Courier New" w:hint="default"/>
      </w:rPr>
    </w:lvl>
    <w:lvl w:ilvl="5" w:tplc="0EB46DEC">
      <w:start w:val="1"/>
      <w:numFmt w:val="bullet"/>
      <w:lvlText w:val=""/>
      <w:lvlJc w:val="left"/>
      <w:pPr>
        <w:ind w:left="4320" w:hanging="360"/>
      </w:pPr>
      <w:rPr>
        <w:rFonts w:ascii="Wingdings" w:hAnsi="Wingdings" w:hint="default"/>
      </w:rPr>
    </w:lvl>
    <w:lvl w:ilvl="6" w:tplc="819A64D2">
      <w:start w:val="1"/>
      <w:numFmt w:val="bullet"/>
      <w:lvlText w:val=""/>
      <w:lvlJc w:val="left"/>
      <w:pPr>
        <w:ind w:left="5040" w:hanging="360"/>
      </w:pPr>
      <w:rPr>
        <w:rFonts w:ascii="Symbol" w:hAnsi="Symbol" w:hint="default"/>
      </w:rPr>
    </w:lvl>
    <w:lvl w:ilvl="7" w:tplc="22EC05B4">
      <w:start w:val="1"/>
      <w:numFmt w:val="bullet"/>
      <w:lvlText w:val="o"/>
      <w:lvlJc w:val="left"/>
      <w:pPr>
        <w:ind w:left="5760" w:hanging="360"/>
      </w:pPr>
      <w:rPr>
        <w:rFonts w:ascii="Courier New" w:hAnsi="Courier New" w:hint="default"/>
      </w:rPr>
    </w:lvl>
    <w:lvl w:ilvl="8" w:tplc="02E8C8EC">
      <w:start w:val="1"/>
      <w:numFmt w:val="bullet"/>
      <w:lvlText w:val=""/>
      <w:lvlJc w:val="left"/>
      <w:pPr>
        <w:ind w:left="6480" w:hanging="360"/>
      </w:pPr>
      <w:rPr>
        <w:rFonts w:ascii="Wingdings" w:hAnsi="Wingdings" w:hint="default"/>
      </w:rPr>
    </w:lvl>
  </w:abstractNum>
  <w:abstractNum w:abstractNumId="24" w15:restartNumberingAfterBreak="0">
    <w:nsid w:val="55D17DE7"/>
    <w:multiLevelType w:val="hybridMultilevel"/>
    <w:tmpl w:val="AD3A33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7AC9C2"/>
    <w:multiLevelType w:val="hybridMultilevel"/>
    <w:tmpl w:val="FFFFFFFF"/>
    <w:lvl w:ilvl="0" w:tplc="86C0FDE8">
      <w:start w:val="1"/>
      <w:numFmt w:val="bullet"/>
      <w:lvlText w:val=""/>
      <w:lvlJc w:val="left"/>
      <w:pPr>
        <w:ind w:left="720" w:hanging="360"/>
      </w:pPr>
      <w:rPr>
        <w:rFonts w:ascii="Symbol" w:hAnsi="Symbol" w:hint="default"/>
      </w:rPr>
    </w:lvl>
    <w:lvl w:ilvl="1" w:tplc="49CA5C94">
      <w:start w:val="1"/>
      <w:numFmt w:val="bullet"/>
      <w:lvlText w:val="o"/>
      <w:lvlJc w:val="left"/>
      <w:pPr>
        <w:ind w:left="1440" w:hanging="360"/>
      </w:pPr>
      <w:rPr>
        <w:rFonts w:ascii="Courier New" w:hAnsi="Courier New" w:hint="default"/>
      </w:rPr>
    </w:lvl>
    <w:lvl w:ilvl="2" w:tplc="2B8637E4">
      <w:start w:val="1"/>
      <w:numFmt w:val="bullet"/>
      <w:lvlText w:val=""/>
      <w:lvlJc w:val="left"/>
      <w:pPr>
        <w:ind w:left="2160" w:hanging="360"/>
      </w:pPr>
      <w:rPr>
        <w:rFonts w:ascii="Wingdings" w:hAnsi="Wingdings" w:hint="default"/>
      </w:rPr>
    </w:lvl>
    <w:lvl w:ilvl="3" w:tplc="8A3CBB28">
      <w:start w:val="1"/>
      <w:numFmt w:val="bullet"/>
      <w:lvlText w:val=""/>
      <w:lvlJc w:val="left"/>
      <w:pPr>
        <w:ind w:left="2880" w:hanging="360"/>
      </w:pPr>
      <w:rPr>
        <w:rFonts w:ascii="Symbol" w:hAnsi="Symbol" w:hint="default"/>
      </w:rPr>
    </w:lvl>
    <w:lvl w:ilvl="4" w:tplc="826E2DA8">
      <w:start w:val="1"/>
      <w:numFmt w:val="bullet"/>
      <w:lvlText w:val="o"/>
      <w:lvlJc w:val="left"/>
      <w:pPr>
        <w:ind w:left="3600" w:hanging="360"/>
      </w:pPr>
      <w:rPr>
        <w:rFonts w:ascii="Courier New" w:hAnsi="Courier New" w:hint="default"/>
      </w:rPr>
    </w:lvl>
    <w:lvl w:ilvl="5" w:tplc="E52E9734">
      <w:start w:val="1"/>
      <w:numFmt w:val="bullet"/>
      <w:lvlText w:val=""/>
      <w:lvlJc w:val="left"/>
      <w:pPr>
        <w:ind w:left="4320" w:hanging="360"/>
      </w:pPr>
      <w:rPr>
        <w:rFonts w:ascii="Wingdings" w:hAnsi="Wingdings" w:hint="default"/>
      </w:rPr>
    </w:lvl>
    <w:lvl w:ilvl="6" w:tplc="21FE77D2">
      <w:start w:val="1"/>
      <w:numFmt w:val="bullet"/>
      <w:lvlText w:val=""/>
      <w:lvlJc w:val="left"/>
      <w:pPr>
        <w:ind w:left="5040" w:hanging="360"/>
      </w:pPr>
      <w:rPr>
        <w:rFonts w:ascii="Symbol" w:hAnsi="Symbol" w:hint="default"/>
      </w:rPr>
    </w:lvl>
    <w:lvl w:ilvl="7" w:tplc="10E6B69E">
      <w:start w:val="1"/>
      <w:numFmt w:val="bullet"/>
      <w:lvlText w:val="o"/>
      <w:lvlJc w:val="left"/>
      <w:pPr>
        <w:ind w:left="5760" w:hanging="360"/>
      </w:pPr>
      <w:rPr>
        <w:rFonts w:ascii="Courier New" w:hAnsi="Courier New" w:hint="default"/>
      </w:rPr>
    </w:lvl>
    <w:lvl w:ilvl="8" w:tplc="38FA2BE4">
      <w:start w:val="1"/>
      <w:numFmt w:val="bullet"/>
      <w:lvlText w:val=""/>
      <w:lvlJc w:val="left"/>
      <w:pPr>
        <w:ind w:left="6480" w:hanging="360"/>
      </w:pPr>
      <w:rPr>
        <w:rFonts w:ascii="Wingdings" w:hAnsi="Wingdings" w:hint="default"/>
      </w:rPr>
    </w:lvl>
  </w:abstractNum>
  <w:abstractNum w:abstractNumId="26" w15:restartNumberingAfterBreak="0">
    <w:nsid w:val="5D7A59CD"/>
    <w:multiLevelType w:val="hybridMultilevel"/>
    <w:tmpl w:val="CF2090DE"/>
    <w:lvl w:ilvl="0" w:tplc="18090011">
      <w:start w:val="1"/>
      <w:numFmt w:val="decimal"/>
      <w:lvlText w:val="%1)"/>
      <w:lvlJc w:val="left"/>
      <w:pPr>
        <w:ind w:left="1146" w:hanging="360"/>
      </w:p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27" w15:restartNumberingAfterBreak="0">
    <w:nsid w:val="6666128F"/>
    <w:multiLevelType w:val="hybridMultilevel"/>
    <w:tmpl w:val="509CF09A"/>
    <w:lvl w:ilvl="0" w:tplc="99549A4E">
      <w:start w:val="19"/>
      <w:numFmt w:val="bullet"/>
      <w:lvlText w:val="-"/>
      <w:lvlJc w:val="left"/>
      <w:pPr>
        <w:ind w:left="862" w:hanging="360"/>
      </w:pPr>
      <w:rPr>
        <w:rFonts w:ascii="EC Square Sans Pro" w:eastAsia="Times New Roman" w:hAnsi="EC Square Sans Pro" w:cs="Times New Roman" w:hint="default"/>
      </w:rPr>
    </w:lvl>
    <w:lvl w:ilvl="1" w:tplc="18090003">
      <w:start w:val="1"/>
      <w:numFmt w:val="bullet"/>
      <w:lvlText w:val="o"/>
      <w:lvlJc w:val="left"/>
      <w:pPr>
        <w:ind w:left="1582" w:hanging="360"/>
      </w:pPr>
      <w:rPr>
        <w:rFonts w:ascii="Courier New" w:hAnsi="Courier New" w:cs="Courier New" w:hint="default"/>
      </w:rPr>
    </w:lvl>
    <w:lvl w:ilvl="2" w:tplc="18090005">
      <w:start w:val="1"/>
      <w:numFmt w:val="bullet"/>
      <w:lvlText w:val=""/>
      <w:lvlJc w:val="left"/>
      <w:pPr>
        <w:ind w:left="2302" w:hanging="360"/>
      </w:pPr>
      <w:rPr>
        <w:rFonts w:ascii="Wingdings" w:hAnsi="Wingdings" w:hint="default"/>
      </w:rPr>
    </w:lvl>
    <w:lvl w:ilvl="3" w:tplc="18090001">
      <w:start w:val="1"/>
      <w:numFmt w:val="bullet"/>
      <w:lvlText w:val=""/>
      <w:lvlJc w:val="left"/>
      <w:pPr>
        <w:ind w:left="3022" w:hanging="360"/>
      </w:pPr>
      <w:rPr>
        <w:rFonts w:ascii="Symbol" w:hAnsi="Symbol" w:hint="default"/>
      </w:rPr>
    </w:lvl>
    <w:lvl w:ilvl="4" w:tplc="18090003">
      <w:start w:val="1"/>
      <w:numFmt w:val="bullet"/>
      <w:lvlText w:val="o"/>
      <w:lvlJc w:val="left"/>
      <w:pPr>
        <w:ind w:left="3742" w:hanging="360"/>
      </w:pPr>
      <w:rPr>
        <w:rFonts w:ascii="Courier New" w:hAnsi="Courier New" w:cs="Courier New" w:hint="default"/>
      </w:rPr>
    </w:lvl>
    <w:lvl w:ilvl="5" w:tplc="18090005">
      <w:start w:val="1"/>
      <w:numFmt w:val="bullet"/>
      <w:lvlText w:val=""/>
      <w:lvlJc w:val="left"/>
      <w:pPr>
        <w:ind w:left="4462" w:hanging="360"/>
      </w:pPr>
      <w:rPr>
        <w:rFonts w:ascii="Wingdings" w:hAnsi="Wingdings" w:hint="default"/>
      </w:rPr>
    </w:lvl>
    <w:lvl w:ilvl="6" w:tplc="18090001">
      <w:start w:val="1"/>
      <w:numFmt w:val="bullet"/>
      <w:lvlText w:val=""/>
      <w:lvlJc w:val="left"/>
      <w:pPr>
        <w:ind w:left="5182" w:hanging="360"/>
      </w:pPr>
      <w:rPr>
        <w:rFonts w:ascii="Symbol" w:hAnsi="Symbol" w:hint="default"/>
      </w:rPr>
    </w:lvl>
    <w:lvl w:ilvl="7" w:tplc="18090003">
      <w:start w:val="1"/>
      <w:numFmt w:val="bullet"/>
      <w:lvlText w:val="o"/>
      <w:lvlJc w:val="left"/>
      <w:pPr>
        <w:ind w:left="5902" w:hanging="360"/>
      </w:pPr>
      <w:rPr>
        <w:rFonts w:ascii="Courier New" w:hAnsi="Courier New" w:cs="Courier New" w:hint="default"/>
      </w:rPr>
    </w:lvl>
    <w:lvl w:ilvl="8" w:tplc="18090005">
      <w:start w:val="1"/>
      <w:numFmt w:val="bullet"/>
      <w:lvlText w:val=""/>
      <w:lvlJc w:val="left"/>
      <w:pPr>
        <w:ind w:left="6622" w:hanging="360"/>
      </w:pPr>
      <w:rPr>
        <w:rFonts w:ascii="Wingdings" w:hAnsi="Wingdings" w:hint="default"/>
      </w:rPr>
    </w:lvl>
  </w:abstractNum>
  <w:abstractNum w:abstractNumId="28" w15:restartNumberingAfterBreak="0">
    <w:nsid w:val="6A627F4B"/>
    <w:multiLevelType w:val="hybridMultilevel"/>
    <w:tmpl w:val="467C73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CC04ECE"/>
    <w:multiLevelType w:val="hybridMultilevel"/>
    <w:tmpl w:val="ABF089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D5D4CE3"/>
    <w:multiLevelType w:val="multilevel"/>
    <w:tmpl w:val="65943D9E"/>
    <w:lvl w:ilvl="0">
      <w:start w:val="1"/>
      <w:numFmt w:val="decimal"/>
      <w:lvlText w:val="%1."/>
      <w:lvlJc w:val="left"/>
      <w:pPr>
        <w:ind w:left="720" w:hanging="360"/>
      </w:pPr>
      <w:rPr>
        <w:color w:val="auto"/>
      </w:rPr>
    </w:lvl>
    <w:lvl w:ilvl="1">
      <w:start w:val="4"/>
      <w:numFmt w:val="decimal"/>
      <w:lvlText w:val="%1.%2."/>
      <w:lvlJc w:val="left"/>
      <w:pPr>
        <w:ind w:left="810" w:hanging="45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2CD0598"/>
    <w:multiLevelType w:val="hybridMultilevel"/>
    <w:tmpl w:val="0C00BA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30B2C3B"/>
    <w:multiLevelType w:val="multilevel"/>
    <w:tmpl w:val="FB128EF4"/>
    <w:lvl w:ilvl="0">
      <w:start w:val="1"/>
      <w:numFmt w:val="decimal"/>
      <w:lvlText w:val="%1."/>
      <w:lvlJc w:val="left"/>
      <w:pPr>
        <w:ind w:left="720" w:hanging="360"/>
      </w:pPr>
      <w:rPr>
        <w:rFonts w:hint="default"/>
        <w:color w:val="auto"/>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A306084"/>
    <w:multiLevelType w:val="hybridMultilevel"/>
    <w:tmpl w:val="6B60A0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AF721D4"/>
    <w:multiLevelType w:val="hybridMultilevel"/>
    <w:tmpl w:val="D2F47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E2B4559"/>
    <w:multiLevelType w:val="hybridMultilevel"/>
    <w:tmpl w:val="FFFFFFFF"/>
    <w:lvl w:ilvl="0" w:tplc="54106822">
      <w:start w:val="1"/>
      <w:numFmt w:val="bullet"/>
      <w:lvlText w:val=""/>
      <w:lvlJc w:val="left"/>
      <w:pPr>
        <w:ind w:left="700" w:hanging="360"/>
      </w:pPr>
      <w:rPr>
        <w:rFonts w:ascii="Symbol" w:hAnsi="Symbol" w:hint="default"/>
      </w:rPr>
    </w:lvl>
    <w:lvl w:ilvl="1" w:tplc="7834D75E">
      <w:start w:val="1"/>
      <w:numFmt w:val="bullet"/>
      <w:lvlText w:val="o"/>
      <w:lvlJc w:val="left"/>
      <w:pPr>
        <w:ind w:left="1440" w:hanging="360"/>
      </w:pPr>
      <w:rPr>
        <w:rFonts w:ascii="Courier New" w:hAnsi="Courier New" w:hint="default"/>
      </w:rPr>
    </w:lvl>
    <w:lvl w:ilvl="2" w:tplc="E8385E56">
      <w:start w:val="1"/>
      <w:numFmt w:val="bullet"/>
      <w:lvlText w:val=""/>
      <w:lvlJc w:val="left"/>
      <w:pPr>
        <w:ind w:left="2160" w:hanging="360"/>
      </w:pPr>
      <w:rPr>
        <w:rFonts w:ascii="Wingdings" w:hAnsi="Wingdings" w:hint="default"/>
      </w:rPr>
    </w:lvl>
    <w:lvl w:ilvl="3" w:tplc="89C4AF16">
      <w:start w:val="1"/>
      <w:numFmt w:val="bullet"/>
      <w:lvlText w:val=""/>
      <w:lvlJc w:val="left"/>
      <w:pPr>
        <w:ind w:left="2880" w:hanging="360"/>
      </w:pPr>
      <w:rPr>
        <w:rFonts w:ascii="Symbol" w:hAnsi="Symbol" w:hint="default"/>
      </w:rPr>
    </w:lvl>
    <w:lvl w:ilvl="4" w:tplc="7E84066C">
      <w:start w:val="1"/>
      <w:numFmt w:val="bullet"/>
      <w:lvlText w:val="o"/>
      <w:lvlJc w:val="left"/>
      <w:pPr>
        <w:ind w:left="3600" w:hanging="360"/>
      </w:pPr>
      <w:rPr>
        <w:rFonts w:ascii="Courier New" w:hAnsi="Courier New" w:hint="default"/>
      </w:rPr>
    </w:lvl>
    <w:lvl w:ilvl="5" w:tplc="CFDCEACE">
      <w:start w:val="1"/>
      <w:numFmt w:val="bullet"/>
      <w:lvlText w:val=""/>
      <w:lvlJc w:val="left"/>
      <w:pPr>
        <w:ind w:left="4320" w:hanging="360"/>
      </w:pPr>
      <w:rPr>
        <w:rFonts w:ascii="Wingdings" w:hAnsi="Wingdings" w:hint="default"/>
      </w:rPr>
    </w:lvl>
    <w:lvl w:ilvl="6" w:tplc="751E60A0">
      <w:start w:val="1"/>
      <w:numFmt w:val="bullet"/>
      <w:lvlText w:val=""/>
      <w:lvlJc w:val="left"/>
      <w:pPr>
        <w:ind w:left="5040" w:hanging="360"/>
      </w:pPr>
      <w:rPr>
        <w:rFonts w:ascii="Symbol" w:hAnsi="Symbol" w:hint="default"/>
      </w:rPr>
    </w:lvl>
    <w:lvl w:ilvl="7" w:tplc="68DC4988">
      <w:start w:val="1"/>
      <w:numFmt w:val="bullet"/>
      <w:lvlText w:val="o"/>
      <w:lvlJc w:val="left"/>
      <w:pPr>
        <w:ind w:left="5760" w:hanging="360"/>
      </w:pPr>
      <w:rPr>
        <w:rFonts w:ascii="Courier New" w:hAnsi="Courier New" w:hint="default"/>
      </w:rPr>
    </w:lvl>
    <w:lvl w:ilvl="8" w:tplc="3E721948">
      <w:start w:val="1"/>
      <w:numFmt w:val="bullet"/>
      <w:lvlText w:val=""/>
      <w:lvlJc w:val="left"/>
      <w:pPr>
        <w:ind w:left="6480" w:hanging="360"/>
      </w:pPr>
      <w:rPr>
        <w:rFonts w:ascii="Wingdings" w:hAnsi="Wingdings" w:hint="default"/>
      </w:rPr>
    </w:lvl>
  </w:abstractNum>
  <w:abstractNum w:abstractNumId="36" w15:restartNumberingAfterBreak="0">
    <w:nsid w:val="7E624BA8"/>
    <w:multiLevelType w:val="hybridMultilevel"/>
    <w:tmpl w:val="0C00BA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2"/>
  </w:num>
  <w:num w:numId="2">
    <w:abstractNumId w:val="24"/>
  </w:num>
  <w:num w:numId="3">
    <w:abstractNumId w:val="13"/>
  </w:num>
  <w:num w:numId="4">
    <w:abstractNumId w:val="31"/>
  </w:num>
  <w:num w:numId="5">
    <w:abstractNumId w:val="10"/>
  </w:num>
  <w:num w:numId="6">
    <w:abstractNumId w:val="2"/>
  </w:num>
  <w:num w:numId="7">
    <w:abstractNumId w:val="11"/>
  </w:num>
  <w:num w:numId="8">
    <w:abstractNumId w:val="9"/>
  </w:num>
  <w:num w:numId="9">
    <w:abstractNumId w:val="4"/>
  </w:num>
  <w:num w:numId="10">
    <w:abstractNumId w:val="23"/>
  </w:num>
  <w:num w:numId="11">
    <w:abstractNumId w:val="25"/>
  </w:num>
  <w:num w:numId="12">
    <w:abstractNumId w:val="19"/>
  </w:num>
  <w:num w:numId="13">
    <w:abstractNumId w:val="17"/>
  </w:num>
  <w:num w:numId="14">
    <w:abstractNumId w:val="7"/>
  </w:num>
  <w:num w:numId="15">
    <w:abstractNumId w:val="34"/>
  </w:num>
  <w:num w:numId="16">
    <w:abstractNumId w:val="36"/>
  </w:num>
  <w:num w:numId="17">
    <w:abstractNumId w:val="18"/>
    <w:lvlOverride w:ilvl="0">
      <w:lvl w:ilvl="0">
        <w:numFmt w:val="bullet"/>
        <w:pStyle w:val="Bullet1"/>
        <w:lvlText w:val="•"/>
        <w:lvlJc w:val="left"/>
        <w:pPr>
          <w:ind w:left="700" w:hanging="360"/>
        </w:pPr>
        <w:rPr>
          <w:rFonts w:hint="default"/>
          <w:color w:val="auto"/>
          <w:sz w:val="24"/>
        </w:rPr>
      </w:lvl>
    </w:lvlOverride>
    <w:lvlOverride w:ilvl="1">
      <w:lvl w:ilvl="1">
        <w:start w:val="1"/>
        <w:numFmt w:val="bullet"/>
        <w:pStyle w:val="Bullet2"/>
        <w:lvlText w:val="-"/>
        <w:lvlJc w:val="left"/>
        <w:pPr>
          <w:tabs>
            <w:tab w:val="num" w:pos="1021"/>
          </w:tabs>
          <w:ind w:left="1021" w:hanging="341"/>
        </w:pPr>
        <w:rPr>
          <w:rFonts w:ascii="Arial" w:hAnsi="Arial" w:hint="default"/>
          <w:color w:val="auto"/>
          <w:sz w:val="24"/>
        </w:rPr>
      </w:lvl>
    </w:lvlOverride>
    <w:lvlOverride w:ilvl="2">
      <w:lvl w:ilvl="2">
        <w:start w:val="1"/>
        <w:numFmt w:val="bullet"/>
        <w:pStyle w:val="Bullet3"/>
        <w:lvlText w:val="◦"/>
        <w:lvlJc w:val="left"/>
        <w:pPr>
          <w:tabs>
            <w:tab w:val="num" w:pos="1361"/>
          </w:tabs>
          <w:ind w:left="1361" w:hanging="340"/>
        </w:pPr>
        <w:rPr>
          <w:rFonts w:ascii="Arial" w:hAnsi="Arial" w:hint="default"/>
          <w:color w:val="44546A" w:themeColor="text2"/>
          <w:sz w:val="28"/>
        </w:rPr>
      </w:lvl>
    </w:lvlOverride>
    <w:lvlOverride w:ilvl="3">
      <w:lvl w:ilvl="3">
        <w:start w:val="1"/>
        <w:numFmt w:val="none"/>
        <w:lvlText w:val=""/>
        <w:lvlJc w:val="left"/>
        <w:pPr>
          <w:tabs>
            <w:tab w:val="num" w:pos="1361"/>
          </w:tabs>
          <w:ind w:left="1361" w:firstLine="0"/>
        </w:pPr>
        <w:rPr>
          <w:rFonts w:hint="default"/>
        </w:rPr>
      </w:lvl>
    </w:lvlOverride>
    <w:lvlOverride w:ilvl="4">
      <w:lvl w:ilvl="4">
        <w:start w:val="1"/>
        <w:numFmt w:val="none"/>
        <w:lvlText w:val=""/>
        <w:lvlJc w:val="left"/>
        <w:pPr>
          <w:tabs>
            <w:tab w:val="num" w:pos="1361"/>
          </w:tabs>
          <w:ind w:left="1361" w:firstLine="0"/>
        </w:pPr>
        <w:rPr>
          <w:rFonts w:hint="default"/>
        </w:rPr>
      </w:lvl>
    </w:lvlOverride>
    <w:lvlOverride w:ilvl="5">
      <w:lvl w:ilvl="5">
        <w:start w:val="1"/>
        <w:numFmt w:val="none"/>
        <w:lvlText w:val=""/>
        <w:lvlJc w:val="left"/>
        <w:pPr>
          <w:tabs>
            <w:tab w:val="num" w:pos="1361"/>
          </w:tabs>
          <w:ind w:left="1361" w:firstLine="0"/>
        </w:pPr>
        <w:rPr>
          <w:rFonts w:hint="default"/>
        </w:rPr>
      </w:lvl>
    </w:lvlOverride>
    <w:lvlOverride w:ilvl="6">
      <w:lvl w:ilvl="6">
        <w:start w:val="1"/>
        <w:numFmt w:val="none"/>
        <w:lvlText w:val=""/>
        <w:lvlJc w:val="left"/>
        <w:pPr>
          <w:tabs>
            <w:tab w:val="num" w:pos="1361"/>
          </w:tabs>
          <w:ind w:left="1361" w:firstLine="0"/>
        </w:pPr>
        <w:rPr>
          <w:rFonts w:hint="default"/>
        </w:rPr>
      </w:lvl>
    </w:lvlOverride>
    <w:lvlOverride w:ilvl="7">
      <w:lvl w:ilvl="7">
        <w:start w:val="1"/>
        <w:numFmt w:val="none"/>
        <w:lvlText w:val=""/>
        <w:lvlJc w:val="left"/>
        <w:pPr>
          <w:tabs>
            <w:tab w:val="num" w:pos="1361"/>
          </w:tabs>
          <w:ind w:left="1361" w:firstLine="0"/>
        </w:pPr>
        <w:rPr>
          <w:rFonts w:hint="default"/>
        </w:rPr>
      </w:lvl>
    </w:lvlOverride>
    <w:lvlOverride w:ilvl="8">
      <w:lvl w:ilvl="8">
        <w:start w:val="1"/>
        <w:numFmt w:val="none"/>
        <w:lvlText w:val=""/>
        <w:lvlJc w:val="left"/>
        <w:pPr>
          <w:tabs>
            <w:tab w:val="num" w:pos="1361"/>
          </w:tabs>
          <w:ind w:left="1361" w:firstLine="0"/>
        </w:pPr>
        <w:rPr>
          <w:rFonts w:hint="default"/>
        </w:rPr>
      </w:lvl>
    </w:lvlOverride>
  </w:num>
  <w:num w:numId="18">
    <w:abstractNumId w:val="35"/>
  </w:num>
  <w:num w:numId="19">
    <w:abstractNumId w:val="15"/>
  </w:num>
  <w:num w:numId="20">
    <w:abstractNumId w:val="27"/>
  </w:num>
  <w:num w:numId="21">
    <w:abstractNumId w:val="27"/>
  </w:num>
  <w:num w:numId="22">
    <w:abstractNumId w:val="5"/>
  </w:num>
  <w:num w:numId="23">
    <w:abstractNumId w:val="22"/>
  </w:num>
  <w:num w:numId="24">
    <w:abstractNumId w:val="1"/>
  </w:num>
  <w:num w:numId="25">
    <w:abstractNumId w:val="30"/>
  </w:num>
  <w:num w:numId="26">
    <w:abstractNumId w:val="32"/>
  </w:num>
  <w:num w:numId="27">
    <w:abstractNumId w:val="20"/>
  </w:num>
  <w:num w:numId="28">
    <w:abstractNumId w:val="14"/>
  </w:num>
  <w:num w:numId="29">
    <w:abstractNumId w:val="8"/>
  </w:num>
  <w:num w:numId="30">
    <w:abstractNumId w:val="26"/>
  </w:num>
  <w:num w:numId="31">
    <w:abstractNumId w:val="3"/>
  </w:num>
  <w:num w:numId="32">
    <w:abstractNumId w:val="21"/>
  </w:num>
  <w:num w:numId="33">
    <w:abstractNumId w:val="33"/>
  </w:num>
  <w:num w:numId="34">
    <w:abstractNumId w:val="16"/>
  </w:num>
  <w:num w:numId="35">
    <w:abstractNumId w:val="6"/>
  </w:num>
  <w:num w:numId="36">
    <w:abstractNumId w:val="29"/>
  </w:num>
  <w:num w:numId="37">
    <w:abstractNumId w:val="28"/>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9"/>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BCF8D780-F27B-4F60-ADA1-4017E44808E2"/>
    <w:docVar w:name="LW_COVERPAGE_TYPE" w:val="1"/>
    <w:docVar w:name="LW_CROSSREFERENCE" w:val="&lt;UNUSED&gt;"/>
    <w:docVar w:name="LW_DocType" w:val="NORMAL"/>
    <w:docVar w:name="LW_EMISSION" w:val="29.5.2024"/>
    <w:docVar w:name="LW_EMISSION_ISODATE" w:val="2024-05-29"/>
    <w:docVar w:name="LW_EMISSION_LOCATION" w:val="BRX"/>
    <w:docVar w:name="LW_EMISSION_PREFIX" w:val="Bruxelles, le "/>
    <w:docVar w:name="LW_EMISSION_SUFFIX" w:val=" "/>
    <w:docVar w:name="LW_ID_DOCTYPE_NONLW" w:val="CP-011"/>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21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u8217?évaluation du mécanisme de protection civile de l\u8217?Union \u8211? Renforcer_x000b_la préparation de l\u8217?UE aux situations d'urgence"/>
    <w:docVar w:name="LW_TYPE.DOC.CP" w:val="COMMUNICATION DE LA COMMISSION AU CONSEIL ET AU PARLEMENT EUROPÉEN"/>
    <w:docVar w:name="LW_TYPE.DOC.CP.USERTEXT" w:val="&lt;EMPTY&gt;"/>
    <w:docVar w:name="LwApiVersions" w:val="LW4CoDe 1.24.5.0; LW 9.0, Build 20240221"/>
  </w:docVars>
  <w:rsids>
    <w:rsidRoot w:val="004D3C4D"/>
    <w:rsid w:val="000001BE"/>
    <w:rsid w:val="00000A05"/>
    <w:rsid w:val="00000A0C"/>
    <w:rsid w:val="00000DD8"/>
    <w:rsid w:val="00001039"/>
    <w:rsid w:val="000021BC"/>
    <w:rsid w:val="000021E4"/>
    <w:rsid w:val="00002683"/>
    <w:rsid w:val="00002FB7"/>
    <w:rsid w:val="000030C9"/>
    <w:rsid w:val="0000361C"/>
    <w:rsid w:val="00004191"/>
    <w:rsid w:val="0000547B"/>
    <w:rsid w:val="0000649A"/>
    <w:rsid w:val="00006B0B"/>
    <w:rsid w:val="00006DC8"/>
    <w:rsid w:val="000070BB"/>
    <w:rsid w:val="00007666"/>
    <w:rsid w:val="000103C9"/>
    <w:rsid w:val="0001087F"/>
    <w:rsid w:val="00010A57"/>
    <w:rsid w:val="00012128"/>
    <w:rsid w:val="000121D1"/>
    <w:rsid w:val="000125E3"/>
    <w:rsid w:val="0001264D"/>
    <w:rsid w:val="0001321E"/>
    <w:rsid w:val="00013F99"/>
    <w:rsid w:val="000141C4"/>
    <w:rsid w:val="00014ACA"/>
    <w:rsid w:val="00014C27"/>
    <w:rsid w:val="00015131"/>
    <w:rsid w:val="0001569A"/>
    <w:rsid w:val="000158FA"/>
    <w:rsid w:val="00015F18"/>
    <w:rsid w:val="00016E29"/>
    <w:rsid w:val="00016E74"/>
    <w:rsid w:val="0001724C"/>
    <w:rsid w:val="000204FE"/>
    <w:rsid w:val="000212E3"/>
    <w:rsid w:val="0002169D"/>
    <w:rsid w:val="00021C9E"/>
    <w:rsid w:val="00021F6C"/>
    <w:rsid w:val="00022460"/>
    <w:rsid w:val="00022471"/>
    <w:rsid w:val="00022B81"/>
    <w:rsid w:val="00023733"/>
    <w:rsid w:val="000243C8"/>
    <w:rsid w:val="000244A9"/>
    <w:rsid w:val="000249C5"/>
    <w:rsid w:val="00024F1D"/>
    <w:rsid w:val="0002537B"/>
    <w:rsid w:val="00025D05"/>
    <w:rsid w:val="00026031"/>
    <w:rsid w:val="000260A1"/>
    <w:rsid w:val="000267D3"/>
    <w:rsid w:val="000269D0"/>
    <w:rsid w:val="00026B5C"/>
    <w:rsid w:val="00026D36"/>
    <w:rsid w:val="00026F5C"/>
    <w:rsid w:val="00026F6D"/>
    <w:rsid w:val="00027C29"/>
    <w:rsid w:val="0003042B"/>
    <w:rsid w:val="0003146E"/>
    <w:rsid w:val="000315EA"/>
    <w:rsid w:val="00031674"/>
    <w:rsid w:val="00032710"/>
    <w:rsid w:val="000329EF"/>
    <w:rsid w:val="00032A00"/>
    <w:rsid w:val="00032A69"/>
    <w:rsid w:val="00032D85"/>
    <w:rsid w:val="00032FFD"/>
    <w:rsid w:val="00033058"/>
    <w:rsid w:val="0003418B"/>
    <w:rsid w:val="000341C3"/>
    <w:rsid w:val="000355ED"/>
    <w:rsid w:val="0003713A"/>
    <w:rsid w:val="00037424"/>
    <w:rsid w:val="0004080B"/>
    <w:rsid w:val="000408CC"/>
    <w:rsid w:val="00040C33"/>
    <w:rsid w:val="00040F14"/>
    <w:rsid w:val="000410E7"/>
    <w:rsid w:val="0004214F"/>
    <w:rsid w:val="00042168"/>
    <w:rsid w:val="000421DA"/>
    <w:rsid w:val="000426B0"/>
    <w:rsid w:val="00042945"/>
    <w:rsid w:val="000429A6"/>
    <w:rsid w:val="00042FE2"/>
    <w:rsid w:val="000435A6"/>
    <w:rsid w:val="00043CDB"/>
    <w:rsid w:val="00044205"/>
    <w:rsid w:val="00044BE9"/>
    <w:rsid w:val="00044D0A"/>
    <w:rsid w:val="00044E91"/>
    <w:rsid w:val="00044EF2"/>
    <w:rsid w:val="00045175"/>
    <w:rsid w:val="000453EB"/>
    <w:rsid w:val="0004549D"/>
    <w:rsid w:val="00045597"/>
    <w:rsid w:val="000456A6"/>
    <w:rsid w:val="00045B7F"/>
    <w:rsid w:val="00045F01"/>
    <w:rsid w:val="00045F45"/>
    <w:rsid w:val="000463FD"/>
    <w:rsid w:val="0004667A"/>
    <w:rsid w:val="000476CF"/>
    <w:rsid w:val="00047C5E"/>
    <w:rsid w:val="000503D2"/>
    <w:rsid w:val="000513A2"/>
    <w:rsid w:val="0005150B"/>
    <w:rsid w:val="0005152D"/>
    <w:rsid w:val="00051633"/>
    <w:rsid w:val="0005183C"/>
    <w:rsid w:val="000524BE"/>
    <w:rsid w:val="000535C5"/>
    <w:rsid w:val="00053EF7"/>
    <w:rsid w:val="0005404E"/>
    <w:rsid w:val="00054944"/>
    <w:rsid w:val="000558C2"/>
    <w:rsid w:val="00055953"/>
    <w:rsid w:val="00056279"/>
    <w:rsid w:val="000562DD"/>
    <w:rsid w:val="00060181"/>
    <w:rsid w:val="00060C49"/>
    <w:rsid w:val="00061261"/>
    <w:rsid w:val="00061715"/>
    <w:rsid w:val="00061E5D"/>
    <w:rsid w:val="00062ACF"/>
    <w:rsid w:val="000643E3"/>
    <w:rsid w:val="00064476"/>
    <w:rsid w:val="00064551"/>
    <w:rsid w:val="00066A8A"/>
    <w:rsid w:val="00066E5F"/>
    <w:rsid w:val="00067830"/>
    <w:rsid w:val="00067ACC"/>
    <w:rsid w:val="00067AD5"/>
    <w:rsid w:val="00067CD6"/>
    <w:rsid w:val="00070367"/>
    <w:rsid w:val="0007076A"/>
    <w:rsid w:val="00070B8F"/>
    <w:rsid w:val="000714A6"/>
    <w:rsid w:val="00071EC1"/>
    <w:rsid w:val="00071F09"/>
    <w:rsid w:val="00071F74"/>
    <w:rsid w:val="000721A3"/>
    <w:rsid w:val="000723D2"/>
    <w:rsid w:val="000724C0"/>
    <w:rsid w:val="00072FD4"/>
    <w:rsid w:val="00073269"/>
    <w:rsid w:val="00073549"/>
    <w:rsid w:val="000736D9"/>
    <w:rsid w:val="0007391D"/>
    <w:rsid w:val="00073EC8"/>
    <w:rsid w:val="0007457D"/>
    <w:rsid w:val="0007504A"/>
    <w:rsid w:val="00075351"/>
    <w:rsid w:val="00075A36"/>
    <w:rsid w:val="000769D5"/>
    <w:rsid w:val="00076B83"/>
    <w:rsid w:val="00077186"/>
    <w:rsid w:val="0007735E"/>
    <w:rsid w:val="00077458"/>
    <w:rsid w:val="0007785F"/>
    <w:rsid w:val="00077C1B"/>
    <w:rsid w:val="00080454"/>
    <w:rsid w:val="00080485"/>
    <w:rsid w:val="000806C0"/>
    <w:rsid w:val="00080D24"/>
    <w:rsid w:val="00080D8B"/>
    <w:rsid w:val="000814AB"/>
    <w:rsid w:val="00081D23"/>
    <w:rsid w:val="00081F14"/>
    <w:rsid w:val="00081FE7"/>
    <w:rsid w:val="000826A0"/>
    <w:rsid w:val="00082BAA"/>
    <w:rsid w:val="000836CC"/>
    <w:rsid w:val="00083973"/>
    <w:rsid w:val="00083AA5"/>
    <w:rsid w:val="00083D87"/>
    <w:rsid w:val="000847EC"/>
    <w:rsid w:val="000852CB"/>
    <w:rsid w:val="000855C7"/>
    <w:rsid w:val="000856FD"/>
    <w:rsid w:val="000859DB"/>
    <w:rsid w:val="00085FEC"/>
    <w:rsid w:val="000860C8"/>
    <w:rsid w:val="00086470"/>
    <w:rsid w:val="0008649A"/>
    <w:rsid w:val="00086792"/>
    <w:rsid w:val="00087984"/>
    <w:rsid w:val="00087E7C"/>
    <w:rsid w:val="000917C9"/>
    <w:rsid w:val="00092470"/>
    <w:rsid w:val="0009336D"/>
    <w:rsid w:val="000935AC"/>
    <w:rsid w:val="00093702"/>
    <w:rsid w:val="00093846"/>
    <w:rsid w:val="00093EB3"/>
    <w:rsid w:val="00094087"/>
    <w:rsid w:val="00094432"/>
    <w:rsid w:val="00094987"/>
    <w:rsid w:val="00094E9E"/>
    <w:rsid w:val="000953E2"/>
    <w:rsid w:val="000955F5"/>
    <w:rsid w:val="000962F7"/>
    <w:rsid w:val="000966F8"/>
    <w:rsid w:val="000969C0"/>
    <w:rsid w:val="00096F97"/>
    <w:rsid w:val="00096FF1"/>
    <w:rsid w:val="00097580"/>
    <w:rsid w:val="000977BC"/>
    <w:rsid w:val="000978B2"/>
    <w:rsid w:val="000A0B42"/>
    <w:rsid w:val="000A0FC7"/>
    <w:rsid w:val="000A1343"/>
    <w:rsid w:val="000A17A9"/>
    <w:rsid w:val="000A190B"/>
    <w:rsid w:val="000A1980"/>
    <w:rsid w:val="000A2E94"/>
    <w:rsid w:val="000A3014"/>
    <w:rsid w:val="000A354B"/>
    <w:rsid w:val="000A3627"/>
    <w:rsid w:val="000A3A58"/>
    <w:rsid w:val="000A3E1B"/>
    <w:rsid w:val="000A3E1F"/>
    <w:rsid w:val="000A3FA8"/>
    <w:rsid w:val="000A3FAC"/>
    <w:rsid w:val="000A405A"/>
    <w:rsid w:val="000A4721"/>
    <w:rsid w:val="000A4E79"/>
    <w:rsid w:val="000A51A8"/>
    <w:rsid w:val="000A5D06"/>
    <w:rsid w:val="000A6291"/>
    <w:rsid w:val="000A6A10"/>
    <w:rsid w:val="000A6A4F"/>
    <w:rsid w:val="000A6D13"/>
    <w:rsid w:val="000A749E"/>
    <w:rsid w:val="000A7941"/>
    <w:rsid w:val="000A79EF"/>
    <w:rsid w:val="000A7E7E"/>
    <w:rsid w:val="000B029E"/>
    <w:rsid w:val="000B0AF0"/>
    <w:rsid w:val="000B0C3A"/>
    <w:rsid w:val="000B11E7"/>
    <w:rsid w:val="000B1622"/>
    <w:rsid w:val="000B19A3"/>
    <w:rsid w:val="000B1B3C"/>
    <w:rsid w:val="000B1E20"/>
    <w:rsid w:val="000B2D55"/>
    <w:rsid w:val="000B3355"/>
    <w:rsid w:val="000B39B5"/>
    <w:rsid w:val="000B4430"/>
    <w:rsid w:val="000B466B"/>
    <w:rsid w:val="000B4698"/>
    <w:rsid w:val="000B5B83"/>
    <w:rsid w:val="000B5FEE"/>
    <w:rsid w:val="000B642A"/>
    <w:rsid w:val="000B6973"/>
    <w:rsid w:val="000B6CEB"/>
    <w:rsid w:val="000B6E5F"/>
    <w:rsid w:val="000B6FFC"/>
    <w:rsid w:val="000B7229"/>
    <w:rsid w:val="000B76C5"/>
    <w:rsid w:val="000C0F47"/>
    <w:rsid w:val="000C1CCA"/>
    <w:rsid w:val="000C206C"/>
    <w:rsid w:val="000C246F"/>
    <w:rsid w:val="000C2628"/>
    <w:rsid w:val="000C2E60"/>
    <w:rsid w:val="000C2F59"/>
    <w:rsid w:val="000C2FCB"/>
    <w:rsid w:val="000C3338"/>
    <w:rsid w:val="000C349A"/>
    <w:rsid w:val="000C3DB6"/>
    <w:rsid w:val="000C4120"/>
    <w:rsid w:val="000C416E"/>
    <w:rsid w:val="000C4F59"/>
    <w:rsid w:val="000C53E4"/>
    <w:rsid w:val="000C560D"/>
    <w:rsid w:val="000C568D"/>
    <w:rsid w:val="000C57F2"/>
    <w:rsid w:val="000C5B86"/>
    <w:rsid w:val="000C5CCA"/>
    <w:rsid w:val="000C5CE6"/>
    <w:rsid w:val="000C65B9"/>
    <w:rsid w:val="000C70F6"/>
    <w:rsid w:val="000C74B9"/>
    <w:rsid w:val="000C7B9E"/>
    <w:rsid w:val="000D0972"/>
    <w:rsid w:val="000D0A3C"/>
    <w:rsid w:val="000D176A"/>
    <w:rsid w:val="000D1A5E"/>
    <w:rsid w:val="000D1CE5"/>
    <w:rsid w:val="000D1F90"/>
    <w:rsid w:val="000D27B2"/>
    <w:rsid w:val="000D3205"/>
    <w:rsid w:val="000D323C"/>
    <w:rsid w:val="000D344C"/>
    <w:rsid w:val="000D3516"/>
    <w:rsid w:val="000D3A41"/>
    <w:rsid w:val="000D40E1"/>
    <w:rsid w:val="000D4AC5"/>
    <w:rsid w:val="000D4C6F"/>
    <w:rsid w:val="000D5210"/>
    <w:rsid w:val="000D5880"/>
    <w:rsid w:val="000D5DE2"/>
    <w:rsid w:val="000D6082"/>
    <w:rsid w:val="000D655A"/>
    <w:rsid w:val="000D75AA"/>
    <w:rsid w:val="000D7986"/>
    <w:rsid w:val="000D79AC"/>
    <w:rsid w:val="000D7F9B"/>
    <w:rsid w:val="000E02D3"/>
    <w:rsid w:val="000E0EE8"/>
    <w:rsid w:val="000E0F29"/>
    <w:rsid w:val="000E10EE"/>
    <w:rsid w:val="000E1AE9"/>
    <w:rsid w:val="000E20AA"/>
    <w:rsid w:val="000E2A46"/>
    <w:rsid w:val="000E303F"/>
    <w:rsid w:val="000E433D"/>
    <w:rsid w:val="000E487A"/>
    <w:rsid w:val="000E52C1"/>
    <w:rsid w:val="000E5316"/>
    <w:rsid w:val="000E5DCA"/>
    <w:rsid w:val="000E616E"/>
    <w:rsid w:val="000E64BE"/>
    <w:rsid w:val="000E6E31"/>
    <w:rsid w:val="000E7AB7"/>
    <w:rsid w:val="000E7C16"/>
    <w:rsid w:val="000E7CB3"/>
    <w:rsid w:val="000F06C6"/>
    <w:rsid w:val="000F0708"/>
    <w:rsid w:val="000F0A8A"/>
    <w:rsid w:val="000F0AD0"/>
    <w:rsid w:val="000F0C45"/>
    <w:rsid w:val="000F0EE0"/>
    <w:rsid w:val="000F10A0"/>
    <w:rsid w:val="000F15CA"/>
    <w:rsid w:val="000F16C4"/>
    <w:rsid w:val="000F248B"/>
    <w:rsid w:val="000F258D"/>
    <w:rsid w:val="000F2C3F"/>
    <w:rsid w:val="000F2D1D"/>
    <w:rsid w:val="000F31B8"/>
    <w:rsid w:val="000F3520"/>
    <w:rsid w:val="000F37DF"/>
    <w:rsid w:val="000F38E5"/>
    <w:rsid w:val="000F38FD"/>
    <w:rsid w:val="000F3D23"/>
    <w:rsid w:val="000F3D65"/>
    <w:rsid w:val="000F3ED7"/>
    <w:rsid w:val="000F4012"/>
    <w:rsid w:val="000F455F"/>
    <w:rsid w:val="000F48B2"/>
    <w:rsid w:val="000F4D20"/>
    <w:rsid w:val="000F5631"/>
    <w:rsid w:val="000F67EF"/>
    <w:rsid w:val="000F7027"/>
    <w:rsid w:val="000F745D"/>
    <w:rsid w:val="000F770F"/>
    <w:rsid w:val="000F778A"/>
    <w:rsid w:val="000F78F3"/>
    <w:rsid w:val="00100566"/>
    <w:rsid w:val="00100948"/>
    <w:rsid w:val="00101430"/>
    <w:rsid w:val="0010148D"/>
    <w:rsid w:val="001016C3"/>
    <w:rsid w:val="001023E4"/>
    <w:rsid w:val="001024A3"/>
    <w:rsid w:val="0010372F"/>
    <w:rsid w:val="001037A3"/>
    <w:rsid w:val="001038B5"/>
    <w:rsid w:val="00103C04"/>
    <w:rsid w:val="00103DB1"/>
    <w:rsid w:val="00103DD9"/>
    <w:rsid w:val="00104D8B"/>
    <w:rsid w:val="001050DF"/>
    <w:rsid w:val="001053B0"/>
    <w:rsid w:val="00105539"/>
    <w:rsid w:val="001055D9"/>
    <w:rsid w:val="00105744"/>
    <w:rsid w:val="00105B53"/>
    <w:rsid w:val="00105F0E"/>
    <w:rsid w:val="00106633"/>
    <w:rsid w:val="00107157"/>
    <w:rsid w:val="001079A3"/>
    <w:rsid w:val="00107AC3"/>
    <w:rsid w:val="001100D6"/>
    <w:rsid w:val="001102D3"/>
    <w:rsid w:val="00110A92"/>
    <w:rsid w:val="001120CB"/>
    <w:rsid w:val="00112994"/>
    <w:rsid w:val="00112C94"/>
    <w:rsid w:val="00113799"/>
    <w:rsid w:val="001137DE"/>
    <w:rsid w:val="00113D57"/>
    <w:rsid w:val="00114F18"/>
    <w:rsid w:val="00115677"/>
    <w:rsid w:val="001159A0"/>
    <w:rsid w:val="001165DE"/>
    <w:rsid w:val="0011690A"/>
    <w:rsid w:val="00117084"/>
    <w:rsid w:val="0011716D"/>
    <w:rsid w:val="001177D3"/>
    <w:rsid w:val="00117DB8"/>
    <w:rsid w:val="001203E7"/>
    <w:rsid w:val="00120824"/>
    <w:rsid w:val="00120E25"/>
    <w:rsid w:val="00121604"/>
    <w:rsid w:val="00121B94"/>
    <w:rsid w:val="00121BA0"/>
    <w:rsid w:val="0012256E"/>
    <w:rsid w:val="0012273B"/>
    <w:rsid w:val="0012279B"/>
    <w:rsid w:val="00122CF5"/>
    <w:rsid w:val="001236C5"/>
    <w:rsid w:val="00123C36"/>
    <w:rsid w:val="00123F43"/>
    <w:rsid w:val="001243BF"/>
    <w:rsid w:val="001243FA"/>
    <w:rsid w:val="00124549"/>
    <w:rsid w:val="0012484B"/>
    <w:rsid w:val="00124A56"/>
    <w:rsid w:val="001250C5"/>
    <w:rsid w:val="0012563B"/>
    <w:rsid w:val="0012570F"/>
    <w:rsid w:val="00125738"/>
    <w:rsid w:val="00125C1F"/>
    <w:rsid w:val="00125C98"/>
    <w:rsid w:val="00125CA5"/>
    <w:rsid w:val="00125D99"/>
    <w:rsid w:val="00125F74"/>
    <w:rsid w:val="00125F9F"/>
    <w:rsid w:val="0012607D"/>
    <w:rsid w:val="001264BB"/>
    <w:rsid w:val="0012657E"/>
    <w:rsid w:val="00126EBE"/>
    <w:rsid w:val="00127100"/>
    <w:rsid w:val="001271CA"/>
    <w:rsid w:val="00127CC2"/>
    <w:rsid w:val="00127D37"/>
    <w:rsid w:val="0013038B"/>
    <w:rsid w:val="001305A8"/>
    <w:rsid w:val="00130CCE"/>
    <w:rsid w:val="00130DB6"/>
    <w:rsid w:val="00130EE3"/>
    <w:rsid w:val="00130F78"/>
    <w:rsid w:val="0013100F"/>
    <w:rsid w:val="0013138C"/>
    <w:rsid w:val="00131394"/>
    <w:rsid w:val="00131B42"/>
    <w:rsid w:val="00132254"/>
    <w:rsid w:val="0013275B"/>
    <w:rsid w:val="001328E0"/>
    <w:rsid w:val="00133646"/>
    <w:rsid w:val="001338F3"/>
    <w:rsid w:val="00133EEA"/>
    <w:rsid w:val="0013410E"/>
    <w:rsid w:val="00134637"/>
    <w:rsid w:val="00134C80"/>
    <w:rsid w:val="00135257"/>
    <w:rsid w:val="0013554D"/>
    <w:rsid w:val="00135EE8"/>
    <w:rsid w:val="00135FEC"/>
    <w:rsid w:val="0013603F"/>
    <w:rsid w:val="001362D7"/>
    <w:rsid w:val="0013655F"/>
    <w:rsid w:val="00137405"/>
    <w:rsid w:val="0014021C"/>
    <w:rsid w:val="00140D15"/>
    <w:rsid w:val="0014107F"/>
    <w:rsid w:val="00141C1F"/>
    <w:rsid w:val="0014232E"/>
    <w:rsid w:val="0014249F"/>
    <w:rsid w:val="00142672"/>
    <w:rsid w:val="001432E9"/>
    <w:rsid w:val="0014370E"/>
    <w:rsid w:val="001438DF"/>
    <w:rsid w:val="00144179"/>
    <w:rsid w:val="001445EB"/>
    <w:rsid w:val="00144ABB"/>
    <w:rsid w:val="0014511F"/>
    <w:rsid w:val="0014520D"/>
    <w:rsid w:val="00145482"/>
    <w:rsid w:val="00145C58"/>
    <w:rsid w:val="00145F6F"/>
    <w:rsid w:val="00146E95"/>
    <w:rsid w:val="001470AE"/>
    <w:rsid w:val="00147106"/>
    <w:rsid w:val="0014731B"/>
    <w:rsid w:val="0014786C"/>
    <w:rsid w:val="00147FE8"/>
    <w:rsid w:val="0015046E"/>
    <w:rsid w:val="00150A65"/>
    <w:rsid w:val="001516F5"/>
    <w:rsid w:val="001526B4"/>
    <w:rsid w:val="00152AE4"/>
    <w:rsid w:val="00152CDA"/>
    <w:rsid w:val="00153126"/>
    <w:rsid w:val="00153248"/>
    <w:rsid w:val="0015392A"/>
    <w:rsid w:val="00153B8F"/>
    <w:rsid w:val="00153C70"/>
    <w:rsid w:val="00153FE1"/>
    <w:rsid w:val="001542F3"/>
    <w:rsid w:val="00154958"/>
    <w:rsid w:val="00154DB3"/>
    <w:rsid w:val="001550AC"/>
    <w:rsid w:val="001555EB"/>
    <w:rsid w:val="00155774"/>
    <w:rsid w:val="001557EA"/>
    <w:rsid w:val="00155B64"/>
    <w:rsid w:val="00155D7D"/>
    <w:rsid w:val="0015692A"/>
    <w:rsid w:val="00156EF4"/>
    <w:rsid w:val="001573E6"/>
    <w:rsid w:val="00157464"/>
    <w:rsid w:val="00157FF8"/>
    <w:rsid w:val="00160193"/>
    <w:rsid w:val="00160847"/>
    <w:rsid w:val="00160999"/>
    <w:rsid w:val="00162154"/>
    <w:rsid w:val="00162216"/>
    <w:rsid w:val="001624FE"/>
    <w:rsid w:val="0016261F"/>
    <w:rsid w:val="00162D63"/>
    <w:rsid w:val="00162FD9"/>
    <w:rsid w:val="001641B4"/>
    <w:rsid w:val="001643E7"/>
    <w:rsid w:val="0016487C"/>
    <w:rsid w:val="00164926"/>
    <w:rsid w:val="001655B6"/>
    <w:rsid w:val="00165820"/>
    <w:rsid w:val="001661A9"/>
    <w:rsid w:val="00166863"/>
    <w:rsid w:val="00166EE4"/>
    <w:rsid w:val="00166F42"/>
    <w:rsid w:val="001671BE"/>
    <w:rsid w:val="00167376"/>
    <w:rsid w:val="00167D53"/>
    <w:rsid w:val="00167E17"/>
    <w:rsid w:val="0017114A"/>
    <w:rsid w:val="001717AE"/>
    <w:rsid w:val="001737F2"/>
    <w:rsid w:val="00173CE5"/>
    <w:rsid w:val="00173F80"/>
    <w:rsid w:val="00173FA9"/>
    <w:rsid w:val="00174276"/>
    <w:rsid w:val="0017434A"/>
    <w:rsid w:val="00174C61"/>
    <w:rsid w:val="0017572E"/>
    <w:rsid w:val="00175DFF"/>
    <w:rsid w:val="00175FE5"/>
    <w:rsid w:val="00176BE5"/>
    <w:rsid w:val="00176E6D"/>
    <w:rsid w:val="001770CA"/>
    <w:rsid w:val="0018005E"/>
    <w:rsid w:val="00180075"/>
    <w:rsid w:val="001806BF"/>
    <w:rsid w:val="00180DE2"/>
    <w:rsid w:val="00181E49"/>
    <w:rsid w:val="00181F9F"/>
    <w:rsid w:val="00182072"/>
    <w:rsid w:val="0018216B"/>
    <w:rsid w:val="00184757"/>
    <w:rsid w:val="001856B4"/>
    <w:rsid w:val="00185B79"/>
    <w:rsid w:val="00185CCF"/>
    <w:rsid w:val="00185D75"/>
    <w:rsid w:val="0018670C"/>
    <w:rsid w:val="00186F2E"/>
    <w:rsid w:val="00187021"/>
    <w:rsid w:val="001873D4"/>
    <w:rsid w:val="00187A3C"/>
    <w:rsid w:val="001907EC"/>
    <w:rsid w:val="00190AAC"/>
    <w:rsid w:val="00190BB8"/>
    <w:rsid w:val="00191600"/>
    <w:rsid w:val="00191A59"/>
    <w:rsid w:val="00191E45"/>
    <w:rsid w:val="00191E93"/>
    <w:rsid w:val="001925C8"/>
    <w:rsid w:val="00192605"/>
    <w:rsid w:val="00192D4A"/>
    <w:rsid w:val="00192E34"/>
    <w:rsid w:val="001931C2"/>
    <w:rsid w:val="0019414C"/>
    <w:rsid w:val="00194E12"/>
    <w:rsid w:val="00194E15"/>
    <w:rsid w:val="00195A28"/>
    <w:rsid w:val="00195A6D"/>
    <w:rsid w:val="00196174"/>
    <w:rsid w:val="00196461"/>
    <w:rsid w:val="00196F3E"/>
    <w:rsid w:val="00197756"/>
    <w:rsid w:val="00197A15"/>
    <w:rsid w:val="00197C20"/>
    <w:rsid w:val="001A03C6"/>
    <w:rsid w:val="001A044D"/>
    <w:rsid w:val="001A05BC"/>
    <w:rsid w:val="001A0627"/>
    <w:rsid w:val="001A0938"/>
    <w:rsid w:val="001A1CFE"/>
    <w:rsid w:val="001A2232"/>
    <w:rsid w:val="001A23E0"/>
    <w:rsid w:val="001A31B1"/>
    <w:rsid w:val="001A3488"/>
    <w:rsid w:val="001A3668"/>
    <w:rsid w:val="001A3B79"/>
    <w:rsid w:val="001A434E"/>
    <w:rsid w:val="001A4A16"/>
    <w:rsid w:val="001A4FB4"/>
    <w:rsid w:val="001A5B85"/>
    <w:rsid w:val="001A5E89"/>
    <w:rsid w:val="001A60B6"/>
    <w:rsid w:val="001A627E"/>
    <w:rsid w:val="001A6563"/>
    <w:rsid w:val="001A664D"/>
    <w:rsid w:val="001A6673"/>
    <w:rsid w:val="001A6F8A"/>
    <w:rsid w:val="001A7DAD"/>
    <w:rsid w:val="001B0758"/>
    <w:rsid w:val="001B079B"/>
    <w:rsid w:val="001B08D0"/>
    <w:rsid w:val="001B0B4F"/>
    <w:rsid w:val="001B180F"/>
    <w:rsid w:val="001B2074"/>
    <w:rsid w:val="001B20E7"/>
    <w:rsid w:val="001B21CC"/>
    <w:rsid w:val="001B2F39"/>
    <w:rsid w:val="001B37E1"/>
    <w:rsid w:val="001B386B"/>
    <w:rsid w:val="001B3F01"/>
    <w:rsid w:val="001B42A2"/>
    <w:rsid w:val="001B5373"/>
    <w:rsid w:val="001B576F"/>
    <w:rsid w:val="001B5E1D"/>
    <w:rsid w:val="001B67DF"/>
    <w:rsid w:val="001B71CC"/>
    <w:rsid w:val="001B78B5"/>
    <w:rsid w:val="001B791E"/>
    <w:rsid w:val="001C095A"/>
    <w:rsid w:val="001C0D5F"/>
    <w:rsid w:val="001C182E"/>
    <w:rsid w:val="001C1C0D"/>
    <w:rsid w:val="001C215C"/>
    <w:rsid w:val="001C2718"/>
    <w:rsid w:val="001C2FA8"/>
    <w:rsid w:val="001C35F3"/>
    <w:rsid w:val="001C415F"/>
    <w:rsid w:val="001C438F"/>
    <w:rsid w:val="001C4750"/>
    <w:rsid w:val="001C4D49"/>
    <w:rsid w:val="001C4F98"/>
    <w:rsid w:val="001C532B"/>
    <w:rsid w:val="001C5636"/>
    <w:rsid w:val="001C5827"/>
    <w:rsid w:val="001C5B65"/>
    <w:rsid w:val="001C5BF7"/>
    <w:rsid w:val="001C5EDC"/>
    <w:rsid w:val="001C61AF"/>
    <w:rsid w:val="001C6418"/>
    <w:rsid w:val="001C7503"/>
    <w:rsid w:val="001C7CA7"/>
    <w:rsid w:val="001D0211"/>
    <w:rsid w:val="001D0CFA"/>
    <w:rsid w:val="001D0F4A"/>
    <w:rsid w:val="001D1335"/>
    <w:rsid w:val="001D148A"/>
    <w:rsid w:val="001D14EE"/>
    <w:rsid w:val="001D1743"/>
    <w:rsid w:val="001D1756"/>
    <w:rsid w:val="001D18C3"/>
    <w:rsid w:val="001D1A15"/>
    <w:rsid w:val="001D1FDC"/>
    <w:rsid w:val="001D3801"/>
    <w:rsid w:val="001D582B"/>
    <w:rsid w:val="001D5974"/>
    <w:rsid w:val="001D5A82"/>
    <w:rsid w:val="001D5F73"/>
    <w:rsid w:val="001D64FF"/>
    <w:rsid w:val="001D687F"/>
    <w:rsid w:val="001D7A6D"/>
    <w:rsid w:val="001E10D3"/>
    <w:rsid w:val="001E16BE"/>
    <w:rsid w:val="001E1E2A"/>
    <w:rsid w:val="001E3753"/>
    <w:rsid w:val="001E3903"/>
    <w:rsid w:val="001E450F"/>
    <w:rsid w:val="001E460B"/>
    <w:rsid w:val="001E46C1"/>
    <w:rsid w:val="001E4A0D"/>
    <w:rsid w:val="001E50B0"/>
    <w:rsid w:val="001E53E4"/>
    <w:rsid w:val="001E56C7"/>
    <w:rsid w:val="001E5961"/>
    <w:rsid w:val="001E5A81"/>
    <w:rsid w:val="001E5CBF"/>
    <w:rsid w:val="001E601D"/>
    <w:rsid w:val="001E678A"/>
    <w:rsid w:val="001E6C28"/>
    <w:rsid w:val="001E7105"/>
    <w:rsid w:val="001E7378"/>
    <w:rsid w:val="001E76CC"/>
    <w:rsid w:val="001E78E1"/>
    <w:rsid w:val="001F0296"/>
    <w:rsid w:val="001F0551"/>
    <w:rsid w:val="001F1377"/>
    <w:rsid w:val="001F195D"/>
    <w:rsid w:val="001F1A8D"/>
    <w:rsid w:val="001F1E84"/>
    <w:rsid w:val="001F2606"/>
    <w:rsid w:val="001F3163"/>
    <w:rsid w:val="001F4B16"/>
    <w:rsid w:val="001F4D5B"/>
    <w:rsid w:val="001F5511"/>
    <w:rsid w:val="001F5543"/>
    <w:rsid w:val="001F5585"/>
    <w:rsid w:val="001F5C8A"/>
    <w:rsid w:val="001F6496"/>
    <w:rsid w:val="001F67CB"/>
    <w:rsid w:val="001F6C6D"/>
    <w:rsid w:val="001F715F"/>
    <w:rsid w:val="001F7772"/>
    <w:rsid w:val="002001EF"/>
    <w:rsid w:val="002005FF"/>
    <w:rsid w:val="002012E8"/>
    <w:rsid w:val="0020193D"/>
    <w:rsid w:val="002019CC"/>
    <w:rsid w:val="00201C8D"/>
    <w:rsid w:val="00201EB2"/>
    <w:rsid w:val="002024FC"/>
    <w:rsid w:val="002026B3"/>
    <w:rsid w:val="00202E45"/>
    <w:rsid w:val="00202FCF"/>
    <w:rsid w:val="002030C1"/>
    <w:rsid w:val="0020356D"/>
    <w:rsid w:val="00203779"/>
    <w:rsid w:val="00203A65"/>
    <w:rsid w:val="00203A7A"/>
    <w:rsid w:val="0020420B"/>
    <w:rsid w:val="00204B4B"/>
    <w:rsid w:val="00204CD0"/>
    <w:rsid w:val="00204F15"/>
    <w:rsid w:val="0020553E"/>
    <w:rsid w:val="00205728"/>
    <w:rsid w:val="00205B0B"/>
    <w:rsid w:val="00206421"/>
    <w:rsid w:val="00206EAB"/>
    <w:rsid w:val="00207297"/>
    <w:rsid w:val="00207300"/>
    <w:rsid w:val="0020754B"/>
    <w:rsid w:val="00207C01"/>
    <w:rsid w:val="00207C7F"/>
    <w:rsid w:val="00210813"/>
    <w:rsid w:val="00211534"/>
    <w:rsid w:val="0021156C"/>
    <w:rsid w:val="00211BCA"/>
    <w:rsid w:val="00211C4A"/>
    <w:rsid w:val="0021212F"/>
    <w:rsid w:val="00212131"/>
    <w:rsid w:val="002125B9"/>
    <w:rsid w:val="00212793"/>
    <w:rsid w:val="00212AB1"/>
    <w:rsid w:val="0021319F"/>
    <w:rsid w:val="00213319"/>
    <w:rsid w:val="002135D7"/>
    <w:rsid w:val="002137C1"/>
    <w:rsid w:val="00213FE3"/>
    <w:rsid w:val="00214C86"/>
    <w:rsid w:val="0021602C"/>
    <w:rsid w:val="00216BEC"/>
    <w:rsid w:val="00216D27"/>
    <w:rsid w:val="00216DD7"/>
    <w:rsid w:val="002207D7"/>
    <w:rsid w:val="00220F3C"/>
    <w:rsid w:val="00221158"/>
    <w:rsid w:val="002212FC"/>
    <w:rsid w:val="00221F3E"/>
    <w:rsid w:val="00222004"/>
    <w:rsid w:val="002221CA"/>
    <w:rsid w:val="00222455"/>
    <w:rsid w:val="002228AB"/>
    <w:rsid w:val="00222AA6"/>
    <w:rsid w:val="0022309F"/>
    <w:rsid w:val="00224CD9"/>
    <w:rsid w:val="00224F41"/>
    <w:rsid w:val="00225208"/>
    <w:rsid w:val="00225275"/>
    <w:rsid w:val="002264BE"/>
    <w:rsid w:val="002264E0"/>
    <w:rsid w:val="002264EB"/>
    <w:rsid w:val="0022663F"/>
    <w:rsid w:val="002271E8"/>
    <w:rsid w:val="002279EC"/>
    <w:rsid w:val="00227FA4"/>
    <w:rsid w:val="00227FD1"/>
    <w:rsid w:val="002304A8"/>
    <w:rsid w:val="00230E72"/>
    <w:rsid w:val="00230F42"/>
    <w:rsid w:val="00230F7A"/>
    <w:rsid w:val="00231E5B"/>
    <w:rsid w:val="00231F10"/>
    <w:rsid w:val="002320C5"/>
    <w:rsid w:val="00232103"/>
    <w:rsid w:val="0023249B"/>
    <w:rsid w:val="00232EC3"/>
    <w:rsid w:val="00233054"/>
    <w:rsid w:val="0023363A"/>
    <w:rsid w:val="00233E86"/>
    <w:rsid w:val="00234393"/>
    <w:rsid w:val="00234C3F"/>
    <w:rsid w:val="00235323"/>
    <w:rsid w:val="0023581D"/>
    <w:rsid w:val="00236121"/>
    <w:rsid w:val="0023645B"/>
    <w:rsid w:val="00236783"/>
    <w:rsid w:val="00236B8E"/>
    <w:rsid w:val="00237AFB"/>
    <w:rsid w:val="00237B5A"/>
    <w:rsid w:val="00237C35"/>
    <w:rsid w:val="00237FFE"/>
    <w:rsid w:val="00240437"/>
    <w:rsid w:val="0024053D"/>
    <w:rsid w:val="00240704"/>
    <w:rsid w:val="00240C5D"/>
    <w:rsid w:val="00240EFB"/>
    <w:rsid w:val="002416DB"/>
    <w:rsid w:val="00241AC7"/>
    <w:rsid w:val="00241BA9"/>
    <w:rsid w:val="002421B5"/>
    <w:rsid w:val="002424AD"/>
    <w:rsid w:val="00242544"/>
    <w:rsid w:val="00242549"/>
    <w:rsid w:val="00242A52"/>
    <w:rsid w:val="00242FDC"/>
    <w:rsid w:val="002433C5"/>
    <w:rsid w:val="002434B3"/>
    <w:rsid w:val="002437AC"/>
    <w:rsid w:val="00243A2E"/>
    <w:rsid w:val="00244BAF"/>
    <w:rsid w:val="002452A0"/>
    <w:rsid w:val="0024553B"/>
    <w:rsid w:val="00245B0A"/>
    <w:rsid w:val="00246B93"/>
    <w:rsid w:val="00246EBD"/>
    <w:rsid w:val="00246FC6"/>
    <w:rsid w:val="002476D1"/>
    <w:rsid w:val="002479F5"/>
    <w:rsid w:val="0025044C"/>
    <w:rsid w:val="00250A6F"/>
    <w:rsid w:val="00250C24"/>
    <w:rsid w:val="002510D2"/>
    <w:rsid w:val="0025153E"/>
    <w:rsid w:val="002515E2"/>
    <w:rsid w:val="00251ED4"/>
    <w:rsid w:val="00252061"/>
    <w:rsid w:val="00253124"/>
    <w:rsid w:val="00253738"/>
    <w:rsid w:val="00253A31"/>
    <w:rsid w:val="00253F0C"/>
    <w:rsid w:val="00254283"/>
    <w:rsid w:val="002545EC"/>
    <w:rsid w:val="00255101"/>
    <w:rsid w:val="00255146"/>
    <w:rsid w:val="002552C0"/>
    <w:rsid w:val="002554BE"/>
    <w:rsid w:val="002558E7"/>
    <w:rsid w:val="00255C51"/>
    <w:rsid w:val="00256329"/>
    <w:rsid w:val="0025653E"/>
    <w:rsid w:val="00256839"/>
    <w:rsid w:val="00256B14"/>
    <w:rsid w:val="00256B80"/>
    <w:rsid w:val="00257B01"/>
    <w:rsid w:val="002607E6"/>
    <w:rsid w:val="00260836"/>
    <w:rsid w:val="002611E5"/>
    <w:rsid w:val="00261A0F"/>
    <w:rsid w:val="00261A8C"/>
    <w:rsid w:val="002620FB"/>
    <w:rsid w:val="002623C6"/>
    <w:rsid w:val="00262796"/>
    <w:rsid w:val="00263689"/>
    <w:rsid w:val="002636F3"/>
    <w:rsid w:val="00263742"/>
    <w:rsid w:val="00263FE9"/>
    <w:rsid w:val="00264B79"/>
    <w:rsid w:val="00264BD7"/>
    <w:rsid w:val="00264C4D"/>
    <w:rsid w:val="00265303"/>
    <w:rsid w:val="00265880"/>
    <w:rsid w:val="00265F10"/>
    <w:rsid w:val="00265FC0"/>
    <w:rsid w:val="00266AC6"/>
    <w:rsid w:val="00266F85"/>
    <w:rsid w:val="002670C6"/>
    <w:rsid w:val="002679F9"/>
    <w:rsid w:val="00267DB7"/>
    <w:rsid w:val="002703D8"/>
    <w:rsid w:val="00270F7B"/>
    <w:rsid w:val="00271E4C"/>
    <w:rsid w:val="002722C4"/>
    <w:rsid w:val="002724D2"/>
    <w:rsid w:val="00272A4C"/>
    <w:rsid w:val="00272F4D"/>
    <w:rsid w:val="00273130"/>
    <w:rsid w:val="00273C6D"/>
    <w:rsid w:val="0027434B"/>
    <w:rsid w:val="0027479F"/>
    <w:rsid w:val="00274C6D"/>
    <w:rsid w:val="00274EAD"/>
    <w:rsid w:val="00274F90"/>
    <w:rsid w:val="00275976"/>
    <w:rsid w:val="00275AE4"/>
    <w:rsid w:val="00275CE3"/>
    <w:rsid w:val="002764F1"/>
    <w:rsid w:val="00277163"/>
    <w:rsid w:val="0027775B"/>
    <w:rsid w:val="00280533"/>
    <w:rsid w:val="002809F7"/>
    <w:rsid w:val="00281ACB"/>
    <w:rsid w:val="00282330"/>
    <w:rsid w:val="00282926"/>
    <w:rsid w:val="00282C88"/>
    <w:rsid w:val="00283134"/>
    <w:rsid w:val="002834CA"/>
    <w:rsid w:val="002836F4"/>
    <w:rsid w:val="0028397F"/>
    <w:rsid w:val="002839E1"/>
    <w:rsid w:val="00283BCE"/>
    <w:rsid w:val="00283DF6"/>
    <w:rsid w:val="00283E1B"/>
    <w:rsid w:val="002840B1"/>
    <w:rsid w:val="00284AF1"/>
    <w:rsid w:val="00284FE2"/>
    <w:rsid w:val="00284FEC"/>
    <w:rsid w:val="002858BD"/>
    <w:rsid w:val="002859AB"/>
    <w:rsid w:val="002863D1"/>
    <w:rsid w:val="00286626"/>
    <w:rsid w:val="00286653"/>
    <w:rsid w:val="00286847"/>
    <w:rsid w:val="00286AB5"/>
    <w:rsid w:val="00287202"/>
    <w:rsid w:val="002872B1"/>
    <w:rsid w:val="0028742D"/>
    <w:rsid w:val="00290783"/>
    <w:rsid w:val="00290ADC"/>
    <w:rsid w:val="00290BCA"/>
    <w:rsid w:val="00290C79"/>
    <w:rsid w:val="00290DCB"/>
    <w:rsid w:val="00291EFE"/>
    <w:rsid w:val="0029244A"/>
    <w:rsid w:val="002927D7"/>
    <w:rsid w:val="002927F7"/>
    <w:rsid w:val="002929B7"/>
    <w:rsid w:val="00292B2B"/>
    <w:rsid w:val="00292C07"/>
    <w:rsid w:val="00292D72"/>
    <w:rsid w:val="002935D6"/>
    <w:rsid w:val="00293EFA"/>
    <w:rsid w:val="00294E71"/>
    <w:rsid w:val="0029524C"/>
    <w:rsid w:val="0029551E"/>
    <w:rsid w:val="0029579C"/>
    <w:rsid w:val="00295C34"/>
    <w:rsid w:val="002967A6"/>
    <w:rsid w:val="00296933"/>
    <w:rsid w:val="00296E96"/>
    <w:rsid w:val="00297304"/>
    <w:rsid w:val="0029733E"/>
    <w:rsid w:val="00297981"/>
    <w:rsid w:val="00297A1B"/>
    <w:rsid w:val="00297EE7"/>
    <w:rsid w:val="00297FC3"/>
    <w:rsid w:val="002A02FD"/>
    <w:rsid w:val="002A101D"/>
    <w:rsid w:val="002A152A"/>
    <w:rsid w:val="002A1D56"/>
    <w:rsid w:val="002A1D98"/>
    <w:rsid w:val="002A1EF0"/>
    <w:rsid w:val="002A2618"/>
    <w:rsid w:val="002A26A1"/>
    <w:rsid w:val="002A26D9"/>
    <w:rsid w:val="002A2E0D"/>
    <w:rsid w:val="002A2F9E"/>
    <w:rsid w:val="002A3086"/>
    <w:rsid w:val="002A3C29"/>
    <w:rsid w:val="002A3F91"/>
    <w:rsid w:val="002A4789"/>
    <w:rsid w:val="002A4F00"/>
    <w:rsid w:val="002A4F2D"/>
    <w:rsid w:val="002A55C2"/>
    <w:rsid w:val="002A5B06"/>
    <w:rsid w:val="002A62D2"/>
    <w:rsid w:val="002A6376"/>
    <w:rsid w:val="002A699C"/>
    <w:rsid w:val="002A6A91"/>
    <w:rsid w:val="002A6EBF"/>
    <w:rsid w:val="002A6F20"/>
    <w:rsid w:val="002A715D"/>
    <w:rsid w:val="002B0030"/>
    <w:rsid w:val="002B046F"/>
    <w:rsid w:val="002B04BA"/>
    <w:rsid w:val="002B0519"/>
    <w:rsid w:val="002B1133"/>
    <w:rsid w:val="002B195D"/>
    <w:rsid w:val="002B1D06"/>
    <w:rsid w:val="002B2841"/>
    <w:rsid w:val="002B2993"/>
    <w:rsid w:val="002B29B5"/>
    <w:rsid w:val="002B2BDB"/>
    <w:rsid w:val="002B2BE9"/>
    <w:rsid w:val="002B2F07"/>
    <w:rsid w:val="002B3294"/>
    <w:rsid w:val="002B33D4"/>
    <w:rsid w:val="002B3B1D"/>
    <w:rsid w:val="002B42AD"/>
    <w:rsid w:val="002B4D04"/>
    <w:rsid w:val="002B4D0C"/>
    <w:rsid w:val="002B655D"/>
    <w:rsid w:val="002B6965"/>
    <w:rsid w:val="002B6ADE"/>
    <w:rsid w:val="002B7164"/>
    <w:rsid w:val="002B7F45"/>
    <w:rsid w:val="002C0007"/>
    <w:rsid w:val="002C0673"/>
    <w:rsid w:val="002C0676"/>
    <w:rsid w:val="002C080B"/>
    <w:rsid w:val="002C0EFC"/>
    <w:rsid w:val="002C1741"/>
    <w:rsid w:val="002C17A4"/>
    <w:rsid w:val="002C1C7F"/>
    <w:rsid w:val="002C1D11"/>
    <w:rsid w:val="002C1FCF"/>
    <w:rsid w:val="002C1FD1"/>
    <w:rsid w:val="002C2560"/>
    <w:rsid w:val="002C25C2"/>
    <w:rsid w:val="002C2B50"/>
    <w:rsid w:val="002C2B63"/>
    <w:rsid w:val="002C2CA7"/>
    <w:rsid w:val="002C3164"/>
    <w:rsid w:val="002C3185"/>
    <w:rsid w:val="002C35FF"/>
    <w:rsid w:val="002C3E45"/>
    <w:rsid w:val="002C448B"/>
    <w:rsid w:val="002C48D6"/>
    <w:rsid w:val="002C4CF3"/>
    <w:rsid w:val="002C5238"/>
    <w:rsid w:val="002C53B9"/>
    <w:rsid w:val="002C57A5"/>
    <w:rsid w:val="002C5826"/>
    <w:rsid w:val="002C5852"/>
    <w:rsid w:val="002C5A91"/>
    <w:rsid w:val="002C5C9D"/>
    <w:rsid w:val="002C6B2C"/>
    <w:rsid w:val="002C7D1D"/>
    <w:rsid w:val="002D0362"/>
    <w:rsid w:val="002D0491"/>
    <w:rsid w:val="002D099B"/>
    <w:rsid w:val="002D0A72"/>
    <w:rsid w:val="002D0DAD"/>
    <w:rsid w:val="002D2032"/>
    <w:rsid w:val="002D226A"/>
    <w:rsid w:val="002D27E3"/>
    <w:rsid w:val="002D2A12"/>
    <w:rsid w:val="002D4B67"/>
    <w:rsid w:val="002D4E80"/>
    <w:rsid w:val="002D50D2"/>
    <w:rsid w:val="002D537A"/>
    <w:rsid w:val="002D56E2"/>
    <w:rsid w:val="002D59BB"/>
    <w:rsid w:val="002D5F9D"/>
    <w:rsid w:val="002D626A"/>
    <w:rsid w:val="002D67BB"/>
    <w:rsid w:val="002D739B"/>
    <w:rsid w:val="002D752F"/>
    <w:rsid w:val="002D7625"/>
    <w:rsid w:val="002D7E50"/>
    <w:rsid w:val="002E032A"/>
    <w:rsid w:val="002E03D0"/>
    <w:rsid w:val="002E097C"/>
    <w:rsid w:val="002E0AD1"/>
    <w:rsid w:val="002E0C0D"/>
    <w:rsid w:val="002E0D9D"/>
    <w:rsid w:val="002E2006"/>
    <w:rsid w:val="002E28E3"/>
    <w:rsid w:val="002E2AF3"/>
    <w:rsid w:val="002E2C66"/>
    <w:rsid w:val="002E32F9"/>
    <w:rsid w:val="002E3421"/>
    <w:rsid w:val="002E3791"/>
    <w:rsid w:val="002E4150"/>
    <w:rsid w:val="002E47B3"/>
    <w:rsid w:val="002E4B13"/>
    <w:rsid w:val="002E5050"/>
    <w:rsid w:val="002E5156"/>
    <w:rsid w:val="002E5186"/>
    <w:rsid w:val="002E5727"/>
    <w:rsid w:val="002E61C5"/>
    <w:rsid w:val="002E6372"/>
    <w:rsid w:val="002E716B"/>
    <w:rsid w:val="002E7264"/>
    <w:rsid w:val="002F1284"/>
    <w:rsid w:val="002F128C"/>
    <w:rsid w:val="002F159C"/>
    <w:rsid w:val="002F24BC"/>
    <w:rsid w:val="002F2706"/>
    <w:rsid w:val="002F32A7"/>
    <w:rsid w:val="002F3C7D"/>
    <w:rsid w:val="002F4047"/>
    <w:rsid w:val="002F460D"/>
    <w:rsid w:val="002F464E"/>
    <w:rsid w:val="002F65D1"/>
    <w:rsid w:val="002F6A73"/>
    <w:rsid w:val="002F6CC3"/>
    <w:rsid w:val="002F7205"/>
    <w:rsid w:val="002F7A77"/>
    <w:rsid w:val="00300067"/>
    <w:rsid w:val="00300CFB"/>
    <w:rsid w:val="00300E81"/>
    <w:rsid w:val="00301510"/>
    <w:rsid w:val="00301779"/>
    <w:rsid w:val="003017B4"/>
    <w:rsid w:val="00301A48"/>
    <w:rsid w:val="00302880"/>
    <w:rsid w:val="00303D0F"/>
    <w:rsid w:val="00303D39"/>
    <w:rsid w:val="00303E27"/>
    <w:rsid w:val="003040C2"/>
    <w:rsid w:val="00304A10"/>
    <w:rsid w:val="00304E89"/>
    <w:rsid w:val="00305179"/>
    <w:rsid w:val="0030573B"/>
    <w:rsid w:val="0030609E"/>
    <w:rsid w:val="003065CE"/>
    <w:rsid w:val="003065D2"/>
    <w:rsid w:val="00306857"/>
    <w:rsid w:val="00306CB6"/>
    <w:rsid w:val="00306D03"/>
    <w:rsid w:val="00306DB1"/>
    <w:rsid w:val="0030A9EB"/>
    <w:rsid w:val="00310059"/>
    <w:rsid w:val="003102C5"/>
    <w:rsid w:val="0031053E"/>
    <w:rsid w:val="00310755"/>
    <w:rsid w:val="00310C84"/>
    <w:rsid w:val="0031108B"/>
    <w:rsid w:val="003113C7"/>
    <w:rsid w:val="0031168C"/>
    <w:rsid w:val="00311C55"/>
    <w:rsid w:val="00311EF5"/>
    <w:rsid w:val="00312559"/>
    <w:rsid w:val="0031411C"/>
    <w:rsid w:val="0031438C"/>
    <w:rsid w:val="0031462F"/>
    <w:rsid w:val="00314E4D"/>
    <w:rsid w:val="0031593B"/>
    <w:rsid w:val="00315B89"/>
    <w:rsid w:val="003161CD"/>
    <w:rsid w:val="003169E7"/>
    <w:rsid w:val="00316B99"/>
    <w:rsid w:val="00316E88"/>
    <w:rsid w:val="003171E7"/>
    <w:rsid w:val="00317FA9"/>
    <w:rsid w:val="003204B2"/>
    <w:rsid w:val="003208A7"/>
    <w:rsid w:val="0032097E"/>
    <w:rsid w:val="00321155"/>
    <w:rsid w:val="0032137C"/>
    <w:rsid w:val="00321692"/>
    <w:rsid w:val="00321ADD"/>
    <w:rsid w:val="003223EB"/>
    <w:rsid w:val="0032278A"/>
    <w:rsid w:val="00322CD9"/>
    <w:rsid w:val="003230FB"/>
    <w:rsid w:val="003233EE"/>
    <w:rsid w:val="00324667"/>
    <w:rsid w:val="0032483D"/>
    <w:rsid w:val="00324CB4"/>
    <w:rsid w:val="003255AE"/>
    <w:rsid w:val="00325B39"/>
    <w:rsid w:val="00325D11"/>
    <w:rsid w:val="00325E92"/>
    <w:rsid w:val="0032634E"/>
    <w:rsid w:val="00326807"/>
    <w:rsid w:val="00326B48"/>
    <w:rsid w:val="00326E97"/>
    <w:rsid w:val="00326F8C"/>
    <w:rsid w:val="00326F99"/>
    <w:rsid w:val="003270DC"/>
    <w:rsid w:val="00327815"/>
    <w:rsid w:val="00327F21"/>
    <w:rsid w:val="003308C0"/>
    <w:rsid w:val="00331307"/>
    <w:rsid w:val="00331754"/>
    <w:rsid w:val="0033228A"/>
    <w:rsid w:val="003329ED"/>
    <w:rsid w:val="00333396"/>
    <w:rsid w:val="00333911"/>
    <w:rsid w:val="00334056"/>
    <w:rsid w:val="00334470"/>
    <w:rsid w:val="00334A23"/>
    <w:rsid w:val="00334ADC"/>
    <w:rsid w:val="00334C11"/>
    <w:rsid w:val="00334C50"/>
    <w:rsid w:val="003352EF"/>
    <w:rsid w:val="00335636"/>
    <w:rsid w:val="0033564A"/>
    <w:rsid w:val="003360F9"/>
    <w:rsid w:val="0033618E"/>
    <w:rsid w:val="00336A8E"/>
    <w:rsid w:val="00336D97"/>
    <w:rsid w:val="00337113"/>
    <w:rsid w:val="00337D40"/>
    <w:rsid w:val="00340303"/>
    <w:rsid w:val="00340352"/>
    <w:rsid w:val="00340C5E"/>
    <w:rsid w:val="003412CC"/>
    <w:rsid w:val="00341371"/>
    <w:rsid w:val="003421AA"/>
    <w:rsid w:val="00342219"/>
    <w:rsid w:val="00342472"/>
    <w:rsid w:val="00342669"/>
    <w:rsid w:val="0034357E"/>
    <w:rsid w:val="00344C3B"/>
    <w:rsid w:val="00346DE7"/>
    <w:rsid w:val="003501CC"/>
    <w:rsid w:val="003502EB"/>
    <w:rsid w:val="00350F01"/>
    <w:rsid w:val="00351D78"/>
    <w:rsid w:val="00352149"/>
    <w:rsid w:val="0035222F"/>
    <w:rsid w:val="00352410"/>
    <w:rsid w:val="00352538"/>
    <w:rsid w:val="003525E9"/>
    <w:rsid w:val="00352B93"/>
    <w:rsid w:val="0035345D"/>
    <w:rsid w:val="0035365A"/>
    <w:rsid w:val="003537EF"/>
    <w:rsid w:val="0035414D"/>
    <w:rsid w:val="003547E4"/>
    <w:rsid w:val="00354993"/>
    <w:rsid w:val="003549CB"/>
    <w:rsid w:val="00354BAA"/>
    <w:rsid w:val="00354DDA"/>
    <w:rsid w:val="0035573B"/>
    <w:rsid w:val="00355822"/>
    <w:rsid w:val="00355F0C"/>
    <w:rsid w:val="00356F08"/>
    <w:rsid w:val="003572D0"/>
    <w:rsid w:val="00357392"/>
    <w:rsid w:val="00357515"/>
    <w:rsid w:val="00357A43"/>
    <w:rsid w:val="003603A5"/>
    <w:rsid w:val="00360ED9"/>
    <w:rsid w:val="00362716"/>
    <w:rsid w:val="00362FE9"/>
    <w:rsid w:val="0036316B"/>
    <w:rsid w:val="003635AA"/>
    <w:rsid w:val="003636A9"/>
    <w:rsid w:val="00363751"/>
    <w:rsid w:val="00363880"/>
    <w:rsid w:val="00363CF5"/>
    <w:rsid w:val="00363E3E"/>
    <w:rsid w:val="00364318"/>
    <w:rsid w:val="00364D84"/>
    <w:rsid w:val="0036562A"/>
    <w:rsid w:val="00365980"/>
    <w:rsid w:val="00365D33"/>
    <w:rsid w:val="003669EF"/>
    <w:rsid w:val="00366A0C"/>
    <w:rsid w:val="00366B49"/>
    <w:rsid w:val="00366DF8"/>
    <w:rsid w:val="00366DF9"/>
    <w:rsid w:val="00366F6E"/>
    <w:rsid w:val="00366F73"/>
    <w:rsid w:val="00367111"/>
    <w:rsid w:val="00367AC9"/>
    <w:rsid w:val="003711F1"/>
    <w:rsid w:val="0037167C"/>
    <w:rsid w:val="003717C9"/>
    <w:rsid w:val="00372071"/>
    <w:rsid w:val="0037210D"/>
    <w:rsid w:val="00372AC4"/>
    <w:rsid w:val="00372FF0"/>
    <w:rsid w:val="00373334"/>
    <w:rsid w:val="003733FA"/>
    <w:rsid w:val="0037341B"/>
    <w:rsid w:val="00373779"/>
    <w:rsid w:val="00374156"/>
    <w:rsid w:val="0037445F"/>
    <w:rsid w:val="00374B28"/>
    <w:rsid w:val="00374E4F"/>
    <w:rsid w:val="00375C8F"/>
    <w:rsid w:val="00375DBD"/>
    <w:rsid w:val="0037642D"/>
    <w:rsid w:val="00376C11"/>
    <w:rsid w:val="00376C48"/>
    <w:rsid w:val="00376F94"/>
    <w:rsid w:val="00377889"/>
    <w:rsid w:val="00377B48"/>
    <w:rsid w:val="0038009C"/>
    <w:rsid w:val="00380E39"/>
    <w:rsid w:val="0038133D"/>
    <w:rsid w:val="00381FF1"/>
    <w:rsid w:val="00383007"/>
    <w:rsid w:val="0038382E"/>
    <w:rsid w:val="00385253"/>
    <w:rsid w:val="0038550A"/>
    <w:rsid w:val="0038567A"/>
    <w:rsid w:val="00385A28"/>
    <w:rsid w:val="00386492"/>
    <w:rsid w:val="003867BC"/>
    <w:rsid w:val="00386DE9"/>
    <w:rsid w:val="00387230"/>
    <w:rsid w:val="003876E3"/>
    <w:rsid w:val="00387DDB"/>
    <w:rsid w:val="003912C9"/>
    <w:rsid w:val="00391A54"/>
    <w:rsid w:val="00391B0F"/>
    <w:rsid w:val="003920B7"/>
    <w:rsid w:val="00392150"/>
    <w:rsid w:val="0039262C"/>
    <w:rsid w:val="00392AC0"/>
    <w:rsid w:val="00392D79"/>
    <w:rsid w:val="0039331A"/>
    <w:rsid w:val="00393A70"/>
    <w:rsid w:val="00393D84"/>
    <w:rsid w:val="00394B1A"/>
    <w:rsid w:val="00394C60"/>
    <w:rsid w:val="00394DA0"/>
    <w:rsid w:val="00394DE9"/>
    <w:rsid w:val="00394FA3"/>
    <w:rsid w:val="003964CA"/>
    <w:rsid w:val="00396BD4"/>
    <w:rsid w:val="00397274"/>
    <w:rsid w:val="003972CD"/>
    <w:rsid w:val="003975DF"/>
    <w:rsid w:val="003A045E"/>
    <w:rsid w:val="003A09CB"/>
    <w:rsid w:val="003A0B99"/>
    <w:rsid w:val="003A1219"/>
    <w:rsid w:val="003A17D7"/>
    <w:rsid w:val="003A1BEA"/>
    <w:rsid w:val="003A237F"/>
    <w:rsid w:val="003A2837"/>
    <w:rsid w:val="003A2ACA"/>
    <w:rsid w:val="003A2F96"/>
    <w:rsid w:val="003A3571"/>
    <w:rsid w:val="003A3816"/>
    <w:rsid w:val="003A39A9"/>
    <w:rsid w:val="003A3C2A"/>
    <w:rsid w:val="003A4490"/>
    <w:rsid w:val="003A48DD"/>
    <w:rsid w:val="003A4A05"/>
    <w:rsid w:val="003A4DD9"/>
    <w:rsid w:val="003A535D"/>
    <w:rsid w:val="003A59A0"/>
    <w:rsid w:val="003A5ADB"/>
    <w:rsid w:val="003A5DB8"/>
    <w:rsid w:val="003A644F"/>
    <w:rsid w:val="003A6B99"/>
    <w:rsid w:val="003A6CAC"/>
    <w:rsid w:val="003A748F"/>
    <w:rsid w:val="003B03FB"/>
    <w:rsid w:val="003B045A"/>
    <w:rsid w:val="003B05F0"/>
    <w:rsid w:val="003B0671"/>
    <w:rsid w:val="003B0AE8"/>
    <w:rsid w:val="003B0B6B"/>
    <w:rsid w:val="003B1425"/>
    <w:rsid w:val="003B1CAB"/>
    <w:rsid w:val="003B2652"/>
    <w:rsid w:val="003B2F83"/>
    <w:rsid w:val="003B3979"/>
    <w:rsid w:val="003B3CA9"/>
    <w:rsid w:val="003B3E6F"/>
    <w:rsid w:val="003B458C"/>
    <w:rsid w:val="003B4851"/>
    <w:rsid w:val="003B4911"/>
    <w:rsid w:val="003B50C9"/>
    <w:rsid w:val="003B5432"/>
    <w:rsid w:val="003B553F"/>
    <w:rsid w:val="003B5CCA"/>
    <w:rsid w:val="003B5E65"/>
    <w:rsid w:val="003B5ED6"/>
    <w:rsid w:val="003B6998"/>
    <w:rsid w:val="003B6EDC"/>
    <w:rsid w:val="003B72D3"/>
    <w:rsid w:val="003B73B3"/>
    <w:rsid w:val="003C056D"/>
    <w:rsid w:val="003C1575"/>
    <w:rsid w:val="003C17CD"/>
    <w:rsid w:val="003C1840"/>
    <w:rsid w:val="003C1941"/>
    <w:rsid w:val="003C1A89"/>
    <w:rsid w:val="003C2B75"/>
    <w:rsid w:val="003C2E6A"/>
    <w:rsid w:val="003C35F3"/>
    <w:rsid w:val="003C3793"/>
    <w:rsid w:val="003C3AD8"/>
    <w:rsid w:val="003C3B26"/>
    <w:rsid w:val="003C47CD"/>
    <w:rsid w:val="003C48BC"/>
    <w:rsid w:val="003C4AA9"/>
    <w:rsid w:val="003C4C05"/>
    <w:rsid w:val="003C4C9B"/>
    <w:rsid w:val="003C512A"/>
    <w:rsid w:val="003C6336"/>
    <w:rsid w:val="003C683B"/>
    <w:rsid w:val="003C6BC0"/>
    <w:rsid w:val="003C72F6"/>
    <w:rsid w:val="003C761D"/>
    <w:rsid w:val="003C7A5B"/>
    <w:rsid w:val="003D0090"/>
    <w:rsid w:val="003D1783"/>
    <w:rsid w:val="003D1CE8"/>
    <w:rsid w:val="003D30CE"/>
    <w:rsid w:val="003D310D"/>
    <w:rsid w:val="003D3674"/>
    <w:rsid w:val="003D44A1"/>
    <w:rsid w:val="003D4791"/>
    <w:rsid w:val="003D4802"/>
    <w:rsid w:val="003D487F"/>
    <w:rsid w:val="003D4D04"/>
    <w:rsid w:val="003D5675"/>
    <w:rsid w:val="003D5D9F"/>
    <w:rsid w:val="003D765E"/>
    <w:rsid w:val="003D79AB"/>
    <w:rsid w:val="003E0500"/>
    <w:rsid w:val="003E05A9"/>
    <w:rsid w:val="003E0C73"/>
    <w:rsid w:val="003E122B"/>
    <w:rsid w:val="003E149C"/>
    <w:rsid w:val="003E18F7"/>
    <w:rsid w:val="003E1929"/>
    <w:rsid w:val="003E1B2D"/>
    <w:rsid w:val="003E1CC2"/>
    <w:rsid w:val="003E23A8"/>
    <w:rsid w:val="003E2D8F"/>
    <w:rsid w:val="003E33B2"/>
    <w:rsid w:val="003E4020"/>
    <w:rsid w:val="003E4F81"/>
    <w:rsid w:val="003E5621"/>
    <w:rsid w:val="003E58FB"/>
    <w:rsid w:val="003E5C0C"/>
    <w:rsid w:val="003E6DFF"/>
    <w:rsid w:val="003E79E5"/>
    <w:rsid w:val="003F010A"/>
    <w:rsid w:val="003F08DB"/>
    <w:rsid w:val="003F095B"/>
    <w:rsid w:val="003F0CD9"/>
    <w:rsid w:val="003F0D32"/>
    <w:rsid w:val="003F0E8E"/>
    <w:rsid w:val="003F11BE"/>
    <w:rsid w:val="003F1AEF"/>
    <w:rsid w:val="003F1E6A"/>
    <w:rsid w:val="003F2662"/>
    <w:rsid w:val="003F2668"/>
    <w:rsid w:val="003F2C97"/>
    <w:rsid w:val="003F325B"/>
    <w:rsid w:val="003F3436"/>
    <w:rsid w:val="003F3958"/>
    <w:rsid w:val="003F3C4E"/>
    <w:rsid w:val="003F4642"/>
    <w:rsid w:val="003F4AF4"/>
    <w:rsid w:val="003F4BB1"/>
    <w:rsid w:val="003F4E6A"/>
    <w:rsid w:val="003F5481"/>
    <w:rsid w:val="003F5857"/>
    <w:rsid w:val="003F60DD"/>
    <w:rsid w:val="003F673B"/>
    <w:rsid w:val="003F67A1"/>
    <w:rsid w:val="003F782C"/>
    <w:rsid w:val="00400C33"/>
    <w:rsid w:val="00402119"/>
    <w:rsid w:val="0040269C"/>
    <w:rsid w:val="004027CE"/>
    <w:rsid w:val="00402EDC"/>
    <w:rsid w:val="00402F3E"/>
    <w:rsid w:val="004038BA"/>
    <w:rsid w:val="004039C1"/>
    <w:rsid w:val="00403ACC"/>
    <w:rsid w:val="004046A0"/>
    <w:rsid w:val="00404815"/>
    <w:rsid w:val="00405130"/>
    <w:rsid w:val="00405257"/>
    <w:rsid w:val="004054BB"/>
    <w:rsid w:val="00405730"/>
    <w:rsid w:val="00405BAB"/>
    <w:rsid w:val="00405E8C"/>
    <w:rsid w:val="004063CC"/>
    <w:rsid w:val="004068A6"/>
    <w:rsid w:val="00407657"/>
    <w:rsid w:val="00410113"/>
    <w:rsid w:val="004106D1"/>
    <w:rsid w:val="004107D0"/>
    <w:rsid w:val="00410956"/>
    <w:rsid w:val="00410B0C"/>
    <w:rsid w:val="00410CB9"/>
    <w:rsid w:val="00410D9A"/>
    <w:rsid w:val="00411236"/>
    <w:rsid w:val="0041136B"/>
    <w:rsid w:val="00411F03"/>
    <w:rsid w:val="0041254C"/>
    <w:rsid w:val="00412B97"/>
    <w:rsid w:val="00412C9D"/>
    <w:rsid w:val="00412E40"/>
    <w:rsid w:val="0041305C"/>
    <w:rsid w:val="00413123"/>
    <w:rsid w:val="0041412D"/>
    <w:rsid w:val="00414185"/>
    <w:rsid w:val="00414230"/>
    <w:rsid w:val="00415071"/>
    <w:rsid w:val="00415076"/>
    <w:rsid w:val="00415DD8"/>
    <w:rsid w:val="004163D9"/>
    <w:rsid w:val="00416C66"/>
    <w:rsid w:val="00416D07"/>
    <w:rsid w:val="00417382"/>
    <w:rsid w:val="004175BD"/>
    <w:rsid w:val="004176F6"/>
    <w:rsid w:val="00417791"/>
    <w:rsid w:val="00417D56"/>
    <w:rsid w:val="0042025B"/>
    <w:rsid w:val="0042025F"/>
    <w:rsid w:val="004207E7"/>
    <w:rsid w:val="00420946"/>
    <w:rsid w:val="00420C5D"/>
    <w:rsid w:val="00420C7D"/>
    <w:rsid w:val="00421550"/>
    <w:rsid w:val="00421768"/>
    <w:rsid w:val="004217EC"/>
    <w:rsid w:val="004218EA"/>
    <w:rsid w:val="004219CB"/>
    <w:rsid w:val="004222D0"/>
    <w:rsid w:val="004222DE"/>
    <w:rsid w:val="004232F7"/>
    <w:rsid w:val="0042342C"/>
    <w:rsid w:val="0042351A"/>
    <w:rsid w:val="00423928"/>
    <w:rsid w:val="00423C08"/>
    <w:rsid w:val="00423C43"/>
    <w:rsid w:val="004246FA"/>
    <w:rsid w:val="00424E18"/>
    <w:rsid w:val="00424EDA"/>
    <w:rsid w:val="0042506F"/>
    <w:rsid w:val="00426401"/>
    <w:rsid w:val="004268BF"/>
    <w:rsid w:val="00426A4E"/>
    <w:rsid w:val="00427E61"/>
    <w:rsid w:val="0043078E"/>
    <w:rsid w:val="004309DE"/>
    <w:rsid w:val="00430D35"/>
    <w:rsid w:val="00431025"/>
    <w:rsid w:val="00431390"/>
    <w:rsid w:val="0043183D"/>
    <w:rsid w:val="00431F53"/>
    <w:rsid w:val="004326FC"/>
    <w:rsid w:val="00432C24"/>
    <w:rsid w:val="00432E8D"/>
    <w:rsid w:val="004342A8"/>
    <w:rsid w:val="00434608"/>
    <w:rsid w:val="00434732"/>
    <w:rsid w:val="00435104"/>
    <w:rsid w:val="00435F02"/>
    <w:rsid w:val="004360B5"/>
    <w:rsid w:val="004360D7"/>
    <w:rsid w:val="00436497"/>
    <w:rsid w:val="00436BEC"/>
    <w:rsid w:val="004375FB"/>
    <w:rsid w:val="00437834"/>
    <w:rsid w:val="004404E5"/>
    <w:rsid w:val="00440950"/>
    <w:rsid w:val="0044096A"/>
    <w:rsid w:val="00440CC9"/>
    <w:rsid w:val="00441170"/>
    <w:rsid w:val="00441645"/>
    <w:rsid w:val="00442022"/>
    <w:rsid w:val="004426D0"/>
    <w:rsid w:val="0044287E"/>
    <w:rsid w:val="00442CAA"/>
    <w:rsid w:val="00443254"/>
    <w:rsid w:val="00443CE9"/>
    <w:rsid w:val="00443D0D"/>
    <w:rsid w:val="00443E48"/>
    <w:rsid w:val="0044409B"/>
    <w:rsid w:val="00444439"/>
    <w:rsid w:val="00444664"/>
    <w:rsid w:val="004448B6"/>
    <w:rsid w:val="00444C35"/>
    <w:rsid w:val="004457C4"/>
    <w:rsid w:val="00445C08"/>
    <w:rsid w:val="00446138"/>
    <w:rsid w:val="00446399"/>
    <w:rsid w:val="004467B8"/>
    <w:rsid w:val="0044691B"/>
    <w:rsid w:val="0044731E"/>
    <w:rsid w:val="00447B53"/>
    <w:rsid w:val="00447E1F"/>
    <w:rsid w:val="00447ECE"/>
    <w:rsid w:val="00447F60"/>
    <w:rsid w:val="00447FDF"/>
    <w:rsid w:val="00450638"/>
    <w:rsid w:val="0045066B"/>
    <w:rsid w:val="00450D17"/>
    <w:rsid w:val="004515B5"/>
    <w:rsid w:val="004520B5"/>
    <w:rsid w:val="00452442"/>
    <w:rsid w:val="00452471"/>
    <w:rsid w:val="00452675"/>
    <w:rsid w:val="00452BB8"/>
    <w:rsid w:val="00452EB3"/>
    <w:rsid w:val="004537A3"/>
    <w:rsid w:val="00453AC1"/>
    <w:rsid w:val="004540F2"/>
    <w:rsid w:val="00454B0B"/>
    <w:rsid w:val="00454DEA"/>
    <w:rsid w:val="00455128"/>
    <w:rsid w:val="00455216"/>
    <w:rsid w:val="00455A8D"/>
    <w:rsid w:val="00455C30"/>
    <w:rsid w:val="00455C3E"/>
    <w:rsid w:val="00455DA9"/>
    <w:rsid w:val="00455E68"/>
    <w:rsid w:val="00456363"/>
    <w:rsid w:val="00456ADF"/>
    <w:rsid w:val="00456C03"/>
    <w:rsid w:val="00456CCA"/>
    <w:rsid w:val="00457D1A"/>
    <w:rsid w:val="00457E75"/>
    <w:rsid w:val="00457E95"/>
    <w:rsid w:val="004600AF"/>
    <w:rsid w:val="00461135"/>
    <w:rsid w:val="00462140"/>
    <w:rsid w:val="0046214F"/>
    <w:rsid w:val="004622CB"/>
    <w:rsid w:val="0046244C"/>
    <w:rsid w:val="00462668"/>
    <w:rsid w:val="00462A06"/>
    <w:rsid w:val="00462EAA"/>
    <w:rsid w:val="0046439E"/>
    <w:rsid w:val="00464BC7"/>
    <w:rsid w:val="00464EB2"/>
    <w:rsid w:val="004656E3"/>
    <w:rsid w:val="0046572C"/>
    <w:rsid w:val="00465D43"/>
    <w:rsid w:val="00465D64"/>
    <w:rsid w:val="00465ED3"/>
    <w:rsid w:val="00466353"/>
    <w:rsid w:val="00466A11"/>
    <w:rsid w:val="00466A57"/>
    <w:rsid w:val="0046719F"/>
    <w:rsid w:val="0046771E"/>
    <w:rsid w:val="00467A71"/>
    <w:rsid w:val="00467D9B"/>
    <w:rsid w:val="004701E2"/>
    <w:rsid w:val="00470409"/>
    <w:rsid w:val="00470421"/>
    <w:rsid w:val="00471313"/>
    <w:rsid w:val="00471459"/>
    <w:rsid w:val="004716AC"/>
    <w:rsid w:val="00471737"/>
    <w:rsid w:val="0047238A"/>
    <w:rsid w:val="0047309E"/>
    <w:rsid w:val="00473318"/>
    <w:rsid w:val="00473696"/>
    <w:rsid w:val="004738FC"/>
    <w:rsid w:val="00473E47"/>
    <w:rsid w:val="004742C8"/>
    <w:rsid w:val="0047496B"/>
    <w:rsid w:val="004749CF"/>
    <w:rsid w:val="0047560F"/>
    <w:rsid w:val="0047561F"/>
    <w:rsid w:val="00475AED"/>
    <w:rsid w:val="00475B97"/>
    <w:rsid w:val="0047795D"/>
    <w:rsid w:val="004779E5"/>
    <w:rsid w:val="00477E28"/>
    <w:rsid w:val="004806D0"/>
    <w:rsid w:val="00480A99"/>
    <w:rsid w:val="00480AF9"/>
    <w:rsid w:val="00480D6E"/>
    <w:rsid w:val="00480E09"/>
    <w:rsid w:val="0048102F"/>
    <w:rsid w:val="004822FE"/>
    <w:rsid w:val="00482D0B"/>
    <w:rsid w:val="0048350F"/>
    <w:rsid w:val="00483B15"/>
    <w:rsid w:val="00483BC4"/>
    <w:rsid w:val="00484AD4"/>
    <w:rsid w:val="00484AF3"/>
    <w:rsid w:val="00484D05"/>
    <w:rsid w:val="00484FDC"/>
    <w:rsid w:val="004859DD"/>
    <w:rsid w:val="0048609E"/>
    <w:rsid w:val="0048640C"/>
    <w:rsid w:val="00486432"/>
    <w:rsid w:val="00486493"/>
    <w:rsid w:val="004867AB"/>
    <w:rsid w:val="004869C3"/>
    <w:rsid w:val="00487985"/>
    <w:rsid w:val="00491215"/>
    <w:rsid w:val="00491D94"/>
    <w:rsid w:val="0049269C"/>
    <w:rsid w:val="00492764"/>
    <w:rsid w:val="00492937"/>
    <w:rsid w:val="004929E7"/>
    <w:rsid w:val="00492AA2"/>
    <w:rsid w:val="00492B9B"/>
    <w:rsid w:val="00492DF7"/>
    <w:rsid w:val="0049305C"/>
    <w:rsid w:val="00493959"/>
    <w:rsid w:val="00493DF4"/>
    <w:rsid w:val="00493F26"/>
    <w:rsid w:val="00494249"/>
    <w:rsid w:val="004943F6"/>
    <w:rsid w:val="00494E66"/>
    <w:rsid w:val="0049621C"/>
    <w:rsid w:val="00496536"/>
    <w:rsid w:val="00496700"/>
    <w:rsid w:val="0049704F"/>
    <w:rsid w:val="004977F2"/>
    <w:rsid w:val="004979CD"/>
    <w:rsid w:val="004A002D"/>
    <w:rsid w:val="004A060F"/>
    <w:rsid w:val="004A072F"/>
    <w:rsid w:val="004A0883"/>
    <w:rsid w:val="004A0C18"/>
    <w:rsid w:val="004A1112"/>
    <w:rsid w:val="004A14C0"/>
    <w:rsid w:val="004A1C3D"/>
    <w:rsid w:val="004A2E17"/>
    <w:rsid w:val="004A3152"/>
    <w:rsid w:val="004A357E"/>
    <w:rsid w:val="004A3C32"/>
    <w:rsid w:val="004A3D9C"/>
    <w:rsid w:val="004A419E"/>
    <w:rsid w:val="004A42E3"/>
    <w:rsid w:val="004A441B"/>
    <w:rsid w:val="004A495E"/>
    <w:rsid w:val="004A4967"/>
    <w:rsid w:val="004A4C20"/>
    <w:rsid w:val="004A5237"/>
    <w:rsid w:val="004A56F4"/>
    <w:rsid w:val="004A5D1D"/>
    <w:rsid w:val="004A6E8C"/>
    <w:rsid w:val="004A755F"/>
    <w:rsid w:val="004A79B6"/>
    <w:rsid w:val="004B0216"/>
    <w:rsid w:val="004B08EE"/>
    <w:rsid w:val="004B096C"/>
    <w:rsid w:val="004B0C55"/>
    <w:rsid w:val="004B1A63"/>
    <w:rsid w:val="004B2483"/>
    <w:rsid w:val="004B2532"/>
    <w:rsid w:val="004B2A67"/>
    <w:rsid w:val="004B3292"/>
    <w:rsid w:val="004B32FE"/>
    <w:rsid w:val="004B3422"/>
    <w:rsid w:val="004B4321"/>
    <w:rsid w:val="004B43F8"/>
    <w:rsid w:val="004B4500"/>
    <w:rsid w:val="004B4C82"/>
    <w:rsid w:val="004B4DA1"/>
    <w:rsid w:val="004B5A9C"/>
    <w:rsid w:val="004B5DC4"/>
    <w:rsid w:val="004B640F"/>
    <w:rsid w:val="004B65B3"/>
    <w:rsid w:val="004B65D3"/>
    <w:rsid w:val="004B670E"/>
    <w:rsid w:val="004B6859"/>
    <w:rsid w:val="004B73B7"/>
    <w:rsid w:val="004B7640"/>
    <w:rsid w:val="004B7659"/>
    <w:rsid w:val="004B7838"/>
    <w:rsid w:val="004B7BF8"/>
    <w:rsid w:val="004C0003"/>
    <w:rsid w:val="004C0087"/>
    <w:rsid w:val="004C0F79"/>
    <w:rsid w:val="004C14BF"/>
    <w:rsid w:val="004C2170"/>
    <w:rsid w:val="004C2409"/>
    <w:rsid w:val="004C2916"/>
    <w:rsid w:val="004C3F69"/>
    <w:rsid w:val="004C403A"/>
    <w:rsid w:val="004C48C4"/>
    <w:rsid w:val="004C4EAE"/>
    <w:rsid w:val="004C4ECF"/>
    <w:rsid w:val="004C4F85"/>
    <w:rsid w:val="004C5393"/>
    <w:rsid w:val="004C60C4"/>
    <w:rsid w:val="004C61C7"/>
    <w:rsid w:val="004C61E0"/>
    <w:rsid w:val="004C674E"/>
    <w:rsid w:val="004C747D"/>
    <w:rsid w:val="004D0255"/>
    <w:rsid w:val="004D0C1C"/>
    <w:rsid w:val="004D19D1"/>
    <w:rsid w:val="004D2883"/>
    <w:rsid w:val="004D2A63"/>
    <w:rsid w:val="004D2D76"/>
    <w:rsid w:val="004D33D3"/>
    <w:rsid w:val="004D3C4D"/>
    <w:rsid w:val="004D3EC7"/>
    <w:rsid w:val="004D4035"/>
    <w:rsid w:val="004D4279"/>
    <w:rsid w:val="004D445F"/>
    <w:rsid w:val="004D451F"/>
    <w:rsid w:val="004D4F67"/>
    <w:rsid w:val="004D54D3"/>
    <w:rsid w:val="004D5576"/>
    <w:rsid w:val="004D5EC4"/>
    <w:rsid w:val="004D6548"/>
    <w:rsid w:val="004D67CE"/>
    <w:rsid w:val="004D6DBC"/>
    <w:rsid w:val="004D6EDC"/>
    <w:rsid w:val="004D7574"/>
    <w:rsid w:val="004D7AE3"/>
    <w:rsid w:val="004E090C"/>
    <w:rsid w:val="004E0AD9"/>
    <w:rsid w:val="004E0DF2"/>
    <w:rsid w:val="004E12E7"/>
    <w:rsid w:val="004E1A96"/>
    <w:rsid w:val="004E1B1D"/>
    <w:rsid w:val="004E1FAB"/>
    <w:rsid w:val="004E229D"/>
    <w:rsid w:val="004E3730"/>
    <w:rsid w:val="004E38B6"/>
    <w:rsid w:val="004E3F12"/>
    <w:rsid w:val="004E4683"/>
    <w:rsid w:val="004E48BF"/>
    <w:rsid w:val="004E4993"/>
    <w:rsid w:val="004E50A9"/>
    <w:rsid w:val="004E5EB4"/>
    <w:rsid w:val="004E5FDC"/>
    <w:rsid w:val="004E68BD"/>
    <w:rsid w:val="004E6A0D"/>
    <w:rsid w:val="004E7780"/>
    <w:rsid w:val="004E7BAD"/>
    <w:rsid w:val="004E9263"/>
    <w:rsid w:val="004F0AD5"/>
    <w:rsid w:val="004F0E57"/>
    <w:rsid w:val="004F1503"/>
    <w:rsid w:val="004F1718"/>
    <w:rsid w:val="004F17A6"/>
    <w:rsid w:val="004F212E"/>
    <w:rsid w:val="004F2148"/>
    <w:rsid w:val="004F2658"/>
    <w:rsid w:val="004F2AE3"/>
    <w:rsid w:val="004F387D"/>
    <w:rsid w:val="004F397F"/>
    <w:rsid w:val="004F3B96"/>
    <w:rsid w:val="004F3CFE"/>
    <w:rsid w:val="004F3F86"/>
    <w:rsid w:val="004F47C8"/>
    <w:rsid w:val="004F5744"/>
    <w:rsid w:val="004F581D"/>
    <w:rsid w:val="004F64DD"/>
    <w:rsid w:val="004F6775"/>
    <w:rsid w:val="004F70B2"/>
    <w:rsid w:val="004F79A2"/>
    <w:rsid w:val="004F7A96"/>
    <w:rsid w:val="004F7B62"/>
    <w:rsid w:val="004F7EBB"/>
    <w:rsid w:val="004F7FB6"/>
    <w:rsid w:val="0050058E"/>
    <w:rsid w:val="00500864"/>
    <w:rsid w:val="005009CA"/>
    <w:rsid w:val="00500EC2"/>
    <w:rsid w:val="005019D8"/>
    <w:rsid w:val="00501AC5"/>
    <w:rsid w:val="00502164"/>
    <w:rsid w:val="005023A1"/>
    <w:rsid w:val="005023FE"/>
    <w:rsid w:val="0050302A"/>
    <w:rsid w:val="00503DB8"/>
    <w:rsid w:val="00503E04"/>
    <w:rsid w:val="00504054"/>
    <w:rsid w:val="00504104"/>
    <w:rsid w:val="00504C1E"/>
    <w:rsid w:val="00504CC0"/>
    <w:rsid w:val="00505333"/>
    <w:rsid w:val="0050539B"/>
    <w:rsid w:val="005055F0"/>
    <w:rsid w:val="0050608D"/>
    <w:rsid w:val="00506544"/>
    <w:rsid w:val="005069CA"/>
    <w:rsid w:val="00506D78"/>
    <w:rsid w:val="00507039"/>
    <w:rsid w:val="005079EB"/>
    <w:rsid w:val="00507F5F"/>
    <w:rsid w:val="00510174"/>
    <w:rsid w:val="0051040C"/>
    <w:rsid w:val="005104C4"/>
    <w:rsid w:val="005105EF"/>
    <w:rsid w:val="00510856"/>
    <w:rsid w:val="00510AED"/>
    <w:rsid w:val="005115A3"/>
    <w:rsid w:val="0051162C"/>
    <w:rsid w:val="00511E62"/>
    <w:rsid w:val="005121C1"/>
    <w:rsid w:val="00512857"/>
    <w:rsid w:val="00512CA5"/>
    <w:rsid w:val="00512FB2"/>
    <w:rsid w:val="00513510"/>
    <w:rsid w:val="00513ED1"/>
    <w:rsid w:val="00514058"/>
    <w:rsid w:val="0051412A"/>
    <w:rsid w:val="0051413C"/>
    <w:rsid w:val="00514237"/>
    <w:rsid w:val="00514454"/>
    <w:rsid w:val="005148A9"/>
    <w:rsid w:val="00514F91"/>
    <w:rsid w:val="0051550B"/>
    <w:rsid w:val="0051559D"/>
    <w:rsid w:val="00515BB8"/>
    <w:rsid w:val="00516B7D"/>
    <w:rsid w:val="00516EC8"/>
    <w:rsid w:val="0051708F"/>
    <w:rsid w:val="00517D3D"/>
    <w:rsid w:val="0052011F"/>
    <w:rsid w:val="00520B37"/>
    <w:rsid w:val="00521016"/>
    <w:rsid w:val="005214F9"/>
    <w:rsid w:val="00521584"/>
    <w:rsid w:val="00521719"/>
    <w:rsid w:val="00521A5B"/>
    <w:rsid w:val="00522222"/>
    <w:rsid w:val="0052235B"/>
    <w:rsid w:val="00523692"/>
    <w:rsid w:val="0052373A"/>
    <w:rsid w:val="00523D52"/>
    <w:rsid w:val="005248B8"/>
    <w:rsid w:val="00524985"/>
    <w:rsid w:val="00524CCF"/>
    <w:rsid w:val="00525228"/>
    <w:rsid w:val="00525AB1"/>
    <w:rsid w:val="00525C56"/>
    <w:rsid w:val="00526121"/>
    <w:rsid w:val="00526E86"/>
    <w:rsid w:val="0052723D"/>
    <w:rsid w:val="005275CF"/>
    <w:rsid w:val="00527758"/>
    <w:rsid w:val="00527C0D"/>
    <w:rsid w:val="00527F00"/>
    <w:rsid w:val="00530715"/>
    <w:rsid w:val="00530D57"/>
    <w:rsid w:val="005310A2"/>
    <w:rsid w:val="00531124"/>
    <w:rsid w:val="005311CA"/>
    <w:rsid w:val="0053160B"/>
    <w:rsid w:val="0053220C"/>
    <w:rsid w:val="00532A44"/>
    <w:rsid w:val="00532C4F"/>
    <w:rsid w:val="00532DFA"/>
    <w:rsid w:val="00532ECC"/>
    <w:rsid w:val="00533BB3"/>
    <w:rsid w:val="00534C49"/>
    <w:rsid w:val="00534FB5"/>
    <w:rsid w:val="00535041"/>
    <w:rsid w:val="00535043"/>
    <w:rsid w:val="00535054"/>
    <w:rsid w:val="005363BD"/>
    <w:rsid w:val="00537661"/>
    <w:rsid w:val="0053795D"/>
    <w:rsid w:val="00537F50"/>
    <w:rsid w:val="00541047"/>
    <w:rsid w:val="005412B2"/>
    <w:rsid w:val="00541B0E"/>
    <w:rsid w:val="00541B7A"/>
    <w:rsid w:val="0054272D"/>
    <w:rsid w:val="00542C7D"/>
    <w:rsid w:val="005431EC"/>
    <w:rsid w:val="005434D7"/>
    <w:rsid w:val="00544C1C"/>
    <w:rsid w:val="00544CC8"/>
    <w:rsid w:val="00544FD0"/>
    <w:rsid w:val="005452EB"/>
    <w:rsid w:val="00545B4C"/>
    <w:rsid w:val="00545BBF"/>
    <w:rsid w:val="00545F62"/>
    <w:rsid w:val="00546E7A"/>
    <w:rsid w:val="00547504"/>
    <w:rsid w:val="005479B4"/>
    <w:rsid w:val="00547EA7"/>
    <w:rsid w:val="005501A4"/>
    <w:rsid w:val="005501C0"/>
    <w:rsid w:val="0055096B"/>
    <w:rsid w:val="00550D7F"/>
    <w:rsid w:val="00552915"/>
    <w:rsid w:val="00552CD6"/>
    <w:rsid w:val="005537C5"/>
    <w:rsid w:val="0055384D"/>
    <w:rsid w:val="0055389C"/>
    <w:rsid w:val="00553B0D"/>
    <w:rsid w:val="005540C8"/>
    <w:rsid w:val="00554BD0"/>
    <w:rsid w:val="00555074"/>
    <w:rsid w:val="00556A14"/>
    <w:rsid w:val="005570A2"/>
    <w:rsid w:val="005576B4"/>
    <w:rsid w:val="00557B72"/>
    <w:rsid w:val="00557ED6"/>
    <w:rsid w:val="00560149"/>
    <w:rsid w:val="005606FC"/>
    <w:rsid w:val="00560A31"/>
    <w:rsid w:val="00560C9F"/>
    <w:rsid w:val="00561E0F"/>
    <w:rsid w:val="005622AA"/>
    <w:rsid w:val="0056234D"/>
    <w:rsid w:val="0056285C"/>
    <w:rsid w:val="00562BF8"/>
    <w:rsid w:val="00563B35"/>
    <w:rsid w:val="005640C9"/>
    <w:rsid w:val="005642A0"/>
    <w:rsid w:val="00564C1C"/>
    <w:rsid w:val="005651CC"/>
    <w:rsid w:val="005652A4"/>
    <w:rsid w:val="00565F30"/>
    <w:rsid w:val="005666D0"/>
    <w:rsid w:val="005667DD"/>
    <w:rsid w:val="00566C54"/>
    <w:rsid w:val="0056706D"/>
    <w:rsid w:val="00567558"/>
    <w:rsid w:val="00567809"/>
    <w:rsid w:val="00567A2A"/>
    <w:rsid w:val="00567A2B"/>
    <w:rsid w:val="00570184"/>
    <w:rsid w:val="00570292"/>
    <w:rsid w:val="0057062D"/>
    <w:rsid w:val="0057081F"/>
    <w:rsid w:val="00570CFB"/>
    <w:rsid w:val="00571183"/>
    <w:rsid w:val="00571956"/>
    <w:rsid w:val="00571A75"/>
    <w:rsid w:val="00572AEB"/>
    <w:rsid w:val="00573A12"/>
    <w:rsid w:val="00573BEA"/>
    <w:rsid w:val="00573FEA"/>
    <w:rsid w:val="00574135"/>
    <w:rsid w:val="0057432E"/>
    <w:rsid w:val="005745AD"/>
    <w:rsid w:val="00574A31"/>
    <w:rsid w:val="00574AA7"/>
    <w:rsid w:val="00574ADE"/>
    <w:rsid w:val="00574FA9"/>
    <w:rsid w:val="005753CB"/>
    <w:rsid w:val="005754AE"/>
    <w:rsid w:val="00575931"/>
    <w:rsid w:val="00575AAE"/>
    <w:rsid w:val="005762B9"/>
    <w:rsid w:val="0057706C"/>
    <w:rsid w:val="0057716C"/>
    <w:rsid w:val="005771E7"/>
    <w:rsid w:val="0057756C"/>
    <w:rsid w:val="00580D86"/>
    <w:rsid w:val="005813B9"/>
    <w:rsid w:val="005817FA"/>
    <w:rsid w:val="005828E5"/>
    <w:rsid w:val="00582A7A"/>
    <w:rsid w:val="00582AF7"/>
    <w:rsid w:val="005831AA"/>
    <w:rsid w:val="00583B49"/>
    <w:rsid w:val="00583EDD"/>
    <w:rsid w:val="005840C6"/>
    <w:rsid w:val="00584343"/>
    <w:rsid w:val="00584B13"/>
    <w:rsid w:val="00584F9B"/>
    <w:rsid w:val="0058529B"/>
    <w:rsid w:val="005853BF"/>
    <w:rsid w:val="00585756"/>
    <w:rsid w:val="00585946"/>
    <w:rsid w:val="00586549"/>
    <w:rsid w:val="00586ED3"/>
    <w:rsid w:val="005876CC"/>
    <w:rsid w:val="00590233"/>
    <w:rsid w:val="00590551"/>
    <w:rsid w:val="00590B2A"/>
    <w:rsid w:val="00590C74"/>
    <w:rsid w:val="005912DE"/>
    <w:rsid w:val="00591E73"/>
    <w:rsid w:val="00591EDB"/>
    <w:rsid w:val="00592EC3"/>
    <w:rsid w:val="00593C33"/>
    <w:rsid w:val="00593CE0"/>
    <w:rsid w:val="00594072"/>
    <w:rsid w:val="005943DF"/>
    <w:rsid w:val="00594867"/>
    <w:rsid w:val="00594AF5"/>
    <w:rsid w:val="00594BE4"/>
    <w:rsid w:val="00595706"/>
    <w:rsid w:val="00595DBF"/>
    <w:rsid w:val="00595E62"/>
    <w:rsid w:val="00596087"/>
    <w:rsid w:val="005966EC"/>
    <w:rsid w:val="0059697C"/>
    <w:rsid w:val="00596F66"/>
    <w:rsid w:val="00597045"/>
    <w:rsid w:val="005970C8"/>
    <w:rsid w:val="00597EB7"/>
    <w:rsid w:val="005A03A0"/>
    <w:rsid w:val="005A043B"/>
    <w:rsid w:val="005A0902"/>
    <w:rsid w:val="005A0F38"/>
    <w:rsid w:val="005A18D4"/>
    <w:rsid w:val="005A1D05"/>
    <w:rsid w:val="005A29B9"/>
    <w:rsid w:val="005A3678"/>
    <w:rsid w:val="005A4936"/>
    <w:rsid w:val="005A532F"/>
    <w:rsid w:val="005A54DC"/>
    <w:rsid w:val="005A557C"/>
    <w:rsid w:val="005A55DF"/>
    <w:rsid w:val="005A5980"/>
    <w:rsid w:val="005A5EAA"/>
    <w:rsid w:val="005A6571"/>
    <w:rsid w:val="005A6A2B"/>
    <w:rsid w:val="005A7005"/>
    <w:rsid w:val="005A742F"/>
    <w:rsid w:val="005A7476"/>
    <w:rsid w:val="005B0682"/>
    <w:rsid w:val="005B072C"/>
    <w:rsid w:val="005B0B2C"/>
    <w:rsid w:val="005B1C2B"/>
    <w:rsid w:val="005B1EBE"/>
    <w:rsid w:val="005B2760"/>
    <w:rsid w:val="005B2A46"/>
    <w:rsid w:val="005B2CC4"/>
    <w:rsid w:val="005B359A"/>
    <w:rsid w:val="005B389E"/>
    <w:rsid w:val="005B3B84"/>
    <w:rsid w:val="005B4205"/>
    <w:rsid w:val="005B4DAD"/>
    <w:rsid w:val="005B5061"/>
    <w:rsid w:val="005B55F7"/>
    <w:rsid w:val="005B5C2E"/>
    <w:rsid w:val="005B6B61"/>
    <w:rsid w:val="005B6B77"/>
    <w:rsid w:val="005B6D64"/>
    <w:rsid w:val="005B74D7"/>
    <w:rsid w:val="005B773E"/>
    <w:rsid w:val="005B78ED"/>
    <w:rsid w:val="005B7ED1"/>
    <w:rsid w:val="005B7ED8"/>
    <w:rsid w:val="005C0874"/>
    <w:rsid w:val="005C1F6A"/>
    <w:rsid w:val="005C274A"/>
    <w:rsid w:val="005C2EB3"/>
    <w:rsid w:val="005C32E9"/>
    <w:rsid w:val="005C343B"/>
    <w:rsid w:val="005C3A2F"/>
    <w:rsid w:val="005C3B78"/>
    <w:rsid w:val="005C4188"/>
    <w:rsid w:val="005C420A"/>
    <w:rsid w:val="005C4246"/>
    <w:rsid w:val="005C4610"/>
    <w:rsid w:val="005C4BE3"/>
    <w:rsid w:val="005C4D01"/>
    <w:rsid w:val="005C4FC3"/>
    <w:rsid w:val="005C4FEE"/>
    <w:rsid w:val="005C531A"/>
    <w:rsid w:val="005C5596"/>
    <w:rsid w:val="005C55CB"/>
    <w:rsid w:val="005C59C7"/>
    <w:rsid w:val="005C5BCC"/>
    <w:rsid w:val="005C5E3F"/>
    <w:rsid w:val="005C608B"/>
    <w:rsid w:val="005C621D"/>
    <w:rsid w:val="005C6487"/>
    <w:rsid w:val="005C6689"/>
    <w:rsid w:val="005C695C"/>
    <w:rsid w:val="005C7225"/>
    <w:rsid w:val="005C73A6"/>
    <w:rsid w:val="005C79F5"/>
    <w:rsid w:val="005C7D6F"/>
    <w:rsid w:val="005D025F"/>
    <w:rsid w:val="005D0660"/>
    <w:rsid w:val="005D0BB5"/>
    <w:rsid w:val="005D3163"/>
    <w:rsid w:val="005D35BA"/>
    <w:rsid w:val="005D42F6"/>
    <w:rsid w:val="005D5176"/>
    <w:rsid w:val="005D571A"/>
    <w:rsid w:val="005D5930"/>
    <w:rsid w:val="005D5A56"/>
    <w:rsid w:val="005D5B0E"/>
    <w:rsid w:val="005D6076"/>
    <w:rsid w:val="005D6654"/>
    <w:rsid w:val="005D6764"/>
    <w:rsid w:val="005D67CA"/>
    <w:rsid w:val="005D6FEB"/>
    <w:rsid w:val="005D7100"/>
    <w:rsid w:val="005D763A"/>
    <w:rsid w:val="005E0149"/>
    <w:rsid w:val="005E0812"/>
    <w:rsid w:val="005E114C"/>
    <w:rsid w:val="005E18B2"/>
    <w:rsid w:val="005E1A0C"/>
    <w:rsid w:val="005E1B5C"/>
    <w:rsid w:val="005E35C1"/>
    <w:rsid w:val="005E3870"/>
    <w:rsid w:val="005E425E"/>
    <w:rsid w:val="005E42B7"/>
    <w:rsid w:val="005E54C5"/>
    <w:rsid w:val="005E5C42"/>
    <w:rsid w:val="005E62CE"/>
    <w:rsid w:val="005E6645"/>
    <w:rsid w:val="005E6870"/>
    <w:rsid w:val="005E6F1E"/>
    <w:rsid w:val="005E7BF6"/>
    <w:rsid w:val="005F0250"/>
    <w:rsid w:val="005F0C1B"/>
    <w:rsid w:val="005F0C73"/>
    <w:rsid w:val="005F0ED0"/>
    <w:rsid w:val="005F0EF6"/>
    <w:rsid w:val="005F1280"/>
    <w:rsid w:val="005F1F6D"/>
    <w:rsid w:val="005F20B0"/>
    <w:rsid w:val="005F2268"/>
    <w:rsid w:val="005F2F7B"/>
    <w:rsid w:val="005F306C"/>
    <w:rsid w:val="005F3142"/>
    <w:rsid w:val="005F33B0"/>
    <w:rsid w:val="005F353A"/>
    <w:rsid w:val="005F3CE6"/>
    <w:rsid w:val="005F4758"/>
    <w:rsid w:val="005F4AEE"/>
    <w:rsid w:val="005F4F57"/>
    <w:rsid w:val="005F7266"/>
    <w:rsid w:val="005F78A3"/>
    <w:rsid w:val="005F7F41"/>
    <w:rsid w:val="00600D10"/>
    <w:rsid w:val="00601722"/>
    <w:rsid w:val="00601DD6"/>
    <w:rsid w:val="00603A65"/>
    <w:rsid w:val="006040E0"/>
    <w:rsid w:val="006041F6"/>
    <w:rsid w:val="00604642"/>
    <w:rsid w:val="00604926"/>
    <w:rsid w:val="006053CE"/>
    <w:rsid w:val="00605520"/>
    <w:rsid w:val="00605751"/>
    <w:rsid w:val="0060611C"/>
    <w:rsid w:val="00606510"/>
    <w:rsid w:val="0060691C"/>
    <w:rsid w:val="00606E1A"/>
    <w:rsid w:val="00607B75"/>
    <w:rsid w:val="00607C46"/>
    <w:rsid w:val="006104C4"/>
    <w:rsid w:val="00610AC7"/>
    <w:rsid w:val="00610BCD"/>
    <w:rsid w:val="006116CF"/>
    <w:rsid w:val="00611891"/>
    <w:rsid w:val="006119EE"/>
    <w:rsid w:val="00611A8D"/>
    <w:rsid w:val="00611CEE"/>
    <w:rsid w:val="006126B2"/>
    <w:rsid w:val="006126C0"/>
    <w:rsid w:val="00612E5B"/>
    <w:rsid w:val="00612E65"/>
    <w:rsid w:val="006132C3"/>
    <w:rsid w:val="00614161"/>
    <w:rsid w:val="0061436C"/>
    <w:rsid w:val="006148FB"/>
    <w:rsid w:val="00614BFD"/>
    <w:rsid w:val="00615024"/>
    <w:rsid w:val="00615700"/>
    <w:rsid w:val="0061647B"/>
    <w:rsid w:val="00616CA3"/>
    <w:rsid w:val="00617040"/>
    <w:rsid w:val="00617043"/>
    <w:rsid w:val="00620884"/>
    <w:rsid w:val="006209C5"/>
    <w:rsid w:val="00620F03"/>
    <w:rsid w:val="00620FAC"/>
    <w:rsid w:val="00621268"/>
    <w:rsid w:val="006214B2"/>
    <w:rsid w:val="00622DE2"/>
    <w:rsid w:val="00623367"/>
    <w:rsid w:val="006233D3"/>
    <w:rsid w:val="0062369D"/>
    <w:rsid w:val="006239D9"/>
    <w:rsid w:val="00623EC2"/>
    <w:rsid w:val="00624C16"/>
    <w:rsid w:val="00625080"/>
    <w:rsid w:val="00625172"/>
    <w:rsid w:val="00625360"/>
    <w:rsid w:val="0062589F"/>
    <w:rsid w:val="00625BA8"/>
    <w:rsid w:val="00625DAE"/>
    <w:rsid w:val="00625F61"/>
    <w:rsid w:val="00626499"/>
    <w:rsid w:val="00626909"/>
    <w:rsid w:val="00626934"/>
    <w:rsid w:val="006270C6"/>
    <w:rsid w:val="00630637"/>
    <w:rsid w:val="006308ED"/>
    <w:rsid w:val="00631723"/>
    <w:rsid w:val="00631AE9"/>
    <w:rsid w:val="00631B50"/>
    <w:rsid w:val="006320E7"/>
    <w:rsid w:val="00632664"/>
    <w:rsid w:val="00632F8C"/>
    <w:rsid w:val="0063316B"/>
    <w:rsid w:val="006334A5"/>
    <w:rsid w:val="00633540"/>
    <w:rsid w:val="006336EF"/>
    <w:rsid w:val="006338F7"/>
    <w:rsid w:val="00633AA5"/>
    <w:rsid w:val="00633E73"/>
    <w:rsid w:val="00633F03"/>
    <w:rsid w:val="00634811"/>
    <w:rsid w:val="00634E2E"/>
    <w:rsid w:val="00635373"/>
    <w:rsid w:val="0063588C"/>
    <w:rsid w:val="0063598C"/>
    <w:rsid w:val="00636095"/>
    <w:rsid w:val="006365BF"/>
    <w:rsid w:val="00636674"/>
    <w:rsid w:val="006375E0"/>
    <w:rsid w:val="006376CB"/>
    <w:rsid w:val="006379C9"/>
    <w:rsid w:val="00640005"/>
    <w:rsid w:val="00640B79"/>
    <w:rsid w:val="00640D36"/>
    <w:rsid w:val="00640E2E"/>
    <w:rsid w:val="006415B4"/>
    <w:rsid w:val="00642378"/>
    <w:rsid w:val="0064276D"/>
    <w:rsid w:val="00642CD1"/>
    <w:rsid w:val="00642FB0"/>
    <w:rsid w:val="006439CB"/>
    <w:rsid w:val="00644080"/>
    <w:rsid w:val="006442F3"/>
    <w:rsid w:val="00644ADD"/>
    <w:rsid w:val="00644D9A"/>
    <w:rsid w:val="00645777"/>
    <w:rsid w:val="00646015"/>
    <w:rsid w:val="0064629F"/>
    <w:rsid w:val="00646B0A"/>
    <w:rsid w:val="00646D4F"/>
    <w:rsid w:val="00646D52"/>
    <w:rsid w:val="006479CB"/>
    <w:rsid w:val="00647FBA"/>
    <w:rsid w:val="0065042E"/>
    <w:rsid w:val="00650AB1"/>
    <w:rsid w:val="00650FCF"/>
    <w:rsid w:val="00651079"/>
    <w:rsid w:val="00651573"/>
    <w:rsid w:val="00651843"/>
    <w:rsid w:val="00652E7C"/>
    <w:rsid w:val="00653AEB"/>
    <w:rsid w:val="00653D67"/>
    <w:rsid w:val="00654028"/>
    <w:rsid w:val="006544FD"/>
    <w:rsid w:val="00654810"/>
    <w:rsid w:val="006563A8"/>
    <w:rsid w:val="0065685F"/>
    <w:rsid w:val="00656CDC"/>
    <w:rsid w:val="0065714C"/>
    <w:rsid w:val="00661072"/>
    <w:rsid w:val="00661C3C"/>
    <w:rsid w:val="0066268C"/>
    <w:rsid w:val="00662F12"/>
    <w:rsid w:val="00662F96"/>
    <w:rsid w:val="00663112"/>
    <w:rsid w:val="0066385E"/>
    <w:rsid w:val="006638F3"/>
    <w:rsid w:val="00663C75"/>
    <w:rsid w:val="006640A5"/>
    <w:rsid w:val="00664D00"/>
    <w:rsid w:val="00664D13"/>
    <w:rsid w:val="00664E06"/>
    <w:rsid w:val="00665870"/>
    <w:rsid w:val="00665A1F"/>
    <w:rsid w:val="00665B1F"/>
    <w:rsid w:val="00665EDF"/>
    <w:rsid w:val="00666555"/>
    <w:rsid w:val="006666B9"/>
    <w:rsid w:val="00666A8F"/>
    <w:rsid w:val="00666F3C"/>
    <w:rsid w:val="00667787"/>
    <w:rsid w:val="006677AC"/>
    <w:rsid w:val="006701A6"/>
    <w:rsid w:val="00670687"/>
    <w:rsid w:val="00670D66"/>
    <w:rsid w:val="006719D7"/>
    <w:rsid w:val="0067270E"/>
    <w:rsid w:val="006727C4"/>
    <w:rsid w:val="00672D93"/>
    <w:rsid w:val="00672E5F"/>
    <w:rsid w:val="00672E84"/>
    <w:rsid w:val="0067351D"/>
    <w:rsid w:val="0067351E"/>
    <w:rsid w:val="00673868"/>
    <w:rsid w:val="006739A7"/>
    <w:rsid w:val="00673B4E"/>
    <w:rsid w:val="00674397"/>
    <w:rsid w:val="0067467B"/>
    <w:rsid w:val="00674A3B"/>
    <w:rsid w:val="00674CD1"/>
    <w:rsid w:val="00675174"/>
    <w:rsid w:val="006755E0"/>
    <w:rsid w:val="00675D46"/>
    <w:rsid w:val="006762C0"/>
    <w:rsid w:val="00676A95"/>
    <w:rsid w:val="0067731F"/>
    <w:rsid w:val="006774E4"/>
    <w:rsid w:val="00677CB8"/>
    <w:rsid w:val="006794CC"/>
    <w:rsid w:val="006800F0"/>
    <w:rsid w:val="006809BF"/>
    <w:rsid w:val="0068116D"/>
    <w:rsid w:val="0068285E"/>
    <w:rsid w:val="00682B70"/>
    <w:rsid w:val="00682B90"/>
    <w:rsid w:val="006835C5"/>
    <w:rsid w:val="00683688"/>
    <w:rsid w:val="006836A0"/>
    <w:rsid w:val="00683B4B"/>
    <w:rsid w:val="00683B80"/>
    <w:rsid w:val="006843F5"/>
    <w:rsid w:val="0068450E"/>
    <w:rsid w:val="00684715"/>
    <w:rsid w:val="00685114"/>
    <w:rsid w:val="00685719"/>
    <w:rsid w:val="00685A59"/>
    <w:rsid w:val="00685B27"/>
    <w:rsid w:val="00685DD0"/>
    <w:rsid w:val="00686162"/>
    <w:rsid w:val="00686925"/>
    <w:rsid w:val="00686ACC"/>
    <w:rsid w:val="00686FBC"/>
    <w:rsid w:val="006871A5"/>
    <w:rsid w:val="00690361"/>
    <w:rsid w:val="00690732"/>
    <w:rsid w:val="006908BE"/>
    <w:rsid w:val="006909CF"/>
    <w:rsid w:val="00690EE4"/>
    <w:rsid w:val="00691646"/>
    <w:rsid w:val="00691ACF"/>
    <w:rsid w:val="00691B53"/>
    <w:rsid w:val="00691B97"/>
    <w:rsid w:val="00691C34"/>
    <w:rsid w:val="00691CD4"/>
    <w:rsid w:val="00692143"/>
    <w:rsid w:val="006925B9"/>
    <w:rsid w:val="00692FDD"/>
    <w:rsid w:val="00693087"/>
    <w:rsid w:val="0069319A"/>
    <w:rsid w:val="00694C84"/>
    <w:rsid w:val="0069519B"/>
    <w:rsid w:val="00695453"/>
    <w:rsid w:val="006958CA"/>
    <w:rsid w:val="00696104"/>
    <w:rsid w:val="006961C3"/>
    <w:rsid w:val="00696BC2"/>
    <w:rsid w:val="00696E5D"/>
    <w:rsid w:val="00696ED3"/>
    <w:rsid w:val="00696EF5"/>
    <w:rsid w:val="00697564"/>
    <w:rsid w:val="00697A85"/>
    <w:rsid w:val="006A02FB"/>
    <w:rsid w:val="006A1CBE"/>
    <w:rsid w:val="006A1FE5"/>
    <w:rsid w:val="006A20C3"/>
    <w:rsid w:val="006A28C5"/>
    <w:rsid w:val="006A2ACE"/>
    <w:rsid w:val="006A2B8A"/>
    <w:rsid w:val="006A2CC3"/>
    <w:rsid w:val="006A2E98"/>
    <w:rsid w:val="006A2EEE"/>
    <w:rsid w:val="006A2F88"/>
    <w:rsid w:val="006A3047"/>
    <w:rsid w:val="006A3D78"/>
    <w:rsid w:val="006A4968"/>
    <w:rsid w:val="006A50E4"/>
    <w:rsid w:val="006A522C"/>
    <w:rsid w:val="006A59BB"/>
    <w:rsid w:val="006A7380"/>
    <w:rsid w:val="006A75EF"/>
    <w:rsid w:val="006A7912"/>
    <w:rsid w:val="006A7B10"/>
    <w:rsid w:val="006B04F5"/>
    <w:rsid w:val="006B151B"/>
    <w:rsid w:val="006B1B44"/>
    <w:rsid w:val="006B1BFD"/>
    <w:rsid w:val="006B1D0A"/>
    <w:rsid w:val="006B1FCC"/>
    <w:rsid w:val="006B209F"/>
    <w:rsid w:val="006B27BB"/>
    <w:rsid w:val="006B2CB4"/>
    <w:rsid w:val="006B2F2A"/>
    <w:rsid w:val="006B32AC"/>
    <w:rsid w:val="006B3347"/>
    <w:rsid w:val="006B3420"/>
    <w:rsid w:val="006B350F"/>
    <w:rsid w:val="006B3C19"/>
    <w:rsid w:val="006B431E"/>
    <w:rsid w:val="006B4706"/>
    <w:rsid w:val="006B4711"/>
    <w:rsid w:val="006B4C7D"/>
    <w:rsid w:val="006B4EF7"/>
    <w:rsid w:val="006B5129"/>
    <w:rsid w:val="006B52D2"/>
    <w:rsid w:val="006B56E9"/>
    <w:rsid w:val="006B5E72"/>
    <w:rsid w:val="006B6203"/>
    <w:rsid w:val="006B6529"/>
    <w:rsid w:val="006B690D"/>
    <w:rsid w:val="006B6979"/>
    <w:rsid w:val="006B6A6C"/>
    <w:rsid w:val="006B6BC3"/>
    <w:rsid w:val="006B7040"/>
    <w:rsid w:val="006B75AB"/>
    <w:rsid w:val="006B78CC"/>
    <w:rsid w:val="006B7912"/>
    <w:rsid w:val="006B7E6B"/>
    <w:rsid w:val="006BAE4D"/>
    <w:rsid w:val="006C01B5"/>
    <w:rsid w:val="006C031D"/>
    <w:rsid w:val="006C05EE"/>
    <w:rsid w:val="006C06DD"/>
    <w:rsid w:val="006C0AA3"/>
    <w:rsid w:val="006C1BC2"/>
    <w:rsid w:val="006C2DD0"/>
    <w:rsid w:val="006C30AA"/>
    <w:rsid w:val="006C37EC"/>
    <w:rsid w:val="006C3E62"/>
    <w:rsid w:val="006C445B"/>
    <w:rsid w:val="006C4537"/>
    <w:rsid w:val="006C5054"/>
    <w:rsid w:val="006C5C21"/>
    <w:rsid w:val="006C6386"/>
    <w:rsid w:val="006C6E2C"/>
    <w:rsid w:val="006C7E33"/>
    <w:rsid w:val="006D065D"/>
    <w:rsid w:val="006D0710"/>
    <w:rsid w:val="006D073A"/>
    <w:rsid w:val="006D0A84"/>
    <w:rsid w:val="006D17D3"/>
    <w:rsid w:val="006D18A1"/>
    <w:rsid w:val="006D1A0A"/>
    <w:rsid w:val="006D1B62"/>
    <w:rsid w:val="006D2307"/>
    <w:rsid w:val="006D260F"/>
    <w:rsid w:val="006D2B13"/>
    <w:rsid w:val="006D3976"/>
    <w:rsid w:val="006D3AC3"/>
    <w:rsid w:val="006D3B18"/>
    <w:rsid w:val="006D4EFC"/>
    <w:rsid w:val="006D5103"/>
    <w:rsid w:val="006D537D"/>
    <w:rsid w:val="006D55EE"/>
    <w:rsid w:val="006D5953"/>
    <w:rsid w:val="006D5F87"/>
    <w:rsid w:val="006D619A"/>
    <w:rsid w:val="006D6308"/>
    <w:rsid w:val="006D63B8"/>
    <w:rsid w:val="006D641F"/>
    <w:rsid w:val="006D6564"/>
    <w:rsid w:val="006D681C"/>
    <w:rsid w:val="006D68B7"/>
    <w:rsid w:val="006D6B7D"/>
    <w:rsid w:val="006D6C9C"/>
    <w:rsid w:val="006D75BB"/>
    <w:rsid w:val="006D7993"/>
    <w:rsid w:val="006D7CCF"/>
    <w:rsid w:val="006E02DA"/>
    <w:rsid w:val="006E0465"/>
    <w:rsid w:val="006E0962"/>
    <w:rsid w:val="006E0CB2"/>
    <w:rsid w:val="006E1062"/>
    <w:rsid w:val="006E145B"/>
    <w:rsid w:val="006E1A4C"/>
    <w:rsid w:val="006E25D9"/>
    <w:rsid w:val="006E2AD6"/>
    <w:rsid w:val="006E2C40"/>
    <w:rsid w:val="006E2CB8"/>
    <w:rsid w:val="006E37C2"/>
    <w:rsid w:val="006E3BCD"/>
    <w:rsid w:val="006E3BCE"/>
    <w:rsid w:val="006E3C32"/>
    <w:rsid w:val="006E3CA4"/>
    <w:rsid w:val="006E3FC1"/>
    <w:rsid w:val="006E51AE"/>
    <w:rsid w:val="006E582E"/>
    <w:rsid w:val="006E586E"/>
    <w:rsid w:val="006E5CC9"/>
    <w:rsid w:val="006E6CFC"/>
    <w:rsid w:val="006E7F2E"/>
    <w:rsid w:val="006F056B"/>
    <w:rsid w:val="006F065B"/>
    <w:rsid w:val="006F07EA"/>
    <w:rsid w:val="006F101F"/>
    <w:rsid w:val="006F12B9"/>
    <w:rsid w:val="006F18C4"/>
    <w:rsid w:val="006F1E08"/>
    <w:rsid w:val="006F22C5"/>
    <w:rsid w:val="006F24EC"/>
    <w:rsid w:val="006F25CE"/>
    <w:rsid w:val="006F2EFC"/>
    <w:rsid w:val="006F3118"/>
    <w:rsid w:val="006F315A"/>
    <w:rsid w:val="006F33A8"/>
    <w:rsid w:val="006F3B07"/>
    <w:rsid w:val="006F3DCE"/>
    <w:rsid w:val="006F3FE1"/>
    <w:rsid w:val="006F3FE8"/>
    <w:rsid w:val="006F4143"/>
    <w:rsid w:val="006F4234"/>
    <w:rsid w:val="006F498F"/>
    <w:rsid w:val="006F4A5D"/>
    <w:rsid w:val="006F5501"/>
    <w:rsid w:val="006F55AE"/>
    <w:rsid w:val="006F57D6"/>
    <w:rsid w:val="006F591E"/>
    <w:rsid w:val="006F5DD4"/>
    <w:rsid w:val="006F5E1F"/>
    <w:rsid w:val="006F5E6A"/>
    <w:rsid w:val="006F628D"/>
    <w:rsid w:val="006F62CB"/>
    <w:rsid w:val="006F6BF2"/>
    <w:rsid w:val="006F6EE8"/>
    <w:rsid w:val="006F705E"/>
    <w:rsid w:val="006F77BE"/>
    <w:rsid w:val="0070025F"/>
    <w:rsid w:val="0070044F"/>
    <w:rsid w:val="00701231"/>
    <w:rsid w:val="007012F6"/>
    <w:rsid w:val="00701418"/>
    <w:rsid w:val="00701E64"/>
    <w:rsid w:val="00702338"/>
    <w:rsid w:val="00702896"/>
    <w:rsid w:val="00702984"/>
    <w:rsid w:val="00702CC3"/>
    <w:rsid w:val="007036A9"/>
    <w:rsid w:val="007036B2"/>
    <w:rsid w:val="00703AEF"/>
    <w:rsid w:val="00703E1B"/>
    <w:rsid w:val="0070426F"/>
    <w:rsid w:val="00704EC7"/>
    <w:rsid w:val="00704FCF"/>
    <w:rsid w:val="00705972"/>
    <w:rsid w:val="00705C4B"/>
    <w:rsid w:val="00706236"/>
    <w:rsid w:val="00706721"/>
    <w:rsid w:val="0070689A"/>
    <w:rsid w:val="00706A0F"/>
    <w:rsid w:val="00706BBB"/>
    <w:rsid w:val="00706C0F"/>
    <w:rsid w:val="00706CAA"/>
    <w:rsid w:val="0070719D"/>
    <w:rsid w:val="007072B3"/>
    <w:rsid w:val="00707B77"/>
    <w:rsid w:val="00707BD5"/>
    <w:rsid w:val="007104D5"/>
    <w:rsid w:val="00711C01"/>
    <w:rsid w:val="00711FCC"/>
    <w:rsid w:val="0071242C"/>
    <w:rsid w:val="00712CB6"/>
    <w:rsid w:val="00714DDC"/>
    <w:rsid w:val="0071551F"/>
    <w:rsid w:val="00715544"/>
    <w:rsid w:val="00716511"/>
    <w:rsid w:val="0071651B"/>
    <w:rsid w:val="0071656B"/>
    <w:rsid w:val="0071702C"/>
    <w:rsid w:val="0071763A"/>
    <w:rsid w:val="00717A71"/>
    <w:rsid w:val="00717DDD"/>
    <w:rsid w:val="007201E1"/>
    <w:rsid w:val="00720411"/>
    <w:rsid w:val="007209E9"/>
    <w:rsid w:val="00720A91"/>
    <w:rsid w:val="00720B10"/>
    <w:rsid w:val="00720DC2"/>
    <w:rsid w:val="00723459"/>
    <w:rsid w:val="00723ACD"/>
    <w:rsid w:val="00723BD7"/>
    <w:rsid w:val="00723FB1"/>
    <w:rsid w:val="00724267"/>
    <w:rsid w:val="007243FA"/>
    <w:rsid w:val="007244D1"/>
    <w:rsid w:val="00724BCB"/>
    <w:rsid w:val="00726105"/>
    <w:rsid w:val="00727088"/>
    <w:rsid w:val="00727193"/>
    <w:rsid w:val="007308AB"/>
    <w:rsid w:val="00730C6C"/>
    <w:rsid w:val="00730C91"/>
    <w:rsid w:val="00730CC1"/>
    <w:rsid w:val="00730E7B"/>
    <w:rsid w:val="00730F4E"/>
    <w:rsid w:val="007310B4"/>
    <w:rsid w:val="00731132"/>
    <w:rsid w:val="00731F9F"/>
    <w:rsid w:val="00732DE2"/>
    <w:rsid w:val="00732DE3"/>
    <w:rsid w:val="00732E84"/>
    <w:rsid w:val="0073315B"/>
    <w:rsid w:val="00733177"/>
    <w:rsid w:val="007332E9"/>
    <w:rsid w:val="00733B44"/>
    <w:rsid w:val="007347E4"/>
    <w:rsid w:val="00734C1B"/>
    <w:rsid w:val="00734D39"/>
    <w:rsid w:val="007358CB"/>
    <w:rsid w:val="00735B90"/>
    <w:rsid w:val="00735C4F"/>
    <w:rsid w:val="007362F8"/>
    <w:rsid w:val="0073677E"/>
    <w:rsid w:val="0073725F"/>
    <w:rsid w:val="0073727E"/>
    <w:rsid w:val="00737B18"/>
    <w:rsid w:val="0074014F"/>
    <w:rsid w:val="007401F2"/>
    <w:rsid w:val="00740404"/>
    <w:rsid w:val="00740577"/>
    <w:rsid w:val="00740ACB"/>
    <w:rsid w:val="0074105C"/>
    <w:rsid w:val="0074121B"/>
    <w:rsid w:val="007414E2"/>
    <w:rsid w:val="00741CBE"/>
    <w:rsid w:val="007425AC"/>
    <w:rsid w:val="007425D8"/>
    <w:rsid w:val="00742815"/>
    <w:rsid w:val="00742AC8"/>
    <w:rsid w:val="00743EC5"/>
    <w:rsid w:val="00744BE6"/>
    <w:rsid w:val="00744C6B"/>
    <w:rsid w:val="00745A9F"/>
    <w:rsid w:val="007462D4"/>
    <w:rsid w:val="00746D52"/>
    <w:rsid w:val="00746FCA"/>
    <w:rsid w:val="00747356"/>
    <w:rsid w:val="00750006"/>
    <w:rsid w:val="00750AEB"/>
    <w:rsid w:val="00750EA5"/>
    <w:rsid w:val="0075136E"/>
    <w:rsid w:val="00751585"/>
    <w:rsid w:val="007516D6"/>
    <w:rsid w:val="00751D00"/>
    <w:rsid w:val="00752A76"/>
    <w:rsid w:val="00752D94"/>
    <w:rsid w:val="007530DF"/>
    <w:rsid w:val="0075356A"/>
    <w:rsid w:val="00753AAE"/>
    <w:rsid w:val="00753FB1"/>
    <w:rsid w:val="00754757"/>
    <w:rsid w:val="007548CB"/>
    <w:rsid w:val="00754B6F"/>
    <w:rsid w:val="00755BC6"/>
    <w:rsid w:val="00756040"/>
    <w:rsid w:val="0075681C"/>
    <w:rsid w:val="007573F0"/>
    <w:rsid w:val="0075781F"/>
    <w:rsid w:val="00757AD9"/>
    <w:rsid w:val="00757B19"/>
    <w:rsid w:val="0076015C"/>
    <w:rsid w:val="00760DDC"/>
    <w:rsid w:val="00761237"/>
    <w:rsid w:val="00761752"/>
    <w:rsid w:val="00761F24"/>
    <w:rsid w:val="00762101"/>
    <w:rsid w:val="00762258"/>
    <w:rsid w:val="00762357"/>
    <w:rsid w:val="0076268E"/>
    <w:rsid w:val="0076288C"/>
    <w:rsid w:val="00764543"/>
    <w:rsid w:val="0076481C"/>
    <w:rsid w:val="0076531C"/>
    <w:rsid w:val="00765B52"/>
    <w:rsid w:val="00765BF0"/>
    <w:rsid w:val="0076639D"/>
    <w:rsid w:val="007663B7"/>
    <w:rsid w:val="00766723"/>
    <w:rsid w:val="007667EE"/>
    <w:rsid w:val="007669AE"/>
    <w:rsid w:val="00766C0A"/>
    <w:rsid w:val="007674F2"/>
    <w:rsid w:val="00767678"/>
    <w:rsid w:val="00767A5D"/>
    <w:rsid w:val="007701B2"/>
    <w:rsid w:val="007702AB"/>
    <w:rsid w:val="0077059F"/>
    <w:rsid w:val="00770844"/>
    <w:rsid w:val="007709B5"/>
    <w:rsid w:val="0077102B"/>
    <w:rsid w:val="0077108E"/>
    <w:rsid w:val="00771701"/>
    <w:rsid w:val="007717BD"/>
    <w:rsid w:val="007718BD"/>
    <w:rsid w:val="00771C82"/>
    <w:rsid w:val="007727D6"/>
    <w:rsid w:val="00772BE2"/>
    <w:rsid w:val="00772C07"/>
    <w:rsid w:val="00772F8B"/>
    <w:rsid w:val="007730C9"/>
    <w:rsid w:val="00774107"/>
    <w:rsid w:val="00774CDC"/>
    <w:rsid w:val="00775010"/>
    <w:rsid w:val="007754FC"/>
    <w:rsid w:val="00775EC8"/>
    <w:rsid w:val="00776689"/>
    <w:rsid w:val="00776CC0"/>
    <w:rsid w:val="00776EF4"/>
    <w:rsid w:val="00777385"/>
    <w:rsid w:val="00780114"/>
    <w:rsid w:val="00780207"/>
    <w:rsid w:val="007806DB"/>
    <w:rsid w:val="00780967"/>
    <w:rsid w:val="007809B6"/>
    <w:rsid w:val="00780FBE"/>
    <w:rsid w:val="00781B35"/>
    <w:rsid w:val="00781E9A"/>
    <w:rsid w:val="007823EF"/>
    <w:rsid w:val="0078254D"/>
    <w:rsid w:val="007838E0"/>
    <w:rsid w:val="00784A40"/>
    <w:rsid w:val="00785CE4"/>
    <w:rsid w:val="00785D46"/>
    <w:rsid w:val="007865AE"/>
    <w:rsid w:val="007867D5"/>
    <w:rsid w:val="00786EA5"/>
    <w:rsid w:val="0078747C"/>
    <w:rsid w:val="007875F7"/>
    <w:rsid w:val="007879D2"/>
    <w:rsid w:val="00787EE2"/>
    <w:rsid w:val="00790803"/>
    <w:rsid w:val="00790D88"/>
    <w:rsid w:val="00791259"/>
    <w:rsid w:val="007912F6"/>
    <w:rsid w:val="0079195D"/>
    <w:rsid w:val="00791DA9"/>
    <w:rsid w:val="007921FD"/>
    <w:rsid w:val="00792EF3"/>
    <w:rsid w:val="00793299"/>
    <w:rsid w:val="007933CB"/>
    <w:rsid w:val="007937D2"/>
    <w:rsid w:val="00793AFD"/>
    <w:rsid w:val="00793BB2"/>
    <w:rsid w:val="00793CAD"/>
    <w:rsid w:val="0079491E"/>
    <w:rsid w:val="00794E7C"/>
    <w:rsid w:val="00794F41"/>
    <w:rsid w:val="007952A4"/>
    <w:rsid w:val="00795387"/>
    <w:rsid w:val="00795FF3"/>
    <w:rsid w:val="00796792"/>
    <w:rsid w:val="007967FF"/>
    <w:rsid w:val="00796844"/>
    <w:rsid w:val="0079691D"/>
    <w:rsid w:val="00796C1F"/>
    <w:rsid w:val="00797C37"/>
    <w:rsid w:val="00797E02"/>
    <w:rsid w:val="007A007D"/>
    <w:rsid w:val="007A0319"/>
    <w:rsid w:val="007A076E"/>
    <w:rsid w:val="007A0B0A"/>
    <w:rsid w:val="007A0C55"/>
    <w:rsid w:val="007A0C70"/>
    <w:rsid w:val="007A1A1B"/>
    <w:rsid w:val="007A1E54"/>
    <w:rsid w:val="007A2277"/>
    <w:rsid w:val="007A2298"/>
    <w:rsid w:val="007A2416"/>
    <w:rsid w:val="007A323A"/>
    <w:rsid w:val="007A3297"/>
    <w:rsid w:val="007A34D5"/>
    <w:rsid w:val="007A380A"/>
    <w:rsid w:val="007A3930"/>
    <w:rsid w:val="007A3951"/>
    <w:rsid w:val="007A3CB4"/>
    <w:rsid w:val="007A42A1"/>
    <w:rsid w:val="007A44EB"/>
    <w:rsid w:val="007A44FD"/>
    <w:rsid w:val="007A4541"/>
    <w:rsid w:val="007A4B57"/>
    <w:rsid w:val="007A5D12"/>
    <w:rsid w:val="007A6884"/>
    <w:rsid w:val="007A6C98"/>
    <w:rsid w:val="007A7086"/>
    <w:rsid w:val="007A72BA"/>
    <w:rsid w:val="007A738C"/>
    <w:rsid w:val="007A7896"/>
    <w:rsid w:val="007A7DBC"/>
    <w:rsid w:val="007B0269"/>
    <w:rsid w:val="007B084F"/>
    <w:rsid w:val="007B0A31"/>
    <w:rsid w:val="007B0EAC"/>
    <w:rsid w:val="007B10FB"/>
    <w:rsid w:val="007B11BA"/>
    <w:rsid w:val="007B1624"/>
    <w:rsid w:val="007B19E3"/>
    <w:rsid w:val="007B1CDB"/>
    <w:rsid w:val="007B1F61"/>
    <w:rsid w:val="007B2459"/>
    <w:rsid w:val="007B2C3C"/>
    <w:rsid w:val="007B325B"/>
    <w:rsid w:val="007B3313"/>
    <w:rsid w:val="007B3425"/>
    <w:rsid w:val="007B349B"/>
    <w:rsid w:val="007B3E3C"/>
    <w:rsid w:val="007B45C4"/>
    <w:rsid w:val="007B466D"/>
    <w:rsid w:val="007B492F"/>
    <w:rsid w:val="007B4A89"/>
    <w:rsid w:val="007B4B6F"/>
    <w:rsid w:val="007B5103"/>
    <w:rsid w:val="007B5732"/>
    <w:rsid w:val="007B59D4"/>
    <w:rsid w:val="007B5D64"/>
    <w:rsid w:val="007B5EE4"/>
    <w:rsid w:val="007B61FB"/>
    <w:rsid w:val="007B6673"/>
    <w:rsid w:val="007B66D1"/>
    <w:rsid w:val="007B6E2D"/>
    <w:rsid w:val="007B7A6F"/>
    <w:rsid w:val="007B7E94"/>
    <w:rsid w:val="007C0528"/>
    <w:rsid w:val="007C0CB7"/>
    <w:rsid w:val="007C0DA4"/>
    <w:rsid w:val="007C1257"/>
    <w:rsid w:val="007C1731"/>
    <w:rsid w:val="007C3044"/>
    <w:rsid w:val="007C3131"/>
    <w:rsid w:val="007C393B"/>
    <w:rsid w:val="007C3E2B"/>
    <w:rsid w:val="007C4760"/>
    <w:rsid w:val="007C48C4"/>
    <w:rsid w:val="007C4F21"/>
    <w:rsid w:val="007C51EC"/>
    <w:rsid w:val="007C5642"/>
    <w:rsid w:val="007C5689"/>
    <w:rsid w:val="007C5C48"/>
    <w:rsid w:val="007C5F0C"/>
    <w:rsid w:val="007C665D"/>
    <w:rsid w:val="007C6A61"/>
    <w:rsid w:val="007C7A84"/>
    <w:rsid w:val="007C7BAF"/>
    <w:rsid w:val="007D097D"/>
    <w:rsid w:val="007D09A4"/>
    <w:rsid w:val="007D09CD"/>
    <w:rsid w:val="007D0E17"/>
    <w:rsid w:val="007D1DD9"/>
    <w:rsid w:val="007D2574"/>
    <w:rsid w:val="007D26C7"/>
    <w:rsid w:val="007D336B"/>
    <w:rsid w:val="007D35C0"/>
    <w:rsid w:val="007D3AA2"/>
    <w:rsid w:val="007D4226"/>
    <w:rsid w:val="007D44AE"/>
    <w:rsid w:val="007D46A6"/>
    <w:rsid w:val="007D46BB"/>
    <w:rsid w:val="007D50ED"/>
    <w:rsid w:val="007D550B"/>
    <w:rsid w:val="007D55BD"/>
    <w:rsid w:val="007D5EA4"/>
    <w:rsid w:val="007D61E2"/>
    <w:rsid w:val="007D6261"/>
    <w:rsid w:val="007D690A"/>
    <w:rsid w:val="007D69D1"/>
    <w:rsid w:val="007D6D86"/>
    <w:rsid w:val="007D72C3"/>
    <w:rsid w:val="007D779C"/>
    <w:rsid w:val="007D7DEE"/>
    <w:rsid w:val="007D7E6A"/>
    <w:rsid w:val="007E07BA"/>
    <w:rsid w:val="007E0F9D"/>
    <w:rsid w:val="007E1805"/>
    <w:rsid w:val="007E1B0C"/>
    <w:rsid w:val="007E28ED"/>
    <w:rsid w:val="007E2E3F"/>
    <w:rsid w:val="007E339F"/>
    <w:rsid w:val="007E3609"/>
    <w:rsid w:val="007E4620"/>
    <w:rsid w:val="007E53B7"/>
    <w:rsid w:val="007E5A1B"/>
    <w:rsid w:val="007E5E6D"/>
    <w:rsid w:val="007E62F9"/>
    <w:rsid w:val="007E6655"/>
    <w:rsid w:val="007E6997"/>
    <w:rsid w:val="007E74C0"/>
    <w:rsid w:val="007E7DF2"/>
    <w:rsid w:val="007F068E"/>
    <w:rsid w:val="007F086C"/>
    <w:rsid w:val="007F0F0B"/>
    <w:rsid w:val="007F133A"/>
    <w:rsid w:val="007F14E5"/>
    <w:rsid w:val="007F2233"/>
    <w:rsid w:val="007F2328"/>
    <w:rsid w:val="007F2874"/>
    <w:rsid w:val="007F2CC8"/>
    <w:rsid w:val="007F3214"/>
    <w:rsid w:val="007F3A15"/>
    <w:rsid w:val="007F4591"/>
    <w:rsid w:val="007F4823"/>
    <w:rsid w:val="007F4CA8"/>
    <w:rsid w:val="007F5014"/>
    <w:rsid w:val="007F552C"/>
    <w:rsid w:val="007F5664"/>
    <w:rsid w:val="007F5B17"/>
    <w:rsid w:val="007F5FA7"/>
    <w:rsid w:val="007F6D31"/>
    <w:rsid w:val="007F6D77"/>
    <w:rsid w:val="007F7193"/>
    <w:rsid w:val="007F74FE"/>
    <w:rsid w:val="007F77DF"/>
    <w:rsid w:val="00800030"/>
    <w:rsid w:val="008002BD"/>
    <w:rsid w:val="00800743"/>
    <w:rsid w:val="00800786"/>
    <w:rsid w:val="008009B0"/>
    <w:rsid w:val="00800D50"/>
    <w:rsid w:val="00800E91"/>
    <w:rsid w:val="00801032"/>
    <w:rsid w:val="008016EB"/>
    <w:rsid w:val="00801B7E"/>
    <w:rsid w:val="00801FD8"/>
    <w:rsid w:val="008020F4"/>
    <w:rsid w:val="00802238"/>
    <w:rsid w:val="00803E36"/>
    <w:rsid w:val="00803E9B"/>
    <w:rsid w:val="008046CF"/>
    <w:rsid w:val="00804BC7"/>
    <w:rsid w:val="00804DBF"/>
    <w:rsid w:val="0080559F"/>
    <w:rsid w:val="00805697"/>
    <w:rsid w:val="008057F1"/>
    <w:rsid w:val="00805BA2"/>
    <w:rsid w:val="008060BF"/>
    <w:rsid w:val="0080639A"/>
    <w:rsid w:val="0080676C"/>
    <w:rsid w:val="00806E92"/>
    <w:rsid w:val="00806F0C"/>
    <w:rsid w:val="00806FA5"/>
    <w:rsid w:val="00807098"/>
    <w:rsid w:val="00807185"/>
    <w:rsid w:val="008071A0"/>
    <w:rsid w:val="00807242"/>
    <w:rsid w:val="008077F1"/>
    <w:rsid w:val="00807B4D"/>
    <w:rsid w:val="00807D37"/>
    <w:rsid w:val="00810243"/>
    <w:rsid w:val="008105B2"/>
    <w:rsid w:val="00810637"/>
    <w:rsid w:val="008109C5"/>
    <w:rsid w:val="00811DBB"/>
    <w:rsid w:val="0081317F"/>
    <w:rsid w:val="00813CA3"/>
    <w:rsid w:val="0081448A"/>
    <w:rsid w:val="00814B1D"/>
    <w:rsid w:val="00814CC5"/>
    <w:rsid w:val="008155F3"/>
    <w:rsid w:val="008156D0"/>
    <w:rsid w:val="00815844"/>
    <w:rsid w:val="00816046"/>
    <w:rsid w:val="0081626B"/>
    <w:rsid w:val="0081662C"/>
    <w:rsid w:val="0081677D"/>
    <w:rsid w:val="00816D39"/>
    <w:rsid w:val="00816F90"/>
    <w:rsid w:val="008173BA"/>
    <w:rsid w:val="008205E5"/>
    <w:rsid w:val="0082096A"/>
    <w:rsid w:val="00820E1A"/>
    <w:rsid w:val="0082185D"/>
    <w:rsid w:val="0082197F"/>
    <w:rsid w:val="00821E29"/>
    <w:rsid w:val="008221D9"/>
    <w:rsid w:val="008228E1"/>
    <w:rsid w:val="00822A72"/>
    <w:rsid w:val="00822B11"/>
    <w:rsid w:val="00822ECB"/>
    <w:rsid w:val="008230D5"/>
    <w:rsid w:val="008246BA"/>
    <w:rsid w:val="00824CE7"/>
    <w:rsid w:val="0082618E"/>
    <w:rsid w:val="00826275"/>
    <w:rsid w:val="008264D2"/>
    <w:rsid w:val="00826641"/>
    <w:rsid w:val="00826A3E"/>
    <w:rsid w:val="00826BA3"/>
    <w:rsid w:val="008277E8"/>
    <w:rsid w:val="008279EF"/>
    <w:rsid w:val="00827BAF"/>
    <w:rsid w:val="0083034B"/>
    <w:rsid w:val="0083060C"/>
    <w:rsid w:val="0083166B"/>
    <w:rsid w:val="00831A35"/>
    <w:rsid w:val="00833064"/>
    <w:rsid w:val="0083308E"/>
    <w:rsid w:val="00833756"/>
    <w:rsid w:val="00833B22"/>
    <w:rsid w:val="00833D3F"/>
    <w:rsid w:val="00834198"/>
    <w:rsid w:val="0083451B"/>
    <w:rsid w:val="00834832"/>
    <w:rsid w:val="00834B04"/>
    <w:rsid w:val="008356D6"/>
    <w:rsid w:val="00836559"/>
    <w:rsid w:val="00836E68"/>
    <w:rsid w:val="00836F9D"/>
    <w:rsid w:val="008372E1"/>
    <w:rsid w:val="008373D0"/>
    <w:rsid w:val="0083754F"/>
    <w:rsid w:val="00837883"/>
    <w:rsid w:val="00837C5D"/>
    <w:rsid w:val="00837D10"/>
    <w:rsid w:val="0084064D"/>
    <w:rsid w:val="00840DC9"/>
    <w:rsid w:val="00841119"/>
    <w:rsid w:val="00841582"/>
    <w:rsid w:val="008416D0"/>
    <w:rsid w:val="00842077"/>
    <w:rsid w:val="00842272"/>
    <w:rsid w:val="008425DB"/>
    <w:rsid w:val="008427A3"/>
    <w:rsid w:val="00842C51"/>
    <w:rsid w:val="00842FF5"/>
    <w:rsid w:val="0084348D"/>
    <w:rsid w:val="0084361C"/>
    <w:rsid w:val="0084385C"/>
    <w:rsid w:val="00843A11"/>
    <w:rsid w:val="00843BCF"/>
    <w:rsid w:val="00843DE3"/>
    <w:rsid w:val="0084472D"/>
    <w:rsid w:val="00844875"/>
    <w:rsid w:val="00844E46"/>
    <w:rsid w:val="00844EFE"/>
    <w:rsid w:val="00844FF8"/>
    <w:rsid w:val="00845A56"/>
    <w:rsid w:val="00845C2D"/>
    <w:rsid w:val="00845F9E"/>
    <w:rsid w:val="008461DE"/>
    <w:rsid w:val="00846240"/>
    <w:rsid w:val="0084634F"/>
    <w:rsid w:val="00846608"/>
    <w:rsid w:val="00846737"/>
    <w:rsid w:val="0084679C"/>
    <w:rsid w:val="00846B72"/>
    <w:rsid w:val="00846D0E"/>
    <w:rsid w:val="008475FA"/>
    <w:rsid w:val="0084786A"/>
    <w:rsid w:val="008503E7"/>
    <w:rsid w:val="00850A1A"/>
    <w:rsid w:val="00850C17"/>
    <w:rsid w:val="008513BB"/>
    <w:rsid w:val="00852BCE"/>
    <w:rsid w:val="00853067"/>
    <w:rsid w:val="00853362"/>
    <w:rsid w:val="008535C4"/>
    <w:rsid w:val="00853C22"/>
    <w:rsid w:val="00854264"/>
    <w:rsid w:val="008548F8"/>
    <w:rsid w:val="00854AF1"/>
    <w:rsid w:val="00854C34"/>
    <w:rsid w:val="00854C93"/>
    <w:rsid w:val="008563CD"/>
    <w:rsid w:val="0085679D"/>
    <w:rsid w:val="008568E6"/>
    <w:rsid w:val="00856D56"/>
    <w:rsid w:val="00857496"/>
    <w:rsid w:val="0085780C"/>
    <w:rsid w:val="00857C05"/>
    <w:rsid w:val="0086001E"/>
    <w:rsid w:val="008608A1"/>
    <w:rsid w:val="00860FA4"/>
    <w:rsid w:val="00860FC5"/>
    <w:rsid w:val="00861089"/>
    <w:rsid w:val="00861632"/>
    <w:rsid w:val="00861D30"/>
    <w:rsid w:val="00861E8F"/>
    <w:rsid w:val="00862004"/>
    <w:rsid w:val="0086250E"/>
    <w:rsid w:val="00862C47"/>
    <w:rsid w:val="00862C64"/>
    <w:rsid w:val="00862CE5"/>
    <w:rsid w:val="00862D09"/>
    <w:rsid w:val="008636D6"/>
    <w:rsid w:val="008637E0"/>
    <w:rsid w:val="00863808"/>
    <w:rsid w:val="00864185"/>
    <w:rsid w:val="008645B5"/>
    <w:rsid w:val="00864A33"/>
    <w:rsid w:val="00865651"/>
    <w:rsid w:val="0086620D"/>
    <w:rsid w:val="008662DF"/>
    <w:rsid w:val="0086654B"/>
    <w:rsid w:val="008669E2"/>
    <w:rsid w:val="00866ACA"/>
    <w:rsid w:val="00867486"/>
    <w:rsid w:val="00870241"/>
    <w:rsid w:val="008702B8"/>
    <w:rsid w:val="008715F0"/>
    <w:rsid w:val="00871E54"/>
    <w:rsid w:val="00872409"/>
    <w:rsid w:val="00872A5F"/>
    <w:rsid w:val="00873711"/>
    <w:rsid w:val="0087421B"/>
    <w:rsid w:val="0087441F"/>
    <w:rsid w:val="0087496D"/>
    <w:rsid w:val="00874AD9"/>
    <w:rsid w:val="00874D72"/>
    <w:rsid w:val="00874E76"/>
    <w:rsid w:val="00875E3F"/>
    <w:rsid w:val="00876133"/>
    <w:rsid w:val="00876384"/>
    <w:rsid w:val="0087672E"/>
    <w:rsid w:val="0087699D"/>
    <w:rsid w:val="00876D63"/>
    <w:rsid w:val="00877549"/>
    <w:rsid w:val="0088079A"/>
    <w:rsid w:val="0088149D"/>
    <w:rsid w:val="0088154C"/>
    <w:rsid w:val="008815B5"/>
    <w:rsid w:val="0088184A"/>
    <w:rsid w:val="008819B9"/>
    <w:rsid w:val="00881B28"/>
    <w:rsid w:val="00881F96"/>
    <w:rsid w:val="008820ED"/>
    <w:rsid w:val="00882448"/>
    <w:rsid w:val="00882765"/>
    <w:rsid w:val="00882834"/>
    <w:rsid w:val="00882F65"/>
    <w:rsid w:val="00882FE9"/>
    <w:rsid w:val="00883830"/>
    <w:rsid w:val="00883CCC"/>
    <w:rsid w:val="00883E2A"/>
    <w:rsid w:val="00884468"/>
    <w:rsid w:val="0088484F"/>
    <w:rsid w:val="008848F8"/>
    <w:rsid w:val="00884FBF"/>
    <w:rsid w:val="00885067"/>
    <w:rsid w:val="008851F0"/>
    <w:rsid w:val="00885B15"/>
    <w:rsid w:val="00886864"/>
    <w:rsid w:val="008868BD"/>
    <w:rsid w:val="00886BAF"/>
    <w:rsid w:val="00886D98"/>
    <w:rsid w:val="00887268"/>
    <w:rsid w:val="0088729A"/>
    <w:rsid w:val="00887338"/>
    <w:rsid w:val="008877B7"/>
    <w:rsid w:val="00887A60"/>
    <w:rsid w:val="00887B5A"/>
    <w:rsid w:val="00887C70"/>
    <w:rsid w:val="008912B6"/>
    <w:rsid w:val="00891A2C"/>
    <w:rsid w:val="0089228D"/>
    <w:rsid w:val="0089252F"/>
    <w:rsid w:val="008925A9"/>
    <w:rsid w:val="00892D9A"/>
    <w:rsid w:val="008935C6"/>
    <w:rsid w:val="0089430C"/>
    <w:rsid w:val="00894F0B"/>
    <w:rsid w:val="0089570E"/>
    <w:rsid w:val="00895761"/>
    <w:rsid w:val="00896020"/>
    <w:rsid w:val="0089637F"/>
    <w:rsid w:val="0089673B"/>
    <w:rsid w:val="00896926"/>
    <w:rsid w:val="00896D12"/>
    <w:rsid w:val="008971CA"/>
    <w:rsid w:val="00897264"/>
    <w:rsid w:val="008973FF"/>
    <w:rsid w:val="00897B2B"/>
    <w:rsid w:val="00897BDA"/>
    <w:rsid w:val="00897DC6"/>
    <w:rsid w:val="008A044A"/>
    <w:rsid w:val="008A07BB"/>
    <w:rsid w:val="008A104F"/>
    <w:rsid w:val="008A10EA"/>
    <w:rsid w:val="008A14B0"/>
    <w:rsid w:val="008A1797"/>
    <w:rsid w:val="008A17B8"/>
    <w:rsid w:val="008A2A08"/>
    <w:rsid w:val="008A2E9F"/>
    <w:rsid w:val="008A3BAD"/>
    <w:rsid w:val="008A3E4B"/>
    <w:rsid w:val="008A4128"/>
    <w:rsid w:val="008A440C"/>
    <w:rsid w:val="008A4952"/>
    <w:rsid w:val="008A4DC0"/>
    <w:rsid w:val="008A4F57"/>
    <w:rsid w:val="008A567A"/>
    <w:rsid w:val="008A59D7"/>
    <w:rsid w:val="008A5F88"/>
    <w:rsid w:val="008A6268"/>
    <w:rsid w:val="008A62E6"/>
    <w:rsid w:val="008A68E6"/>
    <w:rsid w:val="008A69D6"/>
    <w:rsid w:val="008A6A6D"/>
    <w:rsid w:val="008A6F78"/>
    <w:rsid w:val="008B012A"/>
    <w:rsid w:val="008B0251"/>
    <w:rsid w:val="008B0761"/>
    <w:rsid w:val="008B0C23"/>
    <w:rsid w:val="008B0E80"/>
    <w:rsid w:val="008B117D"/>
    <w:rsid w:val="008B14C6"/>
    <w:rsid w:val="008B1639"/>
    <w:rsid w:val="008B196A"/>
    <w:rsid w:val="008B1AE1"/>
    <w:rsid w:val="008B1B70"/>
    <w:rsid w:val="008B1E61"/>
    <w:rsid w:val="008B3194"/>
    <w:rsid w:val="008B32D2"/>
    <w:rsid w:val="008B34A2"/>
    <w:rsid w:val="008B366A"/>
    <w:rsid w:val="008B4261"/>
    <w:rsid w:val="008B45E6"/>
    <w:rsid w:val="008B4C54"/>
    <w:rsid w:val="008B50EA"/>
    <w:rsid w:val="008B5687"/>
    <w:rsid w:val="008B61C1"/>
    <w:rsid w:val="008B64B6"/>
    <w:rsid w:val="008B66C1"/>
    <w:rsid w:val="008B6EAB"/>
    <w:rsid w:val="008B6F24"/>
    <w:rsid w:val="008B6F9F"/>
    <w:rsid w:val="008B7091"/>
    <w:rsid w:val="008B73E2"/>
    <w:rsid w:val="008B74A1"/>
    <w:rsid w:val="008B75D2"/>
    <w:rsid w:val="008B7893"/>
    <w:rsid w:val="008C0075"/>
    <w:rsid w:val="008C00A2"/>
    <w:rsid w:val="008C0683"/>
    <w:rsid w:val="008C0BBB"/>
    <w:rsid w:val="008C1137"/>
    <w:rsid w:val="008C212D"/>
    <w:rsid w:val="008C2596"/>
    <w:rsid w:val="008C2637"/>
    <w:rsid w:val="008C34B9"/>
    <w:rsid w:val="008C37F3"/>
    <w:rsid w:val="008C398E"/>
    <w:rsid w:val="008C3ECB"/>
    <w:rsid w:val="008C40A3"/>
    <w:rsid w:val="008C438F"/>
    <w:rsid w:val="008C4764"/>
    <w:rsid w:val="008C4B30"/>
    <w:rsid w:val="008C4FA8"/>
    <w:rsid w:val="008C62C1"/>
    <w:rsid w:val="008C682B"/>
    <w:rsid w:val="008C7098"/>
    <w:rsid w:val="008C7453"/>
    <w:rsid w:val="008C7CFB"/>
    <w:rsid w:val="008C7FC3"/>
    <w:rsid w:val="008D1849"/>
    <w:rsid w:val="008D1EDD"/>
    <w:rsid w:val="008D28E4"/>
    <w:rsid w:val="008D2A42"/>
    <w:rsid w:val="008D3328"/>
    <w:rsid w:val="008D340F"/>
    <w:rsid w:val="008D407F"/>
    <w:rsid w:val="008D4426"/>
    <w:rsid w:val="008D5CC7"/>
    <w:rsid w:val="008D5D4B"/>
    <w:rsid w:val="008D5D61"/>
    <w:rsid w:val="008D6463"/>
    <w:rsid w:val="008D6E6F"/>
    <w:rsid w:val="008D764A"/>
    <w:rsid w:val="008D783B"/>
    <w:rsid w:val="008E0276"/>
    <w:rsid w:val="008E0332"/>
    <w:rsid w:val="008E03F3"/>
    <w:rsid w:val="008E081B"/>
    <w:rsid w:val="008E0ACE"/>
    <w:rsid w:val="008E0CB8"/>
    <w:rsid w:val="008E1680"/>
    <w:rsid w:val="008E2532"/>
    <w:rsid w:val="008E26ED"/>
    <w:rsid w:val="008E2A3F"/>
    <w:rsid w:val="008E2A5E"/>
    <w:rsid w:val="008E2C3B"/>
    <w:rsid w:val="008E2EB3"/>
    <w:rsid w:val="008E2F21"/>
    <w:rsid w:val="008E3DCD"/>
    <w:rsid w:val="008E3F43"/>
    <w:rsid w:val="008E4708"/>
    <w:rsid w:val="008E6577"/>
    <w:rsid w:val="008E6A3D"/>
    <w:rsid w:val="008E6E3C"/>
    <w:rsid w:val="008E6F14"/>
    <w:rsid w:val="008E7310"/>
    <w:rsid w:val="008E7D5B"/>
    <w:rsid w:val="008F00D0"/>
    <w:rsid w:val="008F051C"/>
    <w:rsid w:val="008F057B"/>
    <w:rsid w:val="008F1610"/>
    <w:rsid w:val="008F16AF"/>
    <w:rsid w:val="008F17E6"/>
    <w:rsid w:val="008F1D9E"/>
    <w:rsid w:val="008F226D"/>
    <w:rsid w:val="008F284E"/>
    <w:rsid w:val="008F2C05"/>
    <w:rsid w:val="008F2C37"/>
    <w:rsid w:val="008F2CAD"/>
    <w:rsid w:val="008F2DA7"/>
    <w:rsid w:val="008F305F"/>
    <w:rsid w:val="008F31E5"/>
    <w:rsid w:val="008F3647"/>
    <w:rsid w:val="008F3BAB"/>
    <w:rsid w:val="008F40CC"/>
    <w:rsid w:val="008F4548"/>
    <w:rsid w:val="008F45EF"/>
    <w:rsid w:val="008F463B"/>
    <w:rsid w:val="008F46D5"/>
    <w:rsid w:val="008F500D"/>
    <w:rsid w:val="008F5B14"/>
    <w:rsid w:val="008F5B4B"/>
    <w:rsid w:val="008F5BBB"/>
    <w:rsid w:val="008F5D47"/>
    <w:rsid w:val="008F5FA0"/>
    <w:rsid w:val="008F5FAB"/>
    <w:rsid w:val="008F69A3"/>
    <w:rsid w:val="008F71D8"/>
    <w:rsid w:val="008F7756"/>
    <w:rsid w:val="00900208"/>
    <w:rsid w:val="00900608"/>
    <w:rsid w:val="00900967"/>
    <w:rsid w:val="00900FDD"/>
    <w:rsid w:val="00901CD5"/>
    <w:rsid w:val="009022E6"/>
    <w:rsid w:val="00902AAC"/>
    <w:rsid w:val="00902AB6"/>
    <w:rsid w:val="00902EAA"/>
    <w:rsid w:val="00903A9C"/>
    <w:rsid w:val="0090423F"/>
    <w:rsid w:val="00904FE2"/>
    <w:rsid w:val="009057B9"/>
    <w:rsid w:val="009057C3"/>
    <w:rsid w:val="0090592F"/>
    <w:rsid w:val="00905D2F"/>
    <w:rsid w:val="00906312"/>
    <w:rsid w:val="0090682C"/>
    <w:rsid w:val="009071ED"/>
    <w:rsid w:val="00910D99"/>
    <w:rsid w:val="009110E7"/>
    <w:rsid w:val="0091143D"/>
    <w:rsid w:val="0091210C"/>
    <w:rsid w:val="00912F43"/>
    <w:rsid w:val="0091395B"/>
    <w:rsid w:val="00913CB9"/>
    <w:rsid w:val="00913DD6"/>
    <w:rsid w:val="00914299"/>
    <w:rsid w:val="00914D63"/>
    <w:rsid w:val="00914DCC"/>
    <w:rsid w:val="00916103"/>
    <w:rsid w:val="009166A2"/>
    <w:rsid w:val="00916929"/>
    <w:rsid w:val="00916B29"/>
    <w:rsid w:val="00916BF3"/>
    <w:rsid w:val="00917098"/>
    <w:rsid w:val="009172DA"/>
    <w:rsid w:val="00917DC2"/>
    <w:rsid w:val="00917FB8"/>
    <w:rsid w:val="00920B60"/>
    <w:rsid w:val="00921D8D"/>
    <w:rsid w:val="0092204C"/>
    <w:rsid w:val="00923172"/>
    <w:rsid w:val="00923432"/>
    <w:rsid w:val="00923A2D"/>
    <w:rsid w:val="0092410D"/>
    <w:rsid w:val="00924F57"/>
    <w:rsid w:val="00925911"/>
    <w:rsid w:val="00926039"/>
    <w:rsid w:val="0092619D"/>
    <w:rsid w:val="00926321"/>
    <w:rsid w:val="00926482"/>
    <w:rsid w:val="0092676D"/>
    <w:rsid w:val="00926B24"/>
    <w:rsid w:val="00926B8B"/>
    <w:rsid w:val="00926FA8"/>
    <w:rsid w:val="009275EB"/>
    <w:rsid w:val="00927A99"/>
    <w:rsid w:val="00927D2F"/>
    <w:rsid w:val="00930325"/>
    <w:rsid w:val="00930D30"/>
    <w:rsid w:val="00932C69"/>
    <w:rsid w:val="009330F1"/>
    <w:rsid w:val="009332B6"/>
    <w:rsid w:val="00933329"/>
    <w:rsid w:val="0093333F"/>
    <w:rsid w:val="009339EE"/>
    <w:rsid w:val="00933EC6"/>
    <w:rsid w:val="009345AE"/>
    <w:rsid w:val="00934EDC"/>
    <w:rsid w:val="00934F92"/>
    <w:rsid w:val="00935425"/>
    <w:rsid w:val="0093729C"/>
    <w:rsid w:val="00937B26"/>
    <w:rsid w:val="0094008C"/>
    <w:rsid w:val="00940AF8"/>
    <w:rsid w:val="00941695"/>
    <w:rsid w:val="00941815"/>
    <w:rsid w:val="00941A51"/>
    <w:rsid w:val="00941A9F"/>
    <w:rsid w:val="00941ABF"/>
    <w:rsid w:val="00943453"/>
    <w:rsid w:val="009443D0"/>
    <w:rsid w:val="0094465C"/>
    <w:rsid w:val="00944D2F"/>
    <w:rsid w:val="00945004"/>
    <w:rsid w:val="009458F3"/>
    <w:rsid w:val="0094598B"/>
    <w:rsid w:val="009461C6"/>
    <w:rsid w:val="00946656"/>
    <w:rsid w:val="00946948"/>
    <w:rsid w:val="00946BD8"/>
    <w:rsid w:val="00946EBE"/>
    <w:rsid w:val="00947711"/>
    <w:rsid w:val="0094797C"/>
    <w:rsid w:val="00950995"/>
    <w:rsid w:val="009509A4"/>
    <w:rsid w:val="00950AC8"/>
    <w:rsid w:val="00951474"/>
    <w:rsid w:val="00951583"/>
    <w:rsid w:val="00951829"/>
    <w:rsid w:val="00951DFA"/>
    <w:rsid w:val="00952943"/>
    <w:rsid w:val="009529A6"/>
    <w:rsid w:val="00952E79"/>
    <w:rsid w:val="009530EC"/>
    <w:rsid w:val="00953670"/>
    <w:rsid w:val="00953920"/>
    <w:rsid w:val="00954034"/>
    <w:rsid w:val="009545CC"/>
    <w:rsid w:val="00954BB8"/>
    <w:rsid w:val="0095533F"/>
    <w:rsid w:val="00955BDC"/>
    <w:rsid w:val="00955C5C"/>
    <w:rsid w:val="00956411"/>
    <w:rsid w:val="00956788"/>
    <w:rsid w:val="009567C2"/>
    <w:rsid w:val="00956F08"/>
    <w:rsid w:val="00957097"/>
    <w:rsid w:val="00957431"/>
    <w:rsid w:val="00957B52"/>
    <w:rsid w:val="00957D5D"/>
    <w:rsid w:val="00957DA8"/>
    <w:rsid w:val="009601E9"/>
    <w:rsid w:val="0096110B"/>
    <w:rsid w:val="009619C3"/>
    <w:rsid w:val="0096212A"/>
    <w:rsid w:val="0096264A"/>
    <w:rsid w:val="0096286B"/>
    <w:rsid w:val="00962F05"/>
    <w:rsid w:val="009631C1"/>
    <w:rsid w:val="009631EE"/>
    <w:rsid w:val="0096328C"/>
    <w:rsid w:val="009638D9"/>
    <w:rsid w:val="009639FB"/>
    <w:rsid w:val="00963B4B"/>
    <w:rsid w:val="009643F9"/>
    <w:rsid w:val="0096509C"/>
    <w:rsid w:val="009657E4"/>
    <w:rsid w:val="009657EF"/>
    <w:rsid w:val="0096591B"/>
    <w:rsid w:val="00965E49"/>
    <w:rsid w:val="00966299"/>
    <w:rsid w:val="0096682A"/>
    <w:rsid w:val="00966DD3"/>
    <w:rsid w:val="0096703C"/>
    <w:rsid w:val="00967517"/>
    <w:rsid w:val="009675BD"/>
    <w:rsid w:val="00967932"/>
    <w:rsid w:val="00967B8F"/>
    <w:rsid w:val="00967CC9"/>
    <w:rsid w:val="00970E36"/>
    <w:rsid w:val="0097106C"/>
    <w:rsid w:val="0097123E"/>
    <w:rsid w:val="009713D9"/>
    <w:rsid w:val="009714FC"/>
    <w:rsid w:val="009718A1"/>
    <w:rsid w:val="009721E4"/>
    <w:rsid w:val="0097234C"/>
    <w:rsid w:val="009727E6"/>
    <w:rsid w:val="00972E0D"/>
    <w:rsid w:val="00972F4B"/>
    <w:rsid w:val="00973252"/>
    <w:rsid w:val="0097327B"/>
    <w:rsid w:val="009739B6"/>
    <w:rsid w:val="00973D91"/>
    <w:rsid w:val="009743E6"/>
    <w:rsid w:val="00974735"/>
    <w:rsid w:val="00974969"/>
    <w:rsid w:val="00975416"/>
    <w:rsid w:val="0097565B"/>
    <w:rsid w:val="0097595D"/>
    <w:rsid w:val="00975F97"/>
    <w:rsid w:val="00976051"/>
    <w:rsid w:val="00976972"/>
    <w:rsid w:val="009773A0"/>
    <w:rsid w:val="00977903"/>
    <w:rsid w:val="0098013A"/>
    <w:rsid w:val="00980898"/>
    <w:rsid w:val="009808A6"/>
    <w:rsid w:val="00980954"/>
    <w:rsid w:val="00980AE3"/>
    <w:rsid w:val="00981A7A"/>
    <w:rsid w:val="00982388"/>
    <w:rsid w:val="00982B4D"/>
    <w:rsid w:val="009849D8"/>
    <w:rsid w:val="00985283"/>
    <w:rsid w:val="00985F89"/>
    <w:rsid w:val="00986566"/>
    <w:rsid w:val="0098678A"/>
    <w:rsid w:val="00986D0F"/>
    <w:rsid w:val="009876F2"/>
    <w:rsid w:val="00987751"/>
    <w:rsid w:val="00987DC6"/>
    <w:rsid w:val="00990DA3"/>
    <w:rsid w:val="00990E85"/>
    <w:rsid w:val="00990EDA"/>
    <w:rsid w:val="00991928"/>
    <w:rsid w:val="0099194D"/>
    <w:rsid w:val="009933F0"/>
    <w:rsid w:val="00993A93"/>
    <w:rsid w:val="00993B8F"/>
    <w:rsid w:val="00993CB2"/>
    <w:rsid w:val="00994198"/>
    <w:rsid w:val="009946F2"/>
    <w:rsid w:val="00994A92"/>
    <w:rsid w:val="009950EF"/>
    <w:rsid w:val="00995E19"/>
    <w:rsid w:val="00996007"/>
    <w:rsid w:val="00996873"/>
    <w:rsid w:val="00996D69"/>
    <w:rsid w:val="00996E97"/>
    <w:rsid w:val="0099720D"/>
    <w:rsid w:val="00997BA5"/>
    <w:rsid w:val="009A00AA"/>
    <w:rsid w:val="009A0895"/>
    <w:rsid w:val="009A09A6"/>
    <w:rsid w:val="009A09D7"/>
    <w:rsid w:val="009A0D09"/>
    <w:rsid w:val="009A0E43"/>
    <w:rsid w:val="009A1175"/>
    <w:rsid w:val="009A19B8"/>
    <w:rsid w:val="009A30A1"/>
    <w:rsid w:val="009A31AA"/>
    <w:rsid w:val="009A3DCA"/>
    <w:rsid w:val="009A3DE7"/>
    <w:rsid w:val="009A4579"/>
    <w:rsid w:val="009A4E3A"/>
    <w:rsid w:val="009A58D2"/>
    <w:rsid w:val="009A62E9"/>
    <w:rsid w:val="009A6C3F"/>
    <w:rsid w:val="009A6DDE"/>
    <w:rsid w:val="009A71D2"/>
    <w:rsid w:val="009A72D5"/>
    <w:rsid w:val="009A731D"/>
    <w:rsid w:val="009A7345"/>
    <w:rsid w:val="009B01F1"/>
    <w:rsid w:val="009B02A1"/>
    <w:rsid w:val="009B06B9"/>
    <w:rsid w:val="009B0A96"/>
    <w:rsid w:val="009B0AD9"/>
    <w:rsid w:val="009B0C8D"/>
    <w:rsid w:val="009B1976"/>
    <w:rsid w:val="009B20D2"/>
    <w:rsid w:val="009B2C28"/>
    <w:rsid w:val="009B3471"/>
    <w:rsid w:val="009B34D8"/>
    <w:rsid w:val="009B357D"/>
    <w:rsid w:val="009B478C"/>
    <w:rsid w:val="009B4ADF"/>
    <w:rsid w:val="009B5342"/>
    <w:rsid w:val="009B66FB"/>
    <w:rsid w:val="009B68FB"/>
    <w:rsid w:val="009B6988"/>
    <w:rsid w:val="009B6CF9"/>
    <w:rsid w:val="009B6E22"/>
    <w:rsid w:val="009B72B2"/>
    <w:rsid w:val="009B731A"/>
    <w:rsid w:val="009B760A"/>
    <w:rsid w:val="009B7DAB"/>
    <w:rsid w:val="009C0153"/>
    <w:rsid w:val="009C0612"/>
    <w:rsid w:val="009C0A98"/>
    <w:rsid w:val="009C0E79"/>
    <w:rsid w:val="009C0F6A"/>
    <w:rsid w:val="009C1697"/>
    <w:rsid w:val="009C1FE9"/>
    <w:rsid w:val="009C2161"/>
    <w:rsid w:val="009C252B"/>
    <w:rsid w:val="009C256C"/>
    <w:rsid w:val="009C2770"/>
    <w:rsid w:val="009C2CB5"/>
    <w:rsid w:val="009C31C0"/>
    <w:rsid w:val="009C380F"/>
    <w:rsid w:val="009C407C"/>
    <w:rsid w:val="009C46DD"/>
    <w:rsid w:val="009C496E"/>
    <w:rsid w:val="009C4F54"/>
    <w:rsid w:val="009C52FD"/>
    <w:rsid w:val="009C5794"/>
    <w:rsid w:val="009C5BF0"/>
    <w:rsid w:val="009C6A9F"/>
    <w:rsid w:val="009C6B11"/>
    <w:rsid w:val="009C6F36"/>
    <w:rsid w:val="009C7A39"/>
    <w:rsid w:val="009C7B6C"/>
    <w:rsid w:val="009C7E2F"/>
    <w:rsid w:val="009D0364"/>
    <w:rsid w:val="009D0973"/>
    <w:rsid w:val="009D0AA9"/>
    <w:rsid w:val="009D0DA4"/>
    <w:rsid w:val="009D1334"/>
    <w:rsid w:val="009D13FE"/>
    <w:rsid w:val="009D1FD1"/>
    <w:rsid w:val="009D2216"/>
    <w:rsid w:val="009D2369"/>
    <w:rsid w:val="009D2624"/>
    <w:rsid w:val="009D2664"/>
    <w:rsid w:val="009D2D7F"/>
    <w:rsid w:val="009D30FF"/>
    <w:rsid w:val="009D3EC3"/>
    <w:rsid w:val="009D3F2A"/>
    <w:rsid w:val="009D40E9"/>
    <w:rsid w:val="009D476E"/>
    <w:rsid w:val="009D52F3"/>
    <w:rsid w:val="009D5D52"/>
    <w:rsid w:val="009D6496"/>
    <w:rsid w:val="009D6568"/>
    <w:rsid w:val="009D6989"/>
    <w:rsid w:val="009D73B4"/>
    <w:rsid w:val="009D74E6"/>
    <w:rsid w:val="009D7B1D"/>
    <w:rsid w:val="009D7CAB"/>
    <w:rsid w:val="009D7EE3"/>
    <w:rsid w:val="009E054D"/>
    <w:rsid w:val="009E0D93"/>
    <w:rsid w:val="009E0D96"/>
    <w:rsid w:val="009E19D0"/>
    <w:rsid w:val="009E1B59"/>
    <w:rsid w:val="009E216F"/>
    <w:rsid w:val="009E2820"/>
    <w:rsid w:val="009E3551"/>
    <w:rsid w:val="009E3634"/>
    <w:rsid w:val="009E38E7"/>
    <w:rsid w:val="009E3D30"/>
    <w:rsid w:val="009E3DF2"/>
    <w:rsid w:val="009E4000"/>
    <w:rsid w:val="009E408D"/>
    <w:rsid w:val="009E4172"/>
    <w:rsid w:val="009E46DA"/>
    <w:rsid w:val="009E478F"/>
    <w:rsid w:val="009E4AEE"/>
    <w:rsid w:val="009E4F7D"/>
    <w:rsid w:val="009E566A"/>
    <w:rsid w:val="009E5DEE"/>
    <w:rsid w:val="009E6321"/>
    <w:rsid w:val="009E6AA7"/>
    <w:rsid w:val="009E6ECF"/>
    <w:rsid w:val="009E6EE2"/>
    <w:rsid w:val="009E76C9"/>
    <w:rsid w:val="009E7DA6"/>
    <w:rsid w:val="009F0442"/>
    <w:rsid w:val="009F0582"/>
    <w:rsid w:val="009F05EC"/>
    <w:rsid w:val="009F06BB"/>
    <w:rsid w:val="009F07CE"/>
    <w:rsid w:val="009F0821"/>
    <w:rsid w:val="009F10E8"/>
    <w:rsid w:val="009F1190"/>
    <w:rsid w:val="009F1E0F"/>
    <w:rsid w:val="009F24D5"/>
    <w:rsid w:val="009F24EA"/>
    <w:rsid w:val="009F257A"/>
    <w:rsid w:val="009F268A"/>
    <w:rsid w:val="009F27C5"/>
    <w:rsid w:val="009F2A3A"/>
    <w:rsid w:val="009F3E72"/>
    <w:rsid w:val="009F406B"/>
    <w:rsid w:val="009F4195"/>
    <w:rsid w:val="009F5389"/>
    <w:rsid w:val="009F53CA"/>
    <w:rsid w:val="009F5BEE"/>
    <w:rsid w:val="009F62E1"/>
    <w:rsid w:val="009F64D1"/>
    <w:rsid w:val="009F684F"/>
    <w:rsid w:val="009F6C5E"/>
    <w:rsid w:val="009F6DE2"/>
    <w:rsid w:val="009F70FD"/>
    <w:rsid w:val="009F7650"/>
    <w:rsid w:val="009F7B1F"/>
    <w:rsid w:val="009F7DC2"/>
    <w:rsid w:val="00A00DA7"/>
    <w:rsid w:val="00A00F51"/>
    <w:rsid w:val="00A013CC"/>
    <w:rsid w:val="00A0146B"/>
    <w:rsid w:val="00A01928"/>
    <w:rsid w:val="00A022B0"/>
    <w:rsid w:val="00A025E2"/>
    <w:rsid w:val="00A02706"/>
    <w:rsid w:val="00A028A2"/>
    <w:rsid w:val="00A02E3E"/>
    <w:rsid w:val="00A0342C"/>
    <w:rsid w:val="00A04180"/>
    <w:rsid w:val="00A05176"/>
    <w:rsid w:val="00A05C17"/>
    <w:rsid w:val="00A05D8D"/>
    <w:rsid w:val="00A064FC"/>
    <w:rsid w:val="00A06F16"/>
    <w:rsid w:val="00A06F35"/>
    <w:rsid w:val="00A0732D"/>
    <w:rsid w:val="00A07C50"/>
    <w:rsid w:val="00A07E01"/>
    <w:rsid w:val="00A07FBF"/>
    <w:rsid w:val="00A10A55"/>
    <w:rsid w:val="00A10C1D"/>
    <w:rsid w:val="00A110DE"/>
    <w:rsid w:val="00A1174E"/>
    <w:rsid w:val="00A11BF7"/>
    <w:rsid w:val="00A11D87"/>
    <w:rsid w:val="00A121B9"/>
    <w:rsid w:val="00A123B1"/>
    <w:rsid w:val="00A12BCB"/>
    <w:rsid w:val="00A13042"/>
    <w:rsid w:val="00A13269"/>
    <w:rsid w:val="00A142A8"/>
    <w:rsid w:val="00A1437B"/>
    <w:rsid w:val="00A14560"/>
    <w:rsid w:val="00A145F1"/>
    <w:rsid w:val="00A149C0"/>
    <w:rsid w:val="00A15813"/>
    <w:rsid w:val="00A15AEB"/>
    <w:rsid w:val="00A15CFA"/>
    <w:rsid w:val="00A16CC8"/>
    <w:rsid w:val="00A1714B"/>
    <w:rsid w:val="00A174CC"/>
    <w:rsid w:val="00A17586"/>
    <w:rsid w:val="00A17997"/>
    <w:rsid w:val="00A20049"/>
    <w:rsid w:val="00A204D0"/>
    <w:rsid w:val="00A205C3"/>
    <w:rsid w:val="00A20961"/>
    <w:rsid w:val="00A21094"/>
    <w:rsid w:val="00A21498"/>
    <w:rsid w:val="00A215A6"/>
    <w:rsid w:val="00A21682"/>
    <w:rsid w:val="00A2172A"/>
    <w:rsid w:val="00A21EE5"/>
    <w:rsid w:val="00A21FBB"/>
    <w:rsid w:val="00A2232C"/>
    <w:rsid w:val="00A226F0"/>
    <w:rsid w:val="00A233B5"/>
    <w:rsid w:val="00A23695"/>
    <w:rsid w:val="00A23FB5"/>
    <w:rsid w:val="00A24E0A"/>
    <w:rsid w:val="00A252E6"/>
    <w:rsid w:val="00A25A86"/>
    <w:rsid w:val="00A264EC"/>
    <w:rsid w:val="00A26BD7"/>
    <w:rsid w:val="00A26C1F"/>
    <w:rsid w:val="00A27878"/>
    <w:rsid w:val="00A27B72"/>
    <w:rsid w:val="00A301F4"/>
    <w:rsid w:val="00A302C9"/>
    <w:rsid w:val="00A313B3"/>
    <w:rsid w:val="00A31631"/>
    <w:rsid w:val="00A31AA1"/>
    <w:rsid w:val="00A32185"/>
    <w:rsid w:val="00A3269F"/>
    <w:rsid w:val="00A3285E"/>
    <w:rsid w:val="00A32ED5"/>
    <w:rsid w:val="00A33940"/>
    <w:rsid w:val="00A344AC"/>
    <w:rsid w:val="00A34739"/>
    <w:rsid w:val="00A34991"/>
    <w:rsid w:val="00A34BD9"/>
    <w:rsid w:val="00A3515F"/>
    <w:rsid w:val="00A35788"/>
    <w:rsid w:val="00A35EFC"/>
    <w:rsid w:val="00A35F10"/>
    <w:rsid w:val="00A3608F"/>
    <w:rsid w:val="00A362D3"/>
    <w:rsid w:val="00A36337"/>
    <w:rsid w:val="00A36BEC"/>
    <w:rsid w:val="00A36EAF"/>
    <w:rsid w:val="00A37161"/>
    <w:rsid w:val="00A37338"/>
    <w:rsid w:val="00A37470"/>
    <w:rsid w:val="00A379B5"/>
    <w:rsid w:val="00A40459"/>
    <w:rsid w:val="00A40FD1"/>
    <w:rsid w:val="00A410A0"/>
    <w:rsid w:val="00A415D1"/>
    <w:rsid w:val="00A41AF1"/>
    <w:rsid w:val="00A42B7D"/>
    <w:rsid w:val="00A42D53"/>
    <w:rsid w:val="00A42E40"/>
    <w:rsid w:val="00A4301E"/>
    <w:rsid w:val="00A43864"/>
    <w:rsid w:val="00A43B15"/>
    <w:rsid w:val="00A43CA2"/>
    <w:rsid w:val="00A43D71"/>
    <w:rsid w:val="00A43FC5"/>
    <w:rsid w:val="00A4412A"/>
    <w:rsid w:val="00A443A5"/>
    <w:rsid w:val="00A444CC"/>
    <w:rsid w:val="00A44720"/>
    <w:rsid w:val="00A4473F"/>
    <w:rsid w:val="00A44C2A"/>
    <w:rsid w:val="00A45100"/>
    <w:rsid w:val="00A45121"/>
    <w:rsid w:val="00A45F78"/>
    <w:rsid w:val="00A465BD"/>
    <w:rsid w:val="00A46967"/>
    <w:rsid w:val="00A47B30"/>
    <w:rsid w:val="00A47E17"/>
    <w:rsid w:val="00A50BCE"/>
    <w:rsid w:val="00A51DFC"/>
    <w:rsid w:val="00A52A14"/>
    <w:rsid w:val="00A52B68"/>
    <w:rsid w:val="00A543D9"/>
    <w:rsid w:val="00A546F3"/>
    <w:rsid w:val="00A54D96"/>
    <w:rsid w:val="00A5528D"/>
    <w:rsid w:val="00A556B9"/>
    <w:rsid w:val="00A564BA"/>
    <w:rsid w:val="00A56A5B"/>
    <w:rsid w:val="00A5757E"/>
    <w:rsid w:val="00A57BE0"/>
    <w:rsid w:val="00A57D30"/>
    <w:rsid w:val="00A60AE2"/>
    <w:rsid w:val="00A61374"/>
    <w:rsid w:val="00A61AC3"/>
    <w:rsid w:val="00A61D30"/>
    <w:rsid w:val="00A62194"/>
    <w:rsid w:val="00A623A5"/>
    <w:rsid w:val="00A632E8"/>
    <w:rsid w:val="00A63ADF"/>
    <w:rsid w:val="00A63E5C"/>
    <w:rsid w:val="00A64398"/>
    <w:rsid w:val="00A64B15"/>
    <w:rsid w:val="00A65230"/>
    <w:rsid w:val="00A65665"/>
    <w:rsid w:val="00A65A2A"/>
    <w:rsid w:val="00A65B59"/>
    <w:rsid w:val="00A65C55"/>
    <w:rsid w:val="00A66595"/>
    <w:rsid w:val="00A667EF"/>
    <w:rsid w:val="00A6683D"/>
    <w:rsid w:val="00A66B74"/>
    <w:rsid w:val="00A67053"/>
    <w:rsid w:val="00A67909"/>
    <w:rsid w:val="00A67EAA"/>
    <w:rsid w:val="00A700E2"/>
    <w:rsid w:val="00A702E2"/>
    <w:rsid w:val="00A703DC"/>
    <w:rsid w:val="00A7076F"/>
    <w:rsid w:val="00A718DD"/>
    <w:rsid w:val="00A71CAB"/>
    <w:rsid w:val="00A71CFE"/>
    <w:rsid w:val="00A71E1D"/>
    <w:rsid w:val="00A72473"/>
    <w:rsid w:val="00A72C4C"/>
    <w:rsid w:val="00A72CA1"/>
    <w:rsid w:val="00A731B9"/>
    <w:rsid w:val="00A732C0"/>
    <w:rsid w:val="00A743AB"/>
    <w:rsid w:val="00A74AEA"/>
    <w:rsid w:val="00A74B01"/>
    <w:rsid w:val="00A74FEF"/>
    <w:rsid w:val="00A75060"/>
    <w:rsid w:val="00A75743"/>
    <w:rsid w:val="00A762CC"/>
    <w:rsid w:val="00A7662D"/>
    <w:rsid w:val="00A76673"/>
    <w:rsid w:val="00A768EE"/>
    <w:rsid w:val="00A76C17"/>
    <w:rsid w:val="00A77496"/>
    <w:rsid w:val="00A7758B"/>
    <w:rsid w:val="00A775D6"/>
    <w:rsid w:val="00A80757"/>
    <w:rsid w:val="00A80A9F"/>
    <w:rsid w:val="00A80B2C"/>
    <w:rsid w:val="00A80C31"/>
    <w:rsid w:val="00A821CD"/>
    <w:rsid w:val="00A828E7"/>
    <w:rsid w:val="00A82997"/>
    <w:rsid w:val="00A82C5B"/>
    <w:rsid w:val="00A82F1E"/>
    <w:rsid w:val="00A8341B"/>
    <w:rsid w:val="00A8341F"/>
    <w:rsid w:val="00A839E3"/>
    <w:rsid w:val="00A839FB"/>
    <w:rsid w:val="00A83B16"/>
    <w:rsid w:val="00A83CFA"/>
    <w:rsid w:val="00A83F16"/>
    <w:rsid w:val="00A84388"/>
    <w:rsid w:val="00A843F6"/>
    <w:rsid w:val="00A84416"/>
    <w:rsid w:val="00A84586"/>
    <w:rsid w:val="00A8469C"/>
    <w:rsid w:val="00A84C1F"/>
    <w:rsid w:val="00A84E8B"/>
    <w:rsid w:val="00A85120"/>
    <w:rsid w:val="00A852B5"/>
    <w:rsid w:val="00A85917"/>
    <w:rsid w:val="00A8598C"/>
    <w:rsid w:val="00A85C21"/>
    <w:rsid w:val="00A85CFA"/>
    <w:rsid w:val="00A85DD1"/>
    <w:rsid w:val="00A8692A"/>
    <w:rsid w:val="00A86BC2"/>
    <w:rsid w:val="00A86D35"/>
    <w:rsid w:val="00A87101"/>
    <w:rsid w:val="00A871EE"/>
    <w:rsid w:val="00A87563"/>
    <w:rsid w:val="00A87777"/>
    <w:rsid w:val="00A90605"/>
    <w:rsid w:val="00A90B0A"/>
    <w:rsid w:val="00A90CCD"/>
    <w:rsid w:val="00A90E16"/>
    <w:rsid w:val="00A9131A"/>
    <w:rsid w:val="00A91352"/>
    <w:rsid w:val="00A91AB8"/>
    <w:rsid w:val="00A928ED"/>
    <w:rsid w:val="00A92BE1"/>
    <w:rsid w:val="00A938FD"/>
    <w:rsid w:val="00A94189"/>
    <w:rsid w:val="00A941A9"/>
    <w:rsid w:val="00A94504"/>
    <w:rsid w:val="00A94C78"/>
    <w:rsid w:val="00A95C87"/>
    <w:rsid w:val="00A95F8C"/>
    <w:rsid w:val="00A960E5"/>
    <w:rsid w:val="00A9646E"/>
    <w:rsid w:val="00A9667C"/>
    <w:rsid w:val="00A96BF0"/>
    <w:rsid w:val="00A972E2"/>
    <w:rsid w:val="00AA0333"/>
    <w:rsid w:val="00AA04A8"/>
    <w:rsid w:val="00AA0D78"/>
    <w:rsid w:val="00AA2472"/>
    <w:rsid w:val="00AA27B0"/>
    <w:rsid w:val="00AA2A33"/>
    <w:rsid w:val="00AA39E2"/>
    <w:rsid w:val="00AA55FC"/>
    <w:rsid w:val="00AA56A2"/>
    <w:rsid w:val="00AA57A3"/>
    <w:rsid w:val="00AA5D01"/>
    <w:rsid w:val="00AA61FB"/>
    <w:rsid w:val="00AA6257"/>
    <w:rsid w:val="00AA6661"/>
    <w:rsid w:val="00AA67D2"/>
    <w:rsid w:val="00AA6DA4"/>
    <w:rsid w:val="00AA6E06"/>
    <w:rsid w:val="00AA7510"/>
    <w:rsid w:val="00AA7575"/>
    <w:rsid w:val="00AA781F"/>
    <w:rsid w:val="00AB058A"/>
    <w:rsid w:val="00AB0ACC"/>
    <w:rsid w:val="00AB0D45"/>
    <w:rsid w:val="00AB0EF5"/>
    <w:rsid w:val="00AB0FCC"/>
    <w:rsid w:val="00AB1C17"/>
    <w:rsid w:val="00AB29AA"/>
    <w:rsid w:val="00AB2C4D"/>
    <w:rsid w:val="00AB2D98"/>
    <w:rsid w:val="00AB2F46"/>
    <w:rsid w:val="00AB349A"/>
    <w:rsid w:val="00AB3535"/>
    <w:rsid w:val="00AB3B01"/>
    <w:rsid w:val="00AB3DFA"/>
    <w:rsid w:val="00AB4941"/>
    <w:rsid w:val="00AB53BD"/>
    <w:rsid w:val="00AB53D4"/>
    <w:rsid w:val="00AB5641"/>
    <w:rsid w:val="00AB59E7"/>
    <w:rsid w:val="00AB5E0E"/>
    <w:rsid w:val="00AB62D2"/>
    <w:rsid w:val="00AB6896"/>
    <w:rsid w:val="00AB6DE5"/>
    <w:rsid w:val="00AB7475"/>
    <w:rsid w:val="00AB7774"/>
    <w:rsid w:val="00AB77CE"/>
    <w:rsid w:val="00AC042C"/>
    <w:rsid w:val="00AC0450"/>
    <w:rsid w:val="00AC0BB7"/>
    <w:rsid w:val="00AC3F74"/>
    <w:rsid w:val="00AC406B"/>
    <w:rsid w:val="00AC4569"/>
    <w:rsid w:val="00AC4904"/>
    <w:rsid w:val="00AC52F9"/>
    <w:rsid w:val="00AC53B4"/>
    <w:rsid w:val="00AC5A24"/>
    <w:rsid w:val="00AC643F"/>
    <w:rsid w:val="00AC69B8"/>
    <w:rsid w:val="00AC6AE9"/>
    <w:rsid w:val="00AC6B87"/>
    <w:rsid w:val="00AC6C8A"/>
    <w:rsid w:val="00AC71D8"/>
    <w:rsid w:val="00AC7975"/>
    <w:rsid w:val="00AD0100"/>
    <w:rsid w:val="00AD0454"/>
    <w:rsid w:val="00AD0567"/>
    <w:rsid w:val="00AD074E"/>
    <w:rsid w:val="00AD0918"/>
    <w:rsid w:val="00AD0952"/>
    <w:rsid w:val="00AD0A3E"/>
    <w:rsid w:val="00AD226D"/>
    <w:rsid w:val="00AD2375"/>
    <w:rsid w:val="00AD23F0"/>
    <w:rsid w:val="00AD27A4"/>
    <w:rsid w:val="00AD28C0"/>
    <w:rsid w:val="00AD3305"/>
    <w:rsid w:val="00AD3F03"/>
    <w:rsid w:val="00AD4EA2"/>
    <w:rsid w:val="00AD4F98"/>
    <w:rsid w:val="00AD6163"/>
    <w:rsid w:val="00AD617B"/>
    <w:rsid w:val="00AD7577"/>
    <w:rsid w:val="00AD78F5"/>
    <w:rsid w:val="00AD7B65"/>
    <w:rsid w:val="00AD7CF6"/>
    <w:rsid w:val="00AD7E92"/>
    <w:rsid w:val="00AD7F8A"/>
    <w:rsid w:val="00AE0399"/>
    <w:rsid w:val="00AE0DA0"/>
    <w:rsid w:val="00AE177D"/>
    <w:rsid w:val="00AE1974"/>
    <w:rsid w:val="00AE1ECF"/>
    <w:rsid w:val="00AE23F6"/>
    <w:rsid w:val="00AE28C6"/>
    <w:rsid w:val="00AE28E2"/>
    <w:rsid w:val="00AE2A55"/>
    <w:rsid w:val="00AE31E1"/>
    <w:rsid w:val="00AE3D7D"/>
    <w:rsid w:val="00AE4D1C"/>
    <w:rsid w:val="00AE4E58"/>
    <w:rsid w:val="00AE59D3"/>
    <w:rsid w:val="00AE64C6"/>
    <w:rsid w:val="00AE68DD"/>
    <w:rsid w:val="00AE6D0A"/>
    <w:rsid w:val="00AE723F"/>
    <w:rsid w:val="00AE7395"/>
    <w:rsid w:val="00AE7591"/>
    <w:rsid w:val="00AE7A2E"/>
    <w:rsid w:val="00AE7A63"/>
    <w:rsid w:val="00AE7F83"/>
    <w:rsid w:val="00AF0062"/>
    <w:rsid w:val="00AF0F38"/>
    <w:rsid w:val="00AF1315"/>
    <w:rsid w:val="00AF1C15"/>
    <w:rsid w:val="00AF2B18"/>
    <w:rsid w:val="00AF3053"/>
    <w:rsid w:val="00AF329F"/>
    <w:rsid w:val="00AF3689"/>
    <w:rsid w:val="00AF384E"/>
    <w:rsid w:val="00AF4179"/>
    <w:rsid w:val="00AF46B4"/>
    <w:rsid w:val="00AF4712"/>
    <w:rsid w:val="00AF4C66"/>
    <w:rsid w:val="00AF5077"/>
    <w:rsid w:val="00AF5234"/>
    <w:rsid w:val="00AF55AB"/>
    <w:rsid w:val="00AF56B6"/>
    <w:rsid w:val="00AF58E7"/>
    <w:rsid w:val="00AF5926"/>
    <w:rsid w:val="00AF6538"/>
    <w:rsid w:val="00AF691D"/>
    <w:rsid w:val="00AF69BD"/>
    <w:rsid w:val="00AF730A"/>
    <w:rsid w:val="00AF743A"/>
    <w:rsid w:val="00AF762B"/>
    <w:rsid w:val="00AF774C"/>
    <w:rsid w:val="00B00F8A"/>
    <w:rsid w:val="00B010C0"/>
    <w:rsid w:val="00B01586"/>
    <w:rsid w:val="00B01AE3"/>
    <w:rsid w:val="00B01DE1"/>
    <w:rsid w:val="00B01EED"/>
    <w:rsid w:val="00B022BA"/>
    <w:rsid w:val="00B02918"/>
    <w:rsid w:val="00B02E18"/>
    <w:rsid w:val="00B04A10"/>
    <w:rsid w:val="00B04E61"/>
    <w:rsid w:val="00B05A83"/>
    <w:rsid w:val="00B05D1E"/>
    <w:rsid w:val="00B05F01"/>
    <w:rsid w:val="00B0642A"/>
    <w:rsid w:val="00B06A0D"/>
    <w:rsid w:val="00B06B0E"/>
    <w:rsid w:val="00B06E0F"/>
    <w:rsid w:val="00B0773E"/>
    <w:rsid w:val="00B07F2F"/>
    <w:rsid w:val="00B10FF5"/>
    <w:rsid w:val="00B11029"/>
    <w:rsid w:val="00B112D4"/>
    <w:rsid w:val="00B117C2"/>
    <w:rsid w:val="00B11FDA"/>
    <w:rsid w:val="00B127FA"/>
    <w:rsid w:val="00B13897"/>
    <w:rsid w:val="00B14AE6"/>
    <w:rsid w:val="00B14BDA"/>
    <w:rsid w:val="00B14EE7"/>
    <w:rsid w:val="00B156F2"/>
    <w:rsid w:val="00B16E86"/>
    <w:rsid w:val="00B1703D"/>
    <w:rsid w:val="00B1733E"/>
    <w:rsid w:val="00B17BB6"/>
    <w:rsid w:val="00B17CAC"/>
    <w:rsid w:val="00B17DAC"/>
    <w:rsid w:val="00B203B2"/>
    <w:rsid w:val="00B20BF5"/>
    <w:rsid w:val="00B20F1F"/>
    <w:rsid w:val="00B2108E"/>
    <w:rsid w:val="00B21D97"/>
    <w:rsid w:val="00B21ED7"/>
    <w:rsid w:val="00B2223E"/>
    <w:rsid w:val="00B22271"/>
    <w:rsid w:val="00B22D50"/>
    <w:rsid w:val="00B22FCC"/>
    <w:rsid w:val="00B234EF"/>
    <w:rsid w:val="00B239E7"/>
    <w:rsid w:val="00B23CEA"/>
    <w:rsid w:val="00B240CD"/>
    <w:rsid w:val="00B2446C"/>
    <w:rsid w:val="00B246A2"/>
    <w:rsid w:val="00B24921"/>
    <w:rsid w:val="00B24DAC"/>
    <w:rsid w:val="00B24EBD"/>
    <w:rsid w:val="00B24FD8"/>
    <w:rsid w:val="00B2524D"/>
    <w:rsid w:val="00B25EAD"/>
    <w:rsid w:val="00B26BB1"/>
    <w:rsid w:val="00B27E2F"/>
    <w:rsid w:val="00B27F97"/>
    <w:rsid w:val="00B30825"/>
    <w:rsid w:val="00B30FAC"/>
    <w:rsid w:val="00B31045"/>
    <w:rsid w:val="00B31244"/>
    <w:rsid w:val="00B31D90"/>
    <w:rsid w:val="00B321F2"/>
    <w:rsid w:val="00B32606"/>
    <w:rsid w:val="00B32781"/>
    <w:rsid w:val="00B3294B"/>
    <w:rsid w:val="00B338B7"/>
    <w:rsid w:val="00B34148"/>
    <w:rsid w:val="00B348EA"/>
    <w:rsid w:val="00B34BF6"/>
    <w:rsid w:val="00B3571D"/>
    <w:rsid w:val="00B35AB2"/>
    <w:rsid w:val="00B363FA"/>
    <w:rsid w:val="00B3671D"/>
    <w:rsid w:val="00B370A9"/>
    <w:rsid w:val="00B37B0A"/>
    <w:rsid w:val="00B37F73"/>
    <w:rsid w:val="00B3FAE9"/>
    <w:rsid w:val="00B406C7"/>
    <w:rsid w:val="00B40E7A"/>
    <w:rsid w:val="00B40EB0"/>
    <w:rsid w:val="00B415A2"/>
    <w:rsid w:val="00B42782"/>
    <w:rsid w:val="00B427D7"/>
    <w:rsid w:val="00B428F7"/>
    <w:rsid w:val="00B42C74"/>
    <w:rsid w:val="00B42F9A"/>
    <w:rsid w:val="00B432D0"/>
    <w:rsid w:val="00B43801"/>
    <w:rsid w:val="00B43B29"/>
    <w:rsid w:val="00B43FD0"/>
    <w:rsid w:val="00B4409D"/>
    <w:rsid w:val="00B440D4"/>
    <w:rsid w:val="00B44471"/>
    <w:rsid w:val="00B447CC"/>
    <w:rsid w:val="00B451F8"/>
    <w:rsid w:val="00B45C65"/>
    <w:rsid w:val="00B46401"/>
    <w:rsid w:val="00B46928"/>
    <w:rsid w:val="00B47592"/>
    <w:rsid w:val="00B47AED"/>
    <w:rsid w:val="00B5005E"/>
    <w:rsid w:val="00B5020E"/>
    <w:rsid w:val="00B504C2"/>
    <w:rsid w:val="00B50665"/>
    <w:rsid w:val="00B50880"/>
    <w:rsid w:val="00B509DF"/>
    <w:rsid w:val="00B50B2E"/>
    <w:rsid w:val="00B50C1A"/>
    <w:rsid w:val="00B514A5"/>
    <w:rsid w:val="00B514EB"/>
    <w:rsid w:val="00B51648"/>
    <w:rsid w:val="00B51666"/>
    <w:rsid w:val="00B523B4"/>
    <w:rsid w:val="00B52A1D"/>
    <w:rsid w:val="00B52E0A"/>
    <w:rsid w:val="00B52E93"/>
    <w:rsid w:val="00B533EF"/>
    <w:rsid w:val="00B540E3"/>
    <w:rsid w:val="00B54232"/>
    <w:rsid w:val="00B54381"/>
    <w:rsid w:val="00B54F20"/>
    <w:rsid w:val="00B551B0"/>
    <w:rsid w:val="00B56579"/>
    <w:rsid w:val="00B56E63"/>
    <w:rsid w:val="00B579FC"/>
    <w:rsid w:val="00B60186"/>
    <w:rsid w:val="00B603A1"/>
    <w:rsid w:val="00B60444"/>
    <w:rsid w:val="00B60496"/>
    <w:rsid w:val="00B60A69"/>
    <w:rsid w:val="00B60C73"/>
    <w:rsid w:val="00B613C1"/>
    <w:rsid w:val="00B61C34"/>
    <w:rsid w:val="00B62097"/>
    <w:rsid w:val="00B6212E"/>
    <w:rsid w:val="00B623D9"/>
    <w:rsid w:val="00B62F27"/>
    <w:rsid w:val="00B63263"/>
    <w:rsid w:val="00B637F9"/>
    <w:rsid w:val="00B63969"/>
    <w:rsid w:val="00B63EFB"/>
    <w:rsid w:val="00B640C7"/>
    <w:rsid w:val="00B641C6"/>
    <w:rsid w:val="00B64DDE"/>
    <w:rsid w:val="00B65805"/>
    <w:rsid w:val="00B65A1A"/>
    <w:rsid w:val="00B668E8"/>
    <w:rsid w:val="00B66C6F"/>
    <w:rsid w:val="00B66D45"/>
    <w:rsid w:val="00B66F2E"/>
    <w:rsid w:val="00B66F98"/>
    <w:rsid w:val="00B67060"/>
    <w:rsid w:val="00B6749D"/>
    <w:rsid w:val="00B70313"/>
    <w:rsid w:val="00B70B1D"/>
    <w:rsid w:val="00B70C14"/>
    <w:rsid w:val="00B71BEF"/>
    <w:rsid w:val="00B7245A"/>
    <w:rsid w:val="00B72723"/>
    <w:rsid w:val="00B72DF1"/>
    <w:rsid w:val="00B73C5F"/>
    <w:rsid w:val="00B74B63"/>
    <w:rsid w:val="00B74D54"/>
    <w:rsid w:val="00B760AA"/>
    <w:rsid w:val="00B7693C"/>
    <w:rsid w:val="00B76C96"/>
    <w:rsid w:val="00B770BA"/>
    <w:rsid w:val="00B77D95"/>
    <w:rsid w:val="00B80428"/>
    <w:rsid w:val="00B808A5"/>
    <w:rsid w:val="00B80938"/>
    <w:rsid w:val="00B80B73"/>
    <w:rsid w:val="00B81792"/>
    <w:rsid w:val="00B81CC7"/>
    <w:rsid w:val="00B8219E"/>
    <w:rsid w:val="00B8292C"/>
    <w:rsid w:val="00B82DCC"/>
    <w:rsid w:val="00B83A89"/>
    <w:rsid w:val="00B84040"/>
    <w:rsid w:val="00B84398"/>
    <w:rsid w:val="00B848D5"/>
    <w:rsid w:val="00B84E37"/>
    <w:rsid w:val="00B859BC"/>
    <w:rsid w:val="00B86CB0"/>
    <w:rsid w:val="00B86E44"/>
    <w:rsid w:val="00B87120"/>
    <w:rsid w:val="00B872EB"/>
    <w:rsid w:val="00B8758F"/>
    <w:rsid w:val="00B878A1"/>
    <w:rsid w:val="00B87A44"/>
    <w:rsid w:val="00B9052E"/>
    <w:rsid w:val="00B90A17"/>
    <w:rsid w:val="00B91665"/>
    <w:rsid w:val="00B91902"/>
    <w:rsid w:val="00B91A4E"/>
    <w:rsid w:val="00B91E6F"/>
    <w:rsid w:val="00B921AF"/>
    <w:rsid w:val="00B92317"/>
    <w:rsid w:val="00B92672"/>
    <w:rsid w:val="00B92AC9"/>
    <w:rsid w:val="00B9364F"/>
    <w:rsid w:val="00B9373F"/>
    <w:rsid w:val="00B93A8D"/>
    <w:rsid w:val="00B93F4F"/>
    <w:rsid w:val="00B93F83"/>
    <w:rsid w:val="00B940B0"/>
    <w:rsid w:val="00B9488C"/>
    <w:rsid w:val="00B949C3"/>
    <w:rsid w:val="00B94F71"/>
    <w:rsid w:val="00B95191"/>
    <w:rsid w:val="00B96397"/>
    <w:rsid w:val="00B965AD"/>
    <w:rsid w:val="00B96D40"/>
    <w:rsid w:val="00B96E4B"/>
    <w:rsid w:val="00B9724D"/>
    <w:rsid w:val="00B9743F"/>
    <w:rsid w:val="00B979E4"/>
    <w:rsid w:val="00BA051E"/>
    <w:rsid w:val="00BA0D29"/>
    <w:rsid w:val="00BA1824"/>
    <w:rsid w:val="00BA25AD"/>
    <w:rsid w:val="00BA27D1"/>
    <w:rsid w:val="00BA2853"/>
    <w:rsid w:val="00BA34BF"/>
    <w:rsid w:val="00BA3536"/>
    <w:rsid w:val="00BA3C5D"/>
    <w:rsid w:val="00BA3F75"/>
    <w:rsid w:val="00BA49CE"/>
    <w:rsid w:val="00BA5863"/>
    <w:rsid w:val="00BA713F"/>
    <w:rsid w:val="00BA74F5"/>
    <w:rsid w:val="00BA7BED"/>
    <w:rsid w:val="00BA7ECF"/>
    <w:rsid w:val="00BB0289"/>
    <w:rsid w:val="00BB064B"/>
    <w:rsid w:val="00BB0722"/>
    <w:rsid w:val="00BB0BCA"/>
    <w:rsid w:val="00BB1168"/>
    <w:rsid w:val="00BB14F4"/>
    <w:rsid w:val="00BB1CB3"/>
    <w:rsid w:val="00BB294A"/>
    <w:rsid w:val="00BB2A19"/>
    <w:rsid w:val="00BB2AA1"/>
    <w:rsid w:val="00BB2B4B"/>
    <w:rsid w:val="00BB312E"/>
    <w:rsid w:val="00BB38CB"/>
    <w:rsid w:val="00BB39D7"/>
    <w:rsid w:val="00BB3C80"/>
    <w:rsid w:val="00BB42A7"/>
    <w:rsid w:val="00BB5AAA"/>
    <w:rsid w:val="00BB5AB4"/>
    <w:rsid w:val="00BB661D"/>
    <w:rsid w:val="00BB6964"/>
    <w:rsid w:val="00BB6D20"/>
    <w:rsid w:val="00BB6E65"/>
    <w:rsid w:val="00BB7143"/>
    <w:rsid w:val="00BB75A9"/>
    <w:rsid w:val="00BB7685"/>
    <w:rsid w:val="00BB7980"/>
    <w:rsid w:val="00BB7D72"/>
    <w:rsid w:val="00BC00A4"/>
    <w:rsid w:val="00BC00D3"/>
    <w:rsid w:val="00BC0642"/>
    <w:rsid w:val="00BC0A7C"/>
    <w:rsid w:val="00BC0C3A"/>
    <w:rsid w:val="00BC13FC"/>
    <w:rsid w:val="00BC1A35"/>
    <w:rsid w:val="00BC1D22"/>
    <w:rsid w:val="00BC1F4C"/>
    <w:rsid w:val="00BC22FA"/>
    <w:rsid w:val="00BC2342"/>
    <w:rsid w:val="00BC2ED4"/>
    <w:rsid w:val="00BC30CB"/>
    <w:rsid w:val="00BC3542"/>
    <w:rsid w:val="00BC362E"/>
    <w:rsid w:val="00BC3A31"/>
    <w:rsid w:val="00BC3A74"/>
    <w:rsid w:val="00BC4267"/>
    <w:rsid w:val="00BC4692"/>
    <w:rsid w:val="00BC46A5"/>
    <w:rsid w:val="00BC4705"/>
    <w:rsid w:val="00BC47F4"/>
    <w:rsid w:val="00BC4957"/>
    <w:rsid w:val="00BC4C97"/>
    <w:rsid w:val="00BC4D0F"/>
    <w:rsid w:val="00BC548C"/>
    <w:rsid w:val="00BC5CB0"/>
    <w:rsid w:val="00BC5DCC"/>
    <w:rsid w:val="00BC6A01"/>
    <w:rsid w:val="00BC7307"/>
    <w:rsid w:val="00BC7ABB"/>
    <w:rsid w:val="00BC7AE6"/>
    <w:rsid w:val="00BC7B40"/>
    <w:rsid w:val="00BC7EC0"/>
    <w:rsid w:val="00BCE2FF"/>
    <w:rsid w:val="00BD04C2"/>
    <w:rsid w:val="00BD089F"/>
    <w:rsid w:val="00BD0EE8"/>
    <w:rsid w:val="00BD16AC"/>
    <w:rsid w:val="00BD17BA"/>
    <w:rsid w:val="00BD18F4"/>
    <w:rsid w:val="00BD1B21"/>
    <w:rsid w:val="00BD1D49"/>
    <w:rsid w:val="00BD2045"/>
    <w:rsid w:val="00BD21F9"/>
    <w:rsid w:val="00BD2963"/>
    <w:rsid w:val="00BD3129"/>
    <w:rsid w:val="00BD319F"/>
    <w:rsid w:val="00BD334C"/>
    <w:rsid w:val="00BD342E"/>
    <w:rsid w:val="00BD3620"/>
    <w:rsid w:val="00BD3ACC"/>
    <w:rsid w:val="00BD3CC8"/>
    <w:rsid w:val="00BD42BE"/>
    <w:rsid w:val="00BD435C"/>
    <w:rsid w:val="00BD4661"/>
    <w:rsid w:val="00BD4897"/>
    <w:rsid w:val="00BD593D"/>
    <w:rsid w:val="00BD6951"/>
    <w:rsid w:val="00BD6EEB"/>
    <w:rsid w:val="00BD740D"/>
    <w:rsid w:val="00BD7583"/>
    <w:rsid w:val="00BD7E84"/>
    <w:rsid w:val="00BE0149"/>
    <w:rsid w:val="00BE07AF"/>
    <w:rsid w:val="00BE083A"/>
    <w:rsid w:val="00BE0E83"/>
    <w:rsid w:val="00BE0EFC"/>
    <w:rsid w:val="00BE12D7"/>
    <w:rsid w:val="00BE13E1"/>
    <w:rsid w:val="00BE17AC"/>
    <w:rsid w:val="00BE1C7A"/>
    <w:rsid w:val="00BE2B41"/>
    <w:rsid w:val="00BE313C"/>
    <w:rsid w:val="00BE3856"/>
    <w:rsid w:val="00BE41A8"/>
    <w:rsid w:val="00BE5051"/>
    <w:rsid w:val="00BE52E7"/>
    <w:rsid w:val="00BE5B85"/>
    <w:rsid w:val="00BE5BA5"/>
    <w:rsid w:val="00BE5EFD"/>
    <w:rsid w:val="00BE5F23"/>
    <w:rsid w:val="00BE62F1"/>
    <w:rsid w:val="00BE6485"/>
    <w:rsid w:val="00BE64BE"/>
    <w:rsid w:val="00BE71F0"/>
    <w:rsid w:val="00BF085B"/>
    <w:rsid w:val="00BF090F"/>
    <w:rsid w:val="00BF1316"/>
    <w:rsid w:val="00BF1996"/>
    <w:rsid w:val="00BF1DD4"/>
    <w:rsid w:val="00BF1EDF"/>
    <w:rsid w:val="00BF21D0"/>
    <w:rsid w:val="00BF26BE"/>
    <w:rsid w:val="00BF2B7D"/>
    <w:rsid w:val="00BF2C5A"/>
    <w:rsid w:val="00BF3287"/>
    <w:rsid w:val="00BF32BC"/>
    <w:rsid w:val="00BF3537"/>
    <w:rsid w:val="00BF42B8"/>
    <w:rsid w:val="00BF5781"/>
    <w:rsid w:val="00BF5F9F"/>
    <w:rsid w:val="00BF6218"/>
    <w:rsid w:val="00BF6B94"/>
    <w:rsid w:val="00BF6E8A"/>
    <w:rsid w:val="00BF6F5B"/>
    <w:rsid w:val="00BF71D1"/>
    <w:rsid w:val="00BF7863"/>
    <w:rsid w:val="00BF7ADE"/>
    <w:rsid w:val="00C0002B"/>
    <w:rsid w:val="00C000AC"/>
    <w:rsid w:val="00C004EF"/>
    <w:rsid w:val="00C00537"/>
    <w:rsid w:val="00C00714"/>
    <w:rsid w:val="00C00842"/>
    <w:rsid w:val="00C00E8F"/>
    <w:rsid w:val="00C012CB"/>
    <w:rsid w:val="00C0141C"/>
    <w:rsid w:val="00C01D63"/>
    <w:rsid w:val="00C01E06"/>
    <w:rsid w:val="00C01F07"/>
    <w:rsid w:val="00C02073"/>
    <w:rsid w:val="00C02E08"/>
    <w:rsid w:val="00C03320"/>
    <w:rsid w:val="00C0357A"/>
    <w:rsid w:val="00C03B1F"/>
    <w:rsid w:val="00C041AA"/>
    <w:rsid w:val="00C0449D"/>
    <w:rsid w:val="00C0473D"/>
    <w:rsid w:val="00C04742"/>
    <w:rsid w:val="00C04BFF"/>
    <w:rsid w:val="00C0530F"/>
    <w:rsid w:val="00C05E2C"/>
    <w:rsid w:val="00C06578"/>
    <w:rsid w:val="00C07189"/>
    <w:rsid w:val="00C07D7E"/>
    <w:rsid w:val="00C07DBB"/>
    <w:rsid w:val="00C07EE3"/>
    <w:rsid w:val="00C101B7"/>
    <w:rsid w:val="00C1069B"/>
    <w:rsid w:val="00C107F1"/>
    <w:rsid w:val="00C10F23"/>
    <w:rsid w:val="00C1118D"/>
    <w:rsid w:val="00C11387"/>
    <w:rsid w:val="00C117D6"/>
    <w:rsid w:val="00C119CF"/>
    <w:rsid w:val="00C11C7E"/>
    <w:rsid w:val="00C11CDF"/>
    <w:rsid w:val="00C11F59"/>
    <w:rsid w:val="00C12213"/>
    <w:rsid w:val="00C127B5"/>
    <w:rsid w:val="00C129C0"/>
    <w:rsid w:val="00C12DAF"/>
    <w:rsid w:val="00C12F93"/>
    <w:rsid w:val="00C1300D"/>
    <w:rsid w:val="00C1307E"/>
    <w:rsid w:val="00C1309F"/>
    <w:rsid w:val="00C13723"/>
    <w:rsid w:val="00C13EB6"/>
    <w:rsid w:val="00C14538"/>
    <w:rsid w:val="00C14DF8"/>
    <w:rsid w:val="00C14EAE"/>
    <w:rsid w:val="00C16671"/>
    <w:rsid w:val="00C16789"/>
    <w:rsid w:val="00C16B51"/>
    <w:rsid w:val="00C16B5D"/>
    <w:rsid w:val="00C17155"/>
    <w:rsid w:val="00C17187"/>
    <w:rsid w:val="00C174EC"/>
    <w:rsid w:val="00C17715"/>
    <w:rsid w:val="00C1772F"/>
    <w:rsid w:val="00C17834"/>
    <w:rsid w:val="00C17901"/>
    <w:rsid w:val="00C17D35"/>
    <w:rsid w:val="00C20271"/>
    <w:rsid w:val="00C204CC"/>
    <w:rsid w:val="00C20636"/>
    <w:rsid w:val="00C20B61"/>
    <w:rsid w:val="00C20C96"/>
    <w:rsid w:val="00C20DF9"/>
    <w:rsid w:val="00C2161C"/>
    <w:rsid w:val="00C21B82"/>
    <w:rsid w:val="00C21E82"/>
    <w:rsid w:val="00C21F55"/>
    <w:rsid w:val="00C2250F"/>
    <w:rsid w:val="00C227E5"/>
    <w:rsid w:val="00C22B40"/>
    <w:rsid w:val="00C22D05"/>
    <w:rsid w:val="00C22D2F"/>
    <w:rsid w:val="00C239E8"/>
    <w:rsid w:val="00C23DD9"/>
    <w:rsid w:val="00C24578"/>
    <w:rsid w:val="00C24882"/>
    <w:rsid w:val="00C2510F"/>
    <w:rsid w:val="00C25295"/>
    <w:rsid w:val="00C2603E"/>
    <w:rsid w:val="00C26A9A"/>
    <w:rsid w:val="00C2700D"/>
    <w:rsid w:val="00C271F3"/>
    <w:rsid w:val="00C27559"/>
    <w:rsid w:val="00C3034A"/>
    <w:rsid w:val="00C303AB"/>
    <w:rsid w:val="00C30521"/>
    <w:rsid w:val="00C30937"/>
    <w:rsid w:val="00C30CBF"/>
    <w:rsid w:val="00C31496"/>
    <w:rsid w:val="00C31756"/>
    <w:rsid w:val="00C3179A"/>
    <w:rsid w:val="00C319FB"/>
    <w:rsid w:val="00C3215E"/>
    <w:rsid w:val="00C323FB"/>
    <w:rsid w:val="00C330C1"/>
    <w:rsid w:val="00C338B0"/>
    <w:rsid w:val="00C33CD2"/>
    <w:rsid w:val="00C34DC7"/>
    <w:rsid w:val="00C362E2"/>
    <w:rsid w:val="00C370F4"/>
    <w:rsid w:val="00C3758B"/>
    <w:rsid w:val="00C379C6"/>
    <w:rsid w:val="00C37E81"/>
    <w:rsid w:val="00C40034"/>
    <w:rsid w:val="00C40201"/>
    <w:rsid w:val="00C40394"/>
    <w:rsid w:val="00C40536"/>
    <w:rsid w:val="00C40735"/>
    <w:rsid w:val="00C40B6E"/>
    <w:rsid w:val="00C40BD6"/>
    <w:rsid w:val="00C40DE0"/>
    <w:rsid w:val="00C4121E"/>
    <w:rsid w:val="00C41654"/>
    <w:rsid w:val="00C41941"/>
    <w:rsid w:val="00C42D11"/>
    <w:rsid w:val="00C431AA"/>
    <w:rsid w:val="00C437CB"/>
    <w:rsid w:val="00C43C86"/>
    <w:rsid w:val="00C446E3"/>
    <w:rsid w:val="00C448E3"/>
    <w:rsid w:val="00C44D58"/>
    <w:rsid w:val="00C450D0"/>
    <w:rsid w:val="00C4533B"/>
    <w:rsid w:val="00C455C6"/>
    <w:rsid w:val="00C462DE"/>
    <w:rsid w:val="00C465B5"/>
    <w:rsid w:val="00C473D0"/>
    <w:rsid w:val="00C475FE"/>
    <w:rsid w:val="00C477B3"/>
    <w:rsid w:val="00C477CE"/>
    <w:rsid w:val="00C47D41"/>
    <w:rsid w:val="00C47ED7"/>
    <w:rsid w:val="00C50175"/>
    <w:rsid w:val="00C50374"/>
    <w:rsid w:val="00C50428"/>
    <w:rsid w:val="00C50586"/>
    <w:rsid w:val="00C50F03"/>
    <w:rsid w:val="00C511DF"/>
    <w:rsid w:val="00C512BB"/>
    <w:rsid w:val="00C5256C"/>
    <w:rsid w:val="00C52737"/>
    <w:rsid w:val="00C527E0"/>
    <w:rsid w:val="00C529EE"/>
    <w:rsid w:val="00C52DDD"/>
    <w:rsid w:val="00C52F8F"/>
    <w:rsid w:val="00C5356D"/>
    <w:rsid w:val="00C53A0C"/>
    <w:rsid w:val="00C53BB9"/>
    <w:rsid w:val="00C54242"/>
    <w:rsid w:val="00C54C8F"/>
    <w:rsid w:val="00C5526C"/>
    <w:rsid w:val="00C55456"/>
    <w:rsid w:val="00C5554E"/>
    <w:rsid w:val="00C55871"/>
    <w:rsid w:val="00C55F76"/>
    <w:rsid w:val="00C568DC"/>
    <w:rsid w:val="00C56DB4"/>
    <w:rsid w:val="00C56ED4"/>
    <w:rsid w:val="00C57348"/>
    <w:rsid w:val="00C604FA"/>
    <w:rsid w:val="00C6056A"/>
    <w:rsid w:val="00C60632"/>
    <w:rsid w:val="00C609E3"/>
    <w:rsid w:val="00C60E1F"/>
    <w:rsid w:val="00C61FD4"/>
    <w:rsid w:val="00C626C6"/>
    <w:rsid w:val="00C627D4"/>
    <w:rsid w:val="00C62A26"/>
    <w:rsid w:val="00C62AB3"/>
    <w:rsid w:val="00C62BAB"/>
    <w:rsid w:val="00C62BDB"/>
    <w:rsid w:val="00C62C28"/>
    <w:rsid w:val="00C638A7"/>
    <w:rsid w:val="00C6390F"/>
    <w:rsid w:val="00C639A6"/>
    <w:rsid w:val="00C64E23"/>
    <w:rsid w:val="00C6675C"/>
    <w:rsid w:val="00C6693A"/>
    <w:rsid w:val="00C66AED"/>
    <w:rsid w:val="00C67411"/>
    <w:rsid w:val="00C676A0"/>
    <w:rsid w:val="00C67F19"/>
    <w:rsid w:val="00C67FB1"/>
    <w:rsid w:val="00C708C6"/>
    <w:rsid w:val="00C70D6C"/>
    <w:rsid w:val="00C70F9A"/>
    <w:rsid w:val="00C7125C"/>
    <w:rsid w:val="00C715FE"/>
    <w:rsid w:val="00C716BE"/>
    <w:rsid w:val="00C71A83"/>
    <w:rsid w:val="00C71B26"/>
    <w:rsid w:val="00C71D7F"/>
    <w:rsid w:val="00C728F5"/>
    <w:rsid w:val="00C72984"/>
    <w:rsid w:val="00C72AD6"/>
    <w:rsid w:val="00C72F96"/>
    <w:rsid w:val="00C73194"/>
    <w:rsid w:val="00C731B4"/>
    <w:rsid w:val="00C734D8"/>
    <w:rsid w:val="00C739D9"/>
    <w:rsid w:val="00C74086"/>
    <w:rsid w:val="00C74583"/>
    <w:rsid w:val="00C750D3"/>
    <w:rsid w:val="00C751E4"/>
    <w:rsid w:val="00C75F0C"/>
    <w:rsid w:val="00C75FFC"/>
    <w:rsid w:val="00C76220"/>
    <w:rsid w:val="00C7623B"/>
    <w:rsid w:val="00C76D8E"/>
    <w:rsid w:val="00C775A2"/>
    <w:rsid w:val="00C779FB"/>
    <w:rsid w:val="00C77A99"/>
    <w:rsid w:val="00C80331"/>
    <w:rsid w:val="00C807B0"/>
    <w:rsid w:val="00C807DA"/>
    <w:rsid w:val="00C80BA6"/>
    <w:rsid w:val="00C8181D"/>
    <w:rsid w:val="00C81CFE"/>
    <w:rsid w:val="00C81D6A"/>
    <w:rsid w:val="00C81ED0"/>
    <w:rsid w:val="00C821A2"/>
    <w:rsid w:val="00C82242"/>
    <w:rsid w:val="00C82344"/>
    <w:rsid w:val="00C82478"/>
    <w:rsid w:val="00C82735"/>
    <w:rsid w:val="00C82DA4"/>
    <w:rsid w:val="00C83924"/>
    <w:rsid w:val="00C841C9"/>
    <w:rsid w:val="00C8435E"/>
    <w:rsid w:val="00C84ADE"/>
    <w:rsid w:val="00C85A0B"/>
    <w:rsid w:val="00C86000"/>
    <w:rsid w:val="00C8600E"/>
    <w:rsid w:val="00C861AB"/>
    <w:rsid w:val="00C861D7"/>
    <w:rsid w:val="00C86325"/>
    <w:rsid w:val="00C869EA"/>
    <w:rsid w:val="00C86FB4"/>
    <w:rsid w:val="00C8709F"/>
    <w:rsid w:val="00C8762F"/>
    <w:rsid w:val="00C8771F"/>
    <w:rsid w:val="00C879C9"/>
    <w:rsid w:val="00C902C1"/>
    <w:rsid w:val="00C90421"/>
    <w:rsid w:val="00C910B6"/>
    <w:rsid w:val="00C920A5"/>
    <w:rsid w:val="00C924E9"/>
    <w:rsid w:val="00C92BF1"/>
    <w:rsid w:val="00C92C8B"/>
    <w:rsid w:val="00C94191"/>
    <w:rsid w:val="00C9420A"/>
    <w:rsid w:val="00C944EF"/>
    <w:rsid w:val="00C94D0A"/>
    <w:rsid w:val="00C9523F"/>
    <w:rsid w:val="00C9543B"/>
    <w:rsid w:val="00C95605"/>
    <w:rsid w:val="00C95D2D"/>
    <w:rsid w:val="00C9639B"/>
    <w:rsid w:val="00C96FC1"/>
    <w:rsid w:val="00C971EE"/>
    <w:rsid w:val="00C973A4"/>
    <w:rsid w:val="00C97528"/>
    <w:rsid w:val="00C97548"/>
    <w:rsid w:val="00C97810"/>
    <w:rsid w:val="00C9786A"/>
    <w:rsid w:val="00CA094F"/>
    <w:rsid w:val="00CA1AE3"/>
    <w:rsid w:val="00CA1B34"/>
    <w:rsid w:val="00CA1E6B"/>
    <w:rsid w:val="00CA2124"/>
    <w:rsid w:val="00CA2E8E"/>
    <w:rsid w:val="00CA387B"/>
    <w:rsid w:val="00CA486D"/>
    <w:rsid w:val="00CA4CF6"/>
    <w:rsid w:val="00CA5080"/>
    <w:rsid w:val="00CA51AE"/>
    <w:rsid w:val="00CA586D"/>
    <w:rsid w:val="00CA5F22"/>
    <w:rsid w:val="00CA60AC"/>
    <w:rsid w:val="00CA64F6"/>
    <w:rsid w:val="00CA6960"/>
    <w:rsid w:val="00CA7054"/>
    <w:rsid w:val="00CA7166"/>
    <w:rsid w:val="00CA76E0"/>
    <w:rsid w:val="00CA7CF7"/>
    <w:rsid w:val="00CB0927"/>
    <w:rsid w:val="00CB096E"/>
    <w:rsid w:val="00CB0B51"/>
    <w:rsid w:val="00CB0D90"/>
    <w:rsid w:val="00CB11AB"/>
    <w:rsid w:val="00CB1748"/>
    <w:rsid w:val="00CB1ECE"/>
    <w:rsid w:val="00CB2209"/>
    <w:rsid w:val="00CB2635"/>
    <w:rsid w:val="00CB274B"/>
    <w:rsid w:val="00CB32C8"/>
    <w:rsid w:val="00CB3EF2"/>
    <w:rsid w:val="00CB4175"/>
    <w:rsid w:val="00CB4B04"/>
    <w:rsid w:val="00CB5577"/>
    <w:rsid w:val="00CB68D5"/>
    <w:rsid w:val="00CB6F79"/>
    <w:rsid w:val="00CC09C4"/>
    <w:rsid w:val="00CC0D7F"/>
    <w:rsid w:val="00CC0E13"/>
    <w:rsid w:val="00CC1293"/>
    <w:rsid w:val="00CC1555"/>
    <w:rsid w:val="00CC2042"/>
    <w:rsid w:val="00CC24FC"/>
    <w:rsid w:val="00CC27DB"/>
    <w:rsid w:val="00CC3CDC"/>
    <w:rsid w:val="00CC43EB"/>
    <w:rsid w:val="00CC4807"/>
    <w:rsid w:val="00CC4943"/>
    <w:rsid w:val="00CC4C5E"/>
    <w:rsid w:val="00CC511D"/>
    <w:rsid w:val="00CC57C5"/>
    <w:rsid w:val="00CC62EB"/>
    <w:rsid w:val="00CC6AF4"/>
    <w:rsid w:val="00CC7965"/>
    <w:rsid w:val="00CC79BA"/>
    <w:rsid w:val="00CC7B01"/>
    <w:rsid w:val="00CD062D"/>
    <w:rsid w:val="00CD0C97"/>
    <w:rsid w:val="00CD1301"/>
    <w:rsid w:val="00CD141C"/>
    <w:rsid w:val="00CD19AE"/>
    <w:rsid w:val="00CD2011"/>
    <w:rsid w:val="00CD20FA"/>
    <w:rsid w:val="00CD22F9"/>
    <w:rsid w:val="00CD2C52"/>
    <w:rsid w:val="00CD2DEA"/>
    <w:rsid w:val="00CD2F4A"/>
    <w:rsid w:val="00CD3564"/>
    <w:rsid w:val="00CD4581"/>
    <w:rsid w:val="00CD4E4A"/>
    <w:rsid w:val="00CD505E"/>
    <w:rsid w:val="00CD5145"/>
    <w:rsid w:val="00CD5329"/>
    <w:rsid w:val="00CD55AD"/>
    <w:rsid w:val="00CD5B55"/>
    <w:rsid w:val="00CD6099"/>
    <w:rsid w:val="00CD6461"/>
    <w:rsid w:val="00CD6754"/>
    <w:rsid w:val="00CD6F1C"/>
    <w:rsid w:val="00CD72B3"/>
    <w:rsid w:val="00CD73BB"/>
    <w:rsid w:val="00CD7695"/>
    <w:rsid w:val="00CD7BA4"/>
    <w:rsid w:val="00CD7C47"/>
    <w:rsid w:val="00CE0525"/>
    <w:rsid w:val="00CE0691"/>
    <w:rsid w:val="00CE1096"/>
    <w:rsid w:val="00CE12FE"/>
    <w:rsid w:val="00CE18E0"/>
    <w:rsid w:val="00CE1A06"/>
    <w:rsid w:val="00CE2510"/>
    <w:rsid w:val="00CE2E14"/>
    <w:rsid w:val="00CE30EB"/>
    <w:rsid w:val="00CE3160"/>
    <w:rsid w:val="00CE3460"/>
    <w:rsid w:val="00CE3696"/>
    <w:rsid w:val="00CE3A84"/>
    <w:rsid w:val="00CE3BB7"/>
    <w:rsid w:val="00CE3CF9"/>
    <w:rsid w:val="00CE54DD"/>
    <w:rsid w:val="00CE5B7E"/>
    <w:rsid w:val="00CE6AD8"/>
    <w:rsid w:val="00CE702A"/>
    <w:rsid w:val="00CE7C28"/>
    <w:rsid w:val="00CE7D0A"/>
    <w:rsid w:val="00CE7E79"/>
    <w:rsid w:val="00CF0223"/>
    <w:rsid w:val="00CF0391"/>
    <w:rsid w:val="00CF1327"/>
    <w:rsid w:val="00CF15C7"/>
    <w:rsid w:val="00CF2405"/>
    <w:rsid w:val="00CF28F8"/>
    <w:rsid w:val="00CF2A10"/>
    <w:rsid w:val="00CF30FE"/>
    <w:rsid w:val="00CF39F2"/>
    <w:rsid w:val="00CF3ED4"/>
    <w:rsid w:val="00CF445F"/>
    <w:rsid w:val="00CF44EE"/>
    <w:rsid w:val="00CF4958"/>
    <w:rsid w:val="00CF4A86"/>
    <w:rsid w:val="00CF4DE7"/>
    <w:rsid w:val="00CF5343"/>
    <w:rsid w:val="00CF5C2D"/>
    <w:rsid w:val="00CF5E4C"/>
    <w:rsid w:val="00CF623E"/>
    <w:rsid w:val="00CF631F"/>
    <w:rsid w:val="00CF638D"/>
    <w:rsid w:val="00CF6AF0"/>
    <w:rsid w:val="00CF6BE0"/>
    <w:rsid w:val="00CF6C76"/>
    <w:rsid w:val="00CF6CD8"/>
    <w:rsid w:val="00CF6D0E"/>
    <w:rsid w:val="00D00979"/>
    <w:rsid w:val="00D00E11"/>
    <w:rsid w:val="00D00F4D"/>
    <w:rsid w:val="00D0153C"/>
    <w:rsid w:val="00D018F8"/>
    <w:rsid w:val="00D01D05"/>
    <w:rsid w:val="00D02372"/>
    <w:rsid w:val="00D02501"/>
    <w:rsid w:val="00D0303D"/>
    <w:rsid w:val="00D030BC"/>
    <w:rsid w:val="00D037E7"/>
    <w:rsid w:val="00D03BB6"/>
    <w:rsid w:val="00D03C6B"/>
    <w:rsid w:val="00D03DA8"/>
    <w:rsid w:val="00D04AC5"/>
    <w:rsid w:val="00D062EC"/>
    <w:rsid w:val="00D06D05"/>
    <w:rsid w:val="00D06E50"/>
    <w:rsid w:val="00D07C84"/>
    <w:rsid w:val="00D1032C"/>
    <w:rsid w:val="00D1043E"/>
    <w:rsid w:val="00D11410"/>
    <w:rsid w:val="00D125AC"/>
    <w:rsid w:val="00D12917"/>
    <w:rsid w:val="00D13590"/>
    <w:rsid w:val="00D13BD9"/>
    <w:rsid w:val="00D14098"/>
    <w:rsid w:val="00D140BA"/>
    <w:rsid w:val="00D147B6"/>
    <w:rsid w:val="00D147FB"/>
    <w:rsid w:val="00D14B93"/>
    <w:rsid w:val="00D14BCA"/>
    <w:rsid w:val="00D14FD9"/>
    <w:rsid w:val="00D151E0"/>
    <w:rsid w:val="00D1538F"/>
    <w:rsid w:val="00D15C4B"/>
    <w:rsid w:val="00D1634A"/>
    <w:rsid w:val="00D16F5B"/>
    <w:rsid w:val="00D17328"/>
    <w:rsid w:val="00D17CB0"/>
    <w:rsid w:val="00D17CC8"/>
    <w:rsid w:val="00D17CDF"/>
    <w:rsid w:val="00D2052E"/>
    <w:rsid w:val="00D20633"/>
    <w:rsid w:val="00D20847"/>
    <w:rsid w:val="00D210ED"/>
    <w:rsid w:val="00D21478"/>
    <w:rsid w:val="00D21A84"/>
    <w:rsid w:val="00D21FE3"/>
    <w:rsid w:val="00D221EC"/>
    <w:rsid w:val="00D222B1"/>
    <w:rsid w:val="00D22366"/>
    <w:rsid w:val="00D22E1D"/>
    <w:rsid w:val="00D22E67"/>
    <w:rsid w:val="00D22E71"/>
    <w:rsid w:val="00D23055"/>
    <w:rsid w:val="00D23549"/>
    <w:rsid w:val="00D24722"/>
    <w:rsid w:val="00D2475F"/>
    <w:rsid w:val="00D24885"/>
    <w:rsid w:val="00D248C2"/>
    <w:rsid w:val="00D249FC"/>
    <w:rsid w:val="00D24C38"/>
    <w:rsid w:val="00D25AC9"/>
    <w:rsid w:val="00D262A1"/>
    <w:rsid w:val="00D264F7"/>
    <w:rsid w:val="00D26679"/>
    <w:rsid w:val="00D2699C"/>
    <w:rsid w:val="00D27411"/>
    <w:rsid w:val="00D3031C"/>
    <w:rsid w:val="00D3089F"/>
    <w:rsid w:val="00D30A5A"/>
    <w:rsid w:val="00D30D83"/>
    <w:rsid w:val="00D318F0"/>
    <w:rsid w:val="00D31924"/>
    <w:rsid w:val="00D3256E"/>
    <w:rsid w:val="00D32B4C"/>
    <w:rsid w:val="00D3346E"/>
    <w:rsid w:val="00D33EF0"/>
    <w:rsid w:val="00D3460D"/>
    <w:rsid w:val="00D351B5"/>
    <w:rsid w:val="00D355CF"/>
    <w:rsid w:val="00D35ACC"/>
    <w:rsid w:val="00D36078"/>
    <w:rsid w:val="00D36724"/>
    <w:rsid w:val="00D36A40"/>
    <w:rsid w:val="00D37382"/>
    <w:rsid w:val="00D378F5"/>
    <w:rsid w:val="00D40381"/>
    <w:rsid w:val="00D40939"/>
    <w:rsid w:val="00D41EC8"/>
    <w:rsid w:val="00D421D5"/>
    <w:rsid w:val="00D42692"/>
    <w:rsid w:val="00D42FEF"/>
    <w:rsid w:val="00D43D13"/>
    <w:rsid w:val="00D44F5A"/>
    <w:rsid w:val="00D450A7"/>
    <w:rsid w:val="00D45548"/>
    <w:rsid w:val="00D45F19"/>
    <w:rsid w:val="00D462E7"/>
    <w:rsid w:val="00D469A1"/>
    <w:rsid w:val="00D47728"/>
    <w:rsid w:val="00D477A7"/>
    <w:rsid w:val="00D47D6C"/>
    <w:rsid w:val="00D502C0"/>
    <w:rsid w:val="00D505AA"/>
    <w:rsid w:val="00D50689"/>
    <w:rsid w:val="00D50951"/>
    <w:rsid w:val="00D51B7D"/>
    <w:rsid w:val="00D51E10"/>
    <w:rsid w:val="00D52067"/>
    <w:rsid w:val="00D52332"/>
    <w:rsid w:val="00D5236B"/>
    <w:rsid w:val="00D52501"/>
    <w:rsid w:val="00D525C8"/>
    <w:rsid w:val="00D52AAF"/>
    <w:rsid w:val="00D52EF7"/>
    <w:rsid w:val="00D531BC"/>
    <w:rsid w:val="00D53A44"/>
    <w:rsid w:val="00D546DE"/>
    <w:rsid w:val="00D54773"/>
    <w:rsid w:val="00D54FF8"/>
    <w:rsid w:val="00D552FB"/>
    <w:rsid w:val="00D55415"/>
    <w:rsid w:val="00D55D85"/>
    <w:rsid w:val="00D56AF8"/>
    <w:rsid w:val="00D57073"/>
    <w:rsid w:val="00D574AC"/>
    <w:rsid w:val="00D57C76"/>
    <w:rsid w:val="00D601F4"/>
    <w:rsid w:val="00D60630"/>
    <w:rsid w:val="00D60973"/>
    <w:rsid w:val="00D60E00"/>
    <w:rsid w:val="00D61024"/>
    <w:rsid w:val="00D610AF"/>
    <w:rsid w:val="00D61CFB"/>
    <w:rsid w:val="00D62D66"/>
    <w:rsid w:val="00D62FF4"/>
    <w:rsid w:val="00D630AC"/>
    <w:rsid w:val="00D63295"/>
    <w:rsid w:val="00D6367C"/>
    <w:rsid w:val="00D63A02"/>
    <w:rsid w:val="00D63B6E"/>
    <w:rsid w:val="00D64519"/>
    <w:rsid w:val="00D658D9"/>
    <w:rsid w:val="00D658EF"/>
    <w:rsid w:val="00D65A8A"/>
    <w:rsid w:val="00D65F51"/>
    <w:rsid w:val="00D663F1"/>
    <w:rsid w:val="00D6746A"/>
    <w:rsid w:val="00D67FA7"/>
    <w:rsid w:val="00D7009F"/>
    <w:rsid w:val="00D702C8"/>
    <w:rsid w:val="00D70B49"/>
    <w:rsid w:val="00D70C27"/>
    <w:rsid w:val="00D70C68"/>
    <w:rsid w:val="00D70F90"/>
    <w:rsid w:val="00D71FCA"/>
    <w:rsid w:val="00D726F5"/>
    <w:rsid w:val="00D728F0"/>
    <w:rsid w:val="00D72C07"/>
    <w:rsid w:val="00D72DA4"/>
    <w:rsid w:val="00D72ED7"/>
    <w:rsid w:val="00D72F24"/>
    <w:rsid w:val="00D73406"/>
    <w:rsid w:val="00D73528"/>
    <w:rsid w:val="00D738A5"/>
    <w:rsid w:val="00D73D84"/>
    <w:rsid w:val="00D74015"/>
    <w:rsid w:val="00D743F5"/>
    <w:rsid w:val="00D7454F"/>
    <w:rsid w:val="00D74725"/>
    <w:rsid w:val="00D74D37"/>
    <w:rsid w:val="00D74D8D"/>
    <w:rsid w:val="00D75061"/>
    <w:rsid w:val="00D7519F"/>
    <w:rsid w:val="00D752D1"/>
    <w:rsid w:val="00D7581B"/>
    <w:rsid w:val="00D759AF"/>
    <w:rsid w:val="00D75A1D"/>
    <w:rsid w:val="00D764EC"/>
    <w:rsid w:val="00D769CD"/>
    <w:rsid w:val="00D76C2E"/>
    <w:rsid w:val="00D76C94"/>
    <w:rsid w:val="00D76D5C"/>
    <w:rsid w:val="00D76DE5"/>
    <w:rsid w:val="00D8026E"/>
    <w:rsid w:val="00D81247"/>
    <w:rsid w:val="00D81B43"/>
    <w:rsid w:val="00D81BBB"/>
    <w:rsid w:val="00D81EBB"/>
    <w:rsid w:val="00D81FFB"/>
    <w:rsid w:val="00D8212F"/>
    <w:rsid w:val="00D8255D"/>
    <w:rsid w:val="00D82FEF"/>
    <w:rsid w:val="00D834AE"/>
    <w:rsid w:val="00D834BC"/>
    <w:rsid w:val="00D83B04"/>
    <w:rsid w:val="00D83D13"/>
    <w:rsid w:val="00D83DEC"/>
    <w:rsid w:val="00D846AF"/>
    <w:rsid w:val="00D8495C"/>
    <w:rsid w:val="00D84C03"/>
    <w:rsid w:val="00D84FA2"/>
    <w:rsid w:val="00D855BD"/>
    <w:rsid w:val="00D85805"/>
    <w:rsid w:val="00D906B5"/>
    <w:rsid w:val="00D90C14"/>
    <w:rsid w:val="00D91A61"/>
    <w:rsid w:val="00D91CA4"/>
    <w:rsid w:val="00D91CED"/>
    <w:rsid w:val="00D91D99"/>
    <w:rsid w:val="00D92294"/>
    <w:rsid w:val="00D9237A"/>
    <w:rsid w:val="00D9239B"/>
    <w:rsid w:val="00D92565"/>
    <w:rsid w:val="00D926BE"/>
    <w:rsid w:val="00D9306F"/>
    <w:rsid w:val="00D93655"/>
    <w:rsid w:val="00D93783"/>
    <w:rsid w:val="00D93944"/>
    <w:rsid w:val="00D93D00"/>
    <w:rsid w:val="00D93DD5"/>
    <w:rsid w:val="00D94282"/>
    <w:rsid w:val="00D94D25"/>
    <w:rsid w:val="00D95183"/>
    <w:rsid w:val="00D957D2"/>
    <w:rsid w:val="00D9595C"/>
    <w:rsid w:val="00D95CB9"/>
    <w:rsid w:val="00D95EE8"/>
    <w:rsid w:val="00D96079"/>
    <w:rsid w:val="00D96663"/>
    <w:rsid w:val="00D96AFE"/>
    <w:rsid w:val="00D96C9C"/>
    <w:rsid w:val="00D9701C"/>
    <w:rsid w:val="00D97ED9"/>
    <w:rsid w:val="00DA00BE"/>
    <w:rsid w:val="00DA012E"/>
    <w:rsid w:val="00DA0AB5"/>
    <w:rsid w:val="00DA0D6B"/>
    <w:rsid w:val="00DA0E5B"/>
    <w:rsid w:val="00DA10D9"/>
    <w:rsid w:val="00DA1180"/>
    <w:rsid w:val="00DA127E"/>
    <w:rsid w:val="00DA16EE"/>
    <w:rsid w:val="00DA186C"/>
    <w:rsid w:val="00DA237D"/>
    <w:rsid w:val="00DA23F9"/>
    <w:rsid w:val="00DA2B8A"/>
    <w:rsid w:val="00DA4B5F"/>
    <w:rsid w:val="00DA4B61"/>
    <w:rsid w:val="00DA55F2"/>
    <w:rsid w:val="00DA590A"/>
    <w:rsid w:val="00DA6423"/>
    <w:rsid w:val="00DA644A"/>
    <w:rsid w:val="00DA704C"/>
    <w:rsid w:val="00DA708D"/>
    <w:rsid w:val="00DA7554"/>
    <w:rsid w:val="00DA78B9"/>
    <w:rsid w:val="00DA7D68"/>
    <w:rsid w:val="00DB05C2"/>
    <w:rsid w:val="00DB0740"/>
    <w:rsid w:val="00DB0D8A"/>
    <w:rsid w:val="00DB18D6"/>
    <w:rsid w:val="00DB19D8"/>
    <w:rsid w:val="00DB1B10"/>
    <w:rsid w:val="00DB2278"/>
    <w:rsid w:val="00DB2500"/>
    <w:rsid w:val="00DB27B5"/>
    <w:rsid w:val="00DB2AB2"/>
    <w:rsid w:val="00DB34EE"/>
    <w:rsid w:val="00DB383A"/>
    <w:rsid w:val="00DB3DC4"/>
    <w:rsid w:val="00DB40A8"/>
    <w:rsid w:val="00DB4148"/>
    <w:rsid w:val="00DB423C"/>
    <w:rsid w:val="00DB43C4"/>
    <w:rsid w:val="00DB4536"/>
    <w:rsid w:val="00DB46BA"/>
    <w:rsid w:val="00DB4E72"/>
    <w:rsid w:val="00DB5803"/>
    <w:rsid w:val="00DB66B1"/>
    <w:rsid w:val="00DB6A54"/>
    <w:rsid w:val="00DB6D05"/>
    <w:rsid w:val="00DB6D18"/>
    <w:rsid w:val="00DB7315"/>
    <w:rsid w:val="00DB733A"/>
    <w:rsid w:val="00DB7B6F"/>
    <w:rsid w:val="00DB7DA1"/>
    <w:rsid w:val="00DB7F20"/>
    <w:rsid w:val="00DC0322"/>
    <w:rsid w:val="00DC0591"/>
    <w:rsid w:val="00DC0664"/>
    <w:rsid w:val="00DC08A1"/>
    <w:rsid w:val="00DC10F2"/>
    <w:rsid w:val="00DC112E"/>
    <w:rsid w:val="00DC1608"/>
    <w:rsid w:val="00DC1649"/>
    <w:rsid w:val="00DC1C60"/>
    <w:rsid w:val="00DC2106"/>
    <w:rsid w:val="00DC26C2"/>
    <w:rsid w:val="00DC2B1B"/>
    <w:rsid w:val="00DC3058"/>
    <w:rsid w:val="00DC3549"/>
    <w:rsid w:val="00DC4795"/>
    <w:rsid w:val="00DC4ADF"/>
    <w:rsid w:val="00DC55D8"/>
    <w:rsid w:val="00DC5708"/>
    <w:rsid w:val="00DC5C6C"/>
    <w:rsid w:val="00DC5E2E"/>
    <w:rsid w:val="00DC5F49"/>
    <w:rsid w:val="00DC5FA4"/>
    <w:rsid w:val="00DC636D"/>
    <w:rsid w:val="00DC63D5"/>
    <w:rsid w:val="00DC701A"/>
    <w:rsid w:val="00DC76FB"/>
    <w:rsid w:val="00DC7736"/>
    <w:rsid w:val="00DC7D6B"/>
    <w:rsid w:val="00DD0558"/>
    <w:rsid w:val="00DD0895"/>
    <w:rsid w:val="00DD09B6"/>
    <w:rsid w:val="00DD1718"/>
    <w:rsid w:val="00DD17F5"/>
    <w:rsid w:val="00DD18AC"/>
    <w:rsid w:val="00DD1FC6"/>
    <w:rsid w:val="00DD1FF8"/>
    <w:rsid w:val="00DD2044"/>
    <w:rsid w:val="00DD3111"/>
    <w:rsid w:val="00DD3285"/>
    <w:rsid w:val="00DD3BAE"/>
    <w:rsid w:val="00DD3FB5"/>
    <w:rsid w:val="00DD401A"/>
    <w:rsid w:val="00DD4376"/>
    <w:rsid w:val="00DD4377"/>
    <w:rsid w:val="00DD4F23"/>
    <w:rsid w:val="00DD51D6"/>
    <w:rsid w:val="00DD5817"/>
    <w:rsid w:val="00DD5BDC"/>
    <w:rsid w:val="00DD5DC0"/>
    <w:rsid w:val="00DD686C"/>
    <w:rsid w:val="00DD6CAC"/>
    <w:rsid w:val="00DD6F97"/>
    <w:rsid w:val="00DD76E8"/>
    <w:rsid w:val="00DD79A8"/>
    <w:rsid w:val="00DE0024"/>
    <w:rsid w:val="00DE05C9"/>
    <w:rsid w:val="00DE067C"/>
    <w:rsid w:val="00DE1840"/>
    <w:rsid w:val="00DE1CF5"/>
    <w:rsid w:val="00DE1DE2"/>
    <w:rsid w:val="00DE2494"/>
    <w:rsid w:val="00DE2B22"/>
    <w:rsid w:val="00DE31EC"/>
    <w:rsid w:val="00DE3EF6"/>
    <w:rsid w:val="00DE3F06"/>
    <w:rsid w:val="00DE4314"/>
    <w:rsid w:val="00DE4E05"/>
    <w:rsid w:val="00DE4F14"/>
    <w:rsid w:val="00DE5594"/>
    <w:rsid w:val="00DE586F"/>
    <w:rsid w:val="00DE63C0"/>
    <w:rsid w:val="00DE66CF"/>
    <w:rsid w:val="00DE6F5F"/>
    <w:rsid w:val="00DE70E6"/>
    <w:rsid w:val="00DE7418"/>
    <w:rsid w:val="00DE768E"/>
    <w:rsid w:val="00DE7701"/>
    <w:rsid w:val="00DE7890"/>
    <w:rsid w:val="00DE7CF0"/>
    <w:rsid w:val="00DF0388"/>
    <w:rsid w:val="00DF078B"/>
    <w:rsid w:val="00DF0B0A"/>
    <w:rsid w:val="00DF0DF7"/>
    <w:rsid w:val="00DF101E"/>
    <w:rsid w:val="00DF107B"/>
    <w:rsid w:val="00DF2112"/>
    <w:rsid w:val="00DF2627"/>
    <w:rsid w:val="00DF2695"/>
    <w:rsid w:val="00DF2885"/>
    <w:rsid w:val="00DF2C4A"/>
    <w:rsid w:val="00DF34A3"/>
    <w:rsid w:val="00DF36C6"/>
    <w:rsid w:val="00DF37AE"/>
    <w:rsid w:val="00DF386B"/>
    <w:rsid w:val="00DF38A8"/>
    <w:rsid w:val="00DF3CC9"/>
    <w:rsid w:val="00DF4353"/>
    <w:rsid w:val="00DF522C"/>
    <w:rsid w:val="00DF5C47"/>
    <w:rsid w:val="00DF67E3"/>
    <w:rsid w:val="00DF697A"/>
    <w:rsid w:val="00DF6B9F"/>
    <w:rsid w:val="00DF6BD6"/>
    <w:rsid w:val="00DF7B86"/>
    <w:rsid w:val="00E00024"/>
    <w:rsid w:val="00E002BD"/>
    <w:rsid w:val="00E003FA"/>
    <w:rsid w:val="00E0040C"/>
    <w:rsid w:val="00E00AC5"/>
    <w:rsid w:val="00E00E4E"/>
    <w:rsid w:val="00E01079"/>
    <w:rsid w:val="00E0145C"/>
    <w:rsid w:val="00E0154D"/>
    <w:rsid w:val="00E016E1"/>
    <w:rsid w:val="00E0248C"/>
    <w:rsid w:val="00E02BE9"/>
    <w:rsid w:val="00E02C37"/>
    <w:rsid w:val="00E0389D"/>
    <w:rsid w:val="00E04370"/>
    <w:rsid w:val="00E045A6"/>
    <w:rsid w:val="00E04CEB"/>
    <w:rsid w:val="00E04D19"/>
    <w:rsid w:val="00E04DC5"/>
    <w:rsid w:val="00E05C65"/>
    <w:rsid w:val="00E0609F"/>
    <w:rsid w:val="00E068AF"/>
    <w:rsid w:val="00E068B8"/>
    <w:rsid w:val="00E06934"/>
    <w:rsid w:val="00E06C68"/>
    <w:rsid w:val="00E06E32"/>
    <w:rsid w:val="00E06E56"/>
    <w:rsid w:val="00E07674"/>
    <w:rsid w:val="00E0795B"/>
    <w:rsid w:val="00E07D5F"/>
    <w:rsid w:val="00E07F5D"/>
    <w:rsid w:val="00E10380"/>
    <w:rsid w:val="00E10639"/>
    <w:rsid w:val="00E10695"/>
    <w:rsid w:val="00E10E7C"/>
    <w:rsid w:val="00E1195F"/>
    <w:rsid w:val="00E11F60"/>
    <w:rsid w:val="00E1268D"/>
    <w:rsid w:val="00E12C6E"/>
    <w:rsid w:val="00E12DDB"/>
    <w:rsid w:val="00E132A2"/>
    <w:rsid w:val="00E13344"/>
    <w:rsid w:val="00E144A8"/>
    <w:rsid w:val="00E14795"/>
    <w:rsid w:val="00E14C96"/>
    <w:rsid w:val="00E14F17"/>
    <w:rsid w:val="00E161E7"/>
    <w:rsid w:val="00E1632B"/>
    <w:rsid w:val="00E163DB"/>
    <w:rsid w:val="00E16585"/>
    <w:rsid w:val="00E16F16"/>
    <w:rsid w:val="00E178AB"/>
    <w:rsid w:val="00E179EC"/>
    <w:rsid w:val="00E17CCE"/>
    <w:rsid w:val="00E20243"/>
    <w:rsid w:val="00E20550"/>
    <w:rsid w:val="00E20E43"/>
    <w:rsid w:val="00E21505"/>
    <w:rsid w:val="00E21BA8"/>
    <w:rsid w:val="00E22C68"/>
    <w:rsid w:val="00E22D40"/>
    <w:rsid w:val="00E2338D"/>
    <w:rsid w:val="00E23501"/>
    <w:rsid w:val="00E2407B"/>
    <w:rsid w:val="00E2463A"/>
    <w:rsid w:val="00E24BED"/>
    <w:rsid w:val="00E24FD8"/>
    <w:rsid w:val="00E25278"/>
    <w:rsid w:val="00E253C4"/>
    <w:rsid w:val="00E25596"/>
    <w:rsid w:val="00E25953"/>
    <w:rsid w:val="00E2598E"/>
    <w:rsid w:val="00E25ACD"/>
    <w:rsid w:val="00E266AE"/>
    <w:rsid w:val="00E268A2"/>
    <w:rsid w:val="00E26F3F"/>
    <w:rsid w:val="00E2705D"/>
    <w:rsid w:val="00E2708F"/>
    <w:rsid w:val="00E273C9"/>
    <w:rsid w:val="00E277CE"/>
    <w:rsid w:val="00E27D8A"/>
    <w:rsid w:val="00E27DBE"/>
    <w:rsid w:val="00E30460"/>
    <w:rsid w:val="00E312CB"/>
    <w:rsid w:val="00E31701"/>
    <w:rsid w:val="00E31B32"/>
    <w:rsid w:val="00E32285"/>
    <w:rsid w:val="00E32EB1"/>
    <w:rsid w:val="00E33185"/>
    <w:rsid w:val="00E33A42"/>
    <w:rsid w:val="00E33B21"/>
    <w:rsid w:val="00E33DF4"/>
    <w:rsid w:val="00E33E19"/>
    <w:rsid w:val="00E33FEC"/>
    <w:rsid w:val="00E34054"/>
    <w:rsid w:val="00E34367"/>
    <w:rsid w:val="00E34686"/>
    <w:rsid w:val="00E34C6A"/>
    <w:rsid w:val="00E35483"/>
    <w:rsid w:val="00E35492"/>
    <w:rsid w:val="00E35616"/>
    <w:rsid w:val="00E35BDA"/>
    <w:rsid w:val="00E35DE2"/>
    <w:rsid w:val="00E35FA4"/>
    <w:rsid w:val="00E35FAF"/>
    <w:rsid w:val="00E3738C"/>
    <w:rsid w:val="00E37747"/>
    <w:rsid w:val="00E37C24"/>
    <w:rsid w:val="00E37D9F"/>
    <w:rsid w:val="00E40290"/>
    <w:rsid w:val="00E403D5"/>
    <w:rsid w:val="00E40802"/>
    <w:rsid w:val="00E40C64"/>
    <w:rsid w:val="00E413AF"/>
    <w:rsid w:val="00E4151E"/>
    <w:rsid w:val="00E41938"/>
    <w:rsid w:val="00E429F8"/>
    <w:rsid w:val="00E4309E"/>
    <w:rsid w:val="00E43351"/>
    <w:rsid w:val="00E43426"/>
    <w:rsid w:val="00E43AAF"/>
    <w:rsid w:val="00E43ACA"/>
    <w:rsid w:val="00E43BA6"/>
    <w:rsid w:val="00E44A00"/>
    <w:rsid w:val="00E4562C"/>
    <w:rsid w:val="00E45E19"/>
    <w:rsid w:val="00E468F5"/>
    <w:rsid w:val="00E46C11"/>
    <w:rsid w:val="00E47BFE"/>
    <w:rsid w:val="00E501ED"/>
    <w:rsid w:val="00E50AA5"/>
    <w:rsid w:val="00E50B42"/>
    <w:rsid w:val="00E51BAF"/>
    <w:rsid w:val="00E51C12"/>
    <w:rsid w:val="00E51C72"/>
    <w:rsid w:val="00E51F58"/>
    <w:rsid w:val="00E528A4"/>
    <w:rsid w:val="00E529DD"/>
    <w:rsid w:val="00E52A63"/>
    <w:rsid w:val="00E5317C"/>
    <w:rsid w:val="00E53180"/>
    <w:rsid w:val="00E53255"/>
    <w:rsid w:val="00E536EC"/>
    <w:rsid w:val="00E53911"/>
    <w:rsid w:val="00E5393F"/>
    <w:rsid w:val="00E53CCF"/>
    <w:rsid w:val="00E53F8B"/>
    <w:rsid w:val="00E5432E"/>
    <w:rsid w:val="00E54697"/>
    <w:rsid w:val="00E54970"/>
    <w:rsid w:val="00E54C14"/>
    <w:rsid w:val="00E5500F"/>
    <w:rsid w:val="00E554B0"/>
    <w:rsid w:val="00E554B4"/>
    <w:rsid w:val="00E55772"/>
    <w:rsid w:val="00E557B3"/>
    <w:rsid w:val="00E5620D"/>
    <w:rsid w:val="00E56324"/>
    <w:rsid w:val="00E568E2"/>
    <w:rsid w:val="00E56A95"/>
    <w:rsid w:val="00E56EAF"/>
    <w:rsid w:val="00E5745E"/>
    <w:rsid w:val="00E60B12"/>
    <w:rsid w:val="00E60B40"/>
    <w:rsid w:val="00E61AA6"/>
    <w:rsid w:val="00E62259"/>
    <w:rsid w:val="00E6228F"/>
    <w:rsid w:val="00E626F3"/>
    <w:rsid w:val="00E62837"/>
    <w:rsid w:val="00E628F4"/>
    <w:rsid w:val="00E62C84"/>
    <w:rsid w:val="00E62CA0"/>
    <w:rsid w:val="00E63652"/>
    <w:rsid w:val="00E63893"/>
    <w:rsid w:val="00E63DF9"/>
    <w:rsid w:val="00E641C1"/>
    <w:rsid w:val="00E641E8"/>
    <w:rsid w:val="00E64B7F"/>
    <w:rsid w:val="00E64C72"/>
    <w:rsid w:val="00E64C90"/>
    <w:rsid w:val="00E6525E"/>
    <w:rsid w:val="00E653CD"/>
    <w:rsid w:val="00E653FD"/>
    <w:rsid w:val="00E65692"/>
    <w:rsid w:val="00E6613D"/>
    <w:rsid w:val="00E663AD"/>
    <w:rsid w:val="00E6662B"/>
    <w:rsid w:val="00E667E1"/>
    <w:rsid w:val="00E66BD7"/>
    <w:rsid w:val="00E67125"/>
    <w:rsid w:val="00E6739E"/>
    <w:rsid w:val="00E67884"/>
    <w:rsid w:val="00E67BBB"/>
    <w:rsid w:val="00E67CD1"/>
    <w:rsid w:val="00E70983"/>
    <w:rsid w:val="00E71397"/>
    <w:rsid w:val="00E7198B"/>
    <w:rsid w:val="00E728D8"/>
    <w:rsid w:val="00E72E0C"/>
    <w:rsid w:val="00E73175"/>
    <w:rsid w:val="00E7327D"/>
    <w:rsid w:val="00E7344A"/>
    <w:rsid w:val="00E735C5"/>
    <w:rsid w:val="00E73AEC"/>
    <w:rsid w:val="00E73E78"/>
    <w:rsid w:val="00E73F3F"/>
    <w:rsid w:val="00E74130"/>
    <w:rsid w:val="00E753C9"/>
    <w:rsid w:val="00E757EB"/>
    <w:rsid w:val="00E7582C"/>
    <w:rsid w:val="00E758C9"/>
    <w:rsid w:val="00E75F53"/>
    <w:rsid w:val="00E7615A"/>
    <w:rsid w:val="00E76198"/>
    <w:rsid w:val="00E76A71"/>
    <w:rsid w:val="00E8010F"/>
    <w:rsid w:val="00E801C4"/>
    <w:rsid w:val="00E80E94"/>
    <w:rsid w:val="00E81284"/>
    <w:rsid w:val="00E819C2"/>
    <w:rsid w:val="00E81BB8"/>
    <w:rsid w:val="00E823A5"/>
    <w:rsid w:val="00E8241D"/>
    <w:rsid w:val="00E8251C"/>
    <w:rsid w:val="00E82851"/>
    <w:rsid w:val="00E82AFA"/>
    <w:rsid w:val="00E82FD8"/>
    <w:rsid w:val="00E836D6"/>
    <w:rsid w:val="00E83786"/>
    <w:rsid w:val="00E843FF"/>
    <w:rsid w:val="00E84642"/>
    <w:rsid w:val="00E847BE"/>
    <w:rsid w:val="00E84F40"/>
    <w:rsid w:val="00E85618"/>
    <w:rsid w:val="00E85C9A"/>
    <w:rsid w:val="00E86035"/>
    <w:rsid w:val="00E8607D"/>
    <w:rsid w:val="00E8634F"/>
    <w:rsid w:val="00E864D0"/>
    <w:rsid w:val="00E8730A"/>
    <w:rsid w:val="00E87312"/>
    <w:rsid w:val="00E87690"/>
    <w:rsid w:val="00E879E2"/>
    <w:rsid w:val="00E90296"/>
    <w:rsid w:val="00E905AB"/>
    <w:rsid w:val="00E90952"/>
    <w:rsid w:val="00E90DDC"/>
    <w:rsid w:val="00E913C5"/>
    <w:rsid w:val="00E913D1"/>
    <w:rsid w:val="00E91832"/>
    <w:rsid w:val="00E920E5"/>
    <w:rsid w:val="00E921B2"/>
    <w:rsid w:val="00E923B7"/>
    <w:rsid w:val="00E92537"/>
    <w:rsid w:val="00E925FF"/>
    <w:rsid w:val="00E92663"/>
    <w:rsid w:val="00E92A36"/>
    <w:rsid w:val="00E92CD3"/>
    <w:rsid w:val="00E93725"/>
    <w:rsid w:val="00E939E6"/>
    <w:rsid w:val="00E94B24"/>
    <w:rsid w:val="00E94F60"/>
    <w:rsid w:val="00E9595B"/>
    <w:rsid w:val="00E95CC2"/>
    <w:rsid w:val="00E95FCA"/>
    <w:rsid w:val="00E96281"/>
    <w:rsid w:val="00E96AD6"/>
    <w:rsid w:val="00E96AF9"/>
    <w:rsid w:val="00E96C9F"/>
    <w:rsid w:val="00E96F78"/>
    <w:rsid w:val="00E9704D"/>
    <w:rsid w:val="00E971CB"/>
    <w:rsid w:val="00E97649"/>
    <w:rsid w:val="00E977E8"/>
    <w:rsid w:val="00E97C15"/>
    <w:rsid w:val="00E97DB3"/>
    <w:rsid w:val="00EA00F8"/>
    <w:rsid w:val="00EA06CC"/>
    <w:rsid w:val="00EA0DC6"/>
    <w:rsid w:val="00EA13A5"/>
    <w:rsid w:val="00EA1784"/>
    <w:rsid w:val="00EA20A4"/>
    <w:rsid w:val="00EA2458"/>
    <w:rsid w:val="00EA2709"/>
    <w:rsid w:val="00EA3105"/>
    <w:rsid w:val="00EA31D2"/>
    <w:rsid w:val="00EA46DD"/>
    <w:rsid w:val="00EA4764"/>
    <w:rsid w:val="00EA4C61"/>
    <w:rsid w:val="00EA5550"/>
    <w:rsid w:val="00EA58F7"/>
    <w:rsid w:val="00EA661E"/>
    <w:rsid w:val="00EA6CC4"/>
    <w:rsid w:val="00EA7033"/>
    <w:rsid w:val="00EA721E"/>
    <w:rsid w:val="00EA77D8"/>
    <w:rsid w:val="00EA7B4D"/>
    <w:rsid w:val="00EA7C52"/>
    <w:rsid w:val="00EB058A"/>
    <w:rsid w:val="00EB0E6C"/>
    <w:rsid w:val="00EB0EF2"/>
    <w:rsid w:val="00EB1DC4"/>
    <w:rsid w:val="00EB1F3D"/>
    <w:rsid w:val="00EB220E"/>
    <w:rsid w:val="00EB311C"/>
    <w:rsid w:val="00EB3195"/>
    <w:rsid w:val="00EB33E5"/>
    <w:rsid w:val="00EB3445"/>
    <w:rsid w:val="00EB3662"/>
    <w:rsid w:val="00EB429A"/>
    <w:rsid w:val="00EB54A5"/>
    <w:rsid w:val="00EB5784"/>
    <w:rsid w:val="00EB5E8D"/>
    <w:rsid w:val="00EB67B4"/>
    <w:rsid w:val="00EB6BB0"/>
    <w:rsid w:val="00EB6BC5"/>
    <w:rsid w:val="00EB6BEC"/>
    <w:rsid w:val="00EB6EA3"/>
    <w:rsid w:val="00EB6EEA"/>
    <w:rsid w:val="00EB7110"/>
    <w:rsid w:val="00EB7255"/>
    <w:rsid w:val="00EB74BD"/>
    <w:rsid w:val="00EB7B4F"/>
    <w:rsid w:val="00EB7DD2"/>
    <w:rsid w:val="00EC02CE"/>
    <w:rsid w:val="00EC093F"/>
    <w:rsid w:val="00EC0B9B"/>
    <w:rsid w:val="00EC157A"/>
    <w:rsid w:val="00EC1D8B"/>
    <w:rsid w:val="00EC1ED2"/>
    <w:rsid w:val="00EC22F1"/>
    <w:rsid w:val="00EC284C"/>
    <w:rsid w:val="00EC3388"/>
    <w:rsid w:val="00EC3991"/>
    <w:rsid w:val="00EC3B8F"/>
    <w:rsid w:val="00EC4269"/>
    <w:rsid w:val="00EC462B"/>
    <w:rsid w:val="00EC46F6"/>
    <w:rsid w:val="00EC46FD"/>
    <w:rsid w:val="00EC47FB"/>
    <w:rsid w:val="00EC4870"/>
    <w:rsid w:val="00EC49FB"/>
    <w:rsid w:val="00EC4A4A"/>
    <w:rsid w:val="00EC4BCF"/>
    <w:rsid w:val="00EC4CFB"/>
    <w:rsid w:val="00EC562F"/>
    <w:rsid w:val="00EC5B3C"/>
    <w:rsid w:val="00EC5D6F"/>
    <w:rsid w:val="00EC6501"/>
    <w:rsid w:val="00EC6515"/>
    <w:rsid w:val="00EC7043"/>
    <w:rsid w:val="00EC7418"/>
    <w:rsid w:val="00EC77A5"/>
    <w:rsid w:val="00EC7AE1"/>
    <w:rsid w:val="00ED00F0"/>
    <w:rsid w:val="00ED02B1"/>
    <w:rsid w:val="00ED0E34"/>
    <w:rsid w:val="00ED1B61"/>
    <w:rsid w:val="00ED1C28"/>
    <w:rsid w:val="00ED20D5"/>
    <w:rsid w:val="00ED3529"/>
    <w:rsid w:val="00ED4228"/>
    <w:rsid w:val="00ED44F4"/>
    <w:rsid w:val="00ED4C9F"/>
    <w:rsid w:val="00ED4CF4"/>
    <w:rsid w:val="00ED5011"/>
    <w:rsid w:val="00ED514A"/>
    <w:rsid w:val="00ED5227"/>
    <w:rsid w:val="00ED5721"/>
    <w:rsid w:val="00ED597C"/>
    <w:rsid w:val="00ED5B03"/>
    <w:rsid w:val="00ED5C18"/>
    <w:rsid w:val="00ED5F78"/>
    <w:rsid w:val="00ED68E1"/>
    <w:rsid w:val="00ED6A96"/>
    <w:rsid w:val="00ED7083"/>
    <w:rsid w:val="00ED7545"/>
    <w:rsid w:val="00ED7F53"/>
    <w:rsid w:val="00EE1E74"/>
    <w:rsid w:val="00EE21EB"/>
    <w:rsid w:val="00EE2DE3"/>
    <w:rsid w:val="00EE308D"/>
    <w:rsid w:val="00EE3B84"/>
    <w:rsid w:val="00EE3BA8"/>
    <w:rsid w:val="00EE47E7"/>
    <w:rsid w:val="00EE5A18"/>
    <w:rsid w:val="00EE5A53"/>
    <w:rsid w:val="00EE6FE5"/>
    <w:rsid w:val="00EE724F"/>
    <w:rsid w:val="00EE7A83"/>
    <w:rsid w:val="00EF0375"/>
    <w:rsid w:val="00EF0769"/>
    <w:rsid w:val="00EF082D"/>
    <w:rsid w:val="00EF0855"/>
    <w:rsid w:val="00EF130F"/>
    <w:rsid w:val="00EF2234"/>
    <w:rsid w:val="00EF23AC"/>
    <w:rsid w:val="00EF2F5A"/>
    <w:rsid w:val="00EF3971"/>
    <w:rsid w:val="00EF3B98"/>
    <w:rsid w:val="00EF4110"/>
    <w:rsid w:val="00EF41F3"/>
    <w:rsid w:val="00EF48EE"/>
    <w:rsid w:val="00EF4D0D"/>
    <w:rsid w:val="00EF5096"/>
    <w:rsid w:val="00EF5514"/>
    <w:rsid w:val="00EF5BC8"/>
    <w:rsid w:val="00EF5EDF"/>
    <w:rsid w:val="00EF6664"/>
    <w:rsid w:val="00EF66BD"/>
    <w:rsid w:val="00EF6767"/>
    <w:rsid w:val="00EF7D60"/>
    <w:rsid w:val="00EF7E29"/>
    <w:rsid w:val="00F0010A"/>
    <w:rsid w:val="00F0061F"/>
    <w:rsid w:val="00F0070C"/>
    <w:rsid w:val="00F00A49"/>
    <w:rsid w:val="00F00BA7"/>
    <w:rsid w:val="00F00E0C"/>
    <w:rsid w:val="00F01001"/>
    <w:rsid w:val="00F0159C"/>
    <w:rsid w:val="00F01700"/>
    <w:rsid w:val="00F01A91"/>
    <w:rsid w:val="00F024F8"/>
    <w:rsid w:val="00F02693"/>
    <w:rsid w:val="00F02709"/>
    <w:rsid w:val="00F02D1A"/>
    <w:rsid w:val="00F03408"/>
    <w:rsid w:val="00F034F8"/>
    <w:rsid w:val="00F06BB0"/>
    <w:rsid w:val="00F070FE"/>
    <w:rsid w:val="00F0715D"/>
    <w:rsid w:val="00F07317"/>
    <w:rsid w:val="00F07483"/>
    <w:rsid w:val="00F074DA"/>
    <w:rsid w:val="00F07D40"/>
    <w:rsid w:val="00F07F26"/>
    <w:rsid w:val="00F104D4"/>
    <w:rsid w:val="00F10C1C"/>
    <w:rsid w:val="00F10E8B"/>
    <w:rsid w:val="00F10F89"/>
    <w:rsid w:val="00F11221"/>
    <w:rsid w:val="00F113D2"/>
    <w:rsid w:val="00F11651"/>
    <w:rsid w:val="00F12400"/>
    <w:rsid w:val="00F1242F"/>
    <w:rsid w:val="00F12B3D"/>
    <w:rsid w:val="00F136AB"/>
    <w:rsid w:val="00F13DFD"/>
    <w:rsid w:val="00F1424C"/>
    <w:rsid w:val="00F1523C"/>
    <w:rsid w:val="00F15525"/>
    <w:rsid w:val="00F1566A"/>
    <w:rsid w:val="00F15981"/>
    <w:rsid w:val="00F159FB"/>
    <w:rsid w:val="00F15B0A"/>
    <w:rsid w:val="00F15EDC"/>
    <w:rsid w:val="00F16309"/>
    <w:rsid w:val="00F163A4"/>
    <w:rsid w:val="00F1684A"/>
    <w:rsid w:val="00F17799"/>
    <w:rsid w:val="00F17931"/>
    <w:rsid w:val="00F210EF"/>
    <w:rsid w:val="00F21419"/>
    <w:rsid w:val="00F214F8"/>
    <w:rsid w:val="00F2185A"/>
    <w:rsid w:val="00F21873"/>
    <w:rsid w:val="00F21D85"/>
    <w:rsid w:val="00F22035"/>
    <w:rsid w:val="00F221C2"/>
    <w:rsid w:val="00F222BE"/>
    <w:rsid w:val="00F232FE"/>
    <w:rsid w:val="00F237AC"/>
    <w:rsid w:val="00F23E10"/>
    <w:rsid w:val="00F2418C"/>
    <w:rsid w:val="00F2471B"/>
    <w:rsid w:val="00F24ACF"/>
    <w:rsid w:val="00F24E1D"/>
    <w:rsid w:val="00F250E6"/>
    <w:rsid w:val="00F255D4"/>
    <w:rsid w:val="00F25B2C"/>
    <w:rsid w:val="00F2601D"/>
    <w:rsid w:val="00F26516"/>
    <w:rsid w:val="00F266F0"/>
    <w:rsid w:val="00F26CD1"/>
    <w:rsid w:val="00F26E52"/>
    <w:rsid w:val="00F276BA"/>
    <w:rsid w:val="00F27862"/>
    <w:rsid w:val="00F27993"/>
    <w:rsid w:val="00F27C81"/>
    <w:rsid w:val="00F27DAA"/>
    <w:rsid w:val="00F27EF2"/>
    <w:rsid w:val="00F3082F"/>
    <w:rsid w:val="00F30E36"/>
    <w:rsid w:val="00F30F6B"/>
    <w:rsid w:val="00F31586"/>
    <w:rsid w:val="00F31785"/>
    <w:rsid w:val="00F31B48"/>
    <w:rsid w:val="00F31CF1"/>
    <w:rsid w:val="00F31D1E"/>
    <w:rsid w:val="00F31E8D"/>
    <w:rsid w:val="00F3221E"/>
    <w:rsid w:val="00F32917"/>
    <w:rsid w:val="00F32E0E"/>
    <w:rsid w:val="00F32EAB"/>
    <w:rsid w:val="00F34366"/>
    <w:rsid w:val="00F34576"/>
    <w:rsid w:val="00F34973"/>
    <w:rsid w:val="00F350BD"/>
    <w:rsid w:val="00F3517A"/>
    <w:rsid w:val="00F355C8"/>
    <w:rsid w:val="00F3730A"/>
    <w:rsid w:val="00F37F13"/>
    <w:rsid w:val="00F37F3B"/>
    <w:rsid w:val="00F40078"/>
    <w:rsid w:val="00F40522"/>
    <w:rsid w:val="00F4189B"/>
    <w:rsid w:val="00F420F8"/>
    <w:rsid w:val="00F4373C"/>
    <w:rsid w:val="00F43B13"/>
    <w:rsid w:val="00F43FC4"/>
    <w:rsid w:val="00F450BC"/>
    <w:rsid w:val="00F45630"/>
    <w:rsid w:val="00F45AF6"/>
    <w:rsid w:val="00F460F6"/>
    <w:rsid w:val="00F468C1"/>
    <w:rsid w:val="00F4756B"/>
    <w:rsid w:val="00F5033D"/>
    <w:rsid w:val="00F5038F"/>
    <w:rsid w:val="00F50584"/>
    <w:rsid w:val="00F5082A"/>
    <w:rsid w:val="00F509AB"/>
    <w:rsid w:val="00F5123B"/>
    <w:rsid w:val="00F517D6"/>
    <w:rsid w:val="00F51B95"/>
    <w:rsid w:val="00F52188"/>
    <w:rsid w:val="00F52AA1"/>
    <w:rsid w:val="00F52DD9"/>
    <w:rsid w:val="00F53148"/>
    <w:rsid w:val="00F53400"/>
    <w:rsid w:val="00F5349D"/>
    <w:rsid w:val="00F53691"/>
    <w:rsid w:val="00F5372F"/>
    <w:rsid w:val="00F53758"/>
    <w:rsid w:val="00F53839"/>
    <w:rsid w:val="00F53CF3"/>
    <w:rsid w:val="00F53DBC"/>
    <w:rsid w:val="00F53E76"/>
    <w:rsid w:val="00F54197"/>
    <w:rsid w:val="00F54895"/>
    <w:rsid w:val="00F5506A"/>
    <w:rsid w:val="00F550F3"/>
    <w:rsid w:val="00F55211"/>
    <w:rsid w:val="00F55C84"/>
    <w:rsid w:val="00F56468"/>
    <w:rsid w:val="00F60292"/>
    <w:rsid w:val="00F6129E"/>
    <w:rsid w:val="00F616F5"/>
    <w:rsid w:val="00F6223A"/>
    <w:rsid w:val="00F62B41"/>
    <w:rsid w:val="00F62EAE"/>
    <w:rsid w:val="00F6304A"/>
    <w:rsid w:val="00F63474"/>
    <w:rsid w:val="00F63671"/>
    <w:rsid w:val="00F646E1"/>
    <w:rsid w:val="00F64ED4"/>
    <w:rsid w:val="00F65246"/>
    <w:rsid w:val="00F6638F"/>
    <w:rsid w:val="00F66582"/>
    <w:rsid w:val="00F670C6"/>
    <w:rsid w:val="00F67E88"/>
    <w:rsid w:val="00F70814"/>
    <w:rsid w:val="00F71AC6"/>
    <w:rsid w:val="00F71E61"/>
    <w:rsid w:val="00F721CC"/>
    <w:rsid w:val="00F721D7"/>
    <w:rsid w:val="00F724CF"/>
    <w:rsid w:val="00F726F5"/>
    <w:rsid w:val="00F72996"/>
    <w:rsid w:val="00F72EE7"/>
    <w:rsid w:val="00F73745"/>
    <w:rsid w:val="00F73AFC"/>
    <w:rsid w:val="00F746F2"/>
    <w:rsid w:val="00F7483D"/>
    <w:rsid w:val="00F74B35"/>
    <w:rsid w:val="00F7510E"/>
    <w:rsid w:val="00F751DA"/>
    <w:rsid w:val="00F751F7"/>
    <w:rsid w:val="00F75806"/>
    <w:rsid w:val="00F75BD2"/>
    <w:rsid w:val="00F75BDA"/>
    <w:rsid w:val="00F75C08"/>
    <w:rsid w:val="00F76D60"/>
    <w:rsid w:val="00F76DCA"/>
    <w:rsid w:val="00F7744C"/>
    <w:rsid w:val="00F774B1"/>
    <w:rsid w:val="00F814A2"/>
    <w:rsid w:val="00F8153B"/>
    <w:rsid w:val="00F8155F"/>
    <w:rsid w:val="00F81752"/>
    <w:rsid w:val="00F81A65"/>
    <w:rsid w:val="00F81BE4"/>
    <w:rsid w:val="00F81BFC"/>
    <w:rsid w:val="00F81FF3"/>
    <w:rsid w:val="00F82242"/>
    <w:rsid w:val="00F82BCD"/>
    <w:rsid w:val="00F8317E"/>
    <w:rsid w:val="00F834B3"/>
    <w:rsid w:val="00F838F9"/>
    <w:rsid w:val="00F84209"/>
    <w:rsid w:val="00F84246"/>
    <w:rsid w:val="00F845AE"/>
    <w:rsid w:val="00F845B3"/>
    <w:rsid w:val="00F852EF"/>
    <w:rsid w:val="00F865D8"/>
    <w:rsid w:val="00F867A7"/>
    <w:rsid w:val="00F86CFF"/>
    <w:rsid w:val="00F86E57"/>
    <w:rsid w:val="00F86E5A"/>
    <w:rsid w:val="00F86F68"/>
    <w:rsid w:val="00F872CB"/>
    <w:rsid w:val="00F87B96"/>
    <w:rsid w:val="00F90359"/>
    <w:rsid w:val="00F90B71"/>
    <w:rsid w:val="00F917C3"/>
    <w:rsid w:val="00F91D0F"/>
    <w:rsid w:val="00F91D39"/>
    <w:rsid w:val="00F91DC4"/>
    <w:rsid w:val="00F91F9E"/>
    <w:rsid w:val="00F9244B"/>
    <w:rsid w:val="00F92C6E"/>
    <w:rsid w:val="00F92CDA"/>
    <w:rsid w:val="00F938AB"/>
    <w:rsid w:val="00F93A2E"/>
    <w:rsid w:val="00F93F64"/>
    <w:rsid w:val="00F94008"/>
    <w:rsid w:val="00F94406"/>
    <w:rsid w:val="00F95A4F"/>
    <w:rsid w:val="00F9601E"/>
    <w:rsid w:val="00F963C4"/>
    <w:rsid w:val="00F96C7F"/>
    <w:rsid w:val="00F96F81"/>
    <w:rsid w:val="00F9705D"/>
    <w:rsid w:val="00F9706C"/>
    <w:rsid w:val="00F97079"/>
    <w:rsid w:val="00F97C09"/>
    <w:rsid w:val="00FA02EE"/>
    <w:rsid w:val="00FA0AD7"/>
    <w:rsid w:val="00FA0D0B"/>
    <w:rsid w:val="00FA0E66"/>
    <w:rsid w:val="00FA10BD"/>
    <w:rsid w:val="00FA239E"/>
    <w:rsid w:val="00FA2420"/>
    <w:rsid w:val="00FA2758"/>
    <w:rsid w:val="00FA2A94"/>
    <w:rsid w:val="00FA2B61"/>
    <w:rsid w:val="00FA2D8E"/>
    <w:rsid w:val="00FA3930"/>
    <w:rsid w:val="00FA4527"/>
    <w:rsid w:val="00FA455E"/>
    <w:rsid w:val="00FA456F"/>
    <w:rsid w:val="00FA4581"/>
    <w:rsid w:val="00FA4853"/>
    <w:rsid w:val="00FA4ECB"/>
    <w:rsid w:val="00FA51F4"/>
    <w:rsid w:val="00FA5C60"/>
    <w:rsid w:val="00FA613B"/>
    <w:rsid w:val="00FA620C"/>
    <w:rsid w:val="00FA660E"/>
    <w:rsid w:val="00FA678F"/>
    <w:rsid w:val="00FA71A0"/>
    <w:rsid w:val="00FA7504"/>
    <w:rsid w:val="00FA7585"/>
    <w:rsid w:val="00FB0181"/>
    <w:rsid w:val="00FB05EE"/>
    <w:rsid w:val="00FB142D"/>
    <w:rsid w:val="00FB16CD"/>
    <w:rsid w:val="00FB1C52"/>
    <w:rsid w:val="00FB1E73"/>
    <w:rsid w:val="00FB257F"/>
    <w:rsid w:val="00FB2899"/>
    <w:rsid w:val="00FB3090"/>
    <w:rsid w:val="00FB30D9"/>
    <w:rsid w:val="00FB30ED"/>
    <w:rsid w:val="00FB3D72"/>
    <w:rsid w:val="00FB473A"/>
    <w:rsid w:val="00FB4BC9"/>
    <w:rsid w:val="00FB509F"/>
    <w:rsid w:val="00FB649C"/>
    <w:rsid w:val="00FB67A8"/>
    <w:rsid w:val="00FB79B0"/>
    <w:rsid w:val="00FB7D57"/>
    <w:rsid w:val="00FC0232"/>
    <w:rsid w:val="00FC0518"/>
    <w:rsid w:val="00FC0ABC"/>
    <w:rsid w:val="00FC0CD1"/>
    <w:rsid w:val="00FC0EA4"/>
    <w:rsid w:val="00FC0FFD"/>
    <w:rsid w:val="00FC1060"/>
    <w:rsid w:val="00FC1D34"/>
    <w:rsid w:val="00FC21AD"/>
    <w:rsid w:val="00FC26CB"/>
    <w:rsid w:val="00FC2AAD"/>
    <w:rsid w:val="00FC2C19"/>
    <w:rsid w:val="00FC2C78"/>
    <w:rsid w:val="00FC2E6D"/>
    <w:rsid w:val="00FC3375"/>
    <w:rsid w:val="00FC384B"/>
    <w:rsid w:val="00FC3986"/>
    <w:rsid w:val="00FC39CB"/>
    <w:rsid w:val="00FC4861"/>
    <w:rsid w:val="00FC5C90"/>
    <w:rsid w:val="00FC5FE3"/>
    <w:rsid w:val="00FC664E"/>
    <w:rsid w:val="00FC6959"/>
    <w:rsid w:val="00FC6A2D"/>
    <w:rsid w:val="00FC76C7"/>
    <w:rsid w:val="00FC79B3"/>
    <w:rsid w:val="00FC7A4E"/>
    <w:rsid w:val="00FC7C63"/>
    <w:rsid w:val="00FD0274"/>
    <w:rsid w:val="00FD0389"/>
    <w:rsid w:val="00FD070F"/>
    <w:rsid w:val="00FD0740"/>
    <w:rsid w:val="00FD1130"/>
    <w:rsid w:val="00FD1D02"/>
    <w:rsid w:val="00FD20A7"/>
    <w:rsid w:val="00FD26E1"/>
    <w:rsid w:val="00FD306D"/>
    <w:rsid w:val="00FD3B12"/>
    <w:rsid w:val="00FD3EB2"/>
    <w:rsid w:val="00FD45DF"/>
    <w:rsid w:val="00FD545C"/>
    <w:rsid w:val="00FD594E"/>
    <w:rsid w:val="00FD5CFD"/>
    <w:rsid w:val="00FD5DFE"/>
    <w:rsid w:val="00FD6565"/>
    <w:rsid w:val="00FD6AD0"/>
    <w:rsid w:val="00FD6F1C"/>
    <w:rsid w:val="00FD70DD"/>
    <w:rsid w:val="00FD7317"/>
    <w:rsid w:val="00FD793B"/>
    <w:rsid w:val="00FD7CBB"/>
    <w:rsid w:val="00FE11F2"/>
    <w:rsid w:val="00FE156F"/>
    <w:rsid w:val="00FE1DF0"/>
    <w:rsid w:val="00FE207D"/>
    <w:rsid w:val="00FE2405"/>
    <w:rsid w:val="00FE280B"/>
    <w:rsid w:val="00FE28A3"/>
    <w:rsid w:val="00FE2B72"/>
    <w:rsid w:val="00FE2EFF"/>
    <w:rsid w:val="00FE3A87"/>
    <w:rsid w:val="00FE3BF1"/>
    <w:rsid w:val="00FE3C6B"/>
    <w:rsid w:val="00FE40C3"/>
    <w:rsid w:val="00FE40C5"/>
    <w:rsid w:val="00FE435B"/>
    <w:rsid w:val="00FE4CF2"/>
    <w:rsid w:val="00FE5826"/>
    <w:rsid w:val="00FE5EF4"/>
    <w:rsid w:val="00FE64C4"/>
    <w:rsid w:val="00FE6F0B"/>
    <w:rsid w:val="00FE7AF5"/>
    <w:rsid w:val="00FE7FF8"/>
    <w:rsid w:val="00FF15B6"/>
    <w:rsid w:val="00FF1B4B"/>
    <w:rsid w:val="00FF289D"/>
    <w:rsid w:val="00FF292B"/>
    <w:rsid w:val="00FF2F6A"/>
    <w:rsid w:val="00FF33A9"/>
    <w:rsid w:val="00FF3E1A"/>
    <w:rsid w:val="00FF4394"/>
    <w:rsid w:val="00FF4397"/>
    <w:rsid w:val="00FF44ED"/>
    <w:rsid w:val="00FF47E7"/>
    <w:rsid w:val="00FF4F40"/>
    <w:rsid w:val="00FF572D"/>
    <w:rsid w:val="00FF5DAD"/>
    <w:rsid w:val="00FF5E59"/>
    <w:rsid w:val="00FF6A36"/>
    <w:rsid w:val="00FF704D"/>
    <w:rsid w:val="0106816D"/>
    <w:rsid w:val="01202B62"/>
    <w:rsid w:val="012E0881"/>
    <w:rsid w:val="014281F0"/>
    <w:rsid w:val="01443B86"/>
    <w:rsid w:val="01AFCC6B"/>
    <w:rsid w:val="01D21ADB"/>
    <w:rsid w:val="02228169"/>
    <w:rsid w:val="022869B2"/>
    <w:rsid w:val="027234C8"/>
    <w:rsid w:val="027E7D74"/>
    <w:rsid w:val="028B8522"/>
    <w:rsid w:val="0295091B"/>
    <w:rsid w:val="02B69A3A"/>
    <w:rsid w:val="02D74A0D"/>
    <w:rsid w:val="02FD6B0C"/>
    <w:rsid w:val="03138A96"/>
    <w:rsid w:val="031EB8CF"/>
    <w:rsid w:val="03395045"/>
    <w:rsid w:val="03437D77"/>
    <w:rsid w:val="0398F526"/>
    <w:rsid w:val="0400398A"/>
    <w:rsid w:val="04077F5F"/>
    <w:rsid w:val="0429D370"/>
    <w:rsid w:val="042DAEA0"/>
    <w:rsid w:val="045F7C1A"/>
    <w:rsid w:val="0466138B"/>
    <w:rsid w:val="04A797EF"/>
    <w:rsid w:val="04B0CBF6"/>
    <w:rsid w:val="04C00B99"/>
    <w:rsid w:val="05172140"/>
    <w:rsid w:val="0540D0B9"/>
    <w:rsid w:val="05993826"/>
    <w:rsid w:val="05BE3DD5"/>
    <w:rsid w:val="05C427BC"/>
    <w:rsid w:val="05D4B399"/>
    <w:rsid w:val="05D66687"/>
    <w:rsid w:val="05EA0C37"/>
    <w:rsid w:val="05F9A8CC"/>
    <w:rsid w:val="06017B15"/>
    <w:rsid w:val="0618C7CA"/>
    <w:rsid w:val="064D83B0"/>
    <w:rsid w:val="06536CDF"/>
    <w:rsid w:val="0663128D"/>
    <w:rsid w:val="06664453"/>
    <w:rsid w:val="06667724"/>
    <w:rsid w:val="0672DB43"/>
    <w:rsid w:val="06992325"/>
    <w:rsid w:val="06E0BCC7"/>
    <w:rsid w:val="06E251F0"/>
    <w:rsid w:val="070189D8"/>
    <w:rsid w:val="070C0BBA"/>
    <w:rsid w:val="073A1D57"/>
    <w:rsid w:val="0746762F"/>
    <w:rsid w:val="07660218"/>
    <w:rsid w:val="0784FF94"/>
    <w:rsid w:val="07861F87"/>
    <w:rsid w:val="079011D5"/>
    <w:rsid w:val="07B95229"/>
    <w:rsid w:val="07FD7B81"/>
    <w:rsid w:val="0805B2C1"/>
    <w:rsid w:val="0866BFC5"/>
    <w:rsid w:val="08673D79"/>
    <w:rsid w:val="0873CD2F"/>
    <w:rsid w:val="0875C413"/>
    <w:rsid w:val="087F4FAF"/>
    <w:rsid w:val="0890DECD"/>
    <w:rsid w:val="08B56739"/>
    <w:rsid w:val="08E552AA"/>
    <w:rsid w:val="08FD29F7"/>
    <w:rsid w:val="08FE9364"/>
    <w:rsid w:val="08FF2FD8"/>
    <w:rsid w:val="09189232"/>
    <w:rsid w:val="091B3CB5"/>
    <w:rsid w:val="0929807F"/>
    <w:rsid w:val="0936CD04"/>
    <w:rsid w:val="0939709B"/>
    <w:rsid w:val="094741B2"/>
    <w:rsid w:val="0960A443"/>
    <w:rsid w:val="096C4C52"/>
    <w:rsid w:val="0982B5EF"/>
    <w:rsid w:val="099CE50B"/>
    <w:rsid w:val="09ABF8BE"/>
    <w:rsid w:val="09ACC307"/>
    <w:rsid w:val="09B57D1E"/>
    <w:rsid w:val="09D57CA3"/>
    <w:rsid w:val="09F43D66"/>
    <w:rsid w:val="09F8A2F3"/>
    <w:rsid w:val="09F99C12"/>
    <w:rsid w:val="0A049A9C"/>
    <w:rsid w:val="0A3100A6"/>
    <w:rsid w:val="0A4DC4B2"/>
    <w:rsid w:val="0A5F1A2D"/>
    <w:rsid w:val="0A70B466"/>
    <w:rsid w:val="0A77B3FF"/>
    <w:rsid w:val="0A7C835A"/>
    <w:rsid w:val="0A86B92F"/>
    <w:rsid w:val="0A895744"/>
    <w:rsid w:val="0AA18219"/>
    <w:rsid w:val="0AAE41DE"/>
    <w:rsid w:val="0AB0BEE9"/>
    <w:rsid w:val="0AE27CF9"/>
    <w:rsid w:val="0AE7875F"/>
    <w:rsid w:val="0AF5E2E6"/>
    <w:rsid w:val="0B06B761"/>
    <w:rsid w:val="0B1D5B53"/>
    <w:rsid w:val="0B5FA1F3"/>
    <w:rsid w:val="0B614AA9"/>
    <w:rsid w:val="0B737CB9"/>
    <w:rsid w:val="0B7CDF24"/>
    <w:rsid w:val="0B83BB71"/>
    <w:rsid w:val="0B87251D"/>
    <w:rsid w:val="0B8F4FC4"/>
    <w:rsid w:val="0B8FC79E"/>
    <w:rsid w:val="0BA4A6A6"/>
    <w:rsid w:val="0BB7BBBE"/>
    <w:rsid w:val="0BC630AC"/>
    <w:rsid w:val="0BF8D26A"/>
    <w:rsid w:val="0BFB4D8A"/>
    <w:rsid w:val="0C09FC9B"/>
    <w:rsid w:val="0C1C8741"/>
    <w:rsid w:val="0C1CA952"/>
    <w:rsid w:val="0C5A431A"/>
    <w:rsid w:val="0C5D2CF8"/>
    <w:rsid w:val="0C941D07"/>
    <w:rsid w:val="0CA47BE6"/>
    <w:rsid w:val="0CB38BAE"/>
    <w:rsid w:val="0CD5CF31"/>
    <w:rsid w:val="0CE4AD19"/>
    <w:rsid w:val="0CE62936"/>
    <w:rsid w:val="0D6C47DE"/>
    <w:rsid w:val="0D856574"/>
    <w:rsid w:val="0D96E2F9"/>
    <w:rsid w:val="0D977A71"/>
    <w:rsid w:val="0DC644E7"/>
    <w:rsid w:val="0DE88BD0"/>
    <w:rsid w:val="0DE908D3"/>
    <w:rsid w:val="0DFAA4A4"/>
    <w:rsid w:val="0DFC5177"/>
    <w:rsid w:val="0E107812"/>
    <w:rsid w:val="0E129C84"/>
    <w:rsid w:val="0E27F4A5"/>
    <w:rsid w:val="0E3577CC"/>
    <w:rsid w:val="0E5DDA40"/>
    <w:rsid w:val="0E6ABEF9"/>
    <w:rsid w:val="0E75B21F"/>
    <w:rsid w:val="0E8F6838"/>
    <w:rsid w:val="0E914E68"/>
    <w:rsid w:val="0E9581EE"/>
    <w:rsid w:val="0EA8E627"/>
    <w:rsid w:val="0EB2D830"/>
    <w:rsid w:val="0EC24C9F"/>
    <w:rsid w:val="0ED134F9"/>
    <w:rsid w:val="0ED30D03"/>
    <w:rsid w:val="0EFBC668"/>
    <w:rsid w:val="0F05B60D"/>
    <w:rsid w:val="0F100138"/>
    <w:rsid w:val="0F3150CD"/>
    <w:rsid w:val="0F3ED702"/>
    <w:rsid w:val="0F4BBDEA"/>
    <w:rsid w:val="0F6E3D14"/>
    <w:rsid w:val="0F860527"/>
    <w:rsid w:val="0F94671E"/>
    <w:rsid w:val="0F96CB7A"/>
    <w:rsid w:val="0FA2C279"/>
    <w:rsid w:val="0FC306F5"/>
    <w:rsid w:val="0FD3B2EA"/>
    <w:rsid w:val="0FE99DEE"/>
    <w:rsid w:val="0FEA51D2"/>
    <w:rsid w:val="0FEB36D8"/>
    <w:rsid w:val="1032AE6F"/>
    <w:rsid w:val="104FDCB2"/>
    <w:rsid w:val="107BBF7B"/>
    <w:rsid w:val="10872EEC"/>
    <w:rsid w:val="10CEC7B8"/>
    <w:rsid w:val="10D645F7"/>
    <w:rsid w:val="10DC3B1B"/>
    <w:rsid w:val="1112F738"/>
    <w:rsid w:val="113D6A83"/>
    <w:rsid w:val="116FCDAD"/>
    <w:rsid w:val="119F8910"/>
    <w:rsid w:val="11B1D525"/>
    <w:rsid w:val="11F5B963"/>
    <w:rsid w:val="12299337"/>
    <w:rsid w:val="122A7E38"/>
    <w:rsid w:val="123D35F0"/>
    <w:rsid w:val="124C6662"/>
    <w:rsid w:val="12A416EF"/>
    <w:rsid w:val="12A426D9"/>
    <w:rsid w:val="12ABFD14"/>
    <w:rsid w:val="12D504A6"/>
    <w:rsid w:val="12FE7265"/>
    <w:rsid w:val="131EC8B6"/>
    <w:rsid w:val="1320E554"/>
    <w:rsid w:val="1330DD48"/>
    <w:rsid w:val="1333BB62"/>
    <w:rsid w:val="136C70C4"/>
    <w:rsid w:val="1380D473"/>
    <w:rsid w:val="138B67FC"/>
    <w:rsid w:val="1390E749"/>
    <w:rsid w:val="13AB183B"/>
    <w:rsid w:val="13B8F567"/>
    <w:rsid w:val="13BA41A9"/>
    <w:rsid w:val="13BE7681"/>
    <w:rsid w:val="13BF2B47"/>
    <w:rsid w:val="1417C3EB"/>
    <w:rsid w:val="144AF415"/>
    <w:rsid w:val="1463EF68"/>
    <w:rsid w:val="1481C600"/>
    <w:rsid w:val="14A7ED5B"/>
    <w:rsid w:val="14AF5654"/>
    <w:rsid w:val="14B231DA"/>
    <w:rsid w:val="14B4ED1A"/>
    <w:rsid w:val="14C70AB8"/>
    <w:rsid w:val="14C72291"/>
    <w:rsid w:val="14CB6268"/>
    <w:rsid w:val="14CC0A86"/>
    <w:rsid w:val="14EAA40B"/>
    <w:rsid w:val="14FAB640"/>
    <w:rsid w:val="1512A44A"/>
    <w:rsid w:val="15222BF4"/>
    <w:rsid w:val="15342023"/>
    <w:rsid w:val="154EE465"/>
    <w:rsid w:val="15645C6B"/>
    <w:rsid w:val="156530FF"/>
    <w:rsid w:val="156D3CA7"/>
    <w:rsid w:val="157EC2EE"/>
    <w:rsid w:val="15E61B4D"/>
    <w:rsid w:val="160847EA"/>
    <w:rsid w:val="1609EE6C"/>
    <w:rsid w:val="1622A120"/>
    <w:rsid w:val="16683D5F"/>
    <w:rsid w:val="16A11166"/>
    <w:rsid w:val="16B62E14"/>
    <w:rsid w:val="16C73861"/>
    <w:rsid w:val="16D5B240"/>
    <w:rsid w:val="1707B853"/>
    <w:rsid w:val="1716188F"/>
    <w:rsid w:val="1735C395"/>
    <w:rsid w:val="174AA9F8"/>
    <w:rsid w:val="17554F7E"/>
    <w:rsid w:val="1777FBC9"/>
    <w:rsid w:val="178DEB41"/>
    <w:rsid w:val="179B6B05"/>
    <w:rsid w:val="17ADC077"/>
    <w:rsid w:val="17B1C89E"/>
    <w:rsid w:val="17B46567"/>
    <w:rsid w:val="17BAE4EE"/>
    <w:rsid w:val="17C84F1C"/>
    <w:rsid w:val="17F73F89"/>
    <w:rsid w:val="18249FDE"/>
    <w:rsid w:val="18364A7E"/>
    <w:rsid w:val="186C6ABF"/>
    <w:rsid w:val="186D6F74"/>
    <w:rsid w:val="187D1565"/>
    <w:rsid w:val="188DA9F3"/>
    <w:rsid w:val="188F6ECC"/>
    <w:rsid w:val="18AA1479"/>
    <w:rsid w:val="18BA96FA"/>
    <w:rsid w:val="18D0B907"/>
    <w:rsid w:val="18D4F2AF"/>
    <w:rsid w:val="18F205DB"/>
    <w:rsid w:val="194B62BA"/>
    <w:rsid w:val="194E14E1"/>
    <w:rsid w:val="1953A8A1"/>
    <w:rsid w:val="195D67F4"/>
    <w:rsid w:val="19955BBC"/>
    <w:rsid w:val="19C7BE66"/>
    <w:rsid w:val="19D983FA"/>
    <w:rsid w:val="19EC37E5"/>
    <w:rsid w:val="19ECB629"/>
    <w:rsid w:val="1A112CA3"/>
    <w:rsid w:val="1A15A3A0"/>
    <w:rsid w:val="1A1A35B9"/>
    <w:rsid w:val="1A1C39CD"/>
    <w:rsid w:val="1A2141D8"/>
    <w:rsid w:val="1A2E8800"/>
    <w:rsid w:val="1A88EBDE"/>
    <w:rsid w:val="1A9906A5"/>
    <w:rsid w:val="1ABD675F"/>
    <w:rsid w:val="1AC442D5"/>
    <w:rsid w:val="1AE63309"/>
    <w:rsid w:val="1AE65D87"/>
    <w:rsid w:val="1AF72FF1"/>
    <w:rsid w:val="1B13E8C6"/>
    <w:rsid w:val="1B2CDE52"/>
    <w:rsid w:val="1B3ECD47"/>
    <w:rsid w:val="1B4AB921"/>
    <w:rsid w:val="1B55B424"/>
    <w:rsid w:val="1B5658BF"/>
    <w:rsid w:val="1B631F88"/>
    <w:rsid w:val="1B685EAB"/>
    <w:rsid w:val="1B8C8DD0"/>
    <w:rsid w:val="1BA199F0"/>
    <w:rsid w:val="1BAE7EA9"/>
    <w:rsid w:val="1BBF13C8"/>
    <w:rsid w:val="1BD1A7C2"/>
    <w:rsid w:val="1BD34393"/>
    <w:rsid w:val="1BD3DCB6"/>
    <w:rsid w:val="1BE5CBAB"/>
    <w:rsid w:val="1BEC8D54"/>
    <w:rsid w:val="1BF6D1A3"/>
    <w:rsid w:val="1C0295D5"/>
    <w:rsid w:val="1C07CBA5"/>
    <w:rsid w:val="1C4316F3"/>
    <w:rsid w:val="1C5E1910"/>
    <w:rsid w:val="1C7D30A5"/>
    <w:rsid w:val="1C866813"/>
    <w:rsid w:val="1C99F550"/>
    <w:rsid w:val="1CDA9DA8"/>
    <w:rsid w:val="1CEA0794"/>
    <w:rsid w:val="1D20BB34"/>
    <w:rsid w:val="1D224B33"/>
    <w:rsid w:val="1D393A72"/>
    <w:rsid w:val="1D593116"/>
    <w:rsid w:val="1D6F4D50"/>
    <w:rsid w:val="1D706135"/>
    <w:rsid w:val="1D7EC51C"/>
    <w:rsid w:val="1D923C7B"/>
    <w:rsid w:val="1DD0A0DA"/>
    <w:rsid w:val="1DD7B32E"/>
    <w:rsid w:val="1DD9BDCA"/>
    <w:rsid w:val="1DDC68B1"/>
    <w:rsid w:val="1DE0E3C9"/>
    <w:rsid w:val="1DE0F894"/>
    <w:rsid w:val="1E157A17"/>
    <w:rsid w:val="1E1DD3CB"/>
    <w:rsid w:val="1E2B86C0"/>
    <w:rsid w:val="1E6C1A9B"/>
    <w:rsid w:val="1E735D66"/>
    <w:rsid w:val="1E7DAC17"/>
    <w:rsid w:val="1E849C83"/>
    <w:rsid w:val="1E87A159"/>
    <w:rsid w:val="1E97991C"/>
    <w:rsid w:val="1EB3A1F0"/>
    <w:rsid w:val="1F2BEB0B"/>
    <w:rsid w:val="1F38734A"/>
    <w:rsid w:val="1F6F2800"/>
    <w:rsid w:val="1F7FD2E8"/>
    <w:rsid w:val="1F88CB5E"/>
    <w:rsid w:val="1F8C756E"/>
    <w:rsid w:val="1F92B122"/>
    <w:rsid w:val="1F98CE42"/>
    <w:rsid w:val="1F9B8926"/>
    <w:rsid w:val="1F9E043E"/>
    <w:rsid w:val="1FA278FB"/>
    <w:rsid w:val="1FC0FD32"/>
    <w:rsid w:val="1FC7D968"/>
    <w:rsid w:val="1FE6ADDB"/>
    <w:rsid w:val="2008A1A2"/>
    <w:rsid w:val="20131DE3"/>
    <w:rsid w:val="2022FFD6"/>
    <w:rsid w:val="2036369C"/>
    <w:rsid w:val="2070BA0A"/>
    <w:rsid w:val="2090088A"/>
    <w:rsid w:val="20A95EA3"/>
    <w:rsid w:val="20AC4E5A"/>
    <w:rsid w:val="20D36CAE"/>
    <w:rsid w:val="20E2224E"/>
    <w:rsid w:val="20F0DD9C"/>
    <w:rsid w:val="2107A1D1"/>
    <w:rsid w:val="210856BB"/>
    <w:rsid w:val="2109EA52"/>
    <w:rsid w:val="211B3750"/>
    <w:rsid w:val="21250878"/>
    <w:rsid w:val="2130EB36"/>
    <w:rsid w:val="21385316"/>
    <w:rsid w:val="213D2CA4"/>
    <w:rsid w:val="214A969D"/>
    <w:rsid w:val="214E1727"/>
    <w:rsid w:val="21548848"/>
    <w:rsid w:val="2160B0C7"/>
    <w:rsid w:val="216B07C7"/>
    <w:rsid w:val="2180511F"/>
    <w:rsid w:val="2185C10E"/>
    <w:rsid w:val="2198AA56"/>
    <w:rsid w:val="219CEEC5"/>
    <w:rsid w:val="219EE25D"/>
    <w:rsid w:val="21BB1E6F"/>
    <w:rsid w:val="21C234F2"/>
    <w:rsid w:val="21EC7DE8"/>
    <w:rsid w:val="21F501EB"/>
    <w:rsid w:val="21FF56F2"/>
    <w:rsid w:val="2206DE53"/>
    <w:rsid w:val="220BABCF"/>
    <w:rsid w:val="2214833C"/>
    <w:rsid w:val="224CE871"/>
    <w:rsid w:val="2275CE9F"/>
    <w:rsid w:val="227751E4"/>
    <w:rsid w:val="2278763C"/>
    <w:rsid w:val="2281B6D0"/>
    <w:rsid w:val="2295EC1C"/>
    <w:rsid w:val="22A8D855"/>
    <w:rsid w:val="22CF9BCE"/>
    <w:rsid w:val="22E33538"/>
    <w:rsid w:val="230FB812"/>
    <w:rsid w:val="23246F86"/>
    <w:rsid w:val="2327B625"/>
    <w:rsid w:val="233E80A2"/>
    <w:rsid w:val="2349AF9B"/>
    <w:rsid w:val="235D3304"/>
    <w:rsid w:val="23653E98"/>
    <w:rsid w:val="236EDFA7"/>
    <w:rsid w:val="237382B7"/>
    <w:rsid w:val="238AE4AC"/>
    <w:rsid w:val="23913842"/>
    <w:rsid w:val="2391ADD2"/>
    <w:rsid w:val="23CAD6C8"/>
    <w:rsid w:val="23CB5033"/>
    <w:rsid w:val="23DE0567"/>
    <w:rsid w:val="240DFACB"/>
    <w:rsid w:val="24476A42"/>
    <w:rsid w:val="245BD7DA"/>
    <w:rsid w:val="246B6C2F"/>
    <w:rsid w:val="248D154F"/>
    <w:rsid w:val="249ABAC4"/>
    <w:rsid w:val="24B1EBEE"/>
    <w:rsid w:val="24BAA566"/>
    <w:rsid w:val="24E55DF4"/>
    <w:rsid w:val="24FC4B2C"/>
    <w:rsid w:val="25150F36"/>
    <w:rsid w:val="2515CBEA"/>
    <w:rsid w:val="252E792D"/>
    <w:rsid w:val="2541B0A7"/>
    <w:rsid w:val="25546F38"/>
    <w:rsid w:val="256E2C29"/>
    <w:rsid w:val="258CCE7D"/>
    <w:rsid w:val="259207C6"/>
    <w:rsid w:val="25A4FD16"/>
    <w:rsid w:val="25D1E21A"/>
    <w:rsid w:val="25ED47AD"/>
    <w:rsid w:val="25F3DD23"/>
    <w:rsid w:val="26062DB0"/>
    <w:rsid w:val="262F4297"/>
    <w:rsid w:val="2638E084"/>
    <w:rsid w:val="26415183"/>
    <w:rsid w:val="264D4289"/>
    <w:rsid w:val="265EBAC9"/>
    <w:rsid w:val="26809042"/>
    <w:rsid w:val="268E391E"/>
    <w:rsid w:val="26916B06"/>
    <w:rsid w:val="26BB22BB"/>
    <w:rsid w:val="26BBFB0A"/>
    <w:rsid w:val="26C55A3D"/>
    <w:rsid w:val="26DFDB20"/>
    <w:rsid w:val="270F241F"/>
    <w:rsid w:val="27117CEA"/>
    <w:rsid w:val="27439FCA"/>
    <w:rsid w:val="27914D8D"/>
    <w:rsid w:val="27A094CC"/>
    <w:rsid w:val="27A1FE11"/>
    <w:rsid w:val="27A2DBDB"/>
    <w:rsid w:val="27B5776B"/>
    <w:rsid w:val="27B96151"/>
    <w:rsid w:val="27C0C88D"/>
    <w:rsid w:val="27DEC2B5"/>
    <w:rsid w:val="27E20400"/>
    <w:rsid w:val="2814AFA6"/>
    <w:rsid w:val="281A01AC"/>
    <w:rsid w:val="283A44E2"/>
    <w:rsid w:val="284E0FD9"/>
    <w:rsid w:val="2859103F"/>
    <w:rsid w:val="28865C5A"/>
    <w:rsid w:val="28B5098F"/>
    <w:rsid w:val="28D1D72A"/>
    <w:rsid w:val="28F12EA3"/>
    <w:rsid w:val="28F1FC04"/>
    <w:rsid w:val="28F7EAE5"/>
    <w:rsid w:val="2906195F"/>
    <w:rsid w:val="2914CAE0"/>
    <w:rsid w:val="2942F0F2"/>
    <w:rsid w:val="29570ADA"/>
    <w:rsid w:val="296E68DF"/>
    <w:rsid w:val="296F7200"/>
    <w:rsid w:val="297DE0A7"/>
    <w:rsid w:val="298BA897"/>
    <w:rsid w:val="29B45BED"/>
    <w:rsid w:val="29B85A5A"/>
    <w:rsid w:val="29DDCDC3"/>
    <w:rsid w:val="29FC0DCF"/>
    <w:rsid w:val="2A44D030"/>
    <w:rsid w:val="2A6513BC"/>
    <w:rsid w:val="2A7A89E6"/>
    <w:rsid w:val="2A7FD0F6"/>
    <w:rsid w:val="2A8DD175"/>
    <w:rsid w:val="2ABF596A"/>
    <w:rsid w:val="2AD89B84"/>
    <w:rsid w:val="2AE1113F"/>
    <w:rsid w:val="2AE6ADDE"/>
    <w:rsid w:val="2AFA9954"/>
    <w:rsid w:val="2B057F49"/>
    <w:rsid w:val="2B4D314E"/>
    <w:rsid w:val="2B6C8A1E"/>
    <w:rsid w:val="2B6D5CFD"/>
    <w:rsid w:val="2B9D19CE"/>
    <w:rsid w:val="2BBE69B5"/>
    <w:rsid w:val="2BBF0E27"/>
    <w:rsid w:val="2BCE7159"/>
    <w:rsid w:val="2C0B3CA6"/>
    <w:rsid w:val="2C0E8DC1"/>
    <w:rsid w:val="2C3B1B2D"/>
    <w:rsid w:val="2C546BC5"/>
    <w:rsid w:val="2C590233"/>
    <w:rsid w:val="2C680677"/>
    <w:rsid w:val="2CAB48C4"/>
    <w:rsid w:val="2CBD5924"/>
    <w:rsid w:val="2CC4F37A"/>
    <w:rsid w:val="2CCC3AC8"/>
    <w:rsid w:val="2CE76D1F"/>
    <w:rsid w:val="2CE9B460"/>
    <w:rsid w:val="2D02E1A4"/>
    <w:rsid w:val="2D05484F"/>
    <w:rsid w:val="2D2E34D3"/>
    <w:rsid w:val="2D65DF56"/>
    <w:rsid w:val="2D66E5A3"/>
    <w:rsid w:val="2D6EFA21"/>
    <w:rsid w:val="2D795182"/>
    <w:rsid w:val="2D8C7E9F"/>
    <w:rsid w:val="2D91949E"/>
    <w:rsid w:val="2DA3DD55"/>
    <w:rsid w:val="2DAC41F9"/>
    <w:rsid w:val="2DBFAA86"/>
    <w:rsid w:val="2DC8EB12"/>
    <w:rsid w:val="2DD7A2A4"/>
    <w:rsid w:val="2DFA7A01"/>
    <w:rsid w:val="2E0816F5"/>
    <w:rsid w:val="2E25A27B"/>
    <w:rsid w:val="2E270AEF"/>
    <w:rsid w:val="2E73F451"/>
    <w:rsid w:val="2E782211"/>
    <w:rsid w:val="2E87AFD0"/>
    <w:rsid w:val="2E9F3A6B"/>
    <w:rsid w:val="2EA76E8A"/>
    <w:rsid w:val="2EB62C53"/>
    <w:rsid w:val="2EBB58B5"/>
    <w:rsid w:val="2EE504D3"/>
    <w:rsid w:val="2F08A1D1"/>
    <w:rsid w:val="2F13AA3F"/>
    <w:rsid w:val="2F28BB9A"/>
    <w:rsid w:val="2F2BF847"/>
    <w:rsid w:val="2F2D36BF"/>
    <w:rsid w:val="2F2EFC6E"/>
    <w:rsid w:val="2F4D289F"/>
    <w:rsid w:val="2F6B8082"/>
    <w:rsid w:val="2FB1075F"/>
    <w:rsid w:val="2FC023E1"/>
    <w:rsid w:val="3005A1B5"/>
    <w:rsid w:val="3007A57B"/>
    <w:rsid w:val="300B915C"/>
    <w:rsid w:val="300DBC62"/>
    <w:rsid w:val="301305F1"/>
    <w:rsid w:val="30203A85"/>
    <w:rsid w:val="3023A689"/>
    <w:rsid w:val="3024DF7A"/>
    <w:rsid w:val="3041CD85"/>
    <w:rsid w:val="304BF137"/>
    <w:rsid w:val="305EF429"/>
    <w:rsid w:val="3073D6DF"/>
    <w:rsid w:val="3075BB61"/>
    <w:rsid w:val="3086DDD4"/>
    <w:rsid w:val="308AD9B4"/>
    <w:rsid w:val="309D3563"/>
    <w:rsid w:val="309E193E"/>
    <w:rsid w:val="30A4846A"/>
    <w:rsid w:val="30A8F5D0"/>
    <w:rsid w:val="30C29EA4"/>
    <w:rsid w:val="310F73D9"/>
    <w:rsid w:val="31195BA6"/>
    <w:rsid w:val="314288C5"/>
    <w:rsid w:val="3160F914"/>
    <w:rsid w:val="316151DF"/>
    <w:rsid w:val="317AFE98"/>
    <w:rsid w:val="31994E14"/>
    <w:rsid w:val="31A01370"/>
    <w:rsid w:val="31A72454"/>
    <w:rsid w:val="31BA29B0"/>
    <w:rsid w:val="31D17FE8"/>
    <w:rsid w:val="320DA8B9"/>
    <w:rsid w:val="320FEB12"/>
    <w:rsid w:val="3216000F"/>
    <w:rsid w:val="32350E41"/>
    <w:rsid w:val="3250432F"/>
    <w:rsid w:val="33381873"/>
    <w:rsid w:val="3348A4F4"/>
    <w:rsid w:val="334FD52E"/>
    <w:rsid w:val="3381820A"/>
    <w:rsid w:val="33906E12"/>
    <w:rsid w:val="33AAA45C"/>
    <w:rsid w:val="33E2A60E"/>
    <w:rsid w:val="3421A785"/>
    <w:rsid w:val="3426DD97"/>
    <w:rsid w:val="345E3448"/>
    <w:rsid w:val="34600267"/>
    <w:rsid w:val="34BD7158"/>
    <w:rsid w:val="34C21F8B"/>
    <w:rsid w:val="34E7F4E4"/>
    <w:rsid w:val="34E8012A"/>
    <w:rsid w:val="34EF93DB"/>
    <w:rsid w:val="35283D54"/>
    <w:rsid w:val="3531B042"/>
    <w:rsid w:val="3534A5B7"/>
    <w:rsid w:val="35375701"/>
    <w:rsid w:val="353AE0A6"/>
    <w:rsid w:val="353DBB01"/>
    <w:rsid w:val="353DF4D4"/>
    <w:rsid w:val="3554410F"/>
    <w:rsid w:val="3557DCC4"/>
    <w:rsid w:val="357B47EC"/>
    <w:rsid w:val="358FF992"/>
    <w:rsid w:val="35907ADF"/>
    <w:rsid w:val="359C66B9"/>
    <w:rsid w:val="35A0BBFA"/>
    <w:rsid w:val="35CDD1EA"/>
    <w:rsid w:val="35F63CE0"/>
    <w:rsid w:val="362D099C"/>
    <w:rsid w:val="3656FA94"/>
    <w:rsid w:val="3666D11F"/>
    <w:rsid w:val="36693CEE"/>
    <w:rsid w:val="36869A78"/>
    <w:rsid w:val="368FF6DB"/>
    <w:rsid w:val="36BA7EC9"/>
    <w:rsid w:val="36BD2EBE"/>
    <w:rsid w:val="36D20F2E"/>
    <w:rsid w:val="36D71043"/>
    <w:rsid w:val="3702AAB5"/>
    <w:rsid w:val="37295092"/>
    <w:rsid w:val="372E2C1A"/>
    <w:rsid w:val="373698C2"/>
    <w:rsid w:val="37406C86"/>
    <w:rsid w:val="375B33F0"/>
    <w:rsid w:val="37723E4E"/>
    <w:rsid w:val="37A15C47"/>
    <w:rsid w:val="37A80EC4"/>
    <w:rsid w:val="37B27985"/>
    <w:rsid w:val="37B6C01A"/>
    <w:rsid w:val="37C43656"/>
    <w:rsid w:val="37C53FE3"/>
    <w:rsid w:val="37C99F04"/>
    <w:rsid w:val="37D3DC07"/>
    <w:rsid w:val="3856702C"/>
    <w:rsid w:val="385D653E"/>
    <w:rsid w:val="38894D38"/>
    <w:rsid w:val="388F9E1F"/>
    <w:rsid w:val="38A0FA6C"/>
    <w:rsid w:val="38BC4068"/>
    <w:rsid w:val="38C73A53"/>
    <w:rsid w:val="38DD3F9C"/>
    <w:rsid w:val="38E0E24F"/>
    <w:rsid w:val="38E205C5"/>
    <w:rsid w:val="38E69057"/>
    <w:rsid w:val="38EBE5A8"/>
    <w:rsid w:val="39124827"/>
    <w:rsid w:val="391FB16D"/>
    <w:rsid w:val="3931D8B6"/>
    <w:rsid w:val="395B28ED"/>
    <w:rsid w:val="3994A317"/>
    <w:rsid w:val="39BDCE7F"/>
    <w:rsid w:val="39C1643C"/>
    <w:rsid w:val="39CD41DF"/>
    <w:rsid w:val="39E6460F"/>
    <w:rsid w:val="39F48B3A"/>
    <w:rsid w:val="3A194E68"/>
    <w:rsid w:val="3A2F04ED"/>
    <w:rsid w:val="3A3BCEE6"/>
    <w:rsid w:val="3A67AE9B"/>
    <w:rsid w:val="3A7EDCC3"/>
    <w:rsid w:val="3A84C8E6"/>
    <w:rsid w:val="3AC1A99F"/>
    <w:rsid w:val="3AC32804"/>
    <w:rsid w:val="3ACAA57C"/>
    <w:rsid w:val="3B04268D"/>
    <w:rsid w:val="3B21AB98"/>
    <w:rsid w:val="3B4409B6"/>
    <w:rsid w:val="3B9A0314"/>
    <w:rsid w:val="3BA2E6D8"/>
    <w:rsid w:val="3BD77F2B"/>
    <w:rsid w:val="3BFB0C4C"/>
    <w:rsid w:val="3C14900A"/>
    <w:rsid w:val="3C27C5AA"/>
    <w:rsid w:val="3C6749C3"/>
    <w:rsid w:val="3C83DCF4"/>
    <w:rsid w:val="3CC30B2F"/>
    <w:rsid w:val="3CF2AC0A"/>
    <w:rsid w:val="3D08C0D4"/>
    <w:rsid w:val="3D1E67F4"/>
    <w:rsid w:val="3D694F02"/>
    <w:rsid w:val="3D7F03C3"/>
    <w:rsid w:val="3D910723"/>
    <w:rsid w:val="3D981EE3"/>
    <w:rsid w:val="3DB14D8A"/>
    <w:rsid w:val="3DB6F64D"/>
    <w:rsid w:val="3DC6CF71"/>
    <w:rsid w:val="3DE00266"/>
    <w:rsid w:val="3DF64C6C"/>
    <w:rsid w:val="3E427AEE"/>
    <w:rsid w:val="3E91B37E"/>
    <w:rsid w:val="3E969E25"/>
    <w:rsid w:val="3EB848BA"/>
    <w:rsid w:val="3EEB2959"/>
    <w:rsid w:val="3EEB3861"/>
    <w:rsid w:val="3EFEACD2"/>
    <w:rsid w:val="3F015EF9"/>
    <w:rsid w:val="3F2EF3F3"/>
    <w:rsid w:val="3F41DCA6"/>
    <w:rsid w:val="3F596E75"/>
    <w:rsid w:val="3F5F7051"/>
    <w:rsid w:val="3F6AE159"/>
    <w:rsid w:val="3F853DB9"/>
    <w:rsid w:val="3F8E7594"/>
    <w:rsid w:val="3F8F05DC"/>
    <w:rsid w:val="3FB45DC8"/>
    <w:rsid w:val="3FCFC5B6"/>
    <w:rsid w:val="3FD04875"/>
    <w:rsid w:val="400BF701"/>
    <w:rsid w:val="40161381"/>
    <w:rsid w:val="40163133"/>
    <w:rsid w:val="403F8462"/>
    <w:rsid w:val="40475B36"/>
    <w:rsid w:val="40611C6F"/>
    <w:rsid w:val="406DA19A"/>
    <w:rsid w:val="4081F009"/>
    <w:rsid w:val="40B8FE86"/>
    <w:rsid w:val="40BF7770"/>
    <w:rsid w:val="40C250B1"/>
    <w:rsid w:val="40D37B28"/>
    <w:rsid w:val="40F3F3F2"/>
    <w:rsid w:val="411453B0"/>
    <w:rsid w:val="41259A01"/>
    <w:rsid w:val="414219B4"/>
    <w:rsid w:val="416ABCCE"/>
    <w:rsid w:val="41D61A3D"/>
    <w:rsid w:val="41D90C69"/>
    <w:rsid w:val="41DD7824"/>
    <w:rsid w:val="41E2E2F5"/>
    <w:rsid w:val="41EF7B45"/>
    <w:rsid w:val="41F59DF2"/>
    <w:rsid w:val="420B6AC1"/>
    <w:rsid w:val="4222D923"/>
    <w:rsid w:val="42424E07"/>
    <w:rsid w:val="424DCC59"/>
    <w:rsid w:val="425BD5E2"/>
    <w:rsid w:val="427326B9"/>
    <w:rsid w:val="42787AC7"/>
    <w:rsid w:val="427BFD71"/>
    <w:rsid w:val="42A0E0AC"/>
    <w:rsid w:val="42C22C9E"/>
    <w:rsid w:val="42CF8645"/>
    <w:rsid w:val="42E1C56A"/>
    <w:rsid w:val="42F7A02F"/>
    <w:rsid w:val="432F426C"/>
    <w:rsid w:val="433825A6"/>
    <w:rsid w:val="433CCE68"/>
    <w:rsid w:val="436BB1A7"/>
    <w:rsid w:val="4374DB2A"/>
    <w:rsid w:val="43A10F5E"/>
    <w:rsid w:val="43BDED13"/>
    <w:rsid w:val="43C624FB"/>
    <w:rsid w:val="43CC5772"/>
    <w:rsid w:val="43CCB4DA"/>
    <w:rsid w:val="43CF08FF"/>
    <w:rsid w:val="441D8A68"/>
    <w:rsid w:val="44336AC7"/>
    <w:rsid w:val="44412301"/>
    <w:rsid w:val="444181FD"/>
    <w:rsid w:val="4444BC16"/>
    <w:rsid w:val="447A346B"/>
    <w:rsid w:val="44BFDF09"/>
    <w:rsid w:val="44C08DDF"/>
    <w:rsid w:val="44DFAB0C"/>
    <w:rsid w:val="44E55FBB"/>
    <w:rsid w:val="44EBE284"/>
    <w:rsid w:val="45000266"/>
    <w:rsid w:val="450114FB"/>
    <w:rsid w:val="4504B010"/>
    <w:rsid w:val="45540690"/>
    <w:rsid w:val="457F4FB8"/>
    <w:rsid w:val="459083A4"/>
    <w:rsid w:val="45BE3696"/>
    <w:rsid w:val="45D60638"/>
    <w:rsid w:val="45E50180"/>
    <w:rsid w:val="4630A8E7"/>
    <w:rsid w:val="463624BA"/>
    <w:rsid w:val="463B66E3"/>
    <w:rsid w:val="463BB66B"/>
    <w:rsid w:val="463C4DE3"/>
    <w:rsid w:val="467F0193"/>
    <w:rsid w:val="468C0E85"/>
    <w:rsid w:val="46907533"/>
    <w:rsid w:val="46957F99"/>
    <w:rsid w:val="46BC17A1"/>
    <w:rsid w:val="473127A4"/>
    <w:rsid w:val="4772C68B"/>
    <w:rsid w:val="4789C6D1"/>
    <w:rsid w:val="479A0237"/>
    <w:rsid w:val="47A8E672"/>
    <w:rsid w:val="47AEEA00"/>
    <w:rsid w:val="47B467EF"/>
    <w:rsid w:val="47D340B7"/>
    <w:rsid w:val="47D53D0F"/>
    <w:rsid w:val="47D59CE1"/>
    <w:rsid w:val="47D645A4"/>
    <w:rsid w:val="48143FE1"/>
    <w:rsid w:val="488781C0"/>
    <w:rsid w:val="48921AA7"/>
    <w:rsid w:val="48934AB2"/>
    <w:rsid w:val="48BF20D3"/>
    <w:rsid w:val="48DA474F"/>
    <w:rsid w:val="48DF5BBB"/>
    <w:rsid w:val="48E278E3"/>
    <w:rsid w:val="48E36BFF"/>
    <w:rsid w:val="490AC046"/>
    <w:rsid w:val="4918D3EF"/>
    <w:rsid w:val="49366B04"/>
    <w:rsid w:val="4991299B"/>
    <w:rsid w:val="49A00724"/>
    <w:rsid w:val="49DE7519"/>
    <w:rsid w:val="49E7D152"/>
    <w:rsid w:val="4A303D10"/>
    <w:rsid w:val="4A385636"/>
    <w:rsid w:val="4A39CDD9"/>
    <w:rsid w:val="4A3D89BE"/>
    <w:rsid w:val="4A478ED1"/>
    <w:rsid w:val="4A4C9C3F"/>
    <w:rsid w:val="4A639480"/>
    <w:rsid w:val="4AA07936"/>
    <w:rsid w:val="4AB4846C"/>
    <w:rsid w:val="4AD8A01E"/>
    <w:rsid w:val="4AED4801"/>
    <w:rsid w:val="4AFC5920"/>
    <w:rsid w:val="4B3D41C8"/>
    <w:rsid w:val="4B3FF9E4"/>
    <w:rsid w:val="4B54CF9B"/>
    <w:rsid w:val="4B62C14B"/>
    <w:rsid w:val="4B6B61F4"/>
    <w:rsid w:val="4B841E05"/>
    <w:rsid w:val="4BBF0AC2"/>
    <w:rsid w:val="4BD1E950"/>
    <w:rsid w:val="4BE14416"/>
    <w:rsid w:val="4BEF0C0E"/>
    <w:rsid w:val="4BEFE871"/>
    <w:rsid w:val="4BF21451"/>
    <w:rsid w:val="4BF94BE1"/>
    <w:rsid w:val="4C385676"/>
    <w:rsid w:val="4C4DFF40"/>
    <w:rsid w:val="4C53EAA3"/>
    <w:rsid w:val="4C73398F"/>
    <w:rsid w:val="4C92AEFA"/>
    <w:rsid w:val="4CB39045"/>
    <w:rsid w:val="4CE30C18"/>
    <w:rsid w:val="4D210E58"/>
    <w:rsid w:val="4D47DABE"/>
    <w:rsid w:val="4D658BCA"/>
    <w:rsid w:val="4DA528F5"/>
    <w:rsid w:val="4DEBC087"/>
    <w:rsid w:val="4DF995E7"/>
    <w:rsid w:val="4DFF9122"/>
    <w:rsid w:val="4E084FAC"/>
    <w:rsid w:val="4E09F35E"/>
    <w:rsid w:val="4E2897D7"/>
    <w:rsid w:val="4E2AAD20"/>
    <w:rsid w:val="4E2AB48B"/>
    <w:rsid w:val="4E3207D9"/>
    <w:rsid w:val="4E49FFB7"/>
    <w:rsid w:val="4E5AD457"/>
    <w:rsid w:val="4E5BE767"/>
    <w:rsid w:val="4EBC0E00"/>
    <w:rsid w:val="4F015C2B"/>
    <w:rsid w:val="4F13EFFC"/>
    <w:rsid w:val="4F6A5A8A"/>
    <w:rsid w:val="4F871F35"/>
    <w:rsid w:val="4F96EEBF"/>
    <w:rsid w:val="4FAEBA01"/>
    <w:rsid w:val="4FB390B9"/>
    <w:rsid w:val="4FC07572"/>
    <w:rsid w:val="4FD18858"/>
    <w:rsid w:val="4FD7D767"/>
    <w:rsid w:val="4FE44A83"/>
    <w:rsid w:val="5006C616"/>
    <w:rsid w:val="505EBF5D"/>
    <w:rsid w:val="505F012E"/>
    <w:rsid w:val="506BFE55"/>
    <w:rsid w:val="507E840F"/>
    <w:rsid w:val="508DE4C2"/>
    <w:rsid w:val="509842E9"/>
    <w:rsid w:val="50B8823D"/>
    <w:rsid w:val="50D133F0"/>
    <w:rsid w:val="50D929F0"/>
    <w:rsid w:val="510A9182"/>
    <w:rsid w:val="5174C86A"/>
    <w:rsid w:val="517C70D4"/>
    <w:rsid w:val="517FDA11"/>
    <w:rsid w:val="5183A835"/>
    <w:rsid w:val="51AA26FE"/>
    <w:rsid w:val="51B570FE"/>
    <w:rsid w:val="51BCA74C"/>
    <w:rsid w:val="51E9EFF9"/>
    <w:rsid w:val="51ED0925"/>
    <w:rsid w:val="51F43F0F"/>
    <w:rsid w:val="51F8FC27"/>
    <w:rsid w:val="520D6EBC"/>
    <w:rsid w:val="52235AC7"/>
    <w:rsid w:val="522BFDD3"/>
    <w:rsid w:val="52834EAC"/>
    <w:rsid w:val="5287A9E0"/>
    <w:rsid w:val="529415CE"/>
    <w:rsid w:val="52C89FDA"/>
    <w:rsid w:val="52EBD5EA"/>
    <w:rsid w:val="52F46E6C"/>
    <w:rsid w:val="5300FFD9"/>
    <w:rsid w:val="5309EF30"/>
    <w:rsid w:val="5319A384"/>
    <w:rsid w:val="53728FF7"/>
    <w:rsid w:val="5377DAED"/>
    <w:rsid w:val="5384732F"/>
    <w:rsid w:val="539EDABD"/>
    <w:rsid w:val="53CB1208"/>
    <w:rsid w:val="540D5448"/>
    <w:rsid w:val="543FEBC5"/>
    <w:rsid w:val="544BA2DF"/>
    <w:rsid w:val="54546EBC"/>
    <w:rsid w:val="5475EAEE"/>
    <w:rsid w:val="5481396D"/>
    <w:rsid w:val="548C0C42"/>
    <w:rsid w:val="549BFA77"/>
    <w:rsid w:val="549F8D9F"/>
    <w:rsid w:val="54B3A903"/>
    <w:rsid w:val="54BC1340"/>
    <w:rsid w:val="54D2530E"/>
    <w:rsid w:val="54D381ED"/>
    <w:rsid w:val="54E12FB1"/>
    <w:rsid w:val="5505D325"/>
    <w:rsid w:val="5521E760"/>
    <w:rsid w:val="55658A16"/>
    <w:rsid w:val="558F6B17"/>
    <w:rsid w:val="559C2C45"/>
    <w:rsid w:val="55B99E85"/>
    <w:rsid w:val="55C4BACA"/>
    <w:rsid w:val="55D240F4"/>
    <w:rsid w:val="55DC6FB0"/>
    <w:rsid w:val="55DD385C"/>
    <w:rsid w:val="55E3EA5F"/>
    <w:rsid w:val="56038439"/>
    <w:rsid w:val="56192A64"/>
    <w:rsid w:val="561D9B99"/>
    <w:rsid w:val="563A98D9"/>
    <w:rsid w:val="565A17CC"/>
    <w:rsid w:val="56679EDA"/>
    <w:rsid w:val="56773D9B"/>
    <w:rsid w:val="568397EA"/>
    <w:rsid w:val="5688C5A6"/>
    <w:rsid w:val="568DC041"/>
    <w:rsid w:val="56BA6B2A"/>
    <w:rsid w:val="56BB2B3A"/>
    <w:rsid w:val="56BB90CC"/>
    <w:rsid w:val="56C15F89"/>
    <w:rsid w:val="56DA250C"/>
    <w:rsid w:val="56FEF4F0"/>
    <w:rsid w:val="57000336"/>
    <w:rsid w:val="57219889"/>
    <w:rsid w:val="5733C488"/>
    <w:rsid w:val="57351967"/>
    <w:rsid w:val="57538016"/>
    <w:rsid w:val="576C91C7"/>
    <w:rsid w:val="577B6F1A"/>
    <w:rsid w:val="57881885"/>
    <w:rsid w:val="579CB867"/>
    <w:rsid w:val="57AD0225"/>
    <w:rsid w:val="57AE3062"/>
    <w:rsid w:val="57C6568B"/>
    <w:rsid w:val="57C8A9D8"/>
    <w:rsid w:val="57D031BC"/>
    <w:rsid w:val="580835FE"/>
    <w:rsid w:val="5814ABF4"/>
    <w:rsid w:val="582FC14C"/>
    <w:rsid w:val="583A708D"/>
    <w:rsid w:val="583A8285"/>
    <w:rsid w:val="585CCB97"/>
    <w:rsid w:val="58846C87"/>
    <w:rsid w:val="58B87F6E"/>
    <w:rsid w:val="58C272C7"/>
    <w:rsid w:val="58D4507F"/>
    <w:rsid w:val="58E71E5F"/>
    <w:rsid w:val="58E72F05"/>
    <w:rsid w:val="58F59618"/>
    <w:rsid w:val="58F78BF8"/>
    <w:rsid w:val="58FBBB5F"/>
    <w:rsid w:val="5929F292"/>
    <w:rsid w:val="59332B7F"/>
    <w:rsid w:val="5940FFBD"/>
    <w:rsid w:val="5966C975"/>
    <w:rsid w:val="5974294F"/>
    <w:rsid w:val="59767DC2"/>
    <w:rsid w:val="598EC726"/>
    <w:rsid w:val="599C7B04"/>
    <w:rsid w:val="59C8DAA0"/>
    <w:rsid w:val="59F559D3"/>
    <w:rsid w:val="59F9C999"/>
    <w:rsid w:val="5A11DFD6"/>
    <w:rsid w:val="5A1CC65F"/>
    <w:rsid w:val="5A2A7561"/>
    <w:rsid w:val="5A2F9ABF"/>
    <w:rsid w:val="5A30C9AF"/>
    <w:rsid w:val="5A33C3AD"/>
    <w:rsid w:val="5A3A172A"/>
    <w:rsid w:val="5A3B01E2"/>
    <w:rsid w:val="5A4CA2AF"/>
    <w:rsid w:val="5A637E15"/>
    <w:rsid w:val="5A6992FB"/>
    <w:rsid w:val="5A794C5A"/>
    <w:rsid w:val="5AA3AAFE"/>
    <w:rsid w:val="5AA45C3E"/>
    <w:rsid w:val="5AAE22C6"/>
    <w:rsid w:val="5ADE3E79"/>
    <w:rsid w:val="5B071990"/>
    <w:rsid w:val="5B0B506B"/>
    <w:rsid w:val="5B1F01A2"/>
    <w:rsid w:val="5B27871B"/>
    <w:rsid w:val="5B34521D"/>
    <w:rsid w:val="5B3F263B"/>
    <w:rsid w:val="5B41CFF9"/>
    <w:rsid w:val="5B5CBCB8"/>
    <w:rsid w:val="5B6E5F43"/>
    <w:rsid w:val="5B741425"/>
    <w:rsid w:val="5B8F7BE4"/>
    <w:rsid w:val="5BB8AEC0"/>
    <w:rsid w:val="5BC8F9A5"/>
    <w:rsid w:val="5BD44346"/>
    <w:rsid w:val="5BFFD2C7"/>
    <w:rsid w:val="5C042668"/>
    <w:rsid w:val="5C3E8E81"/>
    <w:rsid w:val="5C5EB658"/>
    <w:rsid w:val="5C62DF02"/>
    <w:rsid w:val="5C659F0A"/>
    <w:rsid w:val="5C8D3C04"/>
    <w:rsid w:val="5CAA480C"/>
    <w:rsid w:val="5CBEDE72"/>
    <w:rsid w:val="5CC66303"/>
    <w:rsid w:val="5CC6CBF8"/>
    <w:rsid w:val="5CD64A4C"/>
    <w:rsid w:val="5CF915BF"/>
    <w:rsid w:val="5D199845"/>
    <w:rsid w:val="5D27EA39"/>
    <w:rsid w:val="5D29A42C"/>
    <w:rsid w:val="5D3B2656"/>
    <w:rsid w:val="5D47A822"/>
    <w:rsid w:val="5D4A9965"/>
    <w:rsid w:val="5D696690"/>
    <w:rsid w:val="5DE47DED"/>
    <w:rsid w:val="5E01080E"/>
    <w:rsid w:val="5E2D19D9"/>
    <w:rsid w:val="5E388D6E"/>
    <w:rsid w:val="5E44DE17"/>
    <w:rsid w:val="5E564A2A"/>
    <w:rsid w:val="5E5C426A"/>
    <w:rsid w:val="5E69C548"/>
    <w:rsid w:val="5E798D32"/>
    <w:rsid w:val="5E960507"/>
    <w:rsid w:val="5EAC54B2"/>
    <w:rsid w:val="5ED53D29"/>
    <w:rsid w:val="5EF04F82"/>
    <w:rsid w:val="5EFA10F5"/>
    <w:rsid w:val="5F094EB3"/>
    <w:rsid w:val="5F77AC3E"/>
    <w:rsid w:val="5FB81559"/>
    <w:rsid w:val="5FC8B864"/>
    <w:rsid w:val="5FE4867D"/>
    <w:rsid w:val="5FE73A3D"/>
    <w:rsid w:val="5FFED161"/>
    <w:rsid w:val="60766C09"/>
    <w:rsid w:val="607DDD5C"/>
    <w:rsid w:val="609EF244"/>
    <w:rsid w:val="60E5EA79"/>
    <w:rsid w:val="60FED07A"/>
    <w:rsid w:val="6101C0EC"/>
    <w:rsid w:val="610D3320"/>
    <w:rsid w:val="61127A4C"/>
    <w:rsid w:val="61131BA9"/>
    <w:rsid w:val="612C418E"/>
    <w:rsid w:val="612F1B15"/>
    <w:rsid w:val="612F7D70"/>
    <w:rsid w:val="6131DFB6"/>
    <w:rsid w:val="61427C81"/>
    <w:rsid w:val="6143BDFD"/>
    <w:rsid w:val="614F5A19"/>
    <w:rsid w:val="6156CD7D"/>
    <w:rsid w:val="6160910C"/>
    <w:rsid w:val="616D83A7"/>
    <w:rsid w:val="617B14F7"/>
    <w:rsid w:val="61A54CBF"/>
    <w:rsid w:val="61B5AC5C"/>
    <w:rsid w:val="61C5BD01"/>
    <w:rsid w:val="61D4C0B3"/>
    <w:rsid w:val="61FBFCB9"/>
    <w:rsid w:val="620A6731"/>
    <w:rsid w:val="620FA85B"/>
    <w:rsid w:val="6211ADDD"/>
    <w:rsid w:val="62ACB08C"/>
    <w:rsid w:val="62DAB249"/>
    <w:rsid w:val="62EC9FD6"/>
    <w:rsid w:val="630EC530"/>
    <w:rsid w:val="63281F63"/>
    <w:rsid w:val="632FE400"/>
    <w:rsid w:val="637C7331"/>
    <w:rsid w:val="63B37BC7"/>
    <w:rsid w:val="63B42E95"/>
    <w:rsid w:val="63B99525"/>
    <w:rsid w:val="63F46027"/>
    <w:rsid w:val="63FDF5B1"/>
    <w:rsid w:val="63FF50BF"/>
    <w:rsid w:val="64131299"/>
    <w:rsid w:val="64477F12"/>
    <w:rsid w:val="6450CF1E"/>
    <w:rsid w:val="6473860B"/>
    <w:rsid w:val="6477ADAA"/>
    <w:rsid w:val="64B9E470"/>
    <w:rsid w:val="64C0C903"/>
    <w:rsid w:val="64E0494D"/>
    <w:rsid w:val="65028DBF"/>
    <w:rsid w:val="651A4FD5"/>
    <w:rsid w:val="651EAF3A"/>
    <w:rsid w:val="65217DE6"/>
    <w:rsid w:val="6535C6B1"/>
    <w:rsid w:val="654207F3"/>
    <w:rsid w:val="65421C20"/>
    <w:rsid w:val="6574CA31"/>
    <w:rsid w:val="657D0C65"/>
    <w:rsid w:val="657D621A"/>
    <w:rsid w:val="6584C736"/>
    <w:rsid w:val="658B94AE"/>
    <w:rsid w:val="65CC84F6"/>
    <w:rsid w:val="65DAB5A6"/>
    <w:rsid w:val="65E2FFDB"/>
    <w:rsid w:val="65FAED26"/>
    <w:rsid w:val="662396E8"/>
    <w:rsid w:val="66293D6C"/>
    <w:rsid w:val="664640B6"/>
    <w:rsid w:val="66725968"/>
    <w:rsid w:val="66740881"/>
    <w:rsid w:val="6676D0A4"/>
    <w:rsid w:val="669B229F"/>
    <w:rsid w:val="66B45594"/>
    <w:rsid w:val="66CB84B8"/>
    <w:rsid w:val="66E8F8B8"/>
    <w:rsid w:val="66F0A7BB"/>
    <w:rsid w:val="6725BB4D"/>
    <w:rsid w:val="672BF896"/>
    <w:rsid w:val="675244E0"/>
    <w:rsid w:val="6756F3F5"/>
    <w:rsid w:val="67718552"/>
    <w:rsid w:val="67787769"/>
    <w:rsid w:val="6781C27D"/>
    <w:rsid w:val="678FAADC"/>
    <w:rsid w:val="67ADA732"/>
    <w:rsid w:val="67BDC322"/>
    <w:rsid w:val="67DA8976"/>
    <w:rsid w:val="67E65CA8"/>
    <w:rsid w:val="67F62F97"/>
    <w:rsid w:val="67FAF90E"/>
    <w:rsid w:val="680411FE"/>
    <w:rsid w:val="68283919"/>
    <w:rsid w:val="68348C1D"/>
    <w:rsid w:val="683E978A"/>
    <w:rsid w:val="68431B59"/>
    <w:rsid w:val="6851F103"/>
    <w:rsid w:val="68649D19"/>
    <w:rsid w:val="688E2B7D"/>
    <w:rsid w:val="689731C8"/>
    <w:rsid w:val="68A0C815"/>
    <w:rsid w:val="68B5ECC3"/>
    <w:rsid w:val="68BC3243"/>
    <w:rsid w:val="68C51C5A"/>
    <w:rsid w:val="68D0EC58"/>
    <w:rsid w:val="68E0300B"/>
    <w:rsid w:val="68E34EEC"/>
    <w:rsid w:val="68F77F1B"/>
    <w:rsid w:val="690DA5DA"/>
    <w:rsid w:val="693F9C56"/>
    <w:rsid w:val="695265DE"/>
    <w:rsid w:val="6956910D"/>
    <w:rsid w:val="6959564A"/>
    <w:rsid w:val="695C878C"/>
    <w:rsid w:val="695D0F9C"/>
    <w:rsid w:val="695DEDEB"/>
    <w:rsid w:val="69633768"/>
    <w:rsid w:val="6978D79B"/>
    <w:rsid w:val="697D8DBA"/>
    <w:rsid w:val="6982BEEE"/>
    <w:rsid w:val="698FAA82"/>
    <w:rsid w:val="69959C46"/>
    <w:rsid w:val="699A9A8A"/>
    <w:rsid w:val="69B91889"/>
    <w:rsid w:val="6A34C9D4"/>
    <w:rsid w:val="6A6BC25A"/>
    <w:rsid w:val="6A92A681"/>
    <w:rsid w:val="6AC63C06"/>
    <w:rsid w:val="6AE79B3C"/>
    <w:rsid w:val="6AECE76B"/>
    <w:rsid w:val="6AF950F6"/>
    <w:rsid w:val="6AFC1CF8"/>
    <w:rsid w:val="6B045A06"/>
    <w:rsid w:val="6B061720"/>
    <w:rsid w:val="6B2AAC9A"/>
    <w:rsid w:val="6B55398F"/>
    <w:rsid w:val="6B8DD912"/>
    <w:rsid w:val="6B97B420"/>
    <w:rsid w:val="6B9D4C31"/>
    <w:rsid w:val="6BB4C439"/>
    <w:rsid w:val="6BB966CE"/>
    <w:rsid w:val="6BE39C62"/>
    <w:rsid w:val="6BEE5865"/>
    <w:rsid w:val="6C100A03"/>
    <w:rsid w:val="6C335FFA"/>
    <w:rsid w:val="6C73A2FA"/>
    <w:rsid w:val="6C79E054"/>
    <w:rsid w:val="6C93F2FD"/>
    <w:rsid w:val="6CB8F85B"/>
    <w:rsid w:val="6CEE4769"/>
    <w:rsid w:val="6CFEA897"/>
    <w:rsid w:val="6D2DFB02"/>
    <w:rsid w:val="6D3AFDB3"/>
    <w:rsid w:val="6D4AD223"/>
    <w:rsid w:val="6D57B7D7"/>
    <w:rsid w:val="6D5FEE78"/>
    <w:rsid w:val="6D6C93A2"/>
    <w:rsid w:val="6D80A65F"/>
    <w:rsid w:val="6DC1175C"/>
    <w:rsid w:val="6DC91039"/>
    <w:rsid w:val="6DCB4485"/>
    <w:rsid w:val="6DD95167"/>
    <w:rsid w:val="6DE9323F"/>
    <w:rsid w:val="6E01F054"/>
    <w:rsid w:val="6E18445B"/>
    <w:rsid w:val="6E4A876B"/>
    <w:rsid w:val="6E4F0CD4"/>
    <w:rsid w:val="6E5FBF1D"/>
    <w:rsid w:val="6EDE55F8"/>
    <w:rsid w:val="6EEC69A1"/>
    <w:rsid w:val="6EF35A0D"/>
    <w:rsid w:val="6EFF85D8"/>
    <w:rsid w:val="6F044044"/>
    <w:rsid w:val="6F0514CB"/>
    <w:rsid w:val="6F083E3E"/>
    <w:rsid w:val="6F0C38BB"/>
    <w:rsid w:val="6F1ACCFE"/>
    <w:rsid w:val="6F34B184"/>
    <w:rsid w:val="6F392973"/>
    <w:rsid w:val="6F46432F"/>
    <w:rsid w:val="6F8D81FD"/>
    <w:rsid w:val="6F9A4017"/>
    <w:rsid w:val="6FAD96C1"/>
    <w:rsid w:val="6FB8B4AB"/>
    <w:rsid w:val="6FD4B84E"/>
    <w:rsid w:val="6FF88AA8"/>
    <w:rsid w:val="7008C960"/>
    <w:rsid w:val="700978D6"/>
    <w:rsid w:val="700D8CE7"/>
    <w:rsid w:val="7031BB19"/>
    <w:rsid w:val="705EB374"/>
    <w:rsid w:val="70B852BE"/>
    <w:rsid w:val="70D27E88"/>
    <w:rsid w:val="70D659E9"/>
    <w:rsid w:val="70F9A463"/>
    <w:rsid w:val="71012947"/>
    <w:rsid w:val="71038727"/>
    <w:rsid w:val="7103D2C2"/>
    <w:rsid w:val="7124A5AA"/>
    <w:rsid w:val="7135E776"/>
    <w:rsid w:val="7142AFE0"/>
    <w:rsid w:val="714D35C1"/>
    <w:rsid w:val="7159BE03"/>
    <w:rsid w:val="715FE75A"/>
    <w:rsid w:val="716F6FF2"/>
    <w:rsid w:val="71823E58"/>
    <w:rsid w:val="7185DD18"/>
    <w:rsid w:val="71872CA1"/>
    <w:rsid w:val="719B2EC0"/>
    <w:rsid w:val="719CE853"/>
    <w:rsid w:val="71CC5173"/>
    <w:rsid w:val="71E76CC9"/>
    <w:rsid w:val="72172D33"/>
    <w:rsid w:val="7218D1DB"/>
    <w:rsid w:val="7236A15A"/>
    <w:rsid w:val="723D0246"/>
    <w:rsid w:val="72416D83"/>
    <w:rsid w:val="728C146A"/>
    <w:rsid w:val="72BB8F58"/>
    <w:rsid w:val="72BC7091"/>
    <w:rsid w:val="72D4B3D4"/>
    <w:rsid w:val="72D74922"/>
    <w:rsid w:val="72E15F53"/>
    <w:rsid w:val="72E748E5"/>
    <w:rsid w:val="72EA42C4"/>
    <w:rsid w:val="72F27633"/>
    <w:rsid w:val="72F2EF30"/>
    <w:rsid w:val="730176D1"/>
    <w:rsid w:val="734E0098"/>
    <w:rsid w:val="7364FE99"/>
    <w:rsid w:val="736FD436"/>
    <w:rsid w:val="73A0BE1A"/>
    <w:rsid w:val="73E196A2"/>
    <w:rsid w:val="73EFFA1B"/>
    <w:rsid w:val="74157480"/>
    <w:rsid w:val="743266AD"/>
    <w:rsid w:val="74333B5E"/>
    <w:rsid w:val="7434F6F4"/>
    <w:rsid w:val="74708435"/>
    <w:rsid w:val="7475C55F"/>
    <w:rsid w:val="7477E670"/>
    <w:rsid w:val="747DF0A7"/>
    <w:rsid w:val="7485F031"/>
    <w:rsid w:val="74F14027"/>
    <w:rsid w:val="750C3CDB"/>
    <w:rsid w:val="751D75FA"/>
    <w:rsid w:val="752AFF5D"/>
    <w:rsid w:val="753A9B52"/>
    <w:rsid w:val="753CA557"/>
    <w:rsid w:val="75593E07"/>
    <w:rsid w:val="75824189"/>
    <w:rsid w:val="7590FAD4"/>
    <w:rsid w:val="75FA824F"/>
    <w:rsid w:val="760C5496"/>
    <w:rsid w:val="762A1372"/>
    <w:rsid w:val="76504F66"/>
    <w:rsid w:val="76664502"/>
    <w:rsid w:val="7681B09A"/>
    <w:rsid w:val="769EF31A"/>
    <w:rsid w:val="76C9664F"/>
    <w:rsid w:val="76D04320"/>
    <w:rsid w:val="76FD0846"/>
    <w:rsid w:val="7706310F"/>
    <w:rsid w:val="77188BC8"/>
    <w:rsid w:val="77484EE1"/>
    <w:rsid w:val="775BB5FE"/>
    <w:rsid w:val="77612599"/>
    <w:rsid w:val="7769D9B3"/>
    <w:rsid w:val="77924781"/>
    <w:rsid w:val="779ADE8F"/>
    <w:rsid w:val="779CF64C"/>
    <w:rsid w:val="77C3CAFC"/>
    <w:rsid w:val="77D302FD"/>
    <w:rsid w:val="77DAAC8A"/>
    <w:rsid w:val="77E1B8B6"/>
    <w:rsid w:val="77F88DBA"/>
    <w:rsid w:val="78287AB3"/>
    <w:rsid w:val="7881C6AE"/>
    <w:rsid w:val="7897BA05"/>
    <w:rsid w:val="78DF34D1"/>
    <w:rsid w:val="78F4E02A"/>
    <w:rsid w:val="79044439"/>
    <w:rsid w:val="790784F6"/>
    <w:rsid w:val="792696C3"/>
    <w:rsid w:val="792B1A9D"/>
    <w:rsid w:val="79369FBE"/>
    <w:rsid w:val="79491F64"/>
    <w:rsid w:val="795E1372"/>
    <w:rsid w:val="798C18FA"/>
    <w:rsid w:val="79D430F6"/>
    <w:rsid w:val="79DD8902"/>
    <w:rsid w:val="79FD21F2"/>
    <w:rsid w:val="7A1E2E87"/>
    <w:rsid w:val="7A3FA2F6"/>
    <w:rsid w:val="7AA261A1"/>
    <w:rsid w:val="7AADD19E"/>
    <w:rsid w:val="7ABD5173"/>
    <w:rsid w:val="7AF47FF8"/>
    <w:rsid w:val="7B2D9224"/>
    <w:rsid w:val="7B4B6529"/>
    <w:rsid w:val="7B744603"/>
    <w:rsid w:val="7B8C8694"/>
    <w:rsid w:val="7BB51D0D"/>
    <w:rsid w:val="7C246322"/>
    <w:rsid w:val="7C25BC5E"/>
    <w:rsid w:val="7C31B512"/>
    <w:rsid w:val="7C34767F"/>
    <w:rsid w:val="7C360890"/>
    <w:rsid w:val="7C50C790"/>
    <w:rsid w:val="7C66F6AC"/>
    <w:rsid w:val="7C69E689"/>
    <w:rsid w:val="7C792B9D"/>
    <w:rsid w:val="7C9753B2"/>
    <w:rsid w:val="7CD58686"/>
    <w:rsid w:val="7CE2BED3"/>
    <w:rsid w:val="7D24AFDE"/>
    <w:rsid w:val="7D600E21"/>
    <w:rsid w:val="7D8156A6"/>
    <w:rsid w:val="7D918465"/>
    <w:rsid w:val="7DA2296A"/>
    <w:rsid w:val="7DE7B221"/>
    <w:rsid w:val="7DF88095"/>
    <w:rsid w:val="7E07DB9B"/>
    <w:rsid w:val="7E2B336B"/>
    <w:rsid w:val="7E381AAF"/>
    <w:rsid w:val="7E419D20"/>
    <w:rsid w:val="7E84BFDE"/>
    <w:rsid w:val="7E89E5C7"/>
    <w:rsid w:val="7E900697"/>
    <w:rsid w:val="7EB8D40A"/>
    <w:rsid w:val="7EC32622"/>
    <w:rsid w:val="7F0F5A93"/>
    <w:rsid w:val="7F17D49C"/>
    <w:rsid w:val="7F4B2D71"/>
    <w:rsid w:val="7F6826A7"/>
    <w:rsid w:val="7F8BE560"/>
    <w:rsid w:val="7FC0CF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57DEE4F2"/>
  <w15:chartTrackingRefBased/>
  <w15:docId w15:val="{44CAA299-4134-4B80-A1DA-5B17A94D6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6613D"/>
    <w:pPr>
      <w:keepNext/>
      <w:keepLines/>
      <w:spacing w:before="240" w:after="0"/>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unhideWhenUsed/>
    <w:qFormat/>
    <w:rsid w:val="00A26B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4D3C4D"/>
    <w:rPr>
      <w:color w:val="0000FF"/>
      <w:shd w:val="clear" w:color="auto" w:fill="auto"/>
    </w:rPr>
  </w:style>
  <w:style w:type="paragraph" w:styleId="Header">
    <w:name w:val="header"/>
    <w:basedOn w:val="Normal"/>
    <w:link w:val="HeaderChar"/>
    <w:uiPriority w:val="99"/>
    <w:unhideWhenUsed/>
    <w:rsid w:val="004D3C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C4D"/>
  </w:style>
  <w:style w:type="paragraph" w:styleId="Footer">
    <w:name w:val="footer"/>
    <w:basedOn w:val="Normal"/>
    <w:link w:val="FooterChar"/>
    <w:uiPriority w:val="99"/>
    <w:unhideWhenUsed/>
    <w:rsid w:val="004D3C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C4D"/>
  </w:style>
  <w:style w:type="paragraph" w:customStyle="1" w:styleId="Pagedecouverture">
    <w:name w:val="Page de couverture"/>
    <w:basedOn w:val="Normal"/>
    <w:next w:val="Normal"/>
    <w:rsid w:val="004D3C4D"/>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4D3C4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D3C4D"/>
    <w:rPr>
      <w:rFonts w:ascii="Times New Roman" w:hAnsi="Times New Roman" w:cs="Times New Roman"/>
      <w:sz w:val="24"/>
    </w:rPr>
  </w:style>
  <w:style w:type="paragraph" w:customStyle="1" w:styleId="FooterSensitivity">
    <w:name w:val="Footer Sensitivity"/>
    <w:basedOn w:val="Normal"/>
    <w:link w:val="FooterSensitivityChar"/>
    <w:rsid w:val="004D3C4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D3C4D"/>
    <w:rPr>
      <w:rFonts w:ascii="Times New Roman" w:hAnsi="Times New Roman" w:cs="Times New Roman"/>
      <w:b/>
      <w:sz w:val="32"/>
    </w:rPr>
  </w:style>
  <w:style w:type="paragraph" w:customStyle="1" w:styleId="HeaderCoverPage">
    <w:name w:val="Header Cover Page"/>
    <w:basedOn w:val="Normal"/>
    <w:link w:val="HeaderCoverPageChar"/>
    <w:rsid w:val="004D3C4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D3C4D"/>
    <w:rPr>
      <w:rFonts w:ascii="Times New Roman" w:hAnsi="Times New Roman" w:cs="Times New Roman"/>
      <w:sz w:val="24"/>
    </w:rPr>
  </w:style>
  <w:style w:type="paragraph" w:customStyle="1" w:styleId="HeaderSensitivity">
    <w:name w:val="Header Sensitivity"/>
    <w:basedOn w:val="Normal"/>
    <w:link w:val="HeaderSensitivityChar"/>
    <w:rsid w:val="004D3C4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D3C4D"/>
    <w:rPr>
      <w:rFonts w:ascii="Times New Roman" w:hAnsi="Times New Roman" w:cs="Times New Roman"/>
      <w:b/>
      <w:sz w:val="32"/>
    </w:rPr>
  </w:style>
  <w:style w:type="paragraph" w:customStyle="1" w:styleId="HeaderSensitivityRight">
    <w:name w:val="Header Sensitivity Right"/>
    <w:basedOn w:val="Normal"/>
    <w:link w:val="HeaderSensitivityRightChar"/>
    <w:rsid w:val="004D3C4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D3C4D"/>
    <w:rPr>
      <w:rFonts w:ascii="Times New Roman" w:hAnsi="Times New Roman" w:cs="Times New Roman"/>
      <w:sz w:val="28"/>
    </w:rPr>
  </w:style>
  <w:style w:type="paragraph" w:styleId="ListParagraph">
    <w:name w:val="List Paragraph"/>
    <w:aliases w:val="Heading 2_sj,List_Paragraph,Multilevel para_II,List Paragraph1,Akapit z listą BS,Main numbered paragraph,Dot pt,F5 List Paragraph,No Spacing1,List Paragraph Char Char Char,Indicator Text,Colorful List - Accent 11,Numbered Para 1,L"/>
    <w:basedOn w:val="Normal"/>
    <w:link w:val="ListParagraphChar"/>
    <w:uiPriority w:val="34"/>
    <w:qFormat/>
    <w:rsid w:val="008264D2"/>
    <w:pPr>
      <w:ind w:left="720"/>
      <w:contextualSpacing/>
    </w:pPr>
  </w:style>
  <w:style w:type="character" w:customStyle="1" w:styleId="Heading1Char">
    <w:name w:val="Heading 1 Char"/>
    <w:basedOn w:val="DefaultParagraphFont"/>
    <w:link w:val="Heading1"/>
    <w:uiPriority w:val="9"/>
    <w:rsid w:val="00E6613D"/>
    <w:rPr>
      <w:rFonts w:asciiTheme="majorHAnsi" w:eastAsiaTheme="majorEastAsia" w:hAnsiTheme="majorHAnsi" w:cstheme="majorBidi"/>
      <w:color w:val="2F5496" w:themeColor="accent1" w:themeShade="BF"/>
      <w:kern w:val="0"/>
      <w:sz w:val="32"/>
      <w:szCs w:val="32"/>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E6613D"/>
    <w:pPr>
      <w:spacing w:after="0" w:line="240" w:lineRule="auto"/>
    </w:pPr>
    <w:rPr>
      <w:kern w:val="0"/>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6613D"/>
    <w:rPr>
      <w:kern w:val="0"/>
      <w:sz w:val="20"/>
      <w:szCs w:val="20"/>
    </w:rPr>
  </w:style>
  <w:style w:type="character" w:styleId="FootnoteReference">
    <w:name w:val="footnote reference"/>
    <w:aliases w:val="ftref, BVI fnr,Ref,de nota al pie,16 Point,Superscript 6 Point,BVI fnr,Знак сноски-FN,Footnote Reference Superscript,Footnote symbol,???? ??????-FN,Footnote Reference Number,Footnote Reference_LVL6,Footnote Reference_LVL61,footnote re"/>
    <w:basedOn w:val="DefaultParagraphFont"/>
    <w:link w:val="FNRefeCharChar"/>
    <w:unhideWhenUsed/>
    <w:qFormat/>
    <w:rsid w:val="00E6613D"/>
    <w:rPr>
      <w:vertAlign w:val="superscript"/>
    </w:rPr>
  </w:style>
  <w:style w:type="character" w:styleId="Hyperlink">
    <w:name w:val="Hyperlink"/>
    <w:basedOn w:val="DefaultParagraphFont"/>
    <w:uiPriority w:val="99"/>
    <w:unhideWhenUsed/>
    <w:rsid w:val="00E6613D"/>
    <w:rPr>
      <w:color w:val="0563C1" w:themeColor="hyperlink"/>
      <w:u w:val="single"/>
    </w:rPr>
  </w:style>
  <w:style w:type="paragraph" w:customStyle="1" w:styleId="FNRefeCharChar">
    <w:name w:val="FNRefe Char Char"/>
    <w:basedOn w:val="Normal"/>
    <w:link w:val="FootnoteReference"/>
    <w:uiPriority w:val="99"/>
    <w:rsid w:val="00E6613D"/>
    <w:pPr>
      <w:spacing w:after="200" w:line="240" w:lineRule="exact"/>
      <w:jc w:val="both"/>
    </w:pPr>
    <w:rPr>
      <w:vertAlign w:val="superscript"/>
    </w:rPr>
  </w:style>
  <w:style w:type="character" w:styleId="CommentReference">
    <w:name w:val="annotation reference"/>
    <w:basedOn w:val="DefaultParagraphFont"/>
    <w:uiPriority w:val="99"/>
    <w:semiHidden/>
    <w:unhideWhenUsed/>
    <w:rsid w:val="00EA58F7"/>
    <w:rPr>
      <w:sz w:val="16"/>
      <w:szCs w:val="16"/>
    </w:rPr>
  </w:style>
  <w:style w:type="paragraph" w:styleId="CommentText">
    <w:name w:val="annotation text"/>
    <w:basedOn w:val="Normal"/>
    <w:link w:val="CommentTextChar"/>
    <w:uiPriority w:val="99"/>
    <w:unhideWhenUsed/>
    <w:rsid w:val="00EA58F7"/>
    <w:pPr>
      <w:spacing w:line="240" w:lineRule="auto"/>
    </w:pPr>
    <w:rPr>
      <w:sz w:val="20"/>
      <w:szCs w:val="20"/>
    </w:rPr>
  </w:style>
  <w:style w:type="character" w:customStyle="1" w:styleId="CommentTextChar">
    <w:name w:val="Comment Text Char"/>
    <w:basedOn w:val="DefaultParagraphFont"/>
    <w:link w:val="CommentText"/>
    <w:uiPriority w:val="99"/>
    <w:rsid w:val="00EA58F7"/>
    <w:rPr>
      <w:sz w:val="20"/>
      <w:szCs w:val="20"/>
    </w:rPr>
  </w:style>
  <w:style w:type="paragraph" w:styleId="CommentSubject">
    <w:name w:val="annotation subject"/>
    <w:basedOn w:val="CommentText"/>
    <w:next w:val="CommentText"/>
    <w:link w:val="CommentSubjectChar"/>
    <w:uiPriority w:val="99"/>
    <w:semiHidden/>
    <w:unhideWhenUsed/>
    <w:rsid w:val="00EA58F7"/>
    <w:rPr>
      <w:b/>
      <w:bCs/>
    </w:rPr>
  </w:style>
  <w:style w:type="character" w:customStyle="1" w:styleId="CommentSubjectChar">
    <w:name w:val="Comment Subject Char"/>
    <w:basedOn w:val="CommentTextChar"/>
    <w:link w:val="CommentSubject"/>
    <w:uiPriority w:val="99"/>
    <w:semiHidden/>
    <w:rsid w:val="00EA58F7"/>
    <w:rPr>
      <w:b/>
      <w:bCs/>
      <w:sz w:val="20"/>
      <w:szCs w:val="20"/>
    </w:rPr>
  </w:style>
  <w:style w:type="table" w:styleId="TableGrid">
    <w:name w:val="Table Grid"/>
    <w:basedOn w:val="TableNormal"/>
    <w:uiPriority w:val="59"/>
    <w:rsid w:val="0035365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6053CE"/>
    <w:pPr>
      <w:spacing w:after="0" w:line="240" w:lineRule="auto"/>
    </w:pPr>
  </w:style>
  <w:style w:type="paragraph" w:customStyle="1" w:styleId="NoteHead">
    <w:name w:val="NoteHead"/>
    <w:basedOn w:val="Normal"/>
    <w:uiPriority w:val="2"/>
    <w:rsid w:val="00791DA9"/>
    <w:pPr>
      <w:spacing w:before="720" w:after="720"/>
      <w:contextualSpacing/>
      <w:jc w:val="center"/>
    </w:pPr>
    <w:rPr>
      <w:b/>
      <w:bCs/>
      <w:smallCaps/>
    </w:rPr>
  </w:style>
  <w:style w:type="paragraph" w:customStyle="1" w:styleId="Bullet1">
    <w:name w:val="Bullet 1"/>
    <w:aliases w:val="Bullet1,BTBullet1,b1,bullets"/>
    <w:basedOn w:val="Normal"/>
    <w:uiPriority w:val="6"/>
    <w:qFormat/>
    <w:rsid w:val="005431EC"/>
    <w:pPr>
      <w:numPr>
        <w:numId w:val="17"/>
      </w:numPr>
      <w:tabs>
        <w:tab w:val="num" w:pos="360"/>
      </w:tabs>
      <w:spacing w:before="120" w:after="120" w:line="276" w:lineRule="auto"/>
      <w:ind w:left="0" w:firstLine="0"/>
      <w:contextualSpacing/>
    </w:pPr>
    <w:rPr>
      <w:rFonts w:ascii="EC Square Sans Pro" w:eastAsiaTheme="minorEastAsia" w:hAnsi="EC Square Sans Pro"/>
      <w:color w:val="000000" w:themeColor="text1"/>
      <w:kern w:val="0"/>
    </w:rPr>
  </w:style>
  <w:style w:type="paragraph" w:customStyle="1" w:styleId="Bullet2">
    <w:name w:val="Bullet 2"/>
    <w:aliases w:val="Bullet2,BTBullet2"/>
    <w:basedOn w:val="Normal"/>
    <w:uiPriority w:val="6"/>
    <w:qFormat/>
    <w:rsid w:val="005431EC"/>
    <w:pPr>
      <w:numPr>
        <w:ilvl w:val="1"/>
        <w:numId w:val="17"/>
      </w:numPr>
      <w:spacing w:before="120" w:after="120" w:line="276" w:lineRule="auto"/>
      <w:contextualSpacing/>
    </w:pPr>
    <w:rPr>
      <w:rFonts w:ascii="EC Square Sans Pro" w:eastAsiaTheme="minorEastAsia" w:hAnsi="EC Square Sans Pro"/>
      <w:color w:val="000000" w:themeColor="text1"/>
      <w:kern w:val="0"/>
    </w:rPr>
  </w:style>
  <w:style w:type="paragraph" w:customStyle="1" w:styleId="Bullet3">
    <w:name w:val="Bullet 3"/>
    <w:aliases w:val="Bullet3,BTBullet3"/>
    <w:basedOn w:val="Bullet2"/>
    <w:uiPriority w:val="6"/>
    <w:qFormat/>
    <w:rsid w:val="005431EC"/>
    <w:pPr>
      <w:numPr>
        <w:ilvl w:val="2"/>
      </w:numPr>
      <w:tabs>
        <w:tab w:val="num" w:pos="1021"/>
      </w:tabs>
      <w:ind w:left="1021" w:hanging="341"/>
    </w:pPr>
  </w:style>
  <w:style w:type="character" w:customStyle="1" w:styleId="ListParagraphChar">
    <w:name w:val="List Paragraph Char"/>
    <w:aliases w:val="Heading 2_sj Char,List_Paragraph Char,Multilevel para_II Char,List Paragraph1 Char,Akapit z listą BS Char,Main numbered paragraph Char,Dot pt Char,F5 List Paragraph Char,No Spacing1 Char,List Paragraph Char Char Char Char,L Char"/>
    <w:basedOn w:val="DefaultParagraphFont"/>
    <w:link w:val="ListParagraph"/>
    <w:uiPriority w:val="34"/>
    <w:locked/>
    <w:rsid w:val="00B64DDE"/>
  </w:style>
  <w:style w:type="paragraph" w:styleId="TOCHeading">
    <w:name w:val="TOC Heading"/>
    <w:basedOn w:val="Heading1"/>
    <w:next w:val="Normal"/>
    <w:uiPriority w:val="39"/>
    <w:unhideWhenUsed/>
    <w:qFormat/>
    <w:rsid w:val="00D1634A"/>
    <w:pPr>
      <w:outlineLvl w:val="9"/>
    </w:pPr>
  </w:style>
  <w:style w:type="paragraph" w:styleId="TOC1">
    <w:name w:val="toc 1"/>
    <w:basedOn w:val="Normal"/>
    <w:next w:val="Normal"/>
    <w:autoRedefine/>
    <w:uiPriority w:val="39"/>
    <w:unhideWhenUsed/>
    <w:rsid w:val="004B7640"/>
    <w:pPr>
      <w:tabs>
        <w:tab w:val="left" w:pos="440"/>
        <w:tab w:val="right" w:leader="dot" w:pos="9016"/>
      </w:tabs>
      <w:spacing w:after="100" w:line="240" w:lineRule="auto"/>
    </w:pPr>
  </w:style>
  <w:style w:type="character" w:customStyle="1" w:styleId="Heading2Char">
    <w:name w:val="Heading 2 Char"/>
    <w:basedOn w:val="DefaultParagraphFont"/>
    <w:link w:val="Heading2"/>
    <w:uiPriority w:val="9"/>
    <w:rsid w:val="00A26BD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B52E93"/>
    <w:pPr>
      <w:tabs>
        <w:tab w:val="left" w:pos="880"/>
        <w:tab w:val="right" w:leader="dot" w:pos="9016"/>
      </w:tabs>
      <w:spacing w:after="100"/>
      <w:ind w:left="220"/>
    </w:p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uiPriority w:val="99"/>
    <w:rsid w:val="0080639A"/>
    <w:pPr>
      <w:spacing w:line="240" w:lineRule="exact"/>
    </w:pPr>
    <w:rPr>
      <w:kern w:val="0"/>
      <w:sz w:val="20"/>
      <w:vertAlign w:val="superscript"/>
    </w:rPr>
  </w:style>
  <w:style w:type="paragraph" w:customStyle="1" w:styleId="BodyText1">
    <w:name w:val="Body Text1"/>
    <w:basedOn w:val="Normal"/>
    <w:link w:val="BodytextChar"/>
    <w:qFormat/>
    <w:rsid w:val="00E63893"/>
    <w:pPr>
      <w:spacing w:before="120" w:after="120" w:line="276" w:lineRule="auto"/>
      <w:jc w:val="both"/>
    </w:pPr>
    <w:rPr>
      <w:rFonts w:ascii="EC Square Sans Pro" w:eastAsia="Times New Roman" w:hAnsi="EC Square Sans Pro" w:cs="Times New Roman"/>
      <w:noProof/>
      <w:kern w:val="0"/>
    </w:rPr>
  </w:style>
  <w:style w:type="character" w:customStyle="1" w:styleId="BodytextChar">
    <w:name w:val="Body text Char"/>
    <w:link w:val="BodyText1"/>
    <w:rsid w:val="00E63893"/>
    <w:rPr>
      <w:rFonts w:ascii="EC Square Sans Pro" w:eastAsia="Times New Roman" w:hAnsi="EC Square Sans Pro" w:cs="Times New Roman"/>
      <w:noProof/>
      <w:kern w:val="0"/>
    </w:rPr>
  </w:style>
  <w:style w:type="character" w:styleId="FollowedHyperlink">
    <w:name w:val="FollowedHyperlink"/>
    <w:basedOn w:val="DefaultParagraphFont"/>
    <w:uiPriority w:val="99"/>
    <w:semiHidden/>
    <w:unhideWhenUsed/>
    <w:rsid w:val="00917098"/>
    <w:rPr>
      <w:color w:val="954F72" w:themeColor="followedHyperlink"/>
      <w:u w:val="single"/>
    </w:rPr>
  </w:style>
  <w:style w:type="paragraph" w:styleId="Caption">
    <w:name w:val="caption"/>
    <w:basedOn w:val="Normal"/>
    <w:next w:val="Normal"/>
    <w:uiPriority w:val="35"/>
    <w:unhideWhenUsed/>
    <w:qFormat/>
    <w:rsid w:val="00FD45DF"/>
    <w:pPr>
      <w:spacing w:after="200" w:line="240" w:lineRule="auto"/>
    </w:pPr>
    <w:rPr>
      <w:i/>
      <w:iCs/>
      <w:color w:val="44546A" w:themeColor="text2"/>
      <w:sz w:val="18"/>
      <w:szCs w:val="18"/>
    </w:rPr>
  </w:style>
  <w:style w:type="character" w:customStyle="1" w:styleId="UnresolvedMention">
    <w:name w:val="Unresolved Mention"/>
    <w:basedOn w:val="DefaultParagraphFont"/>
    <w:uiPriority w:val="99"/>
    <w:semiHidden/>
    <w:unhideWhenUsed/>
    <w:rsid w:val="00647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86707">
      <w:bodyDiv w:val="1"/>
      <w:marLeft w:val="0"/>
      <w:marRight w:val="0"/>
      <w:marTop w:val="0"/>
      <w:marBottom w:val="0"/>
      <w:divBdr>
        <w:top w:val="none" w:sz="0" w:space="0" w:color="auto"/>
        <w:left w:val="none" w:sz="0" w:space="0" w:color="auto"/>
        <w:bottom w:val="none" w:sz="0" w:space="0" w:color="auto"/>
        <w:right w:val="none" w:sz="0" w:space="0" w:color="auto"/>
      </w:divBdr>
    </w:div>
    <w:div w:id="279726505">
      <w:bodyDiv w:val="1"/>
      <w:marLeft w:val="0"/>
      <w:marRight w:val="0"/>
      <w:marTop w:val="0"/>
      <w:marBottom w:val="0"/>
      <w:divBdr>
        <w:top w:val="none" w:sz="0" w:space="0" w:color="auto"/>
        <w:left w:val="none" w:sz="0" w:space="0" w:color="auto"/>
        <w:bottom w:val="none" w:sz="0" w:space="0" w:color="auto"/>
        <w:right w:val="none" w:sz="0" w:space="0" w:color="auto"/>
      </w:divBdr>
    </w:div>
    <w:div w:id="1287783385">
      <w:bodyDiv w:val="1"/>
      <w:marLeft w:val="0"/>
      <w:marRight w:val="0"/>
      <w:marTop w:val="0"/>
      <w:marBottom w:val="0"/>
      <w:divBdr>
        <w:top w:val="none" w:sz="0" w:space="0" w:color="auto"/>
        <w:left w:val="none" w:sz="0" w:space="0" w:color="auto"/>
        <w:bottom w:val="none" w:sz="0" w:space="0" w:color="auto"/>
        <w:right w:val="none" w:sz="0" w:space="0" w:color="auto"/>
      </w:divBdr>
    </w:div>
    <w:div w:id="1890217146">
      <w:bodyDiv w:val="1"/>
      <w:marLeft w:val="0"/>
      <w:marRight w:val="0"/>
      <w:marTop w:val="0"/>
      <w:marBottom w:val="0"/>
      <w:divBdr>
        <w:top w:val="none" w:sz="0" w:space="0" w:color="auto"/>
        <w:left w:val="none" w:sz="0" w:space="0" w:color="auto"/>
        <w:bottom w:val="none" w:sz="0" w:space="0" w:color="auto"/>
        <w:right w:val="none" w:sz="0" w:space="0" w:color="auto"/>
      </w:divBdr>
    </w:div>
    <w:div w:id="191516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uri=CELEX%3A52024DC0091" TargetMode="External"/><Relationship Id="rId7" Type="http://schemas.openxmlformats.org/officeDocument/2006/relationships/hyperlink" Target="https://europa.eu/eurobarometer/surveys/detail/2977" TargetMode="External"/><Relationship Id="rId2" Type="http://schemas.openxmlformats.org/officeDocument/2006/relationships/hyperlink" Target="https://ec.europa.eu/echo/files/evaluation/2024/report_interim%20evaluation%20of%20the%20implementation%20of%20decision%20no.%2013132013eu%20on%20a%20union%20civil%20protection%20mechanism%20v1.pdf" TargetMode="External"/><Relationship Id="rId1" Type="http://schemas.openxmlformats.org/officeDocument/2006/relationships/hyperlink" Target="https://ec.europa.eu/echo/files/evaluation/2024/report_interim%20evaluation%20of%20the%20implementation%20of%20decision%20no.%2013132013eu%20on%20a%20union%20civil%20protection%20mechanism%20v1.pdf" TargetMode="External"/><Relationship Id="rId6" Type="http://schemas.openxmlformats.org/officeDocument/2006/relationships/hyperlink" Target="https://data.europa.eu/doi/10.2777/517560" TargetMode="External"/><Relationship Id="rId5" Type="http://schemas.openxmlformats.org/officeDocument/2006/relationships/hyperlink" Target="https://eur-lex.europa.eu/legal-content/EN/TXT/?uri=COM%3A2023%3A61%3AFIN&amp;qid=1675958089171" TargetMode="External"/><Relationship Id="rId4" Type="http://schemas.openxmlformats.org/officeDocument/2006/relationships/hyperlink" Target="https://eur-lex.europa.eu/legal-content/FR/TXT/?uri=CELEX%3A32023H0215%280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6" ma:contentTypeDescription="Create a new document." ma:contentTypeScope="" ma:versionID="05e6a7a9f97f78c1ab1a2929ba03b847">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9de7d14dc553bd9d7d3dbb12e00cb9f"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09f5638-e632-4508-a0b3-c84a82e8b4cd}"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9695A-3448-45C4-A496-A7660CF72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381857-99A1-4EDD-BB83-96B6FAE61A90}">
  <ds:schemaRefs>
    <ds:schemaRef ds:uri="http://schemas.microsoft.com/sharepoint/v3/contenttype/forms"/>
  </ds:schemaRefs>
</ds:datastoreItem>
</file>

<file path=customXml/itemProps3.xml><?xml version="1.0" encoding="utf-8"?>
<ds:datastoreItem xmlns:ds="http://schemas.openxmlformats.org/officeDocument/2006/customXml" ds:itemID="{1B92C7D6-E043-43C3-B0E9-5C16CF396A1A}">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9D8C709F-D6DE-436A-A415-FA1210BCD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4241</Words>
  <Characters>24178</Characters>
  <Application>Microsoft Office Word</Application>
  <DocSecurity>0</DocSecurity>
  <Lines>201</Lines>
  <Paragraphs>56</Paragraphs>
  <ScaleCrop>false</ScaleCrop>
  <Manager/>
  <Company/>
  <LinksUpToDate>false</LinksUpToDate>
  <CharactersWithSpaces>28363</CharactersWithSpaces>
  <SharedDoc>false</SharedDoc>
  <HLinks>
    <vt:vector size="72" baseType="variant">
      <vt:variant>
        <vt:i4>1507379</vt:i4>
      </vt:variant>
      <vt:variant>
        <vt:i4>26</vt:i4>
      </vt:variant>
      <vt:variant>
        <vt:i4>0</vt:i4>
      </vt:variant>
      <vt:variant>
        <vt:i4>5</vt:i4>
      </vt:variant>
      <vt:variant>
        <vt:lpwstr/>
      </vt:variant>
      <vt:variant>
        <vt:lpwstr>_Toc165040367</vt:lpwstr>
      </vt:variant>
      <vt:variant>
        <vt:i4>1507379</vt:i4>
      </vt:variant>
      <vt:variant>
        <vt:i4>20</vt:i4>
      </vt:variant>
      <vt:variant>
        <vt:i4>0</vt:i4>
      </vt:variant>
      <vt:variant>
        <vt:i4>5</vt:i4>
      </vt:variant>
      <vt:variant>
        <vt:lpwstr/>
      </vt:variant>
      <vt:variant>
        <vt:lpwstr>_Toc165040366</vt:lpwstr>
      </vt:variant>
      <vt:variant>
        <vt:i4>1507379</vt:i4>
      </vt:variant>
      <vt:variant>
        <vt:i4>14</vt:i4>
      </vt:variant>
      <vt:variant>
        <vt:i4>0</vt:i4>
      </vt:variant>
      <vt:variant>
        <vt:i4>5</vt:i4>
      </vt:variant>
      <vt:variant>
        <vt:lpwstr/>
      </vt:variant>
      <vt:variant>
        <vt:lpwstr>_Toc165040365</vt:lpwstr>
      </vt:variant>
      <vt:variant>
        <vt:i4>1507379</vt:i4>
      </vt:variant>
      <vt:variant>
        <vt:i4>8</vt:i4>
      </vt:variant>
      <vt:variant>
        <vt:i4>0</vt:i4>
      </vt:variant>
      <vt:variant>
        <vt:i4>5</vt:i4>
      </vt:variant>
      <vt:variant>
        <vt:lpwstr/>
      </vt:variant>
      <vt:variant>
        <vt:lpwstr>_Toc165040364</vt:lpwstr>
      </vt:variant>
      <vt:variant>
        <vt:i4>1507379</vt:i4>
      </vt:variant>
      <vt:variant>
        <vt:i4>2</vt:i4>
      </vt:variant>
      <vt:variant>
        <vt:i4>0</vt:i4>
      </vt:variant>
      <vt:variant>
        <vt:i4>5</vt:i4>
      </vt:variant>
      <vt:variant>
        <vt:lpwstr/>
      </vt:variant>
      <vt:variant>
        <vt:lpwstr>_Toc165040363</vt:lpwstr>
      </vt:variant>
      <vt:variant>
        <vt:i4>2293864</vt:i4>
      </vt:variant>
      <vt:variant>
        <vt:i4>18</vt:i4>
      </vt:variant>
      <vt:variant>
        <vt:i4>0</vt:i4>
      </vt:variant>
      <vt:variant>
        <vt:i4>5</vt:i4>
      </vt:variant>
      <vt:variant>
        <vt:lpwstr>https://europa.eu/eurobarometer/surveys/detail/2977</vt:lpwstr>
      </vt:variant>
      <vt:variant>
        <vt:lpwstr/>
      </vt:variant>
      <vt:variant>
        <vt:i4>720913</vt:i4>
      </vt:variant>
      <vt:variant>
        <vt:i4>15</vt:i4>
      </vt:variant>
      <vt:variant>
        <vt:i4>0</vt:i4>
      </vt:variant>
      <vt:variant>
        <vt:i4>5</vt:i4>
      </vt:variant>
      <vt:variant>
        <vt:lpwstr>https://data.europa.eu/doi/10.2777/517560</vt:lpwstr>
      </vt:variant>
      <vt:variant>
        <vt:lpwstr/>
      </vt:variant>
      <vt:variant>
        <vt:i4>2359405</vt:i4>
      </vt:variant>
      <vt:variant>
        <vt:i4>12</vt:i4>
      </vt:variant>
      <vt:variant>
        <vt:i4>0</vt:i4>
      </vt:variant>
      <vt:variant>
        <vt:i4>5</vt:i4>
      </vt:variant>
      <vt:variant>
        <vt:lpwstr>https://eur-lex.europa.eu/legal-content/EN/TXT/?uri=COM%3A2023%3A61%3AFIN&amp;qid=1675958089171</vt:lpwstr>
      </vt:variant>
      <vt:variant>
        <vt:lpwstr/>
      </vt:variant>
      <vt:variant>
        <vt:i4>1179738</vt:i4>
      </vt:variant>
      <vt:variant>
        <vt:i4>9</vt:i4>
      </vt:variant>
      <vt:variant>
        <vt:i4>0</vt:i4>
      </vt:variant>
      <vt:variant>
        <vt:i4>5</vt:i4>
      </vt:variant>
      <vt:variant>
        <vt:lpwstr>https://eur-lex.europa.eu/legal-content/EN/TXT/?uri=CELEX:32023H0215(01)</vt:lpwstr>
      </vt:variant>
      <vt:variant>
        <vt:lpwstr/>
      </vt:variant>
      <vt:variant>
        <vt:i4>6029409</vt:i4>
      </vt:variant>
      <vt:variant>
        <vt:i4>6</vt:i4>
      </vt:variant>
      <vt:variant>
        <vt:i4>0</vt:i4>
      </vt:variant>
      <vt:variant>
        <vt:i4>5</vt:i4>
      </vt:variant>
      <vt:variant>
        <vt:lpwstr>https://climate.ec.europa.eu/document/download/b04a5ed8-83da-4007-9c25-1323ca4f3c92_en</vt:lpwstr>
      </vt:variant>
      <vt:variant>
        <vt:lpwstr/>
      </vt:variant>
      <vt:variant>
        <vt:i4>3407882</vt:i4>
      </vt:variant>
      <vt:variant>
        <vt:i4>3</vt:i4>
      </vt:variant>
      <vt:variant>
        <vt:i4>0</vt:i4>
      </vt:variant>
      <vt:variant>
        <vt:i4>5</vt:i4>
      </vt:variant>
      <vt:variant>
        <vt:lpwstr>https://ec.europa.eu/echo/files/evaluation/2024/report_interim evaluation of the implementation of decision no. 13132013eu on a union civil protection mechanism v1.pdf</vt:lpwstr>
      </vt:variant>
      <vt:variant>
        <vt:lpwstr/>
      </vt:variant>
      <vt:variant>
        <vt:i4>3407882</vt:i4>
      </vt:variant>
      <vt:variant>
        <vt:i4>0</vt:i4>
      </vt:variant>
      <vt:variant>
        <vt:i4>0</vt:i4>
      </vt:variant>
      <vt:variant>
        <vt:i4>5</vt:i4>
      </vt:variant>
      <vt:variant>
        <vt:lpwstr>https://ec.europa.eu/echo/files/evaluation/2024/report_interim evaluation of the implementation of decision no. 13132013eu on a union civil protection mechanism v1.pdf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2024-05-13T12:23:00Z</dcterms:created>
  <dcterms:modified xsi:type="dcterms:W3CDTF">2024-05-29T06:21:00Z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2024-03-25T15:57:55Z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f9a37dc8-384c-42ee-8c76-958323e2a710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CP-011</vt:lpwstr>
  </property>
  <property fmtid="{D5CDD505-2E9C-101B-9397-08002B2CF9AE}" pid="14" name="Last edited using">
    <vt:lpwstr>LW 9.0, Build 20230317</vt:lpwstr>
  </property>
  <property fmtid="{D5CDD505-2E9C-101B-9397-08002B2CF9AE}" pid="15" name="Created using">
    <vt:lpwstr>LW 9.0, Build 20230317</vt:lpwstr>
  </property>
  <property fmtid="{D5CDD505-2E9C-101B-9397-08002B2CF9AE}" pid="16" name="ContentTypeId">
    <vt:lpwstr>0x01010062094E9F29D6C04F85860C631ABC812A</vt:lpwstr>
  </property>
  <property fmtid="{D5CDD505-2E9C-101B-9397-08002B2CF9AE}" pid="17" name="MediaServiceImageTags">
    <vt:lpwstr/>
  </property>
  <property fmtid="{D5CDD505-2E9C-101B-9397-08002B2CF9AE}" pid="18" name="lcf76f155ced4ddcb4097134ff3c332f">
    <vt:lpwstr>|</vt:lpwstr>
  </property>
  <property fmtid="{D5CDD505-2E9C-101B-9397-08002B2CF9AE}" pid="19" name="TaxCatchAll">
    <vt:lpwstr/>
  </property>
</Properties>
</file>