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DEE4F2" w14:textId="5978FEE5" w:rsidR="004D3C4D" w:rsidRPr="00851F05" w:rsidRDefault="00704F2E" w:rsidP="00704F2E">
      <w:pPr>
        <w:pStyle w:val="Pagedecouverture"/>
        <w:rPr>
          <w:noProof/>
        </w:rPr>
      </w:pPr>
      <w:bookmarkStart w:id="0" w:name="LW_BM_COVERPAGE"/>
      <w:r>
        <w:rPr>
          <w:noProof/>
        </w:rPr>
        <w:pict w14:anchorId="26C9BB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C8906983-90CA-4B20-A4A4-5A55A37B71CE" style="width:455.25pt;height:310.5pt">
            <v:imagedata r:id="rId11" o:title=""/>
          </v:shape>
        </w:pict>
      </w:r>
    </w:p>
    <w:bookmarkEnd w:id="0"/>
    <w:p w14:paraId="30523EE9" w14:textId="77777777" w:rsidR="00366DF9" w:rsidRPr="00851F05" w:rsidRDefault="00366DF9" w:rsidP="00366DF9">
      <w:pPr>
        <w:rPr>
          <w:noProof/>
        </w:rPr>
        <w:sectPr w:rsidR="00366DF9" w:rsidRPr="00851F05" w:rsidSect="00704F2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3277C22" w14:textId="7C1C75CD" w:rsidR="00B52E93" w:rsidRPr="00851F05" w:rsidRDefault="00B52E93" w:rsidP="004B7640">
      <w:pPr>
        <w:pStyle w:val="TOC1"/>
        <w:rPr>
          <w:noProof/>
        </w:rPr>
      </w:pPr>
      <w:bookmarkStart w:id="1" w:name="_GoBack"/>
      <w:bookmarkEnd w:id="1"/>
      <w:r w:rsidRPr="00851F05">
        <w:rPr>
          <w:noProof/>
        </w:rPr>
        <w:lastRenderedPageBreak/>
        <w:t>Cuprins</w:t>
      </w:r>
    </w:p>
    <w:p w14:paraId="5919BFBB" w14:textId="77777777" w:rsidR="00B52E93" w:rsidRPr="00851F05" w:rsidRDefault="00B52E93" w:rsidP="004B7640">
      <w:pPr>
        <w:pStyle w:val="TOC1"/>
        <w:rPr>
          <w:noProof/>
        </w:rPr>
      </w:pPr>
    </w:p>
    <w:p w14:paraId="0BF007C6" w14:textId="5F88A840" w:rsidR="00851F05" w:rsidRPr="00851F05" w:rsidRDefault="00B52E93">
      <w:pPr>
        <w:pStyle w:val="TOC1"/>
        <w:rPr>
          <w:rFonts w:eastAsiaTheme="minorEastAsia"/>
          <w:noProof/>
          <w:lang w:val="en-IE" w:eastAsia="en-IE"/>
        </w:rPr>
      </w:pPr>
      <w:r w:rsidRPr="00851F05">
        <w:rPr>
          <w:noProof/>
          <w:sz w:val="24"/>
        </w:rPr>
        <w:fldChar w:fldCharType="begin"/>
      </w:r>
      <w:r w:rsidRPr="00851F05">
        <w:rPr>
          <w:noProof/>
          <w:sz w:val="24"/>
        </w:rPr>
        <w:instrText xml:space="preserve"> TOC \o "1-1" \h \z \u </w:instrText>
      </w:r>
      <w:r w:rsidRPr="00851F05">
        <w:rPr>
          <w:noProof/>
          <w:sz w:val="24"/>
        </w:rPr>
        <w:fldChar w:fldCharType="separate"/>
      </w:r>
      <w:hyperlink w:anchor="_Toc167793180" w:history="1">
        <w:r w:rsidR="00851F05" w:rsidRPr="00851F05">
          <w:rPr>
            <w:rStyle w:val="Hyperlink"/>
            <w:rFonts w:ascii="Times New Roman" w:hAnsi="Times New Roman" w:cs="Times New Roman"/>
            <w:noProof/>
          </w:rPr>
          <w:t>1.</w:t>
        </w:r>
        <w:r w:rsidR="00851F05" w:rsidRPr="00851F05">
          <w:rPr>
            <w:rFonts w:eastAsiaTheme="minorEastAsia"/>
            <w:noProof/>
            <w:lang w:val="en-IE" w:eastAsia="en-IE"/>
          </w:rPr>
          <w:tab/>
        </w:r>
        <w:r w:rsidR="00851F05" w:rsidRPr="00851F05">
          <w:rPr>
            <w:rStyle w:val="Hyperlink"/>
            <w:rFonts w:ascii="Times New Roman" w:hAnsi="Times New Roman"/>
            <w:noProof/>
          </w:rPr>
          <w:t>Introducere – Mecanismul de protecție civilă al Uniunii consolidează gradul de pregătire al UE</w:t>
        </w:r>
        <w:r w:rsidR="00851F05" w:rsidRPr="00851F05">
          <w:rPr>
            <w:noProof/>
            <w:webHidden/>
          </w:rPr>
          <w:tab/>
        </w:r>
        <w:r w:rsidR="00851F05" w:rsidRPr="00851F05">
          <w:rPr>
            <w:noProof/>
            <w:webHidden/>
          </w:rPr>
          <w:fldChar w:fldCharType="begin"/>
        </w:r>
        <w:r w:rsidR="00851F05" w:rsidRPr="00851F05">
          <w:rPr>
            <w:noProof/>
            <w:webHidden/>
          </w:rPr>
          <w:instrText xml:space="preserve"> PAGEREF _Toc167793180 \h </w:instrText>
        </w:r>
        <w:r w:rsidR="00851F05" w:rsidRPr="00851F05">
          <w:rPr>
            <w:noProof/>
            <w:webHidden/>
          </w:rPr>
        </w:r>
        <w:r w:rsidR="00851F05" w:rsidRPr="00851F05">
          <w:rPr>
            <w:noProof/>
            <w:webHidden/>
          </w:rPr>
          <w:fldChar w:fldCharType="separate"/>
        </w:r>
        <w:r w:rsidR="00851F05" w:rsidRPr="00851F05">
          <w:rPr>
            <w:noProof/>
            <w:webHidden/>
          </w:rPr>
          <w:t>2</w:t>
        </w:r>
        <w:r w:rsidR="00851F05" w:rsidRPr="00851F05">
          <w:rPr>
            <w:noProof/>
            <w:webHidden/>
          </w:rPr>
          <w:fldChar w:fldCharType="end"/>
        </w:r>
      </w:hyperlink>
    </w:p>
    <w:p w14:paraId="1266EE3B" w14:textId="5E8E9C0C" w:rsidR="00851F05" w:rsidRPr="00851F05" w:rsidRDefault="00704F2E">
      <w:pPr>
        <w:pStyle w:val="TOC1"/>
        <w:rPr>
          <w:rFonts w:eastAsiaTheme="minorEastAsia"/>
          <w:noProof/>
          <w:lang w:val="en-IE" w:eastAsia="en-IE"/>
        </w:rPr>
      </w:pPr>
      <w:hyperlink w:anchor="_Toc167793181" w:history="1">
        <w:r w:rsidR="00851F05" w:rsidRPr="00851F05">
          <w:rPr>
            <w:rStyle w:val="Hyperlink"/>
            <w:rFonts w:ascii="Times New Roman" w:hAnsi="Times New Roman" w:cs="Times New Roman"/>
            <w:noProof/>
          </w:rPr>
          <w:t>2.</w:t>
        </w:r>
        <w:r w:rsidR="00851F05" w:rsidRPr="00851F05">
          <w:rPr>
            <w:rFonts w:eastAsiaTheme="minorEastAsia"/>
            <w:noProof/>
            <w:lang w:val="en-IE" w:eastAsia="en-IE"/>
          </w:rPr>
          <w:tab/>
        </w:r>
        <w:r w:rsidR="00851F05" w:rsidRPr="00851F05">
          <w:rPr>
            <w:rStyle w:val="Hyperlink"/>
            <w:rFonts w:ascii="Times New Roman" w:hAnsi="Times New Roman"/>
            <w:noProof/>
          </w:rPr>
          <w:t>Obținerea de rezultate în ciuda provocărilor. Amenințări emergente la orizont</w:t>
        </w:r>
        <w:r w:rsidR="00851F05" w:rsidRPr="00851F05">
          <w:rPr>
            <w:noProof/>
            <w:webHidden/>
          </w:rPr>
          <w:tab/>
        </w:r>
        <w:r w:rsidR="00851F05" w:rsidRPr="00851F05">
          <w:rPr>
            <w:noProof/>
            <w:webHidden/>
          </w:rPr>
          <w:fldChar w:fldCharType="begin"/>
        </w:r>
        <w:r w:rsidR="00851F05" w:rsidRPr="00851F05">
          <w:rPr>
            <w:noProof/>
            <w:webHidden/>
          </w:rPr>
          <w:instrText xml:space="preserve"> PAGEREF _Toc167793181 \h </w:instrText>
        </w:r>
        <w:r w:rsidR="00851F05" w:rsidRPr="00851F05">
          <w:rPr>
            <w:noProof/>
            <w:webHidden/>
          </w:rPr>
        </w:r>
        <w:r w:rsidR="00851F05" w:rsidRPr="00851F05">
          <w:rPr>
            <w:noProof/>
            <w:webHidden/>
          </w:rPr>
          <w:fldChar w:fldCharType="separate"/>
        </w:r>
        <w:r w:rsidR="00851F05" w:rsidRPr="00851F05">
          <w:rPr>
            <w:noProof/>
            <w:webHidden/>
          </w:rPr>
          <w:t>2</w:t>
        </w:r>
        <w:r w:rsidR="00851F05" w:rsidRPr="00851F05">
          <w:rPr>
            <w:noProof/>
            <w:webHidden/>
          </w:rPr>
          <w:fldChar w:fldCharType="end"/>
        </w:r>
      </w:hyperlink>
    </w:p>
    <w:p w14:paraId="11CE02DC" w14:textId="49F5DE6D" w:rsidR="00851F05" w:rsidRPr="00851F05" w:rsidRDefault="00704F2E">
      <w:pPr>
        <w:pStyle w:val="TOC1"/>
        <w:rPr>
          <w:rFonts w:eastAsiaTheme="minorEastAsia"/>
          <w:noProof/>
          <w:lang w:val="en-IE" w:eastAsia="en-IE"/>
        </w:rPr>
      </w:pPr>
      <w:hyperlink w:anchor="_Toc167793182" w:history="1">
        <w:r w:rsidR="00851F05" w:rsidRPr="00851F05">
          <w:rPr>
            <w:rStyle w:val="Hyperlink"/>
            <w:rFonts w:ascii="Times New Roman" w:hAnsi="Times New Roman" w:cs="Times New Roman"/>
            <w:noProof/>
          </w:rPr>
          <w:t>3.</w:t>
        </w:r>
        <w:r w:rsidR="00851F05" w:rsidRPr="00851F05">
          <w:rPr>
            <w:rFonts w:eastAsiaTheme="minorEastAsia"/>
            <w:noProof/>
            <w:lang w:val="en-IE" w:eastAsia="en-IE"/>
          </w:rPr>
          <w:tab/>
        </w:r>
        <w:r w:rsidR="00851F05" w:rsidRPr="00851F05">
          <w:rPr>
            <w:rStyle w:val="Hyperlink"/>
            <w:rFonts w:ascii="Times New Roman" w:hAnsi="Times New Roman"/>
            <w:noProof/>
          </w:rPr>
          <w:t>Constatările evaluării – UCPM funcționează într-un peisaj al riscurilor în continuă schimbare</w:t>
        </w:r>
        <w:r w:rsidR="00851F05" w:rsidRPr="00851F05">
          <w:rPr>
            <w:noProof/>
            <w:webHidden/>
          </w:rPr>
          <w:tab/>
        </w:r>
        <w:r w:rsidR="00851F05" w:rsidRPr="00851F05">
          <w:rPr>
            <w:noProof/>
            <w:webHidden/>
          </w:rPr>
          <w:fldChar w:fldCharType="begin"/>
        </w:r>
        <w:r w:rsidR="00851F05" w:rsidRPr="00851F05">
          <w:rPr>
            <w:noProof/>
            <w:webHidden/>
          </w:rPr>
          <w:instrText xml:space="preserve"> PAGEREF _Toc167793182 \h </w:instrText>
        </w:r>
        <w:r w:rsidR="00851F05" w:rsidRPr="00851F05">
          <w:rPr>
            <w:noProof/>
            <w:webHidden/>
          </w:rPr>
        </w:r>
        <w:r w:rsidR="00851F05" w:rsidRPr="00851F05">
          <w:rPr>
            <w:noProof/>
            <w:webHidden/>
          </w:rPr>
          <w:fldChar w:fldCharType="separate"/>
        </w:r>
        <w:r w:rsidR="00851F05" w:rsidRPr="00851F05">
          <w:rPr>
            <w:noProof/>
            <w:webHidden/>
          </w:rPr>
          <w:t>6</w:t>
        </w:r>
        <w:r w:rsidR="00851F05" w:rsidRPr="00851F05">
          <w:rPr>
            <w:noProof/>
            <w:webHidden/>
          </w:rPr>
          <w:fldChar w:fldCharType="end"/>
        </w:r>
      </w:hyperlink>
    </w:p>
    <w:p w14:paraId="275078F5" w14:textId="2F5BC75A" w:rsidR="00851F05" w:rsidRPr="00851F05" w:rsidRDefault="00704F2E">
      <w:pPr>
        <w:pStyle w:val="TOC1"/>
        <w:rPr>
          <w:rFonts w:eastAsiaTheme="minorEastAsia"/>
          <w:noProof/>
          <w:lang w:val="en-IE" w:eastAsia="en-IE"/>
        </w:rPr>
      </w:pPr>
      <w:hyperlink w:anchor="_Toc167793183" w:history="1">
        <w:r w:rsidR="00851F05" w:rsidRPr="00851F05">
          <w:rPr>
            <w:rStyle w:val="Hyperlink"/>
            <w:rFonts w:ascii="Times New Roman" w:hAnsi="Times New Roman" w:cs="Times New Roman"/>
            <w:noProof/>
          </w:rPr>
          <w:t>4.</w:t>
        </w:r>
        <w:r w:rsidR="00851F05" w:rsidRPr="00851F05">
          <w:rPr>
            <w:rFonts w:eastAsiaTheme="minorEastAsia"/>
            <w:noProof/>
            <w:lang w:val="en-IE" w:eastAsia="en-IE"/>
          </w:rPr>
          <w:tab/>
        </w:r>
        <w:r w:rsidR="00851F05" w:rsidRPr="00851F05">
          <w:rPr>
            <w:rStyle w:val="Hyperlink"/>
            <w:rFonts w:ascii="Times New Roman" w:hAnsi="Times New Roman"/>
            <w:noProof/>
          </w:rPr>
          <w:t>Privind în perspectivă – Învățăminte din trecut pentru a consolida capacitatea UE de a face față crizelor</w:t>
        </w:r>
        <w:r w:rsidR="00851F05" w:rsidRPr="00851F05">
          <w:rPr>
            <w:noProof/>
            <w:webHidden/>
          </w:rPr>
          <w:tab/>
        </w:r>
        <w:r w:rsidR="00851F05" w:rsidRPr="00851F05">
          <w:rPr>
            <w:noProof/>
            <w:webHidden/>
          </w:rPr>
          <w:fldChar w:fldCharType="begin"/>
        </w:r>
        <w:r w:rsidR="00851F05" w:rsidRPr="00851F05">
          <w:rPr>
            <w:noProof/>
            <w:webHidden/>
          </w:rPr>
          <w:instrText xml:space="preserve"> PAGEREF _Toc167793183 \h </w:instrText>
        </w:r>
        <w:r w:rsidR="00851F05" w:rsidRPr="00851F05">
          <w:rPr>
            <w:noProof/>
            <w:webHidden/>
          </w:rPr>
        </w:r>
        <w:r w:rsidR="00851F05" w:rsidRPr="00851F05">
          <w:rPr>
            <w:noProof/>
            <w:webHidden/>
          </w:rPr>
          <w:fldChar w:fldCharType="separate"/>
        </w:r>
        <w:r w:rsidR="00851F05" w:rsidRPr="00851F05">
          <w:rPr>
            <w:noProof/>
            <w:webHidden/>
          </w:rPr>
          <w:t>8</w:t>
        </w:r>
        <w:r w:rsidR="00851F05" w:rsidRPr="00851F05">
          <w:rPr>
            <w:noProof/>
            <w:webHidden/>
          </w:rPr>
          <w:fldChar w:fldCharType="end"/>
        </w:r>
      </w:hyperlink>
    </w:p>
    <w:p w14:paraId="553D09F9" w14:textId="3B48548D" w:rsidR="00851F05" w:rsidRPr="00851F05" w:rsidRDefault="00704F2E">
      <w:pPr>
        <w:pStyle w:val="TOC1"/>
        <w:rPr>
          <w:rFonts w:eastAsiaTheme="minorEastAsia"/>
          <w:noProof/>
          <w:lang w:val="en-IE" w:eastAsia="en-IE"/>
        </w:rPr>
      </w:pPr>
      <w:hyperlink w:anchor="_Toc167793184" w:history="1">
        <w:r w:rsidR="00851F05" w:rsidRPr="00851F05">
          <w:rPr>
            <w:rStyle w:val="Hyperlink"/>
            <w:rFonts w:ascii="Times New Roman" w:hAnsi="Times New Roman" w:cs="Times New Roman"/>
            <w:noProof/>
          </w:rPr>
          <w:t>5.</w:t>
        </w:r>
        <w:r w:rsidR="00851F05" w:rsidRPr="00851F05">
          <w:rPr>
            <w:rFonts w:eastAsiaTheme="minorEastAsia"/>
            <w:noProof/>
            <w:lang w:val="en-IE" w:eastAsia="en-IE"/>
          </w:rPr>
          <w:tab/>
        </w:r>
        <w:r w:rsidR="00851F05" w:rsidRPr="00851F05">
          <w:rPr>
            <w:rStyle w:val="Hyperlink"/>
            <w:rFonts w:ascii="Times New Roman" w:hAnsi="Times New Roman"/>
            <w:noProof/>
          </w:rPr>
          <w:t>Concluzie</w:t>
        </w:r>
        <w:r w:rsidR="00851F05" w:rsidRPr="00851F05">
          <w:rPr>
            <w:noProof/>
            <w:webHidden/>
          </w:rPr>
          <w:tab/>
        </w:r>
        <w:r w:rsidR="00851F05" w:rsidRPr="00851F05">
          <w:rPr>
            <w:noProof/>
            <w:webHidden/>
          </w:rPr>
          <w:fldChar w:fldCharType="begin"/>
        </w:r>
        <w:r w:rsidR="00851F05" w:rsidRPr="00851F05">
          <w:rPr>
            <w:noProof/>
            <w:webHidden/>
          </w:rPr>
          <w:instrText xml:space="preserve"> PAGEREF _Toc167793184 \h </w:instrText>
        </w:r>
        <w:r w:rsidR="00851F05" w:rsidRPr="00851F05">
          <w:rPr>
            <w:noProof/>
            <w:webHidden/>
          </w:rPr>
        </w:r>
        <w:r w:rsidR="00851F05" w:rsidRPr="00851F05">
          <w:rPr>
            <w:noProof/>
            <w:webHidden/>
          </w:rPr>
          <w:fldChar w:fldCharType="separate"/>
        </w:r>
        <w:r w:rsidR="00851F05" w:rsidRPr="00851F05">
          <w:rPr>
            <w:noProof/>
            <w:webHidden/>
          </w:rPr>
          <w:t>10</w:t>
        </w:r>
        <w:r w:rsidR="00851F05" w:rsidRPr="00851F05">
          <w:rPr>
            <w:noProof/>
            <w:webHidden/>
          </w:rPr>
          <w:fldChar w:fldCharType="end"/>
        </w:r>
      </w:hyperlink>
    </w:p>
    <w:p w14:paraId="3BCEF912" w14:textId="21B46D6D" w:rsidR="00580D86" w:rsidRPr="00851F05" w:rsidRDefault="00B52E93" w:rsidP="00580D86">
      <w:pPr>
        <w:rPr>
          <w:rFonts w:ascii="Times New Roman" w:hAnsi="Times New Roman" w:cs="Times New Roman"/>
          <w:noProof/>
          <w:sz w:val="24"/>
        </w:rPr>
        <w:sectPr w:rsidR="00580D86" w:rsidRPr="00851F05" w:rsidSect="00785D46">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pPr>
      <w:r w:rsidRPr="00851F05">
        <w:rPr>
          <w:rFonts w:ascii="Times New Roman" w:hAnsi="Times New Roman" w:cs="Times New Roman"/>
          <w:noProof/>
          <w:sz w:val="24"/>
        </w:rPr>
        <w:fldChar w:fldCharType="end"/>
      </w:r>
    </w:p>
    <w:p w14:paraId="172D1799" w14:textId="6DC01460" w:rsidR="00810243" w:rsidRPr="00851F05" w:rsidRDefault="00810243" w:rsidP="00580D86">
      <w:pPr>
        <w:pStyle w:val="Heading1"/>
        <w:numPr>
          <w:ilvl w:val="0"/>
          <w:numId w:val="25"/>
        </w:numPr>
        <w:spacing w:after="240" w:line="240" w:lineRule="auto"/>
        <w:ind w:left="426"/>
        <w:rPr>
          <w:rFonts w:ascii="Times New Roman" w:hAnsi="Times New Roman" w:cs="Times New Roman"/>
          <w:noProof/>
          <w:color w:val="auto"/>
          <w:sz w:val="24"/>
          <w:szCs w:val="24"/>
        </w:rPr>
      </w:pPr>
      <w:bookmarkStart w:id="2" w:name="_Toc162506045"/>
      <w:bookmarkStart w:id="3" w:name="_Toc162506221"/>
      <w:bookmarkStart w:id="4" w:name="_Toc162510363"/>
      <w:bookmarkStart w:id="5" w:name="_Toc162511715"/>
      <w:bookmarkStart w:id="6" w:name="_Toc167793180"/>
      <w:bookmarkEnd w:id="2"/>
      <w:bookmarkEnd w:id="3"/>
      <w:bookmarkEnd w:id="4"/>
      <w:bookmarkEnd w:id="5"/>
      <w:r w:rsidRPr="00851F05">
        <w:rPr>
          <w:rFonts w:ascii="Times New Roman" w:hAnsi="Times New Roman"/>
          <w:noProof/>
          <w:color w:val="auto"/>
          <w:sz w:val="24"/>
        </w:rPr>
        <w:t>Introducere – Mecanismul de protecție civilă al Uniunii consolidează gradul de pregătire al UE</w:t>
      </w:r>
      <w:bookmarkEnd w:id="6"/>
    </w:p>
    <w:p w14:paraId="1939B11A" w14:textId="169CF4F0" w:rsidR="00CD4E4A" w:rsidRPr="00851F05" w:rsidRDefault="00CD4E4A" w:rsidP="00F17799">
      <w:pPr>
        <w:spacing w:after="0" w:line="240" w:lineRule="auto"/>
        <w:jc w:val="both"/>
        <w:rPr>
          <w:rFonts w:ascii="Times New Roman" w:hAnsi="Times New Roman" w:cs="Times New Roman"/>
          <w:noProof/>
          <w:sz w:val="24"/>
          <w:szCs w:val="24"/>
        </w:rPr>
      </w:pPr>
      <w:r w:rsidRPr="00851F05">
        <w:rPr>
          <w:rFonts w:ascii="Times New Roman" w:hAnsi="Times New Roman"/>
          <w:noProof/>
          <w:sz w:val="24"/>
        </w:rPr>
        <w:t>În urma unui dezastru, protecția civilă</w:t>
      </w:r>
      <w:r w:rsidR="00580D86" w:rsidRPr="00851F05">
        <w:rPr>
          <w:rStyle w:val="FootnoteReference"/>
          <w:rFonts w:ascii="Times New Roman" w:hAnsi="Times New Roman" w:cs="Times New Roman"/>
          <w:noProof/>
          <w:sz w:val="24"/>
          <w:szCs w:val="24"/>
          <w:lang w:val="en-IE"/>
        </w:rPr>
        <w:footnoteReference w:id="2"/>
      </w:r>
      <w:r w:rsidRPr="00851F05">
        <w:rPr>
          <w:rFonts w:ascii="Times New Roman" w:hAnsi="Times New Roman"/>
          <w:noProof/>
          <w:sz w:val="24"/>
        </w:rPr>
        <w:t xml:space="preserve"> reprezintă colacul de salvare al populațiilor afectate. Atunci când capacitatea unei singure țări este copleșită în urma unei crize, mecanismul de protecție civilă al Uniunii („UCPM”)</w:t>
      </w:r>
      <w:r w:rsidR="00580D86" w:rsidRPr="00851F05">
        <w:rPr>
          <w:rStyle w:val="FootnoteReference"/>
          <w:rFonts w:ascii="Times New Roman" w:hAnsi="Times New Roman" w:cs="Times New Roman"/>
          <w:noProof/>
          <w:sz w:val="24"/>
          <w:szCs w:val="24"/>
          <w:lang w:val="en-IE"/>
        </w:rPr>
        <w:footnoteReference w:id="3"/>
      </w:r>
      <w:r w:rsidRPr="00851F05">
        <w:rPr>
          <w:rFonts w:ascii="Times New Roman" w:hAnsi="Times New Roman"/>
          <w:noProof/>
          <w:sz w:val="24"/>
        </w:rPr>
        <w:t xml:space="preserve"> reprezintă coloana vertebrală operațională, facilitând răspunsul colectiv al Europei, atât în interiorul, cât și în afara frontierelor sale.</w:t>
      </w:r>
    </w:p>
    <w:p w14:paraId="0476040A" w14:textId="34FFD64A" w:rsidR="00CD4E4A" w:rsidRPr="00851F05" w:rsidRDefault="00CD4E4A" w:rsidP="00F17799">
      <w:pPr>
        <w:spacing w:after="0" w:line="240" w:lineRule="auto"/>
        <w:jc w:val="both"/>
        <w:rPr>
          <w:rFonts w:ascii="Times New Roman" w:hAnsi="Times New Roman" w:cs="Times New Roman"/>
          <w:noProof/>
          <w:sz w:val="24"/>
          <w:szCs w:val="24"/>
        </w:rPr>
      </w:pPr>
    </w:p>
    <w:p w14:paraId="1764A76A" w14:textId="47027AE9" w:rsidR="00CD4E4A" w:rsidRPr="00851F05" w:rsidRDefault="00512857" w:rsidP="00F17799">
      <w:pPr>
        <w:spacing w:after="0" w:line="240" w:lineRule="auto"/>
        <w:jc w:val="both"/>
        <w:rPr>
          <w:rFonts w:ascii="Times New Roman" w:hAnsi="Times New Roman" w:cs="Times New Roman"/>
          <w:noProof/>
          <w:sz w:val="24"/>
          <w:szCs w:val="24"/>
        </w:rPr>
      </w:pPr>
      <w:r w:rsidRPr="00851F05">
        <w:rPr>
          <w:rFonts w:ascii="Times New Roman" w:hAnsi="Times New Roman"/>
          <w:noProof/>
          <w:sz w:val="24"/>
        </w:rPr>
        <w:t>Deși, în perioada evaluată 2017-2022, UCPM a fost declanșat de peste 500 de ori, doar între anii 2020-2022, UCPM a fost activat de peste 320 de ori</w:t>
      </w:r>
      <w:r w:rsidR="008C398E" w:rsidRPr="00851F05">
        <w:rPr>
          <w:rFonts w:ascii="Times New Roman" w:hAnsi="Times New Roman" w:cs="Times New Roman"/>
          <w:noProof/>
          <w:sz w:val="24"/>
          <w:szCs w:val="24"/>
          <w:vertAlign w:val="superscript"/>
        </w:rPr>
        <w:footnoteReference w:id="4"/>
      </w:r>
      <w:r w:rsidRPr="00851F05">
        <w:rPr>
          <w:rFonts w:ascii="Times New Roman" w:hAnsi="Times New Roman"/>
          <w:noProof/>
          <w:sz w:val="24"/>
        </w:rPr>
        <w:t>, aceasta reprezentând o creștere de cinci ori în comparație cu media deceniului precedent.  Această tendință ascendentă subliniază importanța tot mai mare acordată UCPM în consolidarea pregătirii Uniunii pentru situații de urgență, la toate nivelurile.</w:t>
      </w:r>
    </w:p>
    <w:p w14:paraId="537EFEE0" w14:textId="77777777" w:rsidR="006F2EFC" w:rsidRPr="00851F05" w:rsidRDefault="006F2EFC" w:rsidP="00F17799">
      <w:pPr>
        <w:spacing w:after="0" w:line="240" w:lineRule="auto"/>
        <w:jc w:val="both"/>
        <w:rPr>
          <w:rFonts w:ascii="Times New Roman" w:hAnsi="Times New Roman" w:cs="Times New Roman"/>
          <w:noProof/>
          <w:sz w:val="24"/>
          <w:szCs w:val="24"/>
        </w:rPr>
      </w:pPr>
    </w:p>
    <w:p w14:paraId="61CCADD0" w14:textId="77777777" w:rsidR="000F16C4" w:rsidRPr="00851F05" w:rsidRDefault="00475AED" w:rsidP="00F17799">
      <w:pPr>
        <w:spacing w:after="0" w:line="240" w:lineRule="auto"/>
        <w:jc w:val="both"/>
        <w:rPr>
          <w:rFonts w:ascii="Times New Roman" w:hAnsi="Times New Roman" w:cs="Times New Roman"/>
          <w:noProof/>
          <w:sz w:val="24"/>
          <w:szCs w:val="24"/>
        </w:rPr>
      </w:pPr>
      <w:r w:rsidRPr="00851F05">
        <w:rPr>
          <w:rFonts w:ascii="Times New Roman" w:hAnsi="Times New Roman"/>
          <w:noProof/>
          <w:sz w:val="24"/>
        </w:rPr>
        <w:t xml:space="preserve">În 2021, Premiul pentru bună administrare al Ombudsmanului European a recunoscut contribuțiile excepționale ale DG ECHO și SEAE, ale căror eforturi extraordinare au facilitat repatrierea a peste jumătate de milion de cetățeni ai UE blocați în alte țări, în timpul pandemiei de COVID-19. </w:t>
      </w:r>
    </w:p>
    <w:p w14:paraId="50B0AA6D" w14:textId="77777777" w:rsidR="000F16C4" w:rsidRPr="00851F05" w:rsidRDefault="000F16C4" w:rsidP="00F17799">
      <w:pPr>
        <w:spacing w:after="0" w:line="240" w:lineRule="auto"/>
        <w:jc w:val="both"/>
        <w:rPr>
          <w:rFonts w:ascii="Times New Roman" w:hAnsi="Times New Roman" w:cs="Times New Roman"/>
          <w:noProof/>
          <w:sz w:val="24"/>
          <w:szCs w:val="24"/>
          <w:lang w:val="fr-CA"/>
        </w:rPr>
      </w:pPr>
    </w:p>
    <w:p w14:paraId="319D1924" w14:textId="6742FE67" w:rsidR="00D764EC" w:rsidRPr="00851F05" w:rsidRDefault="298BA897" w:rsidP="00F17799">
      <w:pPr>
        <w:spacing w:after="0" w:line="240" w:lineRule="auto"/>
        <w:jc w:val="both"/>
        <w:rPr>
          <w:rFonts w:ascii="Times New Roman" w:hAnsi="Times New Roman" w:cs="Times New Roman"/>
          <w:noProof/>
          <w:sz w:val="24"/>
          <w:szCs w:val="24"/>
        </w:rPr>
      </w:pPr>
      <w:r w:rsidRPr="00851F05">
        <w:rPr>
          <w:rFonts w:ascii="Times New Roman" w:hAnsi="Times New Roman"/>
          <w:noProof/>
          <w:sz w:val="24"/>
        </w:rPr>
        <w:t xml:space="preserve">Acest lucru ilustrează rolul esențial jucat de instituțiile și agențiile UE în cadrul UCPM pentru sprijinirea și completarea acțiunii statelor membre în perioade de criză. În esență, protejarea societății, a naturii și a patrimoniului nostru cultural depinde de capacitatea noastră de a preveni dezastrele viitoare și de a ne pregăti pentru ele.   Protecția civilă nu funcționează în mod izolat; aceasta necesită eforturi de colaborare, eliminarea compartimentării și demersuri comune ca Uniune a coeziunii, pentru a ne consolida reziliența și gradul de pregătire la nivel colectiv. </w:t>
      </w:r>
    </w:p>
    <w:p w14:paraId="474B4716" w14:textId="4546E601" w:rsidR="0D856574" w:rsidRPr="00851F05" w:rsidRDefault="0D856574" w:rsidP="00F17799">
      <w:pPr>
        <w:spacing w:after="0" w:line="240" w:lineRule="auto"/>
        <w:jc w:val="both"/>
        <w:rPr>
          <w:rFonts w:ascii="Times New Roman" w:hAnsi="Times New Roman" w:cs="Times New Roman"/>
          <w:noProof/>
          <w:sz w:val="24"/>
          <w:szCs w:val="24"/>
        </w:rPr>
      </w:pPr>
    </w:p>
    <w:p w14:paraId="65095291" w14:textId="37158835" w:rsidR="00D764EC" w:rsidRPr="00851F05" w:rsidRDefault="2CBD5924" w:rsidP="00F17799">
      <w:pPr>
        <w:spacing w:after="0" w:line="240" w:lineRule="auto"/>
        <w:jc w:val="both"/>
        <w:rPr>
          <w:rFonts w:ascii="Times New Roman" w:hAnsi="Times New Roman" w:cs="Times New Roman"/>
          <w:noProof/>
          <w:sz w:val="24"/>
          <w:szCs w:val="24"/>
        </w:rPr>
      </w:pPr>
      <w:r w:rsidRPr="00851F05">
        <w:rPr>
          <w:rFonts w:ascii="Times New Roman" w:hAnsi="Times New Roman"/>
          <w:noProof/>
          <w:sz w:val="24"/>
        </w:rPr>
        <w:t xml:space="preserve">Prezenta comunicare schițează nevoile și provocările în continuă evoluție cu care se confruntă peisajul protecției civile din Europa și formulează recomandări pentru a spori eficacitatea în cadrul strategiei contigue de prevenire – pregătire – răspuns a UCPM în ceea ce privește gestionarea dezastrelor. </w:t>
      </w:r>
    </w:p>
    <w:p w14:paraId="62E8C9D3" w14:textId="36802960" w:rsidR="007A323A" w:rsidRPr="00851F05" w:rsidRDefault="008A044A" w:rsidP="00580D86">
      <w:pPr>
        <w:pStyle w:val="Heading1"/>
        <w:numPr>
          <w:ilvl w:val="0"/>
          <w:numId w:val="25"/>
        </w:numPr>
        <w:spacing w:after="240" w:line="240" w:lineRule="auto"/>
        <w:ind w:left="426"/>
        <w:rPr>
          <w:rFonts w:ascii="Times New Roman" w:hAnsi="Times New Roman" w:cs="Times New Roman"/>
          <w:noProof/>
          <w:sz w:val="24"/>
          <w:szCs w:val="24"/>
        </w:rPr>
      </w:pPr>
      <w:bookmarkStart w:id="7" w:name="_Toc167793181"/>
      <w:r w:rsidRPr="00851F05">
        <w:rPr>
          <w:rFonts w:ascii="Times New Roman" w:hAnsi="Times New Roman"/>
          <w:noProof/>
          <w:color w:val="auto"/>
          <w:sz w:val="24"/>
        </w:rPr>
        <w:t>Obținerea de rezultate în ciuda provocărilor. Amenințări emergente la orizont</w:t>
      </w:r>
      <w:bookmarkEnd w:id="7"/>
      <w:r w:rsidRPr="00851F05">
        <w:rPr>
          <w:rFonts w:ascii="Times New Roman" w:hAnsi="Times New Roman"/>
          <w:noProof/>
          <w:color w:val="auto"/>
          <w:sz w:val="24"/>
        </w:rPr>
        <w:t xml:space="preserve"> </w:t>
      </w:r>
    </w:p>
    <w:p w14:paraId="36146822" w14:textId="4BAD5237" w:rsidR="007A323A" w:rsidRPr="00851F05" w:rsidRDefault="00E51F58" w:rsidP="00F17799">
      <w:pPr>
        <w:spacing w:line="240" w:lineRule="auto"/>
        <w:jc w:val="both"/>
        <w:rPr>
          <w:rFonts w:ascii="Times New Roman" w:hAnsi="Times New Roman" w:cs="Times New Roman"/>
          <w:noProof/>
          <w:sz w:val="24"/>
          <w:szCs w:val="24"/>
        </w:rPr>
      </w:pPr>
      <w:r w:rsidRPr="00851F05">
        <w:rPr>
          <w:rFonts w:ascii="Times New Roman" w:hAnsi="Times New Roman"/>
          <w:noProof/>
          <w:sz w:val="24"/>
        </w:rPr>
        <w:t xml:space="preserve">În Europa, peisajul riscurilor suferă schimbări dramatice.  În prezent, UE se confruntă cu provocări și amenințări multiple și simultane, de naturi diferite și de o complexitate din ce în ce mai mare.  Creșterea numărului de conflicte, de dezastre naturale și provocate de om – inclusiv de fenomene meteorologice extreme – și natura schimbătoare a riscurilor în materie de securitate pun din ce în ce mai mult la încercare structura UE de gestionare a riscurilor de dezastre și capacitatea UCPM de a funcționa în mod eficace. Creșterea constantă a numărului de activări ale UCPM în ultimii ani indică faptul că această tendință va continua. </w:t>
      </w:r>
    </w:p>
    <w:p w14:paraId="47ADE6A5" w14:textId="11758275" w:rsidR="00FD45DF" w:rsidRPr="00851F05" w:rsidRDefault="00DD79A8" w:rsidP="00580D86">
      <w:pPr>
        <w:pStyle w:val="Caption"/>
        <w:keepNext/>
        <w:rPr>
          <w:rFonts w:ascii="Times New Roman" w:hAnsi="Times New Roman" w:cs="Times New Roman"/>
          <w:noProof/>
          <w:color w:val="000000" w:themeColor="text1"/>
          <w:sz w:val="22"/>
          <w:szCs w:val="22"/>
        </w:rPr>
      </w:pPr>
      <w:r w:rsidRPr="00851F05">
        <w:rPr>
          <w:noProof/>
          <w:lang w:val="en-GB" w:eastAsia="en-GB"/>
        </w:rPr>
        <w:drawing>
          <wp:anchor distT="0" distB="0" distL="114300" distR="114300" simplePos="0" relativeHeight="251658240" behindDoc="0" locked="0" layoutInCell="1" allowOverlap="1" wp14:anchorId="218BE9EF" wp14:editId="3F093729">
            <wp:simplePos x="0" y="0"/>
            <wp:positionH relativeFrom="column">
              <wp:posOffset>9829</wp:posOffset>
            </wp:positionH>
            <wp:positionV relativeFrom="paragraph">
              <wp:posOffset>310515</wp:posOffset>
            </wp:positionV>
            <wp:extent cx="5688330" cy="1922780"/>
            <wp:effectExtent l="19050" t="19050" r="7620" b="127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88330" cy="192278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704F2E">
        <w:rPr>
          <w:noProof/>
        </w:rPr>
        <w:pict w14:anchorId="24455714">
          <v:shapetype id="_x0000_t202" coordsize="21600,21600" o:spt="202" path="m,l,21600r21600,l21600,xe">
            <v:stroke joinstyle="miter"/>
            <v:path gradientshapeok="t" o:connecttype="rect"/>
          </v:shapetype>
          <v:shape id="_x0000_s2054" type="#_x0000_t202" style="position:absolute;margin-left:2.05pt;margin-top:178.55pt;width:447.9pt;height:.05pt;z-index:251658241;mso-position-horizontal-relative:text;mso-position-vertical-relative:text" stroked="f">
            <v:textbox style="mso-next-textbox:#_x0000_s2054;mso-fit-shape-to-text:t" inset="0,0,0,0">
              <w:txbxContent>
                <w:p w14:paraId="132A70BC" w14:textId="2A308D66" w:rsidR="00F17799" w:rsidRPr="00F17799" w:rsidRDefault="00F17799" w:rsidP="00F17799">
                  <w:pPr>
                    <w:pStyle w:val="Caption"/>
                    <w:jc w:val="both"/>
                    <w:rPr>
                      <w:rFonts w:ascii="Times New Roman" w:hAnsi="Times New Roman" w:cs="Times New Roman"/>
                      <w:noProof/>
                      <w:color w:val="000000" w:themeColor="text1"/>
                    </w:rPr>
                  </w:pPr>
                  <w:r>
                    <w:rPr>
                      <w:rFonts w:ascii="Times New Roman" w:hAnsi="Times New Roman"/>
                      <w:color w:val="000000" w:themeColor="text1"/>
                    </w:rPr>
                    <w:t>Graficul (din stânga) arată numărul tot mai mare de activări ale UCPM în perioada 2017-2022. Diagramele cu bule (din dreapta) ilustrează tipurile de crize abordate de UCPM în aceeași perioadă de timp.</w:t>
                  </w:r>
                </w:p>
              </w:txbxContent>
            </v:textbox>
            <w10:wrap type="topAndBottom"/>
          </v:shape>
        </w:pict>
      </w:r>
      <w:r w:rsidRPr="00851F05">
        <w:rPr>
          <w:rFonts w:ascii="Times New Roman" w:hAnsi="Times New Roman"/>
          <w:noProof/>
          <w:color w:val="000000" w:themeColor="text1"/>
          <w:sz w:val="22"/>
        </w:rPr>
        <w:t>Figura 1 – Numărul și tipurile de activări ale UCPM</w:t>
      </w:r>
    </w:p>
    <w:p w14:paraId="7B4593C2" w14:textId="709987B0" w:rsidR="00EC4A4A" w:rsidRPr="00851F05" w:rsidRDefault="004716AC" w:rsidP="006479CB">
      <w:pPr>
        <w:spacing w:line="240" w:lineRule="auto"/>
        <w:jc w:val="both"/>
        <w:rPr>
          <w:rFonts w:ascii="Times New Roman" w:hAnsi="Times New Roman" w:cs="Times New Roman"/>
          <w:noProof/>
          <w:sz w:val="24"/>
          <w:szCs w:val="24"/>
        </w:rPr>
      </w:pPr>
      <w:r w:rsidRPr="00851F05">
        <w:rPr>
          <w:rFonts w:ascii="Times New Roman" w:hAnsi="Times New Roman"/>
          <w:noProof/>
          <w:sz w:val="24"/>
        </w:rPr>
        <w:t>Cele cinci dimensiuni-cheie prezentate mai jos ilustrează acest peisajul al riscurilor în continuă evoluție și demonstrează modul în care UCPM își utilizează deja capacitatea de adaptare și întregul său set de instrumente pentru a aborda riscurile din cadrul acestor dimensiuni.  Cu toate acestea, se preconizează că riscurile în continuă evoluție vor avea un impact mai important asupra Europei în viitor, amplificând cel mai probabil decalajele în ceea ce privește modul în care Europa abordează riscurile.</w:t>
      </w:r>
    </w:p>
    <w:p w14:paraId="2795259D" w14:textId="11C7F1ED" w:rsidR="00456CCA" w:rsidRPr="00851F05" w:rsidRDefault="65028DBF" w:rsidP="00580D86">
      <w:pPr>
        <w:pStyle w:val="Heading2"/>
        <w:numPr>
          <w:ilvl w:val="1"/>
          <w:numId w:val="31"/>
        </w:numPr>
        <w:spacing w:before="120" w:after="240" w:line="240" w:lineRule="auto"/>
        <w:rPr>
          <w:rFonts w:ascii="Times New Roman" w:hAnsi="Times New Roman" w:cs="Times New Roman"/>
          <w:i/>
          <w:iCs/>
          <w:noProof/>
          <w:color w:val="auto"/>
          <w:sz w:val="22"/>
          <w:szCs w:val="22"/>
        </w:rPr>
      </w:pPr>
      <w:r w:rsidRPr="00851F05">
        <w:rPr>
          <w:rFonts w:ascii="Times New Roman" w:hAnsi="Times New Roman"/>
          <w:i/>
          <w:noProof/>
          <w:color w:val="auto"/>
          <w:sz w:val="22"/>
        </w:rPr>
        <w:t>Găsirea de soluții la probleme complexe: răspunsuri coordonate la crizele emergente</w:t>
      </w:r>
    </w:p>
    <w:p w14:paraId="2EB96B51" w14:textId="027E3A29" w:rsidR="00D552FB" w:rsidRPr="00851F05" w:rsidRDefault="006148FB" w:rsidP="00D957D2">
      <w:pPr>
        <w:spacing w:line="240" w:lineRule="auto"/>
        <w:jc w:val="both"/>
        <w:rPr>
          <w:rFonts w:ascii="Times New Roman" w:eastAsia="Times New Roman" w:hAnsi="Times New Roman" w:cs="Times New Roman"/>
          <w:noProof/>
          <w:sz w:val="24"/>
          <w:szCs w:val="24"/>
        </w:rPr>
      </w:pPr>
      <w:r w:rsidRPr="00851F05">
        <w:rPr>
          <w:rFonts w:ascii="Times New Roman" w:hAnsi="Times New Roman"/>
          <w:noProof/>
          <w:sz w:val="24"/>
        </w:rPr>
        <w:t>Evaluarea a evidențiat flexibilitatea remarcabilă a UCPM în ceea ce privește adaptarea la provocările în continuă evoluție</w:t>
      </w:r>
      <w:r w:rsidR="00191600" w:rsidRPr="00851F05">
        <w:rPr>
          <w:rStyle w:val="FootnoteReference"/>
          <w:rFonts w:ascii="Times New Roman" w:eastAsia="Times New Roman" w:hAnsi="Times New Roman" w:cs="Times New Roman"/>
          <w:noProof/>
          <w:color w:val="000000" w:themeColor="text1"/>
          <w:sz w:val="24"/>
          <w:szCs w:val="24"/>
          <w:lang w:val="en-IE"/>
        </w:rPr>
        <w:footnoteReference w:id="5"/>
      </w:r>
      <w:r w:rsidRPr="00851F05">
        <w:rPr>
          <w:rFonts w:ascii="Times New Roman" w:hAnsi="Times New Roman"/>
          <w:noProof/>
          <w:color w:val="000000" w:themeColor="text1"/>
          <w:sz w:val="24"/>
        </w:rPr>
        <w:t>.</w:t>
      </w:r>
      <w:r w:rsidRPr="00851F05">
        <w:rPr>
          <w:rFonts w:ascii="Times New Roman" w:hAnsi="Times New Roman"/>
          <w:noProof/>
          <w:sz w:val="24"/>
        </w:rPr>
        <w:t xml:space="preserve"> Ajustările rapide efectuate în legislația UE pentru a integra instrumentele DG ECHO au fost prezentate ca o bună exemplificare a acestei flexibilități.  În acest sens, în urma pandemiei de COVID-19, vasta majoritate a părților interesate</w:t>
      </w:r>
      <w:r w:rsidR="00844875" w:rsidRPr="00851F05">
        <w:rPr>
          <w:rStyle w:val="FootnoteReference"/>
          <w:rFonts w:ascii="Times New Roman" w:eastAsia="Times New Roman" w:hAnsi="Times New Roman" w:cs="Times New Roman"/>
          <w:noProof/>
          <w:sz w:val="24"/>
          <w:szCs w:val="24"/>
          <w:lang w:val="en-IE"/>
        </w:rPr>
        <w:footnoteReference w:id="6"/>
      </w:r>
      <w:r w:rsidRPr="00851F05">
        <w:rPr>
          <w:rFonts w:ascii="Times New Roman" w:hAnsi="Times New Roman"/>
          <w:noProof/>
          <w:sz w:val="24"/>
        </w:rPr>
        <w:t xml:space="preserve">, atât la nivel național, cât și la nivelul UE, au considerat extinderea semnificativă a capacității de stocare în domeniul sănătății în cadrul rescEU ca fiind o realizare notabilă. </w:t>
      </w:r>
    </w:p>
    <w:p w14:paraId="7B0E25B5" w14:textId="0E078A0A" w:rsidR="00EB058A" w:rsidRPr="00851F05" w:rsidRDefault="00455A8D" w:rsidP="00D957D2">
      <w:pPr>
        <w:spacing w:line="240" w:lineRule="auto"/>
        <w:jc w:val="both"/>
        <w:rPr>
          <w:rFonts w:ascii="Times New Roman" w:eastAsia="Times New Roman" w:hAnsi="Times New Roman" w:cs="Times New Roman"/>
          <w:noProof/>
          <w:sz w:val="24"/>
          <w:szCs w:val="24"/>
        </w:rPr>
      </w:pPr>
      <w:r w:rsidRPr="00851F05">
        <w:rPr>
          <w:rFonts w:ascii="Times New Roman" w:hAnsi="Times New Roman"/>
          <w:noProof/>
          <w:sz w:val="24"/>
        </w:rPr>
        <w:t xml:space="preserve">Pe parcursul perioadei de evaluare, a devenit evident că ERCC a avut un rol esențial de coordonare între autoritățile de protecție civilă și autoritățile medicale, precum și între ministerele afacerilor externe din statele membre și statele participante, împreună cu SEAE și delegațiile UE. În plus, împreună cu secretarul general, acesta a facilitat coordonarea dintre direcțiile Comisiei Europene, SEAE și Consiliu. Această cooperare transsectorială s-a dovedit a fi esențială pentru abordarea consecințelor pandemiei de COVID-19, inclusiv pentru furnizarea de consumabile medicale și de sprijin logistic pentru asistența consulară în vederea repatrierii cetățenilor UE blocați în țări terțe. În acest context, abordările inovatoare și adaptabilitatea la noi situații au reprezentat factori-cheie de succes. </w:t>
      </w:r>
    </w:p>
    <w:p w14:paraId="20856B95" w14:textId="3128ABD0" w:rsidR="00456CCA" w:rsidRPr="00851F05" w:rsidRDefault="2E782211" w:rsidP="00580D86">
      <w:pPr>
        <w:pStyle w:val="Heading2"/>
        <w:numPr>
          <w:ilvl w:val="1"/>
          <w:numId w:val="31"/>
        </w:numPr>
        <w:spacing w:before="120" w:after="240" w:line="240" w:lineRule="auto"/>
        <w:rPr>
          <w:rFonts w:ascii="Times New Roman" w:hAnsi="Times New Roman" w:cs="Times New Roman"/>
          <w:i/>
          <w:iCs/>
          <w:noProof/>
          <w:color w:val="auto"/>
          <w:sz w:val="22"/>
          <w:szCs w:val="22"/>
        </w:rPr>
      </w:pPr>
      <w:bookmarkStart w:id="8" w:name="_Toc162966519"/>
      <w:bookmarkEnd w:id="8"/>
      <w:r w:rsidRPr="00851F05">
        <w:rPr>
          <w:rFonts w:ascii="Times New Roman" w:hAnsi="Times New Roman"/>
          <w:i/>
          <w:noProof/>
          <w:color w:val="auto"/>
          <w:sz w:val="22"/>
        </w:rPr>
        <w:t>Provocări dinamice: adaptarea sistemelor de cartografiere a riscurilor și de alertă timpurie</w:t>
      </w:r>
    </w:p>
    <w:p w14:paraId="401B1D9F" w14:textId="15D713C0" w:rsidR="00746FCA" w:rsidRPr="00851F05" w:rsidRDefault="00F751DA" w:rsidP="00D957D2">
      <w:pPr>
        <w:spacing w:line="240" w:lineRule="auto"/>
        <w:jc w:val="both"/>
        <w:rPr>
          <w:rFonts w:ascii="Times New Roman" w:eastAsia="Times New Roman" w:hAnsi="Times New Roman" w:cs="Times New Roman"/>
          <w:noProof/>
          <w:sz w:val="24"/>
          <w:szCs w:val="24"/>
        </w:rPr>
      </w:pPr>
      <w:r w:rsidRPr="00851F05">
        <w:rPr>
          <w:rFonts w:ascii="Times New Roman" w:hAnsi="Times New Roman"/>
          <w:noProof/>
          <w:sz w:val="24"/>
        </w:rPr>
        <w:t xml:space="preserve">Grupul tematic specific al oamenilor de știință care contribuie la evaluarea UCPM a identificat domenii în care se pot aduce îmbunătățiri pentru o eficacitate sporită a sistemelor de alertă timpurie (SAT) în ceea ce privește creșterea gradului de pregătire la nivel național și la nivelul UE.  În special, SAT ar putea fi revizuit pentru: </w:t>
      </w:r>
    </w:p>
    <w:p w14:paraId="78261BDB" w14:textId="37670D3A" w:rsidR="002A5B06" w:rsidRPr="00851F05" w:rsidRDefault="00F751DA" w:rsidP="00D957D2">
      <w:pPr>
        <w:spacing w:line="240" w:lineRule="auto"/>
        <w:ind w:left="720"/>
        <w:jc w:val="both"/>
        <w:rPr>
          <w:rFonts w:ascii="Times New Roman" w:eastAsia="Times New Roman" w:hAnsi="Times New Roman" w:cs="Times New Roman"/>
          <w:noProof/>
          <w:sz w:val="24"/>
          <w:szCs w:val="24"/>
        </w:rPr>
      </w:pPr>
      <w:r w:rsidRPr="00851F05">
        <w:rPr>
          <w:rFonts w:ascii="Times New Roman" w:hAnsi="Times New Roman"/>
          <w:noProof/>
          <w:sz w:val="24"/>
        </w:rPr>
        <w:t>1. a asigura faptul că informațiile sunt mai puțin fragmentate în cadrul SAT la nivelul UE și la nivel național: mai multe părți interesate au subliniat provocarea pe care o reprezintă gestionarea unui volum mare de informații din sisteme diferite, ceea ce îngreunează efectuarea promptă a evaluărilor specializate în cazul evenimentelor majore. În plus, SAT la nivelul UE ar putea influența SAT naționale într-un mod mai sistematic</w:t>
      </w:r>
      <w:r w:rsidR="000F38E5" w:rsidRPr="00851F05">
        <w:rPr>
          <w:rStyle w:val="FootnoteReference"/>
          <w:rFonts w:ascii="Times New Roman" w:eastAsia="Times New Roman" w:hAnsi="Times New Roman" w:cs="Times New Roman"/>
          <w:noProof/>
          <w:sz w:val="24"/>
          <w:szCs w:val="24"/>
          <w:lang w:val="en-IE"/>
        </w:rPr>
        <w:footnoteReference w:id="7"/>
      </w:r>
      <w:r w:rsidRPr="00851F05">
        <w:rPr>
          <w:rFonts w:ascii="Times New Roman" w:hAnsi="Times New Roman"/>
          <w:noProof/>
          <w:sz w:val="24"/>
        </w:rPr>
        <w:t>;</w:t>
      </w:r>
    </w:p>
    <w:p w14:paraId="1367C006" w14:textId="771D7727" w:rsidR="00F751DA" w:rsidRPr="00851F05" w:rsidRDefault="00F751DA" w:rsidP="00D957D2">
      <w:pPr>
        <w:spacing w:line="240" w:lineRule="auto"/>
        <w:ind w:left="720"/>
        <w:jc w:val="both"/>
        <w:rPr>
          <w:rFonts w:ascii="Times New Roman" w:eastAsia="Times New Roman" w:hAnsi="Times New Roman" w:cs="Times New Roman"/>
          <w:noProof/>
          <w:sz w:val="24"/>
          <w:szCs w:val="24"/>
        </w:rPr>
      </w:pPr>
      <w:r w:rsidRPr="00851F05">
        <w:rPr>
          <w:rFonts w:ascii="Times New Roman" w:hAnsi="Times New Roman"/>
          <w:noProof/>
          <w:sz w:val="24"/>
        </w:rPr>
        <w:t>2. a acoperi mai multe pericole: pericolele care sunt acoperite cel mai eficace de sistemele de alertă și de monitorizare timpurie sunt incendiile forestiere, inundațiile și seceta, datorită monitorizării aproape în timp real. Cu toate acestea, monitorizarea inundațiilor, a urgențelor sanitare și a altor dezastre antropice sau provocate de om ar putea fi îmbunătățită și eficientizată</w:t>
      </w:r>
      <w:r w:rsidR="00C52DDD" w:rsidRPr="00851F05">
        <w:rPr>
          <w:rStyle w:val="FootnoteReference"/>
          <w:rFonts w:ascii="Times New Roman" w:eastAsia="Times New Roman" w:hAnsi="Times New Roman" w:cs="Times New Roman"/>
          <w:noProof/>
          <w:sz w:val="24"/>
          <w:szCs w:val="24"/>
          <w:lang w:val="en-IE"/>
        </w:rPr>
        <w:footnoteReference w:id="8"/>
      </w:r>
      <w:r w:rsidRPr="00851F05">
        <w:rPr>
          <w:rFonts w:ascii="Times New Roman" w:hAnsi="Times New Roman"/>
          <w:noProof/>
          <w:sz w:val="24"/>
        </w:rPr>
        <w:t>.</w:t>
      </w:r>
    </w:p>
    <w:p w14:paraId="7602505B" w14:textId="06B99742" w:rsidR="388F9E1F" w:rsidRPr="00851F05" w:rsidRDefault="2F13AA3F" w:rsidP="00580D86">
      <w:pPr>
        <w:pStyle w:val="Heading2"/>
        <w:numPr>
          <w:ilvl w:val="1"/>
          <w:numId w:val="31"/>
        </w:numPr>
        <w:spacing w:before="120" w:after="240" w:line="240" w:lineRule="auto"/>
        <w:rPr>
          <w:rFonts w:ascii="Times New Roman" w:hAnsi="Times New Roman" w:cs="Times New Roman"/>
          <w:i/>
          <w:iCs/>
          <w:noProof/>
          <w:color w:val="auto"/>
          <w:sz w:val="22"/>
          <w:szCs w:val="22"/>
        </w:rPr>
      </w:pPr>
      <w:bookmarkStart w:id="9" w:name="_Toc162966521"/>
      <w:bookmarkStart w:id="10" w:name="_Toc162966522"/>
      <w:bookmarkEnd w:id="9"/>
      <w:bookmarkEnd w:id="10"/>
      <w:r w:rsidRPr="00851F05">
        <w:rPr>
          <w:rFonts w:ascii="Times New Roman" w:hAnsi="Times New Roman"/>
          <w:i/>
          <w:noProof/>
          <w:color w:val="auto"/>
          <w:sz w:val="22"/>
        </w:rPr>
        <w:t>Răspuns urgent: mobilizarea de resurse pentru dezastre naturale grave și transfrontaliere</w:t>
      </w:r>
    </w:p>
    <w:p w14:paraId="57175951" w14:textId="15554033" w:rsidR="00E43ACA" w:rsidRPr="00851F05" w:rsidRDefault="00C9639B" w:rsidP="00580D86">
      <w:pPr>
        <w:spacing w:line="240" w:lineRule="auto"/>
        <w:jc w:val="both"/>
        <w:rPr>
          <w:rFonts w:ascii="Times New Roman" w:hAnsi="Times New Roman" w:cs="Times New Roman"/>
          <w:noProof/>
          <w:sz w:val="24"/>
          <w:szCs w:val="24"/>
        </w:rPr>
      </w:pPr>
      <w:r w:rsidRPr="00851F05">
        <w:rPr>
          <w:rFonts w:ascii="Times New Roman" w:hAnsi="Times New Roman"/>
          <w:noProof/>
          <w:sz w:val="24"/>
        </w:rPr>
        <w:t>În vara anului 2023, Europa s-a confruntat cu valuri de căldură, incendii forestiere record și inundații catastrofale. Acestea s-au produs adesea simultan, indicând un model mai larg de climatologie extremă. În lunile iulie și august 2023, temperaturile globale au atins niveluri record, depășind pragul de 1,5 °C stabilit în Acordul de la Paris. Această vară reprezintă un indiciu al potențialelor condiții medii din verile viitoare, în cazul în care nu se întreprind acțiuni climatice.</w:t>
      </w:r>
    </w:p>
    <w:p w14:paraId="23BC29E3" w14:textId="53EDE7CF" w:rsidR="00E43ACA" w:rsidRPr="00851F05" w:rsidRDefault="00C9639B" w:rsidP="00580D86">
      <w:pPr>
        <w:spacing w:line="240" w:lineRule="auto"/>
        <w:jc w:val="both"/>
        <w:rPr>
          <w:rFonts w:ascii="Times New Roman" w:eastAsia="Times New Roman" w:hAnsi="Times New Roman" w:cs="Times New Roman"/>
          <w:noProof/>
          <w:sz w:val="24"/>
          <w:szCs w:val="24"/>
        </w:rPr>
      </w:pPr>
      <w:r w:rsidRPr="00851F05">
        <w:rPr>
          <w:rFonts w:ascii="Times New Roman" w:hAnsi="Times New Roman"/>
          <w:noProof/>
          <w:sz w:val="24"/>
        </w:rPr>
        <w:t xml:space="preserve">Evaluarea a constatat că pre-poziționarea pompierilor, în 2021, a avut un impact pozitiv asupra facilitării schimbului de cunoștințe între pompierii din regiunile afectate de incendii forestiere. Această abordare a fost, de asemenea, bine primită ca instrument de îmbunătățire a eficacității răspunsurilor. În 2021, pompierii au fost pre-poziționați în Grecia pentru a oferi asistență în sezonul incendiilor forestiere de vară. În urma feedbackului pozitiv din partea statelor membre și a statelor participante, această inițiativă a fost reînnoită, 11 state membre angajându-se să trimită aproape 450 de pompieri în Franța, Grecia și Portugalia, în vederea pregătirii pentru următorul sezon de incendii forestiere. </w:t>
      </w:r>
    </w:p>
    <w:p w14:paraId="0A25D5D7" w14:textId="7ABE94A3" w:rsidR="00202E45" w:rsidRPr="00851F05" w:rsidRDefault="00A543D9" w:rsidP="00580D86">
      <w:pPr>
        <w:spacing w:line="240" w:lineRule="auto"/>
        <w:jc w:val="both"/>
        <w:rPr>
          <w:rFonts w:ascii="Times New Roman" w:eastAsia="Times New Roman" w:hAnsi="Times New Roman" w:cs="Times New Roman"/>
          <w:noProof/>
          <w:sz w:val="24"/>
          <w:szCs w:val="24"/>
        </w:rPr>
      </w:pPr>
      <w:r w:rsidRPr="00851F05">
        <w:rPr>
          <w:rFonts w:ascii="Times New Roman" w:hAnsi="Times New Roman"/>
          <w:noProof/>
          <w:sz w:val="24"/>
        </w:rPr>
        <w:t>În plus, evaluarea a subliniat că marea majoritate a părților interesate au apreciat flexibilitatea UCPM și, mai important, capacitatea acestui mecanism de a se adapta rapid și de a răspunde la noile situații. Un exemplu edificator al flexibilității și al capacităților de inovare ale UCPM pentru a rămâne relevant a fost introducerea rezervei rescEU, împreună cu decizia recentă și promptă de a extinde flota aeriană rescEU. Adaptabilitatea programului de formare al UCPM și a EU MODEX au fost, de asemenea, apreciate și considerate o dovadă a flexibilității UCPM.</w:t>
      </w:r>
    </w:p>
    <w:p w14:paraId="7E39506B" w14:textId="49607EF5" w:rsidR="5CBEDE72" w:rsidRPr="00851F05" w:rsidRDefault="00127CC2" w:rsidP="00580D86">
      <w:pPr>
        <w:pStyle w:val="Heading2"/>
        <w:numPr>
          <w:ilvl w:val="1"/>
          <w:numId w:val="31"/>
        </w:numPr>
        <w:spacing w:before="120" w:after="240" w:line="240" w:lineRule="auto"/>
        <w:rPr>
          <w:rFonts w:ascii="Times New Roman" w:hAnsi="Times New Roman" w:cs="Times New Roman"/>
          <w:i/>
          <w:iCs/>
          <w:noProof/>
          <w:color w:val="auto"/>
          <w:sz w:val="22"/>
          <w:szCs w:val="22"/>
        </w:rPr>
      </w:pPr>
      <w:r w:rsidRPr="00851F05">
        <w:rPr>
          <w:rFonts w:ascii="Times New Roman" w:hAnsi="Times New Roman"/>
          <w:i/>
          <w:noProof/>
          <w:color w:val="auto"/>
          <w:sz w:val="22"/>
        </w:rPr>
        <w:t>Riscurile în continuă evoluție și amenințările în materie de securitate care necesită capacități de răspuns îmbunătățite</w:t>
      </w:r>
    </w:p>
    <w:p w14:paraId="60863DBB" w14:textId="6E13622A" w:rsidR="0080639A" w:rsidRPr="00851F05" w:rsidRDefault="0080639A" w:rsidP="00D957D2">
      <w:pPr>
        <w:spacing w:line="240" w:lineRule="auto"/>
        <w:jc w:val="both"/>
        <w:rPr>
          <w:rFonts w:ascii="Times New Roman" w:eastAsia="Times New Roman" w:hAnsi="Times New Roman" w:cs="Times New Roman"/>
          <w:noProof/>
          <w:color w:val="000000"/>
          <w:sz w:val="24"/>
          <w:szCs w:val="24"/>
        </w:rPr>
      </w:pPr>
      <w:r w:rsidRPr="00851F05">
        <w:rPr>
          <w:rFonts w:ascii="Times New Roman" w:hAnsi="Times New Roman"/>
          <w:noProof/>
          <w:color w:val="000000" w:themeColor="text1"/>
          <w:sz w:val="24"/>
        </w:rPr>
        <w:t xml:space="preserve">Răspunsul la războiul de agresiune al Rusiei împotriva Ucrainei a declanșat cea mai mare activare a UCPM până în prezent, inclusiv sub formă de operațiuni logistice complexe. La 15 februarie 2022, Ucraina a activat UCPM în vederea pregătirii pentru o situație de urgență la scară largă și și-a actualizat de mai multe ori cererea inițială.  Cererile au inclus, printre altele, consumabile medicale, alimente, articole pentru adăposturi, echipamente de stingere a incendiilor, echipamente informatice și de comunicații, mecanisme de protecție a patrimoniului cultural, contramăsuri CBRN și produse agricole. </w:t>
      </w:r>
    </w:p>
    <w:p w14:paraId="0213DE86" w14:textId="630D9733" w:rsidR="00886BAF" w:rsidRPr="00851F05" w:rsidRDefault="0080639A" w:rsidP="00D957D2">
      <w:pPr>
        <w:spacing w:line="240" w:lineRule="auto"/>
        <w:jc w:val="both"/>
        <w:rPr>
          <w:rFonts w:ascii="Times New Roman" w:eastAsia="Times New Roman" w:hAnsi="Times New Roman" w:cs="Times New Roman"/>
          <w:noProof/>
          <w:color w:val="000000"/>
          <w:sz w:val="24"/>
          <w:szCs w:val="24"/>
        </w:rPr>
      </w:pPr>
      <w:r w:rsidRPr="00851F05">
        <w:rPr>
          <w:rFonts w:ascii="Times New Roman" w:hAnsi="Times New Roman"/>
          <w:noProof/>
          <w:color w:val="000000"/>
          <w:sz w:val="24"/>
        </w:rPr>
        <w:t>ERCC a sprijinit Polonia, România și Slovacia în înființarea</w:t>
      </w:r>
      <w:r w:rsidRPr="00851F05">
        <w:rPr>
          <w:rFonts w:ascii="Times New Roman" w:hAnsi="Times New Roman"/>
          <w:noProof/>
          <w:color w:val="000000" w:themeColor="text1"/>
          <w:sz w:val="24"/>
        </w:rPr>
        <w:t xml:space="preserve"> </w:t>
      </w:r>
      <w:r w:rsidRPr="00851F05">
        <w:rPr>
          <w:rFonts w:ascii="Times New Roman" w:hAnsi="Times New Roman"/>
          <w:noProof/>
          <w:color w:val="000000"/>
          <w:sz w:val="24"/>
        </w:rPr>
        <w:t>de centre logistice UCPM</w:t>
      </w:r>
      <w:r w:rsidRPr="00851F05">
        <w:rPr>
          <w:rFonts w:ascii="Times New Roman" w:eastAsia="Times New Roman" w:hAnsi="Times New Roman" w:cs="Times New Roman"/>
          <w:noProof/>
          <w:color w:val="000000"/>
          <w:sz w:val="24"/>
          <w:szCs w:val="24"/>
          <w:vertAlign w:val="superscript"/>
          <w:lang w:val="en-IE" w:eastAsia="en-GB"/>
        </w:rPr>
        <w:footnoteReference w:id="9"/>
      </w:r>
      <w:r w:rsidRPr="00851F05">
        <w:rPr>
          <w:rFonts w:ascii="Times New Roman" w:hAnsi="Times New Roman"/>
          <w:noProof/>
          <w:color w:val="000000"/>
          <w:sz w:val="24"/>
        </w:rPr>
        <w:t xml:space="preserve"> unde sprijinul acordat a fost primit, consolidat și expediat, ulterior, în Ucraina. În plus, ca răspuns la volumul semnificativ de cereri de informații din partea întreprinderilor private în urma campaniei „Susținem Ucraina”</w:t>
      </w:r>
      <w:r w:rsidRPr="00851F05">
        <w:rPr>
          <w:rFonts w:ascii="Times New Roman" w:hAnsi="Times New Roman"/>
          <w:noProof/>
          <w:sz w:val="24"/>
        </w:rPr>
        <w:t xml:space="preserve"> </w:t>
      </w:r>
      <w:r w:rsidRPr="00851F05">
        <w:rPr>
          <w:rFonts w:ascii="Times New Roman" w:hAnsi="Times New Roman"/>
          <w:noProof/>
          <w:color w:val="000000" w:themeColor="text1"/>
          <w:sz w:val="24"/>
        </w:rPr>
        <w:t>a Comisiei</w:t>
      </w:r>
      <w:r w:rsidRPr="00851F05">
        <w:rPr>
          <w:rFonts w:ascii="Times New Roman" w:hAnsi="Times New Roman"/>
          <w:noProof/>
          <w:sz w:val="24"/>
        </w:rPr>
        <w:t xml:space="preserve">, </w:t>
      </w:r>
      <w:r w:rsidRPr="00851F05">
        <w:rPr>
          <w:rFonts w:ascii="Times New Roman" w:hAnsi="Times New Roman"/>
          <w:noProof/>
          <w:color w:val="000000"/>
          <w:sz w:val="24"/>
        </w:rPr>
        <w:t xml:space="preserve">în Belgia a fost instituit un proiect-pilot pentru a canaliza donațiile din sectorul privat în cadrul rescEU. </w:t>
      </w:r>
    </w:p>
    <w:p w14:paraId="18FB2878" w14:textId="1B6E5BB1" w:rsidR="0080639A" w:rsidRPr="00851F05" w:rsidRDefault="0080639A" w:rsidP="00D957D2">
      <w:pPr>
        <w:spacing w:line="240" w:lineRule="auto"/>
        <w:jc w:val="both"/>
        <w:rPr>
          <w:rFonts w:ascii="Times New Roman" w:eastAsia="Times New Roman" w:hAnsi="Times New Roman" w:cs="Times New Roman"/>
          <w:noProof/>
          <w:color w:val="000000" w:themeColor="text1"/>
          <w:sz w:val="24"/>
          <w:szCs w:val="24"/>
        </w:rPr>
      </w:pPr>
      <w:r w:rsidRPr="00851F05">
        <w:rPr>
          <w:rFonts w:ascii="Times New Roman" w:hAnsi="Times New Roman"/>
          <w:noProof/>
          <w:color w:val="000000" w:themeColor="text1"/>
          <w:sz w:val="24"/>
        </w:rPr>
        <w:t>Ca</w:t>
      </w:r>
      <w:r w:rsidRPr="00851F05">
        <w:rPr>
          <w:rFonts w:ascii="Times New Roman" w:hAnsi="Times New Roman"/>
          <w:noProof/>
          <w:sz w:val="24"/>
        </w:rPr>
        <w:t xml:space="preserve"> </w:t>
      </w:r>
      <w:r w:rsidRPr="00851F05">
        <w:rPr>
          <w:rFonts w:ascii="Times New Roman" w:hAnsi="Times New Roman"/>
          <w:noProof/>
          <w:color w:val="000000"/>
          <w:sz w:val="24"/>
        </w:rPr>
        <w:t>răspuns la intensificarea solicitărilor de tratament medical</w:t>
      </w:r>
      <w:r w:rsidRPr="00851F05">
        <w:rPr>
          <w:rFonts w:ascii="Times New Roman" w:hAnsi="Times New Roman"/>
          <w:noProof/>
          <w:color w:val="000000" w:themeColor="text1"/>
          <w:sz w:val="24"/>
        </w:rPr>
        <w:t xml:space="preserve">, </w:t>
      </w:r>
      <w:r w:rsidRPr="00851F05">
        <w:rPr>
          <w:rFonts w:ascii="Times New Roman" w:hAnsi="Times New Roman"/>
          <w:noProof/>
          <w:color w:val="000000"/>
          <w:sz w:val="24"/>
        </w:rPr>
        <w:t>Comisia Europeană</w:t>
      </w:r>
      <w:r w:rsidRPr="00851F05">
        <w:rPr>
          <w:noProof/>
        </w:rPr>
        <w:t xml:space="preserve"> </w:t>
      </w:r>
      <w:bookmarkStart w:id="11" w:name="_Int_7bp0WHNc"/>
      <w:r w:rsidRPr="00851F05">
        <w:rPr>
          <w:noProof/>
        </w:rPr>
        <w:t>(</w:t>
      </w:r>
      <w:r w:rsidRPr="00851F05">
        <w:rPr>
          <w:rFonts w:ascii="Times New Roman" w:hAnsi="Times New Roman"/>
          <w:noProof/>
          <w:color w:val="000000"/>
          <w:sz w:val="24"/>
        </w:rPr>
        <w:t>DG</w:t>
      </w:r>
      <w:bookmarkEnd w:id="11"/>
      <w:r w:rsidRPr="00851F05">
        <w:rPr>
          <w:noProof/>
        </w:rPr>
        <w:t xml:space="preserve"> </w:t>
      </w:r>
      <w:r w:rsidRPr="00851F05">
        <w:rPr>
          <w:rFonts w:ascii="Times New Roman" w:hAnsi="Times New Roman"/>
          <w:noProof/>
          <w:color w:val="000000"/>
          <w:sz w:val="24"/>
        </w:rPr>
        <w:t>ECHO și DG SANTE) a instituit o procedură standard de operare pentru evacuarea medicală (MEDEVAC) a persoanelor strămutate din Ucraina. Polonia, Moldova, Slovacia și Ucraina au solicitat sprijin pentru operațiunile de evacuare medicală din țările lor respective către alte țări europene cu capacitate spitalicească disponibilă.</w:t>
      </w:r>
    </w:p>
    <w:p w14:paraId="2B6313AF" w14:textId="2A8516E3" w:rsidR="0038550A" w:rsidRPr="00851F05" w:rsidRDefault="009F257A" w:rsidP="00D957D2">
      <w:pPr>
        <w:spacing w:line="240" w:lineRule="auto"/>
        <w:jc w:val="both"/>
        <w:rPr>
          <w:rFonts w:ascii="Times New Roman" w:hAnsi="Times New Roman" w:cs="Times New Roman"/>
          <w:noProof/>
          <w:sz w:val="28"/>
          <w:szCs w:val="28"/>
        </w:rPr>
      </w:pPr>
      <w:r w:rsidRPr="00851F05">
        <w:rPr>
          <w:rFonts w:ascii="Times New Roman" w:hAnsi="Times New Roman"/>
          <w:noProof/>
          <w:sz w:val="24"/>
        </w:rPr>
        <w:t>În plus, inițiativa privind elaborarea de scenarii</w:t>
      </w:r>
      <w:r w:rsidR="009D3F2A" w:rsidRPr="00851F05">
        <w:rPr>
          <w:rStyle w:val="FootnoteReference"/>
          <w:rFonts w:ascii="Times New Roman" w:hAnsi="Times New Roman" w:cs="Times New Roman"/>
          <w:noProof/>
          <w:sz w:val="24"/>
          <w:szCs w:val="24"/>
          <w:lang w:val="en-IE"/>
        </w:rPr>
        <w:footnoteReference w:id="10"/>
      </w:r>
      <w:r w:rsidRPr="00851F05">
        <w:rPr>
          <w:rFonts w:ascii="Times New Roman" w:hAnsi="Times New Roman"/>
          <w:noProof/>
          <w:sz w:val="24"/>
        </w:rPr>
        <w:t xml:space="preserve"> urmărește să furnizeze dovezi cuprinzătoare pentru îmbunătățiri suplimentare în cadrul UCPM în vederea abordării provocărilor anticipate în peisajul de risc în continuă evoluție din Europa, inclusiv efectele în cascadă ale amenințărilor în materie de securitate, care pot conduce la o probabilitate mai mare de dezastre cu impact ridicat, transsectoriale și multinaționale Pe scurt, scenariile consolidează necesitatea unor resurse suplimentare, a unor adaptări ale funcționării actuale a UCPM pe parcursul întregului ciclu de gestionare a situațiilor de urgență și a unor modificări conexe ale cadrului juridic al UCPM.</w:t>
      </w:r>
    </w:p>
    <w:p w14:paraId="7FC11467" w14:textId="670189E8" w:rsidR="2EBB58B5" w:rsidRPr="00851F05" w:rsidRDefault="77924781" w:rsidP="00580D86">
      <w:pPr>
        <w:pStyle w:val="Heading2"/>
        <w:numPr>
          <w:ilvl w:val="1"/>
          <w:numId w:val="31"/>
        </w:numPr>
        <w:spacing w:before="120" w:after="240" w:line="240" w:lineRule="auto"/>
        <w:rPr>
          <w:rFonts w:ascii="Times New Roman" w:hAnsi="Times New Roman" w:cs="Times New Roman"/>
          <w:i/>
          <w:iCs/>
          <w:noProof/>
          <w:color w:val="auto"/>
          <w:sz w:val="22"/>
          <w:szCs w:val="22"/>
        </w:rPr>
      </w:pPr>
      <w:bookmarkStart w:id="12" w:name="_Toc162513246"/>
      <w:bookmarkStart w:id="13" w:name="_Toc162517595"/>
      <w:bookmarkStart w:id="14" w:name="_Toc162523498"/>
      <w:bookmarkStart w:id="15" w:name="_Toc162966525"/>
      <w:bookmarkEnd w:id="12"/>
      <w:bookmarkEnd w:id="13"/>
      <w:bookmarkEnd w:id="14"/>
      <w:bookmarkEnd w:id="15"/>
      <w:r w:rsidRPr="00851F05">
        <w:rPr>
          <w:rFonts w:ascii="Times New Roman" w:hAnsi="Times New Roman"/>
          <w:i/>
          <w:noProof/>
          <w:color w:val="auto"/>
          <w:sz w:val="22"/>
        </w:rPr>
        <w:t>Protejarea persoanelor vulnerabile: abordarea impactului dezastrelor asupra grupurilor vulnerabile</w:t>
      </w:r>
    </w:p>
    <w:p w14:paraId="2C508E13" w14:textId="3188A2F7" w:rsidR="001873D4" w:rsidRPr="00851F05" w:rsidRDefault="005B78ED" w:rsidP="7C9753B2">
      <w:pPr>
        <w:spacing w:line="240" w:lineRule="auto"/>
        <w:jc w:val="both"/>
        <w:rPr>
          <w:rFonts w:ascii="Times New Roman" w:hAnsi="Times New Roman" w:cs="Times New Roman"/>
          <w:noProof/>
          <w:color w:val="000000" w:themeColor="text1"/>
          <w:sz w:val="24"/>
          <w:szCs w:val="24"/>
        </w:rPr>
      </w:pPr>
      <w:r w:rsidRPr="00851F05">
        <w:rPr>
          <w:rFonts w:ascii="Times New Roman" w:hAnsi="Times New Roman"/>
          <w:noProof/>
          <w:color w:val="000000" w:themeColor="text1"/>
          <w:sz w:val="24"/>
        </w:rPr>
        <w:t>Riscurile climatice afectează în mod disproporționat populațiile vulnerabile din cauza unor factori socioeconomici precum venitul, genul, vârsta, handicapul, sănătatea și excluziunea socială, dezavantajele preexistente afectând și mai mult capacitatea grupurilor vulnerabile de a se redresa în urma dezastrelor</w:t>
      </w:r>
      <w:r w:rsidR="00523692" w:rsidRPr="00851F05">
        <w:rPr>
          <w:rStyle w:val="FootnoteReference"/>
          <w:rFonts w:ascii="Times New Roman" w:hAnsi="Times New Roman" w:cs="Times New Roman"/>
          <w:noProof/>
          <w:color w:val="000000" w:themeColor="text1"/>
          <w:sz w:val="24"/>
          <w:szCs w:val="24"/>
          <w:lang w:val="en-IE"/>
        </w:rPr>
        <w:footnoteReference w:id="11"/>
      </w:r>
      <w:r w:rsidRPr="00851F05">
        <w:rPr>
          <w:rFonts w:ascii="Times New Roman" w:hAnsi="Times New Roman"/>
          <w:noProof/>
          <w:color w:val="000000" w:themeColor="text1"/>
          <w:sz w:val="24"/>
        </w:rPr>
        <w:t>. Violența bazată pe gen și violența sexuală, discursurile de incitare la ură și xenofobia au fost documentate de la începutul războiului de agresiune al Rusiei împotriva Ucrainei.</w:t>
      </w:r>
    </w:p>
    <w:p w14:paraId="1DDE1EDC" w14:textId="34D2C590" w:rsidR="009B02A1" w:rsidRPr="00851F05" w:rsidRDefault="00E33DF4" w:rsidP="009B02A1">
      <w:pPr>
        <w:spacing w:line="240" w:lineRule="auto"/>
        <w:jc w:val="both"/>
        <w:rPr>
          <w:rFonts w:ascii="Times New Roman" w:hAnsi="Times New Roman" w:cs="Times New Roman"/>
          <w:noProof/>
          <w:color w:val="000000" w:themeColor="text1"/>
          <w:sz w:val="24"/>
          <w:szCs w:val="24"/>
        </w:rPr>
      </w:pPr>
      <w:r w:rsidRPr="00851F05">
        <w:rPr>
          <w:rFonts w:ascii="Times New Roman" w:hAnsi="Times New Roman"/>
          <w:noProof/>
          <w:color w:val="000000" w:themeColor="text1"/>
          <w:sz w:val="24"/>
        </w:rPr>
        <w:t>Din această perspectivă și în contextul Recomandării și al Comunicării Comisiei privind Obiectivele Uniunii în materie de reziliență la dezastre</w:t>
      </w:r>
      <w:r w:rsidR="00535054" w:rsidRPr="00851F05">
        <w:rPr>
          <w:rStyle w:val="FootnoteReference"/>
          <w:rFonts w:ascii="Times New Roman" w:hAnsi="Times New Roman" w:cs="Times New Roman"/>
          <w:noProof/>
          <w:color w:val="000000" w:themeColor="text1"/>
          <w:sz w:val="24"/>
          <w:szCs w:val="24"/>
        </w:rPr>
        <w:footnoteReference w:id="12"/>
      </w:r>
      <w:r w:rsidRPr="00851F05">
        <w:rPr>
          <w:rFonts w:ascii="Times New Roman" w:hAnsi="Times New Roman"/>
          <w:noProof/>
          <w:color w:val="000000" w:themeColor="text1"/>
          <w:sz w:val="24"/>
        </w:rPr>
        <w:t xml:space="preserve">, Comisia a pledat pentru luarea sistematică în considerare a nevoilor specifice ale persoanelor aflate în situații vulnerabile, inclusiv ale persoanelor cu handicap și ale copiilor, în cadrul sistemelor naționale de alertă timpurie.  </w:t>
      </w:r>
    </w:p>
    <w:p w14:paraId="574B99E4" w14:textId="0BBDEEE6" w:rsidR="00240EFB" w:rsidRPr="00851F05" w:rsidRDefault="0081626B" w:rsidP="00580D86">
      <w:pPr>
        <w:pStyle w:val="Heading1"/>
        <w:numPr>
          <w:ilvl w:val="0"/>
          <w:numId w:val="31"/>
        </w:numPr>
        <w:spacing w:after="240" w:line="240" w:lineRule="auto"/>
        <w:ind w:left="426"/>
        <w:rPr>
          <w:rFonts w:ascii="Times New Roman" w:hAnsi="Times New Roman" w:cs="Times New Roman"/>
          <w:noProof/>
          <w:color w:val="auto"/>
          <w:sz w:val="24"/>
          <w:szCs w:val="24"/>
        </w:rPr>
      </w:pPr>
      <w:bookmarkStart w:id="16" w:name="_Toc162966527"/>
      <w:bookmarkStart w:id="17" w:name="_Toc162966560"/>
      <w:bookmarkStart w:id="18" w:name="_Toc162966528"/>
      <w:bookmarkStart w:id="19" w:name="_Toc162966561"/>
      <w:bookmarkStart w:id="20" w:name="_Toc162966529"/>
      <w:bookmarkStart w:id="21" w:name="_Toc162966562"/>
      <w:bookmarkStart w:id="22" w:name="_Toc162966530"/>
      <w:bookmarkStart w:id="23" w:name="_Toc162966563"/>
      <w:bookmarkStart w:id="24" w:name="_Toc162966531"/>
      <w:bookmarkStart w:id="25" w:name="_Toc162966564"/>
      <w:bookmarkStart w:id="26" w:name="_Toc162966532"/>
      <w:bookmarkStart w:id="27" w:name="_Toc162966565"/>
      <w:bookmarkStart w:id="28" w:name="_Toc167793182"/>
      <w:bookmarkEnd w:id="16"/>
      <w:bookmarkEnd w:id="17"/>
      <w:bookmarkEnd w:id="18"/>
      <w:bookmarkEnd w:id="19"/>
      <w:bookmarkEnd w:id="20"/>
      <w:bookmarkEnd w:id="21"/>
      <w:bookmarkEnd w:id="22"/>
      <w:bookmarkEnd w:id="23"/>
      <w:bookmarkEnd w:id="24"/>
      <w:bookmarkEnd w:id="25"/>
      <w:bookmarkEnd w:id="26"/>
      <w:bookmarkEnd w:id="27"/>
      <w:r w:rsidRPr="00851F05">
        <w:rPr>
          <w:rFonts w:ascii="Times New Roman" w:hAnsi="Times New Roman"/>
          <w:noProof/>
          <w:color w:val="auto"/>
          <w:sz w:val="24"/>
        </w:rPr>
        <w:t>Constatările evaluării – UCPM funcționează într-un peisaj al riscurilor în continuă schimbare</w:t>
      </w:r>
      <w:bookmarkEnd w:id="28"/>
    </w:p>
    <w:p w14:paraId="223BCD20" w14:textId="47F9A83A" w:rsidR="00AD4EA2" w:rsidRPr="00851F05" w:rsidRDefault="06992325" w:rsidP="00580D86">
      <w:pPr>
        <w:spacing w:line="240" w:lineRule="auto"/>
        <w:jc w:val="both"/>
        <w:rPr>
          <w:rFonts w:ascii="Times New Roman" w:hAnsi="Times New Roman" w:cs="Times New Roman"/>
          <w:noProof/>
          <w:sz w:val="24"/>
          <w:szCs w:val="24"/>
        </w:rPr>
      </w:pPr>
      <w:r w:rsidRPr="00851F05">
        <w:rPr>
          <w:rFonts w:ascii="Times New Roman" w:hAnsi="Times New Roman"/>
          <w:noProof/>
          <w:sz w:val="24"/>
        </w:rPr>
        <w:t>Noua realitate în materie de gestionare a situațiilor de urgență descrisă mai sus a oferit UCPM numeroase oportunități de a-și demonstra eficiența și eficacitatea ca instrument de urgență care poate consolida și mai mult reziliența europeană în fața crizelor complexe, de lungă durată și uneori concomitente. Principalele constatări privind performanța UCPM în perioada 2017-2022 subliniază această evaluare.</w:t>
      </w:r>
    </w:p>
    <w:p w14:paraId="2F06AA4C" w14:textId="01A07532" w:rsidR="00E63893" w:rsidRPr="00851F05" w:rsidRDefault="00704F2E" w:rsidP="00580D86">
      <w:pPr>
        <w:spacing w:line="240" w:lineRule="auto"/>
        <w:rPr>
          <w:noProof/>
        </w:rPr>
      </w:pPr>
      <w:r>
        <w:rPr>
          <w:noProof/>
        </w:rPr>
      </w:r>
      <w:r>
        <w:rPr>
          <w:noProof/>
        </w:rPr>
        <w:pict w14:anchorId="59A4EC23">
          <v:rect id="_x0000_s2056" style="width:449.25pt;height:247.6pt;visibility:visible;mso-left-percent:-10001;mso-top-percent:-10001;mso-position-horizontal:absolute;mso-position-horizontal-relative:char;mso-position-vertical:absolute;mso-position-vertical-relative:line;mso-left-percent:-10001;mso-top-percent:-10001" fillcolor="white [3201]">
            <v:textbox style="mso-next-textbox:#_x0000_s2056">
              <w:txbxContent>
                <w:p w14:paraId="366E22CD" w14:textId="00656FC9" w:rsidR="000F78F3" w:rsidRPr="000C206C" w:rsidRDefault="000F78F3" w:rsidP="000C206C">
                  <w:pPr>
                    <w:jc w:val="both"/>
                    <w:rPr>
                      <w:rFonts w:ascii="Times New Roman" w:hAnsi="Times New Roman" w:cs="Times New Roman"/>
                      <w:b/>
                      <w:bCs/>
                      <w:i/>
                      <w:iCs/>
                      <w:kern w:val="0"/>
                      <w:sz w:val="20"/>
                      <w:szCs w:val="20"/>
                      <w14:ligatures w14:val="none"/>
                    </w:rPr>
                  </w:pPr>
                  <w:r>
                    <w:rPr>
                      <w:rFonts w:ascii="Times New Roman" w:hAnsi="Times New Roman"/>
                      <w:b/>
                      <w:i/>
                      <w:sz w:val="20"/>
                    </w:rPr>
                    <w:t xml:space="preserve">Principalele constatări privind performanța UCPM în urma </w:t>
                  </w:r>
                  <w:r>
                    <w:rPr>
                      <w:rFonts w:ascii="Times New Roman" w:hAnsi="Times New Roman"/>
                      <w:b/>
                      <w:i/>
                      <w:color w:val="000000"/>
                      <w:sz w:val="20"/>
                    </w:rPr>
                    <w:t>evaluării aferente perioadei 2017-2022</w:t>
                  </w:r>
                </w:p>
                <w:p w14:paraId="3A39D037" w14:textId="04542AB7"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UCPM s-a adaptat la presiunile și cerințele în continuă schimbare și a menținut cu succes o rată de răspuns ridicată, în pofida intensificării activărilor;  </w:t>
                  </w:r>
                </w:p>
                <w:p w14:paraId="3083C301" w14:textId="26C83FF0" w:rsidR="00861E8F"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UCPM a dat dovadă de flexibilitate pentru a se adapta la nevoile în continuă evoluție pe teren și la evenimente neprevăzute. Răspunsurile inovatoare în contextul noilor dimensiuni ale crizelor au reprezentat un factor-cheie al succesului; </w:t>
                  </w:r>
                </w:p>
                <w:p w14:paraId="27510AB1" w14:textId="77777777"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UCPM și-a consolidat dimensiunile de prevenire și pregătire, îmbunătățind raportul cost-eficacitate; </w:t>
                  </w:r>
                </w:p>
                <w:p w14:paraId="6B13DD1F" w14:textId="51B41F3A"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UCPM a contribuit la îmbunătățirea pregătirii pentru dezastre la nivel național și la nivelul UE;</w:t>
                  </w:r>
                </w:p>
                <w:p w14:paraId="7416F0A2" w14:textId="69FE9096"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UCPM a contribuit la consolidarea cooperării dintre actorii din domeniul protecției civile și actorii netradiționali din domeniul gestionării dezastrelor;</w:t>
                  </w:r>
                </w:p>
                <w:p w14:paraId="2F1A7927" w14:textId="77777777"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UCPM a contribuit la sensibilizarea cu privire la dezastre în cadrul comunității instituțiilor de protecție civilă; </w:t>
                  </w:r>
                </w:p>
                <w:p w14:paraId="25A6A237" w14:textId="5A263727"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Cartografierea riscurilor prin intermediul unei imagini de ansamblu a riscurilor la nivelul UE a contribuit la consolidarea prevenirii dezastrelor, deși continuă să existe provocări în ceea ce privește comparabilitatea și disponibilitatea datelor;  </w:t>
                  </w:r>
                </w:p>
                <w:p w14:paraId="04A9D1AE" w14:textId="515942BC" w:rsidR="000F78F3" w:rsidRPr="000C206C" w:rsidRDefault="000F78F3" w:rsidP="00E971CB">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UCPM a facilitat cooperarea transfrontalieră dintre UE, statele membre și statele participante în ceea ce privește pregătirea și răspunsul în caz de dezastre;</w:t>
                  </w:r>
                </w:p>
                <w:p w14:paraId="052CC35C" w14:textId="307E6635" w:rsidR="00E971CB" w:rsidRPr="005E54C5" w:rsidRDefault="000F78F3" w:rsidP="005E54C5">
                  <w:pPr>
                    <w:pStyle w:val="ListParagraph"/>
                    <w:numPr>
                      <w:ilvl w:val="0"/>
                      <w:numId w:val="34"/>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DG ECHO și autoritățile naționale de protecție civilă se confruntă cu constrângeri privind resursele disponibile și cu un volum de muncă semnificativ.</w:t>
                  </w:r>
                </w:p>
              </w:txbxContent>
            </v:textbox>
            <w10:anchorlock/>
          </v:rect>
        </w:pict>
      </w:r>
    </w:p>
    <w:p w14:paraId="782C26EB" w14:textId="0F8F00B9" w:rsidR="003D30CE" w:rsidRPr="00851F05" w:rsidRDefault="4E5AD457" w:rsidP="00580D86">
      <w:pPr>
        <w:spacing w:line="240" w:lineRule="auto"/>
        <w:jc w:val="both"/>
        <w:rPr>
          <w:rFonts w:ascii="Times New Roman" w:hAnsi="Times New Roman" w:cs="Times New Roman"/>
          <w:noProof/>
          <w:sz w:val="24"/>
          <w:szCs w:val="24"/>
        </w:rPr>
      </w:pPr>
      <w:r w:rsidRPr="00851F05">
        <w:rPr>
          <w:rFonts w:ascii="Times New Roman" w:hAnsi="Times New Roman"/>
          <w:noProof/>
          <w:sz w:val="24"/>
        </w:rPr>
        <w:t>În plus, evaluarea a arătat că peisajul riscurilor și al amenințărilor în continuă evoluție a testat, de asemenea, limitele UCPM.  Această evaluare este împărtășită de Consiliul European în ceea ce privește sistemul european mai amplu de gestionare a crizelor. Mai multe concluzii ale Consiliului din anii 2023</w:t>
      </w:r>
      <w:r w:rsidR="00191E93" w:rsidRPr="00851F05">
        <w:rPr>
          <w:rFonts w:ascii="Times New Roman" w:hAnsi="Times New Roman" w:cs="Times New Roman"/>
          <w:noProof/>
          <w:sz w:val="24"/>
          <w:szCs w:val="24"/>
          <w:vertAlign w:val="superscript"/>
          <w:lang w:val="en-IE"/>
        </w:rPr>
        <w:footnoteReference w:id="13"/>
      </w:r>
      <w:r w:rsidRPr="00851F05">
        <w:rPr>
          <w:rFonts w:ascii="Times New Roman" w:hAnsi="Times New Roman"/>
          <w:noProof/>
          <w:sz w:val="24"/>
        </w:rPr>
        <w:t xml:space="preserve"> și 2024</w:t>
      </w:r>
      <w:r w:rsidR="005C4D01" w:rsidRPr="00851F05">
        <w:rPr>
          <w:rStyle w:val="FootnoteReference"/>
          <w:rFonts w:ascii="Times New Roman" w:hAnsi="Times New Roman" w:cs="Times New Roman"/>
          <w:noProof/>
          <w:sz w:val="24"/>
          <w:szCs w:val="24"/>
          <w:lang w:val="en-IE"/>
        </w:rPr>
        <w:footnoteReference w:id="14"/>
      </w:r>
      <w:r w:rsidRPr="00851F05">
        <w:rPr>
          <w:rFonts w:ascii="Times New Roman" w:hAnsi="Times New Roman"/>
          <w:noProof/>
          <w:sz w:val="24"/>
        </w:rPr>
        <w:t xml:space="preserve"> recunosc provocările generate de crizele transsectoriale și transfrontaliere și de dezastrele naturale și provocate de om, care sunt exacerbate și mai mult de creșterea preconizată a pericolelor climatice.  </w:t>
      </w:r>
    </w:p>
    <w:p w14:paraId="5C1AAEA8" w14:textId="2F0F4896" w:rsidR="0012279B" w:rsidRPr="00851F05" w:rsidRDefault="00E641C1" w:rsidP="00580D86">
      <w:pPr>
        <w:spacing w:line="240" w:lineRule="auto"/>
        <w:jc w:val="both"/>
        <w:rPr>
          <w:rFonts w:ascii="Times New Roman" w:hAnsi="Times New Roman" w:cs="Times New Roman"/>
          <w:noProof/>
          <w:sz w:val="24"/>
          <w:szCs w:val="24"/>
        </w:rPr>
      </w:pPr>
      <w:r w:rsidRPr="00851F05">
        <w:rPr>
          <w:rFonts w:ascii="Times New Roman" w:hAnsi="Times New Roman"/>
          <w:noProof/>
          <w:sz w:val="24"/>
        </w:rPr>
        <w:t>În ansamblu, se pune accentul pe consolidarea rezilienței europene în domenii strategice printr-o abordare care să țină seama de toate riscurile în ceea ce privește pregătirea și răspunsul, utilizând mecanismele relevante, inclusiv UCPM. În plus, capacitatea de a menține funcțiile societale depinde de capacitatea statelor membre de a integra în mod sistematic abordarea bazată pe toate pericolele în toate politicile relevante, asigurând astfel reziliența începând cu momentul conceperii</w:t>
      </w:r>
      <w:r w:rsidR="008E2A3F" w:rsidRPr="00851F05">
        <w:rPr>
          <w:rStyle w:val="FootnoteReference"/>
          <w:rFonts w:ascii="Times New Roman" w:hAnsi="Times New Roman" w:cs="Times New Roman"/>
          <w:noProof/>
          <w:sz w:val="24"/>
          <w:szCs w:val="24"/>
        </w:rPr>
        <w:footnoteReference w:id="15"/>
      </w:r>
      <w:r w:rsidRPr="00851F05">
        <w:rPr>
          <w:rFonts w:ascii="Times New Roman" w:hAnsi="Times New Roman"/>
          <w:noProof/>
          <w:sz w:val="24"/>
        </w:rPr>
        <w:t>. Prima linie de apărare în gestionarea riscurilor constă în politici care pot reduce vulnerabilitățile și limita expunerea umană</w:t>
      </w:r>
      <w:r w:rsidR="000852CB" w:rsidRPr="00851F05">
        <w:rPr>
          <w:rStyle w:val="FootnoteReference"/>
          <w:rFonts w:ascii="Times New Roman" w:hAnsi="Times New Roman" w:cs="Times New Roman"/>
          <w:noProof/>
          <w:sz w:val="24"/>
          <w:szCs w:val="24"/>
        </w:rPr>
        <w:footnoteReference w:id="16"/>
      </w:r>
      <w:r w:rsidRPr="00851F05">
        <w:rPr>
          <w:rFonts w:ascii="Times New Roman" w:hAnsi="Times New Roman"/>
          <w:noProof/>
          <w:sz w:val="24"/>
        </w:rPr>
        <w:t xml:space="preserve">. În acest context, eforturile de adaptare la schimbările climatice și de atenuare a acestora sunt esențiale pentru consolidarea rezilienței UE și a capacității sale de răspuns în situații de criză. Având în vedere orientarea politică menționată anterior, garantarea funcționării durabile a modelului actual de gestionare a situațiilor de urgență al UCPM a devenit o preocupare majoră. În același timp, se recunoaște necesitatea de a dota în continuare UCPM pentru a răspunde unor noi pericole și riscuri în cadrul unei abordări a tuturor riscurile mai incluzive în contextul arhitecturii europene mai ample de gestionare a crizelor. </w:t>
      </w:r>
    </w:p>
    <w:p w14:paraId="4293B974" w14:textId="4624D291" w:rsidR="67BDC322" w:rsidRPr="00851F05" w:rsidRDefault="26809042" w:rsidP="00580D86">
      <w:pPr>
        <w:spacing w:line="240" w:lineRule="auto"/>
        <w:jc w:val="both"/>
        <w:rPr>
          <w:rFonts w:ascii="Times New Roman" w:hAnsi="Times New Roman" w:cs="Times New Roman"/>
          <w:noProof/>
          <w:sz w:val="24"/>
          <w:szCs w:val="24"/>
        </w:rPr>
      </w:pPr>
      <w:r w:rsidRPr="00851F05">
        <w:rPr>
          <w:rFonts w:ascii="Times New Roman" w:hAnsi="Times New Roman"/>
          <w:noProof/>
          <w:sz w:val="24"/>
        </w:rPr>
        <w:t>În mod similar, avizul științific independent privind gestionarea strategică a crizelor în UE emis de Grupul consilierilor științifici principali pentru UE</w:t>
      </w:r>
      <w:r w:rsidR="00A960E5" w:rsidRPr="00851F05">
        <w:rPr>
          <w:rStyle w:val="FootnoteReference"/>
          <w:rFonts w:ascii="Times New Roman" w:hAnsi="Times New Roman" w:cs="Times New Roman"/>
          <w:noProof/>
          <w:sz w:val="24"/>
          <w:szCs w:val="24"/>
        </w:rPr>
        <w:footnoteReference w:id="17"/>
      </w:r>
      <w:r w:rsidR="14B4ED1A" w:rsidRPr="00851F05">
        <w:rPr>
          <w:rStyle w:val="FootnoteReference"/>
          <w:rFonts w:ascii="Times New Roman" w:hAnsi="Times New Roman" w:cs="Times New Roman"/>
          <w:noProof/>
          <w:sz w:val="24"/>
          <w:szCs w:val="24"/>
        </w:rPr>
        <w:t xml:space="preserve"> </w:t>
      </w:r>
      <w:r w:rsidRPr="00851F05">
        <w:rPr>
          <w:rStyle w:val="FootnoteReference"/>
          <w:rFonts w:ascii="Times New Roman" w:hAnsi="Times New Roman"/>
          <w:noProof/>
          <w:sz w:val="24"/>
        </w:rPr>
        <w:t xml:space="preserve"> </w:t>
      </w:r>
      <w:r w:rsidRPr="00851F05">
        <w:rPr>
          <w:rFonts w:ascii="Times New Roman" w:hAnsi="Times New Roman"/>
          <w:noProof/>
          <w:sz w:val="24"/>
        </w:rPr>
        <w:t>a concluzionat că gestionarea eficientă a crizelor implică consolidarea guvernanței UE, îmbunătățirea rezilienței infrastructurii, optimizarea resurselor financiare, încurajarea colaborării societale și asigurarea unor date accesibile pentru o comunicare eficace.</w:t>
      </w:r>
    </w:p>
    <w:p w14:paraId="2C9F8F33" w14:textId="76FF8723" w:rsidR="00B42C74" w:rsidRPr="00851F05" w:rsidRDefault="00704F2E" w:rsidP="1A112CA3">
      <w:pPr>
        <w:spacing w:line="276" w:lineRule="auto"/>
        <w:jc w:val="both"/>
        <w:rPr>
          <w:rFonts w:ascii="Times New Roman" w:hAnsi="Times New Roman" w:cs="Times New Roman"/>
          <w:noProof/>
          <w:sz w:val="24"/>
          <w:szCs w:val="24"/>
        </w:rPr>
      </w:pPr>
      <w:r>
        <w:rPr>
          <w:noProof/>
        </w:rPr>
      </w:r>
      <w:r>
        <w:rPr>
          <w:noProof/>
        </w:rPr>
        <w:pict w14:anchorId="4445B8B2">
          <v:rect id="Rectangle 1359430217" o:spid="_x0000_s2055" style="width:451.5pt;height:221.75pt;visibility:visible;mso-left-percent:-10001;mso-top-percent:-10001;mso-position-horizontal:absolute;mso-position-horizontal-relative:char;mso-position-vertical:absolute;mso-position-vertical-relative:line;mso-left-percent:-10001;mso-top-percent:-10001;v-text-anchor:middle" fillcolor="white [3201]">
            <v:textbox style="mso-next-textbox:#Rectangle 1359430217">
              <w:txbxContent>
                <w:p w14:paraId="41CB6998" w14:textId="3A6D87DA" w:rsidR="00720DC2" w:rsidRPr="00E971CB" w:rsidRDefault="00720DC2" w:rsidP="00E971CB">
                  <w:pPr>
                    <w:pStyle w:val="BodyText1"/>
                    <w:rPr>
                      <w:rFonts w:ascii="Times New Roman" w:hAnsi="Times New Roman"/>
                      <w:b/>
                      <w:bCs/>
                      <w:i/>
                      <w:iCs/>
                      <w:sz w:val="20"/>
                      <w:szCs w:val="20"/>
                      <w14:ligatures w14:val="none"/>
                    </w:rPr>
                  </w:pPr>
                  <w:r>
                    <w:rPr>
                      <w:rFonts w:ascii="Times New Roman" w:hAnsi="Times New Roman"/>
                      <w:b/>
                      <w:i/>
                      <w:sz w:val="20"/>
                    </w:rPr>
                    <w:t>Gestionarea strategică a crizelor în UE: îmbunătățirea prevenirii crizelor, a pregătirii, a răspunsului și a rezilienței UE</w:t>
                  </w:r>
                </w:p>
                <w:p w14:paraId="339EB965" w14:textId="0A4AAF00" w:rsidR="00720DC2" w:rsidRPr="00E971CB" w:rsidRDefault="001856B4" w:rsidP="008B4261">
                  <w:pPr>
                    <w:pStyle w:val="BodyText1"/>
                    <w:spacing w:before="0" w:after="160" w:line="280" w:lineRule="exact"/>
                    <w:rPr>
                      <w:rFonts w:ascii="Times New Roman" w:hAnsi="Times New Roman"/>
                      <w:sz w:val="20"/>
                      <w:szCs w:val="20"/>
                    </w:rPr>
                  </w:pPr>
                  <w:r>
                    <w:rPr>
                      <w:rFonts w:ascii="Times New Roman" w:hAnsi="Times New Roman"/>
                      <w:sz w:val="20"/>
                    </w:rPr>
                    <w:t>Avizul științific independent privind gestionarea strategică a crizelor în UE elaborat de Grupul consilierilor științifici principali ai colegiului comisarilor europeni a constatat că UE ar trebui:</w:t>
                  </w:r>
                </w:p>
                <w:p w14:paraId="6B3B34FA" w14:textId="77777777" w:rsidR="00720DC2"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să elaboreze o foaie de parcurs pentru a crea sinergii între legislația și instrumentele existente;  </w:t>
                  </w:r>
                </w:p>
                <w:p w14:paraId="6379B787" w14:textId="77777777" w:rsidR="000C206C"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să răspundă la crizele în cascadă și la cele transfrontaliere prin consolidarea guvernanței europene pentru gestionarea strategică a crizelor;  </w:t>
                  </w:r>
                </w:p>
                <w:p w14:paraId="627C29B3" w14:textId="5FD0AC95" w:rsidR="00720DC2"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să sporească reziliența infrastructurilor critice la efectele în cascadă; </w:t>
                  </w:r>
                </w:p>
                <w:p w14:paraId="61F6A4DA" w14:textId="77777777" w:rsidR="00E971CB"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să se asigure că instrumentele și resursele financiare existente ale UE devin mai scalabile, mai ușor de pus în practică și mai eficiente;</w:t>
                  </w:r>
                </w:p>
                <w:p w14:paraId="57BAC246" w14:textId="77777777" w:rsidR="00E971CB"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să colaboreze îndeaproape cu societatea pentru a gestiona crizele în mod eficace; precum și  </w:t>
                  </w:r>
                </w:p>
                <w:p w14:paraId="6A955EB2" w14:textId="2F9DE72F" w:rsidR="00720DC2" w:rsidRPr="005E54C5" w:rsidRDefault="00720DC2" w:rsidP="005E54C5">
                  <w:pPr>
                    <w:pStyle w:val="ListParagraph"/>
                    <w:numPr>
                      <w:ilvl w:val="0"/>
                      <w:numId w:val="38"/>
                    </w:numPr>
                    <w:spacing w:line="280" w:lineRule="exact"/>
                    <w:ind w:left="641" w:hanging="357"/>
                    <w:jc w:val="both"/>
                    <w:rPr>
                      <w:rFonts w:ascii="Times New Roman" w:hAnsi="Times New Roman" w:cs="Times New Roman"/>
                      <w:color w:val="000000" w:themeColor="text1"/>
                      <w:sz w:val="20"/>
                      <w:szCs w:val="20"/>
                    </w:rPr>
                  </w:pPr>
                  <w:r>
                    <w:rPr>
                      <w:rFonts w:ascii="Times New Roman" w:hAnsi="Times New Roman"/>
                      <w:color w:val="000000" w:themeColor="text1"/>
                      <w:sz w:val="20"/>
                    </w:rPr>
                    <w:t xml:space="preserve">să furnizeze date interoperabile, de înaltă calitate și informații ușor de comunicat pentru gestionarea crizelor.  </w:t>
                  </w:r>
                </w:p>
              </w:txbxContent>
            </v:textbox>
            <w10:anchorlock/>
          </v:rect>
        </w:pict>
      </w:r>
    </w:p>
    <w:p w14:paraId="525C02CA" w14:textId="1385DD37" w:rsidR="001B079B" w:rsidRPr="00851F05" w:rsidRDefault="008F051C" w:rsidP="00580D86">
      <w:pPr>
        <w:spacing w:line="240" w:lineRule="auto"/>
        <w:jc w:val="both"/>
        <w:rPr>
          <w:rFonts w:ascii="Times New Roman" w:hAnsi="Times New Roman" w:cs="Times New Roman"/>
          <w:noProof/>
          <w:sz w:val="24"/>
          <w:szCs w:val="24"/>
        </w:rPr>
      </w:pPr>
      <w:r w:rsidRPr="00851F05">
        <w:rPr>
          <w:rFonts w:ascii="Times New Roman" w:hAnsi="Times New Roman"/>
          <w:noProof/>
          <w:sz w:val="24"/>
        </w:rPr>
        <w:t>Pe lângă necesitatea recunoscută de a consolida reziliența europeană la șocuri la nivel politic, nouă din zece europeni consideră că este important ca UE să contribuie la coordonarea răspunsului la dezastre în UE și în alte țări</w:t>
      </w:r>
      <w:r w:rsidR="00876384" w:rsidRPr="00851F05">
        <w:rPr>
          <w:rStyle w:val="FootnoteReference"/>
          <w:rFonts w:ascii="Times New Roman" w:hAnsi="Times New Roman" w:cs="Times New Roman"/>
          <w:noProof/>
          <w:sz w:val="24"/>
          <w:szCs w:val="24"/>
          <w:lang w:val="en-IE"/>
        </w:rPr>
        <w:footnoteReference w:id="18"/>
      </w:r>
      <w:r w:rsidRPr="00851F05">
        <w:rPr>
          <w:rFonts w:ascii="Times New Roman" w:hAnsi="Times New Roman"/>
          <w:noProof/>
          <w:sz w:val="24"/>
        </w:rPr>
        <w:t xml:space="preserve">. În plus, 94 % dintre cetățenii europeni consideră că, atunci când se produce un dezastru într-o țară din UE, prea copleșitor pentru ca țara respectivă să îl gestioneze singură, alte state membre ale UE ar trebui să ofere asistență. </w:t>
      </w:r>
    </w:p>
    <w:p w14:paraId="5262F91A" w14:textId="0242AA1F" w:rsidR="00C6693A" w:rsidRPr="00851F05" w:rsidRDefault="00A21682" w:rsidP="00580D86">
      <w:pPr>
        <w:pStyle w:val="Heading1"/>
        <w:numPr>
          <w:ilvl w:val="0"/>
          <w:numId w:val="31"/>
        </w:numPr>
        <w:spacing w:before="0" w:after="240" w:line="240" w:lineRule="auto"/>
        <w:ind w:left="426"/>
        <w:rPr>
          <w:rFonts w:ascii="Times New Roman" w:hAnsi="Times New Roman" w:cs="Times New Roman"/>
          <w:noProof/>
          <w:color w:val="auto"/>
          <w:sz w:val="24"/>
          <w:szCs w:val="24"/>
        </w:rPr>
      </w:pPr>
      <w:bookmarkStart w:id="29" w:name="_Toc162523501"/>
      <w:bookmarkStart w:id="30" w:name="_Toc167793183"/>
      <w:bookmarkEnd w:id="29"/>
      <w:r w:rsidRPr="00851F05">
        <w:rPr>
          <w:rFonts w:ascii="Times New Roman" w:hAnsi="Times New Roman"/>
          <w:noProof/>
          <w:color w:val="auto"/>
          <w:sz w:val="24"/>
        </w:rPr>
        <w:t>Privind în perspectivă – Învățăminte din trecut pentru a consolida capacitatea UE de a face față crizelor</w:t>
      </w:r>
      <w:bookmarkEnd w:id="30"/>
    </w:p>
    <w:p w14:paraId="7948DAF8" w14:textId="39963F4C" w:rsidR="00B64DDE" w:rsidRPr="00851F05" w:rsidRDefault="003C3AD8" w:rsidP="00E971CB">
      <w:pPr>
        <w:autoSpaceDE w:val="0"/>
        <w:autoSpaceDN w:val="0"/>
        <w:spacing w:line="240" w:lineRule="auto"/>
        <w:jc w:val="both"/>
        <w:rPr>
          <w:rFonts w:ascii="Times New Roman" w:hAnsi="Times New Roman" w:cs="Times New Roman"/>
          <w:strike/>
          <w:noProof/>
          <w:sz w:val="24"/>
          <w:szCs w:val="24"/>
        </w:rPr>
      </w:pPr>
      <w:r w:rsidRPr="00851F05">
        <w:rPr>
          <w:rFonts w:ascii="Times New Roman" w:hAnsi="Times New Roman"/>
          <w:noProof/>
          <w:sz w:val="24"/>
        </w:rPr>
        <w:t xml:space="preserve">Pagubele provocate de evenimente catastrofale sunt în creștere semnificativă, însă capacitatea globală de a absorbi aceste șocuri și de a asigura redresarea în urma lor este limitată. Prin urmare, UE se confruntă cu provocarea de a se asigura că abordarea europeană a gestionării crizelor este „adaptată exigențelor viitorului”. Acest lucru necesită un UCPM puternic, care să se poată adapta la peisajul riscurilor aflat în continuă schimbare. Ca răspuns la aceste evoluții, Comisia a elaborat cinci recomandări strategice.  </w:t>
      </w:r>
    </w:p>
    <w:p w14:paraId="7D6C2234" w14:textId="4E09EBB6" w:rsidR="00C5526C" w:rsidRPr="00851F05" w:rsidRDefault="00C5526C" w:rsidP="00580D86">
      <w:pPr>
        <w:spacing w:before="240" w:after="240" w:line="240" w:lineRule="auto"/>
        <w:jc w:val="both"/>
        <w:rPr>
          <w:rFonts w:ascii="Times New Roman" w:hAnsi="Times New Roman" w:cs="Times New Roman"/>
          <w:i/>
          <w:iCs/>
          <w:noProof/>
          <w:sz w:val="24"/>
          <w:szCs w:val="24"/>
        </w:rPr>
      </w:pPr>
      <w:r w:rsidRPr="00851F05">
        <w:rPr>
          <w:rFonts w:ascii="Times New Roman" w:hAnsi="Times New Roman"/>
          <w:i/>
          <w:noProof/>
          <w:sz w:val="24"/>
        </w:rPr>
        <w:t>Recomandarea 1: Consolidarea capacităților operaționale de răspuns ale UCPM</w:t>
      </w:r>
    </w:p>
    <w:p w14:paraId="3B036F3E" w14:textId="77777777" w:rsidR="008973FF" w:rsidRPr="00851F05" w:rsidRDefault="00F024F8" w:rsidP="00E971CB">
      <w:pPr>
        <w:pStyle w:val="Bullet1"/>
        <w:numPr>
          <w:ilvl w:val="0"/>
          <w:numId w:val="0"/>
        </w:numPr>
        <w:spacing w:before="0" w:after="160" w:line="240" w:lineRule="auto"/>
        <w:jc w:val="both"/>
        <w:rPr>
          <w:rFonts w:ascii="Times New Roman" w:hAnsi="Times New Roman" w:cs="Times New Roman"/>
          <w:noProof/>
          <w:sz w:val="24"/>
          <w:szCs w:val="24"/>
        </w:rPr>
      </w:pPr>
      <w:r w:rsidRPr="00851F05">
        <w:rPr>
          <w:rFonts w:ascii="Times New Roman" w:hAnsi="Times New Roman"/>
          <w:noProof/>
          <w:sz w:val="24"/>
        </w:rPr>
        <w:t xml:space="preserve">Succesul UCPM se bazează în mod fundamental pe capacitățile statelor membre.  Acest fundament trebuie consolidat în continuare, promovând în același timp o implicare mai profundă atât în cadrul Rezervei europene de protecție civilă („ECPP”), cât și în cadrul rescEU. Este esențial ca atât ECPP, cât și rescEU să fie dotate pentru a aborda în mod eficace riscurile transfrontaliere și la scară largă ale viitorului. </w:t>
      </w:r>
    </w:p>
    <w:p w14:paraId="3D8FA12A" w14:textId="77777777" w:rsidR="008973FF" w:rsidRPr="00851F05" w:rsidRDefault="008973FF" w:rsidP="00E971CB">
      <w:pPr>
        <w:pStyle w:val="Bullet1"/>
        <w:numPr>
          <w:ilvl w:val="0"/>
          <w:numId w:val="0"/>
        </w:numPr>
        <w:spacing w:before="0" w:after="160" w:line="240" w:lineRule="auto"/>
        <w:jc w:val="both"/>
        <w:rPr>
          <w:rFonts w:ascii="Times New Roman" w:hAnsi="Times New Roman" w:cs="Times New Roman"/>
          <w:noProof/>
          <w:sz w:val="24"/>
          <w:szCs w:val="24"/>
        </w:rPr>
      </w:pPr>
    </w:p>
    <w:p w14:paraId="77241C4C" w14:textId="78605E22" w:rsidR="00310755" w:rsidRPr="00851F05" w:rsidRDefault="00836F9D" w:rsidP="00E971CB">
      <w:pPr>
        <w:pStyle w:val="Bullet1"/>
        <w:numPr>
          <w:ilvl w:val="0"/>
          <w:numId w:val="0"/>
        </w:numPr>
        <w:spacing w:before="0" w:afterLines="160" w:after="384" w:line="240" w:lineRule="auto"/>
        <w:jc w:val="both"/>
        <w:rPr>
          <w:rFonts w:ascii="Times New Roman" w:hAnsi="Times New Roman" w:cs="Times New Roman"/>
          <w:noProof/>
          <w:sz w:val="24"/>
          <w:szCs w:val="24"/>
          <w:highlight w:val="green"/>
        </w:rPr>
      </w:pPr>
      <w:r w:rsidRPr="00851F05">
        <w:rPr>
          <w:rFonts w:ascii="Times New Roman" w:hAnsi="Times New Roman"/>
          <w:noProof/>
          <w:sz w:val="24"/>
        </w:rPr>
        <w:t>Capacitățile UCPM ar trebui consolidate pe baza lacunelor identificate printr-o analiză a scenariilor comune și printr-o evaluare cuprinzătoare a nevoilor la nivel european, luând în considerare, în același timp, legătura dintre protecția civilă și securitate și nevoile viitoare de interoperabilitate ca orientări strategice importante pentru viitor. În sectoarele în care sunt identificate nevoi și riscuri comune, o extindere suplimentară a rescEU este alternativa cea mai eficientă din punctul de vedere al costurilor, indicând, de asemenea, o demonstrație dinamică a solidarității europene și a angajamentului UE față de reziliența și răspunsul colectiv.</w:t>
      </w:r>
      <w:r w:rsidRPr="00851F05">
        <w:rPr>
          <w:rFonts w:ascii="Times New Roman" w:hAnsi="Times New Roman"/>
          <w:noProof/>
          <w:sz w:val="24"/>
          <w:highlight w:val="green"/>
        </w:rPr>
        <w:t xml:space="preserve"> </w:t>
      </w:r>
    </w:p>
    <w:p w14:paraId="24C42081" w14:textId="446912F6" w:rsidR="000F48B2" w:rsidRPr="00851F05" w:rsidRDefault="000F48B2" w:rsidP="00E971CB">
      <w:pPr>
        <w:pStyle w:val="Bullet1"/>
        <w:numPr>
          <w:ilvl w:val="0"/>
          <w:numId w:val="0"/>
        </w:numPr>
        <w:spacing w:before="0" w:afterLines="160" w:after="384" w:line="240" w:lineRule="auto"/>
        <w:jc w:val="both"/>
        <w:rPr>
          <w:rFonts w:ascii="Times New Roman" w:hAnsi="Times New Roman" w:cs="Times New Roman"/>
          <w:noProof/>
          <w:sz w:val="24"/>
          <w:szCs w:val="24"/>
          <w:highlight w:val="green"/>
        </w:rPr>
      </w:pPr>
    </w:p>
    <w:p w14:paraId="51C914B3" w14:textId="2C2CF4F8" w:rsidR="227751E4" w:rsidRPr="00851F05" w:rsidRDefault="00B96E4B" w:rsidP="00E971CB">
      <w:pPr>
        <w:pStyle w:val="Bullet1"/>
        <w:numPr>
          <w:ilvl w:val="0"/>
          <w:numId w:val="0"/>
        </w:numPr>
        <w:spacing w:before="0" w:afterLines="160" w:after="384" w:line="240" w:lineRule="auto"/>
        <w:jc w:val="both"/>
        <w:rPr>
          <w:rFonts w:ascii="Times New Roman" w:hAnsi="Times New Roman" w:cs="Times New Roman"/>
          <w:noProof/>
          <w:sz w:val="24"/>
          <w:szCs w:val="24"/>
        </w:rPr>
      </w:pPr>
      <w:r w:rsidRPr="00851F05">
        <w:rPr>
          <w:rFonts w:ascii="Times New Roman" w:hAnsi="Times New Roman"/>
          <w:noProof/>
          <w:sz w:val="24"/>
        </w:rPr>
        <w:t xml:space="preserve">În plus, UCPM trebuie să fie în măsură să se adapteze în permanență la tehnologiile în continuă evoluție și să joace un rol de lider în dezvoltarea și promovarea unor mijloace și instrumente eficace și eficiente de răspuns în caz de dezastre.  </w:t>
      </w:r>
    </w:p>
    <w:p w14:paraId="72128FA3" w14:textId="0E4C940F" w:rsidR="227751E4" w:rsidRPr="00851F05" w:rsidRDefault="6BE39C62" w:rsidP="00580D86">
      <w:pPr>
        <w:spacing w:before="240" w:after="240" w:line="240" w:lineRule="auto"/>
        <w:jc w:val="both"/>
        <w:rPr>
          <w:rFonts w:ascii="Times New Roman" w:hAnsi="Times New Roman" w:cs="Times New Roman"/>
          <w:i/>
          <w:iCs/>
          <w:noProof/>
          <w:sz w:val="24"/>
          <w:szCs w:val="24"/>
        </w:rPr>
      </w:pPr>
      <w:r w:rsidRPr="00851F05">
        <w:rPr>
          <w:rFonts w:ascii="Times New Roman" w:hAnsi="Times New Roman"/>
          <w:i/>
          <w:noProof/>
          <w:sz w:val="24"/>
        </w:rPr>
        <w:t xml:space="preserve">Recomandarea 2 – Consolidarea prevenirii și a pregătirii UE prin coordonare transsectorială, printr-o abordare bazată pe toate riscurile și printr-un Centru solid de coordonare a răspunsului la situații de urgență </w:t>
      </w:r>
    </w:p>
    <w:p w14:paraId="0503AFBB" w14:textId="4B14789A" w:rsidR="00E5393F" w:rsidRPr="00851F05" w:rsidRDefault="3DE00266" w:rsidP="00E971CB">
      <w:pPr>
        <w:spacing w:line="240" w:lineRule="auto"/>
        <w:jc w:val="both"/>
        <w:rPr>
          <w:rFonts w:ascii="Times New Roman" w:hAnsi="Times New Roman" w:cs="Times New Roman"/>
          <w:noProof/>
          <w:sz w:val="24"/>
          <w:szCs w:val="24"/>
        </w:rPr>
      </w:pPr>
      <w:r w:rsidRPr="00851F05">
        <w:rPr>
          <w:rFonts w:ascii="Times New Roman" w:hAnsi="Times New Roman"/>
          <w:noProof/>
          <w:sz w:val="24"/>
        </w:rPr>
        <w:t>Implicarea activă a tuturor părților interesate relevante în toate etapele prevenirii dezastrelor, pregătirii și răspunsului în caz de dezastre în cadrul unei abordări la nivelul întregii societăți/tuturor riscurilor este imperativă. ERCC și-a dovedit capacitatea de a lucra în strânsă coordonare cu diferite servicii în situații de urgență și de criză complexe (în special în domenii precum CBRN, coordonarea civil-militară, cibernetică, război hibrid, sănătate, sprijin logistic pentru asistență consulară și schimbări climatice). Fragmentarea în alte structuri de răspuns sectoriale nu este adecvată pentru abordarea unor scenarii complexe și, prin urmare, ar trebui evitată. Ridicarea ERCC la rangul de centru transsectorial de criză al Comisiei ar reuni expertiza sectorială din diferite domenii de politică, asigurând o coerență și o eficacitate operaționale cuprinzătoare în cadrul unui sistem mai bine integrat al UE de răspuns în situații de criză.</w:t>
      </w:r>
    </w:p>
    <w:p w14:paraId="29E66848" w14:textId="6147B7DC" w:rsidR="00652E7C" w:rsidRPr="00851F05" w:rsidRDefault="00ED5B03" w:rsidP="00E971CB">
      <w:pPr>
        <w:spacing w:line="240" w:lineRule="auto"/>
        <w:jc w:val="both"/>
        <w:rPr>
          <w:rFonts w:ascii="Times New Roman" w:hAnsi="Times New Roman" w:cs="Times New Roman"/>
          <w:noProof/>
          <w:sz w:val="24"/>
          <w:szCs w:val="24"/>
        </w:rPr>
      </w:pPr>
      <w:r w:rsidRPr="00851F05">
        <w:rPr>
          <w:rFonts w:ascii="Times New Roman" w:hAnsi="Times New Roman"/>
          <w:noProof/>
          <w:sz w:val="24"/>
        </w:rPr>
        <w:t>În consecință, este important să se garanteze că toate procesele de la nivelul UE și de la nivel național sunt aliniate</w:t>
      </w:r>
      <w:r w:rsidR="00FA455E" w:rsidRPr="00851F05">
        <w:rPr>
          <w:rStyle w:val="FootnoteReference"/>
          <w:rFonts w:ascii="Times New Roman" w:hAnsi="Times New Roman" w:cs="Times New Roman"/>
          <w:noProof/>
          <w:sz w:val="24"/>
          <w:szCs w:val="24"/>
        </w:rPr>
        <w:footnoteReference w:id="19"/>
      </w:r>
      <w:r w:rsidRPr="00851F05">
        <w:rPr>
          <w:rFonts w:ascii="Times New Roman" w:hAnsi="Times New Roman"/>
          <w:noProof/>
          <w:sz w:val="24"/>
        </w:rPr>
        <w:t xml:space="preserve"> pentru a asigura reziliența începând cu momentul conceperii. Pilonul de prevenire al UCPM trebuie să fie mai bine aliniat la alte politici și programe ale UE care au capacitatea de a avea un impact asupra rezilienței societății. </w:t>
      </w:r>
    </w:p>
    <w:p w14:paraId="0995D4C6" w14:textId="126CF50C" w:rsidR="00C1118D" w:rsidRPr="00851F05" w:rsidRDefault="00214C86" w:rsidP="00E971CB">
      <w:pPr>
        <w:spacing w:line="240" w:lineRule="auto"/>
        <w:jc w:val="both"/>
        <w:rPr>
          <w:rFonts w:ascii="Times New Roman" w:hAnsi="Times New Roman" w:cs="Times New Roman"/>
          <w:noProof/>
          <w:sz w:val="24"/>
          <w:szCs w:val="24"/>
        </w:rPr>
      </w:pPr>
      <w:r w:rsidRPr="00851F05">
        <w:rPr>
          <w:rFonts w:ascii="Times New Roman" w:hAnsi="Times New Roman"/>
          <w:noProof/>
          <w:sz w:val="24"/>
        </w:rPr>
        <w:t xml:space="preserve">În plus, abordarea dezastrelor civile cu componente de securitate sau de apărare necesită o coordonare sistematică între autoritățile civile, de securitate și de apărare pe parcursul tuturor etapelor ciclului de gestionare a dezastrelor. Pregătirea civilă și militară ar trebui să fie complementară și să implice întreaga societate. ERCC ar trebui să își intensifice cooperarea cu NATO, SEAE și ONU (OCHA), facilitând un răspuns rapid în situații de urgență climatică sau în scenarii de conflict. Același lucru este valabil și pentru schimbul cu anumite organizații internaționale și țări care dețin cunoștințe și capacități specializate esențiale pentru gestionarea dezastrelor majore. </w:t>
      </w:r>
    </w:p>
    <w:p w14:paraId="6E5044AF" w14:textId="10A074BA" w:rsidR="005248B8" w:rsidRPr="00851F05" w:rsidRDefault="001A627E" w:rsidP="00E971CB">
      <w:pPr>
        <w:spacing w:line="240" w:lineRule="auto"/>
        <w:jc w:val="both"/>
        <w:rPr>
          <w:rFonts w:ascii="Times New Roman" w:hAnsi="Times New Roman" w:cs="Times New Roman"/>
          <w:noProof/>
          <w:sz w:val="24"/>
          <w:szCs w:val="24"/>
        </w:rPr>
      </w:pPr>
      <w:r w:rsidRPr="00851F05">
        <w:rPr>
          <w:rFonts w:ascii="Times New Roman" w:hAnsi="Times New Roman"/>
          <w:noProof/>
          <w:sz w:val="24"/>
        </w:rPr>
        <w:t>În plus, ar trebui intensificate eforturile pentru a spori implicarea sectorului privat la nivelul UE în misiuni specializate în materie de protecție civilă legate de prevenire, pregătire și răspuns. Acest lucru implică instituirea unor acorduri de cooperare strategică cu entitățile private relevante într-un domeniu de aplicare clar definit.</w:t>
      </w:r>
    </w:p>
    <w:p w14:paraId="7504694B" w14:textId="0FCD7467" w:rsidR="006871A5" w:rsidRPr="00851F05" w:rsidRDefault="006871A5" w:rsidP="00580D86">
      <w:pPr>
        <w:spacing w:before="240" w:after="240" w:line="240" w:lineRule="auto"/>
        <w:jc w:val="both"/>
        <w:rPr>
          <w:rFonts w:ascii="Times New Roman" w:hAnsi="Times New Roman" w:cs="Times New Roman"/>
          <w:i/>
          <w:iCs/>
          <w:noProof/>
          <w:sz w:val="24"/>
          <w:szCs w:val="24"/>
        </w:rPr>
      </w:pPr>
      <w:r w:rsidRPr="00851F05">
        <w:rPr>
          <w:rFonts w:ascii="Times New Roman" w:hAnsi="Times New Roman"/>
          <w:i/>
          <w:noProof/>
          <w:sz w:val="24"/>
        </w:rPr>
        <w:t>Recomandarea 3 – Raționalizarea schimbului de cunoștințe și de expertiză în ceea ce privește identificarea riscurilor și alerta timpurie</w:t>
      </w:r>
    </w:p>
    <w:p w14:paraId="1DB09608" w14:textId="6B6395AB" w:rsidR="00C7125C" w:rsidRPr="00851F05" w:rsidRDefault="00146E95" w:rsidP="00E971CB">
      <w:pPr>
        <w:spacing w:line="240" w:lineRule="auto"/>
        <w:jc w:val="both"/>
        <w:rPr>
          <w:rFonts w:ascii="Times New Roman" w:hAnsi="Times New Roman" w:cs="Times New Roman"/>
          <w:noProof/>
          <w:sz w:val="24"/>
          <w:szCs w:val="24"/>
        </w:rPr>
      </w:pPr>
      <w:r w:rsidRPr="00851F05">
        <w:rPr>
          <w:rFonts w:ascii="Times New Roman" w:hAnsi="Times New Roman"/>
          <w:noProof/>
          <w:sz w:val="24"/>
        </w:rPr>
        <w:t>Dezastrele transfrontaliere, multinaționale, transsectoriale și de la nivelul întregii Uniuni trebuie să ocupe o poziție mai proeminentă în evaluările relevante ale riscurilor la nivel european și național. Acest lucru poate fi realizat prin extinderea analizei factorilor care stau la baza riscurilor și a amenințărilor emergente, prin mobilizarea resurselor existente în toate sectoarele, atât la nivelul UE, cât și la nivel național, și prin utilizarea cunoștințelor și a expertizei disponibile din partea terților. Acest lucru s-ar putea reflecta într-o imagine de ansamblu mai cuprinzătoare a riscurilor la nivelul UE, care să facă legătura între toate sectoarele</w:t>
      </w:r>
      <w:r w:rsidR="001037A3" w:rsidRPr="00851F05">
        <w:rPr>
          <w:rStyle w:val="FootnoteReference"/>
          <w:rFonts w:ascii="Times New Roman" w:hAnsi="Times New Roman" w:cs="Times New Roman"/>
          <w:noProof/>
          <w:sz w:val="24"/>
          <w:szCs w:val="24"/>
        </w:rPr>
        <w:footnoteReference w:id="20"/>
      </w:r>
      <w:r w:rsidRPr="00851F05">
        <w:rPr>
          <w:rFonts w:ascii="Times New Roman" w:hAnsi="Times New Roman"/>
          <w:noProof/>
          <w:sz w:val="24"/>
        </w:rPr>
        <w:t xml:space="preserve">. </w:t>
      </w:r>
    </w:p>
    <w:p w14:paraId="68AB9D9C" w14:textId="0E277D51" w:rsidR="007B61FB" w:rsidRPr="00851F05" w:rsidRDefault="007B61FB" w:rsidP="00E971CB">
      <w:pPr>
        <w:spacing w:line="240" w:lineRule="auto"/>
        <w:jc w:val="both"/>
        <w:rPr>
          <w:rFonts w:ascii="Times New Roman" w:hAnsi="Times New Roman" w:cs="Times New Roman"/>
          <w:noProof/>
          <w:sz w:val="24"/>
          <w:szCs w:val="24"/>
        </w:rPr>
      </w:pPr>
      <w:r w:rsidRPr="00851F05">
        <w:rPr>
          <w:rFonts w:ascii="Times New Roman" w:hAnsi="Times New Roman"/>
          <w:noProof/>
          <w:sz w:val="24"/>
        </w:rPr>
        <w:t xml:space="preserve">În plus, ar trebui să existe o intensificare a schimbului de cunoștințe între autoritățile naționale de protecție civilă, în special în ceea ce privește expertiza foarte specializată legată de dezastrele cu probabilitate redusă de producere și cu impact ridicat. Prin urmare, este esențial să se consolideze schimbul de informații și interoperabilitatea sistemelor de alertă timpurie între statele membre printr-o abordare bazată pe toate pericolele. UCPM/ERCC este bine poziționat pentru a coordona acest efort. </w:t>
      </w:r>
    </w:p>
    <w:p w14:paraId="4098810F" w14:textId="6671A646" w:rsidR="007C0CB7" w:rsidRPr="00851F05" w:rsidRDefault="007B61FB" w:rsidP="00E971CB">
      <w:pPr>
        <w:spacing w:line="240" w:lineRule="auto"/>
        <w:jc w:val="both"/>
        <w:rPr>
          <w:rFonts w:ascii="Times New Roman" w:hAnsi="Times New Roman" w:cs="Times New Roman"/>
          <w:noProof/>
          <w:sz w:val="24"/>
          <w:szCs w:val="24"/>
        </w:rPr>
      </w:pPr>
      <w:r w:rsidRPr="00851F05">
        <w:rPr>
          <w:rFonts w:ascii="Times New Roman" w:hAnsi="Times New Roman"/>
          <w:noProof/>
          <w:sz w:val="24"/>
        </w:rPr>
        <w:t xml:space="preserve">În plus, o structură europeană flexibilă și cuprinzătoare de gestionare a dezastrelor necesită un schimb de cunoștințe mai sistematic la toate nivelurile. Ar trebui continuată consolidarea UCPM pentru a face legătura între instituțiile științifice și statele membre și pentru a pune cunoștințele științifice la dispoziția tuturor părților interesate relevante. </w:t>
      </w:r>
    </w:p>
    <w:p w14:paraId="7A5AB06A" w14:textId="076D0882" w:rsidR="00F646E1" w:rsidRPr="00851F05" w:rsidRDefault="77D302FD" w:rsidP="00E971CB">
      <w:pPr>
        <w:spacing w:line="240" w:lineRule="auto"/>
        <w:jc w:val="both"/>
        <w:rPr>
          <w:rFonts w:ascii="Times New Roman" w:hAnsi="Times New Roman" w:cs="Times New Roman"/>
          <w:noProof/>
          <w:sz w:val="24"/>
          <w:szCs w:val="24"/>
        </w:rPr>
      </w:pPr>
      <w:r w:rsidRPr="00851F05">
        <w:rPr>
          <w:rFonts w:ascii="Times New Roman" w:hAnsi="Times New Roman"/>
          <w:noProof/>
          <w:sz w:val="24"/>
        </w:rPr>
        <w:t xml:space="preserve">Rolul Comisiei în eforturile de comunicare în situații de risc de dezastre și de criză ar trebui să fie integrat în mod cuprinzător la nivelul tuturor serviciilor, pentru a oferi valoare adăugată statelor membre și cetățenilor europeni. </w:t>
      </w:r>
    </w:p>
    <w:p w14:paraId="1E1606F4" w14:textId="752F8505" w:rsidR="001C61AF" w:rsidRPr="00851F05" w:rsidRDefault="001C61AF" w:rsidP="00580D86">
      <w:pPr>
        <w:spacing w:before="240" w:after="240" w:line="240" w:lineRule="auto"/>
        <w:jc w:val="both"/>
        <w:rPr>
          <w:rFonts w:ascii="Times New Roman" w:hAnsi="Times New Roman" w:cs="Times New Roman"/>
          <w:i/>
          <w:iCs/>
          <w:noProof/>
          <w:sz w:val="24"/>
          <w:szCs w:val="24"/>
        </w:rPr>
      </w:pPr>
      <w:r w:rsidRPr="00851F05">
        <w:rPr>
          <w:rFonts w:ascii="Times New Roman" w:hAnsi="Times New Roman"/>
          <w:i/>
          <w:noProof/>
          <w:sz w:val="24"/>
        </w:rPr>
        <w:t>Recomandarea 4 – Luarea în considerare și abordarea nevoilor grupurilor vulnerabile în cadrul mecanismelor existente de prevenire, pregătire și răspuns</w:t>
      </w:r>
    </w:p>
    <w:p w14:paraId="463BA397" w14:textId="26C794CE" w:rsidR="000103C9" w:rsidRPr="00851F05" w:rsidRDefault="35907ADF" w:rsidP="009D73B4">
      <w:pPr>
        <w:spacing w:afterLines="160" w:after="384" w:line="240" w:lineRule="auto"/>
        <w:jc w:val="both"/>
        <w:rPr>
          <w:rFonts w:ascii="Times New Roman" w:hAnsi="Times New Roman" w:cs="Times New Roman"/>
          <w:noProof/>
          <w:sz w:val="24"/>
          <w:szCs w:val="24"/>
        </w:rPr>
      </w:pPr>
      <w:r w:rsidRPr="00851F05">
        <w:rPr>
          <w:rFonts w:ascii="Times New Roman" w:hAnsi="Times New Roman"/>
          <w:noProof/>
          <w:sz w:val="24"/>
        </w:rPr>
        <w:t xml:space="preserve">Evenimentele recente, cum ar fi inundațiile, incendiile forestiere și războiul de agresiune al Rusiei împotriva Ucrainei, au arătat că grupurile vulnerabile suferă în mod disproporționat în timpul dezastrelor majore. Este esențial să se acorde o atenție sporită și să se abordeze nevoile acestor grupuri vulnerabile, în special ale persoanelor cu handicap, ale persoanelor în vârstă și ale comunităților marginalizate, în cadrul mecanismelor existente de prevenire, pregătire și răspuns. </w:t>
      </w:r>
    </w:p>
    <w:p w14:paraId="4A3DF376" w14:textId="7A64749C" w:rsidR="00E971CB" w:rsidRPr="00851F05" w:rsidRDefault="38BC4068" w:rsidP="009D73B4">
      <w:pPr>
        <w:spacing w:afterLines="160" w:after="384" w:line="240" w:lineRule="auto"/>
        <w:jc w:val="both"/>
        <w:rPr>
          <w:rFonts w:ascii="Times New Roman" w:hAnsi="Times New Roman" w:cs="Times New Roman"/>
          <w:noProof/>
          <w:sz w:val="24"/>
          <w:szCs w:val="24"/>
        </w:rPr>
      </w:pPr>
      <w:r w:rsidRPr="00851F05">
        <w:rPr>
          <w:rFonts w:ascii="Times New Roman" w:hAnsi="Times New Roman"/>
          <w:noProof/>
          <w:sz w:val="24"/>
        </w:rPr>
        <w:t>Acest lucru se poate realiza prin diverse măsuri, inclusiv sisteme adaptate de alertă timpurie și mecanisme de alertă, prin asigurarea de mesaje de avertizare accesibile, clare și ușor de urmat, furnizate în mai multe limbi pentru fi comunicate tuturor segmentelor de populație, prin punerea în aplicare a unor acțiuni de pregătire și răspuns adaptate, prin integrarea sistematică a grupurilor vulnerabile în evaluările riscurilor și prin capacitarea reprezentării acestora în planificarea gestionării riscurilor de dezastre.</w:t>
      </w:r>
    </w:p>
    <w:p w14:paraId="3BDCE708" w14:textId="49DFC8BC" w:rsidR="00C62BDB" w:rsidRPr="00851F05" w:rsidRDefault="00E8730A" w:rsidP="00580D86">
      <w:pPr>
        <w:spacing w:before="240" w:after="240" w:line="240" w:lineRule="auto"/>
        <w:jc w:val="both"/>
        <w:rPr>
          <w:rFonts w:ascii="Times New Roman" w:hAnsi="Times New Roman" w:cs="Times New Roman"/>
          <w:i/>
          <w:iCs/>
          <w:noProof/>
          <w:sz w:val="24"/>
          <w:szCs w:val="24"/>
        </w:rPr>
      </w:pPr>
      <w:r w:rsidRPr="00851F05">
        <w:rPr>
          <w:rFonts w:ascii="Times New Roman" w:hAnsi="Times New Roman"/>
          <w:i/>
          <w:noProof/>
          <w:sz w:val="24"/>
        </w:rPr>
        <w:t>Recomandarea 5 – Consolidarea bugetului și sporirea sinergiilor și a integrării în instrumentele relevante ale UE pentru a asigura o gestionare europeană de lungă durată a dezastrelor la nivel transsectorial și transfrontalier</w:t>
      </w:r>
    </w:p>
    <w:p w14:paraId="599D9EFA" w14:textId="4CF1C0C7" w:rsidR="007D09A4" w:rsidRPr="00851F05" w:rsidRDefault="06017B15" w:rsidP="009D73B4">
      <w:pPr>
        <w:spacing w:line="240" w:lineRule="auto"/>
        <w:jc w:val="both"/>
        <w:rPr>
          <w:rFonts w:ascii="Times New Roman" w:hAnsi="Times New Roman" w:cs="Times New Roman"/>
          <w:noProof/>
          <w:sz w:val="24"/>
          <w:szCs w:val="24"/>
        </w:rPr>
      </w:pPr>
      <w:r w:rsidRPr="00851F05">
        <w:rPr>
          <w:rFonts w:ascii="Times New Roman" w:hAnsi="Times New Roman"/>
          <w:noProof/>
          <w:sz w:val="24"/>
        </w:rPr>
        <w:t xml:space="preserve">Este esențial să se garanteze că investițiile UE în cadrul UCPM sunt deopotrivă eficace și eficiente, cu accent pe durabilitate, pentru a produce efecte pozitive pe termen lung asupra rezilienței europene și asupra vieții cetățenilor europeni. În plus, consolidarea bugetului este esențială atunci când investițiile la nivel european se dovedesc a fi eficiente din punctul de vedere al costurilor și aduc valoare adăugată. </w:t>
      </w:r>
    </w:p>
    <w:p w14:paraId="7FD0FCF2" w14:textId="0BEB507E" w:rsidR="00C861D7" w:rsidRPr="00851F05" w:rsidRDefault="00BA713F" w:rsidP="009D73B4">
      <w:pPr>
        <w:spacing w:line="240" w:lineRule="auto"/>
        <w:jc w:val="both"/>
        <w:rPr>
          <w:rFonts w:ascii="Times New Roman" w:hAnsi="Times New Roman" w:cs="Times New Roman"/>
          <w:noProof/>
          <w:sz w:val="24"/>
          <w:szCs w:val="24"/>
        </w:rPr>
      </w:pPr>
      <w:r w:rsidRPr="00851F05">
        <w:rPr>
          <w:rFonts w:ascii="Times New Roman" w:hAnsi="Times New Roman"/>
          <w:noProof/>
          <w:sz w:val="24"/>
        </w:rPr>
        <w:t xml:space="preserve">Totodată, gestionarea riscurilor de dezastre la nivel european trebuie integrată în toate instrumentele de finanțare relevante ale UE. Având în vedere creșterea riscului de dezastre și impactul acestuia asupra dezvoltării economice, sociale și de mediu în UE, este important să se asigure că gestionarea riscului de dezastre este integrată ca prioritate de investiții în toate programele de finanțare relevante ale UE.  Fiecare euro cheltuit în acest domeniu economisește sume substanțiale în ceea ce privește costurile răspunsului, în special în contextul incendiilor forestiere (aproximativ 2 miliarde EUR pe an). </w:t>
      </w:r>
    </w:p>
    <w:p w14:paraId="17BD53B4" w14:textId="3BFAF8EB" w:rsidR="009D73B4" w:rsidRPr="00851F05" w:rsidRDefault="00BA713F" w:rsidP="009D73B4">
      <w:pPr>
        <w:spacing w:line="240" w:lineRule="auto"/>
        <w:jc w:val="both"/>
        <w:rPr>
          <w:rFonts w:ascii="Times New Roman" w:hAnsi="Times New Roman" w:cs="Times New Roman"/>
          <w:noProof/>
          <w:sz w:val="24"/>
          <w:szCs w:val="24"/>
        </w:rPr>
      </w:pPr>
      <w:r w:rsidRPr="00851F05">
        <w:rPr>
          <w:rFonts w:ascii="Times New Roman" w:hAnsi="Times New Roman"/>
          <w:noProof/>
          <w:sz w:val="24"/>
        </w:rPr>
        <w:t>În plus, pentru a completa cadrul existent, UCPM necesită o mai mare flexibilitate în adaptarea mecanismelor de răspuns și de finanțare pentru a răspunde nevoilor excepționale în scenarii de criză complexe sau prelungite, eventual prin mecanisme specifice de finanțare de urgență. Autoritățile de protecție civilă, statele membre și Comisia ar beneficia de pe urma unor rate de cofinanțare simplificate și a unor procese de achiziții directe mai flexibile. Aceste măsuri ar consolida, în cele din urmă, agilitatea și capacitatea UCPM de a oferi un răspuns adaptat la crize în timp util.</w:t>
      </w:r>
    </w:p>
    <w:p w14:paraId="0AF6E84E" w14:textId="6ADF3DEF" w:rsidR="00A252E6" w:rsidRPr="00851F05" w:rsidRDefault="00A21682" w:rsidP="00580D86">
      <w:pPr>
        <w:pStyle w:val="Heading1"/>
        <w:numPr>
          <w:ilvl w:val="0"/>
          <w:numId w:val="31"/>
        </w:numPr>
        <w:spacing w:after="240" w:line="240" w:lineRule="auto"/>
        <w:rPr>
          <w:rFonts w:ascii="Times New Roman" w:hAnsi="Times New Roman" w:cs="Times New Roman"/>
          <w:noProof/>
          <w:color w:val="auto"/>
          <w:sz w:val="24"/>
          <w:szCs w:val="24"/>
        </w:rPr>
      </w:pPr>
      <w:bookmarkStart w:id="31" w:name="_Conclusion"/>
      <w:bookmarkStart w:id="32" w:name="_Toc167793184"/>
      <w:bookmarkEnd w:id="31"/>
      <w:r w:rsidRPr="00851F05">
        <w:rPr>
          <w:rFonts w:ascii="Times New Roman" w:hAnsi="Times New Roman"/>
          <w:noProof/>
          <w:color w:val="auto"/>
          <w:sz w:val="24"/>
        </w:rPr>
        <w:t>Concluzie</w:t>
      </w:r>
      <w:bookmarkEnd w:id="32"/>
    </w:p>
    <w:p w14:paraId="785CACBC" w14:textId="74F81D2E" w:rsidR="00B46928" w:rsidRPr="00851F05" w:rsidRDefault="000D7F9B" w:rsidP="009D73B4">
      <w:pPr>
        <w:spacing w:line="240" w:lineRule="auto"/>
        <w:jc w:val="both"/>
        <w:rPr>
          <w:rFonts w:ascii="Times New Roman" w:hAnsi="Times New Roman" w:cs="Times New Roman"/>
          <w:noProof/>
          <w:sz w:val="24"/>
          <w:szCs w:val="24"/>
        </w:rPr>
      </w:pPr>
      <w:r w:rsidRPr="00851F05">
        <w:rPr>
          <w:rFonts w:ascii="Times New Roman" w:hAnsi="Times New Roman"/>
          <w:noProof/>
          <w:sz w:val="24"/>
        </w:rPr>
        <w:t xml:space="preserve">Pentru a aborda noua realitate a Europei, este momentul ca Comisia să elaboreze în continuare o abordare integrată privind gestionarea crizelor, capabilă să reunească toate serviciile relevante ale Comisiei pentru a lucra în mod coordonat, sprijinind și completând în mod eficace eforturile statelor membre în ceea ce privește strategia contiguă de prevenire, pregătire și răspuns. În consecință, această abordare consolidată ar trebui să promoveze prevenirea, să stimuleze pregătirea și să faciliteze un răspuns rapid și eficient la dezastre, atât la nivelul statelor membre, cât și la nivelul Uniunii. </w:t>
      </w:r>
    </w:p>
    <w:p w14:paraId="1AC9C234" w14:textId="4C5DE6D4" w:rsidR="000D7F9B" w:rsidRPr="00851F05" w:rsidRDefault="001102D3" w:rsidP="009D73B4">
      <w:pPr>
        <w:spacing w:line="240" w:lineRule="auto"/>
        <w:jc w:val="both"/>
        <w:rPr>
          <w:rFonts w:ascii="Times New Roman" w:hAnsi="Times New Roman" w:cs="Times New Roman"/>
          <w:noProof/>
          <w:sz w:val="24"/>
          <w:szCs w:val="24"/>
        </w:rPr>
      </w:pPr>
      <w:r w:rsidRPr="00851F05">
        <w:rPr>
          <w:rFonts w:ascii="Times New Roman" w:hAnsi="Times New Roman"/>
          <w:noProof/>
          <w:sz w:val="24"/>
        </w:rPr>
        <w:t xml:space="preserve">La nivelul Comisiei, este necesară o abordare orizontală pentru a îmbunătăți coerența, a evita suprapunerile și duplicările, exploatând în același timp potențialele sinergii.  ERCC este organismul de coordonare evident, având cea mai mare competență pentru a înțelege, analiza, coordona și mobiliza acțiunile în toate sectoarele și dimensiunile relevante ale gestionării dezastrelor. Fragmentarea într-o multitudine de instrumente la nivelul unor servicii diferite ar conduce la ineficiențe și la o potențială suprapunere, împiedicând astfel gestionarea integrată, rezilientă și eficace a crizelor la nivel european, la care se așteaptă cetățenii europeni. </w:t>
      </w:r>
    </w:p>
    <w:p w14:paraId="065E0CCB" w14:textId="496D3000" w:rsidR="003525E9" w:rsidRPr="00851F05" w:rsidRDefault="001102D3" w:rsidP="009D73B4">
      <w:pPr>
        <w:spacing w:line="240" w:lineRule="auto"/>
        <w:jc w:val="both"/>
        <w:rPr>
          <w:rFonts w:ascii="Times New Roman" w:hAnsi="Times New Roman" w:cs="Times New Roman"/>
          <w:noProof/>
          <w:sz w:val="24"/>
          <w:szCs w:val="24"/>
        </w:rPr>
      </w:pPr>
      <w:r w:rsidRPr="00851F05">
        <w:rPr>
          <w:rFonts w:ascii="Times New Roman" w:hAnsi="Times New Roman"/>
          <w:noProof/>
          <w:sz w:val="24"/>
        </w:rPr>
        <w:t>În plus, pentru a aborda principalele provocări legate de gestionarea crizelor în următorul deceniu, și anume schimbările climatice și amenințările în continuă evoluție la adresa securității, Comisia și statele membre trebuie să își intensifice pregătirea strategică, în strânsă cooperare cu principalele părți interesate și cu partenerii lor. Consolidarea rescEU, cel mai eficace și eficient instrument la nivelul UE, ar stimula reziliența Uniunii împotriva amenințărilor care ar putea avea un impact asupra structurii fundamentale a societății europene.</w:t>
      </w:r>
    </w:p>
    <w:p w14:paraId="2B2DFE72" w14:textId="309EEBFF" w:rsidR="005D6FEB" w:rsidRPr="00851F05" w:rsidRDefault="005D6FEB" w:rsidP="00326807">
      <w:pPr>
        <w:rPr>
          <w:noProof/>
        </w:rPr>
      </w:pPr>
    </w:p>
    <w:sectPr w:rsidR="005D6FEB" w:rsidRPr="00851F05" w:rsidSect="00785D46">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50FB4" w14:textId="77777777" w:rsidR="00CB2209" w:rsidRDefault="00CB2209" w:rsidP="004D3C4D">
      <w:pPr>
        <w:spacing w:after="0" w:line="240" w:lineRule="auto"/>
      </w:pPr>
      <w:r>
        <w:separator/>
      </w:r>
    </w:p>
  </w:endnote>
  <w:endnote w:type="continuationSeparator" w:id="0">
    <w:p w14:paraId="15F15961" w14:textId="77777777" w:rsidR="00CB2209" w:rsidRDefault="00CB2209" w:rsidP="004D3C4D">
      <w:pPr>
        <w:spacing w:after="0" w:line="240" w:lineRule="auto"/>
      </w:pPr>
      <w:r>
        <w:continuationSeparator/>
      </w:r>
    </w:p>
  </w:endnote>
  <w:endnote w:type="continuationNotice" w:id="1">
    <w:p w14:paraId="51C6AD05" w14:textId="77777777" w:rsidR="00CB2209" w:rsidRDefault="00CB22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mbria"/>
    <w:charset w:val="00"/>
    <w:family w:val="swiss"/>
    <w:pitch w:val="variable"/>
    <w:sig w:usb0="20000287" w:usb1="00000003" w:usb2="00000000" w:usb3="00000000" w:csb0="0000019F" w:csb1="00000000"/>
  </w:font>
  <w:font w:name="EC Square Sans Pro">
    <w:altName w:val="Bahnschrift Light"/>
    <w:charset w:val="00"/>
    <w:family w:val="swiss"/>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51E78" w14:textId="664806EC" w:rsidR="00704F2E" w:rsidRPr="00704F2E" w:rsidRDefault="00704F2E" w:rsidP="00704F2E">
    <w:pPr>
      <w:pStyle w:val="FooterCoverPage"/>
      <w:rPr>
        <w:rFonts w:ascii="Arial" w:hAnsi="Arial" w:cs="Arial"/>
        <w:b/>
        <w:sz w:val="48"/>
      </w:rPr>
    </w:pPr>
    <w:r w:rsidRPr="00704F2E">
      <w:rPr>
        <w:rFonts w:ascii="Arial" w:hAnsi="Arial" w:cs="Arial"/>
        <w:b/>
        <w:sz w:val="48"/>
      </w:rPr>
      <w:t>RO</w:t>
    </w:r>
    <w:r w:rsidRPr="00704F2E">
      <w:rPr>
        <w:rFonts w:ascii="Arial" w:hAnsi="Arial" w:cs="Arial"/>
        <w:b/>
        <w:sz w:val="48"/>
      </w:rPr>
      <w:tab/>
    </w:r>
    <w:r w:rsidRPr="00704F2E">
      <w:rPr>
        <w:rFonts w:ascii="Arial" w:hAnsi="Arial" w:cs="Arial"/>
        <w:b/>
        <w:sz w:val="48"/>
      </w:rPr>
      <w:tab/>
    </w:r>
    <w:r w:rsidRPr="00704F2E">
      <w:tab/>
    </w:r>
    <w:r w:rsidRPr="00704F2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B6F9F" w14:textId="717E870A" w:rsidR="00704F2E" w:rsidRPr="00704F2E" w:rsidRDefault="00704F2E" w:rsidP="00704F2E">
    <w:pPr>
      <w:pStyle w:val="FooterCoverPage"/>
      <w:rPr>
        <w:rFonts w:ascii="Arial" w:hAnsi="Arial" w:cs="Arial"/>
        <w:b/>
        <w:sz w:val="48"/>
      </w:rPr>
    </w:pPr>
    <w:r w:rsidRPr="00704F2E">
      <w:rPr>
        <w:rFonts w:ascii="Arial" w:hAnsi="Arial" w:cs="Arial"/>
        <w:b/>
        <w:sz w:val="48"/>
      </w:rPr>
      <w:t>RO</w:t>
    </w:r>
    <w:r w:rsidRPr="00704F2E">
      <w:rPr>
        <w:rFonts w:ascii="Arial" w:hAnsi="Arial" w:cs="Arial"/>
        <w:b/>
        <w:sz w:val="48"/>
      </w:rPr>
      <w:tab/>
    </w:r>
    <w:r w:rsidRPr="00704F2E">
      <w:rPr>
        <w:rFonts w:ascii="Arial" w:hAnsi="Arial" w:cs="Arial"/>
        <w:b/>
        <w:sz w:val="48"/>
      </w:rPr>
      <w:tab/>
    </w:r>
    <w:r w:rsidRPr="00704F2E">
      <w:tab/>
    </w:r>
    <w:r w:rsidRPr="00704F2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67494" w14:textId="77777777" w:rsidR="00704F2E" w:rsidRPr="00704F2E" w:rsidRDefault="00704F2E" w:rsidP="00704F2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2" w14:textId="77777777" w:rsidR="004D3C4D" w:rsidRDefault="004D3C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09F67" w14:textId="78E94D01" w:rsidR="00B00F8A" w:rsidRDefault="00B00F8A">
    <w:pPr>
      <w:pStyle w:val="Footer"/>
      <w:jc w:val="center"/>
    </w:pPr>
  </w:p>
  <w:p w14:paraId="57DEE503" w14:textId="77777777" w:rsidR="004D3C4D" w:rsidRDefault="004D3C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5" w14:textId="77777777" w:rsidR="004D3C4D" w:rsidRDefault="004D3C4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BF670" w14:textId="77777777" w:rsidR="00366DF9" w:rsidRDefault="00366DF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6546742"/>
      <w:docPartObj>
        <w:docPartGallery w:val="Page Numbers (Bottom of Page)"/>
        <w:docPartUnique/>
      </w:docPartObj>
    </w:sdtPr>
    <w:sdtEndPr>
      <w:rPr>
        <w:noProof/>
      </w:rPr>
    </w:sdtEndPr>
    <w:sdtContent>
      <w:p w14:paraId="7422A6AC" w14:textId="3315B801" w:rsidR="00580D86" w:rsidRDefault="00580D86">
        <w:pPr>
          <w:pStyle w:val="Footer"/>
          <w:jc w:val="center"/>
        </w:pPr>
        <w:r>
          <w:fldChar w:fldCharType="begin"/>
        </w:r>
        <w:r>
          <w:instrText xml:space="preserve"> PAGE   \* MERGEFORMAT </w:instrText>
        </w:r>
        <w:r>
          <w:fldChar w:fldCharType="separate"/>
        </w:r>
        <w:r w:rsidR="00704F2E">
          <w:rPr>
            <w:noProof/>
          </w:rPr>
          <w:t>7</w:t>
        </w:r>
        <w:r>
          <w:fldChar w:fldCharType="end"/>
        </w:r>
      </w:p>
    </w:sdtContent>
  </w:sdt>
  <w:p w14:paraId="7060FD4E" w14:textId="77777777" w:rsidR="00580D86" w:rsidRDefault="00580D8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5B7D6" w14:textId="77777777" w:rsidR="00366DF9" w:rsidRDefault="00366D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C23B1" w14:textId="77777777" w:rsidR="00CB2209" w:rsidRDefault="00CB2209" w:rsidP="004D3C4D">
      <w:pPr>
        <w:spacing w:after="0" w:line="240" w:lineRule="auto"/>
      </w:pPr>
      <w:r>
        <w:separator/>
      </w:r>
    </w:p>
  </w:footnote>
  <w:footnote w:type="continuationSeparator" w:id="0">
    <w:p w14:paraId="4FC0BD81" w14:textId="77777777" w:rsidR="00CB2209" w:rsidRDefault="00CB2209" w:rsidP="004D3C4D">
      <w:pPr>
        <w:spacing w:after="0" w:line="240" w:lineRule="auto"/>
      </w:pPr>
      <w:r>
        <w:continuationSeparator/>
      </w:r>
    </w:p>
  </w:footnote>
  <w:footnote w:type="continuationNotice" w:id="1">
    <w:p w14:paraId="2A4A7D66" w14:textId="77777777" w:rsidR="00CB2209" w:rsidRDefault="00CB2209">
      <w:pPr>
        <w:spacing w:after="0" w:line="240" w:lineRule="auto"/>
      </w:pPr>
    </w:p>
  </w:footnote>
  <w:footnote w:id="2">
    <w:p w14:paraId="7AC29EFA" w14:textId="296F1A20" w:rsidR="00580D86" w:rsidRPr="00D957D2" w:rsidRDefault="00580D86" w:rsidP="00580D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Protecția civilă constă în asistență de urgență acordată sub coordonarea autorităților guvernamentale în vederea pregătirii pentru un dezastru în Europa și la nivel mondial sau imediat după producerea unui astfel de dezastru.</w:t>
      </w:r>
    </w:p>
  </w:footnote>
  <w:footnote w:id="3">
    <w:p w14:paraId="07077CB2" w14:textId="18BCE6A4" w:rsidR="00580D86" w:rsidRPr="00D957D2" w:rsidRDefault="00580D86" w:rsidP="00580D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Cele 27 de state membre și cele 10 țări terțe (Albania, Bosnia și Herțegovina, Islanda, Muntenegru, Macedonia de Nord, Moldova, Norvegia, Serbia, Turcia și Ucraina) fac parte din mecanismul de protecție civilă al Uniunii.</w:t>
      </w:r>
    </w:p>
  </w:footnote>
  <w:footnote w:id="4">
    <w:p w14:paraId="41340D17" w14:textId="77777777" w:rsidR="008C398E" w:rsidRPr="00E93515" w:rsidRDefault="008C398E" w:rsidP="00580D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Deși activarea din Ucraina în 2022, cauzată de război, a fost luată în calcul o singură dată, aceasta include peste 120 de cereri de asistență actualizate.</w:t>
      </w:r>
    </w:p>
  </w:footnote>
  <w:footnote w:id="5">
    <w:p w14:paraId="04418C4F" w14:textId="57605C78" w:rsidR="00191600" w:rsidRPr="00F17799" w:rsidRDefault="00191600" w:rsidP="000E487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Majoritatea respondenților la sondajul realizat în rândul autoritățile statelor membre (ICF</w:t>
      </w:r>
      <w:r>
        <w:t xml:space="preserve">, </w:t>
      </w:r>
      <w:hyperlink r:id="rId1" w:history="1">
        <w:r>
          <w:rPr>
            <w:rStyle w:val="Hyperlink"/>
            <w:rFonts w:ascii="Times New Roman" w:hAnsi="Times New Roman"/>
          </w:rPr>
          <w:t>studiu independent de sprijin privind UCPM 2017-2022</w:t>
        </w:r>
      </w:hyperlink>
      <w:r>
        <w:rPr>
          <w:rFonts w:ascii="Times New Roman" w:hAnsi="Times New Roman"/>
        </w:rPr>
        <w:t>).</w:t>
      </w:r>
    </w:p>
  </w:footnote>
  <w:footnote w:id="6">
    <w:p w14:paraId="7777CA6F" w14:textId="311C732F" w:rsidR="00844875" w:rsidRPr="00E35483" w:rsidRDefault="00844875" w:rsidP="00F17799">
      <w:pPr>
        <w:pStyle w:val="FootnoteText"/>
        <w:jc w:val="both"/>
      </w:pPr>
      <w:r>
        <w:rPr>
          <w:rStyle w:val="FootnoteReference"/>
          <w:rFonts w:ascii="Times New Roman" w:hAnsi="Times New Roman" w:cs="Times New Roman"/>
        </w:rPr>
        <w:footnoteRef/>
      </w:r>
      <w:r>
        <w:rPr>
          <w:rFonts w:ascii="Times New Roman" w:hAnsi="Times New Roman"/>
        </w:rPr>
        <w:t xml:space="preserve"> Sondaj în rândul autorităților statelor membre și al instituțiilor UE (ICF, </w:t>
      </w:r>
      <w:hyperlink r:id="rId2" w:history="1">
        <w:r>
          <w:rPr>
            <w:rStyle w:val="Hyperlink"/>
            <w:rFonts w:ascii="Times New Roman" w:hAnsi="Times New Roman"/>
          </w:rPr>
          <w:t xml:space="preserve"> studiu independent de sprijin privind UCPM 2017-2022</w:t>
        </w:r>
      </w:hyperlink>
      <w:r>
        <w:rPr>
          <w:rFonts w:ascii="Times New Roman" w:hAnsi="Times New Roman"/>
        </w:rPr>
        <w:t>).</w:t>
      </w:r>
      <w:r>
        <w:t xml:space="preserve"> </w:t>
      </w:r>
    </w:p>
  </w:footnote>
  <w:footnote w:id="7">
    <w:p w14:paraId="03E731D2" w14:textId="56600AFC" w:rsidR="000F38E5" w:rsidRPr="00D957D2" w:rsidRDefault="000F38E5" w:rsidP="00580D86">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În acest context, o autoritate națională a remarcat că unele țări și-au aliniat mai bine sistemele lor naționale la SAT al UE. Ca exemplu edificator, aceasta a subliniat viiturile din 2021 din Germania, unde informațiile de alertă timpurie erau disponibile la nivel european, dar autoritățile locale și regionale nu erau la curent cu sistemul și cu amploarea inundațiilor anticipate.</w:t>
      </w:r>
    </w:p>
  </w:footnote>
  <w:footnote w:id="8">
    <w:p w14:paraId="7D4A03EB" w14:textId="538A7238" w:rsidR="00C52DDD" w:rsidRPr="00D957D2" w:rsidRDefault="00C52DDD" w:rsidP="00D957D2">
      <w:pPr>
        <w:pStyle w:val="FootnoteText"/>
        <w:jc w:val="both"/>
        <w:rPr>
          <w:rFonts w:ascii="Times New Roman" w:hAnsi="Times New Roman" w:cs="Times New Roman"/>
          <w:u w:val="single"/>
        </w:rPr>
      </w:pPr>
      <w:r>
        <w:rPr>
          <w:rStyle w:val="FootnoteReference"/>
          <w:rFonts w:ascii="Times New Roman" w:hAnsi="Times New Roman" w:cs="Times New Roman"/>
        </w:rPr>
        <w:footnoteRef/>
      </w:r>
      <w:r>
        <w:rPr>
          <w:rFonts w:ascii="Times New Roman" w:hAnsi="Times New Roman"/>
        </w:rPr>
        <w:t xml:space="preserve"> Un exemplu recent de UCPM care își desfășoară activitatea în acest domeniu este cofinanțarea unui nou sistem de alertă timpurie pentru toate pericolele, al Serviciului de stat pentru pompieri și salvare din Letonia.</w:t>
      </w:r>
      <w:r>
        <w:t xml:space="preserve"> </w:t>
      </w:r>
      <w:r>
        <w:rPr>
          <w:rFonts w:ascii="Times New Roman" w:hAnsi="Times New Roman"/>
        </w:rPr>
        <w:t xml:space="preserve"> Principalele rezultate ale proiectului au inclus un studiu de fezabilitate care compară diferitele soluții pe care companiile de telecomunicații le-ar putea oferi, un sondaj în rândul populației pentru a înțelege nivelul de conștientizare al populației letone în ceea ce privește alertele în caz de dezastru, precum și un proiect de arhitectură a sistemului propus, inclusiv infrastructura necesară și interoperabilitatea. </w:t>
      </w:r>
    </w:p>
  </w:footnote>
  <w:footnote w:id="9">
    <w:p w14:paraId="764C4EE5" w14:textId="5B8CD5A3" w:rsidR="0080639A" w:rsidRPr="00D957D2" w:rsidRDefault="0080639A" w:rsidP="000C206C">
      <w:pPr>
        <w:pStyle w:val="FootnoteText"/>
        <w:jc w:val="both"/>
        <w:rPr>
          <w:rStyle w:val="FootnoteReference"/>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vertAlign w:val="baseline"/>
        </w:rPr>
        <w:t xml:space="preserve"> Sprijin pentru finanțarea bunurilor canalizate prin intermediul centrelor</w:t>
      </w:r>
      <w:r>
        <w:rPr>
          <w:rFonts w:ascii="Times New Roman" w:hAnsi="Times New Roman"/>
        </w:rPr>
        <w:t>.</w:t>
      </w:r>
    </w:p>
  </w:footnote>
  <w:footnote w:id="10">
    <w:p w14:paraId="2F17B788" w14:textId="303C3C28" w:rsidR="009D3F2A" w:rsidRPr="00D957D2" w:rsidRDefault="009D3F2A" w:rsidP="000C206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Pusă în aplicare în temeiul articolului 10 alineatul (1) din Decizia nr. 1313/2013/UE.</w:t>
      </w:r>
    </w:p>
  </w:footnote>
  <w:footnote w:id="11">
    <w:p w14:paraId="16C20AE1" w14:textId="7EB59BE1" w:rsidR="00523692" w:rsidRPr="00D957D2" w:rsidRDefault="00523692" w:rsidP="000C206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Europeană, Comunicare a Comisiei către Parlamentul European, Consiliu, Comitetul Economic și Social European și Comitetul Regiunilor: Gestionarea riscurilor climatice – protejarea oamenilor și a prosperității, COM/2024/91 final,</w:t>
      </w:r>
      <w:r>
        <w:t xml:space="preserve"> &lt;</w:t>
      </w:r>
      <w:hyperlink r:id="rId3" w:history="1">
        <w:r>
          <w:rPr>
            <w:rStyle w:val="Hyperlink"/>
            <w:rFonts w:ascii="Times New Roman" w:hAnsi="Times New Roman"/>
            <w:color w:val="000000" w:themeColor="text1"/>
            <w:u w:val="none"/>
          </w:rPr>
          <w:t>b04a5ed8-83da-4007-9c25-1323ca4f3c92_en (europa.eu)</w:t>
        </w:r>
      </w:hyperlink>
      <w:r>
        <w:rPr>
          <w:rFonts w:ascii="Times New Roman" w:hAnsi="Times New Roman"/>
        </w:rPr>
        <w:t>&gt;.</w:t>
      </w:r>
    </w:p>
  </w:footnote>
  <w:footnote w:id="12">
    <w:p w14:paraId="49B25166" w14:textId="02808503" w:rsidR="00535054" w:rsidRPr="00580D86" w:rsidRDefault="00535054" w:rsidP="000C206C">
      <w:pPr>
        <w:pStyle w:val="FootnoteText"/>
        <w:jc w:val="both"/>
      </w:pPr>
      <w:r>
        <w:rPr>
          <w:rStyle w:val="FootnoteReference"/>
          <w:rFonts w:ascii="Times New Roman" w:hAnsi="Times New Roman" w:cs="Times New Roman"/>
        </w:rPr>
        <w:footnoteRef/>
      </w:r>
      <w:r>
        <w:t xml:space="preserve"> </w:t>
      </w:r>
      <w:r>
        <w:rPr>
          <w:rFonts w:ascii="Times New Roman" w:hAnsi="Times New Roman"/>
        </w:rPr>
        <w:t>Recomandarea Comisiei din 8 februarie 2023 privind obiectivele Uniunii în materie de reziliență la dezastre, 2023/C 56/0, &lt;</w:t>
      </w:r>
      <w:hyperlink r:id="rId4" w:history="1">
        <w:r>
          <w:rPr>
            <w:rStyle w:val="Hyperlink"/>
            <w:rFonts w:ascii="Times New Roman" w:hAnsi="Times New Roman"/>
            <w:color w:val="000000" w:themeColor="text1"/>
            <w:u w:val="none"/>
          </w:rPr>
          <w:t>EUR-Lex - 32023H0215(01) - RO - EUR-Lex (europa.eu)</w:t>
        </w:r>
      </w:hyperlink>
      <w:r>
        <w:rPr>
          <w:rFonts w:ascii="Times New Roman" w:hAnsi="Times New Roman"/>
          <w:color w:val="000000" w:themeColor="text1"/>
        </w:rPr>
        <w:t>&gt;;</w:t>
      </w:r>
      <w:r>
        <w:rPr>
          <w:rFonts w:ascii="Times New Roman" w:hAnsi="Times New Roman"/>
        </w:rPr>
        <w:t xml:space="preserve"> Comisia Europeană, Comunicarea intitulată „Obiectivele Uniunii în materie de reziliență la dezastre:</w:t>
      </w:r>
      <w:r>
        <w:t xml:space="preserve"> </w:t>
      </w:r>
      <w:r>
        <w:rPr>
          <w:rFonts w:ascii="Times New Roman" w:hAnsi="Times New Roman"/>
        </w:rPr>
        <w:t xml:space="preserve"> să acționăm împreună pentru a face față viitoarelor situații de urgență”, COM/2023/61 final, &lt;</w:t>
      </w:r>
      <w:r>
        <w:t xml:space="preserve"> </w:t>
      </w:r>
      <w:hyperlink r:id="rId5" w:history="1">
        <w:r>
          <w:rPr>
            <w:rStyle w:val="Hyperlink"/>
            <w:rFonts w:ascii="Times New Roman" w:hAnsi="Times New Roman"/>
            <w:color w:val="000000" w:themeColor="text1"/>
            <w:u w:val="none"/>
          </w:rPr>
          <w:t>EUR-Lex - 52023DC0061 - EN - EUR-Lex (europa.eu)</w:t>
        </w:r>
      </w:hyperlink>
      <w:r>
        <w:rPr>
          <w:rFonts w:ascii="Times New Roman" w:hAnsi="Times New Roman"/>
          <w:color w:val="000000" w:themeColor="text1"/>
        </w:rPr>
        <w:t>&gt;.</w:t>
      </w:r>
    </w:p>
  </w:footnote>
  <w:footnote w:id="13">
    <w:p w14:paraId="0C6B2A31" w14:textId="0EC489B6" w:rsidR="00191E93" w:rsidRPr="00A67EAA" w:rsidRDefault="00191E93" w:rsidP="000C206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Reuniunea Consiliului European din 29-30 iunie 2023 și din 26-27 octombrie 2023.</w:t>
      </w:r>
    </w:p>
  </w:footnote>
  <w:footnote w:id="14">
    <w:p w14:paraId="7A0B22E6" w14:textId="24E3B514" w:rsidR="005C4D01" w:rsidRPr="008E2A3F" w:rsidRDefault="005C4D01" w:rsidP="000C206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Reuniunea Consiliului European din 21-22 martie 2024.</w:t>
      </w:r>
    </w:p>
  </w:footnote>
  <w:footnote w:id="15">
    <w:p w14:paraId="256B718B" w14:textId="52F62D0B" w:rsidR="008E2A3F" w:rsidRPr="008E2A3F" w:rsidRDefault="008E2A3F">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Deciziile structurale, cum ar fi deciziile privind amenajarea teritoriului, ar trebui să ia în considerare toate riscurile relevante și să fie aprobate de autoritățile naționale responsabile cu reziliența infrastructurii și a entităților critice.</w:t>
      </w:r>
    </w:p>
  </w:footnote>
  <w:footnote w:id="16">
    <w:p w14:paraId="03E9971F" w14:textId="7F2713E8" w:rsidR="000852CB" w:rsidRPr="00A67EAA" w:rsidRDefault="000852CB" w:rsidP="000852C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COM(2024) 91 final.</w:t>
      </w:r>
    </w:p>
  </w:footnote>
  <w:footnote w:id="17">
    <w:p w14:paraId="56F2481D" w14:textId="615154F6" w:rsidR="51F8FC27" w:rsidRPr="009D73B4" w:rsidRDefault="51F8FC27" w:rsidP="000C206C">
      <w:pPr>
        <w:pStyle w:val="FootnoteText"/>
        <w:jc w:val="both"/>
        <w:rPr>
          <w:color w:val="000000" w:themeColor="text1"/>
        </w:rPr>
      </w:pPr>
      <w:r>
        <w:rPr>
          <w:rStyle w:val="FootnoteReference"/>
          <w:rFonts w:ascii="Times New Roman" w:hAnsi="Times New Roman" w:cs="Times New Roman"/>
          <w:color w:val="000000" w:themeColor="text1"/>
        </w:rPr>
        <w:footnoteRef/>
      </w:r>
      <w:r>
        <w:rPr>
          <w:rFonts w:ascii="Times New Roman" w:hAnsi="Times New Roman"/>
          <w:color w:val="000000" w:themeColor="text1"/>
        </w:rPr>
        <w:t xml:space="preserve"> Comisia Europeană, Direcția Generală Cercetare și Inovare, </w:t>
      </w:r>
      <w:r>
        <w:rPr>
          <w:rFonts w:ascii="Times New Roman" w:hAnsi="Times New Roman"/>
          <w:i/>
          <w:color w:val="000000" w:themeColor="text1"/>
        </w:rPr>
        <w:t>Gestionarea strategică a crizelor în UE – Îmbunătățirea prevenirii crizelor, a pregătirii, a răspunsului și a rezilienței UE</w:t>
      </w:r>
      <w:r>
        <w:rPr>
          <w:rFonts w:ascii="Times New Roman" w:hAnsi="Times New Roman"/>
          <w:color w:val="000000" w:themeColor="text1"/>
        </w:rPr>
        <w:t>, Oficiul pentru Publicații al Uniunii Europene, 2022,</w:t>
      </w:r>
      <w:r>
        <w:t xml:space="preserve"> &lt;</w:t>
      </w:r>
      <w:hyperlink r:id="rId6" w:history="1">
        <w:r>
          <w:rPr>
            <w:rStyle w:val="Hyperlink"/>
            <w:rFonts w:ascii="Times New Roman" w:hAnsi="Times New Roman"/>
            <w:color w:val="000000" w:themeColor="text1"/>
            <w:u w:val="none"/>
          </w:rPr>
          <w:t>https://data.europa.eu/doi/10.2777/517560</w:t>
        </w:r>
      </w:hyperlink>
      <w:r>
        <w:rPr>
          <w:rFonts w:ascii="Times New Roman" w:hAnsi="Times New Roman"/>
          <w:color w:val="000000" w:themeColor="text1"/>
        </w:rPr>
        <w:t>&gt;.</w:t>
      </w:r>
    </w:p>
  </w:footnote>
  <w:footnote w:id="18">
    <w:p w14:paraId="25056884" w14:textId="54D5B3FA" w:rsidR="00876384" w:rsidRPr="00E971CB" w:rsidRDefault="00876384" w:rsidP="00E971CB">
      <w:pPr>
        <w:pStyle w:val="FootnoteText"/>
        <w:jc w:val="both"/>
        <w:rPr>
          <w:rFonts w:ascii="Times New Roman" w:hAnsi="Times New Roman" w:cs="Times New Roman"/>
          <w:color w:val="000000" w:themeColor="text1"/>
        </w:rPr>
      </w:pPr>
      <w:r>
        <w:rPr>
          <w:rStyle w:val="FootnoteReference"/>
          <w:rFonts w:ascii="Times New Roman" w:hAnsi="Times New Roman" w:cs="Times New Roman"/>
        </w:rPr>
        <w:footnoteRef/>
      </w:r>
      <w:r>
        <w:rPr>
          <w:rFonts w:ascii="Times New Roman" w:hAnsi="Times New Roman"/>
        </w:rPr>
        <w:t xml:space="preserve"> Comisia Europeană, Protecție civilă – Eurobarometru (februarie 2024), 2977/SP541, </w:t>
      </w:r>
      <w:r>
        <w:rPr>
          <w:rFonts w:ascii="Times New Roman" w:hAnsi="Times New Roman"/>
          <w:color w:val="000000" w:themeColor="text1"/>
        </w:rPr>
        <w:t>&lt;</w:t>
      </w:r>
      <w:hyperlink r:id="rId7" w:history="1">
        <w:r>
          <w:rPr>
            <w:rStyle w:val="Hyperlink"/>
            <w:rFonts w:ascii="Times New Roman" w:hAnsi="Times New Roman"/>
            <w:color w:val="000000" w:themeColor="text1"/>
            <w:u w:val="none"/>
          </w:rPr>
          <w:t>Protecția civilă în UE - februarie 2024 - Eurobarometru (europa.eu)</w:t>
        </w:r>
      </w:hyperlink>
      <w:r>
        <w:rPr>
          <w:rFonts w:ascii="Times New Roman" w:hAnsi="Times New Roman"/>
          <w:color w:val="000000" w:themeColor="text1"/>
        </w:rPr>
        <w:t xml:space="preserve">&gt;. </w:t>
      </w:r>
    </w:p>
  </w:footnote>
  <w:footnote w:id="19">
    <w:p w14:paraId="048B61DD" w14:textId="3DD570E6" w:rsidR="00FA455E" w:rsidRPr="00521584" w:rsidRDefault="00FA455E" w:rsidP="00FA455E">
      <w:pPr>
        <w:pStyle w:val="FootnoteText"/>
      </w:pPr>
      <w:r>
        <w:rPr>
          <w:rStyle w:val="FootnoteReference"/>
        </w:rPr>
        <w:footnoteRef/>
      </w:r>
      <w:r>
        <w:t xml:space="preserve"> Inclusiv prin utilizarea instrumentului de sprijin tehnic (IST) și a programului Orizont Europa al Comisiei Europene.</w:t>
      </w:r>
    </w:p>
  </w:footnote>
  <w:footnote w:id="20">
    <w:p w14:paraId="25A9FBEB" w14:textId="09F08026" w:rsidR="001037A3" w:rsidRPr="009B2469" w:rsidRDefault="001037A3" w:rsidP="001037A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Rolul serviciului Copernicus de gestionare a situațiilor de urgență la nivelul UE și la nivel național ar trebui consolidat. Odată lansat, noul Serviciu Galileo de avertizare de urgență prin satelit (EWSS) va constitui o completare importantă a sistemelor de alertă timpurie existente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20539" w14:textId="77777777" w:rsidR="00704F2E" w:rsidRPr="00704F2E" w:rsidRDefault="00704F2E" w:rsidP="00704F2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8264D" w14:textId="77777777" w:rsidR="00704F2E" w:rsidRPr="00704F2E" w:rsidRDefault="00704F2E" w:rsidP="00704F2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59F0A" w14:textId="77777777" w:rsidR="00704F2E" w:rsidRPr="00704F2E" w:rsidRDefault="00704F2E" w:rsidP="00704F2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0" w14:textId="77777777" w:rsidR="004D3C4D" w:rsidRDefault="004D3C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1" w14:textId="77777777" w:rsidR="004D3C4D" w:rsidRDefault="004D3C4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EE504" w14:textId="77777777" w:rsidR="004D3C4D" w:rsidRDefault="004D3C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387D1" w14:textId="77777777" w:rsidR="00366DF9" w:rsidRDefault="00366DF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06EBB" w14:textId="77777777" w:rsidR="00366DF9" w:rsidRDefault="00366DF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00230" w14:textId="77777777" w:rsidR="00366DF9" w:rsidRDefault="00366D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805E9"/>
    <w:multiLevelType w:val="hybridMultilevel"/>
    <w:tmpl w:val="2EA605FC"/>
    <w:lvl w:ilvl="0" w:tplc="FFFFFFFF">
      <w:start w:val="1"/>
      <w:numFmt w:val="decimal"/>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 w15:restartNumberingAfterBreak="0">
    <w:nsid w:val="03E922C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5E27E8"/>
    <w:multiLevelType w:val="hybridMultilevel"/>
    <w:tmpl w:val="68E80D68"/>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866D37"/>
    <w:multiLevelType w:val="multilevel"/>
    <w:tmpl w:val="6BBA32F8"/>
    <w:lvl w:ilvl="0">
      <w:start w:val="2"/>
      <w:numFmt w:val="decimal"/>
      <w:lvlText w:val="%1."/>
      <w:lvlJc w:val="left"/>
      <w:pPr>
        <w:ind w:left="720" w:hanging="360"/>
      </w:pPr>
      <w:rPr>
        <w:rFonts w:hint="default"/>
        <w:color w:val="auto"/>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CD28FD"/>
    <w:multiLevelType w:val="hybridMultilevel"/>
    <w:tmpl w:val="FFFFFFFF"/>
    <w:lvl w:ilvl="0" w:tplc="FAECE506">
      <w:start w:val="1"/>
      <w:numFmt w:val="decimal"/>
      <w:lvlText w:val="%1."/>
      <w:lvlJc w:val="left"/>
      <w:pPr>
        <w:ind w:left="720" w:hanging="360"/>
      </w:pPr>
    </w:lvl>
    <w:lvl w:ilvl="1" w:tplc="B380A400">
      <w:start w:val="1"/>
      <w:numFmt w:val="lowerLetter"/>
      <w:lvlText w:val="%2."/>
      <w:lvlJc w:val="left"/>
      <w:pPr>
        <w:ind w:left="1440" w:hanging="360"/>
      </w:pPr>
    </w:lvl>
    <w:lvl w:ilvl="2" w:tplc="10CE366A">
      <w:start w:val="1"/>
      <w:numFmt w:val="lowerRoman"/>
      <w:lvlText w:val="%3."/>
      <w:lvlJc w:val="right"/>
      <w:pPr>
        <w:ind w:left="2160" w:hanging="180"/>
      </w:pPr>
    </w:lvl>
    <w:lvl w:ilvl="3" w:tplc="0EA0913A">
      <w:start w:val="1"/>
      <w:numFmt w:val="decimal"/>
      <w:lvlText w:val="%4."/>
      <w:lvlJc w:val="left"/>
      <w:pPr>
        <w:ind w:left="2880" w:hanging="360"/>
      </w:pPr>
    </w:lvl>
    <w:lvl w:ilvl="4" w:tplc="F31882F0">
      <w:start w:val="1"/>
      <w:numFmt w:val="lowerLetter"/>
      <w:lvlText w:val="%5."/>
      <w:lvlJc w:val="left"/>
      <w:pPr>
        <w:ind w:left="3600" w:hanging="360"/>
      </w:pPr>
    </w:lvl>
    <w:lvl w:ilvl="5" w:tplc="D5C21518">
      <w:start w:val="1"/>
      <w:numFmt w:val="lowerRoman"/>
      <w:lvlText w:val="%6."/>
      <w:lvlJc w:val="right"/>
      <w:pPr>
        <w:ind w:left="4320" w:hanging="180"/>
      </w:pPr>
    </w:lvl>
    <w:lvl w:ilvl="6" w:tplc="8C3C6C0A">
      <w:start w:val="1"/>
      <w:numFmt w:val="decimal"/>
      <w:lvlText w:val="%7."/>
      <w:lvlJc w:val="left"/>
      <w:pPr>
        <w:ind w:left="5040" w:hanging="360"/>
      </w:pPr>
    </w:lvl>
    <w:lvl w:ilvl="7" w:tplc="1F648E22">
      <w:start w:val="1"/>
      <w:numFmt w:val="lowerLetter"/>
      <w:lvlText w:val="%8."/>
      <w:lvlJc w:val="left"/>
      <w:pPr>
        <w:ind w:left="5760" w:hanging="360"/>
      </w:pPr>
    </w:lvl>
    <w:lvl w:ilvl="8" w:tplc="11C06BB8">
      <w:start w:val="1"/>
      <w:numFmt w:val="lowerRoman"/>
      <w:lvlText w:val="%9."/>
      <w:lvlJc w:val="right"/>
      <w:pPr>
        <w:ind w:left="6480" w:hanging="180"/>
      </w:pPr>
    </w:lvl>
  </w:abstractNum>
  <w:abstractNum w:abstractNumId="5" w15:restartNumberingAfterBreak="0">
    <w:nsid w:val="155E65E2"/>
    <w:multiLevelType w:val="hybridMultilevel"/>
    <w:tmpl w:val="D010B5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9324EAE"/>
    <w:multiLevelType w:val="hybridMultilevel"/>
    <w:tmpl w:val="5A2CD8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CE53D73"/>
    <w:multiLevelType w:val="hybridMultilevel"/>
    <w:tmpl w:val="34AE444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17675B5"/>
    <w:multiLevelType w:val="hybridMultilevel"/>
    <w:tmpl w:val="6B60A072"/>
    <w:lvl w:ilvl="0" w:tplc="1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C550B1"/>
    <w:multiLevelType w:val="hybridMultilevel"/>
    <w:tmpl w:val="4BD458DE"/>
    <w:lvl w:ilvl="0" w:tplc="D624D314">
      <w:start w:val="43"/>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9C47CF4"/>
    <w:multiLevelType w:val="hybridMultilevel"/>
    <w:tmpl w:val="0C00BA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AEA018D"/>
    <w:multiLevelType w:val="hybridMultilevel"/>
    <w:tmpl w:val="406CBC44"/>
    <w:lvl w:ilvl="0" w:tplc="FFFFFFF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11C3AC7"/>
    <w:multiLevelType w:val="hybridMultilevel"/>
    <w:tmpl w:val="3E00CE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1DB4B11"/>
    <w:multiLevelType w:val="hybridMultilevel"/>
    <w:tmpl w:val="05421A0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2687821"/>
    <w:multiLevelType w:val="hybridMultilevel"/>
    <w:tmpl w:val="9F3A08B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382EFA6"/>
    <w:multiLevelType w:val="hybridMultilevel"/>
    <w:tmpl w:val="FFFFFFFF"/>
    <w:lvl w:ilvl="0" w:tplc="C5EEDA62">
      <w:start w:val="1"/>
      <w:numFmt w:val="bullet"/>
      <w:lvlText w:val=""/>
      <w:lvlJc w:val="left"/>
      <w:pPr>
        <w:ind w:left="700" w:hanging="360"/>
      </w:pPr>
      <w:rPr>
        <w:rFonts w:ascii="Symbol" w:hAnsi="Symbol" w:hint="default"/>
      </w:rPr>
    </w:lvl>
    <w:lvl w:ilvl="1" w:tplc="64F2036A">
      <w:start w:val="1"/>
      <w:numFmt w:val="bullet"/>
      <w:lvlText w:val="o"/>
      <w:lvlJc w:val="left"/>
      <w:pPr>
        <w:ind w:left="1440" w:hanging="360"/>
      </w:pPr>
      <w:rPr>
        <w:rFonts w:ascii="Courier New" w:hAnsi="Courier New" w:hint="default"/>
      </w:rPr>
    </w:lvl>
    <w:lvl w:ilvl="2" w:tplc="5F48EBC4">
      <w:start w:val="1"/>
      <w:numFmt w:val="bullet"/>
      <w:lvlText w:val=""/>
      <w:lvlJc w:val="left"/>
      <w:pPr>
        <w:ind w:left="2160" w:hanging="360"/>
      </w:pPr>
      <w:rPr>
        <w:rFonts w:ascii="Wingdings" w:hAnsi="Wingdings" w:hint="default"/>
      </w:rPr>
    </w:lvl>
    <w:lvl w:ilvl="3" w:tplc="8342DEEA">
      <w:start w:val="1"/>
      <w:numFmt w:val="bullet"/>
      <w:lvlText w:val=""/>
      <w:lvlJc w:val="left"/>
      <w:pPr>
        <w:ind w:left="2880" w:hanging="360"/>
      </w:pPr>
      <w:rPr>
        <w:rFonts w:ascii="Symbol" w:hAnsi="Symbol" w:hint="default"/>
      </w:rPr>
    </w:lvl>
    <w:lvl w:ilvl="4" w:tplc="525A9D14">
      <w:start w:val="1"/>
      <w:numFmt w:val="bullet"/>
      <w:lvlText w:val="o"/>
      <w:lvlJc w:val="left"/>
      <w:pPr>
        <w:ind w:left="3600" w:hanging="360"/>
      </w:pPr>
      <w:rPr>
        <w:rFonts w:ascii="Courier New" w:hAnsi="Courier New" w:hint="default"/>
      </w:rPr>
    </w:lvl>
    <w:lvl w:ilvl="5" w:tplc="7EB8F6B2">
      <w:start w:val="1"/>
      <w:numFmt w:val="bullet"/>
      <w:lvlText w:val=""/>
      <w:lvlJc w:val="left"/>
      <w:pPr>
        <w:ind w:left="4320" w:hanging="360"/>
      </w:pPr>
      <w:rPr>
        <w:rFonts w:ascii="Wingdings" w:hAnsi="Wingdings" w:hint="default"/>
      </w:rPr>
    </w:lvl>
    <w:lvl w:ilvl="6" w:tplc="D1064E50">
      <w:start w:val="1"/>
      <w:numFmt w:val="bullet"/>
      <w:lvlText w:val=""/>
      <w:lvlJc w:val="left"/>
      <w:pPr>
        <w:ind w:left="5040" w:hanging="360"/>
      </w:pPr>
      <w:rPr>
        <w:rFonts w:ascii="Symbol" w:hAnsi="Symbol" w:hint="default"/>
      </w:rPr>
    </w:lvl>
    <w:lvl w:ilvl="7" w:tplc="D09CA25C">
      <w:start w:val="1"/>
      <w:numFmt w:val="bullet"/>
      <w:lvlText w:val="o"/>
      <w:lvlJc w:val="left"/>
      <w:pPr>
        <w:ind w:left="5760" w:hanging="360"/>
      </w:pPr>
      <w:rPr>
        <w:rFonts w:ascii="Courier New" w:hAnsi="Courier New" w:hint="default"/>
      </w:rPr>
    </w:lvl>
    <w:lvl w:ilvl="8" w:tplc="11924A70">
      <w:start w:val="1"/>
      <w:numFmt w:val="bullet"/>
      <w:lvlText w:val=""/>
      <w:lvlJc w:val="left"/>
      <w:pPr>
        <w:ind w:left="6480" w:hanging="360"/>
      </w:pPr>
      <w:rPr>
        <w:rFonts w:ascii="Wingdings" w:hAnsi="Wingdings" w:hint="default"/>
      </w:rPr>
    </w:lvl>
  </w:abstractNum>
  <w:abstractNum w:abstractNumId="16" w15:restartNumberingAfterBreak="0">
    <w:nsid w:val="34265DDC"/>
    <w:multiLevelType w:val="hybridMultilevel"/>
    <w:tmpl w:val="2EA605FC"/>
    <w:lvl w:ilvl="0" w:tplc="1809000F">
      <w:start w:val="1"/>
      <w:numFmt w:val="decimal"/>
      <w:lvlText w:val="%1."/>
      <w:lvlJc w:val="left"/>
      <w:pPr>
        <w:ind w:left="2880" w:hanging="360"/>
      </w:p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7" w15:restartNumberingAfterBreak="0">
    <w:nsid w:val="34A43666"/>
    <w:multiLevelType w:val="hybridMultilevel"/>
    <w:tmpl w:val="0C00BA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DB92A87"/>
    <w:multiLevelType w:val="multilevel"/>
    <w:tmpl w:val="3E1650CE"/>
    <w:lvl w:ilvl="0">
      <w:start w:val="1"/>
      <w:numFmt w:val="bullet"/>
      <w:pStyle w:val="Bullet1"/>
      <w:lvlText w:val="•"/>
      <w:lvlJc w:val="left"/>
      <w:pPr>
        <w:ind w:left="700" w:hanging="360"/>
      </w:pPr>
      <w:rPr>
        <w:rFonts w:hint="default"/>
        <w:color w:val="4BAFDD"/>
        <w:sz w:val="24"/>
      </w:rPr>
    </w:lvl>
    <w:lvl w:ilvl="1">
      <w:start w:val="1"/>
      <w:numFmt w:val="bullet"/>
      <w:pStyle w:val="Bullet2"/>
      <w:lvlText w:val="-"/>
      <w:lvlJc w:val="left"/>
      <w:pPr>
        <w:tabs>
          <w:tab w:val="num" w:pos="1021"/>
        </w:tabs>
        <w:ind w:left="1021" w:hanging="341"/>
      </w:pPr>
      <w:rPr>
        <w:rFonts w:ascii="Arial" w:hAnsi="Arial" w:hint="default"/>
        <w:color w:val="auto"/>
        <w:sz w:val="24"/>
      </w:rPr>
    </w:lvl>
    <w:lvl w:ilvl="2">
      <w:start w:val="1"/>
      <w:numFmt w:val="bullet"/>
      <w:pStyle w:val="Bullet3"/>
      <w:lvlText w:val="◦"/>
      <w:lvlJc w:val="left"/>
      <w:pPr>
        <w:tabs>
          <w:tab w:val="num" w:pos="1361"/>
        </w:tabs>
        <w:ind w:left="1361" w:hanging="340"/>
      </w:pPr>
      <w:rPr>
        <w:rFonts w:ascii="Arial" w:hAnsi="Arial" w:hint="default"/>
        <w:color w:val="44546A" w:themeColor="text2"/>
        <w:sz w:val="28"/>
      </w:rPr>
    </w:lvl>
    <w:lvl w:ilvl="3">
      <w:start w:val="1"/>
      <w:numFmt w:val="none"/>
      <w:lvlText w:val=""/>
      <w:lvlJc w:val="left"/>
      <w:pPr>
        <w:tabs>
          <w:tab w:val="num" w:pos="1361"/>
        </w:tabs>
        <w:ind w:left="1361" w:firstLine="0"/>
      </w:pPr>
      <w:rPr>
        <w:rFonts w:hint="default"/>
      </w:rPr>
    </w:lvl>
    <w:lvl w:ilvl="4">
      <w:start w:val="1"/>
      <w:numFmt w:val="none"/>
      <w:lvlText w:val=""/>
      <w:lvlJc w:val="left"/>
      <w:pPr>
        <w:tabs>
          <w:tab w:val="num" w:pos="1361"/>
        </w:tabs>
        <w:ind w:left="1361" w:firstLine="0"/>
      </w:pPr>
      <w:rPr>
        <w:rFonts w:hint="default"/>
      </w:rPr>
    </w:lvl>
    <w:lvl w:ilvl="5">
      <w:start w:val="1"/>
      <w:numFmt w:val="none"/>
      <w:lvlText w:val=""/>
      <w:lvlJc w:val="left"/>
      <w:pPr>
        <w:tabs>
          <w:tab w:val="num" w:pos="1361"/>
        </w:tabs>
        <w:ind w:left="1361" w:firstLine="0"/>
      </w:pPr>
      <w:rPr>
        <w:rFonts w:hint="default"/>
      </w:rPr>
    </w:lvl>
    <w:lvl w:ilvl="6">
      <w:start w:val="1"/>
      <w:numFmt w:val="none"/>
      <w:lvlText w:val=""/>
      <w:lvlJc w:val="left"/>
      <w:pPr>
        <w:tabs>
          <w:tab w:val="num" w:pos="1361"/>
        </w:tabs>
        <w:ind w:left="1361" w:firstLine="0"/>
      </w:pPr>
      <w:rPr>
        <w:rFonts w:hint="default"/>
      </w:rPr>
    </w:lvl>
    <w:lvl w:ilvl="7">
      <w:start w:val="1"/>
      <w:numFmt w:val="none"/>
      <w:lvlText w:val=""/>
      <w:lvlJc w:val="left"/>
      <w:pPr>
        <w:tabs>
          <w:tab w:val="num" w:pos="1361"/>
        </w:tabs>
        <w:ind w:left="1361" w:firstLine="0"/>
      </w:pPr>
      <w:rPr>
        <w:rFonts w:hint="default"/>
      </w:rPr>
    </w:lvl>
    <w:lvl w:ilvl="8">
      <w:start w:val="1"/>
      <w:numFmt w:val="none"/>
      <w:lvlText w:val=""/>
      <w:lvlJc w:val="left"/>
      <w:pPr>
        <w:tabs>
          <w:tab w:val="num" w:pos="1361"/>
        </w:tabs>
        <w:ind w:left="1361" w:firstLine="0"/>
      </w:pPr>
      <w:rPr>
        <w:rFonts w:hint="default"/>
      </w:rPr>
    </w:lvl>
  </w:abstractNum>
  <w:abstractNum w:abstractNumId="19" w15:restartNumberingAfterBreak="0">
    <w:nsid w:val="3DD71455"/>
    <w:multiLevelType w:val="hybridMultilevel"/>
    <w:tmpl w:val="6C9CF8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45493BE5"/>
    <w:multiLevelType w:val="hybridMultilevel"/>
    <w:tmpl w:val="EB3633C2"/>
    <w:lvl w:ilvl="0" w:tplc="6846DEEE">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D9923B9"/>
    <w:multiLevelType w:val="hybridMultilevel"/>
    <w:tmpl w:val="6B60A0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DF035A8"/>
    <w:multiLevelType w:val="hybridMultilevel"/>
    <w:tmpl w:val="399470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1980B17"/>
    <w:multiLevelType w:val="hybridMultilevel"/>
    <w:tmpl w:val="FFFFFFFF"/>
    <w:lvl w:ilvl="0" w:tplc="4744515C">
      <w:start w:val="1"/>
      <w:numFmt w:val="bullet"/>
      <w:lvlText w:val="-"/>
      <w:lvlJc w:val="left"/>
      <w:pPr>
        <w:ind w:left="720" w:hanging="360"/>
      </w:pPr>
      <w:rPr>
        <w:rFonts w:ascii="Aptos" w:hAnsi="Aptos" w:hint="default"/>
      </w:rPr>
    </w:lvl>
    <w:lvl w:ilvl="1" w:tplc="9C6A0700">
      <w:start w:val="1"/>
      <w:numFmt w:val="bullet"/>
      <w:lvlText w:val="o"/>
      <w:lvlJc w:val="left"/>
      <w:pPr>
        <w:ind w:left="1440" w:hanging="360"/>
      </w:pPr>
      <w:rPr>
        <w:rFonts w:ascii="Courier New" w:hAnsi="Courier New" w:hint="default"/>
      </w:rPr>
    </w:lvl>
    <w:lvl w:ilvl="2" w:tplc="E8D6097E">
      <w:start w:val="1"/>
      <w:numFmt w:val="bullet"/>
      <w:lvlText w:val=""/>
      <w:lvlJc w:val="left"/>
      <w:pPr>
        <w:ind w:left="2160" w:hanging="360"/>
      </w:pPr>
      <w:rPr>
        <w:rFonts w:ascii="Wingdings" w:hAnsi="Wingdings" w:hint="default"/>
      </w:rPr>
    </w:lvl>
    <w:lvl w:ilvl="3" w:tplc="A6D4C3FC">
      <w:start w:val="1"/>
      <w:numFmt w:val="bullet"/>
      <w:lvlText w:val=""/>
      <w:lvlJc w:val="left"/>
      <w:pPr>
        <w:ind w:left="2880" w:hanging="360"/>
      </w:pPr>
      <w:rPr>
        <w:rFonts w:ascii="Symbol" w:hAnsi="Symbol" w:hint="default"/>
      </w:rPr>
    </w:lvl>
    <w:lvl w:ilvl="4" w:tplc="49A48B1A">
      <w:start w:val="1"/>
      <w:numFmt w:val="bullet"/>
      <w:lvlText w:val="o"/>
      <w:lvlJc w:val="left"/>
      <w:pPr>
        <w:ind w:left="3600" w:hanging="360"/>
      </w:pPr>
      <w:rPr>
        <w:rFonts w:ascii="Courier New" w:hAnsi="Courier New" w:hint="default"/>
      </w:rPr>
    </w:lvl>
    <w:lvl w:ilvl="5" w:tplc="0EB46DEC">
      <w:start w:val="1"/>
      <w:numFmt w:val="bullet"/>
      <w:lvlText w:val=""/>
      <w:lvlJc w:val="left"/>
      <w:pPr>
        <w:ind w:left="4320" w:hanging="360"/>
      </w:pPr>
      <w:rPr>
        <w:rFonts w:ascii="Wingdings" w:hAnsi="Wingdings" w:hint="default"/>
      </w:rPr>
    </w:lvl>
    <w:lvl w:ilvl="6" w:tplc="819A64D2">
      <w:start w:val="1"/>
      <w:numFmt w:val="bullet"/>
      <w:lvlText w:val=""/>
      <w:lvlJc w:val="left"/>
      <w:pPr>
        <w:ind w:left="5040" w:hanging="360"/>
      </w:pPr>
      <w:rPr>
        <w:rFonts w:ascii="Symbol" w:hAnsi="Symbol" w:hint="default"/>
      </w:rPr>
    </w:lvl>
    <w:lvl w:ilvl="7" w:tplc="22EC05B4">
      <w:start w:val="1"/>
      <w:numFmt w:val="bullet"/>
      <w:lvlText w:val="o"/>
      <w:lvlJc w:val="left"/>
      <w:pPr>
        <w:ind w:left="5760" w:hanging="360"/>
      </w:pPr>
      <w:rPr>
        <w:rFonts w:ascii="Courier New" w:hAnsi="Courier New" w:hint="default"/>
      </w:rPr>
    </w:lvl>
    <w:lvl w:ilvl="8" w:tplc="02E8C8EC">
      <w:start w:val="1"/>
      <w:numFmt w:val="bullet"/>
      <w:lvlText w:val=""/>
      <w:lvlJc w:val="left"/>
      <w:pPr>
        <w:ind w:left="6480" w:hanging="360"/>
      </w:pPr>
      <w:rPr>
        <w:rFonts w:ascii="Wingdings" w:hAnsi="Wingdings" w:hint="default"/>
      </w:rPr>
    </w:lvl>
  </w:abstractNum>
  <w:abstractNum w:abstractNumId="24" w15:restartNumberingAfterBreak="0">
    <w:nsid w:val="55D17DE7"/>
    <w:multiLevelType w:val="hybridMultilevel"/>
    <w:tmpl w:val="AD3A33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77AC9C2"/>
    <w:multiLevelType w:val="hybridMultilevel"/>
    <w:tmpl w:val="FFFFFFFF"/>
    <w:lvl w:ilvl="0" w:tplc="86C0FDE8">
      <w:start w:val="1"/>
      <w:numFmt w:val="bullet"/>
      <w:lvlText w:val=""/>
      <w:lvlJc w:val="left"/>
      <w:pPr>
        <w:ind w:left="720" w:hanging="360"/>
      </w:pPr>
      <w:rPr>
        <w:rFonts w:ascii="Symbol" w:hAnsi="Symbol" w:hint="default"/>
      </w:rPr>
    </w:lvl>
    <w:lvl w:ilvl="1" w:tplc="49CA5C94">
      <w:start w:val="1"/>
      <w:numFmt w:val="bullet"/>
      <w:lvlText w:val="o"/>
      <w:lvlJc w:val="left"/>
      <w:pPr>
        <w:ind w:left="1440" w:hanging="360"/>
      </w:pPr>
      <w:rPr>
        <w:rFonts w:ascii="Courier New" w:hAnsi="Courier New" w:hint="default"/>
      </w:rPr>
    </w:lvl>
    <w:lvl w:ilvl="2" w:tplc="2B8637E4">
      <w:start w:val="1"/>
      <w:numFmt w:val="bullet"/>
      <w:lvlText w:val=""/>
      <w:lvlJc w:val="left"/>
      <w:pPr>
        <w:ind w:left="2160" w:hanging="360"/>
      </w:pPr>
      <w:rPr>
        <w:rFonts w:ascii="Wingdings" w:hAnsi="Wingdings" w:hint="default"/>
      </w:rPr>
    </w:lvl>
    <w:lvl w:ilvl="3" w:tplc="8A3CBB28">
      <w:start w:val="1"/>
      <w:numFmt w:val="bullet"/>
      <w:lvlText w:val=""/>
      <w:lvlJc w:val="left"/>
      <w:pPr>
        <w:ind w:left="2880" w:hanging="360"/>
      </w:pPr>
      <w:rPr>
        <w:rFonts w:ascii="Symbol" w:hAnsi="Symbol" w:hint="default"/>
      </w:rPr>
    </w:lvl>
    <w:lvl w:ilvl="4" w:tplc="826E2DA8">
      <w:start w:val="1"/>
      <w:numFmt w:val="bullet"/>
      <w:lvlText w:val="o"/>
      <w:lvlJc w:val="left"/>
      <w:pPr>
        <w:ind w:left="3600" w:hanging="360"/>
      </w:pPr>
      <w:rPr>
        <w:rFonts w:ascii="Courier New" w:hAnsi="Courier New" w:hint="default"/>
      </w:rPr>
    </w:lvl>
    <w:lvl w:ilvl="5" w:tplc="E52E9734">
      <w:start w:val="1"/>
      <w:numFmt w:val="bullet"/>
      <w:lvlText w:val=""/>
      <w:lvlJc w:val="left"/>
      <w:pPr>
        <w:ind w:left="4320" w:hanging="360"/>
      </w:pPr>
      <w:rPr>
        <w:rFonts w:ascii="Wingdings" w:hAnsi="Wingdings" w:hint="default"/>
      </w:rPr>
    </w:lvl>
    <w:lvl w:ilvl="6" w:tplc="21FE77D2">
      <w:start w:val="1"/>
      <w:numFmt w:val="bullet"/>
      <w:lvlText w:val=""/>
      <w:lvlJc w:val="left"/>
      <w:pPr>
        <w:ind w:left="5040" w:hanging="360"/>
      </w:pPr>
      <w:rPr>
        <w:rFonts w:ascii="Symbol" w:hAnsi="Symbol" w:hint="default"/>
      </w:rPr>
    </w:lvl>
    <w:lvl w:ilvl="7" w:tplc="10E6B69E">
      <w:start w:val="1"/>
      <w:numFmt w:val="bullet"/>
      <w:lvlText w:val="o"/>
      <w:lvlJc w:val="left"/>
      <w:pPr>
        <w:ind w:left="5760" w:hanging="360"/>
      </w:pPr>
      <w:rPr>
        <w:rFonts w:ascii="Courier New" w:hAnsi="Courier New" w:hint="default"/>
      </w:rPr>
    </w:lvl>
    <w:lvl w:ilvl="8" w:tplc="38FA2BE4">
      <w:start w:val="1"/>
      <w:numFmt w:val="bullet"/>
      <w:lvlText w:val=""/>
      <w:lvlJc w:val="left"/>
      <w:pPr>
        <w:ind w:left="6480" w:hanging="360"/>
      </w:pPr>
      <w:rPr>
        <w:rFonts w:ascii="Wingdings" w:hAnsi="Wingdings" w:hint="default"/>
      </w:rPr>
    </w:lvl>
  </w:abstractNum>
  <w:abstractNum w:abstractNumId="26" w15:restartNumberingAfterBreak="0">
    <w:nsid w:val="5D7A59CD"/>
    <w:multiLevelType w:val="hybridMultilevel"/>
    <w:tmpl w:val="CF2090DE"/>
    <w:lvl w:ilvl="0" w:tplc="18090011">
      <w:start w:val="1"/>
      <w:numFmt w:val="decimal"/>
      <w:lvlText w:val="%1)"/>
      <w:lvlJc w:val="left"/>
      <w:pPr>
        <w:ind w:left="1146" w:hanging="360"/>
      </w:pPr>
    </w:lvl>
    <w:lvl w:ilvl="1" w:tplc="18090019" w:tentative="1">
      <w:start w:val="1"/>
      <w:numFmt w:val="lowerLetter"/>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27" w15:restartNumberingAfterBreak="0">
    <w:nsid w:val="6666128F"/>
    <w:multiLevelType w:val="hybridMultilevel"/>
    <w:tmpl w:val="509CF09A"/>
    <w:lvl w:ilvl="0" w:tplc="99549A4E">
      <w:start w:val="19"/>
      <w:numFmt w:val="bullet"/>
      <w:lvlText w:val="-"/>
      <w:lvlJc w:val="left"/>
      <w:pPr>
        <w:ind w:left="862" w:hanging="360"/>
      </w:pPr>
      <w:rPr>
        <w:rFonts w:ascii="EC Square Sans Pro" w:eastAsia="Times New Roman" w:hAnsi="EC Square Sans Pro" w:cs="Times New Roman" w:hint="default"/>
      </w:rPr>
    </w:lvl>
    <w:lvl w:ilvl="1" w:tplc="18090003">
      <w:start w:val="1"/>
      <w:numFmt w:val="bullet"/>
      <w:lvlText w:val="o"/>
      <w:lvlJc w:val="left"/>
      <w:pPr>
        <w:ind w:left="1582" w:hanging="360"/>
      </w:pPr>
      <w:rPr>
        <w:rFonts w:ascii="Courier New" w:hAnsi="Courier New" w:cs="Courier New" w:hint="default"/>
      </w:rPr>
    </w:lvl>
    <w:lvl w:ilvl="2" w:tplc="18090005">
      <w:start w:val="1"/>
      <w:numFmt w:val="bullet"/>
      <w:lvlText w:val=""/>
      <w:lvlJc w:val="left"/>
      <w:pPr>
        <w:ind w:left="2302" w:hanging="360"/>
      </w:pPr>
      <w:rPr>
        <w:rFonts w:ascii="Wingdings" w:hAnsi="Wingdings" w:hint="default"/>
      </w:rPr>
    </w:lvl>
    <w:lvl w:ilvl="3" w:tplc="18090001">
      <w:start w:val="1"/>
      <w:numFmt w:val="bullet"/>
      <w:lvlText w:val=""/>
      <w:lvlJc w:val="left"/>
      <w:pPr>
        <w:ind w:left="3022" w:hanging="360"/>
      </w:pPr>
      <w:rPr>
        <w:rFonts w:ascii="Symbol" w:hAnsi="Symbol" w:hint="default"/>
      </w:rPr>
    </w:lvl>
    <w:lvl w:ilvl="4" w:tplc="18090003">
      <w:start w:val="1"/>
      <w:numFmt w:val="bullet"/>
      <w:lvlText w:val="o"/>
      <w:lvlJc w:val="left"/>
      <w:pPr>
        <w:ind w:left="3742" w:hanging="360"/>
      </w:pPr>
      <w:rPr>
        <w:rFonts w:ascii="Courier New" w:hAnsi="Courier New" w:cs="Courier New" w:hint="default"/>
      </w:rPr>
    </w:lvl>
    <w:lvl w:ilvl="5" w:tplc="18090005">
      <w:start w:val="1"/>
      <w:numFmt w:val="bullet"/>
      <w:lvlText w:val=""/>
      <w:lvlJc w:val="left"/>
      <w:pPr>
        <w:ind w:left="4462" w:hanging="360"/>
      </w:pPr>
      <w:rPr>
        <w:rFonts w:ascii="Wingdings" w:hAnsi="Wingdings" w:hint="default"/>
      </w:rPr>
    </w:lvl>
    <w:lvl w:ilvl="6" w:tplc="18090001">
      <w:start w:val="1"/>
      <w:numFmt w:val="bullet"/>
      <w:lvlText w:val=""/>
      <w:lvlJc w:val="left"/>
      <w:pPr>
        <w:ind w:left="5182" w:hanging="360"/>
      </w:pPr>
      <w:rPr>
        <w:rFonts w:ascii="Symbol" w:hAnsi="Symbol" w:hint="default"/>
      </w:rPr>
    </w:lvl>
    <w:lvl w:ilvl="7" w:tplc="18090003">
      <w:start w:val="1"/>
      <w:numFmt w:val="bullet"/>
      <w:lvlText w:val="o"/>
      <w:lvlJc w:val="left"/>
      <w:pPr>
        <w:ind w:left="5902" w:hanging="360"/>
      </w:pPr>
      <w:rPr>
        <w:rFonts w:ascii="Courier New" w:hAnsi="Courier New" w:cs="Courier New" w:hint="default"/>
      </w:rPr>
    </w:lvl>
    <w:lvl w:ilvl="8" w:tplc="18090005">
      <w:start w:val="1"/>
      <w:numFmt w:val="bullet"/>
      <w:lvlText w:val=""/>
      <w:lvlJc w:val="left"/>
      <w:pPr>
        <w:ind w:left="6622" w:hanging="360"/>
      </w:pPr>
      <w:rPr>
        <w:rFonts w:ascii="Wingdings" w:hAnsi="Wingdings" w:hint="default"/>
      </w:rPr>
    </w:lvl>
  </w:abstractNum>
  <w:abstractNum w:abstractNumId="28" w15:restartNumberingAfterBreak="0">
    <w:nsid w:val="6A627F4B"/>
    <w:multiLevelType w:val="hybridMultilevel"/>
    <w:tmpl w:val="467C73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CC04ECE"/>
    <w:multiLevelType w:val="hybridMultilevel"/>
    <w:tmpl w:val="ABF089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D5D4CE3"/>
    <w:multiLevelType w:val="multilevel"/>
    <w:tmpl w:val="65943D9E"/>
    <w:lvl w:ilvl="0">
      <w:start w:val="1"/>
      <w:numFmt w:val="decimal"/>
      <w:lvlText w:val="%1."/>
      <w:lvlJc w:val="left"/>
      <w:pPr>
        <w:ind w:left="720" w:hanging="360"/>
      </w:pPr>
      <w:rPr>
        <w:color w:val="auto"/>
      </w:rPr>
    </w:lvl>
    <w:lvl w:ilvl="1">
      <w:start w:val="4"/>
      <w:numFmt w:val="decimal"/>
      <w:lvlText w:val="%1.%2."/>
      <w:lvlJc w:val="left"/>
      <w:pPr>
        <w:ind w:left="810" w:hanging="45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2CD0598"/>
    <w:multiLevelType w:val="hybridMultilevel"/>
    <w:tmpl w:val="0C00BA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30B2C3B"/>
    <w:multiLevelType w:val="multilevel"/>
    <w:tmpl w:val="FB128EF4"/>
    <w:lvl w:ilvl="0">
      <w:start w:val="1"/>
      <w:numFmt w:val="decimal"/>
      <w:lvlText w:val="%1."/>
      <w:lvlJc w:val="left"/>
      <w:pPr>
        <w:ind w:left="720" w:hanging="360"/>
      </w:pPr>
      <w:rPr>
        <w:rFonts w:hint="default"/>
        <w:color w:val="auto"/>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A306084"/>
    <w:multiLevelType w:val="hybridMultilevel"/>
    <w:tmpl w:val="6B60A0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AF721D4"/>
    <w:multiLevelType w:val="hybridMultilevel"/>
    <w:tmpl w:val="D2F476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E2B4559"/>
    <w:multiLevelType w:val="hybridMultilevel"/>
    <w:tmpl w:val="FFFFFFFF"/>
    <w:lvl w:ilvl="0" w:tplc="54106822">
      <w:start w:val="1"/>
      <w:numFmt w:val="bullet"/>
      <w:lvlText w:val=""/>
      <w:lvlJc w:val="left"/>
      <w:pPr>
        <w:ind w:left="700" w:hanging="360"/>
      </w:pPr>
      <w:rPr>
        <w:rFonts w:ascii="Symbol" w:hAnsi="Symbol" w:hint="default"/>
      </w:rPr>
    </w:lvl>
    <w:lvl w:ilvl="1" w:tplc="7834D75E">
      <w:start w:val="1"/>
      <w:numFmt w:val="bullet"/>
      <w:lvlText w:val="o"/>
      <w:lvlJc w:val="left"/>
      <w:pPr>
        <w:ind w:left="1440" w:hanging="360"/>
      </w:pPr>
      <w:rPr>
        <w:rFonts w:ascii="Courier New" w:hAnsi="Courier New" w:hint="default"/>
      </w:rPr>
    </w:lvl>
    <w:lvl w:ilvl="2" w:tplc="E8385E56">
      <w:start w:val="1"/>
      <w:numFmt w:val="bullet"/>
      <w:lvlText w:val=""/>
      <w:lvlJc w:val="left"/>
      <w:pPr>
        <w:ind w:left="2160" w:hanging="360"/>
      </w:pPr>
      <w:rPr>
        <w:rFonts w:ascii="Wingdings" w:hAnsi="Wingdings" w:hint="default"/>
      </w:rPr>
    </w:lvl>
    <w:lvl w:ilvl="3" w:tplc="89C4AF16">
      <w:start w:val="1"/>
      <w:numFmt w:val="bullet"/>
      <w:lvlText w:val=""/>
      <w:lvlJc w:val="left"/>
      <w:pPr>
        <w:ind w:left="2880" w:hanging="360"/>
      </w:pPr>
      <w:rPr>
        <w:rFonts w:ascii="Symbol" w:hAnsi="Symbol" w:hint="default"/>
      </w:rPr>
    </w:lvl>
    <w:lvl w:ilvl="4" w:tplc="7E84066C">
      <w:start w:val="1"/>
      <w:numFmt w:val="bullet"/>
      <w:lvlText w:val="o"/>
      <w:lvlJc w:val="left"/>
      <w:pPr>
        <w:ind w:left="3600" w:hanging="360"/>
      </w:pPr>
      <w:rPr>
        <w:rFonts w:ascii="Courier New" w:hAnsi="Courier New" w:hint="default"/>
      </w:rPr>
    </w:lvl>
    <w:lvl w:ilvl="5" w:tplc="CFDCEACE">
      <w:start w:val="1"/>
      <w:numFmt w:val="bullet"/>
      <w:lvlText w:val=""/>
      <w:lvlJc w:val="left"/>
      <w:pPr>
        <w:ind w:left="4320" w:hanging="360"/>
      </w:pPr>
      <w:rPr>
        <w:rFonts w:ascii="Wingdings" w:hAnsi="Wingdings" w:hint="default"/>
      </w:rPr>
    </w:lvl>
    <w:lvl w:ilvl="6" w:tplc="751E60A0">
      <w:start w:val="1"/>
      <w:numFmt w:val="bullet"/>
      <w:lvlText w:val=""/>
      <w:lvlJc w:val="left"/>
      <w:pPr>
        <w:ind w:left="5040" w:hanging="360"/>
      </w:pPr>
      <w:rPr>
        <w:rFonts w:ascii="Symbol" w:hAnsi="Symbol" w:hint="default"/>
      </w:rPr>
    </w:lvl>
    <w:lvl w:ilvl="7" w:tplc="68DC4988">
      <w:start w:val="1"/>
      <w:numFmt w:val="bullet"/>
      <w:lvlText w:val="o"/>
      <w:lvlJc w:val="left"/>
      <w:pPr>
        <w:ind w:left="5760" w:hanging="360"/>
      </w:pPr>
      <w:rPr>
        <w:rFonts w:ascii="Courier New" w:hAnsi="Courier New" w:hint="default"/>
      </w:rPr>
    </w:lvl>
    <w:lvl w:ilvl="8" w:tplc="3E721948">
      <w:start w:val="1"/>
      <w:numFmt w:val="bullet"/>
      <w:lvlText w:val=""/>
      <w:lvlJc w:val="left"/>
      <w:pPr>
        <w:ind w:left="6480" w:hanging="360"/>
      </w:pPr>
      <w:rPr>
        <w:rFonts w:ascii="Wingdings" w:hAnsi="Wingdings" w:hint="default"/>
      </w:rPr>
    </w:lvl>
  </w:abstractNum>
  <w:abstractNum w:abstractNumId="36" w15:restartNumberingAfterBreak="0">
    <w:nsid w:val="7E624BA8"/>
    <w:multiLevelType w:val="hybridMultilevel"/>
    <w:tmpl w:val="0C00BA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2"/>
  </w:num>
  <w:num w:numId="2">
    <w:abstractNumId w:val="24"/>
  </w:num>
  <w:num w:numId="3">
    <w:abstractNumId w:val="13"/>
  </w:num>
  <w:num w:numId="4">
    <w:abstractNumId w:val="31"/>
  </w:num>
  <w:num w:numId="5">
    <w:abstractNumId w:val="10"/>
  </w:num>
  <w:num w:numId="6">
    <w:abstractNumId w:val="2"/>
  </w:num>
  <w:num w:numId="7">
    <w:abstractNumId w:val="11"/>
  </w:num>
  <w:num w:numId="8">
    <w:abstractNumId w:val="9"/>
  </w:num>
  <w:num w:numId="9">
    <w:abstractNumId w:val="4"/>
  </w:num>
  <w:num w:numId="10">
    <w:abstractNumId w:val="23"/>
  </w:num>
  <w:num w:numId="11">
    <w:abstractNumId w:val="25"/>
  </w:num>
  <w:num w:numId="12">
    <w:abstractNumId w:val="19"/>
  </w:num>
  <w:num w:numId="13">
    <w:abstractNumId w:val="17"/>
  </w:num>
  <w:num w:numId="14">
    <w:abstractNumId w:val="7"/>
  </w:num>
  <w:num w:numId="15">
    <w:abstractNumId w:val="34"/>
  </w:num>
  <w:num w:numId="16">
    <w:abstractNumId w:val="36"/>
  </w:num>
  <w:num w:numId="17">
    <w:abstractNumId w:val="18"/>
    <w:lvlOverride w:ilvl="0">
      <w:lvl w:ilvl="0">
        <w:numFmt w:val="bullet"/>
        <w:pStyle w:val="Bullet1"/>
        <w:lvlText w:val="•"/>
        <w:lvlJc w:val="left"/>
        <w:pPr>
          <w:ind w:left="700" w:hanging="360"/>
        </w:pPr>
        <w:rPr>
          <w:rFonts w:hint="default"/>
          <w:color w:val="auto"/>
          <w:sz w:val="24"/>
        </w:rPr>
      </w:lvl>
    </w:lvlOverride>
    <w:lvlOverride w:ilvl="1">
      <w:lvl w:ilvl="1">
        <w:start w:val="1"/>
        <w:numFmt w:val="bullet"/>
        <w:pStyle w:val="Bullet2"/>
        <w:lvlText w:val="-"/>
        <w:lvlJc w:val="left"/>
        <w:pPr>
          <w:tabs>
            <w:tab w:val="num" w:pos="1021"/>
          </w:tabs>
          <w:ind w:left="1021" w:hanging="341"/>
        </w:pPr>
        <w:rPr>
          <w:rFonts w:ascii="Arial" w:hAnsi="Arial" w:hint="default"/>
          <w:color w:val="auto"/>
          <w:sz w:val="24"/>
        </w:rPr>
      </w:lvl>
    </w:lvlOverride>
    <w:lvlOverride w:ilvl="2">
      <w:lvl w:ilvl="2">
        <w:start w:val="1"/>
        <w:numFmt w:val="bullet"/>
        <w:pStyle w:val="Bullet3"/>
        <w:lvlText w:val="◦"/>
        <w:lvlJc w:val="left"/>
        <w:pPr>
          <w:tabs>
            <w:tab w:val="num" w:pos="1361"/>
          </w:tabs>
          <w:ind w:left="1361" w:hanging="340"/>
        </w:pPr>
        <w:rPr>
          <w:rFonts w:ascii="Arial" w:hAnsi="Arial" w:hint="default"/>
          <w:color w:val="44546A" w:themeColor="text2"/>
          <w:sz w:val="28"/>
        </w:rPr>
      </w:lvl>
    </w:lvlOverride>
    <w:lvlOverride w:ilvl="3">
      <w:lvl w:ilvl="3">
        <w:start w:val="1"/>
        <w:numFmt w:val="none"/>
        <w:lvlText w:val=""/>
        <w:lvlJc w:val="left"/>
        <w:pPr>
          <w:tabs>
            <w:tab w:val="num" w:pos="1361"/>
          </w:tabs>
          <w:ind w:left="1361" w:firstLine="0"/>
        </w:pPr>
        <w:rPr>
          <w:rFonts w:hint="default"/>
        </w:rPr>
      </w:lvl>
    </w:lvlOverride>
    <w:lvlOverride w:ilvl="4">
      <w:lvl w:ilvl="4">
        <w:start w:val="1"/>
        <w:numFmt w:val="none"/>
        <w:lvlText w:val=""/>
        <w:lvlJc w:val="left"/>
        <w:pPr>
          <w:tabs>
            <w:tab w:val="num" w:pos="1361"/>
          </w:tabs>
          <w:ind w:left="1361" w:firstLine="0"/>
        </w:pPr>
        <w:rPr>
          <w:rFonts w:hint="default"/>
        </w:rPr>
      </w:lvl>
    </w:lvlOverride>
    <w:lvlOverride w:ilvl="5">
      <w:lvl w:ilvl="5">
        <w:start w:val="1"/>
        <w:numFmt w:val="none"/>
        <w:lvlText w:val=""/>
        <w:lvlJc w:val="left"/>
        <w:pPr>
          <w:tabs>
            <w:tab w:val="num" w:pos="1361"/>
          </w:tabs>
          <w:ind w:left="1361" w:firstLine="0"/>
        </w:pPr>
        <w:rPr>
          <w:rFonts w:hint="default"/>
        </w:rPr>
      </w:lvl>
    </w:lvlOverride>
    <w:lvlOverride w:ilvl="6">
      <w:lvl w:ilvl="6">
        <w:start w:val="1"/>
        <w:numFmt w:val="none"/>
        <w:lvlText w:val=""/>
        <w:lvlJc w:val="left"/>
        <w:pPr>
          <w:tabs>
            <w:tab w:val="num" w:pos="1361"/>
          </w:tabs>
          <w:ind w:left="1361" w:firstLine="0"/>
        </w:pPr>
        <w:rPr>
          <w:rFonts w:hint="default"/>
        </w:rPr>
      </w:lvl>
    </w:lvlOverride>
    <w:lvlOverride w:ilvl="7">
      <w:lvl w:ilvl="7">
        <w:start w:val="1"/>
        <w:numFmt w:val="none"/>
        <w:lvlText w:val=""/>
        <w:lvlJc w:val="left"/>
        <w:pPr>
          <w:tabs>
            <w:tab w:val="num" w:pos="1361"/>
          </w:tabs>
          <w:ind w:left="1361" w:firstLine="0"/>
        </w:pPr>
        <w:rPr>
          <w:rFonts w:hint="default"/>
        </w:rPr>
      </w:lvl>
    </w:lvlOverride>
    <w:lvlOverride w:ilvl="8">
      <w:lvl w:ilvl="8">
        <w:start w:val="1"/>
        <w:numFmt w:val="none"/>
        <w:lvlText w:val=""/>
        <w:lvlJc w:val="left"/>
        <w:pPr>
          <w:tabs>
            <w:tab w:val="num" w:pos="1361"/>
          </w:tabs>
          <w:ind w:left="1361" w:firstLine="0"/>
        </w:pPr>
        <w:rPr>
          <w:rFonts w:hint="default"/>
        </w:rPr>
      </w:lvl>
    </w:lvlOverride>
  </w:num>
  <w:num w:numId="18">
    <w:abstractNumId w:val="35"/>
  </w:num>
  <w:num w:numId="19">
    <w:abstractNumId w:val="15"/>
  </w:num>
  <w:num w:numId="20">
    <w:abstractNumId w:val="27"/>
  </w:num>
  <w:num w:numId="21">
    <w:abstractNumId w:val="27"/>
  </w:num>
  <w:num w:numId="22">
    <w:abstractNumId w:val="5"/>
  </w:num>
  <w:num w:numId="23">
    <w:abstractNumId w:val="22"/>
  </w:num>
  <w:num w:numId="24">
    <w:abstractNumId w:val="1"/>
  </w:num>
  <w:num w:numId="25">
    <w:abstractNumId w:val="30"/>
  </w:num>
  <w:num w:numId="26">
    <w:abstractNumId w:val="32"/>
  </w:num>
  <w:num w:numId="27">
    <w:abstractNumId w:val="20"/>
  </w:num>
  <w:num w:numId="28">
    <w:abstractNumId w:val="14"/>
  </w:num>
  <w:num w:numId="29">
    <w:abstractNumId w:val="8"/>
  </w:num>
  <w:num w:numId="30">
    <w:abstractNumId w:val="26"/>
  </w:num>
  <w:num w:numId="31">
    <w:abstractNumId w:val="3"/>
  </w:num>
  <w:num w:numId="32">
    <w:abstractNumId w:val="21"/>
  </w:num>
  <w:num w:numId="33">
    <w:abstractNumId w:val="33"/>
  </w:num>
  <w:num w:numId="34">
    <w:abstractNumId w:val="16"/>
  </w:num>
  <w:num w:numId="35">
    <w:abstractNumId w:val="6"/>
  </w:num>
  <w:num w:numId="36">
    <w:abstractNumId w:val="29"/>
  </w:num>
  <w:num w:numId="37">
    <w:abstractNumId w:val="28"/>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9"/>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CORRIGENDUM" w:val="&lt;UNUSED&gt;"/>
    <w:docVar w:name="LW_COVERPAGE_EXISTS" w:val="True"/>
    <w:docVar w:name="LW_COVERPAGE_GUID" w:val="C8906983-90CA-4B20-A4A4-5A55A37B71CE"/>
    <w:docVar w:name="LW_COVERPAGE_TYPE" w:val="1"/>
    <w:docVar w:name="LW_CROSSREFERENCE" w:val="&lt;UNUSED&gt;"/>
    <w:docVar w:name="LW_DocType" w:val="NORMAL"/>
    <w:docVar w:name="LW_EMISSION" w:val="29.5.2024"/>
    <w:docVar w:name="LW_EMISSION_ISODATE" w:val="2024-05-29"/>
    <w:docVar w:name="LW_EMISSION_LOCATION" w:val="BRX"/>
    <w:docVar w:name="LW_EMISSION_PREFIX" w:val="Bruxelles, "/>
    <w:docVar w:name="LW_EMISSION_SUFFIX" w:val=" "/>
    <w:docVar w:name="LW_ID_DOCTYPE_NONLW" w:val="CP-011"/>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4) 21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valuarea mecanismului de protec\u539?ie civil\u259? al Uniunii - Consolidarea preg\u259?tirii pentru situa\u539?ii de urgen\u539?\u259? a UE"/>
    <w:docVar w:name="LW_TYPE.DOC.CP" w:val="COMUNICARE A COMISIEI C\u258?TRE CONSILIU \u536?I PARLAMENTUL EUROPEAN"/>
    <w:docVar w:name="LW_TYPE.DOC.CP.USERTEXT" w:val="&lt;EMPTY&gt;"/>
    <w:docVar w:name="LwApiVersions" w:val="LW4CoDe 1.24.5.0; LW 9.0, Build 20240221"/>
  </w:docVars>
  <w:rsids>
    <w:rsidRoot w:val="004D3C4D"/>
    <w:rsid w:val="000001BE"/>
    <w:rsid w:val="00000A05"/>
    <w:rsid w:val="00000A0C"/>
    <w:rsid w:val="00000DD8"/>
    <w:rsid w:val="00001039"/>
    <w:rsid w:val="000021BC"/>
    <w:rsid w:val="000021E4"/>
    <w:rsid w:val="00002683"/>
    <w:rsid w:val="00002FB7"/>
    <w:rsid w:val="000030C9"/>
    <w:rsid w:val="0000361C"/>
    <w:rsid w:val="00004191"/>
    <w:rsid w:val="0000547B"/>
    <w:rsid w:val="0000649A"/>
    <w:rsid w:val="00006B0B"/>
    <w:rsid w:val="00006DC8"/>
    <w:rsid w:val="000070BB"/>
    <w:rsid w:val="00007666"/>
    <w:rsid w:val="000103C9"/>
    <w:rsid w:val="0001087F"/>
    <w:rsid w:val="00010A57"/>
    <w:rsid w:val="00012128"/>
    <w:rsid w:val="000121D1"/>
    <w:rsid w:val="000125E3"/>
    <w:rsid w:val="0001264D"/>
    <w:rsid w:val="0001321E"/>
    <w:rsid w:val="00013F99"/>
    <w:rsid w:val="000141C4"/>
    <w:rsid w:val="00014ACA"/>
    <w:rsid w:val="00014C27"/>
    <w:rsid w:val="00015131"/>
    <w:rsid w:val="0001569A"/>
    <w:rsid w:val="000158FA"/>
    <w:rsid w:val="00015F18"/>
    <w:rsid w:val="00016E29"/>
    <w:rsid w:val="00016E74"/>
    <w:rsid w:val="0001724C"/>
    <w:rsid w:val="000204FE"/>
    <w:rsid w:val="000212E3"/>
    <w:rsid w:val="0002169D"/>
    <w:rsid w:val="00021C9E"/>
    <w:rsid w:val="00021F6C"/>
    <w:rsid w:val="00022460"/>
    <w:rsid w:val="00022471"/>
    <w:rsid w:val="00022B81"/>
    <w:rsid w:val="00023733"/>
    <w:rsid w:val="000243C8"/>
    <w:rsid w:val="000244A9"/>
    <w:rsid w:val="000249C5"/>
    <w:rsid w:val="00024F1D"/>
    <w:rsid w:val="0002537B"/>
    <w:rsid w:val="00025D05"/>
    <w:rsid w:val="00026031"/>
    <w:rsid w:val="000260A1"/>
    <w:rsid w:val="000267D3"/>
    <w:rsid w:val="000269D0"/>
    <w:rsid w:val="00026B5C"/>
    <w:rsid w:val="00026D36"/>
    <w:rsid w:val="00026F5C"/>
    <w:rsid w:val="00026F6D"/>
    <w:rsid w:val="00027C29"/>
    <w:rsid w:val="0003042B"/>
    <w:rsid w:val="0003146E"/>
    <w:rsid w:val="000315EA"/>
    <w:rsid w:val="00031674"/>
    <w:rsid w:val="00032710"/>
    <w:rsid w:val="000329EF"/>
    <w:rsid w:val="00032A00"/>
    <w:rsid w:val="00032A69"/>
    <w:rsid w:val="00032D85"/>
    <w:rsid w:val="00032FFD"/>
    <w:rsid w:val="00033058"/>
    <w:rsid w:val="0003418B"/>
    <w:rsid w:val="000341C3"/>
    <w:rsid w:val="000355ED"/>
    <w:rsid w:val="0003713A"/>
    <w:rsid w:val="00037424"/>
    <w:rsid w:val="0004080B"/>
    <w:rsid w:val="000408CC"/>
    <w:rsid w:val="00040C33"/>
    <w:rsid w:val="00040F14"/>
    <w:rsid w:val="000410E7"/>
    <w:rsid w:val="0004214F"/>
    <w:rsid w:val="00042168"/>
    <w:rsid w:val="000421DA"/>
    <w:rsid w:val="000426B0"/>
    <w:rsid w:val="00042945"/>
    <w:rsid w:val="000429A6"/>
    <w:rsid w:val="00042FE2"/>
    <w:rsid w:val="000435A6"/>
    <w:rsid w:val="00043CDB"/>
    <w:rsid w:val="00044205"/>
    <w:rsid w:val="00044BE9"/>
    <w:rsid w:val="00044D0A"/>
    <w:rsid w:val="00044E91"/>
    <w:rsid w:val="00044EF2"/>
    <w:rsid w:val="00045175"/>
    <w:rsid w:val="000453EB"/>
    <w:rsid w:val="0004549D"/>
    <w:rsid w:val="00045597"/>
    <w:rsid w:val="000456A6"/>
    <w:rsid w:val="00045B7F"/>
    <w:rsid w:val="00045F01"/>
    <w:rsid w:val="00045F45"/>
    <w:rsid w:val="000463FD"/>
    <w:rsid w:val="0004667A"/>
    <w:rsid w:val="000476CF"/>
    <w:rsid w:val="00047C5E"/>
    <w:rsid w:val="000503D2"/>
    <w:rsid w:val="000513A2"/>
    <w:rsid w:val="0005150B"/>
    <w:rsid w:val="0005152D"/>
    <w:rsid w:val="00051633"/>
    <w:rsid w:val="0005183C"/>
    <w:rsid w:val="000524BE"/>
    <w:rsid w:val="000535C5"/>
    <w:rsid w:val="00053EF7"/>
    <w:rsid w:val="0005404E"/>
    <w:rsid w:val="00054944"/>
    <w:rsid w:val="000558C2"/>
    <w:rsid w:val="00055953"/>
    <w:rsid w:val="00056279"/>
    <w:rsid w:val="000562DD"/>
    <w:rsid w:val="00060181"/>
    <w:rsid w:val="00060C49"/>
    <w:rsid w:val="00061261"/>
    <w:rsid w:val="00061715"/>
    <w:rsid w:val="00061E5D"/>
    <w:rsid w:val="00062ACF"/>
    <w:rsid w:val="000643E3"/>
    <w:rsid w:val="00064476"/>
    <w:rsid w:val="00064551"/>
    <w:rsid w:val="00066A8A"/>
    <w:rsid w:val="00066E5F"/>
    <w:rsid w:val="00067830"/>
    <w:rsid w:val="00067ACC"/>
    <w:rsid w:val="00067AD5"/>
    <w:rsid w:val="00067CD6"/>
    <w:rsid w:val="00070367"/>
    <w:rsid w:val="0007076A"/>
    <w:rsid w:val="00070B8F"/>
    <w:rsid w:val="000714A6"/>
    <w:rsid w:val="00071EC1"/>
    <w:rsid w:val="00071F09"/>
    <w:rsid w:val="00071F74"/>
    <w:rsid w:val="000721A3"/>
    <w:rsid w:val="000723D2"/>
    <w:rsid w:val="000724C0"/>
    <w:rsid w:val="00072FD4"/>
    <w:rsid w:val="00073269"/>
    <w:rsid w:val="00073549"/>
    <w:rsid w:val="000736D9"/>
    <w:rsid w:val="0007391D"/>
    <w:rsid w:val="00073EC8"/>
    <w:rsid w:val="0007457D"/>
    <w:rsid w:val="0007504A"/>
    <w:rsid w:val="00075351"/>
    <w:rsid w:val="00075A36"/>
    <w:rsid w:val="000769D5"/>
    <w:rsid w:val="00076B83"/>
    <w:rsid w:val="00077186"/>
    <w:rsid w:val="0007735E"/>
    <w:rsid w:val="00077458"/>
    <w:rsid w:val="0007785F"/>
    <w:rsid w:val="00077C1B"/>
    <w:rsid w:val="00080454"/>
    <w:rsid w:val="00080485"/>
    <w:rsid w:val="000806C0"/>
    <w:rsid w:val="00080D24"/>
    <w:rsid w:val="00080D8B"/>
    <w:rsid w:val="000814AB"/>
    <w:rsid w:val="00081D23"/>
    <w:rsid w:val="00081F14"/>
    <w:rsid w:val="00081FE7"/>
    <w:rsid w:val="000826A0"/>
    <w:rsid w:val="00082BAA"/>
    <w:rsid w:val="000836CC"/>
    <w:rsid w:val="00083973"/>
    <w:rsid w:val="00083AA5"/>
    <w:rsid w:val="00083D87"/>
    <w:rsid w:val="000847EC"/>
    <w:rsid w:val="000852CB"/>
    <w:rsid w:val="000855C7"/>
    <w:rsid w:val="000856FD"/>
    <w:rsid w:val="000859DB"/>
    <w:rsid w:val="00085FEC"/>
    <w:rsid w:val="000860C8"/>
    <w:rsid w:val="00086470"/>
    <w:rsid w:val="0008649A"/>
    <w:rsid w:val="00086792"/>
    <w:rsid w:val="00087984"/>
    <w:rsid w:val="00087E7C"/>
    <w:rsid w:val="000917C9"/>
    <w:rsid w:val="00092470"/>
    <w:rsid w:val="0009336D"/>
    <w:rsid w:val="000935AC"/>
    <w:rsid w:val="00093702"/>
    <w:rsid w:val="00093846"/>
    <w:rsid w:val="00093EB3"/>
    <w:rsid w:val="00094087"/>
    <w:rsid w:val="00094432"/>
    <w:rsid w:val="00094987"/>
    <w:rsid w:val="00094E9E"/>
    <w:rsid w:val="000953E2"/>
    <w:rsid w:val="000955F5"/>
    <w:rsid w:val="000962F7"/>
    <w:rsid w:val="000966F8"/>
    <w:rsid w:val="000969C0"/>
    <w:rsid w:val="00096F97"/>
    <w:rsid w:val="00096FF1"/>
    <w:rsid w:val="00097580"/>
    <w:rsid w:val="000977BC"/>
    <w:rsid w:val="000978B2"/>
    <w:rsid w:val="000A0B42"/>
    <w:rsid w:val="000A0FC7"/>
    <w:rsid w:val="000A1343"/>
    <w:rsid w:val="000A17A9"/>
    <w:rsid w:val="000A190B"/>
    <w:rsid w:val="000A1980"/>
    <w:rsid w:val="000A2E94"/>
    <w:rsid w:val="000A3014"/>
    <w:rsid w:val="000A354B"/>
    <w:rsid w:val="000A3627"/>
    <w:rsid w:val="000A3A58"/>
    <w:rsid w:val="000A3E1B"/>
    <w:rsid w:val="000A3E1F"/>
    <w:rsid w:val="000A3FA8"/>
    <w:rsid w:val="000A3FAC"/>
    <w:rsid w:val="000A405A"/>
    <w:rsid w:val="000A4721"/>
    <w:rsid w:val="000A4E79"/>
    <w:rsid w:val="000A51A8"/>
    <w:rsid w:val="000A5D06"/>
    <w:rsid w:val="000A6291"/>
    <w:rsid w:val="000A6A10"/>
    <w:rsid w:val="000A6A4F"/>
    <w:rsid w:val="000A6D13"/>
    <w:rsid w:val="000A749E"/>
    <w:rsid w:val="000A7941"/>
    <w:rsid w:val="000A79EF"/>
    <w:rsid w:val="000A7E7E"/>
    <w:rsid w:val="000B029E"/>
    <w:rsid w:val="000B0AF0"/>
    <w:rsid w:val="000B0C3A"/>
    <w:rsid w:val="000B11E7"/>
    <w:rsid w:val="000B1622"/>
    <w:rsid w:val="000B19A3"/>
    <w:rsid w:val="000B1B3C"/>
    <w:rsid w:val="000B1E20"/>
    <w:rsid w:val="000B2D55"/>
    <w:rsid w:val="000B3355"/>
    <w:rsid w:val="000B39B5"/>
    <w:rsid w:val="000B4430"/>
    <w:rsid w:val="000B466B"/>
    <w:rsid w:val="000B4698"/>
    <w:rsid w:val="000B5B83"/>
    <w:rsid w:val="000B5FEE"/>
    <w:rsid w:val="000B642A"/>
    <w:rsid w:val="000B6973"/>
    <w:rsid w:val="000B6CEB"/>
    <w:rsid w:val="000B6E5F"/>
    <w:rsid w:val="000B6FFC"/>
    <w:rsid w:val="000B7229"/>
    <w:rsid w:val="000B76C5"/>
    <w:rsid w:val="000C0F47"/>
    <w:rsid w:val="000C1CCA"/>
    <w:rsid w:val="000C206C"/>
    <w:rsid w:val="000C246F"/>
    <w:rsid w:val="000C2628"/>
    <w:rsid w:val="000C2E60"/>
    <w:rsid w:val="000C2F59"/>
    <w:rsid w:val="000C2FCB"/>
    <w:rsid w:val="000C3338"/>
    <w:rsid w:val="000C349A"/>
    <w:rsid w:val="000C3DB6"/>
    <w:rsid w:val="000C4120"/>
    <w:rsid w:val="000C416E"/>
    <w:rsid w:val="000C4F59"/>
    <w:rsid w:val="000C53E4"/>
    <w:rsid w:val="000C560D"/>
    <w:rsid w:val="000C568D"/>
    <w:rsid w:val="000C57F2"/>
    <w:rsid w:val="000C5B86"/>
    <w:rsid w:val="000C5CCA"/>
    <w:rsid w:val="000C5CE6"/>
    <w:rsid w:val="000C65B9"/>
    <w:rsid w:val="000C70F6"/>
    <w:rsid w:val="000C74B9"/>
    <w:rsid w:val="000C7B9E"/>
    <w:rsid w:val="000D0972"/>
    <w:rsid w:val="000D0A3C"/>
    <w:rsid w:val="000D176A"/>
    <w:rsid w:val="000D1A5E"/>
    <w:rsid w:val="000D1CE5"/>
    <w:rsid w:val="000D1F90"/>
    <w:rsid w:val="000D27B2"/>
    <w:rsid w:val="000D3205"/>
    <w:rsid w:val="000D323C"/>
    <w:rsid w:val="000D344C"/>
    <w:rsid w:val="000D3516"/>
    <w:rsid w:val="000D3A41"/>
    <w:rsid w:val="000D40E1"/>
    <w:rsid w:val="000D4AC5"/>
    <w:rsid w:val="000D4C6F"/>
    <w:rsid w:val="000D5210"/>
    <w:rsid w:val="000D5880"/>
    <w:rsid w:val="000D5DE2"/>
    <w:rsid w:val="000D6082"/>
    <w:rsid w:val="000D655A"/>
    <w:rsid w:val="000D75AA"/>
    <w:rsid w:val="000D7986"/>
    <w:rsid w:val="000D79AC"/>
    <w:rsid w:val="000D7F9B"/>
    <w:rsid w:val="000E02D3"/>
    <w:rsid w:val="000E0EE8"/>
    <w:rsid w:val="000E0F29"/>
    <w:rsid w:val="000E10EE"/>
    <w:rsid w:val="000E1AE9"/>
    <w:rsid w:val="000E20AA"/>
    <w:rsid w:val="000E2A46"/>
    <w:rsid w:val="000E303F"/>
    <w:rsid w:val="000E433D"/>
    <w:rsid w:val="000E487A"/>
    <w:rsid w:val="000E52C1"/>
    <w:rsid w:val="000E5316"/>
    <w:rsid w:val="000E5DCA"/>
    <w:rsid w:val="000E616E"/>
    <w:rsid w:val="000E64BE"/>
    <w:rsid w:val="000E6E31"/>
    <w:rsid w:val="000E7AB7"/>
    <w:rsid w:val="000E7C16"/>
    <w:rsid w:val="000E7CB3"/>
    <w:rsid w:val="000F06C6"/>
    <w:rsid w:val="000F0708"/>
    <w:rsid w:val="000F0A8A"/>
    <w:rsid w:val="000F0AD0"/>
    <w:rsid w:val="000F0C45"/>
    <w:rsid w:val="000F0EE0"/>
    <w:rsid w:val="000F10A0"/>
    <w:rsid w:val="000F15CA"/>
    <w:rsid w:val="000F16C4"/>
    <w:rsid w:val="000F248B"/>
    <w:rsid w:val="000F258D"/>
    <w:rsid w:val="000F2C3F"/>
    <w:rsid w:val="000F2D1D"/>
    <w:rsid w:val="000F31B8"/>
    <w:rsid w:val="000F3520"/>
    <w:rsid w:val="000F37DF"/>
    <w:rsid w:val="000F38E5"/>
    <w:rsid w:val="000F38FD"/>
    <w:rsid w:val="000F3D23"/>
    <w:rsid w:val="000F3D65"/>
    <w:rsid w:val="000F3ED7"/>
    <w:rsid w:val="000F4012"/>
    <w:rsid w:val="000F455F"/>
    <w:rsid w:val="000F48B2"/>
    <w:rsid w:val="000F4D20"/>
    <w:rsid w:val="000F5631"/>
    <w:rsid w:val="000F67EF"/>
    <w:rsid w:val="000F7027"/>
    <w:rsid w:val="000F745D"/>
    <w:rsid w:val="000F770F"/>
    <w:rsid w:val="000F778A"/>
    <w:rsid w:val="000F78F3"/>
    <w:rsid w:val="00100566"/>
    <w:rsid w:val="00100948"/>
    <w:rsid w:val="00101430"/>
    <w:rsid w:val="0010148D"/>
    <w:rsid w:val="001016C3"/>
    <w:rsid w:val="001023E4"/>
    <w:rsid w:val="001024A3"/>
    <w:rsid w:val="0010372F"/>
    <w:rsid w:val="001037A3"/>
    <w:rsid w:val="001038B5"/>
    <w:rsid w:val="00103C04"/>
    <w:rsid w:val="00103DB1"/>
    <w:rsid w:val="00103DD9"/>
    <w:rsid w:val="00104D8B"/>
    <w:rsid w:val="001050DF"/>
    <w:rsid w:val="001053B0"/>
    <w:rsid w:val="00105539"/>
    <w:rsid w:val="001055D9"/>
    <w:rsid w:val="00105744"/>
    <w:rsid w:val="00105B53"/>
    <w:rsid w:val="00105F0E"/>
    <w:rsid w:val="00106633"/>
    <w:rsid w:val="00107157"/>
    <w:rsid w:val="001079A3"/>
    <w:rsid w:val="00107AC3"/>
    <w:rsid w:val="001100D6"/>
    <w:rsid w:val="001102D3"/>
    <w:rsid w:val="00110A92"/>
    <w:rsid w:val="001120CB"/>
    <w:rsid w:val="00112994"/>
    <w:rsid w:val="00112C94"/>
    <w:rsid w:val="00113799"/>
    <w:rsid w:val="001137DE"/>
    <w:rsid w:val="00113D57"/>
    <w:rsid w:val="00114F18"/>
    <w:rsid w:val="00115677"/>
    <w:rsid w:val="001159A0"/>
    <w:rsid w:val="001165DE"/>
    <w:rsid w:val="0011690A"/>
    <w:rsid w:val="00117084"/>
    <w:rsid w:val="0011716D"/>
    <w:rsid w:val="001177D3"/>
    <w:rsid w:val="00117DB8"/>
    <w:rsid w:val="001203E7"/>
    <w:rsid w:val="00120824"/>
    <w:rsid w:val="00120E25"/>
    <w:rsid w:val="00121604"/>
    <w:rsid w:val="00121B94"/>
    <w:rsid w:val="00121BA0"/>
    <w:rsid w:val="0012256E"/>
    <w:rsid w:val="0012273B"/>
    <w:rsid w:val="0012279B"/>
    <w:rsid w:val="00122CF5"/>
    <w:rsid w:val="001236C5"/>
    <w:rsid w:val="00123C36"/>
    <w:rsid w:val="00123F43"/>
    <w:rsid w:val="001243BF"/>
    <w:rsid w:val="001243FA"/>
    <w:rsid w:val="00124549"/>
    <w:rsid w:val="0012484B"/>
    <w:rsid w:val="00124A56"/>
    <w:rsid w:val="001250C5"/>
    <w:rsid w:val="0012563B"/>
    <w:rsid w:val="0012570F"/>
    <w:rsid w:val="00125738"/>
    <w:rsid w:val="00125C1F"/>
    <w:rsid w:val="00125C98"/>
    <w:rsid w:val="00125CA5"/>
    <w:rsid w:val="00125D99"/>
    <w:rsid w:val="00125F74"/>
    <w:rsid w:val="00125F9F"/>
    <w:rsid w:val="0012607D"/>
    <w:rsid w:val="001264BB"/>
    <w:rsid w:val="0012657E"/>
    <w:rsid w:val="00126EBE"/>
    <w:rsid w:val="00127100"/>
    <w:rsid w:val="001271CA"/>
    <w:rsid w:val="00127CC2"/>
    <w:rsid w:val="00127D37"/>
    <w:rsid w:val="0013038B"/>
    <w:rsid w:val="001305A8"/>
    <w:rsid w:val="00130CCE"/>
    <w:rsid w:val="00130DB6"/>
    <w:rsid w:val="00130EE3"/>
    <w:rsid w:val="00130F78"/>
    <w:rsid w:val="0013100F"/>
    <w:rsid w:val="0013138C"/>
    <w:rsid w:val="00131394"/>
    <w:rsid w:val="00131B42"/>
    <w:rsid w:val="00132254"/>
    <w:rsid w:val="0013275B"/>
    <w:rsid w:val="001328E0"/>
    <w:rsid w:val="00133646"/>
    <w:rsid w:val="001338F3"/>
    <w:rsid w:val="00133EEA"/>
    <w:rsid w:val="0013410E"/>
    <w:rsid w:val="00134637"/>
    <w:rsid w:val="00134C80"/>
    <w:rsid w:val="00135257"/>
    <w:rsid w:val="0013554D"/>
    <w:rsid w:val="00135EE8"/>
    <w:rsid w:val="00135FEC"/>
    <w:rsid w:val="0013603F"/>
    <w:rsid w:val="001362D7"/>
    <w:rsid w:val="0013655F"/>
    <w:rsid w:val="00137405"/>
    <w:rsid w:val="0014021C"/>
    <w:rsid w:val="00140D15"/>
    <w:rsid w:val="0014107F"/>
    <w:rsid w:val="00141C1F"/>
    <w:rsid w:val="0014232E"/>
    <w:rsid w:val="0014249F"/>
    <w:rsid w:val="00142672"/>
    <w:rsid w:val="001432E9"/>
    <w:rsid w:val="0014370E"/>
    <w:rsid w:val="001438DF"/>
    <w:rsid w:val="00144179"/>
    <w:rsid w:val="001445EB"/>
    <w:rsid w:val="00144ABB"/>
    <w:rsid w:val="0014511F"/>
    <w:rsid w:val="0014520D"/>
    <w:rsid w:val="00145482"/>
    <w:rsid w:val="00145C58"/>
    <w:rsid w:val="00145F6F"/>
    <w:rsid w:val="00146E95"/>
    <w:rsid w:val="001470AE"/>
    <w:rsid w:val="00147106"/>
    <w:rsid w:val="0014731B"/>
    <w:rsid w:val="0014786C"/>
    <w:rsid w:val="00147FE8"/>
    <w:rsid w:val="0015046E"/>
    <w:rsid w:val="00150A65"/>
    <w:rsid w:val="001516F5"/>
    <w:rsid w:val="001526B4"/>
    <w:rsid w:val="00152AE4"/>
    <w:rsid w:val="00152CDA"/>
    <w:rsid w:val="00153126"/>
    <w:rsid w:val="00153248"/>
    <w:rsid w:val="0015392A"/>
    <w:rsid w:val="00153B8F"/>
    <w:rsid w:val="00153C70"/>
    <w:rsid w:val="00153FE1"/>
    <w:rsid w:val="001542F3"/>
    <w:rsid w:val="00154958"/>
    <w:rsid w:val="00154DB3"/>
    <w:rsid w:val="001550AC"/>
    <w:rsid w:val="001555EB"/>
    <w:rsid w:val="00155774"/>
    <w:rsid w:val="001557EA"/>
    <w:rsid w:val="00155B64"/>
    <w:rsid w:val="00155D7D"/>
    <w:rsid w:val="0015692A"/>
    <w:rsid w:val="00156EF4"/>
    <w:rsid w:val="001573E6"/>
    <w:rsid w:val="00157464"/>
    <w:rsid w:val="00157FF8"/>
    <w:rsid w:val="00160193"/>
    <w:rsid w:val="00160847"/>
    <w:rsid w:val="00160999"/>
    <w:rsid w:val="00162154"/>
    <w:rsid w:val="00162216"/>
    <w:rsid w:val="001624FE"/>
    <w:rsid w:val="0016261F"/>
    <w:rsid w:val="00162D63"/>
    <w:rsid w:val="00162FD9"/>
    <w:rsid w:val="001641B4"/>
    <w:rsid w:val="001643E7"/>
    <w:rsid w:val="0016487C"/>
    <w:rsid w:val="00164926"/>
    <w:rsid w:val="001655B6"/>
    <w:rsid w:val="00165820"/>
    <w:rsid w:val="001661A9"/>
    <w:rsid w:val="00166863"/>
    <w:rsid w:val="00166EE4"/>
    <w:rsid w:val="00166F42"/>
    <w:rsid w:val="001671BE"/>
    <w:rsid w:val="00167376"/>
    <w:rsid w:val="00167D53"/>
    <w:rsid w:val="00167E17"/>
    <w:rsid w:val="0017114A"/>
    <w:rsid w:val="001717AE"/>
    <w:rsid w:val="001737F2"/>
    <w:rsid w:val="00173CE5"/>
    <w:rsid w:val="00173F80"/>
    <w:rsid w:val="00173FA9"/>
    <w:rsid w:val="00174276"/>
    <w:rsid w:val="0017434A"/>
    <w:rsid w:val="00174C61"/>
    <w:rsid w:val="0017572E"/>
    <w:rsid w:val="00175DFF"/>
    <w:rsid w:val="00175FE5"/>
    <w:rsid w:val="00176BE5"/>
    <w:rsid w:val="00176E6D"/>
    <w:rsid w:val="001770CA"/>
    <w:rsid w:val="0018005E"/>
    <w:rsid w:val="00180075"/>
    <w:rsid w:val="001806BF"/>
    <w:rsid w:val="00180DE2"/>
    <w:rsid w:val="00181E49"/>
    <w:rsid w:val="00181F9F"/>
    <w:rsid w:val="00182072"/>
    <w:rsid w:val="0018216B"/>
    <w:rsid w:val="00184757"/>
    <w:rsid w:val="001856B4"/>
    <w:rsid w:val="00185B79"/>
    <w:rsid w:val="00185CCF"/>
    <w:rsid w:val="00185D75"/>
    <w:rsid w:val="0018670C"/>
    <w:rsid w:val="00186F2E"/>
    <w:rsid w:val="00187021"/>
    <w:rsid w:val="001873D4"/>
    <w:rsid w:val="00187A3C"/>
    <w:rsid w:val="001907EC"/>
    <w:rsid w:val="00190AAC"/>
    <w:rsid w:val="00190BB8"/>
    <w:rsid w:val="00191600"/>
    <w:rsid w:val="00191A59"/>
    <w:rsid w:val="00191E45"/>
    <w:rsid w:val="00191E93"/>
    <w:rsid w:val="001925C8"/>
    <w:rsid w:val="00192605"/>
    <w:rsid w:val="00192D4A"/>
    <w:rsid w:val="00192E34"/>
    <w:rsid w:val="001931C2"/>
    <w:rsid w:val="0019414C"/>
    <w:rsid w:val="00194E12"/>
    <w:rsid w:val="00194E15"/>
    <w:rsid w:val="00195A28"/>
    <w:rsid w:val="00195A6D"/>
    <w:rsid w:val="00196174"/>
    <w:rsid w:val="00196461"/>
    <w:rsid w:val="00196F3E"/>
    <w:rsid w:val="00197756"/>
    <w:rsid w:val="00197A15"/>
    <w:rsid w:val="00197C20"/>
    <w:rsid w:val="001A03C6"/>
    <w:rsid w:val="001A044D"/>
    <w:rsid w:val="001A05BC"/>
    <w:rsid w:val="001A0627"/>
    <w:rsid w:val="001A0938"/>
    <w:rsid w:val="001A1CFE"/>
    <w:rsid w:val="001A2232"/>
    <w:rsid w:val="001A23E0"/>
    <w:rsid w:val="001A31B1"/>
    <w:rsid w:val="001A3488"/>
    <w:rsid w:val="001A3668"/>
    <w:rsid w:val="001A3B79"/>
    <w:rsid w:val="001A434E"/>
    <w:rsid w:val="001A4A16"/>
    <w:rsid w:val="001A4FB4"/>
    <w:rsid w:val="001A5B85"/>
    <w:rsid w:val="001A5E89"/>
    <w:rsid w:val="001A60B6"/>
    <w:rsid w:val="001A627E"/>
    <w:rsid w:val="001A6563"/>
    <w:rsid w:val="001A664D"/>
    <w:rsid w:val="001A6673"/>
    <w:rsid w:val="001A6F8A"/>
    <w:rsid w:val="001A7DAD"/>
    <w:rsid w:val="001B0758"/>
    <w:rsid w:val="001B079B"/>
    <w:rsid w:val="001B08D0"/>
    <w:rsid w:val="001B0B4F"/>
    <w:rsid w:val="001B180F"/>
    <w:rsid w:val="001B2074"/>
    <w:rsid w:val="001B20E7"/>
    <w:rsid w:val="001B21CC"/>
    <w:rsid w:val="001B2F39"/>
    <w:rsid w:val="001B37E1"/>
    <w:rsid w:val="001B386B"/>
    <w:rsid w:val="001B3F01"/>
    <w:rsid w:val="001B42A2"/>
    <w:rsid w:val="001B5373"/>
    <w:rsid w:val="001B576F"/>
    <w:rsid w:val="001B5E1D"/>
    <w:rsid w:val="001B67DF"/>
    <w:rsid w:val="001B71CC"/>
    <w:rsid w:val="001B78B5"/>
    <w:rsid w:val="001B791E"/>
    <w:rsid w:val="001C095A"/>
    <w:rsid w:val="001C0D5F"/>
    <w:rsid w:val="001C182E"/>
    <w:rsid w:val="001C1C0D"/>
    <w:rsid w:val="001C215C"/>
    <w:rsid w:val="001C2718"/>
    <w:rsid w:val="001C2FA8"/>
    <w:rsid w:val="001C35F3"/>
    <w:rsid w:val="001C415F"/>
    <w:rsid w:val="001C438F"/>
    <w:rsid w:val="001C4750"/>
    <w:rsid w:val="001C4D49"/>
    <w:rsid w:val="001C4F98"/>
    <w:rsid w:val="001C532B"/>
    <w:rsid w:val="001C5636"/>
    <w:rsid w:val="001C5827"/>
    <w:rsid w:val="001C5B65"/>
    <w:rsid w:val="001C5BF7"/>
    <w:rsid w:val="001C5EDC"/>
    <w:rsid w:val="001C61AF"/>
    <w:rsid w:val="001C6418"/>
    <w:rsid w:val="001C7503"/>
    <w:rsid w:val="001C7CA7"/>
    <w:rsid w:val="001D0211"/>
    <w:rsid w:val="001D0CFA"/>
    <w:rsid w:val="001D0F4A"/>
    <w:rsid w:val="001D1335"/>
    <w:rsid w:val="001D148A"/>
    <w:rsid w:val="001D14EE"/>
    <w:rsid w:val="001D1743"/>
    <w:rsid w:val="001D1756"/>
    <w:rsid w:val="001D18C3"/>
    <w:rsid w:val="001D1A15"/>
    <w:rsid w:val="001D1FDC"/>
    <w:rsid w:val="001D3801"/>
    <w:rsid w:val="001D582B"/>
    <w:rsid w:val="001D5974"/>
    <w:rsid w:val="001D5A82"/>
    <w:rsid w:val="001D5F73"/>
    <w:rsid w:val="001D64FF"/>
    <w:rsid w:val="001D687F"/>
    <w:rsid w:val="001D7A6D"/>
    <w:rsid w:val="001E10D3"/>
    <w:rsid w:val="001E16BE"/>
    <w:rsid w:val="001E1E2A"/>
    <w:rsid w:val="001E3753"/>
    <w:rsid w:val="001E3903"/>
    <w:rsid w:val="001E450F"/>
    <w:rsid w:val="001E460B"/>
    <w:rsid w:val="001E46C1"/>
    <w:rsid w:val="001E4A0D"/>
    <w:rsid w:val="001E50B0"/>
    <w:rsid w:val="001E53E4"/>
    <w:rsid w:val="001E56C7"/>
    <w:rsid w:val="001E5961"/>
    <w:rsid w:val="001E5A81"/>
    <w:rsid w:val="001E5CBF"/>
    <w:rsid w:val="001E601D"/>
    <w:rsid w:val="001E678A"/>
    <w:rsid w:val="001E6C28"/>
    <w:rsid w:val="001E7105"/>
    <w:rsid w:val="001E7378"/>
    <w:rsid w:val="001E76CC"/>
    <w:rsid w:val="001E78E1"/>
    <w:rsid w:val="001F0296"/>
    <w:rsid w:val="001F0551"/>
    <w:rsid w:val="001F1377"/>
    <w:rsid w:val="001F195D"/>
    <w:rsid w:val="001F1A8D"/>
    <w:rsid w:val="001F1E84"/>
    <w:rsid w:val="001F2606"/>
    <w:rsid w:val="001F3163"/>
    <w:rsid w:val="001F4B16"/>
    <w:rsid w:val="001F4D5B"/>
    <w:rsid w:val="001F5511"/>
    <w:rsid w:val="001F5543"/>
    <w:rsid w:val="001F5585"/>
    <w:rsid w:val="001F5C8A"/>
    <w:rsid w:val="001F6496"/>
    <w:rsid w:val="001F67CB"/>
    <w:rsid w:val="001F6C6D"/>
    <w:rsid w:val="001F715F"/>
    <w:rsid w:val="001F7772"/>
    <w:rsid w:val="002001EF"/>
    <w:rsid w:val="002005FF"/>
    <w:rsid w:val="002012E8"/>
    <w:rsid w:val="0020193D"/>
    <w:rsid w:val="002019CC"/>
    <w:rsid w:val="00201C8D"/>
    <w:rsid w:val="00201EB2"/>
    <w:rsid w:val="002024FC"/>
    <w:rsid w:val="002026B3"/>
    <w:rsid w:val="00202E45"/>
    <w:rsid w:val="00202FCF"/>
    <w:rsid w:val="002030C1"/>
    <w:rsid w:val="0020356D"/>
    <w:rsid w:val="00203779"/>
    <w:rsid w:val="00203A65"/>
    <w:rsid w:val="00203A7A"/>
    <w:rsid w:val="0020420B"/>
    <w:rsid w:val="00204B4B"/>
    <w:rsid w:val="00204CD0"/>
    <w:rsid w:val="00204F15"/>
    <w:rsid w:val="0020553E"/>
    <w:rsid w:val="00205728"/>
    <w:rsid w:val="00205B0B"/>
    <w:rsid w:val="00206421"/>
    <w:rsid w:val="00206EAB"/>
    <w:rsid w:val="00207297"/>
    <w:rsid w:val="00207300"/>
    <w:rsid w:val="0020754B"/>
    <w:rsid w:val="00207C01"/>
    <w:rsid w:val="00207C7F"/>
    <w:rsid w:val="00210813"/>
    <w:rsid w:val="00211534"/>
    <w:rsid w:val="0021156C"/>
    <w:rsid w:val="00211BCA"/>
    <w:rsid w:val="00211C4A"/>
    <w:rsid w:val="0021212F"/>
    <w:rsid w:val="00212131"/>
    <w:rsid w:val="002125B9"/>
    <w:rsid w:val="00212793"/>
    <w:rsid w:val="00212AB1"/>
    <w:rsid w:val="0021319F"/>
    <w:rsid w:val="00213319"/>
    <w:rsid w:val="002135D7"/>
    <w:rsid w:val="002137C1"/>
    <w:rsid w:val="00213FE3"/>
    <w:rsid w:val="00214C86"/>
    <w:rsid w:val="0021602C"/>
    <w:rsid w:val="00216BEC"/>
    <w:rsid w:val="00216D27"/>
    <w:rsid w:val="00216DD7"/>
    <w:rsid w:val="002207D7"/>
    <w:rsid w:val="00220F3C"/>
    <w:rsid w:val="00221158"/>
    <w:rsid w:val="002212FC"/>
    <w:rsid w:val="00221F3E"/>
    <w:rsid w:val="00222004"/>
    <w:rsid w:val="002221CA"/>
    <w:rsid w:val="00222455"/>
    <w:rsid w:val="002228AB"/>
    <w:rsid w:val="00222AA6"/>
    <w:rsid w:val="0022309F"/>
    <w:rsid w:val="00224CD9"/>
    <w:rsid w:val="00224F41"/>
    <w:rsid w:val="00225208"/>
    <w:rsid w:val="00225275"/>
    <w:rsid w:val="002264BE"/>
    <w:rsid w:val="002264E0"/>
    <w:rsid w:val="002264EB"/>
    <w:rsid w:val="0022663F"/>
    <w:rsid w:val="002271E8"/>
    <w:rsid w:val="002279EC"/>
    <w:rsid w:val="00227FA4"/>
    <w:rsid w:val="00227FD1"/>
    <w:rsid w:val="002304A8"/>
    <w:rsid w:val="00230E72"/>
    <w:rsid w:val="00230F42"/>
    <w:rsid w:val="00230F7A"/>
    <w:rsid w:val="00231E5B"/>
    <w:rsid w:val="00231F10"/>
    <w:rsid w:val="002320C5"/>
    <w:rsid w:val="00232103"/>
    <w:rsid w:val="0023249B"/>
    <w:rsid w:val="00232EC3"/>
    <w:rsid w:val="00233054"/>
    <w:rsid w:val="0023363A"/>
    <w:rsid w:val="00233E86"/>
    <w:rsid w:val="00234393"/>
    <w:rsid w:val="00234C3F"/>
    <w:rsid w:val="00235323"/>
    <w:rsid w:val="0023581D"/>
    <w:rsid w:val="00236121"/>
    <w:rsid w:val="0023645B"/>
    <w:rsid w:val="00236783"/>
    <w:rsid w:val="00236B8E"/>
    <w:rsid w:val="00237AFB"/>
    <w:rsid w:val="00237B5A"/>
    <w:rsid w:val="00237C35"/>
    <w:rsid w:val="00237FFE"/>
    <w:rsid w:val="00240437"/>
    <w:rsid w:val="0024053D"/>
    <w:rsid w:val="00240704"/>
    <w:rsid w:val="00240C5D"/>
    <w:rsid w:val="00240EFB"/>
    <w:rsid w:val="002416DB"/>
    <w:rsid w:val="00241AC7"/>
    <w:rsid w:val="00241BA9"/>
    <w:rsid w:val="002421B5"/>
    <w:rsid w:val="002424AD"/>
    <w:rsid w:val="00242544"/>
    <w:rsid w:val="00242549"/>
    <w:rsid w:val="00242A52"/>
    <w:rsid w:val="00242FDC"/>
    <w:rsid w:val="002433C5"/>
    <w:rsid w:val="002434B3"/>
    <w:rsid w:val="002437AC"/>
    <w:rsid w:val="00243A2E"/>
    <w:rsid w:val="00244BAF"/>
    <w:rsid w:val="002452A0"/>
    <w:rsid w:val="0024553B"/>
    <w:rsid w:val="00245B0A"/>
    <w:rsid w:val="00246B93"/>
    <w:rsid w:val="00246EBD"/>
    <w:rsid w:val="00246FC6"/>
    <w:rsid w:val="002476D1"/>
    <w:rsid w:val="002479F5"/>
    <w:rsid w:val="0025044C"/>
    <w:rsid w:val="00250A6F"/>
    <w:rsid w:val="00250C24"/>
    <w:rsid w:val="002510D2"/>
    <w:rsid w:val="0025153E"/>
    <w:rsid w:val="002515E2"/>
    <w:rsid w:val="00251ED4"/>
    <w:rsid w:val="00252061"/>
    <w:rsid w:val="00253124"/>
    <w:rsid w:val="00253738"/>
    <w:rsid w:val="00253A31"/>
    <w:rsid w:val="00253F0C"/>
    <w:rsid w:val="00254283"/>
    <w:rsid w:val="002545EC"/>
    <w:rsid w:val="00255101"/>
    <w:rsid w:val="00255146"/>
    <w:rsid w:val="002552C0"/>
    <w:rsid w:val="002554BE"/>
    <w:rsid w:val="002558E7"/>
    <w:rsid w:val="00255C51"/>
    <w:rsid w:val="00256329"/>
    <w:rsid w:val="0025653E"/>
    <w:rsid w:val="00256839"/>
    <w:rsid w:val="00256B14"/>
    <w:rsid w:val="00256B80"/>
    <w:rsid w:val="00257B01"/>
    <w:rsid w:val="002607E6"/>
    <w:rsid w:val="00260836"/>
    <w:rsid w:val="002611E5"/>
    <w:rsid w:val="00261A0F"/>
    <w:rsid w:val="00261A8C"/>
    <w:rsid w:val="002620FB"/>
    <w:rsid w:val="002623C6"/>
    <w:rsid w:val="00262796"/>
    <w:rsid w:val="00263689"/>
    <w:rsid w:val="002636F3"/>
    <w:rsid w:val="00263742"/>
    <w:rsid w:val="00263FE9"/>
    <w:rsid w:val="00264B79"/>
    <w:rsid w:val="00264BD7"/>
    <w:rsid w:val="00264C4D"/>
    <w:rsid w:val="00265303"/>
    <w:rsid w:val="00265880"/>
    <w:rsid w:val="00265F10"/>
    <w:rsid w:val="00265FC0"/>
    <w:rsid w:val="00266AC6"/>
    <w:rsid w:val="00266F85"/>
    <w:rsid w:val="002670C6"/>
    <w:rsid w:val="002679F9"/>
    <w:rsid w:val="00267DB7"/>
    <w:rsid w:val="002703D8"/>
    <w:rsid w:val="00270F7B"/>
    <w:rsid w:val="00271E4C"/>
    <w:rsid w:val="002722C4"/>
    <w:rsid w:val="002724D2"/>
    <w:rsid w:val="00272A4C"/>
    <w:rsid w:val="00272F4D"/>
    <w:rsid w:val="00273130"/>
    <w:rsid w:val="00273C6D"/>
    <w:rsid w:val="0027434B"/>
    <w:rsid w:val="0027479F"/>
    <w:rsid w:val="00274C6D"/>
    <w:rsid w:val="00274EAD"/>
    <w:rsid w:val="00274F90"/>
    <w:rsid w:val="00275976"/>
    <w:rsid w:val="00275AE4"/>
    <w:rsid w:val="00275CE3"/>
    <w:rsid w:val="002764F1"/>
    <w:rsid w:val="00277163"/>
    <w:rsid w:val="0027775B"/>
    <w:rsid w:val="00280533"/>
    <w:rsid w:val="002809F7"/>
    <w:rsid w:val="00281ACB"/>
    <w:rsid w:val="00282330"/>
    <w:rsid w:val="00282926"/>
    <w:rsid w:val="00282C88"/>
    <w:rsid w:val="00283134"/>
    <w:rsid w:val="002834CA"/>
    <w:rsid w:val="002836F4"/>
    <w:rsid w:val="0028397F"/>
    <w:rsid w:val="002839E1"/>
    <w:rsid w:val="00283BCE"/>
    <w:rsid w:val="00283DF6"/>
    <w:rsid w:val="00283E1B"/>
    <w:rsid w:val="002840B1"/>
    <w:rsid w:val="00284AF1"/>
    <w:rsid w:val="00284FE2"/>
    <w:rsid w:val="00284FEC"/>
    <w:rsid w:val="002858BD"/>
    <w:rsid w:val="002859AB"/>
    <w:rsid w:val="002863D1"/>
    <w:rsid w:val="00286626"/>
    <w:rsid w:val="00286653"/>
    <w:rsid w:val="00286847"/>
    <w:rsid w:val="00286AB5"/>
    <w:rsid w:val="00287202"/>
    <w:rsid w:val="002872B1"/>
    <w:rsid w:val="0028742D"/>
    <w:rsid w:val="00290783"/>
    <w:rsid w:val="00290ADC"/>
    <w:rsid w:val="00290BCA"/>
    <w:rsid w:val="00290C79"/>
    <w:rsid w:val="00290DCB"/>
    <w:rsid w:val="00291EFE"/>
    <w:rsid w:val="0029244A"/>
    <w:rsid w:val="002927D7"/>
    <w:rsid w:val="002927F7"/>
    <w:rsid w:val="002929B7"/>
    <w:rsid w:val="00292B2B"/>
    <w:rsid w:val="00292C07"/>
    <w:rsid w:val="00292D72"/>
    <w:rsid w:val="002935D6"/>
    <w:rsid w:val="00293EFA"/>
    <w:rsid w:val="00294E71"/>
    <w:rsid w:val="0029524C"/>
    <w:rsid w:val="0029551E"/>
    <w:rsid w:val="0029579C"/>
    <w:rsid w:val="00295C34"/>
    <w:rsid w:val="002967A6"/>
    <w:rsid w:val="00296933"/>
    <w:rsid w:val="00296E96"/>
    <w:rsid w:val="00297304"/>
    <w:rsid w:val="0029733E"/>
    <w:rsid w:val="00297981"/>
    <w:rsid w:val="00297A1B"/>
    <w:rsid w:val="00297EE7"/>
    <w:rsid w:val="00297FC3"/>
    <w:rsid w:val="002A02FD"/>
    <w:rsid w:val="002A101D"/>
    <w:rsid w:val="002A152A"/>
    <w:rsid w:val="002A1D56"/>
    <w:rsid w:val="002A1D98"/>
    <w:rsid w:val="002A1EF0"/>
    <w:rsid w:val="002A2618"/>
    <w:rsid w:val="002A26A1"/>
    <w:rsid w:val="002A26D9"/>
    <w:rsid w:val="002A2E0D"/>
    <w:rsid w:val="002A2F9E"/>
    <w:rsid w:val="002A3C29"/>
    <w:rsid w:val="002A3F91"/>
    <w:rsid w:val="002A4789"/>
    <w:rsid w:val="002A4F00"/>
    <w:rsid w:val="002A4F2D"/>
    <w:rsid w:val="002A55C2"/>
    <w:rsid w:val="002A5B06"/>
    <w:rsid w:val="002A62D2"/>
    <w:rsid w:val="002A6376"/>
    <w:rsid w:val="002A699C"/>
    <w:rsid w:val="002A6A91"/>
    <w:rsid w:val="002A6EBF"/>
    <w:rsid w:val="002A6F20"/>
    <w:rsid w:val="002A715D"/>
    <w:rsid w:val="002B0030"/>
    <w:rsid w:val="002B046F"/>
    <w:rsid w:val="002B04BA"/>
    <w:rsid w:val="002B0519"/>
    <w:rsid w:val="002B1133"/>
    <w:rsid w:val="002B195D"/>
    <w:rsid w:val="002B1D06"/>
    <w:rsid w:val="002B2841"/>
    <w:rsid w:val="002B2993"/>
    <w:rsid w:val="002B29B5"/>
    <w:rsid w:val="002B2BDB"/>
    <w:rsid w:val="002B2BE9"/>
    <w:rsid w:val="002B2F07"/>
    <w:rsid w:val="002B3294"/>
    <w:rsid w:val="002B33D4"/>
    <w:rsid w:val="002B3B1D"/>
    <w:rsid w:val="002B42AD"/>
    <w:rsid w:val="002B4D04"/>
    <w:rsid w:val="002B4D0C"/>
    <w:rsid w:val="002B655D"/>
    <w:rsid w:val="002B6965"/>
    <w:rsid w:val="002B6ADE"/>
    <w:rsid w:val="002B7164"/>
    <w:rsid w:val="002B7F45"/>
    <w:rsid w:val="002C0007"/>
    <w:rsid w:val="002C0673"/>
    <w:rsid w:val="002C0676"/>
    <w:rsid w:val="002C080B"/>
    <w:rsid w:val="002C0EFC"/>
    <w:rsid w:val="002C1741"/>
    <w:rsid w:val="002C17A4"/>
    <w:rsid w:val="002C1C7F"/>
    <w:rsid w:val="002C1D11"/>
    <w:rsid w:val="002C1FCF"/>
    <w:rsid w:val="002C1FD1"/>
    <w:rsid w:val="002C2560"/>
    <w:rsid w:val="002C25C2"/>
    <w:rsid w:val="002C2B50"/>
    <w:rsid w:val="002C2B63"/>
    <w:rsid w:val="002C2CA7"/>
    <w:rsid w:val="002C3164"/>
    <w:rsid w:val="002C3185"/>
    <w:rsid w:val="002C35FF"/>
    <w:rsid w:val="002C3E45"/>
    <w:rsid w:val="002C448B"/>
    <w:rsid w:val="002C48D6"/>
    <w:rsid w:val="002C4CF3"/>
    <w:rsid w:val="002C5238"/>
    <w:rsid w:val="002C53B9"/>
    <w:rsid w:val="002C57A5"/>
    <w:rsid w:val="002C5826"/>
    <w:rsid w:val="002C5852"/>
    <w:rsid w:val="002C5A91"/>
    <w:rsid w:val="002C5C9D"/>
    <w:rsid w:val="002C6B2C"/>
    <w:rsid w:val="002C7D1D"/>
    <w:rsid w:val="002D0362"/>
    <w:rsid w:val="002D0491"/>
    <w:rsid w:val="002D099B"/>
    <w:rsid w:val="002D0A72"/>
    <w:rsid w:val="002D0DAD"/>
    <w:rsid w:val="002D2032"/>
    <w:rsid w:val="002D226A"/>
    <w:rsid w:val="002D27E3"/>
    <w:rsid w:val="002D2A12"/>
    <w:rsid w:val="002D4B67"/>
    <w:rsid w:val="002D4E80"/>
    <w:rsid w:val="002D50D2"/>
    <w:rsid w:val="002D537A"/>
    <w:rsid w:val="002D56E2"/>
    <w:rsid w:val="002D59BB"/>
    <w:rsid w:val="002D5F9D"/>
    <w:rsid w:val="002D626A"/>
    <w:rsid w:val="002D67BB"/>
    <w:rsid w:val="002D739B"/>
    <w:rsid w:val="002D752F"/>
    <w:rsid w:val="002D7625"/>
    <w:rsid w:val="002D7E50"/>
    <w:rsid w:val="002E032A"/>
    <w:rsid w:val="002E03D0"/>
    <w:rsid w:val="002E097C"/>
    <w:rsid w:val="002E0AD1"/>
    <w:rsid w:val="002E0C0D"/>
    <w:rsid w:val="002E0D9D"/>
    <w:rsid w:val="002E2006"/>
    <w:rsid w:val="002E28E3"/>
    <w:rsid w:val="002E2AF3"/>
    <w:rsid w:val="002E2C66"/>
    <w:rsid w:val="002E32F9"/>
    <w:rsid w:val="002E3421"/>
    <w:rsid w:val="002E3791"/>
    <w:rsid w:val="002E4150"/>
    <w:rsid w:val="002E47B3"/>
    <w:rsid w:val="002E4B13"/>
    <w:rsid w:val="002E5050"/>
    <w:rsid w:val="002E5156"/>
    <w:rsid w:val="002E5186"/>
    <w:rsid w:val="002E5727"/>
    <w:rsid w:val="002E61C5"/>
    <w:rsid w:val="002E6372"/>
    <w:rsid w:val="002E716B"/>
    <w:rsid w:val="002E7264"/>
    <w:rsid w:val="002F1284"/>
    <w:rsid w:val="002F128C"/>
    <w:rsid w:val="002F159C"/>
    <w:rsid w:val="002F24BC"/>
    <w:rsid w:val="002F2706"/>
    <w:rsid w:val="002F32A7"/>
    <w:rsid w:val="002F3C7D"/>
    <w:rsid w:val="002F4047"/>
    <w:rsid w:val="002F460D"/>
    <w:rsid w:val="002F464E"/>
    <w:rsid w:val="002F65D1"/>
    <w:rsid w:val="002F6A73"/>
    <w:rsid w:val="002F6CC3"/>
    <w:rsid w:val="002F7205"/>
    <w:rsid w:val="002F7A77"/>
    <w:rsid w:val="00300067"/>
    <w:rsid w:val="00300CFB"/>
    <w:rsid w:val="00300E81"/>
    <w:rsid w:val="00301510"/>
    <w:rsid w:val="00301779"/>
    <w:rsid w:val="003017B4"/>
    <w:rsid w:val="00301A48"/>
    <w:rsid w:val="00302880"/>
    <w:rsid w:val="00303D0F"/>
    <w:rsid w:val="00303D39"/>
    <w:rsid w:val="00303E27"/>
    <w:rsid w:val="003040C2"/>
    <w:rsid w:val="00304A10"/>
    <w:rsid w:val="00304E89"/>
    <w:rsid w:val="00305179"/>
    <w:rsid w:val="0030573B"/>
    <w:rsid w:val="0030609E"/>
    <w:rsid w:val="003065CE"/>
    <w:rsid w:val="003065D2"/>
    <w:rsid w:val="00306857"/>
    <w:rsid w:val="00306CB6"/>
    <w:rsid w:val="00306D03"/>
    <w:rsid w:val="00306DB1"/>
    <w:rsid w:val="0030A9EB"/>
    <w:rsid w:val="00310059"/>
    <w:rsid w:val="003102C5"/>
    <w:rsid w:val="0031053E"/>
    <w:rsid w:val="00310755"/>
    <w:rsid w:val="00310C84"/>
    <w:rsid w:val="0031108B"/>
    <w:rsid w:val="003113C7"/>
    <w:rsid w:val="0031168C"/>
    <w:rsid w:val="00311C55"/>
    <w:rsid w:val="00311EF5"/>
    <w:rsid w:val="00312559"/>
    <w:rsid w:val="0031411C"/>
    <w:rsid w:val="0031438C"/>
    <w:rsid w:val="0031462F"/>
    <w:rsid w:val="00314E4D"/>
    <w:rsid w:val="0031593B"/>
    <w:rsid w:val="00315B89"/>
    <w:rsid w:val="003161CD"/>
    <w:rsid w:val="003169E7"/>
    <w:rsid w:val="00316B99"/>
    <w:rsid w:val="00316E88"/>
    <w:rsid w:val="003171E7"/>
    <w:rsid w:val="00317FA9"/>
    <w:rsid w:val="003204B2"/>
    <w:rsid w:val="003208A7"/>
    <w:rsid w:val="0032097E"/>
    <w:rsid w:val="00321155"/>
    <w:rsid w:val="0032137C"/>
    <w:rsid w:val="00321692"/>
    <w:rsid w:val="00321ADD"/>
    <w:rsid w:val="003223EB"/>
    <w:rsid w:val="0032278A"/>
    <w:rsid w:val="00322CD9"/>
    <w:rsid w:val="003230FB"/>
    <w:rsid w:val="003233EE"/>
    <w:rsid w:val="00324667"/>
    <w:rsid w:val="0032483D"/>
    <w:rsid w:val="00324CB4"/>
    <w:rsid w:val="003255AE"/>
    <w:rsid w:val="00325B39"/>
    <w:rsid w:val="00325D11"/>
    <w:rsid w:val="00325E92"/>
    <w:rsid w:val="0032634E"/>
    <w:rsid w:val="00326807"/>
    <w:rsid w:val="00326B48"/>
    <w:rsid w:val="00326E97"/>
    <w:rsid w:val="00326F8C"/>
    <w:rsid w:val="00326F99"/>
    <w:rsid w:val="003270DC"/>
    <w:rsid w:val="00327815"/>
    <w:rsid w:val="00327F21"/>
    <w:rsid w:val="003308C0"/>
    <w:rsid w:val="00331307"/>
    <w:rsid w:val="00331754"/>
    <w:rsid w:val="0033228A"/>
    <w:rsid w:val="003329ED"/>
    <w:rsid w:val="00333396"/>
    <w:rsid w:val="00333911"/>
    <w:rsid w:val="00334056"/>
    <w:rsid w:val="00334470"/>
    <w:rsid w:val="00334A23"/>
    <w:rsid w:val="00334ADC"/>
    <w:rsid w:val="00334C11"/>
    <w:rsid w:val="00334C50"/>
    <w:rsid w:val="003352EF"/>
    <w:rsid w:val="00335636"/>
    <w:rsid w:val="0033564A"/>
    <w:rsid w:val="003360F9"/>
    <w:rsid w:val="0033618E"/>
    <w:rsid w:val="00336A8E"/>
    <w:rsid w:val="00336D97"/>
    <w:rsid w:val="00337113"/>
    <w:rsid w:val="00337D40"/>
    <w:rsid w:val="00340303"/>
    <w:rsid w:val="00340352"/>
    <w:rsid w:val="00340C5E"/>
    <w:rsid w:val="003412CC"/>
    <w:rsid w:val="00341371"/>
    <w:rsid w:val="003421AA"/>
    <w:rsid w:val="00342219"/>
    <w:rsid w:val="00342472"/>
    <w:rsid w:val="00342669"/>
    <w:rsid w:val="0034357E"/>
    <w:rsid w:val="00344C3B"/>
    <w:rsid w:val="00346DE7"/>
    <w:rsid w:val="003501CC"/>
    <w:rsid w:val="003502EB"/>
    <w:rsid w:val="00350F01"/>
    <w:rsid w:val="00351D78"/>
    <w:rsid w:val="00352149"/>
    <w:rsid w:val="0035222F"/>
    <w:rsid w:val="00352410"/>
    <w:rsid w:val="00352538"/>
    <w:rsid w:val="003525E9"/>
    <w:rsid w:val="00352B93"/>
    <w:rsid w:val="0035345D"/>
    <w:rsid w:val="0035365A"/>
    <w:rsid w:val="003537EF"/>
    <w:rsid w:val="0035414D"/>
    <w:rsid w:val="003547E4"/>
    <w:rsid w:val="00354993"/>
    <w:rsid w:val="003549CB"/>
    <w:rsid w:val="00354BAA"/>
    <w:rsid w:val="00354DDA"/>
    <w:rsid w:val="0035573B"/>
    <w:rsid w:val="00355822"/>
    <w:rsid w:val="00355F0C"/>
    <w:rsid w:val="00356F08"/>
    <w:rsid w:val="003572D0"/>
    <w:rsid w:val="00357392"/>
    <w:rsid w:val="00357515"/>
    <w:rsid w:val="00357A43"/>
    <w:rsid w:val="003603A5"/>
    <w:rsid w:val="00360ED9"/>
    <w:rsid w:val="00362716"/>
    <w:rsid w:val="00362FE9"/>
    <w:rsid w:val="0036316B"/>
    <w:rsid w:val="003635AA"/>
    <w:rsid w:val="003636A9"/>
    <w:rsid w:val="00363751"/>
    <w:rsid w:val="00363880"/>
    <w:rsid w:val="00363CF5"/>
    <w:rsid w:val="00363E3E"/>
    <w:rsid w:val="00364318"/>
    <w:rsid w:val="00364D84"/>
    <w:rsid w:val="0036562A"/>
    <w:rsid w:val="00365980"/>
    <w:rsid w:val="00365D33"/>
    <w:rsid w:val="003669EF"/>
    <w:rsid w:val="00366A0C"/>
    <w:rsid w:val="00366B49"/>
    <w:rsid w:val="00366DF8"/>
    <w:rsid w:val="00366DF9"/>
    <w:rsid w:val="00366F6E"/>
    <w:rsid w:val="00366F73"/>
    <w:rsid w:val="00367111"/>
    <w:rsid w:val="00367AC9"/>
    <w:rsid w:val="003711F1"/>
    <w:rsid w:val="0037167C"/>
    <w:rsid w:val="003717C9"/>
    <w:rsid w:val="00372071"/>
    <w:rsid w:val="0037210D"/>
    <w:rsid w:val="00372AC4"/>
    <w:rsid w:val="00372FF0"/>
    <w:rsid w:val="00373334"/>
    <w:rsid w:val="003733FA"/>
    <w:rsid w:val="0037341B"/>
    <w:rsid w:val="00373779"/>
    <w:rsid w:val="00374156"/>
    <w:rsid w:val="0037445F"/>
    <w:rsid w:val="00374B28"/>
    <w:rsid w:val="00374E4F"/>
    <w:rsid w:val="00375C8F"/>
    <w:rsid w:val="00375DBD"/>
    <w:rsid w:val="0037642D"/>
    <w:rsid w:val="00376C11"/>
    <w:rsid w:val="00376C48"/>
    <w:rsid w:val="00376F94"/>
    <w:rsid w:val="00377889"/>
    <w:rsid w:val="00377B48"/>
    <w:rsid w:val="0038009C"/>
    <w:rsid w:val="00380E39"/>
    <w:rsid w:val="0038133D"/>
    <w:rsid w:val="00381FF1"/>
    <w:rsid w:val="00383007"/>
    <w:rsid w:val="0038382E"/>
    <w:rsid w:val="00385253"/>
    <w:rsid w:val="0038550A"/>
    <w:rsid w:val="0038567A"/>
    <w:rsid w:val="00385A28"/>
    <w:rsid w:val="00386492"/>
    <w:rsid w:val="003867BC"/>
    <w:rsid w:val="00386DE9"/>
    <w:rsid w:val="00387230"/>
    <w:rsid w:val="003876E3"/>
    <w:rsid w:val="00387DDB"/>
    <w:rsid w:val="003912C9"/>
    <w:rsid w:val="00391A54"/>
    <w:rsid w:val="00391B0F"/>
    <w:rsid w:val="003920B7"/>
    <w:rsid w:val="00392150"/>
    <w:rsid w:val="0039262C"/>
    <w:rsid w:val="00392AC0"/>
    <w:rsid w:val="00392D79"/>
    <w:rsid w:val="0039331A"/>
    <w:rsid w:val="00393A70"/>
    <w:rsid w:val="00393D84"/>
    <w:rsid w:val="00394B1A"/>
    <w:rsid w:val="00394C60"/>
    <w:rsid w:val="00394DA0"/>
    <w:rsid w:val="00394DE9"/>
    <w:rsid w:val="00394FA3"/>
    <w:rsid w:val="003964CA"/>
    <w:rsid w:val="00396BD4"/>
    <w:rsid w:val="00397274"/>
    <w:rsid w:val="003972CD"/>
    <w:rsid w:val="003975DF"/>
    <w:rsid w:val="003A045E"/>
    <w:rsid w:val="003A09CB"/>
    <w:rsid w:val="003A0B99"/>
    <w:rsid w:val="003A1219"/>
    <w:rsid w:val="003A17D7"/>
    <w:rsid w:val="003A1BEA"/>
    <w:rsid w:val="003A237F"/>
    <w:rsid w:val="003A2837"/>
    <w:rsid w:val="003A2ACA"/>
    <w:rsid w:val="003A2F96"/>
    <w:rsid w:val="003A3571"/>
    <w:rsid w:val="003A3816"/>
    <w:rsid w:val="003A39A9"/>
    <w:rsid w:val="003A3C2A"/>
    <w:rsid w:val="003A4490"/>
    <w:rsid w:val="003A48DD"/>
    <w:rsid w:val="003A4A05"/>
    <w:rsid w:val="003A4DD9"/>
    <w:rsid w:val="003A535D"/>
    <w:rsid w:val="003A59A0"/>
    <w:rsid w:val="003A5ADB"/>
    <w:rsid w:val="003A5DB8"/>
    <w:rsid w:val="003A644F"/>
    <w:rsid w:val="003A6B99"/>
    <w:rsid w:val="003A6CAC"/>
    <w:rsid w:val="003A748F"/>
    <w:rsid w:val="003B03FB"/>
    <w:rsid w:val="003B045A"/>
    <w:rsid w:val="003B05F0"/>
    <w:rsid w:val="003B0671"/>
    <w:rsid w:val="003B0AE8"/>
    <w:rsid w:val="003B0B6B"/>
    <w:rsid w:val="003B1425"/>
    <w:rsid w:val="003B1CAB"/>
    <w:rsid w:val="003B2652"/>
    <w:rsid w:val="003B2F83"/>
    <w:rsid w:val="003B3979"/>
    <w:rsid w:val="003B3CA9"/>
    <w:rsid w:val="003B3E6F"/>
    <w:rsid w:val="003B458C"/>
    <w:rsid w:val="003B4851"/>
    <w:rsid w:val="003B4911"/>
    <w:rsid w:val="003B50C9"/>
    <w:rsid w:val="003B5432"/>
    <w:rsid w:val="003B553F"/>
    <w:rsid w:val="003B5CCA"/>
    <w:rsid w:val="003B5E65"/>
    <w:rsid w:val="003B5ED6"/>
    <w:rsid w:val="003B6998"/>
    <w:rsid w:val="003B6EDC"/>
    <w:rsid w:val="003B72D3"/>
    <w:rsid w:val="003B73B3"/>
    <w:rsid w:val="003C056D"/>
    <w:rsid w:val="003C1575"/>
    <w:rsid w:val="003C17CD"/>
    <w:rsid w:val="003C1840"/>
    <w:rsid w:val="003C1941"/>
    <w:rsid w:val="003C1A89"/>
    <w:rsid w:val="003C2B75"/>
    <w:rsid w:val="003C2E6A"/>
    <w:rsid w:val="003C35F3"/>
    <w:rsid w:val="003C3793"/>
    <w:rsid w:val="003C3AD8"/>
    <w:rsid w:val="003C3B26"/>
    <w:rsid w:val="003C47CD"/>
    <w:rsid w:val="003C48BC"/>
    <w:rsid w:val="003C4AA9"/>
    <w:rsid w:val="003C4C05"/>
    <w:rsid w:val="003C4C9B"/>
    <w:rsid w:val="003C512A"/>
    <w:rsid w:val="003C6336"/>
    <w:rsid w:val="003C683B"/>
    <w:rsid w:val="003C6BC0"/>
    <w:rsid w:val="003C72F6"/>
    <w:rsid w:val="003C761D"/>
    <w:rsid w:val="003C7A5B"/>
    <w:rsid w:val="003D0090"/>
    <w:rsid w:val="003D1783"/>
    <w:rsid w:val="003D1CE8"/>
    <w:rsid w:val="003D30CE"/>
    <w:rsid w:val="003D310D"/>
    <w:rsid w:val="003D3674"/>
    <w:rsid w:val="003D44A1"/>
    <w:rsid w:val="003D4791"/>
    <w:rsid w:val="003D4802"/>
    <w:rsid w:val="003D487F"/>
    <w:rsid w:val="003D4D04"/>
    <w:rsid w:val="003D5675"/>
    <w:rsid w:val="003D5D9F"/>
    <w:rsid w:val="003D765E"/>
    <w:rsid w:val="003D79AB"/>
    <w:rsid w:val="003E0500"/>
    <w:rsid w:val="003E05A9"/>
    <w:rsid w:val="003E0C73"/>
    <w:rsid w:val="003E122B"/>
    <w:rsid w:val="003E149C"/>
    <w:rsid w:val="003E18F7"/>
    <w:rsid w:val="003E1929"/>
    <w:rsid w:val="003E1B2D"/>
    <w:rsid w:val="003E1CC2"/>
    <w:rsid w:val="003E23A8"/>
    <w:rsid w:val="003E2D8F"/>
    <w:rsid w:val="003E33B2"/>
    <w:rsid w:val="003E4020"/>
    <w:rsid w:val="003E4F81"/>
    <w:rsid w:val="003E5621"/>
    <w:rsid w:val="003E58FB"/>
    <w:rsid w:val="003E5C0C"/>
    <w:rsid w:val="003E6DFF"/>
    <w:rsid w:val="003E79E5"/>
    <w:rsid w:val="003F010A"/>
    <w:rsid w:val="003F08DB"/>
    <w:rsid w:val="003F095B"/>
    <w:rsid w:val="003F0CD9"/>
    <w:rsid w:val="003F0D32"/>
    <w:rsid w:val="003F0E8E"/>
    <w:rsid w:val="003F11BE"/>
    <w:rsid w:val="003F1AEF"/>
    <w:rsid w:val="003F1E6A"/>
    <w:rsid w:val="003F2662"/>
    <w:rsid w:val="003F2668"/>
    <w:rsid w:val="003F2C97"/>
    <w:rsid w:val="003F325B"/>
    <w:rsid w:val="003F3436"/>
    <w:rsid w:val="003F3958"/>
    <w:rsid w:val="003F3C4E"/>
    <w:rsid w:val="003F4642"/>
    <w:rsid w:val="003F4AF4"/>
    <w:rsid w:val="003F4BB1"/>
    <w:rsid w:val="003F4E6A"/>
    <w:rsid w:val="003F5481"/>
    <w:rsid w:val="003F5857"/>
    <w:rsid w:val="003F60DD"/>
    <w:rsid w:val="003F673B"/>
    <w:rsid w:val="003F67A1"/>
    <w:rsid w:val="003F782C"/>
    <w:rsid w:val="00400C33"/>
    <w:rsid w:val="00402119"/>
    <w:rsid w:val="0040269C"/>
    <w:rsid w:val="004027CE"/>
    <w:rsid w:val="00402EDC"/>
    <w:rsid w:val="00402F3E"/>
    <w:rsid w:val="004038BA"/>
    <w:rsid w:val="004039C1"/>
    <w:rsid w:val="00403ACC"/>
    <w:rsid w:val="004046A0"/>
    <w:rsid w:val="00404815"/>
    <w:rsid w:val="00405130"/>
    <w:rsid w:val="00405257"/>
    <w:rsid w:val="004054BB"/>
    <w:rsid w:val="00405730"/>
    <w:rsid w:val="00405BAB"/>
    <w:rsid w:val="00405E8C"/>
    <w:rsid w:val="004063CC"/>
    <w:rsid w:val="004068A6"/>
    <w:rsid w:val="00407657"/>
    <w:rsid w:val="00410113"/>
    <w:rsid w:val="004106D1"/>
    <w:rsid w:val="004107D0"/>
    <w:rsid w:val="00410956"/>
    <w:rsid w:val="00410B0C"/>
    <w:rsid w:val="00410CB9"/>
    <w:rsid w:val="00410D9A"/>
    <w:rsid w:val="00411236"/>
    <w:rsid w:val="0041136B"/>
    <w:rsid w:val="00411F03"/>
    <w:rsid w:val="0041254C"/>
    <w:rsid w:val="00412B97"/>
    <w:rsid w:val="00412C9D"/>
    <w:rsid w:val="00412E40"/>
    <w:rsid w:val="0041305C"/>
    <w:rsid w:val="00413123"/>
    <w:rsid w:val="0041412D"/>
    <w:rsid w:val="00414185"/>
    <w:rsid w:val="00414230"/>
    <w:rsid w:val="00415071"/>
    <w:rsid w:val="00415076"/>
    <w:rsid w:val="00415DD8"/>
    <w:rsid w:val="004163D9"/>
    <w:rsid w:val="00416C66"/>
    <w:rsid w:val="00416D07"/>
    <w:rsid w:val="00417382"/>
    <w:rsid w:val="004175BD"/>
    <w:rsid w:val="004176F6"/>
    <w:rsid w:val="00417791"/>
    <w:rsid w:val="00417D56"/>
    <w:rsid w:val="0042025B"/>
    <w:rsid w:val="0042025F"/>
    <w:rsid w:val="004207E7"/>
    <w:rsid w:val="00420946"/>
    <w:rsid w:val="00420C5D"/>
    <w:rsid w:val="00420C7D"/>
    <w:rsid w:val="00421550"/>
    <w:rsid w:val="00421768"/>
    <w:rsid w:val="004217EC"/>
    <w:rsid w:val="004218EA"/>
    <w:rsid w:val="004219CB"/>
    <w:rsid w:val="004222D0"/>
    <w:rsid w:val="004222DE"/>
    <w:rsid w:val="004232F7"/>
    <w:rsid w:val="0042342C"/>
    <w:rsid w:val="0042351A"/>
    <w:rsid w:val="00423928"/>
    <w:rsid w:val="00423C08"/>
    <w:rsid w:val="00423C43"/>
    <w:rsid w:val="004246FA"/>
    <w:rsid w:val="00424E18"/>
    <w:rsid w:val="00424EDA"/>
    <w:rsid w:val="0042506F"/>
    <w:rsid w:val="00426401"/>
    <w:rsid w:val="004268BF"/>
    <w:rsid w:val="00426A4E"/>
    <w:rsid w:val="00427E61"/>
    <w:rsid w:val="0043078E"/>
    <w:rsid w:val="004309DE"/>
    <w:rsid w:val="00430D35"/>
    <w:rsid w:val="00431025"/>
    <w:rsid w:val="00431390"/>
    <w:rsid w:val="0043183D"/>
    <w:rsid w:val="00431F53"/>
    <w:rsid w:val="004326FC"/>
    <w:rsid w:val="00432C24"/>
    <w:rsid w:val="00432E8D"/>
    <w:rsid w:val="004342A8"/>
    <w:rsid w:val="00434608"/>
    <w:rsid w:val="00434732"/>
    <w:rsid w:val="00435104"/>
    <w:rsid w:val="00435F02"/>
    <w:rsid w:val="004360B5"/>
    <w:rsid w:val="004360D7"/>
    <w:rsid w:val="00436497"/>
    <w:rsid w:val="00436BEC"/>
    <w:rsid w:val="004375FB"/>
    <w:rsid w:val="00437834"/>
    <w:rsid w:val="004404E5"/>
    <w:rsid w:val="00440950"/>
    <w:rsid w:val="0044096A"/>
    <w:rsid w:val="00440CC9"/>
    <w:rsid w:val="00441170"/>
    <w:rsid w:val="00441645"/>
    <w:rsid w:val="00442022"/>
    <w:rsid w:val="004426D0"/>
    <w:rsid w:val="0044287E"/>
    <w:rsid w:val="00442CAA"/>
    <w:rsid w:val="00443254"/>
    <w:rsid w:val="00443CE9"/>
    <w:rsid w:val="00443D0D"/>
    <w:rsid w:val="00443E48"/>
    <w:rsid w:val="0044409B"/>
    <w:rsid w:val="00444439"/>
    <w:rsid w:val="00444664"/>
    <w:rsid w:val="004448B6"/>
    <w:rsid w:val="00444C35"/>
    <w:rsid w:val="004457C4"/>
    <w:rsid w:val="00445C08"/>
    <w:rsid w:val="00446138"/>
    <w:rsid w:val="00446399"/>
    <w:rsid w:val="004467B8"/>
    <w:rsid w:val="0044691B"/>
    <w:rsid w:val="0044731E"/>
    <w:rsid w:val="00447B53"/>
    <w:rsid w:val="00447E1F"/>
    <w:rsid w:val="00447ECE"/>
    <w:rsid w:val="00447F60"/>
    <w:rsid w:val="00447FDF"/>
    <w:rsid w:val="00450638"/>
    <w:rsid w:val="0045066B"/>
    <w:rsid w:val="00450D17"/>
    <w:rsid w:val="004515B5"/>
    <w:rsid w:val="004520B5"/>
    <w:rsid w:val="00452442"/>
    <w:rsid w:val="00452471"/>
    <w:rsid w:val="00452675"/>
    <w:rsid w:val="00452BB8"/>
    <w:rsid w:val="00452EB3"/>
    <w:rsid w:val="004537A3"/>
    <w:rsid w:val="00453AC1"/>
    <w:rsid w:val="004540F2"/>
    <w:rsid w:val="00454B0B"/>
    <w:rsid w:val="00454DEA"/>
    <w:rsid w:val="00455128"/>
    <w:rsid w:val="00455216"/>
    <w:rsid w:val="00455A8D"/>
    <w:rsid w:val="00455C30"/>
    <w:rsid w:val="00455C3E"/>
    <w:rsid w:val="00455DA9"/>
    <w:rsid w:val="00455E68"/>
    <w:rsid w:val="00456363"/>
    <w:rsid w:val="00456ADF"/>
    <w:rsid w:val="00456C03"/>
    <w:rsid w:val="00456CCA"/>
    <w:rsid w:val="00457D1A"/>
    <w:rsid w:val="00457E75"/>
    <w:rsid w:val="00457E95"/>
    <w:rsid w:val="004600AF"/>
    <w:rsid w:val="00461135"/>
    <w:rsid w:val="00462140"/>
    <w:rsid w:val="0046214F"/>
    <w:rsid w:val="004622CB"/>
    <w:rsid w:val="0046244C"/>
    <w:rsid w:val="00462668"/>
    <w:rsid w:val="00462A06"/>
    <w:rsid w:val="00462EAA"/>
    <w:rsid w:val="0046439E"/>
    <w:rsid w:val="00464BC7"/>
    <w:rsid w:val="00464EB2"/>
    <w:rsid w:val="004656E3"/>
    <w:rsid w:val="0046572C"/>
    <w:rsid w:val="00465D43"/>
    <w:rsid w:val="00465D64"/>
    <w:rsid w:val="00465ED3"/>
    <w:rsid w:val="00466353"/>
    <w:rsid w:val="00466A11"/>
    <w:rsid w:val="00466A57"/>
    <w:rsid w:val="0046719F"/>
    <w:rsid w:val="0046771E"/>
    <w:rsid w:val="00467A71"/>
    <w:rsid w:val="00467D9B"/>
    <w:rsid w:val="004701E2"/>
    <w:rsid w:val="00470409"/>
    <w:rsid w:val="00470421"/>
    <w:rsid w:val="00471313"/>
    <w:rsid w:val="00471459"/>
    <w:rsid w:val="004716AC"/>
    <w:rsid w:val="00471737"/>
    <w:rsid w:val="0047238A"/>
    <w:rsid w:val="0047309E"/>
    <w:rsid w:val="00473318"/>
    <w:rsid w:val="00473696"/>
    <w:rsid w:val="004738FC"/>
    <w:rsid w:val="00473E47"/>
    <w:rsid w:val="004742C8"/>
    <w:rsid w:val="0047496B"/>
    <w:rsid w:val="004749CF"/>
    <w:rsid w:val="0047560F"/>
    <w:rsid w:val="0047561F"/>
    <w:rsid w:val="00475AED"/>
    <w:rsid w:val="00475B97"/>
    <w:rsid w:val="0047795D"/>
    <w:rsid w:val="004779E5"/>
    <w:rsid w:val="00477E28"/>
    <w:rsid w:val="004806D0"/>
    <w:rsid w:val="00480A99"/>
    <w:rsid w:val="00480AF9"/>
    <w:rsid w:val="00480D6E"/>
    <w:rsid w:val="00480E09"/>
    <w:rsid w:val="0048102F"/>
    <w:rsid w:val="004822FE"/>
    <w:rsid w:val="00482D0B"/>
    <w:rsid w:val="0048350F"/>
    <w:rsid w:val="00483B15"/>
    <w:rsid w:val="00483BC4"/>
    <w:rsid w:val="00484AD4"/>
    <w:rsid w:val="00484AF3"/>
    <w:rsid w:val="00484D05"/>
    <w:rsid w:val="00484FDC"/>
    <w:rsid w:val="004859DD"/>
    <w:rsid w:val="0048609E"/>
    <w:rsid w:val="0048640C"/>
    <w:rsid w:val="00486432"/>
    <w:rsid w:val="00486493"/>
    <w:rsid w:val="004867AB"/>
    <w:rsid w:val="004869C3"/>
    <w:rsid w:val="00487985"/>
    <w:rsid w:val="00491215"/>
    <w:rsid w:val="00491D94"/>
    <w:rsid w:val="0049269C"/>
    <w:rsid w:val="00492764"/>
    <w:rsid w:val="00492937"/>
    <w:rsid w:val="004929E7"/>
    <w:rsid w:val="00492AA2"/>
    <w:rsid w:val="00492B9B"/>
    <w:rsid w:val="00492DF7"/>
    <w:rsid w:val="0049305C"/>
    <w:rsid w:val="00493959"/>
    <w:rsid w:val="00493DF4"/>
    <w:rsid w:val="00493F26"/>
    <w:rsid w:val="00494249"/>
    <w:rsid w:val="004943F6"/>
    <w:rsid w:val="00494E66"/>
    <w:rsid w:val="0049621C"/>
    <w:rsid w:val="00496536"/>
    <w:rsid w:val="00496700"/>
    <w:rsid w:val="0049704F"/>
    <w:rsid w:val="004977F2"/>
    <w:rsid w:val="004979CD"/>
    <w:rsid w:val="004A002D"/>
    <w:rsid w:val="004A060F"/>
    <w:rsid w:val="004A072F"/>
    <w:rsid w:val="004A0883"/>
    <w:rsid w:val="004A0C18"/>
    <w:rsid w:val="004A1112"/>
    <w:rsid w:val="004A14C0"/>
    <w:rsid w:val="004A1C3D"/>
    <w:rsid w:val="004A2E17"/>
    <w:rsid w:val="004A3152"/>
    <w:rsid w:val="004A357E"/>
    <w:rsid w:val="004A3C32"/>
    <w:rsid w:val="004A3D9C"/>
    <w:rsid w:val="004A419E"/>
    <w:rsid w:val="004A42E3"/>
    <w:rsid w:val="004A441B"/>
    <w:rsid w:val="004A495E"/>
    <w:rsid w:val="004A4967"/>
    <w:rsid w:val="004A4C20"/>
    <w:rsid w:val="004A5237"/>
    <w:rsid w:val="004A56F4"/>
    <w:rsid w:val="004A5D1D"/>
    <w:rsid w:val="004A6E8C"/>
    <w:rsid w:val="004A755F"/>
    <w:rsid w:val="004A79B6"/>
    <w:rsid w:val="004B0216"/>
    <w:rsid w:val="004B08EE"/>
    <w:rsid w:val="004B096C"/>
    <w:rsid w:val="004B0C55"/>
    <w:rsid w:val="004B1A63"/>
    <w:rsid w:val="004B2483"/>
    <w:rsid w:val="004B2532"/>
    <w:rsid w:val="004B2A67"/>
    <w:rsid w:val="004B3292"/>
    <w:rsid w:val="004B32FE"/>
    <w:rsid w:val="004B3422"/>
    <w:rsid w:val="004B4321"/>
    <w:rsid w:val="004B43F8"/>
    <w:rsid w:val="004B4500"/>
    <w:rsid w:val="004B4C82"/>
    <w:rsid w:val="004B4DA1"/>
    <w:rsid w:val="004B5A9C"/>
    <w:rsid w:val="004B5DC4"/>
    <w:rsid w:val="004B640F"/>
    <w:rsid w:val="004B65B3"/>
    <w:rsid w:val="004B65D3"/>
    <w:rsid w:val="004B670E"/>
    <w:rsid w:val="004B6859"/>
    <w:rsid w:val="004B73B7"/>
    <w:rsid w:val="004B7640"/>
    <w:rsid w:val="004B7659"/>
    <w:rsid w:val="004B7838"/>
    <w:rsid w:val="004B7BF8"/>
    <w:rsid w:val="004C0003"/>
    <w:rsid w:val="004C0087"/>
    <w:rsid w:val="004C0F79"/>
    <w:rsid w:val="004C14BF"/>
    <w:rsid w:val="004C2170"/>
    <w:rsid w:val="004C2409"/>
    <w:rsid w:val="004C2916"/>
    <w:rsid w:val="004C3F69"/>
    <w:rsid w:val="004C403A"/>
    <w:rsid w:val="004C48C4"/>
    <w:rsid w:val="004C4EAE"/>
    <w:rsid w:val="004C4ECF"/>
    <w:rsid w:val="004C4F85"/>
    <w:rsid w:val="004C5393"/>
    <w:rsid w:val="004C60C4"/>
    <w:rsid w:val="004C61C7"/>
    <w:rsid w:val="004C61E0"/>
    <w:rsid w:val="004C674E"/>
    <w:rsid w:val="004C747D"/>
    <w:rsid w:val="004D0255"/>
    <w:rsid w:val="004D0C1C"/>
    <w:rsid w:val="004D19D1"/>
    <w:rsid w:val="004D2883"/>
    <w:rsid w:val="004D2A63"/>
    <w:rsid w:val="004D2D76"/>
    <w:rsid w:val="004D33D3"/>
    <w:rsid w:val="004D3C4D"/>
    <w:rsid w:val="004D3EC7"/>
    <w:rsid w:val="004D4035"/>
    <w:rsid w:val="004D4279"/>
    <w:rsid w:val="004D445F"/>
    <w:rsid w:val="004D451F"/>
    <w:rsid w:val="004D4F67"/>
    <w:rsid w:val="004D54D3"/>
    <w:rsid w:val="004D5576"/>
    <w:rsid w:val="004D5EC4"/>
    <w:rsid w:val="004D6548"/>
    <w:rsid w:val="004D67CE"/>
    <w:rsid w:val="004D6DBC"/>
    <w:rsid w:val="004D6EDC"/>
    <w:rsid w:val="004D7574"/>
    <w:rsid w:val="004D7AE3"/>
    <w:rsid w:val="004E090C"/>
    <w:rsid w:val="004E0AD9"/>
    <w:rsid w:val="004E0DF2"/>
    <w:rsid w:val="004E12E7"/>
    <w:rsid w:val="004E1A96"/>
    <w:rsid w:val="004E1B1D"/>
    <w:rsid w:val="004E1FAB"/>
    <w:rsid w:val="004E229D"/>
    <w:rsid w:val="004E3730"/>
    <w:rsid w:val="004E38B6"/>
    <w:rsid w:val="004E3F12"/>
    <w:rsid w:val="004E4683"/>
    <w:rsid w:val="004E48BF"/>
    <w:rsid w:val="004E4993"/>
    <w:rsid w:val="004E50A9"/>
    <w:rsid w:val="004E5EB4"/>
    <w:rsid w:val="004E5FDC"/>
    <w:rsid w:val="004E68BD"/>
    <w:rsid w:val="004E6A0D"/>
    <w:rsid w:val="004E7780"/>
    <w:rsid w:val="004E7BAD"/>
    <w:rsid w:val="004E9263"/>
    <w:rsid w:val="004F0AD5"/>
    <w:rsid w:val="004F0E57"/>
    <w:rsid w:val="004F1503"/>
    <w:rsid w:val="004F1718"/>
    <w:rsid w:val="004F17A6"/>
    <w:rsid w:val="004F212E"/>
    <w:rsid w:val="004F2148"/>
    <w:rsid w:val="004F2658"/>
    <w:rsid w:val="004F2AE3"/>
    <w:rsid w:val="004F387D"/>
    <w:rsid w:val="004F397F"/>
    <w:rsid w:val="004F3B96"/>
    <w:rsid w:val="004F3CFE"/>
    <w:rsid w:val="004F3F86"/>
    <w:rsid w:val="004F47C8"/>
    <w:rsid w:val="004F5744"/>
    <w:rsid w:val="004F581D"/>
    <w:rsid w:val="004F64DD"/>
    <w:rsid w:val="004F6775"/>
    <w:rsid w:val="004F70B2"/>
    <w:rsid w:val="004F79A2"/>
    <w:rsid w:val="004F7A96"/>
    <w:rsid w:val="004F7B62"/>
    <w:rsid w:val="004F7EBB"/>
    <w:rsid w:val="004F7FB6"/>
    <w:rsid w:val="0050058E"/>
    <w:rsid w:val="00500864"/>
    <w:rsid w:val="005009CA"/>
    <w:rsid w:val="00500EC2"/>
    <w:rsid w:val="005019D8"/>
    <w:rsid w:val="00501AC5"/>
    <w:rsid w:val="00502164"/>
    <w:rsid w:val="005023A1"/>
    <w:rsid w:val="005023FE"/>
    <w:rsid w:val="0050302A"/>
    <w:rsid w:val="00503DB8"/>
    <w:rsid w:val="00503E04"/>
    <w:rsid w:val="00504054"/>
    <w:rsid w:val="00504104"/>
    <w:rsid w:val="00504C1E"/>
    <w:rsid w:val="00504CC0"/>
    <w:rsid w:val="00505333"/>
    <w:rsid w:val="0050539B"/>
    <w:rsid w:val="005055F0"/>
    <w:rsid w:val="0050608D"/>
    <w:rsid w:val="00506544"/>
    <w:rsid w:val="005069CA"/>
    <w:rsid w:val="00506D78"/>
    <w:rsid w:val="00507039"/>
    <w:rsid w:val="005079EB"/>
    <w:rsid w:val="00507F5F"/>
    <w:rsid w:val="00510174"/>
    <w:rsid w:val="0051040C"/>
    <w:rsid w:val="005104C4"/>
    <w:rsid w:val="005105EF"/>
    <w:rsid w:val="00510856"/>
    <w:rsid w:val="00510AED"/>
    <w:rsid w:val="005115A3"/>
    <w:rsid w:val="0051162C"/>
    <w:rsid w:val="00511E62"/>
    <w:rsid w:val="005121C1"/>
    <w:rsid w:val="00512857"/>
    <w:rsid w:val="00512CA5"/>
    <w:rsid w:val="00512FB2"/>
    <w:rsid w:val="00513510"/>
    <w:rsid w:val="00513ED1"/>
    <w:rsid w:val="00514058"/>
    <w:rsid w:val="0051412A"/>
    <w:rsid w:val="0051413C"/>
    <w:rsid w:val="00514237"/>
    <w:rsid w:val="00514454"/>
    <w:rsid w:val="005148A9"/>
    <w:rsid w:val="00514F91"/>
    <w:rsid w:val="0051550B"/>
    <w:rsid w:val="0051559D"/>
    <w:rsid w:val="00515BB8"/>
    <w:rsid w:val="00516B7D"/>
    <w:rsid w:val="00516EC8"/>
    <w:rsid w:val="0051708F"/>
    <w:rsid w:val="00517D3D"/>
    <w:rsid w:val="0052011F"/>
    <w:rsid w:val="00520B37"/>
    <w:rsid w:val="00521016"/>
    <w:rsid w:val="005214F9"/>
    <w:rsid w:val="00521584"/>
    <w:rsid w:val="00521719"/>
    <w:rsid w:val="00521A5B"/>
    <w:rsid w:val="00522222"/>
    <w:rsid w:val="0052235B"/>
    <w:rsid w:val="00523692"/>
    <w:rsid w:val="0052373A"/>
    <w:rsid w:val="00523D52"/>
    <w:rsid w:val="005248B8"/>
    <w:rsid w:val="00524985"/>
    <w:rsid w:val="00524CCF"/>
    <w:rsid w:val="00525228"/>
    <w:rsid w:val="00525AB1"/>
    <w:rsid w:val="00525C56"/>
    <w:rsid w:val="00526121"/>
    <w:rsid w:val="00526E86"/>
    <w:rsid w:val="0052723D"/>
    <w:rsid w:val="005275CF"/>
    <w:rsid w:val="00527758"/>
    <w:rsid w:val="00527C0D"/>
    <w:rsid w:val="00527F00"/>
    <w:rsid w:val="00530715"/>
    <w:rsid w:val="00530D57"/>
    <w:rsid w:val="005310A2"/>
    <w:rsid w:val="00531124"/>
    <w:rsid w:val="005311CA"/>
    <w:rsid w:val="0053160B"/>
    <w:rsid w:val="0053220C"/>
    <w:rsid w:val="00532A44"/>
    <w:rsid w:val="00532C4F"/>
    <w:rsid w:val="00532DFA"/>
    <w:rsid w:val="00532ECC"/>
    <w:rsid w:val="00533BB3"/>
    <w:rsid w:val="00534C49"/>
    <w:rsid w:val="00534FB5"/>
    <w:rsid w:val="00535041"/>
    <w:rsid w:val="00535043"/>
    <w:rsid w:val="00535054"/>
    <w:rsid w:val="005363BD"/>
    <w:rsid w:val="00537661"/>
    <w:rsid w:val="0053795D"/>
    <w:rsid w:val="00537F50"/>
    <w:rsid w:val="00541047"/>
    <w:rsid w:val="005412B2"/>
    <w:rsid w:val="00541B0E"/>
    <w:rsid w:val="00541B7A"/>
    <w:rsid w:val="0054272D"/>
    <w:rsid w:val="00542C7D"/>
    <w:rsid w:val="005431EC"/>
    <w:rsid w:val="005434D7"/>
    <w:rsid w:val="00544C1C"/>
    <w:rsid w:val="00544CC8"/>
    <w:rsid w:val="00544FD0"/>
    <w:rsid w:val="005452EB"/>
    <w:rsid w:val="00545B4C"/>
    <w:rsid w:val="00545BBF"/>
    <w:rsid w:val="00545F62"/>
    <w:rsid w:val="00546E7A"/>
    <w:rsid w:val="00547504"/>
    <w:rsid w:val="005479B4"/>
    <w:rsid w:val="00547EA7"/>
    <w:rsid w:val="005501A4"/>
    <w:rsid w:val="005501C0"/>
    <w:rsid w:val="0055096B"/>
    <w:rsid w:val="00550D7F"/>
    <w:rsid w:val="00552915"/>
    <w:rsid w:val="00552CD6"/>
    <w:rsid w:val="005537C5"/>
    <w:rsid w:val="0055384D"/>
    <w:rsid w:val="0055389C"/>
    <w:rsid w:val="00553B0D"/>
    <w:rsid w:val="005540C8"/>
    <w:rsid w:val="00554BD0"/>
    <w:rsid w:val="00555074"/>
    <w:rsid w:val="00556A14"/>
    <w:rsid w:val="005570A2"/>
    <w:rsid w:val="005576B4"/>
    <w:rsid w:val="00557B72"/>
    <w:rsid w:val="00557ED6"/>
    <w:rsid w:val="00560149"/>
    <w:rsid w:val="005606FC"/>
    <w:rsid w:val="00560A31"/>
    <w:rsid w:val="00560C9F"/>
    <w:rsid w:val="00561E0F"/>
    <w:rsid w:val="005622AA"/>
    <w:rsid w:val="0056234D"/>
    <w:rsid w:val="0056285C"/>
    <w:rsid w:val="00562BF8"/>
    <w:rsid w:val="00563B35"/>
    <w:rsid w:val="005640C9"/>
    <w:rsid w:val="005642A0"/>
    <w:rsid w:val="00564C1C"/>
    <w:rsid w:val="005651CC"/>
    <w:rsid w:val="005652A4"/>
    <w:rsid w:val="00565F30"/>
    <w:rsid w:val="005666D0"/>
    <w:rsid w:val="005667DD"/>
    <w:rsid w:val="00566C54"/>
    <w:rsid w:val="0056706D"/>
    <w:rsid w:val="00567558"/>
    <w:rsid w:val="00567809"/>
    <w:rsid w:val="00567A2A"/>
    <w:rsid w:val="00567A2B"/>
    <w:rsid w:val="00570184"/>
    <w:rsid w:val="00570292"/>
    <w:rsid w:val="0057062D"/>
    <w:rsid w:val="0057081F"/>
    <w:rsid w:val="00570CFB"/>
    <w:rsid w:val="00571183"/>
    <w:rsid w:val="00571956"/>
    <w:rsid w:val="00571A75"/>
    <w:rsid w:val="00572AEB"/>
    <w:rsid w:val="00573A12"/>
    <w:rsid w:val="00573BEA"/>
    <w:rsid w:val="00573FEA"/>
    <w:rsid w:val="00574135"/>
    <w:rsid w:val="0057432E"/>
    <w:rsid w:val="005745AD"/>
    <w:rsid w:val="00574A31"/>
    <w:rsid w:val="00574AA7"/>
    <w:rsid w:val="00574ADE"/>
    <w:rsid w:val="00574FA9"/>
    <w:rsid w:val="005753CB"/>
    <w:rsid w:val="005754AE"/>
    <w:rsid w:val="00575931"/>
    <w:rsid w:val="00575AAE"/>
    <w:rsid w:val="005762B9"/>
    <w:rsid w:val="0057706C"/>
    <w:rsid w:val="0057716C"/>
    <w:rsid w:val="005771E7"/>
    <w:rsid w:val="0057756C"/>
    <w:rsid w:val="00580D86"/>
    <w:rsid w:val="005813B9"/>
    <w:rsid w:val="005817FA"/>
    <w:rsid w:val="005828E5"/>
    <w:rsid w:val="00582A7A"/>
    <w:rsid w:val="00582AF7"/>
    <w:rsid w:val="005831AA"/>
    <w:rsid w:val="00583B49"/>
    <w:rsid w:val="00583EDD"/>
    <w:rsid w:val="005840C6"/>
    <w:rsid w:val="00584343"/>
    <w:rsid w:val="00584B13"/>
    <w:rsid w:val="00584F9B"/>
    <w:rsid w:val="0058529B"/>
    <w:rsid w:val="005853BF"/>
    <w:rsid w:val="00585756"/>
    <w:rsid w:val="00585946"/>
    <w:rsid w:val="00586549"/>
    <w:rsid w:val="00586ED3"/>
    <w:rsid w:val="005876CC"/>
    <w:rsid w:val="00590233"/>
    <w:rsid w:val="00590551"/>
    <w:rsid w:val="00590B2A"/>
    <w:rsid w:val="00590C74"/>
    <w:rsid w:val="005912DE"/>
    <w:rsid w:val="00591E73"/>
    <w:rsid w:val="00591EDB"/>
    <w:rsid w:val="00592EC3"/>
    <w:rsid w:val="00593C33"/>
    <w:rsid w:val="00593CE0"/>
    <w:rsid w:val="00594072"/>
    <w:rsid w:val="005943DF"/>
    <w:rsid w:val="00594867"/>
    <w:rsid w:val="00594AF5"/>
    <w:rsid w:val="00594BE4"/>
    <w:rsid w:val="00595706"/>
    <w:rsid w:val="00595DBF"/>
    <w:rsid w:val="00595E62"/>
    <w:rsid w:val="00596087"/>
    <w:rsid w:val="005966EC"/>
    <w:rsid w:val="0059697C"/>
    <w:rsid w:val="00596F66"/>
    <w:rsid w:val="00597045"/>
    <w:rsid w:val="005970C8"/>
    <w:rsid w:val="00597EB7"/>
    <w:rsid w:val="005A03A0"/>
    <w:rsid w:val="005A043B"/>
    <w:rsid w:val="005A0902"/>
    <w:rsid w:val="005A0F38"/>
    <w:rsid w:val="005A18D4"/>
    <w:rsid w:val="005A1D05"/>
    <w:rsid w:val="005A29B9"/>
    <w:rsid w:val="005A3678"/>
    <w:rsid w:val="005A4936"/>
    <w:rsid w:val="005A532F"/>
    <w:rsid w:val="005A54DC"/>
    <w:rsid w:val="005A557C"/>
    <w:rsid w:val="005A55DF"/>
    <w:rsid w:val="005A5980"/>
    <w:rsid w:val="005A5EAA"/>
    <w:rsid w:val="005A6571"/>
    <w:rsid w:val="005A6A2B"/>
    <w:rsid w:val="005A7005"/>
    <w:rsid w:val="005A742F"/>
    <w:rsid w:val="005A7476"/>
    <w:rsid w:val="005B0682"/>
    <w:rsid w:val="005B072C"/>
    <w:rsid w:val="005B0B2C"/>
    <w:rsid w:val="005B1C2B"/>
    <w:rsid w:val="005B1EBE"/>
    <w:rsid w:val="005B2760"/>
    <w:rsid w:val="005B2A46"/>
    <w:rsid w:val="005B2CC4"/>
    <w:rsid w:val="005B359A"/>
    <w:rsid w:val="005B389E"/>
    <w:rsid w:val="005B3B84"/>
    <w:rsid w:val="005B4205"/>
    <w:rsid w:val="005B4DAD"/>
    <w:rsid w:val="005B5061"/>
    <w:rsid w:val="005B55F7"/>
    <w:rsid w:val="005B5C2E"/>
    <w:rsid w:val="005B6B61"/>
    <w:rsid w:val="005B6B77"/>
    <w:rsid w:val="005B6D64"/>
    <w:rsid w:val="005B74D7"/>
    <w:rsid w:val="005B773E"/>
    <w:rsid w:val="005B78ED"/>
    <w:rsid w:val="005B7ED1"/>
    <w:rsid w:val="005B7ED8"/>
    <w:rsid w:val="005C0874"/>
    <w:rsid w:val="005C1F6A"/>
    <w:rsid w:val="005C274A"/>
    <w:rsid w:val="005C2EB3"/>
    <w:rsid w:val="005C32E9"/>
    <w:rsid w:val="005C343B"/>
    <w:rsid w:val="005C3A2F"/>
    <w:rsid w:val="005C3B78"/>
    <w:rsid w:val="005C4188"/>
    <w:rsid w:val="005C420A"/>
    <w:rsid w:val="005C4246"/>
    <w:rsid w:val="005C4610"/>
    <w:rsid w:val="005C4BE3"/>
    <w:rsid w:val="005C4D01"/>
    <w:rsid w:val="005C4FC3"/>
    <w:rsid w:val="005C4FEE"/>
    <w:rsid w:val="005C531A"/>
    <w:rsid w:val="005C5596"/>
    <w:rsid w:val="005C55CB"/>
    <w:rsid w:val="005C59C7"/>
    <w:rsid w:val="005C5BCC"/>
    <w:rsid w:val="005C5E3F"/>
    <w:rsid w:val="005C608B"/>
    <w:rsid w:val="005C621D"/>
    <w:rsid w:val="005C6487"/>
    <w:rsid w:val="005C6689"/>
    <w:rsid w:val="005C695C"/>
    <w:rsid w:val="005C7225"/>
    <w:rsid w:val="005C73A6"/>
    <w:rsid w:val="005C79F5"/>
    <w:rsid w:val="005C7D6F"/>
    <w:rsid w:val="005D025F"/>
    <w:rsid w:val="005D0660"/>
    <w:rsid w:val="005D0BB5"/>
    <w:rsid w:val="005D3163"/>
    <w:rsid w:val="005D35BA"/>
    <w:rsid w:val="005D42F6"/>
    <w:rsid w:val="005D5176"/>
    <w:rsid w:val="005D571A"/>
    <w:rsid w:val="005D5930"/>
    <w:rsid w:val="005D5A56"/>
    <w:rsid w:val="005D5B0E"/>
    <w:rsid w:val="005D6076"/>
    <w:rsid w:val="005D6654"/>
    <w:rsid w:val="005D6764"/>
    <w:rsid w:val="005D67CA"/>
    <w:rsid w:val="005D6FEB"/>
    <w:rsid w:val="005D7100"/>
    <w:rsid w:val="005D763A"/>
    <w:rsid w:val="005E0149"/>
    <w:rsid w:val="005E0812"/>
    <w:rsid w:val="005E114C"/>
    <w:rsid w:val="005E18B2"/>
    <w:rsid w:val="005E1A0C"/>
    <w:rsid w:val="005E1B5C"/>
    <w:rsid w:val="005E35C1"/>
    <w:rsid w:val="005E3870"/>
    <w:rsid w:val="005E425E"/>
    <w:rsid w:val="005E42B7"/>
    <w:rsid w:val="005E54C5"/>
    <w:rsid w:val="005E5C42"/>
    <w:rsid w:val="005E62CE"/>
    <w:rsid w:val="005E6645"/>
    <w:rsid w:val="005E6870"/>
    <w:rsid w:val="005E6F1E"/>
    <w:rsid w:val="005E7BF6"/>
    <w:rsid w:val="005F0250"/>
    <w:rsid w:val="005F0C1B"/>
    <w:rsid w:val="005F0C73"/>
    <w:rsid w:val="005F0ED0"/>
    <w:rsid w:val="005F0EF6"/>
    <w:rsid w:val="005F1280"/>
    <w:rsid w:val="005F1F6D"/>
    <w:rsid w:val="005F20B0"/>
    <w:rsid w:val="005F2268"/>
    <w:rsid w:val="005F2F7B"/>
    <w:rsid w:val="005F306C"/>
    <w:rsid w:val="005F3142"/>
    <w:rsid w:val="005F33B0"/>
    <w:rsid w:val="005F353A"/>
    <w:rsid w:val="005F3CE6"/>
    <w:rsid w:val="005F4758"/>
    <w:rsid w:val="005F4AEE"/>
    <w:rsid w:val="005F4F57"/>
    <w:rsid w:val="005F7266"/>
    <w:rsid w:val="005F78A3"/>
    <w:rsid w:val="005F7F41"/>
    <w:rsid w:val="00600D10"/>
    <w:rsid w:val="00601722"/>
    <w:rsid w:val="00601DD6"/>
    <w:rsid w:val="00603A65"/>
    <w:rsid w:val="006040E0"/>
    <w:rsid w:val="006041F6"/>
    <w:rsid w:val="00604642"/>
    <w:rsid w:val="00604926"/>
    <w:rsid w:val="006053CE"/>
    <w:rsid w:val="00605520"/>
    <w:rsid w:val="00605751"/>
    <w:rsid w:val="0060611C"/>
    <w:rsid w:val="00606510"/>
    <w:rsid w:val="0060691C"/>
    <w:rsid w:val="00606E1A"/>
    <w:rsid w:val="00607B75"/>
    <w:rsid w:val="00607C46"/>
    <w:rsid w:val="006104C4"/>
    <w:rsid w:val="00610AC7"/>
    <w:rsid w:val="00610BCD"/>
    <w:rsid w:val="006116CF"/>
    <w:rsid w:val="00611891"/>
    <w:rsid w:val="006119EE"/>
    <w:rsid w:val="00611A8D"/>
    <w:rsid w:val="00611CEE"/>
    <w:rsid w:val="006126B2"/>
    <w:rsid w:val="006126C0"/>
    <w:rsid w:val="00612E5B"/>
    <w:rsid w:val="00612E65"/>
    <w:rsid w:val="006132C3"/>
    <w:rsid w:val="00614161"/>
    <w:rsid w:val="0061436C"/>
    <w:rsid w:val="006148FB"/>
    <w:rsid w:val="00614BFD"/>
    <w:rsid w:val="00615024"/>
    <w:rsid w:val="00615700"/>
    <w:rsid w:val="0061647B"/>
    <w:rsid w:val="00616CA3"/>
    <w:rsid w:val="00617040"/>
    <w:rsid w:val="00617043"/>
    <w:rsid w:val="00620884"/>
    <w:rsid w:val="006209C5"/>
    <w:rsid w:val="00620F03"/>
    <w:rsid w:val="00620FAC"/>
    <w:rsid w:val="00621268"/>
    <w:rsid w:val="006214B2"/>
    <w:rsid w:val="00622DE2"/>
    <w:rsid w:val="00623367"/>
    <w:rsid w:val="006233D3"/>
    <w:rsid w:val="0062369D"/>
    <w:rsid w:val="006239D9"/>
    <w:rsid w:val="00623EC2"/>
    <w:rsid w:val="00624C16"/>
    <w:rsid w:val="00625080"/>
    <w:rsid w:val="00625172"/>
    <w:rsid w:val="00625360"/>
    <w:rsid w:val="0062589F"/>
    <w:rsid w:val="00625BA8"/>
    <w:rsid w:val="00625DAE"/>
    <w:rsid w:val="00625F61"/>
    <w:rsid w:val="00626499"/>
    <w:rsid w:val="00626909"/>
    <w:rsid w:val="00626934"/>
    <w:rsid w:val="006270C6"/>
    <w:rsid w:val="00630637"/>
    <w:rsid w:val="006308ED"/>
    <w:rsid w:val="00631723"/>
    <w:rsid w:val="00631AE9"/>
    <w:rsid w:val="00631B50"/>
    <w:rsid w:val="006320E7"/>
    <w:rsid w:val="00632664"/>
    <w:rsid w:val="00632F8C"/>
    <w:rsid w:val="0063316B"/>
    <w:rsid w:val="006334A5"/>
    <w:rsid w:val="00633540"/>
    <w:rsid w:val="006336EF"/>
    <w:rsid w:val="006338F7"/>
    <w:rsid w:val="00633AA5"/>
    <w:rsid w:val="00633E73"/>
    <w:rsid w:val="00633F03"/>
    <w:rsid w:val="00634811"/>
    <w:rsid w:val="00634E2E"/>
    <w:rsid w:val="00635373"/>
    <w:rsid w:val="0063588C"/>
    <w:rsid w:val="0063598C"/>
    <w:rsid w:val="00636095"/>
    <w:rsid w:val="006365BF"/>
    <w:rsid w:val="00636674"/>
    <w:rsid w:val="006375E0"/>
    <w:rsid w:val="006376CB"/>
    <w:rsid w:val="006379C9"/>
    <w:rsid w:val="00640005"/>
    <w:rsid w:val="00640B79"/>
    <w:rsid w:val="00640D36"/>
    <w:rsid w:val="00640E2E"/>
    <w:rsid w:val="006415B4"/>
    <w:rsid w:val="00642378"/>
    <w:rsid w:val="0064276D"/>
    <w:rsid w:val="00642CD1"/>
    <w:rsid w:val="00642FB0"/>
    <w:rsid w:val="006439CB"/>
    <w:rsid w:val="00644080"/>
    <w:rsid w:val="006442F3"/>
    <w:rsid w:val="00644ADD"/>
    <w:rsid w:val="00644D9A"/>
    <w:rsid w:val="00645777"/>
    <w:rsid w:val="00646015"/>
    <w:rsid w:val="0064629F"/>
    <w:rsid w:val="00646B0A"/>
    <w:rsid w:val="00646D4F"/>
    <w:rsid w:val="00646D52"/>
    <w:rsid w:val="006479CB"/>
    <w:rsid w:val="00647FBA"/>
    <w:rsid w:val="0065042E"/>
    <w:rsid w:val="00650AB1"/>
    <w:rsid w:val="00650FCF"/>
    <w:rsid w:val="00651079"/>
    <w:rsid w:val="00651573"/>
    <w:rsid w:val="00651843"/>
    <w:rsid w:val="00652E7C"/>
    <w:rsid w:val="00653AEB"/>
    <w:rsid w:val="00653D67"/>
    <w:rsid w:val="00654028"/>
    <w:rsid w:val="006544FD"/>
    <w:rsid w:val="00654810"/>
    <w:rsid w:val="006563A8"/>
    <w:rsid w:val="0065685F"/>
    <w:rsid w:val="00656CDC"/>
    <w:rsid w:val="0065714C"/>
    <w:rsid w:val="00661072"/>
    <w:rsid w:val="00661C3C"/>
    <w:rsid w:val="0066268C"/>
    <w:rsid w:val="00662F12"/>
    <w:rsid w:val="00662F96"/>
    <w:rsid w:val="00663112"/>
    <w:rsid w:val="0066385E"/>
    <w:rsid w:val="006638F3"/>
    <w:rsid w:val="00663C75"/>
    <w:rsid w:val="006640A5"/>
    <w:rsid w:val="00664D00"/>
    <w:rsid w:val="00664D13"/>
    <w:rsid w:val="00664E06"/>
    <w:rsid w:val="00665870"/>
    <w:rsid w:val="00665A1F"/>
    <w:rsid w:val="00665B1F"/>
    <w:rsid w:val="00665EDF"/>
    <w:rsid w:val="00666555"/>
    <w:rsid w:val="006666B9"/>
    <w:rsid w:val="00666A8F"/>
    <w:rsid w:val="00666F3C"/>
    <w:rsid w:val="00667787"/>
    <w:rsid w:val="006677AC"/>
    <w:rsid w:val="006701A6"/>
    <w:rsid w:val="00670687"/>
    <w:rsid w:val="00670D66"/>
    <w:rsid w:val="006719D7"/>
    <w:rsid w:val="0067270E"/>
    <w:rsid w:val="006727C4"/>
    <w:rsid w:val="00672D93"/>
    <w:rsid w:val="00672E5F"/>
    <w:rsid w:val="00672E84"/>
    <w:rsid w:val="0067351D"/>
    <w:rsid w:val="0067351E"/>
    <w:rsid w:val="00673868"/>
    <w:rsid w:val="006739A7"/>
    <w:rsid w:val="00673B4E"/>
    <w:rsid w:val="00674397"/>
    <w:rsid w:val="0067467B"/>
    <w:rsid w:val="00674A3B"/>
    <w:rsid w:val="00674CD1"/>
    <w:rsid w:val="00675174"/>
    <w:rsid w:val="006755E0"/>
    <w:rsid w:val="00675D46"/>
    <w:rsid w:val="006762C0"/>
    <w:rsid w:val="00676A95"/>
    <w:rsid w:val="0067731F"/>
    <w:rsid w:val="006774E4"/>
    <w:rsid w:val="00677CB8"/>
    <w:rsid w:val="006794CC"/>
    <w:rsid w:val="006800F0"/>
    <w:rsid w:val="006809BF"/>
    <w:rsid w:val="0068116D"/>
    <w:rsid w:val="0068285E"/>
    <w:rsid w:val="00682B70"/>
    <w:rsid w:val="00682B90"/>
    <w:rsid w:val="006835C5"/>
    <w:rsid w:val="00683688"/>
    <w:rsid w:val="006836A0"/>
    <w:rsid w:val="00683B4B"/>
    <w:rsid w:val="00683B80"/>
    <w:rsid w:val="006843F5"/>
    <w:rsid w:val="0068450E"/>
    <w:rsid w:val="00684715"/>
    <w:rsid w:val="00685114"/>
    <w:rsid w:val="00685719"/>
    <w:rsid w:val="00685A59"/>
    <w:rsid w:val="00685B27"/>
    <w:rsid w:val="00685DD0"/>
    <w:rsid w:val="00686162"/>
    <w:rsid w:val="00686925"/>
    <w:rsid w:val="00686ACC"/>
    <w:rsid w:val="00686FBC"/>
    <w:rsid w:val="006871A5"/>
    <w:rsid w:val="00690361"/>
    <w:rsid w:val="00690732"/>
    <w:rsid w:val="006908BE"/>
    <w:rsid w:val="006909CF"/>
    <w:rsid w:val="00690EE4"/>
    <w:rsid w:val="00691646"/>
    <w:rsid w:val="00691ACF"/>
    <w:rsid w:val="00691B53"/>
    <w:rsid w:val="00691B97"/>
    <w:rsid w:val="00691C34"/>
    <w:rsid w:val="00691CD4"/>
    <w:rsid w:val="00692143"/>
    <w:rsid w:val="006925B9"/>
    <w:rsid w:val="00692FDD"/>
    <w:rsid w:val="00693087"/>
    <w:rsid w:val="0069319A"/>
    <w:rsid w:val="00694C84"/>
    <w:rsid w:val="0069519B"/>
    <w:rsid w:val="00695453"/>
    <w:rsid w:val="006958CA"/>
    <w:rsid w:val="00696104"/>
    <w:rsid w:val="006961C3"/>
    <w:rsid w:val="00696BC2"/>
    <w:rsid w:val="00696E5D"/>
    <w:rsid w:val="00696ED3"/>
    <w:rsid w:val="00696EF5"/>
    <w:rsid w:val="00697564"/>
    <w:rsid w:val="00697A85"/>
    <w:rsid w:val="006A02FB"/>
    <w:rsid w:val="006A1CBE"/>
    <w:rsid w:val="006A1FE5"/>
    <w:rsid w:val="006A20C3"/>
    <w:rsid w:val="006A28C5"/>
    <w:rsid w:val="006A2ACE"/>
    <w:rsid w:val="006A2B8A"/>
    <w:rsid w:val="006A2CC3"/>
    <w:rsid w:val="006A2E98"/>
    <w:rsid w:val="006A2EEE"/>
    <w:rsid w:val="006A2F88"/>
    <w:rsid w:val="006A3047"/>
    <w:rsid w:val="006A3D78"/>
    <w:rsid w:val="006A4968"/>
    <w:rsid w:val="006A50E4"/>
    <w:rsid w:val="006A522C"/>
    <w:rsid w:val="006A59BB"/>
    <w:rsid w:val="006A7380"/>
    <w:rsid w:val="006A75EF"/>
    <w:rsid w:val="006A7912"/>
    <w:rsid w:val="006A7B10"/>
    <w:rsid w:val="006B04F5"/>
    <w:rsid w:val="006B151B"/>
    <w:rsid w:val="006B1B44"/>
    <w:rsid w:val="006B1BFD"/>
    <w:rsid w:val="006B1D0A"/>
    <w:rsid w:val="006B1FCC"/>
    <w:rsid w:val="006B209F"/>
    <w:rsid w:val="006B27BB"/>
    <w:rsid w:val="006B2CB4"/>
    <w:rsid w:val="006B2F2A"/>
    <w:rsid w:val="006B32AC"/>
    <w:rsid w:val="006B3347"/>
    <w:rsid w:val="006B3420"/>
    <w:rsid w:val="006B350F"/>
    <w:rsid w:val="006B3C19"/>
    <w:rsid w:val="006B431E"/>
    <w:rsid w:val="006B4706"/>
    <w:rsid w:val="006B4711"/>
    <w:rsid w:val="006B4C7D"/>
    <w:rsid w:val="006B4EF7"/>
    <w:rsid w:val="006B5129"/>
    <w:rsid w:val="006B52D2"/>
    <w:rsid w:val="006B56E9"/>
    <w:rsid w:val="006B5E72"/>
    <w:rsid w:val="006B6203"/>
    <w:rsid w:val="006B6529"/>
    <w:rsid w:val="006B690D"/>
    <w:rsid w:val="006B6979"/>
    <w:rsid w:val="006B6A6C"/>
    <w:rsid w:val="006B6BC3"/>
    <w:rsid w:val="006B7040"/>
    <w:rsid w:val="006B75AB"/>
    <w:rsid w:val="006B78CC"/>
    <w:rsid w:val="006B7912"/>
    <w:rsid w:val="006B7E6B"/>
    <w:rsid w:val="006BAE4D"/>
    <w:rsid w:val="006C01B5"/>
    <w:rsid w:val="006C031D"/>
    <w:rsid w:val="006C05EE"/>
    <w:rsid w:val="006C06DD"/>
    <w:rsid w:val="006C0AA3"/>
    <w:rsid w:val="006C1BC2"/>
    <w:rsid w:val="006C2DD0"/>
    <w:rsid w:val="006C30AA"/>
    <w:rsid w:val="006C37EC"/>
    <w:rsid w:val="006C3E62"/>
    <w:rsid w:val="006C445B"/>
    <w:rsid w:val="006C4537"/>
    <w:rsid w:val="006C5054"/>
    <w:rsid w:val="006C5C21"/>
    <w:rsid w:val="006C6386"/>
    <w:rsid w:val="006C6E2C"/>
    <w:rsid w:val="006C7E33"/>
    <w:rsid w:val="006D065D"/>
    <w:rsid w:val="006D0710"/>
    <w:rsid w:val="006D073A"/>
    <w:rsid w:val="006D0A84"/>
    <w:rsid w:val="006D17D3"/>
    <w:rsid w:val="006D18A1"/>
    <w:rsid w:val="006D1A0A"/>
    <w:rsid w:val="006D1B62"/>
    <w:rsid w:val="006D2307"/>
    <w:rsid w:val="006D260F"/>
    <w:rsid w:val="006D2B13"/>
    <w:rsid w:val="006D3976"/>
    <w:rsid w:val="006D3AC3"/>
    <w:rsid w:val="006D3B18"/>
    <w:rsid w:val="006D4EFC"/>
    <w:rsid w:val="006D5103"/>
    <w:rsid w:val="006D537D"/>
    <w:rsid w:val="006D55EE"/>
    <w:rsid w:val="006D5953"/>
    <w:rsid w:val="006D5F87"/>
    <w:rsid w:val="006D619A"/>
    <w:rsid w:val="006D6308"/>
    <w:rsid w:val="006D63B8"/>
    <w:rsid w:val="006D641F"/>
    <w:rsid w:val="006D6564"/>
    <w:rsid w:val="006D681C"/>
    <w:rsid w:val="006D68B7"/>
    <w:rsid w:val="006D6B7D"/>
    <w:rsid w:val="006D6C9C"/>
    <w:rsid w:val="006D75BB"/>
    <w:rsid w:val="006D7993"/>
    <w:rsid w:val="006D7CCF"/>
    <w:rsid w:val="006E02DA"/>
    <w:rsid w:val="006E0465"/>
    <w:rsid w:val="006E0962"/>
    <w:rsid w:val="006E0CB2"/>
    <w:rsid w:val="006E1062"/>
    <w:rsid w:val="006E145B"/>
    <w:rsid w:val="006E1A4C"/>
    <w:rsid w:val="006E25D9"/>
    <w:rsid w:val="006E2AD6"/>
    <w:rsid w:val="006E2C40"/>
    <w:rsid w:val="006E2CB8"/>
    <w:rsid w:val="006E37C2"/>
    <w:rsid w:val="006E3BCD"/>
    <w:rsid w:val="006E3BCE"/>
    <w:rsid w:val="006E3C32"/>
    <w:rsid w:val="006E3CA4"/>
    <w:rsid w:val="006E3FC1"/>
    <w:rsid w:val="006E51AE"/>
    <w:rsid w:val="006E582E"/>
    <w:rsid w:val="006E586E"/>
    <w:rsid w:val="006E5CC9"/>
    <w:rsid w:val="006E6CFC"/>
    <w:rsid w:val="006E7F2E"/>
    <w:rsid w:val="006F056B"/>
    <w:rsid w:val="006F065B"/>
    <w:rsid w:val="006F07EA"/>
    <w:rsid w:val="006F101F"/>
    <w:rsid w:val="006F12B9"/>
    <w:rsid w:val="006F18C4"/>
    <w:rsid w:val="006F1E08"/>
    <w:rsid w:val="006F22C5"/>
    <w:rsid w:val="006F24EC"/>
    <w:rsid w:val="006F25CE"/>
    <w:rsid w:val="006F2EFC"/>
    <w:rsid w:val="006F3118"/>
    <w:rsid w:val="006F315A"/>
    <w:rsid w:val="006F33A8"/>
    <w:rsid w:val="006F3B07"/>
    <w:rsid w:val="006F3DCE"/>
    <w:rsid w:val="006F3FE1"/>
    <w:rsid w:val="006F3FE8"/>
    <w:rsid w:val="006F4143"/>
    <w:rsid w:val="006F4234"/>
    <w:rsid w:val="006F498F"/>
    <w:rsid w:val="006F4A5D"/>
    <w:rsid w:val="006F5501"/>
    <w:rsid w:val="006F55AE"/>
    <w:rsid w:val="006F57D6"/>
    <w:rsid w:val="006F591E"/>
    <w:rsid w:val="006F5DD4"/>
    <w:rsid w:val="006F5E1F"/>
    <w:rsid w:val="006F5E6A"/>
    <w:rsid w:val="006F628D"/>
    <w:rsid w:val="006F62CB"/>
    <w:rsid w:val="006F6BF2"/>
    <w:rsid w:val="006F6EE8"/>
    <w:rsid w:val="006F705E"/>
    <w:rsid w:val="006F77BE"/>
    <w:rsid w:val="0070025F"/>
    <w:rsid w:val="0070044F"/>
    <w:rsid w:val="00701231"/>
    <w:rsid w:val="007012F6"/>
    <w:rsid w:val="00701418"/>
    <w:rsid w:val="00701E64"/>
    <w:rsid w:val="00702338"/>
    <w:rsid w:val="00702896"/>
    <w:rsid w:val="00702984"/>
    <w:rsid w:val="00702CC3"/>
    <w:rsid w:val="007036A9"/>
    <w:rsid w:val="007036B2"/>
    <w:rsid w:val="00703AEF"/>
    <w:rsid w:val="00703E1B"/>
    <w:rsid w:val="0070426F"/>
    <w:rsid w:val="00704EC7"/>
    <w:rsid w:val="00704F2E"/>
    <w:rsid w:val="00704FCF"/>
    <w:rsid w:val="00705972"/>
    <w:rsid w:val="00705C4B"/>
    <w:rsid w:val="00706236"/>
    <w:rsid w:val="00706721"/>
    <w:rsid w:val="0070689A"/>
    <w:rsid w:val="00706A0F"/>
    <w:rsid w:val="00706BBB"/>
    <w:rsid w:val="00706C0F"/>
    <w:rsid w:val="00706CAA"/>
    <w:rsid w:val="0070719D"/>
    <w:rsid w:val="007072B3"/>
    <w:rsid w:val="00707B77"/>
    <w:rsid w:val="00707BD5"/>
    <w:rsid w:val="007104D5"/>
    <w:rsid w:val="00711C01"/>
    <w:rsid w:val="00711FCC"/>
    <w:rsid w:val="0071242C"/>
    <w:rsid w:val="00712CB6"/>
    <w:rsid w:val="00714DDC"/>
    <w:rsid w:val="0071551F"/>
    <w:rsid w:val="00715544"/>
    <w:rsid w:val="00716511"/>
    <w:rsid w:val="0071651B"/>
    <w:rsid w:val="0071656B"/>
    <w:rsid w:val="0071702C"/>
    <w:rsid w:val="0071763A"/>
    <w:rsid w:val="00717A71"/>
    <w:rsid w:val="00717DDD"/>
    <w:rsid w:val="007201E1"/>
    <w:rsid w:val="00720411"/>
    <w:rsid w:val="007209E9"/>
    <w:rsid w:val="00720A91"/>
    <w:rsid w:val="00720B10"/>
    <w:rsid w:val="00720DC2"/>
    <w:rsid w:val="00723459"/>
    <w:rsid w:val="00723ACD"/>
    <w:rsid w:val="00723BD7"/>
    <w:rsid w:val="00723FB1"/>
    <w:rsid w:val="00724267"/>
    <w:rsid w:val="007243FA"/>
    <w:rsid w:val="007244D1"/>
    <w:rsid w:val="00724BCB"/>
    <w:rsid w:val="00726105"/>
    <w:rsid w:val="00727088"/>
    <w:rsid w:val="00727193"/>
    <w:rsid w:val="007308AB"/>
    <w:rsid w:val="00730C6C"/>
    <w:rsid w:val="00730C91"/>
    <w:rsid w:val="00730CC1"/>
    <w:rsid w:val="00730E7B"/>
    <w:rsid w:val="00730F4E"/>
    <w:rsid w:val="007310B4"/>
    <w:rsid w:val="00731132"/>
    <w:rsid w:val="00731F9F"/>
    <w:rsid w:val="00732DE2"/>
    <w:rsid w:val="00732DE3"/>
    <w:rsid w:val="00732E84"/>
    <w:rsid w:val="0073315B"/>
    <w:rsid w:val="00733177"/>
    <w:rsid w:val="007332E9"/>
    <w:rsid w:val="00733B44"/>
    <w:rsid w:val="007347E4"/>
    <w:rsid w:val="00734C1B"/>
    <w:rsid w:val="00734D39"/>
    <w:rsid w:val="007358CB"/>
    <w:rsid w:val="00735B90"/>
    <w:rsid w:val="00735C4F"/>
    <w:rsid w:val="007362F8"/>
    <w:rsid w:val="0073677E"/>
    <w:rsid w:val="0073725F"/>
    <w:rsid w:val="0073727E"/>
    <w:rsid w:val="00737B18"/>
    <w:rsid w:val="0074014F"/>
    <w:rsid w:val="007401F2"/>
    <w:rsid w:val="00740404"/>
    <w:rsid w:val="00740577"/>
    <w:rsid w:val="00740ACB"/>
    <w:rsid w:val="0074105C"/>
    <w:rsid w:val="0074121B"/>
    <w:rsid w:val="007414E2"/>
    <w:rsid w:val="00741CBE"/>
    <w:rsid w:val="007425AC"/>
    <w:rsid w:val="007425D8"/>
    <w:rsid w:val="00742815"/>
    <w:rsid w:val="00742AC8"/>
    <w:rsid w:val="00743EC5"/>
    <w:rsid w:val="00744BE6"/>
    <w:rsid w:val="00744C6B"/>
    <w:rsid w:val="00745A9F"/>
    <w:rsid w:val="007462D4"/>
    <w:rsid w:val="00746D52"/>
    <w:rsid w:val="00746FCA"/>
    <w:rsid w:val="00747356"/>
    <w:rsid w:val="00750006"/>
    <w:rsid w:val="00750AEB"/>
    <w:rsid w:val="00750EA5"/>
    <w:rsid w:val="0075136E"/>
    <w:rsid w:val="00751585"/>
    <w:rsid w:val="007516D6"/>
    <w:rsid w:val="00751D00"/>
    <w:rsid w:val="00752A76"/>
    <w:rsid w:val="00752D94"/>
    <w:rsid w:val="007530DF"/>
    <w:rsid w:val="0075356A"/>
    <w:rsid w:val="00753AAE"/>
    <w:rsid w:val="00753FB1"/>
    <w:rsid w:val="00754757"/>
    <w:rsid w:val="007548CB"/>
    <w:rsid w:val="00754B6F"/>
    <w:rsid w:val="00755BC6"/>
    <w:rsid w:val="00756040"/>
    <w:rsid w:val="0075681C"/>
    <w:rsid w:val="007573F0"/>
    <w:rsid w:val="0075781F"/>
    <w:rsid w:val="00757AD9"/>
    <w:rsid w:val="00757B19"/>
    <w:rsid w:val="0076015C"/>
    <w:rsid w:val="00760DDC"/>
    <w:rsid w:val="00761237"/>
    <w:rsid w:val="00761752"/>
    <w:rsid w:val="00761F24"/>
    <w:rsid w:val="00762101"/>
    <w:rsid w:val="00762258"/>
    <w:rsid w:val="00762357"/>
    <w:rsid w:val="0076268E"/>
    <w:rsid w:val="0076288C"/>
    <w:rsid w:val="00764543"/>
    <w:rsid w:val="0076481C"/>
    <w:rsid w:val="0076531C"/>
    <w:rsid w:val="00765B52"/>
    <w:rsid w:val="00765BF0"/>
    <w:rsid w:val="0076639D"/>
    <w:rsid w:val="007663B7"/>
    <w:rsid w:val="00766723"/>
    <w:rsid w:val="007667EE"/>
    <w:rsid w:val="007669AE"/>
    <w:rsid w:val="00766C0A"/>
    <w:rsid w:val="007674F2"/>
    <w:rsid w:val="00767678"/>
    <w:rsid w:val="00767A5D"/>
    <w:rsid w:val="007701B2"/>
    <w:rsid w:val="007702AB"/>
    <w:rsid w:val="0077059F"/>
    <w:rsid w:val="00770844"/>
    <w:rsid w:val="007709B5"/>
    <w:rsid w:val="0077102B"/>
    <w:rsid w:val="0077108E"/>
    <w:rsid w:val="00771701"/>
    <w:rsid w:val="007717BD"/>
    <w:rsid w:val="007718BD"/>
    <w:rsid w:val="00771C82"/>
    <w:rsid w:val="007727D6"/>
    <w:rsid w:val="00772BE2"/>
    <w:rsid w:val="00772C07"/>
    <w:rsid w:val="00772F8B"/>
    <w:rsid w:val="007730C9"/>
    <w:rsid w:val="00774107"/>
    <w:rsid w:val="00774CDC"/>
    <w:rsid w:val="00775010"/>
    <w:rsid w:val="007754FC"/>
    <w:rsid w:val="00775EC8"/>
    <w:rsid w:val="00776689"/>
    <w:rsid w:val="00776CC0"/>
    <w:rsid w:val="00776EF4"/>
    <w:rsid w:val="00777385"/>
    <w:rsid w:val="00780114"/>
    <w:rsid w:val="00780207"/>
    <w:rsid w:val="007806DB"/>
    <w:rsid w:val="00780967"/>
    <w:rsid w:val="007809B6"/>
    <w:rsid w:val="00780FBE"/>
    <w:rsid w:val="00781B35"/>
    <w:rsid w:val="00781E9A"/>
    <w:rsid w:val="007823EF"/>
    <w:rsid w:val="0078254D"/>
    <w:rsid w:val="007838E0"/>
    <w:rsid w:val="00784A40"/>
    <w:rsid w:val="00785CE4"/>
    <w:rsid w:val="00785D46"/>
    <w:rsid w:val="007865AE"/>
    <w:rsid w:val="007867D5"/>
    <w:rsid w:val="00786EA5"/>
    <w:rsid w:val="0078747C"/>
    <w:rsid w:val="007875F7"/>
    <w:rsid w:val="007879D2"/>
    <w:rsid w:val="00787EE2"/>
    <w:rsid w:val="00790803"/>
    <w:rsid w:val="00790D88"/>
    <w:rsid w:val="00791259"/>
    <w:rsid w:val="007912F6"/>
    <w:rsid w:val="0079195D"/>
    <w:rsid w:val="00791DA9"/>
    <w:rsid w:val="007921FD"/>
    <w:rsid w:val="00792EF3"/>
    <w:rsid w:val="00793299"/>
    <w:rsid w:val="007933CB"/>
    <w:rsid w:val="007937D2"/>
    <w:rsid w:val="00793AFD"/>
    <w:rsid w:val="00793BB2"/>
    <w:rsid w:val="00793CAD"/>
    <w:rsid w:val="0079491E"/>
    <w:rsid w:val="00794E7C"/>
    <w:rsid w:val="00794F41"/>
    <w:rsid w:val="007952A4"/>
    <w:rsid w:val="00795387"/>
    <w:rsid w:val="00795FF3"/>
    <w:rsid w:val="00796792"/>
    <w:rsid w:val="007967FF"/>
    <w:rsid w:val="00796844"/>
    <w:rsid w:val="0079691D"/>
    <w:rsid w:val="00796C1F"/>
    <w:rsid w:val="00797C37"/>
    <w:rsid w:val="00797E02"/>
    <w:rsid w:val="007A007D"/>
    <w:rsid w:val="007A0319"/>
    <w:rsid w:val="007A076E"/>
    <w:rsid w:val="007A0B0A"/>
    <w:rsid w:val="007A0C55"/>
    <w:rsid w:val="007A0C70"/>
    <w:rsid w:val="007A1A1B"/>
    <w:rsid w:val="007A1E54"/>
    <w:rsid w:val="007A2277"/>
    <w:rsid w:val="007A2298"/>
    <w:rsid w:val="007A2416"/>
    <w:rsid w:val="007A323A"/>
    <w:rsid w:val="007A3297"/>
    <w:rsid w:val="007A34D5"/>
    <w:rsid w:val="007A380A"/>
    <w:rsid w:val="007A3930"/>
    <w:rsid w:val="007A3951"/>
    <w:rsid w:val="007A3CB4"/>
    <w:rsid w:val="007A42A1"/>
    <w:rsid w:val="007A44EB"/>
    <w:rsid w:val="007A44FD"/>
    <w:rsid w:val="007A4541"/>
    <w:rsid w:val="007A4B57"/>
    <w:rsid w:val="007A5D12"/>
    <w:rsid w:val="007A6884"/>
    <w:rsid w:val="007A6C98"/>
    <w:rsid w:val="007A7086"/>
    <w:rsid w:val="007A72BA"/>
    <w:rsid w:val="007A738C"/>
    <w:rsid w:val="007A7896"/>
    <w:rsid w:val="007A7DBC"/>
    <w:rsid w:val="007B0269"/>
    <w:rsid w:val="007B084F"/>
    <w:rsid w:val="007B0A31"/>
    <w:rsid w:val="007B0EAC"/>
    <w:rsid w:val="007B10FB"/>
    <w:rsid w:val="007B11BA"/>
    <w:rsid w:val="007B1624"/>
    <w:rsid w:val="007B19E3"/>
    <w:rsid w:val="007B1CDB"/>
    <w:rsid w:val="007B1F61"/>
    <w:rsid w:val="007B2459"/>
    <w:rsid w:val="007B2C3C"/>
    <w:rsid w:val="007B325B"/>
    <w:rsid w:val="007B3313"/>
    <w:rsid w:val="007B3425"/>
    <w:rsid w:val="007B349B"/>
    <w:rsid w:val="007B3E3C"/>
    <w:rsid w:val="007B45C4"/>
    <w:rsid w:val="007B466D"/>
    <w:rsid w:val="007B492F"/>
    <w:rsid w:val="007B4A89"/>
    <w:rsid w:val="007B4B6F"/>
    <w:rsid w:val="007B5103"/>
    <w:rsid w:val="007B5732"/>
    <w:rsid w:val="007B59D4"/>
    <w:rsid w:val="007B5D64"/>
    <w:rsid w:val="007B5EE4"/>
    <w:rsid w:val="007B61FB"/>
    <w:rsid w:val="007B6673"/>
    <w:rsid w:val="007B66D1"/>
    <w:rsid w:val="007B6E2D"/>
    <w:rsid w:val="007B7A6F"/>
    <w:rsid w:val="007B7E94"/>
    <w:rsid w:val="007C0528"/>
    <w:rsid w:val="007C0CB7"/>
    <w:rsid w:val="007C0DA4"/>
    <w:rsid w:val="007C1257"/>
    <w:rsid w:val="007C1731"/>
    <w:rsid w:val="007C3044"/>
    <w:rsid w:val="007C3131"/>
    <w:rsid w:val="007C393B"/>
    <w:rsid w:val="007C3E2B"/>
    <w:rsid w:val="007C4760"/>
    <w:rsid w:val="007C48C4"/>
    <w:rsid w:val="007C4F21"/>
    <w:rsid w:val="007C51EC"/>
    <w:rsid w:val="007C5642"/>
    <w:rsid w:val="007C5689"/>
    <w:rsid w:val="007C5C48"/>
    <w:rsid w:val="007C5F0C"/>
    <w:rsid w:val="007C665D"/>
    <w:rsid w:val="007C6A61"/>
    <w:rsid w:val="007C7A84"/>
    <w:rsid w:val="007C7BAF"/>
    <w:rsid w:val="007D097D"/>
    <w:rsid w:val="007D09A4"/>
    <w:rsid w:val="007D09CD"/>
    <w:rsid w:val="007D0E17"/>
    <w:rsid w:val="007D1DD9"/>
    <w:rsid w:val="007D2574"/>
    <w:rsid w:val="007D26C7"/>
    <w:rsid w:val="007D336B"/>
    <w:rsid w:val="007D35C0"/>
    <w:rsid w:val="007D3AA2"/>
    <w:rsid w:val="007D4226"/>
    <w:rsid w:val="007D44AE"/>
    <w:rsid w:val="007D46A6"/>
    <w:rsid w:val="007D46BB"/>
    <w:rsid w:val="007D50ED"/>
    <w:rsid w:val="007D550B"/>
    <w:rsid w:val="007D55BD"/>
    <w:rsid w:val="007D5EA4"/>
    <w:rsid w:val="007D61E2"/>
    <w:rsid w:val="007D6261"/>
    <w:rsid w:val="007D690A"/>
    <w:rsid w:val="007D69D1"/>
    <w:rsid w:val="007D6D86"/>
    <w:rsid w:val="007D72C3"/>
    <w:rsid w:val="007D779C"/>
    <w:rsid w:val="007D7DEE"/>
    <w:rsid w:val="007D7E6A"/>
    <w:rsid w:val="007E07BA"/>
    <w:rsid w:val="007E0F9D"/>
    <w:rsid w:val="007E1805"/>
    <w:rsid w:val="007E1B0C"/>
    <w:rsid w:val="007E28ED"/>
    <w:rsid w:val="007E2E3F"/>
    <w:rsid w:val="007E339F"/>
    <w:rsid w:val="007E3609"/>
    <w:rsid w:val="007E4620"/>
    <w:rsid w:val="007E53B7"/>
    <w:rsid w:val="007E5A1B"/>
    <w:rsid w:val="007E5E6D"/>
    <w:rsid w:val="007E62F9"/>
    <w:rsid w:val="007E6655"/>
    <w:rsid w:val="007E6997"/>
    <w:rsid w:val="007E74C0"/>
    <w:rsid w:val="007E7DF2"/>
    <w:rsid w:val="007F068E"/>
    <w:rsid w:val="007F086C"/>
    <w:rsid w:val="007F0F0B"/>
    <w:rsid w:val="007F133A"/>
    <w:rsid w:val="007F14E5"/>
    <w:rsid w:val="007F2233"/>
    <w:rsid w:val="007F2328"/>
    <w:rsid w:val="007F2874"/>
    <w:rsid w:val="007F2CC8"/>
    <w:rsid w:val="007F3214"/>
    <w:rsid w:val="007F3A15"/>
    <w:rsid w:val="007F4591"/>
    <w:rsid w:val="007F4823"/>
    <w:rsid w:val="007F4CA8"/>
    <w:rsid w:val="007F5014"/>
    <w:rsid w:val="007F552C"/>
    <w:rsid w:val="007F5664"/>
    <w:rsid w:val="007F5B17"/>
    <w:rsid w:val="007F5FA7"/>
    <w:rsid w:val="007F6D31"/>
    <w:rsid w:val="007F6D77"/>
    <w:rsid w:val="007F7193"/>
    <w:rsid w:val="007F74FE"/>
    <w:rsid w:val="007F77DF"/>
    <w:rsid w:val="00800030"/>
    <w:rsid w:val="008002BD"/>
    <w:rsid w:val="00800743"/>
    <w:rsid w:val="00800786"/>
    <w:rsid w:val="008009B0"/>
    <w:rsid w:val="00800D50"/>
    <w:rsid w:val="00800E91"/>
    <w:rsid w:val="00801032"/>
    <w:rsid w:val="008016EB"/>
    <w:rsid w:val="00801B7E"/>
    <w:rsid w:val="00801FD8"/>
    <w:rsid w:val="008020F4"/>
    <w:rsid w:val="00802238"/>
    <w:rsid w:val="00803E36"/>
    <w:rsid w:val="00803E9B"/>
    <w:rsid w:val="008046CF"/>
    <w:rsid w:val="00804BC7"/>
    <w:rsid w:val="00804DBF"/>
    <w:rsid w:val="0080559F"/>
    <w:rsid w:val="00805697"/>
    <w:rsid w:val="008057F1"/>
    <w:rsid w:val="00805BA2"/>
    <w:rsid w:val="008060BF"/>
    <w:rsid w:val="0080639A"/>
    <w:rsid w:val="0080676C"/>
    <w:rsid w:val="00806E92"/>
    <w:rsid w:val="00806F0C"/>
    <w:rsid w:val="00806FA5"/>
    <w:rsid w:val="00807098"/>
    <w:rsid w:val="00807185"/>
    <w:rsid w:val="008071A0"/>
    <w:rsid w:val="00807242"/>
    <w:rsid w:val="008077F1"/>
    <w:rsid w:val="00807B4D"/>
    <w:rsid w:val="00807D37"/>
    <w:rsid w:val="00810243"/>
    <w:rsid w:val="008105B2"/>
    <w:rsid w:val="00810637"/>
    <w:rsid w:val="008109C5"/>
    <w:rsid w:val="00811DBB"/>
    <w:rsid w:val="0081317F"/>
    <w:rsid w:val="00813CA3"/>
    <w:rsid w:val="0081448A"/>
    <w:rsid w:val="00814B1D"/>
    <w:rsid w:val="00814CC5"/>
    <w:rsid w:val="008155F3"/>
    <w:rsid w:val="008156D0"/>
    <w:rsid w:val="00815844"/>
    <w:rsid w:val="00816046"/>
    <w:rsid w:val="0081626B"/>
    <w:rsid w:val="0081662C"/>
    <w:rsid w:val="0081677D"/>
    <w:rsid w:val="00816D39"/>
    <w:rsid w:val="00816F90"/>
    <w:rsid w:val="008173BA"/>
    <w:rsid w:val="008205E5"/>
    <w:rsid w:val="0082096A"/>
    <w:rsid w:val="00820E1A"/>
    <w:rsid w:val="0082185D"/>
    <w:rsid w:val="0082197F"/>
    <w:rsid w:val="00821E29"/>
    <w:rsid w:val="008221D9"/>
    <w:rsid w:val="008228E1"/>
    <w:rsid w:val="00822A72"/>
    <w:rsid w:val="00822B11"/>
    <w:rsid w:val="00822ECB"/>
    <w:rsid w:val="008230D5"/>
    <w:rsid w:val="008246BA"/>
    <w:rsid w:val="00824CE7"/>
    <w:rsid w:val="0082618E"/>
    <w:rsid w:val="00826275"/>
    <w:rsid w:val="008264D2"/>
    <w:rsid w:val="00826641"/>
    <w:rsid w:val="00826A3E"/>
    <w:rsid w:val="00826BA3"/>
    <w:rsid w:val="008277E8"/>
    <w:rsid w:val="008279EF"/>
    <w:rsid w:val="00827BAF"/>
    <w:rsid w:val="0083034B"/>
    <w:rsid w:val="0083060C"/>
    <w:rsid w:val="0083166B"/>
    <w:rsid w:val="00831A35"/>
    <w:rsid w:val="00833064"/>
    <w:rsid w:val="0083308E"/>
    <w:rsid w:val="00833756"/>
    <w:rsid w:val="00833B22"/>
    <w:rsid w:val="00833D3F"/>
    <w:rsid w:val="00834198"/>
    <w:rsid w:val="0083451B"/>
    <w:rsid w:val="00834832"/>
    <w:rsid w:val="00834B04"/>
    <w:rsid w:val="008356D6"/>
    <w:rsid w:val="00836559"/>
    <w:rsid w:val="00836E68"/>
    <w:rsid w:val="00836F9D"/>
    <w:rsid w:val="008372E1"/>
    <w:rsid w:val="008373D0"/>
    <w:rsid w:val="0083754F"/>
    <w:rsid w:val="00837883"/>
    <w:rsid w:val="00837C5D"/>
    <w:rsid w:val="00837D10"/>
    <w:rsid w:val="0084064D"/>
    <w:rsid w:val="00840DC9"/>
    <w:rsid w:val="00841119"/>
    <w:rsid w:val="00841582"/>
    <w:rsid w:val="008416D0"/>
    <w:rsid w:val="00842077"/>
    <w:rsid w:val="00842272"/>
    <w:rsid w:val="008425DB"/>
    <w:rsid w:val="008427A3"/>
    <w:rsid w:val="00842C51"/>
    <w:rsid w:val="00842FF5"/>
    <w:rsid w:val="0084348D"/>
    <w:rsid w:val="0084361C"/>
    <w:rsid w:val="0084385C"/>
    <w:rsid w:val="00843A11"/>
    <w:rsid w:val="00843BCF"/>
    <w:rsid w:val="00843DE3"/>
    <w:rsid w:val="0084472D"/>
    <w:rsid w:val="00844875"/>
    <w:rsid w:val="00844E46"/>
    <w:rsid w:val="00844EFE"/>
    <w:rsid w:val="00844FF8"/>
    <w:rsid w:val="00845A56"/>
    <w:rsid w:val="00845C2D"/>
    <w:rsid w:val="00845F9E"/>
    <w:rsid w:val="008461DE"/>
    <w:rsid w:val="00846240"/>
    <w:rsid w:val="0084634F"/>
    <w:rsid w:val="00846608"/>
    <w:rsid w:val="00846737"/>
    <w:rsid w:val="0084679C"/>
    <w:rsid w:val="00846B72"/>
    <w:rsid w:val="00846D0E"/>
    <w:rsid w:val="008475FA"/>
    <w:rsid w:val="0084786A"/>
    <w:rsid w:val="008503E7"/>
    <w:rsid w:val="00850A1A"/>
    <w:rsid w:val="00850C17"/>
    <w:rsid w:val="008513BB"/>
    <w:rsid w:val="00851F05"/>
    <w:rsid w:val="00852BCE"/>
    <w:rsid w:val="00853067"/>
    <w:rsid w:val="00853362"/>
    <w:rsid w:val="008535C4"/>
    <w:rsid w:val="00853C22"/>
    <w:rsid w:val="00854264"/>
    <w:rsid w:val="008548F8"/>
    <w:rsid w:val="00854AF1"/>
    <w:rsid w:val="00854C34"/>
    <w:rsid w:val="00854C93"/>
    <w:rsid w:val="008563CD"/>
    <w:rsid w:val="0085679D"/>
    <w:rsid w:val="008568E6"/>
    <w:rsid w:val="00856D56"/>
    <w:rsid w:val="00857496"/>
    <w:rsid w:val="0085780C"/>
    <w:rsid w:val="00857C05"/>
    <w:rsid w:val="0086001E"/>
    <w:rsid w:val="008608A1"/>
    <w:rsid w:val="00860FA4"/>
    <w:rsid w:val="00860FC5"/>
    <w:rsid w:val="00861089"/>
    <w:rsid w:val="00861632"/>
    <w:rsid w:val="00861D30"/>
    <w:rsid w:val="00861E8F"/>
    <w:rsid w:val="00862004"/>
    <w:rsid w:val="0086250E"/>
    <w:rsid w:val="00862C47"/>
    <w:rsid w:val="00862C64"/>
    <w:rsid w:val="00862CE5"/>
    <w:rsid w:val="00862D09"/>
    <w:rsid w:val="008636D6"/>
    <w:rsid w:val="008637E0"/>
    <w:rsid w:val="00863808"/>
    <w:rsid w:val="00864185"/>
    <w:rsid w:val="008645B5"/>
    <w:rsid w:val="00864A33"/>
    <w:rsid w:val="00865651"/>
    <w:rsid w:val="0086620D"/>
    <w:rsid w:val="008662DF"/>
    <w:rsid w:val="0086654B"/>
    <w:rsid w:val="008669E2"/>
    <w:rsid w:val="00866ACA"/>
    <w:rsid w:val="00867486"/>
    <w:rsid w:val="00870241"/>
    <w:rsid w:val="008702B8"/>
    <w:rsid w:val="008715F0"/>
    <w:rsid w:val="00871E54"/>
    <w:rsid w:val="00872409"/>
    <w:rsid w:val="00872A5F"/>
    <w:rsid w:val="00873711"/>
    <w:rsid w:val="0087421B"/>
    <w:rsid w:val="0087441F"/>
    <w:rsid w:val="0087496D"/>
    <w:rsid w:val="00874AD9"/>
    <w:rsid w:val="00874D72"/>
    <w:rsid w:val="00874E76"/>
    <w:rsid w:val="00875E3F"/>
    <w:rsid w:val="00876133"/>
    <w:rsid w:val="00876384"/>
    <w:rsid w:val="0087672E"/>
    <w:rsid w:val="0087699D"/>
    <w:rsid w:val="00876D63"/>
    <w:rsid w:val="00877549"/>
    <w:rsid w:val="0088079A"/>
    <w:rsid w:val="0088149D"/>
    <w:rsid w:val="0088154C"/>
    <w:rsid w:val="008815B5"/>
    <w:rsid w:val="0088184A"/>
    <w:rsid w:val="008819B9"/>
    <w:rsid w:val="00881B28"/>
    <w:rsid w:val="00881F96"/>
    <w:rsid w:val="008820ED"/>
    <w:rsid w:val="00882448"/>
    <w:rsid w:val="00882765"/>
    <w:rsid w:val="00882834"/>
    <w:rsid w:val="00882F65"/>
    <w:rsid w:val="00882FE9"/>
    <w:rsid w:val="00883830"/>
    <w:rsid w:val="00883CCC"/>
    <w:rsid w:val="00883E2A"/>
    <w:rsid w:val="00884468"/>
    <w:rsid w:val="0088484F"/>
    <w:rsid w:val="008848F8"/>
    <w:rsid w:val="00884FBF"/>
    <w:rsid w:val="00885067"/>
    <w:rsid w:val="008851F0"/>
    <w:rsid w:val="00885B15"/>
    <w:rsid w:val="00886864"/>
    <w:rsid w:val="008868BD"/>
    <w:rsid w:val="00886BAF"/>
    <w:rsid w:val="00886D98"/>
    <w:rsid w:val="00887268"/>
    <w:rsid w:val="0088729A"/>
    <w:rsid w:val="00887338"/>
    <w:rsid w:val="008877B7"/>
    <w:rsid w:val="00887A60"/>
    <w:rsid w:val="00887B5A"/>
    <w:rsid w:val="00887C70"/>
    <w:rsid w:val="008912B6"/>
    <w:rsid w:val="00891A2C"/>
    <w:rsid w:val="0089228D"/>
    <w:rsid w:val="0089252F"/>
    <w:rsid w:val="008925A9"/>
    <w:rsid w:val="00892D9A"/>
    <w:rsid w:val="008935C6"/>
    <w:rsid w:val="0089430C"/>
    <w:rsid w:val="00894F0B"/>
    <w:rsid w:val="0089570E"/>
    <w:rsid w:val="00895761"/>
    <w:rsid w:val="00896020"/>
    <w:rsid w:val="0089637F"/>
    <w:rsid w:val="0089673B"/>
    <w:rsid w:val="00896926"/>
    <w:rsid w:val="00896D12"/>
    <w:rsid w:val="008971CA"/>
    <w:rsid w:val="00897264"/>
    <w:rsid w:val="008973FF"/>
    <w:rsid w:val="00897B2B"/>
    <w:rsid w:val="00897BDA"/>
    <w:rsid w:val="00897DC6"/>
    <w:rsid w:val="008A044A"/>
    <w:rsid w:val="008A07BB"/>
    <w:rsid w:val="008A104F"/>
    <w:rsid w:val="008A10EA"/>
    <w:rsid w:val="008A14B0"/>
    <w:rsid w:val="008A1797"/>
    <w:rsid w:val="008A17B8"/>
    <w:rsid w:val="008A2A08"/>
    <w:rsid w:val="008A2E9F"/>
    <w:rsid w:val="008A3BAD"/>
    <w:rsid w:val="008A3E4B"/>
    <w:rsid w:val="008A4128"/>
    <w:rsid w:val="008A440C"/>
    <w:rsid w:val="008A4952"/>
    <w:rsid w:val="008A4DC0"/>
    <w:rsid w:val="008A4F57"/>
    <w:rsid w:val="008A567A"/>
    <w:rsid w:val="008A59D7"/>
    <w:rsid w:val="008A5F88"/>
    <w:rsid w:val="008A6268"/>
    <w:rsid w:val="008A62E6"/>
    <w:rsid w:val="008A68E6"/>
    <w:rsid w:val="008A69D6"/>
    <w:rsid w:val="008A6A6D"/>
    <w:rsid w:val="008A6F78"/>
    <w:rsid w:val="008B012A"/>
    <w:rsid w:val="008B0251"/>
    <w:rsid w:val="008B0761"/>
    <w:rsid w:val="008B0C23"/>
    <w:rsid w:val="008B0E80"/>
    <w:rsid w:val="008B117D"/>
    <w:rsid w:val="008B14C6"/>
    <w:rsid w:val="008B1639"/>
    <w:rsid w:val="008B196A"/>
    <w:rsid w:val="008B1AE1"/>
    <w:rsid w:val="008B1B70"/>
    <w:rsid w:val="008B1E61"/>
    <w:rsid w:val="008B3194"/>
    <w:rsid w:val="008B32D2"/>
    <w:rsid w:val="008B34A2"/>
    <w:rsid w:val="008B366A"/>
    <w:rsid w:val="008B4261"/>
    <w:rsid w:val="008B45E6"/>
    <w:rsid w:val="008B4C54"/>
    <w:rsid w:val="008B50EA"/>
    <w:rsid w:val="008B5687"/>
    <w:rsid w:val="008B61C1"/>
    <w:rsid w:val="008B64B6"/>
    <w:rsid w:val="008B66C1"/>
    <w:rsid w:val="008B6EAB"/>
    <w:rsid w:val="008B6F24"/>
    <w:rsid w:val="008B6F9F"/>
    <w:rsid w:val="008B7091"/>
    <w:rsid w:val="008B73E2"/>
    <w:rsid w:val="008B74A1"/>
    <w:rsid w:val="008B75D2"/>
    <w:rsid w:val="008B7893"/>
    <w:rsid w:val="008C0075"/>
    <w:rsid w:val="008C00A2"/>
    <w:rsid w:val="008C0683"/>
    <w:rsid w:val="008C0BBB"/>
    <w:rsid w:val="008C1137"/>
    <w:rsid w:val="008C212D"/>
    <w:rsid w:val="008C2596"/>
    <w:rsid w:val="008C2637"/>
    <w:rsid w:val="008C34B9"/>
    <w:rsid w:val="008C37F3"/>
    <w:rsid w:val="008C398E"/>
    <w:rsid w:val="008C3ECB"/>
    <w:rsid w:val="008C40A3"/>
    <w:rsid w:val="008C438F"/>
    <w:rsid w:val="008C4764"/>
    <w:rsid w:val="008C4B30"/>
    <w:rsid w:val="008C4FA8"/>
    <w:rsid w:val="008C62C1"/>
    <w:rsid w:val="008C682B"/>
    <w:rsid w:val="008C7098"/>
    <w:rsid w:val="008C7453"/>
    <w:rsid w:val="008C7CFB"/>
    <w:rsid w:val="008C7FC3"/>
    <w:rsid w:val="008D1849"/>
    <w:rsid w:val="008D1EDD"/>
    <w:rsid w:val="008D28E4"/>
    <w:rsid w:val="008D2A42"/>
    <w:rsid w:val="008D3328"/>
    <w:rsid w:val="008D340F"/>
    <w:rsid w:val="008D407F"/>
    <w:rsid w:val="008D4426"/>
    <w:rsid w:val="008D5CC7"/>
    <w:rsid w:val="008D5D4B"/>
    <w:rsid w:val="008D5D61"/>
    <w:rsid w:val="008D6463"/>
    <w:rsid w:val="008D6E6F"/>
    <w:rsid w:val="008D764A"/>
    <w:rsid w:val="008D783B"/>
    <w:rsid w:val="008E0276"/>
    <w:rsid w:val="008E0332"/>
    <w:rsid w:val="008E03F3"/>
    <w:rsid w:val="008E081B"/>
    <w:rsid w:val="008E0ACE"/>
    <w:rsid w:val="008E0CB8"/>
    <w:rsid w:val="008E1680"/>
    <w:rsid w:val="008E2532"/>
    <w:rsid w:val="008E26ED"/>
    <w:rsid w:val="008E2A3F"/>
    <w:rsid w:val="008E2A5E"/>
    <w:rsid w:val="008E2C3B"/>
    <w:rsid w:val="008E2EB3"/>
    <w:rsid w:val="008E2F21"/>
    <w:rsid w:val="008E3DCD"/>
    <w:rsid w:val="008E3F43"/>
    <w:rsid w:val="008E4708"/>
    <w:rsid w:val="008E6577"/>
    <w:rsid w:val="008E6A3D"/>
    <w:rsid w:val="008E6E3C"/>
    <w:rsid w:val="008E6F14"/>
    <w:rsid w:val="008E7310"/>
    <w:rsid w:val="008E7D5B"/>
    <w:rsid w:val="008F00D0"/>
    <w:rsid w:val="008F051C"/>
    <w:rsid w:val="008F057B"/>
    <w:rsid w:val="008F1610"/>
    <w:rsid w:val="008F16AF"/>
    <w:rsid w:val="008F17E6"/>
    <w:rsid w:val="008F1D9E"/>
    <w:rsid w:val="008F226D"/>
    <w:rsid w:val="008F284E"/>
    <w:rsid w:val="008F2C05"/>
    <w:rsid w:val="008F2C37"/>
    <w:rsid w:val="008F2CAD"/>
    <w:rsid w:val="008F2DA7"/>
    <w:rsid w:val="008F305F"/>
    <w:rsid w:val="008F31E5"/>
    <w:rsid w:val="008F3647"/>
    <w:rsid w:val="008F3BAB"/>
    <w:rsid w:val="008F40CC"/>
    <w:rsid w:val="008F4548"/>
    <w:rsid w:val="008F45EF"/>
    <w:rsid w:val="008F463B"/>
    <w:rsid w:val="008F46D5"/>
    <w:rsid w:val="008F500D"/>
    <w:rsid w:val="008F5B14"/>
    <w:rsid w:val="008F5B4B"/>
    <w:rsid w:val="008F5BBB"/>
    <w:rsid w:val="008F5D47"/>
    <w:rsid w:val="008F5FA0"/>
    <w:rsid w:val="008F5FAB"/>
    <w:rsid w:val="008F69A3"/>
    <w:rsid w:val="008F71D8"/>
    <w:rsid w:val="008F7756"/>
    <w:rsid w:val="00900208"/>
    <w:rsid w:val="00900608"/>
    <w:rsid w:val="00900967"/>
    <w:rsid w:val="00900FDD"/>
    <w:rsid w:val="00901CD5"/>
    <w:rsid w:val="009022E6"/>
    <w:rsid w:val="00902AAC"/>
    <w:rsid w:val="00902AB6"/>
    <w:rsid w:val="00902EAA"/>
    <w:rsid w:val="00903A9C"/>
    <w:rsid w:val="0090423F"/>
    <w:rsid w:val="00904FE2"/>
    <w:rsid w:val="009057B9"/>
    <w:rsid w:val="009057C3"/>
    <w:rsid w:val="0090592F"/>
    <w:rsid w:val="00905D2F"/>
    <w:rsid w:val="00906312"/>
    <w:rsid w:val="0090682C"/>
    <w:rsid w:val="009071ED"/>
    <w:rsid w:val="00910D99"/>
    <w:rsid w:val="009110E7"/>
    <w:rsid w:val="0091143D"/>
    <w:rsid w:val="0091210C"/>
    <w:rsid w:val="00912F43"/>
    <w:rsid w:val="0091395B"/>
    <w:rsid w:val="00913CB9"/>
    <w:rsid w:val="00913DD6"/>
    <w:rsid w:val="00914299"/>
    <w:rsid w:val="00914D63"/>
    <w:rsid w:val="00914DCC"/>
    <w:rsid w:val="00916103"/>
    <w:rsid w:val="009166A2"/>
    <w:rsid w:val="00916929"/>
    <w:rsid w:val="00916B29"/>
    <w:rsid w:val="00916BF3"/>
    <w:rsid w:val="00917098"/>
    <w:rsid w:val="009172DA"/>
    <w:rsid w:val="00917DC2"/>
    <w:rsid w:val="00917FB8"/>
    <w:rsid w:val="00920B60"/>
    <w:rsid w:val="00921D8D"/>
    <w:rsid w:val="0092204C"/>
    <w:rsid w:val="00923172"/>
    <w:rsid w:val="00923432"/>
    <w:rsid w:val="00923A2D"/>
    <w:rsid w:val="0092410D"/>
    <w:rsid w:val="00924F57"/>
    <w:rsid w:val="00925911"/>
    <w:rsid w:val="00926039"/>
    <w:rsid w:val="0092619D"/>
    <w:rsid w:val="00926321"/>
    <w:rsid w:val="00926482"/>
    <w:rsid w:val="0092676D"/>
    <w:rsid w:val="00926B24"/>
    <w:rsid w:val="00926B8B"/>
    <w:rsid w:val="00926FA8"/>
    <w:rsid w:val="009275EB"/>
    <w:rsid w:val="00927A99"/>
    <w:rsid w:val="00927D2F"/>
    <w:rsid w:val="00930325"/>
    <w:rsid w:val="00930D30"/>
    <w:rsid w:val="00932C69"/>
    <w:rsid w:val="009330F1"/>
    <w:rsid w:val="009332B6"/>
    <w:rsid w:val="00933329"/>
    <w:rsid w:val="0093333F"/>
    <w:rsid w:val="009339EE"/>
    <w:rsid w:val="00933EC6"/>
    <w:rsid w:val="009345AE"/>
    <w:rsid w:val="00934EDC"/>
    <w:rsid w:val="00934F92"/>
    <w:rsid w:val="00935425"/>
    <w:rsid w:val="0093729C"/>
    <w:rsid w:val="00937B26"/>
    <w:rsid w:val="0094008C"/>
    <w:rsid w:val="00940AF8"/>
    <w:rsid w:val="00941695"/>
    <w:rsid w:val="00941815"/>
    <w:rsid w:val="00941A51"/>
    <w:rsid w:val="00941A9F"/>
    <w:rsid w:val="00941ABF"/>
    <w:rsid w:val="00943453"/>
    <w:rsid w:val="009443D0"/>
    <w:rsid w:val="0094465C"/>
    <w:rsid w:val="00944D2F"/>
    <w:rsid w:val="00945004"/>
    <w:rsid w:val="009458F3"/>
    <w:rsid w:val="0094598B"/>
    <w:rsid w:val="009461C6"/>
    <w:rsid w:val="00946656"/>
    <w:rsid w:val="00946948"/>
    <w:rsid w:val="00946BD8"/>
    <w:rsid w:val="00946EBE"/>
    <w:rsid w:val="00947711"/>
    <w:rsid w:val="0094797C"/>
    <w:rsid w:val="00950995"/>
    <w:rsid w:val="009509A4"/>
    <w:rsid w:val="00950AC8"/>
    <w:rsid w:val="00951474"/>
    <w:rsid w:val="00951583"/>
    <w:rsid w:val="00951829"/>
    <w:rsid w:val="00951DFA"/>
    <w:rsid w:val="00952943"/>
    <w:rsid w:val="009529A6"/>
    <w:rsid w:val="00952E79"/>
    <w:rsid w:val="009530EC"/>
    <w:rsid w:val="00953670"/>
    <w:rsid w:val="00953920"/>
    <w:rsid w:val="00954034"/>
    <w:rsid w:val="009545CC"/>
    <w:rsid w:val="00954BB8"/>
    <w:rsid w:val="0095533F"/>
    <w:rsid w:val="00955BDC"/>
    <w:rsid w:val="00955C5C"/>
    <w:rsid w:val="00956411"/>
    <w:rsid w:val="00956788"/>
    <w:rsid w:val="009567C2"/>
    <w:rsid w:val="00956F08"/>
    <w:rsid w:val="00957097"/>
    <w:rsid w:val="00957431"/>
    <w:rsid w:val="00957B52"/>
    <w:rsid w:val="00957D5D"/>
    <w:rsid w:val="00957DA8"/>
    <w:rsid w:val="009601E9"/>
    <w:rsid w:val="0096110B"/>
    <w:rsid w:val="009619C3"/>
    <w:rsid w:val="0096212A"/>
    <w:rsid w:val="0096264A"/>
    <w:rsid w:val="0096286B"/>
    <w:rsid w:val="00962F05"/>
    <w:rsid w:val="009631C1"/>
    <w:rsid w:val="009631EE"/>
    <w:rsid w:val="0096328C"/>
    <w:rsid w:val="009638D9"/>
    <w:rsid w:val="009639FB"/>
    <w:rsid w:val="00963B4B"/>
    <w:rsid w:val="009643F9"/>
    <w:rsid w:val="0096509C"/>
    <w:rsid w:val="009657E4"/>
    <w:rsid w:val="009657EF"/>
    <w:rsid w:val="0096591B"/>
    <w:rsid w:val="00965E49"/>
    <w:rsid w:val="00966299"/>
    <w:rsid w:val="0096682A"/>
    <w:rsid w:val="00966DD3"/>
    <w:rsid w:val="0096703C"/>
    <w:rsid w:val="00967517"/>
    <w:rsid w:val="009675BD"/>
    <w:rsid w:val="00967932"/>
    <w:rsid w:val="00967B8F"/>
    <w:rsid w:val="00967CC9"/>
    <w:rsid w:val="00970E36"/>
    <w:rsid w:val="0097106C"/>
    <w:rsid w:val="0097123E"/>
    <w:rsid w:val="009713D9"/>
    <w:rsid w:val="009714FC"/>
    <w:rsid w:val="009718A1"/>
    <w:rsid w:val="009721E4"/>
    <w:rsid w:val="0097234C"/>
    <w:rsid w:val="009727E6"/>
    <w:rsid w:val="00972E0D"/>
    <w:rsid w:val="00972F4B"/>
    <w:rsid w:val="00973252"/>
    <w:rsid w:val="0097327B"/>
    <w:rsid w:val="009739B6"/>
    <w:rsid w:val="00973D91"/>
    <w:rsid w:val="009743E6"/>
    <w:rsid w:val="00974735"/>
    <w:rsid w:val="00974969"/>
    <w:rsid w:val="00975416"/>
    <w:rsid w:val="0097565B"/>
    <w:rsid w:val="0097595D"/>
    <w:rsid w:val="00975F97"/>
    <w:rsid w:val="00976051"/>
    <w:rsid w:val="00976972"/>
    <w:rsid w:val="009773A0"/>
    <w:rsid w:val="00977903"/>
    <w:rsid w:val="0098013A"/>
    <w:rsid w:val="00980898"/>
    <w:rsid w:val="009808A6"/>
    <w:rsid w:val="00980954"/>
    <w:rsid w:val="00980AE3"/>
    <w:rsid w:val="00981A7A"/>
    <w:rsid w:val="00982388"/>
    <w:rsid w:val="00982B4D"/>
    <w:rsid w:val="009849D8"/>
    <w:rsid w:val="00985283"/>
    <w:rsid w:val="00985F89"/>
    <w:rsid w:val="00986566"/>
    <w:rsid w:val="0098678A"/>
    <w:rsid w:val="00986D0F"/>
    <w:rsid w:val="009876F2"/>
    <w:rsid w:val="00987751"/>
    <w:rsid w:val="00987DC6"/>
    <w:rsid w:val="00990DA3"/>
    <w:rsid w:val="00990E85"/>
    <w:rsid w:val="00990EDA"/>
    <w:rsid w:val="00991928"/>
    <w:rsid w:val="0099194D"/>
    <w:rsid w:val="009933F0"/>
    <w:rsid w:val="00993A93"/>
    <w:rsid w:val="00993B8F"/>
    <w:rsid w:val="00993CB2"/>
    <w:rsid w:val="00994198"/>
    <w:rsid w:val="009946F2"/>
    <w:rsid w:val="00994A92"/>
    <w:rsid w:val="009950EF"/>
    <w:rsid w:val="00995E19"/>
    <w:rsid w:val="00996007"/>
    <w:rsid w:val="00996873"/>
    <w:rsid w:val="00996D69"/>
    <w:rsid w:val="00996E97"/>
    <w:rsid w:val="0099720D"/>
    <w:rsid w:val="00997BA5"/>
    <w:rsid w:val="009A00AA"/>
    <w:rsid w:val="009A0895"/>
    <w:rsid w:val="009A09A6"/>
    <w:rsid w:val="009A09D7"/>
    <w:rsid w:val="009A0D09"/>
    <w:rsid w:val="009A0E43"/>
    <w:rsid w:val="009A1175"/>
    <w:rsid w:val="009A19B8"/>
    <w:rsid w:val="009A30A1"/>
    <w:rsid w:val="009A31AA"/>
    <w:rsid w:val="009A3DCA"/>
    <w:rsid w:val="009A3DE7"/>
    <w:rsid w:val="009A4579"/>
    <w:rsid w:val="009A4E3A"/>
    <w:rsid w:val="009A58D2"/>
    <w:rsid w:val="009A62E9"/>
    <w:rsid w:val="009A6C3F"/>
    <w:rsid w:val="009A6DDE"/>
    <w:rsid w:val="009A71D2"/>
    <w:rsid w:val="009A72D5"/>
    <w:rsid w:val="009A731D"/>
    <w:rsid w:val="009A7345"/>
    <w:rsid w:val="009B01F1"/>
    <w:rsid w:val="009B02A1"/>
    <w:rsid w:val="009B06B9"/>
    <w:rsid w:val="009B0A96"/>
    <w:rsid w:val="009B0AD9"/>
    <w:rsid w:val="009B0C8D"/>
    <w:rsid w:val="009B1976"/>
    <w:rsid w:val="009B20D2"/>
    <w:rsid w:val="009B2C28"/>
    <w:rsid w:val="009B3471"/>
    <w:rsid w:val="009B34D8"/>
    <w:rsid w:val="009B357D"/>
    <w:rsid w:val="009B478C"/>
    <w:rsid w:val="009B4ADF"/>
    <w:rsid w:val="009B5342"/>
    <w:rsid w:val="009B66FB"/>
    <w:rsid w:val="009B68FB"/>
    <w:rsid w:val="009B6988"/>
    <w:rsid w:val="009B6CF9"/>
    <w:rsid w:val="009B6E22"/>
    <w:rsid w:val="009B72B2"/>
    <w:rsid w:val="009B731A"/>
    <w:rsid w:val="009B760A"/>
    <w:rsid w:val="009B7DAB"/>
    <w:rsid w:val="009C0153"/>
    <w:rsid w:val="009C0612"/>
    <w:rsid w:val="009C0A98"/>
    <w:rsid w:val="009C0E79"/>
    <w:rsid w:val="009C0F6A"/>
    <w:rsid w:val="009C1697"/>
    <w:rsid w:val="009C1FE9"/>
    <w:rsid w:val="009C2161"/>
    <w:rsid w:val="009C252B"/>
    <w:rsid w:val="009C256C"/>
    <w:rsid w:val="009C2770"/>
    <w:rsid w:val="009C2CB5"/>
    <w:rsid w:val="009C31C0"/>
    <w:rsid w:val="009C380F"/>
    <w:rsid w:val="009C407C"/>
    <w:rsid w:val="009C46DD"/>
    <w:rsid w:val="009C496E"/>
    <w:rsid w:val="009C4F54"/>
    <w:rsid w:val="009C52FD"/>
    <w:rsid w:val="009C5794"/>
    <w:rsid w:val="009C5BF0"/>
    <w:rsid w:val="009C6A9F"/>
    <w:rsid w:val="009C6B11"/>
    <w:rsid w:val="009C6F36"/>
    <w:rsid w:val="009C7A39"/>
    <w:rsid w:val="009C7B6C"/>
    <w:rsid w:val="009C7E2F"/>
    <w:rsid w:val="009D0364"/>
    <w:rsid w:val="009D0973"/>
    <w:rsid w:val="009D0AA9"/>
    <w:rsid w:val="009D0DA4"/>
    <w:rsid w:val="009D1334"/>
    <w:rsid w:val="009D13FE"/>
    <w:rsid w:val="009D1FD1"/>
    <w:rsid w:val="009D2216"/>
    <w:rsid w:val="009D2369"/>
    <w:rsid w:val="009D2624"/>
    <w:rsid w:val="009D2664"/>
    <w:rsid w:val="009D2D7F"/>
    <w:rsid w:val="009D30FF"/>
    <w:rsid w:val="009D3EC3"/>
    <w:rsid w:val="009D3F2A"/>
    <w:rsid w:val="009D40E9"/>
    <w:rsid w:val="009D476E"/>
    <w:rsid w:val="009D52F3"/>
    <w:rsid w:val="009D5D52"/>
    <w:rsid w:val="009D6496"/>
    <w:rsid w:val="009D6568"/>
    <w:rsid w:val="009D6989"/>
    <w:rsid w:val="009D73B4"/>
    <w:rsid w:val="009D74E6"/>
    <w:rsid w:val="009D7B1D"/>
    <w:rsid w:val="009D7CAB"/>
    <w:rsid w:val="009D7EE3"/>
    <w:rsid w:val="009E054D"/>
    <w:rsid w:val="009E0D93"/>
    <w:rsid w:val="009E0D96"/>
    <w:rsid w:val="009E19D0"/>
    <w:rsid w:val="009E1B59"/>
    <w:rsid w:val="009E216F"/>
    <w:rsid w:val="009E2820"/>
    <w:rsid w:val="009E3551"/>
    <w:rsid w:val="009E3634"/>
    <w:rsid w:val="009E38E7"/>
    <w:rsid w:val="009E3D30"/>
    <w:rsid w:val="009E3DF2"/>
    <w:rsid w:val="009E4000"/>
    <w:rsid w:val="009E408D"/>
    <w:rsid w:val="009E4172"/>
    <w:rsid w:val="009E46DA"/>
    <w:rsid w:val="009E478F"/>
    <w:rsid w:val="009E4AEE"/>
    <w:rsid w:val="009E4F7D"/>
    <w:rsid w:val="009E566A"/>
    <w:rsid w:val="009E5DEE"/>
    <w:rsid w:val="009E6321"/>
    <w:rsid w:val="009E6AA7"/>
    <w:rsid w:val="009E6ECF"/>
    <w:rsid w:val="009E6EE2"/>
    <w:rsid w:val="009E76C9"/>
    <w:rsid w:val="009E7DA6"/>
    <w:rsid w:val="009F0442"/>
    <w:rsid w:val="009F0582"/>
    <w:rsid w:val="009F05EC"/>
    <w:rsid w:val="009F06BB"/>
    <w:rsid w:val="009F07CE"/>
    <w:rsid w:val="009F0821"/>
    <w:rsid w:val="009F10E8"/>
    <w:rsid w:val="009F1190"/>
    <w:rsid w:val="009F1E0F"/>
    <w:rsid w:val="009F24D5"/>
    <w:rsid w:val="009F24EA"/>
    <w:rsid w:val="009F257A"/>
    <w:rsid w:val="009F268A"/>
    <w:rsid w:val="009F27C5"/>
    <w:rsid w:val="009F2A3A"/>
    <w:rsid w:val="009F3E72"/>
    <w:rsid w:val="009F406B"/>
    <w:rsid w:val="009F4195"/>
    <w:rsid w:val="009F5389"/>
    <w:rsid w:val="009F53CA"/>
    <w:rsid w:val="009F5BEE"/>
    <w:rsid w:val="009F62E1"/>
    <w:rsid w:val="009F64D1"/>
    <w:rsid w:val="009F684F"/>
    <w:rsid w:val="009F6C5E"/>
    <w:rsid w:val="009F6DE2"/>
    <w:rsid w:val="009F70FD"/>
    <w:rsid w:val="009F7650"/>
    <w:rsid w:val="009F7B1F"/>
    <w:rsid w:val="009F7DC2"/>
    <w:rsid w:val="00A00DA7"/>
    <w:rsid w:val="00A00F51"/>
    <w:rsid w:val="00A013CC"/>
    <w:rsid w:val="00A0146B"/>
    <w:rsid w:val="00A01690"/>
    <w:rsid w:val="00A01928"/>
    <w:rsid w:val="00A022B0"/>
    <w:rsid w:val="00A025E2"/>
    <w:rsid w:val="00A02706"/>
    <w:rsid w:val="00A028A2"/>
    <w:rsid w:val="00A02E3E"/>
    <w:rsid w:val="00A0342C"/>
    <w:rsid w:val="00A04180"/>
    <w:rsid w:val="00A05176"/>
    <w:rsid w:val="00A05C17"/>
    <w:rsid w:val="00A05D8D"/>
    <w:rsid w:val="00A064FC"/>
    <w:rsid w:val="00A06F16"/>
    <w:rsid w:val="00A06F35"/>
    <w:rsid w:val="00A0732D"/>
    <w:rsid w:val="00A07C50"/>
    <w:rsid w:val="00A07E01"/>
    <w:rsid w:val="00A07FBF"/>
    <w:rsid w:val="00A10A55"/>
    <w:rsid w:val="00A10C1D"/>
    <w:rsid w:val="00A110DE"/>
    <w:rsid w:val="00A1174E"/>
    <w:rsid w:val="00A11BF7"/>
    <w:rsid w:val="00A11D87"/>
    <w:rsid w:val="00A121B9"/>
    <w:rsid w:val="00A123B1"/>
    <w:rsid w:val="00A12BCB"/>
    <w:rsid w:val="00A13042"/>
    <w:rsid w:val="00A13269"/>
    <w:rsid w:val="00A142A8"/>
    <w:rsid w:val="00A1437B"/>
    <w:rsid w:val="00A14560"/>
    <w:rsid w:val="00A145F1"/>
    <w:rsid w:val="00A149C0"/>
    <w:rsid w:val="00A15813"/>
    <w:rsid w:val="00A15AEB"/>
    <w:rsid w:val="00A15CFA"/>
    <w:rsid w:val="00A16CC8"/>
    <w:rsid w:val="00A1714B"/>
    <w:rsid w:val="00A174CC"/>
    <w:rsid w:val="00A17586"/>
    <w:rsid w:val="00A17997"/>
    <w:rsid w:val="00A20049"/>
    <w:rsid w:val="00A204D0"/>
    <w:rsid w:val="00A205C3"/>
    <w:rsid w:val="00A20961"/>
    <w:rsid w:val="00A21094"/>
    <w:rsid w:val="00A21498"/>
    <w:rsid w:val="00A215A6"/>
    <w:rsid w:val="00A21682"/>
    <w:rsid w:val="00A21EE5"/>
    <w:rsid w:val="00A21FBB"/>
    <w:rsid w:val="00A2232C"/>
    <w:rsid w:val="00A226F0"/>
    <w:rsid w:val="00A233B5"/>
    <w:rsid w:val="00A23695"/>
    <w:rsid w:val="00A23FB5"/>
    <w:rsid w:val="00A24E0A"/>
    <w:rsid w:val="00A252E6"/>
    <w:rsid w:val="00A25A86"/>
    <w:rsid w:val="00A264EC"/>
    <w:rsid w:val="00A26BD7"/>
    <w:rsid w:val="00A26C1F"/>
    <w:rsid w:val="00A27878"/>
    <w:rsid w:val="00A27B72"/>
    <w:rsid w:val="00A301F4"/>
    <w:rsid w:val="00A302C9"/>
    <w:rsid w:val="00A313B3"/>
    <w:rsid w:val="00A31631"/>
    <w:rsid w:val="00A31AA1"/>
    <w:rsid w:val="00A32185"/>
    <w:rsid w:val="00A3269F"/>
    <w:rsid w:val="00A3285E"/>
    <w:rsid w:val="00A32ED5"/>
    <w:rsid w:val="00A33940"/>
    <w:rsid w:val="00A344AC"/>
    <w:rsid w:val="00A34739"/>
    <w:rsid w:val="00A34991"/>
    <w:rsid w:val="00A34BD9"/>
    <w:rsid w:val="00A3515F"/>
    <w:rsid w:val="00A35788"/>
    <w:rsid w:val="00A35EFC"/>
    <w:rsid w:val="00A35F10"/>
    <w:rsid w:val="00A3608F"/>
    <w:rsid w:val="00A362D3"/>
    <w:rsid w:val="00A36337"/>
    <w:rsid w:val="00A36BEC"/>
    <w:rsid w:val="00A36EAF"/>
    <w:rsid w:val="00A37161"/>
    <w:rsid w:val="00A37338"/>
    <w:rsid w:val="00A37470"/>
    <w:rsid w:val="00A379B5"/>
    <w:rsid w:val="00A40459"/>
    <w:rsid w:val="00A40FD1"/>
    <w:rsid w:val="00A410A0"/>
    <w:rsid w:val="00A415D1"/>
    <w:rsid w:val="00A41AF1"/>
    <w:rsid w:val="00A42B7D"/>
    <w:rsid w:val="00A42D53"/>
    <w:rsid w:val="00A42E40"/>
    <w:rsid w:val="00A4301E"/>
    <w:rsid w:val="00A43864"/>
    <w:rsid w:val="00A43B15"/>
    <w:rsid w:val="00A43CA2"/>
    <w:rsid w:val="00A43D71"/>
    <w:rsid w:val="00A43FC5"/>
    <w:rsid w:val="00A4412A"/>
    <w:rsid w:val="00A443A5"/>
    <w:rsid w:val="00A444CC"/>
    <w:rsid w:val="00A44720"/>
    <w:rsid w:val="00A4473F"/>
    <w:rsid w:val="00A44C2A"/>
    <w:rsid w:val="00A45100"/>
    <w:rsid w:val="00A45121"/>
    <w:rsid w:val="00A45F78"/>
    <w:rsid w:val="00A465BD"/>
    <w:rsid w:val="00A46967"/>
    <w:rsid w:val="00A47B30"/>
    <w:rsid w:val="00A47E17"/>
    <w:rsid w:val="00A50BCE"/>
    <w:rsid w:val="00A51DFC"/>
    <w:rsid w:val="00A52A14"/>
    <w:rsid w:val="00A52B68"/>
    <w:rsid w:val="00A543D9"/>
    <w:rsid w:val="00A546F3"/>
    <w:rsid w:val="00A54D96"/>
    <w:rsid w:val="00A5528D"/>
    <w:rsid w:val="00A556B9"/>
    <w:rsid w:val="00A564BA"/>
    <w:rsid w:val="00A56A5B"/>
    <w:rsid w:val="00A5757E"/>
    <w:rsid w:val="00A57BE0"/>
    <w:rsid w:val="00A57D30"/>
    <w:rsid w:val="00A60AE2"/>
    <w:rsid w:val="00A61374"/>
    <w:rsid w:val="00A61AC3"/>
    <w:rsid w:val="00A61D30"/>
    <w:rsid w:val="00A62194"/>
    <w:rsid w:val="00A623A5"/>
    <w:rsid w:val="00A632E8"/>
    <w:rsid w:val="00A63ADF"/>
    <w:rsid w:val="00A63E5C"/>
    <w:rsid w:val="00A64398"/>
    <w:rsid w:val="00A64B15"/>
    <w:rsid w:val="00A65230"/>
    <w:rsid w:val="00A65665"/>
    <w:rsid w:val="00A65A2A"/>
    <w:rsid w:val="00A65B59"/>
    <w:rsid w:val="00A65C55"/>
    <w:rsid w:val="00A66595"/>
    <w:rsid w:val="00A667EF"/>
    <w:rsid w:val="00A6683D"/>
    <w:rsid w:val="00A66B74"/>
    <w:rsid w:val="00A67053"/>
    <w:rsid w:val="00A67909"/>
    <w:rsid w:val="00A67EAA"/>
    <w:rsid w:val="00A700E2"/>
    <w:rsid w:val="00A702E2"/>
    <w:rsid w:val="00A703DC"/>
    <w:rsid w:val="00A7076F"/>
    <w:rsid w:val="00A718DD"/>
    <w:rsid w:val="00A71CAB"/>
    <w:rsid w:val="00A71CFE"/>
    <w:rsid w:val="00A71E1D"/>
    <w:rsid w:val="00A72473"/>
    <w:rsid w:val="00A72C4C"/>
    <w:rsid w:val="00A72CA1"/>
    <w:rsid w:val="00A731B9"/>
    <w:rsid w:val="00A732C0"/>
    <w:rsid w:val="00A743AB"/>
    <w:rsid w:val="00A74AEA"/>
    <w:rsid w:val="00A74B01"/>
    <w:rsid w:val="00A74FEF"/>
    <w:rsid w:val="00A75060"/>
    <w:rsid w:val="00A75743"/>
    <w:rsid w:val="00A762CC"/>
    <w:rsid w:val="00A7662D"/>
    <w:rsid w:val="00A76673"/>
    <w:rsid w:val="00A768EE"/>
    <w:rsid w:val="00A76C17"/>
    <w:rsid w:val="00A77496"/>
    <w:rsid w:val="00A7758B"/>
    <w:rsid w:val="00A775D6"/>
    <w:rsid w:val="00A80757"/>
    <w:rsid w:val="00A80A9F"/>
    <w:rsid w:val="00A80B2C"/>
    <w:rsid w:val="00A80C31"/>
    <w:rsid w:val="00A821CD"/>
    <w:rsid w:val="00A828E7"/>
    <w:rsid w:val="00A82997"/>
    <w:rsid w:val="00A82C5B"/>
    <w:rsid w:val="00A82F1E"/>
    <w:rsid w:val="00A8341B"/>
    <w:rsid w:val="00A8341F"/>
    <w:rsid w:val="00A839E3"/>
    <w:rsid w:val="00A839FB"/>
    <w:rsid w:val="00A83B16"/>
    <w:rsid w:val="00A83CFA"/>
    <w:rsid w:val="00A83F16"/>
    <w:rsid w:val="00A84388"/>
    <w:rsid w:val="00A843F6"/>
    <w:rsid w:val="00A84416"/>
    <w:rsid w:val="00A84586"/>
    <w:rsid w:val="00A8469C"/>
    <w:rsid w:val="00A84C1F"/>
    <w:rsid w:val="00A84E8B"/>
    <w:rsid w:val="00A85120"/>
    <w:rsid w:val="00A852B5"/>
    <w:rsid w:val="00A85917"/>
    <w:rsid w:val="00A8598C"/>
    <w:rsid w:val="00A85C21"/>
    <w:rsid w:val="00A85C85"/>
    <w:rsid w:val="00A85CFA"/>
    <w:rsid w:val="00A85DD1"/>
    <w:rsid w:val="00A8692A"/>
    <w:rsid w:val="00A86BC2"/>
    <w:rsid w:val="00A86D35"/>
    <w:rsid w:val="00A87101"/>
    <w:rsid w:val="00A871EE"/>
    <w:rsid w:val="00A87563"/>
    <w:rsid w:val="00A87777"/>
    <w:rsid w:val="00A90605"/>
    <w:rsid w:val="00A90B0A"/>
    <w:rsid w:val="00A90CCD"/>
    <w:rsid w:val="00A90E16"/>
    <w:rsid w:val="00A9131A"/>
    <w:rsid w:val="00A91352"/>
    <w:rsid w:val="00A91AB8"/>
    <w:rsid w:val="00A928ED"/>
    <w:rsid w:val="00A92BE1"/>
    <w:rsid w:val="00A938FD"/>
    <w:rsid w:val="00A94189"/>
    <w:rsid w:val="00A941A9"/>
    <w:rsid w:val="00A94504"/>
    <w:rsid w:val="00A94C78"/>
    <w:rsid w:val="00A95C87"/>
    <w:rsid w:val="00A95F8C"/>
    <w:rsid w:val="00A960E5"/>
    <w:rsid w:val="00A9646E"/>
    <w:rsid w:val="00A9667C"/>
    <w:rsid w:val="00A96BF0"/>
    <w:rsid w:val="00A972E2"/>
    <w:rsid w:val="00AA0333"/>
    <w:rsid w:val="00AA04A8"/>
    <w:rsid w:val="00AA0D78"/>
    <w:rsid w:val="00AA2472"/>
    <w:rsid w:val="00AA27B0"/>
    <w:rsid w:val="00AA2A33"/>
    <w:rsid w:val="00AA39E2"/>
    <w:rsid w:val="00AA55FC"/>
    <w:rsid w:val="00AA56A2"/>
    <w:rsid w:val="00AA57A3"/>
    <w:rsid w:val="00AA5D01"/>
    <w:rsid w:val="00AA61FB"/>
    <w:rsid w:val="00AA6257"/>
    <w:rsid w:val="00AA6661"/>
    <w:rsid w:val="00AA67D2"/>
    <w:rsid w:val="00AA6DA4"/>
    <w:rsid w:val="00AA6E06"/>
    <w:rsid w:val="00AA7510"/>
    <w:rsid w:val="00AA7575"/>
    <w:rsid w:val="00AA781F"/>
    <w:rsid w:val="00AB058A"/>
    <w:rsid w:val="00AB0ACC"/>
    <w:rsid w:val="00AB0D45"/>
    <w:rsid w:val="00AB0EF5"/>
    <w:rsid w:val="00AB0FCC"/>
    <w:rsid w:val="00AB1C17"/>
    <w:rsid w:val="00AB29AA"/>
    <w:rsid w:val="00AB2C4D"/>
    <w:rsid w:val="00AB2D98"/>
    <w:rsid w:val="00AB2F46"/>
    <w:rsid w:val="00AB349A"/>
    <w:rsid w:val="00AB3535"/>
    <w:rsid w:val="00AB3B01"/>
    <w:rsid w:val="00AB3DFA"/>
    <w:rsid w:val="00AB4941"/>
    <w:rsid w:val="00AB53BD"/>
    <w:rsid w:val="00AB53D4"/>
    <w:rsid w:val="00AB5641"/>
    <w:rsid w:val="00AB59E7"/>
    <w:rsid w:val="00AB5E0E"/>
    <w:rsid w:val="00AB62D2"/>
    <w:rsid w:val="00AB6896"/>
    <w:rsid w:val="00AB6DE5"/>
    <w:rsid w:val="00AB7475"/>
    <w:rsid w:val="00AB7774"/>
    <w:rsid w:val="00AB77CE"/>
    <w:rsid w:val="00AC042C"/>
    <w:rsid w:val="00AC0450"/>
    <w:rsid w:val="00AC0BB7"/>
    <w:rsid w:val="00AC3F74"/>
    <w:rsid w:val="00AC406B"/>
    <w:rsid w:val="00AC4569"/>
    <w:rsid w:val="00AC4904"/>
    <w:rsid w:val="00AC52F9"/>
    <w:rsid w:val="00AC53B4"/>
    <w:rsid w:val="00AC5A24"/>
    <w:rsid w:val="00AC643F"/>
    <w:rsid w:val="00AC69B8"/>
    <w:rsid w:val="00AC6AE9"/>
    <w:rsid w:val="00AC6B87"/>
    <w:rsid w:val="00AC6C8A"/>
    <w:rsid w:val="00AC71D8"/>
    <w:rsid w:val="00AC7975"/>
    <w:rsid w:val="00AD0100"/>
    <w:rsid w:val="00AD0454"/>
    <w:rsid w:val="00AD0567"/>
    <w:rsid w:val="00AD074E"/>
    <w:rsid w:val="00AD0918"/>
    <w:rsid w:val="00AD0952"/>
    <w:rsid w:val="00AD0A3E"/>
    <w:rsid w:val="00AD226D"/>
    <w:rsid w:val="00AD2375"/>
    <w:rsid w:val="00AD23F0"/>
    <w:rsid w:val="00AD27A4"/>
    <w:rsid w:val="00AD28C0"/>
    <w:rsid w:val="00AD3305"/>
    <w:rsid w:val="00AD3F03"/>
    <w:rsid w:val="00AD4EA2"/>
    <w:rsid w:val="00AD4F98"/>
    <w:rsid w:val="00AD6163"/>
    <w:rsid w:val="00AD617B"/>
    <w:rsid w:val="00AD7577"/>
    <w:rsid w:val="00AD78F5"/>
    <w:rsid w:val="00AD7B65"/>
    <w:rsid w:val="00AD7CF6"/>
    <w:rsid w:val="00AD7E92"/>
    <w:rsid w:val="00AD7F8A"/>
    <w:rsid w:val="00AE0399"/>
    <w:rsid w:val="00AE0DA0"/>
    <w:rsid w:val="00AE177D"/>
    <w:rsid w:val="00AE1974"/>
    <w:rsid w:val="00AE1ECF"/>
    <w:rsid w:val="00AE23F6"/>
    <w:rsid w:val="00AE28C6"/>
    <w:rsid w:val="00AE28E2"/>
    <w:rsid w:val="00AE2A55"/>
    <w:rsid w:val="00AE31E1"/>
    <w:rsid w:val="00AE3D7D"/>
    <w:rsid w:val="00AE4D1C"/>
    <w:rsid w:val="00AE4E58"/>
    <w:rsid w:val="00AE59D3"/>
    <w:rsid w:val="00AE64C6"/>
    <w:rsid w:val="00AE68DD"/>
    <w:rsid w:val="00AE6D0A"/>
    <w:rsid w:val="00AE723F"/>
    <w:rsid w:val="00AE7395"/>
    <w:rsid w:val="00AE7591"/>
    <w:rsid w:val="00AE7A2E"/>
    <w:rsid w:val="00AE7A63"/>
    <w:rsid w:val="00AE7F83"/>
    <w:rsid w:val="00AF0062"/>
    <w:rsid w:val="00AF0F38"/>
    <w:rsid w:val="00AF1315"/>
    <w:rsid w:val="00AF1C15"/>
    <w:rsid w:val="00AF2B18"/>
    <w:rsid w:val="00AF3053"/>
    <w:rsid w:val="00AF329F"/>
    <w:rsid w:val="00AF3689"/>
    <w:rsid w:val="00AF384E"/>
    <w:rsid w:val="00AF4179"/>
    <w:rsid w:val="00AF46B4"/>
    <w:rsid w:val="00AF4712"/>
    <w:rsid w:val="00AF4C66"/>
    <w:rsid w:val="00AF5077"/>
    <w:rsid w:val="00AF5234"/>
    <w:rsid w:val="00AF55AB"/>
    <w:rsid w:val="00AF56B6"/>
    <w:rsid w:val="00AF58E7"/>
    <w:rsid w:val="00AF5926"/>
    <w:rsid w:val="00AF6538"/>
    <w:rsid w:val="00AF691D"/>
    <w:rsid w:val="00AF69BD"/>
    <w:rsid w:val="00AF730A"/>
    <w:rsid w:val="00AF743A"/>
    <w:rsid w:val="00AF762B"/>
    <w:rsid w:val="00AF774C"/>
    <w:rsid w:val="00B00F8A"/>
    <w:rsid w:val="00B010C0"/>
    <w:rsid w:val="00B01AE3"/>
    <w:rsid w:val="00B01DE1"/>
    <w:rsid w:val="00B01EED"/>
    <w:rsid w:val="00B022BA"/>
    <w:rsid w:val="00B02918"/>
    <w:rsid w:val="00B02E18"/>
    <w:rsid w:val="00B04A10"/>
    <w:rsid w:val="00B04E61"/>
    <w:rsid w:val="00B05A83"/>
    <w:rsid w:val="00B05D1E"/>
    <w:rsid w:val="00B05F01"/>
    <w:rsid w:val="00B0642A"/>
    <w:rsid w:val="00B06A0D"/>
    <w:rsid w:val="00B06B0E"/>
    <w:rsid w:val="00B06E0F"/>
    <w:rsid w:val="00B0773E"/>
    <w:rsid w:val="00B07F2F"/>
    <w:rsid w:val="00B10FF5"/>
    <w:rsid w:val="00B11029"/>
    <w:rsid w:val="00B112D4"/>
    <w:rsid w:val="00B117C2"/>
    <w:rsid w:val="00B11FDA"/>
    <w:rsid w:val="00B127FA"/>
    <w:rsid w:val="00B13897"/>
    <w:rsid w:val="00B14AE6"/>
    <w:rsid w:val="00B14BDA"/>
    <w:rsid w:val="00B14EE7"/>
    <w:rsid w:val="00B156F2"/>
    <w:rsid w:val="00B16E86"/>
    <w:rsid w:val="00B1703D"/>
    <w:rsid w:val="00B1733E"/>
    <w:rsid w:val="00B17BB6"/>
    <w:rsid w:val="00B17CAC"/>
    <w:rsid w:val="00B17DAC"/>
    <w:rsid w:val="00B203B2"/>
    <w:rsid w:val="00B20BF5"/>
    <w:rsid w:val="00B20F1F"/>
    <w:rsid w:val="00B2108E"/>
    <w:rsid w:val="00B21D97"/>
    <w:rsid w:val="00B21ED7"/>
    <w:rsid w:val="00B2223E"/>
    <w:rsid w:val="00B22271"/>
    <w:rsid w:val="00B22D50"/>
    <w:rsid w:val="00B22FCC"/>
    <w:rsid w:val="00B234EF"/>
    <w:rsid w:val="00B239E7"/>
    <w:rsid w:val="00B23CEA"/>
    <w:rsid w:val="00B240CD"/>
    <w:rsid w:val="00B2446C"/>
    <w:rsid w:val="00B246A2"/>
    <w:rsid w:val="00B24921"/>
    <w:rsid w:val="00B24DAC"/>
    <w:rsid w:val="00B24EBD"/>
    <w:rsid w:val="00B24FD8"/>
    <w:rsid w:val="00B2524D"/>
    <w:rsid w:val="00B25EAD"/>
    <w:rsid w:val="00B26BB1"/>
    <w:rsid w:val="00B27E2F"/>
    <w:rsid w:val="00B27F97"/>
    <w:rsid w:val="00B30825"/>
    <w:rsid w:val="00B30FAC"/>
    <w:rsid w:val="00B31045"/>
    <w:rsid w:val="00B31244"/>
    <w:rsid w:val="00B31D90"/>
    <w:rsid w:val="00B321F2"/>
    <w:rsid w:val="00B32606"/>
    <w:rsid w:val="00B32781"/>
    <w:rsid w:val="00B3294B"/>
    <w:rsid w:val="00B338B7"/>
    <w:rsid w:val="00B34148"/>
    <w:rsid w:val="00B348EA"/>
    <w:rsid w:val="00B34BF6"/>
    <w:rsid w:val="00B3571D"/>
    <w:rsid w:val="00B35AB2"/>
    <w:rsid w:val="00B363FA"/>
    <w:rsid w:val="00B3671D"/>
    <w:rsid w:val="00B370A9"/>
    <w:rsid w:val="00B37B0A"/>
    <w:rsid w:val="00B37F73"/>
    <w:rsid w:val="00B3FAE9"/>
    <w:rsid w:val="00B406C7"/>
    <w:rsid w:val="00B40E7A"/>
    <w:rsid w:val="00B40EB0"/>
    <w:rsid w:val="00B415A2"/>
    <w:rsid w:val="00B42782"/>
    <w:rsid w:val="00B427D7"/>
    <w:rsid w:val="00B428F7"/>
    <w:rsid w:val="00B42C74"/>
    <w:rsid w:val="00B42F9A"/>
    <w:rsid w:val="00B432D0"/>
    <w:rsid w:val="00B43801"/>
    <w:rsid w:val="00B43B29"/>
    <w:rsid w:val="00B43FD0"/>
    <w:rsid w:val="00B4409D"/>
    <w:rsid w:val="00B440D4"/>
    <w:rsid w:val="00B44471"/>
    <w:rsid w:val="00B447CC"/>
    <w:rsid w:val="00B451F8"/>
    <w:rsid w:val="00B45C65"/>
    <w:rsid w:val="00B46401"/>
    <w:rsid w:val="00B46928"/>
    <w:rsid w:val="00B47592"/>
    <w:rsid w:val="00B47AED"/>
    <w:rsid w:val="00B5005E"/>
    <w:rsid w:val="00B5020E"/>
    <w:rsid w:val="00B504C2"/>
    <w:rsid w:val="00B50665"/>
    <w:rsid w:val="00B50880"/>
    <w:rsid w:val="00B509DF"/>
    <w:rsid w:val="00B50B2E"/>
    <w:rsid w:val="00B50C1A"/>
    <w:rsid w:val="00B514A5"/>
    <w:rsid w:val="00B514EB"/>
    <w:rsid w:val="00B51648"/>
    <w:rsid w:val="00B51666"/>
    <w:rsid w:val="00B523B4"/>
    <w:rsid w:val="00B52A1D"/>
    <w:rsid w:val="00B52E0A"/>
    <w:rsid w:val="00B52E93"/>
    <w:rsid w:val="00B533EF"/>
    <w:rsid w:val="00B540E3"/>
    <w:rsid w:val="00B54232"/>
    <w:rsid w:val="00B54381"/>
    <w:rsid w:val="00B54F20"/>
    <w:rsid w:val="00B551B0"/>
    <w:rsid w:val="00B56579"/>
    <w:rsid w:val="00B56E63"/>
    <w:rsid w:val="00B579FC"/>
    <w:rsid w:val="00B60186"/>
    <w:rsid w:val="00B603A1"/>
    <w:rsid w:val="00B60444"/>
    <w:rsid w:val="00B60496"/>
    <w:rsid w:val="00B60A69"/>
    <w:rsid w:val="00B60C73"/>
    <w:rsid w:val="00B613C1"/>
    <w:rsid w:val="00B61C34"/>
    <w:rsid w:val="00B62097"/>
    <w:rsid w:val="00B6212E"/>
    <w:rsid w:val="00B623D9"/>
    <w:rsid w:val="00B62F27"/>
    <w:rsid w:val="00B63263"/>
    <w:rsid w:val="00B637F9"/>
    <w:rsid w:val="00B63969"/>
    <w:rsid w:val="00B63EFB"/>
    <w:rsid w:val="00B640C7"/>
    <w:rsid w:val="00B641C6"/>
    <w:rsid w:val="00B64DDE"/>
    <w:rsid w:val="00B65805"/>
    <w:rsid w:val="00B65A1A"/>
    <w:rsid w:val="00B668E8"/>
    <w:rsid w:val="00B66C6F"/>
    <w:rsid w:val="00B66D45"/>
    <w:rsid w:val="00B66F2E"/>
    <w:rsid w:val="00B66F98"/>
    <w:rsid w:val="00B67060"/>
    <w:rsid w:val="00B6749D"/>
    <w:rsid w:val="00B70313"/>
    <w:rsid w:val="00B70B1D"/>
    <w:rsid w:val="00B70C14"/>
    <w:rsid w:val="00B71BEF"/>
    <w:rsid w:val="00B7245A"/>
    <w:rsid w:val="00B72723"/>
    <w:rsid w:val="00B72DF1"/>
    <w:rsid w:val="00B73C5F"/>
    <w:rsid w:val="00B74B63"/>
    <w:rsid w:val="00B74D54"/>
    <w:rsid w:val="00B760AA"/>
    <w:rsid w:val="00B7693C"/>
    <w:rsid w:val="00B76C96"/>
    <w:rsid w:val="00B770BA"/>
    <w:rsid w:val="00B77D95"/>
    <w:rsid w:val="00B80428"/>
    <w:rsid w:val="00B808A5"/>
    <w:rsid w:val="00B80938"/>
    <w:rsid w:val="00B80B73"/>
    <w:rsid w:val="00B81792"/>
    <w:rsid w:val="00B81CC7"/>
    <w:rsid w:val="00B8219E"/>
    <w:rsid w:val="00B8292C"/>
    <w:rsid w:val="00B82DCC"/>
    <w:rsid w:val="00B83A89"/>
    <w:rsid w:val="00B84040"/>
    <w:rsid w:val="00B84398"/>
    <w:rsid w:val="00B848D5"/>
    <w:rsid w:val="00B84E37"/>
    <w:rsid w:val="00B859BC"/>
    <w:rsid w:val="00B86CB0"/>
    <w:rsid w:val="00B86E44"/>
    <w:rsid w:val="00B87120"/>
    <w:rsid w:val="00B872EB"/>
    <w:rsid w:val="00B8758F"/>
    <w:rsid w:val="00B878A1"/>
    <w:rsid w:val="00B87A44"/>
    <w:rsid w:val="00B9052E"/>
    <w:rsid w:val="00B90A17"/>
    <w:rsid w:val="00B91665"/>
    <w:rsid w:val="00B91902"/>
    <w:rsid w:val="00B91A4E"/>
    <w:rsid w:val="00B91E6F"/>
    <w:rsid w:val="00B921AF"/>
    <w:rsid w:val="00B92317"/>
    <w:rsid w:val="00B92672"/>
    <w:rsid w:val="00B92AC9"/>
    <w:rsid w:val="00B9364F"/>
    <w:rsid w:val="00B9373F"/>
    <w:rsid w:val="00B93A8D"/>
    <w:rsid w:val="00B93F4F"/>
    <w:rsid w:val="00B93F83"/>
    <w:rsid w:val="00B940B0"/>
    <w:rsid w:val="00B9488C"/>
    <w:rsid w:val="00B949C3"/>
    <w:rsid w:val="00B94F71"/>
    <w:rsid w:val="00B95191"/>
    <w:rsid w:val="00B96397"/>
    <w:rsid w:val="00B965AD"/>
    <w:rsid w:val="00B96D40"/>
    <w:rsid w:val="00B96E4B"/>
    <w:rsid w:val="00B9724D"/>
    <w:rsid w:val="00B9743F"/>
    <w:rsid w:val="00B979E4"/>
    <w:rsid w:val="00BA051E"/>
    <w:rsid w:val="00BA0D29"/>
    <w:rsid w:val="00BA1824"/>
    <w:rsid w:val="00BA25AD"/>
    <w:rsid w:val="00BA27D1"/>
    <w:rsid w:val="00BA2853"/>
    <w:rsid w:val="00BA34BF"/>
    <w:rsid w:val="00BA3536"/>
    <w:rsid w:val="00BA3C5D"/>
    <w:rsid w:val="00BA3F75"/>
    <w:rsid w:val="00BA49CE"/>
    <w:rsid w:val="00BA5863"/>
    <w:rsid w:val="00BA713F"/>
    <w:rsid w:val="00BA74F5"/>
    <w:rsid w:val="00BA7BED"/>
    <w:rsid w:val="00BA7ECF"/>
    <w:rsid w:val="00BB0289"/>
    <w:rsid w:val="00BB064B"/>
    <w:rsid w:val="00BB0722"/>
    <w:rsid w:val="00BB0BCA"/>
    <w:rsid w:val="00BB1168"/>
    <w:rsid w:val="00BB14F4"/>
    <w:rsid w:val="00BB1CB3"/>
    <w:rsid w:val="00BB294A"/>
    <w:rsid w:val="00BB2A19"/>
    <w:rsid w:val="00BB2AA1"/>
    <w:rsid w:val="00BB2B4B"/>
    <w:rsid w:val="00BB312E"/>
    <w:rsid w:val="00BB38CB"/>
    <w:rsid w:val="00BB39D7"/>
    <w:rsid w:val="00BB3C80"/>
    <w:rsid w:val="00BB42A7"/>
    <w:rsid w:val="00BB5AAA"/>
    <w:rsid w:val="00BB5AB4"/>
    <w:rsid w:val="00BB661D"/>
    <w:rsid w:val="00BB6964"/>
    <w:rsid w:val="00BB6D20"/>
    <w:rsid w:val="00BB6E65"/>
    <w:rsid w:val="00BB7143"/>
    <w:rsid w:val="00BB75A9"/>
    <w:rsid w:val="00BB7685"/>
    <w:rsid w:val="00BB7980"/>
    <w:rsid w:val="00BB7D72"/>
    <w:rsid w:val="00BC00A4"/>
    <w:rsid w:val="00BC00D3"/>
    <w:rsid w:val="00BC0642"/>
    <w:rsid w:val="00BC0A7C"/>
    <w:rsid w:val="00BC0C3A"/>
    <w:rsid w:val="00BC13FC"/>
    <w:rsid w:val="00BC1A35"/>
    <w:rsid w:val="00BC1D22"/>
    <w:rsid w:val="00BC1F4C"/>
    <w:rsid w:val="00BC22FA"/>
    <w:rsid w:val="00BC2342"/>
    <w:rsid w:val="00BC2ED4"/>
    <w:rsid w:val="00BC30CB"/>
    <w:rsid w:val="00BC3542"/>
    <w:rsid w:val="00BC362E"/>
    <w:rsid w:val="00BC3A31"/>
    <w:rsid w:val="00BC3A74"/>
    <w:rsid w:val="00BC4267"/>
    <w:rsid w:val="00BC4692"/>
    <w:rsid w:val="00BC46A5"/>
    <w:rsid w:val="00BC4705"/>
    <w:rsid w:val="00BC47F4"/>
    <w:rsid w:val="00BC4957"/>
    <w:rsid w:val="00BC4C97"/>
    <w:rsid w:val="00BC4D0F"/>
    <w:rsid w:val="00BC548C"/>
    <w:rsid w:val="00BC5CB0"/>
    <w:rsid w:val="00BC5DCC"/>
    <w:rsid w:val="00BC6A01"/>
    <w:rsid w:val="00BC7307"/>
    <w:rsid w:val="00BC7ABB"/>
    <w:rsid w:val="00BC7AE6"/>
    <w:rsid w:val="00BC7B40"/>
    <w:rsid w:val="00BC7EC0"/>
    <w:rsid w:val="00BCE2FF"/>
    <w:rsid w:val="00BD04C2"/>
    <w:rsid w:val="00BD089F"/>
    <w:rsid w:val="00BD0EE8"/>
    <w:rsid w:val="00BD16AC"/>
    <w:rsid w:val="00BD17BA"/>
    <w:rsid w:val="00BD18F4"/>
    <w:rsid w:val="00BD1B21"/>
    <w:rsid w:val="00BD1D49"/>
    <w:rsid w:val="00BD2045"/>
    <w:rsid w:val="00BD21F9"/>
    <w:rsid w:val="00BD2963"/>
    <w:rsid w:val="00BD3129"/>
    <w:rsid w:val="00BD319F"/>
    <w:rsid w:val="00BD334C"/>
    <w:rsid w:val="00BD342E"/>
    <w:rsid w:val="00BD3620"/>
    <w:rsid w:val="00BD3ACC"/>
    <w:rsid w:val="00BD3CC8"/>
    <w:rsid w:val="00BD42BE"/>
    <w:rsid w:val="00BD435C"/>
    <w:rsid w:val="00BD4661"/>
    <w:rsid w:val="00BD4897"/>
    <w:rsid w:val="00BD593D"/>
    <w:rsid w:val="00BD6951"/>
    <w:rsid w:val="00BD6EEB"/>
    <w:rsid w:val="00BD740D"/>
    <w:rsid w:val="00BD7583"/>
    <w:rsid w:val="00BD7E84"/>
    <w:rsid w:val="00BE0149"/>
    <w:rsid w:val="00BE07AF"/>
    <w:rsid w:val="00BE083A"/>
    <w:rsid w:val="00BE0E83"/>
    <w:rsid w:val="00BE0EFC"/>
    <w:rsid w:val="00BE12D7"/>
    <w:rsid w:val="00BE13E1"/>
    <w:rsid w:val="00BE17AC"/>
    <w:rsid w:val="00BE1C7A"/>
    <w:rsid w:val="00BE2B41"/>
    <w:rsid w:val="00BE313C"/>
    <w:rsid w:val="00BE3856"/>
    <w:rsid w:val="00BE41A8"/>
    <w:rsid w:val="00BE5051"/>
    <w:rsid w:val="00BE52E7"/>
    <w:rsid w:val="00BE5B85"/>
    <w:rsid w:val="00BE5BA5"/>
    <w:rsid w:val="00BE5EFD"/>
    <w:rsid w:val="00BE5F23"/>
    <w:rsid w:val="00BE62F1"/>
    <w:rsid w:val="00BE6485"/>
    <w:rsid w:val="00BE64BE"/>
    <w:rsid w:val="00BE71F0"/>
    <w:rsid w:val="00BF085B"/>
    <w:rsid w:val="00BF090F"/>
    <w:rsid w:val="00BF1316"/>
    <w:rsid w:val="00BF1996"/>
    <w:rsid w:val="00BF1DD4"/>
    <w:rsid w:val="00BF1EDF"/>
    <w:rsid w:val="00BF21D0"/>
    <w:rsid w:val="00BF26BE"/>
    <w:rsid w:val="00BF2B7D"/>
    <w:rsid w:val="00BF2C5A"/>
    <w:rsid w:val="00BF3287"/>
    <w:rsid w:val="00BF32BC"/>
    <w:rsid w:val="00BF3537"/>
    <w:rsid w:val="00BF42B8"/>
    <w:rsid w:val="00BF5781"/>
    <w:rsid w:val="00BF5F9F"/>
    <w:rsid w:val="00BF6218"/>
    <w:rsid w:val="00BF6B94"/>
    <w:rsid w:val="00BF6E8A"/>
    <w:rsid w:val="00BF6F5B"/>
    <w:rsid w:val="00BF71D1"/>
    <w:rsid w:val="00BF7863"/>
    <w:rsid w:val="00BF7ADE"/>
    <w:rsid w:val="00C0002B"/>
    <w:rsid w:val="00C000AC"/>
    <w:rsid w:val="00C004EF"/>
    <w:rsid w:val="00C00537"/>
    <w:rsid w:val="00C00714"/>
    <w:rsid w:val="00C00842"/>
    <w:rsid w:val="00C00E8F"/>
    <w:rsid w:val="00C012CB"/>
    <w:rsid w:val="00C0141C"/>
    <w:rsid w:val="00C01D63"/>
    <w:rsid w:val="00C01E06"/>
    <w:rsid w:val="00C01F07"/>
    <w:rsid w:val="00C02073"/>
    <w:rsid w:val="00C02E08"/>
    <w:rsid w:val="00C03320"/>
    <w:rsid w:val="00C0357A"/>
    <w:rsid w:val="00C03B1F"/>
    <w:rsid w:val="00C0449D"/>
    <w:rsid w:val="00C0473D"/>
    <w:rsid w:val="00C04742"/>
    <w:rsid w:val="00C04BFF"/>
    <w:rsid w:val="00C0530F"/>
    <w:rsid w:val="00C05E2C"/>
    <w:rsid w:val="00C06578"/>
    <w:rsid w:val="00C07189"/>
    <w:rsid w:val="00C07D7E"/>
    <w:rsid w:val="00C07DBB"/>
    <w:rsid w:val="00C07EE3"/>
    <w:rsid w:val="00C101B7"/>
    <w:rsid w:val="00C1069B"/>
    <w:rsid w:val="00C107F1"/>
    <w:rsid w:val="00C10F23"/>
    <w:rsid w:val="00C1118D"/>
    <w:rsid w:val="00C11387"/>
    <w:rsid w:val="00C117D6"/>
    <w:rsid w:val="00C119CF"/>
    <w:rsid w:val="00C11C7E"/>
    <w:rsid w:val="00C11CDF"/>
    <w:rsid w:val="00C11F59"/>
    <w:rsid w:val="00C12213"/>
    <w:rsid w:val="00C127B5"/>
    <w:rsid w:val="00C129C0"/>
    <w:rsid w:val="00C12DAF"/>
    <w:rsid w:val="00C12F93"/>
    <w:rsid w:val="00C1300D"/>
    <w:rsid w:val="00C1307E"/>
    <w:rsid w:val="00C1309F"/>
    <w:rsid w:val="00C13723"/>
    <w:rsid w:val="00C13EB6"/>
    <w:rsid w:val="00C14538"/>
    <w:rsid w:val="00C14DF8"/>
    <w:rsid w:val="00C14EAE"/>
    <w:rsid w:val="00C16671"/>
    <w:rsid w:val="00C16789"/>
    <w:rsid w:val="00C16B51"/>
    <w:rsid w:val="00C16B5D"/>
    <w:rsid w:val="00C17155"/>
    <w:rsid w:val="00C17187"/>
    <w:rsid w:val="00C174EC"/>
    <w:rsid w:val="00C17715"/>
    <w:rsid w:val="00C1772F"/>
    <w:rsid w:val="00C17834"/>
    <w:rsid w:val="00C17901"/>
    <w:rsid w:val="00C17D35"/>
    <w:rsid w:val="00C20271"/>
    <w:rsid w:val="00C204CC"/>
    <w:rsid w:val="00C20636"/>
    <w:rsid w:val="00C20B61"/>
    <w:rsid w:val="00C20C96"/>
    <w:rsid w:val="00C20DF9"/>
    <w:rsid w:val="00C2161C"/>
    <w:rsid w:val="00C21B82"/>
    <w:rsid w:val="00C21E82"/>
    <w:rsid w:val="00C21F55"/>
    <w:rsid w:val="00C2250F"/>
    <w:rsid w:val="00C227E5"/>
    <w:rsid w:val="00C22B40"/>
    <w:rsid w:val="00C22D05"/>
    <w:rsid w:val="00C22D2F"/>
    <w:rsid w:val="00C239E8"/>
    <w:rsid w:val="00C23DD9"/>
    <w:rsid w:val="00C24578"/>
    <w:rsid w:val="00C24882"/>
    <w:rsid w:val="00C2510F"/>
    <w:rsid w:val="00C25295"/>
    <w:rsid w:val="00C2603E"/>
    <w:rsid w:val="00C26A9A"/>
    <w:rsid w:val="00C2700D"/>
    <w:rsid w:val="00C271F3"/>
    <w:rsid w:val="00C27559"/>
    <w:rsid w:val="00C3034A"/>
    <w:rsid w:val="00C303AB"/>
    <w:rsid w:val="00C30521"/>
    <w:rsid w:val="00C30937"/>
    <w:rsid w:val="00C30CBF"/>
    <w:rsid w:val="00C31496"/>
    <w:rsid w:val="00C31756"/>
    <w:rsid w:val="00C3179A"/>
    <w:rsid w:val="00C319FB"/>
    <w:rsid w:val="00C3215E"/>
    <w:rsid w:val="00C323FB"/>
    <w:rsid w:val="00C330C1"/>
    <w:rsid w:val="00C338B0"/>
    <w:rsid w:val="00C33CD2"/>
    <w:rsid w:val="00C34DC7"/>
    <w:rsid w:val="00C362E2"/>
    <w:rsid w:val="00C370F4"/>
    <w:rsid w:val="00C3758B"/>
    <w:rsid w:val="00C379C6"/>
    <w:rsid w:val="00C37E81"/>
    <w:rsid w:val="00C40034"/>
    <w:rsid w:val="00C40201"/>
    <w:rsid w:val="00C40394"/>
    <w:rsid w:val="00C40536"/>
    <w:rsid w:val="00C40735"/>
    <w:rsid w:val="00C40B6E"/>
    <w:rsid w:val="00C40BD6"/>
    <w:rsid w:val="00C40DE0"/>
    <w:rsid w:val="00C4121E"/>
    <w:rsid w:val="00C41654"/>
    <w:rsid w:val="00C41941"/>
    <w:rsid w:val="00C42D11"/>
    <w:rsid w:val="00C431AA"/>
    <w:rsid w:val="00C437CB"/>
    <w:rsid w:val="00C43C86"/>
    <w:rsid w:val="00C446E3"/>
    <w:rsid w:val="00C448E3"/>
    <w:rsid w:val="00C44D58"/>
    <w:rsid w:val="00C450D0"/>
    <w:rsid w:val="00C4533B"/>
    <w:rsid w:val="00C455C6"/>
    <w:rsid w:val="00C462DE"/>
    <w:rsid w:val="00C465B5"/>
    <w:rsid w:val="00C473D0"/>
    <w:rsid w:val="00C475FE"/>
    <w:rsid w:val="00C477B3"/>
    <w:rsid w:val="00C477CE"/>
    <w:rsid w:val="00C47D41"/>
    <w:rsid w:val="00C47ED7"/>
    <w:rsid w:val="00C50175"/>
    <w:rsid w:val="00C50374"/>
    <w:rsid w:val="00C50428"/>
    <w:rsid w:val="00C50586"/>
    <w:rsid w:val="00C50F03"/>
    <w:rsid w:val="00C511DF"/>
    <w:rsid w:val="00C512BB"/>
    <w:rsid w:val="00C5256C"/>
    <w:rsid w:val="00C52737"/>
    <w:rsid w:val="00C527E0"/>
    <w:rsid w:val="00C529EE"/>
    <w:rsid w:val="00C52DDD"/>
    <w:rsid w:val="00C52F8F"/>
    <w:rsid w:val="00C5356D"/>
    <w:rsid w:val="00C53A0C"/>
    <w:rsid w:val="00C53BB9"/>
    <w:rsid w:val="00C54242"/>
    <w:rsid w:val="00C54C8F"/>
    <w:rsid w:val="00C5526C"/>
    <w:rsid w:val="00C55456"/>
    <w:rsid w:val="00C5554E"/>
    <w:rsid w:val="00C55871"/>
    <w:rsid w:val="00C55F76"/>
    <w:rsid w:val="00C568DC"/>
    <w:rsid w:val="00C56DB4"/>
    <w:rsid w:val="00C56ED4"/>
    <w:rsid w:val="00C57348"/>
    <w:rsid w:val="00C604FA"/>
    <w:rsid w:val="00C6056A"/>
    <w:rsid w:val="00C60632"/>
    <w:rsid w:val="00C609E3"/>
    <w:rsid w:val="00C60E1F"/>
    <w:rsid w:val="00C61FD4"/>
    <w:rsid w:val="00C626C6"/>
    <w:rsid w:val="00C627D4"/>
    <w:rsid w:val="00C62A26"/>
    <w:rsid w:val="00C62AB3"/>
    <w:rsid w:val="00C62BAB"/>
    <w:rsid w:val="00C62BDB"/>
    <w:rsid w:val="00C62C28"/>
    <w:rsid w:val="00C638A7"/>
    <w:rsid w:val="00C6390F"/>
    <w:rsid w:val="00C639A6"/>
    <w:rsid w:val="00C64E23"/>
    <w:rsid w:val="00C6675C"/>
    <w:rsid w:val="00C6693A"/>
    <w:rsid w:val="00C66AED"/>
    <w:rsid w:val="00C67411"/>
    <w:rsid w:val="00C676A0"/>
    <w:rsid w:val="00C67F19"/>
    <w:rsid w:val="00C67FB1"/>
    <w:rsid w:val="00C708C6"/>
    <w:rsid w:val="00C70D6C"/>
    <w:rsid w:val="00C70F9A"/>
    <w:rsid w:val="00C7125C"/>
    <w:rsid w:val="00C715FE"/>
    <w:rsid w:val="00C716BE"/>
    <w:rsid w:val="00C71A83"/>
    <w:rsid w:val="00C71B26"/>
    <w:rsid w:val="00C71D7F"/>
    <w:rsid w:val="00C728F5"/>
    <w:rsid w:val="00C72984"/>
    <w:rsid w:val="00C72AD6"/>
    <w:rsid w:val="00C72F96"/>
    <w:rsid w:val="00C73194"/>
    <w:rsid w:val="00C731B4"/>
    <w:rsid w:val="00C734D8"/>
    <w:rsid w:val="00C739D9"/>
    <w:rsid w:val="00C74086"/>
    <w:rsid w:val="00C74583"/>
    <w:rsid w:val="00C750D3"/>
    <w:rsid w:val="00C751E4"/>
    <w:rsid w:val="00C75F0C"/>
    <w:rsid w:val="00C75FFC"/>
    <w:rsid w:val="00C76220"/>
    <w:rsid w:val="00C7623B"/>
    <w:rsid w:val="00C76D8E"/>
    <w:rsid w:val="00C775A2"/>
    <w:rsid w:val="00C779FB"/>
    <w:rsid w:val="00C77A99"/>
    <w:rsid w:val="00C80331"/>
    <w:rsid w:val="00C807B0"/>
    <w:rsid w:val="00C807DA"/>
    <w:rsid w:val="00C80BA6"/>
    <w:rsid w:val="00C8181D"/>
    <w:rsid w:val="00C81CFE"/>
    <w:rsid w:val="00C81D6A"/>
    <w:rsid w:val="00C81ED0"/>
    <w:rsid w:val="00C821A2"/>
    <w:rsid w:val="00C82242"/>
    <w:rsid w:val="00C82344"/>
    <w:rsid w:val="00C82478"/>
    <w:rsid w:val="00C82735"/>
    <w:rsid w:val="00C82DA4"/>
    <w:rsid w:val="00C83924"/>
    <w:rsid w:val="00C841C9"/>
    <w:rsid w:val="00C8435E"/>
    <w:rsid w:val="00C84ADE"/>
    <w:rsid w:val="00C85A0B"/>
    <w:rsid w:val="00C86000"/>
    <w:rsid w:val="00C8600E"/>
    <w:rsid w:val="00C861AB"/>
    <w:rsid w:val="00C861D7"/>
    <w:rsid w:val="00C86325"/>
    <w:rsid w:val="00C869EA"/>
    <w:rsid w:val="00C86FB4"/>
    <w:rsid w:val="00C8709F"/>
    <w:rsid w:val="00C8762F"/>
    <w:rsid w:val="00C8771F"/>
    <w:rsid w:val="00C879C9"/>
    <w:rsid w:val="00C902C1"/>
    <w:rsid w:val="00C90421"/>
    <w:rsid w:val="00C910B6"/>
    <w:rsid w:val="00C920A5"/>
    <w:rsid w:val="00C924E9"/>
    <w:rsid w:val="00C92BF1"/>
    <w:rsid w:val="00C92C8B"/>
    <w:rsid w:val="00C94191"/>
    <w:rsid w:val="00C9420A"/>
    <w:rsid w:val="00C944EF"/>
    <w:rsid w:val="00C94D0A"/>
    <w:rsid w:val="00C9523F"/>
    <w:rsid w:val="00C9543B"/>
    <w:rsid w:val="00C95605"/>
    <w:rsid w:val="00C95D2D"/>
    <w:rsid w:val="00C9639B"/>
    <w:rsid w:val="00C96FC1"/>
    <w:rsid w:val="00C971EE"/>
    <w:rsid w:val="00C973A4"/>
    <w:rsid w:val="00C97528"/>
    <w:rsid w:val="00C97548"/>
    <w:rsid w:val="00C97810"/>
    <w:rsid w:val="00C9786A"/>
    <w:rsid w:val="00CA094F"/>
    <w:rsid w:val="00CA1AE3"/>
    <w:rsid w:val="00CA1B34"/>
    <w:rsid w:val="00CA1E6B"/>
    <w:rsid w:val="00CA2124"/>
    <w:rsid w:val="00CA2E8E"/>
    <w:rsid w:val="00CA387B"/>
    <w:rsid w:val="00CA486D"/>
    <w:rsid w:val="00CA4CF6"/>
    <w:rsid w:val="00CA5080"/>
    <w:rsid w:val="00CA51AE"/>
    <w:rsid w:val="00CA586D"/>
    <w:rsid w:val="00CA5F22"/>
    <w:rsid w:val="00CA60AC"/>
    <w:rsid w:val="00CA64F6"/>
    <w:rsid w:val="00CA6960"/>
    <w:rsid w:val="00CA7054"/>
    <w:rsid w:val="00CA7166"/>
    <w:rsid w:val="00CA76E0"/>
    <w:rsid w:val="00CA7CF7"/>
    <w:rsid w:val="00CB0927"/>
    <w:rsid w:val="00CB096E"/>
    <w:rsid w:val="00CB0B51"/>
    <w:rsid w:val="00CB0D90"/>
    <w:rsid w:val="00CB11AB"/>
    <w:rsid w:val="00CB1748"/>
    <w:rsid w:val="00CB1ECE"/>
    <w:rsid w:val="00CB2209"/>
    <w:rsid w:val="00CB2635"/>
    <w:rsid w:val="00CB274B"/>
    <w:rsid w:val="00CB32C8"/>
    <w:rsid w:val="00CB3EF2"/>
    <w:rsid w:val="00CB4175"/>
    <w:rsid w:val="00CB4B04"/>
    <w:rsid w:val="00CB5577"/>
    <w:rsid w:val="00CB68D5"/>
    <w:rsid w:val="00CB6F79"/>
    <w:rsid w:val="00CC09C4"/>
    <w:rsid w:val="00CC0D7F"/>
    <w:rsid w:val="00CC0E13"/>
    <w:rsid w:val="00CC1293"/>
    <w:rsid w:val="00CC1555"/>
    <w:rsid w:val="00CC2042"/>
    <w:rsid w:val="00CC24FC"/>
    <w:rsid w:val="00CC27DB"/>
    <w:rsid w:val="00CC3CDC"/>
    <w:rsid w:val="00CC43EB"/>
    <w:rsid w:val="00CC4807"/>
    <w:rsid w:val="00CC4943"/>
    <w:rsid w:val="00CC4C5E"/>
    <w:rsid w:val="00CC511D"/>
    <w:rsid w:val="00CC57C5"/>
    <w:rsid w:val="00CC62EB"/>
    <w:rsid w:val="00CC6AF4"/>
    <w:rsid w:val="00CC7965"/>
    <w:rsid w:val="00CC79BA"/>
    <w:rsid w:val="00CC7B01"/>
    <w:rsid w:val="00CD062D"/>
    <w:rsid w:val="00CD0C97"/>
    <w:rsid w:val="00CD1301"/>
    <w:rsid w:val="00CD141C"/>
    <w:rsid w:val="00CD19AE"/>
    <w:rsid w:val="00CD2011"/>
    <w:rsid w:val="00CD20FA"/>
    <w:rsid w:val="00CD22F9"/>
    <w:rsid w:val="00CD2C52"/>
    <w:rsid w:val="00CD2DEA"/>
    <w:rsid w:val="00CD2F4A"/>
    <w:rsid w:val="00CD3564"/>
    <w:rsid w:val="00CD4581"/>
    <w:rsid w:val="00CD4E4A"/>
    <w:rsid w:val="00CD505E"/>
    <w:rsid w:val="00CD5145"/>
    <w:rsid w:val="00CD5329"/>
    <w:rsid w:val="00CD55AD"/>
    <w:rsid w:val="00CD5B55"/>
    <w:rsid w:val="00CD6099"/>
    <w:rsid w:val="00CD6461"/>
    <w:rsid w:val="00CD6754"/>
    <w:rsid w:val="00CD6F1C"/>
    <w:rsid w:val="00CD72B3"/>
    <w:rsid w:val="00CD73BB"/>
    <w:rsid w:val="00CD7695"/>
    <w:rsid w:val="00CD7BA4"/>
    <w:rsid w:val="00CD7C47"/>
    <w:rsid w:val="00CE0525"/>
    <w:rsid w:val="00CE0691"/>
    <w:rsid w:val="00CE1096"/>
    <w:rsid w:val="00CE12FE"/>
    <w:rsid w:val="00CE18E0"/>
    <w:rsid w:val="00CE1A06"/>
    <w:rsid w:val="00CE2510"/>
    <w:rsid w:val="00CE2E14"/>
    <w:rsid w:val="00CE30EB"/>
    <w:rsid w:val="00CE3160"/>
    <w:rsid w:val="00CE3460"/>
    <w:rsid w:val="00CE3696"/>
    <w:rsid w:val="00CE3A84"/>
    <w:rsid w:val="00CE3BB7"/>
    <w:rsid w:val="00CE3CF9"/>
    <w:rsid w:val="00CE54DD"/>
    <w:rsid w:val="00CE5B7E"/>
    <w:rsid w:val="00CE6AD8"/>
    <w:rsid w:val="00CE702A"/>
    <w:rsid w:val="00CE7C28"/>
    <w:rsid w:val="00CE7D0A"/>
    <w:rsid w:val="00CE7E79"/>
    <w:rsid w:val="00CF0223"/>
    <w:rsid w:val="00CF0391"/>
    <w:rsid w:val="00CF1327"/>
    <w:rsid w:val="00CF15C7"/>
    <w:rsid w:val="00CF2405"/>
    <w:rsid w:val="00CF28F8"/>
    <w:rsid w:val="00CF2A10"/>
    <w:rsid w:val="00CF30FE"/>
    <w:rsid w:val="00CF39F2"/>
    <w:rsid w:val="00CF3ED4"/>
    <w:rsid w:val="00CF445F"/>
    <w:rsid w:val="00CF44EE"/>
    <w:rsid w:val="00CF4958"/>
    <w:rsid w:val="00CF4A86"/>
    <w:rsid w:val="00CF4DE7"/>
    <w:rsid w:val="00CF5343"/>
    <w:rsid w:val="00CF5C2D"/>
    <w:rsid w:val="00CF5E4C"/>
    <w:rsid w:val="00CF623E"/>
    <w:rsid w:val="00CF631F"/>
    <w:rsid w:val="00CF638D"/>
    <w:rsid w:val="00CF6AF0"/>
    <w:rsid w:val="00CF6BE0"/>
    <w:rsid w:val="00CF6C76"/>
    <w:rsid w:val="00CF6CD8"/>
    <w:rsid w:val="00CF6D0E"/>
    <w:rsid w:val="00D00979"/>
    <w:rsid w:val="00D00E11"/>
    <w:rsid w:val="00D00F4D"/>
    <w:rsid w:val="00D0153C"/>
    <w:rsid w:val="00D018F8"/>
    <w:rsid w:val="00D01D05"/>
    <w:rsid w:val="00D02372"/>
    <w:rsid w:val="00D02501"/>
    <w:rsid w:val="00D0303D"/>
    <w:rsid w:val="00D030BC"/>
    <w:rsid w:val="00D037E7"/>
    <w:rsid w:val="00D03BB6"/>
    <w:rsid w:val="00D03C6B"/>
    <w:rsid w:val="00D03DA8"/>
    <w:rsid w:val="00D04AC5"/>
    <w:rsid w:val="00D062EC"/>
    <w:rsid w:val="00D06D05"/>
    <w:rsid w:val="00D06E50"/>
    <w:rsid w:val="00D07C84"/>
    <w:rsid w:val="00D1032C"/>
    <w:rsid w:val="00D1043E"/>
    <w:rsid w:val="00D11410"/>
    <w:rsid w:val="00D125AC"/>
    <w:rsid w:val="00D12917"/>
    <w:rsid w:val="00D13590"/>
    <w:rsid w:val="00D13BD9"/>
    <w:rsid w:val="00D14098"/>
    <w:rsid w:val="00D140BA"/>
    <w:rsid w:val="00D147B6"/>
    <w:rsid w:val="00D147FB"/>
    <w:rsid w:val="00D14B93"/>
    <w:rsid w:val="00D14BCA"/>
    <w:rsid w:val="00D14FD9"/>
    <w:rsid w:val="00D151E0"/>
    <w:rsid w:val="00D1538F"/>
    <w:rsid w:val="00D15C4B"/>
    <w:rsid w:val="00D1634A"/>
    <w:rsid w:val="00D16F5B"/>
    <w:rsid w:val="00D17328"/>
    <w:rsid w:val="00D17CB0"/>
    <w:rsid w:val="00D17CC8"/>
    <w:rsid w:val="00D17CDF"/>
    <w:rsid w:val="00D2052E"/>
    <w:rsid w:val="00D20633"/>
    <w:rsid w:val="00D20847"/>
    <w:rsid w:val="00D210ED"/>
    <w:rsid w:val="00D21478"/>
    <w:rsid w:val="00D21A84"/>
    <w:rsid w:val="00D21FE3"/>
    <w:rsid w:val="00D221EC"/>
    <w:rsid w:val="00D222B1"/>
    <w:rsid w:val="00D22366"/>
    <w:rsid w:val="00D22E1D"/>
    <w:rsid w:val="00D22E67"/>
    <w:rsid w:val="00D22E71"/>
    <w:rsid w:val="00D23055"/>
    <w:rsid w:val="00D23549"/>
    <w:rsid w:val="00D24722"/>
    <w:rsid w:val="00D2475F"/>
    <w:rsid w:val="00D24885"/>
    <w:rsid w:val="00D248C2"/>
    <w:rsid w:val="00D249FC"/>
    <w:rsid w:val="00D24C38"/>
    <w:rsid w:val="00D25AC9"/>
    <w:rsid w:val="00D262A1"/>
    <w:rsid w:val="00D264F7"/>
    <w:rsid w:val="00D26679"/>
    <w:rsid w:val="00D2699C"/>
    <w:rsid w:val="00D27411"/>
    <w:rsid w:val="00D3031C"/>
    <w:rsid w:val="00D3089F"/>
    <w:rsid w:val="00D30A5A"/>
    <w:rsid w:val="00D30D83"/>
    <w:rsid w:val="00D318F0"/>
    <w:rsid w:val="00D31924"/>
    <w:rsid w:val="00D3256E"/>
    <w:rsid w:val="00D32B4C"/>
    <w:rsid w:val="00D3346E"/>
    <w:rsid w:val="00D33EF0"/>
    <w:rsid w:val="00D3460D"/>
    <w:rsid w:val="00D351B5"/>
    <w:rsid w:val="00D355CF"/>
    <w:rsid w:val="00D35ACC"/>
    <w:rsid w:val="00D36078"/>
    <w:rsid w:val="00D36724"/>
    <w:rsid w:val="00D36A40"/>
    <w:rsid w:val="00D37382"/>
    <w:rsid w:val="00D378F5"/>
    <w:rsid w:val="00D40381"/>
    <w:rsid w:val="00D40939"/>
    <w:rsid w:val="00D41EC8"/>
    <w:rsid w:val="00D421D5"/>
    <w:rsid w:val="00D42692"/>
    <w:rsid w:val="00D42FEF"/>
    <w:rsid w:val="00D43D13"/>
    <w:rsid w:val="00D44F5A"/>
    <w:rsid w:val="00D450A7"/>
    <w:rsid w:val="00D45548"/>
    <w:rsid w:val="00D45F19"/>
    <w:rsid w:val="00D462E7"/>
    <w:rsid w:val="00D469A1"/>
    <w:rsid w:val="00D47728"/>
    <w:rsid w:val="00D477A7"/>
    <w:rsid w:val="00D47D6C"/>
    <w:rsid w:val="00D502C0"/>
    <w:rsid w:val="00D505AA"/>
    <w:rsid w:val="00D50689"/>
    <w:rsid w:val="00D50951"/>
    <w:rsid w:val="00D51B7D"/>
    <w:rsid w:val="00D51E10"/>
    <w:rsid w:val="00D52067"/>
    <w:rsid w:val="00D52332"/>
    <w:rsid w:val="00D5236B"/>
    <w:rsid w:val="00D52501"/>
    <w:rsid w:val="00D525C8"/>
    <w:rsid w:val="00D52AAF"/>
    <w:rsid w:val="00D52EF7"/>
    <w:rsid w:val="00D531BC"/>
    <w:rsid w:val="00D53A44"/>
    <w:rsid w:val="00D546DE"/>
    <w:rsid w:val="00D54773"/>
    <w:rsid w:val="00D54FF8"/>
    <w:rsid w:val="00D552FB"/>
    <w:rsid w:val="00D55415"/>
    <w:rsid w:val="00D55D85"/>
    <w:rsid w:val="00D56AF8"/>
    <w:rsid w:val="00D57073"/>
    <w:rsid w:val="00D574AC"/>
    <w:rsid w:val="00D57C76"/>
    <w:rsid w:val="00D601F4"/>
    <w:rsid w:val="00D60630"/>
    <w:rsid w:val="00D60973"/>
    <w:rsid w:val="00D60E00"/>
    <w:rsid w:val="00D61024"/>
    <w:rsid w:val="00D610AF"/>
    <w:rsid w:val="00D61CFB"/>
    <w:rsid w:val="00D62D66"/>
    <w:rsid w:val="00D62FF4"/>
    <w:rsid w:val="00D630AC"/>
    <w:rsid w:val="00D63295"/>
    <w:rsid w:val="00D6367C"/>
    <w:rsid w:val="00D63A02"/>
    <w:rsid w:val="00D63B6E"/>
    <w:rsid w:val="00D64519"/>
    <w:rsid w:val="00D658D9"/>
    <w:rsid w:val="00D658EF"/>
    <w:rsid w:val="00D65A8A"/>
    <w:rsid w:val="00D65F51"/>
    <w:rsid w:val="00D663F1"/>
    <w:rsid w:val="00D6746A"/>
    <w:rsid w:val="00D67FA7"/>
    <w:rsid w:val="00D7009F"/>
    <w:rsid w:val="00D702C8"/>
    <w:rsid w:val="00D70B49"/>
    <w:rsid w:val="00D70C27"/>
    <w:rsid w:val="00D70C68"/>
    <w:rsid w:val="00D70F90"/>
    <w:rsid w:val="00D71FCA"/>
    <w:rsid w:val="00D726F5"/>
    <w:rsid w:val="00D728F0"/>
    <w:rsid w:val="00D72C07"/>
    <w:rsid w:val="00D72DA4"/>
    <w:rsid w:val="00D72ED7"/>
    <w:rsid w:val="00D72F24"/>
    <w:rsid w:val="00D73406"/>
    <w:rsid w:val="00D73528"/>
    <w:rsid w:val="00D738A5"/>
    <w:rsid w:val="00D73D84"/>
    <w:rsid w:val="00D74015"/>
    <w:rsid w:val="00D743F5"/>
    <w:rsid w:val="00D7454F"/>
    <w:rsid w:val="00D74725"/>
    <w:rsid w:val="00D74D37"/>
    <w:rsid w:val="00D74D8D"/>
    <w:rsid w:val="00D75061"/>
    <w:rsid w:val="00D7519F"/>
    <w:rsid w:val="00D752D1"/>
    <w:rsid w:val="00D7581B"/>
    <w:rsid w:val="00D759AF"/>
    <w:rsid w:val="00D75A1D"/>
    <w:rsid w:val="00D764EC"/>
    <w:rsid w:val="00D769CD"/>
    <w:rsid w:val="00D76C2E"/>
    <w:rsid w:val="00D76C94"/>
    <w:rsid w:val="00D76D5C"/>
    <w:rsid w:val="00D76DE5"/>
    <w:rsid w:val="00D8026E"/>
    <w:rsid w:val="00D81247"/>
    <w:rsid w:val="00D81B43"/>
    <w:rsid w:val="00D81BBB"/>
    <w:rsid w:val="00D81EBB"/>
    <w:rsid w:val="00D81FFB"/>
    <w:rsid w:val="00D8212F"/>
    <w:rsid w:val="00D8255D"/>
    <w:rsid w:val="00D82FEF"/>
    <w:rsid w:val="00D834AE"/>
    <w:rsid w:val="00D834BC"/>
    <w:rsid w:val="00D83B04"/>
    <w:rsid w:val="00D83D13"/>
    <w:rsid w:val="00D83DEC"/>
    <w:rsid w:val="00D846AF"/>
    <w:rsid w:val="00D8495C"/>
    <w:rsid w:val="00D84C03"/>
    <w:rsid w:val="00D84FA2"/>
    <w:rsid w:val="00D855BD"/>
    <w:rsid w:val="00D85805"/>
    <w:rsid w:val="00D906B5"/>
    <w:rsid w:val="00D90C14"/>
    <w:rsid w:val="00D91A61"/>
    <w:rsid w:val="00D91CA4"/>
    <w:rsid w:val="00D91CED"/>
    <w:rsid w:val="00D91D99"/>
    <w:rsid w:val="00D92294"/>
    <w:rsid w:val="00D9237A"/>
    <w:rsid w:val="00D9239B"/>
    <w:rsid w:val="00D92565"/>
    <w:rsid w:val="00D926BE"/>
    <w:rsid w:val="00D9306F"/>
    <w:rsid w:val="00D93655"/>
    <w:rsid w:val="00D93783"/>
    <w:rsid w:val="00D93944"/>
    <w:rsid w:val="00D93D00"/>
    <w:rsid w:val="00D93DD5"/>
    <w:rsid w:val="00D94282"/>
    <w:rsid w:val="00D94D25"/>
    <w:rsid w:val="00D95183"/>
    <w:rsid w:val="00D957D2"/>
    <w:rsid w:val="00D9595C"/>
    <w:rsid w:val="00D95CB9"/>
    <w:rsid w:val="00D95EE8"/>
    <w:rsid w:val="00D96079"/>
    <w:rsid w:val="00D96663"/>
    <w:rsid w:val="00D96AFE"/>
    <w:rsid w:val="00D96C9C"/>
    <w:rsid w:val="00D9701C"/>
    <w:rsid w:val="00D97ED9"/>
    <w:rsid w:val="00DA00BE"/>
    <w:rsid w:val="00DA012E"/>
    <w:rsid w:val="00DA0AB5"/>
    <w:rsid w:val="00DA0D6B"/>
    <w:rsid w:val="00DA0E5B"/>
    <w:rsid w:val="00DA10D9"/>
    <w:rsid w:val="00DA1180"/>
    <w:rsid w:val="00DA127E"/>
    <w:rsid w:val="00DA16EE"/>
    <w:rsid w:val="00DA186C"/>
    <w:rsid w:val="00DA237D"/>
    <w:rsid w:val="00DA23F9"/>
    <w:rsid w:val="00DA2B8A"/>
    <w:rsid w:val="00DA4B5F"/>
    <w:rsid w:val="00DA4B61"/>
    <w:rsid w:val="00DA50C0"/>
    <w:rsid w:val="00DA55F2"/>
    <w:rsid w:val="00DA590A"/>
    <w:rsid w:val="00DA6423"/>
    <w:rsid w:val="00DA644A"/>
    <w:rsid w:val="00DA704C"/>
    <w:rsid w:val="00DA708D"/>
    <w:rsid w:val="00DA7554"/>
    <w:rsid w:val="00DA78B9"/>
    <w:rsid w:val="00DA7D68"/>
    <w:rsid w:val="00DB05C2"/>
    <w:rsid w:val="00DB0740"/>
    <w:rsid w:val="00DB0D8A"/>
    <w:rsid w:val="00DB18D6"/>
    <w:rsid w:val="00DB19D8"/>
    <w:rsid w:val="00DB1B10"/>
    <w:rsid w:val="00DB2278"/>
    <w:rsid w:val="00DB2500"/>
    <w:rsid w:val="00DB27B5"/>
    <w:rsid w:val="00DB2AB2"/>
    <w:rsid w:val="00DB34EE"/>
    <w:rsid w:val="00DB383A"/>
    <w:rsid w:val="00DB3DC4"/>
    <w:rsid w:val="00DB40A8"/>
    <w:rsid w:val="00DB4148"/>
    <w:rsid w:val="00DB423C"/>
    <w:rsid w:val="00DB43C4"/>
    <w:rsid w:val="00DB4536"/>
    <w:rsid w:val="00DB46BA"/>
    <w:rsid w:val="00DB4E72"/>
    <w:rsid w:val="00DB5803"/>
    <w:rsid w:val="00DB66B1"/>
    <w:rsid w:val="00DB6A54"/>
    <w:rsid w:val="00DB6D05"/>
    <w:rsid w:val="00DB6D18"/>
    <w:rsid w:val="00DB7315"/>
    <w:rsid w:val="00DB733A"/>
    <w:rsid w:val="00DB7B6F"/>
    <w:rsid w:val="00DB7DA1"/>
    <w:rsid w:val="00DB7F20"/>
    <w:rsid w:val="00DC0322"/>
    <w:rsid w:val="00DC0591"/>
    <w:rsid w:val="00DC0664"/>
    <w:rsid w:val="00DC08A1"/>
    <w:rsid w:val="00DC10F2"/>
    <w:rsid w:val="00DC112E"/>
    <w:rsid w:val="00DC1608"/>
    <w:rsid w:val="00DC1649"/>
    <w:rsid w:val="00DC1C60"/>
    <w:rsid w:val="00DC2106"/>
    <w:rsid w:val="00DC26C2"/>
    <w:rsid w:val="00DC2B1B"/>
    <w:rsid w:val="00DC3058"/>
    <w:rsid w:val="00DC3549"/>
    <w:rsid w:val="00DC4795"/>
    <w:rsid w:val="00DC4ADF"/>
    <w:rsid w:val="00DC55D8"/>
    <w:rsid w:val="00DC5708"/>
    <w:rsid w:val="00DC5C6C"/>
    <w:rsid w:val="00DC5E2E"/>
    <w:rsid w:val="00DC5F49"/>
    <w:rsid w:val="00DC5FA4"/>
    <w:rsid w:val="00DC636D"/>
    <w:rsid w:val="00DC63D5"/>
    <w:rsid w:val="00DC701A"/>
    <w:rsid w:val="00DC76FB"/>
    <w:rsid w:val="00DC7736"/>
    <w:rsid w:val="00DC7D6B"/>
    <w:rsid w:val="00DD0558"/>
    <w:rsid w:val="00DD0895"/>
    <w:rsid w:val="00DD09B6"/>
    <w:rsid w:val="00DD1718"/>
    <w:rsid w:val="00DD17F5"/>
    <w:rsid w:val="00DD18AC"/>
    <w:rsid w:val="00DD1FC6"/>
    <w:rsid w:val="00DD1FF8"/>
    <w:rsid w:val="00DD2044"/>
    <w:rsid w:val="00DD3111"/>
    <w:rsid w:val="00DD3285"/>
    <w:rsid w:val="00DD3BAE"/>
    <w:rsid w:val="00DD3FB5"/>
    <w:rsid w:val="00DD401A"/>
    <w:rsid w:val="00DD4376"/>
    <w:rsid w:val="00DD4377"/>
    <w:rsid w:val="00DD4F23"/>
    <w:rsid w:val="00DD51D6"/>
    <w:rsid w:val="00DD5817"/>
    <w:rsid w:val="00DD5BDC"/>
    <w:rsid w:val="00DD5DC0"/>
    <w:rsid w:val="00DD686C"/>
    <w:rsid w:val="00DD6CAC"/>
    <w:rsid w:val="00DD6F97"/>
    <w:rsid w:val="00DD76E8"/>
    <w:rsid w:val="00DD79A8"/>
    <w:rsid w:val="00DE0024"/>
    <w:rsid w:val="00DE05C9"/>
    <w:rsid w:val="00DE067C"/>
    <w:rsid w:val="00DE1840"/>
    <w:rsid w:val="00DE1CF5"/>
    <w:rsid w:val="00DE1DE2"/>
    <w:rsid w:val="00DE2494"/>
    <w:rsid w:val="00DE2B22"/>
    <w:rsid w:val="00DE31EC"/>
    <w:rsid w:val="00DE3EF6"/>
    <w:rsid w:val="00DE3F06"/>
    <w:rsid w:val="00DE4314"/>
    <w:rsid w:val="00DE4E05"/>
    <w:rsid w:val="00DE4F14"/>
    <w:rsid w:val="00DE5594"/>
    <w:rsid w:val="00DE586F"/>
    <w:rsid w:val="00DE63C0"/>
    <w:rsid w:val="00DE66CF"/>
    <w:rsid w:val="00DE6F5F"/>
    <w:rsid w:val="00DE70E6"/>
    <w:rsid w:val="00DE7418"/>
    <w:rsid w:val="00DE768E"/>
    <w:rsid w:val="00DE7701"/>
    <w:rsid w:val="00DE7890"/>
    <w:rsid w:val="00DE7CF0"/>
    <w:rsid w:val="00DF0388"/>
    <w:rsid w:val="00DF078B"/>
    <w:rsid w:val="00DF0B0A"/>
    <w:rsid w:val="00DF0DF7"/>
    <w:rsid w:val="00DF101E"/>
    <w:rsid w:val="00DF107B"/>
    <w:rsid w:val="00DF2112"/>
    <w:rsid w:val="00DF2627"/>
    <w:rsid w:val="00DF2695"/>
    <w:rsid w:val="00DF2885"/>
    <w:rsid w:val="00DF2C4A"/>
    <w:rsid w:val="00DF34A3"/>
    <w:rsid w:val="00DF36C6"/>
    <w:rsid w:val="00DF37AE"/>
    <w:rsid w:val="00DF386B"/>
    <w:rsid w:val="00DF38A8"/>
    <w:rsid w:val="00DF3CC9"/>
    <w:rsid w:val="00DF4353"/>
    <w:rsid w:val="00DF522C"/>
    <w:rsid w:val="00DF5C47"/>
    <w:rsid w:val="00DF67E3"/>
    <w:rsid w:val="00DF697A"/>
    <w:rsid w:val="00DF6B9F"/>
    <w:rsid w:val="00DF6BD6"/>
    <w:rsid w:val="00DF7B86"/>
    <w:rsid w:val="00E00024"/>
    <w:rsid w:val="00E002BD"/>
    <w:rsid w:val="00E003FA"/>
    <w:rsid w:val="00E0040C"/>
    <w:rsid w:val="00E00AC5"/>
    <w:rsid w:val="00E00E4E"/>
    <w:rsid w:val="00E01079"/>
    <w:rsid w:val="00E0145C"/>
    <w:rsid w:val="00E0154D"/>
    <w:rsid w:val="00E016E1"/>
    <w:rsid w:val="00E0248C"/>
    <w:rsid w:val="00E02BE9"/>
    <w:rsid w:val="00E02C37"/>
    <w:rsid w:val="00E0389D"/>
    <w:rsid w:val="00E04370"/>
    <w:rsid w:val="00E045A6"/>
    <w:rsid w:val="00E04CEB"/>
    <w:rsid w:val="00E04D19"/>
    <w:rsid w:val="00E04DC5"/>
    <w:rsid w:val="00E05C65"/>
    <w:rsid w:val="00E0609F"/>
    <w:rsid w:val="00E068AF"/>
    <w:rsid w:val="00E068B8"/>
    <w:rsid w:val="00E06934"/>
    <w:rsid w:val="00E06C68"/>
    <w:rsid w:val="00E06E32"/>
    <w:rsid w:val="00E06E56"/>
    <w:rsid w:val="00E07674"/>
    <w:rsid w:val="00E0795B"/>
    <w:rsid w:val="00E07D5F"/>
    <w:rsid w:val="00E07F5D"/>
    <w:rsid w:val="00E10380"/>
    <w:rsid w:val="00E10639"/>
    <w:rsid w:val="00E10695"/>
    <w:rsid w:val="00E10E7C"/>
    <w:rsid w:val="00E1195F"/>
    <w:rsid w:val="00E11F60"/>
    <w:rsid w:val="00E1268D"/>
    <w:rsid w:val="00E12C6E"/>
    <w:rsid w:val="00E12DDB"/>
    <w:rsid w:val="00E132A2"/>
    <w:rsid w:val="00E13344"/>
    <w:rsid w:val="00E144A8"/>
    <w:rsid w:val="00E14795"/>
    <w:rsid w:val="00E14C96"/>
    <w:rsid w:val="00E14F17"/>
    <w:rsid w:val="00E161E7"/>
    <w:rsid w:val="00E1632B"/>
    <w:rsid w:val="00E163DB"/>
    <w:rsid w:val="00E16585"/>
    <w:rsid w:val="00E16F16"/>
    <w:rsid w:val="00E178AB"/>
    <w:rsid w:val="00E179EC"/>
    <w:rsid w:val="00E17CCE"/>
    <w:rsid w:val="00E20243"/>
    <w:rsid w:val="00E20550"/>
    <w:rsid w:val="00E20E43"/>
    <w:rsid w:val="00E21505"/>
    <w:rsid w:val="00E21BA8"/>
    <w:rsid w:val="00E22C68"/>
    <w:rsid w:val="00E22D40"/>
    <w:rsid w:val="00E2338D"/>
    <w:rsid w:val="00E23501"/>
    <w:rsid w:val="00E2407B"/>
    <w:rsid w:val="00E2463A"/>
    <w:rsid w:val="00E24BED"/>
    <w:rsid w:val="00E24FD8"/>
    <w:rsid w:val="00E25278"/>
    <w:rsid w:val="00E253C4"/>
    <w:rsid w:val="00E25596"/>
    <w:rsid w:val="00E25953"/>
    <w:rsid w:val="00E2598E"/>
    <w:rsid w:val="00E25ACD"/>
    <w:rsid w:val="00E266AE"/>
    <w:rsid w:val="00E268A2"/>
    <w:rsid w:val="00E26F3F"/>
    <w:rsid w:val="00E2705D"/>
    <w:rsid w:val="00E2708F"/>
    <w:rsid w:val="00E273C9"/>
    <w:rsid w:val="00E277CE"/>
    <w:rsid w:val="00E27D8A"/>
    <w:rsid w:val="00E27DBE"/>
    <w:rsid w:val="00E30460"/>
    <w:rsid w:val="00E312CB"/>
    <w:rsid w:val="00E31701"/>
    <w:rsid w:val="00E31B32"/>
    <w:rsid w:val="00E32285"/>
    <w:rsid w:val="00E32EB1"/>
    <w:rsid w:val="00E33185"/>
    <w:rsid w:val="00E33A42"/>
    <w:rsid w:val="00E33B21"/>
    <w:rsid w:val="00E33DF4"/>
    <w:rsid w:val="00E33E19"/>
    <w:rsid w:val="00E33FEC"/>
    <w:rsid w:val="00E34054"/>
    <w:rsid w:val="00E34367"/>
    <w:rsid w:val="00E34686"/>
    <w:rsid w:val="00E34C6A"/>
    <w:rsid w:val="00E35483"/>
    <w:rsid w:val="00E35492"/>
    <w:rsid w:val="00E35616"/>
    <w:rsid w:val="00E35BDA"/>
    <w:rsid w:val="00E35DE2"/>
    <w:rsid w:val="00E35FA4"/>
    <w:rsid w:val="00E35FAF"/>
    <w:rsid w:val="00E3738C"/>
    <w:rsid w:val="00E37747"/>
    <w:rsid w:val="00E37C24"/>
    <w:rsid w:val="00E37D9F"/>
    <w:rsid w:val="00E40290"/>
    <w:rsid w:val="00E403D5"/>
    <w:rsid w:val="00E40802"/>
    <w:rsid w:val="00E40C64"/>
    <w:rsid w:val="00E413AF"/>
    <w:rsid w:val="00E4151E"/>
    <w:rsid w:val="00E41938"/>
    <w:rsid w:val="00E429F8"/>
    <w:rsid w:val="00E4309E"/>
    <w:rsid w:val="00E43351"/>
    <w:rsid w:val="00E43426"/>
    <w:rsid w:val="00E43AAF"/>
    <w:rsid w:val="00E43ACA"/>
    <w:rsid w:val="00E43BA6"/>
    <w:rsid w:val="00E44A00"/>
    <w:rsid w:val="00E4562C"/>
    <w:rsid w:val="00E45E19"/>
    <w:rsid w:val="00E468F5"/>
    <w:rsid w:val="00E46C11"/>
    <w:rsid w:val="00E47BFE"/>
    <w:rsid w:val="00E501ED"/>
    <w:rsid w:val="00E50AA5"/>
    <w:rsid w:val="00E50B42"/>
    <w:rsid w:val="00E51BAF"/>
    <w:rsid w:val="00E51C12"/>
    <w:rsid w:val="00E51C72"/>
    <w:rsid w:val="00E51F58"/>
    <w:rsid w:val="00E528A4"/>
    <w:rsid w:val="00E529DD"/>
    <w:rsid w:val="00E52A63"/>
    <w:rsid w:val="00E5317C"/>
    <w:rsid w:val="00E53180"/>
    <w:rsid w:val="00E53255"/>
    <w:rsid w:val="00E536EC"/>
    <w:rsid w:val="00E53911"/>
    <w:rsid w:val="00E5393F"/>
    <w:rsid w:val="00E53CCF"/>
    <w:rsid w:val="00E53F8B"/>
    <w:rsid w:val="00E5432E"/>
    <w:rsid w:val="00E54697"/>
    <w:rsid w:val="00E54970"/>
    <w:rsid w:val="00E54C14"/>
    <w:rsid w:val="00E5500F"/>
    <w:rsid w:val="00E554B0"/>
    <w:rsid w:val="00E554B4"/>
    <w:rsid w:val="00E55772"/>
    <w:rsid w:val="00E557B3"/>
    <w:rsid w:val="00E5620D"/>
    <w:rsid w:val="00E56324"/>
    <w:rsid w:val="00E568E2"/>
    <w:rsid w:val="00E56A95"/>
    <w:rsid w:val="00E56EAF"/>
    <w:rsid w:val="00E5745E"/>
    <w:rsid w:val="00E60B12"/>
    <w:rsid w:val="00E60B40"/>
    <w:rsid w:val="00E61AA6"/>
    <w:rsid w:val="00E62259"/>
    <w:rsid w:val="00E6228F"/>
    <w:rsid w:val="00E626F3"/>
    <w:rsid w:val="00E62837"/>
    <w:rsid w:val="00E628F4"/>
    <w:rsid w:val="00E62C84"/>
    <w:rsid w:val="00E62CA0"/>
    <w:rsid w:val="00E63652"/>
    <w:rsid w:val="00E63893"/>
    <w:rsid w:val="00E63DF9"/>
    <w:rsid w:val="00E641C1"/>
    <w:rsid w:val="00E641E8"/>
    <w:rsid w:val="00E64B7F"/>
    <w:rsid w:val="00E64C72"/>
    <w:rsid w:val="00E64C90"/>
    <w:rsid w:val="00E6525E"/>
    <w:rsid w:val="00E653CD"/>
    <w:rsid w:val="00E653FD"/>
    <w:rsid w:val="00E65692"/>
    <w:rsid w:val="00E6613D"/>
    <w:rsid w:val="00E663AD"/>
    <w:rsid w:val="00E6662B"/>
    <w:rsid w:val="00E667E1"/>
    <w:rsid w:val="00E66BD7"/>
    <w:rsid w:val="00E67125"/>
    <w:rsid w:val="00E6739E"/>
    <w:rsid w:val="00E67884"/>
    <w:rsid w:val="00E67BBB"/>
    <w:rsid w:val="00E67CD1"/>
    <w:rsid w:val="00E70983"/>
    <w:rsid w:val="00E71397"/>
    <w:rsid w:val="00E7198B"/>
    <w:rsid w:val="00E728D8"/>
    <w:rsid w:val="00E72E0C"/>
    <w:rsid w:val="00E73175"/>
    <w:rsid w:val="00E7327D"/>
    <w:rsid w:val="00E7344A"/>
    <w:rsid w:val="00E735C5"/>
    <w:rsid w:val="00E73AEC"/>
    <w:rsid w:val="00E73E78"/>
    <w:rsid w:val="00E73F3F"/>
    <w:rsid w:val="00E74130"/>
    <w:rsid w:val="00E753C9"/>
    <w:rsid w:val="00E757EB"/>
    <w:rsid w:val="00E7582C"/>
    <w:rsid w:val="00E758C9"/>
    <w:rsid w:val="00E75F53"/>
    <w:rsid w:val="00E7615A"/>
    <w:rsid w:val="00E76198"/>
    <w:rsid w:val="00E76A71"/>
    <w:rsid w:val="00E8010F"/>
    <w:rsid w:val="00E801C4"/>
    <w:rsid w:val="00E80E94"/>
    <w:rsid w:val="00E81284"/>
    <w:rsid w:val="00E819C2"/>
    <w:rsid w:val="00E81BB8"/>
    <w:rsid w:val="00E823A5"/>
    <w:rsid w:val="00E8241D"/>
    <w:rsid w:val="00E8251C"/>
    <w:rsid w:val="00E82851"/>
    <w:rsid w:val="00E82AFA"/>
    <w:rsid w:val="00E82FD8"/>
    <w:rsid w:val="00E836D6"/>
    <w:rsid w:val="00E83786"/>
    <w:rsid w:val="00E843FF"/>
    <w:rsid w:val="00E84642"/>
    <w:rsid w:val="00E847BE"/>
    <w:rsid w:val="00E84F40"/>
    <w:rsid w:val="00E85618"/>
    <w:rsid w:val="00E85C9A"/>
    <w:rsid w:val="00E86035"/>
    <w:rsid w:val="00E8607D"/>
    <w:rsid w:val="00E8634F"/>
    <w:rsid w:val="00E864D0"/>
    <w:rsid w:val="00E8730A"/>
    <w:rsid w:val="00E87312"/>
    <w:rsid w:val="00E87690"/>
    <w:rsid w:val="00E879E2"/>
    <w:rsid w:val="00E90296"/>
    <w:rsid w:val="00E905AB"/>
    <w:rsid w:val="00E90952"/>
    <w:rsid w:val="00E90DDC"/>
    <w:rsid w:val="00E913C5"/>
    <w:rsid w:val="00E913D1"/>
    <w:rsid w:val="00E91832"/>
    <w:rsid w:val="00E920E5"/>
    <w:rsid w:val="00E921B2"/>
    <w:rsid w:val="00E923B7"/>
    <w:rsid w:val="00E92537"/>
    <w:rsid w:val="00E925FF"/>
    <w:rsid w:val="00E92663"/>
    <w:rsid w:val="00E92A36"/>
    <w:rsid w:val="00E92CD3"/>
    <w:rsid w:val="00E93725"/>
    <w:rsid w:val="00E939E6"/>
    <w:rsid w:val="00E94B24"/>
    <w:rsid w:val="00E94F60"/>
    <w:rsid w:val="00E9595B"/>
    <w:rsid w:val="00E95CC2"/>
    <w:rsid w:val="00E95FCA"/>
    <w:rsid w:val="00E96281"/>
    <w:rsid w:val="00E96AD6"/>
    <w:rsid w:val="00E96AF9"/>
    <w:rsid w:val="00E96C9F"/>
    <w:rsid w:val="00E96F78"/>
    <w:rsid w:val="00E9704D"/>
    <w:rsid w:val="00E971CB"/>
    <w:rsid w:val="00E97649"/>
    <w:rsid w:val="00E977E8"/>
    <w:rsid w:val="00E97C15"/>
    <w:rsid w:val="00E97DB3"/>
    <w:rsid w:val="00EA00F8"/>
    <w:rsid w:val="00EA06CC"/>
    <w:rsid w:val="00EA0DC6"/>
    <w:rsid w:val="00EA13A5"/>
    <w:rsid w:val="00EA1784"/>
    <w:rsid w:val="00EA20A4"/>
    <w:rsid w:val="00EA2458"/>
    <w:rsid w:val="00EA2709"/>
    <w:rsid w:val="00EA3105"/>
    <w:rsid w:val="00EA31D2"/>
    <w:rsid w:val="00EA46DD"/>
    <w:rsid w:val="00EA4764"/>
    <w:rsid w:val="00EA4C61"/>
    <w:rsid w:val="00EA5550"/>
    <w:rsid w:val="00EA58F7"/>
    <w:rsid w:val="00EA661E"/>
    <w:rsid w:val="00EA6CC4"/>
    <w:rsid w:val="00EA7033"/>
    <w:rsid w:val="00EA721E"/>
    <w:rsid w:val="00EA77D8"/>
    <w:rsid w:val="00EA7B4D"/>
    <w:rsid w:val="00EA7C52"/>
    <w:rsid w:val="00EB058A"/>
    <w:rsid w:val="00EB0E6C"/>
    <w:rsid w:val="00EB0EF2"/>
    <w:rsid w:val="00EB1DC4"/>
    <w:rsid w:val="00EB1F3D"/>
    <w:rsid w:val="00EB220E"/>
    <w:rsid w:val="00EB311C"/>
    <w:rsid w:val="00EB3195"/>
    <w:rsid w:val="00EB33E5"/>
    <w:rsid w:val="00EB3445"/>
    <w:rsid w:val="00EB3662"/>
    <w:rsid w:val="00EB429A"/>
    <w:rsid w:val="00EB54A5"/>
    <w:rsid w:val="00EB5784"/>
    <w:rsid w:val="00EB5E8D"/>
    <w:rsid w:val="00EB67B4"/>
    <w:rsid w:val="00EB6BB0"/>
    <w:rsid w:val="00EB6BC5"/>
    <w:rsid w:val="00EB6BEC"/>
    <w:rsid w:val="00EB6EA3"/>
    <w:rsid w:val="00EB6EEA"/>
    <w:rsid w:val="00EB7110"/>
    <w:rsid w:val="00EB7255"/>
    <w:rsid w:val="00EB74BD"/>
    <w:rsid w:val="00EB7B4F"/>
    <w:rsid w:val="00EB7DD2"/>
    <w:rsid w:val="00EC02CE"/>
    <w:rsid w:val="00EC093F"/>
    <w:rsid w:val="00EC0B9B"/>
    <w:rsid w:val="00EC157A"/>
    <w:rsid w:val="00EC1D8B"/>
    <w:rsid w:val="00EC1ED2"/>
    <w:rsid w:val="00EC22F1"/>
    <w:rsid w:val="00EC284C"/>
    <w:rsid w:val="00EC3388"/>
    <w:rsid w:val="00EC3991"/>
    <w:rsid w:val="00EC3B8F"/>
    <w:rsid w:val="00EC4269"/>
    <w:rsid w:val="00EC462B"/>
    <w:rsid w:val="00EC46F6"/>
    <w:rsid w:val="00EC46FD"/>
    <w:rsid w:val="00EC47FB"/>
    <w:rsid w:val="00EC4870"/>
    <w:rsid w:val="00EC49FB"/>
    <w:rsid w:val="00EC4A4A"/>
    <w:rsid w:val="00EC4BCF"/>
    <w:rsid w:val="00EC4CFB"/>
    <w:rsid w:val="00EC562F"/>
    <w:rsid w:val="00EC5B3C"/>
    <w:rsid w:val="00EC5D6F"/>
    <w:rsid w:val="00EC6501"/>
    <w:rsid w:val="00EC6515"/>
    <w:rsid w:val="00EC7043"/>
    <w:rsid w:val="00EC7418"/>
    <w:rsid w:val="00EC77A5"/>
    <w:rsid w:val="00EC7AE1"/>
    <w:rsid w:val="00ED00F0"/>
    <w:rsid w:val="00ED02B1"/>
    <w:rsid w:val="00ED0E34"/>
    <w:rsid w:val="00ED1B61"/>
    <w:rsid w:val="00ED1C28"/>
    <w:rsid w:val="00ED20D5"/>
    <w:rsid w:val="00ED3529"/>
    <w:rsid w:val="00ED4228"/>
    <w:rsid w:val="00ED44F4"/>
    <w:rsid w:val="00ED4C9F"/>
    <w:rsid w:val="00ED4CF4"/>
    <w:rsid w:val="00ED5011"/>
    <w:rsid w:val="00ED514A"/>
    <w:rsid w:val="00ED5227"/>
    <w:rsid w:val="00ED5721"/>
    <w:rsid w:val="00ED597C"/>
    <w:rsid w:val="00ED5B03"/>
    <w:rsid w:val="00ED5C18"/>
    <w:rsid w:val="00ED5F78"/>
    <w:rsid w:val="00ED68E1"/>
    <w:rsid w:val="00ED6A96"/>
    <w:rsid w:val="00ED7083"/>
    <w:rsid w:val="00ED7545"/>
    <w:rsid w:val="00ED7F53"/>
    <w:rsid w:val="00EE1E74"/>
    <w:rsid w:val="00EE21EB"/>
    <w:rsid w:val="00EE2DE3"/>
    <w:rsid w:val="00EE308D"/>
    <w:rsid w:val="00EE3B84"/>
    <w:rsid w:val="00EE3BA8"/>
    <w:rsid w:val="00EE47E7"/>
    <w:rsid w:val="00EE5A18"/>
    <w:rsid w:val="00EE5A53"/>
    <w:rsid w:val="00EE6FE5"/>
    <w:rsid w:val="00EE724F"/>
    <w:rsid w:val="00EE7A83"/>
    <w:rsid w:val="00EF0375"/>
    <w:rsid w:val="00EF0769"/>
    <w:rsid w:val="00EF082D"/>
    <w:rsid w:val="00EF0855"/>
    <w:rsid w:val="00EF130F"/>
    <w:rsid w:val="00EF2234"/>
    <w:rsid w:val="00EF23AC"/>
    <w:rsid w:val="00EF2F5A"/>
    <w:rsid w:val="00EF3971"/>
    <w:rsid w:val="00EF3B98"/>
    <w:rsid w:val="00EF4110"/>
    <w:rsid w:val="00EF41F3"/>
    <w:rsid w:val="00EF48EE"/>
    <w:rsid w:val="00EF4D0D"/>
    <w:rsid w:val="00EF5096"/>
    <w:rsid w:val="00EF5514"/>
    <w:rsid w:val="00EF5BC8"/>
    <w:rsid w:val="00EF5EDF"/>
    <w:rsid w:val="00EF6664"/>
    <w:rsid w:val="00EF66BD"/>
    <w:rsid w:val="00EF6767"/>
    <w:rsid w:val="00EF7D60"/>
    <w:rsid w:val="00EF7E29"/>
    <w:rsid w:val="00F0010A"/>
    <w:rsid w:val="00F0061F"/>
    <w:rsid w:val="00F0070C"/>
    <w:rsid w:val="00F00A49"/>
    <w:rsid w:val="00F00BA7"/>
    <w:rsid w:val="00F00E0C"/>
    <w:rsid w:val="00F01001"/>
    <w:rsid w:val="00F0159C"/>
    <w:rsid w:val="00F01700"/>
    <w:rsid w:val="00F01A91"/>
    <w:rsid w:val="00F024F8"/>
    <w:rsid w:val="00F02693"/>
    <w:rsid w:val="00F02709"/>
    <w:rsid w:val="00F02D1A"/>
    <w:rsid w:val="00F03408"/>
    <w:rsid w:val="00F034F8"/>
    <w:rsid w:val="00F06BB0"/>
    <w:rsid w:val="00F070FE"/>
    <w:rsid w:val="00F0715D"/>
    <w:rsid w:val="00F07317"/>
    <w:rsid w:val="00F07483"/>
    <w:rsid w:val="00F074DA"/>
    <w:rsid w:val="00F07D40"/>
    <w:rsid w:val="00F07F26"/>
    <w:rsid w:val="00F104D4"/>
    <w:rsid w:val="00F10C1C"/>
    <w:rsid w:val="00F10E8B"/>
    <w:rsid w:val="00F10F89"/>
    <w:rsid w:val="00F11221"/>
    <w:rsid w:val="00F113D2"/>
    <w:rsid w:val="00F11651"/>
    <w:rsid w:val="00F12400"/>
    <w:rsid w:val="00F1242F"/>
    <w:rsid w:val="00F12B3D"/>
    <w:rsid w:val="00F136AB"/>
    <w:rsid w:val="00F13DFD"/>
    <w:rsid w:val="00F1424C"/>
    <w:rsid w:val="00F1523C"/>
    <w:rsid w:val="00F15525"/>
    <w:rsid w:val="00F1566A"/>
    <w:rsid w:val="00F15981"/>
    <w:rsid w:val="00F159FB"/>
    <w:rsid w:val="00F15B0A"/>
    <w:rsid w:val="00F15EDC"/>
    <w:rsid w:val="00F16309"/>
    <w:rsid w:val="00F163A4"/>
    <w:rsid w:val="00F1684A"/>
    <w:rsid w:val="00F17799"/>
    <w:rsid w:val="00F17931"/>
    <w:rsid w:val="00F210EF"/>
    <w:rsid w:val="00F21419"/>
    <w:rsid w:val="00F214F8"/>
    <w:rsid w:val="00F2185A"/>
    <w:rsid w:val="00F21873"/>
    <w:rsid w:val="00F21D85"/>
    <w:rsid w:val="00F22035"/>
    <w:rsid w:val="00F221C2"/>
    <w:rsid w:val="00F222BE"/>
    <w:rsid w:val="00F232FE"/>
    <w:rsid w:val="00F237AC"/>
    <w:rsid w:val="00F23E10"/>
    <w:rsid w:val="00F2418C"/>
    <w:rsid w:val="00F2471B"/>
    <w:rsid w:val="00F24ACF"/>
    <w:rsid w:val="00F24E1D"/>
    <w:rsid w:val="00F250E6"/>
    <w:rsid w:val="00F255D4"/>
    <w:rsid w:val="00F25B2C"/>
    <w:rsid w:val="00F2601D"/>
    <w:rsid w:val="00F26516"/>
    <w:rsid w:val="00F266F0"/>
    <w:rsid w:val="00F26CD1"/>
    <w:rsid w:val="00F26E52"/>
    <w:rsid w:val="00F276BA"/>
    <w:rsid w:val="00F27862"/>
    <w:rsid w:val="00F27993"/>
    <w:rsid w:val="00F27C81"/>
    <w:rsid w:val="00F27DAA"/>
    <w:rsid w:val="00F27EF2"/>
    <w:rsid w:val="00F3082F"/>
    <w:rsid w:val="00F30E36"/>
    <w:rsid w:val="00F30F6B"/>
    <w:rsid w:val="00F31586"/>
    <w:rsid w:val="00F31785"/>
    <w:rsid w:val="00F31B48"/>
    <w:rsid w:val="00F31CF1"/>
    <w:rsid w:val="00F31D1E"/>
    <w:rsid w:val="00F31E8D"/>
    <w:rsid w:val="00F3221E"/>
    <w:rsid w:val="00F32917"/>
    <w:rsid w:val="00F32E0E"/>
    <w:rsid w:val="00F32EAB"/>
    <w:rsid w:val="00F34366"/>
    <w:rsid w:val="00F34576"/>
    <w:rsid w:val="00F34973"/>
    <w:rsid w:val="00F350BD"/>
    <w:rsid w:val="00F3517A"/>
    <w:rsid w:val="00F355C8"/>
    <w:rsid w:val="00F3730A"/>
    <w:rsid w:val="00F37F13"/>
    <w:rsid w:val="00F37F3B"/>
    <w:rsid w:val="00F40078"/>
    <w:rsid w:val="00F40522"/>
    <w:rsid w:val="00F4189B"/>
    <w:rsid w:val="00F420F8"/>
    <w:rsid w:val="00F4373C"/>
    <w:rsid w:val="00F43B13"/>
    <w:rsid w:val="00F43FC4"/>
    <w:rsid w:val="00F450BC"/>
    <w:rsid w:val="00F45630"/>
    <w:rsid w:val="00F45AF6"/>
    <w:rsid w:val="00F460F6"/>
    <w:rsid w:val="00F468C1"/>
    <w:rsid w:val="00F4756B"/>
    <w:rsid w:val="00F5033D"/>
    <w:rsid w:val="00F5038F"/>
    <w:rsid w:val="00F50584"/>
    <w:rsid w:val="00F5082A"/>
    <w:rsid w:val="00F509AB"/>
    <w:rsid w:val="00F5123B"/>
    <w:rsid w:val="00F517D6"/>
    <w:rsid w:val="00F51B95"/>
    <w:rsid w:val="00F52188"/>
    <w:rsid w:val="00F52AA1"/>
    <w:rsid w:val="00F52DD9"/>
    <w:rsid w:val="00F53148"/>
    <w:rsid w:val="00F53400"/>
    <w:rsid w:val="00F5349D"/>
    <w:rsid w:val="00F53691"/>
    <w:rsid w:val="00F5372F"/>
    <w:rsid w:val="00F53758"/>
    <w:rsid w:val="00F53839"/>
    <w:rsid w:val="00F53CF3"/>
    <w:rsid w:val="00F53DBC"/>
    <w:rsid w:val="00F53E76"/>
    <w:rsid w:val="00F54197"/>
    <w:rsid w:val="00F54895"/>
    <w:rsid w:val="00F5506A"/>
    <w:rsid w:val="00F550F3"/>
    <w:rsid w:val="00F55211"/>
    <w:rsid w:val="00F55C84"/>
    <w:rsid w:val="00F56468"/>
    <w:rsid w:val="00F60292"/>
    <w:rsid w:val="00F6129E"/>
    <w:rsid w:val="00F616F5"/>
    <w:rsid w:val="00F6223A"/>
    <w:rsid w:val="00F62B41"/>
    <w:rsid w:val="00F62EAE"/>
    <w:rsid w:val="00F6304A"/>
    <w:rsid w:val="00F63474"/>
    <w:rsid w:val="00F63671"/>
    <w:rsid w:val="00F646E1"/>
    <w:rsid w:val="00F64ED4"/>
    <w:rsid w:val="00F65246"/>
    <w:rsid w:val="00F6638F"/>
    <w:rsid w:val="00F66582"/>
    <w:rsid w:val="00F670C6"/>
    <w:rsid w:val="00F67E88"/>
    <w:rsid w:val="00F70814"/>
    <w:rsid w:val="00F71AC6"/>
    <w:rsid w:val="00F71E61"/>
    <w:rsid w:val="00F721CC"/>
    <w:rsid w:val="00F721D7"/>
    <w:rsid w:val="00F724CF"/>
    <w:rsid w:val="00F726F5"/>
    <w:rsid w:val="00F72996"/>
    <w:rsid w:val="00F72EE7"/>
    <w:rsid w:val="00F73745"/>
    <w:rsid w:val="00F73AFC"/>
    <w:rsid w:val="00F746F2"/>
    <w:rsid w:val="00F7483D"/>
    <w:rsid w:val="00F74B35"/>
    <w:rsid w:val="00F7510E"/>
    <w:rsid w:val="00F751DA"/>
    <w:rsid w:val="00F751F7"/>
    <w:rsid w:val="00F75806"/>
    <w:rsid w:val="00F75BD2"/>
    <w:rsid w:val="00F75BDA"/>
    <w:rsid w:val="00F75C08"/>
    <w:rsid w:val="00F76D60"/>
    <w:rsid w:val="00F76DCA"/>
    <w:rsid w:val="00F7744C"/>
    <w:rsid w:val="00F774B1"/>
    <w:rsid w:val="00F814A2"/>
    <w:rsid w:val="00F8153B"/>
    <w:rsid w:val="00F8155F"/>
    <w:rsid w:val="00F81752"/>
    <w:rsid w:val="00F81A65"/>
    <w:rsid w:val="00F81BE4"/>
    <w:rsid w:val="00F81BFC"/>
    <w:rsid w:val="00F81FF3"/>
    <w:rsid w:val="00F82242"/>
    <w:rsid w:val="00F82BCD"/>
    <w:rsid w:val="00F8317E"/>
    <w:rsid w:val="00F834B3"/>
    <w:rsid w:val="00F838F9"/>
    <w:rsid w:val="00F84209"/>
    <w:rsid w:val="00F84246"/>
    <w:rsid w:val="00F845AE"/>
    <w:rsid w:val="00F845B3"/>
    <w:rsid w:val="00F852EF"/>
    <w:rsid w:val="00F865D8"/>
    <w:rsid w:val="00F867A7"/>
    <w:rsid w:val="00F86CFF"/>
    <w:rsid w:val="00F86E57"/>
    <w:rsid w:val="00F86E5A"/>
    <w:rsid w:val="00F86F68"/>
    <w:rsid w:val="00F872CB"/>
    <w:rsid w:val="00F87B96"/>
    <w:rsid w:val="00F90359"/>
    <w:rsid w:val="00F90B71"/>
    <w:rsid w:val="00F917C3"/>
    <w:rsid w:val="00F91D0F"/>
    <w:rsid w:val="00F91D39"/>
    <w:rsid w:val="00F91DC4"/>
    <w:rsid w:val="00F91F9E"/>
    <w:rsid w:val="00F9244B"/>
    <w:rsid w:val="00F92C6E"/>
    <w:rsid w:val="00F92CDA"/>
    <w:rsid w:val="00F938AB"/>
    <w:rsid w:val="00F93A2E"/>
    <w:rsid w:val="00F93F64"/>
    <w:rsid w:val="00F94008"/>
    <w:rsid w:val="00F94406"/>
    <w:rsid w:val="00F95A4F"/>
    <w:rsid w:val="00F9601E"/>
    <w:rsid w:val="00F963C4"/>
    <w:rsid w:val="00F96C7F"/>
    <w:rsid w:val="00F96F81"/>
    <w:rsid w:val="00F9705D"/>
    <w:rsid w:val="00F9706C"/>
    <w:rsid w:val="00F97079"/>
    <w:rsid w:val="00F97C09"/>
    <w:rsid w:val="00FA02EE"/>
    <w:rsid w:val="00FA0AD7"/>
    <w:rsid w:val="00FA0D0B"/>
    <w:rsid w:val="00FA0E66"/>
    <w:rsid w:val="00FA10BD"/>
    <w:rsid w:val="00FA239E"/>
    <w:rsid w:val="00FA2420"/>
    <w:rsid w:val="00FA2758"/>
    <w:rsid w:val="00FA2A94"/>
    <w:rsid w:val="00FA2B61"/>
    <w:rsid w:val="00FA2D8E"/>
    <w:rsid w:val="00FA3930"/>
    <w:rsid w:val="00FA4527"/>
    <w:rsid w:val="00FA455E"/>
    <w:rsid w:val="00FA456F"/>
    <w:rsid w:val="00FA4581"/>
    <w:rsid w:val="00FA4853"/>
    <w:rsid w:val="00FA4ECB"/>
    <w:rsid w:val="00FA51F4"/>
    <w:rsid w:val="00FA5C60"/>
    <w:rsid w:val="00FA613B"/>
    <w:rsid w:val="00FA620C"/>
    <w:rsid w:val="00FA660E"/>
    <w:rsid w:val="00FA678F"/>
    <w:rsid w:val="00FA71A0"/>
    <w:rsid w:val="00FA7504"/>
    <w:rsid w:val="00FA7585"/>
    <w:rsid w:val="00FB0181"/>
    <w:rsid w:val="00FB05EE"/>
    <w:rsid w:val="00FB142D"/>
    <w:rsid w:val="00FB16CD"/>
    <w:rsid w:val="00FB1C52"/>
    <w:rsid w:val="00FB1E73"/>
    <w:rsid w:val="00FB257F"/>
    <w:rsid w:val="00FB2899"/>
    <w:rsid w:val="00FB3090"/>
    <w:rsid w:val="00FB30D9"/>
    <w:rsid w:val="00FB30ED"/>
    <w:rsid w:val="00FB3D72"/>
    <w:rsid w:val="00FB473A"/>
    <w:rsid w:val="00FB4BC9"/>
    <w:rsid w:val="00FB509F"/>
    <w:rsid w:val="00FB649C"/>
    <w:rsid w:val="00FB67A8"/>
    <w:rsid w:val="00FB79B0"/>
    <w:rsid w:val="00FB7D57"/>
    <w:rsid w:val="00FC0232"/>
    <w:rsid w:val="00FC0518"/>
    <w:rsid w:val="00FC0ABC"/>
    <w:rsid w:val="00FC0CD1"/>
    <w:rsid w:val="00FC0EA4"/>
    <w:rsid w:val="00FC0FFD"/>
    <w:rsid w:val="00FC1060"/>
    <w:rsid w:val="00FC1D34"/>
    <w:rsid w:val="00FC21AD"/>
    <w:rsid w:val="00FC26CB"/>
    <w:rsid w:val="00FC2AAD"/>
    <w:rsid w:val="00FC2C19"/>
    <w:rsid w:val="00FC2C78"/>
    <w:rsid w:val="00FC2E6D"/>
    <w:rsid w:val="00FC3375"/>
    <w:rsid w:val="00FC384B"/>
    <w:rsid w:val="00FC3986"/>
    <w:rsid w:val="00FC39CB"/>
    <w:rsid w:val="00FC4861"/>
    <w:rsid w:val="00FC5C90"/>
    <w:rsid w:val="00FC5FE3"/>
    <w:rsid w:val="00FC664E"/>
    <w:rsid w:val="00FC6A2D"/>
    <w:rsid w:val="00FC76C7"/>
    <w:rsid w:val="00FC79B3"/>
    <w:rsid w:val="00FC7A4E"/>
    <w:rsid w:val="00FC7C63"/>
    <w:rsid w:val="00FD0274"/>
    <w:rsid w:val="00FD0389"/>
    <w:rsid w:val="00FD070F"/>
    <w:rsid w:val="00FD0740"/>
    <w:rsid w:val="00FD1130"/>
    <w:rsid w:val="00FD1D02"/>
    <w:rsid w:val="00FD20A7"/>
    <w:rsid w:val="00FD26E1"/>
    <w:rsid w:val="00FD306D"/>
    <w:rsid w:val="00FD3B12"/>
    <w:rsid w:val="00FD3EB2"/>
    <w:rsid w:val="00FD45DF"/>
    <w:rsid w:val="00FD545C"/>
    <w:rsid w:val="00FD594E"/>
    <w:rsid w:val="00FD5CFD"/>
    <w:rsid w:val="00FD5DFE"/>
    <w:rsid w:val="00FD6565"/>
    <w:rsid w:val="00FD6AD0"/>
    <w:rsid w:val="00FD6F1C"/>
    <w:rsid w:val="00FD70DD"/>
    <w:rsid w:val="00FD7317"/>
    <w:rsid w:val="00FD793B"/>
    <w:rsid w:val="00FD7CBB"/>
    <w:rsid w:val="00FE11F2"/>
    <w:rsid w:val="00FE156F"/>
    <w:rsid w:val="00FE1DF0"/>
    <w:rsid w:val="00FE207D"/>
    <w:rsid w:val="00FE2405"/>
    <w:rsid w:val="00FE280B"/>
    <w:rsid w:val="00FE28A3"/>
    <w:rsid w:val="00FE2B72"/>
    <w:rsid w:val="00FE2EFF"/>
    <w:rsid w:val="00FE3A87"/>
    <w:rsid w:val="00FE3BF1"/>
    <w:rsid w:val="00FE3C6B"/>
    <w:rsid w:val="00FE40C3"/>
    <w:rsid w:val="00FE40C5"/>
    <w:rsid w:val="00FE435B"/>
    <w:rsid w:val="00FE4CF2"/>
    <w:rsid w:val="00FE5826"/>
    <w:rsid w:val="00FE5EF4"/>
    <w:rsid w:val="00FE64C4"/>
    <w:rsid w:val="00FE6F0B"/>
    <w:rsid w:val="00FE7AF5"/>
    <w:rsid w:val="00FE7FF8"/>
    <w:rsid w:val="00FF15B6"/>
    <w:rsid w:val="00FF1B4B"/>
    <w:rsid w:val="00FF289D"/>
    <w:rsid w:val="00FF292B"/>
    <w:rsid w:val="00FF2F6A"/>
    <w:rsid w:val="00FF33A9"/>
    <w:rsid w:val="00FF3E1A"/>
    <w:rsid w:val="00FF4394"/>
    <w:rsid w:val="00FF4397"/>
    <w:rsid w:val="00FF44ED"/>
    <w:rsid w:val="00FF47E7"/>
    <w:rsid w:val="00FF4F40"/>
    <w:rsid w:val="00FF572D"/>
    <w:rsid w:val="00FF5DAD"/>
    <w:rsid w:val="00FF5E59"/>
    <w:rsid w:val="00FF6A36"/>
    <w:rsid w:val="00FF704D"/>
    <w:rsid w:val="0106816D"/>
    <w:rsid w:val="01202B62"/>
    <w:rsid w:val="012E0881"/>
    <w:rsid w:val="014281F0"/>
    <w:rsid w:val="01443B86"/>
    <w:rsid w:val="01AFCC6B"/>
    <w:rsid w:val="01D21ADB"/>
    <w:rsid w:val="02228169"/>
    <w:rsid w:val="022869B2"/>
    <w:rsid w:val="027234C8"/>
    <w:rsid w:val="027E7D74"/>
    <w:rsid w:val="028B8522"/>
    <w:rsid w:val="0295091B"/>
    <w:rsid w:val="02B69A3A"/>
    <w:rsid w:val="02D74A0D"/>
    <w:rsid w:val="02FD6B0C"/>
    <w:rsid w:val="03138A96"/>
    <w:rsid w:val="031EB8CF"/>
    <w:rsid w:val="03395045"/>
    <w:rsid w:val="03437D77"/>
    <w:rsid w:val="0398F526"/>
    <w:rsid w:val="0400398A"/>
    <w:rsid w:val="04077F5F"/>
    <w:rsid w:val="0429D370"/>
    <w:rsid w:val="042DAEA0"/>
    <w:rsid w:val="045F7C1A"/>
    <w:rsid w:val="0466138B"/>
    <w:rsid w:val="04A797EF"/>
    <w:rsid w:val="04B0CBF6"/>
    <w:rsid w:val="04C00B99"/>
    <w:rsid w:val="05172140"/>
    <w:rsid w:val="0540D0B9"/>
    <w:rsid w:val="05993826"/>
    <w:rsid w:val="05BE3DD5"/>
    <w:rsid w:val="05C427BC"/>
    <w:rsid w:val="05D4B399"/>
    <w:rsid w:val="05D66687"/>
    <w:rsid w:val="05EA0C37"/>
    <w:rsid w:val="05F9A8CC"/>
    <w:rsid w:val="06017B15"/>
    <w:rsid w:val="0618C7CA"/>
    <w:rsid w:val="064D83B0"/>
    <w:rsid w:val="06536CDF"/>
    <w:rsid w:val="0663128D"/>
    <w:rsid w:val="06664453"/>
    <w:rsid w:val="06667724"/>
    <w:rsid w:val="0672DB43"/>
    <w:rsid w:val="06992325"/>
    <w:rsid w:val="06E0BCC7"/>
    <w:rsid w:val="06E251F0"/>
    <w:rsid w:val="070189D8"/>
    <w:rsid w:val="070C0BBA"/>
    <w:rsid w:val="073A1D57"/>
    <w:rsid w:val="0746762F"/>
    <w:rsid w:val="07660218"/>
    <w:rsid w:val="0784FF94"/>
    <w:rsid w:val="07861F87"/>
    <w:rsid w:val="079011D5"/>
    <w:rsid w:val="07B95229"/>
    <w:rsid w:val="07FD7B81"/>
    <w:rsid w:val="0805B2C1"/>
    <w:rsid w:val="0866BFC5"/>
    <w:rsid w:val="08673D79"/>
    <w:rsid w:val="0873CD2F"/>
    <w:rsid w:val="0875C413"/>
    <w:rsid w:val="087F4FAF"/>
    <w:rsid w:val="0890DECD"/>
    <w:rsid w:val="08B56739"/>
    <w:rsid w:val="08E552AA"/>
    <w:rsid w:val="08FD29F7"/>
    <w:rsid w:val="08FE9364"/>
    <w:rsid w:val="08FF2FD8"/>
    <w:rsid w:val="09189232"/>
    <w:rsid w:val="091B3CB5"/>
    <w:rsid w:val="0929807F"/>
    <w:rsid w:val="0936CD04"/>
    <w:rsid w:val="0939709B"/>
    <w:rsid w:val="094741B2"/>
    <w:rsid w:val="0960A443"/>
    <w:rsid w:val="096C4C52"/>
    <w:rsid w:val="0982B5EF"/>
    <w:rsid w:val="099CE50B"/>
    <w:rsid w:val="09ABF8BE"/>
    <w:rsid w:val="09ACC307"/>
    <w:rsid w:val="09B57D1E"/>
    <w:rsid w:val="09D57CA3"/>
    <w:rsid w:val="09F43D66"/>
    <w:rsid w:val="09F8A2F3"/>
    <w:rsid w:val="09F99C12"/>
    <w:rsid w:val="0A049A9C"/>
    <w:rsid w:val="0A3100A6"/>
    <w:rsid w:val="0A4DC4B2"/>
    <w:rsid w:val="0A5F1A2D"/>
    <w:rsid w:val="0A70B466"/>
    <w:rsid w:val="0A77B3FF"/>
    <w:rsid w:val="0A7C835A"/>
    <w:rsid w:val="0A86B92F"/>
    <w:rsid w:val="0A895744"/>
    <w:rsid w:val="0AA18219"/>
    <w:rsid w:val="0AAE41DE"/>
    <w:rsid w:val="0AB0BEE9"/>
    <w:rsid w:val="0AE27CF9"/>
    <w:rsid w:val="0AE7875F"/>
    <w:rsid w:val="0AF5E2E6"/>
    <w:rsid w:val="0B06B761"/>
    <w:rsid w:val="0B1D5B53"/>
    <w:rsid w:val="0B5FA1F3"/>
    <w:rsid w:val="0B614AA9"/>
    <w:rsid w:val="0B737CB9"/>
    <w:rsid w:val="0B7CDF24"/>
    <w:rsid w:val="0B83BB71"/>
    <w:rsid w:val="0B87251D"/>
    <w:rsid w:val="0B8F4FC4"/>
    <w:rsid w:val="0B8FC79E"/>
    <w:rsid w:val="0BA4A6A6"/>
    <w:rsid w:val="0BB7BBBE"/>
    <w:rsid w:val="0BC630AC"/>
    <w:rsid w:val="0BF8D26A"/>
    <w:rsid w:val="0BFB4D8A"/>
    <w:rsid w:val="0C09FC9B"/>
    <w:rsid w:val="0C1C8741"/>
    <w:rsid w:val="0C1CA952"/>
    <w:rsid w:val="0C5A431A"/>
    <w:rsid w:val="0C5D2CF8"/>
    <w:rsid w:val="0C941D07"/>
    <w:rsid w:val="0CA47BE6"/>
    <w:rsid w:val="0CB38BAE"/>
    <w:rsid w:val="0CD5CF31"/>
    <w:rsid w:val="0CE4AD19"/>
    <w:rsid w:val="0CE62936"/>
    <w:rsid w:val="0D6C47DE"/>
    <w:rsid w:val="0D856574"/>
    <w:rsid w:val="0D96E2F9"/>
    <w:rsid w:val="0D977A71"/>
    <w:rsid w:val="0DC644E7"/>
    <w:rsid w:val="0DE88BD0"/>
    <w:rsid w:val="0DE908D3"/>
    <w:rsid w:val="0DFAA4A4"/>
    <w:rsid w:val="0DFC5177"/>
    <w:rsid w:val="0E107812"/>
    <w:rsid w:val="0E129C84"/>
    <w:rsid w:val="0E27F4A5"/>
    <w:rsid w:val="0E3577CC"/>
    <w:rsid w:val="0E5DDA40"/>
    <w:rsid w:val="0E6ABEF9"/>
    <w:rsid w:val="0E75B21F"/>
    <w:rsid w:val="0E8F6838"/>
    <w:rsid w:val="0E914E68"/>
    <w:rsid w:val="0E9581EE"/>
    <w:rsid w:val="0EA8E627"/>
    <w:rsid w:val="0EB2D830"/>
    <w:rsid w:val="0EC24C9F"/>
    <w:rsid w:val="0ED134F9"/>
    <w:rsid w:val="0ED30D03"/>
    <w:rsid w:val="0EFBC668"/>
    <w:rsid w:val="0F05B60D"/>
    <w:rsid w:val="0F100138"/>
    <w:rsid w:val="0F3150CD"/>
    <w:rsid w:val="0F3ED702"/>
    <w:rsid w:val="0F4BBDEA"/>
    <w:rsid w:val="0F6E3D14"/>
    <w:rsid w:val="0F860527"/>
    <w:rsid w:val="0F94671E"/>
    <w:rsid w:val="0F96CB7A"/>
    <w:rsid w:val="0FA2C279"/>
    <w:rsid w:val="0FC306F5"/>
    <w:rsid w:val="0FD3B2EA"/>
    <w:rsid w:val="0FE99DEE"/>
    <w:rsid w:val="0FEA51D2"/>
    <w:rsid w:val="0FEB36D8"/>
    <w:rsid w:val="1032AE6F"/>
    <w:rsid w:val="104FDCB2"/>
    <w:rsid w:val="107BBF7B"/>
    <w:rsid w:val="10872EEC"/>
    <w:rsid w:val="10CEC7B8"/>
    <w:rsid w:val="10D645F7"/>
    <w:rsid w:val="10DC3B1B"/>
    <w:rsid w:val="1112F738"/>
    <w:rsid w:val="113D6A83"/>
    <w:rsid w:val="116FCDAD"/>
    <w:rsid w:val="119F8910"/>
    <w:rsid w:val="11B1D525"/>
    <w:rsid w:val="11F5B963"/>
    <w:rsid w:val="12299337"/>
    <w:rsid w:val="122A7E38"/>
    <w:rsid w:val="123D35F0"/>
    <w:rsid w:val="124C6662"/>
    <w:rsid w:val="12A416EF"/>
    <w:rsid w:val="12A426D9"/>
    <w:rsid w:val="12ABFD14"/>
    <w:rsid w:val="12D504A6"/>
    <w:rsid w:val="12FE7265"/>
    <w:rsid w:val="131EC8B6"/>
    <w:rsid w:val="1320E554"/>
    <w:rsid w:val="1330DD48"/>
    <w:rsid w:val="1333BB62"/>
    <w:rsid w:val="136C70C4"/>
    <w:rsid w:val="1380D473"/>
    <w:rsid w:val="138B67FC"/>
    <w:rsid w:val="1390E749"/>
    <w:rsid w:val="13AB183B"/>
    <w:rsid w:val="13B8F567"/>
    <w:rsid w:val="13BA41A9"/>
    <w:rsid w:val="13BE7681"/>
    <w:rsid w:val="13BF2B47"/>
    <w:rsid w:val="1417C3EB"/>
    <w:rsid w:val="144AF415"/>
    <w:rsid w:val="1463EF68"/>
    <w:rsid w:val="1481C600"/>
    <w:rsid w:val="14A7ED5B"/>
    <w:rsid w:val="14AF5654"/>
    <w:rsid w:val="14B231DA"/>
    <w:rsid w:val="14B4ED1A"/>
    <w:rsid w:val="14C70AB8"/>
    <w:rsid w:val="14C72291"/>
    <w:rsid w:val="14CB6268"/>
    <w:rsid w:val="14CC0A86"/>
    <w:rsid w:val="14EAA40B"/>
    <w:rsid w:val="14FAB640"/>
    <w:rsid w:val="1512A44A"/>
    <w:rsid w:val="15222BF4"/>
    <w:rsid w:val="15342023"/>
    <w:rsid w:val="154EE465"/>
    <w:rsid w:val="15645C6B"/>
    <w:rsid w:val="156530FF"/>
    <w:rsid w:val="156D3CA7"/>
    <w:rsid w:val="157EC2EE"/>
    <w:rsid w:val="15E61B4D"/>
    <w:rsid w:val="160847EA"/>
    <w:rsid w:val="1609EE6C"/>
    <w:rsid w:val="1622A120"/>
    <w:rsid w:val="16683D5F"/>
    <w:rsid w:val="16A11166"/>
    <w:rsid w:val="16B62E14"/>
    <w:rsid w:val="16C73861"/>
    <w:rsid w:val="16D5B240"/>
    <w:rsid w:val="1707B853"/>
    <w:rsid w:val="1716188F"/>
    <w:rsid w:val="1735C395"/>
    <w:rsid w:val="174AA9F8"/>
    <w:rsid w:val="17554F7E"/>
    <w:rsid w:val="1777FBC9"/>
    <w:rsid w:val="178DEB41"/>
    <w:rsid w:val="179B6B05"/>
    <w:rsid w:val="17ADC077"/>
    <w:rsid w:val="17B1C89E"/>
    <w:rsid w:val="17B46567"/>
    <w:rsid w:val="17BAE4EE"/>
    <w:rsid w:val="17C84F1C"/>
    <w:rsid w:val="17F73F89"/>
    <w:rsid w:val="18249FDE"/>
    <w:rsid w:val="18364A7E"/>
    <w:rsid w:val="186C6ABF"/>
    <w:rsid w:val="186D6F74"/>
    <w:rsid w:val="187D1565"/>
    <w:rsid w:val="188DA9F3"/>
    <w:rsid w:val="188F6ECC"/>
    <w:rsid w:val="18AA1479"/>
    <w:rsid w:val="18BA96FA"/>
    <w:rsid w:val="18D0B907"/>
    <w:rsid w:val="18D4F2AF"/>
    <w:rsid w:val="18F205DB"/>
    <w:rsid w:val="194B62BA"/>
    <w:rsid w:val="194E14E1"/>
    <w:rsid w:val="1953A8A1"/>
    <w:rsid w:val="195D67F4"/>
    <w:rsid w:val="19955BBC"/>
    <w:rsid w:val="19C7BE66"/>
    <w:rsid w:val="19D983FA"/>
    <w:rsid w:val="19EC37E5"/>
    <w:rsid w:val="19ECB629"/>
    <w:rsid w:val="1A112CA3"/>
    <w:rsid w:val="1A15A3A0"/>
    <w:rsid w:val="1A1A35B9"/>
    <w:rsid w:val="1A1C39CD"/>
    <w:rsid w:val="1A2141D8"/>
    <w:rsid w:val="1A2E8800"/>
    <w:rsid w:val="1A88EBDE"/>
    <w:rsid w:val="1A9906A5"/>
    <w:rsid w:val="1ABD675F"/>
    <w:rsid w:val="1AC442D5"/>
    <w:rsid w:val="1AE63309"/>
    <w:rsid w:val="1AE65D87"/>
    <w:rsid w:val="1AF72FF1"/>
    <w:rsid w:val="1B13E8C6"/>
    <w:rsid w:val="1B2CDE52"/>
    <w:rsid w:val="1B3ECD47"/>
    <w:rsid w:val="1B4AB921"/>
    <w:rsid w:val="1B55B424"/>
    <w:rsid w:val="1B5658BF"/>
    <w:rsid w:val="1B631F88"/>
    <w:rsid w:val="1B685EAB"/>
    <w:rsid w:val="1B8C8DD0"/>
    <w:rsid w:val="1BA199F0"/>
    <w:rsid w:val="1BAE7EA9"/>
    <w:rsid w:val="1BBF13C8"/>
    <w:rsid w:val="1BD1A7C2"/>
    <w:rsid w:val="1BD34393"/>
    <w:rsid w:val="1BD3DCB6"/>
    <w:rsid w:val="1BE5CBAB"/>
    <w:rsid w:val="1BEC8D54"/>
    <w:rsid w:val="1BF6D1A3"/>
    <w:rsid w:val="1C0295D5"/>
    <w:rsid w:val="1C07CBA5"/>
    <w:rsid w:val="1C4316F3"/>
    <w:rsid w:val="1C5E1910"/>
    <w:rsid w:val="1C7D30A5"/>
    <w:rsid w:val="1C866813"/>
    <w:rsid w:val="1C99F550"/>
    <w:rsid w:val="1CDA9DA8"/>
    <w:rsid w:val="1CEA0794"/>
    <w:rsid w:val="1D20BB34"/>
    <w:rsid w:val="1D224B33"/>
    <w:rsid w:val="1D393A72"/>
    <w:rsid w:val="1D593116"/>
    <w:rsid w:val="1D6F4D50"/>
    <w:rsid w:val="1D706135"/>
    <w:rsid w:val="1D7EC51C"/>
    <w:rsid w:val="1D923C7B"/>
    <w:rsid w:val="1DD0A0DA"/>
    <w:rsid w:val="1DD7B32E"/>
    <w:rsid w:val="1DD9BDCA"/>
    <w:rsid w:val="1DDC68B1"/>
    <w:rsid w:val="1DE0E3C9"/>
    <w:rsid w:val="1DE0F894"/>
    <w:rsid w:val="1E157A17"/>
    <w:rsid w:val="1E1DD3CB"/>
    <w:rsid w:val="1E2B86C0"/>
    <w:rsid w:val="1E6C1A9B"/>
    <w:rsid w:val="1E735D66"/>
    <w:rsid w:val="1E7DAC17"/>
    <w:rsid w:val="1E849C83"/>
    <w:rsid w:val="1E87A159"/>
    <w:rsid w:val="1E97991C"/>
    <w:rsid w:val="1EB3A1F0"/>
    <w:rsid w:val="1F2BEB0B"/>
    <w:rsid w:val="1F38734A"/>
    <w:rsid w:val="1F6F2800"/>
    <w:rsid w:val="1F7FD2E8"/>
    <w:rsid w:val="1F88CB5E"/>
    <w:rsid w:val="1F8C756E"/>
    <w:rsid w:val="1F92B122"/>
    <w:rsid w:val="1F98CE42"/>
    <w:rsid w:val="1F9B8926"/>
    <w:rsid w:val="1F9E043E"/>
    <w:rsid w:val="1FA278FB"/>
    <w:rsid w:val="1FC0FD32"/>
    <w:rsid w:val="1FC7D968"/>
    <w:rsid w:val="1FE6ADDB"/>
    <w:rsid w:val="2008A1A2"/>
    <w:rsid w:val="20131DE3"/>
    <w:rsid w:val="2022FFD6"/>
    <w:rsid w:val="2036369C"/>
    <w:rsid w:val="2070BA0A"/>
    <w:rsid w:val="2090088A"/>
    <w:rsid w:val="20A95EA3"/>
    <w:rsid w:val="20AC4E5A"/>
    <w:rsid w:val="20D36CAE"/>
    <w:rsid w:val="20E2224E"/>
    <w:rsid w:val="20F0DD9C"/>
    <w:rsid w:val="2107A1D1"/>
    <w:rsid w:val="210856BB"/>
    <w:rsid w:val="2109EA52"/>
    <w:rsid w:val="211B3750"/>
    <w:rsid w:val="21250878"/>
    <w:rsid w:val="2130EB36"/>
    <w:rsid w:val="21385316"/>
    <w:rsid w:val="213D2CA4"/>
    <w:rsid w:val="214A969D"/>
    <w:rsid w:val="214E1727"/>
    <w:rsid w:val="21548848"/>
    <w:rsid w:val="2160B0C7"/>
    <w:rsid w:val="216B07C7"/>
    <w:rsid w:val="2180511F"/>
    <w:rsid w:val="2185C10E"/>
    <w:rsid w:val="2198AA56"/>
    <w:rsid w:val="219CEEC5"/>
    <w:rsid w:val="219EE25D"/>
    <w:rsid w:val="21BB1E6F"/>
    <w:rsid w:val="21C234F2"/>
    <w:rsid w:val="21EC7DE8"/>
    <w:rsid w:val="21F501EB"/>
    <w:rsid w:val="21FF56F2"/>
    <w:rsid w:val="2206DE53"/>
    <w:rsid w:val="220BABCF"/>
    <w:rsid w:val="2214833C"/>
    <w:rsid w:val="224CE871"/>
    <w:rsid w:val="2275CE9F"/>
    <w:rsid w:val="227751E4"/>
    <w:rsid w:val="2278763C"/>
    <w:rsid w:val="2281B6D0"/>
    <w:rsid w:val="2295EC1C"/>
    <w:rsid w:val="22A8D855"/>
    <w:rsid w:val="22CF9BCE"/>
    <w:rsid w:val="22E33538"/>
    <w:rsid w:val="230FB812"/>
    <w:rsid w:val="23246F86"/>
    <w:rsid w:val="2327B625"/>
    <w:rsid w:val="233E80A2"/>
    <w:rsid w:val="2349AF9B"/>
    <w:rsid w:val="235D3304"/>
    <w:rsid w:val="23653E98"/>
    <w:rsid w:val="236EDFA7"/>
    <w:rsid w:val="237382B7"/>
    <w:rsid w:val="238AE4AC"/>
    <w:rsid w:val="23913842"/>
    <w:rsid w:val="2391ADD2"/>
    <w:rsid w:val="23CAD6C8"/>
    <w:rsid w:val="23CB5033"/>
    <w:rsid w:val="23DE0567"/>
    <w:rsid w:val="240DFACB"/>
    <w:rsid w:val="24476A42"/>
    <w:rsid w:val="245BD7DA"/>
    <w:rsid w:val="246B6C2F"/>
    <w:rsid w:val="248D154F"/>
    <w:rsid w:val="249ABAC4"/>
    <w:rsid w:val="24B1EBEE"/>
    <w:rsid w:val="24BAA566"/>
    <w:rsid w:val="24E55DF4"/>
    <w:rsid w:val="24FC4B2C"/>
    <w:rsid w:val="25150F36"/>
    <w:rsid w:val="2515CBEA"/>
    <w:rsid w:val="252E792D"/>
    <w:rsid w:val="2541B0A7"/>
    <w:rsid w:val="25546F38"/>
    <w:rsid w:val="256E2C29"/>
    <w:rsid w:val="258CCE7D"/>
    <w:rsid w:val="259207C6"/>
    <w:rsid w:val="25A4FD16"/>
    <w:rsid w:val="25D1E21A"/>
    <w:rsid w:val="25ED47AD"/>
    <w:rsid w:val="25F3DD23"/>
    <w:rsid w:val="26062DB0"/>
    <w:rsid w:val="262F4297"/>
    <w:rsid w:val="2638E084"/>
    <w:rsid w:val="26415183"/>
    <w:rsid w:val="264D4289"/>
    <w:rsid w:val="265EBAC9"/>
    <w:rsid w:val="26809042"/>
    <w:rsid w:val="268E391E"/>
    <w:rsid w:val="26916B06"/>
    <w:rsid w:val="26BB22BB"/>
    <w:rsid w:val="26BBFB0A"/>
    <w:rsid w:val="26C55A3D"/>
    <w:rsid w:val="26DFDB20"/>
    <w:rsid w:val="270F241F"/>
    <w:rsid w:val="27117CEA"/>
    <w:rsid w:val="27439FCA"/>
    <w:rsid w:val="27914D8D"/>
    <w:rsid w:val="27A094CC"/>
    <w:rsid w:val="27A1FE11"/>
    <w:rsid w:val="27A2DBDB"/>
    <w:rsid w:val="27B5776B"/>
    <w:rsid w:val="27B96151"/>
    <w:rsid w:val="27C0C88D"/>
    <w:rsid w:val="27DEC2B5"/>
    <w:rsid w:val="27E20400"/>
    <w:rsid w:val="2814AFA6"/>
    <w:rsid w:val="281A01AC"/>
    <w:rsid w:val="283A44E2"/>
    <w:rsid w:val="284E0FD9"/>
    <w:rsid w:val="2859103F"/>
    <w:rsid w:val="28865C5A"/>
    <w:rsid w:val="28B5098F"/>
    <w:rsid w:val="28D1D72A"/>
    <w:rsid w:val="28F12EA3"/>
    <w:rsid w:val="28F1FC04"/>
    <w:rsid w:val="28F7EAE5"/>
    <w:rsid w:val="2906195F"/>
    <w:rsid w:val="2914CAE0"/>
    <w:rsid w:val="2942F0F2"/>
    <w:rsid w:val="29570ADA"/>
    <w:rsid w:val="296E68DF"/>
    <w:rsid w:val="296F7200"/>
    <w:rsid w:val="297DE0A7"/>
    <w:rsid w:val="298BA897"/>
    <w:rsid w:val="29B45BED"/>
    <w:rsid w:val="29B85A5A"/>
    <w:rsid w:val="29DDCDC3"/>
    <w:rsid w:val="29FC0DCF"/>
    <w:rsid w:val="2A44D030"/>
    <w:rsid w:val="2A6513BC"/>
    <w:rsid w:val="2A7A89E6"/>
    <w:rsid w:val="2A7FD0F6"/>
    <w:rsid w:val="2A8DD175"/>
    <w:rsid w:val="2ABF596A"/>
    <w:rsid w:val="2AD89B84"/>
    <w:rsid w:val="2AE1113F"/>
    <w:rsid w:val="2AE6ADDE"/>
    <w:rsid w:val="2AFA9954"/>
    <w:rsid w:val="2B057F49"/>
    <w:rsid w:val="2B4D314E"/>
    <w:rsid w:val="2B6C8A1E"/>
    <w:rsid w:val="2B6D5CFD"/>
    <w:rsid w:val="2B9D19CE"/>
    <w:rsid w:val="2BBE69B5"/>
    <w:rsid w:val="2BBF0E27"/>
    <w:rsid w:val="2BCE7159"/>
    <w:rsid w:val="2C0B3CA6"/>
    <w:rsid w:val="2C0E8DC1"/>
    <w:rsid w:val="2C3B1B2D"/>
    <w:rsid w:val="2C546BC5"/>
    <w:rsid w:val="2C590233"/>
    <w:rsid w:val="2C680677"/>
    <w:rsid w:val="2CAB48C4"/>
    <w:rsid w:val="2CBD5924"/>
    <w:rsid w:val="2CC4F37A"/>
    <w:rsid w:val="2CCC3AC8"/>
    <w:rsid w:val="2CE76D1F"/>
    <w:rsid w:val="2CE9B460"/>
    <w:rsid w:val="2D02E1A4"/>
    <w:rsid w:val="2D05484F"/>
    <w:rsid w:val="2D2E34D3"/>
    <w:rsid w:val="2D65DF56"/>
    <w:rsid w:val="2D66E5A3"/>
    <w:rsid w:val="2D6EFA21"/>
    <w:rsid w:val="2D795182"/>
    <w:rsid w:val="2D8C7E9F"/>
    <w:rsid w:val="2D91949E"/>
    <w:rsid w:val="2DA3DD55"/>
    <w:rsid w:val="2DAC41F9"/>
    <w:rsid w:val="2DBFAA86"/>
    <w:rsid w:val="2DC8EB12"/>
    <w:rsid w:val="2DD7A2A4"/>
    <w:rsid w:val="2DFA7A01"/>
    <w:rsid w:val="2E0816F5"/>
    <w:rsid w:val="2E25A27B"/>
    <w:rsid w:val="2E270AEF"/>
    <w:rsid w:val="2E73F451"/>
    <w:rsid w:val="2E782211"/>
    <w:rsid w:val="2E87AFD0"/>
    <w:rsid w:val="2E9F3A6B"/>
    <w:rsid w:val="2EA76E8A"/>
    <w:rsid w:val="2EB62C53"/>
    <w:rsid w:val="2EBB58B5"/>
    <w:rsid w:val="2EE504D3"/>
    <w:rsid w:val="2F08A1D1"/>
    <w:rsid w:val="2F13AA3F"/>
    <w:rsid w:val="2F28BB9A"/>
    <w:rsid w:val="2F2BF847"/>
    <w:rsid w:val="2F2D36BF"/>
    <w:rsid w:val="2F2EFC6E"/>
    <w:rsid w:val="2F4D289F"/>
    <w:rsid w:val="2F6B8082"/>
    <w:rsid w:val="2FB1075F"/>
    <w:rsid w:val="2FC023E1"/>
    <w:rsid w:val="3005A1B5"/>
    <w:rsid w:val="3007A57B"/>
    <w:rsid w:val="300B915C"/>
    <w:rsid w:val="300DBC62"/>
    <w:rsid w:val="301305F1"/>
    <w:rsid w:val="30203A85"/>
    <w:rsid w:val="3023A689"/>
    <w:rsid w:val="3024DF7A"/>
    <w:rsid w:val="3041CD85"/>
    <w:rsid w:val="304BF137"/>
    <w:rsid w:val="305EF429"/>
    <w:rsid w:val="3073D6DF"/>
    <w:rsid w:val="3075BB61"/>
    <w:rsid w:val="3086DDD4"/>
    <w:rsid w:val="308AD9B4"/>
    <w:rsid w:val="309D3563"/>
    <w:rsid w:val="309E193E"/>
    <w:rsid w:val="30A4846A"/>
    <w:rsid w:val="30A8F5D0"/>
    <w:rsid w:val="30C29EA4"/>
    <w:rsid w:val="310F73D9"/>
    <w:rsid w:val="31195BA6"/>
    <w:rsid w:val="314288C5"/>
    <w:rsid w:val="3160F914"/>
    <w:rsid w:val="316151DF"/>
    <w:rsid w:val="317AFE98"/>
    <w:rsid w:val="31994E14"/>
    <w:rsid w:val="31A01370"/>
    <w:rsid w:val="31A72454"/>
    <w:rsid w:val="31BA29B0"/>
    <w:rsid w:val="31D17FE8"/>
    <w:rsid w:val="320DA8B9"/>
    <w:rsid w:val="320FEB12"/>
    <w:rsid w:val="3216000F"/>
    <w:rsid w:val="32350E41"/>
    <w:rsid w:val="3250432F"/>
    <w:rsid w:val="33381873"/>
    <w:rsid w:val="3348A4F4"/>
    <w:rsid w:val="334FD52E"/>
    <w:rsid w:val="3381820A"/>
    <w:rsid w:val="33906E12"/>
    <w:rsid w:val="33AAA45C"/>
    <w:rsid w:val="33E2A60E"/>
    <w:rsid w:val="3421A785"/>
    <w:rsid w:val="3426DD97"/>
    <w:rsid w:val="345E3448"/>
    <w:rsid w:val="34600267"/>
    <w:rsid w:val="34BD7158"/>
    <w:rsid w:val="34C21F8B"/>
    <w:rsid w:val="34E7F4E4"/>
    <w:rsid w:val="34E8012A"/>
    <w:rsid w:val="34EF93DB"/>
    <w:rsid w:val="35283D54"/>
    <w:rsid w:val="3531B042"/>
    <w:rsid w:val="3534A5B7"/>
    <w:rsid w:val="35375701"/>
    <w:rsid w:val="353AE0A6"/>
    <w:rsid w:val="353DBB01"/>
    <w:rsid w:val="353DF4D4"/>
    <w:rsid w:val="3554410F"/>
    <w:rsid w:val="3557DCC4"/>
    <w:rsid w:val="357B47EC"/>
    <w:rsid w:val="358FF992"/>
    <w:rsid w:val="35907ADF"/>
    <w:rsid w:val="359C66B9"/>
    <w:rsid w:val="35A0BBFA"/>
    <w:rsid w:val="35CDD1EA"/>
    <w:rsid w:val="35F63CE0"/>
    <w:rsid w:val="362D099C"/>
    <w:rsid w:val="3656FA94"/>
    <w:rsid w:val="3666D11F"/>
    <w:rsid w:val="36693CEE"/>
    <w:rsid w:val="36869A78"/>
    <w:rsid w:val="368FF6DB"/>
    <w:rsid w:val="36BA7EC9"/>
    <w:rsid w:val="36BD2EBE"/>
    <w:rsid w:val="36D20F2E"/>
    <w:rsid w:val="36D71043"/>
    <w:rsid w:val="3702AAB5"/>
    <w:rsid w:val="37295092"/>
    <w:rsid w:val="372E2C1A"/>
    <w:rsid w:val="373698C2"/>
    <w:rsid w:val="37406C86"/>
    <w:rsid w:val="375B33F0"/>
    <w:rsid w:val="37723E4E"/>
    <w:rsid w:val="37A15C47"/>
    <w:rsid w:val="37A80EC4"/>
    <w:rsid w:val="37B27985"/>
    <w:rsid w:val="37B6C01A"/>
    <w:rsid w:val="37C43656"/>
    <w:rsid w:val="37C53FE3"/>
    <w:rsid w:val="37C99F04"/>
    <w:rsid w:val="37D3DC07"/>
    <w:rsid w:val="3856702C"/>
    <w:rsid w:val="385D653E"/>
    <w:rsid w:val="38894D38"/>
    <w:rsid w:val="388F9E1F"/>
    <w:rsid w:val="38A0FA6C"/>
    <w:rsid w:val="38BC4068"/>
    <w:rsid w:val="38C73A53"/>
    <w:rsid w:val="38DD3F9C"/>
    <w:rsid w:val="38E0E24F"/>
    <w:rsid w:val="38E205C5"/>
    <w:rsid w:val="38E69057"/>
    <w:rsid w:val="38EBE5A8"/>
    <w:rsid w:val="39124827"/>
    <w:rsid w:val="391FB16D"/>
    <w:rsid w:val="3931D8B6"/>
    <w:rsid w:val="395B28ED"/>
    <w:rsid w:val="3994A317"/>
    <w:rsid w:val="39BDCE7F"/>
    <w:rsid w:val="39C1643C"/>
    <w:rsid w:val="39CD41DF"/>
    <w:rsid w:val="39E6460F"/>
    <w:rsid w:val="39F48B3A"/>
    <w:rsid w:val="3A194E68"/>
    <w:rsid w:val="3A2F04ED"/>
    <w:rsid w:val="3A3BCEE6"/>
    <w:rsid w:val="3A67AE9B"/>
    <w:rsid w:val="3A7EDCC3"/>
    <w:rsid w:val="3A84C8E6"/>
    <w:rsid w:val="3AC1A99F"/>
    <w:rsid w:val="3AC32804"/>
    <w:rsid w:val="3ACAA57C"/>
    <w:rsid w:val="3B04268D"/>
    <w:rsid w:val="3B21AB98"/>
    <w:rsid w:val="3B4409B6"/>
    <w:rsid w:val="3B9A0314"/>
    <w:rsid w:val="3BA2E6D8"/>
    <w:rsid w:val="3BD77F2B"/>
    <w:rsid w:val="3BFB0C4C"/>
    <w:rsid w:val="3C14900A"/>
    <w:rsid w:val="3C27C5AA"/>
    <w:rsid w:val="3C6749C3"/>
    <w:rsid w:val="3C83DCF4"/>
    <w:rsid w:val="3CC30B2F"/>
    <w:rsid w:val="3CF2AC0A"/>
    <w:rsid w:val="3D08C0D4"/>
    <w:rsid w:val="3D1E67F4"/>
    <w:rsid w:val="3D694F02"/>
    <w:rsid w:val="3D7F03C3"/>
    <w:rsid w:val="3D910723"/>
    <w:rsid w:val="3D981EE3"/>
    <w:rsid w:val="3DB14D8A"/>
    <w:rsid w:val="3DB6F64D"/>
    <w:rsid w:val="3DC6CF71"/>
    <w:rsid w:val="3DE00266"/>
    <w:rsid w:val="3DF64C6C"/>
    <w:rsid w:val="3E427AEE"/>
    <w:rsid w:val="3E91B37E"/>
    <w:rsid w:val="3E969E25"/>
    <w:rsid w:val="3EB848BA"/>
    <w:rsid w:val="3EEB2959"/>
    <w:rsid w:val="3EEB3861"/>
    <w:rsid w:val="3EFEACD2"/>
    <w:rsid w:val="3F015EF9"/>
    <w:rsid w:val="3F2EF3F3"/>
    <w:rsid w:val="3F41DCA6"/>
    <w:rsid w:val="3F596E75"/>
    <w:rsid w:val="3F5F7051"/>
    <w:rsid w:val="3F6AE159"/>
    <w:rsid w:val="3F853DB9"/>
    <w:rsid w:val="3F8E7594"/>
    <w:rsid w:val="3F8F05DC"/>
    <w:rsid w:val="3FB45DC8"/>
    <w:rsid w:val="3FCFC5B6"/>
    <w:rsid w:val="3FD04875"/>
    <w:rsid w:val="400BF701"/>
    <w:rsid w:val="40161381"/>
    <w:rsid w:val="40163133"/>
    <w:rsid w:val="403F8462"/>
    <w:rsid w:val="40475B36"/>
    <w:rsid w:val="40611C6F"/>
    <w:rsid w:val="406DA19A"/>
    <w:rsid w:val="4081F009"/>
    <w:rsid w:val="40B8FE86"/>
    <w:rsid w:val="40BF7770"/>
    <w:rsid w:val="40C250B1"/>
    <w:rsid w:val="40D37B28"/>
    <w:rsid w:val="40F3F3F2"/>
    <w:rsid w:val="411453B0"/>
    <w:rsid w:val="41259A01"/>
    <w:rsid w:val="414219B4"/>
    <w:rsid w:val="416ABCCE"/>
    <w:rsid w:val="41D61A3D"/>
    <w:rsid w:val="41D90C69"/>
    <w:rsid w:val="41DD7824"/>
    <w:rsid w:val="41E2E2F5"/>
    <w:rsid w:val="41EF7B45"/>
    <w:rsid w:val="41F59DF2"/>
    <w:rsid w:val="420B6AC1"/>
    <w:rsid w:val="4222D923"/>
    <w:rsid w:val="42424E07"/>
    <w:rsid w:val="424DCC59"/>
    <w:rsid w:val="425BD5E2"/>
    <w:rsid w:val="427326B9"/>
    <w:rsid w:val="42787AC7"/>
    <w:rsid w:val="427BFD71"/>
    <w:rsid w:val="42A0E0AC"/>
    <w:rsid w:val="42C22C9E"/>
    <w:rsid w:val="42CF8645"/>
    <w:rsid w:val="42E1C56A"/>
    <w:rsid w:val="42F7A02F"/>
    <w:rsid w:val="432F426C"/>
    <w:rsid w:val="433825A6"/>
    <w:rsid w:val="433CCE68"/>
    <w:rsid w:val="436BB1A7"/>
    <w:rsid w:val="4374DB2A"/>
    <w:rsid w:val="43A10F5E"/>
    <w:rsid w:val="43BDED13"/>
    <w:rsid w:val="43C624FB"/>
    <w:rsid w:val="43CC5772"/>
    <w:rsid w:val="43CCB4DA"/>
    <w:rsid w:val="43CF08FF"/>
    <w:rsid w:val="441D8A68"/>
    <w:rsid w:val="44336AC7"/>
    <w:rsid w:val="44412301"/>
    <w:rsid w:val="444181FD"/>
    <w:rsid w:val="4444BC16"/>
    <w:rsid w:val="447A346B"/>
    <w:rsid w:val="44BFDF09"/>
    <w:rsid w:val="44C08DDF"/>
    <w:rsid w:val="44DFAB0C"/>
    <w:rsid w:val="44E55FBB"/>
    <w:rsid w:val="44EBE284"/>
    <w:rsid w:val="45000266"/>
    <w:rsid w:val="450114FB"/>
    <w:rsid w:val="4504B010"/>
    <w:rsid w:val="45540690"/>
    <w:rsid w:val="457F4FB8"/>
    <w:rsid w:val="459083A4"/>
    <w:rsid w:val="45BE3696"/>
    <w:rsid w:val="45D60638"/>
    <w:rsid w:val="45E50180"/>
    <w:rsid w:val="4630A8E7"/>
    <w:rsid w:val="463624BA"/>
    <w:rsid w:val="463B66E3"/>
    <w:rsid w:val="463BB66B"/>
    <w:rsid w:val="463C4DE3"/>
    <w:rsid w:val="467F0193"/>
    <w:rsid w:val="468C0E85"/>
    <w:rsid w:val="46907533"/>
    <w:rsid w:val="46957F99"/>
    <w:rsid w:val="46BC17A1"/>
    <w:rsid w:val="473127A4"/>
    <w:rsid w:val="4772C68B"/>
    <w:rsid w:val="4789C6D1"/>
    <w:rsid w:val="479A0237"/>
    <w:rsid w:val="47A8E672"/>
    <w:rsid w:val="47AEEA00"/>
    <w:rsid w:val="47B467EF"/>
    <w:rsid w:val="47D340B7"/>
    <w:rsid w:val="47D53D0F"/>
    <w:rsid w:val="47D59CE1"/>
    <w:rsid w:val="47D645A4"/>
    <w:rsid w:val="48143FE1"/>
    <w:rsid w:val="488781C0"/>
    <w:rsid w:val="48921AA7"/>
    <w:rsid w:val="48934AB2"/>
    <w:rsid w:val="48BF20D3"/>
    <w:rsid w:val="48DA474F"/>
    <w:rsid w:val="48DF5BBB"/>
    <w:rsid w:val="48E278E3"/>
    <w:rsid w:val="48E36BFF"/>
    <w:rsid w:val="490AC046"/>
    <w:rsid w:val="4918D3EF"/>
    <w:rsid w:val="49366B04"/>
    <w:rsid w:val="4991299B"/>
    <w:rsid w:val="49A00724"/>
    <w:rsid w:val="49DE7519"/>
    <w:rsid w:val="49E7D152"/>
    <w:rsid w:val="4A303D10"/>
    <w:rsid w:val="4A385636"/>
    <w:rsid w:val="4A39CDD9"/>
    <w:rsid w:val="4A3D89BE"/>
    <w:rsid w:val="4A478ED1"/>
    <w:rsid w:val="4A4C9C3F"/>
    <w:rsid w:val="4A639480"/>
    <w:rsid w:val="4AA07936"/>
    <w:rsid w:val="4AB4846C"/>
    <w:rsid w:val="4AD8A01E"/>
    <w:rsid w:val="4AED4801"/>
    <w:rsid w:val="4AFC5920"/>
    <w:rsid w:val="4B3D41C8"/>
    <w:rsid w:val="4B3FF9E4"/>
    <w:rsid w:val="4B54CF9B"/>
    <w:rsid w:val="4B62C14B"/>
    <w:rsid w:val="4B6B61F4"/>
    <w:rsid w:val="4B841E05"/>
    <w:rsid w:val="4BBF0AC2"/>
    <w:rsid w:val="4BD1E950"/>
    <w:rsid w:val="4BE14416"/>
    <w:rsid w:val="4BEF0C0E"/>
    <w:rsid w:val="4BEFE871"/>
    <w:rsid w:val="4BF21451"/>
    <w:rsid w:val="4BF94BE1"/>
    <w:rsid w:val="4C385676"/>
    <w:rsid w:val="4C4DFF40"/>
    <w:rsid w:val="4C53EAA3"/>
    <w:rsid w:val="4C73398F"/>
    <w:rsid w:val="4C92AEFA"/>
    <w:rsid w:val="4CB39045"/>
    <w:rsid w:val="4CE30C18"/>
    <w:rsid w:val="4D210E58"/>
    <w:rsid w:val="4D47DABE"/>
    <w:rsid w:val="4D658BCA"/>
    <w:rsid w:val="4DA528F5"/>
    <w:rsid w:val="4DEBC087"/>
    <w:rsid w:val="4DF995E7"/>
    <w:rsid w:val="4DFF9122"/>
    <w:rsid w:val="4E084FAC"/>
    <w:rsid w:val="4E09F35E"/>
    <w:rsid w:val="4E2897D7"/>
    <w:rsid w:val="4E2AAD20"/>
    <w:rsid w:val="4E2AB48B"/>
    <w:rsid w:val="4E3207D9"/>
    <w:rsid w:val="4E49FFB7"/>
    <w:rsid w:val="4E5AD457"/>
    <w:rsid w:val="4E5BE767"/>
    <w:rsid w:val="4EBC0E00"/>
    <w:rsid w:val="4F015C2B"/>
    <w:rsid w:val="4F13EFFC"/>
    <w:rsid w:val="4F6A5A8A"/>
    <w:rsid w:val="4F871F35"/>
    <w:rsid w:val="4F96EEBF"/>
    <w:rsid w:val="4FAEBA01"/>
    <w:rsid w:val="4FB390B9"/>
    <w:rsid w:val="4FC07572"/>
    <w:rsid w:val="4FD18858"/>
    <w:rsid w:val="4FD7D767"/>
    <w:rsid w:val="4FE44A83"/>
    <w:rsid w:val="5006C616"/>
    <w:rsid w:val="505EBF5D"/>
    <w:rsid w:val="505F012E"/>
    <w:rsid w:val="506BFE55"/>
    <w:rsid w:val="507E840F"/>
    <w:rsid w:val="508DE4C2"/>
    <w:rsid w:val="509842E9"/>
    <w:rsid w:val="50B8823D"/>
    <w:rsid w:val="50D133F0"/>
    <w:rsid w:val="50D929F0"/>
    <w:rsid w:val="510A9182"/>
    <w:rsid w:val="5174C86A"/>
    <w:rsid w:val="517C70D4"/>
    <w:rsid w:val="517FDA11"/>
    <w:rsid w:val="5183A835"/>
    <w:rsid w:val="51AA26FE"/>
    <w:rsid w:val="51B570FE"/>
    <w:rsid w:val="51BCA74C"/>
    <w:rsid w:val="51E9EFF9"/>
    <w:rsid w:val="51ED0925"/>
    <w:rsid w:val="51F43F0F"/>
    <w:rsid w:val="51F8FC27"/>
    <w:rsid w:val="520D6EBC"/>
    <w:rsid w:val="52235AC7"/>
    <w:rsid w:val="522BFDD3"/>
    <w:rsid w:val="52834EAC"/>
    <w:rsid w:val="5287A9E0"/>
    <w:rsid w:val="529415CE"/>
    <w:rsid w:val="52C89FDA"/>
    <w:rsid w:val="52EBD5EA"/>
    <w:rsid w:val="52F46E6C"/>
    <w:rsid w:val="5300FFD9"/>
    <w:rsid w:val="5309EF30"/>
    <w:rsid w:val="5319A384"/>
    <w:rsid w:val="53728FF7"/>
    <w:rsid w:val="5377DAED"/>
    <w:rsid w:val="5384732F"/>
    <w:rsid w:val="539EDABD"/>
    <w:rsid w:val="53CB1208"/>
    <w:rsid w:val="540D5448"/>
    <w:rsid w:val="543FEBC5"/>
    <w:rsid w:val="544BA2DF"/>
    <w:rsid w:val="54546EBC"/>
    <w:rsid w:val="5475EAEE"/>
    <w:rsid w:val="5481396D"/>
    <w:rsid w:val="548C0C42"/>
    <w:rsid w:val="549BFA77"/>
    <w:rsid w:val="549F8D9F"/>
    <w:rsid w:val="54B3A903"/>
    <w:rsid w:val="54BC1340"/>
    <w:rsid w:val="54D2530E"/>
    <w:rsid w:val="54D381ED"/>
    <w:rsid w:val="54E12FB1"/>
    <w:rsid w:val="5505D325"/>
    <w:rsid w:val="5521E760"/>
    <w:rsid w:val="55658A16"/>
    <w:rsid w:val="558F6B17"/>
    <w:rsid w:val="559C2C45"/>
    <w:rsid w:val="55B99E85"/>
    <w:rsid w:val="55C4BACA"/>
    <w:rsid w:val="55D240F4"/>
    <w:rsid w:val="55DC6FB0"/>
    <w:rsid w:val="55DD385C"/>
    <w:rsid w:val="55E3EA5F"/>
    <w:rsid w:val="56038439"/>
    <w:rsid w:val="56192A64"/>
    <w:rsid w:val="561D9B99"/>
    <w:rsid w:val="563A98D9"/>
    <w:rsid w:val="565A17CC"/>
    <w:rsid w:val="56679EDA"/>
    <w:rsid w:val="56773D9B"/>
    <w:rsid w:val="568397EA"/>
    <w:rsid w:val="5688C5A6"/>
    <w:rsid w:val="568DC041"/>
    <w:rsid w:val="56BA6B2A"/>
    <w:rsid w:val="56BB2B3A"/>
    <w:rsid w:val="56BB90CC"/>
    <w:rsid w:val="56C15F89"/>
    <w:rsid w:val="56DA250C"/>
    <w:rsid w:val="56FEF4F0"/>
    <w:rsid w:val="57000336"/>
    <w:rsid w:val="57219889"/>
    <w:rsid w:val="5733C488"/>
    <w:rsid w:val="57351967"/>
    <w:rsid w:val="57538016"/>
    <w:rsid w:val="576C91C7"/>
    <w:rsid w:val="577B6F1A"/>
    <w:rsid w:val="57881885"/>
    <w:rsid w:val="579CB867"/>
    <w:rsid w:val="57AD0225"/>
    <w:rsid w:val="57AE3062"/>
    <w:rsid w:val="57C6568B"/>
    <w:rsid w:val="57C8A9D8"/>
    <w:rsid w:val="57D031BC"/>
    <w:rsid w:val="580835FE"/>
    <w:rsid w:val="5814ABF4"/>
    <w:rsid w:val="582FC14C"/>
    <w:rsid w:val="583A708D"/>
    <w:rsid w:val="583A8285"/>
    <w:rsid w:val="585CCB97"/>
    <w:rsid w:val="58846C87"/>
    <w:rsid w:val="58B87F6E"/>
    <w:rsid w:val="58C272C7"/>
    <w:rsid w:val="58D4507F"/>
    <w:rsid w:val="58E71E5F"/>
    <w:rsid w:val="58E72F05"/>
    <w:rsid w:val="58F59618"/>
    <w:rsid w:val="58F78BF8"/>
    <w:rsid w:val="58FBBB5F"/>
    <w:rsid w:val="5929F292"/>
    <w:rsid w:val="59332B7F"/>
    <w:rsid w:val="5940FFBD"/>
    <w:rsid w:val="5966C975"/>
    <w:rsid w:val="5974294F"/>
    <w:rsid w:val="59767DC2"/>
    <w:rsid w:val="598EC726"/>
    <w:rsid w:val="599C7B04"/>
    <w:rsid w:val="59C8DAA0"/>
    <w:rsid w:val="59F559D3"/>
    <w:rsid w:val="59F9C999"/>
    <w:rsid w:val="5A11DFD6"/>
    <w:rsid w:val="5A1CC65F"/>
    <w:rsid w:val="5A2A7561"/>
    <w:rsid w:val="5A2F9ABF"/>
    <w:rsid w:val="5A30C9AF"/>
    <w:rsid w:val="5A33C3AD"/>
    <w:rsid w:val="5A3A172A"/>
    <w:rsid w:val="5A3B01E2"/>
    <w:rsid w:val="5A4CA2AF"/>
    <w:rsid w:val="5A637E15"/>
    <w:rsid w:val="5A6992FB"/>
    <w:rsid w:val="5A794C5A"/>
    <w:rsid w:val="5AA3AAFE"/>
    <w:rsid w:val="5AA45C3E"/>
    <w:rsid w:val="5AAE22C6"/>
    <w:rsid w:val="5ADE3E79"/>
    <w:rsid w:val="5B071990"/>
    <w:rsid w:val="5B0B506B"/>
    <w:rsid w:val="5B1F01A2"/>
    <w:rsid w:val="5B27871B"/>
    <w:rsid w:val="5B34521D"/>
    <w:rsid w:val="5B3F263B"/>
    <w:rsid w:val="5B41CFF9"/>
    <w:rsid w:val="5B5CBCB8"/>
    <w:rsid w:val="5B6E5F43"/>
    <w:rsid w:val="5B741425"/>
    <w:rsid w:val="5B8F7BE4"/>
    <w:rsid w:val="5BB8AEC0"/>
    <w:rsid w:val="5BC8F9A5"/>
    <w:rsid w:val="5BD44346"/>
    <w:rsid w:val="5BFFD2C7"/>
    <w:rsid w:val="5C042668"/>
    <w:rsid w:val="5C3E8E81"/>
    <w:rsid w:val="5C5EB658"/>
    <w:rsid w:val="5C62DF02"/>
    <w:rsid w:val="5C659F0A"/>
    <w:rsid w:val="5C8D3C04"/>
    <w:rsid w:val="5CAA480C"/>
    <w:rsid w:val="5CBEDE72"/>
    <w:rsid w:val="5CC66303"/>
    <w:rsid w:val="5CC6CBF8"/>
    <w:rsid w:val="5CD64A4C"/>
    <w:rsid w:val="5CF915BF"/>
    <w:rsid w:val="5D199845"/>
    <w:rsid w:val="5D27EA39"/>
    <w:rsid w:val="5D29A42C"/>
    <w:rsid w:val="5D3B2656"/>
    <w:rsid w:val="5D47A822"/>
    <w:rsid w:val="5D4A9965"/>
    <w:rsid w:val="5D696690"/>
    <w:rsid w:val="5DE47DED"/>
    <w:rsid w:val="5E01080E"/>
    <w:rsid w:val="5E2D19D9"/>
    <w:rsid w:val="5E388D6E"/>
    <w:rsid w:val="5E44DE17"/>
    <w:rsid w:val="5E564A2A"/>
    <w:rsid w:val="5E5C426A"/>
    <w:rsid w:val="5E69C548"/>
    <w:rsid w:val="5E798D32"/>
    <w:rsid w:val="5E960507"/>
    <w:rsid w:val="5EAC54B2"/>
    <w:rsid w:val="5ED53D29"/>
    <w:rsid w:val="5EF04F82"/>
    <w:rsid w:val="5EFA10F5"/>
    <w:rsid w:val="5F094EB3"/>
    <w:rsid w:val="5F77AC3E"/>
    <w:rsid w:val="5FB81559"/>
    <w:rsid w:val="5FC8B864"/>
    <w:rsid w:val="5FE4867D"/>
    <w:rsid w:val="5FE73A3D"/>
    <w:rsid w:val="5FFED161"/>
    <w:rsid w:val="60766C09"/>
    <w:rsid w:val="607DDD5C"/>
    <w:rsid w:val="609EF244"/>
    <w:rsid w:val="60E5EA79"/>
    <w:rsid w:val="60FED07A"/>
    <w:rsid w:val="6101C0EC"/>
    <w:rsid w:val="610D3320"/>
    <w:rsid w:val="61127A4C"/>
    <w:rsid w:val="61131BA9"/>
    <w:rsid w:val="612C418E"/>
    <w:rsid w:val="612F1B15"/>
    <w:rsid w:val="612F7D70"/>
    <w:rsid w:val="6131DFB6"/>
    <w:rsid w:val="61427C81"/>
    <w:rsid w:val="6143BDFD"/>
    <w:rsid w:val="614F5A19"/>
    <w:rsid w:val="6156CD7D"/>
    <w:rsid w:val="6160910C"/>
    <w:rsid w:val="616D83A7"/>
    <w:rsid w:val="617B14F7"/>
    <w:rsid w:val="61A54CBF"/>
    <w:rsid w:val="61B5AC5C"/>
    <w:rsid w:val="61C5BD01"/>
    <w:rsid w:val="61D4C0B3"/>
    <w:rsid w:val="61FBFCB9"/>
    <w:rsid w:val="620A6731"/>
    <w:rsid w:val="620FA85B"/>
    <w:rsid w:val="6211ADDD"/>
    <w:rsid w:val="62ACB08C"/>
    <w:rsid w:val="62DAB249"/>
    <w:rsid w:val="62EC9FD6"/>
    <w:rsid w:val="630EC530"/>
    <w:rsid w:val="63281F63"/>
    <w:rsid w:val="632FE400"/>
    <w:rsid w:val="637C7331"/>
    <w:rsid w:val="63B37BC7"/>
    <w:rsid w:val="63B42E95"/>
    <w:rsid w:val="63B99525"/>
    <w:rsid w:val="63F46027"/>
    <w:rsid w:val="63FDF5B1"/>
    <w:rsid w:val="63FF50BF"/>
    <w:rsid w:val="64131299"/>
    <w:rsid w:val="64477F12"/>
    <w:rsid w:val="6450CF1E"/>
    <w:rsid w:val="6473860B"/>
    <w:rsid w:val="6477ADAA"/>
    <w:rsid w:val="64B9E470"/>
    <w:rsid w:val="64C0C903"/>
    <w:rsid w:val="64E0494D"/>
    <w:rsid w:val="65028DBF"/>
    <w:rsid w:val="651A4FD5"/>
    <w:rsid w:val="651EAF3A"/>
    <w:rsid w:val="65217DE6"/>
    <w:rsid w:val="6535C6B1"/>
    <w:rsid w:val="654207F3"/>
    <w:rsid w:val="65421C20"/>
    <w:rsid w:val="6574CA31"/>
    <w:rsid w:val="657D0C65"/>
    <w:rsid w:val="657D621A"/>
    <w:rsid w:val="6584C736"/>
    <w:rsid w:val="658B94AE"/>
    <w:rsid w:val="65CC84F6"/>
    <w:rsid w:val="65DAB5A6"/>
    <w:rsid w:val="65E2FFDB"/>
    <w:rsid w:val="65FAED26"/>
    <w:rsid w:val="662396E8"/>
    <w:rsid w:val="66293D6C"/>
    <w:rsid w:val="664640B6"/>
    <w:rsid w:val="66725968"/>
    <w:rsid w:val="66740881"/>
    <w:rsid w:val="6676D0A4"/>
    <w:rsid w:val="669B229F"/>
    <w:rsid w:val="66B45594"/>
    <w:rsid w:val="66CB84B8"/>
    <w:rsid w:val="66E8F8B8"/>
    <w:rsid w:val="66F0A7BB"/>
    <w:rsid w:val="6725BB4D"/>
    <w:rsid w:val="672BF896"/>
    <w:rsid w:val="675244E0"/>
    <w:rsid w:val="6756F3F5"/>
    <w:rsid w:val="67718552"/>
    <w:rsid w:val="67787769"/>
    <w:rsid w:val="6781C27D"/>
    <w:rsid w:val="678FAADC"/>
    <w:rsid w:val="67ADA732"/>
    <w:rsid w:val="67BDC322"/>
    <w:rsid w:val="67DA8976"/>
    <w:rsid w:val="67E65CA8"/>
    <w:rsid w:val="67F62F97"/>
    <w:rsid w:val="67FAF90E"/>
    <w:rsid w:val="680411FE"/>
    <w:rsid w:val="68283919"/>
    <w:rsid w:val="68348C1D"/>
    <w:rsid w:val="683E978A"/>
    <w:rsid w:val="68431B59"/>
    <w:rsid w:val="6851F103"/>
    <w:rsid w:val="68649D19"/>
    <w:rsid w:val="688E2B7D"/>
    <w:rsid w:val="689731C8"/>
    <w:rsid w:val="68A0C815"/>
    <w:rsid w:val="68B5ECC3"/>
    <w:rsid w:val="68BC3243"/>
    <w:rsid w:val="68C51C5A"/>
    <w:rsid w:val="68D0EC58"/>
    <w:rsid w:val="68E0300B"/>
    <w:rsid w:val="68E34EEC"/>
    <w:rsid w:val="68F77F1B"/>
    <w:rsid w:val="690DA5DA"/>
    <w:rsid w:val="693F9C56"/>
    <w:rsid w:val="695265DE"/>
    <w:rsid w:val="6956910D"/>
    <w:rsid w:val="6959564A"/>
    <w:rsid w:val="695C878C"/>
    <w:rsid w:val="695D0F9C"/>
    <w:rsid w:val="695DEDEB"/>
    <w:rsid w:val="69633768"/>
    <w:rsid w:val="6978D79B"/>
    <w:rsid w:val="697D8DBA"/>
    <w:rsid w:val="6982BEEE"/>
    <w:rsid w:val="698FAA82"/>
    <w:rsid w:val="69959C46"/>
    <w:rsid w:val="699A9A8A"/>
    <w:rsid w:val="69B91889"/>
    <w:rsid w:val="6A34C9D4"/>
    <w:rsid w:val="6A6BC25A"/>
    <w:rsid w:val="6A92A681"/>
    <w:rsid w:val="6AC63C06"/>
    <w:rsid w:val="6AE79B3C"/>
    <w:rsid w:val="6AECE76B"/>
    <w:rsid w:val="6AF950F6"/>
    <w:rsid w:val="6AFC1CF8"/>
    <w:rsid w:val="6B045A06"/>
    <w:rsid w:val="6B061720"/>
    <w:rsid w:val="6B2AAC9A"/>
    <w:rsid w:val="6B55398F"/>
    <w:rsid w:val="6B8DD912"/>
    <w:rsid w:val="6B97B420"/>
    <w:rsid w:val="6B9D4C31"/>
    <w:rsid w:val="6BB4C439"/>
    <w:rsid w:val="6BB966CE"/>
    <w:rsid w:val="6BE39C62"/>
    <w:rsid w:val="6BEE5865"/>
    <w:rsid w:val="6C100A03"/>
    <w:rsid w:val="6C335FFA"/>
    <w:rsid w:val="6C73A2FA"/>
    <w:rsid w:val="6C79E054"/>
    <w:rsid w:val="6C93F2FD"/>
    <w:rsid w:val="6CB8F85B"/>
    <w:rsid w:val="6CEE4769"/>
    <w:rsid w:val="6CFEA897"/>
    <w:rsid w:val="6D2DFB02"/>
    <w:rsid w:val="6D3AFDB3"/>
    <w:rsid w:val="6D4AD223"/>
    <w:rsid w:val="6D57B7D7"/>
    <w:rsid w:val="6D5FEE78"/>
    <w:rsid w:val="6D6C93A2"/>
    <w:rsid w:val="6D80A65F"/>
    <w:rsid w:val="6DC1175C"/>
    <w:rsid w:val="6DC91039"/>
    <w:rsid w:val="6DCB4485"/>
    <w:rsid w:val="6DD95167"/>
    <w:rsid w:val="6DE9323F"/>
    <w:rsid w:val="6E01F054"/>
    <w:rsid w:val="6E18445B"/>
    <w:rsid w:val="6E4A876B"/>
    <w:rsid w:val="6E4F0CD4"/>
    <w:rsid w:val="6E5FBF1D"/>
    <w:rsid w:val="6EDE55F8"/>
    <w:rsid w:val="6EEC69A1"/>
    <w:rsid w:val="6EF35A0D"/>
    <w:rsid w:val="6EFF85D8"/>
    <w:rsid w:val="6F044044"/>
    <w:rsid w:val="6F0514CB"/>
    <w:rsid w:val="6F083E3E"/>
    <w:rsid w:val="6F0C38BB"/>
    <w:rsid w:val="6F1ACCFE"/>
    <w:rsid w:val="6F34B184"/>
    <w:rsid w:val="6F392973"/>
    <w:rsid w:val="6F46432F"/>
    <w:rsid w:val="6F8D81FD"/>
    <w:rsid w:val="6F9A4017"/>
    <w:rsid w:val="6FAD96C1"/>
    <w:rsid w:val="6FB8B4AB"/>
    <w:rsid w:val="6FD4B84E"/>
    <w:rsid w:val="6FF88AA8"/>
    <w:rsid w:val="7008C960"/>
    <w:rsid w:val="700978D6"/>
    <w:rsid w:val="700D8CE7"/>
    <w:rsid w:val="7031BB19"/>
    <w:rsid w:val="705EB374"/>
    <w:rsid w:val="70B852BE"/>
    <w:rsid w:val="70D27E88"/>
    <w:rsid w:val="70D659E9"/>
    <w:rsid w:val="70F9A463"/>
    <w:rsid w:val="71012947"/>
    <w:rsid w:val="71038727"/>
    <w:rsid w:val="7103D2C2"/>
    <w:rsid w:val="7124A5AA"/>
    <w:rsid w:val="7135E776"/>
    <w:rsid w:val="7142AFE0"/>
    <w:rsid w:val="714D35C1"/>
    <w:rsid w:val="7159BE03"/>
    <w:rsid w:val="715FE75A"/>
    <w:rsid w:val="716F6FF2"/>
    <w:rsid w:val="71823E58"/>
    <w:rsid w:val="7185DD18"/>
    <w:rsid w:val="71872CA1"/>
    <w:rsid w:val="719B2EC0"/>
    <w:rsid w:val="719CE853"/>
    <w:rsid w:val="71CC5173"/>
    <w:rsid w:val="71E76CC9"/>
    <w:rsid w:val="72172D33"/>
    <w:rsid w:val="7218D1DB"/>
    <w:rsid w:val="7236A15A"/>
    <w:rsid w:val="723D0246"/>
    <w:rsid w:val="72416D83"/>
    <w:rsid w:val="728C146A"/>
    <w:rsid w:val="72BB8F58"/>
    <w:rsid w:val="72BC7091"/>
    <w:rsid w:val="72D4B3D4"/>
    <w:rsid w:val="72D74922"/>
    <w:rsid w:val="72E15F53"/>
    <w:rsid w:val="72E748E5"/>
    <w:rsid w:val="72EA42C4"/>
    <w:rsid w:val="72F27633"/>
    <w:rsid w:val="72F2EF30"/>
    <w:rsid w:val="730176D1"/>
    <w:rsid w:val="734E0098"/>
    <w:rsid w:val="7364FE99"/>
    <w:rsid w:val="736FD436"/>
    <w:rsid w:val="73A0BE1A"/>
    <w:rsid w:val="73E196A2"/>
    <w:rsid w:val="73EFFA1B"/>
    <w:rsid w:val="74157480"/>
    <w:rsid w:val="743266AD"/>
    <w:rsid w:val="74333B5E"/>
    <w:rsid w:val="7434F6F4"/>
    <w:rsid w:val="74708435"/>
    <w:rsid w:val="7475C55F"/>
    <w:rsid w:val="7477E670"/>
    <w:rsid w:val="747DF0A7"/>
    <w:rsid w:val="7485F031"/>
    <w:rsid w:val="74F14027"/>
    <w:rsid w:val="750C3CDB"/>
    <w:rsid w:val="751D75FA"/>
    <w:rsid w:val="752AFF5D"/>
    <w:rsid w:val="753A9B52"/>
    <w:rsid w:val="753CA557"/>
    <w:rsid w:val="75593E07"/>
    <w:rsid w:val="75824189"/>
    <w:rsid w:val="7590FAD4"/>
    <w:rsid w:val="75FA824F"/>
    <w:rsid w:val="760C5496"/>
    <w:rsid w:val="762A1372"/>
    <w:rsid w:val="76504F66"/>
    <w:rsid w:val="76664502"/>
    <w:rsid w:val="7681B09A"/>
    <w:rsid w:val="769EF31A"/>
    <w:rsid w:val="76C9664F"/>
    <w:rsid w:val="76D04320"/>
    <w:rsid w:val="76FD0846"/>
    <w:rsid w:val="7706310F"/>
    <w:rsid w:val="77188BC8"/>
    <w:rsid w:val="77484EE1"/>
    <w:rsid w:val="775BB5FE"/>
    <w:rsid w:val="77612599"/>
    <w:rsid w:val="7769D9B3"/>
    <w:rsid w:val="77924781"/>
    <w:rsid w:val="779ADE8F"/>
    <w:rsid w:val="779CF64C"/>
    <w:rsid w:val="77C3CAFC"/>
    <w:rsid w:val="77D302FD"/>
    <w:rsid w:val="77DAAC8A"/>
    <w:rsid w:val="77E1B8B6"/>
    <w:rsid w:val="77F88DBA"/>
    <w:rsid w:val="78287AB3"/>
    <w:rsid w:val="7881C6AE"/>
    <w:rsid w:val="7897BA05"/>
    <w:rsid w:val="78DF34D1"/>
    <w:rsid w:val="78F4E02A"/>
    <w:rsid w:val="79044439"/>
    <w:rsid w:val="790784F6"/>
    <w:rsid w:val="792696C3"/>
    <w:rsid w:val="792B1A9D"/>
    <w:rsid w:val="79369FBE"/>
    <w:rsid w:val="79491F64"/>
    <w:rsid w:val="795E1372"/>
    <w:rsid w:val="798C18FA"/>
    <w:rsid w:val="79D430F6"/>
    <w:rsid w:val="79DD8902"/>
    <w:rsid w:val="79FD21F2"/>
    <w:rsid w:val="7A1E2E87"/>
    <w:rsid w:val="7A3FA2F6"/>
    <w:rsid w:val="7AA261A1"/>
    <w:rsid w:val="7AADD19E"/>
    <w:rsid w:val="7ABD5173"/>
    <w:rsid w:val="7AF47FF8"/>
    <w:rsid w:val="7B2D9224"/>
    <w:rsid w:val="7B4B6529"/>
    <w:rsid w:val="7B744603"/>
    <w:rsid w:val="7B8C8694"/>
    <w:rsid w:val="7BB51D0D"/>
    <w:rsid w:val="7C246322"/>
    <w:rsid w:val="7C25BC5E"/>
    <w:rsid w:val="7C31B512"/>
    <w:rsid w:val="7C34767F"/>
    <w:rsid w:val="7C360890"/>
    <w:rsid w:val="7C50C790"/>
    <w:rsid w:val="7C66F6AC"/>
    <w:rsid w:val="7C69E689"/>
    <w:rsid w:val="7C792B9D"/>
    <w:rsid w:val="7C9753B2"/>
    <w:rsid w:val="7CD58686"/>
    <w:rsid w:val="7CE2BED3"/>
    <w:rsid w:val="7D24AFDE"/>
    <w:rsid w:val="7D600E21"/>
    <w:rsid w:val="7D8156A6"/>
    <w:rsid w:val="7D918465"/>
    <w:rsid w:val="7DA2296A"/>
    <w:rsid w:val="7DE7B221"/>
    <w:rsid w:val="7DF88095"/>
    <w:rsid w:val="7E07DB9B"/>
    <w:rsid w:val="7E2B336B"/>
    <w:rsid w:val="7E381AAF"/>
    <w:rsid w:val="7E419D20"/>
    <w:rsid w:val="7E84BFDE"/>
    <w:rsid w:val="7E89E5C7"/>
    <w:rsid w:val="7E900697"/>
    <w:rsid w:val="7EB8D40A"/>
    <w:rsid w:val="7EC32622"/>
    <w:rsid w:val="7F0F5A93"/>
    <w:rsid w:val="7F17D49C"/>
    <w:rsid w:val="7F4B2D71"/>
    <w:rsid w:val="7F6826A7"/>
    <w:rsid w:val="7F8BE560"/>
    <w:rsid w:val="7FC0CF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57DEE4F2"/>
  <w15:chartTrackingRefBased/>
  <w15:docId w15:val="{44CAA299-4134-4B80-A1DA-5B17A94D6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6613D"/>
    <w:pPr>
      <w:keepNext/>
      <w:keepLines/>
      <w:spacing w:before="240" w:after="0"/>
      <w:outlineLvl w:val="0"/>
    </w:pPr>
    <w:rPr>
      <w:rFonts w:asciiTheme="majorHAnsi" w:eastAsiaTheme="majorEastAsia" w:hAnsiTheme="majorHAnsi" w:cstheme="majorBidi"/>
      <w:color w:val="2F5496" w:themeColor="accent1" w:themeShade="BF"/>
      <w:kern w:val="0"/>
      <w:sz w:val="32"/>
      <w:szCs w:val="32"/>
    </w:rPr>
  </w:style>
  <w:style w:type="paragraph" w:styleId="Heading2">
    <w:name w:val="heading 2"/>
    <w:basedOn w:val="Normal"/>
    <w:next w:val="Normal"/>
    <w:link w:val="Heading2Char"/>
    <w:uiPriority w:val="9"/>
    <w:unhideWhenUsed/>
    <w:qFormat/>
    <w:rsid w:val="00A26B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4D3C4D"/>
    <w:rPr>
      <w:color w:val="0000FF"/>
      <w:shd w:val="clear" w:color="auto" w:fill="auto"/>
    </w:rPr>
  </w:style>
  <w:style w:type="paragraph" w:styleId="Header">
    <w:name w:val="header"/>
    <w:basedOn w:val="Normal"/>
    <w:link w:val="HeaderChar"/>
    <w:uiPriority w:val="99"/>
    <w:unhideWhenUsed/>
    <w:rsid w:val="004D3C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C4D"/>
  </w:style>
  <w:style w:type="paragraph" w:styleId="Footer">
    <w:name w:val="footer"/>
    <w:basedOn w:val="Normal"/>
    <w:link w:val="FooterChar"/>
    <w:uiPriority w:val="99"/>
    <w:unhideWhenUsed/>
    <w:rsid w:val="004D3C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C4D"/>
  </w:style>
  <w:style w:type="paragraph" w:customStyle="1" w:styleId="Pagedecouverture">
    <w:name w:val="Page de couverture"/>
    <w:basedOn w:val="Normal"/>
    <w:next w:val="Normal"/>
    <w:rsid w:val="004D3C4D"/>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4D3C4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D3C4D"/>
    <w:rPr>
      <w:rFonts w:ascii="Times New Roman" w:hAnsi="Times New Roman" w:cs="Times New Roman"/>
      <w:sz w:val="24"/>
    </w:rPr>
  </w:style>
  <w:style w:type="paragraph" w:customStyle="1" w:styleId="FooterSensitivity">
    <w:name w:val="Footer Sensitivity"/>
    <w:basedOn w:val="Normal"/>
    <w:link w:val="FooterSensitivityChar"/>
    <w:rsid w:val="004D3C4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D3C4D"/>
    <w:rPr>
      <w:rFonts w:ascii="Times New Roman" w:hAnsi="Times New Roman" w:cs="Times New Roman"/>
      <w:b/>
      <w:sz w:val="32"/>
    </w:rPr>
  </w:style>
  <w:style w:type="paragraph" w:customStyle="1" w:styleId="HeaderCoverPage">
    <w:name w:val="Header Cover Page"/>
    <w:basedOn w:val="Normal"/>
    <w:link w:val="HeaderCoverPageChar"/>
    <w:rsid w:val="004D3C4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D3C4D"/>
    <w:rPr>
      <w:rFonts w:ascii="Times New Roman" w:hAnsi="Times New Roman" w:cs="Times New Roman"/>
      <w:sz w:val="24"/>
    </w:rPr>
  </w:style>
  <w:style w:type="paragraph" w:customStyle="1" w:styleId="HeaderSensitivity">
    <w:name w:val="Header Sensitivity"/>
    <w:basedOn w:val="Normal"/>
    <w:link w:val="HeaderSensitivityChar"/>
    <w:rsid w:val="004D3C4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D3C4D"/>
    <w:rPr>
      <w:rFonts w:ascii="Times New Roman" w:hAnsi="Times New Roman" w:cs="Times New Roman"/>
      <w:b/>
      <w:sz w:val="32"/>
    </w:rPr>
  </w:style>
  <w:style w:type="paragraph" w:customStyle="1" w:styleId="HeaderSensitivityRight">
    <w:name w:val="Header Sensitivity Right"/>
    <w:basedOn w:val="Normal"/>
    <w:link w:val="HeaderSensitivityRightChar"/>
    <w:rsid w:val="004D3C4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D3C4D"/>
    <w:rPr>
      <w:rFonts w:ascii="Times New Roman" w:hAnsi="Times New Roman" w:cs="Times New Roman"/>
      <w:sz w:val="28"/>
    </w:rPr>
  </w:style>
  <w:style w:type="paragraph" w:styleId="ListParagraph">
    <w:name w:val="List Paragraph"/>
    <w:aliases w:val="Heading 2_sj,List_Paragraph,Multilevel para_II,List Paragraph1,Akapit z listą BS,Main numbered paragraph,Dot pt,F5 List Paragraph,No Spacing1,List Paragraph Char Char Char,Indicator Text,Colorful List - Accent 11,Numbered Para 1,L"/>
    <w:basedOn w:val="Normal"/>
    <w:link w:val="ListParagraphChar"/>
    <w:uiPriority w:val="34"/>
    <w:qFormat/>
    <w:rsid w:val="008264D2"/>
    <w:pPr>
      <w:ind w:left="720"/>
      <w:contextualSpacing/>
    </w:pPr>
  </w:style>
  <w:style w:type="character" w:customStyle="1" w:styleId="Heading1Char">
    <w:name w:val="Heading 1 Char"/>
    <w:basedOn w:val="DefaultParagraphFont"/>
    <w:link w:val="Heading1"/>
    <w:uiPriority w:val="9"/>
    <w:rsid w:val="00E6613D"/>
    <w:rPr>
      <w:rFonts w:asciiTheme="majorHAnsi" w:eastAsiaTheme="majorEastAsia" w:hAnsiTheme="majorHAnsi" w:cstheme="majorBidi"/>
      <w:color w:val="2F5496" w:themeColor="accent1" w:themeShade="BF"/>
      <w:kern w:val="0"/>
      <w:sz w:val="32"/>
      <w:szCs w:val="32"/>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E6613D"/>
    <w:pPr>
      <w:spacing w:after="0" w:line="240" w:lineRule="auto"/>
    </w:pPr>
    <w:rPr>
      <w:kern w:val="0"/>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E6613D"/>
    <w:rPr>
      <w:kern w:val="0"/>
      <w:sz w:val="20"/>
      <w:szCs w:val="20"/>
    </w:rPr>
  </w:style>
  <w:style w:type="character" w:styleId="FootnoteReference">
    <w:name w:val="footnote reference"/>
    <w:aliases w:val="ftref, BVI fnr,Ref,de nota al pie,16 Point,Superscript 6 Point,BVI fnr,Знак сноски-FN,Footnote Reference Superscript,Footnote symbol,???? ??????-FN,Footnote Reference Number,Footnote Reference_LVL6,Footnote Reference_LVL61,footnote re"/>
    <w:basedOn w:val="DefaultParagraphFont"/>
    <w:link w:val="FNRefeCharChar"/>
    <w:unhideWhenUsed/>
    <w:qFormat/>
    <w:rsid w:val="00E6613D"/>
    <w:rPr>
      <w:vertAlign w:val="superscript"/>
    </w:rPr>
  </w:style>
  <w:style w:type="character" w:styleId="Hyperlink">
    <w:name w:val="Hyperlink"/>
    <w:basedOn w:val="DefaultParagraphFont"/>
    <w:uiPriority w:val="99"/>
    <w:unhideWhenUsed/>
    <w:rsid w:val="00E6613D"/>
    <w:rPr>
      <w:color w:val="0563C1" w:themeColor="hyperlink"/>
      <w:u w:val="single"/>
    </w:rPr>
  </w:style>
  <w:style w:type="paragraph" w:customStyle="1" w:styleId="FNRefeCharChar">
    <w:name w:val="FNRefe Char Char"/>
    <w:basedOn w:val="Normal"/>
    <w:link w:val="FootnoteReference"/>
    <w:uiPriority w:val="99"/>
    <w:rsid w:val="00E6613D"/>
    <w:pPr>
      <w:spacing w:after="200" w:line="240" w:lineRule="exact"/>
      <w:jc w:val="both"/>
    </w:pPr>
    <w:rPr>
      <w:vertAlign w:val="superscript"/>
    </w:rPr>
  </w:style>
  <w:style w:type="character" w:styleId="CommentReference">
    <w:name w:val="annotation reference"/>
    <w:basedOn w:val="DefaultParagraphFont"/>
    <w:uiPriority w:val="99"/>
    <w:semiHidden/>
    <w:unhideWhenUsed/>
    <w:rsid w:val="00EA58F7"/>
    <w:rPr>
      <w:sz w:val="16"/>
      <w:szCs w:val="16"/>
    </w:rPr>
  </w:style>
  <w:style w:type="paragraph" w:styleId="CommentText">
    <w:name w:val="annotation text"/>
    <w:basedOn w:val="Normal"/>
    <w:link w:val="CommentTextChar"/>
    <w:uiPriority w:val="99"/>
    <w:unhideWhenUsed/>
    <w:rsid w:val="00EA58F7"/>
    <w:pPr>
      <w:spacing w:line="240" w:lineRule="auto"/>
    </w:pPr>
    <w:rPr>
      <w:sz w:val="20"/>
      <w:szCs w:val="20"/>
    </w:rPr>
  </w:style>
  <w:style w:type="character" w:customStyle="1" w:styleId="CommentTextChar">
    <w:name w:val="Comment Text Char"/>
    <w:basedOn w:val="DefaultParagraphFont"/>
    <w:link w:val="CommentText"/>
    <w:uiPriority w:val="99"/>
    <w:rsid w:val="00EA58F7"/>
    <w:rPr>
      <w:sz w:val="20"/>
      <w:szCs w:val="20"/>
    </w:rPr>
  </w:style>
  <w:style w:type="paragraph" w:styleId="CommentSubject">
    <w:name w:val="annotation subject"/>
    <w:basedOn w:val="CommentText"/>
    <w:next w:val="CommentText"/>
    <w:link w:val="CommentSubjectChar"/>
    <w:uiPriority w:val="99"/>
    <w:semiHidden/>
    <w:unhideWhenUsed/>
    <w:rsid w:val="00EA58F7"/>
    <w:rPr>
      <w:b/>
      <w:bCs/>
    </w:rPr>
  </w:style>
  <w:style w:type="character" w:customStyle="1" w:styleId="CommentSubjectChar">
    <w:name w:val="Comment Subject Char"/>
    <w:basedOn w:val="CommentTextChar"/>
    <w:link w:val="CommentSubject"/>
    <w:uiPriority w:val="99"/>
    <w:semiHidden/>
    <w:rsid w:val="00EA58F7"/>
    <w:rPr>
      <w:b/>
      <w:bCs/>
      <w:sz w:val="20"/>
      <w:szCs w:val="20"/>
    </w:rPr>
  </w:style>
  <w:style w:type="table" w:styleId="TableGrid">
    <w:name w:val="Table Grid"/>
    <w:basedOn w:val="TableNormal"/>
    <w:uiPriority w:val="59"/>
    <w:rsid w:val="0035365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6053CE"/>
    <w:pPr>
      <w:spacing w:after="0" w:line="240" w:lineRule="auto"/>
    </w:pPr>
  </w:style>
  <w:style w:type="paragraph" w:customStyle="1" w:styleId="NoteHead">
    <w:name w:val="NoteHead"/>
    <w:basedOn w:val="Normal"/>
    <w:uiPriority w:val="2"/>
    <w:rsid w:val="00791DA9"/>
    <w:pPr>
      <w:spacing w:before="720" w:after="720"/>
      <w:contextualSpacing/>
      <w:jc w:val="center"/>
    </w:pPr>
    <w:rPr>
      <w:b/>
      <w:bCs/>
      <w:smallCaps/>
    </w:rPr>
  </w:style>
  <w:style w:type="paragraph" w:customStyle="1" w:styleId="Bullet1">
    <w:name w:val="Bullet 1"/>
    <w:aliases w:val="Bullet1,BTBullet1,b1,bullets"/>
    <w:basedOn w:val="Normal"/>
    <w:uiPriority w:val="6"/>
    <w:qFormat/>
    <w:rsid w:val="005431EC"/>
    <w:pPr>
      <w:numPr>
        <w:numId w:val="17"/>
      </w:numPr>
      <w:tabs>
        <w:tab w:val="num" w:pos="360"/>
      </w:tabs>
      <w:spacing w:before="120" w:after="120" w:line="276" w:lineRule="auto"/>
      <w:ind w:left="0" w:firstLine="0"/>
      <w:contextualSpacing/>
    </w:pPr>
    <w:rPr>
      <w:rFonts w:ascii="EC Square Sans Pro" w:eastAsiaTheme="minorEastAsia" w:hAnsi="EC Square Sans Pro"/>
      <w:color w:val="000000" w:themeColor="text1"/>
      <w:kern w:val="0"/>
    </w:rPr>
  </w:style>
  <w:style w:type="paragraph" w:customStyle="1" w:styleId="Bullet2">
    <w:name w:val="Bullet 2"/>
    <w:aliases w:val="Bullet2,BTBullet2"/>
    <w:basedOn w:val="Normal"/>
    <w:uiPriority w:val="6"/>
    <w:qFormat/>
    <w:rsid w:val="005431EC"/>
    <w:pPr>
      <w:numPr>
        <w:ilvl w:val="1"/>
        <w:numId w:val="17"/>
      </w:numPr>
      <w:spacing w:before="120" w:after="120" w:line="276" w:lineRule="auto"/>
      <w:contextualSpacing/>
    </w:pPr>
    <w:rPr>
      <w:rFonts w:ascii="EC Square Sans Pro" w:eastAsiaTheme="minorEastAsia" w:hAnsi="EC Square Sans Pro"/>
      <w:color w:val="000000" w:themeColor="text1"/>
      <w:kern w:val="0"/>
    </w:rPr>
  </w:style>
  <w:style w:type="paragraph" w:customStyle="1" w:styleId="Bullet3">
    <w:name w:val="Bullet 3"/>
    <w:aliases w:val="Bullet3,BTBullet3"/>
    <w:basedOn w:val="Bullet2"/>
    <w:uiPriority w:val="6"/>
    <w:qFormat/>
    <w:rsid w:val="005431EC"/>
    <w:pPr>
      <w:numPr>
        <w:ilvl w:val="2"/>
      </w:numPr>
      <w:tabs>
        <w:tab w:val="num" w:pos="1021"/>
      </w:tabs>
      <w:ind w:left="1021" w:hanging="341"/>
    </w:pPr>
  </w:style>
  <w:style w:type="character" w:customStyle="1" w:styleId="ListParagraphChar">
    <w:name w:val="List Paragraph Char"/>
    <w:aliases w:val="Heading 2_sj Char,List_Paragraph Char,Multilevel para_II Char,List Paragraph1 Char,Akapit z listą BS Char,Main numbered paragraph Char,Dot pt Char,F5 List Paragraph Char,No Spacing1 Char,List Paragraph Char Char Char Char,L Char"/>
    <w:basedOn w:val="DefaultParagraphFont"/>
    <w:link w:val="ListParagraph"/>
    <w:uiPriority w:val="34"/>
    <w:locked/>
    <w:rsid w:val="00B64DDE"/>
  </w:style>
  <w:style w:type="paragraph" w:styleId="TOCHeading">
    <w:name w:val="TOC Heading"/>
    <w:basedOn w:val="Heading1"/>
    <w:next w:val="Normal"/>
    <w:uiPriority w:val="39"/>
    <w:unhideWhenUsed/>
    <w:qFormat/>
    <w:rsid w:val="00D1634A"/>
    <w:pPr>
      <w:outlineLvl w:val="9"/>
    </w:pPr>
  </w:style>
  <w:style w:type="paragraph" w:styleId="TOC1">
    <w:name w:val="toc 1"/>
    <w:basedOn w:val="Normal"/>
    <w:next w:val="Normal"/>
    <w:autoRedefine/>
    <w:uiPriority w:val="39"/>
    <w:unhideWhenUsed/>
    <w:rsid w:val="004B7640"/>
    <w:pPr>
      <w:tabs>
        <w:tab w:val="left" w:pos="440"/>
        <w:tab w:val="right" w:leader="dot" w:pos="9016"/>
      </w:tabs>
      <w:spacing w:after="100" w:line="240" w:lineRule="auto"/>
    </w:pPr>
  </w:style>
  <w:style w:type="character" w:customStyle="1" w:styleId="Heading2Char">
    <w:name w:val="Heading 2 Char"/>
    <w:basedOn w:val="DefaultParagraphFont"/>
    <w:link w:val="Heading2"/>
    <w:uiPriority w:val="9"/>
    <w:rsid w:val="00A26BD7"/>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B52E93"/>
    <w:pPr>
      <w:tabs>
        <w:tab w:val="left" w:pos="880"/>
        <w:tab w:val="right" w:leader="dot" w:pos="9016"/>
      </w:tabs>
      <w:spacing w:after="100"/>
      <w:ind w:left="220"/>
    </w:pPr>
  </w:style>
  <w:style w:type="paragraph" w:customStyle="1" w:styleId="BVIfnrCarCarCarCarCharCharCharCharCar">
    <w:name w:val="BVI fnr Car Car Car Car Char Char Char Char Car"/>
    <w:aliases w:val="BVI fnr Car Car Car Car Char Char Car,BVI fnr Car Car Car Car Char Char Char Char Char Char Char Char Char Car, BVI fnr Car Car Car Car Char Char Car"/>
    <w:basedOn w:val="Normal"/>
    <w:uiPriority w:val="99"/>
    <w:rsid w:val="0080639A"/>
    <w:pPr>
      <w:spacing w:line="240" w:lineRule="exact"/>
    </w:pPr>
    <w:rPr>
      <w:kern w:val="0"/>
      <w:sz w:val="20"/>
      <w:vertAlign w:val="superscript"/>
    </w:rPr>
  </w:style>
  <w:style w:type="paragraph" w:customStyle="1" w:styleId="BodyText1">
    <w:name w:val="Body Text1"/>
    <w:basedOn w:val="Normal"/>
    <w:link w:val="BodytextChar"/>
    <w:qFormat/>
    <w:rsid w:val="00E63893"/>
    <w:pPr>
      <w:spacing w:before="120" w:after="120" w:line="276" w:lineRule="auto"/>
      <w:jc w:val="both"/>
    </w:pPr>
    <w:rPr>
      <w:rFonts w:ascii="EC Square Sans Pro" w:eastAsia="Times New Roman" w:hAnsi="EC Square Sans Pro" w:cs="Times New Roman"/>
      <w:noProof/>
      <w:kern w:val="0"/>
    </w:rPr>
  </w:style>
  <w:style w:type="character" w:customStyle="1" w:styleId="BodytextChar">
    <w:name w:val="Body text Char"/>
    <w:link w:val="BodyText1"/>
    <w:rsid w:val="00E63893"/>
    <w:rPr>
      <w:rFonts w:ascii="EC Square Sans Pro" w:eastAsia="Times New Roman" w:hAnsi="EC Square Sans Pro" w:cs="Times New Roman"/>
      <w:noProof/>
      <w:kern w:val="0"/>
    </w:rPr>
  </w:style>
  <w:style w:type="character" w:styleId="FollowedHyperlink">
    <w:name w:val="FollowedHyperlink"/>
    <w:basedOn w:val="DefaultParagraphFont"/>
    <w:uiPriority w:val="99"/>
    <w:semiHidden/>
    <w:unhideWhenUsed/>
    <w:rsid w:val="00917098"/>
    <w:rPr>
      <w:color w:val="954F72" w:themeColor="followedHyperlink"/>
      <w:u w:val="single"/>
    </w:rPr>
  </w:style>
  <w:style w:type="paragraph" w:styleId="Caption">
    <w:name w:val="caption"/>
    <w:basedOn w:val="Normal"/>
    <w:next w:val="Normal"/>
    <w:uiPriority w:val="35"/>
    <w:unhideWhenUsed/>
    <w:qFormat/>
    <w:rsid w:val="00FD45DF"/>
    <w:pPr>
      <w:spacing w:after="200" w:line="240" w:lineRule="auto"/>
    </w:pPr>
    <w:rPr>
      <w:i/>
      <w:iCs/>
      <w:color w:val="44546A" w:themeColor="text2"/>
      <w:sz w:val="18"/>
      <w:szCs w:val="18"/>
    </w:rPr>
  </w:style>
  <w:style w:type="character" w:customStyle="1" w:styleId="UnresolvedMention">
    <w:name w:val="Unresolved Mention"/>
    <w:basedOn w:val="DefaultParagraphFont"/>
    <w:uiPriority w:val="99"/>
    <w:semiHidden/>
    <w:unhideWhenUsed/>
    <w:rsid w:val="00647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86707">
      <w:bodyDiv w:val="1"/>
      <w:marLeft w:val="0"/>
      <w:marRight w:val="0"/>
      <w:marTop w:val="0"/>
      <w:marBottom w:val="0"/>
      <w:divBdr>
        <w:top w:val="none" w:sz="0" w:space="0" w:color="auto"/>
        <w:left w:val="none" w:sz="0" w:space="0" w:color="auto"/>
        <w:bottom w:val="none" w:sz="0" w:space="0" w:color="auto"/>
        <w:right w:val="none" w:sz="0" w:space="0" w:color="auto"/>
      </w:divBdr>
    </w:div>
    <w:div w:id="279726505">
      <w:bodyDiv w:val="1"/>
      <w:marLeft w:val="0"/>
      <w:marRight w:val="0"/>
      <w:marTop w:val="0"/>
      <w:marBottom w:val="0"/>
      <w:divBdr>
        <w:top w:val="none" w:sz="0" w:space="0" w:color="auto"/>
        <w:left w:val="none" w:sz="0" w:space="0" w:color="auto"/>
        <w:bottom w:val="none" w:sz="0" w:space="0" w:color="auto"/>
        <w:right w:val="none" w:sz="0" w:space="0" w:color="auto"/>
      </w:divBdr>
    </w:div>
    <w:div w:id="1287783385">
      <w:bodyDiv w:val="1"/>
      <w:marLeft w:val="0"/>
      <w:marRight w:val="0"/>
      <w:marTop w:val="0"/>
      <w:marBottom w:val="0"/>
      <w:divBdr>
        <w:top w:val="none" w:sz="0" w:space="0" w:color="auto"/>
        <w:left w:val="none" w:sz="0" w:space="0" w:color="auto"/>
        <w:bottom w:val="none" w:sz="0" w:space="0" w:color="auto"/>
        <w:right w:val="none" w:sz="0" w:space="0" w:color="auto"/>
      </w:divBdr>
    </w:div>
    <w:div w:id="1890217146">
      <w:bodyDiv w:val="1"/>
      <w:marLeft w:val="0"/>
      <w:marRight w:val="0"/>
      <w:marTop w:val="0"/>
      <w:marBottom w:val="0"/>
      <w:divBdr>
        <w:top w:val="none" w:sz="0" w:space="0" w:color="auto"/>
        <w:left w:val="none" w:sz="0" w:space="0" w:color="auto"/>
        <w:bottom w:val="none" w:sz="0" w:space="0" w:color="auto"/>
        <w:right w:val="none" w:sz="0" w:space="0" w:color="auto"/>
      </w:divBdr>
    </w:div>
    <w:div w:id="1915165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TXT/?uri=CELEX:52024DC0091" TargetMode="External"/><Relationship Id="rId7" Type="http://schemas.openxmlformats.org/officeDocument/2006/relationships/hyperlink" Target="https://europa.eu/eurobarometer/surveys/detail/2977" TargetMode="External"/><Relationship Id="rId2" Type="http://schemas.openxmlformats.org/officeDocument/2006/relationships/hyperlink" Target="https://ec.europa.eu/echo/files/evaluation/2024/report_interim%20evaluation%20of%20the%20implementation%20of%20decision%20no.%2013132013eu%20on%20a%20union%20civil%20protection%20mechanism%20v1.pdf" TargetMode="External"/><Relationship Id="rId1" Type="http://schemas.openxmlformats.org/officeDocument/2006/relationships/hyperlink" Target="https://ec.europa.eu/echo/files/evaluation/2024/report_interim%20evaluation%20of%20the%20implementation%20of%20decision%20no.%2013132013eu%20on%20a%20union%20civil%20protection%20mechanism%20v1.pdf" TargetMode="External"/><Relationship Id="rId6" Type="http://schemas.openxmlformats.org/officeDocument/2006/relationships/hyperlink" Target="https://data.europa.eu/doi/10.2777/517560" TargetMode="External"/><Relationship Id="rId5" Type="http://schemas.openxmlformats.org/officeDocument/2006/relationships/hyperlink" Target="https://eur-lex.europa.eu/legal-content/RO/TXT/?uri=COM%3A2023%3A61%3AFIN&amp;qid=1675958089171" TargetMode="External"/><Relationship Id="rId4" Type="http://schemas.openxmlformats.org/officeDocument/2006/relationships/hyperlink" Target="https://eur-lex.europa.eu/legal-content/RO/TXT/?uri=CELEX:32023H021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6" ma:contentTypeDescription="Create a new document." ma:contentTypeScope="" ma:versionID="05e6a7a9f97f78c1ab1a2929ba03b847">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9de7d14dc553bd9d7d3dbb12e00cb9f"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09f5638-e632-4508-a0b3-c84a82e8b4cd}"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6c3bc29-9e11-4027-900b-c73633d792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81857-99A1-4EDD-BB83-96B6FAE61A90}">
  <ds:schemaRefs>
    <ds:schemaRef ds:uri="http://schemas.microsoft.com/sharepoint/v3/contenttype/forms"/>
  </ds:schemaRefs>
</ds:datastoreItem>
</file>

<file path=customXml/itemProps2.xml><?xml version="1.0" encoding="utf-8"?>
<ds:datastoreItem xmlns:ds="http://schemas.openxmlformats.org/officeDocument/2006/customXml" ds:itemID="{2509695A-3448-45C4-A496-A7660CF72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92C7D6-E043-43C3-B0E9-5C16CF396A1A}">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4.xml><?xml version="1.0" encoding="utf-8"?>
<ds:datastoreItem xmlns:ds="http://schemas.openxmlformats.org/officeDocument/2006/customXml" ds:itemID="{A2C8E6EF-2349-4B33-9B15-83B4E73F3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3950</Words>
  <Characters>22518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26416</CharactersWithSpaces>
  <SharedDoc>false</SharedDoc>
  <HLinks>
    <vt:vector size="72" baseType="variant">
      <vt:variant>
        <vt:i4>1507379</vt:i4>
      </vt:variant>
      <vt:variant>
        <vt:i4>26</vt:i4>
      </vt:variant>
      <vt:variant>
        <vt:i4>0</vt:i4>
      </vt:variant>
      <vt:variant>
        <vt:i4>5</vt:i4>
      </vt:variant>
      <vt:variant>
        <vt:lpwstr/>
      </vt:variant>
      <vt:variant>
        <vt:lpwstr>_Toc165040367</vt:lpwstr>
      </vt:variant>
      <vt:variant>
        <vt:i4>1507379</vt:i4>
      </vt:variant>
      <vt:variant>
        <vt:i4>20</vt:i4>
      </vt:variant>
      <vt:variant>
        <vt:i4>0</vt:i4>
      </vt:variant>
      <vt:variant>
        <vt:i4>5</vt:i4>
      </vt:variant>
      <vt:variant>
        <vt:lpwstr/>
      </vt:variant>
      <vt:variant>
        <vt:lpwstr>_Toc165040366</vt:lpwstr>
      </vt:variant>
      <vt:variant>
        <vt:i4>1507379</vt:i4>
      </vt:variant>
      <vt:variant>
        <vt:i4>14</vt:i4>
      </vt:variant>
      <vt:variant>
        <vt:i4>0</vt:i4>
      </vt:variant>
      <vt:variant>
        <vt:i4>5</vt:i4>
      </vt:variant>
      <vt:variant>
        <vt:lpwstr/>
      </vt:variant>
      <vt:variant>
        <vt:lpwstr>_Toc165040365</vt:lpwstr>
      </vt:variant>
      <vt:variant>
        <vt:i4>1507379</vt:i4>
      </vt:variant>
      <vt:variant>
        <vt:i4>8</vt:i4>
      </vt:variant>
      <vt:variant>
        <vt:i4>0</vt:i4>
      </vt:variant>
      <vt:variant>
        <vt:i4>5</vt:i4>
      </vt:variant>
      <vt:variant>
        <vt:lpwstr/>
      </vt:variant>
      <vt:variant>
        <vt:lpwstr>_Toc165040364</vt:lpwstr>
      </vt:variant>
      <vt:variant>
        <vt:i4>1507379</vt:i4>
      </vt:variant>
      <vt:variant>
        <vt:i4>2</vt:i4>
      </vt:variant>
      <vt:variant>
        <vt:i4>0</vt:i4>
      </vt:variant>
      <vt:variant>
        <vt:i4>5</vt:i4>
      </vt:variant>
      <vt:variant>
        <vt:lpwstr/>
      </vt:variant>
      <vt:variant>
        <vt:lpwstr>_Toc165040363</vt:lpwstr>
      </vt:variant>
      <vt:variant>
        <vt:i4>2293864</vt:i4>
      </vt:variant>
      <vt:variant>
        <vt:i4>18</vt:i4>
      </vt:variant>
      <vt:variant>
        <vt:i4>0</vt:i4>
      </vt:variant>
      <vt:variant>
        <vt:i4>5</vt:i4>
      </vt:variant>
      <vt:variant>
        <vt:lpwstr>https://europa.eu/eurobarometer/surveys/detail/2977</vt:lpwstr>
      </vt:variant>
      <vt:variant>
        <vt:lpwstr/>
      </vt:variant>
      <vt:variant>
        <vt:i4>720913</vt:i4>
      </vt:variant>
      <vt:variant>
        <vt:i4>15</vt:i4>
      </vt:variant>
      <vt:variant>
        <vt:i4>0</vt:i4>
      </vt:variant>
      <vt:variant>
        <vt:i4>5</vt:i4>
      </vt:variant>
      <vt:variant>
        <vt:lpwstr>https://data.europa.eu/doi/10.2777/517560</vt:lpwstr>
      </vt:variant>
      <vt:variant>
        <vt:lpwstr/>
      </vt:variant>
      <vt:variant>
        <vt:i4>2359405</vt:i4>
      </vt:variant>
      <vt:variant>
        <vt:i4>12</vt:i4>
      </vt:variant>
      <vt:variant>
        <vt:i4>0</vt:i4>
      </vt:variant>
      <vt:variant>
        <vt:i4>5</vt:i4>
      </vt:variant>
      <vt:variant>
        <vt:lpwstr>https://eur-lex.europa.eu/legal-content/EN/TXT/?uri=COM%3A2023%3A61%3AFIN&amp;qid=1675958089171</vt:lpwstr>
      </vt:variant>
      <vt:variant>
        <vt:lpwstr/>
      </vt:variant>
      <vt:variant>
        <vt:i4>1179738</vt:i4>
      </vt:variant>
      <vt:variant>
        <vt:i4>9</vt:i4>
      </vt:variant>
      <vt:variant>
        <vt:i4>0</vt:i4>
      </vt:variant>
      <vt:variant>
        <vt:i4>5</vt:i4>
      </vt:variant>
      <vt:variant>
        <vt:lpwstr>https://eur-lex.europa.eu/legal-content/EN/TXT/?uri=CELEX:32023H0215(01)</vt:lpwstr>
      </vt:variant>
      <vt:variant>
        <vt:lpwstr/>
      </vt:variant>
      <vt:variant>
        <vt:i4>6029409</vt:i4>
      </vt:variant>
      <vt:variant>
        <vt:i4>6</vt:i4>
      </vt:variant>
      <vt:variant>
        <vt:i4>0</vt:i4>
      </vt:variant>
      <vt:variant>
        <vt:i4>5</vt:i4>
      </vt:variant>
      <vt:variant>
        <vt:lpwstr>https://climate.ec.europa.eu/document/download/b04a5ed8-83da-4007-9c25-1323ca4f3c92_en</vt:lpwstr>
      </vt:variant>
      <vt:variant>
        <vt:lpwstr/>
      </vt:variant>
      <vt:variant>
        <vt:i4>3407882</vt:i4>
      </vt:variant>
      <vt:variant>
        <vt:i4>3</vt:i4>
      </vt:variant>
      <vt:variant>
        <vt:i4>0</vt:i4>
      </vt:variant>
      <vt:variant>
        <vt:i4>5</vt:i4>
      </vt:variant>
      <vt:variant>
        <vt:lpwstr>https://ec.europa.eu/echo/files/evaluation/2024/report_interim evaluation of the implementation of decision no. 13132013eu on a union civil protection mechanism v1.pdf</vt:lpwstr>
      </vt:variant>
      <vt:variant>
        <vt:lpwstr/>
      </vt:variant>
      <vt:variant>
        <vt:i4>3407882</vt:i4>
      </vt:variant>
      <vt:variant>
        <vt:i4>0</vt:i4>
      </vt:variant>
      <vt:variant>
        <vt:i4>0</vt:i4>
      </vt:variant>
      <vt:variant>
        <vt:i4>5</vt:i4>
      </vt:variant>
      <vt:variant>
        <vt:lpwstr>https://ec.europa.eu/echo/files/evaluation/2024/report_interim evaluation of the implementation of decision no. 13132013eu on a union civil protection mechanism v1.pdf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2024-05-28T11:18:00Z</dcterms:created>
  <dcterms:modified xsi:type="dcterms:W3CDTF">2024-05-29T06:22:00Z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2024-03-25T15:57:55Z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f9a37dc8-384c-42ee-8c76-958323e2a710</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CP-011</vt:lpwstr>
  </property>
  <property fmtid="{D5CDD505-2E9C-101B-9397-08002B2CF9AE}" pid="14" name="Last edited using">
    <vt:lpwstr>LW 9.0, Build 20230317</vt:lpwstr>
  </property>
  <property fmtid="{D5CDD505-2E9C-101B-9397-08002B2CF9AE}" pid="15" name="Created using">
    <vt:lpwstr>LW 9.0, Build 20230317</vt:lpwstr>
  </property>
  <property fmtid="{D5CDD505-2E9C-101B-9397-08002B2CF9AE}" pid="16" name="ContentTypeId">
    <vt:lpwstr>0x01010062094E9F29D6C04F85860C631ABC812A</vt:lpwstr>
  </property>
  <property fmtid="{D5CDD505-2E9C-101B-9397-08002B2CF9AE}" pid="17" name="MediaServiceImageTags">
    <vt:lpwstr/>
  </property>
  <property fmtid="{D5CDD505-2E9C-101B-9397-08002B2CF9AE}" pid="18" name="lcf76f155ced4ddcb4097134ff3c332f">
    <vt:lpwstr>|</vt:lpwstr>
  </property>
  <property fmtid="{D5CDD505-2E9C-101B-9397-08002B2CF9AE}" pid="19" name="TaxCatchAll">
    <vt:lpwstr/>
  </property>
</Properties>
</file>