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C97F0" w14:textId="0AFC30D6" w:rsidR="007C532C" w:rsidRDefault="00DA10D7" w:rsidP="00DA10D7">
      <w:pPr>
        <w:pStyle w:val="Pagedecouverture"/>
        <w:rPr>
          <w:noProof/>
        </w:rPr>
      </w:pPr>
      <w:bookmarkStart w:id="0" w:name="LW_BM_COVERPAGE"/>
      <w:r>
        <w:rPr>
          <w:noProof/>
        </w:rPr>
        <w:pict w14:anchorId="4DF28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BF763D-3397-41D3-ADBD-DB67E80AB04C" style="width:455.25pt;height:296.25pt">
            <v:imagedata r:id="rId11" o:title=""/>
          </v:shape>
        </w:pict>
      </w:r>
    </w:p>
    <w:bookmarkEnd w:id="0"/>
    <w:p w14:paraId="4FFBA31B" w14:textId="77777777" w:rsidR="007C532C" w:rsidRDefault="007C532C" w:rsidP="007C532C">
      <w:pPr>
        <w:rPr>
          <w:noProof/>
          <w:lang w:val="en-IE"/>
        </w:rPr>
        <w:sectPr w:rsidR="007C532C" w:rsidSect="00DA10D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65D575" w14:textId="2FD9F7B0" w:rsidR="00C36FA1" w:rsidRPr="00056CFD" w:rsidRDefault="00C36FA1" w:rsidP="00056CFD">
      <w:pPr>
        <w:pStyle w:val="ListParagraph"/>
        <w:numPr>
          <w:ilvl w:val="0"/>
          <w:numId w:val="15"/>
        </w:numPr>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Introducere</w:t>
      </w:r>
    </w:p>
    <w:p w14:paraId="17A0A2AD" w14:textId="77777777" w:rsidR="005637BD" w:rsidRPr="00056CFD" w:rsidRDefault="005637BD" w:rsidP="00056CFD">
      <w:pPr>
        <w:spacing w:line="240" w:lineRule="auto"/>
        <w:contextualSpacing/>
        <w:jc w:val="both"/>
        <w:rPr>
          <w:rFonts w:ascii="Times New Roman" w:hAnsi="Times New Roman" w:cs="Times New Roman"/>
          <w:noProof/>
          <w:color w:val="000000" w:themeColor="text1"/>
          <w:sz w:val="24"/>
          <w:szCs w:val="24"/>
        </w:rPr>
      </w:pPr>
    </w:p>
    <w:p w14:paraId="1D0184B4" w14:textId="6D1C2AA8" w:rsidR="005637BD" w:rsidRPr="00056CFD" w:rsidRDefault="005637BD" w:rsidP="00056CFD">
      <w:pPr>
        <w:spacing w:line="240" w:lineRule="auto"/>
        <w:contextualSpacing/>
        <w:jc w:val="both"/>
        <w:rPr>
          <w:rFonts w:ascii="Times New Roman" w:hAnsi="Times New Roman" w:cs="Times New Roman"/>
          <w:b/>
          <w:bCs/>
          <w:i/>
          <w:iCs/>
          <w:noProof/>
          <w:color w:val="000000" w:themeColor="text1"/>
          <w:sz w:val="24"/>
          <w:szCs w:val="24"/>
        </w:rPr>
      </w:pPr>
      <w:r>
        <w:rPr>
          <w:rFonts w:ascii="Times New Roman" w:hAnsi="Times New Roman"/>
          <w:b/>
          <w:i/>
          <w:noProof/>
          <w:color w:val="000000" w:themeColor="text1"/>
          <w:sz w:val="24"/>
        </w:rPr>
        <w:t>Context</w:t>
      </w:r>
    </w:p>
    <w:p w14:paraId="6C9D638B" w14:textId="2F7E329D" w:rsidR="005637BD" w:rsidRPr="00056CFD" w:rsidRDefault="00490574" w:rsidP="00490574">
      <w:pPr>
        <w:tabs>
          <w:tab w:val="left" w:pos="3140"/>
        </w:tabs>
        <w:spacing w:line="240" w:lineRule="auto"/>
        <w:contextualSpacing/>
        <w:jc w:val="both"/>
        <w:rPr>
          <w:rFonts w:ascii="Times New Roman" w:hAnsi="Times New Roman" w:cs="Times New Roman"/>
          <w:b/>
          <w:bCs/>
          <w:i/>
          <w:iCs/>
          <w:noProof/>
          <w:color w:val="000000" w:themeColor="text1"/>
          <w:sz w:val="24"/>
          <w:szCs w:val="24"/>
        </w:rPr>
      </w:pPr>
      <w:r>
        <w:rPr>
          <w:noProof/>
        </w:rPr>
        <w:tab/>
      </w:r>
    </w:p>
    <w:p w14:paraId="4897DC45" w14:textId="25DE1FFA" w:rsidR="00C36FA1" w:rsidRPr="00056CFD" w:rsidRDefault="00C36FA1" w:rsidP="00056CFD">
      <w:pPr>
        <w:spacing w:line="240" w:lineRule="auto"/>
        <w:contextualSpacing/>
        <w:jc w:val="both"/>
        <w:rPr>
          <w:rFonts w:ascii="Times New Roman" w:hAnsi="Times New Roman" w:cs="Times New Roman"/>
          <w:noProof/>
          <w:color w:val="000000"/>
          <w:sz w:val="24"/>
          <w:szCs w:val="24"/>
        </w:rPr>
      </w:pPr>
      <w:r>
        <w:rPr>
          <w:rFonts w:ascii="Times New Roman" w:hAnsi="Times New Roman"/>
          <w:noProof/>
          <w:color w:val="000000" w:themeColor="text1"/>
          <w:sz w:val="24"/>
        </w:rPr>
        <w:t>La 20 iunie 2023, Comisia Europeană și Înaltul Reprezentant pentru afaceri externe și politica de securitate au adoptat o Comunicare comună privind Strategia europeană pentru securitate economică</w:t>
      </w:r>
      <w:r>
        <w:rPr>
          <w:rStyle w:val="FootnoteReference"/>
          <w:rFonts w:ascii="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Pornind de la ideea că UE prosperă într-o lume deschisă și bazată pe norme, strategia a evidențiat faptul că apar noi riscuri de securitate economică ca urmare a creșterii tensiunilor geopolitice, a fragmentării geoeconomice și a evoluțiilor tehnologice profunde. </w:t>
      </w:r>
    </w:p>
    <w:p w14:paraId="7FA6AF31" w14:textId="443036E3" w:rsidR="57F957D1" w:rsidRPr="00056CFD" w:rsidRDefault="57F957D1" w:rsidP="00056CFD">
      <w:pPr>
        <w:spacing w:line="240" w:lineRule="auto"/>
        <w:contextualSpacing/>
        <w:jc w:val="both"/>
        <w:rPr>
          <w:rFonts w:ascii="Times New Roman" w:hAnsi="Times New Roman" w:cs="Times New Roman"/>
          <w:noProof/>
          <w:color w:val="000000" w:themeColor="text1"/>
          <w:sz w:val="24"/>
          <w:szCs w:val="24"/>
        </w:rPr>
      </w:pPr>
    </w:p>
    <w:p w14:paraId="04CBBCB9" w14:textId="53481C95" w:rsidR="00C36FA1" w:rsidRPr="00056CFD" w:rsidRDefault="0531ED42" w:rsidP="63744EA9">
      <w:pPr>
        <w:spacing w:line="240" w:lineRule="auto"/>
        <w:contextualSpacing/>
        <w:jc w:val="both"/>
        <w:rPr>
          <w:rFonts w:ascii="Times New Roman" w:hAnsi="Times New Roman" w:cs="Times New Roman"/>
          <w:noProof/>
          <w:color w:val="000000" w:themeColor="text1"/>
          <w:sz w:val="24"/>
          <w:szCs w:val="24"/>
        </w:rPr>
      </w:pPr>
      <w:r>
        <w:rPr>
          <w:rFonts w:ascii="Times New Roman" w:hAnsi="Times New Roman"/>
          <w:noProof/>
          <w:sz w:val="24"/>
        </w:rPr>
        <w:t xml:space="preserve">Strategia a stabilit o abordare cuprinzătoare a securității economice europene. În special, strategia prevede un cadru pentru evaluarea și abordarea – </w:t>
      </w:r>
      <w:r>
        <w:rPr>
          <w:rFonts w:ascii="Times New Roman" w:hAnsi="Times New Roman"/>
          <w:noProof/>
          <w:color w:val="000000" w:themeColor="text1"/>
          <w:sz w:val="24"/>
        </w:rPr>
        <w:t>în mod proporțional, precis și direcționat</w:t>
      </w:r>
      <w:r>
        <w:rPr>
          <w:rFonts w:ascii="Times New Roman" w:hAnsi="Times New Roman"/>
          <w:noProof/>
          <w:sz w:val="24"/>
        </w:rPr>
        <w:t xml:space="preserve"> – a riscurilor la adresa securității economice a UE, asigurând, totodată, faptul că UE rămâne una dintre destinațiile cele mai deschise și atractive pentru întreprinderi și investiții. Respectând pe deplin prerogativele statelor membre, strategia a subliniat necesitatea de a dezvolta o abordare comună a UE mai coerentă și cu un impact mai mare. </w:t>
      </w:r>
    </w:p>
    <w:p w14:paraId="7A86C389" w14:textId="2BE613F9" w:rsidR="00C36FA1" w:rsidRPr="00056CFD" w:rsidRDefault="00C36FA1" w:rsidP="63744EA9">
      <w:pPr>
        <w:spacing w:line="240" w:lineRule="auto"/>
        <w:contextualSpacing/>
        <w:jc w:val="both"/>
        <w:rPr>
          <w:rFonts w:ascii="Times New Roman" w:hAnsi="Times New Roman" w:cs="Times New Roman"/>
          <w:noProof/>
          <w:sz w:val="24"/>
          <w:szCs w:val="24"/>
        </w:rPr>
      </w:pPr>
    </w:p>
    <w:p w14:paraId="702751C1" w14:textId="087BC1BD" w:rsidR="00C36FA1" w:rsidRPr="00056CFD" w:rsidRDefault="70DEE5DE" w:rsidP="63744EA9">
      <w:pPr>
        <w:spacing w:line="240" w:lineRule="auto"/>
        <w:contextualSpacing/>
        <w:jc w:val="both"/>
        <w:rPr>
          <w:rFonts w:ascii="Times New Roman" w:hAnsi="Times New Roman" w:cs="Times New Roman"/>
          <w:noProof/>
          <w:color w:val="000000"/>
          <w:sz w:val="24"/>
          <w:szCs w:val="24"/>
        </w:rPr>
      </w:pPr>
      <w:r>
        <w:rPr>
          <w:rFonts w:ascii="Times New Roman" w:hAnsi="Times New Roman"/>
          <w:noProof/>
          <w:sz w:val="24"/>
        </w:rPr>
        <w:t>Recunoscând că riscurile legate de provocările în materie de securitate economică evoluează în timp, în funcție de contextul geopolitic și geoeconomic mai larg, strategia a identificat patru categorii de risc care trebuie abordate cu prioritate, și anume riscurile la adresa rezilienței lanțurilor de aprovizionare;</w:t>
      </w:r>
      <w:r>
        <w:rPr>
          <w:rFonts w:ascii="Times New Roman" w:hAnsi="Times New Roman"/>
          <w:noProof/>
          <w:color w:val="000000" w:themeColor="text1"/>
          <w:sz w:val="24"/>
        </w:rPr>
        <w:t xml:space="preserve"> riscurile la adresa securității fizice și cibernetice a infrastructurii critice; riscul legat de securitatea tehnologică și scurgerile de tehnologii și riscul de utilizare ca armă a dependențelor economice sau a constrângerii economice.</w:t>
      </w:r>
    </w:p>
    <w:p w14:paraId="3CD284BB" w14:textId="77777777" w:rsidR="005637BD" w:rsidRPr="00056CFD" w:rsidRDefault="005637BD" w:rsidP="00056CFD">
      <w:pPr>
        <w:spacing w:line="240" w:lineRule="auto"/>
        <w:contextualSpacing/>
        <w:jc w:val="both"/>
        <w:rPr>
          <w:rFonts w:ascii="Times New Roman" w:hAnsi="Times New Roman" w:cs="Times New Roman"/>
          <w:noProof/>
          <w:color w:val="000000" w:themeColor="text1"/>
          <w:sz w:val="24"/>
          <w:szCs w:val="24"/>
        </w:rPr>
      </w:pPr>
    </w:p>
    <w:p w14:paraId="3E3E80EF" w14:textId="5676925D" w:rsidR="005E0BFE" w:rsidRPr="00056CFD" w:rsidRDefault="00537820" w:rsidP="00056CFD">
      <w:pPr>
        <w:spacing w:line="240" w:lineRule="auto"/>
        <w:contextualSpacing/>
        <w:jc w:val="both"/>
        <w:rPr>
          <w:rFonts w:ascii="Times New Roman" w:hAnsi="Times New Roman" w:cs="Times New Roman"/>
          <w:noProof/>
          <w:sz w:val="24"/>
          <w:szCs w:val="24"/>
        </w:rPr>
      </w:pPr>
      <w:r>
        <w:rPr>
          <w:rFonts w:ascii="Times New Roman" w:hAnsi="Times New Roman"/>
          <w:noProof/>
          <w:color w:val="000000" w:themeColor="text1"/>
          <w:sz w:val="24"/>
        </w:rPr>
        <w:t>Pentru a aborda aceste riscuri, strategia este structurată în</w:t>
      </w:r>
      <w:r>
        <w:rPr>
          <w:rFonts w:ascii="Times New Roman" w:hAnsi="Times New Roman"/>
          <w:noProof/>
          <w:sz w:val="24"/>
        </w:rPr>
        <w:t xml:space="preserve"> jurul a trei piloni:</w:t>
      </w:r>
    </w:p>
    <w:p w14:paraId="7EE51BAD" w14:textId="004A77CB"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Pr>
          <w:rFonts w:ascii="Times New Roman" w:hAnsi="Times New Roman"/>
          <w:i/>
          <w:noProof/>
          <w:sz w:val="24"/>
        </w:rPr>
        <w:t>promovarea</w:t>
      </w:r>
      <w:r>
        <w:rPr>
          <w:rFonts w:ascii="Times New Roman" w:hAnsi="Times New Roman"/>
          <w:noProof/>
          <w:sz w:val="24"/>
        </w:rPr>
        <w:t xml:space="preserve"> competitivității și a creșterii economice a UE, consolidarea pieței unice, sprijinirea unei economii puternice și reziliente și consolidarea bazei științifice, tehnologice și industriale a UE;</w:t>
      </w:r>
    </w:p>
    <w:p w14:paraId="3663A74C" w14:textId="3B7FDB6F"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Pr>
          <w:rFonts w:ascii="Times New Roman" w:hAnsi="Times New Roman"/>
          <w:i/>
          <w:noProof/>
          <w:sz w:val="24"/>
        </w:rPr>
        <w:t>protejarea</w:t>
      </w:r>
      <w:r>
        <w:rPr>
          <w:rFonts w:ascii="Times New Roman" w:hAnsi="Times New Roman"/>
          <w:noProof/>
          <w:sz w:val="24"/>
        </w:rPr>
        <w:t xml:space="preserve"> securității economice a UE printr-o serie de politici și de instrumente, inclusiv prin noi instrumente specifice, atunci când este necesar;</w:t>
      </w:r>
    </w:p>
    <w:p w14:paraId="2815D45F" w14:textId="2E84707F"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Pr>
          <w:rFonts w:ascii="Times New Roman" w:hAnsi="Times New Roman"/>
          <w:i/>
          <w:noProof/>
          <w:sz w:val="24"/>
        </w:rPr>
        <w:t>crearea de parteneriate</w:t>
      </w:r>
      <w:r>
        <w:rPr>
          <w:rFonts w:ascii="Times New Roman" w:hAnsi="Times New Roman"/>
          <w:noProof/>
          <w:sz w:val="24"/>
        </w:rPr>
        <w:t xml:space="preserve"> și consolidarea în continuare a cooperării cu țările din întreaga lume care împărtășesc preocupările noastre și cu cele cu care avem interese comune în materie de securitate economică. </w:t>
      </w:r>
    </w:p>
    <w:p w14:paraId="76123A52" w14:textId="10B78F78" w:rsidR="005E0BFE" w:rsidRPr="00056CFD" w:rsidRDefault="04D19926" w:rsidP="01F95A17">
      <w:pPr>
        <w:spacing w:line="240" w:lineRule="auto"/>
        <w:jc w:val="both"/>
        <w:rPr>
          <w:rFonts w:ascii="Times New Roman" w:hAnsi="Times New Roman" w:cs="Times New Roman"/>
          <w:noProof/>
          <w:sz w:val="24"/>
          <w:szCs w:val="24"/>
        </w:rPr>
      </w:pPr>
      <w:r>
        <w:rPr>
          <w:rFonts w:ascii="Times New Roman" w:hAnsi="Times New Roman"/>
          <w:noProof/>
          <w:sz w:val="24"/>
        </w:rPr>
        <w:t>Ca parte a punerii în aplicare a Strategiei europene pentru securitate economică, prezenta comunicare evidențiază cinci inițiative de consolidare a securității economice a UE, evaluând în același timp progresele înregistrate în ceea ce privește alte direcții de acțiune.</w:t>
      </w:r>
    </w:p>
    <w:p w14:paraId="5BCD5F4F" w14:textId="72771C0F" w:rsidR="0C0DD159" w:rsidRDefault="0C0DD159" w:rsidP="63744EA9">
      <w:pPr>
        <w:pStyle w:val="ListParagraph"/>
        <w:numPr>
          <w:ilvl w:val="0"/>
          <w:numId w:val="15"/>
        </w:numPr>
        <w:jc w:val="both"/>
        <w:rPr>
          <w:rFonts w:ascii="Times New Roman" w:hAnsi="Times New Roman" w:cs="Times New Roman"/>
          <w:b/>
          <w:bCs/>
          <w:noProof/>
          <w:sz w:val="24"/>
          <w:szCs w:val="24"/>
        </w:rPr>
      </w:pPr>
      <w:r>
        <w:rPr>
          <w:rFonts w:ascii="Times New Roman" w:hAnsi="Times New Roman"/>
          <w:b/>
          <w:noProof/>
          <w:sz w:val="24"/>
        </w:rPr>
        <w:t>Pachetul</w:t>
      </w:r>
    </w:p>
    <w:p w14:paraId="3F6AC528" w14:textId="1C7C491B" w:rsidR="0C0DD159" w:rsidRDefault="0C0DD159" w:rsidP="4EC8444D">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Inițiativele propuse astăzi vizează:</w:t>
      </w:r>
    </w:p>
    <w:p w14:paraId="288A2CB9" w14:textId="4966F0DA" w:rsidR="0C0DD159" w:rsidRDefault="0C0DD159" w:rsidP="4EC8444D">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îmbunătățirea legislației existente (Propunere de revizuire a Regulamentului privind examinarea investițiilor străine directe); </w:t>
      </w:r>
    </w:p>
    <w:p w14:paraId="7D1AB8D7" w14:textId="68796DDE" w:rsidR="0C0DD159" w:rsidRDefault="0C0DD159" w:rsidP="01F95A17">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stimularea continuării discuțiilor în cadrul UE cu privire la controlul exporturilor de tehnologii cu dublă utilizare care ne afectează securitatea (Cartea albă privind controlul exporturilor); </w:t>
      </w:r>
    </w:p>
    <w:p w14:paraId="77ACC923" w14:textId="1578C115" w:rsidR="1DB4FE1F" w:rsidRPr="00253E6D" w:rsidRDefault="6EC5CCE2" w:rsidP="46B66E47">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consultarea statelor membre și a părților interesate cu privire la riscurile potențiale care decurg din investițiile în exterior, punând accentul, în această etapă, pe acțiunile necesare care să permită o mai bună identificare a acestor riscuri (Cartea albă privind investițiile în exterior);</w:t>
      </w:r>
    </w:p>
    <w:p w14:paraId="43DDBA80" w14:textId="414A0BB6" w:rsidR="00253E6D" w:rsidRPr="00253E6D" w:rsidRDefault="00253E6D" w:rsidP="00253E6D">
      <w:pPr>
        <w:pStyle w:val="ListParagraph"/>
        <w:numPr>
          <w:ilvl w:val="0"/>
          <w:numId w:val="19"/>
        </w:numPr>
        <w:jc w:val="both"/>
        <w:rPr>
          <w:rFonts w:ascii="Times New Roman" w:eastAsia="Calibri" w:hAnsi="Times New Roman" w:cs="Times New Roman"/>
          <w:noProof/>
          <w:sz w:val="24"/>
          <w:szCs w:val="24"/>
        </w:rPr>
      </w:pPr>
      <w:r>
        <w:rPr>
          <w:rFonts w:ascii="Times New Roman" w:hAnsi="Times New Roman"/>
          <w:noProof/>
          <w:sz w:val="24"/>
        </w:rPr>
        <w:t xml:space="preserve">facilitarea continuării discuțiilor în cadrul UE cu privire la modalitățile de a promova mai bine cercetarea și dezvoltarea care implică tehnologii cu potențial de dublă utilizare (Cartea albă privind opțiunile de consolidare a sprijinului pentru cercetarea și dezvoltarea care implică tehnologii cu potențial de dublă utilizare); </w:t>
      </w:r>
    </w:p>
    <w:p w14:paraId="05C2074F" w14:textId="45F4F165" w:rsidR="0C0DD159" w:rsidRDefault="11D6FADC" w:rsidP="2884A760">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propunerea unei recomandări din partea Consiliului referitoare la măsuri menite să consolideze securitatea cercetării la nivel național și sectorial (Propunere de recomandare a Consiliului privind consolidarea securității cercetării).</w:t>
      </w:r>
    </w:p>
    <w:p w14:paraId="651B9D3C" w14:textId="760CBA9C" w:rsidR="0C0DD159" w:rsidRDefault="11D6FADC" w:rsidP="2884A7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Viitoarele acțiuni ale UE vor continua să se bazeze pe evaluările în curs ale riscurilor și pe coordonarea strategică continuă cu statele membre pentru a ajunge la o înțelegere comună a riscurilor cu care se confruntă Europa și a acțiunilor adecvate – în cadrul celor trei piloni de promovare, protejare și creare de parteneriate – pentru a le aborda.</w:t>
      </w:r>
    </w:p>
    <w:p w14:paraId="207A584F" w14:textId="41EFEDD3" w:rsidR="0C0DD159" w:rsidRDefault="4B59A0D9" w:rsidP="63744EA9">
      <w:pPr>
        <w:pStyle w:val="ListParagraph"/>
        <w:numPr>
          <w:ilvl w:val="0"/>
          <w:numId w:val="18"/>
        </w:numPr>
        <w:jc w:val="both"/>
        <w:rPr>
          <w:rFonts w:ascii="Times New Roman" w:hAnsi="Times New Roman" w:cs="Times New Roman"/>
          <w:b/>
          <w:bCs/>
          <w:noProof/>
          <w:sz w:val="24"/>
          <w:szCs w:val="24"/>
        </w:rPr>
      </w:pPr>
      <w:r>
        <w:rPr>
          <w:rFonts w:ascii="Times New Roman" w:hAnsi="Times New Roman"/>
          <w:b/>
          <w:noProof/>
          <w:sz w:val="24"/>
        </w:rPr>
        <w:t>Noi inițiative legate de investiții și comerț</w:t>
      </w:r>
    </w:p>
    <w:p w14:paraId="59558E0A" w14:textId="77777777" w:rsidR="63744EA9" w:rsidRDefault="63744EA9" w:rsidP="63744EA9">
      <w:pPr>
        <w:pStyle w:val="ListParagraph"/>
        <w:jc w:val="both"/>
        <w:rPr>
          <w:rFonts w:ascii="Times New Roman" w:hAnsi="Times New Roman" w:cs="Times New Roman"/>
          <w:b/>
          <w:bCs/>
          <w:noProof/>
          <w:sz w:val="24"/>
          <w:szCs w:val="24"/>
        </w:rPr>
      </w:pPr>
    </w:p>
    <w:p w14:paraId="07AABFD8" w14:textId="56A0FD4B" w:rsidR="0C0DD159" w:rsidRDefault="50482C70" w:rsidP="63744EA9">
      <w:pPr>
        <w:spacing w:line="257"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Propunere de nou regulament privind examinarea investițiilor străine </w:t>
      </w:r>
    </w:p>
    <w:p w14:paraId="619D84B9" w14:textId="0CD4DD67" w:rsidR="0C0DD159" w:rsidRDefault="4F5E50E6" w:rsidP="4D48B51E">
      <w:pPr>
        <w:pStyle w:val="Speakingbullets"/>
        <w:numPr>
          <w:ilvl w:val="0"/>
          <w:numId w:val="0"/>
        </w:numPr>
        <w:pBdr>
          <w:top w:val="none" w:sz="0" w:space="0" w:color="000000"/>
          <w:left w:val="none" w:sz="0" w:space="4" w:color="000000"/>
          <w:bottom w:val="none" w:sz="0" w:space="0" w:color="000000"/>
          <w:right w:val="none" w:sz="0" w:space="0" w:color="000000"/>
        </w:pBdr>
        <w:shd w:val="clear" w:color="auto" w:fill="auto"/>
        <w:rPr>
          <w:rFonts w:ascii="Times New Roman" w:eastAsia="Times New Roman" w:hAnsi="Times New Roman"/>
          <w:noProof/>
          <w:sz w:val="24"/>
          <w:szCs w:val="24"/>
        </w:rPr>
      </w:pPr>
      <w:r>
        <w:rPr>
          <w:rFonts w:ascii="Times New Roman" w:hAnsi="Times New Roman"/>
          <w:noProof/>
          <w:sz w:val="24"/>
        </w:rPr>
        <w:t>Regulamentul 2019/452 de stabilire a unui cadru pentru examinarea investițiilor străine directe în UE („Regulamentul privind examinarea ISD”) este în vigoare de puțin peste trei ani. Regulamentul a instituit un mecanism de cooperare care a permis statelor membre și Comisiei să facă schimb de informații cu privire la peste 1 200 de tranzacții și să semnaleze preocupările legate de investițiile străine directe (ISD) de pe piața unică ce prezintă riscuri potențiale pentru securitatea și ordinea lor publică. Regulamentul respectiv a permis Comisiei și statelor membre să identifice și să evalueze amenințările generate de anumiți investitori și de vulnerabilitățile transfrontaliere și să acționeze cu privire la aceste amenințări. Întrucât orice restricții se bazează pe o excepție limitată și specifică, justificată de preocupări legate de securitate sau de ordinea publică, regulamentul a confirmat deschiderea generală a UE față de ISD.</w:t>
      </w:r>
    </w:p>
    <w:p w14:paraId="2C90E2D5" w14:textId="418CB0FE" w:rsidR="2452D849" w:rsidRPr="00542FD0" w:rsidRDefault="403423E5" w:rsidP="00253E6D">
      <w:pPr>
        <w:spacing w:before="120" w:after="120"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Propunerea legislativă prezentată astăzi de Comisie vizează revizuirea acestui cadru, pe baza unei evaluări a regulamentului</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Propunerea legislativă se bazează pe experiența primilor trei ani de funcționare, pe o evaluare efectuată de experții OCDE în noiembrie 2022</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precum și pe constatările și recomandările unui raport special publicat de Curtea de Conturi Europeană la 6 decembrie 2023</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xml:space="preserve">. </w:t>
      </w:r>
    </w:p>
    <w:p w14:paraId="27DB65C5" w14:textId="77777777" w:rsidR="00645B46" w:rsidRDefault="00F24B53" w:rsidP="00253E6D">
      <w:pPr>
        <w:spacing w:before="120" w:after="120"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Regulamentul propus va îmbunătăți eficacitatea Regulamentului privind examinarea ISD prin abordarea deficiențelor mecanismului actual. Scopul regulamentului propus este de a se asigura că toate statele membre dispun de un sistem de examinare care să evite lacunele în examinarea tranzacțiilor riscante, să se concentreze asupra cazurilor care prezintă cele mai mari riscuri și să asigure o mai mare responsabilitate în cadrul sistemului în ceea ce privește preocupările în materie de securitate sau de ordine publică exprimate de statele membre și/sau de Comisie. </w:t>
      </w:r>
    </w:p>
    <w:p w14:paraId="324BA6AA" w14:textId="3ACEBAA7" w:rsidR="2452D849" w:rsidRPr="00CB0C06" w:rsidRDefault="00F24B53" w:rsidP="00253E6D">
      <w:pPr>
        <w:spacing w:before="120" w:after="120" w:line="240" w:lineRule="auto"/>
        <w:ind w:left="-20" w:right="-20"/>
        <w:jc w:val="both"/>
        <w:rPr>
          <w:noProof/>
        </w:rPr>
      </w:pPr>
      <w:r>
        <w:rPr>
          <w:rFonts w:ascii="Times New Roman" w:hAnsi="Times New Roman"/>
          <w:noProof/>
          <w:sz w:val="24"/>
        </w:rPr>
        <w:t>Comisia urmărește să promoveze o mai mare eficiență a mecanismului de cooperare prin facilitarea convergenței sistemelor naționale. Regulamentul propus extinde, de asemenea, mecanismul de cooperare la tranzacțiile intra-UE în care investitorul este controlat de o societate străină. Prin urmare, ar elimina lacunele care ar putea submina capacitatea UE de a-și proteja securitatea sau ordinea publică.</w:t>
      </w:r>
    </w:p>
    <w:p w14:paraId="7734066A" w14:textId="73212D35" w:rsidR="0C0DD159" w:rsidRDefault="0C0DD159" w:rsidP="63744EA9">
      <w:pPr>
        <w:spacing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Cartea albă privind controlul exporturilor</w:t>
      </w:r>
    </w:p>
    <w:p w14:paraId="2D9FA1A9" w14:textId="61F70C89" w:rsidR="67E4776C" w:rsidRPr="00542FD0" w:rsidRDefault="67E4776C" w:rsidP="00253E6D">
      <w:pPr>
        <w:spacing w:line="240" w:lineRule="auto"/>
        <w:jc w:val="both"/>
        <w:rPr>
          <w:rFonts w:ascii="Times New Roman" w:hAnsi="Times New Roman" w:cs="Times New Roman"/>
          <w:noProof/>
          <w:sz w:val="24"/>
          <w:szCs w:val="24"/>
        </w:rPr>
      </w:pPr>
      <w:r>
        <w:rPr>
          <w:rFonts w:ascii="Times New Roman" w:hAnsi="Times New Roman"/>
          <w:noProof/>
          <w:sz w:val="24"/>
        </w:rPr>
        <w:t>Regimurile multilaterale de control al exporturilor rămân în centrul controlului tehnologiilor cu dublă utilizare în UE. După cum a anticipat Strategia pentru securitate economică, tensiunile geopolitice și ritmul schimbărilor tehnologice fac necesară o acțiune mai coordonată la nivelul UE. Prin urmare, UE trebuie să valorifice pe deplin posibilitățile oferite de Regulamentul privind produsele cu dublă utilizare. O multiplicare a controalelor naționale efectuate de statele membre ar risca să submineze eficacitatea cadrului UE de control al exporturilor, a controalelor statelor membre, precum și integritatea pieței unice. Acest risc este mai pronunțat în mediul actual, în care abordările divergente ale statelor membre cu privire la anumite tehnologii ar putea slăbi securitatea UE în ansamblu.</w:t>
      </w:r>
    </w:p>
    <w:p w14:paraId="630AC0EE" w14:textId="5A234FBA" w:rsidR="0C0DD159" w:rsidRDefault="0C0DD159" w:rsidP="00253E6D">
      <w:pPr>
        <w:spacing w:line="240" w:lineRule="auto"/>
        <w:jc w:val="both"/>
        <w:rPr>
          <w:rFonts w:ascii="Times New Roman" w:hAnsi="Times New Roman" w:cs="Times New Roman"/>
          <w:noProof/>
          <w:sz w:val="24"/>
          <w:szCs w:val="24"/>
        </w:rPr>
      </w:pPr>
      <w:r>
        <w:rPr>
          <w:rFonts w:ascii="Times New Roman" w:hAnsi="Times New Roman"/>
          <w:noProof/>
          <w:sz w:val="24"/>
        </w:rPr>
        <w:t>O mai bună coordonare a controalelor exporturilor la nivelul UE ar spori capacitatea UE și a statelor membre de a acționa cu eficacitate într-un context geopolitic, de exemplu prin asumarea rolului de lider în definirea unei agende comune cu partenerii. Astfel s-ar consolida și capacitatea UE de a face față posibilelor acțiuni unilaterale ale țărilor terțe care urmăresc să impună noi controale ale exporturilor, inclusiv asupra tehnologiilor emergente, sau de a gestiona cazurile de presiune (asupra UE sau asupra anumitor state membre) din partea țărilor terțe ca răspuns la astfel de controale.</w:t>
      </w:r>
      <w:r w:rsidR="00432DE7">
        <w:rPr>
          <w:rFonts w:ascii="Times New Roman" w:hAnsi="Times New Roman"/>
          <w:noProof/>
          <w:sz w:val="24"/>
        </w:rPr>
        <w:t xml:space="preserve"> </w:t>
      </w:r>
    </w:p>
    <w:p w14:paraId="10BCA1C5" w14:textId="32E8B708" w:rsidR="0C0DD159" w:rsidRDefault="0C0DD159" w:rsidP="00253E6D">
      <w:pPr>
        <w:spacing w:line="240" w:lineRule="auto"/>
        <w:jc w:val="both"/>
        <w:rPr>
          <w:rFonts w:ascii="Times New Roman" w:hAnsi="Times New Roman" w:cs="Times New Roman"/>
          <w:noProof/>
          <w:sz w:val="24"/>
          <w:szCs w:val="24"/>
        </w:rPr>
      </w:pPr>
      <w:r>
        <w:rPr>
          <w:rFonts w:ascii="Times New Roman" w:hAnsi="Times New Roman"/>
          <w:noProof/>
          <w:sz w:val="24"/>
        </w:rPr>
        <w:t>De la adoptarea în 2021 a Regulamentului privind produsele cu dublă utilizare, contextul global pentru controlul exporturilor a evoluat. Ca urmare a războiului de agresiune al Rusiei împotriva Ucrainei au fost aplicate rapid sancțiuni, inclusiv sub forma unor restricții la export în cazul produselor cu dublă utilizare și sensibile. În același timp, a fost îngreunată capacitatea regimurilor multilaterale de control al exporturilor de a lua decizii cu privire la noi produse care urmează să fie supuse controalelor și de a ține pasul cu evoluțiile tehnologice, deoarece unii dintre membrii acestor regimuri blochează procesele decizionale. În plus, nu a fost încă bine formulată o poziție unitară a UE în ceea ce privește dezvoltarea viitoarelor controale asupra unor tehnologii specifice. Din aceste motive, este necesar să se consolideze capacitatea UE de a acționa la nivel internațional într-un mod eficace.</w:t>
      </w:r>
    </w:p>
    <w:p w14:paraId="4B126B29" w14:textId="6E3770BE" w:rsidR="00645B46" w:rsidRDefault="58418625" w:rsidP="2894E7F8">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Cartea albă privind controlul exporturilor propune acțiuni atât pe termen scurt, cât și pe termen mediu pentru a răspunde acestor preocupări. Pe termen scurt, pentru a consolida, de asemenea, activitatea tehnică importantă care a fost desfășurată în cadrul regimurilor multilaterale, Comisia va prezenta o propunere de introducere a unor controale uniforme la nivelul UE </w:t>
      </w:r>
      <w:r w:rsidR="000B116E">
        <w:rPr>
          <w:rFonts w:ascii="Times New Roman" w:hAnsi="Times New Roman"/>
          <w:noProof/>
          <w:sz w:val="24"/>
        </w:rPr>
        <w:t xml:space="preserve">în cazul </w:t>
      </w:r>
      <w:r>
        <w:rPr>
          <w:rFonts w:ascii="Times New Roman" w:hAnsi="Times New Roman"/>
          <w:noProof/>
          <w:sz w:val="24"/>
        </w:rPr>
        <w:t>acel</w:t>
      </w:r>
      <w:r w:rsidR="000B116E">
        <w:rPr>
          <w:rFonts w:ascii="Times New Roman" w:hAnsi="Times New Roman"/>
          <w:noProof/>
          <w:sz w:val="24"/>
        </w:rPr>
        <w:t>or</w:t>
      </w:r>
      <w:r>
        <w:rPr>
          <w:rFonts w:ascii="Times New Roman" w:hAnsi="Times New Roman"/>
          <w:noProof/>
          <w:sz w:val="24"/>
        </w:rPr>
        <w:t xml:space="preserve"> produse </w:t>
      </w:r>
      <w:r w:rsidR="000B116E">
        <w:rPr>
          <w:rFonts w:ascii="Times New Roman" w:hAnsi="Times New Roman"/>
          <w:noProof/>
          <w:sz w:val="24"/>
        </w:rPr>
        <w:t xml:space="preserve">pentru </w:t>
      </w:r>
      <w:r>
        <w:rPr>
          <w:rFonts w:ascii="Times New Roman" w:hAnsi="Times New Roman"/>
          <w:noProof/>
          <w:sz w:val="24"/>
        </w:rPr>
        <w:t xml:space="preserve">care </w:t>
      </w:r>
      <w:r w:rsidR="000B116E">
        <w:rPr>
          <w:rFonts w:ascii="Times New Roman" w:hAnsi="Times New Roman"/>
          <w:noProof/>
          <w:sz w:val="24"/>
        </w:rPr>
        <w:t>s-</w:t>
      </w:r>
      <w:r>
        <w:rPr>
          <w:rFonts w:ascii="Times New Roman" w:hAnsi="Times New Roman"/>
          <w:noProof/>
          <w:sz w:val="24"/>
        </w:rPr>
        <w:t>ar fi adoptat</w:t>
      </w:r>
      <w:r w:rsidR="000B116E">
        <w:rPr>
          <w:rFonts w:ascii="Times New Roman" w:hAnsi="Times New Roman"/>
          <w:noProof/>
          <w:sz w:val="24"/>
        </w:rPr>
        <w:t xml:space="preserve"> decizii</w:t>
      </w:r>
      <w:r>
        <w:rPr>
          <w:rFonts w:ascii="Times New Roman" w:hAnsi="Times New Roman"/>
          <w:noProof/>
          <w:sz w:val="24"/>
        </w:rPr>
        <w:t xml:space="preserve"> în cadrul regimurilor multilaterale dacă nu ar fi fost blocat procesul decizional în aceste regimuri. Comisia propune, totodată, crearea unui forum de coordonare politică, în cadrul căruia să poată avea loc discuții între Comisie și statele membre la un nivel superior adecvat pentru a promova poziții comune ale UE privind controlul exporturilor. </w:t>
      </w:r>
    </w:p>
    <w:p w14:paraId="36C56BF8" w14:textId="0E3CBC59" w:rsidR="38B76B0A" w:rsidRDefault="64B9C7A0" w:rsidP="2894E7F8">
      <w:pPr>
        <w:spacing w:line="240" w:lineRule="auto"/>
        <w:ind w:left="-20" w:right="-20"/>
        <w:jc w:val="both"/>
        <w:rPr>
          <w:rFonts w:ascii="Times New Roman" w:eastAsia="Times New Roman" w:hAnsi="Times New Roman" w:cs="Times New Roman"/>
          <w:noProof/>
          <w:color w:val="008080"/>
          <w:sz w:val="24"/>
          <w:szCs w:val="24"/>
          <w:u w:val="single"/>
        </w:rPr>
      </w:pPr>
      <w:r>
        <w:rPr>
          <w:rFonts w:ascii="Times New Roman" w:hAnsi="Times New Roman"/>
          <w:noProof/>
          <w:sz w:val="24"/>
        </w:rPr>
        <w:t>Până în vara anului 2024, Comisia va adopta o recomandare de îmbunătățire a coordonării dintre statele membre și Comisie cu privire la orice nouă listă națională de control avută în vedere de un stat membru înainte de adoptare, în scopul de a permite formularea de observații cu privire la efectele care pot apărea în afara frontierelor statului membru respectiv. În acest mod s-ar îmbunătăți capacitatea UE de a identifica riscurile legate de produsele care nu sunt controlate încă la nivel multilateral.</w:t>
      </w:r>
    </w:p>
    <w:p w14:paraId="3B4D493F" w14:textId="12616999" w:rsidR="0C0DD159" w:rsidRDefault="0C0DD159" w:rsidP="63744EA9">
      <w:pPr>
        <w:spacing w:line="240" w:lineRule="auto"/>
        <w:jc w:val="both"/>
        <w:rPr>
          <w:rFonts w:ascii="Times New Roman" w:hAnsi="Times New Roman" w:cs="Times New Roman"/>
          <w:noProof/>
          <w:sz w:val="24"/>
          <w:szCs w:val="24"/>
        </w:rPr>
      </w:pPr>
      <w:r>
        <w:rPr>
          <w:rFonts w:ascii="Times New Roman" w:hAnsi="Times New Roman"/>
          <w:noProof/>
          <w:sz w:val="24"/>
        </w:rPr>
        <w:t>Pe termen mediu, Comisia va devansa evaluarea Regulamentului privind produsele cu dublă utilizare în primul trimestru al anului 2025, pentru a evalua și, ulterior, pentru a face propuneri de remediere a eventualelor deficiențe în ceea ce privește eficacitatea și eficiența acestuia. Această evaluare va fi susținută de un studiu cuprinzător efectuat în 2024 și se va baza și pe rezultatele evaluărilor riscurilor din domeniile tehnologice critice prezentate mai sus.</w:t>
      </w:r>
    </w:p>
    <w:p w14:paraId="06B6577F" w14:textId="4C304C67" w:rsidR="0C0DD159" w:rsidRDefault="0C0DD159" w:rsidP="63744EA9">
      <w:pPr>
        <w:spacing w:line="240" w:lineRule="auto"/>
        <w:jc w:val="both"/>
        <w:rPr>
          <w:rFonts w:ascii="Times New Roman" w:hAnsi="Times New Roman" w:cs="Times New Roman"/>
          <w:noProof/>
          <w:sz w:val="24"/>
          <w:szCs w:val="24"/>
        </w:rPr>
      </w:pPr>
      <w:r>
        <w:rPr>
          <w:rFonts w:ascii="Times New Roman" w:hAnsi="Times New Roman"/>
          <w:noProof/>
          <w:sz w:val="24"/>
        </w:rPr>
        <w:t>Cartea albă ar trebui, de asemenea, să declanșeze o dezbatere mai amplă cu privire la tipul de controale necesare ale exporturilor și la cele mai bune modalități de cooperare la nivel internațional pentru a răspunde provocărilor actuale și viitoare.</w:t>
      </w:r>
      <w:r w:rsidR="00432DE7">
        <w:rPr>
          <w:rFonts w:ascii="Times New Roman" w:hAnsi="Times New Roman"/>
          <w:noProof/>
          <w:sz w:val="24"/>
        </w:rPr>
        <w:t xml:space="preserve"> </w:t>
      </w:r>
    </w:p>
    <w:p w14:paraId="2DC0137B" w14:textId="3429D2CF" w:rsidR="0C0DD159" w:rsidRDefault="0C0DD159" w:rsidP="4EC8444D">
      <w:pPr>
        <w:pStyle w:val="Speakingbullets"/>
        <w:keepNext/>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i/>
          <w:iCs/>
          <w:noProof/>
          <w:sz w:val="24"/>
          <w:szCs w:val="24"/>
        </w:rPr>
      </w:pPr>
      <w:r>
        <w:rPr>
          <w:rFonts w:ascii="Times New Roman" w:hAnsi="Times New Roman"/>
          <w:b/>
          <w:i/>
          <w:noProof/>
          <w:sz w:val="24"/>
        </w:rPr>
        <w:t>Cartea albă privind investițiile în exterior</w:t>
      </w:r>
      <w:r>
        <w:rPr>
          <w:rFonts w:ascii="Times New Roman" w:hAnsi="Times New Roman"/>
          <w:b/>
          <w:noProof/>
          <w:sz w:val="24"/>
        </w:rPr>
        <w:t xml:space="preserve"> </w:t>
      </w:r>
    </w:p>
    <w:p w14:paraId="6AF13D9F" w14:textId="753FDD0B" w:rsidR="3DAF550F" w:rsidRDefault="3DAF550F" w:rsidP="2884A760">
      <w:pPr>
        <w:spacing w:line="240" w:lineRule="auto"/>
        <w:jc w:val="both"/>
        <w:rPr>
          <w:rFonts w:ascii="Times New Roman" w:hAnsi="Times New Roman" w:cs="Times New Roman"/>
          <w:noProof/>
          <w:sz w:val="24"/>
          <w:szCs w:val="24"/>
        </w:rPr>
      </w:pPr>
      <w:r>
        <w:rPr>
          <w:rFonts w:ascii="Times New Roman" w:hAnsi="Times New Roman"/>
          <w:noProof/>
          <w:sz w:val="24"/>
        </w:rPr>
        <w:t xml:space="preserve">Comunicarea comună din iunie privind Strategia europeană pentru securitate economică recunoaște importanța piețelor globale deschise pentru succesul și securitatea economică a Uniunii Europene. De asemenea, recunoaște preocupările tot mai mari cu privire la investițiile în exterior într-un set restrâns de tehnologii avansate care ar putea consolida capacitățile militare și de informații ale actorilor ce ar putea utiliza aceste capabilități pentru a amenința pacea și securitatea internațională. Deși UE și statele sale membre examinează deja investițiile străine directe în UE și controlează exporturile de tehnologii cu dublă utilizare în afara UE, în prezent nu există niciun control al investițiilor direcționate din UE în țări terțe. </w:t>
      </w:r>
    </w:p>
    <w:p w14:paraId="5EBF689F" w14:textId="3FF10BA7" w:rsidR="46B56767" w:rsidRPr="00542FD0" w:rsidRDefault="7AE4B4C1" w:rsidP="00253E6D">
      <w:pPr>
        <w:spacing w:line="240" w:lineRule="auto"/>
        <w:ind w:left="-20" w:right="-20"/>
        <w:jc w:val="both"/>
        <w:rPr>
          <w:noProof/>
        </w:rPr>
      </w:pPr>
      <w:r>
        <w:rPr>
          <w:rFonts w:ascii="Times New Roman" w:hAnsi="Times New Roman"/>
          <w:noProof/>
          <w:sz w:val="24"/>
        </w:rPr>
        <w:t xml:space="preserve">În iulie 2023, Comisia a înființat, împreună cu statele membre, un grup de experți privind investițiile în exterior pentru a avansa discuțiile cu privire la aceste aspecte. Potrivit evaluării sale preliminare, sunt necesare mai multe eforturi și analize care să permită Comisiei și statelor membre să stabilească un răspuns necesar în materie de politică la aceste preocupări tot mai mari. </w:t>
      </w:r>
    </w:p>
    <w:p w14:paraId="3658C7CA" w14:textId="536A1B95" w:rsidR="0C0DD159" w:rsidRDefault="46B56767" w:rsidP="00253E6D">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prezent, Comisia încearcă să extindă și să structureze cadrul discuțiilor pe baza unei cărți albe pentru a înțelege mai bine investițiile în exterior în anumite sectoare strategice și eventualele riscuri conexe. Comisia intenționează să recomande acordarea de sprijin din partea statelor membre prin monitorizarea și evaluarea situației actuale. Pe baza acestei monitorizări pe o perioadă de 12 luni, Comisia, împreună cu statele membre, ar putea efectua o evaluare a riscurilor la adresa securității UE, utilizând o metodologie comună, pentru a stabili dacă și ce măsuri de atenuare ar putea fi necesare. </w:t>
      </w:r>
    </w:p>
    <w:p w14:paraId="0346D95F" w14:textId="28B109A2" w:rsidR="0C0DD159" w:rsidRDefault="71F867D3" w:rsidP="63744EA9">
      <w:pPr>
        <w:pStyle w:val="ListParagraph"/>
        <w:numPr>
          <w:ilvl w:val="0"/>
          <w:numId w:val="18"/>
        </w:numPr>
        <w:jc w:val="both"/>
        <w:rPr>
          <w:rFonts w:ascii="Times New Roman" w:hAnsi="Times New Roman" w:cs="Times New Roman"/>
          <w:b/>
          <w:bCs/>
          <w:noProof/>
          <w:sz w:val="24"/>
          <w:szCs w:val="24"/>
        </w:rPr>
      </w:pPr>
      <w:r>
        <w:rPr>
          <w:rFonts w:ascii="Times New Roman" w:hAnsi="Times New Roman"/>
          <w:b/>
          <w:noProof/>
          <w:sz w:val="24"/>
        </w:rPr>
        <w:t>Noi inițiative legate de cercetare și inovare</w:t>
      </w:r>
    </w:p>
    <w:p w14:paraId="0FF22B4D" w14:textId="76F3B1CF" w:rsidR="00CC5912" w:rsidRPr="00CC5912" w:rsidRDefault="000A1448" w:rsidP="00CC5912">
      <w:pPr>
        <w:ind w:right="-20"/>
        <w:jc w:val="both"/>
        <w:rPr>
          <w:rFonts w:ascii="Times New Roman" w:eastAsia="Times New Roman" w:hAnsi="Times New Roman" w:cs="Times New Roman"/>
          <w:b/>
          <w:bCs/>
          <w:i/>
          <w:iCs/>
          <w:noProof/>
          <w:sz w:val="24"/>
          <w:szCs w:val="24"/>
        </w:rPr>
      </w:pPr>
      <w:r>
        <w:rPr>
          <w:noProof/>
        </w:rPr>
        <w:t xml:space="preserve"> </w:t>
      </w:r>
      <w:r>
        <w:rPr>
          <w:noProof/>
        </w:rPr>
        <w:br/>
      </w:r>
      <w:r>
        <w:rPr>
          <w:rFonts w:ascii="Times New Roman" w:hAnsi="Times New Roman"/>
          <w:b/>
          <w:i/>
          <w:noProof/>
          <w:sz w:val="24"/>
        </w:rPr>
        <w:t>Propunere de recomandare a Consiliului privind securitatea cercetării</w:t>
      </w:r>
    </w:p>
    <w:p w14:paraId="12DB7BCA" w14:textId="25B2A5FE" w:rsidR="0C0DD159" w:rsidRPr="00CC5912" w:rsidRDefault="00CC5912" w:rsidP="01F95A17">
      <w:pPr>
        <w:spacing w:line="240" w:lineRule="auto"/>
        <w:ind w:right="-20"/>
        <w:jc w:val="both"/>
        <w:rPr>
          <w:rFonts w:ascii="Times New Roman" w:eastAsia="Times New Roman" w:hAnsi="Times New Roman" w:cs="Times New Roman"/>
          <w:b/>
          <w:bCs/>
          <w:i/>
          <w:iCs/>
          <w:noProof/>
          <w:sz w:val="24"/>
          <w:szCs w:val="24"/>
          <w:u w:val="single"/>
        </w:rPr>
      </w:pPr>
      <w:r>
        <w:rPr>
          <w:rFonts w:ascii="Times New Roman" w:hAnsi="Times New Roman"/>
          <w:noProof/>
          <w:sz w:val="24"/>
        </w:rPr>
        <w:t xml:space="preserve">Propunerea de recomandare a Consiliului vizează o mai bună sprijinire și capacitare a statelor membre, precum și a instituțiilor de învățământ superior și a altor organizații publice și private care desfășoară activități de cercetare în întreaga Europă pentru a identifica și a aborda riscurile la adresa securității cercetării. Se va contribui astfel la asigurarea faptului că acțiunile de cercetare și inovare nu sunt utilizate necorespunzător în moduri care afectează securitatea UE sau încalcă normele etice. </w:t>
      </w:r>
    </w:p>
    <w:p w14:paraId="35D81418" w14:textId="788AD779" w:rsidR="0C0DD159" w:rsidRPr="00CC5912" w:rsidRDefault="0C0DD159" w:rsidP="00CC5912">
      <w:pPr>
        <w:spacing w:before="120" w:after="120" w:line="240" w:lineRule="auto"/>
        <w:ind w:right="-20"/>
        <w:jc w:val="both"/>
        <w:rPr>
          <w:rFonts w:ascii="Times New Roman" w:eastAsia="Times New Roman" w:hAnsi="Times New Roman" w:cs="Times New Roman"/>
          <w:strike/>
          <w:noProof/>
          <w:sz w:val="24"/>
          <w:szCs w:val="24"/>
        </w:rPr>
      </w:pPr>
      <w:r>
        <w:rPr>
          <w:rFonts w:ascii="Times New Roman" w:hAnsi="Times New Roman"/>
          <w:noProof/>
          <w:sz w:val="24"/>
        </w:rPr>
        <w:t>Deși guvernele naționale sunt cele mai în măsură să sprijine sectorul cercetării și inovării, cooperarea și coordonarea la nivelul UE sunt necesare pentru a asigura buna funcționare a Spațiului european de cercetare.</w:t>
      </w:r>
    </w:p>
    <w:p w14:paraId="7C6F7010" w14:textId="67970382" w:rsidR="0C0DD159"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 xml:space="preserve">Pornind de la activitatea deja desfășurată și în concordanță cu principiul libertății academice, recomandarea propusă urmărește să mobilizeze toate statele membre pentru a spori gradul de conștientizare și a consolida reziliența în sectorul cercetării și inovării. S-ar recomanda ca statele membre să stabilească un cadru de politică pentru securitatea cercetării bazat pe o abordare la nivelul întregii administrații, creând structuri de sprijin, introducând garanții prin intermediul organizațiilor de finanțare, stimulând universitățile și alte organizații publice și private care desfășoară activități de cercetare să numească consilieri în materie de securitate a cercetării și introducând procese de diligență necesară și de gestionare a riscurilor. </w:t>
      </w:r>
    </w:p>
    <w:p w14:paraId="521269B1" w14:textId="55122B1D" w:rsidR="0C0DD159" w:rsidRPr="00CC5912" w:rsidRDefault="3DBDADC6"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Măsurile luate de statele membre ar trebui să fie proporționale, cu accent pe autoguvernarea sectorului, în concordanță cu libertatea academică și autonomia instituțională. Abordarea generală ar trebui să se bazeze pe riscuri și să evite toate formele de discriminare și de stigmatizare.</w:t>
      </w:r>
    </w:p>
    <w:p w14:paraId="32DF5782" w14:textId="350CDEB6" w:rsidR="0C0DD159" w:rsidRPr="00CC5912" w:rsidRDefault="11D6FADC" w:rsidP="00CC5912">
      <w:pPr>
        <w:spacing w:before="120" w:after="120" w:line="240" w:lineRule="auto"/>
        <w:ind w:right="-20"/>
        <w:jc w:val="both"/>
        <w:rPr>
          <w:rFonts w:ascii="Times New Roman" w:eastAsia="Times New Roman" w:hAnsi="Times New Roman" w:cs="Times New Roman"/>
          <w:strike/>
          <w:noProof/>
          <w:sz w:val="24"/>
          <w:szCs w:val="24"/>
        </w:rPr>
      </w:pPr>
      <w:r>
        <w:rPr>
          <w:rFonts w:ascii="Times New Roman" w:hAnsi="Times New Roman"/>
          <w:noProof/>
          <w:sz w:val="24"/>
        </w:rPr>
        <w:t xml:space="preserve">Pentru a completa aceste eforturi, UE ar sprijini învățarea în materie de politici, coordonarea și coerența între statele membre, prin structurile de guvernanță existente ale Spațiului european de cercetare și prin instituirea unui Centru european de expertiză în domeniul securității cercetării. </w:t>
      </w:r>
    </w:p>
    <w:p w14:paraId="50238EB9" w14:textId="4538759D" w:rsidR="0C0DD159"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Comisia ar urma să monitorizeze progresele înregistrate în ceea ce privește punerea în aplicare a acestei recomandări ca parte a raportării bienale referitoare la abordarea globală în materie de cercetare și inovare și, ținând seama de evoluția situației geopolitice, ar putea propune acțiuni suplimentare.</w:t>
      </w:r>
    </w:p>
    <w:p w14:paraId="4AA2B592" w14:textId="06EAFF9F" w:rsidR="0C0DD159" w:rsidRPr="00CC5912" w:rsidRDefault="0C0DD159" w:rsidP="63744EA9">
      <w:pPr>
        <w:spacing w:before="120" w:after="120"/>
        <w:ind w:right="-20"/>
        <w:jc w:val="both"/>
        <w:rPr>
          <w:rFonts w:ascii="Times New Roman" w:eastAsia="Times New Roman" w:hAnsi="Times New Roman" w:cs="Times New Roman"/>
          <w:i/>
          <w:iCs/>
          <w:noProof/>
          <w:sz w:val="24"/>
          <w:szCs w:val="24"/>
        </w:rPr>
      </w:pPr>
      <w:r>
        <w:rPr>
          <w:rFonts w:ascii="Times New Roman" w:hAnsi="Times New Roman"/>
          <w:b/>
          <w:i/>
          <w:noProof/>
          <w:sz w:val="24"/>
        </w:rPr>
        <w:t>Cartea albă pentru consolidarea sprijinului acordat cercetării și dezvoltării care implică tehnologii cu potențial de dublă utilizare</w:t>
      </w:r>
      <w:r>
        <w:rPr>
          <w:rFonts w:ascii="Times New Roman" w:hAnsi="Times New Roman"/>
          <w:i/>
          <w:noProof/>
          <w:sz w:val="24"/>
        </w:rPr>
        <w:t xml:space="preserve"> </w:t>
      </w:r>
    </w:p>
    <w:p w14:paraId="72628345" w14:textId="49C8CA87" w:rsidR="00240431"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 xml:space="preserve">Multe tehnologii critice pentru securitatea economică a UE au un potențial de dublă utilizare: aceste tehnologii sunt relevante pentru multe sfere de activitate, atât în domeniul civil, cât și în domeniul apărării, și ar putea aduce beneficii industriei europene și economiei în general. În contextul provocărilor geopolitice, sprijinul pentru cercetarea și dezvoltarea care implică tehnologii cu potențial de dublă utilizare este din ce în ce mai relevant. </w:t>
      </w:r>
    </w:p>
    <w:p w14:paraId="1CFC3638" w14:textId="5729361B" w:rsidR="00645B46" w:rsidRDefault="4433F132"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Cartea albă adoptată astăzi revizuiește sprijinul oferit în cadrul programelor de finanțare actuale ale UE și identifică posibile opțiuni pentru consolidarea acest</w:t>
      </w:r>
      <w:r w:rsidR="000B116E">
        <w:rPr>
          <w:rFonts w:ascii="Times New Roman" w:hAnsi="Times New Roman"/>
          <w:noProof/>
          <w:sz w:val="24"/>
        </w:rPr>
        <w:t>uia</w:t>
      </w:r>
      <w:r>
        <w:rPr>
          <w:rFonts w:ascii="Times New Roman" w:hAnsi="Times New Roman"/>
          <w:noProof/>
          <w:sz w:val="24"/>
        </w:rPr>
        <w:t xml:space="preserve">. De exemplu, programe precum Schema UE de inovare în domeniul apărării (EUDIS) din cadrul Fondului european de apărare (FEA) vizează identificarea tehnologiilor promițătoare în domeniul civil și promovarea adoptării acestora în domeniul apărării. </w:t>
      </w:r>
    </w:p>
    <w:p w14:paraId="1D17341A" w14:textId="370E71CA" w:rsidR="0C0DD159" w:rsidRDefault="71A93255"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Cartea albă prezintă trei opțiuni posibile pentru viitor: (1) continuarea în baza cadrului actual și consolidarea acestuia, (2) eliminarea accentului pus exclusiv pe aplicațiile civile în anumite părți ale programului care succedă programului Orizont Europa și (3) crearea unui instrument specific cu accent deosebit pe cercetarea și dezvoltarea produselor cu dublă utilizare. Cu cartea albă, Comisia lansează o consultare amplă cu autoritățile publice, societatea civilă, sectorul industrial și mediul academic cu privire la opțiunile de sprijin strategic pentru dezvoltarea tehnologiei cu dublă utilizare. Această consultare va permite un dialog cuprinzător cu toate părțile interesate, care va sta la baza următoarelor etape întreprinse de Comisie.</w:t>
      </w:r>
    </w:p>
    <w:p w14:paraId="37179A69" w14:textId="2B92D6AE" w:rsidR="00C36FA1" w:rsidRDefault="0C0DD159" w:rsidP="01F95A17">
      <w:pPr>
        <w:pStyle w:val="ListParagraph"/>
        <w:numPr>
          <w:ilvl w:val="0"/>
          <w:numId w:val="15"/>
        </w:numPr>
        <w:jc w:val="both"/>
        <w:rPr>
          <w:rFonts w:ascii="Times New Roman" w:hAnsi="Times New Roman" w:cs="Times New Roman"/>
          <w:b/>
          <w:bCs/>
          <w:i/>
          <w:iCs/>
          <w:noProof/>
          <w:sz w:val="24"/>
          <w:szCs w:val="24"/>
        </w:rPr>
      </w:pPr>
      <w:r>
        <w:rPr>
          <w:rFonts w:ascii="Times New Roman" w:hAnsi="Times New Roman"/>
          <w:b/>
          <w:noProof/>
          <w:sz w:val="24"/>
        </w:rPr>
        <w:t>Progresele înregistrate cu privire la alte activități legate de securitatea economică</w:t>
      </w:r>
      <w:r>
        <w:rPr>
          <w:rFonts w:ascii="Times New Roman" w:hAnsi="Times New Roman"/>
          <w:b/>
          <w:i/>
          <w:noProof/>
          <w:sz w:val="24"/>
        </w:rPr>
        <w:t xml:space="preserve"> </w:t>
      </w:r>
    </w:p>
    <w:p w14:paraId="63B91793" w14:textId="77777777" w:rsidR="00CC5912" w:rsidRPr="00056CFD" w:rsidRDefault="00CC5912" w:rsidP="01F95A17">
      <w:pPr>
        <w:pStyle w:val="ListParagraph"/>
        <w:jc w:val="both"/>
        <w:rPr>
          <w:rFonts w:ascii="Times New Roman" w:hAnsi="Times New Roman" w:cs="Times New Roman"/>
          <w:b/>
          <w:bCs/>
          <w:i/>
          <w:iCs/>
          <w:noProof/>
          <w:sz w:val="24"/>
          <w:szCs w:val="24"/>
        </w:rPr>
      </w:pPr>
    </w:p>
    <w:p w14:paraId="467A3D29" w14:textId="2B842C76" w:rsidR="057B7CB1" w:rsidRPr="00933FB3" w:rsidRDefault="057B7CB1" w:rsidP="01F95A17">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De la adoptarea în luna iunie a anului trecut a Strategiei pentru securitate economică, au continuat lucrările intense cu privire la principalele dimensiuni ale securității economice a UE. </w:t>
      </w:r>
    </w:p>
    <w:p w14:paraId="3BFAECB5" w14:textId="3857C769" w:rsidR="01F95A17" w:rsidRDefault="01F95A17" w:rsidP="01F95A17">
      <w:pPr>
        <w:pStyle w:val="ListParagraph"/>
        <w:jc w:val="both"/>
        <w:rPr>
          <w:rFonts w:ascii="Times New Roman" w:hAnsi="Times New Roman" w:cs="Times New Roman"/>
          <w:b/>
          <w:bCs/>
          <w:i/>
          <w:iCs/>
          <w:noProof/>
          <w:sz w:val="24"/>
          <w:szCs w:val="24"/>
        </w:rPr>
      </w:pPr>
    </w:p>
    <w:p w14:paraId="62153801" w14:textId="4A3E39CF" w:rsidR="00240431" w:rsidRDefault="7F9C25C3" w:rsidP="01F95A17">
      <w:pPr>
        <w:spacing w:line="240" w:lineRule="auto"/>
        <w:jc w:val="both"/>
        <w:rPr>
          <w:rFonts w:ascii="Times New Roman" w:hAnsi="Times New Roman" w:cs="Times New Roman"/>
          <w:b/>
          <w:bCs/>
          <w:i/>
          <w:iCs/>
          <w:noProof/>
          <w:sz w:val="24"/>
          <w:szCs w:val="24"/>
        </w:rPr>
      </w:pPr>
      <w:r>
        <w:rPr>
          <w:rFonts w:ascii="Times New Roman" w:hAnsi="Times New Roman"/>
          <w:b/>
          <w:i/>
          <w:noProof/>
          <w:sz w:val="24"/>
        </w:rPr>
        <w:t xml:space="preserve">Evaluări ale riscurilor </w:t>
      </w:r>
      <w:bookmarkStart w:id="2" w:name="_Toc357156677"/>
    </w:p>
    <w:p w14:paraId="6A947899" w14:textId="0D95A941" w:rsidR="00657F70" w:rsidRPr="00240431" w:rsidRDefault="0A813EA0" w:rsidP="3C832B9F">
      <w:pPr>
        <w:spacing w:line="240" w:lineRule="auto"/>
        <w:jc w:val="both"/>
        <w:rPr>
          <w:rFonts w:ascii="Times New Roman" w:hAnsi="Times New Roman" w:cs="Times New Roman"/>
          <w:b/>
          <w:bCs/>
          <w:i/>
          <w:iCs/>
          <w:noProof/>
          <w:sz w:val="24"/>
          <w:szCs w:val="24"/>
        </w:rPr>
      </w:pPr>
      <w:r>
        <w:rPr>
          <w:rFonts w:ascii="Times New Roman" w:hAnsi="Times New Roman"/>
          <w:noProof/>
          <w:sz w:val="24"/>
        </w:rPr>
        <w:t xml:space="preserve">La 3 octombrie 2023, Comisia a adoptat o recomandare adresată statelor membre, în care </w:t>
      </w:r>
      <w:r>
        <w:rPr>
          <w:rFonts w:ascii="Times New Roman" w:hAnsi="Times New Roman"/>
          <w:b/>
          <w:noProof/>
          <w:sz w:val="24"/>
        </w:rPr>
        <w:t>identifică zece domenii tehnologice ca fiind critice pentru securitatea economică a 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Pentru patru dintre aceste tehnologii s-a recomandat efectuarea de către Comisie și statele membre a unei evaluări comune urgente a riscurilor</w:t>
      </w:r>
      <w:r>
        <w:rPr>
          <w:rStyle w:val="FootnoteReference"/>
          <w:rFonts w:ascii="Times New Roman" w:hAnsi="Times New Roman"/>
          <w:noProof/>
          <w:sz w:val="24"/>
          <w:szCs w:val="24"/>
        </w:rPr>
        <w:footnoteReference w:id="6"/>
      </w:r>
      <w:r>
        <w:rPr>
          <w:rFonts w:ascii="Times New Roman" w:hAnsi="Times New Roman"/>
          <w:noProof/>
          <w:sz w:val="24"/>
        </w:rPr>
        <w:t xml:space="preserve">: tehnologii avansate cu semiconductori, tehnologii de inteligență artificială, tehnologii cuantice și biotehnologii. </w:t>
      </w:r>
    </w:p>
    <w:p w14:paraId="3A99AE99" w14:textId="0FDE9DC2" w:rsidR="007D51E0" w:rsidRPr="00CC5912" w:rsidRDefault="0F21D10A" w:rsidP="4D48B51E">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Comisia și statele membre lucrează în prezent la aceste evaluări ale riscurilor, pe baza contribuțiilor părților interesate, inclusiv prin intermediul Forumului industrial, în vederea prezentării unui raport în luna februarie. Activitatea referitoare la evaluările riscurilor, care se concentrează asupra riscurilor legate de securitatea tehnologică și de scurgerile de tehnologii, este complementară activității </w:t>
      </w:r>
      <w:r>
        <w:rPr>
          <w:rFonts w:ascii="Times New Roman" w:hAnsi="Times New Roman"/>
          <w:b/>
          <w:noProof/>
          <w:sz w:val="24"/>
        </w:rPr>
        <w:t>Observatorului pentru tehnologii critice</w:t>
      </w:r>
      <w:r>
        <w:rPr>
          <w:rFonts w:ascii="Times New Roman" w:hAnsi="Times New Roman"/>
          <w:noProof/>
          <w:sz w:val="24"/>
        </w:rPr>
        <w:t xml:space="preserve">, condus de Comisie, care asigură monitorizarea și analiza periodică a tehnologiilor critice din domeniile apărării, spațiului și lanțurilor valorice civile conexe din UE. </w:t>
      </w:r>
    </w:p>
    <w:p w14:paraId="0AD12EC6" w14:textId="6EEB7A76" w:rsidR="00933A1B" w:rsidRDefault="006879C5" w:rsidP="003F0373">
      <w:pPr>
        <w:spacing w:line="240" w:lineRule="auto"/>
        <w:contextualSpacing/>
        <w:jc w:val="both"/>
        <w:rPr>
          <w:noProof/>
        </w:rPr>
      </w:pPr>
      <w:r>
        <w:rPr>
          <w:rFonts w:ascii="Times New Roman" w:hAnsi="Times New Roman"/>
          <w:noProof/>
          <w:sz w:val="24"/>
        </w:rPr>
        <w:t>De asemenea, Comisia continuă activitatea referitoare la celelalte trei evaluări ale riscurilor care au fost identificate în strategie (și anume reziliența lanțurilor de aprovizionare;</w:t>
      </w:r>
      <w:r>
        <w:rPr>
          <w:rFonts w:ascii="Times New Roman" w:hAnsi="Times New Roman"/>
          <w:noProof/>
          <w:color w:val="000000" w:themeColor="text1"/>
          <w:sz w:val="24"/>
        </w:rPr>
        <w:t xml:space="preserve"> securitatea fizică și cibernetică a infrastructurii critice și utilizarea ca armă a dependențelor economice sau a constrângerii economice). </w:t>
      </w:r>
    </w:p>
    <w:p w14:paraId="4A866F43" w14:textId="77777777" w:rsidR="00CC5912" w:rsidRDefault="00CC5912" w:rsidP="003F0373">
      <w:pPr>
        <w:spacing w:line="240" w:lineRule="auto"/>
        <w:contextualSpacing/>
        <w:jc w:val="both"/>
        <w:rPr>
          <w:rFonts w:ascii="Times New Roman" w:hAnsi="Times New Roman"/>
          <w:noProof/>
          <w:sz w:val="24"/>
          <w:szCs w:val="24"/>
        </w:rPr>
      </w:pPr>
    </w:p>
    <w:p w14:paraId="1CCF7EE0" w14:textId="7574CD5A" w:rsidR="00933A1B" w:rsidRPr="00F14985" w:rsidRDefault="67B6BEC7" w:rsidP="7A0CFD37">
      <w:p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De exemplu, </w:t>
      </w:r>
      <w:r>
        <w:rPr>
          <w:rFonts w:ascii="Times New Roman" w:hAnsi="Times New Roman"/>
          <w:b/>
          <w:noProof/>
          <w:sz w:val="24"/>
        </w:rPr>
        <w:t xml:space="preserve">riscurile din lanțul de aprovizionare </w:t>
      </w:r>
      <w:r>
        <w:rPr>
          <w:rFonts w:ascii="Times New Roman" w:hAnsi="Times New Roman"/>
          <w:noProof/>
          <w:sz w:val="24"/>
        </w:rPr>
        <w:t>sunt monitorizate prin intermediul analizei „SCAN” – notificarea de alertă privind lanțul de aprovizionare – pentru a evalua dependențele strategice și dificultățile din lanțul de aprovizionare</w:t>
      </w:r>
      <w:r>
        <w:rPr>
          <w:rStyle w:val="FootnoteReference"/>
          <w:noProof/>
        </w:rPr>
        <w:footnoteReference w:id="7"/>
      </w:r>
      <w:r>
        <w:rPr>
          <w:rFonts w:ascii="Times New Roman" w:hAnsi="Times New Roman"/>
          <w:noProof/>
          <w:sz w:val="24"/>
        </w:rPr>
        <w:t>. Această evaluare a riscurilor ține seama de metodologii bazate pe date pentru a identifica dependențele strategice ale UE în cadrul ecosistemelor industriale sensibile (și anume în ceea ce privește domenii precum securitatea și siguranța, sănătatea europenilor, tranziția verde și cea digitală), precum și dependențele care pot reprezenta vulnerabilități la adresa securității economice a UE. Abordarea în funcție de date este completată de o evaluare calitativă bazată pe informații, pentru a înțelege implicațiile pe care le pot avea asupra lanțului de aprovizionare efectele perturbatoare ce afectează anumite bunuri și ecosisteme.</w:t>
      </w:r>
    </w:p>
    <w:p w14:paraId="151E5510" w14:textId="56041D98" w:rsidR="00CC5912" w:rsidRDefault="00CC5912" w:rsidP="2894E7F8">
      <w:pPr>
        <w:spacing w:line="257" w:lineRule="auto"/>
        <w:contextualSpacing/>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rPr>
        <w:t xml:space="preserve">În ceea ce privește </w:t>
      </w:r>
      <w:r>
        <w:rPr>
          <w:rFonts w:ascii="Times New Roman" w:hAnsi="Times New Roman"/>
          <w:b/>
          <w:noProof/>
          <w:sz w:val="24"/>
        </w:rPr>
        <w:t>securitatea fizică și digitală a infrastructurii</w:t>
      </w:r>
      <w:r>
        <w:rPr>
          <w:rFonts w:ascii="Times New Roman" w:hAnsi="Times New Roman"/>
          <w:b/>
          <w:i/>
          <w:noProof/>
          <w:sz w:val="24"/>
        </w:rPr>
        <w:t xml:space="preserve"> </w:t>
      </w:r>
      <w:r>
        <w:rPr>
          <w:rFonts w:ascii="Times New Roman" w:hAnsi="Times New Roman"/>
          <w:b/>
          <w:noProof/>
          <w:sz w:val="24"/>
        </w:rPr>
        <w:t>critice</w:t>
      </w:r>
      <w:r>
        <w:rPr>
          <w:rFonts w:ascii="Times New Roman" w:hAnsi="Times New Roman"/>
          <w:noProof/>
          <w:sz w:val="24"/>
        </w:rPr>
        <w:t xml:space="preserve">, Directiva privind reziliența entităților critice, care a intrat în vigoare la 16 ianuarie 2023, prevede că statele membre trebuie să efectueze evaluări ale riscurilor privind serviciile esențiale până la 17 ianuarie 2026. </w:t>
      </w:r>
      <w:r>
        <w:rPr>
          <w:rFonts w:ascii="Times New Roman" w:hAnsi="Times New Roman"/>
          <w:b/>
          <w:noProof/>
          <w:sz w:val="24"/>
        </w:rPr>
        <w:t>Directiva NIS 2</w:t>
      </w:r>
      <w:r>
        <w:rPr>
          <w:rStyle w:val="FootnoteReference"/>
          <w:rFonts w:ascii="Times New Roman" w:eastAsia="Times New Roman" w:hAnsi="Times New Roman" w:cs="Times New Roman"/>
          <w:b/>
          <w:bCs/>
          <w:noProof/>
          <w:sz w:val="24"/>
          <w:szCs w:val="24"/>
        </w:rPr>
        <w:footnoteReference w:id="8"/>
      </w:r>
      <w:r>
        <w:rPr>
          <w:rFonts w:ascii="Times New Roman" w:hAnsi="Times New Roman"/>
          <w:noProof/>
          <w:sz w:val="24"/>
        </w:rPr>
        <w:t xml:space="preserve"> asigură cadrul pentru evaluarea coordonată a riscurilor în ceea ce privește securitatea cibernetică a infrastructurii critice. Aceste evaluări ale riscurilor vor ghida și acțiunile prevăzute în </w:t>
      </w:r>
      <w:r>
        <w:rPr>
          <w:rFonts w:ascii="Times New Roman" w:hAnsi="Times New Roman"/>
          <w:b/>
          <w:noProof/>
          <w:sz w:val="24"/>
        </w:rPr>
        <w:t>Regulamentul privind solidaritatea cibernetică</w:t>
      </w:r>
      <w:r>
        <w:rPr>
          <w:rFonts w:ascii="Times New Roman" w:hAnsi="Times New Roman"/>
          <w:noProof/>
          <w:sz w:val="24"/>
        </w:rPr>
        <w:t>, propus de Comisie în aprilie 2023, și, în special, testarea coordonată a pregătirii.</w:t>
      </w:r>
      <w:r w:rsidR="00432DE7">
        <w:rPr>
          <w:rFonts w:ascii="Times New Roman" w:hAnsi="Times New Roman"/>
          <w:noProof/>
          <w:sz w:val="24"/>
        </w:rPr>
        <w:t xml:space="preserve"> </w:t>
      </w:r>
    </w:p>
    <w:p w14:paraId="222BEB4D" w14:textId="082E1742" w:rsidR="2884A760" w:rsidRDefault="2884A760" w:rsidP="2884A760">
      <w:pPr>
        <w:spacing w:line="257" w:lineRule="auto"/>
        <w:contextualSpacing/>
        <w:jc w:val="both"/>
        <w:rPr>
          <w:rFonts w:ascii="Times New Roman" w:eastAsia="Times New Roman" w:hAnsi="Times New Roman" w:cs="Times New Roman"/>
          <w:noProof/>
          <w:sz w:val="24"/>
          <w:szCs w:val="24"/>
        </w:rPr>
      </w:pPr>
    </w:p>
    <w:p w14:paraId="246C6079" w14:textId="7C572E4D" w:rsidR="00CC5912" w:rsidRDefault="0760C8CB" w:rsidP="2894E7F8">
      <w:pPr>
        <w:spacing w:line="257" w:lineRule="auto"/>
        <w:contextualSpacing/>
        <w:jc w:val="both"/>
        <w:rPr>
          <w:rFonts w:ascii="Times New Roman" w:eastAsia="Times New Roman" w:hAnsi="Times New Roman" w:cs="Times New Roman"/>
          <w:noProof/>
          <w:sz w:val="24"/>
          <w:szCs w:val="24"/>
        </w:rPr>
      </w:pPr>
      <w:r>
        <w:rPr>
          <w:rFonts w:ascii="Times New Roman" w:hAnsi="Times New Roman"/>
          <w:noProof/>
          <w:sz w:val="24"/>
        </w:rPr>
        <w:t>Au fost deja efectuate mai multe evaluări, iar unele sunt în desfășurare: de exemplu, evaluarea privind rețelele 5G</w:t>
      </w:r>
      <w:r>
        <w:rPr>
          <w:rStyle w:val="FootnoteReference"/>
          <w:rFonts w:ascii="Times New Roman" w:eastAsia="Times New Roman" w:hAnsi="Times New Roman" w:cs="Times New Roman"/>
          <w:noProof/>
          <w:sz w:val="24"/>
          <w:szCs w:val="24"/>
        </w:rPr>
        <w:footnoteReference w:id="9"/>
      </w:r>
      <w:r>
        <w:rPr>
          <w:noProof/>
        </w:rPr>
        <w:t xml:space="preserve"> </w:t>
      </w:r>
      <w:r>
        <w:rPr>
          <w:rFonts w:ascii="Times New Roman" w:hAnsi="Times New Roman"/>
          <w:noProof/>
          <w:sz w:val="24"/>
        </w:rPr>
        <w:t>și privind implicațiile în materie de securitate cibernetică ale rețelelor deschise cu acces radio (OpenRAN)</w:t>
      </w:r>
      <w:r>
        <w:rPr>
          <w:rStyle w:val="FootnoteReference"/>
          <w:rFonts w:ascii="Times New Roman" w:eastAsia="Times New Roman" w:hAnsi="Times New Roman" w:cs="Times New Roman"/>
          <w:noProof/>
          <w:sz w:val="24"/>
          <w:szCs w:val="24"/>
        </w:rPr>
        <w:footnoteReference w:id="10"/>
      </w:r>
      <w:r>
        <w:rPr>
          <w:noProof/>
        </w:rPr>
        <w:t xml:space="preserve"> </w:t>
      </w:r>
      <w:r>
        <w:rPr>
          <w:rFonts w:ascii="Times New Roman" w:hAnsi="Times New Roman"/>
          <w:noProof/>
          <w:sz w:val="24"/>
        </w:rPr>
        <w:t xml:space="preserve">care vor oferi în anii următori o modalitate alternativă de implementare a părții de acces radio la rețelele 5G bazate pe interfețe deschise. În ceea ce privește infrastructurile critice, sunt esențiale, de asemenea, măsuri eficace de consolidare a securității și a rezilienței infrastructurilor de cabluri submarine. </w:t>
      </w:r>
    </w:p>
    <w:p w14:paraId="30C61034" w14:textId="77777777" w:rsidR="00CC5912" w:rsidRDefault="00CC5912" w:rsidP="003F0373">
      <w:pPr>
        <w:spacing w:line="240" w:lineRule="auto"/>
        <w:contextualSpacing/>
        <w:jc w:val="both"/>
        <w:rPr>
          <w:rFonts w:ascii="Times New Roman" w:eastAsia="Times New Roman" w:hAnsi="Times New Roman" w:cs="Times New Roman"/>
          <w:noProof/>
          <w:sz w:val="24"/>
          <w:szCs w:val="24"/>
        </w:rPr>
      </w:pPr>
    </w:p>
    <w:p w14:paraId="08158C05" w14:textId="6E7CF70A" w:rsidR="00933A1B" w:rsidRDefault="2DC66407" w:rsidP="003F0373">
      <w:p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Comisia colaborează, de asemenea, cu statele membre pentru a evalua nivelurile de risc și domeniile în care ar putea fi </w:t>
      </w:r>
      <w:r>
        <w:rPr>
          <w:rFonts w:ascii="Times New Roman" w:hAnsi="Times New Roman"/>
          <w:b/>
          <w:noProof/>
          <w:sz w:val="24"/>
        </w:rPr>
        <w:t>utilizate ca armă dependențele economice sau constrângerea economică</w:t>
      </w:r>
      <w:r>
        <w:rPr>
          <w:rFonts w:ascii="Times New Roman" w:hAnsi="Times New Roman"/>
          <w:noProof/>
          <w:sz w:val="24"/>
        </w:rPr>
        <w:t>. Această evaluare analizează impactul potențial și probabilitatea ca astfel de practici să fie îndreptate împotriva UE. Ia în considerare diverse acțiuni care ar putea avea ca obiect interferențele în alegerile suverane legitime ale UE și ale statelor sale membre sau utilizarea dependențelor economice ca armă în relațiile cu UE.</w:t>
      </w:r>
    </w:p>
    <w:p w14:paraId="0884816E" w14:textId="62EAA6D0" w:rsidR="2894E7F8" w:rsidRDefault="2894E7F8" w:rsidP="2894E7F8">
      <w:pPr>
        <w:spacing w:line="240" w:lineRule="auto"/>
        <w:contextualSpacing/>
        <w:jc w:val="both"/>
        <w:rPr>
          <w:rFonts w:ascii="Times New Roman" w:eastAsia="Times New Roman" w:hAnsi="Times New Roman" w:cs="Times New Roman"/>
          <w:noProof/>
          <w:sz w:val="24"/>
          <w:szCs w:val="24"/>
        </w:rPr>
      </w:pPr>
    </w:p>
    <w:p w14:paraId="1EBB3077" w14:textId="7F5C1FC8" w:rsidR="3F062891" w:rsidRDefault="3F062891" w:rsidP="003D3AB3">
      <w:pPr>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Evaluările riscurilor </w:t>
      </w:r>
      <w:r>
        <w:rPr>
          <w:rFonts w:ascii="Times New Roman" w:hAnsi="Times New Roman"/>
          <w:b/>
          <w:noProof/>
          <w:sz w:val="24"/>
        </w:rPr>
        <w:t>vor contribui la fundamentarea deciziilor cu privire la necesitatea unor acțiuni suplimentare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În cazul în care se consideră necesar, Comisia va propune, după caz în coordonare cu Înaltul Reprezentant, acțiuni suplimentare care trebuie întreprinse pentru a atenua riscurile prin măsuri de promovare, protejare sau creare de parteneriate.</w:t>
      </w:r>
    </w:p>
    <w:p w14:paraId="2BD6446F" w14:textId="3D1DC62E" w:rsidR="00122B59" w:rsidRPr="00122B59" w:rsidRDefault="4BC4B307" w:rsidP="2884A760">
      <w:pPr>
        <w:spacing w:line="240" w:lineRule="auto"/>
        <w:contextualSpacing/>
        <w:jc w:val="both"/>
        <w:rPr>
          <w:rFonts w:ascii="Times New Roman" w:hAnsi="Times New Roman" w:cs="Times New Roman"/>
          <w:b/>
          <w:bCs/>
          <w:i/>
          <w:iCs/>
          <w:noProof/>
          <w:sz w:val="24"/>
          <w:szCs w:val="24"/>
        </w:rPr>
      </w:pPr>
      <w:r>
        <w:rPr>
          <w:rFonts w:ascii="Times New Roman" w:hAnsi="Times New Roman"/>
          <w:b/>
          <w:i/>
          <w:noProof/>
          <w:sz w:val="24"/>
        </w:rPr>
        <w:t xml:space="preserve">Securitatea cercetării în cadrul programelor actuale de finanțare ale UE </w:t>
      </w:r>
    </w:p>
    <w:p w14:paraId="177BE547" w14:textId="107D679C" w:rsidR="00122B59" w:rsidRDefault="001550D2" w:rsidP="00933FB3">
      <w:pPr>
        <w:spacing w:before="120" w:after="120" w:line="240" w:lineRule="auto"/>
        <w:ind w:right="-20"/>
        <w:jc w:val="both"/>
        <w:rPr>
          <w:rFonts w:ascii="Times New Roman" w:hAnsi="Times New Roman"/>
          <w:noProof/>
          <w:sz w:val="24"/>
          <w:szCs w:val="24"/>
        </w:rPr>
      </w:pPr>
      <w:r>
        <w:rPr>
          <w:noProof/>
        </w:rPr>
        <w:t xml:space="preserve"> </w:t>
      </w:r>
      <w:r>
        <w:rPr>
          <w:noProof/>
        </w:rPr>
        <w:br/>
      </w:r>
      <w:r>
        <w:rPr>
          <w:rFonts w:ascii="Times New Roman" w:hAnsi="Times New Roman"/>
          <w:noProof/>
          <w:sz w:val="24"/>
        </w:rPr>
        <w:t xml:space="preserve">Întrucât UE este unul dintre cei mai mari finanțatori ai cercetării din Europa, Comisia a luat măsuri pentru a </w:t>
      </w:r>
      <w:r>
        <w:rPr>
          <w:rFonts w:ascii="Times New Roman" w:hAnsi="Times New Roman"/>
          <w:b/>
          <w:noProof/>
          <w:sz w:val="24"/>
        </w:rPr>
        <w:t>stimula securitatea cercetării</w:t>
      </w:r>
      <w:r>
        <w:rPr>
          <w:rFonts w:ascii="Times New Roman" w:hAnsi="Times New Roman"/>
          <w:noProof/>
          <w:sz w:val="24"/>
        </w:rPr>
        <w:t>, prin consolidarea aplicării garanțiilor existente pentru a asigura securitatea cercetării, în funcție de o abordare strictă bazată pe riscuri. Aceste garanții vizează să protejeze activele strategice, interesele, autonomia sau securitatea Uniunii în temeiul Regulamentelor privind programul Orizont Europa și Euratom</w:t>
      </w:r>
      <w:r>
        <w:rPr>
          <w:rStyle w:val="FootnoteReference"/>
          <w:rFonts w:ascii="Times New Roman" w:hAnsi="Times New Roman"/>
          <w:noProof/>
          <w:sz w:val="24"/>
          <w:szCs w:val="24"/>
        </w:rPr>
        <w:footnoteReference w:id="11"/>
      </w:r>
      <w:bookmarkStart w:id="3" w:name="_Hlk153961027"/>
      <w:r>
        <w:rPr>
          <w:noProof/>
        </w:rPr>
        <w:t>.</w:t>
      </w:r>
      <w:r>
        <w:rPr>
          <w:rFonts w:ascii="Times New Roman" w:hAnsi="Times New Roman"/>
          <w:noProof/>
          <w:sz w:val="24"/>
        </w:rPr>
        <w:t xml:space="preserve"> De asemenea, UE a adoptat orientări pentru cercetarea care implică produse cu dublă utilizare, pentru a se asigura că riscurile sunt identificate, gestionate și atenuate în mod eficace de către autorități și organizațiile de cercetare</w:t>
      </w:r>
      <w:r>
        <w:rPr>
          <w:rFonts w:ascii="Times New Roman" w:eastAsia="Times New Roman" w:hAnsi="Times New Roman" w:cs="Times New Roman"/>
          <w:noProof/>
          <w:sz w:val="24"/>
          <w:szCs w:val="24"/>
          <w:vertAlign w:val="superscript"/>
          <w:lang w:val="en-IE"/>
        </w:rPr>
        <w:footnoteReference w:id="12"/>
      </w:r>
      <w:r>
        <w:rPr>
          <w:rFonts w:ascii="Times New Roman" w:hAnsi="Times New Roman"/>
          <w:noProof/>
          <w:sz w:val="24"/>
        </w:rPr>
        <w:t>.</w:t>
      </w:r>
    </w:p>
    <w:p w14:paraId="131519D6" w14:textId="7133A565" w:rsidR="005B4991" w:rsidRPr="00CC5912" w:rsidRDefault="604D21A8" w:rsidP="2884A760">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b/>
          <w:noProof/>
          <w:sz w:val="24"/>
        </w:rPr>
        <w:t>Punerea în aplicare a acestor garanții este consolidată în continuare</w:t>
      </w:r>
      <w:r>
        <w:rPr>
          <w:rFonts w:ascii="Times New Roman" w:hAnsi="Times New Roman"/>
          <w:noProof/>
          <w:sz w:val="24"/>
        </w:rPr>
        <w:t xml:space="preserve"> în cadrul Regulamentului privind programul Orizont Europa. În mod concret, 31 de acțiuni din cadrul programului de lucru pentru perioada 2023-2024 (3,5 % din total) au limitat eligibilitatea în temeiul articolului 22 alineatul (5) din regulament, ceea ce înseamnă că este posibil ca entitățile cu sediul în anumite țări terțe ori deținute sau controlate din anumite țări terțe să nu participe la astfel de acțiuni. În plus, cooperarea cu entități având sediul în China a fost exclusă pentru acțiunile de inovare, în temeiul articolului 22 alineatul (6) din regulament. Participarea entităților juridice din Rusia și Belarus la toate temele din cadrul programului Orizont Europa a fost exclusă în concordanță cu regimul de sancțiuni al UE</w:t>
      </w:r>
      <w:r>
        <w:rPr>
          <w:rFonts w:ascii="Times New Roman" w:eastAsia="Times New Roman" w:hAnsi="Times New Roman" w:cs="Times New Roman"/>
          <w:noProof/>
          <w:sz w:val="24"/>
          <w:szCs w:val="24"/>
          <w:vertAlign w:val="superscript"/>
          <w:lang w:val="en-IE"/>
        </w:rPr>
        <w:footnoteReference w:id="13"/>
      </w:r>
      <w:r>
        <w:rPr>
          <w:rFonts w:ascii="Times New Roman" w:hAnsi="Times New Roman"/>
          <w:noProof/>
          <w:sz w:val="24"/>
        </w:rPr>
        <w:t xml:space="preserve">. </w:t>
      </w:r>
    </w:p>
    <w:p w14:paraId="78B64B81" w14:textId="77777777" w:rsidR="00645B46" w:rsidRDefault="16B5C2AD" w:rsidP="3C832B9F">
      <w:pPr>
        <w:spacing w:before="120" w:after="120" w:line="240" w:lineRule="auto"/>
        <w:ind w:right="-20"/>
        <w:jc w:val="both"/>
        <w:rPr>
          <w:rFonts w:ascii="Times New Roman" w:hAnsi="Times New Roman"/>
          <w:noProof/>
          <w:sz w:val="24"/>
          <w:szCs w:val="24"/>
        </w:rPr>
      </w:pPr>
      <w:r>
        <w:rPr>
          <w:rFonts w:ascii="Times New Roman" w:hAnsi="Times New Roman"/>
          <w:noProof/>
          <w:sz w:val="24"/>
        </w:rPr>
        <w:t>Comisia și-a consolidat sistemul de monitorizare pentru cazurile de transfer al proprietății asupra rezultatelor proiectelor de cercetare finanțate de UE către țări terțe neasociate</w:t>
      </w:r>
      <w:bookmarkStart w:id="4" w:name="_Hlk153961441"/>
      <w:bookmarkEnd w:id="3"/>
      <w:r>
        <w:rPr>
          <w:rFonts w:ascii="Times New Roman" w:hAnsi="Times New Roman"/>
          <w:noProof/>
          <w:sz w:val="24"/>
        </w:rPr>
        <w:t>. De asemenea, Comisia colaborează cu autoritățile naționale pentru a stabili dacă proiectele Orizont Europa și Euratom respectă normele de securitate aplicabile, în special în ceea ce privește caracterul sensibil al informațiilor</w:t>
      </w:r>
      <w:bookmarkEnd w:id="4"/>
      <w:r>
        <w:rPr>
          <w:noProof/>
        </w:rPr>
        <w:t>.</w:t>
      </w:r>
      <w:r>
        <w:rPr>
          <w:rFonts w:ascii="Times New Roman" w:hAnsi="Times New Roman"/>
          <w:noProof/>
          <w:sz w:val="24"/>
        </w:rPr>
        <w:t xml:space="preserve"> </w:t>
      </w:r>
    </w:p>
    <w:p w14:paraId="41B60462" w14:textId="53658543" w:rsidR="005B4991" w:rsidRPr="00CC5912" w:rsidRDefault="180F9ECB" w:rsidP="3C832B9F">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În plus, Comisia a introdus în cadrul Consiliului European pentru Inovare garanții pentru investiții care urmează să fie incluse în investițiile în întreprinderile mici și mijlocii (IMM-uri) și în întreprinderile nou-înființate care dezvoltă tehnologii și inovații ce pot prezenta riscuri pentru securitatea economică, dacă sunt achiziționate de țări terțe neasociate. Întreaga experiență dobândită astfel a contribuit la pregătirea propunerii sus-menționate de recomandare a Consiliului, prezentată astăzi.</w:t>
      </w:r>
    </w:p>
    <w:p w14:paraId="4D7B72C5" w14:textId="77777777" w:rsidR="005B4991" w:rsidRDefault="005B4991" w:rsidP="003F0373">
      <w:pPr>
        <w:spacing w:line="240" w:lineRule="auto"/>
        <w:contextualSpacing/>
        <w:jc w:val="both"/>
        <w:rPr>
          <w:rFonts w:ascii="Times New Roman" w:hAnsi="Times New Roman" w:cs="Times New Roman"/>
          <w:b/>
          <w:bCs/>
          <w:i/>
          <w:iCs/>
          <w:noProof/>
          <w:sz w:val="24"/>
          <w:szCs w:val="24"/>
        </w:rPr>
      </w:pPr>
    </w:p>
    <w:p w14:paraId="26282154" w14:textId="204AACD4" w:rsidR="00933A1B" w:rsidRPr="00933A1B" w:rsidRDefault="7AFB177F" w:rsidP="01F95A17">
      <w:pPr>
        <w:spacing w:line="240" w:lineRule="auto"/>
        <w:contextualSpacing/>
        <w:jc w:val="both"/>
        <w:rPr>
          <w:rFonts w:ascii="Times New Roman" w:hAnsi="Times New Roman" w:cs="Times New Roman"/>
          <w:b/>
          <w:bCs/>
          <w:i/>
          <w:iCs/>
          <w:noProof/>
          <w:sz w:val="24"/>
          <w:szCs w:val="24"/>
        </w:rPr>
      </w:pPr>
      <w:r>
        <w:rPr>
          <w:rFonts w:ascii="Times New Roman" w:hAnsi="Times New Roman"/>
          <w:b/>
          <w:i/>
          <w:noProof/>
          <w:sz w:val="24"/>
        </w:rPr>
        <w:t>Promovarea și crearea de parteneriate</w:t>
      </w:r>
    </w:p>
    <w:p w14:paraId="7B993E61" w14:textId="77777777" w:rsidR="003F0373" w:rsidRDefault="003F0373" w:rsidP="003F0373">
      <w:pPr>
        <w:spacing w:line="240" w:lineRule="auto"/>
        <w:contextualSpacing/>
        <w:jc w:val="both"/>
        <w:rPr>
          <w:rFonts w:ascii="Times New Roman" w:hAnsi="Times New Roman"/>
          <w:noProof/>
          <w:sz w:val="24"/>
          <w:szCs w:val="24"/>
        </w:rPr>
      </w:pPr>
    </w:p>
    <w:p w14:paraId="6A2D9CA5" w14:textId="17BEFAF1" w:rsidR="00273AFF" w:rsidRPr="00CC5912" w:rsidRDefault="152FDC0C" w:rsidP="00CC5912">
      <w:pPr>
        <w:spacing w:line="240" w:lineRule="auto"/>
        <w:contextualSpacing/>
        <w:jc w:val="both"/>
        <w:rPr>
          <w:rFonts w:ascii="Times New Roman" w:eastAsia="Calibri" w:hAnsi="Times New Roman" w:cs="Times New Roman"/>
          <w:noProof/>
          <w:sz w:val="24"/>
          <w:szCs w:val="24"/>
        </w:rPr>
      </w:pPr>
      <w:r>
        <w:rPr>
          <w:rFonts w:ascii="Times New Roman" w:hAnsi="Times New Roman"/>
          <w:b/>
          <w:noProof/>
          <w:sz w:val="24"/>
        </w:rPr>
        <w:t>Ca parte a pilonului de „promovare” al strategiei și în contextul mai larg al agendei UE privind competitivitatea, Comisia a consolidat piața unică și baza economică a Uniunii</w:t>
      </w:r>
      <w:r>
        <w:rPr>
          <w:rFonts w:ascii="Times New Roman" w:hAnsi="Times New Roman"/>
          <w:noProof/>
          <w:sz w:val="24"/>
        </w:rPr>
        <w:t>. Au fost luate mai multe măsuri importante pentru a consolida reziliența economiei UE și competitivitatea economiei și a industriei europene, inclusiv prin îmbunătățirea accesului la finanțare, prin punerea în aplicare a unor inițiative sociale importante din Planul de acțiune privind Pilonul european al drepturilor sociale și prin stimularea investițiilor și a reformelor utilizând instrumentul NextGenerationEU și fondurile de coeziune. Unele dintre aceste măsuri care contribuie la securitatea economică a UE sunt prezentate în exemplele (neexhaustive) de mai jos.</w:t>
      </w:r>
    </w:p>
    <w:p w14:paraId="34A9095A" w14:textId="2C83A2C1" w:rsidR="2894E7F8" w:rsidRDefault="2894E7F8" w:rsidP="2894E7F8">
      <w:pPr>
        <w:spacing w:line="240" w:lineRule="auto"/>
        <w:contextualSpacing/>
        <w:jc w:val="both"/>
        <w:rPr>
          <w:rFonts w:ascii="Times New Roman" w:eastAsia="Calibri" w:hAnsi="Times New Roman" w:cs="Times New Roman"/>
          <w:noProof/>
          <w:sz w:val="24"/>
          <w:szCs w:val="24"/>
          <w:lang w:eastAsia="en-GB"/>
        </w:rPr>
      </w:pPr>
    </w:p>
    <w:p w14:paraId="234CBAAB" w14:textId="37DAA0A5" w:rsidR="00273AFF" w:rsidRPr="00524F3F" w:rsidRDefault="75924CEB" w:rsidP="2894E7F8">
      <w:pPr>
        <w:spacing w:line="240"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Odată adoptat de colegiuitori, </w:t>
      </w:r>
      <w:r>
        <w:rPr>
          <w:rFonts w:ascii="Times New Roman" w:hAnsi="Times New Roman"/>
          <w:b/>
          <w:noProof/>
          <w:sz w:val="24"/>
        </w:rPr>
        <w:t>Instrumentul pentru situații de urgență pe piața unică</w:t>
      </w:r>
      <w:r>
        <w:rPr>
          <w:rFonts w:ascii="Times New Roman" w:hAnsi="Times New Roman"/>
          <w:noProof/>
          <w:sz w:val="24"/>
        </w:rPr>
        <w:t xml:space="preserve"> va conferi UE o poziție mai bună pentru a monitoriza bunurile și serviciile esențiale în contextul unei crize și pentru a asigura un cadru de guvernanță în cazul unor reacții colective rapide. </w:t>
      </w:r>
      <w:r>
        <w:rPr>
          <w:rFonts w:ascii="Times New Roman" w:hAnsi="Times New Roman"/>
          <w:b/>
          <w:noProof/>
          <w:sz w:val="24"/>
        </w:rPr>
        <w:t>Regulamentul privind materiile prime critice</w:t>
      </w:r>
      <w:r>
        <w:rPr>
          <w:rFonts w:ascii="Times New Roman" w:hAnsi="Times New Roman"/>
          <w:noProof/>
          <w:sz w:val="24"/>
        </w:rPr>
        <w:t xml:space="preserve"> va asigura accesul UE la o aprovizionare sigură, diversificată, accesibilă ca preț și durabilă cu materii prime critice. </w:t>
      </w:r>
      <w:r>
        <w:rPr>
          <w:rFonts w:ascii="Times New Roman" w:hAnsi="Times New Roman"/>
          <w:b/>
          <w:noProof/>
          <w:sz w:val="24"/>
        </w:rPr>
        <w:t>Regulamentul privind industria „zero net”</w:t>
      </w:r>
      <w:r>
        <w:rPr>
          <w:rFonts w:ascii="Times New Roman" w:hAnsi="Times New Roman"/>
          <w:noProof/>
          <w:sz w:val="24"/>
        </w:rPr>
        <w:t xml:space="preserve"> va stimula competitivitatea industriei noastre și va facilita tranziția către o economie neutră din punct de vedere climatic. Mecanismul </w:t>
      </w:r>
      <w:r>
        <w:rPr>
          <w:rFonts w:ascii="Times New Roman" w:hAnsi="Times New Roman"/>
          <w:b/>
          <w:noProof/>
          <w:sz w:val="24"/>
        </w:rPr>
        <w:t>AggregateEU</w:t>
      </w:r>
      <w:r>
        <w:rPr>
          <w:rFonts w:ascii="Times New Roman" w:hAnsi="Times New Roman"/>
          <w:noProof/>
          <w:sz w:val="24"/>
        </w:rPr>
        <w:t xml:space="preserve"> va contribui la diversificarea surselor de import de energie, în timp ce </w:t>
      </w:r>
      <w:r>
        <w:rPr>
          <w:rFonts w:ascii="Times New Roman" w:hAnsi="Times New Roman"/>
          <w:b/>
          <w:noProof/>
          <w:sz w:val="24"/>
        </w:rPr>
        <w:t>reforma organizării pieței energiei electrice a UE</w:t>
      </w:r>
      <w:r>
        <w:rPr>
          <w:rFonts w:ascii="Times New Roman" w:hAnsi="Times New Roman"/>
          <w:noProof/>
          <w:sz w:val="24"/>
        </w:rPr>
        <w:t xml:space="preserve"> va accelera creșterea bruscă a surselor regenerabile de energie, diversificând astfel aprovizionarea cu energie și limitând dependențele. </w:t>
      </w:r>
    </w:p>
    <w:p w14:paraId="528E0261" w14:textId="4A5A9F3C" w:rsidR="00273AFF" w:rsidRPr="00524F3F" w:rsidRDefault="00273AFF" w:rsidP="2894E7F8">
      <w:pPr>
        <w:spacing w:line="240" w:lineRule="auto"/>
        <w:contextualSpacing/>
        <w:jc w:val="both"/>
        <w:rPr>
          <w:rFonts w:ascii="Times New Roman" w:eastAsia="Calibri" w:hAnsi="Times New Roman" w:cs="Times New Roman"/>
          <w:noProof/>
          <w:sz w:val="24"/>
          <w:szCs w:val="24"/>
          <w:lang w:eastAsia="en-GB"/>
        </w:rPr>
      </w:pPr>
    </w:p>
    <w:p w14:paraId="409CDAA2" w14:textId="793C3414" w:rsidR="00273AFF" w:rsidRPr="00524F3F" w:rsidRDefault="4EA3595F" w:rsidP="00CC5912">
      <w:pPr>
        <w:spacing w:line="240"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Viitoarea </w:t>
      </w:r>
      <w:r>
        <w:rPr>
          <w:rFonts w:ascii="Times New Roman" w:hAnsi="Times New Roman"/>
          <w:b/>
          <w:noProof/>
          <w:sz w:val="24"/>
        </w:rPr>
        <w:t>inițiativă</w:t>
      </w:r>
      <w:r>
        <w:rPr>
          <w:rFonts w:ascii="Times New Roman" w:hAnsi="Times New Roman"/>
          <w:noProof/>
          <w:sz w:val="24"/>
        </w:rPr>
        <w:t xml:space="preserve"> </w:t>
      </w:r>
      <w:r>
        <w:rPr>
          <w:rFonts w:ascii="Times New Roman" w:hAnsi="Times New Roman"/>
          <w:b/>
          <w:noProof/>
          <w:sz w:val="24"/>
        </w:rPr>
        <w:t xml:space="preserve">privind materialele avansate pentru poziția de lider în sectorul industrial </w:t>
      </w:r>
      <w:r>
        <w:rPr>
          <w:rFonts w:ascii="Times New Roman" w:hAnsi="Times New Roman"/>
          <w:noProof/>
          <w:sz w:val="24"/>
        </w:rPr>
        <w:t xml:space="preserve">va stimula producția și utilizarea de materiale inovatoare și durabile în UE. Viitoarea </w:t>
      </w:r>
      <w:r>
        <w:rPr>
          <w:rFonts w:ascii="Times New Roman" w:hAnsi="Times New Roman"/>
          <w:b/>
          <w:noProof/>
          <w:sz w:val="24"/>
        </w:rPr>
        <w:t>inițiativă a</w:t>
      </w:r>
      <w:r>
        <w:rPr>
          <w:rFonts w:ascii="Times New Roman" w:hAnsi="Times New Roman"/>
          <w:noProof/>
          <w:sz w:val="24"/>
        </w:rPr>
        <w:t xml:space="preserve"> </w:t>
      </w:r>
      <w:r>
        <w:rPr>
          <w:rFonts w:ascii="Times New Roman" w:hAnsi="Times New Roman"/>
          <w:b/>
          <w:noProof/>
          <w:sz w:val="24"/>
        </w:rPr>
        <w:t>UE privind biotehnologiile și producția biotehnologică</w:t>
      </w:r>
      <w:r>
        <w:rPr>
          <w:rFonts w:ascii="Times New Roman" w:hAnsi="Times New Roman"/>
          <w:noProof/>
          <w:sz w:val="24"/>
        </w:rPr>
        <w:t xml:space="preserve"> va promova competitivitatea în ceea ce privește această tehnologie critică. Va ține seama, printre altele, de rezultatele evaluării comune a riscurilor menționate anterior.</w:t>
      </w:r>
      <w:r w:rsidR="00432DE7">
        <w:rPr>
          <w:rFonts w:ascii="Times New Roman" w:hAnsi="Times New Roman"/>
          <w:noProof/>
          <w:sz w:val="24"/>
        </w:rPr>
        <w:t xml:space="preserve"> </w:t>
      </w:r>
      <w:r>
        <w:rPr>
          <w:rFonts w:ascii="Times New Roman" w:hAnsi="Times New Roman"/>
          <w:noProof/>
          <w:sz w:val="24"/>
        </w:rPr>
        <w:t xml:space="preserve">Reforma </w:t>
      </w:r>
      <w:r>
        <w:rPr>
          <w:rFonts w:ascii="Times New Roman" w:hAnsi="Times New Roman"/>
          <w:b/>
          <w:noProof/>
          <w:sz w:val="24"/>
        </w:rPr>
        <w:t>uniunii vamale a UE</w:t>
      </w:r>
      <w:r>
        <w:rPr>
          <w:rFonts w:ascii="Times New Roman" w:hAnsi="Times New Roman"/>
          <w:noProof/>
          <w:sz w:val="24"/>
        </w:rPr>
        <w:t>, propusă în mai 2023, va asigura faptul că autoritățile vamale dispun de instrumente și resurse pentru a evalua în mod corespunzător exporturile și pentru a opri importurile ilegale sau care prezintă riscuri reale pentru securitatea UE, a cetățenilor săi și a economiei sale.</w:t>
      </w:r>
    </w:p>
    <w:p w14:paraId="5882402D" w14:textId="77777777" w:rsidR="00542FD0" w:rsidRPr="00CC5912" w:rsidRDefault="00542FD0" w:rsidP="008D0FA9">
      <w:pPr>
        <w:spacing w:line="240" w:lineRule="auto"/>
        <w:contextualSpacing/>
        <w:jc w:val="both"/>
        <w:rPr>
          <w:rFonts w:ascii="Times New Roman" w:eastAsia="Times New Roman" w:hAnsi="Times New Roman" w:cs="Times New Roman"/>
          <w:noProof/>
          <w:sz w:val="24"/>
          <w:szCs w:val="24"/>
        </w:rPr>
      </w:pPr>
    </w:p>
    <w:p w14:paraId="083DC9D5" w14:textId="77777777" w:rsidR="00645B46" w:rsidRDefault="7A181A23" w:rsidP="2894E7F8">
      <w:pPr>
        <w:spacing w:line="240" w:lineRule="auto"/>
        <w:ind w:left="-20" w:right="-20"/>
        <w:jc w:val="both"/>
        <w:rPr>
          <w:rFonts w:ascii="Times New Roman" w:eastAsia="Times New Roman" w:hAnsi="Times New Roman" w:cs="Times New Roman"/>
          <w:noProof/>
          <w:sz w:val="24"/>
          <w:szCs w:val="24"/>
        </w:rPr>
      </w:pPr>
      <w:r>
        <w:rPr>
          <w:rFonts w:ascii="Times New Roman" w:hAnsi="Times New Roman"/>
          <w:b/>
          <w:noProof/>
          <w:sz w:val="24"/>
        </w:rPr>
        <w:t>De asemenea, se înregistrează progrese în ceea ce privește promovarea domeniilor tehnologice critice.</w:t>
      </w:r>
      <w:r>
        <w:rPr>
          <w:rFonts w:ascii="Times New Roman" w:hAnsi="Times New Roman"/>
          <w:noProof/>
          <w:sz w:val="24"/>
        </w:rPr>
        <w:t xml:space="preserve"> Programul de politică </w:t>
      </w:r>
      <w:r w:rsidRPr="001948C7">
        <w:rPr>
          <w:rFonts w:ascii="Times New Roman" w:hAnsi="Times New Roman"/>
          <w:bCs/>
          <w:noProof/>
          <w:sz w:val="24"/>
        </w:rPr>
        <w:t>privind</w:t>
      </w:r>
      <w:r>
        <w:rPr>
          <w:rFonts w:ascii="Times New Roman" w:hAnsi="Times New Roman"/>
          <w:b/>
          <w:noProof/>
          <w:sz w:val="24"/>
        </w:rPr>
        <w:t xml:space="preserve"> deceniul digital</w:t>
      </w:r>
      <w:r>
        <w:rPr>
          <w:rFonts w:ascii="Times New Roman" w:eastAsia="Times New Roman" w:hAnsi="Times New Roman" w:cs="Times New Roman"/>
          <w:noProof/>
          <w:sz w:val="24"/>
          <w:szCs w:val="24"/>
        </w:rPr>
        <w:footnoteReference w:id="14"/>
      </w:r>
      <w:r>
        <w:rPr>
          <w:rFonts w:ascii="Times New Roman" w:hAnsi="Times New Roman"/>
          <w:noProof/>
          <w:sz w:val="24"/>
        </w:rPr>
        <w:t xml:space="preserve"> a stabilit cadrul pentru încurajarea dezvoltării și implementării tehnologiilor și serviciilor digitale strategice europene. </w:t>
      </w:r>
      <w:r>
        <w:rPr>
          <w:rFonts w:ascii="Times New Roman" w:hAnsi="Times New Roman"/>
          <w:b/>
          <w:noProof/>
          <w:sz w:val="24"/>
        </w:rPr>
        <w:t>Regulamentul</w:t>
      </w:r>
      <w:r>
        <w:rPr>
          <w:rFonts w:ascii="Times New Roman" w:hAnsi="Times New Roman"/>
          <w:noProof/>
          <w:sz w:val="24"/>
        </w:rPr>
        <w:t xml:space="preserve"> </w:t>
      </w:r>
      <w:r>
        <w:rPr>
          <w:rFonts w:ascii="Times New Roman" w:hAnsi="Times New Roman"/>
          <w:b/>
          <w:noProof/>
          <w:sz w:val="24"/>
        </w:rPr>
        <w:t>UE privind reziliența cibernetică</w:t>
      </w:r>
      <w:r>
        <w:rPr>
          <w:rFonts w:ascii="Times New Roman" w:hAnsi="Times New Roman"/>
          <w:noProof/>
          <w:sz w:val="24"/>
        </w:rPr>
        <w:t xml:space="preserve"> va asigura faptul că produsele hardware și software, cum ar fi dispozitivele fără fir și cu fir, sunt mai sigure din punct de vedere cibernetic pentru utilizatorii comerciali și consumatorii din întreaga Uniune și vor permite o mai bună poziționare a industriei UE, aceasta având rolul de lider în ceea ce privește standardele conexe. </w:t>
      </w:r>
    </w:p>
    <w:p w14:paraId="215A161E" w14:textId="7FD25552" w:rsidR="21794982" w:rsidRPr="00CC5912" w:rsidRDefault="00651EA8" w:rsidP="2894E7F8">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Negocierile politice privind </w:t>
      </w:r>
      <w:r>
        <w:rPr>
          <w:rFonts w:ascii="Times New Roman" w:hAnsi="Times New Roman"/>
          <w:b/>
          <w:noProof/>
          <w:sz w:val="24"/>
        </w:rPr>
        <w:t>Platforma Tehnologii strategice pentru Europa (STEP)</w:t>
      </w:r>
      <w:r>
        <w:rPr>
          <w:rFonts w:ascii="Times New Roman" w:hAnsi="Times New Roman"/>
          <w:noProof/>
          <w:sz w:val="24"/>
        </w:rPr>
        <w:t xml:space="preserve"> sunt în desfășurare.</w:t>
      </w:r>
      <w:r>
        <w:rPr>
          <w:rFonts w:ascii="Times New Roman" w:hAnsi="Times New Roman"/>
          <w:b/>
          <w:noProof/>
          <w:sz w:val="24"/>
        </w:rPr>
        <w:t xml:space="preserve"> </w:t>
      </w:r>
      <w:r>
        <w:rPr>
          <w:rFonts w:ascii="Times New Roman" w:hAnsi="Times New Roman"/>
          <w:noProof/>
          <w:sz w:val="24"/>
        </w:rPr>
        <w:t xml:space="preserve">Odată adoptată, această platformă va mobiliza și va orienta instrumentele existente ale UE pentru a sprijini dezvoltarea producției de tehnologii critice în Uniune. </w:t>
      </w:r>
      <w:r>
        <w:rPr>
          <w:rFonts w:ascii="Times New Roman" w:hAnsi="Times New Roman"/>
          <w:b/>
          <w:noProof/>
          <w:sz w:val="24"/>
        </w:rPr>
        <w:t>Întreprinderea comună pentru cipuri</w:t>
      </w:r>
      <w:r>
        <w:rPr>
          <w:rFonts w:ascii="Times New Roman" w:hAnsi="Times New Roman"/>
          <w:noProof/>
          <w:sz w:val="24"/>
        </w:rPr>
        <w:t xml:space="preserve">, inaugurată la sfârșitul lunii noiembrie 2023, reduce decalajul dintre cercetare, inovare și implementare, în special printr-o finanțare în valoare de 1,67 miliarde EUR din partea UE pentru patru linii-pilot. </w:t>
      </w:r>
    </w:p>
    <w:p w14:paraId="46D18359" w14:textId="673C3CAB" w:rsidR="21794982" w:rsidRPr="00CC5912" w:rsidRDefault="00651EA8" w:rsidP="00CC5912">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Regulamentul UE privind inteligența artificială</w:t>
      </w:r>
      <w:r>
        <w:rPr>
          <w:rFonts w:ascii="Times New Roman" w:hAnsi="Times New Roman"/>
          <w:noProof/>
          <w:sz w:val="24"/>
        </w:rPr>
        <w:t>, care a fost convenit la nivel politic în decembrie 2023, va stimula investițiile și inovarea în întreaga UE, oferind întreprinderilor securitate juridică și creând încredere pentru consumatorii și întreprinderile care utilizează IA. Acest regulament va fi completat în curând de o inițiativă a Comisiei de consolidare a cooperării dintre întreprinderile nou-înființate din domeniul IA și capacitatea tot mai mare a UE în materie de supercalculatoare și de dezvoltare a ecosistemului de inovare în domeniul IA al UE. În plus, șapte state membre au aprobat ajutoare de stat în valoare de 1,2 miliarde EUR pentru un</w:t>
      </w:r>
      <w:r w:rsidR="001948C7">
        <w:rPr>
          <w:rFonts w:ascii="Times New Roman" w:hAnsi="Times New Roman"/>
          <w:noProof/>
          <w:sz w:val="24"/>
        </w:rPr>
        <w:t xml:space="preserve"> </w:t>
      </w:r>
      <w:r>
        <w:rPr>
          <w:rFonts w:ascii="Times New Roman" w:hAnsi="Times New Roman"/>
          <w:b/>
          <w:noProof/>
          <w:sz w:val="24"/>
        </w:rPr>
        <w:t xml:space="preserve">proiect important de interes european comun </w:t>
      </w:r>
      <w:r>
        <w:rPr>
          <w:rFonts w:ascii="Times New Roman" w:hAnsi="Times New Roman"/>
          <w:noProof/>
          <w:sz w:val="24"/>
        </w:rPr>
        <w:t xml:space="preserve">menit să sprijine cercetarea, dezvoltarea și prima implementare industrială a tehnologiilor avansate de </w:t>
      </w:r>
      <w:r>
        <w:rPr>
          <w:rFonts w:ascii="Times New Roman" w:hAnsi="Times New Roman"/>
          <w:i/>
          <w:noProof/>
          <w:sz w:val="24"/>
        </w:rPr>
        <w:t>cloud</w:t>
      </w:r>
      <w:r>
        <w:rPr>
          <w:rFonts w:ascii="Times New Roman" w:hAnsi="Times New Roman"/>
          <w:noProof/>
          <w:sz w:val="24"/>
        </w:rPr>
        <w:t xml:space="preserve"> și </w:t>
      </w:r>
      <w:r>
        <w:rPr>
          <w:rFonts w:ascii="Times New Roman" w:hAnsi="Times New Roman"/>
          <w:i/>
          <w:noProof/>
          <w:sz w:val="24"/>
        </w:rPr>
        <w:t>edge computing</w:t>
      </w:r>
      <w:r>
        <w:rPr>
          <w:rFonts w:ascii="Times New Roman" w:hAnsi="Times New Roman"/>
          <w:noProof/>
          <w:sz w:val="24"/>
        </w:rPr>
        <w:t xml:space="preserve"> în Europa. </w:t>
      </w:r>
      <w:r>
        <w:rPr>
          <w:rFonts w:ascii="Times New Roman" w:hAnsi="Times New Roman"/>
          <w:b/>
          <w:noProof/>
          <w:sz w:val="24"/>
        </w:rPr>
        <w:t>Întreprinderea comună „Rețele și servicii inteligente”</w:t>
      </w:r>
      <w:r>
        <w:rPr>
          <w:rFonts w:ascii="Times New Roman" w:hAnsi="Times New Roman"/>
          <w:noProof/>
          <w:sz w:val="24"/>
        </w:rPr>
        <w:t>, care a devenit operațională în 2022, promovează alinierea cu statele membre în ceea ce privește cercetarea și inovarea 6G, precum și implementarea rețelelor 5G avansate.</w:t>
      </w:r>
    </w:p>
    <w:p w14:paraId="360908EA" w14:textId="3FA7B660" w:rsidR="00F42B24" w:rsidRPr="00CC5912" w:rsidRDefault="586BF6D6" w:rsidP="46B66E47">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Ca parte a pilonului de „</w:t>
      </w:r>
      <w:r>
        <w:rPr>
          <w:rFonts w:ascii="Times New Roman" w:hAnsi="Times New Roman"/>
          <w:b/>
          <w:noProof/>
          <w:sz w:val="24"/>
        </w:rPr>
        <w:t>creare de parteneriate</w:t>
      </w:r>
      <w:r>
        <w:rPr>
          <w:rFonts w:ascii="Times New Roman" w:hAnsi="Times New Roman"/>
          <w:noProof/>
          <w:sz w:val="24"/>
        </w:rPr>
        <w:t xml:space="preserve">”, </w:t>
      </w:r>
      <w:r>
        <w:rPr>
          <w:rFonts w:ascii="Times New Roman" w:hAnsi="Times New Roman"/>
          <w:b/>
          <w:noProof/>
          <w:sz w:val="24"/>
        </w:rPr>
        <w:t>UE a continuat să își consolideze angajamentul asumat cu partenerii internaționali pentru a promova interesele comune în materie de securitate economică</w:t>
      </w:r>
      <w:r>
        <w:rPr>
          <w:rFonts w:ascii="Times New Roman" w:hAnsi="Times New Roman"/>
          <w:noProof/>
          <w:sz w:val="24"/>
        </w:rPr>
        <w:t>.</w:t>
      </w:r>
      <w:r w:rsidR="00432DE7">
        <w:rPr>
          <w:rFonts w:ascii="Times New Roman" w:hAnsi="Times New Roman"/>
          <w:noProof/>
          <w:sz w:val="24"/>
        </w:rPr>
        <w:t xml:space="preserve"> </w:t>
      </w:r>
      <w:r>
        <w:rPr>
          <w:rFonts w:ascii="Times New Roman" w:hAnsi="Times New Roman"/>
          <w:noProof/>
          <w:sz w:val="24"/>
        </w:rPr>
        <w:t xml:space="preserve">Această cooperare variază de la asigurarea accesului la materii prime la înțelegerea lanțurilor de aprovizionare critice, stabilirea cooperării privind tehnologiile emergente în domenii-cheie și reforma Organizației Mondiale a Comerțului. </w:t>
      </w:r>
    </w:p>
    <w:p w14:paraId="490870BC" w14:textId="0370AB16" w:rsidR="6C0B4140" w:rsidRPr="000C1D88" w:rsidRDefault="6C0B4140" w:rsidP="6C0B4140">
      <w:pPr>
        <w:spacing w:after="0" w:line="240" w:lineRule="auto"/>
        <w:jc w:val="both"/>
        <w:rPr>
          <w:rFonts w:ascii="Times New Roman" w:eastAsia="Times New Roman" w:hAnsi="Times New Roman" w:cs="Times New Roman"/>
          <w:noProof/>
          <w:sz w:val="24"/>
          <w:szCs w:val="24"/>
        </w:rPr>
      </w:pPr>
    </w:p>
    <w:p w14:paraId="558B0F9B" w14:textId="36CE8FE0" w:rsidR="00F42B24" w:rsidRPr="00CC5912" w:rsidRDefault="5B3F29E0" w:rsidP="00CC5912">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În 2023, UE a semnat </w:t>
      </w:r>
      <w:r>
        <w:rPr>
          <w:rFonts w:ascii="Times New Roman" w:hAnsi="Times New Roman"/>
          <w:b/>
          <w:noProof/>
          <w:sz w:val="24"/>
        </w:rPr>
        <w:t xml:space="preserve">acorduri de liber schimb </w:t>
      </w:r>
      <w:r>
        <w:rPr>
          <w:rFonts w:ascii="Times New Roman" w:hAnsi="Times New Roman"/>
          <w:noProof/>
          <w:sz w:val="24"/>
        </w:rPr>
        <w:t>cu Noua Zeelandă, Chile și Kenya, precum și primul acord de facilitare a investițiilor durabile (AFID) cu Angola și a finalizat negocierile referitoare la un acord cu Japonia privind fluxurile transfrontaliere de date.</w:t>
      </w:r>
    </w:p>
    <w:p w14:paraId="0EF85F00" w14:textId="16E63A72" w:rsidR="00542FD0" w:rsidRPr="00CC5912" w:rsidRDefault="00CC5912" w:rsidP="01F95A17">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S-au depus în continuare eforturi în cadrul </w:t>
      </w:r>
      <w:r>
        <w:rPr>
          <w:rFonts w:ascii="Times New Roman" w:hAnsi="Times New Roman"/>
          <w:b/>
          <w:noProof/>
          <w:sz w:val="24"/>
        </w:rPr>
        <w:t xml:space="preserve">Platformei de coordonare a G7 privind constrângerea economică </w:t>
      </w:r>
      <w:r>
        <w:rPr>
          <w:rFonts w:ascii="Times New Roman" w:hAnsi="Times New Roman"/>
          <w:noProof/>
          <w:sz w:val="24"/>
        </w:rPr>
        <w:t xml:space="preserve">pentru a face schimb de informații și a coordona mai bine acțiunile de combatere a utilizării ca armă a comerțului și a constrângerii economice. Grupul de lucru al </w:t>
      </w:r>
      <w:r>
        <w:rPr>
          <w:rFonts w:ascii="Times New Roman" w:hAnsi="Times New Roman"/>
          <w:b/>
          <w:noProof/>
          <w:sz w:val="24"/>
        </w:rPr>
        <w:t>G7 privind securitatea și integritatea ecosistemului mondial de cercetare</w:t>
      </w:r>
      <w:r>
        <w:rPr>
          <w:rFonts w:ascii="Times New Roman" w:hAnsi="Times New Roman"/>
          <w:noProof/>
          <w:sz w:val="24"/>
        </w:rPr>
        <w:t xml:space="preserve"> a publicat cele mai bune practici în noiembrie 2023 și a înființat o academie virtuală pentru a inspira alte activități. Parteneriatul inițiat de G7 pentru </w:t>
      </w:r>
      <w:r>
        <w:rPr>
          <w:rFonts w:ascii="Times New Roman" w:hAnsi="Times New Roman"/>
          <w:b/>
          <w:noProof/>
          <w:sz w:val="24"/>
        </w:rPr>
        <w:t>o consolidare rezilientă și favorabilă incluziunii a lanțului</w:t>
      </w:r>
      <w:r>
        <w:rPr>
          <w:rFonts w:ascii="Times New Roman" w:hAnsi="Times New Roman"/>
          <w:noProof/>
          <w:sz w:val="24"/>
        </w:rPr>
        <w:t xml:space="preserve"> </w:t>
      </w:r>
      <w:r>
        <w:rPr>
          <w:rFonts w:ascii="Times New Roman" w:hAnsi="Times New Roman"/>
          <w:b/>
          <w:noProof/>
          <w:sz w:val="24"/>
        </w:rPr>
        <w:t>de aprovizionare</w:t>
      </w:r>
      <w:r>
        <w:rPr>
          <w:rFonts w:ascii="Times New Roman" w:hAnsi="Times New Roman"/>
          <w:noProof/>
          <w:sz w:val="24"/>
        </w:rPr>
        <w:t xml:space="preserve"> (RISE) urmărește să sprijine țările cu venituri mici și medii să joace un rol mai important în industriile producătoare de minerale și de energie curată la nivel mondial. </w:t>
      </w:r>
    </w:p>
    <w:p w14:paraId="452C27C7" w14:textId="1285ACBD" w:rsidR="00542FD0" w:rsidRDefault="00577313" w:rsidP="3C832B9F">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eastAsia="MS Gothic" w:hAnsi="Times New Roman"/>
          <w:noProof/>
          <w:sz w:val="24"/>
          <w:szCs w:val="24"/>
        </w:rPr>
      </w:pPr>
      <w:r>
        <w:rPr>
          <w:rFonts w:ascii="Times New Roman" w:hAnsi="Times New Roman"/>
          <w:noProof/>
          <w:sz w:val="24"/>
        </w:rPr>
        <w:t xml:space="preserve">Rezultatul </w:t>
      </w:r>
      <w:r>
        <w:rPr>
          <w:rFonts w:ascii="Times New Roman" w:hAnsi="Times New Roman"/>
          <w:b/>
          <w:noProof/>
          <w:sz w:val="24"/>
        </w:rPr>
        <w:t>summitului UE-SUA</w:t>
      </w:r>
      <w:r>
        <w:rPr>
          <w:rFonts w:ascii="Times New Roman" w:hAnsi="Times New Roman"/>
          <w:noProof/>
          <w:sz w:val="24"/>
        </w:rPr>
        <w:t xml:space="preserve"> din octombrie 2023 subliniază interesul comun de a reduce dependențele excesive, de a combate practicile necomerciale, de a răspunde constrângerii economice, de a aborda riscurile care decurg din investițiile în interior și în exterior și de a consolida reziliența lanțului de aprovizionare; acest rezultat urmează să fie prezentat în cadrul Consiliului pentru comerț și tehnologie. UE și </w:t>
      </w:r>
      <w:r>
        <w:rPr>
          <w:rFonts w:ascii="Times New Roman" w:hAnsi="Times New Roman"/>
          <w:b/>
          <w:noProof/>
          <w:sz w:val="24"/>
        </w:rPr>
        <w:t>Canada</w:t>
      </w:r>
      <w:r>
        <w:rPr>
          <w:rFonts w:ascii="Times New Roman" w:hAnsi="Times New Roman"/>
          <w:noProof/>
          <w:sz w:val="24"/>
        </w:rPr>
        <w:t xml:space="preserve"> au convenit, de asemenea, în cadrul summitului din noiembrie 2023, să organizeze dialoguri periodice privind securitatea economică. De asemenea, UE și </w:t>
      </w:r>
      <w:r>
        <w:rPr>
          <w:rFonts w:ascii="Times New Roman" w:hAnsi="Times New Roman"/>
          <w:b/>
          <w:noProof/>
          <w:sz w:val="24"/>
        </w:rPr>
        <w:t>Republica Coreea</w:t>
      </w:r>
      <w:r>
        <w:rPr>
          <w:rFonts w:ascii="Times New Roman" w:hAnsi="Times New Roman"/>
          <w:noProof/>
          <w:sz w:val="24"/>
        </w:rPr>
        <w:t xml:space="preserve"> au convenit în mai 2023 să consolideze dialogul privind securitatea economică. Se menține și o cooperare strânsă în materie de securitate economică cu </w:t>
      </w:r>
      <w:r>
        <w:rPr>
          <w:rFonts w:ascii="Times New Roman" w:hAnsi="Times New Roman"/>
          <w:b/>
          <w:noProof/>
          <w:sz w:val="24"/>
        </w:rPr>
        <w:t>Japonia</w:t>
      </w:r>
      <w:r>
        <w:rPr>
          <w:rFonts w:ascii="Times New Roman" w:hAnsi="Times New Roman"/>
          <w:noProof/>
          <w:sz w:val="24"/>
        </w:rPr>
        <w:t xml:space="preserve"> și </w:t>
      </w:r>
      <w:r>
        <w:rPr>
          <w:rFonts w:ascii="Times New Roman" w:hAnsi="Times New Roman"/>
          <w:b/>
          <w:noProof/>
          <w:sz w:val="24"/>
        </w:rPr>
        <w:t>India</w:t>
      </w:r>
      <w:r>
        <w:rPr>
          <w:rFonts w:ascii="Times New Roman" w:hAnsi="Times New Roman"/>
          <w:noProof/>
          <w:sz w:val="24"/>
        </w:rPr>
        <w:t>.</w:t>
      </w:r>
      <w:r w:rsidR="00432DE7">
        <w:rPr>
          <w:rFonts w:ascii="Times New Roman" w:hAnsi="Times New Roman"/>
          <w:noProof/>
          <w:sz w:val="24"/>
        </w:rPr>
        <w:t xml:space="preserve"> </w:t>
      </w:r>
    </w:p>
    <w:p w14:paraId="61EB8770" w14:textId="77777777" w:rsidR="00FA1CF6" w:rsidRDefault="00FA1CF6" w:rsidP="00FA1CF6">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eastAsia="MS Gothic" w:hAnsi="Times New Roman"/>
          <w:noProof/>
          <w:sz w:val="24"/>
          <w:szCs w:val="24"/>
        </w:rPr>
      </w:pPr>
      <w:r>
        <w:rPr>
          <w:rFonts w:ascii="Times New Roman" w:hAnsi="Times New Roman"/>
          <w:noProof/>
          <w:sz w:val="24"/>
        </w:rPr>
        <w:t xml:space="preserve">Reflecțiile privind modalitățile de îmbunătățire a securității economice și a rezilienței UE și a partenerilor săi au fost, de asemenea, integrate în implementarea </w:t>
      </w:r>
      <w:r>
        <w:rPr>
          <w:rFonts w:ascii="Times New Roman" w:hAnsi="Times New Roman"/>
          <w:b/>
          <w:noProof/>
          <w:sz w:val="24"/>
        </w:rPr>
        <w:t>inițiativei „Global Gateway”</w:t>
      </w:r>
      <w:r>
        <w:rPr>
          <w:rFonts w:ascii="Times New Roman" w:hAnsi="Times New Roman"/>
          <w:noProof/>
          <w:sz w:val="24"/>
        </w:rPr>
        <w:t xml:space="preserve">, care mobilizează până la 300 de miliarde EUR sub formă de investiții reciproc avantajoase pentru dezvoltarea durabilă pe piețele emergente și în țările în curs de dezvoltare. </w:t>
      </w:r>
      <w:r>
        <w:rPr>
          <w:rFonts w:ascii="Times New Roman" w:hAnsi="Times New Roman"/>
          <w:b/>
          <w:noProof/>
          <w:sz w:val="24"/>
        </w:rPr>
        <w:t xml:space="preserve">Parteneriatele </w:t>
      </w:r>
      <w:r w:rsidRPr="001948C7">
        <w:rPr>
          <w:rFonts w:ascii="Times New Roman" w:hAnsi="Times New Roman"/>
          <w:bCs/>
          <w:noProof/>
          <w:sz w:val="24"/>
        </w:rPr>
        <w:t>durabile</w:t>
      </w:r>
      <w:r>
        <w:rPr>
          <w:rFonts w:ascii="Times New Roman" w:hAnsi="Times New Roman"/>
          <w:b/>
          <w:noProof/>
          <w:sz w:val="24"/>
        </w:rPr>
        <w:t xml:space="preserve"> privind materiile prime</w:t>
      </w:r>
      <w:r>
        <w:rPr>
          <w:rFonts w:ascii="Times New Roman" w:hAnsi="Times New Roman"/>
          <w:noProof/>
          <w:sz w:val="24"/>
        </w:rPr>
        <w:t xml:space="preserve"> critice cu șapte țări de pe trei continente, printre care Chile, Republica Democratică Congo și Kazahstan, precum și </w:t>
      </w:r>
      <w:r>
        <w:rPr>
          <w:rFonts w:ascii="Times New Roman" w:hAnsi="Times New Roman"/>
          <w:b/>
          <w:noProof/>
          <w:sz w:val="24"/>
        </w:rPr>
        <w:t>pachetele privind economia digitală</w:t>
      </w:r>
      <w:r>
        <w:rPr>
          <w:rFonts w:ascii="Times New Roman" w:hAnsi="Times New Roman"/>
          <w:noProof/>
          <w:sz w:val="24"/>
        </w:rPr>
        <w:t xml:space="preserve"> cu Columbia, Nigeria, Kenya și Filipine sunt exemple de parteneriate pe care UE le-a încheiat deja în contextul inițiativei „Global Gateway”. Acestea contribuie la securitatea economică a partenerilor, promovând în același timp interesele strategice ale UE. </w:t>
      </w:r>
    </w:p>
    <w:p w14:paraId="37203CB9" w14:textId="1849CA88" w:rsidR="09FA4A29" w:rsidRPr="00FA1CF6" w:rsidRDefault="7C84DE6F" w:rsidP="00FA1CF6">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UE continuă să fie un susținător ferm al unei </w:t>
      </w:r>
      <w:r>
        <w:rPr>
          <w:rFonts w:ascii="Times New Roman" w:hAnsi="Times New Roman"/>
          <w:b/>
          <w:noProof/>
          <w:sz w:val="24"/>
        </w:rPr>
        <w:t>reforme ample a Organizației Mondiale a Vămilor</w:t>
      </w:r>
      <w:r>
        <w:rPr>
          <w:rFonts w:ascii="Times New Roman" w:hAnsi="Times New Roman"/>
          <w:noProof/>
          <w:sz w:val="24"/>
        </w:rPr>
        <w:t xml:space="preserve"> pentru a aborda mai eficient evoluțiile din comerțul internațional.</w:t>
      </w:r>
    </w:p>
    <w:p w14:paraId="61543D81" w14:textId="4285F662" w:rsidR="00056CFD" w:rsidRDefault="05C61822" w:rsidP="2894E7F8">
      <w:pPr>
        <w:pStyle w:val="Speakingbullets"/>
        <w:numPr>
          <w:ilvl w:val="0"/>
          <w:numId w:val="0"/>
        </w:numPr>
        <w:pBdr>
          <w:top w:val="none" w:sz="0" w:space="0" w:color="auto"/>
          <w:left w:val="none" w:sz="0" w:space="0" w:color="auto"/>
          <w:bottom w:val="none" w:sz="0" w:space="0" w:color="auto"/>
          <w:right w:val="none" w:sz="0" w:space="0" w:color="auto"/>
        </w:pBdr>
        <w:shd w:val="clear" w:color="auto" w:fill="auto"/>
        <w:rPr>
          <w:rFonts w:ascii="Times New Roman" w:hAnsi="Times New Roman"/>
          <w:noProof/>
          <w:sz w:val="24"/>
          <w:szCs w:val="24"/>
        </w:rPr>
      </w:pPr>
      <w:r>
        <w:rPr>
          <w:rFonts w:ascii="Times New Roman" w:hAnsi="Times New Roman"/>
          <w:noProof/>
          <w:sz w:val="24"/>
        </w:rPr>
        <w:t>De asemenea, UE colaborează cu un număr mare de țări în</w:t>
      </w:r>
      <w:r>
        <w:rPr>
          <w:rFonts w:ascii="Times New Roman" w:hAnsi="Times New Roman"/>
          <w:b/>
          <w:noProof/>
          <w:sz w:val="24"/>
        </w:rPr>
        <w:t xml:space="preserve"> domeniul cercetării și inovării</w:t>
      </w:r>
      <w:r>
        <w:rPr>
          <w:rFonts w:ascii="Times New Roman" w:hAnsi="Times New Roman"/>
          <w:noProof/>
          <w:sz w:val="24"/>
        </w:rPr>
        <w:t>, în special prin facilitarea unui dialog multilateral privind valorile și principiile cooperării științifice internaționale, care va constitui tema conferinței ministeriale internaționale pe care o va găzdui în februarie 2024. Comisia va intensifica și dialogurile privind preocupările legate de securitatea economică cu țările terțe asociate la programul Orizont Europa</w:t>
      </w:r>
      <w:r>
        <w:rPr>
          <w:rStyle w:val="FootnoteReference"/>
          <w:rFonts w:ascii="Times New Roman" w:hAnsi="Times New Roman"/>
          <w:noProof/>
          <w:sz w:val="24"/>
          <w:szCs w:val="24"/>
          <w:lang w:val="en-US"/>
        </w:rPr>
        <w:footnoteReference w:id="15"/>
      </w:r>
      <w:r w:rsidRPr="000C1D88">
        <w:rPr>
          <w:rStyle w:val="FootnoteReference"/>
          <w:rFonts w:ascii="Times New Roman" w:hAnsi="Times New Roman"/>
          <w:noProof/>
          <w:sz w:val="24"/>
          <w:szCs w:val="24"/>
          <w:lang w:val="fr-BE"/>
        </w:rPr>
        <w:t xml:space="preserve">, </w:t>
      </w:r>
      <w:r>
        <w:rPr>
          <w:rStyle w:val="FootnoteReference"/>
          <w:rFonts w:ascii="Times New Roman" w:hAnsi="Times New Roman"/>
          <w:noProof/>
          <w:sz w:val="24"/>
        </w:rPr>
        <w:t xml:space="preserve">, </w:t>
      </w:r>
      <w:r>
        <w:rPr>
          <w:rFonts w:ascii="Times New Roman" w:hAnsi="Times New Roman"/>
          <w:noProof/>
          <w:sz w:val="24"/>
        </w:rPr>
        <w:t>precum Regatul Unit, Canada sau Noua Zeelandă</w:t>
      </w:r>
      <w:bookmarkEnd w:id="2"/>
      <w:r>
        <w:rPr>
          <w:rFonts w:ascii="Times New Roman" w:hAnsi="Times New Roman"/>
          <w:noProof/>
          <w:sz w:val="24"/>
        </w:rPr>
        <w:t>.</w:t>
      </w:r>
    </w:p>
    <w:p w14:paraId="195A3E18" w14:textId="55523F90" w:rsidR="00C36FA1" w:rsidRDefault="00C36FA1" w:rsidP="00056CFD">
      <w:pPr>
        <w:pStyle w:val="ListParagraph"/>
        <w:numPr>
          <w:ilvl w:val="0"/>
          <w:numId w:val="15"/>
        </w:numPr>
        <w:jc w:val="both"/>
        <w:rPr>
          <w:rFonts w:ascii="Times New Roman" w:hAnsi="Times New Roman" w:cs="Times New Roman"/>
          <w:b/>
          <w:bCs/>
          <w:noProof/>
          <w:sz w:val="24"/>
          <w:szCs w:val="24"/>
        </w:rPr>
      </w:pPr>
      <w:r>
        <w:rPr>
          <w:rFonts w:ascii="Times New Roman" w:hAnsi="Times New Roman"/>
          <w:b/>
          <w:noProof/>
          <w:sz w:val="24"/>
        </w:rPr>
        <w:t>Concluzie</w:t>
      </w:r>
    </w:p>
    <w:p w14:paraId="6257FF12" w14:textId="77777777" w:rsidR="009E2977" w:rsidRPr="00056CFD" w:rsidRDefault="009E2977" w:rsidP="009E2977">
      <w:pPr>
        <w:pStyle w:val="ListParagraph"/>
        <w:jc w:val="both"/>
        <w:rPr>
          <w:rFonts w:ascii="Times New Roman" w:hAnsi="Times New Roman" w:cs="Times New Roman"/>
          <w:b/>
          <w:bCs/>
          <w:noProof/>
          <w:sz w:val="24"/>
          <w:szCs w:val="24"/>
        </w:rPr>
      </w:pPr>
    </w:p>
    <w:p w14:paraId="462EC068" w14:textId="42473E18" w:rsidR="00505E55" w:rsidRDefault="00E264F6" w:rsidP="00273AFF">
      <w:pPr>
        <w:spacing w:line="240" w:lineRule="auto"/>
        <w:jc w:val="both"/>
        <w:rPr>
          <w:rFonts w:ascii="Times New Roman" w:hAnsi="Times New Roman" w:cs="Times New Roman"/>
          <w:noProof/>
          <w:sz w:val="24"/>
          <w:szCs w:val="24"/>
        </w:rPr>
      </w:pPr>
      <w:r>
        <w:rPr>
          <w:rFonts w:ascii="Times New Roman" w:hAnsi="Times New Roman"/>
          <w:noProof/>
          <w:sz w:val="24"/>
        </w:rPr>
        <w:t xml:space="preserve">Pachetul de propuneri și inițiative prevăzut în prezenta comunicare reprezintă un pas înainte în punerea în aplicare a Strategiei europene pentru securitate economică. </w:t>
      </w:r>
    </w:p>
    <w:p w14:paraId="456BBF05" w14:textId="44EEC05C" w:rsidR="00CC5912" w:rsidRDefault="5EC89F54" w:rsidP="00E264F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Pachetul prezintă o abordare cuprinzătoare pentru consolidarea setului de instrumente al UE în scopul de a atenua riscurile legate de investițiile străine în UE, de investițiile în exterior, de produsele cu dublă utilizare și pentru consolidarea securității cercetării. Această consolidare este esențială pentru a permite UE și statelor membre să abordeze în mod sistematic riscurile identificate în evaluările în curs ale riscurilor legate de lanțurile de aprovizionare, tehnologii, infrastructuri și constrângerea economică.</w:t>
      </w:r>
    </w:p>
    <w:p w14:paraId="4F5D4F5A" w14:textId="40D4979B" w:rsidR="00E264F6" w:rsidRDefault="00E264F6" w:rsidP="00E264F6">
      <w:pPr>
        <w:spacing w:line="240" w:lineRule="auto"/>
        <w:jc w:val="both"/>
        <w:rPr>
          <w:rFonts w:ascii="Times New Roman" w:hAnsi="Times New Roman" w:cs="Times New Roman"/>
          <w:noProof/>
          <w:sz w:val="24"/>
          <w:szCs w:val="24"/>
        </w:rPr>
      </w:pPr>
      <w:r>
        <w:rPr>
          <w:rFonts w:ascii="Times New Roman" w:hAnsi="Times New Roman"/>
          <w:noProof/>
          <w:sz w:val="24"/>
        </w:rPr>
        <w:t xml:space="preserve">Comisia invită statele membre, Parlamentul European și Consiliul, în concordanță cu competențele lor respective, să ia în considerare aceste propuneri și inițiative și să le dea curs în mod corespunzător, în strânsă cooperare cu Comisia. Având în vedere mediul geopolitic, precum și oportunitățile și riscurile pe care acesta le generează, va fi necesar să se acționeze într-un ritm constant. </w:t>
      </w:r>
    </w:p>
    <w:p w14:paraId="154342C0" w14:textId="60CE07C9" w:rsidR="00E264F6" w:rsidRPr="00056CFD" w:rsidRDefault="00E264F6" w:rsidP="00E264F6">
      <w:pPr>
        <w:spacing w:line="240" w:lineRule="auto"/>
        <w:jc w:val="both"/>
        <w:rPr>
          <w:rFonts w:ascii="Times New Roman" w:hAnsi="Times New Roman" w:cs="Times New Roman"/>
          <w:b/>
          <w:bCs/>
          <w:noProof/>
          <w:sz w:val="24"/>
          <w:szCs w:val="24"/>
        </w:rPr>
      </w:pPr>
      <w:r>
        <w:rPr>
          <w:rFonts w:ascii="Times New Roman" w:hAnsi="Times New Roman"/>
          <w:noProof/>
          <w:sz w:val="24"/>
        </w:rPr>
        <w:t>Punerea în aplicare a Strategiei europene pentru securitate economică este un proces continuu, bazat pe o analiză aprofundată a riscurilor, care conduce la adoptarea unor măsuri specifice de abordare a riscurilor, ținând seama de caracterul evolutiv al mediului de risc.</w:t>
      </w:r>
      <w:r>
        <w:rPr>
          <w:rFonts w:ascii="Times New Roman" w:hAnsi="Times New Roman"/>
          <w:noProof/>
          <w:color w:val="000000" w:themeColor="text1"/>
          <w:sz w:val="24"/>
        </w:rPr>
        <w:t xml:space="preserve"> Prin urmare, Comisia va propune în timp util și, după caz, în coordonare cu Înaltul Reprezentant, noi inițiative pentru punerea în aplicare a strategiei.</w:t>
      </w:r>
    </w:p>
    <w:sectPr w:rsidR="00E264F6" w:rsidRPr="00056CFD" w:rsidSect="007C532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C10D3" w14:textId="77777777" w:rsidR="00B810B8" w:rsidRDefault="00B810B8">
      <w:pPr>
        <w:spacing w:after="0" w:line="240" w:lineRule="auto"/>
      </w:pPr>
      <w:r>
        <w:separator/>
      </w:r>
    </w:p>
  </w:endnote>
  <w:endnote w:type="continuationSeparator" w:id="0">
    <w:p w14:paraId="2584B13C" w14:textId="77777777" w:rsidR="00B810B8" w:rsidRDefault="00B810B8">
      <w:pPr>
        <w:spacing w:after="0" w:line="240" w:lineRule="auto"/>
      </w:pPr>
      <w:r>
        <w:continuationSeparator/>
      </w:r>
    </w:p>
  </w:endnote>
  <w:endnote w:type="continuationNotice" w:id="1">
    <w:p w14:paraId="28760E6F" w14:textId="77777777" w:rsidR="00B810B8" w:rsidRDefault="00B81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CC240" w14:textId="18775D12" w:rsidR="00DA10D7" w:rsidRPr="00DA10D7" w:rsidRDefault="00DA10D7" w:rsidP="00DA10D7">
    <w:pPr>
      <w:pStyle w:val="FooterCoverPage"/>
      <w:rPr>
        <w:rFonts w:ascii="Arial" w:hAnsi="Arial" w:cs="Arial"/>
        <w:b/>
        <w:sz w:val="48"/>
      </w:rPr>
    </w:pPr>
    <w:r w:rsidRPr="00DA10D7">
      <w:rPr>
        <w:rFonts w:ascii="Arial" w:hAnsi="Arial" w:cs="Arial"/>
        <w:b/>
        <w:sz w:val="48"/>
      </w:rPr>
      <w:t>RO</w:t>
    </w:r>
    <w:r w:rsidRPr="00DA10D7">
      <w:rPr>
        <w:rFonts w:ascii="Arial" w:hAnsi="Arial" w:cs="Arial"/>
        <w:b/>
        <w:sz w:val="48"/>
      </w:rPr>
      <w:tab/>
    </w:r>
    <w:r w:rsidRPr="00DA10D7">
      <w:rPr>
        <w:rFonts w:ascii="Arial" w:hAnsi="Arial" w:cs="Arial"/>
        <w:b/>
        <w:sz w:val="48"/>
      </w:rPr>
      <w:tab/>
    </w:r>
    <w:r w:rsidRPr="00DA10D7">
      <w:tab/>
    </w:r>
    <w:r w:rsidRPr="00DA10D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A9577" w14:textId="2AF4DBDA" w:rsidR="00DA10D7" w:rsidRPr="00DA10D7" w:rsidRDefault="00DA10D7" w:rsidP="00DA10D7">
    <w:pPr>
      <w:pStyle w:val="FooterCoverPage"/>
      <w:rPr>
        <w:rFonts w:ascii="Arial" w:hAnsi="Arial" w:cs="Arial"/>
        <w:b/>
        <w:sz w:val="48"/>
      </w:rPr>
    </w:pPr>
    <w:r w:rsidRPr="00DA10D7">
      <w:rPr>
        <w:rFonts w:ascii="Arial" w:hAnsi="Arial" w:cs="Arial"/>
        <w:b/>
        <w:sz w:val="48"/>
      </w:rPr>
      <w:t>RO</w:t>
    </w:r>
    <w:r w:rsidRPr="00DA10D7">
      <w:rPr>
        <w:rFonts w:ascii="Arial" w:hAnsi="Arial" w:cs="Arial"/>
        <w:b/>
        <w:sz w:val="48"/>
      </w:rPr>
      <w:tab/>
    </w:r>
    <w:r w:rsidRPr="00DA10D7">
      <w:rPr>
        <w:rFonts w:ascii="Arial" w:hAnsi="Arial" w:cs="Arial"/>
        <w:b/>
        <w:sz w:val="48"/>
      </w:rPr>
      <w:tab/>
    </w:r>
    <w:r w:rsidRPr="00DA10D7">
      <w:tab/>
    </w:r>
    <w:r w:rsidRPr="00DA10D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68FC9" w14:textId="77777777" w:rsidR="00DA10D7" w:rsidRPr="00DA10D7" w:rsidRDefault="00DA10D7" w:rsidP="00DA10D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F842A" w14:textId="77777777" w:rsidR="007C532C" w:rsidRDefault="007C53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957084"/>
      <w:docPartObj>
        <w:docPartGallery w:val="Page Numbers (Bottom of Page)"/>
        <w:docPartUnique/>
      </w:docPartObj>
    </w:sdtPr>
    <w:sdtEndPr>
      <w:rPr>
        <w:noProof/>
      </w:rPr>
    </w:sdtEndPr>
    <w:sdtContent>
      <w:p w14:paraId="2D03BE2D" w14:textId="65D21F48" w:rsidR="0027343C" w:rsidRDefault="0027343C">
        <w:pPr>
          <w:pStyle w:val="Footer"/>
          <w:jc w:val="center"/>
        </w:pPr>
        <w:r>
          <w:fldChar w:fldCharType="begin"/>
        </w:r>
        <w:r>
          <w:instrText xml:space="preserve"> PAGE   \* MERGEFORMAT </w:instrText>
        </w:r>
        <w:r>
          <w:fldChar w:fldCharType="separate"/>
        </w:r>
        <w:r w:rsidR="00DA10D7">
          <w:rPr>
            <w:noProof/>
          </w:rPr>
          <w:t>1</w:t>
        </w:r>
        <w:r>
          <w:fldChar w:fldCharType="end"/>
        </w:r>
      </w:p>
    </w:sdtContent>
  </w:sdt>
  <w:p w14:paraId="7EEDF6B3" w14:textId="77777777" w:rsidR="007C532C" w:rsidRDefault="007C532C" w:rsidP="005773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AEEBF" w14:textId="77777777" w:rsidR="007C532C" w:rsidRDefault="007C53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2F2C8C" w14:textId="77777777" w:rsidR="00B810B8" w:rsidRDefault="00B810B8">
      <w:pPr>
        <w:spacing w:after="0" w:line="240" w:lineRule="auto"/>
      </w:pPr>
      <w:r>
        <w:separator/>
      </w:r>
    </w:p>
  </w:footnote>
  <w:footnote w:type="continuationSeparator" w:id="0">
    <w:p w14:paraId="67A934A4" w14:textId="77777777" w:rsidR="00B810B8" w:rsidRDefault="00B810B8">
      <w:pPr>
        <w:spacing w:after="0" w:line="240" w:lineRule="auto"/>
      </w:pPr>
      <w:r>
        <w:continuationSeparator/>
      </w:r>
    </w:p>
  </w:footnote>
  <w:footnote w:type="continuationNotice" w:id="1">
    <w:p w14:paraId="2420C504" w14:textId="77777777" w:rsidR="00B810B8" w:rsidRDefault="00B810B8">
      <w:pPr>
        <w:spacing w:after="0" w:line="240" w:lineRule="auto"/>
      </w:pPr>
    </w:p>
  </w:footnote>
  <w:footnote w:id="2">
    <w:p w14:paraId="33A1BE10" w14:textId="36C8DB11" w:rsidR="00D82419" w:rsidRPr="00DC7ACC" w:rsidRDefault="00D824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Comunicare comună a Comisiei Europene și a Înaltului Reprezentant al Uniunii pentru afaceri externe și politica de securitate: Strategia europeană pentru securitate economică, 26.6.2023, JOIN(2023) 20 final.</w:t>
      </w:r>
    </w:p>
  </w:footnote>
  <w:footnote w:id="3">
    <w:p w14:paraId="6D59114B" w14:textId="6C07EC81" w:rsidR="00253E6D" w:rsidRPr="00DC7ACC" w:rsidRDefault="00253E6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A se vedea documentul de lucru al serviciilor Comisiei ca parte a pachetului adoptat împreună cu prezenta comunicare.</w:t>
      </w:r>
    </w:p>
  </w:footnote>
  <w:footnote w:id="4">
    <w:p w14:paraId="17C1AD11" w14:textId="5DA09182" w:rsidR="00253E6D" w:rsidRPr="00DC7ACC" w:rsidRDefault="00253E6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r>
          <w:rPr>
            <w:rStyle w:val="Hyperlink"/>
            <w:rFonts w:ascii="Times New Roman" w:hAnsi="Times New Roman"/>
            <w:sz w:val="18"/>
          </w:rPr>
          <w:t>https://www.oecd.org/daf/inv/investment-policy/oecd-eu-fdi-screening-assessment.pdf</w:t>
        </w:r>
      </w:hyperlink>
    </w:p>
  </w:footnote>
  <w:footnote w:id="5">
    <w:p w14:paraId="7DCAB570" w14:textId="77777777" w:rsidR="00253E6D" w:rsidRPr="00DC7ACC" w:rsidRDefault="00253E6D" w:rsidP="00253E6D">
      <w:pPr>
        <w:spacing w:line="257" w:lineRule="auto"/>
        <w:ind w:left="-20" w:right="-2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r>
          <w:rPr>
            <w:rStyle w:val="Hyperlink"/>
            <w:rFonts w:ascii="Times New Roman" w:hAnsi="Times New Roman"/>
            <w:sz w:val="18"/>
          </w:rPr>
          <w:t>https://www.eca.europa.eu/ro/publications/SR-2023-27</w:t>
        </w:r>
      </w:hyperlink>
    </w:p>
    <w:p w14:paraId="49FF2566" w14:textId="649F8ED5" w:rsidR="00253E6D" w:rsidRPr="00DC7ACC" w:rsidRDefault="00253E6D">
      <w:pPr>
        <w:pStyle w:val="FootnoteText"/>
        <w:rPr>
          <w:rFonts w:ascii="Times New Roman" w:hAnsi="Times New Roman" w:cs="Times New Roman"/>
          <w:sz w:val="18"/>
          <w:szCs w:val="18"/>
        </w:rPr>
      </w:pPr>
    </w:p>
  </w:footnote>
  <w:footnote w:id="6">
    <w:p w14:paraId="594820CF" w14:textId="6FBF5BEE" w:rsidR="00D82419" w:rsidRPr="00DC7ACC" w:rsidRDefault="00D824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C(2023) 6689 final.</w:t>
      </w:r>
    </w:p>
  </w:footnote>
  <w:footnote w:id="7">
    <w:p w14:paraId="3E7F82D2" w14:textId="6D9D31BC" w:rsidR="6C0B4140" w:rsidRPr="00DC7ACC" w:rsidRDefault="6C0B4140" w:rsidP="00F14985">
      <w:pPr>
        <w:pStyle w:val="FootnoteText"/>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Pentru mai multe detalii, a se vedea SWD(2021) 352 final și Arjona </w:t>
      </w:r>
      <w:r>
        <w:rPr>
          <w:rFonts w:ascii="Times New Roman" w:hAnsi="Times New Roman"/>
          <w:i/>
          <w:sz w:val="18"/>
        </w:rPr>
        <w:t>et. al.</w:t>
      </w:r>
      <w:r>
        <w:rPr>
          <w:rFonts w:ascii="Times New Roman" w:hAnsi="Times New Roman"/>
          <w:sz w:val="18"/>
        </w:rPr>
        <w:t xml:space="preserve"> (2023).</w:t>
      </w:r>
    </w:p>
  </w:footnote>
  <w:footnote w:id="8">
    <w:p w14:paraId="460E8051" w14:textId="63CC5757" w:rsidR="001550D2" w:rsidRPr="00DC7ACC" w:rsidRDefault="001550D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Directiva (UE) 2022/2555 a Parlamentului European și a Consiliului din 14 decembrie 2022 privind măsuri pentru un nivel comun ridicat de securitate cibernetică în Uniune.</w:t>
      </w:r>
    </w:p>
  </w:footnote>
  <w:footnote w:id="9">
    <w:p w14:paraId="6D8D0101" w14:textId="059BB3AD" w:rsidR="007D51E0" w:rsidRPr="00DC7ACC" w:rsidRDefault="007D51E0" w:rsidP="00542FD0">
      <w:pPr>
        <w:spacing w:line="257" w:lineRule="auto"/>
        <w:ind w:left="-20" w:right="-20"/>
        <w:jc w:val="both"/>
        <w:rPr>
          <w:rFonts w:ascii="Times New Roman" w:eastAsia="Calibri" w:hAnsi="Times New Roman" w:cs="Times New Roman"/>
          <w:color w:val="0563C1" w:themeColor="hyperlink"/>
          <w:sz w:val="18"/>
          <w:szCs w:val="18"/>
          <w:u w:val="single"/>
        </w:rPr>
      </w:pPr>
      <w:r>
        <w:rPr>
          <w:rStyle w:val="FootnoteReference"/>
          <w:rFonts w:ascii="Times New Roman" w:hAnsi="Times New Roman" w:cs="Times New Roman"/>
          <w:sz w:val="18"/>
          <w:szCs w:val="18"/>
        </w:rPr>
        <w:footnoteRef/>
      </w:r>
      <w:r>
        <w:rPr>
          <w:rFonts w:ascii="Times New Roman" w:hAnsi="Times New Roman"/>
          <w:sz w:val="18"/>
        </w:rPr>
        <w:t xml:space="preserve"> Raport privind evaluarea coordonată la nivelul UE a riscurilor aferente tehnologiei 5G (europa.eu).</w:t>
      </w:r>
    </w:p>
  </w:footnote>
  <w:footnote w:id="10">
    <w:p w14:paraId="1D905F3F" w14:textId="50CD8DB5" w:rsidR="007D51E0" w:rsidRPr="00DC7ACC" w:rsidRDefault="007D51E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 w:history="1">
        <w:r>
          <w:rPr>
            <w:rStyle w:val="Hyperlink"/>
            <w:rFonts w:ascii="Times New Roman" w:hAnsi="Times New Roman"/>
            <w:sz w:val="18"/>
          </w:rPr>
          <w:t>Securitatea cibernetică a rețelelor deschise cu acces radio|</w:t>
        </w:r>
      </w:hyperlink>
      <w:r w:rsidR="006B10B3">
        <w:rPr>
          <w:rStyle w:val="Hyperlink"/>
          <w:rFonts w:ascii="Times New Roman" w:hAnsi="Times New Roman"/>
          <w:sz w:val="18"/>
        </w:rPr>
        <w:t xml:space="preserve"> </w:t>
      </w:r>
      <w:hyperlink r:id="rId4" w:history="1">
        <w:r>
          <w:rPr>
            <w:rStyle w:val="Hyperlink"/>
            <w:rFonts w:ascii="Times New Roman" w:hAnsi="Times New Roman"/>
            <w:sz w:val="18"/>
          </w:rPr>
          <w:t>Conturarea viitorului digital al Europei (europa.eu)</w:t>
        </w:r>
      </w:hyperlink>
      <w:r>
        <w:t>.</w:t>
      </w:r>
    </w:p>
  </w:footnote>
  <w:footnote w:id="11">
    <w:p w14:paraId="1B503F8E" w14:textId="77777777" w:rsidR="005B4991" w:rsidRPr="00DC7ACC" w:rsidRDefault="005B4991" w:rsidP="005B499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p>
  </w:footnote>
  <w:footnote w:id="12">
    <w:p w14:paraId="53BCFCEE" w14:textId="77777777" w:rsidR="00F14985" w:rsidRPr="00DC7ACC" w:rsidRDefault="00F14985" w:rsidP="00F14985">
      <w:pPr>
        <w:pStyle w:val="FootnoteText"/>
        <w:jc w:val="both"/>
        <w:rPr>
          <w:rFonts w:ascii="Times New Roman" w:hAnsi="Times New Roman" w:cs="Times New Roman"/>
          <w:sz w:val="18"/>
          <w:szCs w:val="18"/>
        </w:rPr>
      </w:pPr>
      <w:r>
        <w:rPr>
          <w:rFonts w:ascii="Times New Roman" w:hAnsi="Times New Roman" w:cs="Times New Roman"/>
          <w:sz w:val="18"/>
          <w:szCs w:val="18"/>
        </w:rPr>
        <w:footnoteRef/>
      </w:r>
      <w:r>
        <w:t xml:space="preserve"> </w:t>
      </w:r>
      <w:r>
        <w:rPr>
          <w:rFonts w:ascii="Times New Roman" w:hAnsi="Times New Roman"/>
          <w:sz w:val="18"/>
        </w:rPr>
        <w:t>Recomandarea (UE) 2021/1700 a Comisiei din 15 septembrie 2021 privind programele interne de asigurare a conformității pentru controalele cercetării care implică produse cu dublă utilizare în temeiul Regulamentului (UE) 2021/821 al Parlamentului European și al Consiliului de instituire a unui regim al Uniunii pentru controlul exporturilor, serviciilor de intermediere, asistenței tehnice, tranzitului și transferului de produse cu dublă utilizare.</w:t>
      </w:r>
    </w:p>
  </w:footnote>
  <w:footnote w:id="13">
    <w:p w14:paraId="53348E21" w14:textId="2E5C2F9A" w:rsidR="07B961D4" w:rsidRPr="00DC7ACC" w:rsidRDefault="07B961D4" w:rsidP="00CB0C06">
      <w:pPr>
        <w:pStyle w:val="FootnoteText"/>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Regulamentul (UE) nr. 833/2014 al Consiliului din 31 iulie 2014 și Regulamentul (UE) 2021/1986 al Consiliului din 15 noiembrie 2021.</w:t>
      </w:r>
    </w:p>
  </w:footnote>
  <w:footnote w:id="14">
    <w:p w14:paraId="2DC03DD3" w14:textId="3CF41EBF" w:rsidR="2894E7F8" w:rsidRPr="00DC7ACC" w:rsidRDefault="2894E7F8" w:rsidP="003D3AB3">
      <w:pPr>
        <w:pStyle w:val="FootnoteText"/>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Decizia (UE) 2022/2481 de instituire a programului de politică pentru 2030 privind deceniul digital.</w:t>
      </w:r>
    </w:p>
  </w:footnote>
  <w:footnote w:id="15">
    <w:p w14:paraId="56E663AD" w14:textId="443F7BEB" w:rsidR="00271F4F" w:rsidRPr="00DC7ACC" w:rsidRDefault="00271F4F" w:rsidP="00271F4F">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În prezent, 19 țări terțe sunt asociate la programul Orizont Europa, Regatul Unit, Noua Zeelandă și Canada fiind cei mai recenți parteneri. Aceste asocieri</w:t>
      </w:r>
      <w:r>
        <w:rPr>
          <w:rFonts w:ascii="Times New Roman" w:hAnsi="Times New Roman"/>
          <w:color w:val="404040"/>
          <w:sz w:val="18"/>
        </w:rPr>
        <w:t xml:space="preserve"> oferă, pe cât posibil, aceleași drepturi și obligații entităților de cercetare și inovare din țările respective precum cele acordate entităților din statele membre ale UE.</w:t>
      </w:r>
      <w:r>
        <w:rPr>
          <w:rFonts w:ascii="Times New Roman" w:hAnsi="Times New Roman"/>
          <w:color w:val="000000"/>
          <w:sz w:val="18"/>
        </w:rPr>
        <w:t xml:space="preserve"> </w:t>
      </w:r>
    </w:p>
    <w:p w14:paraId="1C28568E" w14:textId="5F8AD164" w:rsidR="00271F4F" w:rsidRPr="000C1D88" w:rsidRDefault="00271F4F">
      <w:pPr>
        <w:pStyle w:val="FootnoteText"/>
        <w:rPr>
          <w:rFonts w:ascii="Times New Roman" w:hAnsi="Times New Roman" w:cs="Times New Roman"/>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CE6FB" w14:textId="77777777" w:rsidR="00DA10D7" w:rsidRPr="00DA10D7" w:rsidRDefault="00DA10D7" w:rsidP="00DA10D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2DED7" w14:textId="77777777" w:rsidR="00DA10D7" w:rsidRPr="00DA10D7" w:rsidRDefault="00DA10D7" w:rsidP="00DA10D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29BF9" w14:textId="77777777" w:rsidR="00DA10D7" w:rsidRPr="00DA10D7" w:rsidRDefault="00DA10D7" w:rsidP="00DA10D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4B003" w14:textId="77777777" w:rsidR="007C532C" w:rsidRDefault="007C53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28981" w14:textId="77777777" w:rsidR="007C532C" w:rsidRDefault="007C532C" w:rsidP="005773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3EB2F" w14:textId="77777777" w:rsidR="007C532C" w:rsidRDefault="007C5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03D7"/>
    <w:multiLevelType w:val="hybridMultilevel"/>
    <w:tmpl w:val="E5EAE002"/>
    <w:lvl w:ilvl="0" w:tplc="56567452">
      <w:start w:val="1"/>
      <w:numFmt w:val="bullet"/>
      <w:lvlText w:val=""/>
      <w:lvlJc w:val="left"/>
      <w:pPr>
        <w:ind w:left="720" w:hanging="360"/>
      </w:pPr>
      <w:rPr>
        <w:rFonts w:ascii="Symbol" w:hAnsi="Symbol" w:hint="default"/>
      </w:rPr>
    </w:lvl>
    <w:lvl w:ilvl="1" w:tplc="D37CFE30">
      <w:start w:val="1"/>
      <w:numFmt w:val="bullet"/>
      <w:lvlText w:val="o"/>
      <w:lvlJc w:val="left"/>
      <w:pPr>
        <w:ind w:left="1440" w:hanging="360"/>
      </w:pPr>
      <w:rPr>
        <w:rFonts w:ascii="Courier New" w:hAnsi="Courier New" w:hint="default"/>
      </w:rPr>
    </w:lvl>
    <w:lvl w:ilvl="2" w:tplc="131ECAEC">
      <w:start w:val="1"/>
      <w:numFmt w:val="bullet"/>
      <w:lvlText w:val=""/>
      <w:lvlJc w:val="left"/>
      <w:pPr>
        <w:ind w:left="2160" w:hanging="360"/>
      </w:pPr>
      <w:rPr>
        <w:rFonts w:ascii="Wingdings" w:hAnsi="Wingdings" w:hint="default"/>
      </w:rPr>
    </w:lvl>
    <w:lvl w:ilvl="3" w:tplc="6C102E40">
      <w:start w:val="1"/>
      <w:numFmt w:val="bullet"/>
      <w:lvlText w:val=""/>
      <w:lvlJc w:val="left"/>
      <w:pPr>
        <w:ind w:left="2880" w:hanging="360"/>
      </w:pPr>
      <w:rPr>
        <w:rFonts w:ascii="Symbol" w:hAnsi="Symbol" w:hint="default"/>
      </w:rPr>
    </w:lvl>
    <w:lvl w:ilvl="4" w:tplc="9B048698">
      <w:start w:val="1"/>
      <w:numFmt w:val="bullet"/>
      <w:lvlText w:val="o"/>
      <w:lvlJc w:val="left"/>
      <w:pPr>
        <w:ind w:left="3600" w:hanging="360"/>
      </w:pPr>
      <w:rPr>
        <w:rFonts w:ascii="Courier New" w:hAnsi="Courier New" w:hint="default"/>
      </w:rPr>
    </w:lvl>
    <w:lvl w:ilvl="5" w:tplc="004A7CAE">
      <w:start w:val="1"/>
      <w:numFmt w:val="bullet"/>
      <w:lvlText w:val=""/>
      <w:lvlJc w:val="left"/>
      <w:pPr>
        <w:ind w:left="4320" w:hanging="360"/>
      </w:pPr>
      <w:rPr>
        <w:rFonts w:ascii="Wingdings" w:hAnsi="Wingdings" w:hint="default"/>
      </w:rPr>
    </w:lvl>
    <w:lvl w:ilvl="6" w:tplc="B46C17BA">
      <w:start w:val="1"/>
      <w:numFmt w:val="bullet"/>
      <w:lvlText w:val=""/>
      <w:lvlJc w:val="left"/>
      <w:pPr>
        <w:ind w:left="5040" w:hanging="360"/>
      </w:pPr>
      <w:rPr>
        <w:rFonts w:ascii="Symbol" w:hAnsi="Symbol" w:hint="default"/>
      </w:rPr>
    </w:lvl>
    <w:lvl w:ilvl="7" w:tplc="BE6CEFCC">
      <w:start w:val="1"/>
      <w:numFmt w:val="bullet"/>
      <w:lvlText w:val="o"/>
      <w:lvlJc w:val="left"/>
      <w:pPr>
        <w:ind w:left="5760" w:hanging="360"/>
      </w:pPr>
      <w:rPr>
        <w:rFonts w:ascii="Courier New" w:hAnsi="Courier New" w:hint="default"/>
      </w:rPr>
    </w:lvl>
    <w:lvl w:ilvl="8" w:tplc="19FE95B2">
      <w:start w:val="1"/>
      <w:numFmt w:val="bullet"/>
      <w:lvlText w:val=""/>
      <w:lvlJc w:val="left"/>
      <w:pPr>
        <w:ind w:left="6480" w:hanging="360"/>
      </w:pPr>
      <w:rPr>
        <w:rFonts w:ascii="Wingdings" w:hAnsi="Wingdings" w:hint="default"/>
      </w:rPr>
    </w:lvl>
  </w:abstractNum>
  <w:abstractNum w:abstractNumId="1" w15:restartNumberingAfterBreak="0">
    <w:nsid w:val="0C677ED3"/>
    <w:multiLevelType w:val="hybridMultilevel"/>
    <w:tmpl w:val="82A0BD16"/>
    <w:lvl w:ilvl="0" w:tplc="A28A32CE">
      <w:start w:val="1"/>
      <w:numFmt w:val="bullet"/>
      <w:lvlText w:val=""/>
      <w:lvlJc w:val="left"/>
      <w:pPr>
        <w:ind w:left="1440" w:hanging="360"/>
      </w:pPr>
      <w:rPr>
        <w:rFonts w:ascii="Symbol" w:hAnsi="Symbol"/>
      </w:rPr>
    </w:lvl>
    <w:lvl w:ilvl="1" w:tplc="5B900ABA">
      <w:start w:val="1"/>
      <w:numFmt w:val="bullet"/>
      <w:lvlText w:val=""/>
      <w:lvlJc w:val="left"/>
      <w:pPr>
        <w:ind w:left="1440" w:hanging="360"/>
      </w:pPr>
      <w:rPr>
        <w:rFonts w:ascii="Symbol" w:hAnsi="Symbol"/>
      </w:rPr>
    </w:lvl>
    <w:lvl w:ilvl="2" w:tplc="D11CCCCC">
      <w:start w:val="1"/>
      <w:numFmt w:val="bullet"/>
      <w:lvlText w:val=""/>
      <w:lvlJc w:val="left"/>
      <w:pPr>
        <w:ind w:left="1440" w:hanging="360"/>
      </w:pPr>
      <w:rPr>
        <w:rFonts w:ascii="Symbol" w:hAnsi="Symbol"/>
      </w:rPr>
    </w:lvl>
    <w:lvl w:ilvl="3" w:tplc="6744F16E">
      <w:start w:val="1"/>
      <w:numFmt w:val="bullet"/>
      <w:lvlText w:val=""/>
      <w:lvlJc w:val="left"/>
      <w:pPr>
        <w:ind w:left="1440" w:hanging="360"/>
      </w:pPr>
      <w:rPr>
        <w:rFonts w:ascii="Symbol" w:hAnsi="Symbol"/>
      </w:rPr>
    </w:lvl>
    <w:lvl w:ilvl="4" w:tplc="C1DA6538">
      <w:start w:val="1"/>
      <w:numFmt w:val="bullet"/>
      <w:lvlText w:val=""/>
      <w:lvlJc w:val="left"/>
      <w:pPr>
        <w:ind w:left="1440" w:hanging="360"/>
      </w:pPr>
      <w:rPr>
        <w:rFonts w:ascii="Symbol" w:hAnsi="Symbol"/>
      </w:rPr>
    </w:lvl>
    <w:lvl w:ilvl="5" w:tplc="7486DC34">
      <w:start w:val="1"/>
      <w:numFmt w:val="bullet"/>
      <w:lvlText w:val=""/>
      <w:lvlJc w:val="left"/>
      <w:pPr>
        <w:ind w:left="1440" w:hanging="360"/>
      </w:pPr>
      <w:rPr>
        <w:rFonts w:ascii="Symbol" w:hAnsi="Symbol"/>
      </w:rPr>
    </w:lvl>
    <w:lvl w:ilvl="6" w:tplc="5F86F3D4">
      <w:start w:val="1"/>
      <w:numFmt w:val="bullet"/>
      <w:lvlText w:val=""/>
      <w:lvlJc w:val="left"/>
      <w:pPr>
        <w:ind w:left="1440" w:hanging="360"/>
      </w:pPr>
      <w:rPr>
        <w:rFonts w:ascii="Symbol" w:hAnsi="Symbol"/>
      </w:rPr>
    </w:lvl>
    <w:lvl w:ilvl="7" w:tplc="91F25E3C">
      <w:start w:val="1"/>
      <w:numFmt w:val="bullet"/>
      <w:lvlText w:val=""/>
      <w:lvlJc w:val="left"/>
      <w:pPr>
        <w:ind w:left="1440" w:hanging="360"/>
      </w:pPr>
      <w:rPr>
        <w:rFonts w:ascii="Symbol" w:hAnsi="Symbol"/>
      </w:rPr>
    </w:lvl>
    <w:lvl w:ilvl="8" w:tplc="BBCABD02">
      <w:start w:val="1"/>
      <w:numFmt w:val="bullet"/>
      <w:lvlText w:val=""/>
      <w:lvlJc w:val="left"/>
      <w:pPr>
        <w:ind w:left="1440" w:hanging="360"/>
      </w:pPr>
      <w:rPr>
        <w:rFonts w:ascii="Symbol" w:hAnsi="Symbol"/>
      </w:rPr>
    </w:lvl>
  </w:abstractNum>
  <w:abstractNum w:abstractNumId="2" w15:restartNumberingAfterBreak="0">
    <w:nsid w:val="0DC97AFD"/>
    <w:multiLevelType w:val="hybridMultilevel"/>
    <w:tmpl w:val="275A16B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F50607"/>
    <w:multiLevelType w:val="hybridMultilevel"/>
    <w:tmpl w:val="A24270CC"/>
    <w:lvl w:ilvl="0" w:tplc="A226FBD6">
      <w:start w:val="1"/>
      <w:numFmt w:val="decimal"/>
      <w:lvlText w:val="%1)"/>
      <w:lvlJc w:val="left"/>
      <w:pPr>
        <w:ind w:left="720" w:hanging="360"/>
      </w:pPr>
      <w:rPr>
        <w:rFonts w:ascii="Calibri" w:eastAsia="MS Gothic" w:hAnsi="Calibri" w:cs="Calibri"/>
        <w:i/>
        <w:iCs/>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4" w15:restartNumberingAfterBreak="0">
    <w:nsid w:val="13C58ED5"/>
    <w:multiLevelType w:val="hybridMultilevel"/>
    <w:tmpl w:val="CB7AA79A"/>
    <w:lvl w:ilvl="0" w:tplc="37C4E56C">
      <w:start w:val="1"/>
      <w:numFmt w:val="decimal"/>
      <w:lvlText w:val="(%1)"/>
      <w:lvlJc w:val="left"/>
      <w:pPr>
        <w:ind w:left="720" w:hanging="360"/>
      </w:pPr>
    </w:lvl>
    <w:lvl w:ilvl="1" w:tplc="FBD49280">
      <w:start w:val="1"/>
      <w:numFmt w:val="lowerLetter"/>
      <w:lvlText w:val="%2."/>
      <w:lvlJc w:val="left"/>
      <w:pPr>
        <w:ind w:left="1440" w:hanging="360"/>
      </w:pPr>
    </w:lvl>
    <w:lvl w:ilvl="2" w:tplc="CD4EA906">
      <w:start w:val="1"/>
      <w:numFmt w:val="lowerRoman"/>
      <w:lvlText w:val="%3."/>
      <w:lvlJc w:val="right"/>
      <w:pPr>
        <w:ind w:left="2160" w:hanging="180"/>
      </w:pPr>
    </w:lvl>
    <w:lvl w:ilvl="3" w:tplc="EFEA94CA">
      <w:start w:val="1"/>
      <w:numFmt w:val="decimal"/>
      <w:lvlText w:val="%4."/>
      <w:lvlJc w:val="left"/>
      <w:pPr>
        <w:ind w:left="2880" w:hanging="360"/>
      </w:pPr>
    </w:lvl>
    <w:lvl w:ilvl="4" w:tplc="7B947902">
      <w:start w:val="1"/>
      <w:numFmt w:val="lowerLetter"/>
      <w:lvlText w:val="%5."/>
      <w:lvlJc w:val="left"/>
      <w:pPr>
        <w:ind w:left="3600" w:hanging="360"/>
      </w:pPr>
    </w:lvl>
    <w:lvl w:ilvl="5" w:tplc="E7C2AB08">
      <w:start w:val="1"/>
      <w:numFmt w:val="lowerRoman"/>
      <w:lvlText w:val="%6."/>
      <w:lvlJc w:val="right"/>
      <w:pPr>
        <w:ind w:left="4320" w:hanging="180"/>
      </w:pPr>
    </w:lvl>
    <w:lvl w:ilvl="6" w:tplc="C88084F0">
      <w:start w:val="1"/>
      <w:numFmt w:val="decimal"/>
      <w:lvlText w:val="%7."/>
      <w:lvlJc w:val="left"/>
      <w:pPr>
        <w:ind w:left="5040" w:hanging="360"/>
      </w:pPr>
    </w:lvl>
    <w:lvl w:ilvl="7" w:tplc="5FC47E10">
      <w:start w:val="1"/>
      <w:numFmt w:val="lowerLetter"/>
      <w:lvlText w:val="%8."/>
      <w:lvlJc w:val="left"/>
      <w:pPr>
        <w:ind w:left="5760" w:hanging="360"/>
      </w:pPr>
    </w:lvl>
    <w:lvl w:ilvl="8" w:tplc="C4CEC95E">
      <w:start w:val="1"/>
      <w:numFmt w:val="lowerRoman"/>
      <w:lvlText w:val="%9."/>
      <w:lvlJc w:val="right"/>
      <w:pPr>
        <w:ind w:left="6480" w:hanging="180"/>
      </w:pPr>
    </w:lvl>
  </w:abstractNum>
  <w:abstractNum w:abstractNumId="5" w15:restartNumberingAfterBreak="0">
    <w:nsid w:val="18436515"/>
    <w:multiLevelType w:val="hybridMultilevel"/>
    <w:tmpl w:val="55FC2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C433BB2"/>
    <w:multiLevelType w:val="hybridMultilevel"/>
    <w:tmpl w:val="A8622474"/>
    <w:lvl w:ilvl="0" w:tplc="45229B9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35622C25"/>
    <w:multiLevelType w:val="hybridMultilevel"/>
    <w:tmpl w:val="62F4C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00618C"/>
    <w:multiLevelType w:val="hybridMultilevel"/>
    <w:tmpl w:val="815C1BF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DAD5E78"/>
    <w:multiLevelType w:val="hybridMultilevel"/>
    <w:tmpl w:val="A3A8D1FC"/>
    <w:lvl w:ilvl="0" w:tplc="A3DE20C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2BA2B7C"/>
    <w:multiLevelType w:val="hybridMultilevel"/>
    <w:tmpl w:val="0764E416"/>
    <w:lvl w:ilvl="0" w:tplc="2696CB40">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9C83C03"/>
    <w:multiLevelType w:val="hybridMultilevel"/>
    <w:tmpl w:val="9944361E"/>
    <w:lvl w:ilvl="0" w:tplc="A2C61182">
      <w:start w:val="1"/>
      <w:numFmt w:val="decimal"/>
      <w:lvlText w:val="%1."/>
      <w:lvlJc w:val="left"/>
      <w:pPr>
        <w:ind w:left="720" w:hanging="360"/>
      </w:pPr>
    </w:lvl>
    <w:lvl w:ilvl="1" w:tplc="1BD662BE">
      <w:start w:val="1"/>
      <w:numFmt w:val="lowerLetter"/>
      <w:lvlText w:val="%2."/>
      <w:lvlJc w:val="left"/>
      <w:pPr>
        <w:ind w:left="1440" w:hanging="360"/>
      </w:pPr>
    </w:lvl>
    <w:lvl w:ilvl="2" w:tplc="A0E877DE">
      <w:start w:val="1"/>
      <w:numFmt w:val="lowerRoman"/>
      <w:lvlText w:val="%3."/>
      <w:lvlJc w:val="right"/>
      <w:pPr>
        <w:ind w:left="2160" w:hanging="180"/>
      </w:pPr>
    </w:lvl>
    <w:lvl w:ilvl="3" w:tplc="00AAB320">
      <w:start w:val="1"/>
      <w:numFmt w:val="decimal"/>
      <w:lvlText w:val="%4."/>
      <w:lvlJc w:val="left"/>
      <w:pPr>
        <w:ind w:left="2880" w:hanging="360"/>
      </w:pPr>
    </w:lvl>
    <w:lvl w:ilvl="4" w:tplc="79842B68">
      <w:start w:val="1"/>
      <w:numFmt w:val="lowerLetter"/>
      <w:lvlText w:val="%5."/>
      <w:lvlJc w:val="left"/>
      <w:pPr>
        <w:ind w:left="3600" w:hanging="360"/>
      </w:pPr>
    </w:lvl>
    <w:lvl w:ilvl="5" w:tplc="8DF0BA4A">
      <w:start w:val="1"/>
      <w:numFmt w:val="lowerRoman"/>
      <w:lvlText w:val="%6."/>
      <w:lvlJc w:val="right"/>
      <w:pPr>
        <w:ind w:left="4320" w:hanging="180"/>
      </w:pPr>
    </w:lvl>
    <w:lvl w:ilvl="6" w:tplc="39AE1504">
      <w:start w:val="1"/>
      <w:numFmt w:val="decimal"/>
      <w:lvlText w:val="%7."/>
      <w:lvlJc w:val="left"/>
      <w:pPr>
        <w:ind w:left="5040" w:hanging="360"/>
      </w:pPr>
    </w:lvl>
    <w:lvl w:ilvl="7" w:tplc="ABD0C6A8">
      <w:start w:val="1"/>
      <w:numFmt w:val="lowerLetter"/>
      <w:lvlText w:val="%8."/>
      <w:lvlJc w:val="left"/>
      <w:pPr>
        <w:ind w:left="5760" w:hanging="360"/>
      </w:pPr>
    </w:lvl>
    <w:lvl w:ilvl="8" w:tplc="93663718">
      <w:start w:val="1"/>
      <w:numFmt w:val="lowerRoman"/>
      <w:lvlText w:val="%9."/>
      <w:lvlJc w:val="right"/>
      <w:pPr>
        <w:ind w:left="6480" w:hanging="180"/>
      </w:pPr>
    </w:lvl>
  </w:abstractNum>
  <w:abstractNum w:abstractNumId="12" w15:restartNumberingAfterBreak="0">
    <w:nsid w:val="4DD641C0"/>
    <w:multiLevelType w:val="hybridMultilevel"/>
    <w:tmpl w:val="2070CD6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1B3BAC"/>
    <w:multiLevelType w:val="hybridMultilevel"/>
    <w:tmpl w:val="450EB9EA"/>
    <w:lvl w:ilvl="0" w:tplc="2D601F9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65C210DB"/>
    <w:multiLevelType w:val="hybridMultilevel"/>
    <w:tmpl w:val="7F182950"/>
    <w:lvl w:ilvl="0" w:tplc="FFFFFFFF">
      <w:start w:val="1"/>
      <w:numFmt w:val="bullet"/>
      <w:pStyle w:val="Speakingbullets"/>
      <w:lvlText w:val=""/>
      <w:lvlJc w:val="left"/>
      <w:pPr>
        <w:ind w:left="720" w:hanging="360"/>
      </w:pPr>
      <w:rPr>
        <w:rFonts w:ascii="Symbol" w:hAnsi="Symbol" w:hint="default"/>
        <w:b w:val="0"/>
        <w:i w:val="0"/>
        <w:color w:val="auto"/>
        <w:sz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8D762C"/>
    <w:multiLevelType w:val="hybridMultilevel"/>
    <w:tmpl w:val="D7D217F6"/>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A393DD6"/>
    <w:multiLevelType w:val="hybridMultilevel"/>
    <w:tmpl w:val="F2E863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D730654"/>
    <w:multiLevelType w:val="hybridMultilevel"/>
    <w:tmpl w:val="73C6D80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7E2343D6"/>
    <w:multiLevelType w:val="hybridMultilevel"/>
    <w:tmpl w:val="A15CC104"/>
    <w:lvl w:ilvl="0" w:tplc="585AE53E">
      <w:start w:val="1"/>
      <w:numFmt w:val="decimal"/>
      <w:lvlText w:val="%1."/>
      <w:lvlJc w:val="left"/>
      <w:pPr>
        <w:ind w:left="720" w:hanging="360"/>
      </w:pPr>
    </w:lvl>
    <w:lvl w:ilvl="1" w:tplc="25D26880">
      <w:start w:val="1"/>
      <w:numFmt w:val="lowerLetter"/>
      <w:lvlText w:val="%2."/>
      <w:lvlJc w:val="left"/>
      <w:pPr>
        <w:ind w:left="1440" w:hanging="360"/>
      </w:pPr>
    </w:lvl>
    <w:lvl w:ilvl="2" w:tplc="5234FD10">
      <w:start w:val="1"/>
      <w:numFmt w:val="lowerRoman"/>
      <w:lvlText w:val="%3."/>
      <w:lvlJc w:val="right"/>
      <w:pPr>
        <w:ind w:left="2160" w:hanging="180"/>
      </w:pPr>
    </w:lvl>
    <w:lvl w:ilvl="3" w:tplc="03309ACA">
      <w:start w:val="1"/>
      <w:numFmt w:val="decimal"/>
      <w:lvlText w:val="%4."/>
      <w:lvlJc w:val="left"/>
      <w:pPr>
        <w:ind w:left="2880" w:hanging="360"/>
      </w:pPr>
    </w:lvl>
    <w:lvl w:ilvl="4" w:tplc="ADF88314">
      <w:start w:val="1"/>
      <w:numFmt w:val="lowerLetter"/>
      <w:lvlText w:val="%5."/>
      <w:lvlJc w:val="left"/>
      <w:pPr>
        <w:ind w:left="3600" w:hanging="360"/>
      </w:pPr>
    </w:lvl>
    <w:lvl w:ilvl="5" w:tplc="2CAAC578">
      <w:start w:val="1"/>
      <w:numFmt w:val="lowerRoman"/>
      <w:lvlText w:val="%6."/>
      <w:lvlJc w:val="right"/>
      <w:pPr>
        <w:ind w:left="4320" w:hanging="180"/>
      </w:pPr>
    </w:lvl>
    <w:lvl w:ilvl="6" w:tplc="1C565184">
      <w:start w:val="1"/>
      <w:numFmt w:val="decimal"/>
      <w:lvlText w:val="%7."/>
      <w:lvlJc w:val="left"/>
      <w:pPr>
        <w:ind w:left="5040" w:hanging="360"/>
      </w:pPr>
    </w:lvl>
    <w:lvl w:ilvl="7" w:tplc="A606CED0">
      <w:start w:val="1"/>
      <w:numFmt w:val="lowerLetter"/>
      <w:lvlText w:val="%8."/>
      <w:lvlJc w:val="left"/>
      <w:pPr>
        <w:ind w:left="5760" w:hanging="360"/>
      </w:pPr>
    </w:lvl>
    <w:lvl w:ilvl="8" w:tplc="C0E0EAB2">
      <w:start w:val="1"/>
      <w:numFmt w:val="lowerRoman"/>
      <w:lvlText w:val="%9."/>
      <w:lvlJc w:val="right"/>
      <w:pPr>
        <w:ind w:left="6480" w:hanging="180"/>
      </w:pPr>
    </w:lvl>
  </w:abstractNum>
  <w:num w:numId="1">
    <w:abstractNumId w:val="11"/>
  </w:num>
  <w:num w:numId="2">
    <w:abstractNumId w:val="18"/>
  </w:num>
  <w:num w:numId="3">
    <w:abstractNumId w:val="4"/>
  </w:num>
  <w:num w:numId="4">
    <w:abstractNumId w:val="0"/>
  </w:num>
  <w:num w:numId="5">
    <w:abstractNumId w:val="13"/>
  </w:num>
  <w:num w:numId="6">
    <w:abstractNumId w:val="10"/>
  </w:num>
  <w:num w:numId="7">
    <w:abstractNumId w:val="10"/>
  </w:num>
  <w:num w:numId="8">
    <w:abstractNumId w:val="14"/>
  </w:num>
  <w:num w:numId="9">
    <w:abstractNumId w:val="16"/>
  </w:num>
  <w:num w:numId="10">
    <w:abstractNumId w:val="12"/>
  </w:num>
  <w:num w:numId="11">
    <w:abstractNumId w:val="2"/>
  </w:num>
  <w:num w:numId="12">
    <w:abstractNumId w:val="7"/>
  </w:num>
  <w:num w:numId="13">
    <w:abstractNumId w:val="3"/>
    <w:lvlOverride w:ilvl="0">
      <w:startOverride w:val="1"/>
    </w:lvlOverride>
    <w:lvlOverride w:ilvl="1"/>
    <w:lvlOverride w:ilvl="2"/>
    <w:lvlOverride w:ilvl="3"/>
    <w:lvlOverride w:ilvl="4"/>
    <w:lvlOverride w:ilvl="5"/>
    <w:lvlOverride w:ilvl="6"/>
    <w:lvlOverride w:ilvl="7"/>
    <w:lvlOverride w:ilvl="8"/>
  </w:num>
  <w:num w:numId="14">
    <w:abstractNumId w:val="5"/>
  </w:num>
  <w:num w:numId="15">
    <w:abstractNumId w:val="15"/>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8"/>
  </w:num>
  <w:num w:numId="19">
    <w:abstractNumId w:val="9"/>
  </w:num>
  <w:num w:numId="20">
    <w:abstractNumId w:val="1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3BF763D-3397-41D3-ADBD-DB67E80AB04C"/>
    <w:docVar w:name="LW_COVERPAGE_TYPE" w:val="1"/>
    <w:docVar w:name="LW_CROSSREFERENCE" w:val="&lt;UNUSED&gt;"/>
    <w:docVar w:name="LW_DocType" w:val="NORMAL"/>
    <w:docVar w:name="LW_EMISSION" w:val="24.1.2024"/>
    <w:docVar w:name="LW_EMISSION_ISODATE" w:val="2024-01-24"/>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movarea securit\u259?\u539?ii economice europene: prezentarea a cinci noi ini\u539?iative"/>
    <w:docVar w:name="LW_TYPE.DOC.CP" w:val="COMUNICARE A COMISIEI C\u258?TRE PARLAMENTUL EUROPEAN \u536?I CONSILIU"/>
    <w:docVar w:name="LW_TYPE.DOC.CP.USERTEXT" w:val="&lt;EMPTY&gt;"/>
    <w:docVar w:name="LwApiVersions" w:val="LW4CoDe 1.24.4.0; LW 9.0, Build 20240125"/>
  </w:docVars>
  <w:rsids>
    <w:rsidRoot w:val="003907B6"/>
    <w:rsid w:val="00000A1B"/>
    <w:rsid w:val="00002BBF"/>
    <w:rsid w:val="00012C1A"/>
    <w:rsid w:val="0001677B"/>
    <w:rsid w:val="00020392"/>
    <w:rsid w:val="00025661"/>
    <w:rsid w:val="00032008"/>
    <w:rsid w:val="0004102D"/>
    <w:rsid w:val="0004107E"/>
    <w:rsid w:val="00041117"/>
    <w:rsid w:val="00045321"/>
    <w:rsid w:val="000474F2"/>
    <w:rsid w:val="00056CFD"/>
    <w:rsid w:val="00071D66"/>
    <w:rsid w:val="000812A6"/>
    <w:rsid w:val="000854F0"/>
    <w:rsid w:val="000906F5"/>
    <w:rsid w:val="00093551"/>
    <w:rsid w:val="00096B9F"/>
    <w:rsid w:val="000A1448"/>
    <w:rsid w:val="000A5ADE"/>
    <w:rsid w:val="000B0F08"/>
    <w:rsid w:val="000B116E"/>
    <w:rsid w:val="000C0C2E"/>
    <w:rsid w:val="000C1D88"/>
    <w:rsid w:val="000C5DE1"/>
    <w:rsid w:val="000C6E9A"/>
    <w:rsid w:val="000D343F"/>
    <w:rsid w:val="000D6DA7"/>
    <w:rsid w:val="000E0FBF"/>
    <w:rsid w:val="000E754A"/>
    <w:rsid w:val="000F3E45"/>
    <w:rsid w:val="000F482D"/>
    <w:rsid w:val="000F7AC1"/>
    <w:rsid w:val="00103D16"/>
    <w:rsid w:val="0010430A"/>
    <w:rsid w:val="001128A8"/>
    <w:rsid w:val="001132D1"/>
    <w:rsid w:val="0011630E"/>
    <w:rsid w:val="00116CC4"/>
    <w:rsid w:val="00122B59"/>
    <w:rsid w:val="00123056"/>
    <w:rsid w:val="00153D51"/>
    <w:rsid w:val="00154697"/>
    <w:rsid w:val="001550D2"/>
    <w:rsid w:val="0016374C"/>
    <w:rsid w:val="0016741B"/>
    <w:rsid w:val="001870E5"/>
    <w:rsid w:val="00187D1B"/>
    <w:rsid w:val="00190AE3"/>
    <w:rsid w:val="001938E7"/>
    <w:rsid w:val="001948C7"/>
    <w:rsid w:val="001A6FA4"/>
    <w:rsid w:val="001B1108"/>
    <w:rsid w:val="001B1B70"/>
    <w:rsid w:val="001BDF31"/>
    <w:rsid w:val="001C269C"/>
    <w:rsid w:val="001D0453"/>
    <w:rsid w:val="001D79FA"/>
    <w:rsid w:val="001E619E"/>
    <w:rsid w:val="001F0857"/>
    <w:rsid w:val="001F5857"/>
    <w:rsid w:val="001F5883"/>
    <w:rsid w:val="0020661D"/>
    <w:rsid w:val="002157A7"/>
    <w:rsid w:val="00216458"/>
    <w:rsid w:val="0022551B"/>
    <w:rsid w:val="00227E67"/>
    <w:rsid w:val="00233A17"/>
    <w:rsid w:val="00237B02"/>
    <w:rsid w:val="00240431"/>
    <w:rsid w:val="00244435"/>
    <w:rsid w:val="00247427"/>
    <w:rsid w:val="002474E5"/>
    <w:rsid w:val="00253E6D"/>
    <w:rsid w:val="00254A3D"/>
    <w:rsid w:val="00254E1D"/>
    <w:rsid w:val="002561D1"/>
    <w:rsid w:val="00261675"/>
    <w:rsid w:val="00261E6E"/>
    <w:rsid w:val="00271F4F"/>
    <w:rsid w:val="0027343C"/>
    <w:rsid w:val="00273AFF"/>
    <w:rsid w:val="00276049"/>
    <w:rsid w:val="00276A57"/>
    <w:rsid w:val="00283BF5"/>
    <w:rsid w:val="00284188"/>
    <w:rsid w:val="00285700"/>
    <w:rsid w:val="00286BE8"/>
    <w:rsid w:val="00286C78"/>
    <w:rsid w:val="002919BE"/>
    <w:rsid w:val="00293B6E"/>
    <w:rsid w:val="002A492D"/>
    <w:rsid w:val="002A4E33"/>
    <w:rsid w:val="002B730D"/>
    <w:rsid w:val="002C75AD"/>
    <w:rsid w:val="002E1891"/>
    <w:rsid w:val="002E3AC0"/>
    <w:rsid w:val="002E6152"/>
    <w:rsid w:val="002E7D78"/>
    <w:rsid w:val="002F47D1"/>
    <w:rsid w:val="00305608"/>
    <w:rsid w:val="003222E0"/>
    <w:rsid w:val="00330E79"/>
    <w:rsid w:val="00333241"/>
    <w:rsid w:val="003337FF"/>
    <w:rsid w:val="00343606"/>
    <w:rsid w:val="00344F0E"/>
    <w:rsid w:val="00354AC1"/>
    <w:rsid w:val="003619A7"/>
    <w:rsid w:val="003651ED"/>
    <w:rsid w:val="00366BD0"/>
    <w:rsid w:val="00372395"/>
    <w:rsid w:val="003728FF"/>
    <w:rsid w:val="003734FE"/>
    <w:rsid w:val="003769A6"/>
    <w:rsid w:val="00377860"/>
    <w:rsid w:val="003907B6"/>
    <w:rsid w:val="0039241F"/>
    <w:rsid w:val="00395EEE"/>
    <w:rsid w:val="003A24C3"/>
    <w:rsid w:val="003B101A"/>
    <w:rsid w:val="003B56C6"/>
    <w:rsid w:val="003B7022"/>
    <w:rsid w:val="003C1D1F"/>
    <w:rsid w:val="003D3AB3"/>
    <w:rsid w:val="003D51AF"/>
    <w:rsid w:val="003D5200"/>
    <w:rsid w:val="003E3414"/>
    <w:rsid w:val="003E5F8C"/>
    <w:rsid w:val="003E60C1"/>
    <w:rsid w:val="003F0373"/>
    <w:rsid w:val="003F09F1"/>
    <w:rsid w:val="004004B6"/>
    <w:rsid w:val="0040085B"/>
    <w:rsid w:val="00405B28"/>
    <w:rsid w:val="00411E80"/>
    <w:rsid w:val="00413DB9"/>
    <w:rsid w:val="00416E22"/>
    <w:rsid w:val="00417CF8"/>
    <w:rsid w:val="0041F4C8"/>
    <w:rsid w:val="00424A87"/>
    <w:rsid w:val="00431E15"/>
    <w:rsid w:val="00432DE7"/>
    <w:rsid w:val="00434A0D"/>
    <w:rsid w:val="00440EC2"/>
    <w:rsid w:val="004419D8"/>
    <w:rsid w:val="0045370C"/>
    <w:rsid w:val="004562AD"/>
    <w:rsid w:val="00460D87"/>
    <w:rsid w:val="00463A3A"/>
    <w:rsid w:val="004669C9"/>
    <w:rsid w:val="00471703"/>
    <w:rsid w:val="00471A9D"/>
    <w:rsid w:val="00476AEE"/>
    <w:rsid w:val="00482A4C"/>
    <w:rsid w:val="00483443"/>
    <w:rsid w:val="00484A8A"/>
    <w:rsid w:val="00490574"/>
    <w:rsid w:val="00491DB9"/>
    <w:rsid w:val="00491FCA"/>
    <w:rsid w:val="004948D5"/>
    <w:rsid w:val="004969A9"/>
    <w:rsid w:val="004A45E3"/>
    <w:rsid w:val="004A5AC1"/>
    <w:rsid w:val="004A7F50"/>
    <w:rsid w:val="004AEC0B"/>
    <w:rsid w:val="004B4EB5"/>
    <w:rsid w:val="004B56D5"/>
    <w:rsid w:val="004B6C22"/>
    <w:rsid w:val="004C2A60"/>
    <w:rsid w:val="004C5C68"/>
    <w:rsid w:val="004D3081"/>
    <w:rsid w:val="004D7397"/>
    <w:rsid w:val="004E6083"/>
    <w:rsid w:val="004E7E7D"/>
    <w:rsid w:val="004F65EA"/>
    <w:rsid w:val="005046C5"/>
    <w:rsid w:val="00505E55"/>
    <w:rsid w:val="00506DFE"/>
    <w:rsid w:val="00510D29"/>
    <w:rsid w:val="00511374"/>
    <w:rsid w:val="00512EEE"/>
    <w:rsid w:val="00524F3F"/>
    <w:rsid w:val="00530DBE"/>
    <w:rsid w:val="00533B7D"/>
    <w:rsid w:val="00534A32"/>
    <w:rsid w:val="00534A95"/>
    <w:rsid w:val="00536049"/>
    <w:rsid w:val="00537820"/>
    <w:rsid w:val="00540216"/>
    <w:rsid w:val="0054297F"/>
    <w:rsid w:val="00542FD0"/>
    <w:rsid w:val="00547E2A"/>
    <w:rsid w:val="00550E9E"/>
    <w:rsid w:val="00553A32"/>
    <w:rsid w:val="005545A6"/>
    <w:rsid w:val="00556787"/>
    <w:rsid w:val="00556BBC"/>
    <w:rsid w:val="00557080"/>
    <w:rsid w:val="005626AF"/>
    <w:rsid w:val="005637BD"/>
    <w:rsid w:val="005660B9"/>
    <w:rsid w:val="00572FA7"/>
    <w:rsid w:val="00575062"/>
    <w:rsid w:val="00577313"/>
    <w:rsid w:val="00583A78"/>
    <w:rsid w:val="00585CAD"/>
    <w:rsid w:val="00597499"/>
    <w:rsid w:val="005A2C62"/>
    <w:rsid w:val="005B07FA"/>
    <w:rsid w:val="005B4991"/>
    <w:rsid w:val="005C16E1"/>
    <w:rsid w:val="005C4E66"/>
    <w:rsid w:val="005C5848"/>
    <w:rsid w:val="005C7634"/>
    <w:rsid w:val="005D43E3"/>
    <w:rsid w:val="005E08F0"/>
    <w:rsid w:val="005E0BFE"/>
    <w:rsid w:val="005E5C06"/>
    <w:rsid w:val="005F4415"/>
    <w:rsid w:val="00602DE1"/>
    <w:rsid w:val="00606B93"/>
    <w:rsid w:val="00610B3E"/>
    <w:rsid w:val="00614360"/>
    <w:rsid w:val="00622C44"/>
    <w:rsid w:val="006259A5"/>
    <w:rsid w:val="00635E44"/>
    <w:rsid w:val="00645B46"/>
    <w:rsid w:val="00647754"/>
    <w:rsid w:val="006511D4"/>
    <w:rsid w:val="00651DD9"/>
    <w:rsid w:val="00651EA8"/>
    <w:rsid w:val="00657F70"/>
    <w:rsid w:val="00674B84"/>
    <w:rsid w:val="00681D65"/>
    <w:rsid w:val="006879C5"/>
    <w:rsid w:val="006A55E1"/>
    <w:rsid w:val="006A6084"/>
    <w:rsid w:val="006B10B3"/>
    <w:rsid w:val="006B2628"/>
    <w:rsid w:val="006B6E91"/>
    <w:rsid w:val="006C019E"/>
    <w:rsid w:val="006C23E1"/>
    <w:rsid w:val="006C5A2D"/>
    <w:rsid w:val="006D17AB"/>
    <w:rsid w:val="006E303F"/>
    <w:rsid w:val="006F5AED"/>
    <w:rsid w:val="006F7F83"/>
    <w:rsid w:val="00702FBC"/>
    <w:rsid w:val="00703241"/>
    <w:rsid w:val="00705C5D"/>
    <w:rsid w:val="00713F29"/>
    <w:rsid w:val="00720593"/>
    <w:rsid w:val="00727C01"/>
    <w:rsid w:val="00730E42"/>
    <w:rsid w:val="0073311E"/>
    <w:rsid w:val="00736F28"/>
    <w:rsid w:val="007508A8"/>
    <w:rsid w:val="00750C20"/>
    <w:rsid w:val="00756BB6"/>
    <w:rsid w:val="007706DB"/>
    <w:rsid w:val="0077145E"/>
    <w:rsid w:val="00772466"/>
    <w:rsid w:val="007B42C0"/>
    <w:rsid w:val="007C532C"/>
    <w:rsid w:val="007D05DB"/>
    <w:rsid w:val="007D2A03"/>
    <w:rsid w:val="007D51E0"/>
    <w:rsid w:val="007D695D"/>
    <w:rsid w:val="007E111F"/>
    <w:rsid w:val="007E1848"/>
    <w:rsid w:val="007E3724"/>
    <w:rsid w:val="007E52FC"/>
    <w:rsid w:val="007F402A"/>
    <w:rsid w:val="00800E42"/>
    <w:rsid w:val="0080163C"/>
    <w:rsid w:val="00805BAD"/>
    <w:rsid w:val="00814A51"/>
    <w:rsid w:val="00814A6E"/>
    <w:rsid w:val="00825CD2"/>
    <w:rsid w:val="00825EED"/>
    <w:rsid w:val="0083768D"/>
    <w:rsid w:val="0084682B"/>
    <w:rsid w:val="00852B9C"/>
    <w:rsid w:val="00860473"/>
    <w:rsid w:val="00861F34"/>
    <w:rsid w:val="008748AE"/>
    <w:rsid w:val="0088147A"/>
    <w:rsid w:val="00881D53"/>
    <w:rsid w:val="00892C5C"/>
    <w:rsid w:val="00896D78"/>
    <w:rsid w:val="008B340A"/>
    <w:rsid w:val="008B4152"/>
    <w:rsid w:val="008B7314"/>
    <w:rsid w:val="008D0FA9"/>
    <w:rsid w:val="008D353A"/>
    <w:rsid w:val="008D4986"/>
    <w:rsid w:val="008D5400"/>
    <w:rsid w:val="008F0ED8"/>
    <w:rsid w:val="008F191B"/>
    <w:rsid w:val="008F4ADD"/>
    <w:rsid w:val="008F60C7"/>
    <w:rsid w:val="0090202D"/>
    <w:rsid w:val="00902323"/>
    <w:rsid w:val="0090332D"/>
    <w:rsid w:val="00907ECC"/>
    <w:rsid w:val="009131A0"/>
    <w:rsid w:val="00932DC7"/>
    <w:rsid w:val="00933A1B"/>
    <w:rsid w:val="00933FB3"/>
    <w:rsid w:val="0093467D"/>
    <w:rsid w:val="009368C3"/>
    <w:rsid w:val="00950E6E"/>
    <w:rsid w:val="00956B2D"/>
    <w:rsid w:val="00964907"/>
    <w:rsid w:val="0096619C"/>
    <w:rsid w:val="0097125A"/>
    <w:rsid w:val="0098181F"/>
    <w:rsid w:val="00982433"/>
    <w:rsid w:val="009835CD"/>
    <w:rsid w:val="00985833"/>
    <w:rsid w:val="009A616B"/>
    <w:rsid w:val="009B6763"/>
    <w:rsid w:val="009C4627"/>
    <w:rsid w:val="009C4857"/>
    <w:rsid w:val="009D2F9F"/>
    <w:rsid w:val="009E2977"/>
    <w:rsid w:val="009E32CE"/>
    <w:rsid w:val="009E378D"/>
    <w:rsid w:val="009E48FF"/>
    <w:rsid w:val="009E6197"/>
    <w:rsid w:val="009E6630"/>
    <w:rsid w:val="009F4C39"/>
    <w:rsid w:val="009F54C0"/>
    <w:rsid w:val="00A076B0"/>
    <w:rsid w:val="00A11AB3"/>
    <w:rsid w:val="00A16918"/>
    <w:rsid w:val="00A17BFB"/>
    <w:rsid w:val="00A236FE"/>
    <w:rsid w:val="00A337CF"/>
    <w:rsid w:val="00A344D1"/>
    <w:rsid w:val="00A375DF"/>
    <w:rsid w:val="00A4691B"/>
    <w:rsid w:val="00A471F7"/>
    <w:rsid w:val="00A52BF9"/>
    <w:rsid w:val="00A55CD4"/>
    <w:rsid w:val="00A64FAA"/>
    <w:rsid w:val="00A652AB"/>
    <w:rsid w:val="00A74294"/>
    <w:rsid w:val="00A7564A"/>
    <w:rsid w:val="00A763ED"/>
    <w:rsid w:val="00A90F7A"/>
    <w:rsid w:val="00A9604B"/>
    <w:rsid w:val="00AB2BDE"/>
    <w:rsid w:val="00AC6325"/>
    <w:rsid w:val="00AC7182"/>
    <w:rsid w:val="00AD23B1"/>
    <w:rsid w:val="00AD25AD"/>
    <w:rsid w:val="00AD5F08"/>
    <w:rsid w:val="00AE0882"/>
    <w:rsid w:val="00AE564D"/>
    <w:rsid w:val="00AE5D80"/>
    <w:rsid w:val="00AF419B"/>
    <w:rsid w:val="00AF5C20"/>
    <w:rsid w:val="00B10E2E"/>
    <w:rsid w:val="00B15AC6"/>
    <w:rsid w:val="00B15BD7"/>
    <w:rsid w:val="00B17777"/>
    <w:rsid w:val="00B20A77"/>
    <w:rsid w:val="00B276ED"/>
    <w:rsid w:val="00B27971"/>
    <w:rsid w:val="00B30BE5"/>
    <w:rsid w:val="00B64340"/>
    <w:rsid w:val="00B727AA"/>
    <w:rsid w:val="00B728B3"/>
    <w:rsid w:val="00B810B8"/>
    <w:rsid w:val="00B83803"/>
    <w:rsid w:val="00B84F36"/>
    <w:rsid w:val="00B86483"/>
    <w:rsid w:val="00B86A02"/>
    <w:rsid w:val="00B923B3"/>
    <w:rsid w:val="00B97938"/>
    <w:rsid w:val="00BA4945"/>
    <w:rsid w:val="00BA73B2"/>
    <w:rsid w:val="00BA7C40"/>
    <w:rsid w:val="00BB4AD2"/>
    <w:rsid w:val="00BD3ABF"/>
    <w:rsid w:val="00BE4A1A"/>
    <w:rsid w:val="00BE6C4C"/>
    <w:rsid w:val="00BF3D72"/>
    <w:rsid w:val="00C01DA0"/>
    <w:rsid w:val="00C02E6E"/>
    <w:rsid w:val="00C03942"/>
    <w:rsid w:val="00C11D70"/>
    <w:rsid w:val="00C143E9"/>
    <w:rsid w:val="00C160C7"/>
    <w:rsid w:val="00C244E3"/>
    <w:rsid w:val="00C26828"/>
    <w:rsid w:val="00C31307"/>
    <w:rsid w:val="00C3181E"/>
    <w:rsid w:val="00C36FA1"/>
    <w:rsid w:val="00C37A74"/>
    <w:rsid w:val="00C46B67"/>
    <w:rsid w:val="00C523AA"/>
    <w:rsid w:val="00C55648"/>
    <w:rsid w:val="00C6607B"/>
    <w:rsid w:val="00C80CFB"/>
    <w:rsid w:val="00CA7E03"/>
    <w:rsid w:val="00CB0C06"/>
    <w:rsid w:val="00CB3380"/>
    <w:rsid w:val="00CB494B"/>
    <w:rsid w:val="00CB6943"/>
    <w:rsid w:val="00CC5912"/>
    <w:rsid w:val="00CC704B"/>
    <w:rsid w:val="00CD1FDB"/>
    <w:rsid w:val="00CD2451"/>
    <w:rsid w:val="00CD321E"/>
    <w:rsid w:val="00CD6650"/>
    <w:rsid w:val="00CF3950"/>
    <w:rsid w:val="00D01443"/>
    <w:rsid w:val="00D15496"/>
    <w:rsid w:val="00D17338"/>
    <w:rsid w:val="00D21864"/>
    <w:rsid w:val="00D2436D"/>
    <w:rsid w:val="00D26B02"/>
    <w:rsid w:val="00D27B2D"/>
    <w:rsid w:val="00D409C8"/>
    <w:rsid w:val="00D533F6"/>
    <w:rsid w:val="00D56257"/>
    <w:rsid w:val="00D56BB8"/>
    <w:rsid w:val="00D5772F"/>
    <w:rsid w:val="00D66008"/>
    <w:rsid w:val="00D67306"/>
    <w:rsid w:val="00D709B2"/>
    <w:rsid w:val="00D71181"/>
    <w:rsid w:val="00D7290B"/>
    <w:rsid w:val="00D7394E"/>
    <w:rsid w:val="00D82419"/>
    <w:rsid w:val="00D85AAB"/>
    <w:rsid w:val="00D85B3D"/>
    <w:rsid w:val="00D87FA6"/>
    <w:rsid w:val="00DA10D7"/>
    <w:rsid w:val="00DA4F3B"/>
    <w:rsid w:val="00DA62EB"/>
    <w:rsid w:val="00DA6650"/>
    <w:rsid w:val="00DB1104"/>
    <w:rsid w:val="00DB2D3C"/>
    <w:rsid w:val="00DB33C9"/>
    <w:rsid w:val="00DB6A20"/>
    <w:rsid w:val="00DC7ACC"/>
    <w:rsid w:val="00DD64E0"/>
    <w:rsid w:val="00DD698A"/>
    <w:rsid w:val="00DE1946"/>
    <w:rsid w:val="00DE4D61"/>
    <w:rsid w:val="00DF2325"/>
    <w:rsid w:val="00DF4779"/>
    <w:rsid w:val="00E04097"/>
    <w:rsid w:val="00E120BE"/>
    <w:rsid w:val="00E15642"/>
    <w:rsid w:val="00E264F6"/>
    <w:rsid w:val="00E30401"/>
    <w:rsid w:val="00E31776"/>
    <w:rsid w:val="00E370A9"/>
    <w:rsid w:val="00E37BDE"/>
    <w:rsid w:val="00E4042D"/>
    <w:rsid w:val="00E41346"/>
    <w:rsid w:val="00E41732"/>
    <w:rsid w:val="00E41E00"/>
    <w:rsid w:val="00E45963"/>
    <w:rsid w:val="00E510BE"/>
    <w:rsid w:val="00E61510"/>
    <w:rsid w:val="00E63A44"/>
    <w:rsid w:val="00E731D9"/>
    <w:rsid w:val="00E80A5E"/>
    <w:rsid w:val="00E86DA1"/>
    <w:rsid w:val="00EA33BD"/>
    <w:rsid w:val="00EA7F75"/>
    <w:rsid w:val="00EB6402"/>
    <w:rsid w:val="00EB7511"/>
    <w:rsid w:val="00EE5451"/>
    <w:rsid w:val="00EF1C98"/>
    <w:rsid w:val="00F01848"/>
    <w:rsid w:val="00F126F5"/>
    <w:rsid w:val="00F14985"/>
    <w:rsid w:val="00F21AC0"/>
    <w:rsid w:val="00F24B53"/>
    <w:rsid w:val="00F335C4"/>
    <w:rsid w:val="00F42B24"/>
    <w:rsid w:val="00F44569"/>
    <w:rsid w:val="00F6C484"/>
    <w:rsid w:val="00F75596"/>
    <w:rsid w:val="00F759BC"/>
    <w:rsid w:val="00F866F4"/>
    <w:rsid w:val="00F93930"/>
    <w:rsid w:val="00F95F9A"/>
    <w:rsid w:val="00F96A5D"/>
    <w:rsid w:val="00FA1CF6"/>
    <w:rsid w:val="00FC2361"/>
    <w:rsid w:val="00FC52BB"/>
    <w:rsid w:val="00FC5430"/>
    <w:rsid w:val="00FC7542"/>
    <w:rsid w:val="00FC7E9E"/>
    <w:rsid w:val="00FD105E"/>
    <w:rsid w:val="00FD1369"/>
    <w:rsid w:val="00FE04E3"/>
    <w:rsid w:val="00FE14CA"/>
    <w:rsid w:val="00FE1C1C"/>
    <w:rsid w:val="00FE458E"/>
    <w:rsid w:val="00FF0D95"/>
    <w:rsid w:val="01039227"/>
    <w:rsid w:val="0107F5C2"/>
    <w:rsid w:val="0130D79F"/>
    <w:rsid w:val="013854EB"/>
    <w:rsid w:val="0159D18E"/>
    <w:rsid w:val="017A0BBF"/>
    <w:rsid w:val="017ABCE5"/>
    <w:rsid w:val="01D35CE6"/>
    <w:rsid w:val="01D63F37"/>
    <w:rsid w:val="01DA9163"/>
    <w:rsid w:val="01E06259"/>
    <w:rsid w:val="01F95A17"/>
    <w:rsid w:val="0204788D"/>
    <w:rsid w:val="02088D1A"/>
    <w:rsid w:val="020EB9BC"/>
    <w:rsid w:val="0232FD56"/>
    <w:rsid w:val="023DAF7C"/>
    <w:rsid w:val="02457650"/>
    <w:rsid w:val="027D16C5"/>
    <w:rsid w:val="028E6C99"/>
    <w:rsid w:val="02915C91"/>
    <w:rsid w:val="02D082FF"/>
    <w:rsid w:val="02E5AD2F"/>
    <w:rsid w:val="0302B3B7"/>
    <w:rsid w:val="0304EC0C"/>
    <w:rsid w:val="030A21A3"/>
    <w:rsid w:val="030C7FC9"/>
    <w:rsid w:val="0313C94E"/>
    <w:rsid w:val="03442AFF"/>
    <w:rsid w:val="0349FF93"/>
    <w:rsid w:val="0363498D"/>
    <w:rsid w:val="037C32BA"/>
    <w:rsid w:val="038650C4"/>
    <w:rsid w:val="038CA8A3"/>
    <w:rsid w:val="039801C0"/>
    <w:rsid w:val="03B13DFE"/>
    <w:rsid w:val="03BE918D"/>
    <w:rsid w:val="03D75A83"/>
    <w:rsid w:val="03DD8841"/>
    <w:rsid w:val="03DFED21"/>
    <w:rsid w:val="03E6B92A"/>
    <w:rsid w:val="03F4D2A3"/>
    <w:rsid w:val="0410DAC5"/>
    <w:rsid w:val="0418E726"/>
    <w:rsid w:val="04297D82"/>
    <w:rsid w:val="046D74E9"/>
    <w:rsid w:val="04730F0D"/>
    <w:rsid w:val="04981424"/>
    <w:rsid w:val="04A165C7"/>
    <w:rsid w:val="04AA66FA"/>
    <w:rsid w:val="04AF99AF"/>
    <w:rsid w:val="04D19926"/>
    <w:rsid w:val="050A24B0"/>
    <w:rsid w:val="050EA0F2"/>
    <w:rsid w:val="052A2488"/>
    <w:rsid w:val="052EFD1B"/>
    <w:rsid w:val="0531ED42"/>
    <w:rsid w:val="053796E0"/>
    <w:rsid w:val="05397FBE"/>
    <w:rsid w:val="0547922E"/>
    <w:rsid w:val="05488FAB"/>
    <w:rsid w:val="056527ED"/>
    <w:rsid w:val="0572FFA9"/>
    <w:rsid w:val="057B7CB1"/>
    <w:rsid w:val="05A347A7"/>
    <w:rsid w:val="05C61822"/>
    <w:rsid w:val="05C624D3"/>
    <w:rsid w:val="05CE4BFC"/>
    <w:rsid w:val="05D7034A"/>
    <w:rsid w:val="05FBEC21"/>
    <w:rsid w:val="0620A2AB"/>
    <w:rsid w:val="06211D5C"/>
    <w:rsid w:val="06270678"/>
    <w:rsid w:val="0641BD58"/>
    <w:rsid w:val="064CB888"/>
    <w:rsid w:val="066AAA7C"/>
    <w:rsid w:val="069CCE9B"/>
    <w:rsid w:val="06C2EA3F"/>
    <w:rsid w:val="06C50E53"/>
    <w:rsid w:val="06C7AE5D"/>
    <w:rsid w:val="06CA6C47"/>
    <w:rsid w:val="06F6324F"/>
    <w:rsid w:val="06F8DBFE"/>
    <w:rsid w:val="0734DFC6"/>
    <w:rsid w:val="073F1808"/>
    <w:rsid w:val="075087E8"/>
    <w:rsid w:val="0760C8CB"/>
    <w:rsid w:val="078E6E12"/>
    <w:rsid w:val="07AE2184"/>
    <w:rsid w:val="07B5619C"/>
    <w:rsid w:val="07B7BDDF"/>
    <w:rsid w:val="07B961D4"/>
    <w:rsid w:val="07FB0EB9"/>
    <w:rsid w:val="080F0E8B"/>
    <w:rsid w:val="0860DEB4"/>
    <w:rsid w:val="0862CC8A"/>
    <w:rsid w:val="08768CDD"/>
    <w:rsid w:val="08789B73"/>
    <w:rsid w:val="090CC3E6"/>
    <w:rsid w:val="092A3E73"/>
    <w:rsid w:val="092E0E59"/>
    <w:rsid w:val="09506B5E"/>
    <w:rsid w:val="095895D6"/>
    <w:rsid w:val="098744DB"/>
    <w:rsid w:val="098AF2A9"/>
    <w:rsid w:val="09B5E7B2"/>
    <w:rsid w:val="09EB743E"/>
    <w:rsid w:val="09FA4A29"/>
    <w:rsid w:val="09FD1F73"/>
    <w:rsid w:val="0A111989"/>
    <w:rsid w:val="0A242535"/>
    <w:rsid w:val="0A2DD311"/>
    <w:rsid w:val="0A429139"/>
    <w:rsid w:val="0A7CB7F9"/>
    <w:rsid w:val="0A813EA0"/>
    <w:rsid w:val="0A87C867"/>
    <w:rsid w:val="0A8C8911"/>
    <w:rsid w:val="0A91EE20"/>
    <w:rsid w:val="0AA34667"/>
    <w:rsid w:val="0AAA746D"/>
    <w:rsid w:val="0AAFA3D7"/>
    <w:rsid w:val="0ADB6709"/>
    <w:rsid w:val="0ADFAE1C"/>
    <w:rsid w:val="0AED025E"/>
    <w:rsid w:val="0AF11E21"/>
    <w:rsid w:val="0B0BAB68"/>
    <w:rsid w:val="0B10275E"/>
    <w:rsid w:val="0B1ACB3C"/>
    <w:rsid w:val="0B776082"/>
    <w:rsid w:val="0B7AF990"/>
    <w:rsid w:val="0B850F03"/>
    <w:rsid w:val="0B85AC6F"/>
    <w:rsid w:val="0B883964"/>
    <w:rsid w:val="0BB93204"/>
    <w:rsid w:val="0BBB6BD5"/>
    <w:rsid w:val="0BD1329D"/>
    <w:rsid w:val="0C0DD159"/>
    <w:rsid w:val="0C19E372"/>
    <w:rsid w:val="0C23EB8F"/>
    <w:rsid w:val="0C4644CE"/>
    <w:rsid w:val="0C4FD071"/>
    <w:rsid w:val="0C518089"/>
    <w:rsid w:val="0C82ACB7"/>
    <w:rsid w:val="0CF05587"/>
    <w:rsid w:val="0CF66ABC"/>
    <w:rsid w:val="0CFD0F51"/>
    <w:rsid w:val="0D075075"/>
    <w:rsid w:val="0D16C9F1"/>
    <w:rsid w:val="0D1FE907"/>
    <w:rsid w:val="0D38CDB3"/>
    <w:rsid w:val="0D422F63"/>
    <w:rsid w:val="0D6A3305"/>
    <w:rsid w:val="0D72A5A5"/>
    <w:rsid w:val="0D8184D0"/>
    <w:rsid w:val="0D8D3D10"/>
    <w:rsid w:val="0DABBE43"/>
    <w:rsid w:val="0DBFAA0E"/>
    <w:rsid w:val="0DE14E08"/>
    <w:rsid w:val="0DE2B304"/>
    <w:rsid w:val="0E04A7F8"/>
    <w:rsid w:val="0E16D7F3"/>
    <w:rsid w:val="0E25A463"/>
    <w:rsid w:val="0E301223"/>
    <w:rsid w:val="0E6D71EA"/>
    <w:rsid w:val="0E8958D5"/>
    <w:rsid w:val="0E9D9DF3"/>
    <w:rsid w:val="0EA16805"/>
    <w:rsid w:val="0EABD4BA"/>
    <w:rsid w:val="0EB29A52"/>
    <w:rsid w:val="0EDB888F"/>
    <w:rsid w:val="0EE2A87D"/>
    <w:rsid w:val="0EE918D8"/>
    <w:rsid w:val="0EE94895"/>
    <w:rsid w:val="0F0676E9"/>
    <w:rsid w:val="0F10AC24"/>
    <w:rsid w:val="0F11C423"/>
    <w:rsid w:val="0F21D10A"/>
    <w:rsid w:val="0F49D3E1"/>
    <w:rsid w:val="0F5DEEC0"/>
    <w:rsid w:val="0F82CF6A"/>
    <w:rsid w:val="0FA48BE5"/>
    <w:rsid w:val="0FBB56F1"/>
    <w:rsid w:val="0FCD6471"/>
    <w:rsid w:val="0FD48261"/>
    <w:rsid w:val="0FD66CAB"/>
    <w:rsid w:val="0FE3DC63"/>
    <w:rsid w:val="0FE7FF2D"/>
    <w:rsid w:val="0FE9282A"/>
    <w:rsid w:val="1006EC74"/>
    <w:rsid w:val="101D3CAB"/>
    <w:rsid w:val="101EFF09"/>
    <w:rsid w:val="1031A948"/>
    <w:rsid w:val="1045969F"/>
    <w:rsid w:val="1051C2A4"/>
    <w:rsid w:val="10588026"/>
    <w:rsid w:val="10606CA6"/>
    <w:rsid w:val="10706E75"/>
    <w:rsid w:val="108E6EF7"/>
    <w:rsid w:val="10A2474A"/>
    <w:rsid w:val="10A3F0DE"/>
    <w:rsid w:val="10B2D191"/>
    <w:rsid w:val="10B9117C"/>
    <w:rsid w:val="10CEA27C"/>
    <w:rsid w:val="10E25B34"/>
    <w:rsid w:val="10F2A205"/>
    <w:rsid w:val="11468B2F"/>
    <w:rsid w:val="11473748"/>
    <w:rsid w:val="1177311E"/>
    <w:rsid w:val="1183B269"/>
    <w:rsid w:val="11920603"/>
    <w:rsid w:val="11CC6C31"/>
    <w:rsid w:val="11CD79A9"/>
    <w:rsid w:val="11D1B3AB"/>
    <w:rsid w:val="11D5C0E2"/>
    <w:rsid w:val="11D6FADC"/>
    <w:rsid w:val="11EBD661"/>
    <w:rsid w:val="12341FC8"/>
    <w:rsid w:val="12384480"/>
    <w:rsid w:val="123917D3"/>
    <w:rsid w:val="1252C3A2"/>
    <w:rsid w:val="125C029C"/>
    <w:rsid w:val="1285DCCB"/>
    <w:rsid w:val="1294A5DD"/>
    <w:rsid w:val="12F96FA7"/>
    <w:rsid w:val="132D8098"/>
    <w:rsid w:val="13521725"/>
    <w:rsid w:val="136BCC75"/>
    <w:rsid w:val="137700D7"/>
    <w:rsid w:val="13912364"/>
    <w:rsid w:val="13926D18"/>
    <w:rsid w:val="13A80F37"/>
    <w:rsid w:val="13BA5C49"/>
    <w:rsid w:val="13C6B9C6"/>
    <w:rsid w:val="13D0B5F0"/>
    <w:rsid w:val="13D6E3AE"/>
    <w:rsid w:val="13DECD20"/>
    <w:rsid w:val="13E6604F"/>
    <w:rsid w:val="13F0B23E"/>
    <w:rsid w:val="14538C4F"/>
    <w:rsid w:val="1460D4A8"/>
    <w:rsid w:val="14861977"/>
    <w:rsid w:val="148D94E9"/>
    <w:rsid w:val="14A12FD9"/>
    <w:rsid w:val="14AD9045"/>
    <w:rsid w:val="14BB532B"/>
    <w:rsid w:val="14CA3E3D"/>
    <w:rsid w:val="14F835A6"/>
    <w:rsid w:val="151664C5"/>
    <w:rsid w:val="15237723"/>
    <w:rsid w:val="152FDC0C"/>
    <w:rsid w:val="154D3F5F"/>
    <w:rsid w:val="15577729"/>
    <w:rsid w:val="1588676E"/>
    <w:rsid w:val="15A7D1DB"/>
    <w:rsid w:val="15D1B35A"/>
    <w:rsid w:val="15D6B4FB"/>
    <w:rsid w:val="15DC553F"/>
    <w:rsid w:val="15E366C0"/>
    <w:rsid w:val="15E687AC"/>
    <w:rsid w:val="15F3FF88"/>
    <w:rsid w:val="15FAC060"/>
    <w:rsid w:val="160C2316"/>
    <w:rsid w:val="1613CE00"/>
    <w:rsid w:val="1632EE44"/>
    <w:rsid w:val="1656F9FD"/>
    <w:rsid w:val="16A20DCE"/>
    <w:rsid w:val="16A93205"/>
    <w:rsid w:val="16AB3525"/>
    <w:rsid w:val="16B5C2AD"/>
    <w:rsid w:val="16BF4784"/>
    <w:rsid w:val="16E2A796"/>
    <w:rsid w:val="16E4B622"/>
    <w:rsid w:val="16EA8242"/>
    <w:rsid w:val="170533BE"/>
    <w:rsid w:val="17166DE2"/>
    <w:rsid w:val="171C9BD8"/>
    <w:rsid w:val="1723A49B"/>
    <w:rsid w:val="17402C79"/>
    <w:rsid w:val="175FA95A"/>
    <w:rsid w:val="1772D8E5"/>
    <w:rsid w:val="1782D963"/>
    <w:rsid w:val="1795FB21"/>
    <w:rsid w:val="17B9C0E2"/>
    <w:rsid w:val="17D372EC"/>
    <w:rsid w:val="17DC55DC"/>
    <w:rsid w:val="17E09277"/>
    <w:rsid w:val="17FCBEBD"/>
    <w:rsid w:val="180F9ECB"/>
    <w:rsid w:val="1857D078"/>
    <w:rsid w:val="185DF10C"/>
    <w:rsid w:val="1890D783"/>
    <w:rsid w:val="18BE9416"/>
    <w:rsid w:val="18D2F9CF"/>
    <w:rsid w:val="18E2D777"/>
    <w:rsid w:val="19061F53"/>
    <w:rsid w:val="193EEE79"/>
    <w:rsid w:val="194A075A"/>
    <w:rsid w:val="196406E6"/>
    <w:rsid w:val="19990E2E"/>
    <w:rsid w:val="199B429E"/>
    <w:rsid w:val="199DAF60"/>
    <w:rsid w:val="19B31A32"/>
    <w:rsid w:val="19BF963F"/>
    <w:rsid w:val="19C3BEBC"/>
    <w:rsid w:val="19CBAB28"/>
    <w:rsid w:val="19CCC6DD"/>
    <w:rsid w:val="19EF2BAD"/>
    <w:rsid w:val="1A1AFCD3"/>
    <w:rsid w:val="1A1CAE3B"/>
    <w:rsid w:val="1A240DB6"/>
    <w:rsid w:val="1A36E219"/>
    <w:rsid w:val="1A4FA7B0"/>
    <w:rsid w:val="1A633F1F"/>
    <w:rsid w:val="1A6E3771"/>
    <w:rsid w:val="1A6ECA30"/>
    <w:rsid w:val="1A71619A"/>
    <w:rsid w:val="1A8CF85A"/>
    <w:rsid w:val="1A8E7263"/>
    <w:rsid w:val="1AA65019"/>
    <w:rsid w:val="1AAD58D5"/>
    <w:rsid w:val="1AC8A37B"/>
    <w:rsid w:val="1AEBD5AE"/>
    <w:rsid w:val="1AFA80CF"/>
    <w:rsid w:val="1B1C4921"/>
    <w:rsid w:val="1B81398A"/>
    <w:rsid w:val="1B87DD3D"/>
    <w:rsid w:val="1B92B8A7"/>
    <w:rsid w:val="1B950ED1"/>
    <w:rsid w:val="1B9558F9"/>
    <w:rsid w:val="1BBEBABA"/>
    <w:rsid w:val="1BE094C0"/>
    <w:rsid w:val="1BF17234"/>
    <w:rsid w:val="1BF834B1"/>
    <w:rsid w:val="1C10E80B"/>
    <w:rsid w:val="1C20D51A"/>
    <w:rsid w:val="1C422D3E"/>
    <w:rsid w:val="1C67BBE1"/>
    <w:rsid w:val="1C8C6D53"/>
    <w:rsid w:val="1CA1411A"/>
    <w:rsid w:val="1CB162E5"/>
    <w:rsid w:val="1CF8E02C"/>
    <w:rsid w:val="1D038876"/>
    <w:rsid w:val="1D47743D"/>
    <w:rsid w:val="1D585CB5"/>
    <w:rsid w:val="1D854B16"/>
    <w:rsid w:val="1D86D7E2"/>
    <w:rsid w:val="1D937D8E"/>
    <w:rsid w:val="1DACB86C"/>
    <w:rsid w:val="1DB4FE1F"/>
    <w:rsid w:val="1E13D360"/>
    <w:rsid w:val="1E1CB49F"/>
    <w:rsid w:val="1E2D9001"/>
    <w:rsid w:val="1E318B25"/>
    <w:rsid w:val="1E46464E"/>
    <w:rsid w:val="1E46B4A8"/>
    <w:rsid w:val="1E9073F0"/>
    <w:rsid w:val="1ED59CEE"/>
    <w:rsid w:val="1EE2DFEB"/>
    <w:rsid w:val="1EEE6DF6"/>
    <w:rsid w:val="1F179E0A"/>
    <w:rsid w:val="1F302B3F"/>
    <w:rsid w:val="1F310DA6"/>
    <w:rsid w:val="1F487F45"/>
    <w:rsid w:val="1F50C5E0"/>
    <w:rsid w:val="1F5BF7A5"/>
    <w:rsid w:val="1F72A8D1"/>
    <w:rsid w:val="1F7E8DE3"/>
    <w:rsid w:val="1FB3C78E"/>
    <w:rsid w:val="1FCD5B86"/>
    <w:rsid w:val="1FD501E5"/>
    <w:rsid w:val="1FDBFBDE"/>
    <w:rsid w:val="1FE2A86D"/>
    <w:rsid w:val="203106A2"/>
    <w:rsid w:val="204A2CAC"/>
    <w:rsid w:val="2062D0FB"/>
    <w:rsid w:val="206629CA"/>
    <w:rsid w:val="2072051F"/>
    <w:rsid w:val="20CEC890"/>
    <w:rsid w:val="20D07182"/>
    <w:rsid w:val="20ED1819"/>
    <w:rsid w:val="20F14A83"/>
    <w:rsid w:val="2103D469"/>
    <w:rsid w:val="210E0765"/>
    <w:rsid w:val="21794982"/>
    <w:rsid w:val="218DD2F5"/>
    <w:rsid w:val="2194C7DE"/>
    <w:rsid w:val="2195491C"/>
    <w:rsid w:val="219EC0BD"/>
    <w:rsid w:val="21C45FE5"/>
    <w:rsid w:val="220E88A8"/>
    <w:rsid w:val="221926DB"/>
    <w:rsid w:val="2234131B"/>
    <w:rsid w:val="223B66ED"/>
    <w:rsid w:val="225D3C4B"/>
    <w:rsid w:val="2279DC15"/>
    <w:rsid w:val="227D9A45"/>
    <w:rsid w:val="2293870E"/>
    <w:rsid w:val="22AE5876"/>
    <w:rsid w:val="22DAF974"/>
    <w:rsid w:val="22ED0906"/>
    <w:rsid w:val="22F8E00C"/>
    <w:rsid w:val="22FFE8C8"/>
    <w:rsid w:val="230118F9"/>
    <w:rsid w:val="231A9375"/>
    <w:rsid w:val="235E1C38"/>
    <w:rsid w:val="23678E6A"/>
    <w:rsid w:val="2373E411"/>
    <w:rsid w:val="2374280C"/>
    <w:rsid w:val="238CE49E"/>
    <w:rsid w:val="23A18DBE"/>
    <w:rsid w:val="23A57D8B"/>
    <w:rsid w:val="23A89828"/>
    <w:rsid w:val="23AF653E"/>
    <w:rsid w:val="23B4E300"/>
    <w:rsid w:val="23C1DF19"/>
    <w:rsid w:val="23F2ACFD"/>
    <w:rsid w:val="23FEAC1F"/>
    <w:rsid w:val="2404719F"/>
    <w:rsid w:val="240BF9F6"/>
    <w:rsid w:val="2411E28D"/>
    <w:rsid w:val="24132A54"/>
    <w:rsid w:val="243DB959"/>
    <w:rsid w:val="2448F690"/>
    <w:rsid w:val="2452D849"/>
    <w:rsid w:val="247A6732"/>
    <w:rsid w:val="249843EA"/>
    <w:rsid w:val="249D78E0"/>
    <w:rsid w:val="24BE682C"/>
    <w:rsid w:val="24E83346"/>
    <w:rsid w:val="25010EB0"/>
    <w:rsid w:val="2531A526"/>
    <w:rsid w:val="25490BDC"/>
    <w:rsid w:val="25765EA1"/>
    <w:rsid w:val="257A5D30"/>
    <w:rsid w:val="25B9DC4C"/>
    <w:rsid w:val="25BD0DD9"/>
    <w:rsid w:val="25C38F14"/>
    <w:rsid w:val="25CB27D0"/>
    <w:rsid w:val="25D6EA43"/>
    <w:rsid w:val="25E0EADD"/>
    <w:rsid w:val="260DFABE"/>
    <w:rsid w:val="2626D2CB"/>
    <w:rsid w:val="263C01D1"/>
    <w:rsid w:val="263C9D0A"/>
    <w:rsid w:val="263CFC37"/>
    <w:rsid w:val="2640BF9C"/>
    <w:rsid w:val="26426428"/>
    <w:rsid w:val="26429242"/>
    <w:rsid w:val="26448A90"/>
    <w:rsid w:val="264D3C37"/>
    <w:rsid w:val="2655760C"/>
    <w:rsid w:val="266B189D"/>
    <w:rsid w:val="268984AE"/>
    <w:rsid w:val="269264E7"/>
    <w:rsid w:val="26A4BF32"/>
    <w:rsid w:val="26C0CB8A"/>
    <w:rsid w:val="26DB93E3"/>
    <w:rsid w:val="26DDE574"/>
    <w:rsid w:val="2702C11A"/>
    <w:rsid w:val="270A7E44"/>
    <w:rsid w:val="271FA7AF"/>
    <w:rsid w:val="273C1261"/>
    <w:rsid w:val="273EA398"/>
    <w:rsid w:val="27419E2C"/>
    <w:rsid w:val="276B8729"/>
    <w:rsid w:val="276C54A1"/>
    <w:rsid w:val="2797A6D1"/>
    <w:rsid w:val="279B2431"/>
    <w:rsid w:val="27ADB218"/>
    <w:rsid w:val="27B62C3F"/>
    <w:rsid w:val="27BE9FB4"/>
    <w:rsid w:val="27C64664"/>
    <w:rsid w:val="27CFE4AC"/>
    <w:rsid w:val="27E26D2D"/>
    <w:rsid w:val="285FC651"/>
    <w:rsid w:val="2879B5D5"/>
    <w:rsid w:val="2884A760"/>
    <w:rsid w:val="2894E7F8"/>
    <w:rsid w:val="289E317B"/>
    <w:rsid w:val="28A7372C"/>
    <w:rsid w:val="28E01638"/>
    <w:rsid w:val="28EFF595"/>
    <w:rsid w:val="290B1AB3"/>
    <w:rsid w:val="292CBA96"/>
    <w:rsid w:val="29353E99"/>
    <w:rsid w:val="296FAE64"/>
    <w:rsid w:val="298788F0"/>
    <w:rsid w:val="298AFC6A"/>
    <w:rsid w:val="2991C980"/>
    <w:rsid w:val="29ACD2D8"/>
    <w:rsid w:val="29BC6973"/>
    <w:rsid w:val="29D41CA8"/>
    <w:rsid w:val="29D7F71D"/>
    <w:rsid w:val="29EF98B4"/>
    <w:rsid w:val="2A00919F"/>
    <w:rsid w:val="2A05D4AD"/>
    <w:rsid w:val="2A2732A9"/>
    <w:rsid w:val="2A390E23"/>
    <w:rsid w:val="2A3BBAAF"/>
    <w:rsid w:val="2A56F554"/>
    <w:rsid w:val="2A6E96D6"/>
    <w:rsid w:val="2A7CFD84"/>
    <w:rsid w:val="2A824738"/>
    <w:rsid w:val="2A9E6981"/>
    <w:rsid w:val="2ABCD405"/>
    <w:rsid w:val="2AC00CFF"/>
    <w:rsid w:val="2B07856E"/>
    <w:rsid w:val="2B5EB6FC"/>
    <w:rsid w:val="2B65D60A"/>
    <w:rsid w:val="2B8494DA"/>
    <w:rsid w:val="2B96F85A"/>
    <w:rsid w:val="2BA7CB07"/>
    <w:rsid w:val="2BB41CC1"/>
    <w:rsid w:val="2BDBE694"/>
    <w:rsid w:val="2BDE9366"/>
    <w:rsid w:val="2BDED7EE"/>
    <w:rsid w:val="2BEEC7F8"/>
    <w:rsid w:val="2BF491F6"/>
    <w:rsid w:val="2C0005A1"/>
    <w:rsid w:val="2C18F4B0"/>
    <w:rsid w:val="2C1EDC20"/>
    <w:rsid w:val="2C2EF95B"/>
    <w:rsid w:val="2C47601B"/>
    <w:rsid w:val="2C48CB3E"/>
    <w:rsid w:val="2C579C6B"/>
    <w:rsid w:val="2C6CDF5B"/>
    <w:rsid w:val="2C9AE5D7"/>
    <w:rsid w:val="2CAE05DC"/>
    <w:rsid w:val="2CAE12E3"/>
    <w:rsid w:val="2CC2DA2C"/>
    <w:rsid w:val="2CC8A177"/>
    <w:rsid w:val="2CCC2757"/>
    <w:rsid w:val="2CD5B851"/>
    <w:rsid w:val="2CE6A113"/>
    <w:rsid w:val="2CE86685"/>
    <w:rsid w:val="2CED9039"/>
    <w:rsid w:val="2CF36172"/>
    <w:rsid w:val="2CF50109"/>
    <w:rsid w:val="2D05ABFF"/>
    <w:rsid w:val="2D333774"/>
    <w:rsid w:val="2D49942E"/>
    <w:rsid w:val="2D68C15F"/>
    <w:rsid w:val="2D6AB214"/>
    <w:rsid w:val="2D7AA84F"/>
    <w:rsid w:val="2D90F554"/>
    <w:rsid w:val="2D9F4A53"/>
    <w:rsid w:val="2DADD354"/>
    <w:rsid w:val="2DC66407"/>
    <w:rsid w:val="2DCAC9BC"/>
    <w:rsid w:val="2DCFD050"/>
    <w:rsid w:val="2DE23F4F"/>
    <w:rsid w:val="2DF403F8"/>
    <w:rsid w:val="2E512D35"/>
    <w:rsid w:val="2E782100"/>
    <w:rsid w:val="2E95FBD3"/>
    <w:rsid w:val="2E9D76CC"/>
    <w:rsid w:val="2EAF6593"/>
    <w:rsid w:val="2ECE991C"/>
    <w:rsid w:val="2ED6723B"/>
    <w:rsid w:val="2F21E8A7"/>
    <w:rsid w:val="2F242566"/>
    <w:rsid w:val="2F47B840"/>
    <w:rsid w:val="2F5CB99B"/>
    <w:rsid w:val="2F6AE011"/>
    <w:rsid w:val="2F7C960A"/>
    <w:rsid w:val="2F806C00"/>
    <w:rsid w:val="2FAF4CE3"/>
    <w:rsid w:val="2FB504B2"/>
    <w:rsid w:val="2FB52566"/>
    <w:rsid w:val="2FB97C7C"/>
    <w:rsid w:val="2FDB803E"/>
    <w:rsid w:val="2FDEEFE8"/>
    <w:rsid w:val="2FE2E417"/>
    <w:rsid w:val="3019D156"/>
    <w:rsid w:val="30317D9C"/>
    <w:rsid w:val="3032938C"/>
    <w:rsid w:val="3067509F"/>
    <w:rsid w:val="30A06221"/>
    <w:rsid w:val="30B09CA9"/>
    <w:rsid w:val="30FDE525"/>
    <w:rsid w:val="30FEB46E"/>
    <w:rsid w:val="30FFF6D4"/>
    <w:rsid w:val="310FD0F5"/>
    <w:rsid w:val="31103467"/>
    <w:rsid w:val="3114990D"/>
    <w:rsid w:val="3134C90B"/>
    <w:rsid w:val="315C6C8E"/>
    <w:rsid w:val="3161160F"/>
    <w:rsid w:val="3166662F"/>
    <w:rsid w:val="3166F91C"/>
    <w:rsid w:val="317AF53D"/>
    <w:rsid w:val="3198E6DB"/>
    <w:rsid w:val="319CD464"/>
    <w:rsid w:val="31A6A05D"/>
    <w:rsid w:val="31AE8DF4"/>
    <w:rsid w:val="31C4C559"/>
    <w:rsid w:val="31D938B8"/>
    <w:rsid w:val="31E2C3EF"/>
    <w:rsid w:val="32200B7B"/>
    <w:rsid w:val="325E097C"/>
    <w:rsid w:val="3261E6A3"/>
    <w:rsid w:val="3273E6E5"/>
    <w:rsid w:val="327447CC"/>
    <w:rsid w:val="3279F75D"/>
    <w:rsid w:val="32DF4599"/>
    <w:rsid w:val="3338A4C5"/>
    <w:rsid w:val="334B3888"/>
    <w:rsid w:val="334BC23D"/>
    <w:rsid w:val="334D3DBC"/>
    <w:rsid w:val="335322B6"/>
    <w:rsid w:val="3370E7EF"/>
    <w:rsid w:val="337F17E4"/>
    <w:rsid w:val="339CA923"/>
    <w:rsid w:val="33BBDBDC"/>
    <w:rsid w:val="33BD8C7F"/>
    <w:rsid w:val="33FA6E0C"/>
    <w:rsid w:val="34217E4E"/>
    <w:rsid w:val="342FF3DD"/>
    <w:rsid w:val="343B4803"/>
    <w:rsid w:val="34461A8C"/>
    <w:rsid w:val="34575B06"/>
    <w:rsid w:val="346BE104"/>
    <w:rsid w:val="34856B42"/>
    <w:rsid w:val="348AE43D"/>
    <w:rsid w:val="34B2BDE3"/>
    <w:rsid w:val="34B76FAD"/>
    <w:rsid w:val="34D1D714"/>
    <w:rsid w:val="34FC661B"/>
    <w:rsid w:val="3511ED73"/>
    <w:rsid w:val="35512BCF"/>
    <w:rsid w:val="35A07B7F"/>
    <w:rsid w:val="35A5B807"/>
    <w:rsid w:val="35AA182D"/>
    <w:rsid w:val="35DE679B"/>
    <w:rsid w:val="35E93920"/>
    <w:rsid w:val="35FD223F"/>
    <w:rsid w:val="3635090F"/>
    <w:rsid w:val="368912DA"/>
    <w:rsid w:val="368A2713"/>
    <w:rsid w:val="36B07637"/>
    <w:rsid w:val="36B3FD55"/>
    <w:rsid w:val="36F54D9F"/>
    <w:rsid w:val="36F6A89C"/>
    <w:rsid w:val="37048764"/>
    <w:rsid w:val="372216A1"/>
    <w:rsid w:val="375734BA"/>
    <w:rsid w:val="3771AC02"/>
    <w:rsid w:val="3771E952"/>
    <w:rsid w:val="37797905"/>
    <w:rsid w:val="37980FA9"/>
    <w:rsid w:val="37A07168"/>
    <w:rsid w:val="37AFC56E"/>
    <w:rsid w:val="37B0D602"/>
    <w:rsid w:val="37BBCE71"/>
    <w:rsid w:val="37C686C4"/>
    <w:rsid w:val="37D09CCD"/>
    <w:rsid w:val="37E77765"/>
    <w:rsid w:val="37E908C2"/>
    <w:rsid w:val="37EA912A"/>
    <w:rsid w:val="37F848A4"/>
    <w:rsid w:val="3807A07F"/>
    <w:rsid w:val="380B737C"/>
    <w:rsid w:val="380D36C1"/>
    <w:rsid w:val="3833F790"/>
    <w:rsid w:val="384C4698"/>
    <w:rsid w:val="385C5305"/>
    <w:rsid w:val="3877BD15"/>
    <w:rsid w:val="38874C51"/>
    <w:rsid w:val="38B76B0A"/>
    <w:rsid w:val="38BB99B6"/>
    <w:rsid w:val="38C137FB"/>
    <w:rsid w:val="38CC551D"/>
    <w:rsid w:val="38CD4B00"/>
    <w:rsid w:val="38D81BF8"/>
    <w:rsid w:val="38F9FD54"/>
    <w:rsid w:val="3913A0EB"/>
    <w:rsid w:val="393DFF1F"/>
    <w:rsid w:val="396D7E02"/>
    <w:rsid w:val="398EBDEC"/>
    <w:rsid w:val="39A7E649"/>
    <w:rsid w:val="39C0B39C"/>
    <w:rsid w:val="3A00D2DF"/>
    <w:rsid w:val="3A2B1D60"/>
    <w:rsid w:val="3A327EEC"/>
    <w:rsid w:val="3A5DDD32"/>
    <w:rsid w:val="3A6118DD"/>
    <w:rsid w:val="3A6B234A"/>
    <w:rsid w:val="3A755FFB"/>
    <w:rsid w:val="3A90EF36"/>
    <w:rsid w:val="3AA70153"/>
    <w:rsid w:val="3AC12E65"/>
    <w:rsid w:val="3AC3DDAB"/>
    <w:rsid w:val="3ACB0C2D"/>
    <w:rsid w:val="3B07DB58"/>
    <w:rsid w:val="3B157604"/>
    <w:rsid w:val="3B220848"/>
    <w:rsid w:val="3B274EAF"/>
    <w:rsid w:val="3B292EE5"/>
    <w:rsid w:val="3B3D7BAB"/>
    <w:rsid w:val="3B53DD80"/>
    <w:rsid w:val="3B66B489"/>
    <w:rsid w:val="3B78D6DC"/>
    <w:rsid w:val="3B79B6D2"/>
    <w:rsid w:val="3B7DF047"/>
    <w:rsid w:val="3B8CFB5E"/>
    <w:rsid w:val="3BAA2FCB"/>
    <w:rsid w:val="3BC6B099"/>
    <w:rsid w:val="3BD96B2C"/>
    <w:rsid w:val="3BEB024E"/>
    <w:rsid w:val="3BFDF5B5"/>
    <w:rsid w:val="3C169DFD"/>
    <w:rsid w:val="3C7C9EBC"/>
    <w:rsid w:val="3C832B9F"/>
    <w:rsid w:val="3C92BE8D"/>
    <w:rsid w:val="3CAA7FFC"/>
    <w:rsid w:val="3CB0C781"/>
    <w:rsid w:val="3CBCF8F6"/>
    <w:rsid w:val="3CC9EFDE"/>
    <w:rsid w:val="3CE49100"/>
    <w:rsid w:val="3D17CA35"/>
    <w:rsid w:val="3D412F48"/>
    <w:rsid w:val="3D5891AD"/>
    <w:rsid w:val="3D7EE529"/>
    <w:rsid w:val="3D86D2AF"/>
    <w:rsid w:val="3D9790BE"/>
    <w:rsid w:val="3D9D7AC8"/>
    <w:rsid w:val="3DAF550F"/>
    <w:rsid w:val="3DBDADC6"/>
    <w:rsid w:val="3DF2D9CA"/>
    <w:rsid w:val="3DF44B05"/>
    <w:rsid w:val="3E12173B"/>
    <w:rsid w:val="3E165BD2"/>
    <w:rsid w:val="3E2D1D28"/>
    <w:rsid w:val="3E303141"/>
    <w:rsid w:val="3E3425E4"/>
    <w:rsid w:val="3E48087A"/>
    <w:rsid w:val="3E4CEAC8"/>
    <w:rsid w:val="3E50F5F7"/>
    <w:rsid w:val="3E577F2B"/>
    <w:rsid w:val="3E713EF0"/>
    <w:rsid w:val="3E82FB53"/>
    <w:rsid w:val="3E90F8C0"/>
    <w:rsid w:val="3EC2F38B"/>
    <w:rsid w:val="3ECA66FB"/>
    <w:rsid w:val="3EDB1D68"/>
    <w:rsid w:val="3EFD7D19"/>
    <w:rsid w:val="3F062891"/>
    <w:rsid w:val="3F0AB157"/>
    <w:rsid w:val="3F1AB58A"/>
    <w:rsid w:val="3F351E74"/>
    <w:rsid w:val="3F46DAC2"/>
    <w:rsid w:val="3F50697D"/>
    <w:rsid w:val="3F7B5837"/>
    <w:rsid w:val="3F953050"/>
    <w:rsid w:val="3F9EE5BA"/>
    <w:rsid w:val="3FF513B2"/>
    <w:rsid w:val="3FFBCBA3"/>
    <w:rsid w:val="4022607F"/>
    <w:rsid w:val="403423E5"/>
    <w:rsid w:val="40594417"/>
    <w:rsid w:val="4062C876"/>
    <w:rsid w:val="40730DFF"/>
    <w:rsid w:val="40B5D668"/>
    <w:rsid w:val="40B5D843"/>
    <w:rsid w:val="40BE7371"/>
    <w:rsid w:val="40C3886E"/>
    <w:rsid w:val="40D97864"/>
    <w:rsid w:val="40F41F90"/>
    <w:rsid w:val="40F74092"/>
    <w:rsid w:val="40FE6548"/>
    <w:rsid w:val="410CD2BC"/>
    <w:rsid w:val="41139ECB"/>
    <w:rsid w:val="41163D84"/>
    <w:rsid w:val="411CA450"/>
    <w:rsid w:val="412E2B51"/>
    <w:rsid w:val="412FBA6F"/>
    <w:rsid w:val="4130070B"/>
    <w:rsid w:val="414E913E"/>
    <w:rsid w:val="415A97E9"/>
    <w:rsid w:val="416093EE"/>
    <w:rsid w:val="417A7D05"/>
    <w:rsid w:val="41D84820"/>
    <w:rsid w:val="41EC5D52"/>
    <w:rsid w:val="424C38F3"/>
    <w:rsid w:val="426EF2EF"/>
    <w:rsid w:val="427DE87B"/>
    <w:rsid w:val="428694DC"/>
    <w:rsid w:val="428FEFF1"/>
    <w:rsid w:val="42A665F4"/>
    <w:rsid w:val="42BF34F2"/>
    <w:rsid w:val="42C4DE05"/>
    <w:rsid w:val="42C6419E"/>
    <w:rsid w:val="42C94FE8"/>
    <w:rsid w:val="42DA22BA"/>
    <w:rsid w:val="42DB05A1"/>
    <w:rsid w:val="42E1EE30"/>
    <w:rsid w:val="42F6684A"/>
    <w:rsid w:val="42FB942A"/>
    <w:rsid w:val="4302459E"/>
    <w:rsid w:val="4321AA9D"/>
    <w:rsid w:val="43246B7E"/>
    <w:rsid w:val="43410ADE"/>
    <w:rsid w:val="436795E2"/>
    <w:rsid w:val="438CB5DE"/>
    <w:rsid w:val="43B19D83"/>
    <w:rsid w:val="43B93216"/>
    <w:rsid w:val="43E2A8DC"/>
    <w:rsid w:val="43EC775F"/>
    <w:rsid w:val="43F61433"/>
    <w:rsid w:val="44036076"/>
    <w:rsid w:val="44036EF9"/>
    <w:rsid w:val="440E05C0"/>
    <w:rsid w:val="441AF19C"/>
    <w:rsid w:val="44246B96"/>
    <w:rsid w:val="4430B933"/>
    <w:rsid w:val="44323C8B"/>
    <w:rsid w:val="4433F132"/>
    <w:rsid w:val="44447644"/>
    <w:rsid w:val="44534533"/>
    <w:rsid w:val="44844F19"/>
    <w:rsid w:val="448A47B9"/>
    <w:rsid w:val="448D300C"/>
    <w:rsid w:val="44B4D56F"/>
    <w:rsid w:val="44BA026F"/>
    <w:rsid w:val="44BA0C29"/>
    <w:rsid w:val="44BD96A5"/>
    <w:rsid w:val="44C884D5"/>
    <w:rsid w:val="4501092B"/>
    <w:rsid w:val="45120E5B"/>
    <w:rsid w:val="4518313E"/>
    <w:rsid w:val="45210DD8"/>
    <w:rsid w:val="45263D59"/>
    <w:rsid w:val="45327551"/>
    <w:rsid w:val="453AB6AF"/>
    <w:rsid w:val="454957F0"/>
    <w:rsid w:val="45539640"/>
    <w:rsid w:val="45547919"/>
    <w:rsid w:val="458879AA"/>
    <w:rsid w:val="45967A8C"/>
    <w:rsid w:val="45A0BD03"/>
    <w:rsid w:val="45C790B3"/>
    <w:rsid w:val="45E7B6F0"/>
    <w:rsid w:val="460FD268"/>
    <w:rsid w:val="462CA07B"/>
    <w:rsid w:val="462D8383"/>
    <w:rsid w:val="4646042F"/>
    <w:rsid w:val="4646CF50"/>
    <w:rsid w:val="46486A9D"/>
    <w:rsid w:val="46812E8A"/>
    <w:rsid w:val="4684FF3E"/>
    <w:rsid w:val="46853F56"/>
    <w:rsid w:val="468BB8C5"/>
    <w:rsid w:val="4694316A"/>
    <w:rsid w:val="469E936E"/>
    <w:rsid w:val="46A7242A"/>
    <w:rsid w:val="46ADDEBC"/>
    <w:rsid w:val="46B56767"/>
    <w:rsid w:val="46B66E47"/>
    <w:rsid w:val="46BE0204"/>
    <w:rsid w:val="46DA971F"/>
    <w:rsid w:val="46F9BDD6"/>
    <w:rsid w:val="470C62A4"/>
    <w:rsid w:val="4715C620"/>
    <w:rsid w:val="471D3BE8"/>
    <w:rsid w:val="472DA647"/>
    <w:rsid w:val="47369634"/>
    <w:rsid w:val="473F9BE5"/>
    <w:rsid w:val="476D4231"/>
    <w:rsid w:val="47BA00A5"/>
    <w:rsid w:val="47BCF8DC"/>
    <w:rsid w:val="47C72A52"/>
    <w:rsid w:val="47E7A9E2"/>
    <w:rsid w:val="48523EA8"/>
    <w:rsid w:val="487A6455"/>
    <w:rsid w:val="48982438"/>
    <w:rsid w:val="489CD3B1"/>
    <w:rsid w:val="48C90A66"/>
    <w:rsid w:val="48E3A279"/>
    <w:rsid w:val="48E903D6"/>
    <w:rsid w:val="48FB670E"/>
    <w:rsid w:val="49052A3F"/>
    <w:rsid w:val="49388ADD"/>
    <w:rsid w:val="493AAE31"/>
    <w:rsid w:val="4954C90B"/>
    <w:rsid w:val="49671BB3"/>
    <w:rsid w:val="497BECA4"/>
    <w:rsid w:val="499CF8C4"/>
    <w:rsid w:val="49BA975E"/>
    <w:rsid w:val="49BE0960"/>
    <w:rsid w:val="49C52D5C"/>
    <w:rsid w:val="49C66D32"/>
    <w:rsid w:val="49F292D1"/>
    <w:rsid w:val="4A02B402"/>
    <w:rsid w:val="4A06C5C4"/>
    <w:rsid w:val="4A30E725"/>
    <w:rsid w:val="4A4671D3"/>
    <w:rsid w:val="4A746C7A"/>
    <w:rsid w:val="4A9689A0"/>
    <w:rsid w:val="4ABDBECB"/>
    <w:rsid w:val="4AD771E6"/>
    <w:rsid w:val="4AE85E22"/>
    <w:rsid w:val="4AE8E1C6"/>
    <w:rsid w:val="4AED305E"/>
    <w:rsid w:val="4AED78DF"/>
    <w:rsid w:val="4B0D7563"/>
    <w:rsid w:val="4B0DAE86"/>
    <w:rsid w:val="4B16BD4F"/>
    <w:rsid w:val="4B26990D"/>
    <w:rsid w:val="4B59A0D9"/>
    <w:rsid w:val="4B777E35"/>
    <w:rsid w:val="4B97977A"/>
    <w:rsid w:val="4BA1F389"/>
    <w:rsid w:val="4BBC2749"/>
    <w:rsid w:val="4BC4B307"/>
    <w:rsid w:val="4BFDE881"/>
    <w:rsid w:val="4C0E55E1"/>
    <w:rsid w:val="4C2F7D7B"/>
    <w:rsid w:val="4C6B422C"/>
    <w:rsid w:val="4C74658B"/>
    <w:rsid w:val="4CF30FCF"/>
    <w:rsid w:val="4CF60B8B"/>
    <w:rsid w:val="4D036A51"/>
    <w:rsid w:val="4D1665AE"/>
    <w:rsid w:val="4D219216"/>
    <w:rsid w:val="4D48B51E"/>
    <w:rsid w:val="4D49E7B1"/>
    <w:rsid w:val="4D7BA428"/>
    <w:rsid w:val="4D8126B2"/>
    <w:rsid w:val="4D8F0BB8"/>
    <w:rsid w:val="4DA5D7B8"/>
    <w:rsid w:val="4DAF696C"/>
    <w:rsid w:val="4DBC11CE"/>
    <w:rsid w:val="4DBF3D84"/>
    <w:rsid w:val="4DF8CA35"/>
    <w:rsid w:val="4E0D5C69"/>
    <w:rsid w:val="4E1F4FC2"/>
    <w:rsid w:val="4E208288"/>
    <w:rsid w:val="4E3131E1"/>
    <w:rsid w:val="4E320AD6"/>
    <w:rsid w:val="4E3ED095"/>
    <w:rsid w:val="4E4B1831"/>
    <w:rsid w:val="4E6B5CA1"/>
    <w:rsid w:val="4E917A83"/>
    <w:rsid w:val="4E990DB2"/>
    <w:rsid w:val="4EA3595F"/>
    <w:rsid w:val="4EB19A07"/>
    <w:rsid w:val="4EC79483"/>
    <w:rsid w:val="4EC8444D"/>
    <w:rsid w:val="4ED1ABE6"/>
    <w:rsid w:val="4EF36B4F"/>
    <w:rsid w:val="4F109A8E"/>
    <w:rsid w:val="4F2E01ED"/>
    <w:rsid w:val="4F473F75"/>
    <w:rsid w:val="4F522BA5"/>
    <w:rsid w:val="4F567E9F"/>
    <w:rsid w:val="4F5B3CEA"/>
    <w:rsid w:val="4F5E50E6"/>
    <w:rsid w:val="4F7A2D69"/>
    <w:rsid w:val="4F867CFD"/>
    <w:rsid w:val="4FA77DF5"/>
    <w:rsid w:val="4FBF78FD"/>
    <w:rsid w:val="4FCC1F3B"/>
    <w:rsid w:val="4FEF6819"/>
    <w:rsid w:val="502438D5"/>
    <w:rsid w:val="50482C70"/>
    <w:rsid w:val="504E0670"/>
    <w:rsid w:val="506364E4"/>
    <w:rsid w:val="5083BDFE"/>
    <w:rsid w:val="508F3BB0"/>
    <w:rsid w:val="50C4501D"/>
    <w:rsid w:val="50DD787A"/>
    <w:rsid w:val="50E7BFE8"/>
    <w:rsid w:val="5107735E"/>
    <w:rsid w:val="51376CF6"/>
    <w:rsid w:val="515E0B6E"/>
    <w:rsid w:val="51997277"/>
    <w:rsid w:val="51A8AD07"/>
    <w:rsid w:val="51DCC37D"/>
    <w:rsid w:val="5209C451"/>
    <w:rsid w:val="5209E186"/>
    <w:rsid w:val="5221BBA3"/>
    <w:rsid w:val="52491B42"/>
    <w:rsid w:val="52944E4E"/>
    <w:rsid w:val="52A7CDE3"/>
    <w:rsid w:val="52B9D94A"/>
    <w:rsid w:val="52CAA704"/>
    <w:rsid w:val="52E2E87E"/>
    <w:rsid w:val="53087F94"/>
    <w:rsid w:val="5308E70D"/>
    <w:rsid w:val="531C5390"/>
    <w:rsid w:val="532E13AB"/>
    <w:rsid w:val="53355A29"/>
    <w:rsid w:val="53BBCCB4"/>
    <w:rsid w:val="53BD16FC"/>
    <w:rsid w:val="53C1D68D"/>
    <w:rsid w:val="53D21BF0"/>
    <w:rsid w:val="53E79366"/>
    <w:rsid w:val="53FBF0DF"/>
    <w:rsid w:val="54461D22"/>
    <w:rsid w:val="544CA0A0"/>
    <w:rsid w:val="547C1F22"/>
    <w:rsid w:val="54AAE3F8"/>
    <w:rsid w:val="54B5D7B6"/>
    <w:rsid w:val="54D4DBAC"/>
    <w:rsid w:val="54F6B983"/>
    <w:rsid w:val="54FC0199"/>
    <w:rsid w:val="55217793"/>
    <w:rsid w:val="553EF500"/>
    <w:rsid w:val="554DC77C"/>
    <w:rsid w:val="5597C140"/>
    <w:rsid w:val="5599EA8C"/>
    <w:rsid w:val="55A8085E"/>
    <w:rsid w:val="561A248D"/>
    <w:rsid w:val="561B8800"/>
    <w:rsid w:val="565D7CFD"/>
    <w:rsid w:val="568AF6DA"/>
    <w:rsid w:val="5697D1FA"/>
    <w:rsid w:val="569C0869"/>
    <w:rsid w:val="56A98BE6"/>
    <w:rsid w:val="56AA6D6C"/>
    <w:rsid w:val="56B15BD7"/>
    <w:rsid w:val="56BD47F4"/>
    <w:rsid w:val="56CB0C89"/>
    <w:rsid w:val="56DAFF6D"/>
    <w:rsid w:val="56E70033"/>
    <w:rsid w:val="56F47EE0"/>
    <w:rsid w:val="56FE7D34"/>
    <w:rsid w:val="5702D63D"/>
    <w:rsid w:val="577241EA"/>
    <w:rsid w:val="57740926"/>
    <w:rsid w:val="577413E0"/>
    <w:rsid w:val="579C266C"/>
    <w:rsid w:val="57AF6A58"/>
    <w:rsid w:val="57BBE9D6"/>
    <w:rsid w:val="57F957D1"/>
    <w:rsid w:val="57FA21A0"/>
    <w:rsid w:val="581E5688"/>
    <w:rsid w:val="58404A4F"/>
    <w:rsid w:val="58418625"/>
    <w:rsid w:val="5857FF63"/>
    <w:rsid w:val="586BF6D6"/>
    <w:rsid w:val="58727C1F"/>
    <w:rsid w:val="5872C34E"/>
    <w:rsid w:val="58752098"/>
    <w:rsid w:val="58BE61B2"/>
    <w:rsid w:val="58D2A3E4"/>
    <w:rsid w:val="58DFA920"/>
    <w:rsid w:val="58EC260E"/>
    <w:rsid w:val="58EDD1C4"/>
    <w:rsid w:val="5914F49F"/>
    <w:rsid w:val="59697409"/>
    <w:rsid w:val="596D49F9"/>
    <w:rsid w:val="596F8E27"/>
    <w:rsid w:val="597B3182"/>
    <w:rsid w:val="59822D22"/>
    <w:rsid w:val="5984B9CB"/>
    <w:rsid w:val="59C12E52"/>
    <w:rsid w:val="59CEF30B"/>
    <w:rsid w:val="5A30F2F7"/>
    <w:rsid w:val="5A45ECF5"/>
    <w:rsid w:val="5A5B4E71"/>
    <w:rsid w:val="5A7943E5"/>
    <w:rsid w:val="5A7B7981"/>
    <w:rsid w:val="5A7C9853"/>
    <w:rsid w:val="5A973908"/>
    <w:rsid w:val="5A9D81EB"/>
    <w:rsid w:val="5AA9E2AC"/>
    <w:rsid w:val="5AB43DC0"/>
    <w:rsid w:val="5AED95B0"/>
    <w:rsid w:val="5B3E3795"/>
    <w:rsid w:val="5B3F29E0"/>
    <w:rsid w:val="5B77EB11"/>
    <w:rsid w:val="5BB5A8CA"/>
    <w:rsid w:val="5BDE5CDC"/>
    <w:rsid w:val="5BF60274"/>
    <w:rsid w:val="5C003B14"/>
    <w:rsid w:val="5C164730"/>
    <w:rsid w:val="5C2D2297"/>
    <w:rsid w:val="5C62432B"/>
    <w:rsid w:val="5C6ADCDE"/>
    <w:rsid w:val="5CBF5750"/>
    <w:rsid w:val="5CC633DB"/>
    <w:rsid w:val="5CD09227"/>
    <w:rsid w:val="5D17FD9C"/>
    <w:rsid w:val="5D1E86B2"/>
    <w:rsid w:val="5D31887A"/>
    <w:rsid w:val="5D3B3190"/>
    <w:rsid w:val="5D49DDD1"/>
    <w:rsid w:val="5D51792B"/>
    <w:rsid w:val="5D5FF9CF"/>
    <w:rsid w:val="5D91C7F2"/>
    <w:rsid w:val="5DA92FCF"/>
    <w:rsid w:val="5DAB2CBD"/>
    <w:rsid w:val="5DDAF8B5"/>
    <w:rsid w:val="5DF57A60"/>
    <w:rsid w:val="5DF851E1"/>
    <w:rsid w:val="5E1647B0"/>
    <w:rsid w:val="5E199F50"/>
    <w:rsid w:val="5E27C515"/>
    <w:rsid w:val="5E3E93D8"/>
    <w:rsid w:val="5E541037"/>
    <w:rsid w:val="5E55C76B"/>
    <w:rsid w:val="5E5B27B1"/>
    <w:rsid w:val="5E7F268E"/>
    <w:rsid w:val="5E9F9BC9"/>
    <w:rsid w:val="5EB15982"/>
    <w:rsid w:val="5EB8FED0"/>
    <w:rsid w:val="5EBEA940"/>
    <w:rsid w:val="5EC89F54"/>
    <w:rsid w:val="5EE5AF39"/>
    <w:rsid w:val="5F0825E2"/>
    <w:rsid w:val="5F2DF4E5"/>
    <w:rsid w:val="5F338CAB"/>
    <w:rsid w:val="5F3A0FFF"/>
    <w:rsid w:val="5F588C37"/>
    <w:rsid w:val="5F7D53CF"/>
    <w:rsid w:val="5F80B6FE"/>
    <w:rsid w:val="5F8BBC00"/>
    <w:rsid w:val="5F946760"/>
    <w:rsid w:val="5F96C800"/>
    <w:rsid w:val="5FB2EC96"/>
    <w:rsid w:val="5FE667AF"/>
    <w:rsid w:val="5FEB36E6"/>
    <w:rsid w:val="604D21A8"/>
    <w:rsid w:val="6050E043"/>
    <w:rsid w:val="6072D252"/>
    <w:rsid w:val="609DBDBE"/>
    <w:rsid w:val="60B1F19D"/>
    <w:rsid w:val="60CF5D0C"/>
    <w:rsid w:val="60D8F84C"/>
    <w:rsid w:val="60E02470"/>
    <w:rsid w:val="60E48CB3"/>
    <w:rsid w:val="60E9AEC3"/>
    <w:rsid w:val="60F737F3"/>
    <w:rsid w:val="6102D129"/>
    <w:rsid w:val="6104184F"/>
    <w:rsid w:val="61105A29"/>
    <w:rsid w:val="611B2753"/>
    <w:rsid w:val="613716AC"/>
    <w:rsid w:val="614DE872"/>
    <w:rsid w:val="615480E5"/>
    <w:rsid w:val="615B6055"/>
    <w:rsid w:val="61651C33"/>
    <w:rsid w:val="616E27B6"/>
    <w:rsid w:val="6171A97F"/>
    <w:rsid w:val="61A1B3D3"/>
    <w:rsid w:val="61B43A22"/>
    <w:rsid w:val="61BD2BA7"/>
    <w:rsid w:val="61C2D843"/>
    <w:rsid w:val="61D46C5E"/>
    <w:rsid w:val="61DC0F6F"/>
    <w:rsid w:val="61E5B973"/>
    <w:rsid w:val="61FC1EA5"/>
    <w:rsid w:val="6224EA4E"/>
    <w:rsid w:val="6244E33F"/>
    <w:rsid w:val="624A9CFD"/>
    <w:rsid w:val="6257B27C"/>
    <w:rsid w:val="626117FA"/>
    <w:rsid w:val="628947C5"/>
    <w:rsid w:val="6292239C"/>
    <w:rsid w:val="62930854"/>
    <w:rsid w:val="62AD73D0"/>
    <w:rsid w:val="62CEF03C"/>
    <w:rsid w:val="63323060"/>
    <w:rsid w:val="6340EF02"/>
    <w:rsid w:val="63425E11"/>
    <w:rsid w:val="634EF601"/>
    <w:rsid w:val="63515AFA"/>
    <w:rsid w:val="63744EA9"/>
    <w:rsid w:val="63A24221"/>
    <w:rsid w:val="63AA8562"/>
    <w:rsid w:val="63DF67F9"/>
    <w:rsid w:val="63E9352A"/>
    <w:rsid w:val="63FCE85B"/>
    <w:rsid w:val="64059805"/>
    <w:rsid w:val="640DDFF1"/>
    <w:rsid w:val="6424D13B"/>
    <w:rsid w:val="642ED8B5"/>
    <w:rsid w:val="644DBCC7"/>
    <w:rsid w:val="64546473"/>
    <w:rsid w:val="646F51CF"/>
    <w:rsid w:val="64865505"/>
    <w:rsid w:val="64B0D583"/>
    <w:rsid w:val="64B9C7A0"/>
    <w:rsid w:val="64CD93A6"/>
    <w:rsid w:val="64E0922E"/>
    <w:rsid w:val="64E4FB98"/>
    <w:rsid w:val="650AF521"/>
    <w:rsid w:val="650C0D20"/>
    <w:rsid w:val="650FBD82"/>
    <w:rsid w:val="65122563"/>
    <w:rsid w:val="6514C5D9"/>
    <w:rsid w:val="651A6C72"/>
    <w:rsid w:val="652D31FB"/>
    <w:rsid w:val="655382BE"/>
    <w:rsid w:val="65540392"/>
    <w:rsid w:val="65649A61"/>
    <w:rsid w:val="656F128C"/>
    <w:rsid w:val="6571447E"/>
    <w:rsid w:val="65843E8A"/>
    <w:rsid w:val="6585B7E7"/>
    <w:rsid w:val="65964571"/>
    <w:rsid w:val="659E1DCF"/>
    <w:rsid w:val="65D8F4D5"/>
    <w:rsid w:val="65EA295B"/>
    <w:rsid w:val="65ECA859"/>
    <w:rsid w:val="65F893AE"/>
    <w:rsid w:val="66205916"/>
    <w:rsid w:val="662A7653"/>
    <w:rsid w:val="6667EB5D"/>
    <w:rsid w:val="66709A72"/>
    <w:rsid w:val="66953D4A"/>
    <w:rsid w:val="66B598FB"/>
    <w:rsid w:val="66D3EE07"/>
    <w:rsid w:val="66FB0177"/>
    <w:rsid w:val="671708BB"/>
    <w:rsid w:val="6717C7B2"/>
    <w:rsid w:val="673E9E90"/>
    <w:rsid w:val="67520F03"/>
    <w:rsid w:val="675E737D"/>
    <w:rsid w:val="67667977"/>
    <w:rsid w:val="676B3760"/>
    <w:rsid w:val="6780297F"/>
    <w:rsid w:val="678F45DC"/>
    <w:rsid w:val="67B6BEC7"/>
    <w:rsid w:val="67C0C370"/>
    <w:rsid w:val="67DD8898"/>
    <w:rsid w:val="67E4776C"/>
    <w:rsid w:val="67F60600"/>
    <w:rsid w:val="68198EFF"/>
    <w:rsid w:val="681ED6DA"/>
    <w:rsid w:val="686A1651"/>
    <w:rsid w:val="686EBE6A"/>
    <w:rsid w:val="688B2380"/>
    <w:rsid w:val="688C7749"/>
    <w:rsid w:val="6890DBB5"/>
    <w:rsid w:val="68A2DDF6"/>
    <w:rsid w:val="68A576D0"/>
    <w:rsid w:val="68C25536"/>
    <w:rsid w:val="68E2B8D7"/>
    <w:rsid w:val="68EB1D28"/>
    <w:rsid w:val="68F81328"/>
    <w:rsid w:val="690707C1"/>
    <w:rsid w:val="69160274"/>
    <w:rsid w:val="691CE102"/>
    <w:rsid w:val="6950EEFE"/>
    <w:rsid w:val="696071EF"/>
    <w:rsid w:val="6983AE21"/>
    <w:rsid w:val="6987AE70"/>
    <w:rsid w:val="69A596F5"/>
    <w:rsid w:val="69FE1D6A"/>
    <w:rsid w:val="6A001F23"/>
    <w:rsid w:val="6A025672"/>
    <w:rsid w:val="6A763F52"/>
    <w:rsid w:val="6A7E04DF"/>
    <w:rsid w:val="6A9E6D1F"/>
    <w:rsid w:val="6AABCE0B"/>
    <w:rsid w:val="6AB35CE4"/>
    <w:rsid w:val="6AECBF5F"/>
    <w:rsid w:val="6AFC819C"/>
    <w:rsid w:val="6B2D472F"/>
    <w:rsid w:val="6B3AE47E"/>
    <w:rsid w:val="6B4D1F31"/>
    <w:rsid w:val="6B4ED638"/>
    <w:rsid w:val="6B5AFD0A"/>
    <w:rsid w:val="6B6C7056"/>
    <w:rsid w:val="6B711E7D"/>
    <w:rsid w:val="6B81F094"/>
    <w:rsid w:val="6B901B24"/>
    <w:rsid w:val="6B93B397"/>
    <w:rsid w:val="6BBB2845"/>
    <w:rsid w:val="6BD857C2"/>
    <w:rsid w:val="6BDAF7F0"/>
    <w:rsid w:val="6BDE5410"/>
    <w:rsid w:val="6C0B4140"/>
    <w:rsid w:val="6C20BF0C"/>
    <w:rsid w:val="6C69DE69"/>
    <w:rsid w:val="6C6B635E"/>
    <w:rsid w:val="6C76723D"/>
    <w:rsid w:val="6C86C72C"/>
    <w:rsid w:val="6C8736FE"/>
    <w:rsid w:val="6C98AEEE"/>
    <w:rsid w:val="6C9C17BA"/>
    <w:rsid w:val="6CE86D3A"/>
    <w:rsid w:val="6CEF3F97"/>
    <w:rsid w:val="6D32D09D"/>
    <w:rsid w:val="6D6BE8CD"/>
    <w:rsid w:val="6D718533"/>
    <w:rsid w:val="6D7A2471"/>
    <w:rsid w:val="6D916C01"/>
    <w:rsid w:val="6D9C36FA"/>
    <w:rsid w:val="6DAD18ED"/>
    <w:rsid w:val="6DADE014"/>
    <w:rsid w:val="6DB5BA28"/>
    <w:rsid w:val="6DC15087"/>
    <w:rsid w:val="6DD62166"/>
    <w:rsid w:val="6E221FE2"/>
    <w:rsid w:val="6E25C113"/>
    <w:rsid w:val="6E2F874D"/>
    <w:rsid w:val="6E53D6E4"/>
    <w:rsid w:val="6E5E7D18"/>
    <w:rsid w:val="6E6754FF"/>
    <w:rsid w:val="6E802563"/>
    <w:rsid w:val="6E838D96"/>
    <w:rsid w:val="6EA8265B"/>
    <w:rsid w:val="6EC5CCE2"/>
    <w:rsid w:val="6ECF6AD2"/>
    <w:rsid w:val="6ED1F7B9"/>
    <w:rsid w:val="6EEA6C66"/>
    <w:rsid w:val="6F07E652"/>
    <w:rsid w:val="6F09134C"/>
    <w:rsid w:val="6F20A102"/>
    <w:rsid w:val="6F26F4F9"/>
    <w:rsid w:val="6F49B075"/>
    <w:rsid w:val="6F607476"/>
    <w:rsid w:val="6F80B5BF"/>
    <w:rsid w:val="6F9CEE01"/>
    <w:rsid w:val="6FAE12FF"/>
    <w:rsid w:val="6FCCD54A"/>
    <w:rsid w:val="6FE0C91A"/>
    <w:rsid w:val="6FE0E18F"/>
    <w:rsid w:val="6FF96553"/>
    <w:rsid w:val="6FFB4192"/>
    <w:rsid w:val="701545D0"/>
    <w:rsid w:val="702B08A3"/>
    <w:rsid w:val="7030B44B"/>
    <w:rsid w:val="7043A41A"/>
    <w:rsid w:val="70C777AC"/>
    <w:rsid w:val="70CF4360"/>
    <w:rsid w:val="70D47FC0"/>
    <w:rsid w:val="70DEB263"/>
    <w:rsid w:val="70DEE5DE"/>
    <w:rsid w:val="70ED6E5C"/>
    <w:rsid w:val="71016F5D"/>
    <w:rsid w:val="710D5BBD"/>
    <w:rsid w:val="7187BBF0"/>
    <w:rsid w:val="71A93255"/>
    <w:rsid w:val="71F867D3"/>
    <w:rsid w:val="720EB7AC"/>
    <w:rsid w:val="721B2FF9"/>
    <w:rsid w:val="72815137"/>
    <w:rsid w:val="72CE6372"/>
    <w:rsid w:val="72D944A9"/>
    <w:rsid w:val="72F7A034"/>
    <w:rsid w:val="72FEF3FB"/>
    <w:rsid w:val="7310C635"/>
    <w:rsid w:val="73233C01"/>
    <w:rsid w:val="73380CF2"/>
    <w:rsid w:val="7346D456"/>
    <w:rsid w:val="735DE4FB"/>
    <w:rsid w:val="736702A8"/>
    <w:rsid w:val="736CE6A7"/>
    <w:rsid w:val="7383C6B4"/>
    <w:rsid w:val="73884DD6"/>
    <w:rsid w:val="73951B7B"/>
    <w:rsid w:val="73B1644A"/>
    <w:rsid w:val="73B29634"/>
    <w:rsid w:val="73CA7DC6"/>
    <w:rsid w:val="73D37B6C"/>
    <w:rsid w:val="73D81B97"/>
    <w:rsid w:val="7406044F"/>
    <w:rsid w:val="741D2198"/>
    <w:rsid w:val="74247CB6"/>
    <w:rsid w:val="7453902B"/>
    <w:rsid w:val="74621B90"/>
    <w:rsid w:val="749157AD"/>
    <w:rsid w:val="74B66A3E"/>
    <w:rsid w:val="74C7788E"/>
    <w:rsid w:val="74CDBE9C"/>
    <w:rsid w:val="74E8B6F3"/>
    <w:rsid w:val="74EFB0E5"/>
    <w:rsid w:val="74F7C3F1"/>
    <w:rsid w:val="74FEE9C3"/>
    <w:rsid w:val="7502B5F8"/>
    <w:rsid w:val="7508481F"/>
    <w:rsid w:val="7528D2DA"/>
    <w:rsid w:val="75295521"/>
    <w:rsid w:val="75507E2B"/>
    <w:rsid w:val="756B2014"/>
    <w:rsid w:val="7573B26D"/>
    <w:rsid w:val="757B810A"/>
    <w:rsid w:val="75924CEB"/>
    <w:rsid w:val="75AA1EE0"/>
    <w:rsid w:val="75D44FF2"/>
    <w:rsid w:val="75D789EE"/>
    <w:rsid w:val="75D95E25"/>
    <w:rsid w:val="75DF8BE3"/>
    <w:rsid w:val="760F8BB7"/>
    <w:rsid w:val="762BFFA4"/>
    <w:rsid w:val="7647251D"/>
    <w:rsid w:val="7667E823"/>
    <w:rsid w:val="7678F949"/>
    <w:rsid w:val="76A65F01"/>
    <w:rsid w:val="76A82CCC"/>
    <w:rsid w:val="76B6387A"/>
    <w:rsid w:val="76BB4123"/>
    <w:rsid w:val="76BB6776"/>
    <w:rsid w:val="76C2ABB6"/>
    <w:rsid w:val="76C30D4F"/>
    <w:rsid w:val="76CD9F29"/>
    <w:rsid w:val="76F75482"/>
    <w:rsid w:val="7702AF70"/>
    <w:rsid w:val="773E203B"/>
    <w:rsid w:val="775108C4"/>
    <w:rsid w:val="77514A41"/>
    <w:rsid w:val="7753FB33"/>
    <w:rsid w:val="77661D2C"/>
    <w:rsid w:val="7774AF21"/>
    <w:rsid w:val="7776BEE6"/>
    <w:rsid w:val="77775523"/>
    <w:rsid w:val="778918F3"/>
    <w:rsid w:val="779A8316"/>
    <w:rsid w:val="782E7F24"/>
    <w:rsid w:val="782FC80D"/>
    <w:rsid w:val="78448C97"/>
    <w:rsid w:val="7854A145"/>
    <w:rsid w:val="78593384"/>
    <w:rsid w:val="78609653"/>
    <w:rsid w:val="78C49130"/>
    <w:rsid w:val="78CABED3"/>
    <w:rsid w:val="78CE6ADC"/>
    <w:rsid w:val="78D4154A"/>
    <w:rsid w:val="78F88041"/>
    <w:rsid w:val="790B5A3C"/>
    <w:rsid w:val="7920FFAC"/>
    <w:rsid w:val="792C2286"/>
    <w:rsid w:val="792E041C"/>
    <w:rsid w:val="793BD0D3"/>
    <w:rsid w:val="793BE85E"/>
    <w:rsid w:val="79594CB8"/>
    <w:rsid w:val="7968016B"/>
    <w:rsid w:val="79849DBB"/>
    <w:rsid w:val="7995E6D7"/>
    <w:rsid w:val="79C67A62"/>
    <w:rsid w:val="79DE31B2"/>
    <w:rsid w:val="79E68B4A"/>
    <w:rsid w:val="79FDE55F"/>
    <w:rsid w:val="79FF3783"/>
    <w:rsid w:val="79FFB3D7"/>
    <w:rsid w:val="7A0C2F89"/>
    <w:rsid w:val="7A0CFD37"/>
    <w:rsid w:val="7A0E5691"/>
    <w:rsid w:val="7A181A23"/>
    <w:rsid w:val="7A1D1B8E"/>
    <w:rsid w:val="7A238327"/>
    <w:rsid w:val="7A398F2B"/>
    <w:rsid w:val="7A6C4423"/>
    <w:rsid w:val="7A7C36E7"/>
    <w:rsid w:val="7A95028B"/>
    <w:rsid w:val="7AA7C115"/>
    <w:rsid w:val="7AAEF5E5"/>
    <w:rsid w:val="7ADE841F"/>
    <w:rsid w:val="7AE4B4C1"/>
    <w:rsid w:val="7AFB177F"/>
    <w:rsid w:val="7B0A05E0"/>
    <w:rsid w:val="7B0E5499"/>
    <w:rsid w:val="7B4B0F52"/>
    <w:rsid w:val="7B7C2D59"/>
    <w:rsid w:val="7B891261"/>
    <w:rsid w:val="7B9F7837"/>
    <w:rsid w:val="7BB0B396"/>
    <w:rsid w:val="7BDC884B"/>
    <w:rsid w:val="7BE2D51C"/>
    <w:rsid w:val="7BF05B8E"/>
    <w:rsid w:val="7C1D9230"/>
    <w:rsid w:val="7C260B90"/>
    <w:rsid w:val="7C54CC4D"/>
    <w:rsid w:val="7C56FFDC"/>
    <w:rsid w:val="7C730903"/>
    <w:rsid w:val="7C84DE6F"/>
    <w:rsid w:val="7CB6010A"/>
    <w:rsid w:val="7CF4E798"/>
    <w:rsid w:val="7D15D274"/>
    <w:rsid w:val="7D1CCEDE"/>
    <w:rsid w:val="7D39EF56"/>
    <w:rsid w:val="7D3BD245"/>
    <w:rsid w:val="7D5E0631"/>
    <w:rsid w:val="7D740026"/>
    <w:rsid w:val="7D88F8B7"/>
    <w:rsid w:val="7DAEEA13"/>
    <w:rsid w:val="7DB7C419"/>
    <w:rsid w:val="7DC13ACB"/>
    <w:rsid w:val="7DD77451"/>
    <w:rsid w:val="7DDEBC0C"/>
    <w:rsid w:val="7DF56726"/>
    <w:rsid w:val="7DFD045D"/>
    <w:rsid w:val="7E1EDF1C"/>
    <w:rsid w:val="7E2B1C45"/>
    <w:rsid w:val="7E5A570E"/>
    <w:rsid w:val="7E6EFE91"/>
    <w:rsid w:val="7E711D06"/>
    <w:rsid w:val="7E955424"/>
    <w:rsid w:val="7E9AF1DD"/>
    <w:rsid w:val="7EB9FC6D"/>
    <w:rsid w:val="7EC6795B"/>
    <w:rsid w:val="7EF539C7"/>
    <w:rsid w:val="7F137287"/>
    <w:rsid w:val="7F21542C"/>
    <w:rsid w:val="7F5AF437"/>
    <w:rsid w:val="7F60F139"/>
    <w:rsid w:val="7F64FBED"/>
    <w:rsid w:val="7F7832D4"/>
    <w:rsid w:val="7F7B3238"/>
    <w:rsid w:val="7F835C2C"/>
    <w:rsid w:val="7F8C6D0F"/>
    <w:rsid w:val="7F913787"/>
    <w:rsid w:val="7F9489F3"/>
    <w:rsid w:val="7F9C25C3"/>
    <w:rsid w:val="7FB40E04"/>
    <w:rsid w:val="7FDD6003"/>
    <w:rsid w:val="7FF376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6E879F"/>
  <w15:chartTrackingRefBased/>
  <w15:docId w15:val="{03D9FAD3-6AFF-40FC-87B3-15845E417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C36FA1"/>
    <w:pPr>
      <w:spacing w:after="0" w:line="240" w:lineRule="auto"/>
      <w:ind w:left="720"/>
    </w:pPr>
    <w:rPr>
      <w:rFonts w:ascii="Calibri" w:hAnsi="Calibri" w:cs="Calibri"/>
    </w:rPr>
  </w:style>
  <w:style w:type="paragraph" w:customStyle="1" w:styleId="Speakingbullets">
    <w:name w:val="Speaking bullets"/>
    <w:basedOn w:val="Normal"/>
    <w:link w:val="SpeakingbulletsChar"/>
    <w:qFormat/>
    <w:rsid w:val="00C36FA1"/>
    <w:pPr>
      <w:keepLines/>
      <w:widowControl w:val="0"/>
      <w:numPr>
        <w:numId w:val="8"/>
      </w:numPr>
      <w:pBdr>
        <w:top w:val="single" w:sz="12" w:space="6" w:color="FFC000" w:themeColor="accent4"/>
        <w:left w:val="single" w:sz="12" w:space="4" w:color="FFC000" w:themeColor="accent4"/>
        <w:bottom w:val="single" w:sz="12" w:space="6" w:color="FFC000" w:themeColor="accent4"/>
        <w:right w:val="single" w:sz="12" w:space="4" w:color="FFC000" w:themeColor="accent4"/>
      </w:pBdr>
      <w:shd w:val="clear" w:color="auto" w:fill="D9E2F3" w:themeFill="accent1" w:themeFillTint="33"/>
      <w:spacing w:before="120" w:after="120" w:line="240" w:lineRule="auto"/>
      <w:ind w:left="357" w:hanging="357"/>
      <w:jc w:val="both"/>
    </w:pPr>
    <w:rPr>
      <w:rFonts w:ascii="Arial" w:eastAsia="Calibri" w:hAnsi="Arial" w:cs="Times New Roman"/>
      <w:sz w:val="28"/>
      <w:szCs w:val="20"/>
      <w:lang w:eastAsia="en-GB"/>
    </w:rPr>
  </w:style>
  <w:style w:type="character" w:customStyle="1" w:styleId="SpeakingbulletsChar">
    <w:name w:val="Speaking bullets Char"/>
    <w:basedOn w:val="DefaultParagraphFont"/>
    <w:link w:val="Speakingbullets"/>
    <w:rsid w:val="00C36FA1"/>
    <w:rPr>
      <w:rFonts w:ascii="Arial" w:eastAsia="Calibri" w:hAnsi="Arial" w:cs="Times New Roman"/>
      <w:sz w:val="28"/>
      <w:szCs w:val="20"/>
      <w:shd w:val="clear" w:color="auto" w:fill="D9E2F3" w:themeFill="accent1" w:themeFillTint="33"/>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sid w:val="00C36FA1"/>
    <w:rPr>
      <w:rFonts w:ascii="Calibri" w:hAnsi="Calibri" w:cs="Calibri"/>
      <w:lang w:val="ro-RO"/>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5637BD"/>
    <w:pPr>
      <w:spacing w:after="0" w:line="240" w:lineRule="auto"/>
    </w:pPr>
  </w:style>
  <w:style w:type="character" w:styleId="CommentReference">
    <w:name w:val="annotation reference"/>
    <w:basedOn w:val="DefaultParagraphFont"/>
    <w:uiPriority w:val="99"/>
    <w:semiHidden/>
    <w:unhideWhenUsed/>
    <w:rsid w:val="005E08F0"/>
    <w:rPr>
      <w:sz w:val="16"/>
      <w:szCs w:val="16"/>
    </w:rPr>
  </w:style>
  <w:style w:type="paragraph" w:styleId="CommentText">
    <w:name w:val="annotation text"/>
    <w:basedOn w:val="Normal"/>
    <w:link w:val="CommentTextChar"/>
    <w:uiPriority w:val="99"/>
    <w:unhideWhenUsed/>
    <w:rsid w:val="005E08F0"/>
    <w:pPr>
      <w:spacing w:line="240" w:lineRule="auto"/>
    </w:pPr>
    <w:rPr>
      <w:sz w:val="20"/>
      <w:szCs w:val="20"/>
    </w:rPr>
  </w:style>
  <w:style w:type="character" w:customStyle="1" w:styleId="CommentTextChar">
    <w:name w:val="Comment Text Char"/>
    <w:basedOn w:val="DefaultParagraphFont"/>
    <w:link w:val="CommentText"/>
    <w:uiPriority w:val="99"/>
    <w:rsid w:val="005E08F0"/>
    <w:rPr>
      <w:sz w:val="20"/>
      <w:szCs w:val="20"/>
    </w:rPr>
  </w:style>
  <w:style w:type="paragraph" w:styleId="CommentSubject">
    <w:name w:val="annotation subject"/>
    <w:basedOn w:val="CommentText"/>
    <w:next w:val="CommentText"/>
    <w:link w:val="CommentSubjectChar"/>
    <w:uiPriority w:val="99"/>
    <w:semiHidden/>
    <w:unhideWhenUsed/>
    <w:rsid w:val="005E08F0"/>
    <w:rPr>
      <w:b/>
      <w:bCs/>
    </w:rPr>
  </w:style>
  <w:style w:type="character" w:customStyle="1" w:styleId="CommentSubjectChar">
    <w:name w:val="Comment Subject Char"/>
    <w:basedOn w:val="CommentTextChar"/>
    <w:link w:val="CommentSubject"/>
    <w:uiPriority w:val="99"/>
    <w:semiHidden/>
    <w:rsid w:val="005E08F0"/>
    <w:rPr>
      <w:b/>
      <w:bCs/>
      <w:sz w:val="20"/>
      <w:szCs w:val="20"/>
    </w:rPr>
  </w:style>
  <w:style w:type="paragraph" w:styleId="FootnoteText">
    <w:name w:val="footnote text"/>
    <w:basedOn w:val="Normal"/>
    <w:link w:val="FootnoteTextChar"/>
    <w:uiPriority w:val="99"/>
    <w:semiHidden/>
    <w:unhideWhenUsed/>
    <w:rsid w:val="005E08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08F0"/>
    <w:rPr>
      <w:sz w:val="20"/>
      <w:szCs w:val="20"/>
    </w:rPr>
  </w:style>
  <w:style w:type="character" w:styleId="Hyperlink">
    <w:name w:val="Hyperlink"/>
    <w:basedOn w:val="DefaultParagraphFont"/>
    <w:uiPriority w:val="99"/>
    <w:semiHidden/>
    <w:unhideWhenUsed/>
    <w:rsid w:val="005E08F0"/>
    <w:rPr>
      <w:color w:val="0563C1" w:themeColor="hyperlink"/>
      <w:u w:val="single"/>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link w:val="ftrefCharCharCharCharCharCharCharCharChar"/>
    <w:uiPriority w:val="99"/>
    <w:unhideWhenUsed/>
    <w:qFormat/>
    <w:rsid w:val="005E08F0"/>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5E08F0"/>
    <w:pPr>
      <w:spacing w:before="120" w:line="240" w:lineRule="exact"/>
    </w:pPr>
    <w:rPr>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uiPriority w:val="99"/>
    <w:rsid w:val="001F0857"/>
    <w:pPr>
      <w:spacing w:before="120" w:line="240" w:lineRule="exact"/>
    </w:pPr>
    <w:rPr>
      <w:rFonts w:ascii="Times New Roman" w:eastAsia="Times New Roman" w:hAnsi="Times New Roman" w:cs="Times New Roman"/>
      <w:sz w:val="24"/>
      <w:szCs w:val="20"/>
      <w:vertAlign w:val="superscript"/>
    </w:rPr>
  </w:style>
  <w:style w:type="character" w:customStyle="1" w:styleId="cf01">
    <w:name w:val="cf01"/>
    <w:basedOn w:val="DefaultParagraphFont"/>
    <w:rsid w:val="003F0373"/>
    <w:rPr>
      <w:rFonts w:ascii="Segoe UI" w:hAnsi="Segoe UI" w:cs="Segoe UI" w:hint="default"/>
      <w:sz w:val="18"/>
      <w:szCs w:val="18"/>
    </w:rPr>
  </w:style>
  <w:style w:type="character" w:customStyle="1" w:styleId="Marker">
    <w:name w:val="Marker"/>
    <w:basedOn w:val="DefaultParagraphFont"/>
    <w:rsid w:val="007C532C"/>
    <w:rPr>
      <w:color w:val="0000FF"/>
      <w:shd w:val="clear" w:color="auto" w:fill="auto"/>
    </w:rPr>
  </w:style>
  <w:style w:type="paragraph" w:customStyle="1" w:styleId="Pagedecouverture">
    <w:name w:val="Page de couverture"/>
    <w:basedOn w:val="Normal"/>
    <w:next w:val="Normal"/>
    <w:rsid w:val="007C532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7C532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C532C"/>
    <w:rPr>
      <w:rFonts w:ascii="Times New Roman" w:hAnsi="Times New Roman" w:cs="Times New Roman"/>
      <w:sz w:val="24"/>
    </w:rPr>
  </w:style>
  <w:style w:type="paragraph" w:customStyle="1" w:styleId="FooterSensitivity">
    <w:name w:val="Footer Sensitivity"/>
    <w:basedOn w:val="Normal"/>
    <w:link w:val="FooterSensitivityChar"/>
    <w:rsid w:val="007C532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C532C"/>
    <w:rPr>
      <w:rFonts w:ascii="Times New Roman" w:hAnsi="Times New Roman" w:cs="Times New Roman"/>
      <w:b/>
      <w:sz w:val="32"/>
    </w:rPr>
  </w:style>
  <w:style w:type="paragraph" w:customStyle="1" w:styleId="HeaderCoverPage">
    <w:name w:val="Header Cover Page"/>
    <w:basedOn w:val="Normal"/>
    <w:link w:val="HeaderCoverPageChar"/>
    <w:rsid w:val="007C532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C532C"/>
    <w:rPr>
      <w:rFonts w:ascii="Times New Roman" w:hAnsi="Times New Roman" w:cs="Times New Roman"/>
      <w:sz w:val="24"/>
    </w:rPr>
  </w:style>
  <w:style w:type="paragraph" w:customStyle="1" w:styleId="HeaderSensitivity">
    <w:name w:val="Header Sensitivity"/>
    <w:basedOn w:val="Normal"/>
    <w:link w:val="HeaderSensitivityChar"/>
    <w:rsid w:val="007C532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C532C"/>
    <w:rPr>
      <w:rFonts w:ascii="Times New Roman" w:hAnsi="Times New Roman" w:cs="Times New Roman"/>
      <w:b/>
      <w:sz w:val="32"/>
    </w:rPr>
  </w:style>
  <w:style w:type="paragraph" w:customStyle="1" w:styleId="HeaderSensitivityRight">
    <w:name w:val="Header Sensitivity Right"/>
    <w:basedOn w:val="Normal"/>
    <w:link w:val="HeaderSensitivityRightChar"/>
    <w:rsid w:val="007C532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C532C"/>
    <w:rPr>
      <w:rFonts w:ascii="Times New Roman" w:hAnsi="Times New Roman" w:cs="Times New Roman"/>
      <w:sz w:val="28"/>
    </w:rPr>
  </w:style>
  <w:style w:type="character" w:customStyle="1" w:styleId="Mention">
    <w:name w:val="Mention"/>
    <w:basedOn w:val="DefaultParagraphFont"/>
    <w:uiPriority w:val="99"/>
    <w:unhideWhenUsed/>
    <w:rsid w:val="00814A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53054">
      <w:bodyDiv w:val="1"/>
      <w:marLeft w:val="0"/>
      <w:marRight w:val="0"/>
      <w:marTop w:val="0"/>
      <w:marBottom w:val="0"/>
      <w:divBdr>
        <w:top w:val="none" w:sz="0" w:space="0" w:color="auto"/>
        <w:left w:val="none" w:sz="0" w:space="0" w:color="auto"/>
        <w:bottom w:val="none" w:sz="0" w:space="0" w:color="auto"/>
        <w:right w:val="none" w:sz="0" w:space="0" w:color="auto"/>
      </w:divBdr>
    </w:div>
    <w:div w:id="361975654">
      <w:bodyDiv w:val="1"/>
      <w:marLeft w:val="0"/>
      <w:marRight w:val="0"/>
      <w:marTop w:val="0"/>
      <w:marBottom w:val="0"/>
      <w:divBdr>
        <w:top w:val="none" w:sz="0" w:space="0" w:color="auto"/>
        <w:left w:val="none" w:sz="0" w:space="0" w:color="auto"/>
        <w:bottom w:val="none" w:sz="0" w:space="0" w:color="auto"/>
        <w:right w:val="none" w:sz="0" w:space="0" w:color="auto"/>
      </w:divBdr>
    </w:div>
    <w:div w:id="402066691">
      <w:bodyDiv w:val="1"/>
      <w:marLeft w:val="0"/>
      <w:marRight w:val="0"/>
      <w:marTop w:val="0"/>
      <w:marBottom w:val="0"/>
      <w:divBdr>
        <w:top w:val="none" w:sz="0" w:space="0" w:color="auto"/>
        <w:left w:val="none" w:sz="0" w:space="0" w:color="auto"/>
        <w:bottom w:val="none" w:sz="0" w:space="0" w:color="auto"/>
        <w:right w:val="none" w:sz="0" w:space="0" w:color="auto"/>
      </w:divBdr>
    </w:div>
    <w:div w:id="402489145">
      <w:bodyDiv w:val="1"/>
      <w:marLeft w:val="0"/>
      <w:marRight w:val="0"/>
      <w:marTop w:val="0"/>
      <w:marBottom w:val="0"/>
      <w:divBdr>
        <w:top w:val="none" w:sz="0" w:space="0" w:color="auto"/>
        <w:left w:val="none" w:sz="0" w:space="0" w:color="auto"/>
        <w:bottom w:val="none" w:sz="0" w:space="0" w:color="auto"/>
        <w:right w:val="none" w:sz="0" w:space="0" w:color="auto"/>
      </w:divBdr>
    </w:div>
    <w:div w:id="478882717">
      <w:bodyDiv w:val="1"/>
      <w:marLeft w:val="0"/>
      <w:marRight w:val="0"/>
      <w:marTop w:val="0"/>
      <w:marBottom w:val="0"/>
      <w:divBdr>
        <w:top w:val="none" w:sz="0" w:space="0" w:color="auto"/>
        <w:left w:val="none" w:sz="0" w:space="0" w:color="auto"/>
        <w:bottom w:val="none" w:sz="0" w:space="0" w:color="auto"/>
        <w:right w:val="none" w:sz="0" w:space="0" w:color="auto"/>
      </w:divBdr>
    </w:div>
    <w:div w:id="517618185">
      <w:bodyDiv w:val="1"/>
      <w:marLeft w:val="0"/>
      <w:marRight w:val="0"/>
      <w:marTop w:val="0"/>
      <w:marBottom w:val="0"/>
      <w:divBdr>
        <w:top w:val="none" w:sz="0" w:space="0" w:color="auto"/>
        <w:left w:val="none" w:sz="0" w:space="0" w:color="auto"/>
        <w:bottom w:val="none" w:sz="0" w:space="0" w:color="auto"/>
        <w:right w:val="none" w:sz="0" w:space="0" w:color="auto"/>
      </w:divBdr>
    </w:div>
    <w:div w:id="931164999">
      <w:bodyDiv w:val="1"/>
      <w:marLeft w:val="0"/>
      <w:marRight w:val="0"/>
      <w:marTop w:val="0"/>
      <w:marBottom w:val="0"/>
      <w:divBdr>
        <w:top w:val="none" w:sz="0" w:space="0" w:color="auto"/>
        <w:left w:val="none" w:sz="0" w:space="0" w:color="auto"/>
        <w:bottom w:val="none" w:sz="0" w:space="0" w:color="auto"/>
        <w:right w:val="none" w:sz="0" w:space="0" w:color="auto"/>
      </w:divBdr>
    </w:div>
    <w:div w:id="1009866954">
      <w:bodyDiv w:val="1"/>
      <w:marLeft w:val="0"/>
      <w:marRight w:val="0"/>
      <w:marTop w:val="0"/>
      <w:marBottom w:val="0"/>
      <w:divBdr>
        <w:top w:val="none" w:sz="0" w:space="0" w:color="auto"/>
        <w:left w:val="none" w:sz="0" w:space="0" w:color="auto"/>
        <w:bottom w:val="none" w:sz="0" w:space="0" w:color="auto"/>
        <w:right w:val="none" w:sz="0" w:space="0" w:color="auto"/>
      </w:divBdr>
    </w:div>
    <w:div w:id="1150252677">
      <w:bodyDiv w:val="1"/>
      <w:marLeft w:val="0"/>
      <w:marRight w:val="0"/>
      <w:marTop w:val="0"/>
      <w:marBottom w:val="0"/>
      <w:divBdr>
        <w:top w:val="none" w:sz="0" w:space="0" w:color="auto"/>
        <w:left w:val="none" w:sz="0" w:space="0" w:color="auto"/>
        <w:bottom w:val="none" w:sz="0" w:space="0" w:color="auto"/>
        <w:right w:val="none" w:sz="0" w:space="0" w:color="auto"/>
      </w:divBdr>
    </w:div>
    <w:div w:id="1230337166">
      <w:bodyDiv w:val="1"/>
      <w:marLeft w:val="0"/>
      <w:marRight w:val="0"/>
      <w:marTop w:val="0"/>
      <w:marBottom w:val="0"/>
      <w:divBdr>
        <w:top w:val="none" w:sz="0" w:space="0" w:color="auto"/>
        <w:left w:val="none" w:sz="0" w:space="0" w:color="auto"/>
        <w:bottom w:val="none" w:sz="0" w:space="0" w:color="auto"/>
        <w:right w:val="none" w:sz="0" w:space="0" w:color="auto"/>
      </w:divBdr>
    </w:div>
    <w:div w:id="167984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en/library/cybersecurity-open-radio-access-networks" TargetMode="External"/><Relationship Id="rId2" Type="http://schemas.openxmlformats.org/officeDocument/2006/relationships/hyperlink" Target="https://www.eca.europa.eu/ro/publications/sr-2023-27" TargetMode="External"/><Relationship Id="rId1" Type="http://schemas.openxmlformats.org/officeDocument/2006/relationships/hyperlink" Target="https://www.oecd.org/daf/inv/investment-policy/oecd-eu-fdi-screening-assessment.pdf" TargetMode="External"/><Relationship Id="rId4" Type="http://schemas.openxmlformats.org/officeDocument/2006/relationships/hyperlink" Target="https://digital-strategy.ec.europa.eu/en/library/cybersecurity-open-radio-access-ne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7" ma:contentTypeDescription="Create a new document." ma:contentTypeScope="" ma:versionID="0af76cd5e9a77e988abc85d3764fd5bf">
  <xsd:schema xmlns:xsd="http://www.w3.org/2001/XMLSchema" xmlns:xs="http://www.w3.org/2001/XMLSchema" xmlns:p="http://schemas.microsoft.com/office/2006/metadata/properties" xmlns:ns3="b1574990-7dca-46ed-ac87-7eb4962c31b1" xmlns:ns4="d2e3c90a-5f11-4787-ace5-3a0bcb2edcfa" targetNamespace="http://schemas.microsoft.com/office/2006/metadata/properties" ma:root="true" ma:fieldsID="33aba215e6c5df5202289294ce11dcae" ns3:_="" ns4:_="">
    <xsd:import namespace="b1574990-7dca-46ed-ac87-7eb4962c31b1"/>
    <xsd:import namespace="d2e3c90a-5f11-4787-ace5-3a0bcb2edc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1574990-7dca-46ed-ac87-7eb4962c31b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6CA10-3260-4144-B530-59C36F6D9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d2e3c90a-5f11-4787-ace5-3a0bcb2ed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584BBF-EF37-4497-9B1A-609B229DE520}">
  <ds:schemaRefs>
    <ds:schemaRef ds:uri="http://schemas.microsoft.com/sharepoint/v3/contenttype/forms"/>
  </ds:schemaRefs>
</ds:datastoreItem>
</file>

<file path=customXml/itemProps3.xml><?xml version="1.0" encoding="utf-8"?>
<ds:datastoreItem xmlns:ds="http://schemas.openxmlformats.org/officeDocument/2006/customXml" ds:itemID="{B43E7824-7DC9-4D3E-B75A-344B76538724}">
  <ds:schemaRefs>
    <ds:schemaRef ds:uri="http://schemas.microsoft.com/office/2006/metadata/properties"/>
    <ds:schemaRef ds:uri="http://schemas.microsoft.com/office/infopath/2007/PartnerControls"/>
    <ds:schemaRef ds:uri="b1574990-7dca-46ed-ac87-7eb4962c31b1"/>
  </ds:schemaRefs>
</ds:datastoreItem>
</file>

<file path=customXml/itemProps4.xml><?xml version="1.0" encoding="utf-8"?>
<ds:datastoreItem xmlns:ds="http://schemas.openxmlformats.org/officeDocument/2006/customXml" ds:itemID="{4B9CC12F-0E1B-4C20-99CA-DF0321B15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7</Pages>
  <Words>5074</Words>
  <Characters>28923</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2023-12-20T01:49:00Z</cp:lastPrinted>
  <dcterms:created xsi:type="dcterms:W3CDTF">2024-01-22T09:40:00Z</dcterms:created>
  <dcterms:modified xsi:type="dcterms:W3CDTF">2024-01-31T07:36:00Z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2023-12-01T09:22:32Z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227912da-258e-4b74-a611-2a30f17c1a99</vt:lpwstr>
  </property>
  <property fmtid="{D5CDD505-2E9C-101B-9397-08002B2CF9AE}" pid="8" name="MSIP_Label_6bd9ddd1-4d20-43f6-abfa-fc3c07406f94_ContentBits">
    <vt:lpwstr>0</vt:lpwstr>
  </property>
  <property fmtid="{D5CDD505-2E9C-101B-9397-08002B2CF9AE}" pid="9" name="ContentTypeId">
    <vt:lpwstr>0x0101009910B1AB3EE7FB41977BC1E216BA6147</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y fmtid="{D5CDD505-2E9C-101B-9397-08002B2CF9AE}" pid="15" name="Last edited using">
    <vt:lpwstr>LW 9.0, Build 20230317</vt:lpwstr>
  </property>
  <property fmtid="{D5CDD505-2E9C-101B-9397-08002B2CF9AE}" pid="16" name="Created using">
    <vt:lpwstr>LW 9.0, Build 20230317</vt:lpwstr>
  </property>
</Properties>
</file>