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5C439" w14:textId="0C4AE2E1" w:rsidR="00486C11" w:rsidRPr="00246137" w:rsidRDefault="00DE2A42" w:rsidP="00DE2A42">
      <w:pPr>
        <w:pStyle w:val="Pagedecouverture"/>
        <w:rPr>
          <w:noProof/>
        </w:rPr>
      </w:pPr>
      <w:bookmarkStart w:id="0" w:name="LW_BM_COVERPAGE"/>
      <w:r>
        <w:rPr>
          <w:noProof/>
        </w:rPr>
        <w:pict w14:anchorId="5E4899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C281DC0-3954-48DB-B6F5-E0E1BA5481F2" style="width:455.25pt;height:310.5pt">
            <v:imagedata r:id="rId11" o:title=""/>
          </v:shape>
        </w:pict>
      </w:r>
    </w:p>
    <w:bookmarkEnd w:id="0"/>
    <w:p w14:paraId="08BF400C" w14:textId="77777777" w:rsidR="00FB7D07" w:rsidRPr="00246137" w:rsidRDefault="00FB7D07" w:rsidP="00FB7D07">
      <w:pPr>
        <w:rPr>
          <w:noProof/>
        </w:rPr>
        <w:sectPr w:rsidR="00FB7D07" w:rsidRPr="00246137" w:rsidSect="00DE2A4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E845F07" w14:textId="573E40B2" w:rsidR="00D72494" w:rsidRPr="00246137" w:rsidRDefault="00D72494" w:rsidP="00D72494">
      <w:pPr>
        <w:pStyle w:val="Typedudocument"/>
        <w:rPr>
          <w:noProof/>
        </w:rPr>
      </w:pPr>
      <w:bookmarkStart w:id="1" w:name="_GoBack"/>
      <w:bookmarkEnd w:id="1"/>
      <w:r w:rsidRPr="00246137">
        <w:rPr>
          <w:noProof/>
        </w:rPr>
        <w:lastRenderedPageBreak/>
        <w:t>COMUNICARE A COMISIEI CĂTRE PARLAMENTUL EUROPEAN ȘI CONSILIU</w:t>
      </w:r>
    </w:p>
    <w:p w14:paraId="662B4069" w14:textId="2452DDC7" w:rsidR="00D72494" w:rsidRPr="00246137" w:rsidRDefault="00D72494" w:rsidP="00D72494">
      <w:pPr>
        <w:pStyle w:val="Titreobjet"/>
        <w:rPr>
          <w:noProof/>
        </w:rPr>
      </w:pPr>
      <w:r w:rsidRPr="00246137">
        <w:rPr>
          <w:noProof/>
        </w:rPr>
        <w:t>Pescuit sustenabil în UE: situația actuală și orientări pentru 2025</w:t>
      </w:r>
    </w:p>
    <w:p w14:paraId="35E7F7BE" w14:textId="60DBAA90" w:rsidR="00AC0378" w:rsidRPr="00246137" w:rsidRDefault="001D6309" w:rsidP="101444AA">
      <w:pPr>
        <w:pStyle w:val="Heading1"/>
        <w:numPr>
          <w:ilvl w:val="0"/>
          <w:numId w:val="7"/>
        </w:numPr>
        <w:rPr>
          <w:noProof/>
          <w:szCs w:val="24"/>
        </w:rPr>
      </w:pPr>
      <w:r w:rsidRPr="00246137">
        <w:rPr>
          <w:noProof/>
        </w:rPr>
        <w:t>Introducere</w:t>
      </w:r>
    </w:p>
    <w:p w14:paraId="1F181342" w14:textId="35D3D82F" w:rsidR="00AC0378" w:rsidRPr="00246137" w:rsidRDefault="001D6309" w:rsidP="13D482FB">
      <w:pPr>
        <w:jc w:val="both"/>
        <w:rPr>
          <w:rFonts w:ascii="Times New Roman" w:eastAsia="Times New Roman" w:hAnsi="Times New Roman" w:cs="Times New Roman"/>
          <w:noProof/>
          <w:sz w:val="24"/>
          <w:szCs w:val="24"/>
        </w:rPr>
      </w:pPr>
      <w:r w:rsidRPr="00246137">
        <w:rPr>
          <w:rFonts w:ascii="Times New Roman" w:hAnsi="Times New Roman"/>
          <w:noProof/>
          <w:sz w:val="24"/>
        </w:rPr>
        <w:t>Prezenta comunicare oferă informații cu privire la situația activităților de pescuit din Europa, monitorizate în 2023. De asemenea, sunt prezentate orientări pentru propunerile Comisiei și consultările cu țările terțe cu privire la posibilitățile de pescuit pentru 2025. Scopul este de a îmbunătăți reziliența pescarilor, de a stimula refacerea stocurilor de pește în vederea atingerii nivelurilor producției maxime sustenabile (MSY) și de a menține stocuri sănătoase la nivelul MSY.</w:t>
      </w:r>
    </w:p>
    <w:p w14:paraId="49202E13" w14:textId="40004818" w:rsidR="000E4469" w:rsidRPr="00246137" w:rsidRDefault="5C25F0F7">
      <w:pPr>
        <w:jc w:val="both"/>
        <w:rPr>
          <w:rFonts w:ascii="Times New Roman" w:eastAsia="Times New Roman" w:hAnsi="Times New Roman" w:cs="Times New Roman"/>
          <w:noProof/>
          <w:sz w:val="24"/>
          <w:szCs w:val="24"/>
        </w:rPr>
      </w:pPr>
      <w:r w:rsidRPr="00246137">
        <w:rPr>
          <w:rFonts w:ascii="Times New Roman" w:hAnsi="Times New Roman"/>
          <w:b/>
          <w:noProof/>
          <w:sz w:val="24"/>
        </w:rPr>
        <w:t>Mult mai puține stocuri de pește sunt în prezent supraexploatate în comparație cu 2003. Pescarii înregistrează câștiguri socioeconomice din stocurile care sunt gestionate la niveluri mai sănătoase de ceva timp</w:t>
      </w:r>
      <w:r w:rsidRPr="00246137">
        <w:rPr>
          <w:rFonts w:ascii="Times New Roman" w:hAnsi="Times New Roman"/>
          <w:noProof/>
          <w:sz w:val="24"/>
        </w:rPr>
        <w:t>. Energia rămâne unul dintre principalele costuri ale flotei de pescuit a UE în perioada 2023-2024, în ciuda faptului că reducerea prețurilor combustibililor continuă să submineze câștigurile realizate. Acțiunile în curs</w:t>
      </w:r>
      <w:r w:rsidR="00F13ADB" w:rsidRPr="00246137">
        <w:rPr>
          <w:rStyle w:val="FootnoteReference"/>
          <w:rFonts w:ascii="Times New Roman" w:eastAsiaTheme="minorEastAsia" w:hAnsi="Times New Roman" w:cs="Times New Roman"/>
          <w:noProof/>
          <w:sz w:val="24"/>
          <w:szCs w:val="24"/>
        </w:rPr>
        <w:footnoteReference w:id="2"/>
      </w:r>
      <w:r w:rsidRPr="00246137">
        <w:rPr>
          <w:rFonts w:ascii="Times New Roman" w:hAnsi="Times New Roman"/>
          <w:noProof/>
          <w:sz w:val="24"/>
        </w:rPr>
        <w:t xml:space="preserve"> propuse de Comisie pentru a sprijini tranziția energetică a sectorului pescuitului și acvaculturii sunt, prin urmare, esențiale pentru a consolida reziliența socioeconomică a acestuia prin sprijinirea sectorului în ceea ce privește reducerea dependenței sale de utilizarea combustibililor fosili.</w:t>
      </w:r>
    </w:p>
    <w:p w14:paraId="706D74A5" w14:textId="5CD67729" w:rsidR="00B15BC4" w:rsidRPr="00246137" w:rsidRDefault="5EE75F66" w:rsidP="5B102D6B">
      <w:pPr>
        <w:jc w:val="both"/>
        <w:rPr>
          <w:rFonts w:ascii="Times New Roman" w:eastAsia="Times New Roman" w:hAnsi="Times New Roman" w:cs="Times New Roman"/>
          <w:noProof/>
          <w:sz w:val="24"/>
          <w:szCs w:val="24"/>
        </w:rPr>
      </w:pPr>
      <w:r w:rsidRPr="00246137">
        <w:rPr>
          <w:rFonts w:ascii="Times New Roman" w:hAnsi="Times New Roman"/>
          <w:noProof/>
          <w:sz w:val="24"/>
        </w:rPr>
        <w:t xml:space="preserve">Principalele provocări în sectorul pescuitului și acvaculturii din UE, acțiunile propuse pentru a le aborda și nevoile de îmbunătățire a rezilienței pescuitului din UE au fost prezentate în </w:t>
      </w:r>
      <w:r w:rsidRPr="00246137">
        <w:rPr>
          <w:rFonts w:ascii="Times New Roman" w:hAnsi="Times New Roman"/>
          <w:b/>
          <w:noProof/>
          <w:sz w:val="24"/>
        </w:rPr>
        <w:t>pachetul privind pescuitul și oceanele</w:t>
      </w:r>
      <w:r w:rsidR="00F13ADB" w:rsidRPr="00246137">
        <w:rPr>
          <w:rStyle w:val="FootnoteReference"/>
          <w:rFonts w:ascii="Times New Roman" w:eastAsia="Times New Roman" w:hAnsi="Times New Roman" w:cs="Times New Roman"/>
          <w:noProof/>
          <w:sz w:val="24"/>
          <w:szCs w:val="24"/>
        </w:rPr>
        <w:footnoteReference w:id="3"/>
      </w:r>
      <w:r w:rsidRPr="00246137">
        <w:rPr>
          <w:rFonts w:ascii="Times New Roman" w:hAnsi="Times New Roman"/>
          <w:b/>
          <w:noProof/>
          <w:sz w:val="24"/>
        </w:rPr>
        <w:t xml:space="preserve">, </w:t>
      </w:r>
      <w:r w:rsidRPr="00246137">
        <w:rPr>
          <w:rFonts w:ascii="Times New Roman" w:hAnsi="Times New Roman"/>
          <w:noProof/>
          <w:sz w:val="24"/>
        </w:rPr>
        <w:t>urmat de un dialog intens cu părțile interesate și de contribuții din partea acestora</w:t>
      </w:r>
      <w:r w:rsidRPr="00246137">
        <w:rPr>
          <w:rFonts w:ascii="Times New Roman" w:hAnsi="Times New Roman"/>
          <w:b/>
          <w:noProof/>
          <w:sz w:val="24"/>
        </w:rPr>
        <w:t xml:space="preserve">. </w:t>
      </w:r>
      <w:r w:rsidRPr="00246137">
        <w:rPr>
          <w:rFonts w:ascii="Times New Roman" w:hAnsi="Times New Roman"/>
          <w:noProof/>
          <w:sz w:val="24"/>
        </w:rPr>
        <w:t>A sosit momentul să privim dincolo de aceste provocări și nevoi imediate și să adoptăm o perspectivă mai largă, pentru a evalua situația din sectorul pescuitului și acvaculturii din UE pe baza dovezilor disponibile și a opiniilor statelor membre și ale părților interesate.</w:t>
      </w:r>
      <w:r w:rsidRPr="00246137">
        <w:rPr>
          <w:rFonts w:ascii="Times New Roman" w:hAnsi="Times New Roman"/>
          <w:noProof/>
          <w:color w:val="CC3595"/>
          <w:sz w:val="24"/>
        </w:rPr>
        <w:t xml:space="preserve"> </w:t>
      </w:r>
      <w:r w:rsidRPr="00246137">
        <w:rPr>
          <w:rFonts w:ascii="Times New Roman" w:hAnsi="Times New Roman"/>
          <w:noProof/>
          <w:sz w:val="24"/>
        </w:rPr>
        <w:t>Pe baza feedbackului primit cu privire la pachetul legislativ și a obstacolelor identificate de diferite părți interesate pentru tranziția lină către eficiența energetică în acest sector și pentru punerea în aplicare cu succes a tuturor elementelor PCP, Comisia lansează o evaluare completă a Regulamentului privind politica comună în domeniul pescuitului („Regulamentul privind PCP”)</w:t>
      </w:r>
      <w:r w:rsidR="00F13ADB" w:rsidRPr="00246137">
        <w:rPr>
          <w:rStyle w:val="FootnoteReference"/>
          <w:rFonts w:ascii="Times New Roman" w:eastAsia="Times New Roman" w:hAnsi="Times New Roman" w:cs="Times New Roman"/>
          <w:noProof/>
          <w:sz w:val="24"/>
          <w:szCs w:val="24"/>
        </w:rPr>
        <w:footnoteReference w:id="4"/>
      </w:r>
      <w:r w:rsidRPr="00246137">
        <w:rPr>
          <w:rFonts w:ascii="Times New Roman" w:hAnsi="Times New Roman"/>
          <w:noProof/>
          <w:sz w:val="24"/>
        </w:rPr>
        <w:t xml:space="preserve">. </w:t>
      </w:r>
    </w:p>
    <w:p w14:paraId="3F0377C3" w14:textId="551EED07" w:rsidR="00CD49C8" w:rsidRPr="00246137" w:rsidRDefault="75AB12AD" w:rsidP="055F1019">
      <w:pPr>
        <w:jc w:val="both"/>
        <w:rPr>
          <w:rFonts w:ascii="Times New Roman" w:eastAsia="Times New Roman" w:hAnsi="Times New Roman" w:cs="Times New Roman"/>
          <w:noProof/>
          <w:sz w:val="24"/>
          <w:szCs w:val="24"/>
        </w:rPr>
      </w:pPr>
      <w:r w:rsidRPr="00246137">
        <w:rPr>
          <w:rFonts w:ascii="Times New Roman" w:hAnsi="Times New Roman"/>
          <w:noProof/>
          <w:sz w:val="24"/>
        </w:rPr>
        <w:t>Această evaluare va analiza o perioadă de 10 ani (2014-2024) de punere în aplicare a Regulamentului privind PCP. Ea va analiza evoluțiile politicilor în domeniul pescuitului, acvaculturii, mediului, comerțului, extinderii, sănătății, bunăstării animalelor și cercetării, evoluțiile politice recente, contextul geopolitic în schimbare și impactul asupra politicii UE în domeniul pescuitului. Evaluarea va acoperi, de asemenea, dinamica remodelată a relațiilor de pescuit în cadrul dimensiunii externe a politicii comune în domeniul pescuitului (PCP), inclusiv retragerea Regatului Unit din UE și relațiile cu și între statele costiere din Atlanticul de Nord-Est. Acest lucru este esențial pentru a oferi o imagine cuprinzătoare a modului în care funcționează regulamentul și instrumentele și pentru a pregăti terenul pentru anii următori.</w:t>
      </w:r>
      <w:bookmarkStart w:id="2" w:name="_Hlk132741266"/>
    </w:p>
    <w:bookmarkEnd w:id="2"/>
    <w:p w14:paraId="7317B796" w14:textId="77777777" w:rsidR="00616704" w:rsidRPr="00246137" w:rsidRDefault="001D6309" w:rsidP="101444AA">
      <w:pPr>
        <w:pStyle w:val="Heading1"/>
        <w:numPr>
          <w:ilvl w:val="0"/>
          <w:numId w:val="7"/>
        </w:numPr>
        <w:rPr>
          <w:noProof/>
          <w:szCs w:val="24"/>
        </w:rPr>
      </w:pPr>
      <w:r w:rsidRPr="00246137">
        <w:rPr>
          <w:noProof/>
        </w:rPr>
        <w:t>Progresele înregistrate în direcția realizării unui pescuit sustenabil în UE</w:t>
      </w:r>
    </w:p>
    <w:p w14:paraId="250E51C2" w14:textId="106E91F2" w:rsidR="00B26833" w:rsidRPr="00246137" w:rsidRDefault="432EFFFB" w:rsidP="366F6422">
      <w:pPr>
        <w:pStyle w:val="Text2"/>
        <w:ind w:left="0"/>
        <w:rPr>
          <w:noProof/>
          <w:color w:val="000000"/>
        </w:rPr>
      </w:pPr>
      <w:r w:rsidRPr="00246137">
        <w:rPr>
          <w:noProof/>
          <w:color w:val="000000"/>
        </w:rPr>
        <w:t>Un stoc este pescuit în mod sustenabil la nivelul MSY atunci când raportul dintre mortalitatea prin pescuit efectivă (F) și mortalitatea prin pescuit la nivelul MSY (F</w:t>
      </w:r>
      <w:r w:rsidRPr="00246137">
        <w:rPr>
          <w:noProof/>
          <w:color w:val="000000"/>
          <w:vertAlign w:val="subscript"/>
        </w:rPr>
        <w:t>MSY</w:t>
      </w:r>
      <w:r w:rsidRPr="00246137">
        <w:rPr>
          <w:noProof/>
          <w:color w:val="000000"/>
        </w:rPr>
        <w:t>) este mai mic sau egal cu 1</w:t>
      </w:r>
      <w:r w:rsidR="0045793D" w:rsidRPr="00246137">
        <w:rPr>
          <w:rStyle w:val="FootnoteReference"/>
          <w:noProof/>
          <w:color w:val="000000"/>
        </w:rPr>
        <w:footnoteReference w:id="5"/>
      </w:r>
      <w:r w:rsidRPr="00246137">
        <w:rPr>
          <w:noProof/>
          <w:color w:val="000000"/>
        </w:rPr>
        <w:t xml:space="preserve">. </w:t>
      </w:r>
      <w:r w:rsidRPr="00246137">
        <w:rPr>
          <w:noProof/>
        </w:rPr>
        <w:t xml:space="preserve">Datorită acțiunilor realizate de pescari și de administrațiile naționale și a angajamentului pe care și l-au asumat Parlamentul European, Consiliul și Comisia de a gestiona pescuitul în mod responsabil, pescuitul a devenit mai sustenabil și mult mai puține stocuri sunt supraexploatate în UE. </w:t>
      </w:r>
    </w:p>
    <w:p w14:paraId="710B07B0" w14:textId="5C654CEF" w:rsidR="007B3E1E" w:rsidRPr="00246137" w:rsidRDefault="5FFC5192" w:rsidP="3666E496">
      <w:pPr>
        <w:jc w:val="both"/>
        <w:rPr>
          <w:rFonts w:ascii="Times New Roman" w:eastAsia="Times New Roman" w:hAnsi="Times New Roman" w:cs="Times New Roman"/>
          <w:noProof/>
          <w:sz w:val="24"/>
          <w:szCs w:val="24"/>
          <w:highlight w:val="yellow"/>
        </w:rPr>
      </w:pPr>
      <w:r w:rsidRPr="00246137">
        <w:rPr>
          <w:rFonts w:ascii="Times New Roman" w:hAnsi="Times New Roman"/>
          <w:noProof/>
          <w:sz w:val="24"/>
        </w:rPr>
        <w:t>Misiunea UE „Refacerea oceanelor și a apelor noastre până în 2030”</w:t>
      </w:r>
      <w:r w:rsidR="00F13ADB" w:rsidRPr="00246137">
        <w:rPr>
          <w:rStyle w:val="FootnoteReference"/>
          <w:rFonts w:ascii="Times New Roman" w:eastAsia="Times New Roman" w:hAnsi="Times New Roman" w:cs="Times New Roman"/>
          <w:noProof/>
          <w:sz w:val="24"/>
          <w:szCs w:val="24"/>
        </w:rPr>
        <w:footnoteReference w:id="6"/>
      </w:r>
      <w:r w:rsidRPr="00246137">
        <w:rPr>
          <w:rFonts w:ascii="Times New Roman" w:hAnsi="Times New Roman"/>
          <w:noProof/>
          <w:sz w:val="24"/>
        </w:rPr>
        <w:t xml:space="preserve"> contribuie la o gamă largă de soluții pentru protejarea și refacerea ecosistemelor marine și de apă dulce și a biodiversității acestora, pentru combaterea poluării și pentru sprijinirea pescuitului sustenabil. Prin urmare, ea contribuie, de asemenea, la punerea în aplicare a planului de acțiune pentru mediul marin al UE</w:t>
      </w:r>
      <w:r w:rsidR="00F13ADB" w:rsidRPr="00246137">
        <w:rPr>
          <w:rStyle w:val="FootnoteReference"/>
          <w:rFonts w:ascii="Times New Roman" w:eastAsia="Times New Roman" w:hAnsi="Times New Roman" w:cs="Times New Roman"/>
          <w:noProof/>
          <w:sz w:val="24"/>
          <w:szCs w:val="24"/>
        </w:rPr>
        <w:footnoteReference w:id="7"/>
      </w:r>
      <w:r w:rsidRPr="00246137">
        <w:rPr>
          <w:rFonts w:ascii="Times New Roman" w:hAnsi="Times New Roman"/>
          <w:noProof/>
          <w:sz w:val="24"/>
        </w:rPr>
        <w:t xml:space="preserve">. </w:t>
      </w:r>
    </w:p>
    <w:p w14:paraId="2DC56B51" w14:textId="430669C7" w:rsidR="29CCC508" w:rsidRPr="00246137" w:rsidRDefault="2EE51D7E" w:rsidP="366F6422">
      <w:pPr>
        <w:spacing w:line="240" w:lineRule="auto"/>
        <w:jc w:val="both"/>
        <w:rPr>
          <w:rFonts w:ascii="Times New Roman" w:eastAsia="Times New Roman" w:hAnsi="Times New Roman" w:cs="Times New Roman"/>
          <w:noProof/>
          <w:sz w:val="24"/>
          <w:szCs w:val="24"/>
        </w:rPr>
      </w:pPr>
      <w:r w:rsidRPr="00246137">
        <w:rPr>
          <w:rFonts w:ascii="Times New Roman" w:hAnsi="Times New Roman"/>
          <w:noProof/>
          <w:sz w:val="24"/>
        </w:rPr>
        <w:t>În fiecare an, Comitetul științific, tehnic și economic pentru pescuit (CSTEP) actualizează informațiile disponibile privind nivelurile stocurilor de pește în raport cu obiectivele politicii comune în domeniul pescuitului. În 2003, mortalitatea medie prin pescuit în Atlanticul de Nord-Est</w:t>
      </w:r>
      <w:r w:rsidR="00F13ADB" w:rsidRPr="00246137">
        <w:rPr>
          <w:rStyle w:val="FootnoteReference"/>
          <w:rFonts w:ascii="Times New Roman" w:eastAsia="Times New Roman" w:hAnsi="Times New Roman" w:cs="Times New Roman"/>
          <w:noProof/>
          <w:sz w:val="24"/>
          <w:szCs w:val="24"/>
        </w:rPr>
        <w:footnoteReference w:id="8"/>
      </w:r>
      <w:r w:rsidRPr="00246137">
        <w:rPr>
          <w:rFonts w:ascii="Times New Roman" w:hAnsi="Times New Roman"/>
          <w:noProof/>
          <w:sz w:val="24"/>
        </w:rPr>
        <w:t xml:space="preserve"> a fost cu 53 % </w:t>
      </w:r>
      <w:r w:rsidRPr="00246137">
        <w:rPr>
          <w:rFonts w:ascii="Times New Roman" w:hAnsi="Times New Roman"/>
          <w:b/>
          <w:noProof/>
          <w:sz w:val="24"/>
        </w:rPr>
        <w:t xml:space="preserve">peste </w:t>
      </w:r>
      <w:r w:rsidRPr="00246137">
        <w:rPr>
          <w:rFonts w:ascii="Times New Roman" w:hAnsi="Times New Roman"/>
          <w:noProof/>
          <w:sz w:val="24"/>
        </w:rPr>
        <w:t>obiectivul F</w:t>
      </w:r>
      <w:r w:rsidRPr="00246137">
        <w:rPr>
          <w:rFonts w:ascii="Times New Roman" w:hAnsi="Times New Roman"/>
          <w:noProof/>
          <w:sz w:val="24"/>
          <w:vertAlign w:val="subscript"/>
        </w:rPr>
        <w:t>MSY</w:t>
      </w:r>
      <w:r w:rsidRPr="00246137">
        <w:rPr>
          <w:rFonts w:ascii="Times New Roman" w:hAnsi="Times New Roman"/>
          <w:noProof/>
          <w:sz w:val="24"/>
        </w:rPr>
        <w:t xml:space="preserve">. Potrivit celei mai recente evaluări, rata mortalității a scăzut treptat, ajungând la 42 % </w:t>
      </w:r>
      <w:r w:rsidRPr="00246137">
        <w:rPr>
          <w:rFonts w:ascii="Times New Roman" w:hAnsi="Times New Roman"/>
          <w:b/>
          <w:noProof/>
          <w:sz w:val="24"/>
        </w:rPr>
        <w:t xml:space="preserve">sub </w:t>
      </w:r>
      <w:r w:rsidRPr="00246137">
        <w:rPr>
          <w:rFonts w:ascii="Times New Roman" w:hAnsi="Times New Roman"/>
          <w:noProof/>
          <w:sz w:val="24"/>
        </w:rPr>
        <w:t>F</w:t>
      </w:r>
      <w:r w:rsidRPr="00246137">
        <w:rPr>
          <w:rFonts w:ascii="Times New Roman" w:hAnsi="Times New Roman"/>
          <w:noProof/>
          <w:sz w:val="24"/>
          <w:vertAlign w:val="subscript"/>
        </w:rPr>
        <w:t>MSY</w:t>
      </w:r>
      <w:r w:rsidRPr="00246137">
        <w:rPr>
          <w:rFonts w:ascii="Times New Roman" w:hAnsi="Times New Roman"/>
          <w:noProof/>
          <w:sz w:val="24"/>
        </w:rPr>
        <w:t xml:space="preserve"> în 2022. În cadrul acestei cifre medii există variații mari. Un număr de 25 de stocuri sunt încă pescuite peste F</w:t>
      </w:r>
      <w:r w:rsidRPr="00246137">
        <w:rPr>
          <w:rFonts w:ascii="Times New Roman" w:hAnsi="Times New Roman"/>
          <w:noProof/>
          <w:sz w:val="24"/>
          <w:vertAlign w:val="subscript"/>
        </w:rPr>
        <w:t>MSY</w:t>
      </w:r>
      <w:r w:rsidRPr="00246137">
        <w:rPr>
          <w:rFonts w:ascii="Times New Roman" w:hAnsi="Times New Roman"/>
          <w:noProof/>
          <w:sz w:val="24"/>
        </w:rPr>
        <w:t xml:space="preserve">, în timp ce 58 sunt pescuite în limitele acestei valori. Ratele mortalității prin pescuit au scăzut brusc în toate zonele, atingând cele mai scăzute niveluri în </w:t>
      </w:r>
      <w:r w:rsidRPr="00246137">
        <w:rPr>
          <w:rFonts w:ascii="Times New Roman" w:hAnsi="Times New Roman"/>
          <w:b/>
          <w:noProof/>
          <w:sz w:val="24"/>
        </w:rPr>
        <w:t>Golful Biscaya</w:t>
      </w:r>
      <w:r w:rsidRPr="00246137">
        <w:rPr>
          <w:rFonts w:ascii="Times New Roman" w:hAnsi="Times New Roman"/>
          <w:noProof/>
          <w:sz w:val="24"/>
        </w:rPr>
        <w:t xml:space="preserve"> și în </w:t>
      </w:r>
      <w:r w:rsidRPr="00246137">
        <w:rPr>
          <w:rFonts w:ascii="Times New Roman" w:hAnsi="Times New Roman"/>
          <w:b/>
          <w:noProof/>
          <w:sz w:val="24"/>
        </w:rPr>
        <w:t>zonele de coastă iberice</w:t>
      </w:r>
      <w:r w:rsidRPr="00246137">
        <w:rPr>
          <w:rFonts w:ascii="Times New Roman" w:hAnsi="Times New Roman"/>
          <w:noProof/>
          <w:sz w:val="24"/>
        </w:rPr>
        <w:t xml:space="preserve">, precum și pentru </w:t>
      </w:r>
      <w:r w:rsidRPr="00246137">
        <w:rPr>
          <w:rFonts w:ascii="Times New Roman" w:hAnsi="Times New Roman"/>
          <w:b/>
          <w:noProof/>
          <w:sz w:val="24"/>
        </w:rPr>
        <w:t xml:space="preserve">stocurile repartizate pe o zonă extinsă </w:t>
      </w:r>
      <w:r w:rsidRPr="00246137">
        <w:rPr>
          <w:rFonts w:ascii="Times New Roman" w:hAnsi="Times New Roman"/>
          <w:noProof/>
          <w:sz w:val="24"/>
        </w:rPr>
        <w:t>(de exemplu, macrou, putasu, stavrid și hering). În Marea Nordului, rata medie a mortalității este în continuare mai mare decât în alte zone.</w:t>
      </w:r>
    </w:p>
    <w:p w14:paraId="6D8042A7" w14:textId="4C7D29C8" w:rsidR="00047D5C" w:rsidRPr="00246137" w:rsidRDefault="79C8E3AB" w:rsidP="366F6422">
      <w:pPr>
        <w:pStyle w:val="Text2"/>
        <w:ind w:left="0"/>
        <w:rPr>
          <w:noProof/>
        </w:rPr>
      </w:pPr>
      <w:r w:rsidRPr="00246137">
        <w:rPr>
          <w:noProof/>
        </w:rPr>
        <w:t xml:space="preserve">În </w:t>
      </w:r>
      <w:r w:rsidRPr="00246137">
        <w:rPr>
          <w:b/>
          <w:noProof/>
        </w:rPr>
        <w:t>Marea Mediterană și Marea Neagră</w:t>
      </w:r>
      <w:r w:rsidRPr="00246137">
        <w:rPr>
          <w:noProof/>
        </w:rPr>
        <w:t>, mediana F/F</w:t>
      </w:r>
      <w:r w:rsidRPr="00246137">
        <w:rPr>
          <w:noProof/>
          <w:vertAlign w:val="subscript"/>
        </w:rPr>
        <w:t>MSY</w:t>
      </w:r>
      <w:r w:rsidRPr="00246137">
        <w:rPr>
          <w:noProof/>
        </w:rPr>
        <w:t xml:space="preserve"> a atins un nivel maxim de 1,90 în 2007, s-a stabilizat la 1,87 în perioada 2008-2011 și a scăzut de atunci. În ultimii trei ani, F/F</w:t>
      </w:r>
      <w:r w:rsidRPr="00246137">
        <w:rPr>
          <w:noProof/>
          <w:vertAlign w:val="subscript"/>
        </w:rPr>
        <w:t>MSY</w:t>
      </w:r>
      <w:r w:rsidRPr="00246137">
        <w:rPr>
          <w:noProof/>
        </w:rPr>
        <w:t xml:space="preserve"> a scăzut de la 1,59 la 1,20 în 2022, atingând cel mai scăzut nivel din 2003. Această tendință este consecventă în toate subregiunile. Cu toate acestea, presiunea exercitată de pescuit în Marea Mediterană și în Marea Neagră este în continuare cu 20 % peste nivelul median considerat sustenabil. </w:t>
      </w:r>
    </w:p>
    <w:p w14:paraId="76DC72E9" w14:textId="62756885" w:rsidR="00AC0378" w:rsidRPr="00246137" w:rsidRDefault="001D6309" w:rsidP="366F6422">
      <w:pPr>
        <w:jc w:val="both"/>
        <w:rPr>
          <w:rFonts w:ascii="Times New Roman" w:eastAsia="Times New Roman" w:hAnsi="Times New Roman" w:cs="Times New Roman"/>
          <w:noProof/>
          <w:sz w:val="24"/>
          <w:szCs w:val="24"/>
        </w:rPr>
      </w:pPr>
      <w:r w:rsidRPr="00246137">
        <w:rPr>
          <w:rFonts w:ascii="Times New Roman" w:hAnsi="Times New Roman"/>
          <w:noProof/>
          <w:sz w:val="24"/>
        </w:rPr>
        <w:t>În medie, stocurile din Atlanticul de Nord-Est se încadrează în prezent în intervalul compatibil cu obiectivele de politică privind rata mortalității prin pescuit. Deși în 2023 s-au înregistrat progrese satisfăcătoare în direcția atingerii sustenabilității, sunt necesare progrese suplimentare, în special în Marea Mediterană și în Marea Neagră.</w:t>
      </w:r>
    </w:p>
    <w:p w14:paraId="520EB83A" w14:textId="34CBE2B6" w:rsidR="130393D1" w:rsidRPr="00246137" w:rsidRDefault="544730B6" w:rsidP="101444AA">
      <w:pPr>
        <w:jc w:val="both"/>
        <w:rPr>
          <w:rFonts w:ascii="Times New Roman" w:eastAsia="Times New Roman" w:hAnsi="Times New Roman" w:cs="Times New Roman"/>
          <w:noProof/>
          <w:sz w:val="24"/>
          <w:szCs w:val="24"/>
        </w:rPr>
      </w:pPr>
      <w:r w:rsidRPr="00246137">
        <w:rPr>
          <w:rFonts w:ascii="Times New Roman" w:hAnsi="Times New Roman"/>
          <w:noProof/>
          <w:sz w:val="24"/>
        </w:rPr>
        <w:t>Comunitatea științifică studiază în mod activ măsura în care alți factori decât pescuitul, cum ar fi încălzirea oceanelor, acidificarea, poluarea și dezoxigenarea mărilor, ar fi putut scădea productivitatea pescuitului, deși există încă lacune în materie de cunoștințe. Ceea ce se știe cu oarecare certitudine, pe lângă schimbările de distribuție a speciilor cauzate de schimbările climatice</w:t>
      </w:r>
      <w:r w:rsidR="130393D1" w:rsidRPr="00246137">
        <w:rPr>
          <w:rFonts w:ascii="Times New Roman" w:eastAsia="Times New Roman" w:hAnsi="Times New Roman" w:cs="Times New Roman"/>
          <w:noProof/>
          <w:sz w:val="24"/>
          <w:szCs w:val="24"/>
          <w:vertAlign w:val="superscript"/>
        </w:rPr>
        <w:footnoteReference w:id="9"/>
      </w:r>
      <w:r w:rsidRPr="00246137">
        <w:rPr>
          <w:rFonts w:ascii="Times New Roman" w:hAnsi="Times New Roman"/>
          <w:noProof/>
          <w:sz w:val="24"/>
        </w:rPr>
        <w:t>, este faptul că speciile planctonice, precum și calendarul și amploarea înfloririi planctonice s-au modificat</w:t>
      </w:r>
      <w:r w:rsidR="003D7EED" w:rsidRPr="00246137">
        <w:rPr>
          <w:rStyle w:val="FootnoteReference"/>
          <w:rFonts w:ascii="Times New Roman" w:eastAsia="Times New Roman" w:hAnsi="Times New Roman" w:cs="Times New Roman"/>
          <w:noProof/>
          <w:sz w:val="24"/>
          <w:szCs w:val="24"/>
        </w:rPr>
        <w:footnoteReference w:id="10"/>
      </w:r>
      <w:r w:rsidRPr="00246137">
        <w:rPr>
          <w:rFonts w:ascii="Times New Roman" w:hAnsi="Times New Roman"/>
          <w:noProof/>
          <w:sz w:val="24"/>
        </w:rPr>
        <w:t>. De asemenea, s-au înregistrat reduceri semnificative ale abundenței planctonului</w:t>
      </w:r>
      <w:r w:rsidR="00F13ADB" w:rsidRPr="00246137">
        <w:rPr>
          <w:rStyle w:val="FootnoteReference"/>
          <w:rFonts w:ascii="Times New Roman" w:eastAsia="Times New Roman" w:hAnsi="Times New Roman" w:cs="Times New Roman"/>
          <w:noProof/>
          <w:sz w:val="24"/>
          <w:szCs w:val="24"/>
        </w:rPr>
        <w:footnoteReference w:id="11"/>
      </w:r>
      <w:r w:rsidRPr="00246137">
        <w:rPr>
          <w:rFonts w:ascii="Times New Roman" w:hAnsi="Times New Roman"/>
          <w:noProof/>
          <w:sz w:val="24"/>
        </w:rPr>
        <w:t xml:space="preserve"> în perioada 2015-2019 și ale intrărilor de nutrienți din surse terestre</w:t>
      </w:r>
      <w:r w:rsidR="00F13ADB" w:rsidRPr="00246137">
        <w:rPr>
          <w:rStyle w:val="FootnoteReference"/>
          <w:rFonts w:ascii="Times New Roman" w:eastAsia="Times New Roman" w:hAnsi="Times New Roman" w:cs="Times New Roman"/>
          <w:noProof/>
          <w:sz w:val="24"/>
          <w:szCs w:val="24"/>
        </w:rPr>
        <w:footnoteReference w:id="12"/>
      </w:r>
      <w:r w:rsidRPr="00246137">
        <w:rPr>
          <w:rFonts w:ascii="Times New Roman" w:hAnsi="Times New Roman"/>
          <w:noProof/>
          <w:sz w:val="24"/>
        </w:rPr>
        <w:t>. Este posibil ca aceste modificări să fi afectat negativ productivitatea stocurilor de pește.</w:t>
      </w:r>
    </w:p>
    <w:p w14:paraId="777FC21B" w14:textId="14EE22E0" w:rsidR="6CA512B8" w:rsidRPr="00246137" w:rsidRDefault="6CA512B8" w:rsidP="101444AA">
      <w:pPr>
        <w:spacing w:after="0"/>
        <w:jc w:val="both"/>
        <w:rPr>
          <w:rFonts w:ascii="Times New Roman" w:eastAsia="Calibri" w:hAnsi="Times New Roman" w:cs="Times New Roman"/>
          <w:noProof/>
          <w:sz w:val="24"/>
          <w:szCs w:val="24"/>
        </w:rPr>
      </w:pPr>
      <w:r w:rsidRPr="00246137">
        <w:rPr>
          <w:rFonts w:ascii="Times New Roman" w:hAnsi="Times New Roman"/>
          <w:noProof/>
          <w:sz w:val="24"/>
        </w:rPr>
        <w:t>În Marea Mediterană, zonele centrale și estice sunt considerate mai vulnerabile la schimbările climatice din cauza presiunii crescute exercitate de speciile invazive de origine tropicală (cum ar fi speciile Lessepsian și alte specii), a temperaturilor mai ridicate ale apei și a circulației oceanice mai reduse, ceea ce duce la scăderea nivelurilor de oxigen dizolvat.</w:t>
      </w:r>
    </w:p>
    <w:p w14:paraId="71710FBE" w14:textId="038E25A4" w:rsidR="6CA512B8" w:rsidRPr="00246137" w:rsidRDefault="6CA512B8" w:rsidP="101444AA">
      <w:pPr>
        <w:spacing w:after="0"/>
        <w:ind w:left="1440"/>
        <w:jc w:val="both"/>
        <w:rPr>
          <w:rFonts w:ascii="Times New Roman" w:eastAsia="Calibri" w:hAnsi="Times New Roman" w:cs="Times New Roman"/>
          <w:noProof/>
          <w:sz w:val="24"/>
          <w:szCs w:val="24"/>
        </w:rPr>
      </w:pPr>
      <w:r w:rsidRPr="00246137">
        <w:rPr>
          <w:rFonts w:ascii="Times New Roman" w:hAnsi="Times New Roman"/>
          <w:noProof/>
          <w:sz w:val="24"/>
        </w:rPr>
        <w:t xml:space="preserve"> </w:t>
      </w:r>
    </w:p>
    <w:p w14:paraId="3A5CFCDD" w14:textId="19C20B2C" w:rsidR="00AC0378" w:rsidRPr="00246137" w:rsidRDefault="626E4A0F" w:rsidP="4C1DFF91">
      <w:pPr>
        <w:pStyle w:val="Heading2"/>
        <w:numPr>
          <w:ilvl w:val="1"/>
          <w:numId w:val="7"/>
        </w:numPr>
        <w:rPr>
          <w:noProof/>
        </w:rPr>
      </w:pPr>
      <w:r w:rsidRPr="00246137">
        <w:rPr>
          <w:noProof/>
        </w:rPr>
        <w:t xml:space="preserve"> Posibilități de pescuit în 2024</w:t>
      </w:r>
    </w:p>
    <w:p w14:paraId="1C5D6A94" w14:textId="2BED2EA7" w:rsidR="00AC0378" w:rsidRPr="00246137" w:rsidRDefault="29EF7F58" w:rsidP="13D482FB">
      <w:pPr>
        <w:spacing w:after="120"/>
        <w:jc w:val="both"/>
        <w:rPr>
          <w:rFonts w:ascii="Times New Roman" w:eastAsia="Times New Roman" w:hAnsi="Times New Roman" w:cs="Times New Roman"/>
          <w:noProof/>
          <w:color w:val="000000" w:themeColor="text1"/>
          <w:sz w:val="24"/>
          <w:szCs w:val="24"/>
        </w:rPr>
      </w:pPr>
      <w:r w:rsidRPr="00246137">
        <w:rPr>
          <w:rFonts w:ascii="Times New Roman" w:hAnsi="Times New Roman"/>
          <w:noProof/>
          <w:sz w:val="24"/>
        </w:rPr>
        <w:t xml:space="preserve">Posibilitățile de pescuit reprezintă </w:t>
      </w:r>
      <w:r w:rsidRPr="00246137">
        <w:rPr>
          <w:rFonts w:ascii="Times New Roman" w:hAnsi="Times New Roman"/>
          <w:noProof/>
          <w:color w:val="000000" w:themeColor="text1"/>
          <w:sz w:val="24"/>
        </w:rPr>
        <w:t>un instrument important în gestionarea sustenabilă a pescuitului.</w:t>
      </w:r>
      <w:r w:rsidRPr="00246137">
        <w:rPr>
          <w:rFonts w:ascii="Times New Roman" w:hAnsi="Times New Roman"/>
          <w:noProof/>
          <w:sz w:val="24"/>
        </w:rPr>
        <w:t xml:space="preserve"> </w:t>
      </w:r>
      <w:r w:rsidRPr="00246137">
        <w:rPr>
          <w:rFonts w:ascii="Times New Roman" w:hAnsi="Times New Roman"/>
          <w:noProof/>
          <w:color w:val="000000" w:themeColor="text1"/>
          <w:sz w:val="24"/>
        </w:rPr>
        <w:t>În Oceanul Atlantic, Marea Baltică și zona Skagerrak/Kattegat, posibilitățile de pescuit sunt stabilite, în principal, ca limite de captură cunoscute și sub denumirea de capturi totale admisibile (TAC-uri).</w:t>
      </w:r>
    </w:p>
    <w:p w14:paraId="13E7661A" w14:textId="5160F889" w:rsidR="00AC0378" w:rsidRPr="00246137" w:rsidRDefault="73A587C9" w:rsidP="055F1019">
      <w:pPr>
        <w:spacing w:after="120"/>
        <w:jc w:val="both"/>
        <w:rPr>
          <w:rFonts w:ascii="Times New Roman" w:eastAsia="Times New Roman" w:hAnsi="Times New Roman" w:cs="Times New Roman"/>
          <w:b/>
          <w:bCs/>
          <w:noProof/>
          <w:sz w:val="24"/>
          <w:szCs w:val="24"/>
        </w:rPr>
      </w:pPr>
      <w:r w:rsidRPr="00246137">
        <w:rPr>
          <w:rFonts w:ascii="Times New Roman" w:hAnsi="Times New Roman"/>
          <w:b/>
          <w:noProof/>
          <w:sz w:val="24"/>
        </w:rPr>
        <w:t xml:space="preserve">Situația de mediu </w:t>
      </w:r>
      <w:r w:rsidRPr="00246137">
        <w:rPr>
          <w:rFonts w:ascii="Times New Roman" w:hAnsi="Times New Roman"/>
          <w:noProof/>
          <w:sz w:val="24"/>
        </w:rPr>
        <w:t xml:space="preserve">din </w:t>
      </w:r>
      <w:r w:rsidRPr="00246137">
        <w:rPr>
          <w:rFonts w:ascii="Times New Roman" w:hAnsi="Times New Roman"/>
          <w:b/>
          <w:noProof/>
          <w:sz w:val="24"/>
        </w:rPr>
        <w:t>Marea Baltică și din râurile sale este extrem de diferită</w:t>
      </w:r>
      <w:r w:rsidRPr="00246137">
        <w:rPr>
          <w:rFonts w:ascii="Times New Roman" w:hAnsi="Times New Roman"/>
          <w:noProof/>
          <w:sz w:val="24"/>
        </w:rPr>
        <w:t xml:space="preserve"> de situația din alte bazine maritime și continuă să afecteze stocurile de pește și dezvoltarea acestora. În prezent, Marea Baltică se confruntă cu </w:t>
      </w:r>
      <w:r w:rsidRPr="00246137">
        <w:rPr>
          <w:rFonts w:ascii="Times New Roman" w:hAnsi="Times New Roman"/>
          <w:b/>
          <w:noProof/>
          <w:sz w:val="24"/>
        </w:rPr>
        <w:t>presiuni multiple</w:t>
      </w:r>
      <w:r w:rsidRPr="00246137">
        <w:rPr>
          <w:rFonts w:ascii="Times New Roman" w:hAnsi="Times New Roman"/>
          <w:noProof/>
          <w:sz w:val="24"/>
        </w:rPr>
        <w:t>, care au condus la un declin al biodiversității</w:t>
      </w:r>
      <w:r w:rsidR="001E640F" w:rsidRPr="00246137">
        <w:rPr>
          <w:rStyle w:val="FootnoteReference"/>
          <w:rFonts w:ascii="Times New Roman" w:eastAsia="Times New Roman" w:hAnsi="Times New Roman" w:cs="Times New Roman"/>
          <w:noProof/>
          <w:sz w:val="24"/>
          <w:szCs w:val="24"/>
        </w:rPr>
        <w:footnoteReference w:id="13"/>
      </w:r>
      <w:r w:rsidRPr="00246137">
        <w:rPr>
          <w:rFonts w:ascii="Times New Roman" w:hAnsi="Times New Roman"/>
          <w:noProof/>
          <w:sz w:val="24"/>
        </w:rPr>
        <w:t>. Aceste presiuni includ o eutrofizare cauzată de intrările de nutrienți și niveluri constant ridicate de contaminanți. Acest lucru rezultă, în parte, din nepunerea în aplicare a legislației UE</w:t>
      </w:r>
      <w:r w:rsidR="00E8087A" w:rsidRPr="00246137">
        <w:rPr>
          <w:rStyle w:val="FootnoteReference"/>
          <w:rFonts w:ascii="Times New Roman" w:eastAsia="Times New Roman" w:hAnsi="Times New Roman" w:cs="Times New Roman"/>
          <w:noProof/>
          <w:sz w:val="24"/>
          <w:szCs w:val="24"/>
        </w:rPr>
        <w:footnoteReference w:id="14"/>
      </w:r>
      <w:r w:rsidRPr="00246137">
        <w:rPr>
          <w:rFonts w:ascii="Times New Roman" w:hAnsi="Times New Roman"/>
          <w:noProof/>
          <w:sz w:val="24"/>
        </w:rPr>
        <w:t>. O posibilă soluție bazată pe natură explorată în prezent este utilizarea midiilor, care pot inversa rapid eutrofizarea, pot reface „zonele moarte” dezoxigenate și pot sechestra carbonul la fel de eficient ca pădurile pe uscat. Pe lângă aceste presiuni externe, deficiențele în punerea în aplicare a normelor UE privind cântărirea și înregistrarea capturilor pot juca, de asemenea, un rol semnificativ în declinul stocurilor de pește din Marea Baltică.</w:t>
      </w:r>
      <w:r w:rsidRPr="00246137">
        <w:rPr>
          <w:rFonts w:ascii="Times New Roman" w:hAnsi="Times New Roman"/>
          <w:b/>
          <w:noProof/>
          <w:sz w:val="24"/>
        </w:rPr>
        <w:t xml:space="preserve"> </w:t>
      </w:r>
    </w:p>
    <w:p w14:paraId="19777E47" w14:textId="175D1049" w:rsidR="00AC0378" w:rsidRPr="00246137" w:rsidRDefault="1FE26B3D" w:rsidP="055F1019">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Pescuitul din Marea Baltică nu mai este direcționat pentru patru din zece specii (stocul de hering din vestul Mării Baltice, ambele stocuri de cod și stocul de somon din bazinul principal), capturile din aceste specii putând fi debarcate doar sub formă de capturi accidentale. Restul activităților de pescuit direcționat vizează celelalte stocuri de pești pelagici (șprotul și heringul din zona centrală a Mării Baltice, Golful Botnic și Golful Riga) și cambula de Baltica, cu limite de captură stabilite în conformitate cu MSY, precum și somonul din Golful Botnic și din Golful Finlandei, cu limite de captură stabilite în conformitate cu abordarea precaută. </w:t>
      </w:r>
    </w:p>
    <w:p w14:paraId="46CE7466" w14:textId="46768418" w:rsidR="00AC0378" w:rsidRPr="00246137" w:rsidRDefault="6F3C46D1" w:rsidP="00616704">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Planul multianual pentru Marea Baltică</w:t>
      </w:r>
      <w:r w:rsidR="001D6309" w:rsidRPr="00246137">
        <w:rPr>
          <w:rStyle w:val="FootnoteReference"/>
          <w:rFonts w:ascii="Times New Roman" w:eastAsia="Times New Roman" w:hAnsi="Times New Roman" w:cs="Times New Roman"/>
          <w:noProof/>
          <w:sz w:val="24"/>
          <w:szCs w:val="24"/>
        </w:rPr>
        <w:footnoteReference w:id="15"/>
      </w:r>
      <w:r w:rsidRPr="00246137">
        <w:rPr>
          <w:rFonts w:ascii="Times New Roman" w:hAnsi="Times New Roman"/>
          <w:noProof/>
          <w:sz w:val="24"/>
        </w:rPr>
        <w:t xml:space="preserve"> oferă numeroase instrumente pentru a ajuta la refacerea stocurilor de pește, inclusiv suspendarea activităților de pescuit direcționat, stabilirea TAC-urilor sub nivelurile maxime recomandate, închiderea în timpul perioadelor de reproducere și limitarea pescuitului recreativ. Însă, </w:t>
      </w:r>
      <w:bookmarkStart w:id="4" w:name="_Hlk136090368"/>
      <w:r w:rsidRPr="00246137">
        <w:rPr>
          <w:rFonts w:ascii="Times New Roman" w:hAnsi="Times New Roman"/>
          <w:noProof/>
          <w:sz w:val="24"/>
        </w:rPr>
        <w:t>dacă statele membre nu aplică și nu pun în aplicare pe deplin legislația UE</w:t>
      </w:r>
      <w:bookmarkEnd w:id="4"/>
      <w:r w:rsidRPr="00246137">
        <w:rPr>
          <w:rFonts w:ascii="Times New Roman" w:hAnsi="Times New Roman"/>
          <w:noProof/>
          <w:sz w:val="24"/>
        </w:rPr>
        <w:t xml:space="preserve">, stocurile de pește nu se vor reface. În Declarația ministerială a </w:t>
      </w:r>
      <w:r w:rsidRPr="00246137">
        <w:rPr>
          <w:rFonts w:ascii="Times New Roman" w:hAnsi="Times New Roman"/>
          <w:i/>
          <w:noProof/>
          <w:sz w:val="24"/>
        </w:rPr>
        <w:t xml:space="preserve">Conferinței Baltica noastră din 2020 </w:t>
      </w:r>
      <w:r w:rsidRPr="00246137">
        <w:rPr>
          <w:rFonts w:ascii="Times New Roman" w:hAnsi="Times New Roman"/>
          <w:noProof/>
          <w:sz w:val="24"/>
        </w:rPr>
        <w:t>s-a luat angajamentul de a pune în aplicare pe deplin dreptul Uniunii; este esențial acum să se facă acest lucru</w:t>
      </w:r>
      <w:r w:rsidR="00E8087A" w:rsidRPr="00246137">
        <w:rPr>
          <w:rStyle w:val="FootnoteReference"/>
          <w:rFonts w:ascii="Times New Roman" w:eastAsia="Times New Roman" w:hAnsi="Times New Roman" w:cs="Times New Roman"/>
          <w:noProof/>
          <w:sz w:val="24"/>
          <w:szCs w:val="24"/>
        </w:rPr>
        <w:footnoteReference w:id="16"/>
      </w:r>
      <w:r w:rsidRPr="00246137">
        <w:rPr>
          <w:rFonts w:ascii="Times New Roman" w:hAnsi="Times New Roman"/>
          <w:noProof/>
          <w:sz w:val="24"/>
        </w:rPr>
        <w:t xml:space="preserve">. La 29 septembrie 2023, a avut loc cea de a 2-a ediție a Conferinței </w:t>
      </w:r>
      <w:r w:rsidRPr="00246137">
        <w:rPr>
          <w:rFonts w:ascii="Times New Roman" w:hAnsi="Times New Roman"/>
          <w:i/>
          <w:noProof/>
          <w:sz w:val="24"/>
        </w:rPr>
        <w:t>Baltica noastră</w:t>
      </w:r>
      <w:r w:rsidRPr="00246137">
        <w:rPr>
          <w:rFonts w:ascii="Times New Roman" w:hAnsi="Times New Roman"/>
          <w:noProof/>
          <w:sz w:val="24"/>
        </w:rPr>
        <w:t>, care a inclus un raport privind progresele înregistrate în ceea ce privește angajamentele asumate în 2020</w:t>
      </w:r>
      <w:r w:rsidR="00FC6159" w:rsidRPr="00246137">
        <w:rPr>
          <w:rStyle w:val="FootnoteReference"/>
          <w:rFonts w:ascii="Times New Roman" w:eastAsia="Times New Roman" w:hAnsi="Times New Roman" w:cs="Times New Roman"/>
          <w:noProof/>
          <w:sz w:val="24"/>
          <w:szCs w:val="24"/>
        </w:rPr>
        <w:footnoteReference w:id="17"/>
      </w:r>
      <w:r w:rsidRPr="00246137">
        <w:rPr>
          <w:rFonts w:ascii="Times New Roman" w:hAnsi="Times New Roman"/>
          <w:noProof/>
          <w:sz w:val="24"/>
        </w:rPr>
        <w:t xml:space="preserve">. </w:t>
      </w:r>
    </w:p>
    <w:p w14:paraId="25CEF99B" w14:textId="350FBFCE" w:rsidR="00F80B85" w:rsidRPr="00246137" w:rsidRDefault="41224C59" w:rsidP="13D482FB">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Pentru a depăși efectele poluării, ale eutrofizării și ale schimbărilor climatice asupra ecosistemelor marine, pescuitului și acvaculturii, este esențial să se înceapă cu contribuția comunității științifice. Știința le permite factorilor de decizie să ia decizii în cunoștință de cauză și să pună pe deplin în aplicare </w:t>
      </w:r>
      <w:r w:rsidRPr="00246137">
        <w:rPr>
          <w:rFonts w:ascii="Times New Roman" w:hAnsi="Times New Roman"/>
          <w:b/>
          <w:noProof/>
          <w:sz w:val="24"/>
        </w:rPr>
        <w:t>abordarea ecosistemică a gestionării pescuitului și acvaculturii</w:t>
      </w:r>
      <w:r w:rsidRPr="00246137">
        <w:rPr>
          <w:rFonts w:ascii="Times New Roman" w:hAnsi="Times New Roman"/>
          <w:noProof/>
          <w:sz w:val="24"/>
        </w:rPr>
        <w:t>, unul dintre principiile-cheie ale PCP și cea mai bună modalitate de a îndeplini obiectivele acesteia.</w:t>
      </w:r>
    </w:p>
    <w:p w14:paraId="51CB3260" w14:textId="016C5415" w:rsidR="00A43D33" w:rsidRPr="00246137" w:rsidRDefault="08800382" w:rsidP="540C8F5D">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În apele UE din zonele </w:t>
      </w:r>
      <w:r w:rsidRPr="00246137">
        <w:rPr>
          <w:rFonts w:ascii="Times New Roman" w:hAnsi="Times New Roman"/>
          <w:b/>
          <w:noProof/>
          <w:sz w:val="24"/>
        </w:rPr>
        <w:t>Atlantic</w:t>
      </w:r>
      <w:r w:rsidRPr="00246137">
        <w:rPr>
          <w:rFonts w:ascii="Times New Roman" w:hAnsi="Times New Roman"/>
          <w:noProof/>
          <w:sz w:val="24"/>
        </w:rPr>
        <w:t xml:space="preserve"> </w:t>
      </w:r>
      <w:r w:rsidRPr="00246137">
        <w:rPr>
          <w:rFonts w:ascii="Times New Roman" w:hAnsi="Times New Roman"/>
          <w:b/>
          <w:noProof/>
          <w:sz w:val="24"/>
        </w:rPr>
        <w:t>și Skagerrak/Kattegat</w:t>
      </w:r>
      <w:r w:rsidRPr="00246137">
        <w:rPr>
          <w:rFonts w:ascii="Times New Roman" w:hAnsi="Times New Roman"/>
          <w:noProof/>
          <w:sz w:val="24"/>
        </w:rPr>
        <w:t xml:space="preserve"> presiunile exercitate asupra stocurilor de pește sunt mai reduse, iar condițiile de mediu sunt diferite. În aceste bazine maritime, UE a gestionat cele 29 de stocuri de pește într-un mod sustenabil, obținând rezultate pozitive multiple, cu TAC-uri mai ridicate pentru </w:t>
      </w:r>
      <w:r w:rsidR="00DA4083" w:rsidRPr="00246137">
        <w:rPr>
          <w:rFonts w:ascii="Times New Roman" w:hAnsi="Times New Roman"/>
          <w:noProof/>
          <w:sz w:val="24"/>
        </w:rPr>
        <w:t>cinci</w:t>
      </w:r>
      <w:r w:rsidRPr="00246137">
        <w:rPr>
          <w:rFonts w:ascii="Times New Roman" w:hAnsi="Times New Roman"/>
          <w:noProof/>
          <w:sz w:val="24"/>
        </w:rPr>
        <w:t xml:space="preserve"> dintre ele în 2024. Pescarii din Golful Biscaya au depus eforturi semnificative pentru a gestiona în mod corespunzător stocurile de pește, ceea ce a condus la gestionarea pescuitului în conformitate cu MSY timp de mai mulți ani, astfel cum se arată în raportul CSTEP din 2022. Cu toate acestea, în pofida eforturilor depuse, această zonă a înregistrat o scădere majoră a posibilităților de pescuit pentru 2024 din cauza obligației legale de a rămâne la nivelurile MSY. </w:t>
      </w:r>
    </w:p>
    <w:p w14:paraId="0F8932FA" w14:textId="38AD519B" w:rsidR="00AC0378" w:rsidRPr="00246137" w:rsidRDefault="5D5F01F8" w:rsidP="055F1019">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Majoritatea stocurilor UE sunt în prezent partajate cu </w:t>
      </w:r>
      <w:r w:rsidRPr="00246137">
        <w:rPr>
          <w:rFonts w:ascii="Times New Roman" w:hAnsi="Times New Roman"/>
          <w:b/>
          <w:noProof/>
          <w:sz w:val="24"/>
        </w:rPr>
        <w:t>statele costiere din Atlanticul de Nord-Est</w:t>
      </w:r>
      <w:r w:rsidRPr="00246137">
        <w:rPr>
          <w:rFonts w:ascii="Times New Roman" w:hAnsi="Times New Roman"/>
          <w:noProof/>
          <w:sz w:val="24"/>
        </w:rPr>
        <w:t>. Pentru peste 85 de TAC-uri</w:t>
      </w:r>
      <w:r w:rsidRPr="00246137">
        <w:rPr>
          <w:rFonts w:ascii="Times New Roman" w:hAnsi="Times New Roman"/>
          <w:b/>
          <w:noProof/>
          <w:sz w:val="24"/>
        </w:rPr>
        <w:t xml:space="preserve"> partajate cu Regatul Unit</w:t>
      </w:r>
      <w:r w:rsidRPr="00246137">
        <w:rPr>
          <w:rFonts w:ascii="Times New Roman" w:hAnsi="Times New Roman"/>
          <w:noProof/>
          <w:sz w:val="24"/>
        </w:rPr>
        <w:t>,</w:t>
      </w:r>
      <w:r w:rsidRPr="00246137">
        <w:rPr>
          <w:rFonts w:ascii="Times New Roman" w:hAnsi="Times New Roman"/>
          <w:b/>
          <w:noProof/>
          <w:sz w:val="24"/>
        </w:rPr>
        <w:t xml:space="preserve"> </w:t>
      </w:r>
      <w:r w:rsidRPr="00246137">
        <w:rPr>
          <w:rFonts w:ascii="Times New Roman" w:hAnsi="Times New Roman"/>
          <w:noProof/>
          <w:sz w:val="24"/>
        </w:rPr>
        <w:t>UE și Regatul Unit au convenit TAC-uri pentru 2024 pe baza celor mai bune avize științifice, în termenul stabilit prin Acordul comercial și de cooperare</w:t>
      </w:r>
      <w:r w:rsidR="00166034" w:rsidRPr="00246137">
        <w:rPr>
          <w:rStyle w:val="FootnoteReference"/>
          <w:rFonts w:ascii="Times New Roman" w:eastAsia="Times New Roman" w:hAnsi="Times New Roman" w:cs="Times New Roman"/>
          <w:noProof/>
          <w:sz w:val="24"/>
          <w:szCs w:val="24"/>
        </w:rPr>
        <w:footnoteReference w:id="18"/>
      </w:r>
      <w:r w:rsidRPr="00246137">
        <w:rPr>
          <w:rFonts w:ascii="Times New Roman" w:hAnsi="Times New Roman"/>
          <w:noProof/>
          <w:sz w:val="24"/>
        </w:rPr>
        <w:t>. Majoritatea TAC-urilor au fost stabilite în conformitate cu MSY, acolo unde au fost disponibile avize. Zece stocuri au primit un aviz de zero capturi pentru 2024 din partea Consiliului Internațional pentru Explorarea Apelor Maritime (ICES). Pentru nouă dintre aceste stocuri, UE și Regatul Unit au convenit să stabilească TAC-uri reduse ale capturilor accidentale pentru 2024, pentru a preveni situațiile de blocaj în cadrul activităților de pescuit mixt, în conformitate cu cadrul juridic al UE. Pentru un stoc, UE și Regatul Unit au convenit să stabilească o TAC de monitorizare științifică pentru 2024, în urma avizului ICES privind TAC</w:t>
      </w:r>
      <w:r w:rsidR="00D9697D" w:rsidRPr="00246137">
        <w:rPr>
          <w:rStyle w:val="FootnoteReference"/>
          <w:rFonts w:ascii="Times New Roman" w:eastAsia="Times New Roman" w:hAnsi="Times New Roman" w:cs="Times New Roman"/>
          <w:noProof/>
          <w:sz w:val="24"/>
          <w:szCs w:val="24"/>
        </w:rPr>
        <w:footnoteReference w:id="19"/>
      </w:r>
      <w:r w:rsidRPr="00246137">
        <w:rPr>
          <w:rFonts w:ascii="Times New Roman" w:hAnsi="Times New Roman"/>
          <w:noProof/>
          <w:sz w:val="24"/>
        </w:rPr>
        <w:t xml:space="preserve">. </w:t>
      </w:r>
    </w:p>
    <w:p w14:paraId="3363F784" w14:textId="6C2080B2" w:rsidR="00AC0378" w:rsidRPr="00246137" w:rsidRDefault="67D27C2C" w:rsidP="13D482FB">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Îmbunătățirea gestionării stocurilor comune convenite de UE și Regatul Unit în cadrul Comitetului specializat privind pescuitul, în special alinierea zonelor de gestionare la unitățile de evaluare utilizate de ICES, a fost esențială pentru îmbunătățirea gestionării sustenabile a stocurilor comune și pentru ajungerea la un acord prompt și satisfăcător</w:t>
      </w:r>
      <w:r w:rsidR="00D9697D" w:rsidRPr="00246137">
        <w:rPr>
          <w:rStyle w:val="FootnoteReference"/>
          <w:rFonts w:ascii="Times New Roman" w:eastAsia="Times New Roman" w:hAnsi="Times New Roman" w:cs="Times New Roman"/>
          <w:noProof/>
          <w:sz w:val="24"/>
          <w:szCs w:val="24"/>
        </w:rPr>
        <w:footnoteReference w:id="20"/>
      </w:r>
      <w:r w:rsidRPr="00246137">
        <w:rPr>
          <w:rFonts w:ascii="Times New Roman" w:hAnsi="Times New Roman"/>
          <w:noProof/>
          <w:sz w:val="24"/>
        </w:rPr>
        <w:t>.</w:t>
      </w:r>
    </w:p>
    <w:p w14:paraId="1D1B5A66" w14:textId="3DF6EB90" w:rsidR="00AC0378" w:rsidRPr="00246137" w:rsidRDefault="5414C148">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Majoritatea stocurilor partajate între </w:t>
      </w:r>
      <w:r w:rsidRPr="00246137">
        <w:rPr>
          <w:rFonts w:ascii="Times New Roman" w:hAnsi="Times New Roman"/>
          <w:b/>
          <w:noProof/>
          <w:sz w:val="24"/>
        </w:rPr>
        <w:t xml:space="preserve">UE, Norvegia și Regatul Unit </w:t>
      </w:r>
      <w:r w:rsidRPr="00246137">
        <w:rPr>
          <w:rFonts w:ascii="Times New Roman" w:hAnsi="Times New Roman"/>
          <w:noProof/>
          <w:sz w:val="24"/>
        </w:rPr>
        <w:t xml:space="preserve">în Marea Nordului indică o tendință pozitivă. Pentru 2024, UE, Norvegia și Regatul Unit au convenit să stabilească TAC-urile pentru aceste stocuri în conformitate cu avizele MSY. Acordul privind TAC-urile include o creștere pentru cod, care a fost stabilită sub nivelul avizelor MSY din motive de precauție. TAC-urile pentru alte două stocuri au fost stabilite sub valoarea MSY pentru a ține seama de interacțiunea lor cu codul în cadrul pescuitului mixt. TAC-urile pentru heringul din Marea Nordului au fost stabilite în conformitate cu avizele științifice, iar părțile au convenit să limiteze în continuare capturile din Skagerrak-Kattegat pentru a atenua impactul asupra stocului epuizat de hering din vestul Mării Baltice. TAC-urile pentru cele două </w:t>
      </w:r>
      <w:r w:rsidRPr="00246137">
        <w:rPr>
          <w:rFonts w:ascii="Times New Roman" w:hAnsi="Times New Roman"/>
          <w:b/>
          <w:noProof/>
          <w:sz w:val="24"/>
        </w:rPr>
        <w:t xml:space="preserve">stocuri evaluate, gestionate bilateral cu Norvegia </w:t>
      </w:r>
      <w:r w:rsidRPr="00246137">
        <w:rPr>
          <w:rFonts w:ascii="Times New Roman" w:hAnsi="Times New Roman"/>
          <w:noProof/>
          <w:sz w:val="24"/>
        </w:rPr>
        <w:t>în Skagerrak-Kattegat, au fost stabilite în conformitate cu MSY sau cu recomandările de precauție</w:t>
      </w:r>
      <w:r w:rsidR="00D9697D" w:rsidRPr="00246137">
        <w:rPr>
          <w:rStyle w:val="FootnoteReference"/>
          <w:rFonts w:ascii="Times New Roman" w:eastAsia="Times New Roman" w:hAnsi="Times New Roman" w:cs="Times New Roman"/>
          <w:noProof/>
          <w:sz w:val="24"/>
          <w:szCs w:val="24"/>
        </w:rPr>
        <w:footnoteReference w:id="21"/>
      </w:r>
      <w:r w:rsidRPr="00246137">
        <w:rPr>
          <w:rFonts w:ascii="Times New Roman" w:hAnsi="Times New Roman"/>
          <w:noProof/>
          <w:sz w:val="24"/>
        </w:rPr>
        <w:t>.</w:t>
      </w:r>
    </w:p>
    <w:p w14:paraId="3D67AD8F" w14:textId="46ABAB8A" w:rsidR="00AC0378" w:rsidRPr="00246137" w:rsidRDefault="553653DE">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Pentru macrou, putasu și heringul atlantico-scandinav, stocuri care sunt </w:t>
      </w:r>
      <w:r w:rsidRPr="00246137">
        <w:rPr>
          <w:rFonts w:ascii="Times New Roman" w:hAnsi="Times New Roman"/>
          <w:b/>
          <w:noProof/>
          <w:sz w:val="24"/>
        </w:rPr>
        <w:t xml:space="preserve">repartizate pe o zonă extinsă </w:t>
      </w:r>
      <w:r w:rsidRPr="00246137">
        <w:rPr>
          <w:rFonts w:ascii="Times New Roman" w:hAnsi="Times New Roman"/>
          <w:noProof/>
          <w:sz w:val="24"/>
        </w:rPr>
        <w:t>în Atlanticul de Nord-Est</w:t>
      </w:r>
      <w:r w:rsidR="00541AF7" w:rsidRPr="00246137">
        <w:rPr>
          <w:rStyle w:val="FootnoteReference"/>
          <w:rFonts w:ascii="Times New Roman" w:eastAsia="Times New Roman" w:hAnsi="Times New Roman" w:cs="Times New Roman"/>
          <w:noProof/>
          <w:sz w:val="24"/>
          <w:szCs w:val="24"/>
        </w:rPr>
        <w:footnoteReference w:id="22"/>
      </w:r>
      <w:r w:rsidRPr="00246137">
        <w:rPr>
          <w:rFonts w:ascii="Times New Roman" w:hAnsi="Times New Roman"/>
          <w:noProof/>
          <w:sz w:val="24"/>
        </w:rPr>
        <w:t>, statele costiere</w:t>
      </w:r>
      <w:r w:rsidR="00370512" w:rsidRPr="00246137">
        <w:rPr>
          <w:rStyle w:val="FootnoteReference"/>
          <w:rFonts w:ascii="Times New Roman" w:eastAsia="Times New Roman" w:hAnsi="Times New Roman" w:cs="Times New Roman"/>
          <w:noProof/>
          <w:sz w:val="24"/>
          <w:szCs w:val="24"/>
        </w:rPr>
        <w:footnoteReference w:id="23"/>
      </w:r>
      <w:r w:rsidRPr="00246137">
        <w:rPr>
          <w:rFonts w:ascii="Times New Roman" w:hAnsi="Times New Roman"/>
          <w:noProof/>
          <w:sz w:val="24"/>
        </w:rPr>
        <w:t xml:space="preserve"> au convenit să stabilească TAC-uri generale pentru 2024 la nivelul MSY. Cu toate acestea, în absența unor acorduri de partajare și din cauza acțiunilor unilaterale ale unor părți, inclusiv a transferurilor interanuale excesive, suma cotelor statelor costiere și ale părților care desfășoară activități de pescuit depășește în continuare TAC-urile generale convenite. </w:t>
      </w:r>
      <w:bookmarkStart w:id="5" w:name="_Hlk135661612"/>
      <w:r w:rsidRPr="00246137">
        <w:rPr>
          <w:rFonts w:ascii="Times New Roman" w:hAnsi="Times New Roman"/>
          <w:noProof/>
          <w:sz w:val="24"/>
        </w:rPr>
        <w:t xml:space="preserve">Acest lucru subminează și mai mult sustenabilitatea acestor stocuri, împiedică realizarea de progrese în ceea ce privește încheierea de acorduri între statele costiere și, în general, a afectat cooperarea în cadrul acestor foruri. </w:t>
      </w:r>
      <w:bookmarkEnd w:id="5"/>
      <w:r w:rsidRPr="00246137">
        <w:rPr>
          <w:rFonts w:ascii="Times New Roman" w:hAnsi="Times New Roman"/>
          <w:noProof/>
          <w:sz w:val="24"/>
        </w:rPr>
        <w:t>UE își menține angajamentul de a obține un rezultat sustenabil al discuțiilor referitoare la hering. UE continuă să se angajeze activ în discuții cu alte state costiere și părți care desfășoară activități de pescuit, cu scopul de a încheia noi acorduri de partajare cuprinzătoare pentru gestionarea sustenabilă a acestor stocuri.</w:t>
      </w:r>
    </w:p>
    <w:p w14:paraId="4D7A0AC2" w14:textId="3E881190" w:rsidR="00AC0378" w:rsidRPr="00246137" w:rsidRDefault="2775AE23" w:rsidP="13D482FB">
      <w:pPr>
        <w:spacing w:after="120"/>
        <w:jc w:val="both"/>
        <w:rPr>
          <w:rFonts w:ascii="Times New Roman" w:eastAsia="Times New Roman" w:hAnsi="Times New Roman" w:cs="Times New Roman"/>
          <w:noProof/>
          <w:sz w:val="24"/>
          <w:szCs w:val="24"/>
        </w:rPr>
      </w:pPr>
      <w:r w:rsidRPr="00246137">
        <w:rPr>
          <w:rFonts w:ascii="Times New Roman" w:hAnsi="Times New Roman"/>
          <w:b/>
          <w:noProof/>
          <w:sz w:val="24"/>
        </w:rPr>
        <w:t>Marea Mediterană și Marea Neagră</w:t>
      </w:r>
      <w:r w:rsidRPr="00246137">
        <w:rPr>
          <w:rFonts w:ascii="Times New Roman" w:hAnsi="Times New Roman"/>
          <w:noProof/>
          <w:sz w:val="24"/>
        </w:rPr>
        <w:t xml:space="preserve"> găzduiesc activități de pescuit care implică mai multe specii, multe stocuri fiind exploatate în comun cu țări terțe. Rata mortalității prin pescuit s-a apropiat de un nivel sustenabil pentru unele stocuri. În 2021, 26 de stocuri au atins nivelul F</w:t>
      </w:r>
      <w:r w:rsidRPr="00246137">
        <w:rPr>
          <w:rFonts w:ascii="Times New Roman" w:hAnsi="Times New Roman"/>
          <w:noProof/>
          <w:sz w:val="24"/>
          <w:vertAlign w:val="subscript"/>
        </w:rPr>
        <w:t>MSY</w:t>
      </w:r>
      <w:r w:rsidRPr="00246137">
        <w:rPr>
          <w:rFonts w:ascii="Times New Roman" w:hAnsi="Times New Roman"/>
          <w:noProof/>
          <w:sz w:val="24"/>
        </w:rPr>
        <w:t xml:space="preserve"> sau niveluri mai scăzute, dar 38 de stocuri sunt în continuare pescuite peste nivelurile sustenabile. </w:t>
      </w:r>
      <w:bookmarkStart w:id="6" w:name="_Hlk132739563"/>
      <w:bookmarkStart w:id="7" w:name="_Hlk135596938"/>
      <w:r w:rsidRPr="00246137">
        <w:rPr>
          <w:rFonts w:ascii="Times New Roman" w:hAnsi="Times New Roman"/>
          <w:noProof/>
          <w:sz w:val="24"/>
        </w:rPr>
        <w:t xml:space="preserve">Acțiunile trebuie să continue să reducă pescuitul </w:t>
      </w:r>
      <w:bookmarkEnd w:id="6"/>
      <w:r w:rsidRPr="00246137">
        <w:rPr>
          <w:rFonts w:ascii="Times New Roman" w:hAnsi="Times New Roman"/>
          <w:noProof/>
          <w:sz w:val="24"/>
        </w:rPr>
        <w:t>și să atingă nivelul MSY. În acest scop, statele trebuie să aplice planul multianual pentru vestul Mării Mediterane („planul multianual pentru vestul Mării Mediterane”)</w:t>
      </w:r>
      <w:r w:rsidR="009A34D1" w:rsidRPr="00246137">
        <w:rPr>
          <w:rStyle w:val="FootnoteReference"/>
          <w:rFonts w:ascii="Times New Roman" w:eastAsia="Times New Roman" w:hAnsi="Times New Roman" w:cs="Times New Roman"/>
          <w:noProof/>
          <w:sz w:val="24"/>
          <w:szCs w:val="24"/>
        </w:rPr>
        <w:footnoteReference w:id="24"/>
      </w:r>
      <w:r w:rsidRPr="00246137">
        <w:rPr>
          <w:rFonts w:ascii="Times New Roman" w:hAnsi="Times New Roman"/>
          <w:noProof/>
          <w:sz w:val="24"/>
        </w:rPr>
        <w:t xml:space="preserve"> și Strategia pentru 2030 a Comisiei Generale pentru Pescuit în Marea Mediterană (CGPM)</w:t>
      </w:r>
      <w:r w:rsidR="009A34D1" w:rsidRPr="00246137">
        <w:rPr>
          <w:rStyle w:val="FootnoteReference"/>
          <w:rFonts w:ascii="Times New Roman" w:eastAsia="Times New Roman" w:hAnsi="Times New Roman" w:cs="Times New Roman"/>
          <w:noProof/>
          <w:sz w:val="24"/>
          <w:szCs w:val="24"/>
        </w:rPr>
        <w:footnoteReference w:id="25"/>
      </w:r>
      <w:r w:rsidRPr="00246137">
        <w:rPr>
          <w:rFonts w:ascii="Times New Roman" w:hAnsi="Times New Roman"/>
          <w:noProof/>
          <w:sz w:val="24"/>
        </w:rPr>
        <w:t xml:space="preserve">. </w:t>
      </w:r>
      <w:bookmarkEnd w:id="7"/>
      <w:r w:rsidRPr="00246137">
        <w:rPr>
          <w:rFonts w:ascii="Times New Roman" w:hAnsi="Times New Roman"/>
          <w:noProof/>
          <w:sz w:val="24"/>
        </w:rPr>
        <w:t>Pentru 2024, posibilitățile de pescuit sunt în conformitate cu un set substanțial de măsuri adoptate în regulamentul privind posibilitățile de pescuit din 2023 pentru punerea în aplicare a planului multianual pentru vestul Mării Mediterane.</w:t>
      </w:r>
    </w:p>
    <w:p w14:paraId="5DFB9D13" w14:textId="35DBDEFE" w:rsidR="00AC0378" w:rsidRPr="00246137" w:rsidRDefault="1AB85B26" w:rsidP="13D482FB">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În etapa de tranziție a </w:t>
      </w:r>
      <w:r w:rsidRPr="00246137">
        <w:rPr>
          <w:rFonts w:ascii="Times New Roman" w:hAnsi="Times New Roman"/>
          <w:b/>
          <w:noProof/>
          <w:sz w:val="24"/>
        </w:rPr>
        <w:t>planului multianual pentru vestul Mării Mediterane</w:t>
      </w:r>
      <w:r w:rsidRPr="00246137">
        <w:rPr>
          <w:rFonts w:ascii="Times New Roman" w:hAnsi="Times New Roman"/>
          <w:noProof/>
          <w:sz w:val="24"/>
        </w:rPr>
        <w:t xml:space="preserve"> și pentru a atinge MSY până în 2025, posibilitățile de pescuit pentru 2024</w:t>
      </w:r>
      <w:r w:rsidR="00541AF7" w:rsidRPr="00246137">
        <w:rPr>
          <w:rStyle w:val="FootnoteReference"/>
          <w:rFonts w:ascii="Times New Roman" w:eastAsia="Times New Roman" w:hAnsi="Times New Roman" w:cs="Times New Roman"/>
          <w:noProof/>
          <w:sz w:val="24"/>
          <w:szCs w:val="24"/>
        </w:rPr>
        <w:footnoteReference w:id="26"/>
      </w:r>
      <w:r w:rsidRPr="00246137">
        <w:rPr>
          <w:rFonts w:ascii="Times New Roman" w:hAnsi="Times New Roman"/>
          <w:noProof/>
          <w:sz w:val="24"/>
        </w:rPr>
        <w:t xml:space="preserve"> adoptă o </w:t>
      </w:r>
      <w:r w:rsidRPr="00246137">
        <w:rPr>
          <w:rFonts w:ascii="Times New Roman" w:hAnsi="Times New Roman"/>
          <w:b/>
          <w:noProof/>
          <w:sz w:val="24"/>
        </w:rPr>
        <w:t>abordare integrată</w:t>
      </w:r>
      <w:r w:rsidRPr="00246137">
        <w:rPr>
          <w:rFonts w:ascii="Times New Roman" w:hAnsi="Times New Roman"/>
          <w:noProof/>
          <w:sz w:val="24"/>
        </w:rPr>
        <w:t>. Această abordare se bazează pe instrumente de gestionare și dezvoltă mecanismul de compensare care încurajează statele să utilizeze unelte mai selective și să închidă zonele de pescuit. Statele membre sunt încurajate să utilizeze în continuare acest mecanism. De asemenea, Consiliul a stabilit limite maxime de captură pentru 2024 pentru creveții de adâncime pescuiți în mod excesiv și a menținut plafoanele pentru navele de pescuit cu paragate.</w:t>
      </w:r>
    </w:p>
    <w:p w14:paraId="183A148D" w14:textId="3BDF4349" w:rsidR="00AC0378" w:rsidRPr="00246137" w:rsidRDefault="001D6309" w:rsidP="055F1019">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Activitatea intensă desfășurată în cadrul </w:t>
      </w:r>
      <w:r w:rsidRPr="00246137">
        <w:rPr>
          <w:rFonts w:ascii="Times New Roman" w:hAnsi="Times New Roman"/>
          <w:b/>
          <w:noProof/>
          <w:sz w:val="24"/>
        </w:rPr>
        <w:t>CGPM</w:t>
      </w:r>
      <w:r w:rsidRPr="00246137">
        <w:rPr>
          <w:rFonts w:ascii="Times New Roman" w:hAnsi="Times New Roman"/>
          <w:noProof/>
          <w:sz w:val="24"/>
        </w:rPr>
        <w:t xml:space="preserve">, sprijinită de poziția consecventă a UE la nivelul organizațiilor regionale de gestionare a pescuitului (ORGP), a condus la adoptarea unor decizii semnificative. Mai presus de toate, acest lucru a condus la două planuri de gestionare anuale și la adoptarea unor limite maxime de captură pentru corifena comună în Marea Mediterană, la consolidarea măsurilor de gestionare a anghilei europene în Marea Mediterană în toate habitatele, inclusiv în apele dulci, și la măsuri suplimentare de reducere a mortalității prin pescuit pentru puietul de anghilă. </w:t>
      </w:r>
    </w:p>
    <w:p w14:paraId="18C5D1A0" w14:textId="74A4676E" w:rsidR="00AC0378" w:rsidRPr="00246137" w:rsidRDefault="6EADFA5A" w:rsidP="13D482FB">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CGPM a continuat, de asemenea, punerea în aplicare a celor două planuri de gestionare pe termen lung pentru Marea Adriatică pentru a asigura randamente ridicate pe termen lung în concordanță cu MSY. Pentru continuarea punerii în aplicare a planului multianual pentru speciile pelagice mici, CGPM a stabilit limite de captură reduse pentru 2024 pentru hamsii și sardine și o înghețare a capacității pentru traulerele pelagice și navele de pescuit cu plasă-pungă. Pentru planul multianual pentru stocurile demersale din Marea Adriatică, CGPM a stabilit o limită maximă a efortului de pescuit atât pentru traulerele de fund, cât și pentru beam-traulere, pentru a atinge MSY în 2026 pentru toate cele cinci stocuri principale (merluciu european, langustină, limbă-de-mare comună, caridă-roz-de-adâncime și barbun). Au fost adoptate limite de captură reduse în cadrul celor patru planuri multianuale de gestionare a creveților de adâncime în Marea Ionică, Marea Levantului și Strâmtoarea Siciliei (inclusiv gestionarea efortului de pescuit pentru merluciu). CGPM a adoptat limite de recoltă pentru coralul roșu. Pentru Marea Neagră, au fost stabilite o TAC pentru calcan în cadrul planului CGPM și o cotă autonomă a UE pentru șprot.</w:t>
      </w:r>
    </w:p>
    <w:p w14:paraId="1E50E8E2" w14:textId="3861461F" w:rsidR="00DF660B" w:rsidRPr="00246137" w:rsidRDefault="1131CED6">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UE a convenit asupra unor măsuri pentru </w:t>
      </w:r>
      <w:r w:rsidRPr="00246137">
        <w:rPr>
          <w:rFonts w:ascii="Times New Roman" w:hAnsi="Times New Roman"/>
          <w:b/>
          <w:noProof/>
          <w:sz w:val="24"/>
        </w:rPr>
        <w:t>anghila</w:t>
      </w:r>
      <w:r w:rsidRPr="00246137">
        <w:rPr>
          <w:rFonts w:ascii="Times New Roman" w:hAnsi="Times New Roman"/>
          <w:noProof/>
          <w:sz w:val="24"/>
        </w:rPr>
        <w:t xml:space="preserve"> </w:t>
      </w:r>
      <w:r w:rsidRPr="00246137">
        <w:rPr>
          <w:rFonts w:ascii="Times New Roman" w:hAnsi="Times New Roman"/>
          <w:b/>
          <w:noProof/>
          <w:sz w:val="24"/>
        </w:rPr>
        <w:t>europeană</w:t>
      </w:r>
      <w:r w:rsidR="00B42797" w:rsidRPr="00246137">
        <w:rPr>
          <w:rStyle w:val="FootnoteReference"/>
          <w:rFonts w:ascii="Times New Roman" w:eastAsia="Times New Roman" w:hAnsi="Times New Roman" w:cs="Times New Roman"/>
          <w:b/>
          <w:bCs/>
          <w:noProof/>
          <w:sz w:val="24"/>
          <w:szCs w:val="24"/>
        </w:rPr>
        <w:footnoteReference w:id="27"/>
      </w:r>
      <w:r w:rsidRPr="00246137">
        <w:rPr>
          <w:rFonts w:ascii="Times New Roman" w:hAnsi="Times New Roman"/>
          <w:b/>
          <w:noProof/>
          <w:sz w:val="24"/>
        </w:rPr>
        <w:t xml:space="preserve"> în apele marine și apele salmastre adiacente din Atlanticul de Nord-Est (inclusiv Marea Baltică)</w:t>
      </w:r>
      <w:r w:rsidRPr="00246137">
        <w:rPr>
          <w:rFonts w:ascii="Times New Roman" w:hAnsi="Times New Roman"/>
          <w:noProof/>
          <w:sz w:val="24"/>
        </w:rPr>
        <w:t>, continuând perioada de interdicție de șase luni. De asemenea, UE a convenit asupra unei perioade de interdicție care să coincidă cu perioada de migrație a puietului de anghilă și să protejeze anghilele mature care înoată între mare și râuri. Aceste măsuri vor face obiectul unei monitorizări sporite în 2024. Comisia continuă să monitorizeze îndeaproape progresele înregistrate în punerea în aplicare a măsurilor din declarația comună</w:t>
      </w:r>
      <w:r w:rsidR="5B8DF0A4" w:rsidRPr="00246137">
        <w:rPr>
          <w:rFonts w:ascii="Times New Roman" w:eastAsia="Times New Roman" w:hAnsi="Times New Roman" w:cs="Times New Roman"/>
          <w:noProof/>
          <w:sz w:val="24"/>
          <w:szCs w:val="24"/>
          <w:vertAlign w:val="superscript"/>
        </w:rPr>
        <w:footnoteReference w:id="28"/>
      </w:r>
      <w:r w:rsidRPr="00246137">
        <w:rPr>
          <w:rFonts w:ascii="Times New Roman" w:hAnsi="Times New Roman"/>
          <w:noProof/>
          <w:sz w:val="24"/>
        </w:rPr>
        <w:t xml:space="preserve"> privind consolidarea refacerii anghilei europene, semnată de Comisie și de unele state membre</w:t>
      </w:r>
      <w:r w:rsidR="00F13ADB" w:rsidRPr="00246137">
        <w:rPr>
          <w:rStyle w:val="FootnoteReference"/>
          <w:rFonts w:ascii="Times New Roman" w:eastAsia="Times New Roman" w:hAnsi="Times New Roman" w:cs="Times New Roman"/>
          <w:noProof/>
          <w:sz w:val="24"/>
          <w:szCs w:val="24"/>
        </w:rPr>
        <w:footnoteReference w:id="29"/>
      </w:r>
      <w:r w:rsidRPr="00246137">
        <w:rPr>
          <w:rFonts w:ascii="Times New Roman" w:hAnsi="Times New Roman"/>
          <w:noProof/>
          <w:sz w:val="24"/>
        </w:rPr>
        <w:t xml:space="preserve">. </w:t>
      </w:r>
    </w:p>
    <w:p w14:paraId="55C30320" w14:textId="1F75BA31" w:rsidR="00AC0378" w:rsidRPr="00246137" w:rsidRDefault="001D6309" w:rsidP="00967949">
      <w:pPr>
        <w:pStyle w:val="Heading1"/>
        <w:numPr>
          <w:ilvl w:val="0"/>
          <w:numId w:val="7"/>
        </w:numPr>
        <w:rPr>
          <w:noProof/>
          <w:szCs w:val="24"/>
        </w:rPr>
      </w:pPr>
      <w:r w:rsidRPr="00246137">
        <w:rPr>
          <w:noProof/>
        </w:rPr>
        <w:t>Situația flotei UE</w:t>
      </w:r>
    </w:p>
    <w:p w14:paraId="355BD198" w14:textId="136DF765" w:rsidR="00AC0378" w:rsidRPr="00246137" w:rsidRDefault="5B51FFA5" w:rsidP="13D482FB">
      <w:pPr>
        <w:jc w:val="both"/>
        <w:rPr>
          <w:rFonts w:ascii="Times New Roman" w:eastAsia="Times New Roman" w:hAnsi="Times New Roman" w:cs="Times New Roman"/>
          <w:noProof/>
          <w:sz w:val="24"/>
          <w:szCs w:val="24"/>
        </w:rPr>
      </w:pPr>
      <w:r w:rsidRPr="00246137">
        <w:rPr>
          <w:rFonts w:ascii="Times New Roman" w:hAnsi="Times New Roman"/>
          <w:noProof/>
          <w:sz w:val="24"/>
        </w:rPr>
        <w:t>Statele membre trebuie să mențină flotele sub plafoanele naționale stabilite pentru capacitatea navelor [în ceea ce privește tonajul brut (TB) și puterea motorului (kW)]. Statele membre care au segmente de flotă cu un dezechilibru demonstrat trebuie să prezinte planuri de acțiune care să stabilească ținte de ajustare și instrumente pentru realizarea echilibrului, cu un calendar clar pentru punerea în aplicare. Nicio capacitate retrasă cu ajutor public nu poate fi înlocuită</w:t>
      </w:r>
      <w:r w:rsidR="00F13ADB" w:rsidRPr="00246137">
        <w:rPr>
          <w:rStyle w:val="FootnoteReference"/>
          <w:rFonts w:ascii="Times New Roman" w:eastAsia="Times New Roman" w:hAnsi="Times New Roman" w:cs="Times New Roman"/>
          <w:noProof/>
          <w:sz w:val="24"/>
          <w:szCs w:val="24"/>
        </w:rPr>
        <w:footnoteReference w:id="30"/>
      </w:r>
      <w:r w:rsidRPr="00246137">
        <w:rPr>
          <w:rFonts w:ascii="Times New Roman" w:hAnsi="Times New Roman"/>
          <w:noProof/>
          <w:sz w:val="24"/>
        </w:rPr>
        <w:t>.</w:t>
      </w:r>
    </w:p>
    <w:p w14:paraId="1E848E6F" w14:textId="4C51FFF6" w:rsidR="00AC0378" w:rsidRPr="00246137" w:rsidRDefault="7470D170" w:rsidP="13D482FB">
      <w:pPr>
        <w:jc w:val="both"/>
        <w:rPr>
          <w:rFonts w:ascii="Times New Roman" w:eastAsia="Times New Roman" w:hAnsi="Times New Roman" w:cs="Times New Roman"/>
          <w:noProof/>
          <w:sz w:val="24"/>
          <w:szCs w:val="24"/>
        </w:rPr>
      </w:pPr>
      <w:r w:rsidRPr="00246137">
        <w:rPr>
          <w:rFonts w:ascii="Times New Roman" w:hAnsi="Times New Roman"/>
          <w:noProof/>
          <w:sz w:val="24"/>
        </w:rPr>
        <w:t>Din 2022, numărul navelor, TB și puterea motorului au scăzut cu 0,44 %, 0,52 % și, respectiv, 0,10 %. Ca urmare, până la 31 decembrie 2023, flota de pescuit a UE</w:t>
      </w:r>
      <w:r w:rsidR="0043036C" w:rsidRPr="00246137">
        <w:rPr>
          <w:rStyle w:val="FootnoteReference"/>
          <w:rFonts w:ascii="Times New Roman" w:eastAsia="Times New Roman" w:hAnsi="Times New Roman" w:cs="Times New Roman"/>
          <w:noProof/>
          <w:sz w:val="24"/>
          <w:szCs w:val="24"/>
        </w:rPr>
        <w:footnoteReference w:id="31"/>
      </w:r>
      <w:r w:rsidRPr="00246137">
        <w:rPr>
          <w:rFonts w:ascii="Times New Roman" w:hAnsi="Times New Roman"/>
          <w:noProof/>
          <w:sz w:val="24"/>
        </w:rPr>
        <w:t xml:space="preserve"> era formată din 71 608 nave cu 1 305 115 TB și 5 226 554 kW.</w:t>
      </w:r>
    </w:p>
    <w:p w14:paraId="29322C95" w14:textId="35F62141" w:rsidR="003B2888" w:rsidRPr="00246137" w:rsidRDefault="5B51FFA5" w:rsidP="055F1019">
      <w:pPr>
        <w:jc w:val="both"/>
        <w:rPr>
          <w:rFonts w:ascii="Times New Roman" w:eastAsia="Times New Roman" w:hAnsi="Times New Roman" w:cs="Times New Roman"/>
          <w:noProof/>
          <w:sz w:val="24"/>
          <w:szCs w:val="24"/>
        </w:rPr>
      </w:pPr>
      <w:r w:rsidRPr="00246137">
        <w:rPr>
          <w:rFonts w:ascii="Times New Roman" w:hAnsi="Times New Roman"/>
          <w:noProof/>
          <w:sz w:val="24"/>
        </w:rPr>
        <w:t>Statele membre au indicat, în rapoartele din 2023, că flotele lor se situează sub plafoane și îndeplinesc cerințele prevăzute la articolul 22 din Regulamentul privind PCP. Totuși, există preocupări serioase legate de acuratețea și fiabilitatea datelor care stau la baza rapoartelor naționale și de acuratețea planurilor de acțiune ale statelor membre. O serie de state membre consideră că nu este necesar să prezinte planuri de acțiune, deși au segmente de flotă cu indicatori „roșii”</w:t>
      </w:r>
      <w:r w:rsidR="005E6A8B" w:rsidRPr="00246137">
        <w:rPr>
          <w:rStyle w:val="FootnoteReference"/>
          <w:rFonts w:ascii="Times New Roman" w:eastAsia="Times New Roman" w:hAnsi="Times New Roman" w:cs="Times New Roman"/>
          <w:noProof/>
          <w:sz w:val="24"/>
          <w:szCs w:val="24"/>
        </w:rPr>
        <w:footnoteReference w:id="32"/>
      </w:r>
      <w:r w:rsidRPr="00246137">
        <w:rPr>
          <w:rFonts w:ascii="Times New Roman" w:hAnsi="Times New Roman"/>
          <w:noProof/>
          <w:sz w:val="24"/>
        </w:rPr>
        <w:t xml:space="preserve"> care arată că aceste segmente nu sunt în echilibru. </w:t>
      </w:r>
    </w:p>
    <w:p w14:paraId="604819FF" w14:textId="52DAFE42" w:rsidR="003B2888" w:rsidRPr="00246137" w:rsidRDefault="65DC35FD" w:rsidP="4C1DFF91">
      <w:pPr>
        <w:jc w:val="both"/>
        <w:rPr>
          <w:rFonts w:ascii="Times New Roman" w:eastAsia="Times New Roman" w:hAnsi="Times New Roman" w:cs="Times New Roman"/>
          <w:noProof/>
          <w:sz w:val="24"/>
          <w:szCs w:val="24"/>
        </w:rPr>
      </w:pPr>
      <w:r w:rsidRPr="00246137">
        <w:rPr>
          <w:rFonts w:ascii="Times New Roman" w:hAnsi="Times New Roman"/>
          <w:noProof/>
          <w:sz w:val="24"/>
        </w:rPr>
        <w:t xml:space="preserve">Se utilizează parametri diferiți pentru a evalua dacă o flotă este în echilibru. De exemplu, segmentele de flotă neprofitabile sau insuficient utilizate pot indica faptul că segmentele de flotă sunt în mod recurent sau permanent ancorate și inactive. În mod similar, dacă multe nave petrec mai puțin timp pescuind decât ar putea, atunci segmentul de flotă poate fi prea mare pentru resursele disponibile pe care se bazează navele. </w:t>
      </w:r>
    </w:p>
    <w:p w14:paraId="52AA3BEC" w14:textId="78FDBA93" w:rsidR="00030A2D" w:rsidRPr="00246137" w:rsidRDefault="36BFE39F" w:rsidP="13D482FB">
      <w:pPr>
        <w:jc w:val="both"/>
        <w:rPr>
          <w:rFonts w:ascii="Times New Roman" w:eastAsia="Times New Roman" w:hAnsi="Times New Roman" w:cs="Times New Roman"/>
          <w:noProof/>
          <w:sz w:val="24"/>
          <w:szCs w:val="24"/>
        </w:rPr>
      </w:pPr>
      <w:r w:rsidRPr="00246137">
        <w:rPr>
          <w:rFonts w:ascii="Times New Roman" w:hAnsi="Times New Roman"/>
          <w:noProof/>
          <w:sz w:val="24"/>
        </w:rPr>
        <w:t>Mai multe segmente nu dispun încă de date care să le permită să își evalueze echilibrul în totalitate. Statele membre sunt invitate să își intensifice eforturile de colectare a datelor, în special în zonele în care informațiile sunt limitate, cum ar fi regiunile ultraperiferice. În acest scop, Comisia depune eforturi pentru adoptarea unor orientări speciale pentru evaluarea echilibrului anumitor segmente de flotă în regiunile ultraperiferice, care introduc metode alternative de pregătire a anumitor indicatori utilizați pentru evaluarea echilibrului. În Comunicarea privind PCP din 2023</w:t>
      </w:r>
      <w:r w:rsidR="008D1720" w:rsidRPr="00246137">
        <w:rPr>
          <w:rStyle w:val="FootnoteReference"/>
          <w:rFonts w:ascii="Times New Roman" w:eastAsia="Times New Roman" w:hAnsi="Times New Roman" w:cs="Times New Roman"/>
          <w:noProof/>
          <w:sz w:val="24"/>
          <w:szCs w:val="24"/>
        </w:rPr>
        <w:footnoteReference w:id="33"/>
      </w:r>
      <w:r w:rsidRPr="00246137">
        <w:rPr>
          <w:rFonts w:ascii="Times New Roman" w:hAnsi="Times New Roman"/>
          <w:noProof/>
          <w:sz w:val="24"/>
        </w:rPr>
        <w:t>, Comisia a invitat statele membre să sporească transparența și flexibilitatea gestionării capacității lor de pescuit și să ia în considerare realocarea capacității neutilizate pentru investiții structurale la bord. Pentru segmentele de flotă care nu sunt în echilibru, statele membre trebuie să elaboreze planuri de acțiune noi sau actualizate în cadrul rapoartelor lor naționale privind flota.</w:t>
      </w:r>
    </w:p>
    <w:p w14:paraId="185A3B1B" w14:textId="1A2C3983" w:rsidR="00AC0378" w:rsidRPr="00246137" w:rsidRDefault="001D6309" w:rsidP="00967949">
      <w:pPr>
        <w:pStyle w:val="Heading1"/>
        <w:numPr>
          <w:ilvl w:val="0"/>
          <w:numId w:val="7"/>
        </w:numPr>
        <w:rPr>
          <w:noProof/>
        </w:rPr>
      </w:pPr>
      <w:r w:rsidRPr="00246137">
        <w:rPr>
          <w:noProof/>
        </w:rPr>
        <w:t>Performanța socioeconomică</w:t>
      </w:r>
    </w:p>
    <w:p w14:paraId="08F28548" w14:textId="01CCE498" w:rsidR="34D99955" w:rsidRPr="00246137" w:rsidRDefault="3AA1FE65" w:rsidP="055F1019">
      <w:pPr>
        <w:spacing w:before="120" w:after="160" w:line="257" w:lineRule="auto"/>
        <w:jc w:val="both"/>
        <w:rPr>
          <w:rFonts w:ascii="Times New Roman" w:eastAsia="Times New Roman" w:hAnsi="Times New Roman" w:cs="Times New Roman"/>
          <w:noProof/>
          <w:sz w:val="24"/>
          <w:szCs w:val="24"/>
        </w:rPr>
      </w:pPr>
      <w:r w:rsidRPr="00246137">
        <w:rPr>
          <w:rFonts w:ascii="Times New Roman" w:hAnsi="Times New Roman"/>
          <w:noProof/>
          <w:sz w:val="24"/>
        </w:rPr>
        <w:t xml:space="preserve">După ce au atins un nivel maxim de 1,2 EUR pe litru în 2022, prețurile combustibililor au scăzut treptat la 0,8-0,9 EUR pe litru în primul trimestru al anului 2024. La prețurile actuale, se poate aștepta ca flota de pescuit a UE să producă o valoare adăugată brută de aproximativ 2,5 miliarde EUR, să își acopere costurile de funcționare și să mențină locuri de muncă și salarii pentru aproximativ 122 000 de pescari. Aceasta reprezintă o îmbunătățire semnificativă în comparație cu 2022, când majoritatea flotelor de pescuit ale UE nu au reușit să își acopere costurile de funcționare. </w:t>
      </w:r>
    </w:p>
    <w:p w14:paraId="5C63A118" w14:textId="6FA583C1" w:rsidR="34D99955" w:rsidRPr="00246137" w:rsidRDefault="59DCE416" w:rsidP="366F6422">
      <w:pPr>
        <w:spacing w:before="120" w:after="160" w:line="257" w:lineRule="auto"/>
        <w:jc w:val="both"/>
        <w:rPr>
          <w:rFonts w:ascii="Times New Roman" w:eastAsia="Times New Roman" w:hAnsi="Times New Roman" w:cs="Times New Roman"/>
          <w:noProof/>
          <w:sz w:val="24"/>
          <w:szCs w:val="24"/>
        </w:rPr>
      </w:pPr>
      <w:r w:rsidRPr="00246137">
        <w:rPr>
          <w:rFonts w:ascii="Times New Roman" w:hAnsi="Times New Roman"/>
          <w:noProof/>
          <w:sz w:val="24"/>
        </w:rPr>
        <w:t xml:space="preserve">Deși, în general, se preconizează că majoritatea flotelor naționale vor fi profitabile în 2024, o analiză socioeconomică indică faptul că o serie de segmente de flotă se vor confrunta cu condiții dificile, în special cele care depind de stocurile supraexploatate și care utilizează unelte de pescuit mari consumatoare de energie. În schimb, segmentele de flotă care depind de stocurile exploatate în mod sustenabil și care și-au sporit eficiența energetică tind să înregistreze performanțe mai bune și să genereze salarii mai mari pentru echipajele lor. Acest lucru ilustrează importantele câștiguri socioeconomice ale flotelor de pescuit ale UE în ceea ce privește conservarea stocurilor și eficiența energetică. </w:t>
      </w:r>
    </w:p>
    <w:p w14:paraId="252A80D1" w14:textId="32D707A6" w:rsidR="00967949" w:rsidRPr="00246137" w:rsidRDefault="76FDF240" w:rsidP="4C1DFF91">
      <w:pPr>
        <w:jc w:val="both"/>
        <w:rPr>
          <w:rFonts w:ascii="Times New Roman" w:hAnsi="Times New Roman" w:cs="Times New Roman"/>
          <w:noProof/>
          <w:sz w:val="24"/>
          <w:szCs w:val="24"/>
        </w:rPr>
      </w:pPr>
      <w:r w:rsidRPr="00246137">
        <w:rPr>
          <w:rFonts w:ascii="Times New Roman" w:hAnsi="Times New Roman"/>
          <w:noProof/>
          <w:sz w:val="24"/>
        </w:rPr>
        <w:t>Deși prețurile combustibililor au scăzut, energia rămâne unul dintre principalele costuri ale flotei de pescuit a UE în 2024. Această vulnerabilitate este rezultatul faptului că un număr mare de flote au un nivel ridicat de intensitate energetică și un nivel ridicat de dependență de combustibilii fosili. În acest sens, în Comunicarea privind tranziția energetică a sectorului pescuitului și acvaculturii din UE</w:t>
      </w:r>
      <w:r w:rsidR="00F13ADB" w:rsidRPr="00246137">
        <w:rPr>
          <w:rStyle w:val="FootnoteReference"/>
          <w:rFonts w:ascii="Times New Roman" w:hAnsi="Times New Roman" w:cs="Times New Roman"/>
          <w:noProof/>
          <w:sz w:val="24"/>
          <w:szCs w:val="24"/>
        </w:rPr>
        <w:footnoteReference w:id="34"/>
      </w:r>
      <w:r w:rsidRPr="00246137">
        <w:rPr>
          <w:rFonts w:ascii="Times New Roman" w:hAnsi="Times New Roman"/>
          <w:noProof/>
          <w:sz w:val="24"/>
        </w:rPr>
        <w:t>, Comisia a propus mai multe acțiuni pentru a ajuta flotele de pescuit ale UE să își accelereze tranziția energetică și să atingă obiectivul neutralității climatice până în 2050. Acțiunile au inclus instituirea Parteneriatului pentru tranziția energetică în sectorul pescuitului și acvaculturii din UE</w:t>
      </w:r>
      <w:r w:rsidR="003B2888" w:rsidRPr="00246137">
        <w:rPr>
          <w:rStyle w:val="FootnoteReference"/>
          <w:rFonts w:ascii="Times New Roman" w:hAnsi="Times New Roman" w:cs="Times New Roman"/>
          <w:noProof/>
          <w:sz w:val="24"/>
          <w:szCs w:val="24"/>
        </w:rPr>
        <w:footnoteReference w:id="35"/>
      </w:r>
      <w:r w:rsidRPr="00246137">
        <w:rPr>
          <w:rFonts w:ascii="Times New Roman" w:hAnsi="Times New Roman"/>
          <w:noProof/>
          <w:sz w:val="24"/>
        </w:rPr>
        <w:t xml:space="preserve"> și emiterea unui ghid pentru părțile interesate și statele membre cu privire la modul optim de utilizare a Fondului european pentru afaceri maritime, pescuit și acvacultură (FEAMPA) și a altor fonduri existente ale UE pentru a sprijini tranziția energetică. </w:t>
      </w:r>
    </w:p>
    <w:p w14:paraId="254C40D9" w14:textId="24FBFD65" w:rsidR="00AC0378" w:rsidRPr="00246137" w:rsidRDefault="001D6309" w:rsidP="00967949">
      <w:pPr>
        <w:pStyle w:val="Heading1"/>
        <w:numPr>
          <w:ilvl w:val="0"/>
          <w:numId w:val="48"/>
        </w:numPr>
        <w:rPr>
          <w:noProof/>
          <w:szCs w:val="24"/>
        </w:rPr>
      </w:pPr>
      <w:r w:rsidRPr="00246137">
        <w:rPr>
          <w:noProof/>
        </w:rPr>
        <w:t>Obligația de debarcare</w:t>
      </w:r>
    </w:p>
    <w:p w14:paraId="1D24222A" w14:textId="3DA9DF7B" w:rsidR="000A48FC" w:rsidRPr="00246137" w:rsidRDefault="21279A64" w:rsidP="617A4AC7">
      <w:pPr>
        <w:pBdr>
          <w:top w:val="nil"/>
          <w:left w:val="nil"/>
          <w:bottom w:val="nil"/>
          <w:right w:val="nil"/>
          <w:between w:val="nil"/>
        </w:pBdr>
        <w:spacing w:before="20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Obligația de debarcare reprezintă unul dintre elementele esențiale ale PCP. Scopul său este de a asigura exploatarea sustenabilă a resurselor biologice marine, cu scopul de a intensifica pescuitul selectiv, astfel încât capturile nedorite să nu fie capturate de la bun început și să se elimine practica de aruncare a capturilor înapoi în mare. </w:t>
      </w:r>
    </w:p>
    <w:p w14:paraId="6E43F40E" w14:textId="568C26E2" w:rsidR="006C5F9B" w:rsidRPr="00246137" w:rsidRDefault="7129CE2C" w:rsidP="366F6422">
      <w:pPr>
        <w:spacing w:before="200"/>
        <w:jc w:val="both"/>
        <w:rPr>
          <w:rFonts w:ascii="Times New Roman" w:eastAsia="Times New Roman" w:hAnsi="Times New Roman" w:cs="Times New Roman"/>
          <w:noProof/>
          <w:sz w:val="24"/>
          <w:szCs w:val="24"/>
        </w:rPr>
      </w:pPr>
      <w:r w:rsidRPr="00246137">
        <w:rPr>
          <w:rFonts w:ascii="Times New Roman" w:hAnsi="Times New Roman"/>
          <w:noProof/>
          <w:sz w:val="24"/>
        </w:rPr>
        <w:t>Cu toate acestea, statele membre utilizează în principal tehnici tradiționale de monitorizare, cum ar fi inspecțiile pe mare, inspecțiile la debarcare și supravegherea aeriană. Doar aceste instrumente nu sunt suficiente pentru a aborda problema aruncării ilegale a capturilor înapoi în mare pe parcursul activităților de pescuit pe mare</w:t>
      </w:r>
      <w:r w:rsidR="006C5F9B" w:rsidRPr="00246137">
        <w:rPr>
          <w:rFonts w:ascii="Times New Roman" w:eastAsia="Times New Roman" w:hAnsi="Times New Roman" w:cs="Times New Roman"/>
          <w:noProof/>
          <w:sz w:val="24"/>
          <w:szCs w:val="24"/>
          <w:vertAlign w:val="superscript"/>
        </w:rPr>
        <w:footnoteReference w:id="36"/>
      </w:r>
      <w:r w:rsidRPr="00246137">
        <w:rPr>
          <w:rFonts w:ascii="Times New Roman" w:hAnsi="Times New Roman"/>
          <w:noProof/>
          <w:sz w:val="24"/>
        </w:rPr>
        <w:t xml:space="preserve"> și există, într-adevăr, indicii de aruncare ilegală și nedocumentată a capturilor înapoi în mare. </w:t>
      </w:r>
    </w:p>
    <w:p w14:paraId="302D6B1B" w14:textId="564EF5BC" w:rsidR="000A48FC" w:rsidRPr="00246137" w:rsidRDefault="360A5E3A">
      <w:pPr>
        <w:spacing w:before="200"/>
        <w:jc w:val="both"/>
        <w:rPr>
          <w:rFonts w:ascii="Times New Roman" w:eastAsia="Times New Roman" w:hAnsi="Times New Roman" w:cs="Times New Roman"/>
          <w:noProof/>
          <w:sz w:val="24"/>
          <w:szCs w:val="24"/>
        </w:rPr>
      </w:pPr>
      <w:r w:rsidRPr="00246137">
        <w:rPr>
          <w:rFonts w:ascii="Times New Roman" w:hAnsi="Times New Roman"/>
          <w:noProof/>
          <w:sz w:val="24"/>
        </w:rPr>
        <w:t>La 22 noiembrie 2023, Parlamentul European și Consiliul au adoptat noi norme de control ale UE, care vor contribui la monitorizarea eficace a respectării obligației de debarcare</w:t>
      </w:r>
      <w:r w:rsidR="000A48FC" w:rsidRPr="00246137">
        <w:rPr>
          <w:rStyle w:val="FootnoteReference"/>
          <w:rFonts w:ascii="Times New Roman" w:eastAsia="Times New Roman" w:hAnsi="Times New Roman" w:cs="Times New Roman"/>
          <w:noProof/>
          <w:sz w:val="24"/>
          <w:szCs w:val="24"/>
        </w:rPr>
        <w:footnoteReference w:id="37"/>
      </w:r>
      <w:r w:rsidRPr="00246137">
        <w:rPr>
          <w:rFonts w:ascii="Times New Roman" w:hAnsi="Times New Roman"/>
          <w:noProof/>
          <w:sz w:val="24"/>
        </w:rPr>
        <w:t>. Printre acestea se numără obligația navelor mai mari, care prezintă un risc ridicat de nerespectare a obligației de debarcare, de a instala la bord sisteme de monitorizare electronică la distanță, inclusiv camere de televiziune cu circuit închis, până cel târziu la 10 ianuarie 2028. Cu toate acestea, noile norme nu prevăd obligativitatea utilizării camerelor la bordul navelor cu o lungime totală mai mică de 18 metri. Prin urmare, este necesar să se analizeze modul în care aceste nave vor fi controlate și modul în care se va asigura respectarea obligației de debarcare pentru numeroasele nave din flota UE cu o lungime mai mică de 18 metri și pentru cele percepute ca fiind sub „risc ridicat”.</w:t>
      </w:r>
    </w:p>
    <w:p w14:paraId="6F32FE52" w14:textId="1609B5CA" w:rsidR="5FA3FA93" w:rsidRPr="00246137" w:rsidRDefault="0CA7CF35" w:rsidP="055F1019">
      <w:pPr>
        <w:pBdr>
          <w:top w:val="nil"/>
          <w:left w:val="nil"/>
          <w:bottom w:val="nil"/>
          <w:right w:val="nil"/>
          <w:between w:val="nil"/>
        </w:pBdr>
        <w:spacing w:before="200"/>
        <w:jc w:val="both"/>
        <w:rPr>
          <w:rFonts w:ascii="Times New Roman" w:eastAsia="Times New Roman" w:hAnsi="Times New Roman" w:cs="Times New Roman"/>
          <w:noProof/>
          <w:sz w:val="24"/>
          <w:szCs w:val="24"/>
        </w:rPr>
      </w:pPr>
      <w:r w:rsidRPr="00246137">
        <w:rPr>
          <w:rFonts w:ascii="Times New Roman" w:hAnsi="Times New Roman"/>
          <w:noProof/>
          <w:color w:val="000000" w:themeColor="text1"/>
          <w:sz w:val="24"/>
        </w:rPr>
        <w:t>Înregistrarea exactă a capturilor este esențială pentru evaluarea stocurilor, având în vedere că oamenii de știință utilizează datele raportate în jurnalele de bord și colectate în cadrul de colectare a datelor</w:t>
      </w:r>
      <w:r w:rsidR="5FA3FA93" w:rsidRPr="00246137">
        <w:rPr>
          <w:rStyle w:val="FootnoteReference"/>
          <w:rFonts w:ascii="Times New Roman" w:eastAsia="Times New Roman" w:hAnsi="Times New Roman" w:cs="Times New Roman"/>
          <w:noProof/>
          <w:color w:val="000000" w:themeColor="text1"/>
          <w:sz w:val="24"/>
          <w:szCs w:val="24"/>
        </w:rPr>
        <w:footnoteReference w:id="38"/>
      </w:r>
      <w:r w:rsidRPr="00246137">
        <w:rPr>
          <w:rFonts w:ascii="Times New Roman" w:hAnsi="Times New Roman"/>
          <w:noProof/>
          <w:color w:val="000000" w:themeColor="text1"/>
          <w:sz w:val="24"/>
        </w:rPr>
        <w:t xml:space="preserve"> pentru a susține avizele științifice. Astfel cum s-a subliniat în Comunicarea din 2023 privind PCP</w:t>
      </w:r>
      <w:r w:rsidR="5FA3FA93" w:rsidRPr="00246137">
        <w:rPr>
          <w:rStyle w:val="FootnoteReference"/>
          <w:rFonts w:ascii="Times New Roman" w:eastAsia="Times New Roman" w:hAnsi="Times New Roman" w:cs="Times New Roman"/>
          <w:noProof/>
          <w:color w:val="000000" w:themeColor="text1"/>
          <w:sz w:val="24"/>
          <w:szCs w:val="24"/>
        </w:rPr>
        <w:footnoteReference w:id="39"/>
      </w:r>
      <w:r w:rsidRPr="00246137">
        <w:rPr>
          <w:rFonts w:ascii="Times New Roman" w:hAnsi="Times New Roman"/>
          <w:noProof/>
          <w:color w:val="000000" w:themeColor="text1"/>
          <w:sz w:val="24"/>
        </w:rPr>
        <w:t xml:space="preserve">, acuratețea datelor este esențială și pentru evaluările care ajută Comisia să decidă dacă acțiunea UE ar trebui să continue sau să fie ajustată. </w:t>
      </w:r>
    </w:p>
    <w:p w14:paraId="02A39EFA" w14:textId="38EBA478" w:rsidR="000A48FC" w:rsidRPr="00246137" w:rsidRDefault="05D24631" w:rsidP="3666E496">
      <w:pPr>
        <w:pBdr>
          <w:top w:val="nil"/>
          <w:left w:val="nil"/>
          <w:bottom w:val="nil"/>
          <w:right w:val="nil"/>
          <w:between w:val="nil"/>
        </w:pBdr>
        <w:spacing w:before="20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Obligația de debarcare impune, de asemenea, </w:t>
      </w:r>
      <w:r w:rsidRPr="00246137">
        <w:rPr>
          <w:rFonts w:ascii="Times New Roman" w:hAnsi="Times New Roman"/>
          <w:i/>
          <w:noProof/>
          <w:sz w:val="24"/>
        </w:rPr>
        <w:t>„documentarea detaliată și corectă a tuturor campaniilor de pescuit”</w:t>
      </w:r>
      <w:r w:rsidR="00F13ADB" w:rsidRPr="00246137">
        <w:rPr>
          <w:rStyle w:val="FootnoteReference"/>
          <w:rFonts w:ascii="Times New Roman" w:eastAsia="Times New Roman" w:hAnsi="Times New Roman" w:cs="Times New Roman"/>
          <w:i/>
          <w:iCs/>
          <w:noProof/>
          <w:sz w:val="24"/>
          <w:szCs w:val="24"/>
        </w:rPr>
        <w:footnoteReference w:id="40"/>
      </w:r>
      <w:r w:rsidRPr="00246137">
        <w:rPr>
          <w:rFonts w:ascii="Times New Roman" w:hAnsi="Times New Roman"/>
          <w:noProof/>
          <w:sz w:val="24"/>
        </w:rPr>
        <w:t xml:space="preserve"> și ca respectivele capturi să fie </w:t>
      </w:r>
      <w:r w:rsidRPr="00246137">
        <w:rPr>
          <w:rFonts w:ascii="Times New Roman" w:hAnsi="Times New Roman"/>
          <w:i/>
          <w:noProof/>
          <w:sz w:val="24"/>
        </w:rPr>
        <w:t>„deduse din cote, după caz”</w:t>
      </w:r>
      <w:r w:rsidR="4D9158F8" w:rsidRPr="00246137">
        <w:rPr>
          <w:rFonts w:ascii="Times New Roman" w:eastAsia="Times New Roman" w:hAnsi="Times New Roman" w:cs="Times New Roman"/>
          <w:noProof/>
          <w:sz w:val="24"/>
          <w:szCs w:val="24"/>
          <w:vertAlign w:val="superscript"/>
        </w:rPr>
        <w:footnoteReference w:id="41"/>
      </w:r>
      <w:r w:rsidRPr="00246137">
        <w:rPr>
          <w:rFonts w:ascii="Times New Roman" w:hAnsi="Times New Roman"/>
          <w:noProof/>
          <w:sz w:val="24"/>
        </w:rPr>
        <w:t xml:space="preserve">. Cântărirea și înregistrarea capturilor debarcate sunt esențiale pentru monitorizarea utilizării cotelor și sunt fundamentale pentru gestionarea cu succes a activităților de pescuit. Verificările efectuate de Comisie de-a lungul mai multor ani au arătat că statele membre nu asigură întotdeauna cântărirea capturilor în conformitate cu normele UE și că există adesea o raportare eronată semnificativă a cantităților debarcate efectiv. </w:t>
      </w:r>
    </w:p>
    <w:p w14:paraId="1C15E83E" w14:textId="6ABF4FBF" w:rsidR="00AC0378" w:rsidRPr="00246137" w:rsidRDefault="64689F8F" w:rsidP="366F6422">
      <w:pPr>
        <w:spacing w:before="200"/>
        <w:jc w:val="both"/>
        <w:rPr>
          <w:rFonts w:ascii="Times New Roman" w:eastAsia="Times New Roman" w:hAnsi="Times New Roman" w:cs="Times New Roman"/>
          <w:noProof/>
          <w:color w:val="000000" w:themeColor="text1"/>
          <w:sz w:val="24"/>
          <w:szCs w:val="24"/>
        </w:rPr>
      </w:pPr>
      <w:r w:rsidRPr="00246137">
        <w:rPr>
          <w:rFonts w:ascii="Times New Roman" w:hAnsi="Times New Roman"/>
          <w:noProof/>
          <w:sz w:val="24"/>
        </w:rPr>
        <w:t>Părțile interesate depun eforturi pentru a aborda aceste probleme. Proiectele de cercetare și cooperarea dintre oamenii de știință și pescari au generat lecții valoroase privind metodele și uneltele de pescuit mai selective, precum și privind gestionarea capturilor aruncate înapoi în mare în temeiul normelor privind obligația de debarcare. Fondul european pentru pescuit și afaceri maritime</w:t>
      </w:r>
      <w:bookmarkStart w:id="8" w:name="_Hlk135643723"/>
      <w:r w:rsidRPr="00246137">
        <w:rPr>
          <w:rFonts w:ascii="Times New Roman" w:hAnsi="Times New Roman"/>
          <w:noProof/>
          <w:color w:val="000000"/>
          <w:sz w:val="24"/>
        </w:rPr>
        <w:t xml:space="preserve"> </w:t>
      </w:r>
      <w:r w:rsidRPr="00246137">
        <w:rPr>
          <w:rFonts w:ascii="Times New Roman" w:hAnsi="Times New Roman"/>
          <w:noProof/>
          <w:color w:val="000000" w:themeColor="text1"/>
          <w:sz w:val="24"/>
        </w:rPr>
        <w:t>(</w:t>
      </w:r>
      <w:r w:rsidRPr="00246137">
        <w:rPr>
          <w:rFonts w:ascii="Times New Roman" w:hAnsi="Times New Roman"/>
          <w:b/>
          <w:noProof/>
          <w:color w:val="000000"/>
          <w:sz w:val="24"/>
        </w:rPr>
        <w:t>FEPAM</w:t>
      </w:r>
      <w:r w:rsidRPr="00246137">
        <w:rPr>
          <w:rFonts w:ascii="Times New Roman" w:hAnsi="Times New Roman"/>
          <w:noProof/>
          <w:color w:val="000000" w:themeColor="text1"/>
          <w:sz w:val="24"/>
        </w:rPr>
        <w:t>)</w:t>
      </w:r>
      <w:r w:rsidRPr="00246137">
        <w:rPr>
          <w:rFonts w:ascii="Times New Roman" w:hAnsi="Times New Roman"/>
          <w:b/>
          <w:noProof/>
          <w:color w:val="000000"/>
          <w:sz w:val="24"/>
        </w:rPr>
        <w:t xml:space="preserve"> </w:t>
      </w:r>
      <w:r w:rsidRPr="00246137">
        <w:rPr>
          <w:rFonts w:ascii="Times New Roman" w:hAnsi="Times New Roman"/>
          <w:noProof/>
          <w:color w:val="000000"/>
          <w:sz w:val="24"/>
        </w:rPr>
        <w:t>și</w:t>
      </w:r>
      <w:r w:rsidRPr="00246137">
        <w:rPr>
          <w:rFonts w:ascii="Times New Roman" w:hAnsi="Times New Roman"/>
          <w:noProof/>
          <w:color w:val="000000" w:themeColor="text1"/>
          <w:sz w:val="24"/>
        </w:rPr>
        <w:t xml:space="preserve"> </w:t>
      </w:r>
      <w:r w:rsidRPr="00246137">
        <w:rPr>
          <w:rFonts w:ascii="Times New Roman" w:hAnsi="Times New Roman"/>
          <w:b/>
          <w:noProof/>
          <w:color w:val="000000"/>
          <w:sz w:val="24"/>
        </w:rPr>
        <w:t>FEAMPA</w:t>
      </w:r>
      <w:r w:rsidRPr="00246137">
        <w:rPr>
          <w:rFonts w:ascii="Times New Roman" w:hAnsi="Times New Roman"/>
          <w:noProof/>
          <w:color w:val="000000"/>
          <w:sz w:val="24"/>
        </w:rPr>
        <w:t xml:space="preserve"> oferă sprijin financiar pentru punerea în aplicare a obligației de debarcare</w:t>
      </w:r>
      <w:r w:rsidRPr="00246137">
        <w:rPr>
          <w:rFonts w:ascii="Times New Roman" w:hAnsi="Times New Roman"/>
          <w:noProof/>
          <w:color w:val="000000" w:themeColor="text1"/>
          <w:sz w:val="24"/>
        </w:rPr>
        <w:t>, cu o rată ridicată a ajutorului public</w:t>
      </w:r>
      <w:r w:rsidRPr="00246137">
        <w:rPr>
          <w:rFonts w:ascii="Times New Roman" w:hAnsi="Times New Roman"/>
          <w:noProof/>
          <w:color w:val="000000"/>
          <w:sz w:val="24"/>
        </w:rPr>
        <w:t>. La sfârșitul anului 2023</w:t>
      </w:r>
      <w:r w:rsidR="001D6309" w:rsidRPr="00246137">
        <w:rPr>
          <w:rStyle w:val="FootnoteReference"/>
          <w:rFonts w:ascii="Times New Roman" w:eastAsia="Times New Roman" w:hAnsi="Times New Roman" w:cs="Times New Roman"/>
          <w:noProof/>
          <w:color w:val="000000"/>
          <w:sz w:val="24"/>
          <w:szCs w:val="24"/>
        </w:rPr>
        <w:footnoteReference w:id="42"/>
      </w:r>
      <w:r w:rsidRPr="00246137">
        <w:rPr>
          <w:rFonts w:ascii="Times New Roman" w:hAnsi="Times New Roman"/>
          <w:noProof/>
          <w:color w:val="000000"/>
          <w:sz w:val="24"/>
        </w:rPr>
        <w:t xml:space="preserve">, statele membre au selectat </w:t>
      </w:r>
      <w:r w:rsidRPr="00246137">
        <w:rPr>
          <w:rFonts w:ascii="Times New Roman" w:hAnsi="Times New Roman"/>
          <w:noProof/>
          <w:color w:val="000000" w:themeColor="text1"/>
          <w:sz w:val="24"/>
        </w:rPr>
        <w:t>302</w:t>
      </w:r>
      <w:r w:rsidRPr="00246137">
        <w:rPr>
          <w:rFonts w:ascii="Times New Roman" w:hAnsi="Times New Roman"/>
          <w:noProof/>
          <w:color w:val="000000"/>
          <w:sz w:val="24"/>
        </w:rPr>
        <w:t xml:space="preserve"> operațiuni cu o finanțare totală din FE</w:t>
      </w:r>
      <w:r w:rsidRPr="00246137">
        <w:rPr>
          <w:rFonts w:ascii="Times New Roman" w:hAnsi="Times New Roman"/>
          <w:noProof/>
          <w:color w:val="000000" w:themeColor="text1"/>
          <w:sz w:val="24"/>
        </w:rPr>
        <w:t>A</w:t>
      </w:r>
      <w:r w:rsidRPr="00246137">
        <w:rPr>
          <w:rFonts w:ascii="Times New Roman" w:hAnsi="Times New Roman"/>
          <w:noProof/>
          <w:color w:val="000000"/>
          <w:sz w:val="24"/>
        </w:rPr>
        <w:t xml:space="preserve">MPA în valoare de </w:t>
      </w:r>
      <w:r w:rsidRPr="00246137">
        <w:rPr>
          <w:rFonts w:ascii="Times New Roman" w:hAnsi="Times New Roman"/>
          <w:noProof/>
          <w:color w:val="000000" w:themeColor="text1"/>
          <w:sz w:val="24"/>
        </w:rPr>
        <w:t>58,2</w:t>
      </w:r>
      <w:r w:rsidR="00246137" w:rsidRPr="00246137">
        <w:rPr>
          <w:rFonts w:ascii="Times New Roman" w:hAnsi="Times New Roman"/>
          <w:noProof/>
          <w:color w:val="000000"/>
          <w:sz w:val="24"/>
        </w:rPr>
        <w:t> </w:t>
      </w:r>
      <w:r w:rsidRPr="00246137">
        <w:rPr>
          <w:rFonts w:ascii="Times New Roman" w:hAnsi="Times New Roman"/>
          <w:noProof/>
          <w:color w:val="000000"/>
          <w:sz w:val="24"/>
        </w:rPr>
        <w:t>milioane EUR pentru obligația de debarcare</w:t>
      </w:r>
      <w:r w:rsidRPr="00246137">
        <w:rPr>
          <w:rFonts w:ascii="Times New Roman" w:hAnsi="Times New Roman"/>
          <w:noProof/>
          <w:color w:val="000000" w:themeColor="text1"/>
          <w:sz w:val="24"/>
        </w:rPr>
        <w:t xml:space="preserve">. </w:t>
      </w:r>
      <w:bookmarkEnd w:id="8"/>
      <w:r w:rsidRPr="00246137">
        <w:rPr>
          <w:rFonts w:ascii="Times New Roman" w:hAnsi="Times New Roman"/>
          <w:noProof/>
          <w:color w:val="000000" w:themeColor="text1"/>
          <w:sz w:val="24"/>
        </w:rPr>
        <w:t>M</w:t>
      </w:r>
      <w:r w:rsidRPr="00246137">
        <w:rPr>
          <w:rFonts w:ascii="Times New Roman" w:hAnsi="Times New Roman"/>
          <w:noProof/>
          <w:color w:val="000000"/>
          <w:sz w:val="24"/>
        </w:rPr>
        <w:t>ajoritatea operațiunilor au vizat creșterea valorii adăugate sau a calității capturilor nedorite</w:t>
      </w:r>
      <w:r w:rsidR="001D6309" w:rsidRPr="00246137">
        <w:rPr>
          <w:rStyle w:val="FootnoteReference"/>
          <w:rFonts w:ascii="Times New Roman" w:eastAsia="Times New Roman" w:hAnsi="Times New Roman" w:cs="Times New Roman"/>
          <w:noProof/>
          <w:color w:val="000000"/>
          <w:sz w:val="24"/>
          <w:szCs w:val="24"/>
        </w:rPr>
        <w:footnoteReference w:id="43"/>
      </w:r>
      <w:r w:rsidRPr="00246137">
        <w:rPr>
          <w:rFonts w:ascii="Times New Roman" w:hAnsi="Times New Roman"/>
          <w:noProof/>
          <w:color w:val="000000"/>
          <w:sz w:val="24"/>
        </w:rPr>
        <w:t>, reducerea impactului pescuitului asupra mediului marin și eliminarea practicii de aruncare înapoi în mare a capturilor</w:t>
      </w:r>
      <w:r w:rsidR="001D6309" w:rsidRPr="00246137">
        <w:rPr>
          <w:rStyle w:val="FootnoteReference"/>
          <w:rFonts w:ascii="Times New Roman" w:eastAsia="Times New Roman" w:hAnsi="Times New Roman" w:cs="Times New Roman"/>
          <w:noProof/>
          <w:color w:val="000000"/>
          <w:sz w:val="24"/>
          <w:szCs w:val="24"/>
        </w:rPr>
        <w:footnoteReference w:id="44"/>
      </w:r>
      <w:r w:rsidRPr="00246137">
        <w:rPr>
          <w:rFonts w:ascii="Times New Roman" w:hAnsi="Times New Roman"/>
          <w:noProof/>
          <w:color w:val="000000" w:themeColor="text1"/>
          <w:sz w:val="24"/>
        </w:rPr>
        <w:t>.</w:t>
      </w:r>
    </w:p>
    <w:p w14:paraId="576EFD14" w14:textId="313573EC" w:rsidR="006C5F9B" w:rsidRPr="00246137" w:rsidRDefault="708F431A" w:rsidP="366F6422">
      <w:pPr>
        <w:spacing w:before="200"/>
        <w:jc w:val="both"/>
        <w:rPr>
          <w:rFonts w:ascii="Times New Roman" w:eastAsia="Times New Roman" w:hAnsi="Times New Roman" w:cs="Times New Roman"/>
          <w:noProof/>
          <w:color w:val="000000" w:themeColor="text1"/>
          <w:sz w:val="24"/>
          <w:szCs w:val="24"/>
        </w:rPr>
      </w:pPr>
      <w:r w:rsidRPr="00246137">
        <w:rPr>
          <w:rFonts w:ascii="Times New Roman" w:hAnsi="Times New Roman"/>
          <w:noProof/>
          <w:color w:val="000000" w:themeColor="text1"/>
          <w:sz w:val="24"/>
        </w:rPr>
        <w:t xml:space="preserve">În pofida eforturilor depuse, este nevoie de mult mai mult pentru a pune în aplicare obligația de debarcare, la cinci ani după ce aceasta a intrat pe deplin în vigoare. În ianuarie 2024, Comisia a lansat un studiu care stă la baza evaluării obligației de debarcare. Studiul va colecta dovezi pentru o evaluare a modului în care a funcționat obligația de debarcare și a motivelor pentru care aceasta funcționează în acest mod. </w:t>
      </w:r>
    </w:p>
    <w:p w14:paraId="7A47D693" w14:textId="7B48FE0B" w:rsidR="00AC0378" w:rsidRPr="00246137" w:rsidRDefault="001D6309" w:rsidP="00967949">
      <w:pPr>
        <w:pStyle w:val="Heading1"/>
        <w:numPr>
          <w:ilvl w:val="0"/>
          <w:numId w:val="48"/>
        </w:numPr>
        <w:rPr>
          <w:noProof/>
          <w:szCs w:val="24"/>
        </w:rPr>
      </w:pPr>
      <w:r w:rsidRPr="00246137">
        <w:rPr>
          <w:noProof/>
        </w:rPr>
        <w:t>Principalele mesaje și orientări pentru propunerile privind posibilitățile de pescuit pentru 2024</w:t>
      </w:r>
    </w:p>
    <w:p w14:paraId="30FFC8AE" w14:textId="3397CB47" w:rsidR="00AC0378" w:rsidRPr="00246137" w:rsidRDefault="001D6309" w:rsidP="00967949">
      <w:pPr>
        <w:pStyle w:val="Heading2"/>
        <w:numPr>
          <w:ilvl w:val="1"/>
          <w:numId w:val="48"/>
        </w:numPr>
        <w:spacing w:after="120"/>
        <w:rPr>
          <w:noProof/>
          <w:szCs w:val="24"/>
        </w:rPr>
      </w:pPr>
      <w:r w:rsidRPr="00246137">
        <w:rPr>
          <w:noProof/>
        </w:rPr>
        <w:t>Principalele etape în stabilirea următoarelor posibilități de pescuit</w:t>
      </w:r>
    </w:p>
    <w:p w14:paraId="5FC277AD" w14:textId="7575DCFC" w:rsidR="00AC0378" w:rsidRPr="00246137" w:rsidRDefault="14723D05" w:rsidP="055F1019">
      <w:pPr>
        <w:jc w:val="both"/>
        <w:rPr>
          <w:rFonts w:ascii="Times New Roman" w:eastAsia="Times New Roman" w:hAnsi="Times New Roman" w:cs="Times New Roman"/>
          <w:noProof/>
          <w:sz w:val="24"/>
          <w:szCs w:val="24"/>
        </w:rPr>
      </w:pPr>
      <w:r w:rsidRPr="00246137">
        <w:rPr>
          <w:rFonts w:ascii="Times New Roman" w:hAnsi="Times New Roman"/>
          <w:noProof/>
          <w:sz w:val="24"/>
        </w:rPr>
        <w:t>La elaborarea propunerilor sale privind posibilitățile de pescuit pentru 2025, Comisia va ține seama de constatările hotărârii pronunțate de Curtea de Justiție la 11 ianuarie 2024 în cauza C-330/22</w:t>
      </w:r>
      <w:r w:rsidR="001E4C7F" w:rsidRPr="00246137">
        <w:rPr>
          <w:rStyle w:val="FootnoteReference"/>
          <w:rFonts w:ascii="Times New Roman" w:eastAsia="Times New Roman" w:hAnsi="Times New Roman" w:cs="Times New Roman"/>
          <w:noProof/>
          <w:sz w:val="24"/>
          <w:szCs w:val="24"/>
        </w:rPr>
        <w:footnoteReference w:id="45"/>
      </w:r>
      <w:r w:rsidRPr="00246137">
        <w:rPr>
          <w:rFonts w:ascii="Times New Roman" w:hAnsi="Times New Roman"/>
          <w:noProof/>
          <w:sz w:val="24"/>
        </w:rPr>
        <w:t>. De asemenea, Comisia își va baza propunerile pe avizele științifice emise de ICES și CSTEP, inclusiv pe aspecte ecosistemice, atunci când acestea sunt prevăzute în avizele științifice, pe decizii luate în cursul negocierilor internaționale cu țări terțe, pe deciziile luate de ORGP și pe o analiză socioeconomică, precum și pe intrarea în vigoare a fazei permanente a planului multianual pentru vestul Mării Mediterane începând cu ianuarie</w:t>
      </w:r>
      <w:r w:rsidR="00246137" w:rsidRPr="00246137">
        <w:rPr>
          <w:rFonts w:ascii="Times New Roman" w:hAnsi="Times New Roman"/>
          <w:noProof/>
          <w:sz w:val="24"/>
        </w:rPr>
        <w:t> </w:t>
      </w:r>
      <w:r w:rsidRPr="00246137">
        <w:rPr>
          <w:rFonts w:ascii="Times New Roman" w:hAnsi="Times New Roman"/>
          <w:noProof/>
          <w:sz w:val="24"/>
        </w:rPr>
        <w:t xml:space="preserve">2025. </w:t>
      </w:r>
    </w:p>
    <w:p w14:paraId="42761817" w14:textId="18132FF4" w:rsidR="00AC0378" w:rsidRPr="00246137" w:rsidRDefault="001D6309" w:rsidP="13D482FB">
      <w:pPr>
        <w:jc w:val="both"/>
        <w:rPr>
          <w:rFonts w:ascii="Times New Roman" w:eastAsia="Times New Roman" w:hAnsi="Times New Roman" w:cs="Times New Roman"/>
          <w:noProof/>
          <w:sz w:val="24"/>
          <w:szCs w:val="24"/>
        </w:rPr>
      </w:pPr>
      <w:bookmarkStart w:id="9" w:name="_Hlk135826214"/>
      <w:r w:rsidRPr="00246137">
        <w:rPr>
          <w:rFonts w:ascii="Times New Roman" w:hAnsi="Times New Roman"/>
          <w:noProof/>
          <w:sz w:val="24"/>
        </w:rPr>
        <w:t>Comisia va include cât mai multe stocuri posibil în propunerile sale, sub rezerva disponibilității și a calendarului avizelor științifice.</w:t>
      </w:r>
    </w:p>
    <w:bookmarkEnd w:id="9"/>
    <w:p w14:paraId="478707F1" w14:textId="28A56AF9" w:rsidR="00AC0378" w:rsidRPr="00246137" w:rsidRDefault="001D6309" w:rsidP="13D482FB">
      <w:pPr>
        <w:jc w:val="both"/>
        <w:rPr>
          <w:rFonts w:ascii="Times New Roman" w:eastAsia="Times New Roman" w:hAnsi="Times New Roman" w:cs="Times New Roman"/>
          <w:noProof/>
          <w:sz w:val="24"/>
          <w:szCs w:val="24"/>
        </w:rPr>
      </w:pPr>
      <w:r w:rsidRPr="00246137">
        <w:rPr>
          <w:rFonts w:ascii="Times New Roman" w:hAnsi="Times New Roman"/>
          <w:noProof/>
          <w:sz w:val="24"/>
        </w:rPr>
        <w:t xml:space="preserve">Comisia invită statele membre și părțile interesate să analizeze avizele științifice de îndată ce acestea vor fi puse la dispoziția publicului. Părțile interesate pot oferi feedback sau recomandări prin intermediul consiliilor consultative, al autorităților naționale și, în mod individual, Comisiei. </w:t>
      </w:r>
    </w:p>
    <w:p w14:paraId="22487D5F" w14:textId="16556087" w:rsidR="00AC0378" w:rsidRPr="00246137" w:rsidRDefault="001D6309" w:rsidP="13D482FB">
      <w:pPr>
        <w:jc w:val="both"/>
        <w:rPr>
          <w:rFonts w:ascii="Times New Roman" w:eastAsia="Times New Roman" w:hAnsi="Times New Roman" w:cs="Times New Roman"/>
          <w:noProof/>
          <w:sz w:val="24"/>
          <w:szCs w:val="24"/>
        </w:rPr>
      </w:pPr>
      <w:r w:rsidRPr="00246137">
        <w:rPr>
          <w:rFonts w:ascii="Times New Roman" w:hAnsi="Times New Roman"/>
          <w:noProof/>
          <w:sz w:val="24"/>
        </w:rPr>
        <w:t xml:space="preserve">Comisia va desfășura diverse consultări cu Regatul Unit, Norvegia și alte state costiere începând cu luna octombrie. Scopul este de a încheia negocierile în timp util pentru a integra rezultatul consultărilor în deliberările Consiliului Agricultură și Pescuit din decembrie 2024. </w:t>
      </w:r>
    </w:p>
    <w:p w14:paraId="730A937D" w14:textId="6464E7D8" w:rsidR="004820AD" w:rsidRPr="00246137" w:rsidRDefault="78249858" w:rsidP="13D482FB">
      <w:pPr>
        <w:jc w:val="both"/>
        <w:rPr>
          <w:rFonts w:ascii="Times New Roman" w:eastAsia="Times New Roman" w:hAnsi="Times New Roman" w:cs="Times New Roman"/>
          <w:noProof/>
          <w:sz w:val="24"/>
          <w:szCs w:val="24"/>
        </w:rPr>
      </w:pPr>
      <w:r w:rsidRPr="00246137">
        <w:rPr>
          <w:rFonts w:ascii="Times New Roman" w:hAnsi="Times New Roman"/>
          <w:noProof/>
          <w:sz w:val="24"/>
        </w:rPr>
        <w:t>Pe lângă stabilirea posibilităților de pescuit, Comisia va depune eforturi pe tot parcursul anului pentru a realiza progrese în ceea ce privește acordurile de partajare a stocurilor repartizate pe o zonă extinsă cu țările terțe în care nu există în prezent astfel de acorduri, pentru a asigura că stocurile comune sunt pescuite în mod sustenabil.</w:t>
      </w:r>
    </w:p>
    <w:p w14:paraId="29350AB7" w14:textId="4CD3A9A9" w:rsidR="00AC0378" w:rsidRPr="00246137" w:rsidRDefault="001D6309" w:rsidP="00967949">
      <w:pPr>
        <w:pStyle w:val="Heading2"/>
        <w:numPr>
          <w:ilvl w:val="1"/>
          <w:numId w:val="48"/>
        </w:numPr>
        <w:spacing w:after="120"/>
        <w:rPr>
          <w:noProof/>
          <w:szCs w:val="24"/>
        </w:rPr>
      </w:pPr>
      <w:r w:rsidRPr="00246137">
        <w:rPr>
          <w:noProof/>
        </w:rPr>
        <w:t>Stabilirea posibilităților de pescuit pentru diferite bazine maritime</w:t>
      </w:r>
    </w:p>
    <w:p w14:paraId="4361E70D" w14:textId="1F3AFF4E" w:rsidR="0011434B" w:rsidRPr="00246137" w:rsidRDefault="413421E8" w:rsidP="13D482FB">
      <w:pPr>
        <w:jc w:val="both"/>
        <w:rPr>
          <w:rFonts w:ascii="Times New Roman" w:eastAsia="Times New Roman" w:hAnsi="Times New Roman" w:cs="Times New Roman"/>
          <w:noProof/>
          <w:sz w:val="24"/>
          <w:szCs w:val="24"/>
        </w:rPr>
      </w:pPr>
      <w:r w:rsidRPr="00246137">
        <w:rPr>
          <w:rFonts w:ascii="Times New Roman" w:hAnsi="Times New Roman"/>
          <w:noProof/>
          <w:sz w:val="24"/>
        </w:rPr>
        <w:t xml:space="preserve">Pentru stocurile gestionate numai de UE în </w:t>
      </w:r>
      <w:r w:rsidRPr="00246137">
        <w:rPr>
          <w:rFonts w:ascii="Times New Roman" w:hAnsi="Times New Roman"/>
          <w:b/>
          <w:noProof/>
          <w:sz w:val="24"/>
        </w:rPr>
        <w:t>Marea Baltică, zona Skagerrak/Kattegat și Atlantic</w:t>
      </w:r>
      <w:r w:rsidRPr="00246137">
        <w:rPr>
          <w:rFonts w:ascii="Times New Roman" w:hAnsi="Times New Roman"/>
          <w:noProof/>
          <w:sz w:val="24"/>
        </w:rPr>
        <w:t>, Comisia va propune TAC-uri și cote în conformitate cu MSY atunci când acest aviz va fi disponibil. În cazul în care planurile de gestionare oferă flexibilitate pentru stabilirea limitelor de captură, Comisia poate propune utilizarea intervalului superior al MSY pentru stocurile sănătoase, cu condiția ca avizul științific să considere acest lucru necesar pentru atingerea obiectivelor din cadrul planurilor multianuale, în special pentru pescuitul mixt. În cazul în care biomasa a scăzut atât de mult încât se situează sub limitele biologice</w:t>
      </w:r>
      <w:r w:rsidRPr="00246137">
        <w:rPr>
          <w:rFonts w:ascii="Times New Roman" w:hAnsi="Times New Roman"/>
          <w:i/>
          <w:noProof/>
          <w:sz w:val="24"/>
        </w:rPr>
        <w:t xml:space="preserve"> </w:t>
      </w:r>
      <w:r w:rsidRPr="00246137">
        <w:rPr>
          <w:rFonts w:ascii="Times New Roman" w:hAnsi="Times New Roman"/>
          <w:noProof/>
          <w:sz w:val="24"/>
        </w:rPr>
        <w:t>de siguranță, Comisia propune</w:t>
      </w:r>
      <w:bookmarkStart w:id="10" w:name="_Hlk135726625"/>
      <w:r w:rsidRPr="00246137">
        <w:rPr>
          <w:rFonts w:ascii="Times New Roman" w:hAnsi="Times New Roman"/>
          <w:noProof/>
          <w:sz w:val="24"/>
        </w:rPr>
        <w:t xml:space="preserve"> </w:t>
      </w:r>
      <w:bookmarkEnd w:id="10"/>
      <w:r w:rsidRPr="00246137">
        <w:rPr>
          <w:rFonts w:ascii="Times New Roman" w:hAnsi="Times New Roman"/>
          <w:noProof/>
          <w:sz w:val="24"/>
        </w:rPr>
        <w:t xml:space="preserve">refacerea stocurilor și includerea unor măsuri de remediere, în conformitate cu fiecare plan multianual. Comisia se va concentra asupra obținerii unui aviz MSY complet pentru alte stocuri-cheie, cât mai curând posibil. </w:t>
      </w:r>
    </w:p>
    <w:p w14:paraId="72E8E9F7" w14:textId="102A0DC8" w:rsidR="00AC0378" w:rsidRPr="00246137" w:rsidRDefault="00874646" w:rsidP="13D482FB">
      <w:pPr>
        <w:jc w:val="both"/>
        <w:rPr>
          <w:rFonts w:ascii="Times New Roman" w:eastAsia="Times New Roman" w:hAnsi="Times New Roman" w:cs="Times New Roman"/>
          <w:noProof/>
          <w:sz w:val="24"/>
          <w:szCs w:val="24"/>
        </w:rPr>
      </w:pPr>
      <w:r w:rsidRPr="00246137">
        <w:rPr>
          <w:rFonts w:ascii="Times New Roman" w:hAnsi="Times New Roman"/>
          <w:noProof/>
          <w:sz w:val="24"/>
        </w:rPr>
        <w:t xml:space="preserve">De asemenea, Comisia va deduce excepțiile </w:t>
      </w:r>
      <w:r w:rsidRPr="00246137">
        <w:rPr>
          <w:rFonts w:ascii="Times New Roman" w:hAnsi="Times New Roman"/>
          <w:i/>
          <w:noProof/>
          <w:sz w:val="24"/>
        </w:rPr>
        <w:t>de minimis</w:t>
      </w:r>
      <w:r w:rsidRPr="00246137">
        <w:rPr>
          <w:rFonts w:ascii="Times New Roman" w:hAnsi="Times New Roman"/>
          <w:noProof/>
          <w:sz w:val="24"/>
        </w:rPr>
        <w:t xml:space="preserve"> sau excepțiile legate de rata ridicată de supraviețuire din avizul ICES, după caz. Comisia va evalua și progresele înregistrate de statele membre în ceea ce privește punerea în aplicare a măsurilor actuale de reducere a capturilor accidentale adoptate împreună cu</w:t>
      </w:r>
      <w:bookmarkStart w:id="11" w:name="_Hlk135726678"/>
      <w:r w:rsidRPr="00246137">
        <w:rPr>
          <w:rFonts w:ascii="Times New Roman" w:hAnsi="Times New Roman"/>
          <w:noProof/>
          <w:sz w:val="24"/>
        </w:rPr>
        <w:t xml:space="preserve"> TAC-urile aferente exclusiv capturilor accidentale inevitabile pentru a atenua potențialele situații de blocaj.</w:t>
      </w:r>
      <w:bookmarkEnd w:id="11"/>
    </w:p>
    <w:p w14:paraId="6C64A09D" w14:textId="65248CF4" w:rsidR="00D07FD0" w:rsidRPr="00246137" w:rsidRDefault="7A5C9C59" w:rsidP="13D482FB">
      <w:pPr>
        <w:jc w:val="both"/>
        <w:rPr>
          <w:rFonts w:ascii="Times New Roman" w:eastAsia="Times New Roman" w:hAnsi="Times New Roman" w:cs="Times New Roman"/>
          <w:noProof/>
          <w:sz w:val="24"/>
          <w:szCs w:val="24"/>
        </w:rPr>
      </w:pPr>
      <w:r w:rsidRPr="00246137">
        <w:rPr>
          <w:rFonts w:ascii="Times New Roman" w:hAnsi="Times New Roman"/>
          <w:noProof/>
          <w:sz w:val="24"/>
        </w:rPr>
        <w:t xml:space="preserve">Acolo unde este posibil, Comisia va continua să treacă la un sistem de TAC-uri multianuale pentru stocurile gestionate exclusiv de UE. Pentru două stocuri gestionate exclusiv de UE, au fost stabilite TAC-uri multianuale pentru 2024 și 2025. Acest lucru va spori eficiența și previzibilitatea pentru industria pescuitului din UE pentru stocurile selectate în strânsă consultare cu statele membre, cu părțile interesate și cu ICES. Statelor membre li se solicită să enumere stocurile prioritare pentru care recomandă TAC-uri pentru o perioadă de doi ani. În urma unei evaluări, Comisia va solicita ICES să evalueze stocurile identificate: </w:t>
      </w:r>
    </w:p>
    <w:p w14:paraId="127ABD26" w14:textId="77777777" w:rsidR="00967949" w:rsidRPr="00246137" w:rsidRDefault="3C5A2901" w:rsidP="00967949">
      <w:pPr>
        <w:pStyle w:val="ListParagraph"/>
        <w:numPr>
          <w:ilvl w:val="0"/>
          <w:numId w:val="49"/>
        </w:numPr>
        <w:jc w:val="both"/>
        <w:rPr>
          <w:rFonts w:ascii="Times New Roman" w:hAnsi="Times New Roman"/>
          <w:noProof/>
          <w:sz w:val="24"/>
          <w:szCs w:val="24"/>
        </w:rPr>
      </w:pPr>
      <w:r w:rsidRPr="00246137">
        <w:rPr>
          <w:rFonts w:ascii="Times New Roman" w:hAnsi="Times New Roman"/>
          <w:noProof/>
          <w:sz w:val="24"/>
        </w:rPr>
        <w:t xml:space="preserve">în raport cu criteriile din avizele multianuale ale ICES; </w:t>
      </w:r>
    </w:p>
    <w:p w14:paraId="6B73C607" w14:textId="77777777" w:rsidR="00967949" w:rsidRPr="00246137" w:rsidRDefault="001D6309" w:rsidP="00967949">
      <w:pPr>
        <w:pStyle w:val="ListParagraph"/>
        <w:numPr>
          <w:ilvl w:val="0"/>
          <w:numId w:val="49"/>
        </w:numPr>
        <w:jc w:val="both"/>
        <w:rPr>
          <w:rFonts w:ascii="Times New Roman" w:hAnsi="Times New Roman"/>
          <w:noProof/>
          <w:sz w:val="24"/>
          <w:szCs w:val="24"/>
        </w:rPr>
      </w:pPr>
      <w:r w:rsidRPr="00246137">
        <w:rPr>
          <w:rFonts w:ascii="Times New Roman" w:hAnsi="Times New Roman"/>
          <w:noProof/>
          <w:sz w:val="24"/>
        </w:rPr>
        <w:t xml:space="preserve">în ceea ce privește fezabilitatea avizelor multianuale și </w:t>
      </w:r>
    </w:p>
    <w:p w14:paraId="1B0859B6" w14:textId="1FA62F05" w:rsidR="00AC0378" w:rsidRPr="00246137" w:rsidRDefault="3E08C142" w:rsidP="00967949">
      <w:pPr>
        <w:pStyle w:val="ListParagraph"/>
        <w:numPr>
          <w:ilvl w:val="0"/>
          <w:numId w:val="49"/>
        </w:numPr>
        <w:jc w:val="both"/>
        <w:rPr>
          <w:rFonts w:ascii="Times New Roman" w:hAnsi="Times New Roman"/>
          <w:noProof/>
          <w:sz w:val="24"/>
          <w:szCs w:val="24"/>
        </w:rPr>
      </w:pPr>
      <w:r w:rsidRPr="00246137">
        <w:rPr>
          <w:rFonts w:ascii="Times New Roman" w:hAnsi="Times New Roman"/>
          <w:noProof/>
          <w:sz w:val="24"/>
        </w:rPr>
        <w:t>în ceea ce privește posibilele implicații ale unor astfel de avize multianuale.</w:t>
      </w:r>
    </w:p>
    <w:p w14:paraId="2A664AA0" w14:textId="77777777" w:rsidR="00D07FD0" w:rsidRPr="00246137" w:rsidRDefault="00D07FD0" w:rsidP="13D482FB">
      <w:pPr>
        <w:pStyle w:val="ListParagraph"/>
        <w:ind w:left="2160"/>
        <w:jc w:val="both"/>
        <w:rPr>
          <w:rFonts w:ascii="Times New Roman" w:hAnsi="Times New Roman"/>
          <w:noProof/>
          <w:sz w:val="24"/>
          <w:szCs w:val="24"/>
        </w:rPr>
      </w:pPr>
    </w:p>
    <w:p w14:paraId="6F028E03" w14:textId="432DF949" w:rsidR="00AC0378" w:rsidRPr="00246137" w:rsidRDefault="29C62025" w:rsidP="5B102D6B">
      <w:pPr>
        <w:jc w:val="both"/>
        <w:rPr>
          <w:rFonts w:ascii="Times New Roman" w:eastAsia="Times New Roman" w:hAnsi="Times New Roman" w:cs="Times New Roman"/>
          <w:noProof/>
          <w:sz w:val="24"/>
          <w:szCs w:val="24"/>
        </w:rPr>
      </w:pPr>
      <w:r w:rsidRPr="00246137">
        <w:rPr>
          <w:rFonts w:ascii="Times New Roman" w:hAnsi="Times New Roman"/>
          <w:noProof/>
          <w:sz w:val="24"/>
        </w:rPr>
        <w:t xml:space="preserve">În ceea ce privește stocurile comune gestionate cu </w:t>
      </w:r>
      <w:r w:rsidRPr="00246137">
        <w:rPr>
          <w:rFonts w:ascii="Times New Roman" w:hAnsi="Times New Roman"/>
          <w:b/>
          <w:noProof/>
          <w:sz w:val="24"/>
        </w:rPr>
        <w:t>Regatul Unit, Norvegia și alte state costiere</w:t>
      </w:r>
      <w:r w:rsidRPr="00246137">
        <w:rPr>
          <w:rFonts w:ascii="Times New Roman" w:hAnsi="Times New Roman"/>
          <w:noProof/>
          <w:sz w:val="24"/>
        </w:rPr>
        <w:t>, UE va urma aceeași abordare ca în cazul stocurilor gestionate exclusiv de UE. UE își va baza poziția pe cele mai bune avize științifice disponibile, cu obiectivul de a stabili posibilități de pescuit în conformitate cu nivelurile MSY și de a negocia cu Regatul Unit, Norvegia și alte state costiere, după caz, măsuri de conservare. UE va continua să coopereze cu Regatul Unit în ceea ce privește angajamentele comune UE-Regatul Unit asumate în cadrul Comitetului specializat privind pescuitul, precum și cu Regatul Unit și Norvegia pentru a respecta angajamentele trilaterale asumate pentru a realiza un pescuit sustenabil și gestionarea stocurilor comune. UE își menține angajamentul de a identifica acorduri sustenabile, echilibrate și cuprinzătoare de partajare pentru stocurile repartizate pe o zonă extinsă care sunt gestionate în comun cu alte state costiere.</w:t>
      </w:r>
    </w:p>
    <w:p w14:paraId="500EE9D2" w14:textId="0BE64EEF" w:rsidR="00AC0378" w:rsidRPr="00246137" w:rsidRDefault="001D6309">
      <w:pPr>
        <w:ind w:left="-20" w:right="-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Pentru </w:t>
      </w:r>
      <w:r w:rsidRPr="00246137">
        <w:rPr>
          <w:rFonts w:ascii="Times New Roman" w:hAnsi="Times New Roman"/>
          <w:b/>
          <w:noProof/>
          <w:sz w:val="24"/>
        </w:rPr>
        <w:t>Marea Mediterană și Marea Neagră</w:t>
      </w:r>
      <w:r w:rsidRPr="00246137">
        <w:rPr>
          <w:rFonts w:ascii="Times New Roman" w:hAnsi="Times New Roman"/>
          <w:noProof/>
          <w:sz w:val="24"/>
        </w:rPr>
        <w:t>, este esențial ca statele membre să urmărească obiectivele stabilite în planul multianual al UE pentru vestul Mării Mediterane și în planurile CGPM, în conformitate cu strategia pentru 2030. Comisia încurajează statele membre să pună în aplicare măsuri de însoțire în cadrul programelor finanțate din FEAMPA. La 1 ianuarie</w:t>
      </w:r>
      <w:r w:rsidR="00246137" w:rsidRPr="00246137">
        <w:rPr>
          <w:rFonts w:ascii="Times New Roman" w:hAnsi="Times New Roman"/>
          <w:noProof/>
          <w:sz w:val="24"/>
        </w:rPr>
        <w:t> </w:t>
      </w:r>
      <w:r w:rsidRPr="00246137">
        <w:rPr>
          <w:rFonts w:ascii="Times New Roman" w:hAnsi="Times New Roman"/>
          <w:noProof/>
          <w:sz w:val="24"/>
        </w:rPr>
        <w:t>2025, etapa de tranziție a planului multianual al UE pentru vestul Mării Mediterane se va încheia, iar planul va intra în etapa de punere în aplicare deplină. Aceasta înseamnă că intervalele F</w:t>
      </w:r>
      <w:r w:rsidRPr="00246137">
        <w:rPr>
          <w:rFonts w:ascii="Times New Roman" w:hAnsi="Times New Roman"/>
          <w:noProof/>
          <w:sz w:val="24"/>
          <w:vertAlign w:val="subscript"/>
        </w:rPr>
        <w:t>MSY</w:t>
      </w:r>
      <w:r w:rsidRPr="00246137">
        <w:rPr>
          <w:rFonts w:ascii="Times New Roman" w:hAnsi="Times New Roman"/>
          <w:noProof/>
          <w:sz w:val="24"/>
        </w:rPr>
        <w:t xml:space="preserve"> din planul multianual ar putea fi utilizate, dacă stocurile depășesc punctele de referință de precauție, pentru a aplica eventual măsuri flexibile în cazul pescuitului mixt. Propunerea privind posibilitățile de pescuit ar trebui să includă instrumentele de gestionare disponibile, intervalele F</w:t>
      </w:r>
      <w:r w:rsidRPr="00246137">
        <w:rPr>
          <w:rFonts w:ascii="Times New Roman" w:hAnsi="Times New Roman"/>
          <w:noProof/>
          <w:sz w:val="24"/>
          <w:vertAlign w:val="subscript"/>
        </w:rPr>
        <w:t>MSY</w:t>
      </w:r>
      <w:r w:rsidRPr="00246137">
        <w:rPr>
          <w:rFonts w:ascii="Times New Roman" w:hAnsi="Times New Roman"/>
          <w:noProof/>
          <w:sz w:val="24"/>
        </w:rPr>
        <w:t xml:space="preserve"> și mecanismul de compensare pentru a îmbunătăți selectivitatea uneltelor de pescuit și interdicțiile de pescuit în anumite zone. CSTEP evaluează anual progresele înregistrate în ceea ce privește punerea în aplicare a planului multianual. De asemenea, Comisia a lansat activități legate de fiecare aspect al sustenabilității în vederea raportării, în iulie 2024, cu privire la impactul planului multianual pentru vestul Mării Mediterane asupra stocurilor și activităților de pescuit vizate. </w:t>
      </w:r>
    </w:p>
    <w:p w14:paraId="672D0A4F" w14:textId="7E3D901F" w:rsidR="00AC0378" w:rsidRPr="00246137" w:rsidRDefault="46316B63" w:rsidP="13D482FB">
      <w:pPr>
        <w:jc w:val="both"/>
        <w:rPr>
          <w:rFonts w:ascii="Times New Roman" w:eastAsia="Times New Roman" w:hAnsi="Times New Roman" w:cs="Times New Roman"/>
          <w:noProof/>
          <w:sz w:val="24"/>
          <w:szCs w:val="24"/>
        </w:rPr>
      </w:pPr>
      <w:r w:rsidRPr="00246137">
        <w:rPr>
          <w:rFonts w:ascii="Times New Roman" w:hAnsi="Times New Roman"/>
          <w:b/>
          <w:noProof/>
          <w:sz w:val="24"/>
        </w:rPr>
        <w:t>Gestionarea stocurilor comune</w:t>
      </w:r>
      <w:r w:rsidRPr="00246137">
        <w:rPr>
          <w:rFonts w:ascii="Times New Roman" w:hAnsi="Times New Roman"/>
          <w:noProof/>
          <w:sz w:val="24"/>
        </w:rPr>
        <w:t xml:space="preserve"> este, de asemenea, necesară pentru a asigura un pescuit sustenabil în apele internaționale și condiții de concurență echitabile în Marea Mediterană și în Marea Neagră. În acest scop, propunerea privind posibilitățile de pescuit pentru 2025 va cuprinde măsurile actuale ale CGPM și măsurile suplimentare care urmează să fie adoptate în cadrul sesiunii anuale a CGPM din noiembrie</w:t>
      </w:r>
      <w:bookmarkStart w:id="12" w:name="_Int_2mUYsfax"/>
      <w:r w:rsidRPr="00246137">
        <w:rPr>
          <w:rFonts w:ascii="Times New Roman" w:hAnsi="Times New Roman"/>
          <w:noProof/>
          <w:sz w:val="24"/>
        </w:rPr>
        <w:t>, inclusiv măsuri importante de punere în aplicare a planurilor multianuale pentru speciile pelagice mici și speciile demersale din Marea Adriatică, măsuri pe termen lung pentru anghila europeană și pentru coralul roșu.</w:t>
      </w:r>
      <w:bookmarkEnd w:id="12"/>
      <w:r w:rsidRPr="00246137">
        <w:rPr>
          <w:rFonts w:ascii="Times New Roman" w:hAnsi="Times New Roman"/>
          <w:noProof/>
          <w:sz w:val="24"/>
        </w:rPr>
        <w:t xml:space="preserve"> În ceea ce privește speciile din Marea Neagră, Comisia va propune TAC-uri și cote pentru calcan și șprot, în conformitate cu măsurile care urmează să fie adoptate în cadrul sesiunii anuale a CGPM, pe baza rezultatelor studiilor-pilot și ale programelor de cercetare ale CGPM. </w:t>
      </w:r>
    </w:p>
    <w:p w14:paraId="21BFD24F" w14:textId="1ACEFC83" w:rsidR="00C76199" w:rsidRPr="00246137" w:rsidRDefault="0356FEE5">
      <w:pPr>
        <w:spacing w:after="120"/>
        <w:jc w:val="both"/>
        <w:rPr>
          <w:rFonts w:ascii="Times New Roman" w:eastAsia="Times New Roman" w:hAnsi="Times New Roman" w:cs="Times New Roman"/>
          <w:b/>
          <w:bCs/>
          <w:noProof/>
          <w:sz w:val="24"/>
          <w:szCs w:val="24"/>
        </w:rPr>
      </w:pPr>
      <w:r w:rsidRPr="00246137">
        <w:rPr>
          <w:rFonts w:ascii="Times New Roman" w:hAnsi="Times New Roman"/>
          <w:noProof/>
          <w:sz w:val="24"/>
        </w:rPr>
        <w:t xml:space="preserve">Progresele înregistrate în Marea Mediterană și în Marea Neagră trebuie să continue și să se accelereze, pe baza rezultatelor conferinței la nivel înalt a CGPM din octombrie 2023 și ale Forumului privind pescuitul din 2024. Este necesar să se acorde o atenție sporită Summitului CGPM/FAO privind pescuitul la scară mică (iulie 2024) și Conferinței regionale privind acvacultura (decembrie 2024). Acestea vor fi etape importante în procesul de elaborare a următoarei declarații ministeriale MedFish4Ever pentru următoarea conferință ministerială din 2026. Toate statele membre trebuie să continue acțiunile de asigurare a unui pescuit sustenabil, deoarece aceasta reprezintă baza pentru un sector al pescuitului rezilient și pentru protejarea ecosistemelor din aceste bazine maritime. </w:t>
      </w:r>
    </w:p>
    <w:p w14:paraId="39DC44B4" w14:textId="2E360725" w:rsidR="00C76199" w:rsidRPr="00246137" w:rsidRDefault="4BB60EC0" w:rsidP="13D482FB">
      <w:pPr>
        <w:spacing w:after="120"/>
        <w:jc w:val="both"/>
        <w:rPr>
          <w:rFonts w:ascii="Times New Roman" w:eastAsia="Times New Roman" w:hAnsi="Times New Roman" w:cs="Times New Roman"/>
          <w:b/>
          <w:bCs/>
          <w:noProof/>
          <w:sz w:val="24"/>
          <w:szCs w:val="24"/>
        </w:rPr>
      </w:pPr>
      <w:r w:rsidRPr="00246137">
        <w:rPr>
          <w:rFonts w:ascii="Times New Roman" w:hAnsi="Times New Roman"/>
          <w:noProof/>
          <w:sz w:val="24"/>
        </w:rPr>
        <w:t xml:space="preserve">Există o nevoie urgentă de a îmbunătăți protecția </w:t>
      </w:r>
      <w:r w:rsidRPr="00246137">
        <w:rPr>
          <w:rFonts w:ascii="Times New Roman" w:hAnsi="Times New Roman"/>
          <w:b/>
          <w:noProof/>
          <w:sz w:val="24"/>
        </w:rPr>
        <w:t>anghilei europene</w:t>
      </w:r>
      <w:r w:rsidRPr="00246137">
        <w:rPr>
          <w:rFonts w:ascii="Times New Roman" w:hAnsi="Times New Roman"/>
          <w:noProof/>
          <w:sz w:val="24"/>
        </w:rPr>
        <w:t>. Pe lângă monitorizarea îndeaproape a punerii în aplicare a posibilităților de pescuit pentru 2024 și evaluarea măsurilor pentru 2025 pentru apele marine, Comisia invită din nou statele membre, în temeiul planului de acțiune al UE pentru mediul marin, să își actualizeze planurile de gestionare a rezervelor de anghilă în temeiul Regulamentului privind rezervele de anghilă</w:t>
      </w:r>
      <w:r w:rsidR="00F13ADB" w:rsidRPr="00246137">
        <w:rPr>
          <w:rStyle w:val="FootnoteReference"/>
          <w:rFonts w:ascii="Times New Roman" w:eastAsia="Times New Roman" w:hAnsi="Times New Roman" w:cs="Times New Roman"/>
          <w:noProof/>
          <w:sz w:val="24"/>
          <w:szCs w:val="24"/>
        </w:rPr>
        <w:footnoteReference w:id="46"/>
      </w:r>
      <w:r w:rsidRPr="00246137">
        <w:rPr>
          <w:rFonts w:ascii="Times New Roman" w:hAnsi="Times New Roman"/>
          <w:noProof/>
          <w:sz w:val="24"/>
        </w:rPr>
        <w:t xml:space="preserve">, în conformitate cu obligațiile lor legale prevăzute în legislația de mediu a UE. Este important să se intensifice măsurile în apele continentale pentru a crea condiții de concurență echitabile, având în vedere că rata mortalității anghilei în apele continentale este semnificativă și impune luarea unor măsuri urgente de remediere. Pentru a facilita acest dialog și acest proces, Comisia a organizat, la 24 aprilie 2024, un atelier tehnic privind gestionarea rezervelor de anghilă, în contextul planului de acțiune pentru mediul marin. CGPM lucrează în prezent la viitoarele măsuri pe termen lung pentru anghila europeană, care acoperă toate habitatele, inclusiv apele continentale. </w:t>
      </w:r>
    </w:p>
    <w:p w14:paraId="579ED6CB" w14:textId="42116DB2" w:rsidR="00AC0378" w:rsidRPr="00246137" w:rsidRDefault="2BB3BA37" w:rsidP="13D482FB">
      <w:pPr>
        <w:pStyle w:val="Heading1"/>
        <w:numPr>
          <w:ilvl w:val="0"/>
          <w:numId w:val="0"/>
        </w:numPr>
        <w:rPr>
          <w:noProof/>
          <w:szCs w:val="24"/>
        </w:rPr>
      </w:pPr>
      <w:r w:rsidRPr="00246137">
        <w:rPr>
          <w:noProof/>
        </w:rPr>
        <w:t>7. Concluzie</w:t>
      </w:r>
    </w:p>
    <w:p w14:paraId="3166FAAA" w14:textId="6992B110" w:rsidR="00BC1D89" w:rsidRPr="00246137" w:rsidRDefault="596FEAA9" w:rsidP="055F1019">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Sustenabilitatea generală a pescuitului în UE s-a îmbunătățit și mai mult în 2023, datorită acțiunilor continue. Acest lucru este valabil în special în cazul apelor UE din Atlantic. Cu toate acestea, situația din Marea Baltică rămâne extrem de îngrijorătoare, deoarece populațiile de stocuri comerciale importante anterior continuă să scadă din cauza mai multor surse de presiune. În ceea ce privește Marea Mediterană și Marea Neagră, în ciuda îmbunătățirilor recente ale stării unor stocuri, sunt necesare mai multe acțiuni și un angajament mai ferm pentru a aborda situația.</w:t>
      </w:r>
    </w:p>
    <w:p w14:paraId="3EFF1C72" w14:textId="79057CA0" w:rsidR="008F38FD" w:rsidRPr="00246137" w:rsidRDefault="008F38FD" w:rsidP="055F1019">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Schimbările climatice afectează activitățile umane și intensitatea presiunilor, precum și legăturile dintre acestea. Pentru a face față presiunii asupra stocurilor de pește, este esențial ca statele membre să pună în aplicare pe deplin legislația UE și ca toate părțile interesate să ia măsuri concertate pentru a reduce presiunea asupra stocurilor de pește. UE combate poluarea marină printr-o serie de inițiative legislative și de politică în cadrul larg al planului de acțiune privind reducerea la zero a poluării</w:t>
      </w:r>
      <w:r w:rsidRPr="00246137">
        <w:rPr>
          <w:rStyle w:val="FootnoteReference"/>
          <w:rFonts w:ascii="Times New Roman" w:eastAsia="Times New Roman" w:hAnsi="Times New Roman" w:cs="Times New Roman"/>
          <w:noProof/>
          <w:sz w:val="24"/>
          <w:szCs w:val="24"/>
        </w:rPr>
        <w:footnoteReference w:id="47"/>
      </w:r>
      <w:r w:rsidRPr="00246137">
        <w:rPr>
          <w:rFonts w:ascii="Times New Roman" w:hAnsi="Times New Roman"/>
          <w:noProof/>
          <w:sz w:val="24"/>
        </w:rPr>
        <w:t>.</w:t>
      </w:r>
    </w:p>
    <w:p w14:paraId="34A83049" w14:textId="0015AB41" w:rsidR="00BC1D89" w:rsidRPr="00246137" w:rsidRDefault="6F384018" w:rsidP="13D482FB">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Propunerile Comisiei privind posibilitățile de pescuit pentru 2025 vor urmări să permită refacerea stocurilor, consolidarea stocurilor de pește care au atins niveluri sustenabile și sporirea rezilienței pescarilor. </w:t>
      </w:r>
    </w:p>
    <w:p w14:paraId="03A30B28" w14:textId="401B9291" w:rsidR="00AC0378" w:rsidRPr="00246137" w:rsidRDefault="433243F6" w:rsidP="13D482FB">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Un sector al pescuitului prosper este esențial pentru conservarea comunităților costiere europene și pentru gestionarea tranziției către sisteme alimentare mai sustenabile. </w:t>
      </w:r>
      <w:bookmarkStart w:id="13" w:name="_Hlk133352959"/>
      <w:r w:rsidRPr="00246137">
        <w:rPr>
          <w:rFonts w:ascii="Times New Roman" w:hAnsi="Times New Roman"/>
          <w:noProof/>
          <w:sz w:val="24"/>
        </w:rPr>
        <w:t>Astfel cum se menționează în pachetul privind pescuitul și oceanele, este extrem de important să ne asumăm un angajament comun pentru ca zonele noastre marine și pescuitul european să fie pregătite pentru viitor.</w:t>
      </w:r>
    </w:p>
    <w:bookmarkEnd w:id="13"/>
    <w:p w14:paraId="20EFB61B" w14:textId="05C6DE27" w:rsidR="00AC0378" w:rsidRPr="00246137" w:rsidRDefault="001D6309" w:rsidP="13D482FB">
      <w:pPr>
        <w:spacing w:after="120"/>
        <w:jc w:val="both"/>
        <w:rPr>
          <w:rFonts w:ascii="Times New Roman" w:eastAsia="Times New Roman" w:hAnsi="Times New Roman" w:cs="Times New Roman"/>
          <w:noProof/>
          <w:sz w:val="24"/>
          <w:szCs w:val="24"/>
        </w:rPr>
      </w:pPr>
      <w:r w:rsidRPr="00246137">
        <w:rPr>
          <w:rFonts w:ascii="Times New Roman" w:hAnsi="Times New Roman"/>
          <w:noProof/>
          <w:sz w:val="24"/>
        </w:rPr>
        <w:t>Comisia invită statele membre, consiliile consultative, părțile interesate și publicul să trimită un feedback privind prezenta comunicare până la data de 31 august 2024.</w:t>
      </w:r>
    </w:p>
    <w:p w14:paraId="2729E29B" w14:textId="77777777" w:rsidR="00AC0378" w:rsidRPr="00246137" w:rsidRDefault="001D6309" w:rsidP="13D482FB">
      <w:pPr>
        <w:spacing w:after="120"/>
        <w:jc w:val="both"/>
        <w:rPr>
          <w:rFonts w:ascii="Times New Roman" w:eastAsia="Times New Roman" w:hAnsi="Times New Roman" w:cs="Times New Roman"/>
          <w:noProof/>
          <w:sz w:val="24"/>
          <w:szCs w:val="24"/>
        </w:rPr>
      </w:pPr>
      <w:r w:rsidRPr="00246137">
        <w:rPr>
          <w:noProof/>
        </w:rPr>
        <w:br w:type="page"/>
      </w:r>
    </w:p>
    <w:p w14:paraId="0CE72203" w14:textId="61EACD76" w:rsidR="00AC0378" w:rsidRPr="00246137" w:rsidRDefault="5B51FFA5" w:rsidP="13D482FB">
      <w:pPr>
        <w:keepNext/>
        <w:tabs>
          <w:tab w:val="num" w:pos="850"/>
        </w:tabs>
        <w:spacing w:before="240" w:after="120"/>
        <w:ind w:left="851" w:hanging="851"/>
        <w:jc w:val="both"/>
        <w:outlineLvl w:val="0"/>
        <w:rPr>
          <w:rFonts w:ascii="Times New Roman" w:eastAsia="Times New Roman" w:hAnsi="Times New Roman" w:cs="Times New Roman"/>
          <w:noProof/>
          <w:sz w:val="24"/>
          <w:szCs w:val="24"/>
        </w:rPr>
      </w:pPr>
      <w:r w:rsidRPr="00246137">
        <w:rPr>
          <w:rFonts w:ascii="Times New Roman" w:hAnsi="Times New Roman"/>
          <w:b/>
          <w:smallCaps/>
          <w:noProof/>
          <w:sz w:val="24"/>
        </w:rPr>
        <w:t>Calendarul de lucru planificat</w:t>
      </w:r>
      <w:r w:rsidR="001D6309" w:rsidRPr="00246137">
        <w:rPr>
          <w:rStyle w:val="FootnoteReference"/>
          <w:rFonts w:ascii="Times New Roman" w:eastAsia="Times New Roman" w:hAnsi="Times New Roman" w:cs="Times New Roman"/>
          <w:noProof/>
          <w:sz w:val="24"/>
          <w:szCs w:val="24"/>
        </w:rPr>
        <w:footnoteReference w:id="48"/>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3"/>
        <w:gridCol w:w="6507"/>
      </w:tblGrid>
      <w:tr w:rsidR="00AC0378" w:rsidRPr="00246137" w14:paraId="6DC6117E" w14:textId="77777777" w:rsidTr="23FD45F6">
        <w:trPr>
          <w:trHeight w:val="300"/>
        </w:trPr>
        <w:tc>
          <w:tcPr>
            <w:tcW w:w="2436" w:type="dxa"/>
            <w:shd w:val="clear" w:color="auto" w:fill="auto"/>
          </w:tcPr>
          <w:p w14:paraId="1A108E6E" w14:textId="77777777" w:rsidR="00AC0378" w:rsidRPr="00246137" w:rsidRDefault="001D6309" w:rsidP="13D482FB">
            <w:pPr>
              <w:spacing w:before="120" w:after="60"/>
              <w:jc w:val="both"/>
              <w:rPr>
                <w:rFonts w:ascii="Times New Roman" w:eastAsia="Times New Roman" w:hAnsi="Times New Roman" w:cs="Times New Roman"/>
                <w:b/>
                <w:bCs/>
                <w:noProof/>
                <w:sz w:val="24"/>
                <w:szCs w:val="24"/>
              </w:rPr>
            </w:pPr>
            <w:r w:rsidRPr="00246137">
              <w:rPr>
                <w:rFonts w:ascii="Times New Roman" w:hAnsi="Times New Roman"/>
                <w:b/>
                <w:noProof/>
                <w:sz w:val="24"/>
              </w:rPr>
              <w:t>Când</w:t>
            </w:r>
          </w:p>
        </w:tc>
        <w:tc>
          <w:tcPr>
            <w:tcW w:w="6744" w:type="dxa"/>
            <w:shd w:val="clear" w:color="auto" w:fill="auto"/>
          </w:tcPr>
          <w:p w14:paraId="0834D46D" w14:textId="77777777" w:rsidR="00AC0378" w:rsidRPr="00246137" w:rsidRDefault="001D6309" w:rsidP="13D482FB">
            <w:pPr>
              <w:spacing w:before="120" w:after="60"/>
              <w:jc w:val="both"/>
              <w:rPr>
                <w:rFonts w:ascii="Times New Roman" w:eastAsia="Times New Roman" w:hAnsi="Times New Roman" w:cs="Times New Roman"/>
                <w:b/>
                <w:bCs/>
                <w:noProof/>
                <w:sz w:val="24"/>
                <w:szCs w:val="24"/>
              </w:rPr>
            </w:pPr>
            <w:r w:rsidRPr="00246137">
              <w:rPr>
                <w:rFonts w:ascii="Times New Roman" w:hAnsi="Times New Roman"/>
                <w:b/>
                <w:noProof/>
                <w:sz w:val="24"/>
              </w:rPr>
              <w:t>Ce anume</w:t>
            </w:r>
          </w:p>
        </w:tc>
      </w:tr>
      <w:tr w:rsidR="00AC0378" w:rsidRPr="00246137" w14:paraId="2284B0CF" w14:textId="77777777" w:rsidTr="23FD45F6">
        <w:trPr>
          <w:trHeight w:val="300"/>
        </w:trPr>
        <w:tc>
          <w:tcPr>
            <w:tcW w:w="0" w:type="auto"/>
            <w:shd w:val="clear" w:color="auto" w:fill="auto"/>
          </w:tcPr>
          <w:p w14:paraId="6299FBF1" w14:textId="5821FB18"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Mai</w:t>
            </w:r>
            <w:r w:rsidR="00246137" w:rsidRPr="00246137">
              <w:rPr>
                <w:rFonts w:ascii="Times New Roman" w:hAnsi="Times New Roman"/>
                <w:noProof/>
                <w:sz w:val="24"/>
              </w:rPr>
              <w:t xml:space="preserve"> – </w:t>
            </w:r>
            <w:r w:rsidRPr="00246137">
              <w:rPr>
                <w:rFonts w:ascii="Times New Roman" w:hAnsi="Times New Roman"/>
                <w:noProof/>
                <w:sz w:val="24"/>
              </w:rPr>
              <w:t>noiembrie 2024</w:t>
            </w:r>
          </w:p>
        </w:tc>
        <w:tc>
          <w:tcPr>
            <w:tcW w:w="0" w:type="auto"/>
            <w:shd w:val="clear" w:color="auto" w:fill="auto"/>
          </w:tcPr>
          <w:p w14:paraId="48633F6A" w14:textId="77777777"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Avizul științific al ICES</w:t>
            </w:r>
          </w:p>
        </w:tc>
      </w:tr>
      <w:tr w:rsidR="00AC0378" w:rsidRPr="00246137" w14:paraId="2211DF96" w14:textId="77777777" w:rsidTr="23FD45F6">
        <w:trPr>
          <w:trHeight w:val="300"/>
        </w:trPr>
        <w:tc>
          <w:tcPr>
            <w:tcW w:w="0" w:type="auto"/>
            <w:shd w:val="clear" w:color="auto" w:fill="auto"/>
          </w:tcPr>
          <w:p w14:paraId="577FACDF" w14:textId="6005C370"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Iunie</w:t>
            </w:r>
            <w:r w:rsidR="00246137" w:rsidRPr="00246137">
              <w:rPr>
                <w:rFonts w:ascii="Times New Roman" w:hAnsi="Times New Roman"/>
                <w:noProof/>
                <w:sz w:val="24"/>
              </w:rPr>
              <w:t xml:space="preserve"> – </w:t>
            </w:r>
            <w:r w:rsidRPr="00246137">
              <w:rPr>
                <w:rFonts w:ascii="Times New Roman" w:hAnsi="Times New Roman"/>
                <w:noProof/>
                <w:sz w:val="24"/>
              </w:rPr>
              <w:t>sfârșitul lunii august 2024</w:t>
            </w:r>
          </w:p>
        </w:tc>
        <w:tc>
          <w:tcPr>
            <w:tcW w:w="0" w:type="auto"/>
            <w:shd w:val="clear" w:color="auto" w:fill="auto"/>
          </w:tcPr>
          <w:p w14:paraId="5817BF47" w14:textId="77777777"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Consultare publică privind comunicarea</w:t>
            </w:r>
          </w:p>
        </w:tc>
      </w:tr>
      <w:tr w:rsidR="00AC0378" w:rsidRPr="00246137" w14:paraId="075ECBEE" w14:textId="77777777" w:rsidTr="23FD45F6">
        <w:trPr>
          <w:trHeight w:val="300"/>
        </w:trPr>
        <w:tc>
          <w:tcPr>
            <w:tcW w:w="0" w:type="auto"/>
            <w:shd w:val="clear" w:color="auto" w:fill="auto"/>
          </w:tcPr>
          <w:p w14:paraId="22BB3A56" w14:textId="25EA586D"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Sfârșitul lunii august 2024</w:t>
            </w:r>
          </w:p>
        </w:tc>
        <w:tc>
          <w:tcPr>
            <w:tcW w:w="0" w:type="auto"/>
            <w:shd w:val="clear" w:color="auto" w:fill="auto"/>
          </w:tcPr>
          <w:p w14:paraId="03B9BB9B" w14:textId="73423560"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Comisia adoptă propunerea privind posibilitățile de pescuit în Marea Baltică</w:t>
            </w:r>
          </w:p>
        </w:tc>
      </w:tr>
      <w:tr w:rsidR="055F1019" w:rsidRPr="00246137" w14:paraId="08BF7515" w14:textId="77777777" w:rsidTr="23FD45F6">
        <w:trPr>
          <w:trHeight w:val="300"/>
        </w:trPr>
        <w:tc>
          <w:tcPr>
            <w:tcW w:w="2368" w:type="dxa"/>
            <w:shd w:val="clear" w:color="auto" w:fill="auto"/>
          </w:tcPr>
          <w:p w14:paraId="23A47D5C" w14:textId="2E84AF0B" w:rsidR="001D6309" w:rsidRPr="00246137" w:rsidRDefault="023673A1" w:rsidP="055F1019">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Jumătatea lunii septembrie 2024</w:t>
            </w:r>
          </w:p>
        </w:tc>
        <w:tc>
          <w:tcPr>
            <w:tcW w:w="6812" w:type="dxa"/>
            <w:shd w:val="clear" w:color="auto" w:fill="auto"/>
          </w:tcPr>
          <w:p w14:paraId="34A4AA73" w14:textId="5C79FBFC" w:rsidR="023673A1" w:rsidRPr="00246137" w:rsidRDefault="023673A1" w:rsidP="055F1019">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Comisia adoptă propunerea privind posibilitățile de pescuit în Marea Mediterană și în Marea Neagră</w:t>
            </w:r>
          </w:p>
        </w:tc>
      </w:tr>
      <w:tr w:rsidR="00AC0378" w:rsidRPr="00246137" w14:paraId="171D15E8" w14:textId="77777777" w:rsidTr="23FD45F6">
        <w:trPr>
          <w:trHeight w:val="300"/>
        </w:trPr>
        <w:tc>
          <w:tcPr>
            <w:tcW w:w="0" w:type="auto"/>
            <w:shd w:val="clear" w:color="auto" w:fill="auto"/>
          </w:tcPr>
          <w:p w14:paraId="5AC219CA" w14:textId="01C0AFEE" w:rsidR="00AC0378" w:rsidRPr="00246137" w:rsidRDefault="44D2E18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Octombrie</w:t>
            </w:r>
            <w:r w:rsidR="00246137" w:rsidRPr="00246137">
              <w:rPr>
                <w:rFonts w:ascii="Times New Roman" w:hAnsi="Times New Roman"/>
                <w:noProof/>
                <w:sz w:val="24"/>
              </w:rPr>
              <w:t xml:space="preserve"> – </w:t>
            </w:r>
            <w:r w:rsidRPr="00246137">
              <w:rPr>
                <w:rFonts w:ascii="Times New Roman" w:hAnsi="Times New Roman"/>
                <w:noProof/>
                <w:sz w:val="24"/>
              </w:rPr>
              <w:t>decembrie 2024</w:t>
            </w:r>
          </w:p>
        </w:tc>
        <w:tc>
          <w:tcPr>
            <w:tcW w:w="0" w:type="auto"/>
            <w:shd w:val="clear" w:color="auto" w:fill="auto"/>
          </w:tcPr>
          <w:p w14:paraId="63643A4A" w14:textId="0A780787"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Consultări anuale privind posibilitățile de pescuit cu părțile din Atlanticul de Nord-Est</w:t>
            </w:r>
          </w:p>
        </w:tc>
      </w:tr>
      <w:tr w:rsidR="00AC0378" w:rsidRPr="00246137" w14:paraId="405569E5" w14:textId="77777777" w:rsidTr="23FD45F6">
        <w:trPr>
          <w:trHeight w:val="300"/>
        </w:trPr>
        <w:tc>
          <w:tcPr>
            <w:tcW w:w="0" w:type="auto"/>
            <w:shd w:val="clear" w:color="auto" w:fill="auto"/>
          </w:tcPr>
          <w:p w14:paraId="57935532" w14:textId="560616C2"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Octombrie 2024</w:t>
            </w:r>
          </w:p>
        </w:tc>
        <w:tc>
          <w:tcPr>
            <w:tcW w:w="0" w:type="auto"/>
            <w:shd w:val="clear" w:color="auto" w:fill="auto"/>
          </w:tcPr>
          <w:p w14:paraId="4A383E53" w14:textId="39C580B6"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Reuniune a Consiliului pe tema posibilităților de pescuit pentru Marea Baltică</w:t>
            </w:r>
          </w:p>
          <w:p w14:paraId="6ABBC3DA" w14:textId="46078D72"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Consultări cu statele costiere cu privire la stocurile repartizate pe o zonă extinsă din Atlanticul de Nord-Est</w:t>
            </w:r>
          </w:p>
        </w:tc>
      </w:tr>
      <w:tr w:rsidR="00AC0378" w:rsidRPr="00246137" w14:paraId="71500549" w14:textId="77777777" w:rsidTr="23FD45F6">
        <w:trPr>
          <w:trHeight w:val="300"/>
        </w:trPr>
        <w:tc>
          <w:tcPr>
            <w:tcW w:w="0" w:type="auto"/>
            <w:shd w:val="clear" w:color="auto" w:fill="auto"/>
          </w:tcPr>
          <w:p w14:paraId="27CC5F05" w14:textId="42A3F15C"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Sfârșitul lunii octombrie 2024</w:t>
            </w:r>
          </w:p>
        </w:tc>
        <w:tc>
          <w:tcPr>
            <w:tcW w:w="0" w:type="auto"/>
            <w:shd w:val="clear" w:color="auto" w:fill="auto"/>
          </w:tcPr>
          <w:p w14:paraId="6665FAB6" w14:textId="68E7A892"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Comisia adoptă propunerea</w:t>
            </w:r>
            <w:r w:rsidRPr="00246137">
              <w:rPr>
                <w:rFonts w:ascii="Times New Roman" w:hAnsi="Times New Roman"/>
                <w:noProof/>
              </w:rPr>
              <w:t xml:space="preserve"> </w:t>
            </w:r>
            <w:r w:rsidRPr="00246137">
              <w:rPr>
                <w:rFonts w:ascii="Times New Roman" w:hAnsi="Times New Roman"/>
                <w:noProof/>
                <w:sz w:val="24"/>
              </w:rPr>
              <w:t xml:space="preserve">privind posibilitățile de pescuit în Oceanul Atlantic/Marea Nordului </w:t>
            </w:r>
          </w:p>
        </w:tc>
      </w:tr>
      <w:tr w:rsidR="00AC0378" w:rsidRPr="00246137" w14:paraId="3D9C31B3" w14:textId="77777777" w:rsidTr="23FD45F6">
        <w:trPr>
          <w:trHeight w:val="300"/>
        </w:trPr>
        <w:tc>
          <w:tcPr>
            <w:tcW w:w="0" w:type="auto"/>
            <w:shd w:val="clear" w:color="auto" w:fill="auto"/>
          </w:tcPr>
          <w:p w14:paraId="25E7B450" w14:textId="11CF3532" w:rsidR="00AC0378" w:rsidRPr="00246137" w:rsidRDefault="003C0701"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 4-8 noiembrie 2024</w:t>
            </w:r>
          </w:p>
        </w:tc>
        <w:tc>
          <w:tcPr>
            <w:tcW w:w="0" w:type="auto"/>
            <w:shd w:val="clear" w:color="auto" w:fill="auto"/>
          </w:tcPr>
          <w:p w14:paraId="44FD1F07" w14:textId="77777777"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 xml:space="preserve">Reuniunea anuală a CGPM </w:t>
            </w:r>
          </w:p>
        </w:tc>
      </w:tr>
      <w:tr w:rsidR="00913544" w:rsidRPr="00246137" w14:paraId="59912E5A" w14:textId="77777777" w:rsidTr="23FD45F6">
        <w:trPr>
          <w:trHeight w:val="300"/>
        </w:trPr>
        <w:tc>
          <w:tcPr>
            <w:tcW w:w="0" w:type="auto"/>
            <w:shd w:val="clear" w:color="auto" w:fill="auto"/>
          </w:tcPr>
          <w:p w14:paraId="48213B67" w14:textId="455E075E" w:rsidR="00913544" w:rsidRPr="00246137" w:rsidRDefault="7DB344D0"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12-15 noiembrie 2024</w:t>
            </w:r>
          </w:p>
        </w:tc>
        <w:tc>
          <w:tcPr>
            <w:tcW w:w="0" w:type="auto"/>
            <w:shd w:val="clear" w:color="auto" w:fill="auto"/>
          </w:tcPr>
          <w:p w14:paraId="3DF0CA64" w14:textId="6965341D" w:rsidR="00913544" w:rsidRPr="00246137" w:rsidRDefault="7DB344D0"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Reuniunea anuală a NEAFC</w:t>
            </w:r>
          </w:p>
        </w:tc>
      </w:tr>
      <w:tr w:rsidR="00AC0378" w:rsidRPr="00246137" w14:paraId="2C6B6106" w14:textId="77777777" w:rsidTr="23FD45F6">
        <w:trPr>
          <w:trHeight w:val="300"/>
        </w:trPr>
        <w:tc>
          <w:tcPr>
            <w:tcW w:w="0" w:type="auto"/>
            <w:shd w:val="clear" w:color="auto" w:fill="auto"/>
          </w:tcPr>
          <w:p w14:paraId="2C2B77EB" w14:textId="55388A3E"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1 decembrie 2024</w:t>
            </w:r>
          </w:p>
        </w:tc>
        <w:tc>
          <w:tcPr>
            <w:tcW w:w="0" w:type="auto"/>
            <w:shd w:val="clear" w:color="auto" w:fill="auto"/>
          </w:tcPr>
          <w:p w14:paraId="1AA44EAF" w14:textId="77777777"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Evaluarea stocurilor și aviz în materie de gestionare din partea CSTEP</w:t>
            </w:r>
          </w:p>
        </w:tc>
      </w:tr>
      <w:tr w:rsidR="00AC0378" w:rsidRPr="00246137" w14:paraId="0750CAEA" w14:textId="77777777" w:rsidTr="23FD45F6">
        <w:trPr>
          <w:trHeight w:val="300"/>
        </w:trPr>
        <w:tc>
          <w:tcPr>
            <w:tcW w:w="0" w:type="auto"/>
            <w:shd w:val="clear" w:color="auto" w:fill="auto"/>
          </w:tcPr>
          <w:p w14:paraId="2E75E7AA" w14:textId="751C4682"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Decembrie 2024</w:t>
            </w:r>
          </w:p>
        </w:tc>
        <w:tc>
          <w:tcPr>
            <w:tcW w:w="0" w:type="auto"/>
            <w:shd w:val="clear" w:color="auto" w:fill="auto"/>
          </w:tcPr>
          <w:p w14:paraId="7C453F58" w14:textId="69ADCA43"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Reuniunea Consiliului privind posibilitățile de pescuit în Oceanul Atlantic/Marea Nordului</w:t>
            </w:r>
          </w:p>
          <w:p w14:paraId="079C03F7" w14:textId="5BE53E6B" w:rsidR="00AC0378" w:rsidRPr="00246137" w:rsidRDefault="001D6309" w:rsidP="13D482FB">
            <w:pPr>
              <w:spacing w:before="120" w:after="60"/>
              <w:jc w:val="both"/>
              <w:rPr>
                <w:rFonts w:ascii="Times New Roman" w:eastAsia="Times New Roman" w:hAnsi="Times New Roman" w:cs="Times New Roman"/>
                <w:noProof/>
                <w:sz w:val="24"/>
                <w:szCs w:val="24"/>
              </w:rPr>
            </w:pPr>
            <w:r w:rsidRPr="00246137">
              <w:rPr>
                <w:rFonts w:ascii="Times New Roman" w:hAnsi="Times New Roman"/>
                <w:noProof/>
                <w:sz w:val="24"/>
              </w:rPr>
              <w:t>Reuniunea Consiliului privind posibilitățile de pescuit în Marea Mediterană și în Marea Neagră</w:t>
            </w:r>
          </w:p>
        </w:tc>
      </w:tr>
    </w:tbl>
    <w:p w14:paraId="41851E9E" w14:textId="77777777" w:rsidR="00AC0378" w:rsidRPr="00246137" w:rsidRDefault="00AC0378" w:rsidP="13D482FB">
      <w:pPr>
        <w:spacing w:after="0"/>
        <w:jc w:val="both"/>
        <w:rPr>
          <w:rFonts w:ascii="Times New Roman" w:eastAsia="Times New Roman" w:hAnsi="Times New Roman" w:cs="Times New Roman"/>
          <w:noProof/>
          <w:sz w:val="24"/>
          <w:szCs w:val="24"/>
        </w:rPr>
      </w:pPr>
    </w:p>
    <w:p w14:paraId="2AF4624D" w14:textId="77777777" w:rsidR="00AC0378" w:rsidRPr="00246137" w:rsidRDefault="00AC0378" w:rsidP="13D482FB">
      <w:pPr>
        <w:jc w:val="both"/>
        <w:rPr>
          <w:rFonts w:ascii="Times New Roman" w:eastAsia="Times New Roman" w:hAnsi="Times New Roman" w:cs="Times New Roman"/>
          <w:noProof/>
          <w:sz w:val="24"/>
          <w:szCs w:val="24"/>
        </w:rPr>
      </w:pPr>
    </w:p>
    <w:p w14:paraId="7C6BE1B6" w14:textId="77777777" w:rsidR="00AC0378" w:rsidRPr="00246137" w:rsidRDefault="00AC0378" w:rsidP="13D482FB">
      <w:pPr>
        <w:jc w:val="both"/>
        <w:rPr>
          <w:rFonts w:ascii="Times New Roman" w:eastAsia="Times New Roman" w:hAnsi="Times New Roman" w:cs="Times New Roman"/>
          <w:noProof/>
          <w:sz w:val="24"/>
          <w:szCs w:val="24"/>
        </w:rPr>
      </w:pPr>
    </w:p>
    <w:p w14:paraId="51BEF6BB" w14:textId="77777777" w:rsidR="00AC0378" w:rsidRPr="00246137" w:rsidRDefault="00AC0378" w:rsidP="13D482FB">
      <w:pPr>
        <w:jc w:val="both"/>
        <w:rPr>
          <w:rFonts w:ascii="Times New Roman" w:eastAsia="Times New Roman" w:hAnsi="Times New Roman" w:cs="Times New Roman"/>
          <w:noProof/>
          <w:sz w:val="24"/>
          <w:szCs w:val="24"/>
        </w:rPr>
      </w:pPr>
    </w:p>
    <w:p w14:paraId="260C4844" w14:textId="77777777" w:rsidR="00AC0378" w:rsidRPr="00246137" w:rsidRDefault="00AC0378" w:rsidP="13D482FB">
      <w:pPr>
        <w:rPr>
          <w:rFonts w:ascii="Times New Roman" w:eastAsia="Times New Roman" w:hAnsi="Times New Roman" w:cs="Times New Roman"/>
          <w:noProof/>
          <w:sz w:val="24"/>
          <w:szCs w:val="24"/>
        </w:rPr>
      </w:pPr>
    </w:p>
    <w:sectPr w:rsidR="00AC0378" w:rsidRPr="00246137" w:rsidSect="00FB7D07">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E106A" w14:textId="77777777" w:rsidR="00146D5A" w:rsidRPr="003C0701" w:rsidRDefault="00146D5A">
      <w:pPr>
        <w:spacing w:after="0" w:line="240" w:lineRule="auto"/>
      </w:pPr>
      <w:r w:rsidRPr="003C0701">
        <w:separator/>
      </w:r>
    </w:p>
  </w:endnote>
  <w:endnote w:type="continuationSeparator" w:id="0">
    <w:p w14:paraId="1A126253" w14:textId="77777777" w:rsidR="00146D5A" w:rsidRPr="003C0701" w:rsidRDefault="00146D5A">
      <w:pPr>
        <w:spacing w:after="0" w:line="240" w:lineRule="auto"/>
      </w:pPr>
      <w:r w:rsidRPr="003C0701">
        <w:continuationSeparator/>
      </w:r>
    </w:p>
  </w:endnote>
  <w:endnote w:type="continuationNotice" w:id="1">
    <w:p w14:paraId="5AA893F9" w14:textId="77777777" w:rsidR="00146D5A" w:rsidRPr="003C0701" w:rsidRDefault="00146D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E88C9" w14:textId="315EB890" w:rsidR="00DE2A42" w:rsidRPr="00DE2A42" w:rsidRDefault="00DE2A42" w:rsidP="00DE2A42">
    <w:pPr>
      <w:pStyle w:val="FooterCoverPage"/>
      <w:rPr>
        <w:rFonts w:ascii="Arial" w:hAnsi="Arial" w:cs="Arial"/>
        <w:b/>
        <w:sz w:val="48"/>
      </w:rPr>
    </w:pPr>
    <w:r w:rsidRPr="00DE2A42">
      <w:rPr>
        <w:rFonts w:ascii="Arial" w:hAnsi="Arial" w:cs="Arial"/>
        <w:b/>
        <w:sz w:val="48"/>
      </w:rPr>
      <w:t>RO</w:t>
    </w:r>
    <w:r w:rsidRPr="00DE2A42">
      <w:rPr>
        <w:rFonts w:ascii="Arial" w:hAnsi="Arial" w:cs="Arial"/>
        <w:b/>
        <w:sz w:val="48"/>
      </w:rPr>
      <w:tab/>
    </w:r>
    <w:r w:rsidRPr="00DE2A42">
      <w:rPr>
        <w:rFonts w:ascii="Arial" w:hAnsi="Arial" w:cs="Arial"/>
        <w:b/>
        <w:sz w:val="48"/>
      </w:rPr>
      <w:tab/>
    </w:r>
    <w:r w:rsidRPr="00DE2A42">
      <w:tab/>
    </w:r>
    <w:r w:rsidRPr="00DE2A4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220B0" w14:textId="5698736B" w:rsidR="00DE2A42" w:rsidRPr="00DE2A42" w:rsidRDefault="00DE2A42" w:rsidP="00DE2A42">
    <w:pPr>
      <w:pStyle w:val="FooterCoverPage"/>
      <w:rPr>
        <w:rFonts w:ascii="Arial" w:hAnsi="Arial" w:cs="Arial"/>
        <w:b/>
        <w:sz w:val="48"/>
      </w:rPr>
    </w:pPr>
    <w:r w:rsidRPr="00DE2A42">
      <w:rPr>
        <w:rFonts w:ascii="Arial" w:hAnsi="Arial" w:cs="Arial"/>
        <w:b/>
        <w:sz w:val="48"/>
      </w:rPr>
      <w:t>RO</w:t>
    </w:r>
    <w:r w:rsidRPr="00DE2A42">
      <w:rPr>
        <w:rFonts w:ascii="Arial" w:hAnsi="Arial" w:cs="Arial"/>
        <w:b/>
        <w:sz w:val="48"/>
      </w:rPr>
      <w:tab/>
    </w:r>
    <w:r w:rsidRPr="00DE2A42">
      <w:rPr>
        <w:rFonts w:ascii="Arial" w:hAnsi="Arial" w:cs="Arial"/>
        <w:b/>
        <w:sz w:val="48"/>
      </w:rPr>
      <w:tab/>
    </w:r>
    <w:r w:rsidRPr="00DE2A42">
      <w:tab/>
    </w:r>
    <w:r w:rsidRPr="00DE2A4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658CA" w14:textId="77777777" w:rsidR="00DE2A42" w:rsidRPr="00DE2A42" w:rsidRDefault="00DE2A42" w:rsidP="00DE2A4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557F8" w14:textId="77777777" w:rsidR="00FB7D07" w:rsidRDefault="00FB7D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4159395"/>
      <w:docPartObj>
        <w:docPartGallery w:val="Page Numbers (Bottom of Page)"/>
        <w:docPartUnique/>
      </w:docPartObj>
    </w:sdtPr>
    <w:sdtEndPr/>
    <w:sdtContent>
      <w:p w14:paraId="29055928" w14:textId="456A5A0A" w:rsidR="00FB7D07" w:rsidRPr="003C0701" w:rsidRDefault="00FB7D07">
        <w:pPr>
          <w:pStyle w:val="Footer"/>
          <w:jc w:val="center"/>
        </w:pPr>
        <w:r w:rsidRPr="006C5F9B">
          <w:rPr>
            <w:color w:val="2B579A"/>
            <w:shd w:val="clear" w:color="auto" w:fill="E6E6E6"/>
          </w:rPr>
          <w:fldChar w:fldCharType="begin"/>
        </w:r>
        <w:r w:rsidRPr="006C5F9B">
          <w:instrText xml:space="preserve"> PAGE   \* MERGEFORMAT </w:instrText>
        </w:r>
        <w:r w:rsidRPr="006C5F9B">
          <w:rPr>
            <w:color w:val="2B579A"/>
            <w:shd w:val="clear" w:color="auto" w:fill="E6E6E6"/>
          </w:rPr>
          <w:fldChar w:fldCharType="separate"/>
        </w:r>
        <w:r w:rsidR="00DE2A42">
          <w:rPr>
            <w:noProof/>
          </w:rPr>
          <w:t>1</w:t>
        </w:r>
        <w:r w:rsidRPr="006C5F9B">
          <w:rPr>
            <w:color w:val="2B579A"/>
            <w:shd w:val="clear" w:color="auto" w:fill="E6E6E6"/>
          </w:rPr>
          <w:fldChar w:fldCharType="end"/>
        </w:r>
      </w:p>
    </w:sdtContent>
  </w:sdt>
  <w:p w14:paraId="4D3A0A74" w14:textId="77777777" w:rsidR="00FB7D07" w:rsidRPr="003C0701" w:rsidRDefault="00FB7D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491B7" w14:textId="77777777" w:rsidR="00FB7D07" w:rsidRDefault="00FB7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42761" w14:textId="77777777" w:rsidR="00146D5A" w:rsidRPr="003C0701" w:rsidRDefault="00146D5A">
      <w:pPr>
        <w:spacing w:after="0" w:line="240" w:lineRule="auto"/>
      </w:pPr>
      <w:r w:rsidRPr="003C0701">
        <w:separator/>
      </w:r>
    </w:p>
  </w:footnote>
  <w:footnote w:type="continuationSeparator" w:id="0">
    <w:p w14:paraId="4014228A" w14:textId="77777777" w:rsidR="00146D5A" w:rsidRPr="003C0701" w:rsidRDefault="00146D5A">
      <w:pPr>
        <w:spacing w:after="0" w:line="240" w:lineRule="auto"/>
      </w:pPr>
      <w:r w:rsidRPr="003C0701">
        <w:continuationSeparator/>
      </w:r>
    </w:p>
  </w:footnote>
  <w:footnote w:type="continuationNotice" w:id="1">
    <w:p w14:paraId="7D4148E2" w14:textId="77777777" w:rsidR="00146D5A" w:rsidRPr="003C0701" w:rsidRDefault="00146D5A">
      <w:pPr>
        <w:spacing w:after="0" w:line="240" w:lineRule="auto"/>
      </w:pPr>
    </w:p>
  </w:footnote>
  <w:footnote w:id="2">
    <w:p w14:paraId="65DA9A2E" w14:textId="347572DD" w:rsidR="00F13ADB" w:rsidRPr="00F06979" w:rsidRDefault="00F13ADB" w:rsidP="00F13ADB">
      <w:pPr>
        <w:pStyle w:val="FootnoteText"/>
        <w:spacing w:after="0"/>
      </w:pPr>
      <w:r>
        <w:rPr>
          <w:rStyle w:val="FootnoteReference"/>
        </w:rPr>
        <w:footnoteRef/>
      </w:r>
      <w:r w:rsidR="00246137">
        <w:tab/>
      </w:r>
      <w:r>
        <w:t>COM(</w:t>
      </w:r>
      <w:r w:rsidRPr="00246137">
        <w:t>2023</w:t>
      </w:r>
      <w:r>
        <w:t>) </w:t>
      </w:r>
      <w:r w:rsidRPr="00246137">
        <w:t>100</w:t>
      </w:r>
      <w:r>
        <w:t xml:space="preserve"> final.</w:t>
      </w:r>
    </w:p>
  </w:footnote>
  <w:footnote w:id="3">
    <w:p w14:paraId="600C4980" w14:textId="3DD61B40" w:rsidR="00F13ADB" w:rsidRPr="00F06979" w:rsidRDefault="00F13ADB" w:rsidP="00F13ADB">
      <w:pPr>
        <w:pStyle w:val="FootnoteText"/>
        <w:spacing w:after="0"/>
      </w:pPr>
      <w:r>
        <w:rPr>
          <w:rStyle w:val="FootnoteReference"/>
        </w:rPr>
        <w:footnoteRef/>
      </w:r>
      <w:r w:rsidR="00246137">
        <w:tab/>
      </w:r>
      <w:r>
        <w:t>COM(</w:t>
      </w:r>
      <w:r w:rsidRPr="00246137">
        <w:t>2023</w:t>
      </w:r>
      <w:r>
        <w:t xml:space="preserve">) </w:t>
      </w:r>
      <w:r w:rsidRPr="00246137">
        <w:t>100</w:t>
      </w:r>
      <w:r>
        <w:t xml:space="preserve"> final; COM(</w:t>
      </w:r>
      <w:r w:rsidRPr="00246137">
        <w:t>2023</w:t>
      </w:r>
      <w:r>
        <w:t xml:space="preserve">) </w:t>
      </w:r>
      <w:r w:rsidRPr="00246137">
        <w:t>101</w:t>
      </w:r>
      <w:r>
        <w:t xml:space="preserve"> final; COM(</w:t>
      </w:r>
      <w:r w:rsidRPr="00246137">
        <w:t>2023</w:t>
      </w:r>
      <w:r>
        <w:t xml:space="preserve">) </w:t>
      </w:r>
      <w:r w:rsidRPr="00246137">
        <w:t>102</w:t>
      </w:r>
      <w:r>
        <w:t xml:space="preserve"> final; COM(</w:t>
      </w:r>
      <w:r w:rsidRPr="00246137">
        <w:t>2023</w:t>
      </w:r>
      <w:r>
        <w:t xml:space="preserve">) </w:t>
      </w:r>
      <w:r w:rsidRPr="00246137">
        <w:t>103</w:t>
      </w:r>
      <w:r>
        <w:t xml:space="preserve"> final.</w:t>
      </w:r>
    </w:p>
  </w:footnote>
  <w:footnote w:id="4">
    <w:p w14:paraId="2AA63CBB" w14:textId="0A2D0DDC" w:rsidR="00F13ADB" w:rsidRPr="00F13ADB" w:rsidRDefault="00F13ADB">
      <w:pPr>
        <w:pStyle w:val="FootnoteText"/>
      </w:pPr>
      <w:r>
        <w:rPr>
          <w:rStyle w:val="FootnoteReference"/>
        </w:rPr>
        <w:footnoteRef/>
      </w:r>
      <w:r w:rsidR="00246137">
        <w:tab/>
      </w:r>
      <w:r>
        <w:t>Regulamentul (UE) nr. </w:t>
      </w:r>
      <w:r w:rsidRPr="00246137">
        <w:t>1380</w:t>
      </w:r>
      <w:r>
        <w:t>/</w:t>
      </w:r>
      <w:r w:rsidRPr="00246137">
        <w:t>2013</w:t>
      </w:r>
      <w:r>
        <w:t xml:space="preserve"> al Parlamentului European și al Consiliului din </w:t>
      </w:r>
      <w:r w:rsidRPr="00246137">
        <w:t>11</w:t>
      </w:r>
      <w:r>
        <w:t> decembrie </w:t>
      </w:r>
      <w:r w:rsidRPr="00246137">
        <w:t>2013</w:t>
      </w:r>
      <w:r>
        <w:t xml:space="preserve"> privind politica comună în domeniul pescuitului, de modificare a Regulamentelor (CE) nr. </w:t>
      </w:r>
      <w:r w:rsidRPr="00246137">
        <w:t>1954</w:t>
      </w:r>
      <w:r>
        <w:t>/</w:t>
      </w:r>
      <w:r w:rsidRPr="00246137">
        <w:t>2003</w:t>
      </w:r>
      <w:r>
        <w:t xml:space="preserve"> și (CE) nr. </w:t>
      </w:r>
      <w:r w:rsidRPr="00246137">
        <w:t>1224</w:t>
      </w:r>
      <w:r>
        <w:t>/</w:t>
      </w:r>
      <w:r w:rsidRPr="00246137">
        <w:t>2009</w:t>
      </w:r>
      <w:r>
        <w:t xml:space="preserve"> ale Consiliului și de abrogare a Regulamentelor (CE) nr. </w:t>
      </w:r>
      <w:r w:rsidRPr="00246137">
        <w:t>2371</w:t>
      </w:r>
      <w:r>
        <w:t>/</w:t>
      </w:r>
      <w:r w:rsidRPr="00246137">
        <w:t>2002</w:t>
      </w:r>
      <w:r>
        <w:t xml:space="preserve"> și (CE) nr. </w:t>
      </w:r>
      <w:r w:rsidRPr="00246137">
        <w:t>639</w:t>
      </w:r>
      <w:r>
        <w:t>/</w:t>
      </w:r>
      <w:r w:rsidRPr="00246137">
        <w:t>2004</w:t>
      </w:r>
      <w:r>
        <w:t xml:space="preserve"> ale Consiliului și a Deciziei </w:t>
      </w:r>
      <w:r w:rsidRPr="00246137">
        <w:t>2004</w:t>
      </w:r>
      <w:r>
        <w:t>/</w:t>
      </w:r>
      <w:r w:rsidRPr="00246137">
        <w:t>585</w:t>
      </w:r>
      <w:r>
        <w:t>/CE a Consiliului.</w:t>
      </w:r>
    </w:p>
  </w:footnote>
  <w:footnote w:id="5">
    <w:p w14:paraId="5671D6E0" w14:textId="35EDA4A4" w:rsidR="0045793D" w:rsidRPr="006B0267" w:rsidRDefault="0045793D" w:rsidP="00FC57D3">
      <w:pPr>
        <w:pStyle w:val="FootnoteText"/>
        <w:spacing w:after="0"/>
      </w:pPr>
      <w:r>
        <w:rPr>
          <w:rStyle w:val="FootnoteReference"/>
        </w:rPr>
        <w:footnoteRef/>
      </w:r>
      <w:bookmarkStart w:id="3" w:name="_Hlk132736636"/>
      <w:r w:rsidR="00246137">
        <w:tab/>
      </w:r>
      <w:r>
        <w:t>Pentru o analiză detaliată a F</w:t>
      </w:r>
      <w:r>
        <w:rPr>
          <w:vertAlign w:val="subscript"/>
        </w:rPr>
        <w:t>MSY</w:t>
      </w:r>
      <w:r>
        <w:t xml:space="preserve"> și a stării biomasei stocurilor de pește din toate bazinele maritime, a se vedea secțiunea </w:t>
      </w:r>
      <w:r w:rsidRPr="00246137">
        <w:t>1</w:t>
      </w:r>
      <w:r>
        <w:t xml:space="preserve"> din documentul de lucru însoțitor al serviciilor Comisiei</w:t>
      </w:r>
      <w:bookmarkEnd w:id="3"/>
      <w:r>
        <w:t>.</w:t>
      </w:r>
    </w:p>
  </w:footnote>
  <w:footnote w:id="6">
    <w:p w14:paraId="18949695" w14:textId="5DDB3AF6" w:rsidR="00F13ADB" w:rsidRPr="00F13ADB" w:rsidRDefault="00F13ADB" w:rsidP="00F13ADB">
      <w:pPr>
        <w:pStyle w:val="FootnoteText"/>
        <w:spacing w:after="0"/>
      </w:pPr>
      <w:r>
        <w:rPr>
          <w:rStyle w:val="FootnoteReference"/>
        </w:rPr>
        <w:footnoteRef/>
      </w:r>
      <w:r w:rsidR="00246137">
        <w:tab/>
      </w:r>
      <w:hyperlink r:id="rId1" w:history="1">
        <w:r w:rsidR="00246137" w:rsidRPr="00FC0F2F">
          <w:rPr>
            <w:rStyle w:val="Hyperlink"/>
          </w:rPr>
          <w:t>https://research-and-innovation.ec.europa.eu/funding/funding-opportunities/funding-programmes-and-open-calls/horizon-europe/eu-missions-horizon-europe/restore-our-ocean-and-waters_en</w:t>
        </w:r>
      </w:hyperlink>
    </w:p>
  </w:footnote>
  <w:footnote w:id="7">
    <w:p w14:paraId="354543D1" w14:textId="315A243C" w:rsidR="00F13ADB" w:rsidRPr="00F13ADB" w:rsidRDefault="00F13ADB" w:rsidP="00F13ADB">
      <w:pPr>
        <w:pStyle w:val="FootnoteText"/>
        <w:spacing w:after="0"/>
      </w:pPr>
      <w:r>
        <w:rPr>
          <w:rStyle w:val="FootnoteReference"/>
        </w:rPr>
        <w:footnoteRef/>
      </w:r>
      <w:r w:rsidR="00246137">
        <w:tab/>
      </w:r>
      <w:r>
        <w:t>COM(</w:t>
      </w:r>
      <w:r w:rsidRPr="00246137">
        <w:t>2023</w:t>
      </w:r>
      <w:r>
        <w:t>) </w:t>
      </w:r>
      <w:r w:rsidRPr="00246137">
        <w:t>102</w:t>
      </w:r>
      <w:r>
        <w:t xml:space="preserve"> final.</w:t>
      </w:r>
    </w:p>
  </w:footnote>
  <w:footnote w:id="8">
    <w:p w14:paraId="3543AE1C" w14:textId="548D0999" w:rsidR="00F13ADB" w:rsidRPr="00F13ADB" w:rsidRDefault="00F13ADB" w:rsidP="00F13ADB">
      <w:pPr>
        <w:pStyle w:val="FootnoteText"/>
        <w:spacing w:after="0"/>
      </w:pPr>
      <w:r>
        <w:rPr>
          <w:rStyle w:val="FootnoteReference"/>
        </w:rPr>
        <w:footnoteRef/>
      </w:r>
      <w:r w:rsidR="00246137">
        <w:tab/>
      </w:r>
      <w:r>
        <w:t xml:space="preserve">În această secțiune, „Atlanticul de Nord-Est” se referă la stocurile din zona </w:t>
      </w:r>
      <w:r w:rsidRPr="00246137">
        <w:t>27</w:t>
      </w:r>
      <w:r>
        <w:t xml:space="preserve"> a Organizației pentru Alimentație și Agricultură (FAO).</w:t>
      </w:r>
    </w:p>
  </w:footnote>
  <w:footnote w:id="9">
    <w:p w14:paraId="25427DAD" w14:textId="01BC4941" w:rsidR="443BF565" w:rsidRPr="00967949" w:rsidRDefault="443BF565" w:rsidP="00246137">
      <w:pPr>
        <w:pStyle w:val="FootnoteText"/>
        <w:spacing w:after="0"/>
        <w:rPr>
          <w:rFonts w:eastAsia="Calibri"/>
        </w:rPr>
      </w:pPr>
      <w:r>
        <w:rPr>
          <w:vertAlign w:val="superscript"/>
        </w:rPr>
        <w:footnoteRef/>
      </w:r>
      <w:r w:rsidR="00246137">
        <w:tab/>
      </w:r>
      <w:hyperlink r:id="rId2" w:history="1">
        <w:r>
          <w:rPr>
            <w:rStyle w:val="Hyperlink"/>
          </w:rPr>
          <w:t>Schimbările climatice și politica comună în domeniul pescuitului – Comisia Europeană (europa.eu)</w:t>
        </w:r>
      </w:hyperlink>
    </w:p>
  </w:footnote>
  <w:footnote w:id="10">
    <w:p w14:paraId="1B8B31ED" w14:textId="1AC37889" w:rsidR="003D7EED" w:rsidRPr="003D7EED" w:rsidRDefault="003D7EED" w:rsidP="00F13ADB">
      <w:pPr>
        <w:pStyle w:val="FootnoteText"/>
        <w:spacing w:after="0"/>
      </w:pPr>
      <w:r>
        <w:rPr>
          <w:rStyle w:val="FootnoteReference"/>
        </w:rPr>
        <w:footnoteRef/>
      </w:r>
      <w:r w:rsidR="00246137">
        <w:tab/>
      </w:r>
      <w:r>
        <w:rPr>
          <w:color w:val="333333"/>
          <w:shd w:val="clear" w:color="auto" w:fill="FFFFFF"/>
        </w:rPr>
        <w:t xml:space="preserve">Algele și animalele microscopice plutitoare formează baza rețelei trofice pelagice și reprezintă o sursă directă sau indirectă de hrană pentru pești, crustacee și păsări marine. </w:t>
      </w:r>
      <w:hyperlink r:id="rId3" w:history="1">
        <w:r>
          <w:rPr>
            <w:rStyle w:val="Hyperlink"/>
          </w:rPr>
          <w:t>https://oap.ospar.org/en/ospar-assessments/quality-status-reports/qsr-</w:t>
        </w:r>
        <w:r w:rsidRPr="00246137">
          <w:rPr>
            <w:rStyle w:val="Hyperlink"/>
          </w:rPr>
          <w:t>2023</w:t>
        </w:r>
        <w:r>
          <w:rPr>
            <w:rStyle w:val="Hyperlink"/>
          </w:rPr>
          <w:t>/indicator-assessments/changes-plankton-biomass-abundance/</w:t>
        </w:r>
      </w:hyperlink>
    </w:p>
  </w:footnote>
  <w:footnote w:id="11">
    <w:p w14:paraId="30C0AE3D" w14:textId="4E6BD60F" w:rsidR="00F13ADB" w:rsidRPr="00F13ADB" w:rsidRDefault="00F13ADB" w:rsidP="00F13ADB">
      <w:pPr>
        <w:pStyle w:val="FootnoteText"/>
        <w:spacing w:after="0"/>
      </w:pPr>
      <w:r>
        <w:rPr>
          <w:rStyle w:val="FootnoteReference"/>
        </w:rPr>
        <w:footnoteRef/>
      </w:r>
      <w:r w:rsidR="00246137">
        <w:tab/>
      </w:r>
      <w:hyperlink r:id="rId4" w:history="1">
        <w:r w:rsidR="00246137" w:rsidRPr="00FC0F2F">
          <w:rPr>
            <w:rStyle w:val="Hyperlink"/>
          </w:rPr>
          <w:t>https://oap.ospar.org/en/ospar-assessments/quality-status-reports/qsr-</w:t>
        </w:r>
        <w:r w:rsidR="00246137" w:rsidRPr="00246137">
          <w:rPr>
            <w:rStyle w:val="Hyperlink"/>
          </w:rPr>
          <w:t>2023</w:t>
        </w:r>
        <w:r w:rsidR="00246137" w:rsidRPr="00FC0F2F">
          <w:rPr>
            <w:rStyle w:val="Hyperlink"/>
          </w:rPr>
          <w:t>/indicator-assessments/changes-plankton-biomass-abundance/</w:t>
        </w:r>
      </w:hyperlink>
    </w:p>
  </w:footnote>
  <w:footnote w:id="12">
    <w:p w14:paraId="0CC53F6E" w14:textId="5B4BCF4C" w:rsidR="00F13ADB" w:rsidRPr="00F13ADB" w:rsidRDefault="00F13ADB" w:rsidP="00F13ADB">
      <w:pPr>
        <w:pStyle w:val="FootnoteText"/>
        <w:spacing w:after="0"/>
      </w:pPr>
      <w:r>
        <w:rPr>
          <w:rStyle w:val="FootnoteReference"/>
        </w:rPr>
        <w:footnoteRef/>
      </w:r>
      <w:r w:rsidR="00246137">
        <w:tab/>
      </w:r>
      <w:hyperlink r:id="rId5" w:history="1">
        <w:r w:rsidR="00246137" w:rsidRPr="00FC0F2F">
          <w:rPr>
            <w:rStyle w:val="Hyperlink"/>
          </w:rPr>
          <w:t>https://oap.ospar.org/en/ospar-assessments/quality-status-reports/qsr-</w:t>
        </w:r>
        <w:r w:rsidR="00246137" w:rsidRPr="00246137">
          <w:rPr>
            <w:rStyle w:val="Hyperlink"/>
          </w:rPr>
          <w:t>2023</w:t>
        </w:r>
        <w:r w:rsidR="00246137" w:rsidRPr="00FC0F2F">
          <w:rPr>
            <w:rStyle w:val="Hyperlink"/>
          </w:rPr>
          <w:t>/indicator-assessments/changes-plankton-biomass-abundance/</w:t>
        </w:r>
      </w:hyperlink>
    </w:p>
  </w:footnote>
  <w:footnote w:id="13">
    <w:p w14:paraId="29251048" w14:textId="2D48D1C4" w:rsidR="001E640F" w:rsidRPr="006B0267" w:rsidRDefault="001E640F" w:rsidP="00F13ADB">
      <w:pPr>
        <w:pStyle w:val="FootnoteText"/>
        <w:spacing w:after="0"/>
      </w:pPr>
      <w:r>
        <w:rPr>
          <w:rStyle w:val="FootnoteReference"/>
        </w:rPr>
        <w:footnoteRef/>
      </w:r>
      <w:r w:rsidR="00246137">
        <w:tab/>
      </w:r>
      <w:r>
        <w:rPr>
          <w:rFonts w:ascii="Calibri" w:hAnsi="Calibri"/>
        </w:rPr>
        <w:t xml:space="preserve">Raportul HELCOM privind starea calității </w:t>
      </w:r>
      <w:r w:rsidRPr="00246137">
        <w:rPr>
          <w:rFonts w:ascii="Calibri" w:hAnsi="Calibri"/>
        </w:rPr>
        <w:t>2023</w:t>
      </w:r>
      <w:r>
        <w:rPr>
          <w:rFonts w:ascii="Calibri" w:hAnsi="Calibri"/>
        </w:rPr>
        <w:t xml:space="preserve"> (HOLAS </w:t>
      </w:r>
      <w:r w:rsidRPr="00246137">
        <w:rPr>
          <w:rFonts w:ascii="Calibri" w:hAnsi="Calibri"/>
        </w:rPr>
        <w:t>3</w:t>
      </w:r>
      <w:r>
        <w:rPr>
          <w:rFonts w:ascii="Calibri" w:hAnsi="Calibri"/>
        </w:rPr>
        <w:t xml:space="preserve">): </w:t>
      </w:r>
      <w:hyperlink r:id="rId6" w:history="1">
        <w:r>
          <w:rPr>
            <w:rStyle w:val="Hyperlink"/>
            <w:rFonts w:ascii="Calibri" w:hAnsi="Calibri"/>
          </w:rPr>
          <w:t>https://helcom.fi/wp-content/uploads/</w:t>
        </w:r>
        <w:r w:rsidRPr="00246137">
          <w:rPr>
            <w:rStyle w:val="Hyperlink"/>
            <w:rFonts w:ascii="Calibri" w:hAnsi="Calibri"/>
          </w:rPr>
          <w:t>2023</w:t>
        </w:r>
        <w:r>
          <w:rPr>
            <w:rStyle w:val="Hyperlink"/>
            <w:rFonts w:ascii="Calibri" w:hAnsi="Calibri"/>
          </w:rPr>
          <w:t>/</w:t>
        </w:r>
        <w:r w:rsidRPr="00246137">
          <w:rPr>
            <w:rStyle w:val="Hyperlink"/>
            <w:rFonts w:ascii="Calibri" w:hAnsi="Calibri"/>
          </w:rPr>
          <w:t>10</w:t>
        </w:r>
        <w:r>
          <w:rPr>
            <w:rStyle w:val="Hyperlink"/>
            <w:rFonts w:ascii="Calibri" w:hAnsi="Calibri"/>
          </w:rPr>
          <w:t>/State-of-the-Baltic-Sea-</w:t>
        </w:r>
        <w:r w:rsidRPr="00246137">
          <w:rPr>
            <w:rStyle w:val="Hyperlink"/>
            <w:rFonts w:ascii="Calibri" w:hAnsi="Calibri"/>
          </w:rPr>
          <w:t>2023</w:t>
        </w:r>
        <w:r>
          <w:rPr>
            <w:rStyle w:val="Hyperlink"/>
            <w:rFonts w:ascii="Calibri" w:hAnsi="Calibri"/>
          </w:rPr>
          <w:t xml:space="preserve">.pdf </w:t>
        </w:r>
      </w:hyperlink>
    </w:p>
  </w:footnote>
  <w:footnote w:id="14">
    <w:p w14:paraId="1A0A8AFA" w14:textId="1FECEA67" w:rsidR="00E8087A" w:rsidRPr="003C0701" w:rsidRDefault="00E8087A" w:rsidP="00166034">
      <w:pPr>
        <w:pStyle w:val="FootnoteText"/>
        <w:spacing w:after="0"/>
      </w:pPr>
      <w:r>
        <w:rPr>
          <w:rStyle w:val="FootnoteReference"/>
        </w:rPr>
        <w:footnoteRef/>
      </w:r>
      <w:r w:rsidR="00246137">
        <w:tab/>
      </w:r>
      <w:r>
        <w:t>În special Directiva privind nitrații, Directiva privind epurarea apelor uzate urbane, Directiva-cadru „Strategia pentru mediul marin”, Directiva-cadru privind apa, Directiva privind habitatele și Directiva privind păsările, Directiva-cadru privind deșeurile, Directiva privind amenajarea spațiului maritim, Directiva privind materialele plastice de unică folosință, Regulamentul privind politica comună în domeniul pescuitului, politica maritimă integrată și politica agricolă comună.</w:t>
      </w:r>
    </w:p>
  </w:footnote>
  <w:footnote w:id="15">
    <w:p w14:paraId="218257B0" w14:textId="7A210A86" w:rsidR="00AC0378" w:rsidRPr="003C0701" w:rsidRDefault="001D6309" w:rsidP="000E4469">
      <w:pPr>
        <w:pStyle w:val="FootnoteText"/>
        <w:spacing w:after="0"/>
      </w:pPr>
      <w:r>
        <w:rPr>
          <w:rStyle w:val="FootnoteReference"/>
        </w:rPr>
        <w:footnoteRef/>
      </w:r>
      <w:r w:rsidR="00246137">
        <w:tab/>
      </w:r>
      <w:r>
        <w:t xml:space="preserve">Regulamentul (UE) </w:t>
      </w:r>
      <w:r w:rsidRPr="00246137">
        <w:t>2016</w:t>
      </w:r>
      <w:r>
        <w:t>/</w:t>
      </w:r>
      <w:r w:rsidRPr="00246137">
        <w:t>1139</w:t>
      </w:r>
      <w:r>
        <w:t xml:space="preserve"> al Parlamentului European și al Consiliului din </w:t>
      </w:r>
      <w:r w:rsidRPr="00246137">
        <w:t>6</w:t>
      </w:r>
      <w:r>
        <w:t> iulie </w:t>
      </w:r>
      <w:r w:rsidRPr="00246137">
        <w:t>2016</w:t>
      </w:r>
      <w:r>
        <w:t xml:space="preserve"> de stabilire a unui plan multianual pentru stocurile de cod, hering și șprot din Marea Baltică și pentru activitățile de pescuit care exploatează stocurile respective, de modificare a Regulamentului (CE) nr. </w:t>
      </w:r>
      <w:r w:rsidRPr="00246137">
        <w:t>2187</w:t>
      </w:r>
      <w:r>
        <w:t>/</w:t>
      </w:r>
      <w:r w:rsidRPr="00246137">
        <w:t>2005</w:t>
      </w:r>
      <w:r>
        <w:t xml:space="preserve"> al Consiliului și de abrogare a Regulamentului (CE) nr. </w:t>
      </w:r>
      <w:r w:rsidRPr="00246137">
        <w:t>1098</w:t>
      </w:r>
      <w:r>
        <w:t>/</w:t>
      </w:r>
      <w:r w:rsidRPr="00246137">
        <w:t>2007</w:t>
      </w:r>
      <w:r>
        <w:t xml:space="preserve"> al Consiliului (JO L </w:t>
      </w:r>
      <w:r w:rsidRPr="00246137">
        <w:t>191</w:t>
      </w:r>
      <w:r>
        <w:t xml:space="preserve">, </w:t>
      </w:r>
      <w:r w:rsidRPr="00246137">
        <w:t>15</w:t>
      </w:r>
      <w:r>
        <w:t>.</w:t>
      </w:r>
      <w:r w:rsidRPr="00246137">
        <w:t>7</w:t>
      </w:r>
      <w:r>
        <w:t>.</w:t>
      </w:r>
      <w:r w:rsidRPr="00246137">
        <w:t>2016</w:t>
      </w:r>
      <w:r>
        <w:t>, p. </w:t>
      </w:r>
      <w:r w:rsidRPr="00246137">
        <w:t>1</w:t>
      </w:r>
      <w:r>
        <w:t>).</w:t>
      </w:r>
    </w:p>
  </w:footnote>
  <w:footnote w:id="16">
    <w:p w14:paraId="5E8E7CB6" w14:textId="23F97334" w:rsidR="000D5CE8" w:rsidRPr="003C0701" w:rsidRDefault="00E8087A" w:rsidP="000E4469">
      <w:pPr>
        <w:pStyle w:val="FootnoteText"/>
        <w:spacing w:after="0"/>
      </w:pPr>
      <w:r>
        <w:rPr>
          <w:rStyle w:val="FootnoteReference"/>
        </w:rPr>
        <w:footnoteRef/>
      </w:r>
      <w:r w:rsidR="00246137">
        <w:tab/>
      </w:r>
      <w:hyperlink r:id="rId7" w:history="1">
        <w:r w:rsidR="00246137" w:rsidRPr="00FC0F2F">
          <w:rPr>
            <w:rStyle w:val="Hyperlink"/>
          </w:rPr>
          <w:t>https://commission.europa.eu/system/files/</w:t>
        </w:r>
        <w:r w:rsidR="00246137" w:rsidRPr="00246137">
          <w:rPr>
            <w:rStyle w:val="Hyperlink"/>
          </w:rPr>
          <w:t>2020</w:t>
        </w:r>
        <w:r w:rsidR="00246137" w:rsidRPr="00FC0F2F">
          <w:rPr>
            <w:rStyle w:val="Hyperlink"/>
          </w:rPr>
          <w:t>-</w:t>
        </w:r>
        <w:r w:rsidR="00246137" w:rsidRPr="00246137">
          <w:rPr>
            <w:rStyle w:val="Hyperlink"/>
          </w:rPr>
          <w:t>09</w:t>
        </w:r>
        <w:r w:rsidR="00246137" w:rsidRPr="00FC0F2F">
          <w:rPr>
            <w:rStyle w:val="Hyperlink"/>
          </w:rPr>
          <w:t>/ministerial_declaration_our_baltic_conference.pdf</w:t>
        </w:r>
      </w:hyperlink>
      <w:r>
        <w:t>.</w:t>
      </w:r>
    </w:p>
  </w:footnote>
  <w:footnote w:id="17">
    <w:p w14:paraId="6C1CC295" w14:textId="679A4FE2" w:rsidR="00FC6159" w:rsidRPr="00FC6159" w:rsidRDefault="00FC6159" w:rsidP="000E4469">
      <w:pPr>
        <w:pStyle w:val="FootnoteText"/>
        <w:spacing w:after="0"/>
      </w:pPr>
      <w:r>
        <w:rPr>
          <w:rStyle w:val="FootnoteReference"/>
        </w:rPr>
        <w:footnoteRef/>
      </w:r>
      <w:r w:rsidR="00246137">
        <w:tab/>
      </w:r>
      <w:hyperlink r:id="rId8" w:history="1">
        <w:r w:rsidR="00246137" w:rsidRPr="00FC0F2F">
          <w:rPr>
            <w:rStyle w:val="Hyperlink"/>
          </w:rPr>
          <w:t>https://op.europa.eu/en/publication-detail/-/publication/</w:t>
        </w:r>
        <w:r w:rsidR="00246137" w:rsidRPr="00246137">
          <w:rPr>
            <w:rStyle w:val="Hyperlink"/>
          </w:rPr>
          <w:t>2</w:t>
        </w:r>
        <w:r w:rsidR="00246137" w:rsidRPr="00FC0F2F">
          <w:rPr>
            <w:rStyle w:val="Hyperlink"/>
          </w:rPr>
          <w:t>e</w:t>
        </w:r>
        <w:r w:rsidR="00246137" w:rsidRPr="00246137">
          <w:rPr>
            <w:rStyle w:val="Hyperlink"/>
          </w:rPr>
          <w:t>76</w:t>
        </w:r>
        <w:r w:rsidR="00246137" w:rsidRPr="00FC0F2F">
          <w:rPr>
            <w:rStyle w:val="Hyperlink"/>
          </w:rPr>
          <w:t>afa</w:t>
        </w:r>
        <w:r w:rsidR="00246137" w:rsidRPr="00246137">
          <w:rPr>
            <w:rStyle w:val="Hyperlink"/>
          </w:rPr>
          <w:t>1</w:t>
        </w:r>
        <w:r w:rsidR="00246137" w:rsidRPr="00FC0F2F">
          <w:rPr>
            <w:rStyle w:val="Hyperlink"/>
          </w:rPr>
          <w:t>-</w:t>
        </w:r>
        <w:r w:rsidR="00246137" w:rsidRPr="00246137">
          <w:rPr>
            <w:rStyle w:val="Hyperlink"/>
          </w:rPr>
          <w:t>5695</w:t>
        </w:r>
        <w:r w:rsidR="00246137" w:rsidRPr="00FC0F2F">
          <w:rPr>
            <w:rStyle w:val="Hyperlink"/>
          </w:rPr>
          <w:t>-</w:t>
        </w:r>
        <w:r w:rsidR="00246137" w:rsidRPr="00246137">
          <w:rPr>
            <w:rStyle w:val="Hyperlink"/>
          </w:rPr>
          <w:t>11</w:t>
        </w:r>
        <w:r w:rsidR="00246137" w:rsidRPr="00FC0F2F">
          <w:rPr>
            <w:rStyle w:val="Hyperlink"/>
          </w:rPr>
          <w:t>ee-</w:t>
        </w:r>
        <w:r w:rsidR="00246137" w:rsidRPr="00246137">
          <w:rPr>
            <w:rStyle w:val="Hyperlink"/>
          </w:rPr>
          <w:t>9220</w:t>
        </w:r>
        <w:r w:rsidR="00246137" w:rsidRPr="00FC0F2F">
          <w:rPr>
            <w:rStyle w:val="Hyperlink"/>
          </w:rPr>
          <w:t>-</w:t>
        </w:r>
        <w:r w:rsidR="00246137" w:rsidRPr="00246137">
          <w:rPr>
            <w:rStyle w:val="Hyperlink"/>
          </w:rPr>
          <w:t>01</w:t>
        </w:r>
        <w:r w:rsidR="00246137" w:rsidRPr="00FC0F2F">
          <w:rPr>
            <w:rStyle w:val="Hyperlink"/>
          </w:rPr>
          <w:t>aa</w:t>
        </w:r>
        <w:r w:rsidR="00246137" w:rsidRPr="00246137">
          <w:rPr>
            <w:rStyle w:val="Hyperlink"/>
          </w:rPr>
          <w:t>75</w:t>
        </w:r>
        <w:r w:rsidR="00246137" w:rsidRPr="00FC0F2F">
          <w:rPr>
            <w:rStyle w:val="Hyperlink"/>
          </w:rPr>
          <w:t>ed</w:t>
        </w:r>
        <w:r w:rsidR="00246137" w:rsidRPr="00246137">
          <w:rPr>
            <w:rStyle w:val="Hyperlink"/>
          </w:rPr>
          <w:t>71</w:t>
        </w:r>
        <w:r w:rsidR="00246137" w:rsidRPr="00FC0F2F">
          <w:rPr>
            <w:rStyle w:val="Hyperlink"/>
          </w:rPr>
          <w:t>a</w:t>
        </w:r>
        <w:r w:rsidR="00246137" w:rsidRPr="00246137">
          <w:rPr>
            <w:rStyle w:val="Hyperlink"/>
          </w:rPr>
          <w:t>1</w:t>
        </w:r>
      </w:hyperlink>
    </w:p>
  </w:footnote>
  <w:footnote w:id="18">
    <w:p w14:paraId="365056D8" w14:textId="28D5E968" w:rsidR="00166034" w:rsidRPr="00166034" w:rsidRDefault="00166034" w:rsidP="000E4469">
      <w:pPr>
        <w:pStyle w:val="FootnoteText"/>
        <w:spacing w:after="0"/>
      </w:pPr>
      <w:r>
        <w:rPr>
          <w:rStyle w:val="FootnoteReference"/>
        </w:rPr>
        <w:footnoteRef/>
      </w:r>
      <w:r w:rsidR="00246137">
        <w:tab/>
      </w:r>
      <w:r>
        <w:t>Acordul comercial și de cooperare între Uniunea Europeană și Comunitatea Europeană a Energiei Atomice, pe de o parte, și Regatul Unit al Marii Britanii și Irlandei de Nord, pe de altă parte (JO L </w:t>
      </w:r>
      <w:r w:rsidRPr="00246137">
        <w:t>149</w:t>
      </w:r>
      <w:r>
        <w:t xml:space="preserve">, </w:t>
      </w:r>
      <w:r w:rsidRPr="00246137">
        <w:t>30</w:t>
      </w:r>
      <w:r>
        <w:t>.</w:t>
      </w:r>
      <w:r w:rsidRPr="00246137">
        <w:t>4</w:t>
      </w:r>
      <w:r>
        <w:t>.</w:t>
      </w:r>
      <w:r w:rsidRPr="00246137">
        <w:t>2021</w:t>
      </w:r>
      <w:r>
        <w:t>, p. </w:t>
      </w:r>
      <w:r w:rsidRPr="00246137">
        <w:t>10</w:t>
      </w:r>
      <w:r>
        <w:t>).</w:t>
      </w:r>
    </w:p>
  </w:footnote>
  <w:footnote w:id="19">
    <w:p w14:paraId="7C286344" w14:textId="2229D20F" w:rsidR="00D9697D" w:rsidRPr="003C0701" w:rsidRDefault="00D9697D" w:rsidP="000E4469">
      <w:pPr>
        <w:pStyle w:val="FootnoteText"/>
        <w:spacing w:after="0"/>
      </w:pPr>
      <w:r>
        <w:rPr>
          <w:rStyle w:val="FootnoteReference"/>
        </w:rPr>
        <w:footnoteRef/>
      </w:r>
      <w:r>
        <w:tab/>
        <w:t xml:space="preserve">Proces-verbal al consultărilor în domeniul pescuitului dintre Regatul Unit și Uniunea Europeană pentru </w:t>
      </w:r>
      <w:r w:rsidRPr="00246137">
        <w:t>2024</w:t>
      </w:r>
      <w:r>
        <w:t xml:space="preserve">: </w:t>
      </w:r>
      <w:hyperlink r:id="rId9" w:history="1">
        <w:r>
          <w:rPr>
            <w:rStyle w:val="Hyperlink"/>
          </w:rPr>
          <w:t>https://oceans-and-fisheries.ec.europa.eu/system/files/</w:t>
        </w:r>
        <w:r w:rsidRPr="00246137">
          <w:rPr>
            <w:rStyle w:val="Hyperlink"/>
          </w:rPr>
          <w:t>2023</w:t>
        </w:r>
        <w:r>
          <w:rPr>
            <w:rStyle w:val="Hyperlink"/>
          </w:rPr>
          <w:t>-</w:t>
        </w:r>
        <w:r w:rsidRPr="00246137">
          <w:rPr>
            <w:rStyle w:val="Hyperlink"/>
          </w:rPr>
          <w:t>12</w:t>
        </w:r>
        <w:r>
          <w:rPr>
            <w:rStyle w:val="Hyperlink"/>
          </w:rPr>
          <w:t>/</w:t>
        </w:r>
        <w:r w:rsidRPr="00246137">
          <w:rPr>
            <w:rStyle w:val="Hyperlink"/>
          </w:rPr>
          <w:t>2024</w:t>
        </w:r>
        <w:r>
          <w:rPr>
            <w:rStyle w:val="Hyperlink"/>
          </w:rPr>
          <w:t>-eu-uk-fisheries-consultations_en.pdf</w:t>
        </w:r>
      </w:hyperlink>
    </w:p>
  </w:footnote>
  <w:footnote w:id="20">
    <w:p w14:paraId="52047C47" w14:textId="396C44B8" w:rsidR="00D9697D" w:rsidRPr="003C0701" w:rsidRDefault="00D9697D" w:rsidP="00A6185B">
      <w:pPr>
        <w:pStyle w:val="FootnoteText"/>
        <w:spacing w:after="0"/>
      </w:pPr>
      <w:r>
        <w:rPr>
          <w:rStyle w:val="FootnoteReference"/>
        </w:rPr>
        <w:footnoteRef/>
      </w:r>
      <w:r>
        <w:tab/>
        <w:t xml:space="preserve">Pentru procesele-verbale ale reuniunilor Comitetului specializat privind pescuitul, a se vedea: </w:t>
      </w:r>
      <w:hyperlink r:id="rId10" w:history="1">
        <w:r>
          <w:rPr>
            <w:rStyle w:val="Hyperlink"/>
          </w:rPr>
          <w:t>https://commission.europa.eu/strategy-and-policy/relations-non-eu-countries/relations-united-kingdom/eu-uk-trade-and-cooperation-agreement/meetings-eu-uk-partnership-council-and-specialised-committees-under-trade-and-cooperation-agreement/specialised-committee-fisheries_en</w:t>
        </w:r>
      </w:hyperlink>
    </w:p>
  </w:footnote>
  <w:footnote w:id="21">
    <w:p w14:paraId="57120326" w14:textId="09951453" w:rsidR="00D9697D" w:rsidRPr="003C0701" w:rsidRDefault="00D9697D" w:rsidP="00541AF7">
      <w:pPr>
        <w:pStyle w:val="FootnoteText"/>
        <w:spacing w:after="0"/>
      </w:pPr>
      <w:r>
        <w:rPr>
          <w:rStyle w:val="FootnoteReference"/>
        </w:rPr>
        <w:footnoteRef/>
      </w:r>
      <w:r>
        <w:tab/>
        <w:t xml:space="preserve">Procesul-verbal al încheierii consultării în domeniul pescuitului dintre Norvegia și Uniunea Europeană privind reglementarea pescuitului în Skagerrak și Kattegat pentru </w:t>
      </w:r>
      <w:r w:rsidRPr="00246137">
        <w:t>2024</w:t>
      </w:r>
      <w:r>
        <w:t xml:space="preserve">: </w:t>
      </w:r>
      <w:hyperlink r:id="rId11" w:history="1">
        <w:r>
          <w:rPr>
            <w:rStyle w:val="Hyperlink"/>
          </w:rPr>
          <w:t>https://oceans-and-fisheries.ec.europa.eu/document/download/</w:t>
        </w:r>
        <w:r w:rsidRPr="00246137">
          <w:rPr>
            <w:rStyle w:val="Hyperlink"/>
          </w:rPr>
          <w:t>675</w:t>
        </w:r>
        <w:r>
          <w:rPr>
            <w:rStyle w:val="Hyperlink"/>
          </w:rPr>
          <w:t>ccb</w:t>
        </w:r>
        <w:r w:rsidRPr="00246137">
          <w:rPr>
            <w:rStyle w:val="Hyperlink"/>
          </w:rPr>
          <w:t>20</w:t>
        </w:r>
        <w:r>
          <w:rPr>
            <w:rStyle w:val="Hyperlink"/>
          </w:rPr>
          <w:t>-</w:t>
        </w:r>
        <w:r w:rsidRPr="00246137">
          <w:rPr>
            <w:rStyle w:val="Hyperlink"/>
          </w:rPr>
          <w:t>4</w:t>
        </w:r>
        <w:r>
          <w:rPr>
            <w:rStyle w:val="Hyperlink"/>
          </w:rPr>
          <w:t>b</w:t>
        </w:r>
        <w:r w:rsidRPr="00246137">
          <w:rPr>
            <w:rStyle w:val="Hyperlink"/>
          </w:rPr>
          <w:t>1</w:t>
        </w:r>
        <w:r>
          <w:rPr>
            <w:rStyle w:val="Hyperlink"/>
          </w:rPr>
          <w:t>c-</w:t>
        </w:r>
        <w:r w:rsidRPr="00246137">
          <w:rPr>
            <w:rStyle w:val="Hyperlink"/>
          </w:rPr>
          <w:t>456</w:t>
        </w:r>
        <w:r>
          <w:rPr>
            <w:rStyle w:val="Hyperlink"/>
          </w:rPr>
          <w:t>e-b</w:t>
        </w:r>
        <w:r w:rsidRPr="00246137">
          <w:rPr>
            <w:rStyle w:val="Hyperlink"/>
          </w:rPr>
          <w:t>13</w:t>
        </w:r>
        <w:r>
          <w:rPr>
            <w:rStyle w:val="Hyperlink"/>
          </w:rPr>
          <w:t>c-</w:t>
        </w:r>
        <w:r w:rsidRPr="00246137">
          <w:rPr>
            <w:rStyle w:val="Hyperlink"/>
          </w:rPr>
          <w:t>8</w:t>
        </w:r>
        <w:r>
          <w:rPr>
            <w:rStyle w:val="Hyperlink"/>
          </w:rPr>
          <w:t>e</w:t>
        </w:r>
        <w:r w:rsidRPr="00246137">
          <w:rPr>
            <w:rStyle w:val="Hyperlink"/>
          </w:rPr>
          <w:t>7</w:t>
        </w:r>
        <w:r>
          <w:rPr>
            <w:rStyle w:val="Hyperlink"/>
          </w:rPr>
          <w:t>b</w:t>
        </w:r>
        <w:r w:rsidRPr="00246137">
          <w:rPr>
            <w:rStyle w:val="Hyperlink"/>
          </w:rPr>
          <w:t>853002</w:t>
        </w:r>
        <w:r>
          <w:rPr>
            <w:rStyle w:val="Hyperlink"/>
          </w:rPr>
          <w:t>e</w:t>
        </w:r>
        <w:r w:rsidRPr="00246137">
          <w:rPr>
            <w:rStyle w:val="Hyperlink"/>
          </w:rPr>
          <w:t>3</w:t>
        </w:r>
        <w:r>
          <w:rPr>
            <w:rStyle w:val="Hyperlink"/>
          </w:rPr>
          <w:t>_en?filename=</w:t>
        </w:r>
        <w:r w:rsidRPr="00246137">
          <w:rPr>
            <w:rStyle w:val="Hyperlink"/>
          </w:rPr>
          <w:t>2023</w:t>
        </w:r>
        <w:r>
          <w:rPr>
            <w:rStyle w:val="Hyperlink"/>
          </w:rPr>
          <w:t>-</w:t>
        </w:r>
        <w:r w:rsidRPr="00246137">
          <w:rPr>
            <w:rStyle w:val="Hyperlink"/>
          </w:rPr>
          <w:t>12</w:t>
        </w:r>
        <w:r>
          <w:rPr>
            <w:rStyle w:val="Hyperlink"/>
          </w:rPr>
          <w:t>-</w:t>
        </w:r>
        <w:r w:rsidRPr="00246137">
          <w:rPr>
            <w:rStyle w:val="Hyperlink"/>
          </w:rPr>
          <w:t>08</w:t>
        </w:r>
        <w:r>
          <w:rPr>
            <w:rStyle w:val="Hyperlink"/>
          </w:rPr>
          <w:t>-EU-NO-Skagerrak-Agreed-Record-</w:t>
        </w:r>
        <w:r w:rsidRPr="00246137">
          <w:rPr>
            <w:rStyle w:val="Hyperlink"/>
          </w:rPr>
          <w:t>2024</w:t>
        </w:r>
        <w:r>
          <w:rPr>
            <w:rStyle w:val="Hyperlink"/>
          </w:rPr>
          <w:t>.pdf</w:t>
        </w:r>
      </w:hyperlink>
    </w:p>
  </w:footnote>
  <w:footnote w:id="22">
    <w:p w14:paraId="2C697BFD" w14:textId="37396096" w:rsidR="00541AF7" w:rsidRPr="00541AF7" w:rsidRDefault="00541AF7" w:rsidP="00541AF7">
      <w:pPr>
        <w:pStyle w:val="FootnoteText"/>
        <w:spacing w:after="0"/>
      </w:pPr>
      <w:r>
        <w:rPr>
          <w:rStyle w:val="FootnoteReference"/>
        </w:rPr>
        <w:footnoteRef/>
      </w:r>
      <w:r>
        <w:tab/>
        <w:t>https://www.ices.dk/community/groups/pages/wgwide.aspx, Grupul de lucru privind stocurile repartizate pe o zonă extinsă (WGWIDE) compilează și analizează date privind stocurile mari de specii pelagice, precum și alte specii mari migratoare și repartizate pe o zonă extinsă.</w:t>
      </w:r>
    </w:p>
  </w:footnote>
  <w:footnote w:id="23">
    <w:p w14:paraId="34D3BE92" w14:textId="2F3B2951" w:rsidR="00370512" w:rsidRPr="00370512" w:rsidRDefault="00370512" w:rsidP="00541AF7">
      <w:pPr>
        <w:pStyle w:val="FootnoteText"/>
        <w:spacing w:after="0"/>
      </w:pPr>
      <w:r>
        <w:rPr>
          <w:rStyle w:val="FootnoteReference"/>
        </w:rPr>
        <w:footnoteRef/>
      </w:r>
      <w:r>
        <w:tab/>
        <w:t>Statele costiere din Atlanticul de Nord-Est care gestionează aceste stocuri sunt statele membre ale Uniunii Europene, Regatul Unit, Norvegia, Islanda, Insulele Feroe, Groenlanda și Federația Rusă.</w:t>
      </w:r>
    </w:p>
  </w:footnote>
  <w:footnote w:id="24">
    <w:p w14:paraId="27670CD5" w14:textId="0BACE591" w:rsidR="009A34D1" w:rsidRPr="003C0701" w:rsidRDefault="009A34D1" w:rsidP="00B42797">
      <w:pPr>
        <w:pStyle w:val="FootnoteText"/>
        <w:spacing w:after="0"/>
      </w:pPr>
      <w:r>
        <w:rPr>
          <w:rStyle w:val="FootnoteReference"/>
        </w:rPr>
        <w:footnoteRef/>
      </w:r>
      <w:r>
        <w:tab/>
        <w:t xml:space="preserve">Regulamentul (UE) </w:t>
      </w:r>
      <w:r w:rsidRPr="00246137">
        <w:t>2019</w:t>
      </w:r>
      <w:r>
        <w:t>/</w:t>
      </w:r>
      <w:r w:rsidRPr="00246137">
        <w:t>1022</w:t>
      </w:r>
      <w:r>
        <w:t xml:space="preserve"> al Parlamentului European și al Consiliului din </w:t>
      </w:r>
      <w:r w:rsidRPr="00246137">
        <w:t>20</w:t>
      </w:r>
      <w:r>
        <w:t xml:space="preserve"> iunie </w:t>
      </w:r>
      <w:r w:rsidRPr="00246137">
        <w:t>2019</w:t>
      </w:r>
      <w:r>
        <w:t xml:space="preserve"> privind instituirea unui plan multianual pentru activitățile de pescuit care exploatează stocuri demersale în vestul Mării Mediterane și de modificare a Regulamentului (UE) nr. </w:t>
      </w:r>
      <w:r w:rsidRPr="00246137">
        <w:t>508</w:t>
      </w:r>
      <w:r>
        <w:t>/</w:t>
      </w:r>
      <w:r w:rsidRPr="00246137">
        <w:t>2014</w:t>
      </w:r>
      <w:r>
        <w:t xml:space="preserve"> (JO L </w:t>
      </w:r>
      <w:r w:rsidRPr="00246137">
        <w:t>172</w:t>
      </w:r>
      <w:r>
        <w:t xml:space="preserve">, </w:t>
      </w:r>
      <w:r w:rsidRPr="00246137">
        <w:t>26</w:t>
      </w:r>
      <w:r>
        <w:t>.</w:t>
      </w:r>
      <w:r w:rsidRPr="00246137">
        <w:t>6</w:t>
      </w:r>
      <w:r>
        <w:t>.</w:t>
      </w:r>
      <w:r w:rsidRPr="00246137">
        <w:t>2019</w:t>
      </w:r>
      <w:r>
        <w:t>, p. </w:t>
      </w:r>
      <w:r w:rsidRPr="00246137">
        <w:t>1</w:t>
      </w:r>
      <w:r>
        <w:t>).</w:t>
      </w:r>
    </w:p>
  </w:footnote>
  <w:footnote w:id="25">
    <w:p w14:paraId="37642125" w14:textId="607C8FDA" w:rsidR="009A34D1" w:rsidRPr="003C0701" w:rsidRDefault="009A34D1" w:rsidP="00B42797">
      <w:pPr>
        <w:pStyle w:val="FootnoteText"/>
        <w:spacing w:after="0"/>
      </w:pPr>
      <w:r>
        <w:rPr>
          <w:rStyle w:val="FootnoteReference"/>
        </w:rPr>
        <w:footnoteRef/>
      </w:r>
      <w:r>
        <w:tab/>
        <w:t xml:space="preserve">Strategia CGPM pentru </w:t>
      </w:r>
      <w:r w:rsidRPr="00246137">
        <w:t>2030</w:t>
      </w:r>
      <w:r>
        <w:t xml:space="preserve"> pentru pescuit și acvacultură sustenabile în Marea Mediterană și Marea Neagră. </w:t>
      </w:r>
      <w:hyperlink r:id="rId12" w:history="1">
        <w:r>
          <w:rPr>
            <w:rStyle w:val="Hyperlink"/>
          </w:rPr>
          <w:t>https://www.fao.org/documents/card/en/c/cb</w:t>
        </w:r>
        <w:r w:rsidRPr="00246137">
          <w:rPr>
            <w:rStyle w:val="Hyperlink"/>
          </w:rPr>
          <w:t>7562</w:t>
        </w:r>
        <w:r>
          <w:rPr>
            <w:rStyle w:val="Hyperlink"/>
          </w:rPr>
          <w:t>en</w:t>
        </w:r>
      </w:hyperlink>
    </w:p>
  </w:footnote>
  <w:footnote w:id="26">
    <w:p w14:paraId="484D1EE9" w14:textId="3C749B74" w:rsidR="00541AF7" w:rsidRPr="00541AF7" w:rsidRDefault="00541AF7" w:rsidP="00166034">
      <w:pPr>
        <w:pStyle w:val="FootnoteText"/>
        <w:spacing w:after="0"/>
      </w:pPr>
      <w:r>
        <w:rPr>
          <w:rStyle w:val="FootnoteReference"/>
        </w:rPr>
        <w:footnoteRef/>
      </w:r>
      <w:r>
        <w:tab/>
        <w:t xml:space="preserve">Regulamentul (UE) </w:t>
      </w:r>
      <w:r w:rsidRPr="00246137">
        <w:t>2024</w:t>
      </w:r>
      <w:r>
        <w:t>/</w:t>
      </w:r>
      <w:r w:rsidRPr="00246137">
        <w:t>259</w:t>
      </w:r>
      <w:r>
        <w:t xml:space="preserve"> al Consiliului din </w:t>
      </w:r>
      <w:r w:rsidRPr="00246137">
        <w:t>10</w:t>
      </w:r>
      <w:r>
        <w:t xml:space="preserve"> ianuarie </w:t>
      </w:r>
      <w:r w:rsidRPr="00246137">
        <w:t>2024</w:t>
      </w:r>
      <w:r>
        <w:t xml:space="preserve"> de stabilire a posibilităților de pescuit pentru anul </w:t>
      </w:r>
      <w:r w:rsidRPr="00246137">
        <w:t>2024</w:t>
      </w:r>
      <w:r>
        <w:t xml:space="preserve"> pentru anumite stocuri de pește și grupuri de stocuri de pește aplicabile în Marea Mediterană și în Marea Neagră (JO L, </w:t>
      </w:r>
      <w:r w:rsidRPr="00246137">
        <w:t>2024</w:t>
      </w:r>
      <w:r>
        <w:t>/</w:t>
      </w:r>
      <w:r w:rsidRPr="00246137">
        <w:t>259</w:t>
      </w:r>
      <w:r>
        <w:t xml:space="preserve">, </w:t>
      </w:r>
      <w:r w:rsidRPr="00246137">
        <w:t>11</w:t>
      </w:r>
      <w:r>
        <w:t>.</w:t>
      </w:r>
      <w:r w:rsidRPr="00246137">
        <w:t>1</w:t>
      </w:r>
      <w:r>
        <w:t>.</w:t>
      </w:r>
      <w:r w:rsidRPr="00246137">
        <w:t>2024</w:t>
      </w:r>
      <w:r>
        <w:t>).</w:t>
      </w:r>
    </w:p>
  </w:footnote>
  <w:footnote w:id="27">
    <w:p w14:paraId="640D97D0" w14:textId="25A77F74" w:rsidR="00B42797" w:rsidRPr="00B42797" w:rsidRDefault="00B42797" w:rsidP="00166034">
      <w:pPr>
        <w:pStyle w:val="FootnoteText"/>
        <w:spacing w:after="0"/>
      </w:pPr>
      <w:r>
        <w:rPr>
          <w:rStyle w:val="FootnoteReference"/>
        </w:rPr>
        <w:footnoteRef/>
      </w:r>
      <w:r>
        <w:tab/>
        <w:t>Articolul </w:t>
      </w:r>
      <w:r w:rsidRPr="00246137">
        <w:t>13</w:t>
      </w:r>
      <w:r>
        <w:t xml:space="preserve"> din Regulamentul (UE) </w:t>
      </w:r>
      <w:r w:rsidRPr="00246137">
        <w:t>2024</w:t>
      </w:r>
      <w:r>
        <w:t>/</w:t>
      </w:r>
      <w:r w:rsidRPr="00246137">
        <w:t>257</w:t>
      </w:r>
      <w:r>
        <w:t>.</w:t>
      </w:r>
    </w:p>
  </w:footnote>
  <w:footnote w:id="28">
    <w:p w14:paraId="1D62EA49" w14:textId="7C0C618F" w:rsidR="3666E496" w:rsidRPr="006B0267" w:rsidRDefault="3666E496" w:rsidP="00246137">
      <w:pPr>
        <w:pStyle w:val="FootnoteText"/>
        <w:spacing w:after="0"/>
        <w:rPr>
          <w:rStyle w:val="Hyperlink"/>
          <w:rFonts w:eastAsia="Calibri"/>
        </w:rPr>
      </w:pPr>
      <w:r>
        <w:rPr>
          <w:vertAlign w:val="superscript"/>
        </w:rPr>
        <w:footnoteRef/>
      </w:r>
      <w:r w:rsidR="00246137">
        <w:tab/>
      </w:r>
      <w:hyperlink r:id="rId13" w:history="1">
        <w:r w:rsidR="00DA4083" w:rsidRPr="00FC0F2F">
          <w:rPr>
            <w:rStyle w:val="Hyperlink"/>
          </w:rPr>
          <w:t>https://data.consilium.europa.eu/doc/document/ST-</w:t>
        </w:r>
        <w:r w:rsidR="00DA4083" w:rsidRPr="00246137">
          <w:rPr>
            <w:rStyle w:val="Hyperlink"/>
          </w:rPr>
          <w:t>5374</w:t>
        </w:r>
        <w:r w:rsidR="00DA4083" w:rsidRPr="00FC0F2F">
          <w:rPr>
            <w:rStyle w:val="Hyperlink"/>
          </w:rPr>
          <w:t>-</w:t>
        </w:r>
        <w:r w:rsidR="00DA4083" w:rsidRPr="00246137">
          <w:rPr>
            <w:rStyle w:val="Hyperlink"/>
          </w:rPr>
          <w:t>2023</w:t>
        </w:r>
        <w:r w:rsidR="00DA4083" w:rsidRPr="00FC0F2F">
          <w:rPr>
            <w:rStyle w:val="Hyperlink"/>
          </w:rPr>
          <w:t>-ADD-</w:t>
        </w:r>
        <w:r w:rsidR="00DA4083" w:rsidRPr="00246137">
          <w:rPr>
            <w:rStyle w:val="Hyperlink"/>
          </w:rPr>
          <w:t>1</w:t>
        </w:r>
        <w:r w:rsidR="00DA4083" w:rsidRPr="00FC0F2F">
          <w:rPr>
            <w:rStyle w:val="Hyperlink"/>
          </w:rPr>
          <w:t>-REV-</w:t>
        </w:r>
        <w:r w:rsidR="00DA4083" w:rsidRPr="00246137">
          <w:rPr>
            <w:rStyle w:val="Hyperlink"/>
          </w:rPr>
          <w:t>1</w:t>
        </w:r>
        <w:r w:rsidR="00DA4083" w:rsidRPr="00FC0F2F">
          <w:rPr>
            <w:rStyle w:val="Hyperlink"/>
          </w:rPr>
          <w:t>/ro/pdf</w:t>
        </w:r>
      </w:hyperlink>
    </w:p>
  </w:footnote>
  <w:footnote w:id="29">
    <w:p w14:paraId="06CBDD12" w14:textId="1152F074" w:rsidR="00F13ADB" w:rsidRPr="00F13ADB" w:rsidRDefault="00F13ADB" w:rsidP="00F13ADB">
      <w:pPr>
        <w:pStyle w:val="FootnoteText"/>
        <w:spacing w:after="0"/>
      </w:pPr>
      <w:r>
        <w:rPr>
          <w:rStyle w:val="FootnoteReference"/>
        </w:rPr>
        <w:footnoteRef/>
      </w:r>
      <w:r w:rsidR="00246137">
        <w:tab/>
      </w:r>
      <w:r>
        <w:rPr>
          <w:color w:val="333333"/>
        </w:rPr>
        <w:t>Austria, Croația, Cipru, Republica Cehă, Estonia, Finlanda, Germania, Grecia, Ungaria, Irlanda, Lituania, Luxemburg, Malta, Portugalia, România, Slovacia.</w:t>
      </w:r>
    </w:p>
  </w:footnote>
  <w:footnote w:id="30">
    <w:p w14:paraId="7CB888EC" w14:textId="5078FBD7" w:rsidR="00F13ADB" w:rsidRPr="00F13ADB" w:rsidRDefault="00F13ADB" w:rsidP="00F13ADB">
      <w:pPr>
        <w:pStyle w:val="FootnoteText"/>
        <w:spacing w:after="0"/>
      </w:pPr>
      <w:r>
        <w:rPr>
          <w:rStyle w:val="FootnoteReference"/>
        </w:rPr>
        <w:footnoteRef/>
      </w:r>
      <w:r w:rsidR="00246137">
        <w:tab/>
      </w:r>
      <w:r>
        <w:t>Articolul </w:t>
      </w:r>
      <w:r w:rsidRPr="00246137">
        <w:t>22</w:t>
      </w:r>
      <w:r>
        <w:t xml:space="preserve"> din Regulamentul privind PCP – Regulamentul (UE) nr. </w:t>
      </w:r>
      <w:r w:rsidRPr="00246137">
        <w:t>1380</w:t>
      </w:r>
      <w:r>
        <w:t>/</w:t>
      </w:r>
      <w:r w:rsidRPr="00246137">
        <w:t>2013</w:t>
      </w:r>
      <w:r>
        <w:t xml:space="preserve"> al Parlamentului European și al Consiliului din </w:t>
      </w:r>
      <w:r w:rsidRPr="00246137">
        <w:t>11</w:t>
      </w:r>
      <w:r>
        <w:t xml:space="preserve"> decembrie </w:t>
      </w:r>
      <w:r w:rsidRPr="00246137">
        <w:t>2013</w:t>
      </w:r>
      <w:r>
        <w:t xml:space="preserve"> privind politica comună în domeniul pescuitului, de modificare a Regulamentelor (CE) nr. </w:t>
      </w:r>
      <w:r w:rsidRPr="00246137">
        <w:t>1954</w:t>
      </w:r>
      <w:r>
        <w:t>/</w:t>
      </w:r>
      <w:r w:rsidRPr="00246137">
        <w:t>2003</w:t>
      </w:r>
      <w:r>
        <w:t xml:space="preserve"> și (CE) nr. </w:t>
      </w:r>
      <w:r w:rsidRPr="00246137">
        <w:t>1224</w:t>
      </w:r>
      <w:r>
        <w:t>/</w:t>
      </w:r>
      <w:r w:rsidRPr="00246137">
        <w:t>2009</w:t>
      </w:r>
      <w:r>
        <w:t xml:space="preserve"> ale Consiliului și de abrogare a Regulamentelor (CE) nr. </w:t>
      </w:r>
      <w:r w:rsidRPr="00246137">
        <w:t>2371</w:t>
      </w:r>
      <w:r>
        <w:t>/</w:t>
      </w:r>
      <w:r w:rsidRPr="00246137">
        <w:t>2002</w:t>
      </w:r>
      <w:r>
        <w:t xml:space="preserve"> și (CE) nr. </w:t>
      </w:r>
      <w:r w:rsidRPr="00246137">
        <w:t>639</w:t>
      </w:r>
      <w:r>
        <w:t>/</w:t>
      </w:r>
      <w:r w:rsidRPr="00246137">
        <w:t>2004</w:t>
      </w:r>
      <w:r>
        <w:t xml:space="preserve"> ale Consiliului și a Deciziei </w:t>
      </w:r>
      <w:r w:rsidRPr="00246137">
        <w:t>2004</w:t>
      </w:r>
      <w:r>
        <w:t>/</w:t>
      </w:r>
      <w:r w:rsidRPr="00246137">
        <w:t>585</w:t>
      </w:r>
      <w:r>
        <w:t>/CE a Consiliului.</w:t>
      </w:r>
    </w:p>
  </w:footnote>
  <w:footnote w:id="31">
    <w:p w14:paraId="17585326" w14:textId="0DC40126" w:rsidR="0043036C" w:rsidRPr="006B0267" w:rsidRDefault="0043036C" w:rsidP="000A48FC">
      <w:pPr>
        <w:pStyle w:val="FootnoteText"/>
        <w:spacing w:after="0"/>
      </w:pPr>
      <w:r>
        <w:rPr>
          <w:rStyle w:val="FootnoteReference"/>
        </w:rPr>
        <w:footnoteRef/>
      </w:r>
      <w:r>
        <w:tab/>
        <w:t>Inclusiv flota care pescuiește în regiunile ultraperiferice.</w:t>
      </w:r>
    </w:p>
  </w:footnote>
  <w:footnote w:id="32">
    <w:p w14:paraId="7C1901D7" w14:textId="336CC654" w:rsidR="005E6A8B" w:rsidRPr="006B0267" w:rsidRDefault="005E6A8B" w:rsidP="003B2888">
      <w:pPr>
        <w:pStyle w:val="FootnoteText"/>
        <w:spacing w:after="0"/>
      </w:pPr>
      <w:r>
        <w:rPr>
          <w:rStyle w:val="FootnoteReference"/>
        </w:rPr>
        <w:footnoteRef/>
      </w:r>
      <w:r>
        <w:tab/>
        <w:t xml:space="preserve">Indicatorii „roșii” indică segmente de flotă care nu sunt în echilibru cu posibilitățile de pescuit. Un indicator „verde” indică un segment de flotă în echilibru cu posibilitățile de pescuit. </w:t>
      </w:r>
    </w:p>
  </w:footnote>
  <w:footnote w:id="33">
    <w:p w14:paraId="327A8FF4" w14:textId="6F014ED8" w:rsidR="008D1720" w:rsidRPr="00F06979" w:rsidRDefault="008D1720" w:rsidP="003B2888">
      <w:pPr>
        <w:pStyle w:val="FootnoteText"/>
        <w:spacing w:after="0"/>
      </w:pPr>
      <w:r>
        <w:rPr>
          <w:rStyle w:val="FootnoteReference"/>
        </w:rPr>
        <w:footnoteRef/>
      </w:r>
      <w:r>
        <w:tab/>
        <w:t>Comunicare a Comisiei către Parlamentul European și Consiliu, Politica comună în domeniul pescuitului în prezent și în viitor: un pact privind pescuitul și oceanele pentru o gestionare a pescuitului sustenabilă, bazată pe date științifice, inovatoare și favorabilă incluziunii, COM/</w:t>
      </w:r>
      <w:r w:rsidRPr="00246137">
        <w:t>2023</w:t>
      </w:r>
      <w:r>
        <w:t>/</w:t>
      </w:r>
      <w:r w:rsidRPr="00246137">
        <w:t>103</w:t>
      </w:r>
      <w:r>
        <w:t xml:space="preserve"> final.</w:t>
      </w:r>
    </w:p>
  </w:footnote>
  <w:footnote w:id="34">
    <w:p w14:paraId="35A987C9" w14:textId="76D56C20" w:rsidR="00F13ADB" w:rsidRPr="00F06979" w:rsidRDefault="00F13ADB" w:rsidP="00F13ADB">
      <w:pPr>
        <w:pStyle w:val="FootnoteText"/>
        <w:spacing w:after="0"/>
      </w:pPr>
      <w:r>
        <w:rPr>
          <w:rStyle w:val="FootnoteReference"/>
        </w:rPr>
        <w:footnoteRef/>
      </w:r>
      <w:r w:rsidR="00DA4083">
        <w:tab/>
      </w:r>
      <w:r>
        <w:t>COM(</w:t>
      </w:r>
      <w:r w:rsidRPr="00246137">
        <w:t>2023</w:t>
      </w:r>
      <w:r>
        <w:t xml:space="preserve">) </w:t>
      </w:r>
      <w:r w:rsidRPr="00246137">
        <w:t>100</w:t>
      </w:r>
      <w:r>
        <w:t xml:space="preserve"> final (</w:t>
      </w:r>
      <w:hyperlink r:id="rId14" w:history="1">
        <w:r>
          <w:rPr>
            <w:rStyle w:val="Hyperlink"/>
          </w:rPr>
          <w:t>eur-lex.europa.eu/legal-content/RO/TXT/PDF/?uri=CELEX:</w:t>
        </w:r>
        <w:r w:rsidRPr="00246137">
          <w:rPr>
            <w:rStyle w:val="Hyperlink"/>
          </w:rPr>
          <w:t>52023</w:t>
        </w:r>
        <w:r>
          <w:rPr>
            <w:rStyle w:val="Hyperlink"/>
          </w:rPr>
          <w:t>DC</w:t>
        </w:r>
        <w:r w:rsidRPr="00246137">
          <w:rPr>
            <w:rStyle w:val="Hyperlink"/>
          </w:rPr>
          <w:t>0100</w:t>
        </w:r>
      </w:hyperlink>
      <w:r>
        <w:t>)</w:t>
      </w:r>
    </w:p>
  </w:footnote>
  <w:footnote w:id="35">
    <w:p w14:paraId="37EC3BA9" w14:textId="586170D2" w:rsidR="003B2888" w:rsidRPr="004120E7" w:rsidRDefault="003B2888" w:rsidP="006B0267">
      <w:pPr>
        <w:pStyle w:val="FootnoteText"/>
        <w:spacing w:after="0"/>
      </w:pPr>
      <w:r>
        <w:rPr>
          <w:rStyle w:val="FootnoteReference"/>
        </w:rPr>
        <w:footnoteRef/>
      </w:r>
      <w:r>
        <w:tab/>
      </w:r>
      <w:hyperlink r:id="rId15" w:history="1">
        <w:r>
          <w:rPr>
            <w:rStyle w:val="Hyperlink"/>
          </w:rPr>
          <w:t>Parteneriatul pentru tranziția energetică – Comisia Europeană (europa.eu)</w:t>
        </w:r>
      </w:hyperlink>
      <w:r w:rsidR="00DA4083" w:rsidRPr="004120E7">
        <w:t xml:space="preserve"> </w:t>
      </w:r>
    </w:p>
  </w:footnote>
  <w:footnote w:id="36">
    <w:p w14:paraId="764D22B3" w14:textId="74A201E8" w:rsidR="006C5F9B" w:rsidRPr="006B0267" w:rsidRDefault="006C5F9B" w:rsidP="000641C7">
      <w:pPr>
        <w:pStyle w:val="FootnoteText"/>
        <w:spacing w:after="0"/>
      </w:pPr>
      <w:r>
        <w:rPr>
          <w:rStyle w:val="FootnoteReference"/>
        </w:rPr>
        <w:footnoteRef/>
      </w:r>
      <w:r>
        <w:tab/>
        <w:t>Mai multe state membre au convenit să participe la un proiect-pilot privind REM coordonat de EFCA pentru a învăța cele mai bune practici privind controalele REM (una sau două nave pentru fiecare stat membru). Danemarca utilizează REM în flota de langustină care operează în Kattegat, iar Țările de Jos desfășoară un program de activități de pescuit documentate integral pe câteva nave din Marea Nordului. Niciunul dintre proiecte nu este utilizat în scopuri de control și de asigurare a respectării legii.</w:t>
      </w:r>
    </w:p>
  </w:footnote>
  <w:footnote w:id="37">
    <w:p w14:paraId="2508FE8A" w14:textId="06300BE8" w:rsidR="000A48FC" w:rsidRPr="00F13ADB" w:rsidRDefault="000A48FC" w:rsidP="000641C7">
      <w:pPr>
        <w:pStyle w:val="FootnoteText"/>
        <w:spacing w:after="0"/>
      </w:pPr>
      <w:r>
        <w:rPr>
          <w:rStyle w:val="FootnoteReference"/>
        </w:rPr>
        <w:footnoteRef/>
      </w:r>
      <w:r>
        <w:tab/>
        <w:t>Regulamentul (UE) </w:t>
      </w:r>
      <w:r w:rsidRPr="00246137">
        <w:t>2023</w:t>
      </w:r>
      <w:r>
        <w:t>/</w:t>
      </w:r>
      <w:r w:rsidRPr="00246137">
        <w:t>2842</w:t>
      </w:r>
      <w:r>
        <w:t xml:space="preserve"> al Parlamentului European și al Consiliului din </w:t>
      </w:r>
      <w:r w:rsidRPr="00246137">
        <w:t>22</w:t>
      </w:r>
      <w:r>
        <w:t xml:space="preserve"> noiembrie </w:t>
      </w:r>
      <w:r w:rsidRPr="00246137">
        <w:t>2023</w:t>
      </w:r>
      <w:r>
        <w:t xml:space="preserve"> de modificare a Regulamentului (CE) nr. </w:t>
      </w:r>
      <w:r w:rsidRPr="00246137">
        <w:t>1224</w:t>
      </w:r>
      <w:r>
        <w:t>/</w:t>
      </w:r>
      <w:r w:rsidRPr="00246137">
        <w:t>2009</w:t>
      </w:r>
      <w:r>
        <w:t xml:space="preserve"> al Consiliului și de modificare a Regulamentelor (CE) nr. </w:t>
      </w:r>
      <w:r w:rsidRPr="00246137">
        <w:t>1967</w:t>
      </w:r>
      <w:r>
        <w:t>/</w:t>
      </w:r>
      <w:r w:rsidRPr="00246137">
        <w:t>2006</w:t>
      </w:r>
      <w:r>
        <w:t xml:space="preserve"> și (CE) nr. </w:t>
      </w:r>
      <w:r w:rsidRPr="00246137">
        <w:t>1005</w:t>
      </w:r>
      <w:r>
        <w:t>/</w:t>
      </w:r>
      <w:r w:rsidRPr="00246137">
        <w:t>2008</w:t>
      </w:r>
      <w:r>
        <w:t xml:space="preserve"> ale Consiliului și a Regulamentelor (UE) </w:t>
      </w:r>
      <w:r w:rsidRPr="00246137">
        <w:t>2016</w:t>
      </w:r>
      <w:r>
        <w:t>/</w:t>
      </w:r>
      <w:r w:rsidRPr="00246137">
        <w:t>1139</w:t>
      </w:r>
      <w:r>
        <w:t>, (UE) </w:t>
      </w:r>
      <w:r w:rsidRPr="00246137">
        <w:t>2017</w:t>
      </w:r>
      <w:r>
        <w:t>/</w:t>
      </w:r>
      <w:r w:rsidRPr="00246137">
        <w:t>2403</w:t>
      </w:r>
      <w:r>
        <w:t xml:space="preserve"> și (UE) </w:t>
      </w:r>
      <w:r w:rsidRPr="00246137">
        <w:t>2019</w:t>
      </w:r>
      <w:r>
        <w:t>/</w:t>
      </w:r>
      <w:r w:rsidRPr="00246137">
        <w:t>473</w:t>
      </w:r>
      <w:r>
        <w:t xml:space="preserve"> ale Parlamentului European și ale Consiliului în ceea ce privește controlul pescuitului (JO L, </w:t>
      </w:r>
      <w:r w:rsidRPr="00246137">
        <w:t>2023</w:t>
      </w:r>
      <w:r>
        <w:t>/</w:t>
      </w:r>
      <w:r w:rsidRPr="00246137">
        <w:t>2842</w:t>
      </w:r>
      <w:r>
        <w:t xml:space="preserve">, </w:t>
      </w:r>
      <w:r w:rsidRPr="00246137">
        <w:t>20</w:t>
      </w:r>
      <w:r>
        <w:t>.</w:t>
      </w:r>
      <w:r w:rsidRPr="00246137">
        <w:t>12</w:t>
      </w:r>
      <w:r>
        <w:t>.</w:t>
      </w:r>
      <w:r w:rsidRPr="00246137">
        <w:t>2023</w:t>
      </w:r>
      <w:r>
        <w:t>).</w:t>
      </w:r>
    </w:p>
  </w:footnote>
  <w:footnote w:id="38">
    <w:p w14:paraId="0A6AB65B" w14:textId="48633884" w:rsidR="540C8F5D" w:rsidRPr="00F13ADB" w:rsidRDefault="540C8F5D" w:rsidP="000641C7">
      <w:pPr>
        <w:pStyle w:val="FootnoteText"/>
        <w:spacing w:after="0"/>
      </w:pPr>
      <w:r>
        <w:rPr>
          <w:rStyle w:val="FootnoteReference"/>
        </w:rPr>
        <w:footnoteRef/>
      </w:r>
      <w:r>
        <w:tab/>
        <w:t xml:space="preserve">Regulamentul (UE) </w:t>
      </w:r>
      <w:r w:rsidRPr="00246137">
        <w:t>2017</w:t>
      </w:r>
      <w:r>
        <w:t>/</w:t>
      </w:r>
      <w:r w:rsidRPr="00246137">
        <w:t>1004</w:t>
      </w:r>
      <w:r>
        <w:t xml:space="preserve"> al Parlamentului European și al Consiliului din </w:t>
      </w:r>
      <w:r w:rsidRPr="00246137">
        <w:t>17</w:t>
      </w:r>
      <w:r>
        <w:t xml:space="preserve"> mai </w:t>
      </w:r>
      <w:r w:rsidRPr="00246137">
        <w:t>2017</w:t>
      </w:r>
      <w:r>
        <w:t xml:space="preserve"> privind instituirea unui cadru al Uniunii pentru colectarea, gestionarea și utilizarea datelor din sectorul pescuitului și sprijinirea consultanței științifice cu privire la politica comună în domeniul pescuitului și de abrogare a Regulamentului (CE) nr. </w:t>
      </w:r>
      <w:r w:rsidRPr="00246137">
        <w:t>199</w:t>
      </w:r>
      <w:r>
        <w:t>/</w:t>
      </w:r>
      <w:r w:rsidRPr="00246137">
        <w:t>2008</w:t>
      </w:r>
      <w:r>
        <w:t xml:space="preserve"> al Consiliului (JO L </w:t>
      </w:r>
      <w:r w:rsidRPr="00246137">
        <w:t>157</w:t>
      </w:r>
      <w:r>
        <w:t xml:space="preserve">, </w:t>
      </w:r>
      <w:r w:rsidRPr="00246137">
        <w:t>20</w:t>
      </w:r>
      <w:r>
        <w:t>.</w:t>
      </w:r>
      <w:r w:rsidRPr="00246137">
        <w:t>6</w:t>
      </w:r>
      <w:r>
        <w:t>.</w:t>
      </w:r>
      <w:r w:rsidRPr="00246137">
        <w:t>2017</w:t>
      </w:r>
      <w:r>
        <w:t>, p. </w:t>
      </w:r>
      <w:r w:rsidRPr="00246137">
        <w:t>1</w:t>
      </w:r>
      <w:r>
        <w:t>).</w:t>
      </w:r>
    </w:p>
  </w:footnote>
  <w:footnote w:id="39">
    <w:p w14:paraId="06C8DFE2" w14:textId="217BE989" w:rsidR="540C8F5D" w:rsidRPr="00F13ADB" w:rsidRDefault="540C8F5D" w:rsidP="000641C7">
      <w:pPr>
        <w:pStyle w:val="FootnoteText"/>
        <w:spacing w:after="0"/>
      </w:pPr>
      <w:r>
        <w:rPr>
          <w:rStyle w:val="FootnoteReference"/>
        </w:rPr>
        <w:footnoteRef/>
      </w:r>
      <w:r>
        <w:tab/>
        <w:t>Comunicare a Comisiei către Parlamentul European și Consiliu, Politica comună în domeniul pescuitului în prezent și în viitor: un pact privind pescuitul și oceanele pentru o gestionare a pescuitului sustenabilă, bazată pe date științifice, inovatoare și favorabilă incluziunii, COM/</w:t>
      </w:r>
      <w:r w:rsidRPr="00246137">
        <w:t>2023</w:t>
      </w:r>
      <w:r>
        <w:t>/</w:t>
      </w:r>
      <w:r w:rsidRPr="00246137">
        <w:t>103</w:t>
      </w:r>
      <w:r>
        <w:t xml:space="preserve"> final.</w:t>
      </w:r>
    </w:p>
  </w:footnote>
  <w:footnote w:id="40">
    <w:p w14:paraId="0B676973" w14:textId="035BC9FE" w:rsidR="00F13ADB" w:rsidRPr="00F13ADB" w:rsidRDefault="00F13ADB" w:rsidP="00F13ADB">
      <w:pPr>
        <w:pStyle w:val="FootnoteText"/>
        <w:spacing w:after="0"/>
      </w:pPr>
      <w:r>
        <w:rPr>
          <w:rStyle w:val="FootnoteReference"/>
        </w:rPr>
        <w:footnoteRef/>
      </w:r>
      <w:r w:rsidR="00246137">
        <w:tab/>
      </w:r>
      <w:r>
        <w:t>Articolul </w:t>
      </w:r>
      <w:r w:rsidRPr="00246137">
        <w:t>15</w:t>
      </w:r>
      <w:r>
        <w:t xml:space="preserve"> alineatul (</w:t>
      </w:r>
      <w:r w:rsidRPr="00246137">
        <w:t>13</w:t>
      </w:r>
      <w:r>
        <w:t>) din Regulamentul (UE) nr. </w:t>
      </w:r>
      <w:r w:rsidRPr="00246137">
        <w:t>1380</w:t>
      </w:r>
      <w:r>
        <w:t>/</w:t>
      </w:r>
      <w:r w:rsidRPr="00246137">
        <w:t>2013</w:t>
      </w:r>
      <w:r>
        <w:t xml:space="preserve"> al Parlamentului European și al Consiliului.</w:t>
      </w:r>
    </w:p>
  </w:footnote>
  <w:footnote w:id="41">
    <w:p w14:paraId="3E408A70" w14:textId="395B98AA" w:rsidR="7E9E7A59" w:rsidRPr="00F13ADB" w:rsidRDefault="7E9E7A59" w:rsidP="00246137">
      <w:pPr>
        <w:pStyle w:val="FootnoteText"/>
        <w:spacing w:after="0"/>
      </w:pPr>
      <w:r>
        <w:rPr>
          <w:vertAlign w:val="superscript"/>
        </w:rPr>
        <w:footnoteRef/>
      </w:r>
      <w:r w:rsidR="00246137">
        <w:tab/>
      </w:r>
      <w:r>
        <w:t>Articolul </w:t>
      </w:r>
      <w:r w:rsidRPr="00246137">
        <w:t>15</w:t>
      </w:r>
      <w:r>
        <w:t xml:space="preserve"> alineatul (</w:t>
      </w:r>
      <w:r w:rsidRPr="00246137">
        <w:t>1</w:t>
      </w:r>
      <w:r>
        <w:t>) din Regulamentul (UE) nr. </w:t>
      </w:r>
      <w:r w:rsidRPr="00246137">
        <w:t>1380</w:t>
      </w:r>
      <w:r>
        <w:t>/</w:t>
      </w:r>
      <w:r w:rsidRPr="00246137">
        <w:t>2013</w:t>
      </w:r>
      <w:r>
        <w:t xml:space="preserve"> al Parlamentului European și al Consiliului. </w:t>
      </w:r>
    </w:p>
  </w:footnote>
  <w:footnote w:id="42">
    <w:p w14:paraId="7C2602D8" w14:textId="09FC8FB9" w:rsidR="00AC0378" w:rsidRPr="00F13ADB" w:rsidRDefault="001D6309" w:rsidP="003A4864">
      <w:pPr>
        <w:pStyle w:val="FootnoteText"/>
        <w:spacing w:after="0"/>
      </w:pPr>
      <w:r>
        <w:rPr>
          <w:rStyle w:val="FootnoteReference"/>
        </w:rPr>
        <w:footnoteRef/>
      </w:r>
      <w:r>
        <w:tab/>
        <w:t xml:space="preserve">Va urma raportul pe </w:t>
      </w:r>
      <w:r w:rsidRPr="00246137">
        <w:t>2023</w:t>
      </w:r>
      <w:r>
        <w:t xml:space="preserve"> privind punerea în aplicare a FEAMPA, publicat de Direcția Generală Afaceri Maritime și Pescuit.</w:t>
      </w:r>
    </w:p>
  </w:footnote>
  <w:footnote w:id="43">
    <w:p w14:paraId="5948008B" w14:textId="45ABB8BE" w:rsidR="00AC0378" w:rsidRPr="00F13ADB" w:rsidRDefault="001D6309" w:rsidP="008D18AB">
      <w:pPr>
        <w:pStyle w:val="FootnoteText"/>
        <w:spacing w:after="0"/>
      </w:pPr>
      <w:r>
        <w:rPr>
          <w:rStyle w:val="FootnoteReference"/>
        </w:rPr>
        <w:footnoteRef/>
      </w:r>
      <w:r>
        <w:tab/>
        <w:t>Articolul </w:t>
      </w:r>
      <w:r w:rsidRPr="00246137">
        <w:t>42</w:t>
      </w:r>
      <w:r>
        <w:t xml:space="preserve"> din Regulamentul privind FEPAM.</w:t>
      </w:r>
    </w:p>
  </w:footnote>
  <w:footnote w:id="44">
    <w:p w14:paraId="3A49B9E0" w14:textId="67DB1AFA" w:rsidR="00AC0378" w:rsidRPr="00F13ADB" w:rsidRDefault="001D6309" w:rsidP="008D18AB">
      <w:pPr>
        <w:pStyle w:val="FootnoteText"/>
        <w:spacing w:after="0"/>
      </w:pPr>
      <w:r>
        <w:rPr>
          <w:rStyle w:val="FootnoteReference"/>
        </w:rPr>
        <w:footnoteRef/>
      </w:r>
      <w:r>
        <w:tab/>
        <w:t>Articolele </w:t>
      </w:r>
      <w:r w:rsidRPr="00246137">
        <w:t>38</w:t>
      </w:r>
      <w:r>
        <w:t xml:space="preserve"> și </w:t>
      </w:r>
      <w:r w:rsidRPr="00246137">
        <w:t>39</w:t>
      </w:r>
      <w:r>
        <w:t xml:space="preserve"> din Regulamentul privind FEPAM.</w:t>
      </w:r>
    </w:p>
  </w:footnote>
  <w:footnote w:id="45">
    <w:p w14:paraId="163CF014" w14:textId="5BA6CD5F" w:rsidR="001E4C7F" w:rsidRPr="00501741" w:rsidRDefault="001E4C7F">
      <w:pPr>
        <w:pStyle w:val="FootnoteText"/>
      </w:pPr>
      <w:r>
        <w:rPr>
          <w:rStyle w:val="FootnoteReference"/>
        </w:rPr>
        <w:footnoteRef/>
      </w:r>
      <w:r>
        <w:tab/>
        <w:t xml:space="preserve">Hotărârea din </w:t>
      </w:r>
      <w:r w:rsidRPr="00246137">
        <w:t>11</w:t>
      </w:r>
      <w:r>
        <w:t xml:space="preserve"> ianuarie </w:t>
      </w:r>
      <w:r w:rsidRPr="00246137">
        <w:t>2024</w:t>
      </w:r>
      <w:r>
        <w:t>, Friends of the Irish Environment (Possibilités de pêche supérieures à zéro), C-</w:t>
      </w:r>
      <w:r w:rsidRPr="00246137">
        <w:t>330</w:t>
      </w:r>
      <w:r>
        <w:t>/</w:t>
      </w:r>
      <w:r w:rsidRPr="00246137">
        <w:t>22</w:t>
      </w:r>
      <w:r>
        <w:t>, EU:C:</w:t>
      </w:r>
      <w:r w:rsidRPr="00246137">
        <w:t>2024</w:t>
      </w:r>
      <w:r>
        <w:t>:</w:t>
      </w:r>
      <w:r w:rsidRPr="00246137">
        <w:t>19</w:t>
      </w:r>
      <w:r>
        <w:t xml:space="preserve">. Hotărârea stabilește validitatea Regulamentului (UE) </w:t>
      </w:r>
      <w:r w:rsidRPr="00246137">
        <w:t>2020</w:t>
      </w:r>
      <w:r>
        <w:t>/</w:t>
      </w:r>
      <w:r w:rsidRPr="00246137">
        <w:t>123</w:t>
      </w:r>
      <w:r>
        <w:t xml:space="preserve"> al Consiliului de stabilire, pentru anul </w:t>
      </w:r>
      <w:r w:rsidRPr="00246137">
        <w:t>2020</w:t>
      </w:r>
      <w:r>
        <w:t>, a posibilităților de pescuit pentru anumite stocuri de pește și grupuri de stocuri de pește, coroborat cu articolele </w:t>
      </w:r>
      <w:r w:rsidRPr="00246137">
        <w:t>9</w:t>
      </w:r>
      <w:r>
        <w:t xml:space="preserve">, </w:t>
      </w:r>
      <w:r w:rsidRPr="00246137">
        <w:t>10</w:t>
      </w:r>
      <w:r>
        <w:t xml:space="preserve">, </w:t>
      </w:r>
      <w:r w:rsidRPr="00246137">
        <w:t>15</w:t>
      </w:r>
      <w:r>
        <w:t xml:space="preserve"> și </w:t>
      </w:r>
      <w:r w:rsidRPr="00246137">
        <w:t>16</w:t>
      </w:r>
      <w:r>
        <w:t xml:space="preserve"> din Regulamentul (UE) nr. </w:t>
      </w:r>
      <w:r w:rsidRPr="00246137">
        <w:t>1380</w:t>
      </w:r>
      <w:r>
        <w:t>/</w:t>
      </w:r>
      <w:r w:rsidRPr="00246137">
        <w:t>2013</w:t>
      </w:r>
      <w:r>
        <w:t xml:space="preserve"> și cu articolele </w:t>
      </w:r>
      <w:r w:rsidRPr="00246137">
        <w:t>1</w:t>
      </w:r>
      <w:r>
        <w:t>-</w:t>
      </w:r>
      <w:r w:rsidRPr="00246137">
        <w:t>5</w:t>
      </w:r>
      <w:r>
        <w:t xml:space="preserve">, </w:t>
      </w:r>
      <w:r w:rsidRPr="00246137">
        <w:t>8</w:t>
      </w:r>
      <w:r>
        <w:t xml:space="preserve"> și </w:t>
      </w:r>
      <w:r w:rsidRPr="00246137">
        <w:t>10</w:t>
      </w:r>
      <w:r>
        <w:t xml:space="preserve"> din Regulamentul (UE) </w:t>
      </w:r>
      <w:r w:rsidRPr="00246137">
        <w:t>2019</w:t>
      </w:r>
      <w:r>
        <w:t>/</w:t>
      </w:r>
      <w:r w:rsidRPr="00246137">
        <w:t>472</w:t>
      </w:r>
      <w:r>
        <w:t>.</w:t>
      </w:r>
    </w:p>
  </w:footnote>
  <w:footnote w:id="46">
    <w:p w14:paraId="69BCE45D" w14:textId="41438770" w:rsidR="00F13ADB" w:rsidRPr="00F13ADB" w:rsidRDefault="00F13ADB" w:rsidP="00F13ADB">
      <w:pPr>
        <w:pStyle w:val="FootnoteText"/>
        <w:spacing w:after="0"/>
      </w:pPr>
      <w:r>
        <w:rPr>
          <w:rStyle w:val="FootnoteReference"/>
        </w:rPr>
        <w:footnoteRef/>
      </w:r>
      <w:r w:rsidR="00246137">
        <w:tab/>
      </w:r>
      <w:r>
        <w:t>Regulamentul (CE) nr. </w:t>
      </w:r>
      <w:r w:rsidRPr="00246137">
        <w:t>1100</w:t>
      </w:r>
      <w:r>
        <w:t>/</w:t>
      </w:r>
      <w:r w:rsidRPr="00246137">
        <w:t>2007</w:t>
      </w:r>
      <w:r>
        <w:t xml:space="preserve"> al Consiliului din </w:t>
      </w:r>
      <w:r w:rsidRPr="00246137">
        <w:t>18</w:t>
      </w:r>
      <w:r>
        <w:t xml:space="preserve"> septembrie </w:t>
      </w:r>
      <w:r w:rsidRPr="00246137">
        <w:t>2007</w:t>
      </w:r>
      <w:r>
        <w:t xml:space="preserve"> de instituire a unor măsuri pentru regenerarea rezervelor de anghilă din Europa.</w:t>
      </w:r>
    </w:p>
  </w:footnote>
  <w:footnote w:id="47">
    <w:p w14:paraId="628B0055" w14:textId="2BA9B0D7" w:rsidR="008F38FD" w:rsidRDefault="008F38FD" w:rsidP="008F38FD">
      <w:pPr>
        <w:pStyle w:val="FootnoteText"/>
      </w:pPr>
      <w:r>
        <w:rPr>
          <w:rStyle w:val="FootnoteReference"/>
        </w:rPr>
        <w:footnoteRef/>
      </w:r>
      <w:r w:rsidR="00246137">
        <w:tab/>
      </w:r>
      <w:r>
        <w:t>Printre acestea se numără stabilirea unor limite pentru deșeurile marine, zgomotul subacvatic, nutrienții și contaminanții în temeiul Directivei-cadru „Strategia pentru mediul marin” și punerea în aplicare a unor măsuri pentru realizarea acestora. A se vedea COM(</w:t>
      </w:r>
      <w:r w:rsidRPr="00246137">
        <w:t>2021</w:t>
      </w:r>
      <w:r>
        <w:t>) </w:t>
      </w:r>
      <w:r w:rsidRPr="00246137">
        <w:t>400</w:t>
      </w:r>
      <w:r>
        <w:t xml:space="preserve"> final. </w:t>
      </w:r>
    </w:p>
  </w:footnote>
  <w:footnote w:id="48">
    <w:p w14:paraId="6F423560" w14:textId="3F48735D" w:rsidR="00AC0378" w:rsidRPr="003C0701" w:rsidRDefault="001D6309">
      <w:pPr>
        <w:pStyle w:val="FootnoteText"/>
        <w:ind w:left="142" w:hanging="142"/>
      </w:pPr>
      <w:r>
        <w:rPr>
          <w:rStyle w:val="FootnoteReference"/>
        </w:rPr>
        <w:footnoteRef/>
      </w:r>
      <w:r>
        <w:t xml:space="preserve"> Pentru stocurile gestionate de ORGP în apele UE și în anumite ape din afara UE, posibilitățile de pescuit sunt adoptate după reuniunea anuală a ORGP, prin revizuirea regulamentului Consiliului de stabilire a posibilităților de pescuit.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9A0F7" w14:textId="77777777" w:rsidR="00DE2A42" w:rsidRPr="00DE2A42" w:rsidRDefault="00DE2A42" w:rsidP="00DE2A4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68F81" w14:textId="77777777" w:rsidR="00DE2A42" w:rsidRPr="00DE2A42" w:rsidRDefault="00DE2A42" w:rsidP="00DE2A4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B9505" w14:textId="77777777" w:rsidR="00DE2A42" w:rsidRPr="00DE2A42" w:rsidRDefault="00DE2A42" w:rsidP="00DE2A4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71748" w14:textId="77777777" w:rsidR="00FB7D07" w:rsidRDefault="00FB7D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96BFA" w14:textId="77777777" w:rsidR="00FB7D07" w:rsidRDefault="00FB7D0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1A0D3" w14:textId="77777777" w:rsidR="00FB7D07" w:rsidRDefault="00FB7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97C1B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E97351"/>
    <w:multiLevelType w:val="multilevel"/>
    <w:tmpl w:val="D318EE7C"/>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9B46CF5"/>
    <w:multiLevelType w:val="hybridMultilevel"/>
    <w:tmpl w:val="94C4D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F3DE9"/>
    <w:multiLevelType w:val="hybridMultilevel"/>
    <w:tmpl w:val="8D0434AE"/>
    <w:lvl w:ilvl="0" w:tplc="51B01FA8">
      <w:start w:val="1"/>
      <w:numFmt w:val="decimal"/>
      <w:lvlText w:val="%1."/>
      <w:lvlJc w:val="left"/>
      <w:pPr>
        <w:ind w:left="360" w:hanging="360"/>
      </w:pPr>
    </w:lvl>
    <w:lvl w:ilvl="1" w:tplc="C1BCEC68">
      <w:start w:val="1"/>
      <w:numFmt w:val="lowerLetter"/>
      <w:lvlText w:val="%2."/>
      <w:lvlJc w:val="left"/>
      <w:pPr>
        <w:ind w:left="1080" w:hanging="360"/>
      </w:pPr>
    </w:lvl>
    <w:lvl w:ilvl="2" w:tplc="022EFEEE">
      <w:start w:val="1"/>
      <w:numFmt w:val="lowerRoman"/>
      <w:lvlText w:val="%3."/>
      <w:lvlJc w:val="right"/>
      <w:pPr>
        <w:ind w:left="1800" w:hanging="180"/>
      </w:pPr>
    </w:lvl>
    <w:lvl w:ilvl="3" w:tplc="77E630F4">
      <w:start w:val="1"/>
      <w:numFmt w:val="decimal"/>
      <w:lvlText w:val="%4."/>
      <w:lvlJc w:val="left"/>
      <w:pPr>
        <w:ind w:left="2520" w:hanging="360"/>
      </w:pPr>
    </w:lvl>
    <w:lvl w:ilvl="4" w:tplc="4F3C430C">
      <w:start w:val="1"/>
      <w:numFmt w:val="lowerLetter"/>
      <w:lvlText w:val="%5."/>
      <w:lvlJc w:val="left"/>
      <w:pPr>
        <w:ind w:left="3240" w:hanging="360"/>
      </w:pPr>
    </w:lvl>
    <w:lvl w:ilvl="5" w:tplc="8CD40494">
      <w:start w:val="1"/>
      <w:numFmt w:val="lowerRoman"/>
      <w:lvlText w:val="%6."/>
      <w:lvlJc w:val="right"/>
      <w:pPr>
        <w:ind w:left="3960" w:hanging="180"/>
      </w:pPr>
    </w:lvl>
    <w:lvl w:ilvl="6" w:tplc="DB640B9A">
      <w:start w:val="1"/>
      <w:numFmt w:val="decimal"/>
      <w:lvlText w:val="%7."/>
      <w:lvlJc w:val="left"/>
      <w:pPr>
        <w:ind w:left="4680" w:hanging="360"/>
      </w:pPr>
    </w:lvl>
    <w:lvl w:ilvl="7" w:tplc="5434B330">
      <w:start w:val="1"/>
      <w:numFmt w:val="lowerLetter"/>
      <w:lvlText w:val="%8."/>
      <w:lvlJc w:val="left"/>
      <w:pPr>
        <w:ind w:left="5400" w:hanging="360"/>
      </w:pPr>
    </w:lvl>
    <w:lvl w:ilvl="8" w:tplc="AFEC703A">
      <w:start w:val="1"/>
      <w:numFmt w:val="lowerRoman"/>
      <w:lvlText w:val="%9."/>
      <w:lvlJc w:val="right"/>
      <w:pPr>
        <w:ind w:left="6120" w:hanging="180"/>
      </w:pPr>
    </w:lvl>
  </w:abstractNum>
  <w:abstractNum w:abstractNumId="5" w15:restartNumberingAfterBreak="0">
    <w:nsid w:val="13600CF3"/>
    <w:multiLevelType w:val="hybridMultilevel"/>
    <w:tmpl w:val="167605F4"/>
    <w:lvl w:ilvl="0" w:tplc="361C5CF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87E0D"/>
    <w:multiLevelType w:val="hybridMultilevel"/>
    <w:tmpl w:val="0248E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60341D"/>
    <w:multiLevelType w:val="hybridMultilevel"/>
    <w:tmpl w:val="DAF0A4A4"/>
    <w:lvl w:ilvl="0" w:tplc="D14AA5B0">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A0F2531"/>
    <w:multiLevelType w:val="hybridMultilevel"/>
    <w:tmpl w:val="08167D38"/>
    <w:lvl w:ilvl="0" w:tplc="3D601DE4">
      <w:start w:val="1"/>
      <w:numFmt w:val="decimal"/>
      <w:lvlText w:val="%1."/>
      <w:lvlJc w:val="left"/>
      <w:pPr>
        <w:ind w:left="720" w:hanging="360"/>
      </w:pPr>
    </w:lvl>
    <w:lvl w:ilvl="1" w:tplc="135AAAC2">
      <w:start w:val="1"/>
      <w:numFmt w:val="lowerLetter"/>
      <w:lvlText w:val="%2."/>
      <w:lvlJc w:val="left"/>
      <w:pPr>
        <w:ind w:left="1440" w:hanging="360"/>
      </w:pPr>
    </w:lvl>
    <w:lvl w:ilvl="2" w:tplc="579C4E18">
      <w:start w:val="1"/>
      <w:numFmt w:val="lowerRoman"/>
      <w:lvlText w:val="%3."/>
      <w:lvlJc w:val="right"/>
      <w:pPr>
        <w:ind w:left="2160" w:hanging="180"/>
      </w:pPr>
    </w:lvl>
    <w:lvl w:ilvl="3" w:tplc="446C4310">
      <w:start w:val="1"/>
      <w:numFmt w:val="decimal"/>
      <w:lvlText w:val="%4."/>
      <w:lvlJc w:val="left"/>
      <w:pPr>
        <w:ind w:left="2880" w:hanging="360"/>
      </w:pPr>
    </w:lvl>
    <w:lvl w:ilvl="4" w:tplc="1B0CE804">
      <w:start w:val="1"/>
      <w:numFmt w:val="lowerLetter"/>
      <w:lvlText w:val="%5."/>
      <w:lvlJc w:val="left"/>
      <w:pPr>
        <w:ind w:left="3600" w:hanging="360"/>
      </w:pPr>
    </w:lvl>
    <w:lvl w:ilvl="5" w:tplc="5DF03FA2">
      <w:start w:val="1"/>
      <w:numFmt w:val="lowerRoman"/>
      <w:lvlText w:val="%6."/>
      <w:lvlJc w:val="right"/>
      <w:pPr>
        <w:ind w:left="4320" w:hanging="180"/>
      </w:pPr>
    </w:lvl>
    <w:lvl w:ilvl="6" w:tplc="841EDB44">
      <w:start w:val="1"/>
      <w:numFmt w:val="decimal"/>
      <w:lvlText w:val="%7."/>
      <w:lvlJc w:val="left"/>
      <w:pPr>
        <w:ind w:left="5040" w:hanging="360"/>
      </w:pPr>
    </w:lvl>
    <w:lvl w:ilvl="7" w:tplc="4094FA50">
      <w:start w:val="1"/>
      <w:numFmt w:val="lowerLetter"/>
      <w:lvlText w:val="%8."/>
      <w:lvlJc w:val="left"/>
      <w:pPr>
        <w:ind w:left="5760" w:hanging="360"/>
      </w:pPr>
    </w:lvl>
    <w:lvl w:ilvl="8" w:tplc="551A3070">
      <w:start w:val="1"/>
      <w:numFmt w:val="lowerRoman"/>
      <w:lvlText w:val="%9."/>
      <w:lvlJc w:val="right"/>
      <w:pPr>
        <w:ind w:left="6480" w:hanging="180"/>
      </w:pPr>
    </w:lvl>
  </w:abstractNum>
  <w:abstractNum w:abstractNumId="9" w15:restartNumberingAfterBreak="0">
    <w:nsid w:val="1BCE5E8C"/>
    <w:multiLevelType w:val="hybridMultilevel"/>
    <w:tmpl w:val="CDE8D290"/>
    <w:lvl w:ilvl="0" w:tplc="79D2CE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0E7ED0"/>
    <w:multiLevelType w:val="multilevel"/>
    <w:tmpl w:val="A51E011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18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11" w15:restartNumberingAfterBreak="0">
    <w:nsid w:val="1E833137"/>
    <w:multiLevelType w:val="hybridMultilevel"/>
    <w:tmpl w:val="AC46A35E"/>
    <w:lvl w:ilvl="0" w:tplc="FE42B9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734306"/>
    <w:multiLevelType w:val="multilevel"/>
    <w:tmpl w:val="40FA0C42"/>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06B60E8"/>
    <w:multiLevelType w:val="hybridMultilevel"/>
    <w:tmpl w:val="5FF4895C"/>
    <w:lvl w:ilvl="0" w:tplc="182EFC1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9C78A0"/>
    <w:multiLevelType w:val="hybridMultilevel"/>
    <w:tmpl w:val="EAF43944"/>
    <w:lvl w:ilvl="0" w:tplc="1809001B">
      <w:start w:val="1"/>
      <w:numFmt w:val="lowerRoman"/>
      <w:lvlText w:val="%1."/>
      <w:lvlJc w:val="right"/>
      <w:pPr>
        <w:ind w:left="1713" w:hanging="360"/>
      </w:p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15" w15:restartNumberingAfterBreak="0">
    <w:nsid w:val="2DE55F4E"/>
    <w:multiLevelType w:val="hybridMultilevel"/>
    <w:tmpl w:val="D6923C78"/>
    <w:lvl w:ilvl="0" w:tplc="1A78CFF6">
      <w:start w:val="1"/>
      <w:numFmt w:val="bullet"/>
      <w:lvlText w:val="·"/>
      <w:lvlJc w:val="left"/>
      <w:pPr>
        <w:ind w:left="720" w:hanging="360"/>
      </w:pPr>
      <w:rPr>
        <w:rFonts w:ascii="Symbol" w:hAnsi="Symbol" w:hint="default"/>
      </w:rPr>
    </w:lvl>
    <w:lvl w:ilvl="1" w:tplc="A860F134">
      <w:start w:val="1"/>
      <w:numFmt w:val="bullet"/>
      <w:lvlText w:val="o"/>
      <w:lvlJc w:val="left"/>
      <w:pPr>
        <w:ind w:left="1440" w:hanging="360"/>
      </w:pPr>
      <w:rPr>
        <w:rFonts w:ascii="Courier New" w:hAnsi="Courier New" w:hint="default"/>
      </w:rPr>
    </w:lvl>
    <w:lvl w:ilvl="2" w:tplc="1E9495C4">
      <w:start w:val="1"/>
      <w:numFmt w:val="bullet"/>
      <w:lvlText w:val=""/>
      <w:lvlJc w:val="left"/>
      <w:pPr>
        <w:ind w:left="2160" w:hanging="360"/>
      </w:pPr>
      <w:rPr>
        <w:rFonts w:ascii="Wingdings" w:hAnsi="Wingdings" w:hint="default"/>
      </w:rPr>
    </w:lvl>
    <w:lvl w:ilvl="3" w:tplc="FC249A0A">
      <w:start w:val="1"/>
      <w:numFmt w:val="bullet"/>
      <w:lvlText w:val=""/>
      <w:lvlJc w:val="left"/>
      <w:pPr>
        <w:ind w:left="2880" w:hanging="360"/>
      </w:pPr>
      <w:rPr>
        <w:rFonts w:ascii="Symbol" w:hAnsi="Symbol" w:hint="default"/>
      </w:rPr>
    </w:lvl>
    <w:lvl w:ilvl="4" w:tplc="196A650C">
      <w:start w:val="1"/>
      <w:numFmt w:val="bullet"/>
      <w:lvlText w:val="o"/>
      <w:lvlJc w:val="left"/>
      <w:pPr>
        <w:ind w:left="3600" w:hanging="360"/>
      </w:pPr>
      <w:rPr>
        <w:rFonts w:ascii="Courier New" w:hAnsi="Courier New" w:hint="default"/>
      </w:rPr>
    </w:lvl>
    <w:lvl w:ilvl="5" w:tplc="0C4AC20E">
      <w:start w:val="1"/>
      <w:numFmt w:val="bullet"/>
      <w:lvlText w:val=""/>
      <w:lvlJc w:val="left"/>
      <w:pPr>
        <w:ind w:left="4320" w:hanging="360"/>
      </w:pPr>
      <w:rPr>
        <w:rFonts w:ascii="Wingdings" w:hAnsi="Wingdings" w:hint="default"/>
      </w:rPr>
    </w:lvl>
    <w:lvl w:ilvl="6" w:tplc="1488F45A">
      <w:start w:val="1"/>
      <w:numFmt w:val="bullet"/>
      <w:lvlText w:val=""/>
      <w:lvlJc w:val="left"/>
      <w:pPr>
        <w:ind w:left="5040" w:hanging="360"/>
      </w:pPr>
      <w:rPr>
        <w:rFonts w:ascii="Symbol" w:hAnsi="Symbol" w:hint="default"/>
      </w:rPr>
    </w:lvl>
    <w:lvl w:ilvl="7" w:tplc="E144A6D0">
      <w:start w:val="1"/>
      <w:numFmt w:val="bullet"/>
      <w:lvlText w:val="o"/>
      <w:lvlJc w:val="left"/>
      <w:pPr>
        <w:ind w:left="5760" w:hanging="360"/>
      </w:pPr>
      <w:rPr>
        <w:rFonts w:ascii="Courier New" w:hAnsi="Courier New" w:hint="default"/>
      </w:rPr>
    </w:lvl>
    <w:lvl w:ilvl="8" w:tplc="05F87A8C">
      <w:start w:val="1"/>
      <w:numFmt w:val="bullet"/>
      <w:lvlText w:val=""/>
      <w:lvlJc w:val="left"/>
      <w:pPr>
        <w:ind w:left="6480" w:hanging="360"/>
      </w:pPr>
      <w:rPr>
        <w:rFonts w:ascii="Wingdings" w:hAnsi="Wingdings" w:hint="default"/>
      </w:rPr>
    </w:lvl>
  </w:abstractNum>
  <w:abstractNum w:abstractNumId="16" w15:restartNumberingAfterBreak="0">
    <w:nsid w:val="2F6163C8"/>
    <w:multiLevelType w:val="hybridMultilevel"/>
    <w:tmpl w:val="B88EB34C"/>
    <w:lvl w:ilvl="0" w:tplc="F5C65224">
      <w:start w:val="1"/>
      <w:numFmt w:val="decimal"/>
      <w:lvlText w:val="%1."/>
      <w:lvlJc w:val="left"/>
      <w:pPr>
        <w:ind w:left="360" w:hanging="360"/>
      </w:pPr>
    </w:lvl>
    <w:lvl w:ilvl="1" w:tplc="C3422BDA">
      <w:start w:val="1"/>
      <w:numFmt w:val="lowerLetter"/>
      <w:lvlText w:val="%2."/>
      <w:lvlJc w:val="left"/>
      <w:pPr>
        <w:ind w:left="1080" w:hanging="360"/>
      </w:pPr>
    </w:lvl>
    <w:lvl w:ilvl="2" w:tplc="9B8856B2">
      <w:start w:val="1"/>
      <w:numFmt w:val="lowerRoman"/>
      <w:lvlText w:val="%3."/>
      <w:lvlJc w:val="right"/>
      <w:pPr>
        <w:ind w:left="1800" w:hanging="180"/>
      </w:pPr>
    </w:lvl>
    <w:lvl w:ilvl="3" w:tplc="489E2268">
      <w:start w:val="1"/>
      <w:numFmt w:val="decimal"/>
      <w:lvlText w:val="%4."/>
      <w:lvlJc w:val="left"/>
      <w:pPr>
        <w:ind w:left="2520" w:hanging="360"/>
      </w:pPr>
    </w:lvl>
    <w:lvl w:ilvl="4" w:tplc="62E6A750">
      <w:start w:val="1"/>
      <w:numFmt w:val="lowerLetter"/>
      <w:lvlText w:val="%5."/>
      <w:lvlJc w:val="left"/>
      <w:pPr>
        <w:ind w:left="3240" w:hanging="360"/>
      </w:pPr>
    </w:lvl>
    <w:lvl w:ilvl="5" w:tplc="39445D26">
      <w:start w:val="1"/>
      <w:numFmt w:val="lowerRoman"/>
      <w:lvlText w:val="%6."/>
      <w:lvlJc w:val="right"/>
      <w:pPr>
        <w:ind w:left="3960" w:hanging="180"/>
      </w:pPr>
    </w:lvl>
    <w:lvl w:ilvl="6" w:tplc="EF285CFC">
      <w:start w:val="1"/>
      <w:numFmt w:val="decimal"/>
      <w:lvlText w:val="%7."/>
      <w:lvlJc w:val="left"/>
      <w:pPr>
        <w:ind w:left="4680" w:hanging="360"/>
      </w:pPr>
    </w:lvl>
    <w:lvl w:ilvl="7" w:tplc="C2A23BCA">
      <w:start w:val="1"/>
      <w:numFmt w:val="lowerLetter"/>
      <w:lvlText w:val="%8."/>
      <w:lvlJc w:val="left"/>
      <w:pPr>
        <w:ind w:left="5400" w:hanging="360"/>
      </w:pPr>
    </w:lvl>
    <w:lvl w:ilvl="8" w:tplc="FF0CF482">
      <w:start w:val="1"/>
      <w:numFmt w:val="lowerRoman"/>
      <w:lvlText w:val="%9."/>
      <w:lvlJc w:val="right"/>
      <w:pPr>
        <w:ind w:left="6120" w:hanging="180"/>
      </w:pPr>
    </w:lvl>
  </w:abstractNum>
  <w:abstractNum w:abstractNumId="17" w15:restartNumberingAfterBreak="0">
    <w:nsid w:val="34D22C19"/>
    <w:multiLevelType w:val="hybridMultilevel"/>
    <w:tmpl w:val="8A8CACD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7FC"/>
    <w:multiLevelType w:val="hybridMultilevel"/>
    <w:tmpl w:val="FB78BA16"/>
    <w:lvl w:ilvl="0" w:tplc="4C38806A">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A145132"/>
    <w:multiLevelType w:val="hybridMultilevel"/>
    <w:tmpl w:val="BECC2A82"/>
    <w:lvl w:ilvl="0" w:tplc="6342305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20" w15:restartNumberingAfterBreak="0">
    <w:nsid w:val="437F32D7"/>
    <w:multiLevelType w:val="hybridMultilevel"/>
    <w:tmpl w:val="880466AC"/>
    <w:lvl w:ilvl="0" w:tplc="CAE6655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6FB4B6E"/>
    <w:multiLevelType w:val="hybridMultilevel"/>
    <w:tmpl w:val="B3BE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76A72A"/>
    <w:multiLevelType w:val="hybridMultilevel"/>
    <w:tmpl w:val="5F5E3068"/>
    <w:lvl w:ilvl="0" w:tplc="5E7AE626">
      <w:start w:val="1"/>
      <w:numFmt w:val="decimal"/>
      <w:lvlText w:val="%1."/>
      <w:lvlJc w:val="left"/>
      <w:pPr>
        <w:ind w:left="360" w:hanging="360"/>
      </w:pPr>
    </w:lvl>
    <w:lvl w:ilvl="1" w:tplc="ECF639CC">
      <w:start w:val="1"/>
      <w:numFmt w:val="lowerLetter"/>
      <w:lvlText w:val="%2."/>
      <w:lvlJc w:val="left"/>
      <w:pPr>
        <w:ind w:left="1080" w:hanging="360"/>
      </w:pPr>
    </w:lvl>
    <w:lvl w:ilvl="2" w:tplc="AF549482">
      <w:start w:val="1"/>
      <w:numFmt w:val="lowerRoman"/>
      <w:lvlText w:val="%3."/>
      <w:lvlJc w:val="right"/>
      <w:pPr>
        <w:ind w:left="1800" w:hanging="180"/>
      </w:pPr>
    </w:lvl>
    <w:lvl w:ilvl="3" w:tplc="A830EAB0">
      <w:start w:val="1"/>
      <w:numFmt w:val="decimal"/>
      <w:lvlText w:val="%4."/>
      <w:lvlJc w:val="left"/>
      <w:pPr>
        <w:ind w:left="2520" w:hanging="360"/>
      </w:pPr>
    </w:lvl>
    <w:lvl w:ilvl="4" w:tplc="26F600D0">
      <w:start w:val="1"/>
      <w:numFmt w:val="lowerLetter"/>
      <w:lvlText w:val="%5."/>
      <w:lvlJc w:val="left"/>
      <w:pPr>
        <w:ind w:left="3240" w:hanging="360"/>
      </w:pPr>
    </w:lvl>
    <w:lvl w:ilvl="5" w:tplc="8BD4EAF8">
      <w:start w:val="1"/>
      <w:numFmt w:val="lowerRoman"/>
      <w:lvlText w:val="%6."/>
      <w:lvlJc w:val="right"/>
      <w:pPr>
        <w:ind w:left="3960" w:hanging="180"/>
      </w:pPr>
    </w:lvl>
    <w:lvl w:ilvl="6" w:tplc="AF18BCDC">
      <w:start w:val="1"/>
      <w:numFmt w:val="decimal"/>
      <w:lvlText w:val="%7."/>
      <w:lvlJc w:val="left"/>
      <w:pPr>
        <w:ind w:left="4680" w:hanging="360"/>
      </w:pPr>
    </w:lvl>
    <w:lvl w:ilvl="7" w:tplc="EAA2CFFA">
      <w:start w:val="1"/>
      <w:numFmt w:val="lowerLetter"/>
      <w:lvlText w:val="%8."/>
      <w:lvlJc w:val="left"/>
      <w:pPr>
        <w:ind w:left="5400" w:hanging="360"/>
      </w:pPr>
    </w:lvl>
    <w:lvl w:ilvl="8" w:tplc="26667200">
      <w:start w:val="1"/>
      <w:numFmt w:val="lowerRoman"/>
      <w:lvlText w:val="%9."/>
      <w:lvlJc w:val="right"/>
      <w:pPr>
        <w:ind w:left="6120" w:hanging="180"/>
      </w:pPr>
    </w:lvl>
  </w:abstractNum>
  <w:abstractNum w:abstractNumId="23" w15:restartNumberingAfterBreak="0">
    <w:nsid w:val="4C2F7B2C"/>
    <w:multiLevelType w:val="hybridMultilevel"/>
    <w:tmpl w:val="12A6BFD2"/>
    <w:lvl w:ilvl="0" w:tplc="093817E8">
      <w:numFmt w:val="bullet"/>
      <w:lvlText w:val="-"/>
      <w:lvlJc w:val="left"/>
      <w:pPr>
        <w:ind w:left="357" w:hanging="360"/>
      </w:pPr>
      <w:rPr>
        <w:rFonts w:ascii="Times New Roman" w:eastAsia="Times New Roman" w:hAnsi="Times New Roman" w:cs="Times New Roman" w:hint="default"/>
      </w:rPr>
    </w:lvl>
    <w:lvl w:ilvl="1" w:tplc="08090003">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24" w15:restartNumberingAfterBreak="0">
    <w:nsid w:val="4D5506FC"/>
    <w:multiLevelType w:val="multilevel"/>
    <w:tmpl w:val="3F3C41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384079"/>
    <w:multiLevelType w:val="hybridMultilevel"/>
    <w:tmpl w:val="6D1E7CDA"/>
    <w:lvl w:ilvl="0" w:tplc="14382560">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FD197D"/>
    <w:multiLevelType w:val="hybridMultilevel"/>
    <w:tmpl w:val="32A8C71A"/>
    <w:lvl w:ilvl="0" w:tplc="AE50E0A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AB1362"/>
    <w:multiLevelType w:val="hybridMultilevel"/>
    <w:tmpl w:val="FF62DFC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CAA1FC9"/>
    <w:multiLevelType w:val="hybridMultilevel"/>
    <w:tmpl w:val="4BAC9C52"/>
    <w:lvl w:ilvl="0" w:tplc="366057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2A4B7F"/>
    <w:multiLevelType w:val="multilevel"/>
    <w:tmpl w:val="38A69A18"/>
    <w:lvl w:ilvl="0">
      <w:start w:val="1"/>
      <w:numFmt w:val="decimal"/>
      <w:pStyle w:val="Heading1"/>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FE64298"/>
    <w:multiLevelType w:val="multilevel"/>
    <w:tmpl w:val="EE6C33B2"/>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1" w15:restartNumberingAfterBreak="0">
    <w:nsid w:val="64049C05"/>
    <w:multiLevelType w:val="hybridMultilevel"/>
    <w:tmpl w:val="025E1168"/>
    <w:lvl w:ilvl="0" w:tplc="05D2B70A">
      <w:start w:val="1"/>
      <w:numFmt w:val="decimal"/>
      <w:lvlText w:val="%1."/>
      <w:lvlJc w:val="left"/>
      <w:pPr>
        <w:ind w:left="360" w:hanging="360"/>
      </w:pPr>
    </w:lvl>
    <w:lvl w:ilvl="1" w:tplc="9CB8C9D4">
      <w:start w:val="1"/>
      <w:numFmt w:val="lowerLetter"/>
      <w:lvlText w:val="%2."/>
      <w:lvlJc w:val="left"/>
      <w:pPr>
        <w:ind w:left="1080" w:hanging="360"/>
      </w:pPr>
    </w:lvl>
    <w:lvl w:ilvl="2" w:tplc="58345E0A">
      <w:start w:val="1"/>
      <w:numFmt w:val="lowerRoman"/>
      <w:lvlText w:val="%3."/>
      <w:lvlJc w:val="right"/>
      <w:pPr>
        <w:ind w:left="1800" w:hanging="180"/>
      </w:pPr>
    </w:lvl>
    <w:lvl w:ilvl="3" w:tplc="0186B08C">
      <w:start w:val="1"/>
      <w:numFmt w:val="decimal"/>
      <w:lvlText w:val="%4."/>
      <w:lvlJc w:val="left"/>
      <w:pPr>
        <w:ind w:left="2520" w:hanging="360"/>
      </w:pPr>
    </w:lvl>
    <w:lvl w:ilvl="4" w:tplc="82DEFF0E">
      <w:start w:val="1"/>
      <w:numFmt w:val="lowerLetter"/>
      <w:lvlText w:val="%5."/>
      <w:lvlJc w:val="left"/>
      <w:pPr>
        <w:ind w:left="3240" w:hanging="360"/>
      </w:pPr>
    </w:lvl>
    <w:lvl w:ilvl="5" w:tplc="43B84D00">
      <w:start w:val="1"/>
      <w:numFmt w:val="lowerRoman"/>
      <w:lvlText w:val="%6."/>
      <w:lvlJc w:val="right"/>
      <w:pPr>
        <w:ind w:left="3960" w:hanging="180"/>
      </w:pPr>
    </w:lvl>
    <w:lvl w:ilvl="6" w:tplc="547A257C">
      <w:start w:val="1"/>
      <w:numFmt w:val="decimal"/>
      <w:lvlText w:val="%7."/>
      <w:lvlJc w:val="left"/>
      <w:pPr>
        <w:ind w:left="4680" w:hanging="360"/>
      </w:pPr>
    </w:lvl>
    <w:lvl w:ilvl="7" w:tplc="788E7494">
      <w:start w:val="1"/>
      <w:numFmt w:val="lowerLetter"/>
      <w:lvlText w:val="%8."/>
      <w:lvlJc w:val="left"/>
      <w:pPr>
        <w:ind w:left="5400" w:hanging="360"/>
      </w:pPr>
    </w:lvl>
    <w:lvl w:ilvl="8" w:tplc="D1506E86">
      <w:start w:val="1"/>
      <w:numFmt w:val="lowerRoman"/>
      <w:lvlText w:val="%9."/>
      <w:lvlJc w:val="right"/>
      <w:pPr>
        <w:ind w:left="6120" w:hanging="180"/>
      </w:pPr>
    </w:lvl>
  </w:abstractNum>
  <w:abstractNum w:abstractNumId="32" w15:restartNumberingAfterBreak="0">
    <w:nsid w:val="6C635AFA"/>
    <w:multiLevelType w:val="hybridMultilevel"/>
    <w:tmpl w:val="ED36EE78"/>
    <w:lvl w:ilvl="0" w:tplc="B24A3FF6">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6E0E7312"/>
    <w:multiLevelType w:val="hybridMultilevel"/>
    <w:tmpl w:val="54084E34"/>
    <w:lvl w:ilvl="0" w:tplc="B24A3FF6">
      <w:start w:val="1"/>
      <w:numFmt w:val="decimal"/>
      <w:lvlText w:val="%1."/>
      <w:lvlJc w:val="left"/>
      <w:pPr>
        <w:ind w:left="360" w:hanging="360"/>
      </w:pPr>
    </w:lvl>
    <w:lvl w:ilvl="1" w:tplc="4C00F20C">
      <w:start w:val="1"/>
      <w:numFmt w:val="lowerLetter"/>
      <w:lvlText w:val="%2."/>
      <w:lvlJc w:val="left"/>
      <w:pPr>
        <w:ind w:left="1080" w:hanging="360"/>
      </w:pPr>
    </w:lvl>
    <w:lvl w:ilvl="2" w:tplc="6516972A">
      <w:start w:val="1"/>
      <w:numFmt w:val="lowerRoman"/>
      <w:lvlText w:val="%3."/>
      <w:lvlJc w:val="right"/>
      <w:pPr>
        <w:ind w:left="1800" w:hanging="180"/>
      </w:pPr>
    </w:lvl>
    <w:lvl w:ilvl="3" w:tplc="8BE41AF8">
      <w:start w:val="1"/>
      <w:numFmt w:val="decimal"/>
      <w:lvlText w:val="%4."/>
      <w:lvlJc w:val="left"/>
      <w:pPr>
        <w:ind w:left="2520" w:hanging="360"/>
      </w:pPr>
    </w:lvl>
    <w:lvl w:ilvl="4" w:tplc="F508EEEA">
      <w:start w:val="1"/>
      <w:numFmt w:val="lowerLetter"/>
      <w:lvlText w:val="%5."/>
      <w:lvlJc w:val="left"/>
      <w:pPr>
        <w:ind w:left="3240" w:hanging="360"/>
      </w:pPr>
    </w:lvl>
    <w:lvl w:ilvl="5" w:tplc="1FAEC6E0">
      <w:start w:val="1"/>
      <w:numFmt w:val="lowerRoman"/>
      <w:lvlText w:val="%6."/>
      <w:lvlJc w:val="right"/>
      <w:pPr>
        <w:ind w:left="3960" w:hanging="180"/>
      </w:pPr>
    </w:lvl>
    <w:lvl w:ilvl="6" w:tplc="FB7EDE86">
      <w:start w:val="1"/>
      <w:numFmt w:val="decimal"/>
      <w:lvlText w:val="%7."/>
      <w:lvlJc w:val="left"/>
      <w:pPr>
        <w:ind w:left="4680" w:hanging="360"/>
      </w:pPr>
    </w:lvl>
    <w:lvl w:ilvl="7" w:tplc="6082BBE0">
      <w:start w:val="1"/>
      <w:numFmt w:val="lowerLetter"/>
      <w:lvlText w:val="%8."/>
      <w:lvlJc w:val="left"/>
      <w:pPr>
        <w:ind w:left="5400" w:hanging="360"/>
      </w:pPr>
    </w:lvl>
    <w:lvl w:ilvl="8" w:tplc="257A4372">
      <w:start w:val="1"/>
      <w:numFmt w:val="lowerRoman"/>
      <w:lvlText w:val="%9."/>
      <w:lvlJc w:val="right"/>
      <w:pPr>
        <w:ind w:left="6120" w:hanging="180"/>
      </w:pPr>
    </w:lvl>
  </w:abstractNum>
  <w:abstractNum w:abstractNumId="34" w15:restartNumberingAfterBreak="0">
    <w:nsid w:val="6F90AF62"/>
    <w:multiLevelType w:val="hybridMultilevel"/>
    <w:tmpl w:val="B9709578"/>
    <w:lvl w:ilvl="0" w:tplc="A238C740">
      <w:start w:val="1"/>
      <w:numFmt w:val="decimal"/>
      <w:lvlText w:val="%1."/>
      <w:lvlJc w:val="left"/>
      <w:pPr>
        <w:ind w:left="360" w:hanging="360"/>
      </w:pPr>
    </w:lvl>
    <w:lvl w:ilvl="1" w:tplc="7F704F66">
      <w:start w:val="1"/>
      <w:numFmt w:val="lowerLetter"/>
      <w:lvlText w:val="%2."/>
      <w:lvlJc w:val="left"/>
      <w:pPr>
        <w:ind w:left="1080" w:hanging="360"/>
      </w:pPr>
    </w:lvl>
    <w:lvl w:ilvl="2" w:tplc="4B5EB636">
      <w:start w:val="1"/>
      <w:numFmt w:val="lowerRoman"/>
      <w:lvlText w:val="%3."/>
      <w:lvlJc w:val="right"/>
      <w:pPr>
        <w:ind w:left="1800" w:hanging="180"/>
      </w:pPr>
    </w:lvl>
    <w:lvl w:ilvl="3" w:tplc="ADA662F8">
      <w:start w:val="1"/>
      <w:numFmt w:val="decimal"/>
      <w:lvlText w:val="%4."/>
      <w:lvlJc w:val="left"/>
      <w:pPr>
        <w:ind w:left="2520" w:hanging="360"/>
      </w:pPr>
    </w:lvl>
    <w:lvl w:ilvl="4" w:tplc="4DB6D03A">
      <w:start w:val="1"/>
      <w:numFmt w:val="lowerLetter"/>
      <w:lvlText w:val="%5."/>
      <w:lvlJc w:val="left"/>
      <w:pPr>
        <w:ind w:left="3240" w:hanging="360"/>
      </w:pPr>
    </w:lvl>
    <w:lvl w:ilvl="5" w:tplc="D15A19C0">
      <w:start w:val="1"/>
      <w:numFmt w:val="lowerRoman"/>
      <w:lvlText w:val="%6."/>
      <w:lvlJc w:val="right"/>
      <w:pPr>
        <w:ind w:left="3960" w:hanging="180"/>
      </w:pPr>
    </w:lvl>
    <w:lvl w:ilvl="6" w:tplc="5A26EA9C">
      <w:start w:val="1"/>
      <w:numFmt w:val="decimal"/>
      <w:lvlText w:val="%7."/>
      <w:lvlJc w:val="left"/>
      <w:pPr>
        <w:ind w:left="4680" w:hanging="360"/>
      </w:pPr>
    </w:lvl>
    <w:lvl w:ilvl="7" w:tplc="0C902E34">
      <w:start w:val="1"/>
      <w:numFmt w:val="lowerLetter"/>
      <w:lvlText w:val="%8."/>
      <w:lvlJc w:val="left"/>
      <w:pPr>
        <w:ind w:left="5400" w:hanging="360"/>
      </w:pPr>
    </w:lvl>
    <w:lvl w:ilvl="8" w:tplc="C7328038">
      <w:start w:val="1"/>
      <w:numFmt w:val="lowerRoman"/>
      <w:lvlText w:val="%9."/>
      <w:lvlJc w:val="right"/>
      <w:pPr>
        <w:ind w:left="6120" w:hanging="180"/>
      </w:pPr>
    </w:lvl>
  </w:abstractNum>
  <w:abstractNum w:abstractNumId="35" w15:restartNumberingAfterBreak="0">
    <w:nsid w:val="704F5006"/>
    <w:multiLevelType w:val="hybridMultilevel"/>
    <w:tmpl w:val="E56A94B6"/>
    <w:lvl w:ilvl="0" w:tplc="063EBF5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0B0B54"/>
    <w:multiLevelType w:val="multilevel"/>
    <w:tmpl w:val="7EE8253A"/>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37" w15:restartNumberingAfterBreak="0">
    <w:nsid w:val="7E86F184"/>
    <w:multiLevelType w:val="hybridMultilevel"/>
    <w:tmpl w:val="583682CA"/>
    <w:lvl w:ilvl="0" w:tplc="1F3A3DA2">
      <w:start w:val="1"/>
      <w:numFmt w:val="decimal"/>
      <w:lvlText w:val="%1."/>
      <w:lvlJc w:val="left"/>
      <w:pPr>
        <w:ind w:left="360" w:hanging="360"/>
      </w:pPr>
    </w:lvl>
    <w:lvl w:ilvl="1" w:tplc="F8AEBB42">
      <w:start w:val="1"/>
      <w:numFmt w:val="lowerLetter"/>
      <w:lvlText w:val="%2."/>
      <w:lvlJc w:val="left"/>
      <w:pPr>
        <w:ind w:left="1080" w:hanging="360"/>
      </w:pPr>
    </w:lvl>
    <w:lvl w:ilvl="2" w:tplc="57B66A7C">
      <w:start w:val="1"/>
      <w:numFmt w:val="lowerRoman"/>
      <w:lvlText w:val="%3."/>
      <w:lvlJc w:val="right"/>
      <w:pPr>
        <w:ind w:left="1800" w:hanging="180"/>
      </w:pPr>
    </w:lvl>
    <w:lvl w:ilvl="3" w:tplc="A14A250A">
      <w:start w:val="1"/>
      <w:numFmt w:val="decimal"/>
      <w:lvlText w:val="%4."/>
      <w:lvlJc w:val="left"/>
      <w:pPr>
        <w:ind w:left="2520" w:hanging="360"/>
      </w:pPr>
    </w:lvl>
    <w:lvl w:ilvl="4" w:tplc="678E1334">
      <w:start w:val="1"/>
      <w:numFmt w:val="lowerLetter"/>
      <w:lvlText w:val="%5."/>
      <w:lvlJc w:val="left"/>
      <w:pPr>
        <w:ind w:left="3240" w:hanging="360"/>
      </w:pPr>
    </w:lvl>
    <w:lvl w:ilvl="5" w:tplc="3A540672">
      <w:start w:val="1"/>
      <w:numFmt w:val="lowerRoman"/>
      <w:lvlText w:val="%6."/>
      <w:lvlJc w:val="right"/>
      <w:pPr>
        <w:ind w:left="3960" w:hanging="180"/>
      </w:pPr>
    </w:lvl>
    <w:lvl w:ilvl="6" w:tplc="8906557E">
      <w:start w:val="1"/>
      <w:numFmt w:val="decimal"/>
      <w:lvlText w:val="%7."/>
      <w:lvlJc w:val="left"/>
      <w:pPr>
        <w:ind w:left="4680" w:hanging="360"/>
      </w:pPr>
    </w:lvl>
    <w:lvl w:ilvl="7" w:tplc="176623DC">
      <w:start w:val="1"/>
      <w:numFmt w:val="lowerLetter"/>
      <w:lvlText w:val="%8."/>
      <w:lvlJc w:val="left"/>
      <w:pPr>
        <w:ind w:left="5400" w:hanging="360"/>
      </w:pPr>
    </w:lvl>
    <w:lvl w:ilvl="8" w:tplc="011C0D7A">
      <w:start w:val="1"/>
      <w:numFmt w:val="lowerRoman"/>
      <w:lvlText w:val="%9."/>
      <w:lvlJc w:val="right"/>
      <w:pPr>
        <w:ind w:left="6120" w:hanging="180"/>
      </w:pPr>
    </w:lvl>
  </w:abstractNum>
  <w:num w:numId="1">
    <w:abstractNumId w:val="33"/>
  </w:num>
  <w:num w:numId="2">
    <w:abstractNumId w:val="34"/>
  </w:num>
  <w:num w:numId="3">
    <w:abstractNumId w:val="22"/>
  </w:num>
  <w:num w:numId="4">
    <w:abstractNumId w:val="4"/>
  </w:num>
  <w:num w:numId="5">
    <w:abstractNumId w:val="16"/>
  </w:num>
  <w:num w:numId="6">
    <w:abstractNumId w:val="37"/>
  </w:num>
  <w:num w:numId="7">
    <w:abstractNumId w:val="30"/>
  </w:num>
  <w:num w:numId="8">
    <w:abstractNumId w:val="31"/>
  </w:num>
  <w:num w:numId="9">
    <w:abstractNumId w:val="8"/>
  </w:num>
  <w:num w:numId="10">
    <w:abstractNumId w:val="15"/>
  </w:num>
  <w:num w:numId="11">
    <w:abstractNumId w:val="12"/>
  </w:num>
  <w:num w:numId="12">
    <w:abstractNumId w:val="11"/>
  </w:num>
  <w:num w:numId="13">
    <w:abstractNumId w:val="3"/>
  </w:num>
  <w:num w:numId="14">
    <w:abstractNumId w:val="9"/>
  </w:num>
  <w:num w:numId="15">
    <w:abstractNumId w:val="26"/>
  </w:num>
  <w:num w:numId="16">
    <w:abstractNumId w:val="5"/>
  </w:num>
  <w:num w:numId="17">
    <w:abstractNumId w:val="23"/>
  </w:num>
  <w:num w:numId="18">
    <w:abstractNumId w:val="12"/>
  </w:num>
  <w:num w:numId="19">
    <w:abstractNumId w:val="12"/>
    <w:lvlOverride w:ilvl="0">
      <w:startOverride w:val="3"/>
    </w:lvlOverride>
    <w:lvlOverride w:ilvl="1"/>
  </w:num>
  <w:num w:numId="20">
    <w:abstractNumId w:val="0"/>
  </w:num>
  <w:num w:numId="21">
    <w:abstractNumId w:val="12"/>
  </w:num>
  <w:num w:numId="22">
    <w:abstractNumId w:val="36"/>
  </w:num>
  <w:num w:numId="23">
    <w:abstractNumId w:val="19"/>
  </w:num>
  <w:num w:numId="24">
    <w:abstractNumId w:val="13"/>
  </w:num>
  <w:num w:numId="25">
    <w:abstractNumId w:val="7"/>
  </w:num>
  <w:num w:numId="26">
    <w:abstractNumId w:val="28"/>
  </w:num>
  <w:num w:numId="27">
    <w:abstractNumId w:val="20"/>
  </w:num>
  <w:num w:numId="28">
    <w:abstractNumId w:val="12"/>
  </w:num>
  <w:num w:numId="29">
    <w:abstractNumId w:val="25"/>
  </w:num>
  <w:num w:numId="30">
    <w:abstractNumId w:val="2"/>
  </w:num>
  <w:num w:numId="31">
    <w:abstractNumId w:val="29"/>
  </w:num>
  <w:num w:numId="32">
    <w:abstractNumId w:val="29"/>
    <w:lvlOverride w:ilvl="0">
      <w:startOverride w:val="2"/>
    </w:lvlOverride>
    <w:lvlOverride w:ilvl="1">
      <w:startOverride w:val="1"/>
    </w:lvlOverride>
  </w:num>
  <w:num w:numId="33">
    <w:abstractNumId w:val="29"/>
  </w:num>
  <w:num w:numId="34">
    <w:abstractNumId w:val="29"/>
  </w:num>
  <w:num w:numId="35">
    <w:abstractNumId w:val="29"/>
  </w:num>
  <w:num w:numId="36">
    <w:abstractNumId w:val="24"/>
  </w:num>
  <w:num w:numId="37">
    <w:abstractNumId w:val="18"/>
  </w:num>
  <w:num w:numId="38">
    <w:abstractNumId w:val="1"/>
  </w:num>
  <w:num w:numId="39">
    <w:abstractNumId w:val="21"/>
  </w:num>
  <w:num w:numId="40">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29"/>
  </w:num>
  <w:num w:numId="43">
    <w:abstractNumId w:val="6"/>
  </w:num>
  <w:num w:numId="44">
    <w:abstractNumId w:val="35"/>
  </w:num>
  <w:num w:numId="45">
    <w:abstractNumId w:val="17"/>
  </w:num>
  <w:num w:numId="46">
    <w:abstractNumId w:val="27"/>
  </w:num>
  <w:num w:numId="47">
    <w:abstractNumId w:val="32"/>
  </w:num>
  <w:num w:numId="48">
    <w:abstractNumId w:val="10"/>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pt-PT"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C281DC0-3954-48DB-B6F5-E0E1BA5481F2"/>
    <w:docVar w:name="LW_COVERPAGE_TYPE" w:val="1"/>
    <w:docVar w:name="LW_CROSSREFERENCE" w:val="{SWD(2024) 139 final}"/>
    <w:docVar w:name="LW_DocType" w:val="NORMAL"/>
    <w:docVar w:name="LW_EMISSION" w:val="7.6.2024"/>
    <w:docVar w:name="LW_EMISSION_ISODATE" w:val="2024-06-07"/>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2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escuit sustenabil în UE: situa\u539?ia actual\u259? \u537?i orient\u259?ri pentru 2025"/>
    <w:docVar w:name="LW_TYPE.DOC.CP" w:val="COMUNICARE A COMISIEI C\u258?TRE PARLAMENTUL EUROPEAN \u536?I CONSILIU"/>
    <w:docVar w:name="LW_TYPE.DOC.CP.USERTEXT" w:val="&lt;EMPTY&gt;"/>
    <w:docVar w:name="LwApiVersions" w:val="LW4CoDe 1.24.5.0; LW 9.0, Build 20240221"/>
  </w:docVars>
  <w:rsids>
    <w:rsidRoot w:val="00AC0378"/>
    <w:rsid w:val="00000828"/>
    <w:rsid w:val="00000D31"/>
    <w:rsid w:val="00000D5F"/>
    <w:rsid w:val="00001078"/>
    <w:rsid w:val="00003377"/>
    <w:rsid w:val="000046D5"/>
    <w:rsid w:val="00004EFE"/>
    <w:rsid w:val="00005111"/>
    <w:rsid w:val="00005206"/>
    <w:rsid w:val="00007FA4"/>
    <w:rsid w:val="00010405"/>
    <w:rsid w:val="00010E51"/>
    <w:rsid w:val="000112A2"/>
    <w:rsid w:val="00011D84"/>
    <w:rsid w:val="0001241B"/>
    <w:rsid w:val="000134EA"/>
    <w:rsid w:val="000164B9"/>
    <w:rsid w:val="00016B21"/>
    <w:rsid w:val="0001F4CD"/>
    <w:rsid w:val="0002166F"/>
    <w:rsid w:val="000223C5"/>
    <w:rsid w:val="000242EB"/>
    <w:rsid w:val="00026132"/>
    <w:rsid w:val="00027C1B"/>
    <w:rsid w:val="0003019D"/>
    <w:rsid w:val="00030A2D"/>
    <w:rsid w:val="00032569"/>
    <w:rsid w:val="00032B65"/>
    <w:rsid w:val="000331DA"/>
    <w:rsid w:val="00033D42"/>
    <w:rsid w:val="00036EF1"/>
    <w:rsid w:val="000409C4"/>
    <w:rsid w:val="00040FD7"/>
    <w:rsid w:val="00042DEB"/>
    <w:rsid w:val="00045C57"/>
    <w:rsid w:val="00045E3D"/>
    <w:rsid w:val="00047D5C"/>
    <w:rsid w:val="0005048D"/>
    <w:rsid w:val="00054668"/>
    <w:rsid w:val="00054F66"/>
    <w:rsid w:val="00056B0C"/>
    <w:rsid w:val="00056EBF"/>
    <w:rsid w:val="000574E8"/>
    <w:rsid w:val="00057FE1"/>
    <w:rsid w:val="000607F4"/>
    <w:rsid w:val="000617CA"/>
    <w:rsid w:val="000641C7"/>
    <w:rsid w:val="000664B5"/>
    <w:rsid w:val="00066829"/>
    <w:rsid w:val="0007025C"/>
    <w:rsid w:val="00071327"/>
    <w:rsid w:val="000719BF"/>
    <w:rsid w:val="0007364F"/>
    <w:rsid w:val="00074A90"/>
    <w:rsid w:val="00075205"/>
    <w:rsid w:val="00077074"/>
    <w:rsid w:val="00080490"/>
    <w:rsid w:val="00080B66"/>
    <w:rsid w:val="000812C1"/>
    <w:rsid w:val="000816D4"/>
    <w:rsid w:val="00084054"/>
    <w:rsid w:val="00084568"/>
    <w:rsid w:val="00085435"/>
    <w:rsid w:val="00085F4E"/>
    <w:rsid w:val="000909C8"/>
    <w:rsid w:val="00091A73"/>
    <w:rsid w:val="00092948"/>
    <w:rsid w:val="0009307B"/>
    <w:rsid w:val="00093853"/>
    <w:rsid w:val="0009430C"/>
    <w:rsid w:val="000974B1"/>
    <w:rsid w:val="00097B36"/>
    <w:rsid w:val="000A3DD4"/>
    <w:rsid w:val="000A48FC"/>
    <w:rsid w:val="000A56C0"/>
    <w:rsid w:val="000A6B4B"/>
    <w:rsid w:val="000B00F8"/>
    <w:rsid w:val="000B3874"/>
    <w:rsid w:val="000B3F8D"/>
    <w:rsid w:val="000B685C"/>
    <w:rsid w:val="000B79A3"/>
    <w:rsid w:val="000B7BB0"/>
    <w:rsid w:val="000B7E95"/>
    <w:rsid w:val="000C000F"/>
    <w:rsid w:val="000C07F0"/>
    <w:rsid w:val="000C3538"/>
    <w:rsid w:val="000C3D1F"/>
    <w:rsid w:val="000C48D0"/>
    <w:rsid w:val="000C5599"/>
    <w:rsid w:val="000C68FE"/>
    <w:rsid w:val="000C6E46"/>
    <w:rsid w:val="000D3FCB"/>
    <w:rsid w:val="000D45D1"/>
    <w:rsid w:val="000D4BD4"/>
    <w:rsid w:val="000D5CE8"/>
    <w:rsid w:val="000D655F"/>
    <w:rsid w:val="000DA091"/>
    <w:rsid w:val="000E0794"/>
    <w:rsid w:val="000E0877"/>
    <w:rsid w:val="000E0924"/>
    <w:rsid w:val="000E2E0C"/>
    <w:rsid w:val="000E388F"/>
    <w:rsid w:val="000E4059"/>
    <w:rsid w:val="000E4469"/>
    <w:rsid w:val="000E63EA"/>
    <w:rsid w:val="000E6681"/>
    <w:rsid w:val="000E66D0"/>
    <w:rsid w:val="000E76D9"/>
    <w:rsid w:val="000E7AC1"/>
    <w:rsid w:val="000E7B06"/>
    <w:rsid w:val="000F0324"/>
    <w:rsid w:val="000F1EC7"/>
    <w:rsid w:val="000F41CA"/>
    <w:rsid w:val="000F4320"/>
    <w:rsid w:val="000F596B"/>
    <w:rsid w:val="000F5FC7"/>
    <w:rsid w:val="000F6076"/>
    <w:rsid w:val="000F6397"/>
    <w:rsid w:val="000F7761"/>
    <w:rsid w:val="000F7950"/>
    <w:rsid w:val="001001E3"/>
    <w:rsid w:val="00100E8F"/>
    <w:rsid w:val="00101EFD"/>
    <w:rsid w:val="001023D7"/>
    <w:rsid w:val="001039E8"/>
    <w:rsid w:val="00103E7F"/>
    <w:rsid w:val="00104B8E"/>
    <w:rsid w:val="0010507D"/>
    <w:rsid w:val="001123B3"/>
    <w:rsid w:val="0011434B"/>
    <w:rsid w:val="00114EBE"/>
    <w:rsid w:val="00115AB3"/>
    <w:rsid w:val="00116B53"/>
    <w:rsid w:val="00116BEE"/>
    <w:rsid w:val="00120443"/>
    <w:rsid w:val="00120D80"/>
    <w:rsid w:val="00121040"/>
    <w:rsid w:val="00121855"/>
    <w:rsid w:val="00125069"/>
    <w:rsid w:val="00127143"/>
    <w:rsid w:val="0012732F"/>
    <w:rsid w:val="0012E8E0"/>
    <w:rsid w:val="00130B0A"/>
    <w:rsid w:val="00131028"/>
    <w:rsid w:val="00132035"/>
    <w:rsid w:val="00134017"/>
    <w:rsid w:val="001350CD"/>
    <w:rsid w:val="00135AE4"/>
    <w:rsid w:val="001372F6"/>
    <w:rsid w:val="00141C92"/>
    <w:rsid w:val="001436C7"/>
    <w:rsid w:val="00143F0E"/>
    <w:rsid w:val="00146D5A"/>
    <w:rsid w:val="00147DB0"/>
    <w:rsid w:val="00150B08"/>
    <w:rsid w:val="00153305"/>
    <w:rsid w:val="0015477A"/>
    <w:rsid w:val="0015571F"/>
    <w:rsid w:val="0015630A"/>
    <w:rsid w:val="00156687"/>
    <w:rsid w:val="00157534"/>
    <w:rsid w:val="0015A4E0"/>
    <w:rsid w:val="00162058"/>
    <w:rsid w:val="00162773"/>
    <w:rsid w:val="001630BC"/>
    <w:rsid w:val="00165890"/>
    <w:rsid w:val="00166034"/>
    <w:rsid w:val="00167CD9"/>
    <w:rsid w:val="001729EE"/>
    <w:rsid w:val="00172CEB"/>
    <w:rsid w:val="00173200"/>
    <w:rsid w:val="00173333"/>
    <w:rsid w:val="001752E6"/>
    <w:rsid w:val="0017631A"/>
    <w:rsid w:val="00177D62"/>
    <w:rsid w:val="00180E2A"/>
    <w:rsid w:val="0018135D"/>
    <w:rsid w:val="0018170F"/>
    <w:rsid w:val="00181B52"/>
    <w:rsid w:val="001823BB"/>
    <w:rsid w:val="00183614"/>
    <w:rsid w:val="00186CDB"/>
    <w:rsid w:val="00187717"/>
    <w:rsid w:val="00187FA3"/>
    <w:rsid w:val="001907B3"/>
    <w:rsid w:val="00190D7E"/>
    <w:rsid w:val="001911CE"/>
    <w:rsid w:val="00191EF0"/>
    <w:rsid w:val="001942DA"/>
    <w:rsid w:val="00194BFF"/>
    <w:rsid w:val="00194D3C"/>
    <w:rsid w:val="00194F1E"/>
    <w:rsid w:val="00197A75"/>
    <w:rsid w:val="001A0256"/>
    <w:rsid w:val="001A04FF"/>
    <w:rsid w:val="001A145A"/>
    <w:rsid w:val="001A2D67"/>
    <w:rsid w:val="001A31CE"/>
    <w:rsid w:val="001A3DFD"/>
    <w:rsid w:val="001A51DE"/>
    <w:rsid w:val="001B125C"/>
    <w:rsid w:val="001B160D"/>
    <w:rsid w:val="001B1AC1"/>
    <w:rsid w:val="001B65AF"/>
    <w:rsid w:val="001B6688"/>
    <w:rsid w:val="001B6842"/>
    <w:rsid w:val="001B6F0F"/>
    <w:rsid w:val="001B7DAC"/>
    <w:rsid w:val="001C02B6"/>
    <w:rsid w:val="001C0A93"/>
    <w:rsid w:val="001C1598"/>
    <w:rsid w:val="001C2B23"/>
    <w:rsid w:val="001C3A18"/>
    <w:rsid w:val="001C70B5"/>
    <w:rsid w:val="001CD9ED"/>
    <w:rsid w:val="001D0EF5"/>
    <w:rsid w:val="001D1318"/>
    <w:rsid w:val="001D1934"/>
    <w:rsid w:val="001D43A1"/>
    <w:rsid w:val="001D5830"/>
    <w:rsid w:val="001D5C19"/>
    <w:rsid w:val="001D5D96"/>
    <w:rsid w:val="001D6309"/>
    <w:rsid w:val="001D63AF"/>
    <w:rsid w:val="001D7074"/>
    <w:rsid w:val="001E29DC"/>
    <w:rsid w:val="001E3255"/>
    <w:rsid w:val="001E33DB"/>
    <w:rsid w:val="001E4402"/>
    <w:rsid w:val="001E4C7F"/>
    <w:rsid w:val="001E56DC"/>
    <w:rsid w:val="001E5A3F"/>
    <w:rsid w:val="001E640F"/>
    <w:rsid w:val="001F17AA"/>
    <w:rsid w:val="001F1DAE"/>
    <w:rsid w:val="001F22F6"/>
    <w:rsid w:val="001F3283"/>
    <w:rsid w:val="001F4654"/>
    <w:rsid w:val="001F626F"/>
    <w:rsid w:val="00202AEC"/>
    <w:rsid w:val="00202F84"/>
    <w:rsid w:val="002037ED"/>
    <w:rsid w:val="00203B8E"/>
    <w:rsid w:val="002043D9"/>
    <w:rsid w:val="0020587B"/>
    <w:rsid w:val="00211EC8"/>
    <w:rsid w:val="00220051"/>
    <w:rsid w:val="002211ED"/>
    <w:rsid w:val="0022249E"/>
    <w:rsid w:val="002227E2"/>
    <w:rsid w:val="002234F7"/>
    <w:rsid w:val="0022367F"/>
    <w:rsid w:val="00227349"/>
    <w:rsid w:val="0022761A"/>
    <w:rsid w:val="002302F5"/>
    <w:rsid w:val="002304C4"/>
    <w:rsid w:val="002315A9"/>
    <w:rsid w:val="0023167A"/>
    <w:rsid w:val="00234663"/>
    <w:rsid w:val="00234A14"/>
    <w:rsid w:val="00235626"/>
    <w:rsid w:val="002358EF"/>
    <w:rsid w:val="00235B65"/>
    <w:rsid w:val="00240F02"/>
    <w:rsid w:val="00245FA5"/>
    <w:rsid w:val="00246137"/>
    <w:rsid w:val="00247259"/>
    <w:rsid w:val="0024728E"/>
    <w:rsid w:val="00250799"/>
    <w:rsid w:val="00252E1F"/>
    <w:rsid w:val="00255E94"/>
    <w:rsid w:val="002607D4"/>
    <w:rsid w:val="00260B16"/>
    <w:rsid w:val="00263AF2"/>
    <w:rsid w:val="00264D4F"/>
    <w:rsid w:val="00265191"/>
    <w:rsid w:val="0026564C"/>
    <w:rsid w:val="0026CE35"/>
    <w:rsid w:val="00270903"/>
    <w:rsid w:val="0027177E"/>
    <w:rsid w:val="002739E2"/>
    <w:rsid w:val="0027561A"/>
    <w:rsid w:val="00277107"/>
    <w:rsid w:val="00277E32"/>
    <w:rsid w:val="00280103"/>
    <w:rsid w:val="00280A69"/>
    <w:rsid w:val="00281636"/>
    <w:rsid w:val="00282543"/>
    <w:rsid w:val="00282DEA"/>
    <w:rsid w:val="002836AF"/>
    <w:rsid w:val="00283766"/>
    <w:rsid w:val="002860C3"/>
    <w:rsid w:val="00286F26"/>
    <w:rsid w:val="00291D25"/>
    <w:rsid w:val="00295046"/>
    <w:rsid w:val="00296352"/>
    <w:rsid w:val="002A0E9C"/>
    <w:rsid w:val="002A6BAB"/>
    <w:rsid w:val="002A6D71"/>
    <w:rsid w:val="002A7018"/>
    <w:rsid w:val="002B08FE"/>
    <w:rsid w:val="002B1604"/>
    <w:rsid w:val="002B7D47"/>
    <w:rsid w:val="002C0010"/>
    <w:rsid w:val="002C12DA"/>
    <w:rsid w:val="002C1F66"/>
    <w:rsid w:val="002C49FE"/>
    <w:rsid w:val="002D2184"/>
    <w:rsid w:val="002D27C1"/>
    <w:rsid w:val="002D3619"/>
    <w:rsid w:val="002D42FA"/>
    <w:rsid w:val="002D5EC6"/>
    <w:rsid w:val="002E1431"/>
    <w:rsid w:val="002E62B3"/>
    <w:rsid w:val="002E697C"/>
    <w:rsid w:val="002E6FB3"/>
    <w:rsid w:val="002E78C8"/>
    <w:rsid w:val="002E7BCA"/>
    <w:rsid w:val="002F1591"/>
    <w:rsid w:val="002F25F9"/>
    <w:rsid w:val="002F2A99"/>
    <w:rsid w:val="002F57C4"/>
    <w:rsid w:val="002F610F"/>
    <w:rsid w:val="003004A3"/>
    <w:rsid w:val="00300F03"/>
    <w:rsid w:val="0030126B"/>
    <w:rsid w:val="00301515"/>
    <w:rsid w:val="00301BAB"/>
    <w:rsid w:val="00304923"/>
    <w:rsid w:val="00306692"/>
    <w:rsid w:val="00306A34"/>
    <w:rsid w:val="00307D0A"/>
    <w:rsid w:val="003117D5"/>
    <w:rsid w:val="00315382"/>
    <w:rsid w:val="00316C2B"/>
    <w:rsid w:val="0032017B"/>
    <w:rsid w:val="00321B4E"/>
    <w:rsid w:val="003232E7"/>
    <w:rsid w:val="00324F32"/>
    <w:rsid w:val="00325334"/>
    <w:rsid w:val="003257A3"/>
    <w:rsid w:val="003259F3"/>
    <w:rsid w:val="00327D7B"/>
    <w:rsid w:val="00331DF8"/>
    <w:rsid w:val="00331FEA"/>
    <w:rsid w:val="0033304E"/>
    <w:rsid w:val="00333F9B"/>
    <w:rsid w:val="00334C36"/>
    <w:rsid w:val="00336959"/>
    <w:rsid w:val="00337F18"/>
    <w:rsid w:val="0034093C"/>
    <w:rsid w:val="00340E62"/>
    <w:rsid w:val="00341E85"/>
    <w:rsid w:val="0034228F"/>
    <w:rsid w:val="00344DB4"/>
    <w:rsid w:val="0034621C"/>
    <w:rsid w:val="00346AE4"/>
    <w:rsid w:val="003472FA"/>
    <w:rsid w:val="00352F33"/>
    <w:rsid w:val="00353502"/>
    <w:rsid w:val="003537E0"/>
    <w:rsid w:val="003551F5"/>
    <w:rsid w:val="00356811"/>
    <w:rsid w:val="0035695C"/>
    <w:rsid w:val="00357F3F"/>
    <w:rsid w:val="003619D9"/>
    <w:rsid w:val="00362AC7"/>
    <w:rsid w:val="00364360"/>
    <w:rsid w:val="00370512"/>
    <w:rsid w:val="00371282"/>
    <w:rsid w:val="003718E3"/>
    <w:rsid w:val="00371BD7"/>
    <w:rsid w:val="003722EC"/>
    <w:rsid w:val="003770B3"/>
    <w:rsid w:val="00380D58"/>
    <w:rsid w:val="00381B10"/>
    <w:rsid w:val="0038299E"/>
    <w:rsid w:val="00384CB9"/>
    <w:rsid w:val="00384F4E"/>
    <w:rsid w:val="00387290"/>
    <w:rsid w:val="0038AAFA"/>
    <w:rsid w:val="00390640"/>
    <w:rsid w:val="003926FF"/>
    <w:rsid w:val="00392EEF"/>
    <w:rsid w:val="003937AA"/>
    <w:rsid w:val="00393A88"/>
    <w:rsid w:val="00393B3A"/>
    <w:rsid w:val="00393C77"/>
    <w:rsid w:val="003945C1"/>
    <w:rsid w:val="00394742"/>
    <w:rsid w:val="003974B3"/>
    <w:rsid w:val="003977A3"/>
    <w:rsid w:val="003A0342"/>
    <w:rsid w:val="003A0948"/>
    <w:rsid w:val="003A2C2D"/>
    <w:rsid w:val="003A4864"/>
    <w:rsid w:val="003A6B35"/>
    <w:rsid w:val="003A74C7"/>
    <w:rsid w:val="003A7507"/>
    <w:rsid w:val="003A796A"/>
    <w:rsid w:val="003B0232"/>
    <w:rsid w:val="003B2888"/>
    <w:rsid w:val="003B2D5D"/>
    <w:rsid w:val="003B4F72"/>
    <w:rsid w:val="003BB470"/>
    <w:rsid w:val="003C0701"/>
    <w:rsid w:val="003C0724"/>
    <w:rsid w:val="003C1748"/>
    <w:rsid w:val="003C1B0A"/>
    <w:rsid w:val="003C43F0"/>
    <w:rsid w:val="003C4928"/>
    <w:rsid w:val="003C524C"/>
    <w:rsid w:val="003C6773"/>
    <w:rsid w:val="003C75D3"/>
    <w:rsid w:val="003C782B"/>
    <w:rsid w:val="003D17B1"/>
    <w:rsid w:val="003D3E9E"/>
    <w:rsid w:val="003D41BA"/>
    <w:rsid w:val="003D4BB7"/>
    <w:rsid w:val="003D51F0"/>
    <w:rsid w:val="003D61CB"/>
    <w:rsid w:val="003D62AB"/>
    <w:rsid w:val="003D6985"/>
    <w:rsid w:val="003D7937"/>
    <w:rsid w:val="003D7EED"/>
    <w:rsid w:val="003E2E1C"/>
    <w:rsid w:val="003E4971"/>
    <w:rsid w:val="003E6672"/>
    <w:rsid w:val="003F100C"/>
    <w:rsid w:val="003F13D7"/>
    <w:rsid w:val="003F28BF"/>
    <w:rsid w:val="003F2E66"/>
    <w:rsid w:val="003F64FC"/>
    <w:rsid w:val="003F66B8"/>
    <w:rsid w:val="003F7097"/>
    <w:rsid w:val="003F735F"/>
    <w:rsid w:val="003F7A50"/>
    <w:rsid w:val="003F7B78"/>
    <w:rsid w:val="003F7CF1"/>
    <w:rsid w:val="00401639"/>
    <w:rsid w:val="00402EA5"/>
    <w:rsid w:val="00403C59"/>
    <w:rsid w:val="00404BEA"/>
    <w:rsid w:val="004078AC"/>
    <w:rsid w:val="00410BBA"/>
    <w:rsid w:val="004120E7"/>
    <w:rsid w:val="00414F89"/>
    <w:rsid w:val="00417ACC"/>
    <w:rsid w:val="00421EF7"/>
    <w:rsid w:val="004224DD"/>
    <w:rsid w:val="00423751"/>
    <w:rsid w:val="00424142"/>
    <w:rsid w:val="0043036C"/>
    <w:rsid w:val="004327E6"/>
    <w:rsid w:val="004349EC"/>
    <w:rsid w:val="00435D1A"/>
    <w:rsid w:val="004362DD"/>
    <w:rsid w:val="0043686C"/>
    <w:rsid w:val="00442100"/>
    <w:rsid w:val="004473E6"/>
    <w:rsid w:val="00450A4F"/>
    <w:rsid w:val="00450B0A"/>
    <w:rsid w:val="00450BD7"/>
    <w:rsid w:val="00453216"/>
    <w:rsid w:val="00454077"/>
    <w:rsid w:val="004549B0"/>
    <w:rsid w:val="00455F84"/>
    <w:rsid w:val="0045793D"/>
    <w:rsid w:val="00460191"/>
    <w:rsid w:val="00462365"/>
    <w:rsid w:val="004634A1"/>
    <w:rsid w:val="004641FA"/>
    <w:rsid w:val="00464C95"/>
    <w:rsid w:val="004651A4"/>
    <w:rsid w:val="00466235"/>
    <w:rsid w:val="004672B8"/>
    <w:rsid w:val="004677C0"/>
    <w:rsid w:val="00471E88"/>
    <w:rsid w:val="00472645"/>
    <w:rsid w:val="00472F3A"/>
    <w:rsid w:val="00473D58"/>
    <w:rsid w:val="0047418A"/>
    <w:rsid w:val="00474964"/>
    <w:rsid w:val="0047527B"/>
    <w:rsid w:val="004820AD"/>
    <w:rsid w:val="00483E4E"/>
    <w:rsid w:val="00484BDE"/>
    <w:rsid w:val="00486746"/>
    <w:rsid w:val="00486C11"/>
    <w:rsid w:val="00487F6D"/>
    <w:rsid w:val="0049056D"/>
    <w:rsid w:val="00490ECB"/>
    <w:rsid w:val="00491714"/>
    <w:rsid w:val="00492B81"/>
    <w:rsid w:val="00493BA0"/>
    <w:rsid w:val="00494CCC"/>
    <w:rsid w:val="00496664"/>
    <w:rsid w:val="004A03D8"/>
    <w:rsid w:val="004A099C"/>
    <w:rsid w:val="004A32F2"/>
    <w:rsid w:val="004A6AE8"/>
    <w:rsid w:val="004A6DB8"/>
    <w:rsid w:val="004A7FBD"/>
    <w:rsid w:val="004B0D49"/>
    <w:rsid w:val="004B2EC9"/>
    <w:rsid w:val="004B3F0F"/>
    <w:rsid w:val="004B56E4"/>
    <w:rsid w:val="004B59A6"/>
    <w:rsid w:val="004B6C9A"/>
    <w:rsid w:val="004C13CF"/>
    <w:rsid w:val="004C2E88"/>
    <w:rsid w:val="004C310D"/>
    <w:rsid w:val="004C55EC"/>
    <w:rsid w:val="004C77B5"/>
    <w:rsid w:val="004D0425"/>
    <w:rsid w:val="004D1C65"/>
    <w:rsid w:val="004D26B3"/>
    <w:rsid w:val="004D2F3B"/>
    <w:rsid w:val="004D3A0C"/>
    <w:rsid w:val="004D4BF1"/>
    <w:rsid w:val="004D7099"/>
    <w:rsid w:val="004E17D3"/>
    <w:rsid w:val="004E19B7"/>
    <w:rsid w:val="004E48A3"/>
    <w:rsid w:val="004E4A54"/>
    <w:rsid w:val="004E7FBA"/>
    <w:rsid w:val="004F0812"/>
    <w:rsid w:val="004F08C0"/>
    <w:rsid w:val="004F1008"/>
    <w:rsid w:val="004F12E0"/>
    <w:rsid w:val="00501741"/>
    <w:rsid w:val="00503C6C"/>
    <w:rsid w:val="0050528C"/>
    <w:rsid w:val="00507887"/>
    <w:rsid w:val="00512A96"/>
    <w:rsid w:val="005165CB"/>
    <w:rsid w:val="00516687"/>
    <w:rsid w:val="00521CD3"/>
    <w:rsid w:val="00521CFC"/>
    <w:rsid w:val="00522DBE"/>
    <w:rsid w:val="00524571"/>
    <w:rsid w:val="005245AE"/>
    <w:rsid w:val="00524756"/>
    <w:rsid w:val="00524D2D"/>
    <w:rsid w:val="00526EE1"/>
    <w:rsid w:val="00527F90"/>
    <w:rsid w:val="00530204"/>
    <w:rsid w:val="00531C20"/>
    <w:rsid w:val="0053407E"/>
    <w:rsid w:val="00534B23"/>
    <w:rsid w:val="0053502D"/>
    <w:rsid w:val="00535976"/>
    <w:rsid w:val="00536E9B"/>
    <w:rsid w:val="00537BB2"/>
    <w:rsid w:val="005402D4"/>
    <w:rsid w:val="00541AF7"/>
    <w:rsid w:val="00543973"/>
    <w:rsid w:val="00544150"/>
    <w:rsid w:val="00544962"/>
    <w:rsid w:val="005449C9"/>
    <w:rsid w:val="005508A4"/>
    <w:rsid w:val="00552BBA"/>
    <w:rsid w:val="0055586C"/>
    <w:rsid w:val="00555CA1"/>
    <w:rsid w:val="00560EB9"/>
    <w:rsid w:val="0056201B"/>
    <w:rsid w:val="005620BD"/>
    <w:rsid w:val="00562357"/>
    <w:rsid w:val="0056268A"/>
    <w:rsid w:val="00563101"/>
    <w:rsid w:val="00564655"/>
    <w:rsid w:val="00564CCF"/>
    <w:rsid w:val="00566CE6"/>
    <w:rsid w:val="005670EA"/>
    <w:rsid w:val="00570982"/>
    <w:rsid w:val="0057561C"/>
    <w:rsid w:val="00577DA9"/>
    <w:rsid w:val="005826F5"/>
    <w:rsid w:val="00583576"/>
    <w:rsid w:val="005839DE"/>
    <w:rsid w:val="0058417F"/>
    <w:rsid w:val="00587025"/>
    <w:rsid w:val="00587610"/>
    <w:rsid w:val="005902C2"/>
    <w:rsid w:val="005944A3"/>
    <w:rsid w:val="005950E7"/>
    <w:rsid w:val="00596DF1"/>
    <w:rsid w:val="005A1799"/>
    <w:rsid w:val="005A21C1"/>
    <w:rsid w:val="005A2659"/>
    <w:rsid w:val="005A3253"/>
    <w:rsid w:val="005A32A2"/>
    <w:rsid w:val="005A52B1"/>
    <w:rsid w:val="005A7DA7"/>
    <w:rsid w:val="005B0D0D"/>
    <w:rsid w:val="005B111C"/>
    <w:rsid w:val="005B15B6"/>
    <w:rsid w:val="005B1F66"/>
    <w:rsid w:val="005B33F4"/>
    <w:rsid w:val="005B3B36"/>
    <w:rsid w:val="005B4542"/>
    <w:rsid w:val="005C0ECB"/>
    <w:rsid w:val="005C1530"/>
    <w:rsid w:val="005C2AD5"/>
    <w:rsid w:val="005C2EBD"/>
    <w:rsid w:val="005C418D"/>
    <w:rsid w:val="005C547C"/>
    <w:rsid w:val="005C5C3A"/>
    <w:rsid w:val="005C64B9"/>
    <w:rsid w:val="005C6B27"/>
    <w:rsid w:val="005C6F23"/>
    <w:rsid w:val="005C781D"/>
    <w:rsid w:val="005D27DF"/>
    <w:rsid w:val="005D44CB"/>
    <w:rsid w:val="005D4824"/>
    <w:rsid w:val="005D53D0"/>
    <w:rsid w:val="005D551F"/>
    <w:rsid w:val="005D5582"/>
    <w:rsid w:val="005D5601"/>
    <w:rsid w:val="005D631A"/>
    <w:rsid w:val="005D6793"/>
    <w:rsid w:val="005D789D"/>
    <w:rsid w:val="005E0C1D"/>
    <w:rsid w:val="005E10C0"/>
    <w:rsid w:val="005E5FA8"/>
    <w:rsid w:val="005E63E3"/>
    <w:rsid w:val="005E6A32"/>
    <w:rsid w:val="005E6A8B"/>
    <w:rsid w:val="005E7D1E"/>
    <w:rsid w:val="005F0B0B"/>
    <w:rsid w:val="005F19BB"/>
    <w:rsid w:val="005F29A2"/>
    <w:rsid w:val="005F5976"/>
    <w:rsid w:val="005F6DCD"/>
    <w:rsid w:val="005F7928"/>
    <w:rsid w:val="006010C4"/>
    <w:rsid w:val="00601E8F"/>
    <w:rsid w:val="00603A15"/>
    <w:rsid w:val="00605BA2"/>
    <w:rsid w:val="00607732"/>
    <w:rsid w:val="00611C44"/>
    <w:rsid w:val="00613A02"/>
    <w:rsid w:val="006159DD"/>
    <w:rsid w:val="00615DA0"/>
    <w:rsid w:val="0061642F"/>
    <w:rsid w:val="00616704"/>
    <w:rsid w:val="00616B91"/>
    <w:rsid w:val="0061782A"/>
    <w:rsid w:val="00620370"/>
    <w:rsid w:val="0062141F"/>
    <w:rsid w:val="006219AA"/>
    <w:rsid w:val="00621AB9"/>
    <w:rsid w:val="0062240F"/>
    <w:rsid w:val="006230C9"/>
    <w:rsid w:val="00623E7F"/>
    <w:rsid w:val="0063046A"/>
    <w:rsid w:val="00631149"/>
    <w:rsid w:val="00631314"/>
    <w:rsid w:val="00631594"/>
    <w:rsid w:val="00632585"/>
    <w:rsid w:val="00632870"/>
    <w:rsid w:val="006351D7"/>
    <w:rsid w:val="00635302"/>
    <w:rsid w:val="00640B0F"/>
    <w:rsid w:val="006417DF"/>
    <w:rsid w:val="00641F44"/>
    <w:rsid w:val="006474F5"/>
    <w:rsid w:val="00651442"/>
    <w:rsid w:val="00651CD1"/>
    <w:rsid w:val="00652BB8"/>
    <w:rsid w:val="006560AA"/>
    <w:rsid w:val="00656150"/>
    <w:rsid w:val="00656DBB"/>
    <w:rsid w:val="006575ED"/>
    <w:rsid w:val="006579CF"/>
    <w:rsid w:val="00657AE7"/>
    <w:rsid w:val="00661176"/>
    <w:rsid w:val="0066121D"/>
    <w:rsid w:val="00661EF4"/>
    <w:rsid w:val="00662F37"/>
    <w:rsid w:val="00663715"/>
    <w:rsid w:val="00663BFF"/>
    <w:rsid w:val="0066557E"/>
    <w:rsid w:val="00665672"/>
    <w:rsid w:val="00667403"/>
    <w:rsid w:val="006677CA"/>
    <w:rsid w:val="006735C1"/>
    <w:rsid w:val="00674329"/>
    <w:rsid w:val="006754FF"/>
    <w:rsid w:val="006774A7"/>
    <w:rsid w:val="00680BD0"/>
    <w:rsid w:val="00680DB2"/>
    <w:rsid w:val="006820C1"/>
    <w:rsid w:val="006822DD"/>
    <w:rsid w:val="00682EE9"/>
    <w:rsid w:val="00683C98"/>
    <w:rsid w:val="00684A05"/>
    <w:rsid w:val="00686E15"/>
    <w:rsid w:val="00690E20"/>
    <w:rsid w:val="006914C1"/>
    <w:rsid w:val="00693133"/>
    <w:rsid w:val="006933EB"/>
    <w:rsid w:val="00694EDC"/>
    <w:rsid w:val="0069566A"/>
    <w:rsid w:val="006A0101"/>
    <w:rsid w:val="006A12D0"/>
    <w:rsid w:val="006A1500"/>
    <w:rsid w:val="006A20A2"/>
    <w:rsid w:val="006A339D"/>
    <w:rsid w:val="006A386F"/>
    <w:rsid w:val="006A3BF2"/>
    <w:rsid w:val="006A5B70"/>
    <w:rsid w:val="006A7FF0"/>
    <w:rsid w:val="006A9E55"/>
    <w:rsid w:val="006B0267"/>
    <w:rsid w:val="006B2262"/>
    <w:rsid w:val="006B5786"/>
    <w:rsid w:val="006B5E0F"/>
    <w:rsid w:val="006B5E86"/>
    <w:rsid w:val="006B7C4B"/>
    <w:rsid w:val="006C154B"/>
    <w:rsid w:val="006C5CE8"/>
    <w:rsid w:val="006C5DB6"/>
    <w:rsid w:val="006C5F9B"/>
    <w:rsid w:val="006C6C7A"/>
    <w:rsid w:val="006C723D"/>
    <w:rsid w:val="006C7242"/>
    <w:rsid w:val="006D10B4"/>
    <w:rsid w:val="006D1225"/>
    <w:rsid w:val="006D5151"/>
    <w:rsid w:val="006D5E2C"/>
    <w:rsid w:val="006D5ECD"/>
    <w:rsid w:val="006D726B"/>
    <w:rsid w:val="006D7E29"/>
    <w:rsid w:val="006E0DA5"/>
    <w:rsid w:val="006E27AE"/>
    <w:rsid w:val="006E3E4F"/>
    <w:rsid w:val="006E4388"/>
    <w:rsid w:val="006E45E5"/>
    <w:rsid w:val="006F2E1C"/>
    <w:rsid w:val="006F34C5"/>
    <w:rsid w:val="006F3560"/>
    <w:rsid w:val="006F363A"/>
    <w:rsid w:val="006F3A14"/>
    <w:rsid w:val="0070063F"/>
    <w:rsid w:val="00703071"/>
    <w:rsid w:val="007040A4"/>
    <w:rsid w:val="00704953"/>
    <w:rsid w:val="00704F2E"/>
    <w:rsid w:val="00706744"/>
    <w:rsid w:val="0070756B"/>
    <w:rsid w:val="00707D79"/>
    <w:rsid w:val="00710C6F"/>
    <w:rsid w:val="007117BA"/>
    <w:rsid w:val="00716A9C"/>
    <w:rsid w:val="007218E3"/>
    <w:rsid w:val="007220B0"/>
    <w:rsid w:val="00723113"/>
    <w:rsid w:val="00723A74"/>
    <w:rsid w:val="00723C87"/>
    <w:rsid w:val="007241D3"/>
    <w:rsid w:val="00724A75"/>
    <w:rsid w:val="0073005E"/>
    <w:rsid w:val="00730FAA"/>
    <w:rsid w:val="00731360"/>
    <w:rsid w:val="007327C2"/>
    <w:rsid w:val="00733AAB"/>
    <w:rsid w:val="007352A6"/>
    <w:rsid w:val="007367BE"/>
    <w:rsid w:val="007370FE"/>
    <w:rsid w:val="00740599"/>
    <w:rsid w:val="007412A1"/>
    <w:rsid w:val="00741A94"/>
    <w:rsid w:val="0074224F"/>
    <w:rsid w:val="007430BE"/>
    <w:rsid w:val="007433FA"/>
    <w:rsid w:val="00744522"/>
    <w:rsid w:val="00750438"/>
    <w:rsid w:val="00750B62"/>
    <w:rsid w:val="00750DC0"/>
    <w:rsid w:val="00751090"/>
    <w:rsid w:val="00751CCA"/>
    <w:rsid w:val="007561E7"/>
    <w:rsid w:val="0075F10F"/>
    <w:rsid w:val="00760213"/>
    <w:rsid w:val="0076106B"/>
    <w:rsid w:val="007618A4"/>
    <w:rsid w:val="00767D70"/>
    <w:rsid w:val="007703F1"/>
    <w:rsid w:val="00770806"/>
    <w:rsid w:val="00770F3C"/>
    <w:rsid w:val="007809DD"/>
    <w:rsid w:val="00780B65"/>
    <w:rsid w:val="007830BB"/>
    <w:rsid w:val="00783AE7"/>
    <w:rsid w:val="00784946"/>
    <w:rsid w:val="00784B59"/>
    <w:rsid w:val="00792531"/>
    <w:rsid w:val="00792BD7"/>
    <w:rsid w:val="00793D0E"/>
    <w:rsid w:val="007947EE"/>
    <w:rsid w:val="00794FC7"/>
    <w:rsid w:val="00796D46"/>
    <w:rsid w:val="00797221"/>
    <w:rsid w:val="007972CD"/>
    <w:rsid w:val="007A0D32"/>
    <w:rsid w:val="007A1466"/>
    <w:rsid w:val="007A15CD"/>
    <w:rsid w:val="007A1F03"/>
    <w:rsid w:val="007A4AE4"/>
    <w:rsid w:val="007A5969"/>
    <w:rsid w:val="007A6E92"/>
    <w:rsid w:val="007A745D"/>
    <w:rsid w:val="007B11B1"/>
    <w:rsid w:val="007B2A7A"/>
    <w:rsid w:val="007B3E1E"/>
    <w:rsid w:val="007B3EC8"/>
    <w:rsid w:val="007B4647"/>
    <w:rsid w:val="007B4718"/>
    <w:rsid w:val="007B6ADD"/>
    <w:rsid w:val="007C09D1"/>
    <w:rsid w:val="007C16C2"/>
    <w:rsid w:val="007C1C75"/>
    <w:rsid w:val="007C2320"/>
    <w:rsid w:val="007C3FB9"/>
    <w:rsid w:val="007C478E"/>
    <w:rsid w:val="007C4B92"/>
    <w:rsid w:val="007C57CB"/>
    <w:rsid w:val="007D118A"/>
    <w:rsid w:val="007D2EB6"/>
    <w:rsid w:val="007D7050"/>
    <w:rsid w:val="007E1233"/>
    <w:rsid w:val="007E1D5F"/>
    <w:rsid w:val="007E2DB0"/>
    <w:rsid w:val="007E2DB5"/>
    <w:rsid w:val="007E3A84"/>
    <w:rsid w:val="007E4AAA"/>
    <w:rsid w:val="007E4E50"/>
    <w:rsid w:val="007E4F92"/>
    <w:rsid w:val="007E7A2D"/>
    <w:rsid w:val="007EF7FC"/>
    <w:rsid w:val="007F260E"/>
    <w:rsid w:val="007F299D"/>
    <w:rsid w:val="007F7882"/>
    <w:rsid w:val="008000EB"/>
    <w:rsid w:val="00800CCE"/>
    <w:rsid w:val="008012B3"/>
    <w:rsid w:val="00801574"/>
    <w:rsid w:val="00801A0E"/>
    <w:rsid w:val="00802960"/>
    <w:rsid w:val="00802D61"/>
    <w:rsid w:val="008031E9"/>
    <w:rsid w:val="0080406C"/>
    <w:rsid w:val="008060C8"/>
    <w:rsid w:val="008068F3"/>
    <w:rsid w:val="00815B1C"/>
    <w:rsid w:val="00816CC2"/>
    <w:rsid w:val="00817478"/>
    <w:rsid w:val="00817D91"/>
    <w:rsid w:val="0082104D"/>
    <w:rsid w:val="008218E6"/>
    <w:rsid w:val="008227BA"/>
    <w:rsid w:val="008230FF"/>
    <w:rsid w:val="00827993"/>
    <w:rsid w:val="00827B2E"/>
    <w:rsid w:val="00830503"/>
    <w:rsid w:val="00833357"/>
    <w:rsid w:val="00833438"/>
    <w:rsid w:val="0083554D"/>
    <w:rsid w:val="008410D3"/>
    <w:rsid w:val="008429B1"/>
    <w:rsid w:val="00842A1F"/>
    <w:rsid w:val="008433EF"/>
    <w:rsid w:val="00844C1B"/>
    <w:rsid w:val="008453B6"/>
    <w:rsid w:val="00847A1A"/>
    <w:rsid w:val="008540EA"/>
    <w:rsid w:val="00854BE6"/>
    <w:rsid w:val="00857CF2"/>
    <w:rsid w:val="00857F2A"/>
    <w:rsid w:val="008612A8"/>
    <w:rsid w:val="008630B4"/>
    <w:rsid w:val="008645C2"/>
    <w:rsid w:val="00864EDA"/>
    <w:rsid w:val="00865FF5"/>
    <w:rsid w:val="008669E1"/>
    <w:rsid w:val="008678B6"/>
    <w:rsid w:val="00867CD6"/>
    <w:rsid w:val="00870407"/>
    <w:rsid w:val="0087074B"/>
    <w:rsid w:val="00871947"/>
    <w:rsid w:val="00872A84"/>
    <w:rsid w:val="00873635"/>
    <w:rsid w:val="00874089"/>
    <w:rsid w:val="00874646"/>
    <w:rsid w:val="00874DD8"/>
    <w:rsid w:val="00875341"/>
    <w:rsid w:val="00876031"/>
    <w:rsid w:val="00880B03"/>
    <w:rsid w:val="0088125F"/>
    <w:rsid w:val="00883F03"/>
    <w:rsid w:val="0088627D"/>
    <w:rsid w:val="00890711"/>
    <w:rsid w:val="00893E09"/>
    <w:rsid w:val="00897A34"/>
    <w:rsid w:val="008A1D68"/>
    <w:rsid w:val="008A261C"/>
    <w:rsid w:val="008A322F"/>
    <w:rsid w:val="008A38F5"/>
    <w:rsid w:val="008A3A37"/>
    <w:rsid w:val="008A6735"/>
    <w:rsid w:val="008B0558"/>
    <w:rsid w:val="008B06FE"/>
    <w:rsid w:val="008B1628"/>
    <w:rsid w:val="008B2BE2"/>
    <w:rsid w:val="008B2D31"/>
    <w:rsid w:val="008B34F9"/>
    <w:rsid w:val="008B3566"/>
    <w:rsid w:val="008B50BA"/>
    <w:rsid w:val="008B56D4"/>
    <w:rsid w:val="008B5A0D"/>
    <w:rsid w:val="008B6F8A"/>
    <w:rsid w:val="008C0EF6"/>
    <w:rsid w:val="008C3902"/>
    <w:rsid w:val="008C5240"/>
    <w:rsid w:val="008C619E"/>
    <w:rsid w:val="008C64CC"/>
    <w:rsid w:val="008C7C95"/>
    <w:rsid w:val="008C7FA0"/>
    <w:rsid w:val="008D1720"/>
    <w:rsid w:val="008D18AB"/>
    <w:rsid w:val="008D2D44"/>
    <w:rsid w:val="008D2F3D"/>
    <w:rsid w:val="008D3A0C"/>
    <w:rsid w:val="008D4BE6"/>
    <w:rsid w:val="008D5C91"/>
    <w:rsid w:val="008D6456"/>
    <w:rsid w:val="008D6C5D"/>
    <w:rsid w:val="008D6DE2"/>
    <w:rsid w:val="008E007B"/>
    <w:rsid w:val="008E193D"/>
    <w:rsid w:val="008E21AB"/>
    <w:rsid w:val="008E2C13"/>
    <w:rsid w:val="008E4712"/>
    <w:rsid w:val="008E59E2"/>
    <w:rsid w:val="008E64EE"/>
    <w:rsid w:val="008E70A0"/>
    <w:rsid w:val="008E7EA0"/>
    <w:rsid w:val="008F0976"/>
    <w:rsid w:val="008F0A59"/>
    <w:rsid w:val="008F1958"/>
    <w:rsid w:val="008F23B2"/>
    <w:rsid w:val="008F38FD"/>
    <w:rsid w:val="008F5D49"/>
    <w:rsid w:val="008F6D92"/>
    <w:rsid w:val="008F72E8"/>
    <w:rsid w:val="00900A31"/>
    <w:rsid w:val="00900D9C"/>
    <w:rsid w:val="00901B79"/>
    <w:rsid w:val="00902F66"/>
    <w:rsid w:val="009033C8"/>
    <w:rsid w:val="009045AF"/>
    <w:rsid w:val="0090632E"/>
    <w:rsid w:val="00907A08"/>
    <w:rsid w:val="00910F84"/>
    <w:rsid w:val="009110C5"/>
    <w:rsid w:val="00913544"/>
    <w:rsid w:val="0091391F"/>
    <w:rsid w:val="0091430F"/>
    <w:rsid w:val="00916BED"/>
    <w:rsid w:val="0092006E"/>
    <w:rsid w:val="00922381"/>
    <w:rsid w:val="00922D32"/>
    <w:rsid w:val="009313C1"/>
    <w:rsid w:val="009319F5"/>
    <w:rsid w:val="009327C1"/>
    <w:rsid w:val="00933E76"/>
    <w:rsid w:val="00934066"/>
    <w:rsid w:val="00934544"/>
    <w:rsid w:val="00934DC1"/>
    <w:rsid w:val="0093562D"/>
    <w:rsid w:val="00935BAE"/>
    <w:rsid w:val="00942CD9"/>
    <w:rsid w:val="00946574"/>
    <w:rsid w:val="00947837"/>
    <w:rsid w:val="00947E44"/>
    <w:rsid w:val="00952187"/>
    <w:rsid w:val="00952C2C"/>
    <w:rsid w:val="009530CC"/>
    <w:rsid w:val="009534BF"/>
    <w:rsid w:val="00953A17"/>
    <w:rsid w:val="009544F7"/>
    <w:rsid w:val="0095454B"/>
    <w:rsid w:val="009558C6"/>
    <w:rsid w:val="00955B06"/>
    <w:rsid w:val="009568D2"/>
    <w:rsid w:val="00957486"/>
    <w:rsid w:val="00960FB0"/>
    <w:rsid w:val="00961660"/>
    <w:rsid w:val="009617B4"/>
    <w:rsid w:val="009622D0"/>
    <w:rsid w:val="00963375"/>
    <w:rsid w:val="00963DD9"/>
    <w:rsid w:val="00964A3A"/>
    <w:rsid w:val="00964B6C"/>
    <w:rsid w:val="00964E22"/>
    <w:rsid w:val="00965776"/>
    <w:rsid w:val="009665BF"/>
    <w:rsid w:val="00967691"/>
    <w:rsid w:val="00967949"/>
    <w:rsid w:val="00972F9F"/>
    <w:rsid w:val="00973ED8"/>
    <w:rsid w:val="0097570E"/>
    <w:rsid w:val="00976B7C"/>
    <w:rsid w:val="00976F13"/>
    <w:rsid w:val="009776A4"/>
    <w:rsid w:val="00980613"/>
    <w:rsid w:val="00981FD5"/>
    <w:rsid w:val="00982924"/>
    <w:rsid w:val="00982B58"/>
    <w:rsid w:val="00982BBD"/>
    <w:rsid w:val="00982DA1"/>
    <w:rsid w:val="00983C09"/>
    <w:rsid w:val="00985ABC"/>
    <w:rsid w:val="00986854"/>
    <w:rsid w:val="00991649"/>
    <w:rsid w:val="00991951"/>
    <w:rsid w:val="0099199E"/>
    <w:rsid w:val="00991E1C"/>
    <w:rsid w:val="00993885"/>
    <w:rsid w:val="009950DE"/>
    <w:rsid w:val="00995242"/>
    <w:rsid w:val="0099553F"/>
    <w:rsid w:val="009955AE"/>
    <w:rsid w:val="00997801"/>
    <w:rsid w:val="009A1EC2"/>
    <w:rsid w:val="009A1FE1"/>
    <w:rsid w:val="009A23EA"/>
    <w:rsid w:val="009A26E3"/>
    <w:rsid w:val="009A34D1"/>
    <w:rsid w:val="009A3F06"/>
    <w:rsid w:val="009A542D"/>
    <w:rsid w:val="009A54A1"/>
    <w:rsid w:val="009A59F7"/>
    <w:rsid w:val="009B0CAB"/>
    <w:rsid w:val="009B2013"/>
    <w:rsid w:val="009B3716"/>
    <w:rsid w:val="009B57B8"/>
    <w:rsid w:val="009B69D2"/>
    <w:rsid w:val="009B76D2"/>
    <w:rsid w:val="009C0E24"/>
    <w:rsid w:val="009C1431"/>
    <w:rsid w:val="009C30BE"/>
    <w:rsid w:val="009C4DD8"/>
    <w:rsid w:val="009C4E41"/>
    <w:rsid w:val="009C56A5"/>
    <w:rsid w:val="009C634C"/>
    <w:rsid w:val="009C6907"/>
    <w:rsid w:val="009C72A8"/>
    <w:rsid w:val="009D01C0"/>
    <w:rsid w:val="009D0A7B"/>
    <w:rsid w:val="009D1861"/>
    <w:rsid w:val="009D1CE6"/>
    <w:rsid w:val="009D1FA8"/>
    <w:rsid w:val="009D2160"/>
    <w:rsid w:val="009D606F"/>
    <w:rsid w:val="009D6098"/>
    <w:rsid w:val="009D649F"/>
    <w:rsid w:val="009D7C97"/>
    <w:rsid w:val="009E19A4"/>
    <w:rsid w:val="009E2582"/>
    <w:rsid w:val="009E2A86"/>
    <w:rsid w:val="009E6411"/>
    <w:rsid w:val="009E6D96"/>
    <w:rsid w:val="009E739C"/>
    <w:rsid w:val="009E7587"/>
    <w:rsid w:val="009F0644"/>
    <w:rsid w:val="009F175A"/>
    <w:rsid w:val="009F45D3"/>
    <w:rsid w:val="009F6A3B"/>
    <w:rsid w:val="009F6AA5"/>
    <w:rsid w:val="00A01392"/>
    <w:rsid w:val="00A01DE2"/>
    <w:rsid w:val="00A01DE7"/>
    <w:rsid w:val="00A03BA2"/>
    <w:rsid w:val="00A03F14"/>
    <w:rsid w:val="00A063F3"/>
    <w:rsid w:val="00A06B3B"/>
    <w:rsid w:val="00A10BBE"/>
    <w:rsid w:val="00A12484"/>
    <w:rsid w:val="00A12887"/>
    <w:rsid w:val="00A14DDD"/>
    <w:rsid w:val="00A174F9"/>
    <w:rsid w:val="00A23A4C"/>
    <w:rsid w:val="00A23CB6"/>
    <w:rsid w:val="00A2432A"/>
    <w:rsid w:val="00A2538B"/>
    <w:rsid w:val="00A2844B"/>
    <w:rsid w:val="00A30E50"/>
    <w:rsid w:val="00A31948"/>
    <w:rsid w:val="00A3197F"/>
    <w:rsid w:val="00A34008"/>
    <w:rsid w:val="00A35A7E"/>
    <w:rsid w:val="00A379F7"/>
    <w:rsid w:val="00A37D3D"/>
    <w:rsid w:val="00A401C5"/>
    <w:rsid w:val="00A40F9B"/>
    <w:rsid w:val="00A419E1"/>
    <w:rsid w:val="00A4208A"/>
    <w:rsid w:val="00A43D33"/>
    <w:rsid w:val="00A44550"/>
    <w:rsid w:val="00A510AA"/>
    <w:rsid w:val="00A5168C"/>
    <w:rsid w:val="00A529B6"/>
    <w:rsid w:val="00A5435C"/>
    <w:rsid w:val="00A57653"/>
    <w:rsid w:val="00A60226"/>
    <w:rsid w:val="00A6185B"/>
    <w:rsid w:val="00A61C04"/>
    <w:rsid w:val="00A626FD"/>
    <w:rsid w:val="00A63AAA"/>
    <w:rsid w:val="00A65BB3"/>
    <w:rsid w:val="00A6632C"/>
    <w:rsid w:val="00A66AD9"/>
    <w:rsid w:val="00A66C91"/>
    <w:rsid w:val="00A66E5B"/>
    <w:rsid w:val="00A6744A"/>
    <w:rsid w:val="00A75056"/>
    <w:rsid w:val="00A75EA7"/>
    <w:rsid w:val="00A760C5"/>
    <w:rsid w:val="00A80907"/>
    <w:rsid w:val="00A82076"/>
    <w:rsid w:val="00A82898"/>
    <w:rsid w:val="00A833C4"/>
    <w:rsid w:val="00A873D0"/>
    <w:rsid w:val="00A87D64"/>
    <w:rsid w:val="00A91780"/>
    <w:rsid w:val="00A9209C"/>
    <w:rsid w:val="00A92CEE"/>
    <w:rsid w:val="00A9525E"/>
    <w:rsid w:val="00A975D2"/>
    <w:rsid w:val="00AA7E99"/>
    <w:rsid w:val="00AB356E"/>
    <w:rsid w:val="00AB4702"/>
    <w:rsid w:val="00AB7072"/>
    <w:rsid w:val="00AC0378"/>
    <w:rsid w:val="00AC09F7"/>
    <w:rsid w:val="00AC35AC"/>
    <w:rsid w:val="00AC431C"/>
    <w:rsid w:val="00AC485B"/>
    <w:rsid w:val="00AC5945"/>
    <w:rsid w:val="00AC59A7"/>
    <w:rsid w:val="00AD0436"/>
    <w:rsid w:val="00AD04A5"/>
    <w:rsid w:val="00AD071D"/>
    <w:rsid w:val="00AD1B03"/>
    <w:rsid w:val="00AD1C46"/>
    <w:rsid w:val="00AD4A52"/>
    <w:rsid w:val="00AD4D37"/>
    <w:rsid w:val="00AD6F97"/>
    <w:rsid w:val="00AE36B4"/>
    <w:rsid w:val="00AF1316"/>
    <w:rsid w:val="00AF1C90"/>
    <w:rsid w:val="00AF2D61"/>
    <w:rsid w:val="00AF33EF"/>
    <w:rsid w:val="00AF4F60"/>
    <w:rsid w:val="00AF6E83"/>
    <w:rsid w:val="00B034DA"/>
    <w:rsid w:val="00B05E3F"/>
    <w:rsid w:val="00B079EB"/>
    <w:rsid w:val="00B07E53"/>
    <w:rsid w:val="00B1011A"/>
    <w:rsid w:val="00B11EBA"/>
    <w:rsid w:val="00B15218"/>
    <w:rsid w:val="00B15BC4"/>
    <w:rsid w:val="00B1F400"/>
    <w:rsid w:val="00B232FF"/>
    <w:rsid w:val="00B2330E"/>
    <w:rsid w:val="00B26833"/>
    <w:rsid w:val="00B274F5"/>
    <w:rsid w:val="00B30154"/>
    <w:rsid w:val="00B327E4"/>
    <w:rsid w:val="00B340EE"/>
    <w:rsid w:val="00B3607A"/>
    <w:rsid w:val="00B378FF"/>
    <w:rsid w:val="00B42797"/>
    <w:rsid w:val="00B444FE"/>
    <w:rsid w:val="00B44962"/>
    <w:rsid w:val="00B45C45"/>
    <w:rsid w:val="00B50F3B"/>
    <w:rsid w:val="00B5190C"/>
    <w:rsid w:val="00B51A30"/>
    <w:rsid w:val="00B52EA5"/>
    <w:rsid w:val="00B530E0"/>
    <w:rsid w:val="00B53474"/>
    <w:rsid w:val="00B53B6C"/>
    <w:rsid w:val="00B54FAE"/>
    <w:rsid w:val="00B560DE"/>
    <w:rsid w:val="00B57034"/>
    <w:rsid w:val="00B5782F"/>
    <w:rsid w:val="00B57F43"/>
    <w:rsid w:val="00B60530"/>
    <w:rsid w:val="00B6083E"/>
    <w:rsid w:val="00B60EFC"/>
    <w:rsid w:val="00B61283"/>
    <w:rsid w:val="00B6335C"/>
    <w:rsid w:val="00B63454"/>
    <w:rsid w:val="00B634D0"/>
    <w:rsid w:val="00B64698"/>
    <w:rsid w:val="00B64A8F"/>
    <w:rsid w:val="00B670EA"/>
    <w:rsid w:val="00B719BD"/>
    <w:rsid w:val="00B735C2"/>
    <w:rsid w:val="00B738B1"/>
    <w:rsid w:val="00B74269"/>
    <w:rsid w:val="00B752D9"/>
    <w:rsid w:val="00B76278"/>
    <w:rsid w:val="00B772B7"/>
    <w:rsid w:val="00B7761D"/>
    <w:rsid w:val="00B8065B"/>
    <w:rsid w:val="00B8082E"/>
    <w:rsid w:val="00B82BC6"/>
    <w:rsid w:val="00B83C8A"/>
    <w:rsid w:val="00B83E88"/>
    <w:rsid w:val="00B8471B"/>
    <w:rsid w:val="00B853D4"/>
    <w:rsid w:val="00B87C91"/>
    <w:rsid w:val="00B928CA"/>
    <w:rsid w:val="00B94179"/>
    <w:rsid w:val="00B9511A"/>
    <w:rsid w:val="00B953AE"/>
    <w:rsid w:val="00B958BF"/>
    <w:rsid w:val="00B95C41"/>
    <w:rsid w:val="00B96875"/>
    <w:rsid w:val="00B972E3"/>
    <w:rsid w:val="00BA1C8B"/>
    <w:rsid w:val="00BA1E12"/>
    <w:rsid w:val="00BA52B7"/>
    <w:rsid w:val="00BB2F5D"/>
    <w:rsid w:val="00BB3B26"/>
    <w:rsid w:val="00BB5971"/>
    <w:rsid w:val="00BB673B"/>
    <w:rsid w:val="00BC0686"/>
    <w:rsid w:val="00BC1D89"/>
    <w:rsid w:val="00BC268D"/>
    <w:rsid w:val="00BC3B5E"/>
    <w:rsid w:val="00BC3CAE"/>
    <w:rsid w:val="00BC634E"/>
    <w:rsid w:val="00BC6AA3"/>
    <w:rsid w:val="00BC6E8D"/>
    <w:rsid w:val="00BD1857"/>
    <w:rsid w:val="00BD1D28"/>
    <w:rsid w:val="00BD2CB1"/>
    <w:rsid w:val="00BD3DF2"/>
    <w:rsid w:val="00BD4710"/>
    <w:rsid w:val="00BD6981"/>
    <w:rsid w:val="00BE2418"/>
    <w:rsid w:val="00BE2834"/>
    <w:rsid w:val="00BE3311"/>
    <w:rsid w:val="00BE4B83"/>
    <w:rsid w:val="00BE59A1"/>
    <w:rsid w:val="00BE5C0B"/>
    <w:rsid w:val="00BE692C"/>
    <w:rsid w:val="00BF1423"/>
    <w:rsid w:val="00BF15FC"/>
    <w:rsid w:val="00BF5690"/>
    <w:rsid w:val="00BF6498"/>
    <w:rsid w:val="00BF6A43"/>
    <w:rsid w:val="00C01936"/>
    <w:rsid w:val="00C06590"/>
    <w:rsid w:val="00C078F9"/>
    <w:rsid w:val="00C1117C"/>
    <w:rsid w:val="00C1218D"/>
    <w:rsid w:val="00C156CC"/>
    <w:rsid w:val="00C15B51"/>
    <w:rsid w:val="00C17BBB"/>
    <w:rsid w:val="00C17CA7"/>
    <w:rsid w:val="00C17E92"/>
    <w:rsid w:val="00C2103B"/>
    <w:rsid w:val="00C217B3"/>
    <w:rsid w:val="00C2388C"/>
    <w:rsid w:val="00C274EC"/>
    <w:rsid w:val="00C27939"/>
    <w:rsid w:val="00C27DAC"/>
    <w:rsid w:val="00C27F16"/>
    <w:rsid w:val="00C303BA"/>
    <w:rsid w:val="00C303C5"/>
    <w:rsid w:val="00C32043"/>
    <w:rsid w:val="00C32761"/>
    <w:rsid w:val="00C35851"/>
    <w:rsid w:val="00C36F32"/>
    <w:rsid w:val="00C377A1"/>
    <w:rsid w:val="00C415D1"/>
    <w:rsid w:val="00C434D1"/>
    <w:rsid w:val="00C44A30"/>
    <w:rsid w:val="00C46775"/>
    <w:rsid w:val="00C473B4"/>
    <w:rsid w:val="00C4C8B7"/>
    <w:rsid w:val="00C50160"/>
    <w:rsid w:val="00C503FA"/>
    <w:rsid w:val="00C53872"/>
    <w:rsid w:val="00C541D7"/>
    <w:rsid w:val="00C606BA"/>
    <w:rsid w:val="00C61819"/>
    <w:rsid w:val="00C61B4D"/>
    <w:rsid w:val="00C63F67"/>
    <w:rsid w:val="00C64764"/>
    <w:rsid w:val="00C64998"/>
    <w:rsid w:val="00C67403"/>
    <w:rsid w:val="00C67A0B"/>
    <w:rsid w:val="00C7024D"/>
    <w:rsid w:val="00C70351"/>
    <w:rsid w:val="00C70446"/>
    <w:rsid w:val="00C70F0B"/>
    <w:rsid w:val="00C70F89"/>
    <w:rsid w:val="00C7137E"/>
    <w:rsid w:val="00C723E4"/>
    <w:rsid w:val="00C72745"/>
    <w:rsid w:val="00C737EC"/>
    <w:rsid w:val="00C7393E"/>
    <w:rsid w:val="00C7422D"/>
    <w:rsid w:val="00C74F88"/>
    <w:rsid w:val="00C76199"/>
    <w:rsid w:val="00C776F1"/>
    <w:rsid w:val="00C80E81"/>
    <w:rsid w:val="00C8377B"/>
    <w:rsid w:val="00C83873"/>
    <w:rsid w:val="00C83E75"/>
    <w:rsid w:val="00C844E8"/>
    <w:rsid w:val="00C84695"/>
    <w:rsid w:val="00C9294C"/>
    <w:rsid w:val="00C93349"/>
    <w:rsid w:val="00C96B24"/>
    <w:rsid w:val="00C96F38"/>
    <w:rsid w:val="00C970C1"/>
    <w:rsid w:val="00CA0707"/>
    <w:rsid w:val="00CA259B"/>
    <w:rsid w:val="00CA2FD8"/>
    <w:rsid w:val="00CA37BC"/>
    <w:rsid w:val="00CA5031"/>
    <w:rsid w:val="00CA6E76"/>
    <w:rsid w:val="00CA7F2C"/>
    <w:rsid w:val="00CB13B6"/>
    <w:rsid w:val="00CB13D0"/>
    <w:rsid w:val="00CB371A"/>
    <w:rsid w:val="00CB37F7"/>
    <w:rsid w:val="00CB3C6B"/>
    <w:rsid w:val="00CB4077"/>
    <w:rsid w:val="00CB447A"/>
    <w:rsid w:val="00CB7D66"/>
    <w:rsid w:val="00CC5FA5"/>
    <w:rsid w:val="00CD49C8"/>
    <w:rsid w:val="00CD59B4"/>
    <w:rsid w:val="00CD670A"/>
    <w:rsid w:val="00CD6B92"/>
    <w:rsid w:val="00CD7059"/>
    <w:rsid w:val="00CE175A"/>
    <w:rsid w:val="00CE2989"/>
    <w:rsid w:val="00CE2BB4"/>
    <w:rsid w:val="00CE508F"/>
    <w:rsid w:val="00CE6B89"/>
    <w:rsid w:val="00CF0136"/>
    <w:rsid w:val="00CF070F"/>
    <w:rsid w:val="00CF1172"/>
    <w:rsid w:val="00CF22CD"/>
    <w:rsid w:val="00CF26A6"/>
    <w:rsid w:val="00CF39BC"/>
    <w:rsid w:val="00CF3C59"/>
    <w:rsid w:val="00CF4CB1"/>
    <w:rsid w:val="00CF63CA"/>
    <w:rsid w:val="00CF670D"/>
    <w:rsid w:val="00CF79B8"/>
    <w:rsid w:val="00D01CDA"/>
    <w:rsid w:val="00D02388"/>
    <w:rsid w:val="00D02AB6"/>
    <w:rsid w:val="00D05992"/>
    <w:rsid w:val="00D05CEC"/>
    <w:rsid w:val="00D06896"/>
    <w:rsid w:val="00D07818"/>
    <w:rsid w:val="00D07FD0"/>
    <w:rsid w:val="00D11137"/>
    <w:rsid w:val="00D11C12"/>
    <w:rsid w:val="00D158E9"/>
    <w:rsid w:val="00D21ED8"/>
    <w:rsid w:val="00D22123"/>
    <w:rsid w:val="00D23C00"/>
    <w:rsid w:val="00D262CC"/>
    <w:rsid w:val="00D27527"/>
    <w:rsid w:val="00D3026E"/>
    <w:rsid w:val="00D320AA"/>
    <w:rsid w:val="00D32CA9"/>
    <w:rsid w:val="00D34100"/>
    <w:rsid w:val="00D349A1"/>
    <w:rsid w:val="00D3711C"/>
    <w:rsid w:val="00D37D45"/>
    <w:rsid w:val="00D427BB"/>
    <w:rsid w:val="00D43EB0"/>
    <w:rsid w:val="00D47DAE"/>
    <w:rsid w:val="00D47F6D"/>
    <w:rsid w:val="00D51DD8"/>
    <w:rsid w:val="00D51FA0"/>
    <w:rsid w:val="00D52A51"/>
    <w:rsid w:val="00D54ABF"/>
    <w:rsid w:val="00D54C5A"/>
    <w:rsid w:val="00D55108"/>
    <w:rsid w:val="00D60349"/>
    <w:rsid w:val="00D61BDE"/>
    <w:rsid w:val="00D64319"/>
    <w:rsid w:val="00D64C77"/>
    <w:rsid w:val="00D65097"/>
    <w:rsid w:val="00D67972"/>
    <w:rsid w:val="00D703B8"/>
    <w:rsid w:val="00D713BB"/>
    <w:rsid w:val="00D71F1B"/>
    <w:rsid w:val="00D72494"/>
    <w:rsid w:val="00D72A03"/>
    <w:rsid w:val="00D741EB"/>
    <w:rsid w:val="00D74B4D"/>
    <w:rsid w:val="00D75CD6"/>
    <w:rsid w:val="00D77479"/>
    <w:rsid w:val="00D81B49"/>
    <w:rsid w:val="00D81BF9"/>
    <w:rsid w:val="00D81F68"/>
    <w:rsid w:val="00D824FE"/>
    <w:rsid w:val="00D82543"/>
    <w:rsid w:val="00D83E43"/>
    <w:rsid w:val="00D84F41"/>
    <w:rsid w:val="00D8532F"/>
    <w:rsid w:val="00D8669D"/>
    <w:rsid w:val="00D875C7"/>
    <w:rsid w:val="00D91871"/>
    <w:rsid w:val="00D94F9C"/>
    <w:rsid w:val="00D9697D"/>
    <w:rsid w:val="00D9DFDB"/>
    <w:rsid w:val="00DA26A5"/>
    <w:rsid w:val="00DA4083"/>
    <w:rsid w:val="00DB0A11"/>
    <w:rsid w:val="00DB0B44"/>
    <w:rsid w:val="00DB0BB7"/>
    <w:rsid w:val="00DB1BE6"/>
    <w:rsid w:val="00DB22F7"/>
    <w:rsid w:val="00DB3C30"/>
    <w:rsid w:val="00DB6B53"/>
    <w:rsid w:val="00DB7535"/>
    <w:rsid w:val="00DB75E2"/>
    <w:rsid w:val="00DB7692"/>
    <w:rsid w:val="00DB7A81"/>
    <w:rsid w:val="00DC4897"/>
    <w:rsid w:val="00DC4ACE"/>
    <w:rsid w:val="00DC4B37"/>
    <w:rsid w:val="00DC4C53"/>
    <w:rsid w:val="00DC5B11"/>
    <w:rsid w:val="00DC6B87"/>
    <w:rsid w:val="00DD250A"/>
    <w:rsid w:val="00DD2940"/>
    <w:rsid w:val="00DD30D4"/>
    <w:rsid w:val="00DD70DE"/>
    <w:rsid w:val="00DD72EA"/>
    <w:rsid w:val="00DE00A6"/>
    <w:rsid w:val="00DE0ADB"/>
    <w:rsid w:val="00DE0F3B"/>
    <w:rsid w:val="00DE2A42"/>
    <w:rsid w:val="00DE31C6"/>
    <w:rsid w:val="00DE339C"/>
    <w:rsid w:val="00DE404F"/>
    <w:rsid w:val="00DE5E96"/>
    <w:rsid w:val="00DF0B57"/>
    <w:rsid w:val="00DF1E73"/>
    <w:rsid w:val="00DF3685"/>
    <w:rsid w:val="00DF660B"/>
    <w:rsid w:val="00DF7780"/>
    <w:rsid w:val="00E001B6"/>
    <w:rsid w:val="00E011F6"/>
    <w:rsid w:val="00E05B34"/>
    <w:rsid w:val="00E05FE2"/>
    <w:rsid w:val="00E0608C"/>
    <w:rsid w:val="00E0689B"/>
    <w:rsid w:val="00E073BB"/>
    <w:rsid w:val="00E1074E"/>
    <w:rsid w:val="00E11895"/>
    <w:rsid w:val="00E12532"/>
    <w:rsid w:val="00E129DB"/>
    <w:rsid w:val="00E16162"/>
    <w:rsid w:val="00E17A97"/>
    <w:rsid w:val="00E17FD6"/>
    <w:rsid w:val="00E23371"/>
    <w:rsid w:val="00E23F2A"/>
    <w:rsid w:val="00E26E92"/>
    <w:rsid w:val="00E270FC"/>
    <w:rsid w:val="00E27131"/>
    <w:rsid w:val="00E3001F"/>
    <w:rsid w:val="00E30189"/>
    <w:rsid w:val="00E311F4"/>
    <w:rsid w:val="00E33448"/>
    <w:rsid w:val="00E35272"/>
    <w:rsid w:val="00E36166"/>
    <w:rsid w:val="00E36781"/>
    <w:rsid w:val="00E40794"/>
    <w:rsid w:val="00E44E97"/>
    <w:rsid w:val="00E467C8"/>
    <w:rsid w:val="00E47793"/>
    <w:rsid w:val="00E51496"/>
    <w:rsid w:val="00E52400"/>
    <w:rsid w:val="00E60CD7"/>
    <w:rsid w:val="00E66826"/>
    <w:rsid w:val="00E66C51"/>
    <w:rsid w:val="00E6722D"/>
    <w:rsid w:val="00E67709"/>
    <w:rsid w:val="00E7039A"/>
    <w:rsid w:val="00E70706"/>
    <w:rsid w:val="00E71BAB"/>
    <w:rsid w:val="00E7278C"/>
    <w:rsid w:val="00E74C34"/>
    <w:rsid w:val="00E75367"/>
    <w:rsid w:val="00E75616"/>
    <w:rsid w:val="00E8087A"/>
    <w:rsid w:val="00E8172C"/>
    <w:rsid w:val="00E81EC5"/>
    <w:rsid w:val="00E820A5"/>
    <w:rsid w:val="00E82505"/>
    <w:rsid w:val="00E83022"/>
    <w:rsid w:val="00E83513"/>
    <w:rsid w:val="00E8424B"/>
    <w:rsid w:val="00E84B96"/>
    <w:rsid w:val="00E8512F"/>
    <w:rsid w:val="00E86330"/>
    <w:rsid w:val="00E91F86"/>
    <w:rsid w:val="00E92034"/>
    <w:rsid w:val="00E92F47"/>
    <w:rsid w:val="00EA10D2"/>
    <w:rsid w:val="00EA16F4"/>
    <w:rsid w:val="00EA3583"/>
    <w:rsid w:val="00EA3D9D"/>
    <w:rsid w:val="00EA4865"/>
    <w:rsid w:val="00EA4ABB"/>
    <w:rsid w:val="00EA4D7D"/>
    <w:rsid w:val="00EA64E9"/>
    <w:rsid w:val="00EA7CB6"/>
    <w:rsid w:val="00EB2DD6"/>
    <w:rsid w:val="00EB7518"/>
    <w:rsid w:val="00EC0154"/>
    <w:rsid w:val="00EC0901"/>
    <w:rsid w:val="00EC0A44"/>
    <w:rsid w:val="00EC23A4"/>
    <w:rsid w:val="00EC569C"/>
    <w:rsid w:val="00EC6885"/>
    <w:rsid w:val="00ED123A"/>
    <w:rsid w:val="00ED1F56"/>
    <w:rsid w:val="00ED2440"/>
    <w:rsid w:val="00ED56DD"/>
    <w:rsid w:val="00ED5766"/>
    <w:rsid w:val="00ED5A94"/>
    <w:rsid w:val="00ED6ABC"/>
    <w:rsid w:val="00ED6C70"/>
    <w:rsid w:val="00ED6F9E"/>
    <w:rsid w:val="00EDD829"/>
    <w:rsid w:val="00EE1E3B"/>
    <w:rsid w:val="00EE570F"/>
    <w:rsid w:val="00EE6A3F"/>
    <w:rsid w:val="00EE7CBA"/>
    <w:rsid w:val="00EF0E5D"/>
    <w:rsid w:val="00EF18A3"/>
    <w:rsid w:val="00EF336C"/>
    <w:rsid w:val="00EF5C77"/>
    <w:rsid w:val="00EF6677"/>
    <w:rsid w:val="00F0040A"/>
    <w:rsid w:val="00F0052A"/>
    <w:rsid w:val="00F008F6"/>
    <w:rsid w:val="00F01114"/>
    <w:rsid w:val="00F026B6"/>
    <w:rsid w:val="00F06979"/>
    <w:rsid w:val="00F07012"/>
    <w:rsid w:val="00F07A23"/>
    <w:rsid w:val="00F0C55B"/>
    <w:rsid w:val="00F1074F"/>
    <w:rsid w:val="00F13ADB"/>
    <w:rsid w:val="00F14E70"/>
    <w:rsid w:val="00F15DBC"/>
    <w:rsid w:val="00F16440"/>
    <w:rsid w:val="00F23818"/>
    <w:rsid w:val="00F23AFB"/>
    <w:rsid w:val="00F24085"/>
    <w:rsid w:val="00F25FF6"/>
    <w:rsid w:val="00F276F3"/>
    <w:rsid w:val="00F27858"/>
    <w:rsid w:val="00F30FCD"/>
    <w:rsid w:val="00F31426"/>
    <w:rsid w:val="00F318F3"/>
    <w:rsid w:val="00F32E00"/>
    <w:rsid w:val="00F337F1"/>
    <w:rsid w:val="00F33E27"/>
    <w:rsid w:val="00F35A54"/>
    <w:rsid w:val="00F37FBB"/>
    <w:rsid w:val="00F40777"/>
    <w:rsid w:val="00F407BF"/>
    <w:rsid w:val="00F40C60"/>
    <w:rsid w:val="00F40CFA"/>
    <w:rsid w:val="00F413F4"/>
    <w:rsid w:val="00F416EC"/>
    <w:rsid w:val="00F4343E"/>
    <w:rsid w:val="00F44525"/>
    <w:rsid w:val="00F468AB"/>
    <w:rsid w:val="00F47C3A"/>
    <w:rsid w:val="00F505A7"/>
    <w:rsid w:val="00F50974"/>
    <w:rsid w:val="00F53475"/>
    <w:rsid w:val="00F55FCA"/>
    <w:rsid w:val="00F57DE1"/>
    <w:rsid w:val="00F61485"/>
    <w:rsid w:val="00F624E5"/>
    <w:rsid w:val="00F62DFC"/>
    <w:rsid w:val="00F6428D"/>
    <w:rsid w:val="00F66B48"/>
    <w:rsid w:val="00F678C2"/>
    <w:rsid w:val="00F67A09"/>
    <w:rsid w:val="00F710C5"/>
    <w:rsid w:val="00F7261E"/>
    <w:rsid w:val="00F7397A"/>
    <w:rsid w:val="00F746FF"/>
    <w:rsid w:val="00F74D2A"/>
    <w:rsid w:val="00F74FC5"/>
    <w:rsid w:val="00F75D0B"/>
    <w:rsid w:val="00F80B85"/>
    <w:rsid w:val="00F81F17"/>
    <w:rsid w:val="00F8247D"/>
    <w:rsid w:val="00F82A4F"/>
    <w:rsid w:val="00F83AAE"/>
    <w:rsid w:val="00F84D26"/>
    <w:rsid w:val="00F85BA6"/>
    <w:rsid w:val="00F86350"/>
    <w:rsid w:val="00F87B3C"/>
    <w:rsid w:val="00F91EB8"/>
    <w:rsid w:val="00F92426"/>
    <w:rsid w:val="00F928BA"/>
    <w:rsid w:val="00F92C62"/>
    <w:rsid w:val="00F9455C"/>
    <w:rsid w:val="00F9745E"/>
    <w:rsid w:val="00FA01CC"/>
    <w:rsid w:val="00FA0A21"/>
    <w:rsid w:val="00FA2C74"/>
    <w:rsid w:val="00FA384E"/>
    <w:rsid w:val="00FA408C"/>
    <w:rsid w:val="00FA4462"/>
    <w:rsid w:val="00FA51E8"/>
    <w:rsid w:val="00FA63F9"/>
    <w:rsid w:val="00FA6A14"/>
    <w:rsid w:val="00FA7806"/>
    <w:rsid w:val="00FA7812"/>
    <w:rsid w:val="00FB2973"/>
    <w:rsid w:val="00FB2CDA"/>
    <w:rsid w:val="00FB2D2A"/>
    <w:rsid w:val="00FB2E03"/>
    <w:rsid w:val="00FB3729"/>
    <w:rsid w:val="00FB65C0"/>
    <w:rsid w:val="00FB7AE8"/>
    <w:rsid w:val="00FB7D07"/>
    <w:rsid w:val="00FBB752"/>
    <w:rsid w:val="00FC0126"/>
    <w:rsid w:val="00FC01C0"/>
    <w:rsid w:val="00FC0591"/>
    <w:rsid w:val="00FC0A0D"/>
    <w:rsid w:val="00FC0FC7"/>
    <w:rsid w:val="00FC1742"/>
    <w:rsid w:val="00FC2E28"/>
    <w:rsid w:val="00FC57D3"/>
    <w:rsid w:val="00FC5F8F"/>
    <w:rsid w:val="00FC6159"/>
    <w:rsid w:val="00FC71F5"/>
    <w:rsid w:val="00FC7A6A"/>
    <w:rsid w:val="00FC7AE1"/>
    <w:rsid w:val="00FD080F"/>
    <w:rsid w:val="00FD0F3E"/>
    <w:rsid w:val="00FD10D9"/>
    <w:rsid w:val="00FD369F"/>
    <w:rsid w:val="00FD38B5"/>
    <w:rsid w:val="00FD3E85"/>
    <w:rsid w:val="00FD3F4A"/>
    <w:rsid w:val="00FE0905"/>
    <w:rsid w:val="00FE31EA"/>
    <w:rsid w:val="00FE320A"/>
    <w:rsid w:val="00FE6DAE"/>
    <w:rsid w:val="00FE6DDC"/>
    <w:rsid w:val="00FE7691"/>
    <w:rsid w:val="00FF2DB2"/>
    <w:rsid w:val="00FF3D31"/>
    <w:rsid w:val="00FF5175"/>
    <w:rsid w:val="01000EF8"/>
    <w:rsid w:val="01016755"/>
    <w:rsid w:val="0107E037"/>
    <w:rsid w:val="01153588"/>
    <w:rsid w:val="011D582B"/>
    <w:rsid w:val="011F56C0"/>
    <w:rsid w:val="01256CB7"/>
    <w:rsid w:val="01257E78"/>
    <w:rsid w:val="01390D58"/>
    <w:rsid w:val="013D5CCA"/>
    <w:rsid w:val="013F15DC"/>
    <w:rsid w:val="014B7C80"/>
    <w:rsid w:val="0150A02D"/>
    <w:rsid w:val="015A631B"/>
    <w:rsid w:val="015F1E08"/>
    <w:rsid w:val="016876EC"/>
    <w:rsid w:val="016A242C"/>
    <w:rsid w:val="018FC2B0"/>
    <w:rsid w:val="019BD026"/>
    <w:rsid w:val="01C5EFC9"/>
    <w:rsid w:val="01CB27F7"/>
    <w:rsid w:val="01CE555A"/>
    <w:rsid w:val="01CECEDE"/>
    <w:rsid w:val="01DDDD68"/>
    <w:rsid w:val="01E40473"/>
    <w:rsid w:val="01EBDF99"/>
    <w:rsid w:val="01FBDC53"/>
    <w:rsid w:val="01FC47FE"/>
    <w:rsid w:val="0207C94E"/>
    <w:rsid w:val="020DE4B1"/>
    <w:rsid w:val="02115208"/>
    <w:rsid w:val="0211BAED"/>
    <w:rsid w:val="0215CEEE"/>
    <w:rsid w:val="02170AF5"/>
    <w:rsid w:val="022C77CE"/>
    <w:rsid w:val="0230B6DD"/>
    <w:rsid w:val="023673A1"/>
    <w:rsid w:val="0237B2A1"/>
    <w:rsid w:val="0238F318"/>
    <w:rsid w:val="023DECD4"/>
    <w:rsid w:val="0240DFF8"/>
    <w:rsid w:val="0249AE89"/>
    <w:rsid w:val="024D3E65"/>
    <w:rsid w:val="02577C65"/>
    <w:rsid w:val="0273B399"/>
    <w:rsid w:val="02770DE5"/>
    <w:rsid w:val="0287738E"/>
    <w:rsid w:val="0288FCE2"/>
    <w:rsid w:val="02920C08"/>
    <w:rsid w:val="02971F85"/>
    <w:rsid w:val="0299D3B4"/>
    <w:rsid w:val="029A45E7"/>
    <w:rsid w:val="029ABF0A"/>
    <w:rsid w:val="029B4733"/>
    <w:rsid w:val="02A19291"/>
    <w:rsid w:val="02A835D2"/>
    <w:rsid w:val="02ADB4AD"/>
    <w:rsid w:val="02AF267C"/>
    <w:rsid w:val="02B22F58"/>
    <w:rsid w:val="02BA3988"/>
    <w:rsid w:val="02CCBF51"/>
    <w:rsid w:val="02CEE18C"/>
    <w:rsid w:val="02E06B5A"/>
    <w:rsid w:val="02E84657"/>
    <w:rsid w:val="02F262D9"/>
    <w:rsid w:val="030E6998"/>
    <w:rsid w:val="031A6B50"/>
    <w:rsid w:val="032973E6"/>
    <w:rsid w:val="032BBA4B"/>
    <w:rsid w:val="0337893C"/>
    <w:rsid w:val="033F8C40"/>
    <w:rsid w:val="035597C8"/>
    <w:rsid w:val="0356FEE5"/>
    <w:rsid w:val="03614F64"/>
    <w:rsid w:val="0361E3C6"/>
    <w:rsid w:val="037051D7"/>
    <w:rsid w:val="03800FC8"/>
    <w:rsid w:val="03824337"/>
    <w:rsid w:val="03932CE4"/>
    <w:rsid w:val="0398185F"/>
    <w:rsid w:val="039AF223"/>
    <w:rsid w:val="03A265E8"/>
    <w:rsid w:val="03AB81D8"/>
    <w:rsid w:val="03D943A1"/>
    <w:rsid w:val="03DA93CD"/>
    <w:rsid w:val="03DB1E3D"/>
    <w:rsid w:val="03E384AB"/>
    <w:rsid w:val="03ED26C3"/>
    <w:rsid w:val="03F202FA"/>
    <w:rsid w:val="03F6805F"/>
    <w:rsid w:val="03F84469"/>
    <w:rsid w:val="03FB4F03"/>
    <w:rsid w:val="04036FAC"/>
    <w:rsid w:val="0404C018"/>
    <w:rsid w:val="0413CD2A"/>
    <w:rsid w:val="04163326"/>
    <w:rsid w:val="0421556B"/>
    <w:rsid w:val="042633B5"/>
    <w:rsid w:val="042AC960"/>
    <w:rsid w:val="042C1023"/>
    <w:rsid w:val="04321F4C"/>
    <w:rsid w:val="043318C8"/>
    <w:rsid w:val="043E9805"/>
    <w:rsid w:val="0447A84E"/>
    <w:rsid w:val="04489936"/>
    <w:rsid w:val="045824E8"/>
    <w:rsid w:val="045EEA51"/>
    <w:rsid w:val="04685F87"/>
    <w:rsid w:val="04692B25"/>
    <w:rsid w:val="0474C87B"/>
    <w:rsid w:val="047FFC7E"/>
    <w:rsid w:val="04818370"/>
    <w:rsid w:val="0484DF57"/>
    <w:rsid w:val="0488F23A"/>
    <w:rsid w:val="0494B0F7"/>
    <w:rsid w:val="04978497"/>
    <w:rsid w:val="0497B2CB"/>
    <w:rsid w:val="04A67B53"/>
    <w:rsid w:val="04AF7BC0"/>
    <w:rsid w:val="04D2CD85"/>
    <w:rsid w:val="04DA5B87"/>
    <w:rsid w:val="04DBD845"/>
    <w:rsid w:val="04E1167F"/>
    <w:rsid w:val="04E68CC8"/>
    <w:rsid w:val="04EC9583"/>
    <w:rsid w:val="04F0DEB0"/>
    <w:rsid w:val="04F12906"/>
    <w:rsid w:val="04F3E52E"/>
    <w:rsid w:val="0514CDAB"/>
    <w:rsid w:val="0517E200"/>
    <w:rsid w:val="051F600B"/>
    <w:rsid w:val="05244BA7"/>
    <w:rsid w:val="0527B281"/>
    <w:rsid w:val="05444087"/>
    <w:rsid w:val="0544EA89"/>
    <w:rsid w:val="0545BA84"/>
    <w:rsid w:val="054BFB5E"/>
    <w:rsid w:val="054DC195"/>
    <w:rsid w:val="055B0164"/>
    <w:rsid w:val="055F1019"/>
    <w:rsid w:val="05653625"/>
    <w:rsid w:val="057357EF"/>
    <w:rsid w:val="057FA6BB"/>
    <w:rsid w:val="059C2255"/>
    <w:rsid w:val="05C63472"/>
    <w:rsid w:val="05D24631"/>
    <w:rsid w:val="05E59532"/>
    <w:rsid w:val="05E8249D"/>
    <w:rsid w:val="05EA68E6"/>
    <w:rsid w:val="05FA55B7"/>
    <w:rsid w:val="0604B664"/>
    <w:rsid w:val="06078C45"/>
    <w:rsid w:val="06126AE9"/>
    <w:rsid w:val="062A8E89"/>
    <w:rsid w:val="062CC47B"/>
    <w:rsid w:val="062EC12E"/>
    <w:rsid w:val="062F6914"/>
    <w:rsid w:val="063D954F"/>
    <w:rsid w:val="064256C7"/>
    <w:rsid w:val="065578F1"/>
    <w:rsid w:val="0656BDAC"/>
    <w:rsid w:val="06644F86"/>
    <w:rsid w:val="0665EDE1"/>
    <w:rsid w:val="066A811A"/>
    <w:rsid w:val="066E4E40"/>
    <w:rsid w:val="06785EA1"/>
    <w:rsid w:val="0679B578"/>
    <w:rsid w:val="0679DFF9"/>
    <w:rsid w:val="06999677"/>
    <w:rsid w:val="06AADD28"/>
    <w:rsid w:val="06B34C3D"/>
    <w:rsid w:val="06B4139F"/>
    <w:rsid w:val="06BF92CF"/>
    <w:rsid w:val="06C61DB3"/>
    <w:rsid w:val="06CCDE73"/>
    <w:rsid w:val="06DB7BE6"/>
    <w:rsid w:val="06E2F419"/>
    <w:rsid w:val="06EF6ED8"/>
    <w:rsid w:val="06F80E15"/>
    <w:rsid w:val="070FD73E"/>
    <w:rsid w:val="07153A66"/>
    <w:rsid w:val="0715AFDF"/>
    <w:rsid w:val="0716D4A8"/>
    <w:rsid w:val="072F74ED"/>
    <w:rsid w:val="073C48CD"/>
    <w:rsid w:val="0743B6A3"/>
    <w:rsid w:val="074BB366"/>
    <w:rsid w:val="07560B58"/>
    <w:rsid w:val="075C5F73"/>
    <w:rsid w:val="0774655E"/>
    <w:rsid w:val="0776772F"/>
    <w:rsid w:val="077C1CCB"/>
    <w:rsid w:val="077C2860"/>
    <w:rsid w:val="077D2EAC"/>
    <w:rsid w:val="079469E2"/>
    <w:rsid w:val="07972B53"/>
    <w:rsid w:val="07975BCF"/>
    <w:rsid w:val="07A6592D"/>
    <w:rsid w:val="07AB16F1"/>
    <w:rsid w:val="07B13BE8"/>
    <w:rsid w:val="07C8B25E"/>
    <w:rsid w:val="07D240DC"/>
    <w:rsid w:val="07D54BF4"/>
    <w:rsid w:val="07D595A8"/>
    <w:rsid w:val="07DB7716"/>
    <w:rsid w:val="07DD37C0"/>
    <w:rsid w:val="07E15336"/>
    <w:rsid w:val="07ED5ED8"/>
    <w:rsid w:val="07F69648"/>
    <w:rsid w:val="0809F6F4"/>
    <w:rsid w:val="083208FD"/>
    <w:rsid w:val="0848CF5D"/>
    <w:rsid w:val="08502EC9"/>
    <w:rsid w:val="085BF490"/>
    <w:rsid w:val="0865AD23"/>
    <w:rsid w:val="086AA2F2"/>
    <w:rsid w:val="08800382"/>
    <w:rsid w:val="0880C446"/>
    <w:rsid w:val="088FC17B"/>
    <w:rsid w:val="0893BEC5"/>
    <w:rsid w:val="0897BBCE"/>
    <w:rsid w:val="089E7CEB"/>
    <w:rsid w:val="08A2306B"/>
    <w:rsid w:val="08AB14DE"/>
    <w:rsid w:val="08AD6B8E"/>
    <w:rsid w:val="08AED322"/>
    <w:rsid w:val="08B13C38"/>
    <w:rsid w:val="08B5DFB3"/>
    <w:rsid w:val="08B789EF"/>
    <w:rsid w:val="08D0E9F5"/>
    <w:rsid w:val="08D35F97"/>
    <w:rsid w:val="08ED8866"/>
    <w:rsid w:val="08F0E321"/>
    <w:rsid w:val="0909990D"/>
    <w:rsid w:val="09120BF7"/>
    <w:rsid w:val="091967AF"/>
    <w:rsid w:val="091CABEF"/>
    <w:rsid w:val="0924FAB3"/>
    <w:rsid w:val="093C6257"/>
    <w:rsid w:val="09473DE1"/>
    <w:rsid w:val="095F4E5A"/>
    <w:rsid w:val="0979066A"/>
    <w:rsid w:val="0979EC76"/>
    <w:rsid w:val="099D67BB"/>
    <w:rsid w:val="09B25FBF"/>
    <w:rsid w:val="09BB0F76"/>
    <w:rsid w:val="09CB7003"/>
    <w:rsid w:val="09D3DCE2"/>
    <w:rsid w:val="09DE9C94"/>
    <w:rsid w:val="09E64CE1"/>
    <w:rsid w:val="09E83ECE"/>
    <w:rsid w:val="09E963DE"/>
    <w:rsid w:val="09EBCB9E"/>
    <w:rsid w:val="0A070305"/>
    <w:rsid w:val="0A09DAD3"/>
    <w:rsid w:val="0A09E378"/>
    <w:rsid w:val="0A0AB126"/>
    <w:rsid w:val="0A0B23D9"/>
    <w:rsid w:val="0A0E20B2"/>
    <w:rsid w:val="0A100CF2"/>
    <w:rsid w:val="0A175F45"/>
    <w:rsid w:val="0A22C457"/>
    <w:rsid w:val="0A240EC8"/>
    <w:rsid w:val="0A27ACD6"/>
    <w:rsid w:val="0A34B524"/>
    <w:rsid w:val="0A37737E"/>
    <w:rsid w:val="0A42C7AB"/>
    <w:rsid w:val="0A4D50A1"/>
    <w:rsid w:val="0A4D7D64"/>
    <w:rsid w:val="0A5F829D"/>
    <w:rsid w:val="0A635DE1"/>
    <w:rsid w:val="0A6FB0AC"/>
    <w:rsid w:val="0A7560FE"/>
    <w:rsid w:val="0A7ABE68"/>
    <w:rsid w:val="0A86E6C0"/>
    <w:rsid w:val="0A948F49"/>
    <w:rsid w:val="0A9B9316"/>
    <w:rsid w:val="0AA48382"/>
    <w:rsid w:val="0AAAF232"/>
    <w:rsid w:val="0AAB9A87"/>
    <w:rsid w:val="0AAC2310"/>
    <w:rsid w:val="0ABBE7E4"/>
    <w:rsid w:val="0AD8B7B5"/>
    <w:rsid w:val="0ADD8102"/>
    <w:rsid w:val="0AEAECA8"/>
    <w:rsid w:val="0AED0A78"/>
    <w:rsid w:val="0AF7D84F"/>
    <w:rsid w:val="0AFC0375"/>
    <w:rsid w:val="0B005320"/>
    <w:rsid w:val="0B053A67"/>
    <w:rsid w:val="0B0DE3B3"/>
    <w:rsid w:val="0B0E866C"/>
    <w:rsid w:val="0B110672"/>
    <w:rsid w:val="0B148B89"/>
    <w:rsid w:val="0B1F832A"/>
    <w:rsid w:val="0B2B0CCA"/>
    <w:rsid w:val="0B304EFD"/>
    <w:rsid w:val="0B4492E5"/>
    <w:rsid w:val="0B4B1AAB"/>
    <w:rsid w:val="0B535321"/>
    <w:rsid w:val="0B54B32D"/>
    <w:rsid w:val="0B5665BE"/>
    <w:rsid w:val="0B5976FE"/>
    <w:rsid w:val="0B5E1F06"/>
    <w:rsid w:val="0B6B82B5"/>
    <w:rsid w:val="0BBE71FA"/>
    <w:rsid w:val="0BC02B4C"/>
    <w:rsid w:val="0BF62E9F"/>
    <w:rsid w:val="0BF8DF6F"/>
    <w:rsid w:val="0BFD737E"/>
    <w:rsid w:val="0BFDAD5A"/>
    <w:rsid w:val="0C0CAB43"/>
    <w:rsid w:val="0C114A28"/>
    <w:rsid w:val="0C13EC98"/>
    <w:rsid w:val="0C16A7E4"/>
    <w:rsid w:val="0C2865D4"/>
    <w:rsid w:val="0C2AB3EB"/>
    <w:rsid w:val="0C35FE5A"/>
    <w:rsid w:val="0C3A3DF2"/>
    <w:rsid w:val="0C42829D"/>
    <w:rsid w:val="0C4D97DF"/>
    <w:rsid w:val="0C581583"/>
    <w:rsid w:val="0C5ED20B"/>
    <w:rsid w:val="0C62D8E6"/>
    <w:rsid w:val="0C642ACA"/>
    <w:rsid w:val="0C74DF13"/>
    <w:rsid w:val="0C7A65C5"/>
    <w:rsid w:val="0CA49AAC"/>
    <w:rsid w:val="0CA7CF35"/>
    <w:rsid w:val="0CAA56CD"/>
    <w:rsid w:val="0CB64B44"/>
    <w:rsid w:val="0CC1CD31"/>
    <w:rsid w:val="0CCB1DA4"/>
    <w:rsid w:val="0CCB328A"/>
    <w:rsid w:val="0CE3047C"/>
    <w:rsid w:val="0D0905D5"/>
    <w:rsid w:val="0D203B82"/>
    <w:rsid w:val="0D374ED5"/>
    <w:rsid w:val="0D3F1C02"/>
    <w:rsid w:val="0D4DE6E6"/>
    <w:rsid w:val="0D517B72"/>
    <w:rsid w:val="0D56D5A9"/>
    <w:rsid w:val="0D678EFB"/>
    <w:rsid w:val="0D709DE8"/>
    <w:rsid w:val="0D84DEAE"/>
    <w:rsid w:val="0D89841E"/>
    <w:rsid w:val="0D8D8509"/>
    <w:rsid w:val="0D9C5895"/>
    <w:rsid w:val="0D9E8C79"/>
    <w:rsid w:val="0DA25162"/>
    <w:rsid w:val="0DACCF9E"/>
    <w:rsid w:val="0DC182DA"/>
    <w:rsid w:val="0DC44EAC"/>
    <w:rsid w:val="0DED2875"/>
    <w:rsid w:val="0DF6E01F"/>
    <w:rsid w:val="0DFE60CF"/>
    <w:rsid w:val="0E02EA4D"/>
    <w:rsid w:val="0E06F2A5"/>
    <w:rsid w:val="0E36EA45"/>
    <w:rsid w:val="0E428ADA"/>
    <w:rsid w:val="0E44274A"/>
    <w:rsid w:val="0E457878"/>
    <w:rsid w:val="0E46272E"/>
    <w:rsid w:val="0E48D6BB"/>
    <w:rsid w:val="0E5D124F"/>
    <w:rsid w:val="0E5DF4B2"/>
    <w:rsid w:val="0E5E9B5A"/>
    <w:rsid w:val="0E60B783"/>
    <w:rsid w:val="0E8FFAD8"/>
    <w:rsid w:val="0E940296"/>
    <w:rsid w:val="0EB20DB7"/>
    <w:rsid w:val="0EBD2566"/>
    <w:rsid w:val="0EBDEB0D"/>
    <w:rsid w:val="0EC0BC03"/>
    <w:rsid w:val="0ECE2FE5"/>
    <w:rsid w:val="0ED8C088"/>
    <w:rsid w:val="0EDAF3F2"/>
    <w:rsid w:val="0EDDA809"/>
    <w:rsid w:val="0EEB1604"/>
    <w:rsid w:val="0F017DAC"/>
    <w:rsid w:val="0F125C1E"/>
    <w:rsid w:val="0F141958"/>
    <w:rsid w:val="0F14691B"/>
    <w:rsid w:val="0F1B5488"/>
    <w:rsid w:val="0F1D82D7"/>
    <w:rsid w:val="0F225D44"/>
    <w:rsid w:val="0F2337CA"/>
    <w:rsid w:val="0F237AD5"/>
    <w:rsid w:val="0F23D4B1"/>
    <w:rsid w:val="0F2FC495"/>
    <w:rsid w:val="0F444193"/>
    <w:rsid w:val="0F44DF32"/>
    <w:rsid w:val="0F4C8CE2"/>
    <w:rsid w:val="0F6AFB7E"/>
    <w:rsid w:val="0F7764BE"/>
    <w:rsid w:val="0F7C35E3"/>
    <w:rsid w:val="0F7F9433"/>
    <w:rsid w:val="0F96DFD5"/>
    <w:rsid w:val="0F979EE0"/>
    <w:rsid w:val="0FADD445"/>
    <w:rsid w:val="0FBE312B"/>
    <w:rsid w:val="0FD1DA8C"/>
    <w:rsid w:val="0FD3C443"/>
    <w:rsid w:val="0FDEF326"/>
    <w:rsid w:val="0FE1FD28"/>
    <w:rsid w:val="0FEA0FD1"/>
    <w:rsid w:val="0FEA3746"/>
    <w:rsid w:val="0FEA5201"/>
    <w:rsid w:val="0FEACB0E"/>
    <w:rsid w:val="0FEC8D42"/>
    <w:rsid w:val="0FF07D12"/>
    <w:rsid w:val="0FF53114"/>
    <w:rsid w:val="1008A2F2"/>
    <w:rsid w:val="100D1A46"/>
    <w:rsid w:val="10115560"/>
    <w:rsid w:val="1013286A"/>
    <w:rsid w:val="101444AA"/>
    <w:rsid w:val="1014E6C0"/>
    <w:rsid w:val="1018B586"/>
    <w:rsid w:val="101C886E"/>
    <w:rsid w:val="1023E997"/>
    <w:rsid w:val="1028D476"/>
    <w:rsid w:val="10354641"/>
    <w:rsid w:val="103D2D68"/>
    <w:rsid w:val="104EB828"/>
    <w:rsid w:val="104F1799"/>
    <w:rsid w:val="10501D1D"/>
    <w:rsid w:val="105450A7"/>
    <w:rsid w:val="10710150"/>
    <w:rsid w:val="10810347"/>
    <w:rsid w:val="1091DFC7"/>
    <w:rsid w:val="10AE00DB"/>
    <w:rsid w:val="10AF3DC7"/>
    <w:rsid w:val="10C143BB"/>
    <w:rsid w:val="10C502B7"/>
    <w:rsid w:val="10D0EBD1"/>
    <w:rsid w:val="10D9DF8A"/>
    <w:rsid w:val="10DB26BD"/>
    <w:rsid w:val="10DCB8F3"/>
    <w:rsid w:val="10E5E750"/>
    <w:rsid w:val="10EE34D9"/>
    <w:rsid w:val="10FAC2A4"/>
    <w:rsid w:val="10FB8DD7"/>
    <w:rsid w:val="11107617"/>
    <w:rsid w:val="111FBD6C"/>
    <w:rsid w:val="11292537"/>
    <w:rsid w:val="1131CED6"/>
    <w:rsid w:val="1140C51D"/>
    <w:rsid w:val="1159F5F5"/>
    <w:rsid w:val="11608464"/>
    <w:rsid w:val="11A22BF1"/>
    <w:rsid w:val="11A8841C"/>
    <w:rsid w:val="11AD79CE"/>
    <w:rsid w:val="11B01603"/>
    <w:rsid w:val="11B46428"/>
    <w:rsid w:val="11C1944F"/>
    <w:rsid w:val="11C302C4"/>
    <w:rsid w:val="11C5C66A"/>
    <w:rsid w:val="11CE679B"/>
    <w:rsid w:val="11D94B28"/>
    <w:rsid w:val="11DBF64D"/>
    <w:rsid w:val="11DF5153"/>
    <w:rsid w:val="11E9AE79"/>
    <w:rsid w:val="11FEF7CA"/>
    <w:rsid w:val="1200DB0F"/>
    <w:rsid w:val="1206826C"/>
    <w:rsid w:val="12156D4D"/>
    <w:rsid w:val="121ECEC8"/>
    <w:rsid w:val="122350C3"/>
    <w:rsid w:val="122579BA"/>
    <w:rsid w:val="1230014C"/>
    <w:rsid w:val="1233A000"/>
    <w:rsid w:val="12342F67"/>
    <w:rsid w:val="1238B29A"/>
    <w:rsid w:val="1241BFF0"/>
    <w:rsid w:val="12473907"/>
    <w:rsid w:val="12479056"/>
    <w:rsid w:val="124DCC84"/>
    <w:rsid w:val="12524733"/>
    <w:rsid w:val="125D0126"/>
    <w:rsid w:val="126C9D6B"/>
    <w:rsid w:val="126FF12D"/>
    <w:rsid w:val="1272A0C5"/>
    <w:rsid w:val="12873731"/>
    <w:rsid w:val="128FC1A1"/>
    <w:rsid w:val="1298552C"/>
    <w:rsid w:val="129D51AB"/>
    <w:rsid w:val="12A0A162"/>
    <w:rsid w:val="12FA6A78"/>
    <w:rsid w:val="12FCE79F"/>
    <w:rsid w:val="13010AB1"/>
    <w:rsid w:val="130275FA"/>
    <w:rsid w:val="130393D1"/>
    <w:rsid w:val="130405C4"/>
    <w:rsid w:val="13044B40"/>
    <w:rsid w:val="1305436C"/>
    <w:rsid w:val="130A149A"/>
    <w:rsid w:val="131C1857"/>
    <w:rsid w:val="131CF3F4"/>
    <w:rsid w:val="1332A8C3"/>
    <w:rsid w:val="1332B20D"/>
    <w:rsid w:val="134648CD"/>
    <w:rsid w:val="1348B713"/>
    <w:rsid w:val="134E0739"/>
    <w:rsid w:val="134FC06A"/>
    <w:rsid w:val="135233DB"/>
    <w:rsid w:val="13676A80"/>
    <w:rsid w:val="1379D967"/>
    <w:rsid w:val="138262DE"/>
    <w:rsid w:val="1383A809"/>
    <w:rsid w:val="139E35F0"/>
    <w:rsid w:val="13AE6515"/>
    <w:rsid w:val="13B8E238"/>
    <w:rsid w:val="13CE89A8"/>
    <w:rsid w:val="13D482FB"/>
    <w:rsid w:val="13D70F75"/>
    <w:rsid w:val="13E07E14"/>
    <w:rsid w:val="13E656E7"/>
    <w:rsid w:val="13ED46F5"/>
    <w:rsid w:val="13F0D333"/>
    <w:rsid w:val="13F8E933"/>
    <w:rsid w:val="13F8FA05"/>
    <w:rsid w:val="13FDFE70"/>
    <w:rsid w:val="140AA078"/>
    <w:rsid w:val="14110591"/>
    <w:rsid w:val="141286E3"/>
    <w:rsid w:val="1412A3E4"/>
    <w:rsid w:val="142234CD"/>
    <w:rsid w:val="142C057E"/>
    <w:rsid w:val="14335D83"/>
    <w:rsid w:val="143579CE"/>
    <w:rsid w:val="143DC4A5"/>
    <w:rsid w:val="14405802"/>
    <w:rsid w:val="14434E23"/>
    <w:rsid w:val="144760BD"/>
    <w:rsid w:val="14497E46"/>
    <w:rsid w:val="145C9DD5"/>
    <w:rsid w:val="14723D05"/>
    <w:rsid w:val="149322BF"/>
    <w:rsid w:val="14A27A44"/>
    <w:rsid w:val="14B28915"/>
    <w:rsid w:val="14B776B6"/>
    <w:rsid w:val="14B92FC4"/>
    <w:rsid w:val="14C3A9F3"/>
    <w:rsid w:val="14C88C03"/>
    <w:rsid w:val="14C92108"/>
    <w:rsid w:val="14EEDD03"/>
    <w:rsid w:val="15051D81"/>
    <w:rsid w:val="150AA494"/>
    <w:rsid w:val="150E2F11"/>
    <w:rsid w:val="150F1491"/>
    <w:rsid w:val="1514D105"/>
    <w:rsid w:val="15220A82"/>
    <w:rsid w:val="1537DA35"/>
    <w:rsid w:val="1538525D"/>
    <w:rsid w:val="153A2880"/>
    <w:rsid w:val="153D8B40"/>
    <w:rsid w:val="15506709"/>
    <w:rsid w:val="1551F34F"/>
    <w:rsid w:val="155CD105"/>
    <w:rsid w:val="1561C062"/>
    <w:rsid w:val="158B4B26"/>
    <w:rsid w:val="158F2AE7"/>
    <w:rsid w:val="15913B3B"/>
    <w:rsid w:val="15ADEB7A"/>
    <w:rsid w:val="15BE5AE6"/>
    <w:rsid w:val="15EE4550"/>
    <w:rsid w:val="15FAD218"/>
    <w:rsid w:val="160F74EA"/>
    <w:rsid w:val="16184DB8"/>
    <w:rsid w:val="161CFAF1"/>
    <w:rsid w:val="161F14C4"/>
    <w:rsid w:val="162F6074"/>
    <w:rsid w:val="164AF34D"/>
    <w:rsid w:val="1655C471"/>
    <w:rsid w:val="16614A86"/>
    <w:rsid w:val="16640470"/>
    <w:rsid w:val="16727772"/>
    <w:rsid w:val="16771726"/>
    <w:rsid w:val="168CF4E4"/>
    <w:rsid w:val="16939C9C"/>
    <w:rsid w:val="169B4794"/>
    <w:rsid w:val="169E2C7E"/>
    <w:rsid w:val="16ABC7BD"/>
    <w:rsid w:val="16C228FC"/>
    <w:rsid w:val="16C3922B"/>
    <w:rsid w:val="16C7FCDF"/>
    <w:rsid w:val="16CC30D8"/>
    <w:rsid w:val="16CD9570"/>
    <w:rsid w:val="16CECBA8"/>
    <w:rsid w:val="16DE3E45"/>
    <w:rsid w:val="16EBB364"/>
    <w:rsid w:val="16EC3184"/>
    <w:rsid w:val="16EC6A45"/>
    <w:rsid w:val="16F38DB4"/>
    <w:rsid w:val="16F55B19"/>
    <w:rsid w:val="170B2C3C"/>
    <w:rsid w:val="171C4BE7"/>
    <w:rsid w:val="1721096D"/>
    <w:rsid w:val="17245956"/>
    <w:rsid w:val="172CD2D7"/>
    <w:rsid w:val="172E53AF"/>
    <w:rsid w:val="174D7DCB"/>
    <w:rsid w:val="174FD99E"/>
    <w:rsid w:val="1753B646"/>
    <w:rsid w:val="175760AE"/>
    <w:rsid w:val="177261E6"/>
    <w:rsid w:val="178EA8E4"/>
    <w:rsid w:val="179654BC"/>
    <w:rsid w:val="17A2E06A"/>
    <w:rsid w:val="17A4A71A"/>
    <w:rsid w:val="17AFB0A5"/>
    <w:rsid w:val="17B29175"/>
    <w:rsid w:val="17B75697"/>
    <w:rsid w:val="17BC4E3B"/>
    <w:rsid w:val="17CB3AD7"/>
    <w:rsid w:val="17D33429"/>
    <w:rsid w:val="17E1B2BB"/>
    <w:rsid w:val="17EB7028"/>
    <w:rsid w:val="17F8079E"/>
    <w:rsid w:val="17F9D954"/>
    <w:rsid w:val="18127683"/>
    <w:rsid w:val="1817C4CC"/>
    <w:rsid w:val="181850E9"/>
    <w:rsid w:val="18185F8F"/>
    <w:rsid w:val="181D82C1"/>
    <w:rsid w:val="1821C3B3"/>
    <w:rsid w:val="183E56BD"/>
    <w:rsid w:val="184B79C1"/>
    <w:rsid w:val="184B8393"/>
    <w:rsid w:val="18537579"/>
    <w:rsid w:val="185DD553"/>
    <w:rsid w:val="1879398B"/>
    <w:rsid w:val="1888686F"/>
    <w:rsid w:val="18980C95"/>
    <w:rsid w:val="18A0D01F"/>
    <w:rsid w:val="18A2762E"/>
    <w:rsid w:val="18A6FF3C"/>
    <w:rsid w:val="18B3CEAF"/>
    <w:rsid w:val="18B6E59A"/>
    <w:rsid w:val="18B9D99F"/>
    <w:rsid w:val="18BA54A0"/>
    <w:rsid w:val="18C9422F"/>
    <w:rsid w:val="18EBBB22"/>
    <w:rsid w:val="18ECE2B5"/>
    <w:rsid w:val="19078ED5"/>
    <w:rsid w:val="190B4046"/>
    <w:rsid w:val="1912B3E3"/>
    <w:rsid w:val="1914DA4D"/>
    <w:rsid w:val="192834B4"/>
    <w:rsid w:val="193321B2"/>
    <w:rsid w:val="193BCD07"/>
    <w:rsid w:val="193F0226"/>
    <w:rsid w:val="19513644"/>
    <w:rsid w:val="19551B19"/>
    <w:rsid w:val="1955C4CC"/>
    <w:rsid w:val="19669484"/>
    <w:rsid w:val="196A24D8"/>
    <w:rsid w:val="196CE793"/>
    <w:rsid w:val="197347E7"/>
    <w:rsid w:val="1976C2B3"/>
    <w:rsid w:val="198AFB88"/>
    <w:rsid w:val="19906678"/>
    <w:rsid w:val="19934761"/>
    <w:rsid w:val="19967176"/>
    <w:rsid w:val="199A4B5D"/>
    <w:rsid w:val="199BA532"/>
    <w:rsid w:val="199BD819"/>
    <w:rsid w:val="19B7B010"/>
    <w:rsid w:val="19C4D312"/>
    <w:rsid w:val="19CB3D5E"/>
    <w:rsid w:val="19D90B56"/>
    <w:rsid w:val="19DBE2EE"/>
    <w:rsid w:val="19E00AB5"/>
    <w:rsid w:val="1A00F490"/>
    <w:rsid w:val="1A05F0CA"/>
    <w:rsid w:val="1A0739FA"/>
    <w:rsid w:val="1A0DB40E"/>
    <w:rsid w:val="1A0E5EA9"/>
    <w:rsid w:val="1A119AFC"/>
    <w:rsid w:val="1A18C060"/>
    <w:rsid w:val="1A256B33"/>
    <w:rsid w:val="1A28F708"/>
    <w:rsid w:val="1A29F7A4"/>
    <w:rsid w:val="1A3DE9E7"/>
    <w:rsid w:val="1A3FFF4B"/>
    <w:rsid w:val="1A55EB6D"/>
    <w:rsid w:val="1A56B6B5"/>
    <w:rsid w:val="1A60C1D3"/>
    <w:rsid w:val="1A7140C0"/>
    <w:rsid w:val="1A7466EC"/>
    <w:rsid w:val="1A8526B2"/>
    <w:rsid w:val="1A8DA9BF"/>
    <w:rsid w:val="1A9BE377"/>
    <w:rsid w:val="1AB11C30"/>
    <w:rsid w:val="1AB85B26"/>
    <w:rsid w:val="1AC76AE6"/>
    <w:rsid w:val="1AC932BA"/>
    <w:rsid w:val="1ACC03FF"/>
    <w:rsid w:val="1AD8D6D0"/>
    <w:rsid w:val="1ADEDC64"/>
    <w:rsid w:val="1B0B8FA9"/>
    <w:rsid w:val="1B1C99A8"/>
    <w:rsid w:val="1B377593"/>
    <w:rsid w:val="1B3F0C2E"/>
    <w:rsid w:val="1B401FDE"/>
    <w:rsid w:val="1B477AA0"/>
    <w:rsid w:val="1B51D7D8"/>
    <w:rsid w:val="1B54A1A3"/>
    <w:rsid w:val="1B58444D"/>
    <w:rsid w:val="1B72D13B"/>
    <w:rsid w:val="1B863399"/>
    <w:rsid w:val="1B957182"/>
    <w:rsid w:val="1B97034E"/>
    <w:rsid w:val="1BA5FB16"/>
    <w:rsid w:val="1BB04DE5"/>
    <w:rsid w:val="1BB18974"/>
    <w:rsid w:val="1BB8DE06"/>
    <w:rsid w:val="1BBF1ECD"/>
    <w:rsid w:val="1BD40B16"/>
    <w:rsid w:val="1BDEB280"/>
    <w:rsid w:val="1BED921C"/>
    <w:rsid w:val="1BF935FE"/>
    <w:rsid w:val="1BF95598"/>
    <w:rsid w:val="1BF9C10D"/>
    <w:rsid w:val="1BFF44CC"/>
    <w:rsid w:val="1C1B6ABA"/>
    <w:rsid w:val="1C1C06E0"/>
    <w:rsid w:val="1C1CB9B6"/>
    <w:rsid w:val="1C413125"/>
    <w:rsid w:val="1C5A4354"/>
    <w:rsid w:val="1C5DD8D1"/>
    <w:rsid w:val="1C645524"/>
    <w:rsid w:val="1C700498"/>
    <w:rsid w:val="1C8A2C42"/>
    <w:rsid w:val="1C9E7A50"/>
    <w:rsid w:val="1CAB4C61"/>
    <w:rsid w:val="1CB5C07B"/>
    <w:rsid w:val="1CBA110E"/>
    <w:rsid w:val="1CC2B8D3"/>
    <w:rsid w:val="1CC62A4B"/>
    <w:rsid w:val="1CF0126D"/>
    <w:rsid w:val="1D038705"/>
    <w:rsid w:val="1D07D801"/>
    <w:rsid w:val="1D0A23B5"/>
    <w:rsid w:val="1D0EB252"/>
    <w:rsid w:val="1D1736D4"/>
    <w:rsid w:val="1D1792D7"/>
    <w:rsid w:val="1D183872"/>
    <w:rsid w:val="1D21F666"/>
    <w:rsid w:val="1D361A88"/>
    <w:rsid w:val="1D3AB62C"/>
    <w:rsid w:val="1D3B5C4F"/>
    <w:rsid w:val="1D4F5045"/>
    <w:rsid w:val="1D579899"/>
    <w:rsid w:val="1D61146C"/>
    <w:rsid w:val="1D786920"/>
    <w:rsid w:val="1D9F69B4"/>
    <w:rsid w:val="1DA27DBD"/>
    <w:rsid w:val="1DAA3EA0"/>
    <w:rsid w:val="1DB92E12"/>
    <w:rsid w:val="1DBEBCE1"/>
    <w:rsid w:val="1DC82965"/>
    <w:rsid w:val="1DD0A856"/>
    <w:rsid w:val="1DDF3968"/>
    <w:rsid w:val="1DE3B8D7"/>
    <w:rsid w:val="1DF535C6"/>
    <w:rsid w:val="1DFC4EB3"/>
    <w:rsid w:val="1DFDB0DA"/>
    <w:rsid w:val="1DFEE3FB"/>
    <w:rsid w:val="1E05838F"/>
    <w:rsid w:val="1E072DC4"/>
    <w:rsid w:val="1E0BD4F9"/>
    <w:rsid w:val="1E11B54F"/>
    <w:rsid w:val="1E125C62"/>
    <w:rsid w:val="1E1C896F"/>
    <w:rsid w:val="1E652362"/>
    <w:rsid w:val="1E6C1275"/>
    <w:rsid w:val="1E764446"/>
    <w:rsid w:val="1E788A9E"/>
    <w:rsid w:val="1E85BA9F"/>
    <w:rsid w:val="1E979DE9"/>
    <w:rsid w:val="1E9B10FE"/>
    <w:rsid w:val="1EAB5271"/>
    <w:rsid w:val="1EADFE22"/>
    <w:rsid w:val="1EB106C2"/>
    <w:rsid w:val="1ECFD941"/>
    <w:rsid w:val="1EDAC87E"/>
    <w:rsid w:val="1EDFBBDF"/>
    <w:rsid w:val="1EF117BC"/>
    <w:rsid w:val="1F49D427"/>
    <w:rsid w:val="1F49E4B2"/>
    <w:rsid w:val="1F4BFC85"/>
    <w:rsid w:val="1F604E61"/>
    <w:rsid w:val="1F62AA19"/>
    <w:rsid w:val="1F668A40"/>
    <w:rsid w:val="1F67DB6F"/>
    <w:rsid w:val="1F6C911D"/>
    <w:rsid w:val="1F7E1687"/>
    <w:rsid w:val="1FA026F6"/>
    <w:rsid w:val="1FA2CC17"/>
    <w:rsid w:val="1FA4E683"/>
    <w:rsid w:val="1FD26E71"/>
    <w:rsid w:val="1FD4532A"/>
    <w:rsid w:val="1FD56883"/>
    <w:rsid w:val="1FE26B3D"/>
    <w:rsid w:val="1FE81875"/>
    <w:rsid w:val="1FED3041"/>
    <w:rsid w:val="1FEEB555"/>
    <w:rsid w:val="200C012A"/>
    <w:rsid w:val="200D1086"/>
    <w:rsid w:val="201F84A3"/>
    <w:rsid w:val="20220E0D"/>
    <w:rsid w:val="202E4BF2"/>
    <w:rsid w:val="202E5719"/>
    <w:rsid w:val="2034D20A"/>
    <w:rsid w:val="20384976"/>
    <w:rsid w:val="203E7A67"/>
    <w:rsid w:val="20539102"/>
    <w:rsid w:val="2058F4DC"/>
    <w:rsid w:val="20666961"/>
    <w:rsid w:val="206E6E18"/>
    <w:rsid w:val="207698DF"/>
    <w:rsid w:val="20854A5E"/>
    <w:rsid w:val="208834B1"/>
    <w:rsid w:val="208DE1A2"/>
    <w:rsid w:val="209841EA"/>
    <w:rsid w:val="209B8B55"/>
    <w:rsid w:val="209DDE98"/>
    <w:rsid w:val="20AAD1AA"/>
    <w:rsid w:val="20B0A1BB"/>
    <w:rsid w:val="20B1619C"/>
    <w:rsid w:val="20BB3CD3"/>
    <w:rsid w:val="20C65C7A"/>
    <w:rsid w:val="20C9EA31"/>
    <w:rsid w:val="20D67B83"/>
    <w:rsid w:val="20D6AE47"/>
    <w:rsid w:val="20D7C324"/>
    <w:rsid w:val="20F74B3B"/>
    <w:rsid w:val="20FA3AD5"/>
    <w:rsid w:val="21026911"/>
    <w:rsid w:val="210B680D"/>
    <w:rsid w:val="210D4111"/>
    <w:rsid w:val="21148B12"/>
    <w:rsid w:val="211909AD"/>
    <w:rsid w:val="21279A64"/>
    <w:rsid w:val="212EF476"/>
    <w:rsid w:val="213478D3"/>
    <w:rsid w:val="213EA90E"/>
    <w:rsid w:val="2156AC83"/>
    <w:rsid w:val="215F1521"/>
    <w:rsid w:val="2162F2D6"/>
    <w:rsid w:val="216F6624"/>
    <w:rsid w:val="21719176"/>
    <w:rsid w:val="217E47F2"/>
    <w:rsid w:val="219577ED"/>
    <w:rsid w:val="2197E6D2"/>
    <w:rsid w:val="21AA123B"/>
    <w:rsid w:val="21B33247"/>
    <w:rsid w:val="21B42EF4"/>
    <w:rsid w:val="21B66B13"/>
    <w:rsid w:val="21BCAC78"/>
    <w:rsid w:val="21CFA702"/>
    <w:rsid w:val="21DF357F"/>
    <w:rsid w:val="21E30023"/>
    <w:rsid w:val="21EC4229"/>
    <w:rsid w:val="21EF827C"/>
    <w:rsid w:val="21F0059D"/>
    <w:rsid w:val="21F4726E"/>
    <w:rsid w:val="22131103"/>
    <w:rsid w:val="2213EBB9"/>
    <w:rsid w:val="2244717D"/>
    <w:rsid w:val="224D2B84"/>
    <w:rsid w:val="224D4CD2"/>
    <w:rsid w:val="225BCB39"/>
    <w:rsid w:val="225C3CD3"/>
    <w:rsid w:val="2262E8D9"/>
    <w:rsid w:val="226B24D0"/>
    <w:rsid w:val="226F4AF5"/>
    <w:rsid w:val="22710656"/>
    <w:rsid w:val="227359C8"/>
    <w:rsid w:val="227BCA14"/>
    <w:rsid w:val="22967944"/>
    <w:rsid w:val="22AAD377"/>
    <w:rsid w:val="22BDE05E"/>
    <w:rsid w:val="22C36A7E"/>
    <w:rsid w:val="22C92D17"/>
    <w:rsid w:val="22D7AB05"/>
    <w:rsid w:val="22DD00C8"/>
    <w:rsid w:val="22E01C65"/>
    <w:rsid w:val="22E2F2C3"/>
    <w:rsid w:val="22EA7426"/>
    <w:rsid w:val="22F03247"/>
    <w:rsid w:val="22F0DB20"/>
    <w:rsid w:val="23065F3A"/>
    <w:rsid w:val="2310AEB7"/>
    <w:rsid w:val="2310C113"/>
    <w:rsid w:val="231A30D6"/>
    <w:rsid w:val="232AAF8F"/>
    <w:rsid w:val="23313EF3"/>
    <w:rsid w:val="2333203A"/>
    <w:rsid w:val="23354EE4"/>
    <w:rsid w:val="23482FB8"/>
    <w:rsid w:val="2349A1ED"/>
    <w:rsid w:val="235DACBD"/>
    <w:rsid w:val="235E5A69"/>
    <w:rsid w:val="236633A0"/>
    <w:rsid w:val="238DBFD6"/>
    <w:rsid w:val="23A277D8"/>
    <w:rsid w:val="23B10855"/>
    <w:rsid w:val="23B6A01E"/>
    <w:rsid w:val="23BB2BC4"/>
    <w:rsid w:val="23C1CBC1"/>
    <w:rsid w:val="23D1315B"/>
    <w:rsid w:val="23DC5BCF"/>
    <w:rsid w:val="23DEBB35"/>
    <w:rsid w:val="23E59A2D"/>
    <w:rsid w:val="23FD45F6"/>
    <w:rsid w:val="23FFE1C4"/>
    <w:rsid w:val="241444C8"/>
    <w:rsid w:val="2414C43D"/>
    <w:rsid w:val="241BD3A0"/>
    <w:rsid w:val="243366E2"/>
    <w:rsid w:val="24359E85"/>
    <w:rsid w:val="243E80D0"/>
    <w:rsid w:val="2458C99F"/>
    <w:rsid w:val="245A0FE0"/>
    <w:rsid w:val="245A1D30"/>
    <w:rsid w:val="2465EDDF"/>
    <w:rsid w:val="247333DD"/>
    <w:rsid w:val="247C6CFF"/>
    <w:rsid w:val="24A17813"/>
    <w:rsid w:val="24CDB24F"/>
    <w:rsid w:val="24D7ABE8"/>
    <w:rsid w:val="24DBB2EE"/>
    <w:rsid w:val="24F34FF0"/>
    <w:rsid w:val="250C9230"/>
    <w:rsid w:val="250FF537"/>
    <w:rsid w:val="251386A5"/>
    <w:rsid w:val="251587D8"/>
    <w:rsid w:val="25295ED0"/>
    <w:rsid w:val="2539E61D"/>
    <w:rsid w:val="25411969"/>
    <w:rsid w:val="254E5754"/>
    <w:rsid w:val="25605940"/>
    <w:rsid w:val="2566BA8C"/>
    <w:rsid w:val="256ADEE2"/>
    <w:rsid w:val="256FFDF0"/>
    <w:rsid w:val="2582939F"/>
    <w:rsid w:val="25856000"/>
    <w:rsid w:val="25859C66"/>
    <w:rsid w:val="2589EFE7"/>
    <w:rsid w:val="25919021"/>
    <w:rsid w:val="259FA3CA"/>
    <w:rsid w:val="25B8FA7B"/>
    <w:rsid w:val="25BDE1DB"/>
    <w:rsid w:val="25C3A0D4"/>
    <w:rsid w:val="25CDE54C"/>
    <w:rsid w:val="25CFFF03"/>
    <w:rsid w:val="25D53FE8"/>
    <w:rsid w:val="25E1BB96"/>
    <w:rsid w:val="25E51531"/>
    <w:rsid w:val="25EF96CF"/>
    <w:rsid w:val="26057386"/>
    <w:rsid w:val="2618943D"/>
    <w:rsid w:val="261B7F92"/>
    <w:rsid w:val="261FCE52"/>
    <w:rsid w:val="2626B221"/>
    <w:rsid w:val="262A3093"/>
    <w:rsid w:val="262A98D2"/>
    <w:rsid w:val="26310A7F"/>
    <w:rsid w:val="263587D3"/>
    <w:rsid w:val="2636B7BE"/>
    <w:rsid w:val="263C232D"/>
    <w:rsid w:val="2648DCBC"/>
    <w:rsid w:val="26510ED7"/>
    <w:rsid w:val="2656279F"/>
    <w:rsid w:val="2656C4D1"/>
    <w:rsid w:val="2666D1A1"/>
    <w:rsid w:val="2668CD81"/>
    <w:rsid w:val="266E8901"/>
    <w:rsid w:val="266F250E"/>
    <w:rsid w:val="26782734"/>
    <w:rsid w:val="2685C56E"/>
    <w:rsid w:val="268922B6"/>
    <w:rsid w:val="26A7C8C2"/>
    <w:rsid w:val="26A91099"/>
    <w:rsid w:val="26B0DD68"/>
    <w:rsid w:val="26BBA97A"/>
    <w:rsid w:val="26CE0168"/>
    <w:rsid w:val="26D0288C"/>
    <w:rsid w:val="26DA189A"/>
    <w:rsid w:val="26E0F4FA"/>
    <w:rsid w:val="26EB7482"/>
    <w:rsid w:val="271A4528"/>
    <w:rsid w:val="27297477"/>
    <w:rsid w:val="2732AFE5"/>
    <w:rsid w:val="27333CA2"/>
    <w:rsid w:val="2756764A"/>
    <w:rsid w:val="275CA535"/>
    <w:rsid w:val="275E6E8A"/>
    <w:rsid w:val="2765ABC6"/>
    <w:rsid w:val="276CA923"/>
    <w:rsid w:val="27723682"/>
    <w:rsid w:val="2775AE23"/>
    <w:rsid w:val="2782EFAF"/>
    <w:rsid w:val="2786168E"/>
    <w:rsid w:val="278EF93B"/>
    <w:rsid w:val="279BDCD1"/>
    <w:rsid w:val="279FCD1B"/>
    <w:rsid w:val="27AADB8E"/>
    <w:rsid w:val="27B2DE0C"/>
    <w:rsid w:val="27BA9732"/>
    <w:rsid w:val="27C2C7CD"/>
    <w:rsid w:val="27CCD754"/>
    <w:rsid w:val="27D1B4CB"/>
    <w:rsid w:val="27DCCEB8"/>
    <w:rsid w:val="27E9A422"/>
    <w:rsid w:val="27F1F800"/>
    <w:rsid w:val="27F63093"/>
    <w:rsid w:val="27F85F28"/>
    <w:rsid w:val="2801D40E"/>
    <w:rsid w:val="2807B462"/>
    <w:rsid w:val="2808DB17"/>
    <w:rsid w:val="28099274"/>
    <w:rsid w:val="281182F4"/>
    <w:rsid w:val="28381A5E"/>
    <w:rsid w:val="2842B279"/>
    <w:rsid w:val="28439923"/>
    <w:rsid w:val="2846D695"/>
    <w:rsid w:val="284FC201"/>
    <w:rsid w:val="28586FFC"/>
    <w:rsid w:val="2862AE46"/>
    <w:rsid w:val="28639DF4"/>
    <w:rsid w:val="287967E7"/>
    <w:rsid w:val="289030AE"/>
    <w:rsid w:val="2898DBC1"/>
    <w:rsid w:val="28A4FDFF"/>
    <w:rsid w:val="28B98200"/>
    <w:rsid w:val="28BF4CA0"/>
    <w:rsid w:val="28D0FAF0"/>
    <w:rsid w:val="28D7E311"/>
    <w:rsid w:val="28F35B3F"/>
    <w:rsid w:val="29087984"/>
    <w:rsid w:val="2925CEEC"/>
    <w:rsid w:val="292AB042"/>
    <w:rsid w:val="292B7E13"/>
    <w:rsid w:val="29598B98"/>
    <w:rsid w:val="2962E962"/>
    <w:rsid w:val="2969BD75"/>
    <w:rsid w:val="296B5393"/>
    <w:rsid w:val="296CB512"/>
    <w:rsid w:val="2975D25E"/>
    <w:rsid w:val="2988FB3E"/>
    <w:rsid w:val="298BBCF5"/>
    <w:rsid w:val="298DC861"/>
    <w:rsid w:val="29943ACB"/>
    <w:rsid w:val="29AD4138"/>
    <w:rsid w:val="29B24255"/>
    <w:rsid w:val="29C62025"/>
    <w:rsid w:val="29CCC508"/>
    <w:rsid w:val="29CFBC4A"/>
    <w:rsid w:val="29D1191E"/>
    <w:rsid w:val="29D40ACD"/>
    <w:rsid w:val="29D50702"/>
    <w:rsid w:val="29DF59D1"/>
    <w:rsid w:val="29E37858"/>
    <w:rsid w:val="29E477F6"/>
    <w:rsid w:val="29E5B582"/>
    <w:rsid w:val="29EBEFE7"/>
    <w:rsid w:val="29ECE24A"/>
    <w:rsid w:val="29EF7F58"/>
    <w:rsid w:val="29FF6A72"/>
    <w:rsid w:val="2A018D83"/>
    <w:rsid w:val="2A030462"/>
    <w:rsid w:val="2A16D1DA"/>
    <w:rsid w:val="2A17E4E8"/>
    <w:rsid w:val="2A1E5994"/>
    <w:rsid w:val="2A2049D9"/>
    <w:rsid w:val="2A26215D"/>
    <w:rsid w:val="2A2B7132"/>
    <w:rsid w:val="2A3E41F6"/>
    <w:rsid w:val="2A606FD8"/>
    <w:rsid w:val="2A62B2A6"/>
    <w:rsid w:val="2A637F71"/>
    <w:rsid w:val="2A66B5B2"/>
    <w:rsid w:val="2A7678D0"/>
    <w:rsid w:val="2A78F7D0"/>
    <w:rsid w:val="2A7AF6BD"/>
    <w:rsid w:val="2A8DF84B"/>
    <w:rsid w:val="2A960E9C"/>
    <w:rsid w:val="2AB578C9"/>
    <w:rsid w:val="2AC011ED"/>
    <w:rsid w:val="2AC07E4D"/>
    <w:rsid w:val="2AD53A3D"/>
    <w:rsid w:val="2B07D058"/>
    <w:rsid w:val="2B1036DB"/>
    <w:rsid w:val="2B115F98"/>
    <w:rsid w:val="2B1583CA"/>
    <w:rsid w:val="2B162993"/>
    <w:rsid w:val="2B1F9FD0"/>
    <w:rsid w:val="2B34BF98"/>
    <w:rsid w:val="2B35DA84"/>
    <w:rsid w:val="2B38B94A"/>
    <w:rsid w:val="2B406168"/>
    <w:rsid w:val="2B47716C"/>
    <w:rsid w:val="2B4CCAF7"/>
    <w:rsid w:val="2B51EB45"/>
    <w:rsid w:val="2B5C2051"/>
    <w:rsid w:val="2B6108D8"/>
    <w:rsid w:val="2B651805"/>
    <w:rsid w:val="2B65670E"/>
    <w:rsid w:val="2B903AF1"/>
    <w:rsid w:val="2BA444E9"/>
    <w:rsid w:val="2BAF9EE8"/>
    <w:rsid w:val="2BB3BA37"/>
    <w:rsid w:val="2BB44251"/>
    <w:rsid w:val="2BC23172"/>
    <w:rsid w:val="2BE077A3"/>
    <w:rsid w:val="2BE2ECE4"/>
    <w:rsid w:val="2BE4BCC8"/>
    <w:rsid w:val="2BE5707F"/>
    <w:rsid w:val="2BFCF588"/>
    <w:rsid w:val="2BFFB2E0"/>
    <w:rsid w:val="2C253773"/>
    <w:rsid w:val="2C3871D4"/>
    <w:rsid w:val="2C3EE8B4"/>
    <w:rsid w:val="2C41558D"/>
    <w:rsid w:val="2C53C949"/>
    <w:rsid w:val="2C6CD1DF"/>
    <w:rsid w:val="2C70FAB8"/>
    <w:rsid w:val="2C73EC0B"/>
    <w:rsid w:val="2C762EC1"/>
    <w:rsid w:val="2C9B696B"/>
    <w:rsid w:val="2C9F1418"/>
    <w:rsid w:val="2CA155E6"/>
    <w:rsid w:val="2CA1898F"/>
    <w:rsid w:val="2CA3B35C"/>
    <w:rsid w:val="2CBB3CA7"/>
    <w:rsid w:val="2CC91654"/>
    <w:rsid w:val="2CD4EE56"/>
    <w:rsid w:val="2CDC9627"/>
    <w:rsid w:val="2CE67269"/>
    <w:rsid w:val="2CE95A59"/>
    <w:rsid w:val="2D0CA7C4"/>
    <w:rsid w:val="2D15B737"/>
    <w:rsid w:val="2D16D67C"/>
    <w:rsid w:val="2D1744E1"/>
    <w:rsid w:val="2D2357A4"/>
    <w:rsid w:val="2D262CD0"/>
    <w:rsid w:val="2D2FCF1C"/>
    <w:rsid w:val="2D3E686F"/>
    <w:rsid w:val="2D45F9FD"/>
    <w:rsid w:val="2D4ED2E6"/>
    <w:rsid w:val="2D57EA9B"/>
    <w:rsid w:val="2D59E9B4"/>
    <w:rsid w:val="2D639101"/>
    <w:rsid w:val="2D67D768"/>
    <w:rsid w:val="2D68552E"/>
    <w:rsid w:val="2D7A4B2B"/>
    <w:rsid w:val="2D7C98AD"/>
    <w:rsid w:val="2D91B372"/>
    <w:rsid w:val="2DBB30CA"/>
    <w:rsid w:val="2DBBA547"/>
    <w:rsid w:val="2DC4E16A"/>
    <w:rsid w:val="2DCF1980"/>
    <w:rsid w:val="2DEC5BE6"/>
    <w:rsid w:val="2DF9060F"/>
    <w:rsid w:val="2E11729D"/>
    <w:rsid w:val="2E176ABC"/>
    <w:rsid w:val="2E1FAAA7"/>
    <w:rsid w:val="2E2624EA"/>
    <w:rsid w:val="2E31C9B9"/>
    <w:rsid w:val="2E3DCCD3"/>
    <w:rsid w:val="2E405B55"/>
    <w:rsid w:val="2E4075AF"/>
    <w:rsid w:val="2E50A674"/>
    <w:rsid w:val="2E5A5D05"/>
    <w:rsid w:val="2E5CE6D0"/>
    <w:rsid w:val="2E610C17"/>
    <w:rsid w:val="2E7934F0"/>
    <w:rsid w:val="2E84AE3E"/>
    <w:rsid w:val="2E89748D"/>
    <w:rsid w:val="2E8FAE9C"/>
    <w:rsid w:val="2E9C9B50"/>
    <w:rsid w:val="2EAE8DCE"/>
    <w:rsid w:val="2EB2184D"/>
    <w:rsid w:val="2EC40879"/>
    <w:rsid w:val="2EC5FE7F"/>
    <w:rsid w:val="2EC7DBB3"/>
    <w:rsid w:val="2EDC555B"/>
    <w:rsid w:val="2EE51D7E"/>
    <w:rsid w:val="2EE64565"/>
    <w:rsid w:val="2F007DD2"/>
    <w:rsid w:val="2F04333C"/>
    <w:rsid w:val="2F1A3360"/>
    <w:rsid w:val="2F2550A0"/>
    <w:rsid w:val="2F33340D"/>
    <w:rsid w:val="2F33663C"/>
    <w:rsid w:val="2F3A1C83"/>
    <w:rsid w:val="2F5379F4"/>
    <w:rsid w:val="2F5FACF4"/>
    <w:rsid w:val="2F66772B"/>
    <w:rsid w:val="2F6D0D9E"/>
    <w:rsid w:val="2F7C63A7"/>
    <w:rsid w:val="2F7EFC96"/>
    <w:rsid w:val="2F8B23F3"/>
    <w:rsid w:val="2F8CA844"/>
    <w:rsid w:val="2F968416"/>
    <w:rsid w:val="2F98DAF6"/>
    <w:rsid w:val="2F9CF670"/>
    <w:rsid w:val="2FA3C808"/>
    <w:rsid w:val="2FAE53CA"/>
    <w:rsid w:val="2FB20A6E"/>
    <w:rsid w:val="2FB4A48B"/>
    <w:rsid w:val="2FB90761"/>
    <w:rsid w:val="2FBB3B53"/>
    <w:rsid w:val="2FC6F085"/>
    <w:rsid w:val="2FE1D61C"/>
    <w:rsid w:val="2FF3E6B6"/>
    <w:rsid w:val="300A9055"/>
    <w:rsid w:val="301C5E19"/>
    <w:rsid w:val="302F9174"/>
    <w:rsid w:val="3032CE48"/>
    <w:rsid w:val="3035AD25"/>
    <w:rsid w:val="30392FC5"/>
    <w:rsid w:val="304200F4"/>
    <w:rsid w:val="304A5F9B"/>
    <w:rsid w:val="3067179A"/>
    <w:rsid w:val="3068ED8C"/>
    <w:rsid w:val="308B1A5A"/>
    <w:rsid w:val="308F8B5D"/>
    <w:rsid w:val="3096A0F1"/>
    <w:rsid w:val="309EDB67"/>
    <w:rsid w:val="309F5DA2"/>
    <w:rsid w:val="30C129DA"/>
    <w:rsid w:val="30C7A680"/>
    <w:rsid w:val="30CD19F3"/>
    <w:rsid w:val="30CE6F92"/>
    <w:rsid w:val="30D084DC"/>
    <w:rsid w:val="30E73711"/>
    <w:rsid w:val="30EE7D30"/>
    <w:rsid w:val="30EF5B93"/>
    <w:rsid w:val="30FBA516"/>
    <w:rsid w:val="30FCA500"/>
    <w:rsid w:val="30FD931C"/>
    <w:rsid w:val="310505CC"/>
    <w:rsid w:val="31219AE9"/>
    <w:rsid w:val="31269AEE"/>
    <w:rsid w:val="3126B987"/>
    <w:rsid w:val="313D609F"/>
    <w:rsid w:val="3144DA3C"/>
    <w:rsid w:val="3145F500"/>
    <w:rsid w:val="31473245"/>
    <w:rsid w:val="314F5B1A"/>
    <w:rsid w:val="3155B5A4"/>
    <w:rsid w:val="3160AE01"/>
    <w:rsid w:val="31669015"/>
    <w:rsid w:val="3168FE33"/>
    <w:rsid w:val="316EE01E"/>
    <w:rsid w:val="317CCC34"/>
    <w:rsid w:val="317DA67D"/>
    <w:rsid w:val="318A9DC1"/>
    <w:rsid w:val="318BA0DC"/>
    <w:rsid w:val="319C5CF2"/>
    <w:rsid w:val="319D9F40"/>
    <w:rsid w:val="319FEF10"/>
    <w:rsid w:val="31A21FFC"/>
    <w:rsid w:val="31B23C65"/>
    <w:rsid w:val="31B48FB2"/>
    <w:rsid w:val="31B5C7B7"/>
    <w:rsid w:val="31C4A04C"/>
    <w:rsid w:val="31C96673"/>
    <w:rsid w:val="31CAC5AB"/>
    <w:rsid w:val="31CACF02"/>
    <w:rsid w:val="31D2F03B"/>
    <w:rsid w:val="31E62FFC"/>
    <w:rsid w:val="31F63C4B"/>
    <w:rsid w:val="3205C3B2"/>
    <w:rsid w:val="321C18E9"/>
    <w:rsid w:val="321D94E8"/>
    <w:rsid w:val="3222F6CD"/>
    <w:rsid w:val="322E70F8"/>
    <w:rsid w:val="322F8E09"/>
    <w:rsid w:val="32334944"/>
    <w:rsid w:val="3233912B"/>
    <w:rsid w:val="323F64A7"/>
    <w:rsid w:val="32402033"/>
    <w:rsid w:val="3248A563"/>
    <w:rsid w:val="325C0799"/>
    <w:rsid w:val="3273C174"/>
    <w:rsid w:val="32787792"/>
    <w:rsid w:val="32841143"/>
    <w:rsid w:val="3287C86C"/>
    <w:rsid w:val="328AEA9C"/>
    <w:rsid w:val="328D667A"/>
    <w:rsid w:val="329A5F58"/>
    <w:rsid w:val="32B0EE06"/>
    <w:rsid w:val="32BB71DA"/>
    <w:rsid w:val="32BE88AF"/>
    <w:rsid w:val="32E31F24"/>
    <w:rsid w:val="32EA95F7"/>
    <w:rsid w:val="32FCED3A"/>
    <w:rsid w:val="3301BF8A"/>
    <w:rsid w:val="33051E62"/>
    <w:rsid w:val="3306630E"/>
    <w:rsid w:val="3308131B"/>
    <w:rsid w:val="3310D313"/>
    <w:rsid w:val="33162F3C"/>
    <w:rsid w:val="3320A8B2"/>
    <w:rsid w:val="333B84BA"/>
    <w:rsid w:val="333DF360"/>
    <w:rsid w:val="334DE7B2"/>
    <w:rsid w:val="334F5B8E"/>
    <w:rsid w:val="336B5368"/>
    <w:rsid w:val="336F5A3F"/>
    <w:rsid w:val="337417B4"/>
    <w:rsid w:val="33768C73"/>
    <w:rsid w:val="3382E819"/>
    <w:rsid w:val="3393BE61"/>
    <w:rsid w:val="339A1659"/>
    <w:rsid w:val="339A944F"/>
    <w:rsid w:val="33A14333"/>
    <w:rsid w:val="33AA7506"/>
    <w:rsid w:val="33B0DCFB"/>
    <w:rsid w:val="33C06B87"/>
    <w:rsid w:val="33CF19A5"/>
    <w:rsid w:val="33D1F28B"/>
    <w:rsid w:val="33D7700C"/>
    <w:rsid w:val="34104803"/>
    <w:rsid w:val="3412440D"/>
    <w:rsid w:val="341517A9"/>
    <w:rsid w:val="3426CE4B"/>
    <w:rsid w:val="3430C447"/>
    <w:rsid w:val="343B716C"/>
    <w:rsid w:val="3446F0A9"/>
    <w:rsid w:val="344DAB70"/>
    <w:rsid w:val="344F411B"/>
    <w:rsid w:val="3453FDD8"/>
    <w:rsid w:val="3456065D"/>
    <w:rsid w:val="3462C9D6"/>
    <w:rsid w:val="34630809"/>
    <w:rsid w:val="346913FF"/>
    <w:rsid w:val="346B1C21"/>
    <w:rsid w:val="34752DD6"/>
    <w:rsid w:val="34A3E37C"/>
    <w:rsid w:val="34ACA374"/>
    <w:rsid w:val="34B04314"/>
    <w:rsid w:val="34B9DD54"/>
    <w:rsid w:val="34C47679"/>
    <w:rsid w:val="34D79B8E"/>
    <w:rsid w:val="34D99955"/>
    <w:rsid w:val="34D9C0BE"/>
    <w:rsid w:val="34E2EDD4"/>
    <w:rsid w:val="34EC1C61"/>
    <w:rsid w:val="34F4F6A5"/>
    <w:rsid w:val="34F6A848"/>
    <w:rsid w:val="35046402"/>
    <w:rsid w:val="3504D728"/>
    <w:rsid w:val="350B1FD8"/>
    <w:rsid w:val="350F646B"/>
    <w:rsid w:val="350FEB86"/>
    <w:rsid w:val="352AAB03"/>
    <w:rsid w:val="353F1E47"/>
    <w:rsid w:val="353F769E"/>
    <w:rsid w:val="3544C895"/>
    <w:rsid w:val="35584ED5"/>
    <w:rsid w:val="355A5F14"/>
    <w:rsid w:val="355E316E"/>
    <w:rsid w:val="3577B77F"/>
    <w:rsid w:val="35A11CAC"/>
    <w:rsid w:val="35AE52C8"/>
    <w:rsid w:val="35B10E02"/>
    <w:rsid w:val="35C00034"/>
    <w:rsid w:val="35C6B868"/>
    <w:rsid w:val="35DB69F8"/>
    <w:rsid w:val="35DEDD19"/>
    <w:rsid w:val="35FCFCA3"/>
    <w:rsid w:val="35FEAE65"/>
    <w:rsid w:val="36067E6F"/>
    <w:rsid w:val="3609B82D"/>
    <w:rsid w:val="360A5E3A"/>
    <w:rsid w:val="360FA633"/>
    <w:rsid w:val="3625C3A4"/>
    <w:rsid w:val="3639CA42"/>
    <w:rsid w:val="363FBBC3"/>
    <w:rsid w:val="3640E571"/>
    <w:rsid w:val="3641C4AF"/>
    <w:rsid w:val="3643F5B8"/>
    <w:rsid w:val="3650EEB6"/>
    <w:rsid w:val="365C9FD2"/>
    <w:rsid w:val="3663216B"/>
    <w:rsid w:val="3666E496"/>
    <w:rsid w:val="36696633"/>
    <w:rsid w:val="366F6422"/>
    <w:rsid w:val="3678BBF7"/>
    <w:rsid w:val="3686377B"/>
    <w:rsid w:val="3686C7A9"/>
    <w:rsid w:val="3688CB42"/>
    <w:rsid w:val="368AC00F"/>
    <w:rsid w:val="36987704"/>
    <w:rsid w:val="369E4581"/>
    <w:rsid w:val="36A9D2A1"/>
    <w:rsid w:val="36A9EBAD"/>
    <w:rsid w:val="36B85611"/>
    <w:rsid w:val="36B9DD36"/>
    <w:rsid w:val="36BFE39F"/>
    <w:rsid w:val="36C18B93"/>
    <w:rsid w:val="36D63976"/>
    <w:rsid w:val="36DC8CCF"/>
    <w:rsid w:val="36F41DCF"/>
    <w:rsid w:val="371CF6A1"/>
    <w:rsid w:val="371FBC98"/>
    <w:rsid w:val="37275E7F"/>
    <w:rsid w:val="372D9F30"/>
    <w:rsid w:val="374105EC"/>
    <w:rsid w:val="37460991"/>
    <w:rsid w:val="3746E066"/>
    <w:rsid w:val="3751BE3D"/>
    <w:rsid w:val="375DF774"/>
    <w:rsid w:val="3764F3C8"/>
    <w:rsid w:val="376FD7D2"/>
    <w:rsid w:val="37825352"/>
    <w:rsid w:val="378450C0"/>
    <w:rsid w:val="37A59E7D"/>
    <w:rsid w:val="37B785B4"/>
    <w:rsid w:val="37CA7455"/>
    <w:rsid w:val="37E154FD"/>
    <w:rsid w:val="3800B757"/>
    <w:rsid w:val="380567BE"/>
    <w:rsid w:val="3808D681"/>
    <w:rsid w:val="380B3483"/>
    <w:rsid w:val="381DA21C"/>
    <w:rsid w:val="38261C59"/>
    <w:rsid w:val="382A8C8C"/>
    <w:rsid w:val="384278CB"/>
    <w:rsid w:val="38474483"/>
    <w:rsid w:val="384A79BA"/>
    <w:rsid w:val="38573EC6"/>
    <w:rsid w:val="3874774C"/>
    <w:rsid w:val="3875DBC2"/>
    <w:rsid w:val="38792111"/>
    <w:rsid w:val="387B0A10"/>
    <w:rsid w:val="387F2178"/>
    <w:rsid w:val="38902C61"/>
    <w:rsid w:val="38925020"/>
    <w:rsid w:val="389A040F"/>
    <w:rsid w:val="389E66C3"/>
    <w:rsid w:val="38A997DA"/>
    <w:rsid w:val="38AE1DCC"/>
    <w:rsid w:val="38AFBEA8"/>
    <w:rsid w:val="38C6C6D2"/>
    <w:rsid w:val="38CE8B27"/>
    <w:rsid w:val="38D46F81"/>
    <w:rsid w:val="38D89665"/>
    <w:rsid w:val="38DF0DF6"/>
    <w:rsid w:val="38E0AAF4"/>
    <w:rsid w:val="38E57AD5"/>
    <w:rsid w:val="38EAF044"/>
    <w:rsid w:val="38EE5763"/>
    <w:rsid w:val="38F60204"/>
    <w:rsid w:val="390CBB38"/>
    <w:rsid w:val="3916E040"/>
    <w:rsid w:val="39202121"/>
    <w:rsid w:val="392DF2FC"/>
    <w:rsid w:val="392EFA29"/>
    <w:rsid w:val="393CFD44"/>
    <w:rsid w:val="393F4D4E"/>
    <w:rsid w:val="39415791"/>
    <w:rsid w:val="3943A06D"/>
    <w:rsid w:val="395721BC"/>
    <w:rsid w:val="395BA6F8"/>
    <w:rsid w:val="3960B171"/>
    <w:rsid w:val="3962AFB4"/>
    <w:rsid w:val="3963CD45"/>
    <w:rsid w:val="396B4C67"/>
    <w:rsid w:val="396FCDE6"/>
    <w:rsid w:val="39741018"/>
    <w:rsid w:val="3981CDE5"/>
    <w:rsid w:val="3992FD19"/>
    <w:rsid w:val="39A38900"/>
    <w:rsid w:val="39A650CC"/>
    <w:rsid w:val="39B79CF6"/>
    <w:rsid w:val="39BF69F7"/>
    <w:rsid w:val="39CB992A"/>
    <w:rsid w:val="39D5BC9F"/>
    <w:rsid w:val="39D63A76"/>
    <w:rsid w:val="39D6C7CE"/>
    <w:rsid w:val="39D8A8BC"/>
    <w:rsid w:val="39D9135B"/>
    <w:rsid w:val="39DD0EDB"/>
    <w:rsid w:val="39DD752B"/>
    <w:rsid w:val="39EB8F73"/>
    <w:rsid w:val="39F1FD10"/>
    <w:rsid w:val="39FC3406"/>
    <w:rsid w:val="3A096E7F"/>
    <w:rsid w:val="3A21F5F9"/>
    <w:rsid w:val="3A2FE59E"/>
    <w:rsid w:val="3A3174AC"/>
    <w:rsid w:val="3A3178F8"/>
    <w:rsid w:val="3A4CF654"/>
    <w:rsid w:val="3A53EEE3"/>
    <w:rsid w:val="3A683BED"/>
    <w:rsid w:val="3A709514"/>
    <w:rsid w:val="3A760913"/>
    <w:rsid w:val="3A97F867"/>
    <w:rsid w:val="3A9A298B"/>
    <w:rsid w:val="3AA1FE65"/>
    <w:rsid w:val="3AB9AEB3"/>
    <w:rsid w:val="3ACA0091"/>
    <w:rsid w:val="3AD11F73"/>
    <w:rsid w:val="3AF8649C"/>
    <w:rsid w:val="3B09794C"/>
    <w:rsid w:val="3B12F9BC"/>
    <w:rsid w:val="3B15E32B"/>
    <w:rsid w:val="3B2488C3"/>
    <w:rsid w:val="3B28F8F1"/>
    <w:rsid w:val="3B29D560"/>
    <w:rsid w:val="3B30991E"/>
    <w:rsid w:val="3B41D5D8"/>
    <w:rsid w:val="3B4691A0"/>
    <w:rsid w:val="3B4E2613"/>
    <w:rsid w:val="3B594449"/>
    <w:rsid w:val="3B5D3CF0"/>
    <w:rsid w:val="3B6CA1FF"/>
    <w:rsid w:val="3B771901"/>
    <w:rsid w:val="3B9CE987"/>
    <w:rsid w:val="3BA40687"/>
    <w:rsid w:val="3BA5217A"/>
    <w:rsid w:val="3BB5E0C8"/>
    <w:rsid w:val="3BCD15DD"/>
    <w:rsid w:val="3BDC3E22"/>
    <w:rsid w:val="3BDEDDD5"/>
    <w:rsid w:val="3BE01DBC"/>
    <w:rsid w:val="3BE067E1"/>
    <w:rsid w:val="3BE9C9C3"/>
    <w:rsid w:val="3BFB4DD5"/>
    <w:rsid w:val="3C0476A7"/>
    <w:rsid w:val="3C0A4A11"/>
    <w:rsid w:val="3C0ED502"/>
    <w:rsid w:val="3C0F48AB"/>
    <w:rsid w:val="3C105E30"/>
    <w:rsid w:val="3C1A690A"/>
    <w:rsid w:val="3C1BD5B0"/>
    <w:rsid w:val="3C2B109F"/>
    <w:rsid w:val="3C337F7F"/>
    <w:rsid w:val="3C35E64D"/>
    <w:rsid w:val="3C413B23"/>
    <w:rsid w:val="3C4A17A1"/>
    <w:rsid w:val="3C545C95"/>
    <w:rsid w:val="3C5A2901"/>
    <w:rsid w:val="3C5AC354"/>
    <w:rsid w:val="3C5B8086"/>
    <w:rsid w:val="3C61CAD5"/>
    <w:rsid w:val="3C8D4962"/>
    <w:rsid w:val="3C92368E"/>
    <w:rsid w:val="3CB4B927"/>
    <w:rsid w:val="3CB59645"/>
    <w:rsid w:val="3CC4E9BF"/>
    <w:rsid w:val="3CCA7739"/>
    <w:rsid w:val="3CCFF261"/>
    <w:rsid w:val="3CD4EF8C"/>
    <w:rsid w:val="3CD6EEFB"/>
    <w:rsid w:val="3CDC9C92"/>
    <w:rsid w:val="3CE9EA14"/>
    <w:rsid w:val="3CF90D51"/>
    <w:rsid w:val="3D10B8A4"/>
    <w:rsid w:val="3D1A555A"/>
    <w:rsid w:val="3D1CE186"/>
    <w:rsid w:val="3D262014"/>
    <w:rsid w:val="3D34A38C"/>
    <w:rsid w:val="3D3D49C4"/>
    <w:rsid w:val="3D4E8061"/>
    <w:rsid w:val="3D51DC55"/>
    <w:rsid w:val="3D52A964"/>
    <w:rsid w:val="3D5C065E"/>
    <w:rsid w:val="3D75FBEB"/>
    <w:rsid w:val="3D7B0DE4"/>
    <w:rsid w:val="3D7D08FD"/>
    <w:rsid w:val="3D802F2B"/>
    <w:rsid w:val="3D853699"/>
    <w:rsid w:val="3D8B7AAF"/>
    <w:rsid w:val="3DA150FC"/>
    <w:rsid w:val="3DA77848"/>
    <w:rsid w:val="3DAD75D0"/>
    <w:rsid w:val="3DAD92F3"/>
    <w:rsid w:val="3DAEF727"/>
    <w:rsid w:val="3DB621EA"/>
    <w:rsid w:val="3DCC1CFA"/>
    <w:rsid w:val="3DDC2413"/>
    <w:rsid w:val="3DE1427A"/>
    <w:rsid w:val="3DEAAEE6"/>
    <w:rsid w:val="3DF93B8B"/>
    <w:rsid w:val="3E07D6B3"/>
    <w:rsid w:val="3E08C142"/>
    <w:rsid w:val="3E1302A5"/>
    <w:rsid w:val="3E283F41"/>
    <w:rsid w:val="3E2F0FF8"/>
    <w:rsid w:val="3E353E26"/>
    <w:rsid w:val="3E3A187E"/>
    <w:rsid w:val="3E3B30D0"/>
    <w:rsid w:val="3E499C92"/>
    <w:rsid w:val="3E4A2C03"/>
    <w:rsid w:val="3E609764"/>
    <w:rsid w:val="3E6A3FAC"/>
    <w:rsid w:val="3E6DD94A"/>
    <w:rsid w:val="3E81CA6A"/>
    <w:rsid w:val="3E82FAB6"/>
    <w:rsid w:val="3E849317"/>
    <w:rsid w:val="3E89DE6D"/>
    <w:rsid w:val="3EA3101C"/>
    <w:rsid w:val="3EA917A0"/>
    <w:rsid w:val="3EB4D9EE"/>
    <w:rsid w:val="3EB9BB3E"/>
    <w:rsid w:val="3EC4E332"/>
    <w:rsid w:val="3EC8D992"/>
    <w:rsid w:val="3EDFE5BB"/>
    <w:rsid w:val="3EEC73B8"/>
    <w:rsid w:val="3EFD9AFB"/>
    <w:rsid w:val="3EFEEBF0"/>
    <w:rsid w:val="3F00DF52"/>
    <w:rsid w:val="3F06F149"/>
    <w:rsid w:val="3F0F5530"/>
    <w:rsid w:val="3F1C5DBF"/>
    <w:rsid w:val="3F1F46F7"/>
    <w:rsid w:val="3F3691E5"/>
    <w:rsid w:val="3F39C744"/>
    <w:rsid w:val="3F3B6DF7"/>
    <w:rsid w:val="3F4478FF"/>
    <w:rsid w:val="3F5928B6"/>
    <w:rsid w:val="3F594FF1"/>
    <w:rsid w:val="3F5CE75C"/>
    <w:rsid w:val="3F76111B"/>
    <w:rsid w:val="3F7AEF5B"/>
    <w:rsid w:val="3F80DBBB"/>
    <w:rsid w:val="3F837886"/>
    <w:rsid w:val="3F865F56"/>
    <w:rsid w:val="3F9C4B83"/>
    <w:rsid w:val="3FA29FC4"/>
    <w:rsid w:val="3FA6268D"/>
    <w:rsid w:val="3FB5C324"/>
    <w:rsid w:val="3FB89A13"/>
    <w:rsid w:val="3FC36640"/>
    <w:rsid w:val="3FC8926D"/>
    <w:rsid w:val="3FCF9871"/>
    <w:rsid w:val="3FD8060A"/>
    <w:rsid w:val="3FE3D348"/>
    <w:rsid w:val="3FE6C79C"/>
    <w:rsid w:val="3FEA3ACB"/>
    <w:rsid w:val="3FEC66E2"/>
    <w:rsid w:val="3FF35FB0"/>
    <w:rsid w:val="3FF8D295"/>
    <w:rsid w:val="40044772"/>
    <w:rsid w:val="401D3D0C"/>
    <w:rsid w:val="402043F4"/>
    <w:rsid w:val="403781F2"/>
    <w:rsid w:val="403A711E"/>
    <w:rsid w:val="403EE07D"/>
    <w:rsid w:val="40483544"/>
    <w:rsid w:val="40558B9F"/>
    <w:rsid w:val="4067B59B"/>
    <w:rsid w:val="406FE9B4"/>
    <w:rsid w:val="407DC3B7"/>
    <w:rsid w:val="40853CE6"/>
    <w:rsid w:val="40884062"/>
    <w:rsid w:val="4089FE44"/>
    <w:rsid w:val="4099B492"/>
    <w:rsid w:val="409C011C"/>
    <w:rsid w:val="409F05CC"/>
    <w:rsid w:val="40A6CB4A"/>
    <w:rsid w:val="40AD9CAD"/>
    <w:rsid w:val="40BF8ED0"/>
    <w:rsid w:val="40CC1A86"/>
    <w:rsid w:val="40CFB0C0"/>
    <w:rsid w:val="40D9C23D"/>
    <w:rsid w:val="40F036E7"/>
    <w:rsid w:val="41050908"/>
    <w:rsid w:val="41069977"/>
    <w:rsid w:val="4120B6A9"/>
    <w:rsid w:val="41224C59"/>
    <w:rsid w:val="4127B1A5"/>
    <w:rsid w:val="413421E8"/>
    <w:rsid w:val="41398117"/>
    <w:rsid w:val="4144DF6A"/>
    <w:rsid w:val="41481962"/>
    <w:rsid w:val="414DBF56"/>
    <w:rsid w:val="4158EA0F"/>
    <w:rsid w:val="4159A278"/>
    <w:rsid w:val="41600045"/>
    <w:rsid w:val="41615982"/>
    <w:rsid w:val="416A9AEB"/>
    <w:rsid w:val="417E47CF"/>
    <w:rsid w:val="41809788"/>
    <w:rsid w:val="41875989"/>
    <w:rsid w:val="41883743"/>
    <w:rsid w:val="419EF593"/>
    <w:rsid w:val="41AF9005"/>
    <w:rsid w:val="41B391E8"/>
    <w:rsid w:val="41B6F189"/>
    <w:rsid w:val="41BA0D91"/>
    <w:rsid w:val="41C0BCA8"/>
    <w:rsid w:val="41C14217"/>
    <w:rsid w:val="41CA4984"/>
    <w:rsid w:val="41CD60B6"/>
    <w:rsid w:val="41D9214D"/>
    <w:rsid w:val="41E02F72"/>
    <w:rsid w:val="41E73D30"/>
    <w:rsid w:val="41F1D291"/>
    <w:rsid w:val="41FB8CA3"/>
    <w:rsid w:val="41FCF3DB"/>
    <w:rsid w:val="420C193C"/>
    <w:rsid w:val="421103D2"/>
    <w:rsid w:val="4220C723"/>
    <w:rsid w:val="4234B03A"/>
    <w:rsid w:val="423D2796"/>
    <w:rsid w:val="4251C8DD"/>
    <w:rsid w:val="426945BE"/>
    <w:rsid w:val="4269B669"/>
    <w:rsid w:val="426E64DD"/>
    <w:rsid w:val="42713D76"/>
    <w:rsid w:val="427E377F"/>
    <w:rsid w:val="427F946E"/>
    <w:rsid w:val="428665C0"/>
    <w:rsid w:val="4292DDA9"/>
    <w:rsid w:val="429C51E1"/>
    <w:rsid w:val="42A86CE1"/>
    <w:rsid w:val="42B2831E"/>
    <w:rsid w:val="42BBE223"/>
    <w:rsid w:val="42C34300"/>
    <w:rsid w:val="42D29F85"/>
    <w:rsid w:val="42ED8865"/>
    <w:rsid w:val="42F03AD5"/>
    <w:rsid w:val="42F2281F"/>
    <w:rsid w:val="4302B4BF"/>
    <w:rsid w:val="4303E9FA"/>
    <w:rsid w:val="43074F55"/>
    <w:rsid w:val="430E537F"/>
    <w:rsid w:val="4322670B"/>
    <w:rsid w:val="4323C40C"/>
    <w:rsid w:val="432407A4"/>
    <w:rsid w:val="432EFFFB"/>
    <w:rsid w:val="4330A10C"/>
    <w:rsid w:val="433243F6"/>
    <w:rsid w:val="433D0A21"/>
    <w:rsid w:val="434166AF"/>
    <w:rsid w:val="434B7EB4"/>
    <w:rsid w:val="436440D1"/>
    <w:rsid w:val="436C7FB1"/>
    <w:rsid w:val="438DE8A5"/>
    <w:rsid w:val="43901472"/>
    <w:rsid w:val="43C668E3"/>
    <w:rsid w:val="43CBB061"/>
    <w:rsid w:val="43D5DEF9"/>
    <w:rsid w:val="43D6EE5C"/>
    <w:rsid w:val="43D7F321"/>
    <w:rsid w:val="43D8B24D"/>
    <w:rsid w:val="43E53D6F"/>
    <w:rsid w:val="43E6CC92"/>
    <w:rsid w:val="43ED0AF6"/>
    <w:rsid w:val="43EFB6B4"/>
    <w:rsid w:val="43F12C3E"/>
    <w:rsid w:val="43F1B970"/>
    <w:rsid w:val="43F2566C"/>
    <w:rsid w:val="43F4EED7"/>
    <w:rsid w:val="4417CA97"/>
    <w:rsid w:val="4427AED8"/>
    <w:rsid w:val="442F8C83"/>
    <w:rsid w:val="44302652"/>
    <w:rsid w:val="44302D0B"/>
    <w:rsid w:val="44347D6C"/>
    <w:rsid w:val="44376316"/>
    <w:rsid w:val="443BF565"/>
    <w:rsid w:val="4443F833"/>
    <w:rsid w:val="44442CDE"/>
    <w:rsid w:val="44469AEA"/>
    <w:rsid w:val="4449FB65"/>
    <w:rsid w:val="444D2C9F"/>
    <w:rsid w:val="444E0A98"/>
    <w:rsid w:val="4450151E"/>
    <w:rsid w:val="446BD287"/>
    <w:rsid w:val="447AFF40"/>
    <w:rsid w:val="4483E9E9"/>
    <w:rsid w:val="4485FD59"/>
    <w:rsid w:val="4486DA87"/>
    <w:rsid w:val="44A06863"/>
    <w:rsid w:val="44A3D67A"/>
    <w:rsid w:val="44A4E20C"/>
    <w:rsid w:val="44A575C8"/>
    <w:rsid w:val="44BFF46D"/>
    <w:rsid w:val="44C6D16C"/>
    <w:rsid w:val="44D2E189"/>
    <w:rsid w:val="44D4992D"/>
    <w:rsid w:val="44D79E27"/>
    <w:rsid w:val="44FB0955"/>
    <w:rsid w:val="45066302"/>
    <w:rsid w:val="450AF315"/>
    <w:rsid w:val="4510DE4B"/>
    <w:rsid w:val="4518F591"/>
    <w:rsid w:val="45237E35"/>
    <w:rsid w:val="45238E18"/>
    <w:rsid w:val="4523BFFA"/>
    <w:rsid w:val="4535E09A"/>
    <w:rsid w:val="453FC6E3"/>
    <w:rsid w:val="456225DD"/>
    <w:rsid w:val="456315DB"/>
    <w:rsid w:val="457092F4"/>
    <w:rsid w:val="4582F655"/>
    <w:rsid w:val="459D3810"/>
    <w:rsid w:val="459F70FE"/>
    <w:rsid w:val="45A3F207"/>
    <w:rsid w:val="45BEA527"/>
    <w:rsid w:val="45C3A920"/>
    <w:rsid w:val="45CDE864"/>
    <w:rsid w:val="45D3F2A3"/>
    <w:rsid w:val="45DD218B"/>
    <w:rsid w:val="45E97471"/>
    <w:rsid w:val="45EF3C24"/>
    <w:rsid w:val="45FBA9D2"/>
    <w:rsid w:val="461617FD"/>
    <w:rsid w:val="461F60EE"/>
    <w:rsid w:val="4620EC87"/>
    <w:rsid w:val="4622F8C8"/>
    <w:rsid w:val="46245DD2"/>
    <w:rsid w:val="4630189F"/>
    <w:rsid w:val="46316B63"/>
    <w:rsid w:val="4659485C"/>
    <w:rsid w:val="465DC30E"/>
    <w:rsid w:val="466379A6"/>
    <w:rsid w:val="46640A22"/>
    <w:rsid w:val="46673B6A"/>
    <w:rsid w:val="466B8A05"/>
    <w:rsid w:val="466C218D"/>
    <w:rsid w:val="4670BEB0"/>
    <w:rsid w:val="467A7AD9"/>
    <w:rsid w:val="46818395"/>
    <w:rsid w:val="468C0268"/>
    <w:rsid w:val="4697BC2B"/>
    <w:rsid w:val="469C4F6C"/>
    <w:rsid w:val="46A6C376"/>
    <w:rsid w:val="46BCB378"/>
    <w:rsid w:val="46C91C28"/>
    <w:rsid w:val="46CF5BE2"/>
    <w:rsid w:val="46E338CD"/>
    <w:rsid w:val="46FA8CFA"/>
    <w:rsid w:val="4700FD48"/>
    <w:rsid w:val="47049255"/>
    <w:rsid w:val="4720AAC3"/>
    <w:rsid w:val="4721111D"/>
    <w:rsid w:val="4723DCFB"/>
    <w:rsid w:val="47245C9D"/>
    <w:rsid w:val="472DADE5"/>
    <w:rsid w:val="4736D85F"/>
    <w:rsid w:val="4741D600"/>
    <w:rsid w:val="47473AC6"/>
    <w:rsid w:val="474C5323"/>
    <w:rsid w:val="4752C53E"/>
    <w:rsid w:val="475A919E"/>
    <w:rsid w:val="475F4F9A"/>
    <w:rsid w:val="47651C72"/>
    <w:rsid w:val="4766B497"/>
    <w:rsid w:val="4768AFB6"/>
    <w:rsid w:val="4772C214"/>
    <w:rsid w:val="4780FAFF"/>
    <w:rsid w:val="47896EA6"/>
    <w:rsid w:val="47A46E2F"/>
    <w:rsid w:val="47B227DE"/>
    <w:rsid w:val="47C0DB80"/>
    <w:rsid w:val="47CA0C2F"/>
    <w:rsid w:val="47D645AF"/>
    <w:rsid w:val="47D942A5"/>
    <w:rsid w:val="47E05A2A"/>
    <w:rsid w:val="47F17D43"/>
    <w:rsid w:val="4806121A"/>
    <w:rsid w:val="4807AECF"/>
    <w:rsid w:val="48181B1D"/>
    <w:rsid w:val="481A544D"/>
    <w:rsid w:val="482B9DBC"/>
    <w:rsid w:val="484D12C3"/>
    <w:rsid w:val="484E2761"/>
    <w:rsid w:val="48573B74"/>
    <w:rsid w:val="485DC4D8"/>
    <w:rsid w:val="4863EAA1"/>
    <w:rsid w:val="48754B88"/>
    <w:rsid w:val="487DCA3E"/>
    <w:rsid w:val="4880545C"/>
    <w:rsid w:val="488761E3"/>
    <w:rsid w:val="4891BBAE"/>
    <w:rsid w:val="489A493D"/>
    <w:rsid w:val="48ACBD6C"/>
    <w:rsid w:val="48B76D47"/>
    <w:rsid w:val="48B7D617"/>
    <w:rsid w:val="48C461BE"/>
    <w:rsid w:val="48C537BE"/>
    <w:rsid w:val="48D0C87B"/>
    <w:rsid w:val="48E19CC6"/>
    <w:rsid w:val="48E3206B"/>
    <w:rsid w:val="48E5DCE4"/>
    <w:rsid w:val="49030A13"/>
    <w:rsid w:val="49103BAD"/>
    <w:rsid w:val="49202167"/>
    <w:rsid w:val="4929FA43"/>
    <w:rsid w:val="4930313A"/>
    <w:rsid w:val="493280B8"/>
    <w:rsid w:val="493AF36A"/>
    <w:rsid w:val="4940D30B"/>
    <w:rsid w:val="49565A07"/>
    <w:rsid w:val="4956AC71"/>
    <w:rsid w:val="495BE30B"/>
    <w:rsid w:val="497BF2E3"/>
    <w:rsid w:val="497C7F56"/>
    <w:rsid w:val="498DD715"/>
    <w:rsid w:val="49934928"/>
    <w:rsid w:val="49A33C49"/>
    <w:rsid w:val="49BB263C"/>
    <w:rsid w:val="49C085FA"/>
    <w:rsid w:val="49C17B06"/>
    <w:rsid w:val="49CC6250"/>
    <w:rsid w:val="49CDFB73"/>
    <w:rsid w:val="49D21AF6"/>
    <w:rsid w:val="49D31B13"/>
    <w:rsid w:val="49E1B259"/>
    <w:rsid w:val="49F0B8B6"/>
    <w:rsid w:val="4A155914"/>
    <w:rsid w:val="4A1BE13E"/>
    <w:rsid w:val="4A1D1E37"/>
    <w:rsid w:val="4A345ECD"/>
    <w:rsid w:val="4A48CAFC"/>
    <w:rsid w:val="4A4ABA7D"/>
    <w:rsid w:val="4A4EE891"/>
    <w:rsid w:val="4A5EC85A"/>
    <w:rsid w:val="4A66395B"/>
    <w:rsid w:val="4A7433C5"/>
    <w:rsid w:val="4A757719"/>
    <w:rsid w:val="4A7654E3"/>
    <w:rsid w:val="4A7858EB"/>
    <w:rsid w:val="4A882067"/>
    <w:rsid w:val="4A8BA940"/>
    <w:rsid w:val="4A8ED7EB"/>
    <w:rsid w:val="4A9B13D0"/>
    <w:rsid w:val="4A9D078C"/>
    <w:rsid w:val="4ABF56A2"/>
    <w:rsid w:val="4AC7321A"/>
    <w:rsid w:val="4AD060C3"/>
    <w:rsid w:val="4AD17366"/>
    <w:rsid w:val="4AD2D5B0"/>
    <w:rsid w:val="4AD5C175"/>
    <w:rsid w:val="4ADA9387"/>
    <w:rsid w:val="4AE6B520"/>
    <w:rsid w:val="4AE79F6E"/>
    <w:rsid w:val="4AF22A68"/>
    <w:rsid w:val="4AF23828"/>
    <w:rsid w:val="4AF8F4BD"/>
    <w:rsid w:val="4B1D1FA2"/>
    <w:rsid w:val="4B202667"/>
    <w:rsid w:val="4B20BA69"/>
    <w:rsid w:val="4B253546"/>
    <w:rsid w:val="4B38D318"/>
    <w:rsid w:val="4B3B3D71"/>
    <w:rsid w:val="4B4D982C"/>
    <w:rsid w:val="4B53D4EA"/>
    <w:rsid w:val="4B806732"/>
    <w:rsid w:val="4B826269"/>
    <w:rsid w:val="4B870A24"/>
    <w:rsid w:val="4B8B7889"/>
    <w:rsid w:val="4B986E5A"/>
    <w:rsid w:val="4B9910F6"/>
    <w:rsid w:val="4B9A4DCF"/>
    <w:rsid w:val="4BA656E9"/>
    <w:rsid w:val="4BB60EC0"/>
    <w:rsid w:val="4BB9E82F"/>
    <w:rsid w:val="4BC149C1"/>
    <w:rsid w:val="4BC6714A"/>
    <w:rsid w:val="4BCEC206"/>
    <w:rsid w:val="4BD29B71"/>
    <w:rsid w:val="4BD568E6"/>
    <w:rsid w:val="4BE6E613"/>
    <w:rsid w:val="4BE7AD17"/>
    <w:rsid w:val="4BE9B662"/>
    <w:rsid w:val="4BEDEECF"/>
    <w:rsid w:val="4BF1E55F"/>
    <w:rsid w:val="4C09684F"/>
    <w:rsid w:val="4C190C5D"/>
    <w:rsid w:val="4C1ABDA9"/>
    <w:rsid w:val="4C1DFF91"/>
    <w:rsid w:val="4C1ED56A"/>
    <w:rsid w:val="4C253B8B"/>
    <w:rsid w:val="4C2681FA"/>
    <w:rsid w:val="4C3D2415"/>
    <w:rsid w:val="4C4E14CF"/>
    <w:rsid w:val="4C5B2703"/>
    <w:rsid w:val="4C658281"/>
    <w:rsid w:val="4C6A8416"/>
    <w:rsid w:val="4C718E86"/>
    <w:rsid w:val="4C855DA5"/>
    <w:rsid w:val="4C8CBFBD"/>
    <w:rsid w:val="4C91FEB6"/>
    <w:rsid w:val="4C95D756"/>
    <w:rsid w:val="4C9E0535"/>
    <w:rsid w:val="4CA93B9B"/>
    <w:rsid w:val="4CB3B9D3"/>
    <w:rsid w:val="4CBA9773"/>
    <w:rsid w:val="4CCD6355"/>
    <w:rsid w:val="4CD75615"/>
    <w:rsid w:val="4CDD224F"/>
    <w:rsid w:val="4CE7636C"/>
    <w:rsid w:val="4CEB28D5"/>
    <w:rsid w:val="4CFC74C2"/>
    <w:rsid w:val="4D004467"/>
    <w:rsid w:val="4D0AD5B4"/>
    <w:rsid w:val="4D28A7F9"/>
    <w:rsid w:val="4D28D3C1"/>
    <w:rsid w:val="4D2D74A1"/>
    <w:rsid w:val="4D355929"/>
    <w:rsid w:val="4D44F0D4"/>
    <w:rsid w:val="4D51496D"/>
    <w:rsid w:val="4D51C96F"/>
    <w:rsid w:val="4D58D13A"/>
    <w:rsid w:val="4D6BFF8F"/>
    <w:rsid w:val="4D7616B7"/>
    <w:rsid w:val="4D8D3AF9"/>
    <w:rsid w:val="4D9158F8"/>
    <w:rsid w:val="4DA6CA91"/>
    <w:rsid w:val="4DBB1E92"/>
    <w:rsid w:val="4DC34F8B"/>
    <w:rsid w:val="4DC3C4AA"/>
    <w:rsid w:val="4DC40825"/>
    <w:rsid w:val="4DD7E8CF"/>
    <w:rsid w:val="4DDD6FE7"/>
    <w:rsid w:val="4DE455A0"/>
    <w:rsid w:val="4DE7382C"/>
    <w:rsid w:val="4DF874C5"/>
    <w:rsid w:val="4E0EA93D"/>
    <w:rsid w:val="4E1F260E"/>
    <w:rsid w:val="4E1F6942"/>
    <w:rsid w:val="4E22B414"/>
    <w:rsid w:val="4E2ABFD3"/>
    <w:rsid w:val="4E400920"/>
    <w:rsid w:val="4E50C4DC"/>
    <w:rsid w:val="4E66BA4B"/>
    <w:rsid w:val="4E691014"/>
    <w:rsid w:val="4E7CA6E7"/>
    <w:rsid w:val="4E81E11E"/>
    <w:rsid w:val="4E820116"/>
    <w:rsid w:val="4E8FD304"/>
    <w:rsid w:val="4E9577E4"/>
    <w:rsid w:val="4E9FCFA1"/>
    <w:rsid w:val="4EAA3494"/>
    <w:rsid w:val="4EAB48FB"/>
    <w:rsid w:val="4EB162B2"/>
    <w:rsid w:val="4EBED9B5"/>
    <w:rsid w:val="4EC27147"/>
    <w:rsid w:val="4EC28D9D"/>
    <w:rsid w:val="4ED743EC"/>
    <w:rsid w:val="4ED8EEF0"/>
    <w:rsid w:val="4EE00AFF"/>
    <w:rsid w:val="4EE3B228"/>
    <w:rsid w:val="4EF0FE88"/>
    <w:rsid w:val="4F02E7DF"/>
    <w:rsid w:val="4F0C8FD4"/>
    <w:rsid w:val="4F12B11F"/>
    <w:rsid w:val="4F15C687"/>
    <w:rsid w:val="4F1689B6"/>
    <w:rsid w:val="4F25E878"/>
    <w:rsid w:val="4F2B8A6B"/>
    <w:rsid w:val="4F4125D6"/>
    <w:rsid w:val="4F5AAE0E"/>
    <w:rsid w:val="4F661042"/>
    <w:rsid w:val="4F70B9CD"/>
    <w:rsid w:val="4F72ED1A"/>
    <w:rsid w:val="4F7D38A9"/>
    <w:rsid w:val="4F7D3CC9"/>
    <w:rsid w:val="4F94F692"/>
    <w:rsid w:val="4F991738"/>
    <w:rsid w:val="4F9DA58F"/>
    <w:rsid w:val="4FAE8B9F"/>
    <w:rsid w:val="4FC4AA8D"/>
    <w:rsid w:val="4FCE821A"/>
    <w:rsid w:val="4FCF842B"/>
    <w:rsid w:val="4FD0D249"/>
    <w:rsid w:val="4FD12F52"/>
    <w:rsid w:val="4FD20CDA"/>
    <w:rsid w:val="4FDFEFC2"/>
    <w:rsid w:val="4FEAB125"/>
    <w:rsid w:val="4FF945F0"/>
    <w:rsid w:val="501BA1C1"/>
    <w:rsid w:val="5023A3E2"/>
    <w:rsid w:val="50283C94"/>
    <w:rsid w:val="50393B0E"/>
    <w:rsid w:val="5039C5EE"/>
    <w:rsid w:val="5044EFCA"/>
    <w:rsid w:val="5054DEB1"/>
    <w:rsid w:val="5056829F"/>
    <w:rsid w:val="50612707"/>
    <w:rsid w:val="50672C45"/>
    <w:rsid w:val="5073BEEA"/>
    <w:rsid w:val="507E5298"/>
    <w:rsid w:val="50810027"/>
    <w:rsid w:val="508312AC"/>
    <w:rsid w:val="508A0D9A"/>
    <w:rsid w:val="509242D3"/>
    <w:rsid w:val="5096642A"/>
    <w:rsid w:val="50969A59"/>
    <w:rsid w:val="50A1CD61"/>
    <w:rsid w:val="50A3A051"/>
    <w:rsid w:val="50AB3AC9"/>
    <w:rsid w:val="50B656B8"/>
    <w:rsid w:val="50CE0E7D"/>
    <w:rsid w:val="50E0E7EE"/>
    <w:rsid w:val="50EF826A"/>
    <w:rsid w:val="50F480AD"/>
    <w:rsid w:val="50F7A853"/>
    <w:rsid w:val="50F84048"/>
    <w:rsid w:val="50FA13E2"/>
    <w:rsid w:val="511ACCFA"/>
    <w:rsid w:val="511EDBB5"/>
    <w:rsid w:val="51241DE7"/>
    <w:rsid w:val="5129125D"/>
    <w:rsid w:val="512D304A"/>
    <w:rsid w:val="5130351D"/>
    <w:rsid w:val="5132DC84"/>
    <w:rsid w:val="513B5485"/>
    <w:rsid w:val="5142E604"/>
    <w:rsid w:val="5146A8F5"/>
    <w:rsid w:val="51669FCE"/>
    <w:rsid w:val="516A65FD"/>
    <w:rsid w:val="516B6F7E"/>
    <w:rsid w:val="518A97A8"/>
    <w:rsid w:val="51ACF000"/>
    <w:rsid w:val="51B57487"/>
    <w:rsid w:val="51BD770A"/>
    <w:rsid w:val="51BFE682"/>
    <w:rsid w:val="51C0C408"/>
    <w:rsid w:val="51CFE738"/>
    <w:rsid w:val="51D5FAEE"/>
    <w:rsid w:val="51E8EE98"/>
    <w:rsid w:val="51FDCCA9"/>
    <w:rsid w:val="5200C154"/>
    <w:rsid w:val="5201B504"/>
    <w:rsid w:val="5204A2D4"/>
    <w:rsid w:val="521F6081"/>
    <w:rsid w:val="5234B137"/>
    <w:rsid w:val="523D4902"/>
    <w:rsid w:val="52539B25"/>
    <w:rsid w:val="526042FC"/>
    <w:rsid w:val="52638FF2"/>
    <w:rsid w:val="52650742"/>
    <w:rsid w:val="526B2827"/>
    <w:rsid w:val="526BF96C"/>
    <w:rsid w:val="52721550"/>
    <w:rsid w:val="5275E566"/>
    <w:rsid w:val="52891D67"/>
    <w:rsid w:val="528E838D"/>
    <w:rsid w:val="529307F7"/>
    <w:rsid w:val="52A31A41"/>
    <w:rsid w:val="52B67835"/>
    <w:rsid w:val="52BD42EA"/>
    <w:rsid w:val="52BDB4A7"/>
    <w:rsid w:val="52CA4940"/>
    <w:rsid w:val="52D5568D"/>
    <w:rsid w:val="52E4E225"/>
    <w:rsid w:val="52EEFE63"/>
    <w:rsid w:val="52F62D78"/>
    <w:rsid w:val="5301403A"/>
    <w:rsid w:val="53120FEF"/>
    <w:rsid w:val="531FDB51"/>
    <w:rsid w:val="53271012"/>
    <w:rsid w:val="5331166E"/>
    <w:rsid w:val="5333ADAF"/>
    <w:rsid w:val="5334346E"/>
    <w:rsid w:val="53363922"/>
    <w:rsid w:val="5338D458"/>
    <w:rsid w:val="53413B5D"/>
    <w:rsid w:val="5343B8B3"/>
    <w:rsid w:val="534412AB"/>
    <w:rsid w:val="5351F885"/>
    <w:rsid w:val="5357EE8D"/>
    <w:rsid w:val="5364DFFF"/>
    <w:rsid w:val="536B2DB7"/>
    <w:rsid w:val="536E27C5"/>
    <w:rsid w:val="537ADA6F"/>
    <w:rsid w:val="537EB008"/>
    <w:rsid w:val="5384617F"/>
    <w:rsid w:val="53897629"/>
    <w:rsid w:val="53960765"/>
    <w:rsid w:val="539A53B0"/>
    <w:rsid w:val="53A60427"/>
    <w:rsid w:val="53A7A0E8"/>
    <w:rsid w:val="53AF97AE"/>
    <w:rsid w:val="53AFEC0F"/>
    <w:rsid w:val="53B22B6C"/>
    <w:rsid w:val="53B3CE61"/>
    <w:rsid w:val="53BD0D07"/>
    <w:rsid w:val="53D47206"/>
    <w:rsid w:val="53EF5762"/>
    <w:rsid w:val="53FA2192"/>
    <w:rsid w:val="540C8F5D"/>
    <w:rsid w:val="54108178"/>
    <w:rsid w:val="5410A595"/>
    <w:rsid w:val="5414C148"/>
    <w:rsid w:val="5414C604"/>
    <w:rsid w:val="541BE726"/>
    <w:rsid w:val="541E2948"/>
    <w:rsid w:val="541FB67F"/>
    <w:rsid w:val="5424736D"/>
    <w:rsid w:val="5429637F"/>
    <w:rsid w:val="542EB35F"/>
    <w:rsid w:val="54318867"/>
    <w:rsid w:val="544730B6"/>
    <w:rsid w:val="544B5093"/>
    <w:rsid w:val="544F5409"/>
    <w:rsid w:val="5458026D"/>
    <w:rsid w:val="546E8518"/>
    <w:rsid w:val="5479BDED"/>
    <w:rsid w:val="547E0020"/>
    <w:rsid w:val="547F7FF2"/>
    <w:rsid w:val="5486F7AE"/>
    <w:rsid w:val="54900ED6"/>
    <w:rsid w:val="54A8BF7C"/>
    <w:rsid w:val="54B94FDA"/>
    <w:rsid w:val="54BA2B6E"/>
    <w:rsid w:val="54C1A8CE"/>
    <w:rsid w:val="54C88117"/>
    <w:rsid w:val="54D302D6"/>
    <w:rsid w:val="54DC3557"/>
    <w:rsid w:val="54DDE206"/>
    <w:rsid w:val="54E560ED"/>
    <w:rsid w:val="54E95EEF"/>
    <w:rsid w:val="54EC9DA2"/>
    <w:rsid w:val="54ECE1B4"/>
    <w:rsid w:val="54F8229C"/>
    <w:rsid w:val="54FE4753"/>
    <w:rsid w:val="55062FB7"/>
    <w:rsid w:val="550AA46A"/>
    <w:rsid w:val="550D875A"/>
    <w:rsid w:val="550D9BB0"/>
    <w:rsid w:val="551B3972"/>
    <w:rsid w:val="5531D7C6"/>
    <w:rsid w:val="553653DE"/>
    <w:rsid w:val="5545C680"/>
    <w:rsid w:val="5546E12A"/>
    <w:rsid w:val="554C1F62"/>
    <w:rsid w:val="554EC589"/>
    <w:rsid w:val="5554C9B4"/>
    <w:rsid w:val="5577E2C1"/>
    <w:rsid w:val="557BDC0C"/>
    <w:rsid w:val="558F0F3E"/>
    <w:rsid w:val="558FD294"/>
    <w:rsid w:val="5599B5BD"/>
    <w:rsid w:val="55B09665"/>
    <w:rsid w:val="55B87189"/>
    <w:rsid w:val="55BB6FA3"/>
    <w:rsid w:val="55C23224"/>
    <w:rsid w:val="55C986D9"/>
    <w:rsid w:val="55DD21A8"/>
    <w:rsid w:val="55F446E4"/>
    <w:rsid w:val="5606D670"/>
    <w:rsid w:val="5607F0AD"/>
    <w:rsid w:val="560880DE"/>
    <w:rsid w:val="5609E4C1"/>
    <w:rsid w:val="562850DD"/>
    <w:rsid w:val="5629053A"/>
    <w:rsid w:val="5632949F"/>
    <w:rsid w:val="5648A7F3"/>
    <w:rsid w:val="564B1FEC"/>
    <w:rsid w:val="56525E52"/>
    <w:rsid w:val="5671281B"/>
    <w:rsid w:val="5671D307"/>
    <w:rsid w:val="56A028A5"/>
    <w:rsid w:val="56A37341"/>
    <w:rsid w:val="56A4A773"/>
    <w:rsid w:val="56A57391"/>
    <w:rsid w:val="56A797B0"/>
    <w:rsid w:val="56B00D4A"/>
    <w:rsid w:val="56B1D120"/>
    <w:rsid w:val="56BC1FB4"/>
    <w:rsid w:val="56C6CD71"/>
    <w:rsid w:val="56CD9A92"/>
    <w:rsid w:val="56DCCDDB"/>
    <w:rsid w:val="56DD6F9A"/>
    <w:rsid w:val="56DE4473"/>
    <w:rsid w:val="56E29D2A"/>
    <w:rsid w:val="56E45F39"/>
    <w:rsid w:val="56E704D2"/>
    <w:rsid w:val="56EBFAAA"/>
    <w:rsid w:val="56EE4373"/>
    <w:rsid w:val="56F44D45"/>
    <w:rsid w:val="56F95A13"/>
    <w:rsid w:val="571BA4BE"/>
    <w:rsid w:val="57280CD1"/>
    <w:rsid w:val="572A2CB8"/>
    <w:rsid w:val="5734B97A"/>
    <w:rsid w:val="573BD59E"/>
    <w:rsid w:val="5742BD08"/>
    <w:rsid w:val="5753A496"/>
    <w:rsid w:val="577C4B61"/>
    <w:rsid w:val="5782B623"/>
    <w:rsid w:val="5784534D"/>
    <w:rsid w:val="57938241"/>
    <w:rsid w:val="5796BB86"/>
    <w:rsid w:val="579E0B97"/>
    <w:rsid w:val="57A168F2"/>
    <w:rsid w:val="57A5B522"/>
    <w:rsid w:val="57A7067B"/>
    <w:rsid w:val="57A97828"/>
    <w:rsid w:val="57AA83B8"/>
    <w:rsid w:val="57B5EE68"/>
    <w:rsid w:val="57BC6554"/>
    <w:rsid w:val="57C8CC76"/>
    <w:rsid w:val="57CC7250"/>
    <w:rsid w:val="57D89DC0"/>
    <w:rsid w:val="57E0F0FE"/>
    <w:rsid w:val="57EBBA34"/>
    <w:rsid w:val="57F117A2"/>
    <w:rsid w:val="57F7F657"/>
    <w:rsid w:val="57FF675A"/>
    <w:rsid w:val="5804D4ED"/>
    <w:rsid w:val="58170C6C"/>
    <w:rsid w:val="581941E5"/>
    <w:rsid w:val="5820D461"/>
    <w:rsid w:val="58308A9C"/>
    <w:rsid w:val="5832F453"/>
    <w:rsid w:val="583C063F"/>
    <w:rsid w:val="583E0DA3"/>
    <w:rsid w:val="583F570C"/>
    <w:rsid w:val="584BE732"/>
    <w:rsid w:val="58600639"/>
    <w:rsid w:val="5860A527"/>
    <w:rsid w:val="58629DD2"/>
    <w:rsid w:val="5869D724"/>
    <w:rsid w:val="58754776"/>
    <w:rsid w:val="5875D6B8"/>
    <w:rsid w:val="58823709"/>
    <w:rsid w:val="588EE596"/>
    <w:rsid w:val="58A477BE"/>
    <w:rsid w:val="58A4A1A5"/>
    <w:rsid w:val="58A4D51B"/>
    <w:rsid w:val="58A71485"/>
    <w:rsid w:val="58C1585B"/>
    <w:rsid w:val="58D18351"/>
    <w:rsid w:val="58D41EBD"/>
    <w:rsid w:val="58D6971C"/>
    <w:rsid w:val="58DE4170"/>
    <w:rsid w:val="58E276D4"/>
    <w:rsid w:val="58F3CA2B"/>
    <w:rsid w:val="590440E7"/>
    <w:rsid w:val="590CA112"/>
    <w:rsid w:val="59134993"/>
    <w:rsid w:val="591C9B87"/>
    <w:rsid w:val="5924CA1C"/>
    <w:rsid w:val="592A0BE3"/>
    <w:rsid w:val="594F2B9D"/>
    <w:rsid w:val="594F89FA"/>
    <w:rsid w:val="5951EEC1"/>
    <w:rsid w:val="59558C6F"/>
    <w:rsid w:val="59597B95"/>
    <w:rsid w:val="595BB910"/>
    <w:rsid w:val="5961892D"/>
    <w:rsid w:val="596613C7"/>
    <w:rsid w:val="596E6524"/>
    <w:rsid w:val="596FEAA9"/>
    <w:rsid w:val="5970E64E"/>
    <w:rsid w:val="59808D5B"/>
    <w:rsid w:val="598EF966"/>
    <w:rsid w:val="5991A42F"/>
    <w:rsid w:val="59AA4F17"/>
    <w:rsid w:val="59B8A432"/>
    <w:rsid w:val="59C4EBC2"/>
    <w:rsid w:val="59C84270"/>
    <w:rsid w:val="59CBED41"/>
    <w:rsid w:val="59D3940C"/>
    <w:rsid w:val="59DCE416"/>
    <w:rsid w:val="59F48802"/>
    <w:rsid w:val="59FB1FE1"/>
    <w:rsid w:val="5A0787AB"/>
    <w:rsid w:val="5A08902C"/>
    <w:rsid w:val="5A19E91B"/>
    <w:rsid w:val="5A219BA5"/>
    <w:rsid w:val="5A27D7EA"/>
    <w:rsid w:val="5A2EB21A"/>
    <w:rsid w:val="5A2FB65C"/>
    <w:rsid w:val="5A326D77"/>
    <w:rsid w:val="5A3532F8"/>
    <w:rsid w:val="5A3FA988"/>
    <w:rsid w:val="5A5E048B"/>
    <w:rsid w:val="5A66333B"/>
    <w:rsid w:val="5A6DCE64"/>
    <w:rsid w:val="5A73D8F2"/>
    <w:rsid w:val="5A8178C9"/>
    <w:rsid w:val="5A890505"/>
    <w:rsid w:val="5A8C7DAC"/>
    <w:rsid w:val="5A9BB41C"/>
    <w:rsid w:val="5A9E68C1"/>
    <w:rsid w:val="5AA44B0F"/>
    <w:rsid w:val="5AB2BBDB"/>
    <w:rsid w:val="5AB876E7"/>
    <w:rsid w:val="5ABD46AB"/>
    <w:rsid w:val="5AC198F9"/>
    <w:rsid w:val="5AC20A3D"/>
    <w:rsid w:val="5AC42D87"/>
    <w:rsid w:val="5AC62F78"/>
    <w:rsid w:val="5ACA6188"/>
    <w:rsid w:val="5ACF2298"/>
    <w:rsid w:val="5AD22E1C"/>
    <w:rsid w:val="5AE3C195"/>
    <w:rsid w:val="5AE893F9"/>
    <w:rsid w:val="5AF22AE0"/>
    <w:rsid w:val="5AF38A67"/>
    <w:rsid w:val="5AFA1831"/>
    <w:rsid w:val="5B0EA5F6"/>
    <w:rsid w:val="5B102D6B"/>
    <w:rsid w:val="5B106122"/>
    <w:rsid w:val="5B15099C"/>
    <w:rsid w:val="5B15C46E"/>
    <w:rsid w:val="5B35B256"/>
    <w:rsid w:val="5B36FDBC"/>
    <w:rsid w:val="5B3A6D6C"/>
    <w:rsid w:val="5B43B556"/>
    <w:rsid w:val="5B472D17"/>
    <w:rsid w:val="5B48BE4C"/>
    <w:rsid w:val="5B51360F"/>
    <w:rsid w:val="5B51FFA5"/>
    <w:rsid w:val="5B60BB91"/>
    <w:rsid w:val="5B613A56"/>
    <w:rsid w:val="5B80C00D"/>
    <w:rsid w:val="5B820F27"/>
    <w:rsid w:val="5B8D6406"/>
    <w:rsid w:val="5B8DF0A4"/>
    <w:rsid w:val="5B8FD0DE"/>
    <w:rsid w:val="5B9330B9"/>
    <w:rsid w:val="5B9B29C9"/>
    <w:rsid w:val="5BA565AA"/>
    <w:rsid w:val="5BB1D9B0"/>
    <w:rsid w:val="5BB81D96"/>
    <w:rsid w:val="5BBB729E"/>
    <w:rsid w:val="5BC5E189"/>
    <w:rsid w:val="5BC762ED"/>
    <w:rsid w:val="5BDA8CFE"/>
    <w:rsid w:val="5BF345F2"/>
    <w:rsid w:val="5BFD9658"/>
    <w:rsid w:val="5C0CEA4A"/>
    <w:rsid w:val="5C172188"/>
    <w:rsid w:val="5C25F0F7"/>
    <w:rsid w:val="5C281F11"/>
    <w:rsid w:val="5C2CE520"/>
    <w:rsid w:val="5C2E13C8"/>
    <w:rsid w:val="5C2F58CA"/>
    <w:rsid w:val="5C39230E"/>
    <w:rsid w:val="5C4E536C"/>
    <w:rsid w:val="5C564F3E"/>
    <w:rsid w:val="5C68CDC1"/>
    <w:rsid w:val="5C6E1050"/>
    <w:rsid w:val="5C6FCA5F"/>
    <w:rsid w:val="5C7BA64B"/>
    <w:rsid w:val="5C8686E5"/>
    <w:rsid w:val="5C88B929"/>
    <w:rsid w:val="5C8B7070"/>
    <w:rsid w:val="5C921BD1"/>
    <w:rsid w:val="5C9505EE"/>
    <w:rsid w:val="5C9BE1F2"/>
    <w:rsid w:val="5C9C53D0"/>
    <w:rsid w:val="5CF85031"/>
    <w:rsid w:val="5D031BAB"/>
    <w:rsid w:val="5D046F7F"/>
    <w:rsid w:val="5D098238"/>
    <w:rsid w:val="5D0B34CE"/>
    <w:rsid w:val="5D0D8E42"/>
    <w:rsid w:val="5D203039"/>
    <w:rsid w:val="5D32D4DA"/>
    <w:rsid w:val="5D356304"/>
    <w:rsid w:val="5D41360B"/>
    <w:rsid w:val="5D4525DD"/>
    <w:rsid w:val="5D4AE0FD"/>
    <w:rsid w:val="5D5F01F8"/>
    <w:rsid w:val="5D5F71DB"/>
    <w:rsid w:val="5D65F25B"/>
    <w:rsid w:val="5D6A4B5D"/>
    <w:rsid w:val="5D6C080A"/>
    <w:rsid w:val="5D6F3EB9"/>
    <w:rsid w:val="5D73058F"/>
    <w:rsid w:val="5D7B7258"/>
    <w:rsid w:val="5D7C7B72"/>
    <w:rsid w:val="5D7F07FC"/>
    <w:rsid w:val="5D8136DF"/>
    <w:rsid w:val="5D8C1263"/>
    <w:rsid w:val="5D99C9CA"/>
    <w:rsid w:val="5D9C4BF3"/>
    <w:rsid w:val="5D9EEFFB"/>
    <w:rsid w:val="5DA228E3"/>
    <w:rsid w:val="5DA6B128"/>
    <w:rsid w:val="5DD13440"/>
    <w:rsid w:val="5DDA9008"/>
    <w:rsid w:val="5DE332CC"/>
    <w:rsid w:val="5DEB7340"/>
    <w:rsid w:val="5DEE6546"/>
    <w:rsid w:val="5DF25D0F"/>
    <w:rsid w:val="5E04B11D"/>
    <w:rsid w:val="5E130BFF"/>
    <w:rsid w:val="5E1B20DB"/>
    <w:rsid w:val="5E1F86AF"/>
    <w:rsid w:val="5E396911"/>
    <w:rsid w:val="5E3FBCBA"/>
    <w:rsid w:val="5E4D61F5"/>
    <w:rsid w:val="5E4DC61F"/>
    <w:rsid w:val="5E55177D"/>
    <w:rsid w:val="5E7AF807"/>
    <w:rsid w:val="5E7D9908"/>
    <w:rsid w:val="5E7FBDEF"/>
    <w:rsid w:val="5E821345"/>
    <w:rsid w:val="5E8F1306"/>
    <w:rsid w:val="5E9439F3"/>
    <w:rsid w:val="5E9F46ED"/>
    <w:rsid w:val="5EA41870"/>
    <w:rsid w:val="5EA7AC4D"/>
    <w:rsid w:val="5EA99A7E"/>
    <w:rsid w:val="5EAE5237"/>
    <w:rsid w:val="5EB74957"/>
    <w:rsid w:val="5EB7D1ED"/>
    <w:rsid w:val="5EB9D6C7"/>
    <w:rsid w:val="5EBF4F7E"/>
    <w:rsid w:val="5ECBA54A"/>
    <w:rsid w:val="5EE47BEE"/>
    <w:rsid w:val="5EE75F66"/>
    <w:rsid w:val="5EE9FFFE"/>
    <w:rsid w:val="5EFBB21B"/>
    <w:rsid w:val="5F07C7FD"/>
    <w:rsid w:val="5F0FFC71"/>
    <w:rsid w:val="5F10B111"/>
    <w:rsid w:val="5F10F648"/>
    <w:rsid w:val="5F145351"/>
    <w:rsid w:val="5F1631AB"/>
    <w:rsid w:val="5F18EE66"/>
    <w:rsid w:val="5F1DC314"/>
    <w:rsid w:val="5F236CA3"/>
    <w:rsid w:val="5F2B998E"/>
    <w:rsid w:val="5F318FDF"/>
    <w:rsid w:val="5F3C7A21"/>
    <w:rsid w:val="5F4A6141"/>
    <w:rsid w:val="5F4E6C53"/>
    <w:rsid w:val="5F51D0D8"/>
    <w:rsid w:val="5F640165"/>
    <w:rsid w:val="5F768227"/>
    <w:rsid w:val="5F8115BD"/>
    <w:rsid w:val="5F84CE37"/>
    <w:rsid w:val="5F862CFE"/>
    <w:rsid w:val="5F8BC7DB"/>
    <w:rsid w:val="5F8ED961"/>
    <w:rsid w:val="5F9265B7"/>
    <w:rsid w:val="5F979EAA"/>
    <w:rsid w:val="5FA3FA93"/>
    <w:rsid w:val="5FA4EAB5"/>
    <w:rsid w:val="5FAD6B2B"/>
    <w:rsid w:val="5FC4DF73"/>
    <w:rsid w:val="5FCFCC7B"/>
    <w:rsid w:val="5FD76789"/>
    <w:rsid w:val="5FDFAC70"/>
    <w:rsid w:val="5FF0AF9D"/>
    <w:rsid w:val="5FFC5192"/>
    <w:rsid w:val="5FFF7F72"/>
    <w:rsid w:val="600D2AF3"/>
    <w:rsid w:val="6015AE19"/>
    <w:rsid w:val="601C0712"/>
    <w:rsid w:val="60237488"/>
    <w:rsid w:val="60239EE9"/>
    <w:rsid w:val="6026F128"/>
    <w:rsid w:val="6027F707"/>
    <w:rsid w:val="6042CBAE"/>
    <w:rsid w:val="60456ADF"/>
    <w:rsid w:val="6060B532"/>
    <w:rsid w:val="6066DEC8"/>
    <w:rsid w:val="60689A65"/>
    <w:rsid w:val="606BB70C"/>
    <w:rsid w:val="607245CD"/>
    <w:rsid w:val="6079E8F4"/>
    <w:rsid w:val="60819DE7"/>
    <w:rsid w:val="60861F03"/>
    <w:rsid w:val="60906386"/>
    <w:rsid w:val="6094965C"/>
    <w:rsid w:val="60A0ED17"/>
    <w:rsid w:val="60AC8853"/>
    <w:rsid w:val="60C1B1A1"/>
    <w:rsid w:val="60D159FB"/>
    <w:rsid w:val="60DF7118"/>
    <w:rsid w:val="60E95E2E"/>
    <w:rsid w:val="60F3490C"/>
    <w:rsid w:val="60F71483"/>
    <w:rsid w:val="6100D26E"/>
    <w:rsid w:val="61114304"/>
    <w:rsid w:val="611BB0C8"/>
    <w:rsid w:val="612A4917"/>
    <w:rsid w:val="6139F487"/>
    <w:rsid w:val="6152CFA9"/>
    <w:rsid w:val="615BD2FB"/>
    <w:rsid w:val="616C509D"/>
    <w:rsid w:val="61780E2E"/>
    <w:rsid w:val="617A4AC7"/>
    <w:rsid w:val="617F7D3C"/>
    <w:rsid w:val="6192477F"/>
    <w:rsid w:val="619C61FA"/>
    <w:rsid w:val="61A16CC8"/>
    <w:rsid w:val="61AD0224"/>
    <w:rsid w:val="61B721B0"/>
    <w:rsid w:val="61C65E2A"/>
    <w:rsid w:val="61CF5A23"/>
    <w:rsid w:val="61D81019"/>
    <w:rsid w:val="61EEE68F"/>
    <w:rsid w:val="61F3577B"/>
    <w:rsid w:val="61F6F040"/>
    <w:rsid w:val="621073A2"/>
    <w:rsid w:val="62194CD8"/>
    <w:rsid w:val="6224487C"/>
    <w:rsid w:val="62253B87"/>
    <w:rsid w:val="62362818"/>
    <w:rsid w:val="6236522E"/>
    <w:rsid w:val="623B84A8"/>
    <w:rsid w:val="626E4A0F"/>
    <w:rsid w:val="627DA485"/>
    <w:rsid w:val="628661E1"/>
    <w:rsid w:val="62874019"/>
    <w:rsid w:val="6290D12D"/>
    <w:rsid w:val="62A86A22"/>
    <w:rsid w:val="62AAD97C"/>
    <w:rsid w:val="62ADF51F"/>
    <w:rsid w:val="62B15301"/>
    <w:rsid w:val="62B77ADB"/>
    <w:rsid w:val="62B9F625"/>
    <w:rsid w:val="62CF51A4"/>
    <w:rsid w:val="62EF2984"/>
    <w:rsid w:val="62F53123"/>
    <w:rsid w:val="62F9B11E"/>
    <w:rsid w:val="6305D5D6"/>
    <w:rsid w:val="630B87EC"/>
    <w:rsid w:val="631AFF14"/>
    <w:rsid w:val="634A93CD"/>
    <w:rsid w:val="635187C7"/>
    <w:rsid w:val="635812B0"/>
    <w:rsid w:val="636845A5"/>
    <w:rsid w:val="637C0A27"/>
    <w:rsid w:val="637FAA16"/>
    <w:rsid w:val="63872874"/>
    <w:rsid w:val="638C0B02"/>
    <w:rsid w:val="638FC849"/>
    <w:rsid w:val="639D3A1F"/>
    <w:rsid w:val="63B02DA4"/>
    <w:rsid w:val="63B34CD7"/>
    <w:rsid w:val="63CE0B83"/>
    <w:rsid w:val="63CF5CB9"/>
    <w:rsid w:val="63D77FDB"/>
    <w:rsid w:val="63DCDF87"/>
    <w:rsid w:val="63EF6667"/>
    <w:rsid w:val="640BBCC2"/>
    <w:rsid w:val="64153505"/>
    <w:rsid w:val="641865C4"/>
    <w:rsid w:val="641BCF45"/>
    <w:rsid w:val="641EA678"/>
    <w:rsid w:val="643C41D0"/>
    <w:rsid w:val="645A5E1C"/>
    <w:rsid w:val="645AF7EB"/>
    <w:rsid w:val="6462E3D7"/>
    <w:rsid w:val="6463B314"/>
    <w:rsid w:val="64689F8F"/>
    <w:rsid w:val="646F1CCF"/>
    <w:rsid w:val="647F629D"/>
    <w:rsid w:val="648EF468"/>
    <w:rsid w:val="6492C784"/>
    <w:rsid w:val="649459F9"/>
    <w:rsid w:val="649D1B70"/>
    <w:rsid w:val="649D5D8D"/>
    <w:rsid w:val="649E9D4A"/>
    <w:rsid w:val="64A0F57D"/>
    <w:rsid w:val="64A8FE6F"/>
    <w:rsid w:val="64B8101B"/>
    <w:rsid w:val="64BAD41C"/>
    <w:rsid w:val="64C5EA58"/>
    <w:rsid w:val="64CAAD8F"/>
    <w:rsid w:val="64CF30AB"/>
    <w:rsid w:val="64D2F53A"/>
    <w:rsid w:val="64D4A769"/>
    <w:rsid w:val="64E723AC"/>
    <w:rsid w:val="64F66C8E"/>
    <w:rsid w:val="64F7CC90"/>
    <w:rsid w:val="64FFC2A3"/>
    <w:rsid w:val="6508C7BE"/>
    <w:rsid w:val="651070AA"/>
    <w:rsid w:val="651709C2"/>
    <w:rsid w:val="651FC10D"/>
    <w:rsid w:val="652017ED"/>
    <w:rsid w:val="652FF4EA"/>
    <w:rsid w:val="65328A09"/>
    <w:rsid w:val="65351B14"/>
    <w:rsid w:val="65550E78"/>
    <w:rsid w:val="65607F03"/>
    <w:rsid w:val="6560A67D"/>
    <w:rsid w:val="656164B8"/>
    <w:rsid w:val="65726F32"/>
    <w:rsid w:val="65743B58"/>
    <w:rsid w:val="65795F40"/>
    <w:rsid w:val="657B448A"/>
    <w:rsid w:val="65860D28"/>
    <w:rsid w:val="65863A51"/>
    <w:rsid w:val="65903AB3"/>
    <w:rsid w:val="65921F56"/>
    <w:rsid w:val="659E9EB0"/>
    <w:rsid w:val="65B41FEA"/>
    <w:rsid w:val="65B4C07F"/>
    <w:rsid w:val="65CEC109"/>
    <w:rsid w:val="65D7F371"/>
    <w:rsid w:val="65DC35FD"/>
    <w:rsid w:val="65FEC9D0"/>
    <w:rsid w:val="6606E02E"/>
    <w:rsid w:val="660A568D"/>
    <w:rsid w:val="660ECDB4"/>
    <w:rsid w:val="6611D53F"/>
    <w:rsid w:val="6612FFF7"/>
    <w:rsid w:val="6614E760"/>
    <w:rsid w:val="662499F7"/>
    <w:rsid w:val="662A7617"/>
    <w:rsid w:val="66451394"/>
    <w:rsid w:val="6650ED2A"/>
    <w:rsid w:val="66577319"/>
    <w:rsid w:val="6660C4F7"/>
    <w:rsid w:val="666662AC"/>
    <w:rsid w:val="66677EFF"/>
    <w:rsid w:val="66694740"/>
    <w:rsid w:val="668F2387"/>
    <w:rsid w:val="66BF479A"/>
    <w:rsid w:val="66BF5E76"/>
    <w:rsid w:val="66D82386"/>
    <w:rsid w:val="66E2FFCD"/>
    <w:rsid w:val="66F646C1"/>
    <w:rsid w:val="66F93E15"/>
    <w:rsid w:val="6704BBEF"/>
    <w:rsid w:val="670F1577"/>
    <w:rsid w:val="670F3B1E"/>
    <w:rsid w:val="671097E4"/>
    <w:rsid w:val="6712974C"/>
    <w:rsid w:val="6715A108"/>
    <w:rsid w:val="67312A56"/>
    <w:rsid w:val="6737A434"/>
    <w:rsid w:val="673A6F11"/>
    <w:rsid w:val="67556089"/>
    <w:rsid w:val="675E37AF"/>
    <w:rsid w:val="6760FE2C"/>
    <w:rsid w:val="6763472B"/>
    <w:rsid w:val="67695A63"/>
    <w:rsid w:val="676E1D94"/>
    <w:rsid w:val="679828BB"/>
    <w:rsid w:val="679CA982"/>
    <w:rsid w:val="67A2B08F"/>
    <w:rsid w:val="67A55498"/>
    <w:rsid w:val="67C972C0"/>
    <w:rsid w:val="67CADFC3"/>
    <w:rsid w:val="67CC328E"/>
    <w:rsid w:val="67CCED17"/>
    <w:rsid w:val="67D27C2C"/>
    <w:rsid w:val="67EE02A0"/>
    <w:rsid w:val="67F87FD5"/>
    <w:rsid w:val="67FAB923"/>
    <w:rsid w:val="67FF2E2C"/>
    <w:rsid w:val="680388C1"/>
    <w:rsid w:val="6809AB5B"/>
    <w:rsid w:val="681925D5"/>
    <w:rsid w:val="6821B976"/>
    <w:rsid w:val="6827DA91"/>
    <w:rsid w:val="684441BC"/>
    <w:rsid w:val="684A6E9F"/>
    <w:rsid w:val="68530484"/>
    <w:rsid w:val="68548109"/>
    <w:rsid w:val="68557D2E"/>
    <w:rsid w:val="68589461"/>
    <w:rsid w:val="68618505"/>
    <w:rsid w:val="68664F5A"/>
    <w:rsid w:val="6869A45B"/>
    <w:rsid w:val="6870799F"/>
    <w:rsid w:val="687BC32C"/>
    <w:rsid w:val="688C013D"/>
    <w:rsid w:val="689BF264"/>
    <w:rsid w:val="68A28280"/>
    <w:rsid w:val="68A2FDA0"/>
    <w:rsid w:val="68B95E0D"/>
    <w:rsid w:val="68B9F95F"/>
    <w:rsid w:val="68BBB5CC"/>
    <w:rsid w:val="68C3908A"/>
    <w:rsid w:val="68C43932"/>
    <w:rsid w:val="68E8B07E"/>
    <w:rsid w:val="68ECACAB"/>
    <w:rsid w:val="68ED9CAE"/>
    <w:rsid w:val="68F545F1"/>
    <w:rsid w:val="68F69780"/>
    <w:rsid w:val="68FE02A4"/>
    <w:rsid w:val="6920D934"/>
    <w:rsid w:val="693B5C02"/>
    <w:rsid w:val="694274C7"/>
    <w:rsid w:val="6944BEF0"/>
    <w:rsid w:val="694A1B03"/>
    <w:rsid w:val="694BD065"/>
    <w:rsid w:val="6955B660"/>
    <w:rsid w:val="6957AB2D"/>
    <w:rsid w:val="6959D958"/>
    <w:rsid w:val="6965675F"/>
    <w:rsid w:val="69725EC5"/>
    <w:rsid w:val="69742635"/>
    <w:rsid w:val="697DB3C8"/>
    <w:rsid w:val="6984EEA0"/>
    <w:rsid w:val="69856666"/>
    <w:rsid w:val="69986133"/>
    <w:rsid w:val="6998A189"/>
    <w:rsid w:val="699B522C"/>
    <w:rsid w:val="699D2F32"/>
    <w:rsid w:val="69A44D89"/>
    <w:rsid w:val="69AC0AC0"/>
    <w:rsid w:val="69C88FE9"/>
    <w:rsid w:val="69C95DD2"/>
    <w:rsid w:val="69DB612C"/>
    <w:rsid w:val="69F9C9F2"/>
    <w:rsid w:val="6A0251B7"/>
    <w:rsid w:val="6A1F273F"/>
    <w:rsid w:val="6A2B80F7"/>
    <w:rsid w:val="6A315E3C"/>
    <w:rsid w:val="6A45D339"/>
    <w:rsid w:val="6A5440C6"/>
    <w:rsid w:val="6A54BB9A"/>
    <w:rsid w:val="6A610409"/>
    <w:rsid w:val="6A615C05"/>
    <w:rsid w:val="6A6BF65E"/>
    <w:rsid w:val="6A720FD3"/>
    <w:rsid w:val="6A7212C5"/>
    <w:rsid w:val="6A7F76C8"/>
    <w:rsid w:val="6A80AFBC"/>
    <w:rsid w:val="6A883A11"/>
    <w:rsid w:val="6A943113"/>
    <w:rsid w:val="6A970A9F"/>
    <w:rsid w:val="6ABE5491"/>
    <w:rsid w:val="6ABECE3D"/>
    <w:rsid w:val="6AC50DE7"/>
    <w:rsid w:val="6AC74BAF"/>
    <w:rsid w:val="6ACB77D1"/>
    <w:rsid w:val="6AF2703D"/>
    <w:rsid w:val="6AF49273"/>
    <w:rsid w:val="6AF4E9CE"/>
    <w:rsid w:val="6B0572C9"/>
    <w:rsid w:val="6B0EA2C6"/>
    <w:rsid w:val="6B1E8C76"/>
    <w:rsid w:val="6B2312CD"/>
    <w:rsid w:val="6B270A56"/>
    <w:rsid w:val="6B2806C4"/>
    <w:rsid w:val="6B397C23"/>
    <w:rsid w:val="6B409481"/>
    <w:rsid w:val="6B4B568C"/>
    <w:rsid w:val="6B508809"/>
    <w:rsid w:val="6B5CD2F6"/>
    <w:rsid w:val="6B6094DF"/>
    <w:rsid w:val="6B79D387"/>
    <w:rsid w:val="6B7FE3A6"/>
    <w:rsid w:val="6BAD0C46"/>
    <w:rsid w:val="6BC6DC26"/>
    <w:rsid w:val="6BC7752C"/>
    <w:rsid w:val="6BCE1444"/>
    <w:rsid w:val="6BCE2652"/>
    <w:rsid w:val="6BCEC90F"/>
    <w:rsid w:val="6BD60CEB"/>
    <w:rsid w:val="6BDB7D45"/>
    <w:rsid w:val="6BE8B3D7"/>
    <w:rsid w:val="6BEABC24"/>
    <w:rsid w:val="6BF597E3"/>
    <w:rsid w:val="6C057485"/>
    <w:rsid w:val="6C08DCBC"/>
    <w:rsid w:val="6C1461A1"/>
    <w:rsid w:val="6C1B2E0B"/>
    <w:rsid w:val="6C1B991B"/>
    <w:rsid w:val="6C1CCBAD"/>
    <w:rsid w:val="6C268852"/>
    <w:rsid w:val="6C28F730"/>
    <w:rsid w:val="6C2CF540"/>
    <w:rsid w:val="6C2D2E16"/>
    <w:rsid w:val="6C3053E0"/>
    <w:rsid w:val="6C30C875"/>
    <w:rsid w:val="6C34EBD5"/>
    <w:rsid w:val="6C3B9C03"/>
    <w:rsid w:val="6C3CB994"/>
    <w:rsid w:val="6C50CD87"/>
    <w:rsid w:val="6C63FA1B"/>
    <w:rsid w:val="6C7621B2"/>
    <w:rsid w:val="6C7A07C2"/>
    <w:rsid w:val="6C7E0F38"/>
    <w:rsid w:val="6C919223"/>
    <w:rsid w:val="6C94737A"/>
    <w:rsid w:val="6C99B79B"/>
    <w:rsid w:val="6C9D03E1"/>
    <w:rsid w:val="6CA512B8"/>
    <w:rsid w:val="6CA7473A"/>
    <w:rsid w:val="6CAA0872"/>
    <w:rsid w:val="6CBC31B8"/>
    <w:rsid w:val="6CC89A90"/>
    <w:rsid w:val="6CD072D8"/>
    <w:rsid w:val="6CD54172"/>
    <w:rsid w:val="6CE59565"/>
    <w:rsid w:val="6CEB1BA7"/>
    <w:rsid w:val="6CF9C19D"/>
    <w:rsid w:val="6CFE301B"/>
    <w:rsid w:val="6D0C4D54"/>
    <w:rsid w:val="6D123C42"/>
    <w:rsid w:val="6D1971B1"/>
    <w:rsid w:val="6D1FA0DC"/>
    <w:rsid w:val="6D21EAB5"/>
    <w:rsid w:val="6D407564"/>
    <w:rsid w:val="6D4255A7"/>
    <w:rsid w:val="6D483283"/>
    <w:rsid w:val="6D49AA99"/>
    <w:rsid w:val="6D5C18C7"/>
    <w:rsid w:val="6D5F475B"/>
    <w:rsid w:val="6D69F6B3"/>
    <w:rsid w:val="6D74D0B0"/>
    <w:rsid w:val="6D79BB06"/>
    <w:rsid w:val="6D897C05"/>
    <w:rsid w:val="6D8E6FBD"/>
    <w:rsid w:val="6DA087E1"/>
    <w:rsid w:val="6DA258DC"/>
    <w:rsid w:val="6DB7D995"/>
    <w:rsid w:val="6DE1DC12"/>
    <w:rsid w:val="6DE51D42"/>
    <w:rsid w:val="6DEE55ED"/>
    <w:rsid w:val="6DFDB1D4"/>
    <w:rsid w:val="6E05370E"/>
    <w:rsid w:val="6E083B1C"/>
    <w:rsid w:val="6E0AF888"/>
    <w:rsid w:val="6E181F21"/>
    <w:rsid w:val="6E1EA154"/>
    <w:rsid w:val="6E2D9A76"/>
    <w:rsid w:val="6E3A03B2"/>
    <w:rsid w:val="6E3E6E67"/>
    <w:rsid w:val="6E453293"/>
    <w:rsid w:val="6E5169EB"/>
    <w:rsid w:val="6E6F3A92"/>
    <w:rsid w:val="6E7318EA"/>
    <w:rsid w:val="6E7D0CC5"/>
    <w:rsid w:val="6E7E1E20"/>
    <w:rsid w:val="6E8754F7"/>
    <w:rsid w:val="6E9A55D2"/>
    <w:rsid w:val="6EA2BCEC"/>
    <w:rsid w:val="6EA3B8CB"/>
    <w:rsid w:val="6EA6022C"/>
    <w:rsid w:val="6EA66D7E"/>
    <w:rsid w:val="6EADFA5A"/>
    <w:rsid w:val="6EB165B2"/>
    <w:rsid w:val="6EB77184"/>
    <w:rsid w:val="6EBCD25B"/>
    <w:rsid w:val="6ED102DC"/>
    <w:rsid w:val="6ED1220B"/>
    <w:rsid w:val="6EDD6D75"/>
    <w:rsid w:val="6EE159D5"/>
    <w:rsid w:val="6EED5965"/>
    <w:rsid w:val="6EF2D65F"/>
    <w:rsid w:val="6F05C714"/>
    <w:rsid w:val="6F05FBE7"/>
    <w:rsid w:val="6F384018"/>
    <w:rsid w:val="6F3C46D1"/>
    <w:rsid w:val="6F417E84"/>
    <w:rsid w:val="6F41BD2C"/>
    <w:rsid w:val="6F43110C"/>
    <w:rsid w:val="6F456A78"/>
    <w:rsid w:val="6F4C39D9"/>
    <w:rsid w:val="6F4E687C"/>
    <w:rsid w:val="6F650FAA"/>
    <w:rsid w:val="6F67F4A2"/>
    <w:rsid w:val="6F6EA104"/>
    <w:rsid w:val="6F734511"/>
    <w:rsid w:val="6F77D332"/>
    <w:rsid w:val="6F78D8FB"/>
    <w:rsid w:val="6F82C0F1"/>
    <w:rsid w:val="6F88FE8F"/>
    <w:rsid w:val="6F92F30F"/>
    <w:rsid w:val="6F93A3BD"/>
    <w:rsid w:val="6FA656B4"/>
    <w:rsid w:val="6FA82B6C"/>
    <w:rsid w:val="6FA96733"/>
    <w:rsid w:val="6FAE0205"/>
    <w:rsid w:val="6FAE41CE"/>
    <w:rsid w:val="6FB0B033"/>
    <w:rsid w:val="6FB3992F"/>
    <w:rsid w:val="6FB3CD11"/>
    <w:rsid w:val="6FB70695"/>
    <w:rsid w:val="6FB83000"/>
    <w:rsid w:val="6FCAF6EE"/>
    <w:rsid w:val="6FDD6726"/>
    <w:rsid w:val="6FE14606"/>
    <w:rsid w:val="6FE91F4E"/>
    <w:rsid w:val="6FEC68AB"/>
    <w:rsid w:val="6FEE4A1A"/>
    <w:rsid w:val="6FF04788"/>
    <w:rsid w:val="6FF9EB17"/>
    <w:rsid w:val="700624FF"/>
    <w:rsid w:val="7020215D"/>
    <w:rsid w:val="7043BE41"/>
    <w:rsid w:val="7048370B"/>
    <w:rsid w:val="705522F4"/>
    <w:rsid w:val="705C4175"/>
    <w:rsid w:val="707463BB"/>
    <w:rsid w:val="707E530D"/>
    <w:rsid w:val="708F431A"/>
    <w:rsid w:val="70A206C5"/>
    <w:rsid w:val="70ADCEC8"/>
    <w:rsid w:val="70AF9AAD"/>
    <w:rsid w:val="70BEE43F"/>
    <w:rsid w:val="70D09BF6"/>
    <w:rsid w:val="70ED30C9"/>
    <w:rsid w:val="71006F01"/>
    <w:rsid w:val="710958A4"/>
    <w:rsid w:val="7110D3D9"/>
    <w:rsid w:val="7117D80E"/>
    <w:rsid w:val="71185F3C"/>
    <w:rsid w:val="712665DC"/>
    <w:rsid w:val="7129CE2C"/>
    <w:rsid w:val="71365675"/>
    <w:rsid w:val="713F2B47"/>
    <w:rsid w:val="7149FFBD"/>
    <w:rsid w:val="714C1FD1"/>
    <w:rsid w:val="714D6E21"/>
    <w:rsid w:val="714D9F8A"/>
    <w:rsid w:val="71566E32"/>
    <w:rsid w:val="715B2D42"/>
    <w:rsid w:val="715E9710"/>
    <w:rsid w:val="7179CB3B"/>
    <w:rsid w:val="7187A3CA"/>
    <w:rsid w:val="718B7569"/>
    <w:rsid w:val="718BE7E5"/>
    <w:rsid w:val="71997194"/>
    <w:rsid w:val="71A481D4"/>
    <w:rsid w:val="71B19DBB"/>
    <w:rsid w:val="71B3ABA9"/>
    <w:rsid w:val="71CCFB82"/>
    <w:rsid w:val="71D9612F"/>
    <w:rsid w:val="71E436BE"/>
    <w:rsid w:val="71F930FD"/>
    <w:rsid w:val="720F88D9"/>
    <w:rsid w:val="7212BBBF"/>
    <w:rsid w:val="7217A973"/>
    <w:rsid w:val="72321339"/>
    <w:rsid w:val="7237033F"/>
    <w:rsid w:val="7240C6E6"/>
    <w:rsid w:val="7243D99D"/>
    <w:rsid w:val="724C7326"/>
    <w:rsid w:val="724EE780"/>
    <w:rsid w:val="7253A8FF"/>
    <w:rsid w:val="72557C90"/>
    <w:rsid w:val="72593D7F"/>
    <w:rsid w:val="72603591"/>
    <w:rsid w:val="72691F8D"/>
    <w:rsid w:val="726B866D"/>
    <w:rsid w:val="7270D25E"/>
    <w:rsid w:val="72775391"/>
    <w:rsid w:val="727D21B8"/>
    <w:rsid w:val="727D877C"/>
    <w:rsid w:val="727EC220"/>
    <w:rsid w:val="72877406"/>
    <w:rsid w:val="72940260"/>
    <w:rsid w:val="72955AA9"/>
    <w:rsid w:val="729F9564"/>
    <w:rsid w:val="72AD2ABD"/>
    <w:rsid w:val="72B2E070"/>
    <w:rsid w:val="72B4FCA4"/>
    <w:rsid w:val="72B95ED6"/>
    <w:rsid w:val="72BA994C"/>
    <w:rsid w:val="72BBD35A"/>
    <w:rsid w:val="72CC4BFF"/>
    <w:rsid w:val="72D53D0A"/>
    <w:rsid w:val="72E56336"/>
    <w:rsid w:val="72F36EE5"/>
    <w:rsid w:val="72FB99C1"/>
    <w:rsid w:val="7326A0AC"/>
    <w:rsid w:val="73288925"/>
    <w:rsid w:val="733AB46A"/>
    <w:rsid w:val="733BDACB"/>
    <w:rsid w:val="73505A02"/>
    <w:rsid w:val="735D6660"/>
    <w:rsid w:val="73663BD8"/>
    <w:rsid w:val="7372394B"/>
    <w:rsid w:val="737246C5"/>
    <w:rsid w:val="73762E0F"/>
    <w:rsid w:val="73866042"/>
    <w:rsid w:val="73964418"/>
    <w:rsid w:val="73A587C9"/>
    <w:rsid w:val="73C5C1CE"/>
    <w:rsid w:val="73CF390B"/>
    <w:rsid w:val="73D8D3B5"/>
    <w:rsid w:val="73E13B16"/>
    <w:rsid w:val="73E6CC02"/>
    <w:rsid w:val="73EA0533"/>
    <w:rsid w:val="73EF2E34"/>
    <w:rsid w:val="73F42F13"/>
    <w:rsid w:val="740150E6"/>
    <w:rsid w:val="7401988D"/>
    <w:rsid w:val="74091080"/>
    <w:rsid w:val="740AB68F"/>
    <w:rsid w:val="740B74C4"/>
    <w:rsid w:val="740BBEA0"/>
    <w:rsid w:val="741D2CA2"/>
    <w:rsid w:val="742ADCDD"/>
    <w:rsid w:val="7430E88C"/>
    <w:rsid w:val="7432B5B0"/>
    <w:rsid w:val="7440E963"/>
    <w:rsid w:val="7448FB1E"/>
    <w:rsid w:val="7470D170"/>
    <w:rsid w:val="74813397"/>
    <w:rsid w:val="74878467"/>
    <w:rsid w:val="748F96CC"/>
    <w:rsid w:val="74977D50"/>
    <w:rsid w:val="74AA0FDB"/>
    <w:rsid w:val="74AAC125"/>
    <w:rsid w:val="74B405C6"/>
    <w:rsid w:val="74B432FA"/>
    <w:rsid w:val="74B48553"/>
    <w:rsid w:val="74B67222"/>
    <w:rsid w:val="74BCFFFA"/>
    <w:rsid w:val="74C565B7"/>
    <w:rsid w:val="74C9224F"/>
    <w:rsid w:val="74CC181F"/>
    <w:rsid w:val="74CD07C4"/>
    <w:rsid w:val="74E2E6CA"/>
    <w:rsid w:val="74E779C1"/>
    <w:rsid w:val="74E7AE13"/>
    <w:rsid w:val="74EFDADE"/>
    <w:rsid w:val="74F4B82E"/>
    <w:rsid w:val="74F8159E"/>
    <w:rsid w:val="74FBE557"/>
    <w:rsid w:val="74FD8E74"/>
    <w:rsid w:val="74FF8EC0"/>
    <w:rsid w:val="75009B9F"/>
    <w:rsid w:val="75021B84"/>
    <w:rsid w:val="7507EE4C"/>
    <w:rsid w:val="751210CC"/>
    <w:rsid w:val="7517FB1A"/>
    <w:rsid w:val="753BF22C"/>
    <w:rsid w:val="7547299B"/>
    <w:rsid w:val="7548734D"/>
    <w:rsid w:val="7556DA6A"/>
    <w:rsid w:val="757AE1EA"/>
    <w:rsid w:val="758468D8"/>
    <w:rsid w:val="7597D653"/>
    <w:rsid w:val="75AB12AD"/>
    <w:rsid w:val="75C83216"/>
    <w:rsid w:val="75CC6B37"/>
    <w:rsid w:val="75D3A8FC"/>
    <w:rsid w:val="75EE79F6"/>
    <w:rsid w:val="75F77B35"/>
    <w:rsid w:val="761D74C0"/>
    <w:rsid w:val="7620CF29"/>
    <w:rsid w:val="762C320E"/>
    <w:rsid w:val="76438254"/>
    <w:rsid w:val="76556B06"/>
    <w:rsid w:val="76587EFB"/>
    <w:rsid w:val="76595DD9"/>
    <w:rsid w:val="765E7C14"/>
    <w:rsid w:val="7664B308"/>
    <w:rsid w:val="76797836"/>
    <w:rsid w:val="768473FC"/>
    <w:rsid w:val="76909ACE"/>
    <w:rsid w:val="76963223"/>
    <w:rsid w:val="76A55270"/>
    <w:rsid w:val="76A84B98"/>
    <w:rsid w:val="76B1D0BC"/>
    <w:rsid w:val="76BFC3B8"/>
    <w:rsid w:val="76C30873"/>
    <w:rsid w:val="76D6DECF"/>
    <w:rsid w:val="76D9B54A"/>
    <w:rsid w:val="76EE2594"/>
    <w:rsid w:val="76EE4B25"/>
    <w:rsid w:val="76EF5DCA"/>
    <w:rsid w:val="76FDF240"/>
    <w:rsid w:val="7701F2A0"/>
    <w:rsid w:val="7705062D"/>
    <w:rsid w:val="77072356"/>
    <w:rsid w:val="77214580"/>
    <w:rsid w:val="7726BE0F"/>
    <w:rsid w:val="772A8FBA"/>
    <w:rsid w:val="7733A6B4"/>
    <w:rsid w:val="77352156"/>
    <w:rsid w:val="7740CFA5"/>
    <w:rsid w:val="7747E956"/>
    <w:rsid w:val="774A5E47"/>
    <w:rsid w:val="7751FFF8"/>
    <w:rsid w:val="77587DBC"/>
    <w:rsid w:val="77632BEB"/>
    <w:rsid w:val="776A6897"/>
    <w:rsid w:val="7773CD1D"/>
    <w:rsid w:val="77994837"/>
    <w:rsid w:val="7799EBFE"/>
    <w:rsid w:val="779C9383"/>
    <w:rsid w:val="779EE52E"/>
    <w:rsid w:val="779F34F9"/>
    <w:rsid w:val="77A1EB14"/>
    <w:rsid w:val="77A9379D"/>
    <w:rsid w:val="77B28E93"/>
    <w:rsid w:val="77B33B8F"/>
    <w:rsid w:val="77B7B28E"/>
    <w:rsid w:val="77BF47D4"/>
    <w:rsid w:val="77C285AC"/>
    <w:rsid w:val="77CDD960"/>
    <w:rsid w:val="77D35C19"/>
    <w:rsid w:val="77FA6D7F"/>
    <w:rsid w:val="77FD85E1"/>
    <w:rsid w:val="780084AE"/>
    <w:rsid w:val="78160488"/>
    <w:rsid w:val="78206424"/>
    <w:rsid w:val="78249858"/>
    <w:rsid w:val="782FB660"/>
    <w:rsid w:val="785FFDEC"/>
    <w:rsid w:val="7860AE84"/>
    <w:rsid w:val="786F1117"/>
    <w:rsid w:val="78767FE0"/>
    <w:rsid w:val="787ECA5D"/>
    <w:rsid w:val="7884EB19"/>
    <w:rsid w:val="788890A3"/>
    <w:rsid w:val="789951E9"/>
    <w:rsid w:val="789BC3D0"/>
    <w:rsid w:val="78A1E9DD"/>
    <w:rsid w:val="78A548FC"/>
    <w:rsid w:val="78A880B8"/>
    <w:rsid w:val="78B128B8"/>
    <w:rsid w:val="78B29DF0"/>
    <w:rsid w:val="78B4D44A"/>
    <w:rsid w:val="78B7E314"/>
    <w:rsid w:val="78C01290"/>
    <w:rsid w:val="78C38BB3"/>
    <w:rsid w:val="78C5E4EB"/>
    <w:rsid w:val="78D08F92"/>
    <w:rsid w:val="78DAB930"/>
    <w:rsid w:val="78F36DDA"/>
    <w:rsid w:val="78F450C2"/>
    <w:rsid w:val="78FDEAFD"/>
    <w:rsid w:val="790A0B10"/>
    <w:rsid w:val="790A8694"/>
    <w:rsid w:val="790CBA58"/>
    <w:rsid w:val="791A0556"/>
    <w:rsid w:val="791A8279"/>
    <w:rsid w:val="7929066F"/>
    <w:rsid w:val="793F70DD"/>
    <w:rsid w:val="79492FB3"/>
    <w:rsid w:val="795C9240"/>
    <w:rsid w:val="796157EA"/>
    <w:rsid w:val="7961874F"/>
    <w:rsid w:val="7964A97D"/>
    <w:rsid w:val="79652D7A"/>
    <w:rsid w:val="796AE967"/>
    <w:rsid w:val="796B8887"/>
    <w:rsid w:val="7970F57C"/>
    <w:rsid w:val="797D3D2A"/>
    <w:rsid w:val="798242E9"/>
    <w:rsid w:val="7986F667"/>
    <w:rsid w:val="79A047ED"/>
    <w:rsid w:val="79A861DE"/>
    <w:rsid w:val="79BAA8B7"/>
    <w:rsid w:val="79C8E3AB"/>
    <w:rsid w:val="79CB27A6"/>
    <w:rsid w:val="79CDDE22"/>
    <w:rsid w:val="79D21495"/>
    <w:rsid w:val="79E67E2D"/>
    <w:rsid w:val="79EE48BB"/>
    <w:rsid w:val="79FADDA1"/>
    <w:rsid w:val="7A06AA33"/>
    <w:rsid w:val="7A0CA062"/>
    <w:rsid w:val="7A113E86"/>
    <w:rsid w:val="7A27135A"/>
    <w:rsid w:val="7A312030"/>
    <w:rsid w:val="7A5B54DC"/>
    <w:rsid w:val="7A5C9C59"/>
    <w:rsid w:val="7A5F1831"/>
    <w:rsid w:val="7A62D8C2"/>
    <w:rsid w:val="7A67FFD2"/>
    <w:rsid w:val="7A6A8A7F"/>
    <w:rsid w:val="7A6AA143"/>
    <w:rsid w:val="7A77964B"/>
    <w:rsid w:val="7A7C82B7"/>
    <w:rsid w:val="7A818F05"/>
    <w:rsid w:val="7A8E6ECB"/>
    <w:rsid w:val="7A8FEA27"/>
    <w:rsid w:val="7AA6C5E2"/>
    <w:rsid w:val="7AAAF948"/>
    <w:rsid w:val="7AB804B7"/>
    <w:rsid w:val="7AE06E85"/>
    <w:rsid w:val="7AE5A9F6"/>
    <w:rsid w:val="7AF31C14"/>
    <w:rsid w:val="7AF8582C"/>
    <w:rsid w:val="7AFAC715"/>
    <w:rsid w:val="7AFAE2A7"/>
    <w:rsid w:val="7B09A0F1"/>
    <w:rsid w:val="7B0D3DE3"/>
    <w:rsid w:val="7B1DAAB5"/>
    <w:rsid w:val="7B1E4599"/>
    <w:rsid w:val="7B28042C"/>
    <w:rsid w:val="7B397141"/>
    <w:rsid w:val="7B39BB26"/>
    <w:rsid w:val="7B39F3EC"/>
    <w:rsid w:val="7B3B289D"/>
    <w:rsid w:val="7B3F81A2"/>
    <w:rsid w:val="7B4238C7"/>
    <w:rsid w:val="7B469027"/>
    <w:rsid w:val="7B8395B7"/>
    <w:rsid w:val="7B882025"/>
    <w:rsid w:val="7B890C7B"/>
    <w:rsid w:val="7B893F87"/>
    <w:rsid w:val="7B8FBF02"/>
    <w:rsid w:val="7B938980"/>
    <w:rsid w:val="7BA9EE94"/>
    <w:rsid w:val="7BAB6520"/>
    <w:rsid w:val="7BC559D2"/>
    <w:rsid w:val="7BC748D5"/>
    <w:rsid w:val="7BE63F5A"/>
    <w:rsid w:val="7BEB5553"/>
    <w:rsid w:val="7BED2BE8"/>
    <w:rsid w:val="7BF0293E"/>
    <w:rsid w:val="7BFBFF5A"/>
    <w:rsid w:val="7C194B01"/>
    <w:rsid w:val="7C222495"/>
    <w:rsid w:val="7C4047E1"/>
    <w:rsid w:val="7C44E2A5"/>
    <w:rsid w:val="7C63CB88"/>
    <w:rsid w:val="7C7707AB"/>
    <w:rsid w:val="7C80DAEC"/>
    <w:rsid w:val="7C820AB3"/>
    <w:rsid w:val="7C85194F"/>
    <w:rsid w:val="7C91C67D"/>
    <w:rsid w:val="7C9A361C"/>
    <w:rsid w:val="7C9E81EC"/>
    <w:rsid w:val="7CA72031"/>
    <w:rsid w:val="7CB2EEA1"/>
    <w:rsid w:val="7CB859EC"/>
    <w:rsid w:val="7CCC130A"/>
    <w:rsid w:val="7CD9DEBC"/>
    <w:rsid w:val="7CDC5FD2"/>
    <w:rsid w:val="7CDF42DB"/>
    <w:rsid w:val="7CF522A8"/>
    <w:rsid w:val="7D00A060"/>
    <w:rsid w:val="7D143131"/>
    <w:rsid w:val="7D155646"/>
    <w:rsid w:val="7D159288"/>
    <w:rsid w:val="7D1B1993"/>
    <w:rsid w:val="7D2A54EF"/>
    <w:rsid w:val="7D2D7669"/>
    <w:rsid w:val="7D31F0B1"/>
    <w:rsid w:val="7D3322DA"/>
    <w:rsid w:val="7D39F8A3"/>
    <w:rsid w:val="7D3FF4A3"/>
    <w:rsid w:val="7D42F951"/>
    <w:rsid w:val="7D525C50"/>
    <w:rsid w:val="7D6FD7B9"/>
    <w:rsid w:val="7D836B67"/>
    <w:rsid w:val="7D8E4133"/>
    <w:rsid w:val="7D9270EE"/>
    <w:rsid w:val="7D9D46BB"/>
    <w:rsid w:val="7DA0CF12"/>
    <w:rsid w:val="7DA1E78F"/>
    <w:rsid w:val="7DB344D0"/>
    <w:rsid w:val="7DB53F2B"/>
    <w:rsid w:val="7DC7061D"/>
    <w:rsid w:val="7DCC9898"/>
    <w:rsid w:val="7DD5F8F4"/>
    <w:rsid w:val="7DE2480B"/>
    <w:rsid w:val="7DE3F15A"/>
    <w:rsid w:val="7DECBCB1"/>
    <w:rsid w:val="7DED0EB0"/>
    <w:rsid w:val="7DF8B731"/>
    <w:rsid w:val="7DF94FD2"/>
    <w:rsid w:val="7E0A8C62"/>
    <w:rsid w:val="7E2F035B"/>
    <w:rsid w:val="7E3D3102"/>
    <w:rsid w:val="7E4015F7"/>
    <w:rsid w:val="7E508CEB"/>
    <w:rsid w:val="7E58F274"/>
    <w:rsid w:val="7E5AF841"/>
    <w:rsid w:val="7E5CCB49"/>
    <w:rsid w:val="7E6784FC"/>
    <w:rsid w:val="7E6E676C"/>
    <w:rsid w:val="7E7487B6"/>
    <w:rsid w:val="7E74E0D8"/>
    <w:rsid w:val="7E7CDFC3"/>
    <w:rsid w:val="7E8426DB"/>
    <w:rsid w:val="7E853A59"/>
    <w:rsid w:val="7E9DD60E"/>
    <w:rsid w:val="7E9E7A59"/>
    <w:rsid w:val="7EA05BC5"/>
    <w:rsid w:val="7EACD5AB"/>
    <w:rsid w:val="7EB28CA4"/>
    <w:rsid w:val="7EB683E0"/>
    <w:rsid w:val="7EC162B4"/>
    <w:rsid w:val="7EC48A0A"/>
    <w:rsid w:val="7EC4E5C5"/>
    <w:rsid w:val="7EC9F9D3"/>
    <w:rsid w:val="7ECC1F71"/>
    <w:rsid w:val="7ECD5BFD"/>
    <w:rsid w:val="7ECEF33B"/>
    <w:rsid w:val="7ED0E995"/>
    <w:rsid w:val="7ED3627A"/>
    <w:rsid w:val="7EDDB147"/>
    <w:rsid w:val="7EDF9D15"/>
    <w:rsid w:val="7EE0DF83"/>
    <w:rsid w:val="7EE5E34F"/>
    <w:rsid w:val="7EE8992B"/>
    <w:rsid w:val="7EEB4265"/>
    <w:rsid w:val="7EF43BAF"/>
    <w:rsid w:val="7F1037DE"/>
    <w:rsid w:val="7F1D3485"/>
    <w:rsid w:val="7F257A94"/>
    <w:rsid w:val="7F2A2217"/>
    <w:rsid w:val="7F2EC5FF"/>
    <w:rsid w:val="7F466799"/>
    <w:rsid w:val="7F4B2967"/>
    <w:rsid w:val="7F510A6D"/>
    <w:rsid w:val="7F52C291"/>
    <w:rsid w:val="7F55CD19"/>
    <w:rsid w:val="7F6023C4"/>
    <w:rsid w:val="7F683DCA"/>
    <w:rsid w:val="7F7D9A08"/>
    <w:rsid w:val="7F811FB9"/>
    <w:rsid w:val="7F88E8E2"/>
    <w:rsid w:val="7F9053CD"/>
    <w:rsid w:val="7F94BEFC"/>
    <w:rsid w:val="7F9659D7"/>
    <w:rsid w:val="7F9E9CC6"/>
    <w:rsid w:val="7FB43CB4"/>
    <w:rsid w:val="7FB91202"/>
    <w:rsid w:val="7FBFB279"/>
    <w:rsid w:val="7FC73083"/>
    <w:rsid w:val="7FCBD3C4"/>
    <w:rsid w:val="7FCD55D8"/>
    <w:rsid w:val="7FCE53CA"/>
    <w:rsid w:val="7FD6B19B"/>
    <w:rsid w:val="7FDC24EA"/>
    <w:rsid w:val="7FDFD5DA"/>
    <w:rsid w:val="7FE53623"/>
    <w:rsid w:val="7FE7F831"/>
    <w:rsid w:val="7FEE74D3"/>
    <w:rsid w:val="7FFD1E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08ABC67"/>
  <w15:chartTrackingRefBased/>
  <w15:docId w15:val="{D41D03FB-D64A-4FE1-B0E4-7B1635B9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numPr>
        <w:numId w:val="3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3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3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040FD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Pr>
      <w:shd w:val="clear" w:color="auto" w:fill="auto"/>
      <w:vertAlign w:val="superscript"/>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pPr>
      <w:spacing w:after="0" w:line="240" w:lineRule="auto"/>
      <w:ind w:left="720"/>
    </w:pPr>
    <w:rPr>
      <w:rFonts w:ascii="Calibri" w:eastAsia="Times New Roman" w:hAnsi="Calibri" w:cs="Times New Roma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5">
    <w:name w:val="List Bullet 5"/>
    <w:basedOn w:val="Normal"/>
    <w:autoRedefine/>
    <w:pPr>
      <w:numPr>
        <w:numId w:val="20"/>
      </w:numPr>
      <w:spacing w:after="240" w:line="240" w:lineRule="auto"/>
      <w:jc w:val="both"/>
    </w:pPr>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acopre">
    <w:name w:val="acopre"/>
    <w:basedOn w:val="DefaultParagraphFont"/>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2">
    <w:name w:val="Normal2"/>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style>
  <w:style w:type="paragraph" w:styleId="ListBullet">
    <w:name w:val="List Bullet"/>
    <w:basedOn w:val="Normal"/>
    <w:uiPriority w:val="99"/>
    <w:semiHidden/>
    <w:unhideWhenUsed/>
    <w:pPr>
      <w:numPr>
        <w:numId w:val="38"/>
      </w:numPr>
      <w:contextualSpacing/>
    </w:pPr>
  </w:style>
  <w:style w:type="character" w:customStyle="1" w:styleId="markedcontent">
    <w:name w:val="markedcontent"/>
    <w:basedOn w:val="DefaultParagraphFont"/>
  </w:style>
  <w:style w:type="character" w:customStyle="1" w:styleId="st">
    <w:name w:val="st"/>
    <w:basedOn w:val="DefaultParagraphFont"/>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locked/>
    <w:rPr>
      <w:rFonts w:ascii="Calibri" w:eastAsia="Times New Roman" w:hAnsi="Calibri" w:cs="Times New Roman"/>
    </w:rPr>
  </w:style>
  <w:style w:type="paragraph" w:customStyle="1" w:styleId="CharCharChar">
    <w:name w:val="Char Char Char"/>
    <w:basedOn w:val="Normal"/>
    <w:link w:val="FootnoteReference"/>
    <w:uiPriority w:val="99"/>
    <w:pPr>
      <w:spacing w:after="160" w:line="240" w:lineRule="exact"/>
    </w:pPr>
    <w:rPr>
      <w:vertAlign w:val="superscript"/>
    </w:rPr>
  </w:style>
  <w:style w:type="paragraph" w:styleId="Caption">
    <w:name w:val="caption"/>
    <w:basedOn w:val="Normal"/>
    <w:next w:val="Normal"/>
    <w:qFormat/>
    <w:pPr>
      <w:widowControl w:val="0"/>
      <w:spacing w:before="120" w:after="120" w:line="240" w:lineRule="auto"/>
      <w:jc w:val="center"/>
    </w:pPr>
    <w:rPr>
      <w:rFonts w:ascii="Verdana" w:eastAsia="Times New Roman" w:hAnsi="Verdana" w:cs="Times New Roman"/>
      <w:b/>
      <w:sz w:val="20"/>
      <w:szCs w:val="20"/>
    </w:rPr>
  </w:style>
  <w:style w:type="character" w:styleId="Emphasis">
    <w:name w:val="Emphasis"/>
    <w:basedOn w:val="DefaultParagraphFont"/>
    <w:uiPriority w:val="20"/>
    <w:qFormat/>
    <w:rPr>
      <w:i/>
      <w:iCs/>
    </w:rPr>
  </w:style>
  <w:style w:type="paragraph" w:customStyle="1" w:styleId="Text1">
    <w:name w:val="Text 1"/>
    <w:basedOn w:val="Normal"/>
    <w:uiPriority w:val="1"/>
    <w:pPr>
      <w:spacing w:after="240" w:line="240" w:lineRule="auto"/>
      <w:ind w:left="482"/>
      <w:jc w:val="both"/>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semiHidden/>
    <w:unhideWhenUsed/>
    <w:rsid w:val="004D7099"/>
    <w:rPr>
      <w:color w:val="605E5C"/>
      <w:shd w:val="clear" w:color="auto" w:fill="E1DFDD"/>
    </w:rPr>
  </w:style>
  <w:style w:type="character" w:customStyle="1" w:styleId="UnresolvedMention2">
    <w:name w:val="Unresolved Mention2"/>
    <w:basedOn w:val="DefaultParagraphFont"/>
    <w:uiPriority w:val="99"/>
    <w:semiHidden/>
    <w:unhideWhenUsed/>
    <w:rsid w:val="00260B16"/>
    <w:rPr>
      <w:color w:val="605E5C"/>
      <w:shd w:val="clear" w:color="auto" w:fill="E1DFDD"/>
    </w:rPr>
  </w:style>
  <w:style w:type="table" w:styleId="TableGrid">
    <w:name w:val="Table Grid"/>
    <w:basedOn w:val="TableNormal"/>
    <w:uiPriority w:val="39"/>
    <w:rsid w:val="0034228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40FD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040FD7"/>
    <w:pPr>
      <w:spacing w:after="0"/>
      <w:ind w:left="5103"/>
    </w:pPr>
    <w:rPr>
      <w:rFonts w:ascii="Times New Roman" w:hAnsi="Times New Roman" w:cs="Times New Roman"/>
      <w:sz w:val="28"/>
    </w:rPr>
  </w:style>
  <w:style w:type="paragraph" w:customStyle="1" w:styleId="DateMarking">
    <w:name w:val="DateMarking"/>
    <w:basedOn w:val="Normal"/>
    <w:rsid w:val="00040FD7"/>
    <w:pPr>
      <w:spacing w:after="0"/>
      <w:ind w:left="5103"/>
    </w:pPr>
    <w:rPr>
      <w:rFonts w:ascii="Times New Roman" w:hAnsi="Times New Roman" w:cs="Times New Roman"/>
      <w:i/>
      <w:sz w:val="28"/>
    </w:rPr>
  </w:style>
  <w:style w:type="paragraph" w:customStyle="1" w:styleId="ReleasableTo">
    <w:name w:val="ReleasableTo"/>
    <w:basedOn w:val="Normal"/>
    <w:rsid w:val="00040FD7"/>
    <w:pPr>
      <w:spacing w:after="0"/>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BE5C0B"/>
    <w:rPr>
      <w:color w:val="605E5C"/>
      <w:shd w:val="clear" w:color="auto" w:fill="E1DFDD"/>
    </w:rPr>
  </w:style>
  <w:style w:type="character" w:customStyle="1" w:styleId="Mention">
    <w:name w:val="Mention"/>
    <w:basedOn w:val="DefaultParagraphFont"/>
    <w:uiPriority w:val="99"/>
    <w:unhideWhenUsed/>
    <w:rPr>
      <w:color w:val="2B579A"/>
      <w:shd w:val="clear" w:color="auto" w:fill="E6E6E6"/>
    </w:rPr>
  </w:style>
  <w:style w:type="character" w:customStyle="1" w:styleId="cf01">
    <w:name w:val="cf01"/>
    <w:basedOn w:val="DefaultParagraphFont"/>
    <w:rsid w:val="007618A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3383">
      <w:bodyDiv w:val="1"/>
      <w:marLeft w:val="0"/>
      <w:marRight w:val="0"/>
      <w:marTop w:val="0"/>
      <w:marBottom w:val="0"/>
      <w:divBdr>
        <w:top w:val="none" w:sz="0" w:space="0" w:color="auto"/>
        <w:left w:val="none" w:sz="0" w:space="0" w:color="auto"/>
        <w:bottom w:val="none" w:sz="0" w:space="0" w:color="auto"/>
        <w:right w:val="none" w:sz="0" w:space="0" w:color="auto"/>
      </w:divBdr>
    </w:div>
    <w:div w:id="122579248">
      <w:bodyDiv w:val="1"/>
      <w:marLeft w:val="0"/>
      <w:marRight w:val="0"/>
      <w:marTop w:val="0"/>
      <w:marBottom w:val="0"/>
      <w:divBdr>
        <w:top w:val="none" w:sz="0" w:space="0" w:color="auto"/>
        <w:left w:val="none" w:sz="0" w:space="0" w:color="auto"/>
        <w:bottom w:val="none" w:sz="0" w:space="0" w:color="auto"/>
        <w:right w:val="none" w:sz="0" w:space="0" w:color="auto"/>
      </w:divBdr>
    </w:div>
    <w:div w:id="251666390">
      <w:bodyDiv w:val="1"/>
      <w:marLeft w:val="0"/>
      <w:marRight w:val="0"/>
      <w:marTop w:val="0"/>
      <w:marBottom w:val="0"/>
      <w:divBdr>
        <w:top w:val="none" w:sz="0" w:space="0" w:color="auto"/>
        <w:left w:val="none" w:sz="0" w:space="0" w:color="auto"/>
        <w:bottom w:val="none" w:sz="0" w:space="0" w:color="auto"/>
        <w:right w:val="none" w:sz="0" w:space="0" w:color="auto"/>
      </w:divBdr>
    </w:div>
    <w:div w:id="261303843">
      <w:bodyDiv w:val="1"/>
      <w:marLeft w:val="0"/>
      <w:marRight w:val="0"/>
      <w:marTop w:val="0"/>
      <w:marBottom w:val="0"/>
      <w:divBdr>
        <w:top w:val="none" w:sz="0" w:space="0" w:color="auto"/>
        <w:left w:val="none" w:sz="0" w:space="0" w:color="auto"/>
        <w:bottom w:val="none" w:sz="0" w:space="0" w:color="auto"/>
        <w:right w:val="none" w:sz="0" w:space="0" w:color="auto"/>
      </w:divBdr>
    </w:div>
    <w:div w:id="270556874">
      <w:bodyDiv w:val="1"/>
      <w:marLeft w:val="0"/>
      <w:marRight w:val="0"/>
      <w:marTop w:val="0"/>
      <w:marBottom w:val="0"/>
      <w:divBdr>
        <w:top w:val="none" w:sz="0" w:space="0" w:color="auto"/>
        <w:left w:val="none" w:sz="0" w:space="0" w:color="auto"/>
        <w:bottom w:val="none" w:sz="0" w:space="0" w:color="auto"/>
        <w:right w:val="none" w:sz="0" w:space="0" w:color="auto"/>
      </w:divBdr>
    </w:div>
    <w:div w:id="322203173">
      <w:bodyDiv w:val="1"/>
      <w:marLeft w:val="0"/>
      <w:marRight w:val="0"/>
      <w:marTop w:val="0"/>
      <w:marBottom w:val="0"/>
      <w:divBdr>
        <w:top w:val="none" w:sz="0" w:space="0" w:color="auto"/>
        <w:left w:val="none" w:sz="0" w:space="0" w:color="auto"/>
        <w:bottom w:val="none" w:sz="0" w:space="0" w:color="auto"/>
        <w:right w:val="none" w:sz="0" w:space="0" w:color="auto"/>
      </w:divBdr>
    </w:div>
    <w:div w:id="323776394">
      <w:bodyDiv w:val="1"/>
      <w:marLeft w:val="0"/>
      <w:marRight w:val="0"/>
      <w:marTop w:val="0"/>
      <w:marBottom w:val="0"/>
      <w:divBdr>
        <w:top w:val="none" w:sz="0" w:space="0" w:color="auto"/>
        <w:left w:val="none" w:sz="0" w:space="0" w:color="auto"/>
        <w:bottom w:val="none" w:sz="0" w:space="0" w:color="auto"/>
        <w:right w:val="none" w:sz="0" w:space="0" w:color="auto"/>
      </w:divBdr>
    </w:div>
    <w:div w:id="451871096">
      <w:bodyDiv w:val="1"/>
      <w:marLeft w:val="0"/>
      <w:marRight w:val="0"/>
      <w:marTop w:val="0"/>
      <w:marBottom w:val="0"/>
      <w:divBdr>
        <w:top w:val="none" w:sz="0" w:space="0" w:color="auto"/>
        <w:left w:val="none" w:sz="0" w:space="0" w:color="auto"/>
        <w:bottom w:val="none" w:sz="0" w:space="0" w:color="auto"/>
        <w:right w:val="none" w:sz="0" w:space="0" w:color="auto"/>
      </w:divBdr>
    </w:div>
    <w:div w:id="477184491">
      <w:bodyDiv w:val="1"/>
      <w:marLeft w:val="0"/>
      <w:marRight w:val="0"/>
      <w:marTop w:val="0"/>
      <w:marBottom w:val="0"/>
      <w:divBdr>
        <w:top w:val="none" w:sz="0" w:space="0" w:color="auto"/>
        <w:left w:val="none" w:sz="0" w:space="0" w:color="auto"/>
        <w:bottom w:val="none" w:sz="0" w:space="0" w:color="auto"/>
        <w:right w:val="none" w:sz="0" w:space="0" w:color="auto"/>
      </w:divBdr>
    </w:div>
    <w:div w:id="616060094">
      <w:bodyDiv w:val="1"/>
      <w:marLeft w:val="0"/>
      <w:marRight w:val="0"/>
      <w:marTop w:val="0"/>
      <w:marBottom w:val="0"/>
      <w:divBdr>
        <w:top w:val="none" w:sz="0" w:space="0" w:color="auto"/>
        <w:left w:val="none" w:sz="0" w:space="0" w:color="auto"/>
        <w:bottom w:val="none" w:sz="0" w:space="0" w:color="auto"/>
        <w:right w:val="none" w:sz="0" w:space="0" w:color="auto"/>
      </w:divBdr>
    </w:div>
    <w:div w:id="883060483">
      <w:bodyDiv w:val="1"/>
      <w:marLeft w:val="0"/>
      <w:marRight w:val="0"/>
      <w:marTop w:val="0"/>
      <w:marBottom w:val="0"/>
      <w:divBdr>
        <w:top w:val="none" w:sz="0" w:space="0" w:color="auto"/>
        <w:left w:val="none" w:sz="0" w:space="0" w:color="auto"/>
        <w:bottom w:val="none" w:sz="0" w:space="0" w:color="auto"/>
        <w:right w:val="none" w:sz="0" w:space="0" w:color="auto"/>
      </w:divBdr>
    </w:div>
    <w:div w:id="904952954">
      <w:bodyDiv w:val="1"/>
      <w:marLeft w:val="0"/>
      <w:marRight w:val="0"/>
      <w:marTop w:val="0"/>
      <w:marBottom w:val="0"/>
      <w:divBdr>
        <w:top w:val="none" w:sz="0" w:space="0" w:color="auto"/>
        <w:left w:val="none" w:sz="0" w:space="0" w:color="auto"/>
        <w:bottom w:val="none" w:sz="0" w:space="0" w:color="auto"/>
        <w:right w:val="none" w:sz="0" w:space="0" w:color="auto"/>
      </w:divBdr>
    </w:div>
    <w:div w:id="992413310">
      <w:bodyDiv w:val="1"/>
      <w:marLeft w:val="0"/>
      <w:marRight w:val="0"/>
      <w:marTop w:val="0"/>
      <w:marBottom w:val="0"/>
      <w:divBdr>
        <w:top w:val="none" w:sz="0" w:space="0" w:color="auto"/>
        <w:left w:val="none" w:sz="0" w:space="0" w:color="auto"/>
        <w:bottom w:val="none" w:sz="0" w:space="0" w:color="auto"/>
        <w:right w:val="none" w:sz="0" w:space="0" w:color="auto"/>
      </w:divBdr>
    </w:div>
    <w:div w:id="1017847862">
      <w:bodyDiv w:val="1"/>
      <w:marLeft w:val="0"/>
      <w:marRight w:val="0"/>
      <w:marTop w:val="0"/>
      <w:marBottom w:val="0"/>
      <w:divBdr>
        <w:top w:val="none" w:sz="0" w:space="0" w:color="auto"/>
        <w:left w:val="none" w:sz="0" w:space="0" w:color="auto"/>
        <w:bottom w:val="none" w:sz="0" w:space="0" w:color="auto"/>
        <w:right w:val="none" w:sz="0" w:space="0" w:color="auto"/>
      </w:divBdr>
    </w:div>
    <w:div w:id="1057974876">
      <w:bodyDiv w:val="1"/>
      <w:marLeft w:val="0"/>
      <w:marRight w:val="0"/>
      <w:marTop w:val="0"/>
      <w:marBottom w:val="0"/>
      <w:divBdr>
        <w:top w:val="none" w:sz="0" w:space="0" w:color="auto"/>
        <w:left w:val="none" w:sz="0" w:space="0" w:color="auto"/>
        <w:bottom w:val="none" w:sz="0" w:space="0" w:color="auto"/>
        <w:right w:val="none" w:sz="0" w:space="0" w:color="auto"/>
      </w:divBdr>
    </w:div>
    <w:div w:id="1103763751">
      <w:bodyDiv w:val="1"/>
      <w:marLeft w:val="0"/>
      <w:marRight w:val="0"/>
      <w:marTop w:val="0"/>
      <w:marBottom w:val="0"/>
      <w:divBdr>
        <w:top w:val="none" w:sz="0" w:space="0" w:color="auto"/>
        <w:left w:val="none" w:sz="0" w:space="0" w:color="auto"/>
        <w:bottom w:val="none" w:sz="0" w:space="0" w:color="auto"/>
        <w:right w:val="none" w:sz="0" w:space="0" w:color="auto"/>
      </w:divBdr>
    </w:div>
    <w:div w:id="1125074455">
      <w:bodyDiv w:val="1"/>
      <w:marLeft w:val="0"/>
      <w:marRight w:val="0"/>
      <w:marTop w:val="0"/>
      <w:marBottom w:val="0"/>
      <w:divBdr>
        <w:top w:val="none" w:sz="0" w:space="0" w:color="auto"/>
        <w:left w:val="none" w:sz="0" w:space="0" w:color="auto"/>
        <w:bottom w:val="none" w:sz="0" w:space="0" w:color="auto"/>
        <w:right w:val="none" w:sz="0" w:space="0" w:color="auto"/>
      </w:divBdr>
    </w:div>
    <w:div w:id="1197081627">
      <w:bodyDiv w:val="1"/>
      <w:marLeft w:val="0"/>
      <w:marRight w:val="0"/>
      <w:marTop w:val="0"/>
      <w:marBottom w:val="0"/>
      <w:divBdr>
        <w:top w:val="none" w:sz="0" w:space="0" w:color="auto"/>
        <w:left w:val="none" w:sz="0" w:space="0" w:color="auto"/>
        <w:bottom w:val="none" w:sz="0" w:space="0" w:color="auto"/>
        <w:right w:val="none" w:sz="0" w:space="0" w:color="auto"/>
      </w:divBdr>
    </w:div>
    <w:div w:id="1283925164">
      <w:bodyDiv w:val="1"/>
      <w:marLeft w:val="0"/>
      <w:marRight w:val="0"/>
      <w:marTop w:val="0"/>
      <w:marBottom w:val="0"/>
      <w:divBdr>
        <w:top w:val="none" w:sz="0" w:space="0" w:color="auto"/>
        <w:left w:val="none" w:sz="0" w:space="0" w:color="auto"/>
        <w:bottom w:val="none" w:sz="0" w:space="0" w:color="auto"/>
        <w:right w:val="none" w:sz="0" w:space="0" w:color="auto"/>
      </w:divBdr>
    </w:div>
    <w:div w:id="1313369724">
      <w:bodyDiv w:val="1"/>
      <w:marLeft w:val="0"/>
      <w:marRight w:val="0"/>
      <w:marTop w:val="0"/>
      <w:marBottom w:val="0"/>
      <w:divBdr>
        <w:top w:val="none" w:sz="0" w:space="0" w:color="auto"/>
        <w:left w:val="none" w:sz="0" w:space="0" w:color="auto"/>
        <w:bottom w:val="none" w:sz="0" w:space="0" w:color="auto"/>
        <w:right w:val="none" w:sz="0" w:space="0" w:color="auto"/>
      </w:divBdr>
    </w:div>
    <w:div w:id="1528906502">
      <w:bodyDiv w:val="1"/>
      <w:marLeft w:val="0"/>
      <w:marRight w:val="0"/>
      <w:marTop w:val="0"/>
      <w:marBottom w:val="0"/>
      <w:divBdr>
        <w:top w:val="none" w:sz="0" w:space="0" w:color="auto"/>
        <w:left w:val="none" w:sz="0" w:space="0" w:color="auto"/>
        <w:bottom w:val="none" w:sz="0" w:space="0" w:color="auto"/>
        <w:right w:val="none" w:sz="0" w:space="0" w:color="auto"/>
      </w:divBdr>
    </w:div>
    <w:div w:id="1548838931">
      <w:bodyDiv w:val="1"/>
      <w:marLeft w:val="0"/>
      <w:marRight w:val="0"/>
      <w:marTop w:val="0"/>
      <w:marBottom w:val="0"/>
      <w:divBdr>
        <w:top w:val="none" w:sz="0" w:space="0" w:color="auto"/>
        <w:left w:val="none" w:sz="0" w:space="0" w:color="auto"/>
        <w:bottom w:val="none" w:sz="0" w:space="0" w:color="auto"/>
        <w:right w:val="none" w:sz="0" w:space="0" w:color="auto"/>
      </w:divBdr>
    </w:div>
    <w:div w:id="1565796316">
      <w:bodyDiv w:val="1"/>
      <w:marLeft w:val="0"/>
      <w:marRight w:val="0"/>
      <w:marTop w:val="0"/>
      <w:marBottom w:val="0"/>
      <w:divBdr>
        <w:top w:val="none" w:sz="0" w:space="0" w:color="auto"/>
        <w:left w:val="none" w:sz="0" w:space="0" w:color="auto"/>
        <w:bottom w:val="none" w:sz="0" w:space="0" w:color="auto"/>
        <w:right w:val="none" w:sz="0" w:space="0" w:color="auto"/>
      </w:divBdr>
    </w:div>
    <w:div w:id="1779791607">
      <w:bodyDiv w:val="1"/>
      <w:marLeft w:val="0"/>
      <w:marRight w:val="0"/>
      <w:marTop w:val="0"/>
      <w:marBottom w:val="0"/>
      <w:divBdr>
        <w:top w:val="none" w:sz="0" w:space="0" w:color="auto"/>
        <w:left w:val="none" w:sz="0" w:space="0" w:color="auto"/>
        <w:bottom w:val="none" w:sz="0" w:space="0" w:color="auto"/>
        <w:right w:val="none" w:sz="0" w:space="0" w:color="auto"/>
      </w:divBdr>
    </w:div>
    <w:div w:id="1864635533">
      <w:bodyDiv w:val="1"/>
      <w:marLeft w:val="0"/>
      <w:marRight w:val="0"/>
      <w:marTop w:val="0"/>
      <w:marBottom w:val="0"/>
      <w:divBdr>
        <w:top w:val="none" w:sz="0" w:space="0" w:color="auto"/>
        <w:left w:val="none" w:sz="0" w:space="0" w:color="auto"/>
        <w:bottom w:val="none" w:sz="0" w:space="0" w:color="auto"/>
        <w:right w:val="none" w:sz="0" w:space="0" w:color="auto"/>
      </w:divBdr>
    </w:div>
    <w:div w:id="1915387771">
      <w:bodyDiv w:val="1"/>
      <w:marLeft w:val="0"/>
      <w:marRight w:val="0"/>
      <w:marTop w:val="0"/>
      <w:marBottom w:val="0"/>
      <w:divBdr>
        <w:top w:val="none" w:sz="0" w:space="0" w:color="auto"/>
        <w:left w:val="none" w:sz="0" w:space="0" w:color="auto"/>
        <w:bottom w:val="none" w:sz="0" w:space="0" w:color="auto"/>
        <w:right w:val="none" w:sz="0" w:space="0" w:color="auto"/>
      </w:divBdr>
    </w:div>
    <w:div w:id="1917784057">
      <w:bodyDiv w:val="1"/>
      <w:marLeft w:val="0"/>
      <w:marRight w:val="0"/>
      <w:marTop w:val="0"/>
      <w:marBottom w:val="0"/>
      <w:divBdr>
        <w:top w:val="none" w:sz="0" w:space="0" w:color="auto"/>
        <w:left w:val="none" w:sz="0" w:space="0" w:color="auto"/>
        <w:bottom w:val="none" w:sz="0" w:space="0" w:color="auto"/>
        <w:right w:val="none" w:sz="0" w:space="0" w:color="auto"/>
      </w:divBdr>
    </w:div>
    <w:div w:id="1932081391">
      <w:bodyDiv w:val="1"/>
      <w:marLeft w:val="0"/>
      <w:marRight w:val="0"/>
      <w:marTop w:val="0"/>
      <w:marBottom w:val="0"/>
      <w:divBdr>
        <w:top w:val="none" w:sz="0" w:space="0" w:color="auto"/>
        <w:left w:val="none" w:sz="0" w:space="0" w:color="auto"/>
        <w:bottom w:val="none" w:sz="0" w:space="0" w:color="auto"/>
        <w:right w:val="none" w:sz="0" w:space="0" w:color="auto"/>
      </w:divBdr>
    </w:div>
    <w:div w:id="2052681612">
      <w:bodyDiv w:val="1"/>
      <w:marLeft w:val="0"/>
      <w:marRight w:val="0"/>
      <w:marTop w:val="0"/>
      <w:marBottom w:val="0"/>
      <w:divBdr>
        <w:top w:val="none" w:sz="0" w:space="0" w:color="auto"/>
        <w:left w:val="none" w:sz="0" w:space="0" w:color="auto"/>
        <w:bottom w:val="none" w:sz="0" w:space="0" w:color="auto"/>
        <w:right w:val="none" w:sz="0" w:space="0" w:color="auto"/>
      </w:divBdr>
    </w:div>
    <w:div w:id="2083676498">
      <w:bodyDiv w:val="1"/>
      <w:marLeft w:val="0"/>
      <w:marRight w:val="0"/>
      <w:marTop w:val="0"/>
      <w:marBottom w:val="0"/>
      <w:divBdr>
        <w:top w:val="none" w:sz="0" w:space="0" w:color="auto"/>
        <w:left w:val="none" w:sz="0" w:space="0" w:color="auto"/>
        <w:bottom w:val="none" w:sz="0" w:space="0" w:color="auto"/>
        <w:right w:val="none" w:sz="0" w:space="0" w:color="auto"/>
      </w:divBdr>
    </w:div>
    <w:div w:id="209381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2e76afa1-5695-11ee-9220-01aa75ed71a1" TargetMode="External"/><Relationship Id="rId13" Type="http://schemas.openxmlformats.org/officeDocument/2006/relationships/hyperlink" Target="https://data.consilium.europa.eu/doc/document/ST-5374-2023-ADD-1-REV-1/ro/pdf" TargetMode="External"/><Relationship Id="rId3" Type="http://schemas.openxmlformats.org/officeDocument/2006/relationships/hyperlink" Target="https://oap.ospar.org/en/ospar-assessments/quality-status-reports/qsr-2023/indicator-assessments/changes-plankton-biomass-abundance/" TargetMode="External"/><Relationship Id="rId7" Type="http://schemas.openxmlformats.org/officeDocument/2006/relationships/hyperlink" Target="https://commission.europa.eu/system/files/2020-09/ministerial_declaration_our_baltic_conference.pdf" TargetMode="External"/><Relationship Id="rId12" Type="http://schemas.openxmlformats.org/officeDocument/2006/relationships/hyperlink" Target="https://www.fao.org/documents/card/en/c/cb7562en" TargetMode="External"/><Relationship Id="rId2" Type="http://schemas.openxmlformats.org/officeDocument/2006/relationships/hyperlink" Target="https://cinea.ec.europa.eu/publications/climate-change-and-common-fisheries-policy_en" TargetMode="External"/><Relationship Id="rId1" Type="http://schemas.openxmlformats.org/officeDocument/2006/relationships/hyperlink" Target="https://research-and-innovation.ec.europa.eu/funding/funding-opportunities/funding-programmes-and-open-calls/horizon-europe/eu-missions-horizon-europe/restore-our-ocean-and-waters_en" TargetMode="External"/><Relationship Id="rId6" Type="http://schemas.openxmlformats.org/officeDocument/2006/relationships/hyperlink" Target="https://helcom.fi/wp-content/uploads/2023/10/State-of-the-Baltic-Sea-2023.pdf" TargetMode="External"/><Relationship Id="rId11" Type="http://schemas.openxmlformats.org/officeDocument/2006/relationships/hyperlink" Target="https://oceans-and-fisheries.ec.europa.eu/document/download/675ccb20-4b1c-456e-b13c-8e7b853002e3_en?filename=2023-12-08-EU-NO-Skagerrak-Agreed-Record-2024.pdf" TargetMode="External"/><Relationship Id="rId5" Type="http://schemas.openxmlformats.org/officeDocument/2006/relationships/hyperlink" Target="https://oap.ospar.org/en/ospar-assessments/quality-status-reports/qsr-2023/indicator-assessments/changes-plankton-biomass-abundance/" TargetMode="External"/><Relationship Id="rId15" Type="http://schemas.openxmlformats.org/officeDocument/2006/relationships/hyperlink" Target="https://blue-economy-observatory.ec.europa.eu/energy-transition-partnership_en" TargetMode="External"/><Relationship Id="rId10" Type="http://schemas.openxmlformats.org/officeDocument/2006/relationships/hyperlink" Target="https://commission.europa.eu/strategy-and-policy/relations-non-eu-countries/relations-united-kingdom/eu-uk-trade-and-cooperation-agreement/meetings-eu-uk-partnership-council-and-specialised-committees-under-trade-and-cooperation-agreement/specialised-committee-fisheries_en" TargetMode="External"/><Relationship Id="rId4" Type="http://schemas.openxmlformats.org/officeDocument/2006/relationships/hyperlink" Target="https://oap.ospar.org/en/ospar-assessments/quality-status-reports/qsr-2023/indicator-assessments/changes-plankton-biomass-abundance/" TargetMode="External"/><Relationship Id="rId9" Type="http://schemas.openxmlformats.org/officeDocument/2006/relationships/hyperlink" Target="https://oceans-and-fisheries.ec.europa.eu/system/files/2023-12/2024-eu-uk-fisheries-consultations_en.pdf" TargetMode="External"/><Relationship Id="rId14" Type="http://schemas.openxmlformats.org/officeDocument/2006/relationships/hyperlink" Target="https://eur-lex.europa.eu/legal-content/RO/TXT/PDF/?uri=CELEX:52023DC0100" TargetMode="External"/></Relationships>
</file>

<file path=word/documenttasks/documenttasks1.xml><?xml version="1.0" encoding="utf-8"?>
<t:Tasks xmlns:t="http://schemas.microsoft.com/office/tasks/2019/documenttasks" xmlns:oel="http://schemas.microsoft.com/office/2019/extlst">
  <t:Task id="{70E8238D-6F17-42FA-8635-2D3BC2FC7F19}">
    <t:Anchor>
      <t:Comment id="568741668"/>
    </t:Anchor>
    <t:History>
      <t:Event id="{431D52CF-5073-4901-B2D1-828EA910E017}" time="2024-03-21T08:53:08.995Z">
        <t:Attribution userId="S::evelien.ranshuysen@ec.europa.eu::ffe8a644-bacc-4691-a5df-4b303117bb6e" userProvider="AD" userName="RANSHUYSEN-ESSAT Evelien (MARE)"/>
        <t:Anchor>
          <t:Comment id="568741668"/>
        </t:Anchor>
        <t:Create/>
      </t:Event>
      <t:Event id="{9AE2B8D8-3097-4A64-9BA1-221BC3BA4B2F}" time="2024-03-21T08:53:08.995Z">
        <t:Attribution userId="S::evelien.ranshuysen@ec.europa.eu::ffe8a644-bacc-4691-a5df-4b303117bb6e" userProvider="AD" userName="RANSHUYSEN-ESSAT Evelien (MARE)"/>
        <t:Anchor>
          <t:Comment id="568741668"/>
        </t:Anchor>
        <t:Assign userId="S::Kenneth.PATTERSON@ec.europa.eu::80d6b819-b57e-47a7-91bc-2a9fa02da888" userProvider="AD" userName="PATTERSON Kenneth (MARE)"/>
      </t:Event>
      <t:Event id="{3AC41584-0045-4074-8B86-19B1C8FAB983}" time="2024-03-21T08:53:08.995Z">
        <t:Attribution userId="S::evelien.ranshuysen@ec.europa.eu::ffe8a644-bacc-4691-a5df-4b303117bb6e" userProvider="AD" userName="RANSHUYSEN-ESSAT Evelien (MARE)"/>
        <t:Anchor>
          <t:Comment id="568741668"/>
        </t:Anchor>
        <t:SetTitle title="@PATTERSON Kenneth (MARE) the NEA Fmsy figures can already be updated with the JRC report we received, please do so/or Martin please as this is important to already inform MBM of this afternoon"/>
      </t:Event>
    </t:History>
  </t:Task>
  <t:Task id="{206AC6C3-01E8-4A68-B374-1A83CD74C0F6}">
    <t:Anchor>
      <t:Comment id="12537108"/>
    </t:Anchor>
    <t:History>
      <t:Event id="{74941B73-1103-4A29-96C0-FF1A272B3565}" time="2024-03-22T14:05:46.782Z">
        <t:Attribution userId="S::kenneth.patterson@ec.europa.eu::80d6b819-b57e-47a7-91bc-2a9fa02da888" userProvider="AD" userName="PATTERSON Kenneth (MARE)"/>
        <t:Anchor>
          <t:Comment id="1777426466"/>
        </t:Anchor>
        <t:Create/>
      </t:Event>
      <t:Event id="{E7523827-C9F4-42A4-838C-EA194B977122}" time="2024-03-22T14:05:46.782Z">
        <t:Attribution userId="S::kenneth.patterson@ec.europa.eu::80d6b819-b57e-47a7-91bc-2a9fa02da888" userProvider="AD" userName="PATTERSON Kenneth (MARE)"/>
        <t:Anchor>
          <t:Comment id="1777426466"/>
        </t:Anchor>
        <t:Assign userId="S::Giacomo-Chato.OSIO@ec.europa.eu::860a614c-6fbb-4eae-82a9-5b459209829d" userProvider="AD" userName="OSIO Giacomo Chato (MARE)"/>
      </t:Event>
      <t:Event id="{02F88BAE-BFB4-4C2E-899D-D12AEE2CA2BB}" time="2024-03-22T14:05:46.782Z">
        <t:Attribution userId="S::kenneth.patterson@ec.europa.eu::80d6b819-b57e-47a7-91bc-2a9fa02da888" userProvider="AD" userName="PATTERSON Kenneth (MARE)"/>
        <t:Anchor>
          <t:Comment id="1777426466"/>
        </t:Anchor>
        <t:SetTitle title="Model median percentile was 1.20 for the Med @OSIO Giacomo Chato (MA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ARES_TRANSFERRED_BY xmlns="9872877a-2c26-4a09-bc31-c5480212e136" xsi:nil="true"/>
    <EC_Collab_DocumentLanguage xmlns="9872877a-2c26-4a09-bc31-c5480212e136">EN</EC_Collab_DocumentLanguage>
    <EC_Collab_Reference xmlns="9872877a-2c26-4a09-bc31-c5480212e136" xsi:nil="true"/>
    <EC_ARES_DATE_TRANSFERRED xmlns="9872877a-2c26-4a09-bc31-c5480212e136" xsi:nil="true"/>
    <EC_ARES_NUMBER xmlns="9872877a-2c26-4a09-bc31-c5480212e136">
      <Url xsi:nil="true"/>
      <Description xsi:nil="true"/>
    </EC_ARES_NUMBER>
    <EC_Collab_Status xmlns="9872877a-2c26-4a09-bc31-c5480212e136">Not Started</EC_Collab_Status>
    <SharedWithUsers xmlns="9872877a-2c26-4a09-bc31-c5480212e136">
      <UserInfo>
        <DisplayName>ANDUJAR VAZQUEZ Anabel (MARE)</DisplayName>
        <AccountId>603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609275282FDBDC44A460D864DB2442E100E6D351A38444394097558B54BFB7F5A7" ma:contentTypeVersion="17" ma:contentTypeDescription="Create a new document in this library." ma:contentTypeScope="" ma:versionID="89ebc7808cf36979ff42dc82a4de9f82">
  <xsd:schema xmlns:xsd="http://www.w3.org/2001/XMLSchema" xmlns:xs="http://www.w3.org/2001/XMLSchema" xmlns:p="http://schemas.microsoft.com/office/2006/metadata/properties" xmlns:ns2="http://schemas.microsoft.com/sharepoint/v3/fields" xmlns:ns3="9872877a-2c26-4a09-bc31-c5480212e136" xmlns:ns4="a34b7f94-ab0d-4526-afeb-99db304a721b" targetNamespace="http://schemas.microsoft.com/office/2006/metadata/properties" ma:root="true" ma:fieldsID="28c5336fdf3f83856b26b01243236de0" ns2:_="" ns3:_="" ns4:_="">
    <xsd:import namespace="http://schemas.microsoft.com/sharepoint/v3/fields"/>
    <xsd:import namespace="9872877a-2c26-4a09-bc31-c5480212e136"/>
    <xsd:import namespace="a34b7f94-ab0d-4526-afeb-99db304a721b"/>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0"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872877a-2c26-4a09-bc31-c5480212e136" elementFormDefault="qualified">
    <xsd:import namespace="http://schemas.microsoft.com/office/2006/documentManagement/types"/>
    <xsd:import namespace="http://schemas.microsoft.com/office/infopath/2007/PartnerControls"/>
    <xsd:element name="EC_Collab_Reference" ma:index="9" nillable="true" ma:displayName="Reference" ma:internalName="EC_Collab_Reference" ma:readOnly="false">
      <xsd:simpleType>
        <xsd:restriction base="dms:Text"/>
      </xsd:simpleType>
    </xsd:element>
    <xsd:element name="EC_Collab_DocumentLanguage" ma:index="11"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2"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3"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4" nillable="true" ma:displayName="Transferred to Ares" ma:format="DateTime" ma:internalName="EC_ARES_DATE_TRANSFERRED" ma:readOnly="false">
      <xsd:simpleType>
        <xsd:restriction base="dms:DateTime"/>
      </xsd:simpleType>
    </xsd:element>
    <xsd:element name="EC_ARES_TRANSFERRED_BY" ma:index="15" nillable="true" ma:displayName="Transferred By" ma:internalName="EC_ARES_TRANSFERRED_BY" ma:readOnly="false">
      <xsd:simpleType>
        <xsd:restriction base="dms:Text"/>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4b7f94-ab0d-4526-afeb-99db304a721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6" ma:displayName="Author"/>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ma:index="5" ma:displayName="Subject"/>
        <xsd:element ref="dc:description" minOccurs="0" maxOccurs="1" ma:index="8" ma:displayName="Comments"/>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0787E-2154-440D-84C2-5D088DA54E3E}">
  <ds:schemaRefs>
    <ds:schemaRef ds:uri="http://schemas.microsoft.com/office/2006/metadata/properties"/>
    <ds:schemaRef ds:uri="http://schemas.microsoft.com/office/infopath/2007/PartnerControls"/>
    <ds:schemaRef ds:uri="http://schemas.microsoft.com/sharepoint/v3/fields"/>
    <ds:schemaRef ds:uri="9872877a-2c26-4a09-bc31-c5480212e136"/>
  </ds:schemaRefs>
</ds:datastoreItem>
</file>

<file path=customXml/itemProps2.xml><?xml version="1.0" encoding="utf-8"?>
<ds:datastoreItem xmlns:ds="http://schemas.openxmlformats.org/officeDocument/2006/customXml" ds:itemID="{B3A8EC3B-91E1-4699-831C-5670E16E9C6E}">
  <ds:schemaRefs>
    <ds:schemaRef ds:uri="http://schemas.microsoft.com/sharepoint/v3/contenttype/forms"/>
  </ds:schemaRefs>
</ds:datastoreItem>
</file>

<file path=customXml/itemProps3.xml><?xml version="1.0" encoding="utf-8"?>
<ds:datastoreItem xmlns:ds="http://schemas.openxmlformats.org/officeDocument/2006/customXml" ds:itemID="{B7E53C35-408E-4023-9006-6A02A030E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872877a-2c26-4a09-bc31-c5480212e136"/>
    <ds:schemaRef ds:uri="a34b7f94-ab0d-4526-afeb-99db304a7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055F6A-8E7D-42FE-8E95-5F99CD2E6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Pages>
  <Words>5967</Words>
  <Characters>34012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2024-05-22T15:32:00Z</dcterms:created>
  <dcterms:modified xsi:type="dcterms:W3CDTF">2024-05-31T10:52:00Z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2023-05-30T11:26:04Z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6df8216d-0247-4534-8c05-91006c7c82d1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CP-012</vt:lpwstr>
  </property>
  <property fmtid="{D5CDD505-2E9C-101B-9397-08002B2CF9AE}" pid="15" name="ContentTypeId">
    <vt:lpwstr>0x010100609275282FDBDC44A460D864DB2442E100E6D351A38444394097558B54BFB7F5A7</vt:lpwstr>
  </property>
</Properties>
</file>