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F667B" w14:textId="5B6224AA" w:rsidR="00A77699" w:rsidRDefault="005F5C66" w:rsidP="005F5C66">
      <w:pPr>
        <w:pStyle w:val="Pagedecouverture"/>
        <w:rPr>
          <w:noProof/>
        </w:rPr>
      </w:pPr>
      <w:bookmarkStart w:id="0" w:name="LW_BM_COVERPAGE"/>
      <w:r>
        <w:rPr>
          <w:noProof/>
        </w:rPr>
        <w:pict w14:anchorId="2C0EF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6B2E66-9F87-4D51-86CB-BD431E5512F9" style="width:455.25pt;height:324pt">
            <v:imagedata r:id="rId12" o:title=""/>
          </v:shape>
        </w:pict>
      </w:r>
    </w:p>
    <w:bookmarkEnd w:id="0"/>
    <w:p w14:paraId="1BE6C9DC" w14:textId="77777777" w:rsidR="00A77699" w:rsidRDefault="00A77699" w:rsidP="00A77699">
      <w:pPr>
        <w:rPr>
          <w:noProof/>
        </w:rPr>
        <w:sectPr w:rsidR="00A77699" w:rsidSect="005F5C66">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0BB2B8F0" w14:textId="67EFE0EE" w:rsidR="0073024E" w:rsidRPr="00787215" w:rsidRDefault="0073024E" w:rsidP="0073024E">
      <w:pPr>
        <w:spacing w:line="240" w:lineRule="auto"/>
        <w:jc w:val="both"/>
        <w:rPr>
          <w:rFonts w:ascii="Times New Roman" w:hAnsi="Times New Roman" w:cs="Times New Roman"/>
          <w:noProof/>
          <w:sz w:val="24"/>
          <w:szCs w:val="24"/>
        </w:rPr>
      </w:pPr>
      <w:bookmarkStart w:id="1" w:name="_GoBack"/>
      <w:bookmarkEnd w:id="1"/>
      <w:r w:rsidRPr="00CD53BF">
        <w:rPr>
          <w:rFonts w:ascii="Times New Roman" w:hAnsi="Times New Roman"/>
          <w:b/>
          <w:noProof/>
          <w:sz w:val="24"/>
        </w:rPr>
        <w:lastRenderedPageBreak/>
        <w:t>INTRODUCERE</w:t>
      </w:r>
    </w:p>
    <w:p w14:paraId="626D96F8" w14:textId="17A54F94" w:rsidR="0073024E" w:rsidRDefault="00D75BEB"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Politica de extindere a Uniunii Europene (UE) este în continuare deosebit de importantă pentru garantarea și promovarea</w:t>
      </w:r>
      <w:r>
        <w:rPr>
          <w:noProof/>
        </w:rPr>
        <w:t xml:space="preserve"> </w:t>
      </w:r>
      <w:bookmarkStart w:id="2" w:name="_Hlk178703956"/>
      <w:r>
        <w:rPr>
          <w:rFonts w:ascii="Times New Roman" w:hAnsi="Times New Roman"/>
          <w:noProof/>
          <w:sz w:val="24"/>
        </w:rPr>
        <w:t>unei Europe pașnice</w:t>
      </w:r>
      <w:bookmarkEnd w:id="2"/>
      <w:r>
        <w:rPr>
          <w:rFonts w:ascii="Times New Roman" w:hAnsi="Times New Roman"/>
          <w:noProof/>
          <w:sz w:val="24"/>
        </w:rPr>
        <w:t>, stabile, puternice și unite. Războiul de agresiune al Rusiei împotriva Ucrainei ilustrează încă o dată necesitatea unei investiții geostrategice ferme în această politică. Statutul de membru deplin al Republicii Moldova este în interesul politic, economic și de securitate al UE. Este un răspuns direct la aspirațiile europene ale cetățenilor moldoveni, contribuind la consolidarea unei democrații stabile și prospere, la îmbunătățirea mijloacelor de subzistență economică și socială și, în fine, la un viitor mai sigur, pașnic și mai prosper. UE trebuie să acorde în prezent Republicii Moldova sprijinul necesar pentru accelerarea creșterii economice durabile și favorabile incluziunii și a procesului de aderare, în baza reformelor legate de UE, prin intermediul unui nou plan de creștere pentru Republica Moldova.</w:t>
      </w:r>
    </w:p>
    <w:p w14:paraId="21458262" w14:textId="65BBB643" w:rsidR="0073024E" w:rsidRDefault="0073024E" w:rsidP="0073024E">
      <w:pPr>
        <w:spacing w:line="240" w:lineRule="auto"/>
        <w:jc w:val="both"/>
        <w:rPr>
          <w:rFonts w:ascii="Times New Roman" w:eastAsia="Times New Roman" w:hAnsi="Times New Roman" w:cs="Times New Roman"/>
          <w:noProof/>
          <w:sz w:val="24"/>
          <w:szCs w:val="24"/>
        </w:rPr>
      </w:pPr>
      <w:bookmarkStart w:id="3" w:name="_Hlk178685117"/>
      <w:r>
        <w:rPr>
          <w:rFonts w:ascii="Times New Roman" w:hAnsi="Times New Roman"/>
          <w:noProof/>
          <w:sz w:val="24"/>
        </w:rPr>
        <w:t>Convergența Republicii Moldova cu piața unică a UE</w:t>
      </w:r>
      <w:bookmarkEnd w:id="3"/>
      <w:r>
        <w:rPr>
          <w:rFonts w:ascii="Times New Roman" w:hAnsi="Times New Roman"/>
          <w:noProof/>
          <w:sz w:val="24"/>
        </w:rPr>
        <w:t xml:space="preserve"> a început în </w:t>
      </w:r>
      <w:r w:rsidRPr="00CD53BF">
        <w:rPr>
          <w:rFonts w:ascii="Times New Roman" w:hAnsi="Times New Roman"/>
          <w:noProof/>
          <w:sz w:val="24"/>
        </w:rPr>
        <w:t>2014</w:t>
      </w:r>
      <w:r>
        <w:rPr>
          <w:rFonts w:ascii="Times New Roman" w:hAnsi="Times New Roman"/>
          <w:noProof/>
          <w:sz w:val="24"/>
        </w:rPr>
        <w:t>, odată cu intrarea provizorie în vigoare a Acordului de asociere UE-Republica Moldova</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care a inclus o zonă de liber schimb aprofundată și cuprinzătoare (</w:t>
      </w:r>
      <w:r w:rsidRPr="00CD53BF">
        <w:rPr>
          <w:rFonts w:ascii="Times New Roman" w:hAnsi="Times New Roman"/>
          <w:i/>
          <w:iCs/>
          <w:noProof/>
          <w:sz w:val="24"/>
        </w:rPr>
        <w:t>Deep and Comprehensive Free Trade Area</w:t>
      </w:r>
      <w:r>
        <w:rPr>
          <w:rFonts w:ascii="Times New Roman" w:hAnsi="Times New Roman"/>
          <w:noProof/>
          <w:sz w:val="24"/>
        </w:rPr>
        <w:t xml:space="preserve"> – DCFTA). Prin Planul economic și de investiții pentru Parteneriatul estic</w:t>
      </w:r>
      <w:r>
        <w:rPr>
          <w:rStyle w:val="FootnoteReference"/>
          <w:rFonts w:ascii="Times New Roman" w:eastAsia="Times New Roman" w:hAnsi="Times New Roman" w:cs="Times New Roman"/>
          <w:noProof/>
          <w:szCs w:val="24"/>
        </w:rPr>
        <w:footnoteReference w:id="3"/>
      </w:r>
      <w:r>
        <w:rPr>
          <w:rFonts w:ascii="Times New Roman" w:hAnsi="Times New Roman"/>
          <w:noProof/>
          <w:sz w:val="24"/>
        </w:rPr>
        <w:t>, UE, în cooperare cu instituțiile financiare internaționale, a mobilizat deja</w:t>
      </w:r>
      <w:r>
        <w:rPr>
          <w:noProof/>
        </w:rPr>
        <w:t xml:space="preserve"> </w:t>
      </w:r>
      <w:bookmarkStart w:id="4" w:name="_Hlk178752624"/>
      <w:r w:rsidRPr="00CD53BF">
        <w:rPr>
          <w:rFonts w:ascii="Times New Roman" w:hAnsi="Times New Roman"/>
          <w:noProof/>
          <w:sz w:val="24"/>
        </w:rPr>
        <w:t>1</w:t>
      </w:r>
      <w:r>
        <w:rPr>
          <w:rFonts w:ascii="Times New Roman" w:hAnsi="Times New Roman"/>
          <w:noProof/>
          <w:sz w:val="24"/>
        </w:rPr>
        <w:t>,</w:t>
      </w:r>
      <w:r w:rsidRPr="00CD53BF">
        <w:rPr>
          <w:rFonts w:ascii="Times New Roman" w:hAnsi="Times New Roman"/>
          <w:noProof/>
          <w:sz w:val="24"/>
        </w:rPr>
        <w:t>6</w:t>
      </w:r>
      <w:r>
        <w:rPr>
          <w:rFonts w:ascii="Times New Roman" w:hAnsi="Times New Roman"/>
          <w:noProof/>
          <w:sz w:val="24"/>
        </w:rPr>
        <w:t xml:space="preserve"> miliarde EUR</w:t>
      </w:r>
      <w:bookmarkEnd w:id="4"/>
      <w:r>
        <w:rPr>
          <w:noProof/>
        </w:rPr>
        <w:t xml:space="preserve"> </w:t>
      </w:r>
      <w:r>
        <w:rPr>
          <w:rFonts w:ascii="Times New Roman" w:hAnsi="Times New Roman"/>
          <w:noProof/>
          <w:sz w:val="24"/>
        </w:rPr>
        <w:t>reprezentând investiții publice și private în proiecte emblematice pentru Republica Moldova. Planul economic și de investiții a avut un rol esențial în orientarea investițiilor în sectoare critice, precum conectivitatea, eficiența energetică, dezvoltarea întreprinderilor și competitivitatea. Pandemia de COVID-</w:t>
      </w:r>
      <w:r w:rsidRPr="00CD53BF">
        <w:rPr>
          <w:rFonts w:ascii="Times New Roman" w:hAnsi="Times New Roman"/>
          <w:noProof/>
          <w:sz w:val="24"/>
        </w:rPr>
        <w:t>19</w:t>
      </w:r>
      <w:r>
        <w:rPr>
          <w:rFonts w:ascii="Times New Roman" w:hAnsi="Times New Roman"/>
          <w:noProof/>
          <w:sz w:val="24"/>
        </w:rPr>
        <w:t xml:space="preserve"> și greaua povară economică și socială suportată de Republica Moldova ca urmare a războiului de agresiune al Rusiei împotriva Ucrainei și a încercărilor Rusiei de a destabiliza țara prin campanii de dezinformare, precum și prin constrângeri de natură energetică și economică</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au frânat redresarea. Produsul intern brut (PIB) pe cap de locuitor al Republicii Moldova a fost de </w:t>
      </w:r>
      <w:r w:rsidRPr="00CD53BF">
        <w:rPr>
          <w:rFonts w:ascii="Times New Roman" w:hAnsi="Times New Roman"/>
          <w:noProof/>
          <w:sz w:val="24"/>
        </w:rPr>
        <w:t>29</w:t>
      </w:r>
      <w:r>
        <w:rPr>
          <w:rFonts w:ascii="Times New Roman" w:hAnsi="Times New Roman"/>
          <w:noProof/>
          <w:sz w:val="24"/>
        </w:rPr>
        <w:t xml:space="preserve"> % din media UE în </w:t>
      </w:r>
      <w:r w:rsidRPr="00CD53BF">
        <w:rPr>
          <w:rFonts w:ascii="Times New Roman" w:hAnsi="Times New Roman"/>
          <w:noProof/>
          <w:sz w:val="24"/>
        </w:rPr>
        <w:t>2023</w:t>
      </w:r>
      <w:r>
        <w:rPr>
          <w:rFonts w:ascii="Times New Roman" w:hAnsi="Times New Roman"/>
          <w:noProof/>
          <w:sz w:val="24"/>
        </w:rPr>
        <w:t xml:space="preserve">, ceea ce indică un decalaj semnificativ în materie de convergență socioeconomică față de UE. </w:t>
      </w:r>
    </w:p>
    <w:p w14:paraId="02A7BEB9" w14:textId="52EF9529" w:rsidR="0073024E" w:rsidRDefault="00CD5CFC"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acest context dificil și de la depunerea cererii de aderare la UE în martie </w:t>
      </w:r>
      <w:r w:rsidRPr="00CD53BF">
        <w:rPr>
          <w:rFonts w:ascii="Times New Roman" w:hAnsi="Times New Roman"/>
          <w:noProof/>
          <w:sz w:val="24"/>
        </w:rPr>
        <w:t>2022</w:t>
      </w:r>
      <w:r>
        <w:rPr>
          <w:rFonts w:ascii="Times New Roman" w:hAnsi="Times New Roman"/>
          <w:noProof/>
          <w:sz w:val="24"/>
        </w:rPr>
        <w:t xml:space="preserve">, Republica Moldova a făcut dovada rezilienței și a pus în aplicare în mod constant reforme esențiale pentru înaintarea pe calea aderării. Ca urmare a angajamentelor de reformă, Republicii Moldova i s-a acordat statutul de țară candidată la UE în iunie </w:t>
      </w:r>
      <w:r w:rsidRPr="00CD53BF">
        <w:rPr>
          <w:rFonts w:ascii="Times New Roman" w:hAnsi="Times New Roman"/>
          <w:noProof/>
          <w:sz w:val="24"/>
        </w:rPr>
        <w:t>2022</w:t>
      </w:r>
      <w:r>
        <w:rPr>
          <w:rFonts w:ascii="Times New Roman" w:hAnsi="Times New Roman"/>
          <w:noProof/>
          <w:sz w:val="24"/>
        </w:rPr>
        <w:t xml:space="preserve">, iar negocierile de aderare au fost deschise în iunie </w:t>
      </w:r>
      <w:r w:rsidRPr="00CD53BF">
        <w:rPr>
          <w:rFonts w:ascii="Times New Roman" w:hAnsi="Times New Roman"/>
          <w:noProof/>
          <w:sz w:val="24"/>
        </w:rPr>
        <w:t>2024</w:t>
      </w:r>
      <w:r>
        <w:rPr>
          <w:rFonts w:ascii="Times New Roman" w:hAnsi="Times New Roman"/>
          <w:noProof/>
          <w:sz w:val="24"/>
        </w:rPr>
        <w:t>. Însă, dat fiind ritmul actual de creștere economică și ritmul lent de convergență, țara nu va putea să înregistreze progrese rapide pe calea aderării la UE, în lipsa unui sprijin politic și economic decisiv suplimentar.</w:t>
      </w:r>
    </w:p>
    <w:p w14:paraId="0573091E" w14:textId="50D40415" w:rsidR="000E43BA" w:rsidRPr="0022004F" w:rsidRDefault="00FA6618" w:rsidP="000E43BA">
      <w:pPr>
        <w:spacing w:line="240" w:lineRule="auto"/>
        <w:jc w:val="both"/>
        <w:rPr>
          <w:rFonts w:ascii="Times New Roman" w:hAnsi="Times New Roman" w:cs="Times New Roman"/>
          <w:noProof/>
          <w:sz w:val="24"/>
          <w:szCs w:val="24"/>
        </w:rPr>
      </w:pPr>
      <w:r>
        <w:rPr>
          <w:rFonts w:ascii="Times New Roman" w:hAnsi="Times New Roman"/>
          <w:noProof/>
          <w:sz w:val="24"/>
        </w:rPr>
        <w:t xml:space="preserve">UE a recunoscut importanța sprijinirii partenerilor din Balcanii de Vest cu ocazia noului Plan de creștere pentru Balcanii de Vest prezentat în </w:t>
      </w:r>
      <w:r w:rsidRPr="00CD53BF">
        <w:rPr>
          <w:rFonts w:ascii="Times New Roman" w:hAnsi="Times New Roman"/>
          <w:noProof/>
          <w:sz w:val="24"/>
        </w:rPr>
        <w:t>2023</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Scopul Planului de creștere pentru Republica Moldova este de a aborda provocări similare celor cu care se confruntă țările din Balcanii de Vest, stimulând convergența socioeconomică cu UE și sprijinind procesul de aderare, în baza punerii în aplicare a reformelor legate de UE. Planul de creștere pentru Republica Moldova va oferi un nou impuls comparabil economiei și societății Republicii Moldova. Planul, care se axează pe trei piloni, va accelera reformele socioeconomice și fundamentale (pilonul </w:t>
      </w:r>
      <w:r w:rsidRPr="00CD53BF">
        <w:rPr>
          <w:rFonts w:ascii="Times New Roman" w:hAnsi="Times New Roman"/>
          <w:noProof/>
          <w:sz w:val="24"/>
        </w:rPr>
        <w:t>1</w:t>
      </w:r>
      <w:r>
        <w:rPr>
          <w:rFonts w:ascii="Times New Roman" w:hAnsi="Times New Roman"/>
          <w:noProof/>
          <w:sz w:val="24"/>
        </w:rPr>
        <w:t xml:space="preserve">), va consolida accesul la piața unică a UE (pilonul </w:t>
      </w:r>
      <w:r w:rsidRPr="00CD53BF">
        <w:rPr>
          <w:rFonts w:ascii="Times New Roman" w:hAnsi="Times New Roman"/>
          <w:noProof/>
          <w:sz w:val="24"/>
        </w:rPr>
        <w:t>2</w:t>
      </w:r>
      <w:r>
        <w:rPr>
          <w:rFonts w:ascii="Times New Roman" w:hAnsi="Times New Roman"/>
          <w:noProof/>
          <w:sz w:val="24"/>
        </w:rPr>
        <w:t xml:space="preserve">) și va spori asistența financiară prin intermediul unui mecanism specific de reformă și creștere pentru Republica Moldova (pilonul </w:t>
      </w:r>
      <w:r w:rsidRPr="00CD53BF">
        <w:rPr>
          <w:rFonts w:ascii="Times New Roman" w:hAnsi="Times New Roman"/>
          <w:noProof/>
          <w:sz w:val="24"/>
        </w:rPr>
        <w:t>3</w:t>
      </w:r>
      <w:r>
        <w:rPr>
          <w:rFonts w:ascii="Times New Roman" w:hAnsi="Times New Roman"/>
          <w:noProof/>
          <w:sz w:val="24"/>
        </w:rPr>
        <w:t>). Împreună, planul și mecanismul vor înlesni și stimula reformele și investițiile necesare pentru a accelera procesul de aderare, precum și creșterea durabilă și decarbonizarea economiei Republicii Moldova în folosul cetățenilor săi.</w:t>
      </w:r>
    </w:p>
    <w:p w14:paraId="067FAF1D" w14:textId="0632A90F" w:rsidR="0073024E" w:rsidRDefault="0046472F" w:rsidP="0073024E">
      <w:pPr>
        <w:spacing w:line="240" w:lineRule="auto"/>
        <w:jc w:val="both"/>
        <w:rPr>
          <w:rFonts w:ascii="Times New Roman" w:hAnsi="Times New Roman" w:cs="Times New Roman"/>
          <w:noProof/>
          <w:sz w:val="24"/>
          <w:szCs w:val="24"/>
        </w:rPr>
      </w:pPr>
      <w:r>
        <w:rPr>
          <w:rFonts w:ascii="Times New Roman" w:hAnsi="Times New Roman"/>
          <w:noProof/>
          <w:sz w:val="24"/>
        </w:rPr>
        <w:t>Planul de creștere pentru Republica Moldova va aborda deficiențele structurale subiacente care frânează potențialul de creștere al Republicii Moldova prin consolidarea competitivității țării, prin sprijinirea investițiilor semnificative în sectorul privat și în infrastructură, prin îmbunătățirea guvernanței economice, prin dezvoltarea capitalului său social, prin sprijinirea dublei tranziții verzi și digitale și prin promovarea statului de drept și a eforturilor de combatere a corupției. Planul va ajuta Republica Moldova să dezvolte o economie de piață funcțională și deschisă, capabilă să facă față presiunilor concurențiale și forțelor pieței din cadrul UE. Alinierea accelerată la legislația și standardele UE va facilita, de asemenea, integrarea treptată a Republicii Moldova pe piața unică a UE, valorificând unele dintre avantajele statutului de membru al UE înainte de aderare, ceea ce, la rândul său, va stimula creșterea economică durabilă și va crea locuri de muncă.</w:t>
      </w:r>
    </w:p>
    <w:p w14:paraId="6B6DACDF" w14:textId="77777777" w:rsidR="0073024E" w:rsidRPr="00CD53BF" w:rsidRDefault="0073024E" w:rsidP="0073024E">
      <w:pPr>
        <w:pStyle w:val="Default"/>
        <w:numPr>
          <w:ilvl w:val="0"/>
          <w:numId w:val="6"/>
        </w:numPr>
        <w:spacing w:after="120"/>
        <w:jc w:val="both"/>
        <w:rPr>
          <w:rFonts w:eastAsia="Times New Roman"/>
          <w:b/>
          <w:bCs/>
          <w:smallCaps/>
          <w:noProof/>
        </w:rPr>
      </w:pPr>
      <w:bookmarkStart w:id="5" w:name="_Hlk176889631"/>
      <w:r w:rsidRPr="00CD53BF">
        <w:rPr>
          <w:b/>
          <w:smallCaps/>
          <w:noProof/>
        </w:rPr>
        <w:t xml:space="preserve">Situația socioeconomică actuală a Republicii Moldova </w:t>
      </w:r>
    </w:p>
    <w:p w14:paraId="698DCFD6" w14:textId="1CA93B4A" w:rsidR="0073024E" w:rsidRDefault="00366425"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Deși actualul guvern a gestionat cu succes crizele simultane, în ultimii ani, economia Republicii Moldova a întâmpinat greutăți în privința îmbunătățirii convergenței economice cu UE. PIB-ul pe cap de locuitor al țării a atins </w:t>
      </w:r>
      <w:r w:rsidRPr="00CD53BF">
        <w:rPr>
          <w:rFonts w:ascii="Times New Roman" w:hAnsi="Times New Roman"/>
          <w:noProof/>
          <w:sz w:val="24"/>
        </w:rPr>
        <w:t>29</w:t>
      </w:r>
      <w:r>
        <w:rPr>
          <w:rFonts w:ascii="Times New Roman" w:hAnsi="Times New Roman"/>
          <w:noProof/>
          <w:sz w:val="24"/>
        </w:rPr>
        <w:t xml:space="preserve"> % din media UE în </w:t>
      </w:r>
      <w:r w:rsidRPr="00CD53BF">
        <w:rPr>
          <w:rFonts w:ascii="Times New Roman" w:hAnsi="Times New Roman"/>
          <w:noProof/>
          <w:sz w:val="24"/>
        </w:rPr>
        <w:t>2023</w:t>
      </w:r>
      <w:r>
        <w:rPr>
          <w:rFonts w:ascii="Times New Roman" w:hAnsi="Times New Roman"/>
          <w:noProof/>
          <w:sz w:val="24"/>
        </w:rPr>
        <w:t>, sub nivelul atins de majoritatea țărilor din Balcanii de Vest. Economia țării se redresează, dar într-un ritm lent, de pe urma șocurilor externe recente și a recesiunii declanșate de pandemia de COVID-</w:t>
      </w:r>
      <w:r w:rsidRPr="00CD53BF">
        <w:rPr>
          <w:rFonts w:ascii="Times New Roman" w:hAnsi="Times New Roman"/>
          <w:noProof/>
          <w:sz w:val="24"/>
        </w:rPr>
        <w:t>19</w:t>
      </w:r>
      <w:r>
        <w:rPr>
          <w:rFonts w:ascii="Times New Roman" w:hAnsi="Times New Roman"/>
          <w:noProof/>
          <w:sz w:val="24"/>
        </w:rPr>
        <w:t>, accentuate de războiul de agresiune al Rusiei împotriva Ucrainei, de utilizarea energiei ca armă de către Rusia și de criza energetică și a refugiaților</w:t>
      </w:r>
      <w:r>
        <w:rPr>
          <w:rStyle w:val="FootnoteReference"/>
          <w:rFonts w:ascii="Times New Roman" w:eastAsia="Times New Roman" w:hAnsi="Times New Roman" w:cs="Times New Roman"/>
          <w:noProof/>
        </w:rPr>
        <w:footnoteReference w:id="6"/>
      </w:r>
      <w:r>
        <w:rPr>
          <w:rFonts w:ascii="Times New Roman" w:hAnsi="Times New Roman"/>
          <w:noProof/>
          <w:sz w:val="24"/>
        </w:rPr>
        <w:t xml:space="preserve">. Se preconizează că redresarea economică va continua în </w:t>
      </w:r>
      <w:r w:rsidRPr="00CD53BF">
        <w:rPr>
          <w:rFonts w:ascii="Times New Roman" w:hAnsi="Times New Roman"/>
          <w:noProof/>
          <w:sz w:val="24"/>
        </w:rPr>
        <w:t>2024</w:t>
      </w:r>
      <w:r>
        <w:rPr>
          <w:rFonts w:ascii="Times New Roman" w:hAnsi="Times New Roman"/>
          <w:noProof/>
          <w:sz w:val="24"/>
        </w:rPr>
        <w:t xml:space="preserve"> și </w:t>
      </w:r>
      <w:r w:rsidRPr="00CD53BF">
        <w:rPr>
          <w:rFonts w:ascii="Times New Roman" w:hAnsi="Times New Roman"/>
          <w:noProof/>
          <w:sz w:val="24"/>
        </w:rPr>
        <w:t>2025</w:t>
      </w:r>
      <w:r>
        <w:rPr>
          <w:rFonts w:ascii="Times New Roman" w:hAnsi="Times New Roman"/>
          <w:noProof/>
          <w:sz w:val="24"/>
        </w:rPr>
        <w:t>, deși creșterea anuală a PIB-ului este proiectată la un nivel inferior celui necesar pentru a asigura convergența rapidă cu media UE.</w:t>
      </w:r>
    </w:p>
    <w:p w14:paraId="006B2315" w14:textId="28A6D1E7" w:rsidR="0073024E" w:rsidRDefault="00CD53BF" w:rsidP="0073024E">
      <w:pPr>
        <w:spacing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22CF589F" wp14:editId="61C2DA19">
            <wp:extent cx="5731510" cy="4064000"/>
            <wp:effectExtent l="0" t="0" r="2540" b="12700"/>
            <wp:docPr id="419165183" name="Chart 1">
              <a:extLst xmlns:a="http://schemas.openxmlformats.org/drawingml/2006/main">
                <a:ext uri="{FF2B5EF4-FFF2-40B4-BE49-F238E27FC236}">
                  <a16:creationId xmlns:a16="http://schemas.microsoft.com/office/drawing/2014/main" id="{27C02573-348C-EB5A-7198-30E2345F8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92D840B" w14:textId="6F65C76A" w:rsidR="0073024E" w:rsidRDefault="0073024E" w:rsidP="0073024E">
      <w:pPr>
        <w:spacing w:after="0" w:line="240" w:lineRule="auto"/>
        <w:jc w:val="both"/>
        <w:rPr>
          <w:rFonts w:ascii="Times New Roman" w:hAnsi="Times New Roman" w:cs="Times New Roman"/>
          <w:noProof/>
          <w:sz w:val="20"/>
          <w:szCs w:val="20"/>
        </w:rPr>
      </w:pPr>
      <w:r>
        <w:rPr>
          <w:rFonts w:ascii="Times New Roman" w:hAnsi="Times New Roman"/>
          <w:noProof/>
          <w:sz w:val="20"/>
        </w:rPr>
        <w:t>Sursa: Eurostat și Banca Mondială.</w:t>
      </w:r>
    </w:p>
    <w:p w14:paraId="522F624D" w14:textId="1E1DB102" w:rsidR="0073024E" w:rsidRDefault="0073024E" w:rsidP="0073024E">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Această denumire nu aduce atingere pozițiilor privind statutul și este conformă cu RCSONU </w:t>
      </w:r>
      <w:r w:rsidRPr="00CD53BF">
        <w:rPr>
          <w:rFonts w:ascii="Times New Roman" w:hAnsi="Times New Roman"/>
          <w:noProof/>
          <w:sz w:val="20"/>
        </w:rPr>
        <w:t>1244</w:t>
      </w:r>
      <w:r>
        <w:rPr>
          <w:rFonts w:ascii="Times New Roman" w:hAnsi="Times New Roman"/>
          <w:noProof/>
          <w:sz w:val="20"/>
        </w:rPr>
        <w:t>/</w:t>
      </w:r>
      <w:r w:rsidRPr="00CD53BF">
        <w:rPr>
          <w:rFonts w:ascii="Times New Roman" w:hAnsi="Times New Roman"/>
          <w:noProof/>
          <w:sz w:val="20"/>
        </w:rPr>
        <w:t>1999</w:t>
      </w:r>
      <w:r>
        <w:rPr>
          <w:rFonts w:ascii="Times New Roman" w:hAnsi="Times New Roman"/>
          <w:noProof/>
          <w:sz w:val="20"/>
        </w:rPr>
        <w:t>, precum și cu Avizul CIJ privind Declarația de independență a Kosovo.</w:t>
      </w:r>
    </w:p>
    <w:p w14:paraId="7EDB142D" w14:textId="77777777" w:rsidR="0073024E" w:rsidRPr="00C22CC5" w:rsidRDefault="0073024E" w:rsidP="0073024E">
      <w:pPr>
        <w:spacing w:after="0" w:line="240" w:lineRule="auto"/>
        <w:jc w:val="both"/>
        <w:rPr>
          <w:rFonts w:ascii="Times New Roman" w:hAnsi="Times New Roman" w:cs="Times New Roman"/>
          <w:noProof/>
          <w:sz w:val="20"/>
          <w:szCs w:val="20"/>
        </w:rPr>
      </w:pPr>
    </w:p>
    <w:p w14:paraId="15DBCD43" w14:textId="2DABF27E" w:rsidR="004147DF" w:rsidRDefault="0073024E" w:rsidP="004147DF">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Economia Republicii Moldova a suferit, de asemenea, din cauza investițiilor insuficiente mai mulți ani la rând, în contextul în care diversificarea economică rămâne scăzută. Exporturile țării constau în principal în produse agricole și industriale cu valoare adăugată scăzută, cum ar fi cerealele și semințele oleaginoase, echipamentele electrice și textilele. Având în vedere lipsa unei forțe de muncă calificate, productivitatea scăzută și una dintre cele mai ridicate rate de emigrare din Europa, Republica Moldova întâmpină dificultăți în menținerea capitalului uman calificat necesar pentru creșterea economică. Investițiile publice ca procent din PIB s-au menținut la un nivel limitat, reducând capacitatea țării de modernizare a infrastructurii energetice, digitale și de transport esențiale. Războiul de agresiune al Rusiei împotriva Ucrainei a agravat și mai mult dificultățile în atragerea de investiții străine directe (ISD). </w:t>
      </w:r>
      <w:bookmarkStart w:id="6" w:name="_Hlk175900700"/>
      <w:r>
        <w:rPr>
          <w:rFonts w:ascii="Times New Roman" w:hAnsi="Times New Roman"/>
          <w:noProof/>
          <w:sz w:val="24"/>
        </w:rPr>
        <w:t>Activele întreprinderilor de stat, care reprezintă aproximativ o cincime din PIB-ul Republicii Moldova, reprezintă o sarcină fiscală pentru economie și contribuie la lipsa concurenței pe piață și la ineficiențe.</w:t>
      </w:r>
    </w:p>
    <w:p w14:paraId="20716DC4" w14:textId="5B217D51" w:rsidR="0073024E" w:rsidRDefault="004147DF" w:rsidP="004147DF">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Alături de un mediu de afaceri în general nedezvoltat și de dependența de importurile de energie, aceste impedimente constituie obstacole semnificative în calea capacității Republicii Moldova de a valorifica în mod semnificativ oportunitățile pe care le oferă DCFTA cu UE. DCFTA conține o varietate de oportunități nevalorificate, Republica Moldova trebuind să crească nu numai volumul, ci și valoarea adăugată a exporturilor sale în sectorul agricol, în industria prelucrătoare, în sectorul tehnologiei informației și comunicațiilor și în alte sectoare ale serviciilor.</w:t>
      </w:r>
    </w:p>
    <w:p w14:paraId="3A8CBFFC" w14:textId="2ED16DD5" w:rsidR="0073024E" w:rsidRPr="008E292E" w:rsidRDefault="0073024E"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O strategie ambițioasă de reforme și de investiții ar putea fi catalizatorul care să permită atingerea acestor obiective.</w:t>
      </w:r>
    </w:p>
    <w:bookmarkEnd w:id="5"/>
    <w:bookmarkEnd w:id="6"/>
    <w:p w14:paraId="44AE00D6" w14:textId="77777777" w:rsidR="0073024E" w:rsidRPr="00CD53BF" w:rsidRDefault="0073024E" w:rsidP="0073024E">
      <w:pPr>
        <w:spacing w:line="240" w:lineRule="auto"/>
        <w:jc w:val="both"/>
        <w:rPr>
          <w:rFonts w:ascii="Times New Roman" w:hAnsi="Times New Roman"/>
          <w:noProof/>
          <w:sz w:val="6"/>
        </w:rPr>
      </w:pPr>
    </w:p>
    <w:p w14:paraId="6262E6DC" w14:textId="5A572869" w:rsidR="0073024E" w:rsidRPr="00CD53BF" w:rsidRDefault="0073024E" w:rsidP="0073024E">
      <w:pPr>
        <w:pStyle w:val="Default"/>
        <w:numPr>
          <w:ilvl w:val="0"/>
          <w:numId w:val="6"/>
        </w:numPr>
        <w:spacing w:after="120"/>
        <w:jc w:val="both"/>
        <w:rPr>
          <w:rFonts w:eastAsia="Times New Roman"/>
          <w:b/>
          <w:bCs/>
          <w:smallCaps/>
          <w:noProof/>
        </w:rPr>
      </w:pPr>
      <w:r w:rsidRPr="00CD53BF">
        <w:rPr>
          <w:b/>
          <w:smallCaps/>
          <w:noProof/>
        </w:rPr>
        <w:t xml:space="preserve">Planul de creștere pentru Republica Moldova și principalii săi piloni </w:t>
      </w:r>
    </w:p>
    <w:p w14:paraId="073F6CF4" w14:textId="23545921" w:rsidR="0073024E" w:rsidRPr="00787215" w:rsidRDefault="0073024E" w:rsidP="0073024E">
      <w:pPr>
        <w:pStyle w:val="NormalWeb"/>
        <w:jc w:val="both"/>
        <w:rPr>
          <w:noProof/>
        </w:rPr>
      </w:pPr>
      <w:r>
        <w:rPr>
          <w:noProof/>
        </w:rPr>
        <w:t>Pe măsură ce Republica Moldova se redresează de pe urma recentelor șocuri externe, este necesar să se ofere un sprijin substanțial pentru ca această țară să își valorifice oportunitățile economice, să accelereze convergența și să promoveze o creștere economică durabilă și favorabilă incluziunii pentru cetățenii săi. Pentru a asigura realizarea de progrese în timp util, propunerea de plan de creștere pentru Republica Moldova – la fel ca în cazul Ucrainei și al Balcanilor de Vest – se va axa pe trei piloni:</w:t>
      </w:r>
    </w:p>
    <w:p w14:paraId="274376C1" w14:textId="4FF93B79" w:rsidR="0073024E" w:rsidRPr="00787215" w:rsidRDefault="0073024E" w:rsidP="0073024E">
      <w:pPr>
        <w:pStyle w:val="Default"/>
        <w:numPr>
          <w:ilvl w:val="0"/>
          <w:numId w:val="1"/>
        </w:numPr>
        <w:spacing w:after="179"/>
        <w:jc w:val="both"/>
        <w:rPr>
          <w:rFonts w:eastAsia="Times New Roman"/>
          <w:noProof/>
        </w:rPr>
      </w:pPr>
      <w:r w:rsidRPr="00CD53BF">
        <w:rPr>
          <w:b/>
          <w:i/>
          <w:noProof/>
        </w:rPr>
        <w:t>accelerarea reformelor socioeconomice și fundamentale</w:t>
      </w:r>
      <w:r>
        <w:rPr>
          <w:rStyle w:val="FootnoteReference"/>
          <w:noProof/>
        </w:rPr>
        <w:footnoteReference w:id="7"/>
      </w:r>
      <w:r>
        <w:rPr>
          <w:noProof/>
        </w:rPr>
        <w:t>, prin sprijinirea unei agende de reformă specifice, strâns legată de procesul de aderare a Republicii Moldova la UE;</w:t>
      </w:r>
    </w:p>
    <w:p w14:paraId="622F80BC" w14:textId="33A1237F" w:rsidR="0073024E" w:rsidRPr="00787215" w:rsidRDefault="00E074D2" w:rsidP="0073024E">
      <w:pPr>
        <w:pStyle w:val="Default"/>
        <w:numPr>
          <w:ilvl w:val="0"/>
          <w:numId w:val="1"/>
        </w:numPr>
        <w:spacing w:after="179"/>
        <w:jc w:val="both"/>
        <w:rPr>
          <w:noProof/>
        </w:rPr>
      </w:pPr>
      <w:r w:rsidRPr="00CD53BF">
        <w:rPr>
          <w:b/>
          <w:i/>
          <w:noProof/>
        </w:rPr>
        <w:t>consolidarea accesului la piața unică a UE</w:t>
      </w:r>
      <w:r>
        <w:rPr>
          <w:noProof/>
        </w:rPr>
        <w:t>, pe baza oportunităților pe care le oferă zona de liber schimb aprofundată și cuprinzătoare și a participării la programele și politicile UE, sub rezerva alinierii Republicii Moldova la normele relevante ale pieței unice a UE;</w:t>
      </w:r>
    </w:p>
    <w:p w14:paraId="536A9618" w14:textId="7B741395" w:rsidR="0073024E" w:rsidRPr="00CD53BF" w:rsidRDefault="0014241C" w:rsidP="0073024E">
      <w:pPr>
        <w:pStyle w:val="Default"/>
        <w:numPr>
          <w:ilvl w:val="0"/>
          <w:numId w:val="1"/>
        </w:numPr>
        <w:jc w:val="both"/>
        <w:rPr>
          <w:i/>
          <w:noProof/>
        </w:rPr>
      </w:pPr>
      <w:r w:rsidRPr="00CD53BF">
        <w:rPr>
          <w:b/>
          <w:i/>
          <w:noProof/>
        </w:rPr>
        <w:t>intensificarea asistenței financiare</w:t>
      </w:r>
      <w:r>
        <w:rPr>
          <w:noProof/>
        </w:rPr>
        <w:t xml:space="preserve"> pentru a sprijini punerea în aplicare a reformelor socioeconomice și fundamentale și a contribui la generarea investițiilor, prin intermediul unui mecanism specific de reformă și creștere pentru Republica Moldova, plățile urmând să fie condiționate de progresele înregistrate în materie de reforme.</w:t>
      </w:r>
    </w:p>
    <w:p w14:paraId="3B0D02D7" w14:textId="4F12BB35" w:rsidR="0073024E" w:rsidRPr="00151B2C" w:rsidRDefault="0073024E" w:rsidP="0073024E">
      <w:pPr>
        <w:pStyle w:val="NormalWeb"/>
        <w:jc w:val="both"/>
        <w:rPr>
          <w:noProof/>
        </w:rPr>
      </w:pPr>
      <w:r>
        <w:rPr>
          <w:noProof/>
        </w:rPr>
        <w:t>Consolidându-se reciproc și având la bază procesul de reformă în concordanță cu Acordul de asociere/DCFTA și cu rezultatele planului economic și de investiții, acești trei piloni abordează problemele structurale subiacente care frânează creșterea țării și ar putea contribui la dublarea economiei Republicii Moldova în următorii zece ani. În conformitate cu metodologia de extindere în vigoare</w:t>
      </w:r>
      <w:r>
        <w:rPr>
          <w:rStyle w:val="FootnoteReference"/>
          <w:rFonts w:eastAsiaTheme="minorEastAsia"/>
          <w:noProof/>
        </w:rPr>
        <w:footnoteReference w:id="8"/>
      </w:r>
      <w:r>
        <w:rPr>
          <w:noProof/>
        </w:rPr>
        <w:t>, cei trei piloni ai planului de creștere vor accelera, de asemenea, adoptarea și punerea în aplicare a acquis-ului și vor duce la obținerea beneficiilor socioeconomice ale integrării înainte de aderarea la UE. În acest sens, reformele fundamentale, inclusiv pentru consolidarea statului de drept și a drepturilor fundamentale, sunt indispensabile pentru a valorifica beneficiile integrării și pentru a crea un mediu favorabil care să atragă investiții private și să genereze creștere economică durabilă, reducând în același timp emisiile.</w:t>
      </w:r>
    </w:p>
    <w:p w14:paraId="7D32D010" w14:textId="2CEB7FCE" w:rsidR="0073024E" w:rsidRPr="00CD53BF" w:rsidRDefault="0073024E" w:rsidP="0073024E">
      <w:pPr>
        <w:spacing w:after="0" w:line="240" w:lineRule="auto"/>
        <w:jc w:val="both"/>
        <w:rPr>
          <w:rFonts w:ascii="Times New Roman" w:hAnsi="Times New Roman" w:cs="Times New Roman"/>
          <w:b/>
          <w:bCs/>
          <w:i/>
          <w:iCs/>
          <w:noProof/>
          <w:sz w:val="24"/>
          <w:szCs w:val="24"/>
        </w:rPr>
      </w:pPr>
      <w:r w:rsidRPr="00CD53BF">
        <w:rPr>
          <w:rFonts w:ascii="Times New Roman" w:hAnsi="Times New Roman"/>
          <w:b/>
          <w:i/>
          <w:noProof/>
          <w:sz w:val="24"/>
        </w:rPr>
        <w:t>Pilonul 1: accelerarea reformelor socioeconomice și fundamentale, prin intermediul unei agende de reformă specifice</w:t>
      </w:r>
    </w:p>
    <w:p w14:paraId="2164ED7A" w14:textId="77777777" w:rsidR="0073024E" w:rsidRPr="00CD53BF" w:rsidRDefault="0073024E" w:rsidP="0073024E">
      <w:pPr>
        <w:spacing w:after="0" w:line="240" w:lineRule="auto"/>
        <w:jc w:val="both"/>
        <w:rPr>
          <w:rFonts w:ascii="Times New Roman" w:hAnsi="Times New Roman" w:cs="Times New Roman"/>
          <w:b/>
          <w:bCs/>
          <w:i/>
          <w:iCs/>
          <w:noProof/>
          <w:sz w:val="10"/>
          <w:szCs w:val="10"/>
        </w:rPr>
      </w:pPr>
    </w:p>
    <w:p w14:paraId="42C5A533" w14:textId="76645DCF" w:rsidR="00853520" w:rsidRDefault="17ED0200" w:rsidP="004E3DBA">
      <w:pPr>
        <w:spacing w:after="0" w:line="240" w:lineRule="auto"/>
        <w:jc w:val="both"/>
        <w:rPr>
          <w:rFonts w:ascii="Times New Roman" w:hAnsi="Times New Roman" w:cs="Times New Roman"/>
          <w:noProof/>
          <w:sz w:val="24"/>
          <w:szCs w:val="24"/>
        </w:rPr>
      </w:pPr>
      <w:bookmarkStart w:id="7" w:name="_Hlk176937990"/>
      <w:r>
        <w:rPr>
          <w:rFonts w:ascii="Times New Roman" w:hAnsi="Times New Roman"/>
          <w:noProof/>
          <w:color w:val="000000" w:themeColor="text1"/>
          <w:sz w:val="24"/>
        </w:rPr>
        <w:t xml:space="preserve">Pentru a accelera convergența socioeconomică durabilă și favorabilă incluziunii a Republicii Moldova cu UE înainte de aderare, Planul de creștere pentru Republica Moldova se va axa pe o agendă de reformă. </w:t>
      </w:r>
      <w:r>
        <w:rPr>
          <w:rFonts w:ascii="Times New Roman" w:hAnsi="Times New Roman"/>
          <w:noProof/>
          <w:sz w:val="24"/>
        </w:rPr>
        <w:t>Agenda de reformă va contribui la structurarea și asigurarea inițiativelor de reformă ambițioase ale Republicii Moldova, stimulând punerea lor în aplicare și înlesnind investițiile aferente. Agenda de reformă va avea la bază strategia de dezvoltare națională</w:t>
      </w:r>
      <w:r>
        <w:rPr>
          <w:rFonts w:ascii="Times New Roman" w:hAnsi="Times New Roman" w:cs="Times New Roman"/>
          <w:noProof/>
          <w:vertAlign w:val="superscript"/>
        </w:rPr>
        <w:footnoteReference w:id="9"/>
      </w:r>
      <w:bookmarkEnd w:id="7"/>
      <w:r>
        <w:rPr>
          <w:noProof/>
        </w:rPr>
        <w:t xml:space="preserve">, </w:t>
      </w:r>
      <w:r>
        <w:rPr>
          <w:rFonts w:ascii="Times New Roman" w:hAnsi="Times New Roman"/>
          <w:noProof/>
          <w:sz w:val="24"/>
        </w:rPr>
        <w:t xml:space="preserve">Strategia națională de dezvoltare economică </w:t>
      </w:r>
      <w:r w:rsidRPr="00CD53BF">
        <w:rPr>
          <w:rFonts w:ascii="Times New Roman" w:hAnsi="Times New Roman"/>
          <w:noProof/>
          <w:sz w:val="24"/>
        </w:rPr>
        <w:t>2030</w:t>
      </w:r>
      <w:r>
        <w:rPr>
          <w:rFonts w:ascii="Times New Roman" w:hAnsi="Times New Roman"/>
          <w:noProof/>
          <w:sz w:val="24"/>
        </w:rPr>
        <w:t xml:space="preserve">, strategiile sectoriale naționale, Programul de asociere UE-Moldova pentru perioada </w:t>
      </w:r>
      <w:r w:rsidRPr="00CD53BF">
        <w:rPr>
          <w:rFonts w:ascii="Times New Roman" w:hAnsi="Times New Roman"/>
          <w:noProof/>
          <w:sz w:val="24"/>
        </w:rPr>
        <w:t>2021</w:t>
      </w:r>
      <w:r>
        <w:rPr>
          <w:rFonts w:ascii="Times New Roman" w:hAnsi="Times New Roman"/>
          <w:noProof/>
          <w:sz w:val="24"/>
        </w:rPr>
        <w:t>-</w:t>
      </w:r>
      <w:r w:rsidRPr="00CD53BF">
        <w:rPr>
          <w:rFonts w:ascii="Times New Roman" w:hAnsi="Times New Roman"/>
          <w:noProof/>
          <w:sz w:val="24"/>
        </w:rPr>
        <w:t>2027</w:t>
      </w:r>
      <w:r>
        <w:rPr>
          <w:rFonts w:ascii="Times New Roman" w:hAnsi="Times New Roman"/>
          <w:noProof/>
          <w:sz w:val="24"/>
        </w:rPr>
        <w:t xml:space="preserve">, recomandările existente aferente pachetelor anuale de extindere, concluziile dialogului economic și financiar și programul de reformă economică, precum și Planul de acțiune prioritar </w:t>
      </w:r>
      <w:r w:rsidRPr="00CD53BF">
        <w:rPr>
          <w:rFonts w:ascii="Times New Roman" w:hAnsi="Times New Roman"/>
          <w:noProof/>
          <w:sz w:val="24"/>
        </w:rPr>
        <w:t>2023</w:t>
      </w:r>
      <w:r>
        <w:rPr>
          <w:rFonts w:ascii="Times New Roman" w:hAnsi="Times New Roman"/>
          <w:noProof/>
          <w:sz w:val="24"/>
        </w:rPr>
        <w:t>-</w:t>
      </w:r>
      <w:r w:rsidRPr="00CD53BF">
        <w:rPr>
          <w:rFonts w:ascii="Times New Roman" w:hAnsi="Times New Roman"/>
          <w:noProof/>
          <w:sz w:val="24"/>
        </w:rPr>
        <w:t>2024</w:t>
      </w:r>
      <w:r>
        <w:rPr>
          <w:rStyle w:val="FootnoteReference"/>
          <w:rFonts w:ascii="Times New Roman" w:eastAsiaTheme="minorEastAsia" w:hAnsi="Times New Roman" w:cs="Times New Roman"/>
          <w:noProof/>
        </w:rPr>
        <w:footnoteReference w:id="10"/>
      </w:r>
      <w:r>
        <w:rPr>
          <w:rFonts w:ascii="Times New Roman" w:hAnsi="Times New Roman"/>
          <w:noProof/>
          <w:sz w:val="24"/>
        </w:rPr>
        <w:t>.</w:t>
      </w:r>
      <w:r>
        <w:rPr>
          <w:noProof/>
          <w:sz w:val="24"/>
        </w:rPr>
        <w:t xml:space="preserve"> </w:t>
      </w:r>
      <w:r>
        <w:rPr>
          <w:rFonts w:ascii="Times New Roman" w:hAnsi="Times New Roman"/>
          <w:noProof/>
          <w:sz w:val="24"/>
        </w:rPr>
        <w:t>Agenda de reformă elaborată de Republica Moldova va fi evaluată și aprobată de Comisia Europeană.</w:t>
      </w:r>
    </w:p>
    <w:p w14:paraId="74482BFC" w14:textId="77777777" w:rsidR="00E80231" w:rsidRDefault="00E80231" w:rsidP="004E3DBA">
      <w:pPr>
        <w:spacing w:after="0" w:line="240" w:lineRule="auto"/>
        <w:jc w:val="both"/>
        <w:rPr>
          <w:rFonts w:ascii="Times New Roman" w:hAnsi="Times New Roman" w:cs="Times New Roman"/>
          <w:noProof/>
          <w:sz w:val="24"/>
          <w:szCs w:val="24"/>
        </w:rPr>
      </w:pPr>
    </w:p>
    <w:p w14:paraId="7BE29AFF" w14:textId="6D59E94C" w:rsidR="00D21879" w:rsidDel="00FA59DF" w:rsidRDefault="00D21879" w:rsidP="00D21879">
      <w:pPr>
        <w:spacing w:line="240" w:lineRule="auto"/>
        <w:jc w:val="both"/>
        <w:rPr>
          <w:rFonts w:ascii="Times New Roman" w:hAnsi="Times New Roman" w:cs="Times New Roman"/>
          <w:noProof/>
          <w:sz w:val="24"/>
          <w:szCs w:val="24"/>
        </w:rPr>
      </w:pPr>
      <w:r>
        <w:rPr>
          <w:rFonts w:ascii="Times New Roman" w:hAnsi="Times New Roman"/>
          <w:noProof/>
          <w:sz w:val="24"/>
        </w:rPr>
        <w:t xml:space="preserve">Agenda de reformă va prezenta reformele prioritare pentru dezvoltarea socioeconomică, pe baza </w:t>
      </w:r>
      <w:r w:rsidRPr="00CD53BF">
        <w:rPr>
          <w:rFonts w:ascii="Times New Roman" w:hAnsi="Times New Roman"/>
          <w:b/>
          <w:noProof/>
          <w:sz w:val="24"/>
        </w:rPr>
        <w:t>principalelor motoare ale creșterii economice</w:t>
      </w:r>
      <w:r>
        <w:rPr>
          <w:rFonts w:ascii="Times New Roman" w:hAnsi="Times New Roman"/>
          <w:noProof/>
          <w:sz w:val="24"/>
        </w:rPr>
        <w:t>: competitivitatea economică; reziliența economică, inclusiv în ceea ce privește infrastructura și energia; guvernanța economică; capitalul social și dubla tranziție verde și digitală.</w:t>
      </w:r>
    </w:p>
    <w:p w14:paraId="4F608836" w14:textId="66AA5826" w:rsidR="000C4DF1" w:rsidRPr="009759F3" w:rsidRDefault="0073024E"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promova </w:t>
      </w:r>
      <w:r w:rsidRPr="00CD53BF">
        <w:rPr>
          <w:rFonts w:ascii="Times New Roman" w:hAnsi="Times New Roman"/>
          <w:b/>
          <w:noProof/>
          <w:sz w:val="24"/>
        </w:rPr>
        <w:t>competitivitatea economică</w:t>
      </w:r>
      <w:r>
        <w:rPr>
          <w:rFonts w:ascii="Times New Roman" w:hAnsi="Times New Roman"/>
          <w:noProof/>
          <w:sz w:val="24"/>
        </w:rPr>
        <w:t xml:space="preserve">, agenda de reformă va cuprinde acțiuni de îmbunătățire a mediului de afaceri și de sprijinire a IMM-urilor, inclusiv din perspectivă normativă, acțiuni de punere în aplicare a noii politici industriale și de promovare a exporturilor și a investițiilor, pentru a contribui la integrarea întreprinderilor locale în lanțurile valorice globale. Consolidarea </w:t>
      </w:r>
      <w:r w:rsidRPr="00CD53BF">
        <w:rPr>
          <w:rFonts w:ascii="Times New Roman" w:hAnsi="Times New Roman"/>
          <w:b/>
          <w:noProof/>
          <w:sz w:val="24"/>
        </w:rPr>
        <w:t>rezilienței economice</w:t>
      </w:r>
      <w:r>
        <w:rPr>
          <w:rFonts w:ascii="Times New Roman" w:hAnsi="Times New Roman"/>
          <w:noProof/>
          <w:sz w:val="24"/>
        </w:rPr>
        <w:t xml:space="preserve"> va implica reforme structurale pentru a elimina decalajul în materie de conectivitate al Republicii Moldova, în special prin alinierea politicilor în domeniul transporturilor, al energiei și al digitalizării și prin asigurarea unor investiții substanțial mai mari în aceste sectoare-cheie. De asemenea, vor fi necesare îmbunătățiri ale </w:t>
      </w:r>
      <w:r w:rsidRPr="00CD53BF">
        <w:rPr>
          <w:rFonts w:ascii="Times New Roman" w:hAnsi="Times New Roman"/>
          <w:b/>
          <w:noProof/>
          <w:sz w:val="24"/>
        </w:rPr>
        <w:t>guvernanței economice</w:t>
      </w:r>
      <w:r>
        <w:rPr>
          <w:rFonts w:ascii="Times New Roman" w:hAnsi="Times New Roman"/>
          <w:noProof/>
          <w:sz w:val="24"/>
        </w:rPr>
        <w:t>, inclusiv prin consolidarea gestionării finanțelor publice cu ajutorul sistemelor de audit și control, prin abordarea ineficiențelor întreprinderilor de stat și prin reducerea poziției dominante a acestora în sectoarele productive.</w:t>
      </w:r>
    </w:p>
    <w:p w14:paraId="59D5D829" w14:textId="0FCC62FA" w:rsidR="00185766" w:rsidRDefault="00BE1B67" w:rsidP="00FC35EF">
      <w:pPr>
        <w:spacing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sidRPr="00CD53BF">
        <w:rPr>
          <w:rFonts w:ascii="Times New Roman" w:hAnsi="Times New Roman"/>
          <w:b/>
          <w:noProof/>
          <w:sz w:val="24"/>
        </w:rPr>
        <w:t>capitalul social</w:t>
      </w:r>
      <w:r>
        <w:rPr>
          <w:rFonts w:ascii="Times New Roman" w:hAnsi="Times New Roman"/>
          <w:noProof/>
          <w:sz w:val="24"/>
        </w:rPr>
        <w:t>, vor fi necesare măsuri de sprijinire a reformelor în domeniul educației, al competențelor, al ocupării forței de muncă favorabile incluziunii și al oportunităților de pe piața muncii, acordând o atenție deosebită tineretului, egalității de gen și emancipării economice a femeilor, protecției sociale și sănătății.</w:t>
      </w:r>
    </w:p>
    <w:p w14:paraId="48EFDC74" w14:textId="5AAF7685" w:rsidR="0073024E" w:rsidRDefault="0073024E" w:rsidP="00FC35EF">
      <w:pPr>
        <w:spacing w:line="240" w:lineRule="auto"/>
        <w:jc w:val="both"/>
        <w:rPr>
          <w:rFonts w:ascii="Times New Roman" w:hAnsi="Times New Roman" w:cs="Times New Roman"/>
          <w:noProof/>
          <w:sz w:val="24"/>
          <w:szCs w:val="24"/>
        </w:rPr>
      </w:pPr>
      <w:r>
        <w:rPr>
          <w:rFonts w:ascii="Times New Roman" w:hAnsi="Times New Roman"/>
          <w:noProof/>
          <w:sz w:val="24"/>
        </w:rPr>
        <w:t xml:space="preserve">În fine, în conformitate cu angajamentul Republicii Moldova de a atinge neutralitatea climatică până în </w:t>
      </w:r>
      <w:r w:rsidRPr="00CD53BF">
        <w:rPr>
          <w:rFonts w:ascii="Times New Roman" w:hAnsi="Times New Roman"/>
          <w:noProof/>
          <w:sz w:val="24"/>
        </w:rPr>
        <w:t>2050</w:t>
      </w:r>
      <w:r>
        <w:rPr>
          <w:rFonts w:ascii="Times New Roman" w:hAnsi="Times New Roman"/>
          <w:noProof/>
          <w:sz w:val="24"/>
        </w:rPr>
        <w:t xml:space="preserve">, </w:t>
      </w:r>
      <w:r w:rsidRPr="00CD53BF">
        <w:rPr>
          <w:rFonts w:ascii="Times New Roman" w:hAnsi="Times New Roman"/>
          <w:b/>
          <w:noProof/>
          <w:sz w:val="24"/>
        </w:rPr>
        <w:t>tranziția verde</w:t>
      </w:r>
      <w:r>
        <w:rPr>
          <w:rFonts w:ascii="Times New Roman" w:hAnsi="Times New Roman"/>
          <w:noProof/>
          <w:sz w:val="24"/>
        </w:rPr>
        <w:t xml:space="preserve"> ca prioritate orizontală va ajuta Republica Moldova să își decarbonizeze economia și infrastructura și să reducă degradarea mediului și poluarea. Se vor aborda aspectele legate de productivitatea resurselor și economia circulară, biodiversitate, mediul cu emisii scăzute de dioxid de carbon și consolidarea instituțiilor de mediu.</w:t>
      </w:r>
    </w:p>
    <w:p w14:paraId="457F9D97" w14:textId="706F620A" w:rsidR="00765D99" w:rsidRPr="00F60D25" w:rsidRDefault="00387013" w:rsidP="00387013">
      <w:pPr>
        <w:spacing w:line="240" w:lineRule="auto"/>
        <w:jc w:val="both"/>
        <w:rPr>
          <w:rFonts w:ascii="Times New Roman" w:hAnsi="Times New Roman" w:cs="Times New Roman"/>
          <w:noProof/>
          <w:sz w:val="24"/>
          <w:szCs w:val="24"/>
        </w:rPr>
      </w:pPr>
      <w:r>
        <w:rPr>
          <w:rFonts w:ascii="Times New Roman" w:hAnsi="Times New Roman"/>
          <w:noProof/>
          <w:sz w:val="24"/>
        </w:rPr>
        <w:t xml:space="preserve">Agenda de reformă va prezenta principalele reforme </w:t>
      </w:r>
      <w:r w:rsidRPr="00CD53BF">
        <w:rPr>
          <w:rFonts w:ascii="Times New Roman" w:hAnsi="Times New Roman"/>
          <w:b/>
          <w:noProof/>
          <w:sz w:val="24"/>
        </w:rPr>
        <w:t>la nivelul tuturor elementelor fundamentale</w:t>
      </w:r>
      <w:r>
        <w:rPr>
          <w:rFonts w:ascii="Times New Roman" w:hAnsi="Times New Roman"/>
          <w:noProof/>
          <w:sz w:val="24"/>
        </w:rPr>
        <w:t xml:space="preserve"> ale procesului de aderare la UE, având în vedere caracterul lor transversal, rolul central în procesul de aderare și importanța pentru o economie prosperă, precum și pentru un mediu de afaceri sănătos și încrederea investitorilor. Reformele vor consolida statul de drept, lupta împotriva corupției și a criminalității organizate, precum și gestionarea afacerilor interne</w:t>
      </w:r>
      <w:bookmarkStart w:id="8" w:name="_Hlk178708117"/>
      <w:r>
        <w:rPr>
          <w:rFonts w:ascii="Times New Roman" w:hAnsi="Times New Roman"/>
          <w:noProof/>
          <w:sz w:val="24"/>
        </w:rPr>
        <w:t>, inclusiv alinierea la politica UE în materie de vize.</w:t>
      </w:r>
      <w:bookmarkEnd w:id="8"/>
      <w:r>
        <w:rPr>
          <w:rFonts w:ascii="Times New Roman" w:hAnsi="Times New Roman"/>
          <w:noProof/>
          <w:sz w:val="24"/>
        </w:rPr>
        <w:t xml:space="preserve"> De asemenea, reformele vor garanta drepturile fundamentale, inclusiv libertatea de exprimare și funcționarea instituțiilor democratice, și vor consolida reforma administrației publice a Republicii Moldova.</w:t>
      </w:r>
    </w:p>
    <w:p w14:paraId="704DB2BD" w14:textId="0A4284D5" w:rsidR="0073024E" w:rsidRDefault="0073024E" w:rsidP="0073024E">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Aplicarea cu succes a </w:t>
      </w:r>
      <w:r w:rsidRPr="00CD53BF">
        <w:rPr>
          <w:rFonts w:ascii="Times New Roman" w:hAnsi="Times New Roman"/>
          <w:b/>
          <w:noProof/>
          <w:sz w:val="24"/>
        </w:rPr>
        <w:t>agendei de reformă</w:t>
      </w:r>
      <w:r>
        <w:rPr>
          <w:rFonts w:ascii="Times New Roman" w:hAnsi="Times New Roman"/>
          <w:noProof/>
          <w:sz w:val="24"/>
        </w:rPr>
        <w:t xml:space="preserve"> va stabili ritmul punerii în aplicare a Planului de creștere pentru Republica Moldova: plățile de fonduri UE în cadrul Mecanismului de reformă și creștere vor fi condiționate de înregistrarea de progrese și vor contribui la accelerarea ritmului negocierilor de aderare.</w:t>
      </w:r>
    </w:p>
    <w:p w14:paraId="411B9121" w14:textId="77777777" w:rsidR="00CD53BF" w:rsidRDefault="00CD53BF" w:rsidP="0073024E">
      <w:pPr>
        <w:spacing w:after="0" w:line="240" w:lineRule="auto"/>
        <w:jc w:val="both"/>
        <w:rPr>
          <w:rFonts w:ascii="Times New Roman" w:hAnsi="Times New Roman" w:cs="Times New Roman"/>
          <w:noProof/>
          <w:sz w:val="24"/>
          <w:szCs w:val="24"/>
        </w:rPr>
      </w:pPr>
    </w:p>
    <w:p w14:paraId="5969DF19" w14:textId="77777777" w:rsidR="00CD53BF" w:rsidRDefault="00CD53BF" w:rsidP="0073024E">
      <w:pPr>
        <w:spacing w:line="240" w:lineRule="auto"/>
        <w:jc w:val="both"/>
        <w:rPr>
          <w:rFonts w:ascii="Times New Roman" w:hAnsi="Times New Roman" w:cs="Times New Roman"/>
          <w:noProof/>
          <w:sz w:val="24"/>
          <w:szCs w:val="24"/>
        </w:rPr>
      </w:pPr>
      <w:r w:rsidRPr="00CD53BF">
        <w:rPr>
          <w:rFonts w:ascii="Times New Roman" w:hAnsi="Times New Roman"/>
          <w:b/>
          <w:i/>
          <w:noProof/>
          <w:sz w:val="24"/>
        </w:rPr>
        <w:t>Pilonul 2: consolidarea accesului Republicii Moldova la piața unică a UE</w:t>
      </w:r>
    </w:p>
    <w:p w14:paraId="4DA0A43D" w14:textId="77777777" w:rsidR="00CD53BF" w:rsidRDefault="00CD53BF" w:rsidP="00CD2051">
      <w:pPr>
        <w:spacing w:line="240" w:lineRule="auto"/>
        <w:jc w:val="both"/>
        <w:rPr>
          <w:rFonts w:ascii="Times New Roman" w:hAnsi="Times New Roman" w:cs="Times New Roman"/>
          <w:noProof/>
          <w:sz w:val="24"/>
          <w:szCs w:val="24"/>
        </w:rPr>
      </w:pPr>
      <w:r>
        <w:rPr>
          <w:rFonts w:ascii="Times New Roman" w:hAnsi="Times New Roman"/>
          <w:noProof/>
          <w:sz w:val="24"/>
        </w:rPr>
        <w:t>Asigurarea mai multor oportunități pentru ca țara să aibă legături mai strânse cu piața unică a UE este una dintre principalele rațiuni ale planului de creștere. Planul va consolida treptat capacitatea Republicii Moldova de a face față presiunilor concurențiale de pe piață și va oferi acces pe piață pentru bunuri și servicii cu o valoare mai mare în toate sectoarele orientate spre export, stimulând o creștere sustenabilă și favorabilă incluziunii și creând locuri de muncă. Planul urmărește să creeze condiții de concurență echitabile pentru exportatorii din Republica Moldova și din UE prin aplicarea normelor și standardelor UE în cazul produselor din această țară.</w:t>
      </w:r>
    </w:p>
    <w:p w14:paraId="26C9900E" w14:textId="77777777" w:rsidR="00CD53BF" w:rsidRPr="00523B46" w:rsidRDefault="00CD53BF" w:rsidP="0073024E">
      <w:pPr>
        <w:spacing w:line="240" w:lineRule="auto"/>
        <w:jc w:val="both"/>
        <w:rPr>
          <w:rFonts w:ascii="Times New Roman" w:hAnsi="Times New Roman"/>
          <w:noProof/>
          <w:sz w:val="24"/>
        </w:rPr>
      </w:pPr>
      <w:r>
        <w:rPr>
          <w:rFonts w:ascii="Times New Roman" w:hAnsi="Times New Roman"/>
          <w:noProof/>
          <w:sz w:val="24"/>
        </w:rPr>
        <w:t>Planul de creștere propune acțiuni specifice în cinci domenii prioritare în care Republica Moldova poate lua măsuri imediate pentru a spori beneficiile oferite de piața unică: (i) libera circulație a mărfurilor și integrarea în lanțurile de aprovizionare; (ii) facilitarea schimburilor comerciale și a legăturilor de transport; (iii) integrarea pe piața energetică a UE; (iv) integrarea pe piața digitală și (v) accesul la zona unică de plăți în euro (SEPA).</w:t>
      </w:r>
    </w:p>
    <w:p w14:paraId="1DA81F09" w14:textId="77777777" w:rsidR="00CD53BF" w:rsidRDefault="00CD53BF" w:rsidP="00651824">
      <w:pPr>
        <w:spacing w:line="240" w:lineRule="auto"/>
        <w:jc w:val="both"/>
        <w:rPr>
          <w:rFonts w:ascii="Times New Roman" w:hAnsi="Times New Roman" w:cs="Times New Roman"/>
          <w:noProof/>
          <w:sz w:val="24"/>
          <w:szCs w:val="24"/>
        </w:rPr>
      </w:pPr>
      <w:r w:rsidRPr="00CD53BF">
        <w:rPr>
          <w:rFonts w:ascii="Times New Roman" w:hAnsi="Times New Roman"/>
          <w:b/>
          <w:noProof/>
          <w:sz w:val="24"/>
        </w:rPr>
        <w:t>Măsurile imediate se vor axa pe libera circulație a mărfurilor</w:t>
      </w:r>
      <w:r>
        <w:rPr>
          <w:rFonts w:ascii="Times New Roman" w:hAnsi="Times New Roman"/>
          <w:noProof/>
          <w:sz w:val="24"/>
        </w:rPr>
        <w:t xml:space="preserve">, vizând standardizarea, certificarea, evaluarea conformității și supravegherea pieței, fapt ce va contribui la creșterea nivelului exporturilor Republicii Moldova destinate pieței unice. Pe măsură ce țara va atinge nivelul necesar de pregătire, se va putea acorda un acces suplimentar. Procesele de trecere a frontierei, inclusiv cele vamale, pot fi facilitate, iar securitatea generală a lanțului de aprovizionare poate fi îmbunătățită prin aderarea Republicii Moldova la Convenția privind un regim de tranzit comun și prin valorificarea Sistemului de control al comerțului și de expertiză (TRACES) în ceea ce privește </w:t>
      </w:r>
      <w:r w:rsidRPr="00CD53BF">
        <w:rPr>
          <w:rFonts w:ascii="Times New Roman" w:hAnsi="Times New Roman"/>
          <w:b/>
          <w:noProof/>
          <w:sz w:val="24"/>
        </w:rPr>
        <w:t>schimburile comerciale și legăturile de transport</w:t>
      </w:r>
      <w:r>
        <w:rPr>
          <w:rFonts w:ascii="Times New Roman" w:hAnsi="Times New Roman"/>
          <w:noProof/>
          <w:sz w:val="24"/>
        </w:rPr>
        <w:t xml:space="preserve">. În plus, va fi explorată posibilitatea de raționalizare a procedurilor la frontieră pentru a îmbunătăți fluxurile comerciale. Aderarea Republicii Moldova la </w:t>
      </w:r>
      <w:r w:rsidRPr="00CD53BF">
        <w:rPr>
          <w:rFonts w:ascii="Times New Roman" w:hAnsi="Times New Roman"/>
          <w:b/>
          <w:noProof/>
          <w:sz w:val="24"/>
        </w:rPr>
        <w:t>zona unică de plăți în euro</w:t>
      </w:r>
      <w:r>
        <w:rPr>
          <w:rFonts w:ascii="Times New Roman" w:hAnsi="Times New Roman"/>
          <w:noProof/>
          <w:sz w:val="24"/>
        </w:rPr>
        <w:t xml:space="preserve"> (SEPA), sub rezerva îndeplinirii criteriilor necesare și a unei decizii în acest sens a Consiliului European al Plăților, va stimula schimburile comerciale și investițiile transfrontaliere. În perspectiva integrării pe piața unică digitală, vor fi sprijinite oportunitățile de aderare la zona de roaming a UE, precum și asocierea la </w:t>
      </w:r>
      <w:r w:rsidRPr="00CD53BF">
        <w:rPr>
          <w:rFonts w:ascii="Times New Roman" w:hAnsi="Times New Roman"/>
          <w:b/>
          <w:noProof/>
          <w:sz w:val="24"/>
        </w:rPr>
        <w:t>inițiativele emblematice ale UE</w:t>
      </w:r>
      <w:r>
        <w:rPr>
          <w:rFonts w:ascii="Times New Roman" w:hAnsi="Times New Roman"/>
          <w:noProof/>
          <w:sz w:val="24"/>
        </w:rPr>
        <w:t xml:space="preserve">, inclusiv portofelul european pentru identitatea digitală și rezerva UE pentru securitate cibernetică. </w:t>
      </w:r>
    </w:p>
    <w:p w14:paraId="55BB6DB7" w14:textId="77777777" w:rsidR="00CD53BF" w:rsidRPr="00413214" w:rsidRDefault="00CD53BF" w:rsidP="005D19B7">
      <w:pPr>
        <w:spacing w:line="240" w:lineRule="auto"/>
        <w:jc w:val="both"/>
        <w:rPr>
          <w:rFonts w:ascii="Times New Roman" w:hAnsi="Times New Roman" w:cs="Times New Roman"/>
          <w:noProof/>
          <w:sz w:val="24"/>
          <w:szCs w:val="24"/>
        </w:rPr>
      </w:pPr>
      <w:bookmarkStart w:id="9" w:name="_Hlk176945233"/>
      <w:r>
        <w:rPr>
          <w:rFonts w:ascii="Times New Roman" w:hAnsi="Times New Roman"/>
          <w:noProof/>
          <w:sz w:val="24"/>
        </w:rPr>
        <w:t xml:space="preserve">Alte domenii posibile de cooperare includ </w:t>
      </w:r>
      <w:r w:rsidRPr="00CD53BF">
        <w:rPr>
          <w:rFonts w:ascii="Times New Roman" w:hAnsi="Times New Roman"/>
          <w:b/>
          <w:noProof/>
          <w:sz w:val="24"/>
        </w:rPr>
        <w:t>medicamentele critice, comerțul electronic și recunoașterea competențelor</w:t>
      </w:r>
      <w:r>
        <w:rPr>
          <w:rFonts w:ascii="Times New Roman" w:hAnsi="Times New Roman"/>
          <w:noProof/>
          <w:sz w:val="24"/>
        </w:rPr>
        <w:t>. Prin participarea la Alianța pentru medicamente critice, Republica Moldova ar putea dezvolta parteneriate strategice pentru a asigura aprovizionarea cu medicamente critice. Ar putea fi dezvoltate servicii legate de comerțul electronic, inclusiv servicii turistice și de livrare de colete. Cooperarea în domeniul competențelor și recunoașterea calificărilor ar sprijini un acces mai bun al cetățenilor din Republica Moldova la piața forței de muncă din UE (a se vedea anexa).</w:t>
      </w:r>
    </w:p>
    <w:p w14:paraId="126CF055" w14:textId="77777777" w:rsidR="00CD53BF" w:rsidRPr="009320B4" w:rsidRDefault="00CD53BF" w:rsidP="00E80231">
      <w:pPr>
        <w:spacing w:line="240" w:lineRule="auto"/>
        <w:jc w:val="both"/>
        <w:rPr>
          <w:noProof/>
        </w:rPr>
      </w:pPr>
      <w:r>
        <w:rPr>
          <w:rFonts w:ascii="Times New Roman" w:hAnsi="Times New Roman"/>
          <w:noProof/>
          <w:sz w:val="24"/>
        </w:rPr>
        <w:t>Republica Moldova are deja de relații comerciale strânse cu vecinii săi din UE, valoarea acestora dublându-se în ultimii zece ani. Ar trebui explorate și alte oportunități pentru a sprijini creșterea volumului și a valorii adăugate ale acestora, precum și a potențialelor câștiguri pentru Republica Moldova, inclusiv prin consolidarea în continuare a relațiilor comerciale cu Ucraina. Accesul sporit al Republicii Moldova la piața unică a UE este sprijinit, de asemenea, de participarea țării la Spațiul Central European de Comerț Liber (CEFTA)</w:t>
      </w:r>
      <w:r>
        <w:rPr>
          <w:rStyle w:val="FootnoteReference"/>
          <w:rFonts w:ascii="Times New Roman" w:hAnsi="Times New Roman" w:cs="Times New Roman"/>
          <w:noProof/>
          <w:sz w:val="24"/>
          <w:szCs w:val="28"/>
        </w:rPr>
        <w:footnoteReference w:id="11"/>
      </w:r>
      <w:r>
        <w:rPr>
          <w:rFonts w:ascii="Times New Roman" w:hAnsi="Times New Roman"/>
          <w:noProof/>
          <w:sz w:val="24"/>
        </w:rPr>
        <w:t>. În acest context, se preconizează că Republica Moldova va continua să sprijine în mod constructiv activitatea acestei organizații regionale. Se va acorda în continuare asistență pentru consolidarea politicilor sale de dezvoltare regională și de specializare inteligentă, ținând seama de colaborarea interregională în UE, inclusiv în regiunea Dunării și a Mării Negre</w:t>
      </w:r>
      <w:r>
        <w:rPr>
          <w:rStyle w:val="FootnoteReference"/>
          <w:rFonts w:ascii="Times New Roman" w:hAnsi="Times New Roman" w:cs="Times New Roman"/>
          <w:noProof/>
          <w:sz w:val="24"/>
          <w:szCs w:val="24"/>
        </w:rPr>
        <w:footnoteReference w:id="12"/>
      </w:r>
      <w:r>
        <w:rPr>
          <w:rFonts w:ascii="Times New Roman" w:hAnsi="Times New Roman"/>
          <w:noProof/>
          <w:sz w:val="24"/>
        </w:rPr>
        <w:t>.</w:t>
      </w:r>
    </w:p>
    <w:p w14:paraId="784CA11A" w14:textId="77777777" w:rsidR="00CD53BF" w:rsidRPr="00CD53BF" w:rsidRDefault="00CD53BF" w:rsidP="0073024E">
      <w:pPr>
        <w:spacing w:line="240" w:lineRule="auto"/>
        <w:jc w:val="both"/>
        <w:rPr>
          <w:rFonts w:ascii="Times New Roman" w:hAnsi="Times New Roman" w:cs="Times New Roman"/>
          <w:b/>
          <w:bCs/>
          <w:i/>
          <w:iCs/>
          <w:noProof/>
          <w:sz w:val="24"/>
          <w:szCs w:val="24"/>
        </w:rPr>
      </w:pPr>
      <w:r w:rsidRPr="00CD53BF">
        <w:rPr>
          <w:rFonts w:ascii="Times New Roman" w:hAnsi="Times New Roman"/>
          <w:b/>
          <w:i/>
          <w:noProof/>
          <w:sz w:val="24"/>
        </w:rPr>
        <w:t>Pilonul 3: sporirea asistenței financiare pentru a sprijini reforme socioeconomice și fundamentale și pentru a atrage investiții</w:t>
      </w:r>
    </w:p>
    <w:p w14:paraId="2ECD5370" w14:textId="77777777" w:rsidR="00CD53BF" w:rsidRDefault="00CD53BF" w:rsidP="0073024E">
      <w:pPr>
        <w:spacing w:line="240" w:lineRule="auto"/>
        <w:jc w:val="both"/>
        <w:rPr>
          <w:rFonts w:ascii="Times New Roman" w:hAnsi="Times New Roman" w:cs="Times New Roman"/>
          <w:noProof/>
          <w:sz w:val="24"/>
          <w:szCs w:val="24"/>
        </w:rPr>
      </w:pPr>
      <w:r>
        <w:rPr>
          <w:rFonts w:ascii="Times New Roman" w:hAnsi="Times New Roman"/>
          <w:noProof/>
          <w:sz w:val="24"/>
        </w:rPr>
        <w:t xml:space="preserve">UE a jucat un rol central în furnizarea asistenței financiare necesare pentru consolidarea rezilienței Republicii Moldova în ultimii ani și a oferit sprijin specific. Începând din </w:t>
      </w:r>
      <w:r w:rsidRPr="00CD53BF">
        <w:rPr>
          <w:rFonts w:ascii="Times New Roman" w:hAnsi="Times New Roman"/>
          <w:noProof/>
          <w:sz w:val="24"/>
        </w:rPr>
        <w:t>2021</w:t>
      </w:r>
      <w:r>
        <w:rPr>
          <w:rFonts w:ascii="Times New Roman" w:hAnsi="Times New Roman"/>
          <w:noProof/>
          <w:sz w:val="24"/>
        </w:rPr>
        <w:t xml:space="preserve">, UE și-a reafirmat cu fermitate sprijinul și solidaritatea cu Republica Moldova, punând la dispoziție </w:t>
      </w:r>
      <w:r w:rsidRPr="00CD53BF">
        <w:rPr>
          <w:rFonts w:ascii="Times New Roman" w:hAnsi="Times New Roman"/>
          <w:noProof/>
          <w:sz w:val="24"/>
        </w:rPr>
        <w:t>2</w:t>
      </w:r>
      <w:r>
        <w:rPr>
          <w:rFonts w:ascii="Times New Roman" w:hAnsi="Times New Roman"/>
          <w:noProof/>
          <w:sz w:val="24"/>
        </w:rPr>
        <w:t>,</w:t>
      </w:r>
      <w:r w:rsidRPr="00CD53BF">
        <w:rPr>
          <w:rFonts w:ascii="Times New Roman" w:hAnsi="Times New Roman"/>
          <w:noProof/>
          <w:sz w:val="24"/>
        </w:rPr>
        <w:t>2</w:t>
      </w:r>
      <w:r>
        <w:rPr>
          <w:rFonts w:ascii="Times New Roman" w:hAnsi="Times New Roman"/>
          <w:noProof/>
          <w:sz w:val="24"/>
        </w:rPr>
        <w:t xml:space="preserve"> miliarde EUR sub formă de împrumuturi și de sprijin nerambursabil. Republica Moldova beneficiază în prezent de sprijin din partea UE în cadrul Instrumentului de vecinătate, cooperare pentru dezvoltare și cooperare internațională (IVCDCI). Finanțarea a fost canalizată prin mai multe</w:t>
      </w:r>
      <w:r>
        <w:rPr>
          <w:noProof/>
        </w:rPr>
        <w:t xml:space="preserve"> </w:t>
      </w:r>
      <w:bookmarkStart w:id="10" w:name="_Hlk178690453"/>
      <w:r>
        <w:rPr>
          <w:rFonts w:ascii="Times New Roman" w:hAnsi="Times New Roman"/>
          <w:noProof/>
          <w:sz w:val="24"/>
        </w:rPr>
        <w:t>forme de sprijin, cum ar fi sprijinul bugetar direct, asistența macrofinanciară, participarea la programele UE și proiecte derulate cu instituții financiare internaționale cu garanții de la bugetul UE.</w:t>
      </w:r>
      <w:bookmarkEnd w:id="10"/>
    </w:p>
    <w:p w14:paraId="1606C63C" w14:textId="77777777" w:rsidR="00CD53BF" w:rsidRDefault="00CD53BF" w:rsidP="0073024E">
      <w:pPr>
        <w:spacing w:line="240" w:lineRule="auto"/>
        <w:jc w:val="both"/>
        <w:rPr>
          <w:rFonts w:ascii="Times New Roman" w:hAnsi="Times New Roman" w:cs="Times New Roman"/>
          <w:noProof/>
          <w:sz w:val="24"/>
          <w:szCs w:val="24"/>
        </w:rPr>
      </w:pPr>
      <w:r>
        <w:rPr>
          <w:rFonts w:ascii="Times New Roman" w:hAnsi="Times New Roman"/>
          <w:noProof/>
          <w:sz w:val="24"/>
        </w:rPr>
        <w:t xml:space="preserve">Având în vedere procesul de aderare în care este implicată țara, Mecanismul de reformă și creștere pentru Republica Moldova (denumit în continuare „mecanismul”) urmărește să ofere un </w:t>
      </w:r>
      <w:r w:rsidRPr="00CD53BF">
        <w:rPr>
          <w:rFonts w:ascii="Times New Roman" w:hAnsi="Times New Roman"/>
          <w:b/>
          <w:noProof/>
          <w:sz w:val="24"/>
        </w:rPr>
        <w:t>sprijin financiar sporit</w:t>
      </w:r>
      <w:r>
        <w:rPr>
          <w:rFonts w:ascii="Times New Roman" w:hAnsi="Times New Roman"/>
          <w:noProof/>
          <w:sz w:val="24"/>
        </w:rPr>
        <w:t xml:space="preserve"> pentru aplicarea agendei cuprinzătoare de reformă. Investițiile vor ajuta Republica Moldova să își atingă întregul potențial în ceea ce privește dezvoltarea economică și socială sustenabilă în concordanță cu statele membre ale UE, îmbunătățind nivelul de trai și accelerând aderarea Republicii Moldova la UE.</w:t>
      </w:r>
    </w:p>
    <w:p w14:paraId="1CEF9768" w14:textId="77777777" w:rsidR="00CD53BF" w:rsidRDefault="00CD53BF" w:rsidP="0073024E">
      <w:pPr>
        <w:spacing w:line="240" w:lineRule="auto"/>
        <w:jc w:val="both"/>
        <w:rPr>
          <w:rFonts w:ascii="Times New Roman" w:hAnsi="Times New Roman" w:cs="Times New Roman"/>
          <w:noProof/>
          <w:sz w:val="24"/>
          <w:szCs w:val="24"/>
        </w:rPr>
      </w:pPr>
      <w:r>
        <w:rPr>
          <w:rFonts w:ascii="Times New Roman" w:hAnsi="Times New Roman"/>
          <w:noProof/>
          <w:sz w:val="24"/>
        </w:rPr>
        <w:t xml:space="preserve">Mecanismul, prezentat separat Parlamentului European și Consiliului sub forma unei propuneri legislative, va acorda sprijin în valoare de până la </w:t>
      </w:r>
      <w:r w:rsidRPr="00CD53BF">
        <w:rPr>
          <w:rFonts w:ascii="Times New Roman" w:hAnsi="Times New Roman"/>
          <w:noProof/>
          <w:sz w:val="24"/>
        </w:rPr>
        <w:t>1</w:t>
      </w:r>
      <w:r>
        <w:rPr>
          <w:rFonts w:ascii="Times New Roman" w:hAnsi="Times New Roman"/>
          <w:noProof/>
          <w:sz w:val="24"/>
        </w:rPr>
        <w:t>,</w:t>
      </w:r>
      <w:r w:rsidRPr="00CD53BF">
        <w:rPr>
          <w:rFonts w:ascii="Times New Roman" w:hAnsi="Times New Roman"/>
          <w:noProof/>
          <w:sz w:val="24"/>
        </w:rPr>
        <w:t>8</w:t>
      </w:r>
      <w:r>
        <w:rPr>
          <w:rFonts w:ascii="Times New Roman" w:hAnsi="Times New Roman"/>
          <w:noProof/>
          <w:sz w:val="24"/>
        </w:rPr>
        <w:t xml:space="preserve"> miliarde EUR și preia în mod fidel modelul Mecanismului de reformă și creștere pentru Balcanii de Vest</w:t>
      </w:r>
      <w:r>
        <w:rPr>
          <w:rStyle w:val="FootnoteReference"/>
          <w:rFonts w:ascii="Times New Roman" w:hAnsi="Times New Roman" w:cs="Times New Roman"/>
          <w:noProof/>
        </w:rPr>
        <w:footnoteReference w:id="13"/>
      </w:r>
      <w:r>
        <w:rPr>
          <w:rFonts w:ascii="Times New Roman" w:hAnsi="Times New Roman"/>
          <w:noProof/>
          <w:sz w:val="24"/>
        </w:rPr>
        <w:t xml:space="preserve">. Mecanismul va fi finanțat din alocări bilaterale în valoare de </w:t>
      </w:r>
      <w:r w:rsidRPr="00CD53BF">
        <w:rPr>
          <w:rFonts w:ascii="Times New Roman" w:hAnsi="Times New Roman"/>
          <w:noProof/>
          <w:sz w:val="24"/>
        </w:rPr>
        <w:t>420</w:t>
      </w:r>
      <w:r>
        <w:rPr>
          <w:rFonts w:ascii="Times New Roman" w:hAnsi="Times New Roman"/>
          <w:noProof/>
          <w:sz w:val="24"/>
        </w:rPr>
        <w:t xml:space="preserve"> de milioane EUR prevăzute pentru Republica Moldova în cadrul IVCDCI și va acoperi perioada </w:t>
      </w:r>
      <w:r w:rsidRPr="00CD53BF">
        <w:rPr>
          <w:rFonts w:ascii="Times New Roman" w:hAnsi="Times New Roman"/>
          <w:noProof/>
          <w:sz w:val="24"/>
        </w:rPr>
        <w:t>2025</w:t>
      </w:r>
      <w:r>
        <w:rPr>
          <w:rFonts w:ascii="Times New Roman" w:hAnsi="Times New Roman"/>
          <w:noProof/>
          <w:sz w:val="24"/>
        </w:rPr>
        <w:t>-</w:t>
      </w:r>
      <w:r w:rsidRPr="00CD53BF">
        <w:rPr>
          <w:rFonts w:ascii="Times New Roman" w:hAnsi="Times New Roman"/>
          <w:noProof/>
          <w:sz w:val="24"/>
        </w:rPr>
        <w:t>2027</w:t>
      </w:r>
      <w:r>
        <w:rPr>
          <w:rFonts w:ascii="Times New Roman" w:hAnsi="Times New Roman"/>
          <w:noProof/>
          <w:sz w:val="24"/>
        </w:rPr>
        <w:t xml:space="preserve">. O parte din această sumă va fi utilizată pentru a mobiliza </w:t>
      </w:r>
      <w:r w:rsidRPr="00CD53BF">
        <w:rPr>
          <w:rFonts w:ascii="Times New Roman" w:hAnsi="Times New Roman"/>
          <w:b/>
          <w:noProof/>
          <w:sz w:val="24"/>
        </w:rPr>
        <w:t>împrumuturi</w:t>
      </w:r>
      <w:r>
        <w:rPr>
          <w:rFonts w:ascii="Times New Roman" w:hAnsi="Times New Roman"/>
          <w:noProof/>
          <w:sz w:val="24"/>
        </w:rPr>
        <w:t xml:space="preserve">, plătite direct către bugetul național al Republicii Moldova, pentru a accelera reformele incluse în agenda de reformă și pentru a permite realizarea investițiilor necesare. Aceste împrumuturi vor avea condiții foarte avantajoase, cu o perioadă lungă de rambursare și cu rate ale dobânzii avantajoase. Se va continua acordarea de sprijin financiar </w:t>
      </w:r>
      <w:r w:rsidRPr="00CD53BF">
        <w:rPr>
          <w:rFonts w:ascii="Times New Roman" w:hAnsi="Times New Roman"/>
          <w:b/>
          <w:noProof/>
          <w:sz w:val="24"/>
        </w:rPr>
        <w:t>nerambursabil</w:t>
      </w:r>
      <w:r>
        <w:rPr>
          <w:rFonts w:ascii="Times New Roman" w:hAnsi="Times New Roman"/>
          <w:noProof/>
          <w:sz w:val="24"/>
        </w:rPr>
        <w:t xml:space="preserve"> din pachetul financiar bilateral, inclusiv de asistență tehnică pentru a însoți punerea în aplicare a priorităților planului de creștere și pentru a sprijini societatea civilă. Republica Moldova va continua să beneficieze de inițiativele regionale, precum și să participe la programele UE.</w:t>
      </w:r>
    </w:p>
    <w:p w14:paraId="2E903FAF" w14:textId="77777777" w:rsidR="00CD53BF" w:rsidRDefault="00CD53BF" w:rsidP="00C97221">
      <w:pPr>
        <w:spacing w:line="240" w:lineRule="auto"/>
        <w:jc w:val="both"/>
        <w:rPr>
          <w:rFonts w:ascii="Times New Roman" w:hAnsi="Times New Roman" w:cs="Times New Roman"/>
          <w:noProof/>
          <w:sz w:val="24"/>
          <w:szCs w:val="24"/>
        </w:rPr>
      </w:pPr>
      <w:r>
        <w:rPr>
          <w:rFonts w:ascii="Times New Roman" w:hAnsi="Times New Roman"/>
          <w:noProof/>
          <w:sz w:val="24"/>
        </w:rPr>
        <w:t xml:space="preserve">Plățile din cadrul mecanismului vor fi condiționate de realizarea reformelor și a investițiilor specifice identificate în agenda de reformă, care vor servi drept condiții de plată; mai precis, după realizare, se vor debloca fonduri în cadrul noului Mecanism de reformă și creștere, conform unui calendar prestabilit. </w:t>
      </w:r>
    </w:p>
    <w:p w14:paraId="6EE7DA50" w14:textId="77777777" w:rsidR="00CD53BF" w:rsidRPr="00787215" w:rsidRDefault="00CD53BF" w:rsidP="0073024E">
      <w:pPr>
        <w:spacing w:line="240" w:lineRule="auto"/>
        <w:jc w:val="both"/>
        <w:rPr>
          <w:rFonts w:ascii="Times New Roman" w:hAnsi="Times New Roman" w:cs="Times New Roman"/>
          <w:noProof/>
          <w:sz w:val="24"/>
          <w:szCs w:val="24"/>
        </w:rPr>
      </w:pPr>
      <w:r>
        <w:rPr>
          <w:rFonts w:ascii="Times New Roman" w:hAnsi="Times New Roman"/>
          <w:noProof/>
          <w:sz w:val="24"/>
        </w:rPr>
        <w:t xml:space="preserve">Prin corelarea sprijinului financiar sporit acordat în cadrul pilonului </w:t>
      </w:r>
      <w:r w:rsidRPr="00CD53BF">
        <w:rPr>
          <w:rFonts w:ascii="Times New Roman" w:hAnsi="Times New Roman"/>
          <w:noProof/>
          <w:sz w:val="24"/>
        </w:rPr>
        <w:t>3</w:t>
      </w:r>
      <w:r>
        <w:rPr>
          <w:rFonts w:ascii="Times New Roman" w:hAnsi="Times New Roman"/>
          <w:noProof/>
          <w:sz w:val="24"/>
        </w:rPr>
        <w:t xml:space="preserve"> cu agenda de reformă din cadrul pilonului </w:t>
      </w:r>
      <w:r w:rsidRPr="00CD53BF">
        <w:rPr>
          <w:rFonts w:ascii="Times New Roman" w:hAnsi="Times New Roman"/>
          <w:noProof/>
          <w:sz w:val="24"/>
        </w:rPr>
        <w:t>1</w:t>
      </w:r>
      <w:r>
        <w:rPr>
          <w:rFonts w:ascii="Times New Roman" w:hAnsi="Times New Roman"/>
          <w:noProof/>
          <w:sz w:val="24"/>
        </w:rPr>
        <w:t xml:space="preserve">, împreună cu oportunitățile oferite de pilonul </w:t>
      </w:r>
      <w:r w:rsidRPr="00CD53BF">
        <w:rPr>
          <w:rFonts w:ascii="Times New Roman" w:hAnsi="Times New Roman"/>
          <w:noProof/>
          <w:sz w:val="24"/>
        </w:rPr>
        <w:t>2</w:t>
      </w:r>
      <w:r>
        <w:rPr>
          <w:rFonts w:ascii="Times New Roman" w:hAnsi="Times New Roman"/>
          <w:noProof/>
          <w:sz w:val="24"/>
        </w:rPr>
        <w:t xml:space="preserve"> (accesul la piața unică a UE), planul de creștere va sprijini convergența socioeconomică a Republicii Moldova cu UE, precum și procesul său de aderare prin accelerarea alinierii la valorile, legislația și standardele UE.</w:t>
      </w:r>
    </w:p>
    <w:p w14:paraId="4FAF22AD" w14:textId="1EC3A98A" w:rsidR="00CD53BF" w:rsidRDefault="00CD53BF"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Se preconizează că mecanismul va mobiliza investiții noi în valoare de aproximativ </w:t>
      </w:r>
      <w:r w:rsidRPr="00CD53BF">
        <w:rPr>
          <w:rFonts w:ascii="Times New Roman" w:hAnsi="Times New Roman"/>
          <w:noProof/>
          <w:sz w:val="24"/>
        </w:rPr>
        <w:t>2</w:t>
      </w:r>
      <w:r>
        <w:rPr>
          <w:rFonts w:ascii="Times New Roman" w:hAnsi="Times New Roman"/>
          <w:noProof/>
          <w:sz w:val="24"/>
        </w:rPr>
        <w:t>,</w:t>
      </w:r>
      <w:r w:rsidRPr="00CD53BF">
        <w:rPr>
          <w:rFonts w:ascii="Times New Roman" w:hAnsi="Times New Roman"/>
          <w:noProof/>
          <w:sz w:val="24"/>
        </w:rPr>
        <w:t>5</w:t>
      </w:r>
      <w:r>
        <w:rPr>
          <w:rFonts w:ascii="Times New Roman" w:hAnsi="Times New Roman"/>
          <w:noProof/>
          <w:sz w:val="24"/>
        </w:rPr>
        <w:t xml:space="preserve"> miliarde EUR din partea instituțiilor financiare internaționale și a sectorului privat. Această creștere substanțială a investițiilor publice și private va merge în paralel cu aplicarea agendei de reformă pentru a realiza infrastructura energetică, de transport și de conectivitate digitală necesară pentru ca întreprinderile și schimburile comerciale să poată prospera. Mecanismul va mobiliza, de asemenea, investiții pentru a însoți Republica Moldova pe calea spre decarbonizare. </w:t>
      </w:r>
      <w:r w:rsidRPr="00CD53BF">
        <w:rPr>
          <w:rFonts w:ascii="Times New Roman" w:hAnsi="Times New Roman"/>
          <w:b/>
          <w:noProof/>
          <w:sz w:val="24"/>
        </w:rPr>
        <w:t>Platforma de investiții pentru politica de vecinătate</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va fi principalul instrument pentru realizarea acestor investiții. Platforma se va baza pe activitatea deja desfășurată prin intermediul Planului economic și de investiții pentru Republica Moldova</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care a condus investițiile în sectoare critice precum conectivitatea, eficiența energetică, dezvoltarea întreprinderilor și competitivitatea. </w:t>
      </w:r>
    </w:p>
    <w:p w14:paraId="0CD22B2E" w14:textId="77777777" w:rsidR="00CD53BF" w:rsidRPr="006F27A7" w:rsidRDefault="00CD53BF" w:rsidP="005F6AF6">
      <w:pPr>
        <w:autoSpaceDE w:val="0"/>
        <w:autoSpaceDN w:val="0"/>
        <w:spacing w:after="0" w:line="240" w:lineRule="auto"/>
        <w:jc w:val="both"/>
        <w:rPr>
          <w:rFonts w:ascii="Times New Roman" w:hAnsi="Times New Roman" w:cs="Times New Roman"/>
          <w:noProof/>
          <w:sz w:val="24"/>
          <w:szCs w:val="24"/>
        </w:rPr>
      </w:pPr>
      <w:r>
        <w:rPr>
          <w:rFonts w:ascii="Times New Roman" w:hAnsi="Times New Roman"/>
          <w:noProof/>
          <w:sz w:val="24"/>
        </w:rPr>
        <w:t>Prin accentul pus pe agenda de reformă și pe investițiile aliniate, planul de creștere va servi drept cadru strategic solid și ar putea sprijini eforturile Republicii Moldova de coordonare a donatorilor, în special în contextul Platformei parteneriatului pentru Republica Moldova, care reunește statele membre ale UE, țările G</w:t>
      </w:r>
      <w:r w:rsidRPr="00CD53BF">
        <w:rPr>
          <w:rFonts w:ascii="Times New Roman" w:hAnsi="Times New Roman"/>
          <w:noProof/>
          <w:sz w:val="24"/>
        </w:rPr>
        <w:t>7</w:t>
      </w:r>
      <w:r>
        <w:rPr>
          <w:rFonts w:ascii="Times New Roman" w:hAnsi="Times New Roman"/>
          <w:noProof/>
          <w:sz w:val="24"/>
        </w:rPr>
        <w:t xml:space="preserve">, parteneri internaționali și parteneri care împărtășesc aceeași viziune. </w:t>
      </w:r>
    </w:p>
    <w:bookmarkEnd w:id="9"/>
    <w:p w14:paraId="75CF3F80" w14:textId="77777777" w:rsidR="00CD53BF" w:rsidRPr="002B5C7A" w:rsidRDefault="00CD53BF" w:rsidP="0073024E">
      <w:pPr>
        <w:spacing w:line="240" w:lineRule="auto"/>
        <w:jc w:val="both"/>
        <w:rPr>
          <w:rFonts w:ascii="Times New Roman" w:hAnsi="Times New Roman"/>
          <w:noProof/>
          <w:sz w:val="2"/>
          <w:szCs w:val="12"/>
        </w:rPr>
      </w:pPr>
    </w:p>
    <w:p w14:paraId="2AC40FC1" w14:textId="77777777" w:rsidR="00CD53BF" w:rsidRPr="00CD53BF" w:rsidRDefault="00CD53BF" w:rsidP="0073024E">
      <w:pPr>
        <w:spacing w:line="240" w:lineRule="auto"/>
        <w:jc w:val="both"/>
        <w:rPr>
          <w:rFonts w:ascii="Times New Roman" w:hAnsi="Times New Roman"/>
          <w:b/>
          <w:noProof/>
          <w:sz w:val="24"/>
        </w:rPr>
      </w:pPr>
      <w:bookmarkStart w:id="11" w:name="_Hlk175140547"/>
      <w:r w:rsidRPr="00CD53BF">
        <w:rPr>
          <w:rFonts w:ascii="Times New Roman" w:hAnsi="Times New Roman"/>
          <w:b/>
          <w:noProof/>
          <w:sz w:val="24"/>
        </w:rPr>
        <w:t>CONCLUZII</w:t>
      </w:r>
      <w:bookmarkEnd w:id="11"/>
    </w:p>
    <w:p w14:paraId="3E9D3B80" w14:textId="77777777" w:rsidR="00CD53BF" w:rsidRPr="00151B2C" w:rsidRDefault="00CD53BF" w:rsidP="0073024E">
      <w:pPr>
        <w:spacing w:line="240" w:lineRule="auto"/>
        <w:jc w:val="both"/>
        <w:rPr>
          <w:noProof/>
        </w:rPr>
      </w:pPr>
      <w:r>
        <w:rPr>
          <w:rFonts w:ascii="Times New Roman" w:hAnsi="Times New Roman"/>
          <w:noProof/>
          <w:sz w:val="24"/>
        </w:rPr>
        <w:t>Republica Moldova este angajată pe calea aderării la UE. Având în vedere impactul războiului de agresiune al Rusiei împotriva Ucrainei și al războiului hibrid al Rusiei împotriva Republicii Moldova, țara se confruntă în continuare cu provocări semnificative legate de revigorarea creșterii sale economice și de înregistrarea de progrese într-un ritm adecvat în materie de reforme socioeconomice. Pe modelul Planului de creștere pentru Balcanii de Vest, Planul de creștere pentru Republica Moldova reprezintă o prelungire în timp util a ofertei UE de a sprijini Republica Moldova să își amelioreze perspectivele de dezvoltare economică sustenabilă și să accelereze reformele fundamentale necesare pentru a reduce decalajul în materie de convergență economică.</w:t>
      </w:r>
    </w:p>
    <w:p w14:paraId="310075EB" w14:textId="77777777" w:rsidR="00CD53BF" w:rsidRDefault="00CD53BF" w:rsidP="001378F1">
      <w:pPr>
        <w:pStyle w:val="NormalWeb"/>
        <w:spacing w:before="0" w:beforeAutospacing="0" w:after="160" w:afterAutospacing="0"/>
        <w:jc w:val="both"/>
        <w:rPr>
          <w:noProof/>
        </w:rPr>
      </w:pPr>
      <w:r>
        <w:rPr>
          <w:noProof/>
        </w:rPr>
        <w:t xml:space="preserve">Prin cei trei piloni interconectați, planul va sprijini </w:t>
      </w:r>
      <w:r w:rsidRPr="00CD53BF">
        <w:rPr>
          <w:b/>
          <w:noProof/>
        </w:rPr>
        <w:t>integrarea Republicii Moldova în UE și pe piața sa unică</w:t>
      </w:r>
      <w:r>
        <w:rPr>
          <w:noProof/>
        </w:rPr>
        <w:t xml:space="preserve">. Planul vizează depășirea provocărilor structurale, promovarea reformelor fundamentale privind statul de drept și combaterea corupției și a criminalității organizate. Planul va elimina lacunele importante în materie de investiții în infrastructură și întreprinderi, va promova tranziția verde și digitală și va spori productivitatea prin axarea pe sectoarele esențiale care au un potențial de creștere ridicat. Nu în ultimul rând, planul va permite dublarea economiei Republicii Moldova în următorul deceniu și atragerea de noi investiții de capital. Planul va facilita crearea a </w:t>
      </w:r>
      <w:r w:rsidRPr="00CD53BF">
        <w:rPr>
          <w:noProof/>
        </w:rPr>
        <w:t>5</w:t>
      </w:r>
      <w:r>
        <w:rPr>
          <w:noProof/>
        </w:rPr>
        <w:t> </w:t>
      </w:r>
      <w:r w:rsidRPr="00CD53BF">
        <w:rPr>
          <w:noProof/>
        </w:rPr>
        <w:t>000</w:t>
      </w:r>
      <w:r>
        <w:rPr>
          <w:noProof/>
        </w:rPr>
        <w:t xml:space="preserve"> de noi întreprinderi și va ajuta </w:t>
      </w:r>
      <w:r w:rsidRPr="00CD53BF">
        <w:rPr>
          <w:noProof/>
        </w:rPr>
        <w:t>100</w:t>
      </w:r>
      <w:r>
        <w:rPr>
          <w:noProof/>
        </w:rPr>
        <w:t> </w:t>
      </w:r>
      <w:r w:rsidRPr="00CD53BF">
        <w:rPr>
          <w:noProof/>
        </w:rPr>
        <w:t>000</w:t>
      </w:r>
      <w:r>
        <w:rPr>
          <w:noProof/>
        </w:rPr>
        <w:t xml:space="preserve"> de cetățeni ai Republicii Moldova să își găsească un loc de muncă.</w:t>
      </w:r>
    </w:p>
    <w:p w14:paraId="79B878BB" w14:textId="77777777" w:rsidR="00CD53BF" w:rsidRDefault="00CD53BF" w:rsidP="0073024E">
      <w:pPr>
        <w:pStyle w:val="NormalWeb"/>
        <w:spacing w:before="0" w:beforeAutospacing="0" w:after="160" w:afterAutospacing="0"/>
        <w:jc w:val="both"/>
        <w:rPr>
          <w:noProof/>
        </w:rPr>
      </w:pPr>
      <w:r>
        <w:rPr>
          <w:noProof/>
        </w:rPr>
        <w:t xml:space="preserve">Pentru a beneficia pe deplin de planul de creștere, Republica Moldova trebuie să pună în aplicare reforme și </w:t>
      </w:r>
      <w:r w:rsidRPr="00CD53BF">
        <w:rPr>
          <w:b/>
          <w:noProof/>
        </w:rPr>
        <w:t>să asigure o abordare cuprinzătoare care să implice toate segmentele societății</w:t>
      </w:r>
      <w:r>
        <w:rPr>
          <w:noProof/>
        </w:rPr>
        <w:t>. Acest lucru ar trebui, la rândul său, să conducă la o aliniere mai rapidă la legislația și standardele UE, precum și la realizarea de reforme în domeniile fundamentale ale procesului de aderare. Pentru punerea în aplicare eficace a planului va fi necesar un mecanism solid, cu o coordonare interinstituțională puternică în interiorul țării.</w:t>
      </w:r>
    </w:p>
    <w:p w14:paraId="34FC9F43" w14:textId="77777777" w:rsidR="00CD53BF" w:rsidRDefault="00CD53BF" w:rsidP="0073024E">
      <w:pPr>
        <w:pStyle w:val="NormalWeb"/>
        <w:spacing w:before="0" w:beforeAutospacing="0" w:after="160" w:afterAutospacing="0"/>
        <w:jc w:val="both"/>
        <w:rPr>
          <w:noProof/>
        </w:rPr>
      </w:pPr>
      <w:r>
        <w:rPr>
          <w:noProof/>
        </w:rPr>
        <w:t>Planul de creștere va servi drept foaie de parcurs strategică pentru investiții în următorii ani și va oferi o platformă pentru o mai bună coordonare a donatorilor sau pentru obținerea unui sprijin amplu și specific pentru reformele și investițiile esențiale.</w:t>
      </w:r>
    </w:p>
    <w:p w14:paraId="5A769498" w14:textId="77777777" w:rsidR="00CD53BF" w:rsidRDefault="00CD53BF" w:rsidP="0073024E">
      <w:pPr>
        <w:pStyle w:val="NormalWeb"/>
        <w:spacing w:before="0" w:beforeAutospacing="0"/>
        <w:jc w:val="both"/>
        <w:rPr>
          <w:noProof/>
        </w:rPr>
      </w:pPr>
      <w:r>
        <w:rPr>
          <w:noProof/>
        </w:rPr>
        <w:t>Prin promovarea unei economii puternice și reziliente, Planul de creștere pentru Republica Moldova le va aduce beneficii concrete tuturor cetățenilor și va pune bazele unui viitor sustenabil, prosper și pașnic al țării, reflectând ambiția acesteia de a accelera integrarea în UE.</w:t>
      </w:r>
    </w:p>
    <w:p w14:paraId="122F8175" w14:textId="77777777" w:rsidR="00CD53BF" w:rsidRPr="00CD53BF" w:rsidRDefault="00CD53BF" w:rsidP="0073024E">
      <w:pPr>
        <w:spacing w:after="120" w:line="240" w:lineRule="auto"/>
        <w:jc w:val="both"/>
        <w:rPr>
          <w:rFonts w:ascii="Times New Roman" w:hAnsi="Times New Roman" w:cs="Times New Roman"/>
          <w:noProof/>
          <w:sz w:val="24"/>
          <w:szCs w:val="24"/>
        </w:rPr>
      </w:pPr>
    </w:p>
    <w:p w14:paraId="4386311B" w14:textId="77777777" w:rsidR="00CD53BF" w:rsidRPr="00CD53BF" w:rsidRDefault="00CD53BF">
      <w:pPr>
        <w:rPr>
          <w:rFonts w:ascii="Times New Roman" w:hAnsi="Times New Roman" w:cs="Times New Roman"/>
          <w:b/>
          <w:bCs/>
          <w:noProof/>
          <w:sz w:val="24"/>
          <w:szCs w:val="24"/>
        </w:rPr>
      </w:pPr>
    </w:p>
    <w:p w14:paraId="2AF7562C" w14:textId="77777777" w:rsidR="00065E9C" w:rsidRDefault="00065E9C" w:rsidP="0073024E">
      <w:pPr>
        <w:spacing w:after="0" w:line="240" w:lineRule="auto"/>
        <w:jc w:val="both"/>
        <w:rPr>
          <w:rFonts w:ascii="Times New Roman" w:hAnsi="Times New Roman" w:cs="Times New Roman"/>
          <w:noProof/>
          <w:sz w:val="24"/>
          <w:szCs w:val="24"/>
        </w:rPr>
      </w:pPr>
    </w:p>
    <w:sectPr w:rsidR="00065E9C" w:rsidSect="0073024E">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134"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E631D" w14:textId="77777777" w:rsidR="00643966" w:rsidRDefault="00643966" w:rsidP="00A77699">
      <w:pPr>
        <w:spacing w:after="0" w:line="240" w:lineRule="auto"/>
      </w:pPr>
      <w:r>
        <w:separator/>
      </w:r>
    </w:p>
  </w:endnote>
  <w:endnote w:type="continuationSeparator" w:id="0">
    <w:p w14:paraId="083F91BC" w14:textId="77777777" w:rsidR="00643966" w:rsidRDefault="00643966" w:rsidP="00A77699">
      <w:pPr>
        <w:spacing w:after="0" w:line="240" w:lineRule="auto"/>
      </w:pPr>
      <w:r>
        <w:continuationSeparator/>
      </w:r>
    </w:p>
  </w:endnote>
  <w:endnote w:type="continuationNotice" w:id="1">
    <w:p w14:paraId="2183748F" w14:textId="77777777" w:rsidR="00643966" w:rsidRDefault="006439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A7BDC" w14:textId="48733E05" w:rsidR="005F5C66" w:rsidRPr="005F5C66" w:rsidRDefault="005F5C66" w:rsidP="005F5C66">
    <w:pPr>
      <w:pStyle w:val="FooterCoverPage"/>
      <w:rPr>
        <w:rFonts w:ascii="Arial" w:hAnsi="Arial" w:cs="Arial"/>
        <w:b/>
        <w:sz w:val="48"/>
      </w:rPr>
    </w:pPr>
    <w:r w:rsidRPr="005F5C66">
      <w:rPr>
        <w:rFonts w:ascii="Arial" w:hAnsi="Arial" w:cs="Arial"/>
        <w:b/>
        <w:sz w:val="48"/>
      </w:rPr>
      <w:t>RO</w:t>
    </w:r>
    <w:r w:rsidRPr="005F5C66">
      <w:rPr>
        <w:rFonts w:ascii="Arial" w:hAnsi="Arial" w:cs="Arial"/>
        <w:b/>
        <w:sz w:val="48"/>
      </w:rPr>
      <w:tab/>
    </w:r>
    <w:r w:rsidRPr="005F5C66">
      <w:rPr>
        <w:rFonts w:ascii="Arial" w:hAnsi="Arial" w:cs="Arial"/>
        <w:b/>
        <w:sz w:val="48"/>
      </w:rPr>
      <w:tab/>
    </w:r>
    <w:r w:rsidRPr="005F5C66">
      <w:tab/>
    </w:r>
    <w:r w:rsidRPr="005F5C6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3E494" w14:textId="31B6A39A" w:rsidR="005F5C66" w:rsidRPr="005F5C66" w:rsidRDefault="005F5C66" w:rsidP="005F5C66">
    <w:pPr>
      <w:pStyle w:val="FooterCoverPage"/>
      <w:rPr>
        <w:rFonts w:ascii="Arial" w:hAnsi="Arial" w:cs="Arial"/>
        <w:b/>
        <w:sz w:val="48"/>
      </w:rPr>
    </w:pPr>
    <w:r w:rsidRPr="005F5C66">
      <w:rPr>
        <w:rFonts w:ascii="Arial" w:hAnsi="Arial" w:cs="Arial"/>
        <w:b/>
        <w:sz w:val="48"/>
      </w:rPr>
      <w:t>RO</w:t>
    </w:r>
    <w:r w:rsidRPr="005F5C66">
      <w:rPr>
        <w:rFonts w:ascii="Arial" w:hAnsi="Arial" w:cs="Arial"/>
        <w:b/>
        <w:sz w:val="48"/>
      </w:rPr>
      <w:tab/>
    </w:r>
    <w:r w:rsidRPr="005F5C66">
      <w:rPr>
        <w:rFonts w:ascii="Arial" w:hAnsi="Arial" w:cs="Arial"/>
        <w:b/>
        <w:sz w:val="48"/>
      </w:rPr>
      <w:tab/>
    </w:r>
    <w:r w:rsidRPr="005F5C66">
      <w:tab/>
    </w:r>
    <w:r w:rsidRPr="005F5C6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F82C1" w14:textId="77777777" w:rsidR="005F5C66" w:rsidRPr="005F5C66" w:rsidRDefault="005F5C66" w:rsidP="005F5C6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8A47" w14:textId="77777777" w:rsidR="004E3DBA" w:rsidRPr="00166ACC" w:rsidRDefault="004E3DBA" w:rsidP="00166ACC">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7515340"/>
      <w:docPartObj>
        <w:docPartGallery w:val="Page Numbers (Bottom of Page)"/>
        <w:docPartUnique/>
      </w:docPartObj>
    </w:sdtPr>
    <w:sdtEndPr/>
    <w:sdtContent>
      <w:p w14:paraId="2733B12E" w14:textId="44ADBA3E" w:rsidR="004E3DBA" w:rsidRPr="00F253E9" w:rsidRDefault="004E3DBA">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F5C66">
          <w:rPr>
            <w:rFonts w:ascii="Times New Roman" w:hAnsi="Times New Roman" w:cs="Times New Roman"/>
            <w:noProof/>
          </w:rPr>
          <w:t>1</w:t>
        </w:r>
        <w:r>
          <w:rPr>
            <w:rFonts w:ascii="Times New Roman" w:hAnsi="Times New Roman" w:cs="Times New Roman"/>
          </w:rPr>
          <w:fldChar w:fldCharType="end"/>
        </w:r>
      </w:p>
    </w:sdtContent>
  </w:sdt>
  <w:p w14:paraId="0520E81D" w14:textId="77777777" w:rsidR="004E3DBA" w:rsidRPr="00F253E9" w:rsidRDefault="004E3DBA" w:rsidP="00166ACC">
    <w:pPr>
      <w:pStyle w:val="FooterCoverPage"/>
      <w:rPr>
        <w:b/>
        <w:sz w:val="48"/>
      </w:rPr>
    </w:pPr>
  </w:p>
  <w:p w14:paraId="5A754F10" w14:textId="77777777" w:rsidR="004E3DBA" w:rsidRPr="00F253E9" w:rsidRDefault="004E3DBA" w:rsidP="00166ACC">
    <w:pPr>
      <w:pStyle w:val="FooterCoverPage"/>
      <w:rPr>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1C387" w14:textId="77777777" w:rsidR="004E3DBA" w:rsidRDefault="004E3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00CEA" w14:textId="77777777" w:rsidR="00643966" w:rsidRDefault="00643966" w:rsidP="00A77699">
      <w:pPr>
        <w:spacing w:after="0" w:line="240" w:lineRule="auto"/>
      </w:pPr>
      <w:r>
        <w:separator/>
      </w:r>
    </w:p>
  </w:footnote>
  <w:footnote w:type="continuationSeparator" w:id="0">
    <w:p w14:paraId="72D67E09" w14:textId="77777777" w:rsidR="00643966" w:rsidRDefault="00643966" w:rsidP="00A77699">
      <w:pPr>
        <w:spacing w:after="0" w:line="240" w:lineRule="auto"/>
      </w:pPr>
      <w:r>
        <w:continuationSeparator/>
      </w:r>
    </w:p>
  </w:footnote>
  <w:footnote w:type="continuationNotice" w:id="1">
    <w:p w14:paraId="15C6D00E" w14:textId="77777777" w:rsidR="00643966" w:rsidRDefault="00643966">
      <w:pPr>
        <w:spacing w:after="0" w:line="240" w:lineRule="auto"/>
      </w:pPr>
    </w:p>
  </w:footnote>
  <w:footnote w:id="2">
    <w:p w14:paraId="436DB16F" w14:textId="06B8F337" w:rsidR="00A24A4C" w:rsidRPr="00865751" w:rsidRDefault="00A24A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Acordul de asociere dintre Uniunea Europeană și Comunitatea Europeană a Energiei Atomice și statele membre ale acestora, pe de o parte, și Republica Moldova, pe de altă parte; https://eur-lex.europa.eu/legal-content/RO/TXT/?uri=CELEX:</w:t>
      </w:r>
      <w:r w:rsidRPr="00CD53BF">
        <w:rPr>
          <w:rFonts w:ascii="Times New Roman" w:hAnsi="Times New Roman"/>
        </w:rPr>
        <w:t>22014</w:t>
      </w:r>
      <w:r>
        <w:rPr>
          <w:rFonts w:ascii="Times New Roman" w:hAnsi="Times New Roman"/>
        </w:rPr>
        <w:t>A</w:t>
      </w:r>
      <w:r w:rsidRPr="00CD53BF">
        <w:rPr>
          <w:rFonts w:ascii="Times New Roman" w:hAnsi="Times New Roman"/>
        </w:rPr>
        <w:t>0830</w:t>
      </w:r>
      <w:r>
        <w:rPr>
          <w:rFonts w:ascii="Times New Roman" w:hAnsi="Times New Roman"/>
        </w:rPr>
        <w:t>(</w:t>
      </w:r>
      <w:r w:rsidRPr="00CD53BF">
        <w:rPr>
          <w:rFonts w:ascii="Times New Roman" w:hAnsi="Times New Roman"/>
        </w:rPr>
        <w:t>01</w:t>
      </w:r>
      <w:r>
        <w:rPr>
          <w:rFonts w:ascii="Times New Roman" w:hAnsi="Times New Roman"/>
        </w:rPr>
        <w:t>).</w:t>
      </w:r>
    </w:p>
  </w:footnote>
  <w:footnote w:id="3">
    <w:p w14:paraId="401320E0" w14:textId="77777777" w:rsidR="0073024E" w:rsidRPr="008D4747" w:rsidRDefault="0073024E" w:rsidP="0073024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Documentul de lucru al serviciilor Comisiei SWD(</w:t>
      </w:r>
      <w:r w:rsidRPr="00CD53BF">
        <w:rPr>
          <w:rFonts w:ascii="Times New Roman" w:hAnsi="Times New Roman"/>
        </w:rPr>
        <w:t>2021</w:t>
      </w:r>
      <w:r>
        <w:rPr>
          <w:rFonts w:ascii="Times New Roman" w:hAnsi="Times New Roman"/>
        </w:rPr>
        <w:t xml:space="preserve">) </w:t>
      </w:r>
      <w:r w:rsidRPr="00CD53BF">
        <w:rPr>
          <w:rFonts w:ascii="Times New Roman" w:hAnsi="Times New Roman"/>
        </w:rPr>
        <w:t>186</w:t>
      </w:r>
      <w:r>
        <w:rPr>
          <w:rFonts w:ascii="Times New Roman" w:hAnsi="Times New Roman"/>
        </w:rPr>
        <w:t xml:space="preserve"> final.</w:t>
      </w:r>
    </w:p>
  </w:footnote>
  <w:footnote w:id="4">
    <w:p w14:paraId="6FAE0BA0" w14:textId="77777777" w:rsidR="00E360B7" w:rsidRPr="00865751" w:rsidRDefault="00E360B7" w:rsidP="00E360B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w:t>
      </w:r>
      <w:r w:rsidRPr="00CD53BF">
        <w:rPr>
          <w:rFonts w:ascii="Times New Roman" w:hAnsi="Times New Roman"/>
        </w:rPr>
        <w:t>4</w:t>
      </w:r>
      <w:r>
        <w:rPr>
          <w:rFonts w:ascii="Times New Roman" w:hAnsi="Times New Roman"/>
        </w:rPr>
        <w:t xml:space="preserve"> decembrie </w:t>
      </w:r>
      <w:r w:rsidRPr="00CD53BF">
        <w:rPr>
          <w:rFonts w:ascii="Times New Roman" w:hAnsi="Times New Roman"/>
        </w:rPr>
        <w:t>2023</w:t>
      </w:r>
      <w:r>
        <w:rPr>
          <w:rFonts w:ascii="Times New Roman" w:hAnsi="Times New Roman"/>
        </w:rPr>
        <w:t>, Rusia a introdus o interdicție totală privind importul de legume și fructe din Republica Moldova.</w:t>
      </w:r>
    </w:p>
  </w:footnote>
  <w:footnote w:id="5">
    <w:p w14:paraId="38E10299" w14:textId="77777777" w:rsidR="0073024E" w:rsidRPr="0022004F" w:rsidRDefault="0073024E" w:rsidP="0073024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CD53BF">
        <w:rPr>
          <w:rFonts w:ascii="Times New Roman" w:hAnsi="Times New Roman"/>
        </w:rPr>
        <w:t>2023</w:t>
      </w:r>
      <w:r>
        <w:rPr>
          <w:rFonts w:ascii="Times New Roman" w:hAnsi="Times New Roman"/>
        </w:rPr>
        <w:t xml:space="preserve">) </w:t>
      </w:r>
      <w:r w:rsidRPr="00CD53BF">
        <w:rPr>
          <w:rFonts w:ascii="Times New Roman" w:hAnsi="Times New Roman"/>
        </w:rPr>
        <w:t>691</w:t>
      </w:r>
      <w:r>
        <w:rPr>
          <w:rFonts w:ascii="Times New Roman" w:hAnsi="Times New Roman"/>
        </w:rPr>
        <w:t xml:space="preserve"> final</w:t>
      </w:r>
      <w:r>
        <w:t>.</w:t>
      </w:r>
    </w:p>
  </w:footnote>
  <w:footnote w:id="6">
    <w:p w14:paraId="2B2D7D87" w14:textId="77777777" w:rsidR="0073024E" w:rsidRPr="0022004F" w:rsidRDefault="0073024E"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După o scădere cu </w:t>
      </w:r>
      <w:r w:rsidRPr="00CD53BF">
        <w:rPr>
          <w:rFonts w:ascii="Times New Roman" w:hAnsi="Times New Roman"/>
        </w:rPr>
        <w:t>8</w:t>
      </w:r>
      <w:r>
        <w:rPr>
          <w:rFonts w:ascii="Times New Roman" w:hAnsi="Times New Roman"/>
        </w:rPr>
        <w:t xml:space="preserve"> % a PIB-ului în </w:t>
      </w:r>
      <w:r w:rsidRPr="00CD53BF">
        <w:rPr>
          <w:rFonts w:ascii="Times New Roman" w:hAnsi="Times New Roman"/>
        </w:rPr>
        <w:t>2020</w:t>
      </w:r>
      <w:r>
        <w:rPr>
          <w:rFonts w:ascii="Times New Roman" w:hAnsi="Times New Roman"/>
        </w:rPr>
        <w:t>, ca urmare a pandemiei de COVID-</w:t>
      </w:r>
      <w:r w:rsidRPr="00CD53BF">
        <w:rPr>
          <w:rFonts w:ascii="Times New Roman" w:hAnsi="Times New Roman"/>
        </w:rPr>
        <w:t>19</w:t>
      </w:r>
      <w:r>
        <w:rPr>
          <w:rFonts w:ascii="Times New Roman" w:hAnsi="Times New Roman"/>
        </w:rPr>
        <w:t xml:space="preserve">, urmată de o redresare puternică de </w:t>
      </w:r>
      <w:r w:rsidRPr="00CD53BF">
        <w:rPr>
          <w:rFonts w:ascii="Times New Roman" w:hAnsi="Times New Roman"/>
        </w:rPr>
        <w:t>14</w:t>
      </w:r>
      <w:r>
        <w:rPr>
          <w:rFonts w:ascii="Times New Roman" w:hAnsi="Times New Roman"/>
        </w:rPr>
        <w:t xml:space="preserve"> % în </w:t>
      </w:r>
      <w:r w:rsidRPr="00CD53BF">
        <w:rPr>
          <w:rFonts w:ascii="Times New Roman" w:hAnsi="Times New Roman"/>
        </w:rPr>
        <w:t>2021</w:t>
      </w:r>
      <w:r>
        <w:rPr>
          <w:rFonts w:ascii="Times New Roman" w:hAnsi="Times New Roman"/>
        </w:rPr>
        <w:t xml:space="preserve">, economia Republicii Moldova s-a contractat din nou cu </w:t>
      </w:r>
      <w:r w:rsidRPr="00CD53BF">
        <w:rPr>
          <w:rFonts w:ascii="Times New Roman" w:hAnsi="Times New Roman"/>
        </w:rPr>
        <w:t>5</w:t>
      </w:r>
      <w:r>
        <w:rPr>
          <w:rFonts w:ascii="Times New Roman" w:hAnsi="Times New Roman"/>
        </w:rPr>
        <w:t xml:space="preserve"> % în </w:t>
      </w:r>
      <w:r w:rsidRPr="00CD53BF">
        <w:rPr>
          <w:rFonts w:ascii="Times New Roman" w:hAnsi="Times New Roman"/>
        </w:rPr>
        <w:t>2022</w:t>
      </w:r>
      <w:r>
        <w:rPr>
          <w:rFonts w:ascii="Times New Roman" w:hAnsi="Times New Roman"/>
        </w:rPr>
        <w:t>, după lansarea de către Rusia a războiului de agresiune împotriva Ucrainei. Economia a înregistrat, de asemenea, o criză energetică legată de dependența sa de gazele rusești și de secetele grave care au afectat recoltele agricole, esențiale pentru performanța economică a Republicii Moldova.</w:t>
      </w:r>
      <w:r>
        <w:rPr>
          <w:rFonts w:ascii="Times New Roman" w:hAnsi="Times New Roman"/>
          <w:sz w:val="24"/>
        </w:rPr>
        <w:t xml:space="preserve"> </w:t>
      </w:r>
      <w:r>
        <w:rPr>
          <w:rFonts w:ascii="Times New Roman" w:hAnsi="Times New Roman"/>
        </w:rPr>
        <w:t xml:space="preserve">Economia Republicii Moldova a intrat treptat într-o fază de redresare, deși într-un ritm lent, creșterea PIB-ului real ajungând la </w:t>
      </w:r>
      <w:r w:rsidRPr="00CD53BF">
        <w:rPr>
          <w:rFonts w:ascii="Times New Roman" w:hAnsi="Times New Roman"/>
        </w:rPr>
        <w:t>0</w:t>
      </w:r>
      <w:r>
        <w:rPr>
          <w:rFonts w:ascii="Times New Roman" w:hAnsi="Times New Roman"/>
        </w:rPr>
        <w:t>,</w:t>
      </w:r>
      <w:r w:rsidRPr="00CD53BF">
        <w:rPr>
          <w:rFonts w:ascii="Times New Roman" w:hAnsi="Times New Roman"/>
        </w:rPr>
        <w:t>7</w:t>
      </w:r>
      <w:r>
        <w:rPr>
          <w:rFonts w:ascii="Times New Roman" w:hAnsi="Times New Roman"/>
        </w:rPr>
        <w:t xml:space="preserve"> % în </w:t>
      </w:r>
      <w:r w:rsidRPr="00CD53BF">
        <w:rPr>
          <w:rFonts w:ascii="Times New Roman" w:hAnsi="Times New Roman"/>
        </w:rPr>
        <w:t>2023</w:t>
      </w:r>
      <w:r>
        <w:rPr>
          <w:rFonts w:ascii="Times New Roman" w:hAnsi="Times New Roman"/>
        </w:rPr>
        <w:t>.</w:t>
      </w:r>
    </w:p>
  </w:footnote>
  <w:footnote w:id="7">
    <w:p w14:paraId="3F29C7FB" w14:textId="77777777" w:rsidR="006F6C81" w:rsidRPr="00CD77D9" w:rsidRDefault="006F6C81" w:rsidP="006F6C8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Grupul tematic al elementelor fundamentale include: capitolul </w:t>
      </w:r>
      <w:r w:rsidRPr="00CD53BF">
        <w:rPr>
          <w:rFonts w:ascii="Times New Roman" w:hAnsi="Times New Roman"/>
        </w:rPr>
        <w:t>23</w:t>
      </w:r>
      <w:r>
        <w:rPr>
          <w:rFonts w:ascii="Times New Roman" w:hAnsi="Times New Roman"/>
        </w:rPr>
        <w:t xml:space="preserve"> – Sistemul judiciar și drepturile fundamentale, capitolul </w:t>
      </w:r>
      <w:r w:rsidRPr="00CD53BF">
        <w:rPr>
          <w:rFonts w:ascii="Times New Roman" w:hAnsi="Times New Roman"/>
        </w:rPr>
        <w:t>24</w:t>
      </w:r>
      <w:r>
        <w:rPr>
          <w:rFonts w:ascii="Times New Roman" w:hAnsi="Times New Roman"/>
        </w:rPr>
        <w:t xml:space="preserve"> – Justiție, libertate și securitate, criteriile economice, funcționarea instituțiilor democratice, reforma administrației publice, capitolul </w:t>
      </w:r>
      <w:r w:rsidRPr="00CD53BF">
        <w:rPr>
          <w:rFonts w:ascii="Times New Roman" w:hAnsi="Times New Roman"/>
        </w:rPr>
        <w:t>5</w:t>
      </w:r>
      <w:r>
        <w:rPr>
          <w:rFonts w:ascii="Times New Roman" w:hAnsi="Times New Roman"/>
        </w:rPr>
        <w:t xml:space="preserve"> – Achiziții publice, capitolul </w:t>
      </w:r>
      <w:r w:rsidRPr="00CD53BF">
        <w:rPr>
          <w:rFonts w:ascii="Times New Roman" w:hAnsi="Times New Roman"/>
        </w:rPr>
        <w:t>18</w:t>
      </w:r>
      <w:r>
        <w:rPr>
          <w:rFonts w:ascii="Times New Roman" w:hAnsi="Times New Roman"/>
        </w:rPr>
        <w:t xml:space="preserve"> – Statistică și capitolul </w:t>
      </w:r>
      <w:r w:rsidRPr="00CD53BF">
        <w:rPr>
          <w:rFonts w:ascii="Times New Roman" w:hAnsi="Times New Roman"/>
        </w:rPr>
        <w:t>32</w:t>
      </w:r>
      <w:r>
        <w:rPr>
          <w:rFonts w:ascii="Times New Roman" w:hAnsi="Times New Roman"/>
        </w:rPr>
        <w:t xml:space="preserve"> – Control financiar.</w:t>
      </w:r>
    </w:p>
  </w:footnote>
  <w:footnote w:id="8">
    <w:p w14:paraId="0B3564A2" w14:textId="77777777" w:rsidR="0073024E" w:rsidRPr="0073209D" w:rsidRDefault="0073024E" w:rsidP="0073024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CD53BF">
        <w:rPr>
          <w:rFonts w:ascii="Times New Roman" w:hAnsi="Times New Roman"/>
        </w:rPr>
        <w:t>2020</w:t>
      </w:r>
      <w:r>
        <w:rPr>
          <w:rFonts w:ascii="Times New Roman" w:hAnsi="Times New Roman"/>
        </w:rPr>
        <w:t xml:space="preserve">) </w:t>
      </w:r>
      <w:r w:rsidRPr="00CD53BF">
        <w:rPr>
          <w:rFonts w:ascii="Times New Roman" w:hAnsi="Times New Roman"/>
        </w:rPr>
        <w:t>57</w:t>
      </w:r>
      <w:r>
        <w:rPr>
          <w:rFonts w:ascii="Times New Roman" w:hAnsi="Times New Roman"/>
        </w:rPr>
        <w:t xml:space="preserve"> final</w:t>
      </w:r>
      <w:r>
        <w:t>.</w:t>
      </w:r>
    </w:p>
  </w:footnote>
  <w:footnote w:id="9">
    <w:p w14:paraId="1A62645C" w14:textId="77777777" w:rsidR="0073024E" w:rsidRPr="0073209D" w:rsidRDefault="0073024E"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sidRPr="00CD53BF">
          <w:rPr>
            <w:rStyle w:val="Hyperlink"/>
            <w:rFonts w:ascii="Times New Roman" w:hAnsi="Times New Roman"/>
          </w:rPr>
          <w:t>LP315/2022 (legis.md)</w:t>
        </w:r>
      </w:hyperlink>
    </w:p>
  </w:footnote>
  <w:footnote w:id="10">
    <w:p w14:paraId="4BB0D82A" w14:textId="4B76EBB7" w:rsidR="0073024E" w:rsidRPr="0022004F" w:rsidRDefault="0073024E"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Planul de acțiune prioritar pentru consolidarea aplicării componentei DCFTA a Acordului de asociere dintre Republica Moldova și Uniunea Europeană în perioada </w:t>
      </w:r>
      <w:r w:rsidRPr="00CD53BF">
        <w:rPr>
          <w:rFonts w:ascii="Times New Roman" w:hAnsi="Times New Roman"/>
        </w:rPr>
        <w:t>2023</w:t>
      </w:r>
      <w:r>
        <w:rPr>
          <w:rFonts w:ascii="Times New Roman" w:hAnsi="Times New Roman"/>
        </w:rPr>
        <w:t>-</w:t>
      </w:r>
      <w:r w:rsidRPr="00CD53BF">
        <w:rPr>
          <w:rFonts w:ascii="Times New Roman" w:hAnsi="Times New Roman"/>
        </w:rPr>
        <w:t>2024</w:t>
      </w:r>
      <w:r>
        <w:rPr>
          <w:rFonts w:ascii="Times New Roman" w:hAnsi="Times New Roman"/>
        </w:rPr>
        <w:t xml:space="preserve">: </w:t>
      </w:r>
      <w:hyperlink r:id="rId2" w:history="1">
        <w:r w:rsidRPr="00CD53BF">
          <w:rPr>
            <w:rStyle w:val="Hyperlink"/>
            <w:rFonts w:ascii="Times New Roman" w:hAnsi="Times New Roman"/>
          </w:rPr>
          <w:t>Relațiile comerciale ale UE cu Republica Moldova (europa.eu).</w:t>
        </w:r>
      </w:hyperlink>
    </w:p>
  </w:footnote>
  <w:footnote w:id="11">
    <w:p w14:paraId="0E16BD37" w14:textId="77777777" w:rsidR="00CD53BF" w:rsidRPr="00F22D64" w:rsidRDefault="00CD53BF" w:rsidP="004B14F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Acordul central european de comerț liber (CEFTA) </w:t>
      </w:r>
      <w:r w:rsidRPr="00CD53BF">
        <w:rPr>
          <w:rFonts w:ascii="Times New Roman" w:hAnsi="Times New Roman"/>
        </w:rPr>
        <w:t>2006</w:t>
      </w:r>
      <w:r>
        <w:rPr>
          <w:rFonts w:ascii="Times New Roman" w:hAnsi="Times New Roman"/>
        </w:rPr>
        <w:t xml:space="preserve"> reunește țările din Balcanii de Vest și Republica Moldova într-o zonă comercială regională cu scopul de a liberaliza comerțul cu mărfuri și servicii în regiune. Activitatea CEFTA a fost inclusă în planul de acțiune privind piața regională comună în </w:t>
      </w:r>
      <w:r w:rsidRPr="00CD53BF">
        <w:rPr>
          <w:rFonts w:ascii="Times New Roman" w:hAnsi="Times New Roman"/>
        </w:rPr>
        <w:t>2020</w:t>
      </w:r>
      <w:r>
        <w:rPr>
          <w:rFonts w:ascii="Times New Roman" w:hAnsi="Times New Roman"/>
        </w:rPr>
        <w:t>.</w:t>
      </w:r>
    </w:p>
  </w:footnote>
  <w:footnote w:id="12">
    <w:p w14:paraId="1965A9BF" w14:textId="77777777" w:rsidR="00CD53BF" w:rsidRPr="00F253E9" w:rsidRDefault="00CD53B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prin intermediul Strategiei Uniunii Europene pentru regiunea Dunării și al Agendei maritime comune pentru Marea Neagră.</w:t>
      </w:r>
    </w:p>
  </w:footnote>
  <w:footnote w:id="13">
    <w:p w14:paraId="6C2DB1CA" w14:textId="77777777" w:rsidR="00CD53BF" w:rsidRPr="0022004F" w:rsidRDefault="00CD53BF"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w:t>
      </w:r>
      <w:r w:rsidRPr="00CD53BF">
        <w:rPr>
          <w:rFonts w:ascii="Times New Roman" w:hAnsi="Times New Roman"/>
        </w:rPr>
        <w:t>2024</w:t>
      </w:r>
      <w:r>
        <w:rPr>
          <w:rFonts w:ascii="Times New Roman" w:hAnsi="Times New Roman"/>
        </w:rPr>
        <w:t>/</w:t>
      </w:r>
      <w:r w:rsidRPr="00CD53BF">
        <w:rPr>
          <w:rFonts w:ascii="Times New Roman" w:hAnsi="Times New Roman"/>
        </w:rPr>
        <w:t>1449</w:t>
      </w:r>
      <w:r>
        <w:rPr>
          <w:rFonts w:ascii="Times New Roman" w:hAnsi="Times New Roman"/>
        </w:rPr>
        <w:t xml:space="preserve"> al Parlamentului European și al Consiliului din </w:t>
      </w:r>
      <w:r w:rsidRPr="00CD53BF">
        <w:rPr>
          <w:rFonts w:ascii="Times New Roman" w:hAnsi="Times New Roman"/>
        </w:rPr>
        <w:t>14</w:t>
      </w:r>
      <w:r>
        <w:rPr>
          <w:rFonts w:ascii="Times New Roman" w:hAnsi="Times New Roman"/>
        </w:rPr>
        <w:t xml:space="preserve"> mai </w:t>
      </w:r>
      <w:r w:rsidRPr="00CD53BF">
        <w:rPr>
          <w:rFonts w:ascii="Times New Roman" w:hAnsi="Times New Roman"/>
        </w:rPr>
        <w:t>2024</w:t>
      </w:r>
      <w:r>
        <w:rPr>
          <w:rFonts w:ascii="Times New Roman" w:hAnsi="Times New Roman"/>
        </w:rPr>
        <w:t xml:space="preserve"> privind instituirea Mecanismului de reformă și creștere pentru Balcanii de Vest.</w:t>
      </w:r>
    </w:p>
  </w:footnote>
  <w:footnote w:id="14">
    <w:p w14:paraId="300A956F" w14:textId="77777777" w:rsidR="00CD53BF" w:rsidRPr="001B690D" w:rsidRDefault="00CD53BF" w:rsidP="0073024E">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Platforma de investiții pentru politica de vecinătate este un mecanism menit să mobilizeze fonduri suplimentare pentru a finanța proiecte de infrastructură în vecinătatea estică și sudică a UE. Aceasta reunește granturi din partea UE și a statelor sale membre și le utilizează pentru a mobiliza împrumuturi de la instituțiile financiare europene, precum și contribuții din partea țărilor partenere.</w:t>
      </w:r>
    </w:p>
  </w:footnote>
  <w:footnote w:id="15">
    <w:p w14:paraId="21139154" w14:textId="77777777" w:rsidR="00CD53BF" w:rsidRPr="0022004F" w:rsidRDefault="00CD53BF"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Planul economic și de investiții a mobilizat deja </w:t>
      </w:r>
      <w:r w:rsidRPr="00CD53BF">
        <w:rPr>
          <w:rFonts w:ascii="Times New Roman" w:hAnsi="Times New Roman"/>
        </w:rPr>
        <w:t>1</w:t>
      </w:r>
      <w:r>
        <w:rPr>
          <w:rFonts w:ascii="Times New Roman" w:hAnsi="Times New Roman"/>
        </w:rPr>
        <w:t>,</w:t>
      </w:r>
      <w:r w:rsidRPr="00CD53BF">
        <w:rPr>
          <w:rFonts w:ascii="Times New Roman" w:hAnsi="Times New Roman"/>
        </w:rPr>
        <w:t>6</w:t>
      </w:r>
      <w:r>
        <w:rPr>
          <w:rFonts w:ascii="Times New Roman" w:hAnsi="Times New Roman"/>
        </w:rPr>
        <w:t xml:space="preserve"> miliarde EUR sub formă de investiții publice și private, demonstrându-și eficacitatea în ceea ce privește atragerea de resurse și consolidarea rezilienței economice.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DE7FC" w14:textId="77777777" w:rsidR="005F5C66" w:rsidRPr="005F5C66" w:rsidRDefault="005F5C66" w:rsidP="005F5C6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1CF52" w14:textId="77777777" w:rsidR="005F5C66" w:rsidRPr="005F5C66" w:rsidRDefault="005F5C66" w:rsidP="005F5C6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E77DF" w14:textId="77777777" w:rsidR="005F5C66" w:rsidRPr="005F5C66" w:rsidRDefault="005F5C66" w:rsidP="005F5C6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0AE8C" w14:textId="77777777" w:rsidR="004E3DBA" w:rsidRDefault="004E3D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237A3" w14:textId="77777777" w:rsidR="004E3DBA" w:rsidRDefault="004E3D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E638" w14:textId="77777777" w:rsidR="004E3DBA" w:rsidRDefault="004E3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47B6B"/>
    <w:multiLevelType w:val="hybridMultilevel"/>
    <w:tmpl w:val="28525AC2"/>
    <w:lvl w:ilvl="0" w:tplc="2C88E868">
      <w:start w:val="1"/>
      <w:numFmt w:val="decimal"/>
      <w:lvlText w:val="%1)"/>
      <w:lvlJc w:val="left"/>
      <w:pPr>
        <w:ind w:left="1020" w:hanging="360"/>
      </w:pPr>
    </w:lvl>
    <w:lvl w:ilvl="1" w:tplc="8BDAD520">
      <w:start w:val="1"/>
      <w:numFmt w:val="decimal"/>
      <w:lvlText w:val="%2)"/>
      <w:lvlJc w:val="left"/>
      <w:pPr>
        <w:ind w:left="1020" w:hanging="360"/>
      </w:pPr>
    </w:lvl>
    <w:lvl w:ilvl="2" w:tplc="C0CAABB4">
      <w:start w:val="1"/>
      <w:numFmt w:val="decimal"/>
      <w:lvlText w:val="%3)"/>
      <w:lvlJc w:val="left"/>
      <w:pPr>
        <w:ind w:left="1020" w:hanging="360"/>
      </w:pPr>
    </w:lvl>
    <w:lvl w:ilvl="3" w:tplc="ACD4ED8E">
      <w:start w:val="1"/>
      <w:numFmt w:val="decimal"/>
      <w:lvlText w:val="%4)"/>
      <w:lvlJc w:val="left"/>
      <w:pPr>
        <w:ind w:left="1020" w:hanging="360"/>
      </w:pPr>
    </w:lvl>
    <w:lvl w:ilvl="4" w:tplc="0466F770">
      <w:start w:val="1"/>
      <w:numFmt w:val="decimal"/>
      <w:lvlText w:val="%5)"/>
      <w:lvlJc w:val="left"/>
      <w:pPr>
        <w:ind w:left="1020" w:hanging="360"/>
      </w:pPr>
    </w:lvl>
    <w:lvl w:ilvl="5" w:tplc="05BA1192">
      <w:start w:val="1"/>
      <w:numFmt w:val="decimal"/>
      <w:lvlText w:val="%6)"/>
      <w:lvlJc w:val="left"/>
      <w:pPr>
        <w:ind w:left="1020" w:hanging="360"/>
      </w:pPr>
    </w:lvl>
    <w:lvl w:ilvl="6" w:tplc="529A41DC">
      <w:start w:val="1"/>
      <w:numFmt w:val="decimal"/>
      <w:lvlText w:val="%7)"/>
      <w:lvlJc w:val="left"/>
      <w:pPr>
        <w:ind w:left="1020" w:hanging="360"/>
      </w:pPr>
    </w:lvl>
    <w:lvl w:ilvl="7" w:tplc="295C32C2">
      <w:start w:val="1"/>
      <w:numFmt w:val="decimal"/>
      <w:lvlText w:val="%8)"/>
      <w:lvlJc w:val="left"/>
      <w:pPr>
        <w:ind w:left="1020" w:hanging="360"/>
      </w:pPr>
    </w:lvl>
    <w:lvl w:ilvl="8" w:tplc="A434039C">
      <w:start w:val="1"/>
      <w:numFmt w:val="decimal"/>
      <w:lvlText w:val="%9)"/>
      <w:lvlJc w:val="left"/>
      <w:pPr>
        <w:ind w:left="1020" w:hanging="360"/>
      </w:pPr>
    </w:lvl>
  </w:abstractNum>
  <w:abstractNum w:abstractNumId="1" w15:restartNumberingAfterBreak="0">
    <w:nsid w:val="164A3E12"/>
    <w:multiLevelType w:val="hybridMultilevel"/>
    <w:tmpl w:val="72C0AB6C"/>
    <w:lvl w:ilvl="0" w:tplc="E2F8CF8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416B95"/>
    <w:multiLevelType w:val="hybridMultilevel"/>
    <w:tmpl w:val="D5FCE502"/>
    <w:lvl w:ilvl="0" w:tplc="1809000F">
      <w:start w:val="1"/>
      <w:numFmt w:val="decimal"/>
      <w:lvlText w:val="%1."/>
      <w:lvlJc w:val="left"/>
      <w:pPr>
        <w:ind w:left="720" w:hanging="360"/>
      </w:pPr>
      <w:rPr>
        <w:rFonts w:hint="default"/>
      </w:rPr>
    </w:lvl>
    <w:lvl w:ilvl="1" w:tplc="FA5E8006">
      <w:start w:val="1"/>
      <w:numFmt w:val="lowerRoman"/>
      <w:lvlText w:val="(%2)"/>
      <w:lvlJc w:val="left"/>
      <w:pPr>
        <w:ind w:left="1485" w:hanging="405"/>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4B02A42"/>
    <w:multiLevelType w:val="hybridMultilevel"/>
    <w:tmpl w:val="FFFFFFFF"/>
    <w:lvl w:ilvl="0" w:tplc="C994C10E">
      <w:start w:val="1"/>
      <w:numFmt w:val="bullet"/>
      <w:lvlText w:val="·"/>
      <w:lvlJc w:val="left"/>
      <w:pPr>
        <w:ind w:left="720" w:hanging="360"/>
      </w:pPr>
      <w:rPr>
        <w:rFonts w:ascii="Symbol" w:hAnsi="Symbol" w:hint="default"/>
      </w:rPr>
    </w:lvl>
    <w:lvl w:ilvl="1" w:tplc="B288BDCC">
      <w:start w:val="1"/>
      <w:numFmt w:val="bullet"/>
      <w:lvlText w:val="o"/>
      <w:lvlJc w:val="left"/>
      <w:pPr>
        <w:ind w:left="1440" w:hanging="360"/>
      </w:pPr>
      <w:rPr>
        <w:rFonts w:ascii="Courier New" w:hAnsi="Courier New" w:hint="default"/>
      </w:rPr>
    </w:lvl>
    <w:lvl w:ilvl="2" w:tplc="F40281CE">
      <w:start w:val="1"/>
      <w:numFmt w:val="bullet"/>
      <w:lvlText w:val=""/>
      <w:lvlJc w:val="left"/>
      <w:pPr>
        <w:ind w:left="2160" w:hanging="360"/>
      </w:pPr>
      <w:rPr>
        <w:rFonts w:ascii="Wingdings" w:hAnsi="Wingdings" w:hint="default"/>
      </w:rPr>
    </w:lvl>
    <w:lvl w:ilvl="3" w:tplc="616023EE">
      <w:start w:val="1"/>
      <w:numFmt w:val="bullet"/>
      <w:lvlText w:val=""/>
      <w:lvlJc w:val="left"/>
      <w:pPr>
        <w:ind w:left="2880" w:hanging="360"/>
      </w:pPr>
      <w:rPr>
        <w:rFonts w:ascii="Symbol" w:hAnsi="Symbol" w:hint="default"/>
      </w:rPr>
    </w:lvl>
    <w:lvl w:ilvl="4" w:tplc="ABAA0C90">
      <w:start w:val="1"/>
      <w:numFmt w:val="bullet"/>
      <w:lvlText w:val="o"/>
      <w:lvlJc w:val="left"/>
      <w:pPr>
        <w:ind w:left="3600" w:hanging="360"/>
      </w:pPr>
      <w:rPr>
        <w:rFonts w:ascii="Courier New" w:hAnsi="Courier New" w:hint="default"/>
      </w:rPr>
    </w:lvl>
    <w:lvl w:ilvl="5" w:tplc="724439F0">
      <w:start w:val="1"/>
      <w:numFmt w:val="bullet"/>
      <w:lvlText w:val=""/>
      <w:lvlJc w:val="left"/>
      <w:pPr>
        <w:ind w:left="4320" w:hanging="360"/>
      </w:pPr>
      <w:rPr>
        <w:rFonts w:ascii="Wingdings" w:hAnsi="Wingdings" w:hint="default"/>
      </w:rPr>
    </w:lvl>
    <w:lvl w:ilvl="6" w:tplc="338C1352">
      <w:start w:val="1"/>
      <w:numFmt w:val="bullet"/>
      <w:lvlText w:val=""/>
      <w:lvlJc w:val="left"/>
      <w:pPr>
        <w:ind w:left="5040" w:hanging="360"/>
      </w:pPr>
      <w:rPr>
        <w:rFonts w:ascii="Symbol" w:hAnsi="Symbol" w:hint="default"/>
      </w:rPr>
    </w:lvl>
    <w:lvl w:ilvl="7" w:tplc="9EEA1B72">
      <w:start w:val="1"/>
      <w:numFmt w:val="bullet"/>
      <w:lvlText w:val="o"/>
      <w:lvlJc w:val="left"/>
      <w:pPr>
        <w:ind w:left="5760" w:hanging="360"/>
      </w:pPr>
      <w:rPr>
        <w:rFonts w:ascii="Courier New" w:hAnsi="Courier New" w:hint="default"/>
      </w:rPr>
    </w:lvl>
    <w:lvl w:ilvl="8" w:tplc="68A2A4BE">
      <w:start w:val="1"/>
      <w:numFmt w:val="bullet"/>
      <w:lvlText w:val=""/>
      <w:lvlJc w:val="left"/>
      <w:pPr>
        <w:ind w:left="6480" w:hanging="360"/>
      </w:pPr>
      <w:rPr>
        <w:rFonts w:ascii="Wingdings" w:hAnsi="Wingdings" w:hint="default"/>
      </w:rPr>
    </w:lvl>
  </w:abstractNum>
  <w:abstractNum w:abstractNumId="4" w15:restartNumberingAfterBreak="0">
    <w:nsid w:val="3386683B"/>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8872A9"/>
    <w:multiLevelType w:val="hybridMultilevel"/>
    <w:tmpl w:val="24BEFD20"/>
    <w:lvl w:ilvl="0" w:tplc="42E22852">
      <w:start w:val="1"/>
      <w:numFmt w:val="decimal"/>
      <w:lvlText w:val="%1)"/>
      <w:lvlJc w:val="left"/>
      <w:pPr>
        <w:ind w:left="720" w:hanging="360"/>
      </w:pPr>
    </w:lvl>
    <w:lvl w:ilvl="1" w:tplc="561E3444">
      <w:start w:val="1"/>
      <w:numFmt w:val="decimal"/>
      <w:lvlText w:val="%2)"/>
      <w:lvlJc w:val="left"/>
      <w:pPr>
        <w:ind w:left="720" w:hanging="360"/>
      </w:pPr>
    </w:lvl>
    <w:lvl w:ilvl="2" w:tplc="67D838B2">
      <w:start w:val="1"/>
      <w:numFmt w:val="decimal"/>
      <w:lvlText w:val="%3)"/>
      <w:lvlJc w:val="left"/>
      <w:pPr>
        <w:ind w:left="720" w:hanging="360"/>
      </w:pPr>
    </w:lvl>
    <w:lvl w:ilvl="3" w:tplc="95263714">
      <w:start w:val="1"/>
      <w:numFmt w:val="decimal"/>
      <w:lvlText w:val="%4)"/>
      <w:lvlJc w:val="left"/>
      <w:pPr>
        <w:ind w:left="720" w:hanging="360"/>
      </w:pPr>
    </w:lvl>
    <w:lvl w:ilvl="4" w:tplc="62F267D8">
      <w:start w:val="1"/>
      <w:numFmt w:val="decimal"/>
      <w:lvlText w:val="%5)"/>
      <w:lvlJc w:val="left"/>
      <w:pPr>
        <w:ind w:left="720" w:hanging="360"/>
      </w:pPr>
    </w:lvl>
    <w:lvl w:ilvl="5" w:tplc="269222F4">
      <w:start w:val="1"/>
      <w:numFmt w:val="decimal"/>
      <w:lvlText w:val="%6)"/>
      <w:lvlJc w:val="left"/>
      <w:pPr>
        <w:ind w:left="720" w:hanging="360"/>
      </w:pPr>
    </w:lvl>
    <w:lvl w:ilvl="6" w:tplc="54CEEE9A">
      <w:start w:val="1"/>
      <w:numFmt w:val="decimal"/>
      <w:lvlText w:val="%7)"/>
      <w:lvlJc w:val="left"/>
      <w:pPr>
        <w:ind w:left="720" w:hanging="360"/>
      </w:pPr>
    </w:lvl>
    <w:lvl w:ilvl="7" w:tplc="0EE84DC4">
      <w:start w:val="1"/>
      <w:numFmt w:val="decimal"/>
      <w:lvlText w:val="%8)"/>
      <w:lvlJc w:val="left"/>
      <w:pPr>
        <w:ind w:left="720" w:hanging="360"/>
      </w:pPr>
    </w:lvl>
    <w:lvl w:ilvl="8" w:tplc="E75A0E24">
      <w:start w:val="1"/>
      <w:numFmt w:val="decimal"/>
      <w:lvlText w:val="%9)"/>
      <w:lvlJc w:val="left"/>
      <w:pPr>
        <w:ind w:left="720" w:hanging="360"/>
      </w:pPr>
    </w:lvl>
  </w:abstractNum>
  <w:abstractNum w:abstractNumId="6" w15:restartNumberingAfterBreak="0">
    <w:nsid w:val="54A03461"/>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6D37EA"/>
    <w:multiLevelType w:val="hybridMultilevel"/>
    <w:tmpl w:val="2EEC9A82"/>
    <w:lvl w:ilvl="0" w:tplc="137CE17C">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0766DF"/>
    <w:multiLevelType w:val="hybridMultilevel"/>
    <w:tmpl w:val="DCE4D528"/>
    <w:lvl w:ilvl="0" w:tplc="137CE17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B92375B"/>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9703B21"/>
    <w:multiLevelType w:val="hybridMultilevel"/>
    <w:tmpl w:val="49967E48"/>
    <w:lvl w:ilvl="0" w:tplc="0DAAB35A">
      <w:start w:val="1"/>
      <w:numFmt w:val="decimal"/>
      <w:lvlText w:val="%1)"/>
      <w:lvlJc w:val="left"/>
      <w:pPr>
        <w:ind w:left="786"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CCC2D90"/>
    <w:multiLevelType w:val="hybridMultilevel"/>
    <w:tmpl w:val="743A4C0A"/>
    <w:lvl w:ilvl="0" w:tplc="6EAC4AA2">
      <w:start w:val="1"/>
      <w:numFmt w:val="decimal"/>
      <w:lvlText w:val="%1)"/>
      <w:lvlJc w:val="left"/>
      <w:pPr>
        <w:ind w:left="720" w:hanging="360"/>
      </w:pPr>
    </w:lvl>
    <w:lvl w:ilvl="1" w:tplc="9BFA53FA">
      <w:start w:val="1"/>
      <w:numFmt w:val="decimal"/>
      <w:lvlText w:val="%2)"/>
      <w:lvlJc w:val="left"/>
      <w:pPr>
        <w:ind w:left="720" w:hanging="360"/>
      </w:pPr>
    </w:lvl>
    <w:lvl w:ilvl="2" w:tplc="17A0D998">
      <w:start w:val="1"/>
      <w:numFmt w:val="decimal"/>
      <w:lvlText w:val="%3)"/>
      <w:lvlJc w:val="left"/>
      <w:pPr>
        <w:ind w:left="720" w:hanging="360"/>
      </w:pPr>
    </w:lvl>
    <w:lvl w:ilvl="3" w:tplc="289665B8">
      <w:start w:val="1"/>
      <w:numFmt w:val="decimal"/>
      <w:lvlText w:val="%4)"/>
      <w:lvlJc w:val="left"/>
      <w:pPr>
        <w:ind w:left="720" w:hanging="360"/>
      </w:pPr>
    </w:lvl>
    <w:lvl w:ilvl="4" w:tplc="AC6651C2">
      <w:start w:val="1"/>
      <w:numFmt w:val="decimal"/>
      <w:lvlText w:val="%5)"/>
      <w:lvlJc w:val="left"/>
      <w:pPr>
        <w:ind w:left="720" w:hanging="360"/>
      </w:pPr>
    </w:lvl>
    <w:lvl w:ilvl="5" w:tplc="F3DCD908">
      <w:start w:val="1"/>
      <w:numFmt w:val="decimal"/>
      <w:lvlText w:val="%6)"/>
      <w:lvlJc w:val="left"/>
      <w:pPr>
        <w:ind w:left="720" w:hanging="360"/>
      </w:pPr>
    </w:lvl>
    <w:lvl w:ilvl="6" w:tplc="92A8A61E">
      <w:start w:val="1"/>
      <w:numFmt w:val="decimal"/>
      <w:lvlText w:val="%7)"/>
      <w:lvlJc w:val="left"/>
      <w:pPr>
        <w:ind w:left="720" w:hanging="360"/>
      </w:pPr>
    </w:lvl>
    <w:lvl w:ilvl="7" w:tplc="5CE89A96">
      <w:start w:val="1"/>
      <w:numFmt w:val="decimal"/>
      <w:lvlText w:val="%8)"/>
      <w:lvlJc w:val="left"/>
      <w:pPr>
        <w:ind w:left="720" w:hanging="360"/>
      </w:pPr>
    </w:lvl>
    <w:lvl w:ilvl="8" w:tplc="E0AE1210">
      <w:start w:val="1"/>
      <w:numFmt w:val="decimal"/>
      <w:lvlText w:val="%9)"/>
      <w:lvlJc w:val="left"/>
      <w:pPr>
        <w:ind w:left="720" w:hanging="360"/>
      </w:pPr>
    </w:lvl>
  </w:abstractNum>
  <w:abstractNum w:abstractNumId="12" w15:restartNumberingAfterBreak="0">
    <w:nsid w:val="6F107CDB"/>
    <w:multiLevelType w:val="hybridMultilevel"/>
    <w:tmpl w:val="5F56BC3E"/>
    <w:lvl w:ilvl="0" w:tplc="18B2A73E">
      <w:start w:val="1"/>
      <w:numFmt w:val="decimal"/>
      <w:lvlText w:val="%1."/>
      <w:lvlJc w:val="left"/>
      <w:pPr>
        <w:ind w:left="720" w:hanging="360"/>
      </w:pPr>
    </w:lvl>
    <w:lvl w:ilvl="1" w:tplc="9A2623B6">
      <w:start w:val="1"/>
      <w:numFmt w:val="decimal"/>
      <w:lvlText w:val="%2."/>
      <w:lvlJc w:val="left"/>
      <w:pPr>
        <w:ind w:left="720" w:hanging="360"/>
      </w:pPr>
    </w:lvl>
    <w:lvl w:ilvl="2" w:tplc="4066FF7C">
      <w:start w:val="1"/>
      <w:numFmt w:val="decimal"/>
      <w:lvlText w:val="%3."/>
      <w:lvlJc w:val="left"/>
      <w:pPr>
        <w:ind w:left="720" w:hanging="360"/>
      </w:pPr>
    </w:lvl>
    <w:lvl w:ilvl="3" w:tplc="BDAADD76">
      <w:start w:val="1"/>
      <w:numFmt w:val="decimal"/>
      <w:lvlText w:val="%4."/>
      <w:lvlJc w:val="left"/>
      <w:pPr>
        <w:ind w:left="720" w:hanging="360"/>
      </w:pPr>
    </w:lvl>
    <w:lvl w:ilvl="4" w:tplc="B9EE93D2">
      <w:start w:val="1"/>
      <w:numFmt w:val="decimal"/>
      <w:lvlText w:val="%5."/>
      <w:lvlJc w:val="left"/>
      <w:pPr>
        <w:ind w:left="720" w:hanging="360"/>
      </w:pPr>
    </w:lvl>
    <w:lvl w:ilvl="5" w:tplc="4A7CDBCC">
      <w:start w:val="1"/>
      <w:numFmt w:val="decimal"/>
      <w:lvlText w:val="%6."/>
      <w:lvlJc w:val="left"/>
      <w:pPr>
        <w:ind w:left="720" w:hanging="360"/>
      </w:pPr>
    </w:lvl>
    <w:lvl w:ilvl="6" w:tplc="BCCC6D2A">
      <w:start w:val="1"/>
      <w:numFmt w:val="decimal"/>
      <w:lvlText w:val="%7."/>
      <w:lvlJc w:val="left"/>
      <w:pPr>
        <w:ind w:left="720" w:hanging="360"/>
      </w:pPr>
    </w:lvl>
    <w:lvl w:ilvl="7" w:tplc="5D141F4C">
      <w:start w:val="1"/>
      <w:numFmt w:val="decimal"/>
      <w:lvlText w:val="%8."/>
      <w:lvlJc w:val="left"/>
      <w:pPr>
        <w:ind w:left="720" w:hanging="360"/>
      </w:pPr>
    </w:lvl>
    <w:lvl w:ilvl="8" w:tplc="2932EB80">
      <w:start w:val="1"/>
      <w:numFmt w:val="decimal"/>
      <w:lvlText w:val="%9."/>
      <w:lvlJc w:val="left"/>
      <w:pPr>
        <w:ind w:left="720" w:hanging="360"/>
      </w:pPr>
    </w:lvl>
  </w:abstractNum>
  <w:abstractNum w:abstractNumId="13" w15:restartNumberingAfterBreak="0">
    <w:nsid w:val="705368AC"/>
    <w:multiLevelType w:val="hybridMultilevel"/>
    <w:tmpl w:val="D314479E"/>
    <w:lvl w:ilvl="0" w:tplc="D626231E">
      <w:start w:val="1"/>
      <w:numFmt w:val="bullet"/>
      <w:lvlText w:val=""/>
      <w:lvlJc w:val="left"/>
      <w:pPr>
        <w:ind w:left="720" w:hanging="360"/>
      </w:pPr>
      <w:rPr>
        <w:rFonts w:ascii="Symbol" w:hAnsi="Symbol"/>
      </w:rPr>
    </w:lvl>
    <w:lvl w:ilvl="1" w:tplc="AEBCCEE2">
      <w:start w:val="1"/>
      <w:numFmt w:val="bullet"/>
      <w:lvlText w:val=""/>
      <w:lvlJc w:val="left"/>
      <w:pPr>
        <w:ind w:left="720" w:hanging="360"/>
      </w:pPr>
      <w:rPr>
        <w:rFonts w:ascii="Symbol" w:hAnsi="Symbol"/>
      </w:rPr>
    </w:lvl>
    <w:lvl w:ilvl="2" w:tplc="31F26FE0">
      <w:start w:val="1"/>
      <w:numFmt w:val="bullet"/>
      <w:lvlText w:val=""/>
      <w:lvlJc w:val="left"/>
      <w:pPr>
        <w:ind w:left="720" w:hanging="360"/>
      </w:pPr>
      <w:rPr>
        <w:rFonts w:ascii="Symbol" w:hAnsi="Symbol"/>
      </w:rPr>
    </w:lvl>
    <w:lvl w:ilvl="3" w:tplc="4AB45A2C">
      <w:start w:val="1"/>
      <w:numFmt w:val="bullet"/>
      <w:lvlText w:val=""/>
      <w:lvlJc w:val="left"/>
      <w:pPr>
        <w:ind w:left="720" w:hanging="360"/>
      </w:pPr>
      <w:rPr>
        <w:rFonts w:ascii="Symbol" w:hAnsi="Symbol"/>
      </w:rPr>
    </w:lvl>
    <w:lvl w:ilvl="4" w:tplc="C5CCB7F6">
      <w:start w:val="1"/>
      <w:numFmt w:val="bullet"/>
      <w:lvlText w:val=""/>
      <w:lvlJc w:val="left"/>
      <w:pPr>
        <w:ind w:left="720" w:hanging="360"/>
      </w:pPr>
      <w:rPr>
        <w:rFonts w:ascii="Symbol" w:hAnsi="Symbol"/>
      </w:rPr>
    </w:lvl>
    <w:lvl w:ilvl="5" w:tplc="0EFAFA98">
      <w:start w:val="1"/>
      <w:numFmt w:val="bullet"/>
      <w:lvlText w:val=""/>
      <w:lvlJc w:val="left"/>
      <w:pPr>
        <w:ind w:left="720" w:hanging="360"/>
      </w:pPr>
      <w:rPr>
        <w:rFonts w:ascii="Symbol" w:hAnsi="Symbol"/>
      </w:rPr>
    </w:lvl>
    <w:lvl w:ilvl="6" w:tplc="3F98F4FE">
      <w:start w:val="1"/>
      <w:numFmt w:val="bullet"/>
      <w:lvlText w:val=""/>
      <w:lvlJc w:val="left"/>
      <w:pPr>
        <w:ind w:left="720" w:hanging="360"/>
      </w:pPr>
      <w:rPr>
        <w:rFonts w:ascii="Symbol" w:hAnsi="Symbol"/>
      </w:rPr>
    </w:lvl>
    <w:lvl w:ilvl="7" w:tplc="669AAB40">
      <w:start w:val="1"/>
      <w:numFmt w:val="bullet"/>
      <w:lvlText w:val=""/>
      <w:lvlJc w:val="left"/>
      <w:pPr>
        <w:ind w:left="720" w:hanging="360"/>
      </w:pPr>
      <w:rPr>
        <w:rFonts w:ascii="Symbol" w:hAnsi="Symbol"/>
      </w:rPr>
    </w:lvl>
    <w:lvl w:ilvl="8" w:tplc="64603E80">
      <w:start w:val="1"/>
      <w:numFmt w:val="bullet"/>
      <w:lvlText w:val=""/>
      <w:lvlJc w:val="left"/>
      <w:pPr>
        <w:ind w:left="720" w:hanging="360"/>
      </w:pPr>
      <w:rPr>
        <w:rFonts w:ascii="Symbol" w:hAnsi="Symbol"/>
      </w:rPr>
    </w:lvl>
  </w:abstractNum>
  <w:abstractNum w:abstractNumId="14" w15:restartNumberingAfterBreak="0">
    <w:nsid w:val="71186AB5"/>
    <w:multiLevelType w:val="hybridMultilevel"/>
    <w:tmpl w:val="F0EC1B8E"/>
    <w:lvl w:ilvl="0" w:tplc="5F0606E2">
      <w:start w:val="1"/>
      <w:numFmt w:val="decimal"/>
      <w:lvlText w:val="%1)"/>
      <w:lvlJc w:val="left"/>
      <w:pPr>
        <w:ind w:left="1020" w:hanging="360"/>
      </w:pPr>
    </w:lvl>
    <w:lvl w:ilvl="1" w:tplc="850A44E8">
      <w:start w:val="1"/>
      <w:numFmt w:val="decimal"/>
      <w:lvlText w:val="%2)"/>
      <w:lvlJc w:val="left"/>
      <w:pPr>
        <w:ind w:left="1020" w:hanging="360"/>
      </w:pPr>
    </w:lvl>
    <w:lvl w:ilvl="2" w:tplc="DA707F80">
      <w:start w:val="1"/>
      <w:numFmt w:val="decimal"/>
      <w:lvlText w:val="%3)"/>
      <w:lvlJc w:val="left"/>
      <w:pPr>
        <w:ind w:left="1020" w:hanging="360"/>
      </w:pPr>
    </w:lvl>
    <w:lvl w:ilvl="3" w:tplc="D0D4E646">
      <w:start w:val="1"/>
      <w:numFmt w:val="decimal"/>
      <w:lvlText w:val="%4)"/>
      <w:lvlJc w:val="left"/>
      <w:pPr>
        <w:ind w:left="1020" w:hanging="360"/>
      </w:pPr>
    </w:lvl>
    <w:lvl w:ilvl="4" w:tplc="A5E030B4">
      <w:start w:val="1"/>
      <w:numFmt w:val="decimal"/>
      <w:lvlText w:val="%5)"/>
      <w:lvlJc w:val="left"/>
      <w:pPr>
        <w:ind w:left="1020" w:hanging="360"/>
      </w:pPr>
    </w:lvl>
    <w:lvl w:ilvl="5" w:tplc="C3E82D92">
      <w:start w:val="1"/>
      <w:numFmt w:val="decimal"/>
      <w:lvlText w:val="%6)"/>
      <w:lvlJc w:val="left"/>
      <w:pPr>
        <w:ind w:left="1020" w:hanging="360"/>
      </w:pPr>
    </w:lvl>
    <w:lvl w:ilvl="6" w:tplc="C0AC33FE">
      <w:start w:val="1"/>
      <w:numFmt w:val="decimal"/>
      <w:lvlText w:val="%7)"/>
      <w:lvlJc w:val="left"/>
      <w:pPr>
        <w:ind w:left="1020" w:hanging="360"/>
      </w:pPr>
    </w:lvl>
    <w:lvl w:ilvl="7" w:tplc="F31C4126">
      <w:start w:val="1"/>
      <w:numFmt w:val="decimal"/>
      <w:lvlText w:val="%8)"/>
      <w:lvlJc w:val="left"/>
      <w:pPr>
        <w:ind w:left="1020" w:hanging="360"/>
      </w:pPr>
    </w:lvl>
    <w:lvl w:ilvl="8" w:tplc="B6AEEA66">
      <w:start w:val="1"/>
      <w:numFmt w:val="decimal"/>
      <w:lvlText w:val="%9)"/>
      <w:lvlJc w:val="left"/>
      <w:pPr>
        <w:ind w:left="1020" w:hanging="360"/>
      </w:pPr>
    </w:lvl>
  </w:abstractNum>
  <w:abstractNum w:abstractNumId="15" w15:restartNumberingAfterBreak="0">
    <w:nsid w:val="7CD1240C"/>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8"/>
  </w:num>
  <w:num w:numId="3">
    <w:abstractNumId w:val="15"/>
  </w:num>
  <w:num w:numId="4">
    <w:abstractNumId w:val="9"/>
  </w:num>
  <w:num w:numId="5">
    <w:abstractNumId w:val="4"/>
  </w:num>
  <w:num w:numId="6">
    <w:abstractNumId w:val="2"/>
  </w:num>
  <w:num w:numId="7">
    <w:abstractNumId w:val="1"/>
  </w:num>
  <w:num w:numId="8">
    <w:abstractNumId w:val="12"/>
  </w:num>
  <w:num w:numId="9">
    <w:abstractNumId w:val="6"/>
  </w:num>
  <w:num w:numId="10">
    <w:abstractNumId w:val="13"/>
  </w:num>
  <w:num w:numId="11">
    <w:abstractNumId w:val="11"/>
  </w:num>
  <w:num w:numId="12">
    <w:abstractNumId w:val="7"/>
  </w:num>
  <w:num w:numId="13">
    <w:abstractNumId w:val="5"/>
  </w:num>
  <w:num w:numId="14">
    <w:abstractNumId w:val="0"/>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A6B2E66-9F87-4D51-86CB-BD431E5512F9"/>
    <w:docVar w:name="LW_COVERPAGE_TYPE" w:val="1"/>
    <w:docVar w:name="LW_CROSSREFERENCE" w:val="&lt;UNUSED&gt;"/>
    <w:docVar w:name="LW_DocType" w:val="NORMAL"/>
    <w:docVar w:name="LW_EMISSION" w:val="9.10.2024"/>
    <w:docVar w:name="LW_EMISSION_ISODATE" w:val="2024-10-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4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unicare privind Planul de cre\u537?tere pentru Republica Moldova"/>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A77699"/>
    <w:rsid w:val="00000200"/>
    <w:rsid w:val="000002DA"/>
    <w:rsid w:val="0000067D"/>
    <w:rsid w:val="000011D7"/>
    <w:rsid w:val="000016BC"/>
    <w:rsid w:val="00001825"/>
    <w:rsid w:val="00002C71"/>
    <w:rsid w:val="00002E3C"/>
    <w:rsid w:val="00002EEB"/>
    <w:rsid w:val="00002F74"/>
    <w:rsid w:val="00003780"/>
    <w:rsid w:val="0000378E"/>
    <w:rsid w:val="000042E8"/>
    <w:rsid w:val="0000437A"/>
    <w:rsid w:val="0000496C"/>
    <w:rsid w:val="0000530B"/>
    <w:rsid w:val="0000630A"/>
    <w:rsid w:val="000076B0"/>
    <w:rsid w:val="00007B89"/>
    <w:rsid w:val="00010250"/>
    <w:rsid w:val="00010753"/>
    <w:rsid w:val="00010D76"/>
    <w:rsid w:val="000111AB"/>
    <w:rsid w:val="00011ED2"/>
    <w:rsid w:val="00012020"/>
    <w:rsid w:val="00012FAC"/>
    <w:rsid w:val="000141E8"/>
    <w:rsid w:val="00014248"/>
    <w:rsid w:val="00014C16"/>
    <w:rsid w:val="00015DE7"/>
    <w:rsid w:val="000163EA"/>
    <w:rsid w:val="00016D1A"/>
    <w:rsid w:val="000170BE"/>
    <w:rsid w:val="00020B46"/>
    <w:rsid w:val="00021B45"/>
    <w:rsid w:val="00021E0D"/>
    <w:rsid w:val="0002202B"/>
    <w:rsid w:val="00022585"/>
    <w:rsid w:val="0002361F"/>
    <w:rsid w:val="000242BE"/>
    <w:rsid w:val="00024C5D"/>
    <w:rsid w:val="00025FBF"/>
    <w:rsid w:val="00026179"/>
    <w:rsid w:val="000263C4"/>
    <w:rsid w:val="00026B1A"/>
    <w:rsid w:val="00026C08"/>
    <w:rsid w:val="00030818"/>
    <w:rsid w:val="00030BA4"/>
    <w:rsid w:val="0003133D"/>
    <w:rsid w:val="000325D4"/>
    <w:rsid w:val="00032A43"/>
    <w:rsid w:val="0003304F"/>
    <w:rsid w:val="00033BBF"/>
    <w:rsid w:val="00033FEB"/>
    <w:rsid w:val="00034342"/>
    <w:rsid w:val="00034444"/>
    <w:rsid w:val="00035452"/>
    <w:rsid w:val="0003624D"/>
    <w:rsid w:val="00036F80"/>
    <w:rsid w:val="00036F8A"/>
    <w:rsid w:val="000409CC"/>
    <w:rsid w:val="00040F05"/>
    <w:rsid w:val="0004348A"/>
    <w:rsid w:val="00044451"/>
    <w:rsid w:val="00044E36"/>
    <w:rsid w:val="0004549E"/>
    <w:rsid w:val="000461F1"/>
    <w:rsid w:val="0004789D"/>
    <w:rsid w:val="00047DCB"/>
    <w:rsid w:val="0005033A"/>
    <w:rsid w:val="000522A5"/>
    <w:rsid w:val="00052C47"/>
    <w:rsid w:val="000532C9"/>
    <w:rsid w:val="00053BB2"/>
    <w:rsid w:val="00053FEF"/>
    <w:rsid w:val="00054D36"/>
    <w:rsid w:val="00055DC9"/>
    <w:rsid w:val="00056A88"/>
    <w:rsid w:val="000578C9"/>
    <w:rsid w:val="00060B98"/>
    <w:rsid w:val="00061829"/>
    <w:rsid w:val="00062882"/>
    <w:rsid w:val="00062E19"/>
    <w:rsid w:val="0006492D"/>
    <w:rsid w:val="00065832"/>
    <w:rsid w:val="00065E9C"/>
    <w:rsid w:val="0007053C"/>
    <w:rsid w:val="000707A8"/>
    <w:rsid w:val="00071C72"/>
    <w:rsid w:val="00071DEF"/>
    <w:rsid w:val="0007211E"/>
    <w:rsid w:val="000723AF"/>
    <w:rsid w:val="00072488"/>
    <w:rsid w:val="000730A1"/>
    <w:rsid w:val="00073804"/>
    <w:rsid w:val="000747A6"/>
    <w:rsid w:val="0007691E"/>
    <w:rsid w:val="00076AE4"/>
    <w:rsid w:val="000772F7"/>
    <w:rsid w:val="000802F2"/>
    <w:rsid w:val="00080531"/>
    <w:rsid w:val="0008126B"/>
    <w:rsid w:val="00081A62"/>
    <w:rsid w:val="00081C41"/>
    <w:rsid w:val="00081D88"/>
    <w:rsid w:val="00082746"/>
    <w:rsid w:val="00082E2C"/>
    <w:rsid w:val="00082EC6"/>
    <w:rsid w:val="00082F51"/>
    <w:rsid w:val="0008391C"/>
    <w:rsid w:val="00084302"/>
    <w:rsid w:val="000844CA"/>
    <w:rsid w:val="00084B74"/>
    <w:rsid w:val="00084EE9"/>
    <w:rsid w:val="000856DE"/>
    <w:rsid w:val="00085770"/>
    <w:rsid w:val="00086109"/>
    <w:rsid w:val="00086497"/>
    <w:rsid w:val="0008678D"/>
    <w:rsid w:val="000901B3"/>
    <w:rsid w:val="000906AE"/>
    <w:rsid w:val="00090840"/>
    <w:rsid w:val="0009099B"/>
    <w:rsid w:val="00090BF2"/>
    <w:rsid w:val="000916C3"/>
    <w:rsid w:val="0009222C"/>
    <w:rsid w:val="000922C0"/>
    <w:rsid w:val="00092704"/>
    <w:rsid w:val="000927A6"/>
    <w:rsid w:val="000934CB"/>
    <w:rsid w:val="00093DA5"/>
    <w:rsid w:val="000940FA"/>
    <w:rsid w:val="0009473A"/>
    <w:rsid w:val="00094C22"/>
    <w:rsid w:val="00094CAF"/>
    <w:rsid w:val="00094E33"/>
    <w:rsid w:val="00095971"/>
    <w:rsid w:val="00095A69"/>
    <w:rsid w:val="00096986"/>
    <w:rsid w:val="00096AB2"/>
    <w:rsid w:val="00096BC2"/>
    <w:rsid w:val="00096E62"/>
    <w:rsid w:val="000A0A34"/>
    <w:rsid w:val="000A0BAB"/>
    <w:rsid w:val="000A2711"/>
    <w:rsid w:val="000A3D4D"/>
    <w:rsid w:val="000A4B90"/>
    <w:rsid w:val="000A5246"/>
    <w:rsid w:val="000A6088"/>
    <w:rsid w:val="000A6F91"/>
    <w:rsid w:val="000A72C7"/>
    <w:rsid w:val="000B0254"/>
    <w:rsid w:val="000B0BB5"/>
    <w:rsid w:val="000B0CDA"/>
    <w:rsid w:val="000B14F2"/>
    <w:rsid w:val="000B2484"/>
    <w:rsid w:val="000B31C1"/>
    <w:rsid w:val="000B38D9"/>
    <w:rsid w:val="000B3AAB"/>
    <w:rsid w:val="000B3D03"/>
    <w:rsid w:val="000B596B"/>
    <w:rsid w:val="000B64E8"/>
    <w:rsid w:val="000B73FB"/>
    <w:rsid w:val="000C0571"/>
    <w:rsid w:val="000C29C7"/>
    <w:rsid w:val="000C2A99"/>
    <w:rsid w:val="000C2BA2"/>
    <w:rsid w:val="000C33B5"/>
    <w:rsid w:val="000C340E"/>
    <w:rsid w:val="000C3BFE"/>
    <w:rsid w:val="000C41EB"/>
    <w:rsid w:val="000C4B86"/>
    <w:rsid w:val="000C4DF1"/>
    <w:rsid w:val="000C5373"/>
    <w:rsid w:val="000C5BB2"/>
    <w:rsid w:val="000C664E"/>
    <w:rsid w:val="000C6C3C"/>
    <w:rsid w:val="000C78D0"/>
    <w:rsid w:val="000D03E4"/>
    <w:rsid w:val="000D1AA8"/>
    <w:rsid w:val="000D1ED7"/>
    <w:rsid w:val="000D2917"/>
    <w:rsid w:val="000D2B48"/>
    <w:rsid w:val="000D2C50"/>
    <w:rsid w:val="000D419D"/>
    <w:rsid w:val="000D4602"/>
    <w:rsid w:val="000D50AC"/>
    <w:rsid w:val="000D6B70"/>
    <w:rsid w:val="000D715F"/>
    <w:rsid w:val="000D7A9C"/>
    <w:rsid w:val="000E0C6E"/>
    <w:rsid w:val="000E29BC"/>
    <w:rsid w:val="000E2AA7"/>
    <w:rsid w:val="000E3F5E"/>
    <w:rsid w:val="000E436E"/>
    <w:rsid w:val="000E43BA"/>
    <w:rsid w:val="000E78E3"/>
    <w:rsid w:val="000E7E9F"/>
    <w:rsid w:val="000F067D"/>
    <w:rsid w:val="000F1916"/>
    <w:rsid w:val="000F5E30"/>
    <w:rsid w:val="00100766"/>
    <w:rsid w:val="00100A9A"/>
    <w:rsid w:val="00102653"/>
    <w:rsid w:val="00103447"/>
    <w:rsid w:val="001038C0"/>
    <w:rsid w:val="00103BD7"/>
    <w:rsid w:val="00105030"/>
    <w:rsid w:val="0010514E"/>
    <w:rsid w:val="001062FC"/>
    <w:rsid w:val="00107A8F"/>
    <w:rsid w:val="00110C9D"/>
    <w:rsid w:val="00110F81"/>
    <w:rsid w:val="001111DB"/>
    <w:rsid w:val="00111345"/>
    <w:rsid w:val="001155E3"/>
    <w:rsid w:val="001176A7"/>
    <w:rsid w:val="00120165"/>
    <w:rsid w:val="001204CD"/>
    <w:rsid w:val="001206A9"/>
    <w:rsid w:val="00120BC2"/>
    <w:rsid w:val="0012199A"/>
    <w:rsid w:val="00122B78"/>
    <w:rsid w:val="00123471"/>
    <w:rsid w:val="0012459E"/>
    <w:rsid w:val="00124A27"/>
    <w:rsid w:val="0012716A"/>
    <w:rsid w:val="00127576"/>
    <w:rsid w:val="00127A47"/>
    <w:rsid w:val="00130CAA"/>
    <w:rsid w:val="0013230A"/>
    <w:rsid w:val="001329DB"/>
    <w:rsid w:val="001337FB"/>
    <w:rsid w:val="00134A40"/>
    <w:rsid w:val="001351C0"/>
    <w:rsid w:val="00135C08"/>
    <w:rsid w:val="001361D8"/>
    <w:rsid w:val="00137054"/>
    <w:rsid w:val="00137426"/>
    <w:rsid w:val="00137446"/>
    <w:rsid w:val="001378F1"/>
    <w:rsid w:val="0014081B"/>
    <w:rsid w:val="00141F7E"/>
    <w:rsid w:val="0014241C"/>
    <w:rsid w:val="00143DB6"/>
    <w:rsid w:val="0014577D"/>
    <w:rsid w:val="00146263"/>
    <w:rsid w:val="00147295"/>
    <w:rsid w:val="001476CF"/>
    <w:rsid w:val="001479EB"/>
    <w:rsid w:val="00151E1E"/>
    <w:rsid w:val="00154183"/>
    <w:rsid w:val="00154270"/>
    <w:rsid w:val="00154320"/>
    <w:rsid w:val="00154471"/>
    <w:rsid w:val="0015554D"/>
    <w:rsid w:val="00155DC1"/>
    <w:rsid w:val="00155EB2"/>
    <w:rsid w:val="001567FE"/>
    <w:rsid w:val="00157440"/>
    <w:rsid w:val="00157513"/>
    <w:rsid w:val="00157594"/>
    <w:rsid w:val="001603C5"/>
    <w:rsid w:val="00160731"/>
    <w:rsid w:val="00160A89"/>
    <w:rsid w:val="001619DC"/>
    <w:rsid w:val="00163351"/>
    <w:rsid w:val="00164FE9"/>
    <w:rsid w:val="001661F7"/>
    <w:rsid w:val="00166ACC"/>
    <w:rsid w:val="00166BB8"/>
    <w:rsid w:val="00166D18"/>
    <w:rsid w:val="00167527"/>
    <w:rsid w:val="001675F5"/>
    <w:rsid w:val="00167F9D"/>
    <w:rsid w:val="00170885"/>
    <w:rsid w:val="00170A73"/>
    <w:rsid w:val="00170A8E"/>
    <w:rsid w:val="00170DA3"/>
    <w:rsid w:val="00171D96"/>
    <w:rsid w:val="00171E94"/>
    <w:rsid w:val="00173800"/>
    <w:rsid w:val="00173CF1"/>
    <w:rsid w:val="00174F84"/>
    <w:rsid w:val="00180711"/>
    <w:rsid w:val="001818AE"/>
    <w:rsid w:val="0018399B"/>
    <w:rsid w:val="00183AB1"/>
    <w:rsid w:val="00185766"/>
    <w:rsid w:val="00185861"/>
    <w:rsid w:val="001868FE"/>
    <w:rsid w:val="0019059F"/>
    <w:rsid w:val="00192169"/>
    <w:rsid w:val="00193731"/>
    <w:rsid w:val="00193D56"/>
    <w:rsid w:val="00193FB8"/>
    <w:rsid w:val="001942DF"/>
    <w:rsid w:val="001948AA"/>
    <w:rsid w:val="00194CFD"/>
    <w:rsid w:val="001953C8"/>
    <w:rsid w:val="0019582E"/>
    <w:rsid w:val="001961E3"/>
    <w:rsid w:val="00196BD0"/>
    <w:rsid w:val="00197327"/>
    <w:rsid w:val="0019782B"/>
    <w:rsid w:val="00197F73"/>
    <w:rsid w:val="001A0C2B"/>
    <w:rsid w:val="001A0E8A"/>
    <w:rsid w:val="001A2898"/>
    <w:rsid w:val="001A2F2E"/>
    <w:rsid w:val="001A42DB"/>
    <w:rsid w:val="001A4969"/>
    <w:rsid w:val="001A55F3"/>
    <w:rsid w:val="001A7128"/>
    <w:rsid w:val="001A7153"/>
    <w:rsid w:val="001B1AD9"/>
    <w:rsid w:val="001B1BF9"/>
    <w:rsid w:val="001B39E0"/>
    <w:rsid w:val="001B4E07"/>
    <w:rsid w:val="001B5C20"/>
    <w:rsid w:val="001B690D"/>
    <w:rsid w:val="001B7672"/>
    <w:rsid w:val="001B787D"/>
    <w:rsid w:val="001C1413"/>
    <w:rsid w:val="001C2B1F"/>
    <w:rsid w:val="001C3179"/>
    <w:rsid w:val="001C332F"/>
    <w:rsid w:val="001C343E"/>
    <w:rsid w:val="001C44DB"/>
    <w:rsid w:val="001C48AD"/>
    <w:rsid w:val="001C4A5C"/>
    <w:rsid w:val="001C4B49"/>
    <w:rsid w:val="001C586A"/>
    <w:rsid w:val="001C6826"/>
    <w:rsid w:val="001D04C0"/>
    <w:rsid w:val="001D0795"/>
    <w:rsid w:val="001D0BA6"/>
    <w:rsid w:val="001D111B"/>
    <w:rsid w:val="001D67F3"/>
    <w:rsid w:val="001D6C59"/>
    <w:rsid w:val="001D7005"/>
    <w:rsid w:val="001E05AE"/>
    <w:rsid w:val="001E099C"/>
    <w:rsid w:val="001E2015"/>
    <w:rsid w:val="001E31CE"/>
    <w:rsid w:val="001E33C8"/>
    <w:rsid w:val="001E347A"/>
    <w:rsid w:val="001E39AF"/>
    <w:rsid w:val="001E3B19"/>
    <w:rsid w:val="001E59E1"/>
    <w:rsid w:val="001E678E"/>
    <w:rsid w:val="001E754F"/>
    <w:rsid w:val="001F05FD"/>
    <w:rsid w:val="001F07F9"/>
    <w:rsid w:val="001F0966"/>
    <w:rsid w:val="001F1EAF"/>
    <w:rsid w:val="001F225D"/>
    <w:rsid w:val="001F377A"/>
    <w:rsid w:val="001F3FE3"/>
    <w:rsid w:val="001F4936"/>
    <w:rsid w:val="001F5D8F"/>
    <w:rsid w:val="001F6E6D"/>
    <w:rsid w:val="001F7968"/>
    <w:rsid w:val="001F7A60"/>
    <w:rsid w:val="002006D3"/>
    <w:rsid w:val="00200A0B"/>
    <w:rsid w:val="00200B20"/>
    <w:rsid w:val="00201223"/>
    <w:rsid w:val="002021E7"/>
    <w:rsid w:val="002029CE"/>
    <w:rsid w:val="002039FC"/>
    <w:rsid w:val="00203CFD"/>
    <w:rsid w:val="00203DE4"/>
    <w:rsid w:val="00203EF6"/>
    <w:rsid w:val="002041AE"/>
    <w:rsid w:val="00205764"/>
    <w:rsid w:val="00205B70"/>
    <w:rsid w:val="00205F83"/>
    <w:rsid w:val="002060D1"/>
    <w:rsid w:val="0020727B"/>
    <w:rsid w:val="002101E8"/>
    <w:rsid w:val="00210427"/>
    <w:rsid w:val="00210807"/>
    <w:rsid w:val="002109BF"/>
    <w:rsid w:val="00212D8B"/>
    <w:rsid w:val="002134C1"/>
    <w:rsid w:val="002151DA"/>
    <w:rsid w:val="00215D89"/>
    <w:rsid w:val="00216BC0"/>
    <w:rsid w:val="00216C9C"/>
    <w:rsid w:val="00216DFA"/>
    <w:rsid w:val="00217CC2"/>
    <w:rsid w:val="00217F57"/>
    <w:rsid w:val="00220D54"/>
    <w:rsid w:val="0022174F"/>
    <w:rsid w:val="00221846"/>
    <w:rsid w:val="00221CB5"/>
    <w:rsid w:val="002247E3"/>
    <w:rsid w:val="002255FF"/>
    <w:rsid w:val="00225E09"/>
    <w:rsid w:val="00226736"/>
    <w:rsid w:val="002271B5"/>
    <w:rsid w:val="00227A71"/>
    <w:rsid w:val="00227B3C"/>
    <w:rsid w:val="00227C73"/>
    <w:rsid w:val="00230823"/>
    <w:rsid w:val="00230B4E"/>
    <w:rsid w:val="00231543"/>
    <w:rsid w:val="00231EFE"/>
    <w:rsid w:val="00231F4F"/>
    <w:rsid w:val="00233356"/>
    <w:rsid w:val="00233826"/>
    <w:rsid w:val="00233B9A"/>
    <w:rsid w:val="00234969"/>
    <w:rsid w:val="00236D94"/>
    <w:rsid w:val="002379BA"/>
    <w:rsid w:val="002400DD"/>
    <w:rsid w:val="0024065F"/>
    <w:rsid w:val="002408A0"/>
    <w:rsid w:val="00240E06"/>
    <w:rsid w:val="00242A07"/>
    <w:rsid w:val="00244137"/>
    <w:rsid w:val="00245661"/>
    <w:rsid w:val="00246AEE"/>
    <w:rsid w:val="00247CF0"/>
    <w:rsid w:val="00247F27"/>
    <w:rsid w:val="00250499"/>
    <w:rsid w:val="002505E9"/>
    <w:rsid w:val="002508AF"/>
    <w:rsid w:val="0025097F"/>
    <w:rsid w:val="002515CA"/>
    <w:rsid w:val="002556BD"/>
    <w:rsid w:val="00255755"/>
    <w:rsid w:val="00256727"/>
    <w:rsid w:val="002568FC"/>
    <w:rsid w:val="002570CD"/>
    <w:rsid w:val="00257B1B"/>
    <w:rsid w:val="00260234"/>
    <w:rsid w:val="002609A5"/>
    <w:rsid w:val="00263555"/>
    <w:rsid w:val="00265459"/>
    <w:rsid w:val="00266223"/>
    <w:rsid w:val="002666E4"/>
    <w:rsid w:val="00267ADD"/>
    <w:rsid w:val="00270292"/>
    <w:rsid w:val="0027205B"/>
    <w:rsid w:val="002736D3"/>
    <w:rsid w:val="00273E0B"/>
    <w:rsid w:val="0027516A"/>
    <w:rsid w:val="00275C85"/>
    <w:rsid w:val="00275D75"/>
    <w:rsid w:val="00275E14"/>
    <w:rsid w:val="00276A13"/>
    <w:rsid w:val="00277259"/>
    <w:rsid w:val="00277567"/>
    <w:rsid w:val="00280734"/>
    <w:rsid w:val="00282253"/>
    <w:rsid w:val="002823A8"/>
    <w:rsid w:val="00282879"/>
    <w:rsid w:val="00282A91"/>
    <w:rsid w:val="00282D12"/>
    <w:rsid w:val="00283751"/>
    <w:rsid w:val="002859A0"/>
    <w:rsid w:val="002859B7"/>
    <w:rsid w:val="002866EF"/>
    <w:rsid w:val="002875C3"/>
    <w:rsid w:val="00287C4C"/>
    <w:rsid w:val="00287D73"/>
    <w:rsid w:val="00292782"/>
    <w:rsid w:val="00293956"/>
    <w:rsid w:val="00294D63"/>
    <w:rsid w:val="002963AA"/>
    <w:rsid w:val="00297B20"/>
    <w:rsid w:val="002A0A75"/>
    <w:rsid w:val="002A1413"/>
    <w:rsid w:val="002A14B0"/>
    <w:rsid w:val="002A158B"/>
    <w:rsid w:val="002A2268"/>
    <w:rsid w:val="002A2C50"/>
    <w:rsid w:val="002A3442"/>
    <w:rsid w:val="002A3E3F"/>
    <w:rsid w:val="002A49E5"/>
    <w:rsid w:val="002A5B54"/>
    <w:rsid w:val="002B1432"/>
    <w:rsid w:val="002B1E69"/>
    <w:rsid w:val="002B3376"/>
    <w:rsid w:val="002B463F"/>
    <w:rsid w:val="002B48EE"/>
    <w:rsid w:val="002B536C"/>
    <w:rsid w:val="002B568E"/>
    <w:rsid w:val="002B5C3E"/>
    <w:rsid w:val="002B5C7A"/>
    <w:rsid w:val="002B5FD7"/>
    <w:rsid w:val="002B7FFD"/>
    <w:rsid w:val="002C136D"/>
    <w:rsid w:val="002C13FD"/>
    <w:rsid w:val="002C30A6"/>
    <w:rsid w:val="002C61C0"/>
    <w:rsid w:val="002C63D6"/>
    <w:rsid w:val="002C69B3"/>
    <w:rsid w:val="002D02FD"/>
    <w:rsid w:val="002D02FF"/>
    <w:rsid w:val="002D090E"/>
    <w:rsid w:val="002D0D5B"/>
    <w:rsid w:val="002D1442"/>
    <w:rsid w:val="002D2246"/>
    <w:rsid w:val="002D3303"/>
    <w:rsid w:val="002D4987"/>
    <w:rsid w:val="002D5CAB"/>
    <w:rsid w:val="002D67E8"/>
    <w:rsid w:val="002D6DB9"/>
    <w:rsid w:val="002D7460"/>
    <w:rsid w:val="002D79D1"/>
    <w:rsid w:val="002E038C"/>
    <w:rsid w:val="002E0457"/>
    <w:rsid w:val="002E0640"/>
    <w:rsid w:val="002E0D28"/>
    <w:rsid w:val="002E1B0D"/>
    <w:rsid w:val="002E3423"/>
    <w:rsid w:val="002E3C31"/>
    <w:rsid w:val="002E3E9F"/>
    <w:rsid w:val="002E489D"/>
    <w:rsid w:val="002E5DBF"/>
    <w:rsid w:val="002E5E0E"/>
    <w:rsid w:val="002E7382"/>
    <w:rsid w:val="002E74BC"/>
    <w:rsid w:val="002F0415"/>
    <w:rsid w:val="002F0B02"/>
    <w:rsid w:val="002F0B04"/>
    <w:rsid w:val="002F0CA5"/>
    <w:rsid w:val="002F1E40"/>
    <w:rsid w:val="002F1EDF"/>
    <w:rsid w:val="002F27EF"/>
    <w:rsid w:val="002F2B6B"/>
    <w:rsid w:val="002F3BBC"/>
    <w:rsid w:val="002F3FBF"/>
    <w:rsid w:val="002F48D0"/>
    <w:rsid w:val="002F4A55"/>
    <w:rsid w:val="002F69FE"/>
    <w:rsid w:val="002F6EA4"/>
    <w:rsid w:val="002F7610"/>
    <w:rsid w:val="002F7AF5"/>
    <w:rsid w:val="003005B6"/>
    <w:rsid w:val="00300A72"/>
    <w:rsid w:val="003012B6"/>
    <w:rsid w:val="00301829"/>
    <w:rsid w:val="00301C3C"/>
    <w:rsid w:val="0030291B"/>
    <w:rsid w:val="003049A5"/>
    <w:rsid w:val="00305076"/>
    <w:rsid w:val="00305B6B"/>
    <w:rsid w:val="00305C49"/>
    <w:rsid w:val="00310564"/>
    <w:rsid w:val="00311580"/>
    <w:rsid w:val="003122AC"/>
    <w:rsid w:val="00312CB8"/>
    <w:rsid w:val="00313A4C"/>
    <w:rsid w:val="00313CFA"/>
    <w:rsid w:val="00314868"/>
    <w:rsid w:val="0031562B"/>
    <w:rsid w:val="00316395"/>
    <w:rsid w:val="003163FF"/>
    <w:rsid w:val="0031663A"/>
    <w:rsid w:val="00316AAE"/>
    <w:rsid w:val="00317044"/>
    <w:rsid w:val="00317591"/>
    <w:rsid w:val="00317B3F"/>
    <w:rsid w:val="00317B78"/>
    <w:rsid w:val="00317BD1"/>
    <w:rsid w:val="00320B53"/>
    <w:rsid w:val="00322F33"/>
    <w:rsid w:val="003239A5"/>
    <w:rsid w:val="00324DAB"/>
    <w:rsid w:val="00324F79"/>
    <w:rsid w:val="0032724C"/>
    <w:rsid w:val="00327419"/>
    <w:rsid w:val="003275EC"/>
    <w:rsid w:val="003317EB"/>
    <w:rsid w:val="0033187E"/>
    <w:rsid w:val="00332016"/>
    <w:rsid w:val="0033259A"/>
    <w:rsid w:val="003329ED"/>
    <w:rsid w:val="00335AE2"/>
    <w:rsid w:val="00337FCD"/>
    <w:rsid w:val="00340C74"/>
    <w:rsid w:val="00341DE7"/>
    <w:rsid w:val="00342A18"/>
    <w:rsid w:val="0034326A"/>
    <w:rsid w:val="00343BC6"/>
    <w:rsid w:val="00343FA3"/>
    <w:rsid w:val="003447CC"/>
    <w:rsid w:val="003448FE"/>
    <w:rsid w:val="0034490E"/>
    <w:rsid w:val="003467EC"/>
    <w:rsid w:val="00347002"/>
    <w:rsid w:val="003476A4"/>
    <w:rsid w:val="0035034B"/>
    <w:rsid w:val="00352070"/>
    <w:rsid w:val="00353C30"/>
    <w:rsid w:val="00354F17"/>
    <w:rsid w:val="003556AE"/>
    <w:rsid w:val="0035585D"/>
    <w:rsid w:val="003559C7"/>
    <w:rsid w:val="00357C80"/>
    <w:rsid w:val="00357D2F"/>
    <w:rsid w:val="00360292"/>
    <w:rsid w:val="003605C7"/>
    <w:rsid w:val="00360AD1"/>
    <w:rsid w:val="003617E8"/>
    <w:rsid w:val="00362621"/>
    <w:rsid w:val="003627CD"/>
    <w:rsid w:val="00362C8D"/>
    <w:rsid w:val="00363970"/>
    <w:rsid w:val="00363DFE"/>
    <w:rsid w:val="003643F3"/>
    <w:rsid w:val="00365783"/>
    <w:rsid w:val="003657B8"/>
    <w:rsid w:val="003661E6"/>
    <w:rsid w:val="00366425"/>
    <w:rsid w:val="00366D45"/>
    <w:rsid w:val="0036704F"/>
    <w:rsid w:val="0036726E"/>
    <w:rsid w:val="00367AC9"/>
    <w:rsid w:val="00367D5C"/>
    <w:rsid w:val="00371360"/>
    <w:rsid w:val="00371748"/>
    <w:rsid w:val="00371E3F"/>
    <w:rsid w:val="00371FBD"/>
    <w:rsid w:val="00373395"/>
    <w:rsid w:val="00373460"/>
    <w:rsid w:val="0037360B"/>
    <w:rsid w:val="0037365B"/>
    <w:rsid w:val="00374305"/>
    <w:rsid w:val="00374DA4"/>
    <w:rsid w:val="0037513C"/>
    <w:rsid w:val="003756FF"/>
    <w:rsid w:val="00376675"/>
    <w:rsid w:val="00376BC0"/>
    <w:rsid w:val="00376F62"/>
    <w:rsid w:val="003801F1"/>
    <w:rsid w:val="00380874"/>
    <w:rsid w:val="003827B0"/>
    <w:rsid w:val="003836E6"/>
    <w:rsid w:val="003838DF"/>
    <w:rsid w:val="003847C5"/>
    <w:rsid w:val="003848D8"/>
    <w:rsid w:val="0038494E"/>
    <w:rsid w:val="003866EB"/>
    <w:rsid w:val="00387013"/>
    <w:rsid w:val="00387A0A"/>
    <w:rsid w:val="0039028D"/>
    <w:rsid w:val="0039467D"/>
    <w:rsid w:val="00396AEB"/>
    <w:rsid w:val="0039759E"/>
    <w:rsid w:val="003A01AD"/>
    <w:rsid w:val="003A0762"/>
    <w:rsid w:val="003A0DE2"/>
    <w:rsid w:val="003A1493"/>
    <w:rsid w:val="003A1514"/>
    <w:rsid w:val="003A1961"/>
    <w:rsid w:val="003A259B"/>
    <w:rsid w:val="003A289B"/>
    <w:rsid w:val="003A2C40"/>
    <w:rsid w:val="003A4CCD"/>
    <w:rsid w:val="003A5717"/>
    <w:rsid w:val="003A61D3"/>
    <w:rsid w:val="003A623D"/>
    <w:rsid w:val="003A6EE7"/>
    <w:rsid w:val="003A75E2"/>
    <w:rsid w:val="003A7731"/>
    <w:rsid w:val="003B2262"/>
    <w:rsid w:val="003B3353"/>
    <w:rsid w:val="003B4C33"/>
    <w:rsid w:val="003B4CF0"/>
    <w:rsid w:val="003B4D95"/>
    <w:rsid w:val="003B5125"/>
    <w:rsid w:val="003B5725"/>
    <w:rsid w:val="003C04EA"/>
    <w:rsid w:val="003C07C7"/>
    <w:rsid w:val="003C0A10"/>
    <w:rsid w:val="003C0DB8"/>
    <w:rsid w:val="003C16D4"/>
    <w:rsid w:val="003C1D1B"/>
    <w:rsid w:val="003C3175"/>
    <w:rsid w:val="003C415D"/>
    <w:rsid w:val="003C4656"/>
    <w:rsid w:val="003C4B2A"/>
    <w:rsid w:val="003C566B"/>
    <w:rsid w:val="003C6F54"/>
    <w:rsid w:val="003C755D"/>
    <w:rsid w:val="003D0E16"/>
    <w:rsid w:val="003D1A5D"/>
    <w:rsid w:val="003D20ED"/>
    <w:rsid w:val="003D2BFD"/>
    <w:rsid w:val="003D3015"/>
    <w:rsid w:val="003D31D3"/>
    <w:rsid w:val="003D3769"/>
    <w:rsid w:val="003D3E91"/>
    <w:rsid w:val="003D51B8"/>
    <w:rsid w:val="003D5978"/>
    <w:rsid w:val="003D60B5"/>
    <w:rsid w:val="003D627C"/>
    <w:rsid w:val="003D644A"/>
    <w:rsid w:val="003D765E"/>
    <w:rsid w:val="003D78BF"/>
    <w:rsid w:val="003D7BCB"/>
    <w:rsid w:val="003E012F"/>
    <w:rsid w:val="003E0261"/>
    <w:rsid w:val="003E0275"/>
    <w:rsid w:val="003E0A5E"/>
    <w:rsid w:val="003E2635"/>
    <w:rsid w:val="003E27DC"/>
    <w:rsid w:val="003E2D29"/>
    <w:rsid w:val="003E3B2E"/>
    <w:rsid w:val="003E3E55"/>
    <w:rsid w:val="003E4E70"/>
    <w:rsid w:val="003E5105"/>
    <w:rsid w:val="003E5D48"/>
    <w:rsid w:val="003E5ED4"/>
    <w:rsid w:val="003F04F0"/>
    <w:rsid w:val="003F0E34"/>
    <w:rsid w:val="003F151B"/>
    <w:rsid w:val="003F1712"/>
    <w:rsid w:val="003F3C34"/>
    <w:rsid w:val="003F3DF0"/>
    <w:rsid w:val="003F3FA9"/>
    <w:rsid w:val="003F4203"/>
    <w:rsid w:val="003F4990"/>
    <w:rsid w:val="003F5458"/>
    <w:rsid w:val="00400FFE"/>
    <w:rsid w:val="0040121F"/>
    <w:rsid w:val="00403514"/>
    <w:rsid w:val="004041E9"/>
    <w:rsid w:val="00404395"/>
    <w:rsid w:val="004054D3"/>
    <w:rsid w:val="0040631F"/>
    <w:rsid w:val="00406D15"/>
    <w:rsid w:val="004076E4"/>
    <w:rsid w:val="0040797F"/>
    <w:rsid w:val="00407B7F"/>
    <w:rsid w:val="00410FFB"/>
    <w:rsid w:val="004115D4"/>
    <w:rsid w:val="00411FB1"/>
    <w:rsid w:val="004121A8"/>
    <w:rsid w:val="00412471"/>
    <w:rsid w:val="004129CF"/>
    <w:rsid w:val="00412DF0"/>
    <w:rsid w:val="00413553"/>
    <w:rsid w:val="00414357"/>
    <w:rsid w:val="00414493"/>
    <w:rsid w:val="004147DF"/>
    <w:rsid w:val="00417003"/>
    <w:rsid w:val="00417E51"/>
    <w:rsid w:val="00420A4F"/>
    <w:rsid w:val="00420AFB"/>
    <w:rsid w:val="004228F3"/>
    <w:rsid w:val="00422A60"/>
    <w:rsid w:val="00423E0E"/>
    <w:rsid w:val="004248BA"/>
    <w:rsid w:val="004257D0"/>
    <w:rsid w:val="00425970"/>
    <w:rsid w:val="004259BE"/>
    <w:rsid w:val="0042CC3B"/>
    <w:rsid w:val="00430409"/>
    <w:rsid w:val="00430D51"/>
    <w:rsid w:val="00430E93"/>
    <w:rsid w:val="004319A5"/>
    <w:rsid w:val="00433E98"/>
    <w:rsid w:val="004346B2"/>
    <w:rsid w:val="00434A55"/>
    <w:rsid w:val="00434FAA"/>
    <w:rsid w:val="004351C9"/>
    <w:rsid w:val="004365FF"/>
    <w:rsid w:val="00437380"/>
    <w:rsid w:val="00437B65"/>
    <w:rsid w:val="00440BC3"/>
    <w:rsid w:val="00440C20"/>
    <w:rsid w:val="00441070"/>
    <w:rsid w:val="00441E24"/>
    <w:rsid w:val="00441F3D"/>
    <w:rsid w:val="0044206C"/>
    <w:rsid w:val="00442825"/>
    <w:rsid w:val="00442CB1"/>
    <w:rsid w:val="00442E40"/>
    <w:rsid w:val="00443513"/>
    <w:rsid w:val="00443E14"/>
    <w:rsid w:val="00444871"/>
    <w:rsid w:val="00444FF6"/>
    <w:rsid w:val="004456BE"/>
    <w:rsid w:val="00447600"/>
    <w:rsid w:val="00450320"/>
    <w:rsid w:val="00450A93"/>
    <w:rsid w:val="0045232D"/>
    <w:rsid w:val="004523D7"/>
    <w:rsid w:val="00452BA4"/>
    <w:rsid w:val="00453FC8"/>
    <w:rsid w:val="004541AC"/>
    <w:rsid w:val="0045443C"/>
    <w:rsid w:val="004548EF"/>
    <w:rsid w:val="0045499C"/>
    <w:rsid w:val="00454E08"/>
    <w:rsid w:val="00454EBF"/>
    <w:rsid w:val="00455288"/>
    <w:rsid w:val="00455FFB"/>
    <w:rsid w:val="004561DD"/>
    <w:rsid w:val="0045719B"/>
    <w:rsid w:val="00457554"/>
    <w:rsid w:val="0046109A"/>
    <w:rsid w:val="004620C4"/>
    <w:rsid w:val="00463B9F"/>
    <w:rsid w:val="004645F1"/>
    <w:rsid w:val="0046472F"/>
    <w:rsid w:val="00466C4A"/>
    <w:rsid w:val="004676CD"/>
    <w:rsid w:val="00467E91"/>
    <w:rsid w:val="0047218E"/>
    <w:rsid w:val="00472DB3"/>
    <w:rsid w:val="00472E21"/>
    <w:rsid w:val="00472EA2"/>
    <w:rsid w:val="004730FE"/>
    <w:rsid w:val="00473595"/>
    <w:rsid w:val="00473913"/>
    <w:rsid w:val="004740D2"/>
    <w:rsid w:val="00474909"/>
    <w:rsid w:val="00474AA8"/>
    <w:rsid w:val="004750BC"/>
    <w:rsid w:val="00475B53"/>
    <w:rsid w:val="00475B5E"/>
    <w:rsid w:val="00476122"/>
    <w:rsid w:val="00477C84"/>
    <w:rsid w:val="00482D06"/>
    <w:rsid w:val="004832F2"/>
    <w:rsid w:val="0048348A"/>
    <w:rsid w:val="00483F15"/>
    <w:rsid w:val="00484BB0"/>
    <w:rsid w:val="00485307"/>
    <w:rsid w:val="00485426"/>
    <w:rsid w:val="0048675C"/>
    <w:rsid w:val="004875D2"/>
    <w:rsid w:val="00491CC0"/>
    <w:rsid w:val="00492AA1"/>
    <w:rsid w:val="00492B94"/>
    <w:rsid w:val="00493648"/>
    <w:rsid w:val="00493FE2"/>
    <w:rsid w:val="004944A3"/>
    <w:rsid w:val="00495160"/>
    <w:rsid w:val="004960A9"/>
    <w:rsid w:val="004964BB"/>
    <w:rsid w:val="00496F2E"/>
    <w:rsid w:val="00496F71"/>
    <w:rsid w:val="0049781E"/>
    <w:rsid w:val="004A0F7C"/>
    <w:rsid w:val="004A2383"/>
    <w:rsid w:val="004A2E2B"/>
    <w:rsid w:val="004A2F9D"/>
    <w:rsid w:val="004A372F"/>
    <w:rsid w:val="004A380E"/>
    <w:rsid w:val="004A3F84"/>
    <w:rsid w:val="004A4EF1"/>
    <w:rsid w:val="004A6049"/>
    <w:rsid w:val="004A6315"/>
    <w:rsid w:val="004A70A3"/>
    <w:rsid w:val="004A7DDA"/>
    <w:rsid w:val="004B14FD"/>
    <w:rsid w:val="004B192B"/>
    <w:rsid w:val="004B226F"/>
    <w:rsid w:val="004B55DD"/>
    <w:rsid w:val="004B6997"/>
    <w:rsid w:val="004B6F1A"/>
    <w:rsid w:val="004B70EC"/>
    <w:rsid w:val="004C08F9"/>
    <w:rsid w:val="004C3A61"/>
    <w:rsid w:val="004C4A9C"/>
    <w:rsid w:val="004C4BCF"/>
    <w:rsid w:val="004D10E1"/>
    <w:rsid w:val="004D19D6"/>
    <w:rsid w:val="004D4439"/>
    <w:rsid w:val="004D4AD9"/>
    <w:rsid w:val="004D4F48"/>
    <w:rsid w:val="004D5B6C"/>
    <w:rsid w:val="004D7546"/>
    <w:rsid w:val="004D7F65"/>
    <w:rsid w:val="004E1147"/>
    <w:rsid w:val="004E19C2"/>
    <w:rsid w:val="004E2392"/>
    <w:rsid w:val="004E3DBA"/>
    <w:rsid w:val="004E3DDE"/>
    <w:rsid w:val="004E44D1"/>
    <w:rsid w:val="004E5408"/>
    <w:rsid w:val="004E6CD2"/>
    <w:rsid w:val="004E77B6"/>
    <w:rsid w:val="004E7876"/>
    <w:rsid w:val="004F0812"/>
    <w:rsid w:val="004F0C30"/>
    <w:rsid w:val="004F2439"/>
    <w:rsid w:val="004F2FD1"/>
    <w:rsid w:val="004F346E"/>
    <w:rsid w:val="004F390F"/>
    <w:rsid w:val="004F5624"/>
    <w:rsid w:val="004F6ECF"/>
    <w:rsid w:val="004F6FAF"/>
    <w:rsid w:val="004F76EE"/>
    <w:rsid w:val="00500CF7"/>
    <w:rsid w:val="00502889"/>
    <w:rsid w:val="00503A48"/>
    <w:rsid w:val="00503C6F"/>
    <w:rsid w:val="005044D1"/>
    <w:rsid w:val="00504A03"/>
    <w:rsid w:val="00504FDD"/>
    <w:rsid w:val="00505485"/>
    <w:rsid w:val="005063BC"/>
    <w:rsid w:val="00510D61"/>
    <w:rsid w:val="005114A0"/>
    <w:rsid w:val="00511663"/>
    <w:rsid w:val="00511B9F"/>
    <w:rsid w:val="00512CEB"/>
    <w:rsid w:val="005158DC"/>
    <w:rsid w:val="00515D5F"/>
    <w:rsid w:val="0051769B"/>
    <w:rsid w:val="00520C56"/>
    <w:rsid w:val="0052100F"/>
    <w:rsid w:val="0052195D"/>
    <w:rsid w:val="00522893"/>
    <w:rsid w:val="00522F81"/>
    <w:rsid w:val="00523384"/>
    <w:rsid w:val="005241A0"/>
    <w:rsid w:val="0052634D"/>
    <w:rsid w:val="00526B66"/>
    <w:rsid w:val="00531A93"/>
    <w:rsid w:val="00533ACE"/>
    <w:rsid w:val="00534628"/>
    <w:rsid w:val="005348F2"/>
    <w:rsid w:val="00535F09"/>
    <w:rsid w:val="00536A03"/>
    <w:rsid w:val="00536E31"/>
    <w:rsid w:val="00537B1C"/>
    <w:rsid w:val="005415BA"/>
    <w:rsid w:val="00541DFA"/>
    <w:rsid w:val="0054216E"/>
    <w:rsid w:val="00542A47"/>
    <w:rsid w:val="00542D74"/>
    <w:rsid w:val="0054360D"/>
    <w:rsid w:val="00543D2C"/>
    <w:rsid w:val="00543D4D"/>
    <w:rsid w:val="00543EC1"/>
    <w:rsid w:val="00544C7F"/>
    <w:rsid w:val="00545D6D"/>
    <w:rsid w:val="005465C4"/>
    <w:rsid w:val="0054678A"/>
    <w:rsid w:val="00547225"/>
    <w:rsid w:val="00551B13"/>
    <w:rsid w:val="00551E87"/>
    <w:rsid w:val="00555111"/>
    <w:rsid w:val="0055543A"/>
    <w:rsid w:val="005555CA"/>
    <w:rsid w:val="00555C71"/>
    <w:rsid w:val="00556015"/>
    <w:rsid w:val="005604F7"/>
    <w:rsid w:val="00563044"/>
    <w:rsid w:val="00563C61"/>
    <w:rsid w:val="00563D60"/>
    <w:rsid w:val="0056495D"/>
    <w:rsid w:val="00564B99"/>
    <w:rsid w:val="0056595B"/>
    <w:rsid w:val="00565D88"/>
    <w:rsid w:val="00567352"/>
    <w:rsid w:val="00567501"/>
    <w:rsid w:val="00570F96"/>
    <w:rsid w:val="00571254"/>
    <w:rsid w:val="005723A0"/>
    <w:rsid w:val="005730F0"/>
    <w:rsid w:val="0057326E"/>
    <w:rsid w:val="005736B0"/>
    <w:rsid w:val="00573E30"/>
    <w:rsid w:val="0057484D"/>
    <w:rsid w:val="00574B2B"/>
    <w:rsid w:val="00575100"/>
    <w:rsid w:val="00575188"/>
    <w:rsid w:val="0057586D"/>
    <w:rsid w:val="00576ABF"/>
    <w:rsid w:val="0057737D"/>
    <w:rsid w:val="00577B68"/>
    <w:rsid w:val="00581591"/>
    <w:rsid w:val="00581B88"/>
    <w:rsid w:val="00582248"/>
    <w:rsid w:val="005831DF"/>
    <w:rsid w:val="0058404D"/>
    <w:rsid w:val="0058487D"/>
    <w:rsid w:val="00584C31"/>
    <w:rsid w:val="00584E26"/>
    <w:rsid w:val="00585CD0"/>
    <w:rsid w:val="0058664A"/>
    <w:rsid w:val="0058732B"/>
    <w:rsid w:val="00587711"/>
    <w:rsid w:val="00590319"/>
    <w:rsid w:val="00590672"/>
    <w:rsid w:val="00591F40"/>
    <w:rsid w:val="005928C6"/>
    <w:rsid w:val="00592D27"/>
    <w:rsid w:val="00593D24"/>
    <w:rsid w:val="0059479C"/>
    <w:rsid w:val="00594C9F"/>
    <w:rsid w:val="005953F9"/>
    <w:rsid w:val="00596699"/>
    <w:rsid w:val="00596DE7"/>
    <w:rsid w:val="005A02B6"/>
    <w:rsid w:val="005A0867"/>
    <w:rsid w:val="005A0ABA"/>
    <w:rsid w:val="005A0F06"/>
    <w:rsid w:val="005A252A"/>
    <w:rsid w:val="005A36C6"/>
    <w:rsid w:val="005A3741"/>
    <w:rsid w:val="005A3A80"/>
    <w:rsid w:val="005A7A03"/>
    <w:rsid w:val="005A7CC4"/>
    <w:rsid w:val="005B01D3"/>
    <w:rsid w:val="005B080E"/>
    <w:rsid w:val="005B0EC6"/>
    <w:rsid w:val="005B0FD0"/>
    <w:rsid w:val="005B1329"/>
    <w:rsid w:val="005B20EF"/>
    <w:rsid w:val="005B282E"/>
    <w:rsid w:val="005B32BA"/>
    <w:rsid w:val="005B37C4"/>
    <w:rsid w:val="005B3A36"/>
    <w:rsid w:val="005B522D"/>
    <w:rsid w:val="005B55BD"/>
    <w:rsid w:val="005B5B7D"/>
    <w:rsid w:val="005B5D32"/>
    <w:rsid w:val="005B69C0"/>
    <w:rsid w:val="005B6A66"/>
    <w:rsid w:val="005B73C2"/>
    <w:rsid w:val="005B7752"/>
    <w:rsid w:val="005C0EC8"/>
    <w:rsid w:val="005C0F09"/>
    <w:rsid w:val="005C1621"/>
    <w:rsid w:val="005C18C2"/>
    <w:rsid w:val="005C2674"/>
    <w:rsid w:val="005C30FB"/>
    <w:rsid w:val="005C5648"/>
    <w:rsid w:val="005C7050"/>
    <w:rsid w:val="005D19B7"/>
    <w:rsid w:val="005D1D79"/>
    <w:rsid w:val="005D30A9"/>
    <w:rsid w:val="005D3AAC"/>
    <w:rsid w:val="005D4CC1"/>
    <w:rsid w:val="005D59BE"/>
    <w:rsid w:val="005D7802"/>
    <w:rsid w:val="005D7A3B"/>
    <w:rsid w:val="005D7D4A"/>
    <w:rsid w:val="005E0287"/>
    <w:rsid w:val="005E03F4"/>
    <w:rsid w:val="005E226F"/>
    <w:rsid w:val="005E255B"/>
    <w:rsid w:val="005E502D"/>
    <w:rsid w:val="005E5EDB"/>
    <w:rsid w:val="005E6F50"/>
    <w:rsid w:val="005E790A"/>
    <w:rsid w:val="005F0AE0"/>
    <w:rsid w:val="005F0CD3"/>
    <w:rsid w:val="005F12B2"/>
    <w:rsid w:val="005F1DFD"/>
    <w:rsid w:val="005F2D1F"/>
    <w:rsid w:val="005F2D36"/>
    <w:rsid w:val="005F352C"/>
    <w:rsid w:val="005F4153"/>
    <w:rsid w:val="005F487B"/>
    <w:rsid w:val="005F4925"/>
    <w:rsid w:val="005F4964"/>
    <w:rsid w:val="005F527B"/>
    <w:rsid w:val="005F52CA"/>
    <w:rsid w:val="005F5521"/>
    <w:rsid w:val="005F58BA"/>
    <w:rsid w:val="005F5C66"/>
    <w:rsid w:val="005F6AF6"/>
    <w:rsid w:val="005F6EB8"/>
    <w:rsid w:val="005F71B0"/>
    <w:rsid w:val="005F7267"/>
    <w:rsid w:val="005F7735"/>
    <w:rsid w:val="005F77E9"/>
    <w:rsid w:val="005F7E91"/>
    <w:rsid w:val="005F7F09"/>
    <w:rsid w:val="0060113B"/>
    <w:rsid w:val="006012FA"/>
    <w:rsid w:val="00601879"/>
    <w:rsid w:val="006020AB"/>
    <w:rsid w:val="006026B2"/>
    <w:rsid w:val="006026E6"/>
    <w:rsid w:val="0060309A"/>
    <w:rsid w:val="00603F97"/>
    <w:rsid w:val="006044C1"/>
    <w:rsid w:val="006054C4"/>
    <w:rsid w:val="00605D07"/>
    <w:rsid w:val="00606748"/>
    <w:rsid w:val="00607AC1"/>
    <w:rsid w:val="00611AEE"/>
    <w:rsid w:val="0061227F"/>
    <w:rsid w:val="00612917"/>
    <w:rsid w:val="0061320B"/>
    <w:rsid w:val="0061356D"/>
    <w:rsid w:val="00613B5A"/>
    <w:rsid w:val="0061484A"/>
    <w:rsid w:val="00614923"/>
    <w:rsid w:val="00614E17"/>
    <w:rsid w:val="00616D73"/>
    <w:rsid w:val="00617D5E"/>
    <w:rsid w:val="006215DE"/>
    <w:rsid w:val="0062218E"/>
    <w:rsid w:val="006224D6"/>
    <w:rsid w:val="00623CF5"/>
    <w:rsid w:val="00625AA1"/>
    <w:rsid w:val="00630900"/>
    <w:rsid w:val="00632102"/>
    <w:rsid w:val="006323AE"/>
    <w:rsid w:val="00632688"/>
    <w:rsid w:val="00632702"/>
    <w:rsid w:val="00632F12"/>
    <w:rsid w:val="0063327A"/>
    <w:rsid w:val="006374D8"/>
    <w:rsid w:val="0064099D"/>
    <w:rsid w:val="00641970"/>
    <w:rsid w:val="00642B38"/>
    <w:rsid w:val="00643588"/>
    <w:rsid w:val="0064364E"/>
    <w:rsid w:val="006438E8"/>
    <w:rsid w:val="00643966"/>
    <w:rsid w:val="00644696"/>
    <w:rsid w:val="0064561C"/>
    <w:rsid w:val="00646F8C"/>
    <w:rsid w:val="006477FF"/>
    <w:rsid w:val="00650454"/>
    <w:rsid w:val="00650FFD"/>
    <w:rsid w:val="00651216"/>
    <w:rsid w:val="00651310"/>
    <w:rsid w:val="00651824"/>
    <w:rsid w:val="006528E4"/>
    <w:rsid w:val="00654586"/>
    <w:rsid w:val="0065523A"/>
    <w:rsid w:val="0065527C"/>
    <w:rsid w:val="00656869"/>
    <w:rsid w:val="006578D2"/>
    <w:rsid w:val="00657EAC"/>
    <w:rsid w:val="0066050E"/>
    <w:rsid w:val="006606A7"/>
    <w:rsid w:val="00660E76"/>
    <w:rsid w:val="00661D7D"/>
    <w:rsid w:val="00662E85"/>
    <w:rsid w:val="00663231"/>
    <w:rsid w:val="006636AA"/>
    <w:rsid w:val="006638F8"/>
    <w:rsid w:val="00664B6B"/>
    <w:rsid w:val="0066529E"/>
    <w:rsid w:val="0066632E"/>
    <w:rsid w:val="0066699A"/>
    <w:rsid w:val="00672661"/>
    <w:rsid w:val="00673E1A"/>
    <w:rsid w:val="0067479B"/>
    <w:rsid w:val="00676901"/>
    <w:rsid w:val="00676CD4"/>
    <w:rsid w:val="006807F4"/>
    <w:rsid w:val="00682521"/>
    <w:rsid w:val="0068285F"/>
    <w:rsid w:val="006828BF"/>
    <w:rsid w:val="0068460D"/>
    <w:rsid w:val="00684A93"/>
    <w:rsid w:val="00685950"/>
    <w:rsid w:val="00687729"/>
    <w:rsid w:val="00687E3B"/>
    <w:rsid w:val="00687ECE"/>
    <w:rsid w:val="00687FFE"/>
    <w:rsid w:val="006905FA"/>
    <w:rsid w:val="006915DD"/>
    <w:rsid w:val="00692322"/>
    <w:rsid w:val="00693600"/>
    <w:rsid w:val="00693D09"/>
    <w:rsid w:val="00696595"/>
    <w:rsid w:val="0069694C"/>
    <w:rsid w:val="006A059A"/>
    <w:rsid w:val="006A1385"/>
    <w:rsid w:val="006A2070"/>
    <w:rsid w:val="006A3F09"/>
    <w:rsid w:val="006A4D70"/>
    <w:rsid w:val="006A4E84"/>
    <w:rsid w:val="006A4EA8"/>
    <w:rsid w:val="006A506A"/>
    <w:rsid w:val="006A680D"/>
    <w:rsid w:val="006A6BD4"/>
    <w:rsid w:val="006A6FE7"/>
    <w:rsid w:val="006A70B6"/>
    <w:rsid w:val="006A7EF8"/>
    <w:rsid w:val="006B0933"/>
    <w:rsid w:val="006B0F94"/>
    <w:rsid w:val="006B12B0"/>
    <w:rsid w:val="006B1D11"/>
    <w:rsid w:val="006B2EFC"/>
    <w:rsid w:val="006B3C2C"/>
    <w:rsid w:val="006B3DE1"/>
    <w:rsid w:val="006B6AB3"/>
    <w:rsid w:val="006B703E"/>
    <w:rsid w:val="006C1A2B"/>
    <w:rsid w:val="006C2084"/>
    <w:rsid w:val="006C3272"/>
    <w:rsid w:val="006C3CD6"/>
    <w:rsid w:val="006C42A2"/>
    <w:rsid w:val="006C42C0"/>
    <w:rsid w:val="006C43F5"/>
    <w:rsid w:val="006C5384"/>
    <w:rsid w:val="006C58F6"/>
    <w:rsid w:val="006C6275"/>
    <w:rsid w:val="006C7A50"/>
    <w:rsid w:val="006D0C15"/>
    <w:rsid w:val="006D1F38"/>
    <w:rsid w:val="006D2242"/>
    <w:rsid w:val="006D2419"/>
    <w:rsid w:val="006D2DBF"/>
    <w:rsid w:val="006D2FD9"/>
    <w:rsid w:val="006D3BA2"/>
    <w:rsid w:val="006D4C2B"/>
    <w:rsid w:val="006D50DC"/>
    <w:rsid w:val="006D5A96"/>
    <w:rsid w:val="006D5CBF"/>
    <w:rsid w:val="006D5FF8"/>
    <w:rsid w:val="006D68C5"/>
    <w:rsid w:val="006E0043"/>
    <w:rsid w:val="006E048A"/>
    <w:rsid w:val="006E1DA4"/>
    <w:rsid w:val="006E2098"/>
    <w:rsid w:val="006E3175"/>
    <w:rsid w:val="006E4121"/>
    <w:rsid w:val="006E4990"/>
    <w:rsid w:val="006E4D24"/>
    <w:rsid w:val="006E5FD0"/>
    <w:rsid w:val="006E6C23"/>
    <w:rsid w:val="006F00E3"/>
    <w:rsid w:val="006F02A1"/>
    <w:rsid w:val="006F0B7C"/>
    <w:rsid w:val="006F1335"/>
    <w:rsid w:val="006F1F4A"/>
    <w:rsid w:val="006F20B5"/>
    <w:rsid w:val="006F225C"/>
    <w:rsid w:val="006F27A7"/>
    <w:rsid w:val="006F2F52"/>
    <w:rsid w:val="006F3726"/>
    <w:rsid w:val="006F4011"/>
    <w:rsid w:val="006F4DDD"/>
    <w:rsid w:val="006F6082"/>
    <w:rsid w:val="006F6C81"/>
    <w:rsid w:val="006F708E"/>
    <w:rsid w:val="006F72E9"/>
    <w:rsid w:val="006F7818"/>
    <w:rsid w:val="007007A3"/>
    <w:rsid w:val="00701EFE"/>
    <w:rsid w:val="00702504"/>
    <w:rsid w:val="007040BD"/>
    <w:rsid w:val="00705491"/>
    <w:rsid w:val="00706165"/>
    <w:rsid w:val="0070618F"/>
    <w:rsid w:val="007063C8"/>
    <w:rsid w:val="007069F0"/>
    <w:rsid w:val="00706FDD"/>
    <w:rsid w:val="00710612"/>
    <w:rsid w:val="00712538"/>
    <w:rsid w:val="00712980"/>
    <w:rsid w:val="00712F08"/>
    <w:rsid w:val="00714259"/>
    <w:rsid w:val="007145B3"/>
    <w:rsid w:val="00714B89"/>
    <w:rsid w:val="007160C4"/>
    <w:rsid w:val="007164B1"/>
    <w:rsid w:val="00717193"/>
    <w:rsid w:val="00720B05"/>
    <w:rsid w:val="0072260C"/>
    <w:rsid w:val="007228E8"/>
    <w:rsid w:val="007233B5"/>
    <w:rsid w:val="00723976"/>
    <w:rsid w:val="0072575D"/>
    <w:rsid w:val="00725981"/>
    <w:rsid w:val="00726146"/>
    <w:rsid w:val="00726342"/>
    <w:rsid w:val="00726985"/>
    <w:rsid w:val="00726C68"/>
    <w:rsid w:val="0073024E"/>
    <w:rsid w:val="0073036C"/>
    <w:rsid w:val="00730C65"/>
    <w:rsid w:val="00731038"/>
    <w:rsid w:val="007312C4"/>
    <w:rsid w:val="0073209D"/>
    <w:rsid w:val="00732955"/>
    <w:rsid w:val="007351EF"/>
    <w:rsid w:val="007362EF"/>
    <w:rsid w:val="0073712A"/>
    <w:rsid w:val="0073731D"/>
    <w:rsid w:val="00737A51"/>
    <w:rsid w:val="00740296"/>
    <w:rsid w:val="00740C4A"/>
    <w:rsid w:val="007414B2"/>
    <w:rsid w:val="00741604"/>
    <w:rsid w:val="00741B0A"/>
    <w:rsid w:val="00741B9B"/>
    <w:rsid w:val="007420C4"/>
    <w:rsid w:val="00742DE3"/>
    <w:rsid w:val="00743407"/>
    <w:rsid w:val="00743561"/>
    <w:rsid w:val="00744C15"/>
    <w:rsid w:val="00745AAC"/>
    <w:rsid w:val="007462E6"/>
    <w:rsid w:val="00747614"/>
    <w:rsid w:val="00747D44"/>
    <w:rsid w:val="00747DBC"/>
    <w:rsid w:val="0075029D"/>
    <w:rsid w:val="00752026"/>
    <w:rsid w:val="00752823"/>
    <w:rsid w:val="00755332"/>
    <w:rsid w:val="00755813"/>
    <w:rsid w:val="00755883"/>
    <w:rsid w:val="00755A05"/>
    <w:rsid w:val="00755E1D"/>
    <w:rsid w:val="00755FA0"/>
    <w:rsid w:val="007568E1"/>
    <w:rsid w:val="00756B26"/>
    <w:rsid w:val="00756FCA"/>
    <w:rsid w:val="00757190"/>
    <w:rsid w:val="00760C50"/>
    <w:rsid w:val="007614D5"/>
    <w:rsid w:val="007642C9"/>
    <w:rsid w:val="00764B45"/>
    <w:rsid w:val="007651B7"/>
    <w:rsid w:val="0076531E"/>
    <w:rsid w:val="00765D99"/>
    <w:rsid w:val="00766694"/>
    <w:rsid w:val="00766A10"/>
    <w:rsid w:val="00766E19"/>
    <w:rsid w:val="00767027"/>
    <w:rsid w:val="0077021F"/>
    <w:rsid w:val="0077034F"/>
    <w:rsid w:val="00771021"/>
    <w:rsid w:val="00771195"/>
    <w:rsid w:val="00771D97"/>
    <w:rsid w:val="00771E72"/>
    <w:rsid w:val="0077267F"/>
    <w:rsid w:val="007730DB"/>
    <w:rsid w:val="007740AB"/>
    <w:rsid w:val="00774189"/>
    <w:rsid w:val="00775CC6"/>
    <w:rsid w:val="00775D0B"/>
    <w:rsid w:val="007774D4"/>
    <w:rsid w:val="00780332"/>
    <w:rsid w:val="00780447"/>
    <w:rsid w:val="00780695"/>
    <w:rsid w:val="0078148F"/>
    <w:rsid w:val="007817AB"/>
    <w:rsid w:val="007818BB"/>
    <w:rsid w:val="007829B6"/>
    <w:rsid w:val="00783F50"/>
    <w:rsid w:val="00784433"/>
    <w:rsid w:val="0078516E"/>
    <w:rsid w:val="00785522"/>
    <w:rsid w:val="00785FD6"/>
    <w:rsid w:val="007865E5"/>
    <w:rsid w:val="00786C6B"/>
    <w:rsid w:val="00787DB4"/>
    <w:rsid w:val="00790437"/>
    <w:rsid w:val="00790470"/>
    <w:rsid w:val="007906BF"/>
    <w:rsid w:val="00790E30"/>
    <w:rsid w:val="00791139"/>
    <w:rsid w:val="0079280D"/>
    <w:rsid w:val="00793E06"/>
    <w:rsid w:val="00794085"/>
    <w:rsid w:val="00794ABC"/>
    <w:rsid w:val="00794C14"/>
    <w:rsid w:val="007960B6"/>
    <w:rsid w:val="007964BD"/>
    <w:rsid w:val="007A0019"/>
    <w:rsid w:val="007A10A8"/>
    <w:rsid w:val="007A1566"/>
    <w:rsid w:val="007A180C"/>
    <w:rsid w:val="007A3061"/>
    <w:rsid w:val="007A30CE"/>
    <w:rsid w:val="007A3112"/>
    <w:rsid w:val="007A4A81"/>
    <w:rsid w:val="007A5BCA"/>
    <w:rsid w:val="007A6189"/>
    <w:rsid w:val="007A66C0"/>
    <w:rsid w:val="007A67A7"/>
    <w:rsid w:val="007A72E9"/>
    <w:rsid w:val="007A7C89"/>
    <w:rsid w:val="007B0361"/>
    <w:rsid w:val="007B0527"/>
    <w:rsid w:val="007B081B"/>
    <w:rsid w:val="007B3FB7"/>
    <w:rsid w:val="007B50C0"/>
    <w:rsid w:val="007B5A06"/>
    <w:rsid w:val="007B5B76"/>
    <w:rsid w:val="007B7EC4"/>
    <w:rsid w:val="007C0621"/>
    <w:rsid w:val="007C1609"/>
    <w:rsid w:val="007C2D5D"/>
    <w:rsid w:val="007C36EC"/>
    <w:rsid w:val="007C410B"/>
    <w:rsid w:val="007C4CCB"/>
    <w:rsid w:val="007C564A"/>
    <w:rsid w:val="007C5CA8"/>
    <w:rsid w:val="007C730B"/>
    <w:rsid w:val="007D1488"/>
    <w:rsid w:val="007D19B1"/>
    <w:rsid w:val="007D1A56"/>
    <w:rsid w:val="007D1D7D"/>
    <w:rsid w:val="007D1F13"/>
    <w:rsid w:val="007D2119"/>
    <w:rsid w:val="007D3B97"/>
    <w:rsid w:val="007D40FE"/>
    <w:rsid w:val="007D437F"/>
    <w:rsid w:val="007D4679"/>
    <w:rsid w:val="007D498C"/>
    <w:rsid w:val="007D4A74"/>
    <w:rsid w:val="007D4B78"/>
    <w:rsid w:val="007D57EB"/>
    <w:rsid w:val="007D68D3"/>
    <w:rsid w:val="007D7FB4"/>
    <w:rsid w:val="007E1075"/>
    <w:rsid w:val="007E206E"/>
    <w:rsid w:val="007E3BE7"/>
    <w:rsid w:val="007E3BFF"/>
    <w:rsid w:val="007E3CC4"/>
    <w:rsid w:val="007E49F0"/>
    <w:rsid w:val="007E5E5E"/>
    <w:rsid w:val="007E68DD"/>
    <w:rsid w:val="007E6AB1"/>
    <w:rsid w:val="007E7056"/>
    <w:rsid w:val="007E70E7"/>
    <w:rsid w:val="007E7A6C"/>
    <w:rsid w:val="007E7BCF"/>
    <w:rsid w:val="007F10A0"/>
    <w:rsid w:val="007F188F"/>
    <w:rsid w:val="007F1CAE"/>
    <w:rsid w:val="007F212A"/>
    <w:rsid w:val="007F2E66"/>
    <w:rsid w:val="007F3418"/>
    <w:rsid w:val="007F349B"/>
    <w:rsid w:val="007F38A5"/>
    <w:rsid w:val="007F3D68"/>
    <w:rsid w:val="007F4129"/>
    <w:rsid w:val="007F54F8"/>
    <w:rsid w:val="007F725D"/>
    <w:rsid w:val="007F7966"/>
    <w:rsid w:val="00800926"/>
    <w:rsid w:val="00801253"/>
    <w:rsid w:val="00802055"/>
    <w:rsid w:val="00802080"/>
    <w:rsid w:val="0080242A"/>
    <w:rsid w:val="00803FBB"/>
    <w:rsid w:val="008040AF"/>
    <w:rsid w:val="008043A3"/>
    <w:rsid w:val="00806ABF"/>
    <w:rsid w:val="00806C46"/>
    <w:rsid w:val="00807975"/>
    <w:rsid w:val="00810868"/>
    <w:rsid w:val="00811537"/>
    <w:rsid w:val="00812279"/>
    <w:rsid w:val="00812D6A"/>
    <w:rsid w:val="00812EBA"/>
    <w:rsid w:val="00812EDB"/>
    <w:rsid w:val="00814155"/>
    <w:rsid w:val="00815BC1"/>
    <w:rsid w:val="00816D5E"/>
    <w:rsid w:val="00816FBD"/>
    <w:rsid w:val="00816FD8"/>
    <w:rsid w:val="00820630"/>
    <w:rsid w:val="008210ED"/>
    <w:rsid w:val="00822446"/>
    <w:rsid w:val="00822D14"/>
    <w:rsid w:val="0082510B"/>
    <w:rsid w:val="00825BAD"/>
    <w:rsid w:val="00825D92"/>
    <w:rsid w:val="00830C1D"/>
    <w:rsid w:val="00832816"/>
    <w:rsid w:val="008336E8"/>
    <w:rsid w:val="008341A1"/>
    <w:rsid w:val="00834DE1"/>
    <w:rsid w:val="00837383"/>
    <w:rsid w:val="008374C9"/>
    <w:rsid w:val="00837638"/>
    <w:rsid w:val="0083766A"/>
    <w:rsid w:val="0083799E"/>
    <w:rsid w:val="00840864"/>
    <w:rsid w:val="008408E0"/>
    <w:rsid w:val="00840BFB"/>
    <w:rsid w:val="00840F57"/>
    <w:rsid w:val="008426C8"/>
    <w:rsid w:val="00843891"/>
    <w:rsid w:val="00844DA5"/>
    <w:rsid w:val="0084558A"/>
    <w:rsid w:val="00845C45"/>
    <w:rsid w:val="0084627A"/>
    <w:rsid w:val="008463CC"/>
    <w:rsid w:val="0085056D"/>
    <w:rsid w:val="00850E49"/>
    <w:rsid w:val="00850F96"/>
    <w:rsid w:val="00851AE8"/>
    <w:rsid w:val="008528CE"/>
    <w:rsid w:val="00853520"/>
    <w:rsid w:val="0085483D"/>
    <w:rsid w:val="0085491D"/>
    <w:rsid w:val="00856375"/>
    <w:rsid w:val="00856C03"/>
    <w:rsid w:val="00856C9A"/>
    <w:rsid w:val="008612AC"/>
    <w:rsid w:val="00861505"/>
    <w:rsid w:val="00861F55"/>
    <w:rsid w:val="00862621"/>
    <w:rsid w:val="00862A50"/>
    <w:rsid w:val="008645D7"/>
    <w:rsid w:val="00864679"/>
    <w:rsid w:val="00865373"/>
    <w:rsid w:val="008654D7"/>
    <w:rsid w:val="00865751"/>
    <w:rsid w:val="00865A99"/>
    <w:rsid w:val="0086700C"/>
    <w:rsid w:val="00867E2D"/>
    <w:rsid w:val="00870128"/>
    <w:rsid w:val="008707F1"/>
    <w:rsid w:val="008714A7"/>
    <w:rsid w:val="00871A36"/>
    <w:rsid w:val="00871D65"/>
    <w:rsid w:val="00871EF4"/>
    <w:rsid w:val="008735B2"/>
    <w:rsid w:val="0087360E"/>
    <w:rsid w:val="008737A2"/>
    <w:rsid w:val="0087424E"/>
    <w:rsid w:val="00874315"/>
    <w:rsid w:val="00874A24"/>
    <w:rsid w:val="00875758"/>
    <w:rsid w:val="00875AA7"/>
    <w:rsid w:val="0088071B"/>
    <w:rsid w:val="00880C33"/>
    <w:rsid w:val="0088206F"/>
    <w:rsid w:val="00882288"/>
    <w:rsid w:val="008833D0"/>
    <w:rsid w:val="00883895"/>
    <w:rsid w:val="008842AB"/>
    <w:rsid w:val="0088532A"/>
    <w:rsid w:val="008859D8"/>
    <w:rsid w:val="00885B31"/>
    <w:rsid w:val="00885B86"/>
    <w:rsid w:val="00886A51"/>
    <w:rsid w:val="00886FCA"/>
    <w:rsid w:val="008874B8"/>
    <w:rsid w:val="00887BE6"/>
    <w:rsid w:val="00887CFF"/>
    <w:rsid w:val="00887E20"/>
    <w:rsid w:val="00890863"/>
    <w:rsid w:val="00890986"/>
    <w:rsid w:val="00891541"/>
    <w:rsid w:val="00892066"/>
    <w:rsid w:val="00892624"/>
    <w:rsid w:val="008948D9"/>
    <w:rsid w:val="00895D2C"/>
    <w:rsid w:val="00896BF8"/>
    <w:rsid w:val="008975F5"/>
    <w:rsid w:val="008A07CB"/>
    <w:rsid w:val="008A1001"/>
    <w:rsid w:val="008A196B"/>
    <w:rsid w:val="008A1A27"/>
    <w:rsid w:val="008A2E9C"/>
    <w:rsid w:val="008A3763"/>
    <w:rsid w:val="008A4998"/>
    <w:rsid w:val="008A5BF4"/>
    <w:rsid w:val="008A5C79"/>
    <w:rsid w:val="008A6B8C"/>
    <w:rsid w:val="008A7DAA"/>
    <w:rsid w:val="008B067D"/>
    <w:rsid w:val="008B172E"/>
    <w:rsid w:val="008B18CD"/>
    <w:rsid w:val="008B1E96"/>
    <w:rsid w:val="008B3B58"/>
    <w:rsid w:val="008B46B8"/>
    <w:rsid w:val="008B5433"/>
    <w:rsid w:val="008B5D82"/>
    <w:rsid w:val="008B66F4"/>
    <w:rsid w:val="008C021C"/>
    <w:rsid w:val="008C050B"/>
    <w:rsid w:val="008C0C46"/>
    <w:rsid w:val="008C1020"/>
    <w:rsid w:val="008C328A"/>
    <w:rsid w:val="008C3E48"/>
    <w:rsid w:val="008C4543"/>
    <w:rsid w:val="008C50A8"/>
    <w:rsid w:val="008C5B9B"/>
    <w:rsid w:val="008C5DDC"/>
    <w:rsid w:val="008C7D18"/>
    <w:rsid w:val="008C7F7F"/>
    <w:rsid w:val="008D0729"/>
    <w:rsid w:val="008D0AEE"/>
    <w:rsid w:val="008D0B4F"/>
    <w:rsid w:val="008D0E3D"/>
    <w:rsid w:val="008D1296"/>
    <w:rsid w:val="008D241F"/>
    <w:rsid w:val="008D34B8"/>
    <w:rsid w:val="008D4747"/>
    <w:rsid w:val="008D65C1"/>
    <w:rsid w:val="008D7649"/>
    <w:rsid w:val="008E0C4C"/>
    <w:rsid w:val="008E187A"/>
    <w:rsid w:val="008E1892"/>
    <w:rsid w:val="008E1CCF"/>
    <w:rsid w:val="008E1EC0"/>
    <w:rsid w:val="008E281C"/>
    <w:rsid w:val="008E45A5"/>
    <w:rsid w:val="008E506E"/>
    <w:rsid w:val="008E5AFE"/>
    <w:rsid w:val="008E6AB8"/>
    <w:rsid w:val="008E79DF"/>
    <w:rsid w:val="008E7B29"/>
    <w:rsid w:val="008F1837"/>
    <w:rsid w:val="008F23D6"/>
    <w:rsid w:val="008F3F72"/>
    <w:rsid w:val="008F52A3"/>
    <w:rsid w:val="008F55EA"/>
    <w:rsid w:val="008F6E6E"/>
    <w:rsid w:val="008F7219"/>
    <w:rsid w:val="008F73F9"/>
    <w:rsid w:val="009017DA"/>
    <w:rsid w:val="00901F35"/>
    <w:rsid w:val="009020BD"/>
    <w:rsid w:val="00902B4F"/>
    <w:rsid w:val="00902BFD"/>
    <w:rsid w:val="009030CB"/>
    <w:rsid w:val="009036E0"/>
    <w:rsid w:val="00903ACB"/>
    <w:rsid w:val="00903B35"/>
    <w:rsid w:val="00903C7A"/>
    <w:rsid w:val="00905799"/>
    <w:rsid w:val="009100F6"/>
    <w:rsid w:val="009105F0"/>
    <w:rsid w:val="0091136F"/>
    <w:rsid w:val="00911F28"/>
    <w:rsid w:val="00912128"/>
    <w:rsid w:val="00912A3C"/>
    <w:rsid w:val="0091353E"/>
    <w:rsid w:val="009140A1"/>
    <w:rsid w:val="00914165"/>
    <w:rsid w:val="00914272"/>
    <w:rsid w:val="00914E19"/>
    <w:rsid w:val="009168E6"/>
    <w:rsid w:val="0092076E"/>
    <w:rsid w:val="009216A6"/>
    <w:rsid w:val="00921D02"/>
    <w:rsid w:val="00921ECF"/>
    <w:rsid w:val="0092227D"/>
    <w:rsid w:val="009226DE"/>
    <w:rsid w:val="00923964"/>
    <w:rsid w:val="00924789"/>
    <w:rsid w:val="0092578F"/>
    <w:rsid w:val="009263D1"/>
    <w:rsid w:val="00926F6A"/>
    <w:rsid w:val="00927DF9"/>
    <w:rsid w:val="00930353"/>
    <w:rsid w:val="00930EF6"/>
    <w:rsid w:val="009315C6"/>
    <w:rsid w:val="009323BA"/>
    <w:rsid w:val="009331A7"/>
    <w:rsid w:val="0093380C"/>
    <w:rsid w:val="00933F04"/>
    <w:rsid w:val="00933F12"/>
    <w:rsid w:val="00936832"/>
    <w:rsid w:val="00936FF5"/>
    <w:rsid w:val="009374B1"/>
    <w:rsid w:val="00937DD9"/>
    <w:rsid w:val="00941031"/>
    <w:rsid w:val="00941611"/>
    <w:rsid w:val="009416A7"/>
    <w:rsid w:val="00941928"/>
    <w:rsid w:val="00942ACF"/>
    <w:rsid w:val="00943CA5"/>
    <w:rsid w:val="00944B84"/>
    <w:rsid w:val="0094603E"/>
    <w:rsid w:val="00946096"/>
    <w:rsid w:val="009462D7"/>
    <w:rsid w:val="009468D1"/>
    <w:rsid w:val="00947064"/>
    <w:rsid w:val="00947276"/>
    <w:rsid w:val="009474D8"/>
    <w:rsid w:val="00947870"/>
    <w:rsid w:val="00947D93"/>
    <w:rsid w:val="009509FA"/>
    <w:rsid w:val="00951219"/>
    <w:rsid w:val="00951585"/>
    <w:rsid w:val="009517DF"/>
    <w:rsid w:val="00951805"/>
    <w:rsid w:val="009521DF"/>
    <w:rsid w:val="00952306"/>
    <w:rsid w:val="009525CF"/>
    <w:rsid w:val="009539BE"/>
    <w:rsid w:val="0095416D"/>
    <w:rsid w:val="009542BA"/>
    <w:rsid w:val="00954830"/>
    <w:rsid w:val="009549E0"/>
    <w:rsid w:val="00955112"/>
    <w:rsid w:val="009552A5"/>
    <w:rsid w:val="009559E8"/>
    <w:rsid w:val="0095681F"/>
    <w:rsid w:val="00957050"/>
    <w:rsid w:val="00957830"/>
    <w:rsid w:val="009605A7"/>
    <w:rsid w:val="009606A9"/>
    <w:rsid w:val="0096098A"/>
    <w:rsid w:val="0096373B"/>
    <w:rsid w:val="00964CA8"/>
    <w:rsid w:val="009651DD"/>
    <w:rsid w:val="009653CE"/>
    <w:rsid w:val="009653D1"/>
    <w:rsid w:val="0096645C"/>
    <w:rsid w:val="00966EAE"/>
    <w:rsid w:val="009674CA"/>
    <w:rsid w:val="00967DC1"/>
    <w:rsid w:val="00967F31"/>
    <w:rsid w:val="0097016B"/>
    <w:rsid w:val="009721FD"/>
    <w:rsid w:val="00972980"/>
    <w:rsid w:val="00973173"/>
    <w:rsid w:val="009735EC"/>
    <w:rsid w:val="00973DBD"/>
    <w:rsid w:val="009754D3"/>
    <w:rsid w:val="00975960"/>
    <w:rsid w:val="009759F3"/>
    <w:rsid w:val="009762B8"/>
    <w:rsid w:val="00977723"/>
    <w:rsid w:val="00977CF8"/>
    <w:rsid w:val="00980065"/>
    <w:rsid w:val="00980BA1"/>
    <w:rsid w:val="009816A6"/>
    <w:rsid w:val="0098173C"/>
    <w:rsid w:val="00981D6B"/>
    <w:rsid w:val="0098270C"/>
    <w:rsid w:val="00982E99"/>
    <w:rsid w:val="00983899"/>
    <w:rsid w:val="00983FB9"/>
    <w:rsid w:val="00984CBE"/>
    <w:rsid w:val="00984F41"/>
    <w:rsid w:val="00985D0C"/>
    <w:rsid w:val="009866CB"/>
    <w:rsid w:val="00987D65"/>
    <w:rsid w:val="00990F17"/>
    <w:rsid w:val="00990F82"/>
    <w:rsid w:val="0099106E"/>
    <w:rsid w:val="00991AAA"/>
    <w:rsid w:val="00992402"/>
    <w:rsid w:val="0099328B"/>
    <w:rsid w:val="009947D1"/>
    <w:rsid w:val="00994BD3"/>
    <w:rsid w:val="00995C34"/>
    <w:rsid w:val="00995F73"/>
    <w:rsid w:val="009972F7"/>
    <w:rsid w:val="00997A35"/>
    <w:rsid w:val="009A2585"/>
    <w:rsid w:val="009A35C1"/>
    <w:rsid w:val="009A3CAD"/>
    <w:rsid w:val="009A50C2"/>
    <w:rsid w:val="009A57AC"/>
    <w:rsid w:val="009A7056"/>
    <w:rsid w:val="009A76C9"/>
    <w:rsid w:val="009A77CA"/>
    <w:rsid w:val="009B0107"/>
    <w:rsid w:val="009B0DDF"/>
    <w:rsid w:val="009B268D"/>
    <w:rsid w:val="009B2833"/>
    <w:rsid w:val="009B4107"/>
    <w:rsid w:val="009B4122"/>
    <w:rsid w:val="009B517E"/>
    <w:rsid w:val="009B63C1"/>
    <w:rsid w:val="009B682E"/>
    <w:rsid w:val="009B7711"/>
    <w:rsid w:val="009B7B6E"/>
    <w:rsid w:val="009C0394"/>
    <w:rsid w:val="009C0766"/>
    <w:rsid w:val="009C0C00"/>
    <w:rsid w:val="009C53AC"/>
    <w:rsid w:val="009C65BD"/>
    <w:rsid w:val="009C6881"/>
    <w:rsid w:val="009C6B73"/>
    <w:rsid w:val="009D0516"/>
    <w:rsid w:val="009D0B08"/>
    <w:rsid w:val="009D0D24"/>
    <w:rsid w:val="009D1291"/>
    <w:rsid w:val="009D14DC"/>
    <w:rsid w:val="009D24CF"/>
    <w:rsid w:val="009D27FB"/>
    <w:rsid w:val="009D3131"/>
    <w:rsid w:val="009D3A07"/>
    <w:rsid w:val="009D4B50"/>
    <w:rsid w:val="009D6EE7"/>
    <w:rsid w:val="009E0179"/>
    <w:rsid w:val="009E01D8"/>
    <w:rsid w:val="009E0C20"/>
    <w:rsid w:val="009E0F72"/>
    <w:rsid w:val="009E1A3B"/>
    <w:rsid w:val="009E1D6E"/>
    <w:rsid w:val="009E20C8"/>
    <w:rsid w:val="009E219D"/>
    <w:rsid w:val="009E4363"/>
    <w:rsid w:val="009E5A39"/>
    <w:rsid w:val="009E5F9E"/>
    <w:rsid w:val="009E7AA5"/>
    <w:rsid w:val="009E7BAD"/>
    <w:rsid w:val="009F0686"/>
    <w:rsid w:val="009F0B18"/>
    <w:rsid w:val="009F0D78"/>
    <w:rsid w:val="009F21D7"/>
    <w:rsid w:val="009F2D1E"/>
    <w:rsid w:val="009F370E"/>
    <w:rsid w:val="009F43EA"/>
    <w:rsid w:val="009F4EBA"/>
    <w:rsid w:val="009F6322"/>
    <w:rsid w:val="009F71E2"/>
    <w:rsid w:val="009F786F"/>
    <w:rsid w:val="009F7C66"/>
    <w:rsid w:val="00A00C69"/>
    <w:rsid w:val="00A021D1"/>
    <w:rsid w:val="00A03B3E"/>
    <w:rsid w:val="00A0500A"/>
    <w:rsid w:val="00A05372"/>
    <w:rsid w:val="00A05911"/>
    <w:rsid w:val="00A060CE"/>
    <w:rsid w:val="00A068E7"/>
    <w:rsid w:val="00A078F7"/>
    <w:rsid w:val="00A07FB3"/>
    <w:rsid w:val="00A102F4"/>
    <w:rsid w:val="00A106D9"/>
    <w:rsid w:val="00A12EC9"/>
    <w:rsid w:val="00A130FF"/>
    <w:rsid w:val="00A13BE6"/>
    <w:rsid w:val="00A13E21"/>
    <w:rsid w:val="00A16179"/>
    <w:rsid w:val="00A175C0"/>
    <w:rsid w:val="00A21D74"/>
    <w:rsid w:val="00A220BD"/>
    <w:rsid w:val="00A22876"/>
    <w:rsid w:val="00A24424"/>
    <w:rsid w:val="00A246A9"/>
    <w:rsid w:val="00A24A4C"/>
    <w:rsid w:val="00A25414"/>
    <w:rsid w:val="00A25A32"/>
    <w:rsid w:val="00A2664C"/>
    <w:rsid w:val="00A27392"/>
    <w:rsid w:val="00A27E0F"/>
    <w:rsid w:val="00A3086E"/>
    <w:rsid w:val="00A3095D"/>
    <w:rsid w:val="00A309E9"/>
    <w:rsid w:val="00A312F2"/>
    <w:rsid w:val="00A31753"/>
    <w:rsid w:val="00A317AA"/>
    <w:rsid w:val="00A3203F"/>
    <w:rsid w:val="00A3313D"/>
    <w:rsid w:val="00A33255"/>
    <w:rsid w:val="00A33549"/>
    <w:rsid w:val="00A33BAF"/>
    <w:rsid w:val="00A33D6C"/>
    <w:rsid w:val="00A33E9A"/>
    <w:rsid w:val="00A35644"/>
    <w:rsid w:val="00A36059"/>
    <w:rsid w:val="00A36485"/>
    <w:rsid w:val="00A366FB"/>
    <w:rsid w:val="00A36B0C"/>
    <w:rsid w:val="00A36F07"/>
    <w:rsid w:val="00A370E6"/>
    <w:rsid w:val="00A37176"/>
    <w:rsid w:val="00A4031B"/>
    <w:rsid w:val="00A410E0"/>
    <w:rsid w:val="00A41AE3"/>
    <w:rsid w:val="00A41F25"/>
    <w:rsid w:val="00A4277F"/>
    <w:rsid w:val="00A444A4"/>
    <w:rsid w:val="00A44DF3"/>
    <w:rsid w:val="00A4587A"/>
    <w:rsid w:val="00A45F96"/>
    <w:rsid w:val="00A463EF"/>
    <w:rsid w:val="00A47B59"/>
    <w:rsid w:val="00A500A4"/>
    <w:rsid w:val="00A50A2C"/>
    <w:rsid w:val="00A5270A"/>
    <w:rsid w:val="00A52998"/>
    <w:rsid w:val="00A53160"/>
    <w:rsid w:val="00A53C3B"/>
    <w:rsid w:val="00A53F9A"/>
    <w:rsid w:val="00A5434D"/>
    <w:rsid w:val="00A54575"/>
    <w:rsid w:val="00A54F5A"/>
    <w:rsid w:val="00A56ECE"/>
    <w:rsid w:val="00A60077"/>
    <w:rsid w:val="00A604BB"/>
    <w:rsid w:val="00A623E9"/>
    <w:rsid w:val="00A626C2"/>
    <w:rsid w:val="00A63AA5"/>
    <w:rsid w:val="00A63D5F"/>
    <w:rsid w:val="00A63F53"/>
    <w:rsid w:val="00A648CB"/>
    <w:rsid w:val="00A64972"/>
    <w:rsid w:val="00A65445"/>
    <w:rsid w:val="00A66034"/>
    <w:rsid w:val="00A66A2D"/>
    <w:rsid w:val="00A66F80"/>
    <w:rsid w:val="00A6726E"/>
    <w:rsid w:val="00A679F0"/>
    <w:rsid w:val="00A713D5"/>
    <w:rsid w:val="00A714C0"/>
    <w:rsid w:val="00A7188E"/>
    <w:rsid w:val="00A7192E"/>
    <w:rsid w:val="00A72CC9"/>
    <w:rsid w:val="00A747D0"/>
    <w:rsid w:val="00A75097"/>
    <w:rsid w:val="00A7518E"/>
    <w:rsid w:val="00A753CF"/>
    <w:rsid w:val="00A77699"/>
    <w:rsid w:val="00A7769C"/>
    <w:rsid w:val="00A80174"/>
    <w:rsid w:val="00A80286"/>
    <w:rsid w:val="00A8192F"/>
    <w:rsid w:val="00A81A06"/>
    <w:rsid w:val="00A81D09"/>
    <w:rsid w:val="00A82A58"/>
    <w:rsid w:val="00A83738"/>
    <w:rsid w:val="00A860E9"/>
    <w:rsid w:val="00A86483"/>
    <w:rsid w:val="00A872A4"/>
    <w:rsid w:val="00A8756A"/>
    <w:rsid w:val="00A87802"/>
    <w:rsid w:val="00A9027A"/>
    <w:rsid w:val="00A90581"/>
    <w:rsid w:val="00A913C6"/>
    <w:rsid w:val="00A9152A"/>
    <w:rsid w:val="00A91573"/>
    <w:rsid w:val="00A9167D"/>
    <w:rsid w:val="00A91CD0"/>
    <w:rsid w:val="00A92109"/>
    <w:rsid w:val="00A921B7"/>
    <w:rsid w:val="00A92351"/>
    <w:rsid w:val="00A92BAF"/>
    <w:rsid w:val="00A92E0A"/>
    <w:rsid w:val="00A94E8B"/>
    <w:rsid w:val="00A94F98"/>
    <w:rsid w:val="00A9555F"/>
    <w:rsid w:val="00A956DE"/>
    <w:rsid w:val="00A96805"/>
    <w:rsid w:val="00A97A46"/>
    <w:rsid w:val="00AA00C1"/>
    <w:rsid w:val="00AA15DE"/>
    <w:rsid w:val="00AA221F"/>
    <w:rsid w:val="00AA2868"/>
    <w:rsid w:val="00AA34CB"/>
    <w:rsid w:val="00AA34E8"/>
    <w:rsid w:val="00AA38BD"/>
    <w:rsid w:val="00AA3EB9"/>
    <w:rsid w:val="00AA4758"/>
    <w:rsid w:val="00AA4797"/>
    <w:rsid w:val="00AA4DCF"/>
    <w:rsid w:val="00AA6929"/>
    <w:rsid w:val="00AA6EC6"/>
    <w:rsid w:val="00AA6F13"/>
    <w:rsid w:val="00AB0398"/>
    <w:rsid w:val="00AB0585"/>
    <w:rsid w:val="00AB1716"/>
    <w:rsid w:val="00AB1F69"/>
    <w:rsid w:val="00AB2646"/>
    <w:rsid w:val="00AB44CD"/>
    <w:rsid w:val="00AB47D6"/>
    <w:rsid w:val="00AB5BC3"/>
    <w:rsid w:val="00AB7CCC"/>
    <w:rsid w:val="00AB7D76"/>
    <w:rsid w:val="00AC0060"/>
    <w:rsid w:val="00AC05B6"/>
    <w:rsid w:val="00AC19D9"/>
    <w:rsid w:val="00AC38CC"/>
    <w:rsid w:val="00AC3C56"/>
    <w:rsid w:val="00AC564D"/>
    <w:rsid w:val="00AC651D"/>
    <w:rsid w:val="00AC6A3F"/>
    <w:rsid w:val="00AD0BE9"/>
    <w:rsid w:val="00AD10F2"/>
    <w:rsid w:val="00AD116D"/>
    <w:rsid w:val="00AD34F0"/>
    <w:rsid w:val="00AD43CD"/>
    <w:rsid w:val="00AD650A"/>
    <w:rsid w:val="00AD7951"/>
    <w:rsid w:val="00AD7F0E"/>
    <w:rsid w:val="00AE00F0"/>
    <w:rsid w:val="00AE0A75"/>
    <w:rsid w:val="00AE1475"/>
    <w:rsid w:val="00AE1CFB"/>
    <w:rsid w:val="00AE302F"/>
    <w:rsid w:val="00AE34F7"/>
    <w:rsid w:val="00AE4A49"/>
    <w:rsid w:val="00AE5016"/>
    <w:rsid w:val="00AE5980"/>
    <w:rsid w:val="00AE7676"/>
    <w:rsid w:val="00AF211A"/>
    <w:rsid w:val="00AF2E51"/>
    <w:rsid w:val="00AF2F20"/>
    <w:rsid w:val="00AF327D"/>
    <w:rsid w:val="00AF3623"/>
    <w:rsid w:val="00AF51C1"/>
    <w:rsid w:val="00AF5D3D"/>
    <w:rsid w:val="00AF6EBF"/>
    <w:rsid w:val="00AF703E"/>
    <w:rsid w:val="00AF7A4F"/>
    <w:rsid w:val="00AF7AF2"/>
    <w:rsid w:val="00AF7CE5"/>
    <w:rsid w:val="00B00252"/>
    <w:rsid w:val="00B00335"/>
    <w:rsid w:val="00B00939"/>
    <w:rsid w:val="00B01A3F"/>
    <w:rsid w:val="00B01D2C"/>
    <w:rsid w:val="00B01DD2"/>
    <w:rsid w:val="00B0259A"/>
    <w:rsid w:val="00B044C4"/>
    <w:rsid w:val="00B050FE"/>
    <w:rsid w:val="00B052B0"/>
    <w:rsid w:val="00B05585"/>
    <w:rsid w:val="00B073EC"/>
    <w:rsid w:val="00B07592"/>
    <w:rsid w:val="00B079D4"/>
    <w:rsid w:val="00B07AED"/>
    <w:rsid w:val="00B07DFC"/>
    <w:rsid w:val="00B11FF7"/>
    <w:rsid w:val="00B1322E"/>
    <w:rsid w:val="00B1357B"/>
    <w:rsid w:val="00B135DC"/>
    <w:rsid w:val="00B136D6"/>
    <w:rsid w:val="00B15B3B"/>
    <w:rsid w:val="00B16A29"/>
    <w:rsid w:val="00B177C0"/>
    <w:rsid w:val="00B202C5"/>
    <w:rsid w:val="00B228DE"/>
    <w:rsid w:val="00B22A34"/>
    <w:rsid w:val="00B2380A"/>
    <w:rsid w:val="00B23884"/>
    <w:rsid w:val="00B24230"/>
    <w:rsid w:val="00B24465"/>
    <w:rsid w:val="00B24A20"/>
    <w:rsid w:val="00B24DCD"/>
    <w:rsid w:val="00B250A1"/>
    <w:rsid w:val="00B2532E"/>
    <w:rsid w:val="00B25F43"/>
    <w:rsid w:val="00B2740F"/>
    <w:rsid w:val="00B275AA"/>
    <w:rsid w:val="00B31CD1"/>
    <w:rsid w:val="00B3229F"/>
    <w:rsid w:val="00B32578"/>
    <w:rsid w:val="00B33448"/>
    <w:rsid w:val="00B3396C"/>
    <w:rsid w:val="00B33CF0"/>
    <w:rsid w:val="00B342AE"/>
    <w:rsid w:val="00B36A7F"/>
    <w:rsid w:val="00B40100"/>
    <w:rsid w:val="00B4136A"/>
    <w:rsid w:val="00B4137C"/>
    <w:rsid w:val="00B419A9"/>
    <w:rsid w:val="00B41A26"/>
    <w:rsid w:val="00B42384"/>
    <w:rsid w:val="00B42AA8"/>
    <w:rsid w:val="00B42B9D"/>
    <w:rsid w:val="00B42BAC"/>
    <w:rsid w:val="00B42D4E"/>
    <w:rsid w:val="00B42DC4"/>
    <w:rsid w:val="00B43AE8"/>
    <w:rsid w:val="00B43E1F"/>
    <w:rsid w:val="00B44052"/>
    <w:rsid w:val="00B45348"/>
    <w:rsid w:val="00B45B8A"/>
    <w:rsid w:val="00B460EA"/>
    <w:rsid w:val="00B47072"/>
    <w:rsid w:val="00B47A6B"/>
    <w:rsid w:val="00B514FC"/>
    <w:rsid w:val="00B5269F"/>
    <w:rsid w:val="00B526CB"/>
    <w:rsid w:val="00B5361F"/>
    <w:rsid w:val="00B55330"/>
    <w:rsid w:val="00B5574D"/>
    <w:rsid w:val="00B5612C"/>
    <w:rsid w:val="00B57779"/>
    <w:rsid w:val="00B60FE4"/>
    <w:rsid w:val="00B6287C"/>
    <w:rsid w:val="00B62F3F"/>
    <w:rsid w:val="00B63C4F"/>
    <w:rsid w:val="00B64636"/>
    <w:rsid w:val="00B65E6F"/>
    <w:rsid w:val="00B673A3"/>
    <w:rsid w:val="00B6796B"/>
    <w:rsid w:val="00B67E14"/>
    <w:rsid w:val="00B7058C"/>
    <w:rsid w:val="00B71A0B"/>
    <w:rsid w:val="00B7240E"/>
    <w:rsid w:val="00B737E9"/>
    <w:rsid w:val="00B7440F"/>
    <w:rsid w:val="00B76462"/>
    <w:rsid w:val="00B76F0B"/>
    <w:rsid w:val="00B827A9"/>
    <w:rsid w:val="00B82F74"/>
    <w:rsid w:val="00B82FB0"/>
    <w:rsid w:val="00B8428C"/>
    <w:rsid w:val="00B90B90"/>
    <w:rsid w:val="00B917C0"/>
    <w:rsid w:val="00B9254F"/>
    <w:rsid w:val="00B925C0"/>
    <w:rsid w:val="00B938E3"/>
    <w:rsid w:val="00B960F2"/>
    <w:rsid w:val="00B96D9C"/>
    <w:rsid w:val="00B97298"/>
    <w:rsid w:val="00B97A70"/>
    <w:rsid w:val="00B97FEE"/>
    <w:rsid w:val="00BA009E"/>
    <w:rsid w:val="00BA0565"/>
    <w:rsid w:val="00BA0E62"/>
    <w:rsid w:val="00BA0FF9"/>
    <w:rsid w:val="00BA109D"/>
    <w:rsid w:val="00BA1868"/>
    <w:rsid w:val="00BA1F4C"/>
    <w:rsid w:val="00BA2052"/>
    <w:rsid w:val="00BA20CF"/>
    <w:rsid w:val="00BA265A"/>
    <w:rsid w:val="00BA2BBF"/>
    <w:rsid w:val="00BA34CA"/>
    <w:rsid w:val="00BA3930"/>
    <w:rsid w:val="00BA49BC"/>
    <w:rsid w:val="00BA52DD"/>
    <w:rsid w:val="00BA5338"/>
    <w:rsid w:val="00BA54A5"/>
    <w:rsid w:val="00BA5F36"/>
    <w:rsid w:val="00BA639E"/>
    <w:rsid w:val="00BA6BC5"/>
    <w:rsid w:val="00BA7018"/>
    <w:rsid w:val="00BA7454"/>
    <w:rsid w:val="00BA7954"/>
    <w:rsid w:val="00BB00F4"/>
    <w:rsid w:val="00BB0251"/>
    <w:rsid w:val="00BB07F4"/>
    <w:rsid w:val="00BB0D49"/>
    <w:rsid w:val="00BB0D77"/>
    <w:rsid w:val="00BB145B"/>
    <w:rsid w:val="00BB1C6B"/>
    <w:rsid w:val="00BB2669"/>
    <w:rsid w:val="00BB27B9"/>
    <w:rsid w:val="00BB286F"/>
    <w:rsid w:val="00BB2B8C"/>
    <w:rsid w:val="00BB3371"/>
    <w:rsid w:val="00BB3BC3"/>
    <w:rsid w:val="00BB4C4E"/>
    <w:rsid w:val="00BB5215"/>
    <w:rsid w:val="00BB5D53"/>
    <w:rsid w:val="00BB6897"/>
    <w:rsid w:val="00BB69CA"/>
    <w:rsid w:val="00BB7DA1"/>
    <w:rsid w:val="00BC0FF0"/>
    <w:rsid w:val="00BC2918"/>
    <w:rsid w:val="00BC2E34"/>
    <w:rsid w:val="00BC335C"/>
    <w:rsid w:val="00BC66AD"/>
    <w:rsid w:val="00BC678F"/>
    <w:rsid w:val="00BC6883"/>
    <w:rsid w:val="00BC6E0B"/>
    <w:rsid w:val="00BC7921"/>
    <w:rsid w:val="00BCF6D8"/>
    <w:rsid w:val="00BD020C"/>
    <w:rsid w:val="00BD06CC"/>
    <w:rsid w:val="00BD18F5"/>
    <w:rsid w:val="00BD1BED"/>
    <w:rsid w:val="00BD25AC"/>
    <w:rsid w:val="00BD2754"/>
    <w:rsid w:val="00BD3ED5"/>
    <w:rsid w:val="00BD4FA1"/>
    <w:rsid w:val="00BD64A2"/>
    <w:rsid w:val="00BD740A"/>
    <w:rsid w:val="00BE004B"/>
    <w:rsid w:val="00BE05EA"/>
    <w:rsid w:val="00BE1B67"/>
    <w:rsid w:val="00BE2551"/>
    <w:rsid w:val="00BE2B92"/>
    <w:rsid w:val="00BE3686"/>
    <w:rsid w:val="00BE4483"/>
    <w:rsid w:val="00BE45D5"/>
    <w:rsid w:val="00BE4728"/>
    <w:rsid w:val="00BE50AF"/>
    <w:rsid w:val="00BE537B"/>
    <w:rsid w:val="00BE5AB9"/>
    <w:rsid w:val="00BE7048"/>
    <w:rsid w:val="00BE7EE1"/>
    <w:rsid w:val="00BF00EB"/>
    <w:rsid w:val="00BF0670"/>
    <w:rsid w:val="00BF0F96"/>
    <w:rsid w:val="00BF2D4F"/>
    <w:rsid w:val="00BF3633"/>
    <w:rsid w:val="00BF4120"/>
    <w:rsid w:val="00BF6138"/>
    <w:rsid w:val="00BF64CE"/>
    <w:rsid w:val="00C00549"/>
    <w:rsid w:val="00C0126A"/>
    <w:rsid w:val="00C01FFE"/>
    <w:rsid w:val="00C02803"/>
    <w:rsid w:val="00C02814"/>
    <w:rsid w:val="00C029F3"/>
    <w:rsid w:val="00C02A85"/>
    <w:rsid w:val="00C04A3E"/>
    <w:rsid w:val="00C051A1"/>
    <w:rsid w:val="00C0612D"/>
    <w:rsid w:val="00C0661D"/>
    <w:rsid w:val="00C07A66"/>
    <w:rsid w:val="00C10578"/>
    <w:rsid w:val="00C10B90"/>
    <w:rsid w:val="00C117FA"/>
    <w:rsid w:val="00C11EA2"/>
    <w:rsid w:val="00C13547"/>
    <w:rsid w:val="00C13E9D"/>
    <w:rsid w:val="00C158C0"/>
    <w:rsid w:val="00C160C8"/>
    <w:rsid w:val="00C179B1"/>
    <w:rsid w:val="00C17CAB"/>
    <w:rsid w:val="00C17DAA"/>
    <w:rsid w:val="00C20373"/>
    <w:rsid w:val="00C205D6"/>
    <w:rsid w:val="00C20FA7"/>
    <w:rsid w:val="00C2114E"/>
    <w:rsid w:val="00C22063"/>
    <w:rsid w:val="00C2288D"/>
    <w:rsid w:val="00C231BF"/>
    <w:rsid w:val="00C232C5"/>
    <w:rsid w:val="00C24C7C"/>
    <w:rsid w:val="00C251E9"/>
    <w:rsid w:val="00C2692C"/>
    <w:rsid w:val="00C26CD7"/>
    <w:rsid w:val="00C26DEC"/>
    <w:rsid w:val="00C27273"/>
    <w:rsid w:val="00C331E1"/>
    <w:rsid w:val="00C3454E"/>
    <w:rsid w:val="00C3522C"/>
    <w:rsid w:val="00C364DB"/>
    <w:rsid w:val="00C36E0D"/>
    <w:rsid w:val="00C37817"/>
    <w:rsid w:val="00C40371"/>
    <w:rsid w:val="00C410F9"/>
    <w:rsid w:val="00C41D54"/>
    <w:rsid w:val="00C42AED"/>
    <w:rsid w:val="00C43A48"/>
    <w:rsid w:val="00C43F6F"/>
    <w:rsid w:val="00C4446A"/>
    <w:rsid w:val="00C44749"/>
    <w:rsid w:val="00C45C6C"/>
    <w:rsid w:val="00C50819"/>
    <w:rsid w:val="00C50DE5"/>
    <w:rsid w:val="00C51333"/>
    <w:rsid w:val="00C51F16"/>
    <w:rsid w:val="00C52032"/>
    <w:rsid w:val="00C52779"/>
    <w:rsid w:val="00C52BC2"/>
    <w:rsid w:val="00C53794"/>
    <w:rsid w:val="00C538E8"/>
    <w:rsid w:val="00C55DC1"/>
    <w:rsid w:val="00C57281"/>
    <w:rsid w:val="00C57E62"/>
    <w:rsid w:val="00C57ECD"/>
    <w:rsid w:val="00C62760"/>
    <w:rsid w:val="00C63971"/>
    <w:rsid w:val="00C639B4"/>
    <w:rsid w:val="00C6483B"/>
    <w:rsid w:val="00C65257"/>
    <w:rsid w:val="00C66B79"/>
    <w:rsid w:val="00C70032"/>
    <w:rsid w:val="00C717FA"/>
    <w:rsid w:val="00C71AA7"/>
    <w:rsid w:val="00C7237E"/>
    <w:rsid w:val="00C7347D"/>
    <w:rsid w:val="00C736DC"/>
    <w:rsid w:val="00C73A0D"/>
    <w:rsid w:val="00C73B8A"/>
    <w:rsid w:val="00C740B4"/>
    <w:rsid w:val="00C7519E"/>
    <w:rsid w:val="00C751CA"/>
    <w:rsid w:val="00C77EE7"/>
    <w:rsid w:val="00C80776"/>
    <w:rsid w:val="00C815F5"/>
    <w:rsid w:val="00C840A9"/>
    <w:rsid w:val="00C84F53"/>
    <w:rsid w:val="00C85A91"/>
    <w:rsid w:val="00C85B4E"/>
    <w:rsid w:val="00C85DC8"/>
    <w:rsid w:val="00C8685A"/>
    <w:rsid w:val="00C86E2D"/>
    <w:rsid w:val="00C92C1B"/>
    <w:rsid w:val="00C93BE9"/>
    <w:rsid w:val="00C9481A"/>
    <w:rsid w:val="00C95144"/>
    <w:rsid w:val="00C95550"/>
    <w:rsid w:val="00C95CD3"/>
    <w:rsid w:val="00C95D6E"/>
    <w:rsid w:val="00C96764"/>
    <w:rsid w:val="00C96B42"/>
    <w:rsid w:val="00C96E58"/>
    <w:rsid w:val="00C97027"/>
    <w:rsid w:val="00C971B6"/>
    <w:rsid w:val="00C97221"/>
    <w:rsid w:val="00C97FB0"/>
    <w:rsid w:val="00CA013F"/>
    <w:rsid w:val="00CA018F"/>
    <w:rsid w:val="00CA0290"/>
    <w:rsid w:val="00CA2602"/>
    <w:rsid w:val="00CA581E"/>
    <w:rsid w:val="00CA72DA"/>
    <w:rsid w:val="00CB062E"/>
    <w:rsid w:val="00CB06A2"/>
    <w:rsid w:val="00CB0E5F"/>
    <w:rsid w:val="00CB0F37"/>
    <w:rsid w:val="00CB1164"/>
    <w:rsid w:val="00CB1C26"/>
    <w:rsid w:val="00CB277D"/>
    <w:rsid w:val="00CB310C"/>
    <w:rsid w:val="00CB3273"/>
    <w:rsid w:val="00CB35C4"/>
    <w:rsid w:val="00CB4218"/>
    <w:rsid w:val="00CB5F87"/>
    <w:rsid w:val="00CB641B"/>
    <w:rsid w:val="00CB6B2C"/>
    <w:rsid w:val="00CB6B6B"/>
    <w:rsid w:val="00CB7AC2"/>
    <w:rsid w:val="00CC077F"/>
    <w:rsid w:val="00CC08E8"/>
    <w:rsid w:val="00CC0DD2"/>
    <w:rsid w:val="00CC11A7"/>
    <w:rsid w:val="00CC1215"/>
    <w:rsid w:val="00CC1433"/>
    <w:rsid w:val="00CC2421"/>
    <w:rsid w:val="00CC24BA"/>
    <w:rsid w:val="00CC24F9"/>
    <w:rsid w:val="00CC2853"/>
    <w:rsid w:val="00CC2FF3"/>
    <w:rsid w:val="00CC3E04"/>
    <w:rsid w:val="00CC42C4"/>
    <w:rsid w:val="00CC45D9"/>
    <w:rsid w:val="00CC5023"/>
    <w:rsid w:val="00CC7618"/>
    <w:rsid w:val="00CD2051"/>
    <w:rsid w:val="00CD26B1"/>
    <w:rsid w:val="00CD37D9"/>
    <w:rsid w:val="00CD3CB6"/>
    <w:rsid w:val="00CD4C76"/>
    <w:rsid w:val="00CD53BF"/>
    <w:rsid w:val="00CD5CFC"/>
    <w:rsid w:val="00CD60B5"/>
    <w:rsid w:val="00CD62BF"/>
    <w:rsid w:val="00CD64B4"/>
    <w:rsid w:val="00CD64CD"/>
    <w:rsid w:val="00CD70AF"/>
    <w:rsid w:val="00CD7412"/>
    <w:rsid w:val="00CD77D9"/>
    <w:rsid w:val="00CD7F6E"/>
    <w:rsid w:val="00CE0334"/>
    <w:rsid w:val="00CE2AD2"/>
    <w:rsid w:val="00CE2FCF"/>
    <w:rsid w:val="00CE345B"/>
    <w:rsid w:val="00CE39A9"/>
    <w:rsid w:val="00CE3F95"/>
    <w:rsid w:val="00CE4ADF"/>
    <w:rsid w:val="00CE4F1E"/>
    <w:rsid w:val="00CE5433"/>
    <w:rsid w:val="00CE5C03"/>
    <w:rsid w:val="00CE5C41"/>
    <w:rsid w:val="00CE6373"/>
    <w:rsid w:val="00CE6A39"/>
    <w:rsid w:val="00CE738A"/>
    <w:rsid w:val="00CE7EFE"/>
    <w:rsid w:val="00CF07E6"/>
    <w:rsid w:val="00CF10EC"/>
    <w:rsid w:val="00CF2747"/>
    <w:rsid w:val="00CF337A"/>
    <w:rsid w:val="00CF35C4"/>
    <w:rsid w:val="00CF39DD"/>
    <w:rsid w:val="00CF421B"/>
    <w:rsid w:val="00CF43D1"/>
    <w:rsid w:val="00CF4FDA"/>
    <w:rsid w:val="00CF5E0C"/>
    <w:rsid w:val="00CF6000"/>
    <w:rsid w:val="00CF6D90"/>
    <w:rsid w:val="00D00167"/>
    <w:rsid w:val="00D00BA2"/>
    <w:rsid w:val="00D01A98"/>
    <w:rsid w:val="00D033E3"/>
    <w:rsid w:val="00D03C87"/>
    <w:rsid w:val="00D041D8"/>
    <w:rsid w:val="00D0535C"/>
    <w:rsid w:val="00D05DAC"/>
    <w:rsid w:val="00D06CCC"/>
    <w:rsid w:val="00D079B1"/>
    <w:rsid w:val="00D10252"/>
    <w:rsid w:val="00D1096D"/>
    <w:rsid w:val="00D11C69"/>
    <w:rsid w:val="00D12CBD"/>
    <w:rsid w:val="00D146DF"/>
    <w:rsid w:val="00D168FC"/>
    <w:rsid w:val="00D206E0"/>
    <w:rsid w:val="00D21278"/>
    <w:rsid w:val="00D21879"/>
    <w:rsid w:val="00D22806"/>
    <w:rsid w:val="00D22B4C"/>
    <w:rsid w:val="00D22F7E"/>
    <w:rsid w:val="00D22FB5"/>
    <w:rsid w:val="00D23518"/>
    <w:rsid w:val="00D253F6"/>
    <w:rsid w:val="00D262C5"/>
    <w:rsid w:val="00D2644C"/>
    <w:rsid w:val="00D26AEF"/>
    <w:rsid w:val="00D26C9B"/>
    <w:rsid w:val="00D27337"/>
    <w:rsid w:val="00D27508"/>
    <w:rsid w:val="00D277B8"/>
    <w:rsid w:val="00D31197"/>
    <w:rsid w:val="00D319CE"/>
    <w:rsid w:val="00D3209F"/>
    <w:rsid w:val="00D32222"/>
    <w:rsid w:val="00D324D8"/>
    <w:rsid w:val="00D33BAE"/>
    <w:rsid w:val="00D34CB5"/>
    <w:rsid w:val="00D3635E"/>
    <w:rsid w:val="00D367AA"/>
    <w:rsid w:val="00D36A83"/>
    <w:rsid w:val="00D37988"/>
    <w:rsid w:val="00D37A56"/>
    <w:rsid w:val="00D40038"/>
    <w:rsid w:val="00D42D5D"/>
    <w:rsid w:val="00D438FC"/>
    <w:rsid w:val="00D43A7A"/>
    <w:rsid w:val="00D43F7C"/>
    <w:rsid w:val="00D45831"/>
    <w:rsid w:val="00D45940"/>
    <w:rsid w:val="00D459F5"/>
    <w:rsid w:val="00D469B4"/>
    <w:rsid w:val="00D4705C"/>
    <w:rsid w:val="00D471C5"/>
    <w:rsid w:val="00D50630"/>
    <w:rsid w:val="00D5088B"/>
    <w:rsid w:val="00D51F44"/>
    <w:rsid w:val="00D52844"/>
    <w:rsid w:val="00D52966"/>
    <w:rsid w:val="00D52995"/>
    <w:rsid w:val="00D53ADB"/>
    <w:rsid w:val="00D53D57"/>
    <w:rsid w:val="00D53D9E"/>
    <w:rsid w:val="00D541D2"/>
    <w:rsid w:val="00D547B5"/>
    <w:rsid w:val="00D552BD"/>
    <w:rsid w:val="00D564CC"/>
    <w:rsid w:val="00D5652E"/>
    <w:rsid w:val="00D56F01"/>
    <w:rsid w:val="00D600EE"/>
    <w:rsid w:val="00D61A86"/>
    <w:rsid w:val="00D65438"/>
    <w:rsid w:val="00D655FD"/>
    <w:rsid w:val="00D75417"/>
    <w:rsid w:val="00D7584D"/>
    <w:rsid w:val="00D75BEB"/>
    <w:rsid w:val="00D76D0F"/>
    <w:rsid w:val="00D76D4F"/>
    <w:rsid w:val="00D76FF4"/>
    <w:rsid w:val="00D7705B"/>
    <w:rsid w:val="00D77932"/>
    <w:rsid w:val="00D8135F"/>
    <w:rsid w:val="00D81626"/>
    <w:rsid w:val="00D82732"/>
    <w:rsid w:val="00D82C9A"/>
    <w:rsid w:val="00D83F14"/>
    <w:rsid w:val="00D8492B"/>
    <w:rsid w:val="00D86081"/>
    <w:rsid w:val="00D8655A"/>
    <w:rsid w:val="00D86CD7"/>
    <w:rsid w:val="00D914FB"/>
    <w:rsid w:val="00D91A77"/>
    <w:rsid w:val="00D91D7C"/>
    <w:rsid w:val="00D920D1"/>
    <w:rsid w:val="00D9259C"/>
    <w:rsid w:val="00D93100"/>
    <w:rsid w:val="00D931E5"/>
    <w:rsid w:val="00D938C3"/>
    <w:rsid w:val="00D93C30"/>
    <w:rsid w:val="00D95853"/>
    <w:rsid w:val="00D96530"/>
    <w:rsid w:val="00D96D1C"/>
    <w:rsid w:val="00D97BF2"/>
    <w:rsid w:val="00DA26CD"/>
    <w:rsid w:val="00DA40BB"/>
    <w:rsid w:val="00DA68CE"/>
    <w:rsid w:val="00DA6CFA"/>
    <w:rsid w:val="00DA70CB"/>
    <w:rsid w:val="00DA7187"/>
    <w:rsid w:val="00DB162F"/>
    <w:rsid w:val="00DB3714"/>
    <w:rsid w:val="00DB4169"/>
    <w:rsid w:val="00DB4201"/>
    <w:rsid w:val="00DB4255"/>
    <w:rsid w:val="00DB5D3D"/>
    <w:rsid w:val="00DB6A4F"/>
    <w:rsid w:val="00DB6B52"/>
    <w:rsid w:val="00DC0E33"/>
    <w:rsid w:val="00DC1520"/>
    <w:rsid w:val="00DC15F1"/>
    <w:rsid w:val="00DC17C8"/>
    <w:rsid w:val="00DC2847"/>
    <w:rsid w:val="00DC3C2B"/>
    <w:rsid w:val="00DC5539"/>
    <w:rsid w:val="00DC5E66"/>
    <w:rsid w:val="00DC6A40"/>
    <w:rsid w:val="00DC740E"/>
    <w:rsid w:val="00DC74B5"/>
    <w:rsid w:val="00DC7F68"/>
    <w:rsid w:val="00DD0B03"/>
    <w:rsid w:val="00DD0D19"/>
    <w:rsid w:val="00DD0E4D"/>
    <w:rsid w:val="00DD1EB1"/>
    <w:rsid w:val="00DD255F"/>
    <w:rsid w:val="00DD346F"/>
    <w:rsid w:val="00DD3738"/>
    <w:rsid w:val="00DD3EBA"/>
    <w:rsid w:val="00DD3F57"/>
    <w:rsid w:val="00DD4E44"/>
    <w:rsid w:val="00DD53B4"/>
    <w:rsid w:val="00DD5674"/>
    <w:rsid w:val="00DD591B"/>
    <w:rsid w:val="00DD5DE4"/>
    <w:rsid w:val="00DD5FB2"/>
    <w:rsid w:val="00DD749F"/>
    <w:rsid w:val="00DD7D41"/>
    <w:rsid w:val="00DE046C"/>
    <w:rsid w:val="00DE0910"/>
    <w:rsid w:val="00DE0BA8"/>
    <w:rsid w:val="00DE2C78"/>
    <w:rsid w:val="00DE396A"/>
    <w:rsid w:val="00DE3CAB"/>
    <w:rsid w:val="00DE50CD"/>
    <w:rsid w:val="00DE65E7"/>
    <w:rsid w:val="00DE6F28"/>
    <w:rsid w:val="00DE75E6"/>
    <w:rsid w:val="00DF0C6C"/>
    <w:rsid w:val="00DF1251"/>
    <w:rsid w:val="00DF1A98"/>
    <w:rsid w:val="00DF217B"/>
    <w:rsid w:val="00DF222D"/>
    <w:rsid w:val="00DF2846"/>
    <w:rsid w:val="00DF2905"/>
    <w:rsid w:val="00DF3779"/>
    <w:rsid w:val="00DF3B6E"/>
    <w:rsid w:val="00DF405B"/>
    <w:rsid w:val="00DF45A9"/>
    <w:rsid w:val="00DF4943"/>
    <w:rsid w:val="00DF670B"/>
    <w:rsid w:val="00DF6BAB"/>
    <w:rsid w:val="00E001CE"/>
    <w:rsid w:val="00E00641"/>
    <w:rsid w:val="00E00877"/>
    <w:rsid w:val="00E0099A"/>
    <w:rsid w:val="00E00B10"/>
    <w:rsid w:val="00E0134C"/>
    <w:rsid w:val="00E022BE"/>
    <w:rsid w:val="00E0253E"/>
    <w:rsid w:val="00E02763"/>
    <w:rsid w:val="00E02862"/>
    <w:rsid w:val="00E02C13"/>
    <w:rsid w:val="00E04D54"/>
    <w:rsid w:val="00E0534F"/>
    <w:rsid w:val="00E05855"/>
    <w:rsid w:val="00E05B86"/>
    <w:rsid w:val="00E05DC2"/>
    <w:rsid w:val="00E06949"/>
    <w:rsid w:val="00E069DA"/>
    <w:rsid w:val="00E074D2"/>
    <w:rsid w:val="00E079C6"/>
    <w:rsid w:val="00E079D7"/>
    <w:rsid w:val="00E100D5"/>
    <w:rsid w:val="00E103B5"/>
    <w:rsid w:val="00E10657"/>
    <w:rsid w:val="00E10FB9"/>
    <w:rsid w:val="00E116BE"/>
    <w:rsid w:val="00E11CE5"/>
    <w:rsid w:val="00E13709"/>
    <w:rsid w:val="00E13D5A"/>
    <w:rsid w:val="00E15DF7"/>
    <w:rsid w:val="00E15ED9"/>
    <w:rsid w:val="00E16C51"/>
    <w:rsid w:val="00E16C8B"/>
    <w:rsid w:val="00E16DC3"/>
    <w:rsid w:val="00E17915"/>
    <w:rsid w:val="00E17BDF"/>
    <w:rsid w:val="00E17F00"/>
    <w:rsid w:val="00E2058A"/>
    <w:rsid w:val="00E21271"/>
    <w:rsid w:val="00E2160A"/>
    <w:rsid w:val="00E21FA5"/>
    <w:rsid w:val="00E2215D"/>
    <w:rsid w:val="00E23509"/>
    <w:rsid w:val="00E23C4D"/>
    <w:rsid w:val="00E244DB"/>
    <w:rsid w:val="00E25859"/>
    <w:rsid w:val="00E25DC1"/>
    <w:rsid w:val="00E25E85"/>
    <w:rsid w:val="00E266F6"/>
    <w:rsid w:val="00E26EB2"/>
    <w:rsid w:val="00E26F5C"/>
    <w:rsid w:val="00E30337"/>
    <w:rsid w:val="00E317F2"/>
    <w:rsid w:val="00E31B48"/>
    <w:rsid w:val="00E31C3A"/>
    <w:rsid w:val="00E31E80"/>
    <w:rsid w:val="00E32125"/>
    <w:rsid w:val="00E32B09"/>
    <w:rsid w:val="00E33FDC"/>
    <w:rsid w:val="00E34E1A"/>
    <w:rsid w:val="00E35D7D"/>
    <w:rsid w:val="00E360B7"/>
    <w:rsid w:val="00E364B9"/>
    <w:rsid w:val="00E37884"/>
    <w:rsid w:val="00E37DDD"/>
    <w:rsid w:val="00E41CDF"/>
    <w:rsid w:val="00E41F2A"/>
    <w:rsid w:val="00E423B2"/>
    <w:rsid w:val="00E43598"/>
    <w:rsid w:val="00E437A8"/>
    <w:rsid w:val="00E4401A"/>
    <w:rsid w:val="00E44555"/>
    <w:rsid w:val="00E44AF0"/>
    <w:rsid w:val="00E44EF5"/>
    <w:rsid w:val="00E45174"/>
    <w:rsid w:val="00E45472"/>
    <w:rsid w:val="00E45FDE"/>
    <w:rsid w:val="00E4637D"/>
    <w:rsid w:val="00E465EB"/>
    <w:rsid w:val="00E466A5"/>
    <w:rsid w:val="00E503E3"/>
    <w:rsid w:val="00E50BCE"/>
    <w:rsid w:val="00E50C61"/>
    <w:rsid w:val="00E50DDA"/>
    <w:rsid w:val="00E51770"/>
    <w:rsid w:val="00E51A4D"/>
    <w:rsid w:val="00E52EED"/>
    <w:rsid w:val="00E531FE"/>
    <w:rsid w:val="00E53487"/>
    <w:rsid w:val="00E53C77"/>
    <w:rsid w:val="00E54D62"/>
    <w:rsid w:val="00E54E02"/>
    <w:rsid w:val="00E5666F"/>
    <w:rsid w:val="00E57F0A"/>
    <w:rsid w:val="00E61C9F"/>
    <w:rsid w:val="00E61D53"/>
    <w:rsid w:val="00E62355"/>
    <w:rsid w:val="00E62B18"/>
    <w:rsid w:val="00E62C74"/>
    <w:rsid w:val="00E64043"/>
    <w:rsid w:val="00E6481F"/>
    <w:rsid w:val="00E6555C"/>
    <w:rsid w:val="00E6601D"/>
    <w:rsid w:val="00E66684"/>
    <w:rsid w:val="00E66E57"/>
    <w:rsid w:val="00E67690"/>
    <w:rsid w:val="00E70BB9"/>
    <w:rsid w:val="00E70C18"/>
    <w:rsid w:val="00E71811"/>
    <w:rsid w:val="00E722C8"/>
    <w:rsid w:val="00E72A36"/>
    <w:rsid w:val="00E73A8D"/>
    <w:rsid w:val="00E756F4"/>
    <w:rsid w:val="00E77EA6"/>
    <w:rsid w:val="00E8014A"/>
    <w:rsid w:val="00E80231"/>
    <w:rsid w:val="00E80D5A"/>
    <w:rsid w:val="00E8149F"/>
    <w:rsid w:val="00E81CE0"/>
    <w:rsid w:val="00E82653"/>
    <w:rsid w:val="00E847BC"/>
    <w:rsid w:val="00E849D0"/>
    <w:rsid w:val="00E85ABB"/>
    <w:rsid w:val="00E85B49"/>
    <w:rsid w:val="00E86AD0"/>
    <w:rsid w:val="00E86DCF"/>
    <w:rsid w:val="00E872A6"/>
    <w:rsid w:val="00E918F7"/>
    <w:rsid w:val="00E9405C"/>
    <w:rsid w:val="00E943E5"/>
    <w:rsid w:val="00E97007"/>
    <w:rsid w:val="00EA085D"/>
    <w:rsid w:val="00EA143D"/>
    <w:rsid w:val="00EA23AC"/>
    <w:rsid w:val="00EA34EF"/>
    <w:rsid w:val="00EA638F"/>
    <w:rsid w:val="00EA6724"/>
    <w:rsid w:val="00EA7F30"/>
    <w:rsid w:val="00EB1029"/>
    <w:rsid w:val="00EB2F95"/>
    <w:rsid w:val="00EB35D2"/>
    <w:rsid w:val="00EB3A0E"/>
    <w:rsid w:val="00EB44E1"/>
    <w:rsid w:val="00EB4AA6"/>
    <w:rsid w:val="00EB78A5"/>
    <w:rsid w:val="00EB79A4"/>
    <w:rsid w:val="00EC0890"/>
    <w:rsid w:val="00EC092E"/>
    <w:rsid w:val="00EC1163"/>
    <w:rsid w:val="00EC1764"/>
    <w:rsid w:val="00EC178F"/>
    <w:rsid w:val="00EC19B0"/>
    <w:rsid w:val="00EC1B2E"/>
    <w:rsid w:val="00EC2232"/>
    <w:rsid w:val="00EC28F2"/>
    <w:rsid w:val="00EC2CCA"/>
    <w:rsid w:val="00EC3E3D"/>
    <w:rsid w:val="00EC4E13"/>
    <w:rsid w:val="00EC502D"/>
    <w:rsid w:val="00EC5B5C"/>
    <w:rsid w:val="00EC6281"/>
    <w:rsid w:val="00EC7C94"/>
    <w:rsid w:val="00ED06C5"/>
    <w:rsid w:val="00ED246B"/>
    <w:rsid w:val="00ED2FDB"/>
    <w:rsid w:val="00ED3898"/>
    <w:rsid w:val="00ED49E9"/>
    <w:rsid w:val="00ED754E"/>
    <w:rsid w:val="00ED7786"/>
    <w:rsid w:val="00EE1D4D"/>
    <w:rsid w:val="00EE1E16"/>
    <w:rsid w:val="00EE23F8"/>
    <w:rsid w:val="00EE2F1D"/>
    <w:rsid w:val="00EE2FEA"/>
    <w:rsid w:val="00EE3C3B"/>
    <w:rsid w:val="00EE42DE"/>
    <w:rsid w:val="00EE4B91"/>
    <w:rsid w:val="00EE5447"/>
    <w:rsid w:val="00EE5A59"/>
    <w:rsid w:val="00EE5B4D"/>
    <w:rsid w:val="00EE5C63"/>
    <w:rsid w:val="00EE6984"/>
    <w:rsid w:val="00EE7492"/>
    <w:rsid w:val="00EF16C0"/>
    <w:rsid w:val="00EF210C"/>
    <w:rsid w:val="00EF229D"/>
    <w:rsid w:val="00EF2702"/>
    <w:rsid w:val="00EF2AA5"/>
    <w:rsid w:val="00EF304C"/>
    <w:rsid w:val="00EF3355"/>
    <w:rsid w:val="00EF36CB"/>
    <w:rsid w:val="00EF37BD"/>
    <w:rsid w:val="00EF797F"/>
    <w:rsid w:val="00F00AB3"/>
    <w:rsid w:val="00F00B68"/>
    <w:rsid w:val="00F00BAC"/>
    <w:rsid w:val="00F00E26"/>
    <w:rsid w:val="00F015DD"/>
    <w:rsid w:val="00F01AC1"/>
    <w:rsid w:val="00F0240C"/>
    <w:rsid w:val="00F02E83"/>
    <w:rsid w:val="00F0327D"/>
    <w:rsid w:val="00F03DBF"/>
    <w:rsid w:val="00F03F83"/>
    <w:rsid w:val="00F04D12"/>
    <w:rsid w:val="00F05DC9"/>
    <w:rsid w:val="00F0632A"/>
    <w:rsid w:val="00F06EFD"/>
    <w:rsid w:val="00F07053"/>
    <w:rsid w:val="00F11247"/>
    <w:rsid w:val="00F11D22"/>
    <w:rsid w:val="00F1228F"/>
    <w:rsid w:val="00F122EC"/>
    <w:rsid w:val="00F12CD0"/>
    <w:rsid w:val="00F13352"/>
    <w:rsid w:val="00F13EDE"/>
    <w:rsid w:val="00F14F24"/>
    <w:rsid w:val="00F16139"/>
    <w:rsid w:val="00F168AB"/>
    <w:rsid w:val="00F20770"/>
    <w:rsid w:val="00F2082E"/>
    <w:rsid w:val="00F20B4D"/>
    <w:rsid w:val="00F20E89"/>
    <w:rsid w:val="00F221F2"/>
    <w:rsid w:val="00F22459"/>
    <w:rsid w:val="00F2295A"/>
    <w:rsid w:val="00F22D64"/>
    <w:rsid w:val="00F22E2D"/>
    <w:rsid w:val="00F23B57"/>
    <w:rsid w:val="00F244E2"/>
    <w:rsid w:val="00F253E9"/>
    <w:rsid w:val="00F25E3D"/>
    <w:rsid w:val="00F263A7"/>
    <w:rsid w:val="00F2677C"/>
    <w:rsid w:val="00F26C6D"/>
    <w:rsid w:val="00F30B04"/>
    <w:rsid w:val="00F31C41"/>
    <w:rsid w:val="00F32160"/>
    <w:rsid w:val="00F321CE"/>
    <w:rsid w:val="00F321EF"/>
    <w:rsid w:val="00F32535"/>
    <w:rsid w:val="00F32D25"/>
    <w:rsid w:val="00F33844"/>
    <w:rsid w:val="00F355BE"/>
    <w:rsid w:val="00F35A07"/>
    <w:rsid w:val="00F35AF4"/>
    <w:rsid w:val="00F3641D"/>
    <w:rsid w:val="00F36D84"/>
    <w:rsid w:val="00F37B91"/>
    <w:rsid w:val="00F410FA"/>
    <w:rsid w:val="00F41C30"/>
    <w:rsid w:val="00F4273C"/>
    <w:rsid w:val="00F42AF9"/>
    <w:rsid w:val="00F4395C"/>
    <w:rsid w:val="00F4439A"/>
    <w:rsid w:val="00F443C6"/>
    <w:rsid w:val="00F449EB"/>
    <w:rsid w:val="00F4538B"/>
    <w:rsid w:val="00F45922"/>
    <w:rsid w:val="00F467BB"/>
    <w:rsid w:val="00F47080"/>
    <w:rsid w:val="00F4771D"/>
    <w:rsid w:val="00F50232"/>
    <w:rsid w:val="00F51548"/>
    <w:rsid w:val="00F51552"/>
    <w:rsid w:val="00F51BBF"/>
    <w:rsid w:val="00F52083"/>
    <w:rsid w:val="00F5364F"/>
    <w:rsid w:val="00F53DA6"/>
    <w:rsid w:val="00F53F43"/>
    <w:rsid w:val="00F5418C"/>
    <w:rsid w:val="00F542A6"/>
    <w:rsid w:val="00F542E4"/>
    <w:rsid w:val="00F547BA"/>
    <w:rsid w:val="00F55454"/>
    <w:rsid w:val="00F558F2"/>
    <w:rsid w:val="00F62B06"/>
    <w:rsid w:val="00F62F2D"/>
    <w:rsid w:val="00F62F98"/>
    <w:rsid w:val="00F64F77"/>
    <w:rsid w:val="00F70397"/>
    <w:rsid w:val="00F719CB"/>
    <w:rsid w:val="00F71BC8"/>
    <w:rsid w:val="00F72F13"/>
    <w:rsid w:val="00F745DA"/>
    <w:rsid w:val="00F753C1"/>
    <w:rsid w:val="00F755C1"/>
    <w:rsid w:val="00F75B44"/>
    <w:rsid w:val="00F76FFC"/>
    <w:rsid w:val="00F77058"/>
    <w:rsid w:val="00F771B2"/>
    <w:rsid w:val="00F77302"/>
    <w:rsid w:val="00F7762F"/>
    <w:rsid w:val="00F80337"/>
    <w:rsid w:val="00F8036D"/>
    <w:rsid w:val="00F8092E"/>
    <w:rsid w:val="00F80A42"/>
    <w:rsid w:val="00F810EF"/>
    <w:rsid w:val="00F812B4"/>
    <w:rsid w:val="00F81E5A"/>
    <w:rsid w:val="00F8323A"/>
    <w:rsid w:val="00F8331B"/>
    <w:rsid w:val="00F83B02"/>
    <w:rsid w:val="00F84027"/>
    <w:rsid w:val="00F8430E"/>
    <w:rsid w:val="00F84666"/>
    <w:rsid w:val="00F84EF4"/>
    <w:rsid w:val="00F8568A"/>
    <w:rsid w:val="00F86245"/>
    <w:rsid w:val="00F86D0E"/>
    <w:rsid w:val="00F9152D"/>
    <w:rsid w:val="00F927E3"/>
    <w:rsid w:val="00F92B1E"/>
    <w:rsid w:val="00F931E3"/>
    <w:rsid w:val="00F933E5"/>
    <w:rsid w:val="00F935A3"/>
    <w:rsid w:val="00F938AA"/>
    <w:rsid w:val="00F93E39"/>
    <w:rsid w:val="00F94E1D"/>
    <w:rsid w:val="00F95249"/>
    <w:rsid w:val="00F95EE2"/>
    <w:rsid w:val="00FA05C5"/>
    <w:rsid w:val="00FA0931"/>
    <w:rsid w:val="00FA1492"/>
    <w:rsid w:val="00FA2C18"/>
    <w:rsid w:val="00FA38E3"/>
    <w:rsid w:val="00FA6391"/>
    <w:rsid w:val="00FA6618"/>
    <w:rsid w:val="00FB0BC5"/>
    <w:rsid w:val="00FB1DC2"/>
    <w:rsid w:val="00FB3476"/>
    <w:rsid w:val="00FB4249"/>
    <w:rsid w:val="00FB51C1"/>
    <w:rsid w:val="00FC0A48"/>
    <w:rsid w:val="00FC0AAF"/>
    <w:rsid w:val="00FC1988"/>
    <w:rsid w:val="00FC308E"/>
    <w:rsid w:val="00FC30A5"/>
    <w:rsid w:val="00FC35EF"/>
    <w:rsid w:val="00FC4FE9"/>
    <w:rsid w:val="00FC73B3"/>
    <w:rsid w:val="00FC7F0D"/>
    <w:rsid w:val="00FD05D3"/>
    <w:rsid w:val="00FD2BD3"/>
    <w:rsid w:val="00FD3E7C"/>
    <w:rsid w:val="00FD59D9"/>
    <w:rsid w:val="00FD5A28"/>
    <w:rsid w:val="00FD63FD"/>
    <w:rsid w:val="00FD6964"/>
    <w:rsid w:val="00FE0120"/>
    <w:rsid w:val="00FE0AD0"/>
    <w:rsid w:val="00FE11C3"/>
    <w:rsid w:val="00FE28D2"/>
    <w:rsid w:val="00FE2CDE"/>
    <w:rsid w:val="00FE5FA9"/>
    <w:rsid w:val="00FF13E1"/>
    <w:rsid w:val="00FF2164"/>
    <w:rsid w:val="00FF3A2C"/>
    <w:rsid w:val="00FF3F19"/>
    <w:rsid w:val="00FF5609"/>
    <w:rsid w:val="00FF5E62"/>
    <w:rsid w:val="00FF6207"/>
    <w:rsid w:val="00FF7587"/>
    <w:rsid w:val="00FF7FEB"/>
    <w:rsid w:val="0143D7CD"/>
    <w:rsid w:val="01AFC480"/>
    <w:rsid w:val="01BABEBC"/>
    <w:rsid w:val="01D87F59"/>
    <w:rsid w:val="02209DEE"/>
    <w:rsid w:val="0314569F"/>
    <w:rsid w:val="03350D27"/>
    <w:rsid w:val="034EED47"/>
    <w:rsid w:val="03C375AE"/>
    <w:rsid w:val="04053AC2"/>
    <w:rsid w:val="062A4E04"/>
    <w:rsid w:val="065EB832"/>
    <w:rsid w:val="06F79DE4"/>
    <w:rsid w:val="090E6650"/>
    <w:rsid w:val="098A4BE7"/>
    <w:rsid w:val="0B188397"/>
    <w:rsid w:val="0B3ABC61"/>
    <w:rsid w:val="0C14CDAC"/>
    <w:rsid w:val="0C74E805"/>
    <w:rsid w:val="0C7F2EB5"/>
    <w:rsid w:val="0CCD638C"/>
    <w:rsid w:val="0CDB60C2"/>
    <w:rsid w:val="0D4E0613"/>
    <w:rsid w:val="0D909F83"/>
    <w:rsid w:val="0DA2AFEE"/>
    <w:rsid w:val="0DB73267"/>
    <w:rsid w:val="0EF03DCF"/>
    <w:rsid w:val="0FC39B39"/>
    <w:rsid w:val="10018C17"/>
    <w:rsid w:val="10C7E712"/>
    <w:rsid w:val="112CF48E"/>
    <w:rsid w:val="1373E172"/>
    <w:rsid w:val="13ED797E"/>
    <w:rsid w:val="1486C67C"/>
    <w:rsid w:val="14B6DACF"/>
    <w:rsid w:val="15A78070"/>
    <w:rsid w:val="15DBE5D7"/>
    <w:rsid w:val="15EBB525"/>
    <w:rsid w:val="16D5FEDB"/>
    <w:rsid w:val="16D66E0D"/>
    <w:rsid w:val="1736C5B9"/>
    <w:rsid w:val="17641757"/>
    <w:rsid w:val="17ED0200"/>
    <w:rsid w:val="1853D25A"/>
    <w:rsid w:val="1860E6CD"/>
    <w:rsid w:val="1879C594"/>
    <w:rsid w:val="187B78B4"/>
    <w:rsid w:val="1A422484"/>
    <w:rsid w:val="1A489D20"/>
    <w:rsid w:val="1A4E0048"/>
    <w:rsid w:val="1A6E787F"/>
    <w:rsid w:val="1A85CEFE"/>
    <w:rsid w:val="1A949D4B"/>
    <w:rsid w:val="1AF8D91A"/>
    <w:rsid w:val="1AFF49FE"/>
    <w:rsid w:val="1B163F7A"/>
    <w:rsid w:val="1B41179E"/>
    <w:rsid w:val="1B8553B7"/>
    <w:rsid w:val="1C346068"/>
    <w:rsid w:val="1CA7A3D6"/>
    <w:rsid w:val="1DD59FCA"/>
    <w:rsid w:val="1F2476FA"/>
    <w:rsid w:val="1F4DBD19"/>
    <w:rsid w:val="1F9C052F"/>
    <w:rsid w:val="203F5948"/>
    <w:rsid w:val="2044B688"/>
    <w:rsid w:val="21F4B2F1"/>
    <w:rsid w:val="229917EF"/>
    <w:rsid w:val="23079869"/>
    <w:rsid w:val="233ADED7"/>
    <w:rsid w:val="2392487F"/>
    <w:rsid w:val="23997529"/>
    <w:rsid w:val="23DB0686"/>
    <w:rsid w:val="248355BC"/>
    <w:rsid w:val="24B98C68"/>
    <w:rsid w:val="257F5E72"/>
    <w:rsid w:val="265D8748"/>
    <w:rsid w:val="270A6430"/>
    <w:rsid w:val="27C4B8F9"/>
    <w:rsid w:val="27D4088E"/>
    <w:rsid w:val="27F91778"/>
    <w:rsid w:val="292BED29"/>
    <w:rsid w:val="2988256D"/>
    <w:rsid w:val="29E6977F"/>
    <w:rsid w:val="29EB8B7A"/>
    <w:rsid w:val="2A13EFEF"/>
    <w:rsid w:val="2A24D3CF"/>
    <w:rsid w:val="2B3A8332"/>
    <w:rsid w:val="2BD33C4B"/>
    <w:rsid w:val="2C1E4BC7"/>
    <w:rsid w:val="2C4B72FA"/>
    <w:rsid w:val="2D53588E"/>
    <w:rsid w:val="2E006E52"/>
    <w:rsid w:val="2E8D1F92"/>
    <w:rsid w:val="2EB16BF3"/>
    <w:rsid w:val="2F515523"/>
    <w:rsid w:val="2FD1F6B2"/>
    <w:rsid w:val="30C5DA13"/>
    <w:rsid w:val="31EFD57E"/>
    <w:rsid w:val="32B71512"/>
    <w:rsid w:val="331CCFE9"/>
    <w:rsid w:val="33242E20"/>
    <w:rsid w:val="34177B82"/>
    <w:rsid w:val="3457B09F"/>
    <w:rsid w:val="34C15D34"/>
    <w:rsid w:val="362868F8"/>
    <w:rsid w:val="362F64A9"/>
    <w:rsid w:val="36AB97BB"/>
    <w:rsid w:val="36D2A1DA"/>
    <w:rsid w:val="36D71BAB"/>
    <w:rsid w:val="36FA44CF"/>
    <w:rsid w:val="372CBD40"/>
    <w:rsid w:val="379BD975"/>
    <w:rsid w:val="37CE0270"/>
    <w:rsid w:val="38627938"/>
    <w:rsid w:val="39266558"/>
    <w:rsid w:val="3983FBC8"/>
    <w:rsid w:val="39D20EDC"/>
    <w:rsid w:val="3A2C7483"/>
    <w:rsid w:val="3A433105"/>
    <w:rsid w:val="3A7C7BB8"/>
    <w:rsid w:val="3B26E048"/>
    <w:rsid w:val="3B54EED1"/>
    <w:rsid w:val="3BD9EDA6"/>
    <w:rsid w:val="3CBB9001"/>
    <w:rsid w:val="3D23940E"/>
    <w:rsid w:val="3E782440"/>
    <w:rsid w:val="3F260731"/>
    <w:rsid w:val="411AC3CE"/>
    <w:rsid w:val="4120CF5D"/>
    <w:rsid w:val="415A81F0"/>
    <w:rsid w:val="42750D3D"/>
    <w:rsid w:val="42F13A2B"/>
    <w:rsid w:val="439FDBCB"/>
    <w:rsid w:val="44C45961"/>
    <w:rsid w:val="44EB8E11"/>
    <w:rsid w:val="44FE02A6"/>
    <w:rsid w:val="45156720"/>
    <w:rsid w:val="45822669"/>
    <w:rsid w:val="46E6BD02"/>
    <w:rsid w:val="46FD3919"/>
    <w:rsid w:val="479FD7B3"/>
    <w:rsid w:val="47A8B461"/>
    <w:rsid w:val="47DAA0B8"/>
    <w:rsid w:val="4814F2B4"/>
    <w:rsid w:val="4832ACB6"/>
    <w:rsid w:val="487FE4E1"/>
    <w:rsid w:val="48FFDCE4"/>
    <w:rsid w:val="4910FBD0"/>
    <w:rsid w:val="492B6C1A"/>
    <w:rsid w:val="4964A6C6"/>
    <w:rsid w:val="4BB6DB67"/>
    <w:rsid w:val="4C1D8D01"/>
    <w:rsid w:val="4C1E396C"/>
    <w:rsid w:val="4C2C82B9"/>
    <w:rsid w:val="4D03797E"/>
    <w:rsid w:val="4D651C9E"/>
    <w:rsid w:val="4E6B4EC4"/>
    <w:rsid w:val="5018CF9D"/>
    <w:rsid w:val="51CB5129"/>
    <w:rsid w:val="5207FAB7"/>
    <w:rsid w:val="5250744A"/>
    <w:rsid w:val="53E9B747"/>
    <w:rsid w:val="547C0C2C"/>
    <w:rsid w:val="54AC813B"/>
    <w:rsid w:val="56430FA6"/>
    <w:rsid w:val="56DA41D7"/>
    <w:rsid w:val="57505234"/>
    <w:rsid w:val="584B3DE0"/>
    <w:rsid w:val="58695EEE"/>
    <w:rsid w:val="58B5C0DC"/>
    <w:rsid w:val="58F4D4E3"/>
    <w:rsid w:val="59B5A8FD"/>
    <w:rsid w:val="59CA5747"/>
    <w:rsid w:val="5A64C9EA"/>
    <w:rsid w:val="5C0F4D73"/>
    <w:rsid w:val="5C121235"/>
    <w:rsid w:val="5C6DACC6"/>
    <w:rsid w:val="5CC2A2F6"/>
    <w:rsid w:val="5CD38349"/>
    <w:rsid w:val="5CFD822E"/>
    <w:rsid w:val="5D288A1A"/>
    <w:rsid w:val="5DD9FEB0"/>
    <w:rsid w:val="5E738F03"/>
    <w:rsid w:val="5FAD4561"/>
    <w:rsid w:val="5FDF5693"/>
    <w:rsid w:val="5FFCD57E"/>
    <w:rsid w:val="600CF2E5"/>
    <w:rsid w:val="60812ABE"/>
    <w:rsid w:val="619A504D"/>
    <w:rsid w:val="642BE8B2"/>
    <w:rsid w:val="65297BEF"/>
    <w:rsid w:val="655B9B44"/>
    <w:rsid w:val="66734383"/>
    <w:rsid w:val="66AA2FA7"/>
    <w:rsid w:val="66D1D1AB"/>
    <w:rsid w:val="6847BBE4"/>
    <w:rsid w:val="685D4E4A"/>
    <w:rsid w:val="69725AFC"/>
    <w:rsid w:val="69CE5C0B"/>
    <w:rsid w:val="69D620D7"/>
    <w:rsid w:val="6A20DB8C"/>
    <w:rsid w:val="6A4DBF32"/>
    <w:rsid w:val="6AB4922B"/>
    <w:rsid w:val="6AC2FDBC"/>
    <w:rsid w:val="6AC70459"/>
    <w:rsid w:val="6B27A00F"/>
    <w:rsid w:val="6C3D563D"/>
    <w:rsid w:val="6C5FF106"/>
    <w:rsid w:val="6C99E00E"/>
    <w:rsid w:val="6CEA5F40"/>
    <w:rsid w:val="6D6057E7"/>
    <w:rsid w:val="6D79EF44"/>
    <w:rsid w:val="6D86DD8A"/>
    <w:rsid w:val="6E21A18E"/>
    <w:rsid w:val="6E2FF3E3"/>
    <w:rsid w:val="6E5A7705"/>
    <w:rsid w:val="6F7B0816"/>
    <w:rsid w:val="6FAC889E"/>
    <w:rsid w:val="70A52151"/>
    <w:rsid w:val="70C6FD55"/>
    <w:rsid w:val="70FC603F"/>
    <w:rsid w:val="714FD08B"/>
    <w:rsid w:val="71A8284A"/>
    <w:rsid w:val="71DE1EED"/>
    <w:rsid w:val="71E3CE62"/>
    <w:rsid w:val="72306F22"/>
    <w:rsid w:val="725DA672"/>
    <w:rsid w:val="73104E7F"/>
    <w:rsid w:val="7591917E"/>
    <w:rsid w:val="761BDFB3"/>
    <w:rsid w:val="76891BE4"/>
    <w:rsid w:val="7702850C"/>
    <w:rsid w:val="774CC4D4"/>
    <w:rsid w:val="774D24F5"/>
    <w:rsid w:val="776B8723"/>
    <w:rsid w:val="784AC6DA"/>
    <w:rsid w:val="78630EBA"/>
    <w:rsid w:val="78777906"/>
    <w:rsid w:val="789BFFBC"/>
    <w:rsid w:val="790C9A6E"/>
    <w:rsid w:val="791F838A"/>
    <w:rsid w:val="7A51DC01"/>
    <w:rsid w:val="7A811DE7"/>
    <w:rsid w:val="7AB190B4"/>
    <w:rsid w:val="7B1C491A"/>
    <w:rsid w:val="7B4E7A6A"/>
    <w:rsid w:val="7B93547F"/>
    <w:rsid w:val="7CE2CE26"/>
    <w:rsid w:val="7CEF1E2C"/>
    <w:rsid w:val="7D359A10"/>
    <w:rsid w:val="7DAAE064"/>
    <w:rsid w:val="7E72802D"/>
    <w:rsid w:val="7EBB87E7"/>
    <w:rsid w:val="7F469ABE"/>
    <w:rsid w:val="7FCCAC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64AABC"/>
  <w15:chartTrackingRefBased/>
  <w15:docId w15:val="{679CDAAE-EBF5-40EE-B2FA-FC8982993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77699"/>
    <w:rPr>
      <w:color w:val="0000FF"/>
      <w:shd w:val="clear" w:color="auto" w:fill="auto"/>
    </w:rPr>
  </w:style>
  <w:style w:type="paragraph" w:styleId="Header">
    <w:name w:val="header"/>
    <w:basedOn w:val="Normal"/>
    <w:link w:val="HeaderChar"/>
    <w:uiPriority w:val="99"/>
    <w:unhideWhenUsed/>
    <w:rsid w:val="00A776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699"/>
  </w:style>
  <w:style w:type="paragraph" w:styleId="Footer">
    <w:name w:val="footer"/>
    <w:basedOn w:val="Normal"/>
    <w:link w:val="FooterChar"/>
    <w:uiPriority w:val="99"/>
    <w:unhideWhenUsed/>
    <w:rsid w:val="00A776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699"/>
  </w:style>
  <w:style w:type="paragraph" w:customStyle="1" w:styleId="Pagedecouverture">
    <w:name w:val="Page de couverture"/>
    <w:basedOn w:val="Normal"/>
    <w:next w:val="Normal"/>
    <w:rsid w:val="00A7769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7769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77699"/>
    <w:rPr>
      <w:rFonts w:ascii="Times New Roman" w:hAnsi="Times New Roman" w:cs="Times New Roman"/>
      <w:sz w:val="24"/>
    </w:rPr>
  </w:style>
  <w:style w:type="paragraph" w:customStyle="1" w:styleId="FooterSensitivity">
    <w:name w:val="Footer Sensitivity"/>
    <w:basedOn w:val="Normal"/>
    <w:link w:val="FooterSensitivityChar"/>
    <w:rsid w:val="00A7769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7699"/>
    <w:rPr>
      <w:rFonts w:ascii="Times New Roman" w:hAnsi="Times New Roman" w:cs="Times New Roman"/>
      <w:b/>
      <w:sz w:val="32"/>
    </w:rPr>
  </w:style>
  <w:style w:type="paragraph" w:customStyle="1" w:styleId="HeaderCoverPage">
    <w:name w:val="Header Cover Page"/>
    <w:basedOn w:val="Normal"/>
    <w:link w:val="HeaderCoverPageChar"/>
    <w:rsid w:val="00A7769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77699"/>
    <w:rPr>
      <w:rFonts w:ascii="Times New Roman" w:hAnsi="Times New Roman" w:cs="Times New Roman"/>
      <w:sz w:val="24"/>
    </w:rPr>
  </w:style>
  <w:style w:type="paragraph" w:customStyle="1" w:styleId="HeaderSensitivity">
    <w:name w:val="Header Sensitivity"/>
    <w:basedOn w:val="Normal"/>
    <w:link w:val="HeaderSensitivityChar"/>
    <w:rsid w:val="00A7769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7699"/>
    <w:rPr>
      <w:rFonts w:ascii="Times New Roman" w:hAnsi="Times New Roman" w:cs="Times New Roman"/>
      <w:b/>
      <w:sz w:val="32"/>
    </w:rPr>
  </w:style>
  <w:style w:type="paragraph" w:customStyle="1" w:styleId="HeaderSensitivityRight">
    <w:name w:val="Header Sensitivity Right"/>
    <w:basedOn w:val="Normal"/>
    <w:link w:val="HeaderSensitivityRightChar"/>
    <w:rsid w:val="00A776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7699"/>
    <w:rPr>
      <w:rFonts w:ascii="Times New Roman" w:hAnsi="Times New Roman" w:cs="Times New Roman"/>
      <w:sz w:val="28"/>
    </w:rPr>
  </w:style>
  <w:style w:type="paragraph" w:customStyle="1" w:styleId="Default">
    <w:name w:val="Default"/>
    <w:rsid w:val="0073024E"/>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ListParagraph">
    <w:name w:val="List Paragraph"/>
    <w:basedOn w:val="Normal"/>
    <w:uiPriority w:val="34"/>
    <w:qFormat/>
    <w:rsid w:val="0073024E"/>
    <w:pPr>
      <w:ind w:left="720"/>
      <w:contextualSpacing/>
    </w:pPr>
    <w:rPr>
      <w:kern w:val="0"/>
      <w14:ligatures w14:val="none"/>
    </w:rPr>
  </w:style>
  <w:style w:type="paragraph" w:styleId="FootnoteText">
    <w:name w:val="footnote text"/>
    <w:basedOn w:val="Normal"/>
    <w:link w:val="FootnoteTextChar"/>
    <w:uiPriority w:val="99"/>
    <w:semiHidden/>
    <w:unhideWhenUsed/>
    <w:rsid w:val="0073024E"/>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3024E"/>
    <w:rPr>
      <w:kern w:val="0"/>
      <w:sz w:val="20"/>
      <w:szCs w:val="20"/>
      <w14:ligatures w14:val="none"/>
    </w:rPr>
  </w:style>
  <w:style w:type="character" w:styleId="FootnoteReference">
    <w:name w:val="footnote reference"/>
    <w:basedOn w:val="DefaultParagraphFont"/>
    <w:uiPriority w:val="99"/>
    <w:semiHidden/>
    <w:unhideWhenUsed/>
    <w:rsid w:val="0073024E"/>
    <w:rPr>
      <w:vertAlign w:val="superscript"/>
    </w:rPr>
  </w:style>
  <w:style w:type="character" w:styleId="Hyperlink">
    <w:name w:val="Hyperlink"/>
    <w:basedOn w:val="DefaultParagraphFont"/>
    <w:uiPriority w:val="99"/>
    <w:unhideWhenUsed/>
    <w:rsid w:val="0073024E"/>
    <w:rPr>
      <w:color w:val="0000FF"/>
      <w:u w:val="single"/>
    </w:rPr>
  </w:style>
  <w:style w:type="character" w:customStyle="1" w:styleId="normaltextrun">
    <w:name w:val="normaltextrun"/>
    <w:basedOn w:val="DefaultParagraphFont"/>
    <w:rsid w:val="0073024E"/>
  </w:style>
  <w:style w:type="paragraph" w:styleId="NormalWeb">
    <w:name w:val="Normal (Web)"/>
    <w:basedOn w:val="Normal"/>
    <w:uiPriority w:val="99"/>
    <w:unhideWhenUsed/>
    <w:rsid w:val="0073024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rsid w:val="00B76462"/>
    <w:pPr>
      <w:spacing w:after="0" w:line="240" w:lineRule="auto"/>
    </w:pPr>
  </w:style>
  <w:style w:type="character" w:styleId="CommentReference">
    <w:name w:val="annotation reference"/>
    <w:basedOn w:val="DefaultParagraphFont"/>
    <w:uiPriority w:val="99"/>
    <w:semiHidden/>
    <w:unhideWhenUsed/>
    <w:rsid w:val="00A33255"/>
    <w:rPr>
      <w:sz w:val="16"/>
      <w:szCs w:val="16"/>
    </w:rPr>
  </w:style>
  <w:style w:type="paragraph" w:styleId="CommentText">
    <w:name w:val="annotation text"/>
    <w:basedOn w:val="Normal"/>
    <w:link w:val="CommentTextChar"/>
    <w:uiPriority w:val="99"/>
    <w:unhideWhenUsed/>
    <w:rsid w:val="00A33255"/>
    <w:pPr>
      <w:spacing w:line="240" w:lineRule="auto"/>
    </w:pPr>
    <w:rPr>
      <w:sz w:val="20"/>
      <w:szCs w:val="20"/>
    </w:rPr>
  </w:style>
  <w:style w:type="character" w:customStyle="1" w:styleId="CommentTextChar">
    <w:name w:val="Comment Text Char"/>
    <w:basedOn w:val="DefaultParagraphFont"/>
    <w:link w:val="CommentText"/>
    <w:uiPriority w:val="99"/>
    <w:rsid w:val="00A33255"/>
    <w:rPr>
      <w:sz w:val="20"/>
      <w:szCs w:val="20"/>
    </w:rPr>
  </w:style>
  <w:style w:type="paragraph" w:styleId="CommentSubject">
    <w:name w:val="annotation subject"/>
    <w:basedOn w:val="CommentText"/>
    <w:next w:val="CommentText"/>
    <w:link w:val="CommentSubjectChar"/>
    <w:uiPriority w:val="99"/>
    <w:semiHidden/>
    <w:unhideWhenUsed/>
    <w:rsid w:val="00A33255"/>
    <w:rPr>
      <w:b/>
      <w:bCs/>
    </w:rPr>
  </w:style>
  <w:style w:type="character" w:customStyle="1" w:styleId="CommentSubjectChar">
    <w:name w:val="Comment Subject Char"/>
    <w:basedOn w:val="CommentTextChar"/>
    <w:link w:val="CommentSubject"/>
    <w:uiPriority w:val="99"/>
    <w:semiHidden/>
    <w:rsid w:val="00A33255"/>
    <w:rPr>
      <w:b/>
      <w:bCs/>
      <w:sz w:val="20"/>
      <w:szCs w:val="20"/>
    </w:rPr>
  </w:style>
  <w:style w:type="character" w:customStyle="1" w:styleId="UnresolvedMention">
    <w:name w:val="Unresolved Mention"/>
    <w:basedOn w:val="DefaultParagraphFont"/>
    <w:uiPriority w:val="99"/>
    <w:semiHidden/>
    <w:unhideWhenUsed/>
    <w:rsid w:val="001C1413"/>
    <w:rPr>
      <w:color w:val="605E5C"/>
      <w:shd w:val="clear" w:color="auto" w:fill="E1DFDD"/>
    </w:rPr>
  </w:style>
  <w:style w:type="character" w:styleId="FollowedHyperlink">
    <w:name w:val="FollowedHyperlink"/>
    <w:basedOn w:val="DefaultParagraphFont"/>
    <w:uiPriority w:val="99"/>
    <w:semiHidden/>
    <w:unhideWhenUsed/>
    <w:rsid w:val="00C73B8A"/>
    <w:rPr>
      <w:color w:val="954F72" w:themeColor="followedHyperlink"/>
      <w:u w:val="single"/>
    </w:rPr>
  </w:style>
  <w:style w:type="character" w:customStyle="1" w:styleId="Mention">
    <w:name w:val="Mention"/>
    <w:basedOn w:val="DefaultParagraphFont"/>
    <w:uiPriority w:val="99"/>
    <w:unhideWhenUsed/>
    <w:rsid w:val="00C8685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71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olicy.trade.ec.europa.eu/eu-trade-relationships-country-and-region/countries-and-regions/moldova_en" TargetMode="External"/><Relationship Id="rId1" Type="http://schemas.openxmlformats.org/officeDocument/2006/relationships/hyperlink" Target="https://www.legis.md/cautare/getResults?doc_id=134582&amp;lang=ro"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arcani\AppData\Local\CATE\DGT\Dossiers\NEAR\NEAR-2024-00299\NEAR-2024-00299-00-00-RO-SRC-0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hu-HU" sz="1100" b="1">
                <a:latin typeface="+mn-lt"/>
                <a:cs typeface="Arial" panose="020B0604020202020204" pitchFamily="34" charset="0"/>
              </a:rPr>
              <a:t>PIB pe cap de locuitor în SPC (standardul puterii de cumpărare)</a:t>
            </a:r>
            <a:r>
              <a:rPr lang="hu-HU" sz="1100" b="1" baseline="0">
                <a:latin typeface="+mn-lt"/>
                <a:cs typeface="Arial" panose="020B0604020202020204" pitchFamily="34" charset="0"/>
              </a:rPr>
              <a:t> (UE-</a:t>
            </a:r>
            <a:r>
              <a:rPr lang="en-US" sz="1100" b="1" baseline="0">
                <a:latin typeface="+mn-lt"/>
                <a:cs typeface="Arial" panose="020B0604020202020204" pitchFamily="34" charset="0"/>
              </a:rPr>
              <a:t>27</a:t>
            </a:r>
            <a:r>
              <a:rPr lang="hu-HU" sz="1100" b="1" baseline="0">
                <a:latin typeface="+mn-lt"/>
                <a:cs typeface="Arial" panose="020B0604020202020204" pitchFamily="34" charset="0"/>
              </a:rPr>
              <a:t> = 100), 201</a:t>
            </a:r>
            <a:r>
              <a:rPr lang="fr-FR" sz="1100" b="1" baseline="0">
                <a:latin typeface="+mn-lt"/>
                <a:cs typeface="Arial" panose="020B0604020202020204" pitchFamily="34" charset="0"/>
              </a:rPr>
              <a:t>2</a:t>
            </a:r>
            <a:r>
              <a:rPr lang="hu-HU" sz="1100" b="1" baseline="0">
                <a:latin typeface="+mn-lt"/>
                <a:cs typeface="Arial" panose="020B0604020202020204" pitchFamily="34" charset="0"/>
              </a:rPr>
              <a:t>-202</a:t>
            </a:r>
            <a:r>
              <a:rPr lang="fr-FR" sz="1100" b="1" baseline="0">
                <a:latin typeface="+mn-lt"/>
                <a:cs typeface="Arial" panose="020B0604020202020204" pitchFamily="34" charset="0"/>
              </a:rPr>
              <a:t>3</a:t>
            </a:r>
          </a:p>
        </c:rich>
      </c:tx>
      <c:layout>
        <c:manualLayout>
          <c:xMode val="edge"/>
          <c:yMode val="edge"/>
          <c:x val="0.12730280151823606"/>
          <c:y val="5.003777877596765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1"/>
          <c:order val="0"/>
          <c:tx>
            <c:strRef>
              <c:f>'Sheet 1'!$A$10</c:f>
              <c:strCache>
                <c:ptCount val="1"/>
                <c:pt idx="0">
                  <c:v>Bosnia și Herțegovina</c:v>
                </c:pt>
              </c:strCache>
            </c:strRef>
          </c:tx>
          <c:spPr>
            <a:ln w="28575" cap="rnd">
              <a:solidFill>
                <a:schemeClr val="accent2"/>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1'!$B$10:$M$10</c:f>
              <c:numCache>
                <c:formatCode>#,##0</c:formatCode>
                <c:ptCount val="12"/>
                <c:pt idx="0">
                  <c:v>30</c:v>
                </c:pt>
                <c:pt idx="1">
                  <c:v>31</c:v>
                </c:pt>
                <c:pt idx="2">
                  <c:v>30</c:v>
                </c:pt>
                <c:pt idx="3">
                  <c:v>31</c:v>
                </c:pt>
                <c:pt idx="4">
                  <c:v>31</c:v>
                </c:pt>
                <c:pt idx="5">
                  <c:v>31</c:v>
                </c:pt>
                <c:pt idx="6">
                  <c:v>32</c:v>
                </c:pt>
                <c:pt idx="7">
                  <c:v>33</c:v>
                </c:pt>
                <c:pt idx="8">
                  <c:v>33</c:v>
                </c:pt>
                <c:pt idx="9">
                  <c:v>34</c:v>
                </c:pt>
                <c:pt idx="10">
                  <c:v>35</c:v>
                </c:pt>
                <c:pt idx="11">
                  <c:v>35</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72FA-4B92-8E2D-056A3F38EBBC}"/>
            </c:ext>
          </c:extLst>
        </c:ser>
        <c:ser>
          <c:idx val="2"/>
          <c:order val="1"/>
          <c:tx>
            <c:strRef>
              <c:f>'Sheet 1'!$A$11</c:f>
              <c:strCache>
                <c:ptCount val="1"/>
                <c:pt idx="0">
                  <c:v>Muntenegru</c:v>
                </c:pt>
              </c:strCache>
            </c:strRef>
          </c:tx>
          <c:spPr>
            <a:ln w="28575" cap="rnd">
              <a:solidFill>
                <a:schemeClr val="accent3"/>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1'!$B$11:$M$11</c:f>
              <c:numCache>
                <c:formatCode>#,##0</c:formatCode>
                <c:ptCount val="12"/>
                <c:pt idx="0">
                  <c:v>40</c:v>
                </c:pt>
                <c:pt idx="1">
                  <c:v>41</c:v>
                </c:pt>
                <c:pt idx="2">
                  <c:v>41</c:v>
                </c:pt>
                <c:pt idx="3">
                  <c:v>43</c:v>
                </c:pt>
                <c:pt idx="4">
                  <c:v>45</c:v>
                </c:pt>
                <c:pt idx="5">
                  <c:v>46</c:v>
                </c:pt>
                <c:pt idx="6">
                  <c:v>48</c:v>
                </c:pt>
                <c:pt idx="7">
                  <c:v>50</c:v>
                </c:pt>
                <c:pt idx="8">
                  <c:v>45</c:v>
                </c:pt>
                <c:pt idx="9">
                  <c:v>47</c:v>
                </c:pt>
                <c:pt idx="10">
                  <c:v>50</c:v>
                </c:pt>
                <c:pt idx="11">
                  <c:v>52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72FA-4B92-8E2D-056A3F38EBBC}"/>
            </c:ext>
          </c:extLst>
        </c:ser>
        <c:ser>
          <c:idx val="3"/>
          <c:order val="2"/>
          <c:tx>
            <c:strRef>
              <c:f>'Sheet 1'!$A$12</c:f>
              <c:strCache>
                <c:ptCount val="1"/>
                <c:pt idx="0">
                  <c:v>Macedonia de Nord</c:v>
                </c:pt>
              </c:strCache>
            </c:strRef>
          </c:tx>
          <c:spPr>
            <a:ln w="28575" cap="rnd">
              <a:solidFill>
                <a:schemeClr val="accent4"/>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1'!$B$12:$M$12</c:f>
              <c:numCache>
                <c:formatCode>#,##0</c:formatCode>
                <c:ptCount val="12"/>
                <c:pt idx="0">
                  <c:v>36</c:v>
                </c:pt>
                <c:pt idx="1">
                  <c:v>38</c:v>
                </c:pt>
                <c:pt idx="2">
                  <c:v>39</c:v>
                </c:pt>
                <c:pt idx="3">
                  <c:v>39</c:v>
                </c:pt>
                <c:pt idx="4">
                  <c:v>41</c:v>
                </c:pt>
                <c:pt idx="5">
                  <c:v>40</c:v>
                </c:pt>
                <c:pt idx="6">
                  <c:v>41</c:v>
                </c:pt>
                <c:pt idx="7">
                  <c:v>42</c:v>
                </c:pt>
                <c:pt idx="8">
                  <c:v>42</c:v>
                </c:pt>
                <c:pt idx="9">
                  <c:v>43</c:v>
                </c:pt>
                <c:pt idx="10">
                  <c:v>42</c:v>
                </c:pt>
                <c:pt idx="11">
                  <c:v>41</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2-72FA-4B92-8E2D-056A3F38EBBC}"/>
            </c:ext>
          </c:extLst>
        </c:ser>
        <c:ser>
          <c:idx val="4"/>
          <c:order val="3"/>
          <c:tx>
            <c:strRef>
              <c:f>'Sheet 1'!$A$13</c:f>
              <c:strCache>
                <c:ptCount val="1"/>
                <c:pt idx="0">
                  <c:v>Albania</c:v>
                </c:pt>
              </c:strCache>
            </c:strRef>
          </c:tx>
          <c:spPr>
            <a:ln w="28575" cap="rnd">
              <a:solidFill>
                <a:schemeClr val="accent5"/>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1'!$B$13:$M$13</c:f>
              <c:numCache>
                <c:formatCode>#,##0</c:formatCode>
                <c:ptCount val="12"/>
                <c:pt idx="0">
                  <c:v>30</c:v>
                </c:pt>
                <c:pt idx="1">
                  <c:v>29</c:v>
                </c:pt>
                <c:pt idx="2">
                  <c:v>30</c:v>
                </c:pt>
                <c:pt idx="3">
                  <c:v>30</c:v>
                </c:pt>
                <c:pt idx="4">
                  <c:v>30</c:v>
                </c:pt>
                <c:pt idx="5">
                  <c:v>30</c:v>
                </c:pt>
                <c:pt idx="6">
                  <c:v>30</c:v>
                </c:pt>
                <c:pt idx="7">
                  <c:v>30</c:v>
                </c:pt>
                <c:pt idx="8">
                  <c:v>31</c:v>
                </c:pt>
                <c:pt idx="9">
                  <c:v>31</c:v>
                </c:pt>
                <c:pt idx="10">
                  <c:v>34</c:v>
                </c:pt>
                <c:pt idx="11">
                  <c:v>35</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3-72FA-4B92-8E2D-056A3F38EBBC}"/>
            </c:ext>
          </c:extLst>
        </c:ser>
        <c:ser>
          <c:idx val="5"/>
          <c:order val="4"/>
          <c:tx>
            <c:strRef>
              <c:f>'Sheet 1'!$A$14</c:f>
              <c:strCache>
                <c:ptCount val="1"/>
                <c:pt idx="0">
                  <c:v>Serbia</c:v>
                </c:pt>
              </c:strCache>
            </c:strRef>
          </c:tx>
          <c:spPr>
            <a:ln w="28575" cap="rnd">
              <a:solidFill>
                <a:schemeClr val="accent6"/>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1'!$B$14:$M$14</c:f>
              <c:numCache>
                <c:formatCode>#,##0</c:formatCode>
                <c:ptCount val="12"/>
                <c:pt idx="0">
                  <c:v>40</c:v>
                </c:pt>
                <c:pt idx="1">
                  <c:v>41</c:v>
                </c:pt>
                <c:pt idx="2">
                  <c:v>40</c:v>
                </c:pt>
                <c:pt idx="3">
                  <c:v>39</c:v>
                </c:pt>
                <c:pt idx="4">
                  <c:v>39</c:v>
                </c:pt>
                <c:pt idx="5">
                  <c:v>39</c:v>
                </c:pt>
                <c:pt idx="6">
                  <c:v>40</c:v>
                </c:pt>
                <c:pt idx="7">
                  <c:v>41</c:v>
                </c:pt>
                <c:pt idx="8">
                  <c:v>43</c:v>
                </c:pt>
                <c:pt idx="9">
                  <c:v>44</c:v>
                </c:pt>
                <c:pt idx="10">
                  <c:v>44</c:v>
                </c:pt>
                <c:pt idx="11">
                  <c:v>46</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4-72FA-4B92-8E2D-056A3F38EBBC}"/>
            </c:ext>
          </c:extLst>
        </c:ser>
        <c:ser>
          <c:idx val="6"/>
          <c:order val="5"/>
          <c:tx>
            <c:strRef>
              <c:f>'Sheet 1'!$A$15</c:f>
              <c:strCache>
                <c:ptCount val="1"/>
                <c:pt idx="0">
                  <c:v>Kosovo*</c:v>
                </c:pt>
              </c:strCache>
            </c:strRef>
          </c:tx>
          <c:spPr>
            <a:ln w="28575" cap="rnd">
              <a:solidFill>
                <a:schemeClr val="accent1">
                  <a:lumMod val="60000"/>
                </a:schemeClr>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1'!$B$15:$M$15</c:f>
              <c:numCache>
                <c:formatCode>#,##0</c:formatCode>
                <c:ptCount val="12"/>
                <c:pt idx="0">
                  <c:v>22.6</c:v>
                </c:pt>
                <c:pt idx="1">
                  <c:v>22.4</c:v>
                </c:pt>
                <c:pt idx="2">
                  <c:v>22.1</c:v>
                </c:pt>
                <c:pt idx="3">
                  <c:v>22.8</c:v>
                </c:pt>
                <c:pt idx="4">
                  <c:v>22.6</c:v>
                </c:pt>
                <c:pt idx="5">
                  <c:v>22</c:v>
                </c:pt>
                <c:pt idx="6">
                  <c:v>22.4</c:v>
                </c:pt>
                <c:pt idx="7">
                  <c:v>22.5</c:v>
                </c:pt>
                <c:pt idx="8">
                  <c:v>22.4</c:v>
                </c:pt>
                <c:pt idx="9">
                  <c:v>23.8</c:v>
                </c:pt>
                <c:pt idx="10">
                  <c:v>24.3</c:v>
                </c:pt>
                <c:pt idx="11">
                  <c:v>24.9</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5-72FA-4B92-8E2D-056A3F38EBBC}"/>
            </c:ext>
          </c:extLst>
        </c:ser>
        <c:ser>
          <c:idx val="7"/>
          <c:order val="6"/>
          <c:tx>
            <c:strRef>
              <c:f>'Sheet 1'!$A$16</c:f>
              <c:strCache>
                <c:ptCount val="1"/>
                <c:pt idx="0">
                  <c:v>Republica Moldova</c:v>
                </c:pt>
              </c:strCache>
            </c:strRef>
          </c:tx>
          <c:spPr>
            <a:ln w="28575" cap="rnd">
              <a:solidFill>
                <a:schemeClr val="accent2">
                  <a:lumMod val="60000"/>
                </a:schemeClr>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1'!$B$16:$M$16</c:f>
              <c:numCache>
                <c:formatCode>#,##0</c:formatCode>
                <c:ptCount val="12"/>
                <c:pt idx="0">
                  <c:v>22</c:v>
                </c:pt>
                <c:pt idx="1">
                  <c:v>24.1</c:v>
                </c:pt>
                <c:pt idx="2">
                  <c:v>25</c:v>
                </c:pt>
                <c:pt idx="3">
                  <c:v>24.5</c:v>
                </c:pt>
                <c:pt idx="4">
                  <c:v>25.5</c:v>
                </c:pt>
                <c:pt idx="5">
                  <c:v>26.3</c:v>
                </c:pt>
                <c:pt idx="6">
                  <c:v>27.3</c:v>
                </c:pt>
                <c:pt idx="7">
                  <c:v>28.2</c:v>
                </c:pt>
                <c:pt idx="8">
                  <c:v>27.7</c:v>
                </c:pt>
                <c:pt idx="9">
                  <c:v>30.2</c:v>
                </c:pt>
                <c:pt idx="10">
                  <c:v>28.3</c:v>
                </c:pt>
                <c:pt idx="11">
                  <c:v>29.1</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6-72FA-4B92-8E2D-056A3F38EBBC}"/>
            </c:ext>
          </c:extLst>
        </c:ser>
        <c:ser>
          <c:idx val="0"/>
          <c:order val="7"/>
          <c:tx>
            <c:strRef>
              <c:f>'Sheet 1'!$A$17</c:f>
              <c:strCache>
                <c:ptCount val="1"/>
                <c:pt idx="0">
                  <c:v>Ucraina</c:v>
                </c:pt>
              </c:strCache>
            </c:strRef>
          </c:tx>
          <c:spPr>
            <a:ln w="28575" cap="rnd">
              <a:solidFill>
                <a:schemeClr val="accent1"/>
              </a:solidFill>
              <a:round/>
            </a:ln>
            <a:effectLst/>
          </c:spPr>
          <c:marker>
            <c:symbol val="none"/>
          </c:marker>
          <c:cat>
            <c:strRef>
              <c:f>'Sheet 1'!$B$7:$M$8</c:f>
              <c:strCach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strCache>
            </c:strRef>
          </c:cat>
          <c:val>
            <c:numRef>
              <c:f>'Sheet 1'!$B$17:$M$17</c:f>
              <c:numCache>
                <c:formatCode>#,##0</c:formatCode>
                <c:ptCount val="12"/>
                <c:pt idx="0">
                  <c:v>39.200000000000003</c:v>
                </c:pt>
                <c:pt idx="1">
                  <c:v>39.4</c:v>
                </c:pt>
                <c:pt idx="2">
                  <c:v>37</c:v>
                </c:pt>
                <c:pt idx="3">
                  <c:v>32.799999999999997</c:v>
                </c:pt>
                <c:pt idx="4">
                  <c:v>33.1</c:v>
                </c:pt>
                <c:pt idx="5">
                  <c:v>33.1</c:v>
                </c:pt>
                <c:pt idx="6">
                  <c:v>33.700000000000003</c:v>
                </c:pt>
                <c:pt idx="7">
                  <c:v>34.4</c:v>
                </c:pt>
                <c:pt idx="8">
                  <c:v>35.299999999999997</c:v>
                </c:pt>
                <c:pt idx="9">
                  <c:v>34.700000000000003</c:v>
                </c:pt>
                <c:pt idx="10">
                  <c:v>27.9</c:v>
                </c:pt>
                <c:pt idx="11">
                  <c:v>30.2</c:v>
                </c:pt>
              </c:numCache>
            </c:numRef>
          </c:val>
          <c:smooth val="0"/>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7-72FA-4B92-8E2D-056A3F38EBBC}"/>
            </c:ext>
          </c:extLst>
        </c:ser>
        <c:dLbls>
          <c:showLegendKey val="0"/>
          <c:showVal val="0"/>
          <c:showCatName val="0"/>
          <c:showSerName val="0"/>
          <c:showPercent val="0"/>
          <c:showBubbleSize val="0"/>
        </c:dLbls>
        <c:smooth val="0"/>
        <c:axId val="726560047"/>
        <c:axId val="1855349487"/>
      </c:lineChart>
      <c:catAx>
        <c:axId val="72656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5349487"/>
        <c:crosses val="autoZero"/>
        <c:auto val="1"/>
        <c:lblAlgn val="ctr"/>
        <c:lblOffset val="100"/>
        <c:noMultiLvlLbl val="0"/>
      </c:catAx>
      <c:valAx>
        <c:axId val="1855349487"/>
        <c:scaling>
          <c:orientation val="minMax"/>
          <c:max val="60"/>
          <c:min val="2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560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00D3BD6BD8704B932745BE60C1036B" ma:contentTypeVersion="6" ma:contentTypeDescription="Create a new document." ma:contentTypeScope="" ma:versionID="f93e52888335d36fb6c0bbcd38310d28">
  <xsd:schema xmlns:xsd="http://www.w3.org/2001/XMLSchema" xmlns:xs="http://www.w3.org/2001/XMLSchema" xmlns:p="http://schemas.microsoft.com/office/2006/metadata/properties" xmlns:ns2="c0057e81-76ea-4aa3-aeb4-e85eefca2e5c" xmlns:ns3="b92d5a3b-417c-4665-ad77-443e9e9e94ff" targetNamespace="http://schemas.microsoft.com/office/2006/metadata/properties" ma:root="true" ma:fieldsID="1af75647e2ab48d65f2f7cc548783453" ns2:_="" ns3:_="">
    <xsd:import namespace="c0057e81-76ea-4aa3-aeb4-e85eefca2e5c"/>
    <xsd:import namespace="b92d5a3b-417c-4665-ad77-443e9e9e94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57e81-76ea-4aa3-aeb4-e85eefca2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2d5a3b-417c-4665-ad77-443e9e9e94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0E61352F2D740A023EB807E79BD8E" ma:contentTypeVersion="4" ma:contentTypeDescription="Create a new document." ma:contentTypeScope="" ma:versionID="d5da9ab61e88465a6d07b4c45e383ee8">
  <xsd:schema xmlns:xsd="http://www.w3.org/2001/XMLSchema" xmlns:xs="http://www.w3.org/2001/XMLSchema" xmlns:p="http://schemas.microsoft.com/office/2006/metadata/properties" xmlns:ns2="ab108156-68d2-4c3c-ba64-c0bf96163667" targetNamespace="http://schemas.microsoft.com/office/2006/metadata/properties" ma:root="true" ma:fieldsID="534e83340e76d77c39736135baa01bd4" ns2:_="">
    <xsd:import namespace="ab108156-68d2-4c3c-ba64-c0bf961636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08156-68d2-4c3c-ba64-c0bf96163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FFBF3-8967-4799-B775-A270B0D8FA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FA0701-6691-400F-8908-6C3C4DDCF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57e81-76ea-4aa3-aeb4-e85eefca2e5c"/>
    <ds:schemaRef ds:uri="b92d5a3b-417c-4665-ad77-443e9e9e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D27CB0-6FC1-4AE7-B482-0499E77EB12F}">
  <ds:schemaRefs>
    <ds:schemaRef ds:uri="http://schemas.microsoft.com/sharepoint/v3/contenttype/forms"/>
  </ds:schemaRefs>
</ds:datastoreItem>
</file>

<file path=customXml/itemProps4.xml><?xml version="1.0" encoding="utf-8"?>
<ds:datastoreItem xmlns:ds="http://schemas.openxmlformats.org/officeDocument/2006/customXml" ds:itemID="{4C705746-CE0B-4CC0-8961-FC9B7BC31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08156-68d2-4c3c-ba64-c0bf96163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415357-E3C4-4393-BD01-83134DEA4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3837</Words>
  <Characters>21872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2024-10-04T12:51:00Z</cp:lastPrinted>
  <dcterms:created xsi:type="dcterms:W3CDTF">2024-10-09T08:34:00Z</dcterms:created>
  <dcterms:modified xsi:type="dcterms:W3CDTF">2024-11-11T16:04:00Z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2024-09-20T17:32:49Z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60414730-7467-4cb7-ad63-87577a0954e9</vt:lpwstr>
  </property>
  <property fmtid="{D5CDD505-2E9C-101B-9397-08002B2CF9AE}" pid="15" name="MSIP_Label_6bd9ddd1-4d20-43f6-abfa-fc3c07406f94_ContentBits">
    <vt:lpwstr>0</vt:lpwstr>
  </property>
  <property fmtid="{D5CDD505-2E9C-101B-9397-08002B2CF9AE}" pid="16" name="ContentTypeId">
    <vt:lpwstr>0x010100A200D3BD6BD8704B932745BE60C1036B</vt:lpwstr>
  </property>
</Properties>
</file>