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EF6AE" w14:textId="6036AB1C" w:rsidR="00957D7E" w:rsidRDefault="00D3395F" w:rsidP="00D3395F">
      <w:pPr>
        <w:pStyle w:val="Pagedecouverture"/>
        <w:rPr>
          <w:noProof/>
        </w:rPr>
      </w:pPr>
      <w:bookmarkStart w:id="0" w:name="LW_BM_COVERPAGE"/>
      <w:r>
        <w:rPr>
          <w:noProof/>
        </w:rPr>
        <w:pict w14:anchorId="45C3AA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3259C8E-E591-481D-9025-857CFDCE4C81" style="width:455.25pt;height:378.75pt">
            <v:imagedata r:id="rId11" o:title=""/>
          </v:shape>
        </w:pict>
      </w:r>
    </w:p>
    <w:bookmarkEnd w:id="0"/>
    <w:p w14:paraId="499A1118" w14:textId="77777777" w:rsidR="000A37A5" w:rsidRDefault="000A37A5" w:rsidP="002A12CF">
      <w:pPr>
        <w:rPr>
          <w:noProof/>
        </w:rPr>
        <w:sectPr w:rsidR="000A37A5" w:rsidSect="00D3395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bookmarkStart w:id="2" w:name="_Toc158097088" w:displacedByCustomXml="next"/>
    <w:sdt>
      <w:sdtPr>
        <w:rPr>
          <w:b w:val="0"/>
          <w:bCs w:val="0"/>
          <w:noProof/>
        </w:rPr>
        <w:id w:val="1404192831"/>
        <w:docPartObj>
          <w:docPartGallery w:val="Table of Contents"/>
          <w:docPartUnique/>
        </w:docPartObj>
      </w:sdtPr>
      <w:sdtEndPr/>
      <w:sdtContent>
        <w:p w14:paraId="25C04743" w14:textId="77777777" w:rsidR="00482E88" w:rsidRDefault="00482E88" w:rsidP="00482E88">
          <w:pPr>
            <w:pStyle w:val="Heading1"/>
            <w:rPr>
              <w:noProof/>
            </w:rPr>
          </w:pPr>
          <w:r>
            <w:rPr>
              <w:noProof/>
            </w:rPr>
            <w:t>Contents</w:t>
          </w:r>
          <w:bookmarkEnd w:id="2"/>
        </w:p>
        <w:p w14:paraId="1B63874B" w14:textId="532B7267" w:rsidR="00A95A7B" w:rsidRDefault="00482E88">
          <w:pPr>
            <w:pStyle w:val="TOC1"/>
            <w:rPr>
              <w:rFonts w:asciiTheme="minorHAnsi" w:eastAsiaTheme="minorEastAsia" w:hAnsiTheme="minorHAnsi" w:cstheme="minorBidi"/>
              <w:noProof/>
              <w:kern w:val="2"/>
              <w:sz w:val="22"/>
              <w:szCs w:val="22"/>
              <w:lang w:eastAsia="en-GB"/>
              <w14:ligatures w14:val="standardContextual"/>
            </w:rPr>
          </w:pPr>
          <w:r>
            <w:rPr>
              <w:noProof/>
            </w:rPr>
            <w:fldChar w:fldCharType="begin"/>
          </w:r>
          <w:r>
            <w:rPr>
              <w:noProof/>
            </w:rPr>
            <w:instrText>TOC \o "1-3" \h \z \u</w:instrText>
          </w:r>
          <w:r>
            <w:rPr>
              <w:noProof/>
            </w:rPr>
            <w:fldChar w:fldCharType="separate"/>
          </w:r>
          <w:hyperlink w:anchor="_Toc158097088" w:history="1">
            <w:r w:rsidR="00A95A7B" w:rsidRPr="00E37598">
              <w:rPr>
                <w:rStyle w:val="Hyperlink"/>
                <w:noProof/>
              </w:rPr>
              <w:t>1</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Contents</w:t>
            </w:r>
            <w:r w:rsidR="00A95A7B">
              <w:rPr>
                <w:noProof/>
                <w:webHidden/>
              </w:rPr>
              <w:tab/>
            </w:r>
            <w:r w:rsidR="00A95A7B">
              <w:rPr>
                <w:noProof/>
                <w:webHidden/>
              </w:rPr>
              <w:fldChar w:fldCharType="begin"/>
            </w:r>
            <w:r w:rsidR="00A95A7B">
              <w:rPr>
                <w:noProof/>
                <w:webHidden/>
              </w:rPr>
              <w:instrText xml:space="preserve"> PAGEREF _Toc158097088 \h </w:instrText>
            </w:r>
            <w:r w:rsidR="00A95A7B">
              <w:rPr>
                <w:noProof/>
                <w:webHidden/>
              </w:rPr>
            </w:r>
            <w:r w:rsidR="00A95A7B">
              <w:rPr>
                <w:noProof/>
                <w:webHidden/>
              </w:rPr>
              <w:fldChar w:fldCharType="separate"/>
            </w:r>
            <w:r w:rsidR="00A95A7B">
              <w:rPr>
                <w:noProof/>
                <w:webHidden/>
              </w:rPr>
              <w:t>1</w:t>
            </w:r>
            <w:r w:rsidR="00A95A7B">
              <w:rPr>
                <w:noProof/>
                <w:webHidden/>
              </w:rPr>
              <w:fldChar w:fldCharType="end"/>
            </w:r>
          </w:hyperlink>
        </w:p>
        <w:p w14:paraId="544A168C" w14:textId="50C1D5F6" w:rsidR="00A95A7B" w:rsidRDefault="00D3395F">
          <w:pPr>
            <w:pStyle w:val="TOC1"/>
            <w:rPr>
              <w:rFonts w:asciiTheme="minorHAnsi" w:eastAsiaTheme="minorEastAsia" w:hAnsiTheme="minorHAnsi" w:cstheme="minorBidi"/>
              <w:noProof/>
              <w:kern w:val="2"/>
              <w:sz w:val="22"/>
              <w:szCs w:val="22"/>
              <w:lang w:eastAsia="en-GB"/>
              <w14:ligatures w14:val="standardContextual"/>
            </w:rPr>
          </w:pPr>
          <w:hyperlink w:anchor="_Toc158097089" w:history="1">
            <w:r w:rsidR="00A95A7B" w:rsidRPr="00E37598">
              <w:rPr>
                <w:rStyle w:val="Hyperlink"/>
                <w:noProof/>
              </w:rPr>
              <w:t>1</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A Vision beyond 2030</w:t>
            </w:r>
            <w:r w:rsidR="00A95A7B">
              <w:rPr>
                <w:noProof/>
                <w:webHidden/>
              </w:rPr>
              <w:tab/>
            </w:r>
            <w:r w:rsidR="00A95A7B">
              <w:rPr>
                <w:noProof/>
                <w:webHidden/>
              </w:rPr>
              <w:fldChar w:fldCharType="begin"/>
            </w:r>
            <w:r w:rsidR="00A95A7B">
              <w:rPr>
                <w:noProof/>
                <w:webHidden/>
              </w:rPr>
              <w:instrText xml:space="preserve"> PAGEREF _Toc158097089 \h </w:instrText>
            </w:r>
            <w:r w:rsidR="00A95A7B">
              <w:rPr>
                <w:noProof/>
                <w:webHidden/>
              </w:rPr>
            </w:r>
            <w:r w:rsidR="00A95A7B">
              <w:rPr>
                <w:noProof/>
                <w:webHidden/>
              </w:rPr>
              <w:fldChar w:fldCharType="separate"/>
            </w:r>
            <w:r w:rsidR="00A95A7B">
              <w:rPr>
                <w:noProof/>
                <w:webHidden/>
              </w:rPr>
              <w:t>2</w:t>
            </w:r>
            <w:r w:rsidR="00A95A7B">
              <w:rPr>
                <w:noProof/>
                <w:webHidden/>
              </w:rPr>
              <w:fldChar w:fldCharType="end"/>
            </w:r>
          </w:hyperlink>
        </w:p>
        <w:p w14:paraId="394FCB95" w14:textId="1A9FA3C8" w:rsidR="00A95A7B" w:rsidRDefault="00D3395F">
          <w:pPr>
            <w:pStyle w:val="TOC1"/>
            <w:rPr>
              <w:rFonts w:asciiTheme="minorHAnsi" w:eastAsiaTheme="minorEastAsia" w:hAnsiTheme="minorHAnsi" w:cstheme="minorBidi"/>
              <w:noProof/>
              <w:kern w:val="2"/>
              <w:sz w:val="22"/>
              <w:szCs w:val="22"/>
              <w:lang w:eastAsia="en-GB"/>
              <w14:ligatures w14:val="standardContextual"/>
            </w:rPr>
          </w:pPr>
          <w:hyperlink w:anchor="_Toc158097090" w:history="1">
            <w:r w:rsidR="00A95A7B" w:rsidRPr="00E37598">
              <w:rPr>
                <w:rStyle w:val="Hyperlink"/>
                <w:noProof/>
              </w:rPr>
              <w:t>2</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Ambitious global climate action</w:t>
            </w:r>
            <w:r w:rsidR="00A95A7B">
              <w:rPr>
                <w:noProof/>
                <w:webHidden/>
              </w:rPr>
              <w:tab/>
            </w:r>
            <w:r w:rsidR="00A95A7B">
              <w:rPr>
                <w:noProof/>
                <w:webHidden/>
              </w:rPr>
              <w:fldChar w:fldCharType="begin"/>
            </w:r>
            <w:r w:rsidR="00A95A7B">
              <w:rPr>
                <w:noProof/>
                <w:webHidden/>
              </w:rPr>
              <w:instrText xml:space="preserve"> PAGEREF _Toc158097090 \h </w:instrText>
            </w:r>
            <w:r w:rsidR="00A95A7B">
              <w:rPr>
                <w:noProof/>
                <w:webHidden/>
              </w:rPr>
            </w:r>
            <w:r w:rsidR="00A95A7B">
              <w:rPr>
                <w:noProof/>
                <w:webHidden/>
              </w:rPr>
              <w:fldChar w:fldCharType="separate"/>
            </w:r>
            <w:r w:rsidR="00A95A7B">
              <w:rPr>
                <w:noProof/>
                <w:webHidden/>
              </w:rPr>
              <w:t>4</w:t>
            </w:r>
            <w:r w:rsidR="00A95A7B">
              <w:rPr>
                <w:noProof/>
                <w:webHidden/>
              </w:rPr>
              <w:fldChar w:fldCharType="end"/>
            </w:r>
          </w:hyperlink>
        </w:p>
        <w:p w14:paraId="4541DAFC" w14:textId="14C91504" w:rsidR="00A95A7B" w:rsidRDefault="00D3395F">
          <w:pPr>
            <w:pStyle w:val="TOC1"/>
            <w:rPr>
              <w:rFonts w:asciiTheme="minorHAnsi" w:eastAsiaTheme="minorEastAsia" w:hAnsiTheme="minorHAnsi" w:cstheme="minorBidi"/>
              <w:noProof/>
              <w:kern w:val="2"/>
              <w:sz w:val="22"/>
              <w:szCs w:val="22"/>
              <w:lang w:eastAsia="en-GB"/>
              <w14:ligatures w14:val="standardContextual"/>
            </w:rPr>
          </w:pPr>
          <w:hyperlink w:anchor="_Toc158097091" w:history="1">
            <w:r w:rsidR="00A95A7B" w:rsidRPr="00E37598">
              <w:rPr>
                <w:rStyle w:val="Hyperlink"/>
                <w:noProof/>
              </w:rPr>
              <w:t>3</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The 2040 target and a pathway to climate neutrality</w:t>
            </w:r>
            <w:r w:rsidR="00A95A7B">
              <w:rPr>
                <w:noProof/>
                <w:webHidden/>
              </w:rPr>
              <w:tab/>
            </w:r>
            <w:r w:rsidR="00A95A7B">
              <w:rPr>
                <w:noProof/>
                <w:webHidden/>
              </w:rPr>
              <w:fldChar w:fldCharType="begin"/>
            </w:r>
            <w:r w:rsidR="00A95A7B">
              <w:rPr>
                <w:noProof/>
                <w:webHidden/>
              </w:rPr>
              <w:instrText xml:space="preserve"> PAGEREF _Toc158097091 \h </w:instrText>
            </w:r>
            <w:r w:rsidR="00A95A7B">
              <w:rPr>
                <w:noProof/>
                <w:webHidden/>
              </w:rPr>
            </w:r>
            <w:r w:rsidR="00A95A7B">
              <w:rPr>
                <w:noProof/>
                <w:webHidden/>
              </w:rPr>
              <w:fldChar w:fldCharType="separate"/>
            </w:r>
            <w:r w:rsidR="00A95A7B">
              <w:rPr>
                <w:noProof/>
                <w:webHidden/>
              </w:rPr>
              <w:t>6</w:t>
            </w:r>
            <w:r w:rsidR="00A95A7B">
              <w:rPr>
                <w:noProof/>
                <w:webHidden/>
              </w:rPr>
              <w:fldChar w:fldCharType="end"/>
            </w:r>
          </w:hyperlink>
        </w:p>
        <w:p w14:paraId="0A7AD6CF" w14:textId="1FF65755"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092" w:history="1">
            <w:r w:rsidR="00A95A7B" w:rsidRPr="00E37598">
              <w:rPr>
                <w:rStyle w:val="Hyperlink"/>
                <w:noProof/>
              </w:rPr>
              <w:t>3.1</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The target</w:t>
            </w:r>
            <w:r w:rsidR="00A95A7B">
              <w:rPr>
                <w:noProof/>
                <w:webHidden/>
              </w:rPr>
              <w:tab/>
            </w:r>
            <w:r w:rsidR="00A95A7B">
              <w:rPr>
                <w:noProof/>
                <w:webHidden/>
              </w:rPr>
              <w:fldChar w:fldCharType="begin"/>
            </w:r>
            <w:r w:rsidR="00A95A7B">
              <w:rPr>
                <w:noProof/>
                <w:webHidden/>
              </w:rPr>
              <w:instrText xml:space="preserve"> PAGEREF _Toc158097092 \h </w:instrText>
            </w:r>
            <w:r w:rsidR="00A95A7B">
              <w:rPr>
                <w:noProof/>
                <w:webHidden/>
              </w:rPr>
            </w:r>
            <w:r w:rsidR="00A95A7B">
              <w:rPr>
                <w:noProof/>
                <w:webHidden/>
              </w:rPr>
              <w:fldChar w:fldCharType="separate"/>
            </w:r>
            <w:r w:rsidR="00A95A7B">
              <w:rPr>
                <w:noProof/>
                <w:webHidden/>
              </w:rPr>
              <w:t>6</w:t>
            </w:r>
            <w:r w:rsidR="00A95A7B">
              <w:rPr>
                <w:noProof/>
                <w:webHidden/>
              </w:rPr>
              <w:fldChar w:fldCharType="end"/>
            </w:r>
          </w:hyperlink>
        </w:p>
        <w:p w14:paraId="258F6DD6" w14:textId="322B9972"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093" w:history="1">
            <w:r w:rsidR="00A95A7B" w:rsidRPr="00E37598">
              <w:rPr>
                <w:rStyle w:val="Hyperlink"/>
                <w:noProof/>
              </w:rPr>
              <w:t>3.2</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Cost of inaction</w:t>
            </w:r>
            <w:r w:rsidR="00A95A7B">
              <w:rPr>
                <w:noProof/>
                <w:webHidden/>
              </w:rPr>
              <w:tab/>
            </w:r>
            <w:r w:rsidR="00A95A7B">
              <w:rPr>
                <w:noProof/>
                <w:webHidden/>
              </w:rPr>
              <w:fldChar w:fldCharType="begin"/>
            </w:r>
            <w:r w:rsidR="00A95A7B">
              <w:rPr>
                <w:noProof/>
                <w:webHidden/>
              </w:rPr>
              <w:instrText xml:space="preserve"> PAGEREF _Toc158097093 \h </w:instrText>
            </w:r>
            <w:r w:rsidR="00A95A7B">
              <w:rPr>
                <w:noProof/>
                <w:webHidden/>
              </w:rPr>
            </w:r>
            <w:r w:rsidR="00A95A7B">
              <w:rPr>
                <w:noProof/>
                <w:webHidden/>
              </w:rPr>
              <w:fldChar w:fldCharType="separate"/>
            </w:r>
            <w:r w:rsidR="00A95A7B">
              <w:rPr>
                <w:noProof/>
                <w:webHidden/>
              </w:rPr>
              <w:t>8</w:t>
            </w:r>
            <w:r w:rsidR="00A95A7B">
              <w:rPr>
                <w:noProof/>
                <w:webHidden/>
              </w:rPr>
              <w:fldChar w:fldCharType="end"/>
            </w:r>
          </w:hyperlink>
        </w:p>
        <w:p w14:paraId="0A756BC9" w14:textId="4B71AB68" w:rsidR="00A95A7B" w:rsidRDefault="00D3395F">
          <w:pPr>
            <w:pStyle w:val="TOC1"/>
            <w:rPr>
              <w:rFonts w:asciiTheme="minorHAnsi" w:eastAsiaTheme="minorEastAsia" w:hAnsiTheme="minorHAnsi" w:cstheme="minorBidi"/>
              <w:noProof/>
              <w:kern w:val="2"/>
              <w:sz w:val="22"/>
              <w:szCs w:val="22"/>
              <w:lang w:eastAsia="en-GB"/>
              <w14:ligatures w14:val="standardContextual"/>
            </w:rPr>
          </w:pPr>
          <w:hyperlink w:anchor="_Toc158097094" w:history="1">
            <w:r w:rsidR="00A95A7B" w:rsidRPr="00E37598">
              <w:rPr>
                <w:rStyle w:val="Hyperlink"/>
                <w:noProof/>
              </w:rPr>
              <w:t>4</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Delivering the 2040 target</w:t>
            </w:r>
            <w:r w:rsidR="00A95A7B">
              <w:rPr>
                <w:noProof/>
                <w:webHidden/>
              </w:rPr>
              <w:tab/>
            </w:r>
            <w:r w:rsidR="00A95A7B">
              <w:rPr>
                <w:noProof/>
                <w:webHidden/>
              </w:rPr>
              <w:fldChar w:fldCharType="begin"/>
            </w:r>
            <w:r w:rsidR="00A95A7B">
              <w:rPr>
                <w:noProof/>
                <w:webHidden/>
              </w:rPr>
              <w:instrText xml:space="preserve"> PAGEREF _Toc158097094 \h </w:instrText>
            </w:r>
            <w:r w:rsidR="00A95A7B">
              <w:rPr>
                <w:noProof/>
                <w:webHidden/>
              </w:rPr>
            </w:r>
            <w:r w:rsidR="00A95A7B">
              <w:rPr>
                <w:noProof/>
                <w:webHidden/>
              </w:rPr>
              <w:fldChar w:fldCharType="separate"/>
            </w:r>
            <w:r w:rsidR="00A95A7B">
              <w:rPr>
                <w:noProof/>
                <w:webHidden/>
              </w:rPr>
              <w:t>10</w:t>
            </w:r>
            <w:r w:rsidR="00A95A7B">
              <w:rPr>
                <w:noProof/>
                <w:webHidden/>
              </w:rPr>
              <w:fldChar w:fldCharType="end"/>
            </w:r>
          </w:hyperlink>
        </w:p>
        <w:p w14:paraId="55B4A49B" w14:textId="3C2D0A2A"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095" w:history="1">
            <w:r w:rsidR="00A95A7B" w:rsidRPr="00E37598">
              <w:rPr>
                <w:rStyle w:val="Hyperlink"/>
                <w:noProof/>
              </w:rPr>
              <w:t>4.1</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Implementing the 2030 policy framework</w:t>
            </w:r>
            <w:r w:rsidR="00A95A7B">
              <w:rPr>
                <w:noProof/>
                <w:webHidden/>
              </w:rPr>
              <w:tab/>
            </w:r>
            <w:r w:rsidR="00A95A7B">
              <w:rPr>
                <w:noProof/>
                <w:webHidden/>
              </w:rPr>
              <w:fldChar w:fldCharType="begin"/>
            </w:r>
            <w:r w:rsidR="00A95A7B">
              <w:rPr>
                <w:noProof/>
                <w:webHidden/>
              </w:rPr>
              <w:instrText xml:space="preserve"> PAGEREF _Toc158097095 \h </w:instrText>
            </w:r>
            <w:r w:rsidR="00A95A7B">
              <w:rPr>
                <w:noProof/>
                <w:webHidden/>
              </w:rPr>
            </w:r>
            <w:r w:rsidR="00A95A7B">
              <w:rPr>
                <w:noProof/>
                <w:webHidden/>
              </w:rPr>
              <w:fldChar w:fldCharType="separate"/>
            </w:r>
            <w:r w:rsidR="00A95A7B">
              <w:rPr>
                <w:noProof/>
                <w:webHidden/>
              </w:rPr>
              <w:t>10</w:t>
            </w:r>
            <w:r w:rsidR="00A95A7B">
              <w:rPr>
                <w:noProof/>
                <w:webHidden/>
              </w:rPr>
              <w:fldChar w:fldCharType="end"/>
            </w:r>
          </w:hyperlink>
        </w:p>
        <w:p w14:paraId="0E1BBD0E" w14:textId="5CA19CB6"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096" w:history="1">
            <w:r w:rsidR="00A95A7B" w:rsidRPr="00E37598">
              <w:rPr>
                <w:rStyle w:val="Hyperlink"/>
                <w:noProof/>
              </w:rPr>
              <w:t>4.2</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An economy that delivers for people</w:t>
            </w:r>
            <w:r w:rsidR="00A95A7B">
              <w:rPr>
                <w:noProof/>
                <w:webHidden/>
              </w:rPr>
              <w:tab/>
            </w:r>
            <w:r w:rsidR="00A95A7B">
              <w:rPr>
                <w:noProof/>
                <w:webHidden/>
              </w:rPr>
              <w:fldChar w:fldCharType="begin"/>
            </w:r>
            <w:r w:rsidR="00A95A7B">
              <w:rPr>
                <w:noProof/>
                <w:webHidden/>
              </w:rPr>
              <w:instrText xml:space="preserve"> PAGEREF _Toc158097096 \h </w:instrText>
            </w:r>
            <w:r w:rsidR="00A95A7B">
              <w:rPr>
                <w:noProof/>
                <w:webHidden/>
              </w:rPr>
            </w:r>
            <w:r w:rsidR="00A95A7B">
              <w:rPr>
                <w:noProof/>
                <w:webHidden/>
              </w:rPr>
              <w:fldChar w:fldCharType="separate"/>
            </w:r>
            <w:r w:rsidR="00A95A7B">
              <w:rPr>
                <w:noProof/>
                <w:webHidden/>
              </w:rPr>
              <w:t>10</w:t>
            </w:r>
            <w:r w:rsidR="00A95A7B">
              <w:rPr>
                <w:noProof/>
                <w:webHidden/>
              </w:rPr>
              <w:fldChar w:fldCharType="end"/>
            </w:r>
          </w:hyperlink>
        </w:p>
        <w:p w14:paraId="59308765" w14:textId="40C8354A"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097" w:history="1">
            <w:r w:rsidR="00A95A7B" w:rsidRPr="00E37598">
              <w:rPr>
                <w:rStyle w:val="Hyperlink"/>
                <w:noProof/>
              </w:rPr>
              <w:t>4.3</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The EU’s energy system</w:t>
            </w:r>
            <w:r w:rsidR="00A95A7B">
              <w:rPr>
                <w:noProof/>
                <w:webHidden/>
              </w:rPr>
              <w:tab/>
            </w:r>
            <w:r w:rsidR="00A95A7B">
              <w:rPr>
                <w:noProof/>
                <w:webHidden/>
              </w:rPr>
              <w:fldChar w:fldCharType="begin"/>
            </w:r>
            <w:r w:rsidR="00A95A7B">
              <w:rPr>
                <w:noProof/>
                <w:webHidden/>
              </w:rPr>
              <w:instrText xml:space="preserve"> PAGEREF _Toc158097097 \h </w:instrText>
            </w:r>
            <w:r w:rsidR="00A95A7B">
              <w:rPr>
                <w:noProof/>
                <w:webHidden/>
              </w:rPr>
            </w:r>
            <w:r w:rsidR="00A95A7B">
              <w:rPr>
                <w:noProof/>
                <w:webHidden/>
              </w:rPr>
              <w:fldChar w:fldCharType="separate"/>
            </w:r>
            <w:r w:rsidR="00A95A7B">
              <w:rPr>
                <w:noProof/>
                <w:webHidden/>
              </w:rPr>
              <w:t>11</w:t>
            </w:r>
            <w:r w:rsidR="00A95A7B">
              <w:rPr>
                <w:noProof/>
                <w:webHidden/>
              </w:rPr>
              <w:fldChar w:fldCharType="end"/>
            </w:r>
          </w:hyperlink>
        </w:p>
        <w:p w14:paraId="35C70835" w14:textId="09617B50"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098" w:history="1">
            <w:r w:rsidR="00A95A7B" w:rsidRPr="00E37598">
              <w:rPr>
                <w:rStyle w:val="Hyperlink"/>
                <w:noProof/>
              </w:rPr>
              <w:t>4.4</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Industry decarbonisation deal</w:t>
            </w:r>
            <w:r w:rsidR="00A95A7B">
              <w:rPr>
                <w:noProof/>
                <w:webHidden/>
              </w:rPr>
              <w:tab/>
            </w:r>
            <w:r w:rsidR="00A95A7B">
              <w:rPr>
                <w:noProof/>
                <w:webHidden/>
              </w:rPr>
              <w:fldChar w:fldCharType="begin"/>
            </w:r>
            <w:r w:rsidR="00A95A7B">
              <w:rPr>
                <w:noProof/>
                <w:webHidden/>
              </w:rPr>
              <w:instrText xml:space="preserve"> PAGEREF _Toc158097098 \h </w:instrText>
            </w:r>
            <w:r w:rsidR="00A95A7B">
              <w:rPr>
                <w:noProof/>
                <w:webHidden/>
              </w:rPr>
            </w:r>
            <w:r w:rsidR="00A95A7B">
              <w:rPr>
                <w:noProof/>
                <w:webHidden/>
              </w:rPr>
              <w:fldChar w:fldCharType="separate"/>
            </w:r>
            <w:r w:rsidR="00A95A7B">
              <w:rPr>
                <w:noProof/>
                <w:webHidden/>
              </w:rPr>
              <w:t>14</w:t>
            </w:r>
            <w:r w:rsidR="00A95A7B">
              <w:rPr>
                <w:noProof/>
                <w:webHidden/>
              </w:rPr>
              <w:fldChar w:fldCharType="end"/>
            </w:r>
          </w:hyperlink>
        </w:p>
        <w:p w14:paraId="2F929CEA" w14:textId="30F9712F"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099" w:history="1">
            <w:r w:rsidR="00A95A7B" w:rsidRPr="00E37598">
              <w:rPr>
                <w:rStyle w:val="Hyperlink"/>
                <w:noProof/>
              </w:rPr>
              <w:t>4.5</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Decarbonising transport and improving mobility</w:t>
            </w:r>
            <w:r w:rsidR="00A95A7B">
              <w:rPr>
                <w:noProof/>
                <w:webHidden/>
              </w:rPr>
              <w:tab/>
            </w:r>
            <w:r w:rsidR="00A95A7B">
              <w:rPr>
                <w:noProof/>
                <w:webHidden/>
              </w:rPr>
              <w:fldChar w:fldCharType="begin"/>
            </w:r>
            <w:r w:rsidR="00A95A7B">
              <w:rPr>
                <w:noProof/>
                <w:webHidden/>
              </w:rPr>
              <w:instrText xml:space="preserve"> PAGEREF _Toc158097099 \h </w:instrText>
            </w:r>
            <w:r w:rsidR="00A95A7B">
              <w:rPr>
                <w:noProof/>
                <w:webHidden/>
              </w:rPr>
            </w:r>
            <w:r w:rsidR="00A95A7B">
              <w:rPr>
                <w:noProof/>
                <w:webHidden/>
              </w:rPr>
              <w:fldChar w:fldCharType="separate"/>
            </w:r>
            <w:r w:rsidR="00A95A7B">
              <w:rPr>
                <w:noProof/>
                <w:webHidden/>
              </w:rPr>
              <w:t>19</w:t>
            </w:r>
            <w:r w:rsidR="00A95A7B">
              <w:rPr>
                <w:noProof/>
                <w:webHidden/>
              </w:rPr>
              <w:fldChar w:fldCharType="end"/>
            </w:r>
          </w:hyperlink>
        </w:p>
        <w:p w14:paraId="269A97AC" w14:textId="211E24EA"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100" w:history="1">
            <w:r w:rsidR="00A95A7B" w:rsidRPr="00E37598">
              <w:rPr>
                <w:rStyle w:val="Hyperlink"/>
                <w:noProof/>
              </w:rPr>
              <w:t>4.6</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Land, food and bioeconomy</w:t>
            </w:r>
            <w:r w:rsidR="00A95A7B">
              <w:rPr>
                <w:noProof/>
                <w:webHidden/>
              </w:rPr>
              <w:tab/>
            </w:r>
            <w:r w:rsidR="00A95A7B">
              <w:rPr>
                <w:noProof/>
                <w:webHidden/>
              </w:rPr>
              <w:fldChar w:fldCharType="begin"/>
            </w:r>
            <w:r w:rsidR="00A95A7B">
              <w:rPr>
                <w:noProof/>
                <w:webHidden/>
              </w:rPr>
              <w:instrText xml:space="preserve"> PAGEREF _Toc158097100 \h </w:instrText>
            </w:r>
            <w:r w:rsidR="00A95A7B">
              <w:rPr>
                <w:noProof/>
                <w:webHidden/>
              </w:rPr>
            </w:r>
            <w:r w:rsidR="00A95A7B">
              <w:rPr>
                <w:noProof/>
                <w:webHidden/>
              </w:rPr>
              <w:fldChar w:fldCharType="separate"/>
            </w:r>
            <w:r w:rsidR="00A95A7B">
              <w:rPr>
                <w:noProof/>
                <w:webHidden/>
              </w:rPr>
              <w:t>20</w:t>
            </w:r>
            <w:r w:rsidR="00A95A7B">
              <w:rPr>
                <w:noProof/>
                <w:webHidden/>
              </w:rPr>
              <w:fldChar w:fldCharType="end"/>
            </w:r>
          </w:hyperlink>
        </w:p>
        <w:p w14:paraId="13B97316" w14:textId="3332E730" w:rsidR="00A95A7B" w:rsidRDefault="00D3395F">
          <w:pPr>
            <w:pStyle w:val="TOC2"/>
            <w:rPr>
              <w:rFonts w:asciiTheme="minorHAnsi" w:eastAsiaTheme="minorEastAsia" w:hAnsiTheme="minorHAnsi" w:cstheme="minorBidi"/>
              <w:noProof/>
              <w:kern w:val="2"/>
              <w:sz w:val="22"/>
              <w:szCs w:val="22"/>
              <w:lang w:eastAsia="en-GB"/>
              <w14:ligatures w14:val="standardContextual"/>
            </w:rPr>
          </w:pPr>
          <w:hyperlink w:anchor="_Toc158097101" w:history="1">
            <w:r w:rsidR="00A95A7B" w:rsidRPr="00E37598">
              <w:rPr>
                <w:rStyle w:val="Hyperlink"/>
                <w:noProof/>
              </w:rPr>
              <w:t>4.7</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Investing in our future</w:t>
            </w:r>
            <w:r w:rsidR="00A95A7B">
              <w:rPr>
                <w:noProof/>
                <w:webHidden/>
              </w:rPr>
              <w:tab/>
            </w:r>
            <w:r w:rsidR="00A95A7B">
              <w:rPr>
                <w:noProof/>
                <w:webHidden/>
              </w:rPr>
              <w:fldChar w:fldCharType="begin"/>
            </w:r>
            <w:r w:rsidR="00A95A7B">
              <w:rPr>
                <w:noProof/>
                <w:webHidden/>
              </w:rPr>
              <w:instrText xml:space="preserve"> PAGEREF _Toc158097101 \h </w:instrText>
            </w:r>
            <w:r w:rsidR="00A95A7B">
              <w:rPr>
                <w:noProof/>
                <w:webHidden/>
              </w:rPr>
            </w:r>
            <w:r w:rsidR="00A95A7B">
              <w:rPr>
                <w:noProof/>
                <w:webHidden/>
              </w:rPr>
              <w:fldChar w:fldCharType="separate"/>
            </w:r>
            <w:r w:rsidR="00A95A7B">
              <w:rPr>
                <w:noProof/>
                <w:webHidden/>
              </w:rPr>
              <w:t>23</w:t>
            </w:r>
            <w:r w:rsidR="00A95A7B">
              <w:rPr>
                <w:noProof/>
                <w:webHidden/>
              </w:rPr>
              <w:fldChar w:fldCharType="end"/>
            </w:r>
          </w:hyperlink>
        </w:p>
        <w:p w14:paraId="4C80BF0D" w14:textId="6F906153" w:rsidR="00A95A7B" w:rsidRDefault="00D3395F">
          <w:pPr>
            <w:pStyle w:val="TOC1"/>
            <w:rPr>
              <w:rFonts w:asciiTheme="minorHAnsi" w:eastAsiaTheme="minorEastAsia" w:hAnsiTheme="minorHAnsi" w:cstheme="minorBidi"/>
              <w:noProof/>
              <w:kern w:val="2"/>
              <w:sz w:val="22"/>
              <w:szCs w:val="22"/>
              <w:lang w:eastAsia="en-GB"/>
              <w14:ligatures w14:val="standardContextual"/>
            </w:rPr>
          </w:pPr>
          <w:hyperlink w:anchor="_Toc158097102" w:history="1">
            <w:r w:rsidR="00A95A7B" w:rsidRPr="00E37598">
              <w:rPr>
                <w:rStyle w:val="Hyperlink"/>
                <w:noProof/>
              </w:rPr>
              <w:t>5</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Conclusion and next steps</w:t>
            </w:r>
            <w:r w:rsidR="00A95A7B">
              <w:rPr>
                <w:noProof/>
                <w:webHidden/>
              </w:rPr>
              <w:tab/>
            </w:r>
            <w:r w:rsidR="00A95A7B">
              <w:rPr>
                <w:noProof/>
                <w:webHidden/>
              </w:rPr>
              <w:fldChar w:fldCharType="begin"/>
            </w:r>
            <w:r w:rsidR="00A95A7B">
              <w:rPr>
                <w:noProof/>
                <w:webHidden/>
              </w:rPr>
              <w:instrText xml:space="preserve"> PAGEREF _Toc158097102 \h </w:instrText>
            </w:r>
            <w:r w:rsidR="00A95A7B">
              <w:rPr>
                <w:noProof/>
                <w:webHidden/>
              </w:rPr>
            </w:r>
            <w:r w:rsidR="00A95A7B">
              <w:rPr>
                <w:noProof/>
                <w:webHidden/>
              </w:rPr>
              <w:fldChar w:fldCharType="separate"/>
            </w:r>
            <w:r w:rsidR="00A95A7B">
              <w:rPr>
                <w:noProof/>
                <w:webHidden/>
              </w:rPr>
              <w:t>26</w:t>
            </w:r>
            <w:r w:rsidR="00A95A7B">
              <w:rPr>
                <w:noProof/>
                <w:webHidden/>
              </w:rPr>
              <w:fldChar w:fldCharType="end"/>
            </w:r>
          </w:hyperlink>
        </w:p>
        <w:p w14:paraId="022E2813" w14:textId="334B0D9C" w:rsidR="00A95A7B" w:rsidRDefault="00D3395F">
          <w:pPr>
            <w:pStyle w:val="TOC1"/>
            <w:rPr>
              <w:rFonts w:asciiTheme="minorHAnsi" w:eastAsiaTheme="minorEastAsia" w:hAnsiTheme="minorHAnsi" w:cstheme="minorBidi"/>
              <w:noProof/>
              <w:kern w:val="2"/>
              <w:sz w:val="22"/>
              <w:szCs w:val="22"/>
              <w:lang w:eastAsia="en-GB"/>
              <w14:ligatures w14:val="standardContextual"/>
            </w:rPr>
          </w:pPr>
          <w:hyperlink w:anchor="_Toc158097103" w:history="1">
            <w:r w:rsidR="00A95A7B" w:rsidRPr="00E37598">
              <w:rPr>
                <w:rStyle w:val="Hyperlink"/>
                <w:noProof/>
              </w:rPr>
              <w:t>8</w:t>
            </w:r>
            <w:r w:rsidR="00A95A7B">
              <w:rPr>
                <w:rFonts w:asciiTheme="minorHAnsi" w:eastAsiaTheme="minorEastAsia" w:hAnsiTheme="minorHAnsi" w:cstheme="minorBidi"/>
                <w:noProof/>
                <w:kern w:val="2"/>
                <w:sz w:val="22"/>
                <w:szCs w:val="22"/>
                <w:lang w:eastAsia="en-GB"/>
                <w14:ligatures w14:val="standardContextual"/>
              </w:rPr>
              <w:tab/>
            </w:r>
            <w:r w:rsidR="00A95A7B" w:rsidRPr="00E37598">
              <w:rPr>
                <w:rStyle w:val="Hyperlink"/>
                <w:noProof/>
              </w:rPr>
              <w:t>building blocks for achieving the 2040 target</w:t>
            </w:r>
            <w:r w:rsidR="00A95A7B">
              <w:rPr>
                <w:noProof/>
                <w:webHidden/>
              </w:rPr>
              <w:tab/>
            </w:r>
            <w:r w:rsidR="00A95A7B">
              <w:rPr>
                <w:noProof/>
                <w:webHidden/>
              </w:rPr>
              <w:fldChar w:fldCharType="begin"/>
            </w:r>
            <w:r w:rsidR="00A95A7B">
              <w:rPr>
                <w:noProof/>
                <w:webHidden/>
              </w:rPr>
              <w:instrText xml:space="preserve"> PAGEREF _Toc158097103 \h </w:instrText>
            </w:r>
            <w:r w:rsidR="00A95A7B">
              <w:rPr>
                <w:noProof/>
                <w:webHidden/>
              </w:rPr>
            </w:r>
            <w:r w:rsidR="00A95A7B">
              <w:rPr>
                <w:noProof/>
                <w:webHidden/>
              </w:rPr>
              <w:fldChar w:fldCharType="separate"/>
            </w:r>
            <w:r w:rsidR="00A95A7B">
              <w:rPr>
                <w:noProof/>
                <w:webHidden/>
              </w:rPr>
              <w:t>27</w:t>
            </w:r>
            <w:r w:rsidR="00A95A7B">
              <w:rPr>
                <w:noProof/>
                <w:webHidden/>
              </w:rPr>
              <w:fldChar w:fldCharType="end"/>
            </w:r>
          </w:hyperlink>
        </w:p>
        <w:p w14:paraId="2ED26F3B" w14:textId="3FC405EB" w:rsidR="00482E88" w:rsidRDefault="00482E88" w:rsidP="003C4F67">
          <w:pPr>
            <w:pStyle w:val="TOC1"/>
            <w:rPr>
              <w:rStyle w:val="Hyperlink"/>
              <w:noProof/>
              <w:lang w:eastAsia="en-GB"/>
            </w:rPr>
          </w:pPr>
          <w:r>
            <w:rPr>
              <w:noProof/>
            </w:rPr>
            <w:fldChar w:fldCharType="end"/>
          </w:r>
        </w:p>
      </w:sdtContent>
    </w:sdt>
    <w:p w14:paraId="5A01F25D" w14:textId="77777777" w:rsidR="00482E88" w:rsidRDefault="00482E88" w:rsidP="00482E88">
      <w:pPr>
        <w:rPr>
          <w:noProof/>
        </w:rPr>
      </w:pPr>
    </w:p>
    <w:p w14:paraId="17BBC203" w14:textId="77777777" w:rsidR="00482E88" w:rsidRDefault="00482E88" w:rsidP="00482E88">
      <w:pPr>
        <w:rPr>
          <w:noProof/>
        </w:rPr>
      </w:pPr>
    </w:p>
    <w:p w14:paraId="190EB9F8" w14:textId="77777777" w:rsidR="00482E88" w:rsidRDefault="00482E88" w:rsidP="00482E88">
      <w:pPr>
        <w:jc w:val="left"/>
        <w:rPr>
          <w:b/>
          <w:bCs/>
          <w:noProof/>
        </w:rPr>
      </w:pPr>
      <w:r>
        <w:rPr>
          <w:noProof/>
        </w:rPr>
        <w:br w:type="page"/>
      </w:r>
    </w:p>
    <w:p w14:paraId="65012081" w14:textId="77777777" w:rsidR="00482E88" w:rsidRDefault="00482E88" w:rsidP="00482E88">
      <w:pPr>
        <w:rPr>
          <w:noProof/>
        </w:rPr>
      </w:pPr>
      <w:bookmarkStart w:id="3" w:name="_Toc155286916"/>
    </w:p>
    <w:p w14:paraId="7748E4A7" w14:textId="77777777" w:rsidR="00482E88" w:rsidRPr="007663CA" w:rsidRDefault="00482E88" w:rsidP="0013325C">
      <w:pPr>
        <w:pStyle w:val="Heading1"/>
        <w:numPr>
          <w:ilvl w:val="0"/>
          <w:numId w:val="74"/>
        </w:numPr>
        <w:ind w:left="426" w:hanging="426"/>
        <w:rPr>
          <w:noProof/>
        </w:rPr>
      </w:pPr>
      <w:bookmarkStart w:id="4" w:name="_Toc158097089"/>
      <w:r w:rsidRPr="007663CA">
        <w:rPr>
          <w:noProof/>
        </w:rPr>
        <w:t>A Vision beyond 2030</w:t>
      </w:r>
      <w:bookmarkEnd w:id="3"/>
      <w:bookmarkEnd w:id="4"/>
      <w:r w:rsidRPr="007663CA">
        <w:rPr>
          <w:noProof/>
        </w:rPr>
        <w:t xml:space="preserve"> </w:t>
      </w:r>
    </w:p>
    <w:p w14:paraId="4278DB2C" w14:textId="6AE0B695" w:rsidR="00482E88" w:rsidRPr="007663CA" w:rsidRDefault="00482E88" w:rsidP="00482E88">
      <w:pPr>
        <w:rPr>
          <w:rFonts w:eastAsia="Times New Roman"/>
          <w:noProof/>
        </w:rPr>
      </w:pPr>
      <w:r w:rsidRPr="007663CA">
        <w:rPr>
          <w:rFonts w:eastAsia="Times New Roman"/>
          <w:noProof/>
        </w:rPr>
        <w:t xml:space="preserve">Climate change is intensifying and its real-life costs accelerating. </w:t>
      </w:r>
      <w:r w:rsidRPr="00343D79">
        <w:rPr>
          <w:rFonts w:eastAsia="Times New Roman"/>
          <w:noProof/>
        </w:rPr>
        <w:t>A historically high acceleration in climate disruption in 2023, saw global warming reaching 1.48°C above pre-industrial level for the first time, and ocean temperatures and Antarctic Ocean ice loss breaking records by a wide margin</w:t>
      </w:r>
      <w:r>
        <w:rPr>
          <w:rFonts w:eastAsia="Times New Roman"/>
          <w:noProof/>
        </w:rPr>
        <w:t>.</w:t>
      </w:r>
      <w:r w:rsidRPr="0457EB91">
        <w:rPr>
          <w:rFonts w:eastAsia="Times New Roman"/>
          <w:noProof/>
        </w:rPr>
        <w:t xml:space="preserve"> </w:t>
      </w:r>
      <w:r w:rsidRPr="007663CA">
        <w:rPr>
          <w:rFonts w:eastAsia="Times New Roman"/>
          <w:noProof/>
        </w:rPr>
        <w:t xml:space="preserve">It is clearer than ever that achieving a stable climate and safeguarding a liveable planet for current and future generations means cutting global </w:t>
      </w:r>
      <w:r>
        <w:rPr>
          <w:rFonts w:eastAsia="Times New Roman"/>
          <w:noProof/>
        </w:rPr>
        <w:t>greenhouse gas (</w:t>
      </w:r>
      <w:r w:rsidRPr="007663CA">
        <w:rPr>
          <w:rFonts w:eastAsia="Times New Roman"/>
          <w:noProof/>
        </w:rPr>
        <w:t>GHG</w:t>
      </w:r>
      <w:r>
        <w:rPr>
          <w:rFonts w:eastAsia="Times New Roman"/>
          <w:noProof/>
        </w:rPr>
        <w:t>)</w:t>
      </w:r>
      <w:r w:rsidRPr="007663CA">
        <w:rPr>
          <w:rFonts w:eastAsia="Times New Roman"/>
          <w:noProof/>
        </w:rPr>
        <w:t xml:space="preserve"> emissions sharply and rapidly and preparing for future impacts of climate change</w:t>
      </w:r>
      <w:r>
        <w:rPr>
          <w:rFonts w:eastAsia="Times New Roman"/>
          <w:noProof/>
        </w:rPr>
        <w:t>(</w:t>
      </w:r>
      <w:r>
        <w:rPr>
          <w:rStyle w:val="FootnoteReference"/>
          <w:rFonts w:eastAsia="Times New Roman"/>
          <w:noProof/>
        </w:rPr>
        <w:footnoteReference w:id="2"/>
      </w:r>
      <w:r>
        <w:rPr>
          <w:rFonts w:eastAsia="Times New Roman"/>
          <w:noProof/>
        </w:rPr>
        <w:t>)</w:t>
      </w:r>
      <w:r w:rsidRPr="007663CA">
        <w:rPr>
          <w:rFonts w:eastAsia="Times New Roman"/>
          <w:noProof/>
        </w:rPr>
        <w:t>. This pathway can and must g</w:t>
      </w:r>
      <w:r w:rsidRPr="004E6390">
        <w:rPr>
          <w:rFonts w:eastAsia="Times New Roman"/>
          <w:noProof/>
        </w:rPr>
        <w:t>o</w:t>
      </w:r>
      <w:r w:rsidRPr="634CB0F9">
        <w:rPr>
          <w:rFonts w:eastAsia="Times New Roman"/>
          <w:noProof/>
        </w:rPr>
        <w:t xml:space="preserve"> hand in hand with shaping a prosperous and fair </w:t>
      </w:r>
      <w:r w:rsidRPr="007663CA">
        <w:rPr>
          <w:rFonts w:eastAsia="Times New Roman"/>
          <w:noProof/>
        </w:rPr>
        <w:t>society</w:t>
      </w:r>
      <w:r w:rsidRPr="634CB0F9" w:rsidDel="0027063E">
        <w:rPr>
          <w:rFonts w:eastAsia="Times New Roman"/>
          <w:noProof/>
        </w:rPr>
        <w:t>,</w:t>
      </w:r>
      <w:r w:rsidRPr="004E6390" w:rsidDel="0027063E">
        <w:rPr>
          <w:rFonts w:eastAsia="Times New Roman"/>
          <w:noProof/>
        </w:rPr>
        <w:t xml:space="preserve"> </w:t>
      </w:r>
      <w:r w:rsidRPr="004E6390">
        <w:rPr>
          <w:rFonts w:eastAsia="Times New Roman"/>
          <w:noProof/>
        </w:rPr>
        <w:t xml:space="preserve">and EU </w:t>
      </w:r>
      <w:r w:rsidRPr="0081506D">
        <w:rPr>
          <w:rFonts w:eastAsia="Times New Roman"/>
          <w:noProof/>
        </w:rPr>
        <w:t>industry</w:t>
      </w:r>
      <w:r>
        <w:rPr>
          <w:rFonts w:eastAsia="Times New Roman"/>
          <w:noProof/>
        </w:rPr>
        <w:t xml:space="preserve"> and agricultural sector</w:t>
      </w:r>
      <w:r w:rsidRPr="004E6390">
        <w:rPr>
          <w:rFonts w:eastAsia="Times New Roman"/>
          <w:noProof/>
        </w:rPr>
        <w:t xml:space="preserve"> that</w:t>
      </w:r>
      <w:r>
        <w:rPr>
          <w:rFonts w:eastAsia="Times New Roman"/>
          <w:noProof/>
        </w:rPr>
        <w:t xml:space="preserve"> are</w:t>
      </w:r>
      <w:r w:rsidRPr="004E6390">
        <w:rPr>
          <w:rFonts w:eastAsia="Times New Roman"/>
          <w:noProof/>
        </w:rPr>
        <w:t xml:space="preserve"> agile and strong</w:t>
      </w:r>
      <w:r w:rsidRPr="32FB4C17">
        <w:rPr>
          <w:rFonts w:eastAsia="Times New Roman"/>
          <w:noProof/>
        </w:rPr>
        <w:t xml:space="preserve"> in</w:t>
      </w:r>
      <w:r>
        <w:rPr>
          <w:rFonts w:eastAsia="Times New Roman"/>
          <w:noProof/>
        </w:rPr>
        <w:t xml:space="preserve"> a globally competitive and increasingly sustainable economy</w:t>
      </w:r>
      <w:r w:rsidRPr="001B6F27">
        <w:rPr>
          <w:rFonts w:eastAsia="Times New Roman"/>
          <w:noProof/>
        </w:rPr>
        <w:t xml:space="preserve"> that delivers for all the people and in line with the 20 principles of the European Pillar of Social Rights and its Action Plan.</w:t>
      </w:r>
    </w:p>
    <w:p w14:paraId="317CEE3E" w14:textId="77777777" w:rsidR="00482E88" w:rsidRPr="007663CA" w:rsidRDefault="00482E88" w:rsidP="00482E88">
      <w:pPr>
        <w:rPr>
          <w:rFonts w:eastAsia="Times New Roman"/>
          <w:noProof/>
        </w:rPr>
      </w:pPr>
      <w:r w:rsidRPr="26915153">
        <w:rPr>
          <w:rFonts w:eastAsia="Times New Roman"/>
          <w:noProof/>
        </w:rPr>
        <w:t>The outcome of COP28 in Dubai and the first global stocktake of climate action shows that the rest of the world is rapidly moving onto this pathway as well. The EU, having written climate neutrality by 2050 into law, has been leading in climate action, and will stay the course.</w:t>
      </w:r>
    </w:p>
    <w:p w14:paraId="20CC9066" w14:textId="090F5F13" w:rsidR="00482E88" w:rsidRDefault="00482E88" w:rsidP="00482E88">
      <w:pPr>
        <w:rPr>
          <w:rFonts w:eastAsia="Times New Roman"/>
          <w:noProof/>
        </w:rPr>
      </w:pPr>
      <w:r w:rsidRPr="26915153">
        <w:rPr>
          <w:rFonts w:eastAsia="Times New Roman"/>
          <w:noProof/>
        </w:rPr>
        <w:t xml:space="preserve">The vision of Europe at the end of the next decade is a comprehensive one: it should remain a prime destination for investment opportunities that bring stable, future-proof </w:t>
      </w:r>
      <w:r>
        <w:rPr>
          <w:rFonts w:eastAsia="Times New Roman"/>
          <w:noProof/>
        </w:rPr>
        <w:t xml:space="preserve">quality </w:t>
      </w:r>
      <w:r w:rsidRPr="26915153">
        <w:rPr>
          <w:rFonts w:eastAsia="Times New Roman"/>
          <w:noProof/>
        </w:rPr>
        <w:t>jobs, with a strong industrial ecosystem. Europe should lead in developing the clean technology markets of the future, where all major countries and businesses seek to avail themselves of the market opportunities. Becoming a continent with clean</w:t>
      </w:r>
      <w:r>
        <w:rPr>
          <w:rFonts w:eastAsia="Times New Roman"/>
          <w:noProof/>
        </w:rPr>
        <w:t>, low-carbon,</w:t>
      </w:r>
      <w:r w:rsidRPr="26915153">
        <w:rPr>
          <w:rFonts w:eastAsia="Times New Roman"/>
          <w:noProof/>
        </w:rPr>
        <w:t xml:space="preserve"> affordable energy and sustainable food and materials, will make it resilient against future crises, such as those currently caused by disruptions in the supply of fossil fuels. By remaining a global leader </w:t>
      </w:r>
      <w:r>
        <w:rPr>
          <w:rFonts w:eastAsia="Times New Roman"/>
          <w:noProof/>
        </w:rPr>
        <w:t xml:space="preserve">and a trusted partner </w:t>
      </w:r>
      <w:r w:rsidRPr="26915153">
        <w:rPr>
          <w:rFonts w:eastAsia="Times New Roman"/>
          <w:noProof/>
        </w:rPr>
        <w:t xml:space="preserve">in climate action, Europe will </w:t>
      </w:r>
      <w:r>
        <w:rPr>
          <w:rFonts w:eastAsia="Times New Roman"/>
          <w:noProof/>
        </w:rPr>
        <w:t xml:space="preserve">simultaneously </w:t>
      </w:r>
      <w:r w:rsidRPr="26915153">
        <w:rPr>
          <w:rFonts w:eastAsia="Times New Roman"/>
          <w:noProof/>
        </w:rPr>
        <w:t xml:space="preserve">strengthen its </w:t>
      </w:r>
      <w:r>
        <w:rPr>
          <w:rFonts w:eastAsia="Times New Roman"/>
          <w:noProof/>
        </w:rPr>
        <w:t xml:space="preserve">open strategic </w:t>
      </w:r>
      <w:r w:rsidRPr="26915153">
        <w:rPr>
          <w:rFonts w:eastAsia="Times New Roman"/>
          <w:noProof/>
        </w:rPr>
        <w:t xml:space="preserve">autonomy and </w:t>
      </w:r>
      <w:r>
        <w:rPr>
          <w:rFonts w:eastAsia="Times New Roman"/>
          <w:noProof/>
        </w:rPr>
        <w:t>diversify its sustainable global value chains to be the master of its fate in a volatile world.</w:t>
      </w:r>
    </w:p>
    <w:p w14:paraId="563E656F" w14:textId="75A746EA" w:rsidR="00482E88" w:rsidRDefault="00482E88" w:rsidP="00482E88">
      <w:pPr>
        <w:rPr>
          <w:noProof/>
          <w:lang w:val="en-US"/>
        </w:rPr>
      </w:pPr>
      <w:r w:rsidRPr="5A178A04">
        <w:rPr>
          <w:rFonts w:eastAsia="Times New Roman"/>
          <w:noProof/>
        </w:rPr>
        <w:t xml:space="preserve">Well-designed climate action can deliver this vision for Europe and its citizens. The European Green Deal is the EU’s long-term strategy for economic growth, investment and innovation.  </w:t>
      </w:r>
      <w:r w:rsidRPr="007663CA">
        <w:rPr>
          <w:rFonts w:eastAsia="Times New Roman"/>
          <w:noProof/>
        </w:rPr>
        <w:t>Its implementation</w:t>
      </w:r>
      <w:r>
        <w:rPr>
          <w:rFonts w:eastAsia="Times New Roman"/>
          <w:noProof/>
        </w:rPr>
        <w:t xml:space="preserve"> will notably strengthen</w:t>
      </w:r>
      <w:r w:rsidRPr="007663CA">
        <w:rPr>
          <w:rFonts w:eastAsia="Times New Roman"/>
          <w:noProof/>
        </w:rPr>
        <w:t xml:space="preserve"> the EU’s energy independence from fossil fuels</w:t>
      </w:r>
      <w:r>
        <w:rPr>
          <w:rFonts w:eastAsia="Times New Roman"/>
          <w:noProof/>
        </w:rPr>
        <w:t>.</w:t>
      </w:r>
      <w:r w:rsidRPr="116E47DA">
        <w:rPr>
          <w:rFonts w:eastAsia="Times New Roman"/>
          <w:noProof/>
        </w:rPr>
        <w:t xml:space="preserve"> In 2022,</w:t>
      </w:r>
      <w:r w:rsidRPr="007663CA">
        <w:rPr>
          <w:noProof/>
          <w:lang w:val="en-US"/>
        </w:rPr>
        <w:t xml:space="preserve"> </w:t>
      </w:r>
      <w:r>
        <w:rPr>
          <w:noProof/>
          <w:lang w:val="en-US"/>
        </w:rPr>
        <w:t xml:space="preserve">the value of </w:t>
      </w:r>
      <w:r w:rsidRPr="007663CA">
        <w:rPr>
          <w:noProof/>
          <w:lang w:val="en-US"/>
        </w:rPr>
        <w:t xml:space="preserve">fossil fuel imports soared to EUR 640 billion (4.1% of GDP), </w:t>
      </w:r>
      <w:r>
        <w:rPr>
          <w:noProof/>
          <w:lang w:val="en-US"/>
        </w:rPr>
        <w:t>because of Russia’s war of aggression against Ukraine</w:t>
      </w:r>
      <w:r w:rsidRPr="007663CA">
        <w:rPr>
          <w:noProof/>
          <w:lang w:val="en-US"/>
        </w:rPr>
        <w:t xml:space="preserve">. </w:t>
      </w:r>
      <w:r w:rsidRPr="116E47DA">
        <w:rPr>
          <w:noProof/>
          <w:lang w:val="en-US"/>
        </w:rPr>
        <w:t>In 2023, when prices came down substantially, net fossil fuel import costs accounted for about 2.4% of GDP (</w:t>
      </w:r>
      <w:r w:rsidRPr="116E47DA">
        <w:rPr>
          <w:rStyle w:val="FootnoteReference"/>
          <w:noProof/>
          <w:lang w:val="en-US"/>
        </w:rPr>
        <w:footnoteReference w:id="3"/>
      </w:r>
      <w:r w:rsidRPr="116E47DA">
        <w:rPr>
          <w:noProof/>
          <w:lang w:val="en-US"/>
        </w:rPr>
        <w:t xml:space="preserve">). </w:t>
      </w:r>
    </w:p>
    <w:p w14:paraId="32C63C73" w14:textId="030CF121" w:rsidR="00482E88" w:rsidRDefault="00482E88" w:rsidP="00AF6F15">
      <w:pPr>
        <w:spacing w:after="0" w:line="240" w:lineRule="auto"/>
        <w:rPr>
          <w:noProof/>
          <w:lang w:val="en-IE" w:eastAsia="en-IE"/>
        </w:rPr>
      </w:pPr>
      <w:r>
        <w:rPr>
          <w:noProof/>
          <w:lang w:val="en-US"/>
        </w:rPr>
        <w:t>Growing the economy on the basis of fossil fuels and resource wastage is not sustainable. The EU has shown that c</w:t>
      </w:r>
      <w:r w:rsidRPr="007663CA">
        <w:rPr>
          <w:noProof/>
          <w:lang w:val="en-US"/>
        </w:rPr>
        <w:t xml:space="preserve">limate action and </w:t>
      </w:r>
      <w:r>
        <w:rPr>
          <w:noProof/>
          <w:lang w:val="en-US"/>
        </w:rPr>
        <w:t>sustaining</w:t>
      </w:r>
      <w:r w:rsidRPr="007663CA">
        <w:rPr>
          <w:noProof/>
          <w:lang w:val="en-US"/>
        </w:rPr>
        <w:t xml:space="preserve"> economic growth go hand in hand</w:t>
      </w:r>
      <w:r>
        <w:rPr>
          <w:noProof/>
          <w:lang w:val="en-US"/>
        </w:rPr>
        <w:t xml:space="preserve"> by </w:t>
      </w:r>
      <w:r w:rsidRPr="007663CA">
        <w:rPr>
          <w:rFonts w:eastAsia="Times New Roman"/>
          <w:noProof/>
        </w:rPr>
        <w:t>decoupl</w:t>
      </w:r>
      <w:r>
        <w:rPr>
          <w:rFonts w:eastAsia="Times New Roman"/>
          <w:noProof/>
        </w:rPr>
        <w:t>ing</w:t>
      </w:r>
      <w:r w:rsidRPr="007663CA">
        <w:rPr>
          <w:rFonts w:eastAsia="Times New Roman"/>
          <w:noProof/>
        </w:rPr>
        <w:t xml:space="preserve"> growth </w:t>
      </w:r>
      <w:r>
        <w:rPr>
          <w:rFonts w:eastAsia="Times New Roman"/>
          <w:noProof/>
        </w:rPr>
        <w:t>from</w:t>
      </w:r>
      <w:r w:rsidRPr="007663CA">
        <w:rPr>
          <w:rFonts w:eastAsia="Times New Roman"/>
          <w:noProof/>
        </w:rPr>
        <w:t xml:space="preserve"> greenhouse gas emissions. </w:t>
      </w:r>
      <w:r>
        <w:rPr>
          <w:rFonts w:eastAsia="Times New Roman"/>
          <w:noProof/>
        </w:rPr>
        <w:t xml:space="preserve">According to </w:t>
      </w:r>
      <w:r>
        <w:rPr>
          <w:noProof/>
        </w:rPr>
        <w:t>p</w:t>
      </w:r>
      <w:r w:rsidRPr="007663CA">
        <w:rPr>
          <w:noProof/>
        </w:rPr>
        <w:t xml:space="preserve">rovisional data, total net GHG emissions were 32.5% lower </w:t>
      </w:r>
      <w:r>
        <w:rPr>
          <w:noProof/>
        </w:rPr>
        <w:t xml:space="preserve">in 2022 </w:t>
      </w:r>
      <w:r w:rsidRPr="007663CA">
        <w:rPr>
          <w:noProof/>
        </w:rPr>
        <w:t>than in 1990(</w:t>
      </w:r>
      <w:r w:rsidRPr="007663CA">
        <w:rPr>
          <w:rStyle w:val="FootnoteReference"/>
          <w:noProof/>
        </w:rPr>
        <w:footnoteReference w:id="4"/>
      </w:r>
      <w:r w:rsidRPr="007663CA">
        <w:rPr>
          <w:noProof/>
        </w:rPr>
        <w:t>) while the economy has grown by 67%</w:t>
      </w:r>
      <w:r w:rsidR="0013325C">
        <w:rPr>
          <w:noProof/>
        </w:rPr>
        <w:t xml:space="preserve"> </w:t>
      </w:r>
      <w:r>
        <w:rPr>
          <w:noProof/>
        </w:rPr>
        <w:t>(</w:t>
      </w:r>
      <w:r>
        <w:rPr>
          <w:rStyle w:val="FootnoteReference"/>
          <w:noProof/>
        </w:rPr>
        <w:footnoteReference w:id="5"/>
      </w:r>
      <w:r>
        <w:rPr>
          <w:noProof/>
        </w:rPr>
        <w:t>)</w:t>
      </w:r>
      <w:r w:rsidRPr="007663CA">
        <w:rPr>
          <w:noProof/>
        </w:rPr>
        <w:t>.</w:t>
      </w:r>
      <w:r>
        <w:rPr>
          <w:noProof/>
        </w:rPr>
        <w:t xml:space="preserve"> The materials productivity has increased by 37.5% between 2000 and 2022 (</w:t>
      </w:r>
      <w:r w:rsidRPr="00AF6F15">
        <w:rPr>
          <w:noProof/>
          <w:vertAlign w:val="superscript"/>
        </w:rPr>
        <w:footnoteReference w:id="6"/>
      </w:r>
      <w:r>
        <w:rPr>
          <w:noProof/>
        </w:rPr>
        <w:t>).</w:t>
      </w:r>
      <w:r>
        <w:rPr>
          <w:noProof/>
          <w:lang w:val="en-IE" w:eastAsia="en-IE"/>
        </w:rPr>
        <w:t xml:space="preserve"> </w:t>
      </w:r>
    </w:p>
    <w:p w14:paraId="7A09DB8B" w14:textId="77777777" w:rsidR="00482E88" w:rsidRDefault="00482E88" w:rsidP="00482E88">
      <w:pPr>
        <w:rPr>
          <w:noProof/>
          <w:lang w:val="en-US"/>
        </w:rPr>
      </w:pPr>
    </w:p>
    <w:p w14:paraId="6738668B" w14:textId="2D588402" w:rsidR="00482E88" w:rsidDel="004812A5" w:rsidRDefault="00482E88" w:rsidP="00482E88">
      <w:pPr>
        <w:rPr>
          <w:noProof/>
        </w:rPr>
      </w:pPr>
      <w:r>
        <w:rPr>
          <w:noProof/>
        </w:rPr>
        <w:t xml:space="preserve">Record levels of renewable and low carbon technologies are now being deployed. The EU installed an unprecedented 17 GW of new wind energy and 56 GW of solar (DC) in 2023. In 2022, about 3 million units of heat pumps were sold. </w:t>
      </w:r>
    </w:p>
    <w:p w14:paraId="79C2D6DB" w14:textId="0A101B27" w:rsidR="00482E88" w:rsidRPr="002C3BD6" w:rsidRDefault="00482E88" w:rsidP="00482E88">
      <w:pPr>
        <w:rPr>
          <w:rFonts w:eastAsia="Times New Roman"/>
          <w:noProof/>
        </w:rPr>
      </w:pPr>
      <w:r>
        <w:rPr>
          <w:rFonts w:eastAsia="Times New Roman"/>
          <w:noProof/>
        </w:rPr>
        <w:t>T</w:t>
      </w:r>
      <w:r w:rsidRPr="00085BE8">
        <w:rPr>
          <w:rFonts w:eastAsia="Times New Roman"/>
          <w:noProof/>
        </w:rPr>
        <w:t>he European Climate Law introduced an int</w:t>
      </w:r>
      <w:r>
        <w:rPr>
          <w:rFonts w:eastAsia="Times New Roman"/>
          <w:noProof/>
        </w:rPr>
        <w:t>ermediate</w:t>
      </w:r>
      <w:r w:rsidRPr="00085BE8">
        <w:rPr>
          <w:rFonts w:eastAsia="Times New Roman"/>
          <w:noProof/>
        </w:rPr>
        <w:t xml:space="preserve"> target to be proposed by the Commission at the latest six months after the global stocktake</w:t>
      </w:r>
      <w:r>
        <w:rPr>
          <w:rFonts w:eastAsia="Times New Roman"/>
          <w:noProof/>
        </w:rPr>
        <w:t xml:space="preserve"> under the Paris Agreement</w:t>
      </w:r>
      <w:r w:rsidRPr="00085BE8">
        <w:rPr>
          <w:rFonts w:eastAsia="Times New Roman"/>
          <w:noProof/>
        </w:rPr>
        <w:t>. Hence</w:t>
      </w:r>
      <w:r>
        <w:rPr>
          <w:rFonts w:eastAsia="Times New Roman"/>
          <w:noProof/>
        </w:rPr>
        <w:t>, i</w:t>
      </w:r>
      <w:r w:rsidRPr="5A178A04">
        <w:rPr>
          <w:rFonts w:eastAsia="Times New Roman"/>
          <w:noProof/>
        </w:rPr>
        <w:t xml:space="preserve">n line </w:t>
      </w:r>
      <w:r w:rsidRPr="0068464C">
        <w:rPr>
          <w:rFonts w:eastAsia="Times New Roman"/>
          <w:noProof/>
        </w:rPr>
        <w:t>with th</w:t>
      </w:r>
      <w:r w:rsidRPr="00B40738">
        <w:rPr>
          <w:rFonts w:eastAsia="Times New Roman"/>
          <w:noProof/>
        </w:rPr>
        <w:t>e</w:t>
      </w:r>
      <w:r w:rsidRPr="0068464C">
        <w:rPr>
          <w:rFonts w:eastAsia="Times New Roman"/>
          <w:noProof/>
        </w:rPr>
        <w:t xml:space="preserve"> scienti</w:t>
      </w:r>
      <w:r w:rsidRPr="5A178A04">
        <w:rPr>
          <w:rFonts w:eastAsia="Times New Roman"/>
          <w:noProof/>
        </w:rPr>
        <w:t>fic advice by the European Scientific Advisory Board on Climate Change and based on a detailed Impact Assessment, this Communication p</w:t>
      </w:r>
      <w:r>
        <w:rPr>
          <w:rFonts w:eastAsia="Times New Roman"/>
          <w:noProof/>
        </w:rPr>
        <w:t>resents</w:t>
      </w:r>
      <w:r w:rsidRPr="5A178A04">
        <w:rPr>
          <w:rFonts w:eastAsia="Times New Roman"/>
          <w:noProof/>
        </w:rPr>
        <w:t xml:space="preserve"> a 90% net GHG emission reduction</w:t>
      </w:r>
      <w:r>
        <w:rPr>
          <w:rFonts w:eastAsia="Times New Roman"/>
          <w:noProof/>
        </w:rPr>
        <w:t xml:space="preserve"> compared to 1990 levels</w:t>
      </w:r>
      <w:r w:rsidRPr="5A178A04">
        <w:rPr>
          <w:rFonts w:eastAsia="Times New Roman"/>
          <w:noProof/>
        </w:rPr>
        <w:t xml:space="preserve"> as the</w:t>
      </w:r>
      <w:r>
        <w:rPr>
          <w:rFonts w:eastAsia="Times New Roman"/>
          <w:noProof/>
        </w:rPr>
        <w:t xml:space="preserve"> recommended</w:t>
      </w:r>
      <w:r w:rsidRPr="5A178A04">
        <w:rPr>
          <w:rFonts w:eastAsia="Times New Roman"/>
          <w:noProof/>
        </w:rPr>
        <w:t xml:space="preserve"> target for 2040 (“the 2040 target”). </w:t>
      </w:r>
      <w:r>
        <w:rPr>
          <w:rFonts w:eastAsia="Times New Roman"/>
          <w:noProof/>
        </w:rPr>
        <w:t>It</w:t>
      </w:r>
      <w:r w:rsidRPr="5A178A04">
        <w:rPr>
          <w:rFonts w:eastAsia="Times New Roman"/>
          <w:noProof/>
        </w:rPr>
        <w:t xml:space="preserve"> </w:t>
      </w:r>
      <w:r>
        <w:rPr>
          <w:rFonts w:eastAsia="Times New Roman"/>
          <w:noProof/>
        </w:rPr>
        <w:t xml:space="preserve">would </w:t>
      </w:r>
      <w:r w:rsidRPr="5A178A04">
        <w:rPr>
          <w:rFonts w:eastAsia="Times New Roman"/>
          <w:noProof/>
        </w:rPr>
        <w:t xml:space="preserve">ensure that the corresponding overall greenhouse gas (GHG) emissions budget for the EU between now and 2050 is in line with the provisions of the European Climate Law and provides a </w:t>
      </w:r>
      <w:r w:rsidRPr="002C3BD6">
        <w:rPr>
          <w:rFonts w:eastAsia="Times New Roman"/>
          <w:noProof/>
        </w:rPr>
        <w:t xml:space="preserve">credible pathway to a strong and sustainable society in Europe. </w:t>
      </w:r>
    </w:p>
    <w:p w14:paraId="42B99322" w14:textId="617721F0" w:rsidR="00482E88" w:rsidRPr="001C494F" w:rsidRDefault="00482E88" w:rsidP="00482E88">
      <w:pPr>
        <w:rPr>
          <w:rFonts w:eastAsia="Times New Roman"/>
          <w:noProof/>
        </w:rPr>
      </w:pPr>
      <w:r>
        <w:rPr>
          <w:noProof/>
        </w:rPr>
        <w:t>Achieving this target will require a number of enabling conditions, such as the full implementation of the agreed 2030 framework, ensuring the competitiveness of the European industry, a greater focus on a just transition that leaves no one behind, a level playing field with international partners, and a strategic dialogue on the post-2030 framework, including with industry and the agricultural sector.</w:t>
      </w:r>
    </w:p>
    <w:p w14:paraId="644E57B1" w14:textId="77777777" w:rsidR="00482E88" w:rsidRPr="002C3BD6" w:rsidRDefault="00482E88" w:rsidP="00482E88">
      <w:pPr>
        <w:rPr>
          <w:rFonts w:eastAsia="Times New Roman"/>
          <w:noProof/>
        </w:rPr>
      </w:pPr>
      <w:r w:rsidRPr="002C3BD6">
        <w:rPr>
          <w:rFonts w:eastAsia="Times New Roman"/>
          <w:noProof/>
          <w:lang w:val="en-IE"/>
        </w:rPr>
        <w:t>The objective of this Communication is to launch the political debate and inform the preparation of the post-2030 framework. It does not propose new policy measures or set new sector-specific targets.</w:t>
      </w:r>
    </w:p>
    <w:p w14:paraId="140C1011" w14:textId="1F0E656A" w:rsidR="00374D9E" w:rsidRPr="001A0927" w:rsidRDefault="00482E88" w:rsidP="00482E88">
      <w:pPr>
        <w:spacing w:after="240"/>
        <w:rPr>
          <w:noProof/>
        </w:rPr>
      </w:pPr>
      <w:r w:rsidRPr="002C3BD6">
        <w:rPr>
          <w:noProof/>
        </w:rPr>
        <w:t xml:space="preserve">At this, stability and full implementation of the legislative framework in place for meeting the 2030 climate and energy targets </w:t>
      </w:r>
      <w:r w:rsidRPr="002C3BD6">
        <w:rPr>
          <w:rFonts w:eastAsia="Times New Roman"/>
          <w:noProof/>
        </w:rPr>
        <w:t>is a precondition for the EU to stay on course to the 2040 target on the way to climate neutrality in 2050 and to reap the full potential of the transition.</w:t>
      </w:r>
      <w:r w:rsidRPr="002C3BD6">
        <w:rPr>
          <w:noProof/>
        </w:rPr>
        <w:t xml:space="preserve"> </w:t>
      </w:r>
      <w:r w:rsidRPr="001B6F27">
        <w:rPr>
          <w:noProof/>
        </w:rPr>
        <w:t xml:space="preserve">In fact, an extension of current policies towards 2040 would already lead to a -88% reduction by 2040. </w:t>
      </w:r>
      <w:r>
        <w:rPr>
          <w:noProof/>
        </w:rPr>
        <w:t>Frontloading</w:t>
      </w:r>
      <w:r w:rsidRPr="001B6F27">
        <w:rPr>
          <w:noProof/>
        </w:rPr>
        <w:t xml:space="preserve"> the decarbonisation </w:t>
      </w:r>
      <w:r>
        <w:rPr>
          <w:noProof/>
        </w:rPr>
        <w:t xml:space="preserve">on our path to climate neutrality by 2050 </w:t>
      </w:r>
      <w:r w:rsidRPr="001B6F27">
        <w:rPr>
          <w:noProof/>
        </w:rPr>
        <w:t xml:space="preserve">will </w:t>
      </w:r>
      <w:r>
        <w:rPr>
          <w:noProof/>
        </w:rPr>
        <w:t xml:space="preserve">significantly </w:t>
      </w:r>
      <w:r w:rsidRPr="001B6F27">
        <w:rPr>
          <w:noProof/>
        </w:rPr>
        <w:t>reduce fossil fuel imports (by 80% in 2040) and hence provide greater protection against price shocks</w:t>
      </w:r>
      <w:r w:rsidRPr="00484A7A">
        <w:rPr>
          <w:noProof/>
        </w:rPr>
        <w:t xml:space="preserve"> and create a lead market in clean technologies</w:t>
      </w:r>
      <w:r w:rsidRPr="001B6F27">
        <w:rPr>
          <w:noProof/>
        </w:rPr>
        <w:t xml:space="preserve">, strengthening the EU’s open strategic autonomy and competitiveness.  </w:t>
      </w:r>
      <w:r w:rsidRPr="002C3BD6">
        <w:rPr>
          <w:noProof/>
        </w:rPr>
        <w:t xml:space="preserve">More focus is however needed on a framework that ensures that all citizens benefit from the climate transition, </w:t>
      </w:r>
      <w:r>
        <w:rPr>
          <w:noProof/>
        </w:rPr>
        <w:t>already now and into the next decades</w:t>
      </w:r>
      <w:r w:rsidRPr="002C3BD6">
        <w:rPr>
          <w:noProof/>
        </w:rPr>
        <w:t xml:space="preserve">. For example, </w:t>
      </w:r>
      <w:r>
        <w:rPr>
          <w:noProof/>
        </w:rPr>
        <w:t xml:space="preserve">the </w:t>
      </w:r>
      <w:r w:rsidRPr="002C3BD6">
        <w:rPr>
          <w:noProof/>
        </w:rPr>
        <w:t xml:space="preserve">European Green Deal must also be an industrial decarbonisation deal. Europe </w:t>
      </w:r>
      <w:r w:rsidRPr="001B6F27">
        <w:rPr>
          <w:noProof/>
        </w:rPr>
        <w:t>needs better integration of employment and skills as well as social and distributional aspects in climate action and</w:t>
      </w:r>
      <w:r w:rsidRPr="002C3BD6">
        <w:rPr>
          <w:noProof/>
        </w:rPr>
        <w:t xml:space="preserve"> an enabling framework for decarbonised industry in the pursuit of sustainable economic growth, as well as a global level playing field for green business to thri</w:t>
      </w:r>
      <w:r w:rsidRPr="001A0927">
        <w:rPr>
          <w:noProof/>
        </w:rPr>
        <w:t xml:space="preserve">ve. </w:t>
      </w:r>
      <w:r w:rsidR="00374D9E" w:rsidRPr="001A0927">
        <w:rPr>
          <w:noProof/>
        </w:rPr>
        <w:t>Europe will also need to plan the necessary energy and transport infrastructure. These aspects will be addressed in the upcoming reviews already foreseen in existing EU measures to ensure the successful achievement of our 2030 objectives.</w:t>
      </w:r>
    </w:p>
    <w:p w14:paraId="66EE6EF2" w14:textId="237B5C31" w:rsidR="00374D9E" w:rsidRDefault="00374D9E" w:rsidP="00482E88">
      <w:pPr>
        <w:spacing w:after="240"/>
        <w:rPr>
          <w:noProof/>
        </w:rPr>
      </w:pPr>
      <w:r w:rsidRPr="001A0927">
        <w:rPr>
          <w:noProof/>
        </w:rPr>
        <w:t xml:space="preserve">Moreover, </w:t>
      </w:r>
      <w:r w:rsidR="00482E88" w:rsidRPr="001A0927">
        <w:rPr>
          <w:noProof/>
        </w:rPr>
        <w:t>Europe will need to mobilise the right mix of private and public sector investment to make our economy both sustainable and competitive.</w:t>
      </w:r>
      <w:r w:rsidRPr="001A0927">
        <w:rPr>
          <w:noProof/>
        </w:rPr>
        <w:t xml:space="preserve"> In this area, a</w:t>
      </w:r>
      <w:r w:rsidRPr="001A0927">
        <w:rPr>
          <w:noProof/>
          <w:color w:val="00B050"/>
        </w:rPr>
        <w:t xml:space="preserve"> </w:t>
      </w:r>
      <w:r w:rsidRPr="001A0927">
        <w:rPr>
          <w:noProof/>
        </w:rPr>
        <w:t xml:space="preserve">European approach on finance will be needed in the coming years, </w:t>
      </w:r>
      <w:r>
        <w:rPr>
          <w:noProof/>
        </w:rPr>
        <w:t xml:space="preserve">in close cooperation with Member States, </w:t>
      </w:r>
      <w:r w:rsidRPr="001A0927">
        <w:rPr>
          <w:noProof/>
        </w:rPr>
        <w:t>to generate economies of scale and scope, while limiting fragmentation of efforts</w:t>
      </w:r>
      <w:r>
        <w:rPr>
          <w:noProof/>
        </w:rPr>
        <w:t xml:space="preserve"> and</w:t>
      </w:r>
      <w:r w:rsidRPr="001A0927">
        <w:rPr>
          <w:noProof/>
        </w:rPr>
        <w:t xml:space="preserve"> deepening of regional imbalances.</w:t>
      </w:r>
    </w:p>
    <w:p w14:paraId="2C870110" w14:textId="7503BF9F" w:rsidR="00482E88" w:rsidRPr="00EF773A" w:rsidRDefault="00482E88" w:rsidP="00482E88">
      <w:pPr>
        <w:spacing w:after="240"/>
        <w:rPr>
          <w:noProof/>
        </w:rPr>
      </w:pPr>
    </w:p>
    <w:p w14:paraId="52407B88" w14:textId="77777777" w:rsidR="00482E88" w:rsidRPr="007663CA" w:rsidRDefault="00482E88" w:rsidP="00482E88">
      <w:pPr>
        <w:rPr>
          <w:rFonts w:eastAsia="Times New Roman"/>
          <w:noProof/>
        </w:rPr>
      </w:pPr>
      <w:r w:rsidRPr="007663CA">
        <w:rPr>
          <w:noProof/>
        </w:rPr>
        <w:t xml:space="preserve">Many investments to be undertaken to realise the 2030 climate and energy targets have impacts spanning decades. Defining a climate target for 2040 now will </w:t>
      </w:r>
      <w:r w:rsidRPr="007663CA">
        <w:rPr>
          <w:rFonts w:eastAsia="Times New Roman"/>
          <w:noProof/>
        </w:rPr>
        <w:t xml:space="preserve">provide </w:t>
      </w:r>
      <w:r>
        <w:rPr>
          <w:rFonts w:eastAsia="Times New Roman"/>
          <w:noProof/>
        </w:rPr>
        <w:t xml:space="preserve">investment </w:t>
      </w:r>
      <w:r w:rsidRPr="007663CA">
        <w:rPr>
          <w:rFonts w:eastAsia="Times New Roman"/>
          <w:noProof/>
        </w:rPr>
        <w:t>predictability</w:t>
      </w:r>
      <w:r>
        <w:rPr>
          <w:rFonts w:eastAsia="Times New Roman"/>
          <w:noProof/>
        </w:rPr>
        <w:t>. It</w:t>
      </w:r>
      <w:r w:rsidRPr="007663CA">
        <w:rPr>
          <w:rFonts w:eastAsia="Times New Roman"/>
          <w:noProof/>
        </w:rPr>
        <w:t xml:space="preserve"> </w:t>
      </w:r>
      <w:r w:rsidRPr="007663CA">
        <w:rPr>
          <w:noProof/>
        </w:rPr>
        <w:t>will help EU decision makers, Member States and stakeholders to take the necessary decisions in this critical decade, so that these are compatible with the 2040 target and the climate neutrality objective,</w:t>
      </w:r>
      <w:r w:rsidRPr="007663CA">
        <w:rPr>
          <w:rFonts w:eastAsia="Calibri"/>
          <w:noProof/>
        </w:rPr>
        <w:t xml:space="preserve"> minimising the risks of lock-in to costly, sub-optimal paths and stranded assets.</w:t>
      </w:r>
      <w:r w:rsidRPr="007663CA">
        <w:rPr>
          <w:rFonts w:eastAsia="Times New Roman"/>
          <w:noProof/>
        </w:rPr>
        <w:t xml:space="preserve"> </w:t>
      </w:r>
    </w:p>
    <w:p w14:paraId="0ECFFD81" w14:textId="54AB703A" w:rsidR="00482E88" w:rsidRDefault="00482E88" w:rsidP="00482E88">
      <w:pPr>
        <w:pStyle w:val="pf0"/>
        <w:jc w:val="both"/>
        <w:rPr>
          <w:noProof/>
        </w:rPr>
      </w:pPr>
      <w:r w:rsidRPr="002C3BD6">
        <w:rPr>
          <w:rFonts w:eastAsiaTheme="minorEastAsia"/>
          <w:noProof/>
        </w:rPr>
        <w:t xml:space="preserve">The imperative that the transition has to be just is at the heart of the European Green Deal given the worries among some citizens and industrial actors about the risks and costs of the climate and energy transition. Climate action has to bring everybody along, </w:t>
      </w:r>
      <w:r w:rsidRPr="002C3BD6">
        <w:rPr>
          <w:noProof/>
        </w:rPr>
        <w:t>paying particular attention to supporting those who face the greatest challenge</w:t>
      </w:r>
      <w:r w:rsidRPr="002C3BD6">
        <w:rPr>
          <w:rFonts w:eastAsiaTheme="minorEastAsia"/>
          <w:noProof/>
        </w:rPr>
        <w:t xml:space="preserve">. </w:t>
      </w:r>
      <w:bookmarkStart w:id="5" w:name="_Hlk157173186"/>
      <w:r w:rsidRPr="002C3BD6">
        <w:rPr>
          <w:rFonts w:eastAsiaTheme="minorEastAsia"/>
          <w:noProof/>
        </w:rPr>
        <w:t>That</w:t>
      </w:r>
      <w:r w:rsidR="0013325C">
        <w:rPr>
          <w:rFonts w:eastAsiaTheme="minorEastAsia"/>
          <w:noProof/>
        </w:rPr>
        <w:t xml:space="preserve"> is</w:t>
      </w:r>
      <w:r w:rsidRPr="002C3BD6">
        <w:rPr>
          <w:rFonts w:eastAsiaTheme="minorEastAsia"/>
          <w:noProof/>
        </w:rPr>
        <w:t xml:space="preserve"> why this</w:t>
      </w:r>
      <w:r>
        <w:rPr>
          <w:noProof/>
        </w:rPr>
        <w:t xml:space="preserve"> </w:t>
      </w:r>
      <w:r w:rsidRPr="5A178A04">
        <w:rPr>
          <w:rFonts w:eastAsiaTheme="minorEastAsia"/>
          <w:noProof/>
          <w:lang w:val="en-GB" w:eastAsia="en-US"/>
        </w:rPr>
        <w:t xml:space="preserve">Communication is the start of a dialogue and an extensive outreach to citizens, businesses, social partners, NGOs, academia and other stakeholders on the right 2040 pathway to climate neutrality by 2050. Such dialogue with industry is already taking place through Clean Transition Dialogues organised with the key industrial sectors, and will be continued and </w:t>
      </w:r>
      <w:r>
        <w:rPr>
          <w:rFonts w:eastAsiaTheme="minorEastAsia"/>
          <w:noProof/>
          <w:lang w:val="en-GB" w:eastAsia="en-US"/>
        </w:rPr>
        <w:t>expanded, including in a 2040 perspective</w:t>
      </w:r>
      <w:r w:rsidRPr="7E33CCE4">
        <w:rPr>
          <w:rFonts w:eastAsiaTheme="minorEastAsia"/>
          <w:noProof/>
          <w:lang w:val="en-GB" w:eastAsia="en-US"/>
        </w:rPr>
        <w:t>.</w:t>
      </w:r>
      <w:r w:rsidRPr="5A178A04">
        <w:rPr>
          <w:rFonts w:eastAsiaTheme="minorEastAsia"/>
          <w:noProof/>
          <w:lang w:val="en-GB" w:eastAsia="en-US"/>
        </w:rPr>
        <w:t xml:space="preserve"> </w:t>
      </w:r>
      <w:r>
        <w:rPr>
          <w:rFonts w:eastAsiaTheme="minorEastAsia"/>
          <w:noProof/>
          <w:lang w:val="en-GB" w:eastAsia="en-US"/>
        </w:rPr>
        <w:t>The</w:t>
      </w:r>
      <w:r w:rsidRPr="5A178A04">
        <w:rPr>
          <w:rFonts w:eastAsiaTheme="minorEastAsia"/>
          <w:noProof/>
          <w:lang w:val="en-GB" w:eastAsia="en-US"/>
        </w:rPr>
        <w:t xml:space="preserve"> Strategic Dialogue</w:t>
      </w:r>
      <w:r>
        <w:rPr>
          <w:rFonts w:eastAsiaTheme="minorEastAsia"/>
          <w:noProof/>
          <w:lang w:val="en-GB" w:eastAsia="en-US"/>
        </w:rPr>
        <w:t xml:space="preserve"> on the Future of Agriculture</w:t>
      </w:r>
      <w:r w:rsidRPr="5A178A04">
        <w:rPr>
          <w:rFonts w:eastAsiaTheme="minorEastAsia"/>
          <w:noProof/>
          <w:lang w:val="en-GB" w:eastAsia="en-US"/>
        </w:rPr>
        <w:t xml:space="preserve"> with farmers and other actors in the food chain on the future of agriculture has also been launched. </w:t>
      </w:r>
      <w:r>
        <w:rPr>
          <w:rFonts w:eastAsiaTheme="minorEastAsia"/>
          <w:noProof/>
          <w:lang w:val="en-GB" w:eastAsia="en-US"/>
        </w:rPr>
        <w:t xml:space="preserve">Furthermore, a a structured and systematic dialogue with social partners should be strengthened to ensure their contribution, focusing on employment, including availability of jobs for displaced workers, mobility, job quality, investments in reskilling and upskilling. The Commission will present the stocktake of the Clean Transition Dialogues prior to the Special European Council meeting in April this year. </w:t>
      </w:r>
      <w:r w:rsidRPr="5A178A04">
        <w:rPr>
          <w:rFonts w:eastAsiaTheme="minorEastAsia"/>
          <w:noProof/>
          <w:lang w:val="en-GB" w:eastAsia="en-US"/>
        </w:rPr>
        <w:t>These dialogues and outreach</w:t>
      </w:r>
      <w:r w:rsidRPr="5A178A04">
        <w:rPr>
          <w:rFonts w:eastAsiaTheme="minorEastAsia"/>
          <w:noProof/>
          <w:lang w:val="en-GB"/>
        </w:rPr>
        <w:t xml:space="preserve"> will allow the next Commission to table legislative proposals for</w:t>
      </w:r>
      <w:r w:rsidRPr="5A178A04">
        <w:rPr>
          <w:rFonts w:eastAsia="Calibri"/>
          <w:noProof/>
        </w:rPr>
        <w:t xml:space="preserve"> the post-2030 policy framework that will be needed to deliver the 2040 target </w:t>
      </w:r>
      <w:r>
        <w:rPr>
          <w:noProof/>
        </w:rPr>
        <w:t>in a fair and cost-efficient manner.</w:t>
      </w:r>
    </w:p>
    <w:p w14:paraId="5C3D0352" w14:textId="77777777" w:rsidR="00482E88" w:rsidRPr="007663CA" w:rsidRDefault="00482E88" w:rsidP="00482E88">
      <w:pPr>
        <w:pStyle w:val="Heading1"/>
        <w:rPr>
          <w:noProof/>
        </w:rPr>
      </w:pPr>
      <w:bookmarkStart w:id="6" w:name="_Toc157365422"/>
      <w:bookmarkStart w:id="7" w:name="_Toc158097090"/>
      <w:bookmarkEnd w:id="5"/>
      <w:bookmarkEnd w:id="6"/>
      <w:r w:rsidRPr="007663CA">
        <w:rPr>
          <w:noProof/>
        </w:rPr>
        <w:t>Ambitious global climate action</w:t>
      </w:r>
      <w:bookmarkEnd w:id="7"/>
      <w:r w:rsidRPr="007663CA">
        <w:rPr>
          <w:noProof/>
        </w:rPr>
        <w:t xml:space="preserve"> </w:t>
      </w:r>
    </w:p>
    <w:p w14:paraId="2BB5493E" w14:textId="77777777" w:rsidR="00482E88" w:rsidRPr="007663CA" w:rsidRDefault="00482E88" w:rsidP="00482E88">
      <w:pPr>
        <w:spacing w:line="257" w:lineRule="auto"/>
        <w:rPr>
          <w:rFonts w:eastAsia="Times New Roman"/>
          <w:noProof/>
        </w:rPr>
      </w:pPr>
      <w:r>
        <w:rPr>
          <w:noProof/>
        </w:rPr>
        <w:t>The first global stocktake under the Paris Agreement found that p</w:t>
      </w:r>
      <w:r w:rsidRPr="5A178A04">
        <w:rPr>
          <w:rFonts w:eastAsia="Times New Roman"/>
          <w:noProof/>
        </w:rPr>
        <w:t xml:space="preserve">arties are putting increasingly effective climate policies in place, but that urgent additional action is needed to put the world fully on track for achieving the goals of the Paris Agreement.  </w:t>
      </w:r>
    </w:p>
    <w:p w14:paraId="64C78AF1" w14:textId="77777777" w:rsidR="00482E88" w:rsidRPr="007663CA" w:rsidRDefault="00482E88" w:rsidP="00482E88">
      <w:pPr>
        <w:spacing w:line="257" w:lineRule="auto"/>
        <w:rPr>
          <w:rFonts w:eastAsia="Times New Roman"/>
          <w:noProof/>
        </w:rPr>
      </w:pPr>
      <w:r w:rsidRPr="5A178A04">
        <w:rPr>
          <w:rFonts w:eastAsia="Times New Roman"/>
          <w:noProof/>
        </w:rPr>
        <w:t>The parties at COP28 agreed that limiting global warming to 1.5°C requires deep, rapid and sustained reductions in global GHG emissions of 43% by 2030 and 60% by 2035 compared to 2019 levels and reaching net zero CO</w:t>
      </w:r>
      <w:r w:rsidRPr="5A178A04">
        <w:rPr>
          <w:rFonts w:eastAsia="Times New Roman"/>
          <w:noProof/>
          <w:vertAlign w:val="subscript"/>
        </w:rPr>
        <w:t>2</w:t>
      </w:r>
      <w:r w:rsidRPr="5A178A04">
        <w:rPr>
          <w:rFonts w:eastAsia="Times New Roman"/>
          <w:noProof/>
        </w:rPr>
        <w:t xml:space="preserve"> emissions globally by 2050. The Global Stocktake </w:t>
      </w:r>
      <w:r>
        <w:rPr>
          <w:noProof/>
        </w:rPr>
        <w:t xml:space="preserve">highlighted that the fossil fuel era should draw to an end, recognising the need for all to transition away from fossil fuels. </w:t>
      </w:r>
      <w:r w:rsidRPr="5A178A04">
        <w:rPr>
          <w:rFonts w:eastAsia="Times New Roman"/>
          <w:noProof/>
        </w:rPr>
        <w:t>The agreement also calls on the parties to triple global renewable energy capacity and double the rate of energy efficiency improvements by 2030, to accelerate efforts globally towards net zero emission energy systems, making use of zero- and low-carbon fuels well before or by around mid-century. While emphasising the importance of a just transition, it also calls to accelerate efforts to phase down unabated coal, emissions from road transport, tackle methane, and other non-CO</w:t>
      </w:r>
      <w:r w:rsidRPr="5A178A04">
        <w:rPr>
          <w:rFonts w:eastAsia="Times New Roman"/>
          <w:noProof/>
          <w:vertAlign w:val="subscript"/>
        </w:rPr>
        <w:t>2</w:t>
      </w:r>
      <w:r w:rsidRPr="5A178A04">
        <w:rPr>
          <w:rFonts w:eastAsia="Times New Roman"/>
          <w:noProof/>
        </w:rPr>
        <w:t xml:space="preserve"> emissions this decade, and phase out as soon as possible inefficient fossil fuel subsidies that do not address energy poverty or vulnerable groups. This will require a shift in investment patterns across the globe to ensure finance flows are consistent with low emission and climate resilient development pathways.</w:t>
      </w:r>
    </w:p>
    <w:p w14:paraId="562A1AF6" w14:textId="2594DF26" w:rsidR="00482E88" w:rsidRPr="00912C91" w:rsidRDefault="00482E88" w:rsidP="00482E88">
      <w:pPr>
        <w:spacing w:line="257" w:lineRule="auto"/>
        <w:rPr>
          <w:noProof/>
        </w:rPr>
      </w:pPr>
      <w:r w:rsidRPr="5A178A04">
        <w:rPr>
          <w:rFonts w:eastAsia="Times New Roman"/>
          <w:noProof/>
        </w:rPr>
        <w:t xml:space="preserve">The results of COP28 set the minimum expectation for action from the </w:t>
      </w:r>
      <w:r>
        <w:rPr>
          <w:rFonts w:eastAsia="Times New Roman"/>
          <w:noProof/>
        </w:rPr>
        <w:t>entire</w:t>
      </w:r>
      <w:r w:rsidRPr="5A178A04">
        <w:rPr>
          <w:rFonts w:eastAsia="Times New Roman"/>
          <w:noProof/>
        </w:rPr>
        <w:t xml:space="preserve"> global community and put others on the trajectory that the EU is already on.  The EU will continue to contribute to building the means and momentum for increased global action and persuade and support other countries to follow suit.  </w:t>
      </w:r>
    </w:p>
    <w:p w14:paraId="28594049" w14:textId="77777777" w:rsidR="00482E88" w:rsidRDefault="00482E88" w:rsidP="00482E88">
      <w:pPr>
        <w:spacing w:line="257" w:lineRule="auto"/>
        <w:rPr>
          <w:noProof/>
        </w:rPr>
      </w:pPr>
      <w:r>
        <w:rPr>
          <w:noProof/>
        </w:rPr>
        <w:t>Building on the success and potential of the Global Gateway, i</w:t>
      </w:r>
      <w:r w:rsidRPr="00BC6CE5">
        <w:rPr>
          <w:noProof/>
        </w:rPr>
        <w:t xml:space="preserve">nternational </w:t>
      </w:r>
      <w:r>
        <w:rPr>
          <w:noProof/>
        </w:rPr>
        <w:t>cooperation will expand to new areas in line with the collective commitments of the Global Stocktake and new technological opportunities.</w:t>
      </w:r>
      <w:r>
        <w:rPr>
          <w:rFonts w:eastAsia="Times New Roman"/>
          <w:noProof/>
        </w:rPr>
        <w:t xml:space="preserve"> Cl</w:t>
      </w:r>
      <w:r w:rsidRPr="007663CA">
        <w:rPr>
          <w:noProof/>
        </w:rPr>
        <w:t>imate finance will remain at the heart of the EU’s contribution to global climate action</w:t>
      </w:r>
      <w:r>
        <w:rPr>
          <w:noProof/>
        </w:rPr>
        <w:t>.</w:t>
      </w:r>
      <w:r w:rsidRPr="007663CA">
        <w:rPr>
          <w:noProof/>
        </w:rPr>
        <w:t xml:space="preserve"> </w:t>
      </w:r>
      <w:r>
        <w:rPr>
          <w:noProof/>
        </w:rPr>
        <w:t>The</w:t>
      </w:r>
      <w:r w:rsidRPr="007663CA">
        <w:rPr>
          <w:noProof/>
        </w:rPr>
        <w:t xml:space="preserve"> EU, </w:t>
      </w:r>
      <w:r>
        <w:rPr>
          <w:noProof/>
        </w:rPr>
        <w:t xml:space="preserve">together with </w:t>
      </w:r>
      <w:r w:rsidRPr="007663CA">
        <w:rPr>
          <w:noProof/>
        </w:rPr>
        <w:t>its Member States and the European Investment Bank (EIB)</w:t>
      </w:r>
      <w:r>
        <w:rPr>
          <w:noProof/>
        </w:rPr>
        <w:t>,</w:t>
      </w:r>
      <w:r w:rsidRPr="007663CA">
        <w:rPr>
          <w:noProof/>
        </w:rPr>
        <w:t xml:space="preserve"> </w:t>
      </w:r>
      <w:r>
        <w:rPr>
          <w:noProof/>
        </w:rPr>
        <w:t>is</w:t>
      </w:r>
      <w:r w:rsidRPr="007663CA">
        <w:rPr>
          <w:noProof/>
        </w:rPr>
        <w:t xml:space="preserve"> the biggest contributor of public climate finance to developing economies, with a contribution of €28.5 billion in 2022 and mobilising an additional €11.9 billion of private finance.</w:t>
      </w:r>
    </w:p>
    <w:p w14:paraId="03040019" w14:textId="77777777" w:rsidR="00482E88" w:rsidRDefault="00482E88" w:rsidP="00482E88">
      <w:pPr>
        <w:rPr>
          <w:noProof/>
        </w:rPr>
      </w:pPr>
      <w:r>
        <w:rPr>
          <w:noProof/>
        </w:rPr>
        <w:t>The EU and its Member States will further strengthen climate diplomacy in bilateral, plurilateral (G7, G20, OECD, Climate Club among others) and multilateral fora.</w:t>
      </w:r>
    </w:p>
    <w:p w14:paraId="4B846ED0" w14:textId="2EF230FE" w:rsidR="00482E88" w:rsidRDefault="00482E88" w:rsidP="00482E88">
      <w:pPr>
        <w:rPr>
          <w:rFonts w:eastAsia="Times New Roman"/>
          <w:noProof/>
        </w:rPr>
      </w:pPr>
      <w:r w:rsidRPr="5A178A04">
        <w:rPr>
          <w:rFonts w:eastAsia="Times New Roman"/>
          <w:noProof/>
        </w:rPr>
        <w:t>The Commission</w:t>
      </w:r>
      <w:r>
        <w:rPr>
          <w:rFonts w:eastAsia="Times New Roman"/>
          <w:noProof/>
        </w:rPr>
        <w:t xml:space="preserve"> will</w:t>
      </w:r>
      <w:r w:rsidRPr="5A178A04">
        <w:rPr>
          <w:rFonts w:eastAsia="Times New Roman"/>
          <w:noProof/>
        </w:rPr>
        <w:t xml:space="preserve"> </w:t>
      </w:r>
      <w:r>
        <w:rPr>
          <w:rFonts w:eastAsia="Times New Roman"/>
          <w:noProof/>
        </w:rPr>
        <w:t xml:space="preserve">set up </w:t>
      </w:r>
      <w:r w:rsidRPr="5A178A04">
        <w:rPr>
          <w:rFonts w:eastAsia="Times New Roman"/>
          <w:noProof/>
        </w:rPr>
        <w:t>a dedicated taskforce to offer its expertise and deploy staff to set up carbon markets</w:t>
      </w:r>
      <w:r>
        <w:rPr>
          <w:rFonts w:eastAsia="Times New Roman"/>
          <w:noProof/>
        </w:rPr>
        <w:t xml:space="preserve">, </w:t>
      </w:r>
      <w:r w:rsidRPr="5A178A04">
        <w:rPr>
          <w:rFonts w:eastAsia="Times New Roman"/>
          <w:noProof/>
        </w:rPr>
        <w:t>develop a global approach to carbon pricing</w:t>
      </w:r>
      <w:r>
        <w:rPr>
          <w:rStyle w:val="FootnoteReference"/>
          <w:rFonts w:eastAsia="Times New Roman"/>
          <w:noProof/>
        </w:rPr>
        <w:footnoteReference w:id="7"/>
      </w:r>
      <w:r>
        <w:rPr>
          <w:rFonts w:eastAsia="Times New Roman"/>
          <w:noProof/>
        </w:rPr>
        <w:t xml:space="preserve">, </w:t>
      </w:r>
      <w:r w:rsidRPr="5A178A04">
        <w:rPr>
          <w:rFonts w:eastAsia="Times New Roman"/>
          <w:noProof/>
        </w:rPr>
        <w:t xml:space="preserve">intensify its carbon market diplomacy around the world and amplify its efforts to replicate the success of the EU Emissions Trading System (ETS) by encouraging and supporting other jurisdictions to introduce or improve their own carbon pricing mechanisms. </w:t>
      </w:r>
    </w:p>
    <w:p w14:paraId="329BF017" w14:textId="198D2D28" w:rsidR="00482E88" w:rsidRPr="00F665EE" w:rsidRDefault="00482E88" w:rsidP="00482E88">
      <w:pPr>
        <w:rPr>
          <w:rFonts w:eastAsia="Times New Roman"/>
          <w:noProof/>
          <w:highlight w:val="magenta"/>
        </w:rPr>
      </w:pPr>
      <w:r w:rsidRPr="5A178A04">
        <w:rPr>
          <w:rFonts w:eastAsia="Times New Roman"/>
          <w:noProof/>
        </w:rPr>
        <w:t>The gradual implementation of the Carbon Border Adjustmen</w:t>
      </w:r>
      <w:r w:rsidRPr="001A0927">
        <w:rPr>
          <w:rFonts w:eastAsia="Times New Roman"/>
          <w:noProof/>
        </w:rPr>
        <w:t>t Mechanism (CBAM), which entered into force, in its transitional phase, on 1 October 2023,</w:t>
      </w:r>
      <w:r w:rsidRPr="00C932B3">
        <w:rPr>
          <w:rFonts w:eastAsia="Times New Roman"/>
          <w:noProof/>
        </w:rPr>
        <w:t xml:space="preserve"> </w:t>
      </w:r>
      <w:r>
        <w:rPr>
          <w:noProof/>
        </w:rPr>
        <w:t xml:space="preserve">also incentivises governments to use pricing measures to reduce emissions and for industries to reduce their GHG emissions, based on a methodology that has potential for international application. </w:t>
      </w:r>
    </w:p>
    <w:p w14:paraId="23567AA0" w14:textId="77777777" w:rsidR="00482E88" w:rsidRPr="008547EA" w:rsidRDefault="00482E88" w:rsidP="00482E88">
      <w:pPr>
        <w:spacing w:line="257" w:lineRule="auto"/>
        <w:rPr>
          <w:rFonts w:eastAsia="Times New Roman"/>
          <w:noProof/>
        </w:rPr>
      </w:pPr>
      <w:r w:rsidRPr="007663CA">
        <w:rPr>
          <w:rFonts w:eastAsia="Times New Roman"/>
          <w:noProof/>
        </w:rPr>
        <w:t xml:space="preserve">In a volatile geopolitical environment, the EU will continue to develop stable partnerships </w:t>
      </w:r>
      <w:r>
        <w:rPr>
          <w:rFonts w:eastAsia="Times New Roman"/>
          <w:noProof/>
        </w:rPr>
        <w:t xml:space="preserve">with like-minded countries. </w:t>
      </w:r>
      <w:r w:rsidRPr="007663CA">
        <w:rPr>
          <w:noProof/>
        </w:rPr>
        <w:t xml:space="preserve">The Green Alliances and Green Partnerships concluded with partners since 2021 </w:t>
      </w:r>
      <w:r>
        <w:rPr>
          <w:noProof/>
        </w:rPr>
        <w:t>will</w:t>
      </w:r>
      <w:r w:rsidRPr="007663CA">
        <w:rPr>
          <w:noProof/>
        </w:rPr>
        <w:t xml:space="preserve"> sustain the EU and partners’ pathways to climate neutrality.</w:t>
      </w:r>
      <w:r>
        <w:rPr>
          <w:rFonts w:eastAsia="Times New Roman"/>
          <w:noProof/>
        </w:rPr>
        <w:t xml:space="preserve"> It will broaden and deepen partnerships with </w:t>
      </w:r>
      <w:r w:rsidRPr="007663CA">
        <w:rPr>
          <w:rFonts w:eastAsia="Times New Roman"/>
          <w:noProof/>
        </w:rPr>
        <w:t>reliable international suppliers</w:t>
      </w:r>
      <w:r>
        <w:rPr>
          <w:rFonts w:eastAsia="Times New Roman"/>
          <w:noProof/>
        </w:rPr>
        <w:t xml:space="preserve">, including neighbourhood countries, </w:t>
      </w:r>
      <w:r w:rsidRPr="007663CA">
        <w:rPr>
          <w:rFonts w:eastAsia="Times New Roman"/>
          <w:noProof/>
        </w:rPr>
        <w:t xml:space="preserve">to ensure its long-term energy security and predictability of supply throughout the energy transition. This will help reduce external </w:t>
      </w:r>
      <w:r w:rsidRPr="00815592">
        <w:rPr>
          <w:rFonts w:eastAsia="Times New Roman"/>
          <w:noProof/>
        </w:rPr>
        <w:t>dependencies and costs while de-risking supply chains.</w:t>
      </w:r>
      <w:r>
        <w:rPr>
          <w:rFonts w:eastAsia="Times New Roman"/>
          <w:noProof/>
        </w:rPr>
        <w:t xml:space="preserve"> </w:t>
      </w:r>
      <w:r>
        <w:rPr>
          <w:noProof/>
        </w:rPr>
        <w:t>It will also</w:t>
      </w:r>
      <w:r w:rsidRPr="007663CA">
        <w:rPr>
          <w:noProof/>
        </w:rPr>
        <w:t xml:space="preserve"> empower European businesses </w:t>
      </w:r>
      <w:r>
        <w:rPr>
          <w:noProof/>
        </w:rPr>
        <w:t xml:space="preserve">and society </w:t>
      </w:r>
      <w:r w:rsidRPr="007663CA">
        <w:rPr>
          <w:noProof/>
        </w:rPr>
        <w:t xml:space="preserve">to benefit from the global transition and </w:t>
      </w:r>
      <w:r>
        <w:rPr>
          <w:noProof/>
        </w:rPr>
        <w:t xml:space="preserve">from the </w:t>
      </w:r>
      <w:r w:rsidRPr="007663CA">
        <w:rPr>
          <w:noProof/>
        </w:rPr>
        <w:t>increasing demand for clean technologies</w:t>
      </w:r>
      <w:r>
        <w:rPr>
          <w:noProof/>
        </w:rPr>
        <w:t xml:space="preserve">, coupled with </w:t>
      </w:r>
      <w:r w:rsidRPr="00F665EE">
        <w:rPr>
          <w:rFonts w:eastAsia="Calibri" w:cs="Calibri"/>
          <w:noProof/>
          <w:lang w:val="en-US"/>
        </w:rPr>
        <w:t xml:space="preserve">policy instruments to ensure </w:t>
      </w:r>
      <w:r w:rsidRPr="008D390A">
        <w:rPr>
          <w:rFonts w:eastAsia="Calibri" w:cs="Calibri"/>
          <w:noProof/>
          <w:lang w:val="en-US"/>
        </w:rPr>
        <w:t>the</w:t>
      </w:r>
      <w:r w:rsidRPr="000B67A3">
        <w:rPr>
          <w:rFonts w:eastAsia="Calibri" w:cs="Calibri"/>
          <w:noProof/>
          <w:lang w:val="en-US"/>
        </w:rPr>
        <w:t xml:space="preserve"> </w:t>
      </w:r>
      <w:r w:rsidRPr="008D390A">
        <w:rPr>
          <w:rFonts w:eastAsia="Calibri" w:cs="Calibri"/>
          <w:noProof/>
          <w:lang w:val="en-US"/>
        </w:rPr>
        <w:t>resilience of the EU net-zero technologies supply.</w:t>
      </w:r>
      <w:r>
        <w:rPr>
          <w:rFonts w:eastAsia="Calibri" w:cs="Calibri"/>
          <w:noProof/>
          <w:lang w:val="en-US"/>
        </w:rPr>
        <w:t xml:space="preserve"> </w:t>
      </w:r>
    </w:p>
    <w:p w14:paraId="47AAFE8D" w14:textId="77777777" w:rsidR="00482E88" w:rsidRPr="007663CA" w:rsidRDefault="00482E88" w:rsidP="00482E88">
      <w:pPr>
        <w:spacing w:line="257" w:lineRule="auto"/>
        <w:rPr>
          <w:noProof/>
          <w:sz w:val="22"/>
          <w:szCs w:val="22"/>
          <w:lang w:val="en-IE"/>
        </w:rPr>
      </w:pPr>
      <w:r w:rsidRPr="5A178A04">
        <w:rPr>
          <w:noProof/>
          <w:lang w:val="en-IE"/>
        </w:rPr>
        <w:t xml:space="preserve">Trade agreements can help advance climate goals and achieve our targets while ensuring that the international trading system remains fair and non-discriminatory. Trade policy can drive innovation, </w:t>
      </w:r>
      <w:r>
        <w:rPr>
          <w:noProof/>
        </w:rPr>
        <w:t>promoting sustainable value chains and creating market access for clean technologies and products</w:t>
      </w:r>
      <w:r w:rsidRPr="5A178A04">
        <w:rPr>
          <w:i/>
          <w:iCs/>
          <w:noProof/>
          <w:sz w:val="22"/>
          <w:szCs w:val="22"/>
          <w:lang w:val="en-IE"/>
        </w:rPr>
        <w:t xml:space="preserve">. </w:t>
      </w:r>
    </w:p>
    <w:p w14:paraId="05F44A6E" w14:textId="77777777" w:rsidR="00482E88" w:rsidRPr="007663CA" w:rsidRDefault="00482E88" w:rsidP="00482E88">
      <w:pPr>
        <w:rPr>
          <w:noProof/>
        </w:rPr>
      </w:pPr>
      <w:r>
        <w:rPr>
          <w:rFonts w:eastAsia="Times New Roman"/>
          <w:noProof/>
        </w:rPr>
        <w:t>Reflecting</w:t>
      </w:r>
      <w:r w:rsidRPr="007663CA">
        <w:rPr>
          <w:rFonts w:eastAsia="Times New Roman"/>
          <w:noProof/>
        </w:rPr>
        <w:t xml:space="preserve"> the significant momentum in enlarg</w:t>
      </w:r>
      <w:r>
        <w:rPr>
          <w:rFonts w:eastAsia="Times New Roman"/>
          <w:noProof/>
        </w:rPr>
        <w:t>ing the EU</w:t>
      </w:r>
      <w:r w:rsidRPr="007663CA">
        <w:rPr>
          <w:rFonts w:eastAsia="Times New Roman"/>
          <w:noProof/>
        </w:rPr>
        <w:t xml:space="preserve">, the Commission will support candidate and potential candidate countries </w:t>
      </w:r>
      <w:r>
        <w:rPr>
          <w:rFonts w:eastAsia="Times New Roman"/>
          <w:noProof/>
        </w:rPr>
        <w:t>in</w:t>
      </w:r>
      <w:r w:rsidRPr="007663CA">
        <w:rPr>
          <w:rFonts w:eastAsia="Times New Roman"/>
          <w:noProof/>
        </w:rPr>
        <w:t xml:space="preserve"> align</w:t>
      </w:r>
      <w:r>
        <w:rPr>
          <w:rFonts w:eastAsia="Times New Roman"/>
          <w:noProof/>
        </w:rPr>
        <w:t>ing with</w:t>
      </w:r>
      <w:r w:rsidRPr="007663CA">
        <w:rPr>
          <w:rFonts w:eastAsia="Times New Roman"/>
          <w:noProof/>
        </w:rPr>
        <w:t xml:space="preserve"> </w:t>
      </w:r>
      <w:r>
        <w:rPr>
          <w:rFonts w:eastAsia="Times New Roman"/>
          <w:noProof/>
        </w:rPr>
        <w:t xml:space="preserve">and adopting </w:t>
      </w:r>
      <w:r w:rsidRPr="007663CA">
        <w:rPr>
          <w:rFonts w:eastAsia="Times New Roman"/>
          <w:noProof/>
        </w:rPr>
        <w:t xml:space="preserve">the EU’s climate </w:t>
      </w:r>
      <w:r>
        <w:rPr>
          <w:rFonts w:eastAsia="Times New Roman"/>
          <w:noProof/>
        </w:rPr>
        <w:t xml:space="preserve">and energy </w:t>
      </w:r>
      <w:r w:rsidRPr="007663CA">
        <w:rPr>
          <w:rFonts w:eastAsia="Times New Roman"/>
          <w:noProof/>
        </w:rPr>
        <w:t>acquis</w:t>
      </w:r>
      <w:r>
        <w:rPr>
          <w:rFonts w:eastAsia="Times New Roman"/>
          <w:noProof/>
        </w:rPr>
        <w:t>, including the European Climate Law. This includes</w:t>
      </w:r>
      <w:r w:rsidRPr="007663CA">
        <w:rPr>
          <w:rFonts w:eastAsia="Times New Roman"/>
          <w:noProof/>
        </w:rPr>
        <w:t xml:space="preserve"> </w:t>
      </w:r>
      <w:r>
        <w:rPr>
          <w:rFonts w:eastAsia="Times New Roman"/>
          <w:noProof/>
        </w:rPr>
        <w:t>implementation of</w:t>
      </w:r>
      <w:r w:rsidRPr="00DB372B">
        <w:rPr>
          <w:rFonts w:eastAsia="Times New Roman"/>
          <w:noProof/>
        </w:rPr>
        <w:t xml:space="preserve"> the commitments made through the Energy Community to deliver 2030 climate and energy targets and climate neutrality by 2050</w:t>
      </w:r>
      <w:r>
        <w:rPr>
          <w:rFonts w:eastAsia="Times New Roman"/>
          <w:noProof/>
        </w:rPr>
        <w:t xml:space="preserve"> within a framework based on the Energy Union Governance Regulation.</w:t>
      </w:r>
      <w:r w:rsidRPr="007663CA">
        <w:rPr>
          <w:rFonts w:eastAsia="Times New Roman"/>
          <w:noProof/>
          <w:color w:val="000000" w:themeColor="text1"/>
        </w:rPr>
        <w:t xml:space="preserve"> </w:t>
      </w:r>
      <w:r w:rsidRPr="007663CA">
        <w:rPr>
          <w:noProof/>
        </w:rPr>
        <w:t xml:space="preserve">Commitment to and transition in line with the 2040 milestone will also be an important factor in the accession process of future EU Member States. </w:t>
      </w:r>
    </w:p>
    <w:p w14:paraId="07D82453" w14:textId="68DC5BCD" w:rsidR="00482E88" w:rsidRPr="0089171E" w:rsidRDefault="00482E88" w:rsidP="00482E88">
      <w:pPr>
        <w:rPr>
          <w:noProof/>
        </w:rPr>
      </w:pPr>
      <w:r>
        <w:rPr>
          <w:noProof/>
        </w:rPr>
        <w:t xml:space="preserve">The 2040 target, once agreed, will be the basis of the EU’s new Nationally Determined Contribution (NDC) under the Paris Agreement, to be communicated to the UNFCCC by 2025, ahead of COP30. A net greenhouse gas figure for the EU in 2035 will be derived once the 2040 target is agreed, for communication as part of the new NDC. </w:t>
      </w:r>
    </w:p>
    <w:p w14:paraId="09F626C6" w14:textId="77777777" w:rsidR="00482E88" w:rsidRPr="007663CA" w:rsidRDefault="00482E88" w:rsidP="00482E88">
      <w:pPr>
        <w:pStyle w:val="Heading1"/>
        <w:rPr>
          <w:noProof/>
        </w:rPr>
      </w:pPr>
      <w:bookmarkStart w:id="8" w:name="_Toc155286918"/>
      <w:bookmarkStart w:id="9" w:name="_Toc158097091"/>
      <w:r w:rsidRPr="007663CA">
        <w:rPr>
          <w:noProof/>
        </w:rPr>
        <w:t>The 2040 target and a pathway to climate neutrality</w:t>
      </w:r>
      <w:bookmarkEnd w:id="8"/>
      <w:bookmarkEnd w:id="9"/>
    </w:p>
    <w:p w14:paraId="433A2A42" w14:textId="77777777" w:rsidR="00482E88" w:rsidRPr="007663CA" w:rsidRDefault="00482E88" w:rsidP="00482E88">
      <w:pPr>
        <w:pStyle w:val="Heading2"/>
        <w:rPr>
          <w:noProof/>
        </w:rPr>
      </w:pPr>
      <w:bookmarkStart w:id="10" w:name="_Toc158097092"/>
      <w:r w:rsidRPr="007663CA">
        <w:rPr>
          <w:noProof/>
        </w:rPr>
        <w:t>The target</w:t>
      </w:r>
      <w:bookmarkEnd w:id="10"/>
    </w:p>
    <w:p w14:paraId="297405E3" w14:textId="7B54BF4B" w:rsidR="00482E88" w:rsidRDefault="00482E88" w:rsidP="00482E88">
      <w:pPr>
        <w:rPr>
          <w:noProof/>
        </w:rPr>
      </w:pPr>
      <w:r w:rsidRPr="007663CA">
        <w:rPr>
          <w:noProof/>
        </w:rPr>
        <w:t xml:space="preserve">To put the EU on a firm path to climate neutrality, </w:t>
      </w:r>
      <w:r w:rsidRPr="007663CA">
        <w:rPr>
          <w:rFonts w:eastAsia="Times New Roman"/>
          <w:noProof/>
        </w:rPr>
        <w:t xml:space="preserve">this Communication </w:t>
      </w:r>
      <w:r>
        <w:rPr>
          <w:rFonts w:eastAsia="Times New Roman"/>
          <w:noProof/>
        </w:rPr>
        <w:t>presents</w:t>
      </w:r>
      <w:r w:rsidRPr="007663CA">
        <w:rPr>
          <w:rFonts w:eastAsia="Times New Roman"/>
          <w:noProof/>
        </w:rPr>
        <w:t xml:space="preserve"> </w:t>
      </w:r>
      <w:r w:rsidRPr="007663CA">
        <w:rPr>
          <w:rFonts w:eastAsia="Times New Roman"/>
          <w:b/>
          <w:bCs/>
          <w:noProof/>
        </w:rPr>
        <w:t xml:space="preserve">a </w:t>
      </w:r>
      <w:r>
        <w:rPr>
          <w:rFonts w:eastAsia="Times New Roman"/>
          <w:b/>
          <w:bCs/>
          <w:noProof/>
        </w:rPr>
        <w:t>90%</w:t>
      </w:r>
      <w:r w:rsidRPr="007663CA">
        <w:rPr>
          <w:rFonts w:eastAsia="Times New Roman"/>
          <w:b/>
          <w:bCs/>
          <w:noProof/>
        </w:rPr>
        <w:t xml:space="preserve"> net GHG emissions reduction</w:t>
      </w:r>
      <w:r w:rsidRPr="007663CA">
        <w:rPr>
          <w:b/>
          <w:bCs/>
          <w:noProof/>
        </w:rPr>
        <w:t xml:space="preserve"> compared to 1990 levels</w:t>
      </w:r>
      <w:r>
        <w:rPr>
          <w:b/>
          <w:bCs/>
          <w:noProof/>
        </w:rPr>
        <w:t xml:space="preserve"> as the recommended target for 2040 (‘the 2040 target’)</w:t>
      </w:r>
      <w:r w:rsidRPr="007663CA">
        <w:rPr>
          <w:b/>
          <w:bCs/>
          <w:noProof/>
        </w:rPr>
        <w:t xml:space="preserve">. </w:t>
      </w:r>
      <w:r w:rsidRPr="007663CA">
        <w:rPr>
          <w:noProof/>
        </w:rPr>
        <w:t xml:space="preserve">To deliver a reduction of net GHG emissions of </w:t>
      </w:r>
      <w:r>
        <w:rPr>
          <w:noProof/>
        </w:rPr>
        <w:t>90%</w:t>
      </w:r>
      <w:r w:rsidRPr="007663CA">
        <w:rPr>
          <w:noProof/>
        </w:rPr>
        <w:t xml:space="preserve">, the </w:t>
      </w:r>
      <w:r>
        <w:rPr>
          <w:noProof/>
        </w:rPr>
        <w:t xml:space="preserve">analysis in the impact assessment shows that </w:t>
      </w:r>
      <w:r w:rsidRPr="007663CA">
        <w:rPr>
          <w:noProof/>
        </w:rPr>
        <w:t xml:space="preserve">the level of remaining </w:t>
      </w:r>
      <w:r w:rsidRPr="00E1176C">
        <w:rPr>
          <w:noProof/>
        </w:rPr>
        <w:t>EU GHG emissions</w:t>
      </w:r>
      <w:r w:rsidRPr="00E1176C" w:rsidDel="002822A7">
        <w:rPr>
          <w:noProof/>
        </w:rPr>
        <w:t xml:space="preserve"> </w:t>
      </w:r>
      <w:r w:rsidRPr="00E1176C">
        <w:rPr>
          <w:noProof/>
        </w:rPr>
        <w:t>in 2040 should be less than 850 MtCO</w:t>
      </w:r>
      <w:r w:rsidRPr="00E1176C">
        <w:rPr>
          <w:noProof/>
          <w:vertAlign w:val="subscript"/>
        </w:rPr>
        <w:t>2</w:t>
      </w:r>
      <w:r w:rsidRPr="00E1176C">
        <w:rPr>
          <w:noProof/>
        </w:rPr>
        <w:t>-eq</w:t>
      </w:r>
      <w:r w:rsidR="0013325C">
        <w:rPr>
          <w:noProof/>
        </w:rPr>
        <w:t xml:space="preserve"> </w:t>
      </w:r>
      <w:r w:rsidRPr="00E1176C">
        <w:rPr>
          <w:noProof/>
        </w:rPr>
        <w:t>(</w:t>
      </w:r>
      <w:r w:rsidRPr="00E1176C">
        <w:rPr>
          <w:rStyle w:val="FootnoteReference"/>
          <w:noProof/>
        </w:rPr>
        <w:footnoteReference w:id="8"/>
      </w:r>
      <w:r w:rsidRPr="00E1176C">
        <w:rPr>
          <w:noProof/>
        </w:rPr>
        <w:t xml:space="preserve">) and carbon removals (from the atmosphere through land-based and industrial carbon removals)  should reach up to </w:t>
      </w:r>
      <w:r w:rsidRPr="0081506D">
        <w:rPr>
          <w:noProof/>
        </w:rPr>
        <w:t>4</w:t>
      </w:r>
      <w:r w:rsidRPr="00E1176C">
        <w:rPr>
          <w:noProof/>
        </w:rPr>
        <w:t>00</w:t>
      </w:r>
      <w:r w:rsidRPr="007663CA">
        <w:rPr>
          <w:noProof/>
        </w:rPr>
        <w:t xml:space="preserve"> MtCO</w:t>
      </w:r>
      <w:r w:rsidRPr="007663CA">
        <w:rPr>
          <w:noProof/>
          <w:vertAlign w:val="subscript"/>
        </w:rPr>
        <w:t>2</w:t>
      </w:r>
      <w:r w:rsidRPr="007663CA">
        <w:rPr>
          <w:noProof/>
        </w:rPr>
        <w:t>.</w:t>
      </w:r>
    </w:p>
    <w:p w14:paraId="63129C1F" w14:textId="7D3B97AE" w:rsidR="00482E88" w:rsidRPr="007663CA" w:rsidRDefault="00482E88" w:rsidP="00482E88">
      <w:pPr>
        <w:rPr>
          <w:rFonts w:eastAsia="Times New Roman"/>
          <w:noProof/>
        </w:rPr>
      </w:pPr>
      <w:r w:rsidRPr="007663CA">
        <w:rPr>
          <w:rFonts w:eastAsia="Times New Roman"/>
          <w:noProof/>
        </w:rPr>
        <w:t>The proposed target is based on a thorough impact assessment</w:t>
      </w:r>
      <w:r w:rsidR="0013325C">
        <w:rPr>
          <w:rFonts w:eastAsia="Times New Roman"/>
          <w:noProof/>
        </w:rPr>
        <w:t xml:space="preserve"> (</w:t>
      </w:r>
      <w:r w:rsidRPr="00482E88">
        <w:rPr>
          <w:rStyle w:val="FootnoteReference"/>
          <w:noProof/>
          <w:highlight w:val="lightGray"/>
        </w:rPr>
        <w:footnoteReference w:id="9"/>
      </w:r>
      <w:r w:rsidR="0013325C">
        <w:rPr>
          <w:rFonts w:eastAsia="Times New Roman"/>
          <w:noProof/>
        </w:rPr>
        <w:t>)</w:t>
      </w:r>
      <w:r w:rsidRPr="007663CA">
        <w:rPr>
          <w:rFonts w:eastAsia="Times New Roman"/>
          <w:noProof/>
        </w:rPr>
        <w:t xml:space="preserve"> that looked in detail at the implications of three target options for 2040:</w:t>
      </w:r>
    </w:p>
    <w:p w14:paraId="5BFC361D" w14:textId="77777777" w:rsidR="00482E88" w:rsidRPr="007663CA" w:rsidRDefault="00482E88" w:rsidP="00482E88">
      <w:pPr>
        <w:pStyle w:val="ListParagraph"/>
        <w:numPr>
          <w:ilvl w:val="0"/>
          <w:numId w:val="58"/>
        </w:numPr>
        <w:spacing w:after="240"/>
        <w:rPr>
          <w:noProof/>
        </w:rPr>
      </w:pPr>
      <w:r w:rsidRPr="007663CA">
        <w:rPr>
          <w:noProof/>
        </w:rPr>
        <w:t>Option 1, a reduction of up to 80% compared to 1990, consistent with a linear trajectory between 2030 and 2050 (</w:t>
      </w:r>
      <w:r w:rsidRPr="007663CA">
        <w:rPr>
          <w:rStyle w:val="FootnoteReference"/>
          <w:noProof/>
        </w:rPr>
        <w:footnoteReference w:id="10"/>
      </w:r>
      <w:r w:rsidRPr="007663CA">
        <w:rPr>
          <w:noProof/>
        </w:rPr>
        <w:t>);</w:t>
      </w:r>
    </w:p>
    <w:p w14:paraId="75B4E31A" w14:textId="1636BB4C" w:rsidR="00482E88" w:rsidRPr="007663CA" w:rsidRDefault="00482E88" w:rsidP="00482E88">
      <w:pPr>
        <w:pStyle w:val="ListParagraph"/>
        <w:numPr>
          <w:ilvl w:val="0"/>
          <w:numId w:val="58"/>
        </w:numPr>
        <w:spacing w:after="240"/>
        <w:rPr>
          <w:noProof/>
        </w:rPr>
      </w:pPr>
      <w:r w:rsidRPr="007663CA">
        <w:rPr>
          <w:noProof/>
        </w:rPr>
        <w:t xml:space="preserve">Option 2, a reduction of 85-90%, compatible with the level of net GHG reduction that would be reached if the current policy framework were extended to 2040 and  </w:t>
      </w:r>
    </w:p>
    <w:p w14:paraId="37796437" w14:textId="77777777" w:rsidR="00482E88" w:rsidRPr="007663CA" w:rsidRDefault="00482E88" w:rsidP="00482E88">
      <w:pPr>
        <w:pStyle w:val="ListParagraph"/>
        <w:numPr>
          <w:ilvl w:val="0"/>
          <w:numId w:val="58"/>
        </w:numPr>
        <w:spacing w:after="240"/>
        <w:rPr>
          <w:noProof/>
        </w:rPr>
      </w:pPr>
      <w:r w:rsidRPr="007663CA">
        <w:rPr>
          <w:noProof/>
        </w:rPr>
        <w:t xml:space="preserve">Option 3, a reduction of 90-95%. </w:t>
      </w:r>
    </w:p>
    <w:p w14:paraId="470670EA" w14:textId="77777777" w:rsidR="00482E88" w:rsidRDefault="00482E88" w:rsidP="00482E88">
      <w:pPr>
        <w:tabs>
          <w:tab w:val="left" w:pos="5103"/>
        </w:tabs>
        <w:spacing w:after="0"/>
        <w:rPr>
          <w:noProof/>
        </w:rPr>
      </w:pPr>
    </w:p>
    <w:p w14:paraId="5D26A02A" w14:textId="4CBC0782" w:rsidR="00482E88" w:rsidRPr="007663CA" w:rsidRDefault="00482E88" w:rsidP="00482E88">
      <w:pPr>
        <w:spacing w:after="240"/>
        <w:rPr>
          <w:noProof/>
        </w:rPr>
      </w:pPr>
      <w:r w:rsidRPr="007663CA">
        <w:rPr>
          <w:rFonts w:eastAsia="Calibri"/>
          <w:noProof/>
        </w:rPr>
        <w:t xml:space="preserve">There is a clear difference between the target options in terms of the importance of novel technologies. Option 3 is accompanied by faster </w:t>
      </w:r>
      <w:r>
        <w:rPr>
          <w:rFonts w:eastAsia="Calibri"/>
          <w:noProof/>
        </w:rPr>
        <w:t xml:space="preserve">investments for </w:t>
      </w:r>
      <w:r w:rsidRPr="007663CA">
        <w:rPr>
          <w:rFonts w:eastAsia="Calibri"/>
          <w:noProof/>
        </w:rPr>
        <w:t xml:space="preserve">deployment of </w:t>
      </w:r>
      <w:r>
        <w:rPr>
          <w:rFonts w:eastAsia="Calibri"/>
          <w:noProof/>
        </w:rPr>
        <w:t xml:space="preserve">novel </w:t>
      </w:r>
      <w:r w:rsidRPr="007663CA">
        <w:rPr>
          <w:rFonts w:eastAsia="Calibri"/>
          <w:noProof/>
        </w:rPr>
        <w:t>low carbon technologies such as hydrogen production by electrolysis, carbon capture</w:t>
      </w:r>
      <w:r>
        <w:rPr>
          <w:rFonts w:eastAsia="Calibri"/>
          <w:noProof/>
        </w:rPr>
        <w:t xml:space="preserve"> and use</w:t>
      </w:r>
      <w:r w:rsidRPr="007663CA">
        <w:rPr>
          <w:rFonts w:eastAsia="Calibri"/>
          <w:noProof/>
        </w:rPr>
        <w:t xml:space="preserve"> and industrial carbon removals between 2031 and 2040 than </w:t>
      </w:r>
      <w:r>
        <w:rPr>
          <w:rFonts w:eastAsia="Calibri"/>
          <w:noProof/>
        </w:rPr>
        <w:t xml:space="preserve">in </w:t>
      </w:r>
      <w:r w:rsidRPr="007663CA">
        <w:rPr>
          <w:rFonts w:eastAsia="Calibri"/>
          <w:noProof/>
        </w:rPr>
        <w:t xml:space="preserve">Option 2. </w:t>
      </w:r>
      <w:r w:rsidRPr="007663CA">
        <w:rPr>
          <w:noProof/>
        </w:rPr>
        <w:t xml:space="preserve">Option 1 largely leaves the deployment of new technologies to 2041-2050, </w:t>
      </w:r>
      <w:r>
        <w:rPr>
          <w:noProof/>
        </w:rPr>
        <w:t>and therefore</w:t>
      </w:r>
      <w:r w:rsidRPr="007663CA">
        <w:rPr>
          <w:noProof/>
        </w:rPr>
        <w:t xml:space="preserve"> risks not reaching climate neutrality by 2050. Option 3 </w:t>
      </w:r>
      <w:r>
        <w:rPr>
          <w:noProof/>
        </w:rPr>
        <w:t>anticipates</w:t>
      </w:r>
      <w:r w:rsidRPr="007663CA">
        <w:rPr>
          <w:noProof/>
        </w:rPr>
        <w:t xml:space="preserve"> the large amount of carbon removals that is needed to reach climate neutrality by 2050 and </w:t>
      </w:r>
      <w:r>
        <w:rPr>
          <w:noProof/>
        </w:rPr>
        <w:t>to</w:t>
      </w:r>
      <w:r w:rsidRPr="007663CA">
        <w:rPr>
          <w:noProof/>
        </w:rPr>
        <w:t xml:space="preserve"> deliver net negative emissions beyond. </w:t>
      </w:r>
    </w:p>
    <w:p w14:paraId="2DDB5F53" w14:textId="6478E934" w:rsidR="00482E88" w:rsidRPr="007663CA" w:rsidRDefault="00482E88" w:rsidP="00482E88">
      <w:pPr>
        <w:spacing w:after="240"/>
        <w:rPr>
          <w:noProof/>
        </w:rPr>
      </w:pPr>
      <w:r w:rsidRPr="007663CA">
        <w:rPr>
          <w:rFonts w:eastAsia="Times New Roman"/>
          <w:noProof/>
        </w:rPr>
        <w:t xml:space="preserve">Option 3 leads to the lowest GHG budget for the EU, with net cumulative GHG emissions </w:t>
      </w:r>
      <w:r w:rsidRPr="007663CA">
        <w:rPr>
          <w:noProof/>
        </w:rPr>
        <w:t xml:space="preserve">(the indicative GHG budget) </w:t>
      </w:r>
      <w:r w:rsidRPr="007663CA">
        <w:rPr>
          <w:rFonts w:eastAsia="Times New Roman"/>
          <w:noProof/>
        </w:rPr>
        <w:t xml:space="preserve">of </w:t>
      </w:r>
      <w:r w:rsidRPr="007663CA">
        <w:rPr>
          <w:noProof/>
        </w:rPr>
        <w:t>16 GtCO</w:t>
      </w:r>
      <w:r w:rsidRPr="008D390A">
        <w:rPr>
          <w:noProof/>
          <w:vertAlign w:val="subscript"/>
        </w:rPr>
        <w:t>2</w:t>
      </w:r>
      <w:r w:rsidRPr="007663CA">
        <w:rPr>
          <w:noProof/>
        </w:rPr>
        <w:t xml:space="preserve">-eq </w:t>
      </w:r>
      <w:r w:rsidRPr="007663CA">
        <w:rPr>
          <w:rFonts w:eastAsia="Times New Roman"/>
          <w:noProof/>
        </w:rPr>
        <w:t>for 2030-2050</w:t>
      </w:r>
      <w:r w:rsidRPr="007663CA">
        <w:rPr>
          <w:noProof/>
        </w:rPr>
        <w:t>. It is</w:t>
      </w:r>
      <w:r w:rsidRPr="007663CA">
        <w:rPr>
          <w:rFonts w:eastAsia="Times New Roman"/>
          <w:noProof/>
        </w:rPr>
        <w:t xml:space="preserve"> the only option that corresponds to the advice of the ESABCC </w:t>
      </w:r>
      <w:r w:rsidRPr="007663CA">
        <w:rPr>
          <w:noProof/>
        </w:rPr>
        <w:t>(</w:t>
      </w:r>
      <w:r w:rsidRPr="007663CA">
        <w:rPr>
          <w:noProof/>
          <w:vertAlign w:val="superscript"/>
        </w:rPr>
        <w:footnoteReference w:id="11"/>
      </w:r>
      <w:r w:rsidRPr="007663CA">
        <w:rPr>
          <w:noProof/>
        </w:rPr>
        <w:t>)</w:t>
      </w:r>
      <w:r w:rsidRPr="007663CA">
        <w:rPr>
          <w:rFonts w:eastAsia="Times New Roman"/>
          <w:noProof/>
        </w:rPr>
        <w:t>, minimises the total GHG emissions we put into the atmosphere</w:t>
      </w:r>
      <w:r>
        <w:rPr>
          <w:rFonts w:eastAsia="Times New Roman"/>
          <w:noProof/>
        </w:rPr>
        <w:t xml:space="preserve"> and </w:t>
      </w:r>
      <w:r w:rsidRPr="007663CA">
        <w:rPr>
          <w:rFonts w:eastAsia="Times New Roman"/>
          <w:noProof/>
        </w:rPr>
        <w:t>is in line with the provisions of European Climate Law to present a GHG budget that does not put at risk the EU’s commitments under the Paris Agreement. With the remaining global carbon budget (</w:t>
      </w:r>
      <w:r w:rsidRPr="007663CA">
        <w:rPr>
          <w:rStyle w:val="FootnoteReference"/>
          <w:rFonts w:eastAsia="Times New Roman"/>
          <w:noProof/>
        </w:rPr>
        <w:footnoteReference w:id="12"/>
      </w:r>
      <w:r w:rsidRPr="007663CA">
        <w:rPr>
          <w:rFonts w:eastAsia="Times New Roman"/>
          <w:noProof/>
        </w:rPr>
        <w:t xml:space="preserve">) shrinking fast, it is essential that all parties minimise their </w:t>
      </w:r>
      <w:r>
        <w:rPr>
          <w:rFonts w:eastAsia="Times New Roman"/>
          <w:noProof/>
        </w:rPr>
        <w:t xml:space="preserve">own </w:t>
      </w:r>
      <w:r w:rsidRPr="007663CA">
        <w:rPr>
          <w:rFonts w:eastAsia="Times New Roman"/>
          <w:noProof/>
        </w:rPr>
        <w:t>cumulative emissions. Setting the EU on this pathway as early as possible will make this transition cheaper and more predictable</w:t>
      </w:r>
      <w:r>
        <w:rPr>
          <w:rFonts w:eastAsia="Times New Roman"/>
          <w:noProof/>
        </w:rPr>
        <w:t xml:space="preserve">. </w:t>
      </w:r>
      <w:r w:rsidRPr="007663CA">
        <w:rPr>
          <w:noProof/>
        </w:rPr>
        <w:t xml:space="preserve">The more climate action is delayed, the greater the human and economic costs and the greater the need to fund restoration and adaptation, drawing resources from the EU economy. </w:t>
      </w:r>
    </w:p>
    <w:p w14:paraId="53E4B47D" w14:textId="79661148" w:rsidR="00482E88" w:rsidRDefault="00482E88" w:rsidP="00482E88">
      <w:pPr>
        <w:rPr>
          <w:noProof/>
        </w:rPr>
      </w:pPr>
      <w:r w:rsidRPr="5A178A04">
        <w:rPr>
          <w:rFonts w:eastAsia="Calibri"/>
          <w:noProof/>
        </w:rPr>
        <w:t>All options feature a shift in total costs from operational (linked to fossil fuel purchases) to capital costs. Investment needs for 2031-2050 are similar across options, with Option 3 requiring higher annual investment needs in 2031-2040 than Options 1 and 2, but then lower in 2041-2050. However, with the exception of energy-intensive industries, the differences between Options 2 and 3 in terms of resulting total energy system cost, GDP and competitiveness on global export shares remains limited. Option 3</w:t>
      </w:r>
      <w:r>
        <w:rPr>
          <w:noProof/>
        </w:rPr>
        <w:t xml:space="preserve"> sets a clear transition path away from fossil fuels as called for by COP28, providing the greatest benefits in terms of energy independence and enhanced protection against fossil fuel price shocks. It strengthens the EU’s open strategic autonomy in the highly volatile international context where dependence on fossil fuel imports is a risk for the security of the EU and its economic stability. </w:t>
      </w:r>
    </w:p>
    <w:p w14:paraId="07ED083D" w14:textId="1470B699" w:rsidR="00482E88" w:rsidRPr="007663CA" w:rsidRDefault="00482E88" w:rsidP="00482E88">
      <w:pPr>
        <w:rPr>
          <w:noProof/>
        </w:rPr>
      </w:pPr>
      <w:r w:rsidRPr="007663CA">
        <w:rPr>
          <w:noProof/>
        </w:rPr>
        <w:t xml:space="preserve">The </w:t>
      </w:r>
      <w:r>
        <w:rPr>
          <w:noProof/>
        </w:rPr>
        <w:t xml:space="preserve">recommended </w:t>
      </w:r>
      <w:r w:rsidRPr="007663CA">
        <w:rPr>
          <w:noProof/>
        </w:rPr>
        <w:t xml:space="preserve">target </w:t>
      </w:r>
      <w:r>
        <w:rPr>
          <w:noProof/>
        </w:rPr>
        <w:t>require</w:t>
      </w:r>
      <w:r w:rsidRPr="007663CA">
        <w:rPr>
          <w:noProof/>
        </w:rPr>
        <w:t xml:space="preserve">s a rapid deployment of </w:t>
      </w:r>
      <w:r>
        <w:rPr>
          <w:noProof/>
        </w:rPr>
        <w:t xml:space="preserve">zero and </w:t>
      </w:r>
      <w:r w:rsidRPr="007663CA">
        <w:rPr>
          <w:noProof/>
        </w:rPr>
        <w:t xml:space="preserve">low carbon technologies by 2040, creating a large domestic market for clean tech manufacturers, incentivising </w:t>
      </w:r>
      <w:r>
        <w:rPr>
          <w:noProof/>
        </w:rPr>
        <w:t>research and</w:t>
      </w:r>
      <w:r w:rsidRPr="007663CA">
        <w:rPr>
          <w:noProof/>
        </w:rPr>
        <w:t xml:space="preserve"> innovation and the creation of a strong European industrial basis, which will place the EU </w:t>
      </w:r>
      <w:r>
        <w:rPr>
          <w:noProof/>
        </w:rPr>
        <w:t>in</w:t>
      </w:r>
      <w:r w:rsidRPr="007663CA">
        <w:rPr>
          <w:noProof/>
        </w:rPr>
        <w:t xml:space="preserve"> a leading </w:t>
      </w:r>
      <w:r w:rsidRPr="00672E01">
        <w:rPr>
          <w:noProof/>
        </w:rPr>
        <w:t>position in the global clean technology race rather than delaying action to the last decade to 2050. How</w:t>
      </w:r>
      <w:r w:rsidRPr="007663CA">
        <w:rPr>
          <w:noProof/>
        </w:rPr>
        <w:t>ever, with more action in the decade 2031-2040, Option 3 also involves moderately higher needs for raw materials (and less in the following decade), and</w:t>
      </w:r>
      <w:r>
        <w:rPr>
          <w:noProof/>
        </w:rPr>
        <w:t>,</w:t>
      </w:r>
      <w:r w:rsidRPr="007663CA">
        <w:rPr>
          <w:noProof/>
        </w:rPr>
        <w:t xml:space="preserve"> if novel technologies are not deployed fast enough</w:t>
      </w:r>
      <w:r>
        <w:rPr>
          <w:noProof/>
        </w:rPr>
        <w:t>,</w:t>
      </w:r>
      <w:r w:rsidRPr="007663CA">
        <w:rPr>
          <w:noProof/>
        </w:rPr>
        <w:t xml:space="preserve"> a higher risk of potential environmental trade-offs notably in terms of land use and role of biomass in the energy system. </w:t>
      </w:r>
    </w:p>
    <w:p w14:paraId="2B61C40F" w14:textId="77777777" w:rsidR="00482E88" w:rsidRDefault="00482E88" w:rsidP="00482E88">
      <w:pPr>
        <w:spacing w:after="240" w:line="240" w:lineRule="auto"/>
        <w:rPr>
          <w:rFonts w:eastAsia="Calibri"/>
          <w:noProof/>
        </w:rPr>
      </w:pPr>
      <w:r w:rsidRPr="007663CA">
        <w:rPr>
          <w:rFonts w:eastAsia="Calibri"/>
          <w:noProof/>
        </w:rPr>
        <w:t xml:space="preserve">A target of </w:t>
      </w:r>
      <w:r>
        <w:rPr>
          <w:rFonts w:eastAsia="Calibri"/>
          <w:noProof/>
        </w:rPr>
        <w:t>90%</w:t>
      </w:r>
      <w:r w:rsidRPr="007663CA">
        <w:rPr>
          <w:rFonts w:eastAsia="Calibri"/>
          <w:noProof/>
        </w:rPr>
        <w:t xml:space="preserve"> will require greater focus and effort to ensure a just transition than for less ambitious target options, as the transition is somewhat accelerated. While the difference across options in costs for households is </w:t>
      </w:r>
      <w:r>
        <w:rPr>
          <w:rFonts w:eastAsia="Calibri"/>
          <w:noProof/>
        </w:rPr>
        <w:t>limited (notably thanks to higher energy efficiency in Option 3 that limits energy purchases)</w:t>
      </w:r>
      <w:r w:rsidRPr="007663CA">
        <w:rPr>
          <w:rFonts w:eastAsia="Calibri"/>
          <w:noProof/>
        </w:rPr>
        <w:t xml:space="preserve">, the post-2030 policy framework should include adequate policy measures </w:t>
      </w:r>
      <w:r w:rsidRPr="007B14E3">
        <w:rPr>
          <w:rFonts w:eastAsia="Calibri"/>
          <w:noProof/>
        </w:rPr>
        <w:t>to ensure affordable energy prices and access to decarbonised solutions</w:t>
      </w:r>
      <w:r>
        <w:rPr>
          <w:rFonts w:eastAsia="Calibri"/>
          <w:noProof/>
        </w:rPr>
        <w:t>. R</w:t>
      </w:r>
      <w:r w:rsidRPr="007663CA">
        <w:rPr>
          <w:rFonts w:eastAsia="Calibri"/>
          <w:noProof/>
        </w:rPr>
        <w:t xml:space="preserve">edistributive </w:t>
      </w:r>
      <w:r>
        <w:rPr>
          <w:rFonts w:eastAsia="Calibri"/>
          <w:noProof/>
        </w:rPr>
        <w:t>measures</w:t>
      </w:r>
      <w:r w:rsidRPr="007663CA">
        <w:rPr>
          <w:rFonts w:eastAsia="Calibri"/>
          <w:noProof/>
        </w:rPr>
        <w:t xml:space="preserve"> </w:t>
      </w:r>
      <w:r w:rsidRPr="007B14E3">
        <w:rPr>
          <w:rFonts w:eastAsia="Calibri"/>
          <w:noProof/>
        </w:rPr>
        <w:t>will be essential</w:t>
      </w:r>
      <w:r w:rsidRPr="007663CA">
        <w:rPr>
          <w:rFonts w:eastAsia="Calibri"/>
          <w:noProof/>
        </w:rPr>
        <w:t xml:space="preserve"> to address social impacts</w:t>
      </w:r>
      <w:r w:rsidRPr="007B14E3">
        <w:rPr>
          <w:noProof/>
        </w:rPr>
        <w:t xml:space="preserve"> </w:t>
      </w:r>
      <w:r w:rsidRPr="007B14E3">
        <w:rPr>
          <w:rFonts w:eastAsia="Calibri"/>
          <w:noProof/>
        </w:rPr>
        <w:t>so that no one is left behind</w:t>
      </w:r>
      <w:r w:rsidRPr="007663CA">
        <w:rPr>
          <w:rFonts w:eastAsia="Calibri"/>
          <w:noProof/>
        </w:rPr>
        <w:t xml:space="preserve">.  </w:t>
      </w:r>
    </w:p>
    <w:p w14:paraId="60AB3A41" w14:textId="77777777" w:rsidR="00482E88" w:rsidRDefault="00482E88" w:rsidP="00482E88">
      <w:pPr>
        <w:spacing w:before="120" w:after="240" w:line="240" w:lineRule="auto"/>
        <w:rPr>
          <w:rFonts w:eastAsia="Calibri"/>
          <w:noProof/>
          <w:color w:val="000000" w:themeColor="text1"/>
        </w:rPr>
      </w:pPr>
    </w:p>
    <w:tbl>
      <w:tblPr>
        <w:tblStyle w:val="TableGrid"/>
        <w:tblW w:w="0" w:type="auto"/>
        <w:tblLook w:val="04A0" w:firstRow="1" w:lastRow="0" w:firstColumn="1" w:lastColumn="0" w:noHBand="0" w:noVBand="1"/>
      </w:tblPr>
      <w:tblGrid>
        <w:gridCol w:w="9242"/>
      </w:tblGrid>
      <w:tr w:rsidR="00482E88" w:rsidRPr="007663CA" w14:paraId="0ADA4E7D" w14:textId="77777777" w:rsidTr="002205E6">
        <w:tc>
          <w:tcPr>
            <w:tcW w:w="9242" w:type="dxa"/>
          </w:tcPr>
          <w:p w14:paraId="23E6C268" w14:textId="77777777" w:rsidR="00482E88" w:rsidRPr="007663CA" w:rsidRDefault="00482E88" w:rsidP="002205E6">
            <w:pPr>
              <w:spacing w:after="240"/>
              <w:jc w:val="center"/>
              <w:rPr>
                <w:b/>
                <w:bCs/>
                <w:noProof/>
              </w:rPr>
            </w:pPr>
            <w:r w:rsidRPr="007663CA">
              <w:rPr>
                <w:b/>
                <w:noProof/>
              </w:rPr>
              <w:t>How the target options compare</w:t>
            </w:r>
          </w:p>
          <w:p w14:paraId="66BCCDBF" w14:textId="77777777" w:rsidR="00482E88" w:rsidRPr="007663CA" w:rsidRDefault="00482E88" w:rsidP="002205E6">
            <w:pPr>
              <w:rPr>
                <w:noProof/>
              </w:rPr>
            </w:pPr>
            <w:r w:rsidRPr="007663CA">
              <w:rPr>
                <w:noProof/>
                <w:u w:val="single"/>
              </w:rPr>
              <w:t>Investments and costs</w:t>
            </w:r>
          </w:p>
          <w:p w14:paraId="742DFA8A" w14:textId="77777777" w:rsidR="00482E88" w:rsidRPr="007663CA" w:rsidRDefault="00482E88" w:rsidP="002205E6">
            <w:pPr>
              <w:rPr>
                <w:noProof/>
              </w:rPr>
            </w:pPr>
            <w:r w:rsidRPr="007663CA">
              <w:rPr>
                <w:noProof/>
              </w:rPr>
              <w:t xml:space="preserve">All options require a similar level of investment over 2031-2050 and entail the redirection of resources that would otherwise, in the absence of action, also need to be invested in more carbon intensive technologies in order to provide for the economy’s energy needs. Energy system investment needs amount to close to €660 billion (equivalent </w:t>
            </w:r>
            <w:r w:rsidRPr="002A12CF">
              <w:rPr>
                <w:noProof/>
              </w:rPr>
              <w:t>to 3.2%</w:t>
            </w:r>
            <w:r w:rsidRPr="007663CA">
              <w:rPr>
                <w:noProof/>
              </w:rPr>
              <w:t xml:space="preserve"> of GDP) per annum on average over the entire period (against €250 billion over 2011-2020, </w:t>
            </w:r>
            <w:r w:rsidRPr="00926F64">
              <w:rPr>
                <w:noProof/>
              </w:rPr>
              <w:t>or 1.7% of GDP</w:t>
            </w:r>
            <w:r w:rsidRPr="007663CA">
              <w:rPr>
                <w:noProof/>
              </w:rPr>
              <w:t xml:space="preserve">, a decade with relatively low investments in the energy system), </w:t>
            </w:r>
            <w:r>
              <w:rPr>
                <w:noProof/>
              </w:rPr>
              <w:t>and</w:t>
            </w:r>
            <w:r w:rsidRPr="007663CA">
              <w:rPr>
                <w:noProof/>
              </w:rPr>
              <w:t xml:space="preserve"> </w:t>
            </w:r>
            <w:r>
              <w:rPr>
                <w:noProof/>
              </w:rPr>
              <w:t xml:space="preserve">yearly </w:t>
            </w:r>
            <w:r w:rsidRPr="007663CA">
              <w:rPr>
                <w:noProof/>
              </w:rPr>
              <w:t>spending</w:t>
            </w:r>
            <w:r>
              <w:rPr>
                <w:noProof/>
              </w:rPr>
              <w:t>s</w:t>
            </w:r>
            <w:r w:rsidRPr="007663CA">
              <w:rPr>
                <w:noProof/>
              </w:rPr>
              <w:t xml:space="preserve"> in transport(</w:t>
            </w:r>
            <w:r w:rsidRPr="007663CA">
              <w:rPr>
                <w:rStyle w:val="FootnoteReference"/>
                <w:noProof/>
              </w:rPr>
              <w:footnoteReference w:id="13"/>
            </w:r>
            <w:r w:rsidRPr="007663CA">
              <w:rPr>
                <w:noProof/>
              </w:rPr>
              <w:t xml:space="preserve">) </w:t>
            </w:r>
            <w:r>
              <w:rPr>
                <w:noProof/>
              </w:rPr>
              <w:t>to</w:t>
            </w:r>
            <w:r w:rsidRPr="007663CA">
              <w:rPr>
                <w:noProof/>
              </w:rPr>
              <w:t xml:space="preserve"> about €870 billion (equivalent to 4.</w:t>
            </w:r>
            <w:r>
              <w:rPr>
                <w:noProof/>
              </w:rPr>
              <w:t>2</w:t>
            </w:r>
            <w:r w:rsidRPr="007663CA">
              <w:rPr>
                <w:noProof/>
              </w:rPr>
              <w:t xml:space="preserve">% of GDP, a similar proportion of GDP as in 2011-2020). Option 3 brings some energy system investments forward to the </w:t>
            </w:r>
            <w:r>
              <w:rPr>
                <w:noProof/>
              </w:rPr>
              <w:t>2030s</w:t>
            </w:r>
            <w:r w:rsidRPr="007663CA">
              <w:rPr>
                <w:noProof/>
              </w:rPr>
              <w:t xml:space="preserve">, with an average annual investment </w:t>
            </w:r>
            <w:r w:rsidRPr="002A12CF">
              <w:rPr>
                <w:noProof/>
              </w:rPr>
              <w:t>of €710 billion</w:t>
            </w:r>
            <w:r w:rsidRPr="007663CA">
              <w:rPr>
                <w:noProof/>
              </w:rPr>
              <w:t xml:space="preserve"> over 2031-2040. </w:t>
            </w:r>
          </w:p>
          <w:p w14:paraId="22F17E64" w14:textId="77777777" w:rsidR="00482E88" w:rsidRPr="007663CA" w:rsidRDefault="00482E88" w:rsidP="002205E6">
            <w:pPr>
              <w:rPr>
                <w:noProof/>
              </w:rPr>
            </w:pPr>
          </w:p>
          <w:p w14:paraId="258A785A" w14:textId="7236DCBA" w:rsidR="00482E88" w:rsidRPr="008D390A" w:rsidRDefault="00482E88" w:rsidP="002205E6">
            <w:pPr>
              <w:rPr>
                <w:noProof/>
                <w:highlight w:val="magenta"/>
              </w:rPr>
            </w:pPr>
            <w:r w:rsidRPr="007663CA">
              <w:rPr>
                <w:noProof/>
              </w:rPr>
              <w:t>The resulting energy system costs</w:t>
            </w:r>
            <w:r w:rsidR="0013325C">
              <w:rPr>
                <w:noProof/>
              </w:rPr>
              <w:t xml:space="preserve"> </w:t>
            </w:r>
            <w:r>
              <w:rPr>
                <w:noProof/>
              </w:rPr>
              <w:t>(</w:t>
            </w:r>
            <w:r>
              <w:rPr>
                <w:rStyle w:val="FootnoteReference"/>
                <w:noProof/>
              </w:rPr>
              <w:footnoteReference w:id="14"/>
            </w:r>
            <w:r>
              <w:rPr>
                <w:noProof/>
              </w:rPr>
              <w:t>)</w:t>
            </w:r>
            <w:r w:rsidRPr="007663CA">
              <w:rPr>
                <w:noProof/>
              </w:rPr>
              <w:t xml:space="preserve"> are also similar across options, ranging from </w:t>
            </w:r>
            <w:r>
              <w:rPr>
                <w:noProof/>
              </w:rPr>
              <w:t>12.4</w:t>
            </w:r>
            <w:r w:rsidRPr="007663CA">
              <w:rPr>
                <w:noProof/>
              </w:rPr>
              <w:t>% (Option 1)</w:t>
            </w:r>
            <w:r>
              <w:rPr>
                <w:noProof/>
              </w:rPr>
              <w:t>, 12.7% (Option 2)</w:t>
            </w:r>
            <w:r w:rsidRPr="007663CA">
              <w:rPr>
                <w:noProof/>
              </w:rPr>
              <w:t xml:space="preserve"> to </w:t>
            </w:r>
            <w:r>
              <w:rPr>
                <w:noProof/>
              </w:rPr>
              <w:t>12.9</w:t>
            </w:r>
            <w:r w:rsidRPr="007663CA">
              <w:rPr>
                <w:noProof/>
              </w:rPr>
              <w:t xml:space="preserve">% of GDP (Option 3) in 2031-2040, a moderate increase compared to the </w:t>
            </w:r>
            <w:r>
              <w:rPr>
                <w:noProof/>
              </w:rPr>
              <w:t>11.9</w:t>
            </w:r>
            <w:r w:rsidRPr="007663CA">
              <w:rPr>
                <w:noProof/>
              </w:rPr>
              <w:t xml:space="preserve">% of GDP spent in 2011-2020, and then fall to about </w:t>
            </w:r>
            <w:r>
              <w:rPr>
                <w:noProof/>
              </w:rPr>
              <w:t>11.3</w:t>
            </w:r>
            <w:r w:rsidRPr="007663CA">
              <w:rPr>
                <w:noProof/>
              </w:rPr>
              <w:t>% for 2041-2050. The cost of fossil fuel imports decreases significantly under Option 3, to less than 1.4% of GDP by 2040 and less than 0.6% in the last decade</w:t>
            </w:r>
            <w:r>
              <w:rPr>
                <w:noProof/>
              </w:rPr>
              <w:t xml:space="preserve"> (</w:t>
            </w:r>
            <w:r w:rsidRPr="007663CA">
              <w:rPr>
                <w:noProof/>
              </w:rPr>
              <w:t>against 2.3% over 2010-2021 and 4.1% in 2022 during the recent energy crisis</w:t>
            </w:r>
            <w:r>
              <w:rPr>
                <w:noProof/>
              </w:rPr>
              <w:t xml:space="preserve">), saving about </w:t>
            </w:r>
            <w:r w:rsidRPr="007663CA">
              <w:rPr>
                <w:noProof/>
              </w:rPr>
              <w:t>€</w:t>
            </w:r>
            <w:r>
              <w:rPr>
                <w:noProof/>
              </w:rPr>
              <w:t>2.8 trillion over 2031-2050</w:t>
            </w:r>
            <w:r w:rsidRPr="007663CA">
              <w:rPr>
                <w:noProof/>
              </w:rPr>
              <w:t>.</w:t>
            </w:r>
          </w:p>
          <w:p w14:paraId="4C37ED1C" w14:textId="77777777" w:rsidR="00482E88" w:rsidRPr="007663CA" w:rsidRDefault="00482E88" w:rsidP="002205E6">
            <w:pPr>
              <w:rPr>
                <w:noProof/>
              </w:rPr>
            </w:pPr>
          </w:p>
          <w:p w14:paraId="189031E7" w14:textId="754C4B74" w:rsidR="00482E88" w:rsidRPr="007663CA" w:rsidRDefault="00482E88" w:rsidP="002205E6">
            <w:pPr>
              <w:rPr>
                <w:noProof/>
              </w:rPr>
            </w:pPr>
            <w:r w:rsidRPr="007663CA">
              <w:rPr>
                <w:noProof/>
              </w:rPr>
              <w:t xml:space="preserve">The assessment </w:t>
            </w:r>
            <w:r>
              <w:rPr>
                <w:noProof/>
              </w:rPr>
              <w:t>also</w:t>
            </w:r>
            <w:r w:rsidRPr="007663CA">
              <w:rPr>
                <w:noProof/>
              </w:rPr>
              <w:t xml:space="preserve"> shows that </w:t>
            </w:r>
            <w:r>
              <w:rPr>
                <w:noProof/>
              </w:rPr>
              <w:t xml:space="preserve">progress, for example on the circular economy, </w:t>
            </w:r>
            <w:r w:rsidRPr="007663CA">
              <w:rPr>
                <w:noProof/>
              </w:rPr>
              <w:t xml:space="preserve"> can reduce investment needs </w:t>
            </w:r>
            <w:r>
              <w:rPr>
                <w:noProof/>
              </w:rPr>
              <w:t xml:space="preserve">in the energy system </w:t>
            </w:r>
            <w:r w:rsidRPr="007663CA">
              <w:rPr>
                <w:noProof/>
              </w:rPr>
              <w:t xml:space="preserve">by about </w:t>
            </w:r>
            <w:r>
              <w:rPr>
                <w:noProof/>
              </w:rPr>
              <w:t>7</w:t>
            </w:r>
            <w:r w:rsidRPr="007663CA">
              <w:rPr>
                <w:noProof/>
              </w:rPr>
              <w:t>% over 2031-2050 (representing yearly savings of €45 billion)</w:t>
            </w:r>
            <w:r>
              <w:rPr>
                <w:noProof/>
              </w:rPr>
              <w:t xml:space="preserve"> and spendings in transport by about 9% (</w:t>
            </w:r>
            <w:r w:rsidRPr="007663CA">
              <w:rPr>
                <w:noProof/>
              </w:rPr>
              <w:t>€</w:t>
            </w:r>
            <w:r>
              <w:rPr>
                <w:noProof/>
              </w:rPr>
              <w:t>127</w:t>
            </w:r>
            <w:r w:rsidRPr="007663CA">
              <w:rPr>
                <w:noProof/>
              </w:rPr>
              <w:t xml:space="preserve"> billion</w:t>
            </w:r>
            <w:r>
              <w:rPr>
                <w:noProof/>
              </w:rPr>
              <w:t>)</w:t>
            </w:r>
            <w:r w:rsidRPr="007663CA">
              <w:rPr>
                <w:noProof/>
              </w:rPr>
              <w:t xml:space="preserve">. This leads to lower energy system costs of </w:t>
            </w:r>
            <w:r>
              <w:rPr>
                <w:noProof/>
              </w:rPr>
              <w:t>12.6</w:t>
            </w:r>
            <w:r w:rsidRPr="007663CA">
              <w:rPr>
                <w:noProof/>
              </w:rPr>
              <w:t xml:space="preserve">% of GDP in 2031-2040 and </w:t>
            </w:r>
            <w:r>
              <w:rPr>
                <w:noProof/>
              </w:rPr>
              <w:t>10.8</w:t>
            </w:r>
            <w:r w:rsidRPr="007663CA">
              <w:rPr>
                <w:noProof/>
              </w:rPr>
              <w:t xml:space="preserve">% in 2041-2050, </w:t>
            </w:r>
            <w:r w:rsidRPr="0016293D">
              <w:rPr>
                <w:noProof/>
              </w:rPr>
              <w:t xml:space="preserve">substantially </w:t>
            </w:r>
            <w:r w:rsidRPr="00772541">
              <w:rPr>
                <w:noProof/>
              </w:rPr>
              <w:t>lower than in 2011-2020.</w:t>
            </w:r>
          </w:p>
          <w:p w14:paraId="6ED71F84" w14:textId="77777777" w:rsidR="00482E88" w:rsidRPr="007663CA" w:rsidRDefault="00482E88" w:rsidP="002205E6">
            <w:pPr>
              <w:rPr>
                <w:noProof/>
                <w:u w:val="single"/>
              </w:rPr>
            </w:pPr>
          </w:p>
          <w:p w14:paraId="4DE0F86C" w14:textId="77777777" w:rsidR="00482E88" w:rsidRPr="007663CA" w:rsidRDefault="00482E88" w:rsidP="002205E6">
            <w:pPr>
              <w:rPr>
                <w:noProof/>
                <w:u w:val="single"/>
              </w:rPr>
            </w:pPr>
            <w:r w:rsidRPr="007663CA">
              <w:rPr>
                <w:noProof/>
                <w:u w:val="single"/>
              </w:rPr>
              <w:t>Environment</w:t>
            </w:r>
          </w:p>
          <w:p w14:paraId="4AA72F9C" w14:textId="77777777" w:rsidR="00482E88" w:rsidRPr="007663CA" w:rsidRDefault="00482E88" w:rsidP="002205E6">
            <w:pPr>
              <w:spacing w:after="240"/>
              <w:rPr>
                <w:noProof/>
              </w:rPr>
            </w:pPr>
            <w:r w:rsidRPr="007663CA">
              <w:rPr>
                <w:rFonts w:eastAsia="Calibri"/>
                <w:noProof/>
                <w:color w:val="000000" w:themeColor="text1"/>
              </w:rPr>
              <w:t xml:space="preserve">All three target options offer significant co-benefits, including improvements in air quality, </w:t>
            </w:r>
            <w:r>
              <w:rPr>
                <w:rFonts w:eastAsia="Calibri"/>
                <w:noProof/>
                <w:color w:val="000000" w:themeColor="text1"/>
              </w:rPr>
              <w:t>ecosystems</w:t>
            </w:r>
            <w:r w:rsidRPr="007663CA">
              <w:rPr>
                <w:rFonts w:eastAsia="Calibri"/>
                <w:noProof/>
                <w:color w:val="000000" w:themeColor="text1"/>
              </w:rPr>
              <w:t>, enhanced health, and reduced healthcare costs.</w:t>
            </w:r>
          </w:p>
        </w:tc>
      </w:tr>
    </w:tbl>
    <w:p w14:paraId="7401CA94" w14:textId="77777777" w:rsidR="00482E88" w:rsidRDefault="00482E88" w:rsidP="00482E88">
      <w:pPr>
        <w:spacing w:after="240"/>
        <w:rPr>
          <w:noProof/>
        </w:rPr>
      </w:pPr>
    </w:p>
    <w:p w14:paraId="03C58050" w14:textId="77777777" w:rsidR="00482E88" w:rsidRPr="007663CA" w:rsidRDefault="00482E88" w:rsidP="00482E88">
      <w:pPr>
        <w:pStyle w:val="Heading2"/>
        <w:rPr>
          <w:noProof/>
        </w:rPr>
      </w:pPr>
      <w:bookmarkStart w:id="11" w:name="_Toc158097093"/>
      <w:r w:rsidRPr="007663CA">
        <w:rPr>
          <w:noProof/>
        </w:rPr>
        <w:t>Cost of inaction</w:t>
      </w:r>
      <w:bookmarkEnd w:id="11"/>
    </w:p>
    <w:p w14:paraId="4AD829F2" w14:textId="39BA827F" w:rsidR="00482E88" w:rsidRDefault="00482E88" w:rsidP="00482E88">
      <w:pPr>
        <w:pStyle w:val="paragraph"/>
        <w:tabs>
          <w:tab w:val="left" w:pos="5103"/>
        </w:tabs>
        <w:spacing w:before="0" w:beforeAutospacing="0" w:after="240" w:afterAutospacing="0"/>
        <w:jc w:val="both"/>
        <w:textAlignment w:val="baseline"/>
        <w:rPr>
          <w:rStyle w:val="normaltextrun"/>
          <w:rFonts w:eastAsiaTheme="majorEastAsia"/>
          <w:noProof/>
        </w:rPr>
      </w:pPr>
      <w:r w:rsidRPr="5A178A04">
        <w:rPr>
          <w:rStyle w:val="normaltextrun"/>
          <w:rFonts w:eastAsiaTheme="majorEastAsia"/>
          <w:noProof/>
        </w:rPr>
        <w:t>The costs and human impacts of a changing climate are large and growing. Climate-related extreme events have risen between 1980 and 2022, causing 220 000 deaths and EUR 650 billion in economic losses over the period in the EU, of which about EUR 170 billion over the past 5 years only.(</w:t>
      </w:r>
      <w:r w:rsidRPr="5A178A04">
        <w:rPr>
          <w:rStyle w:val="FootnoteReference"/>
          <w:rFonts w:eastAsiaTheme="majorEastAsia"/>
          <w:noProof/>
        </w:rPr>
        <w:footnoteReference w:id="15"/>
      </w:r>
      <w:r w:rsidRPr="5A178A04">
        <w:rPr>
          <w:rStyle w:val="normaltextrun"/>
          <w:rFonts w:eastAsiaTheme="majorEastAsia"/>
          <w:noProof/>
        </w:rPr>
        <w:t>)</w:t>
      </w:r>
      <w:r>
        <w:rPr>
          <w:rStyle w:val="normaltextrun"/>
          <w:rFonts w:eastAsiaTheme="majorEastAsia"/>
          <w:noProof/>
        </w:rPr>
        <w:t xml:space="preserve"> As one of the consequences, in February 202</w:t>
      </w:r>
      <w:r w:rsidRPr="009E1F1D">
        <w:rPr>
          <w:rStyle w:val="normaltextrun"/>
          <w:rFonts w:eastAsiaTheme="majorEastAsia"/>
          <w:noProof/>
        </w:rPr>
        <w:t>4 it was</w:t>
      </w:r>
      <w:r>
        <w:rPr>
          <w:rStyle w:val="normaltextrun"/>
          <w:rFonts w:eastAsiaTheme="majorEastAsia"/>
          <w:noProof/>
        </w:rPr>
        <w:t xml:space="preserve"> decided to increase the EU’s </w:t>
      </w:r>
      <w:r>
        <w:rPr>
          <w:noProof/>
        </w:rPr>
        <w:t>Solidarity and Emergency Aid Reserve by EUR 1.5 billion for the period 2024-2027 (i.e. on top of the EUR 1.2</w:t>
      </w:r>
      <w:r w:rsidR="0013325C">
        <w:rPr>
          <w:noProof/>
        </w:rPr>
        <w:t xml:space="preserve"> billion</w:t>
      </w:r>
      <w:r>
        <w:rPr>
          <w:noProof/>
        </w:rPr>
        <w:t xml:space="preserve"> per year under the original MFF).</w:t>
      </w:r>
      <w:r w:rsidRPr="5A178A04">
        <w:rPr>
          <w:rStyle w:val="normaltextrun"/>
          <w:rFonts w:eastAsiaTheme="majorEastAsia"/>
          <w:noProof/>
        </w:rPr>
        <w:t xml:space="preserve"> It is further estimated that 61 000 lives were lost to heat in 2022, a figure that was only superseded by the heatwaves of 2003, which caused 70 000 deaths</w:t>
      </w:r>
      <w:r w:rsidR="0013325C">
        <w:rPr>
          <w:rStyle w:val="normaltextrun"/>
          <w:rFonts w:eastAsiaTheme="majorEastAsia"/>
          <w:noProof/>
        </w:rPr>
        <w:t xml:space="preserve"> </w:t>
      </w:r>
      <w:r w:rsidRPr="0013325C">
        <w:rPr>
          <w:rStyle w:val="normaltextrun"/>
          <w:rFonts w:eastAsiaTheme="majorEastAsia"/>
          <w:noProof/>
        </w:rPr>
        <w:t>(</w:t>
      </w:r>
      <w:r w:rsidRPr="0013325C">
        <w:rPr>
          <w:noProof/>
          <w:vertAlign w:val="superscript"/>
          <w:lang w:val="en-IE"/>
        </w:rPr>
        <w:footnoteReference w:id="16"/>
      </w:r>
      <w:r w:rsidRPr="5A178A04">
        <w:rPr>
          <w:rStyle w:val="normaltextrun"/>
          <w:rFonts w:eastAsiaTheme="majorEastAsia"/>
          <w:noProof/>
        </w:rPr>
        <w:t xml:space="preserve">). </w:t>
      </w:r>
      <w:r>
        <w:rPr>
          <w:rStyle w:val="normaltextrun"/>
          <w:rFonts w:eastAsiaTheme="majorEastAsia"/>
          <w:noProof/>
        </w:rPr>
        <w:t>These numbers might increase rapidly, since the</w:t>
      </w:r>
      <w:r w:rsidRPr="5A178A04">
        <w:rPr>
          <w:rStyle w:val="normaltextrun"/>
          <w:rFonts w:eastAsiaTheme="majorEastAsia"/>
          <w:noProof/>
        </w:rPr>
        <w:t xml:space="preserve"> compound effects of climate change, land use and environmental degradation can also affect health in multiple ways creating new opportunities for transmission of viral infections among previously geographically isolated species of wildlife and the transition of diseases from wild animals to humans</w:t>
      </w:r>
      <w:r>
        <w:rPr>
          <w:rStyle w:val="normaltextrun"/>
          <w:rFonts w:eastAsiaTheme="majorEastAsia"/>
          <w:noProof/>
        </w:rPr>
        <w:t>.</w:t>
      </w:r>
      <w:r w:rsidRPr="5A178A04">
        <w:rPr>
          <w:rStyle w:val="normaltextrun"/>
          <w:rFonts w:eastAsiaTheme="majorEastAsia"/>
          <w:noProof/>
        </w:rPr>
        <w:t xml:space="preserve"> In addition, climate change in combination with biodiversity loss is a significant driver of food insecurity.  We now face increasing risks of reaching irreversible climate tipping points, with unknown and potentially catastrophic consequences for societies, ecosystems and economies. </w:t>
      </w:r>
    </w:p>
    <w:p w14:paraId="61CDFB2F" w14:textId="77777777"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r w:rsidRPr="5A178A04">
        <w:rPr>
          <w:rStyle w:val="normaltextrun"/>
          <w:rFonts w:eastAsiaTheme="majorEastAsia"/>
          <w:noProof/>
        </w:rPr>
        <w:t>Inaction would lead to far larger and growing costs in the coming decades.</w:t>
      </w:r>
      <w:r w:rsidRPr="5A178A04">
        <w:rPr>
          <w:rStyle w:val="eop"/>
          <w:rFonts w:eastAsiaTheme="majorEastAsia"/>
          <w:noProof/>
        </w:rPr>
        <w:t xml:space="preserve"> Although estimates of the costs of extreme weather events are uncertain, the impact assessment estimates conservatively, </w:t>
      </w:r>
      <w:r w:rsidRPr="113EF862">
        <w:rPr>
          <w:rStyle w:val="eop"/>
          <w:rFonts w:eastAsiaTheme="majorEastAsia"/>
          <w:noProof/>
        </w:rPr>
        <w:t>without</w:t>
      </w:r>
      <w:r w:rsidRPr="5A178A04">
        <w:rPr>
          <w:rStyle w:val="eop"/>
          <w:rFonts w:eastAsiaTheme="majorEastAsia"/>
          <w:noProof/>
        </w:rPr>
        <w:t xml:space="preserve"> taking account of possible tipping points, that such costs could lower GDP by about 7% by the end of the century. </w:t>
      </w:r>
      <w:r w:rsidRPr="002A12CF">
        <w:rPr>
          <w:rStyle w:val="eop"/>
          <w:rFonts w:eastAsiaTheme="majorEastAsia"/>
          <w:noProof/>
        </w:rPr>
        <w:t>Over the</w:t>
      </w:r>
      <w:r w:rsidRPr="00A60373">
        <w:rPr>
          <w:rStyle w:val="eop"/>
          <w:rFonts w:eastAsiaTheme="majorEastAsia"/>
          <w:noProof/>
        </w:rPr>
        <w:t xml:space="preserve"> period 2031-2050, the cumulative additional GDP cost of a pathway leading to worse global warming could amount to EUR 2.4 trillion in the EU, compared to the costs under a pathway compatible with the 1.5°C objective of the Paris Agree</w:t>
      </w:r>
      <w:r w:rsidRPr="002056FF">
        <w:rPr>
          <w:rStyle w:val="eop"/>
          <w:rFonts w:eastAsiaTheme="majorEastAsia"/>
          <w:noProof/>
        </w:rPr>
        <w:t>ment. (</w:t>
      </w:r>
      <w:r w:rsidRPr="002056FF">
        <w:rPr>
          <w:rStyle w:val="FootnoteReference"/>
          <w:rFonts w:eastAsiaTheme="majorEastAsia"/>
          <w:noProof/>
        </w:rPr>
        <w:footnoteReference w:id="17"/>
      </w:r>
      <w:r w:rsidRPr="002056FF">
        <w:rPr>
          <w:rStyle w:val="eop"/>
          <w:rFonts w:eastAsiaTheme="majorEastAsia"/>
          <w:noProof/>
        </w:rPr>
        <w:t>)</w:t>
      </w:r>
      <w:r>
        <w:rPr>
          <w:rStyle w:val="eop"/>
          <w:rFonts w:eastAsiaTheme="majorEastAsia"/>
          <w:noProof/>
        </w:rPr>
        <w:t xml:space="preserve"> </w:t>
      </w:r>
      <w:r w:rsidRPr="5A178A04">
        <w:rPr>
          <w:rStyle w:val="eop"/>
          <w:rFonts w:eastAsiaTheme="majorEastAsia"/>
          <w:noProof/>
        </w:rPr>
        <w:t xml:space="preserve"> </w:t>
      </w:r>
    </w:p>
    <w:p w14:paraId="362A24D9" w14:textId="77777777"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p>
    <w:p w14:paraId="09D46C75" w14:textId="6B6132C5"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r w:rsidRPr="007663CA">
        <w:rPr>
          <w:rStyle w:val="normaltextrun"/>
          <w:rFonts w:eastAsiaTheme="majorEastAsia"/>
          <w:noProof/>
        </w:rPr>
        <w:t xml:space="preserve">While the challenges linked to the transition to climate neutrality should not be underestimated, the process itself will generate major new opportunities </w:t>
      </w:r>
      <w:r>
        <w:rPr>
          <w:rStyle w:val="normaltextrun"/>
          <w:rFonts w:eastAsiaTheme="majorEastAsia"/>
          <w:noProof/>
        </w:rPr>
        <w:t>and secure</w:t>
      </w:r>
      <w:r w:rsidRPr="007663CA">
        <w:rPr>
          <w:rStyle w:val="normaltextrun"/>
          <w:rFonts w:eastAsiaTheme="majorEastAsia"/>
          <w:noProof/>
        </w:rPr>
        <w:t xml:space="preserve"> a sustainable future for all. </w:t>
      </w:r>
      <w:r w:rsidRPr="007663CA">
        <w:rPr>
          <w:rStyle w:val="eop"/>
          <w:rFonts w:eastAsiaTheme="majorEastAsia"/>
          <w:noProof/>
        </w:rPr>
        <w:t xml:space="preserve">The impact assessment estimates that achieving the </w:t>
      </w:r>
      <w:r>
        <w:rPr>
          <w:rStyle w:val="eop"/>
          <w:rFonts w:eastAsiaTheme="majorEastAsia"/>
          <w:noProof/>
        </w:rPr>
        <w:t>90%</w:t>
      </w:r>
      <w:r w:rsidRPr="007663CA">
        <w:rPr>
          <w:rStyle w:val="eop"/>
          <w:rFonts w:eastAsiaTheme="majorEastAsia"/>
          <w:noProof/>
        </w:rPr>
        <w:t xml:space="preserve"> target could reduce premature deaths due to air pollution from 466 000 per year in 2015 to 196 000 per year in 2040, with a related reduction in costs from about EUR 1 700 billion in 2015 to EUR 670 billion in 2040</w:t>
      </w:r>
      <w:r w:rsidR="0013325C">
        <w:rPr>
          <w:rStyle w:val="eop"/>
          <w:rFonts w:eastAsiaTheme="majorEastAsia"/>
          <w:noProof/>
        </w:rPr>
        <w:t xml:space="preserve"> </w:t>
      </w:r>
      <w:r>
        <w:rPr>
          <w:rStyle w:val="eop"/>
          <w:rFonts w:eastAsiaTheme="majorEastAsia"/>
          <w:noProof/>
        </w:rPr>
        <w:t>(</w:t>
      </w:r>
      <w:r>
        <w:rPr>
          <w:rStyle w:val="FootnoteReference"/>
          <w:rFonts w:eastAsiaTheme="majorEastAsia"/>
          <w:noProof/>
        </w:rPr>
        <w:footnoteReference w:id="18"/>
      </w:r>
      <w:r>
        <w:rPr>
          <w:rStyle w:val="eop"/>
          <w:rFonts w:eastAsiaTheme="majorEastAsia"/>
          <w:noProof/>
        </w:rPr>
        <w:t>).</w:t>
      </w:r>
      <w:r w:rsidRPr="007663CA">
        <w:rPr>
          <w:rStyle w:val="eop"/>
          <w:rFonts w:eastAsiaTheme="majorEastAsia"/>
          <w:noProof/>
        </w:rPr>
        <w:t xml:space="preserve"> </w:t>
      </w:r>
    </w:p>
    <w:p w14:paraId="35516CE4" w14:textId="77777777"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p>
    <w:p w14:paraId="0FCB3D00" w14:textId="77777777"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r>
        <w:rPr>
          <w:rStyle w:val="eop"/>
          <w:rFonts w:eastAsiaTheme="majorEastAsia"/>
          <w:noProof/>
        </w:rPr>
        <w:t>N</w:t>
      </w:r>
      <w:r w:rsidRPr="007663CA">
        <w:rPr>
          <w:rStyle w:val="eop"/>
          <w:rFonts w:eastAsiaTheme="majorEastAsia"/>
          <w:noProof/>
        </w:rPr>
        <w:t xml:space="preserve">et imports of fossil fuels would be reduced </w:t>
      </w:r>
      <w:r>
        <w:rPr>
          <w:rStyle w:val="eop"/>
          <w:rFonts w:eastAsiaTheme="majorEastAsia"/>
          <w:noProof/>
        </w:rPr>
        <w:t>while the economy will grow larger</w:t>
      </w:r>
      <w:r w:rsidRPr="007663CA">
        <w:rPr>
          <w:rStyle w:val="eop"/>
          <w:rFonts w:eastAsiaTheme="majorEastAsia"/>
          <w:noProof/>
        </w:rPr>
        <w:t xml:space="preserve">. The impact assessment estimates that the cost of stylised fossil fuel price shocks in terms of lost output and employment would be halved if they were to take place in a significantly decarbonised economy (as attained under </w:t>
      </w:r>
      <w:r>
        <w:rPr>
          <w:rStyle w:val="eop"/>
          <w:rFonts w:eastAsiaTheme="majorEastAsia"/>
          <w:noProof/>
        </w:rPr>
        <w:t>the 2040 climate</w:t>
      </w:r>
      <w:r w:rsidRPr="007663CA">
        <w:rPr>
          <w:rStyle w:val="eop"/>
          <w:rFonts w:eastAsiaTheme="majorEastAsia"/>
          <w:noProof/>
        </w:rPr>
        <w:t xml:space="preserve"> target). </w:t>
      </w:r>
    </w:p>
    <w:p w14:paraId="02EFD822" w14:textId="77777777" w:rsidR="00482E88" w:rsidRDefault="00482E88" w:rsidP="00482E88">
      <w:pPr>
        <w:pStyle w:val="paragraph"/>
        <w:tabs>
          <w:tab w:val="left" w:pos="5103"/>
        </w:tabs>
        <w:spacing w:before="0" w:beforeAutospacing="0" w:after="0" w:afterAutospacing="0"/>
        <w:jc w:val="both"/>
        <w:rPr>
          <w:rStyle w:val="eop"/>
          <w:rFonts w:eastAsiaTheme="majorEastAsia"/>
          <w:noProof/>
        </w:rPr>
      </w:pPr>
    </w:p>
    <w:p w14:paraId="1F00BD02" w14:textId="77777777" w:rsidR="00482E88" w:rsidRPr="00A60373"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p>
    <w:p w14:paraId="7A5FC539" w14:textId="77777777" w:rsidR="00482E88" w:rsidRPr="00A60373" w:rsidRDefault="00482E88" w:rsidP="00482E88">
      <w:pPr>
        <w:pStyle w:val="Heading1"/>
        <w:rPr>
          <w:rStyle w:val="eop"/>
          <w:noProof/>
        </w:rPr>
      </w:pPr>
      <w:bookmarkStart w:id="12" w:name="_Toc155286924"/>
      <w:bookmarkStart w:id="13" w:name="_Toc158097094"/>
      <w:r w:rsidRPr="00A60373">
        <w:rPr>
          <w:noProof/>
        </w:rPr>
        <w:t>Delivering the 2040 target</w:t>
      </w:r>
      <w:bookmarkEnd w:id="12"/>
      <w:bookmarkEnd w:id="13"/>
    </w:p>
    <w:p w14:paraId="471E1132" w14:textId="237E4959" w:rsidR="00482E88" w:rsidRDefault="00482E88" w:rsidP="00482E88">
      <w:pPr>
        <w:rPr>
          <w:noProof/>
        </w:rPr>
      </w:pPr>
      <w:r>
        <w:rPr>
          <w:noProof/>
        </w:rPr>
        <w:t xml:space="preserve">Delivering the 2040 target will depend on the full implementation of the 2030 climate and energy framework and calls for the development of a post-2030 policy </w:t>
      </w:r>
      <w:r w:rsidRPr="00A60373">
        <w:rPr>
          <w:noProof/>
        </w:rPr>
        <w:t>framework.</w:t>
      </w:r>
      <w:r>
        <w:rPr>
          <w:noProof/>
        </w:rPr>
        <w:t xml:space="preserve"> This must be complemented with a broad enabling framework for the two equally important objectives of the European Green Deal, namely just transition and competitive sustainability. This double focus will trigger the necessary investment decisions and mobilise finance, roll-out innovative technologies and ensure that all EU citizens and economic sectors can benefit from the transition and access affordable solutions.</w:t>
      </w:r>
    </w:p>
    <w:p w14:paraId="67867DCF" w14:textId="77777777" w:rsidR="00482E88" w:rsidRPr="008441CF" w:rsidRDefault="00482E88" w:rsidP="00482E88">
      <w:pPr>
        <w:pStyle w:val="Heading2"/>
        <w:rPr>
          <w:noProof/>
        </w:rPr>
      </w:pPr>
      <w:bookmarkStart w:id="14" w:name="_Toc158097095"/>
      <w:r w:rsidRPr="008441CF">
        <w:rPr>
          <w:noProof/>
        </w:rPr>
        <w:t>Implementing the 2030 policy framework</w:t>
      </w:r>
      <w:bookmarkEnd w:id="14"/>
    </w:p>
    <w:p w14:paraId="2D955574" w14:textId="77777777" w:rsidR="00482E88" w:rsidRDefault="00482E88" w:rsidP="00482E88">
      <w:pPr>
        <w:rPr>
          <w:noProof/>
        </w:rPr>
      </w:pPr>
      <w:r>
        <w:rPr>
          <w:noProof/>
        </w:rPr>
        <w:t>All efforts must be made to implement</w:t>
      </w:r>
      <w:r w:rsidRPr="007663CA">
        <w:rPr>
          <w:noProof/>
        </w:rPr>
        <w:t xml:space="preserve"> the 2030 energy and climate </w:t>
      </w:r>
      <w:r>
        <w:rPr>
          <w:noProof/>
        </w:rPr>
        <w:t>framework</w:t>
      </w:r>
      <w:r w:rsidRPr="00DC7B3D">
        <w:rPr>
          <w:noProof/>
        </w:rPr>
        <w:t xml:space="preserve"> as the stepping stone to reaching the 2040 target and climate neutrality in 2050</w:t>
      </w:r>
      <w:r w:rsidRPr="00772541">
        <w:rPr>
          <w:noProof/>
        </w:rPr>
        <w:t>, in line with the European Climate Law.</w:t>
      </w:r>
      <w:r w:rsidRPr="007663CA">
        <w:rPr>
          <w:noProof/>
        </w:rPr>
        <w:t xml:space="preserve"> The on-going update of the National Energy and Climate Plans (NECPs) is a key element in monitoring the progress towards the 2030 climate and energy targets. The initial assessment of the draft NECPs (</w:t>
      </w:r>
      <w:r w:rsidRPr="007663CA">
        <w:rPr>
          <w:rStyle w:val="FootnoteReference"/>
          <w:noProof/>
        </w:rPr>
        <w:footnoteReference w:id="19"/>
      </w:r>
      <w:r w:rsidRPr="007663CA">
        <w:rPr>
          <w:noProof/>
        </w:rPr>
        <w:t xml:space="preserve">) highlights the need for the increased level of ambition and </w:t>
      </w:r>
      <w:r>
        <w:rPr>
          <w:noProof/>
        </w:rPr>
        <w:t>improvements</w:t>
      </w:r>
      <w:r w:rsidRPr="007663CA">
        <w:rPr>
          <w:noProof/>
        </w:rPr>
        <w:t xml:space="preserve"> in the final submissions due from Member States by June 2024. The Commission</w:t>
      </w:r>
      <w:r w:rsidRPr="007663CA" w:rsidDel="00FA1849">
        <w:rPr>
          <w:noProof/>
        </w:rPr>
        <w:t xml:space="preserve"> </w:t>
      </w:r>
      <w:r w:rsidRPr="007663CA">
        <w:rPr>
          <w:noProof/>
        </w:rPr>
        <w:t xml:space="preserve">calls on Member States to take decisive measures in </w:t>
      </w:r>
      <w:r w:rsidRPr="00584C9E">
        <w:rPr>
          <w:noProof/>
        </w:rPr>
        <w:t xml:space="preserve">effectively </w:t>
      </w:r>
      <w:r w:rsidRPr="007663CA">
        <w:rPr>
          <w:noProof/>
        </w:rPr>
        <w:t xml:space="preserve">implementing the commonly agreed policies </w:t>
      </w:r>
      <w:r>
        <w:rPr>
          <w:noProof/>
        </w:rPr>
        <w:t xml:space="preserve">and legislation </w:t>
      </w:r>
      <w:r w:rsidRPr="007663CA">
        <w:rPr>
          <w:noProof/>
        </w:rPr>
        <w:t xml:space="preserve">and is ready to </w:t>
      </w:r>
      <w:r>
        <w:rPr>
          <w:noProof/>
        </w:rPr>
        <w:t>work</w:t>
      </w:r>
      <w:r w:rsidRPr="007663CA">
        <w:rPr>
          <w:noProof/>
        </w:rPr>
        <w:t xml:space="preserve"> with Member States, sectors and social partn</w:t>
      </w:r>
      <w:r w:rsidRPr="00AF2BA1">
        <w:rPr>
          <w:noProof/>
        </w:rPr>
        <w:t>ers to facilitate the necessary actions. Tailor-made expertise through the Commission’s Technical Support Instrument can help Member States undertake reforms supporting the implementation of the 2030 policy framework.</w:t>
      </w:r>
    </w:p>
    <w:p w14:paraId="54FC0228" w14:textId="247CB1DF" w:rsidR="0064336A" w:rsidRDefault="00482E88" w:rsidP="00482E88">
      <w:pPr>
        <w:pStyle w:val="Heading2"/>
        <w:rPr>
          <w:noProof/>
        </w:rPr>
      </w:pPr>
      <w:bookmarkStart w:id="15" w:name="_Toc158097096"/>
      <w:r>
        <w:rPr>
          <w:noProof/>
        </w:rPr>
        <w:t xml:space="preserve">An economy that delivers for </w:t>
      </w:r>
      <w:r w:rsidRPr="00AF2BA1">
        <w:rPr>
          <w:noProof/>
        </w:rPr>
        <w:t>people</w:t>
      </w:r>
      <w:bookmarkEnd w:id="15"/>
      <w:r w:rsidRPr="00AF2BA1">
        <w:rPr>
          <w:noProof/>
        </w:rPr>
        <w:t xml:space="preserve"> </w:t>
      </w:r>
    </w:p>
    <w:p w14:paraId="00F98818" w14:textId="1255C83E" w:rsidR="00482E88" w:rsidRPr="007663CA" w:rsidRDefault="00482E88" w:rsidP="00482E88">
      <w:pPr>
        <w:rPr>
          <w:noProof/>
        </w:rPr>
      </w:pPr>
      <w:r w:rsidRPr="007663CA">
        <w:rPr>
          <w:noProof/>
        </w:rPr>
        <w:t xml:space="preserve">EU citizens are at the heart of the Green </w:t>
      </w:r>
      <w:r w:rsidRPr="00826DC2">
        <w:rPr>
          <w:noProof/>
        </w:rPr>
        <w:t>Deal.</w:t>
      </w:r>
      <w:r w:rsidRPr="00826DC2">
        <w:rPr>
          <w:noProof/>
          <w:lang w:val="en-IE"/>
        </w:rPr>
        <w:t xml:space="preserve"> The</w:t>
      </w:r>
      <w:r>
        <w:rPr>
          <w:noProof/>
          <w:lang w:val="en-IE"/>
        </w:rPr>
        <w:t xml:space="preserve"> most vulnerable people,</w:t>
      </w:r>
      <w:r w:rsidRPr="00826DC2">
        <w:rPr>
          <w:noProof/>
          <w:lang w:val="en-IE"/>
        </w:rPr>
        <w:t xml:space="preserve"> such as </w:t>
      </w:r>
      <w:r>
        <w:rPr>
          <w:noProof/>
          <w:lang w:val="en-IE"/>
        </w:rPr>
        <w:t>those</w:t>
      </w:r>
      <w:r w:rsidRPr="00826DC2">
        <w:rPr>
          <w:noProof/>
          <w:lang w:val="en-IE"/>
        </w:rPr>
        <w:t xml:space="preserve"> with lower income</w:t>
      </w:r>
      <w:r>
        <w:rPr>
          <w:noProof/>
          <w:lang w:val="en-IE"/>
        </w:rPr>
        <w:t xml:space="preserve">, </w:t>
      </w:r>
      <w:r w:rsidRPr="00826DC2">
        <w:rPr>
          <w:noProof/>
          <w:lang w:val="en-IE"/>
        </w:rPr>
        <w:t>persons with disabilities, marginalised communities and older people</w:t>
      </w:r>
      <w:r w:rsidRPr="00826DC2">
        <w:rPr>
          <w:noProof/>
          <w:shd w:val="clear" w:color="auto" w:fill="FFFFFF"/>
        </w:rPr>
        <w:t xml:space="preserve"> </w:t>
      </w:r>
      <w:r w:rsidRPr="007663CA">
        <w:rPr>
          <w:noProof/>
        </w:rPr>
        <w:t xml:space="preserve">are much more exposed to climate hazards as they lack the means to protect themselves against such risks. This makes the EU’s climate agenda even more important, alongside </w:t>
      </w:r>
      <w:r w:rsidRPr="00D573DB">
        <w:rPr>
          <w:noProof/>
        </w:rPr>
        <w:t xml:space="preserve">investment and support policies </w:t>
      </w:r>
      <w:r>
        <w:rPr>
          <w:noProof/>
        </w:rPr>
        <w:t>that</w:t>
      </w:r>
      <w:r w:rsidRPr="00D573DB">
        <w:rPr>
          <w:noProof/>
        </w:rPr>
        <w:t xml:space="preserve"> generate social and economic benefits</w:t>
      </w:r>
      <w:r>
        <w:rPr>
          <w:noProof/>
        </w:rPr>
        <w:t>, which re</w:t>
      </w:r>
      <w:r w:rsidRPr="00D573DB">
        <w:rPr>
          <w:noProof/>
        </w:rPr>
        <w:t>duc</w:t>
      </w:r>
      <w:r>
        <w:rPr>
          <w:noProof/>
        </w:rPr>
        <w:t>e</w:t>
      </w:r>
      <w:r w:rsidRPr="00D573DB">
        <w:rPr>
          <w:noProof/>
        </w:rPr>
        <w:t xml:space="preserve"> poverty and inequalities</w:t>
      </w:r>
      <w:r>
        <w:rPr>
          <w:noProof/>
        </w:rPr>
        <w:t xml:space="preserve">. This includes investing in people through re-skilling and upskilling of the workforce, support for labour market transitions and targeted income support measures. Effective social dialogue as well as a strong involvement of stakeholders and citizens is key to anticipating and managing change alongside measures to help all to participate actively in the green transition through accessible and affordable environmentally friendly options. </w:t>
      </w:r>
    </w:p>
    <w:p w14:paraId="7FE6BBE9" w14:textId="77777777" w:rsidR="00482E88" w:rsidRPr="00ED3337" w:rsidRDefault="00482E88" w:rsidP="00482E88">
      <w:pPr>
        <w:rPr>
          <w:i/>
          <w:noProof/>
          <w:highlight w:val="yellow"/>
        </w:rPr>
      </w:pPr>
      <w:r w:rsidRPr="007663CA">
        <w:rPr>
          <w:i/>
          <w:iCs/>
          <w:noProof/>
        </w:rPr>
        <w:t xml:space="preserve">A just </w:t>
      </w:r>
      <w:r>
        <w:rPr>
          <w:i/>
          <w:iCs/>
          <w:noProof/>
        </w:rPr>
        <w:t xml:space="preserve">and fair </w:t>
      </w:r>
      <w:r w:rsidRPr="007663CA">
        <w:rPr>
          <w:i/>
          <w:iCs/>
          <w:noProof/>
        </w:rPr>
        <w:t xml:space="preserve">transition </w:t>
      </w:r>
      <w:r w:rsidRPr="477D6B8E">
        <w:rPr>
          <w:i/>
          <w:iCs/>
          <w:noProof/>
        </w:rPr>
        <w:t xml:space="preserve">for people </w:t>
      </w:r>
    </w:p>
    <w:p w14:paraId="51C3C684" w14:textId="79C2BC1F" w:rsidR="00482E88" w:rsidRPr="007663CA" w:rsidRDefault="00482E88" w:rsidP="00482E88">
      <w:pPr>
        <w:rPr>
          <w:noProof/>
        </w:rPr>
      </w:pPr>
      <w:r w:rsidRPr="007663CA">
        <w:rPr>
          <w:noProof/>
        </w:rPr>
        <w:t>The transition to climate neutrality is happening alongside the development of artificial intelligence, digitalisation</w:t>
      </w:r>
      <w:r>
        <w:rPr>
          <w:noProof/>
        </w:rPr>
        <w:t>,</w:t>
      </w:r>
      <w:r w:rsidRPr="007663CA">
        <w:rPr>
          <w:noProof/>
        </w:rPr>
        <w:t xml:space="preserve"> ageing</w:t>
      </w:r>
      <w:r>
        <w:rPr>
          <w:noProof/>
        </w:rPr>
        <w:t xml:space="preserve"> and geopolitical insecurity</w:t>
      </w:r>
      <w:r w:rsidRPr="007663CA">
        <w:rPr>
          <w:noProof/>
        </w:rPr>
        <w:t xml:space="preserve"> amongst other trends. Together they will lead to changes in the way we produce and consume goods and services, with implications for</w:t>
      </w:r>
      <w:r>
        <w:rPr>
          <w:noProof/>
        </w:rPr>
        <w:t xml:space="preserve"> households and workers</w:t>
      </w:r>
      <w:r w:rsidRPr="007663CA">
        <w:rPr>
          <w:noProof/>
        </w:rPr>
        <w:t>.</w:t>
      </w:r>
      <w:r>
        <w:rPr>
          <w:noProof/>
        </w:rPr>
        <w:t> </w:t>
      </w:r>
    </w:p>
    <w:p w14:paraId="5EA3987B" w14:textId="689B4612" w:rsidR="00482E88" w:rsidRPr="007663CA" w:rsidRDefault="00482E88" w:rsidP="00482E88">
      <w:pPr>
        <w:rPr>
          <w:noProof/>
        </w:rPr>
      </w:pPr>
      <w:r w:rsidRPr="007663CA">
        <w:rPr>
          <w:noProof/>
        </w:rPr>
        <w:t xml:space="preserve">In terms of employment, </w:t>
      </w:r>
      <w:r>
        <w:rPr>
          <w:noProof/>
        </w:rPr>
        <w:t>the effects of the transition</w:t>
      </w:r>
      <w:r w:rsidRPr="007663CA">
        <w:rPr>
          <w:noProof/>
        </w:rPr>
        <w:t xml:space="preserve"> will vary by sector and by region, according to their dependence on specific activities. </w:t>
      </w:r>
      <w:r w:rsidRPr="001A0927">
        <w:rPr>
          <w:noProof/>
        </w:rPr>
        <w:t>Fossil fuel-dependent sectors, such as transport and energy intensive industries will go through a fundamental transformation. It is also crucial to ensure that mobility options remain affordable and accessible for all, citizens and economic operators alike, and that rural and remote regions across the EU are better connected to further facilitate their development. Workers, communities and regions dependent on carbon-intensive activities will be the most affected, calling for continued just transition support as the transition takes shape, in tandem with closely coordinated and comprehensive Member State action and measures</w:t>
      </w:r>
      <w:r w:rsidR="0013325C">
        <w:rPr>
          <w:noProof/>
        </w:rPr>
        <w:t xml:space="preserve"> (</w:t>
      </w:r>
      <w:r w:rsidRPr="001A0927">
        <w:rPr>
          <w:rStyle w:val="FootnoteReference"/>
          <w:noProof/>
        </w:rPr>
        <w:footnoteReference w:id="20"/>
      </w:r>
      <w:r w:rsidR="0013325C">
        <w:rPr>
          <w:noProof/>
        </w:rPr>
        <w:t>)</w:t>
      </w:r>
      <w:r w:rsidRPr="001A0927">
        <w:rPr>
          <w:noProof/>
        </w:rPr>
        <w:t>. The transition will bring new opportunities for business and job creation, for workers at all skill levels, but will benefit some regions more than others</w:t>
      </w:r>
      <w:r w:rsidRPr="00EB64EF">
        <w:rPr>
          <w:noProof/>
        </w:rPr>
        <w:t>.</w:t>
      </w:r>
      <w:r w:rsidRPr="007663CA">
        <w:rPr>
          <w:noProof/>
        </w:rPr>
        <w:t xml:space="preserve"> EU cohesion policy</w:t>
      </w:r>
      <w:r>
        <w:rPr>
          <w:noProof/>
        </w:rPr>
        <w:t xml:space="preserve">, </w:t>
      </w:r>
      <w:r w:rsidRPr="00AF2BA1">
        <w:rPr>
          <w:noProof/>
        </w:rPr>
        <w:t xml:space="preserve">with its investments and specifically from the Just Transition Fund, an instrument dedicated </w:t>
      </w:r>
      <w:r w:rsidRPr="007663CA">
        <w:rPr>
          <w:noProof/>
        </w:rPr>
        <w:t>to support</w:t>
      </w:r>
      <w:r>
        <w:rPr>
          <w:noProof/>
        </w:rPr>
        <w:t>ing</w:t>
      </w:r>
      <w:r w:rsidRPr="007663CA">
        <w:rPr>
          <w:noProof/>
        </w:rPr>
        <w:t xml:space="preserve"> the economic diversification and reconversion of impacted territories and communities</w:t>
      </w:r>
      <w:r>
        <w:rPr>
          <w:noProof/>
        </w:rPr>
        <w:t>, and national measures</w:t>
      </w:r>
      <w:r w:rsidR="000923AF">
        <w:rPr>
          <w:noProof/>
        </w:rPr>
        <w:t>,</w:t>
      </w:r>
      <w:r>
        <w:rPr>
          <w:noProof/>
        </w:rPr>
        <w:t xml:space="preserve"> will continue to</w:t>
      </w:r>
      <w:r w:rsidRPr="007663CA">
        <w:rPr>
          <w:noProof/>
        </w:rPr>
        <w:t xml:space="preserve"> play an essential role in supporting </w:t>
      </w:r>
      <w:r>
        <w:rPr>
          <w:noProof/>
        </w:rPr>
        <w:t xml:space="preserve">regions </w:t>
      </w:r>
      <w:r w:rsidRPr="007663CA">
        <w:rPr>
          <w:noProof/>
        </w:rPr>
        <w:t xml:space="preserve">the most affected </w:t>
      </w:r>
      <w:r>
        <w:rPr>
          <w:noProof/>
        </w:rPr>
        <w:t>by the transition</w:t>
      </w:r>
      <w:r w:rsidRPr="007663CA">
        <w:rPr>
          <w:noProof/>
        </w:rPr>
        <w:t>.</w:t>
      </w:r>
    </w:p>
    <w:p w14:paraId="451DA16B" w14:textId="41291E7B" w:rsidR="00482E88" w:rsidRPr="00AF6F15" w:rsidRDefault="00482E88" w:rsidP="00AF6F15">
      <w:pPr>
        <w:autoSpaceDE w:val="0"/>
        <w:autoSpaceDN w:val="0"/>
        <w:spacing w:before="40" w:after="40" w:line="240" w:lineRule="auto"/>
        <w:rPr>
          <w:noProof/>
          <w:sz w:val="22"/>
          <w:szCs w:val="22"/>
          <w:lang w:val="en-IE"/>
        </w:rPr>
      </w:pPr>
      <w:r w:rsidRPr="007663CA">
        <w:rPr>
          <w:noProof/>
        </w:rPr>
        <w:t>Carbon pricing, such as under the E</w:t>
      </w:r>
      <w:r w:rsidRPr="009E1F1D">
        <w:rPr>
          <w:noProof/>
        </w:rPr>
        <w:t>U ETS, is reducing emissions while generating significant</w:t>
      </w:r>
      <w:r>
        <w:rPr>
          <w:noProof/>
        </w:rPr>
        <w:t xml:space="preserve"> </w:t>
      </w:r>
      <w:r w:rsidRPr="007663CA">
        <w:rPr>
          <w:noProof/>
        </w:rPr>
        <w:t xml:space="preserve">revenues for Member States to tackle climate change and increasingly to support industrial innovation and households for a fair transition. The ETS funded Social Climate </w:t>
      </w:r>
      <w:r w:rsidRPr="00BC21B8">
        <w:rPr>
          <w:noProof/>
        </w:rPr>
        <w:t>Fund</w:t>
      </w:r>
      <w:r w:rsidRPr="00AF6F15">
        <w:rPr>
          <w:noProof/>
        </w:rPr>
        <w:t>, including obligatory Member State contributions,</w:t>
      </w:r>
      <w:r>
        <w:rPr>
          <w:noProof/>
        </w:rPr>
        <w:t xml:space="preserve"> </w:t>
      </w:r>
      <w:r w:rsidRPr="007663CA">
        <w:rPr>
          <w:noProof/>
        </w:rPr>
        <w:t>will mobilise EUR 87 billion to support vulnerable households, transport users and micro-enterprises.</w:t>
      </w:r>
      <w:r>
        <w:rPr>
          <w:noProof/>
        </w:rPr>
        <w:t xml:space="preserve"> On top of that, Member States are obliged to spend their overall national revenues from the ETS </w:t>
      </w:r>
      <w:r w:rsidRPr="00AF6F15">
        <w:rPr>
          <w:noProof/>
        </w:rPr>
        <w:t xml:space="preserve">for climate and energy purposes, that include addressing the social </w:t>
      </w:r>
      <w:r>
        <w:rPr>
          <w:noProof/>
        </w:rPr>
        <w:t>impacts</w:t>
      </w:r>
      <w:r w:rsidRPr="00AF6F15">
        <w:rPr>
          <w:noProof/>
        </w:rPr>
        <w:t xml:space="preserve"> of the transition.</w:t>
      </w:r>
      <w:r>
        <w:rPr>
          <w:noProof/>
          <w:sz w:val="22"/>
          <w:szCs w:val="22"/>
          <w:lang w:val="en-IE"/>
        </w:rPr>
        <w:t xml:space="preserve"> </w:t>
      </w:r>
      <w:r w:rsidRPr="007663CA">
        <w:rPr>
          <w:noProof/>
        </w:rPr>
        <w:t xml:space="preserve">Used effectively, these funds can support people through the transition and have a lasting impact on their quality of life. </w:t>
      </w:r>
      <w:r>
        <w:rPr>
          <w:noProof/>
        </w:rPr>
        <w:t>S</w:t>
      </w:r>
      <w:r w:rsidRPr="007663CA">
        <w:rPr>
          <w:noProof/>
        </w:rPr>
        <w:t xml:space="preserve">upport will continue to be necessary after 2030, </w:t>
      </w:r>
      <w:r>
        <w:rPr>
          <w:noProof/>
        </w:rPr>
        <w:t>including through</w:t>
      </w:r>
      <w:r w:rsidRPr="007663CA">
        <w:rPr>
          <w:noProof/>
        </w:rPr>
        <w:t xml:space="preserve"> Member State measures</w:t>
      </w:r>
      <w:r w:rsidRPr="0084139C">
        <w:rPr>
          <w:noProof/>
        </w:rPr>
        <w:t xml:space="preserve"> </w:t>
      </w:r>
      <w:r>
        <w:rPr>
          <w:noProof/>
        </w:rPr>
        <w:t>and a strengthen</w:t>
      </w:r>
      <w:r w:rsidR="000923AF">
        <w:rPr>
          <w:noProof/>
        </w:rPr>
        <w:t>ed</w:t>
      </w:r>
      <w:r>
        <w:rPr>
          <w:noProof/>
        </w:rPr>
        <w:t xml:space="preserve"> just transition policy framework</w:t>
      </w:r>
      <w:r w:rsidRPr="007663CA">
        <w:rPr>
          <w:noProof/>
        </w:rPr>
        <w:t xml:space="preserve">. </w:t>
      </w:r>
    </w:p>
    <w:p w14:paraId="1CC64D94" w14:textId="77777777" w:rsidR="00482E88" w:rsidRPr="0071545F" w:rsidRDefault="00482E88" w:rsidP="00482E88">
      <w:pPr>
        <w:spacing w:after="240" w:line="240" w:lineRule="auto"/>
        <w:rPr>
          <w:noProof/>
          <w:highlight w:val="magenta"/>
        </w:rPr>
      </w:pPr>
      <w:r>
        <w:rPr>
          <w:noProof/>
        </w:rPr>
        <w:t xml:space="preserve"> </w:t>
      </w:r>
    </w:p>
    <w:p w14:paraId="2DB17929" w14:textId="77777777" w:rsidR="00482E88" w:rsidRPr="007663CA" w:rsidRDefault="00482E88" w:rsidP="00482E88">
      <w:pPr>
        <w:pStyle w:val="Heading2"/>
        <w:rPr>
          <w:noProof/>
        </w:rPr>
      </w:pPr>
      <w:bookmarkStart w:id="16" w:name="_Toc158097097"/>
      <w:r>
        <w:rPr>
          <w:noProof/>
        </w:rPr>
        <w:t>The EU’s energy system</w:t>
      </w:r>
      <w:bookmarkEnd w:id="16"/>
    </w:p>
    <w:p w14:paraId="0C81F4DC" w14:textId="77777777" w:rsidR="00482E88" w:rsidRPr="00DE46FD" w:rsidRDefault="00482E88" w:rsidP="00482E88">
      <w:pPr>
        <w:rPr>
          <w:rFonts w:eastAsia="Calibri"/>
          <w:i/>
          <w:noProof/>
          <w:color w:val="000000" w:themeColor="text1"/>
        </w:rPr>
      </w:pPr>
      <w:r w:rsidRPr="00DE46FD">
        <w:rPr>
          <w:rFonts w:eastAsia="Calibri"/>
          <w:i/>
          <w:noProof/>
          <w:color w:val="000000" w:themeColor="text1"/>
        </w:rPr>
        <w:t xml:space="preserve">Renewable, </w:t>
      </w:r>
      <w:r w:rsidRPr="00DE46FD">
        <w:rPr>
          <w:rFonts w:eastAsia="Calibri"/>
          <w:i/>
          <w:iCs/>
          <w:noProof/>
          <w:color w:val="000000" w:themeColor="text1"/>
        </w:rPr>
        <w:t>zero and low carbon energy solutions</w:t>
      </w:r>
    </w:p>
    <w:p w14:paraId="709B6307" w14:textId="426B8400" w:rsidR="00482E88" w:rsidRPr="00084492" w:rsidRDefault="00482E88" w:rsidP="00482E88">
      <w:pPr>
        <w:rPr>
          <w:rFonts w:eastAsia="Calibri"/>
          <w:noProof/>
          <w:color w:val="000000" w:themeColor="text1"/>
        </w:rPr>
      </w:pPr>
      <w:r w:rsidRPr="00DE46FD">
        <w:rPr>
          <w:rFonts w:eastAsia="Calibri"/>
          <w:noProof/>
          <w:color w:val="000000" w:themeColor="text1"/>
        </w:rPr>
        <w:t>All zero and low carbon energy solutions (including renewables, nuclear, energy efficiency, storage, CCS, CCU, carbon removals, geothermal and hydro-energy, and all other current and future net-zero energy technologies) are necessary to decarbonise the energy system by 2040. Solar and wind will make up the vast majority of renewable energy solutions. The Commission will pursue its policies to</w:t>
      </w:r>
      <w:r w:rsidRPr="5A178A04">
        <w:rPr>
          <w:rFonts w:eastAsia="Calibri"/>
          <w:noProof/>
          <w:color w:val="000000" w:themeColor="text1"/>
        </w:rPr>
        <w:t xml:space="preserve"> ensure a fast deployment of all renewable energy, as well as of zero and low carbon solutions, a further development of energy efficiency</w:t>
      </w:r>
      <w:r>
        <w:rPr>
          <w:rFonts w:eastAsia="Calibri"/>
          <w:noProof/>
          <w:color w:val="000000" w:themeColor="text1"/>
        </w:rPr>
        <w:t xml:space="preserve">. It has </w:t>
      </w:r>
      <w:r w:rsidRPr="00BE7C99">
        <w:rPr>
          <w:rFonts w:eastAsia="Calibri"/>
          <w:noProof/>
          <w:color w:val="000000" w:themeColor="text1"/>
        </w:rPr>
        <w:t xml:space="preserve">established </w:t>
      </w:r>
      <w:r>
        <w:rPr>
          <w:noProof/>
          <w:color w:val="000000"/>
        </w:rPr>
        <w:t xml:space="preserve">a number of initiatives to accelerate renewables deployment, create enabling conditions for EU renewable industry and boost their </w:t>
      </w:r>
      <w:r>
        <w:rPr>
          <w:noProof/>
        </w:rPr>
        <w:t xml:space="preserve">competitiveness, such as </w:t>
      </w:r>
      <w:r>
        <w:rPr>
          <w:noProof/>
          <w:color w:val="000000"/>
        </w:rPr>
        <w:t>the EU Solar PV Alliance and the Wind Chart</w:t>
      </w:r>
      <w:r>
        <w:rPr>
          <w:noProof/>
        </w:rPr>
        <w:t>er</w:t>
      </w:r>
      <w:r>
        <w:rPr>
          <w:noProof/>
          <w:color w:val="000000"/>
        </w:rPr>
        <w:t>.</w:t>
      </w:r>
      <w:r w:rsidRPr="5A178A04">
        <w:rPr>
          <w:rFonts w:eastAsia="Calibri"/>
          <w:noProof/>
          <w:color w:val="000000" w:themeColor="text1"/>
        </w:rPr>
        <w:t xml:space="preserve"> </w:t>
      </w:r>
      <w:r>
        <w:rPr>
          <w:rFonts w:eastAsia="Calibri"/>
          <w:noProof/>
          <w:color w:val="000000" w:themeColor="text1"/>
        </w:rPr>
        <w:t>A</w:t>
      </w:r>
      <w:r w:rsidRPr="5A178A04">
        <w:rPr>
          <w:rFonts w:eastAsia="Calibri"/>
          <w:noProof/>
          <w:color w:val="000000" w:themeColor="text1"/>
        </w:rPr>
        <w:t xml:space="preserve">mbitious electrification </w:t>
      </w:r>
      <w:r>
        <w:rPr>
          <w:rFonts w:eastAsia="Calibri"/>
          <w:noProof/>
          <w:color w:val="000000" w:themeColor="text1"/>
        </w:rPr>
        <w:t>is key and the Commission will continue to work with Member States to further develop</w:t>
      </w:r>
      <w:r w:rsidRPr="5A178A04">
        <w:rPr>
          <w:rFonts w:eastAsia="Calibri"/>
          <w:noProof/>
          <w:color w:val="000000" w:themeColor="text1"/>
        </w:rPr>
        <w:t xml:space="preserve"> smarter grids, system integration, demand flexibility and storage solutions. </w:t>
      </w:r>
      <w:r>
        <w:rPr>
          <w:rFonts w:eastAsia="Calibri"/>
          <w:noProof/>
          <w:color w:val="000000" w:themeColor="text1"/>
        </w:rPr>
        <w:t>A</w:t>
      </w:r>
      <w:r>
        <w:rPr>
          <w:noProof/>
          <w:lang w:val="en-US"/>
        </w:rPr>
        <w:t>ccelerated permitting and cross-border cost sharing will speed up the development of offshore wind projects in line with the recent action plans on wind and grids</w:t>
      </w:r>
      <w:r>
        <w:rPr>
          <w:noProof/>
        </w:rPr>
        <w:t>.</w:t>
      </w:r>
    </w:p>
    <w:p w14:paraId="1432EBD9" w14:textId="7B16B631" w:rsidR="00482E88" w:rsidRPr="002E73E2" w:rsidRDefault="00482E88" w:rsidP="00482E88">
      <w:pPr>
        <w:rPr>
          <w:rFonts w:eastAsia="Calibri"/>
          <w:noProof/>
          <w:color w:val="000000" w:themeColor="text1"/>
        </w:rPr>
      </w:pPr>
      <w:r w:rsidRPr="5A178A04">
        <w:rPr>
          <w:rFonts w:eastAsia="Calibri"/>
          <w:noProof/>
          <w:color w:val="000000" w:themeColor="text1"/>
        </w:rPr>
        <w:t>The Communication on Industrial Carbon Management sets out a roadmap to deploy the necessary CCS and CCU technologies for hard-to-abate sectors</w:t>
      </w:r>
      <w:bookmarkStart w:id="17" w:name="_Hlk157186668"/>
      <w:r>
        <w:rPr>
          <w:rFonts w:eastAsia="Calibri"/>
          <w:noProof/>
          <w:color w:val="000000" w:themeColor="text1"/>
        </w:rPr>
        <w:t>, stressing the need for a regulatory framework in areas such as injection and transport of CO2, as a precondition to create a single market for CO2.</w:t>
      </w:r>
      <w:r w:rsidRPr="5A178A04">
        <w:rPr>
          <w:rFonts w:eastAsia="Calibri"/>
          <w:noProof/>
          <w:color w:val="000000" w:themeColor="text1"/>
        </w:rPr>
        <w:t xml:space="preserve"> The Commission </w:t>
      </w:r>
      <w:r>
        <w:rPr>
          <w:rFonts w:eastAsia="Calibri"/>
          <w:noProof/>
          <w:color w:val="000000" w:themeColor="text1"/>
        </w:rPr>
        <w:t>is also launching</w:t>
      </w:r>
      <w:r w:rsidRPr="5A178A04">
        <w:rPr>
          <w:rFonts w:eastAsia="Calibri"/>
          <w:noProof/>
          <w:color w:val="000000" w:themeColor="text1"/>
        </w:rPr>
        <w:t xml:space="preserve"> an Industrial Alliance to facilitate stakeholder’s cooperation at EU level and to accelerate the deployment of Small Modular Reactors (SMRs) and ensure a strong EU supply chain, including a skilled workforce. </w:t>
      </w:r>
      <w:bookmarkStart w:id="18" w:name="_Hlk157159368"/>
      <w:r w:rsidRPr="5A178A04">
        <w:rPr>
          <w:rFonts w:eastAsia="Calibri"/>
          <w:noProof/>
          <w:color w:val="000000" w:themeColor="text1"/>
        </w:rPr>
        <w:t>This will leverage EU’s manufacturing and innovation capacities to accelerate the deployment of first SMR projects in the EU by early 2030 under the highest standards of nuclear safety, environmental sustainability, and industrial competitiveness.</w:t>
      </w:r>
    </w:p>
    <w:bookmarkEnd w:id="17"/>
    <w:bookmarkEnd w:id="18"/>
    <w:p w14:paraId="008E9151" w14:textId="24BA7709" w:rsidR="00482E88" w:rsidRPr="007663CA" w:rsidRDefault="00482E88" w:rsidP="00482E88">
      <w:pPr>
        <w:rPr>
          <w:rFonts w:eastAsia="Calibri"/>
          <w:noProof/>
          <w:color w:val="000000" w:themeColor="text1"/>
        </w:rPr>
      </w:pPr>
      <w:r>
        <w:rPr>
          <w:rFonts w:eastAsia="Calibri"/>
          <w:noProof/>
          <w:color w:val="000000" w:themeColor="text1"/>
        </w:rPr>
        <w:t>A</w:t>
      </w:r>
      <w:r w:rsidRPr="007663CA">
        <w:rPr>
          <w:rFonts w:eastAsia="Calibri"/>
          <w:noProof/>
          <w:color w:val="000000" w:themeColor="text1"/>
        </w:rPr>
        <w:t xml:space="preserve">ffordability of energy prices is crucial to ensure that the benefits of decarbonisation are brought to the whole economy. Fossil fuel prices are volatile and set by global markets. </w:t>
      </w:r>
      <w:r>
        <w:rPr>
          <w:rFonts w:eastAsia="Calibri"/>
          <w:noProof/>
          <w:color w:val="000000" w:themeColor="text1"/>
        </w:rPr>
        <w:t>Generation c</w:t>
      </w:r>
      <w:r w:rsidRPr="007663CA">
        <w:rPr>
          <w:rFonts w:eastAsia="Calibri"/>
          <w:noProof/>
          <w:color w:val="000000" w:themeColor="text1"/>
        </w:rPr>
        <w:t xml:space="preserve">osts of renewable electricity have consistently been lower than those generated by fossil-fuels for more than a decade. </w:t>
      </w:r>
      <w:r>
        <w:rPr>
          <w:rFonts w:eastAsia="Calibri"/>
          <w:noProof/>
          <w:color w:val="000000" w:themeColor="text1"/>
        </w:rPr>
        <w:t>The</w:t>
      </w:r>
      <w:r w:rsidRPr="007663CA">
        <w:rPr>
          <w:noProof/>
        </w:rPr>
        <w:t xml:space="preserve"> </w:t>
      </w:r>
      <w:r>
        <w:rPr>
          <w:noProof/>
        </w:rPr>
        <w:t>progressive</w:t>
      </w:r>
      <w:r w:rsidRPr="007663CA">
        <w:rPr>
          <w:noProof/>
        </w:rPr>
        <w:t xml:space="preserve"> </w:t>
      </w:r>
      <w:r>
        <w:rPr>
          <w:noProof/>
        </w:rPr>
        <w:t xml:space="preserve">substitution of fossil-fuel generation by renewables, </w:t>
      </w:r>
      <w:r w:rsidRPr="001A05EB">
        <w:rPr>
          <w:noProof/>
        </w:rPr>
        <w:t>complemented by</w:t>
      </w:r>
      <w:r>
        <w:rPr>
          <w:noProof/>
        </w:rPr>
        <w:t xml:space="preserve"> </w:t>
      </w:r>
      <w:r w:rsidRPr="001A05EB">
        <w:rPr>
          <w:rFonts w:eastAsia="Calibri"/>
          <w:noProof/>
          <w:color w:val="000000" w:themeColor="text1"/>
        </w:rPr>
        <w:t>efficient uptake of clean flexibility sources such as nuclear, and</w:t>
      </w:r>
      <w:r>
        <w:rPr>
          <w:rFonts w:eastAsia="Calibri"/>
          <w:noProof/>
          <w:color w:val="000000" w:themeColor="text1"/>
        </w:rPr>
        <w:t xml:space="preserve"> </w:t>
      </w:r>
      <w:r>
        <w:rPr>
          <w:noProof/>
        </w:rPr>
        <w:t xml:space="preserve">supported by a </w:t>
      </w:r>
      <w:r w:rsidRPr="007663CA">
        <w:rPr>
          <w:rFonts w:eastAsia="Calibri"/>
          <w:noProof/>
          <w:color w:val="000000" w:themeColor="text1"/>
        </w:rPr>
        <w:t>full implementation</w:t>
      </w:r>
      <w:r>
        <w:rPr>
          <w:rFonts w:eastAsia="Calibri"/>
          <w:noProof/>
          <w:color w:val="000000" w:themeColor="text1"/>
        </w:rPr>
        <w:t xml:space="preserve"> o</w:t>
      </w:r>
      <w:r w:rsidRPr="007663CA">
        <w:rPr>
          <w:rFonts w:eastAsia="Calibri"/>
          <w:noProof/>
          <w:color w:val="000000" w:themeColor="text1"/>
        </w:rPr>
        <w:t xml:space="preserve">f </w:t>
      </w:r>
      <w:r>
        <w:rPr>
          <w:rFonts w:eastAsia="Calibri"/>
          <w:noProof/>
          <w:color w:val="000000" w:themeColor="text1"/>
        </w:rPr>
        <w:t>an</w:t>
      </w:r>
      <w:r w:rsidRPr="007663CA">
        <w:rPr>
          <w:rFonts w:eastAsia="Calibri"/>
          <w:noProof/>
          <w:color w:val="000000" w:themeColor="text1"/>
        </w:rPr>
        <w:t xml:space="preserve"> updated electricity market design, the further integration of</w:t>
      </w:r>
      <w:r>
        <w:rPr>
          <w:rFonts w:eastAsia="Calibri"/>
          <w:noProof/>
          <w:color w:val="000000" w:themeColor="text1"/>
        </w:rPr>
        <w:t xml:space="preserve"> cross-border</w:t>
      </w:r>
      <w:r w:rsidRPr="007663CA">
        <w:rPr>
          <w:rFonts w:eastAsia="Calibri"/>
          <w:noProof/>
          <w:color w:val="000000" w:themeColor="text1"/>
        </w:rPr>
        <w:t xml:space="preserve"> EU (</w:t>
      </w:r>
      <w:r>
        <w:rPr>
          <w:rFonts w:eastAsia="Calibri"/>
          <w:noProof/>
          <w:color w:val="000000" w:themeColor="text1"/>
        </w:rPr>
        <w:t>and extra-EU</w:t>
      </w:r>
      <w:r w:rsidRPr="007663CA">
        <w:rPr>
          <w:rFonts w:eastAsia="Calibri"/>
          <w:noProof/>
          <w:color w:val="000000" w:themeColor="text1"/>
        </w:rPr>
        <w:t>) power systems, and efficient uptake of clean flexibility sources</w:t>
      </w:r>
      <w:r>
        <w:rPr>
          <w:rFonts w:eastAsia="Calibri"/>
          <w:noProof/>
          <w:color w:val="000000" w:themeColor="text1"/>
        </w:rPr>
        <w:t xml:space="preserve"> may contribute to the lowering of wholesale electricity prices</w:t>
      </w:r>
      <w:r w:rsidRPr="007663CA">
        <w:rPr>
          <w:rFonts w:eastAsia="Calibri"/>
          <w:noProof/>
          <w:color w:val="000000" w:themeColor="text1"/>
        </w:rPr>
        <w:t>.</w:t>
      </w:r>
      <w:r w:rsidRPr="007663CA">
        <w:rPr>
          <w:noProof/>
        </w:rPr>
        <w:t xml:space="preserve"> </w:t>
      </w:r>
      <w:bookmarkStart w:id="19" w:name="_Hlk157159513"/>
      <w:r w:rsidRPr="006365E1">
        <w:rPr>
          <w:noProof/>
        </w:rPr>
        <w:t xml:space="preserve">Once fossil fuels are permanently displaced of the power mix over the next two decades and necessary investments are made on grids, storages and batteries, power </w:t>
      </w:r>
      <w:r w:rsidRPr="00A665FD">
        <w:rPr>
          <w:noProof/>
        </w:rPr>
        <w:t xml:space="preserve">prices </w:t>
      </w:r>
      <w:r w:rsidRPr="00A20EAD">
        <w:rPr>
          <w:noProof/>
        </w:rPr>
        <w:t>might</w:t>
      </w:r>
      <w:r w:rsidRPr="00A665FD">
        <w:rPr>
          <w:noProof/>
        </w:rPr>
        <w:t xml:space="preserve"> start</w:t>
      </w:r>
      <w:r w:rsidRPr="006365E1">
        <w:rPr>
          <w:noProof/>
        </w:rPr>
        <w:t xml:space="preserve"> to significantly decrease in the EU. Investments are necessary to avoid bottlenecks in the electrification of the economy. It is critical to ensure proper financing tools to avoid the required investments to increase final prices for consumers and industry. </w:t>
      </w:r>
      <w:r>
        <w:rPr>
          <w:noProof/>
        </w:rPr>
        <w:t>In the meantime, p</w:t>
      </w:r>
      <w:r w:rsidRPr="007663CA">
        <w:rPr>
          <w:rFonts w:eastAsia="Calibri"/>
          <w:noProof/>
          <w:color w:val="000000" w:themeColor="text1"/>
        </w:rPr>
        <w:t>romoting and expanding the use of PPA’s will help to stabilise prices and shield companies from high and volatile prices caused by fossil fuels.</w:t>
      </w:r>
    </w:p>
    <w:bookmarkEnd w:id="19"/>
    <w:p w14:paraId="78698DB7" w14:textId="31586239" w:rsidR="00482E88" w:rsidRPr="007663CA" w:rsidRDefault="00482E88" w:rsidP="00482E88">
      <w:pPr>
        <w:rPr>
          <w:rFonts w:eastAsia="Calibri"/>
          <w:noProof/>
          <w:color w:val="000000" w:themeColor="text1"/>
        </w:rPr>
      </w:pPr>
      <w:r w:rsidRPr="5A178A04">
        <w:rPr>
          <w:rFonts w:eastAsia="Calibri"/>
          <w:noProof/>
          <w:color w:val="000000" w:themeColor="text1"/>
        </w:rPr>
        <w:t>Complementary social and industrial policies will</w:t>
      </w:r>
      <w:r>
        <w:rPr>
          <w:rFonts w:eastAsia="Calibri"/>
          <w:noProof/>
          <w:color w:val="000000" w:themeColor="text1"/>
        </w:rPr>
        <w:t xml:space="preserve"> </w:t>
      </w:r>
      <w:r w:rsidRPr="5A178A04">
        <w:rPr>
          <w:rFonts w:eastAsia="Calibri"/>
          <w:noProof/>
          <w:color w:val="000000" w:themeColor="text1"/>
        </w:rPr>
        <w:t xml:space="preserve">be needed to ensure a smooth transition from current energy price levels to affordable clean energy. EU and Member States can protect lower-income and middle-income households from steep increases in energy prices. Tailor-made support will be needed for energy-intensive industries to bridge the transition period when they face the dual challenge of investing in clean production methods when available, and coping with high energy prices. As a start, the Innovation Fund matches innovation support with such solutions in the form of carbon contracts for difference. </w:t>
      </w:r>
      <w:bookmarkStart w:id="20" w:name="_Hlk157159773"/>
      <w:r w:rsidRPr="5A178A04">
        <w:rPr>
          <w:rFonts w:eastAsia="Calibri"/>
          <w:noProof/>
          <w:color w:val="000000" w:themeColor="text1"/>
        </w:rPr>
        <w:t>The transition will bring new challenges, such as land and water use. Win-win solutions (solar rooftops, agri-PV, biogas and biomethane from organic waste and residues) have to be prioritised, engaging citizens in the decisions.</w:t>
      </w:r>
    </w:p>
    <w:bookmarkEnd w:id="20"/>
    <w:p w14:paraId="046E95A7" w14:textId="77777777" w:rsidR="00482E88" w:rsidRPr="007663CA" w:rsidRDefault="00482E88" w:rsidP="00482E88">
      <w:pPr>
        <w:rPr>
          <w:rFonts w:eastAsia="Calibri"/>
          <w:i/>
          <w:iCs/>
          <w:noProof/>
          <w:color w:val="000000" w:themeColor="text1"/>
        </w:rPr>
      </w:pPr>
      <w:r w:rsidRPr="007663CA">
        <w:rPr>
          <w:rFonts w:eastAsia="Calibri"/>
          <w:i/>
          <w:iCs/>
          <w:noProof/>
          <w:color w:val="000000" w:themeColor="text1"/>
        </w:rPr>
        <w:t>Energy efficiency and buildings</w:t>
      </w:r>
    </w:p>
    <w:p w14:paraId="216FE38A" w14:textId="3A8C9D65" w:rsidR="00482E88" w:rsidRPr="007663CA" w:rsidRDefault="00482E88" w:rsidP="00482E88">
      <w:pPr>
        <w:rPr>
          <w:rFonts w:eastAsia="Calibri"/>
          <w:noProof/>
          <w:color w:val="000000" w:themeColor="text1"/>
        </w:rPr>
      </w:pPr>
      <w:r w:rsidRPr="5A178A04">
        <w:rPr>
          <w:rFonts w:eastAsia="Calibri"/>
          <w:noProof/>
          <w:color w:val="000000" w:themeColor="text1"/>
        </w:rPr>
        <w:t xml:space="preserve">The ‘Energy Efficiency First principle’ remains a central policy principle, and the impact of the 2030 energy efficiency target extends up to 2040. This will leverage private financing across all sectors and can unlock a European marketplace for energy efficiency investments. Circular business models reduce energy </w:t>
      </w:r>
      <w:r>
        <w:rPr>
          <w:rFonts w:eastAsia="Calibri"/>
          <w:noProof/>
          <w:color w:val="000000" w:themeColor="text1"/>
        </w:rPr>
        <w:t xml:space="preserve">and resource </w:t>
      </w:r>
      <w:r w:rsidRPr="5A178A04">
        <w:rPr>
          <w:rFonts w:eastAsia="Calibri"/>
          <w:noProof/>
          <w:color w:val="000000" w:themeColor="text1"/>
        </w:rPr>
        <w:t xml:space="preserve">consumption. The public sector, at all levels, should lead by example, including through green public procurement that considers sustainability criteria, and provide a blueprint to facilitate the transition. </w:t>
      </w:r>
    </w:p>
    <w:p w14:paraId="5C78DDA1" w14:textId="77777777" w:rsidR="00482E88" w:rsidRPr="007663CA" w:rsidRDefault="00482E88" w:rsidP="00482E88">
      <w:pPr>
        <w:rPr>
          <w:rFonts w:eastAsia="Calibri"/>
          <w:noProof/>
          <w:color w:val="000000" w:themeColor="text1"/>
        </w:rPr>
      </w:pPr>
      <w:r w:rsidRPr="007663CA">
        <w:rPr>
          <w:rFonts w:eastAsia="Calibri"/>
          <w:noProof/>
          <w:color w:val="000000" w:themeColor="text1"/>
        </w:rPr>
        <w:t xml:space="preserve">The EU building </w:t>
      </w:r>
      <w:r>
        <w:rPr>
          <w:rFonts w:eastAsia="Calibri"/>
          <w:noProof/>
          <w:color w:val="000000" w:themeColor="text1"/>
        </w:rPr>
        <w:t>stock</w:t>
      </w:r>
      <w:r w:rsidRPr="007663CA">
        <w:rPr>
          <w:rFonts w:eastAsia="Calibri"/>
          <w:noProof/>
          <w:color w:val="000000" w:themeColor="text1"/>
        </w:rPr>
        <w:t xml:space="preserve"> accounts for 42% of final energy consumption, more than half of natural gas gross inland consumption and about 35% of energy related greenhouse gas emissions. Around 80% of energy consumption in buildings stems from heating and cooling needs. Carbon pricing for all fuels, foreseen as of 2027, will create a level-playing field for electricity, and generate revenues </w:t>
      </w:r>
      <w:r>
        <w:rPr>
          <w:rFonts w:eastAsia="Calibri"/>
          <w:noProof/>
          <w:color w:val="000000" w:themeColor="text1"/>
        </w:rPr>
        <w:t xml:space="preserve">including </w:t>
      </w:r>
      <w:r w:rsidRPr="007663CA">
        <w:rPr>
          <w:rFonts w:eastAsia="Calibri"/>
          <w:noProof/>
          <w:color w:val="000000" w:themeColor="text1"/>
        </w:rPr>
        <w:t>for the Social Climate Fund that could be used for</w:t>
      </w:r>
      <w:r>
        <w:rPr>
          <w:rFonts w:eastAsia="Calibri"/>
          <w:noProof/>
          <w:color w:val="000000" w:themeColor="text1"/>
        </w:rPr>
        <w:t xml:space="preserve"> investments and the financing of</w:t>
      </w:r>
      <w:r w:rsidRPr="007663CA">
        <w:rPr>
          <w:rFonts w:eastAsia="Calibri"/>
          <w:noProof/>
          <w:color w:val="000000" w:themeColor="text1"/>
        </w:rPr>
        <w:t xml:space="preserve"> structural reforms.</w:t>
      </w:r>
      <w:r w:rsidRPr="0019230B">
        <w:rPr>
          <w:rFonts w:eastAsia="Calibri"/>
          <w:noProof/>
          <w:color w:val="000000" w:themeColor="text1"/>
        </w:rPr>
        <w:t xml:space="preserve"> </w:t>
      </w:r>
      <w:r w:rsidRPr="00864A85">
        <w:rPr>
          <w:rFonts w:eastAsia="Calibri"/>
          <w:noProof/>
          <w:color w:val="000000" w:themeColor="text1"/>
        </w:rPr>
        <w:t xml:space="preserve">An updated energy tax design can </w:t>
      </w:r>
      <w:r>
        <w:rPr>
          <w:rFonts w:eastAsia="Calibri"/>
          <w:noProof/>
          <w:color w:val="000000" w:themeColor="text1"/>
        </w:rPr>
        <w:t xml:space="preserve">further </w:t>
      </w:r>
      <w:r w:rsidRPr="00864A85">
        <w:rPr>
          <w:rFonts w:eastAsia="Calibri"/>
          <w:noProof/>
          <w:color w:val="000000" w:themeColor="text1"/>
        </w:rPr>
        <w:t xml:space="preserve">accelerate the </w:t>
      </w:r>
      <w:r>
        <w:rPr>
          <w:rFonts w:eastAsia="Calibri"/>
          <w:noProof/>
          <w:color w:val="000000" w:themeColor="text1"/>
        </w:rPr>
        <w:t xml:space="preserve">green </w:t>
      </w:r>
      <w:r w:rsidRPr="00864A85">
        <w:rPr>
          <w:rFonts w:eastAsia="Calibri"/>
          <w:noProof/>
          <w:color w:val="000000" w:themeColor="text1"/>
        </w:rPr>
        <w:t xml:space="preserve">electrification of </w:t>
      </w:r>
      <w:r>
        <w:rPr>
          <w:rFonts w:eastAsia="Calibri"/>
          <w:noProof/>
          <w:color w:val="000000" w:themeColor="text1"/>
        </w:rPr>
        <w:t>the building stock and the energy system</w:t>
      </w:r>
      <w:r w:rsidRPr="00864A85">
        <w:rPr>
          <w:rFonts w:eastAsia="Calibri"/>
          <w:noProof/>
          <w:color w:val="000000" w:themeColor="text1"/>
        </w:rPr>
        <w:t>.</w:t>
      </w:r>
    </w:p>
    <w:p w14:paraId="23DB41AE" w14:textId="77777777" w:rsidR="00482E88" w:rsidRPr="007663CA" w:rsidRDefault="00482E88" w:rsidP="00482E88">
      <w:pPr>
        <w:rPr>
          <w:rFonts w:eastAsia="Calibri"/>
          <w:i/>
          <w:iCs/>
          <w:noProof/>
          <w:color w:val="000000" w:themeColor="text1"/>
        </w:rPr>
      </w:pPr>
      <w:r w:rsidRPr="007663CA">
        <w:rPr>
          <w:rFonts w:eastAsia="Calibri"/>
          <w:i/>
          <w:iCs/>
          <w:noProof/>
          <w:color w:val="000000" w:themeColor="text1"/>
        </w:rPr>
        <w:t>Electrification, grids and infrastructure</w:t>
      </w:r>
      <w:r>
        <w:rPr>
          <w:rFonts w:eastAsia="Calibri"/>
          <w:i/>
          <w:iCs/>
          <w:noProof/>
          <w:color w:val="000000" w:themeColor="text1"/>
        </w:rPr>
        <w:t>,</w:t>
      </w:r>
      <w:r w:rsidRPr="00C95035">
        <w:rPr>
          <w:rFonts w:eastAsia="Calibri"/>
          <w:i/>
          <w:iCs/>
          <w:noProof/>
          <w:color w:val="000000" w:themeColor="text1"/>
        </w:rPr>
        <w:t xml:space="preserve"> </w:t>
      </w:r>
      <w:r w:rsidRPr="007663CA">
        <w:rPr>
          <w:rFonts w:eastAsia="Calibri"/>
          <w:i/>
          <w:iCs/>
          <w:noProof/>
          <w:color w:val="000000" w:themeColor="text1"/>
        </w:rPr>
        <w:t>system integration, storage, digitalisation and flexibility</w:t>
      </w:r>
    </w:p>
    <w:p w14:paraId="2D738209" w14:textId="0CD6C45D" w:rsidR="00482E88" w:rsidRPr="007663CA" w:rsidRDefault="00482E88" w:rsidP="00482E88">
      <w:pPr>
        <w:rPr>
          <w:rFonts w:eastAsia="Calibri"/>
          <w:noProof/>
          <w:color w:val="000000" w:themeColor="text1"/>
        </w:rPr>
      </w:pPr>
      <w:r w:rsidRPr="007663CA">
        <w:rPr>
          <w:rFonts w:eastAsia="Calibri"/>
          <w:noProof/>
          <w:color w:val="000000" w:themeColor="text1"/>
        </w:rPr>
        <w:t xml:space="preserve">Electrification with a fully decarbonised power system by 2040 is the main driver of the energy transition. The share of electricity in the final energy consumption will double from 25% today to about 50% in 2040. </w:t>
      </w:r>
      <w:r>
        <w:rPr>
          <w:rFonts w:eastAsia="Calibri"/>
          <w:noProof/>
          <w:color w:val="000000" w:themeColor="text1"/>
        </w:rPr>
        <w:t>The impact assessment shows that r</w:t>
      </w:r>
      <w:r w:rsidRPr="007663CA">
        <w:rPr>
          <w:rFonts w:eastAsia="Calibri"/>
          <w:noProof/>
          <w:color w:val="000000" w:themeColor="text1"/>
        </w:rPr>
        <w:t>enewable energy in majority</w:t>
      </w:r>
      <w:r>
        <w:rPr>
          <w:rFonts w:eastAsia="Calibri"/>
          <w:noProof/>
          <w:color w:val="000000" w:themeColor="text1"/>
        </w:rPr>
        <w:t xml:space="preserve"> </w:t>
      </w:r>
      <w:r w:rsidRPr="007663CA">
        <w:rPr>
          <w:rFonts w:eastAsia="Calibri"/>
          <w:noProof/>
          <w:color w:val="000000" w:themeColor="text1"/>
        </w:rPr>
        <w:t>(</w:t>
      </w:r>
      <w:r w:rsidRPr="007663CA">
        <w:rPr>
          <w:rStyle w:val="FootnoteReference"/>
          <w:rFonts w:eastAsia="Calibri"/>
          <w:noProof/>
          <w:color w:val="000000" w:themeColor="text1"/>
        </w:rPr>
        <w:footnoteReference w:id="21"/>
      </w:r>
      <w:r w:rsidRPr="007663CA">
        <w:rPr>
          <w:rFonts w:eastAsia="Calibri"/>
          <w:noProof/>
          <w:color w:val="000000" w:themeColor="text1"/>
        </w:rPr>
        <w:t>), complemented by nuclear energy</w:t>
      </w:r>
      <w:r w:rsidR="000923AF">
        <w:rPr>
          <w:rFonts w:eastAsia="Calibri"/>
          <w:noProof/>
          <w:color w:val="000000" w:themeColor="text1"/>
        </w:rPr>
        <w:t xml:space="preserve"> (</w:t>
      </w:r>
      <w:r>
        <w:rPr>
          <w:rStyle w:val="FootnoteReference"/>
          <w:rFonts w:eastAsia="Calibri"/>
          <w:noProof/>
          <w:color w:val="000000" w:themeColor="text1"/>
        </w:rPr>
        <w:footnoteReference w:id="22"/>
      </w:r>
      <w:r w:rsidR="000923AF">
        <w:rPr>
          <w:rFonts w:eastAsia="Calibri"/>
          <w:noProof/>
          <w:color w:val="000000" w:themeColor="text1"/>
        </w:rPr>
        <w:t>)</w:t>
      </w:r>
      <w:r>
        <w:rPr>
          <w:rFonts w:eastAsia="Calibri"/>
          <w:noProof/>
          <w:color w:val="000000" w:themeColor="text1"/>
        </w:rPr>
        <w:t>,</w:t>
      </w:r>
      <w:r w:rsidRPr="007663CA">
        <w:rPr>
          <w:rFonts w:eastAsia="Calibri"/>
          <w:noProof/>
          <w:color w:val="000000" w:themeColor="text1"/>
        </w:rPr>
        <w:t xml:space="preserve"> will generate over 90% of the electricity consumption in the EU in 2040</w:t>
      </w:r>
      <w:r>
        <w:rPr>
          <w:rFonts w:eastAsia="Calibri"/>
          <w:noProof/>
          <w:color w:val="000000" w:themeColor="text1"/>
        </w:rPr>
        <w:t xml:space="preserve"> </w:t>
      </w:r>
      <w:r w:rsidRPr="007663CA">
        <w:rPr>
          <w:rFonts w:eastAsia="Calibri"/>
          <w:noProof/>
          <w:color w:val="000000" w:themeColor="text1"/>
        </w:rPr>
        <w:t>(</w:t>
      </w:r>
      <w:r w:rsidRPr="007663CA">
        <w:rPr>
          <w:rStyle w:val="FootnoteReference"/>
          <w:rFonts w:eastAsia="Calibri"/>
          <w:noProof/>
          <w:color w:val="000000" w:themeColor="text1"/>
        </w:rPr>
        <w:footnoteReference w:id="23"/>
      </w:r>
      <w:r w:rsidRPr="007663CA">
        <w:rPr>
          <w:rFonts w:eastAsia="Calibri"/>
          <w:noProof/>
          <w:color w:val="000000" w:themeColor="text1"/>
        </w:rPr>
        <w:t>).</w:t>
      </w:r>
      <w:r>
        <w:rPr>
          <w:rFonts w:eastAsia="Calibri"/>
          <w:noProof/>
          <w:color w:val="000000" w:themeColor="text1"/>
        </w:rPr>
        <w:t xml:space="preserve"> </w:t>
      </w:r>
    </w:p>
    <w:p w14:paraId="4350543C" w14:textId="77777777" w:rsidR="00482E88" w:rsidRPr="007663CA" w:rsidRDefault="00482E88" w:rsidP="00482E88">
      <w:pPr>
        <w:rPr>
          <w:rFonts w:eastAsia="Calibri"/>
          <w:noProof/>
          <w:color w:val="000000" w:themeColor="text1"/>
          <w:highlight w:val="green"/>
        </w:rPr>
      </w:pPr>
      <w:r w:rsidRPr="007663CA">
        <w:rPr>
          <w:rFonts w:eastAsia="Calibri"/>
          <w:noProof/>
          <w:color w:val="000000" w:themeColor="text1"/>
        </w:rPr>
        <w:t>Today, the average yearly gain from the integrated electricity market for European consumers is about EUR 34 billion per year (</w:t>
      </w:r>
      <w:r w:rsidRPr="007663CA">
        <w:rPr>
          <w:rStyle w:val="FootnoteReference"/>
          <w:rFonts w:eastAsia="Calibri"/>
          <w:noProof/>
          <w:color w:val="000000" w:themeColor="text1"/>
        </w:rPr>
        <w:footnoteReference w:id="24"/>
      </w:r>
      <w:r w:rsidRPr="007663CA">
        <w:rPr>
          <w:rFonts w:eastAsia="Calibri"/>
          <w:noProof/>
          <w:color w:val="000000" w:themeColor="text1"/>
        </w:rPr>
        <w:t>)</w:t>
      </w:r>
      <w:r>
        <w:rPr>
          <w:rFonts w:eastAsia="Calibri"/>
          <w:noProof/>
          <w:color w:val="000000" w:themeColor="text1"/>
        </w:rPr>
        <w:t>. H</w:t>
      </w:r>
      <w:r w:rsidRPr="007663CA">
        <w:rPr>
          <w:rFonts w:eastAsia="Calibri"/>
          <w:noProof/>
          <w:color w:val="000000" w:themeColor="text1"/>
        </w:rPr>
        <w:t xml:space="preserve">igher renewable shares </w:t>
      </w:r>
      <w:r>
        <w:rPr>
          <w:rFonts w:eastAsia="Calibri"/>
          <w:noProof/>
          <w:color w:val="000000" w:themeColor="text1"/>
        </w:rPr>
        <w:t xml:space="preserve">and electrification </w:t>
      </w:r>
      <w:r w:rsidRPr="007663CA">
        <w:rPr>
          <w:rFonts w:eastAsia="Calibri"/>
          <w:noProof/>
          <w:color w:val="000000" w:themeColor="text1"/>
        </w:rPr>
        <w:t xml:space="preserve">will require substantial investments in </w:t>
      </w:r>
      <w:r>
        <w:rPr>
          <w:rFonts w:eastAsia="Calibri"/>
          <w:noProof/>
          <w:color w:val="000000" w:themeColor="text1"/>
        </w:rPr>
        <w:t xml:space="preserve">the </w:t>
      </w:r>
      <w:r w:rsidRPr="007663CA">
        <w:rPr>
          <w:rFonts w:eastAsia="Calibri"/>
          <w:noProof/>
          <w:color w:val="000000" w:themeColor="text1"/>
        </w:rPr>
        <w:t>expansion of the EU’s power grids</w:t>
      </w:r>
      <w:r>
        <w:rPr>
          <w:rFonts w:eastAsia="Calibri"/>
          <w:noProof/>
          <w:color w:val="000000" w:themeColor="text1"/>
        </w:rPr>
        <w:t xml:space="preserve"> at distribution and transmission level</w:t>
      </w:r>
      <w:r w:rsidRPr="007663CA">
        <w:rPr>
          <w:rFonts w:eastAsia="Calibri"/>
          <w:noProof/>
          <w:color w:val="000000" w:themeColor="text1"/>
        </w:rPr>
        <w:t>, as well as in upgrading to smarter and more flexible grids. New</w:t>
      </w:r>
      <w:r w:rsidRPr="007663CA" w:rsidDel="004F50C4">
        <w:rPr>
          <w:rFonts w:eastAsia="Calibri"/>
          <w:noProof/>
          <w:color w:val="000000" w:themeColor="text1"/>
        </w:rPr>
        <w:t xml:space="preserve"> </w:t>
      </w:r>
      <w:r w:rsidRPr="007663CA">
        <w:rPr>
          <w:rFonts w:eastAsia="Calibri"/>
          <w:noProof/>
          <w:color w:val="000000" w:themeColor="text1"/>
        </w:rPr>
        <w:t xml:space="preserve">interconnectors expanded distribution grids, energy storage facilities, dispatchable energy supply, flexibility market solutions, and sector coupling will be needed to ensure flexibility and security of supply. The recent EU Grid Action Plan is a first step and its swift implementation should remain a priority for the Commission, Member States and industry in view of delivering on the 2030 and 2040 targets. </w:t>
      </w:r>
      <w:r w:rsidRPr="00F04303">
        <w:rPr>
          <w:rFonts w:eastAsia="Calibri"/>
          <w:noProof/>
          <w:color w:val="000000" w:themeColor="text1"/>
        </w:rPr>
        <w:t>This experience could lead to a comprehensive masterplan for accelerating the development of European integrated energy infrastructure.</w:t>
      </w:r>
      <w:r w:rsidRPr="4F9D8588">
        <w:rPr>
          <w:rFonts w:eastAsia="Calibri"/>
          <w:noProof/>
          <w:color w:val="000000" w:themeColor="text1"/>
        </w:rPr>
        <w:t xml:space="preserve"> </w:t>
      </w:r>
      <w:r w:rsidRPr="007663CA">
        <w:rPr>
          <w:rFonts w:eastAsia="Calibri"/>
          <w:noProof/>
          <w:color w:val="000000" w:themeColor="text1"/>
        </w:rPr>
        <w:t xml:space="preserve">Security and resilience of critical energy infrastructure is a key priority to </w:t>
      </w:r>
      <w:r>
        <w:rPr>
          <w:rFonts w:eastAsia="Calibri"/>
          <w:noProof/>
          <w:color w:val="000000" w:themeColor="text1"/>
        </w:rPr>
        <w:t>for a secure and</w:t>
      </w:r>
      <w:r w:rsidRPr="007663CA">
        <w:rPr>
          <w:rFonts w:eastAsia="Calibri"/>
          <w:noProof/>
          <w:color w:val="000000" w:themeColor="text1"/>
        </w:rPr>
        <w:t xml:space="preserve"> stable energy supply.</w:t>
      </w:r>
      <w:r w:rsidRPr="4F9D8588">
        <w:rPr>
          <w:rFonts w:eastAsia="Calibri"/>
          <w:noProof/>
          <w:color w:val="000000" w:themeColor="text1"/>
          <w:highlight w:val="green"/>
        </w:rPr>
        <w:t xml:space="preserve"> </w:t>
      </w:r>
    </w:p>
    <w:p w14:paraId="7BBC47C7" w14:textId="77777777" w:rsidR="00482E88" w:rsidRPr="007663CA" w:rsidRDefault="00482E88" w:rsidP="00482E88">
      <w:pPr>
        <w:rPr>
          <w:rFonts w:eastAsia="Calibri"/>
          <w:noProof/>
          <w:color w:val="000000" w:themeColor="text1"/>
        </w:rPr>
      </w:pPr>
      <w:r w:rsidRPr="007D36CD">
        <w:rPr>
          <w:rFonts w:eastAsia="Calibri"/>
          <w:noProof/>
          <w:color w:val="000000" w:themeColor="text1"/>
        </w:rPr>
        <w:t>Consumers should be empower</w:t>
      </w:r>
      <w:r>
        <w:rPr>
          <w:rFonts w:eastAsia="Calibri"/>
          <w:noProof/>
          <w:color w:val="000000" w:themeColor="text1"/>
        </w:rPr>
        <w:t>ed</w:t>
      </w:r>
      <w:r w:rsidRPr="007D36CD">
        <w:rPr>
          <w:rFonts w:eastAsia="Calibri"/>
          <w:noProof/>
          <w:color w:val="000000" w:themeColor="text1"/>
        </w:rPr>
        <w:t xml:space="preserve"> to adapt their consumption to market conditions</w:t>
      </w:r>
      <w:r>
        <w:rPr>
          <w:rFonts w:eastAsia="Calibri"/>
          <w:noProof/>
          <w:color w:val="000000" w:themeColor="text1"/>
        </w:rPr>
        <w:t xml:space="preserve">. </w:t>
      </w:r>
      <w:r w:rsidRPr="007663CA">
        <w:rPr>
          <w:rFonts w:eastAsia="Calibri"/>
          <w:noProof/>
          <w:color w:val="000000" w:themeColor="text1"/>
        </w:rPr>
        <w:t>The digitalisation of the energy system, including AI, is key for more flexible energy sources (</w:t>
      </w:r>
      <w:r w:rsidRPr="007663CA">
        <w:rPr>
          <w:rStyle w:val="FootnoteReference"/>
          <w:noProof/>
        </w:rPr>
        <w:footnoteReference w:id="25"/>
      </w:r>
      <w:r w:rsidRPr="007663CA">
        <w:rPr>
          <w:rFonts w:eastAsia="Calibri"/>
          <w:noProof/>
          <w:color w:val="000000" w:themeColor="text1"/>
        </w:rPr>
        <w:t>)</w:t>
      </w:r>
      <w:r w:rsidRPr="007663CA">
        <w:rPr>
          <w:noProof/>
        </w:rPr>
        <w:t>.</w:t>
      </w:r>
    </w:p>
    <w:p w14:paraId="011A902A" w14:textId="77777777" w:rsidR="00482E88" w:rsidRPr="007663CA" w:rsidRDefault="00482E88" w:rsidP="00482E88">
      <w:pPr>
        <w:rPr>
          <w:rFonts w:eastAsia="Calibri"/>
          <w:noProof/>
          <w:color w:val="000000" w:themeColor="text1"/>
        </w:rPr>
      </w:pPr>
      <w:r w:rsidRPr="5A178A04">
        <w:rPr>
          <w:rFonts w:eastAsia="Calibri"/>
          <w:noProof/>
          <w:color w:val="000000" w:themeColor="text1"/>
        </w:rPr>
        <w:t xml:space="preserve">With all these workstreams in mind, avoiding excessive high network tariffs for end users due to </w:t>
      </w:r>
      <w:r w:rsidRPr="00F04303">
        <w:rPr>
          <w:rFonts w:eastAsia="Calibri"/>
          <w:noProof/>
          <w:color w:val="000000" w:themeColor="text1"/>
        </w:rPr>
        <w:t xml:space="preserve">the pay-back of upfront grid investment and electrification will be a key regulatory objective at the EU and national level. </w:t>
      </w:r>
      <w:r w:rsidRPr="3F7F54B7">
        <w:rPr>
          <w:rFonts w:eastAsia="Calibri"/>
          <w:noProof/>
          <w:color w:val="000000" w:themeColor="text1"/>
        </w:rPr>
        <w:t xml:space="preserve"> </w:t>
      </w:r>
    </w:p>
    <w:p w14:paraId="731939E7" w14:textId="77777777" w:rsidR="00482E88" w:rsidRPr="007663CA" w:rsidRDefault="00482E88" w:rsidP="00482E88">
      <w:pPr>
        <w:rPr>
          <w:rFonts w:eastAsia="Calibri"/>
          <w:i/>
          <w:iCs/>
          <w:noProof/>
          <w:color w:val="000000" w:themeColor="text1"/>
        </w:rPr>
      </w:pPr>
      <w:r w:rsidRPr="007663CA">
        <w:rPr>
          <w:rFonts w:eastAsia="Calibri"/>
          <w:i/>
          <w:iCs/>
          <w:noProof/>
          <w:color w:val="000000" w:themeColor="text1"/>
        </w:rPr>
        <w:t xml:space="preserve">Fossil fuels </w:t>
      </w:r>
    </w:p>
    <w:p w14:paraId="29CF37ED" w14:textId="77777777" w:rsidR="00482E88" w:rsidRPr="007663CA" w:rsidRDefault="00482E88" w:rsidP="00482E88">
      <w:pPr>
        <w:rPr>
          <w:rFonts w:eastAsia="Calibri"/>
          <w:noProof/>
          <w:color w:val="000000" w:themeColor="text1"/>
        </w:rPr>
      </w:pPr>
      <w:r w:rsidRPr="00B0247B">
        <w:rPr>
          <w:noProof/>
        </w:rPr>
        <w:t>In 2040, the consumption of fossil fuels for energy would reduce by approximately 80% compared to 2021.</w:t>
      </w:r>
      <w:r>
        <w:rPr>
          <w:noProof/>
        </w:rPr>
        <w:t xml:space="preserve"> Coal will be phased out, while oil in transport (road, maritime and aviation) would represent about 60% of the remaining energy uses of fossil fuels. The remaining use of natural gas would be divided between industry, buildings, and the power system. In line with the international commitment to transition away from fossil fuels, policies should ensure that any remaining fossil fuel combustion will be coupled as soon as possible with </w:t>
      </w:r>
      <w:r w:rsidRPr="5A178A04">
        <w:rPr>
          <w:rFonts w:eastAsia="Times New Roman"/>
          <w:noProof/>
          <w:color w:val="000000" w:themeColor="text1"/>
        </w:rPr>
        <w:t xml:space="preserve">carbon capture (utilisation) and storage. </w:t>
      </w:r>
      <w:r w:rsidRPr="5A178A04">
        <w:rPr>
          <w:rFonts w:eastAsia="Calibri"/>
          <w:noProof/>
          <w:color w:val="000000" w:themeColor="text1"/>
        </w:rPr>
        <w:t xml:space="preserve">The gas market structure will change significantly, with an increasing role for low-carbon and renewable liquid fuels and gases. Gas infrastructure will need to adapt to the decentralized production, and a significant share of the oil and gas network may gradually be repurposed for e-fuels, advanced biofuels and </w:t>
      </w:r>
      <w:r>
        <w:rPr>
          <w:rFonts w:eastAsia="Calibri"/>
          <w:noProof/>
          <w:color w:val="000000" w:themeColor="text1"/>
        </w:rPr>
        <w:t>renewable and low carbon</w:t>
      </w:r>
      <w:r w:rsidRPr="638AB3FE">
        <w:rPr>
          <w:rFonts w:eastAsia="Calibri"/>
          <w:noProof/>
          <w:color w:val="000000" w:themeColor="text1"/>
        </w:rPr>
        <w:t xml:space="preserve"> </w:t>
      </w:r>
      <w:r w:rsidRPr="5A178A04">
        <w:rPr>
          <w:rFonts w:eastAsia="Calibri"/>
          <w:noProof/>
          <w:color w:val="000000" w:themeColor="text1"/>
        </w:rPr>
        <w:t xml:space="preserve">hydrogen. Non-energy uses, such as feedstock for manufacturing, would account for about a third of the remaining fossil fuel consumption. Inefficient fossil fuel subsidies </w:t>
      </w:r>
      <w:r w:rsidRPr="00835695">
        <w:rPr>
          <w:rFonts w:eastAsia="Times New Roman"/>
          <w:noProof/>
        </w:rPr>
        <w:t>which do not address energy poverty or just transition</w:t>
      </w:r>
      <w:r w:rsidRPr="00B82485">
        <w:rPr>
          <w:rFonts w:eastAsia="Times New Roman"/>
          <w:noProof/>
        </w:rPr>
        <w:t xml:space="preserve"> </w:t>
      </w:r>
      <w:r w:rsidRPr="00B82485">
        <w:rPr>
          <w:rFonts w:eastAsia="Calibri"/>
          <w:noProof/>
          <w:color w:val="000000" w:themeColor="text1"/>
        </w:rPr>
        <w:t>should have been phased out</w:t>
      </w:r>
      <w:r>
        <w:rPr>
          <w:rFonts w:eastAsia="Calibri"/>
          <w:noProof/>
          <w:color w:val="000000" w:themeColor="text1"/>
        </w:rPr>
        <w:t xml:space="preserve"> by then</w:t>
      </w:r>
      <w:r w:rsidRPr="00B82485">
        <w:rPr>
          <w:rFonts w:eastAsia="Calibri"/>
          <w:noProof/>
          <w:color w:val="000000" w:themeColor="text1"/>
        </w:rPr>
        <w:t>.</w:t>
      </w:r>
      <w:r w:rsidRPr="5A178A04">
        <w:rPr>
          <w:rFonts w:eastAsia="Calibri"/>
          <w:noProof/>
          <w:color w:val="000000" w:themeColor="text1"/>
        </w:rPr>
        <w:t xml:space="preserve"> </w:t>
      </w:r>
    </w:p>
    <w:p w14:paraId="0DA1386C" w14:textId="77777777" w:rsidR="00482E88" w:rsidRPr="007663CA" w:rsidRDefault="00482E88" w:rsidP="00482E88">
      <w:pPr>
        <w:pStyle w:val="Heading2"/>
        <w:tabs>
          <w:tab w:val="clear" w:pos="360"/>
        </w:tabs>
        <w:ind w:left="0" w:firstLine="0"/>
        <w:rPr>
          <w:noProof/>
        </w:rPr>
      </w:pPr>
      <w:bookmarkStart w:id="21" w:name="_Toc157365430"/>
      <w:bookmarkStart w:id="22" w:name="_Toc157365431"/>
      <w:bookmarkStart w:id="23" w:name="_Toc157365432"/>
      <w:bookmarkStart w:id="24" w:name="_Toc157365433"/>
      <w:bookmarkStart w:id="25" w:name="_Toc157365434"/>
      <w:bookmarkStart w:id="26" w:name="_Toc157365435"/>
      <w:bookmarkStart w:id="27" w:name="_Toc157365436"/>
      <w:bookmarkStart w:id="28" w:name="_Toc157365437"/>
      <w:bookmarkStart w:id="29" w:name="_Toc157365438"/>
      <w:bookmarkStart w:id="30" w:name="_Toc157365439"/>
      <w:bookmarkStart w:id="31" w:name="_Toc157365440"/>
      <w:bookmarkStart w:id="32" w:name="_Toc157365441"/>
      <w:bookmarkStart w:id="33" w:name="_Toc157365442"/>
      <w:bookmarkStart w:id="34" w:name="_Toc157365443"/>
      <w:bookmarkStart w:id="35" w:name="_Toc157365444"/>
      <w:bookmarkStart w:id="36" w:name="_Toc157365445"/>
      <w:bookmarkStart w:id="37" w:name="_Toc157365446"/>
      <w:bookmarkStart w:id="38" w:name="_Toc157365447"/>
      <w:bookmarkStart w:id="39" w:name="_Toc157365448"/>
      <w:bookmarkStart w:id="40" w:name="_Toc157365449"/>
      <w:bookmarkStart w:id="41" w:name="_Toc157365450"/>
      <w:bookmarkStart w:id="42" w:name="_Toc157365451"/>
      <w:bookmarkStart w:id="43" w:name="_Toc158097098"/>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noProof/>
        </w:rPr>
        <w:t>Industry decarbonisation deal</w:t>
      </w:r>
      <w:bookmarkEnd w:id="43"/>
      <w:r>
        <w:rPr>
          <w:noProof/>
        </w:rPr>
        <w:t xml:space="preserve"> </w:t>
      </w:r>
    </w:p>
    <w:p w14:paraId="7CFE38FC" w14:textId="2637D039" w:rsidR="00482E88" w:rsidRDefault="00482E88" w:rsidP="00482E88">
      <w:pPr>
        <w:rPr>
          <w:noProof/>
          <w:sz w:val="22"/>
          <w:szCs w:val="22"/>
          <w:lang w:val="en-IE" w:eastAsia="en-IE"/>
        </w:rPr>
      </w:pPr>
      <w:r w:rsidRPr="007663CA">
        <w:rPr>
          <w:rFonts w:eastAsia="Times New Roman"/>
          <w:noProof/>
        </w:rPr>
        <w:t>To make the European Green Deal succeed</w:t>
      </w:r>
      <w:r w:rsidRPr="007663CA">
        <w:rPr>
          <w:noProof/>
        </w:rPr>
        <w:t xml:space="preserve"> in the </w:t>
      </w:r>
      <w:r w:rsidRPr="007663CA">
        <w:rPr>
          <w:rFonts w:eastAsia="Times New Roman"/>
          <w:noProof/>
        </w:rPr>
        <w:t>next decade, a firmer an</w:t>
      </w:r>
      <w:r w:rsidRPr="00046755">
        <w:rPr>
          <w:rFonts w:eastAsia="Times New Roman"/>
          <w:noProof/>
        </w:rPr>
        <w:t>d renewed European</w:t>
      </w:r>
      <w:r w:rsidRPr="007663CA">
        <w:rPr>
          <w:rFonts w:eastAsia="Times New Roman"/>
          <w:noProof/>
        </w:rPr>
        <w:t xml:space="preserve"> </w:t>
      </w:r>
      <w:bookmarkStart w:id="44" w:name="_Toc155286926"/>
      <w:r w:rsidRPr="007663CA">
        <w:rPr>
          <w:rFonts w:eastAsia="Times New Roman"/>
          <w:noProof/>
        </w:rPr>
        <w:t xml:space="preserve">agenda </w:t>
      </w:r>
      <w:bookmarkEnd w:id="44"/>
      <w:r w:rsidRPr="007663CA">
        <w:rPr>
          <w:rFonts w:eastAsia="Times New Roman"/>
          <w:noProof/>
        </w:rPr>
        <w:t xml:space="preserve">for sustainable industry and competitiveness must complement it now and in the coming years. </w:t>
      </w:r>
      <w:r w:rsidRPr="5A178A04">
        <w:rPr>
          <w:rFonts w:eastAsia="Times New Roman"/>
          <w:noProof/>
        </w:rPr>
        <w:t>This enabling framework for industry decarbonisation will build on</w:t>
      </w:r>
      <w:r w:rsidRPr="76F71683">
        <w:rPr>
          <w:rFonts w:eastAsia="Times New Roman"/>
          <w:noProof/>
        </w:rPr>
        <w:t xml:space="preserve"> </w:t>
      </w:r>
      <w:r>
        <w:rPr>
          <w:rFonts w:eastAsia="Times New Roman"/>
          <w:noProof/>
        </w:rPr>
        <w:t xml:space="preserve"> the Green Deal Industrial Plan</w:t>
      </w:r>
      <w:r w:rsidR="000923AF">
        <w:rPr>
          <w:rFonts w:eastAsia="Times New Roman"/>
          <w:noProof/>
        </w:rPr>
        <w:t xml:space="preserve"> </w:t>
      </w:r>
      <w:r>
        <w:rPr>
          <w:rFonts w:eastAsia="Times New Roman"/>
          <w:noProof/>
        </w:rPr>
        <w:t>(</w:t>
      </w:r>
      <w:r>
        <w:rPr>
          <w:rStyle w:val="FootnoteReference"/>
          <w:rFonts w:eastAsia="Times New Roman"/>
          <w:noProof/>
        </w:rPr>
        <w:footnoteReference w:id="26"/>
      </w:r>
      <w:r>
        <w:rPr>
          <w:rFonts w:eastAsia="Times New Roman"/>
          <w:noProof/>
        </w:rPr>
        <w:t>)</w:t>
      </w:r>
      <w:r w:rsidRPr="007663CA">
        <w:rPr>
          <w:rFonts w:eastAsia="Times New Roman"/>
          <w:noProof/>
        </w:rPr>
        <w:t xml:space="preserve">. Creating the right framework conditions for </w:t>
      </w:r>
      <w:r>
        <w:rPr>
          <w:rFonts w:eastAsia="Times New Roman"/>
          <w:noProof/>
        </w:rPr>
        <w:t xml:space="preserve">all sectors in the economy (including access to finance, skills, affordable energy) </w:t>
      </w:r>
      <w:r w:rsidRPr="007663CA">
        <w:rPr>
          <w:rFonts w:eastAsia="Times New Roman"/>
          <w:noProof/>
        </w:rPr>
        <w:t xml:space="preserve">is a precondition for the successful transition. </w:t>
      </w:r>
      <w:r w:rsidRPr="00AF6F15">
        <w:rPr>
          <w:noProof/>
          <w:lang w:val="en-US"/>
        </w:rPr>
        <w:t>At the same time, there are economic sectors which, given upfront investment for clean technologies and a challenging market environment, merit special attention to adapt their production processes in order to implement the Green Deal framework</w:t>
      </w:r>
      <w:r w:rsidRPr="00AF6F15">
        <w:rPr>
          <w:noProof/>
          <w:lang w:eastAsia="en-IE"/>
        </w:rPr>
        <w:t>.</w:t>
      </w:r>
      <w:r w:rsidRPr="00546BC5">
        <w:rPr>
          <w:noProof/>
          <w:lang w:eastAsia="en-IE"/>
        </w:rPr>
        <w:t xml:space="preserve"> </w:t>
      </w:r>
      <w:r w:rsidRPr="00AF6F15">
        <w:rPr>
          <w:noProof/>
          <w:lang w:eastAsia="en-IE"/>
        </w:rPr>
        <w:t>The same goes for SMEs, who will need dedicated support to access finance for sustainable investments and to navigate the relevant EU regulations.</w:t>
      </w:r>
    </w:p>
    <w:p w14:paraId="1E3F805D" w14:textId="17BBD6A0" w:rsidR="00482E88" w:rsidRDefault="00482E88" w:rsidP="00482E88">
      <w:pPr>
        <w:rPr>
          <w:rFonts w:eastAsia="Times New Roman"/>
          <w:noProof/>
        </w:rPr>
      </w:pPr>
      <w:r>
        <w:rPr>
          <w:rFonts w:eastAsia="Times New Roman"/>
          <w:noProof/>
        </w:rPr>
        <w:t xml:space="preserve">Success in the transformation will allow </w:t>
      </w:r>
      <w:r w:rsidRPr="007663CA">
        <w:rPr>
          <w:rFonts w:eastAsia="Times New Roman"/>
          <w:noProof/>
        </w:rPr>
        <w:t xml:space="preserve">the EU </w:t>
      </w:r>
      <w:r>
        <w:rPr>
          <w:rFonts w:eastAsia="Times New Roman"/>
          <w:noProof/>
        </w:rPr>
        <w:t>to</w:t>
      </w:r>
      <w:r w:rsidRPr="007663CA">
        <w:rPr>
          <w:rFonts w:eastAsia="Times New Roman"/>
          <w:noProof/>
        </w:rPr>
        <w:t xml:space="preserve"> maintain its </w:t>
      </w:r>
      <w:r>
        <w:rPr>
          <w:rFonts w:eastAsia="Times New Roman"/>
          <w:noProof/>
        </w:rPr>
        <w:t xml:space="preserve">industrial strength in sectors </w:t>
      </w:r>
      <w:r w:rsidRPr="007663CA">
        <w:rPr>
          <w:rFonts w:eastAsia="Times New Roman"/>
          <w:noProof/>
        </w:rPr>
        <w:t>like wind power, hydropower, and electrolyser</w:t>
      </w:r>
      <w:r>
        <w:rPr>
          <w:rFonts w:eastAsia="Times New Roman"/>
          <w:noProof/>
        </w:rPr>
        <w:t>s</w:t>
      </w:r>
      <w:r w:rsidRPr="007663CA">
        <w:rPr>
          <w:rFonts w:eastAsia="Times New Roman"/>
          <w:noProof/>
        </w:rPr>
        <w:t>, where it already has a trade surplus</w:t>
      </w:r>
      <w:r>
        <w:rPr>
          <w:rFonts w:eastAsia="Times New Roman"/>
          <w:noProof/>
        </w:rPr>
        <w:t>,</w:t>
      </w:r>
      <w:r w:rsidRPr="007663CA">
        <w:rPr>
          <w:rFonts w:eastAsia="Times New Roman"/>
          <w:noProof/>
        </w:rPr>
        <w:t xml:space="preserve"> and continue </w:t>
      </w:r>
      <w:r>
        <w:rPr>
          <w:rFonts w:eastAsia="Times New Roman"/>
          <w:noProof/>
        </w:rPr>
        <w:t>to</w:t>
      </w:r>
      <w:r w:rsidRPr="007663CA">
        <w:rPr>
          <w:rFonts w:eastAsia="Times New Roman"/>
          <w:noProof/>
        </w:rPr>
        <w:t xml:space="preserve"> </w:t>
      </w:r>
      <w:r w:rsidRPr="000D7111">
        <w:rPr>
          <w:rFonts w:eastAsia="Times New Roman"/>
          <w:noProof/>
        </w:rPr>
        <w:t>increase domestic manufacturing capacity</w:t>
      </w:r>
      <w:r w:rsidRPr="16412C74">
        <w:rPr>
          <w:rFonts w:eastAsia="Times New Roman"/>
          <w:noProof/>
        </w:rPr>
        <w:t xml:space="preserve"> </w:t>
      </w:r>
      <w:r w:rsidRPr="007663CA">
        <w:rPr>
          <w:rFonts w:eastAsia="Times New Roman"/>
          <w:noProof/>
        </w:rPr>
        <w:t xml:space="preserve">in growing sectors like batteries, electric vehicles, heat pumps, solar PV, CCU/CCS, </w:t>
      </w:r>
      <w:r>
        <w:rPr>
          <w:rFonts w:eastAsia="Times New Roman"/>
          <w:noProof/>
        </w:rPr>
        <w:t>technology for</w:t>
      </w:r>
      <w:r w:rsidRPr="007663CA">
        <w:rPr>
          <w:rFonts w:eastAsia="Times New Roman"/>
          <w:noProof/>
        </w:rPr>
        <w:t xml:space="preserve"> </w:t>
      </w:r>
      <w:r>
        <w:rPr>
          <w:rFonts w:eastAsia="Times New Roman"/>
          <w:noProof/>
        </w:rPr>
        <w:t xml:space="preserve">sustainable </w:t>
      </w:r>
      <w:r w:rsidRPr="007663CA">
        <w:rPr>
          <w:rFonts w:eastAsia="Times New Roman"/>
          <w:noProof/>
        </w:rPr>
        <w:t xml:space="preserve">biogas </w:t>
      </w:r>
      <w:r>
        <w:rPr>
          <w:rFonts w:eastAsia="Times New Roman"/>
          <w:noProof/>
        </w:rPr>
        <w:t>and biomethane</w:t>
      </w:r>
      <w:r w:rsidRPr="007663CA">
        <w:rPr>
          <w:rFonts w:eastAsia="Times New Roman"/>
          <w:noProof/>
        </w:rPr>
        <w:t>, and circular economy. The development of strong green and circular industries</w:t>
      </w:r>
      <w:r>
        <w:rPr>
          <w:rFonts w:eastAsia="Times New Roman"/>
          <w:noProof/>
        </w:rPr>
        <w:t xml:space="preserve">, </w:t>
      </w:r>
      <w:r w:rsidRPr="00A666EB">
        <w:rPr>
          <w:rFonts w:eastAsia="Times New Roman"/>
          <w:noProof/>
        </w:rPr>
        <w:t>both domestic</w:t>
      </w:r>
      <w:r w:rsidR="000923AF">
        <w:rPr>
          <w:rFonts w:eastAsia="Times New Roman"/>
          <w:noProof/>
        </w:rPr>
        <w:t>ally</w:t>
      </w:r>
      <w:r w:rsidRPr="00A666EB">
        <w:rPr>
          <w:rFonts w:eastAsia="Times New Roman"/>
          <w:noProof/>
        </w:rPr>
        <w:t xml:space="preserve"> and in like-minded</w:t>
      </w:r>
      <w:r>
        <w:rPr>
          <w:rFonts w:eastAsia="Times New Roman"/>
          <w:noProof/>
        </w:rPr>
        <w:t xml:space="preserve"> partners,</w:t>
      </w:r>
      <w:r w:rsidRPr="007663CA">
        <w:rPr>
          <w:rFonts w:eastAsia="Times New Roman"/>
          <w:noProof/>
        </w:rPr>
        <w:t xml:space="preserve"> will strengthen the EU’s competitive sustainability, </w:t>
      </w:r>
      <w:r w:rsidRPr="00A666EB">
        <w:rPr>
          <w:rFonts w:eastAsia="Times New Roman"/>
          <w:noProof/>
        </w:rPr>
        <w:t>multiply business opportunities for companies, generate economies of scale, as well as benefit more widely to the European economy, generating highly skilled</w:t>
      </w:r>
      <w:r w:rsidRPr="007663CA">
        <w:rPr>
          <w:rFonts w:eastAsia="Times New Roman"/>
          <w:noProof/>
        </w:rPr>
        <w:t xml:space="preserve"> jobs to help and ensure that the climate transition is socially just and inclusive.</w:t>
      </w:r>
    </w:p>
    <w:p w14:paraId="052C3C5E" w14:textId="2CABACF6" w:rsidR="0064336A" w:rsidRDefault="00482E88" w:rsidP="00482E88">
      <w:pPr>
        <w:rPr>
          <w:rFonts w:eastAsia="Times New Roman"/>
          <w:noProof/>
        </w:rPr>
      </w:pPr>
      <w:bookmarkStart w:id="45" w:name="_Hlk157180276"/>
      <w:bookmarkEnd w:id="45"/>
      <w:r w:rsidRPr="002A12CF">
        <w:rPr>
          <w:rFonts w:eastAsia="Times New Roman"/>
          <w:noProof/>
        </w:rPr>
        <w:t xml:space="preserve">Global competition for </w:t>
      </w:r>
      <w:r>
        <w:rPr>
          <w:rFonts w:eastAsia="Times New Roman"/>
          <w:noProof/>
        </w:rPr>
        <w:t xml:space="preserve">zero and </w:t>
      </w:r>
      <w:r w:rsidRPr="002A12CF">
        <w:rPr>
          <w:rFonts w:eastAsia="Times New Roman"/>
          <w:noProof/>
        </w:rPr>
        <w:t>low emission technologies will be intense. Large recourse to public</w:t>
      </w:r>
      <w:r w:rsidRPr="5A178A04">
        <w:rPr>
          <w:rFonts w:eastAsia="Times New Roman"/>
          <w:noProof/>
        </w:rPr>
        <w:t xml:space="preserve"> subsidies and policy initiatives from our main competitors are distorting fair and free trade. Net-zero technologies are the focus of strong geostrategic interests and a global technological race. In China, long term planning, the vertical integration of entire sectors, and public subsidies have driven down costs, leading to China’s dominance in many cleantech supply chains, from raw materials to components and end products. In the US, the US Inflation Reduction Act provides fiscal incentives for investment and production in cleantech manufacturing. Europe is taking action to secure its own leadership role in this race, playing to its core strengths and ensuring win-win partnerships with like-minded partners</w:t>
      </w:r>
      <w:r>
        <w:rPr>
          <w:rFonts w:eastAsia="Times New Roman"/>
          <w:noProof/>
        </w:rPr>
        <w:t xml:space="preserve">. </w:t>
      </w:r>
      <w:r w:rsidRPr="009E1F1D">
        <w:rPr>
          <w:rFonts w:eastAsia="Times New Roman"/>
          <w:noProof/>
        </w:rPr>
        <w:t>.</w:t>
      </w:r>
      <w:r>
        <w:rPr>
          <w:rFonts w:eastAsia="Times New Roman"/>
          <w:noProof/>
        </w:rPr>
        <w:t xml:space="preserve"> </w:t>
      </w:r>
      <w:r w:rsidRPr="001774FA">
        <w:rPr>
          <w:rFonts w:eastAsia="Times New Roman"/>
          <w:noProof/>
        </w:rPr>
        <w:t>It will continue to apply its trade defence instruments to protect the industry from unfair trade imports and, as a result, ensure resilient supply chains.</w:t>
      </w:r>
      <w:r w:rsidRPr="00325497">
        <w:rPr>
          <w:rFonts w:eastAsia="Times New Roman"/>
          <w:noProof/>
        </w:rPr>
        <w:t>Europe’s strength lies, amongst others, in its stability</w:t>
      </w:r>
      <w:r>
        <w:rPr>
          <w:rFonts w:eastAsia="Times New Roman"/>
          <w:noProof/>
        </w:rPr>
        <w:t xml:space="preserve">, </w:t>
      </w:r>
      <w:r w:rsidRPr="00325497">
        <w:rPr>
          <w:rFonts w:eastAsia="Times New Roman"/>
          <w:noProof/>
        </w:rPr>
        <w:t xml:space="preserve">its predictable policies </w:t>
      </w:r>
      <w:r w:rsidRPr="00FD2AE3">
        <w:rPr>
          <w:rFonts w:eastAsia="Times New Roman"/>
          <w:noProof/>
        </w:rPr>
        <w:t>and long history of bringing high quality and innovative industrial solutions to markets.</w:t>
      </w:r>
    </w:p>
    <w:p w14:paraId="67A644D9" w14:textId="77777777" w:rsidR="00482E88" w:rsidRPr="007663CA" w:rsidRDefault="00482E88" w:rsidP="00482E88">
      <w:pPr>
        <w:rPr>
          <w:rFonts w:eastAsia="Times New Roman"/>
          <w:i/>
          <w:noProof/>
        </w:rPr>
      </w:pPr>
      <w:r w:rsidRPr="007663CA">
        <w:rPr>
          <w:rFonts w:eastAsia="Times New Roman"/>
          <w:i/>
          <w:iCs/>
          <w:noProof/>
        </w:rPr>
        <w:t xml:space="preserve">An enabling framework for </w:t>
      </w:r>
      <w:r>
        <w:rPr>
          <w:rFonts w:eastAsia="Times New Roman"/>
          <w:i/>
          <w:iCs/>
          <w:noProof/>
        </w:rPr>
        <w:t>investment and competitiveness</w:t>
      </w:r>
      <w:r w:rsidRPr="007663CA">
        <w:rPr>
          <w:rFonts w:eastAsia="Times New Roman"/>
          <w:i/>
          <w:iCs/>
          <w:noProof/>
        </w:rPr>
        <w:t xml:space="preserve"> in Europe….</w:t>
      </w:r>
    </w:p>
    <w:p w14:paraId="70AC37D5" w14:textId="693D0DDB" w:rsidR="00482E88" w:rsidRPr="007663CA" w:rsidRDefault="00482E88" w:rsidP="00482E88">
      <w:pPr>
        <w:rPr>
          <w:rFonts w:eastAsia="Times New Roman"/>
          <w:noProof/>
        </w:rPr>
      </w:pPr>
      <w:r>
        <w:rPr>
          <w:rFonts w:eastAsia="Times New Roman"/>
          <w:noProof/>
        </w:rPr>
        <w:t>S</w:t>
      </w:r>
      <w:r w:rsidRPr="007663CA">
        <w:rPr>
          <w:rFonts w:eastAsia="Times New Roman"/>
          <w:noProof/>
        </w:rPr>
        <w:t>ecur</w:t>
      </w:r>
      <w:r>
        <w:rPr>
          <w:rFonts w:eastAsia="Times New Roman"/>
          <w:noProof/>
        </w:rPr>
        <w:t>ing</w:t>
      </w:r>
      <w:r w:rsidRPr="007663CA">
        <w:rPr>
          <w:rFonts w:eastAsia="Times New Roman"/>
          <w:noProof/>
        </w:rPr>
        <w:t xml:space="preserve"> a conducive regulatory and financing environment </w:t>
      </w:r>
      <w:r>
        <w:rPr>
          <w:rFonts w:eastAsia="Times New Roman"/>
          <w:noProof/>
        </w:rPr>
        <w:t>will</w:t>
      </w:r>
      <w:r w:rsidRPr="007663CA">
        <w:rPr>
          <w:rFonts w:eastAsia="Times New Roman"/>
          <w:noProof/>
        </w:rPr>
        <w:t xml:space="preserve"> attract investment and production to Europe. The Critical Raw Materials Act</w:t>
      </w:r>
      <w:r>
        <w:rPr>
          <w:rFonts w:eastAsia="Times New Roman"/>
          <w:noProof/>
        </w:rPr>
        <w:t xml:space="preserve">, </w:t>
      </w:r>
      <w:r w:rsidRPr="0096294F">
        <w:rPr>
          <w:rFonts w:eastAsia="Times New Roman"/>
          <w:noProof/>
        </w:rPr>
        <w:t>the Ecodesign for Sustainable Products Regulation</w:t>
      </w:r>
      <w:r w:rsidRPr="007663CA">
        <w:rPr>
          <w:rFonts w:eastAsia="Times New Roman"/>
          <w:noProof/>
        </w:rPr>
        <w:t xml:space="preserve"> and the Net Zero Industry Act are key instruments to deliver </w:t>
      </w:r>
      <w:r>
        <w:rPr>
          <w:rFonts w:eastAsia="Times New Roman"/>
          <w:noProof/>
        </w:rPr>
        <w:t xml:space="preserve">an open </w:t>
      </w:r>
      <w:r w:rsidRPr="007663CA">
        <w:rPr>
          <w:rFonts w:eastAsia="Times New Roman"/>
          <w:noProof/>
        </w:rPr>
        <w:t>strategic autonomy, including by scaling up domestic production</w:t>
      </w:r>
      <w:r>
        <w:rPr>
          <w:rFonts w:eastAsia="Times New Roman"/>
          <w:noProof/>
        </w:rPr>
        <w:t>, setting up key partnerships with like-minded partners</w:t>
      </w:r>
      <w:r w:rsidRPr="007663CA">
        <w:rPr>
          <w:rFonts w:eastAsia="Times New Roman"/>
          <w:noProof/>
        </w:rPr>
        <w:t xml:space="preserve">, </w:t>
      </w:r>
      <w:r w:rsidRPr="0050425E">
        <w:rPr>
          <w:rFonts w:eastAsia="Times New Roman"/>
          <w:noProof/>
        </w:rPr>
        <w:t>applying circular economy approache</w:t>
      </w:r>
      <w:r>
        <w:rPr>
          <w:rFonts w:eastAsia="Times New Roman"/>
          <w:noProof/>
        </w:rPr>
        <w:t>s</w:t>
      </w:r>
      <w:r w:rsidRPr="0050425E">
        <w:rPr>
          <w:rFonts w:eastAsia="Times New Roman"/>
          <w:noProof/>
        </w:rPr>
        <w:t xml:space="preserve"> along the value chain</w:t>
      </w:r>
      <w:r w:rsidRPr="007663CA">
        <w:rPr>
          <w:rFonts w:eastAsia="Times New Roman"/>
          <w:noProof/>
        </w:rPr>
        <w:t xml:space="preserve">, diversification, strategic projects and easier permitting across technologies and infrastructure. </w:t>
      </w:r>
      <w:r>
        <w:rPr>
          <w:rFonts w:eastAsia="Times New Roman"/>
          <w:noProof/>
        </w:rPr>
        <w:t xml:space="preserve">The Net Zero Industry Act is a concrete step in creating an industrial business case for the European transition to carbon neutrality. It addresses the right topics by substantially accelerating permitting, focusing R&amp;D investments, and access to existing EU funding schemes. </w:t>
      </w:r>
    </w:p>
    <w:p w14:paraId="19E6E203" w14:textId="14B2C4AF" w:rsidR="00482E88" w:rsidRPr="007663CA" w:rsidRDefault="00482E88" w:rsidP="00482E88">
      <w:pPr>
        <w:rPr>
          <w:rFonts w:eastAsia="Times New Roman"/>
          <w:noProof/>
        </w:rPr>
      </w:pPr>
      <w:bookmarkStart w:id="46" w:name="_Hlk156292416"/>
      <w:r>
        <w:rPr>
          <w:rFonts w:eastAsia="Times New Roman"/>
          <w:noProof/>
        </w:rPr>
        <w:t>I</w:t>
      </w:r>
      <w:r w:rsidRPr="007663CA">
        <w:rPr>
          <w:rFonts w:eastAsia="Times New Roman"/>
          <w:noProof/>
        </w:rPr>
        <w:t>ndustrial policy should</w:t>
      </w:r>
      <w:r>
        <w:rPr>
          <w:rFonts w:eastAsia="Times New Roman"/>
          <w:noProof/>
        </w:rPr>
        <w:t xml:space="preserve"> </w:t>
      </w:r>
      <w:r w:rsidRPr="007663CA">
        <w:rPr>
          <w:rFonts w:eastAsia="Times New Roman"/>
          <w:noProof/>
        </w:rPr>
        <w:t xml:space="preserve">strengthen </w:t>
      </w:r>
      <w:r>
        <w:rPr>
          <w:rFonts w:eastAsia="Times New Roman"/>
          <w:noProof/>
        </w:rPr>
        <w:t xml:space="preserve">those sectors that are needed for the green transition, but may be challenged by this transition as they are harder to decarbonise, and hence fail without targeted and conditioned </w:t>
      </w:r>
      <w:r w:rsidRPr="5A178A04">
        <w:rPr>
          <w:rFonts w:eastAsia="Times New Roman"/>
          <w:noProof/>
        </w:rPr>
        <w:t>attention and</w:t>
      </w:r>
      <w:r w:rsidRPr="4BC87FB0">
        <w:rPr>
          <w:rFonts w:eastAsia="Times New Roman"/>
          <w:noProof/>
        </w:rPr>
        <w:t xml:space="preserve"> support.</w:t>
      </w:r>
      <w:r>
        <w:rPr>
          <w:rFonts w:eastAsia="Times New Roman"/>
          <w:noProof/>
        </w:rPr>
        <w:t xml:space="preserve"> E</w:t>
      </w:r>
      <w:r>
        <w:rPr>
          <w:noProof/>
        </w:rPr>
        <w:t>xamples</w:t>
      </w:r>
      <w:r w:rsidRPr="007663CA">
        <w:rPr>
          <w:noProof/>
        </w:rPr>
        <w:t xml:space="preserve"> </w:t>
      </w:r>
      <w:r>
        <w:rPr>
          <w:noProof/>
        </w:rPr>
        <w:t>could include</w:t>
      </w:r>
      <w:r w:rsidRPr="007663CA">
        <w:rPr>
          <w:noProof/>
        </w:rPr>
        <w:t xml:space="preserve"> industrial alliances and symbiotic industrial clusters</w:t>
      </w:r>
      <w:r>
        <w:rPr>
          <w:noProof/>
        </w:rPr>
        <w:t>, like hydrogen valleys</w:t>
      </w:r>
      <w:r w:rsidR="000923AF">
        <w:rPr>
          <w:noProof/>
        </w:rPr>
        <w:t xml:space="preserve"> </w:t>
      </w:r>
      <w:r>
        <w:rPr>
          <w:noProof/>
        </w:rPr>
        <w:t>(</w:t>
      </w:r>
      <w:r>
        <w:rPr>
          <w:rStyle w:val="FootnoteReference"/>
          <w:noProof/>
        </w:rPr>
        <w:footnoteReference w:id="27"/>
      </w:r>
      <w:r>
        <w:rPr>
          <w:noProof/>
        </w:rPr>
        <w:t>), within the EU and its neighbourhood</w:t>
      </w:r>
      <w:r w:rsidRPr="007663CA">
        <w:rPr>
          <w:noProof/>
        </w:rPr>
        <w:t>. Such clusters help suppliers of clean technologies to scale up their operations, and improve their commercial viability by supplying several industrial off-takers</w:t>
      </w:r>
      <w:r>
        <w:rPr>
          <w:noProof/>
        </w:rPr>
        <w:t xml:space="preserve"> </w:t>
      </w:r>
      <w:r w:rsidRPr="007663CA">
        <w:rPr>
          <w:noProof/>
        </w:rPr>
        <w:t xml:space="preserve">within a cluster, while manufacturing industry could decarbonise their operations more effectively and at a lower cost by securing access to clean technologies and sharing costs. </w:t>
      </w:r>
      <w:r w:rsidRPr="008D390A">
        <w:rPr>
          <w:noProof/>
        </w:rPr>
        <w:t xml:space="preserve">Particular attention should be paid to the creation of lead markets for clean technologies and products in Europe, embracing, among others, circularity, and </w:t>
      </w:r>
      <w:r>
        <w:rPr>
          <w:noProof/>
        </w:rPr>
        <w:t xml:space="preserve">sustainably sourced </w:t>
      </w:r>
      <w:r w:rsidRPr="008D390A">
        <w:rPr>
          <w:noProof/>
        </w:rPr>
        <w:t>bio-based products.</w:t>
      </w:r>
    </w:p>
    <w:bookmarkEnd w:id="46"/>
    <w:p w14:paraId="49795BD7" w14:textId="664984EF" w:rsidR="00482E88" w:rsidRDefault="00482E88" w:rsidP="00482E88">
      <w:pPr>
        <w:rPr>
          <w:noProof/>
        </w:rPr>
      </w:pPr>
      <w:r w:rsidRPr="00715ADF">
        <w:rPr>
          <w:rFonts w:eastAsia="Times New Roman"/>
          <w:noProof/>
        </w:rPr>
        <w:t xml:space="preserve">Furthermore, </w:t>
      </w:r>
      <w:r w:rsidRPr="00D45D74">
        <w:rPr>
          <w:rFonts w:eastAsia="Times New Roman"/>
          <w:noProof/>
        </w:rPr>
        <w:t>bridging</w:t>
      </w:r>
      <w:r w:rsidRPr="00715ADF">
        <w:rPr>
          <w:rFonts w:eastAsia="Times New Roman"/>
          <w:noProof/>
        </w:rPr>
        <w:t xml:space="preserve"> instruments are required to support industries before they become commercially viable.</w:t>
      </w:r>
      <w:r w:rsidRPr="00D45D74">
        <w:rPr>
          <w:noProof/>
        </w:rPr>
        <w:t xml:space="preserve"> This</w:t>
      </w:r>
      <w:r>
        <w:rPr>
          <w:noProof/>
        </w:rPr>
        <w:t xml:space="preserve"> requires a comprehensive reflection on all elements leading to private investments: from taxation to access to finance, from skills to regulatory burdens and energy costs for the day-to-day business activities. In this context, far more and continued attention is needed for a simplified regulatory environment for business and a fresh impetus in a strong Single Market that removes undue national regulatory barriers, especially for key technologies. This allows businesses to ramp up standard solutions across Europe, thus boosting their economic attractiveness for investors and is a crucial element for the future success of the EU agenda. </w:t>
      </w:r>
    </w:p>
    <w:p w14:paraId="4FC51D46" w14:textId="499E1603" w:rsidR="00482E88" w:rsidRDefault="00482E88" w:rsidP="00482E88">
      <w:pPr>
        <w:rPr>
          <w:noProof/>
        </w:rPr>
      </w:pPr>
      <w:r>
        <w:rPr>
          <w:noProof/>
        </w:rPr>
        <w:t>Particular attention should also be paid to the role of SMEs. They are drivers of the transition, vital in a number of supply chains and very often also impacted at large by changes in the policy and regulatory framework. Given their more limited size, and by extension resources, they may need additional support to adapt for instance their production processes in order to implement the Green Deal framework.</w:t>
      </w:r>
    </w:p>
    <w:p w14:paraId="5800DBEC" w14:textId="56E68FE8" w:rsidR="00482E88" w:rsidRDefault="00482E88" w:rsidP="00482E88">
      <w:pPr>
        <w:rPr>
          <w:rFonts w:eastAsia="Times New Roman"/>
          <w:noProof/>
        </w:rPr>
      </w:pPr>
      <w:r>
        <w:rPr>
          <w:rFonts w:eastAsia="Times New Roman"/>
          <w:noProof/>
        </w:rPr>
        <w:t>P</w:t>
      </w:r>
      <w:r w:rsidRPr="007663CA">
        <w:rPr>
          <w:rFonts w:eastAsia="Times New Roman"/>
          <w:noProof/>
        </w:rPr>
        <w:t xml:space="preserve">ublic investment must be well-targeted, with the right mix and pooling of </w:t>
      </w:r>
      <w:r w:rsidRPr="00046755">
        <w:rPr>
          <w:rFonts w:eastAsia="Times New Roman"/>
          <w:noProof/>
        </w:rPr>
        <w:t>large-scale</w:t>
      </w:r>
      <w:r w:rsidRPr="007663CA">
        <w:rPr>
          <w:rFonts w:eastAsia="Times New Roman"/>
          <w:noProof/>
        </w:rPr>
        <w:t xml:space="preserve"> grants, loans, </w:t>
      </w:r>
      <w:r>
        <w:rPr>
          <w:rFonts w:eastAsia="Times New Roman"/>
          <w:noProof/>
        </w:rPr>
        <w:t>equity,</w:t>
      </w:r>
      <w:r w:rsidRPr="007663CA">
        <w:rPr>
          <w:rFonts w:eastAsia="Times New Roman"/>
          <w:noProof/>
        </w:rPr>
        <w:t xml:space="preserve"> guarantees</w:t>
      </w:r>
      <w:r>
        <w:rPr>
          <w:rFonts w:eastAsia="Times New Roman"/>
          <w:noProof/>
        </w:rPr>
        <w:t>, advisory</w:t>
      </w:r>
      <w:r w:rsidRPr="007663CA">
        <w:rPr>
          <w:rFonts w:eastAsia="Times New Roman"/>
          <w:noProof/>
        </w:rPr>
        <w:t xml:space="preserve"> and other public </w:t>
      </w:r>
      <w:r>
        <w:rPr>
          <w:rFonts w:eastAsia="Times New Roman"/>
          <w:noProof/>
        </w:rPr>
        <w:t>support</w:t>
      </w:r>
      <w:r w:rsidRPr="007663CA">
        <w:rPr>
          <w:rFonts w:eastAsia="Times New Roman"/>
          <w:noProof/>
        </w:rPr>
        <w:t xml:space="preserve">, which is accessible in the quickest and simplest manner. </w:t>
      </w:r>
      <w:r w:rsidRPr="00FC4D34">
        <w:rPr>
          <w:rFonts w:eastAsia="Times New Roman"/>
          <w:noProof/>
        </w:rPr>
        <w:t xml:space="preserve">The Recovery and Resilience Facility (RRF), the instrument at the heart of NextGenerationEU </w:t>
      </w:r>
      <w:r>
        <w:rPr>
          <w:rFonts w:eastAsia="Times New Roman"/>
          <w:noProof/>
        </w:rPr>
        <w:t>will continue to contribute to</w:t>
      </w:r>
      <w:r w:rsidRPr="00FC4D34">
        <w:rPr>
          <w:rFonts w:eastAsia="Times New Roman"/>
          <w:noProof/>
        </w:rPr>
        <w:t xml:space="preserve"> the green transition.</w:t>
      </w:r>
      <w:r w:rsidRPr="007663CA">
        <w:rPr>
          <w:rFonts w:eastAsia="Times New Roman"/>
          <w:noProof/>
        </w:rPr>
        <w:t xml:space="preserve"> The Innovation Fund, </w:t>
      </w:r>
      <w:r>
        <w:rPr>
          <w:rFonts w:eastAsia="Times New Roman"/>
          <w:noProof/>
        </w:rPr>
        <w:t xml:space="preserve">estimated to amount to EUR 40 billion by 2030, </w:t>
      </w:r>
      <w:r w:rsidRPr="007663CA">
        <w:rPr>
          <w:rFonts w:eastAsia="Times New Roman"/>
          <w:noProof/>
        </w:rPr>
        <w:t>can play a big role</w:t>
      </w:r>
      <w:r>
        <w:rPr>
          <w:rFonts w:eastAsia="Times New Roman"/>
          <w:noProof/>
        </w:rPr>
        <w:t>,</w:t>
      </w:r>
      <w:r w:rsidRPr="007663CA">
        <w:rPr>
          <w:rFonts w:eastAsia="Times New Roman"/>
          <w:noProof/>
        </w:rPr>
        <w:t xml:space="preserve"> including through EU-wide competitive bidding instruments and </w:t>
      </w:r>
      <w:r w:rsidRPr="00282719">
        <w:rPr>
          <w:rFonts w:eastAsia="Times New Roman"/>
          <w:noProof/>
        </w:rPr>
        <w:t>‘auctions-as-a-service’</w:t>
      </w:r>
      <w:r>
        <w:rPr>
          <w:rFonts w:eastAsia="Times New Roman"/>
          <w:noProof/>
        </w:rPr>
        <w:t xml:space="preserve"> jointly with Member States</w:t>
      </w:r>
      <w:r w:rsidRPr="00282719">
        <w:rPr>
          <w:rFonts w:eastAsia="Times New Roman"/>
          <w:noProof/>
        </w:rPr>
        <w:t>.</w:t>
      </w:r>
      <w:r w:rsidRPr="00891282">
        <w:rPr>
          <w:noProof/>
        </w:rPr>
        <w:t xml:space="preserve"> </w:t>
      </w:r>
      <w:r w:rsidRPr="00891282">
        <w:rPr>
          <w:rFonts w:eastAsia="Times New Roman"/>
          <w:noProof/>
        </w:rPr>
        <w:t>The InvestEU budgetary guarantee is expected to mobili</w:t>
      </w:r>
      <w:r>
        <w:rPr>
          <w:rFonts w:eastAsia="Times New Roman"/>
          <w:noProof/>
        </w:rPr>
        <w:t>s</w:t>
      </w:r>
      <w:r w:rsidRPr="00891282">
        <w:rPr>
          <w:rFonts w:eastAsia="Times New Roman"/>
          <w:noProof/>
        </w:rPr>
        <w:t xml:space="preserve">e more than </w:t>
      </w:r>
      <w:r w:rsidRPr="00F60CFB">
        <w:rPr>
          <w:rFonts w:eastAsia="Times New Roman"/>
          <w:noProof/>
        </w:rPr>
        <w:t>110 billion</w:t>
      </w:r>
      <w:r w:rsidRPr="00891282">
        <w:rPr>
          <w:rFonts w:eastAsia="Times New Roman"/>
          <w:noProof/>
        </w:rPr>
        <w:t xml:space="preserve"> of green investment building on Union budgetary alongside EIB Group and other implementing partners’ resources.</w:t>
      </w:r>
      <w:r>
        <w:rPr>
          <w:rFonts w:eastAsia="Times New Roman"/>
          <w:noProof/>
        </w:rPr>
        <w:t xml:space="preserve"> </w:t>
      </w:r>
    </w:p>
    <w:p w14:paraId="449E9664" w14:textId="77777777" w:rsidR="00482E88" w:rsidRPr="007663CA" w:rsidRDefault="00482E88" w:rsidP="00482E88">
      <w:pPr>
        <w:rPr>
          <w:rFonts w:eastAsia="Times New Roman"/>
          <w:noProof/>
        </w:rPr>
      </w:pPr>
      <w:r w:rsidRPr="5A178A04">
        <w:rPr>
          <w:rFonts w:eastAsia="Times New Roman"/>
          <w:i/>
          <w:iCs/>
          <w:noProof/>
        </w:rPr>
        <w:t>With due attention for decarbonised and competitive manufacturing industry</w:t>
      </w:r>
      <w:r w:rsidRPr="5A178A04">
        <w:rPr>
          <w:rFonts w:eastAsia="Times New Roman"/>
          <w:noProof/>
        </w:rPr>
        <w:t xml:space="preserve"> </w:t>
      </w:r>
    </w:p>
    <w:p w14:paraId="12FC5931" w14:textId="29303BF3" w:rsidR="00482E88" w:rsidRDefault="00482E88" w:rsidP="00482E88">
      <w:pPr>
        <w:rPr>
          <w:rFonts w:eastAsia="Times New Roman"/>
          <w:noProof/>
        </w:rPr>
      </w:pPr>
      <w:r w:rsidRPr="007663CA">
        <w:rPr>
          <w:rFonts w:eastAsia="Times New Roman"/>
          <w:noProof/>
        </w:rPr>
        <w:t>Electrification,</w:t>
      </w:r>
      <w:r>
        <w:rPr>
          <w:rFonts w:eastAsia="Times New Roman"/>
          <w:noProof/>
        </w:rPr>
        <w:t xml:space="preserve"> adapted production processes</w:t>
      </w:r>
      <w:r w:rsidRPr="007663CA">
        <w:rPr>
          <w:rFonts w:eastAsia="Times New Roman"/>
          <w:noProof/>
        </w:rPr>
        <w:t xml:space="preserve">, low carbon fuels and a full deployment of capture for process emissions will allow </w:t>
      </w:r>
      <w:r w:rsidRPr="00772541">
        <w:rPr>
          <w:rFonts w:eastAsia="Times New Roman"/>
          <w:noProof/>
        </w:rPr>
        <w:t>manufacturing</w:t>
      </w:r>
      <w:r>
        <w:rPr>
          <w:rFonts w:eastAsia="Times New Roman"/>
          <w:noProof/>
        </w:rPr>
        <w:t xml:space="preserve"> </w:t>
      </w:r>
      <w:r w:rsidRPr="0084550A">
        <w:rPr>
          <w:rFonts w:eastAsia="Times New Roman"/>
          <w:noProof/>
        </w:rPr>
        <w:t>industry to significantly reduce CO</w:t>
      </w:r>
      <w:r w:rsidRPr="0084550A">
        <w:rPr>
          <w:rFonts w:eastAsia="Times New Roman"/>
          <w:noProof/>
          <w:sz w:val="22"/>
          <w:szCs w:val="22"/>
          <w:vertAlign w:val="subscript"/>
        </w:rPr>
        <w:t>2</w:t>
      </w:r>
      <w:r w:rsidRPr="0084550A">
        <w:rPr>
          <w:rFonts w:eastAsia="Times New Roman"/>
          <w:noProof/>
        </w:rPr>
        <w:t xml:space="preserve"> emissions by 2040. The EU ETS with its common carbon price,</w:t>
      </w:r>
      <w:r w:rsidRPr="007663CA">
        <w:rPr>
          <w:rFonts w:eastAsia="Times New Roman"/>
          <w:noProof/>
        </w:rPr>
        <w:t xml:space="preserve"> provides a market-based tool to innovate with long-term predictability for Europe’s main emitters.</w:t>
      </w:r>
      <w:r w:rsidRPr="007663CA">
        <w:rPr>
          <w:rFonts w:ascii="Segoe UI" w:eastAsia="Segoe UI" w:hAnsi="Segoe UI" w:cs="Segoe UI"/>
          <w:noProof/>
          <w:sz w:val="18"/>
          <w:szCs w:val="18"/>
        </w:rPr>
        <w:t xml:space="preserve"> </w:t>
      </w:r>
      <w:r w:rsidRPr="007663CA">
        <w:rPr>
          <w:rFonts w:eastAsia="Times New Roman"/>
          <w:noProof/>
        </w:rPr>
        <w:t>For some industries, this implies investing in a profound transformation of the production process</w:t>
      </w:r>
      <w:r w:rsidR="000923AF">
        <w:rPr>
          <w:rFonts w:eastAsia="Times New Roman"/>
          <w:noProof/>
        </w:rPr>
        <w:t xml:space="preserve"> </w:t>
      </w:r>
      <w:r>
        <w:rPr>
          <w:rFonts w:eastAsia="Times New Roman"/>
          <w:noProof/>
        </w:rPr>
        <w:t>(</w:t>
      </w:r>
      <w:r>
        <w:rPr>
          <w:rStyle w:val="FootnoteReference"/>
          <w:rFonts w:eastAsia="Times New Roman"/>
          <w:noProof/>
        </w:rPr>
        <w:footnoteReference w:id="28"/>
      </w:r>
      <w:r>
        <w:rPr>
          <w:rFonts w:eastAsia="Times New Roman"/>
          <w:noProof/>
        </w:rPr>
        <w:t>).</w:t>
      </w:r>
      <w:r w:rsidRPr="007663CA">
        <w:rPr>
          <w:rFonts w:eastAsia="Times New Roman"/>
          <w:noProof/>
        </w:rPr>
        <w:t xml:space="preserve"> Carbon capture</w:t>
      </w:r>
      <w:r>
        <w:rPr>
          <w:rFonts w:eastAsia="Times New Roman"/>
          <w:noProof/>
        </w:rPr>
        <w:t>, use and storage</w:t>
      </w:r>
      <w:r w:rsidRPr="007663CA">
        <w:rPr>
          <w:rFonts w:eastAsia="Times New Roman"/>
          <w:noProof/>
        </w:rPr>
        <w:t xml:space="preserve"> is a solution in hard-to-abate sectors in the absence of other solutions. </w:t>
      </w:r>
    </w:p>
    <w:p w14:paraId="75F65EA0" w14:textId="77777777" w:rsidR="00482E88" w:rsidRDefault="00482E88" w:rsidP="00482E88">
      <w:pPr>
        <w:rPr>
          <w:rFonts w:eastAsia="Times New Roman"/>
          <w:noProof/>
        </w:rPr>
      </w:pPr>
      <w:r>
        <w:rPr>
          <w:rFonts w:eastAsia="Times New Roman"/>
          <w:noProof/>
        </w:rPr>
        <w:t>E</w:t>
      </w:r>
      <w:r w:rsidRPr="007663CA">
        <w:rPr>
          <w:rFonts w:eastAsia="Times New Roman"/>
          <w:noProof/>
        </w:rPr>
        <w:t xml:space="preserve">nergy costs are key for the competitiveness of </w:t>
      </w:r>
      <w:r w:rsidRPr="00046755">
        <w:rPr>
          <w:rFonts w:eastAsia="Times New Roman"/>
          <w:noProof/>
        </w:rPr>
        <w:t>industry and in particular</w:t>
      </w:r>
      <w:r w:rsidRPr="007663CA">
        <w:rPr>
          <w:rFonts w:eastAsia="Times New Roman"/>
          <w:noProof/>
        </w:rPr>
        <w:t xml:space="preserve"> European Energy Intensive Industrie</w:t>
      </w:r>
      <w:r>
        <w:rPr>
          <w:rFonts w:eastAsia="Times New Roman"/>
          <w:noProof/>
        </w:rPr>
        <w:t>s (</w:t>
      </w:r>
      <w:r>
        <w:rPr>
          <w:rStyle w:val="FootnoteReference"/>
          <w:rFonts w:eastAsia="Times New Roman"/>
          <w:noProof/>
        </w:rPr>
        <w:footnoteReference w:id="29"/>
      </w:r>
      <w:r>
        <w:rPr>
          <w:rFonts w:eastAsia="Times New Roman"/>
          <w:noProof/>
        </w:rPr>
        <w:t xml:space="preserve">) </w:t>
      </w:r>
      <w:r w:rsidRPr="007663CA">
        <w:rPr>
          <w:rFonts w:eastAsia="Times New Roman"/>
          <w:noProof/>
        </w:rPr>
        <w:t xml:space="preserve">and merit particular attention with dedicated policies to allow early movers to clean energy to benefit from a smooth transition in energy prices. </w:t>
      </w:r>
      <w:r>
        <w:rPr>
          <w:rFonts w:eastAsia="Times New Roman"/>
          <w:noProof/>
        </w:rPr>
        <w:t>A</w:t>
      </w:r>
      <w:r w:rsidRPr="007663CA">
        <w:rPr>
          <w:rFonts w:eastAsia="Times New Roman"/>
          <w:noProof/>
        </w:rPr>
        <w:t>s a start, the adopted Electricity Market Design Reform makes energy bills of companies more independent from the short-term market price of electricity. F</w:t>
      </w:r>
      <w:r w:rsidRPr="00046755">
        <w:rPr>
          <w:rFonts w:eastAsia="Times New Roman"/>
          <w:noProof/>
        </w:rPr>
        <w:t xml:space="preserve">urther expansion of the principle of </w:t>
      </w:r>
      <w:r w:rsidRPr="007663CA">
        <w:rPr>
          <w:rFonts w:eastAsia="Times New Roman"/>
          <w:noProof/>
        </w:rPr>
        <w:t>competitive sustainability</w:t>
      </w:r>
      <w:r w:rsidRPr="00046755">
        <w:rPr>
          <w:rFonts w:eastAsia="Times New Roman"/>
          <w:noProof/>
        </w:rPr>
        <w:t xml:space="preserve"> by rewarding European companies investing in low carbon technologies, including through public procurement processes o</w:t>
      </w:r>
      <w:r w:rsidRPr="5A178A04">
        <w:rPr>
          <w:rFonts w:eastAsia="Times New Roman"/>
          <w:noProof/>
        </w:rPr>
        <w:t xml:space="preserve">r through targeted reforms in electricity grid </w:t>
      </w:r>
      <w:r w:rsidRPr="004E6390">
        <w:rPr>
          <w:rFonts w:eastAsia="Times New Roman"/>
          <w:noProof/>
        </w:rPr>
        <w:t>access regulations,</w:t>
      </w:r>
      <w:r w:rsidRPr="00082E09">
        <w:rPr>
          <w:rFonts w:eastAsia="Times New Roman"/>
          <w:noProof/>
        </w:rPr>
        <w:t xml:space="preserve"> will</w:t>
      </w:r>
      <w:r w:rsidRPr="00046755">
        <w:rPr>
          <w:rFonts w:eastAsia="Times New Roman"/>
          <w:noProof/>
        </w:rPr>
        <w:t xml:space="preserve"> be key both to create a thriving domestic manufacturing base and achieve climate ambition.</w:t>
      </w:r>
    </w:p>
    <w:p w14:paraId="07991850" w14:textId="77777777" w:rsidR="00482E88" w:rsidRPr="007663CA" w:rsidRDefault="00482E88" w:rsidP="00482E88">
      <w:pPr>
        <w:rPr>
          <w:rFonts w:eastAsia="Times New Roman"/>
          <w:noProof/>
        </w:rPr>
      </w:pPr>
      <w:r w:rsidRPr="007663CA">
        <w:rPr>
          <w:rFonts w:eastAsia="Times New Roman"/>
          <w:i/>
          <w:iCs/>
          <w:noProof/>
        </w:rPr>
        <w:t>… built on a more circular economy</w:t>
      </w:r>
      <w:r>
        <w:rPr>
          <w:rFonts w:eastAsia="Times New Roman"/>
          <w:i/>
          <w:iCs/>
          <w:noProof/>
        </w:rPr>
        <w:t xml:space="preserve"> and sustainable bioeconomy</w:t>
      </w:r>
    </w:p>
    <w:p w14:paraId="17467607" w14:textId="77777777" w:rsidR="00482E88" w:rsidRPr="007663CA" w:rsidRDefault="00482E88" w:rsidP="00482E88">
      <w:pPr>
        <w:rPr>
          <w:rFonts w:eastAsia="Times New Roman"/>
          <w:noProof/>
        </w:rPr>
      </w:pPr>
      <w:r w:rsidRPr="5A178A04">
        <w:rPr>
          <w:rFonts w:eastAsia="Times New Roman"/>
          <w:noProof/>
        </w:rPr>
        <w:t xml:space="preserve">The Impact Assessment shows that up until 2040, the circular economy will become increasingly important to achieve both climate ambition and a new prosperity model for Europe. It is key to wed action against climate change and excessive resources use with new economic opportunities and greater EU autonomy. This makes implementation of the Circular Economy Action Plan a must and calls for a renewed partnership with industry for a circular economy agenda going forward. </w:t>
      </w:r>
    </w:p>
    <w:p w14:paraId="052AB088" w14:textId="3168188E" w:rsidR="00482E88" w:rsidRPr="007663CA" w:rsidRDefault="00482E88" w:rsidP="00482E88">
      <w:pPr>
        <w:rPr>
          <w:rFonts w:eastAsia="Times New Roman"/>
          <w:noProof/>
        </w:rPr>
      </w:pPr>
      <w:r w:rsidRPr="5A178A04">
        <w:rPr>
          <w:rFonts w:eastAsia="Times New Roman"/>
          <w:noProof/>
        </w:rPr>
        <w:t>A renewed agenda for the circular economy has clear benefits. Through repairing, re</w:t>
      </w:r>
      <w:r>
        <w:rPr>
          <w:rFonts w:eastAsia="Times New Roman"/>
          <w:noProof/>
        </w:rPr>
        <w:t>furbishing</w:t>
      </w:r>
      <w:r w:rsidRPr="5A178A04">
        <w:rPr>
          <w:rFonts w:eastAsia="Times New Roman"/>
          <w:noProof/>
        </w:rPr>
        <w:t>, reusing and recycling existing products and thereby extending their</w:t>
      </w:r>
      <w:r>
        <w:rPr>
          <w:rFonts w:eastAsia="Times New Roman"/>
          <w:noProof/>
        </w:rPr>
        <w:t xml:space="preserve"> functional</w:t>
      </w:r>
      <w:r w:rsidRPr="5A178A04">
        <w:rPr>
          <w:rFonts w:eastAsia="Times New Roman"/>
          <w:noProof/>
        </w:rPr>
        <w:t xml:space="preserve"> lifetime, resources are used more efficiently in production. Primary raw materials can be substituted with secondary raw materials that are less carbon-intensive. Fossil based materials can also be replaced by sustainably sourced biobased renewable materials, or other environmentally friendly innovative materials. This is in particular the case in sectors like construction, chemicals or textiles. Investments into material innovation need to be strengthened including up-skilling in the bioeconomic sector. </w:t>
      </w:r>
    </w:p>
    <w:p w14:paraId="51C2F78B" w14:textId="77777777" w:rsidR="00482E88" w:rsidRDefault="00482E88" w:rsidP="00482E88">
      <w:pPr>
        <w:rPr>
          <w:rFonts w:eastAsia="Times New Roman"/>
          <w:noProof/>
        </w:rPr>
      </w:pPr>
      <w:r w:rsidRPr="007663CA">
        <w:rPr>
          <w:rFonts w:eastAsia="Times New Roman"/>
          <w:noProof/>
        </w:rPr>
        <w:t xml:space="preserve">A stronger circular economy offers innovative business models </w:t>
      </w:r>
      <w:r>
        <w:rPr>
          <w:rFonts w:eastAsia="Times New Roman"/>
          <w:noProof/>
        </w:rPr>
        <w:t>that meet</w:t>
      </w:r>
      <w:r w:rsidRPr="007663CA">
        <w:rPr>
          <w:rFonts w:eastAsia="Times New Roman"/>
          <w:noProof/>
        </w:rPr>
        <w:t xml:space="preserve"> evolving consumer preferences and </w:t>
      </w:r>
      <w:r>
        <w:rPr>
          <w:rFonts w:eastAsia="Times New Roman"/>
          <w:noProof/>
        </w:rPr>
        <w:t xml:space="preserve">seize </w:t>
      </w:r>
      <w:r w:rsidRPr="007663CA">
        <w:rPr>
          <w:rFonts w:eastAsia="Times New Roman"/>
          <w:noProof/>
        </w:rPr>
        <w:t>digital solutions. For example, circular business models like product-as-a-service, circular product design</w:t>
      </w:r>
      <w:r>
        <w:rPr>
          <w:rFonts w:eastAsia="Times New Roman"/>
          <w:noProof/>
        </w:rPr>
        <w:t xml:space="preserve"> ensuring longer lifetime, reuse and repair</w:t>
      </w:r>
      <w:r w:rsidRPr="007663CA">
        <w:rPr>
          <w:rFonts w:eastAsia="Times New Roman"/>
          <w:noProof/>
        </w:rPr>
        <w:t xml:space="preserve">, shared economy or on-demand production can reduce economic cost of energy and material use and make waste via a loop back into the economy a resource with economic value. Circular business can create significant greenhouse gas emissions reductions in hard-to-abate sectors. Examples include the built environment through better management of construction and demolition waste, heavy industry through material management solutions, clustering of resource-intensive complementary industrial activities, transport through shared mobility and reverse logistics, and the food sector. </w:t>
      </w:r>
      <w:r w:rsidRPr="002056FF">
        <w:rPr>
          <w:rFonts w:eastAsia="Times New Roman"/>
          <w:noProof/>
        </w:rPr>
        <w:t xml:space="preserve">In 2021 there were 4.3 million jobs in the economic sectors </w:t>
      </w:r>
      <w:r>
        <w:rPr>
          <w:rFonts w:eastAsia="Times New Roman"/>
          <w:noProof/>
        </w:rPr>
        <w:t xml:space="preserve">directly </w:t>
      </w:r>
      <w:r w:rsidRPr="002056FF">
        <w:rPr>
          <w:rFonts w:eastAsia="Times New Roman"/>
          <w:noProof/>
        </w:rPr>
        <w:t>linked to the circular economy, an increase of 11% compared with 2015(</w:t>
      </w:r>
      <w:r w:rsidRPr="000923AF">
        <w:rPr>
          <w:noProof/>
          <w:vertAlign w:val="superscript"/>
        </w:rPr>
        <w:footnoteReference w:id="30"/>
      </w:r>
      <w:r>
        <w:rPr>
          <w:rFonts w:eastAsia="Times New Roman"/>
          <w:noProof/>
        </w:rPr>
        <w:t>)</w:t>
      </w:r>
      <w:r w:rsidRPr="002056FF">
        <w:rPr>
          <w:rFonts w:eastAsia="Times New Roman"/>
          <w:noProof/>
        </w:rPr>
        <w:t>.</w:t>
      </w:r>
      <w:r>
        <w:rPr>
          <w:rFonts w:eastAsia="Times New Roman"/>
          <w:noProof/>
        </w:rPr>
        <w:t xml:space="preserve"> </w:t>
      </w:r>
      <w:r w:rsidRPr="007663CA">
        <w:rPr>
          <w:rFonts w:eastAsia="Times New Roman"/>
          <w:noProof/>
        </w:rPr>
        <w:t xml:space="preserve">Reducing materials input through re-use and recycling has the potential to boost growth and create </w:t>
      </w:r>
      <w:r>
        <w:rPr>
          <w:rFonts w:eastAsia="Times New Roman"/>
          <w:noProof/>
        </w:rPr>
        <w:t>a significant number of jobs</w:t>
      </w:r>
      <w:r w:rsidRPr="007663CA">
        <w:rPr>
          <w:rFonts w:eastAsia="Times New Roman"/>
          <w:noProof/>
        </w:rPr>
        <w:t xml:space="preserve"> in the EU, with upgraded knowledge and skills.</w:t>
      </w:r>
    </w:p>
    <w:p w14:paraId="3F9F7ACB" w14:textId="6DB853DD" w:rsidR="00482E88" w:rsidRPr="007663CA" w:rsidRDefault="00482E88" w:rsidP="00482E88">
      <w:pPr>
        <w:rPr>
          <w:rFonts w:eastAsia="Times New Roman"/>
          <w:noProof/>
        </w:rPr>
      </w:pPr>
      <w:r>
        <w:rPr>
          <w:rFonts w:eastAsia="Times New Roman"/>
          <w:noProof/>
        </w:rPr>
        <w:t>By r</w:t>
      </w:r>
      <w:r w:rsidRPr="007663CA">
        <w:rPr>
          <w:rFonts w:eastAsia="Times New Roman"/>
          <w:noProof/>
        </w:rPr>
        <w:t>educing dependence on imports of critical raw materials, and reducing the environmental pressure and risks associated with natural resource extraction and consumption</w:t>
      </w:r>
      <w:r>
        <w:rPr>
          <w:rFonts w:eastAsia="Times New Roman"/>
          <w:noProof/>
        </w:rPr>
        <w:t>,</w:t>
      </w:r>
      <w:r w:rsidRPr="007663CA">
        <w:rPr>
          <w:rFonts w:eastAsia="Times New Roman"/>
          <w:noProof/>
        </w:rPr>
        <w:t xml:space="preserve"> circularity can boost the EU’s security and </w:t>
      </w:r>
      <w:r>
        <w:rPr>
          <w:rFonts w:eastAsia="Times New Roman"/>
          <w:noProof/>
        </w:rPr>
        <w:t xml:space="preserve">open </w:t>
      </w:r>
      <w:r w:rsidRPr="007663CA">
        <w:rPr>
          <w:rFonts w:eastAsia="Times New Roman"/>
          <w:noProof/>
        </w:rPr>
        <w:t xml:space="preserve">strategic autonomy. </w:t>
      </w:r>
    </w:p>
    <w:p w14:paraId="1E031FED" w14:textId="77777777" w:rsidR="00482E88" w:rsidRPr="007663CA" w:rsidRDefault="00482E88" w:rsidP="00482E88">
      <w:pPr>
        <w:rPr>
          <w:rFonts w:eastAsia="Times New Roman"/>
          <w:noProof/>
        </w:rPr>
      </w:pPr>
      <w:r w:rsidRPr="007663CA">
        <w:rPr>
          <w:rFonts w:eastAsia="Times New Roman"/>
          <w:i/>
          <w:iCs/>
          <w:noProof/>
        </w:rPr>
        <w:t>With a growing need for industrial carbon management and carbon removals</w:t>
      </w:r>
      <w:r w:rsidRPr="007663CA">
        <w:rPr>
          <w:rFonts w:eastAsia="Times New Roman"/>
          <w:noProof/>
        </w:rPr>
        <w:t xml:space="preserve"> </w:t>
      </w:r>
    </w:p>
    <w:p w14:paraId="78EC7985" w14:textId="77777777" w:rsidR="00482E88" w:rsidRPr="00FA5B3E" w:rsidRDefault="00482E88" w:rsidP="00482E88">
      <w:pPr>
        <w:rPr>
          <w:noProof/>
        </w:rPr>
      </w:pPr>
      <w:r>
        <w:rPr>
          <w:noProof/>
        </w:rPr>
        <w:t xml:space="preserve">Industrial decarbonisation will also have to address “process emissions” not related to fuel combustion. For these, </w:t>
      </w:r>
      <w:r w:rsidRPr="00FA5B3E">
        <w:rPr>
          <w:noProof/>
        </w:rPr>
        <w:t>carbon capture can be a solution.</w:t>
      </w:r>
    </w:p>
    <w:p w14:paraId="22FEECE3" w14:textId="78C92DE3" w:rsidR="00482E88" w:rsidRDefault="00482E88" w:rsidP="00482E88">
      <w:pPr>
        <w:rPr>
          <w:rFonts w:eastAsia="Times New Roman"/>
          <w:noProof/>
        </w:rPr>
      </w:pPr>
      <w:bookmarkStart w:id="47" w:name="_Hlk157086573"/>
      <w:r w:rsidRPr="00FA5B3E">
        <w:rPr>
          <w:rFonts w:eastAsia="Times New Roman"/>
          <w:noProof/>
        </w:rPr>
        <w:t xml:space="preserve">The 2040 target entails an earlier deployment </w:t>
      </w:r>
      <w:r w:rsidRPr="002056FF">
        <w:rPr>
          <w:rFonts w:eastAsia="Times New Roman"/>
          <w:noProof/>
        </w:rPr>
        <w:t xml:space="preserve">of </w:t>
      </w:r>
      <w:r w:rsidRPr="007663CA">
        <w:rPr>
          <w:rFonts w:eastAsia="Times New Roman"/>
          <w:noProof/>
        </w:rPr>
        <w:t>ca</w:t>
      </w:r>
      <w:r w:rsidRPr="001F400D">
        <w:rPr>
          <w:rFonts w:eastAsia="Times New Roman"/>
          <w:noProof/>
        </w:rPr>
        <w:t>rbon capture</w:t>
      </w:r>
      <w:r>
        <w:rPr>
          <w:rFonts w:eastAsia="Times New Roman"/>
          <w:noProof/>
        </w:rPr>
        <w:t xml:space="preserve"> </w:t>
      </w:r>
      <w:r w:rsidRPr="002056FF">
        <w:rPr>
          <w:rFonts w:eastAsia="Times New Roman"/>
          <w:noProof/>
        </w:rPr>
        <w:t>(</w:t>
      </w:r>
      <w:r w:rsidRPr="002056FF">
        <w:rPr>
          <w:rStyle w:val="FootnoteReference"/>
          <w:rFonts w:eastAsia="Times New Roman"/>
          <w:noProof/>
        </w:rPr>
        <w:footnoteReference w:id="31"/>
      </w:r>
      <w:r w:rsidRPr="002056FF">
        <w:rPr>
          <w:rFonts w:eastAsia="Times New Roman"/>
          <w:noProof/>
        </w:rPr>
        <w:t>)</w:t>
      </w:r>
      <w:bookmarkEnd w:id="47"/>
      <w:r w:rsidRPr="002A12CF">
        <w:rPr>
          <w:rFonts w:eastAsia="Times New Roman"/>
          <w:noProof/>
        </w:rPr>
        <w:t>. Part of it will allow to generate industrial carbon removals</w:t>
      </w:r>
      <w:r w:rsidRPr="007663CA">
        <w:rPr>
          <w:rFonts w:eastAsia="Times New Roman"/>
          <w:noProof/>
        </w:rPr>
        <w:t xml:space="preserve"> </w:t>
      </w:r>
      <w:r>
        <w:rPr>
          <w:rFonts w:eastAsia="Times New Roman"/>
          <w:noProof/>
        </w:rPr>
        <w:t xml:space="preserve">which </w:t>
      </w:r>
      <w:r w:rsidRPr="007663CA">
        <w:rPr>
          <w:rFonts w:eastAsia="Times New Roman"/>
          <w:noProof/>
        </w:rPr>
        <w:t xml:space="preserve">would complement land-based removals sequestering carbon in biomass and soils to contribute to the </w:t>
      </w:r>
      <w:r>
        <w:rPr>
          <w:rFonts w:eastAsia="Times New Roman"/>
          <w:noProof/>
        </w:rPr>
        <w:t>90% reductions of net GHG emissions</w:t>
      </w:r>
      <w:r w:rsidRPr="00772541">
        <w:rPr>
          <w:rFonts w:eastAsia="Times New Roman"/>
          <w:noProof/>
        </w:rPr>
        <w:t>.</w:t>
      </w:r>
      <w:r w:rsidRPr="007663CA">
        <w:rPr>
          <w:rFonts w:eastAsia="Times New Roman"/>
          <w:noProof/>
        </w:rPr>
        <w:t xml:space="preserve"> </w:t>
      </w:r>
    </w:p>
    <w:p w14:paraId="28D286D3" w14:textId="3A78B2F8" w:rsidR="00482E88" w:rsidRPr="007663CA" w:rsidRDefault="00482E88" w:rsidP="00482E88">
      <w:pPr>
        <w:spacing w:after="240"/>
        <w:rPr>
          <w:rFonts w:eastAsia="Times New Roman"/>
          <w:noProof/>
          <w:color w:val="000000" w:themeColor="text1"/>
        </w:rPr>
      </w:pPr>
      <w:r w:rsidRPr="007663CA">
        <w:rPr>
          <w:rFonts w:eastAsia="Times New Roman"/>
          <w:noProof/>
        </w:rPr>
        <w:t>This will require a large portfolio of options such as BioCCS</w:t>
      </w:r>
      <w:r w:rsidR="000923AF">
        <w:rPr>
          <w:rFonts w:eastAsia="Times New Roman"/>
          <w:noProof/>
        </w:rPr>
        <w:t xml:space="preserve"> </w:t>
      </w:r>
      <w:r>
        <w:rPr>
          <w:rFonts w:eastAsia="Times New Roman"/>
          <w:noProof/>
        </w:rPr>
        <w:t>(</w:t>
      </w:r>
      <w:r>
        <w:rPr>
          <w:rStyle w:val="FootnoteReference"/>
          <w:rFonts w:eastAsia="Times New Roman"/>
          <w:noProof/>
        </w:rPr>
        <w:footnoteReference w:id="32"/>
      </w:r>
      <w:r>
        <w:rPr>
          <w:rFonts w:eastAsia="Times New Roman"/>
          <w:noProof/>
        </w:rPr>
        <w:t>),</w:t>
      </w:r>
      <w:r w:rsidRPr="007663CA">
        <w:rPr>
          <w:rFonts w:eastAsia="Times New Roman"/>
          <w:noProof/>
          <w:sz w:val="16"/>
          <w:szCs w:val="16"/>
        </w:rPr>
        <w:t xml:space="preserve"> </w:t>
      </w:r>
      <w:r w:rsidRPr="007663CA">
        <w:rPr>
          <w:rFonts w:eastAsia="Times New Roman"/>
          <w:noProof/>
        </w:rPr>
        <w:t xml:space="preserve">DACCS </w:t>
      </w:r>
      <w:r>
        <w:rPr>
          <w:rFonts w:eastAsia="Times New Roman"/>
          <w:noProof/>
        </w:rPr>
        <w:t>(</w:t>
      </w:r>
      <w:r w:rsidRPr="00D97853">
        <w:rPr>
          <w:rFonts w:eastAsia="Times New Roman"/>
          <w:noProof/>
        </w:rPr>
        <w:t>Direct Air Capture with Carbon Storage</w:t>
      </w:r>
      <w:r>
        <w:rPr>
          <w:rFonts w:eastAsia="Times New Roman"/>
          <w:noProof/>
        </w:rPr>
        <w:t>)</w:t>
      </w:r>
      <w:r w:rsidRPr="007663CA">
        <w:rPr>
          <w:rFonts w:eastAsia="Times New Roman"/>
          <w:noProof/>
        </w:rPr>
        <w:t xml:space="preserve"> and possibly other novel approaches. </w:t>
      </w:r>
      <w:r w:rsidRPr="007663CA">
        <w:rPr>
          <w:rFonts w:eastAsia="Times New Roman"/>
          <w:noProof/>
          <w:color w:val="000000" w:themeColor="text1"/>
        </w:rPr>
        <w:t xml:space="preserve">Carbon Capture, Utilisation and Storage (CCUS) technologies enable the decarbonisation of industrial sectors without alternative decarbonisation solutions by storing carbon permanently underground or in products, and by replacing the fossil carbon currently used as feedstock in various industries with non-fossil carbon. Likewise, </w:t>
      </w:r>
      <w:r w:rsidRPr="007663CA">
        <w:rPr>
          <w:rFonts w:eastAsia="Times New Roman"/>
          <w:noProof/>
        </w:rPr>
        <w:t>the development of CO</w:t>
      </w:r>
      <w:r w:rsidRPr="008D390A">
        <w:rPr>
          <w:rFonts w:eastAsia="Times New Roman"/>
          <w:noProof/>
          <w:vertAlign w:val="subscript"/>
        </w:rPr>
        <w:t>2</w:t>
      </w:r>
      <w:r w:rsidRPr="007663CA">
        <w:rPr>
          <w:rFonts w:eastAsia="Times New Roman"/>
          <w:noProof/>
        </w:rPr>
        <w:t xml:space="preserve"> value-chains through carbon capture and use (CCU), nature-friendly biobased materials, mechanical and chemical recycling can all boost the development of non-fossil feedstock to substitute fossil fuels in carbon-based products. Carbon capture will also remain important to reach net-zero by 2050 and absolute negative emissions thereafter. </w:t>
      </w:r>
      <w:r w:rsidRPr="5A178A04">
        <w:rPr>
          <w:rFonts w:eastAsia="Times New Roman"/>
          <w:noProof/>
        </w:rPr>
        <w:t>This calls, amongst others, for a continuous assessment how best to provide incentives for industrial carbon removals in existing EU legislation or through new instruments, be it the ETS Directive up for review in 2026 or dedicated instruments.</w:t>
      </w:r>
      <w:r w:rsidRPr="1C19F703">
        <w:rPr>
          <w:rFonts w:eastAsia="Times New Roman"/>
          <w:noProof/>
        </w:rPr>
        <w:t xml:space="preserve"> </w:t>
      </w:r>
      <w:r w:rsidRPr="007663CA">
        <w:rPr>
          <w:rFonts w:eastAsia="Times New Roman"/>
          <w:noProof/>
        </w:rPr>
        <w:t xml:space="preserve">To reap the economic opportunities of these technologies, it </w:t>
      </w:r>
      <w:r w:rsidRPr="5A178A04">
        <w:rPr>
          <w:rFonts w:eastAsia="Times New Roman"/>
          <w:noProof/>
        </w:rPr>
        <w:t xml:space="preserve">remains </w:t>
      </w:r>
      <w:r w:rsidRPr="007663CA">
        <w:rPr>
          <w:rFonts w:eastAsia="Times New Roman"/>
          <w:noProof/>
        </w:rPr>
        <w:t xml:space="preserve">key to develop full economic value chains for them. That is why the Commission </w:t>
      </w:r>
      <w:r w:rsidRPr="0067317B">
        <w:rPr>
          <w:rFonts w:eastAsia="Times New Roman"/>
          <w:noProof/>
        </w:rPr>
        <w:t>is</w:t>
      </w:r>
      <w:r w:rsidRPr="007663CA">
        <w:rPr>
          <w:rFonts w:eastAsia="Times New Roman"/>
          <w:noProof/>
        </w:rPr>
        <w:t xml:space="preserve"> presenting alongside this Communication a dedicated Industrial Carbon Management Communication with a strategy for the </w:t>
      </w:r>
      <w:r w:rsidRPr="007663CA">
        <w:rPr>
          <w:rFonts w:eastAsia="Times New Roman"/>
          <w:noProof/>
          <w:color w:val="000000" w:themeColor="text1"/>
        </w:rPr>
        <w:t>policy framework, more innovation and investments to unlock this potential.</w:t>
      </w:r>
      <w:r>
        <w:rPr>
          <w:rFonts w:eastAsia="Times New Roman"/>
          <w:noProof/>
          <w:color w:val="000000" w:themeColor="text1"/>
        </w:rPr>
        <w:t xml:space="preserve"> </w:t>
      </w:r>
      <w:r>
        <w:rPr>
          <w:rFonts w:eastAsia="Times New Roman"/>
          <w:noProof/>
        </w:rPr>
        <w:t xml:space="preserve">More public investment will be required to scale up research and innovation for this nascent industry. </w:t>
      </w:r>
      <w:r w:rsidRPr="00AE3F71">
        <w:rPr>
          <w:rFonts w:eastAsia="Times New Roman"/>
          <w:noProof/>
          <w:color w:val="000000" w:themeColor="text1"/>
        </w:rPr>
        <w:t>Industrial carbon removals do not replace, but complement, natural carbon removals, which remain essential to reach the climate target</w:t>
      </w:r>
      <w:r>
        <w:rPr>
          <w:rFonts w:eastAsia="Times New Roman"/>
          <w:noProof/>
          <w:color w:val="000000" w:themeColor="text1"/>
        </w:rPr>
        <w:t>.</w:t>
      </w:r>
    </w:p>
    <w:p w14:paraId="2F8B15A2" w14:textId="77777777" w:rsidR="00482E88" w:rsidRPr="007663CA" w:rsidRDefault="00482E88" w:rsidP="00482E88">
      <w:pPr>
        <w:rPr>
          <w:rFonts w:eastAsia="Times New Roman"/>
          <w:i/>
          <w:noProof/>
        </w:rPr>
      </w:pPr>
      <w:r w:rsidRPr="007663CA">
        <w:rPr>
          <w:rFonts w:eastAsia="Times New Roman"/>
          <w:i/>
          <w:iCs/>
          <w:noProof/>
        </w:rPr>
        <w:t>On a global level playing field</w:t>
      </w:r>
    </w:p>
    <w:p w14:paraId="05C9BE8C" w14:textId="7BD81851" w:rsidR="00482E88" w:rsidRPr="007663CA" w:rsidRDefault="00482E88" w:rsidP="00482E88">
      <w:pPr>
        <w:rPr>
          <w:rFonts w:eastAsia="Times New Roman"/>
          <w:noProof/>
        </w:rPr>
      </w:pPr>
      <w:r w:rsidRPr="007663CA">
        <w:rPr>
          <w:rFonts w:eastAsia="Times New Roman"/>
          <w:noProof/>
        </w:rPr>
        <w:t xml:space="preserve">The transition will only be successful if Europe remains a sovereign and resilient economy that </w:t>
      </w:r>
      <w:r w:rsidRPr="00CC08A8">
        <w:rPr>
          <w:rFonts w:eastAsia="Times New Roman"/>
          <w:noProof/>
        </w:rPr>
        <w:t>diversifies its sources of supply</w:t>
      </w:r>
      <w:r w:rsidRPr="007663CA">
        <w:rPr>
          <w:rFonts w:eastAsia="Times New Roman"/>
          <w:noProof/>
        </w:rPr>
        <w:t xml:space="preserve"> and that is resilient to supply disruptions, price volatility an</w:t>
      </w:r>
      <w:r>
        <w:rPr>
          <w:rFonts w:eastAsia="Times New Roman"/>
          <w:noProof/>
        </w:rPr>
        <w:t>d</w:t>
      </w:r>
      <w:r w:rsidRPr="007663CA">
        <w:rPr>
          <w:rFonts w:eastAsia="Times New Roman"/>
          <w:noProof/>
        </w:rPr>
        <w:t xml:space="preserve"> other shocks. As the EU reduces its dependence on imported fossil fuels, </w:t>
      </w:r>
      <w:r>
        <w:rPr>
          <w:rFonts w:eastAsia="Times New Roman"/>
          <w:noProof/>
        </w:rPr>
        <w:t>strategic decisions have to be made</w:t>
      </w:r>
      <w:r w:rsidRPr="007663CA">
        <w:rPr>
          <w:rFonts w:eastAsia="Times New Roman"/>
          <w:noProof/>
        </w:rPr>
        <w:t xml:space="preserve"> not </w:t>
      </w:r>
      <w:r>
        <w:rPr>
          <w:rFonts w:eastAsia="Times New Roman"/>
          <w:noProof/>
        </w:rPr>
        <w:t xml:space="preserve">to </w:t>
      </w:r>
      <w:r w:rsidRPr="007663CA">
        <w:rPr>
          <w:rFonts w:eastAsia="Times New Roman"/>
          <w:noProof/>
        </w:rPr>
        <w:t>create new vulnerabilities through its imports of net-zero technologies or low-emission energy commodities.</w:t>
      </w:r>
    </w:p>
    <w:p w14:paraId="279FBA68" w14:textId="7359750E" w:rsidR="00482E88" w:rsidRPr="007663CA" w:rsidRDefault="00482E88" w:rsidP="00482E88">
      <w:pPr>
        <w:rPr>
          <w:rFonts w:eastAsia="Times New Roman"/>
          <w:noProof/>
        </w:rPr>
      </w:pPr>
      <w:r w:rsidRPr="007663CA">
        <w:rPr>
          <w:rFonts w:eastAsia="Times New Roman"/>
          <w:noProof/>
        </w:rPr>
        <w:t>Alongside the efforts to create value chains for key technologies on our own continent, t</w:t>
      </w:r>
      <w:r w:rsidRPr="00046755">
        <w:rPr>
          <w:rFonts w:eastAsia="Times New Roman"/>
          <w:noProof/>
        </w:rPr>
        <w:t>he EU must strategic</w:t>
      </w:r>
      <w:r>
        <w:rPr>
          <w:rFonts w:eastAsia="Times New Roman"/>
          <w:noProof/>
        </w:rPr>
        <w:t>ally</w:t>
      </w:r>
      <w:r w:rsidRPr="00046755">
        <w:rPr>
          <w:rFonts w:eastAsia="Times New Roman"/>
          <w:noProof/>
        </w:rPr>
        <w:t xml:space="preserve"> approach global markets, to ensure access to strategic commodities including critical raw materials at affordable prices. The EU should also leverage its greatest strength, the Single Market</w:t>
      </w:r>
      <w:r w:rsidR="000923AF">
        <w:rPr>
          <w:rFonts w:eastAsia="Times New Roman"/>
          <w:noProof/>
        </w:rPr>
        <w:t>,</w:t>
      </w:r>
      <w:r w:rsidRPr="00046755">
        <w:rPr>
          <w:rFonts w:eastAsia="Times New Roman"/>
          <w:noProof/>
        </w:rPr>
        <w:t xml:space="preserve"> through joint purchase instrument</w:t>
      </w:r>
      <w:r>
        <w:rPr>
          <w:rFonts w:eastAsia="Times New Roman"/>
          <w:noProof/>
        </w:rPr>
        <w:t>s</w:t>
      </w:r>
      <w:r w:rsidRPr="007663CA">
        <w:rPr>
          <w:rFonts w:eastAsia="Times New Roman"/>
          <w:noProof/>
        </w:rPr>
        <w:t xml:space="preserve"> and by allowing industrial actors to engage in various </w:t>
      </w:r>
      <w:r w:rsidRPr="007663CA">
        <w:rPr>
          <w:noProof/>
        </w:rPr>
        <w:t xml:space="preserve">cooperation models to jointly negotiate better conditions, including prices from global producers with important safeguards </w:t>
      </w:r>
      <w:r>
        <w:rPr>
          <w:noProof/>
        </w:rPr>
        <w:t xml:space="preserve">for </w:t>
      </w:r>
      <w:r w:rsidRPr="007663CA">
        <w:rPr>
          <w:noProof/>
        </w:rPr>
        <w:t>encouraging the transfer of benefits to end users and the involvement of smaller companies</w:t>
      </w:r>
      <w:r w:rsidRPr="00046755">
        <w:rPr>
          <w:rFonts w:eastAsia="Times New Roman"/>
          <w:noProof/>
        </w:rPr>
        <w:t>. In parallel,</w:t>
      </w:r>
      <w:r w:rsidRPr="007663CA">
        <w:rPr>
          <w:rFonts w:eastAsia="Times New Roman"/>
          <w:noProof/>
        </w:rPr>
        <w:t xml:space="preserve"> </w:t>
      </w:r>
      <w:r>
        <w:rPr>
          <w:rFonts w:eastAsia="Times New Roman"/>
          <w:noProof/>
        </w:rPr>
        <w:t>t</w:t>
      </w:r>
      <w:r w:rsidRPr="007663CA">
        <w:rPr>
          <w:rFonts w:eastAsia="Times New Roman"/>
          <w:noProof/>
        </w:rPr>
        <w:t>he EU should ensure global cooperation and  trade</w:t>
      </w:r>
      <w:r>
        <w:rPr>
          <w:rFonts w:eastAsia="Times New Roman"/>
          <w:noProof/>
        </w:rPr>
        <w:t xml:space="preserve"> to support sustainability</w:t>
      </w:r>
      <w:r w:rsidRPr="007663CA">
        <w:rPr>
          <w:rFonts w:eastAsia="Times New Roman"/>
          <w:noProof/>
        </w:rPr>
        <w:t xml:space="preserve">. The EU should </w:t>
      </w:r>
      <w:r>
        <w:rPr>
          <w:rFonts w:eastAsia="Times New Roman"/>
          <w:noProof/>
        </w:rPr>
        <w:t xml:space="preserve">foster the development of international standards on </w:t>
      </w:r>
      <w:r w:rsidRPr="007663CA">
        <w:rPr>
          <w:rFonts w:eastAsia="Times New Roman"/>
          <w:noProof/>
        </w:rPr>
        <w:t>the global stage</w:t>
      </w:r>
      <w:r>
        <w:rPr>
          <w:rFonts w:eastAsia="Times New Roman"/>
          <w:noProof/>
        </w:rPr>
        <w:t>, building on EU standards as a source of best practices</w:t>
      </w:r>
      <w:r w:rsidRPr="007663CA">
        <w:rPr>
          <w:rFonts w:eastAsia="Times New Roman"/>
          <w:noProof/>
        </w:rPr>
        <w:t xml:space="preserve">. </w:t>
      </w:r>
    </w:p>
    <w:p w14:paraId="35BEEE71" w14:textId="4B987224" w:rsidR="00482E88" w:rsidRDefault="00482E88" w:rsidP="00482E88">
      <w:pPr>
        <w:rPr>
          <w:rFonts w:eastAsia="Times New Roman"/>
          <w:noProof/>
        </w:rPr>
      </w:pPr>
      <w:r w:rsidRPr="5A178A04">
        <w:rPr>
          <w:rFonts w:eastAsia="Times New Roman"/>
          <w:noProof/>
        </w:rPr>
        <w:t xml:space="preserve">As the EU is leading in decarbonising its industry, </w:t>
      </w:r>
      <w:r w:rsidRPr="0FD38502">
        <w:rPr>
          <w:rFonts w:eastAsia="Times New Roman"/>
          <w:noProof/>
        </w:rPr>
        <w:t>additional measures are neede</w:t>
      </w:r>
      <w:r w:rsidRPr="00EF5C84">
        <w:rPr>
          <w:rFonts w:eastAsia="Times New Roman"/>
          <w:noProof/>
        </w:rPr>
        <w:t>d to ensure com</w:t>
      </w:r>
      <w:r w:rsidRPr="0FD38502">
        <w:rPr>
          <w:rFonts w:eastAsia="Times New Roman"/>
          <w:noProof/>
        </w:rPr>
        <w:t xml:space="preserve">petitiveness of European exports on global markets. </w:t>
      </w:r>
      <w:r w:rsidRPr="1E4AB13D">
        <w:rPr>
          <w:rFonts w:eastAsia="Times New Roman"/>
          <w:noProof/>
        </w:rPr>
        <w:t>A</w:t>
      </w:r>
      <w:r w:rsidRPr="5A178A04">
        <w:rPr>
          <w:rFonts w:eastAsia="Times New Roman"/>
          <w:noProof/>
        </w:rPr>
        <w:t xml:space="preserve"> true level playing field for businesses in Europe and globally is created when other countries adopt carbon pricing of their own, which would also contribute to an increase of global climate ambition. </w:t>
      </w:r>
    </w:p>
    <w:p w14:paraId="78CE238A" w14:textId="77777777" w:rsidR="00482E88" w:rsidRPr="007663CA" w:rsidRDefault="00482E88" w:rsidP="00482E88">
      <w:pPr>
        <w:pStyle w:val="Heading2"/>
        <w:ind w:left="578" w:hanging="578"/>
        <w:rPr>
          <w:noProof/>
        </w:rPr>
      </w:pPr>
      <w:bookmarkStart w:id="48" w:name="_Toc158097099"/>
      <w:bookmarkStart w:id="49" w:name="_Toc155286927"/>
      <w:r>
        <w:rPr>
          <w:noProof/>
        </w:rPr>
        <w:t>Decarbonising transport and improving mobility</w:t>
      </w:r>
      <w:bookmarkEnd w:id="48"/>
    </w:p>
    <w:p w14:paraId="173651B5" w14:textId="4BC3F3B8" w:rsidR="00482E88" w:rsidRDefault="00482E88" w:rsidP="00482E88">
      <w:pPr>
        <w:rPr>
          <w:noProof/>
        </w:rPr>
      </w:pPr>
      <w:r w:rsidRPr="007663CA">
        <w:rPr>
          <w:noProof/>
        </w:rPr>
        <w:t>In the transport sector, t</w:t>
      </w:r>
      <w:r>
        <w:rPr>
          <w:noProof/>
        </w:rPr>
        <w:t xml:space="preserve">he implementation of the </w:t>
      </w:r>
      <w:r w:rsidRPr="007663CA">
        <w:rPr>
          <w:rFonts w:eastAsia="Calibri"/>
          <w:noProof/>
          <w:color w:val="000000" w:themeColor="text1"/>
        </w:rPr>
        <w:t xml:space="preserve">“Fit for 55” measures, combining technological solutions and carbon pricing, </w:t>
      </w:r>
      <w:r w:rsidRPr="00335761">
        <w:rPr>
          <w:rFonts w:eastAsia="Calibri"/>
          <w:noProof/>
          <w:color w:val="000000" w:themeColor="text1"/>
        </w:rPr>
        <w:t xml:space="preserve">as well as an efficient and interconnected multimodal transport system, for both passengers and freight, </w:t>
      </w:r>
      <w:r w:rsidRPr="007663CA">
        <w:rPr>
          <w:rFonts w:eastAsia="Calibri"/>
          <w:noProof/>
          <w:color w:val="000000" w:themeColor="text1"/>
        </w:rPr>
        <w:t>will allow emissions</w:t>
      </w:r>
      <w:r w:rsidRPr="007663CA">
        <w:rPr>
          <w:noProof/>
        </w:rPr>
        <w:t xml:space="preserve"> to </w:t>
      </w:r>
      <w:r w:rsidRPr="007663CA">
        <w:rPr>
          <w:rFonts w:eastAsia="Calibri"/>
          <w:noProof/>
          <w:color w:val="000000" w:themeColor="text1"/>
        </w:rPr>
        <w:t xml:space="preserve">decrease by </w:t>
      </w:r>
      <w:r>
        <w:rPr>
          <w:rFonts w:eastAsia="Calibri"/>
          <w:noProof/>
          <w:color w:val="000000" w:themeColor="text1"/>
        </w:rPr>
        <w:t>close to</w:t>
      </w:r>
      <w:r w:rsidRPr="007663CA">
        <w:rPr>
          <w:rFonts w:eastAsia="Calibri"/>
          <w:noProof/>
          <w:color w:val="000000" w:themeColor="text1"/>
        </w:rPr>
        <w:t xml:space="preserve"> </w:t>
      </w:r>
      <w:r>
        <w:rPr>
          <w:rFonts w:eastAsia="Calibri"/>
          <w:noProof/>
          <w:color w:val="000000" w:themeColor="text1"/>
        </w:rPr>
        <w:t>8</w:t>
      </w:r>
      <w:r w:rsidRPr="007663CA">
        <w:rPr>
          <w:rFonts w:eastAsia="Calibri"/>
          <w:noProof/>
          <w:color w:val="000000" w:themeColor="text1"/>
        </w:rPr>
        <w:t>0% in 2040 relative to 2015</w:t>
      </w:r>
      <w:r w:rsidRPr="007663CA">
        <w:rPr>
          <w:noProof/>
        </w:rPr>
        <w:t xml:space="preserve">.  </w:t>
      </w:r>
    </w:p>
    <w:p w14:paraId="4EB2992D" w14:textId="045FFBDF" w:rsidR="00B1019F" w:rsidRPr="0085271B" w:rsidRDefault="00B1019F">
      <w:pPr>
        <w:rPr>
          <w:noProof/>
        </w:rPr>
      </w:pPr>
      <w:r w:rsidRPr="00B1019F">
        <w:rPr>
          <w:noProof/>
        </w:rPr>
        <w:t xml:space="preserve">Decarbonising transport in a manner that continues to ensure affordability and accessibility will require significant investments both in new assets (zero and low emission vehicles, aircraft, vessels, rail equipment) and infrastructure for refuelling and recharging. At the same time, the renewable and low-carbon fuel costs should not be underestimated, and remain a key factor for the competitiveness of transport operators, in particular in the maritime and aviation sectors. Ensuring that a sufficient feedstock of sustainable alternative fuels is made available through dedicated measures, including regulatory where necessary, is key to reach the set ambition in a cost-effective way. </w:t>
      </w:r>
      <w:r>
        <w:rPr>
          <w:noProof/>
        </w:rPr>
        <w:t>As for other sectors, the associated investment needs in transport merit a discussion with Member States, the European Investment Bank and financial institutions how innovative EU finance tools can de-risk make-or-break strategic investments in a technology neutral manner for the European economy.</w:t>
      </w:r>
    </w:p>
    <w:p w14:paraId="6758EC0A" w14:textId="742CC29E" w:rsidR="0064336A" w:rsidRDefault="001B6F27" w:rsidP="00482E88">
      <w:pPr>
        <w:rPr>
          <w:noProof/>
        </w:rPr>
      </w:pPr>
      <w:r>
        <w:rPr>
          <w:rFonts w:eastAsia="Calibri"/>
          <w:noProof/>
          <w:color w:val="000000" w:themeColor="text1"/>
        </w:rPr>
        <w:t>Projected e</w:t>
      </w:r>
      <w:r w:rsidRPr="007663CA">
        <w:rPr>
          <w:rFonts w:eastAsia="Calibri"/>
          <w:noProof/>
          <w:color w:val="000000" w:themeColor="text1"/>
        </w:rPr>
        <w:t>missions vary greatly across transport modes. Reductions of CO</w:t>
      </w:r>
      <w:r w:rsidRPr="008547EA">
        <w:rPr>
          <w:rFonts w:eastAsia="Calibri"/>
          <w:noProof/>
          <w:color w:val="000000" w:themeColor="text1"/>
          <w:vertAlign w:val="subscript"/>
        </w:rPr>
        <w:t>2</w:t>
      </w:r>
      <w:r w:rsidRPr="007663CA">
        <w:rPr>
          <w:rFonts w:eastAsia="Calibri"/>
          <w:noProof/>
          <w:color w:val="000000" w:themeColor="text1"/>
        </w:rPr>
        <w:t xml:space="preserve"> emissions from road transport will accelerate over time and will come with significantly </w:t>
      </w:r>
      <w:r w:rsidRPr="007663CA">
        <w:rPr>
          <w:noProof/>
        </w:rPr>
        <w:t>improved air quality in cities through</w:t>
      </w:r>
      <w:r w:rsidRPr="007663CA">
        <w:rPr>
          <w:rFonts w:eastAsia="Calibri"/>
          <w:noProof/>
          <w:color w:val="000000" w:themeColor="text1"/>
        </w:rPr>
        <w:t xml:space="preserve"> the deployment of zero emission vehicles driven by the CO</w:t>
      </w:r>
      <w:r w:rsidRPr="008547EA">
        <w:rPr>
          <w:rFonts w:eastAsia="Calibri"/>
          <w:noProof/>
          <w:color w:val="000000" w:themeColor="text1"/>
          <w:vertAlign w:val="subscript"/>
        </w:rPr>
        <w:t>2</w:t>
      </w:r>
      <w:r w:rsidRPr="007663CA">
        <w:rPr>
          <w:rFonts w:eastAsia="Calibri"/>
          <w:noProof/>
          <w:color w:val="000000" w:themeColor="text1"/>
        </w:rPr>
        <w:t xml:space="preserve"> standards, </w:t>
      </w:r>
      <w:r>
        <w:rPr>
          <w:rFonts w:eastAsia="Calibri"/>
          <w:noProof/>
          <w:color w:val="000000" w:themeColor="text1"/>
        </w:rPr>
        <w:t xml:space="preserve">more than </w:t>
      </w:r>
      <w:r w:rsidRPr="007663CA">
        <w:rPr>
          <w:rFonts w:eastAsia="Calibri"/>
          <w:noProof/>
          <w:color w:val="000000" w:themeColor="text1"/>
        </w:rPr>
        <w:t>quadrupling the electrification of the sector over 2031-2040</w:t>
      </w:r>
      <w:r>
        <w:rPr>
          <w:rFonts w:eastAsia="Calibri"/>
          <w:noProof/>
          <w:color w:val="000000" w:themeColor="text1"/>
        </w:rPr>
        <w:t>. T</w:t>
      </w:r>
      <w:r w:rsidRPr="007663CA">
        <w:rPr>
          <w:rFonts w:eastAsia="Calibri"/>
          <w:noProof/>
          <w:color w:val="000000" w:themeColor="text1"/>
        </w:rPr>
        <w:t xml:space="preserve">he shares of battery-electric and </w:t>
      </w:r>
      <w:r>
        <w:rPr>
          <w:rFonts w:eastAsia="Calibri"/>
          <w:noProof/>
          <w:color w:val="000000" w:themeColor="text1"/>
        </w:rPr>
        <w:t xml:space="preserve">other </w:t>
      </w:r>
      <w:r w:rsidRPr="007663CA">
        <w:rPr>
          <w:rFonts w:eastAsia="Calibri"/>
          <w:noProof/>
          <w:color w:val="000000" w:themeColor="text1"/>
        </w:rPr>
        <w:t>zero</w:t>
      </w:r>
      <w:r>
        <w:rPr>
          <w:rFonts w:eastAsia="Calibri"/>
          <w:noProof/>
          <w:color w:val="000000" w:themeColor="text1"/>
        </w:rPr>
        <w:t>-</w:t>
      </w:r>
      <w:r w:rsidRPr="007663CA">
        <w:rPr>
          <w:rFonts w:eastAsia="Calibri"/>
          <w:noProof/>
          <w:color w:val="000000" w:themeColor="text1"/>
        </w:rPr>
        <w:t xml:space="preserve">emission vehicles </w:t>
      </w:r>
      <w:r>
        <w:rPr>
          <w:rFonts w:eastAsia="Calibri"/>
          <w:noProof/>
          <w:color w:val="000000" w:themeColor="text1"/>
        </w:rPr>
        <w:t>are projected to rise to over</w:t>
      </w:r>
      <w:r w:rsidRPr="007663CA" w:rsidDel="00335761">
        <w:rPr>
          <w:rFonts w:eastAsia="Calibri"/>
          <w:noProof/>
          <w:color w:val="000000" w:themeColor="text1"/>
        </w:rPr>
        <w:t xml:space="preserve"> </w:t>
      </w:r>
      <w:r w:rsidRPr="007663CA">
        <w:rPr>
          <w:rFonts w:eastAsia="Calibri"/>
          <w:noProof/>
          <w:color w:val="000000" w:themeColor="text1"/>
        </w:rPr>
        <w:t>60% for cars</w:t>
      </w:r>
      <w:r>
        <w:rPr>
          <w:rFonts w:eastAsia="Calibri"/>
          <w:noProof/>
          <w:color w:val="000000" w:themeColor="text1"/>
        </w:rPr>
        <w:t xml:space="preserve">, over </w:t>
      </w:r>
      <w:r w:rsidRPr="007663CA">
        <w:rPr>
          <w:rFonts w:eastAsia="Calibri"/>
          <w:noProof/>
          <w:color w:val="000000" w:themeColor="text1"/>
        </w:rPr>
        <w:t xml:space="preserve">40% for vans and </w:t>
      </w:r>
      <w:r>
        <w:rPr>
          <w:rFonts w:eastAsia="Calibri"/>
          <w:noProof/>
          <w:color w:val="000000" w:themeColor="text1"/>
        </w:rPr>
        <w:t>close to 40% for</w:t>
      </w:r>
      <w:r w:rsidRPr="007663CA">
        <w:rPr>
          <w:rFonts w:eastAsia="Calibri"/>
          <w:noProof/>
          <w:color w:val="000000" w:themeColor="text1"/>
        </w:rPr>
        <w:t xml:space="preserve"> heavy-duty vehicles</w:t>
      </w:r>
      <w:r w:rsidR="000923AF">
        <w:rPr>
          <w:rFonts w:eastAsia="Calibri"/>
          <w:noProof/>
          <w:color w:val="000000" w:themeColor="text1"/>
        </w:rPr>
        <w:t xml:space="preserve"> </w:t>
      </w:r>
      <w:r>
        <w:rPr>
          <w:rFonts w:eastAsia="Calibri"/>
          <w:noProof/>
          <w:color w:val="000000" w:themeColor="text1"/>
        </w:rPr>
        <w:t>(</w:t>
      </w:r>
      <w:r>
        <w:rPr>
          <w:rStyle w:val="FootnoteReference"/>
          <w:rFonts w:eastAsia="Calibri"/>
          <w:noProof/>
          <w:color w:val="000000" w:themeColor="text1"/>
        </w:rPr>
        <w:footnoteReference w:id="33"/>
      </w:r>
      <w:r>
        <w:rPr>
          <w:rFonts w:eastAsia="Calibri"/>
          <w:noProof/>
          <w:color w:val="000000" w:themeColor="text1"/>
        </w:rPr>
        <w:t>)</w:t>
      </w:r>
      <w:r w:rsidRPr="007663CA">
        <w:rPr>
          <w:rFonts w:eastAsia="Calibri"/>
          <w:noProof/>
          <w:color w:val="000000" w:themeColor="text1"/>
        </w:rPr>
        <w:t xml:space="preserve"> by 2040. This transformation is a </w:t>
      </w:r>
      <w:r w:rsidRPr="007663CA">
        <w:rPr>
          <w:noProof/>
        </w:rPr>
        <w:t xml:space="preserve">fully-fledged industrial policy opportunity for a sector vital for the EU economy, through investments in infrastructure and the full integration of the sector in the electricity grid, the development of critical raw materials supply chains and the </w:t>
      </w:r>
      <w:r>
        <w:rPr>
          <w:noProof/>
        </w:rPr>
        <w:t>development</w:t>
      </w:r>
      <w:r w:rsidRPr="007663CA">
        <w:rPr>
          <w:noProof/>
        </w:rPr>
        <w:t xml:space="preserve"> of a skilled workforce. Beyond CO</w:t>
      </w:r>
      <w:r w:rsidRPr="008547EA">
        <w:rPr>
          <w:noProof/>
          <w:vertAlign w:val="subscript"/>
        </w:rPr>
        <w:t>2</w:t>
      </w:r>
      <w:r w:rsidRPr="007663CA">
        <w:rPr>
          <w:noProof/>
        </w:rPr>
        <w:t xml:space="preserve"> standards, carbon pricing and updated fuel policies will enable the decarbonisation of the stock of existing vehicles already on the roads that constitute the legacy fleet.   </w:t>
      </w:r>
    </w:p>
    <w:p w14:paraId="69D750F7" w14:textId="16240C68" w:rsidR="001B6F27" w:rsidRPr="008853AE" w:rsidRDefault="00482E88" w:rsidP="001B6F27">
      <w:pPr>
        <w:rPr>
          <w:rFonts w:eastAsia="Calibri"/>
          <w:noProof/>
          <w:color w:val="000000" w:themeColor="text1"/>
        </w:rPr>
      </w:pPr>
      <w:r w:rsidRPr="007663CA">
        <w:rPr>
          <w:rFonts w:eastAsia="Calibri"/>
          <w:noProof/>
          <w:color w:val="000000" w:themeColor="text1"/>
        </w:rPr>
        <w:t xml:space="preserve">Maritime and air </w:t>
      </w:r>
      <w:r>
        <w:rPr>
          <w:rFonts w:eastAsia="Calibri"/>
          <w:noProof/>
          <w:color w:val="000000" w:themeColor="text1"/>
        </w:rPr>
        <w:t xml:space="preserve">transport </w:t>
      </w:r>
      <w:r w:rsidRPr="007663CA">
        <w:rPr>
          <w:rFonts w:eastAsia="Calibri"/>
          <w:noProof/>
          <w:color w:val="000000" w:themeColor="text1"/>
        </w:rPr>
        <w:t xml:space="preserve">emissions will </w:t>
      </w:r>
      <w:r>
        <w:rPr>
          <w:rFonts w:eastAsia="Calibri"/>
          <w:noProof/>
          <w:color w:val="000000" w:themeColor="text1"/>
        </w:rPr>
        <w:t xml:space="preserve">be </w:t>
      </w:r>
      <w:r w:rsidRPr="007663CA">
        <w:rPr>
          <w:rFonts w:eastAsia="Calibri"/>
          <w:noProof/>
          <w:color w:val="000000" w:themeColor="text1"/>
        </w:rPr>
        <w:t>reduce</w:t>
      </w:r>
      <w:r>
        <w:rPr>
          <w:rFonts w:eastAsia="Calibri"/>
          <w:noProof/>
          <w:color w:val="000000" w:themeColor="text1"/>
        </w:rPr>
        <w:t>d</w:t>
      </w:r>
      <w:r w:rsidRPr="007663CA">
        <w:rPr>
          <w:rFonts w:eastAsia="Calibri"/>
          <w:noProof/>
          <w:color w:val="000000" w:themeColor="text1"/>
        </w:rPr>
        <w:t xml:space="preserve"> through the combined effects of “Fit for 55” measures</w:t>
      </w:r>
      <w:r>
        <w:rPr>
          <w:rFonts w:eastAsia="Calibri"/>
          <w:noProof/>
          <w:color w:val="000000" w:themeColor="text1"/>
        </w:rPr>
        <w:t>. This includes</w:t>
      </w:r>
      <w:r w:rsidRPr="007663CA">
        <w:rPr>
          <w:rFonts w:eastAsia="Calibri"/>
          <w:noProof/>
          <w:color w:val="000000" w:themeColor="text1"/>
        </w:rPr>
        <w:t xml:space="preserve"> </w:t>
      </w:r>
      <w:r>
        <w:rPr>
          <w:rFonts w:eastAsia="Calibri"/>
          <w:noProof/>
          <w:color w:val="000000" w:themeColor="text1"/>
        </w:rPr>
        <w:t xml:space="preserve">the </w:t>
      </w:r>
      <w:r w:rsidRPr="007663CA">
        <w:rPr>
          <w:rFonts w:eastAsia="Calibri"/>
          <w:noProof/>
          <w:color w:val="000000" w:themeColor="text1"/>
        </w:rPr>
        <w:t>achiev</w:t>
      </w:r>
      <w:r>
        <w:rPr>
          <w:rFonts w:eastAsia="Calibri"/>
          <w:noProof/>
          <w:color w:val="000000" w:themeColor="text1"/>
        </w:rPr>
        <w:t>ement</w:t>
      </w:r>
      <w:r w:rsidRPr="007663CA">
        <w:rPr>
          <w:rFonts w:eastAsia="Calibri"/>
          <w:noProof/>
          <w:color w:val="000000" w:themeColor="text1"/>
        </w:rPr>
        <w:t xml:space="preserve"> </w:t>
      </w:r>
      <w:r>
        <w:rPr>
          <w:rFonts w:eastAsia="Calibri"/>
          <w:noProof/>
          <w:color w:val="000000" w:themeColor="text1"/>
        </w:rPr>
        <w:t xml:space="preserve">of </w:t>
      </w:r>
      <w:r w:rsidRPr="007663CA">
        <w:rPr>
          <w:rFonts w:eastAsia="Calibri"/>
          <w:noProof/>
          <w:color w:val="000000" w:themeColor="text1"/>
        </w:rPr>
        <w:t xml:space="preserve">the targets </w:t>
      </w:r>
      <w:r>
        <w:rPr>
          <w:rFonts w:eastAsia="Calibri"/>
          <w:noProof/>
          <w:color w:val="000000" w:themeColor="text1"/>
        </w:rPr>
        <w:t xml:space="preserve">set out </w:t>
      </w:r>
      <w:r w:rsidRPr="007663CA">
        <w:rPr>
          <w:rFonts w:eastAsia="Calibri"/>
          <w:noProof/>
          <w:color w:val="000000" w:themeColor="text1"/>
        </w:rPr>
        <w:t>in FuelEU Maritime</w:t>
      </w:r>
      <w:r w:rsidR="000923AF">
        <w:rPr>
          <w:rFonts w:eastAsia="Calibri"/>
          <w:noProof/>
          <w:color w:val="000000" w:themeColor="text1"/>
        </w:rPr>
        <w:t xml:space="preserve"> </w:t>
      </w:r>
      <w:r>
        <w:rPr>
          <w:rFonts w:eastAsia="Calibri"/>
          <w:noProof/>
          <w:color w:val="000000" w:themeColor="text1"/>
        </w:rPr>
        <w:t>(</w:t>
      </w:r>
      <w:r>
        <w:rPr>
          <w:rStyle w:val="FootnoteReference"/>
          <w:rFonts w:eastAsia="Calibri"/>
          <w:noProof/>
          <w:color w:val="000000" w:themeColor="text1"/>
        </w:rPr>
        <w:footnoteReference w:id="34"/>
      </w:r>
      <w:r>
        <w:rPr>
          <w:rFonts w:eastAsia="Calibri"/>
          <w:noProof/>
          <w:color w:val="000000" w:themeColor="text1"/>
        </w:rPr>
        <w:t>)</w:t>
      </w:r>
      <w:r w:rsidRPr="007663CA">
        <w:rPr>
          <w:rFonts w:eastAsia="Calibri"/>
          <w:noProof/>
          <w:color w:val="000000" w:themeColor="text1"/>
        </w:rPr>
        <w:t xml:space="preserve"> and ReFuelEU aviation</w:t>
      </w:r>
      <w:r>
        <w:rPr>
          <w:rFonts w:eastAsia="Calibri"/>
          <w:noProof/>
          <w:color w:val="000000" w:themeColor="text1"/>
        </w:rPr>
        <w:t>(</w:t>
      </w:r>
      <w:r w:rsidRPr="5A178A04">
        <w:rPr>
          <w:rStyle w:val="FootnoteReference"/>
          <w:rFonts w:cstheme="minorBidi"/>
          <w:noProof/>
        </w:rPr>
        <w:footnoteReference w:id="35"/>
      </w:r>
      <w:r>
        <w:rPr>
          <w:rFonts w:eastAsia="Calibri"/>
          <w:noProof/>
          <w:color w:val="000000" w:themeColor="text1"/>
        </w:rPr>
        <w:t>)</w:t>
      </w:r>
      <w:r w:rsidRPr="007663CA">
        <w:rPr>
          <w:rFonts w:eastAsia="Calibri"/>
          <w:noProof/>
          <w:color w:val="000000" w:themeColor="text1"/>
        </w:rPr>
        <w:t xml:space="preserve">, spurring the deployment of </w:t>
      </w:r>
      <w:r>
        <w:rPr>
          <w:rFonts w:eastAsia="Calibri"/>
          <w:noProof/>
          <w:color w:val="000000" w:themeColor="text1"/>
        </w:rPr>
        <w:t xml:space="preserve">renewable and </w:t>
      </w:r>
      <w:r w:rsidRPr="007663CA">
        <w:rPr>
          <w:rFonts w:eastAsia="Calibri"/>
          <w:noProof/>
          <w:color w:val="000000" w:themeColor="text1"/>
        </w:rPr>
        <w:t>low carbon fuels</w:t>
      </w:r>
      <w:r>
        <w:rPr>
          <w:rFonts w:eastAsia="Calibri"/>
          <w:noProof/>
          <w:color w:val="000000" w:themeColor="text1"/>
        </w:rPr>
        <w:t xml:space="preserve"> </w:t>
      </w:r>
      <w:r w:rsidRPr="00052156">
        <w:rPr>
          <w:rFonts w:eastAsia="Calibri"/>
          <w:noProof/>
          <w:color w:val="000000" w:themeColor="text1"/>
        </w:rPr>
        <w:t>and of zero-emission aircraft and vessels</w:t>
      </w:r>
      <w:r w:rsidRPr="001818D9">
        <w:rPr>
          <w:noProof/>
        </w:rPr>
        <w:t>.</w:t>
      </w:r>
      <w:r w:rsidRPr="007663CA">
        <w:rPr>
          <w:noProof/>
        </w:rPr>
        <w:t xml:space="preserve"> Through the ETS, the EU is the first jurisdiction to put an explicit carbon price on emissions from these sectors</w:t>
      </w:r>
      <w:r>
        <w:rPr>
          <w:noProof/>
        </w:rPr>
        <w:t>. This</w:t>
      </w:r>
      <w:r w:rsidRPr="007663CA">
        <w:rPr>
          <w:noProof/>
        </w:rPr>
        <w:t xml:space="preserve"> will </w:t>
      </w:r>
      <w:r w:rsidRPr="001818D9">
        <w:rPr>
          <w:noProof/>
        </w:rPr>
        <w:t xml:space="preserve">stimulate </w:t>
      </w:r>
      <w:r>
        <w:rPr>
          <w:noProof/>
        </w:rPr>
        <w:t xml:space="preserve">and generate revenues for speeding up </w:t>
      </w:r>
      <w:r w:rsidRPr="001818D9">
        <w:rPr>
          <w:noProof/>
        </w:rPr>
        <w:t>the large-scale uptake of zero-emission technologies,</w:t>
      </w:r>
      <w:r>
        <w:rPr>
          <w:noProof/>
        </w:rPr>
        <w:t xml:space="preserve"> </w:t>
      </w:r>
      <w:r w:rsidRPr="001818D9">
        <w:rPr>
          <w:noProof/>
        </w:rPr>
        <w:t>renewable and low carbon fuels</w:t>
      </w:r>
      <w:r>
        <w:rPr>
          <w:noProof/>
        </w:rPr>
        <w:t xml:space="preserve"> </w:t>
      </w:r>
      <w:r w:rsidRPr="001818D9">
        <w:rPr>
          <w:noProof/>
        </w:rPr>
        <w:t>and energy efficiency solutions in aviation and shipping</w:t>
      </w:r>
      <w:r>
        <w:rPr>
          <w:noProof/>
        </w:rPr>
        <w:t>.</w:t>
      </w:r>
      <w:r>
        <w:rPr>
          <w:rFonts w:eastAsia="Calibri"/>
          <w:noProof/>
          <w:color w:val="000000" w:themeColor="text1"/>
        </w:rPr>
        <w:t xml:space="preserve"> For instance, </w:t>
      </w:r>
      <w:r>
        <w:rPr>
          <w:noProof/>
        </w:rPr>
        <w:t>the Commission will organise calls for proposals with dedicated topics for the maritime sector under the Innovation Fund, as already announced.</w:t>
      </w:r>
    </w:p>
    <w:p w14:paraId="25771BEB" w14:textId="7486F288" w:rsidR="0064336A" w:rsidRDefault="00482E88" w:rsidP="00482E88">
      <w:pPr>
        <w:rPr>
          <w:noProof/>
        </w:rPr>
      </w:pPr>
      <w:r w:rsidRPr="0084550A">
        <w:rPr>
          <w:noProof/>
        </w:rPr>
        <w:t>As agreed in 2023, in 2026, the Commission will assess an extension of the carbon pricing for the aviation and maritime sectors (</w:t>
      </w:r>
      <w:r w:rsidRPr="0084550A">
        <w:rPr>
          <w:rStyle w:val="FootnoteReference"/>
          <w:noProof/>
        </w:rPr>
        <w:footnoteReference w:id="36"/>
      </w:r>
      <w:r w:rsidRPr="0084550A">
        <w:rPr>
          <w:noProof/>
        </w:rPr>
        <w:t>). Addressing barriers to the deployment of alternative low- and zero-emissions fuels (including e-fuels and advanced biofuels) in aviation and maritime and giving them priority access to these fuels over sectors that have access to other decarbonisation solutions, such as direct electrification, will enable these sectors to contribute to the EU’s climate objectives and to the global climate agenda (</w:t>
      </w:r>
      <w:r w:rsidRPr="0084550A">
        <w:rPr>
          <w:rStyle w:val="FootnoteReference"/>
          <w:noProof/>
        </w:rPr>
        <w:footnoteReference w:id="37"/>
      </w:r>
      <w:r w:rsidRPr="0084550A">
        <w:rPr>
          <w:noProof/>
        </w:rPr>
        <w:t>). In doing so, the full climate impacts of aviation should be duly considered, in line with the latest scientific findings, and a system for airlines to monitor, report and verify non-CO</w:t>
      </w:r>
      <w:r w:rsidRPr="0084550A">
        <w:rPr>
          <w:noProof/>
          <w:vertAlign w:val="subscript"/>
        </w:rPr>
        <w:t>2</w:t>
      </w:r>
      <w:r w:rsidRPr="0084550A">
        <w:rPr>
          <w:noProof/>
        </w:rPr>
        <w:t xml:space="preserve"> emissions and climate effects of aviation will be put in place.</w:t>
      </w:r>
      <w:r w:rsidRPr="007663CA">
        <w:rPr>
          <w:noProof/>
        </w:rPr>
        <w:t xml:space="preserve">  </w:t>
      </w:r>
    </w:p>
    <w:p w14:paraId="718F4B80" w14:textId="7FFCB2D1" w:rsidR="00482E88" w:rsidRPr="007663CA" w:rsidRDefault="00482E88" w:rsidP="00482E88">
      <w:pPr>
        <w:rPr>
          <w:noProof/>
        </w:rPr>
      </w:pPr>
      <w:r>
        <w:rPr>
          <w:rFonts w:eastAsia="Calibri"/>
          <w:noProof/>
          <w:color w:val="000000" w:themeColor="text1"/>
        </w:rPr>
        <w:t>Significant investments will be required in the energy system to replace fossil fuels with renewable and low-carbon fuels necessary to power the transport sector.</w:t>
      </w:r>
      <w:r w:rsidR="000923AF">
        <w:rPr>
          <w:rFonts w:eastAsia="Calibri"/>
          <w:noProof/>
          <w:color w:val="000000" w:themeColor="text1"/>
        </w:rPr>
        <w:t xml:space="preserve"> </w:t>
      </w:r>
      <w:r>
        <w:rPr>
          <w:rFonts w:eastAsia="Calibri"/>
          <w:noProof/>
          <w:color w:val="000000" w:themeColor="text1"/>
        </w:rPr>
        <w:t>Ensuring that a sufficient feedstock of sustainable alternative fuels is made available through dedicated measures is key to reaching the set ambition.</w:t>
      </w:r>
    </w:p>
    <w:p w14:paraId="21506816" w14:textId="4CB1EB8D" w:rsidR="00482E88" w:rsidRPr="007663CA" w:rsidRDefault="00482E88" w:rsidP="00482E88">
      <w:pPr>
        <w:rPr>
          <w:noProof/>
        </w:rPr>
      </w:pPr>
      <w:r w:rsidRPr="5A178A04">
        <w:rPr>
          <w:rFonts w:eastAsia="Calibri"/>
          <w:noProof/>
          <w:color w:val="000000" w:themeColor="text1"/>
        </w:rPr>
        <w:t xml:space="preserve">Higher use of rail thanks to increased use of railway infrastructure capacity, and an efficient and interconnected multimodal transport system for both passengers and freight supported by the multimodal Trans-European Transport Network, can therefore be significant contributors to reducing overall emissions. Deployment of </w:t>
      </w:r>
      <w:r>
        <w:rPr>
          <w:noProof/>
        </w:rPr>
        <w:t>different models based on mobility as a service, multimodality, digital solutions and optimised green logistics (e.g. for freight) will modernise and decarbonise the transport sector. Promoting s</w:t>
      </w:r>
      <w:r w:rsidRPr="5A178A04">
        <w:rPr>
          <w:rFonts w:eastAsia="Calibri"/>
          <w:noProof/>
          <w:color w:val="000000" w:themeColor="text1"/>
        </w:rPr>
        <w:t>ustainable</w:t>
      </w:r>
      <w:r>
        <w:rPr>
          <w:rFonts w:eastAsia="Calibri"/>
          <w:noProof/>
          <w:color w:val="000000" w:themeColor="text1"/>
        </w:rPr>
        <w:t xml:space="preserve"> and affordable</w:t>
      </w:r>
      <w:r w:rsidRPr="5A178A04">
        <w:rPr>
          <w:rFonts w:eastAsia="Calibri"/>
          <w:noProof/>
          <w:color w:val="000000" w:themeColor="text1"/>
        </w:rPr>
        <w:t xml:space="preserve"> urban mobility, including through adequate urban planning, will be important to </w:t>
      </w:r>
      <w:r>
        <w:rPr>
          <w:noProof/>
        </w:rPr>
        <w:t xml:space="preserve">enable more public transport, active mobility (i.e., walking and cycling) for short distance trips, with benefits for both the climate and people’s health.  </w:t>
      </w:r>
    </w:p>
    <w:p w14:paraId="24B5CDC4" w14:textId="77777777" w:rsidR="00482E88" w:rsidRPr="007663CA" w:rsidRDefault="00482E88" w:rsidP="00482E88">
      <w:pPr>
        <w:pStyle w:val="Heading2"/>
        <w:rPr>
          <w:noProof/>
        </w:rPr>
      </w:pPr>
      <w:bookmarkStart w:id="50" w:name="_Toc158097100"/>
      <w:r>
        <w:rPr>
          <w:noProof/>
        </w:rPr>
        <w:t>Land, food and bioeconomy</w:t>
      </w:r>
      <w:bookmarkEnd w:id="50"/>
    </w:p>
    <w:p w14:paraId="6DA38D66" w14:textId="77777777" w:rsidR="00482E88" w:rsidRPr="007663CA" w:rsidRDefault="00482E88" w:rsidP="00482E88">
      <w:pPr>
        <w:rPr>
          <w:i/>
          <w:noProof/>
        </w:rPr>
      </w:pPr>
      <w:r>
        <w:rPr>
          <w:i/>
          <w:iCs/>
          <w:noProof/>
        </w:rPr>
        <w:t xml:space="preserve">Ensuring </w:t>
      </w:r>
      <w:r w:rsidRPr="00F6440E">
        <w:rPr>
          <w:i/>
          <w:iCs/>
          <w:noProof/>
        </w:rPr>
        <w:t>climate-neutral food</w:t>
      </w:r>
      <w:r>
        <w:rPr>
          <w:i/>
          <w:iCs/>
          <w:noProof/>
        </w:rPr>
        <w:t xml:space="preserve"> production</w:t>
      </w:r>
      <w:r w:rsidRPr="00F6440E">
        <w:rPr>
          <w:i/>
          <w:iCs/>
          <w:noProof/>
        </w:rPr>
        <w:t xml:space="preserve"> and </w:t>
      </w:r>
      <w:r>
        <w:rPr>
          <w:i/>
          <w:iCs/>
          <w:noProof/>
        </w:rPr>
        <w:t xml:space="preserve">strengthening the </w:t>
      </w:r>
      <w:r w:rsidRPr="00F6440E">
        <w:rPr>
          <w:i/>
          <w:iCs/>
          <w:noProof/>
        </w:rPr>
        <w:t>bioeconomy sectors</w:t>
      </w:r>
    </w:p>
    <w:p w14:paraId="367480E9" w14:textId="60A6503F" w:rsidR="00482E88" w:rsidRPr="0084550A" w:rsidRDefault="00482E88" w:rsidP="00482E88">
      <w:pPr>
        <w:rPr>
          <w:noProof/>
        </w:rPr>
      </w:pPr>
      <w:r>
        <w:rPr>
          <w:noProof/>
        </w:rPr>
        <w:t xml:space="preserve">Ensuring sufficient, affordable, quality food production in Europe is of strategic importance. At the same time, European farmers and foresters offer multiple vital </w:t>
      </w:r>
      <w:r w:rsidRPr="0084550A">
        <w:rPr>
          <w:noProof/>
        </w:rPr>
        <w:t xml:space="preserve">services for the EU society, environment and economy. They ensure the production of primary food and bio-based materials, are at the core of the bioeconomy and the food system’s value chains and have a vital role in ensuring food security. As managers of the land, they are also essential to ensure ecosystem services such as biodiversity protection and restoration, carbon removals or adaptation to climate change. </w:t>
      </w:r>
      <w:bookmarkStart w:id="51" w:name="_Hlk157118445"/>
    </w:p>
    <w:p w14:paraId="2E82320D" w14:textId="18CBEAA8" w:rsidR="00482E88" w:rsidRDefault="00482E88" w:rsidP="00482E88">
      <w:pPr>
        <w:spacing w:before="100" w:beforeAutospacing="1" w:after="100" w:afterAutospacing="1"/>
        <w:rPr>
          <w:noProof/>
          <w:sz w:val="22"/>
          <w:szCs w:val="22"/>
          <w:lang w:val="en-IE"/>
        </w:rPr>
      </w:pPr>
      <w:r w:rsidRPr="0084550A">
        <w:rPr>
          <w:noProof/>
        </w:rPr>
        <w:t>Like all other sectors, agricultural activities play an important role in achieving the EU’s 2040 climate ambition</w:t>
      </w:r>
      <w:r>
        <w:rPr>
          <w:noProof/>
        </w:rPr>
        <w:t>,</w:t>
      </w:r>
      <w:r w:rsidRPr="00F72817">
        <w:rPr>
          <w:noProof/>
          <w:color w:val="FF0000"/>
        </w:rPr>
        <w:t xml:space="preserve"> </w:t>
      </w:r>
      <w:r w:rsidRPr="00AF6F15">
        <w:rPr>
          <w:noProof/>
        </w:rPr>
        <w:t>while contributing to EU food sovereignty</w:t>
      </w:r>
      <w:r w:rsidRPr="0084550A">
        <w:rPr>
          <w:noProof/>
        </w:rPr>
        <w:t xml:space="preserve">. </w:t>
      </w:r>
      <w:r>
        <w:rPr>
          <w:noProof/>
        </w:rPr>
        <w:t>T</w:t>
      </w:r>
      <w:r w:rsidRPr="0084550A">
        <w:rPr>
          <w:noProof/>
        </w:rPr>
        <w:t xml:space="preserve">he right policies, </w:t>
      </w:r>
      <w:r>
        <w:rPr>
          <w:noProof/>
        </w:rPr>
        <w:t xml:space="preserve">like </w:t>
      </w:r>
      <w:r w:rsidRPr="0084550A">
        <w:rPr>
          <w:noProof/>
        </w:rPr>
        <w:t>boosting the availability of low-carbon alternatives</w:t>
      </w:r>
      <w:r>
        <w:rPr>
          <w:noProof/>
        </w:rPr>
        <w:t xml:space="preserve"> </w:t>
      </w:r>
      <w:r w:rsidRPr="0084550A">
        <w:rPr>
          <w:noProof/>
        </w:rPr>
        <w:t>(</w:t>
      </w:r>
      <w:r w:rsidRPr="0084550A">
        <w:rPr>
          <w:rStyle w:val="FootnoteReference"/>
          <w:noProof/>
        </w:rPr>
        <w:footnoteReference w:id="38"/>
      </w:r>
      <w:r w:rsidRPr="0084550A">
        <w:rPr>
          <w:noProof/>
        </w:rPr>
        <w:t>) and circular applications</w:t>
      </w:r>
      <w:r>
        <w:rPr>
          <w:noProof/>
        </w:rPr>
        <w:t>,</w:t>
      </w:r>
      <w:r w:rsidRPr="0084550A">
        <w:rPr>
          <w:noProof/>
        </w:rPr>
        <w:t xml:space="preserve"> such as renure</w:t>
      </w:r>
      <w:r>
        <w:rPr>
          <w:noProof/>
        </w:rPr>
        <w:t xml:space="preserve"> (</w:t>
      </w:r>
      <w:r w:rsidRPr="0084550A">
        <w:rPr>
          <w:rStyle w:val="FootnoteReference"/>
          <w:noProof/>
        </w:rPr>
        <w:footnoteReference w:id="39"/>
      </w:r>
      <w:r>
        <w:rPr>
          <w:noProof/>
        </w:rPr>
        <w:t>),</w:t>
      </w:r>
      <w:r w:rsidRPr="0084550A">
        <w:rPr>
          <w:noProof/>
        </w:rPr>
        <w:t xml:space="preserve"> with the right support to address trade-offs and decrease costs, </w:t>
      </w:r>
      <w:r>
        <w:rPr>
          <w:noProof/>
        </w:rPr>
        <w:t>show the potential to contribute to solutions. This is why the</w:t>
      </w:r>
      <w:r w:rsidRPr="0084550A">
        <w:rPr>
          <w:noProof/>
        </w:rPr>
        <w:t xml:space="preserve"> Commission chose to set up a Strategic Dialogue on the future of EU agriculture in order to</w:t>
      </w:r>
      <w:r>
        <w:rPr>
          <w:noProof/>
        </w:rPr>
        <w:t>, among other things,</w:t>
      </w:r>
      <w:r w:rsidRPr="0084550A">
        <w:rPr>
          <w:noProof/>
        </w:rPr>
        <w:t xml:space="preserve"> jointly shape the transition, and has committed to intensifying dialogue also with forest owners and other forest stakeholders.</w:t>
      </w:r>
      <w:r>
        <w:rPr>
          <w:noProof/>
        </w:rPr>
        <w:t xml:space="preserve"> This dialogue will address issues such as viable livelihoods, reducing burdens and ensuring competitive and sustainable food production in the future. </w:t>
      </w:r>
      <w:r w:rsidRPr="00AF6F15">
        <w:rPr>
          <w:noProof/>
          <w:lang w:val="en-US"/>
        </w:rPr>
        <w:t>Given that it is among the most efficient global producers of food in terms of greenhouse gas (GHG) emissions, the EU</w:t>
      </w:r>
      <w:r w:rsidRPr="00D03B0C">
        <w:rPr>
          <w:noProof/>
          <w:lang w:val="en-US"/>
        </w:rPr>
        <w:t xml:space="preserve"> </w:t>
      </w:r>
      <w:r w:rsidRPr="00AF6F15">
        <w:rPr>
          <w:noProof/>
          <w:lang w:val="en-US"/>
        </w:rPr>
        <w:t>should</w:t>
      </w:r>
      <w:r>
        <w:rPr>
          <w:noProof/>
          <w:lang w:val="en-US"/>
        </w:rPr>
        <w:t xml:space="preserve"> also</w:t>
      </w:r>
      <w:r w:rsidRPr="00AF6F15">
        <w:rPr>
          <w:noProof/>
          <w:lang w:val="en-US"/>
        </w:rPr>
        <w:t xml:space="preserve"> work to prevent unfair competition and to ensure a level playing field with non-EU producers, in particular through trade agreements. </w:t>
      </w:r>
    </w:p>
    <w:p w14:paraId="53C6FA88" w14:textId="77777777" w:rsidR="00482E88" w:rsidRPr="0084550A" w:rsidRDefault="00482E88" w:rsidP="00482E88">
      <w:pPr>
        <w:rPr>
          <w:noProof/>
        </w:rPr>
      </w:pPr>
      <w:r w:rsidRPr="0084550A">
        <w:rPr>
          <w:noProof/>
        </w:rPr>
        <w:t>Bio-based materials that are sustainably sourced can not only store carbon over long periods (e.g., if wood is used as a construction material) but also replace fossil-based materials, and in this way the land sectors contribute to the decarbonisation of other sectors. More resource-efficient and biodiversity-friendly management of the land sector will also increase its resilience to the impacts of climate change, improve soil fertility and protect and restore nature, bringing win-win solutions for food security and the productivity of land.</w:t>
      </w:r>
      <w:r w:rsidRPr="0084550A">
        <w:rPr>
          <w:noProof/>
          <w:sz w:val="23"/>
          <w:szCs w:val="23"/>
        </w:rPr>
        <w:t xml:space="preserve"> </w:t>
      </w:r>
      <w:r w:rsidRPr="0084550A">
        <w:rPr>
          <w:noProof/>
        </w:rPr>
        <w:t>Also for the fisheries and aquaculture sector, in February 2023 the Commission has proposed measures to become climate neutral by 2050, by improving fuel efficiency and switching to renewable, low-carbon power sources (</w:t>
      </w:r>
      <w:r w:rsidRPr="0084550A">
        <w:rPr>
          <w:rStyle w:val="FootnoteReference"/>
          <w:noProof/>
        </w:rPr>
        <w:footnoteReference w:id="40"/>
      </w:r>
      <w:r w:rsidRPr="0084550A">
        <w:rPr>
          <w:noProof/>
        </w:rPr>
        <w:t>).</w:t>
      </w:r>
    </w:p>
    <w:bookmarkEnd w:id="51"/>
    <w:p w14:paraId="13861D22" w14:textId="77777777" w:rsidR="00482E88" w:rsidRPr="0084550A" w:rsidRDefault="00482E88" w:rsidP="00482E88">
      <w:pPr>
        <w:rPr>
          <w:noProof/>
          <w:sz w:val="23"/>
          <w:szCs w:val="23"/>
        </w:rPr>
      </w:pPr>
      <w:r w:rsidRPr="0084550A">
        <w:rPr>
          <w:noProof/>
        </w:rPr>
        <w:t xml:space="preserve">This being said, policies addressing the food sector in a holistic way are more efficient than looking at the farming and fisheries sectors in isolation, because many decisions with a large mitigation potential are taken outside the farm gate: the chemical composition of fertilisers, the circular use of food waste (crop residues, manure, fisheries by-product), the reduction of food waste at the manufacture and retail stages, the choice of ingredients for manufactured food products, and consumers’ dietary choices. A whole-of-food-sector approach is also the best way to give farmers perspective to solid </w:t>
      </w:r>
      <w:r>
        <w:rPr>
          <w:noProof/>
        </w:rPr>
        <w:t xml:space="preserve">and fair </w:t>
      </w:r>
      <w:r w:rsidRPr="0084550A">
        <w:rPr>
          <w:noProof/>
        </w:rPr>
        <w:t>earnings from their produce.</w:t>
      </w:r>
      <w:r w:rsidRPr="0084550A">
        <w:rPr>
          <w:noProof/>
          <w:color w:val="000000" w:themeColor="text1"/>
          <w:sz w:val="27"/>
          <w:szCs w:val="27"/>
        </w:rPr>
        <w:t xml:space="preserve"> </w:t>
      </w:r>
    </w:p>
    <w:p w14:paraId="1B186025" w14:textId="2D5D90A6" w:rsidR="00482E88" w:rsidRDefault="00482E88" w:rsidP="00AF6F15">
      <w:pPr>
        <w:spacing w:before="100" w:beforeAutospacing="1" w:after="100" w:afterAutospacing="1"/>
        <w:rPr>
          <w:noProof/>
          <w:sz w:val="22"/>
          <w:szCs w:val="22"/>
          <w:lang w:val="en-IE"/>
        </w:rPr>
      </w:pPr>
      <w:r w:rsidRPr="0084550A">
        <w:rPr>
          <w:noProof/>
        </w:rPr>
        <w:t xml:space="preserve">The </w:t>
      </w:r>
      <w:r w:rsidRPr="0084550A">
        <w:rPr>
          <w:rFonts w:eastAsiaTheme="minorEastAsia"/>
          <w:noProof/>
        </w:rPr>
        <w:t>food industry plays an important role in driving producers’ and consumers’ decisions. It should receive the right incentives to procure more sustainable food ingredients and contribute to a food environment that makes healthier diets</w:t>
      </w:r>
      <w:r w:rsidRPr="0084550A">
        <w:rPr>
          <w:rFonts w:eastAsia="Times New Roman"/>
          <w:noProof/>
        </w:rPr>
        <w:t xml:space="preserve"> </w:t>
      </w:r>
      <w:r w:rsidRPr="0084550A">
        <w:rPr>
          <w:noProof/>
        </w:rPr>
        <w:t xml:space="preserve">an accessible and </w:t>
      </w:r>
      <w:r w:rsidRPr="0084550A">
        <w:rPr>
          <w:rFonts w:eastAsiaTheme="minorEastAsia"/>
          <w:noProof/>
        </w:rPr>
        <w:t>affordable choice for consumers (</w:t>
      </w:r>
      <w:r w:rsidRPr="0084550A">
        <w:rPr>
          <w:rStyle w:val="FootnoteReference"/>
          <w:noProof/>
        </w:rPr>
        <w:footnoteReference w:id="41"/>
      </w:r>
      <w:r w:rsidRPr="0084550A">
        <w:rPr>
          <w:rFonts w:eastAsiaTheme="minorEastAsia"/>
          <w:noProof/>
        </w:rPr>
        <w:t xml:space="preserve">). </w:t>
      </w:r>
      <w:r w:rsidRPr="0084550A">
        <w:rPr>
          <w:noProof/>
        </w:rPr>
        <w:t>The Common Agricultural Policy provides essential tools to support the transition of the farming sector towards new sustainable practices and business models.</w:t>
      </w:r>
      <w:r>
        <w:rPr>
          <w:noProof/>
        </w:rPr>
        <w:t xml:space="preserve"> </w:t>
      </w:r>
      <w:r w:rsidRPr="00AF6F15">
        <w:rPr>
          <w:noProof/>
        </w:rPr>
        <w:t>In particular,</w:t>
      </w:r>
      <w:r>
        <w:rPr>
          <w:noProof/>
        </w:rPr>
        <w:t xml:space="preserve"> diverse and</w:t>
      </w:r>
      <w:r w:rsidRPr="00AF6F15">
        <w:rPr>
          <w:noProof/>
        </w:rPr>
        <w:t xml:space="preserve"> family-owned farms and those who combine crop and animal production are the backbone of EU farming and should be accompanied in the transition to a climate-neutral land sector, taking into account its social, environmental and economic dimension.</w:t>
      </w:r>
    </w:p>
    <w:p w14:paraId="112D272A" w14:textId="53F07F93" w:rsidR="00482E88" w:rsidRPr="0084550A" w:rsidRDefault="00482E88" w:rsidP="00482E88">
      <w:pPr>
        <w:spacing w:line="257" w:lineRule="auto"/>
        <w:rPr>
          <w:rFonts w:eastAsiaTheme="minorEastAsia"/>
          <w:noProof/>
        </w:rPr>
      </w:pPr>
      <w:r w:rsidRPr="0084550A">
        <w:rPr>
          <w:noProof/>
        </w:rPr>
        <w:t xml:space="preserve">In addition, it is crucial </w:t>
      </w:r>
      <w:r w:rsidRPr="0084550A">
        <w:rPr>
          <w:rFonts w:eastAsiaTheme="minorEastAsia"/>
          <w:noProof/>
        </w:rPr>
        <w:t>to create further business opportunities for a sustainable agrifood value chain and leverage private funds in synergy with public funding.</w:t>
      </w:r>
      <w:r>
        <w:rPr>
          <w:rFonts w:eastAsiaTheme="minorEastAsia"/>
          <w:noProof/>
        </w:rPr>
        <w:t xml:space="preserve"> T</w:t>
      </w:r>
      <w:r w:rsidRPr="0084550A">
        <w:rPr>
          <w:rFonts w:eastAsiaTheme="minorEastAsia"/>
          <w:noProof/>
        </w:rPr>
        <w:t xml:space="preserve">his could be done with new market-based mechanisms to boost sustainable food, as this could result both in a better food price to reflect sustainability as well as a fair reward for farmers and new source of funding for investments. Only firm coordination with all industrial actors </w:t>
      </w:r>
      <w:r w:rsidRPr="0084550A">
        <w:rPr>
          <w:noProof/>
        </w:rPr>
        <w:t xml:space="preserve">in the entire food value chain </w:t>
      </w:r>
      <w:r>
        <w:rPr>
          <w:noProof/>
        </w:rPr>
        <w:t xml:space="preserve">and focus on fair trading practices across that chain </w:t>
      </w:r>
      <w:r w:rsidRPr="0084550A">
        <w:rPr>
          <w:noProof/>
        </w:rPr>
        <w:t xml:space="preserve">can unlock the right incentives for </w:t>
      </w:r>
      <w:r w:rsidRPr="0084550A">
        <w:rPr>
          <w:rFonts w:eastAsiaTheme="minorEastAsia"/>
          <w:noProof/>
        </w:rPr>
        <w:t>sustainable farming practices</w:t>
      </w:r>
      <w:r>
        <w:rPr>
          <w:rFonts w:eastAsiaTheme="minorEastAsia"/>
          <w:noProof/>
        </w:rPr>
        <w:t xml:space="preserve">, </w:t>
      </w:r>
      <w:r w:rsidRPr="0084550A">
        <w:rPr>
          <w:rFonts w:eastAsiaTheme="minorEastAsia"/>
          <w:noProof/>
        </w:rPr>
        <w:t>ensure a decent and sustainable income for farmers and generate revenues to support the transition</w:t>
      </w:r>
      <w:r>
        <w:rPr>
          <w:rFonts w:eastAsiaTheme="minorEastAsia"/>
          <w:noProof/>
        </w:rPr>
        <w:t>.</w:t>
      </w:r>
      <w:r w:rsidRPr="0084550A">
        <w:rPr>
          <w:rFonts w:eastAsiaTheme="minorEastAsia"/>
          <w:noProof/>
        </w:rPr>
        <w:t xml:space="preserve"> and. </w:t>
      </w:r>
    </w:p>
    <w:p w14:paraId="0C4420D2" w14:textId="77777777" w:rsidR="00482E88" w:rsidRPr="007663CA" w:rsidRDefault="00482E88" w:rsidP="00482E88">
      <w:pPr>
        <w:rPr>
          <w:noProof/>
        </w:rPr>
      </w:pPr>
      <w:r w:rsidRPr="0084550A">
        <w:rPr>
          <w:noProof/>
        </w:rPr>
        <w:t>Thanks to advancements in digital monitoring technologies and advisory services, farmers and foresters will be able to quantify their GHG balance using reliable and harmonised certification methodologies (</w:t>
      </w:r>
      <w:r w:rsidRPr="0084550A">
        <w:rPr>
          <w:rStyle w:val="FootnoteReference"/>
          <w:noProof/>
        </w:rPr>
        <w:footnoteReference w:id="42"/>
      </w:r>
      <w:r w:rsidRPr="0084550A">
        <w:rPr>
          <w:noProof/>
        </w:rPr>
        <w:t>). Approaches such as carbon farming enable certified climate action to be appropriately rewarded through result-based contracts with other actors</w:t>
      </w:r>
      <w:r w:rsidRPr="007663CA">
        <w:rPr>
          <w:noProof/>
        </w:rPr>
        <w:t xml:space="preserve"> in the value chain or through public support. </w:t>
      </w:r>
      <w:r w:rsidRPr="5A178A04">
        <w:rPr>
          <w:noProof/>
        </w:rPr>
        <w:t>Precision farming is one of the important tools to build on these achievements, allowing farmers to make better use of their soil and other natural assets, to the benefit of climate and environment</w:t>
      </w:r>
      <w:r>
        <w:rPr>
          <w:noProof/>
        </w:rPr>
        <w:t>.</w:t>
      </w:r>
    </w:p>
    <w:p w14:paraId="2CABD25C" w14:textId="77777777" w:rsidR="00482E88" w:rsidRPr="007663CA" w:rsidRDefault="00482E88" w:rsidP="00482E88">
      <w:pPr>
        <w:rPr>
          <w:noProof/>
        </w:rPr>
      </w:pPr>
      <w:bookmarkStart w:id="52" w:name="_Hlk157073228"/>
      <w:r w:rsidRPr="007663CA">
        <w:rPr>
          <w:noProof/>
        </w:rPr>
        <w:t>Finally, as fossil-based carbon is phased out of the EU economy, farmers</w:t>
      </w:r>
      <w:r>
        <w:rPr>
          <w:noProof/>
        </w:rPr>
        <w:t>,</w:t>
      </w:r>
      <w:r w:rsidRPr="007663CA">
        <w:rPr>
          <w:noProof/>
        </w:rPr>
        <w:t xml:space="preserve"> foresters </w:t>
      </w:r>
      <w:r>
        <w:rPr>
          <w:noProof/>
        </w:rPr>
        <w:t>and fishermen</w:t>
      </w:r>
      <w:r w:rsidRPr="007663CA">
        <w:rPr>
          <w:noProof/>
        </w:rPr>
        <w:t xml:space="preserve"> will have new business opportunities to deliver biomass and bio-based materials in a sustainable manner for different uses in the bioeconomy, including in industry, construction, chemicals, energy or mobility. The enhanced use of biomass residues and waste, advanced biofuels, BECCS technologies, and biobased products should be </w:t>
      </w:r>
      <w:r>
        <w:rPr>
          <w:noProof/>
        </w:rPr>
        <w:t>accompanied</w:t>
      </w:r>
      <w:r w:rsidRPr="007663CA">
        <w:rPr>
          <w:noProof/>
        </w:rPr>
        <w:t xml:space="preserve"> with clear rules that promote sustainability and consider the impacts on the size of the natural carbon sink in the LULUCF sector. </w:t>
      </w:r>
    </w:p>
    <w:bookmarkEnd w:id="52"/>
    <w:p w14:paraId="56B1E47E" w14:textId="77777777" w:rsidR="00482E88" w:rsidRPr="007663CA" w:rsidRDefault="00482E88" w:rsidP="00482E88">
      <w:pPr>
        <w:rPr>
          <w:i/>
          <w:noProof/>
        </w:rPr>
      </w:pPr>
      <w:r w:rsidRPr="007663CA">
        <w:rPr>
          <w:i/>
          <w:iCs/>
          <w:noProof/>
        </w:rPr>
        <w:t xml:space="preserve">Healthy ecosystems, sustainable land use, nature &amp; biodiversity  </w:t>
      </w:r>
    </w:p>
    <w:p w14:paraId="0197A426" w14:textId="5EF9E7A8" w:rsidR="00482E88" w:rsidRPr="007663CA" w:rsidRDefault="00482E88" w:rsidP="00482E88">
      <w:pPr>
        <w:rPr>
          <w:noProof/>
        </w:rPr>
      </w:pPr>
      <w:r w:rsidRPr="007663CA">
        <w:rPr>
          <w:noProof/>
        </w:rPr>
        <w:t xml:space="preserve">A 2040 target and clear pathway from 2030 to 2050 should exploit and encourage synergies between climate neutrality, biodiversity and other environmental objectives. </w:t>
      </w:r>
    </w:p>
    <w:p w14:paraId="3180E846" w14:textId="77777777" w:rsidR="00482E88" w:rsidRDefault="00482E88" w:rsidP="00482E88">
      <w:pPr>
        <w:rPr>
          <w:noProof/>
        </w:rPr>
      </w:pPr>
      <w:r>
        <w:rPr>
          <w:noProof/>
        </w:rPr>
        <w:t xml:space="preserve">Cutting GHG emissions and increasing carbon removals can improve resilience and biodiversity, whilst healthy nature and biodiversity are essential for climate change mitigation and resilience. Fire-prone areas are expected to expand across Europe due to climate change, threatening carbon sinks and biodiversity. Water ecosystems are highly vulnerable to climate change. High ozone levels, and air pollution damage forests, ecosystems and crops, reducing the potential for carbon removals and adaptation. </w:t>
      </w:r>
    </w:p>
    <w:p w14:paraId="395B8E30" w14:textId="77777777" w:rsidR="00482E88" w:rsidRDefault="00482E88" w:rsidP="00482E88">
      <w:pPr>
        <w:rPr>
          <w:noProof/>
        </w:rPr>
      </w:pPr>
      <w:r>
        <w:rPr>
          <w:noProof/>
        </w:rPr>
        <w:t xml:space="preserve">Given the intensifying competition for land and water, policies can be designed to ensure the sustainable, water efficient production and consumption of food, materials and bioenergy. Bioenergy should go in priority to sectors where the potential for electrification is limited, such as air or maritime transport. </w:t>
      </w:r>
    </w:p>
    <w:p w14:paraId="086A94BB" w14:textId="77777777" w:rsidR="00482E88" w:rsidRPr="007663CA" w:rsidRDefault="00482E88" w:rsidP="00482E88">
      <w:pPr>
        <w:pStyle w:val="Heading2"/>
        <w:rPr>
          <w:noProof/>
        </w:rPr>
      </w:pPr>
      <w:bookmarkStart w:id="53" w:name="_Toc158097101"/>
      <w:r>
        <w:rPr>
          <w:noProof/>
        </w:rPr>
        <w:t>Investing in our future</w:t>
      </w:r>
      <w:bookmarkEnd w:id="53"/>
      <w:r>
        <w:rPr>
          <w:noProof/>
        </w:rPr>
        <w:t xml:space="preserve"> </w:t>
      </w:r>
    </w:p>
    <w:p w14:paraId="7BD87816" w14:textId="77777777" w:rsidR="00482E88" w:rsidRPr="007663CA" w:rsidRDefault="00482E88" w:rsidP="00482E88">
      <w:pPr>
        <w:rPr>
          <w:noProof/>
        </w:rPr>
      </w:pPr>
      <w:r w:rsidRPr="007663CA">
        <w:rPr>
          <w:i/>
          <w:iCs/>
          <w:noProof/>
        </w:rPr>
        <w:t>A comprehensive investment agenda</w:t>
      </w:r>
    </w:p>
    <w:p w14:paraId="3A83E000" w14:textId="77777777" w:rsidR="00482E88" w:rsidRPr="007663CA" w:rsidRDefault="00482E88" w:rsidP="00482E88">
      <w:pPr>
        <w:rPr>
          <w:noProof/>
        </w:rPr>
      </w:pPr>
      <w:r>
        <w:rPr>
          <w:noProof/>
        </w:rPr>
        <w:t>In a context of very intense global competition for attracting investment the EU needs a significant policy and financial initiative to attract and mobilise private investment within its borders and an enabling environment for the private sector to invest outside EU borders.</w:t>
      </w:r>
    </w:p>
    <w:p w14:paraId="70352B27" w14:textId="0D910C4C" w:rsidR="00482E88" w:rsidRPr="00772541" w:rsidRDefault="00482E88" w:rsidP="00482E88">
      <w:pPr>
        <w:rPr>
          <w:noProof/>
        </w:rPr>
      </w:pPr>
      <w:r>
        <w:rPr>
          <w:noProof/>
        </w:rPr>
        <w:t xml:space="preserve">The EU has a strong basis to build on. The EU sustainable finance framework has already helped to enhance the transparency of corporates’ business decisions and to increase the contribution of the financial sector to the transition. This framework will continue to be finetuned and developed for the needs of more actors, including those at earlier stages of the transition, in order to maximise its impact. However, the transition will not be achieved through predictability and regulation alone; Europe must become more attractive for private investment. For one, the EU Capital Markets Union must be deepened to </w:t>
      </w:r>
      <w:r w:rsidRPr="002A12CF">
        <w:rPr>
          <w:noProof/>
        </w:rPr>
        <w:t xml:space="preserve">unleash </w:t>
      </w:r>
      <w:r w:rsidRPr="00544408">
        <w:rPr>
          <w:noProof/>
        </w:rPr>
        <w:t xml:space="preserve">the </w:t>
      </w:r>
      <w:r w:rsidR="000923AF">
        <w:rPr>
          <w:noProof/>
        </w:rPr>
        <w:t xml:space="preserve">EUR </w:t>
      </w:r>
      <w:r w:rsidRPr="00544408">
        <w:rPr>
          <w:noProof/>
        </w:rPr>
        <w:t>470 billion</w:t>
      </w:r>
      <w:r w:rsidR="000923AF">
        <w:rPr>
          <w:noProof/>
        </w:rPr>
        <w:t xml:space="preserve"> </w:t>
      </w:r>
      <w:r w:rsidRPr="002A12CF">
        <w:rPr>
          <w:noProof/>
        </w:rPr>
        <w:t xml:space="preserve">in potential </w:t>
      </w:r>
      <w:r w:rsidRPr="002221E0">
        <w:rPr>
          <w:noProof/>
        </w:rPr>
        <w:t>of</w:t>
      </w:r>
      <w:r>
        <w:rPr>
          <w:noProof/>
        </w:rPr>
        <w:t xml:space="preserve"> annual private funding for companies at all stages of their development, including venture capital targeted at meeting the EU sustainability objectives and sustainable long-term investments for the climate transition</w:t>
      </w:r>
      <w:r w:rsidR="000923AF">
        <w:rPr>
          <w:noProof/>
        </w:rPr>
        <w:t xml:space="preserve"> (</w:t>
      </w:r>
      <w:r>
        <w:rPr>
          <w:rStyle w:val="FootnoteReference"/>
          <w:noProof/>
        </w:rPr>
        <w:footnoteReference w:id="43"/>
      </w:r>
      <w:r w:rsidR="000923AF">
        <w:rPr>
          <w:noProof/>
        </w:rPr>
        <w:t>).</w:t>
      </w:r>
      <w:r>
        <w:rPr>
          <w:noProof/>
        </w:rPr>
        <w:t xml:space="preserve"> </w:t>
      </w:r>
    </w:p>
    <w:p w14:paraId="42C55820" w14:textId="5AAD50F8" w:rsidR="00482E88" w:rsidRPr="007663CA" w:rsidRDefault="00482E88" w:rsidP="00482E88">
      <w:pPr>
        <w:rPr>
          <w:noProof/>
        </w:rPr>
      </w:pPr>
      <w:r>
        <w:rPr>
          <w:noProof/>
        </w:rPr>
        <w:t>Scaling up the impact calls for a reinforced, strategic capacity to identify and facilitate new investment opportunities and projects in sectors with the most impacts. The Commission, Member States and industry must jointly work towards creating a business case for the new business models in key sectors of the economy needed for the transition and notably in clean tech and decarbonised energy intensive industries and agriculture. Efforts on a simplified regulatory environment and a strong Single Market for businesses help in this regard.</w:t>
      </w:r>
    </w:p>
    <w:p w14:paraId="27D29F44" w14:textId="46082C36" w:rsidR="00482E88" w:rsidRDefault="00482E88" w:rsidP="00482E88">
      <w:pPr>
        <w:rPr>
          <w:noProof/>
        </w:rPr>
      </w:pPr>
      <w:r w:rsidRPr="007663CA">
        <w:rPr>
          <w:noProof/>
        </w:rPr>
        <w:t>Public sector support and direct investment should be strategically deployed, a</w:t>
      </w:r>
      <w:r w:rsidRPr="00046755">
        <w:rPr>
          <w:noProof/>
        </w:rPr>
        <w:t xml:space="preserve">lso by frontloading and maximising existing resources with large-scale pooling of funding, </w:t>
      </w:r>
      <w:r>
        <w:rPr>
          <w:noProof/>
        </w:rPr>
        <w:t>making it</w:t>
      </w:r>
      <w:r w:rsidRPr="00046755">
        <w:rPr>
          <w:noProof/>
        </w:rPr>
        <w:t xml:space="preserve"> accessible in the fastest and simplest way possible</w:t>
      </w:r>
      <w:r>
        <w:rPr>
          <w:noProof/>
        </w:rPr>
        <w:t xml:space="preserve"> and facilitating synergies between different instruments</w:t>
      </w:r>
      <w:r w:rsidRPr="00046755">
        <w:rPr>
          <w:noProof/>
        </w:rPr>
        <w:t>.</w:t>
      </w:r>
      <w:r w:rsidRPr="007663CA">
        <w:rPr>
          <w:noProof/>
        </w:rPr>
        <w:t xml:space="preserve"> Coordination between EU and Member State-level actions is crucial to maximise the impact of financing initiatives, with EU-level actions providing a framework to optimise policies and mobilise financial resources, while Member States tailor initiatives to specific regional and national needs</w:t>
      </w:r>
      <w:r>
        <w:rPr>
          <w:noProof/>
        </w:rPr>
        <w:t xml:space="preserve"> in compliance with the State Aid framework</w:t>
      </w:r>
      <w:r w:rsidRPr="007663CA">
        <w:rPr>
          <w:noProof/>
        </w:rPr>
        <w:t xml:space="preserve">. </w:t>
      </w:r>
      <w:r w:rsidRPr="00906AC0">
        <w:rPr>
          <w:noProof/>
        </w:rPr>
        <w:t xml:space="preserve">The </w:t>
      </w:r>
      <w:r w:rsidRPr="00944153">
        <w:rPr>
          <w:noProof/>
        </w:rPr>
        <w:t xml:space="preserve">proposed Strategic Technologies for Europe Platform (STEP), for instance, aims to improve </w:t>
      </w:r>
      <w:r w:rsidRPr="00906AC0">
        <w:rPr>
          <w:noProof/>
        </w:rPr>
        <w:t xml:space="preserve">coordination of </w:t>
      </w:r>
      <w:r w:rsidRPr="00944153">
        <w:rPr>
          <w:noProof/>
        </w:rPr>
        <w:t>funding to further leverage strategic investments into clean tech and bio tech.</w:t>
      </w:r>
    </w:p>
    <w:p w14:paraId="3DD5F7AF" w14:textId="77777777" w:rsidR="00482E88" w:rsidRPr="007663CA" w:rsidRDefault="00482E88" w:rsidP="00482E88">
      <w:pPr>
        <w:rPr>
          <w:noProof/>
        </w:rPr>
      </w:pPr>
      <w:r w:rsidRPr="007663CA">
        <w:rPr>
          <w:noProof/>
        </w:rPr>
        <w:t xml:space="preserve">From a public sector perspective, diversifying the financial landscape by using innovative financial instruments and targeted grants is crucial to attract private capital and to meet the investment targets. There is a clear need for a more efficient and tailored use of public financial resources, and the use of financial products and blending of financial sources to catalyse </w:t>
      </w:r>
      <w:r>
        <w:rPr>
          <w:noProof/>
        </w:rPr>
        <w:t xml:space="preserve">and de-risk </w:t>
      </w:r>
      <w:r w:rsidRPr="007663CA">
        <w:rPr>
          <w:noProof/>
        </w:rPr>
        <w:t xml:space="preserve">private investments. </w:t>
      </w:r>
    </w:p>
    <w:p w14:paraId="548BCBCA" w14:textId="11418587" w:rsidR="00482E88" w:rsidRPr="007663CA" w:rsidRDefault="00482E88" w:rsidP="00482E88">
      <w:pPr>
        <w:rPr>
          <w:noProof/>
        </w:rPr>
      </w:pPr>
      <w:r w:rsidRPr="007663CA">
        <w:rPr>
          <w:noProof/>
        </w:rPr>
        <w:t xml:space="preserve">Grants should only be strategically deployed to support early-stage </w:t>
      </w:r>
      <w:r w:rsidRPr="007663CA">
        <w:rPr>
          <w:noProof/>
          <w:color w:val="000000" w:themeColor="text1"/>
        </w:rPr>
        <w:t xml:space="preserve">low carbon projects such as </w:t>
      </w:r>
      <w:r w:rsidRPr="007663CA">
        <w:rPr>
          <w:noProof/>
        </w:rPr>
        <w:t>renewable energy</w:t>
      </w:r>
      <w:r w:rsidRPr="007663CA">
        <w:rPr>
          <w:noProof/>
          <w:color w:val="000000" w:themeColor="text1"/>
        </w:rPr>
        <w:t>, in the industrial sector, and other</w:t>
      </w:r>
      <w:r w:rsidRPr="007663CA">
        <w:rPr>
          <w:noProof/>
        </w:rPr>
        <w:t xml:space="preserve"> projects, where </w:t>
      </w:r>
      <w:r w:rsidRPr="00046755">
        <w:rPr>
          <w:noProof/>
        </w:rPr>
        <w:t>projects lack com</w:t>
      </w:r>
      <w:r>
        <w:rPr>
          <w:noProof/>
        </w:rPr>
        <w:t>f</w:t>
      </w:r>
      <w:r w:rsidRPr="00046755">
        <w:rPr>
          <w:noProof/>
        </w:rPr>
        <w:t>mercial viability,</w:t>
      </w:r>
      <w:r w:rsidRPr="007663CA">
        <w:rPr>
          <w:noProof/>
        </w:rPr>
        <w:t xml:space="preserve"> private investment is still nascent and difficult to market investments. For mature projects with proven revenue streams, market-oriented financial instruments, such as </w:t>
      </w:r>
      <w:r>
        <w:rPr>
          <w:noProof/>
        </w:rPr>
        <w:t>debt</w:t>
      </w:r>
      <w:r w:rsidRPr="007663CA">
        <w:rPr>
          <w:noProof/>
        </w:rPr>
        <w:t xml:space="preserve"> and equity finance, can play a pivotal role. </w:t>
      </w:r>
      <w:r w:rsidRPr="000D5848">
        <w:rPr>
          <w:noProof/>
        </w:rPr>
        <w:t xml:space="preserve">These instruments can also be used for high risk first-of-a-kind or breakthrough projects in the form of impact finance or venture debt. </w:t>
      </w:r>
      <w:r w:rsidRPr="007663CA">
        <w:rPr>
          <w:noProof/>
        </w:rPr>
        <w:t xml:space="preserve">The role of the EIB </w:t>
      </w:r>
      <w:r>
        <w:rPr>
          <w:noProof/>
        </w:rPr>
        <w:t xml:space="preserve">Group and other international and public financial institutions </w:t>
      </w:r>
      <w:r w:rsidRPr="007663CA">
        <w:rPr>
          <w:noProof/>
        </w:rPr>
        <w:t xml:space="preserve">is critical to mobilise private investments, </w:t>
      </w:r>
      <w:r w:rsidRPr="00046755">
        <w:rPr>
          <w:noProof/>
        </w:rPr>
        <w:t xml:space="preserve">especially to de-risk </w:t>
      </w:r>
      <w:r w:rsidRPr="005F32A0">
        <w:rPr>
          <w:noProof/>
        </w:rPr>
        <w:t>projects, s</w:t>
      </w:r>
      <w:r w:rsidRPr="004A1C11">
        <w:rPr>
          <w:noProof/>
        </w:rPr>
        <w:t>uch as critical raw materials, and unlock the investments in infrastructure,</w:t>
      </w:r>
      <w:r w:rsidRPr="005F32A0">
        <w:rPr>
          <w:noProof/>
        </w:rPr>
        <w:t xml:space="preserve"> provide longer tenors and larger tickets, as well as providing the signalling effect to other market participations</w:t>
      </w:r>
      <w:r w:rsidRPr="00046755">
        <w:rPr>
          <w:noProof/>
        </w:rPr>
        <w:t>.</w:t>
      </w:r>
      <w:r w:rsidRPr="007663CA">
        <w:rPr>
          <w:noProof/>
        </w:rPr>
        <w:t xml:space="preserve"> </w:t>
      </w:r>
    </w:p>
    <w:p w14:paraId="3A6474CD" w14:textId="67046DD8" w:rsidR="00187BF3" w:rsidRDefault="00482E88" w:rsidP="00482E88">
      <w:pPr>
        <w:rPr>
          <w:noProof/>
        </w:rPr>
      </w:pPr>
      <w:r>
        <w:rPr>
          <w:noProof/>
        </w:rPr>
        <w:t>Overall, a</w:t>
      </w:r>
      <w:r>
        <w:rPr>
          <w:noProof/>
          <w:color w:val="00B050"/>
        </w:rPr>
        <w:t xml:space="preserve"> </w:t>
      </w:r>
      <w:r>
        <w:rPr>
          <w:noProof/>
        </w:rPr>
        <w:t>European approach on finance will be needed in the coming years, in close coordination with Member States</w:t>
      </w:r>
      <w:r>
        <w:rPr>
          <w:noProof/>
          <w:color w:val="00B050"/>
        </w:rPr>
        <w:t>,</w:t>
      </w:r>
      <w:r>
        <w:rPr>
          <w:noProof/>
        </w:rPr>
        <w:t xml:space="preserve"> the European Investment Bank and the financial institutions to ensure a level playing field across the Single Market. </w:t>
      </w:r>
      <w:r w:rsidRPr="001774FA">
        <w:rPr>
          <w:noProof/>
        </w:rPr>
        <w:t>Given the challenges for accelerating the deployment of net-zero technologies, intervention at the level of the Union helps coordinate responses accross Member States</w:t>
      </w:r>
      <w:r>
        <w:rPr>
          <w:noProof/>
        </w:rPr>
        <w:t xml:space="preserve">. </w:t>
      </w:r>
    </w:p>
    <w:p w14:paraId="1215EEB6" w14:textId="65907302" w:rsidR="00482E88" w:rsidRPr="007663CA" w:rsidRDefault="00482E88" w:rsidP="00482E88">
      <w:pPr>
        <w:rPr>
          <w:noProof/>
        </w:rPr>
      </w:pPr>
      <w:r>
        <w:rPr>
          <w:noProof/>
        </w:rPr>
        <w:t xml:space="preserve">The recent European Investment Bank’s counter-guarantee of </w:t>
      </w:r>
      <w:r w:rsidR="000923AF">
        <w:rPr>
          <w:noProof/>
        </w:rPr>
        <w:t xml:space="preserve">EUR </w:t>
      </w:r>
      <w:r>
        <w:rPr>
          <w:noProof/>
        </w:rPr>
        <w:t xml:space="preserve">5 billion for wind energy projects, for example, is expected to generate </w:t>
      </w:r>
      <w:r w:rsidR="000923AF">
        <w:rPr>
          <w:noProof/>
        </w:rPr>
        <w:t xml:space="preserve">EUR </w:t>
      </w:r>
      <w:r>
        <w:rPr>
          <w:noProof/>
        </w:rPr>
        <w:t>80 billion in investment. This shows the merit of a discussion with Member States how such innovative EU finance tools can de-risk make-or-break strategic investments in a technology-neutral manner into our economy.</w:t>
      </w:r>
    </w:p>
    <w:p w14:paraId="6E7365ED" w14:textId="4294DF98" w:rsidR="00482E88" w:rsidRPr="00046755" w:rsidRDefault="00482E88" w:rsidP="00482E88">
      <w:pPr>
        <w:rPr>
          <w:noProof/>
        </w:rPr>
      </w:pPr>
      <w:r w:rsidRPr="00B125D0">
        <w:rPr>
          <w:noProof/>
        </w:rPr>
        <w:t>Building on the experience the Commission gained with InvestEU, the use of f</w:t>
      </w:r>
      <w:r w:rsidRPr="007663CA">
        <w:rPr>
          <w:noProof/>
        </w:rPr>
        <w:t xml:space="preserve">inancial instruments should be simplified </w:t>
      </w:r>
      <w:r>
        <w:rPr>
          <w:noProof/>
        </w:rPr>
        <w:t xml:space="preserve">further </w:t>
      </w:r>
      <w:r w:rsidRPr="007663CA">
        <w:rPr>
          <w:noProof/>
        </w:rPr>
        <w:t xml:space="preserve">to make them more attractive to investors and project developers, including by tailoring instruments to specific investment types, providing clear terms, streamlining application processes, and developing user-friendly platforms, guidance and </w:t>
      </w:r>
      <w:r>
        <w:rPr>
          <w:noProof/>
        </w:rPr>
        <w:t>reducing</w:t>
      </w:r>
      <w:r w:rsidRPr="007663CA">
        <w:rPr>
          <w:noProof/>
        </w:rPr>
        <w:t xml:space="preserve"> administrative burdens. </w:t>
      </w:r>
      <w:r>
        <w:rPr>
          <w:noProof/>
        </w:rPr>
        <w:t>Further s</w:t>
      </w:r>
      <w:r w:rsidRPr="007663CA">
        <w:rPr>
          <w:noProof/>
        </w:rPr>
        <w:t xml:space="preserve">implification throughout EU </w:t>
      </w:r>
      <w:r>
        <w:rPr>
          <w:noProof/>
        </w:rPr>
        <w:t>Programs and EU Financial Regulation</w:t>
      </w:r>
      <w:r w:rsidRPr="007663CA">
        <w:rPr>
          <w:noProof/>
        </w:rPr>
        <w:t xml:space="preserve"> is needed to offer true one-stop shops for finance</w:t>
      </w:r>
      <w:r>
        <w:rPr>
          <w:noProof/>
        </w:rPr>
        <w:t xml:space="preserve"> and funding opportunities</w:t>
      </w:r>
      <w:r w:rsidRPr="007663CA">
        <w:rPr>
          <w:noProof/>
        </w:rPr>
        <w:t xml:space="preserve">, which allows for pooling of resources, accelerated and easy access to finance, </w:t>
      </w:r>
      <w:r>
        <w:rPr>
          <w:noProof/>
        </w:rPr>
        <w:t>eventually combined with grants,</w:t>
      </w:r>
      <w:r w:rsidRPr="007663CA">
        <w:rPr>
          <w:noProof/>
        </w:rPr>
        <w:t xml:space="preserve"> limiting the number of forms to access </w:t>
      </w:r>
      <w:r>
        <w:rPr>
          <w:noProof/>
        </w:rPr>
        <w:t>support</w:t>
      </w:r>
      <w:r w:rsidRPr="007663CA">
        <w:rPr>
          <w:noProof/>
        </w:rPr>
        <w:t>. T</w:t>
      </w:r>
      <w:r w:rsidRPr="00046755">
        <w:rPr>
          <w:noProof/>
        </w:rPr>
        <w:t xml:space="preserve">hese measures are necessary to ensure a level playing field for access to finance, which is particularly relevant for </w:t>
      </w:r>
      <w:r>
        <w:rPr>
          <w:noProof/>
        </w:rPr>
        <w:t xml:space="preserve">financial intermediaries and </w:t>
      </w:r>
      <w:r w:rsidRPr="00046755">
        <w:rPr>
          <w:noProof/>
        </w:rPr>
        <w:t>smaller businesses with limited organisational capacity.</w:t>
      </w:r>
    </w:p>
    <w:p w14:paraId="5C1A1C92" w14:textId="4DE2515F" w:rsidR="00482E88" w:rsidRPr="007663CA" w:rsidRDefault="00482E88" w:rsidP="00482E88">
      <w:pPr>
        <w:rPr>
          <w:noProof/>
        </w:rPr>
      </w:pPr>
      <w:r w:rsidRPr="007663CA">
        <w:rPr>
          <w:noProof/>
        </w:rPr>
        <w:t xml:space="preserve">It is important that sufficient fiscal space is preserved in Member States for investment, within the frame of </w:t>
      </w:r>
      <w:r>
        <w:rPr>
          <w:noProof/>
        </w:rPr>
        <w:t xml:space="preserve">medium- to </w:t>
      </w:r>
      <w:r w:rsidRPr="007663CA">
        <w:rPr>
          <w:noProof/>
        </w:rPr>
        <w:t>long-term debt sustainability. The Innovation Fund as well as the national revenues under the EU ETS provide Member States with an important amount of funds that can be used for future</w:t>
      </w:r>
      <w:r>
        <w:rPr>
          <w:noProof/>
        </w:rPr>
        <w:t>-</w:t>
      </w:r>
      <w:r w:rsidRPr="007663CA">
        <w:rPr>
          <w:noProof/>
        </w:rPr>
        <w:t xml:space="preserve">proof </w:t>
      </w:r>
      <w:r>
        <w:rPr>
          <w:noProof/>
        </w:rPr>
        <w:t>investments. This should be complemented by structural reforms to accelerate the transition towards climate neutrality.</w:t>
      </w:r>
      <w:r w:rsidRPr="007663CA">
        <w:rPr>
          <w:noProof/>
        </w:rPr>
        <w:t xml:space="preserve"> Similarly, the EU budget should be geared towards promoting, enabling and encouraging investment</w:t>
      </w:r>
      <w:r>
        <w:rPr>
          <w:noProof/>
        </w:rPr>
        <w:t xml:space="preserve"> resulting in a lower level of emissions</w:t>
      </w:r>
      <w:r w:rsidRPr="007663CA">
        <w:rPr>
          <w:noProof/>
        </w:rPr>
        <w:t>, while continuing</w:t>
      </w:r>
      <w:r>
        <w:rPr>
          <w:noProof/>
        </w:rPr>
        <w:t xml:space="preserve">, </w:t>
      </w:r>
      <w:r w:rsidRPr="007663CA">
        <w:rPr>
          <w:noProof/>
        </w:rPr>
        <w:t xml:space="preserve">to </w:t>
      </w:r>
      <w:r w:rsidRPr="009E1F1D">
        <w:rPr>
          <w:noProof/>
        </w:rPr>
        <w:t>implement, where applicable,</w:t>
      </w:r>
      <w:r w:rsidRPr="007663CA">
        <w:rPr>
          <w:noProof/>
        </w:rPr>
        <w:t xml:space="preserve"> the “do no significant harm” </w:t>
      </w:r>
      <w:r w:rsidRPr="00BA4668">
        <w:rPr>
          <w:noProof/>
        </w:rPr>
        <w:t>criteria</w:t>
      </w:r>
      <w:r>
        <w:rPr>
          <w:noProof/>
        </w:rPr>
        <w:t>,</w:t>
      </w:r>
      <w:r w:rsidRPr="00DB5783">
        <w:rPr>
          <w:noProof/>
        </w:rPr>
        <w:t xml:space="preserve"> as already agreed by co-legislators for the next MFF</w:t>
      </w:r>
      <w:r>
        <w:rPr>
          <w:noProof/>
        </w:rPr>
        <w:t>. It should be reinforced to deliver higher quality investments and in this context the Commission urges swift progress on the proposed ETS own resource.</w:t>
      </w:r>
    </w:p>
    <w:p w14:paraId="70C70765" w14:textId="77777777" w:rsidR="00482E88" w:rsidRPr="007663CA" w:rsidRDefault="00482E88" w:rsidP="00482E88">
      <w:pPr>
        <w:rPr>
          <w:noProof/>
        </w:rPr>
      </w:pPr>
      <w:r w:rsidRPr="007663CA">
        <w:rPr>
          <w:noProof/>
        </w:rPr>
        <w:t xml:space="preserve">The 2040 target should also guide the financial sector and supervisory authorities when assessing the climate transition risks of investments, leading to favourable conditions when risks are minimised and adequate risk mitigation measures when they are not. </w:t>
      </w:r>
    </w:p>
    <w:p w14:paraId="1E739F49" w14:textId="77777777" w:rsidR="00482E88" w:rsidRPr="007663CA" w:rsidRDefault="00482E88" w:rsidP="00482E88">
      <w:pPr>
        <w:rPr>
          <w:i/>
          <w:iCs/>
          <w:noProof/>
        </w:rPr>
      </w:pPr>
      <w:r w:rsidRPr="7453D951">
        <w:rPr>
          <w:i/>
          <w:iCs/>
          <w:noProof/>
        </w:rPr>
        <w:t xml:space="preserve">Research, innovation and skills </w:t>
      </w:r>
    </w:p>
    <w:p w14:paraId="54B27515" w14:textId="77777777" w:rsidR="00482E88" w:rsidRPr="007663CA" w:rsidRDefault="00482E88" w:rsidP="00482E88">
      <w:pPr>
        <w:rPr>
          <w:noProof/>
        </w:rPr>
      </w:pPr>
      <w:r w:rsidRPr="007663CA">
        <w:rPr>
          <w:noProof/>
        </w:rPr>
        <w:t xml:space="preserve">Technologies to be deployed to meet the EU’s 2040 target include some that are market-ready, such as solar power, as well as a number that still need to be improved and scaled up. </w:t>
      </w:r>
    </w:p>
    <w:p w14:paraId="5D427DFE" w14:textId="0B0C7FD5" w:rsidR="00482E88" w:rsidRPr="007663CA" w:rsidRDefault="00482E88" w:rsidP="00482E88">
      <w:pPr>
        <w:rPr>
          <w:noProof/>
        </w:rPr>
      </w:pPr>
      <w:r w:rsidRPr="007663CA">
        <w:rPr>
          <w:noProof/>
        </w:rPr>
        <w:t>It is therefore paramount to keep investing in the research and demonstration of innovative net-zero technologies, coordinating the EU and national R&amp;I efforts, and strengthening efforts to bring innovations to the market and to scale them up.</w:t>
      </w:r>
      <w:r>
        <w:rPr>
          <w:noProof/>
        </w:rPr>
        <w:t xml:space="preserve"> </w:t>
      </w:r>
      <w:r w:rsidRPr="0045508F">
        <w:rPr>
          <w:noProof/>
        </w:rPr>
        <w:t xml:space="preserve">World-leading research on </w:t>
      </w:r>
      <w:r>
        <w:rPr>
          <w:noProof/>
        </w:rPr>
        <w:t xml:space="preserve">zero and </w:t>
      </w:r>
      <w:r w:rsidRPr="0045508F">
        <w:rPr>
          <w:noProof/>
        </w:rPr>
        <w:t>low-carbon industrial technologies is being carried out at EU</w:t>
      </w:r>
      <w:r>
        <w:rPr>
          <w:noProof/>
        </w:rPr>
        <w:t xml:space="preserve">, </w:t>
      </w:r>
      <w:r w:rsidRPr="0045508F">
        <w:rPr>
          <w:noProof/>
        </w:rPr>
        <w:t xml:space="preserve">national and regional levels </w:t>
      </w:r>
      <w:r>
        <w:rPr>
          <w:noProof/>
        </w:rPr>
        <w:t>across</w:t>
      </w:r>
      <w:r w:rsidRPr="0045508F">
        <w:rPr>
          <w:noProof/>
        </w:rPr>
        <w:t xml:space="preserve"> the EU</w:t>
      </w:r>
      <w:r>
        <w:rPr>
          <w:noProof/>
        </w:rPr>
        <w:t>, with the</w:t>
      </w:r>
      <w:r w:rsidRPr="0045508F">
        <w:rPr>
          <w:noProof/>
        </w:rPr>
        <w:t xml:space="preserve"> Horizon 2020 and Horizon Europe programmes funding cutting-edge R&amp;I, including via partnerships with industry </w:t>
      </w:r>
      <w:r w:rsidRPr="00806105">
        <w:rPr>
          <w:noProof/>
        </w:rPr>
        <w:t xml:space="preserve">and Member States </w:t>
      </w:r>
      <w:r w:rsidRPr="0045508F">
        <w:rPr>
          <w:noProof/>
        </w:rPr>
        <w:t>to help move low-carbon technologies for energy-intensive industries from basic research to deployment</w:t>
      </w:r>
      <w:r w:rsidR="00843C07">
        <w:rPr>
          <w:noProof/>
        </w:rPr>
        <w:t xml:space="preserve"> </w:t>
      </w:r>
      <w:r>
        <w:rPr>
          <w:noProof/>
        </w:rPr>
        <w:t>(</w:t>
      </w:r>
      <w:r>
        <w:rPr>
          <w:rStyle w:val="FootnoteReference"/>
          <w:noProof/>
        </w:rPr>
        <w:footnoteReference w:id="44"/>
      </w:r>
      <w:r>
        <w:rPr>
          <w:noProof/>
        </w:rPr>
        <w:t>)</w:t>
      </w:r>
      <w:r w:rsidR="00843C07">
        <w:rPr>
          <w:noProof/>
        </w:rPr>
        <w:t>.</w:t>
      </w:r>
      <w:r>
        <w:rPr>
          <w:noProof/>
        </w:rPr>
        <w:t xml:space="preserve"> </w:t>
      </w:r>
      <w:r w:rsidRPr="000D5A05">
        <w:rPr>
          <w:noProof/>
        </w:rPr>
        <w:t xml:space="preserve">Horizon Europe alone will allocate over </w:t>
      </w:r>
      <w:r w:rsidR="00843C07">
        <w:rPr>
          <w:noProof/>
        </w:rPr>
        <w:t xml:space="preserve">EUR </w:t>
      </w:r>
      <w:r w:rsidRPr="000D5A05">
        <w:rPr>
          <w:noProof/>
        </w:rPr>
        <w:t>30 billion (at least 35% of its budget) to climate action</w:t>
      </w:r>
      <w:r>
        <w:rPr>
          <w:noProof/>
        </w:rPr>
        <w:t xml:space="preserve">. </w:t>
      </w:r>
    </w:p>
    <w:p w14:paraId="5AE87188" w14:textId="19981F93" w:rsidR="00482E88" w:rsidRPr="007663CA" w:rsidRDefault="00482E88" w:rsidP="00482E88">
      <w:pPr>
        <w:rPr>
          <w:noProof/>
        </w:rPr>
      </w:pPr>
      <w:r w:rsidRPr="007663CA">
        <w:rPr>
          <w:noProof/>
        </w:rPr>
        <w:t>Revenues from carbon pricing are a clear source of financing for the deployment of innovative low carbon technologies and solutions. S</w:t>
      </w:r>
      <w:r w:rsidRPr="00046755">
        <w:rPr>
          <w:noProof/>
        </w:rPr>
        <w:t xml:space="preserve">ince its creation in 2005, the ETS has generated more than </w:t>
      </w:r>
      <w:r w:rsidR="00843C07">
        <w:rPr>
          <w:noProof/>
        </w:rPr>
        <w:t xml:space="preserve">EUR </w:t>
      </w:r>
      <w:r w:rsidRPr="00046755">
        <w:rPr>
          <w:noProof/>
        </w:rPr>
        <w:t>180 billion</w:t>
      </w:r>
      <w:r>
        <w:rPr>
          <w:noProof/>
        </w:rPr>
        <w:t>, the largest share of which goes to Member States</w:t>
      </w:r>
      <w:r w:rsidRPr="00046755">
        <w:rPr>
          <w:noProof/>
        </w:rPr>
        <w:t>.</w:t>
      </w:r>
      <w:r w:rsidRPr="007663CA">
        <w:rPr>
          <w:noProof/>
        </w:rPr>
        <w:t xml:space="preserve"> Member States</w:t>
      </w:r>
      <w:r>
        <w:rPr>
          <w:noProof/>
        </w:rPr>
        <w:t xml:space="preserve"> </w:t>
      </w:r>
      <w:r w:rsidRPr="007663CA">
        <w:rPr>
          <w:noProof/>
        </w:rPr>
        <w:t>should be incentivi</w:t>
      </w:r>
      <w:r>
        <w:rPr>
          <w:noProof/>
        </w:rPr>
        <w:t>s</w:t>
      </w:r>
      <w:r w:rsidRPr="007663CA">
        <w:rPr>
          <w:noProof/>
        </w:rPr>
        <w:t>ed to invest the</w:t>
      </w:r>
      <w:r>
        <w:rPr>
          <w:noProof/>
        </w:rPr>
        <w:t>se</w:t>
      </w:r>
      <w:r w:rsidRPr="007663CA">
        <w:rPr>
          <w:noProof/>
        </w:rPr>
        <w:t xml:space="preserve"> revenues into structural forward-looking reforms</w:t>
      </w:r>
      <w:r>
        <w:rPr>
          <w:noProof/>
        </w:rPr>
        <w:t xml:space="preserve"> that</w:t>
      </w:r>
      <w:r w:rsidRPr="007663CA">
        <w:rPr>
          <w:noProof/>
        </w:rPr>
        <w:t xml:space="preserve"> significantly accelerate the manufacturing of innovative clean tech equipment</w:t>
      </w:r>
      <w:r>
        <w:rPr>
          <w:noProof/>
        </w:rPr>
        <w:t xml:space="preserve"> and </w:t>
      </w:r>
      <w:r w:rsidRPr="007663CA">
        <w:rPr>
          <w:noProof/>
        </w:rPr>
        <w:t>demonstra</w:t>
      </w:r>
      <w:r>
        <w:rPr>
          <w:noProof/>
        </w:rPr>
        <w:t>te</w:t>
      </w:r>
      <w:r w:rsidRPr="007663CA">
        <w:rPr>
          <w:noProof/>
        </w:rPr>
        <w:t xml:space="preserve"> and </w:t>
      </w:r>
      <w:r>
        <w:rPr>
          <w:noProof/>
        </w:rPr>
        <w:t xml:space="preserve">support the </w:t>
      </w:r>
      <w:r w:rsidRPr="007663CA">
        <w:rPr>
          <w:noProof/>
        </w:rPr>
        <w:t>early deployment of industrial near zero solutions</w:t>
      </w:r>
      <w:r>
        <w:rPr>
          <w:noProof/>
        </w:rPr>
        <w:t>.</w:t>
      </w:r>
      <w:r w:rsidRPr="007663CA">
        <w:rPr>
          <w:noProof/>
        </w:rPr>
        <w:t xml:space="preserve"> </w:t>
      </w:r>
    </w:p>
    <w:p w14:paraId="22585CB4" w14:textId="0F9BA1E7" w:rsidR="00482E88" w:rsidRPr="00772541" w:rsidDel="005F5DB1" w:rsidRDefault="00482E88" w:rsidP="00482E88">
      <w:pPr>
        <w:rPr>
          <w:noProof/>
        </w:rPr>
      </w:pPr>
      <w:r w:rsidRPr="007663CA">
        <w:rPr>
          <w:noProof/>
        </w:rPr>
        <w:t>At EU level, the EU ETS Innovation Fund provides a strategic tool to support and scale</w:t>
      </w:r>
      <w:r>
        <w:rPr>
          <w:noProof/>
        </w:rPr>
        <w:t xml:space="preserve"> </w:t>
      </w:r>
      <w:r w:rsidRPr="007663CA">
        <w:rPr>
          <w:noProof/>
        </w:rPr>
        <w:t xml:space="preserve">up innovation in net-zero technologies towards full technological and commercial maturity. It is </w:t>
      </w:r>
      <w:r>
        <w:rPr>
          <w:noProof/>
        </w:rPr>
        <w:t xml:space="preserve">becoming </w:t>
      </w:r>
      <w:r w:rsidRPr="007663CA">
        <w:rPr>
          <w:noProof/>
        </w:rPr>
        <w:t xml:space="preserve">a key instrument to deploy the EU green deal industrial strategy. </w:t>
      </w:r>
      <w:r w:rsidRPr="007663CA" w:rsidDel="005F5DB1">
        <w:rPr>
          <w:noProof/>
        </w:rPr>
        <w:t>In its first three rounds, the Innovation Fund allocated EUR 6.5 billion to around 100 pilot projects and demonstration plants for innovative low-carbon technologies. The amount and sectoral distribution of applications to the Innovation Fund show strong engagement of industrial actors in this transformation</w:t>
      </w:r>
      <w:r>
        <w:rPr>
          <w:noProof/>
        </w:rPr>
        <w:t xml:space="preserve"> and</w:t>
      </w:r>
      <w:r w:rsidRPr="007663CA" w:rsidDel="005F5DB1">
        <w:rPr>
          <w:noProof/>
        </w:rPr>
        <w:t xml:space="preserve"> a </w:t>
      </w:r>
      <w:r w:rsidRPr="007663CA">
        <w:rPr>
          <w:noProof/>
        </w:rPr>
        <w:t>promising</w:t>
      </w:r>
      <w:r w:rsidRPr="007663CA" w:rsidDel="005F5DB1">
        <w:rPr>
          <w:noProof/>
        </w:rPr>
        <w:t xml:space="preserve"> </w:t>
      </w:r>
      <w:r>
        <w:rPr>
          <w:noProof/>
        </w:rPr>
        <w:t xml:space="preserve">and abundant </w:t>
      </w:r>
      <w:r w:rsidRPr="007663CA" w:rsidDel="005F5DB1">
        <w:rPr>
          <w:noProof/>
        </w:rPr>
        <w:t>project pipeline</w:t>
      </w:r>
      <w:r>
        <w:rPr>
          <w:noProof/>
        </w:rPr>
        <w:t>. The heavy over-subscription of</w:t>
      </w:r>
      <w:r w:rsidRPr="007663CA" w:rsidDel="005F5DB1">
        <w:rPr>
          <w:noProof/>
        </w:rPr>
        <w:t xml:space="preserve"> </w:t>
      </w:r>
      <w:r w:rsidRPr="007663CA">
        <w:rPr>
          <w:noProof/>
        </w:rPr>
        <w:t xml:space="preserve">all large-scale calls for proposals </w:t>
      </w:r>
      <w:r>
        <w:rPr>
          <w:noProof/>
        </w:rPr>
        <w:t>calls for increasing available funding</w:t>
      </w:r>
      <w:r w:rsidRPr="007663CA">
        <w:rPr>
          <w:noProof/>
        </w:rPr>
        <w:t xml:space="preserve">. For example, in </w:t>
      </w:r>
      <w:r w:rsidRPr="007663CA" w:rsidDel="005F5DB1">
        <w:rPr>
          <w:noProof/>
        </w:rPr>
        <w:t>the first two rounds of applications projects appl</w:t>
      </w:r>
      <w:r w:rsidRPr="007663CA">
        <w:rPr>
          <w:noProof/>
        </w:rPr>
        <w:t>ied</w:t>
      </w:r>
      <w:r w:rsidRPr="007663CA" w:rsidDel="005F5DB1">
        <w:rPr>
          <w:noProof/>
        </w:rPr>
        <w:t xml:space="preserve"> for EUR 33.8 billion of funding, for a total budget of EUR 1.1 billion.</w:t>
      </w:r>
      <w:r w:rsidRPr="007663CA">
        <w:rPr>
          <w:noProof/>
        </w:rPr>
        <w:t xml:space="preserve"> EU industry clearly has </w:t>
      </w:r>
      <w:r>
        <w:rPr>
          <w:noProof/>
        </w:rPr>
        <w:t xml:space="preserve">the know-how but also </w:t>
      </w:r>
      <w:r w:rsidRPr="002B0D97">
        <w:rPr>
          <w:noProof/>
        </w:rPr>
        <w:t>a</w:t>
      </w:r>
      <w:r>
        <w:rPr>
          <w:noProof/>
        </w:rPr>
        <w:t xml:space="preserve">  </w:t>
      </w:r>
      <w:r w:rsidRPr="007663CA">
        <w:rPr>
          <w:noProof/>
        </w:rPr>
        <w:t xml:space="preserve">challenge </w:t>
      </w:r>
      <w:r>
        <w:rPr>
          <w:noProof/>
        </w:rPr>
        <w:t>to</w:t>
      </w:r>
      <w:r w:rsidRPr="007663CA">
        <w:rPr>
          <w:noProof/>
        </w:rPr>
        <w:t xml:space="preserve"> </w:t>
      </w:r>
      <w:r>
        <w:rPr>
          <w:noProof/>
        </w:rPr>
        <w:t>invest in the</w:t>
      </w:r>
      <w:r w:rsidRPr="007663CA">
        <w:rPr>
          <w:noProof/>
        </w:rPr>
        <w:t xml:space="preserve"> new industrial revolution, for which the Innovation Fund can be an EU</w:t>
      </w:r>
      <w:r>
        <w:rPr>
          <w:noProof/>
        </w:rPr>
        <w:t>-</w:t>
      </w:r>
      <w:r w:rsidRPr="007663CA">
        <w:rPr>
          <w:noProof/>
        </w:rPr>
        <w:t>based</w:t>
      </w:r>
      <w:r>
        <w:rPr>
          <w:noProof/>
        </w:rPr>
        <w:t>, single-market-aligned</w:t>
      </w:r>
      <w:r w:rsidRPr="007663CA">
        <w:rPr>
          <w:noProof/>
        </w:rPr>
        <w:t xml:space="preserve"> driver for cost efficient investments. The Commission will therefore seek to maximise the budget under the Innovation Fund until 2028 by frontloading the commitment of available funds. The Commission will also strengthen the synergies with other instruments and develop the Innovation Fund as a platform, th</w:t>
      </w:r>
      <w:r w:rsidRPr="00BA4668">
        <w:rPr>
          <w:noProof/>
        </w:rPr>
        <w:t xml:space="preserve">rough auctions </w:t>
      </w:r>
      <w:r w:rsidRPr="007663CA">
        <w:rPr>
          <w:noProof/>
        </w:rPr>
        <w:t>to help Member States select and support the most promising projects with national funds in a cost-</w:t>
      </w:r>
      <w:r w:rsidRPr="00B21F3D">
        <w:rPr>
          <w:noProof/>
        </w:rPr>
        <w:t>effective way. Innovative approaches, such as ’a</w:t>
      </w:r>
      <w:r w:rsidRPr="1D854441">
        <w:rPr>
          <w:noProof/>
        </w:rPr>
        <w:t>uctions</w:t>
      </w:r>
      <w:r w:rsidRPr="00D75209">
        <w:rPr>
          <w:noProof/>
        </w:rPr>
        <w:t>-as-a-service’</w:t>
      </w:r>
      <w:r w:rsidRPr="5A178A04">
        <w:rPr>
          <w:noProof/>
        </w:rPr>
        <w:t xml:space="preserve"> are a promising way to select the most competitive and environmentally effective projects across the Single Market, without competition distortions and in respect of the State aid rules.</w:t>
      </w:r>
    </w:p>
    <w:p w14:paraId="32E92741" w14:textId="77777777" w:rsidR="00482E88" w:rsidRDefault="00482E88" w:rsidP="00482E88">
      <w:pPr>
        <w:rPr>
          <w:noProof/>
        </w:rPr>
      </w:pPr>
      <w:r>
        <w:rPr>
          <w:noProof/>
        </w:rPr>
        <w:t xml:space="preserve">New net-zero business opportunities lead to job creation and demand for new skills. Demand for additional skilled workers will come with investment made ahead of 2030 to meet the 2040 target, in net-zero technologies, in building renovations, innovative materials, and in servicing of net zero equipment. The skill sets of workers in declining fossil fuel or emission-intensive activities cannot always be easily transferred to new activities. An ambitious training and re-skilling development agenda coordinated at EU and Member State level should be developed to address the needs for new skills and jobs, building on the Skills agenda, European Year of Skills and existing EU initiatives. It should ensure new and improved job opportunities for those currently employed in sectors that are phasing out, and that the transition is not hampered by skills mismatches and shortages. </w:t>
      </w:r>
    </w:p>
    <w:p w14:paraId="3E7D6ADA" w14:textId="66407183" w:rsidR="00482E88" w:rsidRPr="007663CA" w:rsidRDefault="00482E88" w:rsidP="00482E88">
      <w:pPr>
        <w:rPr>
          <w:noProof/>
        </w:rPr>
      </w:pPr>
      <w:r>
        <w:rPr>
          <w:noProof/>
        </w:rPr>
        <w:t>The further digitalisation of the economy will provide tools for example to manage the energy system integration and to contribute to a sustainable management of our land (</w:t>
      </w:r>
      <w:r>
        <w:rPr>
          <w:rStyle w:val="FootnoteReference"/>
          <w:noProof/>
        </w:rPr>
        <w:footnoteReference w:id="45"/>
      </w:r>
      <w:r>
        <w:rPr>
          <w:noProof/>
        </w:rPr>
        <w:t xml:space="preserve">). </w:t>
      </w:r>
      <w:r w:rsidRPr="007663CA">
        <w:rPr>
          <w:noProof/>
        </w:rPr>
        <w:t xml:space="preserve"> </w:t>
      </w:r>
      <w:bookmarkEnd w:id="49"/>
    </w:p>
    <w:p w14:paraId="7B04C22A" w14:textId="7BA91031" w:rsidR="00482E88" w:rsidRPr="007663CA" w:rsidRDefault="00482E88" w:rsidP="00482E88">
      <w:pPr>
        <w:rPr>
          <w:rFonts w:eastAsia="Times New Roman"/>
          <w:noProof/>
        </w:rPr>
      </w:pPr>
    </w:p>
    <w:p w14:paraId="0099C9E3" w14:textId="77777777" w:rsidR="00482E88" w:rsidRPr="007663CA" w:rsidRDefault="00482E88" w:rsidP="00482E88">
      <w:pPr>
        <w:pStyle w:val="Heading1"/>
        <w:rPr>
          <w:noProof/>
        </w:rPr>
      </w:pPr>
      <w:bookmarkStart w:id="54" w:name="_Toc155286929"/>
      <w:bookmarkStart w:id="55" w:name="_Toc158097102"/>
      <w:r>
        <w:rPr>
          <w:noProof/>
        </w:rPr>
        <w:t>Conclusion and next steps</w:t>
      </w:r>
      <w:bookmarkEnd w:id="54"/>
      <w:bookmarkEnd w:id="55"/>
    </w:p>
    <w:p w14:paraId="26E2AA0F" w14:textId="77777777" w:rsidR="00482E88" w:rsidRPr="007663CA" w:rsidRDefault="00482E88" w:rsidP="00482E88">
      <w:pPr>
        <w:rPr>
          <w:noProof/>
        </w:rPr>
      </w:pPr>
      <w:r w:rsidRPr="007663CA">
        <w:rPr>
          <w:noProof/>
        </w:rPr>
        <w:t xml:space="preserve">Securing the prosperity and well-being of current and future generations requires the EU to continue its transformation to climate neutrality and a sustainable, competitive economy resilient to climate hazards, geo-political risks and free of critical dependencies. </w:t>
      </w:r>
    </w:p>
    <w:p w14:paraId="60A2DBD0" w14:textId="1FDF1D5E" w:rsidR="00482E88" w:rsidRPr="007663CA" w:rsidRDefault="00482E88" w:rsidP="00482E88">
      <w:pPr>
        <w:rPr>
          <w:noProof/>
        </w:rPr>
      </w:pPr>
      <w:r>
        <w:rPr>
          <w:noProof/>
        </w:rPr>
        <w:t xml:space="preserve">Key conclusions and policy insights for the transition can be drawn from the Commission’s analysis (Annex to this Communication) to inform a broad debate on the action needed within the EU and in cooperation with our partners worldwide. </w:t>
      </w:r>
    </w:p>
    <w:p w14:paraId="62D7A226" w14:textId="77777777" w:rsidR="00482E88" w:rsidRPr="009C5E8D" w:rsidRDefault="00482E88" w:rsidP="00482E88">
      <w:pPr>
        <w:rPr>
          <w:noProof/>
        </w:rPr>
      </w:pPr>
      <w:r>
        <w:rPr>
          <w:noProof/>
        </w:rPr>
        <w:t>This Communication paves the way for a political debate and choices by European citizens and governments on the way forward. This will inform the next Commission making the legislative proposal to include the 2040 target in the European Climate Law and designing an appropriate post-2030 policy framework</w:t>
      </w:r>
      <w:r w:rsidRPr="5A178A04">
        <w:rPr>
          <w:rFonts w:eastAsia="Calibri"/>
          <w:noProof/>
        </w:rPr>
        <w:t xml:space="preserve">. The work done from 2024-2029 will shape Europe’s path to 2040 and onwards to 2050. </w:t>
      </w:r>
      <w:r>
        <w:rPr>
          <w:noProof/>
        </w:rPr>
        <w:t xml:space="preserve">The policy framework will need to ensure a balanced and cost-effective contribution of all sectors to greenhouse gas emission reductions </w:t>
      </w:r>
      <w:r w:rsidRPr="009C5E8D">
        <w:rPr>
          <w:noProof/>
        </w:rPr>
        <w:t xml:space="preserve">and carbon removals. </w:t>
      </w:r>
    </w:p>
    <w:p w14:paraId="05747D66" w14:textId="77777777" w:rsidR="00482E88" w:rsidRDefault="00482E88" w:rsidP="00482E88">
      <w:pPr>
        <w:rPr>
          <w:noProof/>
        </w:rPr>
      </w:pPr>
      <w:r w:rsidRPr="009C5E8D">
        <w:rPr>
          <w:noProof/>
        </w:rPr>
        <w:t>At the same time, to achieve the necessary greenhouse gas emission reductions and carbon removals, enabling conditions need to be in place. These include the full implementation of the 2030 framework; ensuring competitiveness of the European industry</w:t>
      </w:r>
      <w:r>
        <w:rPr>
          <w:noProof/>
        </w:rPr>
        <w:t xml:space="preserve"> and agriculture</w:t>
      </w:r>
      <w:r w:rsidRPr="009C5E8D">
        <w:rPr>
          <w:noProof/>
        </w:rPr>
        <w:t>; measures for ensuring a just transition; a global level playing field; and a strategic dialogue with stakeholders on the post-2030 framework, among others with a view to enabling the agricultural sector to maintain its role as guarantor of food security while decarbonising.</w:t>
      </w:r>
    </w:p>
    <w:p w14:paraId="60FB739E" w14:textId="77777777" w:rsidR="00482E88" w:rsidRDefault="00482E88" w:rsidP="00482E88">
      <w:pPr>
        <w:rPr>
          <w:noProof/>
        </w:rPr>
      </w:pPr>
    </w:p>
    <w:p w14:paraId="298F4BC4" w14:textId="77777777" w:rsidR="00482E88" w:rsidRDefault="00482E88" w:rsidP="00482E88">
      <w:pPr>
        <w:rPr>
          <w:noProof/>
        </w:rPr>
      </w:pPr>
      <w:r>
        <w:rPr>
          <w:noProof/>
        </w:rPr>
        <w:t>Setting the EU’s 2040 target will demonstrate the EU’s determination to stay at the forefront of the global momentum of expanding cleantech manufacturing and harnessing the opportunities for economic growth and job creation. It will send a clear signal to the rest of the world that Europe remains fully committed to the Paris Agreement and to multilateral action providing the example and the means for others to act.</w:t>
      </w:r>
    </w:p>
    <w:p w14:paraId="795A7019" w14:textId="77777777" w:rsidR="00482E88" w:rsidRDefault="00482E88" w:rsidP="00482E88">
      <w:pPr>
        <w:rPr>
          <w:noProof/>
        </w:rPr>
      </w:pPr>
    </w:p>
    <w:tbl>
      <w:tblPr>
        <w:tblStyle w:val="TableGrid"/>
        <w:tblW w:w="0" w:type="auto"/>
        <w:tblLook w:val="04A0" w:firstRow="1" w:lastRow="0" w:firstColumn="1" w:lastColumn="0" w:noHBand="0" w:noVBand="1"/>
      </w:tblPr>
      <w:tblGrid>
        <w:gridCol w:w="9242"/>
      </w:tblGrid>
      <w:tr w:rsidR="00482E88" w14:paraId="6D0C77F7" w14:textId="77777777" w:rsidTr="002205E6">
        <w:trPr>
          <w:trHeight w:val="300"/>
        </w:trPr>
        <w:tc>
          <w:tcPr>
            <w:tcW w:w="924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D8B5D61" w14:textId="77777777" w:rsidR="00482E88" w:rsidRPr="009C5E8D" w:rsidRDefault="00482E88" w:rsidP="002205E6">
            <w:pPr>
              <w:ind w:left="3600"/>
              <w:rPr>
                <w:b/>
                <w:bCs/>
                <w:noProof/>
              </w:rPr>
            </w:pPr>
            <w:r w:rsidRPr="009C5E8D">
              <w:rPr>
                <w:b/>
                <w:bCs/>
                <w:noProof/>
              </w:rPr>
              <w:t xml:space="preserve">ANNEX </w:t>
            </w:r>
          </w:p>
          <w:p w14:paraId="068A141B" w14:textId="77777777" w:rsidR="00482E88" w:rsidRPr="009C5E8D" w:rsidRDefault="00482E88" w:rsidP="002205E6">
            <w:pPr>
              <w:rPr>
                <w:b/>
                <w:bCs/>
                <w:noProof/>
              </w:rPr>
            </w:pPr>
          </w:p>
          <w:p w14:paraId="7A31F652" w14:textId="6812928E" w:rsidR="00482E88" w:rsidRPr="005060FD" w:rsidRDefault="00482E88" w:rsidP="00954C50">
            <w:pPr>
              <w:pStyle w:val="Heading1"/>
              <w:numPr>
                <w:ilvl w:val="0"/>
                <w:numId w:val="131"/>
              </w:numPr>
              <w:spacing w:after="0"/>
              <w:outlineLvl w:val="0"/>
              <w:rPr>
                <w:noProof/>
              </w:rPr>
            </w:pPr>
            <w:bookmarkStart w:id="56" w:name="_Toc158097103"/>
            <w:r w:rsidRPr="005060FD">
              <w:rPr>
                <w:noProof/>
              </w:rPr>
              <w:t>building blocks for achieving the 2040 target</w:t>
            </w:r>
            <w:bookmarkEnd w:id="56"/>
          </w:p>
          <w:p w14:paraId="69C38F90" w14:textId="77777777" w:rsidR="00482E88" w:rsidRPr="009C5E8D" w:rsidRDefault="00482E88" w:rsidP="002205E6">
            <w:pPr>
              <w:rPr>
                <w:b/>
                <w:bCs/>
                <w:noProof/>
              </w:rPr>
            </w:pPr>
          </w:p>
          <w:p w14:paraId="0E67772F" w14:textId="3A8F37C7" w:rsidR="00482E88" w:rsidRPr="005060FD" w:rsidRDefault="00482E88" w:rsidP="005060FD">
            <w:pPr>
              <w:pStyle w:val="ListParagraph"/>
              <w:numPr>
                <w:ilvl w:val="0"/>
                <w:numId w:val="49"/>
              </w:numPr>
              <w:rPr>
                <w:noProof/>
              </w:rPr>
            </w:pPr>
            <w:r w:rsidRPr="00954C50">
              <w:rPr>
                <w:b/>
                <w:bCs/>
                <w:noProof/>
              </w:rPr>
              <w:t>A resilient and decarbonised energy system for our buildings, transport and industry.</w:t>
            </w:r>
          </w:p>
          <w:p w14:paraId="325400D2" w14:textId="77777777" w:rsidR="00482E88" w:rsidRPr="009C5E8D" w:rsidRDefault="00482E88" w:rsidP="00954C50">
            <w:pPr>
              <w:numPr>
                <w:ilvl w:val="0"/>
                <w:numId w:val="133"/>
              </w:numPr>
              <w:rPr>
                <w:noProof/>
              </w:rPr>
            </w:pPr>
            <w:r w:rsidRPr="009C5E8D">
              <w:rPr>
                <w:noProof/>
              </w:rPr>
              <w:t xml:space="preserve">All zero and low carbon energy solutions will be necessary (renewables, nuclear, energy efficiency, more sustainable bioenergy, storage, CCU, carbon removals, and all other current and future net-zero energy technologies). </w:t>
            </w:r>
          </w:p>
          <w:p w14:paraId="5BB03B59" w14:textId="5CCAD4C7" w:rsidR="00482E88" w:rsidRPr="009C5E8D" w:rsidRDefault="00482E88" w:rsidP="00954C50">
            <w:pPr>
              <w:numPr>
                <w:ilvl w:val="0"/>
                <w:numId w:val="133"/>
              </w:numPr>
              <w:rPr>
                <w:noProof/>
              </w:rPr>
            </w:pPr>
            <w:r w:rsidRPr="009C5E8D">
              <w:rPr>
                <w:noProof/>
              </w:rPr>
              <w:t xml:space="preserve">The transition away from fossil fuels will increase the EU’s independence and </w:t>
            </w:r>
            <w:r>
              <w:rPr>
                <w:noProof/>
              </w:rPr>
              <w:t xml:space="preserve">open </w:t>
            </w:r>
            <w:r w:rsidRPr="009C5E8D">
              <w:rPr>
                <w:noProof/>
              </w:rPr>
              <w:t xml:space="preserve">strategic autonomy and reduce the risk of price shocks. Solid fossil fuels should be phased out. In line with REPowerEU, gas and oil use should decrease over time in a way that guarantees the EU’s security of supply. A </w:t>
            </w:r>
            <w:r>
              <w:rPr>
                <w:noProof/>
              </w:rPr>
              <w:t xml:space="preserve">renewable and low carbon </w:t>
            </w:r>
            <w:r w:rsidRPr="009C5E8D">
              <w:rPr>
                <w:noProof/>
              </w:rPr>
              <w:t>hydrogen supply chain should contribute to seasonal storage and hard to decarbonise sectors.</w:t>
            </w:r>
          </w:p>
          <w:p w14:paraId="12E1B4FA" w14:textId="77777777" w:rsidR="00482E88" w:rsidRDefault="00482E88" w:rsidP="00954C50">
            <w:pPr>
              <w:numPr>
                <w:ilvl w:val="0"/>
                <w:numId w:val="133"/>
              </w:numPr>
              <w:rPr>
                <w:noProof/>
              </w:rPr>
            </w:pPr>
            <w:r w:rsidRPr="009C5E8D">
              <w:rPr>
                <w:noProof/>
              </w:rPr>
              <w:t xml:space="preserve">Electrification will be at the heart of the transition, through the deployment of recharging infrastructure, heat pumps and building insulation. </w:t>
            </w:r>
            <w:r w:rsidRPr="009C5E8D">
              <w:rPr>
                <w:rFonts w:eastAsia="Calibri"/>
                <w:noProof/>
                <w:color w:val="000000" w:themeColor="text1"/>
              </w:rPr>
              <w:t>The electricity sector should come close to full decarbonisation in the second half of the 2030s,</w:t>
            </w:r>
            <w:r w:rsidRPr="009C5E8D">
              <w:rPr>
                <w:noProof/>
              </w:rPr>
              <w:t xml:space="preserve"> with increased flexibility through smart grids, energy storage, demand response and low carbon dispatchable power energy storage. This will require an important reskilling effort in the manufacturing and servicing sectors.</w:t>
            </w:r>
          </w:p>
          <w:p w14:paraId="1BDC7498" w14:textId="3A5F2AA0" w:rsidR="0064336A" w:rsidRDefault="00B1019F" w:rsidP="00954C50">
            <w:pPr>
              <w:numPr>
                <w:ilvl w:val="0"/>
                <w:numId w:val="133"/>
              </w:numPr>
              <w:spacing w:before="100" w:beforeAutospacing="1" w:after="160" w:line="221" w:lineRule="atLeast"/>
              <w:rPr>
                <w:noProof/>
              </w:rPr>
            </w:pPr>
            <w:r w:rsidRPr="00B1019F">
              <w:rPr>
                <w:noProof/>
              </w:rPr>
              <w:t>The 2040 climate target will require substantial expansion and upgrades of the EU’s power grids and storages.</w:t>
            </w:r>
            <w:r>
              <w:rPr>
                <w:noProof/>
              </w:rPr>
              <w:t xml:space="preserve"> </w:t>
            </w:r>
            <w:r w:rsidR="00482E88" w:rsidRPr="009C5E8D">
              <w:rPr>
                <w:noProof/>
              </w:rPr>
              <w:t>Changes in the energy mix will require significant investments over the coming 10-15 years and hinge on the ability to establish the right regulatory framework, integrated infrastructure planning, competitive manufacturing and incentives for resilient supply chains.</w:t>
            </w:r>
            <w:r w:rsidR="00482E88" w:rsidRPr="00B1019F">
              <w:rPr>
                <w:rFonts w:eastAsia="Calibri"/>
                <w:noProof/>
                <w:color w:val="000000" w:themeColor="text1"/>
              </w:rPr>
              <w:t xml:space="preserve"> </w:t>
            </w:r>
          </w:p>
          <w:p w14:paraId="335C609B" w14:textId="77777777" w:rsidR="00482E88" w:rsidRPr="009C5E8D" w:rsidRDefault="00482E88" w:rsidP="002205E6">
            <w:pPr>
              <w:rPr>
                <w:noProof/>
              </w:rPr>
            </w:pPr>
          </w:p>
          <w:p w14:paraId="79F2E276" w14:textId="77777777" w:rsidR="00482E88" w:rsidRPr="009C5E8D" w:rsidRDefault="00482E88" w:rsidP="00B1019F">
            <w:pPr>
              <w:pStyle w:val="ListParagraph"/>
              <w:numPr>
                <w:ilvl w:val="0"/>
                <w:numId w:val="49"/>
              </w:numPr>
              <w:spacing w:after="120"/>
              <w:rPr>
                <w:rFonts w:eastAsia="Calibri"/>
                <w:noProof/>
                <w:color w:val="000000" w:themeColor="text1"/>
              </w:rPr>
            </w:pPr>
            <w:r w:rsidRPr="009C5E8D">
              <w:rPr>
                <w:rFonts w:eastAsia="Calibri"/>
                <w:b/>
                <w:noProof/>
                <w:color w:val="000000" w:themeColor="text1"/>
              </w:rPr>
              <w:t xml:space="preserve">An industrial revolution with competitiveness based on </w:t>
            </w:r>
            <w:r w:rsidRPr="006A37EF">
              <w:rPr>
                <w:rFonts w:eastAsia="Calibri"/>
                <w:b/>
                <w:noProof/>
                <w:color w:val="000000" w:themeColor="text1"/>
              </w:rPr>
              <w:t>research and innovation</w:t>
            </w:r>
            <w:r>
              <w:rPr>
                <w:rFonts w:eastAsia="Calibri"/>
                <w:b/>
                <w:noProof/>
                <w:color w:val="000000" w:themeColor="text1"/>
              </w:rPr>
              <w:t>,</w:t>
            </w:r>
            <w:r w:rsidRPr="006A37EF">
              <w:rPr>
                <w:rFonts w:eastAsia="Calibri"/>
                <w:b/>
                <w:noProof/>
                <w:color w:val="000000" w:themeColor="text1"/>
              </w:rPr>
              <w:t xml:space="preserve"> </w:t>
            </w:r>
            <w:r w:rsidRPr="009C5E8D">
              <w:rPr>
                <w:rFonts w:eastAsia="Calibri"/>
                <w:b/>
                <w:noProof/>
                <w:color w:val="000000" w:themeColor="text1"/>
              </w:rPr>
              <w:t xml:space="preserve">circularity, </w:t>
            </w:r>
            <w:r w:rsidRPr="009C5E8D">
              <w:rPr>
                <w:rFonts w:eastAsia="Calibri"/>
                <w:b/>
                <w:bCs/>
                <w:noProof/>
                <w:color w:val="000000" w:themeColor="text1"/>
              </w:rPr>
              <w:t>resource efficiency,</w:t>
            </w:r>
            <w:r w:rsidRPr="009C5E8D">
              <w:rPr>
                <w:rFonts w:eastAsia="Calibri"/>
                <w:b/>
                <w:noProof/>
                <w:color w:val="000000" w:themeColor="text1"/>
              </w:rPr>
              <w:t xml:space="preserve"> industrial decarbonisation and clean tech manufacturing at its core.</w:t>
            </w:r>
            <w:r w:rsidRPr="009C5E8D">
              <w:rPr>
                <w:rFonts w:eastAsia="Calibri"/>
                <w:noProof/>
                <w:color w:val="000000" w:themeColor="text1"/>
              </w:rPr>
              <w:t xml:space="preserve"> </w:t>
            </w:r>
          </w:p>
          <w:p w14:paraId="75E6C5FF" w14:textId="77777777" w:rsidR="00482E88" w:rsidRPr="00954C50" w:rsidRDefault="00482E88" w:rsidP="00954C50">
            <w:pPr>
              <w:numPr>
                <w:ilvl w:val="0"/>
                <w:numId w:val="133"/>
              </w:numPr>
              <w:rPr>
                <w:noProof/>
              </w:rPr>
            </w:pPr>
            <w:r w:rsidRPr="00954C50">
              <w:rPr>
                <w:noProof/>
              </w:rPr>
              <w:t>Need for a comprehensive investment agenda to attract private capital and ensure the EU remains an attractive destination for investment for research, innovation, deployment of new technologies, circular solutions and infrastructure. There is also a need for a smart and frontloaded use of public support for this transition, coupled with de-risking of private investment at scale.</w:t>
            </w:r>
          </w:p>
          <w:p w14:paraId="3146AEAA" w14:textId="77777777" w:rsidR="00482E88" w:rsidRPr="00954C50" w:rsidRDefault="00482E88" w:rsidP="00954C50">
            <w:pPr>
              <w:numPr>
                <w:ilvl w:val="0"/>
                <w:numId w:val="133"/>
              </w:numPr>
              <w:rPr>
                <w:noProof/>
              </w:rPr>
            </w:pPr>
            <w:r w:rsidRPr="00954C50">
              <w:rPr>
                <w:noProof/>
              </w:rPr>
              <w:t xml:space="preserve">As the Green Deal must also be an industrial decarbonisation deal, an enabling framework for decarbonised industry should complement a strengthened EU industrial policy with resilient value chains, notably for primary and secondary critical raw materials, and increased domestic manufacturing capacity in strategic sectors and principle of competitive sustainability fully incorporated in public procurement. This would require well-resourced funding mechanisms at EU level and the creation of lead markets, including through public procurement rules, market-based incentives, standards and labels to steer consumption towards sustainable, near-zero carbon materials and goods. </w:t>
            </w:r>
          </w:p>
          <w:p w14:paraId="7FA7804D" w14:textId="0FEA74BD" w:rsidR="00482E88" w:rsidRPr="009C5E8D" w:rsidRDefault="00482E88" w:rsidP="00954C50">
            <w:pPr>
              <w:numPr>
                <w:ilvl w:val="0"/>
                <w:numId w:val="133"/>
              </w:numPr>
              <w:rPr>
                <w:noProof/>
              </w:rPr>
            </w:pPr>
            <w:r w:rsidRPr="009C5E8D">
              <w:rPr>
                <w:noProof/>
              </w:rPr>
              <w:t>This will also require a more strategic approach to securing strategic commodities on the global market through joint purchase mechanisms</w:t>
            </w:r>
            <w:r>
              <w:rPr>
                <w:noProof/>
              </w:rPr>
              <w:t>,</w:t>
            </w:r>
            <w:r w:rsidRPr="002056FF">
              <w:rPr>
                <w:noProof/>
              </w:rPr>
              <w:t xml:space="preserve"> as well as </w:t>
            </w:r>
            <w:r>
              <w:rPr>
                <w:noProof/>
              </w:rPr>
              <w:t>measures addressing</w:t>
            </w:r>
            <w:r w:rsidRPr="00954C50">
              <w:rPr>
                <w:noProof/>
              </w:rPr>
              <w:t xml:space="preserve"> competitiveness of European exports on global markets.  </w:t>
            </w:r>
          </w:p>
          <w:p w14:paraId="57F2144A" w14:textId="02239133" w:rsidR="00482E88" w:rsidRPr="00954C50" w:rsidRDefault="00482E88" w:rsidP="00954C50">
            <w:pPr>
              <w:numPr>
                <w:ilvl w:val="0"/>
                <w:numId w:val="133"/>
              </w:numPr>
              <w:rPr>
                <w:noProof/>
              </w:rPr>
            </w:pPr>
            <w:r w:rsidRPr="00954C50">
              <w:rPr>
                <w:noProof/>
              </w:rPr>
              <w:t>Along targeted investment support, c</w:t>
            </w:r>
            <w:r>
              <w:rPr>
                <w:noProof/>
              </w:rPr>
              <w:t xml:space="preserve">arbon pricing will remain a principal driver for change. The current Emission Trading Systems will need to be supplemented with the efficient use of energy taxation and the phase out of fossil fuel subsidies which do not address energy poverty or just transition. </w:t>
            </w:r>
          </w:p>
          <w:p w14:paraId="7D0140B5" w14:textId="77777777" w:rsidR="00482E88" w:rsidRPr="009C5E8D" w:rsidRDefault="00482E88" w:rsidP="002205E6">
            <w:pPr>
              <w:pStyle w:val="ListParagraph"/>
              <w:numPr>
                <w:ilvl w:val="0"/>
                <w:numId w:val="0"/>
              </w:numPr>
              <w:spacing w:after="120"/>
              <w:ind w:left="720"/>
              <w:rPr>
                <w:rFonts w:eastAsia="Calibri"/>
                <w:noProof/>
                <w:color w:val="000000" w:themeColor="text1"/>
              </w:rPr>
            </w:pPr>
          </w:p>
          <w:p w14:paraId="341C5A30" w14:textId="77777777" w:rsidR="00482E88" w:rsidRPr="009C5E8D" w:rsidRDefault="00482E88" w:rsidP="00B1019F">
            <w:pPr>
              <w:pStyle w:val="ListParagraph"/>
              <w:numPr>
                <w:ilvl w:val="0"/>
                <w:numId w:val="49"/>
              </w:numPr>
              <w:spacing w:after="120"/>
              <w:rPr>
                <w:rFonts w:eastAsia="Calibri"/>
                <w:noProof/>
                <w:color w:val="000000" w:themeColor="text1"/>
                <w:lang w:val="en-IE"/>
              </w:rPr>
            </w:pPr>
            <w:bookmarkStart w:id="57" w:name="_Hlk158032416"/>
            <w:r w:rsidRPr="009C5E8D">
              <w:rPr>
                <w:rFonts w:eastAsia="Calibri"/>
                <w:b/>
                <w:bCs/>
                <w:noProof/>
                <w:color w:val="000000" w:themeColor="text1"/>
                <w:lang w:val="en-IE"/>
              </w:rPr>
              <w:t>Infrastructure to deliver and to transport and store hydrogen and CO</w:t>
            </w:r>
            <w:r w:rsidRPr="009C5E8D">
              <w:rPr>
                <w:rFonts w:eastAsia="Calibri"/>
                <w:b/>
                <w:bCs/>
                <w:noProof/>
                <w:color w:val="000000" w:themeColor="text1"/>
                <w:vertAlign w:val="subscript"/>
                <w:lang w:val="en-IE"/>
              </w:rPr>
              <w:t>2.</w:t>
            </w:r>
            <w:r w:rsidRPr="009C5E8D">
              <w:rPr>
                <w:rFonts w:eastAsia="Calibri"/>
                <w:b/>
                <w:bCs/>
                <w:noProof/>
                <w:color w:val="000000" w:themeColor="text1"/>
                <w:lang w:val="en-IE"/>
              </w:rPr>
              <w:t xml:space="preserve"> </w:t>
            </w:r>
            <w:r w:rsidRPr="009C5E8D">
              <w:rPr>
                <w:rFonts w:eastAsia="Calibri"/>
                <w:noProof/>
                <w:color w:val="000000" w:themeColor="text1"/>
                <w:lang w:val="en-IE"/>
              </w:rPr>
              <w:t xml:space="preserve"> </w:t>
            </w:r>
          </w:p>
          <w:p w14:paraId="3EBCB5C9" w14:textId="13139D25" w:rsidR="00482E88" w:rsidRPr="00954C50" w:rsidRDefault="00482E88" w:rsidP="00954C50">
            <w:pPr>
              <w:numPr>
                <w:ilvl w:val="0"/>
                <w:numId w:val="133"/>
              </w:numPr>
              <w:rPr>
                <w:noProof/>
              </w:rPr>
            </w:pPr>
            <w:r w:rsidRPr="00954C50">
              <w:rPr>
                <w:noProof/>
              </w:rPr>
              <w:t>Targeted public intervention can act as a catalyst to accelerate investment, including at European level. Particular attention should be paid to the development of a smart integrated energy infrastructure at the distribution level, including for the recharging and refuelling of vehicles, and for industrial clusters, including to supply hydrogen and low-carbon feedstock to substitute fossil-based input.</w:t>
            </w:r>
          </w:p>
          <w:p w14:paraId="6896AB65" w14:textId="77777777" w:rsidR="00482E88" w:rsidRPr="00954C50" w:rsidRDefault="00482E88" w:rsidP="00954C50">
            <w:pPr>
              <w:numPr>
                <w:ilvl w:val="0"/>
                <w:numId w:val="133"/>
              </w:numPr>
              <w:rPr>
                <w:noProof/>
              </w:rPr>
            </w:pPr>
            <w:r w:rsidRPr="00954C50">
              <w:rPr>
                <w:noProof/>
              </w:rPr>
              <w:t>Urban and city planning will allow citizens and business to decarbonise their environment, be it via recharging infrastructure or district heating.</w:t>
            </w:r>
          </w:p>
          <w:bookmarkEnd w:id="57"/>
          <w:p w14:paraId="773A378D" w14:textId="77777777" w:rsidR="00482E88" w:rsidRPr="009C5E8D" w:rsidRDefault="00482E88" w:rsidP="002205E6">
            <w:pPr>
              <w:ind w:left="720" w:hanging="360"/>
              <w:rPr>
                <w:rFonts w:eastAsia="Calibri"/>
                <w:noProof/>
                <w:color w:val="000000" w:themeColor="text1"/>
                <w:lang w:val="en-IE"/>
              </w:rPr>
            </w:pPr>
          </w:p>
          <w:p w14:paraId="0F7211B7" w14:textId="77777777" w:rsidR="00482E88" w:rsidRPr="009C5E8D" w:rsidRDefault="00482E88" w:rsidP="00B1019F">
            <w:pPr>
              <w:pStyle w:val="ListParagraph"/>
              <w:numPr>
                <w:ilvl w:val="0"/>
                <w:numId w:val="49"/>
              </w:numPr>
              <w:spacing w:after="120"/>
              <w:rPr>
                <w:rFonts w:eastAsia="Calibri"/>
                <w:noProof/>
              </w:rPr>
            </w:pPr>
            <w:r w:rsidRPr="009C5E8D">
              <w:rPr>
                <w:rFonts w:eastAsia="Calibri"/>
                <w:b/>
                <w:bCs/>
                <w:noProof/>
              </w:rPr>
              <w:t xml:space="preserve">Enhanced emissions reductions in agriculture. </w:t>
            </w:r>
          </w:p>
          <w:p w14:paraId="261E45C4" w14:textId="1CF160B2" w:rsidR="00482E88" w:rsidRPr="00954C50" w:rsidRDefault="00482E88" w:rsidP="00954C50">
            <w:pPr>
              <w:numPr>
                <w:ilvl w:val="0"/>
                <w:numId w:val="133"/>
              </w:numPr>
              <w:rPr>
                <w:noProof/>
              </w:rPr>
            </w:pPr>
            <w:r>
              <w:rPr>
                <w:noProof/>
              </w:rPr>
              <w:t xml:space="preserve">Agriculture plays </w:t>
            </w:r>
            <w:r w:rsidRPr="0084550A">
              <w:rPr>
                <w:noProof/>
              </w:rPr>
              <w:t>a vital role in ensuring food security</w:t>
            </w:r>
            <w:r>
              <w:rPr>
                <w:noProof/>
              </w:rPr>
              <w:t xml:space="preserve">. </w:t>
            </w:r>
            <w:r w:rsidRPr="009C5E8D">
              <w:rPr>
                <w:noProof/>
              </w:rPr>
              <w:t xml:space="preserve">Like other sectors, agriculture </w:t>
            </w:r>
            <w:r>
              <w:rPr>
                <w:noProof/>
              </w:rPr>
              <w:t>also</w:t>
            </w:r>
            <w:r w:rsidRPr="009C5E8D">
              <w:rPr>
                <w:noProof/>
              </w:rPr>
              <w:t xml:space="preserve">has a role to play </w:t>
            </w:r>
            <w:r w:rsidRPr="00954C50">
              <w:rPr>
                <w:noProof/>
              </w:rPr>
              <w:t>in the green transition. With effective policies that reward good practices there is room to decrease emissions</w:t>
            </w:r>
            <w:r w:rsidRPr="009C5E8D">
              <w:rPr>
                <w:noProof/>
              </w:rPr>
              <w:t xml:space="preserve"> </w:t>
            </w:r>
            <w:r w:rsidRPr="00954C50">
              <w:rPr>
                <w:noProof/>
              </w:rPr>
              <w:t xml:space="preserve">from the sector faster while enhancing carbon removals in the land sector, in soils and forests. </w:t>
            </w:r>
            <w:r w:rsidRPr="003D0370">
              <w:rPr>
                <w:noProof/>
              </w:rPr>
              <w:t>The agri-food value chain should be involved in order to create synergies and exploit the maximum mitigation potential.</w:t>
            </w:r>
          </w:p>
          <w:p w14:paraId="72673117" w14:textId="77777777" w:rsidR="00482E88" w:rsidRPr="00954C50" w:rsidRDefault="00482E88" w:rsidP="00954C50">
            <w:pPr>
              <w:numPr>
                <w:ilvl w:val="0"/>
                <w:numId w:val="133"/>
              </w:numPr>
              <w:rPr>
                <w:noProof/>
              </w:rPr>
            </w:pPr>
            <w:r w:rsidRPr="00954C50">
              <w:rPr>
                <w:noProof/>
              </w:rPr>
              <w:t>Clear policies and incentives should be put in place to realise the innovation potential in the food system and the bioeconomy at large as well as to deliver healthy and sustainable food to EU citizens.</w:t>
            </w:r>
          </w:p>
          <w:p w14:paraId="7BD324BB" w14:textId="77777777" w:rsidR="00482E88" w:rsidRPr="009C5E8D" w:rsidRDefault="00482E88" w:rsidP="002205E6">
            <w:pPr>
              <w:pStyle w:val="ListParagraph"/>
              <w:numPr>
                <w:ilvl w:val="0"/>
                <w:numId w:val="0"/>
              </w:numPr>
              <w:spacing w:after="160"/>
              <w:ind w:left="720"/>
              <w:rPr>
                <w:rFonts w:eastAsia="Calibri"/>
                <w:noProof/>
              </w:rPr>
            </w:pPr>
          </w:p>
          <w:p w14:paraId="6E3510FE" w14:textId="77777777" w:rsidR="00482E88" w:rsidRPr="009C5E8D" w:rsidRDefault="00482E88" w:rsidP="00B1019F">
            <w:pPr>
              <w:pStyle w:val="ListParagraph"/>
              <w:numPr>
                <w:ilvl w:val="0"/>
                <w:numId w:val="49"/>
              </w:numPr>
              <w:spacing w:after="120"/>
              <w:rPr>
                <w:rFonts w:eastAsia="Calibri"/>
                <w:noProof/>
                <w:color w:val="000000" w:themeColor="text1"/>
              </w:rPr>
            </w:pPr>
            <w:bookmarkStart w:id="58" w:name="_Hlk157346777"/>
            <w:r w:rsidRPr="009C5E8D">
              <w:rPr>
                <w:rFonts w:eastAsia="Calibri"/>
                <w:b/>
                <w:bCs/>
                <w:noProof/>
                <w:color w:val="000000" w:themeColor="text1"/>
              </w:rPr>
              <w:t>Climate policy as an investment policy</w:t>
            </w:r>
            <w:r w:rsidRPr="009C5E8D">
              <w:rPr>
                <w:rFonts w:eastAsia="Calibri"/>
                <w:noProof/>
                <w:color w:val="000000" w:themeColor="text1"/>
              </w:rPr>
              <w:t xml:space="preserve">. </w:t>
            </w:r>
          </w:p>
          <w:p w14:paraId="04D9D23E" w14:textId="77777777" w:rsidR="00482E88" w:rsidRPr="00954C50" w:rsidRDefault="00482E88" w:rsidP="00954C50">
            <w:pPr>
              <w:numPr>
                <w:ilvl w:val="0"/>
                <w:numId w:val="133"/>
              </w:numPr>
              <w:rPr>
                <w:noProof/>
              </w:rPr>
            </w:pPr>
            <w:r w:rsidRPr="00954C50">
              <w:rPr>
                <w:noProof/>
              </w:rPr>
              <w:t xml:space="preserve">An additional 1.5% of GDP compared to the 2011-2020 decade should be invested annually in the transition – moving resources away from less sustainable uses like fossil fuel subsidies. A strong mobilisation of the private sector will be pre-requisite to make this possible. </w:t>
            </w:r>
            <w:r w:rsidRPr="009C5E8D">
              <w:rPr>
                <w:noProof/>
              </w:rPr>
              <w:t xml:space="preserve">The private sector will deliver most of these investments if the policy framework incentivises low carbon investment and discourages carbon intensive investment, provided there is a strong business case for these investments. </w:t>
            </w:r>
          </w:p>
          <w:bookmarkEnd w:id="58"/>
          <w:p w14:paraId="336352A4" w14:textId="77777777" w:rsidR="00482E88" w:rsidRPr="009C5E8D" w:rsidRDefault="00482E88" w:rsidP="00954C50">
            <w:pPr>
              <w:numPr>
                <w:ilvl w:val="0"/>
                <w:numId w:val="133"/>
              </w:numPr>
              <w:rPr>
                <w:noProof/>
              </w:rPr>
            </w:pPr>
            <w:r w:rsidRPr="009C5E8D">
              <w:rPr>
                <w:noProof/>
              </w:rPr>
              <w:t xml:space="preserve">Dedicated policies are needed to promote the EU as a leading destination for sustainable investments. This requires a comprehensive reflection on all elements: from taxation to access to finance, from skills to regulatory burdens, and from a deepening of the Single Market to energy costs. This is a crucial element for the future success of the EU agenda and should be coordinated with EU Member States. </w:t>
            </w:r>
            <w:bookmarkStart w:id="59" w:name="_Hlk157014566"/>
          </w:p>
          <w:p w14:paraId="04662750" w14:textId="3893ADF6" w:rsidR="00482E88" w:rsidRPr="00954C50" w:rsidRDefault="00482E88" w:rsidP="00954C50">
            <w:pPr>
              <w:numPr>
                <w:ilvl w:val="0"/>
                <w:numId w:val="133"/>
              </w:numPr>
              <w:rPr>
                <w:noProof/>
              </w:rPr>
            </w:pPr>
            <w:r w:rsidRPr="009C5E8D">
              <w:rPr>
                <w:noProof/>
              </w:rPr>
              <w:t>The transition also requires smart use of public support and financial schemes to leverage private investment at scale. Public support at scale in the sectors faced with high business risks and for households, where equity is a concern, will be essential. This will require a more active engagement and less risk-aversion from institutional financial actors and notably the EIB.</w:t>
            </w:r>
            <w:r w:rsidRPr="00BE7C99">
              <w:rPr>
                <w:noProof/>
              </w:rPr>
              <w:t xml:space="preserve"> At the same time, public support remains crucial, and the effective use of adequate resources, including through </w:t>
            </w:r>
            <w:r w:rsidRPr="001A0927">
              <w:rPr>
                <w:noProof/>
              </w:rPr>
              <w:t>EU</w:t>
            </w:r>
            <w:r>
              <w:rPr>
                <w:noProof/>
              </w:rPr>
              <w:t xml:space="preserve"> </w:t>
            </w:r>
            <w:r w:rsidRPr="001A0927">
              <w:rPr>
                <w:noProof/>
              </w:rPr>
              <w:t xml:space="preserve">funding </w:t>
            </w:r>
            <w:r w:rsidRPr="00BE7C99">
              <w:rPr>
                <w:noProof/>
              </w:rPr>
              <w:t>, should form part of a reflection</w:t>
            </w:r>
            <w:r w:rsidRPr="00954C50">
              <w:rPr>
                <w:noProof/>
              </w:rPr>
              <w:t>, to make zero and low carbon industrial projects commercially viable.</w:t>
            </w:r>
            <w:bookmarkEnd w:id="59"/>
          </w:p>
          <w:p w14:paraId="5DFED159" w14:textId="77777777" w:rsidR="00482E88" w:rsidRPr="009C5E8D" w:rsidRDefault="00482E88" w:rsidP="002205E6">
            <w:pPr>
              <w:pStyle w:val="ListParagraph"/>
              <w:numPr>
                <w:ilvl w:val="0"/>
                <w:numId w:val="0"/>
              </w:numPr>
              <w:spacing w:after="160"/>
              <w:ind w:left="720"/>
              <w:rPr>
                <w:rFonts w:eastAsia="Calibri"/>
                <w:noProof/>
                <w:color w:val="000000" w:themeColor="text1"/>
              </w:rPr>
            </w:pPr>
          </w:p>
          <w:p w14:paraId="13B22065" w14:textId="77777777" w:rsidR="00482E88" w:rsidRPr="009C5E8D" w:rsidRDefault="00482E88" w:rsidP="00B1019F">
            <w:pPr>
              <w:pStyle w:val="ListParagraph"/>
              <w:numPr>
                <w:ilvl w:val="0"/>
                <w:numId w:val="49"/>
              </w:numPr>
              <w:rPr>
                <w:rFonts w:eastAsia="Calibri"/>
                <w:noProof/>
                <w:color w:val="000000" w:themeColor="text1"/>
              </w:rPr>
            </w:pPr>
            <w:r w:rsidRPr="009C5E8D">
              <w:rPr>
                <w:b/>
                <w:bCs/>
                <w:noProof/>
              </w:rPr>
              <w:t>Fairness, solidarity and social policies at the core of the transition.</w:t>
            </w:r>
            <w:r w:rsidRPr="009C5E8D">
              <w:rPr>
                <w:noProof/>
              </w:rPr>
              <w:t xml:space="preserve"> </w:t>
            </w:r>
          </w:p>
          <w:p w14:paraId="33918D19" w14:textId="2956BABA" w:rsidR="00482E88" w:rsidRPr="00954C50" w:rsidRDefault="00482E88" w:rsidP="00954C50">
            <w:pPr>
              <w:numPr>
                <w:ilvl w:val="0"/>
                <w:numId w:val="133"/>
              </w:numPr>
              <w:rPr>
                <w:noProof/>
              </w:rPr>
            </w:pPr>
            <w:r w:rsidRPr="009C5E8D">
              <w:rPr>
                <w:noProof/>
              </w:rPr>
              <w:t>A climate neutral</w:t>
            </w:r>
            <w:r>
              <w:rPr>
                <w:noProof/>
              </w:rPr>
              <w:t>, inclusive</w:t>
            </w:r>
            <w:r w:rsidRPr="009C5E8D">
              <w:rPr>
                <w:noProof/>
              </w:rPr>
              <w:t xml:space="preserve"> and resilient economy will ensure the long-term prosperity and well-being of EU citizens. However, public policy and funds</w:t>
            </w:r>
            <w:r>
              <w:rPr>
                <w:noProof/>
              </w:rPr>
              <w:t>, as well as social dialogue,</w:t>
            </w:r>
            <w:r w:rsidRPr="009C5E8D">
              <w:rPr>
                <w:noProof/>
              </w:rPr>
              <w:t xml:space="preserve"> will have to tackle challenges for certain groups and regions, supporting decarbonisation investments by households. </w:t>
            </w:r>
          </w:p>
          <w:p w14:paraId="71DEB9B7" w14:textId="77777777" w:rsidR="00482E88" w:rsidRPr="00954C50" w:rsidRDefault="00482E88" w:rsidP="00954C50">
            <w:pPr>
              <w:numPr>
                <w:ilvl w:val="0"/>
                <w:numId w:val="133"/>
              </w:numPr>
              <w:rPr>
                <w:noProof/>
              </w:rPr>
            </w:pPr>
            <w:r w:rsidRPr="009C5E8D">
              <w:rPr>
                <w:noProof/>
              </w:rPr>
              <w:t>Addressing social concerns will require a clear policy focus on fairness, solidarity and social policies that not</w:t>
            </w:r>
            <w:r w:rsidRPr="00954C50">
              <w:rPr>
                <w:noProof/>
              </w:rPr>
              <w:t xml:space="preserve"> only alleviate the direct impact of carbon pricing where needed, but also allow low-income households to make the effective transition towards no carbon emissions.</w:t>
            </w:r>
          </w:p>
          <w:p w14:paraId="0887A62F" w14:textId="77777777" w:rsidR="00482E88" w:rsidRPr="00954C50" w:rsidRDefault="00482E88" w:rsidP="00954C50">
            <w:pPr>
              <w:ind w:left="720"/>
              <w:rPr>
                <w:noProof/>
              </w:rPr>
            </w:pPr>
          </w:p>
          <w:p w14:paraId="2F7B81EA" w14:textId="7F0250F4" w:rsidR="0064336A" w:rsidRDefault="00482E88" w:rsidP="002205E6">
            <w:pPr>
              <w:pStyle w:val="ListParagraph"/>
              <w:numPr>
                <w:ilvl w:val="0"/>
                <w:numId w:val="49"/>
              </w:numPr>
              <w:spacing w:after="120"/>
              <w:rPr>
                <w:rFonts w:eastAsia="Calibri"/>
                <w:noProof/>
                <w:color w:val="000000" w:themeColor="text1"/>
              </w:rPr>
            </w:pPr>
            <w:r w:rsidRPr="009C5E8D">
              <w:rPr>
                <w:rFonts w:eastAsia="Calibri"/>
                <w:b/>
                <w:bCs/>
                <w:noProof/>
                <w:color w:val="000000" w:themeColor="text1"/>
              </w:rPr>
              <w:t>EU climate diplomacy and partnerships to encourage global decarbonisation.</w:t>
            </w:r>
            <w:r w:rsidRPr="009C5E8D">
              <w:rPr>
                <w:rFonts w:eastAsia="Calibri"/>
                <w:noProof/>
                <w:color w:val="000000" w:themeColor="text1"/>
              </w:rPr>
              <w:t xml:space="preserve"> </w:t>
            </w:r>
          </w:p>
          <w:p w14:paraId="1DF7756D" w14:textId="77777777" w:rsidR="00B322B5" w:rsidRDefault="00482E88" w:rsidP="00B322B5">
            <w:pPr>
              <w:numPr>
                <w:ilvl w:val="0"/>
                <w:numId w:val="133"/>
              </w:numPr>
              <w:rPr>
                <w:noProof/>
              </w:rPr>
            </w:pPr>
            <w:r w:rsidRPr="00954C50">
              <w:rPr>
                <w:noProof/>
              </w:rPr>
              <w:t>The EU should continue to lead by example and provide a wide-ranging contribution to achieving the Paris Agreement goals</w:t>
            </w:r>
            <w:r w:rsidRPr="009C5E8D">
              <w:rPr>
                <w:noProof/>
              </w:rPr>
              <w:t xml:space="preserve"> </w:t>
            </w:r>
            <w:r w:rsidRPr="00954C50">
              <w:rPr>
                <w:noProof/>
              </w:rPr>
              <w:t>and broaden and deepen its international partnerships.</w:t>
            </w:r>
          </w:p>
          <w:p w14:paraId="5CE9C1F0" w14:textId="3E05431F" w:rsidR="001774FA" w:rsidRPr="00C9413A" w:rsidRDefault="00482E88" w:rsidP="00C9413A">
            <w:pPr>
              <w:pStyle w:val="ListParagraph"/>
              <w:numPr>
                <w:ilvl w:val="0"/>
                <w:numId w:val="133"/>
              </w:numPr>
              <w:rPr>
                <w:noProof/>
              </w:rPr>
            </w:pPr>
            <w:r w:rsidRPr="00C9413A">
              <w:rPr>
                <w:noProof/>
              </w:rPr>
              <w:t xml:space="preserve">It should deploy an active global carbon pricing </w:t>
            </w:r>
            <w:r w:rsidR="00C9413A" w:rsidRPr="00B322B5">
              <w:rPr>
                <w:noProof/>
              </w:rPr>
              <w:t xml:space="preserve">diplomacy </w:t>
            </w:r>
            <w:r w:rsidRPr="00B322B5">
              <w:rPr>
                <w:noProof/>
              </w:rPr>
              <w:t>in synergy with other EU climate policy instruments such as CBAM.</w:t>
            </w:r>
            <w:r w:rsidR="00C9413A" w:rsidRPr="00B322B5">
              <w:rPr>
                <w:noProof/>
              </w:rPr>
              <w:t xml:space="preserve"> </w:t>
            </w:r>
            <w:r w:rsidR="001774FA" w:rsidRPr="00C9413A">
              <w:rPr>
                <w:noProof/>
              </w:rPr>
              <w:t xml:space="preserve"> </w:t>
            </w:r>
          </w:p>
          <w:p w14:paraId="3AC4A557" w14:textId="77777777" w:rsidR="001774FA" w:rsidRPr="00954C50" w:rsidRDefault="001774FA">
            <w:pPr>
              <w:ind w:left="720"/>
              <w:rPr>
                <w:noProof/>
              </w:rPr>
            </w:pPr>
          </w:p>
          <w:p w14:paraId="236FA447" w14:textId="0B0D793C" w:rsidR="0064336A" w:rsidRDefault="00482E88">
            <w:pPr>
              <w:pStyle w:val="ListParagraph"/>
              <w:numPr>
                <w:ilvl w:val="0"/>
                <w:numId w:val="49"/>
              </w:numPr>
              <w:rPr>
                <w:noProof/>
              </w:rPr>
            </w:pPr>
            <w:r w:rsidRPr="009C5E8D">
              <w:rPr>
                <w:b/>
                <w:bCs/>
                <w:noProof/>
              </w:rPr>
              <w:t>Risk management and resilience</w:t>
            </w:r>
            <w:r w:rsidRPr="009C5E8D">
              <w:rPr>
                <w:noProof/>
              </w:rPr>
              <w:t xml:space="preserve">. </w:t>
            </w:r>
          </w:p>
          <w:p w14:paraId="078A6176" w14:textId="77777777" w:rsidR="00482E88" w:rsidRDefault="00482E88" w:rsidP="00954C50">
            <w:pPr>
              <w:numPr>
                <w:ilvl w:val="0"/>
                <w:numId w:val="133"/>
              </w:numPr>
              <w:rPr>
                <w:noProof/>
              </w:rPr>
            </w:pPr>
            <w:r w:rsidRPr="00954C50">
              <w:rPr>
                <w:noProof/>
              </w:rPr>
              <w:t>The EU’s natural resources are crucial to fully provide their ecosystem services, in particular in terms of controlling climate change and enhancing carbon sequestration.</w:t>
            </w:r>
          </w:p>
          <w:p w14:paraId="2292FFC1" w14:textId="63B5663C" w:rsidR="001A05EB" w:rsidRPr="00954C50" w:rsidRDefault="001A05EB" w:rsidP="00954C50">
            <w:pPr>
              <w:numPr>
                <w:ilvl w:val="0"/>
                <w:numId w:val="133"/>
              </w:numPr>
              <w:rPr>
                <w:noProof/>
              </w:rPr>
            </w:pPr>
            <w:r>
              <w:rPr>
                <w:noProof/>
              </w:rPr>
              <w:t>The implementation of the Kunming-Montreal Global Biodiversity Framework and of the EU Biodiversity Strategy will be key to achieve the EU’s climate objectives, including the 2040 target.</w:t>
            </w:r>
          </w:p>
          <w:p w14:paraId="62C9A6AF" w14:textId="77777777" w:rsidR="00482E88" w:rsidRPr="009C5E8D" w:rsidRDefault="00482E88" w:rsidP="00954C50">
            <w:pPr>
              <w:numPr>
                <w:ilvl w:val="0"/>
                <w:numId w:val="133"/>
              </w:numPr>
              <w:rPr>
                <w:b/>
                <w:bCs/>
                <w:noProof/>
              </w:rPr>
            </w:pPr>
            <w:r w:rsidRPr="00954C50">
              <w:rPr>
                <w:noProof/>
              </w:rPr>
              <w:t>Climate change will nevertheless impact our societies for years to come, so we must prepare and adapt in parallel. Stepping up risk prevention and preparedness measures and implementing policies like water-efficiency or nature-based solutions in a coordinated manner will improve the resilience of the whole of our economy and reduce the costs.</w:t>
            </w:r>
            <w:r w:rsidRPr="009C5E8D">
              <w:rPr>
                <w:rFonts w:eastAsia="Calibri"/>
                <w:noProof/>
                <w:color w:val="000000" w:themeColor="text1"/>
              </w:rPr>
              <w:t xml:space="preserve"> </w:t>
            </w:r>
          </w:p>
        </w:tc>
      </w:tr>
    </w:tbl>
    <w:p w14:paraId="12632A41" w14:textId="77777777" w:rsidR="00482E88" w:rsidRDefault="00482E88" w:rsidP="00482E88">
      <w:pPr>
        <w:rPr>
          <w:noProof/>
        </w:rPr>
      </w:pPr>
    </w:p>
    <w:p w14:paraId="0158CC45" w14:textId="77777777" w:rsidR="00482E88" w:rsidRDefault="00482E88" w:rsidP="00482E88">
      <w:pPr>
        <w:rPr>
          <w:noProof/>
        </w:rPr>
      </w:pPr>
    </w:p>
    <w:p w14:paraId="46A11F93" w14:textId="77777777" w:rsidR="00482E88" w:rsidRDefault="00482E88" w:rsidP="00482E88">
      <w:pPr>
        <w:rPr>
          <w:noProof/>
        </w:rPr>
      </w:pPr>
    </w:p>
    <w:p w14:paraId="2E452033" w14:textId="77777777" w:rsidR="00482E88" w:rsidRDefault="00482E88" w:rsidP="00482E88">
      <w:pPr>
        <w:rPr>
          <w:b/>
          <w:bCs/>
          <w:noProof/>
        </w:rPr>
      </w:pPr>
    </w:p>
    <w:p w14:paraId="51EA15A7" w14:textId="20D956A8" w:rsidR="0608D6B6" w:rsidRDefault="0608D6B6" w:rsidP="002A12CF">
      <w:pPr>
        <w:rPr>
          <w:noProof/>
        </w:rPr>
      </w:pPr>
    </w:p>
    <w:p w14:paraId="332764E3" w14:textId="77777777" w:rsidR="00135922" w:rsidRDefault="00135922" w:rsidP="002A12CF">
      <w:pPr>
        <w:rPr>
          <w:b/>
          <w:bCs/>
          <w:noProof/>
        </w:rPr>
      </w:pPr>
    </w:p>
    <w:p w14:paraId="15D38AAC" w14:textId="77777777" w:rsidR="00C5215C" w:rsidRDefault="00C5215C" w:rsidP="002A12CF">
      <w:pPr>
        <w:rPr>
          <w:noProof/>
        </w:rPr>
      </w:pPr>
    </w:p>
    <w:sectPr w:rsidR="00C5215C" w:rsidSect="000A37A5">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03FA1E" w14:textId="77777777" w:rsidR="00877072" w:rsidRDefault="00877072" w:rsidP="00D14FE4">
      <w:r>
        <w:separator/>
      </w:r>
    </w:p>
  </w:endnote>
  <w:endnote w:type="continuationSeparator" w:id="0">
    <w:p w14:paraId="1C295E00" w14:textId="77777777" w:rsidR="00877072" w:rsidRDefault="00877072" w:rsidP="00D14FE4">
      <w:r>
        <w:continuationSeparator/>
      </w:r>
    </w:p>
  </w:endnote>
  <w:endnote w:type="continuationNotice" w:id="1">
    <w:p w14:paraId="1DE66430" w14:textId="77777777" w:rsidR="00877072" w:rsidRDefault="00877072" w:rsidP="00D14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02B6F" w14:textId="1BD7F129" w:rsidR="00D3395F" w:rsidRPr="00D3395F" w:rsidRDefault="00D3395F" w:rsidP="00D3395F">
    <w:pPr>
      <w:pStyle w:val="FooterCoverPage"/>
      <w:rPr>
        <w:rFonts w:ascii="Arial" w:hAnsi="Arial" w:cs="Arial"/>
        <w:b/>
        <w:sz w:val="48"/>
      </w:rPr>
    </w:pPr>
    <w:r w:rsidRPr="00D3395F">
      <w:rPr>
        <w:rFonts w:ascii="Arial" w:hAnsi="Arial" w:cs="Arial"/>
        <w:b/>
        <w:sz w:val="48"/>
      </w:rPr>
      <w:t>EN</w:t>
    </w:r>
    <w:r w:rsidRPr="00D3395F">
      <w:rPr>
        <w:rFonts w:ascii="Arial" w:hAnsi="Arial" w:cs="Arial"/>
        <w:b/>
        <w:sz w:val="48"/>
      </w:rPr>
      <w:tab/>
    </w:r>
    <w:r w:rsidRPr="00D3395F">
      <w:rPr>
        <w:rFonts w:ascii="Arial" w:hAnsi="Arial" w:cs="Arial"/>
        <w:b/>
        <w:sz w:val="48"/>
      </w:rPr>
      <w:tab/>
    </w:r>
    <w:r w:rsidRPr="00D3395F">
      <w:tab/>
    </w:r>
    <w:r w:rsidRPr="00D3395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24D5A" w14:textId="710D1973" w:rsidR="00D3395F" w:rsidRPr="00D3395F" w:rsidRDefault="00D3395F" w:rsidP="00D3395F">
    <w:pPr>
      <w:pStyle w:val="FooterCoverPage"/>
      <w:rPr>
        <w:rFonts w:ascii="Arial" w:hAnsi="Arial" w:cs="Arial"/>
        <w:b/>
        <w:sz w:val="48"/>
      </w:rPr>
    </w:pPr>
    <w:r w:rsidRPr="00D3395F">
      <w:rPr>
        <w:rFonts w:ascii="Arial" w:hAnsi="Arial" w:cs="Arial"/>
        <w:b/>
        <w:sz w:val="48"/>
      </w:rPr>
      <w:t>EN</w:t>
    </w:r>
    <w:r w:rsidRPr="00D3395F">
      <w:rPr>
        <w:rFonts w:ascii="Arial" w:hAnsi="Arial" w:cs="Arial"/>
        <w:b/>
        <w:sz w:val="48"/>
      </w:rPr>
      <w:tab/>
    </w:r>
    <w:r w:rsidRPr="00D3395F">
      <w:rPr>
        <w:rFonts w:ascii="Arial" w:hAnsi="Arial" w:cs="Arial"/>
        <w:b/>
        <w:sz w:val="48"/>
      </w:rPr>
      <w:tab/>
    </w:r>
    <w:r w:rsidRPr="00D3395F">
      <w:tab/>
    </w:r>
    <w:r w:rsidRPr="00D3395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12EA" w14:textId="77777777" w:rsidR="00D3395F" w:rsidRPr="00D3395F" w:rsidRDefault="00D3395F" w:rsidP="00D3395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48B2" w14:textId="77777777" w:rsidR="000A37A5" w:rsidRDefault="000A37A5">
    <w:pPr>
      <w:pStyle w:val="Footer"/>
    </w:pPr>
  </w:p>
  <w:p w14:paraId="52BA6BF9" w14:textId="77777777" w:rsidR="00DB3C5C" w:rsidRDefault="00DB3C5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674122"/>
      <w:docPartObj>
        <w:docPartGallery w:val="Page Numbers (Bottom of Page)"/>
        <w:docPartUnique/>
      </w:docPartObj>
    </w:sdtPr>
    <w:sdtEndPr>
      <w:rPr>
        <w:noProof/>
      </w:rPr>
    </w:sdtEndPr>
    <w:sdtContent>
      <w:p w14:paraId="07579E01" w14:textId="19CBBEF6" w:rsidR="000A37A5" w:rsidRDefault="000A37A5" w:rsidP="00D14FE4">
        <w:pPr>
          <w:pStyle w:val="Footer"/>
        </w:pPr>
        <w:r>
          <w:fldChar w:fldCharType="begin"/>
        </w:r>
        <w:r>
          <w:instrText xml:space="preserve"> PAGE   \* MERGEFORMAT </w:instrText>
        </w:r>
        <w:r>
          <w:fldChar w:fldCharType="separate"/>
        </w:r>
        <w:r w:rsidR="00D3395F">
          <w:rPr>
            <w:noProof/>
          </w:rPr>
          <w:t>1</w:t>
        </w:r>
        <w:r>
          <w:rPr>
            <w:noProof/>
          </w:rPr>
          <w:fldChar w:fldCharType="end"/>
        </w:r>
      </w:p>
    </w:sdtContent>
  </w:sdt>
  <w:p w14:paraId="475547EE" w14:textId="77777777" w:rsidR="000A37A5" w:rsidRDefault="000A37A5" w:rsidP="00D14FE4">
    <w:pPr>
      <w:pStyle w:val="Footer"/>
    </w:pPr>
  </w:p>
  <w:p w14:paraId="194163D4" w14:textId="77777777" w:rsidR="00DB3C5C" w:rsidRDefault="00DB3C5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3015" w14:textId="77777777" w:rsidR="000A37A5" w:rsidRDefault="000A3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C912C" w14:textId="77777777" w:rsidR="00877072" w:rsidRDefault="00877072" w:rsidP="00D14FE4">
      <w:r>
        <w:separator/>
      </w:r>
    </w:p>
  </w:footnote>
  <w:footnote w:type="continuationSeparator" w:id="0">
    <w:p w14:paraId="7AF4BCDC" w14:textId="77777777" w:rsidR="00877072" w:rsidRDefault="00877072" w:rsidP="00D14FE4">
      <w:r>
        <w:continuationSeparator/>
      </w:r>
    </w:p>
  </w:footnote>
  <w:footnote w:type="continuationNotice" w:id="1">
    <w:p w14:paraId="4A88515F" w14:textId="77777777" w:rsidR="00877072" w:rsidRDefault="00877072" w:rsidP="00D14FE4"/>
  </w:footnote>
  <w:footnote w:id="2">
    <w:p w14:paraId="2CF102A5" w14:textId="77777777" w:rsidR="00482E88" w:rsidRPr="002176A5" w:rsidRDefault="00482E88" w:rsidP="00482E88">
      <w:pPr>
        <w:pStyle w:val="FootnoteText"/>
      </w:pPr>
      <w:r>
        <w:t>(</w:t>
      </w:r>
      <w:r>
        <w:rPr>
          <w:rStyle w:val="FootnoteReference"/>
        </w:rPr>
        <w:footnoteRef/>
      </w:r>
      <w:r>
        <w:t xml:space="preserve">) </w:t>
      </w:r>
      <w:r w:rsidRPr="00A1545A">
        <w:t>IPCC. AR6 Synthesis Report: Climate Change 2023</w:t>
      </w:r>
    </w:p>
  </w:footnote>
  <w:footnote w:id="3">
    <w:p w14:paraId="3EEDBF22" w14:textId="77777777" w:rsidR="00482E88" w:rsidRPr="007C2AAF" w:rsidRDefault="00482E88" w:rsidP="00482E88">
      <w:pPr>
        <w:pStyle w:val="FootnoteText"/>
        <w:rPr>
          <w:lang w:val="en-IE"/>
        </w:rPr>
      </w:pPr>
      <w:r w:rsidRPr="007C2AAF">
        <w:t>(</w:t>
      </w:r>
      <w:r w:rsidRPr="007C2AAF">
        <w:rPr>
          <w:rStyle w:val="FootnoteReference"/>
        </w:rPr>
        <w:footnoteRef/>
      </w:r>
      <w:r w:rsidRPr="007C2AAF">
        <w:t xml:space="preserve">) Based on </w:t>
      </w:r>
      <w:r w:rsidRPr="007C2AAF">
        <w:rPr>
          <w:lang w:val="en-US"/>
        </w:rPr>
        <w:t xml:space="preserve">trade data for the first 10 months and projected GDP </w:t>
      </w:r>
    </w:p>
  </w:footnote>
  <w:footnote w:id="4">
    <w:p w14:paraId="41CA586A" w14:textId="77777777" w:rsidR="00482E88" w:rsidRPr="007C2AAF" w:rsidRDefault="00482E88" w:rsidP="00482E88">
      <w:pPr>
        <w:pStyle w:val="FootnoteText"/>
        <w:rPr>
          <w:lang w:val="en-IE"/>
        </w:rPr>
      </w:pPr>
      <w:r w:rsidRPr="007C2AAF">
        <w:t>(</w:t>
      </w:r>
      <w:r w:rsidRPr="007C2AAF">
        <w:rPr>
          <w:rStyle w:val="FootnoteReference"/>
        </w:rPr>
        <w:footnoteRef/>
      </w:r>
      <w:r w:rsidRPr="007C2AAF">
        <w:t xml:space="preserve">) </w:t>
      </w:r>
      <w:r w:rsidRPr="007C2AAF">
        <w:rPr>
          <w:lang w:val="en-IE"/>
        </w:rPr>
        <w:t xml:space="preserve">Climate Action Progress Report 2023. </w:t>
      </w:r>
    </w:p>
  </w:footnote>
  <w:footnote w:id="5">
    <w:p w14:paraId="0AAEA4EA" w14:textId="77777777" w:rsidR="00482E88" w:rsidRPr="008D390A" w:rsidRDefault="00482E88" w:rsidP="00482E88">
      <w:pPr>
        <w:pStyle w:val="FootnoteText"/>
        <w:rPr>
          <w:lang w:val="en-IE"/>
        </w:rPr>
      </w:pPr>
      <w:r>
        <w:t>(</w:t>
      </w:r>
      <w:r>
        <w:rPr>
          <w:rStyle w:val="FootnoteReference"/>
        </w:rPr>
        <w:footnoteRef/>
      </w:r>
      <w:r>
        <w:t xml:space="preserve">) Estimate from </w:t>
      </w:r>
      <w:r w:rsidRPr="004C6F60">
        <w:t>AMECO database (European Commission, DG ECFIN)</w:t>
      </w:r>
      <w:r>
        <w:t>, r</w:t>
      </w:r>
      <w:r w:rsidRPr="004C6F60">
        <w:t>eal GDP.</w:t>
      </w:r>
    </w:p>
  </w:footnote>
  <w:footnote w:id="6">
    <w:p w14:paraId="68F966A5" w14:textId="1943CED0" w:rsidR="00482E88" w:rsidRDefault="00E63A28" w:rsidP="00482E88">
      <w:r>
        <w:t>(</w:t>
      </w:r>
      <w:r w:rsidR="00482E88" w:rsidRPr="00E63A28">
        <w:rPr>
          <w:sz w:val="20"/>
          <w:szCs w:val="20"/>
          <w:vertAlign w:val="superscript"/>
        </w:rPr>
        <w:footnoteRef/>
      </w:r>
      <w:r>
        <w:t>)</w:t>
      </w:r>
      <w:r w:rsidR="00482E88">
        <w:rPr>
          <w:sz w:val="20"/>
          <w:szCs w:val="20"/>
        </w:rPr>
        <w:t xml:space="preserve"> Eurostat, Circular Economy Monitoring Framework.</w:t>
      </w:r>
    </w:p>
  </w:footnote>
  <w:footnote w:id="7">
    <w:p w14:paraId="44EF5B79" w14:textId="229ABEA3" w:rsidR="001B6F27" w:rsidRPr="001B6F27" w:rsidRDefault="0024520B">
      <w:pPr>
        <w:pStyle w:val="FootnoteText"/>
      </w:pPr>
      <w:r>
        <w:t>(</w:t>
      </w:r>
      <w:r w:rsidRPr="001B6F27">
        <w:rPr>
          <w:rStyle w:val="FootnoteReference"/>
        </w:rPr>
        <w:footnoteRef/>
      </w:r>
      <w:r>
        <w:t>)</w:t>
      </w:r>
      <w:r w:rsidRPr="001B6F27">
        <w:t xml:space="preserve"> </w:t>
      </w:r>
      <w:r w:rsidRPr="00B42442">
        <w:t>This work should take due account of the EU’s push for global carbon pricing measures for international aviation and maritime transport, through ICAO and IMO respectively.</w:t>
      </w:r>
    </w:p>
  </w:footnote>
  <w:footnote w:id="8">
    <w:p w14:paraId="42E3A647" w14:textId="77777777" w:rsidR="00482E88" w:rsidRPr="007C2AAF" w:rsidRDefault="00482E88" w:rsidP="00482E88">
      <w:pPr>
        <w:pStyle w:val="FootnoteText"/>
        <w:rPr>
          <w:lang w:val="en-IE"/>
        </w:rPr>
      </w:pPr>
      <w:r w:rsidRPr="007C2AAF">
        <w:t>(</w:t>
      </w:r>
      <w:r w:rsidRPr="007C2AAF">
        <w:rPr>
          <w:rStyle w:val="FootnoteReference"/>
        </w:rPr>
        <w:footnoteRef/>
      </w:r>
      <w:r w:rsidRPr="007C2AAF">
        <w:t xml:space="preserve">) </w:t>
      </w:r>
      <w:r w:rsidRPr="007C2AAF">
        <w:rPr>
          <w:lang w:val="en-IE"/>
        </w:rPr>
        <w:t>Excluding emissions from the LULUCF sector</w:t>
      </w:r>
      <w:r>
        <w:rPr>
          <w:lang w:val="en-IE"/>
        </w:rPr>
        <w:t>.</w:t>
      </w:r>
    </w:p>
  </w:footnote>
  <w:footnote w:id="9">
    <w:p w14:paraId="326EBF92" w14:textId="77777777" w:rsidR="00482E88" w:rsidRPr="0087380E" w:rsidRDefault="00482E88" w:rsidP="00482E88">
      <w:pPr>
        <w:pStyle w:val="FootnoteText"/>
        <w:rPr>
          <w:lang w:val="en-IE"/>
        </w:rPr>
      </w:pPr>
      <w:r w:rsidRPr="00206E59">
        <w:t>(</w:t>
      </w:r>
      <w:r w:rsidRPr="00206E59">
        <w:rPr>
          <w:rStyle w:val="FootnoteReference"/>
        </w:rPr>
        <w:footnoteRef/>
      </w:r>
      <w:r w:rsidRPr="00206E59">
        <w:t>) The analysis is based on scenarios that reflect policies and measures until March 2023</w:t>
      </w:r>
      <w:r w:rsidRPr="00566893">
        <w:t>.</w:t>
      </w:r>
      <w:r>
        <w:t xml:space="preserve"> Member States will submit their final National Energy and Climate Plans in 2024, which may include additional measures.</w:t>
      </w:r>
    </w:p>
  </w:footnote>
  <w:footnote w:id="10">
    <w:p w14:paraId="5DB80C58" w14:textId="77777777" w:rsidR="00482E88" w:rsidRPr="007C2AAF" w:rsidRDefault="00482E88" w:rsidP="00482E88">
      <w:pPr>
        <w:pStyle w:val="FootnoteText"/>
        <w:rPr>
          <w:lang w:val="en-IE"/>
        </w:rPr>
      </w:pPr>
      <w:r w:rsidRPr="007C2AAF">
        <w:t>(</w:t>
      </w:r>
      <w:r w:rsidRPr="007C2AAF">
        <w:rPr>
          <w:rStyle w:val="FootnoteReference"/>
        </w:rPr>
        <w:footnoteRef/>
      </w:r>
      <w:r w:rsidRPr="007C2AAF">
        <w:t>) Consistent with the trajectory referred to in Article 8 of the European Climate law, a</w:t>
      </w:r>
      <w:r w:rsidRPr="007C2AAF">
        <w:rPr>
          <w:lang w:val="en-IE"/>
        </w:rPr>
        <w:t xml:space="preserve"> linear trajectory between the agreed 2030 target and climate neutrality in 2050, reaching around 78% in 2040. </w:t>
      </w:r>
    </w:p>
  </w:footnote>
  <w:footnote w:id="11">
    <w:p w14:paraId="78BE70AB" w14:textId="77777777" w:rsidR="00482E88" w:rsidRPr="007C2AAF" w:rsidRDefault="00482E88" w:rsidP="00482E88">
      <w:pPr>
        <w:pStyle w:val="FootnoteText"/>
        <w:rPr>
          <w:lang w:val="en-IE"/>
        </w:rPr>
      </w:pPr>
      <w:r w:rsidRPr="007C2AAF">
        <w:t>(</w:t>
      </w:r>
      <w:r w:rsidRPr="007C2AAF">
        <w:rPr>
          <w:rStyle w:val="FootnoteReference"/>
        </w:rPr>
        <w:footnoteRef/>
      </w:r>
      <w:r w:rsidRPr="007C2AAF">
        <w:t>) ESABCC (2023). Scientific advice for the determination of an EU-wide 2040 climate target and a greenhouse gas budget for 2030–2050. DOI: 10.2800/609405</w:t>
      </w:r>
    </w:p>
  </w:footnote>
  <w:footnote w:id="12">
    <w:p w14:paraId="3CF5551F" w14:textId="77777777" w:rsidR="00482E88" w:rsidRPr="007C2AAF" w:rsidRDefault="00482E88" w:rsidP="00482E88">
      <w:pPr>
        <w:pStyle w:val="FootnoteText"/>
        <w:rPr>
          <w:lang w:val="en-IE"/>
        </w:rPr>
      </w:pPr>
      <w:r w:rsidRPr="007C2AAF">
        <w:t>(</w:t>
      </w:r>
      <w:r w:rsidRPr="007C2AAF">
        <w:rPr>
          <w:rStyle w:val="FootnoteReference"/>
        </w:rPr>
        <w:footnoteRef/>
      </w:r>
      <w:r w:rsidRPr="007C2AAF">
        <w:t xml:space="preserve">) </w:t>
      </w:r>
      <w:r w:rsidRPr="007C2AAF">
        <w:rPr>
          <w:lang w:val="en-IE"/>
        </w:rPr>
        <w:t>For further details, see Annex 14 of the Impact Assessment</w:t>
      </w:r>
      <w:r>
        <w:rPr>
          <w:lang w:val="en-IE"/>
        </w:rPr>
        <w:t>.</w:t>
      </w:r>
    </w:p>
  </w:footnote>
  <w:footnote w:id="13">
    <w:p w14:paraId="2ACF49A0" w14:textId="77777777" w:rsidR="00482E88" w:rsidRPr="007C2AAF" w:rsidRDefault="00482E88" w:rsidP="00482E88">
      <w:pPr>
        <w:pStyle w:val="FootnoteText"/>
        <w:rPr>
          <w:lang w:val="en-IE"/>
        </w:rPr>
      </w:pPr>
      <w:r w:rsidRPr="007C2AAF">
        <w:t>(</w:t>
      </w:r>
      <w:r w:rsidRPr="007C2AAF">
        <w:rPr>
          <w:rStyle w:val="FootnoteReference"/>
        </w:rPr>
        <w:footnoteRef/>
      </w:r>
      <w:r w:rsidRPr="007C2AAF">
        <w:t>)</w:t>
      </w:r>
      <w:r>
        <w:t xml:space="preserve"> </w:t>
      </w:r>
      <w:r w:rsidRPr="009D486C">
        <w:t xml:space="preserve">Investments in the transport sector reflect the expenditures on vehicles, rolling stock, aircraft and vessels plus recharging and refuelling infrastructure. They do not cover investments in infrastructure to support multimodal mobility and sustainable urban transport. </w:t>
      </w:r>
      <w:r>
        <w:t xml:space="preserve">In particular, </w:t>
      </w:r>
      <w:r w:rsidRPr="007C2AAF">
        <w:t>the acquisition costs of private vehicles</w:t>
      </w:r>
      <w:r>
        <w:t xml:space="preserve"> </w:t>
      </w:r>
      <w:r w:rsidRPr="007C2AAF">
        <w:t>represent about 60% of the total</w:t>
      </w:r>
      <w:r>
        <w:t>.</w:t>
      </w:r>
    </w:p>
  </w:footnote>
  <w:footnote w:id="14">
    <w:p w14:paraId="6D483DEA" w14:textId="77777777" w:rsidR="00482E88" w:rsidRPr="00772541" w:rsidRDefault="00482E88" w:rsidP="00482E88">
      <w:pPr>
        <w:pStyle w:val="FootnoteText"/>
        <w:rPr>
          <w:lang w:val="en-IE"/>
        </w:rPr>
      </w:pPr>
      <w:r>
        <w:t>(</w:t>
      </w:r>
      <w:r>
        <w:rPr>
          <w:rStyle w:val="FootnoteReference"/>
        </w:rPr>
        <w:footnoteRef/>
      </w:r>
      <w:r>
        <w:t xml:space="preserve">) </w:t>
      </w:r>
      <w:r>
        <w:rPr>
          <w:lang w:val="en-IE"/>
        </w:rPr>
        <w:t>The energy system cost is broader than the investments, and consists of the capital cost (annualised investment cost) and the energy expenditures for economic activities. See the impact assessment for more details.</w:t>
      </w:r>
    </w:p>
  </w:footnote>
  <w:footnote w:id="15">
    <w:p w14:paraId="3F4E6F5A" w14:textId="77777777" w:rsidR="00482E88" w:rsidRPr="007C2AAF" w:rsidRDefault="00482E88" w:rsidP="00482E88">
      <w:pPr>
        <w:pStyle w:val="FootnoteText"/>
      </w:pPr>
      <w:r>
        <w:t>(</w:t>
      </w:r>
      <w:r w:rsidRPr="007C2AAF">
        <w:rPr>
          <w:rStyle w:val="FootnoteReference"/>
        </w:rPr>
        <w:footnoteRef/>
      </w:r>
      <w:r>
        <w:t>)</w:t>
      </w:r>
      <w:r w:rsidRPr="007C2AAF">
        <w:t xml:space="preserve"> </w:t>
      </w:r>
      <w:r>
        <w:t xml:space="preserve">European Environment Agency (2023). </w:t>
      </w:r>
      <w:r w:rsidRPr="00DB6A5B">
        <w:t>Economic losses from weather- and climate-related extremes in Europe</w:t>
      </w:r>
      <w:r>
        <w:t>.</w:t>
      </w:r>
    </w:p>
  </w:footnote>
  <w:footnote w:id="16">
    <w:p w14:paraId="3F12B719" w14:textId="77777777" w:rsidR="00482E88" w:rsidRPr="008D390A" w:rsidRDefault="00482E88" w:rsidP="00482E88">
      <w:pPr>
        <w:pStyle w:val="FootnoteText"/>
      </w:pPr>
      <w:r w:rsidRPr="00E17823">
        <w:rPr>
          <w:lang w:val="fr-BE"/>
        </w:rPr>
        <w:t>(</w:t>
      </w:r>
      <w:r w:rsidRPr="008D390A">
        <w:rPr>
          <w:rStyle w:val="FootnoteReference"/>
        </w:rPr>
        <w:footnoteRef/>
      </w:r>
      <w:r w:rsidRPr="00E17823">
        <w:rPr>
          <w:lang w:val="fr-BE"/>
        </w:rPr>
        <w:t xml:space="preserve">) Ballester, J., Quijal-Zamorano, M., Méndez Turrubiates, R.F. et al. </w:t>
      </w:r>
      <w:r w:rsidRPr="008D390A">
        <w:t xml:space="preserve">Heat-related mortality in Europe during the summer of 2022. Nat Med 29, 1857–1866 (2023). </w:t>
      </w:r>
      <w:hyperlink r:id="rId1" w:history="1">
        <w:r w:rsidRPr="008D390A">
          <w:t>https://doi.org/10.1038/s41591-023-02419-z</w:t>
        </w:r>
      </w:hyperlink>
      <w:r w:rsidRPr="008D390A">
        <w:t xml:space="preserve">, </w:t>
      </w:r>
      <w:hyperlink r:id="rId2" w:history="1">
        <w:r w:rsidRPr="008D390A">
          <w:rPr>
            <w:rStyle w:val="Hyperlink"/>
          </w:rPr>
          <w:t>https://www.nature.com/articles/s41591-023-02419-z</w:t>
        </w:r>
      </w:hyperlink>
      <w:r w:rsidRPr="008D390A">
        <w:t xml:space="preserve">. </w:t>
      </w:r>
    </w:p>
  </w:footnote>
  <w:footnote w:id="17">
    <w:p w14:paraId="44A5ACA6" w14:textId="55E90817" w:rsidR="00482E88" w:rsidRPr="00E47C74" w:rsidRDefault="00482E88" w:rsidP="00482E88">
      <w:pPr>
        <w:pStyle w:val="FootnoteText"/>
      </w:pPr>
      <w:r w:rsidRPr="002056FF">
        <w:t>(</w:t>
      </w:r>
      <w:r w:rsidRPr="002056FF">
        <w:rPr>
          <w:rStyle w:val="FootnoteReference"/>
        </w:rPr>
        <w:footnoteRef/>
      </w:r>
      <w:r w:rsidRPr="002056FF">
        <w:t>)</w:t>
      </w:r>
      <w:r>
        <w:t>C</w:t>
      </w:r>
      <w:r w:rsidRPr="002056FF">
        <w:t>ompar</w:t>
      </w:r>
      <w:r>
        <w:t xml:space="preserve">ison between </w:t>
      </w:r>
      <w:r w:rsidRPr="002056FF">
        <w:t>the impact of IPCC</w:t>
      </w:r>
      <w:r>
        <w:t>’s Representative Concentration Pathway RCP</w:t>
      </w:r>
      <w:r w:rsidRPr="002056FF">
        <w:t xml:space="preserve">7.0 </w:t>
      </w:r>
      <w:r>
        <w:t>“</w:t>
      </w:r>
      <w:r w:rsidRPr="002056FF">
        <w:t xml:space="preserve">higher warming” </w:t>
      </w:r>
      <w:r>
        <w:t>pathway (</w:t>
      </w:r>
      <w:r w:rsidRPr="002056FF">
        <w:t>with a “best estimate” warming of 2.1°C in the mid-term (2041-2060) and 3.6°C in the long-term (2081-2100)</w:t>
      </w:r>
      <w:r>
        <w:t>)</w:t>
      </w:r>
      <w:r w:rsidRPr="002056FF">
        <w:t xml:space="preserve">, </w:t>
      </w:r>
      <w:r>
        <w:t>and</w:t>
      </w:r>
      <w:r w:rsidRPr="002056FF">
        <w:t xml:space="preserve"> </w:t>
      </w:r>
      <w:r>
        <w:t>the</w:t>
      </w:r>
      <w:r w:rsidRPr="002056FF">
        <w:t xml:space="preserve">  1.5°C compatible </w:t>
      </w:r>
      <w:r>
        <w:t>RCP</w:t>
      </w:r>
      <w:r w:rsidRPr="002056FF">
        <w:t>1.9</w:t>
      </w:r>
      <w:r>
        <w:t xml:space="preserve"> pathway (</w:t>
      </w:r>
      <w:r w:rsidRPr="002056FF">
        <w:t>with the “best estimate” temperatures of 1.6°C and 1.4°C</w:t>
      </w:r>
      <w:r>
        <w:t>)</w:t>
      </w:r>
      <w:r w:rsidRPr="002056FF">
        <w:t>.</w:t>
      </w:r>
    </w:p>
  </w:footnote>
  <w:footnote w:id="18">
    <w:p w14:paraId="22DD47FB" w14:textId="77777777" w:rsidR="00482E88" w:rsidRPr="00583A75" w:rsidRDefault="00482E88" w:rsidP="00482E88">
      <w:pPr>
        <w:pStyle w:val="FootnoteText"/>
        <w:rPr>
          <w:lang w:val="en-IE"/>
        </w:rPr>
      </w:pPr>
      <w:r>
        <w:rPr>
          <w:lang w:val="en-IE"/>
        </w:rPr>
        <w:t>(</w:t>
      </w:r>
      <w:r>
        <w:rPr>
          <w:rStyle w:val="FootnoteReference"/>
        </w:rPr>
        <w:footnoteRef/>
      </w:r>
      <w:r>
        <w:rPr>
          <w:lang w:val="en-IE"/>
        </w:rPr>
        <w:t>)</w:t>
      </w:r>
      <w:r w:rsidRPr="00583A75">
        <w:rPr>
          <w:lang w:val="en-IE"/>
        </w:rPr>
        <w:t xml:space="preserve"> </w:t>
      </w:r>
      <w:r>
        <w:rPr>
          <w:lang w:val="en-IE"/>
        </w:rPr>
        <w:t>B</w:t>
      </w:r>
      <w:r w:rsidRPr="00583A75">
        <w:rPr>
          <w:lang w:val="en-IE"/>
        </w:rPr>
        <w:t>ased on the value of statistical life (high valuation method)</w:t>
      </w:r>
      <w:r>
        <w:rPr>
          <w:lang w:val="en-IE"/>
        </w:rPr>
        <w:t xml:space="preserve">. </w:t>
      </w:r>
      <w:r w:rsidRPr="00D763CD">
        <w:rPr>
          <w:lang w:val="en-IE"/>
        </w:rPr>
        <w:t xml:space="preserve">These estimates are indicative , </w:t>
      </w:r>
      <w:r>
        <w:rPr>
          <w:lang w:val="en-IE"/>
        </w:rPr>
        <w:t>derived from the</w:t>
      </w:r>
      <w:r w:rsidRPr="00D763CD">
        <w:rPr>
          <w:lang w:val="en-IE"/>
        </w:rPr>
        <w:t xml:space="preserve"> methodology underpinning </w:t>
      </w:r>
      <w:r>
        <w:rPr>
          <w:lang w:val="en-IE"/>
        </w:rPr>
        <w:t xml:space="preserve">the </w:t>
      </w:r>
      <w:r w:rsidRPr="00D763CD">
        <w:rPr>
          <w:lang w:val="en-IE"/>
        </w:rPr>
        <w:t>Commission dedicated clean air analysis, such as in the 3rd Clean Air Outlook</w:t>
      </w:r>
      <w:r>
        <w:rPr>
          <w:lang w:val="en-IE"/>
        </w:rPr>
        <w:t>.</w:t>
      </w:r>
    </w:p>
  </w:footnote>
  <w:footnote w:id="19">
    <w:p w14:paraId="1E1F1C56" w14:textId="77777777" w:rsidR="00482E88" w:rsidRPr="007C2AAF" w:rsidRDefault="00482E88" w:rsidP="00482E88">
      <w:pPr>
        <w:pStyle w:val="FootnoteText"/>
      </w:pPr>
      <w:r w:rsidRPr="007C2AAF">
        <w:t>(</w:t>
      </w:r>
      <w:r w:rsidRPr="007C2AAF">
        <w:rPr>
          <w:rStyle w:val="FootnoteReference"/>
        </w:rPr>
        <w:footnoteRef/>
      </w:r>
      <w:r w:rsidRPr="007C2AAF">
        <w:t>) COM(2023) 796 final</w:t>
      </w:r>
    </w:p>
  </w:footnote>
  <w:footnote w:id="20">
    <w:p w14:paraId="2A8ED2E7" w14:textId="77777777" w:rsidR="00482E88" w:rsidRPr="00AF6F15" w:rsidRDefault="00482E88" w:rsidP="00482E88">
      <w:pPr>
        <w:pStyle w:val="FootnoteText"/>
        <w:rPr>
          <w:lang w:val="en-IE"/>
        </w:rPr>
      </w:pPr>
      <w:r>
        <w:t>(</w:t>
      </w:r>
      <w:r>
        <w:rPr>
          <w:rStyle w:val="FootnoteReference"/>
        </w:rPr>
        <w:footnoteRef/>
      </w:r>
      <w:r>
        <w:t>)  I</w:t>
      </w:r>
      <w:r w:rsidRPr="00D573DB">
        <w:t xml:space="preserve">n line with and building on the Council Recommendation on </w:t>
      </w:r>
      <w:r w:rsidRPr="00135F1C">
        <w:t>“</w:t>
      </w:r>
      <w:r w:rsidRPr="00D573DB">
        <w:t>ensuring a fair transition towards climate neutrality” (C/2022/243</w:t>
      </w:r>
      <w:r>
        <w:t>)</w:t>
      </w:r>
      <w:r w:rsidRPr="00D573DB">
        <w:t>.</w:t>
      </w:r>
    </w:p>
  </w:footnote>
  <w:footnote w:id="21">
    <w:p w14:paraId="105E9FBB" w14:textId="77777777" w:rsidR="00482E88" w:rsidRPr="007C2AAF" w:rsidRDefault="00482E88" w:rsidP="00482E88">
      <w:pPr>
        <w:pStyle w:val="FootnoteText"/>
      </w:pPr>
      <w:r>
        <w:t>(</w:t>
      </w:r>
      <w:r w:rsidRPr="007C2AAF">
        <w:rPr>
          <w:rStyle w:val="FootnoteReference"/>
        </w:rPr>
        <w:footnoteRef/>
      </w:r>
      <w:r>
        <w:t>)</w:t>
      </w:r>
      <w:r w:rsidRPr="007C2AAF">
        <w:t xml:space="preserve"> Including bioenergy conversion technologies (e.g. biogas), coupled with a sustainable biomass supply.</w:t>
      </w:r>
    </w:p>
  </w:footnote>
  <w:footnote w:id="22">
    <w:p w14:paraId="1B05D408" w14:textId="395D017B" w:rsidR="005060FD" w:rsidRPr="00954C50" w:rsidRDefault="005060FD">
      <w:pPr>
        <w:pStyle w:val="FootnoteText"/>
        <w:rPr>
          <w:lang w:val="en-IE"/>
        </w:rPr>
      </w:pPr>
      <w:r w:rsidRPr="00206E59">
        <w:t>(</w:t>
      </w:r>
      <w:r w:rsidRPr="00206E59">
        <w:rPr>
          <w:rStyle w:val="FootnoteReference"/>
        </w:rPr>
        <w:footnoteRef/>
      </w:r>
      <w:r w:rsidRPr="00206E59">
        <w:t>) The analysis is based on scenarios that reflect policies and measures until March 2023</w:t>
      </w:r>
      <w:r w:rsidRPr="00566893">
        <w:t>.</w:t>
      </w:r>
      <w:r>
        <w:t xml:space="preserve"> Member States will submit their final National Energy and Climate Plans in 2024, which may include additional measures, </w:t>
      </w:r>
      <w:r w:rsidRPr="00954C50">
        <w:t>notably reflecting most recent announcements by some Member States to increase the deployment of nuclear energy</w:t>
      </w:r>
      <w:r w:rsidRPr="005060FD">
        <w:t>.</w:t>
      </w:r>
    </w:p>
  </w:footnote>
  <w:footnote w:id="23">
    <w:p w14:paraId="59EF069E" w14:textId="77777777" w:rsidR="00482E88" w:rsidRPr="007C2AAF" w:rsidRDefault="00482E88" w:rsidP="00482E88">
      <w:pPr>
        <w:pStyle w:val="FootnoteText"/>
      </w:pPr>
      <w:r w:rsidRPr="007C2AAF">
        <w:t>(</w:t>
      </w:r>
      <w:r w:rsidRPr="007C2AAF">
        <w:rPr>
          <w:rStyle w:val="FootnoteReference"/>
        </w:rPr>
        <w:footnoteRef/>
      </w:r>
      <w:r w:rsidRPr="007C2AAF">
        <w:t>) The remaining 10% are compensated by negative emissions or supplied with low carbon solutions including use of carbon capture and storage.</w:t>
      </w:r>
    </w:p>
  </w:footnote>
  <w:footnote w:id="24">
    <w:p w14:paraId="41DDCD24" w14:textId="77777777" w:rsidR="00482E88" w:rsidRPr="007C2AAF" w:rsidRDefault="00482E88" w:rsidP="00482E88">
      <w:pPr>
        <w:pStyle w:val="FootnoteText"/>
      </w:pPr>
      <w:r w:rsidRPr="007C2AAF">
        <w:t>(</w:t>
      </w:r>
      <w:r w:rsidRPr="007C2AAF">
        <w:rPr>
          <w:rStyle w:val="FootnoteReference"/>
        </w:rPr>
        <w:footnoteRef/>
      </w:r>
      <w:r w:rsidRPr="007C2AAF">
        <w:t xml:space="preserve">) ACER (2022). Final Assessment of the EU Wholesale Electricity Market Design. </w:t>
      </w:r>
    </w:p>
  </w:footnote>
  <w:footnote w:id="25">
    <w:p w14:paraId="7513AD93" w14:textId="77777777" w:rsidR="00482E88" w:rsidRPr="007C2AAF" w:rsidRDefault="00482E88" w:rsidP="00482E88">
      <w:pPr>
        <w:pStyle w:val="FootnoteText"/>
      </w:pPr>
      <w:r w:rsidRPr="007C2AAF">
        <w:t>(</w:t>
      </w:r>
      <w:r w:rsidRPr="007C2AAF">
        <w:rPr>
          <w:rStyle w:val="FootnoteReference"/>
        </w:rPr>
        <w:footnoteRef/>
      </w:r>
      <w:r w:rsidRPr="007C2AAF">
        <w:t xml:space="preserve">) </w:t>
      </w:r>
      <w:r w:rsidRPr="007C2AAF">
        <w:rPr>
          <w:rFonts w:eastAsia="Calibri"/>
          <w:color w:val="000000" w:themeColor="text1"/>
        </w:rPr>
        <w:t>Commission Action Plan for the Digitalisation of the Energy System</w:t>
      </w:r>
      <w:r>
        <w:rPr>
          <w:rFonts w:eastAsia="Calibri"/>
          <w:color w:val="000000" w:themeColor="text1"/>
        </w:rPr>
        <w:t>.</w:t>
      </w:r>
    </w:p>
  </w:footnote>
  <w:footnote w:id="26">
    <w:p w14:paraId="0EF6D5E5" w14:textId="62D2B847" w:rsidR="00482E88" w:rsidRPr="001C494F" w:rsidRDefault="00E63A28" w:rsidP="00482E88">
      <w:pPr>
        <w:pStyle w:val="FootnoteText"/>
        <w:rPr>
          <w:lang w:val="pt-PT"/>
        </w:rPr>
      </w:pPr>
      <w:r>
        <w:rPr>
          <w:lang w:val="pt-PT"/>
        </w:rPr>
        <w:t>(</w:t>
      </w:r>
      <w:r w:rsidR="00482E88">
        <w:rPr>
          <w:rStyle w:val="FootnoteReference"/>
        </w:rPr>
        <w:footnoteRef/>
      </w:r>
      <w:r>
        <w:rPr>
          <w:lang w:val="pt-PT"/>
        </w:rPr>
        <w:t>)</w:t>
      </w:r>
      <w:r w:rsidR="00482E88" w:rsidRPr="001C494F">
        <w:rPr>
          <w:lang w:val="pt-PT"/>
        </w:rPr>
        <w:t xml:space="preserve"> COM(2023) 62</w:t>
      </w:r>
    </w:p>
  </w:footnote>
  <w:footnote w:id="27">
    <w:p w14:paraId="2E785E7A" w14:textId="77777777" w:rsidR="00482E88" w:rsidRPr="001C494F" w:rsidRDefault="00482E88" w:rsidP="00482E88">
      <w:pPr>
        <w:pStyle w:val="FootnoteText"/>
        <w:rPr>
          <w:lang w:val="pt-PT"/>
        </w:rPr>
      </w:pPr>
      <w:r w:rsidRPr="001C494F">
        <w:rPr>
          <w:lang w:val="pt-PT"/>
        </w:rPr>
        <w:t>(</w:t>
      </w:r>
      <w:r>
        <w:rPr>
          <w:rStyle w:val="FootnoteReference"/>
        </w:rPr>
        <w:footnoteRef/>
      </w:r>
      <w:r w:rsidRPr="001C494F">
        <w:rPr>
          <w:lang w:val="pt-PT"/>
        </w:rPr>
        <w:t>) https://s3platform.jrc.ec.europa.eu/hydrogen-valleys  </w:t>
      </w:r>
    </w:p>
  </w:footnote>
  <w:footnote w:id="28">
    <w:p w14:paraId="5ACD2F35" w14:textId="77777777" w:rsidR="00482E88" w:rsidRDefault="00482E88" w:rsidP="00482E88">
      <w:pPr>
        <w:pStyle w:val="FootnoteText"/>
      </w:pPr>
      <w:r>
        <w:t>(</w:t>
      </w:r>
      <w:r>
        <w:rPr>
          <w:rStyle w:val="FootnoteReference"/>
        </w:rPr>
        <w:footnoteRef/>
      </w:r>
      <w:r>
        <w:t xml:space="preserve">) </w:t>
      </w:r>
      <w:r w:rsidRPr="00A46C4C">
        <w:t>This includes electrification and switching to alternative fuels (e.g. renewable</w:t>
      </w:r>
      <w:r>
        <w:t xml:space="preserve"> and low carbon</w:t>
      </w:r>
      <w:r w:rsidRPr="00A46C4C">
        <w:t xml:space="preserve"> hydrogen, e-fuels or bioenergy), symbiotic industrial clusters, innovation in low carbon processes, energy and resource efficiency, material replacement and circular business models.</w:t>
      </w:r>
    </w:p>
    <w:p w14:paraId="0C98E9A3" w14:textId="77777777" w:rsidR="00482E88" w:rsidRPr="00A46C4C" w:rsidRDefault="00482E88" w:rsidP="00482E88">
      <w:pPr>
        <w:pStyle w:val="FootnoteText"/>
        <w:rPr>
          <w:lang w:val="en-IE"/>
        </w:rPr>
      </w:pPr>
    </w:p>
  </w:footnote>
  <w:footnote w:id="29">
    <w:p w14:paraId="6147BC79" w14:textId="77777777" w:rsidR="00482E88" w:rsidRPr="00A46C4C" w:rsidRDefault="00482E88" w:rsidP="00482E88">
      <w:pPr>
        <w:pStyle w:val="FootnoteText"/>
        <w:rPr>
          <w:lang w:val="en-IE"/>
        </w:rPr>
      </w:pPr>
      <w:r>
        <w:t>(</w:t>
      </w:r>
      <w:r>
        <w:rPr>
          <w:rStyle w:val="FootnoteReference"/>
        </w:rPr>
        <w:footnoteRef/>
      </w:r>
      <w:r>
        <w:t xml:space="preserve">) </w:t>
      </w:r>
      <w:r w:rsidRPr="00A46C4C">
        <w:t>According to the International Energy Agency, the strong fossil fuel dependence of the EU exposes European EIIs to higher share of energy expenditures in total cost of production than competitors in the US or China. In the aftermath of the 2021-2022 energy shock due to the EU’s dependence on fossil fuel imports, recent data suggests that part of the reduction in natural gas consumptions has been driven by a decrease in industrial output, in particular by energy intensive industries.</w:t>
      </w:r>
    </w:p>
  </w:footnote>
  <w:footnote w:id="30">
    <w:p w14:paraId="181658E2" w14:textId="41CBCEA4" w:rsidR="00482E88" w:rsidRPr="00EF773A" w:rsidRDefault="00E63A28" w:rsidP="00482E88">
      <w:pPr>
        <w:pStyle w:val="FootnoteText"/>
        <w:rPr>
          <w:lang w:val="en-IE"/>
        </w:rPr>
      </w:pPr>
      <w:r>
        <w:t>(</w:t>
      </w:r>
      <w:r w:rsidR="00482E88" w:rsidRPr="00EF773A">
        <w:rPr>
          <w:rStyle w:val="FootnoteReference"/>
        </w:rPr>
        <w:footnoteRef/>
      </w:r>
      <w:r>
        <w:t>)</w:t>
      </w:r>
      <w:r w:rsidR="00482E88" w:rsidRPr="00EF773A">
        <w:t xml:space="preserve"> </w:t>
      </w:r>
      <w:r w:rsidR="00482E88" w:rsidRPr="00EF773A">
        <w:rPr>
          <w:lang w:val="en-IE"/>
        </w:rPr>
        <w:t>Eurostat</w:t>
      </w:r>
      <w:r w:rsidR="000923AF">
        <w:rPr>
          <w:lang w:val="en-IE"/>
        </w:rPr>
        <w:t xml:space="preserve"> (2023)</w:t>
      </w:r>
      <w:r w:rsidR="00482E88" w:rsidRPr="00EF773A">
        <w:rPr>
          <w:lang w:val="en-IE"/>
        </w:rPr>
        <w:t xml:space="preserve"> EU circular economy monitoring framework. May 2023.</w:t>
      </w:r>
      <w:r w:rsidR="00482E88">
        <w:rPr>
          <w:lang w:val="en-IE"/>
        </w:rPr>
        <w:t xml:space="preserve"> Direct jobs. These figures do not include jobs in the circular economy when it is integrated in other sectors.</w:t>
      </w:r>
    </w:p>
  </w:footnote>
  <w:footnote w:id="31">
    <w:p w14:paraId="2C5C914C" w14:textId="77777777" w:rsidR="00482E88" w:rsidRPr="00E43E07" w:rsidRDefault="00482E88" w:rsidP="00482E88">
      <w:pPr>
        <w:pStyle w:val="FootnoteText"/>
        <w:rPr>
          <w:lang w:val="en-IE"/>
        </w:rPr>
      </w:pPr>
      <w:r w:rsidRPr="00EF773A">
        <w:t>(</w:t>
      </w:r>
      <w:r w:rsidRPr="00EF773A">
        <w:rPr>
          <w:rStyle w:val="FootnoteReference"/>
        </w:rPr>
        <w:footnoteRef/>
      </w:r>
      <w:r w:rsidRPr="00EF773A">
        <w:t>) “Carbon capture” includes carbon captured from industrial processes, power and heat production, biogas upgrade and direct air capture.</w:t>
      </w:r>
      <w:r>
        <w:t xml:space="preserve"> </w:t>
      </w:r>
    </w:p>
  </w:footnote>
  <w:footnote w:id="32">
    <w:p w14:paraId="763ED71D" w14:textId="77777777" w:rsidR="00482E88" w:rsidRPr="00085733" w:rsidRDefault="00482E88" w:rsidP="00482E88">
      <w:pPr>
        <w:pStyle w:val="FootnoteText"/>
      </w:pPr>
      <w:r>
        <w:t>(</w:t>
      </w:r>
      <w:r>
        <w:rPr>
          <w:rStyle w:val="FootnoteReference"/>
        </w:rPr>
        <w:footnoteRef/>
      </w:r>
      <w:r>
        <w:t xml:space="preserve">) </w:t>
      </w:r>
      <w:r w:rsidRPr="00085733">
        <w:t>Carbon capture and storage of biogenic CO</w:t>
      </w:r>
      <w:r w:rsidRPr="008D390A">
        <w:rPr>
          <w:vertAlign w:val="subscript"/>
        </w:rPr>
        <w:t>2</w:t>
      </w:r>
      <w:r w:rsidRPr="00085733">
        <w:t xml:space="preserve"> emissions originated from the combustion of biomass to produce energy (BECCS) or from the processing of biomass in industrial applications.</w:t>
      </w:r>
    </w:p>
  </w:footnote>
  <w:footnote w:id="33">
    <w:p w14:paraId="63CF70D0" w14:textId="77777777" w:rsidR="00482E88" w:rsidRPr="008B5D78" w:rsidRDefault="00482E88" w:rsidP="00482E88">
      <w:pPr>
        <w:pStyle w:val="FootnoteText"/>
      </w:pPr>
      <w:r>
        <w:t>(</w:t>
      </w:r>
      <w:r>
        <w:rPr>
          <w:rStyle w:val="FootnoteReference"/>
        </w:rPr>
        <w:footnoteRef/>
      </w:r>
      <w:r>
        <w:t xml:space="preserve">) </w:t>
      </w:r>
      <w:r w:rsidRPr="008B5D78">
        <w:t>including trucks, buses and coaches</w:t>
      </w:r>
      <w:r>
        <w:t>.</w:t>
      </w:r>
    </w:p>
  </w:footnote>
  <w:footnote w:id="34">
    <w:p w14:paraId="2827D061" w14:textId="77777777" w:rsidR="00482E88" w:rsidRPr="009F06FF" w:rsidRDefault="00482E88" w:rsidP="00482E88">
      <w:pPr>
        <w:pStyle w:val="FootnoteText"/>
      </w:pPr>
      <w:r>
        <w:t>(</w:t>
      </w:r>
      <w:r>
        <w:rPr>
          <w:rStyle w:val="FootnoteReference"/>
        </w:rPr>
        <w:footnoteRef/>
      </w:r>
      <w:r>
        <w:t xml:space="preserve">) </w:t>
      </w:r>
      <w:r w:rsidRPr="009F06FF">
        <w:t>Regulation (EU) 2023/1805 of the European Parliament and of the Council of 13 September 2023 on the use of renewable and low-carbon fuels in maritime transport, and amending Directive 2009/16/EC</w:t>
      </w:r>
    </w:p>
  </w:footnote>
  <w:footnote w:id="35">
    <w:p w14:paraId="1A71D389" w14:textId="77777777" w:rsidR="00482E88" w:rsidRPr="008B5D46" w:rsidRDefault="00482E88" w:rsidP="00482E88">
      <w:pPr>
        <w:pStyle w:val="FootnoteText"/>
        <w:rPr>
          <w:rFonts w:cstheme="minorHAnsi"/>
        </w:rPr>
      </w:pPr>
      <w:r>
        <w:rPr>
          <w:rFonts w:cstheme="minorHAnsi"/>
        </w:rPr>
        <w:t>(</w:t>
      </w:r>
      <w:r w:rsidRPr="008B5D46">
        <w:rPr>
          <w:rStyle w:val="FootnoteReference"/>
          <w:rFonts w:cstheme="minorHAnsi"/>
        </w:rPr>
        <w:footnoteRef/>
      </w:r>
      <w:r>
        <w:rPr>
          <w:rFonts w:cstheme="minorHAnsi"/>
        </w:rPr>
        <w:t>)</w:t>
      </w:r>
      <w:r w:rsidRPr="008B5D46">
        <w:rPr>
          <w:rFonts w:cstheme="minorHAnsi"/>
        </w:rPr>
        <w:t xml:space="preserve"> Regulation (EU) 2023/2405 of the European Parliament and of the Council of 18 October 2023 on ensuring a level playing field for sustainable air transport (ReFuelEU Aviation)</w:t>
      </w:r>
    </w:p>
  </w:footnote>
  <w:footnote w:id="36">
    <w:p w14:paraId="1BCCEE63" w14:textId="77777777" w:rsidR="00482E88" w:rsidRPr="007C2AAF" w:rsidRDefault="00482E88" w:rsidP="00482E88">
      <w:pPr>
        <w:pStyle w:val="FootnoteText"/>
      </w:pPr>
      <w:r w:rsidRPr="007C2AAF">
        <w:t>(</w:t>
      </w:r>
      <w:r w:rsidRPr="007C2AAF">
        <w:rPr>
          <w:rStyle w:val="FootnoteReference"/>
        </w:rPr>
        <w:footnoteRef/>
      </w:r>
      <w:r w:rsidRPr="007C2AAF">
        <w:t>) E.g. to cover excluded business aviation and vessels below 5000 GT.</w:t>
      </w:r>
    </w:p>
  </w:footnote>
  <w:footnote w:id="37">
    <w:p w14:paraId="1FE2079C" w14:textId="77777777" w:rsidR="00482E88" w:rsidRPr="007C2AAF" w:rsidRDefault="00482E88" w:rsidP="00482E88">
      <w:pPr>
        <w:pStyle w:val="FootnoteText"/>
      </w:pPr>
      <w:r w:rsidRPr="007C2AAF">
        <w:t>(</w:t>
      </w:r>
      <w:r w:rsidRPr="007C2AAF">
        <w:rPr>
          <w:rStyle w:val="FootnoteReference"/>
        </w:rPr>
        <w:footnoteRef/>
      </w:r>
      <w:r w:rsidRPr="007C2AAF">
        <w:t xml:space="preserve">) Including to the meet the IMO Strategy on Reduction of GHG Emissions (net zero GHG by </w:t>
      </w:r>
      <w:r>
        <w:t>or around, i.e. close to</w:t>
      </w:r>
      <w:r w:rsidRPr="007C2AAF">
        <w:t xml:space="preserve"> 2050, </w:t>
      </w:r>
      <w:r>
        <w:t xml:space="preserve">with indicative checkpoints of </w:t>
      </w:r>
      <w:r w:rsidRPr="007C2AAF">
        <w:t>at least 70% striving for 80% compared to 2008 by 2040).</w:t>
      </w:r>
    </w:p>
  </w:footnote>
  <w:footnote w:id="38">
    <w:p w14:paraId="3D4AB5A0" w14:textId="77777777" w:rsidR="00482E88" w:rsidRPr="008D390A" w:rsidRDefault="00482E88" w:rsidP="00482E88">
      <w:pPr>
        <w:pStyle w:val="FootnoteText"/>
        <w:rPr>
          <w:lang w:val="en-IE"/>
        </w:rPr>
      </w:pPr>
      <w:r>
        <w:t>(</w:t>
      </w:r>
      <w:r>
        <w:rPr>
          <w:rStyle w:val="FootnoteReference"/>
        </w:rPr>
        <w:footnoteRef/>
      </w:r>
      <w:r>
        <w:t xml:space="preserve">) </w:t>
      </w:r>
      <w:r w:rsidRPr="00597B40">
        <w:t>Mitigation technologies such as selective breeding, optimised feed efficiency and improved manure management can reduce methane emissions from livestock. Precision farming and enhanced fertiliser efficiency can reduce nitrous oxide emissions.</w:t>
      </w:r>
    </w:p>
  </w:footnote>
  <w:footnote w:id="39">
    <w:p w14:paraId="76269FAD" w14:textId="77777777" w:rsidR="00482E88" w:rsidRPr="00AB0732" w:rsidRDefault="00482E88" w:rsidP="00482E88">
      <w:pPr>
        <w:pStyle w:val="FootnoteText"/>
      </w:pPr>
      <w:r>
        <w:t>(</w:t>
      </w:r>
      <w:r>
        <w:rPr>
          <w:rStyle w:val="FootnoteReference"/>
        </w:rPr>
        <w:footnoteRef/>
      </w:r>
      <w:r>
        <w:t xml:space="preserve">) </w:t>
      </w:r>
      <w:r w:rsidRPr="00AD473C">
        <w:t>REcovered Nitrogen from manure</w:t>
      </w:r>
    </w:p>
  </w:footnote>
  <w:footnote w:id="40">
    <w:p w14:paraId="42C8A6E9" w14:textId="77777777" w:rsidR="00482E88" w:rsidRPr="00822E35" w:rsidRDefault="00482E88" w:rsidP="00482E88">
      <w:pPr>
        <w:pStyle w:val="FootnoteText"/>
      </w:pPr>
      <w:r>
        <w:t>(</w:t>
      </w:r>
      <w:r w:rsidRPr="008D390A">
        <w:rPr>
          <w:rStyle w:val="FootnoteReference"/>
        </w:rPr>
        <w:footnoteRef/>
      </w:r>
      <w:r>
        <w:t>)</w:t>
      </w:r>
      <w:r w:rsidRPr="008D390A">
        <w:t xml:space="preserve"> </w:t>
      </w:r>
      <w:hyperlink r:id="rId3" w:history="1">
        <w:r w:rsidRPr="008D390A">
          <w:rPr>
            <w:rStyle w:val="Hyperlink"/>
          </w:rPr>
          <w:t>The common fisheries policy today and tomorrow: a Fisheries and Oceans Pact towards sustainable, science-based, innovative and inclusive fisheries management - European Commission (europa.eu)</w:t>
        </w:r>
      </w:hyperlink>
    </w:p>
  </w:footnote>
  <w:footnote w:id="41">
    <w:p w14:paraId="26B80440" w14:textId="77777777" w:rsidR="00482E88" w:rsidRPr="007C2AAF" w:rsidRDefault="00482E88" w:rsidP="00482E88">
      <w:pPr>
        <w:pStyle w:val="FootnoteText"/>
      </w:pPr>
      <w:r w:rsidRPr="007C2AAF">
        <w:t>(</w:t>
      </w:r>
      <w:r w:rsidRPr="007C2AAF">
        <w:rPr>
          <w:rStyle w:val="FootnoteReference"/>
        </w:rPr>
        <w:footnoteRef/>
      </w:r>
      <w:r w:rsidRPr="007C2AAF">
        <w:t>) COM(2020) 381 final</w:t>
      </w:r>
    </w:p>
  </w:footnote>
  <w:footnote w:id="42">
    <w:p w14:paraId="00420503" w14:textId="77777777" w:rsidR="00482E88" w:rsidRPr="007C2AAF" w:rsidRDefault="00482E88" w:rsidP="00482E88">
      <w:pPr>
        <w:pStyle w:val="FootnoteText"/>
      </w:pPr>
      <w:r w:rsidRPr="007C2AAF">
        <w:t>(</w:t>
      </w:r>
      <w:r w:rsidRPr="007C2AAF">
        <w:rPr>
          <w:rStyle w:val="FootnoteReference"/>
        </w:rPr>
        <w:footnoteRef/>
      </w:r>
      <w:r w:rsidRPr="007C2AAF">
        <w:t>) COM(2021) 800 final. The Communication on Sustainable Carbon Cycles announced an objective that, by 2028, every land manager should have access to verified emission and removal data to enable a wide uptake of carbon farming. In 2022, the Commission adopted a proposal for a Regulation establishing a Union certification framework for carbon removal, which is currently in co-legislation procedure.</w:t>
      </w:r>
    </w:p>
  </w:footnote>
  <w:footnote w:id="43">
    <w:p w14:paraId="7FC6F191" w14:textId="559841A7" w:rsidR="00482E88" w:rsidRPr="002A12CF" w:rsidRDefault="00E63A28" w:rsidP="00482E88">
      <w:pPr>
        <w:pStyle w:val="FootnoteText"/>
        <w:rPr>
          <w:lang w:val="en-IE"/>
        </w:rPr>
      </w:pPr>
      <w:r>
        <w:t>(</w:t>
      </w:r>
      <w:r w:rsidR="00482E88">
        <w:rPr>
          <w:rStyle w:val="FootnoteReference"/>
        </w:rPr>
        <w:footnoteRef/>
      </w:r>
      <w:r>
        <w:t>)</w:t>
      </w:r>
      <w:r w:rsidR="00482E88">
        <w:t xml:space="preserve"> </w:t>
      </w:r>
      <w:r w:rsidR="00482E88" w:rsidRPr="002A12CF">
        <w:rPr>
          <w:lang w:val="en-IE"/>
        </w:rPr>
        <w:t xml:space="preserve">A recent think tank report suggested that companies in the EU could raise an additional </w:t>
      </w:r>
      <w:r w:rsidR="000923AF">
        <w:rPr>
          <w:lang w:val="en-IE"/>
        </w:rPr>
        <w:t xml:space="preserve"> EUR </w:t>
      </w:r>
      <w:r w:rsidR="00482E88" w:rsidRPr="002A12CF">
        <w:rPr>
          <w:lang w:val="en-IE"/>
        </w:rPr>
        <w:t>470</w:t>
      </w:r>
      <w:r w:rsidR="000923AF">
        <w:rPr>
          <w:lang w:val="en-IE"/>
        </w:rPr>
        <w:t xml:space="preserve"> billion</w:t>
      </w:r>
      <w:r w:rsidR="00482E88" w:rsidRPr="002A12CF">
        <w:rPr>
          <w:lang w:val="en-IE"/>
        </w:rPr>
        <w:t xml:space="preserve"> in funding every year from the capital markets.</w:t>
      </w:r>
      <w:r w:rsidR="00482E88">
        <w:t xml:space="preserve"> </w:t>
      </w:r>
      <w:r w:rsidR="00482E88">
        <w:rPr>
          <w:lang w:val="en-IE"/>
        </w:rPr>
        <w:t xml:space="preserve">See </w:t>
      </w:r>
      <w:hyperlink r:id="rId4" w:history="1">
        <w:r w:rsidR="00482E88">
          <w:rPr>
            <w:rStyle w:val="Hyperlink"/>
          </w:rPr>
          <w:t>A renewed vision for EU capital markets (New Financial)</w:t>
        </w:r>
      </w:hyperlink>
      <w:r w:rsidR="00482E88">
        <w:t>, January 2024.</w:t>
      </w:r>
    </w:p>
  </w:footnote>
  <w:footnote w:id="44">
    <w:p w14:paraId="0E2E51B3" w14:textId="3CBECFD0" w:rsidR="00482E88" w:rsidRPr="008D390A" w:rsidRDefault="00482E88" w:rsidP="00482E88">
      <w:pPr>
        <w:pStyle w:val="FootnoteText"/>
        <w:rPr>
          <w:lang w:val="en-IE"/>
        </w:rPr>
      </w:pPr>
      <w:r>
        <w:t>(</w:t>
      </w:r>
      <w:r>
        <w:rPr>
          <w:rStyle w:val="FootnoteReference"/>
        </w:rPr>
        <w:footnoteRef/>
      </w:r>
      <w:r>
        <w:t xml:space="preserve">) </w:t>
      </w:r>
      <w:r w:rsidR="00843C07">
        <w:t xml:space="preserve">European Commission (2023) </w:t>
      </w:r>
      <w:hyperlink r:id="rId5" w:tgtFrame="_blank" w:history="1">
        <w:r w:rsidRPr="00BE4396">
          <w:rPr>
            <w:rStyle w:val="Hyperlink"/>
            <w:lang w:val="en-IE"/>
          </w:rPr>
          <w:t>Scaling up innovative technologies for climate neutrality</w:t>
        </w:r>
      </w:hyperlink>
    </w:p>
  </w:footnote>
  <w:footnote w:id="45">
    <w:p w14:paraId="194B3062" w14:textId="73DB15F0" w:rsidR="00482E88" w:rsidRPr="00AE46BC" w:rsidRDefault="00E63A28" w:rsidP="00482E88">
      <w:pPr>
        <w:pStyle w:val="FootnoteText"/>
      </w:pPr>
      <w:r>
        <w:t>(</w:t>
      </w:r>
      <w:r w:rsidR="00482E88">
        <w:rPr>
          <w:rStyle w:val="FootnoteReference"/>
        </w:rPr>
        <w:footnoteRef/>
      </w:r>
      <w:r>
        <w:t>)</w:t>
      </w:r>
      <w:r w:rsidR="00482E88">
        <w:t xml:space="preserve"> Such as “</w:t>
      </w:r>
      <w:r w:rsidR="00482E88" w:rsidRPr="00AE46BC">
        <w:t>Destination Earth</w:t>
      </w:r>
      <w:r w:rsidR="00482E88">
        <w:t>”</w:t>
      </w:r>
      <w:r w:rsidR="00482E88" w:rsidRPr="00AE46BC">
        <w:t>, a European Commission flagship initiative for a sustainable future</w:t>
      </w:r>
      <w:r w:rsidR="00482E8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8DC93" w14:textId="77777777" w:rsidR="00D3395F" w:rsidRPr="00D3395F" w:rsidRDefault="00D3395F" w:rsidP="00D3395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F581A" w14:textId="77777777" w:rsidR="00D3395F" w:rsidRPr="00D3395F" w:rsidRDefault="00D3395F" w:rsidP="00D3395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82132" w14:textId="77777777" w:rsidR="00D3395F" w:rsidRPr="00D3395F" w:rsidRDefault="00D3395F" w:rsidP="00D3395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5F198" w14:textId="77777777" w:rsidR="000A37A5" w:rsidRDefault="000A37A5">
    <w:pPr>
      <w:pStyle w:val="Header"/>
    </w:pPr>
  </w:p>
  <w:p w14:paraId="2F47BACC" w14:textId="77777777" w:rsidR="00DB3C5C" w:rsidRDefault="00DB3C5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B74FD" w14:textId="77777777" w:rsidR="000A37A5" w:rsidRDefault="000A37A5">
    <w:pPr>
      <w:pStyle w:val="Header"/>
    </w:pPr>
  </w:p>
  <w:p w14:paraId="61BD997E" w14:textId="77777777" w:rsidR="00DB3C5C" w:rsidRDefault="00DB3C5C"/>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0EE6" w14:textId="77777777" w:rsidR="000A37A5" w:rsidRDefault="000A3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267"/>
    <w:multiLevelType w:val="hybridMultilevel"/>
    <w:tmpl w:val="A11C54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C74B48"/>
    <w:multiLevelType w:val="hybridMultilevel"/>
    <w:tmpl w:val="C4323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872B3F"/>
    <w:multiLevelType w:val="hybridMultilevel"/>
    <w:tmpl w:val="21C0489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FE598A"/>
    <w:multiLevelType w:val="hybridMultilevel"/>
    <w:tmpl w:val="A2ECA0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EA3F69"/>
    <w:multiLevelType w:val="hybridMultilevel"/>
    <w:tmpl w:val="B38EE5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5C58C6"/>
    <w:multiLevelType w:val="hybridMultilevel"/>
    <w:tmpl w:val="EB802622"/>
    <w:lvl w:ilvl="0" w:tplc="3B66045A">
      <w:start w:val="1"/>
      <w:numFmt w:val="bullet"/>
      <w:lvlText w:val=""/>
      <w:lvlJc w:val="left"/>
      <w:pPr>
        <w:ind w:left="720" w:hanging="360"/>
      </w:pPr>
      <w:rPr>
        <w:rFonts w:ascii="Symbol" w:hAnsi="Symbol"/>
      </w:rPr>
    </w:lvl>
    <w:lvl w:ilvl="1" w:tplc="6F60165C">
      <w:start w:val="1"/>
      <w:numFmt w:val="bullet"/>
      <w:lvlText w:val=""/>
      <w:lvlJc w:val="left"/>
      <w:pPr>
        <w:ind w:left="720" w:hanging="360"/>
      </w:pPr>
      <w:rPr>
        <w:rFonts w:ascii="Symbol" w:hAnsi="Symbol"/>
      </w:rPr>
    </w:lvl>
    <w:lvl w:ilvl="2" w:tplc="1D34A41C">
      <w:start w:val="1"/>
      <w:numFmt w:val="bullet"/>
      <w:lvlText w:val=""/>
      <w:lvlJc w:val="left"/>
      <w:pPr>
        <w:ind w:left="720" w:hanging="360"/>
      </w:pPr>
      <w:rPr>
        <w:rFonts w:ascii="Symbol" w:hAnsi="Symbol"/>
      </w:rPr>
    </w:lvl>
    <w:lvl w:ilvl="3" w:tplc="34FC30DC">
      <w:start w:val="1"/>
      <w:numFmt w:val="bullet"/>
      <w:lvlText w:val=""/>
      <w:lvlJc w:val="left"/>
      <w:pPr>
        <w:ind w:left="720" w:hanging="360"/>
      </w:pPr>
      <w:rPr>
        <w:rFonts w:ascii="Symbol" w:hAnsi="Symbol"/>
      </w:rPr>
    </w:lvl>
    <w:lvl w:ilvl="4" w:tplc="F3A0F2D0">
      <w:start w:val="1"/>
      <w:numFmt w:val="bullet"/>
      <w:lvlText w:val=""/>
      <w:lvlJc w:val="left"/>
      <w:pPr>
        <w:ind w:left="720" w:hanging="360"/>
      </w:pPr>
      <w:rPr>
        <w:rFonts w:ascii="Symbol" w:hAnsi="Symbol"/>
      </w:rPr>
    </w:lvl>
    <w:lvl w:ilvl="5" w:tplc="A9CA3E86">
      <w:start w:val="1"/>
      <w:numFmt w:val="bullet"/>
      <w:lvlText w:val=""/>
      <w:lvlJc w:val="left"/>
      <w:pPr>
        <w:ind w:left="720" w:hanging="360"/>
      </w:pPr>
      <w:rPr>
        <w:rFonts w:ascii="Symbol" w:hAnsi="Symbol"/>
      </w:rPr>
    </w:lvl>
    <w:lvl w:ilvl="6" w:tplc="F3C43DC0">
      <w:start w:val="1"/>
      <w:numFmt w:val="bullet"/>
      <w:lvlText w:val=""/>
      <w:lvlJc w:val="left"/>
      <w:pPr>
        <w:ind w:left="720" w:hanging="360"/>
      </w:pPr>
      <w:rPr>
        <w:rFonts w:ascii="Symbol" w:hAnsi="Symbol"/>
      </w:rPr>
    </w:lvl>
    <w:lvl w:ilvl="7" w:tplc="3B00E092">
      <w:start w:val="1"/>
      <w:numFmt w:val="bullet"/>
      <w:lvlText w:val=""/>
      <w:lvlJc w:val="left"/>
      <w:pPr>
        <w:ind w:left="720" w:hanging="360"/>
      </w:pPr>
      <w:rPr>
        <w:rFonts w:ascii="Symbol" w:hAnsi="Symbol"/>
      </w:rPr>
    </w:lvl>
    <w:lvl w:ilvl="8" w:tplc="F036030C">
      <w:start w:val="1"/>
      <w:numFmt w:val="bullet"/>
      <w:lvlText w:val=""/>
      <w:lvlJc w:val="left"/>
      <w:pPr>
        <w:ind w:left="720" w:hanging="360"/>
      </w:pPr>
      <w:rPr>
        <w:rFonts w:ascii="Symbol" w:hAnsi="Symbol"/>
      </w:rPr>
    </w:lvl>
  </w:abstractNum>
  <w:abstractNum w:abstractNumId="6" w15:restartNumberingAfterBreak="0">
    <w:nsid w:val="087D4D9F"/>
    <w:multiLevelType w:val="multilevel"/>
    <w:tmpl w:val="05FCE1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124BD9"/>
    <w:multiLevelType w:val="multilevel"/>
    <w:tmpl w:val="07C0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27761"/>
    <w:multiLevelType w:val="hybridMultilevel"/>
    <w:tmpl w:val="A980135E"/>
    <w:lvl w:ilvl="0" w:tplc="FFFFFFFF">
      <w:start w:val="1"/>
      <w:numFmt w:val="decimal"/>
      <w:lvlText w:val="%1."/>
      <w:lvlJc w:val="left"/>
      <w:pPr>
        <w:ind w:left="720" w:hanging="360"/>
      </w:pPr>
      <w:rPr>
        <w:rFonts w:ascii="Times New Roman" w:eastAsiaTheme="minorHAnsi" w:hAnsi="Times New Roman" w:cs="Times New Roman"/>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F277F3D"/>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5E1D14"/>
    <w:multiLevelType w:val="hybridMultilevel"/>
    <w:tmpl w:val="9EAEEE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036119"/>
    <w:multiLevelType w:val="hybridMultilevel"/>
    <w:tmpl w:val="2E5E17AA"/>
    <w:lvl w:ilvl="0" w:tplc="54C2EC56">
      <w:start w:val="2"/>
      <w:numFmt w:val="bullet"/>
      <w:lvlText w:val=""/>
      <w:lvlJc w:val="left"/>
      <w:pPr>
        <w:ind w:left="720" w:hanging="360"/>
      </w:pPr>
      <w:rPr>
        <w:rFonts w:ascii="Wingdings" w:eastAsia="Calibri"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15237D4"/>
    <w:multiLevelType w:val="multilevel"/>
    <w:tmpl w:val="4A423A3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251AA18"/>
    <w:multiLevelType w:val="hybridMultilevel"/>
    <w:tmpl w:val="C7105770"/>
    <w:lvl w:ilvl="0" w:tplc="C73AAB62">
      <w:start w:val="1"/>
      <w:numFmt w:val="bullet"/>
      <w:lvlText w:val=""/>
      <w:lvlJc w:val="left"/>
      <w:pPr>
        <w:ind w:left="720" w:hanging="360"/>
      </w:pPr>
      <w:rPr>
        <w:rFonts w:ascii="Symbol" w:hAnsi="Symbol" w:hint="default"/>
      </w:rPr>
    </w:lvl>
    <w:lvl w:ilvl="1" w:tplc="81287134">
      <w:start w:val="1"/>
      <w:numFmt w:val="bullet"/>
      <w:lvlText w:val="o"/>
      <w:lvlJc w:val="left"/>
      <w:pPr>
        <w:ind w:left="1440" w:hanging="360"/>
      </w:pPr>
      <w:rPr>
        <w:rFonts w:ascii="Courier New" w:hAnsi="Courier New" w:hint="default"/>
      </w:rPr>
    </w:lvl>
    <w:lvl w:ilvl="2" w:tplc="6C8A8A80">
      <w:start w:val="1"/>
      <w:numFmt w:val="bullet"/>
      <w:lvlText w:val=""/>
      <w:lvlJc w:val="left"/>
      <w:pPr>
        <w:ind w:left="2160" w:hanging="360"/>
      </w:pPr>
      <w:rPr>
        <w:rFonts w:ascii="Wingdings" w:hAnsi="Wingdings" w:hint="default"/>
      </w:rPr>
    </w:lvl>
    <w:lvl w:ilvl="3" w:tplc="C7F6A3D6">
      <w:start w:val="1"/>
      <w:numFmt w:val="bullet"/>
      <w:lvlText w:val=""/>
      <w:lvlJc w:val="left"/>
      <w:pPr>
        <w:ind w:left="2880" w:hanging="360"/>
      </w:pPr>
      <w:rPr>
        <w:rFonts w:ascii="Symbol" w:hAnsi="Symbol" w:hint="default"/>
      </w:rPr>
    </w:lvl>
    <w:lvl w:ilvl="4" w:tplc="B86A736E">
      <w:start w:val="1"/>
      <w:numFmt w:val="bullet"/>
      <w:lvlText w:val="o"/>
      <w:lvlJc w:val="left"/>
      <w:pPr>
        <w:ind w:left="3600" w:hanging="360"/>
      </w:pPr>
      <w:rPr>
        <w:rFonts w:ascii="Courier New" w:hAnsi="Courier New" w:hint="default"/>
      </w:rPr>
    </w:lvl>
    <w:lvl w:ilvl="5" w:tplc="C0D2DE28">
      <w:start w:val="1"/>
      <w:numFmt w:val="bullet"/>
      <w:lvlText w:val=""/>
      <w:lvlJc w:val="left"/>
      <w:pPr>
        <w:ind w:left="4320" w:hanging="360"/>
      </w:pPr>
      <w:rPr>
        <w:rFonts w:ascii="Wingdings" w:hAnsi="Wingdings" w:hint="default"/>
      </w:rPr>
    </w:lvl>
    <w:lvl w:ilvl="6" w:tplc="5D8E7314">
      <w:start w:val="1"/>
      <w:numFmt w:val="bullet"/>
      <w:lvlText w:val=""/>
      <w:lvlJc w:val="left"/>
      <w:pPr>
        <w:ind w:left="5040" w:hanging="360"/>
      </w:pPr>
      <w:rPr>
        <w:rFonts w:ascii="Symbol" w:hAnsi="Symbol" w:hint="default"/>
      </w:rPr>
    </w:lvl>
    <w:lvl w:ilvl="7" w:tplc="49DE60B8">
      <w:start w:val="1"/>
      <w:numFmt w:val="bullet"/>
      <w:lvlText w:val="o"/>
      <w:lvlJc w:val="left"/>
      <w:pPr>
        <w:ind w:left="5760" w:hanging="360"/>
      </w:pPr>
      <w:rPr>
        <w:rFonts w:ascii="Courier New" w:hAnsi="Courier New" w:hint="default"/>
      </w:rPr>
    </w:lvl>
    <w:lvl w:ilvl="8" w:tplc="DD5492B4">
      <w:start w:val="1"/>
      <w:numFmt w:val="bullet"/>
      <w:lvlText w:val=""/>
      <w:lvlJc w:val="left"/>
      <w:pPr>
        <w:ind w:left="6480" w:hanging="360"/>
      </w:pPr>
      <w:rPr>
        <w:rFonts w:ascii="Wingdings" w:hAnsi="Wingdings" w:hint="default"/>
      </w:rPr>
    </w:lvl>
  </w:abstractNum>
  <w:abstractNum w:abstractNumId="14" w15:restartNumberingAfterBreak="0">
    <w:nsid w:val="12DE9BEA"/>
    <w:multiLevelType w:val="hybridMultilevel"/>
    <w:tmpl w:val="0C9E45D2"/>
    <w:lvl w:ilvl="0" w:tplc="F95C02B8">
      <w:start w:val="1"/>
      <w:numFmt w:val="bullet"/>
      <w:lvlText w:val="-"/>
      <w:lvlJc w:val="left"/>
      <w:pPr>
        <w:ind w:left="720" w:hanging="360"/>
      </w:pPr>
      <w:rPr>
        <w:rFonts w:ascii="Aptos" w:hAnsi="Aptos" w:hint="default"/>
      </w:rPr>
    </w:lvl>
    <w:lvl w:ilvl="1" w:tplc="AB824242">
      <w:start w:val="1"/>
      <w:numFmt w:val="bullet"/>
      <w:lvlText w:val="o"/>
      <w:lvlJc w:val="left"/>
      <w:pPr>
        <w:ind w:left="1440" w:hanging="360"/>
      </w:pPr>
      <w:rPr>
        <w:rFonts w:ascii="Courier New" w:hAnsi="Courier New" w:hint="default"/>
      </w:rPr>
    </w:lvl>
    <w:lvl w:ilvl="2" w:tplc="6EC6026E">
      <w:start w:val="1"/>
      <w:numFmt w:val="bullet"/>
      <w:lvlText w:val=""/>
      <w:lvlJc w:val="left"/>
      <w:pPr>
        <w:ind w:left="2160" w:hanging="360"/>
      </w:pPr>
      <w:rPr>
        <w:rFonts w:ascii="Wingdings" w:hAnsi="Wingdings" w:hint="default"/>
      </w:rPr>
    </w:lvl>
    <w:lvl w:ilvl="3" w:tplc="A21A28FE">
      <w:start w:val="1"/>
      <w:numFmt w:val="bullet"/>
      <w:lvlText w:val=""/>
      <w:lvlJc w:val="left"/>
      <w:pPr>
        <w:ind w:left="2880" w:hanging="360"/>
      </w:pPr>
      <w:rPr>
        <w:rFonts w:ascii="Symbol" w:hAnsi="Symbol" w:hint="default"/>
      </w:rPr>
    </w:lvl>
    <w:lvl w:ilvl="4" w:tplc="FE000E68">
      <w:start w:val="1"/>
      <w:numFmt w:val="bullet"/>
      <w:lvlText w:val="o"/>
      <w:lvlJc w:val="left"/>
      <w:pPr>
        <w:ind w:left="3600" w:hanging="360"/>
      </w:pPr>
      <w:rPr>
        <w:rFonts w:ascii="Courier New" w:hAnsi="Courier New" w:hint="default"/>
      </w:rPr>
    </w:lvl>
    <w:lvl w:ilvl="5" w:tplc="EDB4CF5E">
      <w:start w:val="1"/>
      <w:numFmt w:val="bullet"/>
      <w:lvlText w:val=""/>
      <w:lvlJc w:val="left"/>
      <w:pPr>
        <w:ind w:left="4320" w:hanging="360"/>
      </w:pPr>
      <w:rPr>
        <w:rFonts w:ascii="Wingdings" w:hAnsi="Wingdings" w:hint="default"/>
      </w:rPr>
    </w:lvl>
    <w:lvl w:ilvl="6" w:tplc="D74C352E">
      <w:start w:val="1"/>
      <w:numFmt w:val="bullet"/>
      <w:lvlText w:val=""/>
      <w:lvlJc w:val="left"/>
      <w:pPr>
        <w:ind w:left="5040" w:hanging="360"/>
      </w:pPr>
      <w:rPr>
        <w:rFonts w:ascii="Symbol" w:hAnsi="Symbol" w:hint="default"/>
      </w:rPr>
    </w:lvl>
    <w:lvl w:ilvl="7" w:tplc="6F6C0760">
      <w:start w:val="1"/>
      <w:numFmt w:val="bullet"/>
      <w:lvlText w:val="o"/>
      <w:lvlJc w:val="left"/>
      <w:pPr>
        <w:ind w:left="5760" w:hanging="360"/>
      </w:pPr>
      <w:rPr>
        <w:rFonts w:ascii="Courier New" w:hAnsi="Courier New" w:hint="default"/>
      </w:rPr>
    </w:lvl>
    <w:lvl w:ilvl="8" w:tplc="50FAD64E">
      <w:start w:val="1"/>
      <w:numFmt w:val="bullet"/>
      <w:lvlText w:val=""/>
      <w:lvlJc w:val="left"/>
      <w:pPr>
        <w:ind w:left="6480" w:hanging="360"/>
      </w:pPr>
      <w:rPr>
        <w:rFonts w:ascii="Wingdings" w:hAnsi="Wingdings" w:hint="default"/>
      </w:rPr>
    </w:lvl>
  </w:abstractNum>
  <w:abstractNum w:abstractNumId="15" w15:restartNumberingAfterBreak="0">
    <w:nsid w:val="13CB3204"/>
    <w:multiLevelType w:val="hybridMultilevel"/>
    <w:tmpl w:val="05B8D54C"/>
    <w:lvl w:ilvl="0" w:tplc="3F0AC406">
      <w:start w:val="1"/>
      <w:numFmt w:val="bullet"/>
      <w:lvlText w:val="-"/>
      <w:lvlJc w:val="left"/>
      <w:pPr>
        <w:ind w:left="720" w:hanging="360"/>
      </w:pPr>
      <w:rPr>
        <w:rFonts w:ascii="Aptos" w:hAnsi="Aptos" w:hint="default"/>
      </w:rPr>
    </w:lvl>
    <w:lvl w:ilvl="1" w:tplc="AA54E2C6">
      <w:start w:val="1"/>
      <w:numFmt w:val="bullet"/>
      <w:lvlText w:val="o"/>
      <w:lvlJc w:val="left"/>
      <w:pPr>
        <w:ind w:left="1440" w:hanging="360"/>
      </w:pPr>
      <w:rPr>
        <w:rFonts w:ascii="Courier New" w:hAnsi="Courier New" w:hint="default"/>
      </w:rPr>
    </w:lvl>
    <w:lvl w:ilvl="2" w:tplc="84041A6A">
      <w:start w:val="1"/>
      <w:numFmt w:val="bullet"/>
      <w:lvlText w:val=""/>
      <w:lvlJc w:val="left"/>
      <w:pPr>
        <w:ind w:left="2160" w:hanging="360"/>
      </w:pPr>
      <w:rPr>
        <w:rFonts w:ascii="Wingdings" w:hAnsi="Wingdings" w:hint="default"/>
      </w:rPr>
    </w:lvl>
    <w:lvl w:ilvl="3" w:tplc="B96622F6">
      <w:start w:val="1"/>
      <w:numFmt w:val="bullet"/>
      <w:lvlText w:val=""/>
      <w:lvlJc w:val="left"/>
      <w:pPr>
        <w:ind w:left="2880" w:hanging="360"/>
      </w:pPr>
      <w:rPr>
        <w:rFonts w:ascii="Symbol" w:hAnsi="Symbol" w:hint="default"/>
      </w:rPr>
    </w:lvl>
    <w:lvl w:ilvl="4" w:tplc="815C0C60">
      <w:start w:val="1"/>
      <w:numFmt w:val="bullet"/>
      <w:lvlText w:val="o"/>
      <w:lvlJc w:val="left"/>
      <w:pPr>
        <w:ind w:left="3600" w:hanging="360"/>
      </w:pPr>
      <w:rPr>
        <w:rFonts w:ascii="Courier New" w:hAnsi="Courier New" w:hint="default"/>
      </w:rPr>
    </w:lvl>
    <w:lvl w:ilvl="5" w:tplc="43C8DB94">
      <w:start w:val="1"/>
      <w:numFmt w:val="bullet"/>
      <w:lvlText w:val=""/>
      <w:lvlJc w:val="left"/>
      <w:pPr>
        <w:ind w:left="4320" w:hanging="360"/>
      </w:pPr>
      <w:rPr>
        <w:rFonts w:ascii="Wingdings" w:hAnsi="Wingdings" w:hint="default"/>
      </w:rPr>
    </w:lvl>
    <w:lvl w:ilvl="6" w:tplc="4E581BB2">
      <w:start w:val="1"/>
      <w:numFmt w:val="bullet"/>
      <w:lvlText w:val=""/>
      <w:lvlJc w:val="left"/>
      <w:pPr>
        <w:ind w:left="5040" w:hanging="360"/>
      </w:pPr>
      <w:rPr>
        <w:rFonts w:ascii="Symbol" w:hAnsi="Symbol" w:hint="default"/>
      </w:rPr>
    </w:lvl>
    <w:lvl w:ilvl="7" w:tplc="BDD8BCCA">
      <w:start w:val="1"/>
      <w:numFmt w:val="bullet"/>
      <w:lvlText w:val="o"/>
      <w:lvlJc w:val="left"/>
      <w:pPr>
        <w:ind w:left="5760" w:hanging="360"/>
      </w:pPr>
      <w:rPr>
        <w:rFonts w:ascii="Courier New" w:hAnsi="Courier New" w:hint="default"/>
      </w:rPr>
    </w:lvl>
    <w:lvl w:ilvl="8" w:tplc="39922754">
      <w:start w:val="1"/>
      <w:numFmt w:val="bullet"/>
      <w:lvlText w:val=""/>
      <w:lvlJc w:val="left"/>
      <w:pPr>
        <w:ind w:left="6480" w:hanging="360"/>
      </w:pPr>
      <w:rPr>
        <w:rFonts w:ascii="Wingdings" w:hAnsi="Wingdings" w:hint="default"/>
      </w:rPr>
    </w:lvl>
  </w:abstractNum>
  <w:abstractNum w:abstractNumId="16" w15:restartNumberingAfterBreak="0">
    <w:nsid w:val="152D0522"/>
    <w:multiLevelType w:val="hybridMultilevel"/>
    <w:tmpl w:val="4E7A351C"/>
    <w:lvl w:ilvl="0" w:tplc="ED48729E">
      <w:start w:val="1"/>
      <w:numFmt w:val="decimal"/>
      <w:lvlText w:val="%1."/>
      <w:lvlJc w:val="left"/>
      <w:pPr>
        <w:ind w:left="720" w:hanging="360"/>
      </w:pPr>
    </w:lvl>
    <w:lvl w:ilvl="1" w:tplc="BBD8CC2C">
      <w:start w:val="1"/>
      <w:numFmt w:val="decimal"/>
      <w:lvlText w:val="%2."/>
      <w:lvlJc w:val="left"/>
      <w:pPr>
        <w:ind w:left="720" w:hanging="360"/>
      </w:pPr>
    </w:lvl>
    <w:lvl w:ilvl="2" w:tplc="4BA684DC">
      <w:start w:val="1"/>
      <w:numFmt w:val="decimal"/>
      <w:lvlText w:val="%3."/>
      <w:lvlJc w:val="left"/>
      <w:pPr>
        <w:ind w:left="720" w:hanging="360"/>
      </w:pPr>
    </w:lvl>
    <w:lvl w:ilvl="3" w:tplc="86F62306">
      <w:start w:val="1"/>
      <w:numFmt w:val="decimal"/>
      <w:lvlText w:val="%4."/>
      <w:lvlJc w:val="left"/>
      <w:pPr>
        <w:ind w:left="720" w:hanging="360"/>
      </w:pPr>
    </w:lvl>
    <w:lvl w:ilvl="4" w:tplc="EAF8AB2E">
      <w:start w:val="1"/>
      <w:numFmt w:val="decimal"/>
      <w:lvlText w:val="%5."/>
      <w:lvlJc w:val="left"/>
      <w:pPr>
        <w:ind w:left="720" w:hanging="360"/>
      </w:pPr>
    </w:lvl>
    <w:lvl w:ilvl="5" w:tplc="99F274DC">
      <w:start w:val="1"/>
      <w:numFmt w:val="decimal"/>
      <w:lvlText w:val="%6."/>
      <w:lvlJc w:val="left"/>
      <w:pPr>
        <w:ind w:left="720" w:hanging="360"/>
      </w:pPr>
    </w:lvl>
    <w:lvl w:ilvl="6" w:tplc="9ADA4840">
      <w:start w:val="1"/>
      <w:numFmt w:val="decimal"/>
      <w:lvlText w:val="%7."/>
      <w:lvlJc w:val="left"/>
      <w:pPr>
        <w:ind w:left="720" w:hanging="360"/>
      </w:pPr>
    </w:lvl>
    <w:lvl w:ilvl="7" w:tplc="42566832">
      <w:start w:val="1"/>
      <w:numFmt w:val="decimal"/>
      <w:lvlText w:val="%8."/>
      <w:lvlJc w:val="left"/>
      <w:pPr>
        <w:ind w:left="720" w:hanging="360"/>
      </w:pPr>
    </w:lvl>
    <w:lvl w:ilvl="8" w:tplc="DBDC341A">
      <w:start w:val="1"/>
      <w:numFmt w:val="decimal"/>
      <w:lvlText w:val="%9."/>
      <w:lvlJc w:val="left"/>
      <w:pPr>
        <w:ind w:left="720" w:hanging="360"/>
      </w:pPr>
    </w:lvl>
  </w:abstractNum>
  <w:abstractNum w:abstractNumId="17" w15:restartNumberingAfterBreak="0">
    <w:nsid w:val="161277C7"/>
    <w:multiLevelType w:val="hybridMultilevel"/>
    <w:tmpl w:val="7098D430"/>
    <w:lvl w:ilvl="0" w:tplc="C380A81A">
      <w:numFmt w:val="bullet"/>
      <w:lvlText w:val="-"/>
      <w:lvlJc w:val="left"/>
      <w:pPr>
        <w:ind w:left="720" w:hanging="360"/>
      </w:pPr>
      <w:rPr>
        <w:rFonts w:ascii="Times New Roman" w:eastAsia="Calibr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70E3A21"/>
    <w:multiLevelType w:val="hybridMultilevel"/>
    <w:tmpl w:val="DFE278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9A21E2B"/>
    <w:multiLevelType w:val="hybridMultilevel"/>
    <w:tmpl w:val="3E06C0AA"/>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BDD185E"/>
    <w:multiLevelType w:val="hybridMultilevel"/>
    <w:tmpl w:val="E7288B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C8D7E7C"/>
    <w:multiLevelType w:val="hybridMultilevel"/>
    <w:tmpl w:val="D1C86EA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CA515B9"/>
    <w:multiLevelType w:val="hybridMultilevel"/>
    <w:tmpl w:val="669A9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E863C11"/>
    <w:multiLevelType w:val="hybridMultilevel"/>
    <w:tmpl w:val="3314104A"/>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1F3B5A8E"/>
    <w:multiLevelType w:val="multilevel"/>
    <w:tmpl w:val="983CB2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12C53EA"/>
    <w:multiLevelType w:val="hybridMultilevel"/>
    <w:tmpl w:val="60B0A452"/>
    <w:lvl w:ilvl="0" w:tplc="5BBA772E">
      <w:start w:val="1"/>
      <w:numFmt w:val="decimal"/>
      <w:lvlText w:val="%1."/>
      <w:lvlJc w:val="left"/>
      <w:pPr>
        <w:ind w:left="720" w:hanging="360"/>
      </w:pPr>
      <w:rPr>
        <w:rFonts w:asciiTheme="minorHAnsi" w:eastAsiaTheme="minorHAnsi" w:hAnsiTheme="minorHAnsi" w:cstheme="minorBidi"/>
      </w:rPr>
    </w:lvl>
    <w:lvl w:ilvl="1" w:tplc="ADC4CBAC">
      <w:start w:val="1"/>
      <w:numFmt w:val="bullet"/>
      <w:lvlText w:val="o"/>
      <w:lvlJc w:val="left"/>
      <w:pPr>
        <w:ind w:left="1440" w:hanging="360"/>
      </w:pPr>
      <w:rPr>
        <w:rFonts w:ascii="Courier New" w:hAnsi="Courier New" w:hint="default"/>
      </w:rPr>
    </w:lvl>
    <w:lvl w:ilvl="2" w:tplc="35CAF58A">
      <w:start w:val="1"/>
      <w:numFmt w:val="bullet"/>
      <w:lvlText w:val=""/>
      <w:lvlJc w:val="left"/>
      <w:pPr>
        <w:ind w:left="2160" w:hanging="360"/>
      </w:pPr>
      <w:rPr>
        <w:rFonts w:ascii="Wingdings" w:hAnsi="Wingdings" w:hint="default"/>
      </w:rPr>
    </w:lvl>
    <w:lvl w:ilvl="3" w:tplc="4030D754">
      <w:start w:val="1"/>
      <w:numFmt w:val="bullet"/>
      <w:lvlText w:val=""/>
      <w:lvlJc w:val="left"/>
      <w:pPr>
        <w:ind w:left="2880" w:hanging="360"/>
      </w:pPr>
      <w:rPr>
        <w:rFonts w:ascii="Symbol" w:hAnsi="Symbol" w:hint="default"/>
      </w:rPr>
    </w:lvl>
    <w:lvl w:ilvl="4" w:tplc="3DFE830C">
      <w:start w:val="1"/>
      <w:numFmt w:val="bullet"/>
      <w:lvlText w:val="o"/>
      <w:lvlJc w:val="left"/>
      <w:pPr>
        <w:ind w:left="3600" w:hanging="360"/>
      </w:pPr>
      <w:rPr>
        <w:rFonts w:ascii="Courier New" w:hAnsi="Courier New" w:hint="default"/>
      </w:rPr>
    </w:lvl>
    <w:lvl w:ilvl="5" w:tplc="CE843CA0">
      <w:start w:val="1"/>
      <w:numFmt w:val="bullet"/>
      <w:lvlText w:val=""/>
      <w:lvlJc w:val="left"/>
      <w:pPr>
        <w:ind w:left="4320" w:hanging="360"/>
      </w:pPr>
      <w:rPr>
        <w:rFonts w:ascii="Wingdings" w:hAnsi="Wingdings" w:hint="default"/>
      </w:rPr>
    </w:lvl>
    <w:lvl w:ilvl="6" w:tplc="2E305A44">
      <w:start w:val="1"/>
      <w:numFmt w:val="bullet"/>
      <w:lvlText w:val=""/>
      <w:lvlJc w:val="left"/>
      <w:pPr>
        <w:ind w:left="5040" w:hanging="360"/>
      </w:pPr>
      <w:rPr>
        <w:rFonts w:ascii="Symbol" w:hAnsi="Symbol" w:hint="default"/>
      </w:rPr>
    </w:lvl>
    <w:lvl w:ilvl="7" w:tplc="5C72D878">
      <w:start w:val="1"/>
      <w:numFmt w:val="bullet"/>
      <w:lvlText w:val="o"/>
      <w:lvlJc w:val="left"/>
      <w:pPr>
        <w:ind w:left="5760" w:hanging="360"/>
      </w:pPr>
      <w:rPr>
        <w:rFonts w:ascii="Courier New" w:hAnsi="Courier New" w:hint="default"/>
      </w:rPr>
    </w:lvl>
    <w:lvl w:ilvl="8" w:tplc="0FA8EEC0">
      <w:start w:val="1"/>
      <w:numFmt w:val="bullet"/>
      <w:lvlText w:val=""/>
      <w:lvlJc w:val="left"/>
      <w:pPr>
        <w:ind w:left="6480" w:hanging="360"/>
      </w:pPr>
      <w:rPr>
        <w:rFonts w:ascii="Wingdings" w:hAnsi="Wingdings" w:hint="default"/>
      </w:rPr>
    </w:lvl>
  </w:abstractNum>
  <w:abstractNum w:abstractNumId="26" w15:restartNumberingAfterBreak="0">
    <w:nsid w:val="21698721"/>
    <w:multiLevelType w:val="hybridMultilevel"/>
    <w:tmpl w:val="13A0565C"/>
    <w:lvl w:ilvl="0" w:tplc="7B141AD6">
      <w:start w:val="1"/>
      <w:numFmt w:val="decimal"/>
      <w:lvlText w:val="%1."/>
      <w:lvlJc w:val="left"/>
      <w:pPr>
        <w:ind w:left="720" w:hanging="360"/>
      </w:pPr>
    </w:lvl>
    <w:lvl w:ilvl="1" w:tplc="C4FEFE86">
      <w:start w:val="1"/>
      <w:numFmt w:val="lowerLetter"/>
      <w:lvlText w:val="%2."/>
      <w:lvlJc w:val="left"/>
      <w:pPr>
        <w:ind w:left="1440" w:hanging="360"/>
      </w:pPr>
    </w:lvl>
    <w:lvl w:ilvl="2" w:tplc="F2309B40">
      <w:start w:val="1"/>
      <w:numFmt w:val="lowerRoman"/>
      <w:lvlText w:val="%3."/>
      <w:lvlJc w:val="right"/>
      <w:pPr>
        <w:ind w:left="2160" w:hanging="180"/>
      </w:pPr>
    </w:lvl>
    <w:lvl w:ilvl="3" w:tplc="4BEAE818">
      <w:start w:val="1"/>
      <w:numFmt w:val="decimal"/>
      <w:lvlText w:val="%4."/>
      <w:lvlJc w:val="left"/>
      <w:pPr>
        <w:ind w:left="2880" w:hanging="360"/>
      </w:pPr>
    </w:lvl>
    <w:lvl w:ilvl="4" w:tplc="8DA8F2EA">
      <w:start w:val="1"/>
      <w:numFmt w:val="lowerLetter"/>
      <w:lvlText w:val="%5."/>
      <w:lvlJc w:val="left"/>
      <w:pPr>
        <w:ind w:left="3600" w:hanging="360"/>
      </w:pPr>
    </w:lvl>
    <w:lvl w:ilvl="5" w:tplc="948A09AC">
      <w:start w:val="1"/>
      <w:numFmt w:val="lowerRoman"/>
      <w:lvlText w:val="%6."/>
      <w:lvlJc w:val="right"/>
      <w:pPr>
        <w:ind w:left="4320" w:hanging="180"/>
      </w:pPr>
    </w:lvl>
    <w:lvl w:ilvl="6" w:tplc="6C0C8E8E">
      <w:start w:val="1"/>
      <w:numFmt w:val="decimal"/>
      <w:lvlText w:val="%7."/>
      <w:lvlJc w:val="left"/>
      <w:pPr>
        <w:ind w:left="5040" w:hanging="360"/>
      </w:pPr>
    </w:lvl>
    <w:lvl w:ilvl="7" w:tplc="45AC273E">
      <w:start w:val="1"/>
      <w:numFmt w:val="lowerLetter"/>
      <w:lvlText w:val="%8."/>
      <w:lvlJc w:val="left"/>
      <w:pPr>
        <w:ind w:left="5760" w:hanging="360"/>
      </w:pPr>
    </w:lvl>
    <w:lvl w:ilvl="8" w:tplc="D16A598A">
      <w:start w:val="1"/>
      <w:numFmt w:val="lowerRoman"/>
      <w:lvlText w:val="%9."/>
      <w:lvlJc w:val="right"/>
      <w:pPr>
        <w:ind w:left="6480" w:hanging="180"/>
      </w:pPr>
    </w:lvl>
  </w:abstractNum>
  <w:abstractNum w:abstractNumId="27" w15:restartNumberingAfterBreak="0">
    <w:nsid w:val="247C5D9D"/>
    <w:multiLevelType w:val="hybridMultilevel"/>
    <w:tmpl w:val="CF0C8E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50BD6B"/>
    <w:multiLevelType w:val="hybridMultilevel"/>
    <w:tmpl w:val="DBEEDBC6"/>
    <w:lvl w:ilvl="0" w:tplc="CEC4ADF0">
      <w:start w:val="1"/>
      <w:numFmt w:val="bullet"/>
      <w:lvlText w:val="-"/>
      <w:lvlJc w:val="left"/>
      <w:pPr>
        <w:ind w:left="720" w:hanging="360"/>
      </w:pPr>
      <w:rPr>
        <w:rFonts w:ascii="Aptos" w:hAnsi="Aptos" w:hint="default"/>
      </w:rPr>
    </w:lvl>
    <w:lvl w:ilvl="1" w:tplc="82BE4CCA">
      <w:start w:val="1"/>
      <w:numFmt w:val="bullet"/>
      <w:lvlText w:val="o"/>
      <w:lvlJc w:val="left"/>
      <w:pPr>
        <w:ind w:left="1440" w:hanging="360"/>
      </w:pPr>
      <w:rPr>
        <w:rFonts w:ascii="Courier New" w:hAnsi="Courier New" w:hint="default"/>
      </w:rPr>
    </w:lvl>
    <w:lvl w:ilvl="2" w:tplc="357072F0">
      <w:start w:val="1"/>
      <w:numFmt w:val="bullet"/>
      <w:lvlText w:val=""/>
      <w:lvlJc w:val="left"/>
      <w:pPr>
        <w:ind w:left="2160" w:hanging="360"/>
      </w:pPr>
      <w:rPr>
        <w:rFonts w:ascii="Wingdings" w:hAnsi="Wingdings" w:hint="default"/>
      </w:rPr>
    </w:lvl>
    <w:lvl w:ilvl="3" w:tplc="DA1E351C">
      <w:start w:val="1"/>
      <w:numFmt w:val="bullet"/>
      <w:lvlText w:val=""/>
      <w:lvlJc w:val="left"/>
      <w:pPr>
        <w:ind w:left="2880" w:hanging="360"/>
      </w:pPr>
      <w:rPr>
        <w:rFonts w:ascii="Symbol" w:hAnsi="Symbol" w:hint="default"/>
      </w:rPr>
    </w:lvl>
    <w:lvl w:ilvl="4" w:tplc="C192990C">
      <w:start w:val="1"/>
      <w:numFmt w:val="bullet"/>
      <w:lvlText w:val="o"/>
      <w:lvlJc w:val="left"/>
      <w:pPr>
        <w:ind w:left="3600" w:hanging="360"/>
      </w:pPr>
      <w:rPr>
        <w:rFonts w:ascii="Courier New" w:hAnsi="Courier New" w:hint="default"/>
      </w:rPr>
    </w:lvl>
    <w:lvl w:ilvl="5" w:tplc="D0CCB786">
      <w:start w:val="1"/>
      <w:numFmt w:val="bullet"/>
      <w:lvlText w:val=""/>
      <w:lvlJc w:val="left"/>
      <w:pPr>
        <w:ind w:left="4320" w:hanging="360"/>
      </w:pPr>
      <w:rPr>
        <w:rFonts w:ascii="Wingdings" w:hAnsi="Wingdings" w:hint="default"/>
      </w:rPr>
    </w:lvl>
    <w:lvl w:ilvl="6" w:tplc="30580B9A">
      <w:start w:val="1"/>
      <w:numFmt w:val="bullet"/>
      <w:lvlText w:val=""/>
      <w:lvlJc w:val="left"/>
      <w:pPr>
        <w:ind w:left="5040" w:hanging="360"/>
      </w:pPr>
      <w:rPr>
        <w:rFonts w:ascii="Symbol" w:hAnsi="Symbol" w:hint="default"/>
      </w:rPr>
    </w:lvl>
    <w:lvl w:ilvl="7" w:tplc="75BC06E4">
      <w:start w:val="1"/>
      <w:numFmt w:val="bullet"/>
      <w:lvlText w:val="o"/>
      <w:lvlJc w:val="left"/>
      <w:pPr>
        <w:ind w:left="5760" w:hanging="360"/>
      </w:pPr>
      <w:rPr>
        <w:rFonts w:ascii="Courier New" w:hAnsi="Courier New" w:hint="default"/>
      </w:rPr>
    </w:lvl>
    <w:lvl w:ilvl="8" w:tplc="BE94DA92">
      <w:start w:val="1"/>
      <w:numFmt w:val="bullet"/>
      <w:lvlText w:val=""/>
      <w:lvlJc w:val="left"/>
      <w:pPr>
        <w:ind w:left="6480" w:hanging="360"/>
      </w:pPr>
      <w:rPr>
        <w:rFonts w:ascii="Wingdings" w:hAnsi="Wingdings" w:hint="default"/>
      </w:rPr>
    </w:lvl>
  </w:abstractNum>
  <w:abstractNum w:abstractNumId="29" w15:restartNumberingAfterBreak="0">
    <w:nsid w:val="283230AB"/>
    <w:multiLevelType w:val="hybridMultilevel"/>
    <w:tmpl w:val="32228B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8A50405"/>
    <w:multiLevelType w:val="hybridMultilevel"/>
    <w:tmpl w:val="F500B994"/>
    <w:lvl w:ilvl="0" w:tplc="1CB01296">
      <w:start w:val="1"/>
      <w:numFmt w:val="decimal"/>
      <w:lvlText w:val="%1."/>
      <w:lvlJc w:val="left"/>
      <w:pPr>
        <w:ind w:left="360" w:hanging="360"/>
      </w:pPr>
      <w:rPr>
        <w:rFonts w:ascii="Times New Roman" w:eastAsiaTheme="minorHAnsi" w:hAnsi="Times New Roman" w:cs="Times New Roman"/>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28D07A70"/>
    <w:multiLevelType w:val="hybridMultilevel"/>
    <w:tmpl w:val="F5AC5B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2A000AC2"/>
    <w:multiLevelType w:val="hybridMultilevel"/>
    <w:tmpl w:val="D8DAA1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A73284E"/>
    <w:multiLevelType w:val="hybridMultilevel"/>
    <w:tmpl w:val="0C125B70"/>
    <w:lvl w:ilvl="0" w:tplc="CC38399A">
      <w:start w:val="1"/>
      <w:numFmt w:val="bullet"/>
      <w:pStyle w:val="ListParagraph"/>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2AB2F67E"/>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D11D73F"/>
    <w:multiLevelType w:val="hybridMultilevel"/>
    <w:tmpl w:val="8CC841C0"/>
    <w:lvl w:ilvl="0" w:tplc="D17AB2FE">
      <w:start w:val="4"/>
      <w:numFmt w:val="decimal"/>
      <w:lvlText w:val="%1"/>
      <w:lvlJc w:val="left"/>
      <w:pPr>
        <w:ind w:left="432" w:hanging="360"/>
      </w:pPr>
    </w:lvl>
    <w:lvl w:ilvl="1" w:tplc="3C3AE7FA">
      <w:start w:val="1"/>
      <w:numFmt w:val="lowerLetter"/>
      <w:lvlText w:val="%2."/>
      <w:lvlJc w:val="left"/>
      <w:pPr>
        <w:ind w:left="1440" w:hanging="360"/>
      </w:pPr>
    </w:lvl>
    <w:lvl w:ilvl="2" w:tplc="09F42BFC">
      <w:start w:val="1"/>
      <w:numFmt w:val="lowerRoman"/>
      <w:lvlText w:val="%3."/>
      <w:lvlJc w:val="right"/>
      <w:pPr>
        <w:ind w:left="2160" w:hanging="180"/>
      </w:pPr>
    </w:lvl>
    <w:lvl w:ilvl="3" w:tplc="D2F6B342">
      <w:start w:val="1"/>
      <w:numFmt w:val="decimal"/>
      <w:lvlText w:val="%4."/>
      <w:lvlJc w:val="left"/>
      <w:pPr>
        <w:ind w:left="2880" w:hanging="360"/>
      </w:pPr>
    </w:lvl>
    <w:lvl w:ilvl="4" w:tplc="9288D3D6">
      <w:start w:val="1"/>
      <w:numFmt w:val="lowerLetter"/>
      <w:lvlText w:val="%5."/>
      <w:lvlJc w:val="left"/>
      <w:pPr>
        <w:ind w:left="3600" w:hanging="360"/>
      </w:pPr>
    </w:lvl>
    <w:lvl w:ilvl="5" w:tplc="37DA0AFE">
      <w:start w:val="1"/>
      <w:numFmt w:val="lowerRoman"/>
      <w:lvlText w:val="%6."/>
      <w:lvlJc w:val="right"/>
      <w:pPr>
        <w:ind w:left="4320" w:hanging="180"/>
      </w:pPr>
    </w:lvl>
    <w:lvl w:ilvl="6" w:tplc="FC68AF32">
      <w:start w:val="1"/>
      <w:numFmt w:val="decimal"/>
      <w:lvlText w:val="%7."/>
      <w:lvlJc w:val="left"/>
      <w:pPr>
        <w:ind w:left="5040" w:hanging="360"/>
      </w:pPr>
    </w:lvl>
    <w:lvl w:ilvl="7" w:tplc="997A6336">
      <w:start w:val="1"/>
      <w:numFmt w:val="lowerLetter"/>
      <w:lvlText w:val="%8."/>
      <w:lvlJc w:val="left"/>
      <w:pPr>
        <w:ind w:left="5760" w:hanging="360"/>
      </w:pPr>
    </w:lvl>
    <w:lvl w:ilvl="8" w:tplc="780E335A">
      <w:start w:val="1"/>
      <w:numFmt w:val="lowerRoman"/>
      <w:lvlText w:val="%9."/>
      <w:lvlJc w:val="right"/>
      <w:pPr>
        <w:ind w:left="6480" w:hanging="180"/>
      </w:pPr>
    </w:lvl>
  </w:abstractNum>
  <w:abstractNum w:abstractNumId="3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2DDF0199"/>
    <w:multiLevelType w:val="hybridMultilevel"/>
    <w:tmpl w:val="EDA8FDBE"/>
    <w:lvl w:ilvl="0" w:tplc="00E806EE">
      <w:start w:val="1"/>
      <w:numFmt w:val="bullet"/>
      <w:lvlText w:val=""/>
      <w:lvlJc w:val="left"/>
      <w:pPr>
        <w:ind w:left="720" w:hanging="360"/>
      </w:pPr>
      <w:rPr>
        <w:rFonts w:ascii="Symbol" w:hAnsi="Symbol"/>
      </w:rPr>
    </w:lvl>
    <w:lvl w:ilvl="1" w:tplc="242C161E">
      <w:start w:val="1"/>
      <w:numFmt w:val="bullet"/>
      <w:lvlText w:val=""/>
      <w:lvlJc w:val="left"/>
      <w:pPr>
        <w:ind w:left="720" w:hanging="360"/>
      </w:pPr>
      <w:rPr>
        <w:rFonts w:ascii="Symbol" w:hAnsi="Symbol"/>
      </w:rPr>
    </w:lvl>
    <w:lvl w:ilvl="2" w:tplc="DA1019B8">
      <w:start w:val="1"/>
      <w:numFmt w:val="bullet"/>
      <w:lvlText w:val=""/>
      <w:lvlJc w:val="left"/>
      <w:pPr>
        <w:ind w:left="720" w:hanging="360"/>
      </w:pPr>
      <w:rPr>
        <w:rFonts w:ascii="Symbol" w:hAnsi="Symbol"/>
      </w:rPr>
    </w:lvl>
    <w:lvl w:ilvl="3" w:tplc="F7D0716E">
      <w:start w:val="1"/>
      <w:numFmt w:val="bullet"/>
      <w:lvlText w:val=""/>
      <w:lvlJc w:val="left"/>
      <w:pPr>
        <w:ind w:left="720" w:hanging="360"/>
      </w:pPr>
      <w:rPr>
        <w:rFonts w:ascii="Symbol" w:hAnsi="Symbol"/>
      </w:rPr>
    </w:lvl>
    <w:lvl w:ilvl="4" w:tplc="06D45536">
      <w:start w:val="1"/>
      <w:numFmt w:val="bullet"/>
      <w:lvlText w:val=""/>
      <w:lvlJc w:val="left"/>
      <w:pPr>
        <w:ind w:left="720" w:hanging="360"/>
      </w:pPr>
      <w:rPr>
        <w:rFonts w:ascii="Symbol" w:hAnsi="Symbol"/>
      </w:rPr>
    </w:lvl>
    <w:lvl w:ilvl="5" w:tplc="853E335A">
      <w:start w:val="1"/>
      <w:numFmt w:val="bullet"/>
      <w:lvlText w:val=""/>
      <w:lvlJc w:val="left"/>
      <w:pPr>
        <w:ind w:left="720" w:hanging="360"/>
      </w:pPr>
      <w:rPr>
        <w:rFonts w:ascii="Symbol" w:hAnsi="Symbol"/>
      </w:rPr>
    </w:lvl>
    <w:lvl w:ilvl="6" w:tplc="4E3A6794">
      <w:start w:val="1"/>
      <w:numFmt w:val="bullet"/>
      <w:lvlText w:val=""/>
      <w:lvlJc w:val="left"/>
      <w:pPr>
        <w:ind w:left="720" w:hanging="360"/>
      </w:pPr>
      <w:rPr>
        <w:rFonts w:ascii="Symbol" w:hAnsi="Symbol"/>
      </w:rPr>
    </w:lvl>
    <w:lvl w:ilvl="7" w:tplc="297A898A">
      <w:start w:val="1"/>
      <w:numFmt w:val="bullet"/>
      <w:lvlText w:val=""/>
      <w:lvlJc w:val="left"/>
      <w:pPr>
        <w:ind w:left="720" w:hanging="360"/>
      </w:pPr>
      <w:rPr>
        <w:rFonts w:ascii="Symbol" w:hAnsi="Symbol"/>
      </w:rPr>
    </w:lvl>
    <w:lvl w:ilvl="8" w:tplc="158858C4">
      <w:start w:val="1"/>
      <w:numFmt w:val="bullet"/>
      <w:lvlText w:val=""/>
      <w:lvlJc w:val="left"/>
      <w:pPr>
        <w:ind w:left="720" w:hanging="360"/>
      </w:pPr>
      <w:rPr>
        <w:rFonts w:ascii="Symbol" w:hAnsi="Symbol"/>
      </w:rPr>
    </w:lvl>
  </w:abstractNum>
  <w:abstractNum w:abstractNumId="38" w15:restartNumberingAfterBreak="0">
    <w:nsid w:val="2F992E6A"/>
    <w:multiLevelType w:val="hybridMultilevel"/>
    <w:tmpl w:val="326E25E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11A78B3"/>
    <w:multiLevelType w:val="hybridMultilevel"/>
    <w:tmpl w:val="86DE5966"/>
    <w:lvl w:ilvl="0" w:tplc="255EE338">
      <w:numFmt w:val="bullet"/>
      <w:lvlText w:val="•"/>
      <w:lvlJc w:val="left"/>
      <w:pPr>
        <w:ind w:left="1146" w:hanging="720"/>
      </w:pPr>
      <w:rPr>
        <w:rFonts w:ascii="Times New Roman" w:eastAsiaTheme="minorHAnsi"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0" w15:restartNumberingAfterBreak="0">
    <w:nsid w:val="31444648"/>
    <w:multiLevelType w:val="hybridMultilevel"/>
    <w:tmpl w:val="959868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14CB68F"/>
    <w:multiLevelType w:val="hybridMultilevel"/>
    <w:tmpl w:val="5E86AC76"/>
    <w:lvl w:ilvl="0" w:tplc="C868F30C">
      <w:start w:val="1"/>
      <w:numFmt w:val="bullet"/>
      <w:lvlText w:val="-"/>
      <w:lvlJc w:val="left"/>
      <w:pPr>
        <w:ind w:left="720" w:hanging="360"/>
      </w:pPr>
      <w:rPr>
        <w:rFonts w:ascii="Aptos" w:hAnsi="Aptos" w:hint="default"/>
      </w:rPr>
    </w:lvl>
    <w:lvl w:ilvl="1" w:tplc="B8A2A846">
      <w:start w:val="1"/>
      <w:numFmt w:val="bullet"/>
      <w:lvlText w:val="o"/>
      <w:lvlJc w:val="left"/>
      <w:pPr>
        <w:ind w:left="1440" w:hanging="360"/>
      </w:pPr>
      <w:rPr>
        <w:rFonts w:ascii="Courier New" w:hAnsi="Courier New" w:hint="default"/>
      </w:rPr>
    </w:lvl>
    <w:lvl w:ilvl="2" w:tplc="2AD23314">
      <w:start w:val="1"/>
      <w:numFmt w:val="bullet"/>
      <w:lvlText w:val=""/>
      <w:lvlJc w:val="left"/>
      <w:pPr>
        <w:ind w:left="2160" w:hanging="360"/>
      </w:pPr>
      <w:rPr>
        <w:rFonts w:ascii="Wingdings" w:hAnsi="Wingdings" w:hint="default"/>
      </w:rPr>
    </w:lvl>
    <w:lvl w:ilvl="3" w:tplc="DDB02D14">
      <w:start w:val="1"/>
      <w:numFmt w:val="bullet"/>
      <w:lvlText w:val=""/>
      <w:lvlJc w:val="left"/>
      <w:pPr>
        <w:ind w:left="2880" w:hanging="360"/>
      </w:pPr>
      <w:rPr>
        <w:rFonts w:ascii="Symbol" w:hAnsi="Symbol" w:hint="default"/>
      </w:rPr>
    </w:lvl>
    <w:lvl w:ilvl="4" w:tplc="AA2844F0">
      <w:start w:val="1"/>
      <w:numFmt w:val="bullet"/>
      <w:lvlText w:val="o"/>
      <w:lvlJc w:val="left"/>
      <w:pPr>
        <w:ind w:left="3600" w:hanging="360"/>
      </w:pPr>
      <w:rPr>
        <w:rFonts w:ascii="Courier New" w:hAnsi="Courier New" w:hint="default"/>
      </w:rPr>
    </w:lvl>
    <w:lvl w:ilvl="5" w:tplc="2CEEFA1C">
      <w:start w:val="1"/>
      <w:numFmt w:val="bullet"/>
      <w:lvlText w:val=""/>
      <w:lvlJc w:val="left"/>
      <w:pPr>
        <w:ind w:left="4320" w:hanging="360"/>
      </w:pPr>
      <w:rPr>
        <w:rFonts w:ascii="Wingdings" w:hAnsi="Wingdings" w:hint="default"/>
      </w:rPr>
    </w:lvl>
    <w:lvl w:ilvl="6" w:tplc="8F8A18DC">
      <w:start w:val="1"/>
      <w:numFmt w:val="bullet"/>
      <w:lvlText w:val=""/>
      <w:lvlJc w:val="left"/>
      <w:pPr>
        <w:ind w:left="5040" w:hanging="360"/>
      </w:pPr>
      <w:rPr>
        <w:rFonts w:ascii="Symbol" w:hAnsi="Symbol" w:hint="default"/>
      </w:rPr>
    </w:lvl>
    <w:lvl w:ilvl="7" w:tplc="15E435BE">
      <w:start w:val="1"/>
      <w:numFmt w:val="bullet"/>
      <w:lvlText w:val="o"/>
      <w:lvlJc w:val="left"/>
      <w:pPr>
        <w:ind w:left="5760" w:hanging="360"/>
      </w:pPr>
      <w:rPr>
        <w:rFonts w:ascii="Courier New" w:hAnsi="Courier New" w:hint="default"/>
      </w:rPr>
    </w:lvl>
    <w:lvl w:ilvl="8" w:tplc="0EBC9508">
      <w:start w:val="1"/>
      <w:numFmt w:val="bullet"/>
      <w:lvlText w:val=""/>
      <w:lvlJc w:val="left"/>
      <w:pPr>
        <w:ind w:left="6480" w:hanging="360"/>
      </w:pPr>
      <w:rPr>
        <w:rFonts w:ascii="Wingdings" w:hAnsi="Wingdings" w:hint="default"/>
      </w:rPr>
    </w:lvl>
  </w:abstractNum>
  <w:abstractNum w:abstractNumId="42" w15:restartNumberingAfterBreak="0">
    <w:nsid w:val="320117E5"/>
    <w:multiLevelType w:val="hybridMultilevel"/>
    <w:tmpl w:val="CF0C8E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27B272E"/>
    <w:multiLevelType w:val="hybridMultilevel"/>
    <w:tmpl w:val="EE2CB418"/>
    <w:lvl w:ilvl="0" w:tplc="90162BDE">
      <w:start w:val="1"/>
      <w:numFmt w:val="bullet"/>
      <w:lvlText w:val="-"/>
      <w:lvlJc w:val="left"/>
      <w:pPr>
        <w:ind w:left="720" w:hanging="360"/>
      </w:pPr>
      <w:rPr>
        <w:rFonts w:ascii="Aptos" w:hAnsi="Aptos" w:hint="default"/>
      </w:rPr>
    </w:lvl>
    <w:lvl w:ilvl="1" w:tplc="394C9124">
      <w:start w:val="1"/>
      <w:numFmt w:val="bullet"/>
      <w:lvlText w:val="o"/>
      <w:lvlJc w:val="left"/>
      <w:pPr>
        <w:ind w:left="1440" w:hanging="360"/>
      </w:pPr>
      <w:rPr>
        <w:rFonts w:ascii="Courier New" w:hAnsi="Courier New" w:hint="default"/>
      </w:rPr>
    </w:lvl>
    <w:lvl w:ilvl="2" w:tplc="98AEBDD2">
      <w:start w:val="1"/>
      <w:numFmt w:val="bullet"/>
      <w:lvlText w:val=""/>
      <w:lvlJc w:val="left"/>
      <w:pPr>
        <w:ind w:left="2160" w:hanging="360"/>
      </w:pPr>
      <w:rPr>
        <w:rFonts w:ascii="Wingdings" w:hAnsi="Wingdings" w:hint="default"/>
      </w:rPr>
    </w:lvl>
    <w:lvl w:ilvl="3" w:tplc="984893E0">
      <w:start w:val="1"/>
      <w:numFmt w:val="bullet"/>
      <w:lvlText w:val=""/>
      <w:lvlJc w:val="left"/>
      <w:pPr>
        <w:ind w:left="2880" w:hanging="360"/>
      </w:pPr>
      <w:rPr>
        <w:rFonts w:ascii="Symbol" w:hAnsi="Symbol" w:hint="default"/>
      </w:rPr>
    </w:lvl>
    <w:lvl w:ilvl="4" w:tplc="9C8ADE14">
      <w:start w:val="1"/>
      <w:numFmt w:val="bullet"/>
      <w:lvlText w:val="o"/>
      <w:lvlJc w:val="left"/>
      <w:pPr>
        <w:ind w:left="3600" w:hanging="360"/>
      </w:pPr>
      <w:rPr>
        <w:rFonts w:ascii="Courier New" w:hAnsi="Courier New" w:hint="default"/>
      </w:rPr>
    </w:lvl>
    <w:lvl w:ilvl="5" w:tplc="64A80A26">
      <w:start w:val="1"/>
      <w:numFmt w:val="bullet"/>
      <w:lvlText w:val=""/>
      <w:lvlJc w:val="left"/>
      <w:pPr>
        <w:ind w:left="4320" w:hanging="360"/>
      </w:pPr>
      <w:rPr>
        <w:rFonts w:ascii="Wingdings" w:hAnsi="Wingdings" w:hint="default"/>
      </w:rPr>
    </w:lvl>
    <w:lvl w:ilvl="6" w:tplc="A33600CA">
      <w:start w:val="1"/>
      <w:numFmt w:val="bullet"/>
      <w:lvlText w:val=""/>
      <w:lvlJc w:val="left"/>
      <w:pPr>
        <w:ind w:left="5040" w:hanging="360"/>
      </w:pPr>
      <w:rPr>
        <w:rFonts w:ascii="Symbol" w:hAnsi="Symbol" w:hint="default"/>
      </w:rPr>
    </w:lvl>
    <w:lvl w:ilvl="7" w:tplc="C43490B0">
      <w:start w:val="1"/>
      <w:numFmt w:val="bullet"/>
      <w:lvlText w:val="o"/>
      <w:lvlJc w:val="left"/>
      <w:pPr>
        <w:ind w:left="5760" w:hanging="360"/>
      </w:pPr>
      <w:rPr>
        <w:rFonts w:ascii="Courier New" w:hAnsi="Courier New" w:hint="default"/>
      </w:rPr>
    </w:lvl>
    <w:lvl w:ilvl="8" w:tplc="4E6CF9C4">
      <w:start w:val="1"/>
      <w:numFmt w:val="bullet"/>
      <w:lvlText w:val=""/>
      <w:lvlJc w:val="left"/>
      <w:pPr>
        <w:ind w:left="6480" w:hanging="360"/>
      </w:pPr>
      <w:rPr>
        <w:rFonts w:ascii="Wingdings" w:hAnsi="Wingdings" w:hint="default"/>
      </w:rPr>
    </w:lvl>
  </w:abstractNum>
  <w:abstractNum w:abstractNumId="44" w15:restartNumberingAfterBreak="0">
    <w:nsid w:val="32B34638"/>
    <w:multiLevelType w:val="multilevel"/>
    <w:tmpl w:val="39001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3AA3C16"/>
    <w:multiLevelType w:val="multilevel"/>
    <w:tmpl w:val="77C2E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3B90F06"/>
    <w:multiLevelType w:val="hybridMultilevel"/>
    <w:tmpl w:val="1BCA7FAA"/>
    <w:lvl w:ilvl="0" w:tplc="162A88D8">
      <w:numFmt w:val="bullet"/>
      <w:lvlText w:val=""/>
      <w:lvlJc w:val="left"/>
      <w:pPr>
        <w:ind w:left="360" w:hanging="360"/>
      </w:pPr>
      <w:rPr>
        <w:rFonts w:ascii="Symbol" w:eastAsia="Symbol" w:hAnsi="Symbol" w:cs="Symbol" w:hint="default"/>
        <w:b w:val="0"/>
        <w:bCs w:val="0"/>
        <w:i w:val="0"/>
        <w:iCs w:val="0"/>
        <w:spacing w:val="0"/>
        <w:w w:val="100"/>
        <w:sz w:val="24"/>
        <w:szCs w:val="24"/>
        <w:lang w:val="en-US" w:eastAsia="en-US" w:bidi="ar-SA"/>
      </w:rPr>
    </w:lvl>
    <w:lvl w:ilvl="1" w:tplc="456E223A">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2" w:tplc="6E6A3E42">
      <w:numFmt w:val="bullet"/>
      <w:lvlText w:val="•"/>
      <w:lvlJc w:val="left"/>
      <w:pPr>
        <w:ind w:left="1936" w:hanging="360"/>
      </w:pPr>
      <w:rPr>
        <w:rFonts w:hint="default"/>
        <w:lang w:val="en-US" w:eastAsia="en-US" w:bidi="ar-SA"/>
      </w:rPr>
    </w:lvl>
    <w:lvl w:ilvl="3" w:tplc="DD9A06C4">
      <w:numFmt w:val="bullet"/>
      <w:lvlText w:val="•"/>
      <w:lvlJc w:val="left"/>
      <w:pPr>
        <w:ind w:left="2792" w:hanging="360"/>
      </w:pPr>
      <w:rPr>
        <w:rFonts w:hint="default"/>
        <w:lang w:val="en-US" w:eastAsia="en-US" w:bidi="ar-SA"/>
      </w:rPr>
    </w:lvl>
    <w:lvl w:ilvl="4" w:tplc="C6E0FF7E">
      <w:numFmt w:val="bullet"/>
      <w:lvlText w:val="•"/>
      <w:lvlJc w:val="left"/>
      <w:pPr>
        <w:ind w:left="3648" w:hanging="360"/>
      </w:pPr>
      <w:rPr>
        <w:rFonts w:hint="default"/>
        <w:lang w:val="en-US" w:eastAsia="en-US" w:bidi="ar-SA"/>
      </w:rPr>
    </w:lvl>
    <w:lvl w:ilvl="5" w:tplc="147ACD5A">
      <w:numFmt w:val="bullet"/>
      <w:lvlText w:val="•"/>
      <w:lvlJc w:val="left"/>
      <w:pPr>
        <w:ind w:left="4505" w:hanging="360"/>
      </w:pPr>
      <w:rPr>
        <w:rFonts w:hint="default"/>
        <w:lang w:val="en-US" w:eastAsia="en-US" w:bidi="ar-SA"/>
      </w:rPr>
    </w:lvl>
    <w:lvl w:ilvl="6" w:tplc="AC70DEA2">
      <w:numFmt w:val="bullet"/>
      <w:lvlText w:val="•"/>
      <w:lvlJc w:val="left"/>
      <w:pPr>
        <w:ind w:left="5361" w:hanging="360"/>
      </w:pPr>
      <w:rPr>
        <w:rFonts w:hint="default"/>
        <w:lang w:val="en-US" w:eastAsia="en-US" w:bidi="ar-SA"/>
      </w:rPr>
    </w:lvl>
    <w:lvl w:ilvl="7" w:tplc="6FE4E6B4">
      <w:numFmt w:val="bullet"/>
      <w:lvlText w:val="•"/>
      <w:lvlJc w:val="left"/>
      <w:pPr>
        <w:ind w:left="6217" w:hanging="360"/>
      </w:pPr>
      <w:rPr>
        <w:rFonts w:hint="default"/>
        <w:lang w:val="en-US" w:eastAsia="en-US" w:bidi="ar-SA"/>
      </w:rPr>
    </w:lvl>
    <w:lvl w:ilvl="8" w:tplc="3022D4BA">
      <w:numFmt w:val="bullet"/>
      <w:lvlText w:val="•"/>
      <w:lvlJc w:val="left"/>
      <w:pPr>
        <w:ind w:left="7073" w:hanging="360"/>
      </w:pPr>
      <w:rPr>
        <w:rFonts w:hint="default"/>
        <w:lang w:val="en-US" w:eastAsia="en-US" w:bidi="ar-SA"/>
      </w:rPr>
    </w:lvl>
  </w:abstractNum>
  <w:abstractNum w:abstractNumId="47" w15:restartNumberingAfterBreak="0">
    <w:nsid w:val="34F60747"/>
    <w:multiLevelType w:val="hybridMultilevel"/>
    <w:tmpl w:val="CF0C8E36"/>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373F1EDD"/>
    <w:multiLevelType w:val="multilevel"/>
    <w:tmpl w:val="4100F2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38194B9C"/>
    <w:multiLevelType w:val="hybridMultilevel"/>
    <w:tmpl w:val="77A6AE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3B393891"/>
    <w:multiLevelType w:val="hybridMultilevel"/>
    <w:tmpl w:val="32228B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D3A10D2"/>
    <w:multiLevelType w:val="multilevel"/>
    <w:tmpl w:val="E2B83E6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3E016F0B"/>
    <w:multiLevelType w:val="multilevel"/>
    <w:tmpl w:val="8A7AC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0496C2D"/>
    <w:multiLevelType w:val="hybridMultilevel"/>
    <w:tmpl w:val="8FD0A7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42365509"/>
    <w:multiLevelType w:val="hybridMultilevel"/>
    <w:tmpl w:val="82B248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25D375E"/>
    <w:multiLevelType w:val="hybridMultilevel"/>
    <w:tmpl w:val="E2940920"/>
    <w:lvl w:ilvl="0" w:tplc="82047716">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45366605"/>
    <w:multiLevelType w:val="hybridMultilevel"/>
    <w:tmpl w:val="3C727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DC4614"/>
    <w:multiLevelType w:val="hybridMultilevel"/>
    <w:tmpl w:val="78DE827E"/>
    <w:lvl w:ilvl="0" w:tplc="7AD476C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462243F4"/>
    <w:multiLevelType w:val="hybridMultilevel"/>
    <w:tmpl w:val="38EE6A66"/>
    <w:lvl w:ilvl="0" w:tplc="576E93DC">
      <w:start w:val="1"/>
      <w:numFmt w:val="bullet"/>
      <w:lvlText w:val=""/>
      <w:lvlJc w:val="left"/>
      <w:pPr>
        <w:ind w:left="720" w:hanging="360"/>
      </w:pPr>
      <w:rPr>
        <w:rFonts w:ascii="Symbol" w:hAnsi="Symbol"/>
      </w:rPr>
    </w:lvl>
    <w:lvl w:ilvl="1" w:tplc="FCE20E0C">
      <w:start w:val="1"/>
      <w:numFmt w:val="bullet"/>
      <w:lvlText w:val=""/>
      <w:lvlJc w:val="left"/>
      <w:pPr>
        <w:ind w:left="720" w:hanging="360"/>
      </w:pPr>
      <w:rPr>
        <w:rFonts w:ascii="Symbol" w:hAnsi="Symbol"/>
      </w:rPr>
    </w:lvl>
    <w:lvl w:ilvl="2" w:tplc="65F28AF4">
      <w:start w:val="1"/>
      <w:numFmt w:val="bullet"/>
      <w:lvlText w:val=""/>
      <w:lvlJc w:val="left"/>
      <w:pPr>
        <w:ind w:left="720" w:hanging="360"/>
      </w:pPr>
      <w:rPr>
        <w:rFonts w:ascii="Symbol" w:hAnsi="Symbol"/>
      </w:rPr>
    </w:lvl>
    <w:lvl w:ilvl="3" w:tplc="38009FEE">
      <w:start w:val="1"/>
      <w:numFmt w:val="bullet"/>
      <w:lvlText w:val=""/>
      <w:lvlJc w:val="left"/>
      <w:pPr>
        <w:ind w:left="720" w:hanging="360"/>
      </w:pPr>
      <w:rPr>
        <w:rFonts w:ascii="Symbol" w:hAnsi="Symbol"/>
      </w:rPr>
    </w:lvl>
    <w:lvl w:ilvl="4" w:tplc="DC46EB88">
      <w:start w:val="1"/>
      <w:numFmt w:val="bullet"/>
      <w:lvlText w:val=""/>
      <w:lvlJc w:val="left"/>
      <w:pPr>
        <w:ind w:left="720" w:hanging="360"/>
      </w:pPr>
      <w:rPr>
        <w:rFonts w:ascii="Symbol" w:hAnsi="Symbol"/>
      </w:rPr>
    </w:lvl>
    <w:lvl w:ilvl="5" w:tplc="6226C1EC">
      <w:start w:val="1"/>
      <w:numFmt w:val="bullet"/>
      <w:lvlText w:val=""/>
      <w:lvlJc w:val="left"/>
      <w:pPr>
        <w:ind w:left="720" w:hanging="360"/>
      </w:pPr>
      <w:rPr>
        <w:rFonts w:ascii="Symbol" w:hAnsi="Symbol"/>
      </w:rPr>
    </w:lvl>
    <w:lvl w:ilvl="6" w:tplc="1CF8CF4A">
      <w:start w:val="1"/>
      <w:numFmt w:val="bullet"/>
      <w:lvlText w:val=""/>
      <w:lvlJc w:val="left"/>
      <w:pPr>
        <w:ind w:left="720" w:hanging="360"/>
      </w:pPr>
      <w:rPr>
        <w:rFonts w:ascii="Symbol" w:hAnsi="Symbol"/>
      </w:rPr>
    </w:lvl>
    <w:lvl w:ilvl="7" w:tplc="0480DB36">
      <w:start w:val="1"/>
      <w:numFmt w:val="bullet"/>
      <w:lvlText w:val=""/>
      <w:lvlJc w:val="left"/>
      <w:pPr>
        <w:ind w:left="720" w:hanging="360"/>
      </w:pPr>
      <w:rPr>
        <w:rFonts w:ascii="Symbol" w:hAnsi="Symbol"/>
      </w:rPr>
    </w:lvl>
    <w:lvl w:ilvl="8" w:tplc="30D816D4">
      <w:start w:val="1"/>
      <w:numFmt w:val="bullet"/>
      <w:lvlText w:val=""/>
      <w:lvlJc w:val="left"/>
      <w:pPr>
        <w:ind w:left="720" w:hanging="360"/>
      </w:pPr>
      <w:rPr>
        <w:rFonts w:ascii="Symbol" w:hAnsi="Symbol"/>
      </w:rPr>
    </w:lvl>
  </w:abstractNum>
  <w:abstractNum w:abstractNumId="59" w15:restartNumberingAfterBreak="0">
    <w:nsid w:val="474781D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91746ED"/>
    <w:multiLevelType w:val="multilevel"/>
    <w:tmpl w:val="4928E7C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imes New Roman Bold" w:hAnsi="Times New Roman Bold" w:hint="default"/>
        <w:b/>
        <w:i w:val="0"/>
        <w:caps w:val="0"/>
        <w:strike w:val="0"/>
        <w:dstrike w:val="0"/>
        <w:shadow w:val="0"/>
        <w:emboss w:val="0"/>
        <w:imprint w:val="0"/>
        <w:vanish w:val="0"/>
        <w:color w:val="000000" w:themeColor="text1"/>
        <w:sz w:val="24"/>
        <w:vertAlign w:val="base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15:restartNumberingAfterBreak="0">
    <w:nsid w:val="49DA6487"/>
    <w:multiLevelType w:val="hybridMultilevel"/>
    <w:tmpl w:val="CF62868E"/>
    <w:lvl w:ilvl="0" w:tplc="18090001">
      <w:start w:val="1"/>
      <w:numFmt w:val="bullet"/>
      <w:lvlText w:val=""/>
      <w:lvlJc w:val="left"/>
      <w:pPr>
        <w:ind w:left="720" w:hanging="360"/>
      </w:pPr>
      <w:rPr>
        <w:rFonts w:ascii="Symbol" w:hAnsi="Symbol" w:hint="default"/>
      </w:rPr>
    </w:lvl>
    <w:lvl w:ilvl="1" w:tplc="9CC0228A">
      <w:numFmt w:val="bullet"/>
      <w:lvlText w:val="•"/>
      <w:lvlJc w:val="left"/>
      <w:pPr>
        <w:ind w:left="1800" w:hanging="72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BEF5FBA"/>
    <w:multiLevelType w:val="hybridMultilevel"/>
    <w:tmpl w:val="7AAEC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E166DB0"/>
    <w:multiLevelType w:val="hybridMultilevel"/>
    <w:tmpl w:val="242C1210"/>
    <w:lvl w:ilvl="0" w:tplc="3A60FDCC">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EEF65BC"/>
    <w:multiLevelType w:val="hybridMultilevel"/>
    <w:tmpl w:val="5582EF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4FD73E1B"/>
    <w:multiLevelType w:val="hybridMultilevel"/>
    <w:tmpl w:val="CBF4FC4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FF94F8E"/>
    <w:multiLevelType w:val="hybridMultilevel"/>
    <w:tmpl w:val="65A606E2"/>
    <w:lvl w:ilvl="0" w:tplc="7F685A36">
      <w:start w:val="1"/>
      <w:numFmt w:val="bullet"/>
      <w:lvlText w:val=""/>
      <w:lvlJc w:val="left"/>
      <w:pPr>
        <w:ind w:left="720" w:hanging="360"/>
      </w:pPr>
      <w:rPr>
        <w:rFonts w:ascii="Symbol" w:hAnsi="Symbol"/>
      </w:rPr>
    </w:lvl>
    <w:lvl w:ilvl="1" w:tplc="39562BC8">
      <w:start w:val="1"/>
      <w:numFmt w:val="bullet"/>
      <w:lvlText w:val=""/>
      <w:lvlJc w:val="left"/>
      <w:pPr>
        <w:ind w:left="720" w:hanging="360"/>
      </w:pPr>
      <w:rPr>
        <w:rFonts w:ascii="Symbol" w:hAnsi="Symbol"/>
      </w:rPr>
    </w:lvl>
    <w:lvl w:ilvl="2" w:tplc="1DF6B1EA">
      <w:start w:val="1"/>
      <w:numFmt w:val="bullet"/>
      <w:lvlText w:val=""/>
      <w:lvlJc w:val="left"/>
      <w:pPr>
        <w:ind w:left="720" w:hanging="360"/>
      </w:pPr>
      <w:rPr>
        <w:rFonts w:ascii="Symbol" w:hAnsi="Symbol"/>
      </w:rPr>
    </w:lvl>
    <w:lvl w:ilvl="3" w:tplc="0BFABA0C">
      <w:start w:val="1"/>
      <w:numFmt w:val="bullet"/>
      <w:lvlText w:val=""/>
      <w:lvlJc w:val="left"/>
      <w:pPr>
        <w:ind w:left="720" w:hanging="360"/>
      </w:pPr>
      <w:rPr>
        <w:rFonts w:ascii="Symbol" w:hAnsi="Symbol"/>
      </w:rPr>
    </w:lvl>
    <w:lvl w:ilvl="4" w:tplc="0F207E9E">
      <w:start w:val="1"/>
      <w:numFmt w:val="bullet"/>
      <w:lvlText w:val=""/>
      <w:lvlJc w:val="left"/>
      <w:pPr>
        <w:ind w:left="720" w:hanging="360"/>
      </w:pPr>
      <w:rPr>
        <w:rFonts w:ascii="Symbol" w:hAnsi="Symbol"/>
      </w:rPr>
    </w:lvl>
    <w:lvl w:ilvl="5" w:tplc="D2C2EE9A">
      <w:start w:val="1"/>
      <w:numFmt w:val="bullet"/>
      <w:lvlText w:val=""/>
      <w:lvlJc w:val="left"/>
      <w:pPr>
        <w:ind w:left="720" w:hanging="360"/>
      </w:pPr>
      <w:rPr>
        <w:rFonts w:ascii="Symbol" w:hAnsi="Symbol"/>
      </w:rPr>
    </w:lvl>
    <w:lvl w:ilvl="6" w:tplc="24A88872">
      <w:start w:val="1"/>
      <w:numFmt w:val="bullet"/>
      <w:lvlText w:val=""/>
      <w:lvlJc w:val="left"/>
      <w:pPr>
        <w:ind w:left="720" w:hanging="360"/>
      </w:pPr>
      <w:rPr>
        <w:rFonts w:ascii="Symbol" w:hAnsi="Symbol"/>
      </w:rPr>
    </w:lvl>
    <w:lvl w:ilvl="7" w:tplc="1B8AD710">
      <w:start w:val="1"/>
      <w:numFmt w:val="bullet"/>
      <w:lvlText w:val=""/>
      <w:lvlJc w:val="left"/>
      <w:pPr>
        <w:ind w:left="720" w:hanging="360"/>
      </w:pPr>
      <w:rPr>
        <w:rFonts w:ascii="Symbol" w:hAnsi="Symbol"/>
      </w:rPr>
    </w:lvl>
    <w:lvl w:ilvl="8" w:tplc="41525CEE">
      <w:start w:val="1"/>
      <w:numFmt w:val="bullet"/>
      <w:lvlText w:val=""/>
      <w:lvlJc w:val="left"/>
      <w:pPr>
        <w:ind w:left="720" w:hanging="360"/>
      </w:pPr>
      <w:rPr>
        <w:rFonts w:ascii="Symbol" w:hAnsi="Symbol"/>
      </w:rPr>
    </w:lvl>
  </w:abstractNum>
  <w:abstractNum w:abstractNumId="67" w15:restartNumberingAfterBreak="0">
    <w:nsid w:val="5073158B"/>
    <w:multiLevelType w:val="multilevel"/>
    <w:tmpl w:val="6C24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0C1463E"/>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0DB1F27"/>
    <w:multiLevelType w:val="hybridMultilevel"/>
    <w:tmpl w:val="85FC7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1A86165"/>
    <w:multiLevelType w:val="hybridMultilevel"/>
    <w:tmpl w:val="7C009A02"/>
    <w:lvl w:ilvl="0" w:tplc="DA50D2E8">
      <w:start w:val="1"/>
      <w:numFmt w:val="bullet"/>
      <w:lvlText w:val=""/>
      <w:lvlJc w:val="left"/>
      <w:pPr>
        <w:ind w:left="720" w:hanging="360"/>
      </w:pPr>
      <w:rPr>
        <w:rFonts w:ascii="Symbol" w:hAnsi="Symbol"/>
      </w:rPr>
    </w:lvl>
    <w:lvl w:ilvl="1" w:tplc="97FE8EC6">
      <w:start w:val="1"/>
      <w:numFmt w:val="bullet"/>
      <w:lvlText w:val=""/>
      <w:lvlJc w:val="left"/>
      <w:pPr>
        <w:ind w:left="720" w:hanging="360"/>
      </w:pPr>
      <w:rPr>
        <w:rFonts w:ascii="Symbol" w:hAnsi="Symbol"/>
      </w:rPr>
    </w:lvl>
    <w:lvl w:ilvl="2" w:tplc="B5668C7A">
      <w:start w:val="1"/>
      <w:numFmt w:val="bullet"/>
      <w:lvlText w:val=""/>
      <w:lvlJc w:val="left"/>
      <w:pPr>
        <w:ind w:left="720" w:hanging="360"/>
      </w:pPr>
      <w:rPr>
        <w:rFonts w:ascii="Symbol" w:hAnsi="Symbol"/>
      </w:rPr>
    </w:lvl>
    <w:lvl w:ilvl="3" w:tplc="B6B0FA26">
      <w:start w:val="1"/>
      <w:numFmt w:val="bullet"/>
      <w:lvlText w:val=""/>
      <w:lvlJc w:val="left"/>
      <w:pPr>
        <w:ind w:left="720" w:hanging="360"/>
      </w:pPr>
      <w:rPr>
        <w:rFonts w:ascii="Symbol" w:hAnsi="Symbol"/>
      </w:rPr>
    </w:lvl>
    <w:lvl w:ilvl="4" w:tplc="4288D15C">
      <w:start w:val="1"/>
      <w:numFmt w:val="bullet"/>
      <w:lvlText w:val=""/>
      <w:lvlJc w:val="left"/>
      <w:pPr>
        <w:ind w:left="720" w:hanging="360"/>
      </w:pPr>
      <w:rPr>
        <w:rFonts w:ascii="Symbol" w:hAnsi="Symbol"/>
      </w:rPr>
    </w:lvl>
    <w:lvl w:ilvl="5" w:tplc="5D585696">
      <w:start w:val="1"/>
      <w:numFmt w:val="bullet"/>
      <w:lvlText w:val=""/>
      <w:lvlJc w:val="left"/>
      <w:pPr>
        <w:ind w:left="720" w:hanging="360"/>
      </w:pPr>
      <w:rPr>
        <w:rFonts w:ascii="Symbol" w:hAnsi="Symbol"/>
      </w:rPr>
    </w:lvl>
    <w:lvl w:ilvl="6" w:tplc="4E86F6BC">
      <w:start w:val="1"/>
      <w:numFmt w:val="bullet"/>
      <w:lvlText w:val=""/>
      <w:lvlJc w:val="left"/>
      <w:pPr>
        <w:ind w:left="720" w:hanging="360"/>
      </w:pPr>
      <w:rPr>
        <w:rFonts w:ascii="Symbol" w:hAnsi="Symbol"/>
      </w:rPr>
    </w:lvl>
    <w:lvl w:ilvl="7" w:tplc="37E6F738">
      <w:start w:val="1"/>
      <w:numFmt w:val="bullet"/>
      <w:lvlText w:val=""/>
      <w:lvlJc w:val="left"/>
      <w:pPr>
        <w:ind w:left="720" w:hanging="360"/>
      </w:pPr>
      <w:rPr>
        <w:rFonts w:ascii="Symbol" w:hAnsi="Symbol"/>
      </w:rPr>
    </w:lvl>
    <w:lvl w:ilvl="8" w:tplc="AD6A403E">
      <w:start w:val="1"/>
      <w:numFmt w:val="bullet"/>
      <w:lvlText w:val=""/>
      <w:lvlJc w:val="left"/>
      <w:pPr>
        <w:ind w:left="720" w:hanging="360"/>
      </w:pPr>
      <w:rPr>
        <w:rFonts w:ascii="Symbol" w:hAnsi="Symbol"/>
      </w:rPr>
    </w:lvl>
  </w:abstractNum>
  <w:abstractNum w:abstractNumId="71" w15:restartNumberingAfterBreak="0">
    <w:nsid w:val="54063258"/>
    <w:multiLevelType w:val="multilevel"/>
    <w:tmpl w:val="2376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51F73FF"/>
    <w:multiLevelType w:val="hybridMultilevel"/>
    <w:tmpl w:val="C43001AC"/>
    <w:lvl w:ilvl="0" w:tplc="676CFF7E">
      <w:start w:val="1"/>
      <w:numFmt w:val="bullet"/>
      <w:lvlText w:val="-"/>
      <w:lvlJc w:val="left"/>
      <w:pPr>
        <w:ind w:left="720" w:hanging="360"/>
      </w:pPr>
      <w:rPr>
        <w:rFonts w:ascii="Aptos" w:hAnsi="Aptos" w:hint="default"/>
      </w:rPr>
    </w:lvl>
    <w:lvl w:ilvl="1" w:tplc="3C782E64">
      <w:start w:val="1"/>
      <w:numFmt w:val="bullet"/>
      <w:lvlText w:val="o"/>
      <w:lvlJc w:val="left"/>
      <w:pPr>
        <w:ind w:left="1440" w:hanging="360"/>
      </w:pPr>
      <w:rPr>
        <w:rFonts w:ascii="Courier New" w:hAnsi="Courier New" w:hint="default"/>
      </w:rPr>
    </w:lvl>
    <w:lvl w:ilvl="2" w:tplc="19E4A598">
      <w:start w:val="1"/>
      <w:numFmt w:val="bullet"/>
      <w:lvlText w:val=""/>
      <w:lvlJc w:val="left"/>
      <w:pPr>
        <w:ind w:left="2160" w:hanging="360"/>
      </w:pPr>
      <w:rPr>
        <w:rFonts w:ascii="Wingdings" w:hAnsi="Wingdings" w:hint="default"/>
      </w:rPr>
    </w:lvl>
    <w:lvl w:ilvl="3" w:tplc="45B8F4BC">
      <w:start w:val="1"/>
      <w:numFmt w:val="bullet"/>
      <w:lvlText w:val=""/>
      <w:lvlJc w:val="left"/>
      <w:pPr>
        <w:ind w:left="2880" w:hanging="360"/>
      </w:pPr>
      <w:rPr>
        <w:rFonts w:ascii="Symbol" w:hAnsi="Symbol" w:hint="default"/>
      </w:rPr>
    </w:lvl>
    <w:lvl w:ilvl="4" w:tplc="9A1CD52A">
      <w:start w:val="1"/>
      <w:numFmt w:val="bullet"/>
      <w:lvlText w:val="o"/>
      <w:lvlJc w:val="left"/>
      <w:pPr>
        <w:ind w:left="3600" w:hanging="360"/>
      </w:pPr>
      <w:rPr>
        <w:rFonts w:ascii="Courier New" w:hAnsi="Courier New" w:hint="default"/>
      </w:rPr>
    </w:lvl>
    <w:lvl w:ilvl="5" w:tplc="6EBCA8D8">
      <w:start w:val="1"/>
      <w:numFmt w:val="bullet"/>
      <w:lvlText w:val=""/>
      <w:lvlJc w:val="left"/>
      <w:pPr>
        <w:ind w:left="4320" w:hanging="360"/>
      </w:pPr>
      <w:rPr>
        <w:rFonts w:ascii="Wingdings" w:hAnsi="Wingdings" w:hint="default"/>
      </w:rPr>
    </w:lvl>
    <w:lvl w:ilvl="6" w:tplc="FC06FFDE">
      <w:start w:val="1"/>
      <w:numFmt w:val="bullet"/>
      <w:lvlText w:val=""/>
      <w:lvlJc w:val="left"/>
      <w:pPr>
        <w:ind w:left="5040" w:hanging="360"/>
      </w:pPr>
      <w:rPr>
        <w:rFonts w:ascii="Symbol" w:hAnsi="Symbol" w:hint="default"/>
      </w:rPr>
    </w:lvl>
    <w:lvl w:ilvl="7" w:tplc="81FE8152">
      <w:start w:val="1"/>
      <w:numFmt w:val="bullet"/>
      <w:lvlText w:val="o"/>
      <w:lvlJc w:val="left"/>
      <w:pPr>
        <w:ind w:left="5760" w:hanging="360"/>
      </w:pPr>
      <w:rPr>
        <w:rFonts w:ascii="Courier New" w:hAnsi="Courier New" w:hint="default"/>
      </w:rPr>
    </w:lvl>
    <w:lvl w:ilvl="8" w:tplc="96B8A466">
      <w:start w:val="1"/>
      <w:numFmt w:val="bullet"/>
      <w:lvlText w:val=""/>
      <w:lvlJc w:val="left"/>
      <w:pPr>
        <w:ind w:left="6480" w:hanging="360"/>
      </w:pPr>
      <w:rPr>
        <w:rFonts w:ascii="Wingdings" w:hAnsi="Wingdings" w:hint="default"/>
      </w:rPr>
    </w:lvl>
  </w:abstractNum>
  <w:abstractNum w:abstractNumId="73" w15:restartNumberingAfterBreak="0">
    <w:nsid w:val="55E5711A"/>
    <w:multiLevelType w:val="hybridMultilevel"/>
    <w:tmpl w:val="A21EE9FC"/>
    <w:lvl w:ilvl="0" w:tplc="1B6443CE">
      <w:start w:val="1"/>
      <w:numFmt w:val="bullet"/>
      <w:lvlText w:val=""/>
      <w:lvlJc w:val="left"/>
      <w:pPr>
        <w:ind w:left="720" w:hanging="360"/>
      </w:pPr>
      <w:rPr>
        <w:rFonts w:ascii="Symbol" w:hAnsi="Symbol"/>
      </w:rPr>
    </w:lvl>
    <w:lvl w:ilvl="1" w:tplc="A7A011FE">
      <w:start w:val="1"/>
      <w:numFmt w:val="bullet"/>
      <w:lvlText w:val=""/>
      <w:lvlJc w:val="left"/>
      <w:pPr>
        <w:ind w:left="720" w:hanging="360"/>
      </w:pPr>
      <w:rPr>
        <w:rFonts w:ascii="Symbol" w:hAnsi="Symbol"/>
      </w:rPr>
    </w:lvl>
    <w:lvl w:ilvl="2" w:tplc="B88A0F12">
      <w:start w:val="1"/>
      <w:numFmt w:val="bullet"/>
      <w:lvlText w:val=""/>
      <w:lvlJc w:val="left"/>
      <w:pPr>
        <w:ind w:left="720" w:hanging="360"/>
      </w:pPr>
      <w:rPr>
        <w:rFonts w:ascii="Symbol" w:hAnsi="Symbol"/>
      </w:rPr>
    </w:lvl>
    <w:lvl w:ilvl="3" w:tplc="796484A8">
      <w:start w:val="1"/>
      <w:numFmt w:val="bullet"/>
      <w:lvlText w:val=""/>
      <w:lvlJc w:val="left"/>
      <w:pPr>
        <w:ind w:left="720" w:hanging="360"/>
      </w:pPr>
      <w:rPr>
        <w:rFonts w:ascii="Symbol" w:hAnsi="Symbol"/>
      </w:rPr>
    </w:lvl>
    <w:lvl w:ilvl="4" w:tplc="815C31BC">
      <w:start w:val="1"/>
      <w:numFmt w:val="bullet"/>
      <w:lvlText w:val=""/>
      <w:lvlJc w:val="left"/>
      <w:pPr>
        <w:ind w:left="720" w:hanging="360"/>
      </w:pPr>
      <w:rPr>
        <w:rFonts w:ascii="Symbol" w:hAnsi="Symbol"/>
      </w:rPr>
    </w:lvl>
    <w:lvl w:ilvl="5" w:tplc="8132D1D8">
      <w:start w:val="1"/>
      <w:numFmt w:val="bullet"/>
      <w:lvlText w:val=""/>
      <w:lvlJc w:val="left"/>
      <w:pPr>
        <w:ind w:left="720" w:hanging="360"/>
      </w:pPr>
      <w:rPr>
        <w:rFonts w:ascii="Symbol" w:hAnsi="Symbol"/>
      </w:rPr>
    </w:lvl>
    <w:lvl w:ilvl="6" w:tplc="D70A12EE">
      <w:start w:val="1"/>
      <w:numFmt w:val="bullet"/>
      <w:lvlText w:val=""/>
      <w:lvlJc w:val="left"/>
      <w:pPr>
        <w:ind w:left="720" w:hanging="360"/>
      </w:pPr>
      <w:rPr>
        <w:rFonts w:ascii="Symbol" w:hAnsi="Symbol"/>
      </w:rPr>
    </w:lvl>
    <w:lvl w:ilvl="7" w:tplc="995AA406">
      <w:start w:val="1"/>
      <w:numFmt w:val="bullet"/>
      <w:lvlText w:val=""/>
      <w:lvlJc w:val="left"/>
      <w:pPr>
        <w:ind w:left="720" w:hanging="360"/>
      </w:pPr>
      <w:rPr>
        <w:rFonts w:ascii="Symbol" w:hAnsi="Symbol"/>
      </w:rPr>
    </w:lvl>
    <w:lvl w:ilvl="8" w:tplc="0100BD16">
      <w:start w:val="1"/>
      <w:numFmt w:val="bullet"/>
      <w:lvlText w:val=""/>
      <w:lvlJc w:val="left"/>
      <w:pPr>
        <w:ind w:left="720" w:hanging="360"/>
      </w:pPr>
      <w:rPr>
        <w:rFonts w:ascii="Symbol" w:hAnsi="Symbol"/>
      </w:rPr>
    </w:lvl>
  </w:abstractNum>
  <w:abstractNum w:abstractNumId="74" w15:restartNumberingAfterBreak="0">
    <w:nsid w:val="560F3486"/>
    <w:multiLevelType w:val="hybridMultilevel"/>
    <w:tmpl w:val="5E5C4900"/>
    <w:lvl w:ilvl="0" w:tplc="F44CC09E">
      <w:start w:val="1"/>
      <w:numFmt w:val="decimal"/>
      <w:lvlText w:val="%1."/>
      <w:lvlJc w:val="left"/>
      <w:pPr>
        <w:ind w:left="720" w:hanging="360"/>
      </w:pPr>
    </w:lvl>
    <w:lvl w:ilvl="1" w:tplc="E9061938">
      <w:start w:val="1"/>
      <w:numFmt w:val="decimal"/>
      <w:lvlText w:val="%2."/>
      <w:lvlJc w:val="left"/>
      <w:pPr>
        <w:ind w:left="720" w:hanging="360"/>
      </w:pPr>
    </w:lvl>
    <w:lvl w:ilvl="2" w:tplc="FC54DB74">
      <w:start w:val="1"/>
      <w:numFmt w:val="decimal"/>
      <w:lvlText w:val="%3."/>
      <w:lvlJc w:val="left"/>
      <w:pPr>
        <w:ind w:left="720" w:hanging="360"/>
      </w:pPr>
    </w:lvl>
    <w:lvl w:ilvl="3" w:tplc="A5CCEAEA">
      <w:start w:val="1"/>
      <w:numFmt w:val="decimal"/>
      <w:lvlText w:val="%4."/>
      <w:lvlJc w:val="left"/>
      <w:pPr>
        <w:ind w:left="720" w:hanging="360"/>
      </w:pPr>
    </w:lvl>
    <w:lvl w:ilvl="4" w:tplc="9D4044A8">
      <w:start w:val="1"/>
      <w:numFmt w:val="decimal"/>
      <w:lvlText w:val="%5."/>
      <w:lvlJc w:val="left"/>
      <w:pPr>
        <w:ind w:left="720" w:hanging="360"/>
      </w:pPr>
    </w:lvl>
    <w:lvl w:ilvl="5" w:tplc="2D30FD0C">
      <w:start w:val="1"/>
      <w:numFmt w:val="decimal"/>
      <w:lvlText w:val="%6."/>
      <w:lvlJc w:val="left"/>
      <w:pPr>
        <w:ind w:left="720" w:hanging="360"/>
      </w:pPr>
    </w:lvl>
    <w:lvl w:ilvl="6" w:tplc="563CC85E">
      <w:start w:val="1"/>
      <w:numFmt w:val="decimal"/>
      <w:lvlText w:val="%7."/>
      <w:lvlJc w:val="left"/>
      <w:pPr>
        <w:ind w:left="720" w:hanging="360"/>
      </w:pPr>
    </w:lvl>
    <w:lvl w:ilvl="7" w:tplc="369665F2">
      <w:start w:val="1"/>
      <w:numFmt w:val="decimal"/>
      <w:lvlText w:val="%8."/>
      <w:lvlJc w:val="left"/>
      <w:pPr>
        <w:ind w:left="720" w:hanging="360"/>
      </w:pPr>
    </w:lvl>
    <w:lvl w:ilvl="8" w:tplc="6756AB26">
      <w:start w:val="1"/>
      <w:numFmt w:val="decimal"/>
      <w:lvlText w:val="%9."/>
      <w:lvlJc w:val="left"/>
      <w:pPr>
        <w:ind w:left="720" w:hanging="360"/>
      </w:pPr>
    </w:lvl>
  </w:abstractNum>
  <w:abstractNum w:abstractNumId="75" w15:restartNumberingAfterBreak="0">
    <w:nsid w:val="56A71B90"/>
    <w:multiLevelType w:val="multilevel"/>
    <w:tmpl w:val="43F0D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71D3430"/>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91D6491"/>
    <w:multiLevelType w:val="hybridMultilevel"/>
    <w:tmpl w:val="A72829C4"/>
    <w:lvl w:ilvl="0" w:tplc="1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9FDB445"/>
    <w:multiLevelType w:val="multilevel"/>
    <w:tmpl w:val="10805E84"/>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A0F2F6E"/>
    <w:multiLevelType w:val="hybridMultilevel"/>
    <w:tmpl w:val="A59CD880"/>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80" w15:restartNumberingAfterBreak="0">
    <w:nsid w:val="5CA62051"/>
    <w:multiLevelType w:val="multilevel"/>
    <w:tmpl w:val="DFCE80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FDA7207"/>
    <w:multiLevelType w:val="hybridMultilevel"/>
    <w:tmpl w:val="C0E6B3A8"/>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0516023"/>
    <w:multiLevelType w:val="hybridMultilevel"/>
    <w:tmpl w:val="F230BBA8"/>
    <w:lvl w:ilvl="0" w:tplc="BCBADFF2">
      <w:start w:val="1"/>
      <w:numFmt w:val="bullet"/>
      <w:lvlText w:val=""/>
      <w:lvlJc w:val="left"/>
      <w:pPr>
        <w:ind w:left="720" w:hanging="360"/>
      </w:pPr>
      <w:rPr>
        <w:rFonts w:ascii="Symbol" w:hAnsi="Symbol"/>
      </w:rPr>
    </w:lvl>
    <w:lvl w:ilvl="1" w:tplc="0680AFF6">
      <w:start w:val="1"/>
      <w:numFmt w:val="bullet"/>
      <w:lvlText w:val=""/>
      <w:lvlJc w:val="left"/>
      <w:pPr>
        <w:ind w:left="720" w:hanging="360"/>
      </w:pPr>
      <w:rPr>
        <w:rFonts w:ascii="Symbol" w:hAnsi="Symbol"/>
      </w:rPr>
    </w:lvl>
    <w:lvl w:ilvl="2" w:tplc="FDB220F0">
      <w:start w:val="1"/>
      <w:numFmt w:val="bullet"/>
      <w:lvlText w:val=""/>
      <w:lvlJc w:val="left"/>
      <w:pPr>
        <w:ind w:left="720" w:hanging="360"/>
      </w:pPr>
      <w:rPr>
        <w:rFonts w:ascii="Symbol" w:hAnsi="Symbol"/>
      </w:rPr>
    </w:lvl>
    <w:lvl w:ilvl="3" w:tplc="EDD0D72A">
      <w:start w:val="1"/>
      <w:numFmt w:val="bullet"/>
      <w:lvlText w:val=""/>
      <w:lvlJc w:val="left"/>
      <w:pPr>
        <w:ind w:left="720" w:hanging="360"/>
      </w:pPr>
      <w:rPr>
        <w:rFonts w:ascii="Symbol" w:hAnsi="Symbol"/>
      </w:rPr>
    </w:lvl>
    <w:lvl w:ilvl="4" w:tplc="F97228D6">
      <w:start w:val="1"/>
      <w:numFmt w:val="bullet"/>
      <w:lvlText w:val=""/>
      <w:lvlJc w:val="left"/>
      <w:pPr>
        <w:ind w:left="720" w:hanging="360"/>
      </w:pPr>
      <w:rPr>
        <w:rFonts w:ascii="Symbol" w:hAnsi="Symbol"/>
      </w:rPr>
    </w:lvl>
    <w:lvl w:ilvl="5" w:tplc="F8AA395A">
      <w:start w:val="1"/>
      <w:numFmt w:val="bullet"/>
      <w:lvlText w:val=""/>
      <w:lvlJc w:val="left"/>
      <w:pPr>
        <w:ind w:left="720" w:hanging="360"/>
      </w:pPr>
      <w:rPr>
        <w:rFonts w:ascii="Symbol" w:hAnsi="Symbol"/>
      </w:rPr>
    </w:lvl>
    <w:lvl w:ilvl="6" w:tplc="79C4C7B0">
      <w:start w:val="1"/>
      <w:numFmt w:val="bullet"/>
      <w:lvlText w:val=""/>
      <w:lvlJc w:val="left"/>
      <w:pPr>
        <w:ind w:left="720" w:hanging="360"/>
      </w:pPr>
      <w:rPr>
        <w:rFonts w:ascii="Symbol" w:hAnsi="Symbol"/>
      </w:rPr>
    </w:lvl>
    <w:lvl w:ilvl="7" w:tplc="4FB8AA30">
      <w:start w:val="1"/>
      <w:numFmt w:val="bullet"/>
      <w:lvlText w:val=""/>
      <w:lvlJc w:val="left"/>
      <w:pPr>
        <w:ind w:left="720" w:hanging="360"/>
      </w:pPr>
      <w:rPr>
        <w:rFonts w:ascii="Symbol" w:hAnsi="Symbol"/>
      </w:rPr>
    </w:lvl>
    <w:lvl w:ilvl="8" w:tplc="81866866">
      <w:start w:val="1"/>
      <w:numFmt w:val="bullet"/>
      <w:lvlText w:val=""/>
      <w:lvlJc w:val="left"/>
      <w:pPr>
        <w:ind w:left="720" w:hanging="360"/>
      </w:pPr>
      <w:rPr>
        <w:rFonts w:ascii="Symbol" w:hAnsi="Symbol"/>
      </w:rPr>
    </w:lvl>
  </w:abstractNum>
  <w:abstractNum w:abstractNumId="83" w15:restartNumberingAfterBreak="0">
    <w:nsid w:val="60804A06"/>
    <w:multiLevelType w:val="hybridMultilevel"/>
    <w:tmpl w:val="05886B52"/>
    <w:lvl w:ilvl="0" w:tplc="5FBADDBC">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4" w15:restartNumberingAfterBreak="0">
    <w:nsid w:val="611D55D3"/>
    <w:multiLevelType w:val="hybridMultilevel"/>
    <w:tmpl w:val="8794D680"/>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64252A76"/>
    <w:multiLevelType w:val="hybridMultilevel"/>
    <w:tmpl w:val="36A4950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4641D24"/>
    <w:multiLevelType w:val="hybridMultilevel"/>
    <w:tmpl w:val="8B5A616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87" w15:restartNumberingAfterBreak="0">
    <w:nsid w:val="66267F4A"/>
    <w:multiLevelType w:val="hybridMultilevel"/>
    <w:tmpl w:val="59FEECEC"/>
    <w:lvl w:ilvl="0" w:tplc="C3CC1746">
      <w:start w:val="1"/>
      <w:numFmt w:val="decimal"/>
      <w:lvlText w:val="%1."/>
      <w:lvlJc w:val="left"/>
      <w:pPr>
        <w:ind w:left="720" w:hanging="360"/>
      </w:pPr>
      <w:rPr>
        <w:rFonts w:ascii="Times New Roman" w:eastAsiaTheme="minorHAnsi" w:hAnsi="Times New Roman" w:cs="Times New Roman"/>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67516070"/>
    <w:multiLevelType w:val="multilevel"/>
    <w:tmpl w:val="DEDE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84E48B5"/>
    <w:multiLevelType w:val="hybridMultilevel"/>
    <w:tmpl w:val="F3A812EA"/>
    <w:lvl w:ilvl="0" w:tplc="162A88D8">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0" w15:restartNumberingAfterBreak="0">
    <w:nsid w:val="68710EB7"/>
    <w:multiLevelType w:val="hybridMultilevel"/>
    <w:tmpl w:val="90582C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69C8744C"/>
    <w:multiLevelType w:val="hybridMultilevel"/>
    <w:tmpl w:val="B54A4F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CA6792D"/>
    <w:multiLevelType w:val="hybridMultilevel"/>
    <w:tmpl w:val="A6A6E0C6"/>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6F63CCF8"/>
    <w:multiLevelType w:val="hybridMultilevel"/>
    <w:tmpl w:val="45289CB2"/>
    <w:lvl w:ilvl="0" w:tplc="C42658E8">
      <w:start w:val="1"/>
      <w:numFmt w:val="bullet"/>
      <w:lvlText w:val="-"/>
      <w:lvlJc w:val="left"/>
      <w:pPr>
        <w:ind w:left="720" w:hanging="360"/>
      </w:pPr>
      <w:rPr>
        <w:rFonts w:ascii="Aptos" w:hAnsi="Aptos" w:hint="default"/>
      </w:rPr>
    </w:lvl>
    <w:lvl w:ilvl="1" w:tplc="19DC7EBC">
      <w:start w:val="1"/>
      <w:numFmt w:val="bullet"/>
      <w:lvlText w:val="o"/>
      <w:lvlJc w:val="left"/>
      <w:pPr>
        <w:ind w:left="1440" w:hanging="360"/>
      </w:pPr>
      <w:rPr>
        <w:rFonts w:ascii="Courier New" w:hAnsi="Courier New" w:hint="default"/>
      </w:rPr>
    </w:lvl>
    <w:lvl w:ilvl="2" w:tplc="53C2CDF2">
      <w:start w:val="1"/>
      <w:numFmt w:val="bullet"/>
      <w:lvlText w:val=""/>
      <w:lvlJc w:val="left"/>
      <w:pPr>
        <w:ind w:left="2160" w:hanging="360"/>
      </w:pPr>
      <w:rPr>
        <w:rFonts w:ascii="Wingdings" w:hAnsi="Wingdings" w:hint="default"/>
      </w:rPr>
    </w:lvl>
    <w:lvl w:ilvl="3" w:tplc="76A865E2">
      <w:start w:val="1"/>
      <w:numFmt w:val="bullet"/>
      <w:lvlText w:val=""/>
      <w:lvlJc w:val="left"/>
      <w:pPr>
        <w:ind w:left="2880" w:hanging="360"/>
      </w:pPr>
      <w:rPr>
        <w:rFonts w:ascii="Symbol" w:hAnsi="Symbol" w:hint="default"/>
      </w:rPr>
    </w:lvl>
    <w:lvl w:ilvl="4" w:tplc="131201D4">
      <w:start w:val="1"/>
      <w:numFmt w:val="bullet"/>
      <w:lvlText w:val="o"/>
      <w:lvlJc w:val="left"/>
      <w:pPr>
        <w:ind w:left="3600" w:hanging="360"/>
      </w:pPr>
      <w:rPr>
        <w:rFonts w:ascii="Courier New" w:hAnsi="Courier New" w:hint="default"/>
      </w:rPr>
    </w:lvl>
    <w:lvl w:ilvl="5" w:tplc="7D98946A">
      <w:start w:val="1"/>
      <w:numFmt w:val="bullet"/>
      <w:lvlText w:val=""/>
      <w:lvlJc w:val="left"/>
      <w:pPr>
        <w:ind w:left="4320" w:hanging="360"/>
      </w:pPr>
      <w:rPr>
        <w:rFonts w:ascii="Wingdings" w:hAnsi="Wingdings" w:hint="default"/>
      </w:rPr>
    </w:lvl>
    <w:lvl w:ilvl="6" w:tplc="14567C8A">
      <w:start w:val="1"/>
      <w:numFmt w:val="bullet"/>
      <w:lvlText w:val=""/>
      <w:lvlJc w:val="left"/>
      <w:pPr>
        <w:ind w:left="5040" w:hanging="360"/>
      </w:pPr>
      <w:rPr>
        <w:rFonts w:ascii="Symbol" w:hAnsi="Symbol" w:hint="default"/>
      </w:rPr>
    </w:lvl>
    <w:lvl w:ilvl="7" w:tplc="2AA69D68">
      <w:start w:val="1"/>
      <w:numFmt w:val="bullet"/>
      <w:lvlText w:val="o"/>
      <w:lvlJc w:val="left"/>
      <w:pPr>
        <w:ind w:left="5760" w:hanging="360"/>
      </w:pPr>
      <w:rPr>
        <w:rFonts w:ascii="Courier New" w:hAnsi="Courier New" w:hint="default"/>
      </w:rPr>
    </w:lvl>
    <w:lvl w:ilvl="8" w:tplc="1B5CE484">
      <w:start w:val="1"/>
      <w:numFmt w:val="bullet"/>
      <w:lvlText w:val=""/>
      <w:lvlJc w:val="left"/>
      <w:pPr>
        <w:ind w:left="6480" w:hanging="360"/>
      </w:pPr>
      <w:rPr>
        <w:rFonts w:ascii="Wingdings" w:hAnsi="Wingdings" w:hint="default"/>
      </w:rPr>
    </w:lvl>
  </w:abstractNum>
  <w:abstractNum w:abstractNumId="94" w15:restartNumberingAfterBreak="0">
    <w:nsid w:val="6F780EB4"/>
    <w:multiLevelType w:val="multilevel"/>
    <w:tmpl w:val="69847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FD37928"/>
    <w:multiLevelType w:val="hybridMultilevel"/>
    <w:tmpl w:val="A9801B42"/>
    <w:lvl w:ilvl="0" w:tplc="09183D36">
      <w:start w:val="1"/>
      <w:numFmt w:val="decimal"/>
      <w:lvlText w:val="%1)"/>
      <w:lvlJc w:val="left"/>
      <w:pPr>
        <w:ind w:left="720" w:hanging="360"/>
      </w:pPr>
    </w:lvl>
    <w:lvl w:ilvl="1" w:tplc="BDE6B1D2">
      <w:start w:val="1"/>
      <w:numFmt w:val="lowerLetter"/>
      <w:lvlText w:val="%2."/>
      <w:lvlJc w:val="left"/>
      <w:pPr>
        <w:ind w:left="1440" w:hanging="360"/>
      </w:pPr>
    </w:lvl>
    <w:lvl w:ilvl="2" w:tplc="5320889A">
      <w:start w:val="1"/>
      <w:numFmt w:val="lowerRoman"/>
      <w:lvlText w:val="%3."/>
      <w:lvlJc w:val="right"/>
      <w:pPr>
        <w:ind w:left="2160" w:hanging="180"/>
      </w:pPr>
    </w:lvl>
    <w:lvl w:ilvl="3" w:tplc="1DBADA32">
      <w:start w:val="1"/>
      <w:numFmt w:val="decimal"/>
      <w:lvlText w:val="%4."/>
      <w:lvlJc w:val="left"/>
      <w:pPr>
        <w:ind w:left="2880" w:hanging="360"/>
      </w:pPr>
    </w:lvl>
    <w:lvl w:ilvl="4" w:tplc="59C0700C">
      <w:start w:val="1"/>
      <w:numFmt w:val="lowerLetter"/>
      <w:lvlText w:val="%5."/>
      <w:lvlJc w:val="left"/>
      <w:pPr>
        <w:ind w:left="3600" w:hanging="360"/>
      </w:pPr>
    </w:lvl>
    <w:lvl w:ilvl="5" w:tplc="E24624D4">
      <w:start w:val="1"/>
      <w:numFmt w:val="lowerRoman"/>
      <w:lvlText w:val="%6."/>
      <w:lvlJc w:val="right"/>
      <w:pPr>
        <w:ind w:left="4320" w:hanging="180"/>
      </w:pPr>
    </w:lvl>
    <w:lvl w:ilvl="6" w:tplc="437E8E94">
      <w:start w:val="1"/>
      <w:numFmt w:val="decimal"/>
      <w:lvlText w:val="%7."/>
      <w:lvlJc w:val="left"/>
      <w:pPr>
        <w:ind w:left="5040" w:hanging="360"/>
      </w:pPr>
    </w:lvl>
    <w:lvl w:ilvl="7" w:tplc="262261BA">
      <w:start w:val="1"/>
      <w:numFmt w:val="lowerLetter"/>
      <w:lvlText w:val="%8."/>
      <w:lvlJc w:val="left"/>
      <w:pPr>
        <w:ind w:left="5760" w:hanging="360"/>
      </w:pPr>
    </w:lvl>
    <w:lvl w:ilvl="8" w:tplc="A45E534A">
      <w:start w:val="1"/>
      <w:numFmt w:val="lowerRoman"/>
      <w:lvlText w:val="%9."/>
      <w:lvlJc w:val="right"/>
      <w:pPr>
        <w:ind w:left="6480" w:hanging="180"/>
      </w:pPr>
    </w:lvl>
  </w:abstractNum>
  <w:abstractNum w:abstractNumId="96" w15:restartNumberingAfterBreak="0">
    <w:nsid w:val="718F4B7F"/>
    <w:multiLevelType w:val="hybridMultilevel"/>
    <w:tmpl w:val="F6B0653A"/>
    <w:lvl w:ilvl="0" w:tplc="18090001">
      <w:start w:val="1"/>
      <w:numFmt w:val="bullet"/>
      <w:lvlText w:val=""/>
      <w:lvlJc w:val="left"/>
      <w:pPr>
        <w:ind w:left="1174" w:hanging="360"/>
      </w:pPr>
      <w:rPr>
        <w:rFonts w:ascii="Symbol" w:hAnsi="Symbol" w:hint="default"/>
      </w:rPr>
    </w:lvl>
    <w:lvl w:ilvl="1" w:tplc="18090003" w:tentative="1">
      <w:start w:val="1"/>
      <w:numFmt w:val="bullet"/>
      <w:lvlText w:val="o"/>
      <w:lvlJc w:val="left"/>
      <w:pPr>
        <w:ind w:left="1894" w:hanging="360"/>
      </w:pPr>
      <w:rPr>
        <w:rFonts w:ascii="Courier New" w:hAnsi="Courier New" w:cs="Courier New" w:hint="default"/>
      </w:rPr>
    </w:lvl>
    <w:lvl w:ilvl="2" w:tplc="18090005" w:tentative="1">
      <w:start w:val="1"/>
      <w:numFmt w:val="bullet"/>
      <w:lvlText w:val=""/>
      <w:lvlJc w:val="left"/>
      <w:pPr>
        <w:ind w:left="2614" w:hanging="360"/>
      </w:pPr>
      <w:rPr>
        <w:rFonts w:ascii="Wingdings" w:hAnsi="Wingdings" w:hint="default"/>
      </w:rPr>
    </w:lvl>
    <w:lvl w:ilvl="3" w:tplc="18090001" w:tentative="1">
      <w:start w:val="1"/>
      <w:numFmt w:val="bullet"/>
      <w:lvlText w:val=""/>
      <w:lvlJc w:val="left"/>
      <w:pPr>
        <w:ind w:left="3334" w:hanging="360"/>
      </w:pPr>
      <w:rPr>
        <w:rFonts w:ascii="Symbol" w:hAnsi="Symbol" w:hint="default"/>
      </w:rPr>
    </w:lvl>
    <w:lvl w:ilvl="4" w:tplc="18090003" w:tentative="1">
      <w:start w:val="1"/>
      <w:numFmt w:val="bullet"/>
      <w:lvlText w:val="o"/>
      <w:lvlJc w:val="left"/>
      <w:pPr>
        <w:ind w:left="4054" w:hanging="360"/>
      </w:pPr>
      <w:rPr>
        <w:rFonts w:ascii="Courier New" w:hAnsi="Courier New" w:cs="Courier New" w:hint="default"/>
      </w:rPr>
    </w:lvl>
    <w:lvl w:ilvl="5" w:tplc="18090005" w:tentative="1">
      <w:start w:val="1"/>
      <w:numFmt w:val="bullet"/>
      <w:lvlText w:val=""/>
      <w:lvlJc w:val="left"/>
      <w:pPr>
        <w:ind w:left="4774" w:hanging="360"/>
      </w:pPr>
      <w:rPr>
        <w:rFonts w:ascii="Wingdings" w:hAnsi="Wingdings" w:hint="default"/>
      </w:rPr>
    </w:lvl>
    <w:lvl w:ilvl="6" w:tplc="18090001" w:tentative="1">
      <w:start w:val="1"/>
      <w:numFmt w:val="bullet"/>
      <w:lvlText w:val=""/>
      <w:lvlJc w:val="left"/>
      <w:pPr>
        <w:ind w:left="5494" w:hanging="360"/>
      </w:pPr>
      <w:rPr>
        <w:rFonts w:ascii="Symbol" w:hAnsi="Symbol" w:hint="default"/>
      </w:rPr>
    </w:lvl>
    <w:lvl w:ilvl="7" w:tplc="18090003" w:tentative="1">
      <w:start w:val="1"/>
      <w:numFmt w:val="bullet"/>
      <w:lvlText w:val="o"/>
      <w:lvlJc w:val="left"/>
      <w:pPr>
        <w:ind w:left="6214" w:hanging="360"/>
      </w:pPr>
      <w:rPr>
        <w:rFonts w:ascii="Courier New" w:hAnsi="Courier New" w:cs="Courier New" w:hint="default"/>
      </w:rPr>
    </w:lvl>
    <w:lvl w:ilvl="8" w:tplc="18090005" w:tentative="1">
      <w:start w:val="1"/>
      <w:numFmt w:val="bullet"/>
      <w:lvlText w:val=""/>
      <w:lvlJc w:val="left"/>
      <w:pPr>
        <w:ind w:left="6934" w:hanging="360"/>
      </w:pPr>
      <w:rPr>
        <w:rFonts w:ascii="Wingdings" w:hAnsi="Wingdings" w:hint="default"/>
      </w:rPr>
    </w:lvl>
  </w:abstractNum>
  <w:abstractNum w:abstractNumId="97" w15:restartNumberingAfterBreak="0">
    <w:nsid w:val="71DA7A2B"/>
    <w:multiLevelType w:val="hybridMultilevel"/>
    <w:tmpl w:val="024804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737D4875"/>
    <w:multiLevelType w:val="hybridMultilevel"/>
    <w:tmpl w:val="048E048E"/>
    <w:lvl w:ilvl="0" w:tplc="28EC52D0">
      <w:start w:val="1"/>
      <w:numFmt w:val="bullet"/>
      <w:lvlText w:val=""/>
      <w:lvlJc w:val="left"/>
      <w:pPr>
        <w:ind w:left="720" w:hanging="360"/>
      </w:pPr>
      <w:rPr>
        <w:rFonts w:ascii="Symbol" w:hAnsi="Symbol"/>
      </w:rPr>
    </w:lvl>
    <w:lvl w:ilvl="1" w:tplc="4C944220">
      <w:start w:val="1"/>
      <w:numFmt w:val="bullet"/>
      <w:lvlText w:val=""/>
      <w:lvlJc w:val="left"/>
      <w:pPr>
        <w:ind w:left="720" w:hanging="360"/>
      </w:pPr>
      <w:rPr>
        <w:rFonts w:ascii="Symbol" w:hAnsi="Symbol"/>
      </w:rPr>
    </w:lvl>
    <w:lvl w:ilvl="2" w:tplc="299498A8">
      <w:start w:val="1"/>
      <w:numFmt w:val="bullet"/>
      <w:lvlText w:val=""/>
      <w:lvlJc w:val="left"/>
      <w:pPr>
        <w:ind w:left="720" w:hanging="360"/>
      </w:pPr>
      <w:rPr>
        <w:rFonts w:ascii="Symbol" w:hAnsi="Symbol"/>
      </w:rPr>
    </w:lvl>
    <w:lvl w:ilvl="3" w:tplc="D0F01860">
      <w:start w:val="1"/>
      <w:numFmt w:val="bullet"/>
      <w:lvlText w:val=""/>
      <w:lvlJc w:val="left"/>
      <w:pPr>
        <w:ind w:left="720" w:hanging="360"/>
      </w:pPr>
      <w:rPr>
        <w:rFonts w:ascii="Symbol" w:hAnsi="Symbol"/>
      </w:rPr>
    </w:lvl>
    <w:lvl w:ilvl="4" w:tplc="5B427F8C">
      <w:start w:val="1"/>
      <w:numFmt w:val="bullet"/>
      <w:lvlText w:val=""/>
      <w:lvlJc w:val="left"/>
      <w:pPr>
        <w:ind w:left="720" w:hanging="360"/>
      </w:pPr>
      <w:rPr>
        <w:rFonts w:ascii="Symbol" w:hAnsi="Symbol"/>
      </w:rPr>
    </w:lvl>
    <w:lvl w:ilvl="5" w:tplc="7AEAFC7A">
      <w:start w:val="1"/>
      <w:numFmt w:val="bullet"/>
      <w:lvlText w:val=""/>
      <w:lvlJc w:val="left"/>
      <w:pPr>
        <w:ind w:left="720" w:hanging="360"/>
      </w:pPr>
      <w:rPr>
        <w:rFonts w:ascii="Symbol" w:hAnsi="Symbol"/>
      </w:rPr>
    </w:lvl>
    <w:lvl w:ilvl="6" w:tplc="827899F2">
      <w:start w:val="1"/>
      <w:numFmt w:val="bullet"/>
      <w:lvlText w:val=""/>
      <w:lvlJc w:val="left"/>
      <w:pPr>
        <w:ind w:left="720" w:hanging="360"/>
      </w:pPr>
      <w:rPr>
        <w:rFonts w:ascii="Symbol" w:hAnsi="Symbol"/>
      </w:rPr>
    </w:lvl>
    <w:lvl w:ilvl="7" w:tplc="4314C9B0">
      <w:start w:val="1"/>
      <w:numFmt w:val="bullet"/>
      <w:lvlText w:val=""/>
      <w:lvlJc w:val="left"/>
      <w:pPr>
        <w:ind w:left="720" w:hanging="360"/>
      </w:pPr>
      <w:rPr>
        <w:rFonts w:ascii="Symbol" w:hAnsi="Symbol"/>
      </w:rPr>
    </w:lvl>
    <w:lvl w:ilvl="8" w:tplc="ED8CB6DA">
      <w:start w:val="1"/>
      <w:numFmt w:val="bullet"/>
      <w:lvlText w:val=""/>
      <w:lvlJc w:val="left"/>
      <w:pPr>
        <w:ind w:left="720" w:hanging="360"/>
      </w:pPr>
      <w:rPr>
        <w:rFonts w:ascii="Symbol" w:hAnsi="Symbol"/>
      </w:rPr>
    </w:lvl>
  </w:abstractNum>
  <w:abstractNum w:abstractNumId="99" w15:restartNumberingAfterBreak="0">
    <w:nsid w:val="738465C3"/>
    <w:multiLevelType w:val="hybridMultilevel"/>
    <w:tmpl w:val="DE5E5DC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75076BF7"/>
    <w:multiLevelType w:val="hybridMultilevel"/>
    <w:tmpl w:val="E256AED2"/>
    <w:lvl w:ilvl="0" w:tplc="56D220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8982897"/>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A0D12AC"/>
    <w:multiLevelType w:val="hybridMultilevel"/>
    <w:tmpl w:val="9F5E73C6"/>
    <w:lvl w:ilvl="0" w:tplc="9A623C32">
      <w:start w:val="1"/>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3" w15:restartNumberingAfterBreak="0">
    <w:nsid w:val="7A236399"/>
    <w:multiLevelType w:val="multilevel"/>
    <w:tmpl w:val="481C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A76A106"/>
    <w:multiLevelType w:val="hybridMultilevel"/>
    <w:tmpl w:val="B330B2F0"/>
    <w:lvl w:ilvl="0" w:tplc="58C87BF8">
      <w:start w:val="1"/>
      <w:numFmt w:val="bullet"/>
      <w:lvlText w:val="-"/>
      <w:lvlJc w:val="left"/>
      <w:pPr>
        <w:ind w:left="720" w:hanging="360"/>
      </w:pPr>
      <w:rPr>
        <w:rFonts w:ascii="Aptos" w:hAnsi="Aptos" w:hint="default"/>
      </w:rPr>
    </w:lvl>
    <w:lvl w:ilvl="1" w:tplc="7E528D64">
      <w:start w:val="1"/>
      <w:numFmt w:val="bullet"/>
      <w:lvlText w:val="o"/>
      <w:lvlJc w:val="left"/>
      <w:pPr>
        <w:ind w:left="1440" w:hanging="360"/>
      </w:pPr>
      <w:rPr>
        <w:rFonts w:ascii="Courier New" w:hAnsi="Courier New" w:hint="default"/>
      </w:rPr>
    </w:lvl>
    <w:lvl w:ilvl="2" w:tplc="D0D872FE">
      <w:start w:val="1"/>
      <w:numFmt w:val="bullet"/>
      <w:lvlText w:val=""/>
      <w:lvlJc w:val="left"/>
      <w:pPr>
        <w:ind w:left="2160" w:hanging="360"/>
      </w:pPr>
      <w:rPr>
        <w:rFonts w:ascii="Wingdings" w:hAnsi="Wingdings" w:hint="default"/>
      </w:rPr>
    </w:lvl>
    <w:lvl w:ilvl="3" w:tplc="164A7396">
      <w:start w:val="1"/>
      <w:numFmt w:val="bullet"/>
      <w:lvlText w:val=""/>
      <w:lvlJc w:val="left"/>
      <w:pPr>
        <w:ind w:left="2880" w:hanging="360"/>
      </w:pPr>
      <w:rPr>
        <w:rFonts w:ascii="Symbol" w:hAnsi="Symbol" w:hint="default"/>
      </w:rPr>
    </w:lvl>
    <w:lvl w:ilvl="4" w:tplc="9B4E9A12">
      <w:start w:val="1"/>
      <w:numFmt w:val="bullet"/>
      <w:lvlText w:val="o"/>
      <w:lvlJc w:val="left"/>
      <w:pPr>
        <w:ind w:left="3600" w:hanging="360"/>
      </w:pPr>
      <w:rPr>
        <w:rFonts w:ascii="Courier New" w:hAnsi="Courier New" w:hint="default"/>
      </w:rPr>
    </w:lvl>
    <w:lvl w:ilvl="5" w:tplc="237A697C">
      <w:start w:val="1"/>
      <w:numFmt w:val="bullet"/>
      <w:lvlText w:val=""/>
      <w:lvlJc w:val="left"/>
      <w:pPr>
        <w:ind w:left="4320" w:hanging="360"/>
      </w:pPr>
      <w:rPr>
        <w:rFonts w:ascii="Wingdings" w:hAnsi="Wingdings" w:hint="default"/>
      </w:rPr>
    </w:lvl>
    <w:lvl w:ilvl="6" w:tplc="324C177C">
      <w:start w:val="1"/>
      <w:numFmt w:val="bullet"/>
      <w:lvlText w:val=""/>
      <w:lvlJc w:val="left"/>
      <w:pPr>
        <w:ind w:left="5040" w:hanging="360"/>
      </w:pPr>
      <w:rPr>
        <w:rFonts w:ascii="Symbol" w:hAnsi="Symbol" w:hint="default"/>
      </w:rPr>
    </w:lvl>
    <w:lvl w:ilvl="7" w:tplc="4112CB66">
      <w:start w:val="1"/>
      <w:numFmt w:val="bullet"/>
      <w:lvlText w:val="o"/>
      <w:lvlJc w:val="left"/>
      <w:pPr>
        <w:ind w:left="5760" w:hanging="360"/>
      </w:pPr>
      <w:rPr>
        <w:rFonts w:ascii="Courier New" w:hAnsi="Courier New" w:hint="default"/>
      </w:rPr>
    </w:lvl>
    <w:lvl w:ilvl="8" w:tplc="BBDEACB2">
      <w:start w:val="1"/>
      <w:numFmt w:val="bullet"/>
      <w:lvlText w:val=""/>
      <w:lvlJc w:val="left"/>
      <w:pPr>
        <w:ind w:left="6480" w:hanging="360"/>
      </w:pPr>
      <w:rPr>
        <w:rFonts w:ascii="Wingdings" w:hAnsi="Wingdings" w:hint="default"/>
      </w:rPr>
    </w:lvl>
  </w:abstractNum>
  <w:abstractNum w:abstractNumId="105" w15:restartNumberingAfterBreak="0">
    <w:nsid w:val="7ADB67B4"/>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B291BD0"/>
    <w:multiLevelType w:val="hybridMultilevel"/>
    <w:tmpl w:val="678AA392"/>
    <w:lvl w:ilvl="0" w:tplc="C3A63834">
      <w:start w:val="1"/>
      <w:numFmt w:val="decimal"/>
      <w:lvlText w:val="%1."/>
      <w:lvlJc w:val="left"/>
      <w:pPr>
        <w:ind w:left="720" w:hanging="360"/>
      </w:pPr>
    </w:lvl>
    <w:lvl w:ilvl="1" w:tplc="7E2CDEAC">
      <w:start w:val="1"/>
      <w:numFmt w:val="decimal"/>
      <w:lvlText w:val="%2."/>
      <w:lvlJc w:val="left"/>
      <w:pPr>
        <w:ind w:left="720" w:hanging="360"/>
      </w:pPr>
    </w:lvl>
    <w:lvl w:ilvl="2" w:tplc="E968E91E">
      <w:start w:val="1"/>
      <w:numFmt w:val="decimal"/>
      <w:lvlText w:val="%3."/>
      <w:lvlJc w:val="left"/>
      <w:pPr>
        <w:ind w:left="720" w:hanging="360"/>
      </w:pPr>
    </w:lvl>
    <w:lvl w:ilvl="3" w:tplc="CDE681CA">
      <w:start w:val="1"/>
      <w:numFmt w:val="decimal"/>
      <w:lvlText w:val="%4."/>
      <w:lvlJc w:val="left"/>
      <w:pPr>
        <w:ind w:left="720" w:hanging="360"/>
      </w:pPr>
    </w:lvl>
    <w:lvl w:ilvl="4" w:tplc="B26EB0C2">
      <w:start w:val="1"/>
      <w:numFmt w:val="decimal"/>
      <w:lvlText w:val="%5."/>
      <w:lvlJc w:val="left"/>
      <w:pPr>
        <w:ind w:left="720" w:hanging="360"/>
      </w:pPr>
    </w:lvl>
    <w:lvl w:ilvl="5" w:tplc="94841106">
      <w:start w:val="1"/>
      <w:numFmt w:val="decimal"/>
      <w:lvlText w:val="%6."/>
      <w:lvlJc w:val="left"/>
      <w:pPr>
        <w:ind w:left="720" w:hanging="360"/>
      </w:pPr>
    </w:lvl>
    <w:lvl w:ilvl="6" w:tplc="920A287C">
      <w:start w:val="1"/>
      <w:numFmt w:val="decimal"/>
      <w:lvlText w:val="%7."/>
      <w:lvlJc w:val="left"/>
      <w:pPr>
        <w:ind w:left="720" w:hanging="360"/>
      </w:pPr>
    </w:lvl>
    <w:lvl w:ilvl="7" w:tplc="74AC7DAC">
      <w:start w:val="1"/>
      <w:numFmt w:val="decimal"/>
      <w:lvlText w:val="%8."/>
      <w:lvlJc w:val="left"/>
      <w:pPr>
        <w:ind w:left="720" w:hanging="360"/>
      </w:pPr>
    </w:lvl>
    <w:lvl w:ilvl="8" w:tplc="D0D29BB2">
      <w:start w:val="1"/>
      <w:numFmt w:val="decimal"/>
      <w:lvlText w:val="%9."/>
      <w:lvlJc w:val="left"/>
      <w:pPr>
        <w:ind w:left="720" w:hanging="360"/>
      </w:pPr>
    </w:lvl>
  </w:abstractNum>
  <w:abstractNum w:abstractNumId="107" w15:restartNumberingAfterBreak="0">
    <w:nsid w:val="7BA3630E"/>
    <w:multiLevelType w:val="hybridMultilevel"/>
    <w:tmpl w:val="ABF451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8" w15:restartNumberingAfterBreak="0">
    <w:nsid w:val="7D5E9A6A"/>
    <w:multiLevelType w:val="hybridMultilevel"/>
    <w:tmpl w:val="D23E0C0A"/>
    <w:lvl w:ilvl="0" w:tplc="611C00D4">
      <w:start w:val="1"/>
      <w:numFmt w:val="bullet"/>
      <w:lvlText w:val="-"/>
      <w:lvlJc w:val="left"/>
      <w:pPr>
        <w:ind w:left="720" w:hanging="360"/>
      </w:pPr>
      <w:rPr>
        <w:rFonts w:ascii="Aptos" w:hAnsi="Aptos" w:hint="default"/>
      </w:rPr>
    </w:lvl>
    <w:lvl w:ilvl="1" w:tplc="301E4058">
      <w:start w:val="1"/>
      <w:numFmt w:val="bullet"/>
      <w:lvlText w:val="o"/>
      <w:lvlJc w:val="left"/>
      <w:pPr>
        <w:ind w:left="1440" w:hanging="360"/>
      </w:pPr>
      <w:rPr>
        <w:rFonts w:ascii="Courier New" w:hAnsi="Courier New" w:hint="default"/>
      </w:rPr>
    </w:lvl>
    <w:lvl w:ilvl="2" w:tplc="E6ECAF02">
      <w:start w:val="1"/>
      <w:numFmt w:val="bullet"/>
      <w:lvlText w:val=""/>
      <w:lvlJc w:val="left"/>
      <w:pPr>
        <w:ind w:left="2160" w:hanging="360"/>
      </w:pPr>
      <w:rPr>
        <w:rFonts w:ascii="Wingdings" w:hAnsi="Wingdings" w:hint="default"/>
      </w:rPr>
    </w:lvl>
    <w:lvl w:ilvl="3" w:tplc="6380872A">
      <w:start w:val="1"/>
      <w:numFmt w:val="bullet"/>
      <w:lvlText w:val=""/>
      <w:lvlJc w:val="left"/>
      <w:pPr>
        <w:ind w:left="2880" w:hanging="360"/>
      </w:pPr>
      <w:rPr>
        <w:rFonts w:ascii="Symbol" w:hAnsi="Symbol" w:hint="default"/>
      </w:rPr>
    </w:lvl>
    <w:lvl w:ilvl="4" w:tplc="B596B770">
      <w:start w:val="1"/>
      <w:numFmt w:val="bullet"/>
      <w:lvlText w:val="o"/>
      <w:lvlJc w:val="left"/>
      <w:pPr>
        <w:ind w:left="3600" w:hanging="360"/>
      </w:pPr>
      <w:rPr>
        <w:rFonts w:ascii="Courier New" w:hAnsi="Courier New" w:hint="default"/>
      </w:rPr>
    </w:lvl>
    <w:lvl w:ilvl="5" w:tplc="EA1E4212">
      <w:start w:val="1"/>
      <w:numFmt w:val="bullet"/>
      <w:lvlText w:val=""/>
      <w:lvlJc w:val="left"/>
      <w:pPr>
        <w:ind w:left="4320" w:hanging="360"/>
      </w:pPr>
      <w:rPr>
        <w:rFonts w:ascii="Wingdings" w:hAnsi="Wingdings" w:hint="default"/>
      </w:rPr>
    </w:lvl>
    <w:lvl w:ilvl="6" w:tplc="FF4EF4DC">
      <w:start w:val="1"/>
      <w:numFmt w:val="bullet"/>
      <w:lvlText w:val=""/>
      <w:lvlJc w:val="left"/>
      <w:pPr>
        <w:ind w:left="5040" w:hanging="360"/>
      </w:pPr>
      <w:rPr>
        <w:rFonts w:ascii="Symbol" w:hAnsi="Symbol" w:hint="default"/>
      </w:rPr>
    </w:lvl>
    <w:lvl w:ilvl="7" w:tplc="4696792A">
      <w:start w:val="1"/>
      <w:numFmt w:val="bullet"/>
      <w:lvlText w:val="o"/>
      <w:lvlJc w:val="left"/>
      <w:pPr>
        <w:ind w:left="5760" w:hanging="360"/>
      </w:pPr>
      <w:rPr>
        <w:rFonts w:ascii="Courier New" w:hAnsi="Courier New" w:hint="default"/>
      </w:rPr>
    </w:lvl>
    <w:lvl w:ilvl="8" w:tplc="D460EC4E">
      <w:start w:val="1"/>
      <w:numFmt w:val="bullet"/>
      <w:lvlText w:val=""/>
      <w:lvlJc w:val="left"/>
      <w:pPr>
        <w:ind w:left="6480" w:hanging="360"/>
      </w:pPr>
      <w:rPr>
        <w:rFonts w:ascii="Wingdings" w:hAnsi="Wingdings" w:hint="default"/>
      </w:rPr>
    </w:lvl>
  </w:abstractNum>
  <w:abstractNum w:abstractNumId="109" w15:restartNumberingAfterBreak="0">
    <w:nsid w:val="7EAC5F6B"/>
    <w:multiLevelType w:val="hybridMultilevel"/>
    <w:tmpl w:val="B590038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0" w15:restartNumberingAfterBreak="0">
    <w:nsid w:val="7FCE65A8"/>
    <w:multiLevelType w:val="multilevel"/>
    <w:tmpl w:val="60925B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5"/>
  </w:num>
  <w:num w:numId="2">
    <w:abstractNumId w:val="78"/>
  </w:num>
  <w:num w:numId="3">
    <w:abstractNumId w:val="95"/>
  </w:num>
  <w:num w:numId="4">
    <w:abstractNumId w:val="60"/>
  </w:num>
  <w:num w:numId="5">
    <w:abstractNumId w:val="33"/>
  </w:num>
  <w:num w:numId="6">
    <w:abstractNumId w:val="20"/>
  </w:num>
  <w:num w:numId="7">
    <w:abstractNumId w:val="2"/>
  </w:num>
  <w:num w:numId="8">
    <w:abstractNumId w:val="0"/>
  </w:num>
  <w:num w:numId="9">
    <w:abstractNumId w:val="4"/>
  </w:num>
  <w:num w:numId="10">
    <w:abstractNumId w:val="36"/>
  </w:num>
  <w:num w:numId="11">
    <w:abstractNumId w:val="36"/>
  </w:num>
  <w:num w:numId="12">
    <w:abstractNumId w:val="109"/>
  </w:num>
  <w:num w:numId="13">
    <w:abstractNumId w:val="97"/>
  </w:num>
  <w:num w:numId="14">
    <w:abstractNumId w:val="107"/>
  </w:num>
  <w:num w:numId="15">
    <w:abstractNumId w:val="32"/>
  </w:num>
  <w:num w:numId="16">
    <w:abstractNumId w:val="65"/>
  </w:num>
  <w:num w:numId="1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6"/>
  </w:num>
  <w:num w:numId="19">
    <w:abstractNumId w:val="60"/>
  </w:num>
  <w:num w:numId="20">
    <w:abstractNumId w:val="13"/>
  </w:num>
  <w:num w:numId="21">
    <w:abstractNumId w:val="26"/>
  </w:num>
  <w:num w:numId="22">
    <w:abstractNumId w:val="60"/>
  </w:num>
  <w:num w:numId="23">
    <w:abstractNumId w:val="60"/>
  </w:num>
  <w:num w:numId="24">
    <w:abstractNumId w:val="37"/>
  </w:num>
  <w:num w:numId="25">
    <w:abstractNumId w:val="106"/>
  </w:num>
  <w:num w:numId="26">
    <w:abstractNumId w:val="5"/>
  </w:num>
  <w:num w:numId="27">
    <w:abstractNumId w:val="60"/>
  </w:num>
  <w:num w:numId="28">
    <w:abstractNumId w:val="16"/>
  </w:num>
  <w:num w:numId="29">
    <w:abstractNumId w:val="66"/>
  </w:num>
  <w:num w:numId="30">
    <w:abstractNumId w:val="60"/>
  </w:num>
  <w:num w:numId="31">
    <w:abstractNumId w:val="60"/>
  </w:num>
  <w:num w:numId="32">
    <w:abstractNumId w:val="60"/>
  </w:num>
  <w:num w:numId="33">
    <w:abstractNumId w:val="82"/>
  </w:num>
  <w:num w:numId="34">
    <w:abstractNumId w:val="60"/>
  </w:num>
  <w:num w:numId="35">
    <w:abstractNumId w:val="74"/>
  </w:num>
  <w:num w:numId="36">
    <w:abstractNumId w:val="70"/>
  </w:num>
  <w:num w:numId="37">
    <w:abstractNumId w:val="98"/>
  </w:num>
  <w:num w:numId="3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6"/>
  </w:num>
  <w:num w:numId="40">
    <w:abstractNumId w:val="63"/>
  </w:num>
  <w:num w:numId="41">
    <w:abstractNumId w:val="62"/>
  </w:num>
  <w:num w:numId="42">
    <w:abstractNumId w:val="39"/>
  </w:num>
  <w:num w:numId="43">
    <w:abstractNumId w:val="58"/>
  </w:num>
  <w:num w:numId="44">
    <w:abstractNumId w:val="83"/>
  </w:num>
  <w:num w:numId="45">
    <w:abstractNumId w:val="7"/>
  </w:num>
  <w:num w:numId="4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4"/>
  </w:num>
  <w:num w:numId="48">
    <w:abstractNumId w:val="23"/>
  </w:num>
  <w:num w:numId="49">
    <w:abstractNumId w:val="30"/>
  </w:num>
  <w:num w:numId="50">
    <w:abstractNumId w:val="40"/>
  </w:num>
  <w:num w:numId="51">
    <w:abstractNumId w:val="10"/>
  </w:num>
  <w:num w:numId="52">
    <w:abstractNumId w:val="31"/>
  </w:num>
  <w:num w:numId="53">
    <w:abstractNumId w:val="79"/>
  </w:num>
  <w:num w:numId="54">
    <w:abstractNumId w:val="60"/>
  </w:num>
  <w:num w:numId="55">
    <w:abstractNumId w:val="17"/>
  </w:num>
  <w:num w:numId="56">
    <w:abstractNumId w:val="11"/>
  </w:num>
  <w:num w:numId="57">
    <w:abstractNumId w:val="73"/>
  </w:num>
  <w:num w:numId="58">
    <w:abstractNumId w:val="69"/>
  </w:num>
  <w:num w:numId="59">
    <w:abstractNumId w:val="22"/>
  </w:num>
  <w:num w:numId="60">
    <w:abstractNumId w:val="81"/>
  </w:num>
  <w:num w:numId="61">
    <w:abstractNumId w:val="21"/>
  </w:num>
  <w:num w:numId="62">
    <w:abstractNumId w:val="99"/>
  </w:num>
  <w:num w:numId="63">
    <w:abstractNumId w:val="85"/>
  </w:num>
  <w:num w:numId="64">
    <w:abstractNumId w:val="38"/>
  </w:num>
  <w:num w:numId="65">
    <w:abstractNumId w:val="19"/>
  </w:num>
  <w:num w:numId="66">
    <w:abstractNumId w:val="33"/>
  </w:num>
  <w:num w:numId="67">
    <w:abstractNumId w:val="92"/>
  </w:num>
  <w:num w:numId="68">
    <w:abstractNumId w:val="33"/>
  </w:num>
  <w:num w:numId="69">
    <w:abstractNumId w:val="33"/>
  </w:num>
  <w:num w:numId="70">
    <w:abstractNumId w:val="59"/>
  </w:num>
  <w:num w:numId="71">
    <w:abstractNumId w:val="34"/>
  </w:num>
  <w:num w:numId="72">
    <w:abstractNumId w:val="33"/>
  </w:num>
  <w:num w:numId="73">
    <w:abstractNumId w:val="51"/>
  </w:num>
  <w:num w:numId="74">
    <w:abstractNumId w:val="48"/>
  </w:num>
  <w:num w:numId="7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num>
  <w:num w:numId="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4"/>
  </w:num>
  <w:num w:numId="79">
    <w:abstractNumId w:val="71"/>
  </w:num>
  <w:num w:numId="80">
    <w:abstractNumId w:val="80"/>
  </w:num>
  <w:num w:numId="81">
    <w:abstractNumId w:val="29"/>
  </w:num>
  <w:num w:numId="82">
    <w:abstractNumId w:val="50"/>
  </w:num>
  <w:num w:numId="83">
    <w:abstractNumId w:val="3"/>
  </w:num>
  <w:num w:numId="84">
    <w:abstractNumId w:val="18"/>
  </w:num>
  <w:num w:numId="85">
    <w:abstractNumId w:val="47"/>
  </w:num>
  <w:num w:numId="86">
    <w:abstractNumId w:val="52"/>
  </w:num>
  <w:num w:numId="87">
    <w:abstractNumId w:val="24"/>
  </w:num>
  <w:num w:numId="88">
    <w:abstractNumId w:val="6"/>
  </w:num>
  <w:num w:numId="89">
    <w:abstractNumId w:val="76"/>
  </w:num>
  <w:num w:numId="90">
    <w:abstractNumId w:val="101"/>
  </w:num>
  <w:num w:numId="91">
    <w:abstractNumId w:val="25"/>
  </w:num>
  <w:num w:numId="92">
    <w:abstractNumId w:val="102"/>
  </w:num>
  <w:num w:numId="93">
    <w:abstractNumId w:val="88"/>
  </w:num>
  <w:num w:numId="94">
    <w:abstractNumId w:val="54"/>
  </w:num>
  <w:num w:numId="95">
    <w:abstractNumId w:val="87"/>
  </w:num>
  <w:num w:numId="96">
    <w:abstractNumId w:val="53"/>
  </w:num>
  <w:num w:numId="97">
    <w:abstractNumId w:val="49"/>
  </w:num>
  <w:num w:numId="98">
    <w:abstractNumId w:val="72"/>
  </w:num>
  <w:num w:numId="99">
    <w:abstractNumId w:val="28"/>
  </w:num>
  <w:num w:numId="100">
    <w:abstractNumId w:val="14"/>
  </w:num>
  <w:num w:numId="101">
    <w:abstractNumId w:val="93"/>
  </w:num>
  <w:num w:numId="102">
    <w:abstractNumId w:val="41"/>
  </w:num>
  <w:num w:numId="103">
    <w:abstractNumId w:val="108"/>
  </w:num>
  <w:num w:numId="104">
    <w:abstractNumId w:val="43"/>
  </w:num>
  <w:num w:numId="105">
    <w:abstractNumId w:val="15"/>
  </w:num>
  <w:num w:numId="106">
    <w:abstractNumId w:val="104"/>
  </w:num>
  <w:num w:numId="107">
    <w:abstractNumId w:val="91"/>
  </w:num>
  <w:num w:numId="108">
    <w:abstractNumId w:val="86"/>
  </w:num>
  <w:num w:numId="109">
    <w:abstractNumId w:val="75"/>
  </w:num>
  <w:num w:numId="110">
    <w:abstractNumId w:val="67"/>
  </w:num>
  <w:num w:numId="111">
    <w:abstractNumId w:val="103"/>
  </w:num>
  <w:num w:numId="112">
    <w:abstractNumId w:val="44"/>
  </w:num>
  <w:num w:numId="113">
    <w:abstractNumId w:val="57"/>
  </w:num>
  <w:num w:numId="114">
    <w:abstractNumId w:val="1"/>
  </w:num>
  <w:num w:numId="115">
    <w:abstractNumId w:val="55"/>
  </w:num>
  <w:num w:numId="116">
    <w:abstractNumId w:val="94"/>
  </w:num>
  <w:num w:numId="117">
    <w:abstractNumId w:val="45"/>
  </w:num>
  <w:num w:numId="118">
    <w:abstractNumId w:val="90"/>
  </w:num>
  <w:num w:numId="119">
    <w:abstractNumId w:val="105"/>
  </w:num>
  <w:num w:numId="120">
    <w:abstractNumId w:val="9"/>
  </w:num>
  <w:num w:numId="121">
    <w:abstractNumId w:val="68"/>
  </w:num>
  <w:num w:numId="122">
    <w:abstractNumId w:val="61"/>
  </w:num>
  <w:num w:numId="123">
    <w:abstractNumId w:val="46"/>
  </w:num>
  <w:num w:numId="124">
    <w:abstractNumId w:val="89"/>
  </w:num>
  <w:num w:numId="125">
    <w:abstractNumId w:val="100"/>
  </w:num>
  <w:num w:numId="126">
    <w:abstractNumId w:val="27"/>
  </w:num>
  <w:num w:numId="127">
    <w:abstractNumId w:val="42"/>
  </w:num>
  <w:num w:numId="128">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0"/>
  </w:num>
  <w:num w:numId="131">
    <w:abstractNumId w:val="12"/>
    <w:lvlOverride w:ilvl="0">
      <w:startOverride w:val="8"/>
    </w:lvlOverride>
  </w:num>
  <w:num w:numId="132">
    <w:abstractNumId w:val="8"/>
  </w:num>
  <w:num w:numId="133">
    <w:abstractNumId w:val="77"/>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63259C8E-E591-481D-9025-857CFDCE4C81"/>
    <w:docVar w:name="LW_COVERPAGE_TYPE" w:val="1"/>
    <w:docVar w:name="LW_CROSSREFERENCE" w:val="{SEC(2024) 64 final} - {SWD(2024) 63 final} - {SWD(2024) 64 final}"/>
    <w:docVar w:name="LW_DocType" w:val="NORMAL"/>
    <w:docVar w:name="LW_EMISSION" w:val="6.2.2024"/>
    <w:docVar w:name="LW_EMISSION_ISODATE" w:val="2024-02-06"/>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ecuring our future_x000d__x000d__x000d__x000b__x000d__x000d__x000d__x000b_Europe's 2040 climate target and path to climate neutrality by 2050 building a sustainable, just and prosperous society"/>
    <w:docVar w:name="LW_TYPE.DOC.CP" w:val="COMMUNICATION FROM THE COMMISSION TO THE EUROPEAN PARLIAMENT, THE COUNCIL, THE EUROPEAN ECONOMIC AND SOCIAL COMMITTEE AND THE COMMITTEE OF THE REGIONS"/>
    <w:docVar w:name="LW_TYPE.DOC.CP.USERTEXT" w:val="&lt;EMPTY&gt;"/>
    <w:docVar w:name="LwApiVersions" w:val="LW4CoDe 1.24.4.0; LW 9.0, Build 20240125"/>
  </w:docVars>
  <w:rsids>
    <w:rsidRoot w:val="00F22527"/>
    <w:rsid w:val="00000136"/>
    <w:rsid w:val="0000020D"/>
    <w:rsid w:val="0000032A"/>
    <w:rsid w:val="000003B3"/>
    <w:rsid w:val="000003EA"/>
    <w:rsid w:val="00000476"/>
    <w:rsid w:val="0000053B"/>
    <w:rsid w:val="000006AA"/>
    <w:rsid w:val="000008A9"/>
    <w:rsid w:val="00000AD2"/>
    <w:rsid w:val="00000AFE"/>
    <w:rsid w:val="00000C3E"/>
    <w:rsid w:val="000010D6"/>
    <w:rsid w:val="00001118"/>
    <w:rsid w:val="000011B3"/>
    <w:rsid w:val="00001241"/>
    <w:rsid w:val="0000126A"/>
    <w:rsid w:val="000012C9"/>
    <w:rsid w:val="0000142A"/>
    <w:rsid w:val="000014F0"/>
    <w:rsid w:val="0000178A"/>
    <w:rsid w:val="000017FA"/>
    <w:rsid w:val="00001990"/>
    <w:rsid w:val="00001AE0"/>
    <w:rsid w:val="00001CBF"/>
    <w:rsid w:val="00001F36"/>
    <w:rsid w:val="000021AC"/>
    <w:rsid w:val="000021C5"/>
    <w:rsid w:val="00002251"/>
    <w:rsid w:val="000022B9"/>
    <w:rsid w:val="000022C6"/>
    <w:rsid w:val="0000230D"/>
    <w:rsid w:val="000027E1"/>
    <w:rsid w:val="000028A0"/>
    <w:rsid w:val="0000290A"/>
    <w:rsid w:val="00002985"/>
    <w:rsid w:val="00002A6F"/>
    <w:rsid w:val="00002A72"/>
    <w:rsid w:val="00002B1E"/>
    <w:rsid w:val="00002C97"/>
    <w:rsid w:val="00002FF3"/>
    <w:rsid w:val="0000312F"/>
    <w:rsid w:val="000031BE"/>
    <w:rsid w:val="0000329B"/>
    <w:rsid w:val="000033B3"/>
    <w:rsid w:val="0000345B"/>
    <w:rsid w:val="000034DF"/>
    <w:rsid w:val="000034F1"/>
    <w:rsid w:val="00003562"/>
    <w:rsid w:val="00003755"/>
    <w:rsid w:val="00003960"/>
    <w:rsid w:val="00003A06"/>
    <w:rsid w:val="00003A67"/>
    <w:rsid w:val="00003B03"/>
    <w:rsid w:val="00003C61"/>
    <w:rsid w:val="00003CBD"/>
    <w:rsid w:val="00003DDD"/>
    <w:rsid w:val="00003EBE"/>
    <w:rsid w:val="00003F77"/>
    <w:rsid w:val="00003FDB"/>
    <w:rsid w:val="0000452D"/>
    <w:rsid w:val="00004537"/>
    <w:rsid w:val="000045B2"/>
    <w:rsid w:val="0000460D"/>
    <w:rsid w:val="000047E3"/>
    <w:rsid w:val="000047F3"/>
    <w:rsid w:val="00004A21"/>
    <w:rsid w:val="00004A5C"/>
    <w:rsid w:val="00004ABC"/>
    <w:rsid w:val="00004B3F"/>
    <w:rsid w:val="00004CED"/>
    <w:rsid w:val="000050A5"/>
    <w:rsid w:val="000054D3"/>
    <w:rsid w:val="000054E0"/>
    <w:rsid w:val="000054F8"/>
    <w:rsid w:val="00005720"/>
    <w:rsid w:val="0000572E"/>
    <w:rsid w:val="0000575D"/>
    <w:rsid w:val="0000596A"/>
    <w:rsid w:val="00005D06"/>
    <w:rsid w:val="00005E5B"/>
    <w:rsid w:val="00005EE3"/>
    <w:rsid w:val="00006301"/>
    <w:rsid w:val="000064F0"/>
    <w:rsid w:val="0000668D"/>
    <w:rsid w:val="0000681F"/>
    <w:rsid w:val="00006F92"/>
    <w:rsid w:val="0000702B"/>
    <w:rsid w:val="00007352"/>
    <w:rsid w:val="00007392"/>
    <w:rsid w:val="000074B4"/>
    <w:rsid w:val="000075AB"/>
    <w:rsid w:val="000075C1"/>
    <w:rsid w:val="000076CD"/>
    <w:rsid w:val="000078B3"/>
    <w:rsid w:val="00007949"/>
    <w:rsid w:val="00007B61"/>
    <w:rsid w:val="00007D75"/>
    <w:rsid w:val="00007E25"/>
    <w:rsid w:val="00007FCB"/>
    <w:rsid w:val="000100A7"/>
    <w:rsid w:val="000100E3"/>
    <w:rsid w:val="00010168"/>
    <w:rsid w:val="0001023F"/>
    <w:rsid w:val="00010356"/>
    <w:rsid w:val="00010523"/>
    <w:rsid w:val="0001054E"/>
    <w:rsid w:val="00010637"/>
    <w:rsid w:val="00010759"/>
    <w:rsid w:val="00010921"/>
    <w:rsid w:val="00010952"/>
    <w:rsid w:val="000109F7"/>
    <w:rsid w:val="00010A9D"/>
    <w:rsid w:val="00010ADB"/>
    <w:rsid w:val="00010B0B"/>
    <w:rsid w:val="00010BB3"/>
    <w:rsid w:val="00010CF2"/>
    <w:rsid w:val="00010FA7"/>
    <w:rsid w:val="00011060"/>
    <w:rsid w:val="00011167"/>
    <w:rsid w:val="00011365"/>
    <w:rsid w:val="000113D0"/>
    <w:rsid w:val="0001152C"/>
    <w:rsid w:val="0001156A"/>
    <w:rsid w:val="0001160D"/>
    <w:rsid w:val="00011724"/>
    <w:rsid w:val="00011805"/>
    <w:rsid w:val="0001182F"/>
    <w:rsid w:val="00011920"/>
    <w:rsid w:val="00011AFC"/>
    <w:rsid w:val="00011B58"/>
    <w:rsid w:val="00011C1C"/>
    <w:rsid w:val="00011C79"/>
    <w:rsid w:val="00011C92"/>
    <w:rsid w:val="00011E0F"/>
    <w:rsid w:val="00012162"/>
    <w:rsid w:val="000121C8"/>
    <w:rsid w:val="000121D4"/>
    <w:rsid w:val="000122D8"/>
    <w:rsid w:val="0001240A"/>
    <w:rsid w:val="0001240B"/>
    <w:rsid w:val="000125EA"/>
    <w:rsid w:val="00012749"/>
    <w:rsid w:val="00012781"/>
    <w:rsid w:val="0001284E"/>
    <w:rsid w:val="0001289E"/>
    <w:rsid w:val="000129D7"/>
    <w:rsid w:val="00012A0B"/>
    <w:rsid w:val="00012AF9"/>
    <w:rsid w:val="00012B1A"/>
    <w:rsid w:val="00012B36"/>
    <w:rsid w:val="00012FA0"/>
    <w:rsid w:val="00012FB1"/>
    <w:rsid w:val="00013016"/>
    <w:rsid w:val="000131DD"/>
    <w:rsid w:val="000131E9"/>
    <w:rsid w:val="00013259"/>
    <w:rsid w:val="000132DE"/>
    <w:rsid w:val="000135F4"/>
    <w:rsid w:val="0001364C"/>
    <w:rsid w:val="0001365F"/>
    <w:rsid w:val="000137A1"/>
    <w:rsid w:val="00013A57"/>
    <w:rsid w:val="00013A87"/>
    <w:rsid w:val="00013B86"/>
    <w:rsid w:val="00013DEC"/>
    <w:rsid w:val="00013E67"/>
    <w:rsid w:val="00013FED"/>
    <w:rsid w:val="00014176"/>
    <w:rsid w:val="0001448D"/>
    <w:rsid w:val="00014852"/>
    <w:rsid w:val="0001488A"/>
    <w:rsid w:val="00014908"/>
    <w:rsid w:val="00014993"/>
    <w:rsid w:val="00014AF5"/>
    <w:rsid w:val="00014B47"/>
    <w:rsid w:val="00014D6E"/>
    <w:rsid w:val="00014EBC"/>
    <w:rsid w:val="00014FA2"/>
    <w:rsid w:val="00014FF4"/>
    <w:rsid w:val="00015385"/>
    <w:rsid w:val="0001543C"/>
    <w:rsid w:val="000154B2"/>
    <w:rsid w:val="000154DB"/>
    <w:rsid w:val="0001565F"/>
    <w:rsid w:val="00015742"/>
    <w:rsid w:val="000158C5"/>
    <w:rsid w:val="0001595A"/>
    <w:rsid w:val="000159B0"/>
    <w:rsid w:val="00015A73"/>
    <w:rsid w:val="00015A83"/>
    <w:rsid w:val="00015A9E"/>
    <w:rsid w:val="00015B02"/>
    <w:rsid w:val="00015B2D"/>
    <w:rsid w:val="00015C00"/>
    <w:rsid w:val="00015C23"/>
    <w:rsid w:val="00015C8F"/>
    <w:rsid w:val="00015CD9"/>
    <w:rsid w:val="00015DD6"/>
    <w:rsid w:val="00015FDC"/>
    <w:rsid w:val="00016010"/>
    <w:rsid w:val="00016025"/>
    <w:rsid w:val="000161AA"/>
    <w:rsid w:val="000162AD"/>
    <w:rsid w:val="00016337"/>
    <w:rsid w:val="00016499"/>
    <w:rsid w:val="00016863"/>
    <w:rsid w:val="000168A6"/>
    <w:rsid w:val="00016A18"/>
    <w:rsid w:val="00016A40"/>
    <w:rsid w:val="00016B1B"/>
    <w:rsid w:val="00016BAE"/>
    <w:rsid w:val="00016FAD"/>
    <w:rsid w:val="00017034"/>
    <w:rsid w:val="00017490"/>
    <w:rsid w:val="00017492"/>
    <w:rsid w:val="00017835"/>
    <w:rsid w:val="0001790A"/>
    <w:rsid w:val="0001796B"/>
    <w:rsid w:val="00017A49"/>
    <w:rsid w:val="00017C16"/>
    <w:rsid w:val="00017C76"/>
    <w:rsid w:val="00017CF8"/>
    <w:rsid w:val="00017EAA"/>
    <w:rsid w:val="00017F16"/>
    <w:rsid w:val="0002007E"/>
    <w:rsid w:val="0002029F"/>
    <w:rsid w:val="0002030A"/>
    <w:rsid w:val="000204D2"/>
    <w:rsid w:val="0002056C"/>
    <w:rsid w:val="000207D6"/>
    <w:rsid w:val="00020A10"/>
    <w:rsid w:val="00020A47"/>
    <w:rsid w:val="00020BA5"/>
    <w:rsid w:val="00020EB9"/>
    <w:rsid w:val="000215CB"/>
    <w:rsid w:val="00021698"/>
    <w:rsid w:val="00021738"/>
    <w:rsid w:val="00021837"/>
    <w:rsid w:val="00021A8E"/>
    <w:rsid w:val="00021AFE"/>
    <w:rsid w:val="00021B1D"/>
    <w:rsid w:val="00021CF3"/>
    <w:rsid w:val="00021D0B"/>
    <w:rsid w:val="00021D36"/>
    <w:rsid w:val="00021DBF"/>
    <w:rsid w:val="0002205B"/>
    <w:rsid w:val="000221CA"/>
    <w:rsid w:val="000221ED"/>
    <w:rsid w:val="0002222F"/>
    <w:rsid w:val="00022396"/>
    <w:rsid w:val="000227D9"/>
    <w:rsid w:val="00022B9A"/>
    <w:rsid w:val="00022BEE"/>
    <w:rsid w:val="00022C44"/>
    <w:rsid w:val="00022D30"/>
    <w:rsid w:val="00022D35"/>
    <w:rsid w:val="00022D52"/>
    <w:rsid w:val="00022E1F"/>
    <w:rsid w:val="00022FE9"/>
    <w:rsid w:val="00022FF0"/>
    <w:rsid w:val="00023045"/>
    <w:rsid w:val="0002305B"/>
    <w:rsid w:val="0002315C"/>
    <w:rsid w:val="0002322B"/>
    <w:rsid w:val="0002331E"/>
    <w:rsid w:val="0002339F"/>
    <w:rsid w:val="00023418"/>
    <w:rsid w:val="00023521"/>
    <w:rsid w:val="000237A9"/>
    <w:rsid w:val="000237B7"/>
    <w:rsid w:val="0002381A"/>
    <w:rsid w:val="0002384F"/>
    <w:rsid w:val="000238A8"/>
    <w:rsid w:val="000238D8"/>
    <w:rsid w:val="000239FF"/>
    <w:rsid w:val="00023BDC"/>
    <w:rsid w:val="00023C30"/>
    <w:rsid w:val="00023CCA"/>
    <w:rsid w:val="00023E15"/>
    <w:rsid w:val="00023F12"/>
    <w:rsid w:val="00023F68"/>
    <w:rsid w:val="000241C7"/>
    <w:rsid w:val="00024200"/>
    <w:rsid w:val="000245F5"/>
    <w:rsid w:val="0002474D"/>
    <w:rsid w:val="000247A3"/>
    <w:rsid w:val="00024A38"/>
    <w:rsid w:val="00024B36"/>
    <w:rsid w:val="00024E5C"/>
    <w:rsid w:val="00024E9B"/>
    <w:rsid w:val="00024F92"/>
    <w:rsid w:val="00025006"/>
    <w:rsid w:val="00025120"/>
    <w:rsid w:val="00025318"/>
    <w:rsid w:val="0002539C"/>
    <w:rsid w:val="0002540B"/>
    <w:rsid w:val="000254A3"/>
    <w:rsid w:val="000254CF"/>
    <w:rsid w:val="00025589"/>
    <w:rsid w:val="00025652"/>
    <w:rsid w:val="00025711"/>
    <w:rsid w:val="00025773"/>
    <w:rsid w:val="00025A39"/>
    <w:rsid w:val="00025BA0"/>
    <w:rsid w:val="00025C0D"/>
    <w:rsid w:val="00025C3D"/>
    <w:rsid w:val="00025D48"/>
    <w:rsid w:val="00025E67"/>
    <w:rsid w:val="0002617B"/>
    <w:rsid w:val="00026220"/>
    <w:rsid w:val="000263D5"/>
    <w:rsid w:val="000268D0"/>
    <w:rsid w:val="00026B44"/>
    <w:rsid w:val="00026BE1"/>
    <w:rsid w:val="00026F4E"/>
    <w:rsid w:val="00026F99"/>
    <w:rsid w:val="000270B0"/>
    <w:rsid w:val="00027145"/>
    <w:rsid w:val="00027514"/>
    <w:rsid w:val="0002778F"/>
    <w:rsid w:val="0002790D"/>
    <w:rsid w:val="00027C7D"/>
    <w:rsid w:val="00030024"/>
    <w:rsid w:val="00030178"/>
    <w:rsid w:val="0003020E"/>
    <w:rsid w:val="000302E8"/>
    <w:rsid w:val="000302EE"/>
    <w:rsid w:val="00030351"/>
    <w:rsid w:val="000303A2"/>
    <w:rsid w:val="00030487"/>
    <w:rsid w:val="000305C5"/>
    <w:rsid w:val="000305CD"/>
    <w:rsid w:val="00030717"/>
    <w:rsid w:val="00030747"/>
    <w:rsid w:val="000308F7"/>
    <w:rsid w:val="000309CC"/>
    <w:rsid w:val="00030AD8"/>
    <w:rsid w:val="00030B07"/>
    <w:rsid w:val="00030B73"/>
    <w:rsid w:val="00030BA1"/>
    <w:rsid w:val="00030BE7"/>
    <w:rsid w:val="00030C95"/>
    <w:rsid w:val="00030E0C"/>
    <w:rsid w:val="00030FBB"/>
    <w:rsid w:val="0003105E"/>
    <w:rsid w:val="000310F6"/>
    <w:rsid w:val="000311FF"/>
    <w:rsid w:val="000313CF"/>
    <w:rsid w:val="00031465"/>
    <w:rsid w:val="000314EB"/>
    <w:rsid w:val="00031605"/>
    <w:rsid w:val="0003164C"/>
    <w:rsid w:val="00031665"/>
    <w:rsid w:val="00031710"/>
    <w:rsid w:val="0003178A"/>
    <w:rsid w:val="00031796"/>
    <w:rsid w:val="00031829"/>
    <w:rsid w:val="000319F5"/>
    <w:rsid w:val="00031AF9"/>
    <w:rsid w:val="00031C1C"/>
    <w:rsid w:val="00031C86"/>
    <w:rsid w:val="00031DD5"/>
    <w:rsid w:val="00031E2E"/>
    <w:rsid w:val="00032088"/>
    <w:rsid w:val="0003217E"/>
    <w:rsid w:val="0003226B"/>
    <w:rsid w:val="0003240F"/>
    <w:rsid w:val="0003259F"/>
    <w:rsid w:val="000326F2"/>
    <w:rsid w:val="00032713"/>
    <w:rsid w:val="0003272E"/>
    <w:rsid w:val="00032753"/>
    <w:rsid w:val="00032872"/>
    <w:rsid w:val="00032AA8"/>
    <w:rsid w:val="00032C61"/>
    <w:rsid w:val="00032CC3"/>
    <w:rsid w:val="00032D10"/>
    <w:rsid w:val="00032E32"/>
    <w:rsid w:val="00032F17"/>
    <w:rsid w:val="0003309C"/>
    <w:rsid w:val="000330A9"/>
    <w:rsid w:val="00033292"/>
    <w:rsid w:val="000332A0"/>
    <w:rsid w:val="0003340C"/>
    <w:rsid w:val="000335C7"/>
    <w:rsid w:val="000336B1"/>
    <w:rsid w:val="0003378B"/>
    <w:rsid w:val="000338CA"/>
    <w:rsid w:val="00033AB6"/>
    <w:rsid w:val="00033B86"/>
    <w:rsid w:val="00033BAD"/>
    <w:rsid w:val="00033C53"/>
    <w:rsid w:val="00033CF5"/>
    <w:rsid w:val="00033D10"/>
    <w:rsid w:val="00033F31"/>
    <w:rsid w:val="00033F42"/>
    <w:rsid w:val="00034014"/>
    <w:rsid w:val="00034072"/>
    <w:rsid w:val="00034123"/>
    <w:rsid w:val="00034621"/>
    <w:rsid w:val="000346FE"/>
    <w:rsid w:val="00034812"/>
    <w:rsid w:val="00034983"/>
    <w:rsid w:val="000349CA"/>
    <w:rsid w:val="00034B33"/>
    <w:rsid w:val="00034CAC"/>
    <w:rsid w:val="00034D07"/>
    <w:rsid w:val="00034DA3"/>
    <w:rsid w:val="00034E1C"/>
    <w:rsid w:val="00034E31"/>
    <w:rsid w:val="00034E9F"/>
    <w:rsid w:val="00034F33"/>
    <w:rsid w:val="000350AB"/>
    <w:rsid w:val="00035112"/>
    <w:rsid w:val="00035153"/>
    <w:rsid w:val="000352FF"/>
    <w:rsid w:val="00035376"/>
    <w:rsid w:val="0003554D"/>
    <w:rsid w:val="000355F4"/>
    <w:rsid w:val="00035653"/>
    <w:rsid w:val="00035A1F"/>
    <w:rsid w:val="00035C22"/>
    <w:rsid w:val="00035C35"/>
    <w:rsid w:val="00035CE3"/>
    <w:rsid w:val="00035F0C"/>
    <w:rsid w:val="00035F84"/>
    <w:rsid w:val="000360D1"/>
    <w:rsid w:val="00036100"/>
    <w:rsid w:val="0003657F"/>
    <w:rsid w:val="000366BB"/>
    <w:rsid w:val="00036799"/>
    <w:rsid w:val="000367A6"/>
    <w:rsid w:val="000367AF"/>
    <w:rsid w:val="000367BA"/>
    <w:rsid w:val="00036892"/>
    <w:rsid w:val="00036949"/>
    <w:rsid w:val="00036957"/>
    <w:rsid w:val="000369FE"/>
    <w:rsid w:val="00036A3D"/>
    <w:rsid w:val="00036AA2"/>
    <w:rsid w:val="00036C4C"/>
    <w:rsid w:val="00036D7B"/>
    <w:rsid w:val="00036E7D"/>
    <w:rsid w:val="00036FAC"/>
    <w:rsid w:val="0003700C"/>
    <w:rsid w:val="00037184"/>
    <w:rsid w:val="00037195"/>
    <w:rsid w:val="000372FE"/>
    <w:rsid w:val="0003739E"/>
    <w:rsid w:val="00037435"/>
    <w:rsid w:val="0003753A"/>
    <w:rsid w:val="000375A5"/>
    <w:rsid w:val="000377C5"/>
    <w:rsid w:val="000378D5"/>
    <w:rsid w:val="00037A23"/>
    <w:rsid w:val="00037D5A"/>
    <w:rsid w:val="00037ED6"/>
    <w:rsid w:val="00037FBE"/>
    <w:rsid w:val="00040026"/>
    <w:rsid w:val="0004002D"/>
    <w:rsid w:val="00040091"/>
    <w:rsid w:val="00040167"/>
    <w:rsid w:val="000401E9"/>
    <w:rsid w:val="00040458"/>
    <w:rsid w:val="00040480"/>
    <w:rsid w:val="00040508"/>
    <w:rsid w:val="00040731"/>
    <w:rsid w:val="00040796"/>
    <w:rsid w:val="00040802"/>
    <w:rsid w:val="00040868"/>
    <w:rsid w:val="00040968"/>
    <w:rsid w:val="00040991"/>
    <w:rsid w:val="00040B28"/>
    <w:rsid w:val="00040E0D"/>
    <w:rsid w:val="00040E16"/>
    <w:rsid w:val="00040FAE"/>
    <w:rsid w:val="00040FFE"/>
    <w:rsid w:val="000410CE"/>
    <w:rsid w:val="000410E0"/>
    <w:rsid w:val="00041187"/>
    <w:rsid w:val="000411D6"/>
    <w:rsid w:val="0004125E"/>
    <w:rsid w:val="0004146F"/>
    <w:rsid w:val="0004151C"/>
    <w:rsid w:val="0004154D"/>
    <w:rsid w:val="00041595"/>
    <w:rsid w:val="00041603"/>
    <w:rsid w:val="00041734"/>
    <w:rsid w:val="00041770"/>
    <w:rsid w:val="000417C7"/>
    <w:rsid w:val="00041831"/>
    <w:rsid w:val="00041946"/>
    <w:rsid w:val="00041A5B"/>
    <w:rsid w:val="00041CD9"/>
    <w:rsid w:val="00041D22"/>
    <w:rsid w:val="00041D9F"/>
    <w:rsid w:val="00041EED"/>
    <w:rsid w:val="00042112"/>
    <w:rsid w:val="0004219E"/>
    <w:rsid w:val="000421E0"/>
    <w:rsid w:val="000424FC"/>
    <w:rsid w:val="00042570"/>
    <w:rsid w:val="00042686"/>
    <w:rsid w:val="000426C3"/>
    <w:rsid w:val="000426D0"/>
    <w:rsid w:val="00042735"/>
    <w:rsid w:val="00042C86"/>
    <w:rsid w:val="0004307D"/>
    <w:rsid w:val="000431B8"/>
    <w:rsid w:val="00043252"/>
    <w:rsid w:val="000433D2"/>
    <w:rsid w:val="000434CF"/>
    <w:rsid w:val="000434D2"/>
    <w:rsid w:val="0004370C"/>
    <w:rsid w:val="000437A6"/>
    <w:rsid w:val="000437A8"/>
    <w:rsid w:val="00043863"/>
    <w:rsid w:val="00043967"/>
    <w:rsid w:val="000439A8"/>
    <w:rsid w:val="00043ACB"/>
    <w:rsid w:val="00043C8E"/>
    <w:rsid w:val="00043D22"/>
    <w:rsid w:val="00043D2B"/>
    <w:rsid w:val="00043D62"/>
    <w:rsid w:val="0004419B"/>
    <w:rsid w:val="00044241"/>
    <w:rsid w:val="000442F1"/>
    <w:rsid w:val="000442F8"/>
    <w:rsid w:val="000443D4"/>
    <w:rsid w:val="000443E3"/>
    <w:rsid w:val="00044547"/>
    <w:rsid w:val="0004470A"/>
    <w:rsid w:val="0004489F"/>
    <w:rsid w:val="00044909"/>
    <w:rsid w:val="00044938"/>
    <w:rsid w:val="00044B34"/>
    <w:rsid w:val="00044FAE"/>
    <w:rsid w:val="00044FBB"/>
    <w:rsid w:val="00045169"/>
    <w:rsid w:val="000451CD"/>
    <w:rsid w:val="00045291"/>
    <w:rsid w:val="00045372"/>
    <w:rsid w:val="000453A3"/>
    <w:rsid w:val="000453F3"/>
    <w:rsid w:val="00045431"/>
    <w:rsid w:val="0004566F"/>
    <w:rsid w:val="000457E0"/>
    <w:rsid w:val="00045887"/>
    <w:rsid w:val="000458BF"/>
    <w:rsid w:val="00045A15"/>
    <w:rsid w:val="00045A88"/>
    <w:rsid w:val="00045C1A"/>
    <w:rsid w:val="00045FBA"/>
    <w:rsid w:val="000461D8"/>
    <w:rsid w:val="000461E0"/>
    <w:rsid w:val="000461F5"/>
    <w:rsid w:val="000462E8"/>
    <w:rsid w:val="00046425"/>
    <w:rsid w:val="00046445"/>
    <w:rsid w:val="000465B4"/>
    <w:rsid w:val="0004666D"/>
    <w:rsid w:val="0004667A"/>
    <w:rsid w:val="00046755"/>
    <w:rsid w:val="00046794"/>
    <w:rsid w:val="00046A8C"/>
    <w:rsid w:val="00046C12"/>
    <w:rsid w:val="00046E74"/>
    <w:rsid w:val="00046F12"/>
    <w:rsid w:val="00046F9C"/>
    <w:rsid w:val="0004704F"/>
    <w:rsid w:val="00047087"/>
    <w:rsid w:val="000470BF"/>
    <w:rsid w:val="000473A1"/>
    <w:rsid w:val="00047452"/>
    <w:rsid w:val="000475E8"/>
    <w:rsid w:val="00047786"/>
    <w:rsid w:val="00047B4F"/>
    <w:rsid w:val="00047CEC"/>
    <w:rsid w:val="00047E7B"/>
    <w:rsid w:val="00047EF5"/>
    <w:rsid w:val="00050080"/>
    <w:rsid w:val="00050149"/>
    <w:rsid w:val="00050301"/>
    <w:rsid w:val="000505A8"/>
    <w:rsid w:val="000506C2"/>
    <w:rsid w:val="00050ACC"/>
    <w:rsid w:val="00050B31"/>
    <w:rsid w:val="00050B63"/>
    <w:rsid w:val="00050CCC"/>
    <w:rsid w:val="00050D06"/>
    <w:rsid w:val="00050D14"/>
    <w:rsid w:val="00050F34"/>
    <w:rsid w:val="000511FF"/>
    <w:rsid w:val="00051303"/>
    <w:rsid w:val="000514CD"/>
    <w:rsid w:val="000514DE"/>
    <w:rsid w:val="00051662"/>
    <w:rsid w:val="00051713"/>
    <w:rsid w:val="00051850"/>
    <w:rsid w:val="00051855"/>
    <w:rsid w:val="00051944"/>
    <w:rsid w:val="000519B6"/>
    <w:rsid w:val="00051AE3"/>
    <w:rsid w:val="00051B5E"/>
    <w:rsid w:val="00051DB3"/>
    <w:rsid w:val="00051DC8"/>
    <w:rsid w:val="00051FFE"/>
    <w:rsid w:val="00052156"/>
    <w:rsid w:val="000521F8"/>
    <w:rsid w:val="00052235"/>
    <w:rsid w:val="00052454"/>
    <w:rsid w:val="00052506"/>
    <w:rsid w:val="00052770"/>
    <w:rsid w:val="00052ABF"/>
    <w:rsid w:val="00052B3E"/>
    <w:rsid w:val="00052B45"/>
    <w:rsid w:val="00052B8A"/>
    <w:rsid w:val="00052F4F"/>
    <w:rsid w:val="00052F8A"/>
    <w:rsid w:val="00053186"/>
    <w:rsid w:val="000533F6"/>
    <w:rsid w:val="00053505"/>
    <w:rsid w:val="0005377E"/>
    <w:rsid w:val="000537DA"/>
    <w:rsid w:val="0005392F"/>
    <w:rsid w:val="00053D4B"/>
    <w:rsid w:val="00053F69"/>
    <w:rsid w:val="00053FEB"/>
    <w:rsid w:val="000540E7"/>
    <w:rsid w:val="00054200"/>
    <w:rsid w:val="00054205"/>
    <w:rsid w:val="0005427A"/>
    <w:rsid w:val="000545B6"/>
    <w:rsid w:val="00054646"/>
    <w:rsid w:val="000546D5"/>
    <w:rsid w:val="000547F7"/>
    <w:rsid w:val="00054949"/>
    <w:rsid w:val="00054C0F"/>
    <w:rsid w:val="00054C25"/>
    <w:rsid w:val="00054D1D"/>
    <w:rsid w:val="00054E22"/>
    <w:rsid w:val="00054EF5"/>
    <w:rsid w:val="00054F6E"/>
    <w:rsid w:val="00055236"/>
    <w:rsid w:val="00055541"/>
    <w:rsid w:val="000555EB"/>
    <w:rsid w:val="00055637"/>
    <w:rsid w:val="000558B9"/>
    <w:rsid w:val="00055D1E"/>
    <w:rsid w:val="00055D26"/>
    <w:rsid w:val="00055D8C"/>
    <w:rsid w:val="00055F44"/>
    <w:rsid w:val="00055F61"/>
    <w:rsid w:val="00055F71"/>
    <w:rsid w:val="0005621A"/>
    <w:rsid w:val="00056265"/>
    <w:rsid w:val="000563A3"/>
    <w:rsid w:val="0005647E"/>
    <w:rsid w:val="0005660A"/>
    <w:rsid w:val="00056688"/>
    <w:rsid w:val="000569A6"/>
    <w:rsid w:val="00056B4E"/>
    <w:rsid w:val="00056B75"/>
    <w:rsid w:val="00056E09"/>
    <w:rsid w:val="00056EAC"/>
    <w:rsid w:val="00056F1E"/>
    <w:rsid w:val="00057208"/>
    <w:rsid w:val="000572BE"/>
    <w:rsid w:val="00057320"/>
    <w:rsid w:val="0005747C"/>
    <w:rsid w:val="0005756C"/>
    <w:rsid w:val="0005762D"/>
    <w:rsid w:val="00057630"/>
    <w:rsid w:val="000576C9"/>
    <w:rsid w:val="00057798"/>
    <w:rsid w:val="00057905"/>
    <w:rsid w:val="00057A82"/>
    <w:rsid w:val="00057C26"/>
    <w:rsid w:val="00057CF8"/>
    <w:rsid w:val="00060080"/>
    <w:rsid w:val="0006036C"/>
    <w:rsid w:val="000603EC"/>
    <w:rsid w:val="00060540"/>
    <w:rsid w:val="000605D6"/>
    <w:rsid w:val="000605E0"/>
    <w:rsid w:val="00060616"/>
    <w:rsid w:val="0006061F"/>
    <w:rsid w:val="000606C2"/>
    <w:rsid w:val="000607DA"/>
    <w:rsid w:val="000608C7"/>
    <w:rsid w:val="000608CE"/>
    <w:rsid w:val="000608EA"/>
    <w:rsid w:val="000608F0"/>
    <w:rsid w:val="00060B83"/>
    <w:rsid w:val="00060BE8"/>
    <w:rsid w:val="00060C09"/>
    <w:rsid w:val="00060CFB"/>
    <w:rsid w:val="00060D0C"/>
    <w:rsid w:val="00060FE6"/>
    <w:rsid w:val="00061099"/>
    <w:rsid w:val="0006127A"/>
    <w:rsid w:val="0006129D"/>
    <w:rsid w:val="000612CF"/>
    <w:rsid w:val="000613D6"/>
    <w:rsid w:val="0006151C"/>
    <w:rsid w:val="000615F7"/>
    <w:rsid w:val="000617EA"/>
    <w:rsid w:val="00061B16"/>
    <w:rsid w:val="00061B26"/>
    <w:rsid w:val="00061B82"/>
    <w:rsid w:val="00061DCB"/>
    <w:rsid w:val="00061ECB"/>
    <w:rsid w:val="00061EE0"/>
    <w:rsid w:val="0006201B"/>
    <w:rsid w:val="000622E3"/>
    <w:rsid w:val="0006237C"/>
    <w:rsid w:val="00062467"/>
    <w:rsid w:val="000625BC"/>
    <w:rsid w:val="000626AD"/>
    <w:rsid w:val="000629F7"/>
    <w:rsid w:val="00062A16"/>
    <w:rsid w:val="00062B4C"/>
    <w:rsid w:val="00062C90"/>
    <w:rsid w:val="00062E01"/>
    <w:rsid w:val="00062F25"/>
    <w:rsid w:val="00062F33"/>
    <w:rsid w:val="0006303D"/>
    <w:rsid w:val="00063132"/>
    <w:rsid w:val="00063239"/>
    <w:rsid w:val="000632C5"/>
    <w:rsid w:val="00063342"/>
    <w:rsid w:val="0006353E"/>
    <w:rsid w:val="0006354C"/>
    <w:rsid w:val="000635E7"/>
    <w:rsid w:val="0006366E"/>
    <w:rsid w:val="00063978"/>
    <w:rsid w:val="000639ED"/>
    <w:rsid w:val="00063D30"/>
    <w:rsid w:val="00063DC7"/>
    <w:rsid w:val="00063F9F"/>
    <w:rsid w:val="0006408E"/>
    <w:rsid w:val="0006409C"/>
    <w:rsid w:val="0006457D"/>
    <w:rsid w:val="00064621"/>
    <w:rsid w:val="00064670"/>
    <w:rsid w:val="000649EB"/>
    <w:rsid w:val="00064A5C"/>
    <w:rsid w:val="00064ACC"/>
    <w:rsid w:val="00064AD2"/>
    <w:rsid w:val="00064B6C"/>
    <w:rsid w:val="00064B7B"/>
    <w:rsid w:val="00064CC0"/>
    <w:rsid w:val="00064D5C"/>
    <w:rsid w:val="00064FB5"/>
    <w:rsid w:val="0006549A"/>
    <w:rsid w:val="000654C2"/>
    <w:rsid w:val="000654CA"/>
    <w:rsid w:val="00065691"/>
    <w:rsid w:val="000657BB"/>
    <w:rsid w:val="000659F2"/>
    <w:rsid w:val="00065AF7"/>
    <w:rsid w:val="00065EAF"/>
    <w:rsid w:val="00065F4A"/>
    <w:rsid w:val="00066173"/>
    <w:rsid w:val="000662F1"/>
    <w:rsid w:val="00066449"/>
    <w:rsid w:val="00066625"/>
    <w:rsid w:val="00066774"/>
    <w:rsid w:val="0006681C"/>
    <w:rsid w:val="0006689B"/>
    <w:rsid w:val="000668D3"/>
    <w:rsid w:val="000669CD"/>
    <w:rsid w:val="00066EE2"/>
    <w:rsid w:val="00067205"/>
    <w:rsid w:val="00067483"/>
    <w:rsid w:val="00067527"/>
    <w:rsid w:val="00067B0A"/>
    <w:rsid w:val="00067BED"/>
    <w:rsid w:val="00067C6B"/>
    <w:rsid w:val="00067DA8"/>
    <w:rsid w:val="00067DE0"/>
    <w:rsid w:val="00067F74"/>
    <w:rsid w:val="00067FDF"/>
    <w:rsid w:val="0007002B"/>
    <w:rsid w:val="0007005E"/>
    <w:rsid w:val="00070159"/>
    <w:rsid w:val="000701FD"/>
    <w:rsid w:val="000703A1"/>
    <w:rsid w:val="00070576"/>
    <w:rsid w:val="000705B8"/>
    <w:rsid w:val="000706E6"/>
    <w:rsid w:val="000706F2"/>
    <w:rsid w:val="00070746"/>
    <w:rsid w:val="00070776"/>
    <w:rsid w:val="0007081E"/>
    <w:rsid w:val="000709A2"/>
    <w:rsid w:val="000709E7"/>
    <w:rsid w:val="00070D0B"/>
    <w:rsid w:val="00070DC9"/>
    <w:rsid w:val="00070FB4"/>
    <w:rsid w:val="00070FBB"/>
    <w:rsid w:val="00071124"/>
    <w:rsid w:val="000711C1"/>
    <w:rsid w:val="00071278"/>
    <w:rsid w:val="000714C4"/>
    <w:rsid w:val="000715AA"/>
    <w:rsid w:val="0007164F"/>
    <w:rsid w:val="00071658"/>
    <w:rsid w:val="00071824"/>
    <w:rsid w:val="000718CF"/>
    <w:rsid w:val="00072091"/>
    <w:rsid w:val="00072093"/>
    <w:rsid w:val="0007214E"/>
    <w:rsid w:val="00072197"/>
    <w:rsid w:val="000721FD"/>
    <w:rsid w:val="00072604"/>
    <w:rsid w:val="000727C4"/>
    <w:rsid w:val="00072971"/>
    <w:rsid w:val="00072995"/>
    <w:rsid w:val="00072AA3"/>
    <w:rsid w:val="00072BC1"/>
    <w:rsid w:val="00072D09"/>
    <w:rsid w:val="00072DD0"/>
    <w:rsid w:val="00072EBB"/>
    <w:rsid w:val="00072EE5"/>
    <w:rsid w:val="00072F7C"/>
    <w:rsid w:val="0007308F"/>
    <w:rsid w:val="000730FA"/>
    <w:rsid w:val="00073312"/>
    <w:rsid w:val="0007338F"/>
    <w:rsid w:val="000733FC"/>
    <w:rsid w:val="000734E1"/>
    <w:rsid w:val="00073911"/>
    <w:rsid w:val="000739F4"/>
    <w:rsid w:val="00073B89"/>
    <w:rsid w:val="00073BA4"/>
    <w:rsid w:val="00073BE3"/>
    <w:rsid w:val="00073C7D"/>
    <w:rsid w:val="00073D54"/>
    <w:rsid w:val="00073DBD"/>
    <w:rsid w:val="00073E54"/>
    <w:rsid w:val="00073F5F"/>
    <w:rsid w:val="0007403A"/>
    <w:rsid w:val="000740A2"/>
    <w:rsid w:val="00074268"/>
    <w:rsid w:val="00074322"/>
    <w:rsid w:val="0007453A"/>
    <w:rsid w:val="000746AA"/>
    <w:rsid w:val="000746D0"/>
    <w:rsid w:val="00074843"/>
    <w:rsid w:val="000748A8"/>
    <w:rsid w:val="00074937"/>
    <w:rsid w:val="00074A47"/>
    <w:rsid w:val="00074A7C"/>
    <w:rsid w:val="00074B75"/>
    <w:rsid w:val="00074C61"/>
    <w:rsid w:val="00074F36"/>
    <w:rsid w:val="00074FCD"/>
    <w:rsid w:val="00074FFE"/>
    <w:rsid w:val="0007504B"/>
    <w:rsid w:val="00075265"/>
    <w:rsid w:val="00075286"/>
    <w:rsid w:val="00075302"/>
    <w:rsid w:val="0007530B"/>
    <w:rsid w:val="000754C6"/>
    <w:rsid w:val="00075527"/>
    <w:rsid w:val="000755C4"/>
    <w:rsid w:val="0007567E"/>
    <w:rsid w:val="00075A55"/>
    <w:rsid w:val="00075BAC"/>
    <w:rsid w:val="00075BCD"/>
    <w:rsid w:val="00075BD1"/>
    <w:rsid w:val="00075C4D"/>
    <w:rsid w:val="00075CF2"/>
    <w:rsid w:val="00075E75"/>
    <w:rsid w:val="00075E9F"/>
    <w:rsid w:val="00075F9E"/>
    <w:rsid w:val="000760D6"/>
    <w:rsid w:val="0007610F"/>
    <w:rsid w:val="00076150"/>
    <w:rsid w:val="00076168"/>
    <w:rsid w:val="00076192"/>
    <w:rsid w:val="000761D4"/>
    <w:rsid w:val="000762A4"/>
    <w:rsid w:val="0007652B"/>
    <w:rsid w:val="000766B4"/>
    <w:rsid w:val="00076730"/>
    <w:rsid w:val="000767ED"/>
    <w:rsid w:val="00076869"/>
    <w:rsid w:val="00076B87"/>
    <w:rsid w:val="00076BF7"/>
    <w:rsid w:val="00076CA6"/>
    <w:rsid w:val="00077307"/>
    <w:rsid w:val="00077484"/>
    <w:rsid w:val="000776FE"/>
    <w:rsid w:val="00077828"/>
    <w:rsid w:val="0007784E"/>
    <w:rsid w:val="0007798B"/>
    <w:rsid w:val="000779D5"/>
    <w:rsid w:val="00077ADA"/>
    <w:rsid w:val="00077C37"/>
    <w:rsid w:val="00077D52"/>
    <w:rsid w:val="00077ED2"/>
    <w:rsid w:val="00077F51"/>
    <w:rsid w:val="00080162"/>
    <w:rsid w:val="000801E1"/>
    <w:rsid w:val="000802CB"/>
    <w:rsid w:val="000804E1"/>
    <w:rsid w:val="0008071C"/>
    <w:rsid w:val="0008091B"/>
    <w:rsid w:val="00080999"/>
    <w:rsid w:val="00080A04"/>
    <w:rsid w:val="00080AE9"/>
    <w:rsid w:val="00080B9D"/>
    <w:rsid w:val="00080BEF"/>
    <w:rsid w:val="00080BF8"/>
    <w:rsid w:val="00080BFF"/>
    <w:rsid w:val="00080EB5"/>
    <w:rsid w:val="00080EB8"/>
    <w:rsid w:val="00080F1E"/>
    <w:rsid w:val="00080FC3"/>
    <w:rsid w:val="000810B5"/>
    <w:rsid w:val="000811A9"/>
    <w:rsid w:val="000814BC"/>
    <w:rsid w:val="00081519"/>
    <w:rsid w:val="00081552"/>
    <w:rsid w:val="00081555"/>
    <w:rsid w:val="00081573"/>
    <w:rsid w:val="000817D1"/>
    <w:rsid w:val="00081AAE"/>
    <w:rsid w:val="00081BAE"/>
    <w:rsid w:val="00081C77"/>
    <w:rsid w:val="00081ED6"/>
    <w:rsid w:val="00081F78"/>
    <w:rsid w:val="000820B1"/>
    <w:rsid w:val="00082118"/>
    <w:rsid w:val="000821CB"/>
    <w:rsid w:val="00082201"/>
    <w:rsid w:val="000822BF"/>
    <w:rsid w:val="00082310"/>
    <w:rsid w:val="00082511"/>
    <w:rsid w:val="000825B0"/>
    <w:rsid w:val="00082662"/>
    <w:rsid w:val="00082906"/>
    <w:rsid w:val="00082A80"/>
    <w:rsid w:val="00082B1F"/>
    <w:rsid w:val="00082BF9"/>
    <w:rsid w:val="00082C92"/>
    <w:rsid w:val="00082E09"/>
    <w:rsid w:val="00082EFF"/>
    <w:rsid w:val="00082F47"/>
    <w:rsid w:val="0008325B"/>
    <w:rsid w:val="000832CD"/>
    <w:rsid w:val="00083321"/>
    <w:rsid w:val="00083353"/>
    <w:rsid w:val="0008374C"/>
    <w:rsid w:val="000837BE"/>
    <w:rsid w:val="0008393D"/>
    <w:rsid w:val="0008394F"/>
    <w:rsid w:val="00083A26"/>
    <w:rsid w:val="00083BA9"/>
    <w:rsid w:val="00083E3D"/>
    <w:rsid w:val="00083EA8"/>
    <w:rsid w:val="00083F2C"/>
    <w:rsid w:val="00083F48"/>
    <w:rsid w:val="00084133"/>
    <w:rsid w:val="0008413C"/>
    <w:rsid w:val="00084163"/>
    <w:rsid w:val="00084325"/>
    <w:rsid w:val="00084398"/>
    <w:rsid w:val="000844F1"/>
    <w:rsid w:val="000844FC"/>
    <w:rsid w:val="0008458C"/>
    <w:rsid w:val="0008461A"/>
    <w:rsid w:val="0008463B"/>
    <w:rsid w:val="000847F1"/>
    <w:rsid w:val="00084C51"/>
    <w:rsid w:val="00084E21"/>
    <w:rsid w:val="00084F4A"/>
    <w:rsid w:val="00084FC0"/>
    <w:rsid w:val="000850D9"/>
    <w:rsid w:val="000853C9"/>
    <w:rsid w:val="000856FC"/>
    <w:rsid w:val="00085733"/>
    <w:rsid w:val="000857C3"/>
    <w:rsid w:val="0008598E"/>
    <w:rsid w:val="000859BF"/>
    <w:rsid w:val="00085B10"/>
    <w:rsid w:val="00085B69"/>
    <w:rsid w:val="00085D6C"/>
    <w:rsid w:val="00085D6F"/>
    <w:rsid w:val="00085E84"/>
    <w:rsid w:val="0008625C"/>
    <w:rsid w:val="000865A2"/>
    <w:rsid w:val="00086671"/>
    <w:rsid w:val="00086710"/>
    <w:rsid w:val="000868BC"/>
    <w:rsid w:val="00086CF4"/>
    <w:rsid w:val="00086D4E"/>
    <w:rsid w:val="00086D7D"/>
    <w:rsid w:val="00086F9D"/>
    <w:rsid w:val="0008707B"/>
    <w:rsid w:val="000871ED"/>
    <w:rsid w:val="00087583"/>
    <w:rsid w:val="000875BC"/>
    <w:rsid w:val="00087714"/>
    <w:rsid w:val="000877CB"/>
    <w:rsid w:val="00087D1A"/>
    <w:rsid w:val="00087E80"/>
    <w:rsid w:val="00087ED3"/>
    <w:rsid w:val="00087EFD"/>
    <w:rsid w:val="00087FEC"/>
    <w:rsid w:val="00090166"/>
    <w:rsid w:val="000901ED"/>
    <w:rsid w:val="00090378"/>
    <w:rsid w:val="00090782"/>
    <w:rsid w:val="00090825"/>
    <w:rsid w:val="00090861"/>
    <w:rsid w:val="00090AC8"/>
    <w:rsid w:val="00090BE0"/>
    <w:rsid w:val="00090D0C"/>
    <w:rsid w:val="00090DEC"/>
    <w:rsid w:val="00090F52"/>
    <w:rsid w:val="00090F73"/>
    <w:rsid w:val="00090FEA"/>
    <w:rsid w:val="000910D4"/>
    <w:rsid w:val="00091349"/>
    <w:rsid w:val="00091504"/>
    <w:rsid w:val="0009168E"/>
    <w:rsid w:val="000916A8"/>
    <w:rsid w:val="00091735"/>
    <w:rsid w:val="00091843"/>
    <w:rsid w:val="0009188D"/>
    <w:rsid w:val="0009188E"/>
    <w:rsid w:val="000918DC"/>
    <w:rsid w:val="000918E7"/>
    <w:rsid w:val="00091B45"/>
    <w:rsid w:val="00091B48"/>
    <w:rsid w:val="00091BBC"/>
    <w:rsid w:val="00091D04"/>
    <w:rsid w:val="00091D61"/>
    <w:rsid w:val="00091EA9"/>
    <w:rsid w:val="0009217D"/>
    <w:rsid w:val="000923AF"/>
    <w:rsid w:val="000923CC"/>
    <w:rsid w:val="0009249C"/>
    <w:rsid w:val="00092684"/>
    <w:rsid w:val="00092792"/>
    <w:rsid w:val="0009285B"/>
    <w:rsid w:val="00092925"/>
    <w:rsid w:val="000929C7"/>
    <w:rsid w:val="00092AE1"/>
    <w:rsid w:val="00092B9B"/>
    <w:rsid w:val="00092D09"/>
    <w:rsid w:val="00092D2D"/>
    <w:rsid w:val="00092D61"/>
    <w:rsid w:val="00092F45"/>
    <w:rsid w:val="00093042"/>
    <w:rsid w:val="00093060"/>
    <w:rsid w:val="00093196"/>
    <w:rsid w:val="0009348F"/>
    <w:rsid w:val="000934FD"/>
    <w:rsid w:val="000935DC"/>
    <w:rsid w:val="00093993"/>
    <w:rsid w:val="00093A25"/>
    <w:rsid w:val="00093C80"/>
    <w:rsid w:val="00093EC9"/>
    <w:rsid w:val="000941D3"/>
    <w:rsid w:val="0009434B"/>
    <w:rsid w:val="000943F8"/>
    <w:rsid w:val="00094486"/>
    <w:rsid w:val="000944DB"/>
    <w:rsid w:val="0009461F"/>
    <w:rsid w:val="0009465B"/>
    <w:rsid w:val="0009473E"/>
    <w:rsid w:val="00094871"/>
    <w:rsid w:val="0009498F"/>
    <w:rsid w:val="000949D8"/>
    <w:rsid w:val="000949EC"/>
    <w:rsid w:val="00094A44"/>
    <w:rsid w:val="00094A72"/>
    <w:rsid w:val="00094D1F"/>
    <w:rsid w:val="00095031"/>
    <w:rsid w:val="000956DA"/>
    <w:rsid w:val="0009576A"/>
    <w:rsid w:val="0009591D"/>
    <w:rsid w:val="00095D66"/>
    <w:rsid w:val="00095EE9"/>
    <w:rsid w:val="0009619A"/>
    <w:rsid w:val="000961EF"/>
    <w:rsid w:val="00096225"/>
    <w:rsid w:val="00096238"/>
    <w:rsid w:val="00096623"/>
    <w:rsid w:val="00096691"/>
    <w:rsid w:val="000969DA"/>
    <w:rsid w:val="00096A17"/>
    <w:rsid w:val="00096B16"/>
    <w:rsid w:val="00096D97"/>
    <w:rsid w:val="0009702F"/>
    <w:rsid w:val="000970B0"/>
    <w:rsid w:val="000970D8"/>
    <w:rsid w:val="00097295"/>
    <w:rsid w:val="00097354"/>
    <w:rsid w:val="000973C8"/>
    <w:rsid w:val="000975B4"/>
    <w:rsid w:val="00097684"/>
    <w:rsid w:val="00097D92"/>
    <w:rsid w:val="00097DA0"/>
    <w:rsid w:val="00097DB8"/>
    <w:rsid w:val="00097DF3"/>
    <w:rsid w:val="00097E2B"/>
    <w:rsid w:val="00097EA2"/>
    <w:rsid w:val="00097ECA"/>
    <w:rsid w:val="000A03D1"/>
    <w:rsid w:val="000A0484"/>
    <w:rsid w:val="000A05E2"/>
    <w:rsid w:val="000A0774"/>
    <w:rsid w:val="000A083B"/>
    <w:rsid w:val="000A08AC"/>
    <w:rsid w:val="000A098D"/>
    <w:rsid w:val="000A0A3A"/>
    <w:rsid w:val="000A0BA7"/>
    <w:rsid w:val="000A0BE8"/>
    <w:rsid w:val="000A0CC8"/>
    <w:rsid w:val="000A0E3E"/>
    <w:rsid w:val="000A109E"/>
    <w:rsid w:val="000A12BE"/>
    <w:rsid w:val="000A13BC"/>
    <w:rsid w:val="000A1508"/>
    <w:rsid w:val="000A1563"/>
    <w:rsid w:val="000A158B"/>
    <w:rsid w:val="000A161F"/>
    <w:rsid w:val="000A162E"/>
    <w:rsid w:val="000A18F2"/>
    <w:rsid w:val="000A1BF7"/>
    <w:rsid w:val="000A1C06"/>
    <w:rsid w:val="000A1C3A"/>
    <w:rsid w:val="000A1C52"/>
    <w:rsid w:val="000A1EA8"/>
    <w:rsid w:val="000A1F22"/>
    <w:rsid w:val="000A201E"/>
    <w:rsid w:val="000A254A"/>
    <w:rsid w:val="000A26B8"/>
    <w:rsid w:val="000A26E4"/>
    <w:rsid w:val="000A292E"/>
    <w:rsid w:val="000A297A"/>
    <w:rsid w:val="000A2CFE"/>
    <w:rsid w:val="000A2EB5"/>
    <w:rsid w:val="000A2F90"/>
    <w:rsid w:val="000A32DE"/>
    <w:rsid w:val="000A332F"/>
    <w:rsid w:val="000A333E"/>
    <w:rsid w:val="000A3379"/>
    <w:rsid w:val="000A34A6"/>
    <w:rsid w:val="000A3533"/>
    <w:rsid w:val="000A3575"/>
    <w:rsid w:val="000A35E1"/>
    <w:rsid w:val="000A360F"/>
    <w:rsid w:val="000A36F7"/>
    <w:rsid w:val="000A37A5"/>
    <w:rsid w:val="000A3937"/>
    <w:rsid w:val="000A3A5F"/>
    <w:rsid w:val="000A3DCF"/>
    <w:rsid w:val="000A3FAD"/>
    <w:rsid w:val="000A3FBC"/>
    <w:rsid w:val="000A4080"/>
    <w:rsid w:val="000A419F"/>
    <w:rsid w:val="000A4480"/>
    <w:rsid w:val="000A448A"/>
    <w:rsid w:val="000A44E4"/>
    <w:rsid w:val="000A4708"/>
    <w:rsid w:val="000A4C76"/>
    <w:rsid w:val="000A4D3E"/>
    <w:rsid w:val="000A4E1B"/>
    <w:rsid w:val="000A4E7E"/>
    <w:rsid w:val="000A4EBB"/>
    <w:rsid w:val="000A4EDA"/>
    <w:rsid w:val="000A4EDD"/>
    <w:rsid w:val="000A50F9"/>
    <w:rsid w:val="000A518D"/>
    <w:rsid w:val="000A5212"/>
    <w:rsid w:val="000A54CB"/>
    <w:rsid w:val="000A56E8"/>
    <w:rsid w:val="000A5723"/>
    <w:rsid w:val="000A57AF"/>
    <w:rsid w:val="000A5837"/>
    <w:rsid w:val="000A5899"/>
    <w:rsid w:val="000A58EA"/>
    <w:rsid w:val="000A5A3D"/>
    <w:rsid w:val="000A5A5E"/>
    <w:rsid w:val="000A5B6B"/>
    <w:rsid w:val="000A5D58"/>
    <w:rsid w:val="000A5D98"/>
    <w:rsid w:val="000A6111"/>
    <w:rsid w:val="000A6123"/>
    <w:rsid w:val="000A61FB"/>
    <w:rsid w:val="000A62D7"/>
    <w:rsid w:val="000A6375"/>
    <w:rsid w:val="000A643F"/>
    <w:rsid w:val="000A64A7"/>
    <w:rsid w:val="000A653B"/>
    <w:rsid w:val="000A6556"/>
    <w:rsid w:val="000A6635"/>
    <w:rsid w:val="000A670A"/>
    <w:rsid w:val="000A6767"/>
    <w:rsid w:val="000A67DF"/>
    <w:rsid w:val="000A6877"/>
    <w:rsid w:val="000A68E9"/>
    <w:rsid w:val="000A693B"/>
    <w:rsid w:val="000A69D1"/>
    <w:rsid w:val="000A6A41"/>
    <w:rsid w:val="000A6AB8"/>
    <w:rsid w:val="000A6AE9"/>
    <w:rsid w:val="000A6B10"/>
    <w:rsid w:val="000A6B94"/>
    <w:rsid w:val="000A6BC5"/>
    <w:rsid w:val="000A6C29"/>
    <w:rsid w:val="000A6D10"/>
    <w:rsid w:val="000A7224"/>
    <w:rsid w:val="000A7226"/>
    <w:rsid w:val="000A7302"/>
    <w:rsid w:val="000A733E"/>
    <w:rsid w:val="000A73BE"/>
    <w:rsid w:val="000A744C"/>
    <w:rsid w:val="000A7464"/>
    <w:rsid w:val="000A750F"/>
    <w:rsid w:val="000A75E5"/>
    <w:rsid w:val="000A767C"/>
    <w:rsid w:val="000A78D5"/>
    <w:rsid w:val="000A79C3"/>
    <w:rsid w:val="000A7A4C"/>
    <w:rsid w:val="000A7A54"/>
    <w:rsid w:val="000A7A99"/>
    <w:rsid w:val="000A7AC4"/>
    <w:rsid w:val="000A7B07"/>
    <w:rsid w:val="000A7B7B"/>
    <w:rsid w:val="000A7C3E"/>
    <w:rsid w:val="000A7C50"/>
    <w:rsid w:val="000A7C80"/>
    <w:rsid w:val="000B025C"/>
    <w:rsid w:val="000B027E"/>
    <w:rsid w:val="000B07A1"/>
    <w:rsid w:val="000B095E"/>
    <w:rsid w:val="000B0C75"/>
    <w:rsid w:val="000B0CF4"/>
    <w:rsid w:val="000B0E45"/>
    <w:rsid w:val="000B0E76"/>
    <w:rsid w:val="000B0F9E"/>
    <w:rsid w:val="000B1119"/>
    <w:rsid w:val="000B117C"/>
    <w:rsid w:val="000B11C5"/>
    <w:rsid w:val="000B120B"/>
    <w:rsid w:val="000B1253"/>
    <w:rsid w:val="000B14E8"/>
    <w:rsid w:val="000B15DB"/>
    <w:rsid w:val="000B168E"/>
    <w:rsid w:val="000B16B6"/>
    <w:rsid w:val="000B1729"/>
    <w:rsid w:val="000B1757"/>
    <w:rsid w:val="000B1765"/>
    <w:rsid w:val="000B18AC"/>
    <w:rsid w:val="000B18FD"/>
    <w:rsid w:val="000B195A"/>
    <w:rsid w:val="000B1BB0"/>
    <w:rsid w:val="000B1BD1"/>
    <w:rsid w:val="000B1C2D"/>
    <w:rsid w:val="000B1EC9"/>
    <w:rsid w:val="000B1EDA"/>
    <w:rsid w:val="000B1FB4"/>
    <w:rsid w:val="000B202A"/>
    <w:rsid w:val="000B206A"/>
    <w:rsid w:val="000B208B"/>
    <w:rsid w:val="000B210B"/>
    <w:rsid w:val="000B2201"/>
    <w:rsid w:val="000B22CC"/>
    <w:rsid w:val="000B23A9"/>
    <w:rsid w:val="000B2596"/>
    <w:rsid w:val="000B25FC"/>
    <w:rsid w:val="000B26BB"/>
    <w:rsid w:val="000B27AD"/>
    <w:rsid w:val="000B2BB0"/>
    <w:rsid w:val="000B2BBC"/>
    <w:rsid w:val="000B2F22"/>
    <w:rsid w:val="000B3164"/>
    <w:rsid w:val="000B3287"/>
    <w:rsid w:val="000B32FC"/>
    <w:rsid w:val="000B3383"/>
    <w:rsid w:val="000B341D"/>
    <w:rsid w:val="000B3594"/>
    <w:rsid w:val="000B36B3"/>
    <w:rsid w:val="000B36E2"/>
    <w:rsid w:val="000B36F5"/>
    <w:rsid w:val="000B3784"/>
    <w:rsid w:val="000B38C1"/>
    <w:rsid w:val="000B3AD6"/>
    <w:rsid w:val="000B3B21"/>
    <w:rsid w:val="000B3C34"/>
    <w:rsid w:val="000B3EB9"/>
    <w:rsid w:val="000B4154"/>
    <w:rsid w:val="000B4179"/>
    <w:rsid w:val="000B41EE"/>
    <w:rsid w:val="000B426C"/>
    <w:rsid w:val="000B43CA"/>
    <w:rsid w:val="000B4820"/>
    <w:rsid w:val="000B482C"/>
    <w:rsid w:val="000B492C"/>
    <w:rsid w:val="000B4B3B"/>
    <w:rsid w:val="000B4FAC"/>
    <w:rsid w:val="000B5064"/>
    <w:rsid w:val="000B50B1"/>
    <w:rsid w:val="000B5384"/>
    <w:rsid w:val="000B54B5"/>
    <w:rsid w:val="000B54BD"/>
    <w:rsid w:val="000B54F6"/>
    <w:rsid w:val="000B5618"/>
    <w:rsid w:val="000B56F5"/>
    <w:rsid w:val="000B5933"/>
    <w:rsid w:val="000B5962"/>
    <w:rsid w:val="000B5995"/>
    <w:rsid w:val="000B5C81"/>
    <w:rsid w:val="000B5D1E"/>
    <w:rsid w:val="000B5D2D"/>
    <w:rsid w:val="000B6025"/>
    <w:rsid w:val="000B6374"/>
    <w:rsid w:val="000B65F3"/>
    <w:rsid w:val="000B66E9"/>
    <w:rsid w:val="000B6751"/>
    <w:rsid w:val="000B6782"/>
    <w:rsid w:val="000B67A3"/>
    <w:rsid w:val="000B67E1"/>
    <w:rsid w:val="000B67E8"/>
    <w:rsid w:val="000B69DB"/>
    <w:rsid w:val="000B6A8F"/>
    <w:rsid w:val="000B6AC7"/>
    <w:rsid w:val="000B6BB6"/>
    <w:rsid w:val="000B6BBE"/>
    <w:rsid w:val="000B6C7E"/>
    <w:rsid w:val="000B6D58"/>
    <w:rsid w:val="000B6D77"/>
    <w:rsid w:val="000B6F75"/>
    <w:rsid w:val="000B6FA9"/>
    <w:rsid w:val="000B712F"/>
    <w:rsid w:val="000B71C1"/>
    <w:rsid w:val="000B749B"/>
    <w:rsid w:val="000B74B9"/>
    <w:rsid w:val="000B77EC"/>
    <w:rsid w:val="000B7809"/>
    <w:rsid w:val="000B7925"/>
    <w:rsid w:val="000B79A3"/>
    <w:rsid w:val="000B7B46"/>
    <w:rsid w:val="000B7E29"/>
    <w:rsid w:val="000B7F4B"/>
    <w:rsid w:val="000C0199"/>
    <w:rsid w:val="000C01A2"/>
    <w:rsid w:val="000C04C8"/>
    <w:rsid w:val="000C0508"/>
    <w:rsid w:val="000C075B"/>
    <w:rsid w:val="000C0802"/>
    <w:rsid w:val="000C0807"/>
    <w:rsid w:val="000C0811"/>
    <w:rsid w:val="000C09AB"/>
    <w:rsid w:val="000C09FD"/>
    <w:rsid w:val="000C0AE9"/>
    <w:rsid w:val="000C0AFF"/>
    <w:rsid w:val="000C0BDC"/>
    <w:rsid w:val="000C0BF9"/>
    <w:rsid w:val="000C0D5F"/>
    <w:rsid w:val="000C0F81"/>
    <w:rsid w:val="000C0F97"/>
    <w:rsid w:val="000C115B"/>
    <w:rsid w:val="000C11AC"/>
    <w:rsid w:val="000C126C"/>
    <w:rsid w:val="000C1595"/>
    <w:rsid w:val="000C181B"/>
    <w:rsid w:val="000C1880"/>
    <w:rsid w:val="000C192C"/>
    <w:rsid w:val="000C19B0"/>
    <w:rsid w:val="000C1AF8"/>
    <w:rsid w:val="000C1BBD"/>
    <w:rsid w:val="000C1BC9"/>
    <w:rsid w:val="000C1CC4"/>
    <w:rsid w:val="000C1CC8"/>
    <w:rsid w:val="000C1F57"/>
    <w:rsid w:val="000C1F96"/>
    <w:rsid w:val="000C208A"/>
    <w:rsid w:val="000C218E"/>
    <w:rsid w:val="000C21B7"/>
    <w:rsid w:val="000C21FE"/>
    <w:rsid w:val="000C2537"/>
    <w:rsid w:val="000C25D2"/>
    <w:rsid w:val="000C26A3"/>
    <w:rsid w:val="000C27CB"/>
    <w:rsid w:val="000C2A1C"/>
    <w:rsid w:val="000C2B9F"/>
    <w:rsid w:val="000C2BB4"/>
    <w:rsid w:val="000C2BE4"/>
    <w:rsid w:val="000C2BFD"/>
    <w:rsid w:val="000C2C02"/>
    <w:rsid w:val="000C2C74"/>
    <w:rsid w:val="000C2C9F"/>
    <w:rsid w:val="000C2DC6"/>
    <w:rsid w:val="000C2DED"/>
    <w:rsid w:val="000C2FD6"/>
    <w:rsid w:val="000C326C"/>
    <w:rsid w:val="000C3345"/>
    <w:rsid w:val="000C370E"/>
    <w:rsid w:val="000C373D"/>
    <w:rsid w:val="000C37BC"/>
    <w:rsid w:val="000C3810"/>
    <w:rsid w:val="000C385F"/>
    <w:rsid w:val="000C3A22"/>
    <w:rsid w:val="000C3C16"/>
    <w:rsid w:val="000C3C6B"/>
    <w:rsid w:val="000C3DB1"/>
    <w:rsid w:val="000C3DCB"/>
    <w:rsid w:val="000C3E29"/>
    <w:rsid w:val="000C3EC6"/>
    <w:rsid w:val="000C3F30"/>
    <w:rsid w:val="000C3FF2"/>
    <w:rsid w:val="000C4037"/>
    <w:rsid w:val="000C40F2"/>
    <w:rsid w:val="000C4188"/>
    <w:rsid w:val="000C42B7"/>
    <w:rsid w:val="000C435F"/>
    <w:rsid w:val="000C4441"/>
    <w:rsid w:val="000C453E"/>
    <w:rsid w:val="000C4609"/>
    <w:rsid w:val="000C462C"/>
    <w:rsid w:val="000C4A1F"/>
    <w:rsid w:val="000C4A80"/>
    <w:rsid w:val="000C4E5D"/>
    <w:rsid w:val="000C4F75"/>
    <w:rsid w:val="000C4F8F"/>
    <w:rsid w:val="000C4FBC"/>
    <w:rsid w:val="000C5013"/>
    <w:rsid w:val="000C50AE"/>
    <w:rsid w:val="000C51A6"/>
    <w:rsid w:val="000C51E3"/>
    <w:rsid w:val="000C5431"/>
    <w:rsid w:val="000C5443"/>
    <w:rsid w:val="000C5482"/>
    <w:rsid w:val="000C5531"/>
    <w:rsid w:val="000C5661"/>
    <w:rsid w:val="000C56D4"/>
    <w:rsid w:val="000C57E4"/>
    <w:rsid w:val="000C5A97"/>
    <w:rsid w:val="000C5DE3"/>
    <w:rsid w:val="000C5EE9"/>
    <w:rsid w:val="000C624E"/>
    <w:rsid w:val="000C626B"/>
    <w:rsid w:val="000C655A"/>
    <w:rsid w:val="000C66AD"/>
    <w:rsid w:val="000C6937"/>
    <w:rsid w:val="000C6984"/>
    <w:rsid w:val="000C6A0C"/>
    <w:rsid w:val="000C6C0C"/>
    <w:rsid w:val="000C6F2F"/>
    <w:rsid w:val="000C6F77"/>
    <w:rsid w:val="000C6FD1"/>
    <w:rsid w:val="000C7442"/>
    <w:rsid w:val="000C7483"/>
    <w:rsid w:val="000C7625"/>
    <w:rsid w:val="000C77A0"/>
    <w:rsid w:val="000C78F6"/>
    <w:rsid w:val="000C79D3"/>
    <w:rsid w:val="000C7A6A"/>
    <w:rsid w:val="000C7A8F"/>
    <w:rsid w:val="000C7C38"/>
    <w:rsid w:val="000C7C58"/>
    <w:rsid w:val="000C7E8A"/>
    <w:rsid w:val="000C7ED7"/>
    <w:rsid w:val="000D0118"/>
    <w:rsid w:val="000D011A"/>
    <w:rsid w:val="000D01C5"/>
    <w:rsid w:val="000D02EA"/>
    <w:rsid w:val="000D0467"/>
    <w:rsid w:val="000D0504"/>
    <w:rsid w:val="000D0582"/>
    <w:rsid w:val="000D071C"/>
    <w:rsid w:val="000D08E0"/>
    <w:rsid w:val="000D090E"/>
    <w:rsid w:val="000D09FF"/>
    <w:rsid w:val="000D0A8F"/>
    <w:rsid w:val="000D0B52"/>
    <w:rsid w:val="000D0B90"/>
    <w:rsid w:val="000D0C16"/>
    <w:rsid w:val="000D0C35"/>
    <w:rsid w:val="000D0D64"/>
    <w:rsid w:val="000D13E4"/>
    <w:rsid w:val="000D15FE"/>
    <w:rsid w:val="000D17F9"/>
    <w:rsid w:val="000D186F"/>
    <w:rsid w:val="000D1960"/>
    <w:rsid w:val="000D1A62"/>
    <w:rsid w:val="000D1C59"/>
    <w:rsid w:val="000D1DA8"/>
    <w:rsid w:val="000D1FB9"/>
    <w:rsid w:val="000D2003"/>
    <w:rsid w:val="000D2062"/>
    <w:rsid w:val="000D2064"/>
    <w:rsid w:val="000D214D"/>
    <w:rsid w:val="000D2168"/>
    <w:rsid w:val="000D22AB"/>
    <w:rsid w:val="000D22E8"/>
    <w:rsid w:val="000D2697"/>
    <w:rsid w:val="000D2737"/>
    <w:rsid w:val="000D27D0"/>
    <w:rsid w:val="000D27D6"/>
    <w:rsid w:val="000D2B03"/>
    <w:rsid w:val="000D2BD5"/>
    <w:rsid w:val="000D2BFB"/>
    <w:rsid w:val="000D2C4C"/>
    <w:rsid w:val="000D2F5B"/>
    <w:rsid w:val="000D3018"/>
    <w:rsid w:val="000D3084"/>
    <w:rsid w:val="000D361E"/>
    <w:rsid w:val="000D365B"/>
    <w:rsid w:val="000D3778"/>
    <w:rsid w:val="000D38A3"/>
    <w:rsid w:val="000D39A3"/>
    <w:rsid w:val="000D3D02"/>
    <w:rsid w:val="000D3E89"/>
    <w:rsid w:val="000D3F83"/>
    <w:rsid w:val="000D406A"/>
    <w:rsid w:val="000D40A0"/>
    <w:rsid w:val="000D40D6"/>
    <w:rsid w:val="000D40EA"/>
    <w:rsid w:val="000D40F0"/>
    <w:rsid w:val="000D4100"/>
    <w:rsid w:val="000D412B"/>
    <w:rsid w:val="000D426A"/>
    <w:rsid w:val="000D42EA"/>
    <w:rsid w:val="000D4749"/>
    <w:rsid w:val="000D4852"/>
    <w:rsid w:val="000D48F9"/>
    <w:rsid w:val="000D49BE"/>
    <w:rsid w:val="000D4CE5"/>
    <w:rsid w:val="000D4D82"/>
    <w:rsid w:val="000D539A"/>
    <w:rsid w:val="000D53F7"/>
    <w:rsid w:val="000D5467"/>
    <w:rsid w:val="000D54FD"/>
    <w:rsid w:val="000D55DC"/>
    <w:rsid w:val="000D5749"/>
    <w:rsid w:val="000D5757"/>
    <w:rsid w:val="000D57DB"/>
    <w:rsid w:val="000D5848"/>
    <w:rsid w:val="000D58A1"/>
    <w:rsid w:val="000D5AA7"/>
    <w:rsid w:val="000D5EB6"/>
    <w:rsid w:val="000D5FE5"/>
    <w:rsid w:val="000D6039"/>
    <w:rsid w:val="000D611F"/>
    <w:rsid w:val="000D61A6"/>
    <w:rsid w:val="000D6404"/>
    <w:rsid w:val="000D6493"/>
    <w:rsid w:val="000D64BC"/>
    <w:rsid w:val="000D6592"/>
    <w:rsid w:val="000D65B4"/>
    <w:rsid w:val="000D65F8"/>
    <w:rsid w:val="000D66CF"/>
    <w:rsid w:val="000D6748"/>
    <w:rsid w:val="000D6850"/>
    <w:rsid w:val="000D6A33"/>
    <w:rsid w:val="000D6B1E"/>
    <w:rsid w:val="000D6BE9"/>
    <w:rsid w:val="000D6CEB"/>
    <w:rsid w:val="000D6E4E"/>
    <w:rsid w:val="000D6F23"/>
    <w:rsid w:val="000D6F74"/>
    <w:rsid w:val="000D705D"/>
    <w:rsid w:val="000D708E"/>
    <w:rsid w:val="000D7111"/>
    <w:rsid w:val="000D7269"/>
    <w:rsid w:val="000D731D"/>
    <w:rsid w:val="000D741F"/>
    <w:rsid w:val="000D7583"/>
    <w:rsid w:val="000D77EE"/>
    <w:rsid w:val="000D7830"/>
    <w:rsid w:val="000D789B"/>
    <w:rsid w:val="000D7BE2"/>
    <w:rsid w:val="000D7BF4"/>
    <w:rsid w:val="000D7EAE"/>
    <w:rsid w:val="000E007B"/>
    <w:rsid w:val="000E00A5"/>
    <w:rsid w:val="000E06DF"/>
    <w:rsid w:val="000E0A22"/>
    <w:rsid w:val="000E0D3E"/>
    <w:rsid w:val="000E0DA4"/>
    <w:rsid w:val="000E0E96"/>
    <w:rsid w:val="000E0EA6"/>
    <w:rsid w:val="000E0F2D"/>
    <w:rsid w:val="000E0F56"/>
    <w:rsid w:val="000E1009"/>
    <w:rsid w:val="000E1046"/>
    <w:rsid w:val="000E1067"/>
    <w:rsid w:val="000E1277"/>
    <w:rsid w:val="000E1375"/>
    <w:rsid w:val="000E1486"/>
    <w:rsid w:val="000E1592"/>
    <w:rsid w:val="000E16D3"/>
    <w:rsid w:val="000E1C27"/>
    <w:rsid w:val="000E1E07"/>
    <w:rsid w:val="000E1FBF"/>
    <w:rsid w:val="000E2162"/>
    <w:rsid w:val="000E21D4"/>
    <w:rsid w:val="000E21E3"/>
    <w:rsid w:val="000E23A1"/>
    <w:rsid w:val="000E2756"/>
    <w:rsid w:val="000E27E1"/>
    <w:rsid w:val="000E280E"/>
    <w:rsid w:val="000E2824"/>
    <w:rsid w:val="000E28A2"/>
    <w:rsid w:val="000E298C"/>
    <w:rsid w:val="000E2C55"/>
    <w:rsid w:val="000E2C86"/>
    <w:rsid w:val="000E31A9"/>
    <w:rsid w:val="000E32BF"/>
    <w:rsid w:val="000E3393"/>
    <w:rsid w:val="000E33D5"/>
    <w:rsid w:val="000E340C"/>
    <w:rsid w:val="000E352C"/>
    <w:rsid w:val="000E361D"/>
    <w:rsid w:val="000E36B4"/>
    <w:rsid w:val="000E3A53"/>
    <w:rsid w:val="000E3A66"/>
    <w:rsid w:val="000E3D32"/>
    <w:rsid w:val="000E3E9F"/>
    <w:rsid w:val="000E4184"/>
    <w:rsid w:val="000E41B0"/>
    <w:rsid w:val="000E4347"/>
    <w:rsid w:val="000E4366"/>
    <w:rsid w:val="000E4628"/>
    <w:rsid w:val="000E465A"/>
    <w:rsid w:val="000E4894"/>
    <w:rsid w:val="000E4985"/>
    <w:rsid w:val="000E4ACF"/>
    <w:rsid w:val="000E4B12"/>
    <w:rsid w:val="000E4BCB"/>
    <w:rsid w:val="000E4D4F"/>
    <w:rsid w:val="000E4D8E"/>
    <w:rsid w:val="000E4E8C"/>
    <w:rsid w:val="000E4F54"/>
    <w:rsid w:val="000E5053"/>
    <w:rsid w:val="000E539E"/>
    <w:rsid w:val="000E5566"/>
    <w:rsid w:val="000E567B"/>
    <w:rsid w:val="000E577A"/>
    <w:rsid w:val="000E57D1"/>
    <w:rsid w:val="000E5A20"/>
    <w:rsid w:val="000E5A61"/>
    <w:rsid w:val="000E5B05"/>
    <w:rsid w:val="000E5BA7"/>
    <w:rsid w:val="000E5C67"/>
    <w:rsid w:val="000E5F14"/>
    <w:rsid w:val="000E5F4A"/>
    <w:rsid w:val="000E60D1"/>
    <w:rsid w:val="000E60F5"/>
    <w:rsid w:val="000E611D"/>
    <w:rsid w:val="000E6385"/>
    <w:rsid w:val="000E6476"/>
    <w:rsid w:val="000E64AE"/>
    <w:rsid w:val="000E664F"/>
    <w:rsid w:val="000E6882"/>
    <w:rsid w:val="000E6955"/>
    <w:rsid w:val="000E6A62"/>
    <w:rsid w:val="000E6B23"/>
    <w:rsid w:val="000E6B49"/>
    <w:rsid w:val="000E6C49"/>
    <w:rsid w:val="000E6FBD"/>
    <w:rsid w:val="000E7286"/>
    <w:rsid w:val="000E72BB"/>
    <w:rsid w:val="000E732F"/>
    <w:rsid w:val="000E73B6"/>
    <w:rsid w:val="000E740D"/>
    <w:rsid w:val="000E742E"/>
    <w:rsid w:val="000E753F"/>
    <w:rsid w:val="000E7839"/>
    <w:rsid w:val="000E7868"/>
    <w:rsid w:val="000E7ACB"/>
    <w:rsid w:val="000E7ACC"/>
    <w:rsid w:val="000E7CB1"/>
    <w:rsid w:val="000E7CC8"/>
    <w:rsid w:val="000E7E1F"/>
    <w:rsid w:val="000E7E5D"/>
    <w:rsid w:val="000E7F5D"/>
    <w:rsid w:val="000F013B"/>
    <w:rsid w:val="000F02B8"/>
    <w:rsid w:val="000F033A"/>
    <w:rsid w:val="000F03EB"/>
    <w:rsid w:val="000F04CF"/>
    <w:rsid w:val="000F0657"/>
    <w:rsid w:val="000F06CF"/>
    <w:rsid w:val="000F0751"/>
    <w:rsid w:val="000F076A"/>
    <w:rsid w:val="000F082B"/>
    <w:rsid w:val="000F0A9F"/>
    <w:rsid w:val="000F0B8E"/>
    <w:rsid w:val="000F0C95"/>
    <w:rsid w:val="000F0FA6"/>
    <w:rsid w:val="000F1179"/>
    <w:rsid w:val="000F11C4"/>
    <w:rsid w:val="000F11E3"/>
    <w:rsid w:val="000F11F1"/>
    <w:rsid w:val="000F1422"/>
    <w:rsid w:val="000F1470"/>
    <w:rsid w:val="000F178D"/>
    <w:rsid w:val="000F1ABC"/>
    <w:rsid w:val="000F1C81"/>
    <w:rsid w:val="000F1EAC"/>
    <w:rsid w:val="000F1F77"/>
    <w:rsid w:val="000F202F"/>
    <w:rsid w:val="000F219B"/>
    <w:rsid w:val="000F22EF"/>
    <w:rsid w:val="000F2594"/>
    <w:rsid w:val="000F25D4"/>
    <w:rsid w:val="000F26E1"/>
    <w:rsid w:val="000F29AA"/>
    <w:rsid w:val="000F2BE8"/>
    <w:rsid w:val="000F2C26"/>
    <w:rsid w:val="000F2CE6"/>
    <w:rsid w:val="000F2DEE"/>
    <w:rsid w:val="000F30B0"/>
    <w:rsid w:val="000F31C0"/>
    <w:rsid w:val="000F3255"/>
    <w:rsid w:val="000F32E0"/>
    <w:rsid w:val="000F33EA"/>
    <w:rsid w:val="000F3442"/>
    <w:rsid w:val="000F34B7"/>
    <w:rsid w:val="000F3515"/>
    <w:rsid w:val="000F3622"/>
    <w:rsid w:val="000F3643"/>
    <w:rsid w:val="000F375D"/>
    <w:rsid w:val="000F3771"/>
    <w:rsid w:val="000F38BE"/>
    <w:rsid w:val="000F3927"/>
    <w:rsid w:val="000F399E"/>
    <w:rsid w:val="000F39AF"/>
    <w:rsid w:val="000F3AB4"/>
    <w:rsid w:val="000F3B82"/>
    <w:rsid w:val="000F3BB1"/>
    <w:rsid w:val="000F3CC9"/>
    <w:rsid w:val="000F3D5E"/>
    <w:rsid w:val="000F3E46"/>
    <w:rsid w:val="000F3FC4"/>
    <w:rsid w:val="000F40A3"/>
    <w:rsid w:val="000F40B3"/>
    <w:rsid w:val="000F40F8"/>
    <w:rsid w:val="000F41A8"/>
    <w:rsid w:val="000F42CA"/>
    <w:rsid w:val="000F42E9"/>
    <w:rsid w:val="000F45EE"/>
    <w:rsid w:val="000F45FC"/>
    <w:rsid w:val="000F4621"/>
    <w:rsid w:val="000F474D"/>
    <w:rsid w:val="000F4870"/>
    <w:rsid w:val="000F48F8"/>
    <w:rsid w:val="000F491E"/>
    <w:rsid w:val="000F4A86"/>
    <w:rsid w:val="000F4ABD"/>
    <w:rsid w:val="000F4AE2"/>
    <w:rsid w:val="000F4C15"/>
    <w:rsid w:val="000F4D9B"/>
    <w:rsid w:val="000F4E9A"/>
    <w:rsid w:val="000F50BD"/>
    <w:rsid w:val="000F515C"/>
    <w:rsid w:val="000F5268"/>
    <w:rsid w:val="000F54B3"/>
    <w:rsid w:val="000F555C"/>
    <w:rsid w:val="000F55AF"/>
    <w:rsid w:val="000F5733"/>
    <w:rsid w:val="000F59F9"/>
    <w:rsid w:val="000F5A0B"/>
    <w:rsid w:val="000F5C62"/>
    <w:rsid w:val="000F5C70"/>
    <w:rsid w:val="000F5D19"/>
    <w:rsid w:val="000F5E0E"/>
    <w:rsid w:val="000F5E28"/>
    <w:rsid w:val="000F5E36"/>
    <w:rsid w:val="000F6036"/>
    <w:rsid w:val="000F605E"/>
    <w:rsid w:val="000F6201"/>
    <w:rsid w:val="000F621D"/>
    <w:rsid w:val="000F6383"/>
    <w:rsid w:val="000F6790"/>
    <w:rsid w:val="000F6904"/>
    <w:rsid w:val="000F69A7"/>
    <w:rsid w:val="000F6C72"/>
    <w:rsid w:val="000F6D09"/>
    <w:rsid w:val="000F71CC"/>
    <w:rsid w:val="000F75CE"/>
    <w:rsid w:val="000F77E4"/>
    <w:rsid w:val="000F78E2"/>
    <w:rsid w:val="000F7ACF"/>
    <w:rsid w:val="000F7AFE"/>
    <w:rsid w:val="000F7C4C"/>
    <w:rsid w:val="000F7D3E"/>
    <w:rsid w:val="000F7F03"/>
    <w:rsid w:val="000F7FC0"/>
    <w:rsid w:val="000F7FF1"/>
    <w:rsid w:val="001000F1"/>
    <w:rsid w:val="0010012B"/>
    <w:rsid w:val="0010013C"/>
    <w:rsid w:val="00100237"/>
    <w:rsid w:val="001003A1"/>
    <w:rsid w:val="00100472"/>
    <w:rsid w:val="001004CA"/>
    <w:rsid w:val="001004FB"/>
    <w:rsid w:val="001006AF"/>
    <w:rsid w:val="00100709"/>
    <w:rsid w:val="001007AC"/>
    <w:rsid w:val="0010082B"/>
    <w:rsid w:val="00100836"/>
    <w:rsid w:val="00100843"/>
    <w:rsid w:val="0010087B"/>
    <w:rsid w:val="00100AC3"/>
    <w:rsid w:val="00100AF5"/>
    <w:rsid w:val="00100D2F"/>
    <w:rsid w:val="00100D5B"/>
    <w:rsid w:val="00100D6D"/>
    <w:rsid w:val="00100D78"/>
    <w:rsid w:val="001012D4"/>
    <w:rsid w:val="001014D1"/>
    <w:rsid w:val="0010161D"/>
    <w:rsid w:val="0010197C"/>
    <w:rsid w:val="00101989"/>
    <w:rsid w:val="0010199F"/>
    <w:rsid w:val="00102062"/>
    <w:rsid w:val="0010207D"/>
    <w:rsid w:val="0010216E"/>
    <w:rsid w:val="001024FC"/>
    <w:rsid w:val="0010250C"/>
    <w:rsid w:val="00102510"/>
    <w:rsid w:val="0010268D"/>
    <w:rsid w:val="001026DB"/>
    <w:rsid w:val="001026F4"/>
    <w:rsid w:val="00102BAB"/>
    <w:rsid w:val="00102C08"/>
    <w:rsid w:val="00102ED8"/>
    <w:rsid w:val="001030F3"/>
    <w:rsid w:val="001032E5"/>
    <w:rsid w:val="00103353"/>
    <w:rsid w:val="00103384"/>
    <w:rsid w:val="001033C1"/>
    <w:rsid w:val="001033C2"/>
    <w:rsid w:val="00103508"/>
    <w:rsid w:val="00103775"/>
    <w:rsid w:val="0010386C"/>
    <w:rsid w:val="00103954"/>
    <w:rsid w:val="00103AA1"/>
    <w:rsid w:val="00103B41"/>
    <w:rsid w:val="00103B72"/>
    <w:rsid w:val="00103D5D"/>
    <w:rsid w:val="001041B0"/>
    <w:rsid w:val="00104817"/>
    <w:rsid w:val="00104C84"/>
    <w:rsid w:val="00104CBE"/>
    <w:rsid w:val="00104D31"/>
    <w:rsid w:val="00104E53"/>
    <w:rsid w:val="00104F24"/>
    <w:rsid w:val="00104F53"/>
    <w:rsid w:val="00105019"/>
    <w:rsid w:val="0010519D"/>
    <w:rsid w:val="001052A9"/>
    <w:rsid w:val="001052D4"/>
    <w:rsid w:val="00105303"/>
    <w:rsid w:val="001054AD"/>
    <w:rsid w:val="001056F9"/>
    <w:rsid w:val="00105756"/>
    <w:rsid w:val="001057B0"/>
    <w:rsid w:val="00105891"/>
    <w:rsid w:val="00105C51"/>
    <w:rsid w:val="00105DD1"/>
    <w:rsid w:val="00105E83"/>
    <w:rsid w:val="00106128"/>
    <w:rsid w:val="001061D4"/>
    <w:rsid w:val="00106293"/>
    <w:rsid w:val="001062B4"/>
    <w:rsid w:val="001062B8"/>
    <w:rsid w:val="00106758"/>
    <w:rsid w:val="00106900"/>
    <w:rsid w:val="0010693B"/>
    <w:rsid w:val="001069AD"/>
    <w:rsid w:val="00106B76"/>
    <w:rsid w:val="00106C4B"/>
    <w:rsid w:val="00106C8B"/>
    <w:rsid w:val="00106D27"/>
    <w:rsid w:val="00106D49"/>
    <w:rsid w:val="00106D58"/>
    <w:rsid w:val="00106FEE"/>
    <w:rsid w:val="001075B5"/>
    <w:rsid w:val="00107621"/>
    <w:rsid w:val="0010776D"/>
    <w:rsid w:val="001077EC"/>
    <w:rsid w:val="001079B3"/>
    <w:rsid w:val="00107B43"/>
    <w:rsid w:val="00107CA7"/>
    <w:rsid w:val="00110247"/>
    <w:rsid w:val="00110280"/>
    <w:rsid w:val="00110374"/>
    <w:rsid w:val="00110425"/>
    <w:rsid w:val="001104F6"/>
    <w:rsid w:val="001104FA"/>
    <w:rsid w:val="00110669"/>
    <w:rsid w:val="001108D0"/>
    <w:rsid w:val="001109F0"/>
    <w:rsid w:val="00110A9D"/>
    <w:rsid w:val="00110CE3"/>
    <w:rsid w:val="00111068"/>
    <w:rsid w:val="00111116"/>
    <w:rsid w:val="001112B5"/>
    <w:rsid w:val="00111326"/>
    <w:rsid w:val="0011141A"/>
    <w:rsid w:val="0011150E"/>
    <w:rsid w:val="00111558"/>
    <w:rsid w:val="0011158C"/>
    <w:rsid w:val="00111806"/>
    <w:rsid w:val="00111929"/>
    <w:rsid w:val="00111A36"/>
    <w:rsid w:val="00111AE6"/>
    <w:rsid w:val="00111B24"/>
    <w:rsid w:val="00111EA3"/>
    <w:rsid w:val="00111EA9"/>
    <w:rsid w:val="00111EEA"/>
    <w:rsid w:val="00112214"/>
    <w:rsid w:val="0011223D"/>
    <w:rsid w:val="00112513"/>
    <w:rsid w:val="00112545"/>
    <w:rsid w:val="001125AD"/>
    <w:rsid w:val="001126F7"/>
    <w:rsid w:val="0011291E"/>
    <w:rsid w:val="00112DD4"/>
    <w:rsid w:val="00112E03"/>
    <w:rsid w:val="00112FCF"/>
    <w:rsid w:val="0011300D"/>
    <w:rsid w:val="00113034"/>
    <w:rsid w:val="001130A1"/>
    <w:rsid w:val="001130C0"/>
    <w:rsid w:val="0011316B"/>
    <w:rsid w:val="001131AB"/>
    <w:rsid w:val="001131CC"/>
    <w:rsid w:val="00113398"/>
    <w:rsid w:val="0011345A"/>
    <w:rsid w:val="001134C8"/>
    <w:rsid w:val="001135FD"/>
    <w:rsid w:val="00113866"/>
    <w:rsid w:val="00113878"/>
    <w:rsid w:val="0011395F"/>
    <w:rsid w:val="00113A2A"/>
    <w:rsid w:val="00113A58"/>
    <w:rsid w:val="00113AA8"/>
    <w:rsid w:val="00113C5D"/>
    <w:rsid w:val="00113DFD"/>
    <w:rsid w:val="00113E5B"/>
    <w:rsid w:val="00114012"/>
    <w:rsid w:val="00114174"/>
    <w:rsid w:val="00114184"/>
    <w:rsid w:val="0011428E"/>
    <w:rsid w:val="00114462"/>
    <w:rsid w:val="001145E9"/>
    <w:rsid w:val="00114701"/>
    <w:rsid w:val="00114743"/>
    <w:rsid w:val="001149D6"/>
    <w:rsid w:val="00114A2A"/>
    <w:rsid w:val="00114B4B"/>
    <w:rsid w:val="00114B70"/>
    <w:rsid w:val="00114BF2"/>
    <w:rsid w:val="00114BFB"/>
    <w:rsid w:val="00114F3B"/>
    <w:rsid w:val="00114F67"/>
    <w:rsid w:val="00114FFA"/>
    <w:rsid w:val="001150B4"/>
    <w:rsid w:val="00115127"/>
    <w:rsid w:val="0011556B"/>
    <w:rsid w:val="00115655"/>
    <w:rsid w:val="00115730"/>
    <w:rsid w:val="001159EB"/>
    <w:rsid w:val="00115AB5"/>
    <w:rsid w:val="00115B14"/>
    <w:rsid w:val="00115BA1"/>
    <w:rsid w:val="00115CC9"/>
    <w:rsid w:val="00115D2D"/>
    <w:rsid w:val="00115D31"/>
    <w:rsid w:val="00115E1D"/>
    <w:rsid w:val="00115EA8"/>
    <w:rsid w:val="00116378"/>
    <w:rsid w:val="001165B4"/>
    <w:rsid w:val="001166D7"/>
    <w:rsid w:val="0011674C"/>
    <w:rsid w:val="001167B5"/>
    <w:rsid w:val="001167FD"/>
    <w:rsid w:val="0011685E"/>
    <w:rsid w:val="00116AAD"/>
    <w:rsid w:val="00116AE9"/>
    <w:rsid w:val="00116C4B"/>
    <w:rsid w:val="00116D2A"/>
    <w:rsid w:val="001170DA"/>
    <w:rsid w:val="00117226"/>
    <w:rsid w:val="001175B9"/>
    <w:rsid w:val="001177AF"/>
    <w:rsid w:val="00117A2B"/>
    <w:rsid w:val="00117B93"/>
    <w:rsid w:val="00117C12"/>
    <w:rsid w:val="00117C2F"/>
    <w:rsid w:val="00117DA2"/>
    <w:rsid w:val="00117EF4"/>
    <w:rsid w:val="00117F01"/>
    <w:rsid w:val="00117FAE"/>
    <w:rsid w:val="0012005F"/>
    <w:rsid w:val="001201D8"/>
    <w:rsid w:val="00120249"/>
    <w:rsid w:val="00120264"/>
    <w:rsid w:val="00120341"/>
    <w:rsid w:val="001203FA"/>
    <w:rsid w:val="001204B6"/>
    <w:rsid w:val="00120557"/>
    <w:rsid w:val="001205E8"/>
    <w:rsid w:val="001206D0"/>
    <w:rsid w:val="0012086E"/>
    <w:rsid w:val="00120891"/>
    <w:rsid w:val="001208A9"/>
    <w:rsid w:val="00120EEA"/>
    <w:rsid w:val="00120FD1"/>
    <w:rsid w:val="0012121E"/>
    <w:rsid w:val="001212A3"/>
    <w:rsid w:val="0012149C"/>
    <w:rsid w:val="0012171D"/>
    <w:rsid w:val="001217D0"/>
    <w:rsid w:val="00121880"/>
    <w:rsid w:val="00121D55"/>
    <w:rsid w:val="00121E23"/>
    <w:rsid w:val="00122392"/>
    <w:rsid w:val="00122431"/>
    <w:rsid w:val="00122479"/>
    <w:rsid w:val="0012253E"/>
    <w:rsid w:val="00122609"/>
    <w:rsid w:val="00122634"/>
    <w:rsid w:val="0012271A"/>
    <w:rsid w:val="00122792"/>
    <w:rsid w:val="0012286D"/>
    <w:rsid w:val="00122914"/>
    <w:rsid w:val="00122964"/>
    <w:rsid w:val="00122A3F"/>
    <w:rsid w:val="00122C0B"/>
    <w:rsid w:val="00122D46"/>
    <w:rsid w:val="00122E74"/>
    <w:rsid w:val="00123384"/>
    <w:rsid w:val="001233FD"/>
    <w:rsid w:val="001236B2"/>
    <w:rsid w:val="001236DE"/>
    <w:rsid w:val="00123728"/>
    <w:rsid w:val="00123729"/>
    <w:rsid w:val="0012375A"/>
    <w:rsid w:val="0012379F"/>
    <w:rsid w:val="00123CCE"/>
    <w:rsid w:val="00123CFB"/>
    <w:rsid w:val="00123DB6"/>
    <w:rsid w:val="0012406E"/>
    <w:rsid w:val="00124158"/>
    <w:rsid w:val="00124184"/>
    <w:rsid w:val="00124185"/>
    <w:rsid w:val="001241DD"/>
    <w:rsid w:val="001241EE"/>
    <w:rsid w:val="001246A2"/>
    <w:rsid w:val="001246B5"/>
    <w:rsid w:val="0012471F"/>
    <w:rsid w:val="00124B16"/>
    <w:rsid w:val="00124B6C"/>
    <w:rsid w:val="00124ECE"/>
    <w:rsid w:val="0012514E"/>
    <w:rsid w:val="001252B9"/>
    <w:rsid w:val="001253C7"/>
    <w:rsid w:val="00125572"/>
    <w:rsid w:val="001256C2"/>
    <w:rsid w:val="001257D4"/>
    <w:rsid w:val="0012588E"/>
    <w:rsid w:val="001259C9"/>
    <w:rsid w:val="00125C64"/>
    <w:rsid w:val="00125D60"/>
    <w:rsid w:val="00125D6D"/>
    <w:rsid w:val="00125ED5"/>
    <w:rsid w:val="0012630E"/>
    <w:rsid w:val="0012636E"/>
    <w:rsid w:val="00126391"/>
    <w:rsid w:val="00126763"/>
    <w:rsid w:val="00126804"/>
    <w:rsid w:val="00126827"/>
    <w:rsid w:val="0012697C"/>
    <w:rsid w:val="00126D90"/>
    <w:rsid w:val="00126EF9"/>
    <w:rsid w:val="00126F89"/>
    <w:rsid w:val="00127096"/>
    <w:rsid w:val="001271F1"/>
    <w:rsid w:val="001273A8"/>
    <w:rsid w:val="001273AA"/>
    <w:rsid w:val="00127677"/>
    <w:rsid w:val="0012773B"/>
    <w:rsid w:val="001277BA"/>
    <w:rsid w:val="00127967"/>
    <w:rsid w:val="00127C13"/>
    <w:rsid w:val="00127E55"/>
    <w:rsid w:val="00127FB1"/>
    <w:rsid w:val="00130025"/>
    <w:rsid w:val="00130052"/>
    <w:rsid w:val="001301AF"/>
    <w:rsid w:val="00130295"/>
    <w:rsid w:val="001302D1"/>
    <w:rsid w:val="001303ED"/>
    <w:rsid w:val="00130414"/>
    <w:rsid w:val="001304A2"/>
    <w:rsid w:val="001307D8"/>
    <w:rsid w:val="0013089C"/>
    <w:rsid w:val="00130C2D"/>
    <w:rsid w:val="00130CC8"/>
    <w:rsid w:val="00130E45"/>
    <w:rsid w:val="00131049"/>
    <w:rsid w:val="001311EA"/>
    <w:rsid w:val="001312DA"/>
    <w:rsid w:val="00131407"/>
    <w:rsid w:val="0013145A"/>
    <w:rsid w:val="001318DA"/>
    <w:rsid w:val="00131967"/>
    <w:rsid w:val="00131E79"/>
    <w:rsid w:val="001321FB"/>
    <w:rsid w:val="00132390"/>
    <w:rsid w:val="00132434"/>
    <w:rsid w:val="0013249F"/>
    <w:rsid w:val="001324B2"/>
    <w:rsid w:val="00132806"/>
    <w:rsid w:val="00132A7C"/>
    <w:rsid w:val="00132B03"/>
    <w:rsid w:val="00132B07"/>
    <w:rsid w:val="00132C9A"/>
    <w:rsid w:val="00132CFE"/>
    <w:rsid w:val="00132CFF"/>
    <w:rsid w:val="00132D29"/>
    <w:rsid w:val="00132DE7"/>
    <w:rsid w:val="00132E05"/>
    <w:rsid w:val="00132FCB"/>
    <w:rsid w:val="0013306D"/>
    <w:rsid w:val="0013308D"/>
    <w:rsid w:val="0013323A"/>
    <w:rsid w:val="0013325C"/>
    <w:rsid w:val="00133470"/>
    <w:rsid w:val="00133544"/>
    <w:rsid w:val="00133695"/>
    <w:rsid w:val="0013397E"/>
    <w:rsid w:val="00133AE8"/>
    <w:rsid w:val="00133AF1"/>
    <w:rsid w:val="00133BCF"/>
    <w:rsid w:val="00133BFC"/>
    <w:rsid w:val="00133D7A"/>
    <w:rsid w:val="00133DCA"/>
    <w:rsid w:val="00133E40"/>
    <w:rsid w:val="0013404A"/>
    <w:rsid w:val="001340FF"/>
    <w:rsid w:val="00134213"/>
    <w:rsid w:val="00134240"/>
    <w:rsid w:val="0013473D"/>
    <w:rsid w:val="00134B6C"/>
    <w:rsid w:val="00134CDB"/>
    <w:rsid w:val="00134E64"/>
    <w:rsid w:val="00135108"/>
    <w:rsid w:val="00135230"/>
    <w:rsid w:val="00135354"/>
    <w:rsid w:val="001353F0"/>
    <w:rsid w:val="00135922"/>
    <w:rsid w:val="00135950"/>
    <w:rsid w:val="0013598A"/>
    <w:rsid w:val="00135990"/>
    <w:rsid w:val="001359DB"/>
    <w:rsid w:val="00135A6B"/>
    <w:rsid w:val="00135DEB"/>
    <w:rsid w:val="00135E15"/>
    <w:rsid w:val="00136010"/>
    <w:rsid w:val="00136063"/>
    <w:rsid w:val="001360BC"/>
    <w:rsid w:val="001360F7"/>
    <w:rsid w:val="001361C0"/>
    <w:rsid w:val="00136243"/>
    <w:rsid w:val="0013624D"/>
    <w:rsid w:val="00136678"/>
    <w:rsid w:val="0013669F"/>
    <w:rsid w:val="00136A65"/>
    <w:rsid w:val="00136AB6"/>
    <w:rsid w:val="00136B3F"/>
    <w:rsid w:val="00136DE7"/>
    <w:rsid w:val="00136E9D"/>
    <w:rsid w:val="00136F6E"/>
    <w:rsid w:val="0013709E"/>
    <w:rsid w:val="0013719E"/>
    <w:rsid w:val="001371A5"/>
    <w:rsid w:val="001371D0"/>
    <w:rsid w:val="001371D2"/>
    <w:rsid w:val="001372DC"/>
    <w:rsid w:val="001373C7"/>
    <w:rsid w:val="00137474"/>
    <w:rsid w:val="001375CD"/>
    <w:rsid w:val="001375D5"/>
    <w:rsid w:val="001375F1"/>
    <w:rsid w:val="00137944"/>
    <w:rsid w:val="0013796C"/>
    <w:rsid w:val="001379BB"/>
    <w:rsid w:val="00137A02"/>
    <w:rsid w:val="00137D38"/>
    <w:rsid w:val="00137E7E"/>
    <w:rsid w:val="00137F1D"/>
    <w:rsid w:val="00137F66"/>
    <w:rsid w:val="00137F9B"/>
    <w:rsid w:val="00140009"/>
    <w:rsid w:val="00140033"/>
    <w:rsid w:val="001401D1"/>
    <w:rsid w:val="001403B4"/>
    <w:rsid w:val="0014060F"/>
    <w:rsid w:val="00140615"/>
    <w:rsid w:val="001407DC"/>
    <w:rsid w:val="00140B99"/>
    <w:rsid w:val="00141207"/>
    <w:rsid w:val="0014124B"/>
    <w:rsid w:val="0014137A"/>
    <w:rsid w:val="001414F2"/>
    <w:rsid w:val="0014162C"/>
    <w:rsid w:val="00141862"/>
    <w:rsid w:val="001418A6"/>
    <w:rsid w:val="001418E2"/>
    <w:rsid w:val="00141A16"/>
    <w:rsid w:val="00141B08"/>
    <w:rsid w:val="00141BA9"/>
    <w:rsid w:val="00141CEF"/>
    <w:rsid w:val="00141D78"/>
    <w:rsid w:val="00141E6B"/>
    <w:rsid w:val="00141ED8"/>
    <w:rsid w:val="00141F44"/>
    <w:rsid w:val="00141F78"/>
    <w:rsid w:val="00142095"/>
    <w:rsid w:val="0014221A"/>
    <w:rsid w:val="00142540"/>
    <w:rsid w:val="00142592"/>
    <w:rsid w:val="001426B5"/>
    <w:rsid w:val="00142BD9"/>
    <w:rsid w:val="00142ED6"/>
    <w:rsid w:val="00142FD0"/>
    <w:rsid w:val="0014317E"/>
    <w:rsid w:val="001432A9"/>
    <w:rsid w:val="00143346"/>
    <w:rsid w:val="0014345E"/>
    <w:rsid w:val="00143491"/>
    <w:rsid w:val="001434BE"/>
    <w:rsid w:val="001434E4"/>
    <w:rsid w:val="0014359B"/>
    <w:rsid w:val="0014368E"/>
    <w:rsid w:val="0014369E"/>
    <w:rsid w:val="001436A7"/>
    <w:rsid w:val="00143806"/>
    <w:rsid w:val="00143885"/>
    <w:rsid w:val="00143922"/>
    <w:rsid w:val="00143B01"/>
    <w:rsid w:val="00143B5E"/>
    <w:rsid w:val="00143C84"/>
    <w:rsid w:val="00143D6E"/>
    <w:rsid w:val="00143F1C"/>
    <w:rsid w:val="00143F63"/>
    <w:rsid w:val="00144001"/>
    <w:rsid w:val="001441CF"/>
    <w:rsid w:val="001442A3"/>
    <w:rsid w:val="0014456F"/>
    <w:rsid w:val="00144710"/>
    <w:rsid w:val="001448AE"/>
    <w:rsid w:val="001449A2"/>
    <w:rsid w:val="001449E2"/>
    <w:rsid w:val="00144A8B"/>
    <w:rsid w:val="00144C55"/>
    <w:rsid w:val="0014509C"/>
    <w:rsid w:val="00145204"/>
    <w:rsid w:val="0014523D"/>
    <w:rsid w:val="001452F5"/>
    <w:rsid w:val="00145432"/>
    <w:rsid w:val="00145455"/>
    <w:rsid w:val="0014549A"/>
    <w:rsid w:val="00145605"/>
    <w:rsid w:val="0014586A"/>
    <w:rsid w:val="00145BFC"/>
    <w:rsid w:val="00145C7E"/>
    <w:rsid w:val="00145CFC"/>
    <w:rsid w:val="00145E37"/>
    <w:rsid w:val="00145ED8"/>
    <w:rsid w:val="00145F8E"/>
    <w:rsid w:val="001463F5"/>
    <w:rsid w:val="001464F5"/>
    <w:rsid w:val="00146760"/>
    <w:rsid w:val="00146869"/>
    <w:rsid w:val="00146904"/>
    <w:rsid w:val="001469E7"/>
    <w:rsid w:val="00146C64"/>
    <w:rsid w:val="00146CA3"/>
    <w:rsid w:val="00146D07"/>
    <w:rsid w:val="00146D1D"/>
    <w:rsid w:val="00146E36"/>
    <w:rsid w:val="00146FB8"/>
    <w:rsid w:val="00147190"/>
    <w:rsid w:val="0014722E"/>
    <w:rsid w:val="00147421"/>
    <w:rsid w:val="001474A2"/>
    <w:rsid w:val="00147553"/>
    <w:rsid w:val="00147656"/>
    <w:rsid w:val="00147709"/>
    <w:rsid w:val="00147923"/>
    <w:rsid w:val="00147AE6"/>
    <w:rsid w:val="00147B00"/>
    <w:rsid w:val="00147C14"/>
    <w:rsid w:val="00147D4A"/>
    <w:rsid w:val="00147E03"/>
    <w:rsid w:val="00147F54"/>
    <w:rsid w:val="001501D3"/>
    <w:rsid w:val="0015029C"/>
    <w:rsid w:val="001503BB"/>
    <w:rsid w:val="001504B5"/>
    <w:rsid w:val="00150807"/>
    <w:rsid w:val="00150ACC"/>
    <w:rsid w:val="00150AF1"/>
    <w:rsid w:val="00150AF9"/>
    <w:rsid w:val="00150CF3"/>
    <w:rsid w:val="00150D17"/>
    <w:rsid w:val="00150DF6"/>
    <w:rsid w:val="00150F4C"/>
    <w:rsid w:val="001510FE"/>
    <w:rsid w:val="0015119E"/>
    <w:rsid w:val="00151539"/>
    <w:rsid w:val="00151648"/>
    <w:rsid w:val="001516D7"/>
    <w:rsid w:val="00151721"/>
    <w:rsid w:val="0015185F"/>
    <w:rsid w:val="001519A4"/>
    <w:rsid w:val="00151E0B"/>
    <w:rsid w:val="00151EEF"/>
    <w:rsid w:val="00151F9C"/>
    <w:rsid w:val="00152039"/>
    <w:rsid w:val="001520EA"/>
    <w:rsid w:val="0015231C"/>
    <w:rsid w:val="0015259B"/>
    <w:rsid w:val="001525E8"/>
    <w:rsid w:val="00152699"/>
    <w:rsid w:val="001527C6"/>
    <w:rsid w:val="0015281F"/>
    <w:rsid w:val="00152879"/>
    <w:rsid w:val="001529D8"/>
    <w:rsid w:val="00152A2E"/>
    <w:rsid w:val="00152A6C"/>
    <w:rsid w:val="00152ADD"/>
    <w:rsid w:val="00152D93"/>
    <w:rsid w:val="001531AC"/>
    <w:rsid w:val="00153467"/>
    <w:rsid w:val="0015346D"/>
    <w:rsid w:val="001536E4"/>
    <w:rsid w:val="00153935"/>
    <w:rsid w:val="00153968"/>
    <w:rsid w:val="00153A10"/>
    <w:rsid w:val="00153B2C"/>
    <w:rsid w:val="00153B54"/>
    <w:rsid w:val="00153C40"/>
    <w:rsid w:val="00154364"/>
    <w:rsid w:val="0015439A"/>
    <w:rsid w:val="001543E9"/>
    <w:rsid w:val="00154635"/>
    <w:rsid w:val="0015469C"/>
    <w:rsid w:val="00154843"/>
    <w:rsid w:val="00154906"/>
    <w:rsid w:val="00154A59"/>
    <w:rsid w:val="00154AAF"/>
    <w:rsid w:val="00154C5E"/>
    <w:rsid w:val="00154D4D"/>
    <w:rsid w:val="00154D8C"/>
    <w:rsid w:val="00154E1D"/>
    <w:rsid w:val="00154EC4"/>
    <w:rsid w:val="00154F6A"/>
    <w:rsid w:val="00154F76"/>
    <w:rsid w:val="00155075"/>
    <w:rsid w:val="0015509A"/>
    <w:rsid w:val="00155129"/>
    <w:rsid w:val="0015518E"/>
    <w:rsid w:val="00155195"/>
    <w:rsid w:val="00155361"/>
    <w:rsid w:val="0015558F"/>
    <w:rsid w:val="001556FB"/>
    <w:rsid w:val="0015589C"/>
    <w:rsid w:val="00155A32"/>
    <w:rsid w:val="00155B5F"/>
    <w:rsid w:val="00155CDA"/>
    <w:rsid w:val="00155DC9"/>
    <w:rsid w:val="00155E78"/>
    <w:rsid w:val="00155F15"/>
    <w:rsid w:val="00155FF9"/>
    <w:rsid w:val="0015612A"/>
    <w:rsid w:val="00156269"/>
    <w:rsid w:val="00156321"/>
    <w:rsid w:val="00156324"/>
    <w:rsid w:val="001563B2"/>
    <w:rsid w:val="0015655C"/>
    <w:rsid w:val="0015655F"/>
    <w:rsid w:val="001565C8"/>
    <w:rsid w:val="00156988"/>
    <w:rsid w:val="00156BA4"/>
    <w:rsid w:val="00156BBD"/>
    <w:rsid w:val="00156D5E"/>
    <w:rsid w:val="00156D8C"/>
    <w:rsid w:val="00156E0C"/>
    <w:rsid w:val="00156EC7"/>
    <w:rsid w:val="00156F53"/>
    <w:rsid w:val="00157011"/>
    <w:rsid w:val="00157099"/>
    <w:rsid w:val="001570D5"/>
    <w:rsid w:val="00157129"/>
    <w:rsid w:val="00157148"/>
    <w:rsid w:val="0015744E"/>
    <w:rsid w:val="001574CD"/>
    <w:rsid w:val="0015786C"/>
    <w:rsid w:val="00157D7D"/>
    <w:rsid w:val="00157D98"/>
    <w:rsid w:val="00157E1F"/>
    <w:rsid w:val="00157E7D"/>
    <w:rsid w:val="00157EB2"/>
    <w:rsid w:val="00157FAC"/>
    <w:rsid w:val="00160019"/>
    <w:rsid w:val="001600AC"/>
    <w:rsid w:val="001600E4"/>
    <w:rsid w:val="0016011E"/>
    <w:rsid w:val="00160180"/>
    <w:rsid w:val="001601E1"/>
    <w:rsid w:val="00160739"/>
    <w:rsid w:val="001607DE"/>
    <w:rsid w:val="00160844"/>
    <w:rsid w:val="00160A54"/>
    <w:rsid w:val="00160AF3"/>
    <w:rsid w:val="00160CD1"/>
    <w:rsid w:val="0016108C"/>
    <w:rsid w:val="001612E2"/>
    <w:rsid w:val="00161499"/>
    <w:rsid w:val="001614D3"/>
    <w:rsid w:val="00161526"/>
    <w:rsid w:val="00161762"/>
    <w:rsid w:val="00161854"/>
    <w:rsid w:val="001619B4"/>
    <w:rsid w:val="00161B4C"/>
    <w:rsid w:val="00161C10"/>
    <w:rsid w:val="00161EAE"/>
    <w:rsid w:val="00161F4B"/>
    <w:rsid w:val="00161FD9"/>
    <w:rsid w:val="00161FEB"/>
    <w:rsid w:val="0016200C"/>
    <w:rsid w:val="0016213D"/>
    <w:rsid w:val="0016226B"/>
    <w:rsid w:val="001628FA"/>
    <w:rsid w:val="0016293D"/>
    <w:rsid w:val="0016297F"/>
    <w:rsid w:val="00162A6C"/>
    <w:rsid w:val="00162B0E"/>
    <w:rsid w:val="00162B32"/>
    <w:rsid w:val="00162D44"/>
    <w:rsid w:val="0016304D"/>
    <w:rsid w:val="0016314C"/>
    <w:rsid w:val="0016315F"/>
    <w:rsid w:val="00163236"/>
    <w:rsid w:val="00163406"/>
    <w:rsid w:val="00163A6C"/>
    <w:rsid w:val="00163A7F"/>
    <w:rsid w:val="00163B07"/>
    <w:rsid w:val="00163D5A"/>
    <w:rsid w:val="00164191"/>
    <w:rsid w:val="001642EF"/>
    <w:rsid w:val="00164430"/>
    <w:rsid w:val="0016460E"/>
    <w:rsid w:val="001646C5"/>
    <w:rsid w:val="001648F4"/>
    <w:rsid w:val="0016491D"/>
    <w:rsid w:val="0016498E"/>
    <w:rsid w:val="00164A11"/>
    <w:rsid w:val="00164A2E"/>
    <w:rsid w:val="00164EC5"/>
    <w:rsid w:val="00164F18"/>
    <w:rsid w:val="00165088"/>
    <w:rsid w:val="0016508A"/>
    <w:rsid w:val="001653F7"/>
    <w:rsid w:val="00165660"/>
    <w:rsid w:val="00165664"/>
    <w:rsid w:val="0016566D"/>
    <w:rsid w:val="0016579B"/>
    <w:rsid w:val="001658CF"/>
    <w:rsid w:val="001659BE"/>
    <w:rsid w:val="00165C22"/>
    <w:rsid w:val="00165CA4"/>
    <w:rsid w:val="00165DDC"/>
    <w:rsid w:val="00165FB2"/>
    <w:rsid w:val="001660C8"/>
    <w:rsid w:val="00166248"/>
    <w:rsid w:val="001663DB"/>
    <w:rsid w:val="00166453"/>
    <w:rsid w:val="001669DD"/>
    <w:rsid w:val="00166A59"/>
    <w:rsid w:val="00166C54"/>
    <w:rsid w:val="00166C9F"/>
    <w:rsid w:val="00166D17"/>
    <w:rsid w:val="00166D93"/>
    <w:rsid w:val="00166DB6"/>
    <w:rsid w:val="00166F30"/>
    <w:rsid w:val="00166FB9"/>
    <w:rsid w:val="00167552"/>
    <w:rsid w:val="0016759B"/>
    <w:rsid w:val="0016759E"/>
    <w:rsid w:val="001676A4"/>
    <w:rsid w:val="001677F5"/>
    <w:rsid w:val="0016783D"/>
    <w:rsid w:val="00167AE9"/>
    <w:rsid w:val="00167CDF"/>
    <w:rsid w:val="00167E15"/>
    <w:rsid w:val="00167F28"/>
    <w:rsid w:val="00167F77"/>
    <w:rsid w:val="00167FDC"/>
    <w:rsid w:val="00170024"/>
    <w:rsid w:val="00170106"/>
    <w:rsid w:val="001701D7"/>
    <w:rsid w:val="00170577"/>
    <w:rsid w:val="001706D4"/>
    <w:rsid w:val="0017089E"/>
    <w:rsid w:val="00170962"/>
    <w:rsid w:val="00170ABF"/>
    <w:rsid w:val="00170BD5"/>
    <w:rsid w:val="00170F0F"/>
    <w:rsid w:val="00170FC6"/>
    <w:rsid w:val="00171002"/>
    <w:rsid w:val="00171069"/>
    <w:rsid w:val="00171235"/>
    <w:rsid w:val="0017152A"/>
    <w:rsid w:val="0017185E"/>
    <w:rsid w:val="00171955"/>
    <w:rsid w:val="00171993"/>
    <w:rsid w:val="00171A0F"/>
    <w:rsid w:val="00171A25"/>
    <w:rsid w:val="00171BD7"/>
    <w:rsid w:val="00171CA4"/>
    <w:rsid w:val="00171E28"/>
    <w:rsid w:val="0017226C"/>
    <w:rsid w:val="001723C7"/>
    <w:rsid w:val="00172480"/>
    <w:rsid w:val="001724BC"/>
    <w:rsid w:val="00172846"/>
    <w:rsid w:val="001729C2"/>
    <w:rsid w:val="00172C63"/>
    <w:rsid w:val="00172CEE"/>
    <w:rsid w:val="00172F4D"/>
    <w:rsid w:val="00172FD6"/>
    <w:rsid w:val="00173083"/>
    <w:rsid w:val="001730AA"/>
    <w:rsid w:val="001730D9"/>
    <w:rsid w:val="001731DF"/>
    <w:rsid w:val="001732C3"/>
    <w:rsid w:val="00173548"/>
    <w:rsid w:val="0017365C"/>
    <w:rsid w:val="00173670"/>
    <w:rsid w:val="001736C8"/>
    <w:rsid w:val="00173711"/>
    <w:rsid w:val="00173732"/>
    <w:rsid w:val="00173BD5"/>
    <w:rsid w:val="00173E84"/>
    <w:rsid w:val="00173F0C"/>
    <w:rsid w:val="001740AD"/>
    <w:rsid w:val="001740FD"/>
    <w:rsid w:val="00174155"/>
    <w:rsid w:val="00174179"/>
    <w:rsid w:val="00174441"/>
    <w:rsid w:val="00174478"/>
    <w:rsid w:val="001745E5"/>
    <w:rsid w:val="00174701"/>
    <w:rsid w:val="001747CC"/>
    <w:rsid w:val="001749CA"/>
    <w:rsid w:val="00174ABF"/>
    <w:rsid w:val="00174B53"/>
    <w:rsid w:val="00174BA3"/>
    <w:rsid w:val="00174C04"/>
    <w:rsid w:val="00174E0C"/>
    <w:rsid w:val="00174F72"/>
    <w:rsid w:val="001752DF"/>
    <w:rsid w:val="001752EA"/>
    <w:rsid w:val="00175371"/>
    <w:rsid w:val="001754BF"/>
    <w:rsid w:val="001754D1"/>
    <w:rsid w:val="0017566F"/>
    <w:rsid w:val="0017578D"/>
    <w:rsid w:val="00175816"/>
    <w:rsid w:val="00175930"/>
    <w:rsid w:val="00175956"/>
    <w:rsid w:val="00175A1D"/>
    <w:rsid w:val="00175AE9"/>
    <w:rsid w:val="00175BBC"/>
    <w:rsid w:val="00175BC4"/>
    <w:rsid w:val="00175D0C"/>
    <w:rsid w:val="00175DD5"/>
    <w:rsid w:val="00175E99"/>
    <w:rsid w:val="00175EE9"/>
    <w:rsid w:val="0017614B"/>
    <w:rsid w:val="001762F8"/>
    <w:rsid w:val="001765E7"/>
    <w:rsid w:val="001766B3"/>
    <w:rsid w:val="00176738"/>
    <w:rsid w:val="0017678D"/>
    <w:rsid w:val="00176AF8"/>
    <w:rsid w:val="00176B3C"/>
    <w:rsid w:val="00176C85"/>
    <w:rsid w:val="00176CA3"/>
    <w:rsid w:val="00176E2A"/>
    <w:rsid w:val="00176E4C"/>
    <w:rsid w:val="0017731E"/>
    <w:rsid w:val="0017736C"/>
    <w:rsid w:val="001773CA"/>
    <w:rsid w:val="00177492"/>
    <w:rsid w:val="001774FA"/>
    <w:rsid w:val="001775FD"/>
    <w:rsid w:val="00177726"/>
    <w:rsid w:val="00177A96"/>
    <w:rsid w:val="00177C8A"/>
    <w:rsid w:val="00177DB6"/>
    <w:rsid w:val="001802FD"/>
    <w:rsid w:val="001806E7"/>
    <w:rsid w:val="001808AB"/>
    <w:rsid w:val="00180DCB"/>
    <w:rsid w:val="00180EDF"/>
    <w:rsid w:val="00180FC7"/>
    <w:rsid w:val="0018132E"/>
    <w:rsid w:val="001813D0"/>
    <w:rsid w:val="00181612"/>
    <w:rsid w:val="00181835"/>
    <w:rsid w:val="0018188E"/>
    <w:rsid w:val="001818D9"/>
    <w:rsid w:val="001818F3"/>
    <w:rsid w:val="00181A5E"/>
    <w:rsid w:val="00181C38"/>
    <w:rsid w:val="00181C73"/>
    <w:rsid w:val="00181ED6"/>
    <w:rsid w:val="00181F77"/>
    <w:rsid w:val="00181FAC"/>
    <w:rsid w:val="0018204D"/>
    <w:rsid w:val="001822EE"/>
    <w:rsid w:val="001824C9"/>
    <w:rsid w:val="00182871"/>
    <w:rsid w:val="00182877"/>
    <w:rsid w:val="00182AF3"/>
    <w:rsid w:val="0018302D"/>
    <w:rsid w:val="00183077"/>
    <w:rsid w:val="0018349B"/>
    <w:rsid w:val="001834C0"/>
    <w:rsid w:val="0018357C"/>
    <w:rsid w:val="001836A3"/>
    <w:rsid w:val="00183724"/>
    <w:rsid w:val="0018378D"/>
    <w:rsid w:val="001837ED"/>
    <w:rsid w:val="001838D8"/>
    <w:rsid w:val="00183967"/>
    <w:rsid w:val="00183B81"/>
    <w:rsid w:val="00183C1A"/>
    <w:rsid w:val="00183DF9"/>
    <w:rsid w:val="00183ED0"/>
    <w:rsid w:val="00184004"/>
    <w:rsid w:val="00184030"/>
    <w:rsid w:val="0018408F"/>
    <w:rsid w:val="00184140"/>
    <w:rsid w:val="00184445"/>
    <w:rsid w:val="0018477E"/>
    <w:rsid w:val="00184883"/>
    <w:rsid w:val="001848E9"/>
    <w:rsid w:val="00184ADC"/>
    <w:rsid w:val="00184AFF"/>
    <w:rsid w:val="00184C98"/>
    <w:rsid w:val="00184D34"/>
    <w:rsid w:val="00184DB9"/>
    <w:rsid w:val="00184DF7"/>
    <w:rsid w:val="00184FFA"/>
    <w:rsid w:val="001850E1"/>
    <w:rsid w:val="001850EA"/>
    <w:rsid w:val="001851F3"/>
    <w:rsid w:val="0018523F"/>
    <w:rsid w:val="0018529B"/>
    <w:rsid w:val="001852EF"/>
    <w:rsid w:val="00185574"/>
    <w:rsid w:val="001855C4"/>
    <w:rsid w:val="00185839"/>
    <w:rsid w:val="00185942"/>
    <w:rsid w:val="001859E1"/>
    <w:rsid w:val="00185A82"/>
    <w:rsid w:val="00185BD5"/>
    <w:rsid w:val="00185D16"/>
    <w:rsid w:val="00185DA5"/>
    <w:rsid w:val="00185DD2"/>
    <w:rsid w:val="00185E25"/>
    <w:rsid w:val="00185E3A"/>
    <w:rsid w:val="00185FDC"/>
    <w:rsid w:val="00185FF3"/>
    <w:rsid w:val="00186057"/>
    <w:rsid w:val="0018631E"/>
    <w:rsid w:val="001863E7"/>
    <w:rsid w:val="001865C0"/>
    <w:rsid w:val="00186738"/>
    <w:rsid w:val="001868E9"/>
    <w:rsid w:val="00186902"/>
    <w:rsid w:val="00186B6F"/>
    <w:rsid w:val="00186CE0"/>
    <w:rsid w:val="00186D1F"/>
    <w:rsid w:val="00186D2E"/>
    <w:rsid w:val="00186E77"/>
    <w:rsid w:val="00186F13"/>
    <w:rsid w:val="00186F8C"/>
    <w:rsid w:val="00186FEB"/>
    <w:rsid w:val="0018707E"/>
    <w:rsid w:val="0018718C"/>
    <w:rsid w:val="001871AF"/>
    <w:rsid w:val="00187361"/>
    <w:rsid w:val="00187422"/>
    <w:rsid w:val="00187552"/>
    <w:rsid w:val="00187580"/>
    <w:rsid w:val="001877DE"/>
    <w:rsid w:val="00187800"/>
    <w:rsid w:val="001878B2"/>
    <w:rsid w:val="001878D3"/>
    <w:rsid w:val="00187BC2"/>
    <w:rsid w:val="00187BF3"/>
    <w:rsid w:val="00187C5B"/>
    <w:rsid w:val="00187FBA"/>
    <w:rsid w:val="00187FC4"/>
    <w:rsid w:val="00190029"/>
    <w:rsid w:val="001901AB"/>
    <w:rsid w:val="001901FF"/>
    <w:rsid w:val="0019023A"/>
    <w:rsid w:val="0019023D"/>
    <w:rsid w:val="0019027E"/>
    <w:rsid w:val="001902C9"/>
    <w:rsid w:val="00190481"/>
    <w:rsid w:val="00190748"/>
    <w:rsid w:val="001907BB"/>
    <w:rsid w:val="00190B65"/>
    <w:rsid w:val="00190F63"/>
    <w:rsid w:val="00190FF6"/>
    <w:rsid w:val="0019106F"/>
    <w:rsid w:val="001910F8"/>
    <w:rsid w:val="0019118E"/>
    <w:rsid w:val="001912BF"/>
    <w:rsid w:val="001912FD"/>
    <w:rsid w:val="001913FA"/>
    <w:rsid w:val="001915EA"/>
    <w:rsid w:val="0019160E"/>
    <w:rsid w:val="00191706"/>
    <w:rsid w:val="00191792"/>
    <w:rsid w:val="00191C27"/>
    <w:rsid w:val="001920E8"/>
    <w:rsid w:val="001920F8"/>
    <w:rsid w:val="001921D6"/>
    <w:rsid w:val="00192344"/>
    <w:rsid w:val="001924C1"/>
    <w:rsid w:val="00192508"/>
    <w:rsid w:val="001925A5"/>
    <w:rsid w:val="001926F2"/>
    <w:rsid w:val="00192837"/>
    <w:rsid w:val="00192907"/>
    <w:rsid w:val="00192915"/>
    <w:rsid w:val="00192BD2"/>
    <w:rsid w:val="00192BDC"/>
    <w:rsid w:val="00192DC7"/>
    <w:rsid w:val="00192E44"/>
    <w:rsid w:val="00192F69"/>
    <w:rsid w:val="00192FF9"/>
    <w:rsid w:val="00193198"/>
    <w:rsid w:val="00193303"/>
    <w:rsid w:val="00193835"/>
    <w:rsid w:val="00193D52"/>
    <w:rsid w:val="00193EB6"/>
    <w:rsid w:val="00193F1D"/>
    <w:rsid w:val="00193FD3"/>
    <w:rsid w:val="001941ED"/>
    <w:rsid w:val="0019432E"/>
    <w:rsid w:val="001943C2"/>
    <w:rsid w:val="0019448A"/>
    <w:rsid w:val="001945A2"/>
    <w:rsid w:val="00194774"/>
    <w:rsid w:val="001949BC"/>
    <w:rsid w:val="00194AA7"/>
    <w:rsid w:val="00194B80"/>
    <w:rsid w:val="00194EA8"/>
    <w:rsid w:val="00194EAB"/>
    <w:rsid w:val="00194F01"/>
    <w:rsid w:val="00194F42"/>
    <w:rsid w:val="00194F4E"/>
    <w:rsid w:val="00194FD1"/>
    <w:rsid w:val="0019509D"/>
    <w:rsid w:val="001950A1"/>
    <w:rsid w:val="0019521B"/>
    <w:rsid w:val="00195521"/>
    <w:rsid w:val="0019558B"/>
    <w:rsid w:val="00195591"/>
    <w:rsid w:val="001955C6"/>
    <w:rsid w:val="0019561B"/>
    <w:rsid w:val="00195636"/>
    <w:rsid w:val="00195666"/>
    <w:rsid w:val="0019566C"/>
    <w:rsid w:val="00195772"/>
    <w:rsid w:val="0019587C"/>
    <w:rsid w:val="001958FD"/>
    <w:rsid w:val="001959ED"/>
    <w:rsid w:val="00195D64"/>
    <w:rsid w:val="00195E5C"/>
    <w:rsid w:val="00195E65"/>
    <w:rsid w:val="00195FD5"/>
    <w:rsid w:val="00195FF8"/>
    <w:rsid w:val="0019603A"/>
    <w:rsid w:val="0019626D"/>
    <w:rsid w:val="001962FE"/>
    <w:rsid w:val="001963AF"/>
    <w:rsid w:val="0019642B"/>
    <w:rsid w:val="00196451"/>
    <w:rsid w:val="00196534"/>
    <w:rsid w:val="001965B7"/>
    <w:rsid w:val="001966CC"/>
    <w:rsid w:val="00196818"/>
    <w:rsid w:val="00196A02"/>
    <w:rsid w:val="00196AB7"/>
    <w:rsid w:val="00196BF2"/>
    <w:rsid w:val="00196C56"/>
    <w:rsid w:val="00196CF9"/>
    <w:rsid w:val="00196DB9"/>
    <w:rsid w:val="00196EA4"/>
    <w:rsid w:val="00196F82"/>
    <w:rsid w:val="0019747F"/>
    <w:rsid w:val="0019756B"/>
    <w:rsid w:val="00197610"/>
    <w:rsid w:val="00197757"/>
    <w:rsid w:val="00197762"/>
    <w:rsid w:val="001977F7"/>
    <w:rsid w:val="001979A5"/>
    <w:rsid w:val="00197B77"/>
    <w:rsid w:val="00197D49"/>
    <w:rsid w:val="00197DAC"/>
    <w:rsid w:val="00197DB2"/>
    <w:rsid w:val="001A01CA"/>
    <w:rsid w:val="001A02DD"/>
    <w:rsid w:val="001A0315"/>
    <w:rsid w:val="001A0364"/>
    <w:rsid w:val="001A03C1"/>
    <w:rsid w:val="001A0433"/>
    <w:rsid w:val="001A05EB"/>
    <w:rsid w:val="001A060F"/>
    <w:rsid w:val="001A0625"/>
    <w:rsid w:val="001A0673"/>
    <w:rsid w:val="001A0912"/>
    <w:rsid w:val="001A0927"/>
    <w:rsid w:val="001A0A84"/>
    <w:rsid w:val="001A0ABE"/>
    <w:rsid w:val="001A0BBA"/>
    <w:rsid w:val="001A0C93"/>
    <w:rsid w:val="001A0CAB"/>
    <w:rsid w:val="001A0F4F"/>
    <w:rsid w:val="001A1375"/>
    <w:rsid w:val="001A165D"/>
    <w:rsid w:val="001A17F2"/>
    <w:rsid w:val="001A18B6"/>
    <w:rsid w:val="001A18D6"/>
    <w:rsid w:val="001A18F4"/>
    <w:rsid w:val="001A1B32"/>
    <w:rsid w:val="001A1B77"/>
    <w:rsid w:val="001A1CF0"/>
    <w:rsid w:val="001A1D7B"/>
    <w:rsid w:val="001A1FE3"/>
    <w:rsid w:val="001A2113"/>
    <w:rsid w:val="001A21C4"/>
    <w:rsid w:val="001A221C"/>
    <w:rsid w:val="001A24D4"/>
    <w:rsid w:val="001A26B5"/>
    <w:rsid w:val="001A2EEF"/>
    <w:rsid w:val="001A2FC1"/>
    <w:rsid w:val="001A3064"/>
    <w:rsid w:val="001A30D7"/>
    <w:rsid w:val="001A31CE"/>
    <w:rsid w:val="001A31D7"/>
    <w:rsid w:val="001A323E"/>
    <w:rsid w:val="001A3688"/>
    <w:rsid w:val="001A36DE"/>
    <w:rsid w:val="001A37C6"/>
    <w:rsid w:val="001A39CD"/>
    <w:rsid w:val="001A39F6"/>
    <w:rsid w:val="001A3A3E"/>
    <w:rsid w:val="001A3B61"/>
    <w:rsid w:val="001A3CF3"/>
    <w:rsid w:val="001A3EB6"/>
    <w:rsid w:val="001A403A"/>
    <w:rsid w:val="001A4235"/>
    <w:rsid w:val="001A4483"/>
    <w:rsid w:val="001A469F"/>
    <w:rsid w:val="001A46FD"/>
    <w:rsid w:val="001A484E"/>
    <w:rsid w:val="001A496B"/>
    <w:rsid w:val="001A4974"/>
    <w:rsid w:val="001A49E0"/>
    <w:rsid w:val="001A4A28"/>
    <w:rsid w:val="001A4D07"/>
    <w:rsid w:val="001A5003"/>
    <w:rsid w:val="001A50E0"/>
    <w:rsid w:val="001A5106"/>
    <w:rsid w:val="001A531E"/>
    <w:rsid w:val="001A5595"/>
    <w:rsid w:val="001A56E3"/>
    <w:rsid w:val="001A5A34"/>
    <w:rsid w:val="001A5AF5"/>
    <w:rsid w:val="001A5CC7"/>
    <w:rsid w:val="001A5D2C"/>
    <w:rsid w:val="001A62C2"/>
    <w:rsid w:val="001A63A0"/>
    <w:rsid w:val="001A6451"/>
    <w:rsid w:val="001A64AF"/>
    <w:rsid w:val="001A6805"/>
    <w:rsid w:val="001A6832"/>
    <w:rsid w:val="001A6846"/>
    <w:rsid w:val="001A6884"/>
    <w:rsid w:val="001A6A4A"/>
    <w:rsid w:val="001A6A81"/>
    <w:rsid w:val="001A6B5C"/>
    <w:rsid w:val="001A6BCC"/>
    <w:rsid w:val="001A6C15"/>
    <w:rsid w:val="001A6C93"/>
    <w:rsid w:val="001A6CBE"/>
    <w:rsid w:val="001A6D30"/>
    <w:rsid w:val="001A6DB3"/>
    <w:rsid w:val="001A6EF3"/>
    <w:rsid w:val="001A708F"/>
    <w:rsid w:val="001A7091"/>
    <w:rsid w:val="001A7125"/>
    <w:rsid w:val="001A7225"/>
    <w:rsid w:val="001A737B"/>
    <w:rsid w:val="001A73C4"/>
    <w:rsid w:val="001A7491"/>
    <w:rsid w:val="001A752D"/>
    <w:rsid w:val="001A7844"/>
    <w:rsid w:val="001A794A"/>
    <w:rsid w:val="001A79F1"/>
    <w:rsid w:val="001A7B52"/>
    <w:rsid w:val="001A7BF1"/>
    <w:rsid w:val="001A7CBD"/>
    <w:rsid w:val="001A7D51"/>
    <w:rsid w:val="001A7DDB"/>
    <w:rsid w:val="001A7E61"/>
    <w:rsid w:val="001A7F05"/>
    <w:rsid w:val="001A7F1E"/>
    <w:rsid w:val="001B014C"/>
    <w:rsid w:val="001B017B"/>
    <w:rsid w:val="001B01A5"/>
    <w:rsid w:val="001B021F"/>
    <w:rsid w:val="001B02FC"/>
    <w:rsid w:val="001B039C"/>
    <w:rsid w:val="001B0661"/>
    <w:rsid w:val="001B069A"/>
    <w:rsid w:val="001B080F"/>
    <w:rsid w:val="001B09F9"/>
    <w:rsid w:val="001B0B00"/>
    <w:rsid w:val="001B0B0E"/>
    <w:rsid w:val="001B0CCE"/>
    <w:rsid w:val="001B0FD2"/>
    <w:rsid w:val="001B0FE0"/>
    <w:rsid w:val="001B0FEC"/>
    <w:rsid w:val="001B1099"/>
    <w:rsid w:val="001B1293"/>
    <w:rsid w:val="001B12CB"/>
    <w:rsid w:val="001B13BD"/>
    <w:rsid w:val="001B140C"/>
    <w:rsid w:val="001B14B9"/>
    <w:rsid w:val="001B1593"/>
    <w:rsid w:val="001B16DB"/>
    <w:rsid w:val="001B18AD"/>
    <w:rsid w:val="001B1A3E"/>
    <w:rsid w:val="001B1BE8"/>
    <w:rsid w:val="001B1D00"/>
    <w:rsid w:val="001B1F92"/>
    <w:rsid w:val="001B1FDD"/>
    <w:rsid w:val="001B204B"/>
    <w:rsid w:val="001B2094"/>
    <w:rsid w:val="001B2193"/>
    <w:rsid w:val="001B21D3"/>
    <w:rsid w:val="001B2211"/>
    <w:rsid w:val="001B22D5"/>
    <w:rsid w:val="001B2387"/>
    <w:rsid w:val="001B24F6"/>
    <w:rsid w:val="001B2506"/>
    <w:rsid w:val="001B2B30"/>
    <w:rsid w:val="001B2B8F"/>
    <w:rsid w:val="001B2C22"/>
    <w:rsid w:val="001B30D7"/>
    <w:rsid w:val="001B310D"/>
    <w:rsid w:val="001B326F"/>
    <w:rsid w:val="001B32D0"/>
    <w:rsid w:val="001B332D"/>
    <w:rsid w:val="001B34D4"/>
    <w:rsid w:val="001B3629"/>
    <w:rsid w:val="001B36C4"/>
    <w:rsid w:val="001B3867"/>
    <w:rsid w:val="001B3918"/>
    <w:rsid w:val="001B39E7"/>
    <w:rsid w:val="001B3AAA"/>
    <w:rsid w:val="001B3BD6"/>
    <w:rsid w:val="001B3C8C"/>
    <w:rsid w:val="001B423B"/>
    <w:rsid w:val="001B4308"/>
    <w:rsid w:val="001B457E"/>
    <w:rsid w:val="001B45C7"/>
    <w:rsid w:val="001B46F8"/>
    <w:rsid w:val="001B4868"/>
    <w:rsid w:val="001B4872"/>
    <w:rsid w:val="001B4BC0"/>
    <w:rsid w:val="001B4C61"/>
    <w:rsid w:val="001B4CC2"/>
    <w:rsid w:val="001B4E6D"/>
    <w:rsid w:val="001B4EA4"/>
    <w:rsid w:val="001B4F2B"/>
    <w:rsid w:val="001B4F73"/>
    <w:rsid w:val="001B50DD"/>
    <w:rsid w:val="001B5161"/>
    <w:rsid w:val="001B520C"/>
    <w:rsid w:val="001B520F"/>
    <w:rsid w:val="001B53F2"/>
    <w:rsid w:val="001B570C"/>
    <w:rsid w:val="001B57F3"/>
    <w:rsid w:val="001B588F"/>
    <w:rsid w:val="001B5895"/>
    <w:rsid w:val="001B5938"/>
    <w:rsid w:val="001B597C"/>
    <w:rsid w:val="001B5C2E"/>
    <w:rsid w:val="001B5C4C"/>
    <w:rsid w:val="001B5D0A"/>
    <w:rsid w:val="001B5D2B"/>
    <w:rsid w:val="001B5EC6"/>
    <w:rsid w:val="001B5F69"/>
    <w:rsid w:val="001B6125"/>
    <w:rsid w:val="001B612E"/>
    <w:rsid w:val="001B65DA"/>
    <w:rsid w:val="001B6616"/>
    <w:rsid w:val="001B6620"/>
    <w:rsid w:val="001B6A53"/>
    <w:rsid w:val="001B6C7C"/>
    <w:rsid w:val="001B6F27"/>
    <w:rsid w:val="001B6FA4"/>
    <w:rsid w:val="001B7084"/>
    <w:rsid w:val="001B7099"/>
    <w:rsid w:val="001B7106"/>
    <w:rsid w:val="001B7143"/>
    <w:rsid w:val="001B7289"/>
    <w:rsid w:val="001B728B"/>
    <w:rsid w:val="001B72E4"/>
    <w:rsid w:val="001B7397"/>
    <w:rsid w:val="001B7493"/>
    <w:rsid w:val="001B78A2"/>
    <w:rsid w:val="001B7907"/>
    <w:rsid w:val="001B7984"/>
    <w:rsid w:val="001B7A01"/>
    <w:rsid w:val="001B7A43"/>
    <w:rsid w:val="001B7ACD"/>
    <w:rsid w:val="001B7C6E"/>
    <w:rsid w:val="001B7CEE"/>
    <w:rsid w:val="001B7F3E"/>
    <w:rsid w:val="001C02D8"/>
    <w:rsid w:val="001C034B"/>
    <w:rsid w:val="001C03DB"/>
    <w:rsid w:val="001C05EF"/>
    <w:rsid w:val="001C0686"/>
    <w:rsid w:val="001C0792"/>
    <w:rsid w:val="001C08D8"/>
    <w:rsid w:val="001C08F5"/>
    <w:rsid w:val="001C0BB1"/>
    <w:rsid w:val="001C0D11"/>
    <w:rsid w:val="001C0D93"/>
    <w:rsid w:val="001C0DF3"/>
    <w:rsid w:val="001C0EBD"/>
    <w:rsid w:val="001C0F05"/>
    <w:rsid w:val="001C0F65"/>
    <w:rsid w:val="001C1013"/>
    <w:rsid w:val="001C10D2"/>
    <w:rsid w:val="001C11FA"/>
    <w:rsid w:val="001C1209"/>
    <w:rsid w:val="001C1248"/>
    <w:rsid w:val="001C134C"/>
    <w:rsid w:val="001C136C"/>
    <w:rsid w:val="001C1646"/>
    <w:rsid w:val="001C16F4"/>
    <w:rsid w:val="001C17C7"/>
    <w:rsid w:val="001C17DC"/>
    <w:rsid w:val="001C187F"/>
    <w:rsid w:val="001C188A"/>
    <w:rsid w:val="001C18ED"/>
    <w:rsid w:val="001C1B64"/>
    <w:rsid w:val="001C1B7D"/>
    <w:rsid w:val="001C1B93"/>
    <w:rsid w:val="001C1DEF"/>
    <w:rsid w:val="001C1E50"/>
    <w:rsid w:val="001C1E8E"/>
    <w:rsid w:val="001C216B"/>
    <w:rsid w:val="001C2276"/>
    <w:rsid w:val="001C22AB"/>
    <w:rsid w:val="001C22BD"/>
    <w:rsid w:val="001C22F7"/>
    <w:rsid w:val="001C23D7"/>
    <w:rsid w:val="001C257E"/>
    <w:rsid w:val="001C26D0"/>
    <w:rsid w:val="001C26D4"/>
    <w:rsid w:val="001C28F5"/>
    <w:rsid w:val="001C290D"/>
    <w:rsid w:val="001C2936"/>
    <w:rsid w:val="001C2A07"/>
    <w:rsid w:val="001C2B96"/>
    <w:rsid w:val="001C2BDC"/>
    <w:rsid w:val="001C2C79"/>
    <w:rsid w:val="001C2CF5"/>
    <w:rsid w:val="001C348B"/>
    <w:rsid w:val="001C36F4"/>
    <w:rsid w:val="001C374C"/>
    <w:rsid w:val="001C3776"/>
    <w:rsid w:val="001C3939"/>
    <w:rsid w:val="001C398C"/>
    <w:rsid w:val="001C3A68"/>
    <w:rsid w:val="001C3B25"/>
    <w:rsid w:val="001C3C62"/>
    <w:rsid w:val="001C3C69"/>
    <w:rsid w:val="001C3E0B"/>
    <w:rsid w:val="001C401D"/>
    <w:rsid w:val="001C4031"/>
    <w:rsid w:val="001C4338"/>
    <w:rsid w:val="001C43A1"/>
    <w:rsid w:val="001C44BB"/>
    <w:rsid w:val="001C456A"/>
    <w:rsid w:val="001C45B2"/>
    <w:rsid w:val="001C46CB"/>
    <w:rsid w:val="001C494F"/>
    <w:rsid w:val="001C4969"/>
    <w:rsid w:val="001C49DE"/>
    <w:rsid w:val="001C4A4C"/>
    <w:rsid w:val="001C4BFD"/>
    <w:rsid w:val="001C4C69"/>
    <w:rsid w:val="001C4E81"/>
    <w:rsid w:val="001C4F74"/>
    <w:rsid w:val="001C4FB4"/>
    <w:rsid w:val="001C4FF5"/>
    <w:rsid w:val="001C5159"/>
    <w:rsid w:val="001C55D6"/>
    <w:rsid w:val="001C570F"/>
    <w:rsid w:val="001C5735"/>
    <w:rsid w:val="001C5864"/>
    <w:rsid w:val="001C587C"/>
    <w:rsid w:val="001C5907"/>
    <w:rsid w:val="001C5C72"/>
    <w:rsid w:val="001C5CC6"/>
    <w:rsid w:val="001C5D3B"/>
    <w:rsid w:val="001C5FEB"/>
    <w:rsid w:val="001C6012"/>
    <w:rsid w:val="001C62A0"/>
    <w:rsid w:val="001C62EF"/>
    <w:rsid w:val="001C640D"/>
    <w:rsid w:val="001C64A2"/>
    <w:rsid w:val="001C64FE"/>
    <w:rsid w:val="001C652D"/>
    <w:rsid w:val="001C66B1"/>
    <w:rsid w:val="001C6700"/>
    <w:rsid w:val="001C6B45"/>
    <w:rsid w:val="001C6B4D"/>
    <w:rsid w:val="001C6D16"/>
    <w:rsid w:val="001C6F01"/>
    <w:rsid w:val="001C6F0A"/>
    <w:rsid w:val="001C6F15"/>
    <w:rsid w:val="001C6F91"/>
    <w:rsid w:val="001C6F95"/>
    <w:rsid w:val="001C701E"/>
    <w:rsid w:val="001C7047"/>
    <w:rsid w:val="001C7054"/>
    <w:rsid w:val="001C714E"/>
    <w:rsid w:val="001C717C"/>
    <w:rsid w:val="001C7297"/>
    <w:rsid w:val="001C77BE"/>
    <w:rsid w:val="001C7997"/>
    <w:rsid w:val="001C7C02"/>
    <w:rsid w:val="001C7C08"/>
    <w:rsid w:val="001C7C19"/>
    <w:rsid w:val="001D0365"/>
    <w:rsid w:val="001D038A"/>
    <w:rsid w:val="001D04BD"/>
    <w:rsid w:val="001D051F"/>
    <w:rsid w:val="001D0526"/>
    <w:rsid w:val="001D06CB"/>
    <w:rsid w:val="001D0750"/>
    <w:rsid w:val="001D0881"/>
    <w:rsid w:val="001D08AA"/>
    <w:rsid w:val="001D0A15"/>
    <w:rsid w:val="001D0A59"/>
    <w:rsid w:val="001D0A6A"/>
    <w:rsid w:val="001D0A7F"/>
    <w:rsid w:val="001D0D70"/>
    <w:rsid w:val="001D0D9E"/>
    <w:rsid w:val="001D0E36"/>
    <w:rsid w:val="001D0F2F"/>
    <w:rsid w:val="001D0F48"/>
    <w:rsid w:val="001D0F60"/>
    <w:rsid w:val="001D10EB"/>
    <w:rsid w:val="001D10FF"/>
    <w:rsid w:val="001D114F"/>
    <w:rsid w:val="001D1242"/>
    <w:rsid w:val="001D1262"/>
    <w:rsid w:val="001D1298"/>
    <w:rsid w:val="001D130F"/>
    <w:rsid w:val="001D1383"/>
    <w:rsid w:val="001D146F"/>
    <w:rsid w:val="001D148C"/>
    <w:rsid w:val="001D180D"/>
    <w:rsid w:val="001D1939"/>
    <w:rsid w:val="001D1A5A"/>
    <w:rsid w:val="001D1AF2"/>
    <w:rsid w:val="001D200F"/>
    <w:rsid w:val="001D2027"/>
    <w:rsid w:val="001D2248"/>
    <w:rsid w:val="001D2304"/>
    <w:rsid w:val="001D236E"/>
    <w:rsid w:val="001D23F3"/>
    <w:rsid w:val="001D2640"/>
    <w:rsid w:val="001D27C5"/>
    <w:rsid w:val="001D2803"/>
    <w:rsid w:val="001D29BF"/>
    <w:rsid w:val="001D2A27"/>
    <w:rsid w:val="001D2CF8"/>
    <w:rsid w:val="001D2D26"/>
    <w:rsid w:val="001D2D2C"/>
    <w:rsid w:val="001D2FF8"/>
    <w:rsid w:val="001D313A"/>
    <w:rsid w:val="001D316F"/>
    <w:rsid w:val="001D32A8"/>
    <w:rsid w:val="001D333A"/>
    <w:rsid w:val="001D36BD"/>
    <w:rsid w:val="001D3769"/>
    <w:rsid w:val="001D3924"/>
    <w:rsid w:val="001D39D0"/>
    <w:rsid w:val="001D3A7D"/>
    <w:rsid w:val="001D3CCE"/>
    <w:rsid w:val="001D3E45"/>
    <w:rsid w:val="001D3E78"/>
    <w:rsid w:val="001D4039"/>
    <w:rsid w:val="001D40BF"/>
    <w:rsid w:val="001D410E"/>
    <w:rsid w:val="001D41CE"/>
    <w:rsid w:val="001D4337"/>
    <w:rsid w:val="001D43DA"/>
    <w:rsid w:val="001D4561"/>
    <w:rsid w:val="001D4643"/>
    <w:rsid w:val="001D465B"/>
    <w:rsid w:val="001D479F"/>
    <w:rsid w:val="001D4877"/>
    <w:rsid w:val="001D4C7B"/>
    <w:rsid w:val="001D4D14"/>
    <w:rsid w:val="001D4E4C"/>
    <w:rsid w:val="001D4EB1"/>
    <w:rsid w:val="001D4F1A"/>
    <w:rsid w:val="001D4FCA"/>
    <w:rsid w:val="001D503B"/>
    <w:rsid w:val="001D518F"/>
    <w:rsid w:val="001D521C"/>
    <w:rsid w:val="001D527D"/>
    <w:rsid w:val="001D547F"/>
    <w:rsid w:val="001D5573"/>
    <w:rsid w:val="001D56B3"/>
    <w:rsid w:val="001D59EE"/>
    <w:rsid w:val="001D5B39"/>
    <w:rsid w:val="001D5BF7"/>
    <w:rsid w:val="001D5DE7"/>
    <w:rsid w:val="001D5EED"/>
    <w:rsid w:val="001D5F12"/>
    <w:rsid w:val="001D6014"/>
    <w:rsid w:val="001D62EB"/>
    <w:rsid w:val="001D65B0"/>
    <w:rsid w:val="001D662F"/>
    <w:rsid w:val="001D68D8"/>
    <w:rsid w:val="001D6A53"/>
    <w:rsid w:val="001D6AC8"/>
    <w:rsid w:val="001D6B25"/>
    <w:rsid w:val="001D6C0E"/>
    <w:rsid w:val="001D6CBE"/>
    <w:rsid w:val="001D6CC7"/>
    <w:rsid w:val="001D7251"/>
    <w:rsid w:val="001D7271"/>
    <w:rsid w:val="001D72DF"/>
    <w:rsid w:val="001D730B"/>
    <w:rsid w:val="001D730E"/>
    <w:rsid w:val="001D7436"/>
    <w:rsid w:val="001D74CC"/>
    <w:rsid w:val="001D76CD"/>
    <w:rsid w:val="001D76D1"/>
    <w:rsid w:val="001D76E9"/>
    <w:rsid w:val="001D77CE"/>
    <w:rsid w:val="001D7864"/>
    <w:rsid w:val="001D78F8"/>
    <w:rsid w:val="001D7981"/>
    <w:rsid w:val="001D7A8D"/>
    <w:rsid w:val="001D7C93"/>
    <w:rsid w:val="001D7C98"/>
    <w:rsid w:val="001D7CE1"/>
    <w:rsid w:val="001D7D17"/>
    <w:rsid w:val="001E041A"/>
    <w:rsid w:val="001E058B"/>
    <w:rsid w:val="001E0647"/>
    <w:rsid w:val="001E065C"/>
    <w:rsid w:val="001E075F"/>
    <w:rsid w:val="001E0765"/>
    <w:rsid w:val="001E0815"/>
    <w:rsid w:val="001E084F"/>
    <w:rsid w:val="001E0910"/>
    <w:rsid w:val="001E092F"/>
    <w:rsid w:val="001E0D7A"/>
    <w:rsid w:val="001E0F0F"/>
    <w:rsid w:val="001E1174"/>
    <w:rsid w:val="001E118A"/>
    <w:rsid w:val="001E1210"/>
    <w:rsid w:val="001E1242"/>
    <w:rsid w:val="001E1422"/>
    <w:rsid w:val="001E14ED"/>
    <w:rsid w:val="001E15BC"/>
    <w:rsid w:val="001E16D3"/>
    <w:rsid w:val="001E1773"/>
    <w:rsid w:val="001E1842"/>
    <w:rsid w:val="001E1876"/>
    <w:rsid w:val="001E1B75"/>
    <w:rsid w:val="001E1C08"/>
    <w:rsid w:val="001E1CE9"/>
    <w:rsid w:val="001E1D49"/>
    <w:rsid w:val="001E2015"/>
    <w:rsid w:val="001E208C"/>
    <w:rsid w:val="001E208E"/>
    <w:rsid w:val="001E20BB"/>
    <w:rsid w:val="001E25EF"/>
    <w:rsid w:val="001E26F7"/>
    <w:rsid w:val="001E294C"/>
    <w:rsid w:val="001E2E1C"/>
    <w:rsid w:val="001E2EB0"/>
    <w:rsid w:val="001E2F2C"/>
    <w:rsid w:val="001E31CF"/>
    <w:rsid w:val="001E31F7"/>
    <w:rsid w:val="001E3219"/>
    <w:rsid w:val="001E3445"/>
    <w:rsid w:val="001E34AB"/>
    <w:rsid w:val="001E34AF"/>
    <w:rsid w:val="001E35F2"/>
    <w:rsid w:val="001E37B8"/>
    <w:rsid w:val="001E38FC"/>
    <w:rsid w:val="001E3993"/>
    <w:rsid w:val="001E3A9E"/>
    <w:rsid w:val="001E3B3B"/>
    <w:rsid w:val="001E3B9B"/>
    <w:rsid w:val="001E3C12"/>
    <w:rsid w:val="001E3D3D"/>
    <w:rsid w:val="001E3E47"/>
    <w:rsid w:val="001E3F9C"/>
    <w:rsid w:val="001E40BC"/>
    <w:rsid w:val="001E40F3"/>
    <w:rsid w:val="001E412F"/>
    <w:rsid w:val="001E4243"/>
    <w:rsid w:val="001E42C0"/>
    <w:rsid w:val="001E436E"/>
    <w:rsid w:val="001E44F1"/>
    <w:rsid w:val="001E4A99"/>
    <w:rsid w:val="001E4AB7"/>
    <w:rsid w:val="001E4B92"/>
    <w:rsid w:val="001E4BB2"/>
    <w:rsid w:val="001E4BB4"/>
    <w:rsid w:val="001E4BD2"/>
    <w:rsid w:val="001E4BFB"/>
    <w:rsid w:val="001E4D31"/>
    <w:rsid w:val="001E4E97"/>
    <w:rsid w:val="001E4EE3"/>
    <w:rsid w:val="001E4EEB"/>
    <w:rsid w:val="001E4FD4"/>
    <w:rsid w:val="001E50EE"/>
    <w:rsid w:val="001E52F5"/>
    <w:rsid w:val="001E543F"/>
    <w:rsid w:val="001E545E"/>
    <w:rsid w:val="001E5466"/>
    <w:rsid w:val="001E54CF"/>
    <w:rsid w:val="001E54FD"/>
    <w:rsid w:val="001E5532"/>
    <w:rsid w:val="001E55C0"/>
    <w:rsid w:val="001E55C6"/>
    <w:rsid w:val="001E5A4F"/>
    <w:rsid w:val="001E5B19"/>
    <w:rsid w:val="001E5B48"/>
    <w:rsid w:val="001E5BCB"/>
    <w:rsid w:val="001E5CB4"/>
    <w:rsid w:val="001E5D75"/>
    <w:rsid w:val="001E5E81"/>
    <w:rsid w:val="001E6048"/>
    <w:rsid w:val="001E60A3"/>
    <w:rsid w:val="001E617C"/>
    <w:rsid w:val="001E632F"/>
    <w:rsid w:val="001E63E7"/>
    <w:rsid w:val="001E644B"/>
    <w:rsid w:val="001E64A2"/>
    <w:rsid w:val="001E64E4"/>
    <w:rsid w:val="001E64E7"/>
    <w:rsid w:val="001E65FE"/>
    <w:rsid w:val="001E671C"/>
    <w:rsid w:val="001E6BE9"/>
    <w:rsid w:val="001E6CBD"/>
    <w:rsid w:val="001E6D39"/>
    <w:rsid w:val="001E7081"/>
    <w:rsid w:val="001E713C"/>
    <w:rsid w:val="001E722F"/>
    <w:rsid w:val="001E72C2"/>
    <w:rsid w:val="001E7440"/>
    <w:rsid w:val="001E74B0"/>
    <w:rsid w:val="001E75B0"/>
    <w:rsid w:val="001E7725"/>
    <w:rsid w:val="001E7B0D"/>
    <w:rsid w:val="001E7C05"/>
    <w:rsid w:val="001E7EA5"/>
    <w:rsid w:val="001E7EE9"/>
    <w:rsid w:val="001F014E"/>
    <w:rsid w:val="001F08AB"/>
    <w:rsid w:val="001F08F8"/>
    <w:rsid w:val="001F09A3"/>
    <w:rsid w:val="001F0A57"/>
    <w:rsid w:val="001F0D9B"/>
    <w:rsid w:val="001F0E0B"/>
    <w:rsid w:val="001F0E3C"/>
    <w:rsid w:val="001F0E4A"/>
    <w:rsid w:val="001F0F1B"/>
    <w:rsid w:val="001F1408"/>
    <w:rsid w:val="001F1518"/>
    <w:rsid w:val="001F151F"/>
    <w:rsid w:val="001F1859"/>
    <w:rsid w:val="001F1BA9"/>
    <w:rsid w:val="001F1FD7"/>
    <w:rsid w:val="001F20E1"/>
    <w:rsid w:val="001F21D9"/>
    <w:rsid w:val="001F222D"/>
    <w:rsid w:val="001F25A9"/>
    <w:rsid w:val="001F25F0"/>
    <w:rsid w:val="001F26E7"/>
    <w:rsid w:val="001F2750"/>
    <w:rsid w:val="001F27B6"/>
    <w:rsid w:val="001F2A10"/>
    <w:rsid w:val="001F2A64"/>
    <w:rsid w:val="001F2B36"/>
    <w:rsid w:val="001F2C9A"/>
    <w:rsid w:val="001F2D4C"/>
    <w:rsid w:val="001F2E77"/>
    <w:rsid w:val="001F2F8C"/>
    <w:rsid w:val="001F3072"/>
    <w:rsid w:val="001F30C4"/>
    <w:rsid w:val="001F356A"/>
    <w:rsid w:val="001F3651"/>
    <w:rsid w:val="001F36DD"/>
    <w:rsid w:val="001F3CB0"/>
    <w:rsid w:val="001F3D50"/>
    <w:rsid w:val="001F3E34"/>
    <w:rsid w:val="001F400D"/>
    <w:rsid w:val="001F4045"/>
    <w:rsid w:val="001F4158"/>
    <w:rsid w:val="001F4161"/>
    <w:rsid w:val="001F42AE"/>
    <w:rsid w:val="001F435D"/>
    <w:rsid w:val="001F44C4"/>
    <w:rsid w:val="001F45AB"/>
    <w:rsid w:val="001F473A"/>
    <w:rsid w:val="001F4840"/>
    <w:rsid w:val="001F4A3A"/>
    <w:rsid w:val="001F4C17"/>
    <w:rsid w:val="001F4D00"/>
    <w:rsid w:val="001F4F20"/>
    <w:rsid w:val="001F4FF2"/>
    <w:rsid w:val="001F5071"/>
    <w:rsid w:val="001F509E"/>
    <w:rsid w:val="001F52D3"/>
    <w:rsid w:val="001F53A3"/>
    <w:rsid w:val="001F54E6"/>
    <w:rsid w:val="001F55C7"/>
    <w:rsid w:val="001F55F4"/>
    <w:rsid w:val="001F56F3"/>
    <w:rsid w:val="001F577A"/>
    <w:rsid w:val="001F57B5"/>
    <w:rsid w:val="001F57FE"/>
    <w:rsid w:val="001F5AF4"/>
    <w:rsid w:val="001F5D0A"/>
    <w:rsid w:val="001F5E14"/>
    <w:rsid w:val="001F5FFD"/>
    <w:rsid w:val="001F61B2"/>
    <w:rsid w:val="001F61D1"/>
    <w:rsid w:val="001F6261"/>
    <w:rsid w:val="001F6268"/>
    <w:rsid w:val="001F63DE"/>
    <w:rsid w:val="001F63E0"/>
    <w:rsid w:val="001F64C6"/>
    <w:rsid w:val="001F6508"/>
    <w:rsid w:val="001F6533"/>
    <w:rsid w:val="001F653E"/>
    <w:rsid w:val="001F658A"/>
    <w:rsid w:val="001F68F6"/>
    <w:rsid w:val="001F6986"/>
    <w:rsid w:val="001F6B6C"/>
    <w:rsid w:val="001F6C95"/>
    <w:rsid w:val="001F716D"/>
    <w:rsid w:val="001F7390"/>
    <w:rsid w:val="001F73FB"/>
    <w:rsid w:val="001F7645"/>
    <w:rsid w:val="001F772D"/>
    <w:rsid w:val="001F774B"/>
    <w:rsid w:val="001F77B2"/>
    <w:rsid w:val="001F77E6"/>
    <w:rsid w:val="001F7A46"/>
    <w:rsid w:val="001F7A4D"/>
    <w:rsid w:val="001F7ABD"/>
    <w:rsid w:val="001F7AD9"/>
    <w:rsid w:val="001F7C37"/>
    <w:rsid w:val="001F7C70"/>
    <w:rsid w:val="001F7D38"/>
    <w:rsid w:val="001F7D5B"/>
    <w:rsid w:val="001F7D90"/>
    <w:rsid w:val="001F7FD0"/>
    <w:rsid w:val="001F7FEA"/>
    <w:rsid w:val="00200060"/>
    <w:rsid w:val="00200126"/>
    <w:rsid w:val="00200199"/>
    <w:rsid w:val="002001D7"/>
    <w:rsid w:val="0020044E"/>
    <w:rsid w:val="0020046B"/>
    <w:rsid w:val="0020052F"/>
    <w:rsid w:val="00200890"/>
    <w:rsid w:val="00200928"/>
    <w:rsid w:val="00200BCF"/>
    <w:rsid w:val="00200CEC"/>
    <w:rsid w:val="00200F4E"/>
    <w:rsid w:val="0020112B"/>
    <w:rsid w:val="0020141A"/>
    <w:rsid w:val="0020152F"/>
    <w:rsid w:val="00201665"/>
    <w:rsid w:val="00201694"/>
    <w:rsid w:val="0020188C"/>
    <w:rsid w:val="00201983"/>
    <w:rsid w:val="002019A3"/>
    <w:rsid w:val="00201C36"/>
    <w:rsid w:val="00201CBD"/>
    <w:rsid w:val="00201E34"/>
    <w:rsid w:val="00202015"/>
    <w:rsid w:val="002020E6"/>
    <w:rsid w:val="002022CC"/>
    <w:rsid w:val="002023B8"/>
    <w:rsid w:val="0020288E"/>
    <w:rsid w:val="0020291A"/>
    <w:rsid w:val="00202A48"/>
    <w:rsid w:val="00202AED"/>
    <w:rsid w:val="00202BDB"/>
    <w:rsid w:val="00202BEA"/>
    <w:rsid w:val="00202FB9"/>
    <w:rsid w:val="0020302E"/>
    <w:rsid w:val="0020303A"/>
    <w:rsid w:val="002030AA"/>
    <w:rsid w:val="002030B4"/>
    <w:rsid w:val="002032BE"/>
    <w:rsid w:val="00203374"/>
    <w:rsid w:val="0020344B"/>
    <w:rsid w:val="00203632"/>
    <w:rsid w:val="00203738"/>
    <w:rsid w:val="00203823"/>
    <w:rsid w:val="00203A93"/>
    <w:rsid w:val="00203C62"/>
    <w:rsid w:val="00203C94"/>
    <w:rsid w:val="00203CAF"/>
    <w:rsid w:val="00203CCE"/>
    <w:rsid w:val="00203F08"/>
    <w:rsid w:val="00203F9B"/>
    <w:rsid w:val="00204045"/>
    <w:rsid w:val="00204263"/>
    <w:rsid w:val="00204270"/>
    <w:rsid w:val="002042DF"/>
    <w:rsid w:val="0020461E"/>
    <w:rsid w:val="00204679"/>
    <w:rsid w:val="00204774"/>
    <w:rsid w:val="0020478A"/>
    <w:rsid w:val="00204BA6"/>
    <w:rsid w:val="00204BCA"/>
    <w:rsid w:val="00204C09"/>
    <w:rsid w:val="00204CF3"/>
    <w:rsid w:val="0020502B"/>
    <w:rsid w:val="0020504A"/>
    <w:rsid w:val="002050F7"/>
    <w:rsid w:val="002052D3"/>
    <w:rsid w:val="002052E7"/>
    <w:rsid w:val="00205333"/>
    <w:rsid w:val="0020539A"/>
    <w:rsid w:val="00205473"/>
    <w:rsid w:val="002055E1"/>
    <w:rsid w:val="002056FF"/>
    <w:rsid w:val="00205796"/>
    <w:rsid w:val="0020579D"/>
    <w:rsid w:val="002057FD"/>
    <w:rsid w:val="00205A0D"/>
    <w:rsid w:val="00205C64"/>
    <w:rsid w:val="00205CA4"/>
    <w:rsid w:val="00205CA8"/>
    <w:rsid w:val="00205E73"/>
    <w:rsid w:val="002060F9"/>
    <w:rsid w:val="002061E8"/>
    <w:rsid w:val="00206260"/>
    <w:rsid w:val="002063AC"/>
    <w:rsid w:val="00206447"/>
    <w:rsid w:val="00206483"/>
    <w:rsid w:val="002065DD"/>
    <w:rsid w:val="002065DE"/>
    <w:rsid w:val="002067B5"/>
    <w:rsid w:val="00206815"/>
    <w:rsid w:val="00206838"/>
    <w:rsid w:val="002068FE"/>
    <w:rsid w:val="00206BAB"/>
    <w:rsid w:val="00206C64"/>
    <w:rsid w:val="00206C6A"/>
    <w:rsid w:val="00206C6C"/>
    <w:rsid w:val="00206D40"/>
    <w:rsid w:val="00206D77"/>
    <w:rsid w:val="00206F52"/>
    <w:rsid w:val="002070B8"/>
    <w:rsid w:val="00207285"/>
    <w:rsid w:val="002072CB"/>
    <w:rsid w:val="002073D9"/>
    <w:rsid w:val="0020742C"/>
    <w:rsid w:val="0020756D"/>
    <w:rsid w:val="00207674"/>
    <w:rsid w:val="002076AA"/>
    <w:rsid w:val="00207775"/>
    <w:rsid w:val="0020788E"/>
    <w:rsid w:val="0020789B"/>
    <w:rsid w:val="002078A9"/>
    <w:rsid w:val="0020795A"/>
    <w:rsid w:val="00207A01"/>
    <w:rsid w:val="00207A08"/>
    <w:rsid w:val="00207D25"/>
    <w:rsid w:val="00207F63"/>
    <w:rsid w:val="00210002"/>
    <w:rsid w:val="0021033A"/>
    <w:rsid w:val="002103E8"/>
    <w:rsid w:val="002105B1"/>
    <w:rsid w:val="002106CB"/>
    <w:rsid w:val="002106DD"/>
    <w:rsid w:val="00210715"/>
    <w:rsid w:val="00210729"/>
    <w:rsid w:val="002107B6"/>
    <w:rsid w:val="002109E4"/>
    <w:rsid w:val="00210BFE"/>
    <w:rsid w:val="00210C18"/>
    <w:rsid w:val="00210C53"/>
    <w:rsid w:val="00210F65"/>
    <w:rsid w:val="00211171"/>
    <w:rsid w:val="002111C3"/>
    <w:rsid w:val="00211582"/>
    <w:rsid w:val="002116B9"/>
    <w:rsid w:val="002117C0"/>
    <w:rsid w:val="002117E8"/>
    <w:rsid w:val="0021181A"/>
    <w:rsid w:val="00211861"/>
    <w:rsid w:val="002118AE"/>
    <w:rsid w:val="00211AD5"/>
    <w:rsid w:val="00211C90"/>
    <w:rsid w:val="002122AA"/>
    <w:rsid w:val="002122DE"/>
    <w:rsid w:val="00212515"/>
    <w:rsid w:val="0021251A"/>
    <w:rsid w:val="002125FE"/>
    <w:rsid w:val="0021263C"/>
    <w:rsid w:val="00212C0A"/>
    <w:rsid w:val="00212D0F"/>
    <w:rsid w:val="00212D96"/>
    <w:rsid w:val="00212E1B"/>
    <w:rsid w:val="002130C1"/>
    <w:rsid w:val="00213218"/>
    <w:rsid w:val="00213260"/>
    <w:rsid w:val="00213389"/>
    <w:rsid w:val="00213426"/>
    <w:rsid w:val="0021344F"/>
    <w:rsid w:val="0021353F"/>
    <w:rsid w:val="0021386E"/>
    <w:rsid w:val="0021392A"/>
    <w:rsid w:val="0021398F"/>
    <w:rsid w:val="00213AA8"/>
    <w:rsid w:val="00213CA3"/>
    <w:rsid w:val="00213E36"/>
    <w:rsid w:val="00213F7F"/>
    <w:rsid w:val="00213FD5"/>
    <w:rsid w:val="002140B4"/>
    <w:rsid w:val="00214619"/>
    <w:rsid w:val="00214664"/>
    <w:rsid w:val="002148A5"/>
    <w:rsid w:val="00214B19"/>
    <w:rsid w:val="00214B4B"/>
    <w:rsid w:val="00214C11"/>
    <w:rsid w:val="00214DF9"/>
    <w:rsid w:val="0021500A"/>
    <w:rsid w:val="002153A6"/>
    <w:rsid w:val="002153CA"/>
    <w:rsid w:val="002156AD"/>
    <w:rsid w:val="00215727"/>
    <w:rsid w:val="00215740"/>
    <w:rsid w:val="0021579C"/>
    <w:rsid w:val="00215B27"/>
    <w:rsid w:val="00215C92"/>
    <w:rsid w:val="00215D08"/>
    <w:rsid w:val="00215DFB"/>
    <w:rsid w:val="00215E3A"/>
    <w:rsid w:val="00215E65"/>
    <w:rsid w:val="002160C1"/>
    <w:rsid w:val="002161FD"/>
    <w:rsid w:val="00216224"/>
    <w:rsid w:val="00216245"/>
    <w:rsid w:val="002165E8"/>
    <w:rsid w:val="00216617"/>
    <w:rsid w:val="002167C4"/>
    <w:rsid w:val="0021690F"/>
    <w:rsid w:val="00216CE9"/>
    <w:rsid w:val="00216D04"/>
    <w:rsid w:val="00216FB4"/>
    <w:rsid w:val="00217083"/>
    <w:rsid w:val="00217090"/>
    <w:rsid w:val="002171D3"/>
    <w:rsid w:val="0021730E"/>
    <w:rsid w:val="0021733E"/>
    <w:rsid w:val="002174C5"/>
    <w:rsid w:val="0021750E"/>
    <w:rsid w:val="0021765A"/>
    <w:rsid w:val="002176A5"/>
    <w:rsid w:val="00217704"/>
    <w:rsid w:val="002178A8"/>
    <w:rsid w:val="002179DE"/>
    <w:rsid w:val="002179F9"/>
    <w:rsid w:val="00217B88"/>
    <w:rsid w:val="00217BBF"/>
    <w:rsid w:val="00217BCD"/>
    <w:rsid w:val="00217C08"/>
    <w:rsid w:val="00217D46"/>
    <w:rsid w:val="00217D8D"/>
    <w:rsid w:val="00217DFF"/>
    <w:rsid w:val="00217EDB"/>
    <w:rsid w:val="00220176"/>
    <w:rsid w:val="002201CC"/>
    <w:rsid w:val="00220212"/>
    <w:rsid w:val="0022027A"/>
    <w:rsid w:val="00220396"/>
    <w:rsid w:val="002206E9"/>
    <w:rsid w:val="0022075C"/>
    <w:rsid w:val="002207E1"/>
    <w:rsid w:val="00220A35"/>
    <w:rsid w:val="00220B0E"/>
    <w:rsid w:val="00220BAE"/>
    <w:rsid w:val="00220D57"/>
    <w:rsid w:val="0022106B"/>
    <w:rsid w:val="002216D9"/>
    <w:rsid w:val="002218CD"/>
    <w:rsid w:val="00221995"/>
    <w:rsid w:val="00221EE3"/>
    <w:rsid w:val="00221EF1"/>
    <w:rsid w:val="00221F94"/>
    <w:rsid w:val="00221FFB"/>
    <w:rsid w:val="002221E0"/>
    <w:rsid w:val="002222A0"/>
    <w:rsid w:val="0022251A"/>
    <w:rsid w:val="0022265C"/>
    <w:rsid w:val="0022285A"/>
    <w:rsid w:val="0022296C"/>
    <w:rsid w:val="00222B12"/>
    <w:rsid w:val="00222CA8"/>
    <w:rsid w:val="00222DE3"/>
    <w:rsid w:val="002230E9"/>
    <w:rsid w:val="002231C0"/>
    <w:rsid w:val="00223487"/>
    <w:rsid w:val="0022353B"/>
    <w:rsid w:val="002236B6"/>
    <w:rsid w:val="00223853"/>
    <w:rsid w:val="002238A3"/>
    <w:rsid w:val="00223A38"/>
    <w:rsid w:val="00223A8B"/>
    <w:rsid w:val="00223AE7"/>
    <w:rsid w:val="00223C33"/>
    <w:rsid w:val="00223C41"/>
    <w:rsid w:val="00223CF6"/>
    <w:rsid w:val="00223EC4"/>
    <w:rsid w:val="00223FA4"/>
    <w:rsid w:val="00223FC8"/>
    <w:rsid w:val="00223FD1"/>
    <w:rsid w:val="0022402F"/>
    <w:rsid w:val="00224177"/>
    <w:rsid w:val="002241C0"/>
    <w:rsid w:val="00224225"/>
    <w:rsid w:val="002242B6"/>
    <w:rsid w:val="002245D2"/>
    <w:rsid w:val="00224811"/>
    <w:rsid w:val="0022481F"/>
    <w:rsid w:val="002248E7"/>
    <w:rsid w:val="00224B6B"/>
    <w:rsid w:val="00224BA8"/>
    <w:rsid w:val="00224C3F"/>
    <w:rsid w:val="00224DC6"/>
    <w:rsid w:val="00224E26"/>
    <w:rsid w:val="0022507F"/>
    <w:rsid w:val="002253C0"/>
    <w:rsid w:val="002253DF"/>
    <w:rsid w:val="00225425"/>
    <w:rsid w:val="0022543B"/>
    <w:rsid w:val="00225451"/>
    <w:rsid w:val="002254B7"/>
    <w:rsid w:val="00225A66"/>
    <w:rsid w:val="00225A82"/>
    <w:rsid w:val="00225ACB"/>
    <w:rsid w:val="00225D11"/>
    <w:rsid w:val="00225D42"/>
    <w:rsid w:val="00225DD6"/>
    <w:rsid w:val="00226105"/>
    <w:rsid w:val="0022613B"/>
    <w:rsid w:val="00226351"/>
    <w:rsid w:val="002264E5"/>
    <w:rsid w:val="0022677B"/>
    <w:rsid w:val="002267B1"/>
    <w:rsid w:val="002267FB"/>
    <w:rsid w:val="002268EB"/>
    <w:rsid w:val="00226A79"/>
    <w:rsid w:val="00226AB0"/>
    <w:rsid w:val="00226CA0"/>
    <w:rsid w:val="00226E27"/>
    <w:rsid w:val="00227033"/>
    <w:rsid w:val="002270E7"/>
    <w:rsid w:val="002271A1"/>
    <w:rsid w:val="0022772E"/>
    <w:rsid w:val="00227C94"/>
    <w:rsid w:val="00227CA9"/>
    <w:rsid w:val="00227CB6"/>
    <w:rsid w:val="00227DFA"/>
    <w:rsid w:val="00227F80"/>
    <w:rsid w:val="0023002F"/>
    <w:rsid w:val="00230262"/>
    <w:rsid w:val="002303F6"/>
    <w:rsid w:val="002304C1"/>
    <w:rsid w:val="00230845"/>
    <w:rsid w:val="002308CC"/>
    <w:rsid w:val="002308FD"/>
    <w:rsid w:val="00230950"/>
    <w:rsid w:val="002309B4"/>
    <w:rsid w:val="002309BF"/>
    <w:rsid w:val="002309F4"/>
    <w:rsid w:val="00230A75"/>
    <w:rsid w:val="00230B6D"/>
    <w:rsid w:val="00230C86"/>
    <w:rsid w:val="00230DEC"/>
    <w:rsid w:val="002310D9"/>
    <w:rsid w:val="0023140F"/>
    <w:rsid w:val="002314C6"/>
    <w:rsid w:val="002316EC"/>
    <w:rsid w:val="00231870"/>
    <w:rsid w:val="00231B45"/>
    <w:rsid w:val="00231B76"/>
    <w:rsid w:val="00231CB5"/>
    <w:rsid w:val="00231CDB"/>
    <w:rsid w:val="00231CF5"/>
    <w:rsid w:val="00231F06"/>
    <w:rsid w:val="00232129"/>
    <w:rsid w:val="0023224C"/>
    <w:rsid w:val="0023225B"/>
    <w:rsid w:val="00232439"/>
    <w:rsid w:val="0023247D"/>
    <w:rsid w:val="002327A9"/>
    <w:rsid w:val="002327CA"/>
    <w:rsid w:val="002327F6"/>
    <w:rsid w:val="002328C7"/>
    <w:rsid w:val="002328F3"/>
    <w:rsid w:val="002329AA"/>
    <w:rsid w:val="00232A73"/>
    <w:rsid w:val="00232AA2"/>
    <w:rsid w:val="00232B85"/>
    <w:rsid w:val="00232CAA"/>
    <w:rsid w:val="00232CF6"/>
    <w:rsid w:val="002334DB"/>
    <w:rsid w:val="002334FE"/>
    <w:rsid w:val="00233730"/>
    <w:rsid w:val="0023380A"/>
    <w:rsid w:val="00233856"/>
    <w:rsid w:val="002338B9"/>
    <w:rsid w:val="00233C6B"/>
    <w:rsid w:val="00233EFE"/>
    <w:rsid w:val="00233FA7"/>
    <w:rsid w:val="00233FFC"/>
    <w:rsid w:val="00234001"/>
    <w:rsid w:val="00234127"/>
    <w:rsid w:val="0023413B"/>
    <w:rsid w:val="0023422C"/>
    <w:rsid w:val="00234237"/>
    <w:rsid w:val="002342FE"/>
    <w:rsid w:val="0023439E"/>
    <w:rsid w:val="002343DD"/>
    <w:rsid w:val="002344C0"/>
    <w:rsid w:val="0023453C"/>
    <w:rsid w:val="00234632"/>
    <w:rsid w:val="00234734"/>
    <w:rsid w:val="002348D3"/>
    <w:rsid w:val="00234A77"/>
    <w:rsid w:val="00234CB1"/>
    <w:rsid w:val="00234D28"/>
    <w:rsid w:val="00235001"/>
    <w:rsid w:val="00235143"/>
    <w:rsid w:val="00235247"/>
    <w:rsid w:val="002354F3"/>
    <w:rsid w:val="00235661"/>
    <w:rsid w:val="00235BE9"/>
    <w:rsid w:val="00235C14"/>
    <w:rsid w:val="00235C47"/>
    <w:rsid w:val="00235D6E"/>
    <w:rsid w:val="00235E0F"/>
    <w:rsid w:val="00235FD0"/>
    <w:rsid w:val="00236196"/>
    <w:rsid w:val="002361A3"/>
    <w:rsid w:val="00236262"/>
    <w:rsid w:val="0023634D"/>
    <w:rsid w:val="002363E9"/>
    <w:rsid w:val="002364BF"/>
    <w:rsid w:val="002365F7"/>
    <w:rsid w:val="002367E5"/>
    <w:rsid w:val="002368C1"/>
    <w:rsid w:val="00236988"/>
    <w:rsid w:val="002369B6"/>
    <w:rsid w:val="00236C9A"/>
    <w:rsid w:val="00236D74"/>
    <w:rsid w:val="00236D83"/>
    <w:rsid w:val="00236DB5"/>
    <w:rsid w:val="0023706A"/>
    <w:rsid w:val="0023707E"/>
    <w:rsid w:val="00237120"/>
    <w:rsid w:val="002371C3"/>
    <w:rsid w:val="002374BE"/>
    <w:rsid w:val="00237743"/>
    <w:rsid w:val="0023777F"/>
    <w:rsid w:val="00237A2A"/>
    <w:rsid w:val="00237A47"/>
    <w:rsid w:val="00237B1C"/>
    <w:rsid w:val="00237F08"/>
    <w:rsid w:val="00240194"/>
    <w:rsid w:val="00240344"/>
    <w:rsid w:val="002403F0"/>
    <w:rsid w:val="002405A2"/>
    <w:rsid w:val="00240656"/>
    <w:rsid w:val="00240708"/>
    <w:rsid w:val="002408BE"/>
    <w:rsid w:val="00240A61"/>
    <w:rsid w:val="002410A8"/>
    <w:rsid w:val="00241127"/>
    <w:rsid w:val="00241207"/>
    <w:rsid w:val="00241291"/>
    <w:rsid w:val="002412BC"/>
    <w:rsid w:val="00241391"/>
    <w:rsid w:val="002413D6"/>
    <w:rsid w:val="0024151C"/>
    <w:rsid w:val="0024161F"/>
    <w:rsid w:val="002416B5"/>
    <w:rsid w:val="0024193F"/>
    <w:rsid w:val="00241C6E"/>
    <w:rsid w:val="00241D56"/>
    <w:rsid w:val="00241E51"/>
    <w:rsid w:val="00241F65"/>
    <w:rsid w:val="00241FDB"/>
    <w:rsid w:val="002420E3"/>
    <w:rsid w:val="00242230"/>
    <w:rsid w:val="00242232"/>
    <w:rsid w:val="0024228F"/>
    <w:rsid w:val="002422B6"/>
    <w:rsid w:val="00242337"/>
    <w:rsid w:val="002423B3"/>
    <w:rsid w:val="0024244B"/>
    <w:rsid w:val="002424C0"/>
    <w:rsid w:val="002425B6"/>
    <w:rsid w:val="002426C7"/>
    <w:rsid w:val="0024276C"/>
    <w:rsid w:val="002428EE"/>
    <w:rsid w:val="002429D9"/>
    <w:rsid w:val="002429E8"/>
    <w:rsid w:val="00242A21"/>
    <w:rsid w:val="00242A36"/>
    <w:rsid w:val="00242B79"/>
    <w:rsid w:val="00242CDF"/>
    <w:rsid w:val="00242CF5"/>
    <w:rsid w:val="00242DA0"/>
    <w:rsid w:val="00242E81"/>
    <w:rsid w:val="00242F16"/>
    <w:rsid w:val="00242F27"/>
    <w:rsid w:val="00242F46"/>
    <w:rsid w:val="00242FC2"/>
    <w:rsid w:val="00243285"/>
    <w:rsid w:val="0024328D"/>
    <w:rsid w:val="0024331B"/>
    <w:rsid w:val="00243440"/>
    <w:rsid w:val="002434D1"/>
    <w:rsid w:val="002435E7"/>
    <w:rsid w:val="002435EC"/>
    <w:rsid w:val="0024366F"/>
    <w:rsid w:val="0024375F"/>
    <w:rsid w:val="002437F1"/>
    <w:rsid w:val="00243B04"/>
    <w:rsid w:val="00243B4C"/>
    <w:rsid w:val="00243B5B"/>
    <w:rsid w:val="00243BEC"/>
    <w:rsid w:val="00243DB5"/>
    <w:rsid w:val="00243DE7"/>
    <w:rsid w:val="00243FA5"/>
    <w:rsid w:val="00243FD1"/>
    <w:rsid w:val="00244039"/>
    <w:rsid w:val="002440A9"/>
    <w:rsid w:val="002440D1"/>
    <w:rsid w:val="00244291"/>
    <w:rsid w:val="00244552"/>
    <w:rsid w:val="00244571"/>
    <w:rsid w:val="002446CF"/>
    <w:rsid w:val="002447B1"/>
    <w:rsid w:val="002448D1"/>
    <w:rsid w:val="002449E7"/>
    <w:rsid w:val="00244A75"/>
    <w:rsid w:val="00244C14"/>
    <w:rsid w:val="00244DC8"/>
    <w:rsid w:val="00244DFF"/>
    <w:rsid w:val="00244EBF"/>
    <w:rsid w:val="002450B4"/>
    <w:rsid w:val="002450B8"/>
    <w:rsid w:val="0024520B"/>
    <w:rsid w:val="0024530E"/>
    <w:rsid w:val="002454BA"/>
    <w:rsid w:val="00245703"/>
    <w:rsid w:val="00245897"/>
    <w:rsid w:val="002459B3"/>
    <w:rsid w:val="00245C01"/>
    <w:rsid w:val="00245C53"/>
    <w:rsid w:val="00245DEF"/>
    <w:rsid w:val="00245E76"/>
    <w:rsid w:val="00245FDA"/>
    <w:rsid w:val="00246002"/>
    <w:rsid w:val="00246326"/>
    <w:rsid w:val="002464D0"/>
    <w:rsid w:val="002464E0"/>
    <w:rsid w:val="00246947"/>
    <w:rsid w:val="00246A44"/>
    <w:rsid w:val="00246A75"/>
    <w:rsid w:val="00246AEE"/>
    <w:rsid w:val="00246B50"/>
    <w:rsid w:val="00246BC4"/>
    <w:rsid w:val="00246CAC"/>
    <w:rsid w:val="00246DF4"/>
    <w:rsid w:val="0024704F"/>
    <w:rsid w:val="00247068"/>
    <w:rsid w:val="002470AA"/>
    <w:rsid w:val="00247120"/>
    <w:rsid w:val="002474F5"/>
    <w:rsid w:val="0024750D"/>
    <w:rsid w:val="002475A3"/>
    <w:rsid w:val="00247635"/>
    <w:rsid w:val="00247656"/>
    <w:rsid w:val="002476FF"/>
    <w:rsid w:val="002477A0"/>
    <w:rsid w:val="002478DB"/>
    <w:rsid w:val="00247A7F"/>
    <w:rsid w:val="00247E25"/>
    <w:rsid w:val="00247E78"/>
    <w:rsid w:val="002500A4"/>
    <w:rsid w:val="002500A5"/>
    <w:rsid w:val="0025025F"/>
    <w:rsid w:val="0025028C"/>
    <w:rsid w:val="002504E6"/>
    <w:rsid w:val="002505DA"/>
    <w:rsid w:val="002505EB"/>
    <w:rsid w:val="00250685"/>
    <w:rsid w:val="00250729"/>
    <w:rsid w:val="00250A13"/>
    <w:rsid w:val="00250D4A"/>
    <w:rsid w:val="00250DC3"/>
    <w:rsid w:val="0025115E"/>
    <w:rsid w:val="002511AC"/>
    <w:rsid w:val="0025129B"/>
    <w:rsid w:val="0025145B"/>
    <w:rsid w:val="00251474"/>
    <w:rsid w:val="002514EE"/>
    <w:rsid w:val="00251544"/>
    <w:rsid w:val="00251725"/>
    <w:rsid w:val="00251889"/>
    <w:rsid w:val="00251965"/>
    <w:rsid w:val="002519BF"/>
    <w:rsid w:val="00251AB5"/>
    <w:rsid w:val="00251B5C"/>
    <w:rsid w:val="00251CF1"/>
    <w:rsid w:val="00251F48"/>
    <w:rsid w:val="00251FFE"/>
    <w:rsid w:val="002523E4"/>
    <w:rsid w:val="002526DD"/>
    <w:rsid w:val="00252A42"/>
    <w:rsid w:val="00252BAE"/>
    <w:rsid w:val="00252BF5"/>
    <w:rsid w:val="00252ED2"/>
    <w:rsid w:val="00252EE9"/>
    <w:rsid w:val="00252F5C"/>
    <w:rsid w:val="0025315E"/>
    <w:rsid w:val="0025345F"/>
    <w:rsid w:val="00253710"/>
    <w:rsid w:val="0025381F"/>
    <w:rsid w:val="00253A87"/>
    <w:rsid w:val="00253EDF"/>
    <w:rsid w:val="00253F72"/>
    <w:rsid w:val="0025401F"/>
    <w:rsid w:val="0025406B"/>
    <w:rsid w:val="0025408C"/>
    <w:rsid w:val="0025411A"/>
    <w:rsid w:val="002541FE"/>
    <w:rsid w:val="002543AE"/>
    <w:rsid w:val="00254693"/>
    <w:rsid w:val="0025483D"/>
    <w:rsid w:val="002548C1"/>
    <w:rsid w:val="002549C1"/>
    <w:rsid w:val="00254AC2"/>
    <w:rsid w:val="00254C19"/>
    <w:rsid w:val="00254CF3"/>
    <w:rsid w:val="002550EC"/>
    <w:rsid w:val="0025512D"/>
    <w:rsid w:val="00255148"/>
    <w:rsid w:val="002552C5"/>
    <w:rsid w:val="0025531F"/>
    <w:rsid w:val="0025556E"/>
    <w:rsid w:val="00255610"/>
    <w:rsid w:val="002556C2"/>
    <w:rsid w:val="00255862"/>
    <w:rsid w:val="002558F0"/>
    <w:rsid w:val="00255D26"/>
    <w:rsid w:val="0025650D"/>
    <w:rsid w:val="00256960"/>
    <w:rsid w:val="00256B3D"/>
    <w:rsid w:val="00256C02"/>
    <w:rsid w:val="00256C51"/>
    <w:rsid w:val="00256E0E"/>
    <w:rsid w:val="00256F00"/>
    <w:rsid w:val="002570A9"/>
    <w:rsid w:val="002571D1"/>
    <w:rsid w:val="002572AF"/>
    <w:rsid w:val="002574A5"/>
    <w:rsid w:val="00257857"/>
    <w:rsid w:val="002578E5"/>
    <w:rsid w:val="00257920"/>
    <w:rsid w:val="00257A01"/>
    <w:rsid w:val="00257A77"/>
    <w:rsid w:val="00257C20"/>
    <w:rsid w:val="00257D3D"/>
    <w:rsid w:val="00257D76"/>
    <w:rsid w:val="00257E48"/>
    <w:rsid w:val="00257EE3"/>
    <w:rsid w:val="00257F9F"/>
    <w:rsid w:val="002600B9"/>
    <w:rsid w:val="002601BE"/>
    <w:rsid w:val="00260299"/>
    <w:rsid w:val="00260370"/>
    <w:rsid w:val="002604B4"/>
    <w:rsid w:val="002606B9"/>
    <w:rsid w:val="00260709"/>
    <w:rsid w:val="00260799"/>
    <w:rsid w:val="0026092D"/>
    <w:rsid w:val="00260D12"/>
    <w:rsid w:val="00260DD6"/>
    <w:rsid w:val="00260E73"/>
    <w:rsid w:val="00260EDC"/>
    <w:rsid w:val="00261305"/>
    <w:rsid w:val="00261506"/>
    <w:rsid w:val="0026168C"/>
    <w:rsid w:val="002619E2"/>
    <w:rsid w:val="00261B5D"/>
    <w:rsid w:val="00261B65"/>
    <w:rsid w:val="00261C07"/>
    <w:rsid w:val="00261C10"/>
    <w:rsid w:val="00261C25"/>
    <w:rsid w:val="00261CE9"/>
    <w:rsid w:val="00261E54"/>
    <w:rsid w:val="00261EEC"/>
    <w:rsid w:val="002622D7"/>
    <w:rsid w:val="002622E9"/>
    <w:rsid w:val="002625F6"/>
    <w:rsid w:val="0026260C"/>
    <w:rsid w:val="002626D1"/>
    <w:rsid w:val="002627A6"/>
    <w:rsid w:val="002627DA"/>
    <w:rsid w:val="002627DC"/>
    <w:rsid w:val="0026288E"/>
    <w:rsid w:val="0026291F"/>
    <w:rsid w:val="00262B80"/>
    <w:rsid w:val="00262C55"/>
    <w:rsid w:val="00262CA4"/>
    <w:rsid w:val="00262F0D"/>
    <w:rsid w:val="00262F0E"/>
    <w:rsid w:val="00262F94"/>
    <w:rsid w:val="00263068"/>
    <w:rsid w:val="002633E8"/>
    <w:rsid w:val="002635CA"/>
    <w:rsid w:val="00263648"/>
    <w:rsid w:val="002636E4"/>
    <w:rsid w:val="00263717"/>
    <w:rsid w:val="00263981"/>
    <w:rsid w:val="002639B4"/>
    <w:rsid w:val="002639B6"/>
    <w:rsid w:val="00263AA5"/>
    <w:rsid w:val="00263D58"/>
    <w:rsid w:val="002641FB"/>
    <w:rsid w:val="00264209"/>
    <w:rsid w:val="00264271"/>
    <w:rsid w:val="00264471"/>
    <w:rsid w:val="0026455C"/>
    <w:rsid w:val="0026471A"/>
    <w:rsid w:val="002647E4"/>
    <w:rsid w:val="0026496A"/>
    <w:rsid w:val="00264B48"/>
    <w:rsid w:val="00264B66"/>
    <w:rsid w:val="00264B91"/>
    <w:rsid w:val="00264CC4"/>
    <w:rsid w:val="00264D69"/>
    <w:rsid w:val="00264E1B"/>
    <w:rsid w:val="00264E9B"/>
    <w:rsid w:val="0026516C"/>
    <w:rsid w:val="002652E5"/>
    <w:rsid w:val="002653C0"/>
    <w:rsid w:val="00265450"/>
    <w:rsid w:val="00265475"/>
    <w:rsid w:val="00265501"/>
    <w:rsid w:val="0026556D"/>
    <w:rsid w:val="0026560E"/>
    <w:rsid w:val="002657EF"/>
    <w:rsid w:val="0026582E"/>
    <w:rsid w:val="00265B50"/>
    <w:rsid w:val="00265B58"/>
    <w:rsid w:val="00265C39"/>
    <w:rsid w:val="00265CB6"/>
    <w:rsid w:val="00265DB5"/>
    <w:rsid w:val="00265E6B"/>
    <w:rsid w:val="00265F1F"/>
    <w:rsid w:val="002661C4"/>
    <w:rsid w:val="0026627C"/>
    <w:rsid w:val="0026634B"/>
    <w:rsid w:val="0026639E"/>
    <w:rsid w:val="0026640F"/>
    <w:rsid w:val="002665A0"/>
    <w:rsid w:val="00266692"/>
    <w:rsid w:val="002666EE"/>
    <w:rsid w:val="0026674E"/>
    <w:rsid w:val="00266811"/>
    <w:rsid w:val="00266854"/>
    <w:rsid w:val="0026686C"/>
    <w:rsid w:val="002668A4"/>
    <w:rsid w:val="002668CF"/>
    <w:rsid w:val="0026695A"/>
    <w:rsid w:val="00266A56"/>
    <w:rsid w:val="00266AA2"/>
    <w:rsid w:val="00266B30"/>
    <w:rsid w:val="00266EB4"/>
    <w:rsid w:val="00266EB9"/>
    <w:rsid w:val="00266EC0"/>
    <w:rsid w:val="0026732C"/>
    <w:rsid w:val="0026770B"/>
    <w:rsid w:val="00267742"/>
    <w:rsid w:val="002678E7"/>
    <w:rsid w:val="00267A43"/>
    <w:rsid w:val="00267B91"/>
    <w:rsid w:val="00267CFC"/>
    <w:rsid w:val="00267F33"/>
    <w:rsid w:val="00267F70"/>
    <w:rsid w:val="0027004C"/>
    <w:rsid w:val="00270163"/>
    <w:rsid w:val="00270399"/>
    <w:rsid w:val="0027063E"/>
    <w:rsid w:val="00270778"/>
    <w:rsid w:val="00270979"/>
    <w:rsid w:val="00270B6C"/>
    <w:rsid w:val="00270CA8"/>
    <w:rsid w:val="00270DD5"/>
    <w:rsid w:val="00270E50"/>
    <w:rsid w:val="00271510"/>
    <w:rsid w:val="0027187B"/>
    <w:rsid w:val="00271911"/>
    <w:rsid w:val="00271B0F"/>
    <w:rsid w:val="00271CB6"/>
    <w:rsid w:val="00272097"/>
    <w:rsid w:val="002720C0"/>
    <w:rsid w:val="0027219D"/>
    <w:rsid w:val="002726D6"/>
    <w:rsid w:val="00272834"/>
    <w:rsid w:val="00272882"/>
    <w:rsid w:val="00272892"/>
    <w:rsid w:val="00272973"/>
    <w:rsid w:val="00272A34"/>
    <w:rsid w:val="00272A50"/>
    <w:rsid w:val="00272A67"/>
    <w:rsid w:val="00272A75"/>
    <w:rsid w:val="00272E8E"/>
    <w:rsid w:val="00272F68"/>
    <w:rsid w:val="00272FBA"/>
    <w:rsid w:val="00272FF7"/>
    <w:rsid w:val="002730A6"/>
    <w:rsid w:val="00273283"/>
    <w:rsid w:val="00273320"/>
    <w:rsid w:val="0027338E"/>
    <w:rsid w:val="002733E1"/>
    <w:rsid w:val="0027348F"/>
    <w:rsid w:val="002734BD"/>
    <w:rsid w:val="002735F6"/>
    <w:rsid w:val="0027366C"/>
    <w:rsid w:val="002736D7"/>
    <w:rsid w:val="00273773"/>
    <w:rsid w:val="002738DA"/>
    <w:rsid w:val="00273A4A"/>
    <w:rsid w:val="00273D75"/>
    <w:rsid w:val="00273EC6"/>
    <w:rsid w:val="00273F1E"/>
    <w:rsid w:val="0027410C"/>
    <w:rsid w:val="002743AA"/>
    <w:rsid w:val="002745BB"/>
    <w:rsid w:val="00274602"/>
    <w:rsid w:val="00274836"/>
    <w:rsid w:val="002749B1"/>
    <w:rsid w:val="00274B37"/>
    <w:rsid w:val="00274B4C"/>
    <w:rsid w:val="00274C0A"/>
    <w:rsid w:val="00274C92"/>
    <w:rsid w:val="00274E8C"/>
    <w:rsid w:val="00274ECD"/>
    <w:rsid w:val="00274ED7"/>
    <w:rsid w:val="00274F27"/>
    <w:rsid w:val="0027500E"/>
    <w:rsid w:val="002750CE"/>
    <w:rsid w:val="002752D4"/>
    <w:rsid w:val="0027539E"/>
    <w:rsid w:val="0027550D"/>
    <w:rsid w:val="0027557F"/>
    <w:rsid w:val="00275699"/>
    <w:rsid w:val="002759E1"/>
    <w:rsid w:val="00275B95"/>
    <w:rsid w:val="00275BAE"/>
    <w:rsid w:val="00275BB7"/>
    <w:rsid w:val="00275CD5"/>
    <w:rsid w:val="00275DC1"/>
    <w:rsid w:val="00275FBB"/>
    <w:rsid w:val="002760E4"/>
    <w:rsid w:val="00276163"/>
    <w:rsid w:val="00276259"/>
    <w:rsid w:val="002763A0"/>
    <w:rsid w:val="0027677D"/>
    <w:rsid w:val="0027689F"/>
    <w:rsid w:val="00276907"/>
    <w:rsid w:val="00276AD6"/>
    <w:rsid w:val="00276CD1"/>
    <w:rsid w:val="00276D46"/>
    <w:rsid w:val="00276E3E"/>
    <w:rsid w:val="00276FA4"/>
    <w:rsid w:val="00277219"/>
    <w:rsid w:val="00277222"/>
    <w:rsid w:val="0027728A"/>
    <w:rsid w:val="002772AA"/>
    <w:rsid w:val="00277350"/>
    <w:rsid w:val="0027758E"/>
    <w:rsid w:val="00277662"/>
    <w:rsid w:val="00277A34"/>
    <w:rsid w:val="00277F7D"/>
    <w:rsid w:val="002803A1"/>
    <w:rsid w:val="0028047E"/>
    <w:rsid w:val="002804D5"/>
    <w:rsid w:val="002804DB"/>
    <w:rsid w:val="002806C3"/>
    <w:rsid w:val="00280763"/>
    <w:rsid w:val="002807BA"/>
    <w:rsid w:val="00280A05"/>
    <w:rsid w:val="00280A24"/>
    <w:rsid w:val="00280A7B"/>
    <w:rsid w:val="00280A93"/>
    <w:rsid w:val="00280AC9"/>
    <w:rsid w:val="00280AD7"/>
    <w:rsid w:val="00280B0B"/>
    <w:rsid w:val="00280B72"/>
    <w:rsid w:val="00280D7F"/>
    <w:rsid w:val="00280FEE"/>
    <w:rsid w:val="002810A3"/>
    <w:rsid w:val="00281259"/>
    <w:rsid w:val="0028148C"/>
    <w:rsid w:val="00281563"/>
    <w:rsid w:val="00281641"/>
    <w:rsid w:val="002818AD"/>
    <w:rsid w:val="0028194B"/>
    <w:rsid w:val="00281950"/>
    <w:rsid w:val="00281CC2"/>
    <w:rsid w:val="00281D28"/>
    <w:rsid w:val="00281DB9"/>
    <w:rsid w:val="002820CA"/>
    <w:rsid w:val="002821BC"/>
    <w:rsid w:val="002822A7"/>
    <w:rsid w:val="002823A3"/>
    <w:rsid w:val="002823B9"/>
    <w:rsid w:val="00282566"/>
    <w:rsid w:val="002826DB"/>
    <w:rsid w:val="00282719"/>
    <w:rsid w:val="0028274C"/>
    <w:rsid w:val="00282963"/>
    <w:rsid w:val="00282A88"/>
    <w:rsid w:val="00282BED"/>
    <w:rsid w:val="00282C19"/>
    <w:rsid w:val="00282E3D"/>
    <w:rsid w:val="00282F9D"/>
    <w:rsid w:val="002830BE"/>
    <w:rsid w:val="0028326B"/>
    <w:rsid w:val="00283418"/>
    <w:rsid w:val="002838F7"/>
    <w:rsid w:val="002839B5"/>
    <w:rsid w:val="00283A4F"/>
    <w:rsid w:val="00283CBA"/>
    <w:rsid w:val="00283D99"/>
    <w:rsid w:val="00283EC7"/>
    <w:rsid w:val="00284066"/>
    <w:rsid w:val="002842F8"/>
    <w:rsid w:val="00284314"/>
    <w:rsid w:val="002844B9"/>
    <w:rsid w:val="00284574"/>
    <w:rsid w:val="00284823"/>
    <w:rsid w:val="002848DA"/>
    <w:rsid w:val="00284E78"/>
    <w:rsid w:val="00284F46"/>
    <w:rsid w:val="00284F54"/>
    <w:rsid w:val="00284FB1"/>
    <w:rsid w:val="00285103"/>
    <w:rsid w:val="0028522F"/>
    <w:rsid w:val="0028539F"/>
    <w:rsid w:val="00285444"/>
    <w:rsid w:val="00285747"/>
    <w:rsid w:val="00285C16"/>
    <w:rsid w:val="00285C48"/>
    <w:rsid w:val="00285D6B"/>
    <w:rsid w:val="00285EE8"/>
    <w:rsid w:val="00285F37"/>
    <w:rsid w:val="00285F87"/>
    <w:rsid w:val="0028603B"/>
    <w:rsid w:val="00286262"/>
    <w:rsid w:val="00286595"/>
    <w:rsid w:val="002865C6"/>
    <w:rsid w:val="002865DD"/>
    <w:rsid w:val="002866A3"/>
    <w:rsid w:val="002867B3"/>
    <w:rsid w:val="002868EA"/>
    <w:rsid w:val="00286AAE"/>
    <w:rsid w:val="00286B13"/>
    <w:rsid w:val="00286B9F"/>
    <w:rsid w:val="00286C66"/>
    <w:rsid w:val="00286D37"/>
    <w:rsid w:val="00286FA4"/>
    <w:rsid w:val="00287098"/>
    <w:rsid w:val="00287103"/>
    <w:rsid w:val="0028727B"/>
    <w:rsid w:val="00287416"/>
    <w:rsid w:val="00287628"/>
    <w:rsid w:val="0028776E"/>
    <w:rsid w:val="002878E9"/>
    <w:rsid w:val="00287991"/>
    <w:rsid w:val="002879E7"/>
    <w:rsid w:val="00287F92"/>
    <w:rsid w:val="0029048E"/>
    <w:rsid w:val="0029049C"/>
    <w:rsid w:val="0029060D"/>
    <w:rsid w:val="0029072D"/>
    <w:rsid w:val="00290886"/>
    <w:rsid w:val="002908F4"/>
    <w:rsid w:val="002909F8"/>
    <w:rsid w:val="00290A62"/>
    <w:rsid w:val="00290A8E"/>
    <w:rsid w:val="00290A8F"/>
    <w:rsid w:val="00290DFC"/>
    <w:rsid w:val="00290EC6"/>
    <w:rsid w:val="00291036"/>
    <w:rsid w:val="00291077"/>
    <w:rsid w:val="002911D4"/>
    <w:rsid w:val="0029122C"/>
    <w:rsid w:val="0029135D"/>
    <w:rsid w:val="002914AA"/>
    <w:rsid w:val="002916DF"/>
    <w:rsid w:val="002916E6"/>
    <w:rsid w:val="0029182E"/>
    <w:rsid w:val="00291873"/>
    <w:rsid w:val="00291916"/>
    <w:rsid w:val="00291C51"/>
    <w:rsid w:val="00291C56"/>
    <w:rsid w:val="00291CD8"/>
    <w:rsid w:val="00291E52"/>
    <w:rsid w:val="00291F7D"/>
    <w:rsid w:val="00291F95"/>
    <w:rsid w:val="00292143"/>
    <w:rsid w:val="00292342"/>
    <w:rsid w:val="002923EF"/>
    <w:rsid w:val="00292451"/>
    <w:rsid w:val="00292485"/>
    <w:rsid w:val="0029253B"/>
    <w:rsid w:val="002925AA"/>
    <w:rsid w:val="002925FF"/>
    <w:rsid w:val="002928D4"/>
    <w:rsid w:val="00292A4F"/>
    <w:rsid w:val="00292A81"/>
    <w:rsid w:val="00292AE5"/>
    <w:rsid w:val="00292B3F"/>
    <w:rsid w:val="00292B42"/>
    <w:rsid w:val="00292B9C"/>
    <w:rsid w:val="00292CE1"/>
    <w:rsid w:val="00292D98"/>
    <w:rsid w:val="00293025"/>
    <w:rsid w:val="00293054"/>
    <w:rsid w:val="002931B9"/>
    <w:rsid w:val="00293203"/>
    <w:rsid w:val="002932D5"/>
    <w:rsid w:val="002933E3"/>
    <w:rsid w:val="0029342B"/>
    <w:rsid w:val="00293470"/>
    <w:rsid w:val="00293556"/>
    <w:rsid w:val="0029362F"/>
    <w:rsid w:val="0029371E"/>
    <w:rsid w:val="0029377D"/>
    <w:rsid w:val="00293A02"/>
    <w:rsid w:val="00293B60"/>
    <w:rsid w:val="00293C65"/>
    <w:rsid w:val="00293DBB"/>
    <w:rsid w:val="00293DE9"/>
    <w:rsid w:val="00293EB0"/>
    <w:rsid w:val="002943C0"/>
    <w:rsid w:val="00294683"/>
    <w:rsid w:val="0029478C"/>
    <w:rsid w:val="00294798"/>
    <w:rsid w:val="002948E2"/>
    <w:rsid w:val="00294DDA"/>
    <w:rsid w:val="00295086"/>
    <w:rsid w:val="0029531B"/>
    <w:rsid w:val="0029536D"/>
    <w:rsid w:val="002953AD"/>
    <w:rsid w:val="00295428"/>
    <w:rsid w:val="00295458"/>
    <w:rsid w:val="002954C9"/>
    <w:rsid w:val="002954E0"/>
    <w:rsid w:val="00295A81"/>
    <w:rsid w:val="00295B04"/>
    <w:rsid w:val="00295B11"/>
    <w:rsid w:val="00295B17"/>
    <w:rsid w:val="00295B85"/>
    <w:rsid w:val="00295C50"/>
    <w:rsid w:val="00295DD7"/>
    <w:rsid w:val="002960AA"/>
    <w:rsid w:val="00296255"/>
    <w:rsid w:val="0029625C"/>
    <w:rsid w:val="00296355"/>
    <w:rsid w:val="00296794"/>
    <w:rsid w:val="0029695C"/>
    <w:rsid w:val="00296A62"/>
    <w:rsid w:val="00296AC5"/>
    <w:rsid w:val="00296AF9"/>
    <w:rsid w:val="0029707B"/>
    <w:rsid w:val="0029707C"/>
    <w:rsid w:val="002970B6"/>
    <w:rsid w:val="002970C1"/>
    <w:rsid w:val="002971D2"/>
    <w:rsid w:val="0029724F"/>
    <w:rsid w:val="0029735F"/>
    <w:rsid w:val="00297380"/>
    <w:rsid w:val="002973CD"/>
    <w:rsid w:val="002974AC"/>
    <w:rsid w:val="0029757F"/>
    <w:rsid w:val="0029761A"/>
    <w:rsid w:val="002976EE"/>
    <w:rsid w:val="002977F8"/>
    <w:rsid w:val="00297891"/>
    <w:rsid w:val="00297AD3"/>
    <w:rsid w:val="00297DC6"/>
    <w:rsid w:val="00297ECD"/>
    <w:rsid w:val="00297F4D"/>
    <w:rsid w:val="002A0316"/>
    <w:rsid w:val="002A0498"/>
    <w:rsid w:val="002A053B"/>
    <w:rsid w:val="002A0A57"/>
    <w:rsid w:val="002A0CE1"/>
    <w:rsid w:val="002A0DCF"/>
    <w:rsid w:val="002A0EF5"/>
    <w:rsid w:val="002A0F99"/>
    <w:rsid w:val="002A0FCD"/>
    <w:rsid w:val="002A0FE0"/>
    <w:rsid w:val="002A12CF"/>
    <w:rsid w:val="002A12E3"/>
    <w:rsid w:val="002A140F"/>
    <w:rsid w:val="002A1584"/>
    <w:rsid w:val="002A1804"/>
    <w:rsid w:val="002A18B5"/>
    <w:rsid w:val="002A18DE"/>
    <w:rsid w:val="002A1CD3"/>
    <w:rsid w:val="002A20E9"/>
    <w:rsid w:val="002A2238"/>
    <w:rsid w:val="002A24A5"/>
    <w:rsid w:val="002A2532"/>
    <w:rsid w:val="002A259D"/>
    <w:rsid w:val="002A25A0"/>
    <w:rsid w:val="002A27AB"/>
    <w:rsid w:val="002A2838"/>
    <w:rsid w:val="002A2963"/>
    <w:rsid w:val="002A2A24"/>
    <w:rsid w:val="002A2AF5"/>
    <w:rsid w:val="002A2BE4"/>
    <w:rsid w:val="002A2C4B"/>
    <w:rsid w:val="002A30AE"/>
    <w:rsid w:val="002A3146"/>
    <w:rsid w:val="002A3190"/>
    <w:rsid w:val="002A336F"/>
    <w:rsid w:val="002A3402"/>
    <w:rsid w:val="002A342E"/>
    <w:rsid w:val="002A3459"/>
    <w:rsid w:val="002A34F9"/>
    <w:rsid w:val="002A3692"/>
    <w:rsid w:val="002A3712"/>
    <w:rsid w:val="002A38CD"/>
    <w:rsid w:val="002A3CAB"/>
    <w:rsid w:val="002A3E33"/>
    <w:rsid w:val="002A3EC8"/>
    <w:rsid w:val="002A4082"/>
    <w:rsid w:val="002A4227"/>
    <w:rsid w:val="002A429F"/>
    <w:rsid w:val="002A42EA"/>
    <w:rsid w:val="002A44C0"/>
    <w:rsid w:val="002A45A0"/>
    <w:rsid w:val="002A45B0"/>
    <w:rsid w:val="002A468D"/>
    <w:rsid w:val="002A4B72"/>
    <w:rsid w:val="002A4BAC"/>
    <w:rsid w:val="002A5086"/>
    <w:rsid w:val="002A5114"/>
    <w:rsid w:val="002A53AD"/>
    <w:rsid w:val="002A5444"/>
    <w:rsid w:val="002A54CB"/>
    <w:rsid w:val="002A55CF"/>
    <w:rsid w:val="002A56C1"/>
    <w:rsid w:val="002A5806"/>
    <w:rsid w:val="002A5878"/>
    <w:rsid w:val="002A5948"/>
    <w:rsid w:val="002A5AB8"/>
    <w:rsid w:val="002A5B2E"/>
    <w:rsid w:val="002A5BAA"/>
    <w:rsid w:val="002A5C75"/>
    <w:rsid w:val="002A5D77"/>
    <w:rsid w:val="002A6182"/>
    <w:rsid w:val="002A61D7"/>
    <w:rsid w:val="002A634C"/>
    <w:rsid w:val="002A63B5"/>
    <w:rsid w:val="002A64C0"/>
    <w:rsid w:val="002A6521"/>
    <w:rsid w:val="002A65DC"/>
    <w:rsid w:val="002A65DE"/>
    <w:rsid w:val="002A66EB"/>
    <w:rsid w:val="002A66F8"/>
    <w:rsid w:val="002A6A02"/>
    <w:rsid w:val="002A6C19"/>
    <w:rsid w:val="002A6CCB"/>
    <w:rsid w:val="002A6E3C"/>
    <w:rsid w:val="002A6EC2"/>
    <w:rsid w:val="002A6F46"/>
    <w:rsid w:val="002A6F93"/>
    <w:rsid w:val="002A7012"/>
    <w:rsid w:val="002A71ED"/>
    <w:rsid w:val="002A73B2"/>
    <w:rsid w:val="002A74A2"/>
    <w:rsid w:val="002A7545"/>
    <w:rsid w:val="002A755C"/>
    <w:rsid w:val="002A75C8"/>
    <w:rsid w:val="002A7714"/>
    <w:rsid w:val="002A7803"/>
    <w:rsid w:val="002A7882"/>
    <w:rsid w:val="002A7AAF"/>
    <w:rsid w:val="002A7BAB"/>
    <w:rsid w:val="002A7BFE"/>
    <w:rsid w:val="002A7FDE"/>
    <w:rsid w:val="002B0069"/>
    <w:rsid w:val="002B0161"/>
    <w:rsid w:val="002B0288"/>
    <w:rsid w:val="002B02E0"/>
    <w:rsid w:val="002B034A"/>
    <w:rsid w:val="002B03A2"/>
    <w:rsid w:val="002B04E4"/>
    <w:rsid w:val="002B05EA"/>
    <w:rsid w:val="002B06BD"/>
    <w:rsid w:val="002B0936"/>
    <w:rsid w:val="002B0A1B"/>
    <w:rsid w:val="002B0C1F"/>
    <w:rsid w:val="002B0C95"/>
    <w:rsid w:val="002B0D97"/>
    <w:rsid w:val="002B0DA7"/>
    <w:rsid w:val="002B0EA2"/>
    <w:rsid w:val="002B0F02"/>
    <w:rsid w:val="002B0F1B"/>
    <w:rsid w:val="002B117A"/>
    <w:rsid w:val="002B1185"/>
    <w:rsid w:val="002B12B4"/>
    <w:rsid w:val="002B1467"/>
    <w:rsid w:val="002B14FA"/>
    <w:rsid w:val="002B165E"/>
    <w:rsid w:val="002B16AC"/>
    <w:rsid w:val="002B1732"/>
    <w:rsid w:val="002B173C"/>
    <w:rsid w:val="002B18C0"/>
    <w:rsid w:val="002B1AEF"/>
    <w:rsid w:val="002B211D"/>
    <w:rsid w:val="002B22D5"/>
    <w:rsid w:val="002B22F1"/>
    <w:rsid w:val="002B259E"/>
    <w:rsid w:val="002B25CA"/>
    <w:rsid w:val="002B25EB"/>
    <w:rsid w:val="002B2639"/>
    <w:rsid w:val="002B27B8"/>
    <w:rsid w:val="002B284A"/>
    <w:rsid w:val="002B2AA7"/>
    <w:rsid w:val="002B2AC9"/>
    <w:rsid w:val="002B2AD6"/>
    <w:rsid w:val="002B2C64"/>
    <w:rsid w:val="002B2CB1"/>
    <w:rsid w:val="002B2DD5"/>
    <w:rsid w:val="002B2E63"/>
    <w:rsid w:val="002B3361"/>
    <w:rsid w:val="002B344F"/>
    <w:rsid w:val="002B3873"/>
    <w:rsid w:val="002B3907"/>
    <w:rsid w:val="002B3950"/>
    <w:rsid w:val="002B3973"/>
    <w:rsid w:val="002B39A7"/>
    <w:rsid w:val="002B39AA"/>
    <w:rsid w:val="002B3BCA"/>
    <w:rsid w:val="002B3C4C"/>
    <w:rsid w:val="002B41F8"/>
    <w:rsid w:val="002B41FC"/>
    <w:rsid w:val="002B4303"/>
    <w:rsid w:val="002B443E"/>
    <w:rsid w:val="002B4519"/>
    <w:rsid w:val="002B4526"/>
    <w:rsid w:val="002B45BF"/>
    <w:rsid w:val="002B4637"/>
    <w:rsid w:val="002B481F"/>
    <w:rsid w:val="002B4872"/>
    <w:rsid w:val="002B491B"/>
    <w:rsid w:val="002B494F"/>
    <w:rsid w:val="002B4AD1"/>
    <w:rsid w:val="002B4C5E"/>
    <w:rsid w:val="002B51B6"/>
    <w:rsid w:val="002B523F"/>
    <w:rsid w:val="002B53B0"/>
    <w:rsid w:val="002B549A"/>
    <w:rsid w:val="002B55FD"/>
    <w:rsid w:val="002B572D"/>
    <w:rsid w:val="002B577F"/>
    <w:rsid w:val="002B57C8"/>
    <w:rsid w:val="002B5CB9"/>
    <w:rsid w:val="002B5EB8"/>
    <w:rsid w:val="002B5F30"/>
    <w:rsid w:val="002B5F65"/>
    <w:rsid w:val="002B5F85"/>
    <w:rsid w:val="002B5FF6"/>
    <w:rsid w:val="002B6339"/>
    <w:rsid w:val="002B6368"/>
    <w:rsid w:val="002B6634"/>
    <w:rsid w:val="002B6642"/>
    <w:rsid w:val="002B685C"/>
    <w:rsid w:val="002B68EE"/>
    <w:rsid w:val="002B69DB"/>
    <w:rsid w:val="002B6C9F"/>
    <w:rsid w:val="002B7226"/>
    <w:rsid w:val="002B7242"/>
    <w:rsid w:val="002B7279"/>
    <w:rsid w:val="002B746A"/>
    <w:rsid w:val="002B74DF"/>
    <w:rsid w:val="002B750E"/>
    <w:rsid w:val="002B7519"/>
    <w:rsid w:val="002B75ED"/>
    <w:rsid w:val="002B785A"/>
    <w:rsid w:val="002B78B5"/>
    <w:rsid w:val="002B798B"/>
    <w:rsid w:val="002B7A8C"/>
    <w:rsid w:val="002B7A93"/>
    <w:rsid w:val="002B7B29"/>
    <w:rsid w:val="002B7E73"/>
    <w:rsid w:val="002C0040"/>
    <w:rsid w:val="002C0121"/>
    <w:rsid w:val="002C016C"/>
    <w:rsid w:val="002C0658"/>
    <w:rsid w:val="002C0A3B"/>
    <w:rsid w:val="002C0AEB"/>
    <w:rsid w:val="002C0B56"/>
    <w:rsid w:val="002C0BA6"/>
    <w:rsid w:val="002C0C4F"/>
    <w:rsid w:val="002C0CFD"/>
    <w:rsid w:val="002C0D57"/>
    <w:rsid w:val="002C0D69"/>
    <w:rsid w:val="002C0DCB"/>
    <w:rsid w:val="002C1274"/>
    <w:rsid w:val="002C12CB"/>
    <w:rsid w:val="002C137D"/>
    <w:rsid w:val="002C14B7"/>
    <w:rsid w:val="002C158F"/>
    <w:rsid w:val="002C16D4"/>
    <w:rsid w:val="002C18DF"/>
    <w:rsid w:val="002C19E8"/>
    <w:rsid w:val="002C1AFB"/>
    <w:rsid w:val="002C1B82"/>
    <w:rsid w:val="002C1D52"/>
    <w:rsid w:val="002C1E03"/>
    <w:rsid w:val="002C1E95"/>
    <w:rsid w:val="002C1EE6"/>
    <w:rsid w:val="002C202D"/>
    <w:rsid w:val="002C218B"/>
    <w:rsid w:val="002C2294"/>
    <w:rsid w:val="002C26A4"/>
    <w:rsid w:val="002C2705"/>
    <w:rsid w:val="002C27B7"/>
    <w:rsid w:val="002C283E"/>
    <w:rsid w:val="002C2990"/>
    <w:rsid w:val="002C29BD"/>
    <w:rsid w:val="002C2B8C"/>
    <w:rsid w:val="002C2D5D"/>
    <w:rsid w:val="002C2D73"/>
    <w:rsid w:val="002C2DFD"/>
    <w:rsid w:val="002C2E12"/>
    <w:rsid w:val="002C2FA5"/>
    <w:rsid w:val="002C3067"/>
    <w:rsid w:val="002C3171"/>
    <w:rsid w:val="002C36BA"/>
    <w:rsid w:val="002C3811"/>
    <w:rsid w:val="002C38CF"/>
    <w:rsid w:val="002C3907"/>
    <w:rsid w:val="002C3A3F"/>
    <w:rsid w:val="002C3B64"/>
    <w:rsid w:val="002C3BD6"/>
    <w:rsid w:val="002C3FD3"/>
    <w:rsid w:val="002C423B"/>
    <w:rsid w:val="002C44F7"/>
    <w:rsid w:val="002C45FB"/>
    <w:rsid w:val="002C479A"/>
    <w:rsid w:val="002C4952"/>
    <w:rsid w:val="002C4AAF"/>
    <w:rsid w:val="002C4B3D"/>
    <w:rsid w:val="002C4B9F"/>
    <w:rsid w:val="002C4D70"/>
    <w:rsid w:val="002C4D97"/>
    <w:rsid w:val="002C4E1F"/>
    <w:rsid w:val="002C4ED3"/>
    <w:rsid w:val="002C4FE5"/>
    <w:rsid w:val="002C5015"/>
    <w:rsid w:val="002C506D"/>
    <w:rsid w:val="002C5198"/>
    <w:rsid w:val="002C538C"/>
    <w:rsid w:val="002C5442"/>
    <w:rsid w:val="002C54DF"/>
    <w:rsid w:val="002C5514"/>
    <w:rsid w:val="002C5851"/>
    <w:rsid w:val="002C59A5"/>
    <w:rsid w:val="002C5AE1"/>
    <w:rsid w:val="002C5C9F"/>
    <w:rsid w:val="002C5FDA"/>
    <w:rsid w:val="002C6018"/>
    <w:rsid w:val="002C6062"/>
    <w:rsid w:val="002C6122"/>
    <w:rsid w:val="002C63CF"/>
    <w:rsid w:val="002C671E"/>
    <w:rsid w:val="002C6852"/>
    <w:rsid w:val="002C6973"/>
    <w:rsid w:val="002C6AA9"/>
    <w:rsid w:val="002C6C18"/>
    <w:rsid w:val="002C6C84"/>
    <w:rsid w:val="002C6CAD"/>
    <w:rsid w:val="002C6DDD"/>
    <w:rsid w:val="002C6DFA"/>
    <w:rsid w:val="002C6F66"/>
    <w:rsid w:val="002C6FED"/>
    <w:rsid w:val="002C7551"/>
    <w:rsid w:val="002C757B"/>
    <w:rsid w:val="002C7632"/>
    <w:rsid w:val="002C77F1"/>
    <w:rsid w:val="002C7823"/>
    <w:rsid w:val="002C787D"/>
    <w:rsid w:val="002C796E"/>
    <w:rsid w:val="002C7A51"/>
    <w:rsid w:val="002C7B89"/>
    <w:rsid w:val="002C7E14"/>
    <w:rsid w:val="002D00CD"/>
    <w:rsid w:val="002D0282"/>
    <w:rsid w:val="002D03F3"/>
    <w:rsid w:val="002D03FE"/>
    <w:rsid w:val="002D042D"/>
    <w:rsid w:val="002D04A0"/>
    <w:rsid w:val="002D05DB"/>
    <w:rsid w:val="002D08C0"/>
    <w:rsid w:val="002D093D"/>
    <w:rsid w:val="002D0A78"/>
    <w:rsid w:val="002D0AB1"/>
    <w:rsid w:val="002D0F5F"/>
    <w:rsid w:val="002D0F8D"/>
    <w:rsid w:val="002D0FF4"/>
    <w:rsid w:val="002D1052"/>
    <w:rsid w:val="002D106C"/>
    <w:rsid w:val="002D10B2"/>
    <w:rsid w:val="002D10E1"/>
    <w:rsid w:val="002D1289"/>
    <w:rsid w:val="002D1320"/>
    <w:rsid w:val="002D1371"/>
    <w:rsid w:val="002D1688"/>
    <w:rsid w:val="002D17FC"/>
    <w:rsid w:val="002D1C2C"/>
    <w:rsid w:val="002D21D1"/>
    <w:rsid w:val="002D2537"/>
    <w:rsid w:val="002D279C"/>
    <w:rsid w:val="002D28F4"/>
    <w:rsid w:val="002D293A"/>
    <w:rsid w:val="002D2CC7"/>
    <w:rsid w:val="002D2DFB"/>
    <w:rsid w:val="002D2EC0"/>
    <w:rsid w:val="002D3159"/>
    <w:rsid w:val="002D31F1"/>
    <w:rsid w:val="002D3200"/>
    <w:rsid w:val="002D324C"/>
    <w:rsid w:val="002D3283"/>
    <w:rsid w:val="002D331B"/>
    <w:rsid w:val="002D3560"/>
    <w:rsid w:val="002D35C2"/>
    <w:rsid w:val="002D3670"/>
    <w:rsid w:val="002D38EB"/>
    <w:rsid w:val="002D3A05"/>
    <w:rsid w:val="002D3ACB"/>
    <w:rsid w:val="002D3B9B"/>
    <w:rsid w:val="002D3C3A"/>
    <w:rsid w:val="002D3C99"/>
    <w:rsid w:val="002D3D4E"/>
    <w:rsid w:val="002D3D7F"/>
    <w:rsid w:val="002D3EE2"/>
    <w:rsid w:val="002D3F42"/>
    <w:rsid w:val="002D40DF"/>
    <w:rsid w:val="002D417B"/>
    <w:rsid w:val="002D4293"/>
    <w:rsid w:val="002D42F2"/>
    <w:rsid w:val="002D468A"/>
    <w:rsid w:val="002D4707"/>
    <w:rsid w:val="002D4773"/>
    <w:rsid w:val="002D48B0"/>
    <w:rsid w:val="002D4A7D"/>
    <w:rsid w:val="002D4AC1"/>
    <w:rsid w:val="002D4B20"/>
    <w:rsid w:val="002D4C01"/>
    <w:rsid w:val="002D4C16"/>
    <w:rsid w:val="002D4C3F"/>
    <w:rsid w:val="002D4D38"/>
    <w:rsid w:val="002D4DC1"/>
    <w:rsid w:val="002D4E19"/>
    <w:rsid w:val="002D4E75"/>
    <w:rsid w:val="002D5040"/>
    <w:rsid w:val="002D50DB"/>
    <w:rsid w:val="002D50F1"/>
    <w:rsid w:val="002D50FA"/>
    <w:rsid w:val="002D51D9"/>
    <w:rsid w:val="002D526E"/>
    <w:rsid w:val="002D53DE"/>
    <w:rsid w:val="002D5620"/>
    <w:rsid w:val="002D56FA"/>
    <w:rsid w:val="002D5777"/>
    <w:rsid w:val="002D5818"/>
    <w:rsid w:val="002D58D3"/>
    <w:rsid w:val="002D5A5A"/>
    <w:rsid w:val="002D5CA5"/>
    <w:rsid w:val="002D5DEA"/>
    <w:rsid w:val="002D5E08"/>
    <w:rsid w:val="002D5E16"/>
    <w:rsid w:val="002D6056"/>
    <w:rsid w:val="002D6297"/>
    <w:rsid w:val="002D6481"/>
    <w:rsid w:val="002D65F2"/>
    <w:rsid w:val="002D6957"/>
    <w:rsid w:val="002D6C97"/>
    <w:rsid w:val="002D6E38"/>
    <w:rsid w:val="002D722A"/>
    <w:rsid w:val="002D72A8"/>
    <w:rsid w:val="002D72B9"/>
    <w:rsid w:val="002D7412"/>
    <w:rsid w:val="002D75C9"/>
    <w:rsid w:val="002D76AA"/>
    <w:rsid w:val="002D7766"/>
    <w:rsid w:val="002D78C3"/>
    <w:rsid w:val="002D7C36"/>
    <w:rsid w:val="002D7FBF"/>
    <w:rsid w:val="002E00D3"/>
    <w:rsid w:val="002E0476"/>
    <w:rsid w:val="002E0492"/>
    <w:rsid w:val="002E0605"/>
    <w:rsid w:val="002E0675"/>
    <w:rsid w:val="002E07EF"/>
    <w:rsid w:val="002E09C9"/>
    <w:rsid w:val="002E0D69"/>
    <w:rsid w:val="002E10F0"/>
    <w:rsid w:val="002E119E"/>
    <w:rsid w:val="002E11F2"/>
    <w:rsid w:val="002E1297"/>
    <w:rsid w:val="002E12CE"/>
    <w:rsid w:val="002E14EF"/>
    <w:rsid w:val="002E158E"/>
    <w:rsid w:val="002E1742"/>
    <w:rsid w:val="002E17CF"/>
    <w:rsid w:val="002E1957"/>
    <w:rsid w:val="002E1A7D"/>
    <w:rsid w:val="002E1BAD"/>
    <w:rsid w:val="002E1CB6"/>
    <w:rsid w:val="002E1FED"/>
    <w:rsid w:val="002E2732"/>
    <w:rsid w:val="002E29E7"/>
    <w:rsid w:val="002E2A14"/>
    <w:rsid w:val="002E2F1E"/>
    <w:rsid w:val="002E3023"/>
    <w:rsid w:val="002E3040"/>
    <w:rsid w:val="002E30CA"/>
    <w:rsid w:val="002E30FE"/>
    <w:rsid w:val="002E32EC"/>
    <w:rsid w:val="002E3465"/>
    <w:rsid w:val="002E36DB"/>
    <w:rsid w:val="002E36F4"/>
    <w:rsid w:val="002E3990"/>
    <w:rsid w:val="002E3D52"/>
    <w:rsid w:val="002E3DBF"/>
    <w:rsid w:val="002E3E4F"/>
    <w:rsid w:val="002E3E76"/>
    <w:rsid w:val="002E3F74"/>
    <w:rsid w:val="002E4188"/>
    <w:rsid w:val="002E4399"/>
    <w:rsid w:val="002E43CD"/>
    <w:rsid w:val="002E44DC"/>
    <w:rsid w:val="002E4706"/>
    <w:rsid w:val="002E4846"/>
    <w:rsid w:val="002E4951"/>
    <w:rsid w:val="002E4B42"/>
    <w:rsid w:val="002E4C5B"/>
    <w:rsid w:val="002E4F9A"/>
    <w:rsid w:val="002E4FA2"/>
    <w:rsid w:val="002E4FAB"/>
    <w:rsid w:val="002E51E5"/>
    <w:rsid w:val="002E5334"/>
    <w:rsid w:val="002E5383"/>
    <w:rsid w:val="002E5468"/>
    <w:rsid w:val="002E550D"/>
    <w:rsid w:val="002E563C"/>
    <w:rsid w:val="002E56D4"/>
    <w:rsid w:val="002E598D"/>
    <w:rsid w:val="002E5A75"/>
    <w:rsid w:val="002E5AA3"/>
    <w:rsid w:val="002E5AD1"/>
    <w:rsid w:val="002E5B36"/>
    <w:rsid w:val="002E5C31"/>
    <w:rsid w:val="002E5DA4"/>
    <w:rsid w:val="002E5DEC"/>
    <w:rsid w:val="002E5E41"/>
    <w:rsid w:val="002E5E45"/>
    <w:rsid w:val="002E5ECF"/>
    <w:rsid w:val="002E5F44"/>
    <w:rsid w:val="002E5FA6"/>
    <w:rsid w:val="002E5FF3"/>
    <w:rsid w:val="002E610A"/>
    <w:rsid w:val="002E62F8"/>
    <w:rsid w:val="002E6385"/>
    <w:rsid w:val="002E63DC"/>
    <w:rsid w:val="002E644D"/>
    <w:rsid w:val="002E650B"/>
    <w:rsid w:val="002E66FA"/>
    <w:rsid w:val="002E68D3"/>
    <w:rsid w:val="002E68D6"/>
    <w:rsid w:val="002E6ACE"/>
    <w:rsid w:val="002E6ACF"/>
    <w:rsid w:val="002E6CFD"/>
    <w:rsid w:val="002E6EA0"/>
    <w:rsid w:val="002E71C2"/>
    <w:rsid w:val="002E74E6"/>
    <w:rsid w:val="002E75C4"/>
    <w:rsid w:val="002E76A1"/>
    <w:rsid w:val="002E772F"/>
    <w:rsid w:val="002E7C34"/>
    <w:rsid w:val="002E7C79"/>
    <w:rsid w:val="002E7C96"/>
    <w:rsid w:val="002E7D52"/>
    <w:rsid w:val="002E7EB8"/>
    <w:rsid w:val="002E7FAF"/>
    <w:rsid w:val="002E7FE2"/>
    <w:rsid w:val="002F0031"/>
    <w:rsid w:val="002F0153"/>
    <w:rsid w:val="002F01DB"/>
    <w:rsid w:val="002F039D"/>
    <w:rsid w:val="002F0461"/>
    <w:rsid w:val="002F046B"/>
    <w:rsid w:val="002F056E"/>
    <w:rsid w:val="002F0938"/>
    <w:rsid w:val="002F0AD7"/>
    <w:rsid w:val="002F0B0E"/>
    <w:rsid w:val="002F0B8F"/>
    <w:rsid w:val="002F0BAD"/>
    <w:rsid w:val="002F0D6B"/>
    <w:rsid w:val="002F0E26"/>
    <w:rsid w:val="002F0E3F"/>
    <w:rsid w:val="002F131C"/>
    <w:rsid w:val="002F1480"/>
    <w:rsid w:val="002F14EC"/>
    <w:rsid w:val="002F15DA"/>
    <w:rsid w:val="002F15E4"/>
    <w:rsid w:val="002F1658"/>
    <w:rsid w:val="002F178C"/>
    <w:rsid w:val="002F184D"/>
    <w:rsid w:val="002F18E1"/>
    <w:rsid w:val="002F19D0"/>
    <w:rsid w:val="002F1BB3"/>
    <w:rsid w:val="002F1D4E"/>
    <w:rsid w:val="002F1DB8"/>
    <w:rsid w:val="002F1E39"/>
    <w:rsid w:val="002F1EED"/>
    <w:rsid w:val="002F2044"/>
    <w:rsid w:val="002F2080"/>
    <w:rsid w:val="002F2083"/>
    <w:rsid w:val="002F20AB"/>
    <w:rsid w:val="002F2272"/>
    <w:rsid w:val="002F22A1"/>
    <w:rsid w:val="002F2418"/>
    <w:rsid w:val="002F275D"/>
    <w:rsid w:val="002F28A5"/>
    <w:rsid w:val="002F29A8"/>
    <w:rsid w:val="002F2F16"/>
    <w:rsid w:val="002F3186"/>
    <w:rsid w:val="002F319A"/>
    <w:rsid w:val="002F3210"/>
    <w:rsid w:val="002F34FB"/>
    <w:rsid w:val="002F374E"/>
    <w:rsid w:val="002F377D"/>
    <w:rsid w:val="002F383E"/>
    <w:rsid w:val="002F38A5"/>
    <w:rsid w:val="002F393B"/>
    <w:rsid w:val="002F395A"/>
    <w:rsid w:val="002F3A6C"/>
    <w:rsid w:val="002F3A77"/>
    <w:rsid w:val="002F3CFE"/>
    <w:rsid w:val="002F413D"/>
    <w:rsid w:val="002F4149"/>
    <w:rsid w:val="002F4227"/>
    <w:rsid w:val="002F4232"/>
    <w:rsid w:val="002F445C"/>
    <w:rsid w:val="002F4489"/>
    <w:rsid w:val="002F44C6"/>
    <w:rsid w:val="002F47B3"/>
    <w:rsid w:val="002F49B4"/>
    <w:rsid w:val="002F49C5"/>
    <w:rsid w:val="002F49F4"/>
    <w:rsid w:val="002F4A17"/>
    <w:rsid w:val="002F4AC8"/>
    <w:rsid w:val="002F4AF0"/>
    <w:rsid w:val="002F4B0A"/>
    <w:rsid w:val="002F4C55"/>
    <w:rsid w:val="002F4C6B"/>
    <w:rsid w:val="002F4C79"/>
    <w:rsid w:val="002F4CA4"/>
    <w:rsid w:val="002F4DCD"/>
    <w:rsid w:val="002F4F2B"/>
    <w:rsid w:val="002F4F31"/>
    <w:rsid w:val="002F5014"/>
    <w:rsid w:val="002F5091"/>
    <w:rsid w:val="002F50E7"/>
    <w:rsid w:val="002F5228"/>
    <w:rsid w:val="002F54CD"/>
    <w:rsid w:val="002F58F8"/>
    <w:rsid w:val="002F5925"/>
    <w:rsid w:val="002F5951"/>
    <w:rsid w:val="002F5A5F"/>
    <w:rsid w:val="002F5A71"/>
    <w:rsid w:val="002F5B14"/>
    <w:rsid w:val="002F5B44"/>
    <w:rsid w:val="002F5BB5"/>
    <w:rsid w:val="002F5BB9"/>
    <w:rsid w:val="002F5BD1"/>
    <w:rsid w:val="002F5DC8"/>
    <w:rsid w:val="002F5EEC"/>
    <w:rsid w:val="002F6137"/>
    <w:rsid w:val="002F613A"/>
    <w:rsid w:val="002F62B2"/>
    <w:rsid w:val="002F638A"/>
    <w:rsid w:val="002F6731"/>
    <w:rsid w:val="002F6865"/>
    <w:rsid w:val="002F6B41"/>
    <w:rsid w:val="002F6BA4"/>
    <w:rsid w:val="002F6F54"/>
    <w:rsid w:val="002F735B"/>
    <w:rsid w:val="002F780D"/>
    <w:rsid w:val="002F7838"/>
    <w:rsid w:val="002F79FF"/>
    <w:rsid w:val="002F7A83"/>
    <w:rsid w:val="002F7C35"/>
    <w:rsid w:val="002F7C9C"/>
    <w:rsid w:val="002F7DA7"/>
    <w:rsid w:val="002F7DF3"/>
    <w:rsid w:val="002F7E37"/>
    <w:rsid w:val="002F7E93"/>
    <w:rsid w:val="003000E8"/>
    <w:rsid w:val="0030017B"/>
    <w:rsid w:val="00300189"/>
    <w:rsid w:val="003002A3"/>
    <w:rsid w:val="003002F7"/>
    <w:rsid w:val="00300328"/>
    <w:rsid w:val="0030041D"/>
    <w:rsid w:val="00300847"/>
    <w:rsid w:val="00300B76"/>
    <w:rsid w:val="00300BAC"/>
    <w:rsid w:val="00300BE1"/>
    <w:rsid w:val="00300CC5"/>
    <w:rsid w:val="00300D63"/>
    <w:rsid w:val="00300D75"/>
    <w:rsid w:val="00300E14"/>
    <w:rsid w:val="00300F4A"/>
    <w:rsid w:val="00300FD2"/>
    <w:rsid w:val="003010C5"/>
    <w:rsid w:val="003011DD"/>
    <w:rsid w:val="003013D7"/>
    <w:rsid w:val="003014EE"/>
    <w:rsid w:val="0030150E"/>
    <w:rsid w:val="00301568"/>
    <w:rsid w:val="0030171E"/>
    <w:rsid w:val="00301837"/>
    <w:rsid w:val="00301B8B"/>
    <w:rsid w:val="00301C65"/>
    <w:rsid w:val="00301C6D"/>
    <w:rsid w:val="00301C90"/>
    <w:rsid w:val="00301CFC"/>
    <w:rsid w:val="00301D0E"/>
    <w:rsid w:val="00301D93"/>
    <w:rsid w:val="00301F46"/>
    <w:rsid w:val="00302056"/>
    <w:rsid w:val="003020A9"/>
    <w:rsid w:val="003020B6"/>
    <w:rsid w:val="00302151"/>
    <w:rsid w:val="0030229F"/>
    <w:rsid w:val="003022B4"/>
    <w:rsid w:val="003024D1"/>
    <w:rsid w:val="0030252A"/>
    <w:rsid w:val="0030258E"/>
    <w:rsid w:val="0030289C"/>
    <w:rsid w:val="003029FD"/>
    <w:rsid w:val="00302A00"/>
    <w:rsid w:val="00302CA2"/>
    <w:rsid w:val="00302D48"/>
    <w:rsid w:val="00302F42"/>
    <w:rsid w:val="00302FBB"/>
    <w:rsid w:val="00303099"/>
    <w:rsid w:val="0030325B"/>
    <w:rsid w:val="00303266"/>
    <w:rsid w:val="00303318"/>
    <w:rsid w:val="00303361"/>
    <w:rsid w:val="003037A4"/>
    <w:rsid w:val="00303829"/>
    <w:rsid w:val="00303893"/>
    <w:rsid w:val="00303BAB"/>
    <w:rsid w:val="00303EF3"/>
    <w:rsid w:val="00303FFD"/>
    <w:rsid w:val="00304087"/>
    <w:rsid w:val="003040AD"/>
    <w:rsid w:val="00304198"/>
    <w:rsid w:val="00304341"/>
    <w:rsid w:val="003043FD"/>
    <w:rsid w:val="00304416"/>
    <w:rsid w:val="003045AE"/>
    <w:rsid w:val="0030463B"/>
    <w:rsid w:val="00304718"/>
    <w:rsid w:val="0030479D"/>
    <w:rsid w:val="00304813"/>
    <w:rsid w:val="00304838"/>
    <w:rsid w:val="00304AB7"/>
    <w:rsid w:val="00304FE5"/>
    <w:rsid w:val="0030500A"/>
    <w:rsid w:val="00305042"/>
    <w:rsid w:val="003050ED"/>
    <w:rsid w:val="0030532C"/>
    <w:rsid w:val="00305555"/>
    <w:rsid w:val="003055CB"/>
    <w:rsid w:val="00305799"/>
    <w:rsid w:val="00305920"/>
    <w:rsid w:val="00305ACD"/>
    <w:rsid w:val="00305B4B"/>
    <w:rsid w:val="00305C5C"/>
    <w:rsid w:val="00305D5A"/>
    <w:rsid w:val="00305E12"/>
    <w:rsid w:val="003064AD"/>
    <w:rsid w:val="00306656"/>
    <w:rsid w:val="00306670"/>
    <w:rsid w:val="003066F9"/>
    <w:rsid w:val="0030678B"/>
    <w:rsid w:val="003067DB"/>
    <w:rsid w:val="0030699F"/>
    <w:rsid w:val="00306BE6"/>
    <w:rsid w:val="00306C49"/>
    <w:rsid w:val="00306C6A"/>
    <w:rsid w:val="00306DAC"/>
    <w:rsid w:val="00306E42"/>
    <w:rsid w:val="00306FD0"/>
    <w:rsid w:val="003071DC"/>
    <w:rsid w:val="0030725C"/>
    <w:rsid w:val="003072CE"/>
    <w:rsid w:val="0030744B"/>
    <w:rsid w:val="003074CE"/>
    <w:rsid w:val="003074F3"/>
    <w:rsid w:val="003075CF"/>
    <w:rsid w:val="00307614"/>
    <w:rsid w:val="0030780A"/>
    <w:rsid w:val="00307853"/>
    <w:rsid w:val="003078EF"/>
    <w:rsid w:val="00307971"/>
    <w:rsid w:val="00307A2A"/>
    <w:rsid w:val="00307CDD"/>
    <w:rsid w:val="00307CE8"/>
    <w:rsid w:val="00307F68"/>
    <w:rsid w:val="00307F93"/>
    <w:rsid w:val="00310377"/>
    <w:rsid w:val="003103F5"/>
    <w:rsid w:val="00310502"/>
    <w:rsid w:val="0031059D"/>
    <w:rsid w:val="00310702"/>
    <w:rsid w:val="003108AA"/>
    <w:rsid w:val="003108BE"/>
    <w:rsid w:val="0031096E"/>
    <w:rsid w:val="0031096F"/>
    <w:rsid w:val="00310A67"/>
    <w:rsid w:val="00310B36"/>
    <w:rsid w:val="00310C5A"/>
    <w:rsid w:val="0031109F"/>
    <w:rsid w:val="003110DD"/>
    <w:rsid w:val="0031124B"/>
    <w:rsid w:val="003112FB"/>
    <w:rsid w:val="0031140F"/>
    <w:rsid w:val="0031165E"/>
    <w:rsid w:val="00311799"/>
    <w:rsid w:val="00311903"/>
    <w:rsid w:val="0031196B"/>
    <w:rsid w:val="00311B20"/>
    <w:rsid w:val="00311BD4"/>
    <w:rsid w:val="00311C4A"/>
    <w:rsid w:val="00311CE4"/>
    <w:rsid w:val="00311D67"/>
    <w:rsid w:val="00311DB9"/>
    <w:rsid w:val="00311EF5"/>
    <w:rsid w:val="00311FF4"/>
    <w:rsid w:val="00312002"/>
    <w:rsid w:val="0031218D"/>
    <w:rsid w:val="003123C9"/>
    <w:rsid w:val="0031250C"/>
    <w:rsid w:val="003126D2"/>
    <w:rsid w:val="003127BF"/>
    <w:rsid w:val="0031287B"/>
    <w:rsid w:val="00312BF1"/>
    <w:rsid w:val="00312C7C"/>
    <w:rsid w:val="0031315D"/>
    <w:rsid w:val="00313174"/>
    <w:rsid w:val="003134B4"/>
    <w:rsid w:val="003138D2"/>
    <w:rsid w:val="0031395E"/>
    <w:rsid w:val="00313962"/>
    <w:rsid w:val="003139FB"/>
    <w:rsid w:val="00313A92"/>
    <w:rsid w:val="00313ADB"/>
    <w:rsid w:val="00313B38"/>
    <w:rsid w:val="00313C14"/>
    <w:rsid w:val="0031416A"/>
    <w:rsid w:val="0031447F"/>
    <w:rsid w:val="00314518"/>
    <w:rsid w:val="00314559"/>
    <w:rsid w:val="003145EC"/>
    <w:rsid w:val="003146DA"/>
    <w:rsid w:val="0031471E"/>
    <w:rsid w:val="003148AB"/>
    <w:rsid w:val="003149B5"/>
    <w:rsid w:val="00314B86"/>
    <w:rsid w:val="00314C31"/>
    <w:rsid w:val="00314CC0"/>
    <w:rsid w:val="00314CE3"/>
    <w:rsid w:val="00314D3E"/>
    <w:rsid w:val="00314E6D"/>
    <w:rsid w:val="00315354"/>
    <w:rsid w:val="0031538F"/>
    <w:rsid w:val="003153BD"/>
    <w:rsid w:val="003153FA"/>
    <w:rsid w:val="003154D4"/>
    <w:rsid w:val="0031555B"/>
    <w:rsid w:val="003155A7"/>
    <w:rsid w:val="0031573D"/>
    <w:rsid w:val="0031582B"/>
    <w:rsid w:val="00315871"/>
    <w:rsid w:val="0031594F"/>
    <w:rsid w:val="00315987"/>
    <w:rsid w:val="00315AD7"/>
    <w:rsid w:val="00315B29"/>
    <w:rsid w:val="00315C2F"/>
    <w:rsid w:val="00315D6B"/>
    <w:rsid w:val="00315F60"/>
    <w:rsid w:val="00316228"/>
    <w:rsid w:val="00316384"/>
    <w:rsid w:val="003165B1"/>
    <w:rsid w:val="0031699E"/>
    <w:rsid w:val="003169A1"/>
    <w:rsid w:val="00316A13"/>
    <w:rsid w:val="00316A65"/>
    <w:rsid w:val="00316B57"/>
    <w:rsid w:val="00316BE1"/>
    <w:rsid w:val="00316FA4"/>
    <w:rsid w:val="003170B8"/>
    <w:rsid w:val="00317186"/>
    <w:rsid w:val="0031766D"/>
    <w:rsid w:val="00317824"/>
    <w:rsid w:val="003178C7"/>
    <w:rsid w:val="00317927"/>
    <w:rsid w:val="00317A6F"/>
    <w:rsid w:val="00317C46"/>
    <w:rsid w:val="00317CAB"/>
    <w:rsid w:val="00317D00"/>
    <w:rsid w:val="00317EA3"/>
    <w:rsid w:val="00320150"/>
    <w:rsid w:val="003201FB"/>
    <w:rsid w:val="0032024C"/>
    <w:rsid w:val="003202D3"/>
    <w:rsid w:val="0032035A"/>
    <w:rsid w:val="003205BE"/>
    <w:rsid w:val="0032065B"/>
    <w:rsid w:val="003209F5"/>
    <w:rsid w:val="00320A8C"/>
    <w:rsid w:val="00320A9B"/>
    <w:rsid w:val="00320AEE"/>
    <w:rsid w:val="00320B60"/>
    <w:rsid w:val="00320BBD"/>
    <w:rsid w:val="00320C23"/>
    <w:rsid w:val="00320D46"/>
    <w:rsid w:val="00320D8D"/>
    <w:rsid w:val="00320EA1"/>
    <w:rsid w:val="003210AE"/>
    <w:rsid w:val="0032114A"/>
    <w:rsid w:val="003212EF"/>
    <w:rsid w:val="00321478"/>
    <w:rsid w:val="003214AB"/>
    <w:rsid w:val="00321621"/>
    <w:rsid w:val="00321695"/>
    <w:rsid w:val="00321743"/>
    <w:rsid w:val="0032175F"/>
    <w:rsid w:val="00321768"/>
    <w:rsid w:val="00321959"/>
    <w:rsid w:val="00321A3E"/>
    <w:rsid w:val="00321C3B"/>
    <w:rsid w:val="00321CEF"/>
    <w:rsid w:val="00321DB3"/>
    <w:rsid w:val="00321E68"/>
    <w:rsid w:val="00322019"/>
    <w:rsid w:val="00322035"/>
    <w:rsid w:val="003220B2"/>
    <w:rsid w:val="00322163"/>
    <w:rsid w:val="003222E8"/>
    <w:rsid w:val="0032231A"/>
    <w:rsid w:val="003223E9"/>
    <w:rsid w:val="00322615"/>
    <w:rsid w:val="00322680"/>
    <w:rsid w:val="0032284C"/>
    <w:rsid w:val="003228BF"/>
    <w:rsid w:val="003228C2"/>
    <w:rsid w:val="00322A1B"/>
    <w:rsid w:val="00322A6B"/>
    <w:rsid w:val="00322CD9"/>
    <w:rsid w:val="00322EF7"/>
    <w:rsid w:val="00323223"/>
    <w:rsid w:val="003232BF"/>
    <w:rsid w:val="003232FF"/>
    <w:rsid w:val="00323336"/>
    <w:rsid w:val="00323398"/>
    <w:rsid w:val="00323488"/>
    <w:rsid w:val="0032354E"/>
    <w:rsid w:val="003235B3"/>
    <w:rsid w:val="0032381B"/>
    <w:rsid w:val="00323862"/>
    <w:rsid w:val="003238EF"/>
    <w:rsid w:val="00323953"/>
    <w:rsid w:val="00323BEA"/>
    <w:rsid w:val="00323C59"/>
    <w:rsid w:val="00323D93"/>
    <w:rsid w:val="00323EA4"/>
    <w:rsid w:val="00323EF3"/>
    <w:rsid w:val="00323F3C"/>
    <w:rsid w:val="00323F81"/>
    <w:rsid w:val="00324066"/>
    <w:rsid w:val="00324075"/>
    <w:rsid w:val="00324076"/>
    <w:rsid w:val="003240FB"/>
    <w:rsid w:val="003242D8"/>
    <w:rsid w:val="003246CB"/>
    <w:rsid w:val="00324790"/>
    <w:rsid w:val="003248AC"/>
    <w:rsid w:val="00324A2A"/>
    <w:rsid w:val="00324B51"/>
    <w:rsid w:val="00324DA7"/>
    <w:rsid w:val="00324E0D"/>
    <w:rsid w:val="00324E2A"/>
    <w:rsid w:val="00324FBE"/>
    <w:rsid w:val="00325178"/>
    <w:rsid w:val="00325279"/>
    <w:rsid w:val="00325332"/>
    <w:rsid w:val="00325497"/>
    <w:rsid w:val="00325531"/>
    <w:rsid w:val="00325590"/>
    <w:rsid w:val="00325871"/>
    <w:rsid w:val="00325885"/>
    <w:rsid w:val="00325950"/>
    <w:rsid w:val="003259C5"/>
    <w:rsid w:val="00325B88"/>
    <w:rsid w:val="00325CBB"/>
    <w:rsid w:val="00325E91"/>
    <w:rsid w:val="00325F91"/>
    <w:rsid w:val="00325FE4"/>
    <w:rsid w:val="00326131"/>
    <w:rsid w:val="0032621D"/>
    <w:rsid w:val="0032623B"/>
    <w:rsid w:val="00326291"/>
    <w:rsid w:val="00326379"/>
    <w:rsid w:val="00326410"/>
    <w:rsid w:val="0032664F"/>
    <w:rsid w:val="003266D0"/>
    <w:rsid w:val="0032672C"/>
    <w:rsid w:val="003268EE"/>
    <w:rsid w:val="003268F2"/>
    <w:rsid w:val="003268F9"/>
    <w:rsid w:val="00326A92"/>
    <w:rsid w:val="00326A94"/>
    <w:rsid w:val="00326C8E"/>
    <w:rsid w:val="00326DB7"/>
    <w:rsid w:val="00326EA3"/>
    <w:rsid w:val="0032702E"/>
    <w:rsid w:val="00327068"/>
    <w:rsid w:val="00327360"/>
    <w:rsid w:val="003274B2"/>
    <w:rsid w:val="003276F0"/>
    <w:rsid w:val="003278C0"/>
    <w:rsid w:val="003278EE"/>
    <w:rsid w:val="003279C6"/>
    <w:rsid w:val="00327DBC"/>
    <w:rsid w:val="00327E1D"/>
    <w:rsid w:val="00327EB0"/>
    <w:rsid w:val="00330000"/>
    <w:rsid w:val="003301C9"/>
    <w:rsid w:val="00330297"/>
    <w:rsid w:val="0033051C"/>
    <w:rsid w:val="00330562"/>
    <w:rsid w:val="00330594"/>
    <w:rsid w:val="003305F4"/>
    <w:rsid w:val="0033071D"/>
    <w:rsid w:val="00330972"/>
    <w:rsid w:val="00330AE9"/>
    <w:rsid w:val="00330B4D"/>
    <w:rsid w:val="00330BE3"/>
    <w:rsid w:val="00330C53"/>
    <w:rsid w:val="00330F30"/>
    <w:rsid w:val="00330FDC"/>
    <w:rsid w:val="00331062"/>
    <w:rsid w:val="003310AE"/>
    <w:rsid w:val="003311A4"/>
    <w:rsid w:val="00331226"/>
    <w:rsid w:val="003312AD"/>
    <w:rsid w:val="003312EB"/>
    <w:rsid w:val="003313DA"/>
    <w:rsid w:val="003317A3"/>
    <w:rsid w:val="00331A72"/>
    <w:rsid w:val="00331B43"/>
    <w:rsid w:val="00331B6D"/>
    <w:rsid w:val="00331BAB"/>
    <w:rsid w:val="00331C49"/>
    <w:rsid w:val="00331C8A"/>
    <w:rsid w:val="00331E76"/>
    <w:rsid w:val="00331E7B"/>
    <w:rsid w:val="00331EC3"/>
    <w:rsid w:val="00331EC6"/>
    <w:rsid w:val="00331EDD"/>
    <w:rsid w:val="00332057"/>
    <w:rsid w:val="00332165"/>
    <w:rsid w:val="003322DD"/>
    <w:rsid w:val="003323E9"/>
    <w:rsid w:val="00332774"/>
    <w:rsid w:val="003328D8"/>
    <w:rsid w:val="00332922"/>
    <w:rsid w:val="00332B8D"/>
    <w:rsid w:val="00332B92"/>
    <w:rsid w:val="00332C4D"/>
    <w:rsid w:val="00332D66"/>
    <w:rsid w:val="00332E61"/>
    <w:rsid w:val="00332E8D"/>
    <w:rsid w:val="00332EF1"/>
    <w:rsid w:val="003330F5"/>
    <w:rsid w:val="003332CC"/>
    <w:rsid w:val="00333339"/>
    <w:rsid w:val="003333CB"/>
    <w:rsid w:val="00333579"/>
    <w:rsid w:val="003338B1"/>
    <w:rsid w:val="00333C17"/>
    <w:rsid w:val="00333D84"/>
    <w:rsid w:val="00333E05"/>
    <w:rsid w:val="00333EA6"/>
    <w:rsid w:val="00334050"/>
    <w:rsid w:val="0033408A"/>
    <w:rsid w:val="0033416B"/>
    <w:rsid w:val="0033421C"/>
    <w:rsid w:val="003343C1"/>
    <w:rsid w:val="003343D1"/>
    <w:rsid w:val="003344B4"/>
    <w:rsid w:val="003344DC"/>
    <w:rsid w:val="003346D1"/>
    <w:rsid w:val="003346DC"/>
    <w:rsid w:val="00334717"/>
    <w:rsid w:val="00334735"/>
    <w:rsid w:val="0033479F"/>
    <w:rsid w:val="00334841"/>
    <w:rsid w:val="00334862"/>
    <w:rsid w:val="00334939"/>
    <w:rsid w:val="00334C9A"/>
    <w:rsid w:val="00334EFD"/>
    <w:rsid w:val="00334F94"/>
    <w:rsid w:val="003350CA"/>
    <w:rsid w:val="003351B4"/>
    <w:rsid w:val="00335282"/>
    <w:rsid w:val="0033551E"/>
    <w:rsid w:val="00335565"/>
    <w:rsid w:val="00335572"/>
    <w:rsid w:val="00335761"/>
    <w:rsid w:val="003357DF"/>
    <w:rsid w:val="00335813"/>
    <w:rsid w:val="003359A0"/>
    <w:rsid w:val="00335E1B"/>
    <w:rsid w:val="0033611F"/>
    <w:rsid w:val="00336120"/>
    <w:rsid w:val="00336135"/>
    <w:rsid w:val="0033615E"/>
    <w:rsid w:val="003361E0"/>
    <w:rsid w:val="003362BE"/>
    <w:rsid w:val="003365D6"/>
    <w:rsid w:val="00336870"/>
    <w:rsid w:val="00336977"/>
    <w:rsid w:val="003369DA"/>
    <w:rsid w:val="00336A93"/>
    <w:rsid w:val="00336B1F"/>
    <w:rsid w:val="00336C46"/>
    <w:rsid w:val="00336E41"/>
    <w:rsid w:val="00336ECE"/>
    <w:rsid w:val="00336FFB"/>
    <w:rsid w:val="0033719B"/>
    <w:rsid w:val="0033731E"/>
    <w:rsid w:val="0033736A"/>
    <w:rsid w:val="00337490"/>
    <w:rsid w:val="0033754A"/>
    <w:rsid w:val="0033757C"/>
    <w:rsid w:val="00337828"/>
    <w:rsid w:val="0033786F"/>
    <w:rsid w:val="00337B94"/>
    <w:rsid w:val="00337BCD"/>
    <w:rsid w:val="00337C3A"/>
    <w:rsid w:val="00337CBC"/>
    <w:rsid w:val="00337DC1"/>
    <w:rsid w:val="00337F32"/>
    <w:rsid w:val="00337F5B"/>
    <w:rsid w:val="00337F7D"/>
    <w:rsid w:val="003402AA"/>
    <w:rsid w:val="00340362"/>
    <w:rsid w:val="0034036D"/>
    <w:rsid w:val="003405D0"/>
    <w:rsid w:val="003405F9"/>
    <w:rsid w:val="00340697"/>
    <w:rsid w:val="003406C3"/>
    <w:rsid w:val="00340833"/>
    <w:rsid w:val="00340944"/>
    <w:rsid w:val="00340AC6"/>
    <w:rsid w:val="00340F57"/>
    <w:rsid w:val="00340FAB"/>
    <w:rsid w:val="0034111E"/>
    <w:rsid w:val="003412A5"/>
    <w:rsid w:val="003412C3"/>
    <w:rsid w:val="00341336"/>
    <w:rsid w:val="0034145A"/>
    <w:rsid w:val="00341A6E"/>
    <w:rsid w:val="00341CAC"/>
    <w:rsid w:val="00341D39"/>
    <w:rsid w:val="00341F6F"/>
    <w:rsid w:val="00341FE8"/>
    <w:rsid w:val="00341FF8"/>
    <w:rsid w:val="003421B1"/>
    <w:rsid w:val="00342368"/>
    <w:rsid w:val="00342473"/>
    <w:rsid w:val="003424BB"/>
    <w:rsid w:val="003426C0"/>
    <w:rsid w:val="00342799"/>
    <w:rsid w:val="0034291B"/>
    <w:rsid w:val="00342C55"/>
    <w:rsid w:val="00342CD9"/>
    <w:rsid w:val="00342D7D"/>
    <w:rsid w:val="00342FCC"/>
    <w:rsid w:val="00343476"/>
    <w:rsid w:val="00343519"/>
    <w:rsid w:val="003439C2"/>
    <w:rsid w:val="00343C2C"/>
    <w:rsid w:val="00343C93"/>
    <w:rsid w:val="00343D0A"/>
    <w:rsid w:val="00343D79"/>
    <w:rsid w:val="00343F06"/>
    <w:rsid w:val="00343F4A"/>
    <w:rsid w:val="00343FD4"/>
    <w:rsid w:val="0034406A"/>
    <w:rsid w:val="0034429B"/>
    <w:rsid w:val="00344564"/>
    <w:rsid w:val="00344669"/>
    <w:rsid w:val="0034479D"/>
    <w:rsid w:val="003447E6"/>
    <w:rsid w:val="00344985"/>
    <w:rsid w:val="00344B87"/>
    <w:rsid w:val="00344C03"/>
    <w:rsid w:val="00344CBB"/>
    <w:rsid w:val="00345033"/>
    <w:rsid w:val="003450BA"/>
    <w:rsid w:val="0034531A"/>
    <w:rsid w:val="0034536D"/>
    <w:rsid w:val="0034540B"/>
    <w:rsid w:val="0034548A"/>
    <w:rsid w:val="003454CE"/>
    <w:rsid w:val="00345695"/>
    <w:rsid w:val="00345697"/>
    <w:rsid w:val="00345755"/>
    <w:rsid w:val="003457CF"/>
    <w:rsid w:val="003459F8"/>
    <w:rsid w:val="00345ADA"/>
    <w:rsid w:val="00345B8E"/>
    <w:rsid w:val="00345CD9"/>
    <w:rsid w:val="00345DFE"/>
    <w:rsid w:val="00345F27"/>
    <w:rsid w:val="00345FC4"/>
    <w:rsid w:val="00346269"/>
    <w:rsid w:val="00346549"/>
    <w:rsid w:val="0034656C"/>
    <w:rsid w:val="003465DA"/>
    <w:rsid w:val="003465FF"/>
    <w:rsid w:val="00346883"/>
    <w:rsid w:val="00346884"/>
    <w:rsid w:val="003468D7"/>
    <w:rsid w:val="00346C28"/>
    <w:rsid w:val="00347208"/>
    <w:rsid w:val="0034729D"/>
    <w:rsid w:val="003473D5"/>
    <w:rsid w:val="003473DC"/>
    <w:rsid w:val="0034744C"/>
    <w:rsid w:val="003474C6"/>
    <w:rsid w:val="0034760F"/>
    <w:rsid w:val="003476B0"/>
    <w:rsid w:val="003478F9"/>
    <w:rsid w:val="0034794B"/>
    <w:rsid w:val="00347B74"/>
    <w:rsid w:val="00347C05"/>
    <w:rsid w:val="00347C0A"/>
    <w:rsid w:val="00347CE6"/>
    <w:rsid w:val="00347D6E"/>
    <w:rsid w:val="00350004"/>
    <w:rsid w:val="00350135"/>
    <w:rsid w:val="003501D4"/>
    <w:rsid w:val="0035038B"/>
    <w:rsid w:val="0035051A"/>
    <w:rsid w:val="00350832"/>
    <w:rsid w:val="00350895"/>
    <w:rsid w:val="003509C5"/>
    <w:rsid w:val="00350CF7"/>
    <w:rsid w:val="003512DB"/>
    <w:rsid w:val="00351567"/>
    <w:rsid w:val="00351765"/>
    <w:rsid w:val="00351918"/>
    <w:rsid w:val="00351A52"/>
    <w:rsid w:val="00351AC6"/>
    <w:rsid w:val="00351B17"/>
    <w:rsid w:val="00351D04"/>
    <w:rsid w:val="00351E6A"/>
    <w:rsid w:val="00351F7F"/>
    <w:rsid w:val="00352070"/>
    <w:rsid w:val="00352115"/>
    <w:rsid w:val="003521AD"/>
    <w:rsid w:val="003523DE"/>
    <w:rsid w:val="003524AC"/>
    <w:rsid w:val="003525A7"/>
    <w:rsid w:val="00352671"/>
    <w:rsid w:val="00352A56"/>
    <w:rsid w:val="00352BF8"/>
    <w:rsid w:val="00352C08"/>
    <w:rsid w:val="00352CB5"/>
    <w:rsid w:val="00352F27"/>
    <w:rsid w:val="00353040"/>
    <w:rsid w:val="003530A1"/>
    <w:rsid w:val="003531A7"/>
    <w:rsid w:val="0035326D"/>
    <w:rsid w:val="003532F8"/>
    <w:rsid w:val="0035335A"/>
    <w:rsid w:val="003534E6"/>
    <w:rsid w:val="003536F9"/>
    <w:rsid w:val="00353846"/>
    <w:rsid w:val="00353924"/>
    <w:rsid w:val="00353A43"/>
    <w:rsid w:val="00353C30"/>
    <w:rsid w:val="00353C6D"/>
    <w:rsid w:val="00353E58"/>
    <w:rsid w:val="00354104"/>
    <w:rsid w:val="003543EF"/>
    <w:rsid w:val="00354591"/>
    <w:rsid w:val="003545B0"/>
    <w:rsid w:val="00354785"/>
    <w:rsid w:val="003547F9"/>
    <w:rsid w:val="00354909"/>
    <w:rsid w:val="0035492B"/>
    <w:rsid w:val="00354B2E"/>
    <w:rsid w:val="00354D8C"/>
    <w:rsid w:val="00354F14"/>
    <w:rsid w:val="00355337"/>
    <w:rsid w:val="0035549C"/>
    <w:rsid w:val="003554EC"/>
    <w:rsid w:val="003554FB"/>
    <w:rsid w:val="0035550D"/>
    <w:rsid w:val="0035551F"/>
    <w:rsid w:val="003555C0"/>
    <w:rsid w:val="00355606"/>
    <w:rsid w:val="00355685"/>
    <w:rsid w:val="0035570B"/>
    <w:rsid w:val="00355811"/>
    <w:rsid w:val="003558FF"/>
    <w:rsid w:val="00355CDB"/>
    <w:rsid w:val="00355D16"/>
    <w:rsid w:val="00355E34"/>
    <w:rsid w:val="00356089"/>
    <w:rsid w:val="003561B5"/>
    <w:rsid w:val="003561FA"/>
    <w:rsid w:val="00356384"/>
    <w:rsid w:val="00356678"/>
    <w:rsid w:val="00356795"/>
    <w:rsid w:val="003567BA"/>
    <w:rsid w:val="00356810"/>
    <w:rsid w:val="003568EE"/>
    <w:rsid w:val="0035690E"/>
    <w:rsid w:val="00356AE9"/>
    <w:rsid w:val="00356D8E"/>
    <w:rsid w:val="00356D90"/>
    <w:rsid w:val="00356DD9"/>
    <w:rsid w:val="00356DF9"/>
    <w:rsid w:val="00356FA0"/>
    <w:rsid w:val="00356FB0"/>
    <w:rsid w:val="0035739D"/>
    <w:rsid w:val="003573B9"/>
    <w:rsid w:val="003574E3"/>
    <w:rsid w:val="003576DE"/>
    <w:rsid w:val="00357730"/>
    <w:rsid w:val="0035787E"/>
    <w:rsid w:val="00357911"/>
    <w:rsid w:val="00357914"/>
    <w:rsid w:val="00357A78"/>
    <w:rsid w:val="00357D3B"/>
    <w:rsid w:val="00357E1B"/>
    <w:rsid w:val="00360037"/>
    <w:rsid w:val="003606D7"/>
    <w:rsid w:val="00360738"/>
    <w:rsid w:val="00360824"/>
    <w:rsid w:val="00360890"/>
    <w:rsid w:val="003609EC"/>
    <w:rsid w:val="00360A5F"/>
    <w:rsid w:val="00360B31"/>
    <w:rsid w:val="00360CDE"/>
    <w:rsid w:val="00360E27"/>
    <w:rsid w:val="00360E7A"/>
    <w:rsid w:val="003610A5"/>
    <w:rsid w:val="003610F1"/>
    <w:rsid w:val="003610F4"/>
    <w:rsid w:val="003610F8"/>
    <w:rsid w:val="00361125"/>
    <w:rsid w:val="0036112F"/>
    <w:rsid w:val="0036117B"/>
    <w:rsid w:val="0036128D"/>
    <w:rsid w:val="00361333"/>
    <w:rsid w:val="003613A3"/>
    <w:rsid w:val="00361536"/>
    <w:rsid w:val="00361556"/>
    <w:rsid w:val="003616DB"/>
    <w:rsid w:val="003618B3"/>
    <w:rsid w:val="003619CF"/>
    <w:rsid w:val="00361A69"/>
    <w:rsid w:val="00361C7B"/>
    <w:rsid w:val="00361CCC"/>
    <w:rsid w:val="00361CD2"/>
    <w:rsid w:val="00361D9E"/>
    <w:rsid w:val="00362059"/>
    <w:rsid w:val="00362108"/>
    <w:rsid w:val="003622AD"/>
    <w:rsid w:val="0036231F"/>
    <w:rsid w:val="003624E4"/>
    <w:rsid w:val="0036277A"/>
    <w:rsid w:val="00362816"/>
    <w:rsid w:val="00362852"/>
    <w:rsid w:val="00362881"/>
    <w:rsid w:val="00362BC8"/>
    <w:rsid w:val="00362C2F"/>
    <w:rsid w:val="00362DCE"/>
    <w:rsid w:val="00362E8E"/>
    <w:rsid w:val="00362EFE"/>
    <w:rsid w:val="00362F14"/>
    <w:rsid w:val="00362F76"/>
    <w:rsid w:val="00362F77"/>
    <w:rsid w:val="003632EE"/>
    <w:rsid w:val="003634C0"/>
    <w:rsid w:val="003634D1"/>
    <w:rsid w:val="0036353D"/>
    <w:rsid w:val="00363649"/>
    <w:rsid w:val="00363A0C"/>
    <w:rsid w:val="00363A51"/>
    <w:rsid w:val="00363C4D"/>
    <w:rsid w:val="00363C72"/>
    <w:rsid w:val="00363D93"/>
    <w:rsid w:val="00363EEA"/>
    <w:rsid w:val="00364033"/>
    <w:rsid w:val="0036409C"/>
    <w:rsid w:val="003640AC"/>
    <w:rsid w:val="003643E5"/>
    <w:rsid w:val="00364611"/>
    <w:rsid w:val="00364811"/>
    <w:rsid w:val="003649C6"/>
    <w:rsid w:val="003649E7"/>
    <w:rsid w:val="00364AE7"/>
    <w:rsid w:val="00364B00"/>
    <w:rsid w:val="00364B2A"/>
    <w:rsid w:val="00364B33"/>
    <w:rsid w:val="00364B8D"/>
    <w:rsid w:val="00364BEF"/>
    <w:rsid w:val="00364DE7"/>
    <w:rsid w:val="00364DF4"/>
    <w:rsid w:val="00364EEC"/>
    <w:rsid w:val="00364F16"/>
    <w:rsid w:val="0036501E"/>
    <w:rsid w:val="003651C2"/>
    <w:rsid w:val="0036562F"/>
    <w:rsid w:val="003657CE"/>
    <w:rsid w:val="003657F7"/>
    <w:rsid w:val="00365B1E"/>
    <w:rsid w:val="00365C5E"/>
    <w:rsid w:val="00365CE1"/>
    <w:rsid w:val="00366002"/>
    <w:rsid w:val="003662A6"/>
    <w:rsid w:val="0036659B"/>
    <w:rsid w:val="00366795"/>
    <w:rsid w:val="003667E4"/>
    <w:rsid w:val="0036684F"/>
    <w:rsid w:val="003669D2"/>
    <w:rsid w:val="00366A9F"/>
    <w:rsid w:val="00366CC7"/>
    <w:rsid w:val="00366D50"/>
    <w:rsid w:val="00366D86"/>
    <w:rsid w:val="00366D92"/>
    <w:rsid w:val="00366EE7"/>
    <w:rsid w:val="00366FB4"/>
    <w:rsid w:val="00367187"/>
    <w:rsid w:val="003671BB"/>
    <w:rsid w:val="003672CB"/>
    <w:rsid w:val="00367304"/>
    <w:rsid w:val="00367356"/>
    <w:rsid w:val="003673EF"/>
    <w:rsid w:val="00367420"/>
    <w:rsid w:val="00367507"/>
    <w:rsid w:val="0036755A"/>
    <w:rsid w:val="003675EC"/>
    <w:rsid w:val="003679FC"/>
    <w:rsid w:val="00367C39"/>
    <w:rsid w:val="00367F0C"/>
    <w:rsid w:val="00367FE8"/>
    <w:rsid w:val="003700C7"/>
    <w:rsid w:val="00370718"/>
    <w:rsid w:val="0037086A"/>
    <w:rsid w:val="00370906"/>
    <w:rsid w:val="0037093D"/>
    <w:rsid w:val="0037098A"/>
    <w:rsid w:val="00370A46"/>
    <w:rsid w:val="00370BB3"/>
    <w:rsid w:val="00370CA3"/>
    <w:rsid w:val="00370DF2"/>
    <w:rsid w:val="00370E6B"/>
    <w:rsid w:val="00370E84"/>
    <w:rsid w:val="003710CA"/>
    <w:rsid w:val="003711AF"/>
    <w:rsid w:val="00371204"/>
    <w:rsid w:val="00371263"/>
    <w:rsid w:val="003712FE"/>
    <w:rsid w:val="00371498"/>
    <w:rsid w:val="003714E5"/>
    <w:rsid w:val="00371625"/>
    <w:rsid w:val="0037176D"/>
    <w:rsid w:val="003718CD"/>
    <w:rsid w:val="0037191C"/>
    <w:rsid w:val="00371A33"/>
    <w:rsid w:val="00371BF1"/>
    <w:rsid w:val="00371CC3"/>
    <w:rsid w:val="00371DB0"/>
    <w:rsid w:val="00371E1F"/>
    <w:rsid w:val="00371FA4"/>
    <w:rsid w:val="00371FB7"/>
    <w:rsid w:val="0037203F"/>
    <w:rsid w:val="0037206F"/>
    <w:rsid w:val="00372267"/>
    <w:rsid w:val="00372326"/>
    <w:rsid w:val="00372574"/>
    <w:rsid w:val="00372710"/>
    <w:rsid w:val="003728A9"/>
    <w:rsid w:val="0037290C"/>
    <w:rsid w:val="00372BDC"/>
    <w:rsid w:val="00372C60"/>
    <w:rsid w:val="00372C63"/>
    <w:rsid w:val="00372CB2"/>
    <w:rsid w:val="00372DD0"/>
    <w:rsid w:val="00372E53"/>
    <w:rsid w:val="00373062"/>
    <w:rsid w:val="00373142"/>
    <w:rsid w:val="003731E7"/>
    <w:rsid w:val="003731EB"/>
    <w:rsid w:val="0037357F"/>
    <w:rsid w:val="00373995"/>
    <w:rsid w:val="003739CB"/>
    <w:rsid w:val="00373A21"/>
    <w:rsid w:val="00373A72"/>
    <w:rsid w:val="00373FD9"/>
    <w:rsid w:val="0037406D"/>
    <w:rsid w:val="00374086"/>
    <w:rsid w:val="00374138"/>
    <w:rsid w:val="003741C6"/>
    <w:rsid w:val="003741E7"/>
    <w:rsid w:val="00374245"/>
    <w:rsid w:val="0037426B"/>
    <w:rsid w:val="0037451C"/>
    <w:rsid w:val="00374726"/>
    <w:rsid w:val="00374780"/>
    <w:rsid w:val="00374801"/>
    <w:rsid w:val="003748A3"/>
    <w:rsid w:val="003748D0"/>
    <w:rsid w:val="00374942"/>
    <w:rsid w:val="003749F7"/>
    <w:rsid w:val="00374C11"/>
    <w:rsid w:val="00374C7D"/>
    <w:rsid w:val="00374D47"/>
    <w:rsid w:val="00374D9E"/>
    <w:rsid w:val="00374DB7"/>
    <w:rsid w:val="00374F8F"/>
    <w:rsid w:val="00375044"/>
    <w:rsid w:val="003751E1"/>
    <w:rsid w:val="003752ED"/>
    <w:rsid w:val="003753A4"/>
    <w:rsid w:val="0037551B"/>
    <w:rsid w:val="003755AA"/>
    <w:rsid w:val="003756DD"/>
    <w:rsid w:val="00375733"/>
    <w:rsid w:val="003758A6"/>
    <w:rsid w:val="00375938"/>
    <w:rsid w:val="0037599C"/>
    <w:rsid w:val="00375A92"/>
    <w:rsid w:val="00375B97"/>
    <w:rsid w:val="00375C33"/>
    <w:rsid w:val="00375E89"/>
    <w:rsid w:val="00375F4B"/>
    <w:rsid w:val="00375FA7"/>
    <w:rsid w:val="003761C6"/>
    <w:rsid w:val="0037620F"/>
    <w:rsid w:val="003764B4"/>
    <w:rsid w:val="003765DB"/>
    <w:rsid w:val="00376776"/>
    <w:rsid w:val="003767B4"/>
    <w:rsid w:val="003769A9"/>
    <w:rsid w:val="00376A76"/>
    <w:rsid w:val="00376B15"/>
    <w:rsid w:val="00376C1A"/>
    <w:rsid w:val="00376C86"/>
    <w:rsid w:val="00376C92"/>
    <w:rsid w:val="00376DFB"/>
    <w:rsid w:val="00376FCF"/>
    <w:rsid w:val="00377065"/>
    <w:rsid w:val="00377070"/>
    <w:rsid w:val="00377242"/>
    <w:rsid w:val="0037728C"/>
    <w:rsid w:val="00377298"/>
    <w:rsid w:val="003772E9"/>
    <w:rsid w:val="003773A3"/>
    <w:rsid w:val="003773FF"/>
    <w:rsid w:val="0037741D"/>
    <w:rsid w:val="003774C5"/>
    <w:rsid w:val="003774D7"/>
    <w:rsid w:val="0037756F"/>
    <w:rsid w:val="00377576"/>
    <w:rsid w:val="0037759F"/>
    <w:rsid w:val="003779BC"/>
    <w:rsid w:val="00377BF9"/>
    <w:rsid w:val="00377DB0"/>
    <w:rsid w:val="00377DE4"/>
    <w:rsid w:val="00377F72"/>
    <w:rsid w:val="00380230"/>
    <w:rsid w:val="00380276"/>
    <w:rsid w:val="003802D8"/>
    <w:rsid w:val="003804AC"/>
    <w:rsid w:val="0038056F"/>
    <w:rsid w:val="003806BB"/>
    <w:rsid w:val="0038089C"/>
    <w:rsid w:val="00380BB5"/>
    <w:rsid w:val="00380BC9"/>
    <w:rsid w:val="00380ED1"/>
    <w:rsid w:val="003810F9"/>
    <w:rsid w:val="00381332"/>
    <w:rsid w:val="00381419"/>
    <w:rsid w:val="00381454"/>
    <w:rsid w:val="0038165E"/>
    <w:rsid w:val="003816A5"/>
    <w:rsid w:val="00381875"/>
    <w:rsid w:val="003818D4"/>
    <w:rsid w:val="00381C1D"/>
    <w:rsid w:val="00381C45"/>
    <w:rsid w:val="00381DAB"/>
    <w:rsid w:val="00381EF2"/>
    <w:rsid w:val="00381F4B"/>
    <w:rsid w:val="003821F2"/>
    <w:rsid w:val="003822F0"/>
    <w:rsid w:val="0038235E"/>
    <w:rsid w:val="0038242B"/>
    <w:rsid w:val="00382436"/>
    <w:rsid w:val="003824B4"/>
    <w:rsid w:val="003824FE"/>
    <w:rsid w:val="00382573"/>
    <w:rsid w:val="003826A3"/>
    <w:rsid w:val="00382877"/>
    <w:rsid w:val="00382A45"/>
    <w:rsid w:val="00382C31"/>
    <w:rsid w:val="00382E12"/>
    <w:rsid w:val="00382F39"/>
    <w:rsid w:val="0038338C"/>
    <w:rsid w:val="003834EC"/>
    <w:rsid w:val="00383520"/>
    <w:rsid w:val="00383521"/>
    <w:rsid w:val="00383571"/>
    <w:rsid w:val="0038367B"/>
    <w:rsid w:val="00383755"/>
    <w:rsid w:val="003838B5"/>
    <w:rsid w:val="00383D40"/>
    <w:rsid w:val="00383E12"/>
    <w:rsid w:val="00383E7E"/>
    <w:rsid w:val="00383FBE"/>
    <w:rsid w:val="00383FD7"/>
    <w:rsid w:val="00384099"/>
    <w:rsid w:val="0038415A"/>
    <w:rsid w:val="00384362"/>
    <w:rsid w:val="00384376"/>
    <w:rsid w:val="00384403"/>
    <w:rsid w:val="00384568"/>
    <w:rsid w:val="0038484A"/>
    <w:rsid w:val="00384A1B"/>
    <w:rsid w:val="00384B26"/>
    <w:rsid w:val="00384B79"/>
    <w:rsid w:val="00384DDA"/>
    <w:rsid w:val="00384FB7"/>
    <w:rsid w:val="00385018"/>
    <w:rsid w:val="003852B9"/>
    <w:rsid w:val="003852CF"/>
    <w:rsid w:val="00385362"/>
    <w:rsid w:val="00385464"/>
    <w:rsid w:val="003854E7"/>
    <w:rsid w:val="003854E9"/>
    <w:rsid w:val="003856C1"/>
    <w:rsid w:val="00385912"/>
    <w:rsid w:val="0038592D"/>
    <w:rsid w:val="0038594C"/>
    <w:rsid w:val="00385AE5"/>
    <w:rsid w:val="00385BE2"/>
    <w:rsid w:val="00385ECA"/>
    <w:rsid w:val="00385F1B"/>
    <w:rsid w:val="00386208"/>
    <w:rsid w:val="0038633A"/>
    <w:rsid w:val="00386368"/>
    <w:rsid w:val="003864C0"/>
    <w:rsid w:val="003864D7"/>
    <w:rsid w:val="003864E1"/>
    <w:rsid w:val="0038650F"/>
    <w:rsid w:val="0038657B"/>
    <w:rsid w:val="00386952"/>
    <w:rsid w:val="00386B63"/>
    <w:rsid w:val="00386BF3"/>
    <w:rsid w:val="00386C01"/>
    <w:rsid w:val="00386F65"/>
    <w:rsid w:val="003870ED"/>
    <w:rsid w:val="00387199"/>
    <w:rsid w:val="003873D9"/>
    <w:rsid w:val="00387453"/>
    <w:rsid w:val="0038766D"/>
    <w:rsid w:val="0038777F"/>
    <w:rsid w:val="00387A21"/>
    <w:rsid w:val="00387BBE"/>
    <w:rsid w:val="00387CC4"/>
    <w:rsid w:val="00387D10"/>
    <w:rsid w:val="00387EF7"/>
    <w:rsid w:val="00390425"/>
    <w:rsid w:val="00390458"/>
    <w:rsid w:val="0039053F"/>
    <w:rsid w:val="00390722"/>
    <w:rsid w:val="003907F9"/>
    <w:rsid w:val="00390809"/>
    <w:rsid w:val="00390897"/>
    <w:rsid w:val="00390A3E"/>
    <w:rsid w:val="00390AAC"/>
    <w:rsid w:val="00390EEB"/>
    <w:rsid w:val="00390FC6"/>
    <w:rsid w:val="00391110"/>
    <w:rsid w:val="00391239"/>
    <w:rsid w:val="00391272"/>
    <w:rsid w:val="003913C1"/>
    <w:rsid w:val="003913EC"/>
    <w:rsid w:val="00391436"/>
    <w:rsid w:val="00391454"/>
    <w:rsid w:val="00391497"/>
    <w:rsid w:val="00391636"/>
    <w:rsid w:val="00391826"/>
    <w:rsid w:val="00391898"/>
    <w:rsid w:val="0039196A"/>
    <w:rsid w:val="00391B87"/>
    <w:rsid w:val="00391BA8"/>
    <w:rsid w:val="00392117"/>
    <w:rsid w:val="0039211C"/>
    <w:rsid w:val="0039229F"/>
    <w:rsid w:val="003929D8"/>
    <w:rsid w:val="00392B61"/>
    <w:rsid w:val="00392FC4"/>
    <w:rsid w:val="00393043"/>
    <w:rsid w:val="003930D2"/>
    <w:rsid w:val="003935D4"/>
    <w:rsid w:val="00393870"/>
    <w:rsid w:val="00393BA8"/>
    <w:rsid w:val="00393CE2"/>
    <w:rsid w:val="00393CE5"/>
    <w:rsid w:val="00393D75"/>
    <w:rsid w:val="00393DF7"/>
    <w:rsid w:val="00393EEB"/>
    <w:rsid w:val="00393F71"/>
    <w:rsid w:val="00393FBC"/>
    <w:rsid w:val="00394039"/>
    <w:rsid w:val="00394055"/>
    <w:rsid w:val="00394118"/>
    <w:rsid w:val="00394138"/>
    <w:rsid w:val="0039423A"/>
    <w:rsid w:val="003942A4"/>
    <w:rsid w:val="00394305"/>
    <w:rsid w:val="00394403"/>
    <w:rsid w:val="003945EB"/>
    <w:rsid w:val="003946A6"/>
    <w:rsid w:val="00394709"/>
    <w:rsid w:val="00394881"/>
    <w:rsid w:val="003948C3"/>
    <w:rsid w:val="00394915"/>
    <w:rsid w:val="00394AFB"/>
    <w:rsid w:val="0039501F"/>
    <w:rsid w:val="00395032"/>
    <w:rsid w:val="0039519B"/>
    <w:rsid w:val="00395277"/>
    <w:rsid w:val="00395428"/>
    <w:rsid w:val="00395464"/>
    <w:rsid w:val="003954B7"/>
    <w:rsid w:val="00395728"/>
    <w:rsid w:val="00395AF8"/>
    <w:rsid w:val="00395CEE"/>
    <w:rsid w:val="00395E1D"/>
    <w:rsid w:val="00395EA0"/>
    <w:rsid w:val="003960E7"/>
    <w:rsid w:val="00396701"/>
    <w:rsid w:val="00396961"/>
    <w:rsid w:val="00396970"/>
    <w:rsid w:val="00396B11"/>
    <w:rsid w:val="00396CB2"/>
    <w:rsid w:val="00396DED"/>
    <w:rsid w:val="00396E52"/>
    <w:rsid w:val="00397042"/>
    <w:rsid w:val="0039713D"/>
    <w:rsid w:val="00397259"/>
    <w:rsid w:val="00397335"/>
    <w:rsid w:val="00397536"/>
    <w:rsid w:val="003975DB"/>
    <w:rsid w:val="003979D4"/>
    <w:rsid w:val="00397A54"/>
    <w:rsid w:val="00397A7F"/>
    <w:rsid w:val="00397B25"/>
    <w:rsid w:val="00397B70"/>
    <w:rsid w:val="003A00C9"/>
    <w:rsid w:val="003A01E7"/>
    <w:rsid w:val="003A05E6"/>
    <w:rsid w:val="003A062B"/>
    <w:rsid w:val="003A0727"/>
    <w:rsid w:val="003A07D7"/>
    <w:rsid w:val="003A09C3"/>
    <w:rsid w:val="003A0A8E"/>
    <w:rsid w:val="003A0D3F"/>
    <w:rsid w:val="003A0D6D"/>
    <w:rsid w:val="003A0DD7"/>
    <w:rsid w:val="003A0E20"/>
    <w:rsid w:val="003A110C"/>
    <w:rsid w:val="003A1181"/>
    <w:rsid w:val="003A11F9"/>
    <w:rsid w:val="003A13D7"/>
    <w:rsid w:val="003A141F"/>
    <w:rsid w:val="003A1641"/>
    <w:rsid w:val="003A16E8"/>
    <w:rsid w:val="003A1783"/>
    <w:rsid w:val="003A189A"/>
    <w:rsid w:val="003A1900"/>
    <w:rsid w:val="003A1971"/>
    <w:rsid w:val="003A198B"/>
    <w:rsid w:val="003A19AC"/>
    <w:rsid w:val="003A1AA0"/>
    <w:rsid w:val="003A1B28"/>
    <w:rsid w:val="003A1B64"/>
    <w:rsid w:val="003A1BAD"/>
    <w:rsid w:val="003A1BF2"/>
    <w:rsid w:val="003A1CA5"/>
    <w:rsid w:val="003A1D1A"/>
    <w:rsid w:val="003A2040"/>
    <w:rsid w:val="003A2618"/>
    <w:rsid w:val="003A26AC"/>
    <w:rsid w:val="003A28A4"/>
    <w:rsid w:val="003A2A7E"/>
    <w:rsid w:val="003A2B90"/>
    <w:rsid w:val="003A2E2D"/>
    <w:rsid w:val="003A2E89"/>
    <w:rsid w:val="003A30DA"/>
    <w:rsid w:val="003A3171"/>
    <w:rsid w:val="003A32C6"/>
    <w:rsid w:val="003A32D4"/>
    <w:rsid w:val="003A335E"/>
    <w:rsid w:val="003A344F"/>
    <w:rsid w:val="003A350D"/>
    <w:rsid w:val="003A3557"/>
    <w:rsid w:val="003A3599"/>
    <w:rsid w:val="003A3756"/>
    <w:rsid w:val="003A37B3"/>
    <w:rsid w:val="003A37D8"/>
    <w:rsid w:val="003A385F"/>
    <w:rsid w:val="003A3945"/>
    <w:rsid w:val="003A3A67"/>
    <w:rsid w:val="003A3D7D"/>
    <w:rsid w:val="003A3DF0"/>
    <w:rsid w:val="003A3FDA"/>
    <w:rsid w:val="003A4026"/>
    <w:rsid w:val="003A413D"/>
    <w:rsid w:val="003A41FC"/>
    <w:rsid w:val="003A42BE"/>
    <w:rsid w:val="003A434D"/>
    <w:rsid w:val="003A436A"/>
    <w:rsid w:val="003A439E"/>
    <w:rsid w:val="003A4591"/>
    <w:rsid w:val="003A4765"/>
    <w:rsid w:val="003A4800"/>
    <w:rsid w:val="003A48D4"/>
    <w:rsid w:val="003A493F"/>
    <w:rsid w:val="003A4979"/>
    <w:rsid w:val="003A4AD6"/>
    <w:rsid w:val="003A4B8E"/>
    <w:rsid w:val="003A4CAB"/>
    <w:rsid w:val="003A4CBA"/>
    <w:rsid w:val="003A4D82"/>
    <w:rsid w:val="003A4EB0"/>
    <w:rsid w:val="003A4FC7"/>
    <w:rsid w:val="003A5017"/>
    <w:rsid w:val="003A50D0"/>
    <w:rsid w:val="003A538C"/>
    <w:rsid w:val="003A5391"/>
    <w:rsid w:val="003A5406"/>
    <w:rsid w:val="003A545B"/>
    <w:rsid w:val="003A54BB"/>
    <w:rsid w:val="003A56CA"/>
    <w:rsid w:val="003A56D8"/>
    <w:rsid w:val="003A57A1"/>
    <w:rsid w:val="003A57E8"/>
    <w:rsid w:val="003A57F1"/>
    <w:rsid w:val="003A58FC"/>
    <w:rsid w:val="003A5A58"/>
    <w:rsid w:val="003A5A7E"/>
    <w:rsid w:val="003A5B85"/>
    <w:rsid w:val="003A5D47"/>
    <w:rsid w:val="003A5DFC"/>
    <w:rsid w:val="003A608A"/>
    <w:rsid w:val="003A60EC"/>
    <w:rsid w:val="003A6341"/>
    <w:rsid w:val="003A63B0"/>
    <w:rsid w:val="003A6401"/>
    <w:rsid w:val="003A652C"/>
    <w:rsid w:val="003A654A"/>
    <w:rsid w:val="003A6577"/>
    <w:rsid w:val="003A66A8"/>
    <w:rsid w:val="003A6741"/>
    <w:rsid w:val="003A6A97"/>
    <w:rsid w:val="003A6AB8"/>
    <w:rsid w:val="003A6B19"/>
    <w:rsid w:val="003A6B37"/>
    <w:rsid w:val="003A6CD1"/>
    <w:rsid w:val="003A6D96"/>
    <w:rsid w:val="003A6E9B"/>
    <w:rsid w:val="003A6F06"/>
    <w:rsid w:val="003A6F13"/>
    <w:rsid w:val="003A6F21"/>
    <w:rsid w:val="003A7077"/>
    <w:rsid w:val="003A75E6"/>
    <w:rsid w:val="003A7636"/>
    <w:rsid w:val="003A7726"/>
    <w:rsid w:val="003A77D1"/>
    <w:rsid w:val="003A77F0"/>
    <w:rsid w:val="003A7A19"/>
    <w:rsid w:val="003A7A9C"/>
    <w:rsid w:val="003A7AB6"/>
    <w:rsid w:val="003A7B92"/>
    <w:rsid w:val="003A7C73"/>
    <w:rsid w:val="003A7E14"/>
    <w:rsid w:val="003A7E80"/>
    <w:rsid w:val="003A7ED8"/>
    <w:rsid w:val="003A7EF0"/>
    <w:rsid w:val="003A7F7F"/>
    <w:rsid w:val="003B0082"/>
    <w:rsid w:val="003B0321"/>
    <w:rsid w:val="003B037B"/>
    <w:rsid w:val="003B039D"/>
    <w:rsid w:val="003B03E0"/>
    <w:rsid w:val="003B0422"/>
    <w:rsid w:val="003B04B7"/>
    <w:rsid w:val="003B060E"/>
    <w:rsid w:val="003B06D0"/>
    <w:rsid w:val="003B06FF"/>
    <w:rsid w:val="003B0872"/>
    <w:rsid w:val="003B0D90"/>
    <w:rsid w:val="003B0FA5"/>
    <w:rsid w:val="003B0FC4"/>
    <w:rsid w:val="003B101A"/>
    <w:rsid w:val="003B105F"/>
    <w:rsid w:val="003B1325"/>
    <w:rsid w:val="003B13B9"/>
    <w:rsid w:val="003B13EF"/>
    <w:rsid w:val="003B1584"/>
    <w:rsid w:val="003B1646"/>
    <w:rsid w:val="003B16B4"/>
    <w:rsid w:val="003B1708"/>
    <w:rsid w:val="003B1712"/>
    <w:rsid w:val="003B1767"/>
    <w:rsid w:val="003B196E"/>
    <w:rsid w:val="003B1BCB"/>
    <w:rsid w:val="003B1C2D"/>
    <w:rsid w:val="003B1F64"/>
    <w:rsid w:val="003B1FFA"/>
    <w:rsid w:val="003B211C"/>
    <w:rsid w:val="003B22D7"/>
    <w:rsid w:val="003B2431"/>
    <w:rsid w:val="003B25FD"/>
    <w:rsid w:val="003B261D"/>
    <w:rsid w:val="003B26BF"/>
    <w:rsid w:val="003B271D"/>
    <w:rsid w:val="003B2894"/>
    <w:rsid w:val="003B2BF1"/>
    <w:rsid w:val="003B2CE8"/>
    <w:rsid w:val="003B301E"/>
    <w:rsid w:val="003B31E7"/>
    <w:rsid w:val="003B331B"/>
    <w:rsid w:val="003B346B"/>
    <w:rsid w:val="003B362D"/>
    <w:rsid w:val="003B37C3"/>
    <w:rsid w:val="003B3A73"/>
    <w:rsid w:val="003B3C24"/>
    <w:rsid w:val="003B3C3B"/>
    <w:rsid w:val="003B3D19"/>
    <w:rsid w:val="003B3F62"/>
    <w:rsid w:val="003B3F90"/>
    <w:rsid w:val="003B4061"/>
    <w:rsid w:val="003B4113"/>
    <w:rsid w:val="003B427B"/>
    <w:rsid w:val="003B4309"/>
    <w:rsid w:val="003B43D9"/>
    <w:rsid w:val="003B491F"/>
    <w:rsid w:val="003B4981"/>
    <w:rsid w:val="003B4A8E"/>
    <w:rsid w:val="003B4D62"/>
    <w:rsid w:val="003B4DF8"/>
    <w:rsid w:val="003B4DFD"/>
    <w:rsid w:val="003B4F72"/>
    <w:rsid w:val="003B50B7"/>
    <w:rsid w:val="003B55A6"/>
    <w:rsid w:val="003B5700"/>
    <w:rsid w:val="003B57B8"/>
    <w:rsid w:val="003B57C7"/>
    <w:rsid w:val="003B597D"/>
    <w:rsid w:val="003B5A39"/>
    <w:rsid w:val="003B5BAC"/>
    <w:rsid w:val="003B5BBD"/>
    <w:rsid w:val="003B5BE9"/>
    <w:rsid w:val="003B5CAE"/>
    <w:rsid w:val="003B5D93"/>
    <w:rsid w:val="003B5E2C"/>
    <w:rsid w:val="003B5EBF"/>
    <w:rsid w:val="003B5F80"/>
    <w:rsid w:val="003B6035"/>
    <w:rsid w:val="003B6108"/>
    <w:rsid w:val="003B610A"/>
    <w:rsid w:val="003B61DF"/>
    <w:rsid w:val="003B627C"/>
    <w:rsid w:val="003B63CA"/>
    <w:rsid w:val="003B64B1"/>
    <w:rsid w:val="003B6515"/>
    <w:rsid w:val="003B65A0"/>
    <w:rsid w:val="003B65BE"/>
    <w:rsid w:val="003B6641"/>
    <w:rsid w:val="003B6924"/>
    <w:rsid w:val="003B6B8B"/>
    <w:rsid w:val="003B6C1D"/>
    <w:rsid w:val="003B6FD0"/>
    <w:rsid w:val="003B713F"/>
    <w:rsid w:val="003B71A7"/>
    <w:rsid w:val="003B71DE"/>
    <w:rsid w:val="003B72B3"/>
    <w:rsid w:val="003B731C"/>
    <w:rsid w:val="003B7475"/>
    <w:rsid w:val="003B74E8"/>
    <w:rsid w:val="003B75BE"/>
    <w:rsid w:val="003B77A1"/>
    <w:rsid w:val="003B77B9"/>
    <w:rsid w:val="003B7891"/>
    <w:rsid w:val="003B7930"/>
    <w:rsid w:val="003B79D9"/>
    <w:rsid w:val="003B7C3C"/>
    <w:rsid w:val="003B7C3E"/>
    <w:rsid w:val="003B7C80"/>
    <w:rsid w:val="003B7D51"/>
    <w:rsid w:val="003B7D98"/>
    <w:rsid w:val="003B7E69"/>
    <w:rsid w:val="003B7E76"/>
    <w:rsid w:val="003C0216"/>
    <w:rsid w:val="003C0356"/>
    <w:rsid w:val="003C03EB"/>
    <w:rsid w:val="003C03F7"/>
    <w:rsid w:val="003C0514"/>
    <w:rsid w:val="003C0539"/>
    <w:rsid w:val="003C05AD"/>
    <w:rsid w:val="003C0720"/>
    <w:rsid w:val="003C0786"/>
    <w:rsid w:val="003C078A"/>
    <w:rsid w:val="003C079A"/>
    <w:rsid w:val="003C0899"/>
    <w:rsid w:val="003C0911"/>
    <w:rsid w:val="003C0A91"/>
    <w:rsid w:val="003C0B5D"/>
    <w:rsid w:val="003C0BEF"/>
    <w:rsid w:val="003C0C12"/>
    <w:rsid w:val="003C0C7A"/>
    <w:rsid w:val="003C0D02"/>
    <w:rsid w:val="003C0E34"/>
    <w:rsid w:val="003C1020"/>
    <w:rsid w:val="003C1226"/>
    <w:rsid w:val="003C15B4"/>
    <w:rsid w:val="003C17A0"/>
    <w:rsid w:val="003C1A7D"/>
    <w:rsid w:val="003C1D27"/>
    <w:rsid w:val="003C1D67"/>
    <w:rsid w:val="003C1DF7"/>
    <w:rsid w:val="003C1E32"/>
    <w:rsid w:val="003C1F81"/>
    <w:rsid w:val="003C2094"/>
    <w:rsid w:val="003C20E7"/>
    <w:rsid w:val="003C2220"/>
    <w:rsid w:val="003C235B"/>
    <w:rsid w:val="003C260E"/>
    <w:rsid w:val="003C261C"/>
    <w:rsid w:val="003C2840"/>
    <w:rsid w:val="003C28E5"/>
    <w:rsid w:val="003C298E"/>
    <w:rsid w:val="003C29DC"/>
    <w:rsid w:val="003C2BA9"/>
    <w:rsid w:val="003C2C21"/>
    <w:rsid w:val="003C2C6D"/>
    <w:rsid w:val="003C2CDE"/>
    <w:rsid w:val="003C2DEA"/>
    <w:rsid w:val="003C2EB7"/>
    <w:rsid w:val="003C30E5"/>
    <w:rsid w:val="003C312C"/>
    <w:rsid w:val="003C3171"/>
    <w:rsid w:val="003C31AF"/>
    <w:rsid w:val="003C355B"/>
    <w:rsid w:val="003C3622"/>
    <w:rsid w:val="003C3923"/>
    <w:rsid w:val="003C392E"/>
    <w:rsid w:val="003C3BB7"/>
    <w:rsid w:val="003C3D96"/>
    <w:rsid w:val="003C3E15"/>
    <w:rsid w:val="003C3F3D"/>
    <w:rsid w:val="003C3FD9"/>
    <w:rsid w:val="003C41BF"/>
    <w:rsid w:val="003C42FA"/>
    <w:rsid w:val="003C43F1"/>
    <w:rsid w:val="003C43F3"/>
    <w:rsid w:val="003C440C"/>
    <w:rsid w:val="003C44AA"/>
    <w:rsid w:val="003C4504"/>
    <w:rsid w:val="003C4746"/>
    <w:rsid w:val="003C48B3"/>
    <w:rsid w:val="003C497C"/>
    <w:rsid w:val="003C49AB"/>
    <w:rsid w:val="003C4A5B"/>
    <w:rsid w:val="003C4C4F"/>
    <w:rsid w:val="003C4C53"/>
    <w:rsid w:val="003C4D2F"/>
    <w:rsid w:val="003C4F2A"/>
    <w:rsid w:val="003C4F61"/>
    <w:rsid w:val="003C4F67"/>
    <w:rsid w:val="003C50A3"/>
    <w:rsid w:val="003C5133"/>
    <w:rsid w:val="003C5149"/>
    <w:rsid w:val="003C51F3"/>
    <w:rsid w:val="003C52A9"/>
    <w:rsid w:val="003C531E"/>
    <w:rsid w:val="003C5494"/>
    <w:rsid w:val="003C5495"/>
    <w:rsid w:val="003C54D8"/>
    <w:rsid w:val="003C5685"/>
    <w:rsid w:val="003C57CE"/>
    <w:rsid w:val="003C5862"/>
    <w:rsid w:val="003C5A6B"/>
    <w:rsid w:val="003C5A85"/>
    <w:rsid w:val="003C5AD3"/>
    <w:rsid w:val="003C5BAB"/>
    <w:rsid w:val="003C5C31"/>
    <w:rsid w:val="003C5C75"/>
    <w:rsid w:val="003C5E56"/>
    <w:rsid w:val="003C5F34"/>
    <w:rsid w:val="003C642E"/>
    <w:rsid w:val="003C64EB"/>
    <w:rsid w:val="003C6640"/>
    <w:rsid w:val="003C6709"/>
    <w:rsid w:val="003C69CE"/>
    <w:rsid w:val="003C69D0"/>
    <w:rsid w:val="003C6A28"/>
    <w:rsid w:val="003C6AB2"/>
    <w:rsid w:val="003C6ABB"/>
    <w:rsid w:val="003C6E53"/>
    <w:rsid w:val="003C6E59"/>
    <w:rsid w:val="003C70AE"/>
    <w:rsid w:val="003C70F6"/>
    <w:rsid w:val="003C711A"/>
    <w:rsid w:val="003C718D"/>
    <w:rsid w:val="003C73A5"/>
    <w:rsid w:val="003C73A9"/>
    <w:rsid w:val="003C750E"/>
    <w:rsid w:val="003C75BC"/>
    <w:rsid w:val="003C7617"/>
    <w:rsid w:val="003C76AF"/>
    <w:rsid w:val="003C76DF"/>
    <w:rsid w:val="003C78BF"/>
    <w:rsid w:val="003C7942"/>
    <w:rsid w:val="003C7A17"/>
    <w:rsid w:val="003C7A55"/>
    <w:rsid w:val="003C7A7D"/>
    <w:rsid w:val="003C7AA3"/>
    <w:rsid w:val="003C7B0B"/>
    <w:rsid w:val="003C7CC6"/>
    <w:rsid w:val="003C7CCD"/>
    <w:rsid w:val="003C7CE1"/>
    <w:rsid w:val="003D0038"/>
    <w:rsid w:val="003D00B5"/>
    <w:rsid w:val="003D01E1"/>
    <w:rsid w:val="003D0370"/>
    <w:rsid w:val="003D0375"/>
    <w:rsid w:val="003D044D"/>
    <w:rsid w:val="003D0603"/>
    <w:rsid w:val="003D07F0"/>
    <w:rsid w:val="003D0883"/>
    <w:rsid w:val="003D092A"/>
    <w:rsid w:val="003D0940"/>
    <w:rsid w:val="003D09F3"/>
    <w:rsid w:val="003D0AF4"/>
    <w:rsid w:val="003D0C82"/>
    <w:rsid w:val="003D0E60"/>
    <w:rsid w:val="003D0E64"/>
    <w:rsid w:val="003D0F69"/>
    <w:rsid w:val="003D0FD4"/>
    <w:rsid w:val="003D10D5"/>
    <w:rsid w:val="003D11DC"/>
    <w:rsid w:val="003D11E9"/>
    <w:rsid w:val="003D1580"/>
    <w:rsid w:val="003D15EE"/>
    <w:rsid w:val="003D166D"/>
    <w:rsid w:val="003D1683"/>
    <w:rsid w:val="003D16B1"/>
    <w:rsid w:val="003D1879"/>
    <w:rsid w:val="003D189E"/>
    <w:rsid w:val="003D18E9"/>
    <w:rsid w:val="003D1A58"/>
    <w:rsid w:val="003D1B5E"/>
    <w:rsid w:val="003D1B86"/>
    <w:rsid w:val="003D1D53"/>
    <w:rsid w:val="003D1EC5"/>
    <w:rsid w:val="003D1ECD"/>
    <w:rsid w:val="003D1F8B"/>
    <w:rsid w:val="003D2027"/>
    <w:rsid w:val="003D210C"/>
    <w:rsid w:val="003D23BE"/>
    <w:rsid w:val="003D2584"/>
    <w:rsid w:val="003D25EF"/>
    <w:rsid w:val="003D2672"/>
    <w:rsid w:val="003D267C"/>
    <w:rsid w:val="003D2693"/>
    <w:rsid w:val="003D2AEF"/>
    <w:rsid w:val="003D2B88"/>
    <w:rsid w:val="003D2BB0"/>
    <w:rsid w:val="003D2D8A"/>
    <w:rsid w:val="003D2DFA"/>
    <w:rsid w:val="003D2E86"/>
    <w:rsid w:val="003D2EB9"/>
    <w:rsid w:val="003D2F24"/>
    <w:rsid w:val="003D2F81"/>
    <w:rsid w:val="003D33EA"/>
    <w:rsid w:val="003D3447"/>
    <w:rsid w:val="003D349C"/>
    <w:rsid w:val="003D34FD"/>
    <w:rsid w:val="003D3531"/>
    <w:rsid w:val="003D35D5"/>
    <w:rsid w:val="003D36EC"/>
    <w:rsid w:val="003D375F"/>
    <w:rsid w:val="003D3760"/>
    <w:rsid w:val="003D3788"/>
    <w:rsid w:val="003D37B7"/>
    <w:rsid w:val="003D3A8B"/>
    <w:rsid w:val="003D3AEF"/>
    <w:rsid w:val="003D3B08"/>
    <w:rsid w:val="003D3C08"/>
    <w:rsid w:val="003D3C37"/>
    <w:rsid w:val="003D3C53"/>
    <w:rsid w:val="003D3D87"/>
    <w:rsid w:val="003D3F21"/>
    <w:rsid w:val="003D437C"/>
    <w:rsid w:val="003D4814"/>
    <w:rsid w:val="003D4961"/>
    <w:rsid w:val="003D4B43"/>
    <w:rsid w:val="003D4D3F"/>
    <w:rsid w:val="003D4DEE"/>
    <w:rsid w:val="003D4E92"/>
    <w:rsid w:val="003D4FBA"/>
    <w:rsid w:val="003D50A2"/>
    <w:rsid w:val="003D5101"/>
    <w:rsid w:val="003D5186"/>
    <w:rsid w:val="003D53F2"/>
    <w:rsid w:val="003D555E"/>
    <w:rsid w:val="003D55D7"/>
    <w:rsid w:val="003D5761"/>
    <w:rsid w:val="003D582A"/>
    <w:rsid w:val="003D5E7C"/>
    <w:rsid w:val="003D5F5B"/>
    <w:rsid w:val="003D6083"/>
    <w:rsid w:val="003D62F1"/>
    <w:rsid w:val="003D655F"/>
    <w:rsid w:val="003D659C"/>
    <w:rsid w:val="003D65B6"/>
    <w:rsid w:val="003D66DD"/>
    <w:rsid w:val="003D66F9"/>
    <w:rsid w:val="003D6943"/>
    <w:rsid w:val="003D69F0"/>
    <w:rsid w:val="003D6A0D"/>
    <w:rsid w:val="003D6B8E"/>
    <w:rsid w:val="003D6DB0"/>
    <w:rsid w:val="003D6F62"/>
    <w:rsid w:val="003D7036"/>
    <w:rsid w:val="003D70AC"/>
    <w:rsid w:val="003D71BA"/>
    <w:rsid w:val="003D748A"/>
    <w:rsid w:val="003D7553"/>
    <w:rsid w:val="003D7701"/>
    <w:rsid w:val="003D7731"/>
    <w:rsid w:val="003D788B"/>
    <w:rsid w:val="003D795A"/>
    <w:rsid w:val="003D79B1"/>
    <w:rsid w:val="003D7C1E"/>
    <w:rsid w:val="003D7C73"/>
    <w:rsid w:val="003D7E03"/>
    <w:rsid w:val="003D7E05"/>
    <w:rsid w:val="003E0091"/>
    <w:rsid w:val="003E010C"/>
    <w:rsid w:val="003E021F"/>
    <w:rsid w:val="003E02B6"/>
    <w:rsid w:val="003E065F"/>
    <w:rsid w:val="003E07E2"/>
    <w:rsid w:val="003E0881"/>
    <w:rsid w:val="003E098A"/>
    <w:rsid w:val="003E09A0"/>
    <w:rsid w:val="003E0A10"/>
    <w:rsid w:val="003E0C17"/>
    <w:rsid w:val="003E0D79"/>
    <w:rsid w:val="003E1086"/>
    <w:rsid w:val="003E11D7"/>
    <w:rsid w:val="003E11F5"/>
    <w:rsid w:val="003E12F3"/>
    <w:rsid w:val="003E1404"/>
    <w:rsid w:val="003E1429"/>
    <w:rsid w:val="003E1542"/>
    <w:rsid w:val="003E163D"/>
    <w:rsid w:val="003E16B4"/>
    <w:rsid w:val="003E1833"/>
    <w:rsid w:val="003E1A05"/>
    <w:rsid w:val="003E1A30"/>
    <w:rsid w:val="003E1AF2"/>
    <w:rsid w:val="003E1B9F"/>
    <w:rsid w:val="003E1BC8"/>
    <w:rsid w:val="003E1D23"/>
    <w:rsid w:val="003E1DD5"/>
    <w:rsid w:val="003E20DB"/>
    <w:rsid w:val="003E21C3"/>
    <w:rsid w:val="003E21E0"/>
    <w:rsid w:val="003E23B1"/>
    <w:rsid w:val="003E24C7"/>
    <w:rsid w:val="003E2561"/>
    <w:rsid w:val="003E2780"/>
    <w:rsid w:val="003E2805"/>
    <w:rsid w:val="003E2962"/>
    <w:rsid w:val="003E2A12"/>
    <w:rsid w:val="003E2B1A"/>
    <w:rsid w:val="003E2BB2"/>
    <w:rsid w:val="003E2D2F"/>
    <w:rsid w:val="003E307F"/>
    <w:rsid w:val="003E31DA"/>
    <w:rsid w:val="003E346B"/>
    <w:rsid w:val="003E35B8"/>
    <w:rsid w:val="003E363B"/>
    <w:rsid w:val="003E364F"/>
    <w:rsid w:val="003E37CD"/>
    <w:rsid w:val="003E3849"/>
    <w:rsid w:val="003E3931"/>
    <w:rsid w:val="003E39B5"/>
    <w:rsid w:val="003E3B2E"/>
    <w:rsid w:val="003E3C64"/>
    <w:rsid w:val="003E3DA9"/>
    <w:rsid w:val="003E3EF0"/>
    <w:rsid w:val="003E3FA4"/>
    <w:rsid w:val="003E3FDB"/>
    <w:rsid w:val="003E4007"/>
    <w:rsid w:val="003E41E3"/>
    <w:rsid w:val="003E43E8"/>
    <w:rsid w:val="003E475B"/>
    <w:rsid w:val="003E488D"/>
    <w:rsid w:val="003E4A78"/>
    <w:rsid w:val="003E4B5D"/>
    <w:rsid w:val="003E4DBF"/>
    <w:rsid w:val="003E4F0D"/>
    <w:rsid w:val="003E4F4D"/>
    <w:rsid w:val="003E5139"/>
    <w:rsid w:val="003E53D3"/>
    <w:rsid w:val="003E5499"/>
    <w:rsid w:val="003E579B"/>
    <w:rsid w:val="003E5A18"/>
    <w:rsid w:val="003E5D2C"/>
    <w:rsid w:val="003E5D38"/>
    <w:rsid w:val="003E5D44"/>
    <w:rsid w:val="003E60B2"/>
    <w:rsid w:val="003E60CD"/>
    <w:rsid w:val="003E619A"/>
    <w:rsid w:val="003E61B5"/>
    <w:rsid w:val="003E6526"/>
    <w:rsid w:val="003E6598"/>
    <w:rsid w:val="003E663C"/>
    <w:rsid w:val="003E66A0"/>
    <w:rsid w:val="003E66CF"/>
    <w:rsid w:val="003E6819"/>
    <w:rsid w:val="003E6A83"/>
    <w:rsid w:val="003E6B07"/>
    <w:rsid w:val="003E6D2A"/>
    <w:rsid w:val="003E6D3A"/>
    <w:rsid w:val="003E6D66"/>
    <w:rsid w:val="003E6E61"/>
    <w:rsid w:val="003E7265"/>
    <w:rsid w:val="003E73E4"/>
    <w:rsid w:val="003E741C"/>
    <w:rsid w:val="003E7433"/>
    <w:rsid w:val="003E7660"/>
    <w:rsid w:val="003E7743"/>
    <w:rsid w:val="003E7870"/>
    <w:rsid w:val="003E7A4C"/>
    <w:rsid w:val="003E7A9F"/>
    <w:rsid w:val="003E7AC2"/>
    <w:rsid w:val="003E7C1F"/>
    <w:rsid w:val="003E7E13"/>
    <w:rsid w:val="003E7F32"/>
    <w:rsid w:val="003E7FF9"/>
    <w:rsid w:val="003F029F"/>
    <w:rsid w:val="003F041F"/>
    <w:rsid w:val="003F0839"/>
    <w:rsid w:val="003F08AF"/>
    <w:rsid w:val="003F0A97"/>
    <w:rsid w:val="003F0DC9"/>
    <w:rsid w:val="003F10A2"/>
    <w:rsid w:val="003F1158"/>
    <w:rsid w:val="003F1451"/>
    <w:rsid w:val="003F152E"/>
    <w:rsid w:val="003F1702"/>
    <w:rsid w:val="003F17B2"/>
    <w:rsid w:val="003F1BE1"/>
    <w:rsid w:val="003F1C52"/>
    <w:rsid w:val="003F1D18"/>
    <w:rsid w:val="003F1D2A"/>
    <w:rsid w:val="003F1D74"/>
    <w:rsid w:val="003F1E51"/>
    <w:rsid w:val="003F207E"/>
    <w:rsid w:val="003F2101"/>
    <w:rsid w:val="003F217C"/>
    <w:rsid w:val="003F22FA"/>
    <w:rsid w:val="003F233F"/>
    <w:rsid w:val="003F25F5"/>
    <w:rsid w:val="003F26B9"/>
    <w:rsid w:val="003F28CD"/>
    <w:rsid w:val="003F294F"/>
    <w:rsid w:val="003F2988"/>
    <w:rsid w:val="003F2A90"/>
    <w:rsid w:val="003F2B5E"/>
    <w:rsid w:val="003F2B74"/>
    <w:rsid w:val="003F2BF1"/>
    <w:rsid w:val="003F2D69"/>
    <w:rsid w:val="003F2E9D"/>
    <w:rsid w:val="003F2E9E"/>
    <w:rsid w:val="003F310F"/>
    <w:rsid w:val="003F3193"/>
    <w:rsid w:val="003F31EC"/>
    <w:rsid w:val="003F3299"/>
    <w:rsid w:val="003F32DC"/>
    <w:rsid w:val="003F35B5"/>
    <w:rsid w:val="003F3875"/>
    <w:rsid w:val="003F38F6"/>
    <w:rsid w:val="003F390E"/>
    <w:rsid w:val="003F3951"/>
    <w:rsid w:val="003F3999"/>
    <w:rsid w:val="003F3A17"/>
    <w:rsid w:val="003F3AA6"/>
    <w:rsid w:val="003F3D24"/>
    <w:rsid w:val="003F3EC8"/>
    <w:rsid w:val="003F3FD1"/>
    <w:rsid w:val="003F412C"/>
    <w:rsid w:val="003F4503"/>
    <w:rsid w:val="003F466C"/>
    <w:rsid w:val="003F47C6"/>
    <w:rsid w:val="003F4952"/>
    <w:rsid w:val="003F4D60"/>
    <w:rsid w:val="003F4DED"/>
    <w:rsid w:val="003F4ED1"/>
    <w:rsid w:val="003F52A1"/>
    <w:rsid w:val="003F537C"/>
    <w:rsid w:val="003F5390"/>
    <w:rsid w:val="003F549F"/>
    <w:rsid w:val="003F570B"/>
    <w:rsid w:val="003F5818"/>
    <w:rsid w:val="003F5BC8"/>
    <w:rsid w:val="003F5E76"/>
    <w:rsid w:val="003F5EDF"/>
    <w:rsid w:val="003F5EE2"/>
    <w:rsid w:val="003F6169"/>
    <w:rsid w:val="003F6199"/>
    <w:rsid w:val="003F621B"/>
    <w:rsid w:val="003F632C"/>
    <w:rsid w:val="003F6330"/>
    <w:rsid w:val="003F635D"/>
    <w:rsid w:val="003F63BB"/>
    <w:rsid w:val="003F6408"/>
    <w:rsid w:val="003F65C6"/>
    <w:rsid w:val="003F665B"/>
    <w:rsid w:val="003F675C"/>
    <w:rsid w:val="003F69A8"/>
    <w:rsid w:val="003F6E45"/>
    <w:rsid w:val="003F6E5E"/>
    <w:rsid w:val="003F6F12"/>
    <w:rsid w:val="003F6F7B"/>
    <w:rsid w:val="003F6FBB"/>
    <w:rsid w:val="003F7102"/>
    <w:rsid w:val="003F7150"/>
    <w:rsid w:val="003F7187"/>
    <w:rsid w:val="003F72DB"/>
    <w:rsid w:val="003F737D"/>
    <w:rsid w:val="003F7612"/>
    <w:rsid w:val="003F785C"/>
    <w:rsid w:val="003F79C1"/>
    <w:rsid w:val="003F7CA5"/>
    <w:rsid w:val="003F7FDD"/>
    <w:rsid w:val="0040000D"/>
    <w:rsid w:val="004001F7"/>
    <w:rsid w:val="004002C8"/>
    <w:rsid w:val="004002FB"/>
    <w:rsid w:val="00400478"/>
    <w:rsid w:val="00400591"/>
    <w:rsid w:val="00400774"/>
    <w:rsid w:val="004007D3"/>
    <w:rsid w:val="00400B75"/>
    <w:rsid w:val="00400E0A"/>
    <w:rsid w:val="004010E4"/>
    <w:rsid w:val="00401210"/>
    <w:rsid w:val="00401372"/>
    <w:rsid w:val="004014C5"/>
    <w:rsid w:val="004016DA"/>
    <w:rsid w:val="004018F9"/>
    <w:rsid w:val="004019D0"/>
    <w:rsid w:val="00401AED"/>
    <w:rsid w:val="00401B14"/>
    <w:rsid w:val="00401B59"/>
    <w:rsid w:val="00401C7D"/>
    <w:rsid w:val="00401C86"/>
    <w:rsid w:val="00401CF2"/>
    <w:rsid w:val="00401F6B"/>
    <w:rsid w:val="00401FB1"/>
    <w:rsid w:val="00401FF8"/>
    <w:rsid w:val="00402015"/>
    <w:rsid w:val="00402398"/>
    <w:rsid w:val="00402534"/>
    <w:rsid w:val="004026ED"/>
    <w:rsid w:val="004026FB"/>
    <w:rsid w:val="00402732"/>
    <w:rsid w:val="00402756"/>
    <w:rsid w:val="00402800"/>
    <w:rsid w:val="004028A5"/>
    <w:rsid w:val="004028E3"/>
    <w:rsid w:val="0040295A"/>
    <w:rsid w:val="00402BE9"/>
    <w:rsid w:val="00402DFE"/>
    <w:rsid w:val="00402ED3"/>
    <w:rsid w:val="0040321F"/>
    <w:rsid w:val="004034CB"/>
    <w:rsid w:val="00403757"/>
    <w:rsid w:val="004037DE"/>
    <w:rsid w:val="00403884"/>
    <w:rsid w:val="00403AD4"/>
    <w:rsid w:val="00403EBF"/>
    <w:rsid w:val="00403F32"/>
    <w:rsid w:val="00403FFC"/>
    <w:rsid w:val="004040B7"/>
    <w:rsid w:val="004040C7"/>
    <w:rsid w:val="00404103"/>
    <w:rsid w:val="00404527"/>
    <w:rsid w:val="00404742"/>
    <w:rsid w:val="004048A4"/>
    <w:rsid w:val="00405178"/>
    <w:rsid w:val="00405298"/>
    <w:rsid w:val="00405302"/>
    <w:rsid w:val="0040536B"/>
    <w:rsid w:val="004053D9"/>
    <w:rsid w:val="00405466"/>
    <w:rsid w:val="00405560"/>
    <w:rsid w:val="004055D8"/>
    <w:rsid w:val="0040581F"/>
    <w:rsid w:val="00405C60"/>
    <w:rsid w:val="00405CC5"/>
    <w:rsid w:val="00405EB4"/>
    <w:rsid w:val="00406475"/>
    <w:rsid w:val="004064CA"/>
    <w:rsid w:val="004064EE"/>
    <w:rsid w:val="0040653F"/>
    <w:rsid w:val="00406701"/>
    <w:rsid w:val="004068F7"/>
    <w:rsid w:val="00406972"/>
    <w:rsid w:val="00406A3F"/>
    <w:rsid w:val="00406B0E"/>
    <w:rsid w:val="00406DFF"/>
    <w:rsid w:val="00406FAF"/>
    <w:rsid w:val="00406FCC"/>
    <w:rsid w:val="00407028"/>
    <w:rsid w:val="0040708C"/>
    <w:rsid w:val="004071AB"/>
    <w:rsid w:val="00407325"/>
    <w:rsid w:val="0040732F"/>
    <w:rsid w:val="00407421"/>
    <w:rsid w:val="00407496"/>
    <w:rsid w:val="004074C0"/>
    <w:rsid w:val="0040757C"/>
    <w:rsid w:val="004075DD"/>
    <w:rsid w:val="00407767"/>
    <w:rsid w:val="004077A3"/>
    <w:rsid w:val="004077C2"/>
    <w:rsid w:val="00407B31"/>
    <w:rsid w:val="00407CE4"/>
    <w:rsid w:val="00407CFD"/>
    <w:rsid w:val="00407F28"/>
    <w:rsid w:val="00407F6C"/>
    <w:rsid w:val="00410204"/>
    <w:rsid w:val="00410666"/>
    <w:rsid w:val="00410825"/>
    <w:rsid w:val="0041082B"/>
    <w:rsid w:val="00410969"/>
    <w:rsid w:val="00410B34"/>
    <w:rsid w:val="00410C84"/>
    <w:rsid w:val="00410D14"/>
    <w:rsid w:val="00410E55"/>
    <w:rsid w:val="00410F2E"/>
    <w:rsid w:val="00411415"/>
    <w:rsid w:val="004114AB"/>
    <w:rsid w:val="004114B7"/>
    <w:rsid w:val="0041154A"/>
    <w:rsid w:val="00411644"/>
    <w:rsid w:val="004119B9"/>
    <w:rsid w:val="00411A8D"/>
    <w:rsid w:val="00411C48"/>
    <w:rsid w:val="00411D9F"/>
    <w:rsid w:val="00411E29"/>
    <w:rsid w:val="00411EA8"/>
    <w:rsid w:val="00411F6F"/>
    <w:rsid w:val="00411F85"/>
    <w:rsid w:val="00412259"/>
    <w:rsid w:val="00412264"/>
    <w:rsid w:val="00412300"/>
    <w:rsid w:val="004125A8"/>
    <w:rsid w:val="004126F3"/>
    <w:rsid w:val="00412C50"/>
    <w:rsid w:val="00412DFD"/>
    <w:rsid w:val="00412E14"/>
    <w:rsid w:val="00412E47"/>
    <w:rsid w:val="0041317A"/>
    <w:rsid w:val="0041339E"/>
    <w:rsid w:val="004134A6"/>
    <w:rsid w:val="0041354B"/>
    <w:rsid w:val="004135A3"/>
    <w:rsid w:val="00413617"/>
    <w:rsid w:val="00413621"/>
    <w:rsid w:val="0041363B"/>
    <w:rsid w:val="00413694"/>
    <w:rsid w:val="00413999"/>
    <w:rsid w:val="00413AE6"/>
    <w:rsid w:val="00413DF2"/>
    <w:rsid w:val="00413E22"/>
    <w:rsid w:val="00413F9C"/>
    <w:rsid w:val="0041400F"/>
    <w:rsid w:val="00414069"/>
    <w:rsid w:val="004141EC"/>
    <w:rsid w:val="00414414"/>
    <w:rsid w:val="0041447F"/>
    <w:rsid w:val="004144C5"/>
    <w:rsid w:val="00414685"/>
    <w:rsid w:val="00414796"/>
    <w:rsid w:val="00414AF7"/>
    <w:rsid w:val="00414B0B"/>
    <w:rsid w:val="00414B36"/>
    <w:rsid w:val="00414C44"/>
    <w:rsid w:val="00414DB7"/>
    <w:rsid w:val="00414FB4"/>
    <w:rsid w:val="00415083"/>
    <w:rsid w:val="00415280"/>
    <w:rsid w:val="004152D9"/>
    <w:rsid w:val="00415313"/>
    <w:rsid w:val="004153B8"/>
    <w:rsid w:val="00415454"/>
    <w:rsid w:val="004154E9"/>
    <w:rsid w:val="004157BC"/>
    <w:rsid w:val="004158A1"/>
    <w:rsid w:val="004158B0"/>
    <w:rsid w:val="00415C6F"/>
    <w:rsid w:val="00415E30"/>
    <w:rsid w:val="00415E3C"/>
    <w:rsid w:val="00415ED7"/>
    <w:rsid w:val="0041628A"/>
    <w:rsid w:val="004163BE"/>
    <w:rsid w:val="00416589"/>
    <w:rsid w:val="004167E2"/>
    <w:rsid w:val="00416908"/>
    <w:rsid w:val="0041697A"/>
    <w:rsid w:val="004169EB"/>
    <w:rsid w:val="00416CC9"/>
    <w:rsid w:val="00416E11"/>
    <w:rsid w:val="00416EFE"/>
    <w:rsid w:val="00416F0B"/>
    <w:rsid w:val="00416F60"/>
    <w:rsid w:val="00416FC9"/>
    <w:rsid w:val="0041700D"/>
    <w:rsid w:val="00417179"/>
    <w:rsid w:val="00417247"/>
    <w:rsid w:val="004172CD"/>
    <w:rsid w:val="004172E5"/>
    <w:rsid w:val="0041730C"/>
    <w:rsid w:val="0041740C"/>
    <w:rsid w:val="0041758F"/>
    <w:rsid w:val="0041787B"/>
    <w:rsid w:val="004178D6"/>
    <w:rsid w:val="00417A86"/>
    <w:rsid w:val="00417B71"/>
    <w:rsid w:val="00417C65"/>
    <w:rsid w:val="00417FE8"/>
    <w:rsid w:val="004202A5"/>
    <w:rsid w:val="00420341"/>
    <w:rsid w:val="004203EC"/>
    <w:rsid w:val="00420511"/>
    <w:rsid w:val="00420513"/>
    <w:rsid w:val="004205F4"/>
    <w:rsid w:val="00420635"/>
    <w:rsid w:val="004206CA"/>
    <w:rsid w:val="004206FF"/>
    <w:rsid w:val="004208C6"/>
    <w:rsid w:val="00420930"/>
    <w:rsid w:val="0042093E"/>
    <w:rsid w:val="004209DE"/>
    <w:rsid w:val="00420C0D"/>
    <w:rsid w:val="00420CC9"/>
    <w:rsid w:val="00420D02"/>
    <w:rsid w:val="00420DCF"/>
    <w:rsid w:val="00421266"/>
    <w:rsid w:val="00421289"/>
    <w:rsid w:val="0042129A"/>
    <w:rsid w:val="0042130F"/>
    <w:rsid w:val="004213A9"/>
    <w:rsid w:val="00421416"/>
    <w:rsid w:val="0042141D"/>
    <w:rsid w:val="004214C2"/>
    <w:rsid w:val="0042152C"/>
    <w:rsid w:val="004215B0"/>
    <w:rsid w:val="004218AE"/>
    <w:rsid w:val="00421990"/>
    <w:rsid w:val="004219C4"/>
    <w:rsid w:val="00421A84"/>
    <w:rsid w:val="00421AC6"/>
    <w:rsid w:val="00421AF0"/>
    <w:rsid w:val="00421C6F"/>
    <w:rsid w:val="0042201E"/>
    <w:rsid w:val="0042205E"/>
    <w:rsid w:val="0042211D"/>
    <w:rsid w:val="00422282"/>
    <w:rsid w:val="00422353"/>
    <w:rsid w:val="00422355"/>
    <w:rsid w:val="004223D3"/>
    <w:rsid w:val="004226B3"/>
    <w:rsid w:val="004226EA"/>
    <w:rsid w:val="00422803"/>
    <w:rsid w:val="00422B46"/>
    <w:rsid w:val="00422C11"/>
    <w:rsid w:val="00422D00"/>
    <w:rsid w:val="00422D3E"/>
    <w:rsid w:val="00422EB6"/>
    <w:rsid w:val="0042307D"/>
    <w:rsid w:val="004231FA"/>
    <w:rsid w:val="00423231"/>
    <w:rsid w:val="00423396"/>
    <w:rsid w:val="004234F7"/>
    <w:rsid w:val="00423584"/>
    <w:rsid w:val="0042366F"/>
    <w:rsid w:val="0042373B"/>
    <w:rsid w:val="0042378B"/>
    <w:rsid w:val="00423908"/>
    <w:rsid w:val="00423916"/>
    <w:rsid w:val="00423A95"/>
    <w:rsid w:val="00423E65"/>
    <w:rsid w:val="00423F19"/>
    <w:rsid w:val="00424324"/>
    <w:rsid w:val="00424476"/>
    <w:rsid w:val="004245CF"/>
    <w:rsid w:val="004245F6"/>
    <w:rsid w:val="004247FF"/>
    <w:rsid w:val="00424853"/>
    <w:rsid w:val="00424A01"/>
    <w:rsid w:val="00424A41"/>
    <w:rsid w:val="00424A65"/>
    <w:rsid w:val="00424B3D"/>
    <w:rsid w:val="00424B91"/>
    <w:rsid w:val="00424C40"/>
    <w:rsid w:val="00424C8B"/>
    <w:rsid w:val="00424D8F"/>
    <w:rsid w:val="00424EEA"/>
    <w:rsid w:val="00424F25"/>
    <w:rsid w:val="00424F6E"/>
    <w:rsid w:val="00425030"/>
    <w:rsid w:val="00425321"/>
    <w:rsid w:val="00425345"/>
    <w:rsid w:val="0042539A"/>
    <w:rsid w:val="004253BC"/>
    <w:rsid w:val="004257AF"/>
    <w:rsid w:val="00425894"/>
    <w:rsid w:val="00425B59"/>
    <w:rsid w:val="00425C9A"/>
    <w:rsid w:val="00425CF2"/>
    <w:rsid w:val="00425DB6"/>
    <w:rsid w:val="00425DD0"/>
    <w:rsid w:val="00425E0B"/>
    <w:rsid w:val="00425EAF"/>
    <w:rsid w:val="00425F6F"/>
    <w:rsid w:val="0042626B"/>
    <w:rsid w:val="0042629C"/>
    <w:rsid w:val="004262A3"/>
    <w:rsid w:val="00426326"/>
    <w:rsid w:val="004263E2"/>
    <w:rsid w:val="00426423"/>
    <w:rsid w:val="004264B9"/>
    <w:rsid w:val="00426537"/>
    <w:rsid w:val="00426656"/>
    <w:rsid w:val="00426992"/>
    <w:rsid w:val="00426997"/>
    <w:rsid w:val="00426A28"/>
    <w:rsid w:val="00426A9D"/>
    <w:rsid w:val="00426AA7"/>
    <w:rsid w:val="00426B5D"/>
    <w:rsid w:val="00426B65"/>
    <w:rsid w:val="00426D43"/>
    <w:rsid w:val="00427167"/>
    <w:rsid w:val="004271AD"/>
    <w:rsid w:val="0042733D"/>
    <w:rsid w:val="00427354"/>
    <w:rsid w:val="00427381"/>
    <w:rsid w:val="00427538"/>
    <w:rsid w:val="00427579"/>
    <w:rsid w:val="00427A40"/>
    <w:rsid w:val="00427B29"/>
    <w:rsid w:val="00427B2C"/>
    <w:rsid w:val="00427C64"/>
    <w:rsid w:val="00427E1F"/>
    <w:rsid w:val="00427FE1"/>
    <w:rsid w:val="00430022"/>
    <w:rsid w:val="00430030"/>
    <w:rsid w:val="0043041A"/>
    <w:rsid w:val="004304DA"/>
    <w:rsid w:val="00430559"/>
    <w:rsid w:val="00430587"/>
    <w:rsid w:val="00430769"/>
    <w:rsid w:val="0043082A"/>
    <w:rsid w:val="00430897"/>
    <w:rsid w:val="004308D7"/>
    <w:rsid w:val="00430915"/>
    <w:rsid w:val="00430920"/>
    <w:rsid w:val="0043095F"/>
    <w:rsid w:val="00430A8F"/>
    <w:rsid w:val="00430ACB"/>
    <w:rsid w:val="00430B03"/>
    <w:rsid w:val="00430B64"/>
    <w:rsid w:val="00430BBF"/>
    <w:rsid w:val="00430D58"/>
    <w:rsid w:val="00430E34"/>
    <w:rsid w:val="00430EC8"/>
    <w:rsid w:val="0043104C"/>
    <w:rsid w:val="0043105C"/>
    <w:rsid w:val="00431191"/>
    <w:rsid w:val="00431455"/>
    <w:rsid w:val="004315BB"/>
    <w:rsid w:val="0043196F"/>
    <w:rsid w:val="00431B67"/>
    <w:rsid w:val="00431BA6"/>
    <w:rsid w:val="00431D49"/>
    <w:rsid w:val="00431D4D"/>
    <w:rsid w:val="00431D6B"/>
    <w:rsid w:val="00431D75"/>
    <w:rsid w:val="00431EB4"/>
    <w:rsid w:val="0043202A"/>
    <w:rsid w:val="0043236D"/>
    <w:rsid w:val="004324DF"/>
    <w:rsid w:val="004326C6"/>
    <w:rsid w:val="004326E2"/>
    <w:rsid w:val="004326E7"/>
    <w:rsid w:val="004326FD"/>
    <w:rsid w:val="00432799"/>
    <w:rsid w:val="00432955"/>
    <w:rsid w:val="00432964"/>
    <w:rsid w:val="004329A8"/>
    <w:rsid w:val="00432A95"/>
    <w:rsid w:val="00432C03"/>
    <w:rsid w:val="00432CE1"/>
    <w:rsid w:val="00432E20"/>
    <w:rsid w:val="00432EF0"/>
    <w:rsid w:val="00432F15"/>
    <w:rsid w:val="0043301F"/>
    <w:rsid w:val="0043306B"/>
    <w:rsid w:val="004331B4"/>
    <w:rsid w:val="00433222"/>
    <w:rsid w:val="004332AD"/>
    <w:rsid w:val="004333A3"/>
    <w:rsid w:val="004333ED"/>
    <w:rsid w:val="0043341D"/>
    <w:rsid w:val="00433664"/>
    <w:rsid w:val="00433B5C"/>
    <w:rsid w:val="00433C0A"/>
    <w:rsid w:val="00433ED0"/>
    <w:rsid w:val="0043421E"/>
    <w:rsid w:val="0043435C"/>
    <w:rsid w:val="00434517"/>
    <w:rsid w:val="00434558"/>
    <w:rsid w:val="00434583"/>
    <w:rsid w:val="0043470B"/>
    <w:rsid w:val="004349B1"/>
    <w:rsid w:val="004349F4"/>
    <w:rsid w:val="00434CA5"/>
    <w:rsid w:val="0043513C"/>
    <w:rsid w:val="00435159"/>
    <w:rsid w:val="00435193"/>
    <w:rsid w:val="004351F8"/>
    <w:rsid w:val="004352ED"/>
    <w:rsid w:val="0043531F"/>
    <w:rsid w:val="00435430"/>
    <w:rsid w:val="004354BD"/>
    <w:rsid w:val="00435920"/>
    <w:rsid w:val="00435973"/>
    <w:rsid w:val="00435998"/>
    <w:rsid w:val="004359CC"/>
    <w:rsid w:val="004359F7"/>
    <w:rsid w:val="00435B38"/>
    <w:rsid w:val="00435C55"/>
    <w:rsid w:val="00435CAB"/>
    <w:rsid w:val="00435F0D"/>
    <w:rsid w:val="00436057"/>
    <w:rsid w:val="00436547"/>
    <w:rsid w:val="00436571"/>
    <w:rsid w:val="004365E4"/>
    <w:rsid w:val="0043662B"/>
    <w:rsid w:val="00436759"/>
    <w:rsid w:val="00436A6D"/>
    <w:rsid w:val="00436B21"/>
    <w:rsid w:val="00436BCD"/>
    <w:rsid w:val="00436D70"/>
    <w:rsid w:val="00436EED"/>
    <w:rsid w:val="00437054"/>
    <w:rsid w:val="00437060"/>
    <w:rsid w:val="0043710F"/>
    <w:rsid w:val="004374A9"/>
    <w:rsid w:val="004374CD"/>
    <w:rsid w:val="004374EA"/>
    <w:rsid w:val="004374F3"/>
    <w:rsid w:val="0043754A"/>
    <w:rsid w:val="0043756D"/>
    <w:rsid w:val="004377A8"/>
    <w:rsid w:val="004377E0"/>
    <w:rsid w:val="00437971"/>
    <w:rsid w:val="00437993"/>
    <w:rsid w:val="00437AEA"/>
    <w:rsid w:val="00437BC6"/>
    <w:rsid w:val="00437BC9"/>
    <w:rsid w:val="00437DFD"/>
    <w:rsid w:val="00437EF8"/>
    <w:rsid w:val="00437F66"/>
    <w:rsid w:val="00437FC7"/>
    <w:rsid w:val="00440128"/>
    <w:rsid w:val="00440189"/>
    <w:rsid w:val="004402E9"/>
    <w:rsid w:val="0044033E"/>
    <w:rsid w:val="004404E2"/>
    <w:rsid w:val="004406FE"/>
    <w:rsid w:val="00440BCE"/>
    <w:rsid w:val="00440F59"/>
    <w:rsid w:val="0044119C"/>
    <w:rsid w:val="004416A3"/>
    <w:rsid w:val="004418CB"/>
    <w:rsid w:val="00441A22"/>
    <w:rsid w:val="00441BDE"/>
    <w:rsid w:val="00441BF1"/>
    <w:rsid w:val="00441F77"/>
    <w:rsid w:val="00442018"/>
    <w:rsid w:val="00442150"/>
    <w:rsid w:val="004421F5"/>
    <w:rsid w:val="00442734"/>
    <w:rsid w:val="0044285C"/>
    <w:rsid w:val="00442961"/>
    <w:rsid w:val="00442B5B"/>
    <w:rsid w:val="00442B7C"/>
    <w:rsid w:val="00442CE0"/>
    <w:rsid w:val="0044313F"/>
    <w:rsid w:val="00443193"/>
    <w:rsid w:val="004433F2"/>
    <w:rsid w:val="004434CD"/>
    <w:rsid w:val="0044375F"/>
    <w:rsid w:val="0044395E"/>
    <w:rsid w:val="004439A4"/>
    <w:rsid w:val="00443B02"/>
    <w:rsid w:val="00443CFC"/>
    <w:rsid w:val="00443DD5"/>
    <w:rsid w:val="00443F92"/>
    <w:rsid w:val="004440FD"/>
    <w:rsid w:val="004442EE"/>
    <w:rsid w:val="00444342"/>
    <w:rsid w:val="0044470B"/>
    <w:rsid w:val="004448B6"/>
    <w:rsid w:val="004448D9"/>
    <w:rsid w:val="004448DA"/>
    <w:rsid w:val="00444C4C"/>
    <w:rsid w:val="00444C68"/>
    <w:rsid w:val="00444D6C"/>
    <w:rsid w:val="00444DCF"/>
    <w:rsid w:val="00444F0A"/>
    <w:rsid w:val="00445073"/>
    <w:rsid w:val="00445349"/>
    <w:rsid w:val="00445432"/>
    <w:rsid w:val="0044555F"/>
    <w:rsid w:val="0044596F"/>
    <w:rsid w:val="0044598B"/>
    <w:rsid w:val="0044599D"/>
    <w:rsid w:val="00445AAD"/>
    <w:rsid w:val="00445AD6"/>
    <w:rsid w:val="00445FCD"/>
    <w:rsid w:val="00446175"/>
    <w:rsid w:val="004463E0"/>
    <w:rsid w:val="004464EA"/>
    <w:rsid w:val="00446527"/>
    <w:rsid w:val="0044663B"/>
    <w:rsid w:val="004466B8"/>
    <w:rsid w:val="004467B8"/>
    <w:rsid w:val="004467D5"/>
    <w:rsid w:val="004469C9"/>
    <w:rsid w:val="00446B16"/>
    <w:rsid w:val="00446B35"/>
    <w:rsid w:val="00446CAA"/>
    <w:rsid w:val="00446ED0"/>
    <w:rsid w:val="00446F06"/>
    <w:rsid w:val="00447076"/>
    <w:rsid w:val="004471DB"/>
    <w:rsid w:val="00447416"/>
    <w:rsid w:val="00447604"/>
    <w:rsid w:val="004476EE"/>
    <w:rsid w:val="004477D4"/>
    <w:rsid w:val="004478DE"/>
    <w:rsid w:val="00447A18"/>
    <w:rsid w:val="00447B7F"/>
    <w:rsid w:val="00447BDD"/>
    <w:rsid w:val="00447C37"/>
    <w:rsid w:val="00447C71"/>
    <w:rsid w:val="00447C73"/>
    <w:rsid w:val="00447C80"/>
    <w:rsid w:val="0045008D"/>
    <w:rsid w:val="0045013A"/>
    <w:rsid w:val="00450157"/>
    <w:rsid w:val="00450283"/>
    <w:rsid w:val="0045045A"/>
    <w:rsid w:val="00450492"/>
    <w:rsid w:val="004505BD"/>
    <w:rsid w:val="00450825"/>
    <w:rsid w:val="00450916"/>
    <w:rsid w:val="00450C76"/>
    <w:rsid w:val="00450DBD"/>
    <w:rsid w:val="00450DFA"/>
    <w:rsid w:val="00450FAA"/>
    <w:rsid w:val="0045102B"/>
    <w:rsid w:val="004512BF"/>
    <w:rsid w:val="00451334"/>
    <w:rsid w:val="00451386"/>
    <w:rsid w:val="0045146B"/>
    <w:rsid w:val="004514EC"/>
    <w:rsid w:val="00451575"/>
    <w:rsid w:val="00451659"/>
    <w:rsid w:val="00451754"/>
    <w:rsid w:val="00451833"/>
    <w:rsid w:val="004518DB"/>
    <w:rsid w:val="004518FA"/>
    <w:rsid w:val="00451A08"/>
    <w:rsid w:val="00451B14"/>
    <w:rsid w:val="00451B48"/>
    <w:rsid w:val="00451B50"/>
    <w:rsid w:val="00451B5F"/>
    <w:rsid w:val="00451B65"/>
    <w:rsid w:val="00451BC3"/>
    <w:rsid w:val="00451D30"/>
    <w:rsid w:val="00451DC5"/>
    <w:rsid w:val="00451FA9"/>
    <w:rsid w:val="00451FE4"/>
    <w:rsid w:val="0045208E"/>
    <w:rsid w:val="004522EE"/>
    <w:rsid w:val="004524EF"/>
    <w:rsid w:val="00452526"/>
    <w:rsid w:val="004526AE"/>
    <w:rsid w:val="004526EC"/>
    <w:rsid w:val="0045271F"/>
    <w:rsid w:val="00452736"/>
    <w:rsid w:val="004527BD"/>
    <w:rsid w:val="004527C4"/>
    <w:rsid w:val="00452814"/>
    <w:rsid w:val="004529BA"/>
    <w:rsid w:val="00452C77"/>
    <w:rsid w:val="00452DD9"/>
    <w:rsid w:val="00452FD3"/>
    <w:rsid w:val="00452FE3"/>
    <w:rsid w:val="0045363A"/>
    <w:rsid w:val="00453669"/>
    <w:rsid w:val="00453823"/>
    <w:rsid w:val="00453A9B"/>
    <w:rsid w:val="00453BB2"/>
    <w:rsid w:val="00453CA7"/>
    <w:rsid w:val="00453CFD"/>
    <w:rsid w:val="00454166"/>
    <w:rsid w:val="00454176"/>
    <w:rsid w:val="004541FC"/>
    <w:rsid w:val="004541FF"/>
    <w:rsid w:val="0045423A"/>
    <w:rsid w:val="00454252"/>
    <w:rsid w:val="004543BF"/>
    <w:rsid w:val="00454505"/>
    <w:rsid w:val="0045458E"/>
    <w:rsid w:val="004545F2"/>
    <w:rsid w:val="00454658"/>
    <w:rsid w:val="0045467C"/>
    <w:rsid w:val="004546C5"/>
    <w:rsid w:val="004546D3"/>
    <w:rsid w:val="004546DF"/>
    <w:rsid w:val="00454713"/>
    <w:rsid w:val="00454A9C"/>
    <w:rsid w:val="00454C8F"/>
    <w:rsid w:val="00454D8C"/>
    <w:rsid w:val="00454E7B"/>
    <w:rsid w:val="00454EE2"/>
    <w:rsid w:val="0045505B"/>
    <w:rsid w:val="0045508F"/>
    <w:rsid w:val="00455360"/>
    <w:rsid w:val="004553A8"/>
    <w:rsid w:val="004553BA"/>
    <w:rsid w:val="0045588D"/>
    <w:rsid w:val="0045593B"/>
    <w:rsid w:val="00455A4D"/>
    <w:rsid w:val="00455ADE"/>
    <w:rsid w:val="00455B3D"/>
    <w:rsid w:val="00455BDB"/>
    <w:rsid w:val="00455CEE"/>
    <w:rsid w:val="00455F0A"/>
    <w:rsid w:val="004560D7"/>
    <w:rsid w:val="0045625E"/>
    <w:rsid w:val="004562ED"/>
    <w:rsid w:val="004563A6"/>
    <w:rsid w:val="004564B8"/>
    <w:rsid w:val="00456526"/>
    <w:rsid w:val="00456597"/>
    <w:rsid w:val="00456695"/>
    <w:rsid w:val="004566FC"/>
    <w:rsid w:val="004567D6"/>
    <w:rsid w:val="004567EB"/>
    <w:rsid w:val="00456844"/>
    <w:rsid w:val="0045691D"/>
    <w:rsid w:val="00456B91"/>
    <w:rsid w:val="00456D16"/>
    <w:rsid w:val="00456DFC"/>
    <w:rsid w:val="00456E20"/>
    <w:rsid w:val="00456F38"/>
    <w:rsid w:val="00457136"/>
    <w:rsid w:val="004571B8"/>
    <w:rsid w:val="0045756D"/>
    <w:rsid w:val="00457646"/>
    <w:rsid w:val="00457683"/>
    <w:rsid w:val="00457745"/>
    <w:rsid w:val="004577A6"/>
    <w:rsid w:val="00457ABD"/>
    <w:rsid w:val="00457B0C"/>
    <w:rsid w:val="00457C06"/>
    <w:rsid w:val="00457CB0"/>
    <w:rsid w:val="00457D0A"/>
    <w:rsid w:val="00457F38"/>
    <w:rsid w:val="00460258"/>
    <w:rsid w:val="00460430"/>
    <w:rsid w:val="0046044F"/>
    <w:rsid w:val="004604ED"/>
    <w:rsid w:val="004608D9"/>
    <w:rsid w:val="004609C6"/>
    <w:rsid w:val="00460B29"/>
    <w:rsid w:val="00460D5A"/>
    <w:rsid w:val="00460E18"/>
    <w:rsid w:val="00460E57"/>
    <w:rsid w:val="00460EF3"/>
    <w:rsid w:val="00460F8F"/>
    <w:rsid w:val="00460F99"/>
    <w:rsid w:val="00460FC3"/>
    <w:rsid w:val="004610D1"/>
    <w:rsid w:val="004611A3"/>
    <w:rsid w:val="004611BC"/>
    <w:rsid w:val="004611DF"/>
    <w:rsid w:val="00461240"/>
    <w:rsid w:val="00461394"/>
    <w:rsid w:val="004613B4"/>
    <w:rsid w:val="00461401"/>
    <w:rsid w:val="00461623"/>
    <w:rsid w:val="00461981"/>
    <w:rsid w:val="00461B9B"/>
    <w:rsid w:val="00461BE5"/>
    <w:rsid w:val="00461C50"/>
    <w:rsid w:val="00461C85"/>
    <w:rsid w:val="00461CDB"/>
    <w:rsid w:val="00461F46"/>
    <w:rsid w:val="004620C3"/>
    <w:rsid w:val="00462355"/>
    <w:rsid w:val="0046239D"/>
    <w:rsid w:val="0046244B"/>
    <w:rsid w:val="0046253C"/>
    <w:rsid w:val="004625CE"/>
    <w:rsid w:val="004626FA"/>
    <w:rsid w:val="0046275A"/>
    <w:rsid w:val="00462766"/>
    <w:rsid w:val="004627E0"/>
    <w:rsid w:val="00462838"/>
    <w:rsid w:val="00462866"/>
    <w:rsid w:val="00462990"/>
    <w:rsid w:val="00462A24"/>
    <w:rsid w:val="00462A7E"/>
    <w:rsid w:val="00462A8B"/>
    <w:rsid w:val="00462BE9"/>
    <w:rsid w:val="00462CD6"/>
    <w:rsid w:val="0046305E"/>
    <w:rsid w:val="004630C4"/>
    <w:rsid w:val="004631FB"/>
    <w:rsid w:val="00463553"/>
    <w:rsid w:val="004637BF"/>
    <w:rsid w:val="00463A19"/>
    <w:rsid w:val="00463B90"/>
    <w:rsid w:val="00463BB9"/>
    <w:rsid w:val="00463CBD"/>
    <w:rsid w:val="00463D32"/>
    <w:rsid w:val="00463D60"/>
    <w:rsid w:val="00463D83"/>
    <w:rsid w:val="00463E26"/>
    <w:rsid w:val="00464008"/>
    <w:rsid w:val="0046413A"/>
    <w:rsid w:val="00464301"/>
    <w:rsid w:val="0046433E"/>
    <w:rsid w:val="00464415"/>
    <w:rsid w:val="00464614"/>
    <w:rsid w:val="00464663"/>
    <w:rsid w:val="00464752"/>
    <w:rsid w:val="00464870"/>
    <w:rsid w:val="004649BA"/>
    <w:rsid w:val="00464A62"/>
    <w:rsid w:val="00464B3D"/>
    <w:rsid w:val="00464CBA"/>
    <w:rsid w:val="0046527F"/>
    <w:rsid w:val="004652CE"/>
    <w:rsid w:val="00465514"/>
    <w:rsid w:val="004656C7"/>
    <w:rsid w:val="00465853"/>
    <w:rsid w:val="00465866"/>
    <w:rsid w:val="00465938"/>
    <w:rsid w:val="00465950"/>
    <w:rsid w:val="00465BAF"/>
    <w:rsid w:val="00465BEE"/>
    <w:rsid w:val="00465C7D"/>
    <w:rsid w:val="00465C9F"/>
    <w:rsid w:val="0046607B"/>
    <w:rsid w:val="004660C6"/>
    <w:rsid w:val="004660FE"/>
    <w:rsid w:val="00466579"/>
    <w:rsid w:val="0046689B"/>
    <w:rsid w:val="004669B2"/>
    <w:rsid w:val="004670A2"/>
    <w:rsid w:val="004672FA"/>
    <w:rsid w:val="00467465"/>
    <w:rsid w:val="004675CF"/>
    <w:rsid w:val="00467617"/>
    <w:rsid w:val="004677A7"/>
    <w:rsid w:val="00467824"/>
    <w:rsid w:val="00467858"/>
    <w:rsid w:val="00467BD9"/>
    <w:rsid w:val="00467BE3"/>
    <w:rsid w:val="00467C53"/>
    <w:rsid w:val="00467D32"/>
    <w:rsid w:val="00467DA8"/>
    <w:rsid w:val="00467DAE"/>
    <w:rsid w:val="00467E5E"/>
    <w:rsid w:val="004700D1"/>
    <w:rsid w:val="004700F7"/>
    <w:rsid w:val="00470448"/>
    <w:rsid w:val="004704CE"/>
    <w:rsid w:val="0047072B"/>
    <w:rsid w:val="00470906"/>
    <w:rsid w:val="00470915"/>
    <w:rsid w:val="00470BB2"/>
    <w:rsid w:val="00470DAE"/>
    <w:rsid w:val="00470F19"/>
    <w:rsid w:val="00470FE2"/>
    <w:rsid w:val="00471086"/>
    <w:rsid w:val="00471111"/>
    <w:rsid w:val="00471163"/>
    <w:rsid w:val="00471187"/>
    <w:rsid w:val="00471277"/>
    <w:rsid w:val="004712CD"/>
    <w:rsid w:val="0047138D"/>
    <w:rsid w:val="004713B5"/>
    <w:rsid w:val="0047146C"/>
    <w:rsid w:val="004714BC"/>
    <w:rsid w:val="0047150E"/>
    <w:rsid w:val="004716C4"/>
    <w:rsid w:val="00471740"/>
    <w:rsid w:val="00471E14"/>
    <w:rsid w:val="00471E4D"/>
    <w:rsid w:val="00471E8D"/>
    <w:rsid w:val="0047218A"/>
    <w:rsid w:val="004721AB"/>
    <w:rsid w:val="00472224"/>
    <w:rsid w:val="0047225C"/>
    <w:rsid w:val="00472282"/>
    <w:rsid w:val="004723DB"/>
    <w:rsid w:val="004723E6"/>
    <w:rsid w:val="0047241E"/>
    <w:rsid w:val="00472420"/>
    <w:rsid w:val="0047252E"/>
    <w:rsid w:val="004726F2"/>
    <w:rsid w:val="00472AC0"/>
    <w:rsid w:val="00472AC8"/>
    <w:rsid w:val="00472BA2"/>
    <w:rsid w:val="00472C43"/>
    <w:rsid w:val="00472D04"/>
    <w:rsid w:val="00472E8A"/>
    <w:rsid w:val="00472FAE"/>
    <w:rsid w:val="0047304F"/>
    <w:rsid w:val="00473470"/>
    <w:rsid w:val="00473546"/>
    <w:rsid w:val="00473627"/>
    <w:rsid w:val="004737BB"/>
    <w:rsid w:val="0047394C"/>
    <w:rsid w:val="00473B07"/>
    <w:rsid w:val="00473D01"/>
    <w:rsid w:val="00473D47"/>
    <w:rsid w:val="00473DB5"/>
    <w:rsid w:val="00473F6A"/>
    <w:rsid w:val="00474102"/>
    <w:rsid w:val="0047441E"/>
    <w:rsid w:val="0047444D"/>
    <w:rsid w:val="004744B3"/>
    <w:rsid w:val="004745CE"/>
    <w:rsid w:val="0047471B"/>
    <w:rsid w:val="004748D5"/>
    <w:rsid w:val="00474970"/>
    <w:rsid w:val="00474BC9"/>
    <w:rsid w:val="00474C40"/>
    <w:rsid w:val="00474E50"/>
    <w:rsid w:val="004752E1"/>
    <w:rsid w:val="0047542F"/>
    <w:rsid w:val="004757C7"/>
    <w:rsid w:val="00475834"/>
    <w:rsid w:val="00475921"/>
    <w:rsid w:val="00475A85"/>
    <w:rsid w:val="00475B2B"/>
    <w:rsid w:val="00475C2D"/>
    <w:rsid w:val="00475CAF"/>
    <w:rsid w:val="00475F1D"/>
    <w:rsid w:val="004762F5"/>
    <w:rsid w:val="00476449"/>
    <w:rsid w:val="00476637"/>
    <w:rsid w:val="00476662"/>
    <w:rsid w:val="00476700"/>
    <w:rsid w:val="004767FA"/>
    <w:rsid w:val="00476948"/>
    <w:rsid w:val="00476BFB"/>
    <w:rsid w:val="00476D3F"/>
    <w:rsid w:val="00476D55"/>
    <w:rsid w:val="00477130"/>
    <w:rsid w:val="004771B4"/>
    <w:rsid w:val="0047722A"/>
    <w:rsid w:val="004772D4"/>
    <w:rsid w:val="0047742A"/>
    <w:rsid w:val="004777C3"/>
    <w:rsid w:val="004778B7"/>
    <w:rsid w:val="0047798C"/>
    <w:rsid w:val="00477D42"/>
    <w:rsid w:val="00477E8E"/>
    <w:rsid w:val="00477EAE"/>
    <w:rsid w:val="00477F17"/>
    <w:rsid w:val="00477F53"/>
    <w:rsid w:val="0048006A"/>
    <w:rsid w:val="0048012C"/>
    <w:rsid w:val="00480417"/>
    <w:rsid w:val="004804B9"/>
    <w:rsid w:val="00480B59"/>
    <w:rsid w:val="00480C3B"/>
    <w:rsid w:val="00480E90"/>
    <w:rsid w:val="00480F31"/>
    <w:rsid w:val="00481084"/>
    <w:rsid w:val="0048109C"/>
    <w:rsid w:val="004812A5"/>
    <w:rsid w:val="0048131D"/>
    <w:rsid w:val="0048139F"/>
    <w:rsid w:val="004814C0"/>
    <w:rsid w:val="0048160A"/>
    <w:rsid w:val="00481BAB"/>
    <w:rsid w:val="00481CE6"/>
    <w:rsid w:val="00481D33"/>
    <w:rsid w:val="00481D8F"/>
    <w:rsid w:val="00481FD9"/>
    <w:rsid w:val="0048209C"/>
    <w:rsid w:val="004821CA"/>
    <w:rsid w:val="004824B4"/>
    <w:rsid w:val="0048279C"/>
    <w:rsid w:val="004827B5"/>
    <w:rsid w:val="00482972"/>
    <w:rsid w:val="00482E88"/>
    <w:rsid w:val="00482EE3"/>
    <w:rsid w:val="004833E6"/>
    <w:rsid w:val="00483420"/>
    <w:rsid w:val="004837E8"/>
    <w:rsid w:val="00483881"/>
    <w:rsid w:val="0048399E"/>
    <w:rsid w:val="004839FC"/>
    <w:rsid w:val="00483A53"/>
    <w:rsid w:val="00483C2D"/>
    <w:rsid w:val="0048416C"/>
    <w:rsid w:val="004841A4"/>
    <w:rsid w:val="00484231"/>
    <w:rsid w:val="0048462F"/>
    <w:rsid w:val="004847B9"/>
    <w:rsid w:val="004849B3"/>
    <w:rsid w:val="00484A3F"/>
    <w:rsid w:val="00484A7A"/>
    <w:rsid w:val="00484BFD"/>
    <w:rsid w:val="00484C93"/>
    <w:rsid w:val="00484D36"/>
    <w:rsid w:val="00484F35"/>
    <w:rsid w:val="004850FD"/>
    <w:rsid w:val="00485171"/>
    <w:rsid w:val="004853D8"/>
    <w:rsid w:val="00485488"/>
    <w:rsid w:val="00485534"/>
    <w:rsid w:val="004856D9"/>
    <w:rsid w:val="004857E2"/>
    <w:rsid w:val="00485828"/>
    <w:rsid w:val="00485896"/>
    <w:rsid w:val="00485956"/>
    <w:rsid w:val="00485A62"/>
    <w:rsid w:val="00485CF1"/>
    <w:rsid w:val="00485E53"/>
    <w:rsid w:val="00485E99"/>
    <w:rsid w:val="00485EAE"/>
    <w:rsid w:val="00486044"/>
    <w:rsid w:val="00486337"/>
    <w:rsid w:val="00486589"/>
    <w:rsid w:val="0048669B"/>
    <w:rsid w:val="00486738"/>
    <w:rsid w:val="004867A6"/>
    <w:rsid w:val="00486A58"/>
    <w:rsid w:val="00486A6F"/>
    <w:rsid w:val="00486C33"/>
    <w:rsid w:val="00486CF1"/>
    <w:rsid w:val="0048714C"/>
    <w:rsid w:val="00487311"/>
    <w:rsid w:val="004873B0"/>
    <w:rsid w:val="004873E3"/>
    <w:rsid w:val="004875D4"/>
    <w:rsid w:val="004875E8"/>
    <w:rsid w:val="00487686"/>
    <w:rsid w:val="00487A3A"/>
    <w:rsid w:val="00487B5E"/>
    <w:rsid w:val="00487D25"/>
    <w:rsid w:val="00490095"/>
    <w:rsid w:val="00490257"/>
    <w:rsid w:val="0049032A"/>
    <w:rsid w:val="00490425"/>
    <w:rsid w:val="004905AF"/>
    <w:rsid w:val="0049065A"/>
    <w:rsid w:val="00490667"/>
    <w:rsid w:val="00490677"/>
    <w:rsid w:val="004908F9"/>
    <w:rsid w:val="0049098B"/>
    <w:rsid w:val="0049099A"/>
    <w:rsid w:val="004909B0"/>
    <w:rsid w:val="00490B03"/>
    <w:rsid w:val="00490CAF"/>
    <w:rsid w:val="00490CD8"/>
    <w:rsid w:val="00490CF7"/>
    <w:rsid w:val="00490D64"/>
    <w:rsid w:val="00490E8D"/>
    <w:rsid w:val="0049105C"/>
    <w:rsid w:val="0049111D"/>
    <w:rsid w:val="00491201"/>
    <w:rsid w:val="00491390"/>
    <w:rsid w:val="00491472"/>
    <w:rsid w:val="004917C9"/>
    <w:rsid w:val="004919A2"/>
    <w:rsid w:val="00491AF4"/>
    <w:rsid w:val="00491C05"/>
    <w:rsid w:val="00491C32"/>
    <w:rsid w:val="00491EAC"/>
    <w:rsid w:val="00491EC6"/>
    <w:rsid w:val="00491ED0"/>
    <w:rsid w:val="0049200C"/>
    <w:rsid w:val="004920AF"/>
    <w:rsid w:val="004923A1"/>
    <w:rsid w:val="004924D6"/>
    <w:rsid w:val="004926A4"/>
    <w:rsid w:val="0049299A"/>
    <w:rsid w:val="0049299C"/>
    <w:rsid w:val="0049299D"/>
    <w:rsid w:val="00492ABD"/>
    <w:rsid w:val="00492C43"/>
    <w:rsid w:val="00492CDE"/>
    <w:rsid w:val="00492D9F"/>
    <w:rsid w:val="00492E32"/>
    <w:rsid w:val="00492E74"/>
    <w:rsid w:val="00492FE5"/>
    <w:rsid w:val="00493041"/>
    <w:rsid w:val="004931B3"/>
    <w:rsid w:val="004931C0"/>
    <w:rsid w:val="004931D8"/>
    <w:rsid w:val="004931F5"/>
    <w:rsid w:val="0049344B"/>
    <w:rsid w:val="00493552"/>
    <w:rsid w:val="00493771"/>
    <w:rsid w:val="00493A18"/>
    <w:rsid w:val="00493A64"/>
    <w:rsid w:val="00493BE9"/>
    <w:rsid w:val="00493C25"/>
    <w:rsid w:val="00493E32"/>
    <w:rsid w:val="00494315"/>
    <w:rsid w:val="004943B4"/>
    <w:rsid w:val="004944B0"/>
    <w:rsid w:val="0049468C"/>
    <w:rsid w:val="00494805"/>
    <w:rsid w:val="004948CA"/>
    <w:rsid w:val="00494A45"/>
    <w:rsid w:val="00494E78"/>
    <w:rsid w:val="00494EB2"/>
    <w:rsid w:val="00494EF2"/>
    <w:rsid w:val="00494F5A"/>
    <w:rsid w:val="0049518A"/>
    <w:rsid w:val="004954BB"/>
    <w:rsid w:val="00495702"/>
    <w:rsid w:val="004957EC"/>
    <w:rsid w:val="004958C5"/>
    <w:rsid w:val="00495AF3"/>
    <w:rsid w:val="0049626D"/>
    <w:rsid w:val="00496309"/>
    <w:rsid w:val="00496390"/>
    <w:rsid w:val="004966BF"/>
    <w:rsid w:val="0049676E"/>
    <w:rsid w:val="0049696C"/>
    <w:rsid w:val="00496CA0"/>
    <w:rsid w:val="00496CA4"/>
    <w:rsid w:val="00496CC7"/>
    <w:rsid w:val="00496E23"/>
    <w:rsid w:val="00496ED7"/>
    <w:rsid w:val="00496FCE"/>
    <w:rsid w:val="0049704B"/>
    <w:rsid w:val="00497074"/>
    <w:rsid w:val="004971B4"/>
    <w:rsid w:val="00497759"/>
    <w:rsid w:val="004978BB"/>
    <w:rsid w:val="004978BF"/>
    <w:rsid w:val="00497AA2"/>
    <w:rsid w:val="00497B82"/>
    <w:rsid w:val="00497BA7"/>
    <w:rsid w:val="00497C0B"/>
    <w:rsid w:val="004A0042"/>
    <w:rsid w:val="004A016A"/>
    <w:rsid w:val="004A0224"/>
    <w:rsid w:val="004A02E2"/>
    <w:rsid w:val="004A032A"/>
    <w:rsid w:val="004A039A"/>
    <w:rsid w:val="004A0429"/>
    <w:rsid w:val="004A04F0"/>
    <w:rsid w:val="004A055D"/>
    <w:rsid w:val="004A063F"/>
    <w:rsid w:val="004A07CB"/>
    <w:rsid w:val="004A0BC8"/>
    <w:rsid w:val="004A0C1C"/>
    <w:rsid w:val="004A0C81"/>
    <w:rsid w:val="004A0E78"/>
    <w:rsid w:val="004A0F1F"/>
    <w:rsid w:val="004A113D"/>
    <w:rsid w:val="004A1394"/>
    <w:rsid w:val="004A14D4"/>
    <w:rsid w:val="004A1540"/>
    <w:rsid w:val="004A1692"/>
    <w:rsid w:val="004A1878"/>
    <w:rsid w:val="004A18A5"/>
    <w:rsid w:val="004A1937"/>
    <w:rsid w:val="004A195E"/>
    <w:rsid w:val="004A1A97"/>
    <w:rsid w:val="004A1C11"/>
    <w:rsid w:val="004A1C79"/>
    <w:rsid w:val="004A1CE3"/>
    <w:rsid w:val="004A1EAC"/>
    <w:rsid w:val="004A20B4"/>
    <w:rsid w:val="004A20F9"/>
    <w:rsid w:val="004A219A"/>
    <w:rsid w:val="004A241B"/>
    <w:rsid w:val="004A2897"/>
    <w:rsid w:val="004A289A"/>
    <w:rsid w:val="004A2941"/>
    <w:rsid w:val="004A298B"/>
    <w:rsid w:val="004A2A0B"/>
    <w:rsid w:val="004A2BA6"/>
    <w:rsid w:val="004A2CD1"/>
    <w:rsid w:val="004A2D25"/>
    <w:rsid w:val="004A2DA8"/>
    <w:rsid w:val="004A2DD4"/>
    <w:rsid w:val="004A2F4D"/>
    <w:rsid w:val="004A2FF6"/>
    <w:rsid w:val="004A2FF8"/>
    <w:rsid w:val="004A3021"/>
    <w:rsid w:val="004A310F"/>
    <w:rsid w:val="004A3114"/>
    <w:rsid w:val="004A34C7"/>
    <w:rsid w:val="004A388E"/>
    <w:rsid w:val="004A38C0"/>
    <w:rsid w:val="004A38E4"/>
    <w:rsid w:val="004A3904"/>
    <w:rsid w:val="004A39F2"/>
    <w:rsid w:val="004A3A38"/>
    <w:rsid w:val="004A3B79"/>
    <w:rsid w:val="004A3D09"/>
    <w:rsid w:val="004A3D36"/>
    <w:rsid w:val="004A3E18"/>
    <w:rsid w:val="004A4055"/>
    <w:rsid w:val="004A406B"/>
    <w:rsid w:val="004A4218"/>
    <w:rsid w:val="004A45A0"/>
    <w:rsid w:val="004A45CA"/>
    <w:rsid w:val="004A4620"/>
    <w:rsid w:val="004A47D5"/>
    <w:rsid w:val="004A4836"/>
    <w:rsid w:val="004A4D41"/>
    <w:rsid w:val="004A4DBF"/>
    <w:rsid w:val="004A4EC9"/>
    <w:rsid w:val="004A4F90"/>
    <w:rsid w:val="004A4FC5"/>
    <w:rsid w:val="004A501B"/>
    <w:rsid w:val="004A514E"/>
    <w:rsid w:val="004A51CD"/>
    <w:rsid w:val="004A5491"/>
    <w:rsid w:val="004A57AA"/>
    <w:rsid w:val="004A596E"/>
    <w:rsid w:val="004A5980"/>
    <w:rsid w:val="004A5E06"/>
    <w:rsid w:val="004A5EA1"/>
    <w:rsid w:val="004A5F52"/>
    <w:rsid w:val="004A5FC0"/>
    <w:rsid w:val="004A5FC9"/>
    <w:rsid w:val="004A61F0"/>
    <w:rsid w:val="004A632B"/>
    <w:rsid w:val="004A64DE"/>
    <w:rsid w:val="004A6616"/>
    <w:rsid w:val="004A6659"/>
    <w:rsid w:val="004A6717"/>
    <w:rsid w:val="004A6903"/>
    <w:rsid w:val="004A6C08"/>
    <w:rsid w:val="004A7005"/>
    <w:rsid w:val="004A70B8"/>
    <w:rsid w:val="004A7146"/>
    <w:rsid w:val="004A7186"/>
    <w:rsid w:val="004A7239"/>
    <w:rsid w:val="004A72E1"/>
    <w:rsid w:val="004A746A"/>
    <w:rsid w:val="004A747F"/>
    <w:rsid w:val="004A74C9"/>
    <w:rsid w:val="004A785A"/>
    <w:rsid w:val="004A7915"/>
    <w:rsid w:val="004A797B"/>
    <w:rsid w:val="004A7992"/>
    <w:rsid w:val="004A7A9D"/>
    <w:rsid w:val="004A7C45"/>
    <w:rsid w:val="004A7E34"/>
    <w:rsid w:val="004B015B"/>
    <w:rsid w:val="004B01C3"/>
    <w:rsid w:val="004B025E"/>
    <w:rsid w:val="004B04F7"/>
    <w:rsid w:val="004B05FD"/>
    <w:rsid w:val="004B062F"/>
    <w:rsid w:val="004B0677"/>
    <w:rsid w:val="004B086F"/>
    <w:rsid w:val="004B0BBD"/>
    <w:rsid w:val="004B0D95"/>
    <w:rsid w:val="004B0EE8"/>
    <w:rsid w:val="004B0F9E"/>
    <w:rsid w:val="004B1068"/>
    <w:rsid w:val="004B10BE"/>
    <w:rsid w:val="004B10FF"/>
    <w:rsid w:val="004B11CA"/>
    <w:rsid w:val="004B154D"/>
    <w:rsid w:val="004B156C"/>
    <w:rsid w:val="004B17BF"/>
    <w:rsid w:val="004B185A"/>
    <w:rsid w:val="004B18A1"/>
    <w:rsid w:val="004B1AAB"/>
    <w:rsid w:val="004B1AAC"/>
    <w:rsid w:val="004B1B94"/>
    <w:rsid w:val="004B1BA8"/>
    <w:rsid w:val="004B1CA2"/>
    <w:rsid w:val="004B2029"/>
    <w:rsid w:val="004B231A"/>
    <w:rsid w:val="004B2456"/>
    <w:rsid w:val="004B24F5"/>
    <w:rsid w:val="004B258A"/>
    <w:rsid w:val="004B2779"/>
    <w:rsid w:val="004B294D"/>
    <w:rsid w:val="004B2B3C"/>
    <w:rsid w:val="004B2CCB"/>
    <w:rsid w:val="004B2D1C"/>
    <w:rsid w:val="004B2D2C"/>
    <w:rsid w:val="004B2E69"/>
    <w:rsid w:val="004B2F7B"/>
    <w:rsid w:val="004B328F"/>
    <w:rsid w:val="004B32D2"/>
    <w:rsid w:val="004B33F1"/>
    <w:rsid w:val="004B34CC"/>
    <w:rsid w:val="004B366C"/>
    <w:rsid w:val="004B36C6"/>
    <w:rsid w:val="004B3B4C"/>
    <w:rsid w:val="004B3B89"/>
    <w:rsid w:val="004B3D18"/>
    <w:rsid w:val="004B3D9D"/>
    <w:rsid w:val="004B3E30"/>
    <w:rsid w:val="004B4138"/>
    <w:rsid w:val="004B4165"/>
    <w:rsid w:val="004B4356"/>
    <w:rsid w:val="004B4360"/>
    <w:rsid w:val="004B43B5"/>
    <w:rsid w:val="004B4471"/>
    <w:rsid w:val="004B44F5"/>
    <w:rsid w:val="004B46D2"/>
    <w:rsid w:val="004B4B2A"/>
    <w:rsid w:val="004B4B5F"/>
    <w:rsid w:val="004B4B67"/>
    <w:rsid w:val="004B4C0F"/>
    <w:rsid w:val="004B4E04"/>
    <w:rsid w:val="004B4EF7"/>
    <w:rsid w:val="004B4F64"/>
    <w:rsid w:val="004B4FB1"/>
    <w:rsid w:val="004B5122"/>
    <w:rsid w:val="004B55D8"/>
    <w:rsid w:val="004B55EA"/>
    <w:rsid w:val="004B5762"/>
    <w:rsid w:val="004B5A9D"/>
    <w:rsid w:val="004B5CB8"/>
    <w:rsid w:val="004B60B1"/>
    <w:rsid w:val="004B611A"/>
    <w:rsid w:val="004B61BC"/>
    <w:rsid w:val="004B61E2"/>
    <w:rsid w:val="004B63C0"/>
    <w:rsid w:val="004B662E"/>
    <w:rsid w:val="004B66F6"/>
    <w:rsid w:val="004B685B"/>
    <w:rsid w:val="004B68F4"/>
    <w:rsid w:val="004B691E"/>
    <w:rsid w:val="004B6AD8"/>
    <w:rsid w:val="004B6C6A"/>
    <w:rsid w:val="004B6C79"/>
    <w:rsid w:val="004B6E8D"/>
    <w:rsid w:val="004B6EFE"/>
    <w:rsid w:val="004B6F6A"/>
    <w:rsid w:val="004B6FCB"/>
    <w:rsid w:val="004B70F1"/>
    <w:rsid w:val="004B7181"/>
    <w:rsid w:val="004B71FF"/>
    <w:rsid w:val="004B72AB"/>
    <w:rsid w:val="004B73BC"/>
    <w:rsid w:val="004B76A8"/>
    <w:rsid w:val="004B7916"/>
    <w:rsid w:val="004B79FB"/>
    <w:rsid w:val="004B7A02"/>
    <w:rsid w:val="004B7A49"/>
    <w:rsid w:val="004B7A61"/>
    <w:rsid w:val="004B7B87"/>
    <w:rsid w:val="004B7BC7"/>
    <w:rsid w:val="004B7FFB"/>
    <w:rsid w:val="004C0154"/>
    <w:rsid w:val="004C01A4"/>
    <w:rsid w:val="004C01C2"/>
    <w:rsid w:val="004C03FD"/>
    <w:rsid w:val="004C055D"/>
    <w:rsid w:val="004C05F6"/>
    <w:rsid w:val="004C078E"/>
    <w:rsid w:val="004C0822"/>
    <w:rsid w:val="004C0851"/>
    <w:rsid w:val="004C099F"/>
    <w:rsid w:val="004C0AF8"/>
    <w:rsid w:val="004C0BE3"/>
    <w:rsid w:val="004C0BF8"/>
    <w:rsid w:val="004C0C49"/>
    <w:rsid w:val="004C0D44"/>
    <w:rsid w:val="004C0D81"/>
    <w:rsid w:val="004C0DEC"/>
    <w:rsid w:val="004C0E96"/>
    <w:rsid w:val="004C0F67"/>
    <w:rsid w:val="004C0F97"/>
    <w:rsid w:val="004C1427"/>
    <w:rsid w:val="004C14BB"/>
    <w:rsid w:val="004C1501"/>
    <w:rsid w:val="004C16BC"/>
    <w:rsid w:val="004C1853"/>
    <w:rsid w:val="004C18EC"/>
    <w:rsid w:val="004C1915"/>
    <w:rsid w:val="004C1C8A"/>
    <w:rsid w:val="004C1D6B"/>
    <w:rsid w:val="004C1D74"/>
    <w:rsid w:val="004C2258"/>
    <w:rsid w:val="004C2262"/>
    <w:rsid w:val="004C240E"/>
    <w:rsid w:val="004C2424"/>
    <w:rsid w:val="004C24D5"/>
    <w:rsid w:val="004C2507"/>
    <w:rsid w:val="004C256B"/>
    <w:rsid w:val="004C261B"/>
    <w:rsid w:val="004C269E"/>
    <w:rsid w:val="004C293A"/>
    <w:rsid w:val="004C2DBA"/>
    <w:rsid w:val="004C2F59"/>
    <w:rsid w:val="004C3282"/>
    <w:rsid w:val="004C34EE"/>
    <w:rsid w:val="004C3599"/>
    <w:rsid w:val="004C384D"/>
    <w:rsid w:val="004C38BE"/>
    <w:rsid w:val="004C38E4"/>
    <w:rsid w:val="004C3B35"/>
    <w:rsid w:val="004C3D32"/>
    <w:rsid w:val="004C3DDB"/>
    <w:rsid w:val="004C3E3A"/>
    <w:rsid w:val="004C3E88"/>
    <w:rsid w:val="004C3F2B"/>
    <w:rsid w:val="004C3F6D"/>
    <w:rsid w:val="004C4022"/>
    <w:rsid w:val="004C417F"/>
    <w:rsid w:val="004C42CC"/>
    <w:rsid w:val="004C42CE"/>
    <w:rsid w:val="004C43CE"/>
    <w:rsid w:val="004C441C"/>
    <w:rsid w:val="004C4595"/>
    <w:rsid w:val="004C4943"/>
    <w:rsid w:val="004C4B41"/>
    <w:rsid w:val="004C4B5E"/>
    <w:rsid w:val="004C51A0"/>
    <w:rsid w:val="004C51BA"/>
    <w:rsid w:val="004C52D9"/>
    <w:rsid w:val="004C5414"/>
    <w:rsid w:val="004C5543"/>
    <w:rsid w:val="004C55DC"/>
    <w:rsid w:val="004C5932"/>
    <w:rsid w:val="004C59F3"/>
    <w:rsid w:val="004C5B70"/>
    <w:rsid w:val="004C5C6F"/>
    <w:rsid w:val="004C5D4A"/>
    <w:rsid w:val="004C6302"/>
    <w:rsid w:val="004C6353"/>
    <w:rsid w:val="004C6473"/>
    <w:rsid w:val="004C6562"/>
    <w:rsid w:val="004C66A1"/>
    <w:rsid w:val="004C670D"/>
    <w:rsid w:val="004C67E0"/>
    <w:rsid w:val="004C6858"/>
    <w:rsid w:val="004C6942"/>
    <w:rsid w:val="004C694C"/>
    <w:rsid w:val="004C69F3"/>
    <w:rsid w:val="004C6A38"/>
    <w:rsid w:val="004C6B4F"/>
    <w:rsid w:val="004C6F60"/>
    <w:rsid w:val="004C7005"/>
    <w:rsid w:val="004C7207"/>
    <w:rsid w:val="004C7215"/>
    <w:rsid w:val="004C7351"/>
    <w:rsid w:val="004C73A2"/>
    <w:rsid w:val="004C74DA"/>
    <w:rsid w:val="004C7689"/>
    <w:rsid w:val="004C7ADF"/>
    <w:rsid w:val="004D010C"/>
    <w:rsid w:val="004D01FE"/>
    <w:rsid w:val="004D02B3"/>
    <w:rsid w:val="004D02F9"/>
    <w:rsid w:val="004D036C"/>
    <w:rsid w:val="004D0549"/>
    <w:rsid w:val="004D0734"/>
    <w:rsid w:val="004D0A08"/>
    <w:rsid w:val="004D0A68"/>
    <w:rsid w:val="004D0B7C"/>
    <w:rsid w:val="004D0B9D"/>
    <w:rsid w:val="004D0BB4"/>
    <w:rsid w:val="004D0DD9"/>
    <w:rsid w:val="004D0E1B"/>
    <w:rsid w:val="004D0E97"/>
    <w:rsid w:val="004D0F3B"/>
    <w:rsid w:val="004D1133"/>
    <w:rsid w:val="004D12B5"/>
    <w:rsid w:val="004D13B1"/>
    <w:rsid w:val="004D16AA"/>
    <w:rsid w:val="004D17E1"/>
    <w:rsid w:val="004D19A9"/>
    <w:rsid w:val="004D1A5F"/>
    <w:rsid w:val="004D1C5B"/>
    <w:rsid w:val="004D1CE8"/>
    <w:rsid w:val="004D1DA2"/>
    <w:rsid w:val="004D1EAE"/>
    <w:rsid w:val="004D230A"/>
    <w:rsid w:val="004D234C"/>
    <w:rsid w:val="004D23E4"/>
    <w:rsid w:val="004D2488"/>
    <w:rsid w:val="004D24AA"/>
    <w:rsid w:val="004D27ED"/>
    <w:rsid w:val="004D2CA7"/>
    <w:rsid w:val="004D2D4C"/>
    <w:rsid w:val="004D2D93"/>
    <w:rsid w:val="004D2E54"/>
    <w:rsid w:val="004D2E84"/>
    <w:rsid w:val="004D303D"/>
    <w:rsid w:val="004D3082"/>
    <w:rsid w:val="004D31E6"/>
    <w:rsid w:val="004D3225"/>
    <w:rsid w:val="004D333A"/>
    <w:rsid w:val="004D3557"/>
    <w:rsid w:val="004D359C"/>
    <w:rsid w:val="004D372E"/>
    <w:rsid w:val="004D37E9"/>
    <w:rsid w:val="004D3848"/>
    <w:rsid w:val="004D3874"/>
    <w:rsid w:val="004D3896"/>
    <w:rsid w:val="004D38C5"/>
    <w:rsid w:val="004D39BA"/>
    <w:rsid w:val="004D39F6"/>
    <w:rsid w:val="004D3BE8"/>
    <w:rsid w:val="004D3C4B"/>
    <w:rsid w:val="004D3C58"/>
    <w:rsid w:val="004D3C6D"/>
    <w:rsid w:val="004D3C95"/>
    <w:rsid w:val="004D3D3F"/>
    <w:rsid w:val="004D4090"/>
    <w:rsid w:val="004D40A7"/>
    <w:rsid w:val="004D41CF"/>
    <w:rsid w:val="004D42F4"/>
    <w:rsid w:val="004D449F"/>
    <w:rsid w:val="004D4604"/>
    <w:rsid w:val="004D4758"/>
    <w:rsid w:val="004D4942"/>
    <w:rsid w:val="004D4946"/>
    <w:rsid w:val="004D4C39"/>
    <w:rsid w:val="004D4DA9"/>
    <w:rsid w:val="004D4DF8"/>
    <w:rsid w:val="004D4E3D"/>
    <w:rsid w:val="004D4E8F"/>
    <w:rsid w:val="004D5171"/>
    <w:rsid w:val="004D51CA"/>
    <w:rsid w:val="004D52AA"/>
    <w:rsid w:val="004D52B0"/>
    <w:rsid w:val="004D52FB"/>
    <w:rsid w:val="004D540C"/>
    <w:rsid w:val="004D5474"/>
    <w:rsid w:val="004D54DE"/>
    <w:rsid w:val="004D5B37"/>
    <w:rsid w:val="004D5C60"/>
    <w:rsid w:val="004D5CE2"/>
    <w:rsid w:val="004D5FF8"/>
    <w:rsid w:val="004D6195"/>
    <w:rsid w:val="004D6334"/>
    <w:rsid w:val="004D64AA"/>
    <w:rsid w:val="004D67B8"/>
    <w:rsid w:val="004D68F2"/>
    <w:rsid w:val="004D6A34"/>
    <w:rsid w:val="004D6B42"/>
    <w:rsid w:val="004D6DBC"/>
    <w:rsid w:val="004D6F46"/>
    <w:rsid w:val="004D7065"/>
    <w:rsid w:val="004D719C"/>
    <w:rsid w:val="004D7470"/>
    <w:rsid w:val="004D74E8"/>
    <w:rsid w:val="004D7524"/>
    <w:rsid w:val="004D75FF"/>
    <w:rsid w:val="004D771E"/>
    <w:rsid w:val="004D7746"/>
    <w:rsid w:val="004D7772"/>
    <w:rsid w:val="004D7827"/>
    <w:rsid w:val="004D78FE"/>
    <w:rsid w:val="004D7B91"/>
    <w:rsid w:val="004D7CF9"/>
    <w:rsid w:val="004D7D39"/>
    <w:rsid w:val="004D7D63"/>
    <w:rsid w:val="004D7EDD"/>
    <w:rsid w:val="004E001C"/>
    <w:rsid w:val="004E00AF"/>
    <w:rsid w:val="004E00D7"/>
    <w:rsid w:val="004E0250"/>
    <w:rsid w:val="004E0319"/>
    <w:rsid w:val="004E085A"/>
    <w:rsid w:val="004E0C96"/>
    <w:rsid w:val="004E0E63"/>
    <w:rsid w:val="004E119A"/>
    <w:rsid w:val="004E1253"/>
    <w:rsid w:val="004E1398"/>
    <w:rsid w:val="004E13CE"/>
    <w:rsid w:val="004E14EB"/>
    <w:rsid w:val="004E1548"/>
    <w:rsid w:val="004E18E5"/>
    <w:rsid w:val="004E190D"/>
    <w:rsid w:val="004E1A27"/>
    <w:rsid w:val="004E1D04"/>
    <w:rsid w:val="004E1EB0"/>
    <w:rsid w:val="004E1EC4"/>
    <w:rsid w:val="004E1EC9"/>
    <w:rsid w:val="004E2122"/>
    <w:rsid w:val="004E2176"/>
    <w:rsid w:val="004E21C7"/>
    <w:rsid w:val="004E2365"/>
    <w:rsid w:val="004E23E8"/>
    <w:rsid w:val="004E2758"/>
    <w:rsid w:val="004E2A0F"/>
    <w:rsid w:val="004E2C08"/>
    <w:rsid w:val="004E2C36"/>
    <w:rsid w:val="004E2D4C"/>
    <w:rsid w:val="004E2E8F"/>
    <w:rsid w:val="004E2FA0"/>
    <w:rsid w:val="004E30D9"/>
    <w:rsid w:val="004E30DE"/>
    <w:rsid w:val="004E31C1"/>
    <w:rsid w:val="004E3275"/>
    <w:rsid w:val="004E330E"/>
    <w:rsid w:val="004E335A"/>
    <w:rsid w:val="004E33BE"/>
    <w:rsid w:val="004E3400"/>
    <w:rsid w:val="004E34C3"/>
    <w:rsid w:val="004E35EA"/>
    <w:rsid w:val="004E380F"/>
    <w:rsid w:val="004E3A62"/>
    <w:rsid w:val="004E3BF0"/>
    <w:rsid w:val="004E3C92"/>
    <w:rsid w:val="004E3D62"/>
    <w:rsid w:val="004E3E72"/>
    <w:rsid w:val="004E3F5C"/>
    <w:rsid w:val="004E3F78"/>
    <w:rsid w:val="004E3FB9"/>
    <w:rsid w:val="004E407F"/>
    <w:rsid w:val="004E40A8"/>
    <w:rsid w:val="004E4110"/>
    <w:rsid w:val="004E4608"/>
    <w:rsid w:val="004E4695"/>
    <w:rsid w:val="004E4811"/>
    <w:rsid w:val="004E4ACB"/>
    <w:rsid w:val="004E4C10"/>
    <w:rsid w:val="004E4E27"/>
    <w:rsid w:val="004E4EFA"/>
    <w:rsid w:val="004E50DC"/>
    <w:rsid w:val="004E520E"/>
    <w:rsid w:val="004E54A0"/>
    <w:rsid w:val="004E5520"/>
    <w:rsid w:val="004E5A17"/>
    <w:rsid w:val="004E5AE2"/>
    <w:rsid w:val="004E5B5E"/>
    <w:rsid w:val="004E5FDD"/>
    <w:rsid w:val="004E6038"/>
    <w:rsid w:val="004E60CB"/>
    <w:rsid w:val="004E634C"/>
    <w:rsid w:val="004E6390"/>
    <w:rsid w:val="004E66A2"/>
    <w:rsid w:val="004E674C"/>
    <w:rsid w:val="004E67C4"/>
    <w:rsid w:val="004E682F"/>
    <w:rsid w:val="004E688F"/>
    <w:rsid w:val="004E69F1"/>
    <w:rsid w:val="004E6AD8"/>
    <w:rsid w:val="004E6B90"/>
    <w:rsid w:val="004E6D00"/>
    <w:rsid w:val="004E6D76"/>
    <w:rsid w:val="004E6DBF"/>
    <w:rsid w:val="004E6F00"/>
    <w:rsid w:val="004E6F29"/>
    <w:rsid w:val="004E7040"/>
    <w:rsid w:val="004E718E"/>
    <w:rsid w:val="004E71E4"/>
    <w:rsid w:val="004E7493"/>
    <w:rsid w:val="004E75E9"/>
    <w:rsid w:val="004E7600"/>
    <w:rsid w:val="004E7B2F"/>
    <w:rsid w:val="004E7BC4"/>
    <w:rsid w:val="004E7C0E"/>
    <w:rsid w:val="004E7CD6"/>
    <w:rsid w:val="004E7F13"/>
    <w:rsid w:val="004F017E"/>
    <w:rsid w:val="004F02B1"/>
    <w:rsid w:val="004F02DB"/>
    <w:rsid w:val="004F0444"/>
    <w:rsid w:val="004F081A"/>
    <w:rsid w:val="004F0C04"/>
    <w:rsid w:val="004F0CAA"/>
    <w:rsid w:val="004F0D76"/>
    <w:rsid w:val="004F0EFA"/>
    <w:rsid w:val="004F108D"/>
    <w:rsid w:val="004F13A7"/>
    <w:rsid w:val="004F14AD"/>
    <w:rsid w:val="004F1675"/>
    <w:rsid w:val="004F176F"/>
    <w:rsid w:val="004F17EF"/>
    <w:rsid w:val="004F183A"/>
    <w:rsid w:val="004F1B25"/>
    <w:rsid w:val="004F2069"/>
    <w:rsid w:val="004F214E"/>
    <w:rsid w:val="004F216D"/>
    <w:rsid w:val="004F25F6"/>
    <w:rsid w:val="004F2617"/>
    <w:rsid w:val="004F265F"/>
    <w:rsid w:val="004F26F0"/>
    <w:rsid w:val="004F273A"/>
    <w:rsid w:val="004F286B"/>
    <w:rsid w:val="004F28C0"/>
    <w:rsid w:val="004F2A26"/>
    <w:rsid w:val="004F2BDC"/>
    <w:rsid w:val="004F2C33"/>
    <w:rsid w:val="004F30C4"/>
    <w:rsid w:val="004F30DA"/>
    <w:rsid w:val="004F3120"/>
    <w:rsid w:val="004F3181"/>
    <w:rsid w:val="004F3213"/>
    <w:rsid w:val="004F347A"/>
    <w:rsid w:val="004F363C"/>
    <w:rsid w:val="004F381B"/>
    <w:rsid w:val="004F3826"/>
    <w:rsid w:val="004F3AC8"/>
    <w:rsid w:val="004F3DCD"/>
    <w:rsid w:val="004F3E39"/>
    <w:rsid w:val="004F3F0A"/>
    <w:rsid w:val="004F3FEA"/>
    <w:rsid w:val="004F40E0"/>
    <w:rsid w:val="004F43E7"/>
    <w:rsid w:val="004F43FA"/>
    <w:rsid w:val="004F4529"/>
    <w:rsid w:val="004F4614"/>
    <w:rsid w:val="004F47C7"/>
    <w:rsid w:val="004F48CE"/>
    <w:rsid w:val="004F493D"/>
    <w:rsid w:val="004F4958"/>
    <w:rsid w:val="004F4DEC"/>
    <w:rsid w:val="004F4E4B"/>
    <w:rsid w:val="004F5097"/>
    <w:rsid w:val="004F50C4"/>
    <w:rsid w:val="004F51C7"/>
    <w:rsid w:val="004F52BC"/>
    <w:rsid w:val="004F562B"/>
    <w:rsid w:val="004F5695"/>
    <w:rsid w:val="004F56C2"/>
    <w:rsid w:val="004F5812"/>
    <w:rsid w:val="004F582D"/>
    <w:rsid w:val="004F58CA"/>
    <w:rsid w:val="004F58E7"/>
    <w:rsid w:val="004F5923"/>
    <w:rsid w:val="004F59FA"/>
    <w:rsid w:val="004F5A17"/>
    <w:rsid w:val="004F5A9D"/>
    <w:rsid w:val="004F5AEB"/>
    <w:rsid w:val="004F5B7E"/>
    <w:rsid w:val="004F5D97"/>
    <w:rsid w:val="004F5DBC"/>
    <w:rsid w:val="004F5DEA"/>
    <w:rsid w:val="004F5F87"/>
    <w:rsid w:val="004F6038"/>
    <w:rsid w:val="004F63CF"/>
    <w:rsid w:val="004F663F"/>
    <w:rsid w:val="004F6717"/>
    <w:rsid w:val="004F69F2"/>
    <w:rsid w:val="004F6A0D"/>
    <w:rsid w:val="004F6A7F"/>
    <w:rsid w:val="004F6AA2"/>
    <w:rsid w:val="004F6AAF"/>
    <w:rsid w:val="004F6B67"/>
    <w:rsid w:val="004F6E71"/>
    <w:rsid w:val="004F6E89"/>
    <w:rsid w:val="004F6F00"/>
    <w:rsid w:val="004F6FF0"/>
    <w:rsid w:val="004F6FF2"/>
    <w:rsid w:val="004F70D5"/>
    <w:rsid w:val="004F7159"/>
    <w:rsid w:val="004F75DC"/>
    <w:rsid w:val="004F7C19"/>
    <w:rsid w:val="004F7C7E"/>
    <w:rsid w:val="004F7CFB"/>
    <w:rsid w:val="004F7D09"/>
    <w:rsid w:val="0050001B"/>
    <w:rsid w:val="00500212"/>
    <w:rsid w:val="0050045E"/>
    <w:rsid w:val="00500481"/>
    <w:rsid w:val="0050070E"/>
    <w:rsid w:val="005008E5"/>
    <w:rsid w:val="00500C04"/>
    <w:rsid w:val="00500C18"/>
    <w:rsid w:val="00500CB2"/>
    <w:rsid w:val="00500DE7"/>
    <w:rsid w:val="0050119B"/>
    <w:rsid w:val="005011C3"/>
    <w:rsid w:val="0050140F"/>
    <w:rsid w:val="005015BB"/>
    <w:rsid w:val="005015C5"/>
    <w:rsid w:val="0050183F"/>
    <w:rsid w:val="005018CE"/>
    <w:rsid w:val="0050196B"/>
    <w:rsid w:val="00501D0C"/>
    <w:rsid w:val="00501E25"/>
    <w:rsid w:val="00501EF8"/>
    <w:rsid w:val="00501EFC"/>
    <w:rsid w:val="00501FB8"/>
    <w:rsid w:val="00502006"/>
    <w:rsid w:val="005023A8"/>
    <w:rsid w:val="00502417"/>
    <w:rsid w:val="0050259E"/>
    <w:rsid w:val="0050266B"/>
    <w:rsid w:val="0050275D"/>
    <w:rsid w:val="0050288C"/>
    <w:rsid w:val="005028D6"/>
    <w:rsid w:val="005029D2"/>
    <w:rsid w:val="00502A32"/>
    <w:rsid w:val="00502C96"/>
    <w:rsid w:val="00502D7B"/>
    <w:rsid w:val="00502F06"/>
    <w:rsid w:val="00502FC7"/>
    <w:rsid w:val="00503083"/>
    <w:rsid w:val="00503244"/>
    <w:rsid w:val="005032B0"/>
    <w:rsid w:val="005032CD"/>
    <w:rsid w:val="005032CE"/>
    <w:rsid w:val="005033D3"/>
    <w:rsid w:val="00503413"/>
    <w:rsid w:val="005034AA"/>
    <w:rsid w:val="00503750"/>
    <w:rsid w:val="005037BB"/>
    <w:rsid w:val="005037F1"/>
    <w:rsid w:val="005038E2"/>
    <w:rsid w:val="00503961"/>
    <w:rsid w:val="00503BA8"/>
    <w:rsid w:val="00503D2B"/>
    <w:rsid w:val="00503E86"/>
    <w:rsid w:val="005041C0"/>
    <w:rsid w:val="0050425E"/>
    <w:rsid w:val="0050433B"/>
    <w:rsid w:val="005043B5"/>
    <w:rsid w:val="005043B9"/>
    <w:rsid w:val="00504537"/>
    <w:rsid w:val="005045FB"/>
    <w:rsid w:val="005046A3"/>
    <w:rsid w:val="005048BE"/>
    <w:rsid w:val="00504908"/>
    <w:rsid w:val="00504DCB"/>
    <w:rsid w:val="00504EF0"/>
    <w:rsid w:val="00504FDE"/>
    <w:rsid w:val="0050527C"/>
    <w:rsid w:val="0050528B"/>
    <w:rsid w:val="0050598D"/>
    <w:rsid w:val="00505BE8"/>
    <w:rsid w:val="00505C18"/>
    <w:rsid w:val="00505C5E"/>
    <w:rsid w:val="00505CF0"/>
    <w:rsid w:val="00505E28"/>
    <w:rsid w:val="00505E54"/>
    <w:rsid w:val="005060F8"/>
    <w:rsid w:val="005060FD"/>
    <w:rsid w:val="00506196"/>
    <w:rsid w:val="005061F0"/>
    <w:rsid w:val="005062F8"/>
    <w:rsid w:val="005063C0"/>
    <w:rsid w:val="00506497"/>
    <w:rsid w:val="00506820"/>
    <w:rsid w:val="00506B4E"/>
    <w:rsid w:val="00506BD2"/>
    <w:rsid w:val="00506C99"/>
    <w:rsid w:val="00506CB1"/>
    <w:rsid w:val="00506DB5"/>
    <w:rsid w:val="00506E19"/>
    <w:rsid w:val="00507107"/>
    <w:rsid w:val="00507167"/>
    <w:rsid w:val="00507255"/>
    <w:rsid w:val="0050735A"/>
    <w:rsid w:val="0050739B"/>
    <w:rsid w:val="005073D4"/>
    <w:rsid w:val="005073D8"/>
    <w:rsid w:val="00507436"/>
    <w:rsid w:val="005075A8"/>
    <w:rsid w:val="00507742"/>
    <w:rsid w:val="00507764"/>
    <w:rsid w:val="005078D4"/>
    <w:rsid w:val="005079E5"/>
    <w:rsid w:val="00507A0A"/>
    <w:rsid w:val="00507E72"/>
    <w:rsid w:val="00507EFC"/>
    <w:rsid w:val="00507F59"/>
    <w:rsid w:val="00507FA1"/>
    <w:rsid w:val="00507FAA"/>
    <w:rsid w:val="00507FE2"/>
    <w:rsid w:val="00510014"/>
    <w:rsid w:val="00510049"/>
    <w:rsid w:val="005100A0"/>
    <w:rsid w:val="0051036F"/>
    <w:rsid w:val="00510442"/>
    <w:rsid w:val="005104BA"/>
    <w:rsid w:val="0051050B"/>
    <w:rsid w:val="00510554"/>
    <w:rsid w:val="0051074D"/>
    <w:rsid w:val="0051085F"/>
    <w:rsid w:val="005108A8"/>
    <w:rsid w:val="005108BA"/>
    <w:rsid w:val="005109D2"/>
    <w:rsid w:val="00510A4F"/>
    <w:rsid w:val="00510A6A"/>
    <w:rsid w:val="00510B4D"/>
    <w:rsid w:val="00510C2A"/>
    <w:rsid w:val="00510CA0"/>
    <w:rsid w:val="00510E3D"/>
    <w:rsid w:val="00510F2F"/>
    <w:rsid w:val="00511619"/>
    <w:rsid w:val="005117E5"/>
    <w:rsid w:val="005119CB"/>
    <w:rsid w:val="00511BEE"/>
    <w:rsid w:val="00511CD2"/>
    <w:rsid w:val="00511D52"/>
    <w:rsid w:val="00511EE6"/>
    <w:rsid w:val="00511F49"/>
    <w:rsid w:val="00511FBF"/>
    <w:rsid w:val="00511FEB"/>
    <w:rsid w:val="005120F1"/>
    <w:rsid w:val="005122A1"/>
    <w:rsid w:val="005122B3"/>
    <w:rsid w:val="00512393"/>
    <w:rsid w:val="00512491"/>
    <w:rsid w:val="005124F8"/>
    <w:rsid w:val="005125DA"/>
    <w:rsid w:val="0051271F"/>
    <w:rsid w:val="00512727"/>
    <w:rsid w:val="0051289E"/>
    <w:rsid w:val="005129C1"/>
    <w:rsid w:val="005129DE"/>
    <w:rsid w:val="005129FA"/>
    <w:rsid w:val="00512A09"/>
    <w:rsid w:val="00512A28"/>
    <w:rsid w:val="00512A48"/>
    <w:rsid w:val="00512BE8"/>
    <w:rsid w:val="00512C91"/>
    <w:rsid w:val="00512C9D"/>
    <w:rsid w:val="00512EA0"/>
    <w:rsid w:val="00512F59"/>
    <w:rsid w:val="00512FDE"/>
    <w:rsid w:val="0051305B"/>
    <w:rsid w:val="00513091"/>
    <w:rsid w:val="00513122"/>
    <w:rsid w:val="00513327"/>
    <w:rsid w:val="0051347F"/>
    <w:rsid w:val="0051368D"/>
    <w:rsid w:val="00513695"/>
    <w:rsid w:val="00513735"/>
    <w:rsid w:val="005137CA"/>
    <w:rsid w:val="005138E3"/>
    <w:rsid w:val="00513AA5"/>
    <w:rsid w:val="00513B4E"/>
    <w:rsid w:val="00513FF7"/>
    <w:rsid w:val="00514049"/>
    <w:rsid w:val="0051404F"/>
    <w:rsid w:val="005140AF"/>
    <w:rsid w:val="00514241"/>
    <w:rsid w:val="00514483"/>
    <w:rsid w:val="005145DA"/>
    <w:rsid w:val="00514A29"/>
    <w:rsid w:val="00514ABE"/>
    <w:rsid w:val="00514B5D"/>
    <w:rsid w:val="00514C97"/>
    <w:rsid w:val="00514CB4"/>
    <w:rsid w:val="00514D3E"/>
    <w:rsid w:val="00514F17"/>
    <w:rsid w:val="00514FA8"/>
    <w:rsid w:val="0051505B"/>
    <w:rsid w:val="00515175"/>
    <w:rsid w:val="00515199"/>
    <w:rsid w:val="005151DF"/>
    <w:rsid w:val="005154A1"/>
    <w:rsid w:val="005156D2"/>
    <w:rsid w:val="0051594E"/>
    <w:rsid w:val="00515A31"/>
    <w:rsid w:val="00515C4E"/>
    <w:rsid w:val="00515D91"/>
    <w:rsid w:val="00515EB5"/>
    <w:rsid w:val="005161F2"/>
    <w:rsid w:val="00516276"/>
    <w:rsid w:val="00516339"/>
    <w:rsid w:val="005163E9"/>
    <w:rsid w:val="0051642F"/>
    <w:rsid w:val="00516737"/>
    <w:rsid w:val="005168D4"/>
    <w:rsid w:val="0051694E"/>
    <w:rsid w:val="005169B1"/>
    <w:rsid w:val="00516A70"/>
    <w:rsid w:val="00516B66"/>
    <w:rsid w:val="00516B6F"/>
    <w:rsid w:val="00516C05"/>
    <w:rsid w:val="00516CB4"/>
    <w:rsid w:val="00516DE4"/>
    <w:rsid w:val="00516EDA"/>
    <w:rsid w:val="00516F38"/>
    <w:rsid w:val="005170AA"/>
    <w:rsid w:val="005170D8"/>
    <w:rsid w:val="0051711A"/>
    <w:rsid w:val="005171FB"/>
    <w:rsid w:val="0051730D"/>
    <w:rsid w:val="005173A3"/>
    <w:rsid w:val="005175C0"/>
    <w:rsid w:val="00517674"/>
    <w:rsid w:val="005176AB"/>
    <w:rsid w:val="0051770C"/>
    <w:rsid w:val="0051781B"/>
    <w:rsid w:val="005178D9"/>
    <w:rsid w:val="00517A5D"/>
    <w:rsid w:val="00517D10"/>
    <w:rsid w:val="00517D43"/>
    <w:rsid w:val="00517E86"/>
    <w:rsid w:val="00517EFF"/>
    <w:rsid w:val="005204C4"/>
    <w:rsid w:val="005204FE"/>
    <w:rsid w:val="0052064C"/>
    <w:rsid w:val="005207B8"/>
    <w:rsid w:val="00520820"/>
    <w:rsid w:val="00520843"/>
    <w:rsid w:val="005208C4"/>
    <w:rsid w:val="005209BA"/>
    <w:rsid w:val="00520A53"/>
    <w:rsid w:val="00520C30"/>
    <w:rsid w:val="00520D35"/>
    <w:rsid w:val="00520DEA"/>
    <w:rsid w:val="00520E3D"/>
    <w:rsid w:val="00520E9C"/>
    <w:rsid w:val="00520ECA"/>
    <w:rsid w:val="00520EE3"/>
    <w:rsid w:val="00521012"/>
    <w:rsid w:val="00521159"/>
    <w:rsid w:val="00521329"/>
    <w:rsid w:val="005214CA"/>
    <w:rsid w:val="005216BD"/>
    <w:rsid w:val="00521960"/>
    <w:rsid w:val="00521A20"/>
    <w:rsid w:val="00521C66"/>
    <w:rsid w:val="00521D1F"/>
    <w:rsid w:val="00521F1B"/>
    <w:rsid w:val="00522202"/>
    <w:rsid w:val="0052228A"/>
    <w:rsid w:val="005222FB"/>
    <w:rsid w:val="005227AF"/>
    <w:rsid w:val="00522864"/>
    <w:rsid w:val="00522878"/>
    <w:rsid w:val="0052299D"/>
    <w:rsid w:val="005229C8"/>
    <w:rsid w:val="00523136"/>
    <w:rsid w:val="00523630"/>
    <w:rsid w:val="0052365E"/>
    <w:rsid w:val="005237D7"/>
    <w:rsid w:val="005237EC"/>
    <w:rsid w:val="00523819"/>
    <w:rsid w:val="00523BF7"/>
    <w:rsid w:val="00523C51"/>
    <w:rsid w:val="00523D49"/>
    <w:rsid w:val="005241C6"/>
    <w:rsid w:val="005249F8"/>
    <w:rsid w:val="00524AB3"/>
    <w:rsid w:val="00524BBD"/>
    <w:rsid w:val="00524BD1"/>
    <w:rsid w:val="00524C1E"/>
    <w:rsid w:val="00524E75"/>
    <w:rsid w:val="00524F56"/>
    <w:rsid w:val="00524FC2"/>
    <w:rsid w:val="005250E7"/>
    <w:rsid w:val="00525131"/>
    <w:rsid w:val="00525184"/>
    <w:rsid w:val="00525347"/>
    <w:rsid w:val="00525438"/>
    <w:rsid w:val="005254CA"/>
    <w:rsid w:val="00525652"/>
    <w:rsid w:val="00525806"/>
    <w:rsid w:val="00525830"/>
    <w:rsid w:val="00525F6E"/>
    <w:rsid w:val="005261B5"/>
    <w:rsid w:val="005261D6"/>
    <w:rsid w:val="005263FF"/>
    <w:rsid w:val="005264D8"/>
    <w:rsid w:val="00526640"/>
    <w:rsid w:val="0052668E"/>
    <w:rsid w:val="005266A2"/>
    <w:rsid w:val="005266D8"/>
    <w:rsid w:val="0052682A"/>
    <w:rsid w:val="005268F5"/>
    <w:rsid w:val="00526971"/>
    <w:rsid w:val="00526AB1"/>
    <w:rsid w:val="00526C04"/>
    <w:rsid w:val="00526CA0"/>
    <w:rsid w:val="00526CD3"/>
    <w:rsid w:val="00526CFE"/>
    <w:rsid w:val="00526FEA"/>
    <w:rsid w:val="00527026"/>
    <w:rsid w:val="0052717C"/>
    <w:rsid w:val="00527349"/>
    <w:rsid w:val="005274ED"/>
    <w:rsid w:val="005276EA"/>
    <w:rsid w:val="0052788D"/>
    <w:rsid w:val="00527ADC"/>
    <w:rsid w:val="00527C6D"/>
    <w:rsid w:val="00527C85"/>
    <w:rsid w:val="00527E07"/>
    <w:rsid w:val="00530076"/>
    <w:rsid w:val="005300AB"/>
    <w:rsid w:val="00530156"/>
    <w:rsid w:val="005303BD"/>
    <w:rsid w:val="005303FD"/>
    <w:rsid w:val="005305AF"/>
    <w:rsid w:val="0053086D"/>
    <w:rsid w:val="00530A4C"/>
    <w:rsid w:val="00530A85"/>
    <w:rsid w:val="00530E43"/>
    <w:rsid w:val="00530F3C"/>
    <w:rsid w:val="00530F4C"/>
    <w:rsid w:val="00530F50"/>
    <w:rsid w:val="00530F79"/>
    <w:rsid w:val="00531089"/>
    <w:rsid w:val="00531450"/>
    <w:rsid w:val="005315A5"/>
    <w:rsid w:val="00531884"/>
    <w:rsid w:val="005318D1"/>
    <w:rsid w:val="00531985"/>
    <w:rsid w:val="00531E9E"/>
    <w:rsid w:val="00531EA9"/>
    <w:rsid w:val="0053203C"/>
    <w:rsid w:val="0053204E"/>
    <w:rsid w:val="00532087"/>
    <w:rsid w:val="00532159"/>
    <w:rsid w:val="00532233"/>
    <w:rsid w:val="00532347"/>
    <w:rsid w:val="0053239B"/>
    <w:rsid w:val="00532702"/>
    <w:rsid w:val="00532C37"/>
    <w:rsid w:val="00532F1F"/>
    <w:rsid w:val="00532F32"/>
    <w:rsid w:val="00532F97"/>
    <w:rsid w:val="0053314E"/>
    <w:rsid w:val="005334F6"/>
    <w:rsid w:val="00533643"/>
    <w:rsid w:val="00533649"/>
    <w:rsid w:val="005336E9"/>
    <w:rsid w:val="0053381A"/>
    <w:rsid w:val="00533895"/>
    <w:rsid w:val="00533B51"/>
    <w:rsid w:val="00533D6B"/>
    <w:rsid w:val="005340C7"/>
    <w:rsid w:val="00534123"/>
    <w:rsid w:val="005342EB"/>
    <w:rsid w:val="005343EF"/>
    <w:rsid w:val="00534496"/>
    <w:rsid w:val="005348AF"/>
    <w:rsid w:val="005348F1"/>
    <w:rsid w:val="0053496D"/>
    <w:rsid w:val="00534B76"/>
    <w:rsid w:val="00534B78"/>
    <w:rsid w:val="00534BFE"/>
    <w:rsid w:val="00534C02"/>
    <w:rsid w:val="00534D8C"/>
    <w:rsid w:val="00534F32"/>
    <w:rsid w:val="00534F39"/>
    <w:rsid w:val="00534FB9"/>
    <w:rsid w:val="00535378"/>
    <w:rsid w:val="005353C4"/>
    <w:rsid w:val="00535481"/>
    <w:rsid w:val="00535629"/>
    <w:rsid w:val="0053572E"/>
    <w:rsid w:val="005357EC"/>
    <w:rsid w:val="00535D47"/>
    <w:rsid w:val="00535D9C"/>
    <w:rsid w:val="00535DBB"/>
    <w:rsid w:val="00535F1F"/>
    <w:rsid w:val="00536018"/>
    <w:rsid w:val="00536140"/>
    <w:rsid w:val="0053621E"/>
    <w:rsid w:val="00536422"/>
    <w:rsid w:val="005364D8"/>
    <w:rsid w:val="005364DC"/>
    <w:rsid w:val="00536515"/>
    <w:rsid w:val="005366A7"/>
    <w:rsid w:val="0053679E"/>
    <w:rsid w:val="005367BE"/>
    <w:rsid w:val="005367CA"/>
    <w:rsid w:val="005369EB"/>
    <w:rsid w:val="00536A45"/>
    <w:rsid w:val="00536C6C"/>
    <w:rsid w:val="005371D0"/>
    <w:rsid w:val="00537212"/>
    <w:rsid w:val="00537223"/>
    <w:rsid w:val="00537280"/>
    <w:rsid w:val="005372F2"/>
    <w:rsid w:val="0053746B"/>
    <w:rsid w:val="0053748F"/>
    <w:rsid w:val="005375BD"/>
    <w:rsid w:val="005375F5"/>
    <w:rsid w:val="0053766F"/>
    <w:rsid w:val="0053787E"/>
    <w:rsid w:val="0053798F"/>
    <w:rsid w:val="0053799E"/>
    <w:rsid w:val="005379DD"/>
    <w:rsid w:val="00537A67"/>
    <w:rsid w:val="00537AE6"/>
    <w:rsid w:val="00537AFE"/>
    <w:rsid w:val="00537B73"/>
    <w:rsid w:val="00537BCD"/>
    <w:rsid w:val="00537C01"/>
    <w:rsid w:val="00537D12"/>
    <w:rsid w:val="00537D6F"/>
    <w:rsid w:val="0054006C"/>
    <w:rsid w:val="005401AD"/>
    <w:rsid w:val="0054036C"/>
    <w:rsid w:val="00540390"/>
    <w:rsid w:val="005403D6"/>
    <w:rsid w:val="0054042A"/>
    <w:rsid w:val="0054087F"/>
    <w:rsid w:val="00540895"/>
    <w:rsid w:val="00540954"/>
    <w:rsid w:val="00540A65"/>
    <w:rsid w:val="00540AC3"/>
    <w:rsid w:val="00540D51"/>
    <w:rsid w:val="00540E1D"/>
    <w:rsid w:val="00540E4A"/>
    <w:rsid w:val="0054103F"/>
    <w:rsid w:val="0054109B"/>
    <w:rsid w:val="00541277"/>
    <w:rsid w:val="0054141E"/>
    <w:rsid w:val="00541450"/>
    <w:rsid w:val="005418FA"/>
    <w:rsid w:val="0054190F"/>
    <w:rsid w:val="005419D2"/>
    <w:rsid w:val="00541A01"/>
    <w:rsid w:val="00541BC7"/>
    <w:rsid w:val="00541C0D"/>
    <w:rsid w:val="00541EBE"/>
    <w:rsid w:val="00541EE2"/>
    <w:rsid w:val="00541FC9"/>
    <w:rsid w:val="005420EA"/>
    <w:rsid w:val="00542556"/>
    <w:rsid w:val="0054259B"/>
    <w:rsid w:val="0054261E"/>
    <w:rsid w:val="0054270A"/>
    <w:rsid w:val="00542787"/>
    <w:rsid w:val="00542808"/>
    <w:rsid w:val="005428BC"/>
    <w:rsid w:val="005429D9"/>
    <w:rsid w:val="00542AF7"/>
    <w:rsid w:val="00542C3D"/>
    <w:rsid w:val="00542D0C"/>
    <w:rsid w:val="00542F5F"/>
    <w:rsid w:val="00542F80"/>
    <w:rsid w:val="00542FDB"/>
    <w:rsid w:val="0054305D"/>
    <w:rsid w:val="005430D9"/>
    <w:rsid w:val="005431F8"/>
    <w:rsid w:val="00543358"/>
    <w:rsid w:val="00543496"/>
    <w:rsid w:val="0054353F"/>
    <w:rsid w:val="0054376A"/>
    <w:rsid w:val="00543808"/>
    <w:rsid w:val="00543A11"/>
    <w:rsid w:val="00543BE1"/>
    <w:rsid w:val="00543C0F"/>
    <w:rsid w:val="00543C86"/>
    <w:rsid w:val="00543D63"/>
    <w:rsid w:val="00543E8A"/>
    <w:rsid w:val="00543EF0"/>
    <w:rsid w:val="00543F79"/>
    <w:rsid w:val="005440E6"/>
    <w:rsid w:val="005441EC"/>
    <w:rsid w:val="00544360"/>
    <w:rsid w:val="005443D4"/>
    <w:rsid w:val="00544408"/>
    <w:rsid w:val="005448A1"/>
    <w:rsid w:val="005448F7"/>
    <w:rsid w:val="005448F8"/>
    <w:rsid w:val="00544905"/>
    <w:rsid w:val="00544A77"/>
    <w:rsid w:val="00544B52"/>
    <w:rsid w:val="00544B68"/>
    <w:rsid w:val="00544E8C"/>
    <w:rsid w:val="00544F17"/>
    <w:rsid w:val="00545073"/>
    <w:rsid w:val="00545198"/>
    <w:rsid w:val="005453B9"/>
    <w:rsid w:val="005453D8"/>
    <w:rsid w:val="005455AD"/>
    <w:rsid w:val="005455C1"/>
    <w:rsid w:val="005456A1"/>
    <w:rsid w:val="005456B0"/>
    <w:rsid w:val="005456BD"/>
    <w:rsid w:val="005459C1"/>
    <w:rsid w:val="00545AAC"/>
    <w:rsid w:val="00545B55"/>
    <w:rsid w:val="00545DAB"/>
    <w:rsid w:val="00545F7F"/>
    <w:rsid w:val="0054609E"/>
    <w:rsid w:val="00546150"/>
    <w:rsid w:val="0054631A"/>
    <w:rsid w:val="00546325"/>
    <w:rsid w:val="005464CB"/>
    <w:rsid w:val="00546511"/>
    <w:rsid w:val="0054680A"/>
    <w:rsid w:val="005468BE"/>
    <w:rsid w:val="005468E9"/>
    <w:rsid w:val="00546954"/>
    <w:rsid w:val="00546999"/>
    <w:rsid w:val="00546C87"/>
    <w:rsid w:val="00546F45"/>
    <w:rsid w:val="00546FF8"/>
    <w:rsid w:val="00547025"/>
    <w:rsid w:val="005470F7"/>
    <w:rsid w:val="00547281"/>
    <w:rsid w:val="00547313"/>
    <w:rsid w:val="00547464"/>
    <w:rsid w:val="00547639"/>
    <w:rsid w:val="00547696"/>
    <w:rsid w:val="00547C03"/>
    <w:rsid w:val="00547EB6"/>
    <w:rsid w:val="0055013B"/>
    <w:rsid w:val="005501D9"/>
    <w:rsid w:val="00550240"/>
    <w:rsid w:val="005504AB"/>
    <w:rsid w:val="0055053C"/>
    <w:rsid w:val="00550568"/>
    <w:rsid w:val="00550659"/>
    <w:rsid w:val="00550B3B"/>
    <w:rsid w:val="00550BC0"/>
    <w:rsid w:val="00550C88"/>
    <w:rsid w:val="00550CD8"/>
    <w:rsid w:val="00550FC3"/>
    <w:rsid w:val="00551117"/>
    <w:rsid w:val="0055119D"/>
    <w:rsid w:val="00551304"/>
    <w:rsid w:val="00551458"/>
    <w:rsid w:val="0055157B"/>
    <w:rsid w:val="0055158D"/>
    <w:rsid w:val="0055192C"/>
    <w:rsid w:val="00551CB9"/>
    <w:rsid w:val="00551EB0"/>
    <w:rsid w:val="00551F1E"/>
    <w:rsid w:val="00551F70"/>
    <w:rsid w:val="00552103"/>
    <w:rsid w:val="005523D9"/>
    <w:rsid w:val="00552463"/>
    <w:rsid w:val="005527A2"/>
    <w:rsid w:val="0055285C"/>
    <w:rsid w:val="0055289B"/>
    <w:rsid w:val="0055299D"/>
    <w:rsid w:val="00552D58"/>
    <w:rsid w:val="00552D8C"/>
    <w:rsid w:val="00552E91"/>
    <w:rsid w:val="00552EFD"/>
    <w:rsid w:val="00552FE4"/>
    <w:rsid w:val="00552FF7"/>
    <w:rsid w:val="005530A9"/>
    <w:rsid w:val="005530F1"/>
    <w:rsid w:val="005531B7"/>
    <w:rsid w:val="005532FB"/>
    <w:rsid w:val="00553712"/>
    <w:rsid w:val="005537E4"/>
    <w:rsid w:val="00553887"/>
    <w:rsid w:val="00553AB8"/>
    <w:rsid w:val="00553AFD"/>
    <w:rsid w:val="00553BE7"/>
    <w:rsid w:val="00553DBB"/>
    <w:rsid w:val="00553F41"/>
    <w:rsid w:val="00553FC6"/>
    <w:rsid w:val="0055419E"/>
    <w:rsid w:val="00554421"/>
    <w:rsid w:val="00554525"/>
    <w:rsid w:val="005545F9"/>
    <w:rsid w:val="0055467A"/>
    <w:rsid w:val="0055471C"/>
    <w:rsid w:val="00554817"/>
    <w:rsid w:val="005548DD"/>
    <w:rsid w:val="005548EB"/>
    <w:rsid w:val="005549CA"/>
    <w:rsid w:val="00554AF3"/>
    <w:rsid w:val="00554B11"/>
    <w:rsid w:val="00554BD5"/>
    <w:rsid w:val="00554C62"/>
    <w:rsid w:val="00554D00"/>
    <w:rsid w:val="00554D3F"/>
    <w:rsid w:val="00554EB2"/>
    <w:rsid w:val="00554F0A"/>
    <w:rsid w:val="00554F65"/>
    <w:rsid w:val="0055500D"/>
    <w:rsid w:val="005550FC"/>
    <w:rsid w:val="0055521C"/>
    <w:rsid w:val="00555564"/>
    <w:rsid w:val="0055565B"/>
    <w:rsid w:val="00555726"/>
    <w:rsid w:val="005559F6"/>
    <w:rsid w:val="00555A24"/>
    <w:rsid w:val="00555A9F"/>
    <w:rsid w:val="00555CBB"/>
    <w:rsid w:val="00555D54"/>
    <w:rsid w:val="0055602D"/>
    <w:rsid w:val="00556386"/>
    <w:rsid w:val="0055641E"/>
    <w:rsid w:val="0055673D"/>
    <w:rsid w:val="005567F6"/>
    <w:rsid w:val="00556C89"/>
    <w:rsid w:val="00556DF8"/>
    <w:rsid w:val="0055727D"/>
    <w:rsid w:val="005572F6"/>
    <w:rsid w:val="005573DC"/>
    <w:rsid w:val="00557526"/>
    <w:rsid w:val="0055774A"/>
    <w:rsid w:val="0055781C"/>
    <w:rsid w:val="00557930"/>
    <w:rsid w:val="0055793B"/>
    <w:rsid w:val="00557960"/>
    <w:rsid w:val="00557988"/>
    <w:rsid w:val="00557A71"/>
    <w:rsid w:val="00557B96"/>
    <w:rsid w:val="00557BA8"/>
    <w:rsid w:val="00557D3D"/>
    <w:rsid w:val="00557F4A"/>
    <w:rsid w:val="005600C7"/>
    <w:rsid w:val="0056017C"/>
    <w:rsid w:val="0056034E"/>
    <w:rsid w:val="00560425"/>
    <w:rsid w:val="00560488"/>
    <w:rsid w:val="00560647"/>
    <w:rsid w:val="00560922"/>
    <w:rsid w:val="00560B5E"/>
    <w:rsid w:val="00560BE0"/>
    <w:rsid w:val="00560BE5"/>
    <w:rsid w:val="00560CF0"/>
    <w:rsid w:val="00560DCC"/>
    <w:rsid w:val="00560DEC"/>
    <w:rsid w:val="00560FBD"/>
    <w:rsid w:val="005611D5"/>
    <w:rsid w:val="0056130E"/>
    <w:rsid w:val="005614D3"/>
    <w:rsid w:val="00561558"/>
    <w:rsid w:val="0056158F"/>
    <w:rsid w:val="005616B1"/>
    <w:rsid w:val="005616FE"/>
    <w:rsid w:val="00561784"/>
    <w:rsid w:val="00561845"/>
    <w:rsid w:val="0056192E"/>
    <w:rsid w:val="00561AE8"/>
    <w:rsid w:val="00561B50"/>
    <w:rsid w:val="00561C1A"/>
    <w:rsid w:val="00561C1C"/>
    <w:rsid w:val="00561D80"/>
    <w:rsid w:val="00561E68"/>
    <w:rsid w:val="00561FBB"/>
    <w:rsid w:val="005620D0"/>
    <w:rsid w:val="00562135"/>
    <w:rsid w:val="0056218E"/>
    <w:rsid w:val="00562273"/>
    <w:rsid w:val="00562310"/>
    <w:rsid w:val="005629BF"/>
    <w:rsid w:val="005629FE"/>
    <w:rsid w:val="00562B10"/>
    <w:rsid w:val="00562B1A"/>
    <w:rsid w:val="00562BBF"/>
    <w:rsid w:val="00562D48"/>
    <w:rsid w:val="00562F26"/>
    <w:rsid w:val="005632EE"/>
    <w:rsid w:val="0056346A"/>
    <w:rsid w:val="0056347C"/>
    <w:rsid w:val="00563583"/>
    <w:rsid w:val="005636B7"/>
    <w:rsid w:val="0056384F"/>
    <w:rsid w:val="00563A94"/>
    <w:rsid w:val="00563B13"/>
    <w:rsid w:val="00563B32"/>
    <w:rsid w:val="00563C07"/>
    <w:rsid w:val="00563C32"/>
    <w:rsid w:val="0056407D"/>
    <w:rsid w:val="00564149"/>
    <w:rsid w:val="00564238"/>
    <w:rsid w:val="0056438F"/>
    <w:rsid w:val="0056447E"/>
    <w:rsid w:val="005645BD"/>
    <w:rsid w:val="0056463E"/>
    <w:rsid w:val="0056477C"/>
    <w:rsid w:val="005647FE"/>
    <w:rsid w:val="005649DD"/>
    <w:rsid w:val="00564AE1"/>
    <w:rsid w:val="00564B06"/>
    <w:rsid w:val="00564CA7"/>
    <w:rsid w:val="00564D0C"/>
    <w:rsid w:val="00564D4C"/>
    <w:rsid w:val="00564DFC"/>
    <w:rsid w:val="00564E48"/>
    <w:rsid w:val="00564ECD"/>
    <w:rsid w:val="00564F4E"/>
    <w:rsid w:val="00565023"/>
    <w:rsid w:val="0056515D"/>
    <w:rsid w:val="0056540B"/>
    <w:rsid w:val="005654CD"/>
    <w:rsid w:val="005654E5"/>
    <w:rsid w:val="00565FE0"/>
    <w:rsid w:val="00566311"/>
    <w:rsid w:val="00566356"/>
    <w:rsid w:val="00566368"/>
    <w:rsid w:val="00566373"/>
    <w:rsid w:val="0056652A"/>
    <w:rsid w:val="005666D2"/>
    <w:rsid w:val="0056676F"/>
    <w:rsid w:val="005667B9"/>
    <w:rsid w:val="005667FC"/>
    <w:rsid w:val="005668E8"/>
    <w:rsid w:val="00566B67"/>
    <w:rsid w:val="00566B7E"/>
    <w:rsid w:val="00566BEA"/>
    <w:rsid w:val="00566C5F"/>
    <w:rsid w:val="00566D65"/>
    <w:rsid w:val="00566E05"/>
    <w:rsid w:val="00566E51"/>
    <w:rsid w:val="00566E98"/>
    <w:rsid w:val="00567052"/>
    <w:rsid w:val="0056708E"/>
    <w:rsid w:val="00567132"/>
    <w:rsid w:val="005671A8"/>
    <w:rsid w:val="0056738B"/>
    <w:rsid w:val="0056755E"/>
    <w:rsid w:val="00567721"/>
    <w:rsid w:val="005677ED"/>
    <w:rsid w:val="00567955"/>
    <w:rsid w:val="005679C8"/>
    <w:rsid w:val="00567C8A"/>
    <w:rsid w:val="00567CD7"/>
    <w:rsid w:val="005700C4"/>
    <w:rsid w:val="005702C0"/>
    <w:rsid w:val="005702D3"/>
    <w:rsid w:val="005703E5"/>
    <w:rsid w:val="00570403"/>
    <w:rsid w:val="00570557"/>
    <w:rsid w:val="00570594"/>
    <w:rsid w:val="00570ACB"/>
    <w:rsid w:val="00570AE6"/>
    <w:rsid w:val="00570BEF"/>
    <w:rsid w:val="00570DC4"/>
    <w:rsid w:val="00570E9C"/>
    <w:rsid w:val="00571088"/>
    <w:rsid w:val="0057109F"/>
    <w:rsid w:val="005710E0"/>
    <w:rsid w:val="00571252"/>
    <w:rsid w:val="005712CC"/>
    <w:rsid w:val="0057139B"/>
    <w:rsid w:val="00571424"/>
    <w:rsid w:val="0057148F"/>
    <w:rsid w:val="005714C0"/>
    <w:rsid w:val="0057157A"/>
    <w:rsid w:val="0057159E"/>
    <w:rsid w:val="005716A0"/>
    <w:rsid w:val="00571873"/>
    <w:rsid w:val="00571882"/>
    <w:rsid w:val="0057190B"/>
    <w:rsid w:val="0057197E"/>
    <w:rsid w:val="00571A99"/>
    <w:rsid w:val="00571AF6"/>
    <w:rsid w:val="00571C26"/>
    <w:rsid w:val="00571C70"/>
    <w:rsid w:val="00571C7C"/>
    <w:rsid w:val="00571D44"/>
    <w:rsid w:val="00571E73"/>
    <w:rsid w:val="00571F0F"/>
    <w:rsid w:val="00572185"/>
    <w:rsid w:val="00572189"/>
    <w:rsid w:val="00572406"/>
    <w:rsid w:val="0057242D"/>
    <w:rsid w:val="005724BF"/>
    <w:rsid w:val="00572587"/>
    <w:rsid w:val="005725FC"/>
    <w:rsid w:val="0057260F"/>
    <w:rsid w:val="005727BB"/>
    <w:rsid w:val="005728D0"/>
    <w:rsid w:val="005729AC"/>
    <w:rsid w:val="00572B52"/>
    <w:rsid w:val="00572B78"/>
    <w:rsid w:val="00572C80"/>
    <w:rsid w:val="00572DAD"/>
    <w:rsid w:val="00572F19"/>
    <w:rsid w:val="00572FFC"/>
    <w:rsid w:val="005732D9"/>
    <w:rsid w:val="00573307"/>
    <w:rsid w:val="00573388"/>
    <w:rsid w:val="00573399"/>
    <w:rsid w:val="005733B9"/>
    <w:rsid w:val="005733CD"/>
    <w:rsid w:val="0057356D"/>
    <w:rsid w:val="005736A3"/>
    <w:rsid w:val="005738C5"/>
    <w:rsid w:val="00573904"/>
    <w:rsid w:val="005739E0"/>
    <w:rsid w:val="005739F8"/>
    <w:rsid w:val="00573B35"/>
    <w:rsid w:val="00573BA8"/>
    <w:rsid w:val="00573BF5"/>
    <w:rsid w:val="00573D2A"/>
    <w:rsid w:val="00573E15"/>
    <w:rsid w:val="00573EEC"/>
    <w:rsid w:val="00573F3E"/>
    <w:rsid w:val="00573F5F"/>
    <w:rsid w:val="00573F7C"/>
    <w:rsid w:val="00573FDC"/>
    <w:rsid w:val="005742A2"/>
    <w:rsid w:val="005744F2"/>
    <w:rsid w:val="0057483F"/>
    <w:rsid w:val="005748B5"/>
    <w:rsid w:val="00574C03"/>
    <w:rsid w:val="00574C55"/>
    <w:rsid w:val="00574E8F"/>
    <w:rsid w:val="005751DC"/>
    <w:rsid w:val="005751DE"/>
    <w:rsid w:val="005757E3"/>
    <w:rsid w:val="00575827"/>
    <w:rsid w:val="005759A8"/>
    <w:rsid w:val="00575A8E"/>
    <w:rsid w:val="00575B1E"/>
    <w:rsid w:val="00575BDF"/>
    <w:rsid w:val="00575C37"/>
    <w:rsid w:val="00575C40"/>
    <w:rsid w:val="00575C77"/>
    <w:rsid w:val="0057601B"/>
    <w:rsid w:val="00576176"/>
    <w:rsid w:val="005762F1"/>
    <w:rsid w:val="0057632D"/>
    <w:rsid w:val="005763D2"/>
    <w:rsid w:val="005764FF"/>
    <w:rsid w:val="005766A6"/>
    <w:rsid w:val="00576931"/>
    <w:rsid w:val="00576AFB"/>
    <w:rsid w:val="00576BC9"/>
    <w:rsid w:val="00576DB3"/>
    <w:rsid w:val="00576E24"/>
    <w:rsid w:val="00576E2C"/>
    <w:rsid w:val="00576E33"/>
    <w:rsid w:val="00576ED9"/>
    <w:rsid w:val="005770E2"/>
    <w:rsid w:val="005771AB"/>
    <w:rsid w:val="00577261"/>
    <w:rsid w:val="00577301"/>
    <w:rsid w:val="005773B7"/>
    <w:rsid w:val="00577491"/>
    <w:rsid w:val="005774CD"/>
    <w:rsid w:val="00577670"/>
    <w:rsid w:val="005776E6"/>
    <w:rsid w:val="00577722"/>
    <w:rsid w:val="00577778"/>
    <w:rsid w:val="005777DD"/>
    <w:rsid w:val="00577841"/>
    <w:rsid w:val="005779B1"/>
    <w:rsid w:val="00577A6B"/>
    <w:rsid w:val="00577EFE"/>
    <w:rsid w:val="00580027"/>
    <w:rsid w:val="00580093"/>
    <w:rsid w:val="00580104"/>
    <w:rsid w:val="00580160"/>
    <w:rsid w:val="00580161"/>
    <w:rsid w:val="0058017D"/>
    <w:rsid w:val="005803AE"/>
    <w:rsid w:val="00580479"/>
    <w:rsid w:val="005806B1"/>
    <w:rsid w:val="0058074E"/>
    <w:rsid w:val="00580778"/>
    <w:rsid w:val="00580B6C"/>
    <w:rsid w:val="00580BBC"/>
    <w:rsid w:val="00580BFE"/>
    <w:rsid w:val="00580C99"/>
    <w:rsid w:val="00580D44"/>
    <w:rsid w:val="00580DFB"/>
    <w:rsid w:val="0058126F"/>
    <w:rsid w:val="005812F4"/>
    <w:rsid w:val="005816B7"/>
    <w:rsid w:val="0058172E"/>
    <w:rsid w:val="005817C1"/>
    <w:rsid w:val="00581A30"/>
    <w:rsid w:val="00581A8B"/>
    <w:rsid w:val="00581B49"/>
    <w:rsid w:val="00581D46"/>
    <w:rsid w:val="00581D93"/>
    <w:rsid w:val="00581DA6"/>
    <w:rsid w:val="00581DE0"/>
    <w:rsid w:val="00581DEA"/>
    <w:rsid w:val="00581E7E"/>
    <w:rsid w:val="00581F09"/>
    <w:rsid w:val="00581FC8"/>
    <w:rsid w:val="005823FF"/>
    <w:rsid w:val="00582538"/>
    <w:rsid w:val="005825F2"/>
    <w:rsid w:val="005826E9"/>
    <w:rsid w:val="005827C8"/>
    <w:rsid w:val="005827E8"/>
    <w:rsid w:val="005828AF"/>
    <w:rsid w:val="00582B36"/>
    <w:rsid w:val="00582D43"/>
    <w:rsid w:val="00582D65"/>
    <w:rsid w:val="00582E88"/>
    <w:rsid w:val="0058303B"/>
    <w:rsid w:val="00583045"/>
    <w:rsid w:val="00583120"/>
    <w:rsid w:val="005832A1"/>
    <w:rsid w:val="005832DA"/>
    <w:rsid w:val="005833C4"/>
    <w:rsid w:val="0058341B"/>
    <w:rsid w:val="005836E7"/>
    <w:rsid w:val="00583718"/>
    <w:rsid w:val="0058372D"/>
    <w:rsid w:val="005838BC"/>
    <w:rsid w:val="00583A6F"/>
    <w:rsid w:val="00583B20"/>
    <w:rsid w:val="00583B8B"/>
    <w:rsid w:val="00583BEA"/>
    <w:rsid w:val="00583C31"/>
    <w:rsid w:val="00583CA9"/>
    <w:rsid w:val="00583E2B"/>
    <w:rsid w:val="00583E4A"/>
    <w:rsid w:val="00583EA9"/>
    <w:rsid w:val="00583F2E"/>
    <w:rsid w:val="00583F74"/>
    <w:rsid w:val="00584145"/>
    <w:rsid w:val="00584164"/>
    <w:rsid w:val="00584262"/>
    <w:rsid w:val="00584320"/>
    <w:rsid w:val="0058432A"/>
    <w:rsid w:val="00584437"/>
    <w:rsid w:val="005844B7"/>
    <w:rsid w:val="005846EB"/>
    <w:rsid w:val="00584875"/>
    <w:rsid w:val="005848B3"/>
    <w:rsid w:val="00584932"/>
    <w:rsid w:val="00584A23"/>
    <w:rsid w:val="00584B70"/>
    <w:rsid w:val="00584BA5"/>
    <w:rsid w:val="00584C9E"/>
    <w:rsid w:val="00584E04"/>
    <w:rsid w:val="00584E28"/>
    <w:rsid w:val="00584F8F"/>
    <w:rsid w:val="00585292"/>
    <w:rsid w:val="005853DA"/>
    <w:rsid w:val="00585467"/>
    <w:rsid w:val="005854B5"/>
    <w:rsid w:val="00585545"/>
    <w:rsid w:val="005857C6"/>
    <w:rsid w:val="0058584A"/>
    <w:rsid w:val="00585952"/>
    <w:rsid w:val="00585ABE"/>
    <w:rsid w:val="00585AE6"/>
    <w:rsid w:val="00585BA9"/>
    <w:rsid w:val="00585BEC"/>
    <w:rsid w:val="00585C29"/>
    <w:rsid w:val="00585CD1"/>
    <w:rsid w:val="00585E4F"/>
    <w:rsid w:val="00585F27"/>
    <w:rsid w:val="00585F62"/>
    <w:rsid w:val="00586335"/>
    <w:rsid w:val="00586519"/>
    <w:rsid w:val="00586589"/>
    <w:rsid w:val="00586813"/>
    <w:rsid w:val="00586A64"/>
    <w:rsid w:val="00586AB3"/>
    <w:rsid w:val="00586B70"/>
    <w:rsid w:val="00586CB5"/>
    <w:rsid w:val="00586D9F"/>
    <w:rsid w:val="00586F86"/>
    <w:rsid w:val="00587016"/>
    <w:rsid w:val="0058715C"/>
    <w:rsid w:val="0058726F"/>
    <w:rsid w:val="005873A8"/>
    <w:rsid w:val="00587935"/>
    <w:rsid w:val="005879DB"/>
    <w:rsid w:val="00587AEA"/>
    <w:rsid w:val="00587C8E"/>
    <w:rsid w:val="00587D60"/>
    <w:rsid w:val="00587EC0"/>
    <w:rsid w:val="00587EDC"/>
    <w:rsid w:val="00587F07"/>
    <w:rsid w:val="00587FA7"/>
    <w:rsid w:val="00587FDF"/>
    <w:rsid w:val="00590078"/>
    <w:rsid w:val="0059008D"/>
    <w:rsid w:val="0059008F"/>
    <w:rsid w:val="005901C9"/>
    <w:rsid w:val="005901DD"/>
    <w:rsid w:val="005905C7"/>
    <w:rsid w:val="00590A50"/>
    <w:rsid w:val="00590C43"/>
    <w:rsid w:val="00590F9A"/>
    <w:rsid w:val="00591030"/>
    <w:rsid w:val="00591168"/>
    <w:rsid w:val="00591197"/>
    <w:rsid w:val="0059126C"/>
    <w:rsid w:val="0059127B"/>
    <w:rsid w:val="0059130A"/>
    <w:rsid w:val="00591336"/>
    <w:rsid w:val="005913FE"/>
    <w:rsid w:val="00591445"/>
    <w:rsid w:val="00591459"/>
    <w:rsid w:val="00591491"/>
    <w:rsid w:val="0059149A"/>
    <w:rsid w:val="00591592"/>
    <w:rsid w:val="0059163C"/>
    <w:rsid w:val="00591676"/>
    <w:rsid w:val="005917E4"/>
    <w:rsid w:val="00591844"/>
    <w:rsid w:val="0059191E"/>
    <w:rsid w:val="00591B4D"/>
    <w:rsid w:val="00591C14"/>
    <w:rsid w:val="00591DD8"/>
    <w:rsid w:val="00591E34"/>
    <w:rsid w:val="00592111"/>
    <w:rsid w:val="00592158"/>
    <w:rsid w:val="0059226A"/>
    <w:rsid w:val="00592296"/>
    <w:rsid w:val="0059258B"/>
    <w:rsid w:val="005925DA"/>
    <w:rsid w:val="005929D7"/>
    <w:rsid w:val="00592AD9"/>
    <w:rsid w:val="00592CCD"/>
    <w:rsid w:val="00592DD3"/>
    <w:rsid w:val="00592E14"/>
    <w:rsid w:val="00592F54"/>
    <w:rsid w:val="00593138"/>
    <w:rsid w:val="005933DB"/>
    <w:rsid w:val="00593669"/>
    <w:rsid w:val="0059379D"/>
    <w:rsid w:val="00593971"/>
    <w:rsid w:val="005939A8"/>
    <w:rsid w:val="00593A6C"/>
    <w:rsid w:val="00593B8F"/>
    <w:rsid w:val="00593D67"/>
    <w:rsid w:val="00593F06"/>
    <w:rsid w:val="00593F31"/>
    <w:rsid w:val="00593FC3"/>
    <w:rsid w:val="0059404D"/>
    <w:rsid w:val="005941B5"/>
    <w:rsid w:val="005942FB"/>
    <w:rsid w:val="00594307"/>
    <w:rsid w:val="0059431C"/>
    <w:rsid w:val="00594469"/>
    <w:rsid w:val="005944AC"/>
    <w:rsid w:val="00594507"/>
    <w:rsid w:val="005945CE"/>
    <w:rsid w:val="005946CA"/>
    <w:rsid w:val="00594813"/>
    <w:rsid w:val="00594815"/>
    <w:rsid w:val="00594903"/>
    <w:rsid w:val="0059494D"/>
    <w:rsid w:val="00594A95"/>
    <w:rsid w:val="00594AA3"/>
    <w:rsid w:val="00594AAE"/>
    <w:rsid w:val="00594AB0"/>
    <w:rsid w:val="00594ABC"/>
    <w:rsid w:val="00594C9D"/>
    <w:rsid w:val="00594CFE"/>
    <w:rsid w:val="00594E52"/>
    <w:rsid w:val="00594F60"/>
    <w:rsid w:val="00595099"/>
    <w:rsid w:val="00595223"/>
    <w:rsid w:val="00595341"/>
    <w:rsid w:val="0059536A"/>
    <w:rsid w:val="0059551E"/>
    <w:rsid w:val="0059553E"/>
    <w:rsid w:val="005955D3"/>
    <w:rsid w:val="005956D0"/>
    <w:rsid w:val="0059573F"/>
    <w:rsid w:val="00595C38"/>
    <w:rsid w:val="00595ECB"/>
    <w:rsid w:val="00595F05"/>
    <w:rsid w:val="00595F21"/>
    <w:rsid w:val="00595FC8"/>
    <w:rsid w:val="005960D7"/>
    <w:rsid w:val="0059612C"/>
    <w:rsid w:val="0059628A"/>
    <w:rsid w:val="00596669"/>
    <w:rsid w:val="005968FF"/>
    <w:rsid w:val="005969C3"/>
    <w:rsid w:val="00596A85"/>
    <w:rsid w:val="00596B25"/>
    <w:rsid w:val="00596E1D"/>
    <w:rsid w:val="00596EAB"/>
    <w:rsid w:val="00597025"/>
    <w:rsid w:val="0059722B"/>
    <w:rsid w:val="00597351"/>
    <w:rsid w:val="005975BC"/>
    <w:rsid w:val="005976AB"/>
    <w:rsid w:val="005976DD"/>
    <w:rsid w:val="00597757"/>
    <w:rsid w:val="0059779C"/>
    <w:rsid w:val="005977BC"/>
    <w:rsid w:val="00597891"/>
    <w:rsid w:val="005978B6"/>
    <w:rsid w:val="00597934"/>
    <w:rsid w:val="005979B3"/>
    <w:rsid w:val="00597A42"/>
    <w:rsid w:val="00597A87"/>
    <w:rsid w:val="00597B28"/>
    <w:rsid w:val="00597B40"/>
    <w:rsid w:val="00597E52"/>
    <w:rsid w:val="005A00C6"/>
    <w:rsid w:val="005A0198"/>
    <w:rsid w:val="005A0266"/>
    <w:rsid w:val="005A03B2"/>
    <w:rsid w:val="005A05DC"/>
    <w:rsid w:val="005A0686"/>
    <w:rsid w:val="005A079E"/>
    <w:rsid w:val="005A0B2D"/>
    <w:rsid w:val="005A0B56"/>
    <w:rsid w:val="005A0BE1"/>
    <w:rsid w:val="005A0C5A"/>
    <w:rsid w:val="005A0F76"/>
    <w:rsid w:val="005A10B5"/>
    <w:rsid w:val="005A10D0"/>
    <w:rsid w:val="005A1340"/>
    <w:rsid w:val="005A1418"/>
    <w:rsid w:val="005A15F9"/>
    <w:rsid w:val="005A1698"/>
    <w:rsid w:val="005A1819"/>
    <w:rsid w:val="005A19EB"/>
    <w:rsid w:val="005A1A5C"/>
    <w:rsid w:val="005A1A68"/>
    <w:rsid w:val="005A1ACA"/>
    <w:rsid w:val="005A1B1B"/>
    <w:rsid w:val="005A1BCB"/>
    <w:rsid w:val="005A1F4E"/>
    <w:rsid w:val="005A1F51"/>
    <w:rsid w:val="005A2005"/>
    <w:rsid w:val="005A216E"/>
    <w:rsid w:val="005A21E3"/>
    <w:rsid w:val="005A235C"/>
    <w:rsid w:val="005A2643"/>
    <w:rsid w:val="005A2774"/>
    <w:rsid w:val="005A27B4"/>
    <w:rsid w:val="005A2852"/>
    <w:rsid w:val="005A2C10"/>
    <w:rsid w:val="005A3061"/>
    <w:rsid w:val="005A3109"/>
    <w:rsid w:val="005A391C"/>
    <w:rsid w:val="005A3971"/>
    <w:rsid w:val="005A3D9D"/>
    <w:rsid w:val="005A3DE9"/>
    <w:rsid w:val="005A4334"/>
    <w:rsid w:val="005A44BC"/>
    <w:rsid w:val="005A4527"/>
    <w:rsid w:val="005A468E"/>
    <w:rsid w:val="005A46C6"/>
    <w:rsid w:val="005A4714"/>
    <w:rsid w:val="005A47AA"/>
    <w:rsid w:val="005A47AF"/>
    <w:rsid w:val="005A492B"/>
    <w:rsid w:val="005A4950"/>
    <w:rsid w:val="005A49BA"/>
    <w:rsid w:val="005A4B72"/>
    <w:rsid w:val="005A4C7C"/>
    <w:rsid w:val="005A4FEA"/>
    <w:rsid w:val="005A505F"/>
    <w:rsid w:val="005A52D2"/>
    <w:rsid w:val="005A5572"/>
    <w:rsid w:val="005A55B7"/>
    <w:rsid w:val="005A56F4"/>
    <w:rsid w:val="005A572D"/>
    <w:rsid w:val="005A57EB"/>
    <w:rsid w:val="005A582C"/>
    <w:rsid w:val="005A591D"/>
    <w:rsid w:val="005A5A53"/>
    <w:rsid w:val="005A5ABD"/>
    <w:rsid w:val="005A5B03"/>
    <w:rsid w:val="005A5C28"/>
    <w:rsid w:val="005A5D42"/>
    <w:rsid w:val="005A609A"/>
    <w:rsid w:val="005A62D1"/>
    <w:rsid w:val="005A63E2"/>
    <w:rsid w:val="005A6642"/>
    <w:rsid w:val="005A66DC"/>
    <w:rsid w:val="005A6899"/>
    <w:rsid w:val="005A68B9"/>
    <w:rsid w:val="005A6954"/>
    <w:rsid w:val="005A69F2"/>
    <w:rsid w:val="005A6BC5"/>
    <w:rsid w:val="005A6C6A"/>
    <w:rsid w:val="005A6C6B"/>
    <w:rsid w:val="005A6DA8"/>
    <w:rsid w:val="005A6E7D"/>
    <w:rsid w:val="005A6E98"/>
    <w:rsid w:val="005A6EBC"/>
    <w:rsid w:val="005A7010"/>
    <w:rsid w:val="005A71BC"/>
    <w:rsid w:val="005A7400"/>
    <w:rsid w:val="005A769D"/>
    <w:rsid w:val="005A76C0"/>
    <w:rsid w:val="005A7886"/>
    <w:rsid w:val="005A78F8"/>
    <w:rsid w:val="005A7905"/>
    <w:rsid w:val="005A79FC"/>
    <w:rsid w:val="005A7B10"/>
    <w:rsid w:val="005A7B42"/>
    <w:rsid w:val="005A7BA5"/>
    <w:rsid w:val="005A7C28"/>
    <w:rsid w:val="005A7CB5"/>
    <w:rsid w:val="005A7F30"/>
    <w:rsid w:val="005B01B9"/>
    <w:rsid w:val="005B0570"/>
    <w:rsid w:val="005B0888"/>
    <w:rsid w:val="005B0926"/>
    <w:rsid w:val="005B0952"/>
    <w:rsid w:val="005B09E2"/>
    <w:rsid w:val="005B0A08"/>
    <w:rsid w:val="005B0AF8"/>
    <w:rsid w:val="005B0CA2"/>
    <w:rsid w:val="005B0E04"/>
    <w:rsid w:val="005B0E3C"/>
    <w:rsid w:val="005B1030"/>
    <w:rsid w:val="005B1169"/>
    <w:rsid w:val="005B11D3"/>
    <w:rsid w:val="005B1213"/>
    <w:rsid w:val="005B134E"/>
    <w:rsid w:val="005B13BF"/>
    <w:rsid w:val="005B1448"/>
    <w:rsid w:val="005B1500"/>
    <w:rsid w:val="005B15BE"/>
    <w:rsid w:val="005B1622"/>
    <w:rsid w:val="005B183F"/>
    <w:rsid w:val="005B1947"/>
    <w:rsid w:val="005B1A13"/>
    <w:rsid w:val="005B1A9C"/>
    <w:rsid w:val="005B1CE4"/>
    <w:rsid w:val="005B1DC3"/>
    <w:rsid w:val="005B1E46"/>
    <w:rsid w:val="005B1EEB"/>
    <w:rsid w:val="005B2001"/>
    <w:rsid w:val="005B207F"/>
    <w:rsid w:val="005B2358"/>
    <w:rsid w:val="005B24E1"/>
    <w:rsid w:val="005B2510"/>
    <w:rsid w:val="005B288A"/>
    <w:rsid w:val="005B2A98"/>
    <w:rsid w:val="005B2B14"/>
    <w:rsid w:val="005B2B49"/>
    <w:rsid w:val="005B2BAB"/>
    <w:rsid w:val="005B2BFE"/>
    <w:rsid w:val="005B2FDB"/>
    <w:rsid w:val="005B319B"/>
    <w:rsid w:val="005B32A6"/>
    <w:rsid w:val="005B32E0"/>
    <w:rsid w:val="005B3317"/>
    <w:rsid w:val="005B3456"/>
    <w:rsid w:val="005B3479"/>
    <w:rsid w:val="005B34B5"/>
    <w:rsid w:val="005B3540"/>
    <w:rsid w:val="005B360C"/>
    <w:rsid w:val="005B360E"/>
    <w:rsid w:val="005B36E1"/>
    <w:rsid w:val="005B388F"/>
    <w:rsid w:val="005B390E"/>
    <w:rsid w:val="005B399F"/>
    <w:rsid w:val="005B3AAC"/>
    <w:rsid w:val="005B3AB9"/>
    <w:rsid w:val="005B3BEB"/>
    <w:rsid w:val="005B3C33"/>
    <w:rsid w:val="005B3E0A"/>
    <w:rsid w:val="005B3E86"/>
    <w:rsid w:val="005B3EBD"/>
    <w:rsid w:val="005B3F65"/>
    <w:rsid w:val="005B406A"/>
    <w:rsid w:val="005B40DD"/>
    <w:rsid w:val="005B411C"/>
    <w:rsid w:val="005B41BB"/>
    <w:rsid w:val="005B441E"/>
    <w:rsid w:val="005B4664"/>
    <w:rsid w:val="005B4769"/>
    <w:rsid w:val="005B4835"/>
    <w:rsid w:val="005B4B48"/>
    <w:rsid w:val="005B4CFD"/>
    <w:rsid w:val="005B515B"/>
    <w:rsid w:val="005B5195"/>
    <w:rsid w:val="005B5317"/>
    <w:rsid w:val="005B55F6"/>
    <w:rsid w:val="005B5757"/>
    <w:rsid w:val="005B57C9"/>
    <w:rsid w:val="005B58F9"/>
    <w:rsid w:val="005B5A56"/>
    <w:rsid w:val="005B5DD3"/>
    <w:rsid w:val="005B5E99"/>
    <w:rsid w:val="005B603C"/>
    <w:rsid w:val="005B6264"/>
    <w:rsid w:val="005B6517"/>
    <w:rsid w:val="005B6669"/>
    <w:rsid w:val="005B6797"/>
    <w:rsid w:val="005B67B1"/>
    <w:rsid w:val="005B68FA"/>
    <w:rsid w:val="005B6CB8"/>
    <w:rsid w:val="005B6CE9"/>
    <w:rsid w:val="005B6F18"/>
    <w:rsid w:val="005B6F7F"/>
    <w:rsid w:val="005B700D"/>
    <w:rsid w:val="005B7088"/>
    <w:rsid w:val="005B723C"/>
    <w:rsid w:val="005B72A9"/>
    <w:rsid w:val="005B7345"/>
    <w:rsid w:val="005B7653"/>
    <w:rsid w:val="005B7681"/>
    <w:rsid w:val="005B7756"/>
    <w:rsid w:val="005B776A"/>
    <w:rsid w:val="005B78E1"/>
    <w:rsid w:val="005B7919"/>
    <w:rsid w:val="005B7C77"/>
    <w:rsid w:val="005B7CBF"/>
    <w:rsid w:val="005B7D8F"/>
    <w:rsid w:val="005B7EC2"/>
    <w:rsid w:val="005C02C7"/>
    <w:rsid w:val="005C02E7"/>
    <w:rsid w:val="005C0586"/>
    <w:rsid w:val="005C061E"/>
    <w:rsid w:val="005C0704"/>
    <w:rsid w:val="005C08FE"/>
    <w:rsid w:val="005C0919"/>
    <w:rsid w:val="005C0AA1"/>
    <w:rsid w:val="005C0AD1"/>
    <w:rsid w:val="005C0B28"/>
    <w:rsid w:val="005C0C1D"/>
    <w:rsid w:val="005C0FA9"/>
    <w:rsid w:val="005C12BB"/>
    <w:rsid w:val="005C16C9"/>
    <w:rsid w:val="005C1741"/>
    <w:rsid w:val="005C1747"/>
    <w:rsid w:val="005C176E"/>
    <w:rsid w:val="005C1A58"/>
    <w:rsid w:val="005C1C1E"/>
    <w:rsid w:val="005C1C84"/>
    <w:rsid w:val="005C1CF0"/>
    <w:rsid w:val="005C1DD8"/>
    <w:rsid w:val="005C2013"/>
    <w:rsid w:val="005C203F"/>
    <w:rsid w:val="005C21B1"/>
    <w:rsid w:val="005C2372"/>
    <w:rsid w:val="005C2459"/>
    <w:rsid w:val="005C245B"/>
    <w:rsid w:val="005C2493"/>
    <w:rsid w:val="005C24AD"/>
    <w:rsid w:val="005C25D3"/>
    <w:rsid w:val="005C2749"/>
    <w:rsid w:val="005C2751"/>
    <w:rsid w:val="005C276A"/>
    <w:rsid w:val="005C27DE"/>
    <w:rsid w:val="005C296D"/>
    <w:rsid w:val="005C2A65"/>
    <w:rsid w:val="005C2A6F"/>
    <w:rsid w:val="005C2A79"/>
    <w:rsid w:val="005C2AA1"/>
    <w:rsid w:val="005C2AB2"/>
    <w:rsid w:val="005C2AD4"/>
    <w:rsid w:val="005C2B09"/>
    <w:rsid w:val="005C2B7D"/>
    <w:rsid w:val="005C2BF5"/>
    <w:rsid w:val="005C2DEC"/>
    <w:rsid w:val="005C2E13"/>
    <w:rsid w:val="005C2E62"/>
    <w:rsid w:val="005C2EBF"/>
    <w:rsid w:val="005C30CD"/>
    <w:rsid w:val="005C31E7"/>
    <w:rsid w:val="005C3269"/>
    <w:rsid w:val="005C3276"/>
    <w:rsid w:val="005C33DA"/>
    <w:rsid w:val="005C35A6"/>
    <w:rsid w:val="005C3696"/>
    <w:rsid w:val="005C36A2"/>
    <w:rsid w:val="005C3A5B"/>
    <w:rsid w:val="005C3A95"/>
    <w:rsid w:val="005C3B69"/>
    <w:rsid w:val="005C3CDF"/>
    <w:rsid w:val="005C3D6D"/>
    <w:rsid w:val="005C3DFF"/>
    <w:rsid w:val="005C3E07"/>
    <w:rsid w:val="005C3F67"/>
    <w:rsid w:val="005C4486"/>
    <w:rsid w:val="005C44D1"/>
    <w:rsid w:val="005C458B"/>
    <w:rsid w:val="005C4619"/>
    <w:rsid w:val="005C4717"/>
    <w:rsid w:val="005C4789"/>
    <w:rsid w:val="005C48F0"/>
    <w:rsid w:val="005C4999"/>
    <w:rsid w:val="005C4C41"/>
    <w:rsid w:val="005C4C51"/>
    <w:rsid w:val="005C4CF8"/>
    <w:rsid w:val="005C4D7B"/>
    <w:rsid w:val="005C4ED3"/>
    <w:rsid w:val="005C4ED7"/>
    <w:rsid w:val="005C4F92"/>
    <w:rsid w:val="005C5008"/>
    <w:rsid w:val="005C5242"/>
    <w:rsid w:val="005C53C7"/>
    <w:rsid w:val="005C546E"/>
    <w:rsid w:val="005C5483"/>
    <w:rsid w:val="005C5504"/>
    <w:rsid w:val="005C55BC"/>
    <w:rsid w:val="005C55C0"/>
    <w:rsid w:val="005C5747"/>
    <w:rsid w:val="005C593A"/>
    <w:rsid w:val="005C594B"/>
    <w:rsid w:val="005C5B2E"/>
    <w:rsid w:val="005C5EDE"/>
    <w:rsid w:val="005C605A"/>
    <w:rsid w:val="005C619F"/>
    <w:rsid w:val="005C62BF"/>
    <w:rsid w:val="005C6353"/>
    <w:rsid w:val="005C64E9"/>
    <w:rsid w:val="005C6637"/>
    <w:rsid w:val="005C687F"/>
    <w:rsid w:val="005C6882"/>
    <w:rsid w:val="005C68EA"/>
    <w:rsid w:val="005C6CD4"/>
    <w:rsid w:val="005C6D4C"/>
    <w:rsid w:val="005C6EAC"/>
    <w:rsid w:val="005C6F3C"/>
    <w:rsid w:val="005C6FE1"/>
    <w:rsid w:val="005C70F3"/>
    <w:rsid w:val="005C730D"/>
    <w:rsid w:val="005C739B"/>
    <w:rsid w:val="005C73D7"/>
    <w:rsid w:val="005C73DB"/>
    <w:rsid w:val="005C741C"/>
    <w:rsid w:val="005C7A75"/>
    <w:rsid w:val="005C7BA7"/>
    <w:rsid w:val="005C7D6A"/>
    <w:rsid w:val="005C7F7F"/>
    <w:rsid w:val="005C7FA6"/>
    <w:rsid w:val="005D0047"/>
    <w:rsid w:val="005D00D9"/>
    <w:rsid w:val="005D020E"/>
    <w:rsid w:val="005D031A"/>
    <w:rsid w:val="005D0367"/>
    <w:rsid w:val="005D044E"/>
    <w:rsid w:val="005D0451"/>
    <w:rsid w:val="005D04D6"/>
    <w:rsid w:val="005D04E2"/>
    <w:rsid w:val="005D06ED"/>
    <w:rsid w:val="005D0736"/>
    <w:rsid w:val="005D085B"/>
    <w:rsid w:val="005D0888"/>
    <w:rsid w:val="005D09AA"/>
    <w:rsid w:val="005D0A0B"/>
    <w:rsid w:val="005D0A32"/>
    <w:rsid w:val="005D0AF9"/>
    <w:rsid w:val="005D0B56"/>
    <w:rsid w:val="005D0BDD"/>
    <w:rsid w:val="005D0CD1"/>
    <w:rsid w:val="005D0E37"/>
    <w:rsid w:val="005D0E6A"/>
    <w:rsid w:val="005D0EDB"/>
    <w:rsid w:val="005D0FB7"/>
    <w:rsid w:val="005D0FB8"/>
    <w:rsid w:val="005D11B3"/>
    <w:rsid w:val="005D1589"/>
    <w:rsid w:val="005D15F7"/>
    <w:rsid w:val="005D177B"/>
    <w:rsid w:val="005D1876"/>
    <w:rsid w:val="005D187B"/>
    <w:rsid w:val="005D1907"/>
    <w:rsid w:val="005D1924"/>
    <w:rsid w:val="005D1AA9"/>
    <w:rsid w:val="005D1DE4"/>
    <w:rsid w:val="005D20E6"/>
    <w:rsid w:val="005D2388"/>
    <w:rsid w:val="005D2450"/>
    <w:rsid w:val="005D2498"/>
    <w:rsid w:val="005D24EB"/>
    <w:rsid w:val="005D2595"/>
    <w:rsid w:val="005D26B5"/>
    <w:rsid w:val="005D273D"/>
    <w:rsid w:val="005D2BD5"/>
    <w:rsid w:val="005D2C72"/>
    <w:rsid w:val="005D2C80"/>
    <w:rsid w:val="005D2CF3"/>
    <w:rsid w:val="005D2EEA"/>
    <w:rsid w:val="005D312F"/>
    <w:rsid w:val="005D31EB"/>
    <w:rsid w:val="005D3273"/>
    <w:rsid w:val="005D32EB"/>
    <w:rsid w:val="005D33EA"/>
    <w:rsid w:val="005D34EA"/>
    <w:rsid w:val="005D3617"/>
    <w:rsid w:val="005D3625"/>
    <w:rsid w:val="005D3699"/>
    <w:rsid w:val="005D3793"/>
    <w:rsid w:val="005D3B24"/>
    <w:rsid w:val="005D3BF5"/>
    <w:rsid w:val="005D41D2"/>
    <w:rsid w:val="005D4261"/>
    <w:rsid w:val="005D4338"/>
    <w:rsid w:val="005D44BB"/>
    <w:rsid w:val="005D467E"/>
    <w:rsid w:val="005D4B0E"/>
    <w:rsid w:val="005D4B34"/>
    <w:rsid w:val="005D4BCA"/>
    <w:rsid w:val="005D4EF6"/>
    <w:rsid w:val="005D5014"/>
    <w:rsid w:val="005D5134"/>
    <w:rsid w:val="005D5309"/>
    <w:rsid w:val="005D546B"/>
    <w:rsid w:val="005D56E8"/>
    <w:rsid w:val="005D5801"/>
    <w:rsid w:val="005D5A47"/>
    <w:rsid w:val="005D5E93"/>
    <w:rsid w:val="005D608B"/>
    <w:rsid w:val="005D613F"/>
    <w:rsid w:val="005D6373"/>
    <w:rsid w:val="005D65DA"/>
    <w:rsid w:val="005D6613"/>
    <w:rsid w:val="005D66E1"/>
    <w:rsid w:val="005D66EC"/>
    <w:rsid w:val="005D67D1"/>
    <w:rsid w:val="005D67DF"/>
    <w:rsid w:val="005D6A6A"/>
    <w:rsid w:val="005D6B39"/>
    <w:rsid w:val="005D6BDD"/>
    <w:rsid w:val="005D6C03"/>
    <w:rsid w:val="005D6C0B"/>
    <w:rsid w:val="005D6C7D"/>
    <w:rsid w:val="005D6D50"/>
    <w:rsid w:val="005D6DC2"/>
    <w:rsid w:val="005D6E10"/>
    <w:rsid w:val="005D7024"/>
    <w:rsid w:val="005D720B"/>
    <w:rsid w:val="005D7299"/>
    <w:rsid w:val="005D732C"/>
    <w:rsid w:val="005D7450"/>
    <w:rsid w:val="005D7783"/>
    <w:rsid w:val="005D77BD"/>
    <w:rsid w:val="005D783C"/>
    <w:rsid w:val="005D7AE8"/>
    <w:rsid w:val="005D7C17"/>
    <w:rsid w:val="005D7C92"/>
    <w:rsid w:val="005D7CBF"/>
    <w:rsid w:val="005D7E85"/>
    <w:rsid w:val="005E013E"/>
    <w:rsid w:val="005E0316"/>
    <w:rsid w:val="005E03AE"/>
    <w:rsid w:val="005E0466"/>
    <w:rsid w:val="005E082D"/>
    <w:rsid w:val="005E08D6"/>
    <w:rsid w:val="005E0938"/>
    <w:rsid w:val="005E0952"/>
    <w:rsid w:val="005E0A87"/>
    <w:rsid w:val="005E0B04"/>
    <w:rsid w:val="005E0BB0"/>
    <w:rsid w:val="005E0C28"/>
    <w:rsid w:val="005E0CC2"/>
    <w:rsid w:val="005E0E2C"/>
    <w:rsid w:val="005E0E9B"/>
    <w:rsid w:val="005E0F28"/>
    <w:rsid w:val="005E0F5C"/>
    <w:rsid w:val="005E0F8E"/>
    <w:rsid w:val="005E112D"/>
    <w:rsid w:val="005E116F"/>
    <w:rsid w:val="005E133E"/>
    <w:rsid w:val="005E143B"/>
    <w:rsid w:val="005E16C2"/>
    <w:rsid w:val="005E1889"/>
    <w:rsid w:val="005E1AB8"/>
    <w:rsid w:val="005E1D4A"/>
    <w:rsid w:val="005E1E4C"/>
    <w:rsid w:val="005E20A4"/>
    <w:rsid w:val="005E2190"/>
    <w:rsid w:val="005E21C3"/>
    <w:rsid w:val="005E2289"/>
    <w:rsid w:val="005E2302"/>
    <w:rsid w:val="005E25FD"/>
    <w:rsid w:val="005E2670"/>
    <w:rsid w:val="005E26E2"/>
    <w:rsid w:val="005E27C9"/>
    <w:rsid w:val="005E296C"/>
    <w:rsid w:val="005E29F4"/>
    <w:rsid w:val="005E2DA4"/>
    <w:rsid w:val="005E2F4B"/>
    <w:rsid w:val="005E2FB1"/>
    <w:rsid w:val="005E31DC"/>
    <w:rsid w:val="005E3407"/>
    <w:rsid w:val="005E341A"/>
    <w:rsid w:val="005E343E"/>
    <w:rsid w:val="005E3677"/>
    <w:rsid w:val="005E36FD"/>
    <w:rsid w:val="005E385C"/>
    <w:rsid w:val="005E3A0D"/>
    <w:rsid w:val="005E3AB1"/>
    <w:rsid w:val="005E3ADD"/>
    <w:rsid w:val="005E3B97"/>
    <w:rsid w:val="005E3C38"/>
    <w:rsid w:val="005E403A"/>
    <w:rsid w:val="005E429C"/>
    <w:rsid w:val="005E4364"/>
    <w:rsid w:val="005E441E"/>
    <w:rsid w:val="005E449C"/>
    <w:rsid w:val="005E44AF"/>
    <w:rsid w:val="005E4566"/>
    <w:rsid w:val="005E45B3"/>
    <w:rsid w:val="005E45D9"/>
    <w:rsid w:val="005E46A9"/>
    <w:rsid w:val="005E49E8"/>
    <w:rsid w:val="005E4B93"/>
    <w:rsid w:val="005E4C30"/>
    <w:rsid w:val="005E4D54"/>
    <w:rsid w:val="005E4EEA"/>
    <w:rsid w:val="005E4FC0"/>
    <w:rsid w:val="005E5011"/>
    <w:rsid w:val="005E50E1"/>
    <w:rsid w:val="005E54FF"/>
    <w:rsid w:val="005E5631"/>
    <w:rsid w:val="005E5684"/>
    <w:rsid w:val="005E574B"/>
    <w:rsid w:val="005E57A1"/>
    <w:rsid w:val="005E5958"/>
    <w:rsid w:val="005E5B13"/>
    <w:rsid w:val="005E5C00"/>
    <w:rsid w:val="005E5D86"/>
    <w:rsid w:val="005E5DF0"/>
    <w:rsid w:val="005E5ED8"/>
    <w:rsid w:val="005E6080"/>
    <w:rsid w:val="005E6101"/>
    <w:rsid w:val="005E6115"/>
    <w:rsid w:val="005E6139"/>
    <w:rsid w:val="005E61D4"/>
    <w:rsid w:val="005E63C5"/>
    <w:rsid w:val="005E6679"/>
    <w:rsid w:val="005E67BA"/>
    <w:rsid w:val="005E68B3"/>
    <w:rsid w:val="005E6B2C"/>
    <w:rsid w:val="005E6D18"/>
    <w:rsid w:val="005E6DF6"/>
    <w:rsid w:val="005E7119"/>
    <w:rsid w:val="005E7441"/>
    <w:rsid w:val="005E7555"/>
    <w:rsid w:val="005E75A0"/>
    <w:rsid w:val="005E75F4"/>
    <w:rsid w:val="005E77DB"/>
    <w:rsid w:val="005E78FF"/>
    <w:rsid w:val="005E7985"/>
    <w:rsid w:val="005E7A9D"/>
    <w:rsid w:val="005E7DE4"/>
    <w:rsid w:val="005E7F77"/>
    <w:rsid w:val="005F01CA"/>
    <w:rsid w:val="005F026E"/>
    <w:rsid w:val="005F02DA"/>
    <w:rsid w:val="005F032E"/>
    <w:rsid w:val="005F08F1"/>
    <w:rsid w:val="005F09E8"/>
    <w:rsid w:val="005F09FA"/>
    <w:rsid w:val="005F0AB6"/>
    <w:rsid w:val="005F0B02"/>
    <w:rsid w:val="005F0C12"/>
    <w:rsid w:val="005F0C22"/>
    <w:rsid w:val="005F0DD0"/>
    <w:rsid w:val="005F0F7D"/>
    <w:rsid w:val="005F10C9"/>
    <w:rsid w:val="005F1105"/>
    <w:rsid w:val="005F1263"/>
    <w:rsid w:val="005F129C"/>
    <w:rsid w:val="005F12D0"/>
    <w:rsid w:val="005F139B"/>
    <w:rsid w:val="005F15BA"/>
    <w:rsid w:val="005F1619"/>
    <w:rsid w:val="005F1845"/>
    <w:rsid w:val="005F1B79"/>
    <w:rsid w:val="005F1BCF"/>
    <w:rsid w:val="005F1CE1"/>
    <w:rsid w:val="005F1DD8"/>
    <w:rsid w:val="005F1E67"/>
    <w:rsid w:val="005F1F5C"/>
    <w:rsid w:val="005F1FCD"/>
    <w:rsid w:val="005F2016"/>
    <w:rsid w:val="005F2256"/>
    <w:rsid w:val="005F2464"/>
    <w:rsid w:val="005F25DF"/>
    <w:rsid w:val="005F25FB"/>
    <w:rsid w:val="005F26CB"/>
    <w:rsid w:val="005F27CB"/>
    <w:rsid w:val="005F2A15"/>
    <w:rsid w:val="005F2CC0"/>
    <w:rsid w:val="005F2E03"/>
    <w:rsid w:val="005F2FFE"/>
    <w:rsid w:val="005F3024"/>
    <w:rsid w:val="005F32A0"/>
    <w:rsid w:val="005F3394"/>
    <w:rsid w:val="005F344E"/>
    <w:rsid w:val="005F355C"/>
    <w:rsid w:val="005F3589"/>
    <w:rsid w:val="005F35C8"/>
    <w:rsid w:val="005F380C"/>
    <w:rsid w:val="005F3A03"/>
    <w:rsid w:val="005F3B9E"/>
    <w:rsid w:val="005F3BA5"/>
    <w:rsid w:val="005F3CE4"/>
    <w:rsid w:val="005F3D99"/>
    <w:rsid w:val="005F3E14"/>
    <w:rsid w:val="005F3E45"/>
    <w:rsid w:val="005F3E48"/>
    <w:rsid w:val="005F3EFB"/>
    <w:rsid w:val="005F3F7A"/>
    <w:rsid w:val="005F3FC2"/>
    <w:rsid w:val="005F40D0"/>
    <w:rsid w:val="005F43B8"/>
    <w:rsid w:val="005F445A"/>
    <w:rsid w:val="005F4486"/>
    <w:rsid w:val="005F456D"/>
    <w:rsid w:val="005F48EE"/>
    <w:rsid w:val="005F4B4E"/>
    <w:rsid w:val="005F4C2B"/>
    <w:rsid w:val="005F4D28"/>
    <w:rsid w:val="005F4ECE"/>
    <w:rsid w:val="005F4FEE"/>
    <w:rsid w:val="005F5032"/>
    <w:rsid w:val="005F5150"/>
    <w:rsid w:val="005F519E"/>
    <w:rsid w:val="005F52B2"/>
    <w:rsid w:val="005F5481"/>
    <w:rsid w:val="005F5495"/>
    <w:rsid w:val="005F555A"/>
    <w:rsid w:val="005F55D5"/>
    <w:rsid w:val="005F5647"/>
    <w:rsid w:val="005F56CC"/>
    <w:rsid w:val="005F5706"/>
    <w:rsid w:val="005F5A85"/>
    <w:rsid w:val="005F5B69"/>
    <w:rsid w:val="005F5D13"/>
    <w:rsid w:val="005F5D50"/>
    <w:rsid w:val="005F5DB1"/>
    <w:rsid w:val="005F5E9A"/>
    <w:rsid w:val="005F5FB5"/>
    <w:rsid w:val="005F6124"/>
    <w:rsid w:val="005F61E8"/>
    <w:rsid w:val="005F6315"/>
    <w:rsid w:val="005F6369"/>
    <w:rsid w:val="005F6490"/>
    <w:rsid w:val="005F6633"/>
    <w:rsid w:val="005F6692"/>
    <w:rsid w:val="005F6C00"/>
    <w:rsid w:val="005F6C31"/>
    <w:rsid w:val="005F6ED4"/>
    <w:rsid w:val="005F7135"/>
    <w:rsid w:val="005F732A"/>
    <w:rsid w:val="005F73AE"/>
    <w:rsid w:val="005F742E"/>
    <w:rsid w:val="005F748F"/>
    <w:rsid w:val="005F7610"/>
    <w:rsid w:val="005F78F2"/>
    <w:rsid w:val="005F7A52"/>
    <w:rsid w:val="005F7AA4"/>
    <w:rsid w:val="005F7AAD"/>
    <w:rsid w:val="005F7AF1"/>
    <w:rsid w:val="005F7C0C"/>
    <w:rsid w:val="005F7EB6"/>
    <w:rsid w:val="005F7F5E"/>
    <w:rsid w:val="005F7FB6"/>
    <w:rsid w:val="00600069"/>
    <w:rsid w:val="0060013E"/>
    <w:rsid w:val="0060017B"/>
    <w:rsid w:val="006001FD"/>
    <w:rsid w:val="00600212"/>
    <w:rsid w:val="0060023C"/>
    <w:rsid w:val="00600354"/>
    <w:rsid w:val="0060037F"/>
    <w:rsid w:val="006006F8"/>
    <w:rsid w:val="006007DC"/>
    <w:rsid w:val="006009D3"/>
    <w:rsid w:val="00600C0F"/>
    <w:rsid w:val="00600DD2"/>
    <w:rsid w:val="00600DED"/>
    <w:rsid w:val="00600FB9"/>
    <w:rsid w:val="006015FA"/>
    <w:rsid w:val="006016C0"/>
    <w:rsid w:val="0060185E"/>
    <w:rsid w:val="0060188A"/>
    <w:rsid w:val="0060198D"/>
    <w:rsid w:val="00601A18"/>
    <w:rsid w:val="00601A62"/>
    <w:rsid w:val="00601BF3"/>
    <w:rsid w:val="00601C22"/>
    <w:rsid w:val="00601C99"/>
    <w:rsid w:val="00601CE3"/>
    <w:rsid w:val="00601D1D"/>
    <w:rsid w:val="00601D3A"/>
    <w:rsid w:val="00601ED9"/>
    <w:rsid w:val="00601EDE"/>
    <w:rsid w:val="00601F53"/>
    <w:rsid w:val="00602081"/>
    <w:rsid w:val="0060214C"/>
    <w:rsid w:val="0060214F"/>
    <w:rsid w:val="00602773"/>
    <w:rsid w:val="00602782"/>
    <w:rsid w:val="0060282A"/>
    <w:rsid w:val="006028C2"/>
    <w:rsid w:val="006028C6"/>
    <w:rsid w:val="00602988"/>
    <w:rsid w:val="00602A29"/>
    <w:rsid w:val="00602AAB"/>
    <w:rsid w:val="00602CAD"/>
    <w:rsid w:val="00602E60"/>
    <w:rsid w:val="00602E9A"/>
    <w:rsid w:val="00602FA2"/>
    <w:rsid w:val="00602FF5"/>
    <w:rsid w:val="0060340B"/>
    <w:rsid w:val="00603451"/>
    <w:rsid w:val="0060367D"/>
    <w:rsid w:val="006036CF"/>
    <w:rsid w:val="006037D2"/>
    <w:rsid w:val="00603865"/>
    <w:rsid w:val="00603947"/>
    <w:rsid w:val="00603A16"/>
    <w:rsid w:val="00603C47"/>
    <w:rsid w:val="00603D85"/>
    <w:rsid w:val="00603E8F"/>
    <w:rsid w:val="00603F88"/>
    <w:rsid w:val="006041C2"/>
    <w:rsid w:val="00604441"/>
    <w:rsid w:val="0060456C"/>
    <w:rsid w:val="00604675"/>
    <w:rsid w:val="0060488C"/>
    <w:rsid w:val="006049B9"/>
    <w:rsid w:val="00604C81"/>
    <w:rsid w:val="00604D47"/>
    <w:rsid w:val="00604D4F"/>
    <w:rsid w:val="00604EA8"/>
    <w:rsid w:val="00604F86"/>
    <w:rsid w:val="00604F89"/>
    <w:rsid w:val="00605199"/>
    <w:rsid w:val="006051F0"/>
    <w:rsid w:val="006053B6"/>
    <w:rsid w:val="00605676"/>
    <w:rsid w:val="006056E5"/>
    <w:rsid w:val="00605710"/>
    <w:rsid w:val="00605717"/>
    <w:rsid w:val="00605762"/>
    <w:rsid w:val="006057EA"/>
    <w:rsid w:val="0060587C"/>
    <w:rsid w:val="006058C5"/>
    <w:rsid w:val="006059E5"/>
    <w:rsid w:val="00605A86"/>
    <w:rsid w:val="00605AA8"/>
    <w:rsid w:val="00605AC9"/>
    <w:rsid w:val="00605AE5"/>
    <w:rsid w:val="00605B90"/>
    <w:rsid w:val="00605E4F"/>
    <w:rsid w:val="006060DE"/>
    <w:rsid w:val="0060618C"/>
    <w:rsid w:val="00606249"/>
    <w:rsid w:val="0060627A"/>
    <w:rsid w:val="0060632D"/>
    <w:rsid w:val="006063C9"/>
    <w:rsid w:val="0060651A"/>
    <w:rsid w:val="00606666"/>
    <w:rsid w:val="006067B1"/>
    <w:rsid w:val="006067DB"/>
    <w:rsid w:val="00606829"/>
    <w:rsid w:val="00606839"/>
    <w:rsid w:val="00606989"/>
    <w:rsid w:val="006069F1"/>
    <w:rsid w:val="00606D4A"/>
    <w:rsid w:val="00606DB0"/>
    <w:rsid w:val="00606DD5"/>
    <w:rsid w:val="00606F84"/>
    <w:rsid w:val="00606FDB"/>
    <w:rsid w:val="00606FE5"/>
    <w:rsid w:val="0060703C"/>
    <w:rsid w:val="00607073"/>
    <w:rsid w:val="0060708F"/>
    <w:rsid w:val="00607107"/>
    <w:rsid w:val="006071D7"/>
    <w:rsid w:val="006071E8"/>
    <w:rsid w:val="0060756E"/>
    <w:rsid w:val="006075E1"/>
    <w:rsid w:val="00607632"/>
    <w:rsid w:val="0060769C"/>
    <w:rsid w:val="0060785B"/>
    <w:rsid w:val="00607977"/>
    <w:rsid w:val="00607AC9"/>
    <w:rsid w:val="00607BDC"/>
    <w:rsid w:val="00607C6C"/>
    <w:rsid w:val="00607E2D"/>
    <w:rsid w:val="006100E9"/>
    <w:rsid w:val="0061022D"/>
    <w:rsid w:val="006102A0"/>
    <w:rsid w:val="00610327"/>
    <w:rsid w:val="006104AD"/>
    <w:rsid w:val="00610574"/>
    <w:rsid w:val="00610577"/>
    <w:rsid w:val="0061062A"/>
    <w:rsid w:val="00610662"/>
    <w:rsid w:val="00610771"/>
    <w:rsid w:val="0061079F"/>
    <w:rsid w:val="00610ADB"/>
    <w:rsid w:val="00610B82"/>
    <w:rsid w:val="00610B87"/>
    <w:rsid w:val="00610F1E"/>
    <w:rsid w:val="00610FE4"/>
    <w:rsid w:val="006111B0"/>
    <w:rsid w:val="00611293"/>
    <w:rsid w:val="006112B0"/>
    <w:rsid w:val="00611374"/>
    <w:rsid w:val="0061143D"/>
    <w:rsid w:val="0061147F"/>
    <w:rsid w:val="00611587"/>
    <w:rsid w:val="0061158C"/>
    <w:rsid w:val="006116BB"/>
    <w:rsid w:val="00611717"/>
    <w:rsid w:val="00611745"/>
    <w:rsid w:val="00611B6C"/>
    <w:rsid w:val="00611CA7"/>
    <w:rsid w:val="00611CD4"/>
    <w:rsid w:val="00611E05"/>
    <w:rsid w:val="00611E86"/>
    <w:rsid w:val="00611F29"/>
    <w:rsid w:val="00611FA9"/>
    <w:rsid w:val="00612152"/>
    <w:rsid w:val="00612171"/>
    <w:rsid w:val="00612178"/>
    <w:rsid w:val="0061234F"/>
    <w:rsid w:val="0061235D"/>
    <w:rsid w:val="0061237B"/>
    <w:rsid w:val="006124D8"/>
    <w:rsid w:val="006124DE"/>
    <w:rsid w:val="00612524"/>
    <w:rsid w:val="00612780"/>
    <w:rsid w:val="00612A33"/>
    <w:rsid w:val="00612BC1"/>
    <w:rsid w:val="00612BCD"/>
    <w:rsid w:val="00612E7C"/>
    <w:rsid w:val="006130C0"/>
    <w:rsid w:val="00613120"/>
    <w:rsid w:val="00613394"/>
    <w:rsid w:val="0061363C"/>
    <w:rsid w:val="00613892"/>
    <w:rsid w:val="0061390D"/>
    <w:rsid w:val="00613A3E"/>
    <w:rsid w:val="00613B12"/>
    <w:rsid w:val="00613B9F"/>
    <w:rsid w:val="00613DA1"/>
    <w:rsid w:val="00613FBF"/>
    <w:rsid w:val="006141BF"/>
    <w:rsid w:val="006141E4"/>
    <w:rsid w:val="00614211"/>
    <w:rsid w:val="0061428A"/>
    <w:rsid w:val="00614290"/>
    <w:rsid w:val="006142DE"/>
    <w:rsid w:val="006142E8"/>
    <w:rsid w:val="00614342"/>
    <w:rsid w:val="006145C7"/>
    <w:rsid w:val="0061460F"/>
    <w:rsid w:val="00614727"/>
    <w:rsid w:val="00614AB0"/>
    <w:rsid w:val="00614EBE"/>
    <w:rsid w:val="00614FEE"/>
    <w:rsid w:val="0061513F"/>
    <w:rsid w:val="00615145"/>
    <w:rsid w:val="006152DE"/>
    <w:rsid w:val="0061530F"/>
    <w:rsid w:val="00615385"/>
    <w:rsid w:val="006153A1"/>
    <w:rsid w:val="006154F3"/>
    <w:rsid w:val="00615624"/>
    <w:rsid w:val="00615706"/>
    <w:rsid w:val="00615743"/>
    <w:rsid w:val="0061574D"/>
    <w:rsid w:val="0061592C"/>
    <w:rsid w:val="00615957"/>
    <w:rsid w:val="0061599D"/>
    <w:rsid w:val="00615B9A"/>
    <w:rsid w:val="00615BB7"/>
    <w:rsid w:val="00615D31"/>
    <w:rsid w:val="00615E3E"/>
    <w:rsid w:val="00615ECA"/>
    <w:rsid w:val="00615ED4"/>
    <w:rsid w:val="00615F17"/>
    <w:rsid w:val="00615F91"/>
    <w:rsid w:val="00615FB6"/>
    <w:rsid w:val="006160BF"/>
    <w:rsid w:val="006160EA"/>
    <w:rsid w:val="006160FF"/>
    <w:rsid w:val="006162DD"/>
    <w:rsid w:val="0061639F"/>
    <w:rsid w:val="00616507"/>
    <w:rsid w:val="00616658"/>
    <w:rsid w:val="006166CE"/>
    <w:rsid w:val="00616915"/>
    <w:rsid w:val="00616932"/>
    <w:rsid w:val="00616998"/>
    <w:rsid w:val="00616A01"/>
    <w:rsid w:val="00616BB6"/>
    <w:rsid w:val="00616CB1"/>
    <w:rsid w:val="00616E5F"/>
    <w:rsid w:val="00616FE2"/>
    <w:rsid w:val="00616FFF"/>
    <w:rsid w:val="0061713F"/>
    <w:rsid w:val="0061732F"/>
    <w:rsid w:val="006173EA"/>
    <w:rsid w:val="006176E8"/>
    <w:rsid w:val="00617794"/>
    <w:rsid w:val="006178A7"/>
    <w:rsid w:val="006178B6"/>
    <w:rsid w:val="006178FB"/>
    <w:rsid w:val="00617996"/>
    <w:rsid w:val="00617998"/>
    <w:rsid w:val="006179BA"/>
    <w:rsid w:val="00617A9E"/>
    <w:rsid w:val="00617AFA"/>
    <w:rsid w:val="00617BAE"/>
    <w:rsid w:val="00617EDB"/>
    <w:rsid w:val="00617F34"/>
    <w:rsid w:val="0062028E"/>
    <w:rsid w:val="00620352"/>
    <w:rsid w:val="006203E4"/>
    <w:rsid w:val="006204B8"/>
    <w:rsid w:val="00620607"/>
    <w:rsid w:val="00620A56"/>
    <w:rsid w:val="00620A7E"/>
    <w:rsid w:val="00620B86"/>
    <w:rsid w:val="00620D87"/>
    <w:rsid w:val="00621010"/>
    <w:rsid w:val="00621055"/>
    <w:rsid w:val="00621202"/>
    <w:rsid w:val="00621329"/>
    <w:rsid w:val="006214BC"/>
    <w:rsid w:val="00621511"/>
    <w:rsid w:val="006215CB"/>
    <w:rsid w:val="0062161A"/>
    <w:rsid w:val="00621647"/>
    <w:rsid w:val="006217D9"/>
    <w:rsid w:val="006217E7"/>
    <w:rsid w:val="00621886"/>
    <w:rsid w:val="006218B9"/>
    <w:rsid w:val="006219A4"/>
    <w:rsid w:val="00621A0B"/>
    <w:rsid w:val="00621C25"/>
    <w:rsid w:val="00621E14"/>
    <w:rsid w:val="00622236"/>
    <w:rsid w:val="006226F3"/>
    <w:rsid w:val="006227EA"/>
    <w:rsid w:val="00622851"/>
    <w:rsid w:val="006229AD"/>
    <w:rsid w:val="00622B69"/>
    <w:rsid w:val="00622C43"/>
    <w:rsid w:val="00622E97"/>
    <w:rsid w:val="00622F7C"/>
    <w:rsid w:val="00623365"/>
    <w:rsid w:val="00623426"/>
    <w:rsid w:val="00623429"/>
    <w:rsid w:val="006236B7"/>
    <w:rsid w:val="00623706"/>
    <w:rsid w:val="00623738"/>
    <w:rsid w:val="006237FD"/>
    <w:rsid w:val="0062395B"/>
    <w:rsid w:val="006239D2"/>
    <w:rsid w:val="006239F2"/>
    <w:rsid w:val="00623AD9"/>
    <w:rsid w:val="00623C99"/>
    <w:rsid w:val="00623E30"/>
    <w:rsid w:val="00623E36"/>
    <w:rsid w:val="00623EBD"/>
    <w:rsid w:val="00623F41"/>
    <w:rsid w:val="00624067"/>
    <w:rsid w:val="00624080"/>
    <w:rsid w:val="006240D0"/>
    <w:rsid w:val="0062422D"/>
    <w:rsid w:val="00624435"/>
    <w:rsid w:val="0062457A"/>
    <w:rsid w:val="006249C7"/>
    <w:rsid w:val="00624A5D"/>
    <w:rsid w:val="00624B2B"/>
    <w:rsid w:val="00624CE6"/>
    <w:rsid w:val="00624EC6"/>
    <w:rsid w:val="006252E0"/>
    <w:rsid w:val="006253C2"/>
    <w:rsid w:val="006255D5"/>
    <w:rsid w:val="0062583A"/>
    <w:rsid w:val="006258E3"/>
    <w:rsid w:val="00625926"/>
    <w:rsid w:val="00625A15"/>
    <w:rsid w:val="00625B40"/>
    <w:rsid w:val="00625BE7"/>
    <w:rsid w:val="00625D6A"/>
    <w:rsid w:val="00625F1C"/>
    <w:rsid w:val="00625F2E"/>
    <w:rsid w:val="00625FD3"/>
    <w:rsid w:val="006260AD"/>
    <w:rsid w:val="00626233"/>
    <w:rsid w:val="006264C6"/>
    <w:rsid w:val="0062655B"/>
    <w:rsid w:val="0062657C"/>
    <w:rsid w:val="006265E8"/>
    <w:rsid w:val="006267A1"/>
    <w:rsid w:val="006267A6"/>
    <w:rsid w:val="00626A4B"/>
    <w:rsid w:val="00626B09"/>
    <w:rsid w:val="00626BD5"/>
    <w:rsid w:val="00626C1E"/>
    <w:rsid w:val="00626CF9"/>
    <w:rsid w:val="00626D15"/>
    <w:rsid w:val="00626D88"/>
    <w:rsid w:val="00626E6E"/>
    <w:rsid w:val="00626EA7"/>
    <w:rsid w:val="00626F0C"/>
    <w:rsid w:val="00626FA2"/>
    <w:rsid w:val="00626FBA"/>
    <w:rsid w:val="00626FC8"/>
    <w:rsid w:val="0062702C"/>
    <w:rsid w:val="00627239"/>
    <w:rsid w:val="00627366"/>
    <w:rsid w:val="00627378"/>
    <w:rsid w:val="006275BD"/>
    <w:rsid w:val="0062762F"/>
    <w:rsid w:val="0062767F"/>
    <w:rsid w:val="0062775F"/>
    <w:rsid w:val="0062789B"/>
    <w:rsid w:val="00627E47"/>
    <w:rsid w:val="00627F9E"/>
    <w:rsid w:val="006300A1"/>
    <w:rsid w:val="0063010F"/>
    <w:rsid w:val="00630420"/>
    <w:rsid w:val="0063053A"/>
    <w:rsid w:val="00630731"/>
    <w:rsid w:val="00630996"/>
    <w:rsid w:val="006309BF"/>
    <w:rsid w:val="00630A1A"/>
    <w:rsid w:val="00630B4E"/>
    <w:rsid w:val="00630B7D"/>
    <w:rsid w:val="00630D05"/>
    <w:rsid w:val="00630E02"/>
    <w:rsid w:val="00630EBE"/>
    <w:rsid w:val="00630ED4"/>
    <w:rsid w:val="00630F9D"/>
    <w:rsid w:val="00631083"/>
    <w:rsid w:val="00631150"/>
    <w:rsid w:val="00631475"/>
    <w:rsid w:val="00631585"/>
    <w:rsid w:val="006316CA"/>
    <w:rsid w:val="00631751"/>
    <w:rsid w:val="0063195D"/>
    <w:rsid w:val="00631A7D"/>
    <w:rsid w:val="00631AA9"/>
    <w:rsid w:val="00631D11"/>
    <w:rsid w:val="00631D1A"/>
    <w:rsid w:val="006321F8"/>
    <w:rsid w:val="00632319"/>
    <w:rsid w:val="006323F0"/>
    <w:rsid w:val="00632505"/>
    <w:rsid w:val="006325B1"/>
    <w:rsid w:val="00632778"/>
    <w:rsid w:val="00632791"/>
    <w:rsid w:val="006328DD"/>
    <w:rsid w:val="006328DE"/>
    <w:rsid w:val="00632928"/>
    <w:rsid w:val="00632994"/>
    <w:rsid w:val="006329EF"/>
    <w:rsid w:val="00632A48"/>
    <w:rsid w:val="00632A62"/>
    <w:rsid w:val="00632B10"/>
    <w:rsid w:val="00632B3A"/>
    <w:rsid w:val="00632BE8"/>
    <w:rsid w:val="00632C82"/>
    <w:rsid w:val="00632D3E"/>
    <w:rsid w:val="00632ECE"/>
    <w:rsid w:val="0063311D"/>
    <w:rsid w:val="00633139"/>
    <w:rsid w:val="00633337"/>
    <w:rsid w:val="00633553"/>
    <w:rsid w:val="0063363A"/>
    <w:rsid w:val="00633766"/>
    <w:rsid w:val="00633827"/>
    <w:rsid w:val="00633911"/>
    <w:rsid w:val="006339F6"/>
    <w:rsid w:val="00633A1E"/>
    <w:rsid w:val="00633D15"/>
    <w:rsid w:val="006341C5"/>
    <w:rsid w:val="006341E9"/>
    <w:rsid w:val="00634263"/>
    <w:rsid w:val="006342F8"/>
    <w:rsid w:val="0063433F"/>
    <w:rsid w:val="0063448E"/>
    <w:rsid w:val="006345FC"/>
    <w:rsid w:val="0063460A"/>
    <w:rsid w:val="00634631"/>
    <w:rsid w:val="00634662"/>
    <w:rsid w:val="006347C8"/>
    <w:rsid w:val="006347E5"/>
    <w:rsid w:val="006347F7"/>
    <w:rsid w:val="00634AE5"/>
    <w:rsid w:val="00634BFD"/>
    <w:rsid w:val="00634C11"/>
    <w:rsid w:val="00634C49"/>
    <w:rsid w:val="00634CE8"/>
    <w:rsid w:val="00634D76"/>
    <w:rsid w:val="00634DC9"/>
    <w:rsid w:val="00634E22"/>
    <w:rsid w:val="00634E94"/>
    <w:rsid w:val="006351E6"/>
    <w:rsid w:val="00635241"/>
    <w:rsid w:val="006357A0"/>
    <w:rsid w:val="0063591A"/>
    <w:rsid w:val="00635B38"/>
    <w:rsid w:val="00635BC5"/>
    <w:rsid w:val="00636272"/>
    <w:rsid w:val="006365E1"/>
    <w:rsid w:val="0063681C"/>
    <w:rsid w:val="0063683E"/>
    <w:rsid w:val="00636C6E"/>
    <w:rsid w:val="00636CE2"/>
    <w:rsid w:val="00636ED2"/>
    <w:rsid w:val="00636F8E"/>
    <w:rsid w:val="00636FEE"/>
    <w:rsid w:val="00636FFB"/>
    <w:rsid w:val="00637071"/>
    <w:rsid w:val="00637131"/>
    <w:rsid w:val="00637410"/>
    <w:rsid w:val="0063744F"/>
    <w:rsid w:val="006374E1"/>
    <w:rsid w:val="00637678"/>
    <w:rsid w:val="0063789A"/>
    <w:rsid w:val="0063796A"/>
    <w:rsid w:val="00637B49"/>
    <w:rsid w:val="00637DF6"/>
    <w:rsid w:val="00640110"/>
    <w:rsid w:val="0064040A"/>
    <w:rsid w:val="0064043F"/>
    <w:rsid w:val="006404B6"/>
    <w:rsid w:val="00640505"/>
    <w:rsid w:val="006405ED"/>
    <w:rsid w:val="0064061E"/>
    <w:rsid w:val="006406F5"/>
    <w:rsid w:val="00640702"/>
    <w:rsid w:val="006407A1"/>
    <w:rsid w:val="0064089B"/>
    <w:rsid w:val="00640979"/>
    <w:rsid w:val="00640A50"/>
    <w:rsid w:val="00640E6D"/>
    <w:rsid w:val="00640E9E"/>
    <w:rsid w:val="00640F2F"/>
    <w:rsid w:val="006411C5"/>
    <w:rsid w:val="00641273"/>
    <w:rsid w:val="006412F8"/>
    <w:rsid w:val="0064179F"/>
    <w:rsid w:val="00641899"/>
    <w:rsid w:val="00641CD3"/>
    <w:rsid w:val="00641F91"/>
    <w:rsid w:val="00642087"/>
    <w:rsid w:val="0064211F"/>
    <w:rsid w:val="00642149"/>
    <w:rsid w:val="00642447"/>
    <w:rsid w:val="00642488"/>
    <w:rsid w:val="00642651"/>
    <w:rsid w:val="006426DC"/>
    <w:rsid w:val="00642780"/>
    <w:rsid w:val="006427D6"/>
    <w:rsid w:val="00642811"/>
    <w:rsid w:val="00642978"/>
    <w:rsid w:val="00642A68"/>
    <w:rsid w:val="00642C0B"/>
    <w:rsid w:val="00642D01"/>
    <w:rsid w:val="00642D0D"/>
    <w:rsid w:val="00642DDB"/>
    <w:rsid w:val="00642F3A"/>
    <w:rsid w:val="00643276"/>
    <w:rsid w:val="0064336A"/>
    <w:rsid w:val="006433D8"/>
    <w:rsid w:val="006435D8"/>
    <w:rsid w:val="0064366A"/>
    <w:rsid w:val="0064379E"/>
    <w:rsid w:val="006437AE"/>
    <w:rsid w:val="0064383C"/>
    <w:rsid w:val="00643BE9"/>
    <w:rsid w:val="00643D26"/>
    <w:rsid w:val="00643E88"/>
    <w:rsid w:val="00643FC9"/>
    <w:rsid w:val="00644239"/>
    <w:rsid w:val="0064424A"/>
    <w:rsid w:val="006443BB"/>
    <w:rsid w:val="006445E4"/>
    <w:rsid w:val="00644850"/>
    <w:rsid w:val="006448BE"/>
    <w:rsid w:val="00644918"/>
    <w:rsid w:val="00644932"/>
    <w:rsid w:val="00644A76"/>
    <w:rsid w:val="00644B6F"/>
    <w:rsid w:val="00644CAE"/>
    <w:rsid w:val="00644E05"/>
    <w:rsid w:val="00644E88"/>
    <w:rsid w:val="006451B4"/>
    <w:rsid w:val="006452C3"/>
    <w:rsid w:val="00645331"/>
    <w:rsid w:val="006454E5"/>
    <w:rsid w:val="0064576D"/>
    <w:rsid w:val="00645976"/>
    <w:rsid w:val="00645D2F"/>
    <w:rsid w:val="00645E47"/>
    <w:rsid w:val="00646071"/>
    <w:rsid w:val="006462F4"/>
    <w:rsid w:val="00646567"/>
    <w:rsid w:val="006467C6"/>
    <w:rsid w:val="006467D4"/>
    <w:rsid w:val="00646E73"/>
    <w:rsid w:val="0064707B"/>
    <w:rsid w:val="00647281"/>
    <w:rsid w:val="00647556"/>
    <w:rsid w:val="0064778F"/>
    <w:rsid w:val="006478E1"/>
    <w:rsid w:val="006479FC"/>
    <w:rsid w:val="00647B84"/>
    <w:rsid w:val="00647F1C"/>
    <w:rsid w:val="00647F66"/>
    <w:rsid w:val="006502B5"/>
    <w:rsid w:val="006505D8"/>
    <w:rsid w:val="006505F1"/>
    <w:rsid w:val="006507BC"/>
    <w:rsid w:val="006507D3"/>
    <w:rsid w:val="006508B3"/>
    <w:rsid w:val="0065097B"/>
    <w:rsid w:val="00650ED3"/>
    <w:rsid w:val="00650F32"/>
    <w:rsid w:val="00651062"/>
    <w:rsid w:val="006510A1"/>
    <w:rsid w:val="0065120F"/>
    <w:rsid w:val="0065125F"/>
    <w:rsid w:val="00651294"/>
    <w:rsid w:val="006512B4"/>
    <w:rsid w:val="006512C5"/>
    <w:rsid w:val="006513F4"/>
    <w:rsid w:val="0065147F"/>
    <w:rsid w:val="00651549"/>
    <w:rsid w:val="00651702"/>
    <w:rsid w:val="00651810"/>
    <w:rsid w:val="00651AC6"/>
    <w:rsid w:val="00651BC7"/>
    <w:rsid w:val="00651CEE"/>
    <w:rsid w:val="00651D16"/>
    <w:rsid w:val="00651E93"/>
    <w:rsid w:val="006520FE"/>
    <w:rsid w:val="00652331"/>
    <w:rsid w:val="00652391"/>
    <w:rsid w:val="006524E4"/>
    <w:rsid w:val="006525FA"/>
    <w:rsid w:val="006526C3"/>
    <w:rsid w:val="00652727"/>
    <w:rsid w:val="00652806"/>
    <w:rsid w:val="00652929"/>
    <w:rsid w:val="00652AC1"/>
    <w:rsid w:val="00652B6C"/>
    <w:rsid w:val="00652B6D"/>
    <w:rsid w:val="00652B96"/>
    <w:rsid w:val="00652D86"/>
    <w:rsid w:val="00652E87"/>
    <w:rsid w:val="00652F41"/>
    <w:rsid w:val="00652FEA"/>
    <w:rsid w:val="0065307E"/>
    <w:rsid w:val="0065314C"/>
    <w:rsid w:val="006532A4"/>
    <w:rsid w:val="006532CA"/>
    <w:rsid w:val="00653456"/>
    <w:rsid w:val="00653663"/>
    <w:rsid w:val="0065374B"/>
    <w:rsid w:val="0065384D"/>
    <w:rsid w:val="006538CE"/>
    <w:rsid w:val="00653A3B"/>
    <w:rsid w:val="00653B07"/>
    <w:rsid w:val="00653C59"/>
    <w:rsid w:val="00653D16"/>
    <w:rsid w:val="00653E6B"/>
    <w:rsid w:val="00653F39"/>
    <w:rsid w:val="00654126"/>
    <w:rsid w:val="00654237"/>
    <w:rsid w:val="006542CF"/>
    <w:rsid w:val="0065433D"/>
    <w:rsid w:val="006546D4"/>
    <w:rsid w:val="006548B2"/>
    <w:rsid w:val="006549EE"/>
    <w:rsid w:val="00654B01"/>
    <w:rsid w:val="00654C9A"/>
    <w:rsid w:val="00654E3A"/>
    <w:rsid w:val="00654EB5"/>
    <w:rsid w:val="0065521F"/>
    <w:rsid w:val="00655525"/>
    <w:rsid w:val="0065568C"/>
    <w:rsid w:val="00655691"/>
    <w:rsid w:val="00655816"/>
    <w:rsid w:val="00655C72"/>
    <w:rsid w:val="00655CB3"/>
    <w:rsid w:val="00655CC9"/>
    <w:rsid w:val="00655FD0"/>
    <w:rsid w:val="00656052"/>
    <w:rsid w:val="006560EB"/>
    <w:rsid w:val="00656468"/>
    <w:rsid w:val="006564DB"/>
    <w:rsid w:val="006564DE"/>
    <w:rsid w:val="006564E0"/>
    <w:rsid w:val="006565EC"/>
    <w:rsid w:val="00656686"/>
    <w:rsid w:val="0065669A"/>
    <w:rsid w:val="00656859"/>
    <w:rsid w:val="0065686B"/>
    <w:rsid w:val="006568B2"/>
    <w:rsid w:val="00656B44"/>
    <w:rsid w:val="00656C04"/>
    <w:rsid w:val="00656C3B"/>
    <w:rsid w:val="00656FD2"/>
    <w:rsid w:val="00657034"/>
    <w:rsid w:val="006571F3"/>
    <w:rsid w:val="006572D5"/>
    <w:rsid w:val="006572EE"/>
    <w:rsid w:val="006574E1"/>
    <w:rsid w:val="0065757A"/>
    <w:rsid w:val="006575FB"/>
    <w:rsid w:val="006576AB"/>
    <w:rsid w:val="0065791E"/>
    <w:rsid w:val="00657A8C"/>
    <w:rsid w:val="00657ACE"/>
    <w:rsid w:val="00657FDA"/>
    <w:rsid w:val="0066005C"/>
    <w:rsid w:val="0066012B"/>
    <w:rsid w:val="00660181"/>
    <w:rsid w:val="00660187"/>
    <w:rsid w:val="006601AA"/>
    <w:rsid w:val="00660467"/>
    <w:rsid w:val="00660672"/>
    <w:rsid w:val="00660786"/>
    <w:rsid w:val="006607E5"/>
    <w:rsid w:val="00660860"/>
    <w:rsid w:val="00660902"/>
    <w:rsid w:val="00660A52"/>
    <w:rsid w:val="00660A7B"/>
    <w:rsid w:val="006610BB"/>
    <w:rsid w:val="006610E6"/>
    <w:rsid w:val="00661148"/>
    <w:rsid w:val="006612B5"/>
    <w:rsid w:val="0066166E"/>
    <w:rsid w:val="006616D6"/>
    <w:rsid w:val="0066172B"/>
    <w:rsid w:val="0066178E"/>
    <w:rsid w:val="00661998"/>
    <w:rsid w:val="006619CF"/>
    <w:rsid w:val="00661AE7"/>
    <w:rsid w:val="00661B25"/>
    <w:rsid w:val="00661B9C"/>
    <w:rsid w:val="00661BD6"/>
    <w:rsid w:val="00661CD5"/>
    <w:rsid w:val="00661DDA"/>
    <w:rsid w:val="00661EFF"/>
    <w:rsid w:val="0066208E"/>
    <w:rsid w:val="006620AF"/>
    <w:rsid w:val="006620B2"/>
    <w:rsid w:val="00662132"/>
    <w:rsid w:val="0066218A"/>
    <w:rsid w:val="006622FA"/>
    <w:rsid w:val="006626C5"/>
    <w:rsid w:val="006626D1"/>
    <w:rsid w:val="006628B3"/>
    <w:rsid w:val="006628D1"/>
    <w:rsid w:val="006629A6"/>
    <w:rsid w:val="006629F7"/>
    <w:rsid w:val="00662AFC"/>
    <w:rsid w:val="00662C05"/>
    <w:rsid w:val="00662D1B"/>
    <w:rsid w:val="00662D5B"/>
    <w:rsid w:val="00662DD8"/>
    <w:rsid w:val="00662DFC"/>
    <w:rsid w:val="00663138"/>
    <w:rsid w:val="006632C5"/>
    <w:rsid w:val="00663489"/>
    <w:rsid w:val="0066359F"/>
    <w:rsid w:val="006635B7"/>
    <w:rsid w:val="006635E0"/>
    <w:rsid w:val="0066372C"/>
    <w:rsid w:val="00663810"/>
    <w:rsid w:val="00663A49"/>
    <w:rsid w:val="00663B70"/>
    <w:rsid w:val="00663C8E"/>
    <w:rsid w:val="00663DC9"/>
    <w:rsid w:val="00663E83"/>
    <w:rsid w:val="006640B8"/>
    <w:rsid w:val="006643CE"/>
    <w:rsid w:val="0066447D"/>
    <w:rsid w:val="00664593"/>
    <w:rsid w:val="006646FA"/>
    <w:rsid w:val="0066471F"/>
    <w:rsid w:val="006647F6"/>
    <w:rsid w:val="00664896"/>
    <w:rsid w:val="0066493D"/>
    <w:rsid w:val="00664AB9"/>
    <w:rsid w:val="00664BE7"/>
    <w:rsid w:val="00664C58"/>
    <w:rsid w:val="00664C75"/>
    <w:rsid w:val="00664D45"/>
    <w:rsid w:val="00664D59"/>
    <w:rsid w:val="00664E3D"/>
    <w:rsid w:val="00664E44"/>
    <w:rsid w:val="00664E46"/>
    <w:rsid w:val="00664F93"/>
    <w:rsid w:val="0066506E"/>
    <w:rsid w:val="00665591"/>
    <w:rsid w:val="006657AE"/>
    <w:rsid w:val="0066593B"/>
    <w:rsid w:val="00665A3A"/>
    <w:rsid w:val="00665A94"/>
    <w:rsid w:val="00665B77"/>
    <w:rsid w:val="00665C9A"/>
    <w:rsid w:val="00665D1A"/>
    <w:rsid w:val="00665E4F"/>
    <w:rsid w:val="00665E5B"/>
    <w:rsid w:val="00665E5D"/>
    <w:rsid w:val="00666132"/>
    <w:rsid w:val="0066616F"/>
    <w:rsid w:val="006661FF"/>
    <w:rsid w:val="00666269"/>
    <w:rsid w:val="006662B4"/>
    <w:rsid w:val="006662B8"/>
    <w:rsid w:val="00666486"/>
    <w:rsid w:val="006664EB"/>
    <w:rsid w:val="00666897"/>
    <w:rsid w:val="006668EE"/>
    <w:rsid w:val="00666BC6"/>
    <w:rsid w:val="00666C69"/>
    <w:rsid w:val="00666EFA"/>
    <w:rsid w:val="00666FF5"/>
    <w:rsid w:val="00667358"/>
    <w:rsid w:val="00667362"/>
    <w:rsid w:val="00667376"/>
    <w:rsid w:val="0066768F"/>
    <w:rsid w:val="0066784C"/>
    <w:rsid w:val="006679A0"/>
    <w:rsid w:val="00667A09"/>
    <w:rsid w:val="00667ABB"/>
    <w:rsid w:val="00667B29"/>
    <w:rsid w:val="00667C02"/>
    <w:rsid w:val="00667CE7"/>
    <w:rsid w:val="00667EEE"/>
    <w:rsid w:val="00667F51"/>
    <w:rsid w:val="006701F9"/>
    <w:rsid w:val="0067038C"/>
    <w:rsid w:val="00670486"/>
    <w:rsid w:val="006705CB"/>
    <w:rsid w:val="006705EF"/>
    <w:rsid w:val="0067062E"/>
    <w:rsid w:val="0067076A"/>
    <w:rsid w:val="00670802"/>
    <w:rsid w:val="006709ED"/>
    <w:rsid w:val="00670AF8"/>
    <w:rsid w:val="00670B49"/>
    <w:rsid w:val="00670D65"/>
    <w:rsid w:val="00670E7F"/>
    <w:rsid w:val="00670F71"/>
    <w:rsid w:val="00670FE1"/>
    <w:rsid w:val="00671089"/>
    <w:rsid w:val="0067118B"/>
    <w:rsid w:val="00671233"/>
    <w:rsid w:val="0067132B"/>
    <w:rsid w:val="0067187C"/>
    <w:rsid w:val="0067188B"/>
    <w:rsid w:val="00671913"/>
    <w:rsid w:val="00671A30"/>
    <w:rsid w:val="00671C16"/>
    <w:rsid w:val="00671DD1"/>
    <w:rsid w:val="00671E65"/>
    <w:rsid w:val="00671F8C"/>
    <w:rsid w:val="00672039"/>
    <w:rsid w:val="00672175"/>
    <w:rsid w:val="00672209"/>
    <w:rsid w:val="00672290"/>
    <w:rsid w:val="0067238C"/>
    <w:rsid w:val="0067257E"/>
    <w:rsid w:val="00672599"/>
    <w:rsid w:val="006725F5"/>
    <w:rsid w:val="0067266C"/>
    <w:rsid w:val="0067296F"/>
    <w:rsid w:val="00672AE8"/>
    <w:rsid w:val="00672BA3"/>
    <w:rsid w:val="00672BBB"/>
    <w:rsid w:val="00672C21"/>
    <w:rsid w:val="00672D32"/>
    <w:rsid w:val="00672D53"/>
    <w:rsid w:val="00672DCF"/>
    <w:rsid w:val="00672E01"/>
    <w:rsid w:val="00672ED0"/>
    <w:rsid w:val="00672F18"/>
    <w:rsid w:val="00672F61"/>
    <w:rsid w:val="006730E5"/>
    <w:rsid w:val="0067310D"/>
    <w:rsid w:val="0067317B"/>
    <w:rsid w:val="006734F2"/>
    <w:rsid w:val="0067360B"/>
    <w:rsid w:val="0067362B"/>
    <w:rsid w:val="00673668"/>
    <w:rsid w:val="00673715"/>
    <w:rsid w:val="00673721"/>
    <w:rsid w:val="00673797"/>
    <w:rsid w:val="006737C2"/>
    <w:rsid w:val="006737D6"/>
    <w:rsid w:val="0067387F"/>
    <w:rsid w:val="00673A85"/>
    <w:rsid w:val="00673A89"/>
    <w:rsid w:val="00673B11"/>
    <w:rsid w:val="00673D3B"/>
    <w:rsid w:val="00673E05"/>
    <w:rsid w:val="00673E16"/>
    <w:rsid w:val="00673E35"/>
    <w:rsid w:val="00674074"/>
    <w:rsid w:val="0067426E"/>
    <w:rsid w:val="00674452"/>
    <w:rsid w:val="00674536"/>
    <w:rsid w:val="006746BA"/>
    <w:rsid w:val="0067489A"/>
    <w:rsid w:val="00674BC4"/>
    <w:rsid w:val="0067507C"/>
    <w:rsid w:val="006750AC"/>
    <w:rsid w:val="00675250"/>
    <w:rsid w:val="006752CB"/>
    <w:rsid w:val="006753B6"/>
    <w:rsid w:val="00675646"/>
    <w:rsid w:val="006756F0"/>
    <w:rsid w:val="00675747"/>
    <w:rsid w:val="00675852"/>
    <w:rsid w:val="00675856"/>
    <w:rsid w:val="006758FE"/>
    <w:rsid w:val="00675AC4"/>
    <w:rsid w:val="00675C00"/>
    <w:rsid w:val="00675D4E"/>
    <w:rsid w:val="00675D7D"/>
    <w:rsid w:val="00675DB5"/>
    <w:rsid w:val="00675EF3"/>
    <w:rsid w:val="00675F56"/>
    <w:rsid w:val="0067617F"/>
    <w:rsid w:val="006762EA"/>
    <w:rsid w:val="0067630B"/>
    <w:rsid w:val="00676334"/>
    <w:rsid w:val="006763F1"/>
    <w:rsid w:val="00676443"/>
    <w:rsid w:val="0067659B"/>
    <w:rsid w:val="0067695D"/>
    <w:rsid w:val="00676991"/>
    <w:rsid w:val="00676A08"/>
    <w:rsid w:val="00676A5A"/>
    <w:rsid w:val="00676B73"/>
    <w:rsid w:val="00676BCA"/>
    <w:rsid w:val="0067706F"/>
    <w:rsid w:val="006774AD"/>
    <w:rsid w:val="00677524"/>
    <w:rsid w:val="00677590"/>
    <w:rsid w:val="006775D6"/>
    <w:rsid w:val="006775FE"/>
    <w:rsid w:val="0067773E"/>
    <w:rsid w:val="0067780A"/>
    <w:rsid w:val="006779CE"/>
    <w:rsid w:val="00677B5E"/>
    <w:rsid w:val="00677E49"/>
    <w:rsid w:val="00677E8A"/>
    <w:rsid w:val="00677F98"/>
    <w:rsid w:val="00677FF1"/>
    <w:rsid w:val="0068003C"/>
    <w:rsid w:val="006800A5"/>
    <w:rsid w:val="006802DB"/>
    <w:rsid w:val="00680434"/>
    <w:rsid w:val="00680452"/>
    <w:rsid w:val="00680476"/>
    <w:rsid w:val="00680480"/>
    <w:rsid w:val="006805E3"/>
    <w:rsid w:val="00680601"/>
    <w:rsid w:val="0068091C"/>
    <w:rsid w:val="00680993"/>
    <w:rsid w:val="00680B2E"/>
    <w:rsid w:val="00680BC5"/>
    <w:rsid w:val="00680C26"/>
    <w:rsid w:val="00680C3A"/>
    <w:rsid w:val="006810A1"/>
    <w:rsid w:val="006810AA"/>
    <w:rsid w:val="006811C6"/>
    <w:rsid w:val="00681455"/>
    <w:rsid w:val="00681822"/>
    <w:rsid w:val="00681A31"/>
    <w:rsid w:val="00681BFC"/>
    <w:rsid w:val="00681C59"/>
    <w:rsid w:val="00681CBE"/>
    <w:rsid w:val="00681E77"/>
    <w:rsid w:val="00681EE6"/>
    <w:rsid w:val="00681FBC"/>
    <w:rsid w:val="0068213C"/>
    <w:rsid w:val="0068214A"/>
    <w:rsid w:val="006821B8"/>
    <w:rsid w:val="00682245"/>
    <w:rsid w:val="006822FA"/>
    <w:rsid w:val="0068232D"/>
    <w:rsid w:val="0068273F"/>
    <w:rsid w:val="00682881"/>
    <w:rsid w:val="006828FE"/>
    <w:rsid w:val="00682B26"/>
    <w:rsid w:val="00682B5B"/>
    <w:rsid w:val="00682B90"/>
    <w:rsid w:val="00682D17"/>
    <w:rsid w:val="00682D71"/>
    <w:rsid w:val="00682EE8"/>
    <w:rsid w:val="00682FC1"/>
    <w:rsid w:val="0068308B"/>
    <w:rsid w:val="006831BB"/>
    <w:rsid w:val="0068321C"/>
    <w:rsid w:val="00683419"/>
    <w:rsid w:val="00683426"/>
    <w:rsid w:val="006834C1"/>
    <w:rsid w:val="0068358F"/>
    <w:rsid w:val="0068359C"/>
    <w:rsid w:val="006835DC"/>
    <w:rsid w:val="00683676"/>
    <w:rsid w:val="00683986"/>
    <w:rsid w:val="00683AD1"/>
    <w:rsid w:val="00684145"/>
    <w:rsid w:val="006841CB"/>
    <w:rsid w:val="0068434F"/>
    <w:rsid w:val="006844DE"/>
    <w:rsid w:val="0068464C"/>
    <w:rsid w:val="0068465A"/>
    <w:rsid w:val="00684689"/>
    <w:rsid w:val="00684727"/>
    <w:rsid w:val="006849F3"/>
    <w:rsid w:val="00684BD9"/>
    <w:rsid w:val="00684D1F"/>
    <w:rsid w:val="00684DC4"/>
    <w:rsid w:val="00684E4B"/>
    <w:rsid w:val="00684FB2"/>
    <w:rsid w:val="00684FD1"/>
    <w:rsid w:val="006850BE"/>
    <w:rsid w:val="00685182"/>
    <w:rsid w:val="0068534E"/>
    <w:rsid w:val="006854A9"/>
    <w:rsid w:val="0068559B"/>
    <w:rsid w:val="006855AE"/>
    <w:rsid w:val="006855CA"/>
    <w:rsid w:val="006856B6"/>
    <w:rsid w:val="006856C8"/>
    <w:rsid w:val="0068590F"/>
    <w:rsid w:val="00685A1D"/>
    <w:rsid w:val="00685AA0"/>
    <w:rsid w:val="00685E07"/>
    <w:rsid w:val="00685EC1"/>
    <w:rsid w:val="0068608D"/>
    <w:rsid w:val="006860E4"/>
    <w:rsid w:val="0068621D"/>
    <w:rsid w:val="00686264"/>
    <w:rsid w:val="006862A9"/>
    <w:rsid w:val="006862B0"/>
    <w:rsid w:val="00686435"/>
    <w:rsid w:val="00686618"/>
    <w:rsid w:val="00686823"/>
    <w:rsid w:val="006868A1"/>
    <w:rsid w:val="00686A34"/>
    <w:rsid w:val="00686BB5"/>
    <w:rsid w:val="00686DF7"/>
    <w:rsid w:val="00686FAB"/>
    <w:rsid w:val="00686FCA"/>
    <w:rsid w:val="006870BC"/>
    <w:rsid w:val="0068710C"/>
    <w:rsid w:val="00687120"/>
    <w:rsid w:val="00687183"/>
    <w:rsid w:val="00687333"/>
    <w:rsid w:val="006873BA"/>
    <w:rsid w:val="00687417"/>
    <w:rsid w:val="006874D7"/>
    <w:rsid w:val="006875A6"/>
    <w:rsid w:val="00687658"/>
    <w:rsid w:val="006876AA"/>
    <w:rsid w:val="006877D4"/>
    <w:rsid w:val="006878EC"/>
    <w:rsid w:val="006879E3"/>
    <w:rsid w:val="00687CD6"/>
    <w:rsid w:val="00687CFC"/>
    <w:rsid w:val="00687DBD"/>
    <w:rsid w:val="0069011F"/>
    <w:rsid w:val="00690136"/>
    <w:rsid w:val="006901F9"/>
    <w:rsid w:val="006902C4"/>
    <w:rsid w:val="0069039C"/>
    <w:rsid w:val="0069057F"/>
    <w:rsid w:val="006907E6"/>
    <w:rsid w:val="0069080C"/>
    <w:rsid w:val="00690880"/>
    <w:rsid w:val="00690971"/>
    <w:rsid w:val="006909B1"/>
    <w:rsid w:val="006909DF"/>
    <w:rsid w:val="00690CB9"/>
    <w:rsid w:val="00690D2B"/>
    <w:rsid w:val="00690D6E"/>
    <w:rsid w:val="006912DD"/>
    <w:rsid w:val="0069133E"/>
    <w:rsid w:val="0069143F"/>
    <w:rsid w:val="00691533"/>
    <w:rsid w:val="0069155B"/>
    <w:rsid w:val="0069162F"/>
    <w:rsid w:val="006916A4"/>
    <w:rsid w:val="00691734"/>
    <w:rsid w:val="0069176C"/>
    <w:rsid w:val="00691985"/>
    <w:rsid w:val="00691B4D"/>
    <w:rsid w:val="00691BAB"/>
    <w:rsid w:val="00691C05"/>
    <w:rsid w:val="00691C2E"/>
    <w:rsid w:val="00691F52"/>
    <w:rsid w:val="0069223B"/>
    <w:rsid w:val="00692269"/>
    <w:rsid w:val="006923D9"/>
    <w:rsid w:val="00692528"/>
    <w:rsid w:val="00692681"/>
    <w:rsid w:val="0069292D"/>
    <w:rsid w:val="00692999"/>
    <w:rsid w:val="00692CC5"/>
    <w:rsid w:val="00692D98"/>
    <w:rsid w:val="00692DBD"/>
    <w:rsid w:val="00692EA8"/>
    <w:rsid w:val="00693148"/>
    <w:rsid w:val="006931DC"/>
    <w:rsid w:val="006932A0"/>
    <w:rsid w:val="0069344F"/>
    <w:rsid w:val="00693510"/>
    <w:rsid w:val="006937F7"/>
    <w:rsid w:val="00693845"/>
    <w:rsid w:val="00693920"/>
    <w:rsid w:val="00693A08"/>
    <w:rsid w:val="00693A18"/>
    <w:rsid w:val="00693B86"/>
    <w:rsid w:val="00693D0C"/>
    <w:rsid w:val="00693D75"/>
    <w:rsid w:val="00693DCD"/>
    <w:rsid w:val="00693E50"/>
    <w:rsid w:val="00694281"/>
    <w:rsid w:val="006942E1"/>
    <w:rsid w:val="00694575"/>
    <w:rsid w:val="0069458E"/>
    <w:rsid w:val="00694BB7"/>
    <w:rsid w:val="00694C04"/>
    <w:rsid w:val="00694C2F"/>
    <w:rsid w:val="0069505D"/>
    <w:rsid w:val="006950CB"/>
    <w:rsid w:val="0069531C"/>
    <w:rsid w:val="00695423"/>
    <w:rsid w:val="00695541"/>
    <w:rsid w:val="00695746"/>
    <w:rsid w:val="00695A34"/>
    <w:rsid w:val="00695D7E"/>
    <w:rsid w:val="00695D8B"/>
    <w:rsid w:val="00695D90"/>
    <w:rsid w:val="00695F20"/>
    <w:rsid w:val="006960CC"/>
    <w:rsid w:val="0069624F"/>
    <w:rsid w:val="00696479"/>
    <w:rsid w:val="0069649F"/>
    <w:rsid w:val="006965A0"/>
    <w:rsid w:val="006966E1"/>
    <w:rsid w:val="00696A71"/>
    <w:rsid w:val="00696B47"/>
    <w:rsid w:val="00696BC4"/>
    <w:rsid w:val="00696C97"/>
    <w:rsid w:val="00696D8B"/>
    <w:rsid w:val="00696EF7"/>
    <w:rsid w:val="00697199"/>
    <w:rsid w:val="006971C3"/>
    <w:rsid w:val="006971C6"/>
    <w:rsid w:val="0069731B"/>
    <w:rsid w:val="00697348"/>
    <w:rsid w:val="00697422"/>
    <w:rsid w:val="006978D2"/>
    <w:rsid w:val="006978EE"/>
    <w:rsid w:val="006979A6"/>
    <w:rsid w:val="00697BFC"/>
    <w:rsid w:val="00697C3F"/>
    <w:rsid w:val="00697EB6"/>
    <w:rsid w:val="00697ED9"/>
    <w:rsid w:val="006A01BB"/>
    <w:rsid w:val="006A01FB"/>
    <w:rsid w:val="006A02FC"/>
    <w:rsid w:val="006A030E"/>
    <w:rsid w:val="006A0356"/>
    <w:rsid w:val="006A0385"/>
    <w:rsid w:val="006A0395"/>
    <w:rsid w:val="006A0399"/>
    <w:rsid w:val="006A04AD"/>
    <w:rsid w:val="006A0551"/>
    <w:rsid w:val="006A05CC"/>
    <w:rsid w:val="006A0BB2"/>
    <w:rsid w:val="006A0C08"/>
    <w:rsid w:val="006A0C0E"/>
    <w:rsid w:val="006A0D2B"/>
    <w:rsid w:val="006A0D45"/>
    <w:rsid w:val="006A0EA6"/>
    <w:rsid w:val="006A0EE9"/>
    <w:rsid w:val="006A10B8"/>
    <w:rsid w:val="006A11BE"/>
    <w:rsid w:val="006A1231"/>
    <w:rsid w:val="006A1331"/>
    <w:rsid w:val="006A15AE"/>
    <w:rsid w:val="006A1785"/>
    <w:rsid w:val="006A17DB"/>
    <w:rsid w:val="006A190E"/>
    <w:rsid w:val="006A19F0"/>
    <w:rsid w:val="006A1C3E"/>
    <w:rsid w:val="006A1CC5"/>
    <w:rsid w:val="006A1CC9"/>
    <w:rsid w:val="006A1CEF"/>
    <w:rsid w:val="006A1D28"/>
    <w:rsid w:val="006A1E9A"/>
    <w:rsid w:val="006A1F4F"/>
    <w:rsid w:val="006A1F64"/>
    <w:rsid w:val="006A2278"/>
    <w:rsid w:val="006A22B0"/>
    <w:rsid w:val="006A22C9"/>
    <w:rsid w:val="006A23F8"/>
    <w:rsid w:val="006A2716"/>
    <w:rsid w:val="006A28C5"/>
    <w:rsid w:val="006A2906"/>
    <w:rsid w:val="006A293F"/>
    <w:rsid w:val="006A2A54"/>
    <w:rsid w:val="006A2BDD"/>
    <w:rsid w:val="006A2D79"/>
    <w:rsid w:val="006A2E08"/>
    <w:rsid w:val="006A3054"/>
    <w:rsid w:val="006A317F"/>
    <w:rsid w:val="006A3198"/>
    <w:rsid w:val="006A358E"/>
    <w:rsid w:val="006A3685"/>
    <w:rsid w:val="006A3776"/>
    <w:rsid w:val="006A383B"/>
    <w:rsid w:val="006A395F"/>
    <w:rsid w:val="006A39DB"/>
    <w:rsid w:val="006A3A80"/>
    <w:rsid w:val="006A3B74"/>
    <w:rsid w:val="006A3DC5"/>
    <w:rsid w:val="006A4186"/>
    <w:rsid w:val="006A428A"/>
    <w:rsid w:val="006A42F8"/>
    <w:rsid w:val="006A4475"/>
    <w:rsid w:val="006A4535"/>
    <w:rsid w:val="006A458E"/>
    <w:rsid w:val="006A48B7"/>
    <w:rsid w:val="006A49FD"/>
    <w:rsid w:val="006A4A49"/>
    <w:rsid w:val="006A4CF0"/>
    <w:rsid w:val="006A4D28"/>
    <w:rsid w:val="006A4E1F"/>
    <w:rsid w:val="006A5028"/>
    <w:rsid w:val="006A5040"/>
    <w:rsid w:val="006A52DD"/>
    <w:rsid w:val="006A5371"/>
    <w:rsid w:val="006A5432"/>
    <w:rsid w:val="006A5440"/>
    <w:rsid w:val="006A54E1"/>
    <w:rsid w:val="006A550F"/>
    <w:rsid w:val="006A554E"/>
    <w:rsid w:val="006A5792"/>
    <w:rsid w:val="006A58BE"/>
    <w:rsid w:val="006A59B7"/>
    <w:rsid w:val="006A5A7E"/>
    <w:rsid w:val="006A5A9B"/>
    <w:rsid w:val="006A5BB6"/>
    <w:rsid w:val="006A5CF6"/>
    <w:rsid w:val="006A5D4E"/>
    <w:rsid w:val="006A606C"/>
    <w:rsid w:val="006A60BE"/>
    <w:rsid w:val="006A60D2"/>
    <w:rsid w:val="006A62CD"/>
    <w:rsid w:val="006A66A0"/>
    <w:rsid w:val="006A69A3"/>
    <w:rsid w:val="006A69B7"/>
    <w:rsid w:val="006A6B3B"/>
    <w:rsid w:val="006A6B47"/>
    <w:rsid w:val="006A6BA8"/>
    <w:rsid w:val="006A6C2F"/>
    <w:rsid w:val="006A6C96"/>
    <w:rsid w:val="006A6EF2"/>
    <w:rsid w:val="006A6FAD"/>
    <w:rsid w:val="006A7162"/>
    <w:rsid w:val="006A723C"/>
    <w:rsid w:val="006A7276"/>
    <w:rsid w:val="006A7560"/>
    <w:rsid w:val="006A768D"/>
    <w:rsid w:val="006A77D5"/>
    <w:rsid w:val="006A785C"/>
    <w:rsid w:val="006A796B"/>
    <w:rsid w:val="006A796C"/>
    <w:rsid w:val="006A7C7D"/>
    <w:rsid w:val="006A7CB6"/>
    <w:rsid w:val="006A7D6D"/>
    <w:rsid w:val="006A7E5C"/>
    <w:rsid w:val="006A7F0B"/>
    <w:rsid w:val="006A7F7A"/>
    <w:rsid w:val="006B0033"/>
    <w:rsid w:val="006B0772"/>
    <w:rsid w:val="006B08E7"/>
    <w:rsid w:val="006B0AC7"/>
    <w:rsid w:val="006B0C0D"/>
    <w:rsid w:val="006B0D46"/>
    <w:rsid w:val="006B0EBC"/>
    <w:rsid w:val="006B102A"/>
    <w:rsid w:val="006B1273"/>
    <w:rsid w:val="006B132E"/>
    <w:rsid w:val="006B13E1"/>
    <w:rsid w:val="006B1482"/>
    <w:rsid w:val="006B165B"/>
    <w:rsid w:val="006B166C"/>
    <w:rsid w:val="006B1737"/>
    <w:rsid w:val="006B1787"/>
    <w:rsid w:val="006B190B"/>
    <w:rsid w:val="006B1946"/>
    <w:rsid w:val="006B19FF"/>
    <w:rsid w:val="006B1D0A"/>
    <w:rsid w:val="006B1F19"/>
    <w:rsid w:val="006B20DA"/>
    <w:rsid w:val="006B2202"/>
    <w:rsid w:val="006B2339"/>
    <w:rsid w:val="006B27C4"/>
    <w:rsid w:val="006B280D"/>
    <w:rsid w:val="006B2AB5"/>
    <w:rsid w:val="006B2B08"/>
    <w:rsid w:val="006B2B44"/>
    <w:rsid w:val="006B2BA1"/>
    <w:rsid w:val="006B2BF1"/>
    <w:rsid w:val="006B2CC0"/>
    <w:rsid w:val="006B2DAA"/>
    <w:rsid w:val="006B2DE6"/>
    <w:rsid w:val="006B2E5E"/>
    <w:rsid w:val="006B2F3B"/>
    <w:rsid w:val="006B305B"/>
    <w:rsid w:val="006B3136"/>
    <w:rsid w:val="006B3166"/>
    <w:rsid w:val="006B3293"/>
    <w:rsid w:val="006B32E0"/>
    <w:rsid w:val="006B338E"/>
    <w:rsid w:val="006B34F0"/>
    <w:rsid w:val="006B3629"/>
    <w:rsid w:val="006B39FB"/>
    <w:rsid w:val="006B3BAD"/>
    <w:rsid w:val="006B3FB5"/>
    <w:rsid w:val="006B418D"/>
    <w:rsid w:val="006B42F6"/>
    <w:rsid w:val="006B4338"/>
    <w:rsid w:val="006B43B5"/>
    <w:rsid w:val="006B44B3"/>
    <w:rsid w:val="006B4627"/>
    <w:rsid w:val="006B4685"/>
    <w:rsid w:val="006B475B"/>
    <w:rsid w:val="006B490F"/>
    <w:rsid w:val="006B49BA"/>
    <w:rsid w:val="006B49F4"/>
    <w:rsid w:val="006B4A80"/>
    <w:rsid w:val="006B4AB1"/>
    <w:rsid w:val="006B4BDC"/>
    <w:rsid w:val="006B4E75"/>
    <w:rsid w:val="006B4EB2"/>
    <w:rsid w:val="006B5306"/>
    <w:rsid w:val="006B53B2"/>
    <w:rsid w:val="006B5777"/>
    <w:rsid w:val="006B59C3"/>
    <w:rsid w:val="006B5A7C"/>
    <w:rsid w:val="006B5F6A"/>
    <w:rsid w:val="006B606F"/>
    <w:rsid w:val="006B607B"/>
    <w:rsid w:val="006B621E"/>
    <w:rsid w:val="006B62F5"/>
    <w:rsid w:val="006B64D3"/>
    <w:rsid w:val="006B65BF"/>
    <w:rsid w:val="006B66B9"/>
    <w:rsid w:val="006B6751"/>
    <w:rsid w:val="006B6831"/>
    <w:rsid w:val="006B68B2"/>
    <w:rsid w:val="006B6930"/>
    <w:rsid w:val="006B69E2"/>
    <w:rsid w:val="006B6AAD"/>
    <w:rsid w:val="006B6B89"/>
    <w:rsid w:val="006B6B8C"/>
    <w:rsid w:val="006B6CBE"/>
    <w:rsid w:val="006B6D9A"/>
    <w:rsid w:val="006B6E1B"/>
    <w:rsid w:val="006B6F27"/>
    <w:rsid w:val="006B7011"/>
    <w:rsid w:val="006B70D8"/>
    <w:rsid w:val="006B7640"/>
    <w:rsid w:val="006B7665"/>
    <w:rsid w:val="006B78B2"/>
    <w:rsid w:val="006B7A4D"/>
    <w:rsid w:val="006B7AA5"/>
    <w:rsid w:val="006B7CFD"/>
    <w:rsid w:val="006B7D43"/>
    <w:rsid w:val="006B7FA5"/>
    <w:rsid w:val="006BD94E"/>
    <w:rsid w:val="006C0268"/>
    <w:rsid w:val="006C029A"/>
    <w:rsid w:val="006C0372"/>
    <w:rsid w:val="006C0551"/>
    <w:rsid w:val="006C058E"/>
    <w:rsid w:val="006C087C"/>
    <w:rsid w:val="006C0903"/>
    <w:rsid w:val="006C0ADC"/>
    <w:rsid w:val="006C0AF0"/>
    <w:rsid w:val="006C0B45"/>
    <w:rsid w:val="006C0C33"/>
    <w:rsid w:val="006C0C65"/>
    <w:rsid w:val="006C0C73"/>
    <w:rsid w:val="006C1003"/>
    <w:rsid w:val="006C13EC"/>
    <w:rsid w:val="006C1552"/>
    <w:rsid w:val="006C187C"/>
    <w:rsid w:val="006C1970"/>
    <w:rsid w:val="006C1977"/>
    <w:rsid w:val="006C1996"/>
    <w:rsid w:val="006C19D0"/>
    <w:rsid w:val="006C1B40"/>
    <w:rsid w:val="006C1CEA"/>
    <w:rsid w:val="006C1D52"/>
    <w:rsid w:val="006C1E0B"/>
    <w:rsid w:val="006C212A"/>
    <w:rsid w:val="006C2259"/>
    <w:rsid w:val="006C2365"/>
    <w:rsid w:val="006C2536"/>
    <w:rsid w:val="006C274A"/>
    <w:rsid w:val="006C2762"/>
    <w:rsid w:val="006C29F1"/>
    <w:rsid w:val="006C29F3"/>
    <w:rsid w:val="006C2A26"/>
    <w:rsid w:val="006C2B3F"/>
    <w:rsid w:val="006C2B65"/>
    <w:rsid w:val="006C2CCB"/>
    <w:rsid w:val="006C2CD5"/>
    <w:rsid w:val="006C30C6"/>
    <w:rsid w:val="006C31AF"/>
    <w:rsid w:val="006C3277"/>
    <w:rsid w:val="006C35E2"/>
    <w:rsid w:val="006C3695"/>
    <w:rsid w:val="006C36C4"/>
    <w:rsid w:val="006C3793"/>
    <w:rsid w:val="006C38D9"/>
    <w:rsid w:val="006C393F"/>
    <w:rsid w:val="006C39C2"/>
    <w:rsid w:val="006C3B0D"/>
    <w:rsid w:val="006C3E3D"/>
    <w:rsid w:val="006C3F44"/>
    <w:rsid w:val="006C3FFC"/>
    <w:rsid w:val="006C42F5"/>
    <w:rsid w:val="006C4325"/>
    <w:rsid w:val="006C4414"/>
    <w:rsid w:val="006C44FB"/>
    <w:rsid w:val="006C48D2"/>
    <w:rsid w:val="006C4B09"/>
    <w:rsid w:val="006C4C42"/>
    <w:rsid w:val="006C4D04"/>
    <w:rsid w:val="006C4D85"/>
    <w:rsid w:val="006C4D8E"/>
    <w:rsid w:val="006C4E5F"/>
    <w:rsid w:val="006C4F3E"/>
    <w:rsid w:val="006C4FCA"/>
    <w:rsid w:val="006C54B8"/>
    <w:rsid w:val="006C5556"/>
    <w:rsid w:val="006C5666"/>
    <w:rsid w:val="006C56B2"/>
    <w:rsid w:val="006C5825"/>
    <w:rsid w:val="006C5878"/>
    <w:rsid w:val="006C59D1"/>
    <w:rsid w:val="006C5CF7"/>
    <w:rsid w:val="006C5D5B"/>
    <w:rsid w:val="006C5D9E"/>
    <w:rsid w:val="006C5EE2"/>
    <w:rsid w:val="006C5F3C"/>
    <w:rsid w:val="006C5F90"/>
    <w:rsid w:val="006C601B"/>
    <w:rsid w:val="006C614F"/>
    <w:rsid w:val="006C658E"/>
    <w:rsid w:val="006C65DF"/>
    <w:rsid w:val="006C665C"/>
    <w:rsid w:val="006C6854"/>
    <w:rsid w:val="006C6860"/>
    <w:rsid w:val="006C68C7"/>
    <w:rsid w:val="006C695F"/>
    <w:rsid w:val="006C6AD5"/>
    <w:rsid w:val="006C6B40"/>
    <w:rsid w:val="006C6D3C"/>
    <w:rsid w:val="006C6E92"/>
    <w:rsid w:val="006C6F34"/>
    <w:rsid w:val="006C7073"/>
    <w:rsid w:val="006C7197"/>
    <w:rsid w:val="006C72B4"/>
    <w:rsid w:val="006C72DA"/>
    <w:rsid w:val="006C7352"/>
    <w:rsid w:val="006C73FF"/>
    <w:rsid w:val="006C7734"/>
    <w:rsid w:val="006C7B65"/>
    <w:rsid w:val="006C7C57"/>
    <w:rsid w:val="006C7DFA"/>
    <w:rsid w:val="006D00F6"/>
    <w:rsid w:val="006D0330"/>
    <w:rsid w:val="006D03AF"/>
    <w:rsid w:val="006D03E4"/>
    <w:rsid w:val="006D0766"/>
    <w:rsid w:val="006D07EF"/>
    <w:rsid w:val="006D0AFF"/>
    <w:rsid w:val="006D0B5A"/>
    <w:rsid w:val="006D0BDB"/>
    <w:rsid w:val="006D0C3D"/>
    <w:rsid w:val="006D0CB1"/>
    <w:rsid w:val="006D0DF4"/>
    <w:rsid w:val="006D1093"/>
    <w:rsid w:val="006D1193"/>
    <w:rsid w:val="006D130C"/>
    <w:rsid w:val="006D133E"/>
    <w:rsid w:val="006D146E"/>
    <w:rsid w:val="006D16D3"/>
    <w:rsid w:val="006D1AFC"/>
    <w:rsid w:val="006D201D"/>
    <w:rsid w:val="006D20CB"/>
    <w:rsid w:val="006D2493"/>
    <w:rsid w:val="006D24DF"/>
    <w:rsid w:val="006D24FB"/>
    <w:rsid w:val="006D286C"/>
    <w:rsid w:val="006D28E5"/>
    <w:rsid w:val="006D295D"/>
    <w:rsid w:val="006D2ABA"/>
    <w:rsid w:val="006D2ABC"/>
    <w:rsid w:val="006D2B24"/>
    <w:rsid w:val="006D2B75"/>
    <w:rsid w:val="006D2BDB"/>
    <w:rsid w:val="006D2C17"/>
    <w:rsid w:val="006D2E63"/>
    <w:rsid w:val="006D2FD2"/>
    <w:rsid w:val="006D3078"/>
    <w:rsid w:val="006D340A"/>
    <w:rsid w:val="006D362B"/>
    <w:rsid w:val="006D3634"/>
    <w:rsid w:val="006D36D6"/>
    <w:rsid w:val="006D36E6"/>
    <w:rsid w:val="006D37DB"/>
    <w:rsid w:val="006D37F8"/>
    <w:rsid w:val="006D3823"/>
    <w:rsid w:val="006D3933"/>
    <w:rsid w:val="006D398E"/>
    <w:rsid w:val="006D3D27"/>
    <w:rsid w:val="006D3EDC"/>
    <w:rsid w:val="006D3F24"/>
    <w:rsid w:val="006D3FA0"/>
    <w:rsid w:val="006D3FA2"/>
    <w:rsid w:val="006D4066"/>
    <w:rsid w:val="006D417A"/>
    <w:rsid w:val="006D436C"/>
    <w:rsid w:val="006D43A3"/>
    <w:rsid w:val="006D441E"/>
    <w:rsid w:val="006D4715"/>
    <w:rsid w:val="006D49F9"/>
    <w:rsid w:val="006D4AEE"/>
    <w:rsid w:val="006D4CD4"/>
    <w:rsid w:val="006D504B"/>
    <w:rsid w:val="006D520D"/>
    <w:rsid w:val="006D5628"/>
    <w:rsid w:val="006D574E"/>
    <w:rsid w:val="006D5921"/>
    <w:rsid w:val="006D5942"/>
    <w:rsid w:val="006D5A82"/>
    <w:rsid w:val="006D5AC7"/>
    <w:rsid w:val="006D5DEE"/>
    <w:rsid w:val="006D5EE0"/>
    <w:rsid w:val="006D6064"/>
    <w:rsid w:val="006D60A1"/>
    <w:rsid w:val="006D61B4"/>
    <w:rsid w:val="006D61DA"/>
    <w:rsid w:val="006D61E2"/>
    <w:rsid w:val="006D61E5"/>
    <w:rsid w:val="006D6252"/>
    <w:rsid w:val="006D6325"/>
    <w:rsid w:val="006D6562"/>
    <w:rsid w:val="006D65FE"/>
    <w:rsid w:val="006D67DC"/>
    <w:rsid w:val="006D69EF"/>
    <w:rsid w:val="006D6AC3"/>
    <w:rsid w:val="006D6F15"/>
    <w:rsid w:val="006D7118"/>
    <w:rsid w:val="006D71B6"/>
    <w:rsid w:val="006D71DB"/>
    <w:rsid w:val="006D7215"/>
    <w:rsid w:val="006D73AE"/>
    <w:rsid w:val="006D73F2"/>
    <w:rsid w:val="006D74F3"/>
    <w:rsid w:val="006D7679"/>
    <w:rsid w:val="006D76DE"/>
    <w:rsid w:val="006D7717"/>
    <w:rsid w:val="006D7786"/>
    <w:rsid w:val="006D7859"/>
    <w:rsid w:val="006D787A"/>
    <w:rsid w:val="006D7938"/>
    <w:rsid w:val="006D7BC5"/>
    <w:rsid w:val="006D7C10"/>
    <w:rsid w:val="006D7C94"/>
    <w:rsid w:val="006D7C96"/>
    <w:rsid w:val="006D7CCF"/>
    <w:rsid w:val="006D7D04"/>
    <w:rsid w:val="006D7EB7"/>
    <w:rsid w:val="006D7ED4"/>
    <w:rsid w:val="006D7F6A"/>
    <w:rsid w:val="006E0133"/>
    <w:rsid w:val="006E01DD"/>
    <w:rsid w:val="006E039C"/>
    <w:rsid w:val="006E0496"/>
    <w:rsid w:val="006E079B"/>
    <w:rsid w:val="006E0A2D"/>
    <w:rsid w:val="006E0BB7"/>
    <w:rsid w:val="006E0BF6"/>
    <w:rsid w:val="006E0D58"/>
    <w:rsid w:val="006E0D62"/>
    <w:rsid w:val="006E0D76"/>
    <w:rsid w:val="006E11F3"/>
    <w:rsid w:val="006E1476"/>
    <w:rsid w:val="006E18D0"/>
    <w:rsid w:val="006E1A24"/>
    <w:rsid w:val="006E1A76"/>
    <w:rsid w:val="006E1C34"/>
    <w:rsid w:val="006E214D"/>
    <w:rsid w:val="006E22DB"/>
    <w:rsid w:val="006E2446"/>
    <w:rsid w:val="006E24A7"/>
    <w:rsid w:val="006E2723"/>
    <w:rsid w:val="006E27B9"/>
    <w:rsid w:val="006E2886"/>
    <w:rsid w:val="006E2BA6"/>
    <w:rsid w:val="006E2E6A"/>
    <w:rsid w:val="006E2F14"/>
    <w:rsid w:val="006E2F5C"/>
    <w:rsid w:val="006E3721"/>
    <w:rsid w:val="006E374E"/>
    <w:rsid w:val="006E3840"/>
    <w:rsid w:val="006E38D8"/>
    <w:rsid w:val="006E3B32"/>
    <w:rsid w:val="006E3D0D"/>
    <w:rsid w:val="006E3F2C"/>
    <w:rsid w:val="006E4059"/>
    <w:rsid w:val="006E407B"/>
    <w:rsid w:val="006E40D4"/>
    <w:rsid w:val="006E4108"/>
    <w:rsid w:val="006E42DD"/>
    <w:rsid w:val="006E4402"/>
    <w:rsid w:val="006E4701"/>
    <w:rsid w:val="006E47E4"/>
    <w:rsid w:val="006E4901"/>
    <w:rsid w:val="006E4C33"/>
    <w:rsid w:val="006E4EF3"/>
    <w:rsid w:val="006E4F3D"/>
    <w:rsid w:val="006E4F88"/>
    <w:rsid w:val="006E5462"/>
    <w:rsid w:val="006E557C"/>
    <w:rsid w:val="006E5590"/>
    <w:rsid w:val="006E5603"/>
    <w:rsid w:val="006E59F8"/>
    <w:rsid w:val="006E5CDA"/>
    <w:rsid w:val="006E5D18"/>
    <w:rsid w:val="006E5E97"/>
    <w:rsid w:val="006E5F45"/>
    <w:rsid w:val="006E5F6B"/>
    <w:rsid w:val="006E60BC"/>
    <w:rsid w:val="006E60EC"/>
    <w:rsid w:val="006E6178"/>
    <w:rsid w:val="006E623E"/>
    <w:rsid w:val="006E6584"/>
    <w:rsid w:val="006E65AE"/>
    <w:rsid w:val="006E65E2"/>
    <w:rsid w:val="006E669D"/>
    <w:rsid w:val="006E6784"/>
    <w:rsid w:val="006E68E0"/>
    <w:rsid w:val="006E6C8D"/>
    <w:rsid w:val="006E6E45"/>
    <w:rsid w:val="006E6EAD"/>
    <w:rsid w:val="006E7047"/>
    <w:rsid w:val="006E70AB"/>
    <w:rsid w:val="006E731B"/>
    <w:rsid w:val="006E732D"/>
    <w:rsid w:val="006E740A"/>
    <w:rsid w:val="006E76A9"/>
    <w:rsid w:val="006E76AA"/>
    <w:rsid w:val="006E7880"/>
    <w:rsid w:val="006E789E"/>
    <w:rsid w:val="006E7986"/>
    <w:rsid w:val="006E7A37"/>
    <w:rsid w:val="006E7CCD"/>
    <w:rsid w:val="006E7E29"/>
    <w:rsid w:val="006E7EF1"/>
    <w:rsid w:val="006E7F0A"/>
    <w:rsid w:val="006F00F7"/>
    <w:rsid w:val="006F0400"/>
    <w:rsid w:val="006F04F2"/>
    <w:rsid w:val="006F06A4"/>
    <w:rsid w:val="006F0740"/>
    <w:rsid w:val="006F082D"/>
    <w:rsid w:val="006F0879"/>
    <w:rsid w:val="006F0A7B"/>
    <w:rsid w:val="006F0B9B"/>
    <w:rsid w:val="006F0E3B"/>
    <w:rsid w:val="006F0F5C"/>
    <w:rsid w:val="006F0FFC"/>
    <w:rsid w:val="006F1207"/>
    <w:rsid w:val="006F1276"/>
    <w:rsid w:val="006F12A1"/>
    <w:rsid w:val="006F12ED"/>
    <w:rsid w:val="006F12FB"/>
    <w:rsid w:val="006F13F3"/>
    <w:rsid w:val="006F1667"/>
    <w:rsid w:val="006F179E"/>
    <w:rsid w:val="006F17E5"/>
    <w:rsid w:val="006F1908"/>
    <w:rsid w:val="006F1D64"/>
    <w:rsid w:val="006F1E17"/>
    <w:rsid w:val="006F1E57"/>
    <w:rsid w:val="006F1EF3"/>
    <w:rsid w:val="006F224E"/>
    <w:rsid w:val="006F2410"/>
    <w:rsid w:val="006F24C0"/>
    <w:rsid w:val="006F2605"/>
    <w:rsid w:val="006F265C"/>
    <w:rsid w:val="006F27C7"/>
    <w:rsid w:val="006F29F8"/>
    <w:rsid w:val="006F2B10"/>
    <w:rsid w:val="006F2B25"/>
    <w:rsid w:val="006F3014"/>
    <w:rsid w:val="006F31CF"/>
    <w:rsid w:val="006F3205"/>
    <w:rsid w:val="006F34DA"/>
    <w:rsid w:val="006F39CC"/>
    <w:rsid w:val="006F3AEC"/>
    <w:rsid w:val="006F3E26"/>
    <w:rsid w:val="006F3E61"/>
    <w:rsid w:val="006F3EF5"/>
    <w:rsid w:val="006F3F05"/>
    <w:rsid w:val="006F3F2D"/>
    <w:rsid w:val="006F4093"/>
    <w:rsid w:val="006F4099"/>
    <w:rsid w:val="006F4257"/>
    <w:rsid w:val="006F4342"/>
    <w:rsid w:val="006F4382"/>
    <w:rsid w:val="006F448E"/>
    <w:rsid w:val="006F4538"/>
    <w:rsid w:val="006F45E6"/>
    <w:rsid w:val="006F4627"/>
    <w:rsid w:val="006F4770"/>
    <w:rsid w:val="006F487E"/>
    <w:rsid w:val="006F4882"/>
    <w:rsid w:val="006F48A6"/>
    <w:rsid w:val="006F490A"/>
    <w:rsid w:val="006F4A39"/>
    <w:rsid w:val="006F4A6B"/>
    <w:rsid w:val="006F4B6F"/>
    <w:rsid w:val="006F4BC6"/>
    <w:rsid w:val="006F4E31"/>
    <w:rsid w:val="006F4E42"/>
    <w:rsid w:val="006F51A6"/>
    <w:rsid w:val="006F51EA"/>
    <w:rsid w:val="006F526A"/>
    <w:rsid w:val="006F532C"/>
    <w:rsid w:val="006F5403"/>
    <w:rsid w:val="006F5424"/>
    <w:rsid w:val="006F5430"/>
    <w:rsid w:val="006F56E4"/>
    <w:rsid w:val="006F5794"/>
    <w:rsid w:val="006F5953"/>
    <w:rsid w:val="006F5A32"/>
    <w:rsid w:val="006F5A70"/>
    <w:rsid w:val="006F5ABC"/>
    <w:rsid w:val="006F5AD9"/>
    <w:rsid w:val="006F5C52"/>
    <w:rsid w:val="006F5E65"/>
    <w:rsid w:val="006F5E9B"/>
    <w:rsid w:val="006F605A"/>
    <w:rsid w:val="006F620D"/>
    <w:rsid w:val="006F621D"/>
    <w:rsid w:val="006F646F"/>
    <w:rsid w:val="006F65FB"/>
    <w:rsid w:val="006F67BB"/>
    <w:rsid w:val="006F6879"/>
    <w:rsid w:val="006F6A73"/>
    <w:rsid w:val="006F6B6A"/>
    <w:rsid w:val="006F6BA7"/>
    <w:rsid w:val="006F6D35"/>
    <w:rsid w:val="006F6E8D"/>
    <w:rsid w:val="006F6FCE"/>
    <w:rsid w:val="006F6FD8"/>
    <w:rsid w:val="006F7055"/>
    <w:rsid w:val="006F7250"/>
    <w:rsid w:val="006F7633"/>
    <w:rsid w:val="006F76CB"/>
    <w:rsid w:val="006F7829"/>
    <w:rsid w:val="006F7C64"/>
    <w:rsid w:val="006F7FC4"/>
    <w:rsid w:val="006F7FF6"/>
    <w:rsid w:val="00700029"/>
    <w:rsid w:val="00700051"/>
    <w:rsid w:val="007000EB"/>
    <w:rsid w:val="007000EC"/>
    <w:rsid w:val="00700160"/>
    <w:rsid w:val="007001C2"/>
    <w:rsid w:val="0070025A"/>
    <w:rsid w:val="0070042F"/>
    <w:rsid w:val="0070050A"/>
    <w:rsid w:val="007005A6"/>
    <w:rsid w:val="00700658"/>
    <w:rsid w:val="0070066C"/>
    <w:rsid w:val="0070067E"/>
    <w:rsid w:val="00700699"/>
    <w:rsid w:val="00700722"/>
    <w:rsid w:val="00700779"/>
    <w:rsid w:val="007007B4"/>
    <w:rsid w:val="00700895"/>
    <w:rsid w:val="00700C0B"/>
    <w:rsid w:val="00700C2D"/>
    <w:rsid w:val="00700D03"/>
    <w:rsid w:val="00700D47"/>
    <w:rsid w:val="00700D94"/>
    <w:rsid w:val="00700E1A"/>
    <w:rsid w:val="007010B2"/>
    <w:rsid w:val="007010BF"/>
    <w:rsid w:val="00701269"/>
    <w:rsid w:val="00701310"/>
    <w:rsid w:val="00701331"/>
    <w:rsid w:val="007013D4"/>
    <w:rsid w:val="007013E1"/>
    <w:rsid w:val="007015AB"/>
    <w:rsid w:val="007016E4"/>
    <w:rsid w:val="00701723"/>
    <w:rsid w:val="00701724"/>
    <w:rsid w:val="00701991"/>
    <w:rsid w:val="00701A03"/>
    <w:rsid w:val="00701BAC"/>
    <w:rsid w:val="00701BC7"/>
    <w:rsid w:val="00701E2D"/>
    <w:rsid w:val="00701F62"/>
    <w:rsid w:val="0070214E"/>
    <w:rsid w:val="0070225A"/>
    <w:rsid w:val="007022AC"/>
    <w:rsid w:val="007022BF"/>
    <w:rsid w:val="0070258F"/>
    <w:rsid w:val="00702964"/>
    <w:rsid w:val="007029F3"/>
    <w:rsid w:val="00702B2F"/>
    <w:rsid w:val="00702BDD"/>
    <w:rsid w:val="00702C57"/>
    <w:rsid w:val="00702DFC"/>
    <w:rsid w:val="00702E39"/>
    <w:rsid w:val="00702E6D"/>
    <w:rsid w:val="00702E84"/>
    <w:rsid w:val="00702F8D"/>
    <w:rsid w:val="00702FC9"/>
    <w:rsid w:val="00703174"/>
    <w:rsid w:val="00703299"/>
    <w:rsid w:val="007033BB"/>
    <w:rsid w:val="0070347C"/>
    <w:rsid w:val="0070357C"/>
    <w:rsid w:val="00703931"/>
    <w:rsid w:val="00703957"/>
    <w:rsid w:val="007039EF"/>
    <w:rsid w:val="00703A26"/>
    <w:rsid w:val="00703FE0"/>
    <w:rsid w:val="0070403C"/>
    <w:rsid w:val="00704069"/>
    <w:rsid w:val="007040DB"/>
    <w:rsid w:val="0070413F"/>
    <w:rsid w:val="00704241"/>
    <w:rsid w:val="0070433F"/>
    <w:rsid w:val="007045E3"/>
    <w:rsid w:val="0070465B"/>
    <w:rsid w:val="00704948"/>
    <w:rsid w:val="00704970"/>
    <w:rsid w:val="00704B19"/>
    <w:rsid w:val="00704C12"/>
    <w:rsid w:val="00704D0A"/>
    <w:rsid w:val="00704D8F"/>
    <w:rsid w:val="00704D9A"/>
    <w:rsid w:val="00704F82"/>
    <w:rsid w:val="007050F1"/>
    <w:rsid w:val="00705363"/>
    <w:rsid w:val="007054C7"/>
    <w:rsid w:val="00705539"/>
    <w:rsid w:val="007057A1"/>
    <w:rsid w:val="00705915"/>
    <w:rsid w:val="00705995"/>
    <w:rsid w:val="00705C4F"/>
    <w:rsid w:val="00705CED"/>
    <w:rsid w:val="00705D22"/>
    <w:rsid w:val="00705DF5"/>
    <w:rsid w:val="00705F00"/>
    <w:rsid w:val="00705F88"/>
    <w:rsid w:val="007065BE"/>
    <w:rsid w:val="00706734"/>
    <w:rsid w:val="0070690C"/>
    <w:rsid w:val="00706BAF"/>
    <w:rsid w:val="00706C40"/>
    <w:rsid w:val="00706C92"/>
    <w:rsid w:val="00706D28"/>
    <w:rsid w:val="00706D4A"/>
    <w:rsid w:val="00706E04"/>
    <w:rsid w:val="00706F13"/>
    <w:rsid w:val="00706FEB"/>
    <w:rsid w:val="00707056"/>
    <w:rsid w:val="007070CA"/>
    <w:rsid w:val="007070E8"/>
    <w:rsid w:val="0070714D"/>
    <w:rsid w:val="00707174"/>
    <w:rsid w:val="0070719D"/>
    <w:rsid w:val="0070747E"/>
    <w:rsid w:val="00707502"/>
    <w:rsid w:val="00707516"/>
    <w:rsid w:val="00707B74"/>
    <w:rsid w:val="00707BBD"/>
    <w:rsid w:val="00707C22"/>
    <w:rsid w:val="00707C44"/>
    <w:rsid w:val="00707C74"/>
    <w:rsid w:val="00707D6B"/>
    <w:rsid w:val="00707EEE"/>
    <w:rsid w:val="0071001D"/>
    <w:rsid w:val="00710069"/>
    <w:rsid w:val="00710136"/>
    <w:rsid w:val="007101B4"/>
    <w:rsid w:val="0071026C"/>
    <w:rsid w:val="00710305"/>
    <w:rsid w:val="007104AD"/>
    <w:rsid w:val="00710521"/>
    <w:rsid w:val="007107F1"/>
    <w:rsid w:val="0071084D"/>
    <w:rsid w:val="007108CB"/>
    <w:rsid w:val="00710934"/>
    <w:rsid w:val="0071094C"/>
    <w:rsid w:val="007109F4"/>
    <w:rsid w:val="00710B34"/>
    <w:rsid w:val="00710D76"/>
    <w:rsid w:val="0071102E"/>
    <w:rsid w:val="0071103A"/>
    <w:rsid w:val="007110B9"/>
    <w:rsid w:val="007113FA"/>
    <w:rsid w:val="007114C3"/>
    <w:rsid w:val="00711557"/>
    <w:rsid w:val="00711602"/>
    <w:rsid w:val="00711693"/>
    <w:rsid w:val="00711992"/>
    <w:rsid w:val="00711B6B"/>
    <w:rsid w:val="00711B8D"/>
    <w:rsid w:val="0071246B"/>
    <w:rsid w:val="007124A1"/>
    <w:rsid w:val="0071262E"/>
    <w:rsid w:val="007127F0"/>
    <w:rsid w:val="00712B14"/>
    <w:rsid w:val="00712B34"/>
    <w:rsid w:val="00712C93"/>
    <w:rsid w:val="00712D00"/>
    <w:rsid w:val="00712E01"/>
    <w:rsid w:val="00712E6E"/>
    <w:rsid w:val="00712E88"/>
    <w:rsid w:val="00712FBD"/>
    <w:rsid w:val="00712FEA"/>
    <w:rsid w:val="007130FE"/>
    <w:rsid w:val="007131E5"/>
    <w:rsid w:val="007131F9"/>
    <w:rsid w:val="0071321F"/>
    <w:rsid w:val="0071322C"/>
    <w:rsid w:val="00713316"/>
    <w:rsid w:val="00713454"/>
    <w:rsid w:val="007134A4"/>
    <w:rsid w:val="007135CA"/>
    <w:rsid w:val="007135CE"/>
    <w:rsid w:val="0071360F"/>
    <w:rsid w:val="00713775"/>
    <w:rsid w:val="007137AD"/>
    <w:rsid w:val="00713894"/>
    <w:rsid w:val="00713970"/>
    <w:rsid w:val="007139B9"/>
    <w:rsid w:val="00713A91"/>
    <w:rsid w:val="00713CEA"/>
    <w:rsid w:val="007141F0"/>
    <w:rsid w:val="007143F9"/>
    <w:rsid w:val="00714406"/>
    <w:rsid w:val="00714624"/>
    <w:rsid w:val="00714950"/>
    <w:rsid w:val="00714AA8"/>
    <w:rsid w:val="00714FC7"/>
    <w:rsid w:val="007151F9"/>
    <w:rsid w:val="0071525B"/>
    <w:rsid w:val="00715393"/>
    <w:rsid w:val="0071545F"/>
    <w:rsid w:val="00715475"/>
    <w:rsid w:val="0071549A"/>
    <w:rsid w:val="00715591"/>
    <w:rsid w:val="00715711"/>
    <w:rsid w:val="0071571E"/>
    <w:rsid w:val="0071585E"/>
    <w:rsid w:val="00715ADF"/>
    <w:rsid w:val="00715CF8"/>
    <w:rsid w:val="00715DF5"/>
    <w:rsid w:val="00715EB6"/>
    <w:rsid w:val="00715F64"/>
    <w:rsid w:val="00715FD0"/>
    <w:rsid w:val="007160EC"/>
    <w:rsid w:val="00716145"/>
    <w:rsid w:val="007162BC"/>
    <w:rsid w:val="0071631A"/>
    <w:rsid w:val="00716326"/>
    <w:rsid w:val="00716568"/>
    <w:rsid w:val="007166A5"/>
    <w:rsid w:val="007167D4"/>
    <w:rsid w:val="007168B4"/>
    <w:rsid w:val="00716AE2"/>
    <w:rsid w:val="00716B72"/>
    <w:rsid w:val="00716BB8"/>
    <w:rsid w:val="00716D79"/>
    <w:rsid w:val="00716DEC"/>
    <w:rsid w:val="00716F63"/>
    <w:rsid w:val="00716F8B"/>
    <w:rsid w:val="00716FC8"/>
    <w:rsid w:val="00716FDF"/>
    <w:rsid w:val="0071709F"/>
    <w:rsid w:val="00717179"/>
    <w:rsid w:val="00717184"/>
    <w:rsid w:val="007173B7"/>
    <w:rsid w:val="00717515"/>
    <w:rsid w:val="0071762F"/>
    <w:rsid w:val="00717703"/>
    <w:rsid w:val="0071779E"/>
    <w:rsid w:val="007179F0"/>
    <w:rsid w:val="00717A3C"/>
    <w:rsid w:val="00717BB9"/>
    <w:rsid w:val="00717BE2"/>
    <w:rsid w:val="00717CCA"/>
    <w:rsid w:val="007201BB"/>
    <w:rsid w:val="00720214"/>
    <w:rsid w:val="00720226"/>
    <w:rsid w:val="00720337"/>
    <w:rsid w:val="00720477"/>
    <w:rsid w:val="007204CF"/>
    <w:rsid w:val="00720512"/>
    <w:rsid w:val="0072062D"/>
    <w:rsid w:val="00720648"/>
    <w:rsid w:val="0072068E"/>
    <w:rsid w:val="007206E3"/>
    <w:rsid w:val="00720708"/>
    <w:rsid w:val="00720768"/>
    <w:rsid w:val="00720D96"/>
    <w:rsid w:val="00720DF5"/>
    <w:rsid w:val="00720ED5"/>
    <w:rsid w:val="00720EEB"/>
    <w:rsid w:val="00721354"/>
    <w:rsid w:val="00721395"/>
    <w:rsid w:val="007213D0"/>
    <w:rsid w:val="007213E1"/>
    <w:rsid w:val="0072162E"/>
    <w:rsid w:val="0072169A"/>
    <w:rsid w:val="007218E7"/>
    <w:rsid w:val="00721B96"/>
    <w:rsid w:val="00721D80"/>
    <w:rsid w:val="00721DDF"/>
    <w:rsid w:val="00721F81"/>
    <w:rsid w:val="0072214F"/>
    <w:rsid w:val="00722187"/>
    <w:rsid w:val="007226B1"/>
    <w:rsid w:val="0072276D"/>
    <w:rsid w:val="007229A7"/>
    <w:rsid w:val="00722B68"/>
    <w:rsid w:val="00722E36"/>
    <w:rsid w:val="00722E54"/>
    <w:rsid w:val="00722E9F"/>
    <w:rsid w:val="00722FBF"/>
    <w:rsid w:val="00723096"/>
    <w:rsid w:val="007230B2"/>
    <w:rsid w:val="007233DA"/>
    <w:rsid w:val="007234A5"/>
    <w:rsid w:val="00723680"/>
    <w:rsid w:val="0072368C"/>
    <w:rsid w:val="00723928"/>
    <w:rsid w:val="00723978"/>
    <w:rsid w:val="007239ED"/>
    <w:rsid w:val="00723AF4"/>
    <w:rsid w:val="00723DD6"/>
    <w:rsid w:val="00723E32"/>
    <w:rsid w:val="00723ECE"/>
    <w:rsid w:val="00723F9D"/>
    <w:rsid w:val="00723F9E"/>
    <w:rsid w:val="00723FF5"/>
    <w:rsid w:val="007242B8"/>
    <w:rsid w:val="00724563"/>
    <w:rsid w:val="00724831"/>
    <w:rsid w:val="00724983"/>
    <w:rsid w:val="00724A84"/>
    <w:rsid w:val="00724AC6"/>
    <w:rsid w:val="00724B1D"/>
    <w:rsid w:val="00724B24"/>
    <w:rsid w:val="00724B64"/>
    <w:rsid w:val="00724BB4"/>
    <w:rsid w:val="00724D32"/>
    <w:rsid w:val="00724E9F"/>
    <w:rsid w:val="00724F5B"/>
    <w:rsid w:val="00725100"/>
    <w:rsid w:val="0072515F"/>
    <w:rsid w:val="007252A9"/>
    <w:rsid w:val="0072548D"/>
    <w:rsid w:val="00725531"/>
    <w:rsid w:val="0072567F"/>
    <w:rsid w:val="007258BA"/>
    <w:rsid w:val="00725995"/>
    <w:rsid w:val="00725A05"/>
    <w:rsid w:val="00725B60"/>
    <w:rsid w:val="00725D1E"/>
    <w:rsid w:val="00725D93"/>
    <w:rsid w:val="00725E36"/>
    <w:rsid w:val="00725EA4"/>
    <w:rsid w:val="00725F53"/>
    <w:rsid w:val="00725FE3"/>
    <w:rsid w:val="00726322"/>
    <w:rsid w:val="0072639A"/>
    <w:rsid w:val="007263FA"/>
    <w:rsid w:val="00726425"/>
    <w:rsid w:val="00726692"/>
    <w:rsid w:val="00726751"/>
    <w:rsid w:val="00726A68"/>
    <w:rsid w:val="00726A96"/>
    <w:rsid w:val="00726B6A"/>
    <w:rsid w:val="00726D25"/>
    <w:rsid w:val="00726D55"/>
    <w:rsid w:val="00726DA9"/>
    <w:rsid w:val="00727089"/>
    <w:rsid w:val="00727350"/>
    <w:rsid w:val="007275CE"/>
    <w:rsid w:val="00727613"/>
    <w:rsid w:val="00727654"/>
    <w:rsid w:val="007276C8"/>
    <w:rsid w:val="007279F7"/>
    <w:rsid w:val="00727A69"/>
    <w:rsid w:val="00727BAF"/>
    <w:rsid w:val="00727D3F"/>
    <w:rsid w:val="00727FAA"/>
    <w:rsid w:val="0073005C"/>
    <w:rsid w:val="00730353"/>
    <w:rsid w:val="007303D9"/>
    <w:rsid w:val="00730537"/>
    <w:rsid w:val="0073068D"/>
    <w:rsid w:val="00730721"/>
    <w:rsid w:val="007308F8"/>
    <w:rsid w:val="0073091A"/>
    <w:rsid w:val="00730B9D"/>
    <w:rsid w:val="00730BA1"/>
    <w:rsid w:val="00730CB2"/>
    <w:rsid w:val="00730E72"/>
    <w:rsid w:val="00730EEF"/>
    <w:rsid w:val="00730F5B"/>
    <w:rsid w:val="007310CF"/>
    <w:rsid w:val="007310D3"/>
    <w:rsid w:val="00731293"/>
    <w:rsid w:val="00731518"/>
    <w:rsid w:val="00731630"/>
    <w:rsid w:val="00731637"/>
    <w:rsid w:val="007317A6"/>
    <w:rsid w:val="0073188A"/>
    <w:rsid w:val="007319D5"/>
    <w:rsid w:val="00731A6E"/>
    <w:rsid w:val="00731B64"/>
    <w:rsid w:val="00731B79"/>
    <w:rsid w:val="00731C2B"/>
    <w:rsid w:val="00731DE0"/>
    <w:rsid w:val="00731DE8"/>
    <w:rsid w:val="00731DEE"/>
    <w:rsid w:val="00731E1E"/>
    <w:rsid w:val="00731F78"/>
    <w:rsid w:val="00732030"/>
    <w:rsid w:val="00732114"/>
    <w:rsid w:val="00732426"/>
    <w:rsid w:val="0073251A"/>
    <w:rsid w:val="00732864"/>
    <w:rsid w:val="007328C5"/>
    <w:rsid w:val="00732AD5"/>
    <w:rsid w:val="00732C13"/>
    <w:rsid w:val="00732D2A"/>
    <w:rsid w:val="007334E3"/>
    <w:rsid w:val="00733701"/>
    <w:rsid w:val="00733A61"/>
    <w:rsid w:val="00733ADC"/>
    <w:rsid w:val="00733BC9"/>
    <w:rsid w:val="00733D27"/>
    <w:rsid w:val="00733E6C"/>
    <w:rsid w:val="00733FB4"/>
    <w:rsid w:val="00734002"/>
    <w:rsid w:val="007340E1"/>
    <w:rsid w:val="00734543"/>
    <w:rsid w:val="0073454E"/>
    <w:rsid w:val="00734583"/>
    <w:rsid w:val="007346D0"/>
    <w:rsid w:val="00734701"/>
    <w:rsid w:val="00734734"/>
    <w:rsid w:val="0073488C"/>
    <w:rsid w:val="007348AB"/>
    <w:rsid w:val="00734936"/>
    <w:rsid w:val="0073499E"/>
    <w:rsid w:val="00734AA8"/>
    <w:rsid w:val="00734BAC"/>
    <w:rsid w:val="00734C2B"/>
    <w:rsid w:val="00734DC2"/>
    <w:rsid w:val="00734EE3"/>
    <w:rsid w:val="00734FAD"/>
    <w:rsid w:val="007353A6"/>
    <w:rsid w:val="0073546B"/>
    <w:rsid w:val="00735477"/>
    <w:rsid w:val="007354D0"/>
    <w:rsid w:val="007354FC"/>
    <w:rsid w:val="007356F4"/>
    <w:rsid w:val="00735740"/>
    <w:rsid w:val="007357EE"/>
    <w:rsid w:val="00735821"/>
    <w:rsid w:val="007358C1"/>
    <w:rsid w:val="007358EC"/>
    <w:rsid w:val="00735942"/>
    <w:rsid w:val="007359D2"/>
    <w:rsid w:val="00735AA3"/>
    <w:rsid w:val="00735C6D"/>
    <w:rsid w:val="00735EF8"/>
    <w:rsid w:val="00735FD4"/>
    <w:rsid w:val="0073600F"/>
    <w:rsid w:val="00736290"/>
    <w:rsid w:val="007364A4"/>
    <w:rsid w:val="00736661"/>
    <w:rsid w:val="00736718"/>
    <w:rsid w:val="00736782"/>
    <w:rsid w:val="007367A1"/>
    <w:rsid w:val="00736A25"/>
    <w:rsid w:val="00736A35"/>
    <w:rsid w:val="00736A3F"/>
    <w:rsid w:val="00736CF3"/>
    <w:rsid w:val="00737171"/>
    <w:rsid w:val="007371E5"/>
    <w:rsid w:val="00737304"/>
    <w:rsid w:val="0073745F"/>
    <w:rsid w:val="00737534"/>
    <w:rsid w:val="00737A46"/>
    <w:rsid w:val="00737D87"/>
    <w:rsid w:val="007400E0"/>
    <w:rsid w:val="00740124"/>
    <w:rsid w:val="00740158"/>
    <w:rsid w:val="00740179"/>
    <w:rsid w:val="007404E2"/>
    <w:rsid w:val="00740778"/>
    <w:rsid w:val="00740961"/>
    <w:rsid w:val="00740BB0"/>
    <w:rsid w:val="00740C43"/>
    <w:rsid w:val="00740C54"/>
    <w:rsid w:val="00740CB6"/>
    <w:rsid w:val="00740E19"/>
    <w:rsid w:val="00740E45"/>
    <w:rsid w:val="00740EAB"/>
    <w:rsid w:val="00740F22"/>
    <w:rsid w:val="007410F0"/>
    <w:rsid w:val="0074116A"/>
    <w:rsid w:val="0074126E"/>
    <w:rsid w:val="0074157D"/>
    <w:rsid w:val="007415D2"/>
    <w:rsid w:val="0074164B"/>
    <w:rsid w:val="00741684"/>
    <w:rsid w:val="0074172D"/>
    <w:rsid w:val="007417DB"/>
    <w:rsid w:val="00741889"/>
    <w:rsid w:val="00741AD9"/>
    <w:rsid w:val="00741DF1"/>
    <w:rsid w:val="00741E38"/>
    <w:rsid w:val="00741EEA"/>
    <w:rsid w:val="00741F54"/>
    <w:rsid w:val="00742171"/>
    <w:rsid w:val="0074241F"/>
    <w:rsid w:val="00742430"/>
    <w:rsid w:val="007425BB"/>
    <w:rsid w:val="00742663"/>
    <w:rsid w:val="00742889"/>
    <w:rsid w:val="007428E9"/>
    <w:rsid w:val="00742ABC"/>
    <w:rsid w:val="00742B4A"/>
    <w:rsid w:val="00742CFE"/>
    <w:rsid w:val="00742E18"/>
    <w:rsid w:val="00742E44"/>
    <w:rsid w:val="00742E83"/>
    <w:rsid w:val="0074310A"/>
    <w:rsid w:val="007431BE"/>
    <w:rsid w:val="007432E1"/>
    <w:rsid w:val="00743421"/>
    <w:rsid w:val="00743578"/>
    <w:rsid w:val="007436FD"/>
    <w:rsid w:val="00743792"/>
    <w:rsid w:val="00743795"/>
    <w:rsid w:val="007437F6"/>
    <w:rsid w:val="0074384B"/>
    <w:rsid w:val="00743884"/>
    <w:rsid w:val="007438AD"/>
    <w:rsid w:val="00743B03"/>
    <w:rsid w:val="00743B6D"/>
    <w:rsid w:val="00743C87"/>
    <w:rsid w:val="00743CE2"/>
    <w:rsid w:val="00743CFC"/>
    <w:rsid w:val="00743D1B"/>
    <w:rsid w:val="00743EF6"/>
    <w:rsid w:val="007443F2"/>
    <w:rsid w:val="0074447F"/>
    <w:rsid w:val="007444CD"/>
    <w:rsid w:val="007445B0"/>
    <w:rsid w:val="00744A22"/>
    <w:rsid w:val="00744B71"/>
    <w:rsid w:val="00744D50"/>
    <w:rsid w:val="00744DA3"/>
    <w:rsid w:val="00744DAB"/>
    <w:rsid w:val="00744E35"/>
    <w:rsid w:val="00745090"/>
    <w:rsid w:val="0074523B"/>
    <w:rsid w:val="00745290"/>
    <w:rsid w:val="007453ED"/>
    <w:rsid w:val="00745814"/>
    <w:rsid w:val="00745851"/>
    <w:rsid w:val="00745882"/>
    <w:rsid w:val="0074592E"/>
    <w:rsid w:val="00745A59"/>
    <w:rsid w:val="00745B67"/>
    <w:rsid w:val="00745CD3"/>
    <w:rsid w:val="00746062"/>
    <w:rsid w:val="00746345"/>
    <w:rsid w:val="00746380"/>
    <w:rsid w:val="00746402"/>
    <w:rsid w:val="007465A2"/>
    <w:rsid w:val="007465BA"/>
    <w:rsid w:val="007466A0"/>
    <w:rsid w:val="00746818"/>
    <w:rsid w:val="00746840"/>
    <w:rsid w:val="0074697C"/>
    <w:rsid w:val="00746CF4"/>
    <w:rsid w:val="00747010"/>
    <w:rsid w:val="00747017"/>
    <w:rsid w:val="007470EF"/>
    <w:rsid w:val="007472EB"/>
    <w:rsid w:val="007473B8"/>
    <w:rsid w:val="007474CD"/>
    <w:rsid w:val="0074765E"/>
    <w:rsid w:val="007476B3"/>
    <w:rsid w:val="007476CE"/>
    <w:rsid w:val="00747729"/>
    <w:rsid w:val="007477C1"/>
    <w:rsid w:val="00747829"/>
    <w:rsid w:val="0074783F"/>
    <w:rsid w:val="007478BC"/>
    <w:rsid w:val="00747A80"/>
    <w:rsid w:val="00747B48"/>
    <w:rsid w:val="00747D63"/>
    <w:rsid w:val="00747F06"/>
    <w:rsid w:val="00750224"/>
    <w:rsid w:val="007502B1"/>
    <w:rsid w:val="007502C4"/>
    <w:rsid w:val="0075035E"/>
    <w:rsid w:val="0075050A"/>
    <w:rsid w:val="007508F9"/>
    <w:rsid w:val="007508FA"/>
    <w:rsid w:val="00750B25"/>
    <w:rsid w:val="00750D7F"/>
    <w:rsid w:val="00750DC1"/>
    <w:rsid w:val="00750DDB"/>
    <w:rsid w:val="00750DE9"/>
    <w:rsid w:val="00750E2A"/>
    <w:rsid w:val="00750EC8"/>
    <w:rsid w:val="00751034"/>
    <w:rsid w:val="007511AE"/>
    <w:rsid w:val="00751230"/>
    <w:rsid w:val="00751321"/>
    <w:rsid w:val="00751572"/>
    <w:rsid w:val="0075170B"/>
    <w:rsid w:val="007517BA"/>
    <w:rsid w:val="00751A58"/>
    <w:rsid w:val="00751AF8"/>
    <w:rsid w:val="00751E82"/>
    <w:rsid w:val="00751E98"/>
    <w:rsid w:val="00751EDB"/>
    <w:rsid w:val="00751F3B"/>
    <w:rsid w:val="00752733"/>
    <w:rsid w:val="00752788"/>
    <w:rsid w:val="0075297C"/>
    <w:rsid w:val="00752BC1"/>
    <w:rsid w:val="00752D06"/>
    <w:rsid w:val="00752D8F"/>
    <w:rsid w:val="00752E7F"/>
    <w:rsid w:val="00752E9E"/>
    <w:rsid w:val="0075319E"/>
    <w:rsid w:val="00753208"/>
    <w:rsid w:val="0075333A"/>
    <w:rsid w:val="00753424"/>
    <w:rsid w:val="007534F7"/>
    <w:rsid w:val="00753557"/>
    <w:rsid w:val="00753871"/>
    <w:rsid w:val="007538D0"/>
    <w:rsid w:val="00753AFC"/>
    <w:rsid w:val="00753B46"/>
    <w:rsid w:val="00753BF1"/>
    <w:rsid w:val="00753C46"/>
    <w:rsid w:val="00753C5A"/>
    <w:rsid w:val="00753DD0"/>
    <w:rsid w:val="00753E88"/>
    <w:rsid w:val="00753E8F"/>
    <w:rsid w:val="00753F18"/>
    <w:rsid w:val="00753F57"/>
    <w:rsid w:val="00753FE7"/>
    <w:rsid w:val="007542DE"/>
    <w:rsid w:val="0075436B"/>
    <w:rsid w:val="007543CB"/>
    <w:rsid w:val="00754460"/>
    <w:rsid w:val="007544F8"/>
    <w:rsid w:val="00754895"/>
    <w:rsid w:val="007548C2"/>
    <w:rsid w:val="00754B7B"/>
    <w:rsid w:val="00754D52"/>
    <w:rsid w:val="00754D81"/>
    <w:rsid w:val="00754E7B"/>
    <w:rsid w:val="00754F64"/>
    <w:rsid w:val="0075506F"/>
    <w:rsid w:val="007550F6"/>
    <w:rsid w:val="0075517C"/>
    <w:rsid w:val="00755213"/>
    <w:rsid w:val="0075550A"/>
    <w:rsid w:val="0075559C"/>
    <w:rsid w:val="0075578F"/>
    <w:rsid w:val="00755840"/>
    <w:rsid w:val="007558E5"/>
    <w:rsid w:val="00755A44"/>
    <w:rsid w:val="00755A95"/>
    <w:rsid w:val="00755ACF"/>
    <w:rsid w:val="00755B64"/>
    <w:rsid w:val="00755C7C"/>
    <w:rsid w:val="00755EC1"/>
    <w:rsid w:val="00755EF8"/>
    <w:rsid w:val="00756021"/>
    <w:rsid w:val="0075609E"/>
    <w:rsid w:val="007560E4"/>
    <w:rsid w:val="00756349"/>
    <w:rsid w:val="007564F8"/>
    <w:rsid w:val="007565AB"/>
    <w:rsid w:val="00756811"/>
    <w:rsid w:val="00756871"/>
    <w:rsid w:val="0075690E"/>
    <w:rsid w:val="00756B44"/>
    <w:rsid w:val="00756B57"/>
    <w:rsid w:val="00756BC9"/>
    <w:rsid w:val="00756C58"/>
    <w:rsid w:val="00756DA5"/>
    <w:rsid w:val="00756DCF"/>
    <w:rsid w:val="00756DFE"/>
    <w:rsid w:val="00756E36"/>
    <w:rsid w:val="00757081"/>
    <w:rsid w:val="007571D6"/>
    <w:rsid w:val="007572E3"/>
    <w:rsid w:val="00757461"/>
    <w:rsid w:val="0075753D"/>
    <w:rsid w:val="007577A6"/>
    <w:rsid w:val="007577E0"/>
    <w:rsid w:val="00757833"/>
    <w:rsid w:val="00757840"/>
    <w:rsid w:val="007578B8"/>
    <w:rsid w:val="007578CD"/>
    <w:rsid w:val="0075795F"/>
    <w:rsid w:val="00757A0D"/>
    <w:rsid w:val="00757B5A"/>
    <w:rsid w:val="00757DE9"/>
    <w:rsid w:val="00757F30"/>
    <w:rsid w:val="00757F31"/>
    <w:rsid w:val="007600CD"/>
    <w:rsid w:val="007601B6"/>
    <w:rsid w:val="0076021D"/>
    <w:rsid w:val="007602B0"/>
    <w:rsid w:val="007604FC"/>
    <w:rsid w:val="007609EB"/>
    <w:rsid w:val="00760B90"/>
    <w:rsid w:val="00760C5B"/>
    <w:rsid w:val="00760F62"/>
    <w:rsid w:val="007610B2"/>
    <w:rsid w:val="007611D7"/>
    <w:rsid w:val="007614C8"/>
    <w:rsid w:val="00761739"/>
    <w:rsid w:val="0076174D"/>
    <w:rsid w:val="007618BB"/>
    <w:rsid w:val="0076197F"/>
    <w:rsid w:val="00761AC4"/>
    <w:rsid w:val="00761C7A"/>
    <w:rsid w:val="00761DA4"/>
    <w:rsid w:val="00761E9A"/>
    <w:rsid w:val="00761F17"/>
    <w:rsid w:val="00762238"/>
    <w:rsid w:val="00762693"/>
    <w:rsid w:val="007626C9"/>
    <w:rsid w:val="007626EA"/>
    <w:rsid w:val="00762740"/>
    <w:rsid w:val="00762924"/>
    <w:rsid w:val="007629BF"/>
    <w:rsid w:val="00762C0B"/>
    <w:rsid w:val="00762C43"/>
    <w:rsid w:val="00762CBA"/>
    <w:rsid w:val="00762D19"/>
    <w:rsid w:val="00762D27"/>
    <w:rsid w:val="00762D89"/>
    <w:rsid w:val="00762EAB"/>
    <w:rsid w:val="00763038"/>
    <w:rsid w:val="00763128"/>
    <w:rsid w:val="00763140"/>
    <w:rsid w:val="0076317A"/>
    <w:rsid w:val="007631C8"/>
    <w:rsid w:val="0076353E"/>
    <w:rsid w:val="0076357C"/>
    <w:rsid w:val="0076395D"/>
    <w:rsid w:val="00763A0B"/>
    <w:rsid w:val="00763B4C"/>
    <w:rsid w:val="00763C29"/>
    <w:rsid w:val="00763DF8"/>
    <w:rsid w:val="00763ED8"/>
    <w:rsid w:val="00763EE2"/>
    <w:rsid w:val="00763F3F"/>
    <w:rsid w:val="0076404C"/>
    <w:rsid w:val="00764052"/>
    <w:rsid w:val="0076433E"/>
    <w:rsid w:val="007644B8"/>
    <w:rsid w:val="00764545"/>
    <w:rsid w:val="0076466C"/>
    <w:rsid w:val="0076482D"/>
    <w:rsid w:val="00764924"/>
    <w:rsid w:val="00764CFB"/>
    <w:rsid w:val="00764DBB"/>
    <w:rsid w:val="00764DE5"/>
    <w:rsid w:val="007650CC"/>
    <w:rsid w:val="0076552F"/>
    <w:rsid w:val="0076561C"/>
    <w:rsid w:val="007657F4"/>
    <w:rsid w:val="00765B10"/>
    <w:rsid w:val="00765C09"/>
    <w:rsid w:val="00765CB1"/>
    <w:rsid w:val="00765EB5"/>
    <w:rsid w:val="0076615B"/>
    <w:rsid w:val="00766268"/>
    <w:rsid w:val="00766375"/>
    <w:rsid w:val="007663CA"/>
    <w:rsid w:val="00766420"/>
    <w:rsid w:val="00766470"/>
    <w:rsid w:val="007664B6"/>
    <w:rsid w:val="00766762"/>
    <w:rsid w:val="007667A3"/>
    <w:rsid w:val="00766831"/>
    <w:rsid w:val="00766865"/>
    <w:rsid w:val="00766D78"/>
    <w:rsid w:val="0076702A"/>
    <w:rsid w:val="0076715D"/>
    <w:rsid w:val="007673F6"/>
    <w:rsid w:val="0076745B"/>
    <w:rsid w:val="007674E5"/>
    <w:rsid w:val="0076778F"/>
    <w:rsid w:val="00767B5A"/>
    <w:rsid w:val="00767D28"/>
    <w:rsid w:val="00767F56"/>
    <w:rsid w:val="00770175"/>
    <w:rsid w:val="007701FD"/>
    <w:rsid w:val="00770263"/>
    <w:rsid w:val="007702E6"/>
    <w:rsid w:val="00770303"/>
    <w:rsid w:val="00770354"/>
    <w:rsid w:val="00770485"/>
    <w:rsid w:val="007704EE"/>
    <w:rsid w:val="007705CE"/>
    <w:rsid w:val="00770935"/>
    <w:rsid w:val="00770937"/>
    <w:rsid w:val="0077097C"/>
    <w:rsid w:val="00770AA6"/>
    <w:rsid w:val="00770E63"/>
    <w:rsid w:val="00770EC8"/>
    <w:rsid w:val="00770FCE"/>
    <w:rsid w:val="00770FFC"/>
    <w:rsid w:val="00771156"/>
    <w:rsid w:val="00771236"/>
    <w:rsid w:val="0077126C"/>
    <w:rsid w:val="00771350"/>
    <w:rsid w:val="007713E0"/>
    <w:rsid w:val="0077161D"/>
    <w:rsid w:val="00771747"/>
    <w:rsid w:val="007717E0"/>
    <w:rsid w:val="00771A5B"/>
    <w:rsid w:val="00771A71"/>
    <w:rsid w:val="00771B25"/>
    <w:rsid w:val="00771C7E"/>
    <w:rsid w:val="00771D4D"/>
    <w:rsid w:val="00771F7C"/>
    <w:rsid w:val="00771FBC"/>
    <w:rsid w:val="007720EF"/>
    <w:rsid w:val="007721E4"/>
    <w:rsid w:val="007722BB"/>
    <w:rsid w:val="007724F7"/>
    <w:rsid w:val="00772541"/>
    <w:rsid w:val="0077256F"/>
    <w:rsid w:val="0077290B"/>
    <w:rsid w:val="0077298E"/>
    <w:rsid w:val="007729A6"/>
    <w:rsid w:val="00772AC3"/>
    <w:rsid w:val="00772AE1"/>
    <w:rsid w:val="00772BF5"/>
    <w:rsid w:val="00772D23"/>
    <w:rsid w:val="00772D89"/>
    <w:rsid w:val="00772E3C"/>
    <w:rsid w:val="00772E48"/>
    <w:rsid w:val="0077328C"/>
    <w:rsid w:val="007732A3"/>
    <w:rsid w:val="007734E6"/>
    <w:rsid w:val="00773500"/>
    <w:rsid w:val="007736D8"/>
    <w:rsid w:val="0077397D"/>
    <w:rsid w:val="007739DF"/>
    <w:rsid w:val="0077424B"/>
    <w:rsid w:val="007742C1"/>
    <w:rsid w:val="007743CE"/>
    <w:rsid w:val="00774576"/>
    <w:rsid w:val="00774804"/>
    <w:rsid w:val="00774C78"/>
    <w:rsid w:val="00774E9F"/>
    <w:rsid w:val="00774EF1"/>
    <w:rsid w:val="00774F44"/>
    <w:rsid w:val="00774F85"/>
    <w:rsid w:val="00774F99"/>
    <w:rsid w:val="00774FBA"/>
    <w:rsid w:val="007751A4"/>
    <w:rsid w:val="007754DC"/>
    <w:rsid w:val="007756F1"/>
    <w:rsid w:val="00775816"/>
    <w:rsid w:val="00775982"/>
    <w:rsid w:val="00775B74"/>
    <w:rsid w:val="00775BA4"/>
    <w:rsid w:val="00775BB0"/>
    <w:rsid w:val="00775C17"/>
    <w:rsid w:val="00775D8C"/>
    <w:rsid w:val="00775E43"/>
    <w:rsid w:val="0077615E"/>
    <w:rsid w:val="007762ED"/>
    <w:rsid w:val="00776346"/>
    <w:rsid w:val="0077635B"/>
    <w:rsid w:val="00776503"/>
    <w:rsid w:val="00776658"/>
    <w:rsid w:val="0077679C"/>
    <w:rsid w:val="007767A8"/>
    <w:rsid w:val="00776971"/>
    <w:rsid w:val="00776B2A"/>
    <w:rsid w:val="00776BF7"/>
    <w:rsid w:val="00776CD3"/>
    <w:rsid w:val="00776EE1"/>
    <w:rsid w:val="007770C9"/>
    <w:rsid w:val="00777161"/>
    <w:rsid w:val="007775BF"/>
    <w:rsid w:val="00777679"/>
    <w:rsid w:val="00777744"/>
    <w:rsid w:val="00777750"/>
    <w:rsid w:val="00777911"/>
    <w:rsid w:val="00777B79"/>
    <w:rsid w:val="00777C24"/>
    <w:rsid w:val="00777DC9"/>
    <w:rsid w:val="0078021B"/>
    <w:rsid w:val="0078023E"/>
    <w:rsid w:val="0078029A"/>
    <w:rsid w:val="00780394"/>
    <w:rsid w:val="007803F0"/>
    <w:rsid w:val="007805BD"/>
    <w:rsid w:val="007806FE"/>
    <w:rsid w:val="00780734"/>
    <w:rsid w:val="007807FC"/>
    <w:rsid w:val="00780AA6"/>
    <w:rsid w:val="00780BC2"/>
    <w:rsid w:val="00780BE1"/>
    <w:rsid w:val="00780EBE"/>
    <w:rsid w:val="00780F02"/>
    <w:rsid w:val="00780FA9"/>
    <w:rsid w:val="0078113E"/>
    <w:rsid w:val="00781351"/>
    <w:rsid w:val="007813DB"/>
    <w:rsid w:val="007813F3"/>
    <w:rsid w:val="0078164D"/>
    <w:rsid w:val="00781963"/>
    <w:rsid w:val="00781AB3"/>
    <w:rsid w:val="00781B0A"/>
    <w:rsid w:val="00781B2C"/>
    <w:rsid w:val="00781CA9"/>
    <w:rsid w:val="00781DCB"/>
    <w:rsid w:val="00781F7C"/>
    <w:rsid w:val="00782320"/>
    <w:rsid w:val="00782350"/>
    <w:rsid w:val="00782451"/>
    <w:rsid w:val="00782465"/>
    <w:rsid w:val="0078248F"/>
    <w:rsid w:val="007824E9"/>
    <w:rsid w:val="0078254D"/>
    <w:rsid w:val="007826EB"/>
    <w:rsid w:val="007827D5"/>
    <w:rsid w:val="00782842"/>
    <w:rsid w:val="007829D0"/>
    <w:rsid w:val="00782CEC"/>
    <w:rsid w:val="00782DC5"/>
    <w:rsid w:val="00782EF5"/>
    <w:rsid w:val="00782FF4"/>
    <w:rsid w:val="00783005"/>
    <w:rsid w:val="00783120"/>
    <w:rsid w:val="00783588"/>
    <w:rsid w:val="00783599"/>
    <w:rsid w:val="007835EC"/>
    <w:rsid w:val="00783783"/>
    <w:rsid w:val="00783834"/>
    <w:rsid w:val="0078390B"/>
    <w:rsid w:val="007839A8"/>
    <w:rsid w:val="00783ADF"/>
    <w:rsid w:val="00783AEE"/>
    <w:rsid w:val="00783B8E"/>
    <w:rsid w:val="00783C06"/>
    <w:rsid w:val="00783DA4"/>
    <w:rsid w:val="007840A4"/>
    <w:rsid w:val="00784141"/>
    <w:rsid w:val="0078415E"/>
    <w:rsid w:val="00784180"/>
    <w:rsid w:val="0078438A"/>
    <w:rsid w:val="007843FC"/>
    <w:rsid w:val="007844F8"/>
    <w:rsid w:val="007845D4"/>
    <w:rsid w:val="007846AD"/>
    <w:rsid w:val="007846B6"/>
    <w:rsid w:val="007849CB"/>
    <w:rsid w:val="00784A13"/>
    <w:rsid w:val="00784C2E"/>
    <w:rsid w:val="00784D03"/>
    <w:rsid w:val="00784EB2"/>
    <w:rsid w:val="00784FCD"/>
    <w:rsid w:val="00785053"/>
    <w:rsid w:val="007850B8"/>
    <w:rsid w:val="007851A7"/>
    <w:rsid w:val="007851D6"/>
    <w:rsid w:val="007852BF"/>
    <w:rsid w:val="00785430"/>
    <w:rsid w:val="007854E3"/>
    <w:rsid w:val="00785592"/>
    <w:rsid w:val="00785849"/>
    <w:rsid w:val="00785952"/>
    <w:rsid w:val="00785C54"/>
    <w:rsid w:val="00785CE6"/>
    <w:rsid w:val="00785F57"/>
    <w:rsid w:val="00786140"/>
    <w:rsid w:val="007861FA"/>
    <w:rsid w:val="0078644A"/>
    <w:rsid w:val="007865CC"/>
    <w:rsid w:val="007866AD"/>
    <w:rsid w:val="0078674B"/>
    <w:rsid w:val="0078682F"/>
    <w:rsid w:val="00786AA9"/>
    <w:rsid w:val="00786EC0"/>
    <w:rsid w:val="00786FED"/>
    <w:rsid w:val="00787163"/>
    <w:rsid w:val="007871E0"/>
    <w:rsid w:val="00787422"/>
    <w:rsid w:val="007875FF"/>
    <w:rsid w:val="0078765E"/>
    <w:rsid w:val="00787678"/>
    <w:rsid w:val="007876F0"/>
    <w:rsid w:val="0078779A"/>
    <w:rsid w:val="00787AD1"/>
    <w:rsid w:val="00787D3D"/>
    <w:rsid w:val="00787E71"/>
    <w:rsid w:val="00787FF0"/>
    <w:rsid w:val="0079019E"/>
    <w:rsid w:val="00790525"/>
    <w:rsid w:val="0079064B"/>
    <w:rsid w:val="00790661"/>
    <w:rsid w:val="00790718"/>
    <w:rsid w:val="00790858"/>
    <w:rsid w:val="00790E37"/>
    <w:rsid w:val="00791065"/>
    <w:rsid w:val="007910D1"/>
    <w:rsid w:val="00791131"/>
    <w:rsid w:val="007912FF"/>
    <w:rsid w:val="00791427"/>
    <w:rsid w:val="0079143D"/>
    <w:rsid w:val="007914E1"/>
    <w:rsid w:val="007915CF"/>
    <w:rsid w:val="007919F5"/>
    <w:rsid w:val="00791AB4"/>
    <w:rsid w:val="00791BA1"/>
    <w:rsid w:val="00791BB7"/>
    <w:rsid w:val="00791C15"/>
    <w:rsid w:val="00791C22"/>
    <w:rsid w:val="00791C6C"/>
    <w:rsid w:val="00791D2C"/>
    <w:rsid w:val="007920E0"/>
    <w:rsid w:val="007921C8"/>
    <w:rsid w:val="007921D0"/>
    <w:rsid w:val="0079223D"/>
    <w:rsid w:val="00792268"/>
    <w:rsid w:val="00792386"/>
    <w:rsid w:val="007923F6"/>
    <w:rsid w:val="00792663"/>
    <w:rsid w:val="0079269E"/>
    <w:rsid w:val="00792765"/>
    <w:rsid w:val="007927FD"/>
    <w:rsid w:val="00792A69"/>
    <w:rsid w:val="00792A83"/>
    <w:rsid w:val="00792ACF"/>
    <w:rsid w:val="00792C27"/>
    <w:rsid w:val="00792C62"/>
    <w:rsid w:val="00792C99"/>
    <w:rsid w:val="00792F56"/>
    <w:rsid w:val="007930C1"/>
    <w:rsid w:val="007931F0"/>
    <w:rsid w:val="0079330A"/>
    <w:rsid w:val="0079333F"/>
    <w:rsid w:val="0079336E"/>
    <w:rsid w:val="00793437"/>
    <w:rsid w:val="007936F9"/>
    <w:rsid w:val="007937F8"/>
    <w:rsid w:val="00793839"/>
    <w:rsid w:val="00793846"/>
    <w:rsid w:val="007938B8"/>
    <w:rsid w:val="0079393E"/>
    <w:rsid w:val="00793947"/>
    <w:rsid w:val="00793948"/>
    <w:rsid w:val="007939C2"/>
    <w:rsid w:val="00793A7B"/>
    <w:rsid w:val="00793A9D"/>
    <w:rsid w:val="00793B59"/>
    <w:rsid w:val="00793E23"/>
    <w:rsid w:val="00793F8D"/>
    <w:rsid w:val="00794210"/>
    <w:rsid w:val="0079427D"/>
    <w:rsid w:val="007943F9"/>
    <w:rsid w:val="007947F1"/>
    <w:rsid w:val="00794987"/>
    <w:rsid w:val="0079499D"/>
    <w:rsid w:val="00794AA0"/>
    <w:rsid w:val="00794B9F"/>
    <w:rsid w:val="00794CDA"/>
    <w:rsid w:val="00794D1B"/>
    <w:rsid w:val="00794D1C"/>
    <w:rsid w:val="00794D93"/>
    <w:rsid w:val="00794E8D"/>
    <w:rsid w:val="007950D7"/>
    <w:rsid w:val="0079513A"/>
    <w:rsid w:val="0079534C"/>
    <w:rsid w:val="00795396"/>
    <w:rsid w:val="0079589E"/>
    <w:rsid w:val="00795991"/>
    <w:rsid w:val="00795A58"/>
    <w:rsid w:val="00795C5E"/>
    <w:rsid w:val="00795CE9"/>
    <w:rsid w:val="00795D37"/>
    <w:rsid w:val="00795EF0"/>
    <w:rsid w:val="007960BF"/>
    <w:rsid w:val="00796215"/>
    <w:rsid w:val="007962D9"/>
    <w:rsid w:val="00796426"/>
    <w:rsid w:val="0079645E"/>
    <w:rsid w:val="00796473"/>
    <w:rsid w:val="007964A0"/>
    <w:rsid w:val="00796604"/>
    <w:rsid w:val="00796740"/>
    <w:rsid w:val="0079684A"/>
    <w:rsid w:val="00796899"/>
    <w:rsid w:val="0079692B"/>
    <w:rsid w:val="00796A0D"/>
    <w:rsid w:val="00796C25"/>
    <w:rsid w:val="00796C35"/>
    <w:rsid w:val="00796F86"/>
    <w:rsid w:val="00796FB2"/>
    <w:rsid w:val="007970D9"/>
    <w:rsid w:val="00797227"/>
    <w:rsid w:val="00797264"/>
    <w:rsid w:val="007974D1"/>
    <w:rsid w:val="007975ED"/>
    <w:rsid w:val="007977B2"/>
    <w:rsid w:val="007978F2"/>
    <w:rsid w:val="007978FF"/>
    <w:rsid w:val="00797972"/>
    <w:rsid w:val="007979BB"/>
    <w:rsid w:val="00797D73"/>
    <w:rsid w:val="00797F83"/>
    <w:rsid w:val="007A0046"/>
    <w:rsid w:val="007A0121"/>
    <w:rsid w:val="007A029F"/>
    <w:rsid w:val="007A0345"/>
    <w:rsid w:val="007A03AF"/>
    <w:rsid w:val="007A03BA"/>
    <w:rsid w:val="007A03D8"/>
    <w:rsid w:val="007A0676"/>
    <w:rsid w:val="007A067F"/>
    <w:rsid w:val="007A071C"/>
    <w:rsid w:val="007A07B3"/>
    <w:rsid w:val="007A07ED"/>
    <w:rsid w:val="007A0834"/>
    <w:rsid w:val="007A0860"/>
    <w:rsid w:val="007A08D0"/>
    <w:rsid w:val="007A0972"/>
    <w:rsid w:val="007A0A07"/>
    <w:rsid w:val="007A0B18"/>
    <w:rsid w:val="007A0CDF"/>
    <w:rsid w:val="007A0F5B"/>
    <w:rsid w:val="007A0FE3"/>
    <w:rsid w:val="007A10E4"/>
    <w:rsid w:val="007A1182"/>
    <w:rsid w:val="007A1204"/>
    <w:rsid w:val="007A12F1"/>
    <w:rsid w:val="007A12FB"/>
    <w:rsid w:val="007A13CB"/>
    <w:rsid w:val="007A14C9"/>
    <w:rsid w:val="007A14E1"/>
    <w:rsid w:val="007A153D"/>
    <w:rsid w:val="007A1715"/>
    <w:rsid w:val="007A190B"/>
    <w:rsid w:val="007A1924"/>
    <w:rsid w:val="007A19C3"/>
    <w:rsid w:val="007A1A38"/>
    <w:rsid w:val="007A1FEE"/>
    <w:rsid w:val="007A244D"/>
    <w:rsid w:val="007A2526"/>
    <w:rsid w:val="007A2550"/>
    <w:rsid w:val="007A255D"/>
    <w:rsid w:val="007A257F"/>
    <w:rsid w:val="007A2C00"/>
    <w:rsid w:val="007A2D24"/>
    <w:rsid w:val="007A2DC3"/>
    <w:rsid w:val="007A304D"/>
    <w:rsid w:val="007A3057"/>
    <w:rsid w:val="007A3116"/>
    <w:rsid w:val="007A32E2"/>
    <w:rsid w:val="007A3365"/>
    <w:rsid w:val="007A34A6"/>
    <w:rsid w:val="007A34BD"/>
    <w:rsid w:val="007A35D4"/>
    <w:rsid w:val="007A3640"/>
    <w:rsid w:val="007A379D"/>
    <w:rsid w:val="007A3913"/>
    <w:rsid w:val="007A3CAA"/>
    <w:rsid w:val="007A3DF7"/>
    <w:rsid w:val="007A3EDA"/>
    <w:rsid w:val="007A3F6E"/>
    <w:rsid w:val="007A41B8"/>
    <w:rsid w:val="007A422F"/>
    <w:rsid w:val="007A4332"/>
    <w:rsid w:val="007A43C5"/>
    <w:rsid w:val="007A44FE"/>
    <w:rsid w:val="007A4592"/>
    <w:rsid w:val="007A4695"/>
    <w:rsid w:val="007A47B5"/>
    <w:rsid w:val="007A48B0"/>
    <w:rsid w:val="007A49B5"/>
    <w:rsid w:val="007A4B6D"/>
    <w:rsid w:val="007A4DC3"/>
    <w:rsid w:val="007A4E18"/>
    <w:rsid w:val="007A4E29"/>
    <w:rsid w:val="007A4E5A"/>
    <w:rsid w:val="007A501E"/>
    <w:rsid w:val="007A5090"/>
    <w:rsid w:val="007A53BF"/>
    <w:rsid w:val="007A55B9"/>
    <w:rsid w:val="007A59AB"/>
    <w:rsid w:val="007A5A49"/>
    <w:rsid w:val="007A5A82"/>
    <w:rsid w:val="007A5E8F"/>
    <w:rsid w:val="007A5F67"/>
    <w:rsid w:val="007A61EF"/>
    <w:rsid w:val="007A624F"/>
    <w:rsid w:val="007A638C"/>
    <w:rsid w:val="007A64FC"/>
    <w:rsid w:val="007A65F5"/>
    <w:rsid w:val="007A6617"/>
    <w:rsid w:val="007A6638"/>
    <w:rsid w:val="007A68AB"/>
    <w:rsid w:val="007A6A05"/>
    <w:rsid w:val="007A6C67"/>
    <w:rsid w:val="007A6D08"/>
    <w:rsid w:val="007A6E80"/>
    <w:rsid w:val="007A6EA2"/>
    <w:rsid w:val="007A6F1F"/>
    <w:rsid w:val="007A6FEB"/>
    <w:rsid w:val="007A7052"/>
    <w:rsid w:val="007A7074"/>
    <w:rsid w:val="007A70E2"/>
    <w:rsid w:val="007A7148"/>
    <w:rsid w:val="007A732E"/>
    <w:rsid w:val="007A7365"/>
    <w:rsid w:val="007A74C3"/>
    <w:rsid w:val="007A757B"/>
    <w:rsid w:val="007A758C"/>
    <w:rsid w:val="007A78B6"/>
    <w:rsid w:val="007A7A5F"/>
    <w:rsid w:val="007A7AF3"/>
    <w:rsid w:val="007A7B0A"/>
    <w:rsid w:val="007A7B4C"/>
    <w:rsid w:val="007A7C1A"/>
    <w:rsid w:val="007A7C23"/>
    <w:rsid w:val="007A7C47"/>
    <w:rsid w:val="007A7C98"/>
    <w:rsid w:val="007A7E0D"/>
    <w:rsid w:val="007A7E8D"/>
    <w:rsid w:val="007A7F10"/>
    <w:rsid w:val="007A7FA3"/>
    <w:rsid w:val="007A7FA5"/>
    <w:rsid w:val="007B00E1"/>
    <w:rsid w:val="007B00FE"/>
    <w:rsid w:val="007B01CB"/>
    <w:rsid w:val="007B029E"/>
    <w:rsid w:val="007B02C7"/>
    <w:rsid w:val="007B03AB"/>
    <w:rsid w:val="007B0412"/>
    <w:rsid w:val="007B0494"/>
    <w:rsid w:val="007B04A1"/>
    <w:rsid w:val="007B06F9"/>
    <w:rsid w:val="007B0742"/>
    <w:rsid w:val="007B07CC"/>
    <w:rsid w:val="007B098D"/>
    <w:rsid w:val="007B0AA6"/>
    <w:rsid w:val="007B0AF9"/>
    <w:rsid w:val="007B0BF8"/>
    <w:rsid w:val="007B0FC6"/>
    <w:rsid w:val="007B11B3"/>
    <w:rsid w:val="007B124A"/>
    <w:rsid w:val="007B14E3"/>
    <w:rsid w:val="007B155E"/>
    <w:rsid w:val="007B16FA"/>
    <w:rsid w:val="007B1726"/>
    <w:rsid w:val="007B17DF"/>
    <w:rsid w:val="007B184F"/>
    <w:rsid w:val="007B18D8"/>
    <w:rsid w:val="007B19AD"/>
    <w:rsid w:val="007B1A3B"/>
    <w:rsid w:val="007B1AEA"/>
    <w:rsid w:val="007B1BAA"/>
    <w:rsid w:val="007B1E07"/>
    <w:rsid w:val="007B1EAE"/>
    <w:rsid w:val="007B2023"/>
    <w:rsid w:val="007B22FB"/>
    <w:rsid w:val="007B230E"/>
    <w:rsid w:val="007B2316"/>
    <w:rsid w:val="007B2362"/>
    <w:rsid w:val="007B250E"/>
    <w:rsid w:val="007B260E"/>
    <w:rsid w:val="007B28D1"/>
    <w:rsid w:val="007B299B"/>
    <w:rsid w:val="007B29C0"/>
    <w:rsid w:val="007B2B2E"/>
    <w:rsid w:val="007B2BB4"/>
    <w:rsid w:val="007B2C11"/>
    <w:rsid w:val="007B3044"/>
    <w:rsid w:val="007B306A"/>
    <w:rsid w:val="007B3244"/>
    <w:rsid w:val="007B3269"/>
    <w:rsid w:val="007B3859"/>
    <w:rsid w:val="007B39D2"/>
    <w:rsid w:val="007B3AD4"/>
    <w:rsid w:val="007B3AF8"/>
    <w:rsid w:val="007B3D34"/>
    <w:rsid w:val="007B3E84"/>
    <w:rsid w:val="007B3EC0"/>
    <w:rsid w:val="007B3FC1"/>
    <w:rsid w:val="007B40EB"/>
    <w:rsid w:val="007B4124"/>
    <w:rsid w:val="007B414F"/>
    <w:rsid w:val="007B4291"/>
    <w:rsid w:val="007B42CF"/>
    <w:rsid w:val="007B4332"/>
    <w:rsid w:val="007B4777"/>
    <w:rsid w:val="007B48D6"/>
    <w:rsid w:val="007B4BEA"/>
    <w:rsid w:val="007B4C74"/>
    <w:rsid w:val="007B4D03"/>
    <w:rsid w:val="007B4DEA"/>
    <w:rsid w:val="007B4E5E"/>
    <w:rsid w:val="007B4E92"/>
    <w:rsid w:val="007B4EF1"/>
    <w:rsid w:val="007B51E4"/>
    <w:rsid w:val="007B536B"/>
    <w:rsid w:val="007B5428"/>
    <w:rsid w:val="007B55EA"/>
    <w:rsid w:val="007B579A"/>
    <w:rsid w:val="007B595A"/>
    <w:rsid w:val="007B596E"/>
    <w:rsid w:val="007B598C"/>
    <w:rsid w:val="007B5A6B"/>
    <w:rsid w:val="007B5B9B"/>
    <w:rsid w:val="007B5BFF"/>
    <w:rsid w:val="007B5CAD"/>
    <w:rsid w:val="007B5D11"/>
    <w:rsid w:val="007B5D3E"/>
    <w:rsid w:val="007B5F6B"/>
    <w:rsid w:val="007B6715"/>
    <w:rsid w:val="007B6718"/>
    <w:rsid w:val="007B6780"/>
    <w:rsid w:val="007B67D9"/>
    <w:rsid w:val="007B6874"/>
    <w:rsid w:val="007B68FD"/>
    <w:rsid w:val="007B694A"/>
    <w:rsid w:val="007B6AD6"/>
    <w:rsid w:val="007B6BDB"/>
    <w:rsid w:val="007B6C07"/>
    <w:rsid w:val="007B6C13"/>
    <w:rsid w:val="007B6C31"/>
    <w:rsid w:val="007B6C33"/>
    <w:rsid w:val="007B6E35"/>
    <w:rsid w:val="007B6FDE"/>
    <w:rsid w:val="007B72F6"/>
    <w:rsid w:val="007B72FD"/>
    <w:rsid w:val="007B7373"/>
    <w:rsid w:val="007B754E"/>
    <w:rsid w:val="007B7630"/>
    <w:rsid w:val="007B7674"/>
    <w:rsid w:val="007B788C"/>
    <w:rsid w:val="007B7899"/>
    <w:rsid w:val="007B7951"/>
    <w:rsid w:val="007B79FA"/>
    <w:rsid w:val="007B7A24"/>
    <w:rsid w:val="007B7BE0"/>
    <w:rsid w:val="007B7C86"/>
    <w:rsid w:val="007B7CAB"/>
    <w:rsid w:val="007B7CF1"/>
    <w:rsid w:val="007B7D23"/>
    <w:rsid w:val="007B7D95"/>
    <w:rsid w:val="007B7FCA"/>
    <w:rsid w:val="007C00C8"/>
    <w:rsid w:val="007C00D2"/>
    <w:rsid w:val="007C020C"/>
    <w:rsid w:val="007C0428"/>
    <w:rsid w:val="007C04D2"/>
    <w:rsid w:val="007C04F0"/>
    <w:rsid w:val="007C04FA"/>
    <w:rsid w:val="007C05AE"/>
    <w:rsid w:val="007C05FD"/>
    <w:rsid w:val="007C061F"/>
    <w:rsid w:val="007C0872"/>
    <w:rsid w:val="007C08D3"/>
    <w:rsid w:val="007C0994"/>
    <w:rsid w:val="007C0A8A"/>
    <w:rsid w:val="007C0ABA"/>
    <w:rsid w:val="007C0BD5"/>
    <w:rsid w:val="007C0C43"/>
    <w:rsid w:val="007C0C53"/>
    <w:rsid w:val="007C0D36"/>
    <w:rsid w:val="007C0D8B"/>
    <w:rsid w:val="007C0DCE"/>
    <w:rsid w:val="007C0E65"/>
    <w:rsid w:val="007C0FD5"/>
    <w:rsid w:val="007C0FF4"/>
    <w:rsid w:val="007C1055"/>
    <w:rsid w:val="007C10E2"/>
    <w:rsid w:val="007C11CF"/>
    <w:rsid w:val="007C1228"/>
    <w:rsid w:val="007C12AE"/>
    <w:rsid w:val="007C12DD"/>
    <w:rsid w:val="007C131E"/>
    <w:rsid w:val="007C1357"/>
    <w:rsid w:val="007C146D"/>
    <w:rsid w:val="007C1570"/>
    <w:rsid w:val="007C15BC"/>
    <w:rsid w:val="007C1678"/>
    <w:rsid w:val="007C16E9"/>
    <w:rsid w:val="007C16EA"/>
    <w:rsid w:val="007C180A"/>
    <w:rsid w:val="007C18B7"/>
    <w:rsid w:val="007C1A83"/>
    <w:rsid w:val="007C1A99"/>
    <w:rsid w:val="007C1B99"/>
    <w:rsid w:val="007C1BC8"/>
    <w:rsid w:val="007C1FC5"/>
    <w:rsid w:val="007C1FFE"/>
    <w:rsid w:val="007C20C7"/>
    <w:rsid w:val="007C218D"/>
    <w:rsid w:val="007C22BF"/>
    <w:rsid w:val="007C2368"/>
    <w:rsid w:val="007C2450"/>
    <w:rsid w:val="007C2741"/>
    <w:rsid w:val="007C2747"/>
    <w:rsid w:val="007C2953"/>
    <w:rsid w:val="007C2AAF"/>
    <w:rsid w:val="007C2B9E"/>
    <w:rsid w:val="007C2C24"/>
    <w:rsid w:val="007C2DE9"/>
    <w:rsid w:val="007C30E5"/>
    <w:rsid w:val="007C3483"/>
    <w:rsid w:val="007C34C3"/>
    <w:rsid w:val="007C34C7"/>
    <w:rsid w:val="007C34EF"/>
    <w:rsid w:val="007C34F8"/>
    <w:rsid w:val="007C3516"/>
    <w:rsid w:val="007C37E7"/>
    <w:rsid w:val="007C3896"/>
    <w:rsid w:val="007C3CD8"/>
    <w:rsid w:val="007C3D84"/>
    <w:rsid w:val="007C417A"/>
    <w:rsid w:val="007C4630"/>
    <w:rsid w:val="007C46B7"/>
    <w:rsid w:val="007C4701"/>
    <w:rsid w:val="007C4777"/>
    <w:rsid w:val="007C48F8"/>
    <w:rsid w:val="007C4B3C"/>
    <w:rsid w:val="007C4B6B"/>
    <w:rsid w:val="007C4BB0"/>
    <w:rsid w:val="007C4BD6"/>
    <w:rsid w:val="007C4D3B"/>
    <w:rsid w:val="007C4DCD"/>
    <w:rsid w:val="007C516B"/>
    <w:rsid w:val="007C5194"/>
    <w:rsid w:val="007C5199"/>
    <w:rsid w:val="007C51FA"/>
    <w:rsid w:val="007C52D2"/>
    <w:rsid w:val="007C5315"/>
    <w:rsid w:val="007C5388"/>
    <w:rsid w:val="007C5524"/>
    <w:rsid w:val="007C5612"/>
    <w:rsid w:val="007C570C"/>
    <w:rsid w:val="007C580C"/>
    <w:rsid w:val="007C5986"/>
    <w:rsid w:val="007C5AA2"/>
    <w:rsid w:val="007C5BDC"/>
    <w:rsid w:val="007C5C0D"/>
    <w:rsid w:val="007C5C40"/>
    <w:rsid w:val="007C5CD2"/>
    <w:rsid w:val="007C5F4C"/>
    <w:rsid w:val="007C6248"/>
    <w:rsid w:val="007C62C2"/>
    <w:rsid w:val="007C6433"/>
    <w:rsid w:val="007C6462"/>
    <w:rsid w:val="007C6504"/>
    <w:rsid w:val="007C67F4"/>
    <w:rsid w:val="007C6A6B"/>
    <w:rsid w:val="007C6B40"/>
    <w:rsid w:val="007C6D07"/>
    <w:rsid w:val="007C6D4E"/>
    <w:rsid w:val="007C6E12"/>
    <w:rsid w:val="007C730F"/>
    <w:rsid w:val="007C74D4"/>
    <w:rsid w:val="007C7564"/>
    <w:rsid w:val="007C77EF"/>
    <w:rsid w:val="007C7908"/>
    <w:rsid w:val="007C795C"/>
    <w:rsid w:val="007C7A8D"/>
    <w:rsid w:val="007C7CF6"/>
    <w:rsid w:val="007C7D01"/>
    <w:rsid w:val="007C7D5F"/>
    <w:rsid w:val="007C7E3A"/>
    <w:rsid w:val="007D0007"/>
    <w:rsid w:val="007D01CC"/>
    <w:rsid w:val="007D040D"/>
    <w:rsid w:val="007D0427"/>
    <w:rsid w:val="007D0558"/>
    <w:rsid w:val="007D059F"/>
    <w:rsid w:val="007D07C8"/>
    <w:rsid w:val="007D0990"/>
    <w:rsid w:val="007D0A7D"/>
    <w:rsid w:val="007D0BF5"/>
    <w:rsid w:val="007D0C7A"/>
    <w:rsid w:val="007D0E1A"/>
    <w:rsid w:val="007D0F7A"/>
    <w:rsid w:val="007D12C6"/>
    <w:rsid w:val="007D1410"/>
    <w:rsid w:val="007D1572"/>
    <w:rsid w:val="007D1603"/>
    <w:rsid w:val="007D16C2"/>
    <w:rsid w:val="007D1798"/>
    <w:rsid w:val="007D180D"/>
    <w:rsid w:val="007D188D"/>
    <w:rsid w:val="007D188F"/>
    <w:rsid w:val="007D1942"/>
    <w:rsid w:val="007D1946"/>
    <w:rsid w:val="007D19FC"/>
    <w:rsid w:val="007D1AA6"/>
    <w:rsid w:val="007D1C0A"/>
    <w:rsid w:val="007D1C44"/>
    <w:rsid w:val="007D1C8F"/>
    <w:rsid w:val="007D1F22"/>
    <w:rsid w:val="007D2043"/>
    <w:rsid w:val="007D221C"/>
    <w:rsid w:val="007D23C8"/>
    <w:rsid w:val="007D23E7"/>
    <w:rsid w:val="007D23EA"/>
    <w:rsid w:val="007D240F"/>
    <w:rsid w:val="007D25C5"/>
    <w:rsid w:val="007D294E"/>
    <w:rsid w:val="007D2C27"/>
    <w:rsid w:val="007D2D44"/>
    <w:rsid w:val="007D2EB0"/>
    <w:rsid w:val="007D2F30"/>
    <w:rsid w:val="007D3027"/>
    <w:rsid w:val="007D3057"/>
    <w:rsid w:val="007D3174"/>
    <w:rsid w:val="007D3393"/>
    <w:rsid w:val="007D34E3"/>
    <w:rsid w:val="007D3548"/>
    <w:rsid w:val="007D35E9"/>
    <w:rsid w:val="007D37B6"/>
    <w:rsid w:val="007D39F7"/>
    <w:rsid w:val="007D3AFB"/>
    <w:rsid w:val="007D3B69"/>
    <w:rsid w:val="007D3DC6"/>
    <w:rsid w:val="007D3EAD"/>
    <w:rsid w:val="007D3F2C"/>
    <w:rsid w:val="007D4013"/>
    <w:rsid w:val="007D4064"/>
    <w:rsid w:val="007D4209"/>
    <w:rsid w:val="007D428B"/>
    <w:rsid w:val="007D4413"/>
    <w:rsid w:val="007D4561"/>
    <w:rsid w:val="007D46CB"/>
    <w:rsid w:val="007D4889"/>
    <w:rsid w:val="007D49B9"/>
    <w:rsid w:val="007D4A16"/>
    <w:rsid w:val="007D4B1D"/>
    <w:rsid w:val="007D4B7A"/>
    <w:rsid w:val="007D4BC9"/>
    <w:rsid w:val="007D4C81"/>
    <w:rsid w:val="007D4C85"/>
    <w:rsid w:val="007D4D12"/>
    <w:rsid w:val="007D4DB4"/>
    <w:rsid w:val="007D4DEC"/>
    <w:rsid w:val="007D4E91"/>
    <w:rsid w:val="007D4EF4"/>
    <w:rsid w:val="007D5019"/>
    <w:rsid w:val="007D5280"/>
    <w:rsid w:val="007D5336"/>
    <w:rsid w:val="007D564E"/>
    <w:rsid w:val="007D58A0"/>
    <w:rsid w:val="007D5D4C"/>
    <w:rsid w:val="007D5F53"/>
    <w:rsid w:val="007D5F92"/>
    <w:rsid w:val="007D6734"/>
    <w:rsid w:val="007D676A"/>
    <w:rsid w:val="007D6796"/>
    <w:rsid w:val="007D67E4"/>
    <w:rsid w:val="007D6867"/>
    <w:rsid w:val="007D6ACF"/>
    <w:rsid w:val="007D6C0E"/>
    <w:rsid w:val="007D6F7C"/>
    <w:rsid w:val="007D70DE"/>
    <w:rsid w:val="007D7156"/>
    <w:rsid w:val="007D71A6"/>
    <w:rsid w:val="007D721A"/>
    <w:rsid w:val="007D74C0"/>
    <w:rsid w:val="007D7588"/>
    <w:rsid w:val="007D773C"/>
    <w:rsid w:val="007D7745"/>
    <w:rsid w:val="007D7897"/>
    <w:rsid w:val="007D7AC1"/>
    <w:rsid w:val="007D7B0A"/>
    <w:rsid w:val="007D7BE7"/>
    <w:rsid w:val="007D7BF7"/>
    <w:rsid w:val="007D7D19"/>
    <w:rsid w:val="007D7D8A"/>
    <w:rsid w:val="007E007C"/>
    <w:rsid w:val="007E00D9"/>
    <w:rsid w:val="007E00E8"/>
    <w:rsid w:val="007E02A7"/>
    <w:rsid w:val="007E02D4"/>
    <w:rsid w:val="007E05AD"/>
    <w:rsid w:val="007E067F"/>
    <w:rsid w:val="007E0856"/>
    <w:rsid w:val="007E0C94"/>
    <w:rsid w:val="007E0E25"/>
    <w:rsid w:val="007E0FAC"/>
    <w:rsid w:val="007E1075"/>
    <w:rsid w:val="007E11A1"/>
    <w:rsid w:val="007E126F"/>
    <w:rsid w:val="007E1566"/>
    <w:rsid w:val="007E158B"/>
    <w:rsid w:val="007E186B"/>
    <w:rsid w:val="007E18C7"/>
    <w:rsid w:val="007E1A91"/>
    <w:rsid w:val="007E1CAA"/>
    <w:rsid w:val="007E1D97"/>
    <w:rsid w:val="007E1EF1"/>
    <w:rsid w:val="007E1FCF"/>
    <w:rsid w:val="007E2230"/>
    <w:rsid w:val="007E240B"/>
    <w:rsid w:val="007E24F6"/>
    <w:rsid w:val="007E2625"/>
    <w:rsid w:val="007E2736"/>
    <w:rsid w:val="007E2914"/>
    <w:rsid w:val="007E291D"/>
    <w:rsid w:val="007E2A63"/>
    <w:rsid w:val="007E2CA4"/>
    <w:rsid w:val="007E2D3A"/>
    <w:rsid w:val="007E2DC3"/>
    <w:rsid w:val="007E2E43"/>
    <w:rsid w:val="007E2F24"/>
    <w:rsid w:val="007E2F2D"/>
    <w:rsid w:val="007E2FA7"/>
    <w:rsid w:val="007E303E"/>
    <w:rsid w:val="007E3128"/>
    <w:rsid w:val="007E319A"/>
    <w:rsid w:val="007E323F"/>
    <w:rsid w:val="007E3639"/>
    <w:rsid w:val="007E36B2"/>
    <w:rsid w:val="007E37F8"/>
    <w:rsid w:val="007E38E0"/>
    <w:rsid w:val="007E3AEF"/>
    <w:rsid w:val="007E3B4D"/>
    <w:rsid w:val="007E3D47"/>
    <w:rsid w:val="007E3E0E"/>
    <w:rsid w:val="007E3E8E"/>
    <w:rsid w:val="007E3FCC"/>
    <w:rsid w:val="007E4151"/>
    <w:rsid w:val="007E422B"/>
    <w:rsid w:val="007E455B"/>
    <w:rsid w:val="007E46A4"/>
    <w:rsid w:val="007E4A47"/>
    <w:rsid w:val="007E4A8C"/>
    <w:rsid w:val="007E4BC7"/>
    <w:rsid w:val="007E4C48"/>
    <w:rsid w:val="007E4E08"/>
    <w:rsid w:val="007E5042"/>
    <w:rsid w:val="007E5115"/>
    <w:rsid w:val="007E51FA"/>
    <w:rsid w:val="007E54AA"/>
    <w:rsid w:val="007E54AD"/>
    <w:rsid w:val="007E5535"/>
    <w:rsid w:val="007E554B"/>
    <w:rsid w:val="007E569F"/>
    <w:rsid w:val="007E5A02"/>
    <w:rsid w:val="007E5BEE"/>
    <w:rsid w:val="007E5C44"/>
    <w:rsid w:val="007E5D94"/>
    <w:rsid w:val="007E5EDB"/>
    <w:rsid w:val="007E5F9A"/>
    <w:rsid w:val="007E5FB9"/>
    <w:rsid w:val="007E5FE1"/>
    <w:rsid w:val="007E600C"/>
    <w:rsid w:val="007E61EC"/>
    <w:rsid w:val="007E6384"/>
    <w:rsid w:val="007E6435"/>
    <w:rsid w:val="007E6511"/>
    <w:rsid w:val="007E65FC"/>
    <w:rsid w:val="007E6766"/>
    <w:rsid w:val="007E68AB"/>
    <w:rsid w:val="007E6A45"/>
    <w:rsid w:val="007E6B52"/>
    <w:rsid w:val="007E6BA8"/>
    <w:rsid w:val="007E6D09"/>
    <w:rsid w:val="007E6D4D"/>
    <w:rsid w:val="007E6F2F"/>
    <w:rsid w:val="007E703D"/>
    <w:rsid w:val="007E7068"/>
    <w:rsid w:val="007E70F5"/>
    <w:rsid w:val="007E7110"/>
    <w:rsid w:val="007E72BD"/>
    <w:rsid w:val="007E7368"/>
    <w:rsid w:val="007E7528"/>
    <w:rsid w:val="007E766B"/>
    <w:rsid w:val="007E77C3"/>
    <w:rsid w:val="007E78F1"/>
    <w:rsid w:val="007E79E4"/>
    <w:rsid w:val="007E7B17"/>
    <w:rsid w:val="007E7B67"/>
    <w:rsid w:val="007E7BA8"/>
    <w:rsid w:val="007E7BB3"/>
    <w:rsid w:val="007E7CD4"/>
    <w:rsid w:val="007E7F9F"/>
    <w:rsid w:val="007E7FBA"/>
    <w:rsid w:val="007F0220"/>
    <w:rsid w:val="007F04AA"/>
    <w:rsid w:val="007F05A9"/>
    <w:rsid w:val="007F0798"/>
    <w:rsid w:val="007F0880"/>
    <w:rsid w:val="007F09EA"/>
    <w:rsid w:val="007F09F0"/>
    <w:rsid w:val="007F0A70"/>
    <w:rsid w:val="007F0BBD"/>
    <w:rsid w:val="007F0BE1"/>
    <w:rsid w:val="007F0C19"/>
    <w:rsid w:val="007F0D6E"/>
    <w:rsid w:val="007F0E2C"/>
    <w:rsid w:val="007F0F09"/>
    <w:rsid w:val="007F0F39"/>
    <w:rsid w:val="007F1322"/>
    <w:rsid w:val="007F13D1"/>
    <w:rsid w:val="007F14EB"/>
    <w:rsid w:val="007F1561"/>
    <w:rsid w:val="007F1AD5"/>
    <w:rsid w:val="007F1B9E"/>
    <w:rsid w:val="007F1C65"/>
    <w:rsid w:val="007F1D21"/>
    <w:rsid w:val="007F1E21"/>
    <w:rsid w:val="007F2261"/>
    <w:rsid w:val="007F2441"/>
    <w:rsid w:val="007F24B1"/>
    <w:rsid w:val="007F275E"/>
    <w:rsid w:val="007F27F0"/>
    <w:rsid w:val="007F287F"/>
    <w:rsid w:val="007F2902"/>
    <w:rsid w:val="007F2A8E"/>
    <w:rsid w:val="007F2B86"/>
    <w:rsid w:val="007F2BFC"/>
    <w:rsid w:val="007F2C70"/>
    <w:rsid w:val="007F2C99"/>
    <w:rsid w:val="007F2D59"/>
    <w:rsid w:val="007F30A1"/>
    <w:rsid w:val="007F3112"/>
    <w:rsid w:val="007F3162"/>
    <w:rsid w:val="007F32EA"/>
    <w:rsid w:val="007F32FF"/>
    <w:rsid w:val="007F363B"/>
    <w:rsid w:val="007F38AA"/>
    <w:rsid w:val="007F3910"/>
    <w:rsid w:val="007F3A11"/>
    <w:rsid w:val="007F3A7E"/>
    <w:rsid w:val="007F3B3E"/>
    <w:rsid w:val="007F3D72"/>
    <w:rsid w:val="007F3E07"/>
    <w:rsid w:val="007F3F1D"/>
    <w:rsid w:val="007F40AD"/>
    <w:rsid w:val="007F413E"/>
    <w:rsid w:val="007F41DF"/>
    <w:rsid w:val="007F44B6"/>
    <w:rsid w:val="007F4889"/>
    <w:rsid w:val="007F494A"/>
    <w:rsid w:val="007F4A35"/>
    <w:rsid w:val="007F4AD3"/>
    <w:rsid w:val="007F4E0F"/>
    <w:rsid w:val="007F4EB2"/>
    <w:rsid w:val="007F4FA9"/>
    <w:rsid w:val="007F5092"/>
    <w:rsid w:val="007F510E"/>
    <w:rsid w:val="007F5550"/>
    <w:rsid w:val="007F5572"/>
    <w:rsid w:val="007F5804"/>
    <w:rsid w:val="007F58F8"/>
    <w:rsid w:val="007F5A2D"/>
    <w:rsid w:val="007F5ADD"/>
    <w:rsid w:val="007F5E59"/>
    <w:rsid w:val="007F5FD3"/>
    <w:rsid w:val="007F6281"/>
    <w:rsid w:val="007F6362"/>
    <w:rsid w:val="007F6488"/>
    <w:rsid w:val="007F649F"/>
    <w:rsid w:val="007F6723"/>
    <w:rsid w:val="007F67C4"/>
    <w:rsid w:val="007F67C6"/>
    <w:rsid w:val="007F67D4"/>
    <w:rsid w:val="007F690D"/>
    <w:rsid w:val="007F6D55"/>
    <w:rsid w:val="007F70D5"/>
    <w:rsid w:val="007F721D"/>
    <w:rsid w:val="007F7680"/>
    <w:rsid w:val="007F77CB"/>
    <w:rsid w:val="007F77DD"/>
    <w:rsid w:val="007F78C7"/>
    <w:rsid w:val="007F7960"/>
    <w:rsid w:val="007F7A1B"/>
    <w:rsid w:val="007F7A52"/>
    <w:rsid w:val="007F7AED"/>
    <w:rsid w:val="007F7B59"/>
    <w:rsid w:val="007F7BCD"/>
    <w:rsid w:val="007F7DBD"/>
    <w:rsid w:val="007F7EC6"/>
    <w:rsid w:val="007F7FAC"/>
    <w:rsid w:val="00800029"/>
    <w:rsid w:val="00800129"/>
    <w:rsid w:val="00800193"/>
    <w:rsid w:val="008005FE"/>
    <w:rsid w:val="00800885"/>
    <w:rsid w:val="0080097B"/>
    <w:rsid w:val="00800BCD"/>
    <w:rsid w:val="00800C01"/>
    <w:rsid w:val="00800D6F"/>
    <w:rsid w:val="008010ED"/>
    <w:rsid w:val="00801209"/>
    <w:rsid w:val="00801246"/>
    <w:rsid w:val="00801358"/>
    <w:rsid w:val="00801387"/>
    <w:rsid w:val="0080149A"/>
    <w:rsid w:val="008014C9"/>
    <w:rsid w:val="00801521"/>
    <w:rsid w:val="00801677"/>
    <w:rsid w:val="00801819"/>
    <w:rsid w:val="008018AD"/>
    <w:rsid w:val="00801AB6"/>
    <w:rsid w:val="00801B74"/>
    <w:rsid w:val="00801B8C"/>
    <w:rsid w:val="00801D77"/>
    <w:rsid w:val="008020CC"/>
    <w:rsid w:val="008020F3"/>
    <w:rsid w:val="00802157"/>
    <w:rsid w:val="008021ED"/>
    <w:rsid w:val="00802226"/>
    <w:rsid w:val="00802315"/>
    <w:rsid w:val="008024EF"/>
    <w:rsid w:val="0080259B"/>
    <w:rsid w:val="008025C3"/>
    <w:rsid w:val="008026A2"/>
    <w:rsid w:val="0080270C"/>
    <w:rsid w:val="008028E1"/>
    <w:rsid w:val="00802E17"/>
    <w:rsid w:val="00802FF5"/>
    <w:rsid w:val="0080368C"/>
    <w:rsid w:val="008036A2"/>
    <w:rsid w:val="008037B6"/>
    <w:rsid w:val="00803828"/>
    <w:rsid w:val="008039B4"/>
    <w:rsid w:val="00803A34"/>
    <w:rsid w:val="00803CC1"/>
    <w:rsid w:val="00803CD0"/>
    <w:rsid w:val="00803DCC"/>
    <w:rsid w:val="00803E48"/>
    <w:rsid w:val="0080408E"/>
    <w:rsid w:val="008040A8"/>
    <w:rsid w:val="00804381"/>
    <w:rsid w:val="00804652"/>
    <w:rsid w:val="00804692"/>
    <w:rsid w:val="0080492C"/>
    <w:rsid w:val="00804A86"/>
    <w:rsid w:val="00804C33"/>
    <w:rsid w:val="00804C66"/>
    <w:rsid w:val="00804C8A"/>
    <w:rsid w:val="00804ED3"/>
    <w:rsid w:val="00804F5B"/>
    <w:rsid w:val="00804FE0"/>
    <w:rsid w:val="008050A5"/>
    <w:rsid w:val="008050DD"/>
    <w:rsid w:val="00805437"/>
    <w:rsid w:val="008055A0"/>
    <w:rsid w:val="008055CC"/>
    <w:rsid w:val="0080560B"/>
    <w:rsid w:val="008056D7"/>
    <w:rsid w:val="0080579C"/>
    <w:rsid w:val="008057F3"/>
    <w:rsid w:val="0080588D"/>
    <w:rsid w:val="008058A8"/>
    <w:rsid w:val="008058C1"/>
    <w:rsid w:val="00805B98"/>
    <w:rsid w:val="00805CEE"/>
    <w:rsid w:val="00805D6C"/>
    <w:rsid w:val="00805FE1"/>
    <w:rsid w:val="00806046"/>
    <w:rsid w:val="008061DF"/>
    <w:rsid w:val="00806260"/>
    <w:rsid w:val="008066C6"/>
    <w:rsid w:val="0080672B"/>
    <w:rsid w:val="0080675F"/>
    <w:rsid w:val="008067E9"/>
    <w:rsid w:val="00806836"/>
    <w:rsid w:val="00806876"/>
    <w:rsid w:val="00806EF5"/>
    <w:rsid w:val="00807129"/>
    <w:rsid w:val="008071E0"/>
    <w:rsid w:val="0080728A"/>
    <w:rsid w:val="008073D6"/>
    <w:rsid w:val="008074A9"/>
    <w:rsid w:val="00807555"/>
    <w:rsid w:val="008075D4"/>
    <w:rsid w:val="008079C6"/>
    <w:rsid w:val="008079DC"/>
    <w:rsid w:val="00807B17"/>
    <w:rsid w:val="00807BCF"/>
    <w:rsid w:val="00807C0C"/>
    <w:rsid w:val="00807C71"/>
    <w:rsid w:val="00807E41"/>
    <w:rsid w:val="008101AA"/>
    <w:rsid w:val="00810214"/>
    <w:rsid w:val="00810483"/>
    <w:rsid w:val="008106DF"/>
    <w:rsid w:val="008108C8"/>
    <w:rsid w:val="0081096D"/>
    <w:rsid w:val="00810A08"/>
    <w:rsid w:val="00810AC8"/>
    <w:rsid w:val="00810B65"/>
    <w:rsid w:val="00810DBA"/>
    <w:rsid w:val="008110F3"/>
    <w:rsid w:val="0081119A"/>
    <w:rsid w:val="008111BB"/>
    <w:rsid w:val="00811203"/>
    <w:rsid w:val="0081121E"/>
    <w:rsid w:val="00811249"/>
    <w:rsid w:val="00811331"/>
    <w:rsid w:val="008113C5"/>
    <w:rsid w:val="008114F2"/>
    <w:rsid w:val="0081178C"/>
    <w:rsid w:val="00811AA7"/>
    <w:rsid w:val="00811B2B"/>
    <w:rsid w:val="00811DA4"/>
    <w:rsid w:val="00812081"/>
    <w:rsid w:val="008120C0"/>
    <w:rsid w:val="00812106"/>
    <w:rsid w:val="00812276"/>
    <w:rsid w:val="0081243D"/>
    <w:rsid w:val="0081252A"/>
    <w:rsid w:val="0081262F"/>
    <w:rsid w:val="008126BE"/>
    <w:rsid w:val="008126F6"/>
    <w:rsid w:val="008129A1"/>
    <w:rsid w:val="00812ACA"/>
    <w:rsid w:val="00812CF9"/>
    <w:rsid w:val="00812D9B"/>
    <w:rsid w:val="00812DF5"/>
    <w:rsid w:val="00812F5D"/>
    <w:rsid w:val="0081317D"/>
    <w:rsid w:val="008131DC"/>
    <w:rsid w:val="00813205"/>
    <w:rsid w:val="008133FB"/>
    <w:rsid w:val="00813679"/>
    <w:rsid w:val="00813786"/>
    <w:rsid w:val="00813857"/>
    <w:rsid w:val="00813982"/>
    <w:rsid w:val="00813A4C"/>
    <w:rsid w:val="00813ADA"/>
    <w:rsid w:val="00813C13"/>
    <w:rsid w:val="00813EDD"/>
    <w:rsid w:val="00813F7C"/>
    <w:rsid w:val="0081405B"/>
    <w:rsid w:val="00814347"/>
    <w:rsid w:val="0081440C"/>
    <w:rsid w:val="00814597"/>
    <w:rsid w:val="0081459D"/>
    <w:rsid w:val="0081462F"/>
    <w:rsid w:val="0081466A"/>
    <w:rsid w:val="00814691"/>
    <w:rsid w:val="0081494A"/>
    <w:rsid w:val="00814A5A"/>
    <w:rsid w:val="00814A9C"/>
    <w:rsid w:val="00814B32"/>
    <w:rsid w:val="00814BEC"/>
    <w:rsid w:val="00814E36"/>
    <w:rsid w:val="00814ED0"/>
    <w:rsid w:val="00814EDD"/>
    <w:rsid w:val="00814EFA"/>
    <w:rsid w:val="00814F29"/>
    <w:rsid w:val="00814FAA"/>
    <w:rsid w:val="00814FF1"/>
    <w:rsid w:val="00815069"/>
    <w:rsid w:val="0081506D"/>
    <w:rsid w:val="0081523B"/>
    <w:rsid w:val="00815297"/>
    <w:rsid w:val="008152D4"/>
    <w:rsid w:val="00815419"/>
    <w:rsid w:val="0081544E"/>
    <w:rsid w:val="00815592"/>
    <w:rsid w:val="00815739"/>
    <w:rsid w:val="008158A6"/>
    <w:rsid w:val="00815AEA"/>
    <w:rsid w:val="00815BC4"/>
    <w:rsid w:val="00815C47"/>
    <w:rsid w:val="00815FF3"/>
    <w:rsid w:val="008160C4"/>
    <w:rsid w:val="0081623F"/>
    <w:rsid w:val="00816241"/>
    <w:rsid w:val="008162F3"/>
    <w:rsid w:val="0081646C"/>
    <w:rsid w:val="008165A2"/>
    <w:rsid w:val="00816617"/>
    <w:rsid w:val="0081681E"/>
    <w:rsid w:val="008168F7"/>
    <w:rsid w:val="00816902"/>
    <w:rsid w:val="008169F4"/>
    <w:rsid w:val="00816A56"/>
    <w:rsid w:val="00816A95"/>
    <w:rsid w:val="00816BF2"/>
    <w:rsid w:val="00816C23"/>
    <w:rsid w:val="00816C48"/>
    <w:rsid w:val="00817231"/>
    <w:rsid w:val="008172CF"/>
    <w:rsid w:val="008176E2"/>
    <w:rsid w:val="00817742"/>
    <w:rsid w:val="00817751"/>
    <w:rsid w:val="008178DB"/>
    <w:rsid w:val="008178E4"/>
    <w:rsid w:val="00817A93"/>
    <w:rsid w:val="00817A9C"/>
    <w:rsid w:val="00817B8F"/>
    <w:rsid w:val="00817CDC"/>
    <w:rsid w:val="00817DB7"/>
    <w:rsid w:val="00817FBD"/>
    <w:rsid w:val="0082002B"/>
    <w:rsid w:val="008200C6"/>
    <w:rsid w:val="008200D1"/>
    <w:rsid w:val="00820181"/>
    <w:rsid w:val="00820274"/>
    <w:rsid w:val="0082029E"/>
    <w:rsid w:val="008202BC"/>
    <w:rsid w:val="008202E8"/>
    <w:rsid w:val="008203A8"/>
    <w:rsid w:val="00820616"/>
    <w:rsid w:val="00820632"/>
    <w:rsid w:val="008207A9"/>
    <w:rsid w:val="00820B39"/>
    <w:rsid w:val="00820D29"/>
    <w:rsid w:val="00820DE8"/>
    <w:rsid w:val="00820E05"/>
    <w:rsid w:val="00820F1E"/>
    <w:rsid w:val="008211DF"/>
    <w:rsid w:val="008211EE"/>
    <w:rsid w:val="00821589"/>
    <w:rsid w:val="008216FB"/>
    <w:rsid w:val="0082184E"/>
    <w:rsid w:val="00821879"/>
    <w:rsid w:val="00821927"/>
    <w:rsid w:val="008219BC"/>
    <w:rsid w:val="008219E8"/>
    <w:rsid w:val="00821A62"/>
    <w:rsid w:val="00821BDB"/>
    <w:rsid w:val="00821C21"/>
    <w:rsid w:val="00821DDA"/>
    <w:rsid w:val="00821E9D"/>
    <w:rsid w:val="00821FCC"/>
    <w:rsid w:val="0082202C"/>
    <w:rsid w:val="008220B8"/>
    <w:rsid w:val="00822154"/>
    <w:rsid w:val="008222A0"/>
    <w:rsid w:val="00822366"/>
    <w:rsid w:val="008223F2"/>
    <w:rsid w:val="008224D9"/>
    <w:rsid w:val="00822517"/>
    <w:rsid w:val="008225C3"/>
    <w:rsid w:val="00822621"/>
    <w:rsid w:val="00822680"/>
    <w:rsid w:val="00822795"/>
    <w:rsid w:val="008228BC"/>
    <w:rsid w:val="008228FE"/>
    <w:rsid w:val="00822999"/>
    <w:rsid w:val="00822C48"/>
    <w:rsid w:val="00822CC1"/>
    <w:rsid w:val="00822EDA"/>
    <w:rsid w:val="00822F15"/>
    <w:rsid w:val="00822F66"/>
    <w:rsid w:val="00823073"/>
    <w:rsid w:val="00823084"/>
    <w:rsid w:val="00823452"/>
    <w:rsid w:val="0082361F"/>
    <w:rsid w:val="008239E3"/>
    <w:rsid w:val="00823A11"/>
    <w:rsid w:val="00823A71"/>
    <w:rsid w:val="00823B03"/>
    <w:rsid w:val="00823CBE"/>
    <w:rsid w:val="00823E4D"/>
    <w:rsid w:val="00823EFD"/>
    <w:rsid w:val="00824316"/>
    <w:rsid w:val="0082458C"/>
    <w:rsid w:val="0082470E"/>
    <w:rsid w:val="00824765"/>
    <w:rsid w:val="008248F9"/>
    <w:rsid w:val="00824909"/>
    <w:rsid w:val="008249B0"/>
    <w:rsid w:val="00824A5B"/>
    <w:rsid w:val="00824AE2"/>
    <w:rsid w:val="00824B9A"/>
    <w:rsid w:val="00824BE9"/>
    <w:rsid w:val="00824C35"/>
    <w:rsid w:val="00824C7E"/>
    <w:rsid w:val="00825010"/>
    <w:rsid w:val="00825074"/>
    <w:rsid w:val="00825164"/>
    <w:rsid w:val="008252E3"/>
    <w:rsid w:val="00825345"/>
    <w:rsid w:val="00825364"/>
    <w:rsid w:val="0082537C"/>
    <w:rsid w:val="00825382"/>
    <w:rsid w:val="008253AF"/>
    <w:rsid w:val="008253B4"/>
    <w:rsid w:val="008253D9"/>
    <w:rsid w:val="00825435"/>
    <w:rsid w:val="008255B0"/>
    <w:rsid w:val="0082560B"/>
    <w:rsid w:val="00825B50"/>
    <w:rsid w:val="00825DAC"/>
    <w:rsid w:val="00826020"/>
    <w:rsid w:val="00826110"/>
    <w:rsid w:val="008261F1"/>
    <w:rsid w:val="0082636C"/>
    <w:rsid w:val="008263CE"/>
    <w:rsid w:val="008264B5"/>
    <w:rsid w:val="008264DA"/>
    <w:rsid w:val="008264E4"/>
    <w:rsid w:val="00826817"/>
    <w:rsid w:val="00826883"/>
    <w:rsid w:val="00826914"/>
    <w:rsid w:val="00826C04"/>
    <w:rsid w:val="00826DC2"/>
    <w:rsid w:val="00827184"/>
    <w:rsid w:val="008271F3"/>
    <w:rsid w:val="00827819"/>
    <w:rsid w:val="0082787F"/>
    <w:rsid w:val="008278F4"/>
    <w:rsid w:val="0082797E"/>
    <w:rsid w:val="00827AAD"/>
    <w:rsid w:val="00827AFE"/>
    <w:rsid w:val="00827B69"/>
    <w:rsid w:val="00827C1A"/>
    <w:rsid w:val="00827D94"/>
    <w:rsid w:val="00827DA9"/>
    <w:rsid w:val="00827E9D"/>
    <w:rsid w:val="0083003E"/>
    <w:rsid w:val="0083005F"/>
    <w:rsid w:val="0083015C"/>
    <w:rsid w:val="00830450"/>
    <w:rsid w:val="0083045C"/>
    <w:rsid w:val="00830580"/>
    <w:rsid w:val="00830B06"/>
    <w:rsid w:val="00830CEB"/>
    <w:rsid w:val="00831061"/>
    <w:rsid w:val="00831063"/>
    <w:rsid w:val="00831098"/>
    <w:rsid w:val="00831151"/>
    <w:rsid w:val="008311AE"/>
    <w:rsid w:val="008311D0"/>
    <w:rsid w:val="00831295"/>
    <w:rsid w:val="008312F4"/>
    <w:rsid w:val="00831557"/>
    <w:rsid w:val="0083155D"/>
    <w:rsid w:val="00831597"/>
    <w:rsid w:val="008315A5"/>
    <w:rsid w:val="008315F4"/>
    <w:rsid w:val="008316B4"/>
    <w:rsid w:val="008317CA"/>
    <w:rsid w:val="00831899"/>
    <w:rsid w:val="008318E6"/>
    <w:rsid w:val="0083192F"/>
    <w:rsid w:val="00831AB2"/>
    <w:rsid w:val="00831B9B"/>
    <w:rsid w:val="00831CB2"/>
    <w:rsid w:val="00831DCE"/>
    <w:rsid w:val="00832032"/>
    <w:rsid w:val="008320DD"/>
    <w:rsid w:val="0083232D"/>
    <w:rsid w:val="008324B4"/>
    <w:rsid w:val="008325C7"/>
    <w:rsid w:val="0083267E"/>
    <w:rsid w:val="00832801"/>
    <w:rsid w:val="0083291B"/>
    <w:rsid w:val="00832B8F"/>
    <w:rsid w:val="00832C4C"/>
    <w:rsid w:val="00832CCB"/>
    <w:rsid w:val="00832D0A"/>
    <w:rsid w:val="00832D9E"/>
    <w:rsid w:val="008330E2"/>
    <w:rsid w:val="008331BA"/>
    <w:rsid w:val="008334CC"/>
    <w:rsid w:val="008337D8"/>
    <w:rsid w:val="0083384E"/>
    <w:rsid w:val="008338BB"/>
    <w:rsid w:val="00833938"/>
    <w:rsid w:val="00833986"/>
    <w:rsid w:val="008339ED"/>
    <w:rsid w:val="00833A74"/>
    <w:rsid w:val="00833AB9"/>
    <w:rsid w:val="00833AE7"/>
    <w:rsid w:val="00833BE3"/>
    <w:rsid w:val="00833E42"/>
    <w:rsid w:val="00833E88"/>
    <w:rsid w:val="00833ED9"/>
    <w:rsid w:val="00833EF8"/>
    <w:rsid w:val="00833F34"/>
    <w:rsid w:val="0083427E"/>
    <w:rsid w:val="008343A3"/>
    <w:rsid w:val="00834566"/>
    <w:rsid w:val="0083487F"/>
    <w:rsid w:val="00834B33"/>
    <w:rsid w:val="00834B4E"/>
    <w:rsid w:val="00834D70"/>
    <w:rsid w:val="00834DB2"/>
    <w:rsid w:val="00834DFB"/>
    <w:rsid w:val="00834E2D"/>
    <w:rsid w:val="00834E9B"/>
    <w:rsid w:val="00834F40"/>
    <w:rsid w:val="00834F53"/>
    <w:rsid w:val="00835012"/>
    <w:rsid w:val="008350AF"/>
    <w:rsid w:val="00835169"/>
    <w:rsid w:val="0083534D"/>
    <w:rsid w:val="008354C5"/>
    <w:rsid w:val="0083551C"/>
    <w:rsid w:val="00835635"/>
    <w:rsid w:val="00835695"/>
    <w:rsid w:val="00835BFB"/>
    <w:rsid w:val="00835C16"/>
    <w:rsid w:val="00835D7F"/>
    <w:rsid w:val="00835E0D"/>
    <w:rsid w:val="00835E4A"/>
    <w:rsid w:val="00835F70"/>
    <w:rsid w:val="00835F83"/>
    <w:rsid w:val="0083600F"/>
    <w:rsid w:val="0083607F"/>
    <w:rsid w:val="00836081"/>
    <w:rsid w:val="00836114"/>
    <w:rsid w:val="00836472"/>
    <w:rsid w:val="008366E4"/>
    <w:rsid w:val="008367A5"/>
    <w:rsid w:val="00836861"/>
    <w:rsid w:val="00836909"/>
    <w:rsid w:val="0083698F"/>
    <w:rsid w:val="008369D9"/>
    <w:rsid w:val="008369EE"/>
    <w:rsid w:val="00836A61"/>
    <w:rsid w:val="00836BF3"/>
    <w:rsid w:val="00836CFA"/>
    <w:rsid w:val="00836DFD"/>
    <w:rsid w:val="00836E02"/>
    <w:rsid w:val="00836E36"/>
    <w:rsid w:val="00836EA8"/>
    <w:rsid w:val="00836EF1"/>
    <w:rsid w:val="00836F28"/>
    <w:rsid w:val="00837017"/>
    <w:rsid w:val="008370BD"/>
    <w:rsid w:val="00837145"/>
    <w:rsid w:val="00837251"/>
    <w:rsid w:val="00837424"/>
    <w:rsid w:val="0083746E"/>
    <w:rsid w:val="0083768A"/>
    <w:rsid w:val="008376D3"/>
    <w:rsid w:val="0083779A"/>
    <w:rsid w:val="008377EC"/>
    <w:rsid w:val="008379EC"/>
    <w:rsid w:val="00837A0C"/>
    <w:rsid w:val="00837B9B"/>
    <w:rsid w:val="00837C15"/>
    <w:rsid w:val="00837D3E"/>
    <w:rsid w:val="00837DE0"/>
    <w:rsid w:val="00837EE4"/>
    <w:rsid w:val="00837F93"/>
    <w:rsid w:val="00840068"/>
    <w:rsid w:val="008401B6"/>
    <w:rsid w:val="00840358"/>
    <w:rsid w:val="00840417"/>
    <w:rsid w:val="00840579"/>
    <w:rsid w:val="0084061A"/>
    <w:rsid w:val="00840B03"/>
    <w:rsid w:val="00840B7B"/>
    <w:rsid w:val="00840D14"/>
    <w:rsid w:val="00840D88"/>
    <w:rsid w:val="0084114B"/>
    <w:rsid w:val="00841193"/>
    <w:rsid w:val="00841263"/>
    <w:rsid w:val="0084128F"/>
    <w:rsid w:val="008413D0"/>
    <w:rsid w:val="00841441"/>
    <w:rsid w:val="008414EC"/>
    <w:rsid w:val="008415EC"/>
    <w:rsid w:val="00841774"/>
    <w:rsid w:val="00841843"/>
    <w:rsid w:val="00841861"/>
    <w:rsid w:val="00841972"/>
    <w:rsid w:val="00841A5B"/>
    <w:rsid w:val="00841D79"/>
    <w:rsid w:val="00841DFD"/>
    <w:rsid w:val="00841E12"/>
    <w:rsid w:val="00841EA5"/>
    <w:rsid w:val="00841FD0"/>
    <w:rsid w:val="0084239A"/>
    <w:rsid w:val="00842491"/>
    <w:rsid w:val="008424CB"/>
    <w:rsid w:val="008425FF"/>
    <w:rsid w:val="00842661"/>
    <w:rsid w:val="00842A58"/>
    <w:rsid w:val="00842B4C"/>
    <w:rsid w:val="00843021"/>
    <w:rsid w:val="008432E5"/>
    <w:rsid w:val="00843472"/>
    <w:rsid w:val="008437A5"/>
    <w:rsid w:val="00843B60"/>
    <w:rsid w:val="00843BD2"/>
    <w:rsid w:val="00843C07"/>
    <w:rsid w:val="00843E7A"/>
    <w:rsid w:val="00843ECE"/>
    <w:rsid w:val="00844023"/>
    <w:rsid w:val="00844038"/>
    <w:rsid w:val="008441CF"/>
    <w:rsid w:val="0084423F"/>
    <w:rsid w:val="008444F9"/>
    <w:rsid w:val="0084482B"/>
    <w:rsid w:val="00844AEB"/>
    <w:rsid w:val="00844AFB"/>
    <w:rsid w:val="00844BF3"/>
    <w:rsid w:val="00844C7E"/>
    <w:rsid w:val="00844CC3"/>
    <w:rsid w:val="00844D99"/>
    <w:rsid w:val="00844D9F"/>
    <w:rsid w:val="00844E66"/>
    <w:rsid w:val="00844FC1"/>
    <w:rsid w:val="008450F9"/>
    <w:rsid w:val="008451E0"/>
    <w:rsid w:val="0084534C"/>
    <w:rsid w:val="00845424"/>
    <w:rsid w:val="00845447"/>
    <w:rsid w:val="0084550A"/>
    <w:rsid w:val="008456E4"/>
    <w:rsid w:val="008456E7"/>
    <w:rsid w:val="008458D0"/>
    <w:rsid w:val="00845947"/>
    <w:rsid w:val="00845B54"/>
    <w:rsid w:val="00845C8D"/>
    <w:rsid w:val="00845D41"/>
    <w:rsid w:val="00845FC5"/>
    <w:rsid w:val="008461CE"/>
    <w:rsid w:val="008463DC"/>
    <w:rsid w:val="0084673E"/>
    <w:rsid w:val="00846763"/>
    <w:rsid w:val="008468D0"/>
    <w:rsid w:val="00846A28"/>
    <w:rsid w:val="00846C41"/>
    <w:rsid w:val="00846D06"/>
    <w:rsid w:val="0084716E"/>
    <w:rsid w:val="00847255"/>
    <w:rsid w:val="00847377"/>
    <w:rsid w:val="0084778B"/>
    <w:rsid w:val="008477DA"/>
    <w:rsid w:val="00847814"/>
    <w:rsid w:val="00847902"/>
    <w:rsid w:val="00847E9A"/>
    <w:rsid w:val="00847ED6"/>
    <w:rsid w:val="00847F18"/>
    <w:rsid w:val="00847F92"/>
    <w:rsid w:val="00850049"/>
    <w:rsid w:val="0085009C"/>
    <w:rsid w:val="00850132"/>
    <w:rsid w:val="00850296"/>
    <w:rsid w:val="008505FE"/>
    <w:rsid w:val="0085064F"/>
    <w:rsid w:val="008506A3"/>
    <w:rsid w:val="00850771"/>
    <w:rsid w:val="008507EE"/>
    <w:rsid w:val="00850872"/>
    <w:rsid w:val="00850907"/>
    <w:rsid w:val="008509A5"/>
    <w:rsid w:val="008509F7"/>
    <w:rsid w:val="00850D58"/>
    <w:rsid w:val="00850D8A"/>
    <w:rsid w:val="00850E52"/>
    <w:rsid w:val="00850F99"/>
    <w:rsid w:val="00850FB7"/>
    <w:rsid w:val="0085102B"/>
    <w:rsid w:val="0085128F"/>
    <w:rsid w:val="00851335"/>
    <w:rsid w:val="00851445"/>
    <w:rsid w:val="00851510"/>
    <w:rsid w:val="008516D2"/>
    <w:rsid w:val="00851820"/>
    <w:rsid w:val="0085185E"/>
    <w:rsid w:val="00851864"/>
    <w:rsid w:val="00851BD6"/>
    <w:rsid w:val="00851CD4"/>
    <w:rsid w:val="00851E16"/>
    <w:rsid w:val="008520F7"/>
    <w:rsid w:val="0085224F"/>
    <w:rsid w:val="0085242A"/>
    <w:rsid w:val="0085247D"/>
    <w:rsid w:val="008524AD"/>
    <w:rsid w:val="008524C3"/>
    <w:rsid w:val="00852565"/>
    <w:rsid w:val="008525FE"/>
    <w:rsid w:val="008526F2"/>
    <w:rsid w:val="0085271B"/>
    <w:rsid w:val="0085290A"/>
    <w:rsid w:val="008529B1"/>
    <w:rsid w:val="00852A31"/>
    <w:rsid w:val="00852B35"/>
    <w:rsid w:val="00852B63"/>
    <w:rsid w:val="00852B8E"/>
    <w:rsid w:val="00852C1F"/>
    <w:rsid w:val="00852CDB"/>
    <w:rsid w:val="008530B0"/>
    <w:rsid w:val="0085319A"/>
    <w:rsid w:val="008533DF"/>
    <w:rsid w:val="008534FC"/>
    <w:rsid w:val="0085356C"/>
    <w:rsid w:val="008537E5"/>
    <w:rsid w:val="00853BA7"/>
    <w:rsid w:val="00853C24"/>
    <w:rsid w:val="00853D88"/>
    <w:rsid w:val="00853F07"/>
    <w:rsid w:val="00853F59"/>
    <w:rsid w:val="00854033"/>
    <w:rsid w:val="00854075"/>
    <w:rsid w:val="00854123"/>
    <w:rsid w:val="0085432E"/>
    <w:rsid w:val="0085441A"/>
    <w:rsid w:val="0085461B"/>
    <w:rsid w:val="0085471E"/>
    <w:rsid w:val="008547EA"/>
    <w:rsid w:val="008548BC"/>
    <w:rsid w:val="00854904"/>
    <w:rsid w:val="00854B5B"/>
    <w:rsid w:val="00854EFF"/>
    <w:rsid w:val="00855078"/>
    <w:rsid w:val="0085513A"/>
    <w:rsid w:val="008554DD"/>
    <w:rsid w:val="008555CE"/>
    <w:rsid w:val="008557F7"/>
    <w:rsid w:val="00855AD3"/>
    <w:rsid w:val="00855C4B"/>
    <w:rsid w:val="00855C8B"/>
    <w:rsid w:val="00855D08"/>
    <w:rsid w:val="00855FE1"/>
    <w:rsid w:val="00856180"/>
    <w:rsid w:val="00856205"/>
    <w:rsid w:val="00856211"/>
    <w:rsid w:val="0085623E"/>
    <w:rsid w:val="0085623F"/>
    <w:rsid w:val="008563DE"/>
    <w:rsid w:val="008563FA"/>
    <w:rsid w:val="00856422"/>
    <w:rsid w:val="008564B3"/>
    <w:rsid w:val="00856504"/>
    <w:rsid w:val="008565AE"/>
    <w:rsid w:val="0085669F"/>
    <w:rsid w:val="008566A9"/>
    <w:rsid w:val="00856AF0"/>
    <w:rsid w:val="00856C7F"/>
    <w:rsid w:val="00856FE3"/>
    <w:rsid w:val="008570E9"/>
    <w:rsid w:val="008571A3"/>
    <w:rsid w:val="008571EF"/>
    <w:rsid w:val="008573D4"/>
    <w:rsid w:val="00857672"/>
    <w:rsid w:val="0085782F"/>
    <w:rsid w:val="008578D8"/>
    <w:rsid w:val="0085795F"/>
    <w:rsid w:val="00857A0A"/>
    <w:rsid w:val="00857CEB"/>
    <w:rsid w:val="00857D86"/>
    <w:rsid w:val="00857F12"/>
    <w:rsid w:val="00857FF8"/>
    <w:rsid w:val="00860141"/>
    <w:rsid w:val="00860144"/>
    <w:rsid w:val="008601DF"/>
    <w:rsid w:val="00860506"/>
    <w:rsid w:val="0086057F"/>
    <w:rsid w:val="00860B69"/>
    <w:rsid w:val="00860D8B"/>
    <w:rsid w:val="00860F00"/>
    <w:rsid w:val="00860F55"/>
    <w:rsid w:val="00860FA7"/>
    <w:rsid w:val="0086116B"/>
    <w:rsid w:val="008611B3"/>
    <w:rsid w:val="008612F3"/>
    <w:rsid w:val="00861378"/>
    <w:rsid w:val="008615BB"/>
    <w:rsid w:val="00861633"/>
    <w:rsid w:val="008617C9"/>
    <w:rsid w:val="008617CF"/>
    <w:rsid w:val="00861845"/>
    <w:rsid w:val="00861A32"/>
    <w:rsid w:val="00861A7F"/>
    <w:rsid w:val="00861AC1"/>
    <w:rsid w:val="00861AF8"/>
    <w:rsid w:val="00861B75"/>
    <w:rsid w:val="00861C87"/>
    <w:rsid w:val="00861CE1"/>
    <w:rsid w:val="00861DE6"/>
    <w:rsid w:val="00861E17"/>
    <w:rsid w:val="00861E5F"/>
    <w:rsid w:val="00861EE3"/>
    <w:rsid w:val="008620CD"/>
    <w:rsid w:val="0086216A"/>
    <w:rsid w:val="00862176"/>
    <w:rsid w:val="008621AE"/>
    <w:rsid w:val="008621F2"/>
    <w:rsid w:val="00862252"/>
    <w:rsid w:val="008622E2"/>
    <w:rsid w:val="008622EE"/>
    <w:rsid w:val="008624CE"/>
    <w:rsid w:val="008624D1"/>
    <w:rsid w:val="0086265E"/>
    <w:rsid w:val="0086275E"/>
    <w:rsid w:val="008628AE"/>
    <w:rsid w:val="008628CB"/>
    <w:rsid w:val="008628FF"/>
    <w:rsid w:val="008629BB"/>
    <w:rsid w:val="008629FC"/>
    <w:rsid w:val="0086306B"/>
    <w:rsid w:val="00863088"/>
    <w:rsid w:val="008630D8"/>
    <w:rsid w:val="00863271"/>
    <w:rsid w:val="008633A3"/>
    <w:rsid w:val="008634C3"/>
    <w:rsid w:val="008635CE"/>
    <w:rsid w:val="0086387B"/>
    <w:rsid w:val="0086396F"/>
    <w:rsid w:val="00863A35"/>
    <w:rsid w:val="00863B2F"/>
    <w:rsid w:val="00863DB4"/>
    <w:rsid w:val="00863DBE"/>
    <w:rsid w:val="00863EAB"/>
    <w:rsid w:val="00863EEB"/>
    <w:rsid w:val="00863FBA"/>
    <w:rsid w:val="008644A5"/>
    <w:rsid w:val="008644D5"/>
    <w:rsid w:val="00864558"/>
    <w:rsid w:val="00864630"/>
    <w:rsid w:val="00864652"/>
    <w:rsid w:val="008647FE"/>
    <w:rsid w:val="008648F3"/>
    <w:rsid w:val="00864981"/>
    <w:rsid w:val="00864A9F"/>
    <w:rsid w:val="00864BFE"/>
    <w:rsid w:val="00864D11"/>
    <w:rsid w:val="00864D2E"/>
    <w:rsid w:val="00864DFE"/>
    <w:rsid w:val="00864E37"/>
    <w:rsid w:val="0086508E"/>
    <w:rsid w:val="008653F3"/>
    <w:rsid w:val="00865562"/>
    <w:rsid w:val="0086560E"/>
    <w:rsid w:val="00865654"/>
    <w:rsid w:val="0086568A"/>
    <w:rsid w:val="00865835"/>
    <w:rsid w:val="00865855"/>
    <w:rsid w:val="00865A80"/>
    <w:rsid w:val="00865DA1"/>
    <w:rsid w:val="00865EF5"/>
    <w:rsid w:val="00866083"/>
    <w:rsid w:val="0086616F"/>
    <w:rsid w:val="008662BD"/>
    <w:rsid w:val="00866492"/>
    <w:rsid w:val="008665EB"/>
    <w:rsid w:val="0086666A"/>
    <w:rsid w:val="008666B7"/>
    <w:rsid w:val="0086697E"/>
    <w:rsid w:val="00866C3A"/>
    <w:rsid w:val="00866D0A"/>
    <w:rsid w:val="00866D4D"/>
    <w:rsid w:val="00866DDB"/>
    <w:rsid w:val="00866DEB"/>
    <w:rsid w:val="00866E32"/>
    <w:rsid w:val="00866E44"/>
    <w:rsid w:val="00866E49"/>
    <w:rsid w:val="00866E63"/>
    <w:rsid w:val="00866EC0"/>
    <w:rsid w:val="00866ECE"/>
    <w:rsid w:val="00866EED"/>
    <w:rsid w:val="00866F62"/>
    <w:rsid w:val="00866F8B"/>
    <w:rsid w:val="008672E2"/>
    <w:rsid w:val="008672E5"/>
    <w:rsid w:val="0086730E"/>
    <w:rsid w:val="00867759"/>
    <w:rsid w:val="00867874"/>
    <w:rsid w:val="008678A9"/>
    <w:rsid w:val="0086794A"/>
    <w:rsid w:val="00867A7F"/>
    <w:rsid w:val="00867B86"/>
    <w:rsid w:val="00867CFA"/>
    <w:rsid w:val="00867DAF"/>
    <w:rsid w:val="00867E10"/>
    <w:rsid w:val="00867E95"/>
    <w:rsid w:val="0087000E"/>
    <w:rsid w:val="0087010B"/>
    <w:rsid w:val="0087015B"/>
    <w:rsid w:val="008701BA"/>
    <w:rsid w:val="0087025D"/>
    <w:rsid w:val="00870268"/>
    <w:rsid w:val="008704B3"/>
    <w:rsid w:val="008704FA"/>
    <w:rsid w:val="008709AF"/>
    <w:rsid w:val="008709B7"/>
    <w:rsid w:val="00870B82"/>
    <w:rsid w:val="00870D4F"/>
    <w:rsid w:val="00870DC6"/>
    <w:rsid w:val="00870DE3"/>
    <w:rsid w:val="00870F4F"/>
    <w:rsid w:val="00871128"/>
    <w:rsid w:val="0087138F"/>
    <w:rsid w:val="00871511"/>
    <w:rsid w:val="0087151D"/>
    <w:rsid w:val="008715E6"/>
    <w:rsid w:val="008715EC"/>
    <w:rsid w:val="00871742"/>
    <w:rsid w:val="0087188A"/>
    <w:rsid w:val="008718DC"/>
    <w:rsid w:val="00871A2A"/>
    <w:rsid w:val="00871D6D"/>
    <w:rsid w:val="00871E8B"/>
    <w:rsid w:val="00871F30"/>
    <w:rsid w:val="00871FEF"/>
    <w:rsid w:val="008720C0"/>
    <w:rsid w:val="008720DA"/>
    <w:rsid w:val="0087218C"/>
    <w:rsid w:val="008722D6"/>
    <w:rsid w:val="008723F8"/>
    <w:rsid w:val="00872684"/>
    <w:rsid w:val="008726A8"/>
    <w:rsid w:val="0087276C"/>
    <w:rsid w:val="0087280F"/>
    <w:rsid w:val="00872988"/>
    <w:rsid w:val="00872A93"/>
    <w:rsid w:val="0087300E"/>
    <w:rsid w:val="00873385"/>
    <w:rsid w:val="008734C0"/>
    <w:rsid w:val="008735D4"/>
    <w:rsid w:val="008737F7"/>
    <w:rsid w:val="00873843"/>
    <w:rsid w:val="0087399C"/>
    <w:rsid w:val="008739DC"/>
    <w:rsid w:val="00873A34"/>
    <w:rsid w:val="00873A78"/>
    <w:rsid w:val="00873AAA"/>
    <w:rsid w:val="00873F36"/>
    <w:rsid w:val="00873FBA"/>
    <w:rsid w:val="0087400E"/>
    <w:rsid w:val="00874124"/>
    <w:rsid w:val="008742F7"/>
    <w:rsid w:val="00874318"/>
    <w:rsid w:val="008743DB"/>
    <w:rsid w:val="008745C2"/>
    <w:rsid w:val="00874669"/>
    <w:rsid w:val="00874688"/>
    <w:rsid w:val="0087471F"/>
    <w:rsid w:val="00874844"/>
    <w:rsid w:val="00874856"/>
    <w:rsid w:val="00874930"/>
    <w:rsid w:val="00874978"/>
    <w:rsid w:val="00874B18"/>
    <w:rsid w:val="00874E00"/>
    <w:rsid w:val="00874E33"/>
    <w:rsid w:val="00874E34"/>
    <w:rsid w:val="00874EA4"/>
    <w:rsid w:val="00874F27"/>
    <w:rsid w:val="008750F3"/>
    <w:rsid w:val="00875125"/>
    <w:rsid w:val="0087518B"/>
    <w:rsid w:val="008753F0"/>
    <w:rsid w:val="008754F9"/>
    <w:rsid w:val="0087558B"/>
    <w:rsid w:val="0087565D"/>
    <w:rsid w:val="008758F7"/>
    <w:rsid w:val="008759D0"/>
    <w:rsid w:val="00875CB8"/>
    <w:rsid w:val="00875E19"/>
    <w:rsid w:val="00875E2B"/>
    <w:rsid w:val="00875F6E"/>
    <w:rsid w:val="0087635E"/>
    <w:rsid w:val="00876459"/>
    <w:rsid w:val="0087647C"/>
    <w:rsid w:val="0087654F"/>
    <w:rsid w:val="00876664"/>
    <w:rsid w:val="00876886"/>
    <w:rsid w:val="00876AEE"/>
    <w:rsid w:val="00876BFA"/>
    <w:rsid w:val="00876D91"/>
    <w:rsid w:val="00877072"/>
    <w:rsid w:val="008772E4"/>
    <w:rsid w:val="0087733D"/>
    <w:rsid w:val="00877404"/>
    <w:rsid w:val="0087768F"/>
    <w:rsid w:val="0087769C"/>
    <w:rsid w:val="008776B5"/>
    <w:rsid w:val="00877AC6"/>
    <w:rsid w:val="00877C46"/>
    <w:rsid w:val="00877D98"/>
    <w:rsid w:val="00877F69"/>
    <w:rsid w:val="0088008A"/>
    <w:rsid w:val="00880307"/>
    <w:rsid w:val="008803F4"/>
    <w:rsid w:val="00880546"/>
    <w:rsid w:val="008805FE"/>
    <w:rsid w:val="0088082B"/>
    <w:rsid w:val="0088082E"/>
    <w:rsid w:val="008809EF"/>
    <w:rsid w:val="00880AB9"/>
    <w:rsid w:val="00880BE4"/>
    <w:rsid w:val="00880CED"/>
    <w:rsid w:val="00880DE4"/>
    <w:rsid w:val="00880E22"/>
    <w:rsid w:val="00880FDF"/>
    <w:rsid w:val="0088102B"/>
    <w:rsid w:val="008817B8"/>
    <w:rsid w:val="008819A7"/>
    <w:rsid w:val="00881B80"/>
    <w:rsid w:val="00881CB9"/>
    <w:rsid w:val="00881D17"/>
    <w:rsid w:val="00881D8F"/>
    <w:rsid w:val="00882012"/>
    <w:rsid w:val="0088203E"/>
    <w:rsid w:val="00882097"/>
    <w:rsid w:val="008822FB"/>
    <w:rsid w:val="0088242B"/>
    <w:rsid w:val="008825DF"/>
    <w:rsid w:val="008826C0"/>
    <w:rsid w:val="0088272B"/>
    <w:rsid w:val="008828B1"/>
    <w:rsid w:val="0088290A"/>
    <w:rsid w:val="008829EE"/>
    <w:rsid w:val="008829F6"/>
    <w:rsid w:val="00882B54"/>
    <w:rsid w:val="00882B57"/>
    <w:rsid w:val="00882CF9"/>
    <w:rsid w:val="008833E2"/>
    <w:rsid w:val="00883479"/>
    <w:rsid w:val="0088354D"/>
    <w:rsid w:val="00883632"/>
    <w:rsid w:val="00883652"/>
    <w:rsid w:val="00883683"/>
    <w:rsid w:val="00883722"/>
    <w:rsid w:val="00883762"/>
    <w:rsid w:val="0088381B"/>
    <w:rsid w:val="00883982"/>
    <w:rsid w:val="008839D5"/>
    <w:rsid w:val="00883CF3"/>
    <w:rsid w:val="00884096"/>
    <w:rsid w:val="0088409A"/>
    <w:rsid w:val="008840AF"/>
    <w:rsid w:val="00884312"/>
    <w:rsid w:val="00884364"/>
    <w:rsid w:val="008843E1"/>
    <w:rsid w:val="008843FD"/>
    <w:rsid w:val="0088445C"/>
    <w:rsid w:val="0088447E"/>
    <w:rsid w:val="008846E1"/>
    <w:rsid w:val="00884781"/>
    <w:rsid w:val="00884B0E"/>
    <w:rsid w:val="00884B21"/>
    <w:rsid w:val="00884B64"/>
    <w:rsid w:val="00884CD0"/>
    <w:rsid w:val="00884D48"/>
    <w:rsid w:val="00884E76"/>
    <w:rsid w:val="00884E79"/>
    <w:rsid w:val="00884E84"/>
    <w:rsid w:val="00884E91"/>
    <w:rsid w:val="00884EBA"/>
    <w:rsid w:val="00884F31"/>
    <w:rsid w:val="00884F36"/>
    <w:rsid w:val="00885056"/>
    <w:rsid w:val="00885131"/>
    <w:rsid w:val="0088543B"/>
    <w:rsid w:val="008854AB"/>
    <w:rsid w:val="00885529"/>
    <w:rsid w:val="0088563D"/>
    <w:rsid w:val="00885772"/>
    <w:rsid w:val="00885811"/>
    <w:rsid w:val="00885875"/>
    <w:rsid w:val="00885921"/>
    <w:rsid w:val="00885A97"/>
    <w:rsid w:val="00885B2F"/>
    <w:rsid w:val="00885C39"/>
    <w:rsid w:val="00885C59"/>
    <w:rsid w:val="00885CBA"/>
    <w:rsid w:val="008860DC"/>
    <w:rsid w:val="00886267"/>
    <w:rsid w:val="0088657E"/>
    <w:rsid w:val="008865D5"/>
    <w:rsid w:val="0088664C"/>
    <w:rsid w:val="0088667A"/>
    <w:rsid w:val="00886687"/>
    <w:rsid w:val="00886695"/>
    <w:rsid w:val="0088678D"/>
    <w:rsid w:val="00886854"/>
    <w:rsid w:val="00886A6F"/>
    <w:rsid w:val="00886A98"/>
    <w:rsid w:val="00886BAF"/>
    <w:rsid w:val="00886C25"/>
    <w:rsid w:val="00886D88"/>
    <w:rsid w:val="00886DCD"/>
    <w:rsid w:val="00886EEE"/>
    <w:rsid w:val="008870FD"/>
    <w:rsid w:val="0088710D"/>
    <w:rsid w:val="008872EC"/>
    <w:rsid w:val="00887317"/>
    <w:rsid w:val="008873EE"/>
    <w:rsid w:val="008874F0"/>
    <w:rsid w:val="0088764E"/>
    <w:rsid w:val="008876C7"/>
    <w:rsid w:val="00887792"/>
    <w:rsid w:val="00887CD7"/>
    <w:rsid w:val="00887DEF"/>
    <w:rsid w:val="00887DF6"/>
    <w:rsid w:val="00887E13"/>
    <w:rsid w:val="00887E44"/>
    <w:rsid w:val="00887FD1"/>
    <w:rsid w:val="008894C7"/>
    <w:rsid w:val="00890063"/>
    <w:rsid w:val="008900B7"/>
    <w:rsid w:val="008901B6"/>
    <w:rsid w:val="00890241"/>
    <w:rsid w:val="008902DC"/>
    <w:rsid w:val="008905A0"/>
    <w:rsid w:val="008905A1"/>
    <w:rsid w:val="008908A5"/>
    <w:rsid w:val="008908AE"/>
    <w:rsid w:val="00890BF1"/>
    <w:rsid w:val="00890BF4"/>
    <w:rsid w:val="00890D2C"/>
    <w:rsid w:val="00890DE0"/>
    <w:rsid w:val="00890E13"/>
    <w:rsid w:val="00890E19"/>
    <w:rsid w:val="00890EDF"/>
    <w:rsid w:val="00890FB6"/>
    <w:rsid w:val="00891095"/>
    <w:rsid w:val="00891160"/>
    <w:rsid w:val="008911B0"/>
    <w:rsid w:val="00891282"/>
    <w:rsid w:val="0089133C"/>
    <w:rsid w:val="00891390"/>
    <w:rsid w:val="008913D3"/>
    <w:rsid w:val="00891602"/>
    <w:rsid w:val="0089164D"/>
    <w:rsid w:val="0089171E"/>
    <w:rsid w:val="00891808"/>
    <w:rsid w:val="00891819"/>
    <w:rsid w:val="008918AD"/>
    <w:rsid w:val="0089191A"/>
    <w:rsid w:val="008919B5"/>
    <w:rsid w:val="00891B1A"/>
    <w:rsid w:val="00891BD4"/>
    <w:rsid w:val="00891D25"/>
    <w:rsid w:val="00891DEB"/>
    <w:rsid w:val="00891E76"/>
    <w:rsid w:val="00891E80"/>
    <w:rsid w:val="00891F11"/>
    <w:rsid w:val="00891FEB"/>
    <w:rsid w:val="0089213C"/>
    <w:rsid w:val="00892203"/>
    <w:rsid w:val="00892288"/>
    <w:rsid w:val="008922E5"/>
    <w:rsid w:val="008923D8"/>
    <w:rsid w:val="00892434"/>
    <w:rsid w:val="00892480"/>
    <w:rsid w:val="00892620"/>
    <w:rsid w:val="0089264A"/>
    <w:rsid w:val="0089271A"/>
    <w:rsid w:val="008927C2"/>
    <w:rsid w:val="00892800"/>
    <w:rsid w:val="0089285A"/>
    <w:rsid w:val="0089292E"/>
    <w:rsid w:val="00892984"/>
    <w:rsid w:val="0089298B"/>
    <w:rsid w:val="00892AA9"/>
    <w:rsid w:val="00892BAA"/>
    <w:rsid w:val="00892BC7"/>
    <w:rsid w:val="00892BCD"/>
    <w:rsid w:val="00892BE3"/>
    <w:rsid w:val="0089304C"/>
    <w:rsid w:val="0089309A"/>
    <w:rsid w:val="00893246"/>
    <w:rsid w:val="00893303"/>
    <w:rsid w:val="00893471"/>
    <w:rsid w:val="00893474"/>
    <w:rsid w:val="0089348D"/>
    <w:rsid w:val="008934BF"/>
    <w:rsid w:val="0089367E"/>
    <w:rsid w:val="0089373E"/>
    <w:rsid w:val="0089387D"/>
    <w:rsid w:val="00893B52"/>
    <w:rsid w:val="00893BDB"/>
    <w:rsid w:val="00893F14"/>
    <w:rsid w:val="008940E5"/>
    <w:rsid w:val="0089415F"/>
    <w:rsid w:val="00894545"/>
    <w:rsid w:val="00894593"/>
    <w:rsid w:val="008945B3"/>
    <w:rsid w:val="008948A7"/>
    <w:rsid w:val="00894906"/>
    <w:rsid w:val="0089499B"/>
    <w:rsid w:val="00894AE5"/>
    <w:rsid w:val="00894B09"/>
    <w:rsid w:val="00894D14"/>
    <w:rsid w:val="00894D43"/>
    <w:rsid w:val="00894FCD"/>
    <w:rsid w:val="0089500B"/>
    <w:rsid w:val="008950E7"/>
    <w:rsid w:val="0089512B"/>
    <w:rsid w:val="0089517F"/>
    <w:rsid w:val="00895185"/>
    <w:rsid w:val="008952C8"/>
    <w:rsid w:val="0089531F"/>
    <w:rsid w:val="00895320"/>
    <w:rsid w:val="00895464"/>
    <w:rsid w:val="0089549B"/>
    <w:rsid w:val="00895582"/>
    <w:rsid w:val="008956D9"/>
    <w:rsid w:val="008956DE"/>
    <w:rsid w:val="00895832"/>
    <w:rsid w:val="00895990"/>
    <w:rsid w:val="00895A73"/>
    <w:rsid w:val="00895AB7"/>
    <w:rsid w:val="008960EC"/>
    <w:rsid w:val="0089616C"/>
    <w:rsid w:val="0089633C"/>
    <w:rsid w:val="008963AF"/>
    <w:rsid w:val="0089640E"/>
    <w:rsid w:val="0089648B"/>
    <w:rsid w:val="00896577"/>
    <w:rsid w:val="008965F9"/>
    <w:rsid w:val="008966C2"/>
    <w:rsid w:val="008968A9"/>
    <w:rsid w:val="00896A32"/>
    <w:rsid w:val="00896AEC"/>
    <w:rsid w:val="00896BAC"/>
    <w:rsid w:val="00896DD5"/>
    <w:rsid w:val="00896F13"/>
    <w:rsid w:val="008970A5"/>
    <w:rsid w:val="0089731B"/>
    <w:rsid w:val="00897418"/>
    <w:rsid w:val="00897615"/>
    <w:rsid w:val="00897805"/>
    <w:rsid w:val="008978BD"/>
    <w:rsid w:val="008978DB"/>
    <w:rsid w:val="00897BAD"/>
    <w:rsid w:val="00897CB3"/>
    <w:rsid w:val="00897E06"/>
    <w:rsid w:val="00897E7D"/>
    <w:rsid w:val="00897E81"/>
    <w:rsid w:val="008A0051"/>
    <w:rsid w:val="008A010D"/>
    <w:rsid w:val="008A01F4"/>
    <w:rsid w:val="008A021C"/>
    <w:rsid w:val="008A02A5"/>
    <w:rsid w:val="008A02CC"/>
    <w:rsid w:val="008A031A"/>
    <w:rsid w:val="008A0334"/>
    <w:rsid w:val="008A0352"/>
    <w:rsid w:val="008A0652"/>
    <w:rsid w:val="008A0885"/>
    <w:rsid w:val="008A0956"/>
    <w:rsid w:val="008A0B51"/>
    <w:rsid w:val="008A0C48"/>
    <w:rsid w:val="008A0CA2"/>
    <w:rsid w:val="008A0D7F"/>
    <w:rsid w:val="008A0E26"/>
    <w:rsid w:val="008A1029"/>
    <w:rsid w:val="008A11EE"/>
    <w:rsid w:val="008A1257"/>
    <w:rsid w:val="008A1461"/>
    <w:rsid w:val="008A14A3"/>
    <w:rsid w:val="008A14E5"/>
    <w:rsid w:val="008A158A"/>
    <w:rsid w:val="008A1844"/>
    <w:rsid w:val="008A186D"/>
    <w:rsid w:val="008A197B"/>
    <w:rsid w:val="008A19F8"/>
    <w:rsid w:val="008A1A7C"/>
    <w:rsid w:val="008A1B89"/>
    <w:rsid w:val="008A1D04"/>
    <w:rsid w:val="008A1D66"/>
    <w:rsid w:val="008A1D86"/>
    <w:rsid w:val="008A1E35"/>
    <w:rsid w:val="008A1EC3"/>
    <w:rsid w:val="008A1F54"/>
    <w:rsid w:val="008A2568"/>
    <w:rsid w:val="008A290F"/>
    <w:rsid w:val="008A299F"/>
    <w:rsid w:val="008A2A14"/>
    <w:rsid w:val="008A2B0E"/>
    <w:rsid w:val="008A2B30"/>
    <w:rsid w:val="008A2BAE"/>
    <w:rsid w:val="008A2D49"/>
    <w:rsid w:val="008A300F"/>
    <w:rsid w:val="008A3073"/>
    <w:rsid w:val="008A3165"/>
    <w:rsid w:val="008A33F4"/>
    <w:rsid w:val="008A34FE"/>
    <w:rsid w:val="008A35F7"/>
    <w:rsid w:val="008A370A"/>
    <w:rsid w:val="008A37DF"/>
    <w:rsid w:val="008A3944"/>
    <w:rsid w:val="008A3AC6"/>
    <w:rsid w:val="008A3AEE"/>
    <w:rsid w:val="008A3C50"/>
    <w:rsid w:val="008A3C5B"/>
    <w:rsid w:val="008A3F8D"/>
    <w:rsid w:val="008A40AB"/>
    <w:rsid w:val="008A4206"/>
    <w:rsid w:val="008A4306"/>
    <w:rsid w:val="008A43FC"/>
    <w:rsid w:val="008A457E"/>
    <w:rsid w:val="008A45DB"/>
    <w:rsid w:val="008A4629"/>
    <w:rsid w:val="008A474F"/>
    <w:rsid w:val="008A478A"/>
    <w:rsid w:val="008A47F0"/>
    <w:rsid w:val="008A487E"/>
    <w:rsid w:val="008A4AFC"/>
    <w:rsid w:val="008A50A8"/>
    <w:rsid w:val="008A50D8"/>
    <w:rsid w:val="008A51DE"/>
    <w:rsid w:val="008A521E"/>
    <w:rsid w:val="008A5460"/>
    <w:rsid w:val="008A5530"/>
    <w:rsid w:val="008A5575"/>
    <w:rsid w:val="008A57DD"/>
    <w:rsid w:val="008A58C4"/>
    <w:rsid w:val="008A5912"/>
    <w:rsid w:val="008A5965"/>
    <w:rsid w:val="008A5ABB"/>
    <w:rsid w:val="008A5AE6"/>
    <w:rsid w:val="008A5D35"/>
    <w:rsid w:val="008A5D44"/>
    <w:rsid w:val="008A5D84"/>
    <w:rsid w:val="008A5F8C"/>
    <w:rsid w:val="008A6079"/>
    <w:rsid w:val="008A6094"/>
    <w:rsid w:val="008A60E0"/>
    <w:rsid w:val="008A627F"/>
    <w:rsid w:val="008A62BC"/>
    <w:rsid w:val="008A62E2"/>
    <w:rsid w:val="008A6399"/>
    <w:rsid w:val="008A646B"/>
    <w:rsid w:val="008A676D"/>
    <w:rsid w:val="008A6C6C"/>
    <w:rsid w:val="008A6D61"/>
    <w:rsid w:val="008A6E23"/>
    <w:rsid w:val="008A6EDE"/>
    <w:rsid w:val="008A71FD"/>
    <w:rsid w:val="008A7432"/>
    <w:rsid w:val="008A745A"/>
    <w:rsid w:val="008A7655"/>
    <w:rsid w:val="008A7948"/>
    <w:rsid w:val="008A7C1B"/>
    <w:rsid w:val="008A7C89"/>
    <w:rsid w:val="008A7D5C"/>
    <w:rsid w:val="008A7FDF"/>
    <w:rsid w:val="008B0142"/>
    <w:rsid w:val="008B0231"/>
    <w:rsid w:val="008B0451"/>
    <w:rsid w:val="008B058C"/>
    <w:rsid w:val="008B079C"/>
    <w:rsid w:val="008B083F"/>
    <w:rsid w:val="008B088A"/>
    <w:rsid w:val="008B08DF"/>
    <w:rsid w:val="008B09E0"/>
    <w:rsid w:val="008B0C13"/>
    <w:rsid w:val="008B0D07"/>
    <w:rsid w:val="008B0D1C"/>
    <w:rsid w:val="008B0D9E"/>
    <w:rsid w:val="008B0FE4"/>
    <w:rsid w:val="008B1013"/>
    <w:rsid w:val="008B12F1"/>
    <w:rsid w:val="008B13BC"/>
    <w:rsid w:val="008B14F4"/>
    <w:rsid w:val="008B17B1"/>
    <w:rsid w:val="008B1803"/>
    <w:rsid w:val="008B18A9"/>
    <w:rsid w:val="008B1A64"/>
    <w:rsid w:val="008B1CF3"/>
    <w:rsid w:val="008B1E89"/>
    <w:rsid w:val="008B1F2B"/>
    <w:rsid w:val="008B1FAF"/>
    <w:rsid w:val="008B2001"/>
    <w:rsid w:val="008B206A"/>
    <w:rsid w:val="008B24AE"/>
    <w:rsid w:val="008B258F"/>
    <w:rsid w:val="008B2A93"/>
    <w:rsid w:val="008B2C34"/>
    <w:rsid w:val="008B2C71"/>
    <w:rsid w:val="008B2D37"/>
    <w:rsid w:val="008B2DD1"/>
    <w:rsid w:val="008B2DE1"/>
    <w:rsid w:val="008B2F77"/>
    <w:rsid w:val="008B2FB6"/>
    <w:rsid w:val="008B2FFE"/>
    <w:rsid w:val="008B30D4"/>
    <w:rsid w:val="008B3384"/>
    <w:rsid w:val="008B353F"/>
    <w:rsid w:val="008B36B7"/>
    <w:rsid w:val="008B36FF"/>
    <w:rsid w:val="008B3772"/>
    <w:rsid w:val="008B3800"/>
    <w:rsid w:val="008B395B"/>
    <w:rsid w:val="008B3A01"/>
    <w:rsid w:val="008B3AAC"/>
    <w:rsid w:val="008B3C56"/>
    <w:rsid w:val="008B40A3"/>
    <w:rsid w:val="008B4174"/>
    <w:rsid w:val="008B4234"/>
    <w:rsid w:val="008B423D"/>
    <w:rsid w:val="008B44CE"/>
    <w:rsid w:val="008B464D"/>
    <w:rsid w:val="008B4A29"/>
    <w:rsid w:val="008B4AB1"/>
    <w:rsid w:val="008B4B56"/>
    <w:rsid w:val="008B4B6E"/>
    <w:rsid w:val="008B4DF9"/>
    <w:rsid w:val="008B509D"/>
    <w:rsid w:val="008B50E9"/>
    <w:rsid w:val="008B5107"/>
    <w:rsid w:val="008B568B"/>
    <w:rsid w:val="008B5871"/>
    <w:rsid w:val="008B5909"/>
    <w:rsid w:val="008B5A0C"/>
    <w:rsid w:val="008B5A18"/>
    <w:rsid w:val="008B5AA8"/>
    <w:rsid w:val="008B5C18"/>
    <w:rsid w:val="008B5C51"/>
    <w:rsid w:val="008B5CE7"/>
    <w:rsid w:val="008B5D78"/>
    <w:rsid w:val="008B5E0F"/>
    <w:rsid w:val="008B60A8"/>
    <w:rsid w:val="008B610B"/>
    <w:rsid w:val="008B6118"/>
    <w:rsid w:val="008B623D"/>
    <w:rsid w:val="008B630C"/>
    <w:rsid w:val="008B642B"/>
    <w:rsid w:val="008B64DA"/>
    <w:rsid w:val="008B664D"/>
    <w:rsid w:val="008B66F8"/>
    <w:rsid w:val="008B6A3D"/>
    <w:rsid w:val="008B6B0A"/>
    <w:rsid w:val="008B6B21"/>
    <w:rsid w:val="008B6BE8"/>
    <w:rsid w:val="008B6C8C"/>
    <w:rsid w:val="008B6DF8"/>
    <w:rsid w:val="008B6E6A"/>
    <w:rsid w:val="008B6E94"/>
    <w:rsid w:val="008B70BB"/>
    <w:rsid w:val="008B711F"/>
    <w:rsid w:val="008B7138"/>
    <w:rsid w:val="008B7189"/>
    <w:rsid w:val="008B731E"/>
    <w:rsid w:val="008B7378"/>
    <w:rsid w:val="008B73C5"/>
    <w:rsid w:val="008B774A"/>
    <w:rsid w:val="008B7925"/>
    <w:rsid w:val="008B7A18"/>
    <w:rsid w:val="008B7B2B"/>
    <w:rsid w:val="008B7B68"/>
    <w:rsid w:val="008B7F10"/>
    <w:rsid w:val="008C003B"/>
    <w:rsid w:val="008C005F"/>
    <w:rsid w:val="008C02DE"/>
    <w:rsid w:val="008C02E4"/>
    <w:rsid w:val="008C0413"/>
    <w:rsid w:val="008C051D"/>
    <w:rsid w:val="008C0617"/>
    <w:rsid w:val="008C0B37"/>
    <w:rsid w:val="008C0DA5"/>
    <w:rsid w:val="008C0E0E"/>
    <w:rsid w:val="008C0E54"/>
    <w:rsid w:val="008C0FE7"/>
    <w:rsid w:val="008C150D"/>
    <w:rsid w:val="008C167C"/>
    <w:rsid w:val="008C1778"/>
    <w:rsid w:val="008C17ED"/>
    <w:rsid w:val="008C1820"/>
    <w:rsid w:val="008C190F"/>
    <w:rsid w:val="008C1A0D"/>
    <w:rsid w:val="008C1A7D"/>
    <w:rsid w:val="008C1A82"/>
    <w:rsid w:val="008C1D16"/>
    <w:rsid w:val="008C2009"/>
    <w:rsid w:val="008C210F"/>
    <w:rsid w:val="008C21C2"/>
    <w:rsid w:val="008C220E"/>
    <w:rsid w:val="008C223A"/>
    <w:rsid w:val="008C2467"/>
    <w:rsid w:val="008C2777"/>
    <w:rsid w:val="008C2798"/>
    <w:rsid w:val="008C28D4"/>
    <w:rsid w:val="008C28EF"/>
    <w:rsid w:val="008C2B1C"/>
    <w:rsid w:val="008C2C0D"/>
    <w:rsid w:val="008C2C45"/>
    <w:rsid w:val="008C2C9C"/>
    <w:rsid w:val="008C2CD2"/>
    <w:rsid w:val="008C2D0B"/>
    <w:rsid w:val="008C2E14"/>
    <w:rsid w:val="008C2E16"/>
    <w:rsid w:val="008C2E9C"/>
    <w:rsid w:val="008C2FE3"/>
    <w:rsid w:val="008C3067"/>
    <w:rsid w:val="008C3125"/>
    <w:rsid w:val="008C31E6"/>
    <w:rsid w:val="008C31FC"/>
    <w:rsid w:val="008C383C"/>
    <w:rsid w:val="008C3A1E"/>
    <w:rsid w:val="008C3B4C"/>
    <w:rsid w:val="008C3DA0"/>
    <w:rsid w:val="008C3ED7"/>
    <w:rsid w:val="008C3EF6"/>
    <w:rsid w:val="008C3F36"/>
    <w:rsid w:val="008C3F84"/>
    <w:rsid w:val="008C3FBD"/>
    <w:rsid w:val="008C3FD0"/>
    <w:rsid w:val="008C3FD1"/>
    <w:rsid w:val="008C4209"/>
    <w:rsid w:val="008C426E"/>
    <w:rsid w:val="008C4A14"/>
    <w:rsid w:val="008C4AE1"/>
    <w:rsid w:val="008C4B65"/>
    <w:rsid w:val="008C4C4D"/>
    <w:rsid w:val="008C5180"/>
    <w:rsid w:val="008C5254"/>
    <w:rsid w:val="008C52AF"/>
    <w:rsid w:val="008C52FC"/>
    <w:rsid w:val="008C555C"/>
    <w:rsid w:val="008C5578"/>
    <w:rsid w:val="008C56B4"/>
    <w:rsid w:val="008C574E"/>
    <w:rsid w:val="008C57EE"/>
    <w:rsid w:val="008C5880"/>
    <w:rsid w:val="008C5B5A"/>
    <w:rsid w:val="008C5CA9"/>
    <w:rsid w:val="008C5D8A"/>
    <w:rsid w:val="008C5D8C"/>
    <w:rsid w:val="008C5E60"/>
    <w:rsid w:val="008C5F66"/>
    <w:rsid w:val="008C610B"/>
    <w:rsid w:val="008C62BE"/>
    <w:rsid w:val="008C62DA"/>
    <w:rsid w:val="008C6564"/>
    <w:rsid w:val="008C66C4"/>
    <w:rsid w:val="008C676A"/>
    <w:rsid w:val="008C6835"/>
    <w:rsid w:val="008C6A40"/>
    <w:rsid w:val="008C6CDD"/>
    <w:rsid w:val="008C6D05"/>
    <w:rsid w:val="008C71A6"/>
    <w:rsid w:val="008C71C0"/>
    <w:rsid w:val="008C72F4"/>
    <w:rsid w:val="008C7370"/>
    <w:rsid w:val="008C74A0"/>
    <w:rsid w:val="008C7762"/>
    <w:rsid w:val="008C7920"/>
    <w:rsid w:val="008C7937"/>
    <w:rsid w:val="008C794A"/>
    <w:rsid w:val="008C7981"/>
    <w:rsid w:val="008C79A1"/>
    <w:rsid w:val="008C7AEE"/>
    <w:rsid w:val="008C7BAC"/>
    <w:rsid w:val="008C7DC9"/>
    <w:rsid w:val="008C7F13"/>
    <w:rsid w:val="008D00E4"/>
    <w:rsid w:val="008D017E"/>
    <w:rsid w:val="008D01E2"/>
    <w:rsid w:val="008D02F3"/>
    <w:rsid w:val="008D0314"/>
    <w:rsid w:val="008D0457"/>
    <w:rsid w:val="008D045E"/>
    <w:rsid w:val="008D04CC"/>
    <w:rsid w:val="008D05C0"/>
    <w:rsid w:val="008D05F8"/>
    <w:rsid w:val="008D06A6"/>
    <w:rsid w:val="008D0955"/>
    <w:rsid w:val="008D09BC"/>
    <w:rsid w:val="008D0A24"/>
    <w:rsid w:val="008D0BF5"/>
    <w:rsid w:val="008D0CB0"/>
    <w:rsid w:val="008D0CE7"/>
    <w:rsid w:val="008D0D97"/>
    <w:rsid w:val="008D1182"/>
    <w:rsid w:val="008D1209"/>
    <w:rsid w:val="008D1487"/>
    <w:rsid w:val="008D14E9"/>
    <w:rsid w:val="008D177E"/>
    <w:rsid w:val="008D18A3"/>
    <w:rsid w:val="008D1B0E"/>
    <w:rsid w:val="008D1C61"/>
    <w:rsid w:val="008D1CA4"/>
    <w:rsid w:val="008D1D5A"/>
    <w:rsid w:val="008D1D65"/>
    <w:rsid w:val="008D1DBA"/>
    <w:rsid w:val="008D1E99"/>
    <w:rsid w:val="008D1EE0"/>
    <w:rsid w:val="008D2068"/>
    <w:rsid w:val="008D2097"/>
    <w:rsid w:val="008D22F9"/>
    <w:rsid w:val="008D252E"/>
    <w:rsid w:val="008D252F"/>
    <w:rsid w:val="008D2811"/>
    <w:rsid w:val="008D2B40"/>
    <w:rsid w:val="008D2CE0"/>
    <w:rsid w:val="008D2F13"/>
    <w:rsid w:val="008D30A0"/>
    <w:rsid w:val="008D3228"/>
    <w:rsid w:val="008D333A"/>
    <w:rsid w:val="008D33DD"/>
    <w:rsid w:val="008D33F5"/>
    <w:rsid w:val="008D348E"/>
    <w:rsid w:val="008D3726"/>
    <w:rsid w:val="008D37D2"/>
    <w:rsid w:val="008D38ED"/>
    <w:rsid w:val="008D390A"/>
    <w:rsid w:val="008D3B51"/>
    <w:rsid w:val="008D3CCA"/>
    <w:rsid w:val="008D4253"/>
    <w:rsid w:val="008D4500"/>
    <w:rsid w:val="008D459C"/>
    <w:rsid w:val="008D45B0"/>
    <w:rsid w:val="008D49F6"/>
    <w:rsid w:val="008D4AF7"/>
    <w:rsid w:val="008D4B30"/>
    <w:rsid w:val="008D4B40"/>
    <w:rsid w:val="008D4BC6"/>
    <w:rsid w:val="008D4C6C"/>
    <w:rsid w:val="008D5018"/>
    <w:rsid w:val="008D5191"/>
    <w:rsid w:val="008D523D"/>
    <w:rsid w:val="008D5249"/>
    <w:rsid w:val="008D52E1"/>
    <w:rsid w:val="008D53BC"/>
    <w:rsid w:val="008D5449"/>
    <w:rsid w:val="008D5461"/>
    <w:rsid w:val="008D5540"/>
    <w:rsid w:val="008D5565"/>
    <w:rsid w:val="008D5831"/>
    <w:rsid w:val="008D5A12"/>
    <w:rsid w:val="008D5CE7"/>
    <w:rsid w:val="008D5DE2"/>
    <w:rsid w:val="008D5E47"/>
    <w:rsid w:val="008D5EEE"/>
    <w:rsid w:val="008D61A8"/>
    <w:rsid w:val="008D6327"/>
    <w:rsid w:val="008D63C8"/>
    <w:rsid w:val="008D670D"/>
    <w:rsid w:val="008D6806"/>
    <w:rsid w:val="008D68AF"/>
    <w:rsid w:val="008D692A"/>
    <w:rsid w:val="008D6C22"/>
    <w:rsid w:val="008D6C99"/>
    <w:rsid w:val="008D6CA7"/>
    <w:rsid w:val="008D6CAF"/>
    <w:rsid w:val="008D6D10"/>
    <w:rsid w:val="008D6D51"/>
    <w:rsid w:val="008D6DDC"/>
    <w:rsid w:val="008D6DE1"/>
    <w:rsid w:val="008D772C"/>
    <w:rsid w:val="008D7A5C"/>
    <w:rsid w:val="008D7B76"/>
    <w:rsid w:val="008D7C4E"/>
    <w:rsid w:val="008D7CB1"/>
    <w:rsid w:val="008D7D4B"/>
    <w:rsid w:val="008D7DB8"/>
    <w:rsid w:val="008D7ED2"/>
    <w:rsid w:val="008D7F6F"/>
    <w:rsid w:val="008E003D"/>
    <w:rsid w:val="008E02AC"/>
    <w:rsid w:val="008E04BF"/>
    <w:rsid w:val="008E04E9"/>
    <w:rsid w:val="008E05A5"/>
    <w:rsid w:val="008E0685"/>
    <w:rsid w:val="008E06A7"/>
    <w:rsid w:val="008E0993"/>
    <w:rsid w:val="008E0ABE"/>
    <w:rsid w:val="008E0F0A"/>
    <w:rsid w:val="008E10EB"/>
    <w:rsid w:val="008E1101"/>
    <w:rsid w:val="008E126F"/>
    <w:rsid w:val="008E13E8"/>
    <w:rsid w:val="008E1639"/>
    <w:rsid w:val="008E1C58"/>
    <w:rsid w:val="008E22C4"/>
    <w:rsid w:val="008E22CE"/>
    <w:rsid w:val="008E2704"/>
    <w:rsid w:val="008E2812"/>
    <w:rsid w:val="008E28D4"/>
    <w:rsid w:val="008E2911"/>
    <w:rsid w:val="008E2A12"/>
    <w:rsid w:val="008E2BA8"/>
    <w:rsid w:val="008E2CEF"/>
    <w:rsid w:val="008E2E0A"/>
    <w:rsid w:val="008E2FDC"/>
    <w:rsid w:val="008E30CD"/>
    <w:rsid w:val="008E352C"/>
    <w:rsid w:val="008E36AD"/>
    <w:rsid w:val="008E38C1"/>
    <w:rsid w:val="008E39ED"/>
    <w:rsid w:val="008E3D4C"/>
    <w:rsid w:val="008E3EF4"/>
    <w:rsid w:val="008E3F6B"/>
    <w:rsid w:val="008E3FE2"/>
    <w:rsid w:val="008E40AC"/>
    <w:rsid w:val="008E411D"/>
    <w:rsid w:val="008E41B1"/>
    <w:rsid w:val="008E424D"/>
    <w:rsid w:val="008E4259"/>
    <w:rsid w:val="008E4301"/>
    <w:rsid w:val="008E4304"/>
    <w:rsid w:val="008E4347"/>
    <w:rsid w:val="008E4363"/>
    <w:rsid w:val="008E447B"/>
    <w:rsid w:val="008E44A7"/>
    <w:rsid w:val="008E4534"/>
    <w:rsid w:val="008E4B85"/>
    <w:rsid w:val="008E4C0F"/>
    <w:rsid w:val="008E51D2"/>
    <w:rsid w:val="008E5287"/>
    <w:rsid w:val="008E52A3"/>
    <w:rsid w:val="008E5618"/>
    <w:rsid w:val="008E5624"/>
    <w:rsid w:val="008E585B"/>
    <w:rsid w:val="008E5909"/>
    <w:rsid w:val="008E5945"/>
    <w:rsid w:val="008E5966"/>
    <w:rsid w:val="008E5F9E"/>
    <w:rsid w:val="008E601F"/>
    <w:rsid w:val="008E6069"/>
    <w:rsid w:val="008E634C"/>
    <w:rsid w:val="008E6366"/>
    <w:rsid w:val="008E636D"/>
    <w:rsid w:val="008E64CA"/>
    <w:rsid w:val="008E663E"/>
    <w:rsid w:val="008E6720"/>
    <w:rsid w:val="008E6791"/>
    <w:rsid w:val="008E6A3C"/>
    <w:rsid w:val="008E6C20"/>
    <w:rsid w:val="008E6C5A"/>
    <w:rsid w:val="008E6F1E"/>
    <w:rsid w:val="008E701F"/>
    <w:rsid w:val="008E71E6"/>
    <w:rsid w:val="008E72DC"/>
    <w:rsid w:val="008E7423"/>
    <w:rsid w:val="008E74B2"/>
    <w:rsid w:val="008E74DD"/>
    <w:rsid w:val="008E74EC"/>
    <w:rsid w:val="008E7727"/>
    <w:rsid w:val="008E7745"/>
    <w:rsid w:val="008E7A15"/>
    <w:rsid w:val="008E7B41"/>
    <w:rsid w:val="008E7D24"/>
    <w:rsid w:val="008F001B"/>
    <w:rsid w:val="008F004D"/>
    <w:rsid w:val="008F0110"/>
    <w:rsid w:val="008F02F9"/>
    <w:rsid w:val="008F050C"/>
    <w:rsid w:val="008F063F"/>
    <w:rsid w:val="008F0659"/>
    <w:rsid w:val="008F0685"/>
    <w:rsid w:val="008F06D8"/>
    <w:rsid w:val="008F07FE"/>
    <w:rsid w:val="008F08C3"/>
    <w:rsid w:val="008F0994"/>
    <w:rsid w:val="008F0B3A"/>
    <w:rsid w:val="008F0B82"/>
    <w:rsid w:val="008F0BBD"/>
    <w:rsid w:val="008F0C71"/>
    <w:rsid w:val="008F0DF4"/>
    <w:rsid w:val="008F10E7"/>
    <w:rsid w:val="008F11CD"/>
    <w:rsid w:val="008F1314"/>
    <w:rsid w:val="008F1333"/>
    <w:rsid w:val="008F13DC"/>
    <w:rsid w:val="008F14AB"/>
    <w:rsid w:val="008F14B0"/>
    <w:rsid w:val="008F16A9"/>
    <w:rsid w:val="008F1774"/>
    <w:rsid w:val="008F1A40"/>
    <w:rsid w:val="008F1B7D"/>
    <w:rsid w:val="008F1E60"/>
    <w:rsid w:val="008F1EDD"/>
    <w:rsid w:val="008F1FDC"/>
    <w:rsid w:val="008F2134"/>
    <w:rsid w:val="008F2198"/>
    <w:rsid w:val="008F2515"/>
    <w:rsid w:val="008F26B5"/>
    <w:rsid w:val="008F2962"/>
    <w:rsid w:val="008F2A71"/>
    <w:rsid w:val="008F2B68"/>
    <w:rsid w:val="008F2BA3"/>
    <w:rsid w:val="008F2C1E"/>
    <w:rsid w:val="008F2CEA"/>
    <w:rsid w:val="008F2D21"/>
    <w:rsid w:val="008F2D45"/>
    <w:rsid w:val="008F2F67"/>
    <w:rsid w:val="008F3072"/>
    <w:rsid w:val="008F3140"/>
    <w:rsid w:val="008F337D"/>
    <w:rsid w:val="008F340F"/>
    <w:rsid w:val="008F3849"/>
    <w:rsid w:val="008F399E"/>
    <w:rsid w:val="008F3B65"/>
    <w:rsid w:val="008F3BB2"/>
    <w:rsid w:val="008F3C8E"/>
    <w:rsid w:val="008F3D1E"/>
    <w:rsid w:val="008F3DBE"/>
    <w:rsid w:val="008F3E3F"/>
    <w:rsid w:val="008F3E48"/>
    <w:rsid w:val="008F3EBB"/>
    <w:rsid w:val="008F3FF4"/>
    <w:rsid w:val="008F4409"/>
    <w:rsid w:val="008F460B"/>
    <w:rsid w:val="008F47F5"/>
    <w:rsid w:val="008F4948"/>
    <w:rsid w:val="008F4B2D"/>
    <w:rsid w:val="008F4B35"/>
    <w:rsid w:val="008F4BD7"/>
    <w:rsid w:val="008F4C3B"/>
    <w:rsid w:val="008F4C86"/>
    <w:rsid w:val="008F4D0F"/>
    <w:rsid w:val="008F4D55"/>
    <w:rsid w:val="008F4FFF"/>
    <w:rsid w:val="008F5239"/>
    <w:rsid w:val="008F5540"/>
    <w:rsid w:val="008F5703"/>
    <w:rsid w:val="008F572A"/>
    <w:rsid w:val="008F579E"/>
    <w:rsid w:val="008F57C4"/>
    <w:rsid w:val="008F587F"/>
    <w:rsid w:val="008F5996"/>
    <w:rsid w:val="008F5C14"/>
    <w:rsid w:val="008F5C28"/>
    <w:rsid w:val="008F5E32"/>
    <w:rsid w:val="008F5EDA"/>
    <w:rsid w:val="008F5F10"/>
    <w:rsid w:val="008F6328"/>
    <w:rsid w:val="008F641F"/>
    <w:rsid w:val="008F6587"/>
    <w:rsid w:val="008F693B"/>
    <w:rsid w:val="008F69D3"/>
    <w:rsid w:val="008F6AC4"/>
    <w:rsid w:val="008F6B58"/>
    <w:rsid w:val="008F6B77"/>
    <w:rsid w:val="008F6BB6"/>
    <w:rsid w:val="008F6D3F"/>
    <w:rsid w:val="008F6F7B"/>
    <w:rsid w:val="008F702C"/>
    <w:rsid w:val="008F708F"/>
    <w:rsid w:val="008F7213"/>
    <w:rsid w:val="008F722C"/>
    <w:rsid w:val="008F72E7"/>
    <w:rsid w:val="008F73C9"/>
    <w:rsid w:val="008F778F"/>
    <w:rsid w:val="008F77B6"/>
    <w:rsid w:val="008F7AC8"/>
    <w:rsid w:val="008F7BE4"/>
    <w:rsid w:val="008F7C1F"/>
    <w:rsid w:val="008F7C9C"/>
    <w:rsid w:val="008F7EB4"/>
    <w:rsid w:val="008FA181"/>
    <w:rsid w:val="0090017D"/>
    <w:rsid w:val="009001D1"/>
    <w:rsid w:val="009002CF"/>
    <w:rsid w:val="00900502"/>
    <w:rsid w:val="00900681"/>
    <w:rsid w:val="0090079C"/>
    <w:rsid w:val="009007F1"/>
    <w:rsid w:val="00900B07"/>
    <w:rsid w:val="00900BB2"/>
    <w:rsid w:val="00900EDA"/>
    <w:rsid w:val="00900FDA"/>
    <w:rsid w:val="0090144F"/>
    <w:rsid w:val="00901469"/>
    <w:rsid w:val="009017D0"/>
    <w:rsid w:val="009017DD"/>
    <w:rsid w:val="0090180B"/>
    <w:rsid w:val="00901830"/>
    <w:rsid w:val="0090189E"/>
    <w:rsid w:val="00901930"/>
    <w:rsid w:val="00901A71"/>
    <w:rsid w:val="00901A75"/>
    <w:rsid w:val="00901B1B"/>
    <w:rsid w:val="00901C07"/>
    <w:rsid w:val="00901CF6"/>
    <w:rsid w:val="00901F20"/>
    <w:rsid w:val="00901F35"/>
    <w:rsid w:val="009020C6"/>
    <w:rsid w:val="00902174"/>
    <w:rsid w:val="00902230"/>
    <w:rsid w:val="00902320"/>
    <w:rsid w:val="009023E6"/>
    <w:rsid w:val="0090250E"/>
    <w:rsid w:val="00902589"/>
    <w:rsid w:val="00902605"/>
    <w:rsid w:val="00902901"/>
    <w:rsid w:val="009029EC"/>
    <w:rsid w:val="00902A58"/>
    <w:rsid w:val="00902ABB"/>
    <w:rsid w:val="00902B08"/>
    <w:rsid w:val="00902D40"/>
    <w:rsid w:val="00902D98"/>
    <w:rsid w:val="00902FD6"/>
    <w:rsid w:val="00903126"/>
    <w:rsid w:val="009032C8"/>
    <w:rsid w:val="00903359"/>
    <w:rsid w:val="00903367"/>
    <w:rsid w:val="00903751"/>
    <w:rsid w:val="00903860"/>
    <w:rsid w:val="009038CE"/>
    <w:rsid w:val="0090394F"/>
    <w:rsid w:val="00903CAA"/>
    <w:rsid w:val="00903FE1"/>
    <w:rsid w:val="00904020"/>
    <w:rsid w:val="009041AB"/>
    <w:rsid w:val="009041B2"/>
    <w:rsid w:val="009041DD"/>
    <w:rsid w:val="00904205"/>
    <w:rsid w:val="00904251"/>
    <w:rsid w:val="009043D1"/>
    <w:rsid w:val="00904518"/>
    <w:rsid w:val="00904615"/>
    <w:rsid w:val="0090463D"/>
    <w:rsid w:val="009048C0"/>
    <w:rsid w:val="009049A3"/>
    <w:rsid w:val="009049D0"/>
    <w:rsid w:val="00904AAC"/>
    <w:rsid w:val="00904B47"/>
    <w:rsid w:val="00904BA2"/>
    <w:rsid w:val="00904C95"/>
    <w:rsid w:val="00904DA0"/>
    <w:rsid w:val="00904DB8"/>
    <w:rsid w:val="00904E8F"/>
    <w:rsid w:val="0090505F"/>
    <w:rsid w:val="00905111"/>
    <w:rsid w:val="0090539E"/>
    <w:rsid w:val="0090545C"/>
    <w:rsid w:val="009057F6"/>
    <w:rsid w:val="00905911"/>
    <w:rsid w:val="00905A5E"/>
    <w:rsid w:val="00905A8A"/>
    <w:rsid w:val="00905B10"/>
    <w:rsid w:val="00905B35"/>
    <w:rsid w:val="0090601A"/>
    <w:rsid w:val="009060A8"/>
    <w:rsid w:val="009061A1"/>
    <w:rsid w:val="009062D7"/>
    <w:rsid w:val="00906381"/>
    <w:rsid w:val="0090667D"/>
    <w:rsid w:val="00906770"/>
    <w:rsid w:val="009067B2"/>
    <w:rsid w:val="009069A5"/>
    <w:rsid w:val="00906C24"/>
    <w:rsid w:val="00906DC4"/>
    <w:rsid w:val="00907158"/>
    <w:rsid w:val="0090716E"/>
    <w:rsid w:val="009071CA"/>
    <w:rsid w:val="00907316"/>
    <w:rsid w:val="00907352"/>
    <w:rsid w:val="0090737C"/>
    <w:rsid w:val="00907464"/>
    <w:rsid w:val="00907515"/>
    <w:rsid w:val="009076F0"/>
    <w:rsid w:val="00907743"/>
    <w:rsid w:val="0090784B"/>
    <w:rsid w:val="009079F4"/>
    <w:rsid w:val="00907BA9"/>
    <w:rsid w:val="00907C19"/>
    <w:rsid w:val="00907D3B"/>
    <w:rsid w:val="00907DCF"/>
    <w:rsid w:val="00907E2D"/>
    <w:rsid w:val="00907E6F"/>
    <w:rsid w:val="009104E5"/>
    <w:rsid w:val="00910519"/>
    <w:rsid w:val="009105E7"/>
    <w:rsid w:val="0091071C"/>
    <w:rsid w:val="00910B26"/>
    <w:rsid w:val="00910BC3"/>
    <w:rsid w:val="00910BCB"/>
    <w:rsid w:val="00910C2A"/>
    <w:rsid w:val="00910CE2"/>
    <w:rsid w:val="00910D68"/>
    <w:rsid w:val="00910DA5"/>
    <w:rsid w:val="00910FAF"/>
    <w:rsid w:val="0091122E"/>
    <w:rsid w:val="0091128E"/>
    <w:rsid w:val="00911A3D"/>
    <w:rsid w:val="00911C72"/>
    <w:rsid w:val="00911D13"/>
    <w:rsid w:val="00911D98"/>
    <w:rsid w:val="00911ED7"/>
    <w:rsid w:val="00911F48"/>
    <w:rsid w:val="00912132"/>
    <w:rsid w:val="0091230E"/>
    <w:rsid w:val="009124C0"/>
    <w:rsid w:val="009126AE"/>
    <w:rsid w:val="009126FC"/>
    <w:rsid w:val="009128A4"/>
    <w:rsid w:val="009128AF"/>
    <w:rsid w:val="00912967"/>
    <w:rsid w:val="00912C91"/>
    <w:rsid w:val="00912CD8"/>
    <w:rsid w:val="00912D69"/>
    <w:rsid w:val="00912E01"/>
    <w:rsid w:val="0091301A"/>
    <w:rsid w:val="00913113"/>
    <w:rsid w:val="0091316C"/>
    <w:rsid w:val="00913199"/>
    <w:rsid w:val="00913285"/>
    <w:rsid w:val="0091347E"/>
    <w:rsid w:val="00913547"/>
    <w:rsid w:val="00913656"/>
    <w:rsid w:val="00913712"/>
    <w:rsid w:val="00913867"/>
    <w:rsid w:val="009138B7"/>
    <w:rsid w:val="00913926"/>
    <w:rsid w:val="00913A12"/>
    <w:rsid w:val="00913A29"/>
    <w:rsid w:val="00913B4C"/>
    <w:rsid w:val="00913D58"/>
    <w:rsid w:val="00913E08"/>
    <w:rsid w:val="00913F2B"/>
    <w:rsid w:val="009140DB"/>
    <w:rsid w:val="00914173"/>
    <w:rsid w:val="00914186"/>
    <w:rsid w:val="00914295"/>
    <w:rsid w:val="00914356"/>
    <w:rsid w:val="0091499F"/>
    <w:rsid w:val="00914BC7"/>
    <w:rsid w:val="00914C94"/>
    <w:rsid w:val="00914DE5"/>
    <w:rsid w:val="00914EDC"/>
    <w:rsid w:val="00914FA3"/>
    <w:rsid w:val="00914FB1"/>
    <w:rsid w:val="009153CD"/>
    <w:rsid w:val="00915411"/>
    <w:rsid w:val="009155B9"/>
    <w:rsid w:val="00915634"/>
    <w:rsid w:val="0091598E"/>
    <w:rsid w:val="0091599F"/>
    <w:rsid w:val="00915A5D"/>
    <w:rsid w:val="00915C0B"/>
    <w:rsid w:val="00915C1B"/>
    <w:rsid w:val="00915D64"/>
    <w:rsid w:val="00915F72"/>
    <w:rsid w:val="009161C4"/>
    <w:rsid w:val="009162FE"/>
    <w:rsid w:val="00916320"/>
    <w:rsid w:val="0091639B"/>
    <w:rsid w:val="009163C9"/>
    <w:rsid w:val="009163F2"/>
    <w:rsid w:val="0091649E"/>
    <w:rsid w:val="0091670F"/>
    <w:rsid w:val="00916774"/>
    <w:rsid w:val="009168D3"/>
    <w:rsid w:val="00916980"/>
    <w:rsid w:val="00916ACE"/>
    <w:rsid w:val="00916E26"/>
    <w:rsid w:val="00916F12"/>
    <w:rsid w:val="00917031"/>
    <w:rsid w:val="0091719C"/>
    <w:rsid w:val="009171C6"/>
    <w:rsid w:val="009172F1"/>
    <w:rsid w:val="009177EC"/>
    <w:rsid w:val="009179EB"/>
    <w:rsid w:val="00917A00"/>
    <w:rsid w:val="00917A82"/>
    <w:rsid w:val="00917BFF"/>
    <w:rsid w:val="00917C2A"/>
    <w:rsid w:val="00917DB4"/>
    <w:rsid w:val="00917DF6"/>
    <w:rsid w:val="00917E1E"/>
    <w:rsid w:val="00917FA3"/>
    <w:rsid w:val="0092000F"/>
    <w:rsid w:val="00920036"/>
    <w:rsid w:val="00920052"/>
    <w:rsid w:val="0092011C"/>
    <w:rsid w:val="00920323"/>
    <w:rsid w:val="0092034F"/>
    <w:rsid w:val="0092066F"/>
    <w:rsid w:val="00920781"/>
    <w:rsid w:val="0092089E"/>
    <w:rsid w:val="00920E2B"/>
    <w:rsid w:val="00920FB4"/>
    <w:rsid w:val="0092122E"/>
    <w:rsid w:val="009212DA"/>
    <w:rsid w:val="009212FA"/>
    <w:rsid w:val="009215B3"/>
    <w:rsid w:val="009215BE"/>
    <w:rsid w:val="00921724"/>
    <w:rsid w:val="009217D2"/>
    <w:rsid w:val="0092182E"/>
    <w:rsid w:val="00921920"/>
    <w:rsid w:val="00921B9A"/>
    <w:rsid w:val="00921E87"/>
    <w:rsid w:val="00922089"/>
    <w:rsid w:val="009221C8"/>
    <w:rsid w:val="00922217"/>
    <w:rsid w:val="0092228D"/>
    <w:rsid w:val="00922529"/>
    <w:rsid w:val="00922627"/>
    <w:rsid w:val="009226BB"/>
    <w:rsid w:val="009227C4"/>
    <w:rsid w:val="00922837"/>
    <w:rsid w:val="0092285A"/>
    <w:rsid w:val="00922997"/>
    <w:rsid w:val="00922ABD"/>
    <w:rsid w:val="00922D50"/>
    <w:rsid w:val="00922D9A"/>
    <w:rsid w:val="00922DB2"/>
    <w:rsid w:val="00922E37"/>
    <w:rsid w:val="00922FE4"/>
    <w:rsid w:val="009230F0"/>
    <w:rsid w:val="0092313F"/>
    <w:rsid w:val="00923284"/>
    <w:rsid w:val="0092336A"/>
    <w:rsid w:val="009234B0"/>
    <w:rsid w:val="00923625"/>
    <w:rsid w:val="0092376A"/>
    <w:rsid w:val="00923EAB"/>
    <w:rsid w:val="00923F9B"/>
    <w:rsid w:val="00924283"/>
    <w:rsid w:val="00924335"/>
    <w:rsid w:val="009243F6"/>
    <w:rsid w:val="0092456C"/>
    <w:rsid w:val="00924612"/>
    <w:rsid w:val="009246E6"/>
    <w:rsid w:val="00924A9F"/>
    <w:rsid w:val="00924C60"/>
    <w:rsid w:val="00924CCC"/>
    <w:rsid w:val="00924D2B"/>
    <w:rsid w:val="00924E17"/>
    <w:rsid w:val="00924E5B"/>
    <w:rsid w:val="00924EC5"/>
    <w:rsid w:val="00924F77"/>
    <w:rsid w:val="00924F8C"/>
    <w:rsid w:val="009250CC"/>
    <w:rsid w:val="0092510C"/>
    <w:rsid w:val="00925154"/>
    <w:rsid w:val="009251BD"/>
    <w:rsid w:val="0092521D"/>
    <w:rsid w:val="00925279"/>
    <w:rsid w:val="0092529E"/>
    <w:rsid w:val="009253A9"/>
    <w:rsid w:val="009257AD"/>
    <w:rsid w:val="009257CC"/>
    <w:rsid w:val="0092587D"/>
    <w:rsid w:val="0092596D"/>
    <w:rsid w:val="00925A9E"/>
    <w:rsid w:val="00925C68"/>
    <w:rsid w:val="00925D42"/>
    <w:rsid w:val="00925DDE"/>
    <w:rsid w:val="00925FF4"/>
    <w:rsid w:val="0092602D"/>
    <w:rsid w:val="009260D8"/>
    <w:rsid w:val="009261A9"/>
    <w:rsid w:val="009262A6"/>
    <w:rsid w:val="009264E9"/>
    <w:rsid w:val="009265B6"/>
    <w:rsid w:val="00926623"/>
    <w:rsid w:val="009266E3"/>
    <w:rsid w:val="0092674D"/>
    <w:rsid w:val="009269F3"/>
    <w:rsid w:val="00926AA0"/>
    <w:rsid w:val="00926B0F"/>
    <w:rsid w:val="00926B7A"/>
    <w:rsid w:val="00926BB2"/>
    <w:rsid w:val="00926BCF"/>
    <w:rsid w:val="00926DB0"/>
    <w:rsid w:val="00926DB8"/>
    <w:rsid w:val="00926DD6"/>
    <w:rsid w:val="00926E21"/>
    <w:rsid w:val="00926E8C"/>
    <w:rsid w:val="00926F64"/>
    <w:rsid w:val="00926FF2"/>
    <w:rsid w:val="00927013"/>
    <w:rsid w:val="0092709C"/>
    <w:rsid w:val="009270E4"/>
    <w:rsid w:val="0092710D"/>
    <w:rsid w:val="00927295"/>
    <w:rsid w:val="00927331"/>
    <w:rsid w:val="00927519"/>
    <w:rsid w:val="00927585"/>
    <w:rsid w:val="0092762F"/>
    <w:rsid w:val="009277A5"/>
    <w:rsid w:val="00927942"/>
    <w:rsid w:val="00927962"/>
    <w:rsid w:val="00927B33"/>
    <w:rsid w:val="00927B55"/>
    <w:rsid w:val="00927B59"/>
    <w:rsid w:val="00927C4D"/>
    <w:rsid w:val="00927C7C"/>
    <w:rsid w:val="00927DB9"/>
    <w:rsid w:val="00927E86"/>
    <w:rsid w:val="00927F5F"/>
    <w:rsid w:val="0093003E"/>
    <w:rsid w:val="00930090"/>
    <w:rsid w:val="009300A8"/>
    <w:rsid w:val="00930145"/>
    <w:rsid w:val="0093015C"/>
    <w:rsid w:val="00930164"/>
    <w:rsid w:val="009302D0"/>
    <w:rsid w:val="0093033E"/>
    <w:rsid w:val="0093078B"/>
    <w:rsid w:val="00930798"/>
    <w:rsid w:val="0093091A"/>
    <w:rsid w:val="00930AB2"/>
    <w:rsid w:val="00930C27"/>
    <w:rsid w:val="00930D9E"/>
    <w:rsid w:val="00930E6B"/>
    <w:rsid w:val="00930EAB"/>
    <w:rsid w:val="009311A0"/>
    <w:rsid w:val="009313F2"/>
    <w:rsid w:val="00931400"/>
    <w:rsid w:val="00931670"/>
    <w:rsid w:val="0093170E"/>
    <w:rsid w:val="009317CD"/>
    <w:rsid w:val="009317F7"/>
    <w:rsid w:val="009318A8"/>
    <w:rsid w:val="00931915"/>
    <w:rsid w:val="00931978"/>
    <w:rsid w:val="00931BAB"/>
    <w:rsid w:val="00931BB7"/>
    <w:rsid w:val="00931D1A"/>
    <w:rsid w:val="00931FEB"/>
    <w:rsid w:val="009320E5"/>
    <w:rsid w:val="0093225A"/>
    <w:rsid w:val="00932350"/>
    <w:rsid w:val="00932685"/>
    <w:rsid w:val="009326A4"/>
    <w:rsid w:val="00932732"/>
    <w:rsid w:val="009327E8"/>
    <w:rsid w:val="00932850"/>
    <w:rsid w:val="00932AAD"/>
    <w:rsid w:val="00932B45"/>
    <w:rsid w:val="00932CFB"/>
    <w:rsid w:val="00932E75"/>
    <w:rsid w:val="00932ECF"/>
    <w:rsid w:val="00932F6A"/>
    <w:rsid w:val="00932F72"/>
    <w:rsid w:val="00932FC0"/>
    <w:rsid w:val="0093311B"/>
    <w:rsid w:val="0093323E"/>
    <w:rsid w:val="00933310"/>
    <w:rsid w:val="00933435"/>
    <w:rsid w:val="00933583"/>
    <w:rsid w:val="009335B3"/>
    <w:rsid w:val="0093366B"/>
    <w:rsid w:val="0093377B"/>
    <w:rsid w:val="009337EE"/>
    <w:rsid w:val="009338F0"/>
    <w:rsid w:val="009338F7"/>
    <w:rsid w:val="00933D06"/>
    <w:rsid w:val="00933D2F"/>
    <w:rsid w:val="00933D3F"/>
    <w:rsid w:val="00934026"/>
    <w:rsid w:val="00934118"/>
    <w:rsid w:val="00934152"/>
    <w:rsid w:val="009341E2"/>
    <w:rsid w:val="0093427B"/>
    <w:rsid w:val="00934396"/>
    <w:rsid w:val="0093456D"/>
    <w:rsid w:val="009345F3"/>
    <w:rsid w:val="00934646"/>
    <w:rsid w:val="00934650"/>
    <w:rsid w:val="009346C3"/>
    <w:rsid w:val="009347F7"/>
    <w:rsid w:val="0093485D"/>
    <w:rsid w:val="009349DD"/>
    <w:rsid w:val="00934B3B"/>
    <w:rsid w:val="00934B76"/>
    <w:rsid w:val="00934C26"/>
    <w:rsid w:val="00934C41"/>
    <w:rsid w:val="00934C70"/>
    <w:rsid w:val="00934D8C"/>
    <w:rsid w:val="00934E80"/>
    <w:rsid w:val="00934F4B"/>
    <w:rsid w:val="00934FD5"/>
    <w:rsid w:val="00935049"/>
    <w:rsid w:val="0093505B"/>
    <w:rsid w:val="0093506C"/>
    <w:rsid w:val="009350A4"/>
    <w:rsid w:val="00935288"/>
    <w:rsid w:val="009353F0"/>
    <w:rsid w:val="0093550F"/>
    <w:rsid w:val="009357E3"/>
    <w:rsid w:val="009358EE"/>
    <w:rsid w:val="009358F9"/>
    <w:rsid w:val="00935970"/>
    <w:rsid w:val="009359E7"/>
    <w:rsid w:val="00935B1C"/>
    <w:rsid w:val="00935BC8"/>
    <w:rsid w:val="00935C0E"/>
    <w:rsid w:val="00935C26"/>
    <w:rsid w:val="00935C94"/>
    <w:rsid w:val="00935D49"/>
    <w:rsid w:val="00935F1E"/>
    <w:rsid w:val="00935FD4"/>
    <w:rsid w:val="00936265"/>
    <w:rsid w:val="00936536"/>
    <w:rsid w:val="0093669E"/>
    <w:rsid w:val="009366FA"/>
    <w:rsid w:val="00936792"/>
    <w:rsid w:val="00936854"/>
    <w:rsid w:val="00936A7C"/>
    <w:rsid w:val="00936BD8"/>
    <w:rsid w:val="00936E01"/>
    <w:rsid w:val="00936F0C"/>
    <w:rsid w:val="009372F2"/>
    <w:rsid w:val="00937543"/>
    <w:rsid w:val="0093755A"/>
    <w:rsid w:val="0093778B"/>
    <w:rsid w:val="009379BE"/>
    <w:rsid w:val="00937A8B"/>
    <w:rsid w:val="00937A93"/>
    <w:rsid w:val="00937E5D"/>
    <w:rsid w:val="00937EBD"/>
    <w:rsid w:val="00937FF5"/>
    <w:rsid w:val="0094002C"/>
    <w:rsid w:val="00940309"/>
    <w:rsid w:val="0094037A"/>
    <w:rsid w:val="00940393"/>
    <w:rsid w:val="009404F4"/>
    <w:rsid w:val="0094073D"/>
    <w:rsid w:val="00940793"/>
    <w:rsid w:val="009407DD"/>
    <w:rsid w:val="009408DB"/>
    <w:rsid w:val="00940B0D"/>
    <w:rsid w:val="00940B98"/>
    <w:rsid w:val="00940E70"/>
    <w:rsid w:val="00940EF9"/>
    <w:rsid w:val="00940F4B"/>
    <w:rsid w:val="00941198"/>
    <w:rsid w:val="0094122B"/>
    <w:rsid w:val="009412CD"/>
    <w:rsid w:val="0094130B"/>
    <w:rsid w:val="0094134A"/>
    <w:rsid w:val="0094146D"/>
    <w:rsid w:val="009417CF"/>
    <w:rsid w:val="009417D1"/>
    <w:rsid w:val="009418EC"/>
    <w:rsid w:val="00941931"/>
    <w:rsid w:val="009419C0"/>
    <w:rsid w:val="009419C9"/>
    <w:rsid w:val="00941A9B"/>
    <w:rsid w:val="00941B47"/>
    <w:rsid w:val="00941C8B"/>
    <w:rsid w:val="00941D0D"/>
    <w:rsid w:val="0094201B"/>
    <w:rsid w:val="0094211F"/>
    <w:rsid w:val="009426B8"/>
    <w:rsid w:val="009426E6"/>
    <w:rsid w:val="00942712"/>
    <w:rsid w:val="009427C6"/>
    <w:rsid w:val="0094294E"/>
    <w:rsid w:val="00942A27"/>
    <w:rsid w:val="00942B1D"/>
    <w:rsid w:val="00942B37"/>
    <w:rsid w:val="00942B6F"/>
    <w:rsid w:val="00942BEF"/>
    <w:rsid w:val="00942C4C"/>
    <w:rsid w:val="00942C5F"/>
    <w:rsid w:val="0094311C"/>
    <w:rsid w:val="009432EB"/>
    <w:rsid w:val="009433F1"/>
    <w:rsid w:val="0094347A"/>
    <w:rsid w:val="0094348C"/>
    <w:rsid w:val="009434BB"/>
    <w:rsid w:val="009436D9"/>
    <w:rsid w:val="0094378C"/>
    <w:rsid w:val="009437E6"/>
    <w:rsid w:val="0094382E"/>
    <w:rsid w:val="00943A3F"/>
    <w:rsid w:val="00943B04"/>
    <w:rsid w:val="00943B28"/>
    <w:rsid w:val="00943BD2"/>
    <w:rsid w:val="00943C8F"/>
    <w:rsid w:val="00943E1F"/>
    <w:rsid w:val="00944099"/>
    <w:rsid w:val="00944162"/>
    <w:rsid w:val="00944507"/>
    <w:rsid w:val="00944544"/>
    <w:rsid w:val="0094462E"/>
    <w:rsid w:val="009447DC"/>
    <w:rsid w:val="009447E7"/>
    <w:rsid w:val="00944899"/>
    <w:rsid w:val="009448E4"/>
    <w:rsid w:val="00944F53"/>
    <w:rsid w:val="009450C2"/>
    <w:rsid w:val="0094510C"/>
    <w:rsid w:val="0094527B"/>
    <w:rsid w:val="0094545A"/>
    <w:rsid w:val="009454B0"/>
    <w:rsid w:val="009456A3"/>
    <w:rsid w:val="0094577A"/>
    <w:rsid w:val="0094581C"/>
    <w:rsid w:val="0094584E"/>
    <w:rsid w:val="00945942"/>
    <w:rsid w:val="00945952"/>
    <w:rsid w:val="009459B8"/>
    <w:rsid w:val="00945C52"/>
    <w:rsid w:val="00945C85"/>
    <w:rsid w:val="00945D1D"/>
    <w:rsid w:val="00945DD7"/>
    <w:rsid w:val="009460B8"/>
    <w:rsid w:val="0094614C"/>
    <w:rsid w:val="009461E5"/>
    <w:rsid w:val="009463B6"/>
    <w:rsid w:val="00946440"/>
    <w:rsid w:val="0094653F"/>
    <w:rsid w:val="00946607"/>
    <w:rsid w:val="0094667A"/>
    <w:rsid w:val="00946949"/>
    <w:rsid w:val="00946B6E"/>
    <w:rsid w:val="00946BE3"/>
    <w:rsid w:val="00946C3E"/>
    <w:rsid w:val="00946E6A"/>
    <w:rsid w:val="00946F81"/>
    <w:rsid w:val="00946FA5"/>
    <w:rsid w:val="00947201"/>
    <w:rsid w:val="009472E6"/>
    <w:rsid w:val="00947C80"/>
    <w:rsid w:val="00950265"/>
    <w:rsid w:val="0095029B"/>
    <w:rsid w:val="0095030B"/>
    <w:rsid w:val="009504B3"/>
    <w:rsid w:val="00950694"/>
    <w:rsid w:val="00950828"/>
    <w:rsid w:val="00950A6D"/>
    <w:rsid w:val="00950B8D"/>
    <w:rsid w:val="00950D80"/>
    <w:rsid w:val="00951077"/>
    <w:rsid w:val="00951194"/>
    <w:rsid w:val="009512A3"/>
    <w:rsid w:val="0095139B"/>
    <w:rsid w:val="00951434"/>
    <w:rsid w:val="0095182D"/>
    <w:rsid w:val="0095198D"/>
    <w:rsid w:val="00951993"/>
    <w:rsid w:val="00951B20"/>
    <w:rsid w:val="00951BFB"/>
    <w:rsid w:val="00951FD6"/>
    <w:rsid w:val="009521AB"/>
    <w:rsid w:val="009521BF"/>
    <w:rsid w:val="009523DF"/>
    <w:rsid w:val="00952474"/>
    <w:rsid w:val="0095259A"/>
    <w:rsid w:val="0095270C"/>
    <w:rsid w:val="0095288A"/>
    <w:rsid w:val="009529A3"/>
    <w:rsid w:val="00952B7F"/>
    <w:rsid w:val="00952C5D"/>
    <w:rsid w:val="00952D51"/>
    <w:rsid w:val="00952FE6"/>
    <w:rsid w:val="00953088"/>
    <w:rsid w:val="009534E0"/>
    <w:rsid w:val="0095354A"/>
    <w:rsid w:val="009535EC"/>
    <w:rsid w:val="00953673"/>
    <w:rsid w:val="00953722"/>
    <w:rsid w:val="00953748"/>
    <w:rsid w:val="009537D2"/>
    <w:rsid w:val="00953922"/>
    <w:rsid w:val="00953DE3"/>
    <w:rsid w:val="00953F44"/>
    <w:rsid w:val="00954072"/>
    <w:rsid w:val="009540D0"/>
    <w:rsid w:val="00954122"/>
    <w:rsid w:val="0095417D"/>
    <w:rsid w:val="0095437F"/>
    <w:rsid w:val="009543B8"/>
    <w:rsid w:val="00954709"/>
    <w:rsid w:val="009548C3"/>
    <w:rsid w:val="00954A41"/>
    <w:rsid w:val="00954A75"/>
    <w:rsid w:val="00954C50"/>
    <w:rsid w:val="00954C51"/>
    <w:rsid w:val="00954E18"/>
    <w:rsid w:val="00954EAB"/>
    <w:rsid w:val="00954F3E"/>
    <w:rsid w:val="009550D9"/>
    <w:rsid w:val="00955150"/>
    <w:rsid w:val="0095518E"/>
    <w:rsid w:val="00955341"/>
    <w:rsid w:val="00955472"/>
    <w:rsid w:val="009556D0"/>
    <w:rsid w:val="0095572A"/>
    <w:rsid w:val="009557A7"/>
    <w:rsid w:val="009557D6"/>
    <w:rsid w:val="0095593E"/>
    <w:rsid w:val="0095593F"/>
    <w:rsid w:val="00955950"/>
    <w:rsid w:val="009559C3"/>
    <w:rsid w:val="009559D9"/>
    <w:rsid w:val="00955A0B"/>
    <w:rsid w:val="00955A1E"/>
    <w:rsid w:val="00955A6D"/>
    <w:rsid w:val="00955A7F"/>
    <w:rsid w:val="00955B5A"/>
    <w:rsid w:val="00955B64"/>
    <w:rsid w:val="00955C86"/>
    <w:rsid w:val="00955D13"/>
    <w:rsid w:val="00955EC5"/>
    <w:rsid w:val="00955ECD"/>
    <w:rsid w:val="00956061"/>
    <w:rsid w:val="009560E1"/>
    <w:rsid w:val="00956254"/>
    <w:rsid w:val="0095626A"/>
    <w:rsid w:val="00956281"/>
    <w:rsid w:val="009562F3"/>
    <w:rsid w:val="009563E7"/>
    <w:rsid w:val="0095655A"/>
    <w:rsid w:val="009565A9"/>
    <w:rsid w:val="0095662F"/>
    <w:rsid w:val="009566A4"/>
    <w:rsid w:val="009566EE"/>
    <w:rsid w:val="0095693E"/>
    <w:rsid w:val="00956A11"/>
    <w:rsid w:val="00956CDA"/>
    <w:rsid w:val="00956DC2"/>
    <w:rsid w:val="00956DEE"/>
    <w:rsid w:val="0095712E"/>
    <w:rsid w:val="009571A8"/>
    <w:rsid w:val="0095737F"/>
    <w:rsid w:val="0095765C"/>
    <w:rsid w:val="00957722"/>
    <w:rsid w:val="00957A92"/>
    <w:rsid w:val="00957D25"/>
    <w:rsid w:val="00957D7E"/>
    <w:rsid w:val="00957F47"/>
    <w:rsid w:val="009600BA"/>
    <w:rsid w:val="0096012C"/>
    <w:rsid w:val="00960249"/>
    <w:rsid w:val="009602E1"/>
    <w:rsid w:val="009602FA"/>
    <w:rsid w:val="00960379"/>
    <w:rsid w:val="009603C8"/>
    <w:rsid w:val="009604E3"/>
    <w:rsid w:val="00960558"/>
    <w:rsid w:val="0096056D"/>
    <w:rsid w:val="00960983"/>
    <w:rsid w:val="00960A7A"/>
    <w:rsid w:val="00960B16"/>
    <w:rsid w:val="00960BF9"/>
    <w:rsid w:val="00960E20"/>
    <w:rsid w:val="00961131"/>
    <w:rsid w:val="00961209"/>
    <w:rsid w:val="00961442"/>
    <w:rsid w:val="009614F5"/>
    <w:rsid w:val="00961641"/>
    <w:rsid w:val="00961745"/>
    <w:rsid w:val="009618C5"/>
    <w:rsid w:val="00961A3F"/>
    <w:rsid w:val="00961A7B"/>
    <w:rsid w:val="00961ED5"/>
    <w:rsid w:val="00961FF7"/>
    <w:rsid w:val="00962033"/>
    <w:rsid w:val="0096213D"/>
    <w:rsid w:val="00962236"/>
    <w:rsid w:val="00962443"/>
    <w:rsid w:val="0096247E"/>
    <w:rsid w:val="00962549"/>
    <w:rsid w:val="009625A4"/>
    <w:rsid w:val="00962689"/>
    <w:rsid w:val="0096294F"/>
    <w:rsid w:val="00962C31"/>
    <w:rsid w:val="00962D4B"/>
    <w:rsid w:val="00962E4F"/>
    <w:rsid w:val="00962F42"/>
    <w:rsid w:val="0096318E"/>
    <w:rsid w:val="009631ED"/>
    <w:rsid w:val="00963216"/>
    <w:rsid w:val="00963907"/>
    <w:rsid w:val="00963A73"/>
    <w:rsid w:val="00963A80"/>
    <w:rsid w:val="00963AC2"/>
    <w:rsid w:val="00963B0A"/>
    <w:rsid w:val="00963B7C"/>
    <w:rsid w:val="00963C09"/>
    <w:rsid w:val="00963C1F"/>
    <w:rsid w:val="00963CC9"/>
    <w:rsid w:val="00963DD7"/>
    <w:rsid w:val="00964147"/>
    <w:rsid w:val="00964290"/>
    <w:rsid w:val="0096445D"/>
    <w:rsid w:val="009645D3"/>
    <w:rsid w:val="00964968"/>
    <w:rsid w:val="00964AE0"/>
    <w:rsid w:val="00964BA8"/>
    <w:rsid w:val="00964BC2"/>
    <w:rsid w:val="00964DC0"/>
    <w:rsid w:val="00964E3D"/>
    <w:rsid w:val="009651BF"/>
    <w:rsid w:val="00965257"/>
    <w:rsid w:val="00965334"/>
    <w:rsid w:val="00965383"/>
    <w:rsid w:val="00965403"/>
    <w:rsid w:val="0096542E"/>
    <w:rsid w:val="00965629"/>
    <w:rsid w:val="00965968"/>
    <w:rsid w:val="00965AC6"/>
    <w:rsid w:val="00965DB1"/>
    <w:rsid w:val="00966034"/>
    <w:rsid w:val="00966105"/>
    <w:rsid w:val="009665F8"/>
    <w:rsid w:val="00966609"/>
    <w:rsid w:val="009669C2"/>
    <w:rsid w:val="00966A48"/>
    <w:rsid w:val="00966BCC"/>
    <w:rsid w:val="00966E61"/>
    <w:rsid w:val="00966F11"/>
    <w:rsid w:val="00966FC1"/>
    <w:rsid w:val="0096718E"/>
    <w:rsid w:val="0096720E"/>
    <w:rsid w:val="00967231"/>
    <w:rsid w:val="009673A7"/>
    <w:rsid w:val="00967523"/>
    <w:rsid w:val="00967888"/>
    <w:rsid w:val="00967950"/>
    <w:rsid w:val="00967A7D"/>
    <w:rsid w:val="00967CC6"/>
    <w:rsid w:val="00967EF8"/>
    <w:rsid w:val="00967FF8"/>
    <w:rsid w:val="00970069"/>
    <w:rsid w:val="0097010F"/>
    <w:rsid w:val="00970158"/>
    <w:rsid w:val="0097038A"/>
    <w:rsid w:val="009703E3"/>
    <w:rsid w:val="009705D0"/>
    <w:rsid w:val="00970659"/>
    <w:rsid w:val="00970760"/>
    <w:rsid w:val="00970995"/>
    <w:rsid w:val="00970A54"/>
    <w:rsid w:val="00970B0E"/>
    <w:rsid w:val="00970BBC"/>
    <w:rsid w:val="00970D3F"/>
    <w:rsid w:val="00970E8B"/>
    <w:rsid w:val="0097155C"/>
    <w:rsid w:val="0097170B"/>
    <w:rsid w:val="0097184C"/>
    <w:rsid w:val="009718B3"/>
    <w:rsid w:val="00971A4A"/>
    <w:rsid w:val="00971BA3"/>
    <w:rsid w:val="00971C49"/>
    <w:rsid w:val="0097242A"/>
    <w:rsid w:val="0097273C"/>
    <w:rsid w:val="00972991"/>
    <w:rsid w:val="00972B91"/>
    <w:rsid w:val="00972CB9"/>
    <w:rsid w:val="00972E19"/>
    <w:rsid w:val="00972F0C"/>
    <w:rsid w:val="00973167"/>
    <w:rsid w:val="009731F6"/>
    <w:rsid w:val="00973244"/>
    <w:rsid w:val="00973445"/>
    <w:rsid w:val="00973479"/>
    <w:rsid w:val="00973728"/>
    <w:rsid w:val="0097375B"/>
    <w:rsid w:val="009737C3"/>
    <w:rsid w:val="0097388C"/>
    <w:rsid w:val="00973901"/>
    <w:rsid w:val="00973989"/>
    <w:rsid w:val="00973B9F"/>
    <w:rsid w:val="00973BA2"/>
    <w:rsid w:val="00973BB8"/>
    <w:rsid w:val="00973C4D"/>
    <w:rsid w:val="00973C5F"/>
    <w:rsid w:val="00973C68"/>
    <w:rsid w:val="00973CB2"/>
    <w:rsid w:val="00973CF7"/>
    <w:rsid w:val="00973D50"/>
    <w:rsid w:val="00973D73"/>
    <w:rsid w:val="00973DA4"/>
    <w:rsid w:val="00973EDF"/>
    <w:rsid w:val="00974212"/>
    <w:rsid w:val="00974393"/>
    <w:rsid w:val="00974640"/>
    <w:rsid w:val="00974643"/>
    <w:rsid w:val="00974698"/>
    <w:rsid w:val="0097482A"/>
    <w:rsid w:val="00974BA2"/>
    <w:rsid w:val="00974DBB"/>
    <w:rsid w:val="00974E6A"/>
    <w:rsid w:val="00974F27"/>
    <w:rsid w:val="009750EE"/>
    <w:rsid w:val="00975291"/>
    <w:rsid w:val="009752EA"/>
    <w:rsid w:val="00975388"/>
    <w:rsid w:val="0097553C"/>
    <w:rsid w:val="00975AC5"/>
    <w:rsid w:val="00975B2B"/>
    <w:rsid w:val="00975C87"/>
    <w:rsid w:val="00975F0A"/>
    <w:rsid w:val="00975F7B"/>
    <w:rsid w:val="00975F96"/>
    <w:rsid w:val="00975FB6"/>
    <w:rsid w:val="00975FB9"/>
    <w:rsid w:val="0097607C"/>
    <w:rsid w:val="009760E4"/>
    <w:rsid w:val="009760FC"/>
    <w:rsid w:val="00976300"/>
    <w:rsid w:val="0097637F"/>
    <w:rsid w:val="00976682"/>
    <w:rsid w:val="00976689"/>
    <w:rsid w:val="009767A5"/>
    <w:rsid w:val="009767BA"/>
    <w:rsid w:val="00976965"/>
    <w:rsid w:val="00976C6E"/>
    <w:rsid w:val="00976F69"/>
    <w:rsid w:val="00976F6D"/>
    <w:rsid w:val="00977020"/>
    <w:rsid w:val="00977065"/>
    <w:rsid w:val="00977092"/>
    <w:rsid w:val="009770E3"/>
    <w:rsid w:val="009774D7"/>
    <w:rsid w:val="009775BC"/>
    <w:rsid w:val="009776A3"/>
    <w:rsid w:val="0097770D"/>
    <w:rsid w:val="0097789A"/>
    <w:rsid w:val="00977CB4"/>
    <w:rsid w:val="00977D86"/>
    <w:rsid w:val="00977D88"/>
    <w:rsid w:val="00977F4F"/>
    <w:rsid w:val="00977F6E"/>
    <w:rsid w:val="009800B6"/>
    <w:rsid w:val="00980166"/>
    <w:rsid w:val="009801AD"/>
    <w:rsid w:val="009802DD"/>
    <w:rsid w:val="0098044A"/>
    <w:rsid w:val="009808AB"/>
    <w:rsid w:val="00980ADA"/>
    <w:rsid w:val="00980B68"/>
    <w:rsid w:val="00980BE3"/>
    <w:rsid w:val="00980C5D"/>
    <w:rsid w:val="00980DE9"/>
    <w:rsid w:val="00981148"/>
    <w:rsid w:val="0098127B"/>
    <w:rsid w:val="00981678"/>
    <w:rsid w:val="0098176D"/>
    <w:rsid w:val="00981864"/>
    <w:rsid w:val="009818CE"/>
    <w:rsid w:val="00981985"/>
    <w:rsid w:val="009819E1"/>
    <w:rsid w:val="00981C17"/>
    <w:rsid w:val="00981D16"/>
    <w:rsid w:val="00981D64"/>
    <w:rsid w:val="00981EE5"/>
    <w:rsid w:val="00982075"/>
    <w:rsid w:val="0098218A"/>
    <w:rsid w:val="0098229A"/>
    <w:rsid w:val="009823AC"/>
    <w:rsid w:val="009823C9"/>
    <w:rsid w:val="0098254E"/>
    <w:rsid w:val="009825A7"/>
    <w:rsid w:val="009825B6"/>
    <w:rsid w:val="009826FF"/>
    <w:rsid w:val="00982771"/>
    <w:rsid w:val="0098298F"/>
    <w:rsid w:val="00982A23"/>
    <w:rsid w:val="00982B3A"/>
    <w:rsid w:val="00982B78"/>
    <w:rsid w:val="00982D23"/>
    <w:rsid w:val="00982D42"/>
    <w:rsid w:val="00982DDF"/>
    <w:rsid w:val="00982EA8"/>
    <w:rsid w:val="00982FE7"/>
    <w:rsid w:val="009834B3"/>
    <w:rsid w:val="0098355C"/>
    <w:rsid w:val="009836C7"/>
    <w:rsid w:val="00983CEE"/>
    <w:rsid w:val="00983F02"/>
    <w:rsid w:val="00983F07"/>
    <w:rsid w:val="00983FBD"/>
    <w:rsid w:val="009840F5"/>
    <w:rsid w:val="00984267"/>
    <w:rsid w:val="009842A4"/>
    <w:rsid w:val="0098431B"/>
    <w:rsid w:val="00984353"/>
    <w:rsid w:val="0098447C"/>
    <w:rsid w:val="009844A9"/>
    <w:rsid w:val="00984513"/>
    <w:rsid w:val="0098487C"/>
    <w:rsid w:val="0098489F"/>
    <w:rsid w:val="00984910"/>
    <w:rsid w:val="00984B6A"/>
    <w:rsid w:val="00984C4C"/>
    <w:rsid w:val="00984DC5"/>
    <w:rsid w:val="00984F64"/>
    <w:rsid w:val="00984F9B"/>
    <w:rsid w:val="009850A8"/>
    <w:rsid w:val="0098516E"/>
    <w:rsid w:val="009853A0"/>
    <w:rsid w:val="009855A6"/>
    <w:rsid w:val="0098563C"/>
    <w:rsid w:val="0098579C"/>
    <w:rsid w:val="009858B4"/>
    <w:rsid w:val="0098592E"/>
    <w:rsid w:val="00985951"/>
    <w:rsid w:val="0098597F"/>
    <w:rsid w:val="00985ABA"/>
    <w:rsid w:val="00986005"/>
    <w:rsid w:val="0098613B"/>
    <w:rsid w:val="0098627A"/>
    <w:rsid w:val="0098629B"/>
    <w:rsid w:val="009862B8"/>
    <w:rsid w:val="00986335"/>
    <w:rsid w:val="009867B3"/>
    <w:rsid w:val="009867C8"/>
    <w:rsid w:val="009868C4"/>
    <w:rsid w:val="0098693B"/>
    <w:rsid w:val="00986A3B"/>
    <w:rsid w:val="00986B08"/>
    <w:rsid w:val="00986B2B"/>
    <w:rsid w:val="00986B3C"/>
    <w:rsid w:val="00986B5F"/>
    <w:rsid w:val="00986C2F"/>
    <w:rsid w:val="00986FD4"/>
    <w:rsid w:val="00987014"/>
    <w:rsid w:val="00987086"/>
    <w:rsid w:val="00987092"/>
    <w:rsid w:val="0098727D"/>
    <w:rsid w:val="00987418"/>
    <w:rsid w:val="00987455"/>
    <w:rsid w:val="0098766D"/>
    <w:rsid w:val="0098774A"/>
    <w:rsid w:val="009877F6"/>
    <w:rsid w:val="00987C82"/>
    <w:rsid w:val="00987D0C"/>
    <w:rsid w:val="00987D7E"/>
    <w:rsid w:val="009900BA"/>
    <w:rsid w:val="00990226"/>
    <w:rsid w:val="009902DC"/>
    <w:rsid w:val="00990337"/>
    <w:rsid w:val="0099061D"/>
    <w:rsid w:val="009906CB"/>
    <w:rsid w:val="009906DE"/>
    <w:rsid w:val="00990773"/>
    <w:rsid w:val="009907EB"/>
    <w:rsid w:val="009908EA"/>
    <w:rsid w:val="00990992"/>
    <w:rsid w:val="00990A36"/>
    <w:rsid w:val="00990A79"/>
    <w:rsid w:val="00990B87"/>
    <w:rsid w:val="00990D13"/>
    <w:rsid w:val="00990DB6"/>
    <w:rsid w:val="00990DF7"/>
    <w:rsid w:val="0099101B"/>
    <w:rsid w:val="00991061"/>
    <w:rsid w:val="0099114F"/>
    <w:rsid w:val="0099148C"/>
    <w:rsid w:val="009914EE"/>
    <w:rsid w:val="00991562"/>
    <w:rsid w:val="009916C0"/>
    <w:rsid w:val="00991776"/>
    <w:rsid w:val="0099177A"/>
    <w:rsid w:val="0099179A"/>
    <w:rsid w:val="009917CD"/>
    <w:rsid w:val="00991803"/>
    <w:rsid w:val="0099184B"/>
    <w:rsid w:val="00991A8A"/>
    <w:rsid w:val="00991A94"/>
    <w:rsid w:val="00991A9B"/>
    <w:rsid w:val="00991C7E"/>
    <w:rsid w:val="00991E89"/>
    <w:rsid w:val="00991F4A"/>
    <w:rsid w:val="0099207B"/>
    <w:rsid w:val="00992285"/>
    <w:rsid w:val="009923FF"/>
    <w:rsid w:val="0099240F"/>
    <w:rsid w:val="00992AD2"/>
    <w:rsid w:val="00992C4A"/>
    <w:rsid w:val="00992D91"/>
    <w:rsid w:val="00993056"/>
    <w:rsid w:val="00993120"/>
    <w:rsid w:val="00993466"/>
    <w:rsid w:val="009934D3"/>
    <w:rsid w:val="009934E7"/>
    <w:rsid w:val="0099389E"/>
    <w:rsid w:val="0099389F"/>
    <w:rsid w:val="00993B53"/>
    <w:rsid w:val="00993D82"/>
    <w:rsid w:val="00993FA6"/>
    <w:rsid w:val="0099404B"/>
    <w:rsid w:val="00994293"/>
    <w:rsid w:val="0099455D"/>
    <w:rsid w:val="00994644"/>
    <w:rsid w:val="009947B0"/>
    <w:rsid w:val="0099486C"/>
    <w:rsid w:val="009949C7"/>
    <w:rsid w:val="00994A26"/>
    <w:rsid w:val="00994A2D"/>
    <w:rsid w:val="00994D6A"/>
    <w:rsid w:val="0099510A"/>
    <w:rsid w:val="0099512E"/>
    <w:rsid w:val="009952A8"/>
    <w:rsid w:val="00995612"/>
    <w:rsid w:val="00995727"/>
    <w:rsid w:val="009959D9"/>
    <w:rsid w:val="00995BA0"/>
    <w:rsid w:val="00995C07"/>
    <w:rsid w:val="00995E72"/>
    <w:rsid w:val="00996058"/>
    <w:rsid w:val="009962FF"/>
    <w:rsid w:val="009966CD"/>
    <w:rsid w:val="009967FC"/>
    <w:rsid w:val="0099696F"/>
    <w:rsid w:val="009969CE"/>
    <w:rsid w:val="00996BDE"/>
    <w:rsid w:val="00996CE7"/>
    <w:rsid w:val="00996DC8"/>
    <w:rsid w:val="00996DE0"/>
    <w:rsid w:val="0099700A"/>
    <w:rsid w:val="009970A4"/>
    <w:rsid w:val="0099737B"/>
    <w:rsid w:val="00997406"/>
    <w:rsid w:val="009975A0"/>
    <w:rsid w:val="00997645"/>
    <w:rsid w:val="009976F3"/>
    <w:rsid w:val="0099781D"/>
    <w:rsid w:val="00997896"/>
    <w:rsid w:val="00997B57"/>
    <w:rsid w:val="00997B8E"/>
    <w:rsid w:val="00997CCF"/>
    <w:rsid w:val="00997D7D"/>
    <w:rsid w:val="009A00B3"/>
    <w:rsid w:val="009A01C1"/>
    <w:rsid w:val="009A022B"/>
    <w:rsid w:val="009A0262"/>
    <w:rsid w:val="009A02B4"/>
    <w:rsid w:val="009A0383"/>
    <w:rsid w:val="009A0429"/>
    <w:rsid w:val="009A0518"/>
    <w:rsid w:val="009A0756"/>
    <w:rsid w:val="009A090E"/>
    <w:rsid w:val="009A095B"/>
    <w:rsid w:val="009A0BB1"/>
    <w:rsid w:val="009A0C55"/>
    <w:rsid w:val="009A0C78"/>
    <w:rsid w:val="009A0D8D"/>
    <w:rsid w:val="009A0E16"/>
    <w:rsid w:val="009A0F14"/>
    <w:rsid w:val="009A115C"/>
    <w:rsid w:val="009A11BE"/>
    <w:rsid w:val="009A12C8"/>
    <w:rsid w:val="009A12F0"/>
    <w:rsid w:val="009A13D4"/>
    <w:rsid w:val="009A1659"/>
    <w:rsid w:val="009A16AA"/>
    <w:rsid w:val="009A178C"/>
    <w:rsid w:val="009A188D"/>
    <w:rsid w:val="009A198C"/>
    <w:rsid w:val="009A1A3D"/>
    <w:rsid w:val="009A1B27"/>
    <w:rsid w:val="009A1CEF"/>
    <w:rsid w:val="009A212B"/>
    <w:rsid w:val="009A216F"/>
    <w:rsid w:val="009A21F0"/>
    <w:rsid w:val="009A2431"/>
    <w:rsid w:val="009A2776"/>
    <w:rsid w:val="009A27F8"/>
    <w:rsid w:val="009A2814"/>
    <w:rsid w:val="009A2815"/>
    <w:rsid w:val="009A283C"/>
    <w:rsid w:val="009A296B"/>
    <w:rsid w:val="009A2971"/>
    <w:rsid w:val="009A2A25"/>
    <w:rsid w:val="009A2C24"/>
    <w:rsid w:val="009A2CE5"/>
    <w:rsid w:val="009A2E24"/>
    <w:rsid w:val="009A2E2B"/>
    <w:rsid w:val="009A3109"/>
    <w:rsid w:val="009A310A"/>
    <w:rsid w:val="009A3217"/>
    <w:rsid w:val="009A33A2"/>
    <w:rsid w:val="009A341E"/>
    <w:rsid w:val="009A35B7"/>
    <w:rsid w:val="009A36B6"/>
    <w:rsid w:val="009A37A2"/>
    <w:rsid w:val="009A3A2E"/>
    <w:rsid w:val="009A3BBB"/>
    <w:rsid w:val="009A3D43"/>
    <w:rsid w:val="009A3E16"/>
    <w:rsid w:val="009A3E1C"/>
    <w:rsid w:val="009A3E49"/>
    <w:rsid w:val="009A3F25"/>
    <w:rsid w:val="009A3F6D"/>
    <w:rsid w:val="009A3FEE"/>
    <w:rsid w:val="009A40D6"/>
    <w:rsid w:val="009A427A"/>
    <w:rsid w:val="009A42B7"/>
    <w:rsid w:val="009A42D7"/>
    <w:rsid w:val="009A4325"/>
    <w:rsid w:val="009A4384"/>
    <w:rsid w:val="009A43EC"/>
    <w:rsid w:val="009A4407"/>
    <w:rsid w:val="009A4447"/>
    <w:rsid w:val="009A4650"/>
    <w:rsid w:val="009A4693"/>
    <w:rsid w:val="009A4801"/>
    <w:rsid w:val="009A4B4D"/>
    <w:rsid w:val="009A4B8C"/>
    <w:rsid w:val="009A4C87"/>
    <w:rsid w:val="009A4C88"/>
    <w:rsid w:val="009A4ED1"/>
    <w:rsid w:val="009A4FB6"/>
    <w:rsid w:val="009A5008"/>
    <w:rsid w:val="009A50BE"/>
    <w:rsid w:val="009A5156"/>
    <w:rsid w:val="009A52DD"/>
    <w:rsid w:val="009A5313"/>
    <w:rsid w:val="009A53D0"/>
    <w:rsid w:val="009A5401"/>
    <w:rsid w:val="009A55C2"/>
    <w:rsid w:val="009A56DF"/>
    <w:rsid w:val="009A5908"/>
    <w:rsid w:val="009A59AE"/>
    <w:rsid w:val="009A5A82"/>
    <w:rsid w:val="009A5B1D"/>
    <w:rsid w:val="009A5BB2"/>
    <w:rsid w:val="009A5BD8"/>
    <w:rsid w:val="009A5CF6"/>
    <w:rsid w:val="009A5D59"/>
    <w:rsid w:val="009A5D76"/>
    <w:rsid w:val="009A5DF5"/>
    <w:rsid w:val="009A5E2E"/>
    <w:rsid w:val="009A5E8B"/>
    <w:rsid w:val="009A5F73"/>
    <w:rsid w:val="009A5FA5"/>
    <w:rsid w:val="009A6048"/>
    <w:rsid w:val="009A606E"/>
    <w:rsid w:val="009A63E6"/>
    <w:rsid w:val="009A6467"/>
    <w:rsid w:val="009A64EB"/>
    <w:rsid w:val="009A656C"/>
    <w:rsid w:val="009A6693"/>
    <w:rsid w:val="009A69BF"/>
    <w:rsid w:val="009A6A10"/>
    <w:rsid w:val="009A6A9E"/>
    <w:rsid w:val="009A6B70"/>
    <w:rsid w:val="009A6C37"/>
    <w:rsid w:val="009A6EC8"/>
    <w:rsid w:val="009A7138"/>
    <w:rsid w:val="009A716C"/>
    <w:rsid w:val="009A71E0"/>
    <w:rsid w:val="009A7306"/>
    <w:rsid w:val="009A7417"/>
    <w:rsid w:val="009A7451"/>
    <w:rsid w:val="009A74C5"/>
    <w:rsid w:val="009A7927"/>
    <w:rsid w:val="009A7928"/>
    <w:rsid w:val="009A79B2"/>
    <w:rsid w:val="009A7BC7"/>
    <w:rsid w:val="009A7BFF"/>
    <w:rsid w:val="009A7DC7"/>
    <w:rsid w:val="009A7E51"/>
    <w:rsid w:val="009A7F6E"/>
    <w:rsid w:val="009B00B9"/>
    <w:rsid w:val="009B0166"/>
    <w:rsid w:val="009B01A9"/>
    <w:rsid w:val="009B021C"/>
    <w:rsid w:val="009B02BA"/>
    <w:rsid w:val="009B04F6"/>
    <w:rsid w:val="009B050B"/>
    <w:rsid w:val="009B0705"/>
    <w:rsid w:val="009B0749"/>
    <w:rsid w:val="009B09ED"/>
    <w:rsid w:val="009B0A07"/>
    <w:rsid w:val="009B0A16"/>
    <w:rsid w:val="009B0BB7"/>
    <w:rsid w:val="009B0CDF"/>
    <w:rsid w:val="009B0E15"/>
    <w:rsid w:val="009B0ED9"/>
    <w:rsid w:val="009B0FBB"/>
    <w:rsid w:val="009B0FE2"/>
    <w:rsid w:val="009B1115"/>
    <w:rsid w:val="009B131D"/>
    <w:rsid w:val="009B15DF"/>
    <w:rsid w:val="009B16A3"/>
    <w:rsid w:val="009B17FF"/>
    <w:rsid w:val="009B1941"/>
    <w:rsid w:val="009B1946"/>
    <w:rsid w:val="009B1BD4"/>
    <w:rsid w:val="009B1CC8"/>
    <w:rsid w:val="009B1EE5"/>
    <w:rsid w:val="009B1F1C"/>
    <w:rsid w:val="009B1F50"/>
    <w:rsid w:val="009B1F5D"/>
    <w:rsid w:val="009B2031"/>
    <w:rsid w:val="009B22ED"/>
    <w:rsid w:val="009B2371"/>
    <w:rsid w:val="009B26BD"/>
    <w:rsid w:val="009B26DD"/>
    <w:rsid w:val="009B275F"/>
    <w:rsid w:val="009B27E9"/>
    <w:rsid w:val="009B280D"/>
    <w:rsid w:val="009B2A38"/>
    <w:rsid w:val="009B2A77"/>
    <w:rsid w:val="009B2AF4"/>
    <w:rsid w:val="009B2C03"/>
    <w:rsid w:val="009B2DAA"/>
    <w:rsid w:val="009B2DAB"/>
    <w:rsid w:val="009B2E7A"/>
    <w:rsid w:val="009B3095"/>
    <w:rsid w:val="009B319B"/>
    <w:rsid w:val="009B31D2"/>
    <w:rsid w:val="009B3227"/>
    <w:rsid w:val="009B32B3"/>
    <w:rsid w:val="009B3375"/>
    <w:rsid w:val="009B339E"/>
    <w:rsid w:val="009B34EB"/>
    <w:rsid w:val="009B35E0"/>
    <w:rsid w:val="009B360C"/>
    <w:rsid w:val="009B3670"/>
    <w:rsid w:val="009B37FB"/>
    <w:rsid w:val="009B38A9"/>
    <w:rsid w:val="009B39B3"/>
    <w:rsid w:val="009B39E7"/>
    <w:rsid w:val="009B3AA9"/>
    <w:rsid w:val="009B3C04"/>
    <w:rsid w:val="009B3F38"/>
    <w:rsid w:val="009B4120"/>
    <w:rsid w:val="009B4244"/>
    <w:rsid w:val="009B4466"/>
    <w:rsid w:val="009B44A0"/>
    <w:rsid w:val="009B45F1"/>
    <w:rsid w:val="009B489F"/>
    <w:rsid w:val="009B49DB"/>
    <w:rsid w:val="009B4B21"/>
    <w:rsid w:val="009B4F97"/>
    <w:rsid w:val="009B5073"/>
    <w:rsid w:val="009B524A"/>
    <w:rsid w:val="009B5368"/>
    <w:rsid w:val="009B554F"/>
    <w:rsid w:val="009B55CD"/>
    <w:rsid w:val="009B5644"/>
    <w:rsid w:val="009B565E"/>
    <w:rsid w:val="009B5776"/>
    <w:rsid w:val="009B57C5"/>
    <w:rsid w:val="009B5A1C"/>
    <w:rsid w:val="009B5A9B"/>
    <w:rsid w:val="009B5A9F"/>
    <w:rsid w:val="009B5CC0"/>
    <w:rsid w:val="009B5D44"/>
    <w:rsid w:val="009B5DB8"/>
    <w:rsid w:val="009B601C"/>
    <w:rsid w:val="009B601F"/>
    <w:rsid w:val="009B621F"/>
    <w:rsid w:val="009B646C"/>
    <w:rsid w:val="009B65ED"/>
    <w:rsid w:val="009B6FB2"/>
    <w:rsid w:val="009B721A"/>
    <w:rsid w:val="009B7270"/>
    <w:rsid w:val="009B72B0"/>
    <w:rsid w:val="009B74AE"/>
    <w:rsid w:val="009B766F"/>
    <w:rsid w:val="009B7730"/>
    <w:rsid w:val="009B7752"/>
    <w:rsid w:val="009B77EB"/>
    <w:rsid w:val="009B796C"/>
    <w:rsid w:val="009B7C1F"/>
    <w:rsid w:val="009B7F47"/>
    <w:rsid w:val="009C07C3"/>
    <w:rsid w:val="009C0A09"/>
    <w:rsid w:val="009C0AD2"/>
    <w:rsid w:val="009C0B9D"/>
    <w:rsid w:val="009C0F0C"/>
    <w:rsid w:val="009C1024"/>
    <w:rsid w:val="009C12A2"/>
    <w:rsid w:val="009C12E5"/>
    <w:rsid w:val="009C13C5"/>
    <w:rsid w:val="009C1416"/>
    <w:rsid w:val="009C147B"/>
    <w:rsid w:val="009C1522"/>
    <w:rsid w:val="009C1599"/>
    <w:rsid w:val="009C1778"/>
    <w:rsid w:val="009C18FD"/>
    <w:rsid w:val="009C1924"/>
    <w:rsid w:val="009C1A88"/>
    <w:rsid w:val="009C1AD6"/>
    <w:rsid w:val="009C1C0A"/>
    <w:rsid w:val="009C1D9F"/>
    <w:rsid w:val="009C1FD9"/>
    <w:rsid w:val="009C20BB"/>
    <w:rsid w:val="009C228A"/>
    <w:rsid w:val="009C22E5"/>
    <w:rsid w:val="009C2487"/>
    <w:rsid w:val="009C24FE"/>
    <w:rsid w:val="009C2742"/>
    <w:rsid w:val="009C28EE"/>
    <w:rsid w:val="009C2930"/>
    <w:rsid w:val="009C2ACB"/>
    <w:rsid w:val="009C2D6F"/>
    <w:rsid w:val="009C2FA3"/>
    <w:rsid w:val="009C31F4"/>
    <w:rsid w:val="009C31F5"/>
    <w:rsid w:val="009C35DD"/>
    <w:rsid w:val="009C3622"/>
    <w:rsid w:val="009C367D"/>
    <w:rsid w:val="009C3813"/>
    <w:rsid w:val="009C3847"/>
    <w:rsid w:val="009C388F"/>
    <w:rsid w:val="009C393D"/>
    <w:rsid w:val="009C3C02"/>
    <w:rsid w:val="009C3D63"/>
    <w:rsid w:val="009C3D74"/>
    <w:rsid w:val="009C3DA6"/>
    <w:rsid w:val="009C3EE3"/>
    <w:rsid w:val="009C40BE"/>
    <w:rsid w:val="009C430D"/>
    <w:rsid w:val="009C44B4"/>
    <w:rsid w:val="009C44E0"/>
    <w:rsid w:val="009C4611"/>
    <w:rsid w:val="009C461B"/>
    <w:rsid w:val="009C47B8"/>
    <w:rsid w:val="009C493D"/>
    <w:rsid w:val="009C4CA3"/>
    <w:rsid w:val="009C4DEC"/>
    <w:rsid w:val="009C50E2"/>
    <w:rsid w:val="009C53BC"/>
    <w:rsid w:val="009C5604"/>
    <w:rsid w:val="009C588F"/>
    <w:rsid w:val="009C58C9"/>
    <w:rsid w:val="009C5901"/>
    <w:rsid w:val="009C593E"/>
    <w:rsid w:val="009C59F0"/>
    <w:rsid w:val="009C5AEB"/>
    <w:rsid w:val="009C5B26"/>
    <w:rsid w:val="009C5D5B"/>
    <w:rsid w:val="009C5E8D"/>
    <w:rsid w:val="009C5F78"/>
    <w:rsid w:val="009C5FE9"/>
    <w:rsid w:val="009C60D6"/>
    <w:rsid w:val="009C62E1"/>
    <w:rsid w:val="009C63C6"/>
    <w:rsid w:val="009C648B"/>
    <w:rsid w:val="009C655C"/>
    <w:rsid w:val="009C66AA"/>
    <w:rsid w:val="009C67E0"/>
    <w:rsid w:val="009C67FB"/>
    <w:rsid w:val="009C6960"/>
    <w:rsid w:val="009C6A61"/>
    <w:rsid w:val="009C6CE3"/>
    <w:rsid w:val="009C6D32"/>
    <w:rsid w:val="009C6DD0"/>
    <w:rsid w:val="009C6FC0"/>
    <w:rsid w:val="009C7108"/>
    <w:rsid w:val="009C7312"/>
    <w:rsid w:val="009C73C8"/>
    <w:rsid w:val="009C78DB"/>
    <w:rsid w:val="009C792F"/>
    <w:rsid w:val="009C7D10"/>
    <w:rsid w:val="009C7D4E"/>
    <w:rsid w:val="009C7D88"/>
    <w:rsid w:val="009C7E45"/>
    <w:rsid w:val="009C7E49"/>
    <w:rsid w:val="009C7F87"/>
    <w:rsid w:val="009D0225"/>
    <w:rsid w:val="009D0581"/>
    <w:rsid w:val="009D079D"/>
    <w:rsid w:val="009D0845"/>
    <w:rsid w:val="009D0AE7"/>
    <w:rsid w:val="009D0E10"/>
    <w:rsid w:val="009D0EAB"/>
    <w:rsid w:val="009D0ED1"/>
    <w:rsid w:val="009D1213"/>
    <w:rsid w:val="009D143C"/>
    <w:rsid w:val="009D14B1"/>
    <w:rsid w:val="009D14B8"/>
    <w:rsid w:val="009D163E"/>
    <w:rsid w:val="009D183D"/>
    <w:rsid w:val="009D190B"/>
    <w:rsid w:val="009D1931"/>
    <w:rsid w:val="009D196D"/>
    <w:rsid w:val="009D1988"/>
    <w:rsid w:val="009D19F2"/>
    <w:rsid w:val="009D1A53"/>
    <w:rsid w:val="009D1BC3"/>
    <w:rsid w:val="009D1D3B"/>
    <w:rsid w:val="009D1FEB"/>
    <w:rsid w:val="009D2280"/>
    <w:rsid w:val="009D2368"/>
    <w:rsid w:val="009D24AA"/>
    <w:rsid w:val="009D24D2"/>
    <w:rsid w:val="009D274E"/>
    <w:rsid w:val="009D281E"/>
    <w:rsid w:val="009D2877"/>
    <w:rsid w:val="009D289D"/>
    <w:rsid w:val="009D2A42"/>
    <w:rsid w:val="009D2CB8"/>
    <w:rsid w:val="009D2F64"/>
    <w:rsid w:val="009D2F83"/>
    <w:rsid w:val="009D2FDC"/>
    <w:rsid w:val="009D3138"/>
    <w:rsid w:val="009D3187"/>
    <w:rsid w:val="009D34CA"/>
    <w:rsid w:val="009D34E6"/>
    <w:rsid w:val="009D351B"/>
    <w:rsid w:val="009D36B5"/>
    <w:rsid w:val="009D3A1D"/>
    <w:rsid w:val="009D3A44"/>
    <w:rsid w:val="009D3AB4"/>
    <w:rsid w:val="009D3AE9"/>
    <w:rsid w:val="009D3B9B"/>
    <w:rsid w:val="009D3D31"/>
    <w:rsid w:val="009D3D43"/>
    <w:rsid w:val="009D3D66"/>
    <w:rsid w:val="009D3D9D"/>
    <w:rsid w:val="009D3EE5"/>
    <w:rsid w:val="009D3FA2"/>
    <w:rsid w:val="009D4043"/>
    <w:rsid w:val="009D412F"/>
    <w:rsid w:val="009D41A7"/>
    <w:rsid w:val="009D41F8"/>
    <w:rsid w:val="009D4494"/>
    <w:rsid w:val="009D4520"/>
    <w:rsid w:val="009D486C"/>
    <w:rsid w:val="009D493A"/>
    <w:rsid w:val="009D498A"/>
    <w:rsid w:val="009D4CEF"/>
    <w:rsid w:val="009D525C"/>
    <w:rsid w:val="009D52E6"/>
    <w:rsid w:val="009D552C"/>
    <w:rsid w:val="009D5583"/>
    <w:rsid w:val="009D55E1"/>
    <w:rsid w:val="009D5657"/>
    <w:rsid w:val="009D59EB"/>
    <w:rsid w:val="009D5A16"/>
    <w:rsid w:val="009D5AB9"/>
    <w:rsid w:val="009D5B0E"/>
    <w:rsid w:val="009D5BC9"/>
    <w:rsid w:val="009D5BCC"/>
    <w:rsid w:val="009D5F6C"/>
    <w:rsid w:val="009D5F90"/>
    <w:rsid w:val="009D5FD6"/>
    <w:rsid w:val="009D60A5"/>
    <w:rsid w:val="009D6263"/>
    <w:rsid w:val="009D6345"/>
    <w:rsid w:val="009D6671"/>
    <w:rsid w:val="009D66CC"/>
    <w:rsid w:val="009D6878"/>
    <w:rsid w:val="009D6993"/>
    <w:rsid w:val="009D6A3B"/>
    <w:rsid w:val="009D6AF4"/>
    <w:rsid w:val="009D6B04"/>
    <w:rsid w:val="009D6B65"/>
    <w:rsid w:val="009D6CD1"/>
    <w:rsid w:val="009D6FAB"/>
    <w:rsid w:val="009D72AA"/>
    <w:rsid w:val="009D745B"/>
    <w:rsid w:val="009D7582"/>
    <w:rsid w:val="009D7633"/>
    <w:rsid w:val="009D763C"/>
    <w:rsid w:val="009D775A"/>
    <w:rsid w:val="009D791C"/>
    <w:rsid w:val="009D7C24"/>
    <w:rsid w:val="009D7C44"/>
    <w:rsid w:val="009D7CDA"/>
    <w:rsid w:val="009D7DC7"/>
    <w:rsid w:val="009D7FB5"/>
    <w:rsid w:val="009E00EA"/>
    <w:rsid w:val="009E01F3"/>
    <w:rsid w:val="009E025E"/>
    <w:rsid w:val="009E036B"/>
    <w:rsid w:val="009E038C"/>
    <w:rsid w:val="009E03AD"/>
    <w:rsid w:val="009E0404"/>
    <w:rsid w:val="009E05DC"/>
    <w:rsid w:val="009E0623"/>
    <w:rsid w:val="009E0684"/>
    <w:rsid w:val="009E0881"/>
    <w:rsid w:val="009E0904"/>
    <w:rsid w:val="009E09F3"/>
    <w:rsid w:val="009E0A86"/>
    <w:rsid w:val="009E0CA7"/>
    <w:rsid w:val="009E0CDF"/>
    <w:rsid w:val="009E0DCC"/>
    <w:rsid w:val="009E0EE0"/>
    <w:rsid w:val="009E0F50"/>
    <w:rsid w:val="009E1271"/>
    <w:rsid w:val="009E131F"/>
    <w:rsid w:val="009E147A"/>
    <w:rsid w:val="009E19C6"/>
    <w:rsid w:val="009E1A4C"/>
    <w:rsid w:val="009E1BDE"/>
    <w:rsid w:val="009E1BE8"/>
    <w:rsid w:val="009E1C29"/>
    <w:rsid w:val="009E1D94"/>
    <w:rsid w:val="009E1FB9"/>
    <w:rsid w:val="009E2284"/>
    <w:rsid w:val="009E235E"/>
    <w:rsid w:val="009E23D6"/>
    <w:rsid w:val="009E256B"/>
    <w:rsid w:val="009E278C"/>
    <w:rsid w:val="009E27EA"/>
    <w:rsid w:val="009E298C"/>
    <w:rsid w:val="009E29B4"/>
    <w:rsid w:val="009E2B53"/>
    <w:rsid w:val="009E2B54"/>
    <w:rsid w:val="009E2B7C"/>
    <w:rsid w:val="009E2BC3"/>
    <w:rsid w:val="009E2BF4"/>
    <w:rsid w:val="009E2CAE"/>
    <w:rsid w:val="009E2D09"/>
    <w:rsid w:val="009E2DE7"/>
    <w:rsid w:val="009E2DF3"/>
    <w:rsid w:val="009E303E"/>
    <w:rsid w:val="009E3066"/>
    <w:rsid w:val="009E35F5"/>
    <w:rsid w:val="009E36AA"/>
    <w:rsid w:val="009E3796"/>
    <w:rsid w:val="009E3A2C"/>
    <w:rsid w:val="009E3A62"/>
    <w:rsid w:val="009E3CC5"/>
    <w:rsid w:val="009E3D52"/>
    <w:rsid w:val="009E3DD2"/>
    <w:rsid w:val="009E3F25"/>
    <w:rsid w:val="009E409E"/>
    <w:rsid w:val="009E42D9"/>
    <w:rsid w:val="009E4748"/>
    <w:rsid w:val="009E488D"/>
    <w:rsid w:val="009E48C4"/>
    <w:rsid w:val="009E4950"/>
    <w:rsid w:val="009E4B08"/>
    <w:rsid w:val="009E4B74"/>
    <w:rsid w:val="009E4CE0"/>
    <w:rsid w:val="009E4D0F"/>
    <w:rsid w:val="009E4DBF"/>
    <w:rsid w:val="009E4DC2"/>
    <w:rsid w:val="009E4F01"/>
    <w:rsid w:val="009E504B"/>
    <w:rsid w:val="009E5180"/>
    <w:rsid w:val="009E51F2"/>
    <w:rsid w:val="009E533B"/>
    <w:rsid w:val="009E5501"/>
    <w:rsid w:val="009E55DB"/>
    <w:rsid w:val="009E56B0"/>
    <w:rsid w:val="009E5713"/>
    <w:rsid w:val="009E5931"/>
    <w:rsid w:val="009E5B4E"/>
    <w:rsid w:val="009E5C00"/>
    <w:rsid w:val="009E5FF1"/>
    <w:rsid w:val="009E5FF6"/>
    <w:rsid w:val="009E611B"/>
    <w:rsid w:val="009E6447"/>
    <w:rsid w:val="009E666A"/>
    <w:rsid w:val="009E68F5"/>
    <w:rsid w:val="009E6911"/>
    <w:rsid w:val="009E6A3D"/>
    <w:rsid w:val="009E6AA6"/>
    <w:rsid w:val="009E6B85"/>
    <w:rsid w:val="009E6C31"/>
    <w:rsid w:val="009E7172"/>
    <w:rsid w:val="009E73F9"/>
    <w:rsid w:val="009E746A"/>
    <w:rsid w:val="009E74AE"/>
    <w:rsid w:val="009E76DF"/>
    <w:rsid w:val="009E78E9"/>
    <w:rsid w:val="009E793B"/>
    <w:rsid w:val="009E79E6"/>
    <w:rsid w:val="009E7B43"/>
    <w:rsid w:val="009E7CE2"/>
    <w:rsid w:val="009E7D13"/>
    <w:rsid w:val="009E7D73"/>
    <w:rsid w:val="009E7FB7"/>
    <w:rsid w:val="009F005E"/>
    <w:rsid w:val="009F00E9"/>
    <w:rsid w:val="009F012E"/>
    <w:rsid w:val="009F01DF"/>
    <w:rsid w:val="009F01E8"/>
    <w:rsid w:val="009F027A"/>
    <w:rsid w:val="009F035D"/>
    <w:rsid w:val="009F04F4"/>
    <w:rsid w:val="009F0652"/>
    <w:rsid w:val="009F06FF"/>
    <w:rsid w:val="009F0705"/>
    <w:rsid w:val="009F08C6"/>
    <w:rsid w:val="009F09C5"/>
    <w:rsid w:val="009F0AA9"/>
    <w:rsid w:val="009F0AAA"/>
    <w:rsid w:val="009F0BFA"/>
    <w:rsid w:val="009F0C01"/>
    <w:rsid w:val="009F0C4B"/>
    <w:rsid w:val="009F0C5A"/>
    <w:rsid w:val="009F0CE5"/>
    <w:rsid w:val="009F0D76"/>
    <w:rsid w:val="009F0DDD"/>
    <w:rsid w:val="009F0EAF"/>
    <w:rsid w:val="009F0FE2"/>
    <w:rsid w:val="009F10D6"/>
    <w:rsid w:val="009F14B6"/>
    <w:rsid w:val="009F14F1"/>
    <w:rsid w:val="009F150C"/>
    <w:rsid w:val="009F15D3"/>
    <w:rsid w:val="009F1622"/>
    <w:rsid w:val="009F1646"/>
    <w:rsid w:val="009F181D"/>
    <w:rsid w:val="009F1A49"/>
    <w:rsid w:val="009F1A58"/>
    <w:rsid w:val="009F1CAE"/>
    <w:rsid w:val="009F1CD5"/>
    <w:rsid w:val="009F1EB3"/>
    <w:rsid w:val="009F1F98"/>
    <w:rsid w:val="009F20BD"/>
    <w:rsid w:val="009F2344"/>
    <w:rsid w:val="009F25B7"/>
    <w:rsid w:val="009F28E5"/>
    <w:rsid w:val="009F2992"/>
    <w:rsid w:val="009F2ABD"/>
    <w:rsid w:val="009F2AEF"/>
    <w:rsid w:val="009F2BCB"/>
    <w:rsid w:val="009F2BDD"/>
    <w:rsid w:val="009F2BE2"/>
    <w:rsid w:val="009F3158"/>
    <w:rsid w:val="009F31DF"/>
    <w:rsid w:val="009F3287"/>
    <w:rsid w:val="009F331A"/>
    <w:rsid w:val="009F341D"/>
    <w:rsid w:val="009F3454"/>
    <w:rsid w:val="009F34A0"/>
    <w:rsid w:val="009F3571"/>
    <w:rsid w:val="009F3B41"/>
    <w:rsid w:val="009F3C61"/>
    <w:rsid w:val="009F3C90"/>
    <w:rsid w:val="009F3CDC"/>
    <w:rsid w:val="009F3DAC"/>
    <w:rsid w:val="009F3DAF"/>
    <w:rsid w:val="009F3DD8"/>
    <w:rsid w:val="009F3E2B"/>
    <w:rsid w:val="009F3EB6"/>
    <w:rsid w:val="009F3EF3"/>
    <w:rsid w:val="009F4010"/>
    <w:rsid w:val="009F4034"/>
    <w:rsid w:val="009F409F"/>
    <w:rsid w:val="009F40B5"/>
    <w:rsid w:val="009F4170"/>
    <w:rsid w:val="009F4228"/>
    <w:rsid w:val="009F424E"/>
    <w:rsid w:val="009F4290"/>
    <w:rsid w:val="009F42DB"/>
    <w:rsid w:val="009F4319"/>
    <w:rsid w:val="009F4379"/>
    <w:rsid w:val="009F43E2"/>
    <w:rsid w:val="009F4742"/>
    <w:rsid w:val="009F4775"/>
    <w:rsid w:val="009F47F2"/>
    <w:rsid w:val="009F4935"/>
    <w:rsid w:val="009F4ABF"/>
    <w:rsid w:val="009F4BCF"/>
    <w:rsid w:val="009F4CDB"/>
    <w:rsid w:val="009F4F70"/>
    <w:rsid w:val="009F50CE"/>
    <w:rsid w:val="009F517C"/>
    <w:rsid w:val="009F51AC"/>
    <w:rsid w:val="009F525C"/>
    <w:rsid w:val="009F52D8"/>
    <w:rsid w:val="009F55F5"/>
    <w:rsid w:val="009F575F"/>
    <w:rsid w:val="009F5A58"/>
    <w:rsid w:val="009F5B66"/>
    <w:rsid w:val="009F5C16"/>
    <w:rsid w:val="009F5C83"/>
    <w:rsid w:val="009F5E51"/>
    <w:rsid w:val="009F5E9F"/>
    <w:rsid w:val="009F60CF"/>
    <w:rsid w:val="009F6200"/>
    <w:rsid w:val="009F63CA"/>
    <w:rsid w:val="009F6437"/>
    <w:rsid w:val="009F6702"/>
    <w:rsid w:val="009F6735"/>
    <w:rsid w:val="009F694E"/>
    <w:rsid w:val="009F6A5D"/>
    <w:rsid w:val="009F6B3D"/>
    <w:rsid w:val="009F6C4B"/>
    <w:rsid w:val="009F6D4C"/>
    <w:rsid w:val="009F6DFC"/>
    <w:rsid w:val="009F707C"/>
    <w:rsid w:val="009F7109"/>
    <w:rsid w:val="009F7294"/>
    <w:rsid w:val="009F737E"/>
    <w:rsid w:val="009F7389"/>
    <w:rsid w:val="009F7544"/>
    <w:rsid w:val="009F7814"/>
    <w:rsid w:val="009F783F"/>
    <w:rsid w:val="009F7873"/>
    <w:rsid w:val="009F798D"/>
    <w:rsid w:val="009F7BC8"/>
    <w:rsid w:val="009F7BD9"/>
    <w:rsid w:val="009F7FB2"/>
    <w:rsid w:val="00A0015D"/>
    <w:rsid w:val="00A00363"/>
    <w:rsid w:val="00A004C2"/>
    <w:rsid w:val="00A0050B"/>
    <w:rsid w:val="00A00697"/>
    <w:rsid w:val="00A00935"/>
    <w:rsid w:val="00A0096E"/>
    <w:rsid w:val="00A009E7"/>
    <w:rsid w:val="00A00A78"/>
    <w:rsid w:val="00A00B85"/>
    <w:rsid w:val="00A00C32"/>
    <w:rsid w:val="00A00D7A"/>
    <w:rsid w:val="00A00DD2"/>
    <w:rsid w:val="00A00E90"/>
    <w:rsid w:val="00A00F55"/>
    <w:rsid w:val="00A00F94"/>
    <w:rsid w:val="00A00FDC"/>
    <w:rsid w:val="00A01080"/>
    <w:rsid w:val="00A010C6"/>
    <w:rsid w:val="00A01196"/>
    <w:rsid w:val="00A014AA"/>
    <w:rsid w:val="00A015AA"/>
    <w:rsid w:val="00A016D1"/>
    <w:rsid w:val="00A0189B"/>
    <w:rsid w:val="00A01B41"/>
    <w:rsid w:val="00A01FE6"/>
    <w:rsid w:val="00A02149"/>
    <w:rsid w:val="00A0229E"/>
    <w:rsid w:val="00A02309"/>
    <w:rsid w:val="00A02337"/>
    <w:rsid w:val="00A023B5"/>
    <w:rsid w:val="00A023E7"/>
    <w:rsid w:val="00A024DD"/>
    <w:rsid w:val="00A02516"/>
    <w:rsid w:val="00A0279C"/>
    <w:rsid w:val="00A02947"/>
    <w:rsid w:val="00A029A7"/>
    <w:rsid w:val="00A02BA5"/>
    <w:rsid w:val="00A02CAD"/>
    <w:rsid w:val="00A02D69"/>
    <w:rsid w:val="00A02DA3"/>
    <w:rsid w:val="00A02E07"/>
    <w:rsid w:val="00A02F05"/>
    <w:rsid w:val="00A02F8E"/>
    <w:rsid w:val="00A0342A"/>
    <w:rsid w:val="00A03474"/>
    <w:rsid w:val="00A037CD"/>
    <w:rsid w:val="00A03880"/>
    <w:rsid w:val="00A0389A"/>
    <w:rsid w:val="00A038E0"/>
    <w:rsid w:val="00A03A46"/>
    <w:rsid w:val="00A03BD9"/>
    <w:rsid w:val="00A0405F"/>
    <w:rsid w:val="00A04325"/>
    <w:rsid w:val="00A045C7"/>
    <w:rsid w:val="00A045E3"/>
    <w:rsid w:val="00A04744"/>
    <w:rsid w:val="00A04B59"/>
    <w:rsid w:val="00A04B76"/>
    <w:rsid w:val="00A04C4A"/>
    <w:rsid w:val="00A0511E"/>
    <w:rsid w:val="00A051AF"/>
    <w:rsid w:val="00A051FC"/>
    <w:rsid w:val="00A05208"/>
    <w:rsid w:val="00A05211"/>
    <w:rsid w:val="00A05327"/>
    <w:rsid w:val="00A05406"/>
    <w:rsid w:val="00A05611"/>
    <w:rsid w:val="00A05644"/>
    <w:rsid w:val="00A05825"/>
    <w:rsid w:val="00A0583E"/>
    <w:rsid w:val="00A05AB4"/>
    <w:rsid w:val="00A05DF5"/>
    <w:rsid w:val="00A05FA6"/>
    <w:rsid w:val="00A05FC5"/>
    <w:rsid w:val="00A06047"/>
    <w:rsid w:val="00A06115"/>
    <w:rsid w:val="00A062AA"/>
    <w:rsid w:val="00A06352"/>
    <w:rsid w:val="00A06382"/>
    <w:rsid w:val="00A063C8"/>
    <w:rsid w:val="00A06529"/>
    <w:rsid w:val="00A06799"/>
    <w:rsid w:val="00A06846"/>
    <w:rsid w:val="00A06B5A"/>
    <w:rsid w:val="00A06D5C"/>
    <w:rsid w:val="00A07055"/>
    <w:rsid w:val="00A0713B"/>
    <w:rsid w:val="00A072D8"/>
    <w:rsid w:val="00A07428"/>
    <w:rsid w:val="00A0753C"/>
    <w:rsid w:val="00A0770B"/>
    <w:rsid w:val="00A077F3"/>
    <w:rsid w:val="00A07B09"/>
    <w:rsid w:val="00A07B53"/>
    <w:rsid w:val="00A07C66"/>
    <w:rsid w:val="00A07CED"/>
    <w:rsid w:val="00A07DD7"/>
    <w:rsid w:val="00A07DF9"/>
    <w:rsid w:val="00A07E99"/>
    <w:rsid w:val="00A07EA5"/>
    <w:rsid w:val="00A10336"/>
    <w:rsid w:val="00A1035E"/>
    <w:rsid w:val="00A104DA"/>
    <w:rsid w:val="00A10634"/>
    <w:rsid w:val="00A10664"/>
    <w:rsid w:val="00A107B8"/>
    <w:rsid w:val="00A10963"/>
    <w:rsid w:val="00A10B93"/>
    <w:rsid w:val="00A10DB1"/>
    <w:rsid w:val="00A10E2B"/>
    <w:rsid w:val="00A10F2F"/>
    <w:rsid w:val="00A1104A"/>
    <w:rsid w:val="00A11061"/>
    <w:rsid w:val="00A11313"/>
    <w:rsid w:val="00A113F2"/>
    <w:rsid w:val="00A11521"/>
    <w:rsid w:val="00A1167F"/>
    <w:rsid w:val="00A11823"/>
    <w:rsid w:val="00A118AF"/>
    <w:rsid w:val="00A118EF"/>
    <w:rsid w:val="00A11A4D"/>
    <w:rsid w:val="00A11B6B"/>
    <w:rsid w:val="00A11B75"/>
    <w:rsid w:val="00A11C0D"/>
    <w:rsid w:val="00A11C3F"/>
    <w:rsid w:val="00A11DDF"/>
    <w:rsid w:val="00A11E1F"/>
    <w:rsid w:val="00A11F8E"/>
    <w:rsid w:val="00A1210D"/>
    <w:rsid w:val="00A1215D"/>
    <w:rsid w:val="00A12232"/>
    <w:rsid w:val="00A1288E"/>
    <w:rsid w:val="00A1290F"/>
    <w:rsid w:val="00A1291B"/>
    <w:rsid w:val="00A12C07"/>
    <w:rsid w:val="00A12C7C"/>
    <w:rsid w:val="00A12EB9"/>
    <w:rsid w:val="00A12EFD"/>
    <w:rsid w:val="00A1303A"/>
    <w:rsid w:val="00A13223"/>
    <w:rsid w:val="00A132C3"/>
    <w:rsid w:val="00A1339D"/>
    <w:rsid w:val="00A13567"/>
    <w:rsid w:val="00A135FC"/>
    <w:rsid w:val="00A138C6"/>
    <w:rsid w:val="00A138FD"/>
    <w:rsid w:val="00A13941"/>
    <w:rsid w:val="00A13998"/>
    <w:rsid w:val="00A13A01"/>
    <w:rsid w:val="00A13A33"/>
    <w:rsid w:val="00A13AD2"/>
    <w:rsid w:val="00A13B5B"/>
    <w:rsid w:val="00A13BF5"/>
    <w:rsid w:val="00A13CE9"/>
    <w:rsid w:val="00A13E32"/>
    <w:rsid w:val="00A13FD7"/>
    <w:rsid w:val="00A142A0"/>
    <w:rsid w:val="00A14372"/>
    <w:rsid w:val="00A14488"/>
    <w:rsid w:val="00A146C3"/>
    <w:rsid w:val="00A14706"/>
    <w:rsid w:val="00A14804"/>
    <w:rsid w:val="00A14873"/>
    <w:rsid w:val="00A148AF"/>
    <w:rsid w:val="00A14B4A"/>
    <w:rsid w:val="00A14C8C"/>
    <w:rsid w:val="00A14E0A"/>
    <w:rsid w:val="00A14E26"/>
    <w:rsid w:val="00A14F16"/>
    <w:rsid w:val="00A14F18"/>
    <w:rsid w:val="00A14F94"/>
    <w:rsid w:val="00A15151"/>
    <w:rsid w:val="00A1518C"/>
    <w:rsid w:val="00A15363"/>
    <w:rsid w:val="00A1544D"/>
    <w:rsid w:val="00A1545A"/>
    <w:rsid w:val="00A1555C"/>
    <w:rsid w:val="00A15633"/>
    <w:rsid w:val="00A15A86"/>
    <w:rsid w:val="00A15B0F"/>
    <w:rsid w:val="00A15B18"/>
    <w:rsid w:val="00A15B4D"/>
    <w:rsid w:val="00A15BF0"/>
    <w:rsid w:val="00A15D6F"/>
    <w:rsid w:val="00A15EB3"/>
    <w:rsid w:val="00A15FC4"/>
    <w:rsid w:val="00A160C2"/>
    <w:rsid w:val="00A16340"/>
    <w:rsid w:val="00A16376"/>
    <w:rsid w:val="00A1662A"/>
    <w:rsid w:val="00A16665"/>
    <w:rsid w:val="00A168C7"/>
    <w:rsid w:val="00A169BA"/>
    <w:rsid w:val="00A16A01"/>
    <w:rsid w:val="00A16A2C"/>
    <w:rsid w:val="00A16A68"/>
    <w:rsid w:val="00A16C2F"/>
    <w:rsid w:val="00A16C4C"/>
    <w:rsid w:val="00A16D2C"/>
    <w:rsid w:val="00A16F27"/>
    <w:rsid w:val="00A1700E"/>
    <w:rsid w:val="00A17093"/>
    <w:rsid w:val="00A173AA"/>
    <w:rsid w:val="00A17589"/>
    <w:rsid w:val="00A175AF"/>
    <w:rsid w:val="00A1774D"/>
    <w:rsid w:val="00A177B5"/>
    <w:rsid w:val="00A178B6"/>
    <w:rsid w:val="00A17C3D"/>
    <w:rsid w:val="00A17C7B"/>
    <w:rsid w:val="00A17CF4"/>
    <w:rsid w:val="00A17DD6"/>
    <w:rsid w:val="00A17E0A"/>
    <w:rsid w:val="00A20013"/>
    <w:rsid w:val="00A200EE"/>
    <w:rsid w:val="00A20293"/>
    <w:rsid w:val="00A204DE"/>
    <w:rsid w:val="00A204E1"/>
    <w:rsid w:val="00A20526"/>
    <w:rsid w:val="00A20790"/>
    <w:rsid w:val="00A20C64"/>
    <w:rsid w:val="00A20D46"/>
    <w:rsid w:val="00A20EBD"/>
    <w:rsid w:val="00A20F6A"/>
    <w:rsid w:val="00A211FE"/>
    <w:rsid w:val="00A21540"/>
    <w:rsid w:val="00A21868"/>
    <w:rsid w:val="00A21AE4"/>
    <w:rsid w:val="00A21C01"/>
    <w:rsid w:val="00A21D7C"/>
    <w:rsid w:val="00A21DE6"/>
    <w:rsid w:val="00A21E00"/>
    <w:rsid w:val="00A21FA8"/>
    <w:rsid w:val="00A2201E"/>
    <w:rsid w:val="00A22054"/>
    <w:rsid w:val="00A2207A"/>
    <w:rsid w:val="00A22228"/>
    <w:rsid w:val="00A2228E"/>
    <w:rsid w:val="00A224FE"/>
    <w:rsid w:val="00A22502"/>
    <w:rsid w:val="00A225D9"/>
    <w:rsid w:val="00A2262B"/>
    <w:rsid w:val="00A226EE"/>
    <w:rsid w:val="00A2282A"/>
    <w:rsid w:val="00A228F1"/>
    <w:rsid w:val="00A22AE1"/>
    <w:rsid w:val="00A22CA5"/>
    <w:rsid w:val="00A22D50"/>
    <w:rsid w:val="00A2307E"/>
    <w:rsid w:val="00A231D9"/>
    <w:rsid w:val="00A233D9"/>
    <w:rsid w:val="00A234AD"/>
    <w:rsid w:val="00A2369C"/>
    <w:rsid w:val="00A23906"/>
    <w:rsid w:val="00A239EF"/>
    <w:rsid w:val="00A23B1D"/>
    <w:rsid w:val="00A23C06"/>
    <w:rsid w:val="00A23C7C"/>
    <w:rsid w:val="00A23D04"/>
    <w:rsid w:val="00A23D88"/>
    <w:rsid w:val="00A23E44"/>
    <w:rsid w:val="00A23F67"/>
    <w:rsid w:val="00A24002"/>
    <w:rsid w:val="00A241F2"/>
    <w:rsid w:val="00A2450D"/>
    <w:rsid w:val="00A2457F"/>
    <w:rsid w:val="00A2471A"/>
    <w:rsid w:val="00A24809"/>
    <w:rsid w:val="00A24A23"/>
    <w:rsid w:val="00A24BD5"/>
    <w:rsid w:val="00A24CB8"/>
    <w:rsid w:val="00A25179"/>
    <w:rsid w:val="00A251B0"/>
    <w:rsid w:val="00A252A6"/>
    <w:rsid w:val="00A2533A"/>
    <w:rsid w:val="00A25485"/>
    <w:rsid w:val="00A25774"/>
    <w:rsid w:val="00A25AAB"/>
    <w:rsid w:val="00A25C74"/>
    <w:rsid w:val="00A25DCB"/>
    <w:rsid w:val="00A25EFA"/>
    <w:rsid w:val="00A25F27"/>
    <w:rsid w:val="00A2612D"/>
    <w:rsid w:val="00A262CA"/>
    <w:rsid w:val="00A26343"/>
    <w:rsid w:val="00A2637E"/>
    <w:rsid w:val="00A265AE"/>
    <w:rsid w:val="00A265D1"/>
    <w:rsid w:val="00A268C7"/>
    <w:rsid w:val="00A26ADD"/>
    <w:rsid w:val="00A26B97"/>
    <w:rsid w:val="00A26CD7"/>
    <w:rsid w:val="00A26E8F"/>
    <w:rsid w:val="00A26F57"/>
    <w:rsid w:val="00A26FF4"/>
    <w:rsid w:val="00A27144"/>
    <w:rsid w:val="00A2719B"/>
    <w:rsid w:val="00A272CD"/>
    <w:rsid w:val="00A27327"/>
    <w:rsid w:val="00A27365"/>
    <w:rsid w:val="00A273A5"/>
    <w:rsid w:val="00A2746B"/>
    <w:rsid w:val="00A2747E"/>
    <w:rsid w:val="00A27570"/>
    <w:rsid w:val="00A2760C"/>
    <w:rsid w:val="00A27728"/>
    <w:rsid w:val="00A27740"/>
    <w:rsid w:val="00A277D5"/>
    <w:rsid w:val="00A278CC"/>
    <w:rsid w:val="00A279C6"/>
    <w:rsid w:val="00A279F9"/>
    <w:rsid w:val="00A27B45"/>
    <w:rsid w:val="00A27C3F"/>
    <w:rsid w:val="00A27D43"/>
    <w:rsid w:val="00A27DF4"/>
    <w:rsid w:val="00A27E49"/>
    <w:rsid w:val="00A30094"/>
    <w:rsid w:val="00A303FC"/>
    <w:rsid w:val="00A30550"/>
    <w:rsid w:val="00A30C8D"/>
    <w:rsid w:val="00A30CB1"/>
    <w:rsid w:val="00A30D57"/>
    <w:rsid w:val="00A30DB9"/>
    <w:rsid w:val="00A30E6A"/>
    <w:rsid w:val="00A310A4"/>
    <w:rsid w:val="00A31328"/>
    <w:rsid w:val="00A313FB"/>
    <w:rsid w:val="00A31509"/>
    <w:rsid w:val="00A315A0"/>
    <w:rsid w:val="00A31721"/>
    <w:rsid w:val="00A31801"/>
    <w:rsid w:val="00A31864"/>
    <w:rsid w:val="00A3186A"/>
    <w:rsid w:val="00A31A71"/>
    <w:rsid w:val="00A31B7C"/>
    <w:rsid w:val="00A31CF3"/>
    <w:rsid w:val="00A31DBD"/>
    <w:rsid w:val="00A31DCE"/>
    <w:rsid w:val="00A32148"/>
    <w:rsid w:val="00A321AD"/>
    <w:rsid w:val="00A322DA"/>
    <w:rsid w:val="00A323F0"/>
    <w:rsid w:val="00A32547"/>
    <w:rsid w:val="00A32636"/>
    <w:rsid w:val="00A3272B"/>
    <w:rsid w:val="00A32868"/>
    <w:rsid w:val="00A3289C"/>
    <w:rsid w:val="00A328C9"/>
    <w:rsid w:val="00A32937"/>
    <w:rsid w:val="00A32949"/>
    <w:rsid w:val="00A32961"/>
    <w:rsid w:val="00A329EC"/>
    <w:rsid w:val="00A32DC7"/>
    <w:rsid w:val="00A32FDD"/>
    <w:rsid w:val="00A33144"/>
    <w:rsid w:val="00A33238"/>
    <w:rsid w:val="00A33254"/>
    <w:rsid w:val="00A33315"/>
    <w:rsid w:val="00A3352B"/>
    <w:rsid w:val="00A33603"/>
    <w:rsid w:val="00A338C4"/>
    <w:rsid w:val="00A338FA"/>
    <w:rsid w:val="00A33B1D"/>
    <w:rsid w:val="00A33C4D"/>
    <w:rsid w:val="00A33E0F"/>
    <w:rsid w:val="00A33F5B"/>
    <w:rsid w:val="00A33F7E"/>
    <w:rsid w:val="00A3407E"/>
    <w:rsid w:val="00A340F4"/>
    <w:rsid w:val="00A341AB"/>
    <w:rsid w:val="00A34311"/>
    <w:rsid w:val="00A3446A"/>
    <w:rsid w:val="00A3455F"/>
    <w:rsid w:val="00A3461E"/>
    <w:rsid w:val="00A34620"/>
    <w:rsid w:val="00A34724"/>
    <w:rsid w:val="00A3472E"/>
    <w:rsid w:val="00A3480D"/>
    <w:rsid w:val="00A348D9"/>
    <w:rsid w:val="00A34931"/>
    <w:rsid w:val="00A34C78"/>
    <w:rsid w:val="00A34C9C"/>
    <w:rsid w:val="00A34D30"/>
    <w:rsid w:val="00A34FDF"/>
    <w:rsid w:val="00A35158"/>
    <w:rsid w:val="00A35462"/>
    <w:rsid w:val="00A35463"/>
    <w:rsid w:val="00A355EC"/>
    <w:rsid w:val="00A3584C"/>
    <w:rsid w:val="00A3593F"/>
    <w:rsid w:val="00A35955"/>
    <w:rsid w:val="00A35CB6"/>
    <w:rsid w:val="00A35D05"/>
    <w:rsid w:val="00A35E87"/>
    <w:rsid w:val="00A36075"/>
    <w:rsid w:val="00A3609F"/>
    <w:rsid w:val="00A361C2"/>
    <w:rsid w:val="00A361FD"/>
    <w:rsid w:val="00A3634C"/>
    <w:rsid w:val="00A365DF"/>
    <w:rsid w:val="00A367D9"/>
    <w:rsid w:val="00A368D4"/>
    <w:rsid w:val="00A36943"/>
    <w:rsid w:val="00A36BF0"/>
    <w:rsid w:val="00A37267"/>
    <w:rsid w:val="00A372DA"/>
    <w:rsid w:val="00A37385"/>
    <w:rsid w:val="00A373E9"/>
    <w:rsid w:val="00A374CF"/>
    <w:rsid w:val="00A375AD"/>
    <w:rsid w:val="00A3765E"/>
    <w:rsid w:val="00A37AB5"/>
    <w:rsid w:val="00A37FC8"/>
    <w:rsid w:val="00A4021C"/>
    <w:rsid w:val="00A4044A"/>
    <w:rsid w:val="00A40584"/>
    <w:rsid w:val="00A40877"/>
    <w:rsid w:val="00A408CF"/>
    <w:rsid w:val="00A409B0"/>
    <w:rsid w:val="00A409D7"/>
    <w:rsid w:val="00A40AD1"/>
    <w:rsid w:val="00A40BB9"/>
    <w:rsid w:val="00A40C59"/>
    <w:rsid w:val="00A40CD7"/>
    <w:rsid w:val="00A40D68"/>
    <w:rsid w:val="00A40E06"/>
    <w:rsid w:val="00A40F27"/>
    <w:rsid w:val="00A4103F"/>
    <w:rsid w:val="00A41045"/>
    <w:rsid w:val="00A41094"/>
    <w:rsid w:val="00A411D3"/>
    <w:rsid w:val="00A412F9"/>
    <w:rsid w:val="00A41306"/>
    <w:rsid w:val="00A4149D"/>
    <w:rsid w:val="00A414D5"/>
    <w:rsid w:val="00A41522"/>
    <w:rsid w:val="00A41544"/>
    <w:rsid w:val="00A416F1"/>
    <w:rsid w:val="00A41713"/>
    <w:rsid w:val="00A4178F"/>
    <w:rsid w:val="00A41799"/>
    <w:rsid w:val="00A417D2"/>
    <w:rsid w:val="00A41AEC"/>
    <w:rsid w:val="00A41B0E"/>
    <w:rsid w:val="00A41BE0"/>
    <w:rsid w:val="00A41E2B"/>
    <w:rsid w:val="00A41ECF"/>
    <w:rsid w:val="00A41EE8"/>
    <w:rsid w:val="00A41F64"/>
    <w:rsid w:val="00A41FF1"/>
    <w:rsid w:val="00A41FF2"/>
    <w:rsid w:val="00A421CC"/>
    <w:rsid w:val="00A4229C"/>
    <w:rsid w:val="00A4250C"/>
    <w:rsid w:val="00A4254E"/>
    <w:rsid w:val="00A42710"/>
    <w:rsid w:val="00A428BE"/>
    <w:rsid w:val="00A42CAE"/>
    <w:rsid w:val="00A42D02"/>
    <w:rsid w:val="00A42F91"/>
    <w:rsid w:val="00A43047"/>
    <w:rsid w:val="00A431AC"/>
    <w:rsid w:val="00A43305"/>
    <w:rsid w:val="00A4359B"/>
    <w:rsid w:val="00A43618"/>
    <w:rsid w:val="00A43727"/>
    <w:rsid w:val="00A4392A"/>
    <w:rsid w:val="00A4396E"/>
    <w:rsid w:val="00A43A32"/>
    <w:rsid w:val="00A43A76"/>
    <w:rsid w:val="00A43AEF"/>
    <w:rsid w:val="00A43B2E"/>
    <w:rsid w:val="00A43B5A"/>
    <w:rsid w:val="00A43BD2"/>
    <w:rsid w:val="00A43D06"/>
    <w:rsid w:val="00A43F2D"/>
    <w:rsid w:val="00A43FB7"/>
    <w:rsid w:val="00A43FFD"/>
    <w:rsid w:val="00A4408D"/>
    <w:rsid w:val="00A44218"/>
    <w:rsid w:val="00A4430D"/>
    <w:rsid w:val="00A443B9"/>
    <w:rsid w:val="00A444D7"/>
    <w:rsid w:val="00A44770"/>
    <w:rsid w:val="00A447AA"/>
    <w:rsid w:val="00A447D6"/>
    <w:rsid w:val="00A447F1"/>
    <w:rsid w:val="00A4495C"/>
    <w:rsid w:val="00A449AA"/>
    <w:rsid w:val="00A44CC2"/>
    <w:rsid w:val="00A44E89"/>
    <w:rsid w:val="00A44F10"/>
    <w:rsid w:val="00A44F73"/>
    <w:rsid w:val="00A45086"/>
    <w:rsid w:val="00A45341"/>
    <w:rsid w:val="00A45390"/>
    <w:rsid w:val="00A45704"/>
    <w:rsid w:val="00A4580A"/>
    <w:rsid w:val="00A45A9B"/>
    <w:rsid w:val="00A45B35"/>
    <w:rsid w:val="00A45B4A"/>
    <w:rsid w:val="00A4604A"/>
    <w:rsid w:val="00A46132"/>
    <w:rsid w:val="00A46177"/>
    <w:rsid w:val="00A46381"/>
    <w:rsid w:val="00A46579"/>
    <w:rsid w:val="00A465EF"/>
    <w:rsid w:val="00A466E8"/>
    <w:rsid w:val="00A46A67"/>
    <w:rsid w:val="00A46BDE"/>
    <w:rsid w:val="00A46C4C"/>
    <w:rsid w:val="00A46E10"/>
    <w:rsid w:val="00A46E3E"/>
    <w:rsid w:val="00A4722B"/>
    <w:rsid w:val="00A47269"/>
    <w:rsid w:val="00A473CD"/>
    <w:rsid w:val="00A47430"/>
    <w:rsid w:val="00A4743B"/>
    <w:rsid w:val="00A474AF"/>
    <w:rsid w:val="00A475EF"/>
    <w:rsid w:val="00A47645"/>
    <w:rsid w:val="00A476DC"/>
    <w:rsid w:val="00A4777C"/>
    <w:rsid w:val="00A4795C"/>
    <w:rsid w:val="00A479FD"/>
    <w:rsid w:val="00A47B96"/>
    <w:rsid w:val="00A47B9F"/>
    <w:rsid w:val="00A47C68"/>
    <w:rsid w:val="00A47E2E"/>
    <w:rsid w:val="00A47F5D"/>
    <w:rsid w:val="00A500F6"/>
    <w:rsid w:val="00A501AA"/>
    <w:rsid w:val="00A50204"/>
    <w:rsid w:val="00A50266"/>
    <w:rsid w:val="00A50620"/>
    <w:rsid w:val="00A50806"/>
    <w:rsid w:val="00A508E3"/>
    <w:rsid w:val="00A50984"/>
    <w:rsid w:val="00A50A66"/>
    <w:rsid w:val="00A50AAA"/>
    <w:rsid w:val="00A50D3D"/>
    <w:rsid w:val="00A50E9A"/>
    <w:rsid w:val="00A50F02"/>
    <w:rsid w:val="00A5118D"/>
    <w:rsid w:val="00A511A6"/>
    <w:rsid w:val="00A512F5"/>
    <w:rsid w:val="00A51544"/>
    <w:rsid w:val="00A5158C"/>
    <w:rsid w:val="00A515F6"/>
    <w:rsid w:val="00A51648"/>
    <w:rsid w:val="00A51728"/>
    <w:rsid w:val="00A51976"/>
    <w:rsid w:val="00A519D1"/>
    <w:rsid w:val="00A51A57"/>
    <w:rsid w:val="00A51F58"/>
    <w:rsid w:val="00A52063"/>
    <w:rsid w:val="00A5209A"/>
    <w:rsid w:val="00A5212E"/>
    <w:rsid w:val="00A52215"/>
    <w:rsid w:val="00A522A6"/>
    <w:rsid w:val="00A52300"/>
    <w:rsid w:val="00A523EE"/>
    <w:rsid w:val="00A524F7"/>
    <w:rsid w:val="00A52613"/>
    <w:rsid w:val="00A52D97"/>
    <w:rsid w:val="00A52DEC"/>
    <w:rsid w:val="00A531C4"/>
    <w:rsid w:val="00A5347A"/>
    <w:rsid w:val="00A53921"/>
    <w:rsid w:val="00A53A28"/>
    <w:rsid w:val="00A53ACD"/>
    <w:rsid w:val="00A53DF3"/>
    <w:rsid w:val="00A53EE0"/>
    <w:rsid w:val="00A53F82"/>
    <w:rsid w:val="00A54076"/>
    <w:rsid w:val="00A54107"/>
    <w:rsid w:val="00A542CA"/>
    <w:rsid w:val="00A5439A"/>
    <w:rsid w:val="00A5444E"/>
    <w:rsid w:val="00A5448C"/>
    <w:rsid w:val="00A544FD"/>
    <w:rsid w:val="00A5453A"/>
    <w:rsid w:val="00A545E6"/>
    <w:rsid w:val="00A54715"/>
    <w:rsid w:val="00A5472F"/>
    <w:rsid w:val="00A5480C"/>
    <w:rsid w:val="00A5490D"/>
    <w:rsid w:val="00A5496B"/>
    <w:rsid w:val="00A549C6"/>
    <w:rsid w:val="00A54B44"/>
    <w:rsid w:val="00A54BE0"/>
    <w:rsid w:val="00A54C51"/>
    <w:rsid w:val="00A54D08"/>
    <w:rsid w:val="00A54DB7"/>
    <w:rsid w:val="00A54E8E"/>
    <w:rsid w:val="00A551CB"/>
    <w:rsid w:val="00A5535E"/>
    <w:rsid w:val="00A5542A"/>
    <w:rsid w:val="00A555D4"/>
    <w:rsid w:val="00A5560A"/>
    <w:rsid w:val="00A55724"/>
    <w:rsid w:val="00A55830"/>
    <w:rsid w:val="00A55CF4"/>
    <w:rsid w:val="00A55CFD"/>
    <w:rsid w:val="00A55F8C"/>
    <w:rsid w:val="00A560CE"/>
    <w:rsid w:val="00A560E1"/>
    <w:rsid w:val="00A56278"/>
    <w:rsid w:val="00A5627F"/>
    <w:rsid w:val="00A563D2"/>
    <w:rsid w:val="00A5640F"/>
    <w:rsid w:val="00A56426"/>
    <w:rsid w:val="00A56707"/>
    <w:rsid w:val="00A5670F"/>
    <w:rsid w:val="00A56AF1"/>
    <w:rsid w:val="00A56BD7"/>
    <w:rsid w:val="00A56C24"/>
    <w:rsid w:val="00A56D44"/>
    <w:rsid w:val="00A56EAF"/>
    <w:rsid w:val="00A56FB2"/>
    <w:rsid w:val="00A57249"/>
    <w:rsid w:val="00A574F3"/>
    <w:rsid w:val="00A577D9"/>
    <w:rsid w:val="00A57B3F"/>
    <w:rsid w:val="00A57C43"/>
    <w:rsid w:val="00A57EA1"/>
    <w:rsid w:val="00A57F2A"/>
    <w:rsid w:val="00A60036"/>
    <w:rsid w:val="00A600B0"/>
    <w:rsid w:val="00A60373"/>
    <w:rsid w:val="00A603BE"/>
    <w:rsid w:val="00A60550"/>
    <w:rsid w:val="00A609BD"/>
    <w:rsid w:val="00A60C5A"/>
    <w:rsid w:val="00A60E8C"/>
    <w:rsid w:val="00A6112A"/>
    <w:rsid w:val="00A6113B"/>
    <w:rsid w:val="00A6116A"/>
    <w:rsid w:val="00A614A6"/>
    <w:rsid w:val="00A615CA"/>
    <w:rsid w:val="00A617AC"/>
    <w:rsid w:val="00A618A4"/>
    <w:rsid w:val="00A61A57"/>
    <w:rsid w:val="00A61AC3"/>
    <w:rsid w:val="00A61BB6"/>
    <w:rsid w:val="00A61D06"/>
    <w:rsid w:val="00A61FAA"/>
    <w:rsid w:val="00A61FD9"/>
    <w:rsid w:val="00A62045"/>
    <w:rsid w:val="00A62211"/>
    <w:rsid w:val="00A622D1"/>
    <w:rsid w:val="00A6237E"/>
    <w:rsid w:val="00A623E0"/>
    <w:rsid w:val="00A624B6"/>
    <w:rsid w:val="00A6265C"/>
    <w:rsid w:val="00A62712"/>
    <w:rsid w:val="00A627C2"/>
    <w:rsid w:val="00A627C4"/>
    <w:rsid w:val="00A628EF"/>
    <w:rsid w:val="00A62919"/>
    <w:rsid w:val="00A62975"/>
    <w:rsid w:val="00A629EB"/>
    <w:rsid w:val="00A62A57"/>
    <w:rsid w:val="00A62ABD"/>
    <w:rsid w:val="00A62B93"/>
    <w:rsid w:val="00A62BE5"/>
    <w:rsid w:val="00A62DE4"/>
    <w:rsid w:val="00A6307B"/>
    <w:rsid w:val="00A631F1"/>
    <w:rsid w:val="00A632A2"/>
    <w:rsid w:val="00A632CA"/>
    <w:rsid w:val="00A63763"/>
    <w:rsid w:val="00A6398B"/>
    <w:rsid w:val="00A639B9"/>
    <w:rsid w:val="00A63A5E"/>
    <w:rsid w:val="00A63BBD"/>
    <w:rsid w:val="00A63C17"/>
    <w:rsid w:val="00A63C7F"/>
    <w:rsid w:val="00A63D2E"/>
    <w:rsid w:val="00A63E90"/>
    <w:rsid w:val="00A63ED0"/>
    <w:rsid w:val="00A64031"/>
    <w:rsid w:val="00A641D5"/>
    <w:rsid w:val="00A641D6"/>
    <w:rsid w:val="00A645AD"/>
    <w:rsid w:val="00A6489D"/>
    <w:rsid w:val="00A64A48"/>
    <w:rsid w:val="00A64B3B"/>
    <w:rsid w:val="00A64E89"/>
    <w:rsid w:val="00A64F53"/>
    <w:rsid w:val="00A650FB"/>
    <w:rsid w:val="00A6529A"/>
    <w:rsid w:val="00A652DC"/>
    <w:rsid w:val="00A6541E"/>
    <w:rsid w:val="00A654CA"/>
    <w:rsid w:val="00A6555D"/>
    <w:rsid w:val="00A65890"/>
    <w:rsid w:val="00A658A5"/>
    <w:rsid w:val="00A65A2E"/>
    <w:rsid w:val="00A65AB1"/>
    <w:rsid w:val="00A65AF4"/>
    <w:rsid w:val="00A65E49"/>
    <w:rsid w:val="00A65ECA"/>
    <w:rsid w:val="00A65F92"/>
    <w:rsid w:val="00A66027"/>
    <w:rsid w:val="00A663C5"/>
    <w:rsid w:val="00A664A2"/>
    <w:rsid w:val="00A664D7"/>
    <w:rsid w:val="00A6659A"/>
    <w:rsid w:val="00A665FD"/>
    <w:rsid w:val="00A66664"/>
    <w:rsid w:val="00A666EB"/>
    <w:rsid w:val="00A66801"/>
    <w:rsid w:val="00A6681E"/>
    <w:rsid w:val="00A66ADD"/>
    <w:rsid w:val="00A66CAD"/>
    <w:rsid w:val="00A66D99"/>
    <w:rsid w:val="00A66DF7"/>
    <w:rsid w:val="00A66F35"/>
    <w:rsid w:val="00A66FC3"/>
    <w:rsid w:val="00A6711F"/>
    <w:rsid w:val="00A671AC"/>
    <w:rsid w:val="00A67525"/>
    <w:rsid w:val="00A67557"/>
    <w:rsid w:val="00A676E3"/>
    <w:rsid w:val="00A6796F"/>
    <w:rsid w:val="00A679F3"/>
    <w:rsid w:val="00A67A4C"/>
    <w:rsid w:val="00A67CBD"/>
    <w:rsid w:val="00A67D3A"/>
    <w:rsid w:val="00A67DAF"/>
    <w:rsid w:val="00A67F3E"/>
    <w:rsid w:val="00A67FF5"/>
    <w:rsid w:val="00A70021"/>
    <w:rsid w:val="00A7014F"/>
    <w:rsid w:val="00A7035A"/>
    <w:rsid w:val="00A703CE"/>
    <w:rsid w:val="00A704B7"/>
    <w:rsid w:val="00A70699"/>
    <w:rsid w:val="00A7070E"/>
    <w:rsid w:val="00A708BB"/>
    <w:rsid w:val="00A709EE"/>
    <w:rsid w:val="00A70D0D"/>
    <w:rsid w:val="00A70E37"/>
    <w:rsid w:val="00A70F03"/>
    <w:rsid w:val="00A71071"/>
    <w:rsid w:val="00A71554"/>
    <w:rsid w:val="00A7155C"/>
    <w:rsid w:val="00A71602"/>
    <w:rsid w:val="00A7162C"/>
    <w:rsid w:val="00A71667"/>
    <w:rsid w:val="00A71678"/>
    <w:rsid w:val="00A7193D"/>
    <w:rsid w:val="00A71A87"/>
    <w:rsid w:val="00A71C19"/>
    <w:rsid w:val="00A71DBF"/>
    <w:rsid w:val="00A71E50"/>
    <w:rsid w:val="00A71F51"/>
    <w:rsid w:val="00A71F76"/>
    <w:rsid w:val="00A720A0"/>
    <w:rsid w:val="00A721C3"/>
    <w:rsid w:val="00A7227E"/>
    <w:rsid w:val="00A7263F"/>
    <w:rsid w:val="00A726B1"/>
    <w:rsid w:val="00A726E5"/>
    <w:rsid w:val="00A72876"/>
    <w:rsid w:val="00A7293D"/>
    <w:rsid w:val="00A72C3D"/>
    <w:rsid w:val="00A72CE8"/>
    <w:rsid w:val="00A72E22"/>
    <w:rsid w:val="00A72F75"/>
    <w:rsid w:val="00A730D6"/>
    <w:rsid w:val="00A732AC"/>
    <w:rsid w:val="00A733BB"/>
    <w:rsid w:val="00A73791"/>
    <w:rsid w:val="00A737F5"/>
    <w:rsid w:val="00A7380C"/>
    <w:rsid w:val="00A739B5"/>
    <w:rsid w:val="00A73AA9"/>
    <w:rsid w:val="00A73B51"/>
    <w:rsid w:val="00A73D65"/>
    <w:rsid w:val="00A73E29"/>
    <w:rsid w:val="00A73EEE"/>
    <w:rsid w:val="00A7409F"/>
    <w:rsid w:val="00A7420C"/>
    <w:rsid w:val="00A74263"/>
    <w:rsid w:val="00A742F0"/>
    <w:rsid w:val="00A7464B"/>
    <w:rsid w:val="00A74708"/>
    <w:rsid w:val="00A74962"/>
    <w:rsid w:val="00A74991"/>
    <w:rsid w:val="00A74AC3"/>
    <w:rsid w:val="00A74C7D"/>
    <w:rsid w:val="00A74E00"/>
    <w:rsid w:val="00A74E0A"/>
    <w:rsid w:val="00A74F04"/>
    <w:rsid w:val="00A75098"/>
    <w:rsid w:val="00A752A1"/>
    <w:rsid w:val="00A7533D"/>
    <w:rsid w:val="00A753D0"/>
    <w:rsid w:val="00A756BF"/>
    <w:rsid w:val="00A7571D"/>
    <w:rsid w:val="00A75912"/>
    <w:rsid w:val="00A75944"/>
    <w:rsid w:val="00A75A88"/>
    <w:rsid w:val="00A75B2C"/>
    <w:rsid w:val="00A75B42"/>
    <w:rsid w:val="00A75B80"/>
    <w:rsid w:val="00A75B8A"/>
    <w:rsid w:val="00A75C6F"/>
    <w:rsid w:val="00A75DA0"/>
    <w:rsid w:val="00A75E1E"/>
    <w:rsid w:val="00A75F3B"/>
    <w:rsid w:val="00A75F77"/>
    <w:rsid w:val="00A7613D"/>
    <w:rsid w:val="00A76160"/>
    <w:rsid w:val="00A76188"/>
    <w:rsid w:val="00A76218"/>
    <w:rsid w:val="00A76278"/>
    <w:rsid w:val="00A762EC"/>
    <w:rsid w:val="00A76596"/>
    <w:rsid w:val="00A7659C"/>
    <w:rsid w:val="00A7664D"/>
    <w:rsid w:val="00A767BC"/>
    <w:rsid w:val="00A76A95"/>
    <w:rsid w:val="00A76BF9"/>
    <w:rsid w:val="00A76CC1"/>
    <w:rsid w:val="00A77190"/>
    <w:rsid w:val="00A771C1"/>
    <w:rsid w:val="00A7761B"/>
    <w:rsid w:val="00A777CC"/>
    <w:rsid w:val="00A77B7F"/>
    <w:rsid w:val="00A77C42"/>
    <w:rsid w:val="00A77F99"/>
    <w:rsid w:val="00A77F9B"/>
    <w:rsid w:val="00A801C3"/>
    <w:rsid w:val="00A801D6"/>
    <w:rsid w:val="00A802D3"/>
    <w:rsid w:val="00A8049B"/>
    <w:rsid w:val="00A80634"/>
    <w:rsid w:val="00A80726"/>
    <w:rsid w:val="00A8074E"/>
    <w:rsid w:val="00A80841"/>
    <w:rsid w:val="00A80A96"/>
    <w:rsid w:val="00A80B27"/>
    <w:rsid w:val="00A811D4"/>
    <w:rsid w:val="00A8158A"/>
    <w:rsid w:val="00A8159B"/>
    <w:rsid w:val="00A81791"/>
    <w:rsid w:val="00A81A30"/>
    <w:rsid w:val="00A81BB4"/>
    <w:rsid w:val="00A81CC2"/>
    <w:rsid w:val="00A81D50"/>
    <w:rsid w:val="00A81DCF"/>
    <w:rsid w:val="00A81DF7"/>
    <w:rsid w:val="00A81E9D"/>
    <w:rsid w:val="00A82048"/>
    <w:rsid w:val="00A820B8"/>
    <w:rsid w:val="00A820D6"/>
    <w:rsid w:val="00A82115"/>
    <w:rsid w:val="00A82269"/>
    <w:rsid w:val="00A823EE"/>
    <w:rsid w:val="00A82445"/>
    <w:rsid w:val="00A824CD"/>
    <w:rsid w:val="00A82730"/>
    <w:rsid w:val="00A82916"/>
    <w:rsid w:val="00A829EB"/>
    <w:rsid w:val="00A82D0B"/>
    <w:rsid w:val="00A82DCC"/>
    <w:rsid w:val="00A82E40"/>
    <w:rsid w:val="00A82EA3"/>
    <w:rsid w:val="00A82EB7"/>
    <w:rsid w:val="00A82FE9"/>
    <w:rsid w:val="00A83003"/>
    <w:rsid w:val="00A83090"/>
    <w:rsid w:val="00A8331A"/>
    <w:rsid w:val="00A83489"/>
    <w:rsid w:val="00A8352B"/>
    <w:rsid w:val="00A8357E"/>
    <w:rsid w:val="00A838F1"/>
    <w:rsid w:val="00A839D0"/>
    <w:rsid w:val="00A83A06"/>
    <w:rsid w:val="00A83A5E"/>
    <w:rsid w:val="00A83B0B"/>
    <w:rsid w:val="00A83B1B"/>
    <w:rsid w:val="00A83CE3"/>
    <w:rsid w:val="00A83D93"/>
    <w:rsid w:val="00A84104"/>
    <w:rsid w:val="00A842BC"/>
    <w:rsid w:val="00A8433A"/>
    <w:rsid w:val="00A844E2"/>
    <w:rsid w:val="00A84553"/>
    <w:rsid w:val="00A845B9"/>
    <w:rsid w:val="00A8463A"/>
    <w:rsid w:val="00A8475B"/>
    <w:rsid w:val="00A847AE"/>
    <w:rsid w:val="00A84A9D"/>
    <w:rsid w:val="00A84B64"/>
    <w:rsid w:val="00A84D57"/>
    <w:rsid w:val="00A84F11"/>
    <w:rsid w:val="00A8538C"/>
    <w:rsid w:val="00A8540C"/>
    <w:rsid w:val="00A85431"/>
    <w:rsid w:val="00A85452"/>
    <w:rsid w:val="00A854A6"/>
    <w:rsid w:val="00A8555D"/>
    <w:rsid w:val="00A85576"/>
    <w:rsid w:val="00A8576D"/>
    <w:rsid w:val="00A85A57"/>
    <w:rsid w:val="00A85A5E"/>
    <w:rsid w:val="00A85F87"/>
    <w:rsid w:val="00A85FBA"/>
    <w:rsid w:val="00A86009"/>
    <w:rsid w:val="00A8605D"/>
    <w:rsid w:val="00A86189"/>
    <w:rsid w:val="00A861F6"/>
    <w:rsid w:val="00A86219"/>
    <w:rsid w:val="00A8623D"/>
    <w:rsid w:val="00A863E5"/>
    <w:rsid w:val="00A8650E"/>
    <w:rsid w:val="00A8653D"/>
    <w:rsid w:val="00A86786"/>
    <w:rsid w:val="00A8699B"/>
    <w:rsid w:val="00A86D17"/>
    <w:rsid w:val="00A86DAF"/>
    <w:rsid w:val="00A87025"/>
    <w:rsid w:val="00A870E7"/>
    <w:rsid w:val="00A874A3"/>
    <w:rsid w:val="00A875A5"/>
    <w:rsid w:val="00A8760A"/>
    <w:rsid w:val="00A87647"/>
    <w:rsid w:val="00A878AF"/>
    <w:rsid w:val="00A8795A"/>
    <w:rsid w:val="00A87D9D"/>
    <w:rsid w:val="00A9010B"/>
    <w:rsid w:val="00A901F3"/>
    <w:rsid w:val="00A90236"/>
    <w:rsid w:val="00A90296"/>
    <w:rsid w:val="00A90582"/>
    <w:rsid w:val="00A907BE"/>
    <w:rsid w:val="00A90847"/>
    <w:rsid w:val="00A90A21"/>
    <w:rsid w:val="00A90CF2"/>
    <w:rsid w:val="00A90D10"/>
    <w:rsid w:val="00A90FE8"/>
    <w:rsid w:val="00A91073"/>
    <w:rsid w:val="00A9129E"/>
    <w:rsid w:val="00A912D7"/>
    <w:rsid w:val="00A9138C"/>
    <w:rsid w:val="00A913E1"/>
    <w:rsid w:val="00A913F7"/>
    <w:rsid w:val="00A9157E"/>
    <w:rsid w:val="00A915DD"/>
    <w:rsid w:val="00A91A56"/>
    <w:rsid w:val="00A91AAB"/>
    <w:rsid w:val="00A91CE0"/>
    <w:rsid w:val="00A91D1D"/>
    <w:rsid w:val="00A91D7C"/>
    <w:rsid w:val="00A91E1D"/>
    <w:rsid w:val="00A91F55"/>
    <w:rsid w:val="00A91FE5"/>
    <w:rsid w:val="00A9207C"/>
    <w:rsid w:val="00A9222D"/>
    <w:rsid w:val="00A9240E"/>
    <w:rsid w:val="00A924C4"/>
    <w:rsid w:val="00A92582"/>
    <w:rsid w:val="00A925CA"/>
    <w:rsid w:val="00A9263A"/>
    <w:rsid w:val="00A927CB"/>
    <w:rsid w:val="00A92913"/>
    <w:rsid w:val="00A92A49"/>
    <w:rsid w:val="00A92AB2"/>
    <w:rsid w:val="00A92B46"/>
    <w:rsid w:val="00A92C60"/>
    <w:rsid w:val="00A92CEE"/>
    <w:rsid w:val="00A92DB5"/>
    <w:rsid w:val="00A93128"/>
    <w:rsid w:val="00A93749"/>
    <w:rsid w:val="00A93750"/>
    <w:rsid w:val="00A9376D"/>
    <w:rsid w:val="00A937FE"/>
    <w:rsid w:val="00A93AEA"/>
    <w:rsid w:val="00A93BED"/>
    <w:rsid w:val="00A940A3"/>
    <w:rsid w:val="00A9410A"/>
    <w:rsid w:val="00A94147"/>
    <w:rsid w:val="00A94186"/>
    <w:rsid w:val="00A94320"/>
    <w:rsid w:val="00A94414"/>
    <w:rsid w:val="00A94435"/>
    <w:rsid w:val="00A944BE"/>
    <w:rsid w:val="00A944E6"/>
    <w:rsid w:val="00A945F7"/>
    <w:rsid w:val="00A946A3"/>
    <w:rsid w:val="00A947D0"/>
    <w:rsid w:val="00A94911"/>
    <w:rsid w:val="00A94C55"/>
    <w:rsid w:val="00A94D42"/>
    <w:rsid w:val="00A94D75"/>
    <w:rsid w:val="00A94EA5"/>
    <w:rsid w:val="00A94F25"/>
    <w:rsid w:val="00A9510A"/>
    <w:rsid w:val="00A952BC"/>
    <w:rsid w:val="00A95369"/>
    <w:rsid w:val="00A9536F"/>
    <w:rsid w:val="00A954A9"/>
    <w:rsid w:val="00A95723"/>
    <w:rsid w:val="00A9593B"/>
    <w:rsid w:val="00A95A7B"/>
    <w:rsid w:val="00A95AD5"/>
    <w:rsid w:val="00A95E11"/>
    <w:rsid w:val="00A95E2F"/>
    <w:rsid w:val="00A95FB2"/>
    <w:rsid w:val="00A96286"/>
    <w:rsid w:val="00A9634B"/>
    <w:rsid w:val="00A96363"/>
    <w:rsid w:val="00A963A2"/>
    <w:rsid w:val="00A96568"/>
    <w:rsid w:val="00A9656D"/>
    <w:rsid w:val="00A965A5"/>
    <w:rsid w:val="00A9667F"/>
    <w:rsid w:val="00A966D6"/>
    <w:rsid w:val="00A966E6"/>
    <w:rsid w:val="00A969F9"/>
    <w:rsid w:val="00A96CDD"/>
    <w:rsid w:val="00A96D3F"/>
    <w:rsid w:val="00A96D50"/>
    <w:rsid w:val="00A96D53"/>
    <w:rsid w:val="00A9711D"/>
    <w:rsid w:val="00A97145"/>
    <w:rsid w:val="00A97320"/>
    <w:rsid w:val="00A9741C"/>
    <w:rsid w:val="00A97593"/>
    <w:rsid w:val="00A975DD"/>
    <w:rsid w:val="00A9773C"/>
    <w:rsid w:val="00A979E6"/>
    <w:rsid w:val="00A97A5F"/>
    <w:rsid w:val="00A97C8B"/>
    <w:rsid w:val="00A97DDC"/>
    <w:rsid w:val="00A97F87"/>
    <w:rsid w:val="00AA000D"/>
    <w:rsid w:val="00AA003C"/>
    <w:rsid w:val="00AA008F"/>
    <w:rsid w:val="00AA02B9"/>
    <w:rsid w:val="00AA0501"/>
    <w:rsid w:val="00AA0535"/>
    <w:rsid w:val="00AA06BD"/>
    <w:rsid w:val="00AA06F5"/>
    <w:rsid w:val="00AA0A37"/>
    <w:rsid w:val="00AA0B49"/>
    <w:rsid w:val="00AA0C24"/>
    <w:rsid w:val="00AA0C9E"/>
    <w:rsid w:val="00AA0D59"/>
    <w:rsid w:val="00AA0E6D"/>
    <w:rsid w:val="00AA0F0C"/>
    <w:rsid w:val="00AA0FCF"/>
    <w:rsid w:val="00AA102A"/>
    <w:rsid w:val="00AA10F0"/>
    <w:rsid w:val="00AA13E7"/>
    <w:rsid w:val="00AA151F"/>
    <w:rsid w:val="00AA1650"/>
    <w:rsid w:val="00AA1866"/>
    <w:rsid w:val="00AA1951"/>
    <w:rsid w:val="00AA1F2D"/>
    <w:rsid w:val="00AA1F9F"/>
    <w:rsid w:val="00AA2329"/>
    <w:rsid w:val="00AA24B0"/>
    <w:rsid w:val="00AA256A"/>
    <w:rsid w:val="00AA26AB"/>
    <w:rsid w:val="00AA2735"/>
    <w:rsid w:val="00AA27F6"/>
    <w:rsid w:val="00AA280C"/>
    <w:rsid w:val="00AA2965"/>
    <w:rsid w:val="00AA2FE2"/>
    <w:rsid w:val="00AA302F"/>
    <w:rsid w:val="00AA3135"/>
    <w:rsid w:val="00AA32DE"/>
    <w:rsid w:val="00AA3450"/>
    <w:rsid w:val="00AA347C"/>
    <w:rsid w:val="00AA34E6"/>
    <w:rsid w:val="00AA36A5"/>
    <w:rsid w:val="00AA3A4B"/>
    <w:rsid w:val="00AA3B83"/>
    <w:rsid w:val="00AA3D6A"/>
    <w:rsid w:val="00AA3DE9"/>
    <w:rsid w:val="00AA3E7E"/>
    <w:rsid w:val="00AA3FCE"/>
    <w:rsid w:val="00AA4157"/>
    <w:rsid w:val="00AA45BB"/>
    <w:rsid w:val="00AA4681"/>
    <w:rsid w:val="00AA473D"/>
    <w:rsid w:val="00AA47D6"/>
    <w:rsid w:val="00AA48AB"/>
    <w:rsid w:val="00AA4958"/>
    <w:rsid w:val="00AA49A9"/>
    <w:rsid w:val="00AA49F7"/>
    <w:rsid w:val="00AA4A9A"/>
    <w:rsid w:val="00AA4B4B"/>
    <w:rsid w:val="00AA4CC2"/>
    <w:rsid w:val="00AA4D2B"/>
    <w:rsid w:val="00AA4D57"/>
    <w:rsid w:val="00AA4D5E"/>
    <w:rsid w:val="00AA5218"/>
    <w:rsid w:val="00AA528C"/>
    <w:rsid w:val="00AA52C8"/>
    <w:rsid w:val="00AA5378"/>
    <w:rsid w:val="00AA5474"/>
    <w:rsid w:val="00AA54E7"/>
    <w:rsid w:val="00AA56BC"/>
    <w:rsid w:val="00AA5746"/>
    <w:rsid w:val="00AA5849"/>
    <w:rsid w:val="00AA5C3F"/>
    <w:rsid w:val="00AA5CB7"/>
    <w:rsid w:val="00AA5F3D"/>
    <w:rsid w:val="00AA6016"/>
    <w:rsid w:val="00AA6040"/>
    <w:rsid w:val="00AA60AD"/>
    <w:rsid w:val="00AA618E"/>
    <w:rsid w:val="00AA61D1"/>
    <w:rsid w:val="00AA625B"/>
    <w:rsid w:val="00AA653C"/>
    <w:rsid w:val="00AA65F0"/>
    <w:rsid w:val="00AA6634"/>
    <w:rsid w:val="00AA6731"/>
    <w:rsid w:val="00AA67ED"/>
    <w:rsid w:val="00AA688B"/>
    <w:rsid w:val="00AA6936"/>
    <w:rsid w:val="00AA6A6C"/>
    <w:rsid w:val="00AA6A7F"/>
    <w:rsid w:val="00AA6E3F"/>
    <w:rsid w:val="00AA6EF0"/>
    <w:rsid w:val="00AA7010"/>
    <w:rsid w:val="00AA7096"/>
    <w:rsid w:val="00AA70AA"/>
    <w:rsid w:val="00AA7144"/>
    <w:rsid w:val="00AA7274"/>
    <w:rsid w:val="00AA7333"/>
    <w:rsid w:val="00AA73E9"/>
    <w:rsid w:val="00AA7458"/>
    <w:rsid w:val="00AA762A"/>
    <w:rsid w:val="00AA7662"/>
    <w:rsid w:val="00AA78B8"/>
    <w:rsid w:val="00AA7B22"/>
    <w:rsid w:val="00AA7B3F"/>
    <w:rsid w:val="00AA7B46"/>
    <w:rsid w:val="00AA7D4C"/>
    <w:rsid w:val="00AA7E05"/>
    <w:rsid w:val="00AB0072"/>
    <w:rsid w:val="00AB00F0"/>
    <w:rsid w:val="00AB0187"/>
    <w:rsid w:val="00AB024B"/>
    <w:rsid w:val="00AB060C"/>
    <w:rsid w:val="00AB0732"/>
    <w:rsid w:val="00AB07B7"/>
    <w:rsid w:val="00AB07C1"/>
    <w:rsid w:val="00AB081C"/>
    <w:rsid w:val="00AB0898"/>
    <w:rsid w:val="00AB0C8D"/>
    <w:rsid w:val="00AB0D69"/>
    <w:rsid w:val="00AB1295"/>
    <w:rsid w:val="00AB12A4"/>
    <w:rsid w:val="00AB140B"/>
    <w:rsid w:val="00AB1828"/>
    <w:rsid w:val="00AB1854"/>
    <w:rsid w:val="00AB1857"/>
    <w:rsid w:val="00AB18D5"/>
    <w:rsid w:val="00AB18F0"/>
    <w:rsid w:val="00AB20B2"/>
    <w:rsid w:val="00AB2148"/>
    <w:rsid w:val="00AB21A8"/>
    <w:rsid w:val="00AB22A1"/>
    <w:rsid w:val="00AB247A"/>
    <w:rsid w:val="00AB24D2"/>
    <w:rsid w:val="00AB257D"/>
    <w:rsid w:val="00AB257F"/>
    <w:rsid w:val="00AB2582"/>
    <w:rsid w:val="00AB26E5"/>
    <w:rsid w:val="00AB2757"/>
    <w:rsid w:val="00AB2770"/>
    <w:rsid w:val="00AB27B7"/>
    <w:rsid w:val="00AB2990"/>
    <w:rsid w:val="00AB29D4"/>
    <w:rsid w:val="00AB2A7B"/>
    <w:rsid w:val="00AB2AB1"/>
    <w:rsid w:val="00AB2C06"/>
    <w:rsid w:val="00AB2D91"/>
    <w:rsid w:val="00AB32A5"/>
    <w:rsid w:val="00AB3357"/>
    <w:rsid w:val="00AB3441"/>
    <w:rsid w:val="00AB357D"/>
    <w:rsid w:val="00AB35DE"/>
    <w:rsid w:val="00AB3649"/>
    <w:rsid w:val="00AB3747"/>
    <w:rsid w:val="00AB3834"/>
    <w:rsid w:val="00AB3894"/>
    <w:rsid w:val="00AB3962"/>
    <w:rsid w:val="00AB39A0"/>
    <w:rsid w:val="00AB3A49"/>
    <w:rsid w:val="00AB3A4E"/>
    <w:rsid w:val="00AB3B1C"/>
    <w:rsid w:val="00AB3FC7"/>
    <w:rsid w:val="00AB40B9"/>
    <w:rsid w:val="00AB424D"/>
    <w:rsid w:val="00AB4274"/>
    <w:rsid w:val="00AB44D4"/>
    <w:rsid w:val="00AB44FB"/>
    <w:rsid w:val="00AB46E8"/>
    <w:rsid w:val="00AB48B4"/>
    <w:rsid w:val="00AB48D2"/>
    <w:rsid w:val="00AB49B7"/>
    <w:rsid w:val="00AB4AEF"/>
    <w:rsid w:val="00AB4C8B"/>
    <w:rsid w:val="00AB4CB8"/>
    <w:rsid w:val="00AB4CCD"/>
    <w:rsid w:val="00AB4D4A"/>
    <w:rsid w:val="00AB4DDD"/>
    <w:rsid w:val="00AB4F02"/>
    <w:rsid w:val="00AB4FC0"/>
    <w:rsid w:val="00AB50E5"/>
    <w:rsid w:val="00AB5185"/>
    <w:rsid w:val="00AB53AB"/>
    <w:rsid w:val="00AB5791"/>
    <w:rsid w:val="00AB5849"/>
    <w:rsid w:val="00AB5870"/>
    <w:rsid w:val="00AB592F"/>
    <w:rsid w:val="00AB59BC"/>
    <w:rsid w:val="00AB59D7"/>
    <w:rsid w:val="00AB5C92"/>
    <w:rsid w:val="00AB5E99"/>
    <w:rsid w:val="00AB5F48"/>
    <w:rsid w:val="00AB61E9"/>
    <w:rsid w:val="00AB62D6"/>
    <w:rsid w:val="00AB6A7D"/>
    <w:rsid w:val="00AB6EEF"/>
    <w:rsid w:val="00AB6F5D"/>
    <w:rsid w:val="00AB7097"/>
    <w:rsid w:val="00AB743C"/>
    <w:rsid w:val="00AB75E4"/>
    <w:rsid w:val="00AB76B2"/>
    <w:rsid w:val="00AB77E2"/>
    <w:rsid w:val="00AB78C7"/>
    <w:rsid w:val="00AB791D"/>
    <w:rsid w:val="00AB7CC5"/>
    <w:rsid w:val="00AB7EB6"/>
    <w:rsid w:val="00AC0291"/>
    <w:rsid w:val="00AC03C6"/>
    <w:rsid w:val="00AC04F1"/>
    <w:rsid w:val="00AC0574"/>
    <w:rsid w:val="00AC05D7"/>
    <w:rsid w:val="00AC0679"/>
    <w:rsid w:val="00AC0741"/>
    <w:rsid w:val="00AC079E"/>
    <w:rsid w:val="00AC07C6"/>
    <w:rsid w:val="00AC0898"/>
    <w:rsid w:val="00AC0970"/>
    <w:rsid w:val="00AC0A77"/>
    <w:rsid w:val="00AC0B12"/>
    <w:rsid w:val="00AC0B16"/>
    <w:rsid w:val="00AC0DD4"/>
    <w:rsid w:val="00AC0F11"/>
    <w:rsid w:val="00AC110F"/>
    <w:rsid w:val="00AC1183"/>
    <w:rsid w:val="00AC13F4"/>
    <w:rsid w:val="00AC1682"/>
    <w:rsid w:val="00AC17A6"/>
    <w:rsid w:val="00AC1802"/>
    <w:rsid w:val="00AC1A2D"/>
    <w:rsid w:val="00AC1C27"/>
    <w:rsid w:val="00AC1C92"/>
    <w:rsid w:val="00AC1D51"/>
    <w:rsid w:val="00AC1D6A"/>
    <w:rsid w:val="00AC1DEE"/>
    <w:rsid w:val="00AC1EBC"/>
    <w:rsid w:val="00AC1F48"/>
    <w:rsid w:val="00AC1FA0"/>
    <w:rsid w:val="00AC2043"/>
    <w:rsid w:val="00AC217B"/>
    <w:rsid w:val="00AC22F0"/>
    <w:rsid w:val="00AC2430"/>
    <w:rsid w:val="00AC25EC"/>
    <w:rsid w:val="00AC2662"/>
    <w:rsid w:val="00AC2B49"/>
    <w:rsid w:val="00AC2CCB"/>
    <w:rsid w:val="00AC2D45"/>
    <w:rsid w:val="00AC2FF7"/>
    <w:rsid w:val="00AC323F"/>
    <w:rsid w:val="00AC3366"/>
    <w:rsid w:val="00AC34D8"/>
    <w:rsid w:val="00AC35BE"/>
    <w:rsid w:val="00AC37E1"/>
    <w:rsid w:val="00AC38D0"/>
    <w:rsid w:val="00AC3C06"/>
    <w:rsid w:val="00AC3D94"/>
    <w:rsid w:val="00AC4135"/>
    <w:rsid w:val="00AC41D1"/>
    <w:rsid w:val="00AC4503"/>
    <w:rsid w:val="00AC4713"/>
    <w:rsid w:val="00AC4734"/>
    <w:rsid w:val="00AC47E8"/>
    <w:rsid w:val="00AC49F2"/>
    <w:rsid w:val="00AC4A97"/>
    <w:rsid w:val="00AC4B3C"/>
    <w:rsid w:val="00AC4CC4"/>
    <w:rsid w:val="00AC4F58"/>
    <w:rsid w:val="00AC515B"/>
    <w:rsid w:val="00AC5164"/>
    <w:rsid w:val="00AC524B"/>
    <w:rsid w:val="00AC53BE"/>
    <w:rsid w:val="00AC54B9"/>
    <w:rsid w:val="00AC56E8"/>
    <w:rsid w:val="00AC57D9"/>
    <w:rsid w:val="00AC5841"/>
    <w:rsid w:val="00AC5B23"/>
    <w:rsid w:val="00AC5BFB"/>
    <w:rsid w:val="00AC5C9F"/>
    <w:rsid w:val="00AC5CBF"/>
    <w:rsid w:val="00AC5D00"/>
    <w:rsid w:val="00AC5F11"/>
    <w:rsid w:val="00AC5F1E"/>
    <w:rsid w:val="00AC5FCD"/>
    <w:rsid w:val="00AC6027"/>
    <w:rsid w:val="00AC60F2"/>
    <w:rsid w:val="00AC63AD"/>
    <w:rsid w:val="00AC63B0"/>
    <w:rsid w:val="00AC653A"/>
    <w:rsid w:val="00AC666D"/>
    <w:rsid w:val="00AC6705"/>
    <w:rsid w:val="00AC6773"/>
    <w:rsid w:val="00AC67B8"/>
    <w:rsid w:val="00AC6907"/>
    <w:rsid w:val="00AC690C"/>
    <w:rsid w:val="00AC69F3"/>
    <w:rsid w:val="00AC6B75"/>
    <w:rsid w:val="00AC6DC5"/>
    <w:rsid w:val="00AC6F77"/>
    <w:rsid w:val="00AC6F8C"/>
    <w:rsid w:val="00AC711C"/>
    <w:rsid w:val="00AC7216"/>
    <w:rsid w:val="00AC7254"/>
    <w:rsid w:val="00AC72B2"/>
    <w:rsid w:val="00AC7438"/>
    <w:rsid w:val="00AC7587"/>
    <w:rsid w:val="00AC75F1"/>
    <w:rsid w:val="00AC7613"/>
    <w:rsid w:val="00AC7709"/>
    <w:rsid w:val="00AC77E6"/>
    <w:rsid w:val="00AC78BD"/>
    <w:rsid w:val="00AC78C3"/>
    <w:rsid w:val="00AC78E3"/>
    <w:rsid w:val="00AC798A"/>
    <w:rsid w:val="00AC7A79"/>
    <w:rsid w:val="00AC7BB0"/>
    <w:rsid w:val="00AC7D43"/>
    <w:rsid w:val="00AC7D84"/>
    <w:rsid w:val="00AC7DF5"/>
    <w:rsid w:val="00AC7E3E"/>
    <w:rsid w:val="00AC7E3F"/>
    <w:rsid w:val="00AC7FE8"/>
    <w:rsid w:val="00AD00B5"/>
    <w:rsid w:val="00AD011F"/>
    <w:rsid w:val="00AD0134"/>
    <w:rsid w:val="00AD015D"/>
    <w:rsid w:val="00AD0440"/>
    <w:rsid w:val="00AD05EF"/>
    <w:rsid w:val="00AD0608"/>
    <w:rsid w:val="00AD068C"/>
    <w:rsid w:val="00AD06B0"/>
    <w:rsid w:val="00AD0739"/>
    <w:rsid w:val="00AD085B"/>
    <w:rsid w:val="00AD0871"/>
    <w:rsid w:val="00AD08B4"/>
    <w:rsid w:val="00AD0923"/>
    <w:rsid w:val="00AD092A"/>
    <w:rsid w:val="00AD0A55"/>
    <w:rsid w:val="00AD0B01"/>
    <w:rsid w:val="00AD0C73"/>
    <w:rsid w:val="00AD0CD8"/>
    <w:rsid w:val="00AD0D83"/>
    <w:rsid w:val="00AD0E79"/>
    <w:rsid w:val="00AD0EFE"/>
    <w:rsid w:val="00AD0F9E"/>
    <w:rsid w:val="00AD1146"/>
    <w:rsid w:val="00AD115C"/>
    <w:rsid w:val="00AD1387"/>
    <w:rsid w:val="00AD14DF"/>
    <w:rsid w:val="00AD1706"/>
    <w:rsid w:val="00AD176C"/>
    <w:rsid w:val="00AD19A1"/>
    <w:rsid w:val="00AD19A2"/>
    <w:rsid w:val="00AD19E6"/>
    <w:rsid w:val="00AD1AE1"/>
    <w:rsid w:val="00AD1AEC"/>
    <w:rsid w:val="00AD1CB8"/>
    <w:rsid w:val="00AD1D38"/>
    <w:rsid w:val="00AD1E20"/>
    <w:rsid w:val="00AD1E9E"/>
    <w:rsid w:val="00AD1F7E"/>
    <w:rsid w:val="00AD2049"/>
    <w:rsid w:val="00AD23FA"/>
    <w:rsid w:val="00AD24AB"/>
    <w:rsid w:val="00AD24FE"/>
    <w:rsid w:val="00AD255A"/>
    <w:rsid w:val="00AD2568"/>
    <w:rsid w:val="00AD25A1"/>
    <w:rsid w:val="00AD2703"/>
    <w:rsid w:val="00AD294F"/>
    <w:rsid w:val="00AD2AD5"/>
    <w:rsid w:val="00AD2BF4"/>
    <w:rsid w:val="00AD2DB6"/>
    <w:rsid w:val="00AD2DB8"/>
    <w:rsid w:val="00AD2F7C"/>
    <w:rsid w:val="00AD35BA"/>
    <w:rsid w:val="00AD3944"/>
    <w:rsid w:val="00AD394E"/>
    <w:rsid w:val="00AD39BA"/>
    <w:rsid w:val="00AD3A4F"/>
    <w:rsid w:val="00AD3C7E"/>
    <w:rsid w:val="00AD3D5D"/>
    <w:rsid w:val="00AD3DFC"/>
    <w:rsid w:val="00AD3F2C"/>
    <w:rsid w:val="00AD3F35"/>
    <w:rsid w:val="00AD40C9"/>
    <w:rsid w:val="00AD40CB"/>
    <w:rsid w:val="00AD41F8"/>
    <w:rsid w:val="00AD473C"/>
    <w:rsid w:val="00AD484F"/>
    <w:rsid w:val="00AD4A39"/>
    <w:rsid w:val="00AD4AA0"/>
    <w:rsid w:val="00AD4AC9"/>
    <w:rsid w:val="00AD4D58"/>
    <w:rsid w:val="00AD5039"/>
    <w:rsid w:val="00AD5098"/>
    <w:rsid w:val="00AD53E9"/>
    <w:rsid w:val="00AD5593"/>
    <w:rsid w:val="00AD56A7"/>
    <w:rsid w:val="00AD56D4"/>
    <w:rsid w:val="00AD56FC"/>
    <w:rsid w:val="00AD57BC"/>
    <w:rsid w:val="00AD5831"/>
    <w:rsid w:val="00AD5955"/>
    <w:rsid w:val="00AD5957"/>
    <w:rsid w:val="00AD595D"/>
    <w:rsid w:val="00AD599A"/>
    <w:rsid w:val="00AD5B59"/>
    <w:rsid w:val="00AD5BC3"/>
    <w:rsid w:val="00AD5C29"/>
    <w:rsid w:val="00AD6024"/>
    <w:rsid w:val="00AD6069"/>
    <w:rsid w:val="00AD6093"/>
    <w:rsid w:val="00AD60BE"/>
    <w:rsid w:val="00AD643A"/>
    <w:rsid w:val="00AD6457"/>
    <w:rsid w:val="00AD64E6"/>
    <w:rsid w:val="00AD6534"/>
    <w:rsid w:val="00AD65D9"/>
    <w:rsid w:val="00AD695A"/>
    <w:rsid w:val="00AD695E"/>
    <w:rsid w:val="00AD69B9"/>
    <w:rsid w:val="00AD6B11"/>
    <w:rsid w:val="00AD6B16"/>
    <w:rsid w:val="00AD6C8D"/>
    <w:rsid w:val="00AD6D39"/>
    <w:rsid w:val="00AD6E0D"/>
    <w:rsid w:val="00AD6E9D"/>
    <w:rsid w:val="00AD6EF8"/>
    <w:rsid w:val="00AD6F50"/>
    <w:rsid w:val="00AD6FEE"/>
    <w:rsid w:val="00AD7152"/>
    <w:rsid w:val="00AD720E"/>
    <w:rsid w:val="00AD7403"/>
    <w:rsid w:val="00AD744F"/>
    <w:rsid w:val="00AD74F3"/>
    <w:rsid w:val="00AD75CA"/>
    <w:rsid w:val="00AD7614"/>
    <w:rsid w:val="00AD7778"/>
    <w:rsid w:val="00AD7863"/>
    <w:rsid w:val="00AD7960"/>
    <w:rsid w:val="00AD79D1"/>
    <w:rsid w:val="00AD7A19"/>
    <w:rsid w:val="00AD7CD5"/>
    <w:rsid w:val="00AD7DA8"/>
    <w:rsid w:val="00AD7E98"/>
    <w:rsid w:val="00AE0120"/>
    <w:rsid w:val="00AE0192"/>
    <w:rsid w:val="00AE024C"/>
    <w:rsid w:val="00AE0254"/>
    <w:rsid w:val="00AE0261"/>
    <w:rsid w:val="00AE035D"/>
    <w:rsid w:val="00AE0515"/>
    <w:rsid w:val="00AE0784"/>
    <w:rsid w:val="00AE07B5"/>
    <w:rsid w:val="00AE0838"/>
    <w:rsid w:val="00AE08C6"/>
    <w:rsid w:val="00AE09DD"/>
    <w:rsid w:val="00AE0B61"/>
    <w:rsid w:val="00AE0B63"/>
    <w:rsid w:val="00AE0B6C"/>
    <w:rsid w:val="00AE0D1E"/>
    <w:rsid w:val="00AE0E2C"/>
    <w:rsid w:val="00AE0E4A"/>
    <w:rsid w:val="00AE1198"/>
    <w:rsid w:val="00AE14B4"/>
    <w:rsid w:val="00AE1570"/>
    <w:rsid w:val="00AE15D3"/>
    <w:rsid w:val="00AE16E9"/>
    <w:rsid w:val="00AE17A0"/>
    <w:rsid w:val="00AE18DD"/>
    <w:rsid w:val="00AE1991"/>
    <w:rsid w:val="00AE1D69"/>
    <w:rsid w:val="00AE1F24"/>
    <w:rsid w:val="00AE2013"/>
    <w:rsid w:val="00AE20F9"/>
    <w:rsid w:val="00AE21C3"/>
    <w:rsid w:val="00AE231F"/>
    <w:rsid w:val="00AE23FB"/>
    <w:rsid w:val="00AE25B0"/>
    <w:rsid w:val="00AE2816"/>
    <w:rsid w:val="00AE2969"/>
    <w:rsid w:val="00AE2974"/>
    <w:rsid w:val="00AE2A82"/>
    <w:rsid w:val="00AE2BFB"/>
    <w:rsid w:val="00AE2CC2"/>
    <w:rsid w:val="00AE2EAB"/>
    <w:rsid w:val="00AE2EC5"/>
    <w:rsid w:val="00AE2F18"/>
    <w:rsid w:val="00AE30B7"/>
    <w:rsid w:val="00AE30CB"/>
    <w:rsid w:val="00AE3102"/>
    <w:rsid w:val="00AE31BC"/>
    <w:rsid w:val="00AE324E"/>
    <w:rsid w:val="00AE3840"/>
    <w:rsid w:val="00AE385F"/>
    <w:rsid w:val="00AE3AC8"/>
    <w:rsid w:val="00AE3D1F"/>
    <w:rsid w:val="00AE3F63"/>
    <w:rsid w:val="00AE3F81"/>
    <w:rsid w:val="00AE4095"/>
    <w:rsid w:val="00AE4126"/>
    <w:rsid w:val="00AE4138"/>
    <w:rsid w:val="00AE43D8"/>
    <w:rsid w:val="00AE4471"/>
    <w:rsid w:val="00AE44DB"/>
    <w:rsid w:val="00AE458C"/>
    <w:rsid w:val="00AE46BC"/>
    <w:rsid w:val="00AE4895"/>
    <w:rsid w:val="00AE4A5B"/>
    <w:rsid w:val="00AE4B39"/>
    <w:rsid w:val="00AE4B45"/>
    <w:rsid w:val="00AE4B61"/>
    <w:rsid w:val="00AE4B72"/>
    <w:rsid w:val="00AE4C20"/>
    <w:rsid w:val="00AE4D8A"/>
    <w:rsid w:val="00AE4E82"/>
    <w:rsid w:val="00AE51FF"/>
    <w:rsid w:val="00AE525D"/>
    <w:rsid w:val="00AE532C"/>
    <w:rsid w:val="00AE536B"/>
    <w:rsid w:val="00AE537D"/>
    <w:rsid w:val="00AE54D4"/>
    <w:rsid w:val="00AE57EB"/>
    <w:rsid w:val="00AE59E8"/>
    <w:rsid w:val="00AE5A96"/>
    <w:rsid w:val="00AE5B6F"/>
    <w:rsid w:val="00AE5BC2"/>
    <w:rsid w:val="00AE5C5A"/>
    <w:rsid w:val="00AE5C99"/>
    <w:rsid w:val="00AE5D2E"/>
    <w:rsid w:val="00AE5DAC"/>
    <w:rsid w:val="00AE6109"/>
    <w:rsid w:val="00AE6157"/>
    <w:rsid w:val="00AE61BA"/>
    <w:rsid w:val="00AE6388"/>
    <w:rsid w:val="00AE6445"/>
    <w:rsid w:val="00AE6457"/>
    <w:rsid w:val="00AE64AA"/>
    <w:rsid w:val="00AE65B3"/>
    <w:rsid w:val="00AE66C9"/>
    <w:rsid w:val="00AE66FD"/>
    <w:rsid w:val="00AE673D"/>
    <w:rsid w:val="00AE6871"/>
    <w:rsid w:val="00AE68DF"/>
    <w:rsid w:val="00AE68E5"/>
    <w:rsid w:val="00AE69FB"/>
    <w:rsid w:val="00AE6A1C"/>
    <w:rsid w:val="00AE6C6E"/>
    <w:rsid w:val="00AE6C94"/>
    <w:rsid w:val="00AE6E67"/>
    <w:rsid w:val="00AE6FF6"/>
    <w:rsid w:val="00AE725F"/>
    <w:rsid w:val="00AE7272"/>
    <w:rsid w:val="00AE73EA"/>
    <w:rsid w:val="00AE73F6"/>
    <w:rsid w:val="00AE73FC"/>
    <w:rsid w:val="00AE760B"/>
    <w:rsid w:val="00AE7779"/>
    <w:rsid w:val="00AE783B"/>
    <w:rsid w:val="00AE7C7A"/>
    <w:rsid w:val="00AE7CE2"/>
    <w:rsid w:val="00AE7D17"/>
    <w:rsid w:val="00AE7E11"/>
    <w:rsid w:val="00AE7E7E"/>
    <w:rsid w:val="00AF00A5"/>
    <w:rsid w:val="00AF0440"/>
    <w:rsid w:val="00AF0632"/>
    <w:rsid w:val="00AF079B"/>
    <w:rsid w:val="00AF094A"/>
    <w:rsid w:val="00AF0B31"/>
    <w:rsid w:val="00AF0ED0"/>
    <w:rsid w:val="00AF101E"/>
    <w:rsid w:val="00AF10AB"/>
    <w:rsid w:val="00AF10AF"/>
    <w:rsid w:val="00AF1333"/>
    <w:rsid w:val="00AF13D4"/>
    <w:rsid w:val="00AF1909"/>
    <w:rsid w:val="00AF19BC"/>
    <w:rsid w:val="00AF1A1A"/>
    <w:rsid w:val="00AF1EDE"/>
    <w:rsid w:val="00AF1F8E"/>
    <w:rsid w:val="00AF210E"/>
    <w:rsid w:val="00AF21E1"/>
    <w:rsid w:val="00AF22A7"/>
    <w:rsid w:val="00AF22FD"/>
    <w:rsid w:val="00AF2431"/>
    <w:rsid w:val="00AF2458"/>
    <w:rsid w:val="00AF2A62"/>
    <w:rsid w:val="00AF2B23"/>
    <w:rsid w:val="00AF2BED"/>
    <w:rsid w:val="00AF2C35"/>
    <w:rsid w:val="00AF2E65"/>
    <w:rsid w:val="00AF2E69"/>
    <w:rsid w:val="00AF2EBD"/>
    <w:rsid w:val="00AF2F37"/>
    <w:rsid w:val="00AF3084"/>
    <w:rsid w:val="00AF309D"/>
    <w:rsid w:val="00AF3329"/>
    <w:rsid w:val="00AF3376"/>
    <w:rsid w:val="00AF345C"/>
    <w:rsid w:val="00AF3982"/>
    <w:rsid w:val="00AF3A77"/>
    <w:rsid w:val="00AF3BBC"/>
    <w:rsid w:val="00AF3CB8"/>
    <w:rsid w:val="00AF3E7C"/>
    <w:rsid w:val="00AF4073"/>
    <w:rsid w:val="00AF452B"/>
    <w:rsid w:val="00AF4736"/>
    <w:rsid w:val="00AF4842"/>
    <w:rsid w:val="00AF489A"/>
    <w:rsid w:val="00AF4AB9"/>
    <w:rsid w:val="00AF4B78"/>
    <w:rsid w:val="00AF4BBC"/>
    <w:rsid w:val="00AF4CD2"/>
    <w:rsid w:val="00AF4DA1"/>
    <w:rsid w:val="00AF4DBA"/>
    <w:rsid w:val="00AF4EAD"/>
    <w:rsid w:val="00AF4F5D"/>
    <w:rsid w:val="00AF5178"/>
    <w:rsid w:val="00AF517D"/>
    <w:rsid w:val="00AF5365"/>
    <w:rsid w:val="00AF5512"/>
    <w:rsid w:val="00AF5602"/>
    <w:rsid w:val="00AF5624"/>
    <w:rsid w:val="00AF57F1"/>
    <w:rsid w:val="00AF5A2C"/>
    <w:rsid w:val="00AF5BDE"/>
    <w:rsid w:val="00AF5E4E"/>
    <w:rsid w:val="00AF5E5E"/>
    <w:rsid w:val="00AF5EA0"/>
    <w:rsid w:val="00AF5EA5"/>
    <w:rsid w:val="00AF5EEE"/>
    <w:rsid w:val="00AF5FDA"/>
    <w:rsid w:val="00AF6063"/>
    <w:rsid w:val="00AF609E"/>
    <w:rsid w:val="00AF61F2"/>
    <w:rsid w:val="00AF6455"/>
    <w:rsid w:val="00AF648E"/>
    <w:rsid w:val="00AF65BB"/>
    <w:rsid w:val="00AF66A0"/>
    <w:rsid w:val="00AF688B"/>
    <w:rsid w:val="00AF68F7"/>
    <w:rsid w:val="00AF6C9B"/>
    <w:rsid w:val="00AF6CF4"/>
    <w:rsid w:val="00AF6E0A"/>
    <w:rsid w:val="00AF6E84"/>
    <w:rsid w:val="00AF6F15"/>
    <w:rsid w:val="00AF6FBC"/>
    <w:rsid w:val="00AF7093"/>
    <w:rsid w:val="00AF70A2"/>
    <w:rsid w:val="00AF72B0"/>
    <w:rsid w:val="00AF737D"/>
    <w:rsid w:val="00AF7A0F"/>
    <w:rsid w:val="00AF7A1F"/>
    <w:rsid w:val="00AF7B93"/>
    <w:rsid w:val="00AF7BA0"/>
    <w:rsid w:val="00B000FA"/>
    <w:rsid w:val="00B00345"/>
    <w:rsid w:val="00B0036E"/>
    <w:rsid w:val="00B0039A"/>
    <w:rsid w:val="00B003A6"/>
    <w:rsid w:val="00B00410"/>
    <w:rsid w:val="00B005F4"/>
    <w:rsid w:val="00B006A2"/>
    <w:rsid w:val="00B006B9"/>
    <w:rsid w:val="00B006E8"/>
    <w:rsid w:val="00B007E9"/>
    <w:rsid w:val="00B008CC"/>
    <w:rsid w:val="00B00912"/>
    <w:rsid w:val="00B00A9C"/>
    <w:rsid w:val="00B00B88"/>
    <w:rsid w:val="00B00C9D"/>
    <w:rsid w:val="00B00DB0"/>
    <w:rsid w:val="00B01038"/>
    <w:rsid w:val="00B010DB"/>
    <w:rsid w:val="00B0147D"/>
    <w:rsid w:val="00B014AE"/>
    <w:rsid w:val="00B01508"/>
    <w:rsid w:val="00B016A4"/>
    <w:rsid w:val="00B01700"/>
    <w:rsid w:val="00B017AF"/>
    <w:rsid w:val="00B018E1"/>
    <w:rsid w:val="00B01B9F"/>
    <w:rsid w:val="00B01D97"/>
    <w:rsid w:val="00B01EE0"/>
    <w:rsid w:val="00B01F0F"/>
    <w:rsid w:val="00B01F52"/>
    <w:rsid w:val="00B01F94"/>
    <w:rsid w:val="00B0247B"/>
    <w:rsid w:val="00B02552"/>
    <w:rsid w:val="00B02880"/>
    <w:rsid w:val="00B02DFE"/>
    <w:rsid w:val="00B02E11"/>
    <w:rsid w:val="00B031BA"/>
    <w:rsid w:val="00B031D6"/>
    <w:rsid w:val="00B03516"/>
    <w:rsid w:val="00B03649"/>
    <w:rsid w:val="00B03709"/>
    <w:rsid w:val="00B038B8"/>
    <w:rsid w:val="00B03941"/>
    <w:rsid w:val="00B03A2E"/>
    <w:rsid w:val="00B03D47"/>
    <w:rsid w:val="00B03F64"/>
    <w:rsid w:val="00B03F83"/>
    <w:rsid w:val="00B0402B"/>
    <w:rsid w:val="00B0403C"/>
    <w:rsid w:val="00B0408D"/>
    <w:rsid w:val="00B040DE"/>
    <w:rsid w:val="00B04412"/>
    <w:rsid w:val="00B044B2"/>
    <w:rsid w:val="00B044DD"/>
    <w:rsid w:val="00B04681"/>
    <w:rsid w:val="00B0490D"/>
    <w:rsid w:val="00B0490F"/>
    <w:rsid w:val="00B0498D"/>
    <w:rsid w:val="00B049B7"/>
    <w:rsid w:val="00B04B31"/>
    <w:rsid w:val="00B04E07"/>
    <w:rsid w:val="00B04F55"/>
    <w:rsid w:val="00B05250"/>
    <w:rsid w:val="00B053F3"/>
    <w:rsid w:val="00B057F4"/>
    <w:rsid w:val="00B059F0"/>
    <w:rsid w:val="00B05C11"/>
    <w:rsid w:val="00B05C89"/>
    <w:rsid w:val="00B05F62"/>
    <w:rsid w:val="00B0601B"/>
    <w:rsid w:val="00B06052"/>
    <w:rsid w:val="00B0610A"/>
    <w:rsid w:val="00B061C1"/>
    <w:rsid w:val="00B061CE"/>
    <w:rsid w:val="00B06216"/>
    <w:rsid w:val="00B06523"/>
    <w:rsid w:val="00B06603"/>
    <w:rsid w:val="00B067AB"/>
    <w:rsid w:val="00B06B41"/>
    <w:rsid w:val="00B06C08"/>
    <w:rsid w:val="00B06CC0"/>
    <w:rsid w:val="00B06D0C"/>
    <w:rsid w:val="00B07212"/>
    <w:rsid w:val="00B07223"/>
    <w:rsid w:val="00B07276"/>
    <w:rsid w:val="00B073FA"/>
    <w:rsid w:val="00B07653"/>
    <w:rsid w:val="00B079DB"/>
    <w:rsid w:val="00B07A1F"/>
    <w:rsid w:val="00B07D5A"/>
    <w:rsid w:val="00B07D95"/>
    <w:rsid w:val="00B07DAD"/>
    <w:rsid w:val="00B07ED5"/>
    <w:rsid w:val="00B07ED6"/>
    <w:rsid w:val="00B07FA1"/>
    <w:rsid w:val="00B07FD8"/>
    <w:rsid w:val="00B1015A"/>
    <w:rsid w:val="00B1019F"/>
    <w:rsid w:val="00B1022E"/>
    <w:rsid w:val="00B103BC"/>
    <w:rsid w:val="00B104E3"/>
    <w:rsid w:val="00B1064F"/>
    <w:rsid w:val="00B10983"/>
    <w:rsid w:val="00B10A8A"/>
    <w:rsid w:val="00B10CED"/>
    <w:rsid w:val="00B11220"/>
    <w:rsid w:val="00B114DC"/>
    <w:rsid w:val="00B116BC"/>
    <w:rsid w:val="00B1174F"/>
    <w:rsid w:val="00B118A8"/>
    <w:rsid w:val="00B11AA3"/>
    <w:rsid w:val="00B11B1E"/>
    <w:rsid w:val="00B11B75"/>
    <w:rsid w:val="00B11BE4"/>
    <w:rsid w:val="00B11D4E"/>
    <w:rsid w:val="00B11E96"/>
    <w:rsid w:val="00B11FFF"/>
    <w:rsid w:val="00B120C3"/>
    <w:rsid w:val="00B12123"/>
    <w:rsid w:val="00B121C8"/>
    <w:rsid w:val="00B12287"/>
    <w:rsid w:val="00B12311"/>
    <w:rsid w:val="00B12513"/>
    <w:rsid w:val="00B1253B"/>
    <w:rsid w:val="00B12561"/>
    <w:rsid w:val="00B125EB"/>
    <w:rsid w:val="00B12654"/>
    <w:rsid w:val="00B12779"/>
    <w:rsid w:val="00B1277D"/>
    <w:rsid w:val="00B12854"/>
    <w:rsid w:val="00B128B9"/>
    <w:rsid w:val="00B129A2"/>
    <w:rsid w:val="00B129A6"/>
    <w:rsid w:val="00B12A6C"/>
    <w:rsid w:val="00B12AE6"/>
    <w:rsid w:val="00B12C71"/>
    <w:rsid w:val="00B12FA1"/>
    <w:rsid w:val="00B1310F"/>
    <w:rsid w:val="00B1316B"/>
    <w:rsid w:val="00B1329D"/>
    <w:rsid w:val="00B132B5"/>
    <w:rsid w:val="00B132C0"/>
    <w:rsid w:val="00B1344B"/>
    <w:rsid w:val="00B1354B"/>
    <w:rsid w:val="00B1360F"/>
    <w:rsid w:val="00B13780"/>
    <w:rsid w:val="00B1383E"/>
    <w:rsid w:val="00B13B55"/>
    <w:rsid w:val="00B13C4D"/>
    <w:rsid w:val="00B13DF5"/>
    <w:rsid w:val="00B13E81"/>
    <w:rsid w:val="00B13EFD"/>
    <w:rsid w:val="00B14111"/>
    <w:rsid w:val="00B141CF"/>
    <w:rsid w:val="00B142A8"/>
    <w:rsid w:val="00B142D1"/>
    <w:rsid w:val="00B143D5"/>
    <w:rsid w:val="00B145B9"/>
    <w:rsid w:val="00B14641"/>
    <w:rsid w:val="00B14664"/>
    <w:rsid w:val="00B14757"/>
    <w:rsid w:val="00B148EA"/>
    <w:rsid w:val="00B14EE2"/>
    <w:rsid w:val="00B14F30"/>
    <w:rsid w:val="00B14F71"/>
    <w:rsid w:val="00B151D8"/>
    <w:rsid w:val="00B152F6"/>
    <w:rsid w:val="00B155BE"/>
    <w:rsid w:val="00B15609"/>
    <w:rsid w:val="00B1568A"/>
    <w:rsid w:val="00B15821"/>
    <w:rsid w:val="00B158AD"/>
    <w:rsid w:val="00B158F7"/>
    <w:rsid w:val="00B1599B"/>
    <w:rsid w:val="00B15A4A"/>
    <w:rsid w:val="00B15D32"/>
    <w:rsid w:val="00B15E34"/>
    <w:rsid w:val="00B15E70"/>
    <w:rsid w:val="00B15FD1"/>
    <w:rsid w:val="00B160B2"/>
    <w:rsid w:val="00B160EC"/>
    <w:rsid w:val="00B163BC"/>
    <w:rsid w:val="00B165BD"/>
    <w:rsid w:val="00B166BC"/>
    <w:rsid w:val="00B166C4"/>
    <w:rsid w:val="00B16736"/>
    <w:rsid w:val="00B16793"/>
    <w:rsid w:val="00B168A9"/>
    <w:rsid w:val="00B169CC"/>
    <w:rsid w:val="00B16CF8"/>
    <w:rsid w:val="00B16E60"/>
    <w:rsid w:val="00B16E6E"/>
    <w:rsid w:val="00B16EC4"/>
    <w:rsid w:val="00B16EEC"/>
    <w:rsid w:val="00B16F0C"/>
    <w:rsid w:val="00B17317"/>
    <w:rsid w:val="00B1743A"/>
    <w:rsid w:val="00B17457"/>
    <w:rsid w:val="00B174F9"/>
    <w:rsid w:val="00B17540"/>
    <w:rsid w:val="00B176DE"/>
    <w:rsid w:val="00B17769"/>
    <w:rsid w:val="00B1799C"/>
    <w:rsid w:val="00B17A04"/>
    <w:rsid w:val="00B17A85"/>
    <w:rsid w:val="00B17CD9"/>
    <w:rsid w:val="00B17D9A"/>
    <w:rsid w:val="00B17E75"/>
    <w:rsid w:val="00B20276"/>
    <w:rsid w:val="00B20386"/>
    <w:rsid w:val="00B2039B"/>
    <w:rsid w:val="00B20471"/>
    <w:rsid w:val="00B2049A"/>
    <w:rsid w:val="00B20521"/>
    <w:rsid w:val="00B20708"/>
    <w:rsid w:val="00B20798"/>
    <w:rsid w:val="00B207F3"/>
    <w:rsid w:val="00B20B05"/>
    <w:rsid w:val="00B20B93"/>
    <w:rsid w:val="00B20BB0"/>
    <w:rsid w:val="00B20BBF"/>
    <w:rsid w:val="00B20C58"/>
    <w:rsid w:val="00B20DC1"/>
    <w:rsid w:val="00B20EEC"/>
    <w:rsid w:val="00B2100B"/>
    <w:rsid w:val="00B210EA"/>
    <w:rsid w:val="00B2123A"/>
    <w:rsid w:val="00B21299"/>
    <w:rsid w:val="00B21363"/>
    <w:rsid w:val="00B214AA"/>
    <w:rsid w:val="00B21532"/>
    <w:rsid w:val="00B21651"/>
    <w:rsid w:val="00B21AB6"/>
    <w:rsid w:val="00B21AE9"/>
    <w:rsid w:val="00B21B4A"/>
    <w:rsid w:val="00B21D11"/>
    <w:rsid w:val="00B21F3D"/>
    <w:rsid w:val="00B21F8D"/>
    <w:rsid w:val="00B22220"/>
    <w:rsid w:val="00B22231"/>
    <w:rsid w:val="00B22478"/>
    <w:rsid w:val="00B22559"/>
    <w:rsid w:val="00B225A8"/>
    <w:rsid w:val="00B2273C"/>
    <w:rsid w:val="00B22AFF"/>
    <w:rsid w:val="00B22C2C"/>
    <w:rsid w:val="00B22C57"/>
    <w:rsid w:val="00B22C7F"/>
    <w:rsid w:val="00B22DC8"/>
    <w:rsid w:val="00B22F43"/>
    <w:rsid w:val="00B23059"/>
    <w:rsid w:val="00B23115"/>
    <w:rsid w:val="00B233C0"/>
    <w:rsid w:val="00B23416"/>
    <w:rsid w:val="00B23423"/>
    <w:rsid w:val="00B23443"/>
    <w:rsid w:val="00B235B7"/>
    <w:rsid w:val="00B235DD"/>
    <w:rsid w:val="00B2369A"/>
    <w:rsid w:val="00B236A4"/>
    <w:rsid w:val="00B23709"/>
    <w:rsid w:val="00B2396F"/>
    <w:rsid w:val="00B23997"/>
    <w:rsid w:val="00B23A30"/>
    <w:rsid w:val="00B23A7B"/>
    <w:rsid w:val="00B23BFC"/>
    <w:rsid w:val="00B23D2E"/>
    <w:rsid w:val="00B23D43"/>
    <w:rsid w:val="00B23DD4"/>
    <w:rsid w:val="00B23E4F"/>
    <w:rsid w:val="00B23E57"/>
    <w:rsid w:val="00B24113"/>
    <w:rsid w:val="00B242CC"/>
    <w:rsid w:val="00B245AC"/>
    <w:rsid w:val="00B24807"/>
    <w:rsid w:val="00B24B82"/>
    <w:rsid w:val="00B24CC8"/>
    <w:rsid w:val="00B24D36"/>
    <w:rsid w:val="00B24DE4"/>
    <w:rsid w:val="00B24DE8"/>
    <w:rsid w:val="00B24ED7"/>
    <w:rsid w:val="00B24F08"/>
    <w:rsid w:val="00B250C4"/>
    <w:rsid w:val="00B250D5"/>
    <w:rsid w:val="00B25182"/>
    <w:rsid w:val="00B25249"/>
    <w:rsid w:val="00B252F7"/>
    <w:rsid w:val="00B25366"/>
    <w:rsid w:val="00B25397"/>
    <w:rsid w:val="00B253E2"/>
    <w:rsid w:val="00B25728"/>
    <w:rsid w:val="00B2573E"/>
    <w:rsid w:val="00B258AD"/>
    <w:rsid w:val="00B259DD"/>
    <w:rsid w:val="00B25A76"/>
    <w:rsid w:val="00B25C0B"/>
    <w:rsid w:val="00B25CA7"/>
    <w:rsid w:val="00B25E85"/>
    <w:rsid w:val="00B25FA8"/>
    <w:rsid w:val="00B26083"/>
    <w:rsid w:val="00B26110"/>
    <w:rsid w:val="00B26337"/>
    <w:rsid w:val="00B26380"/>
    <w:rsid w:val="00B264C2"/>
    <w:rsid w:val="00B26533"/>
    <w:rsid w:val="00B2656F"/>
    <w:rsid w:val="00B267F3"/>
    <w:rsid w:val="00B26890"/>
    <w:rsid w:val="00B269B7"/>
    <w:rsid w:val="00B26BF9"/>
    <w:rsid w:val="00B27242"/>
    <w:rsid w:val="00B274F1"/>
    <w:rsid w:val="00B27552"/>
    <w:rsid w:val="00B27679"/>
    <w:rsid w:val="00B2770C"/>
    <w:rsid w:val="00B27922"/>
    <w:rsid w:val="00B27D46"/>
    <w:rsid w:val="00B27E9D"/>
    <w:rsid w:val="00B27F92"/>
    <w:rsid w:val="00B300DB"/>
    <w:rsid w:val="00B300FE"/>
    <w:rsid w:val="00B30241"/>
    <w:rsid w:val="00B302A2"/>
    <w:rsid w:val="00B30406"/>
    <w:rsid w:val="00B3045D"/>
    <w:rsid w:val="00B30673"/>
    <w:rsid w:val="00B30682"/>
    <w:rsid w:val="00B306A7"/>
    <w:rsid w:val="00B30823"/>
    <w:rsid w:val="00B3083A"/>
    <w:rsid w:val="00B30918"/>
    <w:rsid w:val="00B30A95"/>
    <w:rsid w:val="00B30AF8"/>
    <w:rsid w:val="00B30B3E"/>
    <w:rsid w:val="00B30F4A"/>
    <w:rsid w:val="00B30FC3"/>
    <w:rsid w:val="00B3102F"/>
    <w:rsid w:val="00B310C8"/>
    <w:rsid w:val="00B312BF"/>
    <w:rsid w:val="00B31393"/>
    <w:rsid w:val="00B314A5"/>
    <w:rsid w:val="00B316C1"/>
    <w:rsid w:val="00B3182B"/>
    <w:rsid w:val="00B31893"/>
    <w:rsid w:val="00B318A4"/>
    <w:rsid w:val="00B31CC3"/>
    <w:rsid w:val="00B31CC9"/>
    <w:rsid w:val="00B31D82"/>
    <w:rsid w:val="00B31E7D"/>
    <w:rsid w:val="00B31FAF"/>
    <w:rsid w:val="00B322B5"/>
    <w:rsid w:val="00B32594"/>
    <w:rsid w:val="00B327E7"/>
    <w:rsid w:val="00B329A1"/>
    <w:rsid w:val="00B32BA2"/>
    <w:rsid w:val="00B32DCC"/>
    <w:rsid w:val="00B32DE3"/>
    <w:rsid w:val="00B32E56"/>
    <w:rsid w:val="00B33655"/>
    <w:rsid w:val="00B3367E"/>
    <w:rsid w:val="00B33747"/>
    <w:rsid w:val="00B3378C"/>
    <w:rsid w:val="00B33928"/>
    <w:rsid w:val="00B33A68"/>
    <w:rsid w:val="00B33A7D"/>
    <w:rsid w:val="00B33B3B"/>
    <w:rsid w:val="00B33DE5"/>
    <w:rsid w:val="00B33F0D"/>
    <w:rsid w:val="00B3404F"/>
    <w:rsid w:val="00B340F8"/>
    <w:rsid w:val="00B34154"/>
    <w:rsid w:val="00B3419E"/>
    <w:rsid w:val="00B34350"/>
    <w:rsid w:val="00B3441F"/>
    <w:rsid w:val="00B34493"/>
    <w:rsid w:val="00B3451F"/>
    <w:rsid w:val="00B34610"/>
    <w:rsid w:val="00B3467C"/>
    <w:rsid w:val="00B3481C"/>
    <w:rsid w:val="00B349CF"/>
    <w:rsid w:val="00B34D4A"/>
    <w:rsid w:val="00B34E90"/>
    <w:rsid w:val="00B34F28"/>
    <w:rsid w:val="00B34FE0"/>
    <w:rsid w:val="00B3504B"/>
    <w:rsid w:val="00B35091"/>
    <w:rsid w:val="00B351F8"/>
    <w:rsid w:val="00B35436"/>
    <w:rsid w:val="00B35585"/>
    <w:rsid w:val="00B357EE"/>
    <w:rsid w:val="00B3588B"/>
    <w:rsid w:val="00B358AB"/>
    <w:rsid w:val="00B35BC1"/>
    <w:rsid w:val="00B35C72"/>
    <w:rsid w:val="00B35CF7"/>
    <w:rsid w:val="00B35E41"/>
    <w:rsid w:val="00B35F52"/>
    <w:rsid w:val="00B36019"/>
    <w:rsid w:val="00B36211"/>
    <w:rsid w:val="00B364D6"/>
    <w:rsid w:val="00B367AF"/>
    <w:rsid w:val="00B36A79"/>
    <w:rsid w:val="00B36B36"/>
    <w:rsid w:val="00B36B41"/>
    <w:rsid w:val="00B36D41"/>
    <w:rsid w:val="00B36DC1"/>
    <w:rsid w:val="00B36E43"/>
    <w:rsid w:val="00B36E8D"/>
    <w:rsid w:val="00B36FF3"/>
    <w:rsid w:val="00B37086"/>
    <w:rsid w:val="00B3717D"/>
    <w:rsid w:val="00B3748E"/>
    <w:rsid w:val="00B374AC"/>
    <w:rsid w:val="00B37506"/>
    <w:rsid w:val="00B375F2"/>
    <w:rsid w:val="00B37868"/>
    <w:rsid w:val="00B37BE1"/>
    <w:rsid w:val="00B37BE3"/>
    <w:rsid w:val="00B37C5C"/>
    <w:rsid w:val="00B37C72"/>
    <w:rsid w:val="00B37E3B"/>
    <w:rsid w:val="00B37FA1"/>
    <w:rsid w:val="00B401F7"/>
    <w:rsid w:val="00B403AF"/>
    <w:rsid w:val="00B40720"/>
    <w:rsid w:val="00B40738"/>
    <w:rsid w:val="00B408FA"/>
    <w:rsid w:val="00B4092F"/>
    <w:rsid w:val="00B409E5"/>
    <w:rsid w:val="00B40A96"/>
    <w:rsid w:val="00B40B64"/>
    <w:rsid w:val="00B40BB0"/>
    <w:rsid w:val="00B40C2D"/>
    <w:rsid w:val="00B40C2E"/>
    <w:rsid w:val="00B40DDE"/>
    <w:rsid w:val="00B40E1E"/>
    <w:rsid w:val="00B40E50"/>
    <w:rsid w:val="00B40E80"/>
    <w:rsid w:val="00B40ED3"/>
    <w:rsid w:val="00B40F16"/>
    <w:rsid w:val="00B40FEF"/>
    <w:rsid w:val="00B41143"/>
    <w:rsid w:val="00B4127A"/>
    <w:rsid w:val="00B4137A"/>
    <w:rsid w:val="00B413B9"/>
    <w:rsid w:val="00B41419"/>
    <w:rsid w:val="00B4181D"/>
    <w:rsid w:val="00B418F6"/>
    <w:rsid w:val="00B418FC"/>
    <w:rsid w:val="00B419C8"/>
    <w:rsid w:val="00B41A8F"/>
    <w:rsid w:val="00B41DE0"/>
    <w:rsid w:val="00B41E8B"/>
    <w:rsid w:val="00B41EF3"/>
    <w:rsid w:val="00B41F3A"/>
    <w:rsid w:val="00B4208F"/>
    <w:rsid w:val="00B422A3"/>
    <w:rsid w:val="00B4238D"/>
    <w:rsid w:val="00B42433"/>
    <w:rsid w:val="00B42442"/>
    <w:rsid w:val="00B42612"/>
    <w:rsid w:val="00B42714"/>
    <w:rsid w:val="00B42771"/>
    <w:rsid w:val="00B427FF"/>
    <w:rsid w:val="00B429D7"/>
    <w:rsid w:val="00B42A3A"/>
    <w:rsid w:val="00B42B88"/>
    <w:rsid w:val="00B42C2E"/>
    <w:rsid w:val="00B42DB3"/>
    <w:rsid w:val="00B42DD2"/>
    <w:rsid w:val="00B4314E"/>
    <w:rsid w:val="00B43342"/>
    <w:rsid w:val="00B434B2"/>
    <w:rsid w:val="00B434CE"/>
    <w:rsid w:val="00B435CF"/>
    <w:rsid w:val="00B435E0"/>
    <w:rsid w:val="00B4360D"/>
    <w:rsid w:val="00B43614"/>
    <w:rsid w:val="00B4361D"/>
    <w:rsid w:val="00B43671"/>
    <w:rsid w:val="00B437C7"/>
    <w:rsid w:val="00B438F7"/>
    <w:rsid w:val="00B43B36"/>
    <w:rsid w:val="00B43D0A"/>
    <w:rsid w:val="00B43D50"/>
    <w:rsid w:val="00B43E87"/>
    <w:rsid w:val="00B43E8F"/>
    <w:rsid w:val="00B440C5"/>
    <w:rsid w:val="00B44175"/>
    <w:rsid w:val="00B443CB"/>
    <w:rsid w:val="00B443F0"/>
    <w:rsid w:val="00B4441B"/>
    <w:rsid w:val="00B4479C"/>
    <w:rsid w:val="00B449BE"/>
    <w:rsid w:val="00B44A03"/>
    <w:rsid w:val="00B44A82"/>
    <w:rsid w:val="00B44ADC"/>
    <w:rsid w:val="00B44B6D"/>
    <w:rsid w:val="00B44CE8"/>
    <w:rsid w:val="00B44D49"/>
    <w:rsid w:val="00B44F90"/>
    <w:rsid w:val="00B4505D"/>
    <w:rsid w:val="00B451F1"/>
    <w:rsid w:val="00B45991"/>
    <w:rsid w:val="00B45CAA"/>
    <w:rsid w:val="00B45D72"/>
    <w:rsid w:val="00B45E62"/>
    <w:rsid w:val="00B463F7"/>
    <w:rsid w:val="00B46507"/>
    <w:rsid w:val="00B46529"/>
    <w:rsid w:val="00B465B9"/>
    <w:rsid w:val="00B46692"/>
    <w:rsid w:val="00B46780"/>
    <w:rsid w:val="00B469D0"/>
    <w:rsid w:val="00B46A9A"/>
    <w:rsid w:val="00B46AF4"/>
    <w:rsid w:val="00B46AFD"/>
    <w:rsid w:val="00B46E60"/>
    <w:rsid w:val="00B4771A"/>
    <w:rsid w:val="00B47832"/>
    <w:rsid w:val="00B47B27"/>
    <w:rsid w:val="00B47B58"/>
    <w:rsid w:val="00B5020F"/>
    <w:rsid w:val="00B502B6"/>
    <w:rsid w:val="00B50446"/>
    <w:rsid w:val="00B50486"/>
    <w:rsid w:val="00B50547"/>
    <w:rsid w:val="00B505B7"/>
    <w:rsid w:val="00B5060B"/>
    <w:rsid w:val="00B507C2"/>
    <w:rsid w:val="00B50895"/>
    <w:rsid w:val="00B509C7"/>
    <w:rsid w:val="00B50A79"/>
    <w:rsid w:val="00B50AAE"/>
    <w:rsid w:val="00B50C33"/>
    <w:rsid w:val="00B50CA9"/>
    <w:rsid w:val="00B50E53"/>
    <w:rsid w:val="00B50E57"/>
    <w:rsid w:val="00B50F4C"/>
    <w:rsid w:val="00B51157"/>
    <w:rsid w:val="00B51663"/>
    <w:rsid w:val="00B516DF"/>
    <w:rsid w:val="00B518B6"/>
    <w:rsid w:val="00B51954"/>
    <w:rsid w:val="00B51CB0"/>
    <w:rsid w:val="00B51D95"/>
    <w:rsid w:val="00B51DCB"/>
    <w:rsid w:val="00B51E5A"/>
    <w:rsid w:val="00B52049"/>
    <w:rsid w:val="00B52082"/>
    <w:rsid w:val="00B5217F"/>
    <w:rsid w:val="00B521D9"/>
    <w:rsid w:val="00B52387"/>
    <w:rsid w:val="00B52410"/>
    <w:rsid w:val="00B525E8"/>
    <w:rsid w:val="00B52674"/>
    <w:rsid w:val="00B5271B"/>
    <w:rsid w:val="00B5280B"/>
    <w:rsid w:val="00B5292E"/>
    <w:rsid w:val="00B5293D"/>
    <w:rsid w:val="00B529A8"/>
    <w:rsid w:val="00B52C7B"/>
    <w:rsid w:val="00B52EC0"/>
    <w:rsid w:val="00B52F03"/>
    <w:rsid w:val="00B530F6"/>
    <w:rsid w:val="00B5310E"/>
    <w:rsid w:val="00B53169"/>
    <w:rsid w:val="00B531FA"/>
    <w:rsid w:val="00B5322F"/>
    <w:rsid w:val="00B5323D"/>
    <w:rsid w:val="00B534BA"/>
    <w:rsid w:val="00B5357B"/>
    <w:rsid w:val="00B53755"/>
    <w:rsid w:val="00B537A8"/>
    <w:rsid w:val="00B5381C"/>
    <w:rsid w:val="00B5387F"/>
    <w:rsid w:val="00B53A3C"/>
    <w:rsid w:val="00B53A41"/>
    <w:rsid w:val="00B53AEB"/>
    <w:rsid w:val="00B53D7A"/>
    <w:rsid w:val="00B540B9"/>
    <w:rsid w:val="00B540E5"/>
    <w:rsid w:val="00B54108"/>
    <w:rsid w:val="00B541B9"/>
    <w:rsid w:val="00B541ED"/>
    <w:rsid w:val="00B5428D"/>
    <w:rsid w:val="00B542B4"/>
    <w:rsid w:val="00B54332"/>
    <w:rsid w:val="00B543AD"/>
    <w:rsid w:val="00B543BF"/>
    <w:rsid w:val="00B5446D"/>
    <w:rsid w:val="00B545B4"/>
    <w:rsid w:val="00B54B43"/>
    <w:rsid w:val="00B54C4E"/>
    <w:rsid w:val="00B54D52"/>
    <w:rsid w:val="00B54DA1"/>
    <w:rsid w:val="00B54F3F"/>
    <w:rsid w:val="00B5506D"/>
    <w:rsid w:val="00B55376"/>
    <w:rsid w:val="00B553C8"/>
    <w:rsid w:val="00B5557A"/>
    <w:rsid w:val="00B555C9"/>
    <w:rsid w:val="00B55795"/>
    <w:rsid w:val="00B55797"/>
    <w:rsid w:val="00B557DA"/>
    <w:rsid w:val="00B5586F"/>
    <w:rsid w:val="00B558F4"/>
    <w:rsid w:val="00B55A42"/>
    <w:rsid w:val="00B55B3E"/>
    <w:rsid w:val="00B55B6C"/>
    <w:rsid w:val="00B55B86"/>
    <w:rsid w:val="00B55D4F"/>
    <w:rsid w:val="00B5604D"/>
    <w:rsid w:val="00B56102"/>
    <w:rsid w:val="00B56146"/>
    <w:rsid w:val="00B561C6"/>
    <w:rsid w:val="00B56217"/>
    <w:rsid w:val="00B56414"/>
    <w:rsid w:val="00B56493"/>
    <w:rsid w:val="00B564FD"/>
    <w:rsid w:val="00B565FF"/>
    <w:rsid w:val="00B569F5"/>
    <w:rsid w:val="00B56CAE"/>
    <w:rsid w:val="00B56D32"/>
    <w:rsid w:val="00B56DD7"/>
    <w:rsid w:val="00B56EF8"/>
    <w:rsid w:val="00B5702A"/>
    <w:rsid w:val="00B57059"/>
    <w:rsid w:val="00B57170"/>
    <w:rsid w:val="00B571BF"/>
    <w:rsid w:val="00B57279"/>
    <w:rsid w:val="00B57362"/>
    <w:rsid w:val="00B576B3"/>
    <w:rsid w:val="00B5795C"/>
    <w:rsid w:val="00B5799A"/>
    <w:rsid w:val="00B579F4"/>
    <w:rsid w:val="00B57A4F"/>
    <w:rsid w:val="00B57A99"/>
    <w:rsid w:val="00B57E23"/>
    <w:rsid w:val="00B57E5B"/>
    <w:rsid w:val="00B57E8D"/>
    <w:rsid w:val="00B57ED6"/>
    <w:rsid w:val="00B5FB82"/>
    <w:rsid w:val="00B60043"/>
    <w:rsid w:val="00B60176"/>
    <w:rsid w:val="00B60206"/>
    <w:rsid w:val="00B60320"/>
    <w:rsid w:val="00B60377"/>
    <w:rsid w:val="00B603AB"/>
    <w:rsid w:val="00B604A1"/>
    <w:rsid w:val="00B60555"/>
    <w:rsid w:val="00B6055B"/>
    <w:rsid w:val="00B605BA"/>
    <w:rsid w:val="00B605BB"/>
    <w:rsid w:val="00B605E2"/>
    <w:rsid w:val="00B606E1"/>
    <w:rsid w:val="00B60A53"/>
    <w:rsid w:val="00B60B54"/>
    <w:rsid w:val="00B60C29"/>
    <w:rsid w:val="00B60E57"/>
    <w:rsid w:val="00B60E96"/>
    <w:rsid w:val="00B60F35"/>
    <w:rsid w:val="00B60FDD"/>
    <w:rsid w:val="00B610E9"/>
    <w:rsid w:val="00B61263"/>
    <w:rsid w:val="00B612A3"/>
    <w:rsid w:val="00B61398"/>
    <w:rsid w:val="00B61472"/>
    <w:rsid w:val="00B615E9"/>
    <w:rsid w:val="00B61789"/>
    <w:rsid w:val="00B6185F"/>
    <w:rsid w:val="00B61A7E"/>
    <w:rsid w:val="00B61AA1"/>
    <w:rsid w:val="00B61C71"/>
    <w:rsid w:val="00B61D3B"/>
    <w:rsid w:val="00B61F6A"/>
    <w:rsid w:val="00B61F85"/>
    <w:rsid w:val="00B61FD6"/>
    <w:rsid w:val="00B62026"/>
    <w:rsid w:val="00B621C9"/>
    <w:rsid w:val="00B6222A"/>
    <w:rsid w:val="00B62264"/>
    <w:rsid w:val="00B62357"/>
    <w:rsid w:val="00B62384"/>
    <w:rsid w:val="00B62680"/>
    <w:rsid w:val="00B626F1"/>
    <w:rsid w:val="00B6277C"/>
    <w:rsid w:val="00B6277D"/>
    <w:rsid w:val="00B62A63"/>
    <w:rsid w:val="00B62AC7"/>
    <w:rsid w:val="00B62BCE"/>
    <w:rsid w:val="00B62E56"/>
    <w:rsid w:val="00B62EAC"/>
    <w:rsid w:val="00B62EB4"/>
    <w:rsid w:val="00B62EC5"/>
    <w:rsid w:val="00B63169"/>
    <w:rsid w:val="00B633AE"/>
    <w:rsid w:val="00B63538"/>
    <w:rsid w:val="00B63580"/>
    <w:rsid w:val="00B635DD"/>
    <w:rsid w:val="00B63633"/>
    <w:rsid w:val="00B63656"/>
    <w:rsid w:val="00B637A8"/>
    <w:rsid w:val="00B638DE"/>
    <w:rsid w:val="00B63B2F"/>
    <w:rsid w:val="00B63E2D"/>
    <w:rsid w:val="00B63F37"/>
    <w:rsid w:val="00B63F4B"/>
    <w:rsid w:val="00B64112"/>
    <w:rsid w:val="00B64144"/>
    <w:rsid w:val="00B64237"/>
    <w:rsid w:val="00B64241"/>
    <w:rsid w:val="00B64337"/>
    <w:rsid w:val="00B6437F"/>
    <w:rsid w:val="00B64427"/>
    <w:rsid w:val="00B644B6"/>
    <w:rsid w:val="00B6477B"/>
    <w:rsid w:val="00B649A9"/>
    <w:rsid w:val="00B649EE"/>
    <w:rsid w:val="00B64A0D"/>
    <w:rsid w:val="00B64B3C"/>
    <w:rsid w:val="00B64C22"/>
    <w:rsid w:val="00B64CF2"/>
    <w:rsid w:val="00B64DAB"/>
    <w:rsid w:val="00B651E2"/>
    <w:rsid w:val="00B65221"/>
    <w:rsid w:val="00B65285"/>
    <w:rsid w:val="00B65291"/>
    <w:rsid w:val="00B65352"/>
    <w:rsid w:val="00B65356"/>
    <w:rsid w:val="00B6543A"/>
    <w:rsid w:val="00B6543D"/>
    <w:rsid w:val="00B654E4"/>
    <w:rsid w:val="00B6572D"/>
    <w:rsid w:val="00B658DB"/>
    <w:rsid w:val="00B65AA0"/>
    <w:rsid w:val="00B65AB2"/>
    <w:rsid w:val="00B65B29"/>
    <w:rsid w:val="00B65CEC"/>
    <w:rsid w:val="00B65EE5"/>
    <w:rsid w:val="00B65F2D"/>
    <w:rsid w:val="00B661B8"/>
    <w:rsid w:val="00B66323"/>
    <w:rsid w:val="00B664BF"/>
    <w:rsid w:val="00B667DE"/>
    <w:rsid w:val="00B66894"/>
    <w:rsid w:val="00B668F3"/>
    <w:rsid w:val="00B669F0"/>
    <w:rsid w:val="00B66AED"/>
    <w:rsid w:val="00B66D6F"/>
    <w:rsid w:val="00B66D72"/>
    <w:rsid w:val="00B66DCF"/>
    <w:rsid w:val="00B66EA4"/>
    <w:rsid w:val="00B67056"/>
    <w:rsid w:val="00B673A5"/>
    <w:rsid w:val="00B673CA"/>
    <w:rsid w:val="00B67A93"/>
    <w:rsid w:val="00B67EBE"/>
    <w:rsid w:val="00B700F8"/>
    <w:rsid w:val="00B7013E"/>
    <w:rsid w:val="00B702AD"/>
    <w:rsid w:val="00B702AF"/>
    <w:rsid w:val="00B70327"/>
    <w:rsid w:val="00B70387"/>
    <w:rsid w:val="00B70491"/>
    <w:rsid w:val="00B705D8"/>
    <w:rsid w:val="00B706FC"/>
    <w:rsid w:val="00B70884"/>
    <w:rsid w:val="00B70910"/>
    <w:rsid w:val="00B70CA2"/>
    <w:rsid w:val="00B70E21"/>
    <w:rsid w:val="00B70E7A"/>
    <w:rsid w:val="00B70EF0"/>
    <w:rsid w:val="00B7119F"/>
    <w:rsid w:val="00B712C2"/>
    <w:rsid w:val="00B714C4"/>
    <w:rsid w:val="00B714F2"/>
    <w:rsid w:val="00B714FD"/>
    <w:rsid w:val="00B71772"/>
    <w:rsid w:val="00B71794"/>
    <w:rsid w:val="00B71798"/>
    <w:rsid w:val="00B7180B"/>
    <w:rsid w:val="00B71891"/>
    <w:rsid w:val="00B71911"/>
    <w:rsid w:val="00B71952"/>
    <w:rsid w:val="00B71996"/>
    <w:rsid w:val="00B71A94"/>
    <w:rsid w:val="00B71B06"/>
    <w:rsid w:val="00B71DED"/>
    <w:rsid w:val="00B71E0D"/>
    <w:rsid w:val="00B71E88"/>
    <w:rsid w:val="00B71F25"/>
    <w:rsid w:val="00B72058"/>
    <w:rsid w:val="00B7236F"/>
    <w:rsid w:val="00B7253A"/>
    <w:rsid w:val="00B726E9"/>
    <w:rsid w:val="00B72725"/>
    <w:rsid w:val="00B727AF"/>
    <w:rsid w:val="00B72B4B"/>
    <w:rsid w:val="00B72B69"/>
    <w:rsid w:val="00B72C60"/>
    <w:rsid w:val="00B72C66"/>
    <w:rsid w:val="00B72E1F"/>
    <w:rsid w:val="00B72EA7"/>
    <w:rsid w:val="00B72F0B"/>
    <w:rsid w:val="00B7306C"/>
    <w:rsid w:val="00B730C4"/>
    <w:rsid w:val="00B730D6"/>
    <w:rsid w:val="00B73376"/>
    <w:rsid w:val="00B7344D"/>
    <w:rsid w:val="00B73516"/>
    <w:rsid w:val="00B7351C"/>
    <w:rsid w:val="00B7356C"/>
    <w:rsid w:val="00B73791"/>
    <w:rsid w:val="00B7380C"/>
    <w:rsid w:val="00B73889"/>
    <w:rsid w:val="00B7388B"/>
    <w:rsid w:val="00B738AE"/>
    <w:rsid w:val="00B73953"/>
    <w:rsid w:val="00B739EF"/>
    <w:rsid w:val="00B73AC4"/>
    <w:rsid w:val="00B73BD7"/>
    <w:rsid w:val="00B73DF8"/>
    <w:rsid w:val="00B73EDE"/>
    <w:rsid w:val="00B74042"/>
    <w:rsid w:val="00B741F7"/>
    <w:rsid w:val="00B74410"/>
    <w:rsid w:val="00B7449A"/>
    <w:rsid w:val="00B744F1"/>
    <w:rsid w:val="00B748F8"/>
    <w:rsid w:val="00B74965"/>
    <w:rsid w:val="00B74C3F"/>
    <w:rsid w:val="00B74C5A"/>
    <w:rsid w:val="00B74CB8"/>
    <w:rsid w:val="00B74D2E"/>
    <w:rsid w:val="00B74D30"/>
    <w:rsid w:val="00B74DC8"/>
    <w:rsid w:val="00B74EE5"/>
    <w:rsid w:val="00B74F3C"/>
    <w:rsid w:val="00B7541B"/>
    <w:rsid w:val="00B754A4"/>
    <w:rsid w:val="00B754D5"/>
    <w:rsid w:val="00B75538"/>
    <w:rsid w:val="00B755D7"/>
    <w:rsid w:val="00B7563C"/>
    <w:rsid w:val="00B75779"/>
    <w:rsid w:val="00B758B0"/>
    <w:rsid w:val="00B7596E"/>
    <w:rsid w:val="00B75AE0"/>
    <w:rsid w:val="00B75C6B"/>
    <w:rsid w:val="00B75CBF"/>
    <w:rsid w:val="00B75D26"/>
    <w:rsid w:val="00B75EDA"/>
    <w:rsid w:val="00B75F15"/>
    <w:rsid w:val="00B760A7"/>
    <w:rsid w:val="00B76176"/>
    <w:rsid w:val="00B76202"/>
    <w:rsid w:val="00B76268"/>
    <w:rsid w:val="00B76407"/>
    <w:rsid w:val="00B76543"/>
    <w:rsid w:val="00B765E6"/>
    <w:rsid w:val="00B76B9E"/>
    <w:rsid w:val="00B76C81"/>
    <w:rsid w:val="00B76EFA"/>
    <w:rsid w:val="00B76FF6"/>
    <w:rsid w:val="00B7701C"/>
    <w:rsid w:val="00B7748E"/>
    <w:rsid w:val="00B776C9"/>
    <w:rsid w:val="00B77857"/>
    <w:rsid w:val="00B779D3"/>
    <w:rsid w:val="00B77A7C"/>
    <w:rsid w:val="00B77B52"/>
    <w:rsid w:val="00B77D23"/>
    <w:rsid w:val="00B77D5A"/>
    <w:rsid w:val="00B77FB4"/>
    <w:rsid w:val="00B78000"/>
    <w:rsid w:val="00B801CB"/>
    <w:rsid w:val="00B8020C"/>
    <w:rsid w:val="00B803B1"/>
    <w:rsid w:val="00B80406"/>
    <w:rsid w:val="00B80624"/>
    <w:rsid w:val="00B807A3"/>
    <w:rsid w:val="00B808D7"/>
    <w:rsid w:val="00B80922"/>
    <w:rsid w:val="00B80ACA"/>
    <w:rsid w:val="00B80C4F"/>
    <w:rsid w:val="00B80C66"/>
    <w:rsid w:val="00B80EF1"/>
    <w:rsid w:val="00B8111F"/>
    <w:rsid w:val="00B81365"/>
    <w:rsid w:val="00B81450"/>
    <w:rsid w:val="00B815FB"/>
    <w:rsid w:val="00B81713"/>
    <w:rsid w:val="00B81813"/>
    <w:rsid w:val="00B81B03"/>
    <w:rsid w:val="00B81D27"/>
    <w:rsid w:val="00B81D37"/>
    <w:rsid w:val="00B81D5A"/>
    <w:rsid w:val="00B81DA5"/>
    <w:rsid w:val="00B8205F"/>
    <w:rsid w:val="00B820F2"/>
    <w:rsid w:val="00B821FB"/>
    <w:rsid w:val="00B8230C"/>
    <w:rsid w:val="00B82389"/>
    <w:rsid w:val="00B823C4"/>
    <w:rsid w:val="00B82485"/>
    <w:rsid w:val="00B82550"/>
    <w:rsid w:val="00B8261B"/>
    <w:rsid w:val="00B826D7"/>
    <w:rsid w:val="00B82767"/>
    <w:rsid w:val="00B82A94"/>
    <w:rsid w:val="00B82B0A"/>
    <w:rsid w:val="00B82B3D"/>
    <w:rsid w:val="00B82B89"/>
    <w:rsid w:val="00B82BEF"/>
    <w:rsid w:val="00B8356C"/>
    <w:rsid w:val="00B8368A"/>
    <w:rsid w:val="00B8369B"/>
    <w:rsid w:val="00B837FE"/>
    <w:rsid w:val="00B8397A"/>
    <w:rsid w:val="00B83E39"/>
    <w:rsid w:val="00B83EEE"/>
    <w:rsid w:val="00B8400C"/>
    <w:rsid w:val="00B841A0"/>
    <w:rsid w:val="00B84374"/>
    <w:rsid w:val="00B844A8"/>
    <w:rsid w:val="00B84553"/>
    <w:rsid w:val="00B846EB"/>
    <w:rsid w:val="00B8477D"/>
    <w:rsid w:val="00B84803"/>
    <w:rsid w:val="00B84889"/>
    <w:rsid w:val="00B84898"/>
    <w:rsid w:val="00B849CC"/>
    <w:rsid w:val="00B84BBC"/>
    <w:rsid w:val="00B84BE4"/>
    <w:rsid w:val="00B84D68"/>
    <w:rsid w:val="00B84E82"/>
    <w:rsid w:val="00B84EF9"/>
    <w:rsid w:val="00B85066"/>
    <w:rsid w:val="00B85373"/>
    <w:rsid w:val="00B854A7"/>
    <w:rsid w:val="00B8576F"/>
    <w:rsid w:val="00B857D3"/>
    <w:rsid w:val="00B8586A"/>
    <w:rsid w:val="00B859C4"/>
    <w:rsid w:val="00B85AE9"/>
    <w:rsid w:val="00B85BB2"/>
    <w:rsid w:val="00B85C49"/>
    <w:rsid w:val="00B85C64"/>
    <w:rsid w:val="00B85E72"/>
    <w:rsid w:val="00B85E8F"/>
    <w:rsid w:val="00B85EF3"/>
    <w:rsid w:val="00B861DC"/>
    <w:rsid w:val="00B86210"/>
    <w:rsid w:val="00B862D3"/>
    <w:rsid w:val="00B8634F"/>
    <w:rsid w:val="00B86418"/>
    <w:rsid w:val="00B86454"/>
    <w:rsid w:val="00B86528"/>
    <w:rsid w:val="00B8662D"/>
    <w:rsid w:val="00B866AE"/>
    <w:rsid w:val="00B866C1"/>
    <w:rsid w:val="00B86807"/>
    <w:rsid w:val="00B86844"/>
    <w:rsid w:val="00B86A34"/>
    <w:rsid w:val="00B86AC2"/>
    <w:rsid w:val="00B86ADB"/>
    <w:rsid w:val="00B86C6B"/>
    <w:rsid w:val="00B86DED"/>
    <w:rsid w:val="00B86F28"/>
    <w:rsid w:val="00B87059"/>
    <w:rsid w:val="00B8717E"/>
    <w:rsid w:val="00B87391"/>
    <w:rsid w:val="00B87473"/>
    <w:rsid w:val="00B87547"/>
    <w:rsid w:val="00B8779A"/>
    <w:rsid w:val="00B87905"/>
    <w:rsid w:val="00B8797E"/>
    <w:rsid w:val="00B87C87"/>
    <w:rsid w:val="00B87CBE"/>
    <w:rsid w:val="00B87D58"/>
    <w:rsid w:val="00B87DB6"/>
    <w:rsid w:val="00B87EE0"/>
    <w:rsid w:val="00B902CC"/>
    <w:rsid w:val="00B90405"/>
    <w:rsid w:val="00B90407"/>
    <w:rsid w:val="00B90475"/>
    <w:rsid w:val="00B9062E"/>
    <w:rsid w:val="00B90647"/>
    <w:rsid w:val="00B90A43"/>
    <w:rsid w:val="00B90DFC"/>
    <w:rsid w:val="00B90E7C"/>
    <w:rsid w:val="00B90EB2"/>
    <w:rsid w:val="00B90EFA"/>
    <w:rsid w:val="00B910C2"/>
    <w:rsid w:val="00B91132"/>
    <w:rsid w:val="00B9114B"/>
    <w:rsid w:val="00B911AA"/>
    <w:rsid w:val="00B91313"/>
    <w:rsid w:val="00B91390"/>
    <w:rsid w:val="00B9159F"/>
    <w:rsid w:val="00B915BA"/>
    <w:rsid w:val="00B91688"/>
    <w:rsid w:val="00B91900"/>
    <w:rsid w:val="00B9194D"/>
    <w:rsid w:val="00B91B7F"/>
    <w:rsid w:val="00B91B88"/>
    <w:rsid w:val="00B91DEB"/>
    <w:rsid w:val="00B91F4F"/>
    <w:rsid w:val="00B92243"/>
    <w:rsid w:val="00B92459"/>
    <w:rsid w:val="00B925FC"/>
    <w:rsid w:val="00B926BF"/>
    <w:rsid w:val="00B928B2"/>
    <w:rsid w:val="00B92910"/>
    <w:rsid w:val="00B9296E"/>
    <w:rsid w:val="00B92995"/>
    <w:rsid w:val="00B92B09"/>
    <w:rsid w:val="00B92B30"/>
    <w:rsid w:val="00B92B3B"/>
    <w:rsid w:val="00B92CCE"/>
    <w:rsid w:val="00B92D5B"/>
    <w:rsid w:val="00B92D62"/>
    <w:rsid w:val="00B92D87"/>
    <w:rsid w:val="00B92DFF"/>
    <w:rsid w:val="00B92EB8"/>
    <w:rsid w:val="00B92EFA"/>
    <w:rsid w:val="00B93002"/>
    <w:rsid w:val="00B93066"/>
    <w:rsid w:val="00B93157"/>
    <w:rsid w:val="00B9316C"/>
    <w:rsid w:val="00B93179"/>
    <w:rsid w:val="00B932F6"/>
    <w:rsid w:val="00B93348"/>
    <w:rsid w:val="00B93366"/>
    <w:rsid w:val="00B9340C"/>
    <w:rsid w:val="00B935C3"/>
    <w:rsid w:val="00B935EB"/>
    <w:rsid w:val="00B9363B"/>
    <w:rsid w:val="00B9389C"/>
    <w:rsid w:val="00B93986"/>
    <w:rsid w:val="00B93A15"/>
    <w:rsid w:val="00B93A59"/>
    <w:rsid w:val="00B93B23"/>
    <w:rsid w:val="00B93BA0"/>
    <w:rsid w:val="00B93BE4"/>
    <w:rsid w:val="00B93D5E"/>
    <w:rsid w:val="00B93D7F"/>
    <w:rsid w:val="00B93E6E"/>
    <w:rsid w:val="00B941D8"/>
    <w:rsid w:val="00B94255"/>
    <w:rsid w:val="00B943BD"/>
    <w:rsid w:val="00B94443"/>
    <w:rsid w:val="00B94485"/>
    <w:rsid w:val="00B944A7"/>
    <w:rsid w:val="00B94523"/>
    <w:rsid w:val="00B9459E"/>
    <w:rsid w:val="00B945B1"/>
    <w:rsid w:val="00B9488D"/>
    <w:rsid w:val="00B948A8"/>
    <w:rsid w:val="00B94935"/>
    <w:rsid w:val="00B94A46"/>
    <w:rsid w:val="00B94CD5"/>
    <w:rsid w:val="00B94D48"/>
    <w:rsid w:val="00B94E93"/>
    <w:rsid w:val="00B94F28"/>
    <w:rsid w:val="00B95044"/>
    <w:rsid w:val="00B951EE"/>
    <w:rsid w:val="00B95379"/>
    <w:rsid w:val="00B953CF"/>
    <w:rsid w:val="00B95474"/>
    <w:rsid w:val="00B95626"/>
    <w:rsid w:val="00B95804"/>
    <w:rsid w:val="00B95817"/>
    <w:rsid w:val="00B9583C"/>
    <w:rsid w:val="00B95A09"/>
    <w:rsid w:val="00B95AE0"/>
    <w:rsid w:val="00B95C03"/>
    <w:rsid w:val="00B95C69"/>
    <w:rsid w:val="00B95E5F"/>
    <w:rsid w:val="00B9610C"/>
    <w:rsid w:val="00B961D7"/>
    <w:rsid w:val="00B964D8"/>
    <w:rsid w:val="00B965FC"/>
    <w:rsid w:val="00B9690A"/>
    <w:rsid w:val="00B96A40"/>
    <w:rsid w:val="00B96A8F"/>
    <w:rsid w:val="00B96D64"/>
    <w:rsid w:val="00B96DB9"/>
    <w:rsid w:val="00B96EC0"/>
    <w:rsid w:val="00B96F38"/>
    <w:rsid w:val="00B97183"/>
    <w:rsid w:val="00B97205"/>
    <w:rsid w:val="00B97264"/>
    <w:rsid w:val="00B972AB"/>
    <w:rsid w:val="00B973A1"/>
    <w:rsid w:val="00B973B1"/>
    <w:rsid w:val="00B97492"/>
    <w:rsid w:val="00B9762A"/>
    <w:rsid w:val="00B97710"/>
    <w:rsid w:val="00B9778F"/>
    <w:rsid w:val="00B97845"/>
    <w:rsid w:val="00B97966"/>
    <w:rsid w:val="00B97976"/>
    <w:rsid w:val="00B9798B"/>
    <w:rsid w:val="00B97BD5"/>
    <w:rsid w:val="00B97CBE"/>
    <w:rsid w:val="00B97CC9"/>
    <w:rsid w:val="00B97E3C"/>
    <w:rsid w:val="00B97F62"/>
    <w:rsid w:val="00B97F75"/>
    <w:rsid w:val="00BA0106"/>
    <w:rsid w:val="00BA042F"/>
    <w:rsid w:val="00BA0813"/>
    <w:rsid w:val="00BA084E"/>
    <w:rsid w:val="00BA08BA"/>
    <w:rsid w:val="00BA0ABE"/>
    <w:rsid w:val="00BA0B72"/>
    <w:rsid w:val="00BA0D58"/>
    <w:rsid w:val="00BA0E47"/>
    <w:rsid w:val="00BA0ED9"/>
    <w:rsid w:val="00BA0F31"/>
    <w:rsid w:val="00BA1029"/>
    <w:rsid w:val="00BA105C"/>
    <w:rsid w:val="00BA11DB"/>
    <w:rsid w:val="00BA1244"/>
    <w:rsid w:val="00BA1467"/>
    <w:rsid w:val="00BA14DA"/>
    <w:rsid w:val="00BA1693"/>
    <w:rsid w:val="00BA1A46"/>
    <w:rsid w:val="00BA1A6A"/>
    <w:rsid w:val="00BA1AFA"/>
    <w:rsid w:val="00BA1B0B"/>
    <w:rsid w:val="00BA1B79"/>
    <w:rsid w:val="00BA1B9B"/>
    <w:rsid w:val="00BA1BF8"/>
    <w:rsid w:val="00BA1BF9"/>
    <w:rsid w:val="00BA1E01"/>
    <w:rsid w:val="00BA1F09"/>
    <w:rsid w:val="00BA20F0"/>
    <w:rsid w:val="00BA22BD"/>
    <w:rsid w:val="00BA2351"/>
    <w:rsid w:val="00BA23AA"/>
    <w:rsid w:val="00BA23AC"/>
    <w:rsid w:val="00BA2418"/>
    <w:rsid w:val="00BA245C"/>
    <w:rsid w:val="00BA2670"/>
    <w:rsid w:val="00BA2697"/>
    <w:rsid w:val="00BA269A"/>
    <w:rsid w:val="00BA26D8"/>
    <w:rsid w:val="00BA2AC6"/>
    <w:rsid w:val="00BA2C42"/>
    <w:rsid w:val="00BA2CF6"/>
    <w:rsid w:val="00BA2DF5"/>
    <w:rsid w:val="00BA2E24"/>
    <w:rsid w:val="00BA2F3B"/>
    <w:rsid w:val="00BA2F9B"/>
    <w:rsid w:val="00BA3033"/>
    <w:rsid w:val="00BA304E"/>
    <w:rsid w:val="00BA3159"/>
    <w:rsid w:val="00BA31FA"/>
    <w:rsid w:val="00BA334F"/>
    <w:rsid w:val="00BA35D7"/>
    <w:rsid w:val="00BA37A2"/>
    <w:rsid w:val="00BA3882"/>
    <w:rsid w:val="00BA390C"/>
    <w:rsid w:val="00BA3B75"/>
    <w:rsid w:val="00BA3C26"/>
    <w:rsid w:val="00BA3D00"/>
    <w:rsid w:val="00BA3E33"/>
    <w:rsid w:val="00BA3FA2"/>
    <w:rsid w:val="00BA41F2"/>
    <w:rsid w:val="00BA4202"/>
    <w:rsid w:val="00BA441A"/>
    <w:rsid w:val="00BA4552"/>
    <w:rsid w:val="00BA4668"/>
    <w:rsid w:val="00BA4697"/>
    <w:rsid w:val="00BA4894"/>
    <w:rsid w:val="00BA48E1"/>
    <w:rsid w:val="00BA48F5"/>
    <w:rsid w:val="00BA4D31"/>
    <w:rsid w:val="00BA4F1F"/>
    <w:rsid w:val="00BA4F74"/>
    <w:rsid w:val="00BA50A1"/>
    <w:rsid w:val="00BA5194"/>
    <w:rsid w:val="00BA52A2"/>
    <w:rsid w:val="00BA5337"/>
    <w:rsid w:val="00BA536B"/>
    <w:rsid w:val="00BA5518"/>
    <w:rsid w:val="00BA5572"/>
    <w:rsid w:val="00BA5644"/>
    <w:rsid w:val="00BA56B9"/>
    <w:rsid w:val="00BA5854"/>
    <w:rsid w:val="00BA5E9F"/>
    <w:rsid w:val="00BA6046"/>
    <w:rsid w:val="00BA6259"/>
    <w:rsid w:val="00BA638D"/>
    <w:rsid w:val="00BA63AF"/>
    <w:rsid w:val="00BA63D3"/>
    <w:rsid w:val="00BA6455"/>
    <w:rsid w:val="00BA64DD"/>
    <w:rsid w:val="00BA64E1"/>
    <w:rsid w:val="00BA65D8"/>
    <w:rsid w:val="00BA65DB"/>
    <w:rsid w:val="00BA661B"/>
    <w:rsid w:val="00BA66D5"/>
    <w:rsid w:val="00BA6806"/>
    <w:rsid w:val="00BA6AA0"/>
    <w:rsid w:val="00BA6B19"/>
    <w:rsid w:val="00BA740B"/>
    <w:rsid w:val="00BA77BB"/>
    <w:rsid w:val="00BA7848"/>
    <w:rsid w:val="00BA7871"/>
    <w:rsid w:val="00BA79C5"/>
    <w:rsid w:val="00BA7AED"/>
    <w:rsid w:val="00BA7C22"/>
    <w:rsid w:val="00BA7E6C"/>
    <w:rsid w:val="00BA7FAB"/>
    <w:rsid w:val="00BB036E"/>
    <w:rsid w:val="00BB03B3"/>
    <w:rsid w:val="00BB04C6"/>
    <w:rsid w:val="00BB058C"/>
    <w:rsid w:val="00BB06A5"/>
    <w:rsid w:val="00BB072A"/>
    <w:rsid w:val="00BB089A"/>
    <w:rsid w:val="00BB0953"/>
    <w:rsid w:val="00BB09A5"/>
    <w:rsid w:val="00BB0BDE"/>
    <w:rsid w:val="00BB11EE"/>
    <w:rsid w:val="00BB1388"/>
    <w:rsid w:val="00BB13FC"/>
    <w:rsid w:val="00BB168A"/>
    <w:rsid w:val="00BB1952"/>
    <w:rsid w:val="00BB1A88"/>
    <w:rsid w:val="00BB1B2D"/>
    <w:rsid w:val="00BB1B84"/>
    <w:rsid w:val="00BB1C45"/>
    <w:rsid w:val="00BB1DE2"/>
    <w:rsid w:val="00BB1F33"/>
    <w:rsid w:val="00BB20DF"/>
    <w:rsid w:val="00BB2154"/>
    <w:rsid w:val="00BB2239"/>
    <w:rsid w:val="00BB2258"/>
    <w:rsid w:val="00BB23D4"/>
    <w:rsid w:val="00BB2588"/>
    <w:rsid w:val="00BB25CB"/>
    <w:rsid w:val="00BB2657"/>
    <w:rsid w:val="00BB2821"/>
    <w:rsid w:val="00BB2B0F"/>
    <w:rsid w:val="00BB2B4F"/>
    <w:rsid w:val="00BB2B89"/>
    <w:rsid w:val="00BB2D57"/>
    <w:rsid w:val="00BB2D5C"/>
    <w:rsid w:val="00BB2D93"/>
    <w:rsid w:val="00BB2F25"/>
    <w:rsid w:val="00BB3022"/>
    <w:rsid w:val="00BB3042"/>
    <w:rsid w:val="00BB3093"/>
    <w:rsid w:val="00BB31E8"/>
    <w:rsid w:val="00BB3313"/>
    <w:rsid w:val="00BB340A"/>
    <w:rsid w:val="00BB34A1"/>
    <w:rsid w:val="00BB3788"/>
    <w:rsid w:val="00BB399B"/>
    <w:rsid w:val="00BB3A79"/>
    <w:rsid w:val="00BB3B81"/>
    <w:rsid w:val="00BB3D05"/>
    <w:rsid w:val="00BB3F90"/>
    <w:rsid w:val="00BB3FAC"/>
    <w:rsid w:val="00BB409D"/>
    <w:rsid w:val="00BB426E"/>
    <w:rsid w:val="00BB4621"/>
    <w:rsid w:val="00BB4699"/>
    <w:rsid w:val="00BB497C"/>
    <w:rsid w:val="00BB499B"/>
    <w:rsid w:val="00BB49B9"/>
    <w:rsid w:val="00BB4A86"/>
    <w:rsid w:val="00BB4AAC"/>
    <w:rsid w:val="00BB4BE0"/>
    <w:rsid w:val="00BB4C15"/>
    <w:rsid w:val="00BB4CC8"/>
    <w:rsid w:val="00BB4EAC"/>
    <w:rsid w:val="00BB507A"/>
    <w:rsid w:val="00BB5234"/>
    <w:rsid w:val="00BB5641"/>
    <w:rsid w:val="00BB59EC"/>
    <w:rsid w:val="00BB5AAB"/>
    <w:rsid w:val="00BB601A"/>
    <w:rsid w:val="00BB6325"/>
    <w:rsid w:val="00BB63EF"/>
    <w:rsid w:val="00BB64B1"/>
    <w:rsid w:val="00BB64E8"/>
    <w:rsid w:val="00BB6687"/>
    <w:rsid w:val="00BB68C2"/>
    <w:rsid w:val="00BB696B"/>
    <w:rsid w:val="00BB69D1"/>
    <w:rsid w:val="00BB6A97"/>
    <w:rsid w:val="00BB6B7F"/>
    <w:rsid w:val="00BB6CD1"/>
    <w:rsid w:val="00BB705A"/>
    <w:rsid w:val="00BB7078"/>
    <w:rsid w:val="00BB732F"/>
    <w:rsid w:val="00BB778A"/>
    <w:rsid w:val="00BB794F"/>
    <w:rsid w:val="00BB796C"/>
    <w:rsid w:val="00BB7BFD"/>
    <w:rsid w:val="00BB7C8D"/>
    <w:rsid w:val="00BB7D29"/>
    <w:rsid w:val="00BB7EF4"/>
    <w:rsid w:val="00BB7F3E"/>
    <w:rsid w:val="00BB7FE3"/>
    <w:rsid w:val="00BC0045"/>
    <w:rsid w:val="00BC01BF"/>
    <w:rsid w:val="00BC030D"/>
    <w:rsid w:val="00BC0396"/>
    <w:rsid w:val="00BC055D"/>
    <w:rsid w:val="00BC067B"/>
    <w:rsid w:val="00BC06F2"/>
    <w:rsid w:val="00BC0954"/>
    <w:rsid w:val="00BC098B"/>
    <w:rsid w:val="00BC0CA6"/>
    <w:rsid w:val="00BC0D28"/>
    <w:rsid w:val="00BC0E12"/>
    <w:rsid w:val="00BC1220"/>
    <w:rsid w:val="00BC1353"/>
    <w:rsid w:val="00BC1513"/>
    <w:rsid w:val="00BC1B93"/>
    <w:rsid w:val="00BC1DB3"/>
    <w:rsid w:val="00BC1E96"/>
    <w:rsid w:val="00BC1EFC"/>
    <w:rsid w:val="00BC1FB8"/>
    <w:rsid w:val="00BC2165"/>
    <w:rsid w:val="00BC24B2"/>
    <w:rsid w:val="00BC2575"/>
    <w:rsid w:val="00BC26EA"/>
    <w:rsid w:val="00BC2716"/>
    <w:rsid w:val="00BC27AF"/>
    <w:rsid w:val="00BC280A"/>
    <w:rsid w:val="00BC2893"/>
    <w:rsid w:val="00BC296B"/>
    <w:rsid w:val="00BC29AF"/>
    <w:rsid w:val="00BC2AB3"/>
    <w:rsid w:val="00BC2C11"/>
    <w:rsid w:val="00BC2CE3"/>
    <w:rsid w:val="00BC2E21"/>
    <w:rsid w:val="00BC2F54"/>
    <w:rsid w:val="00BC3102"/>
    <w:rsid w:val="00BC320A"/>
    <w:rsid w:val="00BC330F"/>
    <w:rsid w:val="00BC3365"/>
    <w:rsid w:val="00BC33AC"/>
    <w:rsid w:val="00BC33D5"/>
    <w:rsid w:val="00BC35E7"/>
    <w:rsid w:val="00BC36B7"/>
    <w:rsid w:val="00BC38CD"/>
    <w:rsid w:val="00BC39C9"/>
    <w:rsid w:val="00BC3A94"/>
    <w:rsid w:val="00BC3B3A"/>
    <w:rsid w:val="00BC3CAA"/>
    <w:rsid w:val="00BC3F28"/>
    <w:rsid w:val="00BC406C"/>
    <w:rsid w:val="00BC4255"/>
    <w:rsid w:val="00BC436C"/>
    <w:rsid w:val="00BC43CB"/>
    <w:rsid w:val="00BC459A"/>
    <w:rsid w:val="00BC4886"/>
    <w:rsid w:val="00BC48CB"/>
    <w:rsid w:val="00BC49D6"/>
    <w:rsid w:val="00BC4A36"/>
    <w:rsid w:val="00BC4EA0"/>
    <w:rsid w:val="00BC4F04"/>
    <w:rsid w:val="00BC4F49"/>
    <w:rsid w:val="00BC50A7"/>
    <w:rsid w:val="00BC534F"/>
    <w:rsid w:val="00BC5560"/>
    <w:rsid w:val="00BC55A3"/>
    <w:rsid w:val="00BC55CC"/>
    <w:rsid w:val="00BC5A92"/>
    <w:rsid w:val="00BC5C67"/>
    <w:rsid w:val="00BC5EBE"/>
    <w:rsid w:val="00BC5F17"/>
    <w:rsid w:val="00BC5FED"/>
    <w:rsid w:val="00BC6138"/>
    <w:rsid w:val="00BC627D"/>
    <w:rsid w:val="00BC62DE"/>
    <w:rsid w:val="00BC63B3"/>
    <w:rsid w:val="00BC64E8"/>
    <w:rsid w:val="00BC64F3"/>
    <w:rsid w:val="00BC69EB"/>
    <w:rsid w:val="00BC6CEA"/>
    <w:rsid w:val="00BC6D9A"/>
    <w:rsid w:val="00BC6DAF"/>
    <w:rsid w:val="00BC6DBF"/>
    <w:rsid w:val="00BC6E09"/>
    <w:rsid w:val="00BC6FE0"/>
    <w:rsid w:val="00BC757B"/>
    <w:rsid w:val="00BC7810"/>
    <w:rsid w:val="00BC7A5A"/>
    <w:rsid w:val="00BC7AFD"/>
    <w:rsid w:val="00BC7B4C"/>
    <w:rsid w:val="00BC7C8B"/>
    <w:rsid w:val="00BC7DEA"/>
    <w:rsid w:val="00BC7E91"/>
    <w:rsid w:val="00BC7F46"/>
    <w:rsid w:val="00BC7F4F"/>
    <w:rsid w:val="00BC7FE6"/>
    <w:rsid w:val="00BD04AB"/>
    <w:rsid w:val="00BD0532"/>
    <w:rsid w:val="00BD056B"/>
    <w:rsid w:val="00BD05D1"/>
    <w:rsid w:val="00BD06D0"/>
    <w:rsid w:val="00BD0847"/>
    <w:rsid w:val="00BD0881"/>
    <w:rsid w:val="00BD0AF3"/>
    <w:rsid w:val="00BD0BF9"/>
    <w:rsid w:val="00BD0DA5"/>
    <w:rsid w:val="00BD0E5E"/>
    <w:rsid w:val="00BD0FDF"/>
    <w:rsid w:val="00BD10A9"/>
    <w:rsid w:val="00BD141E"/>
    <w:rsid w:val="00BD152F"/>
    <w:rsid w:val="00BD1611"/>
    <w:rsid w:val="00BD171A"/>
    <w:rsid w:val="00BD1964"/>
    <w:rsid w:val="00BD1ADB"/>
    <w:rsid w:val="00BD1C33"/>
    <w:rsid w:val="00BD1C3A"/>
    <w:rsid w:val="00BD1ED9"/>
    <w:rsid w:val="00BD1F5A"/>
    <w:rsid w:val="00BD1FE9"/>
    <w:rsid w:val="00BD235B"/>
    <w:rsid w:val="00BD239F"/>
    <w:rsid w:val="00BD247F"/>
    <w:rsid w:val="00BD2A19"/>
    <w:rsid w:val="00BD2AB9"/>
    <w:rsid w:val="00BD2BBF"/>
    <w:rsid w:val="00BD2D43"/>
    <w:rsid w:val="00BD2F64"/>
    <w:rsid w:val="00BD301A"/>
    <w:rsid w:val="00BD30DF"/>
    <w:rsid w:val="00BD3168"/>
    <w:rsid w:val="00BD318C"/>
    <w:rsid w:val="00BD32D1"/>
    <w:rsid w:val="00BD35DF"/>
    <w:rsid w:val="00BD35EC"/>
    <w:rsid w:val="00BD363E"/>
    <w:rsid w:val="00BD36E9"/>
    <w:rsid w:val="00BD3714"/>
    <w:rsid w:val="00BD3838"/>
    <w:rsid w:val="00BD3878"/>
    <w:rsid w:val="00BD399B"/>
    <w:rsid w:val="00BD39A3"/>
    <w:rsid w:val="00BD3A85"/>
    <w:rsid w:val="00BD3A8C"/>
    <w:rsid w:val="00BD3BFC"/>
    <w:rsid w:val="00BD3C4A"/>
    <w:rsid w:val="00BD3CCE"/>
    <w:rsid w:val="00BD3D08"/>
    <w:rsid w:val="00BD3F16"/>
    <w:rsid w:val="00BD3FD0"/>
    <w:rsid w:val="00BD4097"/>
    <w:rsid w:val="00BD437D"/>
    <w:rsid w:val="00BD43E8"/>
    <w:rsid w:val="00BD4624"/>
    <w:rsid w:val="00BD46F0"/>
    <w:rsid w:val="00BD4856"/>
    <w:rsid w:val="00BD4931"/>
    <w:rsid w:val="00BD4958"/>
    <w:rsid w:val="00BD4A39"/>
    <w:rsid w:val="00BD4A3C"/>
    <w:rsid w:val="00BD4C1D"/>
    <w:rsid w:val="00BD4E13"/>
    <w:rsid w:val="00BD4EDA"/>
    <w:rsid w:val="00BD4EE3"/>
    <w:rsid w:val="00BD4F56"/>
    <w:rsid w:val="00BD5364"/>
    <w:rsid w:val="00BD54B7"/>
    <w:rsid w:val="00BD551F"/>
    <w:rsid w:val="00BD5551"/>
    <w:rsid w:val="00BD5588"/>
    <w:rsid w:val="00BD55A9"/>
    <w:rsid w:val="00BD55B4"/>
    <w:rsid w:val="00BD5BB7"/>
    <w:rsid w:val="00BD5BF4"/>
    <w:rsid w:val="00BD5CD1"/>
    <w:rsid w:val="00BD5D20"/>
    <w:rsid w:val="00BD5DDE"/>
    <w:rsid w:val="00BD5E94"/>
    <w:rsid w:val="00BD5FB6"/>
    <w:rsid w:val="00BD6237"/>
    <w:rsid w:val="00BD63EF"/>
    <w:rsid w:val="00BD63F9"/>
    <w:rsid w:val="00BD653E"/>
    <w:rsid w:val="00BD69FB"/>
    <w:rsid w:val="00BD69FD"/>
    <w:rsid w:val="00BD6B19"/>
    <w:rsid w:val="00BD6C15"/>
    <w:rsid w:val="00BD6CF2"/>
    <w:rsid w:val="00BD6CF5"/>
    <w:rsid w:val="00BD72B3"/>
    <w:rsid w:val="00BD733F"/>
    <w:rsid w:val="00BD73E6"/>
    <w:rsid w:val="00BD74A6"/>
    <w:rsid w:val="00BD774B"/>
    <w:rsid w:val="00BD7782"/>
    <w:rsid w:val="00BD7984"/>
    <w:rsid w:val="00BD7C04"/>
    <w:rsid w:val="00BD7C62"/>
    <w:rsid w:val="00BD7CC3"/>
    <w:rsid w:val="00BD7D9E"/>
    <w:rsid w:val="00BD7EF3"/>
    <w:rsid w:val="00BE007A"/>
    <w:rsid w:val="00BE00FD"/>
    <w:rsid w:val="00BE03AF"/>
    <w:rsid w:val="00BE04A4"/>
    <w:rsid w:val="00BE06B6"/>
    <w:rsid w:val="00BE06E0"/>
    <w:rsid w:val="00BE07E3"/>
    <w:rsid w:val="00BE0966"/>
    <w:rsid w:val="00BE0E68"/>
    <w:rsid w:val="00BE0EE8"/>
    <w:rsid w:val="00BE0FB6"/>
    <w:rsid w:val="00BE10E4"/>
    <w:rsid w:val="00BE1168"/>
    <w:rsid w:val="00BE1203"/>
    <w:rsid w:val="00BE138E"/>
    <w:rsid w:val="00BE1452"/>
    <w:rsid w:val="00BE14A9"/>
    <w:rsid w:val="00BE1542"/>
    <w:rsid w:val="00BE16D9"/>
    <w:rsid w:val="00BE177B"/>
    <w:rsid w:val="00BE186C"/>
    <w:rsid w:val="00BE1887"/>
    <w:rsid w:val="00BE1B45"/>
    <w:rsid w:val="00BE1BCC"/>
    <w:rsid w:val="00BE1CF9"/>
    <w:rsid w:val="00BE1E08"/>
    <w:rsid w:val="00BE1E5B"/>
    <w:rsid w:val="00BE1E9E"/>
    <w:rsid w:val="00BE225F"/>
    <w:rsid w:val="00BE22CC"/>
    <w:rsid w:val="00BE24BD"/>
    <w:rsid w:val="00BE259D"/>
    <w:rsid w:val="00BE262E"/>
    <w:rsid w:val="00BE278F"/>
    <w:rsid w:val="00BE27AB"/>
    <w:rsid w:val="00BE286B"/>
    <w:rsid w:val="00BE2890"/>
    <w:rsid w:val="00BE2965"/>
    <w:rsid w:val="00BE29EC"/>
    <w:rsid w:val="00BE2BEB"/>
    <w:rsid w:val="00BE2C00"/>
    <w:rsid w:val="00BE2C4F"/>
    <w:rsid w:val="00BE2E58"/>
    <w:rsid w:val="00BE2F60"/>
    <w:rsid w:val="00BE3262"/>
    <w:rsid w:val="00BE3366"/>
    <w:rsid w:val="00BE3481"/>
    <w:rsid w:val="00BE362E"/>
    <w:rsid w:val="00BE394C"/>
    <w:rsid w:val="00BE3AD2"/>
    <w:rsid w:val="00BE3B33"/>
    <w:rsid w:val="00BE3BF4"/>
    <w:rsid w:val="00BE3C32"/>
    <w:rsid w:val="00BE3C67"/>
    <w:rsid w:val="00BE3D7F"/>
    <w:rsid w:val="00BE3F94"/>
    <w:rsid w:val="00BE4117"/>
    <w:rsid w:val="00BE41D0"/>
    <w:rsid w:val="00BE4260"/>
    <w:rsid w:val="00BE42D0"/>
    <w:rsid w:val="00BE4396"/>
    <w:rsid w:val="00BE441F"/>
    <w:rsid w:val="00BE44EA"/>
    <w:rsid w:val="00BE47E5"/>
    <w:rsid w:val="00BE4825"/>
    <w:rsid w:val="00BE4A54"/>
    <w:rsid w:val="00BE4BF7"/>
    <w:rsid w:val="00BE503B"/>
    <w:rsid w:val="00BE5090"/>
    <w:rsid w:val="00BE51C4"/>
    <w:rsid w:val="00BE52CE"/>
    <w:rsid w:val="00BE554E"/>
    <w:rsid w:val="00BE5896"/>
    <w:rsid w:val="00BE58A8"/>
    <w:rsid w:val="00BE59E2"/>
    <w:rsid w:val="00BE5AA3"/>
    <w:rsid w:val="00BE5CCB"/>
    <w:rsid w:val="00BE5E84"/>
    <w:rsid w:val="00BE5F16"/>
    <w:rsid w:val="00BE6055"/>
    <w:rsid w:val="00BE6086"/>
    <w:rsid w:val="00BE61FF"/>
    <w:rsid w:val="00BE63AB"/>
    <w:rsid w:val="00BE63EE"/>
    <w:rsid w:val="00BE6742"/>
    <w:rsid w:val="00BE69AE"/>
    <w:rsid w:val="00BE69D1"/>
    <w:rsid w:val="00BE6C1E"/>
    <w:rsid w:val="00BE6CCB"/>
    <w:rsid w:val="00BE6DE9"/>
    <w:rsid w:val="00BE6E5E"/>
    <w:rsid w:val="00BE70B0"/>
    <w:rsid w:val="00BE712D"/>
    <w:rsid w:val="00BE7177"/>
    <w:rsid w:val="00BE7391"/>
    <w:rsid w:val="00BE7554"/>
    <w:rsid w:val="00BE758E"/>
    <w:rsid w:val="00BE770B"/>
    <w:rsid w:val="00BE7A98"/>
    <w:rsid w:val="00BE7BE8"/>
    <w:rsid w:val="00BE7C99"/>
    <w:rsid w:val="00BF00BE"/>
    <w:rsid w:val="00BF01B8"/>
    <w:rsid w:val="00BF043C"/>
    <w:rsid w:val="00BF05CD"/>
    <w:rsid w:val="00BF06C1"/>
    <w:rsid w:val="00BF06E5"/>
    <w:rsid w:val="00BF0B14"/>
    <w:rsid w:val="00BF0B6F"/>
    <w:rsid w:val="00BF0CF3"/>
    <w:rsid w:val="00BF0D75"/>
    <w:rsid w:val="00BF0D9F"/>
    <w:rsid w:val="00BF0DD3"/>
    <w:rsid w:val="00BF0E12"/>
    <w:rsid w:val="00BF0E13"/>
    <w:rsid w:val="00BF0FA8"/>
    <w:rsid w:val="00BF112E"/>
    <w:rsid w:val="00BF12BA"/>
    <w:rsid w:val="00BF12F6"/>
    <w:rsid w:val="00BF13B2"/>
    <w:rsid w:val="00BF13C5"/>
    <w:rsid w:val="00BF13D1"/>
    <w:rsid w:val="00BF13DA"/>
    <w:rsid w:val="00BF14BB"/>
    <w:rsid w:val="00BF1650"/>
    <w:rsid w:val="00BF170D"/>
    <w:rsid w:val="00BF17BA"/>
    <w:rsid w:val="00BF17DB"/>
    <w:rsid w:val="00BF1842"/>
    <w:rsid w:val="00BF191B"/>
    <w:rsid w:val="00BF1A9E"/>
    <w:rsid w:val="00BF1F7F"/>
    <w:rsid w:val="00BF2087"/>
    <w:rsid w:val="00BF21E9"/>
    <w:rsid w:val="00BF2218"/>
    <w:rsid w:val="00BF2259"/>
    <w:rsid w:val="00BF22D1"/>
    <w:rsid w:val="00BF2348"/>
    <w:rsid w:val="00BF249D"/>
    <w:rsid w:val="00BF250A"/>
    <w:rsid w:val="00BF25CF"/>
    <w:rsid w:val="00BF25FE"/>
    <w:rsid w:val="00BF268A"/>
    <w:rsid w:val="00BF2707"/>
    <w:rsid w:val="00BF290D"/>
    <w:rsid w:val="00BF294B"/>
    <w:rsid w:val="00BF29F5"/>
    <w:rsid w:val="00BF2AF0"/>
    <w:rsid w:val="00BF2C86"/>
    <w:rsid w:val="00BF2D1F"/>
    <w:rsid w:val="00BF2D50"/>
    <w:rsid w:val="00BF3142"/>
    <w:rsid w:val="00BF3212"/>
    <w:rsid w:val="00BF3225"/>
    <w:rsid w:val="00BF3248"/>
    <w:rsid w:val="00BF3549"/>
    <w:rsid w:val="00BF359E"/>
    <w:rsid w:val="00BF388A"/>
    <w:rsid w:val="00BF3B42"/>
    <w:rsid w:val="00BF3B7C"/>
    <w:rsid w:val="00BF3BD8"/>
    <w:rsid w:val="00BF3BFB"/>
    <w:rsid w:val="00BF3CC0"/>
    <w:rsid w:val="00BF41F8"/>
    <w:rsid w:val="00BF4270"/>
    <w:rsid w:val="00BF4494"/>
    <w:rsid w:val="00BF4544"/>
    <w:rsid w:val="00BF479B"/>
    <w:rsid w:val="00BF482D"/>
    <w:rsid w:val="00BF48C0"/>
    <w:rsid w:val="00BF48C8"/>
    <w:rsid w:val="00BF494F"/>
    <w:rsid w:val="00BF4980"/>
    <w:rsid w:val="00BF498F"/>
    <w:rsid w:val="00BF4A50"/>
    <w:rsid w:val="00BF4ADF"/>
    <w:rsid w:val="00BF4AE9"/>
    <w:rsid w:val="00BF4B11"/>
    <w:rsid w:val="00BF4B8F"/>
    <w:rsid w:val="00BF510E"/>
    <w:rsid w:val="00BF51A9"/>
    <w:rsid w:val="00BF5355"/>
    <w:rsid w:val="00BF5AC7"/>
    <w:rsid w:val="00BF5AF4"/>
    <w:rsid w:val="00BF5BFF"/>
    <w:rsid w:val="00BF5F82"/>
    <w:rsid w:val="00BF603B"/>
    <w:rsid w:val="00BF60C7"/>
    <w:rsid w:val="00BF60F1"/>
    <w:rsid w:val="00BF6158"/>
    <w:rsid w:val="00BF619C"/>
    <w:rsid w:val="00BF6218"/>
    <w:rsid w:val="00BF624B"/>
    <w:rsid w:val="00BF665D"/>
    <w:rsid w:val="00BF685A"/>
    <w:rsid w:val="00BF69D9"/>
    <w:rsid w:val="00BF6B98"/>
    <w:rsid w:val="00BF6C46"/>
    <w:rsid w:val="00BF6D39"/>
    <w:rsid w:val="00BF6E00"/>
    <w:rsid w:val="00BF6E1C"/>
    <w:rsid w:val="00BF6EF4"/>
    <w:rsid w:val="00BF71ED"/>
    <w:rsid w:val="00BF729B"/>
    <w:rsid w:val="00BF72AE"/>
    <w:rsid w:val="00BF72C2"/>
    <w:rsid w:val="00BF7362"/>
    <w:rsid w:val="00BF751E"/>
    <w:rsid w:val="00BF77D1"/>
    <w:rsid w:val="00BF77FE"/>
    <w:rsid w:val="00BF7B73"/>
    <w:rsid w:val="00BF7C51"/>
    <w:rsid w:val="00BF7D97"/>
    <w:rsid w:val="00BF7E4E"/>
    <w:rsid w:val="00C0021F"/>
    <w:rsid w:val="00C002A0"/>
    <w:rsid w:val="00C0048B"/>
    <w:rsid w:val="00C005C9"/>
    <w:rsid w:val="00C00699"/>
    <w:rsid w:val="00C0074F"/>
    <w:rsid w:val="00C00974"/>
    <w:rsid w:val="00C00A65"/>
    <w:rsid w:val="00C00E16"/>
    <w:rsid w:val="00C00F51"/>
    <w:rsid w:val="00C01028"/>
    <w:rsid w:val="00C010B3"/>
    <w:rsid w:val="00C0131B"/>
    <w:rsid w:val="00C01528"/>
    <w:rsid w:val="00C01600"/>
    <w:rsid w:val="00C01758"/>
    <w:rsid w:val="00C017D6"/>
    <w:rsid w:val="00C01ADC"/>
    <w:rsid w:val="00C01B3A"/>
    <w:rsid w:val="00C01C6B"/>
    <w:rsid w:val="00C01CEC"/>
    <w:rsid w:val="00C01E82"/>
    <w:rsid w:val="00C020C9"/>
    <w:rsid w:val="00C020D6"/>
    <w:rsid w:val="00C021F5"/>
    <w:rsid w:val="00C023E5"/>
    <w:rsid w:val="00C02630"/>
    <w:rsid w:val="00C02673"/>
    <w:rsid w:val="00C02683"/>
    <w:rsid w:val="00C027AC"/>
    <w:rsid w:val="00C02D52"/>
    <w:rsid w:val="00C02D9E"/>
    <w:rsid w:val="00C02FCA"/>
    <w:rsid w:val="00C03021"/>
    <w:rsid w:val="00C03077"/>
    <w:rsid w:val="00C033AC"/>
    <w:rsid w:val="00C034C5"/>
    <w:rsid w:val="00C037D1"/>
    <w:rsid w:val="00C037E1"/>
    <w:rsid w:val="00C038BE"/>
    <w:rsid w:val="00C03983"/>
    <w:rsid w:val="00C03A9F"/>
    <w:rsid w:val="00C03AB0"/>
    <w:rsid w:val="00C03B89"/>
    <w:rsid w:val="00C03CAB"/>
    <w:rsid w:val="00C03CFB"/>
    <w:rsid w:val="00C03D61"/>
    <w:rsid w:val="00C03D75"/>
    <w:rsid w:val="00C03E28"/>
    <w:rsid w:val="00C04265"/>
    <w:rsid w:val="00C04306"/>
    <w:rsid w:val="00C043E4"/>
    <w:rsid w:val="00C04619"/>
    <w:rsid w:val="00C04684"/>
    <w:rsid w:val="00C04B36"/>
    <w:rsid w:val="00C04B56"/>
    <w:rsid w:val="00C04F0F"/>
    <w:rsid w:val="00C05037"/>
    <w:rsid w:val="00C050E2"/>
    <w:rsid w:val="00C0541C"/>
    <w:rsid w:val="00C0542F"/>
    <w:rsid w:val="00C0552B"/>
    <w:rsid w:val="00C05589"/>
    <w:rsid w:val="00C055CB"/>
    <w:rsid w:val="00C056C8"/>
    <w:rsid w:val="00C058FD"/>
    <w:rsid w:val="00C059D0"/>
    <w:rsid w:val="00C05C1A"/>
    <w:rsid w:val="00C05CF7"/>
    <w:rsid w:val="00C05E9C"/>
    <w:rsid w:val="00C05F44"/>
    <w:rsid w:val="00C06339"/>
    <w:rsid w:val="00C0645E"/>
    <w:rsid w:val="00C064F0"/>
    <w:rsid w:val="00C064F4"/>
    <w:rsid w:val="00C065B6"/>
    <w:rsid w:val="00C066BA"/>
    <w:rsid w:val="00C06771"/>
    <w:rsid w:val="00C06833"/>
    <w:rsid w:val="00C068A5"/>
    <w:rsid w:val="00C06967"/>
    <w:rsid w:val="00C06A45"/>
    <w:rsid w:val="00C06A5A"/>
    <w:rsid w:val="00C06AC9"/>
    <w:rsid w:val="00C06B60"/>
    <w:rsid w:val="00C06CEB"/>
    <w:rsid w:val="00C0702B"/>
    <w:rsid w:val="00C07539"/>
    <w:rsid w:val="00C0777D"/>
    <w:rsid w:val="00C0778C"/>
    <w:rsid w:val="00C07872"/>
    <w:rsid w:val="00C07901"/>
    <w:rsid w:val="00C07940"/>
    <w:rsid w:val="00C07A70"/>
    <w:rsid w:val="00C07D7B"/>
    <w:rsid w:val="00C07D87"/>
    <w:rsid w:val="00C07DE1"/>
    <w:rsid w:val="00C07EBB"/>
    <w:rsid w:val="00C07F67"/>
    <w:rsid w:val="00C07F75"/>
    <w:rsid w:val="00C0C6F2"/>
    <w:rsid w:val="00C101D3"/>
    <w:rsid w:val="00C102AC"/>
    <w:rsid w:val="00C10373"/>
    <w:rsid w:val="00C103A0"/>
    <w:rsid w:val="00C103A2"/>
    <w:rsid w:val="00C10521"/>
    <w:rsid w:val="00C1080D"/>
    <w:rsid w:val="00C108AE"/>
    <w:rsid w:val="00C109D6"/>
    <w:rsid w:val="00C10A83"/>
    <w:rsid w:val="00C10F18"/>
    <w:rsid w:val="00C10FEA"/>
    <w:rsid w:val="00C110C7"/>
    <w:rsid w:val="00C111FE"/>
    <w:rsid w:val="00C11310"/>
    <w:rsid w:val="00C114CA"/>
    <w:rsid w:val="00C11557"/>
    <w:rsid w:val="00C11682"/>
    <w:rsid w:val="00C1176D"/>
    <w:rsid w:val="00C117C5"/>
    <w:rsid w:val="00C11846"/>
    <w:rsid w:val="00C118A6"/>
    <w:rsid w:val="00C118D0"/>
    <w:rsid w:val="00C118EA"/>
    <w:rsid w:val="00C11A59"/>
    <w:rsid w:val="00C11ACB"/>
    <w:rsid w:val="00C11C7E"/>
    <w:rsid w:val="00C11CF6"/>
    <w:rsid w:val="00C11D7A"/>
    <w:rsid w:val="00C11EED"/>
    <w:rsid w:val="00C11FC9"/>
    <w:rsid w:val="00C1201E"/>
    <w:rsid w:val="00C12267"/>
    <w:rsid w:val="00C122F9"/>
    <w:rsid w:val="00C1248C"/>
    <w:rsid w:val="00C12654"/>
    <w:rsid w:val="00C12767"/>
    <w:rsid w:val="00C1298B"/>
    <w:rsid w:val="00C12C23"/>
    <w:rsid w:val="00C12D9D"/>
    <w:rsid w:val="00C12E52"/>
    <w:rsid w:val="00C12FD4"/>
    <w:rsid w:val="00C1304E"/>
    <w:rsid w:val="00C13146"/>
    <w:rsid w:val="00C132AA"/>
    <w:rsid w:val="00C13321"/>
    <w:rsid w:val="00C13435"/>
    <w:rsid w:val="00C1360F"/>
    <w:rsid w:val="00C13798"/>
    <w:rsid w:val="00C137D5"/>
    <w:rsid w:val="00C138CA"/>
    <w:rsid w:val="00C1397E"/>
    <w:rsid w:val="00C13B8E"/>
    <w:rsid w:val="00C13C6C"/>
    <w:rsid w:val="00C14008"/>
    <w:rsid w:val="00C14073"/>
    <w:rsid w:val="00C1425E"/>
    <w:rsid w:val="00C142A9"/>
    <w:rsid w:val="00C142CF"/>
    <w:rsid w:val="00C1431F"/>
    <w:rsid w:val="00C1445F"/>
    <w:rsid w:val="00C1459F"/>
    <w:rsid w:val="00C145AE"/>
    <w:rsid w:val="00C1460F"/>
    <w:rsid w:val="00C1470C"/>
    <w:rsid w:val="00C14721"/>
    <w:rsid w:val="00C1473A"/>
    <w:rsid w:val="00C14752"/>
    <w:rsid w:val="00C147DB"/>
    <w:rsid w:val="00C1481C"/>
    <w:rsid w:val="00C1489F"/>
    <w:rsid w:val="00C1490D"/>
    <w:rsid w:val="00C14927"/>
    <w:rsid w:val="00C14975"/>
    <w:rsid w:val="00C14A7F"/>
    <w:rsid w:val="00C14B87"/>
    <w:rsid w:val="00C14BB6"/>
    <w:rsid w:val="00C14C1D"/>
    <w:rsid w:val="00C14D0B"/>
    <w:rsid w:val="00C14D11"/>
    <w:rsid w:val="00C14E15"/>
    <w:rsid w:val="00C14EFD"/>
    <w:rsid w:val="00C14F62"/>
    <w:rsid w:val="00C1508C"/>
    <w:rsid w:val="00C15137"/>
    <w:rsid w:val="00C1528F"/>
    <w:rsid w:val="00C153D2"/>
    <w:rsid w:val="00C154AD"/>
    <w:rsid w:val="00C15703"/>
    <w:rsid w:val="00C157BF"/>
    <w:rsid w:val="00C15990"/>
    <w:rsid w:val="00C15999"/>
    <w:rsid w:val="00C159FD"/>
    <w:rsid w:val="00C15A6A"/>
    <w:rsid w:val="00C15D80"/>
    <w:rsid w:val="00C15F03"/>
    <w:rsid w:val="00C1600D"/>
    <w:rsid w:val="00C16014"/>
    <w:rsid w:val="00C161AA"/>
    <w:rsid w:val="00C161E3"/>
    <w:rsid w:val="00C16397"/>
    <w:rsid w:val="00C1642B"/>
    <w:rsid w:val="00C1662D"/>
    <w:rsid w:val="00C168D5"/>
    <w:rsid w:val="00C16B65"/>
    <w:rsid w:val="00C16B83"/>
    <w:rsid w:val="00C16B86"/>
    <w:rsid w:val="00C16B9F"/>
    <w:rsid w:val="00C16D47"/>
    <w:rsid w:val="00C16DB9"/>
    <w:rsid w:val="00C16ECC"/>
    <w:rsid w:val="00C1702D"/>
    <w:rsid w:val="00C17091"/>
    <w:rsid w:val="00C170A2"/>
    <w:rsid w:val="00C170D1"/>
    <w:rsid w:val="00C171BD"/>
    <w:rsid w:val="00C171F3"/>
    <w:rsid w:val="00C17384"/>
    <w:rsid w:val="00C17746"/>
    <w:rsid w:val="00C17848"/>
    <w:rsid w:val="00C17895"/>
    <w:rsid w:val="00C178F7"/>
    <w:rsid w:val="00C17990"/>
    <w:rsid w:val="00C17A6B"/>
    <w:rsid w:val="00C17D54"/>
    <w:rsid w:val="00C17E3A"/>
    <w:rsid w:val="00C17F00"/>
    <w:rsid w:val="00C17F11"/>
    <w:rsid w:val="00C20000"/>
    <w:rsid w:val="00C201D5"/>
    <w:rsid w:val="00C201F8"/>
    <w:rsid w:val="00C20351"/>
    <w:rsid w:val="00C2043A"/>
    <w:rsid w:val="00C20736"/>
    <w:rsid w:val="00C2076A"/>
    <w:rsid w:val="00C2090B"/>
    <w:rsid w:val="00C20AC3"/>
    <w:rsid w:val="00C20C6D"/>
    <w:rsid w:val="00C20CF4"/>
    <w:rsid w:val="00C20D5B"/>
    <w:rsid w:val="00C20E43"/>
    <w:rsid w:val="00C20EE9"/>
    <w:rsid w:val="00C2101F"/>
    <w:rsid w:val="00C210A0"/>
    <w:rsid w:val="00C213EE"/>
    <w:rsid w:val="00C21447"/>
    <w:rsid w:val="00C215ED"/>
    <w:rsid w:val="00C21632"/>
    <w:rsid w:val="00C216A3"/>
    <w:rsid w:val="00C21B6E"/>
    <w:rsid w:val="00C21BBF"/>
    <w:rsid w:val="00C21D4F"/>
    <w:rsid w:val="00C21E3C"/>
    <w:rsid w:val="00C21EA7"/>
    <w:rsid w:val="00C22009"/>
    <w:rsid w:val="00C222C1"/>
    <w:rsid w:val="00C222FD"/>
    <w:rsid w:val="00C2238D"/>
    <w:rsid w:val="00C225CE"/>
    <w:rsid w:val="00C227AD"/>
    <w:rsid w:val="00C2289B"/>
    <w:rsid w:val="00C22A07"/>
    <w:rsid w:val="00C22AA2"/>
    <w:rsid w:val="00C22BAC"/>
    <w:rsid w:val="00C22D8D"/>
    <w:rsid w:val="00C22DA9"/>
    <w:rsid w:val="00C22E38"/>
    <w:rsid w:val="00C22E55"/>
    <w:rsid w:val="00C22EB6"/>
    <w:rsid w:val="00C23069"/>
    <w:rsid w:val="00C231C4"/>
    <w:rsid w:val="00C2329A"/>
    <w:rsid w:val="00C232D6"/>
    <w:rsid w:val="00C23337"/>
    <w:rsid w:val="00C233BA"/>
    <w:rsid w:val="00C2356B"/>
    <w:rsid w:val="00C23658"/>
    <w:rsid w:val="00C239B0"/>
    <w:rsid w:val="00C23A54"/>
    <w:rsid w:val="00C23C73"/>
    <w:rsid w:val="00C23F5C"/>
    <w:rsid w:val="00C240E0"/>
    <w:rsid w:val="00C242A5"/>
    <w:rsid w:val="00C242B7"/>
    <w:rsid w:val="00C2438F"/>
    <w:rsid w:val="00C245DD"/>
    <w:rsid w:val="00C24609"/>
    <w:rsid w:val="00C24777"/>
    <w:rsid w:val="00C24839"/>
    <w:rsid w:val="00C24ADB"/>
    <w:rsid w:val="00C252F1"/>
    <w:rsid w:val="00C253AB"/>
    <w:rsid w:val="00C254F7"/>
    <w:rsid w:val="00C25819"/>
    <w:rsid w:val="00C25883"/>
    <w:rsid w:val="00C258B2"/>
    <w:rsid w:val="00C25B3A"/>
    <w:rsid w:val="00C25CED"/>
    <w:rsid w:val="00C25E81"/>
    <w:rsid w:val="00C26031"/>
    <w:rsid w:val="00C260CE"/>
    <w:rsid w:val="00C26144"/>
    <w:rsid w:val="00C26263"/>
    <w:rsid w:val="00C26529"/>
    <w:rsid w:val="00C26530"/>
    <w:rsid w:val="00C26554"/>
    <w:rsid w:val="00C266E2"/>
    <w:rsid w:val="00C266F9"/>
    <w:rsid w:val="00C2676F"/>
    <w:rsid w:val="00C268CE"/>
    <w:rsid w:val="00C26965"/>
    <w:rsid w:val="00C26967"/>
    <w:rsid w:val="00C26A7D"/>
    <w:rsid w:val="00C26B88"/>
    <w:rsid w:val="00C26FCC"/>
    <w:rsid w:val="00C26FD9"/>
    <w:rsid w:val="00C27142"/>
    <w:rsid w:val="00C272A4"/>
    <w:rsid w:val="00C272E1"/>
    <w:rsid w:val="00C27382"/>
    <w:rsid w:val="00C27391"/>
    <w:rsid w:val="00C27460"/>
    <w:rsid w:val="00C274AE"/>
    <w:rsid w:val="00C275B3"/>
    <w:rsid w:val="00C275D7"/>
    <w:rsid w:val="00C27621"/>
    <w:rsid w:val="00C27696"/>
    <w:rsid w:val="00C276E0"/>
    <w:rsid w:val="00C276FB"/>
    <w:rsid w:val="00C27790"/>
    <w:rsid w:val="00C277DB"/>
    <w:rsid w:val="00C278DD"/>
    <w:rsid w:val="00C278E7"/>
    <w:rsid w:val="00C27971"/>
    <w:rsid w:val="00C27A1A"/>
    <w:rsid w:val="00C27CDA"/>
    <w:rsid w:val="00C27D57"/>
    <w:rsid w:val="00C27E8B"/>
    <w:rsid w:val="00C27E96"/>
    <w:rsid w:val="00C30353"/>
    <w:rsid w:val="00C306C5"/>
    <w:rsid w:val="00C3096C"/>
    <w:rsid w:val="00C309D7"/>
    <w:rsid w:val="00C30A0B"/>
    <w:rsid w:val="00C30B86"/>
    <w:rsid w:val="00C30DA0"/>
    <w:rsid w:val="00C31095"/>
    <w:rsid w:val="00C31411"/>
    <w:rsid w:val="00C3142B"/>
    <w:rsid w:val="00C31453"/>
    <w:rsid w:val="00C314AF"/>
    <w:rsid w:val="00C31526"/>
    <w:rsid w:val="00C31620"/>
    <w:rsid w:val="00C31659"/>
    <w:rsid w:val="00C316DD"/>
    <w:rsid w:val="00C31879"/>
    <w:rsid w:val="00C31990"/>
    <w:rsid w:val="00C31BA1"/>
    <w:rsid w:val="00C31C20"/>
    <w:rsid w:val="00C31D06"/>
    <w:rsid w:val="00C31ED1"/>
    <w:rsid w:val="00C31ED9"/>
    <w:rsid w:val="00C32006"/>
    <w:rsid w:val="00C320F3"/>
    <w:rsid w:val="00C32114"/>
    <w:rsid w:val="00C321F9"/>
    <w:rsid w:val="00C32279"/>
    <w:rsid w:val="00C3234E"/>
    <w:rsid w:val="00C32368"/>
    <w:rsid w:val="00C323EB"/>
    <w:rsid w:val="00C3242B"/>
    <w:rsid w:val="00C32467"/>
    <w:rsid w:val="00C324D0"/>
    <w:rsid w:val="00C3265D"/>
    <w:rsid w:val="00C327F2"/>
    <w:rsid w:val="00C328DB"/>
    <w:rsid w:val="00C32960"/>
    <w:rsid w:val="00C32A2E"/>
    <w:rsid w:val="00C32A2F"/>
    <w:rsid w:val="00C32A42"/>
    <w:rsid w:val="00C32A50"/>
    <w:rsid w:val="00C32A56"/>
    <w:rsid w:val="00C32B0F"/>
    <w:rsid w:val="00C32EEA"/>
    <w:rsid w:val="00C3313A"/>
    <w:rsid w:val="00C3317F"/>
    <w:rsid w:val="00C331A9"/>
    <w:rsid w:val="00C3321C"/>
    <w:rsid w:val="00C33430"/>
    <w:rsid w:val="00C335D2"/>
    <w:rsid w:val="00C3365D"/>
    <w:rsid w:val="00C336B5"/>
    <w:rsid w:val="00C336B7"/>
    <w:rsid w:val="00C33C06"/>
    <w:rsid w:val="00C33DC4"/>
    <w:rsid w:val="00C33FB8"/>
    <w:rsid w:val="00C34041"/>
    <w:rsid w:val="00C340B4"/>
    <w:rsid w:val="00C340DB"/>
    <w:rsid w:val="00C341A0"/>
    <w:rsid w:val="00C342C0"/>
    <w:rsid w:val="00C34384"/>
    <w:rsid w:val="00C34469"/>
    <w:rsid w:val="00C34538"/>
    <w:rsid w:val="00C34574"/>
    <w:rsid w:val="00C3463E"/>
    <w:rsid w:val="00C346D2"/>
    <w:rsid w:val="00C346F2"/>
    <w:rsid w:val="00C347CC"/>
    <w:rsid w:val="00C34893"/>
    <w:rsid w:val="00C34972"/>
    <w:rsid w:val="00C34A6E"/>
    <w:rsid w:val="00C34ACC"/>
    <w:rsid w:val="00C34BEA"/>
    <w:rsid w:val="00C34C3C"/>
    <w:rsid w:val="00C34E92"/>
    <w:rsid w:val="00C34F92"/>
    <w:rsid w:val="00C350C5"/>
    <w:rsid w:val="00C35152"/>
    <w:rsid w:val="00C353E1"/>
    <w:rsid w:val="00C353ED"/>
    <w:rsid w:val="00C3546D"/>
    <w:rsid w:val="00C3548F"/>
    <w:rsid w:val="00C3549B"/>
    <w:rsid w:val="00C354C7"/>
    <w:rsid w:val="00C354D3"/>
    <w:rsid w:val="00C35568"/>
    <w:rsid w:val="00C35701"/>
    <w:rsid w:val="00C35823"/>
    <w:rsid w:val="00C358C3"/>
    <w:rsid w:val="00C3591B"/>
    <w:rsid w:val="00C3591F"/>
    <w:rsid w:val="00C3592B"/>
    <w:rsid w:val="00C359E4"/>
    <w:rsid w:val="00C35A18"/>
    <w:rsid w:val="00C35A52"/>
    <w:rsid w:val="00C35B0F"/>
    <w:rsid w:val="00C35DD5"/>
    <w:rsid w:val="00C35DFC"/>
    <w:rsid w:val="00C35E1E"/>
    <w:rsid w:val="00C35E24"/>
    <w:rsid w:val="00C36392"/>
    <w:rsid w:val="00C363F3"/>
    <w:rsid w:val="00C36457"/>
    <w:rsid w:val="00C36523"/>
    <w:rsid w:val="00C36598"/>
    <w:rsid w:val="00C36671"/>
    <w:rsid w:val="00C369B3"/>
    <w:rsid w:val="00C36BDF"/>
    <w:rsid w:val="00C36C52"/>
    <w:rsid w:val="00C36C73"/>
    <w:rsid w:val="00C36D8A"/>
    <w:rsid w:val="00C36DCD"/>
    <w:rsid w:val="00C36F1B"/>
    <w:rsid w:val="00C3754F"/>
    <w:rsid w:val="00C375BB"/>
    <w:rsid w:val="00C37828"/>
    <w:rsid w:val="00C3786E"/>
    <w:rsid w:val="00C37BD7"/>
    <w:rsid w:val="00C37CA4"/>
    <w:rsid w:val="00C37CF0"/>
    <w:rsid w:val="00C37D1A"/>
    <w:rsid w:val="00C37D41"/>
    <w:rsid w:val="00C37F6C"/>
    <w:rsid w:val="00C37F70"/>
    <w:rsid w:val="00C37FAD"/>
    <w:rsid w:val="00C4075B"/>
    <w:rsid w:val="00C40805"/>
    <w:rsid w:val="00C40874"/>
    <w:rsid w:val="00C408FC"/>
    <w:rsid w:val="00C40916"/>
    <w:rsid w:val="00C40996"/>
    <w:rsid w:val="00C40B2C"/>
    <w:rsid w:val="00C40D3E"/>
    <w:rsid w:val="00C40D5A"/>
    <w:rsid w:val="00C41139"/>
    <w:rsid w:val="00C4163C"/>
    <w:rsid w:val="00C4168E"/>
    <w:rsid w:val="00C4194F"/>
    <w:rsid w:val="00C41994"/>
    <w:rsid w:val="00C41B61"/>
    <w:rsid w:val="00C41C9F"/>
    <w:rsid w:val="00C41D62"/>
    <w:rsid w:val="00C41DB8"/>
    <w:rsid w:val="00C41E9F"/>
    <w:rsid w:val="00C42024"/>
    <w:rsid w:val="00C42061"/>
    <w:rsid w:val="00C42124"/>
    <w:rsid w:val="00C42341"/>
    <w:rsid w:val="00C42448"/>
    <w:rsid w:val="00C4250E"/>
    <w:rsid w:val="00C425DB"/>
    <w:rsid w:val="00C426BD"/>
    <w:rsid w:val="00C4286C"/>
    <w:rsid w:val="00C42A51"/>
    <w:rsid w:val="00C42A8C"/>
    <w:rsid w:val="00C42E12"/>
    <w:rsid w:val="00C42F22"/>
    <w:rsid w:val="00C4306F"/>
    <w:rsid w:val="00C43142"/>
    <w:rsid w:val="00C431D4"/>
    <w:rsid w:val="00C43507"/>
    <w:rsid w:val="00C43557"/>
    <w:rsid w:val="00C43648"/>
    <w:rsid w:val="00C43792"/>
    <w:rsid w:val="00C437C1"/>
    <w:rsid w:val="00C437F8"/>
    <w:rsid w:val="00C43B39"/>
    <w:rsid w:val="00C43B95"/>
    <w:rsid w:val="00C43C4F"/>
    <w:rsid w:val="00C43CBA"/>
    <w:rsid w:val="00C43D00"/>
    <w:rsid w:val="00C43F01"/>
    <w:rsid w:val="00C43FCC"/>
    <w:rsid w:val="00C43FE1"/>
    <w:rsid w:val="00C44119"/>
    <w:rsid w:val="00C4414A"/>
    <w:rsid w:val="00C441DD"/>
    <w:rsid w:val="00C441EB"/>
    <w:rsid w:val="00C4427E"/>
    <w:rsid w:val="00C44311"/>
    <w:rsid w:val="00C4454C"/>
    <w:rsid w:val="00C44604"/>
    <w:rsid w:val="00C446AF"/>
    <w:rsid w:val="00C449B9"/>
    <w:rsid w:val="00C44B94"/>
    <w:rsid w:val="00C44CCD"/>
    <w:rsid w:val="00C44EF5"/>
    <w:rsid w:val="00C45285"/>
    <w:rsid w:val="00C45421"/>
    <w:rsid w:val="00C456EF"/>
    <w:rsid w:val="00C45811"/>
    <w:rsid w:val="00C45A48"/>
    <w:rsid w:val="00C45B29"/>
    <w:rsid w:val="00C45B4B"/>
    <w:rsid w:val="00C45E1A"/>
    <w:rsid w:val="00C45EEA"/>
    <w:rsid w:val="00C46201"/>
    <w:rsid w:val="00C464BF"/>
    <w:rsid w:val="00C465BA"/>
    <w:rsid w:val="00C46636"/>
    <w:rsid w:val="00C466AA"/>
    <w:rsid w:val="00C4686F"/>
    <w:rsid w:val="00C46BE8"/>
    <w:rsid w:val="00C46CB6"/>
    <w:rsid w:val="00C46CC6"/>
    <w:rsid w:val="00C46D11"/>
    <w:rsid w:val="00C46DA3"/>
    <w:rsid w:val="00C46E15"/>
    <w:rsid w:val="00C470A2"/>
    <w:rsid w:val="00C474B7"/>
    <w:rsid w:val="00C47680"/>
    <w:rsid w:val="00C4777E"/>
    <w:rsid w:val="00C4783E"/>
    <w:rsid w:val="00C47841"/>
    <w:rsid w:val="00C478D4"/>
    <w:rsid w:val="00C478F4"/>
    <w:rsid w:val="00C479B6"/>
    <w:rsid w:val="00C47B57"/>
    <w:rsid w:val="00C47BD5"/>
    <w:rsid w:val="00C47C0B"/>
    <w:rsid w:val="00C47C2D"/>
    <w:rsid w:val="00C47CA7"/>
    <w:rsid w:val="00C47D09"/>
    <w:rsid w:val="00C47DF9"/>
    <w:rsid w:val="00C47F14"/>
    <w:rsid w:val="00C50146"/>
    <w:rsid w:val="00C501D4"/>
    <w:rsid w:val="00C5026A"/>
    <w:rsid w:val="00C50360"/>
    <w:rsid w:val="00C50480"/>
    <w:rsid w:val="00C5049C"/>
    <w:rsid w:val="00C50BF9"/>
    <w:rsid w:val="00C50C8E"/>
    <w:rsid w:val="00C50E0D"/>
    <w:rsid w:val="00C50E19"/>
    <w:rsid w:val="00C50E42"/>
    <w:rsid w:val="00C50E5A"/>
    <w:rsid w:val="00C51057"/>
    <w:rsid w:val="00C511BB"/>
    <w:rsid w:val="00C5133C"/>
    <w:rsid w:val="00C51456"/>
    <w:rsid w:val="00C5150B"/>
    <w:rsid w:val="00C515CA"/>
    <w:rsid w:val="00C516DD"/>
    <w:rsid w:val="00C51708"/>
    <w:rsid w:val="00C51810"/>
    <w:rsid w:val="00C51952"/>
    <w:rsid w:val="00C51A1B"/>
    <w:rsid w:val="00C51AEB"/>
    <w:rsid w:val="00C52032"/>
    <w:rsid w:val="00C52098"/>
    <w:rsid w:val="00C5215C"/>
    <w:rsid w:val="00C5236F"/>
    <w:rsid w:val="00C5253F"/>
    <w:rsid w:val="00C52580"/>
    <w:rsid w:val="00C52644"/>
    <w:rsid w:val="00C526C2"/>
    <w:rsid w:val="00C52779"/>
    <w:rsid w:val="00C527AF"/>
    <w:rsid w:val="00C527E8"/>
    <w:rsid w:val="00C52A25"/>
    <w:rsid w:val="00C52A98"/>
    <w:rsid w:val="00C52AA7"/>
    <w:rsid w:val="00C52AA8"/>
    <w:rsid w:val="00C52B1E"/>
    <w:rsid w:val="00C52B84"/>
    <w:rsid w:val="00C52BB1"/>
    <w:rsid w:val="00C52BB4"/>
    <w:rsid w:val="00C52D54"/>
    <w:rsid w:val="00C52DC5"/>
    <w:rsid w:val="00C52F74"/>
    <w:rsid w:val="00C531B7"/>
    <w:rsid w:val="00C532C2"/>
    <w:rsid w:val="00C53321"/>
    <w:rsid w:val="00C533BD"/>
    <w:rsid w:val="00C53412"/>
    <w:rsid w:val="00C53429"/>
    <w:rsid w:val="00C5346E"/>
    <w:rsid w:val="00C53496"/>
    <w:rsid w:val="00C5355E"/>
    <w:rsid w:val="00C535A6"/>
    <w:rsid w:val="00C5362A"/>
    <w:rsid w:val="00C5363D"/>
    <w:rsid w:val="00C5396D"/>
    <w:rsid w:val="00C53AF8"/>
    <w:rsid w:val="00C53C7F"/>
    <w:rsid w:val="00C53D98"/>
    <w:rsid w:val="00C53DDA"/>
    <w:rsid w:val="00C53FE5"/>
    <w:rsid w:val="00C5400C"/>
    <w:rsid w:val="00C540A4"/>
    <w:rsid w:val="00C54187"/>
    <w:rsid w:val="00C5420E"/>
    <w:rsid w:val="00C5432A"/>
    <w:rsid w:val="00C5436C"/>
    <w:rsid w:val="00C543C2"/>
    <w:rsid w:val="00C544AC"/>
    <w:rsid w:val="00C544DE"/>
    <w:rsid w:val="00C546A8"/>
    <w:rsid w:val="00C547B9"/>
    <w:rsid w:val="00C547FC"/>
    <w:rsid w:val="00C549B3"/>
    <w:rsid w:val="00C54B64"/>
    <w:rsid w:val="00C54C6D"/>
    <w:rsid w:val="00C54D56"/>
    <w:rsid w:val="00C54D64"/>
    <w:rsid w:val="00C54D80"/>
    <w:rsid w:val="00C54DF4"/>
    <w:rsid w:val="00C54DF9"/>
    <w:rsid w:val="00C54FFA"/>
    <w:rsid w:val="00C55081"/>
    <w:rsid w:val="00C553E7"/>
    <w:rsid w:val="00C55495"/>
    <w:rsid w:val="00C558BC"/>
    <w:rsid w:val="00C5594A"/>
    <w:rsid w:val="00C55C7A"/>
    <w:rsid w:val="00C55E7F"/>
    <w:rsid w:val="00C55FC2"/>
    <w:rsid w:val="00C55FC8"/>
    <w:rsid w:val="00C560AA"/>
    <w:rsid w:val="00C5610B"/>
    <w:rsid w:val="00C56255"/>
    <w:rsid w:val="00C5625D"/>
    <w:rsid w:val="00C56266"/>
    <w:rsid w:val="00C563C1"/>
    <w:rsid w:val="00C5650D"/>
    <w:rsid w:val="00C56785"/>
    <w:rsid w:val="00C567F4"/>
    <w:rsid w:val="00C56835"/>
    <w:rsid w:val="00C56B16"/>
    <w:rsid w:val="00C56B1E"/>
    <w:rsid w:val="00C56BCD"/>
    <w:rsid w:val="00C56CC8"/>
    <w:rsid w:val="00C56FF5"/>
    <w:rsid w:val="00C57259"/>
    <w:rsid w:val="00C57451"/>
    <w:rsid w:val="00C579A1"/>
    <w:rsid w:val="00C57AD6"/>
    <w:rsid w:val="00C57D9F"/>
    <w:rsid w:val="00C57F34"/>
    <w:rsid w:val="00C60218"/>
    <w:rsid w:val="00C602D0"/>
    <w:rsid w:val="00C603F5"/>
    <w:rsid w:val="00C6052A"/>
    <w:rsid w:val="00C6061A"/>
    <w:rsid w:val="00C60A9C"/>
    <w:rsid w:val="00C60BF7"/>
    <w:rsid w:val="00C6123C"/>
    <w:rsid w:val="00C61272"/>
    <w:rsid w:val="00C615F9"/>
    <w:rsid w:val="00C616A9"/>
    <w:rsid w:val="00C616E6"/>
    <w:rsid w:val="00C61850"/>
    <w:rsid w:val="00C61952"/>
    <w:rsid w:val="00C6198F"/>
    <w:rsid w:val="00C61A93"/>
    <w:rsid w:val="00C61B68"/>
    <w:rsid w:val="00C61B8F"/>
    <w:rsid w:val="00C61CE9"/>
    <w:rsid w:val="00C61D81"/>
    <w:rsid w:val="00C61D91"/>
    <w:rsid w:val="00C61E7C"/>
    <w:rsid w:val="00C61EBF"/>
    <w:rsid w:val="00C61F9F"/>
    <w:rsid w:val="00C61FE0"/>
    <w:rsid w:val="00C6200B"/>
    <w:rsid w:val="00C62174"/>
    <w:rsid w:val="00C6240D"/>
    <w:rsid w:val="00C62705"/>
    <w:rsid w:val="00C6282D"/>
    <w:rsid w:val="00C628FB"/>
    <w:rsid w:val="00C62999"/>
    <w:rsid w:val="00C629D8"/>
    <w:rsid w:val="00C62A1D"/>
    <w:rsid w:val="00C62AB5"/>
    <w:rsid w:val="00C62AE5"/>
    <w:rsid w:val="00C62CE7"/>
    <w:rsid w:val="00C62D75"/>
    <w:rsid w:val="00C62E08"/>
    <w:rsid w:val="00C6312E"/>
    <w:rsid w:val="00C631B9"/>
    <w:rsid w:val="00C632DF"/>
    <w:rsid w:val="00C63414"/>
    <w:rsid w:val="00C6355A"/>
    <w:rsid w:val="00C635EB"/>
    <w:rsid w:val="00C63700"/>
    <w:rsid w:val="00C6370B"/>
    <w:rsid w:val="00C63731"/>
    <w:rsid w:val="00C638C2"/>
    <w:rsid w:val="00C63A02"/>
    <w:rsid w:val="00C63A34"/>
    <w:rsid w:val="00C63B73"/>
    <w:rsid w:val="00C63BE1"/>
    <w:rsid w:val="00C63DF0"/>
    <w:rsid w:val="00C63EF0"/>
    <w:rsid w:val="00C64162"/>
    <w:rsid w:val="00C64345"/>
    <w:rsid w:val="00C645B9"/>
    <w:rsid w:val="00C645BF"/>
    <w:rsid w:val="00C645F3"/>
    <w:rsid w:val="00C64618"/>
    <w:rsid w:val="00C649BA"/>
    <w:rsid w:val="00C64C80"/>
    <w:rsid w:val="00C65027"/>
    <w:rsid w:val="00C6536C"/>
    <w:rsid w:val="00C654C7"/>
    <w:rsid w:val="00C65718"/>
    <w:rsid w:val="00C657D3"/>
    <w:rsid w:val="00C65A4B"/>
    <w:rsid w:val="00C65AA9"/>
    <w:rsid w:val="00C65BFC"/>
    <w:rsid w:val="00C65D7C"/>
    <w:rsid w:val="00C65E4F"/>
    <w:rsid w:val="00C65E8D"/>
    <w:rsid w:val="00C65F49"/>
    <w:rsid w:val="00C6604E"/>
    <w:rsid w:val="00C6628B"/>
    <w:rsid w:val="00C663FB"/>
    <w:rsid w:val="00C6653D"/>
    <w:rsid w:val="00C6665F"/>
    <w:rsid w:val="00C666A0"/>
    <w:rsid w:val="00C66884"/>
    <w:rsid w:val="00C6691C"/>
    <w:rsid w:val="00C6696C"/>
    <w:rsid w:val="00C66A1F"/>
    <w:rsid w:val="00C66A49"/>
    <w:rsid w:val="00C66A8C"/>
    <w:rsid w:val="00C66D62"/>
    <w:rsid w:val="00C66F3A"/>
    <w:rsid w:val="00C671EC"/>
    <w:rsid w:val="00C672F3"/>
    <w:rsid w:val="00C673B8"/>
    <w:rsid w:val="00C674D0"/>
    <w:rsid w:val="00C67575"/>
    <w:rsid w:val="00C67767"/>
    <w:rsid w:val="00C678E4"/>
    <w:rsid w:val="00C67960"/>
    <w:rsid w:val="00C67DC4"/>
    <w:rsid w:val="00C67E24"/>
    <w:rsid w:val="00C70058"/>
    <w:rsid w:val="00C70084"/>
    <w:rsid w:val="00C70125"/>
    <w:rsid w:val="00C70325"/>
    <w:rsid w:val="00C70550"/>
    <w:rsid w:val="00C70643"/>
    <w:rsid w:val="00C706AD"/>
    <w:rsid w:val="00C706E4"/>
    <w:rsid w:val="00C7079F"/>
    <w:rsid w:val="00C707C2"/>
    <w:rsid w:val="00C7093E"/>
    <w:rsid w:val="00C709E8"/>
    <w:rsid w:val="00C70D8A"/>
    <w:rsid w:val="00C70FAE"/>
    <w:rsid w:val="00C70FBA"/>
    <w:rsid w:val="00C71078"/>
    <w:rsid w:val="00C7138D"/>
    <w:rsid w:val="00C71486"/>
    <w:rsid w:val="00C7165A"/>
    <w:rsid w:val="00C7171A"/>
    <w:rsid w:val="00C717CA"/>
    <w:rsid w:val="00C71939"/>
    <w:rsid w:val="00C71B1D"/>
    <w:rsid w:val="00C71D70"/>
    <w:rsid w:val="00C71D86"/>
    <w:rsid w:val="00C71E1F"/>
    <w:rsid w:val="00C71F46"/>
    <w:rsid w:val="00C71FC3"/>
    <w:rsid w:val="00C71FDF"/>
    <w:rsid w:val="00C720BA"/>
    <w:rsid w:val="00C7233D"/>
    <w:rsid w:val="00C72408"/>
    <w:rsid w:val="00C72469"/>
    <w:rsid w:val="00C7258B"/>
    <w:rsid w:val="00C726D5"/>
    <w:rsid w:val="00C72BCA"/>
    <w:rsid w:val="00C72C47"/>
    <w:rsid w:val="00C72C56"/>
    <w:rsid w:val="00C72DA2"/>
    <w:rsid w:val="00C73010"/>
    <w:rsid w:val="00C732FF"/>
    <w:rsid w:val="00C73421"/>
    <w:rsid w:val="00C73463"/>
    <w:rsid w:val="00C734EE"/>
    <w:rsid w:val="00C73673"/>
    <w:rsid w:val="00C73782"/>
    <w:rsid w:val="00C73C32"/>
    <w:rsid w:val="00C73D41"/>
    <w:rsid w:val="00C73D62"/>
    <w:rsid w:val="00C73E26"/>
    <w:rsid w:val="00C73F2C"/>
    <w:rsid w:val="00C741E2"/>
    <w:rsid w:val="00C746DE"/>
    <w:rsid w:val="00C746DF"/>
    <w:rsid w:val="00C746E4"/>
    <w:rsid w:val="00C748A5"/>
    <w:rsid w:val="00C749B7"/>
    <w:rsid w:val="00C74B03"/>
    <w:rsid w:val="00C74D8F"/>
    <w:rsid w:val="00C74E71"/>
    <w:rsid w:val="00C74EB2"/>
    <w:rsid w:val="00C7508A"/>
    <w:rsid w:val="00C7513C"/>
    <w:rsid w:val="00C751BA"/>
    <w:rsid w:val="00C75297"/>
    <w:rsid w:val="00C75349"/>
    <w:rsid w:val="00C753B1"/>
    <w:rsid w:val="00C755A8"/>
    <w:rsid w:val="00C755E2"/>
    <w:rsid w:val="00C75823"/>
    <w:rsid w:val="00C759B4"/>
    <w:rsid w:val="00C759E2"/>
    <w:rsid w:val="00C75ACE"/>
    <w:rsid w:val="00C75ADA"/>
    <w:rsid w:val="00C75BA1"/>
    <w:rsid w:val="00C75C38"/>
    <w:rsid w:val="00C75E02"/>
    <w:rsid w:val="00C75E4F"/>
    <w:rsid w:val="00C75E5A"/>
    <w:rsid w:val="00C75F96"/>
    <w:rsid w:val="00C75FD3"/>
    <w:rsid w:val="00C75FFC"/>
    <w:rsid w:val="00C76194"/>
    <w:rsid w:val="00C762D7"/>
    <w:rsid w:val="00C7637C"/>
    <w:rsid w:val="00C7638D"/>
    <w:rsid w:val="00C7640D"/>
    <w:rsid w:val="00C765C6"/>
    <w:rsid w:val="00C7670C"/>
    <w:rsid w:val="00C76796"/>
    <w:rsid w:val="00C767AD"/>
    <w:rsid w:val="00C769EA"/>
    <w:rsid w:val="00C76A2D"/>
    <w:rsid w:val="00C76A42"/>
    <w:rsid w:val="00C76B2D"/>
    <w:rsid w:val="00C76BCF"/>
    <w:rsid w:val="00C76D36"/>
    <w:rsid w:val="00C76DFB"/>
    <w:rsid w:val="00C771C6"/>
    <w:rsid w:val="00C77235"/>
    <w:rsid w:val="00C772CF"/>
    <w:rsid w:val="00C77351"/>
    <w:rsid w:val="00C77448"/>
    <w:rsid w:val="00C774FF"/>
    <w:rsid w:val="00C7756F"/>
    <w:rsid w:val="00C776E8"/>
    <w:rsid w:val="00C7777B"/>
    <w:rsid w:val="00C777F2"/>
    <w:rsid w:val="00C778F2"/>
    <w:rsid w:val="00C779D4"/>
    <w:rsid w:val="00C77AAA"/>
    <w:rsid w:val="00C77B41"/>
    <w:rsid w:val="00C77B7F"/>
    <w:rsid w:val="00C77C55"/>
    <w:rsid w:val="00C77CB5"/>
    <w:rsid w:val="00C77CD2"/>
    <w:rsid w:val="00C77EE0"/>
    <w:rsid w:val="00C80014"/>
    <w:rsid w:val="00C80237"/>
    <w:rsid w:val="00C8026E"/>
    <w:rsid w:val="00C8032B"/>
    <w:rsid w:val="00C8033E"/>
    <w:rsid w:val="00C80419"/>
    <w:rsid w:val="00C804F2"/>
    <w:rsid w:val="00C8083A"/>
    <w:rsid w:val="00C80869"/>
    <w:rsid w:val="00C80B3B"/>
    <w:rsid w:val="00C80B52"/>
    <w:rsid w:val="00C80BC0"/>
    <w:rsid w:val="00C80E02"/>
    <w:rsid w:val="00C80F2B"/>
    <w:rsid w:val="00C80F72"/>
    <w:rsid w:val="00C81120"/>
    <w:rsid w:val="00C8122D"/>
    <w:rsid w:val="00C81319"/>
    <w:rsid w:val="00C813A6"/>
    <w:rsid w:val="00C816BB"/>
    <w:rsid w:val="00C8176B"/>
    <w:rsid w:val="00C818C2"/>
    <w:rsid w:val="00C819C4"/>
    <w:rsid w:val="00C819C6"/>
    <w:rsid w:val="00C81CCF"/>
    <w:rsid w:val="00C81DD2"/>
    <w:rsid w:val="00C81F68"/>
    <w:rsid w:val="00C81F9B"/>
    <w:rsid w:val="00C82037"/>
    <w:rsid w:val="00C82084"/>
    <w:rsid w:val="00C82381"/>
    <w:rsid w:val="00C82440"/>
    <w:rsid w:val="00C824DD"/>
    <w:rsid w:val="00C825F9"/>
    <w:rsid w:val="00C826A5"/>
    <w:rsid w:val="00C827F8"/>
    <w:rsid w:val="00C82989"/>
    <w:rsid w:val="00C82C77"/>
    <w:rsid w:val="00C82D5F"/>
    <w:rsid w:val="00C82D8C"/>
    <w:rsid w:val="00C82EE0"/>
    <w:rsid w:val="00C82FC8"/>
    <w:rsid w:val="00C82FD2"/>
    <w:rsid w:val="00C8305C"/>
    <w:rsid w:val="00C83436"/>
    <w:rsid w:val="00C83447"/>
    <w:rsid w:val="00C83514"/>
    <w:rsid w:val="00C83775"/>
    <w:rsid w:val="00C83C12"/>
    <w:rsid w:val="00C83C4D"/>
    <w:rsid w:val="00C83E53"/>
    <w:rsid w:val="00C83EC9"/>
    <w:rsid w:val="00C840FC"/>
    <w:rsid w:val="00C84256"/>
    <w:rsid w:val="00C84385"/>
    <w:rsid w:val="00C84518"/>
    <w:rsid w:val="00C8451D"/>
    <w:rsid w:val="00C84749"/>
    <w:rsid w:val="00C84812"/>
    <w:rsid w:val="00C8481F"/>
    <w:rsid w:val="00C84A30"/>
    <w:rsid w:val="00C84BDD"/>
    <w:rsid w:val="00C84BE1"/>
    <w:rsid w:val="00C84F20"/>
    <w:rsid w:val="00C84F3E"/>
    <w:rsid w:val="00C84FAB"/>
    <w:rsid w:val="00C85081"/>
    <w:rsid w:val="00C8518A"/>
    <w:rsid w:val="00C853DD"/>
    <w:rsid w:val="00C85456"/>
    <w:rsid w:val="00C8557A"/>
    <w:rsid w:val="00C856A0"/>
    <w:rsid w:val="00C85847"/>
    <w:rsid w:val="00C85892"/>
    <w:rsid w:val="00C858BA"/>
    <w:rsid w:val="00C85A46"/>
    <w:rsid w:val="00C85C0E"/>
    <w:rsid w:val="00C85E5E"/>
    <w:rsid w:val="00C86047"/>
    <w:rsid w:val="00C861DC"/>
    <w:rsid w:val="00C86247"/>
    <w:rsid w:val="00C862C9"/>
    <w:rsid w:val="00C86336"/>
    <w:rsid w:val="00C86356"/>
    <w:rsid w:val="00C864C5"/>
    <w:rsid w:val="00C865EE"/>
    <w:rsid w:val="00C867BF"/>
    <w:rsid w:val="00C8689D"/>
    <w:rsid w:val="00C86A9F"/>
    <w:rsid w:val="00C86B30"/>
    <w:rsid w:val="00C86DDA"/>
    <w:rsid w:val="00C86E2A"/>
    <w:rsid w:val="00C86E69"/>
    <w:rsid w:val="00C86FA5"/>
    <w:rsid w:val="00C86FD0"/>
    <w:rsid w:val="00C870B2"/>
    <w:rsid w:val="00C870DD"/>
    <w:rsid w:val="00C87256"/>
    <w:rsid w:val="00C872DB"/>
    <w:rsid w:val="00C872E6"/>
    <w:rsid w:val="00C87314"/>
    <w:rsid w:val="00C874EF"/>
    <w:rsid w:val="00C8754B"/>
    <w:rsid w:val="00C875B5"/>
    <w:rsid w:val="00C875E3"/>
    <w:rsid w:val="00C87696"/>
    <w:rsid w:val="00C878A0"/>
    <w:rsid w:val="00C8790D"/>
    <w:rsid w:val="00C87AEC"/>
    <w:rsid w:val="00C87CB1"/>
    <w:rsid w:val="00C87DC8"/>
    <w:rsid w:val="00C87FBF"/>
    <w:rsid w:val="00C900AD"/>
    <w:rsid w:val="00C90240"/>
    <w:rsid w:val="00C90396"/>
    <w:rsid w:val="00C9060E"/>
    <w:rsid w:val="00C9074A"/>
    <w:rsid w:val="00C907D1"/>
    <w:rsid w:val="00C90818"/>
    <w:rsid w:val="00C908F4"/>
    <w:rsid w:val="00C90966"/>
    <w:rsid w:val="00C90999"/>
    <w:rsid w:val="00C909CB"/>
    <w:rsid w:val="00C909D8"/>
    <w:rsid w:val="00C90DF1"/>
    <w:rsid w:val="00C90F02"/>
    <w:rsid w:val="00C90F6D"/>
    <w:rsid w:val="00C91053"/>
    <w:rsid w:val="00C910DC"/>
    <w:rsid w:val="00C911A1"/>
    <w:rsid w:val="00C911A3"/>
    <w:rsid w:val="00C912BE"/>
    <w:rsid w:val="00C913CE"/>
    <w:rsid w:val="00C913D4"/>
    <w:rsid w:val="00C91478"/>
    <w:rsid w:val="00C91495"/>
    <w:rsid w:val="00C91568"/>
    <w:rsid w:val="00C91972"/>
    <w:rsid w:val="00C91A65"/>
    <w:rsid w:val="00C91CC4"/>
    <w:rsid w:val="00C91F88"/>
    <w:rsid w:val="00C9212F"/>
    <w:rsid w:val="00C92299"/>
    <w:rsid w:val="00C922A0"/>
    <w:rsid w:val="00C923E5"/>
    <w:rsid w:val="00C9271B"/>
    <w:rsid w:val="00C92825"/>
    <w:rsid w:val="00C92A21"/>
    <w:rsid w:val="00C92A2E"/>
    <w:rsid w:val="00C92A8B"/>
    <w:rsid w:val="00C92B41"/>
    <w:rsid w:val="00C92BDA"/>
    <w:rsid w:val="00C92F10"/>
    <w:rsid w:val="00C9306F"/>
    <w:rsid w:val="00C93103"/>
    <w:rsid w:val="00C932B3"/>
    <w:rsid w:val="00C932F3"/>
    <w:rsid w:val="00C938BB"/>
    <w:rsid w:val="00C93A11"/>
    <w:rsid w:val="00C93B0B"/>
    <w:rsid w:val="00C93BBF"/>
    <w:rsid w:val="00C93C8B"/>
    <w:rsid w:val="00C93DDD"/>
    <w:rsid w:val="00C93E25"/>
    <w:rsid w:val="00C93F84"/>
    <w:rsid w:val="00C93FCF"/>
    <w:rsid w:val="00C9413A"/>
    <w:rsid w:val="00C9414C"/>
    <w:rsid w:val="00C944EF"/>
    <w:rsid w:val="00C9459E"/>
    <w:rsid w:val="00C94635"/>
    <w:rsid w:val="00C9483B"/>
    <w:rsid w:val="00C94CD5"/>
    <w:rsid w:val="00C94D67"/>
    <w:rsid w:val="00C94FDC"/>
    <w:rsid w:val="00C94FF5"/>
    <w:rsid w:val="00C950BA"/>
    <w:rsid w:val="00C9529D"/>
    <w:rsid w:val="00C95442"/>
    <w:rsid w:val="00C9548F"/>
    <w:rsid w:val="00C95531"/>
    <w:rsid w:val="00C955E5"/>
    <w:rsid w:val="00C956E2"/>
    <w:rsid w:val="00C958E1"/>
    <w:rsid w:val="00C9596A"/>
    <w:rsid w:val="00C95975"/>
    <w:rsid w:val="00C95A0C"/>
    <w:rsid w:val="00C95ADE"/>
    <w:rsid w:val="00C95E39"/>
    <w:rsid w:val="00C960A1"/>
    <w:rsid w:val="00C962AF"/>
    <w:rsid w:val="00C963BC"/>
    <w:rsid w:val="00C96523"/>
    <w:rsid w:val="00C9662D"/>
    <w:rsid w:val="00C96A1D"/>
    <w:rsid w:val="00C96A51"/>
    <w:rsid w:val="00C96B4F"/>
    <w:rsid w:val="00C96D1E"/>
    <w:rsid w:val="00C96D50"/>
    <w:rsid w:val="00C96FA6"/>
    <w:rsid w:val="00C970F8"/>
    <w:rsid w:val="00C97297"/>
    <w:rsid w:val="00C9730A"/>
    <w:rsid w:val="00C97322"/>
    <w:rsid w:val="00C973DE"/>
    <w:rsid w:val="00C9747A"/>
    <w:rsid w:val="00C975D4"/>
    <w:rsid w:val="00C976DC"/>
    <w:rsid w:val="00C979D6"/>
    <w:rsid w:val="00C97A3B"/>
    <w:rsid w:val="00C97B33"/>
    <w:rsid w:val="00C97BA2"/>
    <w:rsid w:val="00C97BE6"/>
    <w:rsid w:val="00C97D75"/>
    <w:rsid w:val="00CA0098"/>
    <w:rsid w:val="00CA0185"/>
    <w:rsid w:val="00CA026D"/>
    <w:rsid w:val="00CA052A"/>
    <w:rsid w:val="00CA05DD"/>
    <w:rsid w:val="00CA061D"/>
    <w:rsid w:val="00CA0818"/>
    <w:rsid w:val="00CA0C3D"/>
    <w:rsid w:val="00CA0C81"/>
    <w:rsid w:val="00CA0D60"/>
    <w:rsid w:val="00CA11CC"/>
    <w:rsid w:val="00CA1328"/>
    <w:rsid w:val="00CA1362"/>
    <w:rsid w:val="00CA137C"/>
    <w:rsid w:val="00CA165E"/>
    <w:rsid w:val="00CA1847"/>
    <w:rsid w:val="00CA1A00"/>
    <w:rsid w:val="00CA1B74"/>
    <w:rsid w:val="00CA1E93"/>
    <w:rsid w:val="00CA1FA6"/>
    <w:rsid w:val="00CA2090"/>
    <w:rsid w:val="00CA2240"/>
    <w:rsid w:val="00CA2649"/>
    <w:rsid w:val="00CA2766"/>
    <w:rsid w:val="00CA29A9"/>
    <w:rsid w:val="00CA2B3E"/>
    <w:rsid w:val="00CA2DBB"/>
    <w:rsid w:val="00CA2DEE"/>
    <w:rsid w:val="00CA2E4D"/>
    <w:rsid w:val="00CA32BB"/>
    <w:rsid w:val="00CA34D3"/>
    <w:rsid w:val="00CA3513"/>
    <w:rsid w:val="00CA371A"/>
    <w:rsid w:val="00CA38B9"/>
    <w:rsid w:val="00CA3C7A"/>
    <w:rsid w:val="00CA41C3"/>
    <w:rsid w:val="00CA4332"/>
    <w:rsid w:val="00CA4429"/>
    <w:rsid w:val="00CA48D4"/>
    <w:rsid w:val="00CA4A63"/>
    <w:rsid w:val="00CA4B12"/>
    <w:rsid w:val="00CA4C02"/>
    <w:rsid w:val="00CA4D37"/>
    <w:rsid w:val="00CA4D76"/>
    <w:rsid w:val="00CA4F40"/>
    <w:rsid w:val="00CA5079"/>
    <w:rsid w:val="00CA5273"/>
    <w:rsid w:val="00CA5374"/>
    <w:rsid w:val="00CA5448"/>
    <w:rsid w:val="00CA55A3"/>
    <w:rsid w:val="00CA5607"/>
    <w:rsid w:val="00CA5828"/>
    <w:rsid w:val="00CA5B52"/>
    <w:rsid w:val="00CA5C9D"/>
    <w:rsid w:val="00CA5D31"/>
    <w:rsid w:val="00CA5D4C"/>
    <w:rsid w:val="00CA5DAC"/>
    <w:rsid w:val="00CA612C"/>
    <w:rsid w:val="00CA6291"/>
    <w:rsid w:val="00CA66CE"/>
    <w:rsid w:val="00CA688B"/>
    <w:rsid w:val="00CA68F2"/>
    <w:rsid w:val="00CA69BC"/>
    <w:rsid w:val="00CA6B79"/>
    <w:rsid w:val="00CA6BC5"/>
    <w:rsid w:val="00CA6E63"/>
    <w:rsid w:val="00CA6FA0"/>
    <w:rsid w:val="00CA6FCB"/>
    <w:rsid w:val="00CA7069"/>
    <w:rsid w:val="00CA7316"/>
    <w:rsid w:val="00CA73E4"/>
    <w:rsid w:val="00CA73FF"/>
    <w:rsid w:val="00CA754B"/>
    <w:rsid w:val="00CA767C"/>
    <w:rsid w:val="00CA767E"/>
    <w:rsid w:val="00CA7704"/>
    <w:rsid w:val="00CA7765"/>
    <w:rsid w:val="00CA786D"/>
    <w:rsid w:val="00CA7AA8"/>
    <w:rsid w:val="00CA7ACD"/>
    <w:rsid w:val="00CA7D66"/>
    <w:rsid w:val="00CA7F35"/>
    <w:rsid w:val="00CA7F7D"/>
    <w:rsid w:val="00CA7FEF"/>
    <w:rsid w:val="00CB0095"/>
    <w:rsid w:val="00CB0229"/>
    <w:rsid w:val="00CB0549"/>
    <w:rsid w:val="00CB0561"/>
    <w:rsid w:val="00CB06E7"/>
    <w:rsid w:val="00CB07F0"/>
    <w:rsid w:val="00CB08B3"/>
    <w:rsid w:val="00CB096B"/>
    <w:rsid w:val="00CB0C60"/>
    <w:rsid w:val="00CB0E3D"/>
    <w:rsid w:val="00CB0EDF"/>
    <w:rsid w:val="00CB1057"/>
    <w:rsid w:val="00CB10BF"/>
    <w:rsid w:val="00CB129D"/>
    <w:rsid w:val="00CB1362"/>
    <w:rsid w:val="00CB147C"/>
    <w:rsid w:val="00CB196E"/>
    <w:rsid w:val="00CB1A5B"/>
    <w:rsid w:val="00CB1A89"/>
    <w:rsid w:val="00CB1BDA"/>
    <w:rsid w:val="00CB1C8E"/>
    <w:rsid w:val="00CB1D15"/>
    <w:rsid w:val="00CB1F60"/>
    <w:rsid w:val="00CB2039"/>
    <w:rsid w:val="00CB20B3"/>
    <w:rsid w:val="00CB2145"/>
    <w:rsid w:val="00CB226C"/>
    <w:rsid w:val="00CB2292"/>
    <w:rsid w:val="00CB2304"/>
    <w:rsid w:val="00CB239C"/>
    <w:rsid w:val="00CB2482"/>
    <w:rsid w:val="00CB24EC"/>
    <w:rsid w:val="00CB25B0"/>
    <w:rsid w:val="00CB25E6"/>
    <w:rsid w:val="00CB262E"/>
    <w:rsid w:val="00CB273F"/>
    <w:rsid w:val="00CB276A"/>
    <w:rsid w:val="00CB27A8"/>
    <w:rsid w:val="00CB28CE"/>
    <w:rsid w:val="00CB2967"/>
    <w:rsid w:val="00CB2CAF"/>
    <w:rsid w:val="00CB2E23"/>
    <w:rsid w:val="00CB2F89"/>
    <w:rsid w:val="00CB2F9F"/>
    <w:rsid w:val="00CB31F7"/>
    <w:rsid w:val="00CB330C"/>
    <w:rsid w:val="00CB3366"/>
    <w:rsid w:val="00CB341B"/>
    <w:rsid w:val="00CB343F"/>
    <w:rsid w:val="00CB35D7"/>
    <w:rsid w:val="00CB37DF"/>
    <w:rsid w:val="00CB3841"/>
    <w:rsid w:val="00CB3921"/>
    <w:rsid w:val="00CB39C2"/>
    <w:rsid w:val="00CB3C03"/>
    <w:rsid w:val="00CB3CE9"/>
    <w:rsid w:val="00CB3F21"/>
    <w:rsid w:val="00CB401A"/>
    <w:rsid w:val="00CB4033"/>
    <w:rsid w:val="00CB413A"/>
    <w:rsid w:val="00CB429E"/>
    <w:rsid w:val="00CB4509"/>
    <w:rsid w:val="00CB4625"/>
    <w:rsid w:val="00CB462C"/>
    <w:rsid w:val="00CB4848"/>
    <w:rsid w:val="00CB48C1"/>
    <w:rsid w:val="00CB48EB"/>
    <w:rsid w:val="00CB4954"/>
    <w:rsid w:val="00CB4BD7"/>
    <w:rsid w:val="00CB4C4D"/>
    <w:rsid w:val="00CB4D63"/>
    <w:rsid w:val="00CB4E91"/>
    <w:rsid w:val="00CB5296"/>
    <w:rsid w:val="00CB52B7"/>
    <w:rsid w:val="00CB5501"/>
    <w:rsid w:val="00CB5633"/>
    <w:rsid w:val="00CB575F"/>
    <w:rsid w:val="00CB5777"/>
    <w:rsid w:val="00CB5845"/>
    <w:rsid w:val="00CB5A27"/>
    <w:rsid w:val="00CB5C31"/>
    <w:rsid w:val="00CB5C61"/>
    <w:rsid w:val="00CB5CE2"/>
    <w:rsid w:val="00CB5D0A"/>
    <w:rsid w:val="00CB5DFE"/>
    <w:rsid w:val="00CB5EA6"/>
    <w:rsid w:val="00CB5ED9"/>
    <w:rsid w:val="00CB6230"/>
    <w:rsid w:val="00CB6367"/>
    <w:rsid w:val="00CB6475"/>
    <w:rsid w:val="00CB6557"/>
    <w:rsid w:val="00CB6765"/>
    <w:rsid w:val="00CB69EB"/>
    <w:rsid w:val="00CB6D5B"/>
    <w:rsid w:val="00CB6DE9"/>
    <w:rsid w:val="00CB6FC1"/>
    <w:rsid w:val="00CB7108"/>
    <w:rsid w:val="00CB710B"/>
    <w:rsid w:val="00CB7153"/>
    <w:rsid w:val="00CB72D7"/>
    <w:rsid w:val="00CB747D"/>
    <w:rsid w:val="00CB74EB"/>
    <w:rsid w:val="00CB7521"/>
    <w:rsid w:val="00CB757A"/>
    <w:rsid w:val="00CB79AC"/>
    <w:rsid w:val="00CB79CB"/>
    <w:rsid w:val="00CB7B67"/>
    <w:rsid w:val="00CB7C85"/>
    <w:rsid w:val="00CB7CAE"/>
    <w:rsid w:val="00CB7F0A"/>
    <w:rsid w:val="00CB7F97"/>
    <w:rsid w:val="00CC0381"/>
    <w:rsid w:val="00CC061D"/>
    <w:rsid w:val="00CC0704"/>
    <w:rsid w:val="00CC07CB"/>
    <w:rsid w:val="00CC090B"/>
    <w:rsid w:val="00CC09E7"/>
    <w:rsid w:val="00CC0B89"/>
    <w:rsid w:val="00CC0B90"/>
    <w:rsid w:val="00CC0CD1"/>
    <w:rsid w:val="00CC0D1D"/>
    <w:rsid w:val="00CC0E12"/>
    <w:rsid w:val="00CC0EF1"/>
    <w:rsid w:val="00CC100B"/>
    <w:rsid w:val="00CC116D"/>
    <w:rsid w:val="00CC12B2"/>
    <w:rsid w:val="00CC14C5"/>
    <w:rsid w:val="00CC14FF"/>
    <w:rsid w:val="00CC1720"/>
    <w:rsid w:val="00CC179A"/>
    <w:rsid w:val="00CC1800"/>
    <w:rsid w:val="00CC1BD0"/>
    <w:rsid w:val="00CC1C01"/>
    <w:rsid w:val="00CC1C28"/>
    <w:rsid w:val="00CC1C3B"/>
    <w:rsid w:val="00CC1ED5"/>
    <w:rsid w:val="00CC1FB8"/>
    <w:rsid w:val="00CC1FD4"/>
    <w:rsid w:val="00CC1FFC"/>
    <w:rsid w:val="00CC2029"/>
    <w:rsid w:val="00CC23C1"/>
    <w:rsid w:val="00CC23C6"/>
    <w:rsid w:val="00CC243D"/>
    <w:rsid w:val="00CC24BD"/>
    <w:rsid w:val="00CC2613"/>
    <w:rsid w:val="00CC261E"/>
    <w:rsid w:val="00CC27A7"/>
    <w:rsid w:val="00CC2821"/>
    <w:rsid w:val="00CC2A3B"/>
    <w:rsid w:val="00CC2B1A"/>
    <w:rsid w:val="00CC2B3F"/>
    <w:rsid w:val="00CC2B9B"/>
    <w:rsid w:val="00CC2F52"/>
    <w:rsid w:val="00CC305B"/>
    <w:rsid w:val="00CC3221"/>
    <w:rsid w:val="00CC324C"/>
    <w:rsid w:val="00CC3278"/>
    <w:rsid w:val="00CC32A0"/>
    <w:rsid w:val="00CC34DD"/>
    <w:rsid w:val="00CC37A8"/>
    <w:rsid w:val="00CC3886"/>
    <w:rsid w:val="00CC3A93"/>
    <w:rsid w:val="00CC3B31"/>
    <w:rsid w:val="00CC3B7C"/>
    <w:rsid w:val="00CC3BBB"/>
    <w:rsid w:val="00CC3D14"/>
    <w:rsid w:val="00CC3D3D"/>
    <w:rsid w:val="00CC3DCA"/>
    <w:rsid w:val="00CC3F7D"/>
    <w:rsid w:val="00CC3FD5"/>
    <w:rsid w:val="00CC4008"/>
    <w:rsid w:val="00CC4099"/>
    <w:rsid w:val="00CC44A0"/>
    <w:rsid w:val="00CC453F"/>
    <w:rsid w:val="00CC46D1"/>
    <w:rsid w:val="00CC4881"/>
    <w:rsid w:val="00CC48B9"/>
    <w:rsid w:val="00CC48FB"/>
    <w:rsid w:val="00CC4984"/>
    <w:rsid w:val="00CC4997"/>
    <w:rsid w:val="00CC49F9"/>
    <w:rsid w:val="00CC4A14"/>
    <w:rsid w:val="00CC4FD0"/>
    <w:rsid w:val="00CC4FD3"/>
    <w:rsid w:val="00CC507C"/>
    <w:rsid w:val="00CC50A1"/>
    <w:rsid w:val="00CC524C"/>
    <w:rsid w:val="00CC5485"/>
    <w:rsid w:val="00CC58E1"/>
    <w:rsid w:val="00CC5961"/>
    <w:rsid w:val="00CC599E"/>
    <w:rsid w:val="00CC5AD8"/>
    <w:rsid w:val="00CC600B"/>
    <w:rsid w:val="00CC6108"/>
    <w:rsid w:val="00CC621F"/>
    <w:rsid w:val="00CC6225"/>
    <w:rsid w:val="00CC6494"/>
    <w:rsid w:val="00CC649E"/>
    <w:rsid w:val="00CC665A"/>
    <w:rsid w:val="00CC66A9"/>
    <w:rsid w:val="00CC68AC"/>
    <w:rsid w:val="00CC6930"/>
    <w:rsid w:val="00CC6965"/>
    <w:rsid w:val="00CC69FD"/>
    <w:rsid w:val="00CC6BE3"/>
    <w:rsid w:val="00CC6C0C"/>
    <w:rsid w:val="00CC6D41"/>
    <w:rsid w:val="00CC6ED2"/>
    <w:rsid w:val="00CC7010"/>
    <w:rsid w:val="00CC70E4"/>
    <w:rsid w:val="00CC729E"/>
    <w:rsid w:val="00CC74AF"/>
    <w:rsid w:val="00CC75D2"/>
    <w:rsid w:val="00CC7982"/>
    <w:rsid w:val="00CC7A10"/>
    <w:rsid w:val="00CC7B70"/>
    <w:rsid w:val="00CC7BF7"/>
    <w:rsid w:val="00CC7D09"/>
    <w:rsid w:val="00CC7D0C"/>
    <w:rsid w:val="00CD0141"/>
    <w:rsid w:val="00CD0488"/>
    <w:rsid w:val="00CD07D4"/>
    <w:rsid w:val="00CD09CA"/>
    <w:rsid w:val="00CD0C3C"/>
    <w:rsid w:val="00CD0C9D"/>
    <w:rsid w:val="00CD0DBA"/>
    <w:rsid w:val="00CD0E1B"/>
    <w:rsid w:val="00CD0FF3"/>
    <w:rsid w:val="00CD1157"/>
    <w:rsid w:val="00CD120C"/>
    <w:rsid w:val="00CD1319"/>
    <w:rsid w:val="00CD16C2"/>
    <w:rsid w:val="00CD16F5"/>
    <w:rsid w:val="00CD1773"/>
    <w:rsid w:val="00CD1784"/>
    <w:rsid w:val="00CD1855"/>
    <w:rsid w:val="00CD1926"/>
    <w:rsid w:val="00CD19CD"/>
    <w:rsid w:val="00CD1B7E"/>
    <w:rsid w:val="00CD1C4A"/>
    <w:rsid w:val="00CD1D9F"/>
    <w:rsid w:val="00CD1E47"/>
    <w:rsid w:val="00CD1F44"/>
    <w:rsid w:val="00CD21D6"/>
    <w:rsid w:val="00CD224F"/>
    <w:rsid w:val="00CD2277"/>
    <w:rsid w:val="00CD2500"/>
    <w:rsid w:val="00CD279C"/>
    <w:rsid w:val="00CD289B"/>
    <w:rsid w:val="00CD28BA"/>
    <w:rsid w:val="00CD295A"/>
    <w:rsid w:val="00CD29F5"/>
    <w:rsid w:val="00CD2B0A"/>
    <w:rsid w:val="00CD2B28"/>
    <w:rsid w:val="00CD2D9D"/>
    <w:rsid w:val="00CD2DC3"/>
    <w:rsid w:val="00CD30AB"/>
    <w:rsid w:val="00CD3272"/>
    <w:rsid w:val="00CD369C"/>
    <w:rsid w:val="00CD373F"/>
    <w:rsid w:val="00CD379D"/>
    <w:rsid w:val="00CD3851"/>
    <w:rsid w:val="00CD3936"/>
    <w:rsid w:val="00CD3976"/>
    <w:rsid w:val="00CD3CCF"/>
    <w:rsid w:val="00CD3D0F"/>
    <w:rsid w:val="00CD3D4B"/>
    <w:rsid w:val="00CD3F46"/>
    <w:rsid w:val="00CD3FFD"/>
    <w:rsid w:val="00CD415E"/>
    <w:rsid w:val="00CD4179"/>
    <w:rsid w:val="00CD4397"/>
    <w:rsid w:val="00CD44A8"/>
    <w:rsid w:val="00CD4514"/>
    <w:rsid w:val="00CD473D"/>
    <w:rsid w:val="00CD483C"/>
    <w:rsid w:val="00CD4884"/>
    <w:rsid w:val="00CD4DDD"/>
    <w:rsid w:val="00CD4E92"/>
    <w:rsid w:val="00CD4F76"/>
    <w:rsid w:val="00CD5055"/>
    <w:rsid w:val="00CD5119"/>
    <w:rsid w:val="00CD5191"/>
    <w:rsid w:val="00CD5390"/>
    <w:rsid w:val="00CD53B7"/>
    <w:rsid w:val="00CD5488"/>
    <w:rsid w:val="00CD56FE"/>
    <w:rsid w:val="00CD5910"/>
    <w:rsid w:val="00CD59EA"/>
    <w:rsid w:val="00CD5AA1"/>
    <w:rsid w:val="00CD5BB6"/>
    <w:rsid w:val="00CD5C93"/>
    <w:rsid w:val="00CD5DC1"/>
    <w:rsid w:val="00CD5F90"/>
    <w:rsid w:val="00CD5FA6"/>
    <w:rsid w:val="00CD5FB8"/>
    <w:rsid w:val="00CD6363"/>
    <w:rsid w:val="00CD6532"/>
    <w:rsid w:val="00CD66E7"/>
    <w:rsid w:val="00CD6743"/>
    <w:rsid w:val="00CD6760"/>
    <w:rsid w:val="00CD6830"/>
    <w:rsid w:val="00CD691F"/>
    <w:rsid w:val="00CD6B16"/>
    <w:rsid w:val="00CD6B51"/>
    <w:rsid w:val="00CD6C3B"/>
    <w:rsid w:val="00CD6CC7"/>
    <w:rsid w:val="00CD6CD6"/>
    <w:rsid w:val="00CD6EBE"/>
    <w:rsid w:val="00CD7060"/>
    <w:rsid w:val="00CD7064"/>
    <w:rsid w:val="00CD7101"/>
    <w:rsid w:val="00CD71F7"/>
    <w:rsid w:val="00CD733B"/>
    <w:rsid w:val="00CD7506"/>
    <w:rsid w:val="00CD754A"/>
    <w:rsid w:val="00CD7640"/>
    <w:rsid w:val="00CD7718"/>
    <w:rsid w:val="00CD78F5"/>
    <w:rsid w:val="00CD79CC"/>
    <w:rsid w:val="00CD7A6A"/>
    <w:rsid w:val="00CD7D0E"/>
    <w:rsid w:val="00CD7E09"/>
    <w:rsid w:val="00CD7EA9"/>
    <w:rsid w:val="00CD7EC3"/>
    <w:rsid w:val="00CE01EF"/>
    <w:rsid w:val="00CE0615"/>
    <w:rsid w:val="00CE06D0"/>
    <w:rsid w:val="00CE06E8"/>
    <w:rsid w:val="00CE08FA"/>
    <w:rsid w:val="00CE106C"/>
    <w:rsid w:val="00CE11F1"/>
    <w:rsid w:val="00CE13C3"/>
    <w:rsid w:val="00CE1529"/>
    <w:rsid w:val="00CE1A0D"/>
    <w:rsid w:val="00CE1D94"/>
    <w:rsid w:val="00CE1E0C"/>
    <w:rsid w:val="00CE200E"/>
    <w:rsid w:val="00CE20A6"/>
    <w:rsid w:val="00CE2332"/>
    <w:rsid w:val="00CE2509"/>
    <w:rsid w:val="00CE255E"/>
    <w:rsid w:val="00CE257F"/>
    <w:rsid w:val="00CE2675"/>
    <w:rsid w:val="00CE2781"/>
    <w:rsid w:val="00CE28BB"/>
    <w:rsid w:val="00CE2B29"/>
    <w:rsid w:val="00CE2EB3"/>
    <w:rsid w:val="00CE2EFA"/>
    <w:rsid w:val="00CE2F6F"/>
    <w:rsid w:val="00CE2FCA"/>
    <w:rsid w:val="00CE306D"/>
    <w:rsid w:val="00CE3125"/>
    <w:rsid w:val="00CE322C"/>
    <w:rsid w:val="00CE328B"/>
    <w:rsid w:val="00CE3323"/>
    <w:rsid w:val="00CE3324"/>
    <w:rsid w:val="00CE3422"/>
    <w:rsid w:val="00CE342B"/>
    <w:rsid w:val="00CE3507"/>
    <w:rsid w:val="00CE36E4"/>
    <w:rsid w:val="00CE3796"/>
    <w:rsid w:val="00CE3930"/>
    <w:rsid w:val="00CE39CB"/>
    <w:rsid w:val="00CE3A2D"/>
    <w:rsid w:val="00CE3A73"/>
    <w:rsid w:val="00CE3C33"/>
    <w:rsid w:val="00CE3C5F"/>
    <w:rsid w:val="00CE3D6C"/>
    <w:rsid w:val="00CE3ED0"/>
    <w:rsid w:val="00CE3ED5"/>
    <w:rsid w:val="00CE3F87"/>
    <w:rsid w:val="00CE428B"/>
    <w:rsid w:val="00CE430A"/>
    <w:rsid w:val="00CE44DE"/>
    <w:rsid w:val="00CE4650"/>
    <w:rsid w:val="00CE4885"/>
    <w:rsid w:val="00CE4947"/>
    <w:rsid w:val="00CE4A69"/>
    <w:rsid w:val="00CE4CFC"/>
    <w:rsid w:val="00CE4E80"/>
    <w:rsid w:val="00CE4EF7"/>
    <w:rsid w:val="00CE4FAE"/>
    <w:rsid w:val="00CE5016"/>
    <w:rsid w:val="00CE51DF"/>
    <w:rsid w:val="00CE51EF"/>
    <w:rsid w:val="00CE52A6"/>
    <w:rsid w:val="00CE530B"/>
    <w:rsid w:val="00CE5391"/>
    <w:rsid w:val="00CE53C4"/>
    <w:rsid w:val="00CE53E0"/>
    <w:rsid w:val="00CE5410"/>
    <w:rsid w:val="00CE58EE"/>
    <w:rsid w:val="00CE59F3"/>
    <w:rsid w:val="00CE5AD6"/>
    <w:rsid w:val="00CE5C25"/>
    <w:rsid w:val="00CE5D8F"/>
    <w:rsid w:val="00CE5DEB"/>
    <w:rsid w:val="00CE5E62"/>
    <w:rsid w:val="00CE5E9B"/>
    <w:rsid w:val="00CE5F22"/>
    <w:rsid w:val="00CE5F3B"/>
    <w:rsid w:val="00CE623C"/>
    <w:rsid w:val="00CE62A8"/>
    <w:rsid w:val="00CE6424"/>
    <w:rsid w:val="00CE6503"/>
    <w:rsid w:val="00CE6532"/>
    <w:rsid w:val="00CE65C1"/>
    <w:rsid w:val="00CE6A3B"/>
    <w:rsid w:val="00CE6AAD"/>
    <w:rsid w:val="00CE6BAD"/>
    <w:rsid w:val="00CE6CB9"/>
    <w:rsid w:val="00CE6CFD"/>
    <w:rsid w:val="00CE6F36"/>
    <w:rsid w:val="00CE7028"/>
    <w:rsid w:val="00CE7096"/>
    <w:rsid w:val="00CE72C3"/>
    <w:rsid w:val="00CE73F0"/>
    <w:rsid w:val="00CE7563"/>
    <w:rsid w:val="00CE75AD"/>
    <w:rsid w:val="00CE7773"/>
    <w:rsid w:val="00CE77D8"/>
    <w:rsid w:val="00CE7800"/>
    <w:rsid w:val="00CE786E"/>
    <w:rsid w:val="00CE7890"/>
    <w:rsid w:val="00CE78BC"/>
    <w:rsid w:val="00CE7A00"/>
    <w:rsid w:val="00CE7C14"/>
    <w:rsid w:val="00CE7C21"/>
    <w:rsid w:val="00CE7CCA"/>
    <w:rsid w:val="00CE7D9E"/>
    <w:rsid w:val="00CE7FAC"/>
    <w:rsid w:val="00CF009A"/>
    <w:rsid w:val="00CF011F"/>
    <w:rsid w:val="00CF0124"/>
    <w:rsid w:val="00CF0141"/>
    <w:rsid w:val="00CF01BF"/>
    <w:rsid w:val="00CF03CA"/>
    <w:rsid w:val="00CF048C"/>
    <w:rsid w:val="00CF04D9"/>
    <w:rsid w:val="00CF0547"/>
    <w:rsid w:val="00CF05B9"/>
    <w:rsid w:val="00CF0749"/>
    <w:rsid w:val="00CF07D0"/>
    <w:rsid w:val="00CF0927"/>
    <w:rsid w:val="00CF09BC"/>
    <w:rsid w:val="00CF09ED"/>
    <w:rsid w:val="00CF0B5C"/>
    <w:rsid w:val="00CF0B6A"/>
    <w:rsid w:val="00CF0C98"/>
    <w:rsid w:val="00CF0D8A"/>
    <w:rsid w:val="00CF0DEC"/>
    <w:rsid w:val="00CF0EB8"/>
    <w:rsid w:val="00CF0F7B"/>
    <w:rsid w:val="00CF0FB8"/>
    <w:rsid w:val="00CF0FD8"/>
    <w:rsid w:val="00CF1070"/>
    <w:rsid w:val="00CF1103"/>
    <w:rsid w:val="00CF12C4"/>
    <w:rsid w:val="00CF13A7"/>
    <w:rsid w:val="00CF1650"/>
    <w:rsid w:val="00CF17DA"/>
    <w:rsid w:val="00CF1928"/>
    <w:rsid w:val="00CF196D"/>
    <w:rsid w:val="00CF1CCF"/>
    <w:rsid w:val="00CF1D70"/>
    <w:rsid w:val="00CF1DDD"/>
    <w:rsid w:val="00CF1EEE"/>
    <w:rsid w:val="00CF239E"/>
    <w:rsid w:val="00CF239F"/>
    <w:rsid w:val="00CF2475"/>
    <w:rsid w:val="00CF270F"/>
    <w:rsid w:val="00CF2840"/>
    <w:rsid w:val="00CF2992"/>
    <w:rsid w:val="00CF29DE"/>
    <w:rsid w:val="00CF2A90"/>
    <w:rsid w:val="00CF2AEF"/>
    <w:rsid w:val="00CF2B0C"/>
    <w:rsid w:val="00CF2C6F"/>
    <w:rsid w:val="00CF2C8B"/>
    <w:rsid w:val="00CF2CAD"/>
    <w:rsid w:val="00CF2CD0"/>
    <w:rsid w:val="00CF2D07"/>
    <w:rsid w:val="00CF2D81"/>
    <w:rsid w:val="00CF2E87"/>
    <w:rsid w:val="00CF3045"/>
    <w:rsid w:val="00CF3168"/>
    <w:rsid w:val="00CF3272"/>
    <w:rsid w:val="00CF360E"/>
    <w:rsid w:val="00CF37B6"/>
    <w:rsid w:val="00CF384E"/>
    <w:rsid w:val="00CF3974"/>
    <w:rsid w:val="00CF39A8"/>
    <w:rsid w:val="00CF3C46"/>
    <w:rsid w:val="00CF3E8A"/>
    <w:rsid w:val="00CF3E8F"/>
    <w:rsid w:val="00CF3F01"/>
    <w:rsid w:val="00CF4215"/>
    <w:rsid w:val="00CF4345"/>
    <w:rsid w:val="00CF436C"/>
    <w:rsid w:val="00CF4390"/>
    <w:rsid w:val="00CF44BF"/>
    <w:rsid w:val="00CF44E2"/>
    <w:rsid w:val="00CF46EE"/>
    <w:rsid w:val="00CF4781"/>
    <w:rsid w:val="00CF47C2"/>
    <w:rsid w:val="00CF4996"/>
    <w:rsid w:val="00CF4C1E"/>
    <w:rsid w:val="00CF4C85"/>
    <w:rsid w:val="00CF4D47"/>
    <w:rsid w:val="00CF4EC0"/>
    <w:rsid w:val="00CF500D"/>
    <w:rsid w:val="00CF5125"/>
    <w:rsid w:val="00CF51AA"/>
    <w:rsid w:val="00CF51BE"/>
    <w:rsid w:val="00CF5368"/>
    <w:rsid w:val="00CF5405"/>
    <w:rsid w:val="00CF5538"/>
    <w:rsid w:val="00CF55B2"/>
    <w:rsid w:val="00CF55E0"/>
    <w:rsid w:val="00CF56E2"/>
    <w:rsid w:val="00CF5706"/>
    <w:rsid w:val="00CF5A38"/>
    <w:rsid w:val="00CF5B09"/>
    <w:rsid w:val="00CF5B1F"/>
    <w:rsid w:val="00CF5BAC"/>
    <w:rsid w:val="00CF5D2A"/>
    <w:rsid w:val="00CF6062"/>
    <w:rsid w:val="00CF6075"/>
    <w:rsid w:val="00CF60D6"/>
    <w:rsid w:val="00CF61C6"/>
    <w:rsid w:val="00CF63E6"/>
    <w:rsid w:val="00CF6473"/>
    <w:rsid w:val="00CF65BA"/>
    <w:rsid w:val="00CF662F"/>
    <w:rsid w:val="00CF6775"/>
    <w:rsid w:val="00CF68BC"/>
    <w:rsid w:val="00CF68E8"/>
    <w:rsid w:val="00CF6985"/>
    <w:rsid w:val="00CF6C26"/>
    <w:rsid w:val="00CF6C75"/>
    <w:rsid w:val="00CF6E93"/>
    <w:rsid w:val="00CF73F6"/>
    <w:rsid w:val="00CF7830"/>
    <w:rsid w:val="00CF7934"/>
    <w:rsid w:val="00CF7939"/>
    <w:rsid w:val="00CF79EB"/>
    <w:rsid w:val="00CF7A39"/>
    <w:rsid w:val="00CF7A61"/>
    <w:rsid w:val="00CF7D48"/>
    <w:rsid w:val="00CF7F76"/>
    <w:rsid w:val="00CF7FB2"/>
    <w:rsid w:val="00D0001E"/>
    <w:rsid w:val="00D0017C"/>
    <w:rsid w:val="00D0033D"/>
    <w:rsid w:val="00D003D5"/>
    <w:rsid w:val="00D004B1"/>
    <w:rsid w:val="00D004C3"/>
    <w:rsid w:val="00D005CD"/>
    <w:rsid w:val="00D0060F"/>
    <w:rsid w:val="00D0061C"/>
    <w:rsid w:val="00D008D3"/>
    <w:rsid w:val="00D00B3B"/>
    <w:rsid w:val="00D00D47"/>
    <w:rsid w:val="00D00F91"/>
    <w:rsid w:val="00D01048"/>
    <w:rsid w:val="00D0118E"/>
    <w:rsid w:val="00D0165A"/>
    <w:rsid w:val="00D01695"/>
    <w:rsid w:val="00D01705"/>
    <w:rsid w:val="00D0175A"/>
    <w:rsid w:val="00D019D3"/>
    <w:rsid w:val="00D01B50"/>
    <w:rsid w:val="00D01BEE"/>
    <w:rsid w:val="00D01CB5"/>
    <w:rsid w:val="00D020B2"/>
    <w:rsid w:val="00D02148"/>
    <w:rsid w:val="00D0221D"/>
    <w:rsid w:val="00D022D9"/>
    <w:rsid w:val="00D0232E"/>
    <w:rsid w:val="00D02378"/>
    <w:rsid w:val="00D02418"/>
    <w:rsid w:val="00D02501"/>
    <w:rsid w:val="00D02582"/>
    <w:rsid w:val="00D025BB"/>
    <w:rsid w:val="00D025ED"/>
    <w:rsid w:val="00D02839"/>
    <w:rsid w:val="00D02B0C"/>
    <w:rsid w:val="00D02C49"/>
    <w:rsid w:val="00D02CC6"/>
    <w:rsid w:val="00D031FD"/>
    <w:rsid w:val="00D03299"/>
    <w:rsid w:val="00D03339"/>
    <w:rsid w:val="00D033B2"/>
    <w:rsid w:val="00D033B3"/>
    <w:rsid w:val="00D0344B"/>
    <w:rsid w:val="00D03481"/>
    <w:rsid w:val="00D03485"/>
    <w:rsid w:val="00D034B5"/>
    <w:rsid w:val="00D038AF"/>
    <w:rsid w:val="00D038DF"/>
    <w:rsid w:val="00D039D0"/>
    <w:rsid w:val="00D03A11"/>
    <w:rsid w:val="00D03A9C"/>
    <w:rsid w:val="00D03AEC"/>
    <w:rsid w:val="00D03C6B"/>
    <w:rsid w:val="00D03D55"/>
    <w:rsid w:val="00D041B7"/>
    <w:rsid w:val="00D041FA"/>
    <w:rsid w:val="00D042AD"/>
    <w:rsid w:val="00D04375"/>
    <w:rsid w:val="00D04403"/>
    <w:rsid w:val="00D044B2"/>
    <w:rsid w:val="00D04925"/>
    <w:rsid w:val="00D04C38"/>
    <w:rsid w:val="00D051CA"/>
    <w:rsid w:val="00D054C6"/>
    <w:rsid w:val="00D055B6"/>
    <w:rsid w:val="00D05643"/>
    <w:rsid w:val="00D05776"/>
    <w:rsid w:val="00D0595C"/>
    <w:rsid w:val="00D05C30"/>
    <w:rsid w:val="00D05C7C"/>
    <w:rsid w:val="00D05CC0"/>
    <w:rsid w:val="00D05D2B"/>
    <w:rsid w:val="00D05DCB"/>
    <w:rsid w:val="00D05E02"/>
    <w:rsid w:val="00D05E25"/>
    <w:rsid w:val="00D05EA0"/>
    <w:rsid w:val="00D06106"/>
    <w:rsid w:val="00D06260"/>
    <w:rsid w:val="00D06378"/>
    <w:rsid w:val="00D0645D"/>
    <w:rsid w:val="00D0650F"/>
    <w:rsid w:val="00D06577"/>
    <w:rsid w:val="00D0669D"/>
    <w:rsid w:val="00D067AB"/>
    <w:rsid w:val="00D06921"/>
    <w:rsid w:val="00D06946"/>
    <w:rsid w:val="00D06A11"/>
    <w:rsid w:val="00D06A5E"/>
    <w:rsid w:val="00D06BF2"/>
    <w:rsid w:val="00D06DB7"/>
    <w:rsid w:val="00D06DD4"/>
    <w:rsid w:val="00D06EE8"/>
    <w:rsid w:val="00D07043"/>
    <w:rsid w:val="00D071DD"/>
    <w:rsid w:val="00D0743D"/>
    <w:rsid w:val="00D074B9"/>
    <w:rsid w:val="00D0774D"/>
    <w:rsid w:val="00D07784"/>
    <w:rsid w:val="00D07880"/>
    <w:rsid w:val="00D07882"/>
    <w:rsid w:val="00D078BF"/>
    <w:rsid w:val="00D07A14"/>
    <w:rsid w:val="00D07A5E"/>
    <w:rsid w:val="00D07BDD"/>
    <w:rsid w:val="00D07D19"/>
    <w:rsid w:val="00D07D49"/>
    <w:rsid w:val="00D101D1"/>
    <w:rsid w:val="00D10346"/>
    <w:rsid w:val="00D103D7"/>
    <w:rsid w:val="00D10594"/>
    <w:rsid w:val="00D1080A"/>
    <w:rsid w:val="00D10857"/>
    <w:rsid w:val="00D108C3"/>
    <w:rsid w:val="00D10A1D"/>
    <w:rsid w:val="00D10C2F"/>
    <w:rsid w:val="00D10C64"/>
    <w:rsid w:val="00D10E4E"/>
    <w:rsid w:val="00D1102C"/>
    <w:rsid w:val="00D111EB"/>
    <w:rsid w:val="00D11228"/>
    <w:rsid w:val="00D11297"/>
    <w:rsid w:val="00D1136B"/>
    <w:rsid w:val="00D11479"/>
    <w:rsid w:val="00D116B7"/>
    <w:rsid w:val="00D116ED"/>
    <w:rsid w:val="00D118D9"/>
    <w:rsid w:val="00D11A96"/>
    <w:rsid w:val="00D11AC7"/>
    <w:rsid w:val="00D11CA6"/>
    <w:rsid w:val="00D11CC0"/>
    <w:rsid w:val="00D11D24"/>
    <w:rsid w:val="00D11E17"/>
    <w:rsid w:val="00D11F3E"/>
    <w:rsid w:val="00D11F70"/>
    <w:rsid w:val="00D12488"/>
    <w:rsid w:val="00D124D1"/>
    <w:rsid w:val="00D126D3"/>
    <w:rsid w:val="00D1276C"/>
    <w:rsid w:val="00D12860"/>
    <w:rsid w:val="00D12990"/>
    <w:rsid w:val="00D129AF"/>
    <w:rsid w:val="00D12A79"/>
    <w:rsid w:val="00D12AA4"/>
    <w:rsid w:val="00D12E0A"/>
    <w:rsid w:val="00D13007"/>
    <w:rsid w:val="00D1308E"/>
    <w:rsid w:val="00D13152"/>
    <w:rsid w:val="00D131BB"/>
    <w:rsid w:val="00D13284"/>
    <w:rsid w:val="00D133B9"/>
    <w:rsid w:val="00D133F4"/>
    <w:rsid w:val="00D13432"/>
    <w:rsid w:val="00D1358A"/>
    <w:rsid w:val="00D13642"/>
    <w:rsid w:val="00D13712"/>
    <w:rsid w:val="00D13AA7"/>
    <w:rsid w:val="00D13D41"/>
    <w:rsid w:val="00D13D5A"/>
    <w:rsid w:val="00D13F7A"/>
    <w:rsid w:val="00D13FBA"/>
    <w:rsid w:val="00D141CA"/>
    <w:rsid w:val="00D1484D"/>
    <w:rsid w:val="00D1496C"/>
    <w:rsid w:val="00D149E1"/>
    <w:rsid w:val="00D14AED"/>
    <w:rsid w:val="00D14AF9"/>
    <w:rsid w:val="00D14DF0"/>
    <w:rsid w:val="00D14E70"/>
    <w:rsid w:val="00D14E98"/>
    <w:rsid w:val="00D14F4B"/>
    <w:rsid w:val="00D14FE4"/>
    <w:rsid w:val="00D150BF"/>
    <w:rsid w:val="00D15219"/>
    <w:rsid w:val="00D1533E"/>
    <w:rsid w:val="00D1543B"/>
    <w:rsid w:val="00D15568"/>
    <w:rsid w:val="00D15796"/>
    <w:rsid w:val="00D1589F"/>
    <w:rsid w:val="00D158B6"/>
    <w:rsid w:val="00D15A10"/>
    <w:rsid w:val="00D15BC2"/>
    <w:rsid w:val="00D15D21"/>
    <w:rsid w:val="00D15D9B"/>
    <w:rsid w:val="00D15DE7"/>
    <w:rsid w:val="00D15F38"/>
    <w:rsid w:val="00D1607F"/>
    <w:rsid w:val="00D16219"/>
    <w:rsid w:val="00D1627B"/>
    <w:rsid w:val="00D16367"/>
    <w:rsid w:val="00D163ED"/>
    <w:rsid w:val="00D1652C"/>
    <w:rsid w:val="00D1653A"/>
    <w:rsid w:val="00D16556"/>
    <w:rsid w:val="00D167FC"/>
    <w:rsid w:val="00D1684C"/>
    <w:rsid w:val="00D16852"/>
    <w:rsid w:val="00D1687E"/>
    <w:rsid w:val="00D16890"/>
    <w:rsid w:val="00D16932"/>
    <w:rsid w:val="00D169A8"/>
    <w:rsid w:val="00D169E3"/>
    <w:rsid w:val="00D16A3F"/>
    <w:rsid w:val="00D16B42"/>
    <w:rsid w:val="00D16B4C"/>
    <w:rsid w:val="00D16BDA"/>
    <w:rsid w:val="00D16C29"/>
    <w:rsid w:val="00D16CDA"/>
    <w:rsid w:val="00D16D3D"/>
    <w:rsid w:val="00D16EAC"/>
    <w:rsid w:val="00D16F5B"/>
    <w:rsid w:val="00D17043"/>
    <w:rsid w:val="00D1705C"/>
    <w:rsid w:val="00D17289"/>
    <w:rsid w:val="00D172D8"/>
    <w:rsid w:val="00D172ED"/>
    <w:rsid w:val="00D173C6"/>
    <w:rsid w:val="00D173DA"/>
    <w:rsid w:val="00D17555"/>
    <w:rsid w:val="00D176C5"/>
    <w:rsid w:val="00D177C5"/>
    <w:rsid w:val="00D17A5B"/>
    <w:rsid w:val="00D17C26"/>
    <w:rsid w:val="00D17F95"/>
    <w:rsid w:val="00D17FFB"/>
    <w:rsid w:val="00D20072"/>
    <w:rsid w:val="00D2049F"/>
    <w:rsid w:val="00D2050D"/>
    <w:rsid w:val="00D20567"/>
    <w:rsid w:val="00D2080B"/>
    <w:rsid w:val="00D208E1"/>
    <w:rsid w:val="00D20BF9"/>
    <w:rsid w:val="00D20DA5"/>
    <w:rsid w:val="00D21172"/>
    <w:rsid w:val="00D212BB"/>
    <w:rsid w:val="00D2133A"/>
    <w:rsid w:val="00D21582"/>
    <w:rsid w:val="00D21B6E"/>
    <w:rsid w:val="00D21BAB"/>
    <w:rsid w:val="00D21C8B"/>
    <w:rsid w:val="00D21C93"/>
    <w:rsid w:val="00D21D94"/>
    <w:rsid w:val="00D22027"/>
    <w:rsid w:val="00D220DC"/>
    <w:rsid w:val="00D220EB"/>
    <w:rsid w:val="00D22321"/>
    <w:rsid w:val="00D223DD"/>
    <w:rsid w:val="00D2240C"/>
    <w:rsid w:val="00D22414"/>
    <w:rsid w:val="00D226DA"/>
    <w:rsid w:val="00D2277F"/>
    <w:rsid w:val="00D227B5"/>
    <w:rsid w:val="00D22828"/>
    <w:rsid w:val="00D22848"/>
    <w:rsid w:val="00D22884"/>
    <w:rsid w:val="00D22930"/>
    <w:rsid w:val="00D22933"/>
    <w:rsid w:val="00D22B25"/>
    <w:rsid w:val="00D22C2D"/>
    <w:rsid w:val="00D22C83"/>
    <w:rsid w:val="00D22D7F"/>
    <w:rsid w:val="00D22E34"/>
    <w:rsid w:val="00D23282"/>
    <w:rsid w:val="00D23472"/>
    <w:rsid w:val="00D2353F"/>
    <w:rsid w:val="00D235FB"/>
    <w:rsid w:val="00D23674"/>
    <w:rsid w:val="00D236A1"/>
    <w:rsid w:val="00D237FF"/>
    <w:rsid w:val="00D239E3"/>
    <w:rsid w:val="00D23A8F"/>
    <w:rsid w:val="00D23D20"/>
    <w:rsid w:val="00D23F0A"/>
    <w:rsid w:val="00D23F39"/>
    <w:rsid w:val="00D241E2"/>
    <w:rsid w:val="00D24391"/>
    <w:rsid w:val="00D24462"/>
    <w:rsid w:val="00D244C7"/>
    <w:rsid w:val="00D2462F"/>
    <w:rsid w:val="00D2467B"/>
    <w:rsid w:val="00D24685"/>
    <w:rsid w:val="00D247D2"/>
    <w:rsid w:val="00D248C0"/>
    <w:rsid w:val="00D249BB"/>
    <w:rsid w:val="00D24B63"/>
    <w:rsid w:val="00D24BC8"/>
    <w:rsid w:val="00D24DC4"/>
    <w:rsid w:val="00D24DF1"/>
    <w:rsid w:val="00D24E3C"/>
    <w:rsid w:val="00D24EBB"/>
    <w:rsid w:val="00D24EF2"/>
    <w:rsid w:val="00D24F74"/>
    <w:rsid w:val="00D2507D"/>
    <w:rsid w:val="00D250C2"/>
    <w:rsid w:val="00D25126"/>
    <w:rsid w:val="00D2536C"/>
    <w:rsid w:val="00D25438"/>
    <w:rsid w:val="00D256EC"/>
    <w:rsid w:val="00D257BF"/>
    <w:rsid w:val="00D257D7"/>
    <w:rsid w:val="00D25D3C"/>
    <w:rsid w:val="00D25F51"/>
    <w:rsid w:val="00D262ED"/>
    <w:rsid w:val="00D26650"/>
    <w:rsid w:val="00D266A4"/>
    <w:rsid w:val="00D2679D"/>
    <w:rsid w:val="00D2691E"/>
    <w:rsid w:val="00D26ACD"/>
    <w:rsid w:val="00D26D6A"/>
    <w:rsid w:val="00D26D8D"/>
    <w:rsid w:val="00D26EE0"/>
    <w:rsid w:val="00D26F39"/>
    <w:rsid w:val="00D2703D"/>
    <w:rsid w:val="00D2733F"/>
    <w:rsid w:val="00D27396"/>
    <w:rsid w:val="00D2775F"/>
    <w:rsid w:val="00D277F1"/>
    <w:rsid w:val="00D278D3"/>
    <w:rsid w:val="00D27A46"/>
    <w:rsid w:val="00D27A50"/>
    <w:rsid w:val="00D27ADA"/>
    <w:rsid w:val="00D27B3D"/>
    <w:rsid w:val="00D27C4F"/>
    <w:rsid w:val="00D27CBE"/>
    <w:rsid w:val="00D27CF4"/>
    <w:rsid w:val="00D27DAD"/>
    <w:rsid w:val="00D27EAB"/>
    <w:rsid w:val="00D300F1"/>
    <w:rsid w:val="00D30375"/>
    <w:rsid w:val="00D3052A"/>
    <w:rsid w:val="00D30565"/>
    <w:rsid w:val="00D30681"/>
    <w:rsid w:val="00D3082D"/>
    <w:rsid w:val="00D3094E"/>
    <w:rsid w:val="00D309D5"/>
    <w:rsid w:val="00D30D76"/>
    <w:rsid w:val="00D30EF1"/>
    <w:rsid w:val="00D30FB0"/>
    <w:rsid w:val="00D30FF7"/>
    <w:rsid w:val="00D310F1"/>
    <w:rsid w:val="00D312F3"/>
    <w:rsid w:val="00D31383"/>
    <w:rsid w:val="00D313D5"/>
    <w:rsid w:val="00D31579"/>
    <w:rsid w:val="00D3169F"/>
    <w:rsid w:val="00D31784"/>
    <w:rsid w:val="00D317A2"/>
    <w:rsid w:val="00D3185F"/>
    <w:rsid w:val="00D31942"/>
    <w:rsid w:val="00D319F2"/>
    <w:rsid w:val="00D31A55"/>
    <w:rsid w:val="00D31A8B"/>
    <w:rsid w:val="00D31BC4"/>
    <w:rsid w:val="00D31C8E"/>
    <w:rsid w:val="00D31CA1"/>
    <w:rsid w:val="00D31CE4"/>
    <w:rsid w:val="00D31E98"/>
    <w:rsid w:val="00D31EEC"/>
    <w:rsid w:val="00D31FE3"/>
    <w:rsid w:val="00D32172"/>
    <w:rsid w:val="00D3221B"/>
    <w:rsid w:val="00D324A7"/>
    <w:rsid w:val="00D324B1"/>
    <w:rsid w:val="00D324BA"/>
    <w:rsid w:val="00D3262A"/>
    <w:rsid w:val="00D32789"/>
    <w:rsid w:val="00D32877"/>
    <w:rsid w:val="00D32A9D"/>
    <w:rsid w:val="00D32DE2"/>
    <w:rsid w:val="00D32EA4"/>
    <w:rsid w:val="00D32F90"/>
    <w:rsid w:val="00D32FAE"/>
    <w:rsid w:val="00D330AD"/>
    <w:rsid w:val="00D33399"/>
    <w:rsid w:val="00D33486"/>
    <w:rsid w:val="00D334EC"/>
    <w:rsid w:val="00D335AE"/>
    <w:rsid w:val="00D336C3"/>
    <w:rsid w:val="00D336C4"/>
    <w:rsid w:val="00D33736"/>
    <w:rsid w:val="00D33739"/>
    <w:rsid w:val="00D33856"/>
    <w:rsid w:val="00D3395F"/>
    <w:rsid w:val="00D33D6C"/>
    <w:rsid w:val="00D33DDA"/>
    <w:rsid w:val="00D33E03"/>
    <w:rsid w:val="00D33E77"/>
    <w:rsid w:val="00D33EC8"/>
    <w:rsid w:val="00D33F0B"/>
    <w:rsid w:val="00D33F5E"/>
    <w:rsid w:val="00D33F75"/>
    <w:rsid w:val="00D33F97"/>
    <w:rsid w:val="00D3401A"/>
    <w:rsid w:val="00D34026"/>
    <w:rsid w:val="00D34097"/>
    <w:rsid w:val="00D34524"/>
    <w:rsid w:val="00D3459B"/>
    <w:rsid w:val="00D345DB"/>
    <w:rsid w:val="00D34611"/>
    <w:rsid w:val="00D3476C"/>
    <w:rsid w:val="00D348A1"/>
    <w:rsid w:val="00D34A4E"/>
    <w:rsid w:val="00D34B19"/>
    <w:rsid w:val="00D34BE0"/>
    <w:rsid w:val="00D34C74"/>
    <w:rsid w:val="00D34D5E"/>
    <w:rsid w:val="00D34D77"/>
    <w:rsid w:val="00D34E76"/>
    <w:rsid w:val="00D34FDA"/>
    <w:rsid w:val="00D351C0"/>
    <w:rsid w:val="00D352FC"/>
    <w:rsid w:val="00D35341"/>
    <w:rsid w:val="00D355CD"/>
    <w:rsid w:val="00D3581E"/>
    <w:rsid w:val="00D3588B"/>
    <w:rsid w:val="00D359B4"/>
    <w:rsid w:val="00D35C60"/>
    <w:rsid w:val="00D35E2D"/>
    <w:rsid w:val="00D35EB7"/>
    <w:rsid w:val="00D35F66"/>
    <w:rsid w:val="00D3601C"/>
    <w:rsid w:val="00D36089"/>
    <w:rsid w:val="00D3611C"/>
    <w:rsid w:val="00D36480"/>
    <w:rsid w:val="00D365A7"/>
    <w:rsid w:val="00D3660E"/>
    <w:rsid w:val="00D36632"/>
    <w:rsid w:val="00D3665E"/>
    <w:rsid w:val="00D36836"/>
    <w:rsid w:val="00D368A6"/>
    <w:rsid w:val="00D36AAC"/>
    <w:rsid w:val="00D36DE5"/>
    <w:rsid w:val="00D36E78"/>
    <w:rsid w:val="00D36E7B"/>
    <w:rsid w:val="00D3701A"/>
    <w:rsid w:val="00D3716B"/>
    <w:rsid w:val="00D372AD"/>
    <w:rsid w:val="00D37578"/>
    <w:rsid w:val="00D37703"/>
    <w:rsid w:val="00D37A85"/>
    <w:rsid w:val="00D40089"/>
    <w:rsid w:val="00D4010C"/>
    <w:rsid w:val="00D404B8"/>
    <w:rsid w:val="00D4057C"/>
    <w:rsid w:val="00D40595"/>
    <w:rsid w:val="00D40640"/>
    <w:rsid w:val="00D4073E"/>
    <w:rsid w:val="00D4087D"/>
    <w:rsid w:val="00D40960"/>
    <w:rsid w:val="00D40CF3"/>
    <w:rsid w:val="00D40D2D"/>
    <w:rsid w:val="00D40D33"/>
    <w:rsid w:val="00D40E25"/>
    <w:rsid w:val="00D40EC9"/>
    <w:rsid w:val="00D40F7E"/>
    <w:rsid w:val="00D4102C"/>
    <w:rsid w:val="00D41109"/>
    <w:rsid w:val="00D41201"/>
    <w:rsid w:val="00D41308"/>
    <w:rsid w:val="00D4133A"/>
    <w:rsid w:val="00D4158D"/>
    <w:rsid w:val="00D41594"/>
    <w:rsid w:val="00D415BC"/>
    <w:rsid w:val="00D415D1"/>
    <w:rsid w:val="00D4169D"/>
    <w:rsid w:val="00D4196F"/>
    <w:rsid w:val="00D41AA1"/>
    <w:rsid w:val="00D41BB1"/>
    <w:rsid w:val="00D41CE6"/>
    <w:rsid w:val="00D41E43"/>
    <w:rsid w:val="00D41EA7"/>
    <w:rsid w:val="00D41EDF"/>
    <w:rsid w:val="00D42443"/>
    <w:rsid w:val="00D4252E"/>
    <w:rsid w:val="00D42720"/>
    <w:rsid w:val="00D4298F"/>
    <w:rsid w:val="00D42A32"/>
    <w:rsid w:val="00D42AE0"/>
    <w:rsid w:val="00D42C8A"/>
    <w:rsid w:val="00D42CA5"/>
    <w:rsid w:val="00D42E23"/>
    <w:rsid w:val="00D43038"/>
    <w:rsid w:val="00D433CF"/>
    <w:rsid w:val="00D4348F"/>
    <w:rsid w:val="00D4353E"/>
    <w:rsid w:val="00D43572"/>
    <w:rsid w:val="00D4365F"/>
    <w:rsid w:val="00D43937"/>
    <w:rsid w:val="00D43A7E"/>
    <w:rsid w:val="00D43AD3"/>
    <w:rsid w:val="00D43D6B"/>
    <w:rsid w:val="00D44224"/>
    <w:rsid w:val="00D4435F"/>
    <w:rsid w:val="00D44368"/>
    <w:rsid w:val="00D444D7"/>
    <w:rsid w:val="00D4455B"/>
    <w:rsid w:val="00D4466A"/>
    <w:rsid w:val="00D44715"/>
    <w:rsid w:val="00D4475D"/>
    <w:rsid w:val="00D447BC"/>
    <w:rsid w:val="00D44901"/>
    <w:rsid w:val="00D44921"/>
    <w:rsid w:val="00D449F2"/>
    <w:rsid w:val="00D44A12"/>
    <w:rsid w:val="00D44A6C"/>
    <w:rsid w:val="00D44A6D"/>
    <w:rsid w:val="00D44B35"/>
    <w:rsid w:val="00D44B7E"/>
    <w:rsid w:val="00D44CE3"/>
    <w:rsid w:val="00D44D80"/>
    <w:rsid w:val="00D450AE"/>
    <w:rsid w:val="00D451ED"/>
    <w:rsid w:val="00D45234"/>
    <w:rsid w:val="00D4530E"/>
    <w:rsid w:val="00D4534D"/>
    <w:rsid w:val="00D45440"/>
    <w:rsid w:val="00D45551"/>
    <w:rsid w:val="00D4564A"/>
    <w:rsid w:val="00D45726"/>
    <w:rsid w:val="00D457BE"/>
    <w:rsid w:val="00D4588E"/>
    <w:rsid w:val="00D458B4"/>
    <w:rsid w:val="00D458B8"/>
    <w:rsid w:val="00D458D6"/>
    <w:rsid w:val="00D459AA"/>
    <w:rsid w:val="00D45AB7"/>
    <w:rsid w:val="00D45C79"/>
    <w:rsid w:val="00D45D74"/>
    <w:rsid w:val="00D45E6F"/>
    <w:rsid w:val="00D45FC1"/>
    <w:rsid w:val="00D45FDA"/>
    <w:rsid w:val="00D460B9"/>
    <w:rsid w:val="00D460E7"/>
    <w:rsid w:val="00D461BC"/>
    <w:rsid w:val="00D46539"/>
    <w:rsid w:val="00D4680A"/>
    <w:rsid w:val="00D46C92"/>
    <w:rsid w:val="00D46D7B"/>
    <w:rsid w:val="00D47031"/>
    <w:rsid w:val="00D4732D"/>
    <w:rsid w:val="00D47631"/>
    <w:rsid w:val="00D47633"/>
    <w:rsid w:val="00D47659"/>
    <w:rsid w:val="00D4773B"/>
    <w:rsid w:val="00D4776A"/>
    <w:rsid w:val="00D479F8"/>
    <w:rsid w:val="00D47A96"/>
    <w:rsid w:val="00D47B23"/>
    <w:rsid w:val="00D47BC7"/>
    <w:rsid w:val="00D47C1A"/>
    <w:rsid w:val="00D47FD9"/>
    <w:rsid w:val="00D50299"/>
    <w:rsid w:val="00D502C1"/>
    <w:rsid w:val="00D503FA"/>
    <w:rsid w:val="00D50554"/>
    <w:rsid w:val="00D506DD"/>
    <w:rsid w:val="00D50767"/>
    <w:rsid w:val="00D50861"/>
    <w:rsid w:val="00D50863"/>
    <w:rsid w:val="00D50B69"/>
    <w:rsid w:val="00D50B9D"/>
    <w:rsid w:val="00D50DC7"/>
    <w:rsid w:val="00D50EA4"/>
    <w:rsid w:val="00D5104F"/>
    <w:rsid w:val="00D5119D"/>
    <w:rsid w:val="00D513DE"/>
    <w:rsid w:val="00D515A1"/>
    <w:rsid w:val="00D51761"/>
    <w:rsid w:val="00D51A29"/>
    <w:rsid w:val="00D51B28"/>
    <w:rsid w:val="00D51C3A"/>
    <w:rsid w:val="00D51CC8"/>
    <w:rsid w:val="00D51DAE"/>
    <w:rsid w:val="00D51DD0"/>
    <w:rsid w:val="00D52090"/>
    <w:rsid w:val="00D52273"/>
    <w:rsid w:val="00D5245F"/>
    <w:rsid w:val="00D52671"/>
    <w:rsid w:val="00D526A5"/>
    <w:rsid w:val="00D52734"/>
    <w:rsid w:val="00D527B1"/>
    <w:rsid w:val="00D5280D"/>
    <w:rsid w:val="00D52888"/>
    <w:rsid w:val="00D52C76"/>
    <w:rsid w:val="00D52DEC"/>
    <w:rsid w:val="00D52EDB"/>
    <w:rsid w:val="00D52FDC"/>
    <w:rsid w:val="00D53054"/>
    <w:rsid w:val="00D53060"/>
    <w:rsid w:val="00D53385"/>
    <w:rsid w:val="00D5370D"/>
    <w:rsid w:val="00D53712"/>
    <w:rsid w:val="00D537A2"/>
    <w:rsid w:val="00D5386B"/>
    <w:rsid w:val="00D5389B"/>
    <w:rsid w:val="00D538C5"/>
    <w:rsid w:val="00D53911"/>
    <w:rsid w:val="00D53999"/>
    <w:rsid w:val="00D53A2B"/>
    <w:rsid w:val="00D53B20"/>
    <w:rsid w:val="00D53B58"/>
    <w:rsid w:val="00D53BB8"/>
    <w:rsid w:val="00D53E41"/>
    <w:rsid w:val="00D53EB4"/>
    <w:rsid w:val="00D54061"/>
    <w:rsid w:val="00D540CC"/>
    <w:rsid w:val="00D540F3"/>
    <w:rsid w:val="00D5424E"/>
    <w:rsid w:val="00D54394"/>
    <w:rsid w:val="00D5451A"/>
    <w:rsid w:val="00D5467F"/>
    <w:rsid w:val="00D5472C"/>
    <w:rsid w:val="00D548F2"/>
    <w:rsid w:val="00D54C4A"/>
    <w:rsid w:val="00D54E71"/>
    <w:rsid w:val="00D54FB1"/>
    <w:rsid w:val="00D55546"/>
    <w:rsid w:val="00D55957"/>
    <w:rsid w:val="00D55AAB"/>
    <w:rsid w:val="00D55B20"/>
    <w:rsid w:val="00D55B58"/>
    <w:rsid w:val="00D55D16"/>
    <w:rsid w:val="00D55DA4"/>
    <w:rsid w:val="00D55DBF"/>
    <w:rsid w:val="00D55ED2"/>
    <w:rsid w:val="00D560F9"/>
    <w:rsid w:val="00D56274"/>
    <w:rsid w:val="00D564C2"/>
    <w:rsid w:val="00D56563"/>
    <w:rsid w:val="00D565CD"/>
    <w:rsid w:val="00D567B5"/>
    <w:rsid w:val="00D56854"/>
    <w:rsid w:val="00D568D9"/>
    <w:rsid w:val="00D56B5D"/>
    <w:rsid w:val="00D56B8A"/>
    <w:rsid w:val="00D56D6C"/>
    <w:rsid w:val="00D56FE0"/>
    <w:rsid w:val="00D57014"/>
    <w:rsid w:val="00D5702F"/>
    <w:rsid w:val="00D57074"/>
    <w:rsid w:val="00D57286"/>
    <w:rsid w:val="00D573E1"/>
    <w:rsid w:val="00D5741E"/>
    <w:rsid w:val="00D5744A"/>
    <w:rsid w:val="00D57484"/>
    <w:rsid w:val="00D574D2"/>
    <w:rsid w:val="00D574FD"/>
    <w:rsid w:val="00D575E8"/>
    <w:rsid w:val="00D57663"/>
    <w:rsid w:val="00D5782A"/>
    <w:rsid w:val="00D5784B"/>
    <w:rsid w:val="00D57930"/>
    <w:rsid w:val="00D57989"/>
    <w:rsid w:val="00D57993"/>
    <w:rsid w:val="00D57AA0"/>
    <w:rsid w:val="00D57C41"/>
    <w:rsid w:val="00D57C55"/>
    <w:rsid w:val="00D57C57"/>
    <w:rsid w:val="00D57D82"/>
    <w:rsid w:val="00D57E1B"/>
    <w:rsid w:val="00D57E83"/>
    <w:rsid w:val="00D57EDF"/>
    <w:rsid w:val="00D57F1B"/>
    <w:rsid w:val="00D600C4"/>
    <w:rsid w:val="00D60118"/>
    <w:rsid w:val="00D60141"/>
    <w:rsid w:val="00D602CD"/>
    <w:rsid w:val="00D603C8"/>
    <w:rsid w:val="00D60476"/>
    <w:rsid w:val="00D605CC"/>
    <w:rsid w:val="00D6061B"/>
    <w:rsid w:val="00D60978"/>
    <w:rsid w:val="00D60BE8"/>
    <w:rsid w:val="00D60DF8"/>
    <w:rsid w:val="00D60E7D"/>
    <w:rsid w:val="00D61162"/>
    <w:rsid w:val="00D61317"/>
    <w:rsid w:val="00D61352"/>
    <w:rsid w:val="00D61450"/>
    <w:rsid w:val="00D6151F"/>
    <w:rsid w:val="00D61932"/>
    <w:rsid w:val="00D61B35"/>
    <w:rsid w:val="00D61EA0"/>
    <w:rsid w:val="00D621E9"/>
    <w:rsid w:val="00D621F4"/>
    <w:rsid w:val="00D62439"/>
    <w:rsid w:val="00D62455"/>
    <w:rsid w:val="00D625AF"/>
    <w:rsid w:val="00D625B5"/>
    <w:rsid w:val="00D626E0"/>
    <w:rsid w:val="00D626FC"/>
    <w:rsid w:val="00D62865"/>
    <w:rsid w:val="00D62875"/>
    <w:rsid w:val="00D628FA"/>
    <w:rsid w:val="00D62CBE"/>
    <w:rsid w:val="00D62CF0"/>
    <w:rsid w:val="00D62D40"/>
    <w:rsid w:val="00D62EB4"/>
    <w:rsid w:val="00D630D3"/>
    <w:rsid w:val="00D631BB"/>
    <w:rsid w:val="00D63223"/>
    <w:rsid w:val="00D63519"/>
    <w:rsid w:val="00D63548"/>
    <w:rsid w:val="00D636CB"/>
    <w:rsid w:val="00D6376B"/>
    <w:rsid w:val="00D6386E"/>
    <w:rsid w:val="00D63884"/>
    <w:rsid w:val="00D638AA"/>
    <w:rsid w:val="00D63908"/>
    <w:rsid w:val="00D63A8B"/>
    <w:rsid w:val="00D63A9D"/>
    <w:rsid w:val="00D63C18"/>
    <w:rsid w:val="00D63DF8"/>
    <w:rsid w:val="00D64181"/>
    <w:rsid w:val="00D64321"/>
    <w:rsid w:val="00D64335"/>
    <w:rsid w:val="00D64373"/>
    <w:rsid w:val="00D6443E"/>
    <w:rsid w:val="00D64468"/>
    <w:rsid w:val="00D64533"/>
    <w:rsid w:val="00D64606"/>
    <w:rsid w:val="00D646B9"/>
    <w:rsid w:val="00D6483A"/>
    <w:rsid w:val="00D648B0"/>
    <w:rsid w:val="00D6496D"/>
    <w:rsid w:val="00D64A13"/>
    <w:rsid w:val="00D64A93"/>
    <w:rsid w:val="00D64B76"/>
    <w:rsid w:val="00D64D73"/>
    <w:rsid w:val="00D64F23"/>
    <w:rsid w:val="00D64F77"/>
    <w:rsid w:val="00D6503F"/>
    <w:rsid w:val="00D6512C"/>
    <w:rsid w:val="00D651AB"/>
    <w:rsid w:val="00D65285"/>
    <w:rsid w:val="00D65309"/>
    <w:rsid w:val="00D654D3"/>
    <w:rsid w:val="00D654EF"/>
    <w:rsid w:val="00D65544"/>
    <w:rsid w:val="00D6555F"/>
    <w:rsid w:val="00D65675"/>
    <w:rsid w:val="00D65968"/>
    <w:rsid w:val="00D65C55"/>
    <w:rsid w:val="00D65C88"/>
    <w:rsid w:val="00D65CBA"/>
    <w:rsid w:val="00D65E3B"/>
    <w:rsid w:val="00D6601F"/>
    <w:rsid w:val="00D6608C"/>
    <w:rsid w:val="00D66240"/>
    <w:rsid w:val="00D662E0"/>
    <w:rsid w:val="00D66392"/>
    <w:rsid w:val="00D66694"/>
    <w:rsid w:val="00D66782"/>
    <w:rsid w:val="00D66881"/>
    <w:rsid w:val="00D6695C"/>
    <w:rsid w:val="00D669A4"/>
    <w:rsid w:val="00D66A74"/>
    <w:rsid w:val="00D66BA1"/>
    <w:rsid w:val="00D66C01"/>
    <w:rsid w:val="00D66DE8"/>
    <w:rsid w:val="00D66FA5"/>
    <w:rsid w:val="00D66FB9"/>
    <w:rsid w:val="00D6703D"/>
    <w:rsid w:val="00D67108"/>
    <w:rsid w:val="00D67189"/>
    <w:rsid w:val="00D673E1"/>
    <w:rsid w:val="00D6741A"/>
    <w:rsid w:val="00D674C1"/>
    <w:rsid w:val="00D6761A"/>
    <w:rsid w:val="00D67722"/>
    <w:rsid w:val="00D677B2"/>
    <w:rsid w:val="00D677E5"/>
    <w:rsid w:val="00D679C0"/>
    <w:rsid w:val="00D67BA1"/>
    <w:rsid w:val="00D67EFA"/>
    <w:rsid w:val="00D67F58"/>
    <w:rsid w:val="00D67FBB"/>
    <w:rsid w:val="00D67FFA"/>
    <w:rsid w:val="00D7012B"/>
    <w:rsid w:val="00D702EB"/>
    <w:rsid w:val="00D7046E"/>
    <w:rsid w:val="00D70481"/>
    <w:rsid w:val="00D70487"/>
    <w:rsid w:val="00D7053F"/>
    <w:rsid w:val="00D70569"/>
    <w:rsid w:val="00D70879"/>
    <w:rsid w:val="00D708FD"/>
    <w:rsid w:val="00D70C67"/>
    <w:rsid w:val="00D70E6F"/>
    <w:rsid w:val="00D70EDB"/>
    <w:rsid w:val="00D70F8F"/>
    <w:rsid w:val="00D7119C"/>
    <w:rsid w:val="00D71247"/>
    <w:rsid w:val="00D712D2"/>
    <w:rsid w:val="00D71371"/>
    <w:rsid w:val="00D715F1"/>
    <w:rsid w:val="00D717BD"/>
    <w:rsid w:val="00D718F0"/>
    <w:rsid w:val="00D7190F"/>
    <w:rsid w:val="00D71B6A"/>
    <w:rsid w:val="00D71C68"/>
    <w:rsid w:val="00D71D28"/>
    <w:rsid w:val="00D7203D"/>
    <w:rsid w:val="00D7206C"/>
    <w:rsid w:val="00D720E6"/>
    <w:rsid w:val="00D722D9"/>
    <w:rsid w:val="00D7230C"/>
    <w:rsid w:val="00D72384"/>
    <w:rsid w:val="00D72406"/>
    <w:rsid w:val="00D72877"/>
    <w:rsid w:val="00D72B41"/>
    <w:rsid w:val="00D72E53"/>
    <w:rsid w:val="00D73045"/>
    <w:rsid w:val="00D73091"/>
    <w:rsid w:val="00D73192"/>
    <w:rsid w:val="00D731F5"/>
    <w:rsid w:val="00D734A1"/>
    <w:rsid w:val="00D73567"/>
    <w:rsid w:val="00D7358D"/>
    <w:rsid w:val="00D7364F"/>
    <w:rsid w:val="00D73653"/>
    <w:rsid w:val="00D737EB"/>
    <w:rsid w:val="00D7383E"/>
    <w:rsid w:val="00D73855"/>
    <w:rsid w:val="00D7393F"/>
    <w:rsid w:val="00D73AD4"/>
    <w:rsid w:val="00D73B87"/>
    <w:rsid w:val="00D73B8E"/>
    <w:rsid w:val="00D73BB5"/>
    <w:rsid w:val="00D73C0B"/>
    <w:rsid w:val="00D73CC0"/>
    <w:rsid w:val="00D73EDD"/>
    <w:rsid w:val="00D74250"/>
    <w:rsid w:val="00D74523"/>
    <w:rsid w:val="00D746DB"/>
    <w:rsid w:val="00D74955"/>
    <w:rsid w:val="00D74C9E"/>
    <w:rsid w:val="00D74D0A"/>
    <w:rsid w:val="00D74EFF"/>
    <w:rsid w:val="00D74F41"/>
    <w:rsid w:val="00D75008"/>
    <w:rsid w:val="00D7503B"/>
    <w:rsid w:val="00D750B1"/>
    <w:rsid w:val="00D75185"/>
    <w:rsid w:val="00D75209"/>
    <w:rsid w:val="00D752CA"/>
    <w:rsid w:val="00D75360"/>
    <w:rsid w:val="00D7558C"/>
    <w:rsid w:val="00D75733"/>
    <w:rsid w:val="00D75AE4"/>
    <w:rsid w:val="00D75BF9"/>
    <w:rsid w:val="00D75D18"/>
    <w:rsid w:val="00D7601E"/>
    <w:rsid w:val="00D76172"/>
    <w:rsid w:val="00D761A8"/>
    <w:rsid w:val="00D76339"/>
    <w:rsid w:val="00D76341"/>
    <w:rsid w:val="00D765C9"/>
    <w:rsid w:val="00D76685"/>
    <w:rsid w:val="00D766BC"/>
    <w:rsid w:val="00D766EE"/>
    <w:rsid w:val="00D76733"/>
    <w:rsid w:val="00D768D5"/>
    <w:rsid w:val="00D768DC"/>
    <w:rsid w:val="00D769D3"/>
    <w:rsid w:val="00D76F03"/>
    <w:rsid w:val="00D76FCD"/>
    <w:rsid w:val="00D77019"/>
    <w:rsid w:val="00D77312"/>
    <w:rsid w:val="00D77589"/>
    <w:rsid w:val="00D775F6"/>
    <w:rsid w:val="00D776A8"/>
    <w:rsid w:val="00D7782C"/>
    <w:rsid w:val="00D77B21"/>
    <w:rsid w:val="00D77E5C"/>
    <w:rsid w:val="00D77EB4"/>
    <w:rsid w:val="00D8032C"/>
    <w:rsid w:val="00D8039E"/>
    <w:rsid w:val="00D803A5"/>
    <w:rsid w:val="00D803E2"/>
    <w:rsid w:val="00D804BC"/>
    <w:rsid w:val="00D805F2"/>
    <w:rsid w:val="00D806E5"/>
    <w:rsid w:val="00D8078A"/>
    <w:rsid w:val="00D807C1"/>
    <w:rsid w:val="00D807E4"/>
    <w:rsid w:val="00D808D4"/>
    <w:rsid w:val="00D80A75"/>
    <w:rsid w:val="00D80C8C"/>
    <w:rsid w:val="00D80E25"/>
    <w:rsid w:val="00D80FC6"/>
    <w:rsid w:val="00D80FD9"/>
    <w:rsid w:val="00D8118C"/>
    <w:rsid w:val="00D811EE"/>
    <w:rsid w:val="00D81213"/>
    <w:rsid w:val="00D8129C"/>
    <w:rsid w:val="00D814AA"/>
    <w:rsid w:val="00D81537"/>
    <w:rsid w:val="00D81729"/>
    <w:rsid w:val="00D81917"/>
    <w:rsid w:val="00D81A87"/>
    <w:rsid w:val="00D81AC5"/>
    <w:rsid w:val="00D81B18"/>
    <w:rsid w:val="00D81BCC"/>
    <w:rsid w:val="00D81C4B"/>
    <w:rsid w:val="00D81F09"/>
    <w:rsid w:val="00D82249"/>
    <w:rsid w:val="00D822E1"/>
    <w:rsid w:val="00D82579"/>
    <w:rsid w:val="00D825A4"/>
    <w:rsid w:val="00D8276E"/>
    <w:rsid w:val="00D82968"/>
    <w:rsid w:val="00D82B4C"/>
    <w:rsid w:val="00D82C43"/>
    <w:rsid w:val="00D82EEE"/>
    <w:rsid w:val="00D82FDA"/>
    <w:rsid w:val="00D8321A"/>
    <w:rsid w:val="00D832D3"/>
    <w:rsid w:val="00D833DC"/>
    <w:rsid w:val="00D834D2"/>
    <w:rsid w:val="00D837E8"/>
    <w:rsid w:val="00D838AE"/>
    <w:rsid w:val="00D83AAB"/>
    <w:rsid w:val="00D83B34"/>
    <w:rsid w:val="00D83BCD"/>
    <w:rsid w:val="00D83EC6"/>
    <w:rsid w:val="00D841F2"/>
    <w:rsid w:val="00D84205"/>
    <w:rsid w:val="00D84240"/>
    <w:rsid w:val="00D8428E"/>
    <w:rsid w:val="00D84299"/>
    <w:rsid w:val="00D8430E"/>
    <w:rsid w:val="00D84435"/>
    <w:rsid w:val="00D844A8"/>
    <w:rsid w:val="00D8473B"/>
    <w:rsid w:val="00D8474C"/>
    <w:rsid w:val="00D84877"/>
    <w:rsid w:val="00D8493B"/>
    <w:rsid w:val="00D849DE"/>
    <w:rsid w:val="00D84B44"/>
    <w:rsid w:val="00D84CCD"/>
    <w:rsid w:val="00D84EDF"/>
    <w:rsid w:val="00D84FBC"/>
    <w:rsid w:val="00D84FBF"/>
    <w:rsid w:val="00D85005"/>
    <w:rsid w:val="00D85154"/>
    <w:rsid w:val="00D851D0"/>
    <w:rsid w:val="00D85378"/>
    <w:rsid w:val="00D85462"/>
    <w:rsid w:val="00D85643"/>
    <w:rsid w:val="00D85846"/>
    <w:rsid w:val="00D858BF"/>
    <w:rsid w:val="00D85BFF"/>
    <w:rsid w:val="00D85C3D"/>
    <w:rsid w:val="00D85F5C"/>
    <w:rsid w:val="00D8600E"/>
    <w:rsid w:val="00D8601F"/>
    <w:rsid w:val="00D860A9"/>
    <w:rsid w:val="00D861BD"/>
    <w:rsid w:val="00D86293"/>
    <w:rsid w:val="00D863D0"/>
    <w:rsid w:val="00D8643A"/>
    <w:rsid w:val="00D86504"/>
    <w:rsid w:val="00D865C5"/>
    <w:rsid w:val="00D865D1"/>
    <w:rsid w:val="00D867FF"/>
    <w:rsid w:val="00D86B0C"/>
    <w:rsid w:val="00D86B45"/>
    <w:rsid w:val="00D86DB4"/>
    <w:rsid w:val="00D86FCE"/>
    <w:rsid w:val="00D873C6"/>
    <w:rsid w:val="00D87461"/>
    <w:rsid w:val="00D8755E"/>
    <w:rsid w:val="00D875D4"/>
    <w:rsid w:val="00D8772E"/>
    <w:rsid w:val="00D87864"/>
    <w:rsid w:val="00D87B35"/>
    <w:rsid w:val="00D87B3F"/>
    <w:rsid w:val="00D87D7B"/>
    <w:rsid w:val="00D900FF"/>
    <w:rsid w:val="00D901C7"/>
    <w:rsid w:val="00D901D6"/>
    <w:rsid w:val="00D902A4"/>
    <w:rsid w:val="00D9049A"/>
    <w:rsid w:val="00D9059D"/>
    <w:rsid w:val="00D90714"/>
    <w:rsid w:val="00D9083A"/>
    <w:rsid w:val="00D9086D"/>
    <w:rsid w:val="00D90926"/>
    <w:rsid w:val="00D90A1A"/>
    <w:rsid w:val="00D90C53"/>
    <w:rsid w:val="00D90D2D"/>
    <w:rsid w:val="00D90E41"/>
    <w:rsid w:val="00D91115"/>
    <w:rsid w:val="00D91215"/>
    <w:rsid w:val="00D9152C"/>
    <w:rsid w:val="00D9156D"/>
    <w:rsid w:val="00D916A4"/>
    <w:rsid w:val="00D916F8"/>
    <w:rsid w:val="00D91941"/>
    <w:rsid w:val="00D9195F"/>
    <w:rsid w:val="00D91B25"/>
    <w:rsid w:val="00D91B9F"/>
    <w:rsid w:val="00D91BE3"/>
    <w:rsid w:val="00D9232A"/>
    <w:rsid w:val="00D92387"/>
    <w:rsid w:val="00D924AC"/>
    <w:rsid w:val="00D92767"/>
    <w:rsid w:val="00D9277A"/>
    <w:rsid w:val="00D9289B"/>
    <w:rsid w:val="00D9291F"/>
    <w:rsid w:val="00D9295C"/>
    <w:rsid w:val="00D92A0A"/>
    <w:rsid w:val="00D92A1F"/>
    <w:rsid w:val="00D92B11"/>
    <w:rsid w:val="00D92B2B"/>
    <w:rsid w:val="00D92C47"/>
    <w:rsid w:val="00D92D44"/>
    <w:rsid w:val="00D92D7F"/>
    <w:rsid w:val="00D92F06"/>
    <w:rsid w:val="00D92F10"/>
    <w:rsid w:val="00D92FEF"/>
    <w:rsid w:val="00D9307E"/>
    <w:rsid w:val="00D9356A"/>
    <w:rsid w:val="00D935F7"/>
    <w:rsid w:val="00D9371D"/>
    <w:rsid w:val="00D93936"/>
    <w:rsid w:val="00D93A07"/>
    <w:rsid w:val="00D93AC1"/>
    <w:rsid w:val="00D93BD7"/>
    <w:rsid w:val="00D93FEC"/>
    <w:rsid w:val="00D94048"/>
    <w:rsid w:val="00D940A2"/>
    <w:rsid w:val="00D94438"/>
    <w:rsid w:val="00D944AB"/>
    <w:rsid w:val="00D9460C"/>
    <w:rsid w:val="00D94715"/>
    <w:rsid w:val="00D947FB"/>
    <w:rsid w:val="00D9480A"/>
    <w:rsid w:val="00D948A0"/>
    <w:rsid w:val="00D9490C"/>
    <w:rsid w:val="00D94ACF"/>
    <w:rsid w:val="00D94E22"/>
    <w:rsid w:val="00D94EFB"/>
    <w:rsid w:val="00D95025"/>
    <w:rsid w:val="00D95372"/>
    <w:rsid w:val="00D95447"/>
    <w:rsid w:val="00D95661"/>
    <w:rsid w:val="00D956DC"/>
    <w:rsid w:val="00D957F1"/>
    <w:rsid w:val="00D95A2C"/>
    <w:rsid w:val="00D95A86"/>
    <w:rsid w:val="00D95D33"/>
    <w:rsid w:val="00D95E1F"/>
    <w:rsid w:val="00D95E39"/>
    <w:rsid w:val="00D95E9C"/>
    <w:rsid w:val="00D95EAD"/>
    <w:rsid w:val="00D95ED0"/>
    <w:rsid w:val="00D95FFC"/>
    <w:rsid w:val="00D961A0"/>
    <w:rsid w:val="00D961A4"/>
    <w:rsid w:val="00D96319"/>
    <w:rsid w:val="00D96439"/>
    <w:rsid w:val="00D96526"/>
    <w:rsid w:val="00D9688E"/>
    <w:rsid w:val="00D96AC6"/>
    <w:rsid w:val="00D96B4E"/>
    <w:rsid w:val="00D96D4B"/>
    <w:rsid w:val="00D96D64"/>
    <w:rsid w:val="00D96D6A"/>
    <w:rsid w:val="00D96D83"/>
    <w:rsid w:val="00D96E56"/>
    <w:rsid w:val="00D97157"/>
    <w:rsid w:val="00D971A5"/>
    <w:rsid w:val="00D972B7"/>
    <w:rsid w:val="00D9741F"/>
    <w:rsid w:val="00D97444"/>
    <w:rsid w:val="00D97575"/>
    <w:rsid w:val="00D97647"/>
    <w:rsid w:val="00D977E2"/>
    <w:rsid w:val="00D977F8"/>
    <w:rsid w:val="00D97845"/>
    <w:rsid w:val="00D97853"/>
    <w:rsid w:val="00D97884"/>
    <w:rsid w:val="00D97A67"/>
    <w:rsid w:val="00D97A9B"/>
    <w:rsid w:val="00D97AB3"/>
    <w:rsid w:val="00D97C25"/>
    <w:rsid w:val="00DA0029"/>
    <w:rsid w:val="00DA02C7"/>
    <w:rsid w:val="00DA0644"/>
    <w:rsid w:val="00DA077C"/>
    <w:rsid w:val="00DA08C4"/>
    <w:rsid w:val="00DA0B77"/>
    <w:rsid w:val="00DA0BDF"/>
    <w:rsid w:val="00DA0D5A"/>
    <w:rsid w:val="00DA0D68"/>
    <w:rsid w:val="00DA0E2A"/>
    <w:rsid w:val="00DA0EFD"/>
    <w:rsid w:val="00DA116F"/>
    <w:rsid w:val="00DA13BC"/>
    <w:rsid w:val="00DA1400"/>
    <w:rsid w:val="00DA1474"/>
    <w:rsid w:val="00DA154F"/>
    <w:rsid w:val="00DA159D"/>
    <w:rsid w:val="00DA1705"/>
    <w:rsid w:val="00DA1945"/>
    <w:rsid w:val="00DA196A"/>
    <w:rsid w:val="00DA1A07"/>
    <w:rsid w:val="00DA1B64"/>
    <w:rsid w:val="00DA1C7D"/>
    <w:rsid w:val="00DA1DD4"/>
    <w:rsid w:val="00DA1E75"/>
    <w:rsid w:val="00DA20E5"/>
    <w:rsid w:val="00DA21B1"/>
    <w:rsid w:val="00DA2320"/>
    <w:rsid w:val="00DA2451"/>
    <w:rsid w:val="00DA25D2"/>
    <w:rsid w:val="00DA26E3"/>
    <w:rsid w:val="00DA27EE"/>
    <w:rsid w:val="00DA284A"/>
    <w:rsid w:val="00DA32F2"/>
    <w:rsid w:val="00DA33BA"/>
    <w:rsid w:val="00DA354A"/>
    <w:rsid w:val="00DA35A3"/>
    <w:rsid w:val="00DA3613"/>
    <w:rsid w:val="00DA3636"/>
    <w:rsid w:val="00DA36F7"/>
    <w:rsid w:val="00DA37A6"/>
    <w:rsid w:val="00DA3B53"/>
    <w:rsid w:val="00DA3FC0"/>
    <w:rsid w:val="00DA40FB"/>
    <w:rsid w:val="00DA4337"/>
    <w:rsid w:val="00DA4376"/>
    <w:rsid w:val="00DA4428"/>
    <w:rsid w:val="00DA442B"/>
    <w:rsid w:val="00DA44B1"/>
    <w:rsid w:val="00DA453A"/>
    <w:rsid w:val="00DA4597"/>
    <w:rsid w:val="00DA477F"/>
    <w:rsid w:val="00DA480B"/>
    <w:rsid w:val="00DA49ED"/>
    <w:rsid w:val="00DA4C8E"/>
    <w:rsid w:val="00DA4E58"/>
    <w:rsid w:val="00DA4F5B"/>
    <w:rsid w:val="00DA514C"/>
    <w:rsid w:val="00DA5156"/>
    <w:rsid w:val="00DA516E"/>
    <w:rsid w:val="00DA54C9"/>
    <w:rsid w:val="00DA5540"/>
    <w:rsid w:val="00DA55CE"/>
    <w:rsid w:val="00DA567E"/>
    <w:rsid w:val="00DA576F"/>
    <w:rsid w:val="00DA57E3"/>
    <w:rsid w:val="00DA5A67"/>
    <w:rsid w:val="00DA5A86"/>
    <w:rsid w:val="00DA5BC8"/>
    <w:rsid w:val="00DA5C09"/>
    <w:rsid w:val="00DA5DC8"/>
    <w:rsid w:val="00DA5EDF"/>
    <w:rsid w:val="00DA608A"/>
    <w:rsid w:val="00DA614D"/>
    <w:rsid w:val="00DA61E1"/>
    <w:rsid w:val="00DA62DC"/>
    <w:rsid w:val="00DA6499"/>
    <w:rsid w:val="00DA6555"/>
    <w:rsid w:val="00DA6644"/>
    <w:rsid w:val="00DA670E"/>
    <w:rsid w:val="00DA67C9"/>
    <w:rsid w:val="00DA6D67"/>
    <w:rsid w:val="00DA6E4E"/>
    <w:rsid w:val="00DA6EA2"/>
    <w:rsid w:val="00DA6F1D"/>
    <w:rsid w:val="00DA746D"/>
    <w:rsid w:val="00DA75A8"/>
    <w:rsid w:val="00DA770C"/>
    <w:rsid w:val="00DA7715"/>
    <w:rsid w:val="00DA79B5"/>
    <w:rsid w:val="00DA7C29"/>
    <w:rsid w:val="00DA7C31"/>
    <w:rsid w:val="00DA7D0A"/>
    <w:rsid w:val="00DA7D5C"/>
    <w:rsid w:val="00DA7D9A"/>
    <w:rsid w:val="00DA7F61"/>
    <w:rsid w:val="00DB0136"/>
    <w:rsid w:val="00DB0197"/>
    <w:rsid w:val="00DB03C3"/>
    <w:rsid w:val="00DB0440"/>
    <w:rsid w:val="00DB0494"/>
    <w:rsid w:val="00DB049E"/>
    <w:rsid w:val="00DB04BC"/>
    <w:rsid w:val="00DB0570"/>
    <w:rsid w:val="00DB0708"/>
    <w:rsid w:val="00DB078A"/>
    <w:rsid w:val="00DB0937"/>
    <w:rsid w:val="00DB0B4A"/>
    <w:rsid w:val="00DB0B91"/>
    <w:rsid w:val="00DB0B92"/>
    <w:rsid w:val="00DB0E8D"/>
    <w:rsid w:val="00DB112D"/>
    <w:rsid w:val="00DB122D"/>
    <w:rsid w:val="00DB1345"/>
    <w:rsid w:val="00DB13FD"/>
    <w:rsid w:val="00DB1494"/>
    <w:rsid w:val="00DB1774"/>
    <w:rsid w:val="00DB1801"/>
    <w:rsid w:val="00DB18B5"/>
    <w:rsid w:val="00DB1980"/>
    <w:rsid w:val="00DB19FD"/>
    <w:rsid w:val="00DB1D11"/>
    <w:rsid w:val="00DB1F0D"/>
    <w:rsid w:val="00DB2105"/>
    <w:rsid w:val="00DB2329"/>
    <w:rsid w:val="00DB23A9"/>
    <w:rsid w:val="00DB243B"/>
    <w:rsid w:val="00DB27A1"/>
    <w:rsid w:val="00DB2BC1"/>
    <w:rsid w:val="00DB2C2D"/>
    <w:rsid w:val="00DB2D88"/>
    <w:rsid w:val="00DB2ECA"/>
    <w:rsid w:val="00DB2F43"/>
    <w:rsid w:val="00DB30E9"/>
    <w:rsid w:val="00DB3134"/>
    <w:rsid w:val="00DB33E6"/>
    <w:rsid w:val="00DB3644"/>
    <w:rsid w:val="00DB3680"/>
    <w:rsid w:val="00DB372B"/>
    <w:rsid w:val="00DB37F5"/>
    <w:rsid w:val="00DB39B9"/>
    <w:rsid w:val="00DB3A40"/>
    <w:rsid w:val="00DB3C5C"/>
    <w:rsid w:val="00DB3CB8"/>
    <w:rsid w:val="00DB3DBA"/>
    <w:rsid w:val="00DB3E02"/>
    <w:rsid w:val="00DB3E7B"/>
    <w:rsid w:val="00DB42E5"/>
    <w:rsid w:val="00DB43C2"/>
    <w:rsid w:val="00DB4627"/>
    <w:rsid w:val="00DB4807"/>
    <w:rsid w:val="00DB48B6"/>
    <w:rsid w:val="00DB48E6"/>
    <w:rsid w:val="00DB49F9"/>
    <w:rsid w:val="00DB4A36"/>
    <w:rsid w:val="00DB4F1A"/>
    <w:rsid w:val="00DB501F"/>
    <w:rsid w:val="00DB52ED"/>
    <w:rsid w:val="00DB560A"/>
    <w:rsid w:val="00DB564B"/>
    <w:rsid w:val="00DB5676"/>
    <w:rsid w:val="00DB5783"/>
    <w:rsid w:val="00DB5809"/>
    <w:rsid w:val="00DB5868"/>
    <w:rsid w:val="00DB594F"/>
    <w:rsid w:val="00DB5A61"/>
    <w:rsid w:val="00DB5CD3"/>
    <w:rsid w:val="00DB6510"/>
    <w:rsid w:val="00DB6A21"/>
    <w:rsid w:val="00DB6A5B"/>
    <w:rsid w:val="00DB6A69"/>
    <w:rsid w:val="00DB6CF3"/>
    <w:rsid w:val="00DB6D2B"/>
    <w:rsid w:val="00DB6F94"/>
    <w:rsid w:val="00DB710A"/>
    <w:rsid w:val="00DB71E0"/>
    <w:rsid w:val="00DB73B8"/>
    <w:rsid w:val="00DB74CA"/>
    <w:rsid w:val="00DB77C9"/>
    <w:rsid w:val="00DB78F8"/>
    <w:rsid w:val="00DB7916"/>
    <w:rsid w:val="00DB7B8B"/>
    <w:rsid w:val="00DC00D1"/>
    <w:rsid w:val="00DC0303"/>
    <w:rsid w:val="00DC039F"/>
    <w:rsid w:val="00DC040E"/>
    <w:rsid w:val="00DC041E"/>
    <w:rsid w:val="00DC06AA"/>
    <w:rsid w:val="00DC06EE"/>
    <w:rsid w:val="00DC075F"/>
    <w:rsid w:val="00DC0799"/>
    <w:rsid w:val="00DC08D0"/>
    <w:rsid w:val="00DC0B12"/>
    <w:rsid w:val="00DC0B37"/>
    <w:rsid w:val="00DC0BA0"/>
    <w:rsid w:val="00DC0D8C"/>
    <w:rsid w:val="00DC1023"/>
    <w:rsid w:val="00DC1141"/>
    <w:rsid w:val="00DC1241"/>
    <w:rsid w:val="00DC1435"/>
    <w:rsid w:val="00DC14CB"/>
    <w:rsid w:val="00DC19CD"/>
    <w:rsid w:val="00DC1A3A"/>
    <w:rsid w:val="00DC1A3B"/>
    <w:rsid w:val="00DC1CBE"/>
    <w:rsid w:val="00DC1CFD"/>
    <w:rsid w:val="00DC1E00"/>
    <w:rsid w:val="00DC1E57"/>
    <w:rsid w:val="00DC1ED9"/>
    <w:rsid w:val="00DC203C"/>
    <w:rsid w:val="00DC209C"/>
    <w:rsid w:val="00DC20DF"/>
    <w:rsid w:val="00DC2726"/>
    <w:rsid w:val="00DC2747"/>
    <w:rsid w:val="00DC2780"/>
    <w:rsid w:val="00DC28A4"/>
    <w:rsid w:val="00DC28D0"/>
    <w:rsid w:val="00DC2917"/>
    <w:rsid w:val="00DC2959"/>
    <w:rsid w:val="00DC2993"/>
    <w:rsid w:val="00DC29BF"/>
    <w:rsid w:val="00DC2ABB"/>
    <w:rsid w:val="00DC2C1C"/>
    <w:rsid w:val="00DC2E44"/>
    <w:rsid w:val="00DC2E74"/>
    <w:rsid w:val="00DC2F1A"/>
    <w:rsid w:val="00DC2F6F"/>
    <w:rsid w:val="00DC2F83"/>
    <w:rsid w:val="00DC302A"/>
    <w:rsid w:val="00DC30A8"/>
    <w:rsid w:val="00DC3147"/>
    <w:rsid w:val="00DC31BB"/>
    <w:rsid w:val="00DC31C7"/>
    <w:rsid w:val="00DC3205"/>
    <w:rsid w:val="00DC3466"/>
    <w:rsid w:val="00DC34A8"/>
    <w:rsid w:val="00DC3679"/>
    <w:rsid w:val="00DC3691"/>
    <w:rsid w:val="00DC3A15"/>
    <w:rsid w:val="00DC3A65"/>
    <w:rsid w:val="00DC3BAD"/>
    <w:rsid w:val="00DC40F1"/>
    <w:rsid w:val="00DC42C7"/>
    <w:rsid w:val="00DC43DA"/>
    <w:rsid w:val="00DC45A5"/>
    <w:rsid w:val="00DC4643"/>
    <w:rsid w:val="00DC471F"/>
    <w:rsid w:val="00DC490F"/>
    <w:rsid w:val="00DC4A92"/>
    <w:rsid w:val="00DC4D27"/>
    <w:rsid w:val="00DC4DAB"/>
    <w:rsid w:val="00DC4E2D"/>
    <w:rsid w:val="00DC4EFF"/>
    <w:rsid w:val="00DC5054"/>
    <w:rsid w:val="00DC5103"/>
    <w:rsid w:val="00DC556F"/>
    <w:rsid w:val="00DC56A8"/>
    <w:rsid w:val="00DC5907"/>
    <w:rsid w:val="00DC592A"/>
    <w:rsid w:val="00DC5AFE"/>
    <w:rsid w:val="00DC5BC1"/>
    <w:rsid w:val="00DC5FBB"/>
    <w:rsid w:val="00DC6142"/>
    <w:rsid w:val="00DC625A"/>
    <w:rsid w:val="00DC63AA"/>
    <w:rsid w:val="00DC6565"/>
    <w:rsid w:val="00DC664F"/>
    <w:rsid w:val="00DC670C"/>
    <w:rsid w:val="00DC6AA2"/>
    <w:rsid w:val="00DC6AC1"/>
    <w:rsid w:val="00DC6AE8"/>
    <w:rsid w:val="00DC71C6"/>
    <w:rsid w:val="00DC74A1"/>
    <w:rsid w:val="00DC7621"/>
    <w:rsid w:val="00DC76CB"/>
    <w:rsid w:val="00DC7837"/>
    <w:rsid w:val="00DC78C1"/>
    <w:rsid w:val="00DC78E2"/>
    <w:rsid w:val="00DC7B3D"/>
    <w:rsid w:val="00DC7EA7"/>
    <w:rsid w:val="00DC7EEC"/>
    <w:rsid w:val="00DC7F66"/>
    <w:rsid w:val="00DD0108"/>
    <w:rsid w:val="00DD02C7"/>
    <w:rsid w:val="00DD0380"/>
    <w:rsid w:val="00DD03F6"/>
    <w:rsid w:val="00DD08AE"/>
    <w:rsid w:val="00DD0B8F"/>
    <w:rsid w:val="00DD0D36"/>
    <w:rsid w:val="00DD0E36"/>
    <w:rsid w:val="00DD0EAF"/>
    <w:rsid w:val="00DD0FCA"/>
    <w:rsid w:val="00DD11AA"/>
    <w:rsid w:val="00DD1230"/>
    <w:rsid w:val="00DD129B"/>
    <w:rsid w:val="00DD130E"/>
    <w:rsid w:val="00DD132D"/>
    <w:rsid w:val="00DD13C9"/>
    <w:rsid w:val="00DD13E5"/>
    <w:rsid w:val="00DD17E1"/>
    <w:rsid w:val="00DD1947"/>
    <w:rsid w:val="00DD194F"/>
    <w:rsid w:val="00DD1955"/>
    <w:rsid w:val="00DD19AB"/>
    <w:rsid w:val="00DD19EC"/>
    <w:rsid w:val="00DD1A60"/>
    <w:rsid w:val="00DD1B39"/>
    <w:rsid w:val="00DD1C13"/>
    <w:rsid w:val="00DD1C3A"/>
    <w:rsid w:val="00DD1DB8"/>
    <w:rsid w:val="00DD1E11"/>
    <w:rsid w:val="00DD1E3D"/>
    <w:rsid w:val="00DD2099"/>
    <w:rsid w:val="00DD2107"/>
    <w:rsid w:val="00DD24F9"/>
    <w:rsid w:val="00DD25D0"/>
    <w:rsid w:val="00DD263D"/>
    <w:rsid w:val="00DD27C2"/>
    <w:rsid w:val="00DD28A5"/>
    <w:rsid w:val="00DD2944"/>
    <w:rsid w:val="00DD2A31"/>
    <w:rsid w:val="00DD2BD3"/>
    <w:rsid w:val="00DD2C64"/>
    <w:rsid w:val="00DD2E7A"/>
    <w:rsid w:val="00DD2EAD"/>
    <w:rsid w:val="00DD2F47"/>
    <w:rsid w:val="00DD31AA"/>
    <w:rsid w:val="00DD32D3"/>
    <w:rsid w:val="00DD3341"/>
    <w:rsid w:val="00DD345A"/>
    <w:rsid w:val="00DD39EB"/>
    <w:rsid w:val="00DD3A0A"/>
    <w:rsid w:val="00DD3BDC"/>
    <w:rsid w:val="00DD4383"/>
    <w:rsid w:val="00DD4442"/>
    <w:rsid w:val="00DD44BB"/>
    <w:rsid w:val="00DD4529"/>
    <w:rsid w:val="00DD45A3"/>
    <w:rsid w:val="00DD46C2"/>
    <w:rsid w:val="00DD4734"/>
    <w:rsid w:val="00DD489F"/>
    <w:rsid w:val="00DD494B"/>
    <w:rsid w:val="00DD496B"/>
    <w:rsid w:val="00DD498A"/>
    <w:rsid w:val="00DD49D8"/>
    <w:rsid w:val="00DD4A7C"/>
    <w:rsid w:val="00DD4BF0"/>
    <w:rsid w:val="00DD4C5A"/>
    <w:rsid w:val="00DD4DD0"/>
    <w:rsid w:val="00DD51A3"/>
    <w:rsid w:val="00DD51F0"/>
    <w:rsid w:val="00DD5213"/>
    <w:rsid w:val="00DD5314"/>
    <w:rsid w:val="00DD532B"/>
    <w:rsid w:val="00DD533A"/>
    <w:rsid w:val="00DD543B"/>
    <w:rsid w:val="00DD5486"/>
    <w:rsid w:val="00DD54F5"/>
    <w:rsid w:val="00DD5592"/>
    <w:rsid w:val="00DD55FE"/>
    <w:rsid w:val="00DD5625"/>
    <w:rsid w:val="00DD573C"/>
    <w:rsid w:val="00DD57C6"/>
    <w:rsid w:val="00DD5930"/>
    <w:rsid w:val="00DD59B7"/>
    <w:rsid w:val="00DD5BFD"/>
    <w:rsid w:val="00DD5C03"/>
    <w:rsid w:val="00DD5C0E"/>
    <w:rsid w:val="00DD5C71"/>
    <w:rsid w:val="00DD5CC9"/>
    <w:rsid w:val="00DD60EC"/>
    <w:rsid w:val="00DD6258"/>
    <w:rsid w:val="00DD628E"/>
    <w:rsid w:val="00DD62E7"/>
    <w:rsid w:val="00DD63AD"/>
    <w:rsid w:val="00DD64B8"/>
    <w:rsid w:val="00DD6699"/>
    <w:rsid w:val="00DD66D5"/>
    <w:rsid w:val="00DD68AA"/>
    <w:rsid w:val="00DD7059"/>
    <w:rsid w:val="00DD70F6"/>
    <w:rsid w:val="00DD7110"/>
    <w:rsid w:val="00DD7229"/>
    <w:rsid w:val="00DD722E"/>
    <w:rsid w:val="00DD739B"/>
    <w:rsid w:val="00DD740C"/>
    <w:rsid w:val="00DD749E"/>
    <w:rsid w:val="00DD7652"/>
    <w:rsid w:val="00DD791D"/>
    <w:rsid w:val="00DD796E"/>
    <w:rsid w:val="00DD79E3"/>
    <w:rsid w:val="00DD7A29"/>
    <w:rsid w:val="00DD7CAF"/>
    <w:rsid w:val="00DD7D17"/>
    <w:rsid w:val="00DD7E18"/>
    <w:rsid w:val="00DD7E1A"/>
    <w:rsid w:val="00DE0103"/>
    <w:rsid w:val="00DE01D9"/>
    <w:rsid w:val="00DE04BE"/>
    <w:rsid w:val="00DE0612"/>
    <w:rsid w:val="00DE06EE"/>
    <w:rsid w:val="00DE0717"/>
    <w:rsid w:val="00DE0791"/>
    <w:rsid w:val="00DE092A"/>
    <w:rsid w:val="00DE0954"/>
    <w:rsid w:val="00DE09B1"/>
    <w:rsid w:val="00DE0C99"/>
    <w:rsid w:val="00DE0E46"/>
    <w:rsid w:val="00DE0E57"/>
    <w:rsid w:val="00DE0E8F"/>
    <w:rsid w:val="00DE1284"/>
    <w:rsid w:val="00DE12A4"/>
    <w:rsid w:val="00DE12A5"/>
    <w:rsid w:val="00DE134F"/>
    <w:rsid w:val="00DE150B"/>
    <w:rsid w:val="00DE1660"/>
    <w:rsid w:val="00DE1872"/>
    <w:rsid w:val="00DE189D"/>
    <w:rsid w:val="00DE190C"/>
    <w:rsid w:val="00DE1BD1"/>
    <w:rsid w:val="00DE1CF4"/>
    <w:rsid w:val="00DE1DDB"/>
    <w:rsid w:val="00DE2027"/>
    <w:rsid w:val="00DE2180"/>
    <w:rsid w:val="00DE22E3"/>
    <w:rsid w:val="00DE2420"/>
    <w:rsid w:val="00DE2690"/>
    <w:rsid w:val="00DE26A1"/>
    <w:rsid w:val="00DE26DB"/>
    <w:rsid w:val="00DE28F4"/>
    <w:rsid w:val="00DE2B3A"/>
    <w:rsid w:val="00DE2B8F"/>
    <w:rsid w:val="00DE2D4D"/>
    <w:rsid w:val="00DE2D5A"/>
    <w:rsid w:val="00DE2DFB"/>
    <w:rsid w:val="00DE2E57"/>
    <w:rsid w:val="00DE303F"/>
    <w:rsid w:val="00DE31B6"/>
    <w:rsid w:val="00DE31E4"/>
    <w:rsid w:val="00DE32A9"/>
    <w:rsid w:val="00DE3329"/>
    <w:rsid w:val="00DE336C"/>
    <w:rsid w:val="00DE33B0"/>
    <w:rsid w:val="00DE35CC"/>
    <w:rsid w:val="00DE3638"/>
    <w:rsid w:val="00DE3702"/>
    <w:rsid w:val="00DE392A"/>
    <w:rsid w:val="00DE39CB"/>
    <w:rsid w:val="00DE3A8B"/>
    <w:rsid w:val="00DE3BAD"/>
    <w:rsid w:val="00DE3BC0"/>
    <w:rsid w:val="00DE3C0B"/>
    <w:rsid w:val="00DE3DD4"/>
    <w:rsid w:val="00DE3E06"/>
    <w:rsid w:val="00DE4057"/>
    <w:rsid w:val="00DE4207"/>
    <w:rsid w:val="00DE43E4"/>
    <w:rsid w:val="00DE4446"/>
    <w:rsid w:val="00DE4464"/>
    <w:rsid w:val="00DE45D9"/>
    <w:rsid w:val="00DE46B2"/>
    <w:rsid w:val="00DE46FD"/>
    <w:rsid w:val="00DE47E1"/>
    <w:rsid w:val="00DE4845"/>
    <w:rsid w:val="00DE499B"/>
    <w:rsid w:val="00DE4A6C"/>
    <w:rsid w:val="00DE4E2C"/>
    <w:rsid w:val="00DE4F2C"/>
    <w:rsid w:val="00DE4FF0"/>
    <w:rsid w:val="00DE505A"/>
    <w:rsid w:val="00DE5172"/>
    <w:rsid w:val="00DE51F0"/>
    <w:rsid w:val="00DE53E8"/>
    <w:rsid w:val="00DE53FA"/>
    <w:rsid w:val="00DE54B7"/>
    <w:rsid w:val="00DE58C7"/>
    <w:rsid w:val="00DE5982"/>
    <w:rsid w:val="00DE5DCE"/>
    <w:rsid w:val="00DE62C9"/>
    <w:rsid w:val="00DE6565"/>
    <w:rsid w:val="00DE68E2"/>
    <w:rsid w:val="00DE69D2"/>
    <w:rsid w:val="00DE6A23"/>
    <w:rsid w:val="00DE6C07"/>
    <w:rsid w:val="00DE6F24"/>
    <w:rsid w:val="00DE7027"/>
    <w:rsid w:val="00DE7071"/>
    <w:rsid w:val="00DE71B3"/>
    <w:rsid w:val="00DE729A"/>
    <w:rsid w:val="00DE72DD"/>
    <w:rsid w:val="00DE731D"/>
    <w:rsid w:val="00DE734A"/>
    <w:rsid w:val="00DE777A"/>
    <w:rsid w:val="00DE7791"/>
    <w:rsid w:val="00DE7965"/>
    <w:rsid w:val="00DE7A71"/>
    <w:rsid w:val="00DE7BA5"/>
    <w:rsid w:val="00DE7C09"/>
    <w:rsid w:val="00DE7C83"/>
    <w:rsid w:val="00DE7CD3"/>
    <w:rsid w:val="00DF00E7"/>
    <w:rsid w:val="00DF011E"/>
    <w:rsid w:val="00DF0168"/>
    <w:rsid w:val="00DF0206"/>
    <w:rsid w:val="00DF047B"/>
    <w:rsid w:val="00DF0822"/>
    <w:rsid w:val="00DF08F4"/>
    <w:rsid w:val="00DF0A3D"/>
    <w:rsid w:val="00DF0A96"/>
    <w:rsid w:val="00DF0BDB"/>
    <w:rsid w:val="00DF0D6E"/>
    <w:rsid w:val="00DF0EC4"/>
    <w:rsid w:val="00DF0F49"/>
    <w:rsid w:val="00DF0FE7"/>
    <w:rsid w:val="00DF1016"/>
    <w:rsid w:val="00DF1159"/>
    <w:rsid w:val="00DF16B6"/>
    <w:rsid w:val="00DF175E"/>
    <w:rsid w:val="00DF1A6E"/>
    <w:rsid w:val="00DF1AAE"/>
    <w:rsid w:val="00DF1BB2"/>
    <w:rsid w:val="00DF1BD3"/>
    <w:rsid w:val="00DF1C4B"/>
    <w:rsid w:val="00DF1EEB"/>
    <w:rsid w:val="00DF200D"/>
    <w:rsid w:val="00DF23B8"/>
    <w:rsid w:val="00DF24D0"/>
    <w:rsid w:val="00DF258D"/>
    <w:rsid w:val="00DF25E7"/>
    <w:rsid w:val="00DF26AD"/>
    <w:rsid w:val="00DF2B67"/>
    <w:rsid w:val="00DF2E63"/>
    <w:rsid w:val="00DF2E6B"/>
    <w:rsid w:val="00DF2F5C"/>
    <w:rsid w:val="00DF318E"/>
    <w:rsid w:val="00DF31B0"/>
    <w:rsid w:val="00DF335A"/>
    <w:rsid w:val="00DF34D9"/>
    <w:rsid w:val="00DF362C"/>
    <w:rsid w:val="00DF36E9"/>
    <w:rsid w:val="00DF3907"/>
    <w:rsid w:val="00DF3983"/>
    <w:rsid w:val="00DF39A2"/>
    <w:rsid w:val="00DF39DD"/>
    <w:rsid w:val="00DF3A26"/>
    <w:rsid w:val="00DF3A32"/>
    <w:rsid w:val="00DF3B14"/>
    <w:rsid w:val="00DF3B3A"/>
    <w:rsid w:val="00DF3B45"/>
    <w:rsid w:val="00DF3C19"/>
    <w:rsid w:val="00DF411F"/>
    <w:rsid w:val="00DF4313"/>
    <w:rsid w:val="00DF4350"/>
    <w:rsid w:val="00DF4700"/>
    <w:rsid w:val="00DF4A67"/>
    <w:rsid w:val="00DF4A9C"/>
    <w:rsid w:val="00DF4BBC"/>
    <w:rsid w:val="00DF4EC9"/>
    <w:rsid w:val="00DF5095"/>
    <w:rsid w:val="00DF5256"/>
    <w:rsid w:val="00DF54C0"/>
    <w:rsid w:val="00DF552D"/>
    <w:rsid w:val="00DF573B"/>
    <w:rsid w:val="00DF57A0"/>
    <w:rsid w:val="00DF58C0"/>
    <w:rsid w:val="00DF5943"/>
    <w:rsid w:val="00DF5B5B"/>
    <w:rsid w:val="00DF5B90"/>
    <w:rsid w:val="00DF5E0F"/>
    <w:rsid w:val="00DF5F79"/>
    <w:rsid w:val="00DF5FFE"/>
    <w:rsid w:val="00DF601E"/>
    <w:rsid w:val="00DF60A9"/>
    <w:rsid w:val="00DF61B9"/>
    <w:rsid w:val="00DF648E"/>
    <w:rsid w:val="00DF6502"/>
    <w:rsid w:val="00DF669B"/>
    <w:rsid w:val="00DF66C1"/>
    <w:rsid w:val="00DF66CB"/>
    <w:rsid w:val="00DF69C9"/>
    <w:rsid w:val="00DF6B49"/>
    <w:rsid w:val="00DF6BB5"/>
    <w:rsid w:val="00DF6D88"/>
    <w:rsid w:val="00DF6D98"/>
    <w:rsid w:val="00DF6FA9"/>
    <w:rsid w:val="00DF71ED"/>
    <w:rsid w:val="00DF726C"/>
    <w:rsid w:val="00DF7287"/>
    <w:rsid w:val="00DF72AF"/>
    <w:rsid w:val="00DF7539"/>
    <w:rsid w:val="00DF7621"/>
    <w:rsid w:val="00DF76EE"/>
    <w:rsid w:val="00DF77C2"/>
    <w:rsid w:val="00DF7834"/>
    <w:rsid w:val="00DF7846"/>
    <w:rsid w:val="00DF78A4"/>
    <w:rsid w:val="00DF7C3E"/>
    <w:rsid w:val="00DF7FBE"/>
    <w:rsid w:val="00E0011E"/>
    <w:rsid w:val="00E00163"/>
    <w:rsid w:val="00E0016A"/>
    <w:rsid w:val="00E00575"/>
    <w:rsid w:val="00E005E4"/>
    <w:rsid w:val="00E00B19"/>
    <w:rsid w:val="00E00BE4"/>
    <w:rsid w:val="00E00BEF"/>
    <w:rsid w:val="00E00F61"/>
    <w:rsid w:val="00E00FD0"/>
    <w:rsid w:val="00E01009"/>
    <w:rsid w:val="00E010CD"/>
    <w:rsid w:val="00E0128E"/>
    <w:rsid w:val="00E012F1"/>
    <w:rsid w:val="00E0135A"/>
    <w:rsid w:val="00E013C6"/>
    <w:rsid w:val="00E01584"/>
    <w:rsid w:val="00E01590"/>
    <w:rsid w:val="00E015AC"/>
    <w:rsid w:val="00E01725"/>
    <w:rsid w:val="00E0172A"/>
    <w:rsid w:val="00E017F4"/>
    <w:rsid w:val="00E0181A"/>
    <w:rsid w:val="00E01833"/>
    <w:rsid w:val="00E01980"/>
    <w:rsid w:val="00E019B4"/>
    <w:rsid w:val="00E01B0D"/>
    <w:rsid w:val="00E01B48"/>
    <w:rsid w:val="00E01C57"/>
    <w:rsid w:val="00E01CCB"/>
    <w:rsid w:val="00E01CEE"/>
    <w:rsid w:val="00E01D09"/>
    <w:rsid w:val="00E01D64"/>
    <w:rsid w:val="00E01D86"/>
    <w:rsid w:val="00E01DD7"/>
    <w:rsid w:val="00E01E3D"/>
    <w:rsid w:val="00E021C7"/>
    <w:rsid w:val="00E021D7"/>
    <w:rsid w:val="00E02276"/>
    <w:rsid w:val="00E022F6"/>
    <w:rsid w:val="00E02584"/>
    <w:rsid w:val="00E0287B"/>
    <w:rsid w:val="00E02A77"/>
    <w:rsid w:val="00E02AA1"/>
    <w:rsid w:val="00E02AF8"/>
    <w:rsid w:val="00E02E69"/>
    <w:rsid w:val="00E02F6E"/>
    <w:rsid w:val="00E0312C"/>
    <w:rsid w:val="00E03137"/>
    <w:rsid w:val="00E031B8"/>
    <w:rsid w:val="00E031D7"/>
    <w:rsid w:val="00E03259"/>
    <w:rsid w:val="00E03287"/>
    <w:rsid w:val="00E03337"/>
    <w:rsid w:val="00E0337F"/>
    <w:rsid w:val="00E0345B"/>
    <w:rsid w:val="00E034FA"/>
    <w:rsid w:val="00E035CE"/>
    <w:rsid w:val="00E03715"/>
    <w:rsid w:val="00E03822"/>
    <w:rsid w:val="00E038CE"/>
    <w:rsid w:val="00E03962"/>
    <w:rsid w:val="00E03D01"/>
    <w:rsid w:val="00E03DE1"/>
    <w:rsid w:val="00E0416F"/>
    <w:rsid w:val="00E041E2"/>
    <w:rsid w:val="00E041EF"/>
    <w:rsid w:val="00E041F1"/>
    <w:rsid w:val="00E042AC"/>
    <w:rsid w:val="00E04315"/>
    <w:rsid w:val="00E04617"/>
    <w:rsid w:val="00E04657"/>
    <w:rsid w:val="00E0468D"/>
    <w:rsid w:val="00E047FE"/>
    <w:rsid w:val="00E04865"/>
    <w:rsid w:val="00E04960"/>
    <w:rsid w:val="00E04A15"/>
    <w:rsid w:val="00E04B7F"/>
    <w:rsid w:val="00E04BA3"/>
    <w:rsid w:val="00E04F86"/>
    <w:rsid w:val="00E04F92"/>
    <w:rsid w:val="00E05084"/>
    <w:rsid w:val="00E05301"/>
    <w:rsid w:val="00E05342"/>
    <w:rsid w:val="00E0535D"/>
    <w:rsid w:val="00E055B5"/>
    <w:rsid w:val="00E05941"/>
    <w:rsid w:val="00E059AD"/>
    <w:rsid w:val="00E059E3"/>
    <w:rsid w:val="00E05AA8"/>
    <w:rsid w:val="00E05AEA"/>
    <w:rsid w:val="00E05B20"/>
    <w:rsid w:val="00E05B55"/>
    <w:rsid w:val="00E05CB5"/>
    <w:rsid w:val="00E05CB7"/>
    <w:rsid w:val="00E05D59"/>
    <w:rsid w:val="00E05D8E"/>
    <w:rsid w:val="00E06035"/>
    <w:rsid w:val="00E0606A"/>
    <w:rsid w:val="00E060A6"/>
    <w:rsid w:val="00E060B0"/>
    <w:rsid w:val="00E0621F"/>
    <w:rsid w:val="00E0626A"/>
    <w:rsid w:val="00E06400"/>
    <w:rsid w:val="00E06701"/>
    <w:rsid w:val="00E067B6"/>
    <w:rsid w:val="00E06861"/>
    <w:rsid w:val="00E06915"/>
    <w:rsid w:val="00E06AD6"/>
    <w:rsid w:val="00E06C6E"/>
    <w:rsid w:val="00E06CE5"/>
    <w:rsid w:val="00E07382"/>
    <w:rsid w:val="00E075E1"/>
    <w:rsid w:val="00E076DF"/>
    <w:rsid w:val="00E078A1"/>
    <w:rsid w:val="00E079C4"/>
    <w:rsid w:val="00E07A3B"/>
    <w:rsid w:val="00E07AA3"/>
    <w:rsid w:val="00E07D27"/>
    <w:rsid w:val="00E07E3D"/>
    <w:rsid w:val="00E07E40"/>
    <w:rsid w:val="00E07EA9"/>
    <w:rsid w:val="00E1002B"/>
    <w:rsid w:val="00E10057"/>
    <w:rsid w:val="00E102EB"/>
    <w:rsid w:val="00E1031E"/>
    <w:rsid w:val="00E10405"/>
    <w:rsid w:val="00E104FA"/>
    <w:rsid w:val="00E10553"/>
    <w:rsid w:val="00E105CC"/>
    <w:rsid w:val="00E106D9"/>
    <w:rsid w:val="00E1073C"/>
    <w:rsid w:val="00E107C2"/>
    <w:rsid w:val="00E10835"/>
    <w:rsid w:val="00E10955"/>
    <w:rsid w:val="00E10B11"/>
    <w:rsid w:val="00E10D76"/>
    <w:rsid w:val="00E10EB0"/>
    <w:rsid w:val="00E10F63"/>
    <w:rsid w:val="00E111B5"/>
    <w:rsid w:val="00E112B9"/>
    <w:rsid w:val="00E11359"/>
    <w:rsid w:val="00E113A6"/>
    <w:rsid w:val="00E1146E"/>
    <w:rsid w:val="00E115A1"/>
    <w:rsid w:val="00E11649"/>
    <w:rsid w:val="00E116D8"/>
    <w:rsid w:val="00E1174F"/>
    <w:rsid w:val="00E1176C"/>
    <w:rsid w:val="00E118EC"/>
    <w:rsid w:val="00E11D91"/>
    <w:rsid w:val="00E11DE1"/>
    <w:rsid w:val="00E11F23"/>
    <w:rsid w:val="00E11F71"/>
    <w:rsid w:val="00E12033"/>
    <w:rsid w:val="00E1206B"/>
    <w:rsid w:val="00E1210A"/>
    <w:rsid w:val="00E1216F"/>
    <w:rsid w:val="00E12185"/>
    <w:rsid w:val="00E1218C"/>
    <w:rsid w:val="00E1233E"/>
    <w:rsid w:val="00E125B8"/>
    <w:rsid w:val="00E12754"/>
    <w:rsid w:val="00E12A62"/>
    <w:rsid w:val="00E12D2D"/>
    <w:rsid w:val="00E12DD1"/>
    <w:rsid w:val="00E12F7F"/>
    <w:rsid w:val="00E12FDB"/>
    <w:rsid w:val="00E12FE2"/>
    <w:rsid w:val="00E1306F"/>
    <w:rsid w:val="00E1308A"/>
    <w:rsid w:val="00E130AD"/>
    <w:rsid w:val="00E130F0"/>
    <w:rsid w:val="00E1355A"/>
    <w:rsid w:val="00E135FD"/>
    <w:rsid w:val="00E1362E"/>
    <w:rsid w:val="00E136A3"/>
    <w:rsid w:val="00E136C7"/>
    <w:rsid w:val="00E13807"/>
    <w:rsid w:val="00E13853"/>
    <w:rsid w:val="00E13B8B"/>
    <w:rsid w:val="00E13D0B"/>
    <w:rsid w:val="00E13DDA"/>
    <w:rsid w:val="00E141E3"/>
    <w:rsid w:val="00E14430"/>
    <w:rsid w:val="00E144AF"/>
    <w:rsid w:val="00E144EA"/>
    <w:rsid w:val="00E145F8"/>
    <w:rsid w:val="00E14662"/>
    <w:rsid w:val="00E1473A"/>
    <w:rsid w:val="00E147D9"/>
    <w:rsid w:val="00E1482E"/>
    <w:rsid w:val="00E14C2D"/>
    <w:rsid w:val="00E14C33"/>
    <w:rsid w:val="00E14DFE"/>
    <w:rsid w:val="00E14F94"/>
    <w:rsid w:val="00E1503F"/>
    <w:rsid w:val="00E1516D"/>
    <w:rsid w:val="00E15200"/>
    <w:rsid w:val="00E152BE"/>
    <w:rsid w:val="00E15374"/>
    <w:rsid w:val="00E1555E"/>
    <w:rsid w:val="00E1561A"/>
    <w:rsid w:val="00E15647"/>
    <w:rsid w:val="00E15891"/>
    <w:rsid w:val="00E15990"/>
    <w:rsid w:val="00E15AF7"/>
    <w:rsid w:val="00E15C29"/>
    <w:rsid w:val="00E15C3F"/>
    <w:rsid w:val="00E16062"/>
    <w:rsid w:val="00E16068"/>
    <w:rsid w:val="00E16094"/>
    <w:rsid w:val="00E161F2"/>
    <w:rsid w:val="00E16437"/>
    <w:rsid w:val="00E1643A"/>
    <w:rsid w:val="00E1654D"/>
    <w:rsid w:val="00E16581"/>
    <w:rsid w:val="00E16590"/>
    <w:rsid w:val="00E16A3E"/>
    <w:rsid w:val="00E16C1F"/>
    <w:rsid w:val="00E16D6D"/>
    <w:rsid w:val="00E16D99"/>
    <w:rsid w:val="00E16E29"/>
    <w:rsid w:val="00E17044"/>
    <w:rsid w:val="00E17274"/>
    <w:rsid w:val="00E1730A"/>
    <w:rsid w:val="00E173AC"/>
    <w:rsid w:val="00E174D5"/>
    <w:rsid w:val="00E1753E"/>
    <w:rsid w:val="00E1759B"/>
    <w:rsid w:val="00E175B5"/>
    <w:rsid w:val="00E1773B"/>
    <w:rsid w:val="00E177D1"/>
    <w:rsid w:val="00E17823"/>
    <w:rsid w:val="00E17BF6"/>
    <w:rsid w:val="00E17D76"/>
    <w:rsid w:val="00E17E0F"/>
    <w:rsid w:val="00E20159"/>
    <w:rsid w:val="00E201B4"/>
    <w:rsid w:val="00E20552"/>
    <w:rsid w:val="00E20879"/>
    <w:rsid w:val="00E20A47"/>
    <w:rsid w:val="00E20A77"/>
    <w:rsid w:val="00E20BE7"/>
    <w:rsid w:val="00E20E0B"/>
    <w:rsid w:val="00E20FB4"/>
    <w:rsid w:val="00E210DF"/>
    <w:rsid w:val="00E210F3"/>
    <w:rsid w:val="00E2124F"/>
    <w:rsid w:val="00E2195D"/>
    <w:rsid w:val="00E21ADE"/>
    <w:rsid w:val="00E21AFE"/>
    <w:rsid w:val="00E21B1E"/>
    <w:rsid w:val="00E21B9F"/>
    <w:rsid w:val="00E21E29"/>
    <w:rsid w:val="00E221A5"/>
    <w:rsid w:val="00E22330"/>
    <w:rsid w:val="00E22334"/>
    <w:rsid w:val="00E223B3"/>
    <w:rsid w:val="00E22435"/>
    <w:rsid w:val="00E2259C"/>
    <w:rsid w:val="00E22667"/>
    <w:rsid w:val="00E2283C"/>
    <w:rsid w:val="00E228AF"/>
    <w:rsid w:val="00E229FA"/>
    <w:rsid w:val="00E22AAE"/>
    <w:rsid w:val="00E22B23"/>
    <w:rsid w:val="00E22B91"/>
    <w:rsid w:val="00E22C1A"/>
    <w:rsid w:val="00E22D9C"/>
    <w:rsid w:val="00E22DEE"/>
    <w:rsid w:val="00E22E9D"/>
    <w:rsid w:val="00E23061"/>
    <w:rsid w:val="00E2310D"/>
    <w:rsid w:val="00E23171"/>
    <w:rsid w:val="00E23415"/>
    <w:rsid w:val="00E234E2"/>
    <w:rsid w:val="00E237BE"/>
    <w:rsid w:val="00E23B46"/>
    <w:rsid w:val="00E23B5D"/>
    <w:rsid w:val="00E23BC1"/>
    <w:rsid w:val="00E23BCE"/>
    <w:rsid w:val="00E23CCE"/>
    <w:rsid w:val="00E23D9A"/>
    <w:rsid w:val="00E23DA4"/>
    <w:rsid w:val="00E24001"/>
    <w:rsid w:val="00E2419D"/>
    <w:rsid w:val="00E241BF"/>
    <w:rsid w:val="00E241E2"/>
    <w:rsid w:val="00E242C6"/>
    <w:rsid w:val="00E24367"/>
    <w:rsid w:val="00E24387"/>
    <w:rsid w:val="00E244CE"/>
    <w:rsid w:val="00E244F0"/>
    <w:rsid w:val="00E2450E"/>
    <w:rsid w:val="00E2455A"/>
    <w:rsid w:val="00E2459B"/>
    <w:rsid w:val="00E2461D"/>
    <w:rsid w:val="00E2477A"/>
    <w:rsid w:val="00E247A6"/>
    <w:rsid w:val="00E24B23"/>
    <w:rsid w:val="00E24DBA"/>
    <w:rsid w:val="00E24E73"/>
    <w:rsid w:val="00E24EC8"/>
    <w:rsid w:val="00E24ECB"/>
    <w:rsid w:val="00E24F8D"/>
    <w:rsid w:val="00E25146"/>
    <w:rsid w:val="00E251DE"/>
    <w:rsid w:val="00E25263"/>
    <w:rsid w:val="00E252C7"/>
    <w:rsid w:val="00E2532D"/>
    <w:rsid w:val="00E25485"/>
    <w:rsid w:val="00E257BC"/>
    <w:rsid w:val="00E259AF"/>
    <w:rsid w:val="00E25A3C"/>
    <w:rsid w:val="00E25A3F"/>
    <w:rsid w:val="00E25B4D"/>
    <w:rsid w:val="00E25B8C"/>
    <w:rsid w:val="00E25BD2"/>
    <w:rsid w:val="00E25EEE"/>
    <w:rsid w:val="00E2617A"/>
    <w:rsid w:val="00E261B7"/>
    <w:rsid w:val="00E26303"/>
    <w:rsid w:val="00E2630B"/>
    <w:rsid w:val="00E2636A"/>
    <w:rsid w:val="00E2641A"/>
    <w:rsid w:val="00E266A0"/>
    <w:rsid w:val="00E266A6"/>
    <w:rsid w:val="00E26A88"/>
    <w:rsid w:val="00E26D3A"/>
    <w:rsid w:val="00E270C7"/>
    <w:rsid w:val="00E272BA"/>
    <w:rsid w:val="00E272BE"/>
    <w:rsid w:val="00E273C0"/>
    <w:rsid w:val="00E275CE"/>
    <w:rsid w:val="00E278AE"/>
    <w:rsid w:val="00E27A5F"/>
    <w:rsid w:val="00E27D35"/>
    <w:rsid w:val="00E27DEA"/>
    <w:rsid w:val="00E27FCF"/>
    <w:rsid w:val="00E302BF"/>
    <w:rsid w:val="00E3031D"/>
    <w:rsid w:val="00E30366"/>
    <w:rsid w:val="00E306FE"/>
    <w:rsid w:val="00E309BD"/>
    <w:rsid w:val="00E309D5"/>
    <w:rsid w:val="00E30A0D"/>
    <w:rsid w:val="00E30BA0"/>
    <w:rsid w:val="00E30C6E"/>
    <w:rsid w:val="00E30CB2"/>
    <w:rsid w:val="00E30E44"/>
    <w:rsid w:val="00E30F03"/>
    <w:rsid w:val="00E30FEB"/>
    <w:rsid w:val="00E31052"/>
    <w:rsid w:val="00E31337"/>
    <w:rsid w:val="00E314E7"/>
    <w:rsid w:val="00E31B67"/>
    <w:rsid w:val="00E31C10"/>
    <w:rsid w:val="00E31C7A"/>
    <w:rsid w:val="00E31D1E"/>
    <w:rsid w:val="00E31F29"/>
    <w:rsid w:val="00E31FDC"/>
    <w:rsid w:val="00E31FDF"/>
    <w:rsid w:val="00E31FEC"/>
    <w:rsid w:val="00E32039"/>
    <w:rsid w:val="00E320AF"/>
    <w:rsid w:val="00E320F6"/>
    <w:rsid w:val="00E32105"/>
    <w:rsid w:val="00E321E8"/>
    <w:rsid w:val="00E322A4"/>
    <w:rsid w:val="00E32465"/>
    <w:rsid w:val="00E3268A"/>
    <w:rsid w:val="00E327F8"/>
    <w:rsid w:val="00E3283A"/>
    <w:rsid w:val="00E328A3"/>
    <w:rsid w:val="00E3298A"/>
    <w:rsid w:val="00E329FD"/>
    <w:rsid w:val="00E32AA7"/>
    <w:rsid w:val="00E32D85"/>
    <w:rsid w:val="00E32DAA"/>
    <w:rsid w:val="00E32E75"/>
    <w:rsid w:val="00E32F85"/>
    <w:rsid w:val="00E3322A"/>
    <w:rsid w:val="00E33278"/>
    <w:rsid w:val="00E33AE4"/>
    <w:rsid w:val="00E33C89"/>
    <w:rsid w:val="00E33D78"/>
    <w:rsid w:val="00E33EF7"/>
    <w:rsid w:val="00E33F61"/>
    <w:rsid w:val="00E33FA5"/>
    <w:rsid w:val="00E34004"/>
    <w:rsid w:val="00E34106"/>
    <w:rsid w:val="00E34146"/>
    <w:rsid w:val="00E34185"/>
    <w:rsid w:val="00E3426B"/>
    <w:rsid w:val="00E34412"/>
    <w:rsid w:val="00E3485D"/>
    <w:rsid w:val="00E34899"/>
    <w:rsid w:val="00E34A60"/>
    <w:rsid w:val="00E34BCF"/>
    <w:rsid w:val="00E34E46"/>
    <w:rsid w:val="00E34E5E"/>
    <w:rsid w:val="00E34EE4"/>
    <w:rsid w:val="00E351F0"/>
    <w:rsid w:val="00E3525E"/>
    <w:rsid w:val="00E353BD"/>
    <w:rsid w:val="00E354FC"/>
    <w:rsid w:val="00E356D3"/>
    <w:rsid w:val="00E3591C"/>
    <w:rsid w:val="00E35995"/>
    <w:rsid w:val="00E35A89"/>
    <w:rsid w:val="00E35FB1"/>
    <w:rsid w:val="00E36109"/>
    <w:rsid w:val="00E363C1"/>
    <w:rsid w:val="00E364C4"/>
    <w:rsid w:val="00E36502"/>
    <w:rsid w:val="00E3659A"/>
    <w:rsid w:val="00E366DF"/>
    <w:rsid w:val="00E36895"/>
    <w:rsid w:val="00E36BF4"/>
    <w:rsid w:val="00E36D48"/>
    <w:rsid w:val="00E36D72"/>
    <w:rsid w:val="00E36E35"/>
    <w:rsid w:val="00E36F8A"/>
    <w:rsid w:val="00E3702A"/>
    <w:rsid w:val="00E37030"/>
    <w:rsid w:val="00E37044"/>
    <w:rsid w:val="00E37140"/>
    <w:rsid w:val="00E371CB"/>
    <w:rsid w:val="00E3736B"/>
    <w:rsid w:val="00E37464"/>
    <w:rsid w:val="00E375F9"/>
    <w:rsid w:val="00E37602"/>
    <w:rsid w:val="00E37714"/>
    <w:rsid w:val="00E378F6"/>
    <w:rsid w:val="00E379D9"/>
    <w:rsid w:val="00E37AA3"/>
    <w:rsid w:val="00E37CF5"/>
    <w:rsid w:val="00E37DD6"/>
    <w:rsid w:val="00E37E04"/>
    <w:rsid w:val="00E37E1B"/>
    <w:rsid w:val="00E37E41"/>
    <w:rsid w:val="00E401CD"/>
    <w:rsid w:val="00E402E6"/>
    <w:rsid w:val="00E40338"/>
    <w:rsid w:val="00E4034E"/>
    <w:rsid w:val="00E40495"/>
    <w:rsid w:val="00E409EA"/>
    <w:rsid w:val="00E40DF0"/>
    <w:rsid w:val="00E40E25"/>
    <w:rsid w:val="00E40E3C"/>
    <w:rsid w:val="00E41145"/>
    <w:rsid w:val="00E41220"/>
    <w:rsid w:val="00E4126F"/>
    <w:rsid w:val="00E41278"/>
    <w:rsid w:val="00E412DC"/>
    <w:rsid w:val="00E4132A"/>
    <w:rsid w:val="00E413C7"/>
    <w:rsid w:val="00E414FE"/>
    <w:rsid w:val="00E41643"/>
    <w:rsid w:val="00E4177D"/>
    <w:rsid w:val="00E417B9"/>
    <w:rsid w:val="00E41927"/>
    <w:rsid w:val="00E419F1"/>
    <w:rsid w:val="00E41C08"/>
    <w:rsid w:val="00E41F5B"/>
    <w:rsid w:val="00E41FB5"/>
    <w:rsid w:val="00E421E5"/>
    <w:rsid w:val="00E4223F"/>
    <w:rsid w:val="00E422B5"/>
    <w:rsid w:val="00E42357"/>
    <w:rsid w:val="00E42460"/>
    <w:rsid w:val="00E424F4"/>
    <w:rsid w:val="00E42505"/>
    <w:rsid w:val="00E428BE"/>
    <w:rsid w:val="00E428F8"/>
    <w:rsid w:val="00E42981"/>
    <w:rsid w:val="00E42A62"/>
    <w:rsid w:val="00E42B2F"/>
    <w:rsid w:val="00E42B31"/>
    <w:rsid w:val="00E42F7D"/>
    <w:rsid w:val="00E43002"/>
    <w:rsid w:val="00E430E6"/>
    <w:rsid w:val="00E430FE"/>
    <w:rsid w:val="00E4314B"/>
    <w:rsid w:val="00E43173"/>
    <w:rsid w:val="00E431BC"/>
    <w:rsid w:val="00E43316"/>
    <w:rsid w:val="00E4337D"/>
    <w:rsid w:val="00E434FA"/>
    <w:rsid w:val="00E43A3F"/>
    <w:rsid w:val="00E43ABC"/>
    <w:rsid w:val="00E43B0B"/>
    <w:rsid w:val="00E43B4D"/>
    <w:rsid w:val="00E43C10"/>
    <w:rsid w:val="00E43C4D"/>
    <w:rsid w:val="00E43CC2"/>
    <w:rsid w:val="00E43E19"/>
    <w:rsid w:val="00E44124"/>
    <w:rsid w:val="00E443EE"/>
    <w:rsid w:val="00E4450C"/>
    <w:rsid w:val="00E44520"/>
    <w:rsid w:val="00E4459E"/>
    <w:rsid w:val="00E44931"/>
    <w:rsid w:val="00E44A8E"/>
    <w:rsid w:val="00E44B2A"/>
    <w:rsid w:val="00E44BCD"/>
    <w:rsid w:val="00E44CB1"/>
    <w:rsid w:val="00E44D50"/>
    <w:rsid w:val="00E44DBC"/>
    <w:rsid w:val="00E44F70"/>
    <w:rsid w:val="00E450AA"/>
    <w:rsid w:val="00E4517C"/>
    <w:rsid w:val="00E451C7"/>
    <w:rsid w:val="00E452CA"/>
    <w:rsid w:val="00E45341"/>
    <w:rsid w:val="00E453F9"/>
    <w:rsid w:val="00E45424"/>
    <w:rsid w:val="00E45667"/>
    <w:rsid w:val="00E45740"/>
    <w:rsid w:val="00E4597A"/>
    <w:rsid w:val="00E45A29"/>
    <w:rsid w:val="00E45C50"/>
    <w:rsid w:val="00E45C65"/>
    <w:rsid w:val="00E45CA5"/>
    <w:rsid w:val="00E45CBF"/>
    <w:rsid w:val="00E45CE9"/>
    <w:rsid w:val="00E45D1A"/>
    <w:rsid w:val="00E45EB0"/>
    <w:rsid w:val="00E45FDD"/>
    <w:rsid w:val="00E463CA"/>
    <w:rsid w:val="00E465BF"/>
    <w:rsid w:val="00E465F7"/>
    <w:rsid w:val="00E4663E"/>
    <w:rsid w:val="00E46707"/>
    <w:rsid w:val="00E467AE"/>
    <w:rsid w:val="00E46A19"/>
    <w:rsid w:val="00E46B2D"/>
    <w:rsid w:val="00E46CA4"/>
    <w:rsid w:val="00E46D99"/>
    <w:rsid w:val="00E46DF0"/>
    <w:rsid w:val="00E46F57"/>
    <w:rsid w:val="00E47101"/>
    <w:rsid w:val="00E4730B"/>
    <w:rsid w:val="00E473F1"/>
    <w:rsid w:val="00E47408"/>
    <w:rsid w:val="00E474B1"/>
    <w:rsid w:val="00E47563"/>
    <w:rsid w:val="00E47611"/>
    <w:rsid w:val="00E477AF"/>
    <w:rsid w:val="00E47910"/>
    <w:rsid w:val="00E47979"/>
    <w:rsid w:val="00E47982"/>
    <w:rsid w:val="00E47996"/>
    <w:rsid w:val="00E479B3"/>
    <w:rsid w:val="00E47CFE"/>
    <w:rsid w:val="00E47DC3"/>
    <w:rsid w:val="00E47E09"/>
    <w:rsid w:val="00E47F30"/>
    <w:rsid w:val="00E50068"/>
    <w:rsid w:val="00E5007C"/>
    <w:rsid w:val="00E50216"/>
    <w:rsid w:val="00E502DF"/>
    <w:rsid w:val="00E503AD"/>
    <w:rsid w:val="00E50426"/>
    <w:rsid w:val="00E50545"/>
    <w:rsid w:val="00E50574"/>
    <w:rsid w:val="00E50588"/>
    <w:rsid w:val="00E50604"/>
    <w:rsid w:val="00E50732"/>
    <w:rsid w:val="00E5087A"/>
    <w:rsid w:val="00E50CC8"/>
    <w:rsid w:val="00E50E3B"/>
    <w:rsid w:val="00E50E96"/>
    <w:rsid w:val="00E50ED0"/>
    <w:rsid w:val="00E50FF7"/>
    <w:rsid w:val="00E511DB"/>
    <w:rsid w:val="00E511EE"/>
    <w:rsid w:val="00E51521"/>
    <w:rsid w:val="00E51548"/>
    <w:rsid w:val="00E515DC"/>
    <w:rsid w:val="00E5184C"/>
    <w:rsid w:val="00E51A4C"/>
    <w:rsid w:val="00E51BA4"/>
    <w:rsid w:val="00E51C2C"/>
    <w:rsid w:val="00E51CBE"/>
    <w:rsid w:val="00E51DB2"/>
    <w:rsid w:val="00E51E57"/>
    <w:rsid w:val="00E51F8F"/>
    <w:rsid w:val="00E52072"/>
    <w:rsid w:val="00E520ED"/>
    <w:rsid w:val="00E52321"/>
    <w:rsid w:val="00E52324"/>
    <w:rsid w:val="00E523EE"/>
    <w:rsid w:val="00E5257B"/>
    <w:rsid w:val="00E52689"/>
    <w:rsid w:val="00E5273B"/>
    <w:rsid w:val="00E527AA"/>
    <w:rsid w:val="00E52AFB"/>
    <w:rsid w:val="00E52B6B"/>
    <w:rsid w:val="00E52C4E"/>
    <w:rsid w:val="00E52D91"/>
    <w:rsid w:val="00E52DAB"/>
    <w:rsid w:val="00E530E4"/>
    <w:rsid w:val="00E53349"/>
    <w:rsid w:val="00E5342E"/>
    <w:rsid w:val="00E535A8"/>
    <w:rsid w:val="00E5364C"/>
    <w:rsid w:val="00E53988"/>
    <w:rsid w:val="00E53B3D"/>
    <w:rsid w:val="00E53C66"/>
    <w:rsid w:val="00E53EE9"/>
    <w:rsid w:val="00E53F27"/>
    <w:rsid w:val="00E54049"/>
    <w:rsid w:val="00E54250"/>
    <w:rsid w:val="00E5431F"/>
    <w:rsid w:val="00E543BA"/>
    <w:rsid w:val="00E5446B"/>
    <w:rsid w:val="00E54552"/>
    <w:rsid w:val="00E54623"/>
    <w:rsid w:val="00E54678"/>
    <w:rsid w:val="00E54924"/>
    <w:rsid w:val="00E54AF3"/>
    <w:rsid w:val="00E54BBE"/>
    <w:rsid w:val="00E54BCE"/>
    <w:rsid w:val="00E54C8B"/>
    <w:rsid w:val="00E54CD4"/>
    <w:rsid w:val="00E54D0B"/>
    <w:rsid w:val="00E54EB9"/>
    <w:rsid w:val="00E54F77"/>
    <w:rsid w:val="00E55027"/>
    <w:rsid w:val="00E552A5"/>
    <w:rsid w:val="00E553BC"/>
    <w:rsid w:val="00E555FB"/>
    <w:rsid w:val="00E556B0"/>
    <w:rsid w:val="00E557AB"/>
    <w:rsid w:val="00E55832"/>
    <w:rsid w:val="00E55A57"/>
    <w:rsid w:val="00E55BDA"/>
    <w:rsid w:val="00E55D09"/>
    <w:rsid w:val="00E55EF9"/>
    <w:rsid w:val="00E55F4C"/>
    <w:rsid w:val="00E56271"/>
    <w:rsid w:val="00E562F8"/>
    <w:rsid w:val="00E563EE"/>
    <w:rsid w:val="00E56431"/>
    <w:rsid w:val="00E56568"/>
    <w:rsid w:val="00E56722"/>
    <w:rsid w:val="00E56903"/>
    <w:rsid w:val="00E56B02"/>
    <w:rsid w:val="00E56C65"/>
    <w:rsid w:val="00E56CDB"/>
    <w:rsid w:val="00E56D06"/>
    <w:rsid w:val="00E56DA8"/>
    <w:rsid w:val="00E56E28"/>
    <w:rsid w:val="00E56E3C"/>
    <w:rsid w:val="00E56EFA"/>
    <w:rsid w:val="00E56F3B"/>
    <w:rsid w:val="00E571D6"/>
    <w:rsid w:val="00E57212"/>
    <w:rsid w:val="00E57633"/>
    <w:rsid w:val="00E5764C"/>
    <w:rsid w:val="00E57814"/>
    <w:rsid w:val="00E578B7"/>
    <w:rsid w:val="00E579C6"/>
    <w:rsid w:val="00E57B01"/>
    <w:rsid w:val="00E57DD7"/>
    <w:rsid w:val="00E57F25"/>
    <w:rsid w:val="00E57F6F"/>
    <w:rsid w:val="00E60068"/>
    <w:rsid w:val="00E600DD"/>
    <w:rsid w:val="00E601AA"/>
    <w:rsid w:val="00E601B5"/>
    <w:rsid w:val="00E6053B"/>
    <w:rsid w:val="00E60846"/>
    <w:rsid w:val="00E60931"/>
    <w:rsid w:val="00E609BF"/>
    <w:rsid w:val="00E609C9"/>
    <w:rsid w:val="00E60A19"/>
    <w:rsid w:val="00E60B1D"/>
    <w:rsid w:val="00E60E40"/>
    <w:rsid w:val="00E61593"/>
    <w:rsid w:val="00E6170E"/>
    <w:rsid w:val="00E61898"/>
    <w:rsid w:val="00E61A54"/>
    <w:rsid w:val="00E61C80"/>
    <w:rsid w:val="00E61E6E"/>
    <w:rsid w:val="00E6203B"/>
    <w:rsid w:val="00E62074"/>
    <w:rsid w:val="00E62308"/>
    <w:rsid w:val="00E623BF"/>
    <w:rsid w:val="00E623E9"/>
    <w:rsid w:val="00E62414"/>
    <w:rsid w:val="00E6266D"/>
    <w:rsid w:val="00E62BC5"/>
    <w:rsid w:val="00E62D63"/>
    <w:rsid w:val="00E62ED6"/>
    <w:rsid w:val="00E62F43"/>
    <w:rsid w:val="00E631CA"/>
    <w:rsid w:val="00E631D0"/>
    <w:rsid w:val="00E63239"/>
    <w:rsid w:val="00E6347C"/>
    <w:rsid w:val="00E634B5"/>
    <w:rsid w:val="00E63549"/>
    <w:rsid w:val="00E6354B"/>
    <w:rsid w:val="00E63597"/>
    <w:rsid w:val="00E635B7"/>
    <w:rsid w:val="00E63603"/>
    <w:rsid w:val="00E63A28"/>
    <w:rsid w:val="00E63B75"/>
    <w:rsid w:val="00E63C61"/>
    <w:rsid w:val="00E63D8F"/>
    <w:rsid w:val="00E63D90"/>
    <w:rsid w:val="00E64063"/>
    <w:rsid w:val="00E64135"/>
    <w:rsid w:val="00E6415B"/>
    <w:rsid w:val="00E643A2"/>
    <w:rsid w:val="00E643ED"/>
    <w:rsid w:val="00E64422"/>
    <w:rsid w:val="00E6464D"/>
    <w:rsid w:val="00E646C9"/>
    <w:rsid w:val="00E64ACD"/>
    <w:rsid w:val="00E64AF7"/>
    <w:rsid w:val="00E64B4D"/>
    <w:rsid w:val="00E64B54"/>
    <w:rsid w:val="00E64C81"/>
    <w:rsid w:val="00E64D04"/>
    <w:rsid w:val="00E64F94"/>
    <w:rsid w:val="00E6518A"/>
    <w:rsid w:val="00E6530B"/>
    <w:rsid w:val="00E653B4"/>
    <w:rsid w:val="00E65416"/>
    <w:rsid w:val="00E657E3"/>
    <w:rsid w:val="00E657FE"/>
    <w:rsid w:val="00E65849"/>
    <w:rsid w:val="00E658F9"/>
    <w:rsid w:val="00E65A06"/>
    <w:rsid w:val="00E65CB6"/>
    <w:rsid w:val="00E65D6A"/>
    <w:rsid w:val="00E65D8A"/>
    <w:rsid w:val="00E65F48"/>
    <w:rsid w:val="00E66083"/>
    <w:rsid w:val="00E661C0"/>
    <w:rsid w:val="00E66250"/>
    <w:rsid w:val="00E66586"/>
    <w:rsid w:val="00E6661D"/>
    <w:rsid w:val="00E66661"/>
    <w:rsid w:val="00E669D4"/>
    <w:rsid w:val="00E66A97"/>
    <w:rsid w:val="00E66B10"/>
    <w:rsid w:val="00E66B4E"/>
    <w:rsid w:val="00E66CCF"/>
    <w:rsid w:val="00E66DC2"/>
    <w:rsid w:val="00E670C4"/>
    <w:rsid w:val="00E670D4"/>
    <w:rsid w:val="00E67328"/>
    <w:rsid w:val="00E677BA"/>
    <w:rsid w:val="00E67819"/>
    <w:rsid w:val="00E67982"/>
    <w:rsid w:val="00E67A4A"/>
    <w:rsid w:val="00E67AD6"/>
    <w:rsid w:val="00E67B72"/>
    <w:rsid w:val="00E67D51"/>
    <w:rsid w:val="00E7007E"/>
    <w:rsid w:val="00E70257"/>
    <w:rsid w:val="00E7042C"/>
    <w:rsid w:val="00E705F3"/>
    <w:rsid w:val="00E705FA"/>
    <w:rsid w:val="00E706BB"/>
    <w:rsid w:val="00E7086F"/>
    <w:rsid w:val="00E70CDC"/>
    <w:rsid w:val="00E70FCE"/>
    <w:rsid w:val="00E7106A"/>
    <w:rsid w:val="00E71450"/>
    <w:rsid w:val="00E71699"/>
    <w:rsid w:val="00E71760"/>
    <w:rsid w:val="00E718D7"/>
    <w:rsid w:val="00E71900"/>
    <w:rsid w:val="00E71904"/>
    <w:rsid w:val="00E71AC9"/>
    <w:rsid w:val="00E71CF8"/>
    <w:rsid w:val="00E72029"/>
    <w:rsid w:val="00E7205C"/>
    <w:rsid w:val="00E720CB"/>
    <w:rsid w:val="00E72149"/>
    <w:rsid w:val="00E72259"/>
    <w:rsid w:val="00E7233D"/>
    <w:rsid w:val="00E7240D"/>
    <w:rsid w:val="00E724FA"/>
    <w:rsid w:val="00E7265A"/>
    <w:rsid w:val="00E72717"/>
    <w:rsid w:val="00E72755"/>
    <w:rsid w:val="00E72919"/>
    <w:rsid w:val="00E72A9E"/>
    <w:rsid w:val="00E72B76"/>
    <w:rsid w:val="00E72C29"/>
    <w:rsid w:val="00E72C69"/>
    <w:rsid w:val="00E72DC2"/>
    <w:rsid w:val="00E72E4A"/>
    <w:rsid w:val="00E72E4D"/>
    <w:rsid w:val="00E72E86"/>
    <w:rsid w:val="00E72FEF"/>
    <w:rsid w:val="00E73088"/>
    <w:rsid w:val="00E730F6"/>
    <w:rsid w:val="00E733FF"/>
    <w:rsid w:val="00E735FD"/>
    <w:rsid w:val="00E73702"/>
    <w:rsid w:val="00E73897"/>
    <w:rsid w:val="00E738D1"/>
    <w:rsid w:val="00E73D4B"/>
    <w:rsid w:val="00E73E73"/>
    <w:rsid w:val="00E73E95"/>
    <w:rsid w:val="00E73F36"/>
    <w:rsid w:val="00E73FA7"/>
    <w:rsid w:val="00E74005"/>
    <w:rsid w:val="00E7407E"/>
    <w:rsid w:val="00E74596"/>
    <w:rsid w:val="00E746CF"/>
    <w:rsid w:val="00E74703"/>
    <w:rsid w:val="00E74708"/>
    <w:rsid w:val="00E748E9"/>
    <w:rsid w:val="00E7495D"/>
    <w:rsid w:val="00E7496D"/>
    <w:rsid w:val="00E749CF"/>
    <w:rsid w:val="00E74ACB"/>
    <w:rsid w:val="00E74D13"/>
    <w:rsid w:val="00E74D16"/>
    <w:rsid w:val="00E74DCB"/>
    <w:rsid w:val="00E74E5C"/>
    <w:rsid w:val="00E74EDD"/>
    <w:rsid w:val="00E74FAC"/>
    <w:rsid w:val="00E74FEE"/>
    <w:rsid w:val="00E750AF"/>
    <w:rsid w:val="00E75251"/>
    <w:rsid w:val="00E7549A"/>
    <w:rsid w:val="00E7554F"/>
    <w:rsid w:val="00E7563B"/>
    <w:rsid w:val="00E756C4"/>
    <w:rsid w:val="00E75803"/>
    <w:rsid w:val="00E7581D"/>
    <w:rsid w:val="00E758D1"/>
    <w:rsid w:val="00E758E4"/>
    <w:rsid w:val="00E7593A"/>
    <w:rsid w:val="00E7594E"/>
    <w:rsid w:val="00E75AA5"/>
    <w:rsid w:val="00E75B72"/>
    <w:rsid w:val="00E75D6C"/>
    <w:rsid w:val="00E75D6E"/>
    <w:rsid w:val="00E75E00"/>
    <w:rsid w:val="00E75F07"/>
    <w:rsid w:val="00E75F83"/>
    <w:rsid w:val="00E75F96"/>
    <w:rsid w:val="00E76104"/>
    <w:rsid w:val="00E761F5"/>
    <w:rsid w:val="00E76339"/>
    <w:rsid w:val="00E7639E"/>
    <w:rsid w:val="00E76410"/>
    <w:rsid w:val="00E76511"/>
    <w:rsid w:val="00E76599"/>
    <w:rsid w:val="00E7663A"/>
    <w:rsid w:val="00E7663D"/>
    <w:rsid w:val="00E76764"/>
    <w:rsid w:val="00E7679C"/>
    <w:rsid w:val="00E767D0"/>
    <w:rsid w:val="00E76882"/>
    <w:rsid w:val="00E76896"/>
    <w:rsid w:val="00E76994"/>
    <w:rsid w:val="00E769C9"/>
    <w:rsid w:val="00E769E1"/>
    <w:rsid w:val="00E76C7B"/>
    <w:rsid w:val="00E76D36"/>
    <w:rsid w:val="00E76FA7"/>
    <w:rsid w:val="00E7710F"/>
    <w:rsid w:val="00E773FD"/>
    <w:rsid w:val="00E774F0"/>
    <w:rsid w:val="00E775E5"/>
    <w:rsid w:val="00E77696"/>
    <w:rsid w:val="00E77731"/>
    <w:rsid w:val="00E77789"/>
    <w:rsid w:val="00E778DF"/>
    <w:rsid w:val="00E778FD"/>
    <w:rsid w:val="00E7791D"/>
    <w:rsid w:val="00E779A3"/>
    <w:rsid w:val="00E77A03"/>
    <w:rsid w:val="00E77A13"/>
    <w:rsid w:val="00E77BF4"/>
    <w:rsid w:val="00E77C94"/>
    <w:rsid w:val="00E77CC5"/>
    <w:rsid w:val="00E77D1A"/>
    <w:rsid w:val="00E8024E"/>
    <w:rsid w:val="00E80268"/>
    <w:rsid w:val="00E806CD"/>
    <w:rsid w:val="00E80712"/>
    <w:rsid w:val="00E80889"/>
    <w:rsid w:val="00E80913"/>
    <w:rsid w:val="00E80BF8"/>
    <w:rsid w:val="00E80D6D"/>
    <w:rsid w:val="00E80D77"/>
    <w:rsid w:val="00E80D9A"/>
    <w:rsid w:val="00E810D3"/>
    <w:rsid w:val="00E8117D"/>
    <w:rsid w:val="00E811A8"/>
    <w:rsid w:val="00E81266"/>
    <w:rsid w:val="00E81352"/>
    <w:rsid w:val="00E81457"/>
    <w:rsid w:val="00E815A9"/>
    <w:rsid w:val="00E815E4"/>
    <w:rsid w:val="00E8164E"/>
    <w:rsid w:val="00E81B2C"/>
    <w:rsid w:val="00E81CE4"/>
    <w:rsid w:val="00E81D11"/>
    <w:rsid w:val="00E81D2E"/>
    <w:rsid w:val="00E81D9B"/>
    <w:rsid w:val="00E821F8"/>
    <w:rsid w:val="00E82243"/>
    <w:rsid w:val="00E823B0"/>
    <w:rsid w:val="00E823D0"/>
    <w:rsid w:val="00E82466"/>
    <w:rsid w:val="00E824A2"/>
    <w:rsid w:val="00E825AB"/>
    <w:rsid w:val="00E826CC"/>
    <w:rsid w:val="00E8292D"/>
    <w:rsid w:val="00E82933"/>
    <w:rsid w:val="00E82AC3"/>
    <w:rsid w:val="00E82B91"/>
    <w:rsid w:val="00E82DBA"/>
    <w:rsid w:val="00E82EB7"/>
    <w:rsid w:val="00E82F32"/>
    <w:rsid w:val="00E82F96"/>
    <w:rsid w:val="00E82FEC"/>
    <w:rsid w:val="00E8303C"/>
    <w:rsid w:val="00E830BC"/>
    <w:rsid w:val="00E8314D"/>
    <w:rsid w:val="00E831CD"/>
    <w:rsid w:val="00E83784"/>
    <w:rsid w:val="00E83B03"/>
    <w:rsid w:val="00E83B57"/>
    <w:rsid w:val="00E83C5A"/>
    <w:rsid w:val="00E83CFF"/>
    <w:rsid w:val="00E83E1E"/>
    <w:rsid w:val="00E83F1B"/>
    <w:rsid w:val="00E84014"/>
    <w:rsid w:val="00E84169"/>
    <w:rsid w:val="00E841A2"/>
    <w:rsid w:val="00E841A8"/>
    <w:rsid w:val="00E842D1"/>
    <w:rsid w:val="00E8432A"/>
    <w:rsid w:val="00E84344"/>
    <w:rsid w:val="00E8472A"/>
    <w:rsid w:val="00E848EC"/>
    <w:rsid w:val="00E8497E"/>
    <w:rsid w:val="00E84AC1"/>
    <w:rsid w:val="00E84BDC"/>
    <w:rsid w:val="00E84CF2"/>
    <w:rsid w:val="00E84E93"/>
    <w:rsid w:val="00E84E94"/>
    <w:rsid w:val="00E84E9A"/>
    <w:rsid w:val="00E84F61"/>
    <w:rsid w:val="00E84FA0"/>
    <w:rsid w:val="00E84FD6"/>
    <w:rsid w:val="00E85146"/>
    <w:rsid w:val="00E8527D"/>
    <w:rsid w:val="00E85616"/>
    <w:rsid w:val="00E856E2"/>
    <w:rsid w:val="00E8572A"/>
    <w:rsid w:val="00E858E7"/>
    <w:rsid w:val="00E859A3"/>
    <w:rsid w:val="00E85B23"/>
    <w:rsid w:val="00E85B50"/>
    <w:rsid w:val="00E85CD4"/>
    <w:rsid w:val="00E85DB9"/>
    <w:rsid w:val="00E85EA1"/>
    <w:rsid w:val="00E85F63"/>
    <w:rsid w:val="00E86155"/>
    <w:rsid w:val="00E8619B"/>
    <w:rsid w:val="00E86252"/>
    <w:rsid w:val="00E86376"/>
    <w:rsid w:val="00E86484"/>
    <w:rsid w:val="00E86518"/>
    <w:rsid w:val="00E8681F"/>
    <w:rsid w:val="00E86C84"/>
    <w:rsid w:val="00E86D82"/>
    <w:rsid w:val="00E86DA3"/>
    <w:rsid w:val="00E86E3C"/>
    <w:rsid w:val="00E86FAA"/>
    <w:rsid w:val="00E870F5"/>
    <w:rsid w:val="00E87164"/>
    <w:rsid w:val="00E872B5"/>
    <w:rsid w:val="00E87322"/>
    <w:rsid w:val="00E87327"/>
    <w:rsid w:val="00E87334"/>
    <w:rsid w:val="00E87465"/>
    <w:rsid w:val="00E87517"/>
    <w:rsid w:val="00E875F1"/>
    <w:rsid w:val="00E876FB"/>
    <w:rsid w:val="00E878FA"/>
    <w:rsid w:val="00E87909"/>
    <w:rsid w:val="00E8798D"/>
    <w:rsid w:val="00E87A7F"/>
    <w:rsid w:val="00E87F3F"/>
    <w:rsid w:val="00E9007F"/>
    <w:rsid w:val="00E90388"/>
    <w:rsid w:val="00E903CD"/>
    <w:rsid w:val="00E905FD"/>
    <w:rsid w:val="00E9067E"/>
    <w:rsid w:val="00E90695"/>
    <w:rsid w:val="00E9070E"/>
    <w:rsid w:val="00E90878"/>
    <w:rsid w:val="00E9096A"/>
    <w:rsid w:val="00E90C5F"/>
    <w:rsid w:val="00E90C7C"/>
    <w:rsid w:val="00E90CAD"/>
    <w:rsid w:val="00E90CD7"/>
    <w:rsid w:val="00E90D13"/>
    <w:rsid w:val="00E90EE3"/>
    <w:rsid w:val="00E90F82"/>
    <w:rsid w:val="00E90FEA"/>
    <w:rsid w:val="00E91273"/>
    <w:rsid w:val="00E91309"/>
    <w:rsid w:val="00E91310"/>
    <w:rsid w:val="00E91323"/>
    <w:rsid w:val="00E91345"/>
    <w:rsid w:val="00E915BF"/>
    <w:rsid w:val="00E91790"/>
    <w:rsid w:val="00E91875"/>
    <w:rsid w:val="00E91AAD"/>
    <w:rsid w:val="00E91C2E"/>
    <w:rsid w:val="00E91CF1"/>
    <w:rsid w:val="00E921F8"/>
    <w:rsid w:val="00E921FA"/>
    <w:rsid w:val="00E9221E"/>
    <w:rsid w:val="00E922DB"/>
    <w:rsid w:val="00E92667"/>
    <w:rsid w:val="00E9267F"/>
    <w:rsid w:val="00E92852"/>
    <w:rsid w:val="00E928B1"/>
    <w:rsid w:val="00E92980"/>
    <w:rsid w:val="00E929D8"/>
    <w:rsid w:val="00E92A6F"/>
    <w:rsid w:val="00E92AD6"/>
    <w:rsid w:val="00E92B72"/>
    <w:rsid w:val="00E92C4F"/>
    <w:rsid w:val="00E92C57"/>
    <w:rsid w:val="00E92DB2"/>
    <w:rsid w:val="00E92DB7"/>
    <w:rsid w:val="00E92DE5"/>
    <w:rsid w:val="00E92FEA"/>
    <w:rsid w:val="00E930BA"/>
    <w:rsid w:val="00E93103"/>
    <w:rsid w:val="00E9316B"/>
    <w:rsid w:val="00E932EA"/>
    <w:rsid w:val="00E93542"/>
    <w:rsid w:val="00E93767"/>
    <w:rsid w:val="00E93861"/>
    <w:rsid w:val="00E93880"/>
    <w:rsid w:val="00E93902"/>
    <w:rsid w:val="00E939BD"/>
    <w:rsid w:val="00E93A32"/>
    <w:rsid w:val="00E93AEA"/>
    <w:rsid w:val="00E93CDF"/>
    <w:rsid w:val="00E93F46"/>
    <w:rsid w:val="00E93F55"/>
    <w:rsid w:val="00E94109"/>
    <w:rsid w:val="00E941E2"/>
    <w:rsid w:val="00E94327"/>
    <w:rsid w:val="00E943E2"/>
    <w:rsid w:val="00E94495"/>
    <w:rsid w:val="00E945AA"/>
    <w:rsid w:val="00E9461A"/>
    <w:rsid w:val="00E947B5"/>
    <w:rsid w:val="00E94A25"/>
    <w:rsid w:val="00E94A2E"/>
    <w:rsid w:val="00E94B2D"/>
    <w:rsid w:val="00E94B92"/>
    <w:rsid w:val="00E94BE7"/>
    <w:rsid w:val="00E94E24"/>
    <w:rsid w:val="00E94E59"/>
    <w:rsid w:val="00E9500D"/>
    <w:rsid w:val="00E95230"/>
    <w:rsid w:val="00E95581"/>
    <w:rsid w:val="00E956B0"/>
    <w:rsid w:val="00E95803"/>
    <w:rsid w:val="00E95916"/>
    <w:rsid w:val="00E959DA"/>
    <w:rsid w:val="00E95A79"/>
    <w:rsid w:val="00E95B71"/>
    <w:rsid w:val="00E95B82"/>
    <w:rsid w:val="00E95BBA"/>
    <w:rsid w:val="00E95CA4"/>
    <w:rsid w:val="00E95DE5"/>
    <w:rsid w:val="00E95E38"/>
    <w:rsid w:val="00E95F87"/>
    <w:rsid w:val="00E9611C"/>
    <w:rsid w:val="00E961AB"/>
    <w:rsid w:val="00E962CD"/>
    <w:rsid w:val="00E96631"/>
    <w:rsid w:val="00E9663C"/>
    <w:rsid w:val="00E96648"/>
    <w:rsid w:val="00E9670E"/>
    <w:rsid w:val="00E9694F"/>
    <w:rsid w:val="00E96C3F"/>
    <w:rsid w:val="00E96DD5"/>
    <w:rsid w:val="00E96DFB"/>
    <w:rsid w:val="00E96E11"/>
    <w:rsid w:val="00E96E35"/>
    <w:rsid w:val="00E96EC2"/>
    <w:rsid w:val="00E96FB4"/>
    <w:rsid w:val="00E9715E"/>
    <w:rsid w:val="00E972C0"/>
    <w:rsid w:val="00E973DB"/>
    <w:rsid w:val="00E97673"/>
    <w:rsid w:val="00E97767"/>
    <w:rsid w:val="00E9778F"/>
    <w:rsid w:val="00E97A4C"/>
    <w:rsid w:val="00E97BB5"/>
    <w:rsid w:val="00E97BCF"/>
    <w:rsid w:val="00E97C5B"/>
    <w:rsid w:val="00E97CBE"/>
    <w:rsid w:val="00E97FD2"/>
    <w:rsid w:val="00E97FDF"/>
    <w:rsid w:val="00EA0078"/>
    <w:rsid w:val="00EA01D4"/>
    <w:rsid w:val="00EA030C"/>
    <w:rsid w:val="00EA0397"/>
    <w:rsid w:val="00EA050B"/>
    <w:rsid w:val="00EA0987"/>
    <w:rsid w:val="00EA09D8"/>
    <w:rsid w:val="00EA09E3"/>
    <w:rsid w:val="00EA0A1A"/>
    <w:rsid w:val="00EA0AFC"/>
    <w:rsid w:val="00EA0EAF"/>
    <w:rsid w:val="00EA0F90"/>
    <w:rsid w:val="00EA1176"/>
    <w:rsid w:val="00EA11F6"/>
    <w:rsid w:val="00EA12CC"/>
    <w:rsid w:val="00EA13EA"/>
    <w:rsid w:val="00EA1447"/>
    <w:rsid w:val="00EA1594"/>
    <w:rsid w:val="00EA15C0"/>
    <w:rsid w:val="00EA16FC"/>
    <w:rsid w:val="00EA184E"/>
    <w:rsid w:val="00EA1952"/>
    <w:rsid w:val="00EA195C"/>
    <w:rsid w:val="00EA1A64"/>
    <w:rsid w:val="00EA1A82"/>
    <w:rsid w:val="00EA1B67"/>
    <w:rsid w:val="00EA1BAF"/>
    <w:rsid w:val="00EA1CC9"/>
    <w:rsid w:val="00EA1D12"/>
    <w:rsid w:val="00EA1F62"/>
    <w:rsid w:val="00EA210A"/>
    <w:rsid w:val="00EA2131"/>
    <w:rsid w:val="00EA2161"/>
    <w:rsid w:val="00EA2436"/>
    <w:rsid w:val="00EA2464"/>
    <w:rsid w:val="00EA251E"/>
    <w:rsid w:val="00EA2541"/>
    <w:rsid w:val="00EA2775"/>
    <w:rsid w:val="00EA29AA"/>
    <w:rsid w:val="00EA2C60"/>
    <w:rsid w:val="00EA2D0B"/>
    <w:rsid w:val="00EA306D"/>
    <w:rsid w:val="00EA3237"/>
    <w:rsid w:val="00EA32ED"/>
    <w:rsid w:val="00EA3508"/>
    <w:rsid w:val="00EA353E"/>
    <w:rsid w:val="00EA35EC"/>
    <w:rsid w:val="00EA3777"/>
    <w:rsid w:val="00EA37C6"/>
    <w:rsid w:val="00EA3A9A"/>
    <w:rsid w:val="00EA3AD8"/>
    <w:rsid w:val="00EA3D6C"/>
    <w:rsid w:val="00EA41EA"/>
    <w:rsid w:val="00EA4229"/>
    <w:rsid w:val="00EA432D"/>
    <w:rsid w:val="00EA457B"/>
    <w:rsid w:val="00EA45D7"/>
    <w:rsid w:val="00EA491E"/>
    <w:rsid w:val="00EA4A88"/>
    <w:rsid w:val="00EA4C16"/>
    <w:rsid w:val="00EA4EFA"/>
    <w:rsid w:val="00EA508C"/>
    <w:rsid w:val="00EA50D3"/>
    <w:rsid w:val="00EA542E"/>
    <w:rsid w:val="00EA54D7"/>
    <w:rsid w:val="00EA55C3"/>
    <w:rsid w:val="00EA58AB"/>
    <w:rsid w:val="00EA5B3F"/>
    <w:rsid w:val="00EA5BB2"/>
    <w:rsid w:val="00EA5C7F"/>
    <w:rsid w:val="00EA5CD7"/>
    <w:rsid w:val="00EA5D5C"/>
    <w:rsid w:val="00EA5DFA"/>
    <w:rsid w:val="00EA5F49"/>
    <w:rsid w:val="00EA60FB"/>
    <w:rsid w:val="00EA62D9"/>
    <w:rsid w:val="00EA6358"/>
    <w:rsid w:val="00EA63AB"/>
    <w:rsid w:val="00EA6498"/>
    <w:rsid w:val="00EA66CA"/>
    <w:rsid w:val="00EA6723"/>
    <w:rsid w:val="00EA67C4"/>
    <w:rsid w:val="00EA680B"/>
    <w:rsid w:val="00EA6BB7"/>
    <w:rsid w:val="00EA6C07"/>
    <w:rsid w:val="00EA6F2F"/>
    <w:rsid w:val="00EA703A"/>
    <w:rsid w:val="00EA7101"/>
    <w:rsid w:val="00EA7C16"/>
    <w:rsid w:val="00EA7CB9"/>
    <w:rsid w:val="00EA7CBD"/>
    <w:rsid w:val="00EB008A"/>
    <w:rsid w:val="00EB0222"/>
    <w:rsid w:val="00EB0243"/>
    <w:rsid w:val="00EB02F6"/>
    <w:rsid w:val="00EB071C"/>
    <w:rsid w:val="00EB0892"/>
    <w:rsid w:val="00EB0944"/>
    <w:rsid w:val="00EB0AE8"/>
    <w:rsid w:val="00EB0B68"/>
    <w:rsid w:val="00EB0BE3"/>
    <w:rsid w:val="00EB0C7F"/>
    <w:rsid w:val="00EB0D41"/>
    <w:rsid w:val="00EB0DD9"/>
    <w:rsid w:val="00EB0E36"/>
    <w:rsid w:val="00EB1002"/>
    <w:rsid w:val="00EB13BB"/>
    <w:rsid w:val="00EB1482"/>
    <w:rsid w:val="00EB1692"/>
    <w:rsid w:val="00EB1893"/>
    <w:rsid w:val="00EB1B33"/>
    <w:rsid w:val="00EB1CEE"/>
    <w:rsid w:val="00EB1EA7"/>
    <w:rsid w:val="00EB2001"/>
    <w:rsid w:val="00EB2066"/>
    <w:rsid w:val="00EB207D"/>
    <w:rsid w:val="00EB21B8"/>
    <w:rsid w:val="00EB21CD"/>
    <w:rsid w:val="00EB2338"/>
    <w:rsid w:val="00EB23CC"/>
    <w:rsid w:val="00EB269B"/>
    <w:rsid w:val="00EB2713"/>
    <w:rsid w:val="00EB280D"/>
    <w:rsid w:val="00EB293F"/>
    <w:rsid w:val="00EB2AA8"/>
    <w:rsid w:val="00EB2ADF"/>
    <w:rsid w:val="00EB2B19"/>
    <w:rsid w:val="00EB2C29"/>
    <w:rsid w:val="00EB2CF6"/>
    <w:rsid w:val="00EB2E74"/>
    <w:rsid w:val="00EB2F87"/>
    <w:rsid w:val="00EB3138"/>
    <w:rsid w:val="00EB3243"/>
    <w:rsid w:val="00EB39AB"/>
    <w:rsid w:val="00EB3B36"/>
    <w:rsid w:val="00EB3B37"/>
    <w:rsid w:val="00EB3B84"/>
    <w:rsid w:val="00EB3BD8"/>
    <w:rsid w:val="00EB3C5F"/>
    <w:rsid w:val="00EB3E47"/>
    <w:rsid w:val="00EB3F89"/>
    <w:rsid w:val="00EB40BB"/>
    <w:rsid w:val="00EB418E"/>
    <w:rsid w:val="00EB425F"/>
    <w:rsid w:val="00EB44E1"/>
    <w:rsid w:val="00EB45A3"/>
    <w:rsid w:val="00EB46E8"/>
    <w:rsid w:val="00EB478F"/>
    <w:rsid w:val="00EB47EF"/>
    <w:rsid w:val="00EB48A3"/>
    <w:rsid w:val="00EB48E6"/>
    <w:rsid w:val="00EB4906"/>
    <w:rsid w:val="00EB4978"/>
    <w:rsid w:val="00EB498A"/>
    <w:rsid w:val="00EB4D89"/>
    <w:rsid w:val="00EB4E0B"/>
    <w:rsid w:val="00EB4E29"/>
    <w:rsid w:val="00EB4E6F"/>
    <w:rsid w:val="00EB4F56"/>
    <w:rsid w:val="00EB5020"/>
    <w:rsid w:val="00EB5123"/>
    <w:rsid w:val="00EB51CF"/>
    <w:rsid w:val="00EB5235"/>
    <w:rsid w:val="00EB53C7"/>
    <w:rsid w:val="00EB555E"/>
    <w:rsid w:val="00EB55BB"/>
    <w:rsid w:val="00EB568E"/>
    <w:rsid w:val="00EB57C0"/>
    <w:rsid w:val="00EB58C9"/>
    <w:rsid w:val="00EB599B"/>
    <w:rsid w:val="00EB5AFE"/>
    <w:rsid w:val="00EB5CF2"/>
    <w:rsid w:val="00EB5FA3"/>
    <w:rsid w:val="00EB6065"/>
    <w:rsid w:val="00EB60B1"/>
    <w:rsid w:val="00EB60FC"/>
    <w:rsid w:val="00EB629B"/>
    <w:rsid w:val="00EB633F"/>
    <w:rsid w:val="00EB6383"/>
    <w:rsid w:val="00EB63BF"/>
    <w:rsid w:val="00EB64DA"/>
    <w:rsid w:val="00EB64EF"/>
    <w:rsid w:val="00EB66AC"/>
    <w:rsid w:val="00EB68D9"/>
    <w:rsid w:val="00EB6A8C"/>
    <w:rsid w:val="00EB6B92"/>
    <w:rsid w:val="00EB6D7A"/>
    <w:rsid w:val="00EB6EC9"/>
    <w:rsid w:val="00EB6F16"/>
    <w:rsid w:val="00EB6F23"/>
    <w:rsid w:val="00EB7237"/>
    <w:rsid w:val="00EB7464"/>
    <w:rsid w:val="00EB7495"/>
    <w:rsid w:val="00EB74C8"/>
    <w:rsid w:val="00EB75F1"/>
    <w:rsid w:val="00EB7606"/>
    <w:rsid w:val="00EB778C"/>
    <w:rsid w:val="00EB7A79"/>
    <w:rsid w:val="00EB7B71"/>
    <w:rsid w:val="00EB7E85"/>
    <w:rsid w:val="00EB7F1A"/>
    <w:rsid w:val="00EC0008"/>
    <w:rsid w:val="00EC034E"/>
    <w:rsid w:val="00EC043E"/>
    <w:rsid w:val="00EC07CA"/>
    <w:rsid w:val="00EC08E7"/>
    <w:rsid w:val="00EC098C"/>
    <w:rsid w:val="00EC0CCA"/>
    <w:rsid w:val="00EC0CDA"/>
    <w:rsid w:val="00EC0E3B"/>
    <w:rsid w:val="00EC0E6E"/>
    <w:rsid w:val="00EC0EC7"/>
    <w:rsid w:val="00EC0F7A"/>
    <w:rsid w:val="00EC0F8E"/>
    <w:rsid w:val="00EC104F"/>
    <w:rsid w:val="00EC10EB"/>
    <w:rsid w:val="00EC10F4"/>
    <w:rsid w:val="00EC12B8"/>
    <w:rsid w:val="00EC136D"/>
    <w:rsid w:val="00EC13A7"/>
    <w:rsid w:val="00EC13D3"/>
    <w:rsid w:val="00EC163B"/>
    <w:rsid w:val="00EC16C7"/>
    <w:rsid w:val="00EC18A2"/>
    <w:rsid w:val="00EC1944"/>
    <w:rsid w:val="00EC1945"/>
    <w:rsid w:val="00EC1A03"/>
    <w:rsid w:val="00EC1A66"/>
    <w:rsid w:val="00EC1A8A"/>
    <w:rsid w:val="00EC1EC5"/>
    <w:rsid w:val="00EC2021"/>
    <w:rsid w:val="00EC22CB"/>
    <w:rsid w:val="00EC22DD"/>
    <w:rsid w:val="00EC2579"/>
    <w:rsid w:val="00EC2589"/>
    <w:rsid w:val="00EC297E"/>
    <w:rsid w:val="00EC2A33"/>
    <w:rsid w:val="00EC2B9D"/>
    <w:rsid w:val="00EC2CB8"/>
    <w:rsid w:val="00EC30CB"/>
    <w:rsid w:val="00EC30EE"/>
    <w:rsid w:val="00EC3182"/>
    <w:rsid w:val="00EC325A"/>
    <w:rsid w:val="00EC331F"/>
    <w:rsid w:val="00EC360B"/>
    <w:rsid w:val="00EC36B6"/>
    <w:rsid w:val="00EC3931"/>
    <w:rsid w:val="00EC3959"/>
    <w:rsid w:val="00EC398E"/>
    <w:rsid w:val="00EC3B43"/>
    <w:rsid w:val="00EC3D85"/>
    <w:rsid w:val="00EC3DEA"/>
    <w:rsid w:val="00EC3DF8"/>
    <w:rsid w:val="00EC3E67"/>
    <w:rsid w:val="00EC3EEE"/>
    <w:rsid w:val="00EC3F04"/>
    <w:rsid w:val="00EC40B5"/>
    <w:rsid w:val="00EC423C"/>
    <w:rsid w:val="00EC4304"/>
    <w:rsid w:val="00EC4409"/>
    <w:rsid w:val="00EC458D"/>
    <w:rsid w:val="00EC459C"/>
    <w:rsid w:val="00EC4693"/>
    <w:rsid w:val="00EC479B"/>
    <w:rsid w:val="00EC4B5C"/>
    <w:rsid w:val="00EC4DB1"/>
    <w:rsid w:val="00EC4F40"/>
    <w:rsid w:val="00EC4F5D"/>
    <w:rsid w:val="00EC4FF8"/>
    <w:rsid w:val="00EC509F"/>
    <w:rsid w:val="00EC510B"/>
    <w:rsid w:val="00EC51C8"/>
    <w:rsid w:val="00EC5223"/>
    <w:rsid w:val="00EC5284"/>
    <w:rsid w:val="00EC52B7"/>
    <w:rsid w:val="00EC5687"/>
    <w:rsid w:val="00EC5809"/>
    <w:rsid w:val="00EC58CC"/>
    <w:rsid w:val="00EC591F"/>
    <w:rsid w:val="00EC5989"/>
    <w:rsid w:val="00EC59C2"/>
    <w:rsid w:val="00EC5A79"/>
    <w:rsid w:val="00EC5A89"/>
    <w:rsid w:val="00EC5B86"/>
    <w:rsid w:val="00EC5BF1"/>
    <w:rsid w:val="00EC5C19"/>
    <w:rsid w:val="00EC5C9F"/>
    <w:rsid w:val="00EC5D99"/>
    <w:rsid w:val="00EC5F0C"/>
    <w:rsid w:val="00EC5F52"/>
    <w:rsid w:val="00EC5F67"/>
    <w:rsid w:val="00EC60B1"/>
    <w:rsid w:val="00EC628B"/>
    <w:rsid w:val="00EC6292"/>
    <w:rsid w:val="00EC6495"/>
    <w:rsid w:val="00EC6619"/>
    <w:rsid w:val="00EC677E"/>
    <w:rsid w:val="00EC67AF"/>
    <w:rsid w:val="00EC67B6"/>
    <w:rsid w:val="00EC6828"/>
    <w:rsid w:val="00EC68E8"/>
    <w:rsid w:val="00EC6C95"/>
    <w:rsid w:val="00EC6CDF"/>
    <w:rsid w:val="00EC6D98"/>
    <w:rsid w:val="00EC6ECE"/>
    <w:rsid w:val="00EC705F"/>
    <w:rsid w:val="00EC70F4"/>
    <w:rsid w:val="00EC7192"/>
    <w:rsid w:val="00EC723E"/>
    <w:rsid w:val="00EC758B"/>
    <w:rsid w:val="00EC75A2"/>
    <w:rsid w:val="00EC75B8"/>
    <w:rsid w:val="00EC75CC"/>
    <w:rsid w:val="00EC7680"/>
    <w:rsid w:val="00EC7717"/>
    <w:rsid w:val="00EC7951"/>
    <w:rsid w:val="00EC797B"/>
    <w:rsid w:val="00EC7982"/>
    <w:rsid w:val="00EC79DF"/>
    <w:rsid w:val="00EC7EE1"/>
    <w:rsid w:val="00EC7F12"/>
    <w:rsid w:val="00ED020E"/>
    <w:rsid w:val="00ED03AA"/>
    <w:rsid w:val="00ED03D1"/>
    <w:rsid w:val="00ED08CB"/>
    <w:rsid w:val="00ED0E1F"/>
    <w:rsid w:val="00ED0E6E"/>
    <w:rsid w:val="00ED0F27"/>
    <w:rsid w:val="00ED10D6"/>
    <w:rsid w:val="00ED12D9"/>
    <w:rsid w:val="00ED1301"/>
    <w:rsid w:val="00ED139B"/>
    <w:rsid w:val="00ED13D0"/>
    <w:rsid w:val="00ED13D6"/>
    <w:rsid w:val="00ED1484"/>
    <w:rsid w:val="00ED15CB"/>
    <w:rsid w:val="00ED16F2"/>
    <w:rsid w:val="00ED177B"/>
    <w:rsid w:val="00ED18BD"/>
    <w:rsid w:val="00ED18F3"/>
    <w:rsid w:val="00ED193D"/>
    <w:rsid w:val="00ED19A7"/>
    <w:rsid w:val="00ED1BF4"/>
    <w:rsid w:val="00ED1E46"/>
    <w:rsid w:val="00ED1FD0"/>
    <w:rsid w:val="00ED2012"/>
    <w:rsid w:val="00ED203C"/>
    <w:rsid w:val="00ED20E6"/>
    <w:rsid w:val="00ED245E"/>
    <w:rsid w:val="00ED250B"/>
    <w:rsid w:val="00ED29AA"/>
    <w:rsid w:val="00ED2A6B"/>
    <w:rsid w:val="00ED2B80"/>
    <w:rsid w:val="00ED2DD5"/>
    <w:rsid w:val="00ED2E1C"/>
    <w:rsid w:val="00ED2E3A"/>
    <w:rsid w:val="00ED2E47"/>
    <w:rsid w:val="00ED2E9E"/>
    <w:rsid w:val="00ED2EC5"/>
    <w:rsid w:val="00ED2EEA"/>
    <w:rsid w:val="00ED2F9B"/>
    <w:rsid w:val="00ED3080"/>
    <w:rsid w:val="00ED30F0"/>
    <w:rsid w:val="00ED31EC"/>
    <w:rsid w:val="00ED3337"/>
    <w:rsid w:val="00ED338B"/>
    <w:rsid w:val="00ED34E2"/>
    <w:rsid w:val="00ED3580"/>
    <w:rsid w:val="00ED35DD"/>
    <w:rsid w:val="00ED3733"/>
    <w:rsid w:val="00ED38C5"/>
    <w:rsid w:val="00ED3A36"/>
    <w:rsid w:val="00ED3AAC"/>
    <w:rsid w:val="00ED3AB5"/>
    <w:rsid w:val="00ED401D"/>
    <w:rsid w:val="00ED420F"/>
    <w:rsid w:val="00ED43A3"/>
    <w:rsid w:val="00ED451A"/>
    <w:rsid w:val="00ED471E"/>
    <w:rsid w:val="00ED4A68"/>
    <w:rsid w:val="00ED4BBE"/>
    <w:rsid w:val="00ED4C7C"/>
    <w:rsid w:val="00ED4D42"/>
    <w:rsid w:val="00ED4DC4"/>
    <w:rsid w:val="00ED50C7"/>
    <w:rsid w:val="00ED5158"/>
    <w:rsid w:val="00ED5223"/>
    <w:rsid w:val="00ED52EB"/>
    <w:rsid w:val="00ED54E4"/>
    <w:rsid w:val="00ED5667"/>
    <w:rsid w:val="00ED569B"/>
    <w:rsid w:val="00ED57E9"/>
    <w:rsid w:val="00ED585C"/>
    <w:rsid w:val="00ED58BA"/>
    <w:rsid w:val="00ED5953"/>
    <w:rsid w:val="00ED5B75"/>
    <w:rsid w:val="00ED5B82"/>
    <w:rsid w:val="00ED5BED"/>
    <w:rsid w:val="00ED5CA2"/>
    <w:rsid w:val="00ED5E1B"/>
    <w:rsid w:val="00ED5FCB"/>
    <w:rsid w:val="00ED60F6"/>
    <w:rsid w:val="00ED62C9"/>
    <w:rsid w:val="00ED661E"/>
    <w:rsid w:val="00ED6A47"/>
    <w:rsid w:val="00ED6B9C"/>
    <w:rsid w:val="00ED6E4D"/>
    <w:rsid w:val="00ED6F17"/>
    <w:rsid w:val="00ED7004"/>
    <w:rsid w:val="00ED7294"/>
    <w:rsid w:val="00ED7445"/>
    <w:rsid w:val="00ED749A"/>
    <w:rsid w:val="00ED7537"/>
    <w:rsid w:val="00ED759B"/>
    <w:rsid w:val="00ED7708"/>
    <w:rsid w:val="00ED77B7"/>
    <w:rsid w:val="00ED799D"/>
    <w:rsid w:val="00ED7A27"/>
    <w:rsid w:val="00ED7B19"/>
    <w:rsid w:val="00ED7FCE"/>
    <w:rsid w:val="00ED7FFB"/>
    <w:rsid w:val="00EE03DC"/>
    <w:rsid w:val="00EE0428"/>
    <w:rsid w:val="00EE0429"/>
    <w:rsid w:val="00EE0464"/>
    <w:rsid w:val="00EE055A"/>
    <w:rsid w:val="00EE0664"/>
    <w:rsid w:val="00EE066B"/>
    <w:rsid w:val="00EE0919"/>
    <w:rsid w:val="00EE0A4D"/>
    <w:rsid w:val="00EE0B7C"/>
    <w:rsid w:val="00EE0BDC"/>
    <w:rsid w:val="00EE0C84"/>
    <w:rsid w:val="00EE0D58"/>
    <w:rsid w:val="00EE1080"/>
    <w:rsid w:val="00EE1177"/>
    <w:rsid w:val="00EE12E2"/>
    <w:rsid w:val="00EE1307"/>
    <w:rsid w:val="00EE130D"/>
    <w:rsid w:val="00EE1356"/>
    <w:rsid w:val="00EE1450"/>
    <w:rsid w:val="00EE145F"/>
    <w:rsid w:val="00EE151D"/>
    <w:rsid w:val="00EE16D1"/>
    <w:rsid w:val="00EE1766"/>
    <w:rsid w:val="00EE186E"/>
    <w:rsid w:val="00EE18E0"/>
    <w:rsid w:val="00EE1A04"/>
    <w:rsid w:val="00EE1A15"/>
    <w:rsid w:val="00EE1C2B"/>
    <w:rsid w:val="00EE1C2F"/>
    <w:rsid w:val="00EE1C74"/>
    <w:rsid w:val="00EE1C97"/>
    <w:rsid w:val="00EE1D27"/>
    <w:rsid w:val="00EE1FEF"/>
    <w:rsid w:val="00EE2159"/>
    <w:rsid w:val="00EE21B0"/>
    <w:rsid w:val="00EE22F6"/>
    <w:rsid w:val="00EE2421"/>
    <w:rsid w:val="00EE2515"/>
    <w:rsid w:val="00EE27A2"/>
    <w:rsid w:val="00EE281B"/>
    <w:rsid w:val="00EE2931"/>
    <w:rsid w:val="00EE2984"/>
    <w:rsid w:val="00EE2CE8"/>
    <w:rsid w:val="00EE2DFC"/>
    <w:rsid w:val="00EE2E94"/>
    <w:rsid w:val="00EE2FCF"/>
    <w:rsid w:val="00EE30BB"/>
    <w:rsid w:val="00EE32EE"/>
    <w:rsid w:val="00EE389F"/>
    <w:rsid w:val="00EE39A7"/>
    <w:rsid w:val="00EE3A0D"/>
    <w:rsid w:val="00EE3A2E"/>
    <w:rsid w:val="00EE3B75"/>
    <w:rsid w:val="00EE3CEB"/>
    <w:rsid w:val="00EE3D17"/>
    <w:rsid w:val="00EE3EA1"/>
    <w:rsid w:val="00EE4114"/>
    <w:rsid w:val="00EE415C"/>
    <w:rsid w:val="00EE4230"/>
    <w:rsid w:val="00EE4359"/>
    <w:rsid w:val="00EE44AC"/>
    <w:rsid w:val="00EE4559"/>
    <w:rsid w:val="00EE4730"/>
    <w:rsid w:val="00EE4853"/>
    <w:rsid w:val="00EE4CC3"/>
    <w:rsid w:val="00EE4CE4"/>
    <w:rsid w:val="00EE4E61"/>
    <w:rsid w:val="00EE4E6A"/>
    <w:rsid w:val="00EE4FF8"/>
    <w:rsid w:val="00EE5145"/>
    <w:rsid w:val="00EE5153"/>
    <w:rsid w:val="00EE53C9"/>
    <w:rsid w:val="00EE5512"/>
    <w:rsid w:val="00EE552F"/>
    <w:rsid w:val="00EE55A2"/>
    <w:rsid w:val="00EE5693"/>
    <w:rsid w:val="00EE56FC"/>
    <w:rsid w:val="00EE5774"/>
    <w:rsid w:val="00EE5B69"/>
    <w:rsid w:val="00EE5C58"/>
    <w:rsid w:val="00EE5ECB"/>
    <w:rsid w:val="00EE6032"/>
    <w:rsid w:val="00EE6094"/>
    <w:rsid w:val="00EE6238"/>
    <w:rsid w:val="00EE6325"/>
    <w:rsid w:val="00EE64C2"/>
    <w:rsid w:val="00EE6555"/>
    <w:rsid w:val="00EE65B1"/>
    <w:rsid w:val="00EE673B"/>
    <w:rsid w:val="00EE6849"/>
    <w:rsid w:val="00EE684B"/>
    <w:rsid w:val="00EE685B"/>
    <w:rsid w:val="00EE69DB"/>
    <w:rsid w:val="00EE6A22"/>
    <w:rsid w:val="00EE6B6F"/>
    <w:rsid w:val="00EE6BED"/>
    <w:rsid w:val="00EE6E2F"/>
    <w:rsid w:val="00EE6F36"/>
    <w:rsid w:val="00EE7047"/>
    <w:rsid w:val="00EE70B7"/>
    <w:rsid w:val="00EE7116"/>
    <w:rsid w:val="00EE71B0"/>
    <w:rsid w:val="00EE74E7"/>
    <w:rsid w:val="00EE757F"/>
    <w:rsid w:val="00EE760A"/>
    <w:rsid w:val="00EE7647"/>
    <w:rsid w:val="00EE768A"/>
    <w:rsid w:val="00EE76A0"/>
    <w:rsid w:val="00EE76C3"/>
    <w:rsid w:val="00EE7A81"/>
    <w:rsid w:val="00EE7B1A"/>
    <w:rsid w:val="00EE7B46"/>
    <w:rsid w:val="00EF0012"/>
    <w:rsid w:val="00EF02C9"/>
    <w:rsid w:val="00EF02DF"/>
    <w:rsid w:val="00EF0524"/>
    <w:rsid w:val="00EF0590"/>
    <w:rsid w:val="00EF064D"/>
    <w:rsid w:val="00EF07CF"/>
    <w:rsid w:val="00EF0817"/>
    <w:rsid w:val="00EF0986"/>
    <w:rsid w:val="00EF0A63"/>
    <w:rsid w:val="00EF0B2C"/>
    <w:rsid w:val="00EF0C2E"/>
    <w:rsid w:val="00EF0DC5"/>
    <w:rsid w:val="00EF0E3A"/>
    <w:rsid w:val="00EF0F46"/>
    <w:rsid w:val="00EF13B3"/>
    <w:rsid w:val="00EF1406"/>
    <w:rsid w:val="00EF1410"/>
    <w:rsid w:val="00EF162B"/>
    <w:rsid w:val="00EF165B"/>
    <w:rsid w:val="00EF16D2"/>
    <w:rsid w:val="00EF17B8"/>
    <w:rsid w:val="00EF1873"/>
    <w:rsid w:val="00EF1A05"/>
    <w:rsid w:val="00EF1A60"/>
    <w:rsid w:val="00EF1AB9"/>
    <w:rsid w:val="00EF1BB4"/>
    <w:rsid w:val="00EF20D1"/>
    <w:rsid w:val="00EF212B"/>
    <w:rsid w:val="00EF2256"/>
    <w:rsid w:val="00EF2A0B"/>
    <w:rsid w:val="00EF2D20"/>
    <w:rsid w:val="00EF2D57"/>
    <w:rsid w:val="00EF303B"/>
    <w:rsid w:val="00EF304B"/>
    <w:rsid w:val="00EF304E"/>
    <w:rsid w:val="00EF30A8"/>
    <w:rsid w:val="00EF3321"/>
    <w:rsid w:val="00EF36DF"/>
    <w:rsid w:val="00EF373D"/>
    <w:rsid w:val="00EF385C"/>
    <w:rsid w:val="00EF3889"/>
    <w:rsid w:val="00EF39F0"/>
    <w:rsid w:val="00EF3A94"/>
    <w:rsid w:val="00EF3D90"/>
    <w:rsid w:val="00EF3DBD"/>
    <w:rsid w:val="00EF3F30"/>
    <w:rsid w:val="00EF3F3D"/>
    <w:rsid w:val="00EF406C"/>
    <w:rsid w:val="00EF4091"/>
    <w:rsid w:val="00EF421D"/>
    <w:rsid w:val="00EF435B"/>
    <w:rsid w:val="00EF4368"/>
    <w:rsid w:val="00EF4427"/>
    <w:rsid w:val="00EF463C"/>
    <w:rsid w:val="00EF46A4"/>
    <w:rsid w:val="00EF46DA"/>
    <w:rsid w:val="00EF47C4"/>
    <w:rsid w:val="00EF489A"/>
    <w:rsid w:val="00EF489E"/>
    <w:rsid w:val="00EF49BF"/>
    <w:rsid w:val="00EF4AB4"/>
    <w:rsid w:val="00EF4BDB"/>
    <w:rsid w:val="00EF5239"/>
    <w:rsid w:val="00EF58B9"/>
    <w:rsid w:val="00EF5BD8"/>
    <w:rsid w:val="00EF5C84"/>
    <w:rsid w:val="00EF5D8B"/>
    <w:rsid w:val="00EF5F4D"/>
    <w:rsid w:val="00EF61EB"/>
    <w:rsid w:val="00EF63BE"/>
    <w:rsid w:val="00EF63F4"/>
    <w:rsid w:val="00EF6403"/>
    <w:rsid w:val="00EF64FA"/>
    <w:rsid w:val="00EF652E"/>
    <w:rsid w:val="00EF67AC"/>
    <w:rsid w:val="00EF6867"/>
    <w:rsid w:val="00EF6C78"/>
    <w:rsid w:val="00EF6E4E"/>
    <w:rsid w:val="00EF6E50"/>
    <w:rsid w:val="00EF6EC2"/>
    <w:rsid w:val="00EF6FBA"/>
    <w:rsid w:val="00EF7067"/>
    <w:rsid w:val="00EF70B9"/>
    <w:rsid w:val="00EF71E1"/>
    <w:rsid w:val="00EF7274"/>
    <w:rsid w:val="00EF72C1"/>
    <w:rsid w:val="00EF72E9"/>
    <w:rsid w:val="00EF747D"/>
    <w:rsid w:val="00EF7572"/>
    <w:rsid w:val="00EF7597"/>
    <w:rsid w:val="00EF76B0"/>
    <w:rsid w:val="00EF7726"/>
    <w:rsid w:val="00EF773A"/>
    <w:rsid w:val="00EF78E8"/>
    <w:rsid w:val="00EF7A4C"/>
    <w:rsid w:val="00EF7B78"/>
    <w:rsid w:val="00EF7CBE"/>
    <w:rsid w:val="00EF7E39"/>
    <w:rsid w:val="00EF7F7F"/>
    <w:rsid w:val="00F0057D"/>
    <w:rsid w:val="00F00653"/>
    <w:rsid w:val="00F00674"/>
    <w:rsid w:val="00F00733"/>
    <w:rsid w:val="00F00883"/>
    <w:rsid w:val="00F008BD"/>
    <w:rsid w:val="00F0095C"/>
    <w:rsid w:val="00F00BB0"/>
    <w:rsid w:val="00F00BDE"/>
    <w:rsid w:val="00F00DA1"/>
    <w:rsid w:val="00F00FCB"/>
    <w:rsid w:val="00F00FDD"/>
    <w:rsid w:val="00F011F2"/>
    <w:rsid w:val="00F013B1"/>
    <w:rsid w:val="00F01402"/>
    <w:rsid w:val="00F01700"/>
    <w:rsid w:val="00F01811"/>
    <w:rsid w:val="00F01823"/>
    <w:rsid w:val="00F01B33"/>
    <w:rsid w:val="00F01BA3"/>
    <w:rsid w:val="00F01EE4"/>
    <w:rsid w:val="00F01FB5"/>
    <w:rsid w:val="00F0207B"/>
    <w:rsid w:val="00F02429"/>
    <w:rsid w:val="00F024B2"/>
    <w:rsid w:val="00F024F0"/>
    <w:rsid w:val="00F02521"/>
    <w:rsid w:val="00F026F4"/>
    <w:rsid w:val="00F02B75"/>
    <w:rsid w:val="00F02B8A"/>
    <w:rsid w:val="00F02E12"/>
    <w:rsid w:val="00F02E57"/>
    <w:rsid w:val="00F02E70"/>
    <w:rsid w:val="00F02E75"/>
    <w:rsid w:val="00F02F8E"/>
    <w:rsid w:val="00F03022"/>
    <w:rsid w:val="00F031C4"/>
    <w:rsid w:val="00F03217"/>
    <w:rsid w:val="00F0327E"/>
    <w:rsid w:val="00F032BA"/>
    <w:rsid w:val="00F0339E"/>
    <w:rsid w:val="00F034A0"/>
    <w:rsid w:val="00F035A3"/>
    <w:rsid w:val="00F03A02"/>
    <w:rsid w:val="00F03A9C"/>
    <w:rsid w:val="00F03BA7"/>
    <w:rsid w:val="00F04038"/>
    <w:rsid w:val="00F04291"/>
    <w:rsid w:val="00F042F3"/>
    <w:rsid w:val="00F04303"/>
    <w:rsid w:val="00F04454"/>
    <w:rsid w:val="00F044A2"/>
    <w:rsid w:val="00F0457E"/>
    <w:rsid w:val="00F04812"/>
    <w:rsid w:val="00F04934"/>
    <w:rsid w:val="00F0499A"/>
    <w:rsid w:val="00F04AE1"/>
    <w:rsid w:val="00F04B6A"/>
    <w:rsid w:val="00F04CCC"/>
    <w:rsid w:val="00F04EE1"/>
    <w:rsid w:val="00F04EF2"/>
    <w:rsid w:val="00F05029"/>
    <w:rsid w:val="00F05205"/>
    <w:rsid w:val="00F055A8"/>
    <w:rsid w:val="00F0560B"/>
    <w:rsid w:val="00F05648"/>
    <w:rsid w:val="00F0569A"/>
    <w:rsid w:val="00F05AA1"/>
    <w:rsid w:val="00F05B72"/>
    <w:rsid w:val="00F05CC0"/>
    <w:rsid w:val="00F05F78"/>
    <w:rsid w:val="00F0606D"/>
    <w:rsid w:val="00F0610F"/>
    <w:rsid w:val="00F0627E"/>
    <w:rsid w:val="00F062E3"/>
    <w:rsid w:val="00F06384"/>
    <w:rsid w:val="00F06490"/>
    <w:rsid w:val="00F0667B"/>
    <w:rsid w:val="00F06689"/>
    <w:rsid w:val="00F06736"/>
    <w:rsid w:val="00F067AB"/>
    <w:rsid w:val="00F06827"/>
    <w:rsid w:val="00F06899"/>
    <w:rsid w:val="00F0690A"/>
    <w:rsid w:val="00F06B6C"/>
    <w:rsid w:val="00F0716A"/>
    <w:rsid w:val="00F07186"/>
    <w:rsid w:val="00F073DE"/>
    <w:rsid w:val="00F07448"/>
    <w:rsid w:val="00F07680"/>
    <w:rsid w:val="00F07709"/>
    <w:rsid w:val="00F0775E"/>
    <w:rsid w:val="00F07891"/>
    <w:rsid w:val="00F07BA5"/>
    <w:rsid w:val="00F07C73"/>
    <w:rsid w:val="00F07CFB"/>
    <w:rsid w:val="00F07DD8"/>
    <w:rsid w:val="00F07E23"/>
    <w:rsid w:val="00F07F1F"/>
    <w:rsid w:val="00F07FDA"/>
    <w:rsid w:val="00F07FE8"/>
    <w:rsid w:val="00F10036"/>
    <w:rsid w:val="00F100F8"/>
    <w:rsid w:val="00F10118"/>
    <w:rsid w:val="00F1015F"/>
    <w:rsid w:val="00F1016E"/>
    <w:rsid w:val="00F101B2"/>
    <w:rsid w:val="00F1030A"/>
    <w:rsid w:val="00F1057F"/>
    <w:rsid w:val="00F10583"/>
    <w:rsid w:val="00F105B7"/>
    <w:rsid w:val="00F10779"/>
    <w:rsid w:val="00F107FF"/>
    <w:rsid w:val="00F10A4E"/>
    <w:rsid w:val="00F10C29"/>
    <w:rsid w:val="00F10C8F"/>
    <w:rsid w:val="00F10D65"/>
    <w:rsid w:val="00F10D79"/>
    <w:rsid w:val="00F10D80"/>
    <w:rsid w:val="00F10F12"/>
    <w:rsid w:val="00F1103E"/>
    <w:rsid w:val="00F1118C"/>
    <w:rsid w:val="00F1130E"/>
    <w:rsid w:val="00F11394"/>
    <w:rsid w:val="00F114DA"/>
    <w:rsid w:val="00F11688"/>
    <w:rsid w:val="00F116A1"/>
    <w:rsid w:val="00F1190D"/>
    <w:rsid w:val="00F11B8D"/>
    <w:rsid w:val="00F11BC9"/>
    <w:rsid w:val="00F11BF0"/>
    <w:rsid w:val="00F11BF6"/>
    <w:rsid w:val="00F11C36"/>
    <w:rsid w:val="00F11CD2"/>
    <w:rsid w:val="00F11F17"/>
    <w:rsid w:val="00F11F52"/>
    <w:rsid w:val="00F121D5"/>
    <w:rsid w:val="00F12491"/>
    <w:rsid w:val="00F124D7"/>
    <w:rsid w:val="00F1261E"/>
    <w:rsid w:val="00F127A4"/>
    <w:rsid w:val="00F129A7"/>
    <w:rsid w:val="00F12BA6"/>
    <w:rsid w:val="00F12F68"/>
    <w:rsid w:val="00F12FD9"/>
    <w:rsid w:val="00F1308A"/>
    <w:rsid w:val="00F130B7"/>
    <w:rsid w:val="00F132D9"/>
    <w:rsid w:val="00F132F4"/>
    <w:rsid w:val="00F133F6"/>
    <w:rsid w:val="00F13429"/>
    <w:rsid w:val="00F13714"/>
    <w:rsid w:val="00F13716"/>
    <w:rsid w:val="00F138BB"/>
    <w:rsid w:val="00F13A3F"/>
    <w:rsid w:val="00F13A7A"/>
    <w:rsid w:val="00F13AD9"/>
    <w:rsid w:val="00F13AEE"/>
    <w:rsid w:val="00F13B17"/>
    <w:rsid w:val="00F13BCC"/>
    <w:rsid w:val="00F13C33"/>
    <w:rsid w:val="00F13D02"/>
    <w:rsid w:val="00F13D21"/>
    <w:rsid w:val="00F13D2A"/>
    <w:rsid w:val="00F14248"/>
    <w:rsid w:val="00F142E9"/>
    <w:rsid w:val="00F1440C"/>
    <w:rsid w:val="00F14666"/>
    <w:rsid w:val="00F146BF"/>
    <w:rsid w:val="00F14778"/>
    <w:rsid w:val="00F149F7"/>
    <w:rsid w:val="00F14B54"/>
    <w:rsid w:val="00F14BDF"/>
    <w:rsid w:val="00F14C18"/>
    <w:rsid w:val="00F14C70"/>
    <w:rsid w:val="00F14D5C"/>
    <w:rsid w:val="00F14DC9"/>
    <w:rsid w:val="00F14DEE"/>
    <w:rsid w:val="00F14E55"/>
    <w:rsid w:val="00F14F0B"/>
    <w:rsid w:val="00F14F9F"/>
    <w:rsid w:val="00F15256"/>
    <w:rsid w:val="00F1529C"/>
    <w:rsid w:val="00F153DD"/>
    <w:rsid w:val="00F1559A"/>
    <w:rsid w:val="00F15639"/>
    <w:rsid w:val="00F156FA"/>
    <w:rsid w:val="00F15725"/>
    <w:rsid w:val="00F157C7"/>
    <w:rsid w:val="00F15841"/>
    <w:rsid w:val="00F15905"/>
    <w:rsid w:val="00F15F04"/>
    <w:rsid w:val="00F16151"/>
    <w:rsid w:val="00F16197"/>
    <w:rsid w:val="00F161DE"/>
    <w:rsid w:val="00F1625D"/>
    <w:rsid w:val="00F163BB"/>
    <w:rsid w:val="00F16422"/>
    <w:rsid w:val="00F16691"/>
    <w:rsid w:val="00F16702"/>
    <w:rsid w:val="00F167C7"/>
    <w:rsid w:val="00F169C3"/>
    <w:rsid w:val="00F16B7F"/>
    <w:rsid w:val="00F16C42"/>
    <w:rsid w:val="00F16C5C"/>
    <w:rsid w:val="00F16ED9"/>
    <w:rsid w:val="00F16F7B"/>
    <w:rsid w:val="00F1704A"/>
    <w:rsid w:val="00F1716E"/>
    <w:rsid w:val="00F17207"/>
    <w:rsid w:val="00F1739B"/>
    <w:rsid w:val="00F1745E"/>
    <w:rsid w:val="00F174BF"/>
    <w:rsid w:val="00F17629"/>
    <w:rsid w:val="00F1791B"/>
    <w:rsid w:val="00F179DA"/>
    <w:rsid w:val="00F17A0A"/>
    <w:rsid w:val="00F17B88"/>
    <w:rsid w:val="00F17BF5"/>
    <w:rsid w:val="00F17DC0"/>
    <w:rsid w:val="00F17EBD"/>
    <w:rsid w:val="00F17FAB"/>
    <w:rsid w:val="00F2054B"/>
    <w:rsid w:val="00F2067F"/>
    <w:rsid w:val="00F206B8"/>
    <w:rsid w:val="00F206FA"/>
    <w:rsid w:val="00F207A6"/>
    <w:rsid w:val="00F2088F"/>
    <w:rsid w:val="00F20A7A"/>
    <w:rsid w:val="00F20AB0"/>
    <w:rsid w:val="00F20AC0"/>
    <w:rsid w:val="00F20CDB"/>
    <w:rsid w:val="00F20D32"/>
    <w:rsid w:val="00F21058"/>
    <w:rsid w:val="00F210B7"/>
    <w:rsid w:val="00F211FE"/>
    <w:rsid w:val="00F21311"/>
    <w:rsid w:val="00F214CE"/>
    <w:rsid w:val="00F215CF"/>
    <w:rsid w:val="00F2172E"/>
    <w:rsid w:val="00F21921"/>
    <w:rsid w:val="00F2199D"/>
    <w:rsid w:val="00F219AC"/>
    <w:rsid w:val="00F21AE0"/>
    <w:rsid w:val="00F21BF3"/>
    <w:rsid w:val="00F21CD6"/>
    <w:rsid w:val="00F21D3B"/>
    <w:rsid w:val="00F2200B"/>
    <w:rsid w:val="00F221F1"/>
    <w:rsid w:val="00F2229A"/>
    <w:rsid w:val="00F222BB"/>
    <w:rsid w:val="00F22323"/>
    <w:rsid w:val="00F223A1"/>
    <w:rsid w:val="00F223AC"/>
    <w:rsid w:val="00F22493"/>
    <w:rsid w:val="00F22515"/>
    <w:rsid w:val="00F22527"/>
    <w:rsid w:val="00F22537"/>
    <w:rsid w:val="00F225B1"/>
    <w:rsid w:val="00F22660"/>
    <w:rsid w:val="00F22966"/>
    <w:rsid w:val="00F22AAE"/>
    <w:rsid w:val="00F22ADB"/>
    <w:rsid w:val="00F22B75"/>
    <w:rsid w:val="00F22C3C"/>
    <w:rsid w:val="00F22D9C"/>
    <w:rsid w:val="00F22E5F"/>
    <w:rsid w:val="00F22E95"/>
    <w:rsid w:val="00F22F16"/>
    <w:rsid w:val="00F22FB1"/>
    <w:rsid w:val="00F230E9"/>
    <w:rsid w:val="00F23180"/>
    <w:rsid w:val="00F231FA"/>
    <w:rsid w:val="00F2325A"/>
    <w:rsid w:val="00F23680"/>
    <w:rsid w:val="00F2392C"/>
    <w:rsid w:val="00F23AA9"/>
    <w:rsid w:val="00F23C53"/>
    <w:rsid w:val="00F23D56"/>
    <w:rsid w:val="00F23E2E"/>
    <w:rsid w:val="00F240E8"/>
    <w:rsid w:val="00F24145"/>
    <w:rsid w:val="00F241D8"/>
    <w:rsid w:val="00F24424"/>
    <w:rsid w:val="00F24483"/>
    <w:rsid w:val="00F24734"/>
    <w:rsid w:val="00F247B7"/>
    <w:rsid w:val="00F247D8"/>
    <w:rsid w:val="00F24975"/>
    <w:rsid w:val="00F24C36"/>
    <w:rsid w:val="00F24C4C"/>
    <w:rsid w:val="00F24DD6"/>
    <w:rsid w:val="00F24E50"/>
    <w:rsid w:val="00F250C3"/>
    <w:rsid w:val="00F25188"/>
    <w:rsid w:val="00F25467"/>
    <w:rsid w:val="00F25626"/>
    <w:rsid w:val="00F258E7"/>
    <w:rsid w:val="00F25925"/>
    <w:rsid w:val="00F25AD8"/>
    <w:rsid w:val="00F25E23"/>
    <w:rsid w:val="00F25F1A"/>
    <w:rsid w:val="00F2606F"/>
    <w:rsid w:val="00F2619A"/>
    <w:rsid w:val="00F261E4"/>
    <w:rsid w:val="00F26435"/>
    <w:rsid w:val="00F26469"/>
    <w:rsid w:val="00F264A5"/>
    <w:rsid w:val="00F264D6"/>
    <w:rsid w:val="00F268AC"/>
    <w:rsid w:val="00F26952"/>
    <w:rsid w:val="00F26A81"/>
    <w:rsid w:val="00F26AD4"/>
    <w:rsid w:val="00F26B45"/>
    <w:rsid w:val="00F26D6E"/>
    <w:rsid w:val="00F26E65"/>
    <w:rsid w:val="00F26F30"/>
    <w:rsid w:val="00F2719C"/>
    <w:rsid w:val="00F272BC"/>
    <w:rsid w:val="00F27352"/>
    <w:rsid w:val="00F27482"/>
    <w:rsid w:val="00F276D5"/>
    <w:rsid w:val="00F276E2"/>
    <w:rsid w:val="00F27728"/>
    <w:rsid w:val="00F2799E"/>
    <w:rsid w:val="00F27C4D"/>
    <w:rsid w:val="00F27EFC"/>
    <w:rsid w:val="00F27F43"/>
    <w:rsid w:val="00F27FEC"/>
    <w:rsid w:val="00F3013F"/>
    <w:rsid w:val="00F30166"/>
    <w:rsid w:val="00F3026B"/>
    <w:rsid w:val="00F30388"/>
    <w:rsid w:val="00F305BC"/>
    <w:rsid w:val="00F307B7"/>
    <w:rsid w:val="00F309C9"/>
    <w:rsid w:val="00F30AAB"/>
    <w:rsid w:val="00F30AB1"/>
    <w:rsid w:val="00F30AF2"/>
    <w:rsid w:val="00F30CE4"/>
    <w:rsid w:val="00F30E03"/>
    <w:rsid w:val="00F30EBD"/>
    <w:rsid w:val="00F30EE6"/>
    <w:rsid w:val="00F30F28"/>
    <w:rsid w:val="00F30F9F"/>
    <w:rsid w:val="00F30FA5"/>
    <w:rsid w:val="00F3108B"/>
    <w:rsid w:val="00F310CA"/>
    <w:rsid w:val="00F311A0"/>
    <w:rsid w:val="00F3124E"/>
    <w:rsid w:val="00F3130B"/>
    <w:rsid w:val="00F3147D"/>
    <w:rsid w:val="00F31747"/>
    <w:rsid w:val="00F3181E"/>
    <w:rsid w:val="00F3186C"/>
    <w:rsid w:val="00F31996"/>
    <w:rsid w:val="00F31BAC"/>
    <w:rsid w:val="00F31BD4"/>
    <w:rsid w:val="00F31BED"/>
    <w:rsid w:val="00F31C3E"/>
    <w:rsid w:val="00F31D20"/>
    <w:rsid w:val="00F31F75"/>
    <w:rsid w:val="00F32135"/>
    <w:rsid w:val="00F321C5"/>
    <w:rsid w:val="00F325FB"/>
    <w:rsid w:val="00F32658"/>
    <w:rsid w:val="00F32948"/>
    <w:rsid w:val="00F32A17"/>
    <w:rsid w:val="00F32B1F"/>
    <w:rsid w:val="00F32E28"/>
    <w:rsid w:val="00F32ED1"/>
    <w:rsid w:val="00F32ED4"/>
    <w:rsid w:val="00F3308F"/>
    <w:rsid w:val="00F3338F"/>
    <w:rsid w:val="00F33408"/>
    <w:rsid w:val="00F3349C"/>
    <w:rsid w:val="00F337FE"/>
    <w:rsid w:val="00F33837"/>
    <w:rsid w:val="00F33935"/>
    <w:rsid w:val="00F33987"/>
    <w:rsid w:val="00F33A89"/>
    <w:rsid w:val="00F33C12"/>
    <w:rsid w:val="00F341A4"/>
    <w:rsid w:val="00F343D5"/>
    <w:rsid w:val="00F343E0"/>
    <w:rsid w:val="00F34664"/>
    <w:rsid w:val="00F3509D"/>
    <w:rsid w:val="00F350B0"/>
    <w:rsid w:val="00F35184"/>
    <w:rsid w:val="00F3520A"/>
    <w:rsid w:val="00F353F9"/>
    <w:rsid w:val="00F359DB"/>
    <w:rsid w:val="00F35B1E"/>
    <w:rsid w:val="00F35B35"/>
    <w:rsid w:val="00F35BBD"/>
    <w:rsid w:val="00F35D2D"/>
    <w:rsid w:val="00F35F10"/>
    <w:rsid w:val="00F35FB0"/>
    <w:rsid w:val="00F3604A"/>
    <w:rsid w:val="00F361E7"/>
    <w:rsid w:val="00F361F0"/>
    <w:rsid w:val="00F3625A"/>
    <w:rsid w:val="00F36306"/>
    <w:rsid w:val="00F3647B"/>
    <w:rsid w:val="00F364BA"/>
    <w:rsid w:val="00F36764"/>
    <w:rsid w:val="00F36816"/>
    <w:rsid w:val="00F36837"/>
    <w:rsid w:val="00F369F7"/>
    <w:rsid w:val="00F36AC1"/>
    <w:rsid w:val="00F36B35"/>
    <w:rsid w:val="00F36B81"/>
    <w:rsid w:val="00F36BFE"/>
    <w:rsid w:val="00F36F27"/>
    <w:rsid w:val="00F36F71"/>
    <w:rsid w:val="00F36FB1"/>
    <w:rsid w:val="00F36FE7"/>
    <w:rsid w:val="00F37101"/>
    <w:rsid w:val="00F372BF"/>
    <w:rsid w:val="00F374EE"/>
    <w:rsid w:val="00F3756E"/>
    <w:rsid w:val="00F37611"/>
    <w:rsid w:val="00F3765A"/>
    <w:rsid w:val="00F37826"/>
    <w:rsid w:val="00F3788A"/>
    <w:rsid w:val="00F378FD"/>
    <w:rsid w:val="00F37B0F"/>
    <w:rsid w:val="00F37E5B"/>
    <w:rsid w:val="00F37FE6"/>
    <w:rsid w:val="00F40047"/>
    <w:rsid w:val="00F40135"/>
    <w:rsid w:val="00F40291"/>
    <w:rsid w:val="00F4051A"/>
    <w:rsid w:val="00F4091D"/>
    <w:rsid w:val="00F40978"/>
    <w:rsid w:val="00F40B79"/>
    <w:rsid w:val="00F40C2E"/>
    <w:rsid w:val="00F40D21"/>
    <w:rsid w:val="00F40F6C"/>
    <w:rsid w:val="00F41124"/>
    <w:rsid w:val="00F41340"/>
    <w:rsid w:val="00F4135E"/>
    <w:rsid w:val="00F41486"/>
    <w:rsid w:val="00F414AD"/>
    <w:rsid w:val="00F416A1"/>
    <w:rsid w:val="00F4177B"/>
    <w:rsid w:val="00F417FF"/>
    <w:rsid w:val="00F41926"/>
    <w:rsid w:val="00F41933"/>
    <w:rsid w:val="00F41BB1"/>
    <w:rsid w:val="00F41C6E"/>
    <w:rsid w:val="00F41D32"/>
    <w:rsid w:val="00F41E7E"/>
    <w:rsid w:val="00F41E90"/>
    <w:rsid w:val="00F41F90"/>
    <w:rsid w:val="00F42039"/>
    <w:rsid w:val="00F42300"/>
    <w:rsid w:val="00F423A8"/>
    <w:rsid w:val="00F42487"/>
    <w:rsid w:val="00F427E9"/>
    <w:rsid w:val="00F4282F"/>
    <w:rsid w:val="00F429A0"/>
    <w:rsid w:val="00F42A8C"/>
    <w:rsid w:val="00F42CA2"/>
    <w:rsid w:val="00F42CF7"/>
    <w:rsid w:val="00F42D3B"/>
    <w:rsid w:val="00F42DBF"/>
    <w:rsid w:val="00F42E5B"/>
    <w:rsid w:val="00F42F53"/>
    <w:rsid w:val="00F43004"/>
    <w:rsid w:val="00F43015"/>
    <w:rsid w:val="00F431E7"/>
    <w:rsid w:val="00F43221"/>
    <w:rsid w:val="00F432AC"/>
    <w:rsid w:val="00F4336C"/>
    <w:rsid w:val="00F43390"/>
    <w:rsid w:val="00F43482"/>
    <w:rsid w:val="00F4349D"/>
    <w:rsid w:val="00F4363E"/>
    <w:rsid w:val="00F439B0"/>
    <w:rsid w:val="00F43A94"/>
    <w:rsid w:val="00F43C74"/>
    <w:rsid w:val="00F43CA2"/>
    <w:rsid w:val="00F43ED9"/>
    <w:rsid w:val="00F43F11"/>
    <w:rsid w:val="00F44046"/>
    <w:rsid w:val="00F4406E"/>
    <w:rsid w:val="00F442A8"/>
    <w:rsid w:val="00F442CF"/>
    <w:rsid w:val="00F443DB"/>
    <w:rsid w:val="00F4451A"/>
    <w:rsid w:val="00F44532"/>
    <w:rsid w:val="00F44553"/>
    <w:rsid w:val="00F445FA"/>
    <w:rsid w:val="00F44822"/>
    <w:rsid w:val="00F44898"/>
    <w:rsid w:val="00F449CC"/>
    <w:rsid w:val="00F44A7D"/>
    <w:rsid w:val="00F44BFE"/>
    <w:rsid w:val="00F44C32"/>
    <w:rsid w:val="00F44C58"/>
    <w:rsid w:val="00F44CB0"/>
    <w:rsid w:val="00F44E86"/>
    <w:rsid w:val="00F44F0E"/>
    <w:rsid w:val="00F44F5C"/>
    <w:rsid w:val="00F44F81"/>
    <w:rsid w:val="00F44F84"/>
    <w:rsid w:val="00F45033"/>
    <w:rsid w:val="00F45319"/>
    <w:rsid w:val="00F4533E"/>
    <w:rsid w:val="00F45590"/>
    <w:rsid w:val="00F455A9"/>
    <w:rsid w:val="00F456D2"/>
    <w:rsid w:val="00F45727"/>
    <w:rsid w:val="00F45847"/>
    <w:rsid w:val="00F45E6C"/>
    <w:rsid w:val="00F45F78"/>
    <w:rsid w:val="00F46132"/>
    <w:rsid w:val="00F46134"/>
    <w:rsid w:val="00F46179"/>
    <w:rsid w:val="00F461C5"/>
    <w:rsid w:val="00F461CF"/>
    <w:rsid w:val="00F4624D"/>
    <w:rsid w:val="00F463B2"/>
    <w:rsid w:val="00F46444"/>
    <w:rsid w:val="00F46537"/>
    <w:rsid w:val="00F465B2"/>
    <w:rsid w:val="00F465E9"/>
    <w:rsid w:val="00F4661B"/>
    <w:rsid w:val="00F46787"/>
    <w:rsid w:val="00F467AB"/>
    <w:rsid w:val="00F4686B"/>
    <w:rsid w:val="00F4694C"/>
    <w:rsid w:val="00F469FF"/>
    <w:rsid w:val="00F46ABC"/>
    <w:rsid w:val="00F46AE9"/>
    <w:rsid w:val="00F46B97"/>
    <w:rsid w:val="00F46C59"/>
    <w:rsid w:val="00F46E1F"/>
    <w:rsid w:val="00F46FC5"/>
    <w:rsid w:val="00F47010"/>
    <w:rsid w:val="00F47215"/>
    <w:rsid w:val="00F47442"/>
    <w:rsid w:val="00F47635"/>
    <w:rsid w:val="00F47743"/>
    <w:rsid w:val="00F47C4F"/>
    <w:rsid w:val="00F47C99"/>
    <w:rsid w:val="00F5008B"/>
    <w:rsid w:val="00F5029B"/>
    <w:rsid w:val="00F5038B"/>
    <w:rsid w:val="00F5086D"/>
    <w:rsid w:val="00F50972"/>
    <w:rsid w:val="00F50D65"/>
    <w:rsid w:val="00F50F07"/>
    <w:rsid w:val="00F51061"/>
    <w:rsid w:val="00F51243"/>
    <w:rsid w:val="00F51254"/>
    <w:rsid w:val="00F51451"/>
    <w:rsid w:val="00F514A7"/>
    <w:rsid w:val="00F514F4"/>
    <w:rsid w:val="00F51541"/>
    <w:rsid w:val="00F515CD"/>
    <w:rsid w:val="00F51763"/>
    <w:rsid w:val="00F518C1"/>
    <w:rsid w:val="00F51AED"/>
    <w:rsid w:val="00F51B95"/>
    <w:rsid w:val="00F51BB1"/>
    <w:rsid w:val="00F51C27"/>
    <w:rsid w:val="00F51D21"/>
    <w:rsid w:val="00F51DA8"/>
    <w:rsid w:val="00F51EC2"/>
    <w:rsid w:val="00F51F39"/>
    <w:rsid w:val="00F51FD7"/>
    <w:rsid w:val="00F525B4"/>
    <w:rsid w:val="00F525D3"/>
    <w:rsid w:val="00F5270E"/>
    <w:rsid w:val="00F52918"/>
    <w:rsid w:val="00F52DA0"/>
    <w:rsid w:val="00F52E27"/>
    <w:rsid w:val="00F5310E"/>
    <w:rsid w:val="00F53280"/>
    <w:rsid w:val="00F53351"/>
    <w:rsid w:val="00F5344F"/>
    <w:rsid w:val="00F5368D"/>
    <w:rsid w:val="00F53B2F"/>
    <w:rsid w:val="00F53C35"/>
    <w:rsid w:val="00F53C53"/>
    <w:rsid w:val="00F53CBB"/>
    <w:rsid w:val="00F53CBC"/>
    <w:rsid w:val="00F53CDC"/>
    <w:rsid w:val="00F53D2F"/>
    <w:rsid w:val="00F54132"/>
    <w:rsid w:val="00F54199"/>
    <w:rsid w:val="00F54289"/>
    <w:rsid w:val="00F54303"/>
    <w:rsid w:val="00F54434"/>
    <w:rsid w:val="00F54520"/>
    <w:rsid w:val="00F5461D"/>
    <w:rsid w:val="00F54641"/>
    <w:rsid w:val="00F5477C"/>
    <w:rsid w:val="00F5494E"/>
    <w:rsid w:val="00F54A4E"/>
    <w:rsid w:val="00F54AFC"/>
    <w:rsid w:val="00F54AFF"/>
    <w:rsid w:val="00F54CD3"/>
    <w:rsid w:val="00F54E42"/>
    <w:rsid w:val="00F54FBC"/>
    <w:rsid w:val="00F551C9"/>
    <w:rsid w:val="00F5530C"/>
    <w:rsid w:val="00F553EF"/>
    <w:rsid w:val="00F55749"/>
    <w:rsid w:val="00F557BC"/>
    <w:rsid w:val="00F5581D"/>
    <w:rsid w:val="00F55948"/>
    <w:rsid w:val="00F55C6E"/>
    <w:rsid w:val="00F55D44"/>
    <w:rsid w:val="00F55F19"/>
    <w:rsid w:val="00F56139"/>
    <w:rsid w:val="00F5619D"/>
    <w:rsid w:val="00F5623A"/>
    <w:rsid w:val="00F56272"/>
    <w:rsid w:val="00F56416"/>
    <w:rsid w:val="00F56558"/>
    <w:rsid w:val="00F56605"/>
    <w:rsid w:val="00F5666E"/>
    <w:rsid w:val="00F568F1"/>
    <w:rsid w:val="00F56BC5"/>
    <w:rsid w:val="00F56CD7"/>
    <w:rsid w:val="00F56D09"/>
    <w:rsid w:val="00F56D2C"/>
    <w:rsid w:val="00F56E13"/>
    <w:rsid w:val="00F56FFC"/>
    <w:rsid w:val="00F57017"/>
    <w:rsid w:val="00F571BA"/>
    <w:rsid w:val="00F57246"/>
    <w:rsid w:val="00F5743C"/>
    <w:rsid w:val="00F574FB"/>
    <w:rsid w:val="00F574FF"/>
    <w:rsid w:val="00F575CA"/>
    <w:rsid w:val="00F57A41"/>
    <w:rsid w:val="00F57AA9"/>
    <w:rsid w:val="00F57B1A"/>
    <w:rsid w:val="00F57D36"/>
    <w:rsid w:val="00F57D41"/>
    <w:rsid w:val="00F57EFF"/>
    <w:rsid w:val="00F60074"/>
    <w:rsid w:val="00F601C7"/>
    <w:rsid w:val="00F602A4"/>
    <w:rsid w:val="00F60439"/>
    <w:rsid w:val="00F60517"/>
    <w:rsid w:val="00F605AC"/>
    <w:rsid w:val="00F60728"/>
    <w:rsid w:val="00F60736"/>
    <w:rsid w:val="00F607C2"/>
    <w:rsid w:val="00F607DA"/>
    <w:rsid w:val="00F6086B"/>
    <w:rsid w:val="00F60938"/>
    <w:rsid w:val="00F60C22"/>
    <w:rsid w:val="00F60CFB"/>
    <w:rsid w:val="00F60E46"/>
    <w:rsid w:val="00F60F1B"/>
    <w:rsid w:val="00F60FE3"/>
    <w:rsid w:val="00F611CA"/>
    <w:rsid w:val="00F611D1"/>
    <w:rsid w:val="00F613A3"/>
    <w:rsid w:val="00F613BD"/>
    <w:rsid w:val="00F615A3"/>
    <w:rsid w:val="00F61677"/>
    <w:rsid w:val="00F617DD"/>
    <w:rsid w:val="00F6180F"/>
    <w:rsid w:val="00F61827"/>
    <w:rsid w:val="00F61A3C"/>
    <w:rsid w:val="00F61C31"/>
    <w:rsid w:val="00F61CFC"/>
    <w:rsid w:val="00F61FA6"/>
    <w:rsid w:val="00F62018"/>
    <w:rsid w:val="00F62235"/>
    <w:rsid w:val="00F625A3"/>
    <w:rsid w:val="00F62B30"/>
    <w:rsid w:val="00F62B66"/>
    <w:rsid w:val="00F62B89"/>
    <w:rsid w:val="00F62BD0"/>
    <w:rsid w:val="00F62DD7"/>
    <w:rsid w:val="00F62ED2"/>
    <w:rsid w:val="00F63240"/>
    <w:rsid w:val="00F632E3"/>
    <w:rsid w:val="00F6348F"/>
    <w:rsid w:val="00F6365E"/>
    <w:rsid w:val="00F636F7"/>
    <w:rsid w:val="00F63746"/>
    <w:rsid w:val="00F6377C"/>
    <w:rsid w:val="00F63789"/>
    <w:rsid w:val="00F6399F"/>
    <w:rsid w:val="00F63A13"/>
    <w:rsid w:val="00F63C7C"/>
    <w:rsid w:val="00F63C8D"/>
    <w:rsid w:val="00F63C95"/>
    <w:rsid w:val="00F63D3C"/>
    <w:rsid w:val="00F6401A"/>
    <w:rsid w:val="00F6405A"/>
    <w:rsid w:val="00F641B4"/>
    <w:rsid w:val="00F64236"/>
    <w:rsid w:val="00F6424D"/>
    <w:rsid w:val="00F64339"/>
    <w:rsid w:val="00F64358"/>
    <w:rsid w:val="00F6440E"/>
    <w:rsid w:val="00F64521"/>
    <w:rsid w:val="00F646C9"/>
    <w:rsid w:val="00F646DD"/>
    <w:rsid w:val="00F647A7"/>
    <w:rsid w:val="00F647C1"/>
    <w:rsid w:val="00F64881"/>
    <w:rsid w:val="00F64955"/>
    <w:rsid w:val="00F64A26"/>
    <w:rsid w:val="00F64B73"/>
    <w:rsid w:val="00F64DB9"/>
    <w:rsid w:val="00F64DCC"/>
    <w:rsid w:val="00F64E59"/>
    <w:rsid w:val="00F64E66"/>
    <w:rsid w:val="00F64ED5"/>
    <w:rsid w:val="00F64F49"/>
    <w:rsid w:val="00F64F62"/>
    <w:rsid w:val="00F65000"/>
    <w:rsid w:val="00F650D0"/>
    <w:rsid w:val="00F65129"/>
    <w:rsid w:val="00F65306"/>
    <w:rsid w:val="00F6540D"/>
    <w:rsid w:val="00F657C3"/>
    <w:rsid w:val="00F65849"/>
    <w:rsid w:val="00F6597E"/>
    <w:rsid w:val="00F65EF2"/>
    <w:rsid w:val="00F65F39"/>
    <w:rsid w:val="00F65FA6"/>
    <w:rsid w:val="00F6601E"/>
    <w:rsid w:val="00F660CB"/>
    <w:rsid w:val="00F6611B"/>
    <w:rsid w:val="00F662AD"/>
    <w:rsid w:val="00F66A4A"/>
    <w:rsid w:val="00F66B76"/>
    <w:rsid w:val="00F66BCC"/>
    <w:rsid w:val="00F66C5A"/>
    <w:rsid w:val="00F66D2D"/>
    <w:rsid w:val="00F66F7F"/>
    <w:rsid w:val="00F66FAB"/>
    <w:rsid w:val="00F67064"/>
    <w:rsid w:val="00F67071"/>
    <w:rsid w:val="00F670F6"/>
    <w:rsid w:val="00F67192"/>
    <w:rsid w:val="00F67394"/>
    <w:rsid w:val="00F67501"/>
    <w:rsid w:val="00F6768B"/>
    <w:rsid w:val="00F67724"/>
    <w:rsid w:val="00F6782D"/>
    <w:rsid w:val="00F678B7"/>
    <w:rsid w:val="00F679F9"/>
    <w:rsid w:val="00F67C12"/>
    <w:rsid w:val="00F67C3D"/>
    <w:rsid w:val="00F67E08"/>
    <w:rsid w:val="00F67FAD"/>
    <w:rsid w:val="00F67FE5"/>
    <w:rsid w:val="00F7004A"/>
    <w:rsid w:val="00F70097"/>
    <w:rsid w:val="00F70300"/>
    <w:rsid w:val="00F703D0"/>
    <w:rsid w:val="00F7047F"/>
    <w:rsid w:val="00F704B5"/>
    <w:rsid w:val="00F7052D"/>
    <w:rsid w:val="00F70C18"/>
    <w:rsid w:val="00F70C8C"/>
    <w:rsid w:val="00F70D6E"/>
    <w:rsid w:val="00F70E14"/>
    <w:rsid w:val="00F70E36"/>
    <w:rsid w:val="00F7151D"/>
    <w:rsid w:val="00F71618"/>
    <w:rsid w:val="00F71636"/>
    <w:rsid w:val="00F717BB"/>
    <w:rsid w:val="00F717F5"/>
    <w:rsid w:val="00F71AA3"/>
    <w:rsid w:val="00F71B02"/>
    <w:rsid w:val="00F71C8D"/>
    <w:rsid w:val="00F71CB4"/>
    <w:rsid w:val="00F71E66"/>
    <w:rsid w:val="00F71E98"/>
    <w:rsid w:val="00F7202C"/>
    <w:rsid w:val="00F7213F"/>
    <w:rsid w:val="00F7223D"/>
    <w:rsid w:val="00F724C2"/>
    <w:rsid w:val="00F725E9"/>
    <w:rsid w:val="00F72830"/>
    <w:rsid w:val="00F728E3"/>
    <w:rsid w:val="00F729CF"/>
    <w:rsid w:val="00F72C91"/>
    <w:rsid w:val="00F72C95"/>
    <w:rsid w:val="00F72D10"/>
    <w:rsid w:val="00F72D5D"/>
    <w:rsid w:val="00F72E00"/>
    <w:rsid w:val="00F72EB5"/>
    <w:rsid w:val="00F72FC6"/>
    <w:rsid w:val="00F73045"/>
    <w:rsid w:val="00F73103"/>
    <w:rsid w:val="00F734BF"/>
    <w:rsid w:val="00F737FD"/>
    <w:rsid w:val="00F7382B"/>
    <w:rsid w:val="00F73969"/>
    <w:rsid w:val="00F739AD"/>
    <w:rsid w:val="00F73A2E"/>
    <w:rsid w:val="00F73B42"/>
    <w:rsid w:val="00F73B61"/>
    <w:rsid w:val="00F73CF3"/>
    <w:rsid w:val="00F73EA0"/>
    <w:rsid w:val="00F74223"/>
    <w:rsid w:val="00F74344"/>
    <w:rsid w:val="00F743D9"/>
    <w:rsid w:val="00F7459B"/>
    <w:rsid w:val="00F74732"/>
    <w:rsid w:val="00F747B7"/>
    <w:rsid w:val="00F748F8"/>
    <w:rsid w:val="00F74910"/>
    <w:rsid w:val="00F74B50"/>
    <w:rsid w:val="00F74CF3"/>
    <w:rsid w:val="00F74D2A"/>
    <w:rsid w:val="00F74DC9"/>
    <w:rsid w:val="00F74E51"/>
    <w:rsid w:val="00F74EA7"/>
    <w:rsid w:val="00F75113"/>
    <w:rsid w:val="00F752A0"/>
    <w:rsid w:val="00F75383"/>
    <w:rsid w:val="00F75396"/>
    <w:rsid w:val="00F753C1"/>
    <w:rsid w:val="00F75430"/>
    <w:rsid w:val="00F7543E"/>
    <w:rsid w:val="00F754AB"/>
    <w:rsid w:val="00F7555F"/>
    <w:rsid w:val="00F756E3"/>
    <w:rsid w:val="00F75722"/>
    <w:rsid w:val="00F75D52"/>
    <w:rsid w:val="00F75D54"/>
    <w:rsid w:val="00F75DFC"/>
    <w:rsid w:val="00F75EA4"/>
    <w:rsid w:val="00F75F7D"/>
    <w:rsid w:val="00F76036"/>
    <w:rsid w:val="00F7629C"/>
    <w:rsid w:val="00F76372"/>
    <w:rsid w:val="00F763DA"/>
    <w:rsid w:val="00F764E1"/>
    <w:rsid w:val="00F7655D"/>
    <w:rsid w:val="00F7656A"/>
    <w:rsid w:val="00F76648"/>
    <w:rsid w:val="00F76657"/>
    <w:rsid w:val="00F76674"/>
    <w:rsid w:val="00F766DC"/>
    <w:rsid w:val="00F76B08"/>
    <w:rsid w:val="00F76C26"/>
    <w:rsid w:val="00F76C66"/>
    <w:rsid w:val="00F76C74"/>
    <w:rsid w:val="00F76C76"/>
    <w:rsid w:val="00F76DBD"/>
    <w:rsid w:val="00F770E3"/>
    <w:rsid w:val="00F77599"/>
    <w:rsid w:val="00F775E7"/>
    <w:rsid w:val="00F7765A"/>
    <w:rsid w:val="00F77680"/>
    <w:rsid w:val="00F77687"/>
    <w:rsid w:val="00F776EE"/>
    <w:rsid w:val="00F77788"/>
    <w:rsid w:val="00F777DE"/>
    <w:rsid w:val="00F777DF"/>
    <w:rsid w:val="00F7789B"/>
    <w:rsid w:val="00F77AE0"/>
    <w:rsid w:val="00F77B56"/>
    <w:rsid w:val="00F77B8E"/>
    <w:rsid w:val="00F77E57"/>
    <w:rsid w:val="00F77F2F"/>
    <w:rsid w:val="00F800DA"/>
    <w:rsid w:val="00F80166"/>
    <w:rsid w:val="00F80213"/>
    <w:rsid w:val="00F802EB"/>
    <w:rsid w:val="00F8040A"/>
    <w:rsid w:val="00F8051C"/>
    <w:rsid w:val="00F8052E"/>
    <w:rsid w:val="00F80564"/>
    <w:rsid w:val="00F805D1"/>
    <w:rsid w:val="00F8063C"/>
    <w:rsid w:val="00F80711"/>
    <w:rsid w:val="00F80877"/>
    <w:rsid w:val="00F8089E"/>
    <w:rsid w:val="00F809C0"/>
    <w:rsid w:val="00F80BB7"/>
    <w:rsid w:val="00F80C05"/>
    <w:rsid w:val="00F80CAD"/>
    <w:rsid w:val="00F80CEB"/>
    <w:rsid w:val="00F80D4A"/>
    <w:rsid w:val="00F80D4C"/>
    <w:rsid w:val="00F80F35"/>
    <w:rsid w:val="00F80F83"/>
    <w:rsid w:val="00F81242"/>
    <w:rsid w:val="00F8128E"/>
    <w:rsid w:val="00F81355"/>
    <w:rsid w:val="00F81470"/>
    <w:rsid w:val="00F814ED"/>
    <w:rsid w:val="00F81647"/>
    <w:rsid w:val="00F81769"/>
    <w:rsid w:val="00F8180E"/>
    <w:rsid w:val="00F8184E"/>
    <w:rsid w:val="00F8188B"/>
    <w:rsid w:val="00F8196C"/>
    <w:rsid w:val="00F81A5B"/>
    <w:rsid w:val="00F81B08"/>
    <w:rsid w:val="00F81B28"/>
    <w:rsid w:val="00F81B59"/>
    <w:rsid w:val="00F81C46"/>
    <w:rsid w:val="00F81C7F"/>
    <w:rsid w:val="00F81D3B"/>
    <w:rsid w:val="00F81DDF"/>
    <w:rsid w:val="00F81DE7"/>
    <w:rsid w:val="00F81EB9"/>
    <w:rsid w:val="00F81EC8"/>
    <w:rsid w:val="00F82125"/>
    <w:rsid w:val="00F82157"/>
    <w:rsid w:val="00F82263"/>
    <w:rsid w:val="00F822A5"/>
    <w:rsid w:val="00F82360"/>
    <w:rsid w:val="00F824C6"/>
    <w:rsid w:val="00F82561"/>
    <w:rsid w:val="00F82766"/>
    <w:rsid w:val="00F8279C"/>
    <w:rsid w:val="00F82974"/>
    <w:rsid w:val="00F82B59"/>
    <w:rsid w:val="00F82B70"/>
    <w:rsid w:val="00F82BCF"/>
    <w:rsid w:val="00F82BE4"/>
    <w:rsid w:val="00F82D0D"/>
    <w:rsid w:val="00F82D3E"/>
    <w:rsid w:val="00F82D7E"/>
    <w:rsid w:val="00F82E0B"/>
    <w:rsid w:val="00F82F3D"/>
    <w:rsid w:val="00F82F70"/>
    <w:rsid w:val="00F82F72"/>
    <w:rsid w:val="00F83048"/>
    <w:rsid w:val="00F830BE"/>
    <w:rsid w:val="00F830C2"/>
    <w:rsid w:val="00F830CA"/>
    <w:rsid w:val="00F83129"/>
    <w:rsid w:val="00F831CB"/>
    <w:rsid w:val="00F8326C"/>
    <w:rsid w:val="00F83506"/>
    <w:rsid w:val="00F837A6"/>
    <w:rsid w:val="00F837D8"/>
    <w:rsid w:val="00F837D9"/>
    <w:rsid w:val="00F83B62"/>
    <w:rsid w:val="00F83C3F"/>
    <w:rsid w:val="00F83E67"/>
    <w:rsid w:val="00F83F09"/>
    <w:rsid w:val="00F83F72"/>
    <w:rsid w:val="00F83FE4"/>
    <w:rsid w:val="00F84188"/>
    <w:rsid w:val="00F84357"/>
    <w:rsid w:val="00F8435A"/>
    <w:rsid w:val="00F8445A"/>
    <w:rsid w:val="00F84743"/>
    <w:rsid w:val="00F84795"/>
    <w:rsid w:val="00F8490B"/>
    <w:rsid w:val="00F8491B"/>
    <w:rsid w:val="00F8497C"/>
    <w:rsid w:val="00F84BAA"/>
    <w:rsid w:val="00F84DD7"/>
    <w:rsid w:val="00F8520F"/>
    <w:rsid w:val="00F853C6"/>
    <w:rsid w:val="00F854BE"/>
    <w:rsid w:val="00F85538"/>
    <w:rsid w:val="00F8579A"/>
    <w:rsid w:val="00F8583A"/>
    <w:rsid w:val="00F858AE"/>
    <w:rsid w:val="00F858FF"/>
    <w:rsid w:val="00F85B38"/>
    <w:rsid w:val="00F85BAF"/>
    <w:rsid w:val="00F85F22"/>
    <w:rsid w:val="00F85F64"/>
    <w:rsid w:val="00F85F8C"/>
    <w:rsid w:val="00F8615B"/>
    <w:rsid w:val="00F86190"/>
    <w:rsid w:val="00F861BA"/>
    <w:rsid w:val="00F861F1"/>
    <w:rsid w:val="00F86272"/>
    <w:rsid w:val="00F8629F"/>
    <w:rsid w:val="00F862C4"/>
    <w:rsid w:val="00F8670A"/>
    <w:rsid w:val="00F86937"/>
    <w:rsid w:val="00F86B16"/>
    <w:rsid w:val="00F86B27"/>
    <w:rsid w:val="00F86BA5"/>
    <w:rsid w:val="00F86BC3"/>
    <w:rsid w:val="00F86D20"/>
    <w:rsid w:val="00F86EB5"/>
    <w:rsid w:val="00F87008"/>
    <w:rsid w:val="00F8708A"/>
    <w:rsid w:val="00F87387"/>
    <w:rsid w:val="00F873A8"/>
    <w:rsid w:val="00F87718"/>
    <w:rsid w:val="00F877B5"/>
    <w:rsid w:val="00F877C1"/>
    <w:rsid w:val="00F877DF"/>
    <w:rsid w:val="00F87870"/>
    <w:rsid w:val="00F879D6"/>
    <w:rsid w:val="00F87A5B"/>
    <w:rsid w:val="00F87EA3"/>
    <w:rsid w:val="00F87F9A"/>
    <w:rsid w:val="00F900E8"/>
    <w:rsid w:val="00F90203"/>
    <w:rsid w:val="00F903A2"/>
    <w:rsid w:val="00F903E4"/>
    <w:rsid w:val="00F90478"/>
    <w:rsid w:val="00F90591"/>
    <w:rsid w:val="00F90724"/>
    <w:rsid w:val="00F90BA1"/>
    <w:rsid w:val="00F90C65"/>
    <w:rsid w:val="00F90CCA"/>
    <w:rsid w:val="00F90D6E"/>
    <w:rsid w:val="00F90DFF"/>
    <w:rsid w:val="00F90E38"/>
    <w:rsid w:val="00F90E63"/>
    <w:rsid w:val="00F90FBC"/>
    <w:rsid w:val="00F910EB"/>
    <w:rsid w:val="00F912E8"/>
    <w:rsid w:val="00F9156A"/>
    <w:rsid w:val="00F91581"/>
    <w:rsid w:val="00F91E0D"/>
    <w:rsid w:val="00F91E5B"/>
    <w:rsid w:val="00F921F7"/>
    <w:rsid w:val="00F92285"/>
    <w:rsid w:val="00F922C5"/>
    <w:rsid w:val="00F92501"/>
    <w:rsid w:val="00F92792"/>
    <w:rsid w:val="00F929B7"/>
    <w:rsid w:val="00F92B2B"/>
    <w:rsid w:val="00F92BB7"/>
    <w:rsid w:val="00F92D81"/>
    <w:rsid w:val="00F92EC6"/>
    <w:rsid w:val="00F92F90"/>
    <w:rsid w:val="00F92FAC"/>
    <w:rsid w:val="00F93133"/>
    <w:rsid w:val="00F931BA"/>
    <w:rsid w:val="00F933B5"/>
    <w:rsid w:val="00F934DC"/>
    <w:rsid w:val="00F93659"/>
    <w:rsid w:val="00F93742"/>
    <w:rsid w:val="00F937E5"/>
    <w:rsid w:val="00F939EC"/>
    <w:rsid w:val="00F93C5F"/>
    <w:rsid w:val="00F93CA0"/>
    <w:rsid w:val="00F93DD1"/>
    <w:rsid w:val="00F93ED5"/>
    <w:rsid w:val="00F94116"/>
    <w:rsid w:val="00F94386"/>
    <w:rsid w:val="00F94575"/>
    <w:rsid w:val="00F9468A"/>
    <w:rsid w:val="00F946E1"/>
    <w:rsid w:val="00F946F4"/>
    <w:rsid w:val="00F94794"/>
    <w:rsid w:val="00F948CB"/>
    <w:rsid w:val="00F949D8"/>
    <w:rsid w:val="00F94A8C"/>
    <w:rsid w:val="00F94D00"/>
    <w:rsid w:val="00F94E67"/>
    <w:rsid w:val="00F94EE4"/>
    <w:rsid w:val="00F95118"/>
    <w:rsid w:val="00F95124"/>
    <w:rsid w:val="00F951A4"/>
    <w:rsid w:val="00F951B8"/>
    <w:rsid w:val="00F9531F"/>
    <w:rsid w:val="00F9570B"/>
    <w:rsid w:val="00F957B7"/>
    <w:rsid w:val="00F957D2"/>
    <w:rsid w:val="00F95878"/>
    <w:rsid w:val="00F95B1D"/>
    <w:rsid w:val="00F95B6C"/>
    <w:rsid w:val="00F95DCB"/>
    <w:rsid w:val="00F95E35"/>
    <w:rsid w:val="00F95ED4"/>
    <w:rsid w:val="00F95F59"/>
    <w:rsid w:val="00F95F71"/>
    <w:rsid w:val="00F96256"/>
    <w:rsid w:val="00F9627D"/>
    <w:rsid w:val="00F96477"/>
    <w:rsid w:val="00F9658F"/>
    <w:rsid w:val="00F96608"/>
    <w:rsid w:val="00F96849"/>
    <w:rsid w:val="00F96879"/>
    <w:rsid w:val="00F969BA"/>
    <w:rsid w:val="00F96A37"/>
    <w:rsid w:val="00F96CA9"/>
    <w:rsid w:val="00F96E9A"/>
    <w:rsid w:val="00F96F34"/>
    <w:rsid w:val="00F9700F"/>
    <w:rsid w:val="00F970A4"/>
    <w:rsid w:val="00F9720E"/>
    <w:rsid w:val="00F973AC"/>
    <w:rsid w:val="00F97432"/>
    <w:rsid w:val="00F97588"/>
    <w:rsid w:val="00F9766E"/>
    <w:rsid w:val="00F9776A"/>
    <w:rsid w:val="00F97881"/>
    <w:rsid w:val="00F9788A"/>
    <w:rsid w:val="00F97931"/>
    <w:rsid w:val="00F97972"/>
    <w:rsid w:val="00F97AA4"/>
    <w:rsid w:val="00F97CBE"/>
    <w:rsid w:val="00F97E1F"/>
    <w:rsid w:val="00F97EC6"/>
    <w:rsid w:val="00F97ED5"/>
    <w:rsid w:val="00FA03AC"/>
    <w:rsid w:val="00FA04CA"/>
    <w:rsid w:val="00FA05D9"/>
    <w:rsid w:val="00FA077D"/>
    <w:rsid w:val="00FA0A2E"/>
    <w:rsid w:val="00FA0A46"/>
    <w:rsid w:val="00FA0AC6"/>
    <w:rsid w:val="00FA0BDF"/>
    <w:rsid w:val="00FA0CAF"/>
    <w:rsid w:val="00FA0D98"/>
    <w:rsid w:val="00FA0DF1"/>
    <w:rsid w:val="00FA0E30"/>
    <w:rsid w:val="00FA0EA3"/>
    <w:rsid w:val="00FA0FD7"/>
    <w:rsid w:val="00FA10B1"/>
    <w:rsid w:val="00FA11B0"/>
    <w:rsid w:val="00FA127C"/>
    <w:rsid w:val="00FA12F0"/>
    <w:rsid w:val="00FA1331"/>
    <w:rsid w:val="00FA1625"/>
    <w:rsid w:val="00FA1644"/>
    <w:rsid w:val="00FA16F9"/>
    <w:rsid w:val="00FA1849"/>
    <w:rsid w:val="00FA1A15"/>
    <w:rsid w:val="00FA1A92"/>
    <w:rsid w:val="00FA1CDB"/>
    <w:rsid w:val="00FA1E05"/>
    <w:rsid w:val="00FA1FF1"/>
    <w:rsid w:val="00FA203A"/>
    <w:rsid w:val="00FA2223"/>
    <w:rsid w:val="00FA2264"/>
    <w:rsid w:val="00FA2296"/>
    <w:rsid w:val="00FA2318"/>
    <w:rsid w:val="00FA2367"/>
    <w:rsid w:val="00FA237A"/>
    <w:rsid w:val="00FA23CC"/>
    <w:rsid w:val="00FA2580"/>
    <w:rsid w:val="00FA29C4"/>
    <w:rsid w:val="00FA2BB0"/>
    <w:rsid w:val="00FA2C19"/>
    <w:rsid w:val="00FA2C72"/>
    <w:rsid w:val="00FA2C78"/>
    <w:rsid w:val="00FA2DA1"/>
    <w:rsid w:val="00FA2E3B"/>
    <w:rsid w:val="00FA2FA1"/>
    <w:rsid w:val="00FA31BD"/>
    <w:rsid w:val="00FA32B2"/>
    <w:rsid w:val="00FA33D6"/>
    <w:rsid w:val="00FA33FC"/>
    <w:rsid w:val="00FA3584"/>
    <w:rsid w:val="00FA3602"/>
    <w:rsid w:val="00FA384B"/>
    <w:rsid w:val="00FA388F"/>
    <w:rsid w:val="00FA39D4"/>
    <w:rsid w:val="00FA39F6"/>
    <w:rsid w:val="00FA3AF6"/>
    <w:rsid w:val="00FA3C08"/>
    <w:rsid w:val="00FA3CE8"/>
    <w:rsid w:val="00FA3E76"/>
    <w:rsid w:val="00FA3F3E"/>
    <w:rsid w:val="00FA4092"/>
    <w:rsid w:val="00FA4118"/>
    <w:rsid w:val="00FA415C"/>
    <w:rsid w:val="00FA418D"/>
    <w:rsid w:val="00FA42BA"/>
    <w:rsid w:val="00FA44F0"/>
    <w:rsid w:val="00FA465A"/>
    <w:rsid w:val="00FA4832"/>
    <w:rsid w:val="00FA492E"/>
    <w:rsid w:val="00FA4936"/>
    <w:rsid w:val="00FA4987"/>
    <w:rsid w:val="00FA4EA9"/>
    <w:rsid w:val="00FA5107"/>
    <w:rsid w:val="00FA5232"/>
    <w:rsid w:val="00FA52EE"/>
    <w:rsid w:val="00FA533C"/>
    <w:rsid w:val="00FA5379"/>
    <w:rsid w:val="00FA554C"/>
    <w:rsid w:val="00FA55EB"/>
    <w:rsid w:val="00FA5615"/>
    <w:rsid w:val="00FA5664"/>
    <w:rsid w:val="00FA5733"/>
    <w:rsid w:val="00FA5B31"/>
    <w:rsid w:val="00FA5B3E"/>
    <w:rsid w:val="00FA5C6D"/>
    <w:rsid w:val="00FA5CAB"/>
    <w:rsid w:val="00FA6055"/>
    <w:rsid w:val="00FA608F"/>
    <w:rsid w:val="00FA62E8"/>
    <w:rsid w:val="00FA6388"/>
    <w:rsid w:val="00FA6592"/>
    <w:rsid w:val="00FA6687"/>
    <w:rsid w:val="00FA66AE"/>
    <w:rsid w:val="00FA6794"/>
    <w:rsid w:val="00FA689F"/>
    <w:rsid w:val="00FA6949"/>
    <w:rsid w:val="00FA695D"/>
    <w:rsid w:val="00FA6965"/>
    <w:rsid w:val="00FA6A4B"/>
    <w:rsid w:val="00FA6AE9"/>
    <w:rsid w:val="00FA6BD0"/>
    <w:rsid w:val="00FA6BF1"/>
    <w:rsid w:val="00FA6D0F"/>
    <w:rsid w:val="00FA6D92"/>
    <w:rsid w:val="00FA6DE8"/>
    <w:rsid w:val="00FA713B"/>
    <w:rsid w:val="00FA71C4"/>
    <w:rsid w:val="00FA72C3"/>
    <w:rsid w:val="00FA7551"/>
    <w:rsid w:val="00FA7619"/>
    <w:rsid w:val="00FA7698"/>
    <w:rsid w:val="00FA77B5"/>
    <w:rsid w:val="00FA7895"/>
    <w:rsid w:val="00FA7AF6"/>
    <w:rsid w:val="00FA7B01"/>
    <w:rsid w:val="00FA7C59"/>
    <w:rsid w:val="00FA7D10"/>
    <w:rsid w:val="00FA7D21"/>
    <w:rsid w:val="00FA7D52"/>
    <w:rsid w:val="00FA7F05"/>
    <w:rsid w:val="00FA7F6C"/>
    <w:rsid w:val="00FB0085"/>
    <w:rsid w:val="00FB016E"/>
    <w:rsid w:val="00FB0228"/>
    <w:rsid w:val="00FB0291"/>
    <w:rsid w:val="00FB02C6"/>
    <w:rsid w:val="00FB0402"/>
    <w:rsid w:val="00FB051F"/>
    <w:rsid w:val="00FB0569"/>
    <w:rsid w:val="00FB09D3"/>
    <w:rsid w:val="00FB0A1D"/>
    <w:rsid w:val="00FB0D62"/>
    <w:rsid w:val="00FB0EEE"/>
    <w:rsid w:val="00FB0F02"/>
    <w:rsid w:val="00FB0F1E"/>
    <w:rsid w:val="00FB10C5"/>
    <w:rsid w:val="00FB1191"/>
    <w:rsid w:val="00FB160F"/>
    <w:rsid w:val="00FB1615"/>
    <w:rsid w:val="00FB1809"/>
    <w:rsid w:val="00FB184C"/>
    <w:rsid w:val="00FB189C"/>
    <w:rsid w:val="00FB1951"/>
    <w:rsid w:val="00FB1977"/>
    <w:rsid w:val="00FB1B4B"/>
    <w:rsid w:val="00FB1BCE"/>
    <w:rsid w:val="00FB1CBE"/>
    <w:rsid w:val="00FB1E62"/>
    <w:rsid w:val="00FB1F20"/>
    <w:rsid w:val="00FB1F8F"/>
    <w:rsid w:val="00FB22A9"/>
    <w:rsid w:val="00FB22BA"/>
    <w:rsid w:val="00FB2373"/>
    <w:rsid w:val="00FB24CF"/>
    <w:rsid w:val="00FB26B4"/>
    <w:rsid w:val="00FB29E7"/>
    <w:rsid w:val="00FB2CAE"/>
    <w:rsid w:val="00FB31D0"/>
    <w:rsid w:val="00FB3384"/>
    <w:rsid w:val="00FB346D"/>
    <w:rsid w:val="00FB36B4"/>
    <w:rsid w:val="00FB3799"/>
    <w:rsid w:val="00FB380E"/>
    <w:rsid w:val="00FB3821"/>
    <w:rsid w:val="00FB39C5"/>
    <w:rsid w:val="00FB3D32"/>
    <w:rsid w:val="00FB3F8C"/>
    <w:rsid w:val="00FB3FC4"/>
    <w:rsid w:val="00FB4139"/>
    <w:rsid w:val="00FB4323"/>
    <w:rsid w:val="00FB4394"/>
    <w:rsid w:val="00FB454E"/>
    <w:rsid w:val="00FB45F0"/>
    <w:rsid w:val="00FB4809"/>
    <w:rsid w:val="00FB494F"/>
    <w:rsid w:val="00FB4D4A"/>
    <w:rsid w:val="00FB4DC2"/>
    <w:rsid w:val="00FB4EFF"/>
    <w:rsid w:val="00FB4FCB"/>
    <w:rsid w:val="00FB4FE2"/>
    <w:rsid w:val="00FB50CE"/>
    <w:rsid w:val="00FB5137"/>
    <w:rsid w:val="00FB5387"/>
    <w:rsid w:val="00FB5570"/>
    <w:rsid w:val="00FB588B"/>
    <w:rsid w:val="00FB598A"/>
    <w:rsid w:val="00FB5A6A"/>
    <w:rsid w:val="00FB5C4A"/>
    <w:rsid w:val="00FB5DF0"/>
    <w:rsid w:val="00FB5FE6"/>
    <w:rsid w:val="00FB603A"/>
    <w:rsid w:val="00FB6090"/>
    <w:rsid w:val="00FB6124"/>
    <w:rsid w:val="00FB6130"/>
    <w:rsid w:val="00FB628B"/>
    <w:rsid w:val="00FB6321"/>
    <w:rsid w:val="00FB64A8"/>
    <w:rsid w:val="00FB650E"/>
    <w:rsid w:val="00FB6616"/>
    <w:rsid w:val="00FB6822"/>
    <w:rsid w:val="00FB6861"/>
    <w:rsid w:val="00FB68DD"/>
    <w:rsid w:val="00FB6A07"/>
    <w:rsid w:val="00FB6CDA"/>
    <w:rsid w:val="00FB6D8F"/>
    <w:rsid w:val="00FB7084"/>
    <w:rsid w:val="00FB7283"/>
    <w:rsid w:val="00FB7308"/>
    <w:rsid w:val="00FB739F"/>
    <w:rsid w:val="00FB7449"/>
    <w:rsid w:val="00FB74FC"/>
    <w:rsid w:val="00FB75B9"/>
    <w:rsid w:val="00FB75C8"/>
    <w:rsid w:val="00FB76B4"/>
    <w:rsid w:val="00FB775D"/>
    <w:rsid w:val="00FB77B4"/>
    <w:rsid w:val="00FB793E"/>
    <w:rsid w:val="00FB7A1E"/>
    <w:rsid w:val="00FB7A51"/>
    <w:rsid w:val="00FB7A9B"/>
    <w:rsid w:val="00FB7DFD"/>
    <w:rsid w:val="00FB7E26"/>
    <w:rsid w:val="00FB7F96"/>
    <w:rsid w:val="00FB7FCF"/>
    <w:rsid w:val="00FC007A"/>
    <w:rsid w:val="00FC00F0"/>
    <w:rsid w:val="00FC0263"/>
    <w:rsid w:val="00FC02B4"/>
    <w:rsid w:val="00FC0395"/>
    <w:rsid w:val="00FC0511"/>
    <w:rsid w:val="00FC0548"/>
    <w:rsid w:val="00FC0620"/>
    <w:rsid w:val="00FC063C"/>
    <w:rsid w:val="00FC0A30"/>
    <w:rsid w:val="00FC0A52"/>
    <w:rsid w:val="00FC0A6E"/>
    <w:rsid w:val="00FC0F93"/>
    <w:rsid w:val="00FC100C"/>
    <w:rsid w:val="00FC11A8"/>
    <w:rsid w:val="00FC11DC"/>
    <w:rsid w:val="00FC124F"/>
    <w:rsid w:val="00FC15AE"/>
    <w:rsid w:val="00FC16D6"/>
    <w:rsid w:val="00FC16EE"/>
    <w:rsid w:val="00FC1900"/>
    <w:rsid w:val="00FC1A69"/>
    <w:rsid w:val="00FC1C9C"/>
    <w:rsid w:val="00FC1CAD"/>
    <w:rsid w:val="00FC1D78"/>
    <w:rsid w:val="00FC1DC6"/>
    <w:rsid w:val="00FC2004"/>
    <w:rsid w:val="00FC20BF"/>
    <w:rsid w:val="00FC21A6"/>
    <w:rsid w:val="00FC2609"/>
    <w:rsid w:val="00FC2670"/>
    <w:rsid w:val="00FC282B"/>
    <w:rsid w:val="00FC2839"/>
    <w:rsid w:val="00FC2934"/>
    <w:rsid w:val="00FC29A8"/>
    <w:rsid w:val="00FC2A91"/>
    <w:rsid w:val="00FC2EF8"/>
    <w:rsid w:val="00FC2F34"/>
    <w:rsid w:val="00FC3003"/>
    <w:rsid w:val="00FC3010"/>
    <w:rsid w:val="00FC30C4"/>
    <w:rsid w:val="00FC310F"/>
    <w:rsid w:val="00FC31F5"/>
    <w:rsid w:val="00FC3273"/>
    <w:rsid w:val="00FC32C8"/>
    <w:rsid w:val="00FC32E8"/>
    <w:rsid w:val="00FC332F"/>
    <w:rsid w:val="00FC337B"/>
    <w:rsid w:val="00FC339B"/>
    <w:rsid w:val="00FC34E2"/>
    <w:rsid w:val="00FC3561"/>
    <w:rsid w:val="00FC358C"/>
    <w:rsid w:val="00FC3611"/>
    <w:rsid w:val="00FC36B9"/>
    <w:rsid w:val="00FC3902"/>
    <w:rsid w:val="00FC39B8"/>
    <w:rsid w:val="00FC3B69"/>
    <w:rsid w:val="00FC3CBD"/>
    <w:rsid w:val="00FC3D1F"/>
    <w:rsid w:val="00FC3D27"/>
    <w:rsid w:val="00FC3DB4"/>
    <w:rsid w:val="00FC3F6B"/>
    <w:rsid w:val="00FC4154"/>
    <w:rsid w:val="00FC4163"/>
    <w:rsid w:val="00FC41C6"/>
    <w:rsid w:val="00FC420B"/>
    <w:rsid w:val="00FC4301"/>
    <w:rsid w:val="00FC4335"/>
    <w:rsid w:val="00FC4560"/>
    <w:rsid w:val="00FC45C2"/>
    <w:rsid w:val="00FC46D3"/>
    <w:rsid w:val="00FC4875"/>
    <w:rsid w:val="00FC4A65"/>
    <w:rsid w:val="00FC4D34"/>
    <w:rsid w:val="00FC4D97"/>
    <w:rsid w:val="00FC4EBB"/>
    <w:rsid w:val="00FC4F56"/>
    <w:rsid w:val="00FC5213"/>
    <w:rsid w:val="00FC5319"/>
    <w:rsid w:val="00FC5336"/>
    <w:rsid w:val="00FC5439"/>
    <w:rsid w:val="00FC5502"/>
    <w:rsid w:val="00FC55F3"/>
    <w:rsid w:val="00FC5689"/>
    <w:rsid w:val="00FC5690"/>
    <w:rsid w:val="00FC569A"/>
    <w:rsid w:val="00FC56D9"/>
    <w:rsid w:val="00FC58C3"/>
    <w:rsid w:val="00FC5A15"/>
    <w:rsid w:val="00FC5A36"/>
    <w:rsid w:val="00FC5AFD"/>
    <w:rsid w:val="00FC5B1C"/>
    <w:rsid w:val="00FC5CAE"/>
    <w:rsid w:val="00FC5D7D"/>
    <w:rsid w:val="00FC5E60"/>
    <w:rsid w:val="00FC5F30"/>
    <w:rsid w:val="00FC628E"/>
    <w:rsid w:val="00FC6454"/>
    <w:rsid w:val="00FC655F"/>
    <w:rsid w:val="00FC6569"/>
    <w:rsid w:val="00FC65F1"/>
    <w:rsid w:val="00FC67C7"/>
    <w:rsid w:val="00FC6B19"/>
    <w:rsid w:val="00FC6B2C"/>
    <w:rsid w:val="00FC6BB2"/>
    <w:rsid w:val="00FC6BDE"/>
    <w:rsid w:val="00FC6D48"/>
    <w:rsid w:val="00FC70B3"/>
    <w:rsid w:val="00FC70DD"/>
    <w:rsid w:val="00FC72E2"/>
    <w:rsid w:val="00FC739A"/>
    <w:rsid w:val="00FC7469"/>
    <w:rsid w:val="00FC75CE"/>
    <w:rsid w:val="00FC7647"/>
    <w:rsid w:val="00FC76DD"/>
    <w:rsid w:val="00FC7861"/>
    <w:rsid w:val="00FC7876"/>
    <w:rsid w:val="00FC7959"/>
    <w:rsid w:val="00FC7CB0"/>
    <w:rsid w:val="00FC7CD0"/>
    <w:rsid w:val="00FC7D05"/>
    <w:rsid w:val="00FC7D10"/>
    <w:rsid w:val="00FC7D2C"/>
    <w:rsid w:val="00FD0047"/>
    <w:rsid w:val="00FD0191"/>
    <w:rsid w:val="00FD045F"/>
    <w:rsid w:val="00FD0594"/>
    <w:rsid w:val="00FD0625"/>
    <w:rsid w:val="00FD0693"/>
    <w:rsid w:val="00FD0720"/>
    <w:rsid w:val="00FD0B44"/>
    <w:rsid w:val="00FD0C11"/>
    <w:rsid w:val="00FD0C63"/>
    <w:rsid w:val="00FD0C73"/>
    <w:rsid w:val="00FD0C96"/>
    <w:rsid w:val="00FD1199"/>
    <w:rsid w:val="00FD148F"/>
    <w:rsid w:val="00FD1544"/>
    <w:rsid w:val="00FD16C2"/>
    <w:rsid w:val="00FD17C1"/>
    <w:rsid w:val="00FD1939"/>
    <w:rsid w:val="00FD1951"/>
    <w:rsid w:val="00FD19F2"/>
    <w:rsid w:val="00FD1A98"/>
    <w:rsid w:val="00FD1C11"/>
    <w:rsid w:val="00FD1D05"/>
    <w:rsid w:val="00FD1F10"/>
    <w:rsid w:val="00FD1FA3"/>
    <w:rsid w:val="00FD1FB5"/>
    <w:rsid w:val="00FD217B"/>
    <w:rsid w:val="00FD2233"/>
    <w:rsid w:val="00FD22FD"/>
    <w:rsid w:val="00FD2393"/>
    <w:rsid w:val="00FD2557"/>
    <w:rsid w:val="00FD25EF"/>
    <w:rsid w:val="00FD274E"/>
    <w:rsid w:val="00FD2AE3"/>
    <w:rsid w:val="00FD2B02"/>
    <w:rsid w:val="00FD2E24"/>
    <w:rsid w:val="00FD2FA2"/>
    <w:rsid w:val="00FD3244"/>
    <w:rsid w:val="00FD34DE"/>
    <w:rsid w:val="00FD356E"/>
    <w:rsid w:val="00FD35CF"/>
    <w:rsid w:val="00FD3809"/>
    <w:rsid w:val="00FD3B51"/>
    <w:rsid w:val="00FD3BA0"/>
    <w:rsid w:val="00FD3DDA"/>
    <w:rsid w:val="00FD3E90"/>
    <w:rsid w:val="00FD3F84"/>
    <w:rsid w:val="00FD41B2"/>
    <w:rsid w:val="00FD4300"/>
    <w:rsid w:val="00FD433D"/>
    <w:rsid w:val="00FD43A5"/>
    <w:rsid w:val="00FD44E6"/>
    <w:rsid w:val="00FD45B9"/>
    <w:rsid w:val="00FD47B1"/>
    <w:rsid w:val="00FD48A3"/>
    <w:rsid w:val="00FD48C3"/>
    <w:rsid w:val="00FD4AF7"/>
    <w:rsid w:val="00FD4BF2"/>
    <w:rsid w:val="00FD4F0A"/>
    <w:rsid w:val="00FD50B7"/>
    <w:rsid w:val="00FD51D2"/>
    <w:rsid w:val="00FD51F6"/>
    <w:rsid w:val="00FD5458"/>
    <w:rsid w:val="00FD56BB"/>
    <w:rsid w:val="00FD5878"/>
    <w:rsid w:val="00FD5931"/>
    <w:rsid w:val="00FD59B4"/>
    <w:rsid w:val="00FD5A0F"/>
    <w:rsid w:val="00FD5B9C"/>
    <w:rsid w:val="00FD5D01"/>
    <w:rsid w:val="00FD5DC4"/>
    <w:rsid w:val="00FD6011"/>
    <w:rsid w:val="00FD6040"/>
    <w:rsid w:val="00FD642A"/>
    <w:rsid w:val="00FD64F7"/>
    <w:rsid w:val="00FD6BED"/>
    <w:rsid w:val="00FD6D84"/>
    <w:rsid w:val="00FD6DD3"/>
    <w:rsid w:val="00FD6E42"/>
    <w:rsid w:val="00FD716D"/>
    <w:rsid w:val="00FD75AE"/>
    <w:rsid w:val="00FD7615"/>
    <w:rsid w:val="00FD76F4"/>
    <w:rsid w:val="00FD779C"/>
    <w:rsid w:val="00FD7A41"/>
    <w:rsid w:val="00FD7C5C"/>
    <w:rsid w:val="00FD7F41"/>
    <w:rsid w:val="00FD7FCB"/>
    <w:rsid w:val="00FE0186"/>
    <w:rsid w:val="00FE032B"/>
    <w:rsid w:val="00FE0509"/>
    <w:rsid w:val="00FE05DB"/>
    <w:rsid w:val="00FE0655"/>
    <w:rsid w:val="00FE0697"/>
    <w:rsid w:val="00FE081A"/>
    <w:rsid w:val="00FE0A8F"/>
    <w:rsid w:val="00FE0BB4"/>
    <w:rsid w:val="00FE0D2E"/>
    <w:rsid w:val="00FE0D98"/>
    <w:rsid w:val="00FE0E35"/>
    <w:rsid w:val="00FE0EBE"/>
    <w:rsid w:val="00FE0FB4"/>
    <w:rsid w:val="00FE1195"/>
    <w:rsid w:val="00FE11A9"/>
    <w:rsid w:val="00FE138E"/>
    <w:rsid w:val="00FE1463"/>
    <w:rsid w:val="00FE14D6"/>
    <w:rsid w:val="00FE150D"/>
    <w:rsid w:val="00FE175D"/>
    <w:rsid w:val="00FE18F9"/>
    <w:rsid w:val="00FE1A46"/>
    <w:rsid w:val="00FE1BD8"/>
    <w:rsid w:val="00FE1C83"/>
    <w:rsid w:val="00FE1D40"/>
    <w:rsid w:val="00FE1DE4"/>
    <w:rsid w:val="00FE1F0E"/>
    <w:rsid w:val="00FE1FAF"/>
    <w:rsid w:val="00FE2078"/>
    <w:rsid w:val="00FE2742"/>
    <w:rsid w:val="00FE2773"/>
    <w:rsid w:val="00FE27A9"/>
    <w:rsid w:val="00FE282B"/>
    <w:rsid w:val="00FE2A2D"/>
    <w:rsid w:val="00FE2B58"/>
    <w:rsid w:val="00FE2BE0"/>
    <w:rsid w:val="00FE2C51"/>
    <w:rsid w:val="00FE2CF1"/>
    <w:rsid w:val="00FE2D1C"/>
    <w:rsid w:val="00FE2D35"/>
    <w:rsid w:val="00FE2D57"/>
    <w:rsid w:val="00FE2E6B"/>
    <w:rsid w:val="00FE2EAE"/>
    <w:rsid w:val="00FE33DA"/>
    <w:rsid w:val="00FE3536"/>
    <w:rsid w:val="00FE35C0"/>
    <w:rsid w:val="00FE38CD"/>
    <w:rsid w:val="00FE3A9C"/>
    <w:rsid w:val="00FE3B0F"/>
    <w:rsid w:val="00FE3B81"/>
    <w:rsid w:val="00FE3EC5"/>
    <w:rsid w:val="00FE3FA4"/>
    <w:rsid w:val="00FE403F"/>
    <w:rsid w:val="00FE405D"/>
    <w:rsid w:val="00FE40D2"/>
    <w:rsid w:val="00FE42F2"/>
    <w:rsid w:val="00FE431F"/>
    <w:rsid w:val="00FE43C1"/>
    <w:rsid w:val="00FE4531"/>
    <w:rsid w:val="00FE454D"/>
    <w:rsid w:val="00FE4691"/>
    <w:rsid w:val="00FE473E"/>
    <w:rsid w:val="00FE49C6"/>
    <w:rsid w:val="00FE4AB2"/>
    <w:rsid w:val="00FE4B02"/>
    <w:rsid w:val="00FE4B75"/>
    <w:rsid w:val="00FE4C1B"/>
    <w:rsid w:val="00FE4C1F"/>
    <w:rsid w:val="00FE4C2F"/>
    <w:rsid w:val="00FE4D64"/>
    <w:rsid w:val="00FE4D6D"/>
    <w:rsid w:val="00FE4F39"/>
    <w:rsid w:val="00FE4FE4"/>
    <w:rsid w:val="00FE5113"/>
    <w:rsid w:val="00FE511B"/>
    <w:rsid w:val="00FE538B"/>
    <w:rsid w:val="00FE53B0"/>
    <w:rsid w:val="00FE5511"/>
    <w:rsid w:val="00FE5648"/>
    <w:rsid w:val="00FE59C1"/>
    <w:rsid w:val="00FE5D05"/>
    <w:rsid w:val="00FE5D8B"/>
    <w:rsid w:val="00FE5EA7"/>
    <w:rsid w:val="00FE5FAB"/>
    <w:rsid w:val="00FE602A"/>
    <w:rsid w:val="00FE6196"/>
    <w:rsid w:val="00FE62E8"/>
    <w:rsid w:val="00FE6819"/>
    <w:rsid w:val="00FE6A63"/>
    <w:rsid w:val="00FE6B0F"/>
    <w:rsid w:val="00FE6C4D"/>
    <w:rsid w:val="00FE6C50"/>
    <w:rsid w:val="00FE6DBC"/>
    <w:rsid w:val="00FE6DFB"/>
    <w:rsid w:val="00FE6E96"/>
    <w:rsid w:val="00FE763C"/>
    <w:rsid w:val="00FE7689"/>
    <w:rsid w:val="00FE769D"/>
    <w:rsid w:val="00FE772A"/>
    <w:rsid w:val="00FE785F"/>
    <w:rsid w:val="00FE78A5"/>
    <w:rsid w:val="00FE7961"/>
    <w:rsid w:val="00FE7AB2"/>
    <w:rsid w:val="00FE7ADD"/>
    <w:rsid w:val="00FE7AEA"/>
    <w:rsid w:val="00FE7BCC"/>
    <w:rsid w:val="00FE7C83"/>
    <w:rsid w:val="00FE7F98"/>
    <w:rsid w:val="00FE7FBC"/>
    <w:rsid w:val="00FF015E"/>
    <w:rsid w:val="00FF020E"/>
    <w:rsid w:val="00FF02C2"/>
    <w:rsid w:val="00FF0515"/>
    <w:rsid w:val="00FF05C8"/>
    <w:rsid w:val="00FF0604"/>
    <w:rsid w:val="00FF0758"/>
    <w:rsid w:val="00FF08F0"/>
    <w:rsid w:val="00FF091E"/>
    <w:rsid w:val="00FF0C10"/>
    <w:rsid w:val="00FF0C42"/>
    <w:rsid w:val="00FF0CA8"/>
    <w:rsid w:val="00FF0D2C"/>
    <w:rsid w:val="00FF0D4B"/>
    <w:rsid w:val="00FF0F0B"/>
    <w:rsid w:val="00FF1257"/>
    <w:rsid w:val="00FF1355"/>
    <w:rsid w:val="00FF1465"/>
    <w:rsid w:val="00FF14EC"/>
    <w:rsid w:val="00FF1512"/>
    <w:rsid w:val="00FF15CC"/>
    <w:rsid w:val="00FF165D"/>
    <w:rsid w:val="00FF172B"/>
    <w:rsid w:val="00FF177F"/>
    <w:rsid w:val="00FF17E5"/>
    <w:rsid w:val="00FF1A55"/>
    <w:rsid w:val="00FF1ABF"/>
    <w:rsid w:val="00FF1CC5"/>
    <w:rsid w:val="00FF1DDD"/>
    <w:rsid w:val="00FF1FEA"/>
    <w:rsid w:val="00FF224D"/>
    <w:rsid w:val="00FF22F1"/>
    <w:rsid w:val="00FF23DE"/>
    <w:rsid w:val="00FF2564"/>
    <w:rsid w:val="00FF262B"/>
    <w:rsid w:val="00FF2717"/>
    <w:rsid w:val="00FF275D"/>
    <w:rsid w:val="00FF2B69"/>
    <w:rsid w:val="00FF2B76"/>
    <w:rsid w:val="00FF2BBE"/>
    <w:rsid w:val="00FF2EA2"/>
    <w:rsid w:val="00FF2F7C"/>
    <w:rsid w:val="00FF3050"/>
    <w:rsid w:val="00FF3054"/>
    <w:rsid w:val="00FF3127"/>
    <w:rsid w:val="00FF33E6"/>
    <w:rsid w:val="00FF33EE"/>
    <w:rsid w:val="00FF341F"/>
    <w:rsid w:val="00FF3621"/>
    <w:rsid w:val="00FF37C8"/>
    <w:rsid w:val="00FF3940"/>
    <w:rsid w:val="00FF3AD1"/>
    <w:rsid w:val="00FF3B61"/>
    <w:rsid w:val="00FF3C16"/>
    <w:rsid w:val="00FF3DEC"/>
    <w:rsid w:val="00FF3DF0"/>
    <w:rsid w:val="00FF3E66"/>
    <w:rsid w:val="00FF3ED2"/>
    <w:rsid w:val="00FF3EE5"/>
    <w:rsid w:val="00FF3FF0"/>
    <w:rsid w:val="00FF4261"/>
    <w:rsid w:val="00FF4290"/>
    <w:rsid w:val="00FF430B"/>
    <w:rsid w:val="00FF43B7"/>
    <w:rsid w:val="00FF457B"/>
    <w:rsid w:val="00FF46B7"/>
    <w:rsid w:val="00FF4970"/>
    <w:rsid w:val="00FF4A70"/>
    <w:rsid w:val="00FF4C38"/>
    <w:rsid w:val="00FF4D1A"/>
    <w:rsid w:val="00FF4EDF"/>
    <w:rsid w:val="00FF4F36"/>
    <w:rsid w:val="00FF4F3B"/>
    <w:rsid w:val="00FF4FA2"/>
    <w:rsid w:val="00FF4FE8"/>
    <w:rsid w:val="00FF5089"/>
    <w:rsid w:val="00FF51B0"/>
    <w:rsid w:val="00FF521D"/>
    <w:rsid w:val="00FF5270"/>
    <w:rsid w:val="00FF5298"/>
    <w:rsid w:val="00FF52C5"/>
    <w:rsid w:val="00FF52E6"/>
    <w:rsid w:val="00FF54D6"/>
    <w:rsid w:val="00FF5655"/>
    <w:rsid w:val="00FF5801"/>
    <w:rsid w:val="00FF581E"/>
    <w:rsid w:val="00FF5933"/>
    <w:rsid w:val="00FF5A86"/>
    <w:rsid w:val="00FF5B56"/>
    <w:rsid w:val="00FF6109"/>
    <w:rsid w:val="00FF626C"/>
    <w:rsid w:val="00FF63B7"/>
    <w:rsid w:val="00FF642B"/>
    <w:rsid w:val="00FF6512"/>
    <w:rsid w:val="00FF6534"/>
    <w:rsid w:val="00FF6798"/>
    <w:rsid w:val="00FF67B4"/>
    <w:rsid w:val="00FF68C9"/>
    <w:rsid w:val="00FF68F2"/>
    <w:rsid w:val="00FF6951"/>
    <w:rsid w:val="00FF6B7E"/>
    <w:rsid w:val="00FF6B8A"/>
    <w:rsid w:val="00FF6BEE"/>
    <w:rsid w:val="00FF6CA9"/>
    <w:rsid w:val="00FF6CB6"/>
    <w:rsid w:val="00FF6D3E"/>
    <w:rsid w:val="00FF7041"/>
    <w:rsid w:val="00FF709A"/>
    <w:rsid w:val="00FF70ED"/>
    <w:rsid w:val="00FF7439"/>
    <w:rsid w:val="00FF7454"/>
    <w:rsid w:val="00FF75D1"/>
    <w:rsid w:val="00FF76C8"/>
    <w:rsid w:val="00FF7890"/>
    <w:rsid w:val="00FF7B38"/>
    <w:rsid w:val="00FF7C63"/>
    <w:rsid w:val="00FF7F60"/>
    <w:rsid w:val="010C91A9"/>
    <w:rsid w:val="010E6A38"/>
    <w:rsid w:val="010F91F8"/>
    <w:rsid w:val="012E3504"/>
    <w:rsid w:val="01314796"/>
    <w:rsid w:val="01541688"/>
    <w:rsid w:val="0155CAA3"/>
    <w:rsid w:val="015BD94F"/>
    <w:rsid w:val="0160FD2C"/>
    <w:rsid w:val="0163678A"/>
    <w:rsid w:val="017A59C8"/>
    <w:rsid w:val="017CF987"/>
    <w:rsid w:val="017DF130"/>
    <w:rsid w:val="01879890"/>
    <w:rsid w:val="018826F3"/>
    <w:rsid w:val="01AC8C01"/>
    <w:rsid w:val="01B049FE"/>
    <w:rsid w:val="01B0B9C9"/>
    <w:rsid w:val="01CEF7F7"/>
    <w:rsid w:val="01CFDCB7"/>
    <w:rsid w:val="01E32BDD"/>
    <w:rsid w:val="01F3454C"/>
    <w:rsid w:val="01F69B42"/>
    <w:rsid w:val="01F7B840"/>
    <w:rsid w:val="01F9FB0C"/>
    <w:rsid w:val="01FB1269"/>
    <w:rsid w:val="0233FD84"/>
    <w:rsid w:val="02427567"/>
    <w:rsid w:val="02432985"/>
    <w:rsid w:val="024B0E56"/>
    <w:rsid w:val="024FF98F"/>
    <w:rsid w:val="02534907"/>
    <w:rsid w:val="025B2856"/>
    <w:rsid w:val="0261AF4B"/>
    <w:rsid w:val="02761EB4"/>
    <w:rsid w:val="028F964A"/>
    <w:rsid w:val="02918E88"/>
    <w:rsid w:val="02C85AB0"/>
    <w:rsid w:val="02CDEE1D"/>
    <w:rsid w:val="02CE7E8F"/>
    <w:rsid w:val="02D057C7"/>
    <w:rsid w:val="02D7B08E"/>
    <w:rsid w:val="02E3F878"/>
    <w:rsid w:val="02E712D7"/>
    <w:rsid w:val="02EEA28B"/>
    <w:rsid w:val="02F14C03"/>
    <w:rsid w:val="02FFB6D7"/>
    <w:rsid w:val="030A13C2"/>
    <w:rsid w:val="03198428"/>
    <w:rsid w:val="031EFA0C"/>
    <w:rsid w:val="03288B32"/>
    <w:rsid w:val="033CB6C7"/>
    <w:rsid w:val="033E0610"/>
    <w:rsid w:val="0340432D"/>
    <w:rsid w:val="0353500F"/>
    <w:rsid w:val="03553763"/>
    <w:rsid w:val="03572E6D"/>
    <w:rsid w:val="038B540D"/>
    <w:rsid w:val="0395CB6D"/>
    <w:rsid w:val="0397BB42"/>
    <w:rsid w:val="03A33B7B"/>
    <w:rsid w:val="03A72E0F"/>
    <w:rsid w:val="03AD9512"/>
    <w:rsid w:val="03BC3005"/>
    <w:rsid w:val="03C53618"/>
    <w:rsid w:val="03C9720F"/>
    <w:rsid w:val="03C9EE5B"/>
    <w:rsid w:val="03CD5024"/>
    <w:rsid w:val="03D651B0"/>
    <w:rsid w:val="03F1076F"/>
    <w:rsid w:val="03FE9067"/>
    <w:rsid w:val="04096336"/>
    <w:rsid w:val="040E2CA5"/>
    <w:rsid w:val="0420EA13"/>
    <w:rsid w:val="042A6005"/>
    <w:rsid w:val="042D37AB"/>
    <w:rsid w:val="0446147C"/>
    <w:rsid w:val="04481BCF"/>
    <w:rsid w:val="04522A38"/>
    <w:rsid w:val="045333D2"/>
    <w:rsid w:val="0457EB91"/>
    <w:rsid w:val="045DDAC4"/>
    <w:rsid w:val="046B948F"/>
    <w:rsid w:val="047042DF"/>
    <w:rsid w:val="047377A0"/>
    <w:rsid w:val="04A6EE2B"/>
    <w:rsid w:val="04AB8F71"/>
    <w:rsid w:val="04AE95F3"/>
    <w:rsid w:val="04BD61C0"/>
    <w:rsid w:val="04DF7C42"/>
    <w:rsid w:val="04E5609B"/>
    <w:rsid w:val="04F0E4AE"/>
    <w:rsid w:val="04F7C006"/>
    <w:rsid w:val="05033CB7"/>
    <w:rsid w:val="050822C4"/>
    <w:rsid w:val="0509B1B8"/>
    <w:rsid w:val="05162637"/>
    <w:rsid w:val="051A3C08"/>
    <w:rsid w:val="052282A2"/>
    <w:rsid w:val="052A35A3"/>
    <w:rsid w:val="052B9F18"/>
    <w:rsid w:val="053B0B4D"/>
    <w:rsid w:val="053CE687"/>
    <w:rsid w:val="054DBAB7"/>
    <w:rsid w:val="054EC16E"/>
    <w:rsid w:val="05546B2A"/>
    <w:rsid w:val="056078CD"/>
    <w:rsid w:val="058CD7D0"/>
    <w:rsid w:val="05938CA4"/>
    <w:rsid w:val="0596CD66"/>
    <w:rsid w:val="0599B057"/>
    <w:rsid w:val="059DABB3"/>
    <w:rsid w:val="05BFD666"/>
    <w:rsid w:val="05CE7009"/>
    <w:rsid w:val="05CFEDE0"/>
    <w:rsid w:val="05D15A39"/>
    <w:rsid w:val="05DD67FB"/>
    <w:rsid w:val="05E08512"/>
    <w:rsid w:val="05E5DBEF"/>
    <w:rsid w:val="05E702FC"/>
    <w:rsid w:val="05F24C10"/>
    <w:rsid w:val="05F8309D"/>
    <w:rsid w:val="06024837"/>
    <w:rsid w:val="0602CAC1"/>
    <w:rsid w:val="06041CE4"/>
    <w:rsid w:val="0608D6B6"/>
    <w:rsid w:val="0609F398"/>
    <w:rsid w:val="060D17F5"/>
    <w:rsid w:val="0624D558"/>
    <w:rsid w:val="06374069"/>
    <w:rsid w:val="06396AA5"/>
    <w:rsid w:val="064D1BB3"/>
    <w:rsid w:val="0653321F"/>
    <w:rsid w:val="065B03CF"/>
    <w:rsid w:val="065EC859"/>
    <w:rsid w:val="066FA385"/>
    <w:rsid w:val="067612B4"/>
    <w:rsid w:val="067CCA0F"/>
    <w:rsid w:val="06B3942A"/>
    <w:rsid w:val="06C4CBB1"/>
    <w:rsid w:val="06C98094"/>
    <w:rsid w:val="06F37A13"/>
    <w:rsid w:val="06F62021"/>
    <w:rsid w:val="0704143B"/>
    <w:rsid w:val="07094AF7"/>
    <w:rsid w:val="0713C5B9"/>
    <w:rsid w:val="07234738"/>
    <w:rsid w:val="0751F3D4"/>
    <w:rsid w:val="075ED4C7"/>
    <w:rsid w:val="07640809"/>
    <w:rsid w:val="077C400E"/>
    <w:rsid w:val="0785CA97"/>
    <w:rsid w:val="0798ABA0"/>
    <w:rsid w:val="079EA1E1"/>
    <w:rsid w:val="079EB85B"/>
    <w:rsid w:val="07A7BBC4"/>
    <w:rsid w:val="07A9B121"/>
    <w:rsid w:val="07AA3E87"/>
    <w:rsid w:val="07B1DB97"/>
    <w:rsid w:val="07C4B32A"/>
    <w:rsid w:val="07C79390"/>
    <w:rsid w:val="07C935C6"/>
    <w:rsid w:val="07E9B562"/>
    <w:rsid w:val="07F0EC7D"/>
    <w:rsid w:val="08138BB6"/>
    <w:rsid w:val="081BA912"/>
    <w:rsid w:val="081D18CC"/>
    <w:rsid w:val="082BB4F9"/>
    <w:rsid w:val="0830076B"/>
    <w:rsid w:val="08393186"/>
    <w:rsid w:val="084873C3"/>
    <w:rsid w:val="0849C241"/>
    <w:rsid w:val="084DD2F6"/>
    <w:rsid w:val="085557DF"/>
    <w:rsid w:val="0862CBE2"/>
    <w:rsid w:val="0866F9C4"/>
    <w:rsid w:val="086837C2"/>
    <w:rsid w:val="086AC12F"/>
    <w:rsid w:val="087CFD38"/>
    <w:rsid w:val="08848408"/>
    <w:rsid w:val="0884BE65"/>
    <w:rsid w:val="088993BD"/>
    <w:rsid w:val="088C435E"/>
    <w:rsid w:val="088C4FEE"/>
    <w:rsid w:val="08AC0007"/>
    <w:rsid w:val="08AFD09F"/>
    <w:rsid w:val="08BDF704"/>
    <w:rsid w:val="08CD842E"/>
    <w:rsid w:val="08D0B898"/>
    <w:rsid w:val="08D12E0B"/>
    <w:rsid w:val="08D4F064"/>
    <w:rsid w:val="08DD412E"/>
    <w:rsid w:val="090AEF69"/>
    <w:rsid w:val="090BA2C5"/>
    <w:rsid w:val="09331799"/>
    <w:rsid w:val="093EFB3D"/>
    <w:rsid w:val="09987D19"/>
    <w:rsid w:val="099B5CF7"/>
    <w:rsid w:val="099C4F79"/>
    <w:rsid w:val="099C725F"/>
    <w:rsid w:val="09AFF38F"/>
    <w:rsid w:val="09BDD267"/>
    <w:rsid w:val="09C59D3F"/>
    <w:rsid w:val="09D4F27A"/>
    <w:rsid w:val="09D73C77"/>
    <w:rsid w:val="09DBF4F2"/>
    <w:rsid w:val="09DF82FC"/>
    <w:rsid w:val="09E00216"/>
    <w:rsid w:val="09E933B6"/>
    <w:rsid w:val="09F0CD43"/>
    <w:rsid w:val="09FAFF90"/>
    <w:rsid w:val="0A17CB2C"/>
    <w:rsid w:val="0A1E354E"/>
    <w:rsid w:val="0A2F84F6"/>
    <w:rsid w:val="0A3CEE85"/>
    <w:rsid w:val="0A479202"/>
    <w:rsid w:val="0A528383"/>
    <w:rsid w:val="0A59D48D"/>
    <w:rsid w:val="0A67F93A"/>
    <w:rsid w:val="0A6B4235"/>
    <w:rsid w:val="0A7090DB"/>
    <w:rsid w:val="0A79118F"/>
    <w:rsid w:val="0A84494E"/>
    <w:rsid w:val="0A8608C1"/>
    <w:rsid w:val="0A878F37"/>
    <w:rsid w:val="0AA222EB"/>
    <w:rsid w:val="0AAE4F6B"/>
    <w:rsid w:val="0ABE4240"/>
    <w:rsid w:val="0ACA421F"/>
    <w:rsid w:val="0ACCF061"/>
    <w:rsid w:val="0AD472AA"/>
    <w:rsid w:val="0AD83E78"/>
    <w:rsid w:val="0AE545DF"/>
    <w:rsid w:val="0AE91725"/>
    <w:rsid w:val="0AEE4821"/>
    <w:rsid w:val="0AF37DA7"/>
    <w:rsid w:val="0AF77A79"/>
    <w:rsid w:val="0B14AB30"/>
    <w:rsid w:val="0B1525A7"/>
    <w:rsid w:val="0B2C7800"/>
    <w:rsid w:val="0B4945AE"/>
    <w:rsid w:val="0B4C8C0D"/>
    <w:rsid w:val="0B69DF7E"/>
    <w:rsid w:val="0B6B282D"/>
    <w:rsid w:val="0B6B7610"/>
    <w:rsid w:val="0B6C349C"/>
    <w:rsid w:val="0B75F0E6"/>
    <w:rsid w:val="0B795D68"/>
    <w:rsid w:val="0B7F426A"/>
    <w:rsid w:val="0B800C9D"/>
    <w:rsid w:val="0B89214E"/>
    <w:rsid w:val="0B9BB1E2"/>
    <w:rsid w:val="0B9E9A86"/>
    <w:rsid w:val="0BA815A9"/>
    <w:rsid w:val="0BAA84AF"/>
    <w:rsid w:val="0BB06D54"/>
    <w:rsid w:val="0BD2195F"/>
    <w:rsid w:val="0BD568D4"/>
    <w:rsid w:val="0BDA45A5"/>
    <w:rsid w:val="0BDDAC7C"/>
    <w:rsid w:val="0BDE4E8C"/>
    <w:rsid w:val="0BE4281E"/>
    <w:rsid w:val="0BFC58EC"/>
    <w:rsid w:val="0C013EA1"/>
    <w:rsid w:val="0C02E65E"/>
    <w:rsid w:val="0C0B9CCC"/>
    <w:rsid w:val="0C0D69F5"/>
    <w:rsid w:val="0C0F7474"/>
    <w:rsid w:val="0C106A65"/>
    <w:rsid w:val="0C19B263"/>
    <w:rsid w:val="0C1FE8EE"/>
    <w:rsid w:val="0C301274"/>
    <w:rsid w:val="0C347128"/>
    <w:rsid w:val="0C36FFE5"/>
    <w:rsid w:val="0C54BACE"/>
    <w:rsid w:val="0C877981"/>
    <w:rsid w:val="0C8A52A8"/>
    <w:rsid w:val="0C8F37DD"/>
    <w:rsid w:val="0C9168C8"/>
    <w:rsid w:val="0C960173"/>
    <w:rsid w:val="0C9E7518"/>
    <w:rsid w:val="0C9F512C"/>
    <w:rsid w:val="0CAC928A"/>
    <w:rsid w:val="0CB9FC00"/>
    <w:rsid w:val="0CBE0DA6"/>
    <w:rsid w:val="0CC9099F"/>
    <w:rsid w:val="0CC95E1E"/>
    <w:rsid w:val="0CD0E83B"/>
    <w:rsid w:val="0CD2226E"/>
    <w:rsid w:val="0CE05AEB"/>
    <w:rsid w:val="0CE5B42F"/>
    <w:rsid w:val="0CECF3B6"/>
    <w:rsid w:val="0CF7ED6C"/>
    <w:rsid w:val="0D177315"/>
    <w:rsid w:val="0D1A8123"/>
    <w:rsid w:val="0D2CCB39"/>
    <w:rsid w:val="0D33FECA"/>
    <w:rsid w:val="0D3A6AE7"/>
    <w:rsid w:val="0D4063F0"/>
    <w:rsid w:val="0D534258"/>
    <w:rsid w:val="0D5A38F5"/>
    <w:rsid w:val="0D5C54DA"/>
    <w:rsid w:val="0D63124B"/>
    <w:rsid w:val="0D651AD6"/>
    <w:rsid w:val="0D7C3AA8"/>
    <w:rsid w:val="0D7ED9B2"/>
    <w:rsid w:val="0D81F486"/>
    <w:rsid w:val="0D8ABB1F"/>
    <w:rsid w:val="0D8D79D2"/>
    <w:rsid w:val="0D8FA0B8"/>
    <w:rsid w:val="0D9069DC"/>
    <w:rsid w:val="0D9182F9"/>
    <w:rsid w:val="0DAE91EF"/>
    <w:rsid w:val="0DBB0231"/>
    <w:rsid w:val="0DCFAD20"/>
    <w:rsid w:val="0DD56FD9"/>
    <w:rsid w:val="0DDAE0D8"/>
    <w:rsid w:val="0DE39080"/>
    <w:rsid w:val="0DEEDF49"/>
    <w:rsid w:val="0DFBCECD"/>
    <w:rsid w:val="0E126C5B"/>
    <w:rsid w:val="0E2B5915"/>
    <w:rsid w:val="0E2D9685"/>
    <w:rsid w:val="0E2E6F04"/>
    <w:rsid w:val="0E3083B0"/>
    <w:rsid w:val="0E30CCE4"/>
    <w:rsid w:val="0E3821F7"/>
    <w:rsid w:val="0E3DFED7"/>
    <w:rsid w:val="0E3E1E81"/>
    <w:rsid w:val="0E5350E9"/>
    <w:rsid w:val="0E5D43F5"/>
    <w:rsid w:val="0E63B604"/>
    <w:rsid w:val="0E83AF30"/>
    <w:rsid w:val="0E8AC7E8"/>
    <w:rsid w:val="0E8CFE72"/>
    <w:rsid w:val="0E917405"/>
    <w:rsid w:val="0EB00A6F"/>
    <w:rsid w:val="0EEA2B54"/>
    <w:rsid w:val="0F033857"/>
    <w:rsid w:val="0F095C1C"/>
    <w:rsid w:val="0F2478DD"/>
    <w:rsid w:val="0F2AA352"/>
    <w:rsid w:val="0F2C5AD0"/>
    <w:rsid w:val="0F305265"/>
    <w:rsid w:val="0F3B41FA"/>
    <w:rsid w:val="0F3E96B2"/>
    <w:rsid w:val="0F3FD3F0"/>
    <w:rsid w:val="0F409D67"/>
    <w:rsid w:val="0F71403A"/>
    <w:rsid w:val="0F71D7F8"/>
    <w:rsid w:val="0F7413DA"/>
    <w:rsid w:val="0F75524F"/>
    <w:rsid w:val="0F779BA1"/>
    <w:rsid w:val="0F80495B"/>
    <w:rsid w:val="0F8066A4"/>
    <w:rsid w:val="0F9A101D"/>
    <w:rsid w:val="0FABB4F6"/>
    <w:rsid w:val="0FBD27DB"/>
    <w:rsid w:val="0FC6A8F8"/>
    <w:rsid w:val="0FC7CABE"/>
    <w:rsid w:val="0FC999BE"/>
    <w:rsid w:val="0FCF6E6D"/>
    <w:rsid w:val="0FD2295F"/>
    <w:rsid w:val="0FD38502"/>
    <w:rsid w:val="0FD64310"/>
    <w:rsid w:val="0FDD3E75"/>
    <w:rsid w:val="0FEFB652"/>
    <w:rsid w:val="0FF3C0C2"/>
    <w:rsid w:val="1006B549"/>
    <w:rsid w:val="10203B1C"/>
    <w:rsid w:val="102CE6A5"/>
    <w:rsid w:val="10345E66"/>
    <w:rsid w:val="103C013A"/>
    <w:rsid w:val="104349EB"/>
    <w:rsid w:val="104A3D14"/>
    <w:rsid w:val="104C8E65"/>
    <w:rsid w:val="105AC3A0"/>
    <w:rsid w:val="105E0665"/>
    <w:rsid w:val="105E3D50"/>
    <w:rsid w:val="106E6461"/>
    <w:rsid w:val="1077F2E4"/>
    <w:rsid w:val="10BB55CF"/>
    <w:rsid w:val="10D5D779"/>
    <w:rsid w:val="10D7125B"/>
    <w:rsid w:val="10D751F3"/>
    <w:rsid w:val="10DB60A4"/>
    <w:rsid w:val="10E21730"/>
    <w:rsid w:val="10F27599"/>
    <w:rsid w:val="111122B0"/>
    <w:rsid w:val="1112B85A"/>
    <w:rsid w:val="11162C54"/>
    <w:rsid w:val="1121C44B"/>
    <w:rsid w:val="11282EEC"/>
    <w:rsid w:val="112FD29B"/>
    <w:rsid w:val="113C1019"/>
    <w:rsid w:val="113E3D43"/>
    <w:rsid w:val="113EF862"/>
    <w:rsid w:val="1140EC27"/>
    <w:rsid w:val="116E47DA"/>
    <w:rsid w:val="116EEBA9"/>
    <w:rsid w:val="11780592"/>
    <w:rsid w:val="117BBAD3"/>
    <w:rsid w:val="117F8DA0"/>
    <w:rsid w:val="11850D3C"/>
    <w:rsid w:val="1190200A"/>
    <w:rsid w:val="119EBE85"/>
    <w:rsid w:val="11A7256F"/>
    <w:rsid w:val="11A8315B"/>
    <w:rsid w:val="11AA7C8F"/>
    <w:rsid w:val="11CD6321"/>
    <w:rsid w:val="11CF8E79"/>
    <w:rsid w:val="11D62276"/>
    <w:rsid w:val="11D8AF4C"/>
    <w:rsid w:val="11E346B1"/>
    <w:rsid w:val="11F862D2"/>
    <w:rsid w:val="11FEEB8A"/>
    <w:rsid w:val="1200AC96"/>
    <w:rsid w:val="12063391"/>
    <w:rsid w:val="120AB721"/>
    <w:rsid w:val="120EE77D"/>
    <w:rsid w:val="12168B38"/>
    <w:rsid w:val="121BF1DF"/>
    <w:rsid w:val="1247AB14"/>
    <w:rsid w:val="124E6994"/>
    <w:rsid w:val="125F3798"/>
    <w:rsid w:val="1263AF48"/>
    <w:rsid w:val="126DAF9C"/>
    <w:rsid w:val="1272BB1D"/>
    <w:rsid w:val="1272E2BC"/>
    <w:rsid w:val="128032F8"/>
    <w:rsid w:val="129FD54B"/>
    <w:rsid w:val="12A78163"/>
    <w:rsid w:val="12A84190"/>
    <w:rsid w:val="12ACF311"/>
    <w:rsid w:val="12B06199"/>
    <w:rsid w:val="12C251A0"/>
    <w:rsid w:val="12DE7F07"/>
    <w:rsid w:val="12E4367D"/>
    <w:rsid w:val="12EC9699"/>
    <w:rsid w:val="12F26BB8"/>
    <w:rsid w:val="12FC69C7"/>
    <w:rsid w:val="130D5F47"/>
    <w:rsid w:val="131BD350"/>
    <w:rsid w:val="13249599"/>
    <w:rsid w:val="133C2CBD"/>
    <w:rsid w:val="13402674"/>
    <w:rsid w:val="1345F56E"/>
    <w:rsid w:val="13498A73"/>
    <w:rsid w:val="134DBCEA"/>
    <w:rsid w:val="135C1760"/>
    <w:rsid w:val="135F22BD"/>
    <w:rsid w:val="136B3271"/>
    <w:rsid w:val="1371DC5A"/>
    <w:rsid w:val="137598E7"/>
    <w:rsid w:val="137783CF"/>
    <w:rsid w:val="137EA751"/>
    <w:rsid w:val="139D5397"/>
    <w:rsid w:val="13A054B9"/>
    <w:rsid w:val="13A9AE97"/>
    <w:rsid w:val="13AB88AE"/>
    <w:rsid w:val="13ADEAF3"/>
    <w:rsid w:val="13B825E0"/>
    <w:rsid w:val="13CD60FD"/>
    <w:rsid w:val="13D6F01B"/>
    <w:rsid w:val="13D86075"/>
    <w:rsid w:val="13DC907D"/>
    <w:rsid w:val="13DCBD21"/>
    <w:rsid w:val="13E027E5"/>
    <w:rsid w:val="13E2B9F1"/>
    <w:rsid w:val="13EF8FE4"/>
    <w:rsid w:val="1402A75D"/>
    <w:rsid w:val="141E5AE7"/>
    <w:rsid w:val="1423BD67"/>
    <w:rsid w:val="143CD13B"/>
    <w:rsid w:val="143D9DE6"/>
    <w:rsid w:val="1444B15D"/>
    <w:rsid w:val="144D929E"/>
    <w:rsid w:val="14508C0E"/>
    <w:rsid w:val="14542108"/>
    <w:rsid w:val="145B1779"/>
    <w:rsid w:val="145C6B78"/>
    <w:rsid w:val="14636514"/>
    <w:rsid w:val="14700220"/>
    <w:rsid w:val="14844701"/>
    <w:rsid w:val="149A128E"/>
    <w:rsid w:val="149C0E6B"/>
    <w:rsid w:val="14AE339A"/>
    <w:rsid w:val="14B03FF8"/>
    <w:rsid w:val="14B3101F"/>
    <w:rsid w:val="14D416C8"/>
    <w:rsid w:val="14EA4594"/>
    <w:rsid w:val="14F353D7"/>
    <w:rsid w:val="14F7A53A"/>
    <w:rsid w:val="1506E38D"/>
    <w:rsid w:val="151461D2"/>
    <w:rsid w:val="15149376"/>
    <w:rsid w:val="15271A8B"/>
    <w:rsid w:val="15354D68"/>
    <w:rsid w:val="1536D088"/>
    <w:rsid w:val="15394D80"/>
    <w:rsid w:val="15453336"/>
    <w:rsid w:val="1549DD1E"/>
    <w:rsid w:val="154BFC3A"/>
    <w:rsid w:val="154C3F23"/>
    <w:rsid w:val="156BFDDD"/>
    <w:rsid w:val="1579931D"/>
    <w:rsid w:val="15958CED"/>
    <w:rsid w:val="159D8EE6"/>
    <w:rsid w:val="15B777E2"/>
    <w:rsid w:val="15C917BC"/>
    <w:rsid w:val="15D408D1"/>
    <w:rsid w:val="15D981C0"/>
    <w:rsid w:val="15DB946E"/>
    <w:rsid w:val="15E7D380"/>
    <w:rsid w:val="15EA15C3"/>
    <w:rsid w:val="15ECED7A"/>
    <w:rsid w:val="15F119A6"/>
    <w:rsid w:val="15FA0F08"/>
    <w:rsid w:val="15FF7DFE"/>
    <w:rsid w:val="16002861"/>
    <w:rsid w:val="1618C380"/>
    <w:rsid w:val="161BD11A"/>
    <w:rsid w:val="161E97D8"/>
    <w:rsid w:val="1623C687"/>
    <w:rsid w:val="1633F647"/>
    <w:rsid w:val="16412C74"/>
    <w:rsid w:val="16665ADA"/>
    <w:rsid w:val="1672FF1E"/>
    <w:rsid w:val="167D9630"/>
    <w:rsid w:val="168963F9"/>
    <w:rsid w:val="16927FCE"/>
    <w:rsid w:val="169E90A1"/>
    <w:rsid w:val="16A53B94"/>
    <w:rsid w:val="16A55BF1"/>
    <w:rsid w:val="16A86D8A"/>
    <w:rsid w:val="16AA2736"/>
    <w:rsid w:val="16B4269A"/>
    <w:rsid w:val="16B7C396"/>
    <w:rsid w:val="16BC0991"/>
    <w:rsid w:val="16C13690"/>
    <w:rsid w:val="16C252B0"/>
    <w:rsid w:val="16D08FC2"/>
    <w:rsid w:val="16F332E4"/>
    <w:rsid w:val="16F9C293"/>
    <w:rsid w:val="16FA24EE"/>
    <w:rsid w:val="170F426E"/>
    <w:rsid w:val="171B5E19"/>
    <w:rsid w:val="1739B1C9"/>
    <w:rsid w:val="17462945"/>
    <w:rsid w:val="174D5F68"/>
    <w:rsid w:val="1761BC1A"/>
    <w:rsid w:val="1764E8BC"/>
    <w:rsid w:val="176D0FCC"/>
    <w:rsid w:val="177D8703"/>
    <w:rsid w:val="17853360"/>
    <w:rsid w:val="178D53D9"/>
    <w:rsid w:val="178EC48C"/>
    <w:rsid w:val="1790CA95"/>
    <w:rsid w:val="17B7E2D0"/>
    <w:rsid w:val="17BBE7C3"/>
    <w:rsid w:val="17D0C3E0"/>
    <w:rsid w:val="17DF3EEF"/>
    <w:rsid w:val="17E81768"/>
    <w:rsid w:val="17F85C3E"/>
    <w:rsid w:val="18012F0F"/>
    <w:rsid w:val="18300DE8"/>
    <w:rsid w:val="184A09A8"/>
    <w:rsid w:val="185486D8"/>
    <w:rsid w:val="18594BD9"/>
    <w:rsid w:val="186219D0"/>
    <w:rsid w:val="186581EE"/>
    <w:rsid w:val="186CE102"/>
    <w:rsid w:val="186F91DC"/>
    <w:rsid w:val="1891B28E"/>
    <w:rsid w:val="189CA4FE"/>
    <w:rsid w:val="18B12095"/>
    <w:rsid w:val="18B84C52"/>
    <w:rsid w:val="18B8B7CD"/>
    <w:rsid w:val="18C07F6B"/>
    <w:rsid w:val="18D45A8F"/>
    <w:rsid w:val="18DE5CA1"/>
    <w:rsid w:val="18E26660"/>
    <w:rsid w:val="18E9F654"/>
    <w:rsid w:val="18F3599F"/>
    <w:rsid w:val="19030C38"/>
    <w:rsid w:val="1923E7CF"/>
    <w:rsid w:val="1948DD72"/>
    <w:rsid w:val="19560A15"/>
    <w:rsid w:val="195C2E8D"/>
    <w:rsid w:val="195D0009"/>
    <w:rsid w:val="196BE784"/>
    <w:rsid w:val="198393A8"/>
    <w:rsid w:val="1985F3EA"/>
    <w:rsid w:val="1994DC74"/>
    <w:rsid w:val="19958E02"/>
    <w:rsid w:val="19AFBB14"/>
    <w:rsid w:val="19B1628E"/>
    <w:rsid w:val="19BAD09F"/>
    <w:rsid w:val="19BD344A"/>
    <w:rsid w:val="19C2DE1F"/>
    <w:rsid w:val="19C5718F"/>
    <w:rsid w:val="19E09B5D"/>
    <w:rsid w:val="19F1F40E"/>
    <w:rsid w:val="19F3AC53"/>
    <w:rsid w:val="19FA408B"/>
    <w:rsid w:val="1A427988"/>
    <w:rsid w:val="1A4F2E6A"/>
    <w:rsid w:val="1A78C2C8"/>
    <w:rsid w:val="1A8AFD12"/>
    <w:rsid w:val="1A9B7B35"/>
    <w:rsid w:val="1A9DC022"/>
    <w:rsid w:val="1ACB47F4"/>
    <w:rsid w:val="1ACD2E85"/>
    <w:rsid w:val="1AED2C9D"/>
    <w:rsid w:val="1B0A8994"/>
    <w:rsid w:val="1B178478"/>
    <w:rsid w:val="1B1BDB5C"/>
    <w:rsid w:val="1B1EE7D8"/>
    <w:rsid w:val="1B232734"/>
    <w:rsid w:val="1B271F48"/>
    <w:rsid w:val="1B3DA005"/>
    <w:rsid w:val="1B44C449"/>
    <w:rsid w:val="1B48A801"/>
    <w:rsid w:val="1B510753"/>
    <w:rsid w:val="1B5FB10C"/>
    <w:rsid w:val="1B7940E6"/>
    <w:rsid w:val="1B7E2986"/>
    <w:rsid w:val="1B82D70F"/>
    <w:rsid w:val="1B902CE7"/>
    <w:rsid w:val="1B9EF01C"/>
    <w:rsid w:val="1B9FD726"/>
    <w:rsid w:val="1BA04627"/>
    <w:rsid w:val="1BA4E891"/>
    <w:rsid w:val="1BA7329E"/>
    <w:rsid w:val="1BAE47A4"/>
    <w:rsid w:val="1BB181EA"/>
    <w:rsid w:val="1BB7011C"/>
    <w:rsid w:val="1BC43E7C"/>
    <w:rsid w:val="1BD4BF61"/>
    <w:rsid w:val="1BD57CEA"/>
    <w:rsid w:val="1BECD72B"/>
    <w:rsid w:val="1BF14C4D"/>
    <w:rsid w:val="1BFC6B59"/>
    <w:rsid w:val="1BFF9B28"/>
    <w:rsid w:val="1C03685C"/>
    <w:rsid w:val="1C173DB6"/>
    <w:rsid w:val="1C19F703"/>
    <w:rsid w:val="1C341F26"/>
    <w:rsid w:val="1C3F7C26"/>
    <w:rsid w:val="1C42BB89"/>
    <w:rsid w:val="1C4D8856"/>
    <w:rsid w:val="1C521740"/>
    <w:rsid w:val="1C57B0C8"/>
    <w:rsid w:val="1C5D8D01"/>
    <w:rsid w:val="1C6354B2"/>
    <w:rsid w:val="1C6A19DA"/>
    <w:rsid w:val="1C86D9A1"/>
    <w:rsid w:val="1C87BAD7"/>
    <w:rsid w:val="1C8D7A94"/>
    <w:rsid w:val="1C92A2F7"/>
    <w:rsid w:val="1C93141A"/>
    <w:rsid w:val="1CA31621"/>
    <w:rsid w:val="1CA6062C"/>
    <w:rsid w:val="1CB43BC8"/>
    <w:rsid w:val="1CB666D7"/>
    <w:rsid w:val="1CC5187C"/>
    <w:rsid w:val="1CD2ADA4"/>
    <w:rsid w:val="1CD404EF"/>
    <w:rsid w:val="1CDBE85C"/>
    <w:rsid w:val="1CDEB969"/>
    <w:rsid w:val="1CE8A881"/>
    <w:rsid w:val="1CEE54DD"/>
    <w:rsid w:val="1CF6C7AF"/>
    <w:rsid w:val="1CFB11FC"/>
    <w:rsid w:val="1D02F9A6"/>
    <w:rsid w:val="1D05A050"/>
    <w:rsid w:val="1D1B6A2D"/>
    <w:rsid w:val="1D23017E"/>
    <w:rsid w:val="1D2B06FF"/>
    <w:rsid w:val="1D3B44B8"/>
    <w:rsid w:val="1D48B628"/>
    <w:rsid w:val="1D50F584"/>
    <w:rsid w:val="1D52D17D"/>
    <w:rsid w:val="1D536591"/>
    <w:rsid w:val="1D55F042"/>
    <w:rsid w:val="1D6652A1"/>
    <w:rsid w:val="1D6BEDE6"/>
    <w:rsid w:val="1D7BD6B7"/>
    <w:rsid w:val="1D802389"/>
    <w:rsid w:val="1D82B863"/>
    <w:rsid w:val="1D854441"/>
    <w:rsid w:val="1D87609B"/>
    <w:rsid w:val="1D8D7FB1"/>
    <w:rsid w:val="1D9DE626"/>
    <w:rsid w:val="1DA94DE1"/>
    <w:rsid w:val="1DB124CE"/>
    <w:rsid w:val="1DBFD093"/>
    <w:rsid w:val="1DDF0E4C"/>
    <w:rsid w:val="1DE57B32"/>
    <w:rsid w:val="1DE7D543"/>
    <w:rsid w:val="1DF4DAA8"/>
    <w:rsid w:val="1DFA3472"/>
    <w:rsid w:val="1E1F1486"/>
    <w:rsid w:val="1E2F7683"/>
    <w:rsid w:val="1E36BA9A"/>
    <w:rsid w:val="1E371531"/>
    <w:rsid w:val="1E3AD2B3"/>
    <w:rsid w:val="1E487862"/>
    <w:rsid w:val="1E4AB13D"/>
    <w:rsid w:val="1E4EFE8F"/>
    <w:rsid w:val="1E5ABBD0"/>
    <w:rsid w:val="1E6177A9"/>
    <w:rsid w:val="1E620EB9"/>
    <w:rsid w:val="1E7DAE54"/>
    <w:rsid w:val="1E886092"/>
    <w:rsid w:val="1EA25379"/>
    <w:rsid w:val="1EA98687"/>
    <w:rsid w:val="1EBD2F60"/>
    <w:rsid w:val="1EBE5591"/>
    <w:rsid w:val="1EC5CAC4"/>
    <w:rsid w:val="1EDED360"/>
    <w:rsid w:val="1EDF7192"/>
    <w:rsid w:val="1EEEA1DE"/>
    <w:rsid w:val="1F0C3C38"/>
    <w:rsid w:val="1F232124"/>
    <w:rsid w:val="1F2AF1BA"/>
    <w:rsid w:val="1F2BB25E"/>
    <w:rsid w:val="1F419B5E"/>
    <w:rsid w:val="1F60B7AC"/>
    <w:rsid w:val="1F662824"/>
    <w:rsid w:val="1F771D82"/>
    <w:rsid w:val="1F977B43"/>
    <w:rsid w:val="1FA3BE69"/>
    <w:rsid w:val="1FB64631"/>
    <w:rsid w:val="1FC6F9A8"/>
    <w:rsid w:val="1FC93C74"/>
    <w:rsid w:val="1FCA4AA1"/>
    <w:rsid w:val="1FD3936D"/>
    <w:rsid w:val="1FD5F186"/>
    <w:rsid w:val="1FE3D52B"/>
    <w:rsid w:val="20101BAB"/>
    <w:rsid w:val="201BF521"/>
    <w:rsid w:val="2027E247"/>
    <w:rsid w:val="202DAC4B"/>
    <w:rsid w:val="2039F98C"/>
    <w:rsid w:val="203CAEEB"/>
    <w:rsid w:val="204BA49D"/>
    <w:rsid w:val="205E0D08"/>
    <w:rsid w:val="20625503"/>
    <w:rsid w:val="20677EBF"/>
    <w:rsid w:val="2067FC51"/>
    <w:rsid w:val="206CEDF9"/>
    <w:rsid w:val="2082F9DC"/>
    <w:rsid w:val="20837412"/>
    <w:rsid w:val="2083D911"/>
    <w:rsid w:val="2087E1A5"/>
    <w:rsid w:val="2090612E"/>
    <w:rsid w:val="20A55BA9"/>
    <w:rsid w:val="20A58290"/>
    <w:rsid w:val="20A78C99"/>
    <w:rsid w:val="20B202F6"/>
    <w:rsid w:val="20B36B49"/>
    <w:rsid w:val="20B4402A"/>
    <w:rsid w:val="20B92CC5"/>
    <w:rsid w:val="20BF015D"/>
    <w:rsid w:val="20C6FF6E"/>
    <w:rsid w:val="20CA28FC"/>
    <w:rsid w:val="20F59B58"/>
    <w:rsid w:val="2102495F"/>
    <w:rsid w:val="212B21EB"/>
    <w:rsid w:val="21319407"/>
    <w:rsid w:val="2138FF46"/>
    <w:rsid w:val="213FB5AA"/>
    <w:rsid w:val="2144D3C8"/>
    <w:rsid w:val="21454B0A"/>
    <w:rsid w:val="21480220"/>
    <w:rsid w:val="214AC62E"/>
    <w:rsid w:val="2155569D"/>
    <w:rsid w:val="215EDB2D"/>
    <w:rsid w:val="21650CD5"/>
    <w:rsid w:val="217E0C5A"/>
    <w:rsid w:val="217E39C3"/>
    <w:rsid w:val="21824DEF"/>
    <w:rsid w:val="218453A3"/>
    <w:rsid w:val="2184A194"/>
    <w:rsid w:val="218B716D"/>
    <w:rsid w:val="218E9E6B"/>
    <w:rsid w:val="2196304E"/>
    <w:rsid w:val="21B4DD3E"/>
    <w:rsid w:val="21C9E153"/>
    <w:rsid w:val="21DCBBA8"/>
    <w:rsid w:val="21E5625F"/>
    <w:rsid w:val="21FDCEFB"/>
    <w:rsid w:val="220121F6"/>
    <w:rsid w:val="2204F3CD"/>
    <w:rsid w:val="2206B03C"/>
    <w:rsid w:val="220E88D1"/>
    <w:rsid w:val="22223A91"/>
    <w:rsid w:val="222E3026"/>
    <w:rsid w:val="2241EFBA"/>
    <w:rsid w:val="22574E76"/>
    <w:rsid w:val="225C2AD2"/>
    <w:rsid w:val="225D94C6"/>
    <w:rsid w:val="22742028"/>
    <w:rsid w:val="2277D4DF"/>
    <w:rsid w:val="228FD251"/>
    <w:rsid w:val="22A3C697"/>
    <w:rsid w:val="22A54632"/>
    <w:rsid w:val="22B1E5F5"/>
    <w:rsid w:val="22C0BF72"/>
    <w:rsid w:val="22D3F222"/>
    <w:rsid w:val="22D6DB28"/>
    <w:rsid w:val="22E5EB0C"/>
    <w:rsid w:val="2304A1D2"/>
    <w:rsid w:val="2309B04F"/>
    <w:rsid w:val="230BC43D"/>
    <w:rsid w:val="231299F4"/>
    <w:rsid w:val="231BBC21"/>
    <w:rsid w:val="2322E5D4"/>
    <w:rsid w:val="232CAEF2"/>
    <w:rsid w:val="2338286D"/>
    <w:rsid w:val="233C2683"/>
    <w:rsid w:val="233E1742"/>
    <w:rsid w:val="2347B66B"/>
    <w:rsid w:val="234C7B28"/>
    <w:rsid w:val="23607F28"/>
    <w:rsid w:val="2379DF53"/>
    <w:rsid w:val="237AAE3C"/>
    <w:rsid w:val="237E7885"/>
    <w:rsid w:val="2380F5F6"/>
    <w:rsid w:val="2382C904"/>
    <w:rsid w:val="239DB171"/>
    <w:rsid w:val="23A4458D"/>
    <w:rsid w:val="23AF9103"/>
    <w:rsid w:val="23B8E1C7"/>
    <w:rsid w:val="23BE384F"/>
    <w:rsid w:val="23EA810A"/>
    <w:rsid w:val="23FC7F5F"/>
    <w:rsid w:val="23FF1B02"/>
    <w:rsid w:val="2412DCF9"/>
    <w:rsid w:val="2415386C"/>
    <w:rsid w:val="242ADCA4"/>
    <w:rsid w:val="2444E83A"/>
    <w:rsid w:val="2445B413"/>
    <w:rsid w:val="245283F5"/>
    <w:rsid w:val="24637E9C"/>
    <w:rsid w:val="24696A63"/>
    <w:rsid w:val="247FB2C9"/>
    <w:rsid w:val="2481426E"/>
    <w:rsid w:val="2498BF4A"/>
    <w:rsid w:val="249CAD97"/>
    <w:rsid w:val="24A4052E"/>
    <w:rsid w:val="24A97CBF"/>
    <w:rsid w:val="24AE86CE"/>
    <w:rsid w:val="24B21D2A"/>
    <w:rsid w:val="24C6D1BF"/>
    <w:rsid w:val="24CD0C00"/>
    <w:rsid w:val="24CE4B2E"/>
    <w:rsid w:val="24D26EE8"/>
    <w:rsid w:val="24E0CC40"/>
    <w:rsid w:val="24EAD1DD"/>
    <w:rsid w:val="24FF5855"/>
    <w:rsid w:val="25067194"/>
    <w:rsid w:val="250E5C36"/>
    <w:rsid w:val="25136A8F"/>
    <w:rsid w:val="251973F5"/>
    <w:rsid w:val="253C04CD"/>
    <w:rsid w:val="253EE4CB"/>
    <w:rsid w:val="2546C780"/>
    <w:rsid w:val="254A8358"/>
    <w:rsid w:val="25538D09"/>
    <w:rsid w:val="255BED53"/>
    <w:rsid w:val="25600608"/>
    <w:rsid w:val="258D9B02"/>
    <w:rsid w:val="259C5F40"/>
    <w:rsid w:val="259FF559"/>
    <w:rsid w:val="25A064B4"/>
    <w:rsid w:val="25A10B51"/>
    <w:rsid w:val="25A15767"/>
    <w:rsid w:val="25C1679E"/>
    <w:rsid w:val="25CCB845"/>
    <w:rsid w:val="25CE0902"/>
    <w:rsid w:val="25E0B9DA"/>
    <w:rsid w:val="25E0EC67"/>
    <w:rsid w:val="25EA232C"/>
    <w:rsid w:val="25F26C51"/>
    <w:rsid w:val="25F89726"/>
    <w:rsid w:val="261AA82D"/>
    <w:rsid w:val="2623D191"/>
    <w:rsid w:val="262C6B3F"/>
    <w:rsid w:val="264693D0"/>
    <w:rsid w:val="2647F53C"/>
    <w:rsid w:val="264FDAB2"/>
    <w:rsid w:val="264FDAC0"/>
    <w:rsid w:val="265F584E"/>
    <w:rsid w:val="266959A3"/>
    <w:rsid w:val="26915153"/>
    <w:rsid w:val="2694805B"/>
    <w:rsid w:val="2698A2B8"/>
    <w:rsid w:val="269B41DE"/>
    <w:rsid w:val="269FF857"/>
    <w:rsid w:val="26A41BA4"/>
    <w:rsid w:val="26B1CA43"/>
    <w:rsid w:val="26B99A74"/>
    <w:rsid w:val="26BB0D5F"/>
    <w:rsid w:val="26BC7C54"/>
    <w:rsid w:val="26C0F902"/>
    <w:rsid w:val="26D34435"/>
    <w:rsid w:val="26D7FEFA"/>
    <w:rsid w:val="26D92A50"/>
    <w:rsid w:val="26E0E7A4"/>
    <w:rsid w:val="26E5B1CE"/>
    <w:rsid w:val="26F74BAA"/>
    <w:rsid w:val="26FD94AF"/>
    <w:rsid w:val="2701A149"/>
    <w:rsid w:val="2703EDD7"/>
    <w:rsid w:val="270E6D86"/>
    <w:rsid w:val="2727215D"/>
    <w:rsid w:val="272D3513"/>
    <w:rsid w:val="272FD8AE"/>
    <w:rsid w:val="273C51BB"/>
    <w:rsid w:val="276FC265"/>
    <w:rsid w:val="2778593A"/>
    <w:rsid w:val="277D54D5"/>
    <w:rsid w:val="278A2402"/>
    <w:rsid w:val="278FC719"/>
    <w:rsid w:val="27978269"/>
    <w:rsid w:val="27A3A96B"/>
    <w:rsid w:val="27B11601"/>
    <w:rsid w:val="27B53777"/>
    <w:rsid w:val="27BB4041"/>
    <w:rsid w:val="27BD6B50"/>
    <w:rsid w:val="27D20B8D"/>
    <w:rsid w:val="27D97E2C"/>
    <w:rsid w:val="27E410AC"/>
    <w:rsid w:val="27E44DB2"/>
    <w:rsid w:val="27E9BDEC"/>
    <w:rsid w:val="27F3E9EF"/>
    <w:rsid w:val="27F4B0E7"/>
    <w:rsid w:val="27F633FB"/>
    <w:rsid w:val="27FAB2F1"/>
    <w:rsid w:val="2802CA3D"/>
    <w:rsid w:val="28088707"/>
    <w:rsid w:val="281982B1"/>
    <w:rsid w:val="28282ADA"/>
    <w:rsid w:val="282F9A06"/>
    <w:rsid w:val="28480292"/>
    <w:rsid w:val="284F9B0F"/>
    <w:rsid w:val="28538DFB"/>
    <w:rsid w:val="28680A68"/>
    <w:rsid w:val="2875F1C0"/>
    <w:rsid w:val="287669A9"/>
    <w:rsid w:val="28969D04"/>
    <w:rsid w:val="28A044E5"/>
    <w:rsid w:val="28B4BA08"/>
    <w:rsid w:val="28BE5DFA"/>
    <w:rsid w:val="28D7A340"/>
    <w:rsid w:val="28D80576"/>
    <w:rsid w:val="28DF53DE"/>
    <w:rsid w:val="28E36876"/>
    <w:rsid w:val="28F202F4"/>
    <w:rsid w:val="28F73E35"/>
    <w:rsid w:val="28F7634A"/>
    <w:rsid w:val="28FD84D4"/>
    <w:rsid w:val="29099B3B"/>
    <w:rsid w:val="29144B0E"/>
    <w:rsid w:val="29152077"/>
    <w:rsid w:val="2918595D"/>
    <w:rsid w:val="29273184"/>
    <w:rsid w:val="292D4A71"/>
    <w:rsid w:val="293F9792"/>
    <w:rsid w:val="294283C8"/>
    <w:rsid w:val="29484D32"/>
    <w:rsid w:val="294A05A4"/>
    <w:rsid w:val="294FF5FB"/>
    <w:rsid w:val="2958557A"/>
    <w:rsid w:val="295FCFBF"/>
    <w:rsid w:val="2976EA28"/>
    <w:rsid w:val="297B3543"/>
    <w:rsid w:val="297FF281"/>
    <w:rsid w:val="29861FE9"/>
    <w:rsid w:val="2992ACCB"/>
    <w:rsid w:val="2992E177"/>
    <w:rsid w:val="299B1F9E"/>
    <w:rsid w:val="299E9A9E"/>
    <w:rsid w:val="29A42016"/>
    <w:rsid w:val="29A4ADD8"/>
    <w:rsid w:val="29AFABAF"/>
    <w:rsid w:val="29B4B73A"/>
    <w:rsid w:val="29B9D29D"/>
    <w:rsid w:val="29BDD635"/>
    <w:rsid w:val="29BF27A0"/>
    <w:rsid w:val="29D08009"/>
    <w:rsid w:val="29E62B9B"/>
    <w:rsid w:val="29EB5F33"/>
    <w:rsid w:val="2A13DF12"/>
    <w:rsid w:val="2A156138"/>
    <w:rsid w:val="2A1AA6AE"/>
    <w:rsid w:val="2A1D1BED"/>
    <w:rsid w:val="2A218607"/>
    <w:rsid w:val="2A24CDF3"/>
    <w:rsid w:val="2A335D0C"/>
    <w:rsid w:val="2A475C27"/>
    <w:rsid w:val="2A5B0BB4"/>
    <w:rsid w:val="2A6CB756"/>
    <w:rsid w:val="2A833DE7"/>
    <w:rsid w:val="2A8AC0E7"/>
    <w:rsid w:val="2A9B5307"/>
    <w:rsid w:val="2A9D3E7E"/>
    <w:rsid w:val="2AA116CD"/>
    <w:rsid w:val="2AA61A62"/>
    <w:rsid w:val="2AA634EA"/>
    <w:rsid w:val="2AB63DAC"/>
    <w:rsid w:val="2AC153E5"/>
    <w:rsid w:val="2AD94648"/>
    <w:rsid w:val="2ADAC7ED"/>
    <w:rsid w:val="2AE5A1A8"/>
    <w:rsid w:val="2AF326E8"/>
    <w:rsid w:val="2AF65CE3"/>
    <w:rsid w:val="2B030A5F"/>
    <w:rsid w:val="2B04474D"/>
    <w:rsid w:val="2B05233E"/>
    <w:rsid w:val="2B08D8C8"/>
    <w:rsid w:val="2B14C02F"/>
    <w:rsid w:val="2B15AE9C"/>
    <w:rsid w:val="2B303CE0"/>
    <w:rsid w:val="2B37D5F0"/>
    <w:rsid w:val="2B3AA50A"/>
    <w:rsid w:val="2B3E0F33"/>
    <w:rsid w:val="2B407E39"/>
    <w:rsid w:val="2B42AC1E"/>
    <w:rsid w:val="2B4373A1"/>
    <w:rsid w:val="2B53AA66"/>
    <w:rsid w:val="2B561F3E"/>
    <w:rsid w:val="2B59AF5D"/>
    <w:rsid w:val="2B6B0CB1"/>
    <w:rsid w:val="2B6D2A9C"/>
    <w:rsid w:val="2B6D8F43"/>
    <w:rsid w:val="2B713BDD"/>
    <w:rsid w:val="2B87BFC6"/>
    <w:rsid w:val="2B8F9AF9"/>
    <w:rsid w:val="2BA1BD2A"/>
    <w:rsid w:val="2BA28F7D"/>
    <w:rsid w:val="2BA5A513"/>
    <w:rsid w:val="2BC7EB16"/>
    <w:rsid w:val="2BFEEAC0"/>
    <w:rsid w:val="2C0795EA"/>
    <w:rsid w:val="2C081D2C"/>
    <w:rsid w:val="2C1F8073"/>
    <w:rsid w:val="2C53D79A"/>
    <w:rsid w:val="2C5719AC"/>
    <w:rsid w:val="2C5D51B9"/>
    <w:rsid w:val="2C624E55"/>
    <w:rsid w:val="2C75BA00"/>
    <w:rsid w:val="2C77E4E5"/>
    <w:rsid w:val="2C7941D1"/>
    <w:rsid w:val="2C7EA3C6"/>
    <w:rsid w:val="2C95D79C"/>
    <w:rsid w:val="2CA1B285"/>
    <w:rsid w:val="2CB1EB4C"/>
    <w:rsid w:val="2CB546E1"/>
    <w:rsid w:val="2CCE2414"/>
    <w:rsid w:val="2CD1B273"/>
    <w:rsid w:val="2CD43DC9"/>
    <w:rsid w:val="2CD9D401"/>
    <w:rsid w:val="2CDC4E9A"/>
    <w:rsid w:val="2CFDCC32"/>
    <w:rsid w:val="2D0A8362"/>
    <w:rsid w:val="2D0E84AB"/>
    <w:rsid w:val="2D1667A6"/>
    <w:rsid w:val="2D1BEEAD"/>
    <w:rsid w:val="2D279E0A"/>
    <w:rsid w:val="2D3091D8"/>
    <w:rsid w:val="2D30C42F"/>
    <w:rsid w:val="2D33F1B3"/>
    <w:rsid w:val="2D356F57"/>
    <w:rsid w:val="2D427FD2"/>
    <w:rsid w:val="2D4E5693"/>
    <w:rsid w:val="2D588182"/>
    <w:rsid w:val="2D595423"/>
    <w:rsid w:val="2D5D7B93"/>
    <w:rsid w:val="2D69FE58"/>
    <w:rsid w:val="2D710C3A"/>
    <w:rsid w:val="2D7BE59E"/>
    <w:rsid w:val="2D7F8F22"/>
    <w:rsid w:val="2D861B5B"/>
    <w:rsid w:val="2D9CCBA2"/>
    <w:rsid w:val="2DA49FCE"/>
    <w:rsid w:val="2DA4F29B"/>
    <w:rsid w:val="2DA57AD3"/>
    <w:rsid w:val="2DAE7964"/>
    <w:rsid w:val="2DB461CD"/>
    <w:rsid w:val="2DB688BA"/>
    <w:rsid w:val="2DC94C69"/>
    <w:rsid w:val="2DDA8375"/>
    <w:rsid w:val="2DDBB5D6"/>
    <w:rsid w:val="2DE985F2"/>
    <w:rsid w:val="2DF861DA"/>
    <w:rsid w:val="2E118A61"/>
    <w:rsid w:val="2E11ADC7"/>
    <w:rsid w:val="2E1224AA"/>
    <w:rsid w:val="2E16379A"/>
    <w:rsid w:val="2E1CF709"/>
    <w:rsid w:val="2E22E097"/>
    <w:rsid w:val="2E2824B4"/>
    <w:rsid w:val="2E32563F"/>
    <w:rsid w:val="2E3EDA01"/>
    <w:rsid w:val="2E53C2EC"/>
    <w:rsid w:val="2E543666"/>
    <w:rsid w:val="2E566C0D"/>
    <w:rsid w:val="2E5867F8"/>
    <w:rsid w:val="2E622CBB"/>
    <w:rsid w:val="2E75CFA6"/>
    <w:rsid w:val="2E781EFB"/>
    <w:rsid w:val="2E81A621"/>
    <w:rsid w:val="2E821DE2"/>
    <w:rsid w:val="2E857663"/>
    <w:rsid w:val="2E8C1545"/>
    <w:rsid w:val="2E8E178F"/>
    <w:rsid w:val="2E92112D"/>
    <w:rsid w:val="2E9859C3"/>
    <w:rsid w:val="2E9CBBC8"/>
    <w:rsid w:val="2E9E5759"/>
    <w:rsid w:val="2EA6D0C4"/>
    <w:rsid w:val="2EB3DB26"/>
    <w:rsid w:val="2EE53344"/>
    <w:rsid w:val="2EEF2CBE"/>
    <w:rsid w:val="2EFF2846"/>
    <w:rsid w:val="2F15B385"/>
    <w:rsid w:val="2F2AA45E"/>
    <w:rsid w:val="2F4746FA"/>
    <w:rsid w:val="2F50E203"/>
    <w:rsid w:val="2F73CE28"/>
    <w:rsid w:val="2F7B3514"/>
    <w:rsid w:val="2F7E82E4"/>
    <w:rsid w:val="2F8866BA"/>
    <w:rsid w:val="2F8CC164"/>
    <w:rsid w:val="2F8EC43A"/>
    <w:rsid w:val="2FA76DD8"/>
    <w:rsid w:val="2FB58D68"/>
    <w:rsid w:val="2FBB01FD"/>
    <w:rsid w:val="2FC977F9"/>
    <w:rsid w:val="2FCCEE0E"/>
    <w:rsid w:val="2FCF8957"/>
    <w:rsid w:val="2FD15BDF"/>
    <w:rsid w:val="2FDED887"/>
    <w:rsid w:val="2FE2899B"/>
    <w:rsid w:val="2FE5160C"/>
    <w:rsid w:val="2FF8C604"/>
    <w:rsid w:val="300EF239"/>
    <w:rsid w:val="3011D302"/>
    <w:rsid w:val="301306C5"/>
    <w:rsid w:val="3025C386"/>
    <w:rsid w:val="303BB208"/>
    <w:rsid w:val="303E8870"/>
    <w:rsid w:val="305B5262"/>
    <w:rsid w:val="30630C1C"/>
    <w:rsid w:val="306C972A"/>
    <w:rsid w:val="307C8360"/>
    <w:rsid w:val="307CCF40"/>
    <w:rsid w:val="308574E1"/>
    <w:rsid w:val="3099B51E"/>
    <w:rsid w:val="30BFA58E"/>
    <w:rsid w:val="30C3A967"/>
    <w:rsid w:val="30CD7549"/>
    <w:rsid w:val="30D0A897"/>
    <w:rsid w:val="30D9997A"/>
    <w:rsid w:val="30E3175B"/>
    <w:rsid w:val="30E93E20"/>
    <w:rsid w:val="30FDDE11"/>
    <w:rsid w:val="3100F6B4"/>
    <w:rsid w:val="3101353C"/>
    <w:rsid w:val="3120F3BE"/>
    <w:rsid w:val="313B8E1C"/>
    <w:rsid w:val="3146F2FA"/>
    <w:rsid w:val="315848D8"/>
    <w:rsid w:val="3160C2BA"/>
    <w:rsid w:val="3164D39F"/>
    <w:rsid w:val="316FA0AC"/>
    <w:rsid w:val="317B1B6F"/>
    <w:rsid w:val="317D1184"/>
    <w:rsid w:val="317D369F"/>
    <w:rsid w:val="31846B24"/>
    <w:rsid w:val="319C24C1"/>
    <w:rsid w:val="31A0853D"/>
    <w:rsid w:val="31A47F3F"/>
    <w:rsid w:val="31B00E34"/>
    <w:rsid w:val="31DA1B68"/>
    <w:rsid w:val="31E9B810"/>
    <w:rsid w:val="31F22F49"/>
    <w:rsid w:val="31F73441"/>
    <w:rsid w:val="31FD9E77"/>
    <w:rsid w:val="320B7701"/>
    <w:rsid w:val="322147FE"/>
    <w:rsid w:val="323F2DBE"/>
    <w:rsid w:val="3246F5F0"/>
    <w:rsid w:val="32725523"/>
    <w:rsid w:val="3272D63A"/>
    <w:rsid w:val="327A66EE"/>
    <w:rsid w:val="328AB5FD"/>
    <w:rsid w:val="328DF9B0"/>
    <w:rsid w:val="3295EB65"/>
    <w:rsid w:val="32A79045"/>
    <w:rsid w:val="32AEE558"/>
    <w:rsid w:val="32B8264E"/>
    <w:rsid w:val="32BF826F"/>
    <w:rsid w:val="32CE4015"/>
    <w:rsid w:val="32DC1716"/>
    <w:rsid w:val="32FB4C17"/>
    <w:rsid w:val="32FCC1F6"/>
    <w:rsid w:val="33061E2E"/>
    <w:rsid w:val="330F68CB"/>
    <w:rsid w:val="33137F64"/>
    <w:rsid w:val="33289D19"/>
    <w:rsid w:val="332A0CE7"/>
    <w:rsid w:val="332D2D88"/>
    <w:rsid w:val="3337BB7A"/>
    <w:rsid w:val="3337FE42"/>
    <w:rsid w:val="3338B799"/>
    <w:rsid w:val="333D6598"/>
    <w:rsid w:val="334C56E7"/>
    <w:rsid w:val="3354CC49"/>
    <w:rsid w:val="33683594"/>
    <w:rsid w:val="3372B652"/>
    <w:rsid w:val="3381A432"/>
    <w:rsid w:val="338A3063"/>
    <w:rsid w:val="3395F46F"/>
    <w:rsid w:val="339B5833"/>
    <w:rsid w:val="33ACA7D1"/>
    <w:rsid w:val="33ACAF44"/>
    <w:rsid w:val="33ACD9A7"/>
    <w:rsid w:val="33C390DD"/>
    <w:rsid w:val="33D6A96C"/>
    <w:rsid w:val="33F54A46"/>
    <w:rsid w:val="33FB4A29"/>
    <w:rsid w:val="340D5F3C"/>
    <w:rsid w:val="34175F43"/>
    <w:rsid w:val="34185C69"/>
    <w:rsid w:val="342859F7"/>
    <w:rsid w:val="342D7D11"/>
    <w:rsid w:val="343F5CC7"/>
    <w:rsid w:val="343F682E"/>
    <w:rsid w:val="3440F935"/>
    <w:rsid w:val="34420377"/>
    <w:rsid w:val="344DA341"/>
    <w:rsid w:val="347202DF"/>
    <w:rsid w:val="3484A71E"/>
    <w:rsid w:val="348A36C4"/>
    <w:rsid w:val="34907A88"/>
    <w:rsid w:val="34985C0B"/>
    <w:rsid w:val="34AA078C"/>
    <w:rsid w:val="34B4287D"/>
    <w:rsid w:val="34CB6F0D"/>
    <w:rsid w:val="34D57C0F"/>
    <w:rsid w:val="34DC5F53"/>
    <w:rsid w:val="34E9CA2F"/>
    <w:rsid w:val="351676EF"/>
    <w:rsid w:val="3517C51A"/>
    <w:rsid w:val="3519E618"/>
    <w:rsid w:val="35205CB3"/>
    <w:rsid w:val="35270D87"/>
    <w:rsid w:val="35312FB3"/>
    <w:rsid w:val="353D3AE2"/>
    <w:rsid w:val="3564C6C2"/>
    <w:rsid w:val="35665C67"/>
    <w:rsid w:val="3568A13F"/>
    <w:rsid w:val="356F962C"/>
    <w:rsid w:val="3586F5C6"/>
    <w:rsid w:val="3593636E"/>
    <w:rsid w:val="35A02A6F"/>
    <w:rsid w:val="35A60FC3"/>
    <w:rsid w:val="35A984C0"/>
    <w:rsid w:val="35B73E06"/>
    <w:rsid w:val="35BF7F48"/>
    <w:rsid w:val="35BF94DA"/>
    <w:rsid w:val="35C0D313"/>
    <w:rsid w:val="35C3218A"/>
    <w:rsid w:val="35D30EB0"/>
    <w:rsid w:val="35DF7C9F"/>
    <w:rsid w:val="35E4253F"/>
    <w:rsid w:val="35E728F4"/>
    <w:rsid w:val="35E835BA"/>
    <w:rsid w:val="35E9B4E5"/>
    <w:rsid w:val="3600B966"/>
    <w:rsid w:val="360CC708"/>
    <w:rsid w:val="3616A876"/>
    <w:rsid w:val="361E1002"/>
    <w:rsid w:val="36238EE6"/>
    <w:rsid w:val="36292DF9"/>
    <w:rsid w:val="363E14B2"/>
    <w:rsid w:val="365A07CA"/>
    <w:rsid w:val="36600701"/>
    <w:rsid w:val="3661A5A7"/>
    <w:rsid w:val="3664998D"/>
    <w:rsid w:val="3675065A"/>
    <w:rsid w:val="3694434A"/>
    <w:rsid w:val="36D15B07"/>
    <w:rsid w:val="36E8C2C2"/>
    <w:rsid w:val="36FD6638"/>
    <w:rsid w:val="370B668D"/>
    <w:rsid w:val="370FFECB"/>
    <w:rsid w:val="371138F0"/>
    <w:rsid w:val="37151991"/>
    <w:rsid w:val="3719FF62"/>
    <w:rsid w:val="372275FA"/>
    <w:rsid w:val="37454E19"/>
    <w:rsid w:val="375E2D3C"/>
    <w:rsid w:val="377D26CA"/>
    <w:rsid w:val="37837009"/>
    <w:rsid w:val="378BA85E"/>
    <w:rsid w:val="378BFAD8"/>
    <w:rsid w:val="3793BE95"/>
    <w:rsid w:val="3794CF6C"/>
    <w:rsid w:val="379B281A"/>
    <w:rsid w:val="379B70F1"/>
    <w:rsid w:val="37B2E1D4"/>
    <w:rsid w:val="37BA8432"/>
    <w:rsid w:val="37BB4D49"/>
    <w:rsid w:val="37D434E4"/>
    <w:rsid w:val="37EEC519"/>
    <w:rsid w:val="37F67FEB"/>
    <w:rsid w:val="37FBA164"/>
    <w:rsid w:val="37FE1774"/>
    <w:rsid w:val="37FE72FF"/>
    <w:rsid w:val="3804D637"/>
    <w:rsid w:val="38054FF7"/>
    <w:rsid w:val="3818C441"/>
    <w:rsid w:val="381FB1DC"/>
    <w:rsid w:val="382D1209"/>
    <w:rsid w:val="38383D82"/>
    <w:rsid w:val="385E893A"/>
    <w:rsid w:val="386DC960"/>
    <w:rsid w:val="3870749F"/>
    <w:rsid w:val="3870A38A"/>
    <w:rsid w:val="3875669A"/>
    <w:rsid w:val="38761D05"/>
    <w:rsid w:val="3877895E"/>
    <w:rsid w:val="387E5147"/>
    <w:rsid w:val="3880E589"/>
    <w:rsid w:val="388B21CF"/>
    <w:rsid w:val="388EF7F6"/>
    <w:rsid w:val="389239EF"/>
    <w:rsid w:val="38A736EE"/>
    <w:rsid w:val="38B27ACA"/>
    <w:rsid w:val="38B93F5D"/>
    <w:rsid w:val="38BE1B6E"/>
    <w:rsid w:val="38CCC3B6"/>
    <w:rsid w:val="38E617FE"/>
    <w:rsid w:val="38F7200A"/>
    <w:rsid w:val="390226FD"/>
    <w:rsid w:val="392048BB"/>
    <w:rsid w:val="3926836E"/>
    <w:rsid w:val="392E70C5"/>
    <w:rsid w:val="393C2BCA"/>
    <w:rsid w:val="3946E340"/>
    <w:rsid w:val="39475EB7"/>
    <w:rsid w:val="39520A8B"/>
    <w:rsid w:val="396C937D"/>
    <w:rsid w:val="3976D044"/>
    <w:rsid w:val="398516BE"/>
    <w:rsid w:val="398773A3"/>
    <w:rsid w:val="398E3C9C"/>
    <w:rsid w:val="3991C811"/>
    <w:rsid w:val="39A391F3"/>
    <w:rsid w:val="39A63D67"/>
    <w:rsid w:val="39AC1F0E"/>
    <w:rsid w:val="39B494A2"/>
    <w:rsid w:val="39C27E3F"/>
    <w:rsid w:val="39C8ED54"/>
    <w:rsid w:val="39D034FF"/>
    <w:rsid w:val="39D14C95"/>
    <w:rsid w:val="39D477C9"/>
    <w:rsid w:val="39FD1697"/>
    <w:rsid w:val="3A09A381"/>
    <w:rsid w:val="3A251BEB"/>
    <w:rsid w:val="3A26B818"/>
    <w:rsid w:val="3A348A7E"/>
    <w:rsid w:val="3A3A00F6"/>
    <w:rsid w:val="3A445EB0"/>
    <w:rsid w:val="3A5261D0"/>
    <w:rsid w:val="3A5DEDA6"/>
    <w:rsid w:val="3A6687D4"/>
    <w:rsid w:val="3A869C4E"/>
    <w:rsid w:val="3A8BFD9C"/>
    <w:rsid w:val="3A92F06B"/>
    <w:rsid w:val="3A9DD666"/>
    <w:rsid w:val="3AACDCB8"/>
    <w:rsid w:val="3AC4453F"/>
    <w:rsid w:val="3ADE5774"/>
    <w:rsid w:val="3ADF9FAC"/>
    <w:rsid w:val="3AF42B23"/>
    <w:rsid w:val="3B08EABA"/>
    <w:rsid w:val="3B0E2CE3"/>
    <w:rsid w:val="3B124467"/>
    <w:rsid w:val="3B1ABEE1"/>
    <w:rsid w:val="3B201FFF"/>
    <w:rsid w:val="3B2CA323"/>
    <w:rsid w:val="3B5B3F1E"/>
    <w:rsid w:val="3B5EC82B"/>
    <w:rsid w:val="3B602AE8"/>
    <w:rsid w:val="3B723390"/>
    <w:rsid w:val="3B752DDD"/>
    <w:rsid w:val="3B85862C"/>
    <w:rsid w:val="3B887E58"/>
    <w:rsid w:val="3B8A5692"/>
    <w:rsid w:val="3B91E130"/>
    <w:rsid w:val="3B9944AD"/>
    <w:rsid w:val="3BAF06CF"/>
    <w:rsid w:val="3BC0FFAE"/>
    <w:rsid w:val="3BE423AD"/>
    <w:rsid w:val="3C035CB8"/>
    <w:rsid w:val="3C06AA2A"/>
    <w:rsid w:val="3C06D648"/>
    <w:rsid w:val="3C187350"/>
    <w:rsid w:val="3C2438F3"/>
    <w:rsid w:val="3C340595"/>
    <w:rsid w:val="3C40ABEF"/>
    <w:rsid w:val="3C47A964"/>
    <w:rsid w:val="3C5D9C15"/>
    <w:rsid w:val="3C5FD703"/>
    <w:rsid w:val="3C6DF4E3"/>
    <w:rsid w:val="3C9336A9"/>
    <w:rsid w:val="3C99074F"/>
    <w:rsid w:val="3C99F6E5"/>
    <w:rsid w:val="3C9F3BFF"/>
    <w:rsid w:val="3CA86103"/>
    <w:rsid w:val="3CA87C5F"/>
    <w:rsid w:val="3CAE14C8"/>
    <w:rsid w:val="3CBD38CD"/>
    <w:rsid w:val="3CBE20AF"/>
    <w:rsid w:val="3CDB1040"/>
    <w:rsid w:val="3CE31DAA"/>
    <w:rsid w:val="3CEC3293"/>
    <w:rsid w:val="3CF822BA"/>
    <w:rsid w:val="3CFEE693"/>
    <w:rsid w:val="3D018BFC"/>
    <w:rsid w:val="3D107C95"/>
    <w:rsid w:val="3D131A06"/>
    <w:rsid w:val="3D26321B"/>
    <w:rsid w:val="3D2C414F"/>
    <w:rsid w:val="3D33753B"/>
    <w:rsid w:val="3D338DF4"/>
    <w:rsid w:val="3D3856E1"/>
    <w:rsid w:val="3D3894D2"/>
    <w:rsid w:val="3D3F47C3"/>
    <w:rsid w:val="3D494D28"/>
    <w:rsid w:val="3D4E4BD6"/>
    <w:rsid w:val="3D602EBA"/>
    <w:rsid w:val="3D67F6B4"/>
    <w:rsid w:val="3D6CBD9C"/>
    <w:rsid w:val="3D8297C1"/>
    <w:rsid w:val="3D878D1E"/>
    <w:rsid w:val="3D894EB1"/>
    <w:rsid w:val="3DA14471"/>
    <w:rsid w:val="3DA71689"/>
    <w:rsid w:val="3DAED0B1"/>
    <w:rsid w:val="3DC46449"/>
    <w:rsid w:val="3DC57BFA"/>
    <w:rsid w:val="3DD3DEE2"/>
    <w:rsid w:val="3DE10D2E"/>
    <w:rsid w:val="3DE63557"/>
    <w:rsid w:val="3DE6A57D"/>
    <w:rsid w:val="3DF45255"/>
    <w:rsid w:val="3DFCD52A"/>
    <w:rsid w:val="3DFE76B2"/>
    <w:rsid w:val="3E0277E7"/>
    <w:rsid w:val="3E055F2A"/>
    <w:rsid w:val="3E1D0F91"/>
    <w:rsid w:val="3E29090D"/>
    <w:rsid w:val="3E29641E"/>
    <w:rsid w:val="3E2C60FF"/>
    <w:rsid w:val="3E2F8920"/>
    <w:rsid w:val="3E3067A6"/>
    <w:rsid w:val="3E392D88"/>
    <w:rsid w:val="3E3A5B88"/>
    <w:rsid w:val="3E3F1DBD"/>
    <w:rsid w:val="3E463604"/>
    <w:rsid w:val="3E49E529"/>
    <w:rsid w:val="3E4C2E4D"/>
    <w:rsid w:val="3E5C670F"/>
    <w:rsid w:val="3E6E4AAC"/>
    <w:rsid w:val="3E751787"/>
    <w:rsid w:val="3E903716"/>
    <w:rsid w:val="3E95E3E3"/>
    <w:rsid w:val="3E9A86EA"/>
    <w:rsid w:val="3EAE0410"/>
    <w:rsid w:val="3EB6CE7C"/>
    <w:rsid w:val="3EC7EE5B"/>
    <w:rsid w:val="3ED58DE9"/>
    <w:rsid w:val="3ED5D38C"/>
    <w:rsid w:val="3EEB0F79"/>
    <w:rsid w:val="3EF8E129"/>
    <w:rsid w:val="3EFBFD9A"/>
    <w:rsid w:val="3F1B92C3"/>
    <w:rsid w:val="3F1F3E28"/>
    <w:rsid w:val="3F247005"/>
    <w:rsid w:val="3F3DD002"/>
    <w:rsid w:val="3F4CEEA3"/>
    <w:rsid w:val="3F66618E"/>
    <w:rsid w:val="3F6D5429"/>
    <w:rsid w:val="3F7F54B7"/>
    <w:rsid w:val="3F83DC5A"/>
    <w:rsid w:val="3F850D76"/>
    <w:rsid w:val="3F8EB715"/>
    <w:rsid w:val="3F9777C5"/>
    <w:rsid w:val="3F97D231"/>
    <w:rsid w:val="3FA1377F"/>
    <w:rsid w:val="3FA52433"/>
    <w:rsid w:val="3FA6780A"/>
    <w:rsid w:val="3FB30CD9"/>
    <w:rsid w:val="3FB83F65"/>
    <w:rsid w:val="3FBBE132"/>
    <w:rsid w:val="3FC8B084"/>
    <w:rsid w:val="3FCC64EA"/>
    <w:rsid w:val="3FD2ABE2"/>
    <w:rsid w:val="3FDFF542"/>
    <w:rsid w:val="3FE31048"/>
    <w:rsid w:val="3FEE3BBC"/>
    <w:rsid w:val="40030529"/>
    <w:rsid w:val="400513B5"/>
    <w:rsid w:val="400D3311"/>
    <w:rsid w:val="401EA856"/>
    <w:rsid w:val="4031BFC3"/>
    <w:rsid w:val="4038055A"/>
    <w:rsid w:val="403FFAA7"/>
    <w:rsid w:val="405BD5E1"/>
    <w:rsid w:val="406DDAF6"/>
    <w:rsid w:val="4072E41E"/>
    <w:rsid w:val="408B3B1D"/>
    <w:rsid w:val="40A6F91D"/>
    <w:rsid w:val="40AD726F"/>
    <w:rsid w:val="40D3452E"/>
    <w:rsid w:val="40DDEC75"/>
    <w:rsid w:val="40E8B46C"/>
    <w:rsid w:val="40EA36F0"/>
    <w:rsid w:val="40F15DEE"/>
    <w:rsid w:val="40F503DB"/>
    <w:rsid w:val="40FE0A16"/>
    <w:rsid w:val="41033AD5"/>
    <w:rsid w:val="410424CF"/>
    <w:rsid w:val="410B480C"/>
    <w:rsid w:val="411D9692"/>
    <w:rsid w:val="412D7E89"/>
    <w:rsid w:val="41595B1D"/>
    <w:rsid w:val="415D9179"/>
    <w:rsid w:val="4170CE4A"/>
    <w:rsid w:val="417981CD"/>
    <w:rsid w:val="4191E332"/>
    <w:rsid w:val="41A0E46F"/>
    <w:rsid w:val="41A7CBE9"/>
    <w:rsid w:val="41ABB230"/>
    <w:rsid w:val="41AD8C1B"/>
    <w:rsid w:val="41B2C4A9"/>
    <w:rsid w:val="41B93434"/>
    <w:rsid w:val="41B9570C"/>
    <w:rsid w:val="41DA79D9"/>
    <w:rsid w:val="41EABC4F"/>
    <w:rsid w:val="41F7EA8A"/>
    <w:rsid w:val="41F9336F"/>
    <w:rsid w:val="420BC474"/>
    <w:rsid w:val="42107BA2"/>
    <w:rsid w:val="42123A3A"/>
    <w:rsid w:val="422811D0"/>
    <w:rsid w:val="422FDB56"/>
    <w:rsid w:val="422FF640"/>
    <w:rsid w:val="42324EF0"/>
    <w:rsid w:val="42376618"/>
    <w:rsid w:val="423CC998"/>
    <w:rsid w:val="4245BDCB"/>
    <w:rsid w:val="424BC0A5"/>
    <w:rsid w:val="424FB21C"/>
    <w:rsid w:val="42524C6A"/>
    <w:rsid w:val="4268489C"/>
    <w:rsid w:val="426F30E6"/>
    <w:rsid w:val="42753F20"/>
    <w:rsid w:val="427D9B0B"/>
    <w:rsid w:val="4283CFE0"/>
    <w:rsid w:val="4285FDEA"/>
    <w:rsid w:val="428F1D0B"/>
    <w:rsid w:val="429D9B46"/>
    <w:rsid w:val="42B92EB0"/>
    <w:rsid w:val="42C42AB2"/>
    <w:rsid w:val="42D34BA6"/>
    <w:rsid w:val="42DAF479"/>
    <w:rsid w:val="42F3B841"/>
    <w:rsid w:val="42F4A6D3"/>
    <w:rsid w:val="430B506B"/>
    <w:rsid w:val="43146E00"/>
    <w:rsid w:val="4319C3CD"/>
    <w:rsid w:val="43275358"/>
    <w:rsid w:val="432E68B7"/>
    <w:rsid w:val="433E46AB"/>
    <w:rsid w:val="434290B0"/>
    <w:rsid w:val="43618BC8"/>
    <w:rsid w:val="438DE02C"/>
    <w:rsid w:val="438E9729"/>
    <w:rsid w:val="4393101D"/>
    <w:rsid w:val="4396BC14"/>
    <w:rsid w:val="43A8050F"/>
    <w:rsid w:val="43AA4E2F"/>
    <w:rsid w:val="43C11A4C"/>
    <w:rsid w:val="43E497AC"/>
    <w:rsid w:val="43E7A9C1"/>
    <w:rsid w:val="43F0D2DA"/>
    <w:rsid w:val="43F94D48"/>
    <w:rsid w:val="43FB9964"/>
    <w:rsid w:val="440820A2"/>
    <w:rsid w:val="440A28D3"/>
    <w:rsid w:val="4411F9D5"/>
    <w:rsid w:val="441779E9"/>
    <w:rsid w:val="4423D3B1"/>
    <w:rsid w:val="442BD438"/>
    <w:rsid w:val="442FAF84"/>
    <w:rsid w:val="4449AF5E"/>
    <w:rsid w:val="444F0BC6"/>
    <w:rsid w:val="4451C08B"/>
    <w:rsid w:val="4471687B"/>
    <w:rsid w:val="44730202"/>
    <w:rsid w:val="447CE81B"/>
    <w:rsid w:val="447E46D1"/>
    <w:rsid w:val="448AE9BF"/>
    <w:rsid w:val="44924EAF"/>
    <w:rsid w:val="449EEE67"/>
    <w:rsid w:val="44A47E08"/>
    <w:rsid w:val="44A86F0C"/>
    <w:rsid w:val="44B04EB5"/>
    <w:rsid w:val="44B6B586"/>
    <w:rsid w:val="44BC0B7E"/>
    <w:rsid w:val="44C0A01C"/>
    <w:rsid w:val="44C3BE2C"/>
    <w:rsid w:val="44D0E2B1"/>
    <w:rsid w:val="44D616AE"/>
    <w:rsid w:val="44D86A0B"/>
    <w:rsid w:val="44E7505B"/>
    <w:rsid w:val="44EAE157"/>
    <w:rsid w:val="44F74749"/>
    <w:rsid w:val="44FD0059"/>
    <w:rsid w:val="45025FBE"/>
    <w:rsid w:val="451133A5"/>
    <w:rsid w:val="45121196"/>
    <w:rsid w:val="451709C4"/>
    <w:rsid w:val="45237BBC"/>
    <w:rsid w:val="4529E3C5"/>
    <w:rsid w:val="452D158B"/>
    <w:rsid w:val="45438ADF"/>
    <w:rsid w:val="45492B45"/>
    <w:rsid w:val="4561B3AB"/>
    <w:rsid w:val="4562FCB2"/>
    <w:rsid w:val="45685B46"/>
    <w:rsid w:val="459D6BCD"/>
    <w:rsid w:val="459F39FF"/>
    <w:rsid w:val="45A986DE"/>
    <w:rsid w:val="45B35624"/>
    <w:rsid w:val="45B87706"/>
    <w:rsid w:val="45C48AF0"/>
    <w:rsid w:val="45DA6A9E"/>
    <w:rsid w:val="45DCBE80"/>
    <w:rsid w:val="45E2E6ED"/>
    <w:rsid w:val="45E50832"/>
    <w:rsid w:val="45FC863D"/>
    <w:rsid w:val="46010264"/>
    <w:rsid w:val="4602A1F6"/>
    <w:rsid w:val="4606B949"/>
    <w:rsid w:val="461638EA"/>
    <w:rsid w:val="4618E104"/>
    <w:rsid w:val="462514FF"/>
    <w:rsid w:val="46350FB1"/>
    <w:rsid w:val="463E159C"/>
    <w:rsid w:val="46443F6D"/>
    <w:rsid w:val="464B6EE9"/>
    <w:rsid w:val="4650017F"/>
    <w:rsid w:val="4658DE1B"/>
    <w:rsid w:val="4665B942"/>
    <w:rsid w:val="46694382"/>
    <w:rsid w:val="466CB312"/>
    <w:rsid w:val="46800DFF"/>
    <w:rsid w:val="46804570"/>
    <w:rsid w:val="4682A813"/>
    <w:rsid w:val="469D9BB2"/>
    <w:rsid w:val="469F4EC0"/>
    <w:rsid w:val="46A674EB"/>
    <w:rsid w:val="46B182C3"/>
    <w:rsid w:val="46B510C7"/>
    <w:rsid w:val="46B72119"/>
    <w:rsid w:val="46BCADC4"/>
    <w:rsid w:val="46C43E1E"/>
    <w:rsid w:val="46D8C2DA"/>
    <w:rsid w:val="46E17A84"/>
    <w:rsid w:val="46E3BE86"/>
    <w:rsid w:val="46EA9044"/>
    <w:rsid w:val="46EF884B"/>
    <w:rsid w:val="46F75926"/>
    <w:rsid w:val="46F7857C"/>
    <w:rsid w:val="46F81687"/>
    <w:rsid w:val="470846D7"/>
    <w:rsid w:val="4710F971"/>
    <w:rsid w:val="472D7842"/>
    <w:rsid w:val="4733D136"/>
    <w:rsid w:val="475337FD"/>
    <w:rsid w:val="475448F3"/>
    <w:rsid w:val="47598673"/>
    <w:rsid w:val="4767D8FB"/>
    <w:rsid w:val="477D6B8E"/>
    <w:rsid w:val="4780D893"/>
    <w:rsid w:val="47861F4E"/>
    <w:rsid w:val="479FCEBB"/>
    <w:rsid w:val="47AFD49A"/>
    <w:rsid w:val="47B11277"/>
    <w:rsid w:val="47B4D468"/>
    <w:rsid w:val="47B8A387"/>
    <w:rsid w:val="47B9A18B"/>
    <w:rsid w:val="47BAF485"/>
    <w:rsid w:val="47C78B68"/>
    <w:rsid w:val="47C86F9B"/>
    <w:rsid w:val="47CCC4A5"/>
    <w:rsid w:val="47D0139D"/>
    <w:rsid w:val="47D8666A"/>
    <w:rsid w:val="47E51969"/>
    <w:rsid w:val="47EC71D6"/>
    <w:rsid w:val="47EE5648"/>
    <w:rsid w:val="47F2C5C9"/>
    <w:rsid w:val="47F9CFEB"/>
    <w:rsid w:val="47FD9549"/>
    <w:rsid w:val="48033752"/>
    <w:rsid w:val="4819E588"/>
    <w:rsid w:val="481A5BFA"/>
    <w:rsid w:val="482AF3E2"/>
    <w:rsid w:val="4839873D"/>
    <w:rsid w:val="483A093D"/>
    <w:rsid w:val="4857327A"/>
    <w:rsid w:val="48594AE1"/>
    <w:rsid w:val="4859E5FF"/>
    <w:rsid w:val="485CA76A"/>
    <w:rsid w:val="48736CEF"/>
    <w:rsid w:val="4878D335"/>
    <w:rsid w:val="4881C48E"/>
    <w:rsid w:val="48840CF1"/>
    <w:rsid w:val="4886C0E7"/>
    <w:rsid w:val="4886CAFE"/>
    <w:rsid w:val="488EDD67"/>
    <w:rsid w:val="4894585C"/>
    <w:rsid w:val="489B2959"/>
    <w:rsid w:val="489C8DB8"/>
    <w:rsid w:val="48B5433D"/>
    <w:rsid w:val="48C3B7F6"/>
    <w:rsid w:val="48C3FEB3"/>
    <w:rsid w:val="48C7B2E0"/>
    <w:rsid w:val="48C85C86"/>
    <w:rsid w:val="48DFFB8C"/>
    <w:rsid w:val="48E48B5D"/>
    <w:rsid w:val="48E91644"/>
    <w:rsid w:val="48F4E030"/>
    <w:rsid w:val="48F95FA0"/>
    <w:rsid w:val="49286DE9"/>
    <w:rsid w:val="49300CD2"/>
    <w:rsid w:val="4939F3C1"/>
    <w:rsid w:val="494C43D2"/>
    <w:rsid w:val="4957DBDF"/>
    <w:rsid w:val="4965574E"/>
    <w:rsid w:val="4978339A"/>
    <w:rsid w:val="4980D8A3"/>
    <w:rsid w:val="49822EA1"/>
    <w:rsid w:val="4988535F"/>
    <w:rsid w:val="498EA68F"/>
    <w:rsid w:val="49B1CB8C"/>
    <w:rsid w:val="49B5B5E9"/>
    <w:rsid w:val="49BACC25"/>
    <w:rsid w:val="49BC0BDD"/>
    <w:rsid w:val="49C10100"/>
    <w:rsid w:val="49C23F2B"/>
    <w:rsid w:val="49CDE35B"/>
    <w:rsid w:val="49D6C698"/>
    <w:rsid w:val="49D6C775"/>
    <w:rsid w:val="49E7F33B"/>
    <w:rsid w:val="4A12CC00"/>
    <w:rsid w:val="4A1312E9"/>
    <w:rsid w:val="4A23A9D2"/>
    <w:rsid w:val="4A3BA7B8"/>
    <w:rsid w:val="4A3D0918"/>
    <w:rsid w:val="4A40F31B"/>
    <w:rsid w:val="4A512F45"/>
    <w:rsid w:val="4A56519E"/>
    <w:rsid w:val="4A638341"/>
    <w:rsid w:val="4A6620DF"/>
    <w:rsid w:val="4A6E053F"/>
    <w:rsid w:val="4A74CA0C"/>
    <w:rsid w:val="4A7B1BC8"/>
    <w:rsid w:val="4A7CAB9E"/>
    <w:rsid w:val="4A7D46D7"/>
    <w:rsid w:val="4A869293"/>
    <w:rsid w:val="4A8DA63B"/>
    <w:rsid w:val="4A8E1A77"/>
    <w:rsid w:val="4A93A520"/>
    <w:rsid w:val="4A9CAB82"/>
    <w:rsid w:val="4ABACE4D"/>
    <w:rsid w:val="4ABEFDE8"/>
    <w:rsid w:val="4B0AEAFB"/>
    <w:rsid w:val="4B0E0DEC"/>
    <w:rsid w:val="4B17B090"/>
    <w:rsid w:val="4B1EE90A"/>
    <w:rsid w:val="4B25FE90"/>
    <w:rsid w:val="4B442D31"/>
    <w:rsid w:val="4B4CEE0C"/>
    <w:rsid w:val="4B53920F"/>
    <w:rsid w:val="4B564303"/>
    <w:rsid w:val="4B5A1D72"/>
    <w:rsid w:val="4B5A6A91"/>
    <w:rsid w:val="4B5FB40C"/>
    <w:rsid w:val="4B60B676"/>
    <w:rsid w:val="4B7AB801"/>
    <w:rsid w:val="4B7ABCBD"/>
    <w:rsid w:val="4B930585"/>
    <w:rsid w:val="4B98542C"/>
    <w:rsid w:val="4BA3EA4A"/>
    <w:rsid w:val="4BC2D743"/>
    <w:rsid w:val="4BC87FB0"/>
    <w:rsid w:val="4BCC49E9"/>
    <w:rsid w:val="4BD14492"/>
    <w:rsid w:val="4BD1DB3F"/>
    <w:rsid w:val="4BD6E08A"/>
    <w:rsid w:val="4BD8E3FB"/>
    <w:rsid w:val="4BDE1CA2"/>
    <w:rsid w:val="4BFE87CC"/>
    <w:rsid w:val="4C00A19F"/>
    <w:rsid w:val="4C02C445"/>
    <w:rsid w:val="4C08A17B"/>
    <w:rsid w:val="4C0F6445"/>
    <w:rsid w:val="4C107401"/>
    <w:rsid w:val="4C10F54C"/>
    <w:rsid w:val="4C1ABECB"/>
    <w:rsid w:val="4C2099A1"/>
    <w:rsid w:val="4C289CFF"/>
    <w:rsid w:val="4C388D22"/>
    <w:rsid w:val="4C3A2F09"/>
    <w:rsid w:val="4C46204D"/>
    <w:rsid w:val="4C4D37F7"/>
    <w:rsid w:val="4C4F471F"/>
    <w:rsid w:val="4C5AE58D"/>
    <w:rsid w:val="4C626750"/>
    <w:rsid w:val="4C64CCBD"/>
    <w:rsid w:val="4C734176"/>
    <w:rsid w:val="4C773450"/>
    <w:rsid w:val="4C8EC369"/>
    <w:rsid w:val="4C94648D"/>
    <w:rsid w:val="4CB29B59"/>
    <w:rsid w:val="4CB2FDBB"/>
    <w:rsid w:val="4CB369AC"/>
    <w:rsid w:val="4CE53794"/>
    <w:rsid w:val="4CF5DB48"/>
    <w:rsid w:val="4CFF3795"/>
    <w:rsid w:val="4D116DB2"/>
    <w:rsid w:val="4D1E75E8"/>
    <w:rsid w:val="4D1F7F2C"/>
    <w:rsid w:val="4D289461"/>
    <w:rsid w:val="4D42904D"/>
    <w:rsid w:val="4D49345E"/>
    <w:rsid w:val="4D4AEC95"/>
    <w:rsid w:val="4D5B0A77"/>
    <w:rsid w:val="4D5EC9CF"/>
    <w:rsid w:val="4D5EFECF"/>
    <w:rsid w:val="4D6D4B9E"/>
    <w:rsid w:val="4D84186A"/>
    <w:rsid w:val="4D8523F9"/>
    <w:rsid w:val="4D89E026"/>
    <w:rsid w:val="4DA03AD6"/>
    <w:rsid w:val="4DA71562"/>
    <w:rsid w:val="4DA870C1"/>
    <w:rsid w:val="4DB72CC0"/>
    <w:rsid w:val="4DC9038B"/>
    <w:rsid w:val="4DD11F37"/>
    <w:rsid w:val="4DDE6639"/>
    <w:rsid w:val="4DEBD3B6"/>
    <w:rsid w:val="4E0436AB"/>
    <w:rsid w:val="4E0C1B38"/>
    <w:rsid w:val="4E166AFE"/>
    <w:rsid w:val="4E1893FB"/>
    <w:rsid w:val="4E21B2E1"/>
    <w:rsid w:val="4E220E9D"/>
    <w:rsid w:val="4E2B77FA"/>
    <w:rsid w:val="4E31A147"/>
    <w:rsid w:val="4E42B903"/>
    <w:rsid w:val="4E4E1354"/>
    <w:rsid w:val="4E5D3FC6"/>
    <w:rsid w:val="4E752145"/>
    <w:rsid w:val="4E756DDE"/>
    <w:rsid w:val="4E7C478D"/>
    <w:rsid w:val="4E8CD96E"/>
    <w:rsid w:val="4E99C80A"/>
    <w:rsid w:val="4E9D6E9A"/>
    <w:rsid w:val="4EA60C05"/>
    <w:rsid w:val="4EA8E7F5"/>
    <w:rsid w:val="4EAD3686"/>
    <w:rsid w:val="4EBB8CF6"/>
    <w:rsid w:val="4EC65746"/>
    <w:rsid w:val="4EFD8BCC"/>
    <w:rsid w:val="4EFE0E48"/>
    <w:rsid w:val="4F03240F"/>
    <w:rsid w:val="4F15582E"/>
    <w:rsid w:val="4F36F464"/>
    <w:rsid w:val="4F376D63"/>
    <w:rsid w:val="4F56A8B0"/>
    <w:rsid w:val="4F57BE91"/>
    <w:rsid w:val="4F6AB58A"/>
    <w:rsid w:val="4F6BA7CC"/>
    <w:rsid w:val="4F9319A8"/>
    <w:rsid w:val="4F9D8588"/>
    <w:rsid w:val="4FA6A4A8"/>
    <w:rsid w:val="4FA6CE57"/>
    <w:rsid w:val="4FAC71F4"/>
    <w:rsid w:val="4FB0D20C"/>
    <w:rsid w:val="4FB3FEBA"/>
    <w:rsid w:val="4FC7B836"/>
    <w:rsid w:val="4FE2CFCC"/>
    <w:rsid w:val="4FFB5619"/>
    <w:rsid w:val="50101A4D"/>
    <w:rsid w:val="5015AEF3"/>
    <w:rsid w:val="501B79D1"/>
    <w:rsid w:val="503147D8"/>
    <w:rsid w:val="503583A2"/>
    <w:rsid w:val="50482476"/>
    <w:rsid w:val="5055BF88"/>
    <w:rsid w:val="5057B208"/>
    <w:rsid w:val="505A7BD6"/>
    <w:rsid w:val="5073F474"/>
    <w:rsid w:val="5075747E"/>
    <w:rsid w:val="50810309"/>
    <w:rsid w:val="508AC36D"/>
    <w:rsid w:val="50965695"/>
    <w:rsid w:val="50AFC6F3"/>
    <w:rsid w:val="50BA9533"/>
    <w:rsid w:val="50BB3FF4"/>
    <w:rsid w:val="50BF1793"/>
    <w:rsid w:val="50BFF681"/>
    <w:rsid w:val="50C6B004"/>
    <w:rsid w:val="50C8DC30"/>
    <w:rsid w:val="50CB419D"/>
    <w:rsid w:val="50CCA09B"/>
    <w:rsid w:val="50CE31A7"/>
    <w:rsid w:val="50D4487C"/>
    <w:rsid w:val="50E75BC7"/>
    <w:rsid w:val="50EEF0D3"/>
    <w:rsid w:val="50FA5D64"/>
    <w:rsid w:val="510F0A09"/>
    <w:rsid w:val="5112022E"/>
    <w:rsid w:val="511BE89D"/>
    <w:rsid w:val="51219149"/>
    <w:rsid w:val="512446AE"/>
    <w:rsid w:val="5134E0E5"/>
    <w:rsid w:val="5137D3AE"/>
    <w:rsid w:val="513E322D"/>
    <w:rsid w:val="5146F847"/>
    <w:rsid w:val="518F765D"/>
    <w:rsid w:val="51A1F80E"/>
    <w:rsid w:val="51A931A0"/>
    <w:rsid w:val="51B7DCC1"/>
    <w:rsid w:val="51C8B020"/>
    <w:rsid w:val="51C96335"/>
    <w:rsid w:val="51CACDE7"/>
    <w:rsid w:val="51CC5888"/>
    <w:rsid w:val="51E588A1"/>
    <w:rsid w:val="51E72E6D"/>
    <w:rsid w:val="51E83644"/>
    <w:rsid w:val="51FD56E6"/>
    <w:rsid w:val="520779C5"/>
    <w:rsid w:val="521DC14B"/>
    <w:rsid w:val="5227E38C"/>
    <w:rsid w:val="52324378"/>
    <w:rsid w:val="52444ED8"/>
    <w:rsid w:val="5246B99D"/>
    <w:rsid w:val="524BB063"/>
    <w:rsid w:val="524BD1B7"/>
    <w:rsid w:val="524DE663"/>
    <w:rsid w:val="52513479"/>
    <w:rsid w:val="5257662C"/>
    <w:rsid w:val="528C879C"/>
    <w:rsid w:val="52903FF6"/>
    <w:rsid w:val="52952243"/>
    <w:rsid w:val="5295570C"/>
    <w:rsid w:val="52A59512"/>
    <w:rsid w:val="52A67947"/>
    <w:rsid w:val="52AEF3B8"/>
    <w:rsid w:val="52CA742B"/>
    <w:rsid w:val="52CC13F4"/>
    <w:rsid w:val="52D9CD2D"/>
    <w:rsid w:val="52E13D4E"/>
    <w:rsid w:val="52E4B1A0"/>
    <w:rsid w:val="52E4DC90"/>
    <w:rsid w:val="52E5D270"/>
    <w:rsid w:val="52E95923"/>
    <w:rsid w:val="52EB7F6A"/>
    <w:rsid w:val="52ECC435"/>
    <w:rsid w:val="52F935B3"/>
    <w:rsid w:val="530D1804"/>
    <w:rsid w:val="531C4647"/>
    <w:rsid w:val="53219EA6"/>
    <w:rsid w:val="533201BD"/>
    <w:rsid w:val="5337A218"/>
    <w:rsid w:val="536EB709"/>
    <w:rsid w:val="538AE535"/>
    <w:rsid w:val="53A48415"/>
    <w:rsid w:val="53A76B5B"/>
    <w:rsid w:val="53A868C0"/>
    <w:rsid w:val="53B67D05"/>
    <w:rsid w:val="53B72013"/>
    <w:rsid w:val="53B927FC"/>
    <w:rsid w:val="53C2A919"/>
    <w:rsid w:val="53CDD574"/>
    <w:rsid w:val="53CEFF09"/>
    <w:rsid w:val="53DEB0E1"/>
    <w:rsid w:val="53EE4CA6"/>
    <w:rsid w:val="53F49729"/>
    <w:rsid w:val="5402B5AF"/>
    <w:rsid w:val="5421CC38"/>
    <w:rsid w:val="5436A90F"/>
    <w:rsid w:val="543935F7"/>
    <w:rsid w:val="54442D0A"/>
    <w:rsid w:val="5467560D"/>
    <w:rsid w:val="5469A929"/>
    <w:rsid w:val="546B1C50"/>
    <w:rsid w:val="546C5D65"/>
    <w:rsid w:val="54721EE1"/>
    <w:rsid w:val="548631FF"/>
    <w:rsid w:val="548FBCFE"/>
    <w:rsid w:val="54A833E9"/>
    <w:rsid w:val="54B0B149"/>
    <w:rsid w:val="54C0975E"/>
    <w:rsid w:val="54D7F7E7"/>
    <w:rsid w:val="54D991B0"/>
    <w:rsid w:val="54EC860F"/>
    <w:rsid w:val="54F74C1B"/>
    <w:rsid w:val="54FEF155"/>
    <w:rsid w:val="55073591"/>
    <w:rsid w:val="5520035C"/>
    <w:rsid w:val="55285B09"/>
    <w:rsid w:val="552CFBB8"/>
    <w:rsid w:val="5531E09F"/>
    <w:rsid w:val="5537D7EF"/>
    <w:rsid w:val="5545BE73"/>
    <w:rsid w:val="554BF3D6"/>
    <w:rsid w:val="555523E6"/>
    <w:rsid w:val="5560F12F"/>
    <w:rsid w:val="557AEEEE"/>
    <w:rsid w:val="557F7391"/>
    <w:rsid w:val="55808FA5"/>
    <w:rsid w:val="5584EAB1"/>
    <w:rsid w:val="5590678A"/>
    <w:rsid w:val="559AB31A"/>
    <w:rsid w:val="55A73CCE"/>
    <w:rsid w:val="55A76502"/>
    <w:rsid w:val="55CA05B1"/>
    <w:rsid w:val="55CFB148"/>
    <w:rsid w:val="55CFB5A0"/>
    <w:rsid w:val="55EE8700"/>
    <w:rsid w:val="55F17D5F"/>
    <w:rsid w:val="55FCE8FB"/>
    <w:rsid w:val="560EC43C"/>
    <w:rsid w:val="560FFAD5"/>
    <w:rsid w:val="561890F9"/>
    <w:rsid w:val="561D03BD"/>
    <w:rsid w:val="562B7855"/>
    <w:rsid w:val="5633A9BD"/>
    <w:rsid w:val="5638D703"/>
    <w:rsid w:val="563B5266"/>
    <w:rsid w:val="56405989"/>
    <w:rsid w:val="5646DEC8"/>
    <w:rsid w:val="5659A4C7"/>
    <w:rsid w:val="5668A148"/>
    <w:rsid w:val="5680D07E"/>
    <w:rsid w:val="568991B9"/>
    <w:rsid w:val="56C3D9B0"/>
    <w:rsid w:val="56E3CBD5"/>
    <w:rsid w:val="56F835C0"/>
    <w:rsid w:val="56F84971"/>
    <w:rsid w:val="56F907E8"/>
    <w:rsid w:val="57015484"/>
    <w:rsid w:val="5706E994"/>
    <w:rsid w:val="57085AA0"/>
    <w:rsid w:val="572F63D5"/>
    <w:rsid w:val="573A8F09"/>
    <w:rsid w:val="573B327E"/>
    <w:rsid w:val="573E198E"/>
    <w:rsid w:val="575979ED"/>
    <w:rsid w:val="575D7172"/>
    <w:rsid w:val="575FF690"/>
    <w:rsid w:val="576345C2"/>
    <w:rsid w:val="576589B4"/>
    <w:rsid w:val="576A391A"/>
    <w:rsid w:val="576FE8BE"/>
    <w:rsid w:val="57701D5B"/>
    <w:rsid w:val="57789892"/>
    <w:rsid w:val="5779AF89"/>
    <w:rsid w:val="578A8DC9"/>
    <w:rsid w:val="5796CAE6"/>
    <w:rsid w:val="57B3E48F"/>
    <w:rsid w:val="57B96D8A"/>
    <w:rsid w:val="57BA2694"/>
    <w:rsid w:val="57E865A8"/>
    <w:rsid w:val="57F63398"/>
    <w:rsid w:val="58084C50"/>
    <w:rsid w:val="58157AD1"/>
    <w:rsid w:val="5835EABD"/>
    <w:rsid w:val="583B7787"/>
    <w:rsid w:val="58400C01"/>
    <w:rsid w:val="584C4528"/>
    <w:rsid w:val="585B4396"/>
    <w:rsid w:val="5873230F"/>
    <w:rsid w:val="58A350E1"/>
    <w:rsid w:val="58AAF57E"/>
    <w:rsid w:val="58B41D1E"/>
    <w:rsid w:val="58B62B8F"/>
    <w:rsid w:val="58B677C8"/>
    <w:rsid w:val="58C651D9"/>
    <w:rsid w:val="58C8084C"/>
    <w:rsid w:val="58DC8A9D"/>
    <w:rsid w:val="58DF14A8"/>
    <w:rsid w:val="58FBC6F1"/>
    <w:rsid w:val="59074D13"/>
    <w:rsid w:val="590FDB54"/>
    <w:rsid w:val="5914F082"/>
    <w:rsid w:val="591FA66B"/>
    <w:rsid w:val="59227AE4"/>
    <w:rsid w:val="592357DE"/>
    <w:rsid w:val="592F2F16"/>
    <w:rsid w:val="59366A3D"/>
    <w:rsid w:val="593AF2E1"/>
    <w:rsid w:val="593FC756"/>
    <w:rsid w:val="59430C64"/>
    <w:rsid w:val="595129CC"/>
    <w:rsid w:val="595605F5"/>
    <w:rsid w:val="59576CB2"/>
    <w:rsid w:val="5961D3FC"/>
    <w:rsid w:val="5969A4DC"/>
    <w:rsid w:val="598534B6"/>
    <w:rsid w:val="59998C23"/>
    <w:rsid w:val="59A54D95"/>
    <w:rsid w:val="59B87140"/>
    <w:rsid w:val="59C20F03"/>
    <w:rsid w:val="59DD89D3"/>
    <w:rsid w:val="59E7774F"/>
    <w:rsid w:val="59F3DF07"/>
    <w:rsid w:val="59F448C1"/>
    <w:rsid w:val="5A07F71A"/>
    <w:rsid w:val="5A178A04"/>
    <w:rsid w:val="5A1F0ACD"/>
    <w:rsid w:val="5A24FE59"/>
    <w:rsid w:val="5A28D690"/>
    <w:rsid w:val="5A3E18B0"/>
    <w:rsid w:val="5A43C26E"/>
    <w:rsid w:val="5A4702BA"/>
    <w:rsid w:val="5A614626"/>
    <w:rsid w:val="5A6706F5"/>
    <w:rsid w:val="5A672F58"/>
    <w:rsid w:val="5A7B6F9F"/>
    <w:rsid w:val="5A7D261E"/>
    <w:rsid w:val="5A84859A"/>
    <w:rsid w:val="5A951234"/>
    <w:rsid w:val="5A9ADEE4"/>
    <w:rsid w:val="5A9F365C"/>
    <w:rsid w:val="5AA075FE"/>
    <w:rsid w:val="5AAE2F6D"/>
    <w:rsid w:val="5AB0D833"/>
    <w:rsid w:val="5ABB7EAE"/>
    <w:rsid w:val="5ABDD86D"/>
    <w:rsid w:val="5ABF9DD3"/>
    <w:rsid w:val="5AC0037C"/>
    <w:rsid w:val="5AD82242"/>
    <w:rsid w:val="5ADE0761"/>
    <w:rsid w:val="5AEAFA9F"/>
    <w:rsid w:val="5AEF40AB"/>
    <w:rsid w:val="5AF38536"/>
    <w:rsid w:val="5AF3A6DB"/>
    <w:rsid w:val="5AF5122B"/>
    <w:rsid w:val="5B021F2B"/>
    <w:rsid w:val="5B095ADB"/>
    <w:rsid w:val="5B18BE12"/>
    <w:rsid w:val="5B32B5D4"/>
    <w:rsid w:val="5B3C8A42"/>
    <w:rsid w:val="5B424CD0"/>
    <w:rsid w:val="5B5B1D1D"/>
    <w:rsid w:val="5B5FEC13"/>
    <w:rsid w:val="5B620476"/>
    <w:rsid w:val="5B6E3578"/>
    <w:rsid w:val="5B71E628"/>
    <w:rsid w:val="5B7AA1AC"/>
    <w:rsid w:val="5B875855"/>
    <w:rsid w:val="5B8FAF68"/>
    <w:rsid w:val="5B985254"/>
    <w:rsid w:val="5BA3E7A2"/>
    <w:rsid w:val="5BA60073"/>
    <w:rsid w:val="5BA9D7C1"/>
    <w:rsid w:val="5BB09F41"/>
    <w:rsid w:val="5BB50E7C"/>
    <w:rsid w:val="5BCC892A"/>
    <w:rsid w:val="5BD78942"/>
    <w:rsid w:val="5BF29060"/>
    <w:rsid w:val="5C04B0F0"/>
    <w:rsid w:val="5C17D778"/>
    <w:rsid w:val="5C3367B3"/>
    <w:rsid w:val="5C3DBEE5"/>
    <w:rsid w:val="5C486DF7"/>
    <w:rsid w:val="5C4BF2E6"/>
    <w:rsid w:val="5C5203E8"/>
    <w:rsid w:val="5C57472D"/>
    <w:rsid w:val="5C580D53"/>
    <w:rsid w:val="5C5CF740"/>
    <w:rsid w:val="5C657322"/>
    <w:rsid w:val="5C65F70A"/>
    <w:rsid w:val="5C76660D"/>
    <w:rsid w:val="5C781B87"/>
    <w:rsid w:val="5C7A7E1E"/>
    <w:rsid w:val="5C7E9525"/>
    <w:rsid w:val="5C7FFB57"/>
    <w:rsid w:val="5C851819"/>
    <w:rsid w:val="5C908404"/>
    <w:rsid w:val="5CB1EBB7"/>
    <w:rsid w:val="5CCC605D"/>
    <w:rsid w:val="5CD60182"/>
    <w:rsid w:val="5CDE2455"/>
    <w:rsid w:val="5CEB1C00"/>
    <w:rsid w:val="5D0BDD28"/>
    <w:rsid w:val="5D0D81F7"/>
    <w:rsid w:val="5D0F87FD"/>
    <w:rsid w:val="5D172B2C"/>
    <w:rsid w:val="5D1A7E5B"/>
    <w:rsid w:val="5D247165"/>
    <w:rsid w:val="5D2C4C41"/>
    <w:rsid w:val="5D54BD3D"/>
    <w:rsid w:val="5D6376D9"/>
    <w:rsid w:val="5D65629E"/>
    <w:rsid w:val="5D6CB2B4"/>
    <w:rsid w:val="5D78CE1F"/>
    <w:rsid w:val="5DDB7FF7"/>
    <w:rsid w:val="5DFB136D"/>
    <w:rsid w:val="5E177ECF"/>
    <w:rsid w:val="5E278F37"/>
    <w:rsid w:val="5E2E1BE6"/>
    <w:rsid w:val="5E3F8036"/>
    <w:rsid w:val="5E3F93B2"/>
    <w:rsid w:val="5E5B5519"/>
    <w:rsid w:val="5E5EA0A8"/>
    <w:rsid w:val="5E65AEF0"/>
    <w:rsid w:val="5E697C65"/>
    <w:rsid w:val="5E7D2F37"/>
    <w:rsid w:val="5E7E9CC4"/>
    <w:rsid w:val="5E816C49"/>
    <w:rsid w:val="5E84715C"/>
    <w:rsid w:val="5E8482E2"/>
    <w:rsid w:val="5ECF1A75"/>
    <w:rsid w:val="5ECFC708"/>
    <w:rsid w:val="5ED54AEC"/>
    <w:rsid w:val="5EFC0A90"/>
    <w:rsid w:val="5F01E96C"/>
    <w:rsid w:val="5F0BA88C"/>
    <w:rsid w:val="5F15D166"/>
    <w:rsid w:val="5F19F03A"/>
    <w:rsid w:val="5F1CB841"/>
    <w:rsid w:val="5F31A6F9"/>
    <w:rsid w:val="5F4E562C"/>
    <w:rsid w:val="5F5075BE"/>
    <w:rsid w:val="5F5C2783"/>
    <w:rsid w:val="5F677EB6"/>
    <w:rsid w:val="5F8393A8"/>
    <w:rsid w:val="5F8580B8"/>
    <w:rsid w:val="5F85B689"/>
    <w:rsid w:val="5F86DFB1"/>
    <w:rsid w:val="5F87E158"/>
    <w:rsid w:val="5F8FB5F9"/>
    <w:rsid w:val="5F9D1275"/>
    <w:rsid w:val="5FA860DB"/>
    <w:rsid w:val="5FAFE4ED"/>
    <w:rsid w:val="5FB68918"/>
    <w:rsid w:val="5FB6A807"/>
    <w:rsid w:val="5FBF2208"/>
    <w:rsid w:val="5FC2D2E5"/>
    <w:rsid w:val="5FC35F98"/>
    <w:rsid w:val="5FD3ADE0"/>
    <w:rsid w:val="5FDFFD54"/>
    <w:rsid w:val="5FF00AA6"/>
    <w:rsid w:val="600C27CB"/>
    <w:rsid w:val="601B20F7"/>
    <w:rsid w:val="602041BD"/>
    <w:rsid w:val="60234451"/>
    <w:rsid w:val="60234F3D"/>
    <w:rsid w:val="60378469"/>
    <w:rsid w:val="60408787"/>
    <w:rsid w:val="604C2972"/>
    <w:rsid w:val="6068EFC9"/>
    <w:rsid w:val="606BE426"/>
    <w:rsid w:val="606F3698"/>
    <w:rsid w:val="6072D1BB"/>
    <w:rsid w:val="60765BBF"/>
    <w:rsid w:val="607AB846"/>
    <w:rsid w:val="609D205B"/>
    <w:rsid w:val="60C65CB6"/>
    <w:rsid w:val="60E8B7EA"/>
    <w:rsid w:val="60FC909A"/>
    <w:rsid w:val="61051F35"/>
    <w:rsid w:val="610628A6"/>
    <w:rsid w:val="610A3072"/>
    <w:rsid w:val="61134596"/>
    <w:rsid w:val="61294287"/>
    <w:rsid w:val="6138E2D6"/>
    <w:rsid w:val="61497AF4"/>
    <w:rsid w:val="614B7C9E"/>
    <w:rsid w:val="61579FA7"/>
    <w:rsid w:val="61717671"/>
    <w:rsid w:val="6182B2AA"/>
    <w:rsid w:val="618BA4EE"/>
    <w:rsid w:val="619AA2F5"/>
    <w:rsid w:val="619D7F48"/>
    <w:rsid w:val="61AF9B3A"/>
    <w:rsid w:val="61B7DCB0"/>
    <w:rsid w:val="61B7EE44"/>
    <w:rsid w:val="61CF3816"/>
    <w:rsid w:val="61CFB90C"/>
    <w:rsid w:val="61DC7ADD"/>
    <w:rsid w:val="61EB73B5"/>
    <w:rsid w:val="61FB30DE"/>
    <w:rsid w:val="620FB34C"/>
    <w:rsid w:val="62155661"/>
    <w:rsid w:val="622101F3"/>
    <w:rsid w:val="623497F5"/>
    <w:rsid w:val="623D2BA3"/>
    <w:rsid w:val="624714EA"/>
    <w:rsid w:val="624E1DAF"/>
    <w:rsid w:val="625ED344"/>
    <w:rsid w:val="6260E78C"/>
    <w:rsid w:val="62653C5B"/>
    <w:rsid w:val="627E78D6"/>
    <w:rsid w:val="6281E4C8"/>
    <w:rsid w:val="6283E831"/>
    <w:rsid w:val="62A1E526"/>
    <w:rsid w:val="62AB6423"/>
    <w:rsid w:val="62BA94B0"/>
    <w:rsid w:val="62BDB8BF"/>
    <w:rsid w:val="62BEA3B7"/>
    <w:rsid w:val="62DD83A7"/>
    <w:rsid w:val="62DF4A2C"/>
    <w:rsid w:val="62E2A56B"/>
    <w:rsid w:val="62E80171"/>
    <w:rsid w:val="62F67A1D"/>
    <w:rsid w:val="62FC6562"/>
    <w:rsid w:val="62FD89D0"/>
    <w:rsid w:val="630FDC63"/>
    <w:rsid w:val="6310E3CE"/>
    <w:rsid w:val="631EC209"/>
    <w:rsid w:val="6321B761"/>
    <w:rsid w:val="632B8714"/>
    <w:rsid w:val="6348AC14"/>
    <w:rsid w:val="634CB0F9"/>
    <w:rsid w:val="635F8B6D"/>
    <w:rsid w:val="637C4B2C"/>
    <w:rsid w:val="638A8A99"/>
    <w:rsid w:val="638AB3FE"/>
    <w:rsid w:val="638DD938"/>
    <w:rsid w:val="63A4B148"/>
    <w:rsid w:val="63B6BDB8"/>
    <w:rsid w:val="63BEFEC3"/>
    <w:rsid w:val="63D10ABA"/>
    <w:rsid w:val="63E3E047"/>
    <w:rsid w:val="63E9F2C8"/>
    <w:rsid w:val="63F3B539"/>
    <w:rsid w:val="63F5D384"/>
    <w:rsid w:val="63FB15DF"/>
    <w:rsid w:val="640B519C"/>
    <w:rsid w:val="640B6850"/>
    <w:rsid w:val="64142A55"/>
    <w:rsid w:val="642AB9A3"/>
    <w:rsid w:val="64382809"/>
    <w:rsid w:val="643DB587"/>
    <w:rsid w:val="644DCD01"/>
    <w:rsid w:val="64564578"/>
    <w:rsid w:val="64A060B2"/>
    <w:rsid w:val="64AE4529"/>
    <w:rsid w:val="64DB42AB"/>
    <w:rsid w:val="64FA1E17"/>
    <w:rsid w:val="64FB23E7"/>
    <w:rsid w:val="6503C043"/>
    <w:rsid w:val="6504441E"/>
    <w:rsid w:val="650C80E1"/>
    <w:rsid w:val="65198FFB"/>
    <w:rsid w:val="651C858C"/>
    <w:rsid w:val="6529CE2C"/>
    <w:rsid w:val="65469198"/>
    <w:rsid w:val="65494044"/>
    <w:rsid w:val="655B85D4"/>
    <w:rsid w:val="6565C535"/>
    <w:rsid w:val="656CF593"/>
    <w:rsid w:val="6575B097"/>
    <w:rsid w:val="65777217"/>
    <w:rsid w:val="6578209C"/>
    <w:rsid w:val="65935D3A"/>
    <w:rsid w:val="65BE996A"/>
    <w:rsid w:val="65BFA52B"/>
    <w:rsid w:val="65DE6F75"/>
    <w:rsid w:val="65E67B10"/>
    <w:rsid w:val="65E911BD"/>
    <w:rsid w:val="65F97B74"/>
    <w:rsid w:val="65FBC75A"/>
    <w:rsid w:val="65FC79B9"/>
    <w:rsid w:val="6608D65B"/>
    <w:rsid w:val="661A128D"/>
    <w:rsid w:val="66413D24"/>
    <w:rsid w:val="6645ECAB"/>
    <w:rsid w:val="664FE458"/>
    <w:rsid w:val="6656D1F3"/>
    <w:rsid w:val="6658CD9C"/>
    <w:rsid w:val="66663DC5"/>
    <w:rsid w:val="667003CB"/>
    <w:rsid w:val="6671743C"/>
    <w:rsid w:val="667E7104"/>
    <w:rsid w:val="6683ED2D"/>
    <w:rsid w:val="6683FBD6"/>
    <w:rsid w:val="66905099"/>
    <w:rsid w:val="6694A6B7"/>
    <w:rsid w:val="66961F93"/>
    <w:rsid w:val="669AF513"/>
    <w:rsid w:val="66A24D06"/>
    <w:rsid w:val="66A80C9D"/>
    <w:rsid w:val="66AAD32D"/>
    <w:rsid w:val="66BC9B65"/>
    <w:rsid w:val="66D72309"/>
    <w:rsid w:val="66E23307"/>
    <w:rsid w:val="66E6DC6E"/>
    <w:rsid w:val="66F47316"/>
    <w:rsid w:val="66F7E6BE"/>
    <w:rsid w:val="67076991"/>
    <w:rsid w:val="670F793A"/>
    <w:rsid w:val="6716F2EF"/>
    <w:rsid w:val="671C8CCB"/>
    <w:rsid w:val="6726640F"/>
    <w:rsid w:val="672CF22A"/>
    <w:rsid w:val="6735E42E"/>
    <w:rsid w:val="673F23BE"/>
    <w:rsid w:val="67485EF1"/>
    <w:rsid w:val="674A9E61"/>
    <w:rsid w:val="675F5DF3"/>
    <w:rsid w:val="67625A65"/>
    <w:rsid w:val="6762C945"/>
    <w:rsid w:val="67713B1F"/>
    <w:rsid w:val="677E6461"/>
    <w:rsid w:val="677F4230"/>
    <w:rsid w:val="67878C1A"/>
    <w:rsid w:val="6787F643"/>
    <w:rsid w:val="6798CFA0"/>
    <w:rsid w:val="67A121CD"/>
    <w:rsid w:val="67B48321"/>
    <w:rsid w:val="67D470B6"/>
    <w:rsid w:val="67D63A19"/>
    <w:rsid w:val="67D6E0BB"/>
    <w:rsid w:val="67E2E7E9"/>
    <w:rsid w:val="67F7411A"/>
    <w:rsid w:val="67FAA130"/>
    <w:rsid w:val="680069DF"/>
    <w:rsid w:val="68305A07"/>
    <w:rsid w:val="68404DB9"/>
    <w:rsid w:val="6848A902"/>
    <w:rsid w:val="68524DE7"/>
    <w:rsid w:val="685FBC7C"/>
    <w:rsid w:val="6868567D"/>
    <w:rsid w:val="68A66569"/>
    <w:rsid w:val="68B06570"/>
    <w:rsid w:val="68B2907F"/>
    <w:rsid w:val="68C17FB5"/>
    <w:rsid w:val="68C40446"/>
    <w:rsid w:val="68C8DFBF"/>
    <w:rsid w:val="68CA42C5"/>
    <w:rsid w:val="68E40C26"/>
    <w:rsid w:val="68E7777B"/>
    <w:rsid w:val="68EAC80F"/>
    <w:rsid w:val="68EDDCE2"/>
    <w:rsid w:val="68EEDF7E"/>
    <w:rsid w:val="69032D2D"/>
    <w:rsid w:val="691C5DC4"/>
    <w:rsid w:val="69273321"/>
    <w:rsid w:val="69323CAF"/>
    <w:rsid w:val="6945FE7F"/>
    <w:rsid w:val="694723C4"/>
    <w:rsid w:val="694F8DCB"/>
    <w:rsid w:val="6958E73C"/>
    <w:rsid w:val="696B414C"/>
    <w:rsid w:val="697B4F96"/>
    <w:rsid w:val="697E25E5"/>
    <w:rsid w:val="6988A6B8"/>
    <w:rsid w:val="698C90A2"/>
    <w:rsid w:val="698FF35D"/>
    <w:rsid w:val="69923AD6"/>
    <w:rsid w:val="69A6C892"/>
    <w:rsid w:val="69AE0CA6"/>
    <w:rsid w:val="69C74EF4"/>
    <w:rsid w:val="69CC2A68"/>
    <w:rsid w:val="69D03BC5"/>
    <w:rsid w:val="69D65F13"/>
    <w:rsid w:val="69E56443"/>
    <w:rsid w:val="69EA0033"/>
    <w:rsid w:val="69EC6DD8"/>
    <w:rsid w:val="69ED070B"/>
    <w:rsid w:val="69F3AEC6"/>
    <w:rsid w:val="69F9B734"/>
    <w:rsid w:val="6A1B5CE4"/>
    <w:rsid w:val="6A1E11FA"/>
    <w:rsid w:val="6A2136ED"/>
    <w:rsid w:val="6A495907"/>
    <w:rsid w:val="6A6E1699"/>
    <w:rsid w:val="6A75EB55"/>
    <w:rsid w:val="6A7DEE18"/>
    <w:rsid w:val="6A839B89"/>
    <w:rsid w:val="6A8B84AF"/>
    <w:rsid w:val="6A8FB05D"/>
    <w:rsid w:val="6A932581"/>
    <w:rsid w:val="6A93F5C2"/>
    <w:rsid w:val="6A9A7C13"/>
    <w:rsid w:val="6A9D2568"/>
    <w:rsid w:val="6AA35BD5"/>
    <w:rsid w:val="6AA3B7A3"/>
    <w:rsid w:val="6AC3B5F2"/>
    <w:rsid w:val="6AC49CF8"/>
    <w:rsid w:val="6AC6BD15"/>
    <w:rsid w:val="6ACCFC5B"/>
    <w:rsid w:val="6AD631DE"/>
    <w:rsid w:val="6ADA2355"/>
    <w:rsid w:val="6ADF61DA"/>
    <w:rsid w:val="6AEBAA8F"/>
    <w:rsid w:val="6AEDB750"/>
    <w:rsid w:val="6B0AEB64"/>
    <w:rsid w:val="6B171FF7"/>
    <w:rsid w:val="6B1A88AB"/>
    <w:rsid w:val="6B1FEC2B"/>
    <w:rsid w:val="6B2EE1DC"/>
    <w:rsid w:val="6B30E395"/>
    <w:rsid w:val="6B3EA62D"/>
    <w:rsid w:val="6B44D204"/>
    <w:rsid w:val="6B4C95A0"/>
    <w:rsid w:val="6B5E084A"/>
    <w:rsid w:val="6B5F3AC6"/>
    <w:rsid w:val="6B6D0570"/>
    <w:rsid w:val="6B6EF9E0"/>
    <w:rsid w:val="6B75C17C"/>
    <w:rsid w:val="6B771A78"/>
    <w:rsid w:val="6B7979EF"/>
    <w:rsid w:val="6B82C0AE"/>
    <w:rsid w:val="6B959312"/>
    <w:rsid w:val="6BADC0B8"/>
    <w:rsid w:val="6BAE5D6A"/>
    <w:rsid w:val="6BBA0942"/>
    <w:rsid w:val="6BCA3627"/>
    <w:rsid w:val="6BD41925"/>
    <w:rsid w:val="6BD70C5B"/>
    <w:rsid w:val="6BE0095F"/>
    <w:rsid w:val="6BE479E5"/>
    <w:rsid w:val="6BF198FE"/>
    <w:rsid w:val="6BFFA19A"/>
    <w:rsid w:val="6C014C0F"/>
    <w:rsid w:val="6C0227F2"/>
    <w:rsid w:val="6C0D2EBC"/>
    <w:rsid w:val="6C0E4B9E"/>
    <w:rsid w:val="6C0EC253"/>
    <w:rsid w:val="6C3EABC9"/>
    <w:rsid w:val="6C446591"/>
    <w:rsid w:val="6C44A9AD"/>
    <w:rsid w:val="6C4A6004"/>
    <w:rsid w:val="6C587925"/>
    <w:rsid w:val="6C77352B"/>
    <w:rsid w:val="6C7B600B"/>
    <w:rsid w:val="6C7B9583"/>
    <w:rsid w:val="6C7C256C"/>
    <w:rsid w:val="6C9BF8BC"/>
    <w:rsid w:val="6CC1F008"/>
    <w:rsid w:val="6CC9DB98"/>
    <w:rsid w:val="6CCCDBFB"/>
    <w:rsid w:val="6CCE8DAE"/>
    <w:rsid w:val="6CD8B754"/>
    <w:rsid w:val="6CF64FCB"/>
    <w:rsid w:val="6CF75B1A"/>
    <w:rsid w:val="6D0AAB15"/>
    <w:rsid w:val="6D173EF7"/>
    <w:rsid w:val="6D265113"/>
    <w:rsid w:val="6D267E41"/>
    <w:rsid w:val="6D2B4B7F"/>
    <w:rsid w:val="6D2DBE8F"/>
    <w:rsid w:val="6D363D0A"/>
    <w:rsid w:val="6D420383"/>
    <w:rsid w:val="6D4EA493"/>
    <w:rsid w:val="6D54A36A"/>
    <w:rsid w:val="6D78ECAD"/>
    <w:rsid w:val="6D9B851B"/>
    <w:rsid w:val="6DB2069C"/>
    <w:rsid w:val="6DB2B9EB"/>
    <w:rsid w:val="6DB9FEBA"/>
    <w:rsid w:val="6DBAAE5C"/>
    <w:rsid w:val="6DBC4E86"/>
    <w:rsid w:val="6DC240C4"/>
    <w:rsid w:val="6DCE47C6"/>
    <w:rsid w:val="6DEA9B6E"/>
    <w:rsid w:val="6DF87BD6"/>
    <w:rsid w:val="6DFA7C10"/>
    <w:rsid w:val="6E0A0720"/>
    <w:rsid w:val="6E0ACF19"/>
    <w:rsid w:val="6E0B0BF3"/>
    <w:rsid w:val="6E119D7D"/>
    <w:rsid w:val="6E2FFDBF"/>
    <w:rsid w:val="6E331668"/>
    <w:rsid w:val="6E3F5911"/>
    <w:rsid w:val="6E437D24"/>
    <w:rsid w:val="6E5CB9EB"/>
    <w:rsid w:val="6E6476C0"/>
    <w:rsid w:val="6E7C637F"/>
    <w:rsid w:val="6E8FF6AC"/>
    <w:rsid w:val="6EB2BF06"/>
    <w:rsid w:val="6EBD7156"/>
    <w:rsid w:val="6ED0375B"/>
    <w:rsid w:val="6ED8C1A3"/>
    <w:rsid w:val="6EDAE3DD"/>
    <w:rsid w:val="6F08E2F2"/>
    <w:rsid w:val="6F1954A2"/>
    <w:rsid w:val="6F1CB4A5"/>
    <w:rsid w:val="6F1D6590"/>
    <w:rsid w:val="6F2300F3"/>
    <w:rsid w:val="6F2C5ADE"/>
    <w:rsid w:val="6F2E05AD"/>
    <w:rsid w:val="6F39A03C"/>
    <w:rsid w:val="6F53E522"/>
    <w:rsid w:val="6F548E7C"/>
    <w:rsid w:val="6F6F294E"/>
    <w:rsid w:val="6F7C9AE7"/>
    <w:rsid w:val="6F9FC29E"/>
    <w:rsid w:val="6FA54747"/>
    <w:rsid w:val="6FC8AC83"/>
    <w:rsid w:val="6FD0248C"/>
    <w:rsid w:val="6FDC1E04"/>
    <w:rsid w:val="6FE1055D"/>
    <w:rsid w:val="6FE2ADBF"/>
    <w:rsid w:val="6FEA911A"/>
    <w:rsid w:val="6FFADB2B"/>
    <w:rsid w:val="700059F8"/>
    <w:rsid w:val="70024833"/>
    <w:rsid w:val="700707A0"/>
    <w:rsid w:val="7009066D"/>
    <w:rsid w:val="700CF7E4"/>
    <w:rsid w:val="7025B007"/>
    <w:rsid w:val="702BF653"/>
    <w:rsid w:val="7035C1E4"/>
    <w:rsid w:val="703C4593"/>
    <w:rsid w:val="70423EE2"/>
    <w:rsid w:val="7045C414"/>
    <w:rsid w:val="7046ACBF"/>
    <w:rsid w:val="705CAC6A"/>
    <w:rsid w:val="7066F2E8"/>
    <w:rsid w:val="7069E85A"/>
    <w:rsid w:val="70782EB7"/>
    <w:rsid w:val="707FA64F"/>
    <w:rsid w:val="70A44738"/>
    <w:rsid w:val="70AB36B9"/>
    <w:rsid w:val="70AE4F2D"/>
    <w:rsid w:val="70C4A603"/>
    <w:rsid w:val="70D99DAE"/>
    <w:rsid w:val="70DFF791"/>
    <w:rsid w:val="70ECE17C"/>
    <w:rsid w:val="70F9F163"/>
    <w:rsid w:val="70FD79E7"/>
    <w:rsid w:val="71092B0D"/>
    <w:rsid w:val="710AC6DE"/>
    <w:rsid w:val="7116EA9C"/>
    <w:rsid w:val="711AD37A"/>
    <w:rsid w:val="711B064B"/>
    <w:rsid w:val="712D018D"/>
    <w:rsid w:val="712DF334"/>
    <w:rsid w:val="7130D3F4"/>
    <w:rsid w:val="713776B2"/>
    <w:rsid w:val="713850D4"/>
    <w:rsid w:val="7138EE75"/>
    <w:rsid w:val="713A2CD8"/>
    <w:rsid w:val="714D06D9"/>
    <w:rsid w:val="714E3291"/>
    <w:rsid w:val="7158636E"/>
    <w:rsid w:val="7162BB75"/>
    <w:rsid w:val="71633E9D"/>
    <w:rsid w:val="716E6E43"/>
    <w:rsid w:val="7176084C"/>
    <w:rsid w:val="7182E26D"/>
    <w:rsid w:val="7183B74E"/>
    <w:rsid w:val="7188A4E4"/>
    <w:rsid w:val="7189AF84"/>
    <w:rsid w:val="71A63365"/>
    <w:rsid w:val="71B4CD85"/>
    <w:rsid w:val="71D82850"/>
    <w:rsid w:val="71D9B643"/>
    <w:rsid w:val="71E19475"/>
    <w:rsid w:val="71E7EA98"/>
    <w:rsid w:val="71EA16BE"/>
    <w:rsid w:val="71F4E955"/>
    <w:rsid w:val="72135483"/>
    <w:rsid w:val="722991DD"/>
    <w:rsid w:val="723EADA1"/>
    <w:rsid w:val="723F4B4E"/>
    <w:rsid w:val="72472913"/>
    <w:rsid w:val="726561DA"/>
    <w:rsid w:val="726C48D0"/>
    <w:rsid w:val="726FAD67"/>
    <w:rsid w:val="7276C1BB"/>
    <w:rsid w:val="72910FAE"/>
    <w:rsid w:val="72A16E72"/>
    <w:rsid w:val="72A67965"/>
    <w:rsid w:val="72BF32BC"/>
    <w:rsid w:val="72CBF648"/>
    <w:rsid w:val="72F8BDA2"/>
    <w:rsid w:val="73099432"/>
    <w:rsid w:val="7329F6C8"/>
    <w:rsid w:val="73418E1E"/>
    <w:rsid w:val="734C535B"/>
    <w:rsid w:val="7358112E"/>
    <w:rsid w:val="736E6462"/>
    <w:rsid w:val="737348C3"/>
    <w:rsid w:val="7374B2BE"/>
    <w:rsid w:val="737610F4"/>
    <w:rsid w:val="737EE083"/>
    <w:rsid w:val="738489A2"/>
    <w:rsid w:val="73865CD4"/>
    <w:rsid w:val="738BA11D"/>
    <w:rsid w:val="7397D208"/>
    <w:rsid w:val="73A9E786"/>
    <w:rsid w:val="73C3273F"/>
    <w:rsid w:val="73DA7E02"/>
    <w:rsid w:val="73DAE3A4"/>
    <w:rsid w:val="73EB5C69"/>
    <w:rsid w:val="73EC69BF"/>
    <w:rsid w:val="73F38339"/>
    <w:rsid w:val="73FFD21D"/>
    <w:rsid w:val="7404C3BD"/>
    <w:rsid w:val="74170C53"/>
    <w:rsid w:val="7442C5B5"/>
    <w:rsid w:val="744A8BAF"/>
    <w:rsid w:val="7453D951"/>
    <w:rsid w:val="747B7139"/>
    <w:rsid w:val="748BC5E1"/>
    <w:rsid w:val="74A61692"/>
    <w:rsid w:val="74B1CBD5"/>
    <w:rsid w:val="74B35C5B"/>
    <w:rsid w:val="74D5B956"/>
    <w:rsid w:val="74D6D02A"/>
    <w:rsid w:val="74D912E2"/>
    <w:rsid w:val="74E16CC8"/>
    <w:rsid w:val="74F4A3CE"/>
    <w:rsid w:val="75020220"/>
    <w:rsid w:val="7502E153"/>
    <w:rsid w:val="750545CC"/>
    <w:rsid w:val="751285AF"/>
    <w:rsid w:val="75193537"/>
    <w:rsid w:val="751A4305"/>
    <w:rsid w:val="751DDDBE"/>
    <w:rsid w:val="75202805"/>
    <w:rsid w:val="75274B25"/>
    <w:rsid w:val="75297419"/>
    <w:rsid w:val="7536F04A"/>
    <w:rsid w:val="753AB4E5"/>
    <w:rsid w:val="754545EE"/>
    <w:rsid w:val="75459DCE"/>
    <w:rsid w:val="754B3C0A"/>
    <w:rsid w:val="756B96CB"/>
    <w:rsid w:val="75945477"/>
    <w:rsid w:val="759C34A7"/>
    <w:rsid w:val="75AD6EB1"/>
    <w:rsid w:val="75C12ED8"/>
    <w:rsid w:val="75CD1DAD"/>
    <w:rsid w:val="75CE7C1A"/>
    <w:rsid w:val="75E708ED"/>
    <w:rsid w:val="75EEE94E"/>
    <w:rsid w:val="75F65DC9"/>
    <w:rsid w:val="7600DEEB"/>
    <w:rsid w:val="7604E00E"/>
    <w:rsid w:val="760584A9"/>
    <w:rsid w:val="76099E55"/>
    <w:rsid w:val="760F2436"/>
    <w:rsid w:val="76143285"/>
    <w:rsid w:val="76242D70"/>
    <w:rsid w:val="76259D35"/>
    <w:rsid w:val="7626DBF0"/>
    <w:rsid w:val="7628E23D"/>
    <w:rsid w:val="762D209B"/>
    <w:rsid w:val="7630ED72"/>
    <w:rsid w:val="76516EFA"/>
    <w:rsid w:val="76594FE9"/>
    <w:rsid w:val="7661F03E"/>
    <w:rsid w:val="7664283B"/>
    <w:rsid w:val="766B1E42"/>
    <w:rsid w:val="7673097A"/>
    <w:rsid w:val="76736C69"/>
    <w:rsid w:val="767F232D"/>
    <w:rsid w:val="76822DB5"/>
    <w:rsid w:val="76B81485"/>
    <w:rsid w:val="76BA0187"/>
    <w:rsid w:val="76C53561"/>
    <w:rsid w:val="76C8EA11"/>
    <w:rsid w:val="76D19F1B"/>
    <w:rsid w:val="76D764B7"/>
    <w:rsid w:val="76E215D1"/>
    <w:rsid w:val="76E2DD0B"/>
    <w:rsid w:val="76E6993C"/>
    <w:rsid w:val="76EC0677"/>
    <w:rsid w:val="76F2EDC9"/>
    <w:rsid w:val="76F71683"/>
    <w:rsid w:val="76FA04B4"/>
    <w:rsid w:val="76FFCF8E"/>
    <w:rsid w:val="7709D899"/>
    <w:rsid w:val="771AAFA8"/>
    <w:rsid w:val="771B15FE"/>
    <w:rsid w:val="772275D6"/>
    <w:rsid w:val="7724F864"/>
    <w:rsid w:val="775139C0"/>
    <w:rsid w:val="77659935"/>
    <w:rsid w:val="776932E7"/>
    <w:rsid w:val="7787213D"/>
    <w:rsid w:val="77881BE3"/>
    <w:rsid w:val="77AC7239"/>
    <w:rsid w:val="77B005B4"/>
    <w:rsid w:val="77B623DA"/>
    <w:rsid w:val="77BD3257"/>
    <w:rsid w:val="77BF92A4"/>
    <w:rsid w:val="77C67C51"/>
    <w:rsid w:val="77D26A87"/>
    <w:rsid w:val="77E61EB1"/>
    <w:rsid w:val="77EE981C"/>
    <w:rsid w:val="77F67A0F"/>
    <w:rsid w:val="77F691F9"/>
    <w:rsid w:val="7800CF12"/>
    <w:rsid w:val="7808BD13"/>
    <w:rsid w:val="780D5A18"/>
    <w:rsid w:val="781B1292"/>
    <w:rsid w:val="782A029D"/>
    <w:rsid w:val="7835284F"/>
    <w:rsid w:val="7835949B"/>
    <w:rsid w:val="784D2A94"/>
    <w:rsid w:val="78561CA3"/>
    <w:rsid w:val="7863C073"/>
    <w:rsid w:val="78664EAD"/>
    <w:rsid w:val="786925A9"/>
    <w:rsid w:val="787A7110"/>
    <w:rsid w:val="78B0FBDC"/>
    <w:rsid w:val="78B7CF69"/>
    <w:rsid w:val="78CE1EC7"/>
    <w:rsid w:val="78E467BF"/>
    <w:rsid w:val="78EBB5B2"/>
    <w:rsid w:val="78F1F13D"/>
    <w:rsid w:val="78F8ADC5"/>
    <w:rsid w:val="79018A5B"/>
    <w:rsid w:val="79068F98"/>
    <w:rsid w:val="7912542F"/>
    <w:rsid w:val="7917CB82"/>
    <w:rsid w:val="792EE827"/>
    <w:rsid w:val="794D344D"/>
    <w:rsid w:val="794D8652"/>
    <w:rsid w:val="794F02B4"/>
    <w:rsid w:val="795B7263"/>
    <w:rsid w:val="795E62E1"/>
    <w:rsid w:val="795EECF3"/>
    <w:rsid w:val="796225C0"/>
    <w:rsid w:val="79687700"/>
    <w:rsid w:val="796D5825"/>
    <w:rsid w:val="7977C6C3"/>
    <w:rsid w:val="798313BE"/>
    <w:rsid w:val="798921CD"/>
    <w:rsid w:val="79974104"/>
    <w:rsid w:val="799F0E82"/>
    <w:rsid w:val="79A31E71"/>
    <w:rsid w:val="79ACEDAB"/>
    <w:rsid w:val="79AD10B6"/>
    <w:rsid w:val="79BC24CF"/>
    <w:rsid w:val="79C08B05"/>
    <w:rsid w:val="79C4CAD1"/>
    <w:rsid w:val="79C668A1"/>
    <w:rsid w:val="79C79A1F"/>
    <w:rsid w:val="79CE7A68"/>
    <w:rsid w:val="79D96C15"/>
    <w:rsid w:val="79F49511"/>
    <w:rsid w:val="79F7105D"/>
    <w:rsid w:val="79FA6913"/>
    <w:rsid w:val="79FD017F"/>
    <w:rsid w:val="7A037205"/>
    <w:rsid w:val="7A0D7A7F"/>
    <w:rsid w:val="7A17E716"/>
    <w:rsid w:val="7A2128EF"/>
    <w:rsid w:val="7A28B814"/>
    <w:rsid w:val="7A2E761B"/>
    <w:rsid w:val="7A382542"/>
    <w:rsid w:val="7A39E887"/>
    <w:rsid w:val="7A406256"/>
    <w:rsid w:val="7A4277D3"/>
    <w:rsid w:val="7A5F9916"/>
    <w:rsid w:val="7A622B5C"/>
    <w:rsid w:val="7A63FC5C"/>
    <w:rsid w:val="7A690EF6"/>
    <w:rsid w:val="7A7F0051"/>
    <w:rsid w:val="7A8CABC8"/>
    <w:rsid w:val="7AB5E556"/>
    <w:rsid w:val="7ABC969A"/>
    <w:rsid w:val="7AC0EA9D"/>
    <w:rsid w:val="7ACBB37E"/>
    <w:rsid w:val="7AD8C814"/>
    <w:rsid w:val="7AF93B5C"/>
    <w:rsid w:val="7AFE2165"/>
    <w:rsid w:val="7B05C606"/>
    <w:rsid w:val="7B089FE1"/>
    <w:rsid w:val="7B209185"/>
    <w:rsid w:val="7B2BCC01"/>
    <w:rsid w:val="7B53B090"/>
    <w:rsid w:val="7B56F616"/>
    <w:rsid w:val="7B639178"/>
    <w:rsid w:val="7B6A585C"/>
    <w:rsid w:val="7B6B2CE6"/>
    <w:rsid w:val="7B7F6E81"/>
    <w:rsid w:val="7B8F33CB"/>
    <w:rsid w:val="7B93F527"/>
    <w:rsid w:val="7B9C4604"/>
    <w:rsid w:val="7B9FC84F"/>
    <w:rsid w:val="7BA2507C"/>
    <w:rsid w:val="7BB704AF"/>
    <w:rsid w:val="7BB9D2F9"/>
    <w:rsid w:val="7BCA467C"/>
    <w:rsid w:val="7BCE20CD"/>
    <w:rsid w:val="7BD7245E"/>
    <w:rsid w:val="7BDB03C7"/>
    <w:rsid w:val="7BE5158F"/>
    <w:rsid w:val="7BF29026"/>
    <w:rsid w:val="7BF4CDC9"/>
    <w:rsid w:val="7BF9A59F"/>
    <w:rsid w:val="7BFCCF65"/>
    <w:rsid w:val="7C0C0880"/>
    <w:rsid w:val="7C1B0176"/>
    <w:rsid w:val="7C20D35C"/>
    <w:rsid w:val="7C3F8411"/>
    <w:rsid w:val="7C5D19B0"/>
    <w:rsid w:val="7C5D5167"/>
    <w:rsid w:val="7C644402"/>
    <w:rsid w:val="7C68D789"/>
    <w:rsid w:val="7C6F02B0"/>
    <w:rsid w:val="7C7013F1"/>
    <w:rsid w:val="7C75FAA6"/>
    <w:rsid w:val="7C76C0A2"/>
    <w:rsid w:val="7C7CB5B3"/>
    <w:rsid w:val="7C867593"/>
    <w:rsid w:val="7C8A5DD0"/>
    <w:rsid w:val="7C8C65C3"/>
    <w:rsid w:val="7C92529A"/>
    <w:rsid w:val="7CB027C6"/>
    <w:rsid w:val="7CBBBAE3"/>
    <w:rsid w:val="7CBE05A3"/>
    <w:rsid w:val="7CBE71D7"/>
    <w:rsid w:val="7CC4DDC5"/>
    <w:rsid w:val="7CCEBBF6"/>
    <w:rsid w:val="7CCF1E7A"/>
    <w:rsid w:val="7CD5133F"/>
    <w:rsid w:val="7CDF40B9"/>
    <w:rsid w:val="7CE29BF4"/>
    <w:rsid w:val="7CE7A284"/>
    <w:rsid w:val="7CE7E384"/>
    <w:rsid w:val="7CE9C365"/>
    <w:rsid w:val="7CF6C77F"/>
    <w:rsid w:val="7CFC6B93"/>
    <w:rsid w:val="7D04330F"/>
    <w:rsid w:val="7D073204"/>
    <w:rsid w:val="7D0ECDE4"/>
    <w:rsid w:val="7D32BB82"/>
    <w:rsid w:val="7D349D91"/>
    <w:rsid w:val="7D365359"/>
    <w:rsid w:val="7D399032"/>
    <w:rsid w:val="7D48EFA0"/>
    <w:rsid w:val="7D5324C6"/>
    <w:rsid w:val="7D55C23A"/>
    <w:rsid w:val="7D5DDB99"/>
    <w:rsid w:val="7D6014D3"/>
    <w:rsid w:val="7D722CBD"/>
    <w:rsid w:val="7D853A24"/>
    <w:rsid w:val="7D897070"/>
    <w:rsid w:val="7D8DB8BB"/>
    <w:rsid w:val="7D94F4B3"/>
    <w:rsid w:val="7D97F60E"/>
    <w:rsid w:val="7DAEE74E"/>
    <w:rsid w:val="7DB8EECE"/>
    <w:rsid w:val="7DC76819"/>
    <w:rsid w:val="7DC86480"/>
    <w:rsid w:val="7DCB8B66"/>
    <w:rsid w:val="7DD7F135"/>
    <w:rsid w:val="7DE36BC4"/>
    <w:rsid w:val="7DE66D73"/>
    <w:rsid w:val="7DE71845"/>
    <w:rsid w:val="7DEA5C30"/>
    <w:rsid w:val="7E01117D"/>
    <w:rsid w:val="7E0DA292"/>
    <w:rsid w:val="7E23F66A"/>
    <w:rsid w:val="7E314F4A"/>
    <w:rsid w:val="7E33CCE4"/>
    <w:rsid w:val="7E4472A6"/>
    <w:rsid w:val="7E47048B"/>
    <w:rsid w:val="7E4FA078"/>
    <w:rsid w:val="7E700ABA"/>
    <w:rsid w:val="7E95DCAC"/>
    <w:rsid w:val="7EC25A49"/>
    <w:rsid w:val="7EC25E8E"/>
    <w:rsid w:val="7EC9CA9A"/>
    <w:rsid w:val="7ECB4F4F"/>
    <w:rsid w:val="7EDB476C"/>
    <w:rsid w:val="7EE6D68E"/>
    <w:rsid w:val="7EF845C6"/>
    <w:rsid w:val="7EFF397C"/>
    <w:rsid w:val="7F08243E"/>
    <w:rsid w:val="7F0CFA28"/>
    <w:rsid w:val="7F1F7D4E"/>
    <w:rsid w:val="7F37CA99"/>
    <w:rsid w:val="7F3A4592"/>
    <w:rsid w:val="7F40B739"/>
    <w:rsid w:val="7F46C98E"/>
    <w:rsid w:val="7F47D146"/>
    <w:rsid w:val="7F487C8D"/>
    <w:rsid w:val="7F4999F7"/>
    <w:rsid w:val="7F782A5F"/>
    <w:rsid w:val="7F834D4D"/>
    <w:rsid w:val="7F882DD4"/>
    <w:rsid w:val="7F9132AF"/>
    <w:rsid w:val="7F94F229"/>
    <w:rsid w:val="7F96D8F5"/>
    <w:rsid w:val="7F9A83FE"/>
    <w:rsid w:val="7FA435CD"/>
    <w:rsid w:val="7FAE972F"/>
    <w:rsid w:val="7FB3D6A4"/>
    <w:rsid w:val="7FC4B0CA"/>
    <w:rsid w:val="7FD00583"/>
    <w:rsid w:val="7FD3ADD5"/>
    <w:rsid w:val="7FDF39E0"/>
    <w:rsid w:val="7FEEBD86"/>
    <w:rsid w:val="7FF4FDB9"/>
    <w:rsid w:val="7FFD525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C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FE4"/>
    <w:pPr>
      <w:jc w:val="both"/>
    </w:pPr>
    <w:rPr>
      <w:rFonts w:ascii="Times New Roman" w:hAnsi="Times New Roman" w:cs="Times New Roman"/>
      <w:sz w:val="24"/>
      <w:szCs w:val="24"/>
      <w:lang w:val="en-GB"/>
    </w:rPr>
  </w:style>
  <w:style w:type="paragraph" w:styleId="Heading1">
    <w:name w:val="heading 1"/>
    <w:basedOn w:val="ListParagraph"/>
    <w:next w:val="Normal"/>
    <w:link w:val="Heading1Char"/>
    <w:uiPriority w:val="9"/>
    <w:qFormat/>
    <w:rsid w:val="00002B1E"/>
    <w:pPr>
      <w:numPr>
        <w:numId w:val="76"/>
      </w:numPr>
      <w:spacing w:before="240" w:after="120"/>
      <w:outlineLvl w:val="0"/>
    </w:pPr>
    <w:rPr>
      <w:b/>
      <w:bCs/>
    </w:rPr>
  </w:style>
  <w:style w:type="paragraph" w:styleId="Heading2">
    <w:name w:val="heading 2"/>
    <w:basedOn w:val="Heading1"/>
    <w:next w:val="Normal"/>
    <w:link w:val="Heading2Char"/>
    <w:uiPriority w:val="9"/>
    <w:unhideWhenUsed/>
    <w:qFormat/>
    <w:rsid w:val="00002B1E"/>
    <w:pPr>
      <w:numPr>
        <w:ilvl w:val="1"/>
      </w:numPr>
      <w:tabs>
        <w:tab w:val="num" w:pos="360"/>
      </w:tabs>
      <w:outlineLvl w:val="1"/>
    </w:pPr>
  </w:style>
  <w:style w:type="paragraph" w:styleId="Heading3">
    <w:name w:val="heading 3"/>
    <w:basedOn w:val="Normal"/>
    <w:next w:val="Normal"/>
    <w:link w:val="Heading3Char"/>
    <w:uiPriority w:val="9"/>
    <w:unhideWhenUsed/>
    <w:qFormat/>
    <w:rsid w:val="001C05EF"/>
    <w:pPr>
      <w:keepNext/>
      <w:keepLines/>
      <w:numPr>
        <w:ilvl w:val="2"/>
        <w:numId w:val="76"/>
      </w:numPr>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C05EF"/>
    <w:pPr>
      <w:keepNext/>
      <w:keepLines/>
      <w:numPr>
        <w:ilvl w:val="3"/>
        <w:numId w:val="7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05EF"/>
    <w:pPr>
      <w:keepNext/>
      <w:keepLines/>
      <w:numPr>
        <w:ilvl w:val="4"/>
        <w:numId w:val="7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1C05EF"/>
    <w:pPr>
      <w:keepNext/>
      <w:keepLines/>
      <w:numPr>
        <w:ilvl w:val="5"/>
        <w:numId w:val="7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C05EF"/>
    <w:pPr>
      <w:keepNext/>
      <w:keepLines/>
      <w:numPr>
        <w:ilvl w:val="6"/>
        <w:numId w:val="7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C05EF"/>
    <w:pPr>
      <w:keepNext/>
      <w:keepLines/>
      <w:numPr>
        <w:ilvl w:val="7"/>
        <w:numId w:val="7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C05EF"/>
    <w:pPr>
      <w:keepNext/>
      <w:keepLines/>
      <w:numPr>
        <w:ilvl w:val="8"/>
        <w:numId w:val="7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3"/>
    <w:basedOn w:val="Normal"/>
    <w:link w:val="ListParagraphChar"/>
    <w:uiPriority w:val="34"/>
    <w:qFormat/>
    <w:rsid w:val="00310702"/>
    <w:pPr>
      <w:numPr>
        <w:numId w:val="5"/>
      </w:numPr>
      <w:contextualSpacing/>
    </w:pPr>
  </w:style>
  <w:style w:type="character" w:customStyle="1" w:styleId="Heading1Char">
    <w:name w:val="Heading 1 Char"/>
    <w:basedOn w:val="DefaultParagraphFont"/>
    <w:link w:val="Heading1"/>
    <w:uiPriority w:val="9"/>
    <w:rsid w:val="00E35FB1"/>
    <w:rPr>
      <w:rFonts w:ascii="Times New Roman" w:hAnsi="Times New Roman" w:cs="Times New Roman"/>
      <w:b/>
      <w:bCs/>
      <w:sz w:val="24"/>
      <w:szCs w:val="24"/>
      <w:lang w:val="en-GB"/>
    </w:rPr>
  </w:style>
  <w:style w:type="character" w:customStyle="1" w:styleId="Heading2Char">
    <w:name w:val="Heading 2 Char"/>
    <w:basedOn w:val="DefaultParagraphFont"/>
    <w:link w:val="Heading2"/>
    <w:uiPriority w:val="9"/>
    <w:rsid w:val="001C05EF"/>
    <w:rPr>
      <w:rFonts w:ascii="Times New Roman" w:hAnsi="Times New Roman" w:cs="Times New Roman"/>
      <w:b/>
      <w:bCs/>
      <w:sz w:val="24"/>
      <w:szCs w:val="24"/>
      <w:lang w:val="en-GB"/>
    </w:rPr>
  </w:style>
  <w:style w:type="character" w:customStyle="1" w:styleId="Heading3Char">
    <w:name w:val="Heading 3 Char"/>
    <w:basedOn w:val="DefaultParagraphFont"/>
    <w:link w:val="Heading3"/>
    <w:uiPriority w:val="9"/>
    <w:rsid w:val="001C05EF"/>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1C05EF"/>
    <w:rPr>
      <w:rFonts w:asciiTheme="majorHAnsi" w:eastAsiaTheme="majorEastAsia" w:hAnsiTheme="majorHAnsi" w:cstheme="majorBidi"/>
      <w:i/>
      <w:iCs/>
      <w:color w:val="2F5496" w:themeColor="accent1" w:themeShade="BF"/>
      <w:sz w:val="24"/>
      <w:szCs w:val="24"/>
      <w:lang w:val="en-GB"/>
    </w:rPr>
  </w:style>
  <w:style w:type="character" w:customStyle="1" w:styleId="Heading5Char">
    <w:name w:val="Heading 5 Char"/>
    <w:basedOn w:val="DefaultParagraphFont"/>
    <w:link w:val="Heading5"/>
    <w:uiPriority w:val="9"/>
    <w:rsid w:val="001C05EF"/>
    <w:rPr>
      <w:rFonts w:asciiTheme="majorHAnsi" w:eastAsiaTheme="majorEastAsia" w:hAnsiTheme="majorHAnsi" w:cstheme="majorBidi"/>
      <w:color w:val="2F5496" w:themeColor="accent1" w:themeShade="BF"/>
      <w:sz w:val="24"/>
      <w:szCs w:val="24"/>
      <w:lang w:val="en-GB"/>
    </w:rPr>
  </w:style>
  <w:style w:type="character" w:customStyle="1" w:styleId="Heading6Char">
    <w:name w:val="Heading 6 Char"/>
    <w:basedOn w:val="DefaultParagraphFont"/>
    <w:link w:val="Heading6"/>
    <w:uiPriority w:val="9"/>
    <w:rsid w:val="001C05EF"/>
    <w:rPr>
      <w:rFonts w:asciiTheme="majorHAnsi" w:eastAsiaTheme="majorEastAsia" w:hAnsiTheme="majorHAnsi" w:cstheme="majorBidi"/>
      <w:color w:val="1F3763" w:themeColor="accent1" w:themeShade="7F"/>
      <w:sz w:val="24"/>
      <w:szCs w:val="24"/>
      <w:lang w:val="en-GB"/>
    </w:rPr>
  </w:style>
  <w:style w:type="character" w:customStyle="1" w:styleId="Heading7Char">
    <w:name w:val="Heading 7 Char"/>
    <w:basedOn w:val="DefaultParagraphFont"/>
    <w:link w:val="Heading7"/>
    <w:uiPriority w:val="9"/>
    <w:semiHidden/>
    <w:rsid w:val="001C05EF"/>
    <w:rPr>
      <w:rFonts w:asciiTheme="majorHAnsi" w:eastAsiaTheme="majorEastAsia" w:hAnsiTheme="majorHAnsi" w:cstheme="majorBidi"/>
      <w:i/>
      <w:iCs/>
      <w:color w:val="1F3763" w:themeColor="accent1" w:themeShade="7F"/>
      <w:sz w:val="24"/>
      <w:szCs w:val="24"/>
      <w:lang w:val="en-GB"/>
    </w:rPr>
  </w:style>
  <w:style w:type="character" w:customStyle="1" w:styleId="Heading8Char">
    <w:name w:val="Heading 8 Char"/>
    <w:basedOn w:val="DefaultParagraphFont"/>
    <w:link w:val="Heading8"/>
    <w:uiPriority w:val="9"/>
    <w:semiHidden/>
    <w:rsid w:val="001C05EF"/>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1C05EF"/>
    <w:rPr>
      <w:rFonts w:asciiTheme="majorHAnsi" w:eastAsiaTheme="majorEastAsia" w:hAnsiTheme="majorHAnsi" w:cstheme="majorBidi"/>
      <w:i/>
      <w:iCs/>
      <w:color w:val="272727" w:themeColor="text1" w:themeTint="D8"/>
      <w:sz w:val="21"/>
      <w:szCs w:val="21"/>
      <w:lang w:val="en-GB"/>
    </w:rPr>
  </w:style>
  <w:style w:type="paragraph" w:customStyle="1" w:styleId="LegalNumPar">
    <w:name w:val="LegalNumPar"/>
    <w:basedOn w:val="Normal"/>
    <w:rsid w:val="001501D3"/>
    <w:pPr>
      <w:numPr>
        <w:numId w:val="10"/>
      </w:numPr>
      <w:spacing w:line="360" w:lineRule="auto"/>
    </w:pPr>
  </w:style>
  <w:style w:type="paragraph" w:customStyle="1" w:styleId="LegalNumPar2">
    <w:name w:val="LegalNumPar2"/>
    <w:basedOn w:val="Normal"/>
    <w:rsid w:val="001501D3"/>
    <w:pPr>
      <w:numPr>
        <w:ilvl w:val="1"/>
        <w:numId w:val="11"/>
      </w:numPr>
      <w:spacing w:line="360" w:lineRule="auto"/>
    </w:pPr>
  </w:style>
  <w:style w:type="paragraph" w:customStyle="1" w:styleId="LegalNumPar3">
    <w:name w:val="LegalNumPar3"/>
    <w:basedOn w:val="Normal"/>
    <w:rsid w:val="001501D3"/>
    <w:pPr>
      <w:numPr>
        <w:ilvl w:val="2"/>
        <w:numId w:val="11"/>
      </w:numPr>
      <w:spacing w:line="360" w:lineRule="auto"/>
    </w:pPr>
  </w:style>
  <w:style w:type="paragraph" w:styleId="Revision">
    <w:name w:val="Revision"/>
    <w:hidden/>
    <w:uiPriority w:val="99"/>
    <w:semiHidden/>
    <w:rsid w:val="00793846"/>
    <w:pPr>
      <w:spacing w:after="0" w:line="240" w:lineRule="auto"/>
    </w:pPr>
  </w:style>
  <w:style w:type="character" w:styleId="CommentReference">
    <w:name w:val="annotation reference"/>
    <w:basedOn w:val="DefaultParagraphFont"/>
    <w:uiPriority w:val="99"/>
    <w:semiHidden/>
    <w:unhideWhenUsed/>
    <w:rsid w:val="00793846"/>
    <w:rPr>
      <w:sz w:val="16"/>
      <w:szCs w:val="16"/>
    </w:rPr>
  </w:style>
  <w:style w:type="paragraph" w:styleId="CommentText">
    <w:name w:val="annotation text"/>
    <w:basedOn w:val="Normal"/>
    <w:link w:val="CommentTextChar"/>
    <w:uiPriority w:val="99"/>
    <w:unhideWhenUsed/>
    <w:rsid w:val="00793846"/>
    <w:pPr>
      <w:spacing w:line="240" w:lineRule="auto"/>
    </w:pPr>
    <w:rPr>
      <w:sz w:val="20"/>
      <w:szCs w:val="20"/>
    </w:rPr>
  </w:style>
  <w:style w:type="character" w:customStyle="1" w:styleId="CommentTextChar">
    <w:name w:val="Comment Text Char"/>
    <w:basedOn w:val="DefaultParagraphFont"/>
    <w:link w:val="CommentText"/>
    <w:uiPriority w:val="99"/>
    <w:rsid w:val="00793846"/>
    <w:rPr>
      <w:sz w:val="20"/>
      <w:szCs w:val="20"/>
    </w:rPr>
  </w:style>
  <w:style w:type="paragraph" w:styleId="CommentSubject">
    <w:name w:val="annotation subject"/>
    <w:basedOn w:val="CommentText"/>
    <w:next w:val="CommentText"/>
    <w:link w:val="CommentSubjectChar"/>
    <w:uiPriority w:val="99"/>
    <w:semiHidden/>
    <w:unhideWhenUsed/>
    <w:rsid w:val="00793846"/>
    <w:rPr>
      <w:b/>
      <w:bCs/>
    </w:rPr>
  </w:style>
  <w:style w:type="character" w:customStyle="1" w:styleId="CommentSubjectChar">
    <w:name w:val="Comment Subject Char"/>
    <w:basedOn w:val="CommentTextChar"/>
    <w:link w:val="CommentSubject"/>
    <w:uiPriority w:val="99"/>
    <w:semiHidden/>
    <w:rsid w:val="00793846"/>
    <w:rPr>
      <w:b/>
      <w:bCs/>
      <w:sz w:val="20"/>
      <w:szCs w:val="20"/>
    </w:rPr>
  </w:style>
  <w:style w:type="paragraph" w:styleId="Header">
    <w:name w:val="header"/>
    <w:basedOn w:val="Normal"/>
    <w:link w:val="HeaderChar"/>
    <w:uiPriority w:val="99"/>
    <w:unhideWhenUsed/>
    <w:rsid w:val="001D479F"/>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1D479F"/>
  </w:style>
  <w:style w:type="paragraph" w:styleId="Footer">
    <w:name w:val="footer"/>
    <w:basedOn w:val="Normal"/>
    <w:link w:val="FooterChar"/>
    <w:uiPriority w:val="99"/>
    <w:unhideWhenUsed/>
    <w:rsid w:val="001D47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479F"/>
  </w:style>
  <w:style w:type="character" w:customStyle="1" w:styleId="normaltextrun">
    <w:name w:val="normaltextrun"/>
    <w:basedOn w:val="DefaultParagraphFont"/>
    <w:rsid w:val="00D3476C"/>
  </w:style>
  <w:style w:type="character" w:customStyle="1" w:styleId="cf01">
    <w:name w:val="cf01"/>
    <w:basedOn w:val="DefaultParagraphFont"/>
    <w:rsid w:val="00701724"/>
    <w:rPr>
      <w:rFonts w:ascii="Segoe UI" w:hAnsi="Segoe UI" w:cs="Segoe UI" w:hint="default"/>
      <w:sz w:val="18"/>
      <w:szCs w:val="18"/>
    </w:rPr>
  </w:style>
  <w:style w:type="paragraph" w:styleId="TOCHeading">
    <w:name w:val="TOC Heading"/>
    <w:basedOn w:val="Heading1"/>
    <w:next w:val="Normal"/>
    <w:uiPriority w:val="39"/>
    <w:unhideWhenUsed/>
    <w:qFormat/>
    <w:rsid w:val="00452DD9"/>
    <w:pPr>
      <w:keepNext/>
      <w:keepLines/>
      <w:spacing w:after="0"/>
      <w:ind w:left="0" w:firstLine="0"/>
      <w:contextualSpacing w:val="0"/>
      <w:jc w:val="left"/>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3C4F67"/>
    <w:pPr>
      <w:tabs>
        <w:tab w:val="left" w:pos="440"/>
        <w:tab w:val="left" w:pos="480"/>
        <w:tab w:val="right" w:leader="dot" w:pos="9015"/>
      </w:tabs>
      <w:spacing w:after="100"/>
    </w:pPr>
  </w:style>
  <w:style w:type="paragraph" w:styleId="TOC2">
    <w:name w:val="toc 2"/>
    <w:basedOn w:val="Normal"/>
    <w:next w:val="Normal"/>
    <w:autoRedefine/>
    <w:uiPriority w:val="39"/>
    <w:unhideWhenUsed/>
    <w:rsid w:val="001A05EB"/>
    <w:pPr>
      <w:tabs>
        <w:tab w:val="left" w:pos="880"/>
        <w:tab w:val="right" w:leader="dot" w:pos="9016"/>
      </w:tabs>
      <w:spacing w:after="100"/>
      <w:ind w:left="220"/>
    </w:pPr>
  </w:style>
  <w:style w:type="character" w:styleId="Hyperlink">
    <w:name w:val="Hyperlink"/>
    <w:basedOn w:val="DefaultParagraphFont"/>
    <w:uiPriority w:val="99"/>
    <w:unhideWhenUsed/>
    <w:qFormat/>
    <w:rsid w:val="00452DD9"/>
    <w:rPr>
      <w:color w:val="0563C1"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452DD9"/>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52DD9"/>
    <w:rPr>
      <w:sz w:val="20"/>
      <w:szCs w:val="20"/>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sid w:val="00452DD9"/>
    <w:rPr>
      <w:vertAlign w:val="superscript"/>
    </w:rPr>
  </w:style>
  <w:style w:type="character" w:customStyle="1" w:styleId="UnresolvedMention1">
    <w:name w:val="Unresolved Mention1"/>
    <w:basedOn w:val="DefaultParagraphFont"/>
    <w:uiPriority w:val="99"/>
    <w:semiHidden/>
    <w:unhideWhenUsed/>
    <w:rsid w:val="00452DD9"/>
    <w:rPr>
      <w:color w:val="605E5C"/>
      <w:shd w:val="clear" w:color="auto" w:fill="E1DFDD"/>
    </w:rPr>
  </w:style>
  <w:style w:type="character" w:customStyle="1" w:styleId="eop">
    <w:name w:val="eop"/>
    <w:basedOn w:val="DefaultParagraphFont"/>
    <w:rsid w:val="002F5BD1"/>
  </w:style>
  <w:style w:type="character" w:customStyle="1" w:styleId="Mention1">
    <w:name w:val="Mention1"/>
    <w:basedOn w:val="DefaultParagraphFont"/>
    <w:uiPriority w:val="99"/>
    <w:unhideWhenUsed/>
    <w:rsid w:val="002072CB"/>
    <w:rPr>
      <w:color w:val="2B579A"/>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unhideWhenUsed/>
    <w:rsid w:val="00D2050D"/>
    <w:pPr>
      <w:spacing w:line="240" w:lineRule="exact"/>
    </w:pPr>
    <w:rPr>
      <w:rFonts w:asciiTheme="minorHAnsi" w:hAnsiTheme="minorHAnsi" w:cstheme="minorBidi"/>
      <w:sz w:val="22"/>
      <w:szCs w:val="22"/>
      <w:vertAlign w:val="superscript"/>
      <w:lang w:val="en-IE"/>
    </w:rPr>
  </w:style>
  <w:style w:type="paragraph" w:styleId="NormalWeb">
    <w:name w:val="Normal (Web)"/>
    <w:basedOn w:val="Normal"/>
    <w:uiPriority w:val="99"/>
    <w:unhideWhenUsed/>
    <w:rsid w:val="009B77EB"/>
    <w:pPr>
      <w:spacing w:before="100" w:beforeAutospacing="1" w:after="100" w:afterAutospacing="1" w:line="240" w:lineRule="auto"/>
      <w:jc w:val="left"/>
    </w:pPr>
    <w:rPr>
      <w:rFonts w:eastAsia="Times New Roman"/>
      <w:lang w:eastAsia="en-GB"/>
    </w:rPr>
  </w:style>
  <w:style w:type="paragraph" w:customStyle="1" w:styleId="pf0">
    <w:name w:val="pf0"/>
    <w:basedOn w:val="Normal"/>
    <w:rsid w:val="002130C1"/>
    <w:pPr>
      <w:spacing w:before="100" w:beforeAutospacing="1" w:after="100" w:afterAutospacing="1" w:line="240" w:lineRule="auto"/>
      <w:jc w:val="left"/>
    </w:pPr>
    <w:rPr>
      <w:rFonts w:eastAsia="Times New Roman"/>
      <w:lang w:val="en-IE" w:eastAsia="en-IE"/>
    </w:rPr>
  </w:style>
  <w:style w:type="paragraph" w:styleId="TOC3">
    <w:name w:val="toc 3"/>
    <w:basedOn w:val="Normal"/>
    <w:next w:val="Normal"/>
    <w:autoRedefine/>
    <w:uiPriority w:val="39"/>
    <w:unhideWhenUsed/>
    <w:rsid w:val="00D05E02"/>
    <w:pPr>
      <w:tabs>
        <w:tab w:val="left" w:pos="1320"/>
        <w:tab w:val="right" w:leader="dot" w:pos="9016"/>
      </w:tabs>
      <w:spacing w:after="100"/>
      <w:ind w:left="480"/>
    </w:pPr>
  </w:style>
  <w:style w:type="character" w:styleId="FollowedHyperlink">
    <w:name w:val="FollowedHyperlink"/>
    <w:basedOn w:val="DefaultParagraphFont"/>
    <w:uiPriority w:val="99"/>
    <w:semiHidden/>
    <w:unhideWhenUsed/>
    <w:rsid w:val="00C03A9F"/>
    <w:rPr>
      <w:color w:val="954F72" w:themeColor="followedHyperlink"/>
      <w:u w:val="single"/>
    </w:rPr>
  </w:style>
  <w:style w:type="paragraph" w:styleId="Caption">
    <w:name w:val="caption"/>
    <w:basedOn w:val="Normal"/>
    <w:next w:val="Normal"/>
    <w:uiPriority w:val="35"/>
    <w:unhideWhenUsed/>
    <w:qFormat/>
    <w:rsid w:val="004A0042"/>
    <w:pPr>
      <w:spacing w:after="200" w:line="240" w:lineRule="auto"/>
    </w:pPr>
    <w:rPr>
      <w:i/>
      <w:iCs/>
      <w:color w:val="44546A" w:themeColor="text2"/>
      <w:sz w:val="18"/>
      <w:szCs w:val="18"/>
    </w:rPr>
  </w:style>
  <w:style w:type="table" w:styleId="TableGrid">
    <w:name w:val="Table Grid"/>
    <w:basedOn w:val="TableNormal"/>
    <w:uiPriority w:val="39"/>
    <w:rsid w:val="00014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810A3"/>
    <w:rPr>
      <w:b/>
      <w:bCs/>
    </w:rPr>
  </w:style>
  <w:style w:type="paragraph" w:customStyle="1" w:styleId="p1">
    <w:name w:val="p1"/>
    <w:basedOn w:val="Normal"/>
    <w:rsid w:val="00A32FDD"/>
    <w:pPr>
      <w:spacing w:before="100" w:beforeAutospacing="1" w:after="100" w:afterAutospacing="1" w:line="240" w:lineRule="auto"/>
      <w:jc w:val="left"/>
    </w:pPr>
    <w:rPr>
      <w:rFonts w:ascii="Calibri" w:hAnsi="Calibri" w:cs="Calibri"/>
      <w:sz w:val="22"/>
      <w:szCs w:val="22"/>
      <w:lang w:val="fr-BE" w:eastAsia="fr-BE"/>
    </w:rPr>
  </w:style>
  <w:style w:type="character" w:customStyle="1" w:styleId="s1">
    <w:name w:val="s1"/>
    <w:basedOn w:val="DefaultParagraphFont"/>
    <w:rsid w:val="00A32FDD"/>
  </w:style>
  <w:style w:type="paragraph" w:customStyle="1" w:styleId="CharCharChar1">
    <w:name w:val="Char Char Char1"/>
    <w:basedOn w:val="Normal"/>
    <w:uiPriority w:val="99"/>
    <w:rsid w:val="00C1397E"/>
    <w:pPr>
      <w:spacing w:line="240" w:lineRule="exact"/>
    </w:pPr>
    <w:rPr>
      <w:vertAlign w:val="superscript"/>
    </w:rPr>
  </w:style>
  <w:style w:type="paragraph" w:customStyle="1" w:styleId="paragraph">
    <w:name w:val="paragraph"/>
    <w:basedOn w:val="Normal"/>
    <w:rsid w:val="009F6DFC"/>
    <w:pPr>
      <w:spacing w:before="100" w:beforeAutospacing="1" w:after="100" w:afterAutospacing="1" w:line="240" w:lineRule="auto"/>
      <w:jc w:val="left"/>
    </w:pPr>
    <w:rPr>
      <w:rFonts w:eastAsia="Times New Roman"/>
      <w:lang w:eastAsia="en-GB"/>
    </w:rPr>
  </w:style>
  <w:style w:type="character" w:customStyle="1" w:styleId="superscript">
    <w:name w:val="superscript"/>
    <w:basedOn w:val="DefaultParagraphFont"/>
    <w:rsid w:val="009F6DFC"/>
  </w:style>
  <w:style w:type="character" w:customStyle="1" w:styleId="Marker">
    <w:name w:val="Marker"/>
    <w:basedOn w:val="DefaultParagraphFont"/>
    <w:rsid w:val="000A37A5"/>
    <w:rPr>
      <w:color w:val="0000FF"/>
      <w:shd w:val="clear" w:color="auto" w:fill="auto"/>
    </w:rPr>
  </w:style>
  <w:style w:type="paragraph" w:customStyle="1" w:styleId="Pagedecouverture">
    <w:name w:val="Page de couverture"/>
    <w:basedOn w:val="Normal"/>
    <w:next w:val="Normal"/>
    <w:rsid w:val="000A37A5"/>
    <w:pPr>
      <w:spacing w:after="0" w:line="240" w:lineRule="auto"/>
    </w:pPr>
    <w:rPr>
      <w:szCs w:val="22"/>
    </w:rPr>
  </w:style>
  <w:style w:type="paragraph" w:customStyle="1" w:styleId="FooterCoverPage">
    <w:name w:val="Footer Cover Page"/>
    <w:basedOn w:val="Normal"/>
    <w:link w:val="FooterCoverPageChar"/>
    <w:rsid w:val="000A37A5"/>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0A37A5"/>
    <w:rPr>
      <w:rFonts w:ascii="Times New Roman" w:hAnsi="Times New Roman" w:cs="Times New Roman"/>
      <w:sz w:val="24"/>
      <w:szCs w:val="24"/>
      <w:lang w:val="en-GB"/>
    </w:rPr>
  </w:style>
  <w:style w:type="paragraph" w:customStyle="1" w:styleId="FooterSensitivity">
    <w:name w:val="Footer Sensitivity"/>
    <w:basedOn w:val="Normal"/>
    <w:link w:val="FooterSensitivityChar"/>
    <w:rsid w:val="000A37A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0A37A5"/>
    <w:rPr>
      <w:rFonts w:ascii="Times New Roman" w:hAnsi="Times New Roman" w:cs="Times New Roman"/>
      <w:b/>
      <w:sz w:val="32"/>
      <w:szCs w:val="24"/>
      <w:lang w:val="en-GB"/>
    </w:rPr>
  </w:style>
  <w:style w:type="paragraph" w:customStyle="1" w:styleId="HeaderCoverPage">
    <w:name w:val="Header Cover Page"/>
    <w:basedOn w:val="Normal"/>
    <w:link w:val="HeaderCoverPageChar"/>
    <w:rsid w:val="000A37A5"/>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0A37A5"/>
    <w:rPr>
      <w:rFonts w:ascii="Times New Roman" w:hAnsi="Times New Roman" w:cs="Times New Roman"/>
      <w:sz w:val="24"/>
      <w:szCs w:val="24"/>
      <w:lang w:val="en-GB"/>
    </w:rPr>
  </w:style>
  <w:style w:type="paragraph" w:customStyle="1" w:styleId="HeaderSensitivity">
    <w:name w:val="Header Sensitivity"/>
    <w:basedOn w:val="Normal"/>
    <w:link w:val="HeaderSensitivityChar"/>
    <w:rsid w:val="000A37A5"/>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0A37A5"/>
    <w:rPr>
      <w:rFonts w:ascii="Times New Roman" w:hAnsi="Times New Roman" w:cs="Times New Roman"/>
      <w:b/>
      <w:sz w:val="32"/>
      <w:szCs w:val="24"/>
      <w:lang w:val="en-GB"/>
    </w:rPr>
  </w:style>
  <w:style w:type="paragraph" w:customStyle="1" w:styleId="HeaderSensitivityRight">
    <w:name w:val="Header Sensitivity Right"/>
    <w:basedOn w:val="Normal"/>
    <w:link w:val="HeaderSensitivityRightChar"/>
    <w:rsid w:val="00EC4B5C"/>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0A37A5"/>
    <w:rPr>
      <w:rFonts w:ascii="Times New Roman" w:hAnsi="Times New Roman" w:cs="Times New Roman"/>
      <w:sz w:val="28"/>
      <w:szCs w:val="24"/>
      <w:lang w:val="en-GB"/>
    </w:rPr>
  </w:style>
  <w:style w:type="paragraph" w:customStyle="1" w:styleId="Disclaimer">
    <w:name w:val="Disclaimer"/>
    <w:basedOn w:val="Normal"/>
    <w:rsid w:val="00702E6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szCs w:val="22"/>
    </w:rPr>
  </w:style>
  <w:style w:type="paragraph" w:customStyle="1" w:styleId="SecurityMarking">
    <w:name w:val="SecurityMarking"/>
    <w:basedOn w:val="Normal"/>
    <w:rsid w:val="00EC4B5C"/>
    <w:pPr>
      <w:spacing w:after="0" w:line="276" w:lineRule="auto"/>
      <w:ind w:left="5103"/>
      <w:jc w:val="left"/>
    </w:pPr>
    <w:rPr>
      <w:sz w:val="28"/>
      <w:szCs w:val="22"/>
    </w:rPr>
  </w:style>
  <w:style w:type="paragraph" w:customStyle="1" w:styleId="DateMarking">
    <w:name w:val="DateMarking"/>
    <w:basedOn w:val="Normal"/>
    <w:rsid w:val="00EC4B5C"/>
    <w:pPr>
      <w:spacing w:after="0" w:line="276" w:lineRule="auto"/>
      <w:ind w:left="5103"/>
      <w:jc w:val="left"/>
    </w:pPr>
    <w:rPr>
      <w:i/>
      <w:sz w:val="28"/>
      <w:szCs w:val="22"/>
    </w:rPr>
  </w:style>
  <w:style w:type="paragraph" w:customStyle="1" w:styleId="ReleasableTo">
    <w:name w:val="ReleasableTo"/>
    <w:basedOn w:val="Normal"/>
    <w:rsid w:val="00EC4B5C"/>
    <w:pPr>
      <w:spacing w:after="0" w:line="276" w:lineRule="auto"/>
      <w:ind w:left="5103"/>
      <w:jc w:val="left"/>
    </w:pPr>
    <w:rPr>
      <w:i/>
      <w:sz w:val="28"/>
      <w:szCs w:val="22"/>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rsid w:val="006A7C7D"/>
    <w:rPr>
      <w:rFonts w:ascii="Times New Roman" w:hAnsi="Times New Roman" w:cs="Times New Roman"/>
      <w:sz w:val="24"/>
      <w:szCs w:val="24"/>
      <w:lang w:val="en-GB"/>
    </w:rPr>
  </w:style>
  <w:style w:type="character" w:customStyle="1" w:styleId="tabchar">
    <w:name w:val="tabchar"/>
    <w:basedOn w:val="DefaultParagraphFont"/>
    <w:rsid w:val="00281CC2"/>
  </w:style>
  <w:style w:type="paragraph" w:styleId="BodyText">
    <w:name w:val="Body Text"/>
    <w:basedOn w:val="Normal"/>
    <w:link w:val="BodyTextChar"/>
    <w:uiPriority w:val="1"/>
    <w:qFormat/>
    <w:rsid w:val="00DF200D"/>
    <w:pPr>
      <w:widowControl w:val="0"/>
      <w:autoSpaceDE w:val="0"/>
      <w:autoSpaceDN w:val="0"/>
      <w:spacing w:after="0" w:line="240" w:lineRule="auto"/>
      <w:ind w:left="820" w:hanging="360"/>
    </w:pPr>
    <w:rPr>
      <w:rFonts w:eastAsia="Times New Roman"/>
      <w:lang w:val="en-US"/>
    </w:rPr>
  </w:style>
  <w:style w:type="character" w:customStyle="1" w:styleId="BodyTextChar">
    <w:name w:val="Body Text Char"/>
    <w:basedOn w:val="DefaultParagraphFont"/>
    <w:link w:val="BodyText"/>
    <w:uiPriority w:val="1"/>
    <w:rsid w:val="00DF200D"/>
    <w:rPr>
      <w:rFonts w:ascii="Times New Roman" w:eastAsia="Times New Roman" w:hAnsi="Times New Roman" w:cs="Times New Roman"/>
      <w:sz w:val="24"/>
      <w:szCs w:val="24"/>
      <w:lang w:val="en-US"/>
    </w:rPr>
  </w:style>
  <w:style w:type="character" w:customStyle="1" w:styleId="ui-provider">
    <w:name w:val="ui-provider"/>
    <w:basedOn w:val="DefaultParagraphFont"/>
    <w:rsid w:val="00074C61"/>
  </w:style>
  <w:style w:type="paragraph" w:customStyle="1" w:styleId="Default">
    <w:name w:val="Default"/>
    <w:rsid w:val="00D92D7F"/>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UnresolvedMention">
    <w:name w:val="Unresolved Mention"/>
    <w:basedOn w:val="DefaultParagraphFont"/>
    <w:uiPriority w:val="99"/>
    <w:semiHidden/>
    <w:unhideWhenUsed/>
    <w:rsid w:val="00482E88"/>
    <w:rPr>
      <w:color w:val="605E5C"/>
      <w:shd w:val="clear" w:color="auto" w:fill="E1DFDD"/>
    </w:rPr>
  </w:style>
  <w:style w:type="character" w:customStyle="1" w:styleId="Mention">
    <w:name w:val="Mention"/>
    <w:basedOn w:val="DefaultParagraphFont"/>
    <w:uiPriority w:val="99"/>
    <w:unhideWhenUsed/>
    <w:rsid w:val="00482E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9599">
      <w:bodyDiv w:val="1"/>
      <w:marLeft w:val="0"/>
      <w:marRight w:val="0"/>
      <w:marTop w:val="0"/>
      <w:marBottom w:val="0"/>
      <w:divBdr>
        <w:top w:val="none" w:sz="0" w:space="0" w:color="auto"/>
        <w:left w:val="none" w:sz="0" w:space="0" w:color="auto"/>
        <w:bottom w:val="none" w:sz="0" w:space="0" w:color="auto"/>
        <w:right w:val="none" w:sz="0" w:space="0" w:color="auto"/>
      </w:divBdr>
    </w:div>
    <w:div w:id="88503858">
      <w:bodyDiv w:val="1"/>
      <w:marLeft w:val="0"/>
      <w:marRight w:val="0"/>
      <w:marTop w:val="0"/>
      <w:marBottom w:val="0"/>
      <w:divBdr>
        <w:top w:val="none" w:sz="0" w:space="0" w:color="auto"/>
        <w:left w:val="none" w:sz="0" w:space="0" w:color="auto"/>
        <w:bottom w:val="none" w:sz="0" w:space="0" w:color="auto"/>
        <w:right w:val="none" w:sz="0" w:space="0" w:color="auto"/>
      </w:divBdr>
    </w:div>
    <w:div w:id="114982903">
      <w:bodyDiv w:val="1"/>
      <w:marLeft w:val="0"/>
      <w:marRight w:val="0"/>
      <w:marTop w:val="0"/>
      <w:marBottom w:val="0"/>
      <w:divBdr>
        <w:top w:val="none" w:sz="0" w:space="0" w:color="auto"/>
        <w:left w:val="none" w:sz="0" w:space="0" w:color="auto"/>
        <w:bottom w:val="none" w:sz="0" w:space="0" w:color="auto"/>
        <w:right w:val="none" w:sz="0" w:space="0" w:color="auto"/>
      </w:divBdr>
    </w:div>
    <w:div w:id="203837576">
      <w:bodyDiv w:val="1"/>
      <w:marLeft w:val="0"/>
      <w:marRight w:val="0"/>
      <w:marTop w:val="0"/>
      <w:marBottom w:val="0"/>
      <w:divBdr>
        <w:top w:val="none" w:sz="0" w:space="0" w:color="auto"/>
        <w:left w:val="none" w:sz="0" w:space="0" w:color="auto"/>
        <w:bottom w:val="none" w:sz="0" w:space="0" w:color="auto"/>
        <w:right w:val="none" w:sz="0" w:space="0" w:color="auto"/>
      </w:divBdr>
    </w:div>
    <w:div w:id="227110763">
      <w:bodyDiv w:val="1"/>
      <w:marLeft w:val="0"/>
      <w:marRight w:val="0"/>
      <w:marTop w:val="0"/>
      <w:marBottom w:val="0"/>
      <w:divBdr>
        <w:top w:val="none" w:sz="0" w:space="0" w:color="auto"/>
        <w:left w:val="none" w:sz="0" w:space="0" w:color="auto"/>
        <w:bottom w:val="none" w:sz="0" w:space="0" w:color="auto"/>
        <w:right w:val="none" w:sz="0" w:space="0" w:color="auto"/>
      </w:divBdr>
    </w:div>
    <w:div w:id="274487956">
      <w:bodyDiv w:val="1"/>
      <w:marLeft w:val="0"/>
      <w:marRight w:val="0"/>
      <w:marTop w:val="0"/>
      <w:marBottom w:val="0"/>
      <w:divBdr>
        <w:top w:val="none" w:sz="0" w:space="0" w:color="auto"/>
        <w:left w:val="none" w:sz="0" w:space="0" w:color="auto"/>
        <w:bottom w:val="none" w:sz="0" w:space="0" w:color="auto"/>
        <w:right w:val="none" w:sz="0" w:space="0" w:color="auto"/>
      </w:divBdr>
    </w:div>
    <w:div w:id="401375083">
      <w:bodyDiv w:val="1"/>
      <w:marLeft w:val="0"/>
      <w:marRight w:val="0"/>
      <w:marTop w:val="0"/>
      <w:marBottom w:val="0"/>
      <w:divBdr>
        <w:top w:val="none" w:sz="0" w:space="0" w:color="auto"/>
        <w:left w:val="none" w:sz="0" w:space="0" w:color="auto"/>
        <w:bottom w:val="none" w:sz="0" w:space="0" w:color="auto"/>
        <w:right w:val="none" w:sz="0" w:space="0" w:color="auto"/>
      </w:divBdr>
    </w:div>
    <w:div w:id="448284730">
      <w:bodyDiv w:val="1"/>
      <w:marLeft w:val="0"/>
      <w:marRight w:val="0"/>
      <w:marTop w:val="0"/>
      <w:marBottom w:val="0"/>
      <w:divBdr>
        <w:top w:val="none" w:sz="0" w:space="0" w:color="auto"/>
        <w:left w:val="none" w:sz="0" w:space="0" w:color="auto"/>
        <w:bottom w:val="none" w:sz="0" w:space="0" w:color="auto"/>
        <w:right w:val="none" w:sz="0" w:space="0" w:color="auto"/>
      </w:divBdr>
    </w:div>
    <w:div w:id="617445385">
      <w:bodyDiv w:val="1"/>
      <w:marLeft w:val="0"/>
      <w:marRight w:val="0"/>
      <w:marTop w:val="0"/>
      <w:marBottom w:val="0"/>
      <w:divBdr>
        <w:top w:val="none" w:sz="0" w:space="0" w:color="auto"/>
        <w:left w:val="none" w:sz="0" w:space="0" w:color="auto"/>
        <w:bottom w:val="none" w:sz="0" w:space="0" w:color="auto"/>
        <w:right w:val="none" w:sz="0" w:space="0" w:color="auto"/>
      </w:divBdr>
    </w:div>
    <w:div w:id="640887034">
      <w:bodyDiv w:val="1"/>
      <w:marLeft w:val="0"/>
      <w:marRight w:val="0"/>
      <w:marTop w:val="0"/>
      <w:marBottom w:val="0"/>
      <w:divBdr>
        <w:top w:val="none" w:sz="0" w:space="0" w:color="auto"/>
        <w:left w:val="none" w:sz="0" w:space="0" w:color="auto"/>
        <w:bottom w:val="none" w:sz="0" w:space="0" w:color="auto"/>
        <w:right w:val="none" w:sz="0" w:space="0" w:color="auto"/>
      </w:divBdr>
    </w:div>
    <w:div w:id="656998788">
      <w:bodyDiv w:val="1"/>
      <w:marLeft w:val="0"/>
      <w:marRight w:val="0"/>
      <w:marTop w:val="0"/>
      <w:marBottom w:val="0"/>
      <w:divBdr>
        <w:top w:val="none" w:sz="0" w:space="0" w:color="auto"/>
        <w:left w:val="none" w:sz="0" w:space="0" w:color="auto"/>
        <w:bottom w:val="none" w:sz="0" w:space="0" w:color="auto"/>
        <w:right w:val="none" w:sz="0" w:space="0" w:color="auto"/>
      </w:divBdr>
    </w:div>
    <w:div w:id="740712100">
      <w:bodyDiv w:val="1"/>
      <w:marLeft w:val="0"/>
      <w:marRight w:val="0"/>
      <w:marTop w:val="0"/>
      <w:marBottom w:val="0"/>
      <w:divBdr>
        <w:top w:val="none" w:sz="0" w:space="0" w:color="auto"/>
        <w:left w:val="none" w:sz="0" w:space="0" w:color="auto"/>
        <w:bottom w:val="none" w:sz="0" w:space="0" w:color="auto"/>
        <w:right w:val="none" w:sz="0" w:space="0" w:color="auto"/>
      </w:divBdr>
      <w:divsChild>
        <w:div w:id="27920665">
          <w:marLeft w:val="0"/>
          <w:marRight w:val="0"/>
          <w:marTop w:val="0"/>
          <w:marBottom w:val="0"/>
          <w:divBdr>
            <w:top w:val="none" w:sz="0" w:space="0" w:color="auto"/>
            <w:left w:val="none" w:sz="0" w:space="0" w:color="auto"/>
            <w:bottom w:val="none" w:sz="0" w:space="0" w:color="auto"/>
            <w:right w:val="none" w:sz="0" w:space="0" w:color="auto"/>
          </w:divBdr>
        </w:div>
        <w:div w:id="558903834">
          <w:marLeft w:val="0"/>
          <w:marRight w:val="0"/>
          <w:marTop w:val="0"/>
          <w:marBottom w:val="0"/>
          <w:divBdr>
            <w:top w:val="none" w:sz="0" w:space="0" w:color="auto"/>
            <w:left w:val="none" w:sz="0" w:space="0" w:color="auto"/>
            <w:bottom w:val="none" w:sz="0" w:space="0" w:color="auto"/>
            <w:right w:val="none" w:sz="0" w:space="0" w:color="auto"/>
          </w:divBdr>
        </w:div>
        <w:div w:id="714543409">
          <w:marLeft w:val="0"/>
          <w:marRight w:val="0"/>
          <w:marTop w:val="0"/>
          <w:marBottom w:val="0"/>
          <w:divBdr>
            <w:top w:val="none" w:sz="0" w:space="0" w:color="auto"/>
            <w:left w:val="none" w:sz="0" w:space="0" w:color="auto"/>
            <w:bottom w:val="none" w:sz="0" w:space="0" w:color="auto"/>
            <w:right w:val="none" w:sz="0" w:space="0" w:color="auto"/>
          </w:divBdr>
        </w:div>
        <w:div w:id="794953329">
          <w:marLeft w:val="0"/>
          <w:marRight w:val="0"/>
          <w:marTop w:val="0"/>
          <w:marBottom w:val="0"/>
          <w:divBdr>
            <w:top w:val="none" w:sz="0" w:space="0" w:color="auto"/>
            <w:left w:val="none" w:sz="0" w:space="0" w:color="auto"/>
            <w:bottom w:val="none" w:sz="0" w:space="0" w:color="auto"/>
            <w:right w:val="none" w:sz="0" w:space="0" w:color="auto"/>
          </w:divBdr>
        </w:div>
        <w:div w:id="1868565426">
          <w:marLeft w:val="0"/>
          <w:marRight w:val="0"/>
          <w:marTop w:val="0"/>
          <w:marBottom w:val="0"/>
          <w:divBdr>
            <w:top w:val="none" w:sz="0" w:space="0" w:color="auto"/>
            <w:left w:val="none" w:sz="0" w:space="0" w:color="auto"/>
            <w:bottom w:val="none" w:sz="0" w:space="0" w:color="auto"/>
            <w:right w:val="none" w:sz="0" w:space="0" w:color="auto"/>
          </w:divBdr>
        </w:div>
      </w:divsChild>
    </w:div>
    <w:div w:id="756024956">
      <w:bodyDiv w:val="1"/>
      <w:marLeft w:val="0"/>
      <w:marRight w:val="0"/>
      <w:marTop w:val="0"/>
      <w:marBottom w:val="0"/>
      <w:divBdr>
        <w:top w:val="none" w:sz="0" w:space="0" w:color="auto"/>
        <w:left w:val="none" w:sz="0" w:space="0" w:color="auto"/>
        <w:bottom w:val="none" w:sz="0" w:space="0" w:color="auto"/>
        <w:right w:val="none" w:sz="0" w:space="0" w:color="auto"/>
      </w:divBdr>
    </w:div>
    <w:div w:id="756098631">
      <w:bodyDiv w:val="1"/>
      <w:marLeft w:val="0"/>
      <w:marRight w:val="0"/>
      <w:marTop w:val="0"/>
      <w:marBottom w:val="0"/>
      <w:divBdr>
        <w:top w:val="none" w:sz="0" w:space="0" w:color="auto"/>
        <w:left w:val="none" w:sz="0" w:space="0" w:color="auto"/>
        <w:bottom w:val="none" w:sz="0" w:space="0" w:color="auto"/>
        <w:right w:val="none" w:sz="0" w:space="0" w:color="auto"/>
      </w:divBdr>
    </w:div>
    <w:div w:id="820577510">
      <w:bodyDiv w:val="1"/>
      <w:marLeft w:val="0"/>
      <w:marRight w:val="0"/>
      <w:marTop w:val="0"/>
      <w:marBottom w:val="0"/>
      <w:divBdr>
        <w:top w:val="none" w:sz="0" w:space="0" w:color="auto"/>
        <w:left w:val="none" w:sz="0" w:space="0" w:color="auto"/>
        <w:bottom w:val="none" w:sz="0" w:space="0" w:color="auto"/>
        <w:right w:val="none" w:sz="0" w:space="0" w:color="auto"/>
      </w:divBdr>
      <w:divsChild>
        <w:div w:id="1422606976">
          <w:marLeft w:val="0"/>
          <w:marRight w:val="0"/>
          <w:marTop w:val="0"/>
          <w:marBottom w:val="0"/>
          <w:divBdr>
            <w:top w:val="none" w:sz="0" w:space="0" w:color="auto"/>
            <w:left w:val="none" w:sz="0" w:space="0" w:color="auto"/>
            <w:bottom w:val="none" w:sz="0" w:space="0" w:color="auto"/>
            <w:right w:val="none" w:sz="0" w:space="0" w:color="auto"/>
          </w:divBdr>
        </w:div>
        <w:div w:id="1974093103">
          <w:marLeft w:val="0"/>
          <w:marRight w:val="0"/>
          <w:marTop w:val="0"/>
          <w:marBottom w:val="0"/>
          <w:divBdr>
            <w:top w:val="none" w:sz="0" w:space="0" w:color="auto"/>
            <w:left w:val="none" w:sz="0" w:space="0" w:color="auto"/>
            <w:bottom w:val="none" w:sz="0" w:space="0" w:color="auto"/>
            <w:right w:val="none" w:sz="0" w:space="0" w:color="auto"/>
          </w:divBdr>
        </w:div>
        <w:div w:id="1994286170">
          <w:marLeft w:val="0"/>
          <w:marRight w:val="0"/>
          <w:marTop w:val="0"/>
          <w:marBottom w:val="0"/>
          <w:divBdr>
            <w:top w:val="none" w:sz="0" w:space="0" w:color="auto"/>
            <w:left w:val="none" w:sz="0" w:space="0" w:color="auto"/>
            <w:bottom w:val="none" w:sz="0" w:space="0" w:color="auto"/>
            <w:right w:val="none" w:sz="0" w:space="0" w:color="auto"/>
          </w:divBdr>
        </w:div>
        <w:div w:id="2031031343">
          <w:marLeft w:val="0"/>
          <w:marRight w:val="0"/>
          <w:marTop w:val="0"/>
          <w:marBottom w:val="0"/>
          <w:divBdr>
            <w:top w:val="none" w:sz="0" w:space="0" w:color="auto"/>
            <w:left w:val="none" w:sz="0" w:space="0" w:color="auto"/>
            <w:bottom w:val="none" w:sz="0" w:space="0" w:color="auto"/>
            <w:right w:val="none" w:sz="0" w:space="0" w:color="auto"/>
          </w:divBdr>
        </w:div>
      </w:divsChild>
    </w:div>
    <w:div w:id="823206018">
      <w:bodyDiv w:val="1"/>
      <w:marLeft w:val="0"/>
      <w:marRight w:val="0"/>
      <w:marTop w:val="0"/>
      <w:marBottom w:val="0"/>
      <w:divBdr>
        <w:top w:val="none" w:sz="0" w:space="0" w:color="auto"/>
        <w:left w:val="none" w:sz="0" w:space="0" w:color="auto"/>
        <w:bottom w:val="none" w:sz="0" w:space="0" w:color="auto"/>
        <w:right w:val="none" w:sz="0" w:space="0" w:color="auto"/>
      </w:divBdr>
    </w:div>
    <w:div w:id="864097076">
      <w:bodyDiv w:val="1"/>
      <w:marLeft w:val="0"/>
      <w:marRight w:val="0"/>
      <w:marTop w:val="0"/>
      <w:marBottom w:val="0"/>
      <w:divBdr>
        <w:top w:val="none" w:sz="0" w:space="0" w:color="auto"/>
        <w:left w:val="none" w:sz="0" w:space="0" w:color="auto"/>
        <w:bottom w:val="none" w:sz="0" w:space="0" w:color="auto"/>
        <w:right w:val="none" w:sz="0" w:space="0" w:color="auto"/>
      </w:divBdr>
    </w:div>
    <w:div w:id="880046658">
      <w:bodyDiv w:val="1"/>
      <w:marLeft w:val="0"/>
      <w:marRight w:val="0"/>
      <w:marTop w:val="0"/>
      <w:marBottom w:val="0"/>
      <w:divBdr>
        <w:top w:val="none" w:sz="0" w:space="0" w:color="auto"/>
        <w:left w:val="none" w:sz="0" w:space="0" w:color="auto"/>
        <w:bottom w:val="none" w:sz="0" w:space="0" w:color="auto"/>
        <w:right w:val="none" w:sz="0" w:space="0" w:color="auto"/>
      </w:divBdr>
      <w:divsChild>
        <w:div w:id="1189029105">
          <w:marLeft w:val="0"/>
          <w:marRight w:val="0"/>
          <w:marTop w:val="0"/>
          <w:marBottom w:val="0"/>
          <w:divBdr>
            <w:top w:val="none" w:sz="0" w:space="0" w:color="auto"/>
            <w:left w:val="none" w:sz="0" w:space="0" w:color="auto"/>
            <w:bottom w:val="none" w:sz="0" w:space="0" w:color="auto"/>
            <w:right w:val="none" w:sz="0" w:space="0" w:color="auto"/>
          </w:divBdr>
        </w:div>
        <w:div w:id="1914195832">
          <w:marLeft w:val="0"/>
          <w:marRight w:val="0"/>
          <w:marTop w:val="0"/>
          <w:marBottom w:val="0"/>
          <w:divBdr>
            <w:top w:val="none" w:sz="0" w:space="0" w:color="auto"/>
            <w:left w:val="none" w:sz="0" w:space="0" w:color="auto"/>
            <w:bottom w:val="none" w:sz="0" w:space="0" w:color="auto"/>
            <w:right w:val="none" w:sz="0" w:space="0" w:color="auto"/>
          </w:divBdr>
          <w:divsChild>
            <w:div w:id="10855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9361">
      <w:bodyDiv w:val="1"/>
      <w:marLeft w:val="0"/>
      <w:marRight w:val="0"/>
      <w:marTop w:val="0"/>
      <w:marBottom w:val="0"/>
      <w:divBdr>
        <w:top w:val="none" w:sz="0" w:space="0" w:color="auto"/>
        <w:left w:val="none" w:sz="0" w:space="0" w:color="auto"/>
        <w:bottom w:val="none" w:sz="0" w:space="0" w:color="auto"/>
        <w:right w:val="none" w:sz="0" w:space="0" w:color="auto"/>
      </w:divBdr>
    </w:div>
    <w:div w:id="917593531">
      <w:bodyDiv w:val="1"/>
      <w:marLeft w:val="0"/>
      <w:marRight w:val="0"/>
      <w:marTop w:val="0"/>
      <w:marBottom w:val="0"/>
      <w:divBdr>
        <w:top w:val="none" w:sz="0" w:space="0" w:color="auto"/>
        <w:left w:val="none" w:sz="0" w:space="0" w:color="auto"/>
        <w:bottom w:val="none" w:sz="0" w:space="0" w:color="auto"/>
        <w:right w:val="none" w:sz="0" w:space="0" w:color="auto"/>
      </w:divBdr>
    </w:div>
    <w:div w:id="1162503284">
      <w:bodyDiv w:val="1"/>
      <w:marLeft w:val="0"/>
      <w:marRight w:val="0"/>
      <w:marTop w:val="0"/>
      <w:marBottom w:val="0"/>
      <w:divBdr>
        <w:top w:val="none" w:sz="0" w:space="0" w:color="auto"/>
        <w:left w:val="none" w:sz="0" w:space="0" w:color="auto"/>
        <w:bottom w:val="none" w:sz="0" w:space="0" w:color="auto"/>
        <w:right w:val="none" w:sz="0" w:space="0" w:color="auto"/>
      </w:divBdr>
    </w:div>
    <w:div w:id="1235118725">
      <w:bodyDiv w:val="1"/>
      <w:marLeft w:val="0"/>
      <w:marRight w:val="0"/>
      <w:marTop w:val="0"/>
      <w:marBottom w:val="0"/>
      <w:divBdr>
        <w:top w:val="none" w:sz="0" w:space="0" w:color="auto"/>
        <w:left w:val="none" w:sz="0" w:space="0" w:color="auto"/>
        <w:bottom w:val="none" w:sz="0" w:space="0" w:color="auto"/>
        <w:right w:val="none" w:sz="0" w:space="0" w:color="auto"/>
      </w:divBdr>
      <w:divsChild>
        <w:div w:id="1009405279">
          <w:marLeft w:val="0"/>
          <w:marRight w:val="0"/>
          <w:marTop w:val="0"/>
          <w:marBottom w:val="0"/>
          <w:divBdr>
            <w:top w:val="none" w:sz="0" w:space="0" w:color="auto"/>
            <w:left w:val="none" w:sz="0" w:space="0" w:color="auto"/>
            <w:bottom w:val="none" w:sz="0" w:space="0" w:color="auto"/>
            <w:right w:val="none" w:sz="0" w:space="0" w:color="auto"/>
          </w:divBdr>
        </w:div>
        <w:div w:id="1370105828">
          <w:marLeft w:val="0"/>
          <w:marRight w:val="0"/>
          <w:marTop w:val="0"/>
          <w:marBottom w:val="0"/>
          <w:divBdr>
            <w:top w:val="none" w:sz="0" w:space="0" w:color="auto"/>
            <w:left w:val="none" w:sz="0" w:space="0" w:color="auto"/>
            <w:bottom w:val="none" w:sz="0" w:space="0" w:color="auto"/>
            <w:right w:val="none" w:sz="0" w:space="0" w:color="auto"/>
          </w:divBdr>
        </w:div>
        <w:div w:id="1519805642">
          <w:marLeft w:val="0"/>
          <w:marRight w:val="0"/>
          <w:marTop w:val="0"/>
          <w:marBottom w:val="0"/>
          <w:divBdr>
            <w:top w:val="none" w:sz="0" w:space="0" w:color="auto"/>
            <w:left w:val="none" w:sz="0" w:space="0" w:color="auto"/>
            <w:bottom w:val="none" w:sz="0" w:space="0" w:color="auto"/>
            <w:right w:val="none" w:sz="0" w:space="0" w:color="auto"/>
          </w:divBdr>
        </w:div>
        <w:div w:id="1898973436">
          <w:marLeft w:val="0"/>
          <w:marRight w:val="0"/>
          <w:marTop w:val="0"/>
          <w:marBottom w:val="0"/>
          <w:divBdr>
            <w:top w:val="none" w:sz="0" w:space="0" w:color="auto"/>
            <w:left w:val="none" w:sz="0" w:space="0" w:color="auto"/>
            <w:bottom w:val="none" w:sz="0" w:space="0" w:color="auto"/>
            <w:right w:val="none" w:sz="0" w:space="0" w:color="auto"/>
          </w:divBdr>
        </w:div>
      </w:divsChild>
    </w:div>
    <w:div w:id="1246189665">
      <w:bodyDiv w:val="1"/>
      <w:marLeft w:val="0"/>
      <w:marRight w:val="0"/>
      <w:marTop w:val="0"/>
      <w:marBottom w:val="0"/>
      <w:divBdr>
        <w:top w:val="none" w:sz="0" w:space="0" w:color="auto"/>
        <w:left w:val="none" w:sz="0" w:space="0" w:color="auto"/>
        <w:bottom w:val="none" w:sz="0" w:space="0" w:color="auto"/>
        <w:right w:val="none" w:sz="0" w:space="0" w:color="auto"/>
      </w:divBdr>
    </w:div>
    <w:div w:id="1255087144">
      <w:bodyDiv w:val="1"/>
      <w:marLeft w:val="0"/>
      <w:marRight w:val="0"/>
      <w:marTop w:val="0"/>
      <w:marBottom w:val="0"/>
      <w:divBdr>
        <w:top w:val="none" w:sz="0" w:space="0" w:color="auto"/>
        <w:left w:val="none" w:sz="0" w:space="0" w:color="auto"/>
        <w:bottom w:val="none" w:sz="0" w:space="0" w:color="auto"/>
        <w:right w:val="none" w:sz="0" w:space="0" w:color="auto"/>
      </w:divBdr>
    </w:div>
    <w:div w:id="1294559940">
      <w:bodyDiv w:val="1"/>
      <w:marLeft w:val="0"/>
      <w:marRight w:val="0"/>
      <w:marTop w:val="0"/>
      <w:marBottom w:val="0"/>
      <w:divBdr>
        <w:top w:val="none" w:sz="0" w:space="0" w:color="auto"/>
        <w:left w:val="none" w:sz="0" w:space="0" w:color="auto"/>
        <w:bottom w:val="none" w:sz="0" w:space="0" w:color="auto"/>
        <w:right w:val="none" w:sz="0" w:space="0" w:color="auto"/>
      </w:divBdr>
      <w:divsChild>
        <w:div w:id="789593277">
          <w:marLeft w:val="0"/>
          <w:marRight w:val="0"/>
          <w:marTop w:val="0"/>
          <w:marBottom w:val="0"/>
          <w:divBdr>
            <w:top w:val="none" w:sz="0" w:space="0" w:color="auto"/>
            <w:left w:val="none" w:sz="0" w:space="0" w:color="auto"/>
            <w:bottom w:val="none" w:sz="0" w:space="0" w:color="auto"/>
            <w:right w:val="none" w:sz="0" w:space="0" w:color="auto"/>
          </w:divBdr>
        </w:div>
        <w:div w:id="912398777">
          <w:marLeft w:val="0"/>
          <w:marRight w:val="0"/>
          <w:marTop w:val="0"/>
          <w:marBottom w:val="0"/>
          <w:divBdr>
            <w:top w:val="none" w:sz="0" w:space="0" w:color="auto"/>
            <w:left w:val="none" w:sz="0" w:space="0" w:color="auto"/>
            <w:bottom w:val="none" w:sz="0" w:space="0" w:color="auto"/>
            <w:right w:val="none" w:sz="0" w:space="0" w:color="auto"/>
          </w:divBdr>
        </w:div>
        <w:div w:id="1101073163">
          <w:marLeft w:val="0"/>
          <w:marRight w:val="0"/>
          <w:marTop w:val="0"/>
          <w:marBottom w:val="0"/>
          <w:divBdr>
            <w:top w:val="none" w:sz="0" w:space="0" w:color="auto"/>
            <w:left w:val="none" w:sz="0" w:space="0" w:color="auto"/>
            <w:bottom w:val="none" w:sz="0" w:space="0" w:color="auto"/>
            <w:right w:val="none" w:sz="0" w:space="0" w:color="auto"/>
          </w:divBdr>
        </w:div>
      </w:divsChild>
    </w:div>
    <w:div w:id="1325477769">
      <w:bodyDiv w:val="1"/>
      <w:marLeft w:val="0"/>
      <w:marRight w:val="0"/>
      <w:marTop w:val="0"/>
      <w:marBottom w:val="0"/>
      <w:divBdr>
        <w:top w:val="none" w:sz="0" w:space="0" w:color="auto"/>
        <w:left w:val="none" w:sz="0" w:space="0" w:color="auto"/>
        <w:bottom w:val="none" w:sz="0" w:space="0" w:color="auto"/>
        <w:right w:val="none" w:sz="0" w:space="0" w:color="auto"/>
      </w:divBdr>
    </w:div>
    <w:div w:id="1350713367">
      <w:bodyDiv w:val="1"/>
      <w:marLeft w:val="0"/>
      <w:marRight w:val="0"/>
      <w:marTop w:val="0"/>
      <w:marBottom w:val="0"/>
      <w:divBdr>
        <w:top w:val="none" w:sz="0" w:space="0" w:color="auto"/>
        <w:left w:val="none" w:sz="0" w:space="0" w:color="auto"/>
        <w:bottom w:val="none" w:sz="0" w:space="0" w:color="auto"/>
        <w:right w:val="none" w:sz="0" w:space="0" w:color="auto"/>
      </w:divBdr>
      <w:divsChild>
        <w:div w:id="869957613">
          <w:marLeft w:val="0"/>
          <w:marRight w:val="0"/>
          <w:marTop w:val="0"/>
          <w:marBottom w:val="0"/>
          <w:divBdr>
            <w:top w:val="none" w:sz="0" w:space="0" w:color="auto"/>
            <w:left w:val="none" w:sz="0" w:space="0" w:color="auto"/>
            <w:bottom w:val="none" w:sz="0" w:space="0" w:color="auto"/>
            <w:right w:val="none" w:sz="0" w:space="0" w:color="auto"/>
          </w:divBdr>
        </w:div>
        <w:div w:id="1402025696">
          <w:marLeft w:val="0"/>
          <w:marRight w:val="0"/>
          <w:marTop w:val="0"/>
          <w:marBottom w:val="0"/>
          <w:divBdr>
            <w:top w:val="none" w:sz="0" w:space="0" w:color="auto"/>
            <w:left w:val="none" w:sz="0" w:space="0" w:color="auto"/>
            <w:bottom w:val="none" w:sz="0" w:space="0" w:color="auto"/>
            <w:right w:val="none" w:sz="0" w:space="0" w:color="auto"/>
          </w:divBdr>
        </w:div>
      </w:divsChild>
    </w:div>
    <w:div w:id="1381514646">
      <w:bodyDiv w:val="1"/>
      <w:marLeft w:val="0"/>
      <w:marRight w:val="0"/>
      <w:marTop w:val="0"/>
      <w:marBottom w:val="0"/>
      <w:divBdr>
        <w:top w:val="none" w:sz="0" w:space="0" w:color="auto"/>
        <w:left w:val="none" w:sz="0" w:space="0" w:color="auto"/>
        <w:bottom w:val="none" w:sz="0" w:space="0" w:color="auto"/>
        <w:right w:val="none" w:sz="0" w:space="0" w:color="auto"/>
      </w:divBdr>
    </w:div>
    <w:div w:id="1427380906">
      <w:bodyDiv w:val="1"/>
      <w:marLeft w:val="0"/>
      <w:marRight w:val="0"/>
      <w:marTop w:val="0"/>
      <w:marBottom w:val="0"/>
      <w:divBdr>
        <w:top w:val="none" w:sz="0" w:space="0" w:color="auto"/>
        <w:left w:val="none" w:sz="0" w:space="0" w:color="auto"/>
        <w:bottom w:val="none" w:sz="0" w:space="0" w:color="auto"/>
        <w:right w:val="none" w:sz="0" w:space="0" w:color="auto"/>
      </w:divBdr>
      <w:divsChild>
        <w:div w:id="94403300">
          <w:marLeft w:val="0"/>
          <w:marRight w:val="0"/>
          <w:marTop w:val="0"/>
          <w:marBottom w:val="0"/>
          <w:divBdr>
            <w:top w:val="none" w:sz="0" w:space="0" w:color="auto"/>
            <w:left w:val="none" w:sz="0" w:space="0" w:color="auto"/>
            <w:bottom w:val="none" w:sz="0" w:space="0" w:color="auto"/>
            <w:right w:val="none" w:sz="0" w:space="0" w:color="auto"/>
          </w:divBdr>
        </w:div>
        <w:div w:id="447285884">
          <w:marLeft w:val="0"/>
          <w:marRight w:val="0"/>
          <w:marTop w:val="0"/>
          <w:marBottom w:val="0"/>
          <w:divBdr>
            <w:top w:val="none" w:sz="0" w:space="0" w:color="auto"/>
            <w:left w:val="none" w:sz="0" w:space="0" w:color="auto"/>
            <w:bottom w:val="none" w:sz="0" w:space="0" w:color="auto"/>
            <w:right w:val="none" w:sz="0" w:space="0" w:color="auto"/>
          </w:divBdr>
        </w:div>
      </w:divsChild>
    </w:div>
    <w:div w:id="1481922481">
      <w:bodyDiv w:val="1"/>
      <w:marLeft w:val="0"/>
      <w:marRight w:val="0"/>
      <w:marTop w:val="0"/>
      <w:marBottom w:val="0"/>
      <w:divBdr>
        <w:top w:val="none" w:sz="0" w:space="0" w:color="auto"/>
        <w:left w:val="none" w:sz="0" w:space="0" w:color="auto"/>
        <w:bottom w:val="none" w:sz="0" w:space="0" w:color="auto"/>
        <w:right w:val="none" w:sz="0" w:space="0" w:color="auto"/>
      </w:divBdr>
    </w:div>
    <w:div w:id="1492865524">
      <w:bodyDiv w:val="1"/>
      <w:marLeft w:val="0"/>
      <w:marRight w:val="0"/>
      <w:marTop w:val="0"/>
      <w:marBottom w:val="0"/>
      <w:divBdr>
        <w:top w:val="none" w:sz="0" w:space="0" w:color="auto"/>
        <w:left w:val="none" w:sz="0" w:space="0" w:color="auto"/>
        <w:bottom w:val="none" w:sz="0" w:space="0" w:color="auto"/>
        <w:right w:val="none" w:sz="0" w:space="0" w:color="auto"/>
      </w:divBdr>
      <w:divsChild>
        <w:div w:id="331185220">
          <w:marLeft w:val="0"/>
          <w:marRight w:val="0"/>
          <w:marTop w:val="0"/>
          <w:marBottom w:val="0"/>
          <w:divBdr>
            <w:top w:val="none" w:sz="0" w:space="0" w:color="auto"/>
            <w:left w:val="none" w:sz="0" w:space="0" w:color="auto"/>
            <w:bottom w:val="none" w:sz="0" w:space="0" w:color="auto"/>
            <w:right w:val="none" w:sz="0" w:space="0" w:color="auto"/>
          </w:divBdr>
        </w:div>
        <w:div w:id="576205998">
          <w:marLeft w:val="0"/>
          <w:marRight w:val="0"/>
          <w:marTop w:val="0"/>
          <w:marBottom w:val="0"/>
          <w:divBdr>
            <w:top w:val="none" w:sz="0" w:space="0" w:color="auto"/>
            <w:left w:val="none" w:sz="0" w:space="0" w:color="auto"/>
            <w:bottom w:val="none" w:sz="0" w:space="0" w:color="auto"/>
            <w:right w:val="none" w:sz="0" w:space="0" w:color="auto"/>
          </w:divBdr>
        </w:div>
        <w:div w:id="867983516">
          <w:marLeft w:val="0"/>
          <w:marRight w:val="0"/>
          <w:marTop w:val="0"/>
          <w:marBottom w:val="0"/>
          <w:divBdr>
            <w:top w:val="none" w:sz="0" w:space="0" w:color="auto"/>
            <w:left w:val="none" w:sz="0" w:space="0" w:color="auto"/>
            <w:bottom w:val="none" w:sz="0" w:space="0" w:color="auto"/>
            <w:right w:val="none" w:sz="0" w:space="0" w:color="auto"/>
          </w:divBdr>
        </w:div>
        <w:div w:id="1418818456">
          <w:marLeft w:val="0"/>
          <w:marRight w:val="0"/>
          <w:marTop w:val="0"/>
          <w:marBottom w:val="0"/>
          <w:divBdr>
            <w:top w:val="none" w:sz="0" w:space="0" w:color="auto"/>
            <w:left w:val="none" w:sz="0" w:space="0" w:color="auto"/>
            <w:bottom w:val="none" w:sz="0" w:space="0" w:color="auto"/>
            <w:right w:val="none" w:sz="0" w:space="0" w:color="auto"/>
          </w:divBdr>
        </w:div>
        <w:div w:id="1442339247">
          <w:marLeft w:val="0"/>
          <w:marRight w:val="0"/>
          <w:marTop w:val="0"/>
          <w:marBottom w:val="0"/>
          <w:divBdr>
            <w:top w:val="none" w:sz="0" w:space="0" w:color="auto"/>
            <w:left w:val="none" w:sz="0" w:space="0" w:color="auto"/>
            <w:bottom w:val="none" w:sz="0" w:space="0" w:color="auto"/>
            <w:right w:val="none" w:sz="0" w:space="0" w:color="auto"/>
          </w:divBdr>
        </w:div>
      </w:divsChild>
    </w:div>
    <w:div w:id="1522469827">
      <w:bodyDiv w:val="1"/>
      <w:marLeft w:val="0"/>
      <w:marRight w:val="0"/>
      <w:marTop w:val="0"/>
      <w:marBottom w:val="0"/>
      <w:divBdr>
        <w:top w:val="none" w:sz="0" w:space="0" w:color="auto"/>
        <w:left w:val="none" w:sz="0" w:space="0" w:color="auto"/>
        <w:bottom w:val="none" w:sz="0" w:space="0" w:color="auto"/>
        <w:right w:val="none" w:sz="0" w:space="0" w:color="auto"/>
      </w:divBdr>
      <w:divsChild>
        <w:div w:id="754670130">
          <w:marLeft w:val="0"/>
          <w:marRight w:val="0"/>
          <w:marTop w:val="0"/>
          <w:marBottom w:val="0"/>
          <w:divBdr>
            <w:top w:val="none" w:sz="0" w:space="0" w:color="auto"/>
            <w:left w:val="none" w:sz="0" w:space="0" w:color="auto"/>
            <w:bottom w:val="none" w:sz="0" w:space="0" w:color="auto"/>
            <w:right w:val="none" w:sz="0" w:space="0" w:color="auto"/>
          </w:divBdr>
        </w:div>
        <w:div w:id="2021197956">
          <w:marLeft w:val="0"/>
          <w:marRight w:val="0"/>
          <w:marTop w:val="0"/>
          <w:marBottom w:val="0"/>
          <w:divBdr>
            <w:top w:val="none" w:sz="0" w:space="0" w:color="auto"/>
            <w:left w:val="none" w:sz="0" w:space="0" w:color="auto"/>
            <w:bottom w:val="none" w:sz="0" w:space="0" w:color="auto"/>
            <w:right w:val="none" w:sz="0" w:space="0" w:color="auto"/>
          </w:divBdr>
        </w:div>
      </w:divsChild>
    </w:div>
    <w:div w:id="1529639587">
      <w:bodyDiv w:val="1"/>
      <w:marLeft w:val="0"/>
      <w:marRight w:val="0"/>
      <w:marTop w:val="0"/>
      <w:marBottom w:val="0"/>
      <w:divBdr>
        <w:top w:val="none" w:sz="0" w:space="0" w:color="auto"/>
        <w:left w:val="none" w:sz="0" w:space="0" w:color="auto"/>
        <w:bottom w:val="none" w:sz="0" w:space="0" w:color="auto"/>
        <w:right w:val="none" w:sz="0" w:space="0" w:color="auto"/>
      </w:divBdr>
    </w:div>
    <w:div w:id="1559391249">
      <w:bodyDiv w:val="1"/>
      <w:marLeft w:val="0"/>
      <w:marRight w:val="0"/>
      <w:marTop w:val="0"/>
      <w:marBottom w:val="0"/>
      <w:divBdr>
        <w:top w:val="none" w:sz="0" w:space="0" w:color="auto"/>
        <w:left w:val="none" w:sz="0" w:space="0" w:color="auto"/>
        <w:bottom w:val="none" w:sz="0" w:space="0" w:color="auto"/>
        <w:right w:val="none" w:sz="0" w:space="0" w:color="auto"/>
      </w:divBdr>
    </w:div>
    <w:div w:id="1580752619">
      <w:bodyDiv w:val="1"/>
      <w:marLeft w:val="0"/>
      <w:marRight w:val="0"/>
      <w:marTop w:val="0"/>
      <w:marBottom w:val="0"/>
      <w:divBdr>
        <w:top w:val="none" w:sz="0" w:space="0" w:color="auto"/>
        <w:left w:val="none" w:sz="0" w:space="0" w:color="auto"/>
        <w:bottom w:val="none" w:sz="0" w:space="0" w:color="auto"/>
        <w:right w:val="none" w:sz="0" w:space="0" w:color="auto"/>
      </w:divBdr>
      <w:divsChild>
        <w:div w:id="1102411627">
          <w:marLeft w:val="0"/>
          <w:marRight w:val="0"/>
          <w:marTop w:val="0"/>
          <w:marBottom w:val="0"/>
          <w:divBdr>
            <w:top w:val="none" w:sz="0" w:space="0" w:color="auto"/>
            <w:left w:val="none" w:sz="0" w:space="0" w:color="auto"/>
            <w:bottom w:val="none" w:sz="0" w:space="0" w:color="auto"/>
            <w:right w:val="none" w:sz="0" w:space="0" w:color="auto"/>
          </w:divBdr>
        </w:div>
        <w:div w:id="1166240761">
          <w:marLeft w:val="0"/>
          <w:marRight w:val="0"/>
          <w:marTop w:val="0"/>
          <w:marBottom w:val="0"/>
          <w:divBdr>
            <w:top w:val="none" w:sz="0" w:space="0" w:color="auto"/>
            <w:left w:val="none" w:sz="0" w:space="0" w:color="auto"/>
            <w:bottom w:val="none" w:sz="0" w:space="0" w:color="auto"/>
            <w:right w:val="none" w:sz="0" w:space="0" w:color="auto"/>
          </w:divBdr>
        </w:div>
        <w:div w:id="1167092432">
          <w:marLeft w:val="0"/>
          <w:marRight w:val="0"/>
          <w:marTop w:val="0"/>
          <w:marBottom w:val="0"/>
          <w:divBdr>
            <w:top w:val="none" w:sz="0" w:space="0" w:color="auto"/>
            <w:left w:val="none" w:sz="0" w:space="0" w:color="auto"/>
            <w:bottom w:val="none" w:sz="0" w:space="0" w:color="auto"/>
            <w:right w:val="none" w:sz="0" w:space="0" w:color="auto"/>
          </w:divBdr>
        </w:div>
      </w:divsChild>
    </w:div>
    <w:div w:id="1660497652">
      <w:bodyDiv w:val="1"/>
      <w:marLeft w:val="0"/>
      <w:marRight w:val="0"/>
      <w:marTop w:val="0"/>
      <w:marBottom w:val="0"/>
      <w:divBdr>
        <w:top w:val="none" w:sz="0" w:space="0" w:color="auto"/>
        <w:left w:val="none" w:sz="0" w:space="0" w:color="auto"/>
        <w:bottom w:val="none" w:sz="0" w:space="0" w:color="auto"/>
        <w:right w:val="none" w:sz="0" w:space="0" w:color="auto"/>
      </w:divBdr>
    </w:div>
    <w:div w:id="1744642395">
      <w:bodyDiv w:val="1"/>
      <w:marLeft w:val="0"/>
      <w:marRight w:val="0"/>
      <w:marTop w:val="0"/>
      <w:marBottom w:val="0"/>
      <w:divBdr>
        <w:top w:val="none" w:sz="0" w:space="0" w:color="auto"/>
        <w:left w:val="none" w:sz="0" w:space="0" w:color="auto"/>
        <w:bottom w:val="none" w:sz="0" w:space="0" w:color="auto"/>
        <w:right w:val="none" w:sz="0" w:space="0" w:color="auto"/>
      </w:divBdr>
      <w:divsChild>
        <w:div w:id="96365048">
          <w:marLeft w:val="0"/>
          <w:marRight w:val="0"/>
          <w:marTop w:val="0"/>
          <w:marBottom w:val="0"/>
          <w:divBdr>
            <w:top w:val="none" w:sz="0" w:space="0" w:color="auto"/>
            <w:left w:val="none" w:sz="0" w:space="0" w:color="auto"/>
            <w:bottom w:val="none" w:sz="0" w:space="0" w:color="auto"/>
            <w:right w:val="none" w:sz="0" w:space="0" w:color="auto"/>
          </w:divBdr>
        </w:div>
        <w:div w:id="895819817">
          <w:marLeft w:val="0"/>
          <w:marRight w:val="0"/>
          <w:marTop w:val="0"/>
          <w:marBottom w:val="0"/>
          <w:divBdr>
            <w:top w:val="none" w:sz="0" w:space="0" w:color="auto"/>
            <w:left w:val="none" w:sz="0" w:space="0" w:color="auto"/>
            <w:bottom w:val="none" w:sz="0" w:space="0" w:color="auto"/>
            <w:right w:val="none" w:sz="0" w:space="0" w:color="auto"/>
          </w:divBdr>
        </w:div>
        <w:div w:id="1280455897">
          <w:marLeft w:val="0"/>
          <w:marRight w:val="0"/>
          <w:marTop w:val="0"/>
          <w:marBottom w:val="0"/>
          <w:divBdr>
            <w:top w:val="none" w:sz="0" w:space="0" w:color="auto"/>
            <w:left w:val="none" w:sz="0" w:space="0" w:color="auto"/>
            <w:bottom w:val="none" w:sz="0" w:space="0" w:color="auto"/>
            <w:right w:val="none" w:sz="0" w:space="0" w:color="auto"/>
          </w:divBdr>
        </w:div>
        <w:div w:id="1575965226">
          <w:marLeft w:val="0"/>
          <w:marRight w:val="0"/>
          <w:marTop w:val="0"/>
          <w:marBottom w:val="0"/>
          <w:divBdr>
            <w:top w:val="none" w:sz="0" w:space="0" w:color="auto"/>
            <w:left w:val="none" w:sz="0" w:space="0" w:color="auto"/>
            <w:bottom w:val="none" w:sz="0" w:space="0" w:color="auto"/>
            <w:right w:val="none" w:sz="0" w:space="0" w:color="auto"/>
          </w:divBdr>
        </w:div>
      </w:divsChild>
    </w:div>
    <w:div w:id="1749418819">
      <w:bodyDiv w:val="1"/>
      <w:marLeft w:val="0"/>
      <w:marRight w:val="0"/>
      <w:marTop w:val="0"/>
      <w:marBottom w:val="0"/>
      <w:divBdr>
        <w:top w:val="none" w:sz="0" w:space="0" w:color="auto"/>
        <w:left w:val="none" w:sz="0" w:space="0" w:color="auto"/>
        <w:bottom w:val="none" w:sz="0" w:space="0" w:color="auto"/>
        <w:right w:val="none" w:sz="0" w:space="0" w:color="auto"/>
      </w:divBdr>
    </w:div>
    <w:div w:id="1787387162">
      <w:bodyDiv w:val="1"/>
      <w:marLeft w:val="0"/>
      <w:marRight w:val="0"/>
      <w:marTop w:val="0"/>
      <w:marBottom w:val="0"/>
      <w:divBdr>
        <w:top w:val="none" w:sz="0" w:space="0" w:color="auto"/>
        <w:left w:val="none" w:sz="0" w:space="0" w:color="auto"/>
        <w:bottom w:val="none" w:sz="0" w:space="0" w:color="auto"/>
        <w:right w:val="none" w:sz="0" w:space="0" w:color="auto"/>
      </w:divBdr>
      <w:divsChild>
        <w:div w:id="656230468">
          <w:marLeft w:val="0"/>
          <w:marRight w:val="0"/>
          <w:marTop w:val="0"/>
          <w:marBottom w:val="0"/>
          <w:divBdr>
            <w:top w:val="none" w:sz="0" w:space="0" w:color="auto"/>
            <w:left w:val="none" w:sz="0" w:space="0" w:color="auto"/>
            <w:bottom w:val="none" w:sz="0" w:space="0" w:color="auto"/>
            <w:right w:val="none" w:sz="0" w:space="0" w:color="auto"/>
          </w:divBdr>
        </w:div>
        <w:div w:id="1787045610">
          <w:marLeft w:val="0"/>
          <w:marRight w:val="0"/>
          <w:marTop w:val="0"/>
          <w:marBottom w:val="0"/>
          <w:divBdr>
            <w:top w:val="none" w:sz="0" w:space="0" w:color="auto"/>
            <w:left w:val="none" w:sz="0" w:space="0" w:color="auto"/>
            <w:bottom w:val="none" w:sz="0" w:space="0" w:color="auto"/>
            <w:right w:val="none" w:sz="0" w:space="0" w:color="auto"/>
          </w:divBdr>
        </w:div>
      </w:divsChild>
    </w:div>
    <w:div w:id="1880773954">
      <w:bodyDiv w:val="1"/>
      <w:marLeft w:val="0"/>
      <w:marRight w:val="0"/>
      <w:marTop w:val="0"/>
      <w:marBottom w:val="0"/>
      <w:divBdr>
        <w:top w:val="none" w:sz="0" w:space="0" w:color="auto"/>
        <w:left w:val="none" w:sz="0" w:space="0" w:color="auto"/>
        <w:bottom w:val="none" w:sz="0" w:space="0" w:color="auto"/>
        <w:right w:val="none" w:sz="0" w:space="0" w:color="auto"/>
      </w:divBdr>
    </w:div>
    <w:div w:id="2002658044">
      <w:bodyDiv w:val="1"/>
      <w:marLeft w:val="0"/>
      <w:marRight w:val="0"/>
      <w:marTop w:val="0"/>
      <w:marBottom w:val="0"/>
      <w:divBdr>
        <w:top w:val="none" w:sz="0" w:space="0" w:color="auto"/>
        <w:left w:val="none" w:sz="0" w:space="0" w:color="auto"/>
        <w:bottom w:val="none" w:sz="0" w:space="0" w:color="auto"/>
        <w:right w:val="none" w:sz="0" w:space="0" w:color="auto"/>
      </w:divBdr>
    </w:div>
    <w:div w:id="2126458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oceans-and-fisheries.ec.europa.eu/publications/common-fisheries-policy-today-and-tomorrow-fisheries-and-oceans-pact-towards-sustainable-science_en" TargetMode="External"/><Relationship Id="rId2" Type="http://schemas.openxmlformats.org/officeDocument/2006/relationships/hyperlink" Target="https://www.nature.com/articles/s41591-023-02419-z" TargetMode="External"/><Relationship Id="rId1" Type="http://schemas.openxmlformats.org/officeDocument/2006/relationships/hyperlink" Target="https://doi.org/10.1038/s41591-023-02419-z" TargetMode="External"/><Relationship Id="rId5" Type="http://schemas.openxmlformats.org/officeDocument/2006/relationships/hyperlink" Target="https://op.europa.eu/en/web/eu-law-and-publications/publication-detail/-/publication/2f1ec1d2-1173-11ee-b12e-01aa75ed71a1" TargetMode="External"/><Relationship Id="rId4" Type="http://schemas.openxmlformats.org/officeDocument/2006/relationships/hyperlink" Target="https://newfinancial.org/wp-content/uploads/2024.01-A-renewed-vision-for-EU-capital-markets-New-Financi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987089B2DDC4EA3C5EEDA50AEC7B2" ma:contentTypeVersion="18" ma:contentTypeDescription="Create a new document." ma:contentTypeScope="" ma:versionID="515fdc0f9a7d11954d94cb1103835bdf">
  <xsd:schema xmlns:xsd="http://www.w3.org/2001/XMLSchema" xmlns:xs="http://www.w3.org/2001/XMLSchema" xmlns:p="http://schemas.microsoft.com/office/2006/metadata/properties" xmlns:ns2="122f29e7-6632-4cfe-826d-d0aa7d34b0a3" xmlns:ns3="0963436b-35f1-4197-85e1-d8d1686f5aa4" targetNamespace="http://schemas.microsoft.com/office/2006/metadata/properties" ma:root="true" ma:fieldsID="693a45ec431d16f66d3b0ff7a4b65068" ns2:_="" ns3:_="">
    <xsd:import namespace="122f29e7-6632-4cfe-826d-d0aa7d34b0a3"/>
    <xsd:import namespace="0963436b-35f1-4197-85e1-d8d1686f5a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ForcontributionsbyCLIMAunits"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f29e7-6632-4cfe-826d-d0aa7d34b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ForcontributionsbyCLIMAunits" ma:index="21" nillable="true" ma:displayName="For contributions by CLIMA units" ma:format="Dropdown" ma:list="UserInfo" ma:SharePointGroup="0" ma:internalName="ForcontributionsbyCLIMAuni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3436b-35f1-4197-85e1-d8d1686f5a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865d83c-5963-4a75-819a-ef9fffe75ef7}" ma:internalName="TaxCatchAll" ma:showField="CatchAllData" ma:web="0963436b-35f1-4197-85e1-d8d1686f5a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f29e7-6632-4cfe-826d-d0aa7d34b0a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963436b-35f1-4197-85e1-d8d1686f5aa4" xsi:nil="true"/>
    <ForcontributionsbyCLIMAunits xmlns="122f29e7-6632-4cfe-826d-d0aa7d34b0a3">
      <UserInfo>
        <DisplayName/>
        <AccountId xsi:nil="true"/>
        <AccountType/>
      </UserInfo>
    </ForcontributionsbyCLIMAunit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A81BF-82D1-4C32-A926-B3C6C2E89C67}">
  <ds:schemaRefs>
    <ds:schemaRef ds:uri="http://schemas.microsoft.com/sharepoint/v3/contenttype/forms"/>
  </ds:schemaRefs>
</ds:datastoreItem>
</file>

<file path=customXml/itemProps2.xml><?xml version="1.0" encoding="utf-8"?>
<ds:datastoreItem xmlns:ds="http://schemas.openxmlformats.org/officeDocument/2006/customXml" ds:itemID="{4F504B15-1029-4867-9848-DEB1526D0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f29e7-6632-4cfe-826d-d0aa7d34b0a3"/>
    <ds:schemaRef ds:uri="0963436b-35f1-4197-85e1-d8d1686f5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16424-AB9B-40C9-BE5F-71EEAD55F6A7}">
  <ds:schemaRefs>
    <ds:schemaRef ds:uri="http://schemas.microsoft.com/office/2006/metadata/properties"/>
    <ds:schemaRef ds:uri="http://schemas.microsoft.com/office/infopath/2007/PartnerControls"/>
    <ds:schemaRef ds:uri="122f29e7-6632-4cfe-826d-d0aa7d34b0a3"/>
    <ds:schemaRef ds:uri="0963436b-35f1-4197-85e1-d8d1686f5aa4"/>
  </ds:schemaRefs>
</ds:datastoreItem>
</file>

<file path=customXml/itemProps4.xml><?xml version="1.0" encoding="utf-8"?>
<ds:datastoreItem xmlns:ds="http://schemas.openxmlformats.org/officeDocument/2006/customXml" ds:itemID="{69A5C2A3-2246-4AAD-9E38-C08DC7E59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12780</Words>
  <Characters>72851</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85461</CharactersWithSpaces>
  <SharedDoc>false</SharedDoc>
  <HLinks>
    <vt:vector size="114" baseType="variant">
      <vt:variant>
        <vt:i4>1114164</vt:i4>
      </vt:variant>
      <vt:variant>
        <vt:i4>80</vt:i4>
      </vt:variant>
      <vt:variant>
        <vt:i4>0</vt:i4>
      </vt:variant>
      <vt:variant>
        <vt:i4>5</vt:i4>
      </vt:variant>
      <vt:variant>
        <vt:lpwstr/>
      </vt:variant>
      <vt:variant>
        <vt:lpwstr>_Toc157365457</vt:lpwstr>
      </vt:variant>
      <vt:variant>
        <vt:i4>1114164</vt:i4>
      </vt:variant>
      <vt:variant>
        <vt:i4>74</vt:i4>
      </vt:variant>
      <vt:variant>
        <vt:i4>0</vt:i4>
      </vt:variant>
      <vt:variant>
        <vt:i4>5</vt:i4>
      </vt:variant>
      <vt:variant>
        <vt:lpwstr/>
      </vt:variant>
      <vt:variant>
        <vt:lpwstr>_Toc157365456</vt:lpwstr>
      </vt:variant>
      <vt:variant>
        <vt:i4>1114164</vt:i4>
      </vt:variant>
      <vt:variant>
        <vt:i4>68</vt:i4>
      </vt:variant>
      <vt:variant>
        <vt:i4>0</vt:i4>
      </vt:variant>
      <vt:variant>
        <vt:i4>5</vt:i4>
      </vt:variant>
      <vt:variant>
        <vt:lpwstr/>
      </vt:variant>
      <vt:variant>
        <vt:lpwstr>_Toc157365455</vt:lpwstr>
      </vt:variant>
      <vt:variant>
        <vt:i4>1114164</vt:i4>
      </vt:variant>
      <vt:variant>
        <vt:i4>62</vt:i4>
      </vt:variant>
      <vt:variant>
        <vt:i4>0</vt:i4>
      </vt:variant>
      <vt:variant>
        <vt:i4>5</vt:i4>
      </vt:variant>
      <vt:variant>
        <vt:lpwstr/>
      </vt:variant>
      <vt:variant>
        <vt:lpwstr>_Toc157365454</vt:lpwstr>
      </vt:variant>
      <vt:variant>
        <vt:i4>1114164</vt:i4>
      </vt:variant>
      <vt:variant>
        <vt:i4>56</vt:i4>
      </vt:variant>
      <vt:variant>
        <vt:i4>0</vt:i4>
      </vt:variant>
      <vt:variant>
        <vt:i4>5</vt:i4>
      </vt:variant>
      <vt:variant>
        <vt:lpwstr/>
      </vt:variant>
      <vt:variant>
        <vt:lpwstr>_Toc157365453</vt:lpwstr>
      </vt:variant>
      <vt:variant>
        <vt:i4>1114164</vt:i4>
      </vt:variant>
      <vt:variant>
        <vt:i4>50</vt:i4>
      </vt:variant>
      <vt:variant>
        <vt:i4>0</vt:i4>
      </vt:variant>
      <vt:variant>
        <vt:i4>5</vt:i4>
      </vt:variant>
      <vt:variant>
        <vt:lpwstr/>
      </vt:variant>
      <vt:variant>
        <vt:lpwstr>_Toc157365452</vt:lpwstr>
      </vt:variant>
      <vt:variant>
        <vt:i4>1441844</vt:i4>
      </vt:variant>
      <vt:variant>
        <vt:i4>44</vt:i4>
      </vt:variant>
      <vt:variant>
        <vt:i4>0</vt:i4>
      </vt:variant>
      <vt:variant>
        <vt:i4>5</vt:i4>
      </vt:variant>
      <vt:variant>
        <vt:lpwstr/>
      </vt:variant>
      <vt:variant>
        <vt:lpwstr>_Toc157365429</vt:lpwstr>
      </vt:variant>
      <vt:variant>
        <vt:i4>1441844</vt:i4>
      </vt:variant>
      <vt:variant>
        <vt:i4>38</vt:i4>
      </vt:variant>
      <vt:variant>
        <vt:i4>0</vt:i4>
      </vt:variant>
      <vt:variant>
        <vt:i4>5</vt:i4>
      </vt:variant>
      <vt:variant>
        <vt:lpwstr/>
      </vt:variant>
      <vt:variant>
        <vt:lpwstr>_Toc157365428</vt:lpwstr>
      </vt:variant>
      <vt:variant>
        <vt:i4>1441844</vt:i4>
      </vt:variant>
      <vt:variant>
        <vt:i4>32</vt:i4>
      </vt:variant>
      <vt:variant>
        <vt:i4>0</vt:i4>
      </vt:variant>
      <vt:variant>
        <vt:i4>5</vt:i4>
      </vt:variant>
      <vt:variant>
        <vt:lpwstr/>
      </vt:variant>
      <vt:variant>
        <vt:lpwstr>_Toc157365427</vt:lpwstr>
      </vt:variant>
      <vt:variant>
        <vt:i4>1441844</vt:i4>
      </vt:variant>
      <vt:variant>
        <vt:i4>26</vt:i4>
      </vt:variant>
      <vt:variant>
        <vt:i4>0</vt:i4>
      </vt:variant>
      <vt:variant>
        <vt:i4>5</vt:i4>
      </vt:variant>
      <vt:variant>
        <vt:lpwstr/>
      </vt:variant>
      <vt:variant>
        <vt:lpwstr>_Toc157365426</vt:lpwstr>
      </vt:variant>
      <vt:variant>
        <vt:i4>1441844</vt:i4>
      </vt:variant>
      <vt:variant>
        <vt:i4>20</vt:i4>
      </vt:variant>
      <vt:variant>
        <vt:i4>0</vt:i4>
      </vt:variant>
      <vt:variant>
        <vt:i4>5</vt:i4>
      </vt:variant>
      <vt:variant>
        <vt:lpwstr/>
      </vt:variant>
      <vt:variant>
        <vt:lpwstr>_Toc157365425</vt:lpwstr>
      </vt:variant>
      <vt:variant>
        <vt:i4>1441844</vt:i4>
      </vt:variant>
      <vt:variant>
        <vt:i4>14</vt:i4>
      </vt:variant>
      <vt:variant>
        <vt:i4>0</vt:i4>
      </vt:variant>
      <vt:variant>
        <vt:i4>5</vt:i4>
      </vt:variant>
      <vt:variant>
        <vt:lpwstr/>
      </vt:variant>
      <vt:variant>
        <vt:lpwstr>_Toc157365424</vt:lpwstr>
      </vt:variant>
      <vt:variant>
        <vt:i4>1441844</vt:i4>
      </vt:variant>
      <vt:variant>
        <vt:i4>8</vt:i4>
      </vt:variant>
      <vt:variant>
        <vt:i4>0</vt:i4>
      </vt:variant>
      <vt:variant>
        <vt:i4>5</vt:i4>
      </vt:variant>
      <vt:variant>
        <vt:lpwstr/>
      </vt:variant>
      <vt:variant>
        <vt:lpwstr>_Toc157365423</vt:lpwstr>
      </vt:variant>
      <vt:variant>
        <vt:i4>1441844</vt:i4>
      </vt:variant>
      <vt:variant>
        <vt:i4>2</vt:i4>
      </vt:variant>
      <vt:variant>
        <vt:i4>0</vt:i4>
      </vt:variant>
      <vt:variant>
        <vt:i4>5</vt:i4>
      </vt:variant>
      <vt:variant>
        <vt:lpwstr/>
      </vt:variant>
      <vt:variant>
        <vt:lpwstr>_Toc157365421</vt:lpwstr>
      </vt:variant>
      <vt:variant>
        <vt:i4>4390918</vt:i4>
      </vt:variant>
      <vt:variant>
        <vt:i4>12</vt:i4>
      </vt:variant>
      <vt:variant>
        <vt:i4>0</vt:i4>
      </vt:variant>
      <vt:variant>
        <vt:i4>5</vt:i4>
      </vt:variant>
      <vt:variant>
        <vt:lpwstr>https://op.europa.eu/en/web/eu-law-and-publications/publication-detail/-/publication/2f1ec1d2-1173-11ee-b12e-01aa75ed71a1</vt:lpwstr>
      </vt:variant>
      <vt:variant>
        <vt:lpwstr/>
      </vt:variant>
      <vt:variant>
        <vt:i4>852020</vt:i4>
      </vt:variant>
      <vt:variant>
        <vt:i4>9</vt:i4>
      </vt:variant>
      <vt:variant>
        <vt:i4>0</vt:i4>
      </vt:variant>
      <vt:variant>
        <vt:i4>5</vt:i4>
      </vt:variant>
      <vt:variant>
        <vt:lpwstr>https://climate.ec.europa.eu/document/996c24d8-9004-4c4e-b637-60b384ae4814_en</vt:lpwstr>
      </vt:variant>
      <vt:variant>
        <vt:lpwstr/>
      </vt:variant>
      <vt:variant>
        <vt:i4>4587619</vt:i4>
      </vt:variant>
      <vt:variant>
        <vt:i4>6</vt:i4>
      </vt:variant>
      <vt:variant>
        <vt:i4>0</vt:i4>
      </vt:variant>
      <vt:variant>
        <vt:i4>5</vt:i4>
      </vt:variant>
      <vt:variant>
        <vt:lpwstr>https://oceans-and-fisheries.ec.europa.eu/publications/common-fisheries-policy-today-and-tomorrow-fisheries-and-oceans-pact-towards-sustainable-science_en</vt:lpwstr>
      </vt:variant>
      <vt:variant>
        <vt:lpwstr/>
      </vt:variant>
      <vt:variant>
        <vt:i4>8323109</vt:i4>
      </vt:variant>
      <vt:variant>
        <vt:i4>3</vt:i4>
      </vt:variant>
      <vt:variant>
        <vt:i4>0</vt:i4>
      </vt:variant>
      <vt:variant>
        <vt:i4>5</vt:i4>
      </vt:variant>
      <vt:variant>
        <vt:lpwstr>https://www.nature.com/articles/s41591-023-02419-z</vt:lpwstr>
      </vt:variant>
      <vt:variant>
        <vt:lpwstr/>
      </vt:variant>
      <vt:variant>
        <vt:i4>6553653</vt:i4>
      </vt:variant>
      <vt:variant>
        <vt:i4>0</vt:i4>
      </vt:variant>
      <vt:variant>
        <vt:i4>0</vt:i4>
      </vt:variant>
      <vt:variant>
        <vt:i4>5</vt:i4>
      </vt:variant>
      <vt:variant>
        <vt:lpwstr>https://doi.org/10.1038/s41591-023-02419-z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2024-02-06T06:29:00Z</dcterms:created>
  <dcterms:modified xsi:type="dcterms:W3CDTF">2024-02-06T06:55:00Z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2024-01-30T14:09:49Z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19018972-1768-4038-a815-099e5be69273</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ContentTypeId">
    <vt:lpwstr>0x010100AE1987089B2DDC4EA3C5EEDA50AEC7B2</vt:lpwstr>
  </property>
  <property fmtid="{D5CDD505-2E9C-101B-9397-08002B2CF9AE}" pid="11" name="Level of sensitivity">
    <vt:lpwstr>Standard treatment</vt:lpwstr>
  </property>
  <property fmtid="{D5CDD505-2E9C-101B-9397-08002B2CF9AE}" pid="12" name="Last edi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CP-014</vt:lpwstr>
  </property>
</Properties>
</file>