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5EF6AE" w14:textId="715A7789" w:rsidR="00957D7E" w:rsidRDefault="000B7BF2" w:rsidP="000B7BF2">
      <w:pPr>
        <w:pStyle w:val="Pagedecouverture"/>
        <w:rPr>
          <w:noProof/>
        </w:rPr>
      </w:pPr>
      <w:bookmarkStart w:id="0" w:name="LW_BM_COVERPAGE"/>
      <w:r>
        <w:rPr>
          <w:noProof/>
        </w:rPr>
        <w:pict w14:anchorId="5A7D72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BBA97EE-C1F2-4E4E-848A-3AB7885849F8" style="width:455.25pt;height:378.75pt">
            <v:imagedata r:id="rId11" o:title=""/>
          </v:shape>
        </w:pict>
      </w:r>
    </w:p>
    <w:bookmarkEnd w:id="0"/>
    <w:p w14:paraId="499A1118" w14:textId="77777777" w:rsidR="000A37A5" w:rsidRDefault="000A37A5" w:rsidP="002A12CF">
      <w:pPr>
        <w:rPr>
          <w:noProof/>
        </w:rPr>
        <w:sectPr w:rsidR="000A37A5" w:rsidSect="000B7BF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auto"/>
          <w:sz w:val="24"/>
          <w:szCs w:val="24"/>
        </w:rPr>
        <w:id w:val="1129746913"/>
        <w:docPartObj>
          <w:docPartGallery w:val="Table of Contents"/>
          <w:docPartUnique/>
        </w:docPartObj>
      </w:sdtPr>
      <w:sdtEndPr>
        <w:rPr>
          <w:b/>
          <w:bCs/>
        </w:rPr>
      </w:sdtEndPr>
      <w:sdtContent>
        <w:p w14:paraId="1E6DECB3" w14:textId="48730925" w:rsidR="0043365E" w:rsidRPr="0043365E" w:rsidRDefault="008733C8">
          <w:pPr>
            <w:pStyle w:val="TOCHeading"/>
            <w:rPr>
              <w:rFonts w:ascii="Times New Roman" w:hAnsi="Times New Roman" w:cs="Times New Roman"/>
              <w:b/>
              <w:bCs/>
              <w:noProof/>
              <w:color w:val="auto"/>
              <w:sz w:val="24"/>
              <w:szCs w:val="24"/>
            </w:rPr>
          </w:pPr>
          <w:r>
            <w:rPr>
              <w:rFonts w:ascii="Times New Roman" w:hAnsi="Times New Roman" w:cs="Times New Roman"/>
              <w:b/>
              <w:bCs/>
              <w:noProof/>
              <w:color w:val="auto"/>
              <w:sz w:val="24"/>
              <w:szCs w:val="24"/>
            </w:rPr>
            <w:t>Table des matières</w:t>
          </w:r>
        </w:p>
        <w:p w14:paraId="60DC2F3C" w14:textId="02C1B831" w:rsidR="0043365E" w:rsidRPr="0043365E" w:rsidRDefault="0043365E">
          <w:pPr>
            <w:pStyle w:val="TOC1"/>
            <w:rPr>
              <w:rFonts w:eastAsiaTheme="minorEastAsia"/>
              <w:noProof/>
              <w:kern w:val="2"/>
              <w:sz w:val="22"/>
              <w:szCs w:val="22"/>
              <w:lang w:val="en-IE" w:eastAsia="en-IE"/>
            </w:rPr>
          </w:pPr>
          <w:r w:rsidRPr="0043365E">
            <w:rPr>
              <w:noProof/>
            </w:rPr>
            <w:fldChar w:fldCharType="begin"/>
          </w:r>
          <w:r w:rsidRPr="0043365E">
            <w:rPr>
              <w:noProof/>
            </w:rPr>
            <w:instrText xml:space="preserve"> TOC \o "1-3" \h \z \u </w:instrText>
          </w:r>
          <w:r w:rsidRPr="0043365E">
            <w:rPr>
              <w:noProof/>
            </w:rPr>
            <w:fldChar w:fldCharType="separate"/>
          </w:r>
          <w:hyperlink w:anchor="_Toc160204874" w:history="1">
            <w:r w:rsidRPr="0043365E">
              <w:rPr>
                <w:rStyle w:val="Hyperlink"/>
                <w:noProof/>
              </w:rPr>
              <w:t>1</w:t>
            </w:r>
            <w:r w:rsidRPr="0043365E">
              <w:rPr>
                <w:rFonts w:eastAsiaTheme="minorEastAsia"/>
                <w:noProof/>
                <w:kern w:val="2"/>
                <w:sz w:val="22"/>
                <w:szCs w:val="22"/>
                <w:lang w:val="en-IE" w:eastAsia="en-IE"/>
              </w:rPr>
              <w:tab/>
            </w:r>
            <w:r w:rsidRPr="0043365E">
              <w:rPr>
                <w:rStyle w:val="Hyperlink"/>
                <w:noProof/>
              </w:rPr>
              <w:t>Une vision au-delà de 2030</w:t>
            </w:r>
            <w:r w:rsidRPr="0043365E">
              <w:rPr>
                <w:noProof/>
                <w:webHidden/>
              </w:rPr>
              <w:tab/>
            </w:r>
            <w:r w:rsidRPr="0043365E">
              <w:rPr>
                <w:noProof/>
                <w:webHidden/>
              </w:rPr>
              <w:fldChar w:fldCharType="begin"/>
            </w:r>
            <w:r w:rsidRPr="0043365E">
              <w:rPr>
                <w:noProof/>
                <w:webHidden/>
              </w:rPr>
              <w:instrText xml:space="preserve"> PAGEREF _Toc160204874 \h </w:instrText>
            </w:r>
            <w:r w:rsidRPr="0043365E">
              <w:rPr>
                <w:noProof/>
                <w:webHidden/>
              </w:rPr>
            </w:r>
            <w:r w:rsidRPr="0043365E">
              <w:rPr>
                <w:noProof/>
                <w:webHidden/>
              </w:rPr>
              <w:fldChar w:fldCharType="separate"/>
            </w:r>
            <w:r w:rsidRPr="0043365E">
              <w:rPr>
                <w:noProof/>
                <w:webHidden/>
              </w:rPr>
              <w:t>2</w:t>
            </w:r>
            <w:r w:rsidRPr="0043365E">
              <w:rPr>
                <w:noProof/>
                <w:webHidden/>
              </w:rPr>
              <w:fldChar w:fldCharType="end"/>
            </w:r>
          </w:hyperlink>
        </w:p>
        <w:p w14:paraId="7A0D03BC" w14:textId="1E3790CB" w:rsidR="0043365E" w:rsidRPr="0043365E" w:rsidRDefault="000B7BF2">
          <w:pPr>
            <w:pStyle w:val="TOC1"/>
            <w:rPr>
              <w:rFonts w:eastAsiaTheme="minorEastAsia"/>
              <w:noProof/>
              <w:kern w:val="2"/>
              <w:sz w:val="22"/>
              <w:szCs w:val="22"/>
              <w:lang w:val="en-IE" w:eastAsia="en-IE"/>
            </w:rPr>
          </w:pPr>
          <w:hyperlink w:anchor="_Toc160204875" w:history="1">
            <w:r w:rsidR="0043365E" w:rsidRPr="0043365E">
              <w:rPr>
                <w:rStyle w:val="Hyperlink"/>
                <w:noProof/>
              </w:rPr>
              <w:t>2</w:t>
            </w:r>
            <w:r w:rsidR="0043365E" w:rsidRPr="0043365E">
              <w:rPr>
                <w:rFonts w:eastAsiaTheme="minorEastAsia"/>
                <w:noProof/>
                <w:kern w:val="2"/>
                <w:sz w:val="22"/>
                <w:szCs w:val="22"/>
                <w:lang w:val="en-IE" w:eastAsia="en-IE"/>
              </w:rPr>
              <w:tab/>
            </w:r>
            <w:r w:rsidR="0043365E" w:rsidRPr="0043365E">
              <w:rPr>
                <w:rStyle w:val="Hyperlink"/>
                <w:noProof/>
              </w:rPr>
              <w:t>Une action mondiale ambitieuse pour le climat</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_Toc160204875 \h </w:instrText>
            </w:r>
            <w:r w:rsidR="0043365E" w:rsidRPr="0043365E">
              <w:rPr>
                <w:noProof/>
                <w:webHidden/>
              </w:rPr>
            </w:r>
            <w:r w:rsidR="0043365E" w:rsidRPr="0043365E">
              <w:rPr>
                <w:noProof/>
                <w:webHidden/>
              </w:rPr>
              <w:fldChar w:fldCharType="separate"/>
            </w:r>
            <w:r w:rsidR="0043365E" w:rsidRPr="0043365E">
              <w:rPr>
                <w:noProof/>
                <w:webHidden/>
              </w:rPr>
              <w:t>5</w:t>
            </w:r>
            <w:r w:rsidR="0043365E" w:rsidRPr="0043365E">
              <w:rPr>
                <w:noProof/>
                <w:webHidden/>
              </w:rPr>
              <w:fldChar w:fldCharType="end"/>
            </w:r>
          </w:hyperlink>
        </w:p>
        <w:p w14:paraId="60553590" w14:textId="28ACA7AD" w:rsidR="0043365E" w:rsidRPr="0043365E" w:rsidRDefault="000B7BF2">
          <w:pPr>
            <w:pStyle w:val="TOC1"/>
            <w:rPr>
              <w:rFonts w:eastAsiaTheme="minorEastAsia"/>
              <w:noProof/>
              <w:kern w:val="2"/>
              <w:sz w:val="22"/>
              <w:szCs w:val="22"/>
              <w:lang w:val="en-IE" w:eastAsia="en-IE"/>
            </w:rPr>
          </w:pPr>
          <w:hyperlink w:anchor="_Toc160204876" w:history="1">
            <w:r w:rsidR="0043365E" w:rsidRPr="0043365E">
              <w:rPr>
                <w:rStyle w:val="Hyperlink"/>
                <w:noProof/>
              </w:rPr>
              <w:t>3</w:t>
            </w:r>
            <w:r w:rsidR="0043365E" w:rsidRPr="0043365E">
              <w:rPr>
                <w:rFonts w:eastAsiaTheme="minorEastAsia"/>
                <w:noProof/>
                <w:kern w:val="2"/>
                <w:sz w:val="22"/>
                <w:szCs w:val="22"/>
                <w:lang w:val="en-IE" w:eastAsia="en-IE"/>
              </w:rPr>
              <w:tab/>
            </w:r>
            <w:r w:rsidR="0043365E" w:rsidRPr="0043365E">
              <w:rPr>
                <w:rStyle w:val="Hyperlink"/>
                <w:noProof/>
              </w:rPr>
              <w:t>L’objectif pour 2040 et la voie vers la neutralité climatique</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_Toc160204876 \h </w:instrText>
            </w:r>
            <w:r w:rsidR="0043365E" w:rsidRPr="0043365E">
              <w:rPr>
                <w:noProof/>
                <w:webHidden/>
              </w:rPr>
            </w:r>
            <w:r w:rsidR="0043365E" w:rsidRPr="0043365E">
              <w:rPr>
                <w:noProof/>
                <w:webHidden/>
              </w:rPr>
              <w:fldChar w:fldCharType="separate"/>
            </w:r>
            <w:r w:rsidR="0043365E" w:rsidRPr="0043365E">
              <w:rPr>
                <w:noProof/>
                <w:webHidden/>
              </w:rPr>
              <w:t>7</w:t>
            </w:r>
            <w:r w:rsidR="0043365E" w:rsidRPr="0043365E">
              <w:rPr>
                <w:noProof/>
                <w:webHidden/>
              </w:rPr>
              <w:fldChar w:fldCharType="end"/>
            </w:r>
          </w:hyperlink>
        </w:p>
        <w:p w14:paraId="3FF4AF4D" w14:textId="52991D3D" w:rsidR="0043365E" w:rsidRPr="0043365E" w:rsidRDefault="000B7BF2">
          <w:pPr>
            <w:pStyle w:val="TOC2"/>
            <w:rPr>
              <w:rFonts w:eastAsiaTheme="minorEastAsia"/>
              <w:noProof/>
              <w:kern w:val="2"/>
              <w:sz w:val="22"/>
              <w:szCs w:val="22"/>
              <w:lang w:val="en-IE" w:eastAsia="en-IE"/>
            </w:rPr>
          </w:pPr>
          <w:hyperlink w:anchor="_Toc160204877" w:history="1">
            <w:r w:rsidR="0043365E" w:rsidRPr="0043365E">
              <w:rPr>
                <w:rStyle w:val="Hyperlink"/>
                <w:noProof/>
              </w:rPr>
              <w:t>3.1</w:t>
            </w:r>
            <w:r w:rsidR="0043365E" w:rsidRPr="0043365E">
              <w:rPr>
                <w:rFonts w:eastAsiaTheme="minorEastAsia"/>
                <w:noProof/>
                <w:kern w:val="2"/>
                <w:sz w:val="22"/>
                <w:szCs w:val="22"/>
                <w:lang w:val="en-IE" w:eastAsia="en-IE"/>
              </w:rPr>
              <w:tab/>
            </w:r>
            <w:r w:rsidR="0043365E" w:rsidRPr="0043365E">
              <w:rPr>
                <w:rStyle w:val="Hyperlink"/>
                <w:noProof/>
              </w:rPr>
              <w:t>L’objectif</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_Toc160204877 \h </w:instrText>
            </w:r>
            <w:r w:rsidR="0043365E" w:rsidRPr="0043365E">
              <w:rPr>
                <w:noProof/>
                <w:webHidden/>
              </w:rPr>
            </w:r>
            <w:r w:rsidR="0043365E" w:rsidRPr="0043365E">
              <w:rPr>
                <w:noProof/>
                <w:webHidden/>
              </w:rPr>
              <w:fldChar w:fldCharType="separate"/>
            </w:r>
            <w:r w:rsidR="0043365E" w:rsidRPr="0043365E">
              <w:rPr>
                <w:noProof/>
                <w:webHidden/>
              </w:rPr>
              <w:t>7</w:t>
            </w:r>
            <w:r w:rsidR="0043365E" w:rsidRPr="0043365E">
              <w:rPr>
                <w:noProof/>
                <w:webHidden/>
              </w:rPr>
              <w:fldChar w:fldCharType="end"/>
            </w:r>
          </w:hyperlink>
        </w:p>
        <w:p w14:paraId="28F5FC95" w14:textId="4FF7952F" w:rsidR="0043365E" w:rsidRPr="0043365E" w:rsidRDefault="000B7BF2">
          <w:pPr>
            <w:pStyle w:val="TOC2"/>
            <w:rPr>
              <w:rFonts w:eastAsiaTheme="minorEastAsia"/>
              <w:noProof/>
              <w:kern w:val="2"/>
              <w:sz w:val="22"/>
              <w:szCs w:val="22"/>
              <w:lang w:val="en-IE" w:eastAsia="en-IE"/>
            </w:rPr>
          </w:pPr>
          <w:hyperlink w:anchor="_Toc160204878" w:history="1">
            <w:r w:rsidR="0043365E" w:rsidRPr="0043365E">
              <w:rPr>
                <w:rStyle w:val="Hyperlink"/>
                <w:noProof/>
              </w:rPr>
              <w:t>3.2</w:t>
            </w:r>
            <w:r w:rsidR="0043365E" w:rsidRPr="0043365E">
              <w:rPr>
                <w:rFonts w:eastAsiaTheme="minorEastAsia"/>
                <w:noProof/>
                <w:kern w:val="2"/>
                <w:sz w:val="22"/>
                <w:szCs w:val="22"/>
                <w:lang w:val="en-IE" w:eastAsia="en-IE"/>
              </w:rPr>
              <w:tab/>
            </w:r>
            <w:r w:rsidR="0043365E" w:rsidRPr="0043365E">
              <w:rPr>
                <w:rStyle w:val="Hyperlink"/>
                <w:noProof/>
              </w:rPr>
              <w:t>Coût de l’inaction</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_Toc160204878 \h </w:instrText>
            </w:r>
            <w:r w:rsidR="0043365E" w:rsidRPr="0043365E">
              <w:rPr>
                <w:noProof/>
                <w:webHidden/>
              </w:rPr>
            </w:r>
            <w:r w:rsidR="0043365E" w:rsidRPr="0043365E">
              <w:rPr>
                <w:noProof/>
                <w:webHidden/>
              </w:rPr>
              <w:fldChar w:fldCharType="separate"/>
            </w:r>
            <w:r w:rsidR="0043365E" w:rsidRPr="0043365E">
              <w:rPr>
                <w:noProof/>
                <w:webHidden/>
              </w:rPr>
              <w:t>10</w:t>
            </w:r>
            <w:r w:rsidR="0043365E" w:rsidRPr="0043365E">
              <w:rPr>
                <w:noProof/>
                <w:webHidden/>
              </w:rPr>
              <w:fldChar w:fldCharType="end"/>
            </w:r>
          </w:hyperlink>
        </w:p>
        <w:p w14:paraId="7FE7B146" w14:textId="5FF8CD20" w:rsidR="0043365E" w:rsidRPr="0043365E" w:rsidRDefault="000B7BF2">
          <w:pPr>
            <w:pStyle w:val="TOC1"/>
            <w:rPr>
              <w:rFonts w:eastAsiaTheme="minorEastAsia"/>
              <w:noProof/>
              <w:kern w:val="2"/>
              <w:sz w:val="22"/>
              <w:szCs w:val="22"/>
              <w:lang w:val="en-IE" w:eastAsia="en-IE"/>
            </w:rPr>
          </w:pPr>
          <w:hyperlink w:anchor="_Toc160204879" w:history="1">
            <w:r w:rsidR="0043365E" w:rsidRPr="0043365E">
              <w:rPr>
                <w:rStyle w:val="Hyperlink"/>
                <w:noProof/>
              </w:rPr>
              <w:t>4</w:t>
            </w:r>
            <w:r w:rsidR="0043365E" w:rsidRPr="0043365E">
              <w:rPr>
                <w:rFonts w:eastAsiaTheme="minorEastAsia"/>
                <w:noProof/>
                <w:kern w:val="2"/>
                <w:sz w:val="22"/>
                <w:szCs w:val="22"/>
                <w:lang w:val="en-IE" w:eastAsia="en-IE"/>
              </w:rPr>
              <w:tab/>
            </w:r>
            <w:r w:rsidR="0043365E" w:rsidRPr="0043365E">
              <w:rPr>
                <w:rStyle w:val="Hyperlink"/>
                <w:noProof/>
              </w:rPr>
              <w:t>Réalisation de l’objectif pour 2040</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_Toc160204879 \h </w:instrText>
            </w:r>
            <w:r w:rsidR="0043365E" w:rsidRPr="0043365E">
              <w:rPr>
                <w:noProof/>
                <w:webHidden/>
              </w:rPr>
            </w:r>
            <w:r w:rsidR="0043365E" w:rsidRPr="0043365E">
              <w:rPr>
                <w:noProof/>
                <w:webHidden/>
              </w:rPr>
              <w:fldChar w:fldCharType="separate"/>
            </w:r>
            <w:r w:rsidR="0043365E" w:rsidRPr="0043365E">
              <w:rPr>
                <w:noProof/>
                <w:webHidden/>
              </w:rPr>
              <w:t>11</w:t>
            </w:r>
            <w:r w:rsidR="0043365E" w:rsidRPr="0043365E">
              <w:rPr>
                <w:noProof/>
                <w:webHidden/>
              </w:rPr>
              <w:fldChar w:fldCharType="end"/>
            </w:r>
          </w:hyperlink>
        </w:p>
        <w:p w14:paraId="7688BFC4" w14:textId="6BCFE5D9" w:rsidR="0043365E" w:rsidRPr="0043365E" w:rsidRDefault="000B7BF2">
          <w:pPr>
            <w:pStyle w:val="TOC2"/>
            <w:rPr>
              <w:rFonts w:eastAsiaTheme="minorEastAsia"/>
              <w:noProof/>
              <w:kern w:val="2"/>
              <w:sz w:val="22"/>
              <w:szCs w:val="22"/>
              <w:lang w:val="en-IE" w:eastAsia="en-IE"/>
            </w:rPr>
          </w:pPr>
          <w:hyperlink w:anchor="_Toc160204880" w:history="1">
            <w:r w:rsidR="0043365E" w:rsidRPr="0043365E">
              <w:rPr>
                <w:rStyle w:val="Hyperlink"/>
                <w:noProof/>
              </w:rPr>
              <w:t>4.1</w:t>
            </w:r>
            <w:r w:rsidR="0043365E" w:rsidRPr="0043365E">
              <w:rPr>
                <w:rFonts w:eastAsiaTheme="minorEastAsia"/>
                <w:noProof/>
                <w:kern w:val="2"/>
                <w:sz w:val="22"/>
                <w:szCs w:val="22"/>
                <w:lang w:val="en-IE" w:eastAsia="en-IE"/>
              </w:rPr>
              <w:tab/>
            </w:r>
            <w:r w:rsidR="0043365E" w:rsidRPr="0043365E">
              <w:rPr>
                <w:rStyle w:val="Hyperlink"/>
                <w:noProof/>
              </w:rPr>
              <w:t>Mise en œuvre du cadre d’action à l’horizon 2030</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_Toc160204880 \h </w:instrText>
            </w:r>
            <w:r w:rsidR="0043365E" w:rsidRPr="0043365E">
              <w:rPr>
                <w:noProof/>
                <w:webHidden/>
              </w:rPr>
            </w:r>
            <w:r w:rsidR="0043365E" w:rsidRPr="0043365E">
              <w:rPr>
                <w:noProof/>
                <w:webHidden/>
              </w:rPr>
              <w:fldChar w:fldCharType="separate"/>
            </w:r>
            <w:r w:rsidR="0043365E" w:rsidRPr="0043365E">
              <w:rPr>
                <w:noProof/>
                <w:webHidden/>
              </w:rPr>
              <w:t>12</w:t>
            </w:r>
            <w:r w:rsidR="0043365E" w:rsidRPr="0043365E">
              <w:rPr>
                <w:noProof/>
                <w:webHidden/>
              </w:rPr>
              <w:fldChar w:fldCharType="end"/>
            </w:r>
          </w:hyperlink>
        </w:p>
        <w:p w14:paraId="7731AD6C" w14:textId="21354649" w:rsidR="0043365E" w:rsidRPr="0043365E" w:rsidRDefault="000B7BF2">
          <w:pPr>
            <w:pStyle w:val="TOC2"/>
            <w:rPr>
              <w:rFonts w:eastAsiaTheme="minorEastAsia"/>
              <w:noProof/>
              <w:kern w:val="2"/>
              <w:sz w:val="22"/>
              <w:szCs w:val="22"/>
              <w:lang w:val="en-IE" w:eastAsia="en-IE"/>
            </w:rPr>
          </w:pPr>
          <w:hyperlink w:anchor="_Toc160204881" w:history="1">
            <w:r w:rsidR="0043365E" w:rsidRPr="0043365E">
              <w:rPr>
                <w:rStyle w:val="Hyperlink"/>
                <w:noProof/>
              </w:rPr>
              <w:t>4.2</w:t>
            </w:r>
            <w:r w:rsidR="0043365E" w:rsidRPr="0043365E">
              <w:rPr>
                <w:rFonts w:eastAsiaTheme="minorEastAsia"/>
                <w:noProof/>
                <w:kern w:val="2"/>
                <w:sz w:val="22"/>
                <w:szCs w:val="22"/>
                <w:lang w:val="en-IE" w:eastAsia="en-IE"/>
              </w:rPr>
              <w:tab/>
            </w:r>
            <w:r w:rsidR="0043365E" w:rsidRPr="0043365E">
              <w:rPr>
                <w:rStyle w:val="Hyperlink"/>
                <w:noProof/>
              </w:rPr>
              <w:t>Une économie au service des citoyens</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_Toc160204881 \h </w:instrText>
            </w:r>
            <w:r w:rsidR="0043365E" w:rsidRPr="0043365E">
              <w:rPr>
                <w:noProof/>
                <w:webHidden/>
              </w:rPr>
            </w:r>
            <w:r w:rsidR="0043365E" w:rsidRPr="0043365E">
              <w:rPr>
                <w:noProof/>
                <w:webHidden/>
              </w:rPr>
              <w:fldChar w:fldCharType="separate"/>
            </w:r>
            <w:r w:rsidR="0043365E" w:rsidRPr="0043365E">
              <w:rPr>
                <w:noProof/>
                <w:webHidden/>
              </w:rPr>
              <w:t>12</w:t>
            </w:r>
            <w:r w:rsidR="0043365E" w:rsidRPr="0043365E">
              <w:rPr>
                <w:noProof/>
                <w:webHidden/>
              </w:rPr>
              <w:fldChar w:fldCharType="end"/>
            </w:r>
          </w:hyperlink>
        </w:p>
        <w:p w14:paraId="47D705BD" w14:textId="189FB224" w:rsidR="0043365E" w:rsidRPr="0043365E" w:rsidRDefault="000B7BF2">
          <w:pPr>
            <w:pStyle w:val="TOC2"/>
            <w:rPr>
              <w:rFonts w:eastAsiaTheme="minorEastAsia"/>
              <w:noProof/>
              <w:kern w:val="2"/>
              <w:sz w:val="22"/>
              <w:szCs w:val="22"/>
              <w:lang w:val="en-IE" w:eastAsia="en-IE"/>
            </w:rPr>
          </w:pPr>
          <w:hyperlink w:anchor="_Toc160204882" w:history="1">
            <w:r w:rsidR="0043365E" w:rsidRPr="0043365E">
              <w:rPr>
                <w:rStyle w:val="Hyperlink"/>
                <w:noProof/>
              </w:rPr>
              <w:t>4.3</w:t>
            </w:r>
            <w:r w:rsidR="0043365E" w:rsidRPr="0043365E">
              <w:rPr>
                <w:rFonts w:eastAsiaTheme="minorEastAsia"/>
                <w:noProof/>
                <w:kern w:val="2"/>
                <w:sz w:val="22"/>
                <w:szCs w:val="22"/>
                <w:lang w:val="en-IE" w:eastAsia="en-IE"/>
              </w:rPr>
              <w:tab/>
            </w:r>
            <w:r w:rsidR="0043365E" w:rsidRPr="0043365E">
              <w:rPr>
                <w:rStyle w:val="Hyperlink"/>
                <w:noProof/>
              </w:rPr>
              <w:t>Le système énergétique de l’UE</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_Toc160204882 \h </w:instrText>
            </w:r>
            <w:r w:rsidR="0043365E" w:rsidRPr="0043365E">
              <w:rPr>
                <w:noProof/>
                <w:webHidden/>
              </w:rPr>
            </w:r>
            <w:r w:rsidR="0043365E" w:rsidRPr="0043365E">
              <w:rPr>
                <w:noProof/>
                <w:webHidden/>
              </w:rPr>
              <w:fldChar w:fldCharType="separate"/>
            </w:r>
            <w:r w:rsidR="0043365E" w:rsidRPr="0043365E">
              <w:rPr>
                <w:noProof/>
                <w:webHidden/>
              </w:rPr>
              <w:t>13</w:t>
            </w:r>
            <w:r w:rsidR="0043365E" w:rsidRPr="0043365E">
              <w:rPr>
                <w:noProof/>
                <w:webHidden/>
              </w:rPr>
              <w:fldChar w:fldCharType="end"/>
            </w:r>
          </w:hyperlink>
        </w:p>
        <w:p w14:paraId="1F040718" w14:textId="3439AC7B" w:rsidR="0043365E" w:rsidRPr="0043365E" w:rsidRDefault="000B7BF2">
          <w:pPr>
            <w:pStyle w:val="TOC2"/>
            <w:rPr>
              <w:rFonts w:eastAsiaTheme="minorEastAsia"/>
              <w:noProof/>
              <w:kern w:val="2"/>
              <w:sz w:val="22"/>
              <w:szCs w:val="22"/>
              <w:lang w:val="en-IE" w:eastAsia="en-IE"/>
            </w:rPr>
          </w:pPr>
          <w:hyperlink w:anchor="_Toc160204883" w:history="1">
            <w:r w:rsidR="0043365E" w:rsidRPr="0043365E">
              <w:rPr>
                <w:rStyle w:val="Hyperlink"/>
                <w:noProof/>
              </w:rPr>
              <w:t>4.4</w:t>
            </w:r>
            <w:r w:rsidR="0043365E" w:rsidRPr="0043365E">
              <w:rPr>
                <w:rFonts w:eastAsiaTheme="minorEastAsia"/>
                <w:noProof/>
                <w:kern w:val="2"/>
                <w:sz w:val="22"/>
                <w:szCs w:val="22"/>
                <w:lang w:val="en-IE" w:eastAsia="en-IE"/>
              </w:rPr>
              <w:tab/>
            </w:r>
            <w:r w:rsidR="0043365E" w:rsidRPr="0043365E">
              <w:rPr>
                <w:rStyle w:val="Hyperlink"/>
                <w:noProof/>
              </w:rPr>
              <w:t>Accord de décarbonation de l’industrie</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_Toc160204883 \h </w:instrText>
            </w:r>
            <w:r w:rsidR="0043365E" w:rsidRPr="0043365E">
              <w:rPr>
                <w:noProof/>
                <w:webHidden/>
              </w:rPr>
            </w:r>
            <w:r w:rsidR="0043365E" w:rsidRPr="0043365E">
              <w:rPr>
                <w:noProof/>
                <w:webHidden/>
              </w:rPr>
              <w:fldChar w:fldCharType="separate"/>
            </w:r>
            <w:r w:rsidR="0043365E" w:rsidRPr="0043365E">
              <w:rPr>
                <w:noProof/>
                <w:webHidden/>
              </w:rPr>
              <w:t>17</w:t>
            </w:r>
            <w:r w:rsidR="0043365E" w:rsidRPr="0043365E">
              <w:rPr>
                <w:noProof/>
                <w:webHidden/>
              </w:rPr>
              <w:fldChar w:fldCharType="end"/>
            </w:r>
          </w:hyperlink>
        </w:p>
        <w:p w14:paraId="7890D89D" w14:textId="029C8B96" w:rsidR="0043365E" w:rsidRPr="0043365E" w:rsidRDefault="000B7BF2">
          <w:pPr>
            <w:pStyle w:val="TOC2"/>
            <w:rPr>
              <w:rFonts w:eastAsiaTheme="minorEastAsia"/>
              <w:noProof/>
              <w:kern w:val="2"/>
              <w:sz w:val="22"/>
              <w:szCs w:val="22"/>
              <w:lang w:val="en-IE" w:eastAsia="en-IE"/>
            </w:rPr>
          </w:pPr>
          <w:hyperlink w:anchor="_Toc160204884" w:history="1">
            <w:r w:rsidR="0043365E" w:rsidRPr="0043365E">
              <w:rPr>
                <w:rStyle w:val="Hyperlink"/>
                <w:noProof/>
              </w:rPr>
              <w:t>4.5</w:t>
            </w:r>
            <w:r w:rsidR="0043365E" w:rsidRPr="0043365E">
              <w:rPr>
                <w:rFonts w:eastAsiaTheme="minorEastAsia"/>
                <w:noProof/>
                <w:kern w:val="2"/>
                <w:sz w:val="22"/>
                <w:szCs w:val="22"/>
                <w:lang w:val="en-IE" w:eastAsia="en-IE"/>
              </w:rPr>
              <w:tab/>
            </w:r>
            <w:r w:rsidR="0043365E" w:rsidRPr="0043365E">
              <w:rPr>
                <w:rStyle w:val="Hyperlink"/>
                <w:noProof/>
              </w:rPr>
              <w:t>Décarboner les transports et améliorer la mobilité</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_Toc160204884 \h </w:instrText>
            </w:r>
            <w:r w:rsidR="0043365E" w:rsidRPr="0043365E">
              <w:rPr>
                <w:noProof/>
                <w:webHidden/>
              </w:rPr>
            </w:r>
            <w:r w:rsidR="0043365E" w:rsidRPr="0043365E">
              <w:rPr>
                <w:noProof/>
                <w:webHidden/>
              </w:rPr>
              <w:fldChar w:fldCharType="separate"/>
            </w:r>
            <w:r w:rsidR="0043365E" w:rsidRPr="0043365E">
              <w:rPr>
                <w:noProof/>
                <w:webHidden/>
              </w:rPr>
              <w:t>23</w:t>
            </w:r>
            <w:r w:rsidR="0043365E" w:rsidRPr="0043365E">
              <w:rPr>
                <w:noProof/>
                <w:webHidden/>
              </w:rPr>
              <w:fldChar w:fldCharType="end"/>
            </w:r>
          </w:hyperlink>
        </w:p>
        <w:p w14:paraId="67D30860" w14:textId="0BB43A59" w:rsidR="0043365E" w:rsidRPr="0043365E" w:rsidRDefault="000B7BF2">
          <w:pPr>
            <w:pStyle w:val="TOC2"/>
            <w:rPr>
              <w:rFonts w:eastAsiaTheme="minorEastAsia"/>
              <w:noProof/>
              <w:kern w:val="2"/>
              <w:sz w:val="22"/>
              <w:szCs w:val="22"/>
              <w:lang w:val="en-IE" w:eastAsia="en-IE"/>
            </w:rPr>
          </w:pPr>
          <w:hyperlink w:anchor="_Toc160204885" w:history="1">
            <w:r w:rsidR="0043365E" w:rsidRPr="0043365E">
              <w:rPr>
                <w:rStyle w:val="Hyperlink"/>
                <w:noProof/>
              </w:rPr>
              <w:t>4.6</w:t>
            </w:r>
            <w:r w:rsidR="0043365E" w:rsidRPr="0043365E">
              <w:rPr>
                <w:rFonts w:eastAsiaTheme="minorEastAsia"/>
                <w:noProof/>
                <w:kern w:val="2"/>
                <w:sz w:val="22"/>
                <w:szCs w:val="22"/>
                <w:lang w:val="en-IE" w:eastAsia="en-IE"/>
              </w:rPr>
              <w:tab/>
            </w:r>
            <w:r w:rsidR="0043365E" w:rsidRPr="0043365E">
              <w:rPr>
                <w:rStyle w:val="Hyperlink"/>
                <w:noProof/>
              </w:rPr>
              <w:t>Terres, alimentation et bioéconomie</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_Toc160204885 \h </w:instrText>
            </w:r>
            <w:r w:rsidR="0043365E" w:rsidRPr="0043365E">
              <w:rPr>
                <w:noProof/>
                <w:webHidden/>
              </w:rPr>
            </w:r>
            <w:r w:rsidR="0043365E" w:rsidRPr="0043365E">
              <w:rPr>
                <w:noProof/>
                <w:webHidden/>
              </w:rPr>
              <w:fldChar w:fldCharType="separate"/>
            </w:r>
            <w:r w:rsidR="0043365E" w:rsidRPr="0043365E">
              <w:rPr>
                <w:noProof/>
                <w:webHidden/>
              </w:rPr>
              <w:t>25</w:t>
            </w:r>
            <w:r w:rsidR="0043365E" w:rsidRPr="0043365E">
              <w:rPr>
                <w:noProof/>
                <w:webHidden/>
              </w:rPr>
              <w:fldChar w:fldCharType="end"/>
            </w:r>
          </w:hyperlink>
        </w:p>
        <w:p w14:paraId="25F54922" w14:textId="73049CF3" w:rsidR="0043365E" w:rsidRPr="0043365E" w:rsidRDefault="000B7BF2">
          <w:pPr>
            <w:pStyle w:val="TOC2"/>
            <w:rPr>
              <w:rFonts w:eastAsiaTheme="minorEastAsia"/>
              <w:noProof/>
              <w:kern w:val="2"/>
              <w:sz w:val="22"/>
              <w:szCs w:val="22"/>
              <w:lang w:val="en-IE" w:eastAsia="en-IE"/>
            </w:rPr>
          </w:pPr>
          <w:hyperlink w:anchor="_Toc160204886" w:history="1">
            <w:r w:rsidR="0043365E" w:rsidRPr="0043365E">
              <w:rPr>
                <w:rStyle w:val="Hyperlink"/>
                <w:noProof/>
              </w:rPr>
              <w:t>4.7</w:t>
            </w:r>
            <w:r w:rsidR="0043365E" w:rsidRPr="0043365E">
              <w:rPr>
                <w:rFonts w:eastAsiaTheme="minorEastAsia"/>
                <w:noProof/>
                <w:kern w:val="2"/>
                <w:sz w:val="22"/>
                <w:szCs w:val="22"/>
                <w:lang w:val="en-IE" w:eastAsia="en-IE"/>
              </w:rPr>
              <w:tab/>
            </w:r>
            <w:r w:rsidR="0043365E" w:rsidRPr="0043365E">
              <w:rPr>
                <w:rStyle w:val="Hyperlink"/>
                <w:noProof/>
              </w:rPr>
              <w:t>Investir dans notre avenir</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_Toc160204886 \h </w:instrText>
            </w:r>
            <w:r w:rsidR="0043365E" w:rsidRPr="0043365E">
              <w:rPr>
                <w:noProof/>
                <w:webHidden/>
              </w:rPr>
            </w:r>
            <w:r w:rsidR="0043365E" w:rsidRPr="0043365E">
              <w:rPr>
                <w:noProof/>
                <w:webHidden/>
              </w:rPr>
              <w:fldChar w:fldCharType="separate"/>
            </w:r>
            <w:r w:rsidR="0043365E" w:rsidRPr="0043365E">
              <w:rPr>
                <w:noProof/>
                <w:webHidden/>
              </w:rPr>
              <w:t>28</w:t>
            </w:r>
            <w:r w:rsidR="0043365E" w:rsidRPr="0043365E">
              <w:rPr>
                <w:noProof/>
                <w:webHidden/>
              </w:rPr>
              <w:fldChar w:fldCharType="end"/>
            </w:r>
          </w:hyperlink>
        </w:p>
        <w:p w14:paraId="4E03534D" w14:textId="32AB02FE" w:rsidR="0043365E" w:rsidRPr="0043365E" w:rsidRDefault="000B7BF2">
          <w:pPr>
            <w:pStyle w:val="TOC1"/>
            <w:rPr>
              <w:rFonts w:eastAsiaTheme="minorEastAsia"/>
              <w:noProof/>
              <w:kern w:val="2"/>
              <w:sz w:val="22"/>
              <w:szCs w:val="22"/>
              <w:lang w:val="en-IE" w:eastAsia="en-IE"/>
            </w:rPr>
          </w:pPr>
          <w:hyperlink w:anchor="_Toc160204887" w:history="1">
            <w:r w:rsidR="0043365E" w:rsidRPr="0043365E">
              <w:rPr>
                <w:rStyle w:val="Hyperlink"/>
                <w:noProof/>
              </w:rPr>
              <w:t>5</w:t>
            </w:r>
            <w:r w:rsidR="0043365E" w:rsidRPr="0043365E">
              <w:rPr>
                <w:rFonts w:eastAsiaTheme="minorEastAsia"/>
                <w:noProof/>
                <w:kern w:val="2"/>
                <w:sz w:val="22"/>
                <w:szCs w:val="22"/>
                <w:lang w:val="en-IE" w:eastAsia="en-IE"/>
              </w:rPr>
              <w:tab/>
            </w:r>
            <w:r w:rsidR="0043365E" w:rsidRPr="0043365E">
              <w:rPr>
                <w:rStyle w:val="Hyperlink"/>
                <w:noProof/>
              </w:rPr>
              <w:t>Conclusion et prochaines étapes</w:t>
            </w:r>
            <w:r w:rsidR="0043365E" w:rsidRPr="0043365E">
              <w:rPr>
                <w:noProof/>
                <w:webHidden/>
              </w:rPr>
              <w:tab/>
            </w:r>
            <w:r w:rsidR="0043365E" w:rsidRPr="0043365E">
              <w:rPr>
                <w:noProof/>
                <w:webHidden/>
              </w:rPr>
              <w:fldChar w:fldCharType="begin"/>
            </w:r>
            <w:r w:rsidR="0043365E" w:rsidRPr="0043365E">
              <w:rPr>
                <w:noProof/>
                <w:webHidden/>
              </w:rPr>
              <w:instrText xml:space="preserve"> PAGEREF _Toc160204887 \h </w:instrText>
            </w:r>
            <w:r w:rsidR="0043365E" w:rsidRPr="0043365E">
              <w:rPr>
                <w:noProof/>
                <w:webHidden/>
              </w:rPr>
            </w:r>
            <w:r w:rsidR="0043365E" w:rsidRPr="0043365E">
              <w:rPr>
                <w:noProof/>
                <w:webHidden/>
              </w:rPr>
              <w:fldChar w:fldCharType="separate"/>
            </w:r>
            <w:r w:rsidR="0043365E" w:rsidRPr="0043365E">
              <w:rPr>
                <w:noProof/>
                <w:webHidden/>
              </w:rPr>
              <w:t>32</w:t>
            </w:r>
            <w:r w:rsidR="0043365E" w:rsidRPr="0043365E">
              <w:rPr>
                <w:noProof/>
                <w:webHidden/>
              </w:rPr>
              <w:fldChar w:fldCharType="end"/>
            </w:r>
          </w:hyperlink>
        </w:p>
        <w:p w14:paraId="7A1E4905" w14:textId="19D533B5" w:rsidR="0043365E" w:rsidRDefault="0043365E">
          <w:pPr>
            <w:rPr>
              <w:noProof/>
            </w:rPr>
          </w:pPr>
          <w:r w:rsidRPr="0043365E">
            <w:rPr>
              <w:b/>
              <w:bCs/>
              <w:noProof/>
            </w:rPr>
            <w:fldChar w:fldCharType="end"/>
          </w:r>
        </w:p>
      </w:sdtContent>
    </w:sdt>
    <w:p w14:paraId="5A01F25D" w14:textId="77777777" w:rsidR="00482E88" w:rsidRDefault="00482E88" w:rsidP="00482E88">
      <w:pPr>
        <w:rPr>
          <w:noProof/>
        </w:rPr>
      </w:pPr>
    </w:p>
    <w:p w14:paraId="17BBC203" w14:textId="77777777" w:rsidR="00482E88" w:rsidRDefault="00482E88" w:rsidP="00482E88">
      <w:pPr>
        <w:rPr>
          <w:noProof/>
        </w:rPr>
      </w:pPr>
    </w:p>
    <w:p w14:paraId="190EB9F8" w14:textId="77777777" w:rsidR="00482E88" w:rsidRDefault="00482E88" w:rsidP="00482E88">
      <w:pPr>
        <w:jc w:val="left"/>
        <w:rPr>
          <w:b/>
          <w:bCs/>
          <w:noProof/>
        </w:rPr>
      </w:pPr>
      <w:r>
        <w:rPr>
          <w:noProof/>
        </w:rPr>
        <w:br w:type="page"/>
      </w:r>
    </w:p>
    <w:p w14:paraId="65012081" w14:textId="77777777" w:rsidR="00482E88" w:rsidRDefault="00482E88" w:rsidP="00482E88">
      <w:pPr>
        <w:rPr>
          <w:noProof/>
        </w:rPr>
      </w:pPr>
      <w:bookmarkStart w:id="2" w:name="_Toc155286916"/>
    </w:p>
    <w:p w14:paraId="7748E4A7" w14:textId="77777777" w:rsidR="00482E88" w:rsidRPr="007663CA" w:rsidRDefault="00482E88" w:rsidP="0013325C">
      <w:pPr>
        <w:pStyle w:val="Heading1"/>
        <w:numPr>
          <w:ilvl w:val="0"/>
          <w:numId w:val="74"/>
        </w:numPr>
        <w:ind w:left="426" w:hanging="426"/>
        <w:rPr>
          <w:noProof/>
        </w:rPr>
      </w:pPr>
      <w:bookmarkStart w:id="3" w:name="_Toc160204874"/>
      <w:r>
        <w:rPr>
          <w:noProof/>
        </w:rPr>
        <w:t>Une vision au-delà de 2030</w:t>
      </w:r>
      <w:bookmarkEnd w:id="2"/>
      <w:bookmarkEnd w:id="3"/>
      <w:r>
        <w:rPr>
          <w:noProof/>
        </w:rPr>
        <w:t xml:space="preserve"> </w:t>
      </w:r>
    </w:p>
    <w:p w14:paraId="4278DB2C" w14:textId="08EB14B5" w:rsidR="00482E88" w:rsidRPr="007663CA" w:rsidRDefault="00482E88" w:rsidP="00482E88">
      <w:pPr>
        <w:rPr>
          <w:rFonts w:eastAsia="Times New Roman"/>
          <w:noProof/>
        </w:rPr>
      </w:pPr>
      <w:r>
        <w:rPr>
          <w:noProof/>
        </w:rPr>
        <w:t>Le changement climatique s’intensifie et entraîne des coûts réels de plus en plus élevés. En 2023, en raison d’une accélération sans précédent du dérèglement climatique, le réchauffement de la planète a atteint le niveau inédit de 1,48 °C par rapport aux niveaux préindustriels et s’est accompagné d’une hausse des températures océaniques et d’une fonte des glaces dans l’océan austral qui ont largement battu tous les records. Il est plus évident que jamais que, pour que le climat se stabilise et pour que la planète reste vivable pour les générations actuelles et futures, il faut réduire fortement et rapidement les émissions mondiales de gaz à effet de serre (GES) et se préparer aux conséquences futures du changement climatique (</w:t>
      </w:r>
      <w:r>
        <w:rPr>
          <w:rStyle w:val="FootnoteReference"/>
          <w:rFonts w:eastAsia="Times New Roman"/>
          <w:noProof/>
        </w:rPr>
        <w:footnoteReference w:id="2"/>
      </w:r>
      <w:r>
        <w:rPr>
          <w:noProof/>
        </w:rPr>
        <w:t>). Cette trajectoire peut et doit aller de pair avec la mise en place d’une société prospère et équitable, ainsi que d’une industrie et d’un secteur agricole de l’UE à la fois solides et adaptables dans une économie compétitive à l’échelle mondiale et de plus en plus durable qui profite à tous les citoyens, dans le respect des vingt principes du socle européen des droits sociaux et du plan d’action qui accompagne celui-ci.</w:t>
      </w:r>
    </w:p>
    <w:p w14:paraId="317CEE3E" w14:textId="77777777" w:rsidR="00482E88" w:rsidRPr="007663CA" w:rsidRDefault="00482E88" w:rsidP="00482E88">
      <w:pPr>
        <w:rPr>
          <w:rFonts w:eastAsia="Times New Roman"/>
          <w:noProof/>
        </w:rPr>
      </w:pPr>
      <w:r>
        <w:rPr>
          <w:noProof/>
        </w:rPr>
        <w:t>Les résultats de la COP 28 de Dubaï et le premier bilan mondial de l’action pour le climat montrent que le reste du monde, lui aussi, progresse rapidement dans cette voie. L’UE, qui a inscrit l’objectif de neutralité climatique à l’horizon 2050 dans sa législation, a joué un rôle de premier plan dans l’action pour le climat et continuera de le faire.</w:t>
      </w:r>
    </w:p>
    <w:p w14:paraId="20CC9066" w14:textId="090F5F13" w:rsidR="00482E88" w:rsidRDefault="00482E88" w:rsidP="00482E88">
      <w:pPr>
        <w:rPr>
          <w:rFonts w:eastAsia="Times New Roman"/>
          <w:noProof/>
        </w:rPr>
      </w:pPr>
      <w:r>
        <w:rPr>
          <w:noProof/>
        </w:rPr>
        <w:t>La vision de l’Europe à la fin de la prochaine décennie est globale: elle devrait rester une destination privilégiée pour des investissements qui créent des emplois de qualité stables et à l’épreuve du temps, dans un écosystème industriel robuste. L’Europe devrait jouer un rôle de chef de file dans le développement des marchés de technologies propres de demain, sur lesquels tous les grands pays et toutes les entreprises d’envergure cherchent à exploiter les débouchés commerciaux. Faire de l’Europe un continent où l’énergie est propre, d’un prix abordable et à faible intensité de carbone, et où les aliments et matériaux consommés sont durables, la rendra mieux à même de faire face aux crises futures, telles que celles qui sont actuellement causées par des ruptures de l’approvisionnement en combustibles fossiles. En conservant sa place de leader mondial et de partenaire de confiance dans l’action pour le climat, non seulement l’Europe renforcera son autonomie stratégique ouverte, mais elle diversifiera ses chaînes de valeur durables à l’échelle mondiale afin de prendre son destin en main dans un monde instable.</w:t>
      </w:r>
    </w:p>
    <w:p w14:paraId="563E656F" w14:textId="75A746EA" w:rsidR="00482E88" w:rsidRDefault="00482E88" w:rsidP="00482E88">
      <w:pPr>
        <w:rPr>
          <w:noProof/>
        </w:rPr>
      </w:pPr>
      <w:r>
        <w:rPr>
          <w:noProof/>
        </w:rPr>
        <w:t>Une action bien pensée dans le domaine climatique peut faire de cette vision une réalité pour l’Europe et ses citoyens. Le pacte vert pour l’Europe est la stratégie à long terme de l’UE en faveur de la croissance économique, de l’investissement et de l’innovation.  Sa mise en œuvre renforcera notamment l’indépendance énergétique de l’UE à l’égard des combustibles fossiles. En 2022, la valeur des importations de combustibles fossiles a grimpé en flèche, atteignant 640 milliards d’EUR (4,1 % du PIB), en raison de la guerre d’agression menée par la Russie contre l’Ukraine. En 2023, lorsque les prix ont fortement baissé, les coûts nets liés aux importations de combustibles fossiles représentaient environ 2,4 % du PIB (</w:t>
      </w:r>
      <w:r w:rsidRPr="116E47DA">
        <w:rPr>
          <w:rStyle w:val="FootnoteReference"/>
          <w:noProof/>
          <w:lang w:val="en-US"/>
        </w:rPr>
        <w:footnoteReference w:id="3"/>
      </w:r>
      <w:r>
        <w:rPr>
          <w:noProof/>
        </w:rPr>
        <w:t xml:space="preserve">). </w:t>
      </w:r>
    </w:p>
    <w:p w14:paraId="32C63C73" w14:textId="030CF121" w:rsidR="00482E88" w:rsidRDefault="00482E88" w:rsidP="00AF6F15">
      <w:pPr>
        <w:spacing w:after="0" w:line="240" w:lineRule="auto"/>
        <w:rPr>
          <w:noProof/>
        </w:rPr>
      </w:pPr>
      <w:r>
        <w:rPr>
          <w:noProof/>
        </w:rPr>
        <w:t>Il n’est pas tenable de fonder la croissance de l’économie sur les combustibles fossiles et le gaspillage des ressources. L’UE a montré que l’action pour le climat et le maintien de la croissance économique vont de pair lorsque l’on dissocie la croissance des émissions de gaz à effet de serre. Selon des données provisoires, les émissions nettes totales de gaz à effet de serre étaient inférieures de 32,5 % en 2022 à celles observées en 1990 (</w:t>
      </w:r>
      <w:r w:rsidRPr="007663CA">
        <w:rPr>
          <w:rStyle w:val="FootnoteReference"/>
          <w:noProof/>
        </w:rPr>
        <w:footnoteReference w:id="4"/>
      </w:r>
      <w:r>
        <w:rPr>
          <w:noProof/>
        </w:rPr>
        <w:t>), tandis que l’économie a connu une croissance de 67 % (</w:t>
      </w:r>
      <w:r>
        <w:rPr>
          <w:rStyle w:val="FootnoteReference"/>
          <w:noProof/>
        </w:rPr>
        <w:footnoteReference w:id="5"/>
      </w:r>
      <w:r>
        <w:rPr>
          <w:noProof/>
        </w:rPr>
        <w:t>). La productivité des matériaux a augmenté de 37,5 % entre 2000 et 2022 (</w:t>
      </w:r>
      <w:r w:rsidRPr="00AF6F15">
        <w:rPr>
          <w:noProof/>
          <w:vertAlign w:val="superscript"/>
        </w:rPr>
        <w:footnoteReference w:id="6"/>
      </w:r>
      <w:r>
        <w:rPr>
          <w:noProof/>
        </w:rPr>
        <w:t xml:space="preserve">). </w:t>
      </w:r>
    </w:p>
    <w:p w14:paraId="7A09DB8B" w14:textId="77777777" w:rsidR="00482E88" w:rsidRPr="009E40F5" w:rsidRDefault="00482E88" w:rsidP="00482E88">
      <w:pPr>
        <w:rPr>
          <w:noProof/>
          <w:lang w:val="fr-BE"/>
        </w:rPr>
      </w:pPr>
    </w:p>
    <w:p w14:paraId="6738668B" w14:textId="2D588402" w:rsidR="00482E88" w:rsidDel="004812A5" w:rsidRDefault="00482E88" w:rsidP="00482E88">
      <w:pPr>
        <w:rPr>
          <w:noProof/>
        </w:rPr>
      </w:pPr>
      <w:r>
        <w:rPr>
          <w:noProof/>
        </w:rPr>
        <w:t xml:space="preserve">Des technologies liées aux énergies renouvelables et à faibles émissions de carbone sont actuellement déployées à des niveaux inédits. L’UE a mis en place des installations permettant une production sans précédent de 17 GW de nouvelle énergie éolienne et de 56 GW d’énergie solaire (DC) en 2023. En 2022, environ 3 millions de pompes à chaleur ont été vendues. </w:t>
      </w:r>
    </w:p>
    <w:p w14:paraId="79C2D6DB" w14:textId="3D861AAD" w:rsidR="00482E88" w:rsidRPr="002C3BD6" w:rsidRDefault="00482E88" w:rsidP="00482E88">
      <w:pPr>
        <w:rPr>
          <w:rFonts w:eastAsia="Times New Roman"/>
          <w:noProof/>
        </w:rPr>
      </w:pPr>
      <w:r>
        <w:rPr>
          <w:noProof/>
        </w:rPr>
        <w:t xml:space="preserve">La loi européenne sur le climat a chargé la Commission de proposer un objectif intermédiaire au plus tard dans les six mois suivant le bilan mondial réalisé dans le cadre de l’accord de Paris. Par conséquent, conformément à l’avis scientifique du conseil scientifique consultatif européen sur le changement climatique et sur la base d’une analyse d’impact détaillée, la présente communication propose un objectif recommandé pour 2040 de 90 % de réduction des émissions nettes de gaz à effet de serre par rapport aux niveaux de 1990 (ci-après l’«objectif pour 2040»). Cet objectif devrait garantir que le budget global correspondant en matière d’émissions de gaz à effet de serre pour l’UE d’ici à 2050 respecte les dispositions de la loi européenne sur le climat et définit une trajectoire crédible vers une société forte et durable en Europe. </w:t>
      </w:r>
    </w:p>
    <w:p w14:paraId="42B99322" w14:textId="617721F0" w:rsidR="00482E88" w:rsidRPr="001C494F" w:rsidRDefault="00482E88" w:rsidP="00482E88">
      <w:pPr>
        <w:rPr>
          <w:rFonts w:eastAsia="Times New Roman"/>
          <w:noProof/>
        </w:rPr>
      </w:pPr>
      <w:r>
        <w:rPr>
          <w:noProof/>
        </w:rPr>
        <w:t>La réalisation de cet objectif nécessitera la réunion d’un certain nombre de conditions favorisantes, et notamment la mise en œuvre intégrale du cadre convenu pour 2030, la préservation de la compétitivité de l’industrie européenne, une plus grande attention accordée à une transition juste qui ne laisse personne de côté, la mise en place de conditions de concurrence équitables avec les partenaires internationaux et la conduite d’un dialogue stratégique sur le cadre pour l’après-2030, notamment avec l’industrie et le secteur agricole.</w:t>
      </w:r>
    </w:p>
    <w:p w14:paraId="644E57B1" w14:textId="77777777" w:rsidR="00482E88" w:rsidRPr="002C3BD6" w:rsidRDefault="00482E88" w:rsidP="00482E88">
      <w:pPr>
        <w:rPr>
          <w:rFonts w:eastAsia="Times New Roman"/>
          <w:noProof/>
        </w:rPr>
      </w:pPr>
      <w:r>
        <w:rPr>
          <w:noProof/>
        </w:rPr>
        <w:t>L’objectif de la présente communication est de lancer le débat politique et d’éclairer la préparation du cadre pour l’après-2030. Elle ne propose pas de nouvelles mesures, pas plus qu’elle ne fixe de nouveaux objectifs sectoriels.</w:t>
      </w:r>
    </w:p>
    <w:p w14:paraId="140C1011" w14:textId="1F0E656A" w:rsidR="00374D9E" w:rsidRPr="001A0927" w:rsidRDefault="00482E88" w:rsidP="00482E88">
      <w:pPr>
        <w:spacing w:after="240"/>
        <w:rPr>
          <w:noProof/>
        </w:rPr>
      </w:pPr>
      <w:r>
        <w:rPr>
          <w:noProof/>
        </w:rPr>
        <w:t>Pour autant, la stabilité et la mise en œuvre intégrale du cadre législatif en vigueur visant à atteindre les objectifs en matière de climat et d’énergie d’ici à 2030 sont indispensables pour que l’UE reste sur la voie de la réalisation de l’objectif pour 2040 afin d’atteindre la neutralité climatique en 2050 et tire pleinement parti des possibilités offertes par la transition. En fait, le prolongement des politiques actuelles d’ici à 2040 entraînerait déjà une réduction de 88 % à cette date. Accélérer dès à présent la décarbonation sur la voie de la neutralité climatique à l’horizon 2050 réduira considérablement les importations de combustibles fossiles (de 80 % en 2040) et, partant, offrira une meilleure protection contre les chocs de prix et créera un marché pilote dans le domaine des technologies propres, renforçant ainsi l’autonomie stratégique ouverte et la compétitivité de l’UE.  Il convient toutefois de mettre davantage l’accent sur un cadre garantissant que tous les citoyens tirent avantage de la transition climatique, dès aujourd’hui et au cours des prochaines décennies. Par exemple, le pacte vert pour l’Europe doit aussi être un pacte pour la décarbonation industrielle. L’Europe a besoin d’une meilleure intégration de l’emploi et des compétences ainsi que des aspects sociaux et distributifs dans l’action pour le climat, de même que d’un cadre propice à la décarbonation de l’industrie dans le contexte des efforts vers une croissance économique durable, et de conditions de concurrence équitables au niveau mondial pour que les entreprises vertes puissent prospérer. Une planification est également indispensable en Europe en ce qui concerne les infrastructures nécessaires en matière d’énergie et de transport. Ces aspects seront pris en compte dans les prochains réexamens que prévoient déjà des mesures existantes de l’UE afin de garantir la concrétisation effective des objectifs que celle-ci s’est fixés pour 2030.</w:t>
      </w:r>
    </w:p>
    <w:p w14:paraId="66EE6EF2" w14:textId="6FEF602A" w:rsidR="00374D9E" w:rsidRDefault="00374D9E" w:rsidP="00482E88">
      <w:pPr>
        <w:spacing w:after="240"/>
        <w:rPr>
          <w:noProof/>
        </w:rPr>
      </w:pPr>
      <w:r>
        <w:rPr>
          <w:noProof/>
        </w:rPr>
        <w:t>De plus, l’Europe devra mobiliser la juste combinaison d’investissements du secteur public et du secteur privé afin de rendre son économie à la fois durable et compétitive. Dans ce domaine, une approche européenne en matière de financement sera nécessaire dans les années à venir, en étroite coopération avec les États membres, afin de générer des économies d’échelle et de gamme, tout en limitant la fragmentation des efforts et l’aggravation des déséquilibres régionaux.</w:t>
      </w:r>
    </w:p>
    <w:p w14:paraId="2C870110" w14:textId="5CBA3E28" w:rsidR="00482E88" w:rsidRPr="00EF773A" w:rsidRDefault="00482E88" w:rsidP="00482E88">
      <w:pPr>
        <w:spacing w:after="240"/>
        <w:rPr>
          <w:noProof/>
        </w:rPr>
      </w:pPr>
    </w:p>
    <w:p w14:paraId="52407B88" w14:textId="77777777" w:rsidR="00482E88" w:rsidRPr="007663CA" w:rsidRDefault="00482E88" w:rsidP="00482E88">
      <w:pPr>
        <w:rPr>
          <w:rFonts w:eastAsia="Times New Roman"/>
          <w:noProof/>
        </w:rPr>
      </w:pPr>
      <w:r>
        <w:rPr>
          <w:noProof/>
        </w:rPr>
        <w:t xml:space="preserve">De nombreux investissements à effectuer pour atteindre les objectifs en matière de climat et d’énergie d’ici à 2030 ont des répercussions qui se feront sentir sur des décennies. La définition, dès à présent, d’un objectif en matière de climat pour 2040 garantira la prévisibilité des investissements. Elle aidera les décideurs de l’UE, les États membres et les acteurs concernés à prendre les décisions nécessaires au cours de cette décennie critique, de manière que celles-ci soient compatibles avec l’objectif pour 2040 et l’objectif de neutralité climatique, en réduisant autant que possible le risque de s’enferrer dans des trajectoires sous-optimales coûteuses et de créer des actifs échoués. </w:t>
      </w:r>
    </w:p>
    <w:p w14:paraId="0ECFFD81" w14:textId="7EC95E8C" w:rsidR="00482E88" w:rsidRDefault="00482E88" w:rsidP="00482E88">
      <w:pPr>
        <w:pStyle w:val="pf0"/>
        <w:jc w:val="both"/>
        <w:rPr>
          <w:noProof/>
        </w:rPr>
      </w:pPr>
      <w:r>
        <w:rPr>
          <w:noProof/>
        </w:rPr>
        <w:t xml:space="preserve">L’impératif d’une transition juste est au cœur du pacte vert pour l’Europe, compte tenu des préoccupations de certains citoyens et acteurs industriels quant aux risques et aux coûts de la transition climatique et énergétique. L’action pour le climat doit être l’affaire de tous, et une attention particulière doit être accordée au soutien de celles et ceux qui sont confrontés aux plus grands défis. </w:t>
      </w:r>
      <w:bookmarkStart w:id="4" w:name="_Hlk157173186"/>
      <w:r>
        <w:rPr>
          <w:noProof/>
        </w:rPr>
        <w:t>C’est pourquoi la présente communication marque le début d’un dialogue et d’une vaste sensibilisation des citoyens, des entreprises, des partenaires sociaux, des ONG, du monde universitaire et d’autres acteurs concernés sur la bonne voie à suivre d’ici à 2040 pour atteindre la neutralité climatique à l’horizon 2050. Un tel échange avec les milieux industriels a déjà lieu dans le cadre de dialogues sur la transition propre organisés avec les principaux secteurs industriels; il sera poursuivi et étendu, y compris dans une perspective à l’horizon 2040. Le dialogue stratégique sur l’avenir de l’agriculture, mené avec les agriculteurs et d’autres acteurs de la chaîne alimentaire, a également été lancé. En outre, un dialogue structuré et systématique avec les partenaires sociaux devrait être renforcé afin de garantir leur contribution, en mettant l’accent sur l’emploi, y compris la disponibilité de postes pour les travailleurs amenés à changer d’emploi, la mobilité, la qualité de l’emploi et les investissements dans la reconversion et le perfectionnement professionnels. La Commission présentera le bilan des dialogues sur la transition propre avant la réunion extraordinaire du Conseil européen d’avril prochain. Ces dialogues et actions de sensibilisation permettront à la prochaine Commission de présenter des propositions législatives concernant le cadre d’action pour l’après-2030, qui seront nécessaires pour que l’UE puisse atteindre l’objectif fixé pour 2040 de manière rentable et équitable.</w:t>
      </w:r>
    </w:p>
    <w:p w14:paraId="5C3D0352" w14:textId="77777777" w:rsidR="00482E88" w:rsidRPr="007663CA" w:rsidRDefault="00482E88" w:rsidP="00482E88">
      <w:pPr>
        <w:pStyle w:val="Heading1"/>
        <w:rPr>
          <w:noProof/>
        </w:rPr>
      </w:pPr>
      <w:bookmarkStart w:id="5" w:name="_Toc157365422"/>
      <w:bookmarkStart w:id="6" w:name="_Toc160204875"/>
      <w:bookmarkEnd w:id="4"/>
      <w:bookmarkEnd w:id="5"/>
      <w:r>
        <w:rPr>
          <w:noProof/>
        </w:rPr>
        <w:t>Une action mondiale ambitieuse pour le climat</w:t>
      </w:r>
      <w:bookmarkEnd w:id="6"/>
      <w:r>
        <w:rPr>
          <w:noProof/>
        </w:rPr>
        <w:t xml:space="preserve"> </w:t>
      </w:r>
    </w:p>
    <w:p w14:paraId="2BB5493E" w14:textId="77777777" w:rsidR="00482E88" w:rsidRPr="007663CA" w:rsidRDefault="00482E88" w:rsidP="00482E88">
      <w:pPr>
        <w:spacing w:line="257" w:lineRule="auto"/>
        <w:rPr>
          <w:rFonts w:eastAsia="Times New Roman"/>
          <w:noProof/>
        </w:rPr>
      </w:pPr>
      <w:r>
        <w:rPr>
          <w:noProof/>
        </w:rPr>
        <w:t xml:space="preserve">Le premier bilan mondial effectué dans le cadre de l’accord de Paris a permis de constater que les parties mettent en place des politiques climatiques de plus en plus efficaces, mais qu’il est urgent de prendre des mesures supplémentaires pour que le monde entier s’engage tout à fait sur la voie de la réalisation des objectifs de cet accord.  </w:t>
      </w:r>
    </w:p>
    <w:p w14:paraId="64C78AF1" w14:textId="77777777" w:rsidR="00482E88" w:rsidRPr="007663CA" w:rsidRDefault="00482E88" w:rsidP="00482E88">
      <w:pPr>
        <w:spacing w:line="257" w:lineRule="auto"/>
        <w:rPr>
          <w:rFonts w:eastAsia="Times New Roman"/>
          <w:noProof/>
        </w:rPr>
      </w:pPr>
      <w:r>
        <w:rPr>
          <w:noProof/>
        </w:rPr>
        <w:t>Lors de la COP 28, les parties sont convenues que la limitation du réchauffement de la planète à 1,5 °C nécessite des réductions profondes, rapides et durables des émissions mondiales de gaz à effet de serre, de l’ordre de 43 % d’ici à 2030 et de 60 % d’ici à 2035 par rapport aux niveaux de 2019, de même que la concrétisation de l’objectif de zéro émission nette de CO</w:t>
      </w:r>
      <w:r>
        <w:rPr>
          <w:noProof/>
          <w:vertAlign w:val="subscript"/>
        </w:rPr>
        <w:t>2</w:t>
      </w:r>
      <w:r>
        <w:rPr>
          <w:noProof/>
        </w:rPr>
        <w:t xml:space="preserve"> à l’échelle mondiale à l’horizon 2050. Le bilan mondial a souligné que l’ère des combustibles fossiles devait prendre fin, reconnaissant la nécessité pour tous d’abandonner ces combustibles. L’accord invite également les parties à tripler la capacité mondiale de production d’énergie à partir de sources renouvelables et à doubler le taux d’amélioration de l’efficacité énergétique d’ici à 2030, ainsi qu’à accélérer les efforts déployés à l’échelle mondiale en faveur de systèmes énergétiques à zéro émission nette, par l’utilisation de carburants à émissions de carbone faibles ou nulles bien avant ou vers le milieu du siècle. Tout en insistant sur l’importance d’une transition juste, il appelle aussi à accélérer les efforts visant à réduire petit à petit l’utilisation de charbon sans dispositif d’atténuation et les émissions provenant du transport routier, à lutter contre les émissions de méthane et de gaz autres le CO</w:t>
      </w:r>
      <w:r>
        <w:rPr>
          <w:noProof/>
          <w:vertAlign w:val="subscript"/>
        </w:rPr>
        <w:t>2</w:t>
      </w:r>
      <w:r>
        <w:rPr>
          <w:noProof/>
        </w:rPr>
        <w:t xml:space="preserve"> durant la décennie actuelle et à supprimer progressivement, dès que possible, les éventuelles subventions inefficaces en faveur des combustibles fossiles qui ne remédient pas à la précarité énergétique ou à la situation des groupes vulnérables. Cela nécessitera un changement des schémas d’investissement dans le monde entier pour faire en sorte que les flux financiers soient compatibles avec des trajectoires de développement à faibles émissions et résilientes face au changement climatique.</w:t>
      </w:r>
    </w:p>
    <w:p w14:paraId="562A1AF6" w14:textId="2594DF26" w:rsidR="00482E88" w:rsidRPr="00912C91" w:rsidRDefault="00482E88" w:rsidP="00482E88">
      <w:pPr>
        <w:spacing w:line="257" w:lineRule="auto"/>
        <w:rPr>
          <w:noProof/>
        </w:rPr>
      </w:pPr>
      <w:r>
        <w:rPr>
          <w:noProof/>
        </w:rPr>
        <w:t xml:space="preserve">Les résultats de la COP 28 établissent le niveau minimal d’action escompté pour l’ensemble de la communauté mondiale et engagent d’autres parties sur la voie que l’UE est déjà en train de suivre.  L’UE continuera à contribuer à la mise à disposition des moyens requis et à la création de la dynamique nécessaire à une action mondiale renforcée, ainsi qu’à persuader et à aider d’autres pays à lui emboîter le pas.  </w:t>
      </w:r>
    </w:p>
    <w:p w14:paraId="28594049" w14:textId="77777777" w:rsidR="00482E88" w:rsidRDefault="00482E88" w:rsidP="00482E88">
      <w:pPr>
        <w:spacing w:line="257" w:lineRule="auto"/>
        <w:rPr>
          <w:noProof/>
        </w:rPr>
      </w:pPr>
      <w:r>
        <w:rPr>
          <w:noProof/>
        </w:rPr>
        <w:t>En s’appuyant sur le succès de la stratégie «Global Gateway» et les perspectives ouvertes par celle-ci, la coopération internationale s’étendra à de nouveaux domaines dans la droite ligne des engagements collectifs du bilan mondial et des nouvelles possibilités technologiques. Le financement de la lutte contre le changement climatique restera un aspect primordial de la contribution de l’UE à l’action mondiale pour le climat. L’UE, avec ses États membres et la Banque européenne d’investissement (BEI), est le principal bailleur de fonds publics destinés à lutter contre le changement climatique dans les économies en développement, avec un montant total de 28,5 milliards d’EUR alloué en 2022 et la mobilisation de 11,9 milliards d’EUR supplémentaires de fonds privés.</w:t>
      </w:r>
    </w:p>
    <w:p w14:paraId="03040019" w14:textId="77777777" w:rsidR="00482E88" w:rsidRDefault="00482E88" w:rsidP="00482E88">
      <w:pPr>
        <w:rPr>
          <w:noProof/>
        </w:rPr>
      </w:pPr>
      <w:r>
        <w:rPr>
          <w:noProof/>
        </w:rPr>
        <w:t>L’UE et ses États membres renforceront encore la diplomatie climatique dans les enceintes bilatérales, plurilatérales (G7, G20, OCDE et Club climat, entre autres) et multilatérales.</w:t>
      </w:r>
    </w:p>
    <w:p w14:paraId="4B846ED0" w14:textId="64690A25" w:rsidR="00482E88" w:rsidRDefault="00482E88" w:rsidP="00482E88">
      <w:pPr>
        <w:rPr>
          <w:rFonts w:eastAsia="Times New Roman"/>
          <w:noProof/>
        </w:rPr>
      </w:pPr>
      <w:r>
        <w:rPr>
          <w:noProof/>
        </w:rPr>
        <w:t>La Commission constituera une task-force spécifique afin de partager son savoir-faire et de déployer du personnel en vue de la création de marchés du carbone, de l’élaboration d’une approche mondiale en matière de tarification du carbone (</w:t>
      </w:r>
      <w:r w:rsidR="001B6F27">
        <w:rPr>
          <w:rStyle w:val="FootnoteReference"/>
          <w:rFonts w:eastAsia="Times New Roman"/>
          <w:noProof/>
        </w:rPr>
        <w:footnoteReference w:id="7"/>
      </w:r>
      <w:r>
        <w:rPr>
          <w:noProof/>
        </w:rPr>
        <w:t xml:space="preserve">), de l’intensification de sa diplomatie liée au marché du carbone dans le monde entier ainsi que de ses efforts pour reproduire le succès du système d’échange de quotas d’émission de l’UE (ci-après le «SEQE») en encourageant et en aidant d’autres pays et territoires à mettre en place ou à améliorer leur propre mécanisme de tarification du carbone. </w:t>
      </w:r>
    </w:p>
    <w:p w14:paraId="329BF017" w14:textId="2CB7130C" w:rsidR="00482E88" w:rsidRPr="00F665EE" w:rsidRDefault="00482E88" w:rsidP="00482E88">
      <w:pPr>
        <w:rPr>
          <w:rFonts w:eastAsia="Times New Roman"/>
          <w:noProof/>
          <w:highlight w:val="magenta"/>
        </w:rPr>
      </w:pPr>
      <w:r>
        <w:rPr>
          <w:noProof/>
        </w:rPr>
        <w:t>La mise en œuvre progressive du mécanisme d’ajustement carbone aux frontières (MACF), qui est entré en vigueur, au titre d’une période transitoire, le 1</w:t>
      </w:r>
      <w:r>
        <w:rPr>
          <w:noProof/>
          <w:vertAlign w:val="superscript"/>
        </w:rPr>
        <w:t>er</w:t>
      </w:r>
      <w:r>
        <w:rPr>
          <w:noProof/>
        </w:rPr>
        <w:t xml:space="preserve"> octobre 2023, incite également les gouvernements à recourir à des mesures de tarification pour réduire les émissions, et les industries à réduire leurs émissions de gaz à effet de serre, sur la base d’une méthode susceptible d’être appliquée à l’échelle internationale. </w:t>
      </w:r>
    </w:p>
    <w:p w14:paraId="23567AA0" w14:textId="77777777" w:rsidR="00482E88" w:rsidRPr="008547EA" w:rsidRDefault="00482E88" w:rsidP="00482E88">
      <w:pPr>
        <w:spacing w:line="257" w:lineRule="auto"/>
        <w:rPr>
          <w:rFonts w:eastAsia="Times New Roman"/>
          <w:noProof/>
        </w:rPr>
      </w:pPr>
      <w:r>
        <w:rPr>
          <w:noProof/>
        </w:rPr>
        <w:t xml:space="preserve">Compte tenu de l’instabilité de l’environnement géopolitique, l’UE continuera à nouer des partenariats stables avec des pays partageant la même optique. Les alliances et partenariats verts conclus avec des partenaires depuis 2021 aideront l’UE et les partenaires à garder le cap vers la neutralité climatique. Ces initiatives élargiront et approfondiront les partenariats avec des fournisseurs internationaux fiables, y compris des pays voisins, afin de garantir la sécurité énergétique à long terme de l’UE et la prévisibilité de l’approvisionnement tout au long de la transition énergétique. Cela contribuera à réduire les dépendances vis-à-vis de l’extérieur ainsi que les coûts, tout en atténuant les risques liés aux chaînes d’approvisionnement. Partant, les entreprises et la société européennes seront à même de tirer parti de la transition mondiale et de la demande croissante de technologies propres, parallèlement à des instruments d’action visant à garantir la résilience de l’approvisionnement de l’UE en technologies «zéro net». </w:t>
      </w:r>
    </w:p>
    <w:p w14:paraId="47AAFE8D" w14:textId="77777777" w:rsidR="00482E88" w:rsidRPr="007663CA" w:rsidRDefault="00482E88" w:rsidP="00482E88">
      <w:pPr>
        <w:spacing w:line="257" w:lineRule="auto"/>
        <w:rPr>
          <w:noProof/>
          <w:sz w:val="22"/>
          <w:szCs w:val="22"/>
        </w:rPr>
      </w:pPr>
      <w:r>
        <w:rPr>
          <w:noProof/>
        </w:rPr>
        <w:t>Les accords commerciaux peuvent contribuer à la promotion de l’action pour le climat et à la réalisation de nos objectifs, tout en garantissant que le système commercial international reste équitable et non discriminatoire. La politique commerciale peut stimuler l’innovation, par la promotion des chaînes de valeur durables et la mise en place d’un accès au marché pour les technologies et produits propres.</w:t>
      </w:r>
      <w:r>
        <w:rPr>
          <w:i/>
          <w:noProof/>
          <w:sz w:val="22"/>
        </w:rPr>
        <w:t xml:space="preserve"> </w:t>
      </w:r>
    </w:p>
    <w:p w14:paraId="05F44A6E" w14:textId="77777777" w:rsidR="00482E88" w:rsidRPr="007663CA" w:rsidRDefault="00482E88" w:rsidP="00482E88">
      <w:pPr>
        <w:rPr>
          <w:noProof/>
        </w:rPr>
      </w:pPr>
      <w:r>
        <w:rPr>
          <w:noProof/>
        </w:rPr>
        <w:t>Compte tenu de la dynamique importante en matière d’élargissement de l’UE, la Commission aidera les pays candidats et les pays candidats potentiels à s’aligner sur l’acquis de l’UE en matière de climat et d’énergie et à l’adopter, y compris la loi européenne sur le climat. Il s’agit notamment de mettre en œuvre les engagements pris dans le contexte de la Communauté de l’énergie pour atteindre les objectifs en matière de climat et d’énergie d’ici à 2030 et de parvenir à la neutralité climatique à l’horizon 2050, dans un cadre fondé sur le règlement sur la gouvernance de l’union de l’énergie.</w:t>
      </w:r>
      <w:r>
        <w:rPr>
          <w:noProof/>
          <w:color w:val="000000" w:themeColor="text1"/>
        </w:rPr>
        <w:t xml:space="preserve"> </w:t>
      </w:r>
      <w:r>
        <w:rPr>
          <w:noProof/>
        </w:rPr>
        <w:t xml:space="preserve">L’engagement en faveur de l’objectif pour 2040 et la transition en vue de sa concrétisation joueront également un rôle important dans le processus d’adhésion des futurs États membres de l’UE. </w:t>
      </w:r>
    </w:p>
    <w:p w14:paraId="07D82453" w14:textId="68DC5BCD" w:rsidR="00482E88" w:rsidRPr="0089171E" w:rsidRDefault="00482E88" w:rsidP="00482E88">
      <w:pPr>
        <w:rPr>
          <w:noProof/>
        </w:rPr>
      </w:pPr>
      <w:r>
        <w:rPr>
          <w:noProof/>
        </w:rPr>
        <w:t xml:space="preserve">L’objectif pour 2040, une fois adopté, constituera la base de la nouvelle contribution déterminée au niveau national (ci-après la «CDN») de l’UE au titre de l’accord de Paris, qui sera transmise au secrétariat de la CCNUCC en 2025, dans la perspective de la COP 30. Dès que l’objectif pour 2040 aura été convenu, un chiffre concernant les émissions nettes de gaz à effet de serre pour l’UE en 2035 sera calculé et sera communiqué dans la nouvelle CDN. </w:t>
      </w:r>
    </w:p>
    <w:p w14:paraId="09F626C6" w14:textId="77777777" w:rsidR="00482E88" w:rsidRPr="007663CA" w:rsidRDefault="00482E88" w:rsidP="00482E88">
      <w:pPr>
        <w:pStyle w:val="Heading1"/>
        <w:rPr>
          <w:noProof/>
        </w:rPr>
      </w:pPr>
      <w:bookmarkStart w:id="7" w:name="_Toc155286918"/>
      <w:bookmarkStart w:id="8" w:name="_Toc160204876"/>
      <w:r>
        <w:rPr>
          <w:noProof/>
        </w:rPr>
        <w:t>L’objectif pour 2040 et la voie vers la neutralité climatique</w:t>
      </w:r>
      <w:bookmarkEnd w:id="7"/>
      <w:bookmarkEnd w:id="8"/>
    </w:p>
    <w:p w14:paraId="433A2A42" w14:textId="77777777" w:rsidR="00482E88" w:rsidRPr="007663CA" w:rsidRDefault="00482E88" w:rsidP="00482E88">
      <w:pPr>
        <w:pStyle w:val="Heading2"/>
        <w:rPr>
          <w:noProof/>
        </w:rPr>
      </w:pPr>
      <w:bookmarkStart w:id="9" w:name="_Toc160204877"/>
      <w:r>
        <w:rPr>
          <w:noProof/>
        </w:rPr>
        <w:t>L’objectif</w:t>
      </w:r>
      <w:bookmarkEnd w:id="9"/>
    </w:p>
    <w:p w14:paraId="297405E3" w14:textId="7B54BF4B" w:rsidR="00482E88" w:rsidRDefault="00482E88" w:rsidP="00482E88">
      <w:pPr>
        <w:rPr>
          <w:noProof/>
        </w:rPr>
      </w:pPr>
      <w:r>
        <w:rPr>
          <w:noProof/>
        </w:rPr>
        <w:t xml:space="preserve">Afin de mettre l’UE résolument sur la voie de la neutralité climatique, la présente communication propose </w:t>
      </w:r>
      <w:r>
        <w:rPr>
          <w:b/>
          <w:bCs/>
          <w:noProof/>
        </w:rPr>
        <w:t>un objectif recommandé pour 2040 de 90 % de réduction des émissions nettes de gaz à effet de serre par rapport aux niveaux de 1990</w:t>
      </w:r>
      <w:r>
        <w:rPr>
          <w:noProof/>
        </w:rPr>
        <w:t xml:space="preserve"> (ci-après l’«objectif pour 2040»).</w:t>
      </w:r>
      <w:r>
        <w:rPr>
          <w:b/>
          <w:noProof/>
        </w:rPr>
        <w:t xml:space="preserve"> </w:t>
      </w:r>
      <w:r>
        <w:rPr>
          <w:noProof/>
        </w:rPr>
        <w:t>Il ressort de l’analyse d’impact que, pour parvenir à réduire de 90 % les émissions nettes de gaz à effet de serre, le niveau des émissions restantes de ces gaz en 2040 pour l’UE devrait être inférieur à 850 Mt éq. CO</w:t>
      </w:r>
      <w:r>
        <w:rPr>
          <w:noProof/>
          <w:vertAlign w:val="subscript"/>
        </w:rPr>
        <w:t>2</w:t>
      </w:r>
      <w:r>
        <w:rPr>
          <w:noProof/>
        </w:rPr>
        <w:t> (</w:t>
      </w:r>
      <w:r w:rsidRPr="00E1176C">
        <w:rPr>
          <w:rStyle w:val="FootnoteReference"/>
          <w:noProof/>
        </w:rPr>
        <w:footnoteReference w:id="8"/>
      </w:r>
      <w:r>
        <w:rPr>
          <w:noProof/>
        </w:rPr>
        <w:t>) et les absorptions de carbone (de l’atmosphère par des absorptions industrielles et par les sols) devraient atteindre jusqu’à 400 Mt CO</w:t>
      </w:r>
      <w:r>
        <w:rPr>
          <w:noProof/>
          <w:vertAlign w:val="subscript"/>
        </w:rPr>
        <w:t>2</w:t>
      </w:r>
      <w:r>
        <w:rPr>
          <w:noProof/>
        </w:rPr>
        <w:t>.</w:t>
      </w:r>
    </w:p>
    <w:p w14:paraId="63129C1F" w14:textId="7D3B97AE" w:rsidR="00482E88" w:rsidRPr="007663CA" w:rsidRDefault="00482E88" w:rsidP="00482E88">
      <w:pPr>
        <w:rPr>
          <w:rFonts w:eastAsia="Times New Roman"/>
          <w:noProof/>
        </w:rPr>
      </w:pPr>
      <w:r>
        <w:rPr>
          <w:noProof/>
        </w:rPr>
        <w:t>L’objectif proposé repose sur une analyse d’impact approfondie (</w:t>
      </w:r>
      <w:r w:rsidRPr="00482E88">
        <w:rPr>
          <w:rStyle w:val="FootnoteReference"/>
          <w:noProof/>
          <w:highlight w:val="lightGray"/>
        </w:rPr>
        <w:footnoteReference w:id="9"/>
      </w:r>
      <w:r>
        <w:rPr>
          <w:noProof/>
        </w:rPr>
        <w:t>), qui a examiné en détail les conséquences de trois objectifs envisageables pour 2040:</w:t>
      </w:r>
    </w:p>
    <w:p w14:paraId="5BFC361D" w14:textId="77777777" w:rsidR="00482E88" w:rsidRPr="007663CA" w:rsidRDefault="00482E88" w:rsidP="00482E88">
      <w:pPr>
        <w:pStyle w:val="ListParagraph"/>
        <w:numPr>
          <w:ilvl w:val="0"/>
          <w:numId w:val="58"/>
        </w:numPr>
        <w:spacing w:after="240"/>
        <w:rPr>
          <w:noProof/>
        </w:rPr>
      </w:pPr>
      <w:r>
        <w:rPr>
          <w:noProof/>
        </w:rPr>
        <w:t>option 1: réduction allant jusqu’à 80 % par rapport à 1990, compatible avec une trajectoire linéaire entre 2030 et 2050 (</w:t>
      </w:r>
      <w:r w:rsidRPr="007663CA">
        <w:rPr>
          <w:rStyle w:val="FootnoteReference"/>
          <w:noProof/>
        </w:rPr>
        <w:footnoteReference w:id="10"/>
      </w:r>
      <w:r>
        <w:rPr>
          <w:noProof/>
        </w:rPr>
        <w:t>);</w:t>
      </w:r>
    </w:p>
    <w:p w14:paraId="75B4E31A" w14:textId="1636BB4C" w:rsidR="00482E88" w:rsidRPr="007663CA" w:rsidRDefault="00482E88" w:rsidP="00482E88">
      <w:pPr>
        <w:pStyle w:val="ListParagraph"/>
        <w:numPr>
          <w:ilvl w:val="0"/>
          <w:numId w:val="58"/>
        </w:numPr>
        <w:spacing w:after="240"/>
        <w:rPr>
          <w:noProof/>
        </w:rPr>
      </w:pPr>
      <w:r>
        <w:rPr>
          <w:noProof/>
        </w:rPr>
        <w:t xml:space="preserve">option 2: une réduction de 85 à 90 %, compatible avec le niveau de réduction des émissions nettes de gaz à effet de serre qui serait atteint si le cadre d’action actuel était prolongé jusqu’en 2040; et  </w:t>
      </w:r>
    </w:p>
    <w:p w14:paraId="37796437" w14:textId="77777777" w:rsidR="00482E88" w:rsidRPr="007663CA" w:rsidRDefault="00482E88" w:rsidP="00482E88">
      <w:pPr>
        <w:pStyle w:val="ListParagraph"/>
        <w:numPr>
          <w:ilvl w:val="0"/>
          <w:numId w:val="58"/>
        </w:numPr>
        <w:spacing w:after="240"/>
        <w:rPr>
          <w:noProof/>
        </w:rPr>
      </w:pPr>
      <w:r>
        <w:rPr>
          <w:noProof/>
        </w:rPr>
        <w:t xml:space="preserve">option 3: une réduction de 90 à 95 %. </w:t>
      </w:r>
    </w:p>
    <w:p w14:paraId="470670EA" w14:textId="77777777" w:rsidR="00482E88" w:rsidRDefault="00482E88" w:rsidP="00482E88">
      <w:pPr>
        <w:tabs>
          <w:tab w:val="left" w:pos="5103"/>
        </w:tabs>
        <w:spacing w:after="0"/>
        <w:rPr>
          <w:noProof/>
        </w:rPr>
      </w:pPr>
    </w:p>
    <w:p w14:paraId="5D26A02A" w14:textId="4CBC0782" w:rsidR="00482E88" w:rsidRPr="007663CA" w:rsidRDefault="00482E88" w:rsidP="00482E88">
      <w:pPr>
        <w:spacing w:after="240"/>
        <w:rPr>
          <w:noProof/>
        </w:rPr>
      </w:pPr>
      <w:r>
        <w:rPr>
          <w:noProof/>
        </w:rPr>
        <w:t xml:space="preserve">Les objectifs envisagés se distinguent nettement les uns des autres pour ce qui est du rôle des nouvelles technologies. Par rapport à l’option 2, l’option 3 suppose des investissements plus rapides, entre 2031 et 2040, en faveur du déploiement de nouvelles technologies bas carbone, telles que la production d’hydrogène par électrolyse, le captage et l’utilisation du carbone ou les absorptions industrielles de carbone. Avec l’option 1, le déploiement des nouvelles technologies est reporté à la période 2041-2050, de sorte que la neutralité climatique à l’horizon 2050 pourrait ne pas être atteinte. L’option 3 anticipe la multitude d’absorptions de carbone qui seront nécessaires pour atteindre la neutralité climatique à l’horizon 2050 et parvenir à des émissions nettes négatives par la suite. </w:t>
      </w:r>
    </w:p>
    <w:p w14:paraId="2DDB5F53" w14:textId="6478E934" w:rsidR="00482E88" w:rsidRPr="007663CA" w:rsidRDefault="00482E88" w:rsidP="00482E88">
      <w:pPr>
        <w:spacing w:after="240"/>
        <w:rPr>
          <w:noProof/>
        </w:rPr>
      </w:pPr>
      <w:r>
        <w:rPr>
          <w:noProof/>
        </w:rPr>
        <w:t>L’option 3 donne lieu au plus faible budget de l’UE en matière de gaz à effet de serre, avec des émissions cumulées nettes (le budget indicatif en matière de gaz à effet de serre) de 16 Gt éq. CO</w:t>
      </w:r>
      <w:r>
        <w:rPr>
          <w:noProof/>
          <w:vertAlign w:val="subscript"/>
        </w:rPr>
        <w:t>2</w:t>
      </w:r>
      <w:r>
        <w:rPr>
          <w:noProof/>
        </w:rPr>
        <w:t xml:space="preserve"> pour la période 2030-2050. C’est la seule option qui correspond à l’avis de l’ESABCC (</w:t>
      </w:r>
      <w:r w:rsidRPr="007663CA">
        <w:rPr>
          <w:noProof/>
          <w:vertAlign w:val="superscript"/>
        </w:rPr>
        <w:footnoteReference w:id="11"/>
      </w:r>
      <w:r>
        <w:rPr>
          <w:noProof/>
        </w:rPr>
        <w:t>), qui réduit au maximum les émissions totales de gaz à effet de serre rejetées dans l’atmosphère et qui est conforme aux dispositions de la loi européenne sur le climat concernant la présentation d’un budget en matière de gaz à effet de serre qui ne compromet pas la concrétisation des engagements pris par l’UE au titre de l’accord de Paris. Étant donné que le budget carbone mondial restant (</w:t>
      </w:r>
      <w:r w:rsidRPr="007663CA">
        <w:rPr>
          <w:rStyle w:val="FootnoteReference"/>
          <w:rFonts w:eastAsia="Times New Roman"/>
          <w:noProof/>
        </w:rPr>
        <w:footnoteReference w:id="12"/>
      </w:r>
      <w:r>
        <w:rPr>
          <w:noProof/>
        </w:rPr>
        <w:t xml:space="preserve">) s’amenuise rapidement, il est essentiel que toutes les parties réduisent autant que possible leurs émissions cumulées. Si l’UE s’engage sur cette voie le plus tôt possible, la transition sera moins coûteuse et plus prévisible. Plus l’action pour le climat est retardée, plus les coûts humains et économiques seront élevés, et plus il sera nécessaire de financer la restauration et l’adaptation, en mobilisant des ressources de l’économie de l’UE. </w:t>
      </w:r>
    </w:p>
    <w:p w14:paraId="53E4B47D" w14:textId="79661148" w:rsidR="00482E88" w:rsidRDefault="00482E88" w:rsidP="00482E88">
      <w:pPr>
        <w:rPr>
          <w:noProof/>
        </w:rPr>
      </w:pPr>
      <w:r>
        <w:rPr>
          <w:noProof/>
        </w:rPr>
        <w:t xml:space="preserve">Toutes les options prévoient un glissement des coûts totaux, depuis les coûts opérationnels (liés aux achats de combustibles fossiles) vers les coûts d’investissement. Les besoins d’investissement pour la période 2031-2050 sont du même ordre quelle que soit l’option envisagée, la troisième comportant des besoins d’investissement annuels plus élevés en 2031-2040, mais plus faibles en 2041-2050, que la première et la deuxième. Toutefois, à l’exception des industries à forte intensité énergétique, les différences entre les options 2 et 3 en ce qui concerne le coût total du système énergétique, le PIB et la compétitivité en matière d’exportations mondiales en résultant restent limitées. L’option 3 prévoit une trajectoire de transition claire d’abandon des combustibles fossiles, dans le sens des préconisations de la COP 28; c’est celle qui présente les avantages les plus importants sur les plans de l’indépendance énergétique et d’une protection renforcée contre les chocs de prix de ces combustibles. Elle renforce l’autonomie stratégique ouverte de l’UE dans un contexte international extrêmement instable, où la dépendance à l’égard des importations de combustibles fossiles constitue un risque pour la sécurité de l’UE et sa stabilité économique. </w:t>
      </w:r>
    </w:p>
    <w:p w14:paraId="07ED083D" w14:textId="1470B699" w:rsidR="00482E88" w:rsidRPr="007663CA" w:rsidRDefault="00482E88" w:rsidP="00482E88">
      <w:pPr>
        <w:rPr>
          <w:noProof/>
        </w:rPr>
      </w:pPr>
      <w:r>
        <w:rPr>
          <w:noProof/>
        </w:rPr>
        <w:t xml:space="preserve">L’objectif recommandé suppose un déploiement rapide de technologies à émissions de carbone faibles ou nulles d’ici à 2040, par la création d’un vaste marché interne pour les fabricants de technologies propres, l’encouragement de la recherche et de l’innovation et la création d’une base industrielle européenne solide, ce qui placera l’UE à la pointe de la course mondiale aux technologies propres, au lieu d’attendre la décennie précédant 2050 pour passer à l’action. Toutefois, puisque davantage d’initiatives devront être réalisées au cours des années 2031-2040, l’option 3 entraîne également des besoins légèrement plus importants en matières premières (mais moindres durant la décennie suivante) et, si les nouvelles technologies ne sont pas déployées suffisamment rapidement, un risque plus élevé d’éventuels arbitrages environnementaux, notamment en ce qui concerne l’utilisation des terres et le rôle de la biomasse dans le système énergétique. </w:t>
      </w:r>
    </w:p>
    <w:p w14:paraId="2B61C40F" w14:textId="77777777" w:rsidR="00482E88" w:rsidRDefault="00482E88" w:rsidP="00482E88">
      <w:pPr>
        <w:spacing w:after="240" w:line="240" w:lineRule="auto"/>
        <w:rPr>
          <w:rFonts w:eastAsia="Calibri"/>
          <w:noProof/>
        </w:rPr>
      </w:pPr>
      <w:r>
        <w:rPr>
          <w:noProof/>
        </w:rPr>
        <w:t xml:space="preserve">Un objectif de 90 % nécessitera davantage d’attention et d’efforts pour assurer une transition juste que les objectifs moins ambitieux, la transition étant quelque peu accélérée. Alors que la différence entre les options en matière de coûts pour les ménages est limitée (notamment grâce à l’amélioration de l’efficacité énergétique dans le cas de l’option 3, qui réduit les achats d’énergie), le cadre d’action pour l’après-2030 devrait inclure des mesures adéquates pour garantir des prix de l’énergie abordables et l’accès à des solutions décarbonées. Des mesures redistributives seront essentielles pour faire face aux conséquences sociales, de sorte que personne ne soit laissé pour compte.  </w:t>
      </w:r>
    </w:p>
    <w:p w14:paraId="60AB3A41" w14:textId="77777777" w:rsidR="00482E88" w:rsidRDefault="00482E88" w:rsidP="00482E88">
      <w:pPr>
        <w:spacing w:before="120" w:after="240" w:line="240" w:lineRule="auto"/>
        <w:rPr>
          <w:rFonts w:eastAsia="Calibri"/>
          <w:noProof/>
          <w:color w:val="000000" w:themeColor="text1"/>
        </w:rPr>
      </w:pPr>
    </w:p>
    <w:tbl>
      <w:tblPr>
        <w:tblStyle w:val="TableGrid"/>
        <w:tblW w:w="0" w:type="auto"/>
        <w:tblLook w:val="04A0" w:firstRow="1" w:lastRow="0" w:firstColumn="1" w:lastColumn="0" w:noHBand="0" w:noVBand="1"/>
      </w:tblPr>
      <w:tblGrid>
        <w:gridCol w:w="9242"/>
      </w:tblGrid>
      <w:tr w:rsidR="00482E88" w:rsidRPr="007663CA" w14:paraId="0ADA4E7D" w14:textId="77777777" w:rsidTr="002205E6">
        <w:tc>
          <w:tcPr>
            <w:tcW w:w="9242" w:type="dxa"/>
          </w:tcPr>
          <w:p w14:paraId="23E6C268" w14:textId="77777777" w:rsidR="00482E88" w:rsidRPr="007663CA" w:rsidRDefault="00482E88" w:rsidP="002205E6">
            <w:pPr>
              <w:spacing w:after="240"/>
              <w:jc w:val="center"/>
              <w:rPr>
                <w:b/>
                <w:bCs/>
                <w:noProof/>
              </w:rPr>
            </w:pPr>
            <w:r>
              <w:rPr>
                <w:b/>
                <w:noProof/>
              </w:rPr>
              <w:t>Comparaison des objectifs envisagés</w:t>
            </w:r>
          </w:p>
          <w:p w14:paraId="66BCCDBF" w14:textId="77777777" w:rsidR="00482E88" w:rsidRPr="007663CA" w:rsidRDefault="00482E88" w:rsidP="002205E6">
            <w:pPr>
              <w:rPr>
                <w:noProof/>
              </w:rPr>
            </w:pPr>
            <w:r>
              <w:rPr>
                <w:noProof/>
                <w:u w:val="single"/>
              </w:rPr>
              <w:t>Investissements et coûts</w:t>
            </w:r>
          </w:p>
          <w:p w14:paraId="742DFA8A" w14:textId="77777777" w:rsidR="00482E88" w:rsidRPr="007663CA" w:rsidRDefault="00482E88" w:rsidP="002205E6">
            <w:pPr>
              <w:rPr>
                <w:noProof/>
              </w:rPr>
            </w:pPr>
            <w:r>
              <w:rPr>
                <w:noProof/>
              </w:rPr>
              <w:t>Toutes les options supposent un niveau d’investissement similaire sur la période 2031-2050, ainsi que la réorientation de ressources qui, si aucune mesure n’était prise, devraient aussi être investies dans des technologies à plus forte intensité de carbone afin de répondre aux besoins énergétiques de l’économie. Les besoins d’investissement dans le système énergétique représentent en moyenne près de 660 milliards d’EUR (soit 3,2 % du PIB) par an sur l’ensemble de la période (contre 250 milliards d’EUR, soit 1,7 % du PIB, pour les années 2011-2020, une décennie durant laquelle les investissements dans le système énergétique ont été relativement faibles), avec des dépenses annuelles dans les transports (</w:t>
            </w:r>
            <w:r w:rsidRPr="007663CA">
              <w:rPr>
                <w:rStyle w:val="FootnoteReference"/>
                <w:noProof/>
              </w:rPr>
              <w:footnoteReference w:id="13"/>
            </w:r>
            <w:r>
              <w:rPr>
                <w:noProof/>
              </w:rPr>
              <w:t xml:space="preserve">) d’environ 870 milliards d’EUR (soit 4,2 % du PIB, une proportion similaire à celle observée pour les années 2011-2020). Avec l’option 3, la réalisation de certains investissements dans le système énergétique sera avancée aux années 2030, l’investissement annuel moyen étant estimé à 710 milliards d’EUR sur la période 2031-2040. </w:t>
            </w:r>
          </w:p>
          <w:p w14:paraId="22F17E64" w14:textId="77777777" w:rsidR="00482E88" w:rsidRPr="007663CA" w:rsidRDefault="00482E88" w:rsidP="002205E6">
            <w:pPr>
              <w:rPr>
                <w:noProof/>
              </w:rPr>
            </w:pPr>
          </w:p>
          <w:p w14:paraId="258A785A" w14:textId="7236DCBA" w:rsidR="00482E88" w:rsidRPr="008D390A" w:rsidRDefault="00482E88" w:rsidP="002205E6">
            <w:pPr>
              <w:rPr>
                <w:noProof/>
                <w:highlight w:val="magenta"/>
              </w:rPr>
            </w:pPr>
            <w:r>
              <w:rPr>
                <w:noProof/>
              </w:rPr>
              <w:t>Les coûts du système énergétique (</w:t>
            </w:r>
            <w:r>
              <w:rPr>
                <w:rStyle w:val="FootnoteReference"/>
                <w:noProof/>
              </w:rPr>
              <w:footnoteReference w:id="14"/>
            </w:r>
            <w:r>
              <w:rPr>
                <w:noProof/>
              </w:rPr>
              <w:t>) sont également similaires quelle que soit l’option retenue, soit 12,4 % (option 1), 12,7 % (option 2) et 12,9 % (option 3) du PIB entre 2031 et 2040, soit une augmentation modérée par rapport aux 11,9 % du PIB dépensés sur la période 2011-2020; ils retomberont ensuite à environ 11,3 % durant la période 2041-2050. Le coût des importations de combustibles fossiles diminuera considérablement avec l’option 3, pour atteindre moins de 1,4 % du PIB d’ici à 2040 et moins de 0,6 % au cours de la dernière décennie (contre 2,3 % pour les années 2010-2021 et 4,1 % en 2022 pendant la récente crise énergétique), ce qui permet une économie d’environ 2 800 milliards d’EUR sur la période 2031-2050.</w:t>
            </w:r>
          </w:p>
          <w:p w14:paraId="4C37ED1C" w14:textId="77777777" w:rsidR="00482E88" w:rsidRPr="007663CA" w:rsidRDefault="00482E88" w:rsidP="002205E6">
            <w:pPr>
              <w:rPr>
                <w:noProof/>
              </w:rPr>
            </w:pPr>
          </w:p>
          <w:p w14:paraId="189031E7" w14:textId="754C4B74" w:rsidR="00482E88" w:rsidRPr="007663CA" w:rsidRDefault="00482E88" w:rsidP="002205E6">
            <w:pPr>
              <w:rPr>
                <w:noProof/>
              </w:rPr>
            </w:pPr>
            <w:r>
              <w:rPr>
                <w:noProof/>
              </w:rPr>
              <w:t>Il ressort également de l’évaluation que les progrès, par exemple en ce qui concerne l’économie circulaire, peuvent entraîner une diminution des besoins d’investissement dans le système énergétique d’environ 7 % sur la période 2031-2050 (ce qui représente des économies annuelles de 45 milliards d’EUR) et une baisse des dépenses dans les transports d’environ 9 % (127 milliards d’EUR). Les coûts du système énergétique diminueront pour s’établir à 12,6 % du PIB en 2031-2040 et à 10,8 % en 2041-2050, ce qui est nettement inférieur aux valeurs observées pour les années 2011-2020.</w:t>
            </w:r>
          </w:p>
          <w:p w14:paraId="6ED71F84" w14:textId="77777777" w:rsidR="00482E88" w:rsidRPr="007663CA" w:rsidRDefault="00482E88" w:rsidP="002205E6">
            <w:pPr>
              <w:rPr>
                <w:noProof/>
                <w:u w:val="single"/>
              </w:rPr>
            </w:pPr>
          </w:p>
          <w:p w14:paraId="4DE0F86C" w14:textId="77777777" w:rsidR="00482E88" w:rsidRPr="007663CA" w:rsidRDefault="00482E88" w:rsidP="002205E6">
            <w:pPr>
              <w:rPr>
                <w:noProof/>
                <w:u w:val="single"/>
              </w:rPr>
            </w:pPr>
            <w:r>
              <w:rPr>
                <w:noProof/>
                <w:u w:val="single"/>
              </w:rPr>
              <w:t>Environnement</w:t>
            </w:r>
          </w:p>
          <w:p w14:paraId="4AA72F9C" w14:textId="77777777" w:rsidR="00482E88" w:rsidRPr="007663CA" w:rsidRDefault="00482E88" w:rsidP="002205E6">
            <w:pPr>
              <w:spacing w:after="240"/>
              <w:rPr>
                <w:noProof/>
              </w:rPr>
            </w:pPr>
            <w:r>
              <w:rPr>
                <w:noProof/>
                <w:color w:val="000000" w:themeColor="text1"/>
              </w:rPr>
              <w:t>Les trois objectifs envisagés présentent des avantages connexes significatifs, notamment l’amélioration de la qualité de l’air, des écosystèmes et de la santé ainsi qu’une baisse des coûts des soins de santé.</w:t>
            </w:r>
          </w:p>
        </w:tc>
      </w:tr>
    </w:tbl>
    <w:p w14:paraId="7401CA94" w14:textId="77777777" w:rsidR="00482E88" w:rsidRDefault="00482E88" w:rsidP="00482E88">
      <w:pPr>
        <w:spacing w:after="240"/>
        <w:rPr>
          <w:noProof/>
        </w:rPr>
      </w:pPr>
    </w:p>
    <w:p w14:paraId="03C58050" w14:textId="77777777" w:rsidR="00482E88" w:rsidRPr="007663CA" w:rsidRDefault="00482E88" w:rsidP="00482E88">
      <w:pPr>
        <w:pStyle w:val="Heading2"/>
        <w:rPr>
          <w:noProof/>
        </w:rPr>
      </w:pPr>
      <w:bookmarkStart w:id="10" w:name="_Toc160204878"/>
      <w:r>
        <w:rPr>
          <w:noProof/>
        </w:rPr>
        <w:t>Coût de l’inaction</w:t>
      </w:r>
      <w:bookmarkEnd w:id="10"/>
    </w:p>
    <w:p w14:paraId="4AD829F2" w14:textId="39BA827F" w:rsidR="00482E88" w:rsidRDefault="00482E88" w:rsidP="00482E88">
      <w:pPr>
        <w:pStyle w:val="paragraph"/>
        <w:tabs>
          <w:tab w:val="left" w:pos="5103"/>
        </w:tabs>
        <w:spacing w:before="0" w:beforeAutospacing="0" w:after="240" w:afterAutospacing="0"/>
        <w:jc w:val="both"/>
        <w:textAlignment w:val="baseline"/>
        <w:rPr>
          <w:rStyle w:val="normaltextrun"/>
          <w:rFonts w:eastAsiaTheme="majorEastAsia"/>
          <w:noProof/>
        </w:rPr>
      </w:pPr>
      <w:r>
        <w:rPr>
          <w:rStyle w:val="normaltextrun"/>
          <w:noProof/>
        </w:rPr>
        <w:t xml:space="preserve">Les coûts et les incidences humaines du changement climatique sont considérables et vont croissant. </w:t>
      </w:r>
      <w:r>
        <w:rPr>
          <w:noProof/>
        </w:rPr>
        <w:t>Les phénomènes climatiques extrêmes se sont multipliés entre 1980 et 2022, causant 220 000 décès et 650 milliards d’EUR de pertes économiques sur cette période dans l’UE, dont environ 170 milliards d’EUR au cours des cinq dernières années seulement (</w:t>
      </w:r>
      <w:r w:rsidRPr="5A178A04">
        <w:rPr>
          <w:rStyle w:val="FootnoteReference"/>
          <w:rFonts w:eastAsiaTheme="majorEastAsia"/>
          <w:noProof/>
        </w:rPr>
        <w:footnoteReference w:id="15"/>
      </w:r>
      <w:r>
        <w:rPr>
          <w:noProof/>
        </w:rPr>
        <w:t>). Ainsi, en février 2024, il a été décidé d’augmenter de 1,5 milliard d’EUR la réserve de solidarité et d’aide d’urgence de l’UE pour la période 2024-2027 (montant qui s’ajoute au 1,2 milliard d’EUR par an alloué au titre du CFP initial).</w:t>
      </w:r>
      <w:r>
        <w:rPr>
          <w:rStyle w:val="normaltextrun"/>
          <w:noProof/>
        </w:rPr>
        <w:t xml:space="preserve"> On estime en outre que 61 000 personnes ont perdu la vie à cause de canicules en 2022, un tribut qui n’a été dépassé qu’en 2003, année où les vagues de chaleur ont entraîné la mort de 70 000 personnes (</w:t>
      </w:r>
      <w:r w:rsidRPr="0013325C">
        <w:rPr>
          <w:noProof/>
          <w:vertAlign w:val="superscript"/>
          <w:lang w:val="en-IE"/>
        </w:rPr>
        <w:footnoteReference w:id="16"/>
      </w:r>
      <w:r>
        <w:rPr>
          <w:rStyle w:val="normaltextrun"/>
          <w:noProof/>
        </w:rPr>
        <w:t xml:space="preserve">). Ces chiffres pourraient augmenter rapidement, étant donné que les effets combinés du changement climatique, de l’utilisation des sols et de la dégradation de l’environnement peuvent aussi avoir une incidence négative sur la santé de multiples manières, en créant de nouveaux risques de transmission d’infections virales parmi des espèces sauvages autrefois isolées géographiquement ainsi que de transmission de maladies des animaux sauvages à l’homme. En outre, le changement climatique, associé à la perte de biodiversité, est un facteur important d’insécurité alimentaire.  Nous sommes désormais confrontés à des risques croissants d’atteindre des points de bascule climatiques irréversibles, aux conséquences inconnues mais potentiellement catastrophiques pour les sociétés, les écosystèmes et les économies. </w:t>
      </w:r>
    </w:p>
    <w:p w14:paraId="61CDFB2F"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Pr>
          <w:rStyle w:val="normaltextrun"/>
          <w:noProof/>
        </w:rPr>
        <w:t>L’inaction entraînerait des coûts nettement plus élevés, qui ne feraient que s’accroître au cours des décennies à venir.</w:t>
      </w:r>
      <w:r>
        <w:rPr>
          <w:rStyle w:val="eop"/>
          <w:noProof/>
        </w:rPr>
        <w:t xml:space="preserve"> Bien que les estimations des coûts liés aux phénomènes météorologiques extrêmes soient hypothétiques, l’analyse d’impact considère de manière prudente, sans tenir compte d’éventuels points de bascule, que ces coûts pourraient faire baisser le PIB d’environ 7 % d’ici à la fin du siècle. Au cours de la période 2031-2050, le coût supplémentaire cumulé pour le PIB d’une trajectoire conduisant à une aggravation du réchauffement climatique pourrait s’élever à 2 400 milliards d’EUR dans l’UE, par rapport au coût d’une trajectoire compatible avec l’objectif de 1,5 °C de l’accord de Paris (</w:t>
      </w:r>
      <w:r w:rsidRPr="002056FF">
        <w:rPr>
          <w:rStyle w:val="FootnoteReference"/>
          <w:rFonts w:eastAsiaTheme="majorEastAsia"/>
          <w:noProof/>
        </w:rPr>
        <w:footnoteReference w:id="17"/>
      </w:r>
      <w:r>
        <w:rPr>
          <w:rStyle w:val="eop"/>
          <w:noProof/>
        </w:rPr>
        <w:t xml:space="preserve">).  </w:t>
      </w:r>
    </w:p>
    <w:p w14:paraId="362A24D9"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09D46C75" w14:textId="6B6132C5"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Pr>
          <w:rStyle w:val="normaltextrun"/>
          <w:noProof/>
        </w:rPr>
        <w:t xml:space="preserve">Bien qu’il ne faille pas sous-estimer les défis liés à la transition vers la neutralité climatique, le processus lui-même sera créateur de nouvelles possibilités importantes tout en garantissant un avenir durable pour tous. </w:t>
      </w:r>
      <w:r>
        <w:rPr>
          <w:rStyle w:val="eop"/>
          <w:noProof/>
        </w:rPr>
        <w:t>Selon les estimations de l’analyse d’impact, la réalisation de l’objectif de 90 % pourrait entraîner une réduction du nombre de décès prématurés dus à la pollution atmosphérique de 466 000 par an en 2015 à 196 000 par an en 2040, parallèlement à une baisse connexe des coûts d’environ 1 700 milliards d’EUR en 2015 à 670 milliards d’EUR en 2040 (</w:t>
      </w:r>
      <w:r>
        <w:rPr>
          <w:rStyle w:val="FootnoteReference"/>
          <w:rFonts w:eastAsiaTheme="majorEastAsia"/>
          <w:noProof/>
        </w:rPr>
        <w:footnoteReference w:id="18"/>
      </w:r>
      <w:r>
        <w:rPr>
          <w:rStyle w:val="eop"/>
          <w:noProof/>
        </w:rPr>
        <w:t xml:space="preserve">). </w:t>
      </w:r>
    </w:p>
    <w:p w14:paraId="35516CE4"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0FCB3D00" w14:textId="77777777" w:rsidR="00482E88"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r>
        <w:rPr>
          <w:rStyle w:val="eop"/>
          <w:noProof/>
        </w:rPr>
        <w:t xml:space="preserve">Les importations nettes de combustibles fossiles seraient réduites, tandis que l’économie va s’accroître. Selon les estimations de l’analyse d’impact, le coût des chocs de prix stylisés des combustibles fossiles en termes de perte de production et d’emploi serait réduit de moitié si de tels chocs se produisaient dans une économie fortement décarbonée (ce qui sera le cas si l’objectif climatique pour 2040 est atteint). </w:t>
      </w:r>
    </w:p>
    <w:p w14:paraId="02EFD822" w14:textId="77777777" w:rsidR="00482E88" w:rsidRDefault="00482E88" w:rsidP="00482E88">
      <w:pPr>
        <w:pStyle w:val="paragraph"/>
        <w:tabs>
          <w:tab w:val="left" w:pos="5103"/>
        </w:tabs>
        <w:spacing w:before="0" w:beforeAutospacing="0" w:after="0" w:afterAutospacing="0"/>
        <w:jc w:val="both"/>
        <w:rPr>
          <w:rStyle w:val="eop"/>
          <w:rFonts w:eastAsiaTheme="majorEastAsia"/>
          <w:noProof/>
        </w:rPr>
      </w:pPr>
    </w:p>
    <w:p w14:paraId="1F00BD02" w14:textId="77777777" w:rsidR="00482E88" w:rsidRPr="00A60373" w:rsidRDefault="00482E88" w:rsidP="00482E88">
      <w:pPr>
        <w:pStyle w:val="paragraph"/>
        <w:tabs>
          <w:tab w:val="left" w:pos="5103"/>
        </w:tabs>
        <w:spacing w:before="0" w:beforeAutospacing="0" w:after="0" w:afterAutospacing="0"/>
        <w:jc w:val="both"/>
        <w:textAlignment w:val="baseline"/>
        <w:rPr>
          <w:rStyle w:val="eop"/>
          <w:rFonts w:eastAsiaTheme="majorEastAsia"/>
          <w:noProof/>
        </w:rPr>
      </w:pPr>
    </w:p>
    <w:p w14:paraId="7A5FC539" w14:textId="77777777" w:rsidR="00482E88" w:rsidRPr="00A60373" w:rsidRDefault="00482E88" w:rsidP="00482E88">
      <w:pPr>
        <w:pStyle w:val="Heading1"/>
        <w:rPr>
          <w:rStyle w:val="eop"/>
          <w:noProof/>
        </w:rPr>
      </w:pPr>
      <w:bookmarkStart w:id="11" w:name="_Toc155286924"/>
      <w:bookmarkStart w:id="12" w:name="_Toc160204879"/>
      <w:r>
        <w:rPr>
          <w:noProof/>
        </w:rPr>
        <w:t>Réalisation de l’objectif pour 2040</w:t>
      </w:r>
      <w:bookmarkEnd w:id="11"/>
      <w:bookmarkEnd w:id="12"/>
    </w:p>
    <w:p w14:paraId="471E1132" w14:textId="237E4959" w:rsidR="00482E88" w:rsidRDefault="00482E88" w:rsidP="00482E88">
      <w:pPr>
        <w:rPr>
          <w:noProof/>
        </w:rPr>
      </w:pPr>
      <w:r>
        <w:rPr>
          <w:noProof/>
        </w:rPr>
        <w:t>La réalisation de l’objectif pour 2040 dépendra de la mise en œuvre intégrale du cadre d’action en matière de climat et d’énergie à l’horizon 2030, ainsi que de l’élaboration d’un cadre d’action pour l’après-2030. À ces efforts doit s’ajouter un vaste cadre propice à la concrétisation des deux objectifs tout aussi importants du pacte vert pour l’Europe, à savoir la transition juste et la durabilité compétitive. Ce double prisme permettra de prendre les décisions d’investissement nécessaires et de mobiliser des financements, de déployer des technologies innovantes et de faire en sorte que tous les citoyens et tous les secteurs économiques de l’UE puissent tirer parti de la transition et accéder à des solutions abordables.</w:t>
      </w:r>
    </w:p>
    <w:p w14:paraId="67867DCF" w14:textId="77777777" w:rsidR="00482E88" w:rsidRPr="008441CF" w:rsidRDefault="00482E88" w:rsidP="00482E88">
      <w:pPr>
        <w:pStyle w:val="Heading2"/>
        <w:rPr>
          <w:noProof/>
        </w:rPr>
      </w:pPr>
      <w:bookmarkStart w:id="13" w:name="_Toc160204880"/>
      <w:r>
        <w:rPr>
          <w:noProof/>
        </w:rPr>
        <w:t>Mise en œuvre du cadre d’action à l’horizon 2030</w:t>
      </w:r>
      <w:bookmarkEnd w:id="13"/>
    </w:p>
    <w:p w14:paraId="2D955574" w14:textId="77777777" w:rsidR="00482E88" w:rsidRDefault="00482E88" w:rsidP="00482E88">
      <w:pPr>
        <w:rPr>
          <w:noProof/>
        </w:rPr>
      </w:pPr>
      <w:r>
        <w:rPr>
          <w:noProof/>
        </w:rPr>
        <w:t>Tous les efforts doivent être déployés en vue de la mise en œuvre du cadre d’action en matière d’énergie et de climat à l’horizon 2030, en préalable à la réalisation de l’objectif pour 2040 et de la neutralité climatique à l’horizon 2050, conformément à la loi européenne sur le climat. La mise à jour en cours des plans nationaux en matière d’énergie et de climat (PNEC) est un élément majeur du suivi des progrès accomplis dans la réalisation des objectifs en matière de climat et d’énergie à l’horizon 2030. L’évaluation initiale des projets de PNEC (</w:t>
      </w:r>
      <w:r w:rsidRPr="007663CA">
        <w:rPr>
          <w:rStyle w:val="FootnoteReference"/>
          <w:noProof/>
        </w:rPr>
        <w:footnoteReference w:id="19"/>
      </w:r>
      <w:r>
        <w:rPr>
          <w:noProof/>
        </w:rPr>
        <w:t>) souligne la nécessité de relever le niveau d’ambition et d’apporter des améliorations aux plans définitifs que les États membres doivent communiquer d’ici à juin 2024. La Commission invite les États membres à prendre des mesures déterminantes pour mettre concrètement en application la législation et les politiques convenues d’un commun accord; elle est disposée à collaborer avec les États membres, les secteurs et les partenaires sociaux pour faciliter la prise des mesures nécessaires. L’instrument d’appui technique de la Commission peut, grâce au savoir-faire sur mesure qu’il peut apporter, aider les États membres à entreprendre des réformes à l’appui de la mise en œuvre du cadre d’action à l’horizon 2030.</w:t>
      </w:r>
    </w:p>
    <w:p w14:paraId="62EB8927" w14:textId="77777777" w:rsidR="00482E88" w:rsidRPr="00AF2BA1" w:rsidRDefault="00482E88" w:rsidP="00482E88">
      <w:pPr>
        <w:pStyle w:val="Heading2"/>
        <w:rPr>
          <w:noProof/>
        </w:rPr>
      </w:pPr>
      <w:bookmarkStart w:id="14" w:name="_Toc160204881"/>
      <w:r>
        <w:rPr>
          <w:noProof/>
        </w:rPr>
        <w:t>Une économie au service des citoyens</w:t>
      </w:r>
      <w:bookmarkEnd w:id="14"/>
      <w:r>
        <w:rPr>
          <w:noProof/>
        </w:rPr>
        <w:t xml:space="preserve"> </w:t>
      </w:r>
    </w:p>
    <w:p w14:paraId="00F98818" w14:textId="6F8E9E42" w:rsidR="00482E88" w:rsidRPr="007663CA" w:rsidRDefault="00482E88" w:rsidP="00482E88">
      <w:pPr>
        <w:rPr>
          <w:noProof/>
        </w:rPr>
      </w:pPr>
      <w:r>
        <w:rPr>
          <w:noProof/>
        </w:rPr>
        <w:t xml:space="preserve">Les citoyens de l’UE sont au cœur du pacte vert. Les personnes les plus vulnérables, telles que les personnes à faibles revenus, les personnes handicapées, les membres de communautés marginalisées et les personnes âgées, sont nettement plus exposées aux aléas climatiques, car elles n’ont pas les moyens de se protéger contre les risques que ceux-ci présentent. Cela rend l’action de l’UE pour le climat encore plus importante, parallèlement aux investissements et aux politiques de soutien qui génèrent des avantages sociaux et économiques, lesquels font reculer la pauvreté et les inégalités. Il s’agit notamment d’investir dans l’humain par la reconversion et le perfectionnement professionnels de la main-d’œuvre, par un soutien aux transitions sur le marché du travail et par des mesures ciblées d’aide au revenu. Un dialogue social efficace ainsi qu’une forte participation des acteurs concernés et des citoyens sont essentiels pour anticiper et gérer le changement, parallèlement à des mesures visant à aider l’ensemble de la population à participer activement à la transition écologique grâce à des solutions accessibles, abordables et respectueuses de l’environnement. </w:t>
      </w:r>
    </w:p>
    <w:p w14:paraId="7FE6BBE9" w14:textId="77777777" w:rsidR="00482E88" w:rsidRPr="00ED3337" w:rsidRDefault="00482E88" w:rsidP="00482E88">
      <w:pPr>
        <w:rPr>
          <w:i/>
          <w:noProof/>
          <w:highlight w:val="yellow"/>
        </w:rPr>
      </w:pPr>
      <w:r>
        <w:rPr>
          <w:i/>
          <w:noProof/>
        </w:rPr>
        <w:t xml:space="preserve">Une transition juste et équitable pour les personnes </w:t>
      </w:r>
    </w:p>
    <w:p w14:paraId="51C3C684" w14:textId="79C2BC1F" w:rsidR="00482E88" w:rsidRPr="007663CA" w:rsidRDefault="00482E88" w:rsidP="00482E88">
      <w:pPr>
        <w:rPr>
          <w:noProof/>
        </w:rPr>
      </w:pPr>
      <w:r>
        <w:rPr>
          <w:noProof/>
        </w:rPr>
        <w:t>La transition vers la neutralité climatique s’inscrit dans un contexte marqué, entre autres, par le développement de l’intelligence artificielle, la numérisation, le vieillissement et l’insécurité géopolitique. Tous ces phénomènes vont modifier la manière dont nous produisons et consommons les biens et les services, ce qui ne sera pas sans conséquences sur les ménages et les travailleurs. </w:t>
      </w:r>
    </w:p>
    <w:p w14:paraId="5EA3987B" w14:textId="4D5A3353" w:rsidR="00482E88" w:rsidRPr="007663CA" w:rsidRDefault="00482E88" w:rsidP="00482E88">
      <w:pPr>
        <w:rPr>
          <w:noProof/>
        </w:rPr>
      </w:pPr>
      <w:r>
        <w:rPr>
          <w:noProof/>
        </w:rPr>
        <w:t>En matière d’emploi, les effets de la transition varieront selon les secteurs et les régions, en fonction de leur dépendance à l’égard d’activités spécifiques. Les secteurs tributaires des combustibles fossiles, tels que les transports et les industries à forte intensité énergétique, connaîtront une mutation en profondeur. Il est également essentiel de veiller à ce que les solutions de mobilité restent accessibles et d’un prix abordable pour tous, tant pour les citoyens que pour les opérateurs économiques, et de faire en sorte que les régions rurales et reculées de l’UE soient mieux connectées afin de favoriser davantage leur développement. Les travailleurs, les communautés et les régions qui dépendent d’activités à forte intensité de carbone seront les plus touchés, de sorte que le maintien du soutien pour une transition juste sera indispensable à mesure que la transition prendra forme, parallèlement aux actions et aux mesures étroitement coordonnées et globales des États membres (</w:t>
      </w:r>
      <w:r w:rsidRPr="001A0927">
        <w:rPr>
          <w:rStyle w:val="FootnoteReference"/>
          <w:noProof/>
        </w:rPr>
        <w:footnoteReference w:id="20"/>
      </w:r>
      <w:r>
        <w:rPr>
          <w:noProof/>
        </w:rPr>
        <w:t>). La transition ouvrira de nouvelles perspectives pour les entreprises et la création d’emplois, ainsi que pour les travailleurs tous niveaux de compétence confondus, mais certaines régions en tireront plus avantage que d’autres. La politique de cohésion de l’UE, par ses investissements et, en particulier, par l’intermédiaire du Fonds pour une transition juste — un instrument destiné à soutenir la diversification économique et la reconversion des communautés et territoires touchés —, ainsi que les mesures nationales continueront de jouer un rôle fondamental dans l’appui aux régions les plus affectées par la transition.</w:t>
      </w:r>
    </w:p>
    <w:p w14:paraId="451DA16B" w14:textId="41291E7B" w:rsidR="00482E88" w:rsidRPr="00AF6F15" w:rsidRDefault="00482E88" w:rsidP="00AF6F15">
      <w:pPr>
        <w:autoSpaceDE w:val="0"/>
        <w:autoSpaceDN w:val="0"/>
        <w:spacing w:before="40" w:after="40" w:line="240" w:lineRule="auto"/>
        <w:rPr>
          <w:noProof/>
          <w:sz w:val="22"/>
          <w:szCs w:val="22"/>
        </w:rPr>
      </w:pPr>
      <w:r>
        <w:rPr>
          <w:noProof/>
        </w:rPr>
        <w:t>La tarification du carbone, comme dans le cadre du SEQE de l’UE, permet la réduction des émissions tout en générant d’importantes recettes à utiliser par les États membres pour lutter contre le changement climatique et soutenir de plus en plus l’innovation industrielle et les ménages en vue d’une transition équitable. Le Fonds social pour le climat, qui est financé par le SEQE et auquel doivent également contribuer les États membres, mobilisera 87 milliards d’EUR pour aider les ménages vulnérables, les usagers des transports et les microentreprises. En outre, les États membres sont tenus de dépenser leurs recettes nationales globales provenant du SEQE à des fins liées au climat et à l’énergie, et notamment à la prise en compte des incidences sociales de la transition.</w:t>
      </w:r>
      <w:r>
        <w:rPr>
          <w:noProof/>
          <w:sz w:val="22"/>
        </w:rPr>
        <w:t xml:space="preserve"> </w:t>
      </w:r>
      <w:r>
        <w:rPr>
          <w:noProof/>
        </w:rPr>
        <w:t xml:space="preserve">Utilisés à bon escient, ces fonds peuvent soutenir les personnes tout au long de la transition et avoir des effets durables sur leur qualité de vie. Le soutien restera nécessaire après 2030, notamment au moyen de mesures prises par les États membres et d’un cadre d’action renforcé pour une transition juste. </w:t>
      </w:r>
    </w:p>
    <w:p w14:paraId="1CC64D94" w14:textId="77777777" w:rsidR="00482E88" w:rsidRPr="0071545F" w:rsidRDefault="00482E88" w:rsidP="00482E88">
      <w:pPr>
        <w:spacing w:after="240" w:line="240" w:lineRule="auto"/>
        <w:rPr>
          <w:noProof/>
          <w:highlight w:val="magenta"/>
        </w:rPr>
      </w:pPr>
      <w:r>
        <w:rPr>
          <w:noProof/>
        </w:rPr>
        <w:t xml:space="preserve"> </w:t>
      </w:r>
    </w:p>
    <w:p w14:paraId="2DB17929" w14:textId="77777777" w:rsidR="00482E88" w:rsidRPr="007663CA" w:rsidRDefault="00482E88" w:rsidP="00482E88">
      <w:pPr>
        <w:pStyle w:val="Heading2"/>
        <w:rPr>
          <w:noProof/>
        </w:rPr>
      </w:pPr>
      <w:bookmarkStart w:id="15" w:name="_Toc160204882"/>
      <w:r>
        <w:rPr>
          <w:noProof/>
        </w:rPr>
        <w:t>Le système énergétique de l’UE</w:t>
      </w:r>
      <w:bookmarkEnd w:id="15"/>
    </w:p>
    <w:p w14:paraId="0C81F4DC" w14:textId="77777777" w:rsidR="00482E88" w:rsidRPr="00DE46FD" w:rsidRDefault="00482E88" w:rsidP="00482E88">
      <w:pPr>
        <w:rPr>
          <w:rFonts w:eastAsia="Calibri"/>
          <w:i/>
          <w:noProof/>
          <w:color w:val="000000" w:themeColor="text1"/>
        </w:rPr>
      </w:pPr>
      <w:r>
        <w:rPr>
          <w:i/>
          <w:noProof/>
          <w:color w:val="000000" w:themeColor="text1"/>
        </w:rPr>
        <w:t>Solutions énergétiques à partir de sources renouvelables, à émissions de carbone faibles ou nulles</w:t>
      </w:r>
    </w:p>
    <w:p w14:paraId="709B6307" w14:textId="689B691D" w:rsidR="00482E88" w:rsidRPr="00084492" w:rsidRDefault="00482E88" w:rsidP="00482E88">
      <w:pPr>
        <w:rPr>
          <w:rFonts w:eastAsia="Calibri"/>
          <w:noProof/>
          <w:color w:val="000000" w:themeColor="text1"/>
        </w:rPr>
      </w:pPr>
      <w:r>
        <w:rPr>
          <w:noProof/>
          <w:color w:val="000000" w:themeColor="text1"/>
        </w:rPr>
        <w:t xml:space="preserve">Toutes les solutions énergétiques à émissions de carbone faibles ou nulles (y compris les énergies renouvelables, le nucléaire, l’efficacité énergétique, le stockage, le CSC, le CUC, les absorptions de carbone, la géothermie et l’hydroénergie, ainsi que toutes les autres technologies énergétiques «zéro net» actuelles et futures) sont nécessaires pour décarboner le système énergétique d’ici à 2040. Les énergies solaire et éolienne constitueront la grande majorité des solutions fondées sur les énergies renouvelables. La Commission poursuivra ses politiques visant à assurer un déploiement rapide de toutes les énergies renouvelables et des solutions à émissions de carbone faibles ou nulles, ainsi qu’à renforcer l’efficacité énergétique. </w:t>
      </w:r>
      <w:r>
        <w:rPr>
          <w:noProof/>
        </w:rPr>
        <w:t>Elle a mis en place un certain nombre d’initiatives visant à accélérer le déploiement des énergies renouvelables, à créer des conditions favorables aux entreprises européennes des énergies renouvelables et à doper leur compétitivité, notamment l’alliance européenne pour l’industrie solaire photovoltaïque et la charte européenne de l’éolien.</w:t>
      </w:r>
      <w:r>
        <w:rPr>
          <w:noProof/>
          <w:color w:val="000000" w:themeColor="text1"/>
        </w:rPr>
        <w:t xml:space="preserve"> Une électrification ambitieuse est essentielle, et la Commission continuera à collaborer avec les États membres pour poursuivre le développement de réseaux plus intelligents et promouvoir l’intégration des systèmes, la flexibilité de la demande et les solutions de stockage. </w:t>
      </w:r>
      <w:r>
        <w:rPr>
          <w:noProof/>
        </w:rPr>
        <w:t>L’accélération de l’octroi de permis et le partage transfrontière des coûts accéléreront le développement de projets éoliens en mer, conformément aux récents plans d’action sur l’éolien et les réseaux.</w:t>
      </w:r>
    </w:p>
    <w:p w14:paraId="1432EBD9" w14:textId="7B16B631" w:rsidR="00482E88" w:rsidRPr="002E73E2" w:rsidRDefault="00482E88" w:rsidP="00482E88">
      <w:pPr>
        <w:rPr>
          <w:rFonts w:eastAsia="Calibri"/>
          <w:noProof/>
          <w:color w:val="000000" w:themeColor="text1"/>
        </w:rPr>
      </w:pPr>
      <w:r>
        <w:rPr>
          <w:noProof/>
        </w:rPr>
        <w:t>La communication sur la gestion industrielle du carbone établit une feuille de route pour le déploiement des technologies CSC et CUC nécessaires pour les secteurs dans lesquels les émissions sont difficiles à réduire,</w:t>
      </w:r>
      <w:bookmarkStart w:id="16" w:name="_Hlk157186668"/>
      <w:r>
        <w:rPr>
          <w:noProof/>
        </w:rPr>
        <w:t xml:space="preserve"> et souligne le besoin d’un cadre réglementaire dans des domaines tels que l’injection et le transport de CO</w:t>
      </w:r>
      <w:r>
        <w:rPr>
          <w:noProof/>
          <w:vertAlign w:val="subscript"/>
        </w:rPr>
        <w:t>2</w:t>
      </w:r>
      <w:r>
        <w:rPr>
          <w:noProof/>
        </w:rPr>
        <w:t>, en préalable à la création d’un marché unique du CO</w:t>
      </w:r>
      <w:r>
        <w:rPr>
          <w:noProof/>
          <w:vertAlign w:val="subscript"/>
        </w:rPr>
        <w:t>2</w:t>
      </w:r>
      <w:r>
        <w:rPr>
          <w:noProof/>
        </w:rPr>
        <w:t>.</w:t>
      </w:r>
      <w:r>
        <w:rPr>
          <w:noProof/>
          <w:color w:val="000000" w:themeColor="text1"/>
        </w:rPr>
        <w:t xml:space="preserve"> La Commission lance également une alliance industrielle visant à favoriser la coopération des acteurs concernés au niveau de l’UE ainsi qu’à accélérer le déploiement des petits réacteurs modulaires et garantir une chaîne d’approvisionnement européenne robuste, notamment grâce à une main-d’œuvre qualifiée. </w:t>
      </w:r>
      <w:bookmarkStart w:id="17" w:name="_Hlk157159368"/>
      <w:r>
        <w:rPr>
          <w:noProof/>
          <w:color w:val="000000" w:themeColor="text1"/>
        </w:rPr>
        <w:t>Cela permettra de tirer parti des capacités européennes de fabrication et d’innovation pour accélérer le déploiement des premiers projets de petits réacteurs modulaires dans l’UE d’ici au début de 2030, dans le respect des normes les plus rigoureuses en matière de sûreté nucléaire, de durabilité environnementale et de compétitivité industrielle.</w:t>
      </w:r>
    </w:p>
    <w:bookmarkEnd w:id="16"/>
    <w:bookmarkEnd w:id="17"/>
    <w:p w14:paraId="008E9151" w14:textId="24BA7709" w:rsidR="00482E88" w:rsidRPr="007663CA" w:rsidRDefault="00482E88" w:rsidP="00482E88">
      <w:pPr>
        <w:rPr>
          <w:rFonts w:eastAsia="Calibri"/>
          <w:noProof/>
          <w:color w:val="000000" w:themeColor="text1"/>
        </w:rPr>
      </w:pPr>
      <w:r>
        <w:rPr>
          <w:noProof/>
          <w:color w:val="000000" w:themeColor="text1"/>
        </w:rPr>
        <w:t xml:space="preserve">Il est essentiel que l’énergie soit d’un prix abordable pour faire en sorte que l’ensemble de l’économie bénéficie des avantages de la décarbonation. Les prix des combustibles fossiles, volatils, sont fixés par les marchés mondiaux. Depuis plus de dix ans, les coûts de production d’électricité à partir de sources renouvelables sont systématiquement inférieurs à ceux relevés concernant les combustibles fossiles. </w:t>
      </w:r>
      <w:r>
        <w:rPr>
          <w:noProof/>
        </w:rPr>
        <w:t xml:space="preserve">Le remplacement progressif de la production de combustibles fossiles par des énergies renouvelables, complété par le recours efficace aux sources de flexibilité propres telles que le nucléaire et soutenu par la mise en œuvre intégrale d’une organisation actualisée du marché de l’électricité, la poursuite de l’intégration des systèmes électriques transfrontières dans l’UE (et en dehors de l’UE) et le recours efficace aux sources de flexibilité propres, peuvent contribuer à faire baisser les prix de gros de l’électricité. </w:t>
      </w:r>
      <w:bookmarkStart w:id="18" w:name="_Hlk157159513"/>
      <w:r>
        <w:rPr>
          <w:noProof/>
        </w:rPr>
        <w:t>Une fois que les combustibles fossiles auront été définitivement supplantés dans le bouquet énergétique au cours des vingt prochaines années et que les investissements nécessaires auront été consentis dans les réseaux, les installations de stockage et les batteries, les prix de l’électricité pourraient commencer à diminuer de manière significative dans l’UE. Des investissements sont nécessaires afin d’éviter les goulets d’étranglement dans l’électrification de l’économie. Il est vital de faire en sorte que des outils de financement adéquats existent pour éviter que les investissements nécessaires ne fassent grimper les prix finals pour les consommateurs et l’industrie. Dans l’intervalle, la promotion et l’utilisation accrue des accords d’achat d’électricité contribueront à stabiliser les prix et à protéger les entreprises contre le niveau élevé et la volatilité des prix dus aux combustibles fossiles.</w:t>
      </w:r>
    </w:p>
    <w:bookmarkEnd w:id="18"/>
    <w:p w14:paraId="78698DB7" w14:textId="31586239" w:rsidR="00482E88" w:rsidRPr="007663CA" w:rsidRDefault="00482E88" w:rsidP="00482E88">
      <w:pPr>
        <w:rPr>
          <w:rFonts w:eastAsia="Calibri"/>
          <w:noProof/>
          <w:color w:val="000000" w:themeColor="text1"/>
        </w:rPr>
      </w:pPr>
      <w:r>
        <w:rPr>
          <w:noProof/>
          <w:color w:val="000000" w:themeColor="text1"/>
        </w:rPr>
        <w:t xml:space="preserve">Des politiques sociales et industrielles complémentaires seront nécessaires pour assurer un passage sans heurts des niveaux actuels des prix de l’énergie vers une énergie propre à un prix abordable. L’UE et les États membres peuvent protéger les ménages à revenus faibles ou intermédiaires contre des hausses importantes des prix de l’énergie. Un soutien sur mesure sera nécessaire pour permettre aux industries à forte intensité énergétique de passer la période charnière durant laquelle elles devront à la fois investir dans des méthodes de production propres, lorsque celles-ci seront disponibles, et faire face aux prix élevés de l’énergie. Dans un premier temps, le Fonds pour l’innovation met en adéquation le soutien à l’innovation avec de telles solutions sous la forme de contrats d’écart compensatoire appliqués au carbone. </w:t>
      </w:r>
      <w:bookmarkStart w:id="19" w:name="_Hlk157159773"/>
      <w:r>
        <w:rPr>
          <w:noProof/>
          <w:color w:val="000000" w:themeColor="text1"/>
        </w:rPr>
        <w:t>La transition fera naître de nouveaux défis, notamment en ce qui concerne l’utilisation des sols et de l’eau. Il convient de donner la priorité aux solutions «gagnant-gagnant» (toits solaires, agrivoltaïsme, biogaz et biométhane provenant de déchets et résidus organiques), en associant les citoyens aux décisions.</w:t>
      </w:r>
    </w:p>
    <w:bookmarkEnd w:id="19"/>
    <w:p w14:paraId="046E95A7" w14:textId="77777777" w:rsidR="00482E88" w:rsidRPr="007663CA" w:rsidRDefault="00482E88" w:rsidP="00482E88">
      <w:pPr>
        <w:rPr>
          <w:rFonts w:eastAsia="Calibri"/>
          <w:i/>
          <w:iCs/>
          <w:noProof/>
          <w:color w:val="000000" w:themeColor="text1"/>
        </w:rPr>
      </w:pPr>
      <w:r>
        <w:rPr>
          <w:i/>
          <w:noProof/>
          <w:color w:val="000000" w:themeColor="text1"/>
        </w:rPr>
        <w:t>Efficacité énergétique et bâtiments</w:t>
      </w:r>
    </w:p>
    <w:p w14:paraId="216FE38A" w14:textId="3A8C9D65" w:rsidR="00482E88" w:rsidRPr="007663CA" w:rsidRDefault="00482E88" w:rsidP="00482E88">
      <w:pPr>
        <w:rPr>
          <w:rFonts w:eastAsia="Calibri"/>
          <w:noProof/>
          <w:color w:val="000000" w:themeColor="text1"/>
        </w:rPr>
      </w:pPr>
      <w:r>
        <w:rPr>
          <w:noProof/>
          <w:color w:val="000000" w:themeColor="text1"/>
        </w:rPr>
        <w:t xml:space="preserve">Le «principe de primauté de l’efficacité énergétique» demeure un principe stratégique fondamental, et l’incidence de l’objectif d’efficacité énergétique à l’horizon 2030 s’étend jusqu’en 2040. Cela permettra de mobiliser des financements privés tous secteurs confondus et de mettre en place un marché européen pour les investissements dans l’efficacité énergétique. Les modèles économiques circulaires réduisent la consommation d’énergie et de ressources. Le secteur public, à tous les niveaux, devrait montrer l’exemple, y compris par la passation de marchés publics écologiques qui tiennent compte des critères de durabilité, et devrait proposer un schéma directeur pour favoriser la transition. </w:t>
      </w:r>
    </w:p>
    <w:p w14:paraId="5C78DDA1" w14:textId="77777777" w:rsidR="00482E88" w:rsidRPr="007663CA" w:rsidRDefault="00482E88" w:rsidP="00482E88">
      <w:pPr>
        <w:rPr>
          <w:rFonts w:eastAsia="Calibri"/>
          <w:noProof/>
          <w:color w:val="000000" w:themeColor="text1"/>
        </w:rPr>
      </w:pPr>
      <w:r>
        <w:rPr>
          <w:noProof/>
          <w:color w:val="000000" w:themeColor="text1"/>
        </w:rPr>
        <w:t>Le parc immobilier de l’UE représente 42 % de la consommation finale d’énergie, soit plus de la moitié de la consommation intérieure brute de gaz naturel et environ 35 % des émissions de gaz à effet de serre liées à l’énergie. Environ 80 % de la consommation d’énergie des bâtiments provient des besoins en chauffage et en refroidissement. La tarification du carbone pour tous les combustibles, prévue à partir de 2027, créera des conditions de concurrence équitables pour l’électricité et générera des recettes, y compris pour le Fonds social pour le climat, qui pourraient être mises à profit pour des investissements et le financement de réformes structurelles. Une taxation de l’énergie repensée peut encore accélérer l’électrification écologique du parc immobilier et du système énergétique.</w:t>
      </w:r>
    </w:p>
    <w:p w14:paraId="23DB41AE" w14:textId="77777777" w:rsidR="00482E88" w:rsidRPr="007663CA" w:rsidRDefault="00482E88" w:rsidP="00482E88">
      <w:pPr>
        <w:rPr>
          <w:rFonts w:eastAsia="Calibri"/>
          <w:i/>
          <w:iCs/>
          <w:noProof/>
          <w:color w:val="000000" w:themeColor="text1"/>
        </w:rPr>
      </w:pPr>
      <w:r>
        <w:rPr>
          <w:i/>
          <w:noProof/>
          <w:color w:val="000000" w:themeColor="text1"/>
        </w:rPr>
        <w:t>Électrification, réseaux et infrastructures, intégration des systèmes, stockage, numérisation et flexibilité</w:t>
      </w:r>
    </w:p>
    <w:p w14:paraId="2D738209" w14:textId="0CD6C45D" w:rsidR="00482E88" w:rsidRPr="007663CA" w:rsidRDefault="00482E88" w:rsidP="00482E88">
      <w:pPr>
        <w:rPr>
          <w:rFonts w:eastAsia="Calibri"/>
          <w:noProof/>
          <w:color w:val="000000" w:themeColor="text1"/>
        </w:rPr>
      </w:pPr>
      <w:r>
        <w:rPr>
          <w:noProof/>
          <w:color w:val="000000" w:themeColor="text1"/>
        </w:rPr>
        <w:t>L’électrification, avec un système électrique entièrement décarboné d’ici à 2040, est le principal moteur de la transition énergétique. La part de l’électricité dans la consommation finale d’énergie doublera, passant de 25 % aujourd’hui à environ 50 % en 2040. Il ressort de l’analyse d’impact que la majorité des énergies renouvelables (</w:t>
      </w:r>
      <w:r w:rsidRPr="007663CA">
        <w:rPr>
          <w:rStyle w:val="FootnoteReference"/>
          <w:rFonts w:eastAsia="Calibri"/>
          <w:noProof/>
          <w:color w:val="000000" w:themeColor="text1"/>
        </w:rPr>
        <w:footnoteReference w:id="21"/>
      </w:r>
      <w:r>
        <w:rPr>
          <w:noProof/>
          <w:color w:val="000000" w:themeColor="text1"/>
        </w:rPr>
        <w:t>), complétées par l’énergie nucléaire (</w:t>
      </w:r>
      <w:r w:rsidR="005060FD">
        <w:rPr>
          <w:rStyle w:val="FootnoteReference"/>
          <w:rFonts w:eastAsia="Calibri"/>
          <w:noProof/>
          <w:color w:val="000000" w:themeColor="text1"/>
        </w:rPr>
        <w:footnoteReference w:id="22"/>
      </w:r>
      <w:r>
        <w:rPr>
          <w:noProof/>
          <w:color w:val="000000" w:themeColor="text1"/>
        </w:rPr>
        <w:t>), généreront plus de 90 % de l’électricité qui sera consommée dans l’UE en 2040 (</w:t>
      </w:r>
      <w:r w:rsidRPr="007663CA">
        <w:rPr>
          <w:rStyle w:val="FootnoteReference"/>
          <w:rFonts w:eastAsia="Calibri"/>
          <w:noProof/>
          <w:color w:val="000000" w:themeColor="text1"/>
        </w:rPr>
        <w:footnoteReference w:id="23"/>
      </w:r>
      <w:r>
        <w:rPr>
          <w:noProof/>
          <w:color w:val="000000" w:themeColor="text1"/>
        </w:rPr>
        <w:t xml:space="preserve">). </w:t>
      </w:r>
    </w:p>
    <w:p w14:paraId="4350543C" w14:textId="77777777" w:rsidR="00482E88" w:rsidRPr="007663CA" w:rsidRDefault="00482E88" w:rsidP="00482E88">
      <w:pPr>
        <w:rPr>
          <w:rFonts w:eastAsia="Calibri"/>
          <w:noProof/>
          <w:color w:val="000000" w:themeColor="text1"/>
          <w:highlight w:val="green"/>
        </w:rPr>
      </w:pPr>
      <w:r>
        <w:rPr>
          <w:noProof/>
          <w:color w:val="000000" w:themeColor="text1"/>
        </w:rPr>
        <w:t>Aujourd’hui, le marché intégré de l’électricité représente un gain d’environ 34 milliards d’EUR par an pour les consommateurs européens (</w:t>
      </w:r>
      <w:r w:rsidRPr="007663CA">
        <w:rPr>
          <w:rStyle w:val="FootnoteReference"/>
          <w:rFonts w:eastAsia="Calibri"/>
          <w:noProof/>
          <w:color w:val="000000" w:themeColor="text1"/>
        </w:rPr>
        <w:footnoteReference w:id="24"/>
      </w:r>
      <w:r>
        <w:rPr>
          <w:noProof/>
          <w:color w:val="000000" w:themeColor="text1"/>
        </w:rPr>
        <w:t>). L’augmentation de la part des énergies renouvelables et de l’électrification nécessitera des investissements considérables dans l’expansion des réseaux électriques de l’UE pour ce qui est de la distribution et du transport, ainsi que dans la mise en œuvre de réseaux plus intelligents et plus flexibles. De nouvelles interconnexions, des réseaux de distribution élargis, des installations de stockage d’énergie, un approvisionnement en énergie pilotable, des solutions liées au marché de la flexibilité et le couplage sectoriel seront nécessaires pour garantir la flexibilité et la sécurité de l’approvisionnement. Le récent plan d’action de l’UE pour les réseaux est une première étape dans ce sens, et sa mise en œuvre rapide devrait rester une priorité pour la Commission, les États membres et l’industrie en vue d’atteindre les objectifs pour 2030 et 2040. Cette expérience pourrait déboucher sur un plan directeur global permettant l’accélération du développement d’une infrastructure énergétique européenne intégrée. La sécurité et la résilience des infrastructures énergétiques critiques constituent une priorité essentielle pour garantir la sécurité et la stabilité de l’approvisionnement énergétique.</w:t>
      </w:r>
      <w:r>
        <w:rPr>
          <w:noProof/>
          <w:color w:val="000000" w:themeColor="text1"/>
          <w:highlight w:val="green"/>
        </w:rPr>
        <w:t xml:space="preserve"> </w:t>
      </w:r>
    </w:p>
    <w:p w14:paraId="7BBC47C7" w14:textId="77777777" w:rsidR="00482E88" w:rsidRPr="007663CA" w:rsidRDefault="00482E88" w:rsidP="00482E88">
      <w:pPr>
        <w:rPr>
          <w:rFonts w:eastAsia="Calibri"/>
          <w:noProof/>
          <w:color w:val="000000" w:themeColor="text1"/>
        </w:rPr>
      </w:pPr>
      <w:r>
        <w:rPr>
          <w:noProof/>
          <w:color w:val="000000" w:themeColor="text1"/>
        </w:rPr>
        <w:t>Les consommateurs devraient être mis en mesure d’adapter leur consommation aux conditions du marché. La numérisation du système énergétique, notamment le recours à l’intelligence artificielle, est indispensable pour des sources d’énergie plus flexibles (</w:t>
      </w:r>
      <w:r w:rsidRPr="007663CA">
        <w:rPr>
          <w:rStyle w:val="FootnoteReference"/>
          <w:noProof/>
        </w:rPr>
        <w:footnoteReference w:id="25"/>
      </w:r>
      <w:r>
        <w:rPr>
          <w:noProof/>
          <w:color w:val="000000" w:themeColor="text1"/>
        </w:rPr>
        <w:t>).</w:t>
      </w:r>
    </w:p>
    <w:p w14:paraId="011A902A" w14:textId="77777777" w:rsidR="00482E88" w:rsidRPr="007663CA" w:rsidRDefault="00482E88" w:rsidP="00482E88">
      <w:pPr>
        <w:rPr>
          <w:rFonts w:eastAsia="Calibri"/>
          <w:noProof/>
          <w:color w:val="000000" w:themeColor="text1"/>
        </w:rPr>
      </w:pPr>
      <w:r>
        <w:rPr>
          <w:noProof/>
          <w:color w:val="000000" w:themeColor="text1"/>
        </w:rPr>
        <w:t xml:space="preserve">Compte tenu de tous ces axes de travail, l’un des objectifs réglementaires primordiaux, tant au niveau de l’UE qu’au niveau national, sera d’éviter des tarifs de réseau trop élevés pour les utilisateurs finals en raison de l’amortissement des investissements initiaux dans le réseau et de l’électrification.  </w:t>
      </w:r>
    </w:p>
    <w:p w14:paraId="731939E7" w14:textId="77777777" w:rsidR="00482E88" w:rsidRPr="007663CA" w:rsidRDefault="00482E88" w:rsidP="00482E88">
      <w:pPr>
        <w:rPr>
          <w:rFonts w:eastAsia="Calibri"/>
          <w:i/>
          <w:iCs/>
          <w:noProof/>
          <w:color w:val="000000" w:themeColor="text1"/>
        </w:rPr>
      </w:pPr>
      <w:r>
        <w:rPr>
          <w:i/>
          <w:noProof/>
          <w:color w:val="000000" w:themeColor="text1"/>
        </w:rPr>
        <w:t xml:space="preserve">Combustibles fossiles </w:t>
      </w:r>
    </w:p>
    <w:p w14:paraId="29CF37ED" w14:textId="77777777" w:rsidR="00482E88" w:rsidRPr="007663CA" w:rsidRDefault="00482E88" w:rsidP="00482E88">
      <w:pPr>
        <w:rPr>
          <w:rFonts w:eastAsia="Calibri"/>
          <w:noProof/>
          <w:color w:val="000000" w:themeColor="text1"/>
        </w:rPr>
      </w:pPr>
      <w:r>
        <w:rPr>
          <w:noProof/>
        </w:rPr>
        <w:t>En 2040, la consommation de combustibles fossiles pour la production d’énergie devrait diminuer d’environ 80 % par rapport à ce qu’elle était en 2021. Le charbon disparaîtra progressivement, tandis que le pétrole dans les transports (routier, maritime et aérien) devrait représenter environ 60 % des utilisations énergétiques restantes de combustibles fossiles. L’utilisation résiduelle de gaz naturel serait répartie entre l’industrie, les bâtiments et le système électrique. Conformément à l’engagement international d’abandon progressif des combustibles fossiles, les politiques devraient garantir que toute combustion restante de combustibles fossiles sera associée dès que possible au captage (utilisation) et au stockage du carbone.</w:t>
      </w:r>
      <w:r>
        <w:rPr>
          <w:noProof/>
          <w:color w:val="000000" w:themeColor="text1"/>
        </w:rPr>
        <w:t xml:space="preserve"> La structure du marché du gaz évoluera considérablement, les gaz et combustibles liquides bas carbone et d’origine renouvelable occupant une place de plus en plus importante. Les infrastructures gazières devront s’adapter à la production décentralisée, et une part importante du réseau pétrolier et gazier pourrait être progressivement réaffectée aux carburants de synthèse, aux biocarburants avancés et à l’hydrogène bas carbone et d’origine renouvelable. Les utilisations non énergétiques, notamment en tant que matières premières pour la fabrication de biens, représenteraient un tiers environ de la consommation restante de combustibles fossiles. </w:t>
      </w:r>
      <w:r>
        <w:rPr>
          <w:noProof/>
        </w:rPr>
        <w:t>Les subventions inefficaces en faveur des combustibles fossiles qui ne remédient pas à la précarité énergétique ou ne contribuent pas à la transition juste devraient avoir été progressivement supprimées d’ici là.</w:t>
      </w:r>
      <w:r>
        <w:rPr>
          <w:noProof/>
          <w:color w:val="000000" w:themeColor="text1"/>
        </w:rPr>
        <w:t xml:space="preserve"> </w:t>
      </w:r>
    </w:p>
    <w:p w14:paraId="0DA1386C" w14:textId="77777777" w:rsidR="00482E88" w:rsidRPr="007663CA" w:rsidRDefault="00482E88" w:rsidP="00482E88">
      <w:pPr>
        <w:pStyle w:val="Heading2"/>
        <w:tabs>
          <w:tab w:val="clear" w:pos="360"/>
        </w:tabs>
        <w:ind w:left="0" w:firstLine="0"/>
        <w:rPr>
          <w:noProof/>
        </w:rPr>
      </w:pPr>
      <w:bookmarkStart w:id="20" w:name="_Toc157365430"/>
      <w:bookmarkStart w:id="21" w:name="_Toc157365431"/>
      <w:bookmarkStart w:id="22" w:name="_Toc157365432"/>
      <w:bookmarkStart w:id="23" w:name="_Toc157365433"/>
      <w:bookmarkStart w:id="24" w:name="_Toc157365434"/>
      <w:bookmarkStart w:id="25" w:name="_Toc157365435"/>
      <w:bookmarkStart w:id="26" w:name="_Toc157365436"/>
      <w:bookmarkStart w:id="27" w:name="_Toc157365437"/>
      <w:bookmarkStart w:id="28" w:name="_Toc157365438"/>
      <w:bookmarkStart w:id="29" w:name="_Toc157365439"/>
      <w:bookmarkStart w:id="30" w:name="_Toc157365440"/>
      <w:bookmarkStart w:id="31" w:name="_Toc157365441"/>
      <w:bookmarkStart w:id="32" w:name="_Toc157365442"/>
      <w:bookmarkStart w:id="33" w:name="_Toc157365443"/>
      <w:bookmarkStart w:id="34" w:name="_Toc157365444"/>
      <w:bookmarkStart w:id="35" w:name="_Toc157365445"/>
      <w:bookmarkStart w:id="36" w:name="_Toc157365446"/>
      <w:bookmarkStart w:id="37" w:name="_Toc157365447"/>
      <w:bookmarkStart w:id="38" w:name="_Toc157365448"/>
      <w:bookmarkStart w:id="39" w:name="_Toc157365449"/>
      <w:bookmarkStart w:id="40" w:name="_Toc157365450"/>
      <w:bookmarkStart w:id="41" w:name="_Toc157365451"/>
      <w:bookmarkStart w:id="42" w:name="_Toc160204883"/>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noProof/>
        </w:rPr>
        <w:t>Accord de décarbonation de l’industrie</w:t>
      </w:r>
      <w:bookmarkEnd w:id="42"/>
      <w:r>
        <w:rPr>
          <w:noProof/>
        </w:rPr>
        <w:t xml:space="preserve"> </w:t>
      </w:r>
    </w:p>
    <w:p w14:paraId="7CFE38FC" w14:textId="2637D039" w:rsidR="00482E88" w:rsidRDefault="00482E88" w:rsidP="00482E88">
      <w:pPr>
        <w:rPr>
          <w:noProof/>
          <w:sz w:val="22"/>
          <w:szCs w:val="22"/>
        </w:rPr>
      </w:pPr>
      <w:r>
        <w:rPr>
          <w:noProof/>
        </w:rPr>
        <w:t xml:space="preserve">Pour que le pacte vert pour l’Europe soit mis en œuvre avec succès au cours de la prochaine décennie, il doit être complété, dès aujourd’hui et dans les années à venir, par un </w:t>
      </w:r>
      <w:bookmarkStart w:id="43" w:name="_Toc155286926"/>
      <w:r>
        <w:rPr>
          <w:noProof/>
        </w:rPr>
        <w:t>programme</w:t>
      </w:r>
      <w:bookmarkEnd w:id="43"/>
      <w:r>
        <w:rPr>
          <w:noProof/>
        </w:rPr>
        <w:t xml:space="preserve"> européen renouvelé et plus ferme en faveur d’une industrie et d’une compétitivité durables. Un tel cadre propice à la décarbonation de l’industrie s’appuiera sur le plan industriel du pacte vert (</w:t>
      </w:r>
      <w:r>
        <w:rPr>
          <w:rStyle w:val="FootnoteReference"/>
          <w:rFonts w:eastAsia="Times New Roman"/>
          <w:noProof/>
        </w:rPr>
        <w:footnoteReference w:id="26"/>
      </w:r>
      <w:r>
        <w:rPr>
          <w:noProof/>
        </w:rPr>
        <w:t>). La mise en place de conditions-cadres favorables pour tous les secteurs de l’économie (y compris l’accès au financement, les compétences et l’énergie à un prix abordable) est un préalable à la réussite de la transition. Dans le même temps, certains secteurs économiques, compte tenu des investissements initiaux à consentir pour les technologies propres et d’un environnement de marché difficile, méritent une attention particulière concernant l’adaptation de leurs procédés de production pour assurer la mise en application du cadre lié au pacte vert. Il en va de même des PME, qui auront besoin d’un soutien spécifique en matière d’accès au financement pour des investissements durables ainsi que pour mieux s’orienter s’y retrouver entre les différentes réglementations pertinentes de l’UE.</w:t>
      </w:r>
    </w:p>
    <w:p w14:paraId="1E3F805D" w14:textId="17BBD6A0" w:rsidR="00482E88" w:rsidRDefault="00482E88" w:rsidP="00482E88">
      <w:pPr>
        <w:rPr>
          <w:rFonts w:eastAsia="Times New Roman"/>
          <w:noProof/>
        </w:rPr>
      </w:pPr>
      <w:r>
        <w:rPr>
          <w:noProof/>
        </w:rPr>
        <w:t>Le succès de la transformation permettra à l’UE de maintenir sa puissance industrielle dans des secteurs tels que l’énergie éolienne, l’hydroélectricité et les électrolyseurs, dans lesquels elle enregistre déjà un excédent commercial, et de continuer à augmenter la capacité de production des entreprises de l’Union dans des secteurs en croissance tels que les batteries, les véhicules électriques, les pompes à chaleur, le solaire photovoltaïque, le CUC/CSC, la technologie de production de biogaz et de biométhane durables et l’économie circulaire. Le développement d’industries vertes et circulaires robustes, tant dans l’UE que chez des partenaires partageant la même optique, renforcera la durabilité compétitive de l’UE, multipliera les débouchés commerciaux pour les entreprises, générera des économies d’échelle et, de manière plus générale, sera bénéfique pour l’économie européenne, par la création d’emplois hautement qualifiés afin de soutenir la transition climatique et de veiller à ce que celle-ci soit inclusive et juste au plan social.</w:t>
      </w:r>
    </w:p>
    <w:p w14:paraId="0D1487B1" w14:textId="4BEFEFC8" w:rsidR="00482E88" w:rsidRPr="007663CA" w:rsidRDefault="00482E88" w:rsidP="00482E88">
      <w:pPr>
        <w:rPr>
          <w:rFonts w:eastAsia="Times New Roman"/>
          <w:noProof/>
        </w:rPr>
      </w:pPr>
      <w:bookmarkStart w:id="44" w:name="_Hlk157180276"/>
      <w:bookmarkEnd w:id="44"/>
      <w:r>
        <w:rPr>
          <w:noProof/>
        </w:rPr>
        <w:t>La concurrence mondiale sera intense sur les technologies à émissions faibles ou nulles. Le recours massif, par nos principaux concurrents, aux subventions publiques et aux initiatives stratégiques perturbe le commerce libre et équitable. Les technologies «zéro net» sont au cœur d’intérêts géostratégiques considérables et d’une course technologique à l’échelle mondiale. En Chine, la planification à long terme, l’intégration verticale de secteurs entiers et les subventions publiques ont poussé les coûts à la baisse, permettant à ce pays d’asseoir sa domination dans de nombreuses chaînes d’approvisionnement de technologies propres, des matières premières aux produits finals, en passant par les composants. Aux États-Unis, la loi américaine sur la réduction de l’inflation («Inflation Reduction Act») prévoit des incitations fiscales pour l’investissement et la production dans les technologies propres. L’Europe prend des mesures pour préserver son propre rôle de leader dans cette course, en s’appuyant sur ses principaux atouts et en nouant des partenariats gagnant-gagnant avec des partenaires partageant la même optique. Elle continuera d’appliquer ses instruments de défense commerciale afin de protéger l’industrie contre les importations déloyales et, partant, de garantir la résilience des chaînes d’approvisionnement. La force de l’Europe réside notamment dans sa stabilité, ses politiques prévisibles et son expérience, acquise de longue date, dans la mise sur le marché de solutions industrielles innovantes et de haute qualité.</w:t>
      </w:r>
    </w:p>
    <w:p w14:paraId="67A644D9" w14:textId="77777777" w:rsidR="00482E88" w:rsidRPr="007663CA" w:rsidRDefault="00482E88" w:rsidP="00482E88">
      <w:pPr>
        <w:rPr>
          <w:rFonts w:eastAsia="Times New Roman"/>
          <w:i/>
          <w:noProof/>
        </w:rPr>
      </w:pPr>
      <w:r>
        <w:rPr>
          <w:i/>
          <w:noProof/>
        </w:rPr>
        <w:t>Un cadre propice à l’investissement et à la compétitivité en Europe...</w:t>
      </w:r>
    </w:p>
    <w:p w14:paraId="70AC37D5" w14:textId="693D0DDB" w:rsidR="00482E88" w:rsidRPr="007663CA" w:rsidRDefault="00482E88" w:rsidP="00482E88">
      <w:pPr>
        <w:rPr>
          <w:rFonts w:eastAsia="Times New Roman"/>
          <w:noProof/>
        </w:rPr>
      </w:pPr>
      <w:r>
        <w:rPr>
          <w:noProof/>
        </w:rPr>
        <w:t xml:space="preserve">L’établissement d’un environnement réglementaire et financier favorable attirera les investissements et la production en Europe. Le règlement sur les matières premières critiques, le règlement sur l’écoconception pour des produits durables et le règlement pour une industrie «zéro net» sont des instruments de premier plan pour garantir une autonomie stratégique ouverte, notamment par l’intensification de la production dans l’UE, l’établissement de partenariats clés avec des partenaires partageant la même optique, l’application des principes de l’économie circulaire tout au long de la chaîne de valeur, la diversification, la réalisation de projets stratégiques et la facilitation de l’octroi de permis toutes technologies et infrastructures confondues. Le règlement pour une industrie «zéro net» est une étape concrète dans l’élaboration d’un argumentaire économique pour l’industrie en faveur de la transition européenne vers la neutralité carbone. Il traite des bons sujets en ce qu’il accélère considérablement les procédures d’octroi de permis, l’accent étant mis sur les investissements dans la R&amp;D, ainsi que l’accès aux régimes de financement existants de l’UE. </w:t>
      </w:r>
    </w:p>
    <w:p w14:paraId="19E6E203" w14:textId="14B2C4AF" w:rsidR="00482E88" w:rsidRPr="007663CA" w:rsidRDefault="00482E88" w:rsidP="00482E88">
      <w:pPr>
        <w:rPr>
          <w:rFonts w:eastAsia="Times New Roman"/>
          <w:noProof/>
        </w:rPr>
      </w:pPr>
      <w:bookmarkStart w:id="45" w:name="_Hlk156292416"/>
      <w:r>
        <w:rPr>
          <w:noProof/>
        </w:rPr>
        <w:t>La politique industrielle devrait renforcer les secteurs qui sont nécessaires à la transition écologique, mais qui peuvent être mis en difficulté par celle-ci parce que leur décarbonation est plus problématique, de sorte que, sans une attention et un soutien ciblés et soumis à conditions, ils pourraient ne pas passer le cap de la transition. Il pourrait s’agir, par exemple, d’alliances industrielles et de pôles industriels symbiotiques, tels que les vallées de l’hydrogène (</w:t>
      </w:r>
      <w:r>
        <w:rPr>
          <w:rStyle w:val="FootnoteReference"/>
          <w:noProof/>
        </w:rPr>
        <w:footnoteReference w:id="27"/>
      </w:r>
      <w:r>
        <w:rPr>
          <w:noProof/>
        </w:rPr>
        <w:t>), dans l’UE et les pays voisins. De tels pôles aident les fournisseurs de technologies propres à développer leurs activités et à améliorer leur viabilité commerciale en leur permettant d’approvisionner plusieurs acheteurs industriels au sein d’un même pôle, tandis que l’industrie manufacturière pourrait décarboner ses activités de manière plus efficace et à moindres frais grâce à un accès garanti à des technologies propres et à la mutualisation des coûts. Il convient d’accorder une attention particulière à la création de marchés pilotes pour les technologies et les produits propres en Europe, fondés notamment sur le principe de circularité et les bioproduits issus de sources durables.</w:t>
      </w:r>
    </w:p>
    <w:bookmarkEnd w:id="45"/>
    <w:p w14:paraId="49795BD7" w14:textId="664984EF" w:rsidR="00482E88" w:rsidRDefault="00482E88" w:rsidP="00482E88">
      <w:pPr>
        <w:rPr>
          <w:noProof/>
        </w:rPr>
      </w:pPr>
      <w:r>
        <w:rPr>
          <w:noProof/>
        </w:rPr>
        <w:t xml:space="preserve">En outre, des instruments-relais sont nécessaires pour soutenir les industries avant qu’elles ne deviennent commercialement viables. Cela nécessite une réflexion globale sur tous les aspects qui influent sur l’investissement privé: de la fiscalité à l’accès au financement, en passant par les compétences, les charges réglementaires et les coûts de l’énergie pour les activités commerciales courantes. Dans ce contexte, il convient d’accorder une attention nettement accrue et constante à la simplification de l’environnement réglementaire applicable aux entreprises, ainsi que d’imprimer un nouvel élan en faveur d’un marché unique robuste qui élimine les obstacles réglementaires nationaux inutiles, en particulier en ce qui concerne les technologies clés. Les entreprises seront ainsi à même de développer davantage de solutions fonctionnant dans toute l’Europe, renforçant ainsi leur attractivité économique pour les investisseurs; il s’agit là d’un aspect essentiel pour le succès futur de la mise en œuvre des objectifs de l’UE. </w:t>
      </w:r>
    </w:p>
    <w:p w14:paraId="4FC51D46" w14:textId="499E1603" w:rsidR="00482E88" w:rsidRDefault="00482E88" w:rsidP="00482E88">
      <w:pPr>
        <w:rPr>
          <w:noProof/>
        </w:rPr>
      </w:pPr>
      <w:r>
        <w:rPr>
          <w:noProof/>
        </w:rPr>
        <w:t>Il convient également d’accorder une attention particulière au rôle des PME. Elles sont des moteurs de la transition et occupent une place fondamentale dans un certain nombre de chaînes d’approvisionnement, mais elles subissent très souvent les effets des modifications du cadre d’action et de la réglementation. Compte tenu de leur petite taille et, partant, de leurs ressources limitées, elles pourraient avoir besoin d’un soutien supplémentaire pour adapter leurs procédés de production, par exemple, afin de mettre en œuvre le cadre du pacte vert.</w:t>
      </w:r>
    </w:p>
    <w:p w14:paraId="5800DBEC" w14:textId="56E68FE8" w:rsidR="00482E88" w:rsidRDefault="00482E88" w:rsidP="00482E88">
      <w:pPr>
        <w:rPr>
          <w:rFonts w:eastAsia="Times New Roman"/>
          <w:noProof/>
        </w:rPr>
      </w:pPr>
      <w:r>
        <w:rPr>
          <w:noProof/>
        </w:rPr>
        <w:t xml:space="preserve">Les investissements publics doivent être bien ciblés, et conçus en associant et en mutualisant de manière optimale subventions, prêts, fonds propres, garanties, conseils et autres formes d’aide publique, en les rendant accessibles de la manière la plus rapide et la plus simple possible. La facilité pour la reprise et la résilience (FRR), pierre angulaire de NextGenerationEU, continuera de contribuer à la transition écologique. Le Fonds pour l’innovation, dont l’enveloppe est estimée à 40 milliards d’EUR d’ici à 2030, peut jouer un rôle important, notamment grâce à des instruments de mise en concurrence par enchères à l’échelle de l’UE et à des «enchères en tant que service» conjointement avec les États membres. La garantie budgétaire InvestEU devrait mobiliser plus de 110 milliards d’investissements verts s’appuyant sur le budget de l’Union, parallèlement aux ressources du groupe BEI et d’autres partenaires chargés de la mise en œuvre. </w:t>
      </w:r>
    </w:p>
    <w:p w14:paraId="449E9664" w14:textId="77777777" w:rsidR="00482E88" w:rsidRPr="007663CA" w:rsidRDefault="00482E88" w:rsidP="00482E88">
      <w:pPr>
        <w:rPr>
          <w:rFonts w:eastAsia="Times New Roman"/>
          <w:noProof/>
        </w:rPr>
      </w:pPr>
      <w:r>
        <w:rPr>
          <w:i/>
          <w:noProof/>
        </w:rPr>
        <w:t>En accordant toute l’attention nécessaire à une industrie manufacturière décarbonée et compétitive</w:t>
      </w:r>
      <w:r>
        <w:rPr>
          <w:noProof/>
        </w:rPr>
        <w:t xml:space="preserve"> </w:t>
      </w:r>
    </w:p>
    <w:p w14:paraId="12FC5931" w14:textId="29303BF3" w:rsidR="00482E88" w:rsidRDefault="00482E88" w:rsidP="00482E88">
      <w:pPr>
        <w:rPr>
          <w:rFonts w:eastAsia="Times New Roman"/>
          <w:noProof/>
        </w:rPr>
      </w:pPr>
      <w:r>
        <w:rPr>
          <w:noProof/>
        </w:rPr>
        <w:t>L’électrification, des procédés de production adaptés, des carburants bas carbone et un déploiement complet du captage des émissions de procédé permettront à l’industrie manufacturière de réduire considérablement ses émissions de CO</w:t>
      </w:r>
      <w:r>
        <w:rPr>
          <w:noProof/>
          <w:vertAlign w:val="subscript"/>
        </w:rPr>
        <w:t>2</w:t>
      </w:r>
      <w:r>
        <w:rPr>
          <w:noProof/>
        </w:rPr>
        <w:t xml:space="preserve"> d’ici à 2040. Le SEQE de l’UE, avec sa tarification commune du carbone, fournit un outil fondé sur le marché pour l’innovation et offre une prévisibilité à long terme pour les principaux émetteurs européens.</w:t>
      </w:r>
      <w:r>
        <w:rPr>
          <w:rFonts w:ascii="Segoe UI" w:hAnsi="Segoe UI"/>
          <w:noProof/>
          <w:sz w:val="18"/>
        </w:rPr>
        <w:t xml:space="preserve"> </w:t>
      </w:r>
      <w:r>
        <w:rPr>
          <w:noProof/>
        </w:rPr>
        <w:t>Pour certaines industries, cela implique d’investir dans une transformation en profondeur de procédés de production (</w:t>
      </w:r>
      <w:r>
        <w:rPr>
          <w:rStyle w:val="FootnoteReference"/>
          <w:rFonts w:eastAsia="Times New Roman"/>
          <w:noProof/>
        </w:rPr>
        <w:footnoteReference w:id="28"/>
      </w:r>
      <w:r>
        <w:rPr>
          <w:noProof/>
        </w:rPr>
        <w:t xml:space="preserve">). Le captage, l’utilisation et le stockage du carbone sont une solution pour les secteurs dans lesquels les émissions sont difficiles à réduire, faute d’autres possibilités. </w:t>
      </w:r>
    </w:p>
    <w:p w14:paraId="75F65EA0" w14:textId="77777777" w:rsidR="00482E88" w:rsidRDefault="00482E88" w:rsidP="00482E88">
      <w:pPr>
        <w:rPr>
          <w:rFonts w:eastAsia="Times New Roman"/>
          <w:noProof/>
        </w:rPr>
      </w:pPr>
      <w:r>
        <w:rPr>
          <w:noProof/>
        </w:rPr>
        <w:t>Les coûts de l’énergie sont essentiels à la compétitivité de l’industrie et, en particulier, des industries européennes à forte intensité énergétique (</w:t>
      </w:r>
      <w:r>
        <w:rPr>
          <w:rStyle w:val="FootnoteReference"/>
          <w:rFonts w:eastAsia="Times New Roman"/>
          <w:noProof/>
        </w:rPr>
        <w:footnoteReference w:id="29"/>
      </w:r>
      <w:r>
        <w:rPr>
          <w:noProof/>
        </w:rPr>
        <w:t>), et méritent qu’on leur accorde une attention particulière au moyen de politiques spécifiques visant à permettre aux pionniers de l’énergie propre de bénéficier d’une transition en douceur en ce qui concerne les prix de l’énergie. Tout d’abord, la réforme adoptée de l’organisation du marché de l’électricité rend les factures énergétiques des entreprises moins tributaires du prix à court terme de l’électricité sur le marché. Il sera essentiel, pour créer une base manufacturière intérieure prospère et atteindre les ambitions en matière de climat, de continuer à étendre l’application du principe de durabilité compétitive en récompensant les entreprises européennes qui investissent dans les technologies à faible intensité de carbone, y compris au moyen de procédures de marchés publics ou de réformes ciblées des réglementations relatives à l’accès au réseau électrique.</w:t>
      </w:r>
    </w:p>
    <w:p w14:paraId="07991850" w14:textId="77777777" w:rsidR="00482E88" w:rsidRPr="007663CA" w:rsidRDefault="00482E88" w:rsidP="00482E88">
      <w:pPr>
        <w:rPr>
          <w:rFonts w:eastAsia="Times New Roman"/>
          <w:noProof/>
        </w:rPr>
      </w:pPr>
      <w:r>
        <w:rPr>
          <w:i/>
          <w:noProof/>
        </w:rPr>
        <w:t>... reposant sur une économie plus circulaire et une bioéconomie durable</w:t>
      </w:r>
    </w:p>
    <w:p w14:paraId="17467607" w14:textId="77777777" w:rsidR="00482E88" w:rsidRPr="007663CA" w:rsidRDefault="00482E88" w:rsidP="00482E88">
      <w:pPr>
        <w:rPr>
          <w:rFonts w:eastAsia="Times New Roman"/>
          <w:noProof/>
        </w:rPr>
      </w:pPr>
      <w:r>
        <w:rPr>
          <w:noProof/>
        </w:rPr>
        <w:t xml:space="preserve">Il ressort de l’analyse d’impact que, jusqu’en 2040, l’économie circulaire jouera un rôle de plus en plus important à la fois pour la réalisation de l’ambition climatique et pour la mise en place d’un nouveau modèle de prospérité pour l’Europe. Il est essentiel de lutter contre le changement climatique et l’utilisation excessive des ressources, pour de nouvelles perspectives économiques et une plus grande autonomie de l’UE. Cela fait de la mise en œuvre du plan d’action pour une économie circulaire une nécessité et appelle un partenariat renouvelé avec l’industrie dans l’optique d’un futur programme en matière d’économie circulaire. </w:t>
      </w:r>
    </w:p>
    <w:p w14:paraId="052AB088" w14:textId="3168188E" w:rsidR="00482E88" w:rsidRPr="007663CA" w:rsidRDefault="00482E88" w:rsidP="00482E88">
      <w:pPr>
        <w:rPr>
          <w:rFonts w:eastAsia="Times New Roman"/>
          <w:noProof/>
        </w:rPr>
      </w:pPr>
      <w:r>
        <w:rPr>
          <w:noProof/>
        </w:rPr>
        <w:t xml:space="preserve">Un programme actualisé en faveur de l’économie circulaire présente des avantages évidents. Grâce à la réparation, à la rénovation, à la réutilisation et au recyclage de produits existants et, partant, à l’allongement de leur durée de vie fonctionnelle, les ressources sont utilisées plus efficacement dans la production. Les matières premières primaires peuvent être remplacées par des matières premières secondaires à moindre intensité de carbone. Les matériaux d’origine fossile peuvent également être remplacés par des matériaux biosourcés renouvelables issus de sources durables, ou par d’autres matériaux innovants respectueux de l’environnement. C’est notamment le cas dans des secteurs tels que la construction, les produits chimiques ou le textile. Les investissements dans l’innovation relative aux matériaux doivent être accrus, y compris concernant le renforcement des compétences dans le secteur bioéconomique. </w:t>
      </w:r>
    </w:p>
    <w:p w14:paraId="51C2F78B" w14:textId="77777777" w:rsidR="00482E88" w:rsidRDefault="00482E88" w:rsidP="00482E88">
      <w:pPr>
        <w:rPr>
          <w:rFonts w:eastAsia="Times New Roman"/>
          <w:noProof/>
        </w:rPr>
      </w:pPr>
      <w:r>
        <w:rPr>
          <w:noProof/>
        </w:rPr>
        <w:t>Une économie circulaire plus robuste rend possible des modèles commerciaux innovants qui répondent à l’évolution des préférences des consommateurs et tirent parti des solutions numériques. Par exemple, les modèles économiques circulaires tels que le produit en tant que service, la conception circulaire des produits garantissant une plus longue durée de vie, la réutilisation et la réparation, l’économie partagée ou la production à la demande peuvent induire une baisse du coût économique de l’utilisation d’énergie et de matériaux et faire des déchets, en les réinjectant dans l’économie, une ressource ayant une valeur économique. Les entreprises circulaires peuvent faire considérablement baisser les émissions de gaz à effet de serre dans les secteurs où ces émissions sont difficiles à réduire. On peut citer, par exemple, l’environnement bâti grâce à une meilleure gestion des déchets de construction et de démolition, l’industrie lourde grâce à des solutions de gestion des matériaux, le regroupement d’activités industrielles complémentaires très gourmandes en ressources, le transport grâce à la mobilité partagée et la logistique inverse, ainsi que le secteur alimentaire. En 2021, on dénombrait 4,3 millions d’emplois dans les secteurs économiques directement liés à l’économie circulaire, ce qui constitue une augmentation de 11 % par rapport à 2015 (</w:t>
      </w:r>
      <w:r w:rsidRPr="000923AF">
        <w:rPr>
          <w:noProof/>
          <w:vertAlign w:val="superscript"/>
        </w:rPr>
        <w:footnoteReference w:id="30"/>
      </w:r>
      <w:r>
        <w:rPr>
          <w:noProof/>
        </w:rPr>
        <w:t>). La réduction des intrants de matériaux grâce à la réutilisation et au recyclage est susceptible de stimuler la croissance et de créer un nombre important d’emplois dans l’UE, avec, en parallèle, une amélioration des connaissances et des compétences.</w:t>
      </w:r>
    </w:p>
    <w:p w14:paraId="3F9F7ACB" w14:textId="6DB853DD" w:rsidR="00482E88" w:rsidRPr="007663CA" w:rsidRDefault="00482E88" w:rsidP="00482E88">
      <w:pPr>
        <w:rPr>
          <w:rFonts w:eastAsia="Times New Roman"/>
          <w:noProof/>
        </w:rPr>
      </w:pPr>
      <w:r>
        <w:rPr>
          <w:noProof/>
        </w:rPr>
        <w:t xml:space="preserve">En réduisant la dépendance à l’égard des importations de matières premières critiques ainsi que la pression sur l’environnement et les risques associés à l’extraction et à la consommation des ressources naturelles, la circularité peut renforcer la sécurité et l’autonomie stratégique ouverte de l’UE. </w:t>
      </w:r>
    </w:p>
    <w:p w14:paraId="1E031FED" w14:textId="77777777" w:rsidR="00482E88" w:rsidRPr="007663CA" w:rsidRDefault="00482E88" w:rsidP="00482E88">
      <w:pPr>
        <w:rPr>
          <w:rFonts w:eastAsia="Times New Roman"/>
          <w:noProof/>
        </w:rPr>
      </w:pPr>
      <w:r>
        <w:rPr>
          <w:i/>
          <w:noProof/>
        </w:rPr>
        <w:t>Besoin croissant de gestion du carbone et d’absorptions de carbone dans l’industrie</w:t>
      </w:r>
      <w:r>
        <w:rPr>
          <w:noProof/>
        </w:rPr>
        <w:t xml:space="preserve"> </w:t>
      </w:r>
    </w:p>
    <w:p w14:paraId="78EC7985" w14:textId="77777777" w:rsidR="00482E88" w:rsidRPr="00FA5B3E" w:rsidRDefault="00482E88" w:rsidP="00482E88">
      <w:pPr>
        <w:rPr>
          <w:noProof/>
        </w:rPr>
      </w:pPr>
      <w:r>
        <w:rPr>
          <w:noProof/>
        </w:rPr>
        <w:t>Les efforts de décarbonation industrielle devront également porter sur les «émissions de procédé» qui ne sont pas liées à la combustion de combustibles. Le captage du carbone peut être une solution à cet égard.</w:t>
      </w:r>
    </w:p>
    <w:p w14:paraId="22FEECE3" w14:textId="78C92DE3" w:rsidR="00482E88" w:rsidRDefault="00482E88" w:rsidP="00482E88">
      <w:pPr>
        <w:rPr>
          <w:rFonts w:eastAsia="Times New Roman"/>
          <w:noProof/>
        </w:rPr>
      </w:pPr>
      <w:bookmarkStart w:id="46" w:name="_Hlk157086573"/>
      <w:r>
        <w:rPr>
          <w:noProof/>
        </w:rPr>
        <w:t>L’objectif pour 2040 suppose un déploiement précoce du captage du carbone (</w:t>
      </w:r>
      <w:r w:rsidRPr="002056FF">
        <w:rPr>
          <w:rStyle w:val="FootnoteReference"/>
          <w:rFonts w:eastAsia="Times New Roman"/>
          <w:noProof/>
        </w:rPr>
        <w:footnoteReference w:id="31"/>
      </w:r>
      <w:r>
        <w:rPr>
          <w:noProof/>
        </w:rPr>
        <w:t>)</w:t>
      </w:r>
      <w:bookmarkEnd w:id="46"/>
      <w:r>
        <w:rPr>
          <w:noProof/>
        </w:rPr>
        <w:t xml:space="preserve">. Il s’agit en partie de permettre la réalisation d’absorptions industrielles de carbone qui viendraient s’ajouter aux absorptions terrestres, consistant en la séquestration dans la biomasse et les sols, afin de contribuer à la réduction de 90 % des émissions nettes de gaz à effet de serre. </w:t>
      </w:r>
    </w:p>
    <w:p w14:paraId="28D286D3" w14:textId="3A78B2F8" w:rsidR="00482E88" w:rsidRPr="007663CA" w:rsidRDefault="00482E88" w:rsidP="00482E88">
      <w:pPr>
        <w:spacing w:after="240"/>
        <w:rPr>
          <w:rFonts w:eastAsia="Times New Roman"/>
          <w:noProof/>
          <w:color w:val="000000" w:themeColor="text1"/>
        </w:rPr>
      </w:pPr>
      <w:r>
        <w:rPr>
          <w:noProof/>
        </w:rPr>
        <w:t>Un large éventail de solutions sera nécessaire à cet effet, telles que le BioCSC</w:t>
      </w:r>
      <w:r>
        <w:rPr>
          <w:rStyle w:val="FootnoteReference"/>
          <w:rFonts w:eastAsia="Times New Roman"/>
          <w:noProof/>
        </w:rPr>
        <w:footnoteReference w:id="32"/>
      </w:r>
      <w:r>
        <w:rPr>
          <w:noProof/>
        </w:rPr>
        <w:t xml:space="preserve"> (bioénergie avec captage et stockage du carbone), le DACCS (captage direct dans l’air avec stockage du carbone) et éventuellement d’autres approches nouvelles. </w:t>
      </w:r>
      <w:r>
        <w:rPr>
          <w:noProof/>
          <w:color w:val="000000" w:themeColor="text1"/>
        </w:rPr>
        <w:t xml:space="preserve">Les technologies de captage, d’utilisation et de stockage du carbone (CUSC) permettent la décarbonation de secteurs industriels qui ne disposent pas d’autres solutions de décarbonation, par le stockage permanent du carbone sous terre ou dans des produits et par le remplacement du carbone fossile utilisé actuellement comme matière première dans diverses industries par du carbone non fossile. </w:t>
      </w:r>
      <w:r>
        <w:rPr>
          <w:noProof/>
        </w:rPr>
        <w:t>De même, le développement de chaînes de valeur du CO</w:t>
      </w:r>
      <w:r>
        <w:rPr>
          <w:noProof/>
          <w:vertAlign w:val="subscript"/>
        </w:rPr>
        <w:t>2</w:t>
      </w:r>
      <w:r>
        <w:rPr>
          <w:noProof/>
        </w:rPr>
        <w:t xml:space="preserve"> grâce au captage et à l’utilisation du carbone (CUC), les matériaux biosourcés respectueux de la nature, ainsi que le recyclage mécanique et chimique peuvent stimuler le développement de matières premières non fossiles vouées à remplacer les combustibles fossiles dans les produits à base de carbone. Le captage du carbone continuera aussi à occuper une place importante dans les efforts visant à parvenir au «zéro net» à l’horizon 2050 et à des émissions nettes négatives par la suite. Cela nécessite, entre autres, une réflexion continue sur la meilleure manière d’encourager les absorptions industrielles de carbone dans la législation existante de l’Union ou au moyen de nouveaux instruments, qu’il s’agisse de la directive SEQE, qui sera réexaminée en 2026, ou d’instruments spécifiques. Pour tirer parti des possibilités économiques offertes par ces technologies, il demeure essentiel de développer des chaînes de valeur économiques complètes pour celles-ci. C’est la raison pour laquelle la Commission présente, parallèlement à la présente communication, une communication spécifique sur la gestion industrielle du carbone, assortie d’une stratégie pour le cadre d’action, l’accroissement de l’innovation et l’augmentation des investissements afin d’exploiter ce potentiel.</w:t>
      </w:r>
      <w:r>
        <w:rPr>
          <w:noProof/>
          <w:color w:val="000000" w:themeColor="text1"/>
        </w:rPr>
        <w:t xml:space="preserve"> </w:t>
      </w:r>
      <w:r>
        <w:rPr>
          <w:noProof/>
        </w:rPr>
        <w:t xml:space="preserve">De nouveaux investissements publics seront nécessaires pour renforcer la recherche et l’innovation en faveur de cette industrie naissante. </w:t>
      </w:r>
      <w:r>
        <w:rPr>
          <w:noProof/>
          <w:color w:val="000000" w:themeColor="text1"/>
        </w:rPr>
        <w:t>Les absorptions industrielles de carbone ne remplacent pas les absorptions de carbone naturelles, qui restent essentielles pour atteindre l’objectif climatique, mais les complètent.</w:t>
      </w:r>
    </w:p>
    <w:p w14:paraId="2F8B15A2" w14:textId="77777777" w:rsidR="00482E88" w:rsidRPr="007663CA" w:rsidRDefault="00482E88" w:rsidP="00482E88">
      <w:pPr>
        <w:rPr>
          <w:rFonts w:eastAsia="Times New Roman"/>
          <w:i/>
          <w:noProof/>
        </w:rPr>
      </w:pPr>
      <w:r>
        <w:rPr>
          <w:i/>
          <w:noProof/>
        </w:rPr>
        <w:t>Dans des conditions équitables à l’échelle mondiale</w:t>
      </w:r>
    </w:p>
    <w:p w14:paraId="05C9BE8C" w14:textId="7BD81851" w:rsidR="00482E88" w:rsidRPr="007663CA" w:rsidRDefault="00482E88" w:rsidP="00482E88">
      <w:pPr>
        <w:rPr>
          <w:rFonts w:eastAsia="Times New Roman"/>
          <w:noProof/>
        </w:rPr>
      </w:pPr>
      <w:r>
        <w:rPr>
          <w:noProof/>
        </w:rPr>
        <w:t>La transition ne sera couronnée de succès que si l’Europe demeure une économie souveraine et résiliente qui diversifie ses sources d’approvisionnement et qui résiste aux perturbations de l’approvisionnement, à la volatilité des prix et à d’autres chocs. Étant donné que l’UE réduit sa dépendance à l’égard des combustibles fossiles importés, des décisions stratégiques doivent être prises pour que de nouvelles vulnérabilités ne fassent pas leur apparition du fait des importations de technologies «zéro net» ou de produits énergétiques à faibles émissions.</w:t>
      </w:r>
    </w:p>
    <w:p w14:paraId="279FBA68" w14:textId="09C46380" w:rsidR="00482E88" w:rsidRPr="007663CA" w:rsidRDefault="00482E88" w:rsidP="00482E88">
      <w:pPr>
        <w:rPr>
          <w:rFonts w:eastAsia="Times New Roman"/>
          <w:noProof/>
        </w:rPr>
      </w:pPr>
      <w:r>
        <w:rPr>
          <w:noProof/>
        </w:rPr>
        <w:t xml:space="preserve">Parallèlement aux efforts visant à créer des chaînes de valeur pour les technologies clés sur le continent européen, l’UE doit adopter une approche stratégique des marchés mondiaux afin de garantir l’accès aux matières premières stratégiques, notamment critiques, à des prix abordables. L’UE devrait également tirer parti de sa plus grande force, le marché unique, en recourant aux instruments d’achat conjoint et en permettant aux acteurs industriels d’opter pour différents modèles de coopération afin de négocier conjointement de meilleures conditions, y compris pour ce qui est des prix pratiqués par les producteurs mondiaux, assorties d’importantes garanties pour encourager la répercussion des avantages sur l’utilisateur final et la participation des petites entreprises. En parallèle, l’UE devrait faire en sorte que la coopération et le commerce à l’échelle mondiale soient au service de la durabilité. L’UE devrait encourager l’élaboration de normes internationales sur la scène mondiale, en s’appuyant sur les normes européennes en tant que sources de bonnes pratiques. </w:t>
      </w:r>
    </w:p>
    <w:p w14:paraId="178087E2" w14:textId="522A1E23" w:rsidR="00766CDA" w:rsidRPr="00766CDA" w:rsidRDefault="00482E88" w:rsidP="00766CDA">
      <w:pPr>
        <w:rPr>
          <w:noProof/>
        </w:rPr>
      </w:pPr>
      <w:r>
        <w:rPr>
          <w:noProof/>
        </w:rPr>
        <w:t xml:space="preserve">Étant donné que l’UE est aux avant-postes pour ce qui est de la décarbonation de son industrie, des mesures supplémentaires sont nécessaires afin de garantir la compétitivité des exportations européennes sur les marchés mondiaux. Des conditions de concurrence véritablement équitables pour les entreprises en Europe et dans le monde entier sont mises en place lorsque d’autres pays adoptent leur propre tarification du carbone, ce qui contribuerait également à relever le niveau mondial d’ambition en matière d’action pour le climat. </w:t>
      </w:r>
    </w:p>
    <w:p w14:paraId="38E99576" w14:textId="77777777" w:rsidR="00766CDA" w:rsidRPr="007663CA" w:rsidRDefault="00766CDA" w:rsidP="00766CDA">
      <w:pPr>
        <w:pStyle w:val="Heading2"/>
        <w:ind w:left="578" w:hanging="578"/>
        <w:rPr>
          <w:noProof/>
        </w:rPr>
      </w:pPr>
      <w:bookmarkStart w:id="47" w:name="_Toc160204884"/>
      <w:bookmarkStart w:id="48" w:name="_Toc155286927"/>
      <w:r>
        <w:rPr>
          <w:noProof/>
        </w:rPr>
        <w:t>Décarboner les transports et améliorer la mobilité</w:t>
      </w:r>
      <w:bookmarkEnd w:id="47"/>
    </w:p>
    <w:p w14:paraId="741797B8" w14:textId="77777777" w:rsidR="00766CDA" w:rsidRDefault="00766CDA" w:rsidP="00766CDA">
      <w:pPr>
        <w:rPr>
          <w:noProof/>
        </w:rPr>
      </w:pPr>
      <w:r>
        <w:rPr>
          <w:noProof/>
        </w:rPr>
        <w:t xml:space="preserve">Dans le secteur des transports, la mise en œuvre des mesures du paquet «Ajustement à l’objectif 55», qui combinent des solutions technologiques et une tarification du carbone, ainsi qu’un système de transport multimodal efficace et interconnecté, tant pour les passagers que pour le fret, permettront de réduire les émissions de près de 80 % en 2040 par rapport à 2015.  </w:t>
      </w:r>
    </w:p>
    <w:p w14:paraId="48247577" w14:textId="77777777" w:rsidR="00766CDA" w:rsidRPr="003424A8" w:rsidRDefault="00766CDA" w:rsidP="00766CDA">
      <w:pPr>
        <w:rPr>
          <w:noProof/>
        </w:rPr>
      </w:pPr>
      <w:r>
        <w:rPr>
          <w:noProof/>
        </w:rPr>
        <w:t>Décarboner les transports d’une manière qui permette de garantir leur caractère abordable et leur accessibilité nécessitera des investissements importants aussi bien dans de nouveaux actifs (véhicules, aéronefs, équipements ferroviaires et navires à émissions faibles ou nulles) que dans les infrastructures de ravitaillement et de recharge. Dans le même temps, les coûts des carburants renouvelables et bas carbone ne devraient pas être sous-estimés et restent un facteur clé de la compétitivité des opérateurs de transport, en particulier dans les secteurs maritime et aérien. Il est essentiel de veiller à ce qu’une quantité suffisante de matières premières destinées à la production de carburants alternatifs durables soit mise à disposition au moyen de mesures spécifiques, y compris réglementaires si nécessaire, pour atteindre de manière rentable l’ambition fixée. En ce qui concerne les autres secteurs, les besoins d’investissement associés dans les transports méritent une discussion avec les États membres, la Banque européenne d’investissement et les institutions financières sur la manière dont les outils financiers innovants de l’UE peuvent réduire les risques liés aux investissements stratégiques décisifs d’une manière neutre sur le plan technologique pour l’économie européenne.</w:t>
      </w:r>
    </w:p>
    <w:p w14:paraId="39BB2761" w14:textId="77777777" w:rsidR="00766CDA" w:rsidRPr="007663CA" w:rsidRDefault="00766CDA" w:rsidP="00766CDA">
      <w:pPr>
        <w:rPr>
          <w:noProof/>
        </w:rPr>
      </w:pPr>
      <w:r>
        <w:rPr>
          <w:noProof/>
          <w:color w:val="000000" w:themeColor="text1"/>
        </w:rPr>
        <w:t xml:space="preserve">Les projections relatives aux émissions varient considérablement d’un mode de transport à l’autre. </w:t>
      </w:r>
      <w:r>
        <w:rPr>
          <w:noProof/>
        </w:rPr>
        <w:t>Les réductions d’émissions de CO</w:t>
      </w:r>
      <w:r>
        <w:rPr>
          <w:noProof/>
          <w:vertAlign w:val="subscript"/>
        </w:rPr>
        <w:t>2</w:t>
      </w:r>
      <w:r>
        <w:rPr>
          <w:noProof/>
        </w:rPr>
        <w:t xml:space="preserve"> du transport par route accéléreront au fil du temps et s’accompagneront d’une meilleure qualité de l’air dans les villes grâce au déploiement de véhicules à émissions nulles favorisé par les critères relatifs aux émissions de CO</w:t>
      </w:r>
      <w:r>
        <w:rPr>
          <w:noProof/>
          <w:vertAlign w:val="subscript"/>
        </w:rPr>
        <w:t>2</w:t>
      </w:r>
      <w:r>
        <w:rPr>
          <w:noProof/>
        </w:rPr>
        <w:t>, qui entraînera un quadruplement de l’électrification du secteur entre 2031 et 2040.</w:t>
      </w:r>
      <w:r>
        <w:rPr>
          <w:noProof/>
          <w:color w:val="000000" w:themeColor="text1"/>
        </w:rPr>
        <w:t xml:space="preserve"> La part des véhicules électriques à batterie et d’autres véhicules à zéro émission devrait augmenter pour atteindre plus de 60 % pour les voitures, plus de 40 % pour les camionnettes et près de 40 % pour les véhicules utilitaires lourds (</w:t>
      </w:r>
      <w:r>
        <w:rPr>
          <w:rStyle w:val="FootnoteReference"/>
          <w:rFonts w:eastAsia="Calibri"/>
          <w:noProof/>
          <w:color w:val="000000" w:themeColor="text1"/>
        </w:rPr>
        <w:footnoteReference w:id="33"/>
      </w:r>
      <w:r>
        <w:rPr>
          <w:noProof/>
          <w:color w:val="000000" w:themeColor="text1"/>
        </w:rPr>
        <w:t xml:space="preserve">) d’ici à 2040. </w:t>
      </w:r>
      <w:r>
        <w:rPr>
          <w:noProof/>
        </w:rPr>
        <w:t>Cette transformation représente une véritable occasion en termes de politique industrielle pour un secteur vital de l’économie de l’UE, grâce à des investissements dans les infrastructures et la pleine intégration du secteur dans le réseau électrique, au développement de chaînes d’approvisionnement en matières premières critiques et au développement d’une main-d’œuvre qualifiée. Au-delà des normes en matière de CO</w:t>
      </w:r>
      <w:r>
        <w:rPr>
          <w:noProof/>
          <w:vertAlign w:val="subscript"/>
        </w:rPr>
        <w:t>2</w:t>
      </w:r>
      <w:r>
        <w:rPr>
          <w:noProof/>
        </w:rPr>
        <w:t xml:space="preserve">, la tarification du carbone et la mise à jour des politiques en matière de carburants permettront la décarbonation du parc automobile déjà en circulation (parc historique).   </w:t>
      </w:r>
    </w:p>
    <w:p w14:paraId="5BE28336" w14:textId="77777777" w:rsidR="00766CDA" w:rsidRPr="008853AE" w:rsidRDefault="00766CDA" w:rsidP="00766CDA">
      <w:pPr>
        <w:rPr>
          <w:rFonts w:eastAsia="Calibri"/>
          <w:noProof/>
          <w:color w:val="000000" w:themeColor="text1"/>
        </w:rPr>
      </w:pPr>
      <w:r>
        <w:rPr>
          <w:noProof/>
          <w:color w:val="000000" w:themeColor="text1"/>
        </w:rPr>
        <w:t xml:space="preserve">Les émissions du transport maritime et aérien seront réduites grâce aux efforts combinés des mesures du paquet «Ajustement à l’objectif 55». </w:t>
      </w:r>
      <w:r>
        <w:rPr>
          <w:noProof/>
        </w:rPr>
        <w:t>Cela inclut la réalisation des objectifs fixés dans les initiatives FuelEU Maritime (</w:t>
      </w:r>
      <w:r>
        <w:rPr>
          <w:rStyle w:val="FootnoteReference"/>
          <w:rFonts w:eastAsia="Calibri"/>
          <w:noProof/>
          <w:color w:val="000000" w:themeColor="text1"/>
        </w:rPr>
        <w:footnoteReference w:id="34"/>
      </w:r>
      <w:r>
        <w:rPr>
          <w:noProof/>
        </w:rPr>
        <w:t>) et RefuelEU Aviation (</w:t>
      </w:r>
      <w:r w:rsidRPr="5A178A04">
        <w:rPr>
          <w:rStyle w:val="FootnoteReference"/>
          <w:rFonts w:cstheme="minorBidi"/>
          <w:noProof/>
        </w:rPr>
        <w:footnoteReference w:id="35"/>
      </w:r>
      <w:r>
        <w:rPr>
          <w:noProof/>
        </w:rPr>
        <w:t>), qui stimulent le déploiement de carburants renouvelables et bas carbone et de navires et aéronefs à émissions nulles. Grâce au SEQE, l’UE est la première instance à imposer un prix explicite du carbone sur les émissions de ces secteurs. Cela permettra d’accélérer la généralisation des technologies à émissions nulles, des carburants renouvelables et bas carbone et des solutions en matière d’efficacité énergétique dans l’aviation et le transport maritime, et générera des recettes pour ce faire.</w:t>
      </w:r>
      <w:r>
        <w:rPr>
          <w:noProof/>
          <w:color w:val="000000" w:themeColor="text1"/>
        </w:rPr>
        <w:t xml:space="preserve"> </w:t>
      </w:r>
      <w:r>
        <w:rPr>
          <w:noProof/>
        </w:rPr>
        <w:t>À titre d’exemple, la Commission organisera des appels à propositions sur des thèmes spécifiques du secteur maritime dans le cadre du Fonds pour l’innovation, comme cela a déjà été annoncé.</w:t>
      </w:r>
    </w:p>
    <w:p w14:paraId="1BD099B1" w14:textId="77777777" w:rsidR="00766CDA" w:rsidRDefault="00766CDA" w:rsidP="00766CDA">
      <w:pPr>
        <w:rPr>
          <w:noProof/>
        </w:rPr>
      </w:pPr>
      <w:r>
        <w:rPr>
          <w:noProof/>
        </w:rPr>
        <w:t>Comme convenu en 2023, la Commission évaluera en 2026 une extension de la tarification du carbone pour les secteurs de l’aviation et du transport maritime (</w:t>
      </w:r>
      <w:r w:rsidRPr="0084550A">
        <w:rPr>
          <w:rStyle w:val="FootnoteReference"/>
          <w:noProof/>
        </w:rPr>
        <w:footnoteReference w:id="36"/>
      </w:r>
      <w:r>
        <w:rPr>
          <w:noProof/>
        </w:rPr>
        <w:t>). S’attaquer aux obstacles qui s’opposent au déploiement des carburants de substitution à émissions faibles ou nulles (y compris les carburants de synthèse et les biocarburants avancés) dans les secteurs de l’aviation et du transport maritime et donner à ces secteurs un accès prioritaire à ces carburants par rapport à des secteurs qui disposent d’autres solutions de décarbonation, telles que l’électrification directe, leur permettra de contribuer aux objectifs climatiques de l’UE et au programme mondial en matière de climat (</w:t>
      </w:r>
      <w:r w:rsidRPr="0084550A">
        <w:rPr>
          <w:rStyle w:val="FootnoteReference"/>
          <w:noProof/>
        </w:rPr>
        <w:footnoteReference w:id="37"/>
      </w:r>
      <w:r>
        <w:rPr>
          <w:noProof/>
        </w:rPr>
        <w:t>). Ainsi, l’ensemble des effets de l’aviation sur le climat devraient être dûment pris en compte, conformément aux dernières conclusions scientifiques, et un système permettant aux compagnies aériennes de surveiller, vérifier et faire état des émissions autres que de CO</w:t>
      </w:r>
      <w:r>
        <w:rPr>
          <w:noProof/>
          <w:vertAlign w:val="subscript"/>
        </w:rPr>
        <w:t>2</w:t>
      </w:r>
      <w:r>
        <w:rPr>
          <w:noProof/>
        </w:rPr>
        <w:t xml:space="preserve"> et des incidences de l’aviation sur le climat devrait être mis en place.  </w:t>
      </w:r>
    </w:p>
    <w:p w14:paraId="2CA4E46F" w14:textId="77777777" w:rsidR="00766CDA" w:rsidRPr="007663CA" w:rsidRDefault="00766CDA" w:rsidP="00766CDA">
      <w:pPr>
        <w:rPr>
          <w:noProof/>
        </w:rPr>
      </w:pPr>
      <w:r>
        <w:rPr>
          <w:noProof/>
          <w:color w:val="000000" w:themeColor="text1"/>
        </w:rPr>
        <w:t>Des investissements considérables dans le système énergétique seront nécessaires pour remplacer les combustibles fossiles par des carburants renouvelables et bas carbone dans l’alimentation du secteur des transports. Il est essentiel de veiller à ce qu’une quantité suffisante de matières premières pour la production de carburants de substitution durables soit mise à disposition grâce à des mesures spécifiques afin d’atteindre l’ambition fixée.</w:t>
      </w:r>
    </w:p>
    <w:p w14:paraId="4CDC3497" w14:textId="77777777" w:rsidR="00766CDA" w:rsidRPr="007663CA" w:rsidRDefault="00766CDA" w:rsidP="00766CDA">
      <w:pPr>
        <w:rPr>
          <w:noProof/>
        </w:rPr>
      </w:pPr>
      <w:r>
        <w:rPr>
          <w:noProof/>
          <w:color w:val="000000" w:themeColor="text1"/>
        </w:rPr>
        <w:t xml:space="preserve">Une utilisation accrue du rail, grâce à une meilleure exploitation des capacités de l’infrastructure ferroviaire, et un système de transport multimodal efficace et interconnecté, tant pour les voyageurs que pour le fret, soutenu par le réseau transeuropéen de transport multimodal, peuvent donc contribuer de manière significative à la réduction des émissions dans leur ensemble. </w:t>
      </w:r>
      <w:r>
        <w:rPr>
          <w:noProof/>
        </w:rPr>
        <w:t xml:space="preserve">Le déploiement de différents modèles fondés sur la mobilité en tant que service, la multimodalité, des solutions numériques et une logistique verte optimisée (par exemple, pour le fret) permettra de moderniser et de décarboner le secteur des transports. La promotion d’une mobilité urbaine durable et abordable, y compris au moyen d’une planification urbaine adéquate, sera importante pour disposer de davantage de transports publics et permettre une mobilité active (à pied et à vélo) pour les trajets de courte distance, ce qui présente des avantages à la fois pour le climat et pour la santé des Européens.  </w:t>
      </w:r>
    </w:p>
    <w:p w14:paraId="36DA5C86" w14:textId="77777777" w:rsidR="00766CDA" w:rsidRPr="007663CA" w:rsidRDefault="00766CDA" w:rsidP="00766CDA">
      <w:pPr>
        <w:pStyle w:val="Heading2"/>
        <w:rPr>
          <w:noProof/>
        </w:rPr>
      </w:pPr>
      <w:bookmarkStart w:id="49" w:name="_Toc160204885"/>
      <w:r>
        <w:rPr>
          <w:noProof/>
        </w:rPr>
        <w:t>Terres, alimentation et bioéconomie</w:t>
      </w:r>
      <w:bookmarkEnd w:id="49"/>
    </w:p>
    <w:p w14:paraId="721C4815" w14:textId="77777777" w:rsidR="00766CDA" w:rsidRPr="007663CA" w:rsidRDefault="00766CDA" w:rsidP="00766CDA">
      <w:pPr>
        <w:rPr>
          <w:i/>
          <w:noProof/>
        </w:rPr>
      </w:pPr>
      <w:r>
        <w:rPr>
          <w:i/>
          <w:noProof/>
        </w:rPr>
        <w:t>Garantir une production alimentaire neutre pour le climat et renforcer les secteurs de la bioéconomie</w:t>
      </w:r>
    </w:p>
    <w:p w14:paraId="420651CD" w14:textId="77777777" w:rsidR="00766CDA" w:rsidRPr="0084550A" w:rsidRDefault="00766CDA" w:rsidP="00766CDA">
      <w:pPr>
        <w:rPr>
          <w:noProof/>
        </w:rPr>
      </w:pPr>
      <w:r>
        <w:rPr>
          <w:noProof/>
        </w:rPr>
        <w:t xml:space="preserve">Garantir une production alimentaire suffisante, abordable et de qualité en Europe revêt une importance stratégique. Dans le même temps, les agriculteurs et sylviculteurs européens offrent de multiples services vitaux pour la société, l’environnement et l’économie de l’UE. Ils assurent la production de matériaux biosourcés et de denrées alimentaires primaires, sont au cœur de la bioéconomie et des chaînes de valeur du système alimentaire et jouent un rôle essentiel pour garantir la sécurité alimentaire. En tant que gestionnaires des terres, ils sont également essentiels pour garantir des services écosystémiques tels que la protection et la restauration de la biodiversité, les absorptions de carbone ou l’adaptation au changement climatique. </w:t>
      </w:r>
      <w:bookmarkStart w:id="50" w:name="_Hlk157118445"/>
    </w:p>
    <w:p w14:paraId="077D0F33" w14:textId="77777777" w:rsidR="00766CDA" w:rsidRDefault="00766CDA" w:rsidP="00766CDA">
      <w:pPr>
        <w:spacing w:before="100" w:beforeAutospacing="1" w:after="100" w:afterAutospacing="1"/>
        <w:rPr>
          <w:noProof/>
          <w:sz w:val="22"/>
          <w:szCs w:val="22"/>
        </w:rPr>
      </w:pPr>
      <w:r>
        <w:rPr>
          <w:noProof/>
        </w:rPr>
        <w:t>Comme tous les autres secteurs, les activités agricoles jouent un rôle important dans la réalisation de l’ambition climatique de l’UE à l’horizon 2040, tout en contribuant à la souveraineté alimentaire de l’UE. Des stratégies appropriées, telles que le renforcement de la disponibilité de solutions de substitution à faible intensité de carbone (</w:t>
      </w:r>
      <w:r w:rsidRPr="0084550A">
        <w:rPr>
          <w:rStyle w:val="FootnoteReference"/>
          <w:noProof/>
        </w:rPr>
        <w:footnoteReference w:id="38"/>
      </w:r>
      <w:r>
        <w:rPr>
          <w:noProof/>
        </w:rPr>
        <w:t>) et d’applications circulaires, telles que RENURE (</w:t>
      </w:r>
      <w:r w:rsidRPr="0084550A">
        <w:rPr>
          <w:rStyle w:val="FootnoteReference"/>
          <w:noProof/>
        </w:rPr>
        <w:footnoteReference w:id="39"/>
      </w:r>
      <w:r>
        <w:rPr>
          <w:noProof/>
        </w:rPr>
        <w:t>), avec un soutien adéquat pour assurer la cohérence et réduire les coûts, peuvent contribuer à trouver des solutions. C’est pourquoi la Commission a choisi de mettre en place un dialogue stratégique sur l’avenir de l’agriculture de l’UE afin, notamment, d’organiser collectivement la transition de manière conjointe, et s’est engagée à intensifier également le dialogue avec les propriétaires forestiers et d’autres parties prenantes du secteur. Ce dialogue portera sur des questions telles que la viabilité des moyens de subsistance, la réduction des charges et la garantie d’une production alimentaire compétitive et durable à l’avenir. Étant donné qu’elle compte parmi les producteurs mondiaux de denrées alimentaires les plus efficaces en termes d’émissions de gaz à effet de serre, l’UE devrait également s’employer à prévenir la concurrence déloyale et à garantir des conditions de concurrence équitables avec les producteurs de pays tiers, notamment au moyen d’accords commerciaux. </w:t>
      </w:r>
    </w:p>
    <w:p w14:paraId="63BCD651" w14:textId="77777777" w:rsidR="00766CDA" w:rsidRPr="0084550A" w:rsidRDefault="00766CDA" w:rsidP="00766CDA">
      <w:pPr>
        <w:rPr>
          <w:noProof/>
        </w:rPr>
      </w:pPr>
      <w:r>
        <w:rPr>
          <w:noProof/>
        </w:rPr>
        <w:t>Les matériaux biosourcés qui sont issus de sources durables peuvent non seulement stocker du carbone sur de longues périodes (par exemple, si le bois est utilisé comme matériau de construction), mais aussi remplacer les matériaux d’origine fossile. Les secteurs de l’utilisation des terres contribuent ainsi à la décarbonation d’autres secteurs. Une gestion des ressources plus efficace et plus respectueuse de la biodiversité dans le secteur de l’utilisation des terres permettra également de renforcer sa résilience face aux effets du changement climatique, d’améliorer la fertilité des sols et de protéger et restaurer la nature, ce qui apportera des solutions avantageuses à la fois pour la sécurité alimentaire et pour la productivité des terres.</w:t>
      </w:r>
      <w:r>
        <w:rPr>
          <w:noProof/>
          <w:sz w:val="23"/>
        </w:rPr>
        <w:t xml:space="preserve"> </w:t>
      </w:r>
      <w:r>
        <w:rPr>
          <w:noProof/>
        </w:rPr>
        <w:t>En ce qui concerne le secteur de la pêche et de l’aquaculture, la Commission a proposé en février 2023 des mesures visant à parvenir à la neutralité climatique à l’horizon 2050, en améliorant l’efficacité énergétique et en passant à des sources d’énergie renouvelables à faibles émissions de carbone (</w:t>
      </w:r>
      <w:r w:rsidRPr="0084550A">
        <w:rPr>
          <w:rStyle w:val="FootnoteReference"/>
          <w:noProof/>
        </w:rPr>
        <w:footnoteReference w:id="40"/>
      </w:r>
      <w:r>
        <w:rPr>
          <w:noProof/>
        </w:rPr>
        <w:t>).</w:t>
      </w:r>
    </w:p>
    <w:bookmarkEnd w:id="50"/>
    <w:p w14:paraId="5E76C381" w14:textId="77777777" w:rsidR="00766CDA" w:rsidRPr="0084550A" w:rsidRDefault="00766CDA" w:rsidP="00766CDA">
      <w:pPr>
        <w:rPr>
          <w:noProof/>
          <w:sz w:val="23"/>
          <w:szCs w:val="23"/>
        </w:rPr>
      </w:pPr>
      <w:r>
        <w:rPr>
          <w:noProof/>
        </w:rPr>
        <w:t>Cela étant dit, les politiques qui s’intéressent au secteur alimentaire dans sa globalité sont plus efficaces que celles couvrant les secteurs de l’agriculture et de la pêche isolément, car de nombreuses décisions présentant un grand potentiel d’atténuation touchent à des questions extérieures à l’exploitation: la composition chimique des engrais, l’utilisation circulaire des déchets alimentaires (résidus de cultures, fumier, sous-produits de la pêche), la réduction du gaspillage alimentaire aux stades de la production et de la vente au détail, le choix des ingrédients des produits alimentaires manufacturés et les choix alimentaires des consommateurs. Une approche globale du secteur alimentaire est également le meilleur moyen d’assurer aux agriculteurs des revenus stables et équitables pour leurs produits.</w:t>
      </w:r>
      <w:r>
        <w:rPr>
          <w:noProof/>
          <w:color w:val="000000" w:themeColor="text1"/>
          <w:sz w:val="27"/>
        </w:rPr>
        <w:t xml:space="preserve"> </w:t>
      </w:r>
    </w:p>
    <w:p w14:paraId="0D372327" w14:textId="77777777" w:rsidR="00766CDA" w:rsidRDefault="00766CDA" w:rsidP="00766CDA">
      <w:pPr>
        <w:spacing w:before="100" w:beforeAutospacing="1" w:after="100" w:afterAutospacing="1"/>
        <w:rPr>
          <w:noProof/>
          <w:sz w:val="22"/>
          <w:szCs w:val="22"/>
        </w:rPr>
      </w:pPr>
      <w:r>
        <w:rPr>
          <w:noProof/>
        </w:rPr>
        <w:t>L’industrie alimentaire a une grande influence sur les décisions des producteurs et des consommateurs. Elle devrait bénéficier des incitations appropriées pour se fournir en ingrédients plus durables et pour contribuer à rendre une alimentation plus saine accessible et abordable pour les consommateurs (</w:t>
      </w:r>
      <w:r w:rsidRPr="0084550A">
        <w:rPr>
          <w:rStyle w:val="FootnoteReference"/>
          <w:noProof/>
        </w:rPr>
        <w:footnoteReference w:id="41"/>
      </w:r>
      <w:r>
        <w:rPr>
          <w:noProof/>
        </w:rPr>
        <w:t>). La politique agricole commune fournit des outils essentiels pour soutenir la transition du secteur agricole vers de nouvelles pratiques et de nouveaux modèles d’entreprise durables. En particulier, les exploitations agricoles familiales et celles qui pratiquent à la fois la culture et l’élevage constituent l’épine dorsale de l’agriculture de l’Union et devraient être accompagnées dans la transition vers un secteur de l’utilisation des terres neutre pour le climat, en tenant compte des dimensions sociale, environnementale et économique.</w:t>
      </w:r>
    </w:p>
    <w:p w14:paraId="174C493D" w14:textId="77777777" w:rsidR="00766CDA" w:rsidRPr="0084550A" w:rsidRDefault="00766CDA" w:rsidP="00766CDA">
      <w:pPr>
        <w:spacing w:line="257" w:lineRule="auto"/>
        <w:rPr>
          <w:rFonts w:eastAsiaTheme="minorEastAsia"/>
          <w:noProof/>
        </w:rPr>
      </w:pPr>
      <w:r>
        <w:rPr>
          <w:noProof/>
        </w:rPr>
        <w:t xml:space="preserve">En outre, il est essentiel de créer de nouvelles possibilités commerciales pour une chaîne de valeur agroalimentaire durable et de mobiliser des fonds privés en synergie avec des financements publics. Cela pourrait se faire au moyen de nouveaux mécanismes fondés sur le marché pour stimuler l’alimentation durable, ce qui permettrait d’obtenir à la fois un meilleur prix des denrées alimentaires reflétant leur durabilité, une rémunération équitable pour les agriculteurs et une nouvelle source de financement pour les investissements. Seuls une coordination résolue avec tous les acteurs industriels de l’ensemble de la chaîne de valeur alimentaire et l’accent mis sur des pratiques commerciales équitables tout au long de cette chaîne permettront de mettre en place des incitations appropriées en faveur de pratiques agricoles durables, de garantir un revenu décent et pérenne aux agriculteurs et de générer des revenus pour soutenir la transition. </w:t>
      </w:r>
    </w:p>
    <w:p w14:paraId="64A27A3B" w14:textId="77777777" w:rsidR="00766CDA" w:rsidRPr="007663CA" w:rsidRDefault="00766CDA" w:rsidP="00766CDA">
      <w:pPr>
        <w:rPr>
          <w:noProof/>
        </w:rPr>
      </w:pPr>
      <w:r>
        <w:rPr>
          <w:noProof/>
        </w:rPr>
        <w:t>Grâce aux progrès réalisés dans le domaine des technologies numériques de surveillance et des services de conseil, les agriculteurs et sylviculteurs seront en mesure de quantifier leur bilan en termes d’émission de gaz à effet de serre à l’aide de méthodes de certification fiables et harmonisées (</w:t>
      </w:r>
      <w:r w:rsidRPr="0084550A">
        <w:rPr>
          <w:rStyle w:val="FootnoteReference"/>
          <w:noProof/>
        </w:rPr>
        <w:footnoteReference w:id="42"/>
      </w:r>
      <w:r>
        <w:rPr>
          <w:noProof/>
        </w:rPr>
        <w:t>). Des approches telles que la gestion agricole du carbone permettent de récompenser de manière appropriée l’action climatique certifiée au moyen de contrats fondés sur les résultats conclus avec d’autres acteurs de la chaîne de valeur ou grâce à un soutien public. L’agriculture de précision est un outil important pour soutenir ces réalisations, permettant aux agriculteurs de mieux utiliser leurs sols et d’autres atouts naturels au bénéfice du climat et de l’environnement.</w:t>
      </w:r>
    </w:p>
    <w:p w14:paraId="483817CE" w14:textId="77777777" w:rsidR="00766CDA" w:rsidRPr="007663CA" w:rsidRDefault="00766CDA" w:rsidP="00766CDA">
      <w:pPr>
        <w:rPr>
          <w:noProof/>
        </w:rPr>
      </w:pPr>
      <w:bookmarkStart w:id="51" w:name="_Hlk157073228"/>
      <w:r>
        <w:rPr>
          <w:noProof/>
        </w:rPr>
        <w:t xml:space="preserve">Enfin, étant donné que la suppression progressive de l’économie de l’UE du carbone d’origine fossile ouvrira de nouvelles possibilités commerciales pour les agriculteurs, les sylviculteurs et les pêcheurs de fournir de manière durable de la biomasse et des matériaux biosourcés destinés à différentes utilisations dans la bioéconomie, y compris dans l’industrie, la construction, les produits chimiques, l’énergie ou la mobilité. L’utilisation accrue des résidus et des déchets de biomasse, des biocarburants avancés, des technologies BECCS et des produits biosourcés devrait s’accompagner de règles claires qui favorisent la durabilité et tiennent compte des incidences sur la taille du puits de carbone naturel dans le secteur UTCATF. </w:t>
      </w:r>
    </w:p>
    <w:bookmarkEnd w:id="51"/>
    <w:p w14:paraId="2AF602AB" w14:textId="77777777" w:rsidR="00766CDA" w:rsidRPr="007663CA" w:rsidRDefault="00766CDA" w:rsidP="00766CDA">
      <w:pPr>
        <w:rPr>
          <w:i/>
          <w:noProof/>
        </w:rPr>
      </w:pPr>
      <w:r>
        <w:rPr>
          <w:i/>
          <w:noProof/>
        </w:rPr>
        <w:t xml:space="preserve">Écosystèmes sains, utilisation durable des sols, nature et biodiversité  </w:t>
      </w:r>
    </w:p>
    <w:p w14:paraId="3AD122E1" w14:textId="77777777" w:rsidR="00766CDA" w:rsidRPr="007663CA" w:rsidRDefault="00766CDA" w:rsidP="00766CDA">
      <w:pPr>
        <w:rPr>
          <w:noProof/>
        </w:rPr>
      </w:pPr>
      <w:r>
        <w:rPr>
          <w:noProof/>
        </w:rPr>
        <w:t xml:space="preserve">Un objectif pour 2040 et une feuille de route claire pour la période comprise entre 2030 et 2050 devraient exploiter et encourager les synergies entre la neutralité climatique, la biodiversité et les autres objectifs environnementaux. </w:t>
      </w:r>
    </w:p>
    <w:p w14:paraId="0433D388" w14:textId="77777777" w:rsidR="00766CDA" w:rsidRDefault="00766CDA" w:rsidP="00766CDA">
      <w:pPr>
        <w:rPr>
          <w:noProof/>
        </w:rPr>
      </w:pPr>
      <w:r>
        <w:rPr>
          <w:noProof/>
        </w:rPr>
        <w:t xml:space="preserve">La réduction des émissions de gaz à effet de serre et l’augmentation des absorptions de carbone peuvent améliorer la résilience et la biodiversité, tandis que la santé de la nature et de la biodiversité est essentielle à l’atténuation du changement climatique et à la résilience. Le changement climatique devrait entraîner une extension des zones à risque d’incendie dans toute l’Europe — une menace pour les puits de carbone et la biodiversité. Les écosystèmes aquatiques sont également très vulnérables au changement climatique. Les niveaux élevés d’ozone et la pollution atmosphérique endommagent les forêts, les écosystèmes et les cultures, réduisant ainsi leur potentiel d’absorption du carbone et d’adaptation. </w:t>
      </w:r>
    </w:p>
    <w:p w14:paraId="5346A7F3" w14:textId="77777777" w:rsidR="00766CDA" w:rsidRDefault="00766CDA" w:rsidP="00766CDA">
      <w:pPr>
        <w:rPr>
          <w:noProof/>
        </w:rPr>
      </w:pPr>
      <w:r>
        <w:rPr>
          <w:noProof/>
        </w:rPr>
        <w:t xml:space="preserve">Compte tenu de l’intensification de la concurrence pour les terres et l’eau, des politiques devraient être conçues de manière à garantir une production et une consommation de denrées alimentaires, de matériaux et de bioénergie qui soient durables et économes en eau. La bioénergie devrait être destinée en priorité aux secteurs dans lesquels le potentiel d’électrification est limité, tels que le transport aérien ou maritime. </w:t>
      </w:r>
    </w:p>
    <w:p w14:paraId="58A6012C" w14:textId="77777777" w:rsidR="00766CDA" w:rsidRPr="007663CA" w:rsidRDefault="00766CDA" w:rsidP="00766CDA">
      <w:pPr>
        <w:pStyle w:val="Heading2"/>
        <w:rPr>
          <w:noProof/>
        </w:rPr>
      </w:pPr>
      <w:bookmarkStart w:id="52" w:name="_Toc160204886"/>
      <w:r>
        <w:rPr>
          <w:noProof/>
        </w:rPr>
        <w:t>Investir dans notre avenir</w:t>
      </w:r>
      <w:bookmarkEnd w:id="52"/>
      <w:r>
        <w:rPr>
          <w:noProof/>
        </w:rPr>
        <w:t xml:space="preserve"> </w:t>
      </w:r>
    </w:p>
    <w:p w14:paraId="7387E466" w14:textId="77777777" w:rsidR="00766CDA" w:rsidRPr="007663CA" w:rsidRDefault="00766CDA" w:rsidP="00766CDA">
      <w:pPr>
        <w:rPr>
          <w:noProof/>
        </w:rPr>
      </w:pPr>
      <w:r>
        <w:rPr>
          <w:i/>
          <w:noProof/>
        </w:rPr>
        <w:t>Un programme d’investissement global</w:t>
      </w:r>
    </w:p>
    <w:p w14:paraId="3F522114" w14:textId="77777777" w:rsidR="00766CDA" w:rsidRPr="007663CA" w:rsidRDefault="00766CDA" w:rsidP="00766CDA">
      <w:pPr>
        <w:rPr>
          <w:noProof/>
        </w:rPr>
      </w:pPr>
      <w:r>
        <w:rPr>
          <w:noProof/>
        </w:rPr>
        <w:t>Dans un contexte de concurrence mondiale très intense pour attirer les investissements, l’UE a besoin d’une importante initiative stratégique et financière afin d’attirer et de mobiliser les investissements privés à l’intérieur de ses frontières, ainsi que d’un environnement propice aux investissements du secteur privé en dehors des frontières de l’UE.</w:t>
      </w:r>
    </w:p>
    <w:p w14:paraId="4CCBD834" w14:textId="77777777" w:rsidR="00766CDA" w:rsidRPr="00772541" w:rsidRDefault="00766CDA" w:rsidP="00766CDA">
      <w:pPr>
        <w:rPr>
          <w:noProof/>
        </w:rPr>
      </w:pPr>
      <w:r>
        <w:rPr>
          <w:noProof/>
        </w:rPr>
        <w:t>L’UE dispose d’une base solide sur laquelle s’appuyer. Le cadre de l’UE en matière de finance durable a déjà contribué à renforcer la transparence des décisions commerciales des entreprises et à accroître la contribution du secteur financier à la transition. Ce cadre continuera d’être affiné et développé pour répondre aux besoins d’un plus grand nombre d’acteurs, y compris ceux qui se trouvent aux premiers stades de la transition, afin d’en maximiser l’impact. Toutefois, la prévisibilité et la réglementation ne suffiront pas pour réaliser la transition. L’Europe doit devenir plus attrayante pour les investissements privés. D’une part, l’union des marchés des capitaux de l’UE doit être approfondie pour libérer le potentiel de 470 milliards d’EUR de financement privé annuel destiné aux entreprises à tous les stades de leur développement, y compris le capital-risque visant à atteindre les objectifs de durabilité de l’UE et les investissements durables à long terme en faveur de la transition climatique (</w:t>
      </w:r>
      <w:r>
        <w:rPr>
          <w:rStyle w:val="FootnoteReference"/>
          <w:noProof/>
        </w:rPr>
        <w:footnoteReference w:id="43"/>
      </w:r>
      <w:r>
        <w:rPr>
          <w:noProof/>
        </w:rPr>
        <w:t xml:space="preserve">). </w:t>
      </w:r>
    </w:p>
    <w:p w14:paraId="433217DC" w14:textId="77777777" w:rsidR="00766CDA" w:rsidRPr="007663CA" w:rsidRDefault="00766CDA" w:rsidP="00766CDA">
      <w:pPr>
        <w:rPr>
          <w:noProof/>
        </w:rPr>
      </w:pPr>
      <w:r>
        <w:rPr>
          <w:noProof/>
        </w:rPr>
        <w:t>Une capacité stratégique renforcée permettant de recenser et de faciliter les nouvelles possibilités d’investissement ainsi que les nouveaux projets dans les secteurs ayant le plus d’incidences serait de nature à en augmenter les effets. La Commission, les États membres et l’industrie doivent élaborer conjointement un argumentaire commercial pour les nouveaux modèles économiques dans les secteurs clés de l’économie nécessaires à la transition, en particulier dans le domaine des technologies propres, des industries à forte intensité énergétique décarbonées et de l’agriculture. À cet égard, les efforts visant à simplifier l’environnement réglementaire et à créer un véritable marché unique pour les entreprises sont utiles à cet égard.</w:t>
      </w:r>
    </w:p>
    <w:p w14:paraId="73CA2C02" w14:textId="77777777" w:rsidR="00766CDA" w:rsidRDefault="00766CDA" w:rsidP="00766CDA">
      <w:pPr>
        <w:rPr>
          <w:noProof/>
        </w:rPr>
      </w:pPr>
      <w:r>
        <w:rPr>
          <w:noProof/>
        </w:rPr>
        <w:t>Le soutien au secteur public et les investissements directs devraient être déployés de manière stratégique, notamment en concentrant en début de période et en maximisant les ressources existantes avec une mise en commun à grande échelle des financements, en les rendant accessibles de la manière la plus rapide et la plus simple possible et en facilitant les synergies entre les différents instruments. La coordination entre les actions menées au niveau de l’UE et des États membres est essentielle pour maximiser l’impact des initiatives de financement, les actions au niveau de l’UE fournissant un cadre permettant d’optimiser les politiques et de mobiliser des ressources financières, tandis que les États membres adaptent les initiatives aux besoins régionaux et nationaux spécifiques, dans le respect du cadre des aides d’État. La plateforme «Technologies stratégiques pour l’Europe» (STEP) proposée vise, par exemple, à améliorer la coordination des financements afin de mobiliser davantage les investissements stratégiques dans les technologies propres et les biotechnologies.</w:t>
      </w:r>
    </w:p>
    <w:p w14:paraId="2E0747CE" w14:textId="77777777" w:rsidR="00766CDA" w:rsidRPr="007663CA" w:rsidRDefault="00766CDA" w:rsidP="00766CDA">
      <w:pPr>
        <w:rPr>
          <w:noProof/>
        </w:rPr>
      </w:pPr>
      <w:r>
        <w:rPr>
          <w:noProof/>
        </w:rPr>
        <w:t xml:space="preserve">Du point de vue du secteur public, il est essentiel de diversifier le paysage financier au moyen d’instruments financiers innovants et de subventions ciblées afin d’attirer des capitaux privés et d’atteindre les objectifs d’investissement. Il est clairement nécessaire, d’une part, d’utiliser, les fonds publics de manière plus efficace et mieux adaptée aux circonstances et, d’autre part, de faire usage des produits financiers et de combiner les  sources de financement afin de catalyser les investissements privés et de réduire les risques qui y sont associés. </w:t>
      </w:r>
    </w:p>
    <w:p w14:paraId="685A8612" w14:textId="77777777" w:rsidR="00766CDA" w:rsidRPr="007663CA" w:rsidRDefault="00766CDA" w:rsidP="00766CDA">
      <w:pPr>
        <w:rPr>
          <w:noProof/>
        </w:rPr>
      </w:pPr>
      <w:r>
        <w:rPr>
          <w:noProof/>
        </w:rPr>
        <w:t xml:space="preserve">L’aide financière ne devrait être utilisée que de manière stratégique pour soutenir des projets à faible intensité de carbone en phase de démarrage dans le secteur industriel (par exemple dans les énergies renouvelables) et d’autres projets qui manquent de viabilité commerciale et pour lesquels les investissements privés sont encore au stade initial et difficiles à mobiliser. Pour les projets arrivés à maturité et qui génèrent des revenus, des instruments financiers axés sur le marché tels que le financement par emprunt ou par fonds propres peuvent jouer un rôle central. Ces instruments peuvent également être utilisés pour des projets inédits ou révolutionnaires à haut risque, sous la forme de financements à impact ou de capital-risque. Le rôle du Groupe BEI et d’autres institutions financières internationales et publiques est essentiel dans la mobilisation des investissements privés, notamment pour réduire les risques liés aux projets, par exemple dans le domaine des matières premières critiques, et pour promouvoir l’investissement dans les infrastructures, accorder des échéances plus longues et des montants plus importants, et donner un signal pour d’autres participations du marché. </w:t>
      </w:r>
    </w:p>
    <w:p w14:paraId="73D65161" w14:textId="77777777" w:rsidR="00766CDA" w:rsidRDefault="00766CDA" w:rsidP="00766CDA">
      <w:pPr>
        <w:rPr>
          <w:noProof/>
        </w:rPr>
      </w:pPr>
      <w:r>
        <w:rPr>
          <w:noProof/>
        </w:rPr>
        <w:t xml:space="preserve">Dans l’ensemble, il sera nécessaire d’adopter une approche européenne en matière de financement dans les années à venir, en étroite coordination avec les États membres, la Banque européenne d’investissement et les institutions financières, afin de garantir des conditions de concurrence équitables dans l’ensemble du marché unique. Compte tenu des défis à relever pour accélérer le déploiement des technologies «zéro net», une intervention au niveau de l’Union contribue à coordonner les réponses apportées par les États membres. </w:t>
      </w:r>
    </w:p>
    <w:p w14:paraId="7FFCE534" w14:textId="77777777" w:rsidR="00766CDA" w:rsidRPr="007663CA" w:rsidRDefault="00766CDA" w:rsidP="00766CDA">
      <w:pPr>
        <w:rPr>
          <w:noProof/>
        </w:rPr>
      </w:pPr>
      <w:r>
        <w:rPr>
          <w:noProof/>
        </w:rPr>
        <w:t>La récente contre-garantie de la Banque européenne d’investissement (5 milliards d’EUR) en faveur de projets éoliens, par exemple, devrait générer 80 milliards d’EUR d’investissements. Cela montre l’intérêt de mener une discussion avec les États membres sur la manière dont ces outils financiers innovants de l’UE peuvent réduire les risques liés aux investissements stratégiques décisifs d’une manière technologiquement neutre dans notre économie.</w:t>
      </w:r>
    </w:p>
    <w:p w14:paraId="23F1FC8B" w14:textId="77777777" w:rsidR="00766CDA" w:rsidRPr="00046755" w:rsidRDefault="00766CDA" w:rsidP="00766CDA">
      <w:pPr>
        <w:rPr>
          <w:noProof/>
        </w:rPr>
      </w:pPr>
      <w:r>
        <w:rPr>
          <w:noProof/>
        </w:rPr>
        <w:t>Sur la base de l’expérience acquise par la Commission dans le cadre d’InvestEU, il convient de simplifier encore l’utilisation des instruments financiers afin de les rendre plus attrayants pour les investisseurs et les promoteurs de projets, notamment en adaptant les instruments à des types d’investissement spécifiques, en fournissant des conditions d’utilisation claires, en rationalisant les procédures de demande et en mettant au point des plateformes conviviales, en publiant des orientations et en réduisant les charges administratives. Une simplification accrue de l’ensemble des programmes et du règlement financier de l’UE est également nécessaire afin d’offrir de véritables guichets uniques pour le financement et les possibilités de financement, ce qui permettra de mettre les ressources en commun et de garantir un accès accéléré et simple au financement, éventuellement combiné à des subventions, en limitant les formalités de demande d’aide. Ces mesures sont nécessaires pour garantir des conditions de concurrence équitables d’accès au financement, ce qui est particulièrement pertinent pour les intermédiaires financiers et les petites entreprises dont les capacités organisationnelles sont limitées.</w:t>
      </w:r>
    </w:p>
    <w:p w14:paraId="157235B1" w14:textId="77777777" w:rsidR="00766CDA" w:rsidRPr="007663CA" w:rsidRDefault="00766CDA" w:rsidP="00766CDA">
      <w:pPr>
        <w:rPr>
          <w:noProof/>
        </w:rPr>
      </w:pPr>
      <w:r>
        <w:rPr>
          <w:noProof/>
        </w:rPr>
        <w:t>Il importe de préserver une marge de manœuvre budgétaire suffisante dans les États membres pour l’investissement, dans le cadre de la soutenabilité de la dette à moyen et à long terme. Le Fonds pour l’innovation ainsi que les recettes nationales dans le cadre du SEQE de l’UE fournissent aux États membres une quantité importante de fonds qui peuvent être utilisés pour des investissements à l’épreuve du temps. Ces mesures devraient être complétées par des réformes structurelles visant à accélérer la transition vers la neutralité climatique. De même, le budget de l’UE devrait viser à promouvoir, faciliter et encourager les investissements entraînant une baisse du niveau d’émissions, tout en continuant à mettre en œuvre, le cas échéant, le principe consistant à «ne pas causer de préjudice important», comme convenu par les colégislateurs pour le prochain CFP. Le budget devrait être augmenté afin de permettre des investissements de meilleure qualité. Dans ce contexte, la Commission demande que des progrès rapides soient réalisés en ce qui concerne la proposition de ressources propres du SEQE.</w:t>
      </w:r>
    </w:p>
    <w:p w14:paraId="59828EEE" w14:textId="77777777" w:rsidR="00766CDA" w:rsidRPr="007663CA" w:rsidRDefault="00766CDA" w:rsidP="00766CDA">
      <w:pPr>
        <w:rPr>
          <w:noProof/>
        </w:rPr>
      </w:pPr>
      <w:r>
        <w:rPr>
          <w:noProof/>
        </w:rPr>
        <w:t xml:space="preserve">L’objectif pour 2040 devrait également guider le secteur financier et les autorités de surveillance lorsqu’elles évaluent les risques que présentent les investissements en lien avec la transition climatique, ce qui permettra d’obtenir des conditions favorables en cas de minimisation des risques et de prendre des mesures d’atténuation appropriées dans le cas contraire. </w:t>
      </w:r>
    </w:p>
    <w:p w14:paraId="00B2332E" w14:textId="77777777" w:rsidR="00766CDA" w:rsidRPr="007663CA" w:rsidRDefault="00766CDA" w:rsidP="00766CDA">
      <w:pPr>
        <w:rPr>
          <w:i/>
          <w:iCs/>
          <w:noProof/>
        </w:rPr>
      </w:pPr>
      <w:r>
        <w:rPr>
          <w:i/>
          <w:noProof/>
        </w:rPr>
        <w:t xml:space="preserve">Recherche, innovation et numérisation </w:t>
      </w:r>
    </w:p>
    <w:p w14:paraId="4F6222B5" w14:textId="77777777" w:rsidR="00766CDA" w:rsidRPr="007663CA" w:rsidRDefault="00766CDA" w:rsidP="00766CDA">
      <w:pPr>
        <w:rPr>
          <w:noProof/>
        </w:rPr>
      </w:pPr>
      <w:r>
        <w:rPr>
          <w:noProof/>
        </w:rPr>
        <w:t xml:space="preserve">Parmi les technologies à déployer pour atteindre l’objectif de l’UE pour 2040, certaines, comme l’énergie solaire, sont déjà prêtes à être commercialisées, tandis que d’autres doivent encore être améliorées et développées. </w:t>
      </w:r>
    </w:p>
    <w:p w14:paraId="02DA6009" w14:textId="77777777" w:rsidR="00766CDA" w:rsidRPr="007663CA" w:rsidRDefault="00766CDA" w:rsidP="00766CDA">
      <w:pPr>
        <w:rPr>
          <w:noProof/>
        </w:rPr>
      </w:pPr>
      <w:r>
        <w:rPr>
          <w:noProof/>
        </w:rPr>
        <w:t>Il est donc primordial de continuer à investir dans la recherche et la démonstration de technologies «zéro net» innovantes, de coordonner les efforts de l’UE et des États membres en matière de R&amp;I et de redoubler d’efforts pour mettre des innovations sur le marché et les mettre en œuvre à plus grande échelle. Des recherches de premier plan à l’échelle mondiale sur les technologies industrielles à émissions de carbone faibles ou nulles sont menées aux niveaux européen, national et régional dans l’ensemble de l’UE, les programmes Horizon 2020 et Horizon Europe finançant la R&amp;I de pointe, y compris au moyen de partenariats avec l’industrie et les États membres, afin de contribuer à faire passer les technologies bas carbone destinées aux industries à forte intensité énergétique du stade de la recherche fondamentale à celui du déploiement (</w:t>
      </w:r>
      <w:r>
        <w:rPr>
          <w:rStyle w:val="FootnoteReference"/>
          <w:noProof/>
        </w:rPr>
        <w:footnoteReference w:id="44"/>
      </w:r>
      <w:r>
        <w:rPr>
          <w:noProof/>
        </w:rPr>
        <w:t xml:space="preserve">). Horizon Europe allouera à lui seul plus de 30 milliards d’EUR (au moins 35 % de son budget) à l’action pour le climat. </w:t>
      </w:r>
    </w:p>
    <w:p w14:paraId="0EA2F5E4" w14:textId="77777777" w:rsidR="00766CDA" w:rsidRPr="007663CA" w:rsidRDefault="00766CDA" w:rsidP="00766CDA">
      <w:pPr>
        <w:rPr>
          <w:noProof/>
        </w:rPr>
      </w:pPr>
      <w:r>
        <w:rPr>
          <w:noProof/>
        </w:rPr>
        <w:t xml:space="preserve">Les recettes tirées de la tarification du carbone constituent une source claire de financement pour le déploiement de technologies et de solutions innovantes à faible intensité de carbone. Depuis sa création en 2005, le SEQE a généré plus de 180 milliards d’EUR, dont la majeure partie est destinée aux États membres. Les États membres devraient être encouragés à investir ces recettes dans des réformes structurelles tournées vers l’avenir qui accélèrent considérablement la fabrication d’équipements technologiques propres innovants et démontrent et soutiennent le déploiement précoce de solutions industrielles à émission quasi nulles. </w:t>
      </w:r>
    </w:p>
    <w:p w14:paraId="1CBFDD49" w14:textId="77777777" w:rsidR="00766CDA" w:rsidRPr="00772541" w:rsidDel="005F5DB1" w:rsidRDefault="00766CDA" w:rsidP="00766CDA">
      <w:pPr>
        <w:rPr>
          <w:noProof/>
        </w:rPr>
      </w:pPr>
      <w:r>
        <w:rPr>
          <w:noProof/>
        </w:rPr>
        <w:t>Au niveau de l’UE, le Fonds pour l’innovation du SEQE de l’UE est un outil stratégique qui permet de soutenir et d’intensifier l’innovation dans le domaine des technologies «zéro net» vers une maturité technologique et commerciale totale. Il devient un instrument essentiel pour la mise en œuvre de la stratégie industrielle du pacte vert pour l’Europe. Lors de ses trois premiers cycles, le Fonds pour l’innovation a alloué 6,5 milliards d’EUR à environ 100 projets pilotes et installations de démonstration pour des technologies innovantes à faible intensité de carbone. Le montant et la répartition sectorielle des demandes au Fonds pour l’innovation témoignent de l’enthousiasme des acteurs industriels pour cette transformation et d’une réserve de projets prometteuse et abondante. La forte participation à tous les appels à propositions pour des projets à grande échelle traduit la nécessité d’augmenter les fonds disponibles. Par exemple, lors des deux premiers cycles, les fonds demandés s’élevaient à 33,8 milliards d’EUR, pour un budget total de 1,1 milliard d’EUR. L’industrie européenne dispose certainement du savoir-faire nécessaire, mais elle est confrontée au défi d’investir dans la nouvelle révolution industrielle, pour laquelle le Fonds pour l’innovation peut être un moteur d’investissement rentable basé sur l’UE et adapté au marché unique. La Commission s’efforcera donc de maximiser le budget au titre du Fonds pour l’innovation jusqu’en 2028 en anticipant l’engagement des fonds disponibles. La Commission renforcera également les synergies avec d’autres instruments et développera le Fonds pour l’innovation en tant que plateforme pour aider les États membres, par le biais d’enchères, à sélectionner les projets les plus prometteurs et à les soutenir de manière rentable avec des fonds nationaux. Les approches innovantes, telles que les «enchères en tant que service», constituent un moyen prometteur de sélectionner les projets les plus compétitifs et les plus efficaces sur le plan environnemental dans l’ensemble du marché unique, sans distorsions de concurrence et dans le respect des règles en matière d’aides d’État.</w:t>
      </w:r>
    </w:p>
    <w:p w14:paraId="0798FF82" w14:textId="77777777" w:rsidR="00766CDA" w:rsidRDefault="00766CDA" w:rsidP="00766CDA">
      <w:pPr>
        <w:rPr>
          <w:noProof/>
        </w:rPr>
      </w:pPr>
      <w:r>
        <w:rPr>
          <w:noProof/>
        </w:rPr>
        <w:t xml:space="preserve">De nouvelles possibilités commerciales «zéro net» conduisent à la création d’emplois et à la demande de nouvelles compétences. La demande de main-d’œuvre qualifiée supplémentaire s’accompagnera d’investissements réalisés avant 2030 pour atteindre l’objectif pour 2040, dans les technologies «zéro net», la rénovation des bâtiments, les matériaux innovants et la maintenance d’équipements «zéro net». Les compétences des travailleurs participant à des activités en déclin liées aux combustibles fossiles ou à forte intensité d’émissions ne peuvent pas toujours être facilement transférées vers de nouvelles activités. Sur la base de l’agenda des compétences, de l’Année européenne des compétences et des initiatives existantes de l’UE, il convient d’élaborer un programme ambitieux de formation et de reconversion, coordonné au niveau de l’UE et des États membres, afin de répondre à la demande de nouvelles compétences et de nouveaux emplois. Ce programme devrait garantir des possibilités d’emploi nouvelles et améliorées pour les personnes actuellement employées dans des secteurs qui cessent progressivement leurs activités, et veiller à ce que la transition ne soit pas entravée par une inadéquation de compétences et des pénuries de main-d’œuvre qualifiée. </w:t>
      </w:r>
    </w:p>
    <w:p w14:paraId="138EC45E" w14:textId="77777777" w:rsidR="00766CDA" w:rsidRPr="007663CA" w:rsidRDefault="00766CDA" w:rsidP="00766CDA">
      <w:pPr>
        <w:rPr>
          <w:noProof/>
        </w:rPr>
      </w:pPr>
      <w:r>
        <w:rPr>
          <w:noProof/>
        </w:rPr>
        <w:t>La poursuite de la numérisation de l’économie fournira des outils, par exemple pour gérer l’intégration du système énergétique et contribuer à une gestion durable de nos terres (</w:t>
      </w:r>
      <w:r>
        <w:rPr>
          <w:rStyle w:val="FootnoteReference"/>
          <w:noProof/>
        </w:rPr>
        <w:footnoteReference w:id="45"/>
      </w:r>
      <w:r>
        <w:rPr>
          <w:noProof/>
        </w:rPr>
        <w:t xml:space="preserve">).  </w:t>
      </w:r>
      <w:bookmarkEnd w:id="48"/>
    </w:p>
    <w:p w14:paraId="67100F15" w14:textId="77777777" w:rsidR="00766CDA" w:rsidRPr="007663CA" w:rsidRDefault="00766CDA" w:rsidP="00766CDA">
      <w:pPr>
        <w:rPr>
          <w:rFonts w:eastAsia="Times New Roman"/>
          <w:noProof/>
        </w:rPr>
      </w:pPr>
    </w:p>
    <w:p w14:paraId="6E1F76A9" w14:textId="77777777" w:rsidR="00766CDA" w:rsidRPr="007663CA" w:rsidRDefault="00766CDA" w:rsidP="00766CDA">
      <w:pPr>
        <w:pStyle w:val="Heading1"/>
        <w:rPr>
          <w:noProof/>
        </w:rPr>
      </w:pPr>
      <w:bookmarkStart w:id="53" w:name="_Toc155286929"/>
      <w:bookmarkStart w:id="54" w:name="_Toc160204887"/>
      <w:r>
        <w:rPr>
          <w:noProof/>
        </w:rPr>
        <w:t>Conclusion et prochaines étapes</w:t>
      </w:r>
      <w:bookmarkEnd w:id="53"/>
      <w:bookmarkEnd w:id="54"/>
    </w:p>
    <w:p w14:paraId="48183006" w14:textId="77777777" w:rsidR="00766CDA" w:rsidRPr="007663CA" w:rsidRDefault="00766CDA" w:rsidP="00766CDA">
      <w:pPr>
        <w:rPr>
          <w:noProof/>
        </w:rPr>
      </w:pPr>
      <w:r>
        <w:rPr>
          <w:noProof/>
        </w:rPr>
        <w:t xml:space="preserve">Pour garantir la prospérité et le bien-être des générations actuelles et futures, l’UE doit poursuivre sa transition vers la neutralité climatique et vers une économie durable et compétitive, résiliente face aux risques climatiques et géopolitiques et libérée des dépendances critiques. </w:t>
      </w:r>
    </w:p>
    <w:p w14:paraId="62F72F1E" w14:textId="77777777" w:rsidR="00766CDA" w:rsidRPr="007663CA" w:rsidRDefault="00766CDA" w:rsidP="00766CDA">
      <w:pPr>
        <w:rPr>
          <w:noProof/>
        </w:rPr>
      </w:pPr>
      <w:r>
        <w:rPr>
          <w:noProof/>
        </w:rPr>
        <w:t xml:space="preserve">Des conclusions et des enseignements importants pour la transition peuvent être tirés de l’analyse de la Commission (annexée à la présente communication) et servir de base à un large débat sur les mesures à prendre au sein de l’UE et en coopération avec nos partenaires dans le monde. </w:t>
      </w:r>
    </w:p>
    <w:p w14:paraId="3FD7830A" w14:textId="77777777" w:rsidR="00766CDA" w:rsidRPr="009C5E8D" w:rsidRDefault="00766CDA" w:rsidP="00766CDA">
      <w:pPr>
        <w:rPr>
          <w:noProof/>
        </w:rPr>
      </w:pPr>
      <w:r>
        <w:rPr>
          <w:noProof/>
        </w:rPr>
        <w:t xml:space="preserve">La présente communication pose les jalons d’un débat politique et des choix à opérer par les citoyens et les gouvernements européens concernant la voie à suivre. La prochaine Commission s’en inspirera pour présenter sa proposition législative visant à inclure l’objectif pour 2040 dans la loi européenne sur le climat et à élaborer un cadre d’action approprié pour l’après-2030. Ce qui sera réalisé entre 2024 et 2029 déterminera la voie que l’Europe suivra jusqu’en 2040 et au-delà, jusqu’en 2050. Le cadre d’action devra garantir une contribution équilibrée et rentable de tous les secteurs à la réduction des émissions de gaz à effet de serre et aux absorptions de carbone. </w:t>
      </w:r>
    </w:p>
    <w:p w14:paraId="49CAFB1D" w14:textId="77777777" w:rsidR="00766CDA" w:rsidRDefault="00766CDA" w:rsidP="00766CDA">
      <w:pPr>
        <w:rPr>
          <w:noProof/>
        </w:rPr>
      </w:pPr>
      <w:r>
        <w:rPr>
          <w:noProof/>
        </w:rPr>
        <w:t>Dans le même temps, pour réaliser les réductions des émissions de gaz à effet de serre et les absorptions de carbone nécessaires, des conditions propices doivent être réunies. Il s’agit notamment de mettre en œuvre intégralement le cadre pour 2030, de garantir la compétitivité de l’industrie et de l’agriculture européennes, d’adopter des mesures visant à assurer une transition juste, d’opérer dans des conditions équitables à l’échelle mondiale, et de mener un dialogue stratégique avec les parties prenantes sur le cadre pour l’après-2030, notamment pour permettre au secteur agricole de conserver son rôle de garant de la sécurité alimentaire tout en réduisant ses émissions.</w:t>
      </w:r>
    </w:p>
    <w:p w14:paraId="0B105145" w14:textId="77777777" w:rsidR="00766CDA" w:rsidRDefault="00766CDA" w:rsidP="00766CDA">
      <w:pPr>
        <w:rPr>
          <w:noProof/>
        </w:rPr>
      </w:pPr>
    </w:p>
    <w:p w14:paraId="0C0A6D5B" w14:textId="77777777" w:rsidR="00766CDA" w:rsidRDefault="00766CDA" w:rsidP="00766CDA">
      <w:pPr>
        <w:rPr>
          <w:noProof/>
        </w:rPr>
      </w:pPr>
      <w:r>
        <w:rPr>
          <w:noProof/>
        </w:rPr>
        <w:t>En fixant l’objectif pour 2040, l’UE montrera sa détermination à rester à l’avant-garde de la dynamique mondiale qui consiste à développer des technologies de fabrication propres et à exploiter les possibilités de croissance économique et de création d’emplois qui en découlent. Elle enverra un signal clair au reste du monde indiquant que l’Europe reste pleinement engagée en faveur de l’accord de Paris et de l’action multilatérale, montrant ainsi l’exemple et ouvrant la voie à d’autres pour mener leurs propres actions.</w:t>
      </w:r>
    </w:p>
    <w:p w14:paraId="0711F2C3" w14:textId="77777777" w:rsidR="00766CDA" w:rsidRDefault="00766CDA" w:rsidP="00766CDA">
      <w:pPr>
        <w:rPr>
          <w:noProof/>
        </w:rPr>
      </w:pPr>
    </w:p>
    <w:tbl>
      <w:tblPr>
        <w:tblStyle w:val="TableGrid"/>
        <w:tblW w:w="0" w:type="auto"/>
        <w:tblLook w:val="04A0" w:firstRow="1" w:lastRow="0" w:firstColumn="1" w:lastColumn="0" w:noHBand="0" w:noVBand="1"/>
      </w:tblPr>
      <w:tblGrid>
        <w:gridCol w:w="9242"/>
      </w:tblGrid>
      <w:tr w:rsidR="00766CDA" w14:paraId="557805DE" w14:textId="77777777" w:rsidTr="00AD0C4E">
        <w:trPr>
          <w:trHeight w:val="300"/>
        </w:trPr>
        <w:tc>
          <w:tcPr>
            <w:tcW w:w="92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69AC6E1" w14:textId="77777777" w:rsidR="00766CDA" w:rsidRPr="009C5E8D" w:rsidRDefault="00766CDA" w:rsidP="00AD0C4E">
            <w:pPr>
              <w:ind w:left="3600"/>
              <w:rPr>
                <w:b/>
                <w:bCs/>
                <w:noProof/>
              </w:rPr>
            </w:pPr>
            <w:r>
              <w:rPr>
                <w:b/>
                <w:noProof/>
              </w:rPr>
              <w:t xml:space="preserve">ANNEXE </w:t>
            </w:r>
          </w:p>
          <w:p w14:paraId="0ACC8DBE" w14:textId="77777777" w:rsidR="00766CDA" w:rsidRPr="009C5E8D" w:rsidRDefault="00766CDA" w:rsidP="00AD0C4E">
            <w:pPr>
              <w:rPr>
                <w:b/>
                <w:bCs/>
                <w:noProof/>
              </w:rPr>
            </w:pPr>
          </w:p>
          <w:p w14:paraId="646669FE" w14:textId="77777777" w:rsidR="00766CDA" w:rsidRPr="005060FD" w:rsidRDefault="00766CDA" w:rsidP="00AD0C4E">
            <w:pPr>
              <w:pStyle w:val="Heading1"/>
              <w:numPr>
                <w:ilvl w:val="0"/>
                <w:numId w:val="131"/>
              </w:numPr>
              <w:spacing w:after="0"/>
              <w:outlineLvl w:val="0"/>
              <w:rPr>
                <w:noProof/>
              </w:rPr>
            </w:pPr>
            <w:bookmarkStart w:id="55" w:name="_Toc160204888"/>
            <w:r>
              <w:rPr>
                <w:noProof/>
              </w:rPr>
              <w:t>Éléments permettant d’atteindre l’objectif pour 2040</w:t>
            </w:r>
            <w:bookmarkEnd w:id="55"/>
          </w:p>
          <w:p w14:paraId="47FD296A" w14:textId="77777777" w:rsidR="00766CDA" w:rsidRPr="009C5E8D" w:rsidRDefault="00766CDA" w:rsidP="00AD0C4E">
            <w:pPr>
              <w:rPr>
                <w:b/>
                <w:bCs/>
                <w:noProof/>
              </w:rPr>
            </w:pPr>
          </w:p>
          <w:p w14:paraId="562A8FD0" w14:textId="77777777" w:rsidR="00766CDA" w:rsidRPr="005060FD" w:rsidRDefault="00766CDA" w:rsidP="00AD0C4E">
            <w:pPr>
              <w:pStyle w:val="ListParagraph"/>
              <w:numPr>
                <w:ilvl w:val="0"/>
                <w:numId w:val="49"/>
              </w:numPr>
              <w:rPr>
                <w:noProof/>
              </w:rPr>
            </w:pPr>
            <w:r>
              <w:rPr>
                <w:b/>
                <w:noProof/>
              </w:rPr>
              <w:t>Un système énergétique résilient et décarboné pour nos bâtiments, nos transports et notre industrie</w:t>
            </w:r>
          </w:p>
          <w:p w14:paraId="39DC0344" w14:textId="77777777" w:rsidR="00766CDA" w:rsidRPr="009C5E8D" w:rsidRDefault="00766CDA" w:rsidP="00AD0C4E">
            <w:pPr>
              <w:numPr>
                <w:ilvl w:val="0"/>
                <w:numId w:val="133"/>
              </w:numPr>
              <w:rPr>
                <w:noProof/>
              </w:rPr>
            </w:pPr>
            <w:r>
              <w:rPr>
                <w:noProof/>
              </w:rPr>
              <w:t xml:space="preserve">Toutes les solutions énergétiques à émissions nulles ou faibles seront nécessaires (énergies renouvelables, nucléaire, efficacité énergétique, davantage de bioénergie durable, stockage, CUC, absorptions de carbone ainsi que toutes les autres technologies énergétiques «zéro net» actuelles et futures). </w:t>
            </w:r>
          </w:p>
          <w:p w14:paraId="48762656" w14:textId="77777777" w:rsidR="00766CDA" w:rsidRPr="009C5E8D" w:rsidRDefault="00766CDA" w:rsidP="00AD0C4E">
            <w:pPr>
              <w:numPr>
                <w:ilvl w:val="0"/>
                <w:numId w:val="133"/>
              </w:numPr>
              <w:rPr>
                <w:noProof/>
              </w:rPr>
            </w:pPr>
            <w:r>
              <w:rPr>
                <w:noProof/>
              </w:rPr>
              <w:t>La transition vers l’abandon des combustibles fossiles renforcera l’indépendance et l’autonomie stratégique ouverte de l’UE et réduira le risque de chocs des prix. Les combustibles fossiles solides devraient être progressivement supprimés. Conformément à REPowerEU, l’utilisation de gaz et de pétrole devrait diminuer au fil du temps de manière à garantir la sécurité d’approvisionnement de l’UE. Une chaîne d’approvisionnement en hydrogène renouvelable et bas carbone devrait contribuer au stockage saisonnier et à la transition dans les secteurs difficiles à décarboner.</w:t>
            </w:r>
          </w:p>
          <w:p w14:paraId="77A99AE3" w14:textId="77777777" w:rsidR="00766CDA" w:rsidRDefault="00766CDA" w:rsidP="00AD0C4E">
            <w:pPr>
              <w:numPr>
                <w:ilvl w:val="0"/>
                <w:numId w:val="133"/>
              </w:numPr>
              <w:rPr>
                <w:noProof/>
              </w:rPr>
            </w:pPr>
            <w:r>
              <w:rPr>
                <w:noProof/>
              </w:rPr>
              <w:t>L’électrification sera au cœur de la transition, grâce au déploiement d’infrastructures de recharge et de pompes à chaleur et à l’isolation des bâtiments. Le secteur de l’électricité devrait être presque entièrement décarboné au cours de la seconde moitié des années 2030, et atteindre une plus grande flexibilité grâce aux réseaux intelligents, au stockage de l’énergie, à la participation active de la demande et au stockage d’énergie pilotable à faibles émissions de carbone. Cela nécessitera un important effort de reconversion dans les secteurs de la fabrication et de la maintenance.</w:t>
            </w:r>
          </w:p>
          <w:p w14:paraId="40A7FB03" w14:textId="77777777" w:rsidR="00766CDA" w:rsidRPr="009C5E8D" w:rsidRDefault="00766CDA" w:rsidP="00AD0C4E">
            <w:pPr>
              <w:numPr>
                <w:ilvl w:val="0"/>
                <w:numId w:val="133"/>
              </w:numPr>
              <w:spacing w:before="100" w:beforeAutospacing="1" w:after="160" w:line="221" w:lineRule="atLeast"/>
              <w:rPr>
                <w:noProof/>
              </w:rPr>
            </w:pPr>
            <w:r>
              <w:rPr>
                <w:noProof/>
              </w:rPr>
              <w:t>L’objectif climatique pour 2040 requiert une expansion et une modernisation substantielles des réseaux électriques et des installations de stockage de l’UE. L’évolution du bouquet énergétique nécessitera des investissements importants au cours des 10 à 15 prochaines années et dépendra de la capacité d’établir un cadre réglementaire approprié, une planification intégrée des infrastructures, une fabrication compétitive et des incitations en faveur de chaînes d’approvisionnement résilientes.</w:t>
            </w:r>
            <w:r>
              <w:rPr>
                <w:noProof/>
                <w:color w:val="000000" w:themeColor="text1"/>
              </w:rPr>
              <w:t xml:space="preserve"> </w:t>
            </w:r>
          </w:p>
          <w:p w14:paraId="0755885F" w14:textId="77777777" w:rsidR="00766CDA" w:rsidRPr="009C5E8D" w:rsidRDefault="00766CDA" w:rsidP="00AD0C4E">
            <w:pPr>
              <w:rPr>
                <w:noProof/>
              </w:rPr>
            </w:pPr>
          </w:p>
          <w:p w14:paraId="775D55A9" w14:textId="77777777" w:rsidR="00766CDA" w:rsidRPr="009C5E8D" w:rsidRDefault="00766CDA" w:rsidP="00AD0C4E">
            <w:pPr>
              <w:pStyle w:val="ListParagraph"/>
              <w:numPr>
                <w:ilvl w:val="0"/>
                <w:numId w:val="49"/>
              </w:numPr>
              <w:spacing w:after="120"/>
              <w:rPr>
                <w:rFonts w:eastAsia="Calibri"/>
                <w:noProof/>
                <w:color w:val="000000" w:themeColor="text1"/>
              </w:rPr>
            </w:pPr>
            <w:r>
              <w:rPr>
                <w:b/>
                <w:noProof/>
                <w:color w:val="000000" w:themeColor="text1"/>
              </w:rPr>
              <w:t>Une révolution industrielle axée sur la compétitivité fondée sur la recherche et l’innovation, la circularité, l’utilisation efficace des ressources, la décarbonation industrielle et la fabrication de technologies propres</w:t>
            </w:r>
            <w:r>
              <w:rPr>
                <w:noProof/>
                <w:color w:val="000000" w:themeColor="text1"/>
              </w:rPr>
              <w:t xml:space="preserve"> </w:t>
            </w:r>
          </w:p>
          <w:p w14:paraId="52AC3A97" w14:textId="77777777" w:rsidR="00766CDA" w:rsidRPr="00954C50" w:rsidRDefault="00766CDA" w:rsidP="00AD0C4E">
            <w:pPr>
              <w:numPr>
                <w:ilvl w:val="0"/>
                <w:numId w:val="133"/>
              </w:numPr>
              <w:rPr>
                <w:noProof/>
              </w:rPr>
            </w:pPr>
            <w:r>
              <w:rPr>
                <w:noProof/>
              </w:rPr>
              <w:t>Un programme d’investissement global est nécessaire pour attirer des capitaux privés et faire en sorte que l’UE reste une destination attrayante pour les investissements dans la recherche, l’innovation, le déploiement de nouvelles technologies, les solutions circulaires et les infrastructures. Il est également nécessaire d’utiliser de manière intelligente et anticipée le soutien public à cette transition, ainsi que de réduire les risques liés aux investissements privés à grande échelle.</w:t>
            </w:r>
          </w:p>
          <w:p w14:paraId="345098FC" w14:textId="77777777" w:rsidR="00766CDA" w:rsidRPr="00954C50" w:rsidRDefault="00766CDA" w:rsidP="00AD0C4E">
            <w:pPr>
              <w:numPr>
                <w:ilvl w:val="0"/>
                <w:numId w:val="133"/>
              </w:numPr>
              <w:rPr>
                <w:noProof/>
              </w:rPr>
            </w:pPr>
            <w:r>
              <w:rPr>
                <w:noProof/>
              </w:rPr>
              <w:t xml:space="preserve">Étant donné que le pacte vert doit également être un accord de décarbonation de l’industrie, un cadre propice à l’industrie décarbonée devrait aller de pair avec une politique industrielle renforcée de l’UE grâce à des chaînes de valeur résilientes, notamment pour les matières premières critiques primaires et secondaires, avec une augmentation des capacités de production intérieure dans les secteurs stratégiques, et avec l’intégration complète du principe de durabilité compétitive dans les marchés publics. Cela nécessitera des mécanismes de financement dotés des ressources suffisantes au niveau de l’UE et la création de marchés pilotes, y compris grâce à des règles en matière de marchés publics, des incitations fondées sur le marché, des normes et des labels afin d’orienter la consommation vers des matériaux et des biens durables dont les émissions sont proches de zéro. </w:t>
            </w:r>
          </w:p>
          <w:p w14:paraId="1309C521" w14:textId="77777777" w:rsidR="00766CDA" w:rsidRPr="009C5E8D" w:rsidRDefault="00766CDA" w:rsidP="00AD0C4E">
            <w:pPr>
              <w:numPr>
                <w:ilvl w:val="0"/>
                <w:numId w:val="133"/>
              </w:numPr>
              <w:rPr>
                <w:noProof/>
              </w:rPr>
            </w:pPr>
            <w:r>
              <w:rPr>
                <w:noProof/>
              </w:rPr>
              <w:t xml:space="preserve">Cela nécessitera également une approche plus stratégique de la sécurisation de l’approvisionnement en produits de base critiques sur le marché mondial au moyen de mécanismes d’achat conjoint, ainsi que des mesures visant à améliorer la compétitivité des exportations européennes sur les marchés mondiaux.  </w:t>
            </w:r>
          </w:p>
          <w:p w14:paraId="78DC44B2" w14:textId="77777777" w:rsidR="00766CDA" w:rsidRPr="00954C50" w:rsidRDefault="00766CDA" w:rsidP="00AD0C4E">
            <w:pPr>
              <w:numPr>
                <w:ilvl w:val="0"/>
                <w:numId w:val="133"/>
              </w:numPr>
              <w:rPr>
                <w:noProof/>
              </w:rPr>
            </w:pPr>
            <w:r>
              <w:rPr>
                <w:noProof/>
              </w:rPr>
              <w:t xml:space="preserve">Parallèlement à un soutien ciblé à l’investissement, la tarification du carbone restera l’un des principaux moteurs du changement. Les systèmes actuels d’échange de quotas d’émission devront être complétés par une utilisation efficace de la taxation de l’énergie et la suppression progressive des subventions aux combustibles fossiles qui ne luttent pas contre la précarité énergétique ou ne favorisent pas une transition juste. </w:t>
            </w:r>
          </w:p>
          <w:p w14:paraId="35446C55" w14:textId="77777777" w:rsidR="00766CDA" w:rsidRPr="009C5E8D" w:rsidRDefault="00766CDA" w:rsidP="00AD0C4E">
            <w:pPr>
              <w:pStyle w:val="ListParagraph"/>
              <w:numPr>
                <w:ilvl w:val="0"/>
                <w:numId w:val="0"/>
              </w:numPr>
              <w:spacing w:after="120"/>
              <w:ind w:left="720"/>
              <w:rPr>
                <w:rFonts w:eastAsia="Calibri"/>
                <w:noProof/>
                <w:color w:val="000000" w:themeColor="text1"/>
              </w:rPr>
            </w:pPr>
          </w:p>
          <w:p w14:paraId="1CFCC289" w14:textId="77777777" w:rsidR="00766CDA" w:rsidRPr="009C5E8D" w:rsidRDefault="00766CDA" w:rsidP="00AD0C4E">
            <w:pPr>
              <w:pStyle w:val="ListParagraph"/>
              <w:numPr>
                <w:ilvl w:val="0"/>
                <w:numId w:val="49"/>
              </w:numPr>
              <w:spacing w:after="120"/>
              <w:rPr>
                <w:rFonts w:eastAsia="Calibri"/>
                <w:noProof/>
                <w:color w:val="000000" w:themeColor="text1"/>
              </w:rPr>
            </w:pPr>
            <w:bookmarkStart w:id="56" w:name="_Hlk158032416"/>
            <w:r>
              <w:rPr>
                <w:b/>
                <w:noProof/>
                <w:color w:val="000000" w:themeColor="text1"/>
              </w:rPr>
              <w:t>Des infrastructures d’approvisionnement, de transport et de stockage de l’hydrogène et du CO</w:t>
            </w:r>
            <w:r>
              <w:rPr>
                <w:b/>
                <w:noProof/>
                <w:color w:val="000000" w:themeColor="text1"/>
                <w:vertAlign w:val="subscript"/>
              </w:rPr>
              <w:t>2</w:t>
            </w:r>
            <w:r>
              <w:rPr>
                <w:b/>
                <w:noProof/>
                <w:color w:val="000000" w:themeColor="text1"/>
              </w:rPr>
              <w:t xml:space="preserve"> </w:t>
            </w:r>
            <w:r>
              <w:rPr>
                <w:noProof/>
                <w:color w:val="000000" w:themeColor="text1"/>
              </w:rPr>
              <w:t xml:space="preserve"> </w:t>
            </w:r>
          </w:p>
          <w:p w14:paraId="27BFCA74" w14:textId="77777777" w:rsidR="00766CDA" w:rsidRPr="00954C50" w:rsidRDefault="00766CDA" w:rsidP="00AD0C4E">
            <w:pPr>
              <w:numPr>
                <w:ilvl w:val="0"/>
                <w:numId w:val="133"/>
              </w:numPr>
              <w:rPr>
                <w:noProof/>
              </w:rPr>
            </w:pPr>
            <w:r>
              <w:rPr>
                <w:noProof/>
              </w:rPr>
              <w:t>Une intervention publique ciblée peut servir de catalyseur pour accélérer les investissements, y compris au niveau européen. Une attention particulière devrait être accordée au développement d’une infrastructure énergétique intégrée intelligente au niveau de la distribution, y compris pour la recharge et le ravitaillement en carburants des véhicules, et pour les pôles industriels, notamment pour la fourniture d’hydrogène et de matières premières à faible intensité de carbone pour remplacer les intrants d’origine fossile.</w:t>
            </w:r>
          </w:p>
          <w:p w14:paraId="03C67EF7" w14:textId="77777777" w:rsidR="00766CDA" w:rsidRPr="00954C50" w:rsidRDefault="00766CDA" w:rsidP="00AD0C4E">
            <w:pPr>
              <w:numPr>
                <w:ilvl w:val="0"/>
                <w:numId w:val="133"/>
              </w:numPr>
              <w:rPr>
                <w:noProof/>
              </w:rPr>
            </w:pPr>
            <w:r>
              <w:rPr>
                <w:noProof/>
              </w:rPr>
              <w:t>La planification urbaine permettra aux citoyens et aux entreprises de décarboner leur environnement, que ce soit au moyen d’infrastructures de recharge ou du chauffage urbain.</w:t>
            </w:r>
          </w:p>
          <w:bookmarkEnd w:id="56"/>
          <w:p w14:paraId="71016D65" w14:textId="77777777" w:rsidR="00766CDA" w:rsidRPr="0072294A" w:rsidRDefault="00766CDA" w:rsidP="00AD0C4E">
            <w:pPr>
              <w:ind w:left="720" w:hanging="360"/>
              <w:rPr>
                <w:rFonts w:eastAsia="Calibri"/>
                <w:noProof/>
                <w:color w:val="000000" w:themeColor="text1"/>
                <w:lang w:val="fr-BE"/>
              </w:rPr>
            </w:pPr>
          </w:p>
          <w:p w14:paraId="5ECEA736" w14:textId="77777777" w:rsidR="00766CDA" w:rsidRPr="009C5E8D" w:rsidRDefault="00766CDA" w:rsidP="00AD0C4E">
            <w:pPr>
              <w:pStyle w:val="ListParagraph"/>
              <w:numPr>
                <w:ilvl w:val="0"/>
                <w:numId w:val="49"/>
              </w:numPr>
              <w:spacing w:after="120"/>
              <w:rPr>
                <w:rFonts w:eastAsia="Calibri"/>
                <w:noProof/>
              </w:rPr>
            </w:pPr>
            <w:r>
              <w:rPr>
                <w:b/>
                <w:noProof/>
              </w:rPr>
              <w:t xml:space="preserve">Réduction accrue des émissions dans l’agriculture </w:t>
            </w:r>
          </w:p>
          <w:p w14:paraId="38F1B5A2" w14:textId="77777777" w:rsidR="00766CDA" w:rsidRPr="00954C50" w:rsidRDefault="00766CDA" w:rsidP="00AD0C4E">
            <w:pPr>
              <w:numPr>
                <w:ilvl w:val="0"/>
                <w:numId w:val="133"/>
              </w:numPr>
              <w:rPr>
                <w:noProof/>
              </w:rPr>
            </w:pPr>
            <w:r>
              <w:rPr>
                <w:noProof/>
              </w:rPr>
              <w:t>L’agriculture joue un rôle essentiel pour assurer la sécurité alimentaire. Comme d’autres secteurs, l’agriculture a également un rôle à jouer dans la transition écologique. Grâce à des politiques efficaces récompensant les bonnes pratiques, il est possible de réduire plus rapidement les émissions du secteur tout en renforçant les absorptions de carbone dans le secteur de l’utilisation des terres, dans les sols et les forêts. La chaîne de valeur agroalimentaire devrait être associée afin de créer des synergies et d’exploiter au maximum le potentiel d’atténuation.</w:t>
            </w:r>
          </w:p>
          <w:p w14:paraId="2BD1DAB9" w14:textId="77777777" w:rsidR="00766CDA" w:rsidRPr="00954C50" w:rsidRDefault="00766CDA" w:rsidP="00AD0C4E">
            <w:pPr>
              <w:numPr>
                <w:ilvl w:val="0"/>
                <w:numId w:val="133"/>
              </w:numPr>
              <w:rPr>
                <w:noProof/>
              </w:rPr>
            </w:pPr>
            <w:r>
              <w:rPr>
                <w:noProof/>
              </w:rPr>
              <w:t>Des politiques et des incitations claires devraient être mises en place pour réaliser le potentiel d’innovation du système alimentaire et de la bioéconomie dans son ensemble, ainsi que pour fournir une alimentation saine et durable aux citoyens de l’Union.</w:t>
            </w:r>
          </w:p>
          <w:p w14:paraId="2CC0C100" w14:textId="77777777" w:rsidR="00766CDA" w:rsidRPr="009C5E8D" w:rsidRDefault="00766CDA" w:rsidP="00AD0C4E">
            <w:pPr>
              <w:pStyle w:val="ListParagraph"/>
              <w:numPr>
                <w:ilvl w:val="0"/>
                <w:numId w:val="0"/>
              </w:numPr>
              <w:spacing w:after="160"/>
              <w:ind w:left="720"/>
              <w:rPr>
                <w:rFonts w:eastAsia="Calibri"/>
                <w:noProof/>
              </w:rPr>
            </w:pPr>
          </w:p>
          <w:p w14:paraId="79B8F603" w14:textId="77777777" w:rsidR="00766CDA" w:rsidRPr="009C5E8D" w:rsidRDefault="00766CDA" w:rsidP="00AD0C4E">
            <w:pPr>
              <w:pStyle w:val="ListParagraph"/>
              <w:numPr>
                <w:ilvl w:val="0"/>
                <w:numId w:val="49"/>
              </w:numPr>
              <w:spacing w:after="120"/>
              <w:rPr>
                <w:rFonts w:eastAsia="Calibri"/>
                <w:noProof/>
                <w:color w:val="000000" w:themeColor="text1"/>
              </w:rPr>
            </w:pPr>
            <w:bookmarkStart w:id="57" w:name="_Hlk157346777"/>
            <w:r>
              <w:rPr>
                <w:b/>
                <w:bCs/>
                <w:noProof/>
                <w:color w:val="000000" w:themeColor="text1"/>
              </w:rPr>
              <w:t>La politique climatique en tant que politique d’investissement</w:t>
            </w:r>
            <w:r>
              <w:rPr>
                <w:noProof/>
                <w:color w:val="000000" w:themeColor="text1"/>
              </w:rPr>
              <w:t xml:space="preserve"> </w:t>
            </w:r>
          </w:p>
          <w:p w14:paraId="47C2C933" w14:textId="77777777" w:rsidR="00766CDA" w:rsidRPr="00954C50" w:rsidRDefault="00766CDA" w:rsidP="00AD0C4E">
            <w:pPr>
              <w:numPr>
                <w:ilvl w:val="0"/>
                <w:numId w:val="133"/>
              </w:numPr>
              <w:rPr>
                <w:noProof/>
              </w:rPr>
            </w:pPr>
            <w:r>
              <w:rPr>
                <w:noProof/>
              </w:rPr>
              <w:t xml:space="preserve">Une part supplémentaire de 1,5 % du PIB par rapport à la décennie 2011-2020 devrait être investie chaque année dans la transition, les ressources ne devant plus être affectées à des utilisations moins durables telles que les subventions aux combustibles fossiles. Cet objectif ne pourra être atteint sans une forte mobilisation du secteur privé. Ce dernier réalisera la plupart de ces investissements si le cadre d’action encourage les investissements à faible intensité de carbone et décourage les investissements à forte intensité de carbone, à condition que ces investissements revêtent un intérêt économique majeur. </w:t>
            </w:r>
          </w:p>
          <w:bookmarkEnd w:id="57"/>
          <w:p w14:paraId="16AD89F7" w14:textId="77777777" w:rsidR="00766CDA" w:rsidRPr="009C5E8D" w:rsidRDefault="00766CDA" w:rsidP="00AD0C4E">
            <w:pPr>
              <w:numPr>
                <w:ilvl w:val="0"/>
                <w:numId w:val="133"/>
              </w:numPr>
              <w:rPr>
                <w:noProof/>
              </w:rPr>
            </w:pPr>
            <w:r>
              <w:rPr>
                <w:noProof/>
              </w:rPr>
              <w:t xml:space="preserve">Des politiques spécifiques sont nécessaires pour faire de l’UE une destination privilégiée pour les investissements durables. Cela nécessite une réflexion globale sur tous les aspects de la question: de la fiscalité à l’accès au financement, des compétences aux charges administratives, et de l’approfondissement du marché intérieur aux coûts de l’énergie. Il s’agit d’un élément crucial pour le succès futur du programme de l’UE, qui devrait être coordonné avec les États membres de l’UE. </w:t>
            </w:r>
            <w:bookmarkStart w:id="58" w:name="_Hlk157014566"/>
          </w:p>
          <w:p w14:paraId="1A927371" w14:textId="77777777" w:rsidR="00766CDA" w:rsidRPr="00954C50" w:rsidRDefault="00766CDA" w:rsidP="00AD0C4E">
            <w:pPr>
              <w:numPr>
                <w:ilvl w:val="0"/>
                <w:numId w:val="133"/>
              </w:numPr>
              <w:rPr>
                <w:noProof/>
              </w:rPr>
            </w:pPr>
            <w:r>
              <w:rPr>
                <w:noProof/>
              </w:rPr>
              <w:t>La transition nécessite également une utilisation intelligente des aides publiques et des dispositifs financiers pour mobiliser les investissements privés à grande échelle. Un soutien public global destiné aux secteurs confrontés à un risque commercial élevé et aux ménages pour lesquels la disponibilité de capitaux est un problème est essentiel à cet égard. Cela nécessitera un engagement plus actif et moins d’aversion au risque de la part des acteurs financiers institutionnels, et notamment de la BEI. Dans le même temps, une aide publique reste essentielle, et l’utilisation efficace de ressources adéquates, y compris au moyen d’un financement de l’UE, devrait s’inscrire dans le cadre d’une réflexion, afin de rendre commercialement viables les projets industriels à émissions de carbone faibles ou nulles.</w:t>
            </w:r>
            <w:bookmarkEnd w:id="58"/>
          </w:p>
          <w:p w14:paraId="7F637E0E" w14:textId="77777777" w:rsidR="00766CDA" w:rsidRPr="009C5E8D" w:rsidRDefault="00766CDA" w:rsidP="00AD0C4E">
            <w:pPr>
              <w:pStyle w:val="ListParagraph"/>
              <w:numPr>
                <w:ilvl w:val="0"/>
                <w:numId w:val="0"/>
              </w:numPr>
              <w:spacing w:after="160"/>
              <w:ind w:left="720"/>
              <w:rPr>
                <w:rFonts w:eastAsia="Calibri"/>
                <w:noProof/>
                <w:color w:val="000000" w:themeColor="text1"/>
              </w:rPr>
            </w:pPr>
          </w:p>
          <w:p w14:paraId="26E7CE48" w14:textId="77777777" w:rsidR="00766CDA" w:rsidRPr="009C5E8D" w:rsidRDefault="00766CDA" w:rsidP="00AD0C4E">
            <w:pPr>
              <w:pStyle w:val="ListParagraph"/>
              <w:numPr>
                <w:ilvl w:val="0"/>
                <w:numId w:val="49"/>
              </w:numPr>
              <w:rPr>
                <w:rFonts w:eastAsia="Calibri"/>
                <w:noProof/>
                <w:color w:val="000000" w:themeColor="text1"/>
              </w:rPr>
            </w:pPr>
            <w:r>
              <w:rPr>
                <w:b/>
                <w:noProof/>
              </w:rPr>
              <w:t>Équité, solidarité et politiques sociales au cœur de la transition</w:t>
            </w:r>
            <w:r>
              <w:rPr>
                <w:noProof/>
              </w:rPr>
              <w:t xml:space="preserve"> </w:t>
            </w:r>
          </w:p>
          <w:p w14:paraId="25E168EA" w14:textId="77777777" w:rsidR="00766CDA" w:rsidRPr="00954C50" w:rsidRDefault="00766CDA" w:rsidP="00AD0C4E">
            <w:pPr>
              <w:numPr>
                <w:ilvl w:val="0"/>
                <w:numId w:val="133"/>
              </w:numPr>
              <w:rPr>
                <w:noProof/>
              </w:rPr>
            </w:pPr>
            <w:r>
              <w:rPr>
                <w:noProof/>
              </w:rPr>
              <w:t xml:space="preserve">Une économie neutre pour le climat, inclusive et résiliente garantira la prospérité et le bien-être à long terme des citoyens de l’UE. Toutefois, les politiques et les fonds publics, de même que le dialogue social, devront s’intéresser aux défis auxquels sont confrontés certains groupes et certaines régions, en soutenant les investissements des ménages en faveur de la décarbonation. </w:t>
            </w:r>
          </w:p>
          <w:p w14:paraId="53829ACB" w14:textId="77777777" w:rsidR="00766CDA" w:rsidRPr="00954C50" w:rsidRDefault="00766CDA" w:rsidP="00AD0C4E">
            <w:pPr>
              <w:numPr>
                <w:ilvl w:val="0"/>
                <w:numId w:val="133"/>
              </w:numPr>
              <w:rPr>
                <w:noProof/>
              </w:rPr>
            </w:pPr>
            <w:r>
              <w:rPr>
                <w:noProof/>
              </w:rPr>
              <w:t>Pour répondre aux préoccupations sociales, il faudra mettre clairement l’accent sur l’équité, la solidarité et les politiques sociales qui permettent non seulement d’atténuer l’incidence directe de la tarification du carbone, le cas échéant, mais aussi de faire en sorte que les ménages à faibles revenus puissent opérer une transition efficace vers le «zéro émission».</w:t>
            </w:r>
          </w:p>
          <w:p w14:paraId="54794A04" w14:textId="77777777" w:rsidR="00766CDA" w:rsidRPr="00954C50" w:rsidRDefault="00766CDA" w:rsidP="00AD0C4E">
            <w:pPr>
              <w:ind w:left="720"/>
              <w:rPr>
                <w:noProof/>
              </w:rPr>
            </w:pPr>
          </w:p>
          <w:p w14:paraId="4C196759" w14:textId="77777777" w:rsidR="00766CDA" w:rsidRPr="009C5E8D" w:rsidRDefault="00766CDA" w:rsidP="00AD0C4E">
            <w:pPr>
              <w:pStyle w:val="ListParagraph"/>
              <w:numPr>
                <w:ilvl w:val="0"/>
                <w:numId w:val="49"/>
              </w:numPr>
              <w:spacing w:after="120"/>
              <w:rPr>
                <w:rFonts w:eastAsia="Calibri"/>
                <w:noProof/>
                <w:color w:val="000000" w:themeColor="text1"/>
              </w:rPr>
            </w:pPr>
            <w:r>
              <w:rPr>
                <w:b/>
                <w:noProof/>
                <w:color w:val="000000" w:themeColor="text1"/>
              </w:rPr>
              <w:t>Des partenariats et une diplomatie climatique de l’UE pour encourager la décarbonation au niveau mondial</w:t>
            </w:r>
            <w:r>
              <w:rPr>
                <w:noProof/>
                <w:color w:val="000000" w:themeColor="text1"/>
              </w:rPr>
              <w:t xml:space="preserve"> </w:t>
            </w:r>
          </w:p>
          <w:p w14:paraId="059EB0C1" w14:textId="77777777" w:rsidR="00766CDA" w:rsidRDefault="00766CDA" w:rsidP="00AD0C4E">
            <w:pPr>
              <w:numPr>
                <w:ilvl w:val="0"/>
                <w:numId w:val="133"/>
              </w:numPr>
              <w:rPr>
                <w:noProof/>
              </w:rPr>
            </w:pPr>
            <w:r>
              <w:rPr>
                <w:noProof/>
              </w:rPr>
              <w:t>L’UE devrait continuer à montrer l’exemple, apporter une contribution de grande ampleur à la réalisation des objectifs de l’accord de Paris, et élargir et approfondir ses partenariats internationaux.</w:t>
            </w:r>
          </w:p>
          <w:p w14:paraId="33EF9369" w14:textId="77777777" w:rsidR="00766CDA" w:rsidRPr="00C9413A" w:rsidRDefault="00766CDA" w:rsidP="00AD0C4E">
            <w:pPr>
              <w:pStyle w:val="ListParagraph"/>
              <w:numPr>
                <w:ilvl w:val="0"/>
                <w:numId w:val="133"/>
              </w:numPr>
              <w:rPr>
                <w:noProof/>
              </w:rPr>
            </w:pPr>
            <w:r>
              <w:rPr>
                <w:noProof/>
              </w:rPr>
              <w:t xml:space="preserve">Elle devrait pratiquer une diplomatie mondiale active en matière de tarification du carbone, en synergie avec d’autres instruments de la politique climatique de l’UE tels que le mécanisme d’ajustement carbone aux frontières.  </w:t>
            </w:r>
          </w:p>
          <w:p w14:paraId="08F6FEEF" w14:textId="77777777" w:rsidR="00766CDA" w:rsidRPr="00954C50" w:rsidRDefault="00766CDA" w:rsidP="00AD0C4E">
            <w:pPr>
              <w:ind w:left="720"/>
              <w:rPr>
                <w:noProof/>
              </w:rPr>
            </w:pPr>
          </w:p>
          <w:p w14:paraId="069EDDDC" w14:textId="77777777" w:rsidR="00766CDA" w:rsidRPr="009C5E8D" w:rsidRDefault="00766CDA" w:rsidP="00AD0C4E">
            <w:pPr>
              <w:pStyle w:val="ListParagraph"/>
              <w:numPr>
                <w:ilvl w:val="0"/>
                <w:numId w:val="49"/>
              </w:numPr>
              <w:rPr>
                <w:noProof/>
              </w:rPr>
            </w:pPr>
            <w:r>
              <w:rPr>
                <w:b/>
                <w:bCs/>
                <w:noProof/>
              </w:rPr>
              <w:t>Gestion des risques et résilience</w:t>
            </w:r>
            <w:r>
              <w:rPr>
                <w:noProof/>
              </w:rPr>
              <w:t xml:space="preserve"> </w:t>
            </w:r>
          </w:p>
          <w:p w14:paraId="17B1FBE5" w14:textId="77777777" w:rsidR="00766CDA" w:rsidRDefault="00766CDA" w:rsidP="00AD0C4E">
            <w:pPr>
              <w:numPr>
                <w:ilvl w:val="0"/>
                <w:numId w:val="133"/>
              </w:numPr>
              <w:rPr>
                <w:noProof/>
              </w:rPr>
            </w:pPr>
            <w:r>
              <w:rPr>
                <w:noProof/>
              </w:rPr>
              <w:t>Les ressources naturelles de l’UE sont essentielles pour fournir pleinement leurs services écosystémiques, notamment en ce qui concerne la maîtrise du changement climatique et le renforcement de la séquestration du carbone.</w:t>
            </w:r>
          </w:p>
          <w:p w14:paraId="221931CC" w14:textId="77777777" w:rsidR="00766CDA" w:rsidRPr="00954C50" w:rsidRDefault="00766CDA" w:rsidP="00AD0C4E">
            <w:pPr>
              <w:numPr>
                <w:ilvl w:val="0"/>
                <w:numId w:val="133"/>
              </w:numPr>
              <w:rPr>
                <w:noProof/>
              </w:rPr>
            </w:pPr>
            <w:r>
              <w:rPr>
                <w:noProof/>
              </w:rPr>
              <w:t>La mise en œuvre du cadre mondial de la biodiversité de Kunming à Montréal et de la stratégie de l’UE en faveur de la biodiversité sera essentielle pour atteindre les objectifs climatiques de l’UE, y compris l’objectif pour 2040.</w:t>
            </w:r>
          </w:p>
          <w:p w14:paraId="3B981C07" w14:textId="77777777" w:rsidR="00766CDA" w:rsidRPr="009C5E8D" w:rsidRDefault="00766CDA" w:rsidP="00AD0C4E">
            <w:pPr>
              <w:numPr>
                <w:ilvl w:val="0"/>
                <w:numId w:val="133"/>
              </w:numPr>
              <w:rPr>
                <w:b/>
                <w:bCs/>
                <w:noProof/>
              </w:rPr>
            </w:pPr>
            <w:r>
              <w:rPr>
                <w:noProof/>
              </w:rPr>
              <w:t>Le changement climatique aura néanmoins une incidence sur nos sociétés pour les années à venir. Nous devons donc nous y préparer et nous adapter dans le même temps. Le renforcement des mesures de préparation et de prévention des risques ainsi que la mise en œuvre coordonnée de politiques telles que l’utilisation rationnelle de l’eau ou des solutions fondées sur la nature permettront d’accroître la résilience de l’ensemble de notre économie et réduiront les coûts.</w:t>
            </w:r>
            <w:r>
              <w:rPr>
                <w:noProof/>
                <w:color w:val="000000" w:themeColor="text1"/>
              </w:rPr>
              <w:t xml:space="preserve"> </w:t>
            </w:r>
          </w:p>
        </w:tc>
      </w:tr>
    </w:tbl>
    <w:p w14:paraId="12632A41" w14:textId="77777777" w:rsidR="00482E88" w:rsidRPr="00766CDA" w:rsidRDefault="00482E88" w:rsidP="00482E88">
      <w:pPr>
        <w:rPr>
          <w:noProof/>
        </w:rPr>
      </w:pPr>
    </w:p>
    <w:p w14:paraId="0158CC45" w14:textId="77777777" w:rsidR="00482E88" w:rsidRPr="00766CDA" w:rsidRDefault="00482E88" w:rsidP="00482E88">
      <w:pPr>
        <w:rPr>
          <w:noProof/>
          <w:lang w:val="fr-BE"/>
        </w:rPr>
      </w:pPr>
    </w:p>
    <w:p w14:paraId="46A11F93" w14:textId="77777777" w:rsidR="00482E88" w:rsidRPr="00766CDA" w:rsidRDefault="00482E88" w:rsidP="00482E88">
      <w:pPr>
        <w:rPr>
          <w:noProof/>
          <w:lang w:val="fr-BE"/>
        </w:rPr>
      </w:pPr>
    </w:p>
    <w:p w14:paraId="2E452033" w14:textId="77777777" w:rsidR="00482E88" w:rsidRPr="00766CDA" w:rsidRDefault="00482E88" w:rsidP="00482E88">
      <w:pPr>
        <w:rPr>
          <w:b/>
          <w:bCs/>
          <w:noProof/>
          <w:lang w:val="fr-BE"/>
        </w:rPr>
      </w:pPr>
    </w:p>
    <w:p w14:paraId="51EA15A7" w14:textId="20D956A8" w:rsidR="0608D6B6" w:rsidRPr="00766CDA" w:rsidRDefault="0608D6B6" w:rsidP="002A12CF">
      <w:pPr>
        <w:rPr>
          <w:noProof/>
          <w:lang w:val="fr-BE"/>
        </w:rPr>
      </w:pPr>
    </w:p>
    <w:p w14:paraId="332764E3" w14:textId="77777777" w:rsidR="00135922" w:rsidRPr="00766CDA" w:rsidRDefault="00135922" w:rsidP="002A12CF">
      <w:pPr>
        <w:rPr>
          <w:b/>
          <w:bCs/>
          <w:noProof/>
          <w:lang w:val="fr-BE"/>
        </w:rPr>
      </w:pPr>
    </w:p>
    <w:p w14:paraId="15D38AAC" w14:textId="77777777" w:rsidR="00C5215C" w:rsidRPr="00766CDA" w:rsidRDefault="00C5215C" w:rsidP="002A12CF">
      <w:pPr>
        <w:rPr>
          <w:noProof/>
          <w:lang w:val="fr-BE"/>
        </w:rPr>
      </w:pPr>
    </w:p>
    <w:sectPr w:rsidR="00C5215C" w:rsidRPr="00766CDA" w:rsidSect="000A37A5">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12F69" w14:textId="77777777" w:rsidR="008001F4" w:rsidRDefault="008001F4" w:rsidP="00D14FE4">
      <w:r>
        <w:separator/>
      </w:r>
    </w:p>
  </w:endnote>
  <w:endnote w:type="continuationSeparator" w:id="0">
    <w:p w14:paraId="6B29F00B" w14:textId="77777777" w:rsidR="008001F4" w:rsidRDefault="008001F4" w:rsidP="00D14FE4">
      <w:r>
        <w:continuationSeparator/>
      </w:r>
    </w:p>
  </w:endnote>
  <w:endnote w:type="continuationNotice" w:id="1">
    <w:p w14:paraId="419648D6" w14:textId="77777777" w:rsidR="008001F4" w:rsidRDefault="008001F4" w:rsidP="00D14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C747E" w14:textId="79383448" w:rsidR="000B7BF2" w:rsidRPr="000B7BF2" w:rsidRDefault="000B7BF2" w:rsidP="000B7BF2">
    <w:pPr>
      <w:pStyle w:val="FooterCoverPage"/>
      <w:rPr>
        <w:rFonts w:ascii="Arial" w:hAnsi="Arial" w:cs="Arial"/>
        <w:b/>
        <w:sz w:val="48"/>
      </w:rPr>
    </w:pPr>
    <w:r w:rsidRPr="000B7BF2">
      <w:rPr>
        <w:rFonts w:ascii="Arial" w:hAnsi="Arial" w:cs="Arial"/>
        <w:b/>
        <w:sz w:val="48"/>
      </w:rPr>
      <w:t>FR</w:t>
    </w:r>
    <w:r w:rsidRPr="000B7BF2">
      <w:rPr>
        <w:rFonts w:ascii="Arial" w:hAnsi="Arial" w:cs="Arial"/>
        <w:b/>
        <w:sz w:val="48"/>
      </w:rPr>
      <w:tab/>
    </w:r>
    <w:r w:rsidRPr="000B7BF2">
      <w:rPr>
        <w:rFonts w:ascii="Arial" w:hAnsi="Arial" w:cs="Arial"/>
        <w:b/>
        <w:sz w:val="48"/>
      </w:rPr>
      <w:tab/>
    </w:r>
    <w:r w:rsidRPr="000B7BF2">
      <w:tab/>
    </w:r>
    <w:r w:rsidRPr="000B7BF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DF89" w14:textId="4D9CAE41" w:rsidR="000B7BF2" w:rsidRPr="000B7BF2" w:rsidRDefault="000B7BF2" w:rsidP="000B7BF2">
    <w:pPr>
      <w:pStyle w:val="FooterCoverPage"/>
      <w:rPr>
        <w:rFonts w:ascii="Arial" w:hAnsi="Arial" w:cs="Arial"/>
        <w:b/>
        <w:sz w:val="48"/>
      </w:rPr>
    </w:pPr>
    <w:r w:rsidRPr="000B7BF2">
      <w:rPr>
        <w:rFonts w:ascii="Arial" w:hAnsi="Arial" w:cs="Arial"/>
        <w:b/>
        <w:sz w:val="48"/>
      </w:rPr>
      <w:t>FR</w:t>
    </w:r>
    <w:r w:rsidRPr="000B7BF2">
      <w:rPr>
        <w:rFonts w:ascii="Arial" w:hAnsi="Arial" w:cs="Arial"/>
        <w:b/>
        <w:sz w:val="48"/>
      </w:rPr>
      <w:tab/>
    </w:r>
    <w:r w:rsidRPr="000B7BF2">
      <w:rPr>
        <w:rFonts w:ascii="Arial" w:hAnsi="Arial" w:cs="Arial"/>
        <w:b/>
        <w:sz w:val="48"/>
      </w:rPr>
      <w:tab/>
    </w:r>
    <w:r w:rsidRPr="000B7BF2">
      <w:tab/>
    </w:r>
    <w:r w:rsidRPr="000B7BF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309A" w14:textId="77777777" w:rsidR="000B7BF2" w:rsidRPr="000B7BF2" w:rsidRDefault="000B7BF2" w:rsidP="000B7BF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48B2" w14:textId="77777777" w:rsidR="000A37A5" w:rsidRDefault="000A37A5">
    <w:pPr>
      <w:pStyle w:val="Footer"/>
    </w:pPr>
  </w:p>
  <w:p w14:paraId="52BA6BF9" w14:textId="77777777" w:rsidR="00DB3C5C" w:rsidRDefault="00DB3C5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674122"/>
      <w:docPartObj>
        <w:docPartGallery w:val="Page Numbers (Bottom of Page)"/>
        <w:docPartUnique/>
      </w:docPartObj>
    </w:sdtPr>
    <w:sdtEndPr>
      <w:rPr>
        <w:noProof/>
      </w:rPr>
    </w:sdtEndPr>
    <w:sdtContent>
      <w:p w14:paraId="07579E01" w14:textId="4D8A740C" w:rsidR="000A37A5" w:rsidRDefault="000A37A5" w:rsidP="00D14FE4">
        <w:pPr>
          <w:pStyle w:val="Footer"/>
        </w:pPr>
        <w:r>
          <w:fldChar w:fldCharType="begin"/>
        </w:r>
        <w:r>
          <w:instrText xml:space="preserve"> PAGE   \* MERGEFORMAT </w:instrText>
        </w:r>
        <w:r>
          <w:fldChar w:fldCharType="separate"/>
        </w:r>
        <w:r w:rsidR="000B7BF2">
          <w:rPr>
            <w:noProof/>
          </w:rPr>
          <w:t>1</w:t>
        </w:r>
        <w:r>
          <w:fldChar w:fldCharType="end"/>
        </w:r>
      </w:p>
    </w:sdtContent>
  </w:sdt>
  <w:p w14:paraId="475547EE" w14:textId="77777777" w:rsidR="000A37A5" w:rsidRDefault="000A37A5" w:rsidP="00D14FE4">
    <w:pPr>
      <w:pStyle w:val="Footer"/>
    </w:pPr>
  </w:p>
  <w:p w14:paraId="194163D4" w14:textId="77777777" w:rsidR="00DB3C5C" w:rsidRDefault="00DB3C5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3015" w14:textId="77777777" w:rsidR="000A37A5" w:rsidRDefault="000A3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BA37D" w14:textId="77777777" w:rsidR="008001F4" w:rsidRDefault="008001F4" w:rsidP="00D14FE4">
      <w:r>
        <w:separator/>
      </w:r>
    </w:p>
  </w:footnote>
  <w:footnote w:type="continuationSeparator" w:id="0">
    <w:p w14:paraId="14DD5144" w14:textId="77777777" w:rsidR="008001F4" w:rsidRDefault="008001F4" w:rsidP="00D14FE4">
      <w:r>
        <w:continuationSeparator/>
      </w:r>
    </w:p>
  </w:footnote>
  <w:footnote w:type="continuationNotice" w:id="1">
    <w:p w14:paraId="108B9AD5" w14:textId="77777777" w:rsidR="008001F4" w:rsidRDefault="008001F4" w:rsidP="00D14FE4"/>
  </w:footnote>
  <w:footnote w:id="2">
    <w:p w14:paraId="2CF102A5" w14:textId="77777777" w:rsidR="00482E88" w:rsidRPr="002176A5" w:rsidRDefault="00482E88" w:rsidP="00482E88">
      <w:pPr>
        <w:pStyle w:val="FootnoteText"/>
      </w:pPr>
      <w:r>
        <w:t>(</w:t>
      </w:r>
      <w:r>
        <w:rPr>
          <w:rStyle w:val="FootnoteReference"/>
        </w:rPr>
        <w:footnoteRef/>
      </w:r>
      <w:r>
        <w:t>) GIEC, «AR6 Synthesis Report: Climate Change 2023» (rapport de synthèse du sixième rapport d’évaluation: changement climatique 2023).</w:t>
      </w:r>
    </w:p>
  </w:footnote>
  <w:footnote w:id="3">
    <w:p w14:paraId="3EEDBF22" w14:textId="77777777" w:rsidR="00482E88" w:rsidRPr="007C2AAF" w:rsidRDefault="00482E88" w:rsidP="00482E88">
      <w:pPr>
        <w:pStyle w:val="FootnoteText"/>
      </w:pPr>
      <w:r>
        <w:t>(</w:t>
      </w:r>
      <w:r>
        <w:rPr>
          <w:rStyle w:val="FootnoteReference"/>
        </w:rPr>
        <w:footnoteRef/>
      </w:r>
      <w:r>
        <w:t xml:space="preserve">) Pourcentage basé sur les données des échanges commerciaux pour les 10 premiers mois et le PIB escompté. </w:t>
      </w:r>
    </w:p>
  </w:footnote>
  <w:footnote w:id="4">
    <w:p w14:paraId="41CA586A" w14:textId="77777777" w:rsidR="00482E88" w:rsidRPr="007C2AAF" w:rsidRDefault="00482E88" w:rsidP="00482E88">
      <w:pPr>
        <w:pStyle w:val="FootnoteText"/>
      </w:pPr>
      <w:r>
        <w:t>(</w:t>
      </w:r>
      <w:r>
        <w:rPr>
          <w:rStyle w:val="FootnoteReference"/>
        </w:rPr>
        <w:footnoteRef/>
      </w:r>
      <w:r>
        <w:t xml:space="preserve">) Rapport d’étape 2023 sur l’action climatique. </w:t>
      </w:r>
    </w:p>
  </w:footnote>
  <w:footnote w:id="5">
    <w:p w14:paraId="0AAEA4EA" w14:textId="77777777" w:rsidR="00482E88" w:rsidRPr="008D390A" w:rsidRDefault="00482E88" w:rsidP="00482E88">
      <w:pPr>
        <w:pStyle w:val="FootnoteText"/>
      </w:pPr>
      <w:r>
        <w:t>(</w:t>
      </w:r>
      <w:r>
        <w:rPr>
          <w:rStyle w:val="FootnoteReference"/>
        </w:rPr>
        <w:footnoteRef/>
      </w:r>
      <w:r>
        <w:t>) Estimation à partir de la base de données AMECO (Commission européenne, DG ECFIN), PIB réel.</w:t>
      </w:r>
    </w:p>
  </w:footnote>
  <w:footnote w:id="6">
    <w:p w14:paraId="68F966A5" w14:textId="1943CED0" w:rsidR="00482E88" w:rsidRDefault="00E63A28" w:rsidP="00482E88">
      <w:r>
        <w:t>(</w:t>
      </w:r>
      <w:r>
        <w:rPr>
          <w:sz w:val="20"/>
          <w:szCs w:val="20"/>
          <w:vertAlign w:val="superscript"/>
        </w:rPr>
        <w:footnoteRef/>
      </w:r>
      <w:r>
        <w:t>) </w:t>
      </w:r>
      <w:r>
        <w:rPr>
          <w:sz w:val="20"/>
        </w:rPr>
        <w:t>Eurostat, Cadre de suivi de l’économie circulaire.</w:t>
      </w:r>
    </w:p>
  </w:footnote>
  <w:footnote w:id="7">
    <w:p w14:paraId="44EF5B79" w14:textId="53A732D2" w:rsidR="001B6F27" w:rsidRPr="001B6F27" w:rsidRDefault="0024520B">
      <w:pPr>
        <w:pStyle w:val="FootnoteText"/>
      </w:pPr>
      <w:r>
        <w:t>(</w:t>
      </w:r>
      <w:r>
        <w:rPr>
          <w:rStyle w:val="FootnoteReference"/>
        </w:rPr>
        <w:footnoteRef/>
      </w:r>
      <w:r>
        <w:t>) Ces travaux devraient tenir dûment compte des efforts déployés par l’UE en faveur de mesures mondiales de tarification du carbone pour les transports aériens et maritimes internationaux, par l’intermédiaire de, respectivement, l’OACI et l’OMI.</w:t>
      </w:r>
    </w:p>
  </w:footnote>
  <w:footnote w:id="8">
    <w:p w14:paraId="42E3A647" w14:textId="77777777" w:rsidR="00482E88" w:rsidRPr="007C2AAF" w:rsidRDefault="00482E88" w:rsidP="00482E88">
      <w:pPr>
        <w:pStyle w:val="FootnoteText"/>
      </w:pPr>
      <w:r>
        <w:t>(</w:t>
      </w:r>
      <w:r>
        <w:rPr>
          <w:rStyle w:val="FootnoteReference"/>
        </w:rPr>
        <w:footnoteRef/>
      </w:r>
      <w:r>
        <w:t>) À l’exclusion des émissions du secteur UTCATF.</w:t>
      </w:r>
    </w:p>
  </w:footnote>
  <w:footnote w:id="9">
    <w:p w14:paraId="326EBF92" w14:textId="77777777" w:rsidR="00482E88" w:rsidRPr="0087380E" w:rsidRDefault="00482E88" w:rsidP="00482E88">
      <w:pPr>
        <w:pStyle w:val="FootnoteText"/>
      </w:pPr>
      <w:r>
        <w:t>(</w:t>
      </w:r>
      <w:r>
        <w:rPr>
          <w:rStyle w:val="FootnoteReference"/>
        </w:rPr>
        <w:footnoteRef/>
      </w:r>
      <w:r>
        <w:t>) L’analyse repose sur des scénarios qui tiennent compte des politiques et des mesures adoptées jusqu’en mars 2023. Les États membres présenteront leurs plans nationaux définitifs en matière d’énergie et de climat en 2024, qui pourraient inclure des mesures supplémentaires.</w:t>
      </w:r>
    </w:p>
  </w:footnote>
  <w:footnote w:id="10">
    <w:p w14:paraId="5DB80C58" w14:textId="77777777" w:rsidR="00482E88" w:rsidRPr="007C2AAF" w:rsidRDefault="00482E88" w:rsidP="00482E88">
      <w:pPr>
        <w:pStyle w:val="FootnoteText"/>
      </w:pPr>
      <w:r>
        <w:t>(</w:t>
      </w:r>
      <w:r>
        <w:rPr>
          <w:rStyle w:val="FootnoteReference"/>
        </w:rPr>
        <w:footnoteRef/>
      </w:r>
      <w:r>
        <w:t xml:space="preserve">) Compatibilité avec la trajectoire visée à l’article 8 de la loi européenne sur le climat, à savoir une trajectoire linéaire entre l’objectif convenu pour 2030 et la neutralité climatique en 2050, pour atteindre 78 % environ en 2040. </w:t>
      </w:r>
    </w:p>
  </w:footnote>
  <w:footnote w:id="11">
    <w:p w14:paraId="78BE70AB" w14:textId="77777777" w:rsidR="00482E88" w:rsidRPr="007C2AAF" w:rsidRDefault="00482E88" w:rsidP="00482E88">
      <w:pPr>
        <w:pStyle w:val="FootnoteText"/>
      </w:pPr>
      <w:r>
        <w:t>(</w:t>
      </w:r>
      <w:r>
        <w:rPr>
          <w:rStyle w:val="FootnoteReference"/>
        </w:rPr>
        <w:footnoteRef/>
      </w:r>
      <w:r>
        <w:t>) ESABCC, «Scientific advice for the determination of an EU-wide 2040 climate target and a greenhouse gas budget for 2030–2050» (avis scientifique en vue de la détermination d’un objectif climatique à l’échelle de l’UE pour 2040 et d’un budget en matière de gaz à effet de serre pour la période 2030-2050), 2023. DOI: 10.2800/609405.</w:t>
      </w:r>
    </w:p>
  </w:footnote>
  <w:footnote w:id="12">
    <w:p w14:paraId="3CF5551F" w14:textId="77777777" w:rsidR="00482E88" w:rsidRPr="007C2AAF" w:rsidRDefault="00482E88" w:rsidP="00482E88">
      <w:pPr>
        <w:pStyle w:val="FootnoteText"/>
      </w:pPr>
      <w:r>
        <w:t>(</w:t>
      </w:r>
      <w:r>
        <w:rPr>
          <w:rStyle w:val="FootnoteReference"/>
        </w:rPr>
        <w:footnoteRef/>
      </w:r>
      <w:r>
        <w:t>) Pour plus de précisions à ce sujet, voir l’annexe 14 de l’analyse d’impact.</w:t>
      </w:r>
    </w:p>
  </w:footnote>
  <w:footnote w:id="13">
    <w:p w14:paraId="2ACF49A0" w14:textId="77777777" w:rsidR="00482E88" w:rsidRPr="007C2AAF" w:rsidRDefault="00482E88" w:rsidP="00482E88">
      <w:pPr>
        <w:pStyle w:val="FootnoteText"/>
      </w:pPr>
      <w:r>
        <w:t>(</w:t>
      </w:r>
      <w:r>
        <w:rPr>
          <w:rStyle w:val="FootnoteReference"/>
        </w:rPr>
        <w:footnoteRef/>
      </w:r>
      <w:r>
        <w:t>) Les investissements dans le secteur des transports correspondent aux dépenses consacrées aux véhicules, au matériel roulant, aux aéronefs et aux navires ainsi qu’aux infrastructures de recharge et de ravitaillement. Ils ne couvrent pas les investissements dans les infrastructures destinées à soutenir la mobilité multimodale et le transport urbain durable. En particulier, les coûts d’acquisition des véhicules privés représentent environ 60 % du total.</w:t>
      </w:r>
    </w:p>
  </w:footnote>
  <w:footnote w:id="14">
    <w:p w14:paraId="6D483DEA" w14:textId="77777777" w:rsidR="00482E88" w:rsidRPr="00772541" w:rsidRDefault="00482E88" w:rsidP="00482E88">
      <w:pPr>
        <w:pStyle w:val="FootnoteText"/>
      </w:pPr>
      <w:r>
        <w:t>(</w:t>
      </w:r>
      <w:r>
        <w:rPr>
          <w:rStyle w:val="FootnoteReference"/>
        </w:rPr>
        <w:footnoteRef/>
      </w:r>
      <w:r>
        <w:t>) Le coût du système énergétique est supérieur aux investissements; il est constitué par le coût du capital (coût d’investissement annualisé) et les dépenses énergétiques pour les activités économiques. Pour plus d’informations, se reporter à l’analyse d’impact.</w:t>
      </w:r>
    </w:p>
  </w:footnote>
  <w:footnote w:id="15">
    <w:p w14:paraId="3F4E6F5A" w14:textId="77777777" w:rsidR="00482E88" w:rsidRPr="007C2AAF" w:rsidRDefault="00482E88" w:rsidP="00482E88">
      <w:pPr>
        <w:pStyle w:val="FootnoteText"/>
      </w:pPr>
      <w:r>
        <w:t>(</w:t>
      </w:r>
      <w:r>
        <w:rPr>
          <w:rStyle w:val="FootnoteReference"/>
        </w:rPr>
        <w:footnoteRef/>
      </w:r>
      <w:r>
        <w:t>) Agence européenne pour l’environnement, «Economic losses from weather- and climate-related extremes in Europe» (pertes économiques dues aux phénomènes météorologiques et climatiques extrêmes en Europe), 2023.</w:t>
      </w:r>
    </w:p>
  </w:footnote>
  <w:footnote w:id="16">
    <w:p w14:paraId="3F12B719" w14:textId="77777777" w:rsidR="00482E88" w:rsidRPr="008D390A" w:rsidRDefault="00482E88" w:rsidP="00482E88">
      <w:pPr>
        <w:pStyle w:val="FootnoteText"/>
      </w:pPr>
      <w:r>
        <w:t>(</w:t>
      </w:r>
      <w:r>
        <w:rPr>
          <w:rStyle w:val="FootnoteReference"/>
        </w:rPr>
        <w:footnoteRef/>
      </w:r>
      <w:r>
        <w:t xml:space="preserve">) Ballester, J., Quijal-Zamorano, M., Méndez Turrubiates, R.F. et al., «Heat-related mortality in Europe during the summer of 2022» (mortalité liée à la chaleur en Europe durant l’été 2022), Nat Med 29, p. 1857 à 1866, 2023. </w:t>
      </w:r>
      <w:hyperlink r:id="rId1" w:history="1">
        <w:r>
          <w:t>https://doi.org/10.1038/s41591-023-02419-z</w:t>
        </w:r>
      </w:hyperlink>
      <w:r>
        <w:t xml:space="preserve">, </w:t>
      </w:r>
      <w:hyperlink r:id="rId2" w:history="1">
        <w:r>
          <w:rPr>
            <w:rStyle w:val="Hyperlink"/>
          </w:rPr>
          <w:t>https://www.nature.com/articles/s41591-023-02419-z</w:t>
        </w:r>
      </w:hyperlink>
      <w:r>
        <w:t xml:space="preserve">. </w:t>
      </w:r>
    </w:p>
  </w:footnote>
  <w:footnote w:id="17">
    <w:p w14:paraId="44A5ACA6" w14:textId="55E90817" w:rsidR="00482E88" w:rsidRPr="00E47C74" w:rsidRDefault="00482E88" w:rsidP="00482E88">
      <w:pPr>
        <w:pStyle w:val="FootnoteText"/>
      </w:pPr>
      <w:r>
        <w:t>(</w:t>
      </w:r>
      <w:r>
        <w:rPr>
          <w:rStyle w:val="FootnoteReference"/>
        </w:rPr>
        <w:footnoteRef/>
      </w:r>
      <w:r>
        <w:t>) Comparaison entre l’incidence du profil représentatif d’évolution de concentration RCP7.0 du GIEC, qui correspond à un scénario de «réchauffement modérément élevé» [avec une «meilleure estimation» du réchauffement de 2,1 °C à moyen terme (2041-2060) et de 3,6 °C à long terme (2081-2100)] et celle du profil RCP1.9, qui est compatible avec l’objectif de 1,5 °C («meilleure estimation» des températures de 1,6 °C et de 1,4 °C).</w:t>
      </w:r>
    </w:p>
  </w:footnote>
  <w:footnote w:id="18">
    <w:p w14:paraId="22DD47FB" w14:textId="77777777" w:rsidR="00482E88" w:rsidRPr="00583A75" w:rsidRDefault="00482E88" w:rsidP="00482E88">
      <w:pPr>
        <w:pStyle w:val="FootnoteText"/>
      </w:pPr>
      <w:r>
        <w:t>(</w:t>
      </w:r>
      <w:r>
        <w:rPr>
          <w:rStyle w:val="FootnoteReference"/>
        </w:rPr>
        <w:footnoteRef/>
      </w:r>
      <w:r>
        <w:t>) Sur la base de la valeur d’une vie statistique (valorisation haute). Ces estimations sont indicatives et ont été établies selon la méthode sur laquelle repose l’analyse spécifique de la Commission relative à l’air pur; voir notamment la troisième édition du rapport «Perspectives en matière d’air pur».</w:t>
      </w:r>
    </w:p>
  </w:footnote>
  <w:footnote w:id="19">
    <w:p w14:paraId="1E1F1C56" w14:textId="77777777" w:rsidR="00482E88" w:rsidRPr="007C2AAF" w:rsidRDefault="00482E88" w:rsidP="00482E88">
      <w:pPr>
        <w:pStyle w:val="FootnoteText"/>
      </w:pPr>
      <w:r>
        <w:t>(</w:t>
      </w:r>
      <w:r>
        <w:rPr>
          <w:rStyle w:val="FootnoteReference"/>
        </w:rPr>
        <w:footnoteRef/>
      </w:r>
      <w:r>
        <w:t>) COM(2023) 796 final.</w:t>
      </w:r>
    </w:p>
  </w:footnote>
  <w:footnote w:id="20">
    <w:p w14:paraId="2A8ED2E7" w14:textId="77777777" w:rsidR="00482E88" w:rsidRPr="00AF6F15" w:rsidRDefault="00482E88" w:rsidP="00482E88">
      <w:pPr>
        <w:pStyle w:val="FootnoteText"/>
      </w:pPr>
      <w:r>
        <w:t>(</w:t>
      </w:r>
      <w:r>
        <w:rPr>
          <w:rStyle w:val="FootnoteReference"/>
        </w:rPr>
        <w:footnoteRef/>
      </w:r>
      <w:r>
        <w:t>) Conformément à la «recommandation du Conseil visant à assurer une transition équitable vers la neutralité climatique» et en s’appuyant sur celle-ci (réf. C/2022/243).</w:t>
      </w:r>
    </w:p>
  </w:footnote>
  <w:footnote w:id="21">
    <w:p w14:paraId="105E9FBB" w14:textId="77777777" w:rsidR="00482E88" w:rsidRPr="007C2AAF" w:rsidRDefault="00482E88" w:rsidP="00482E88">
      <w:pPr>
        <w:pStyle w:val="FootnoteText"/>
      </w:pPr>
      <w:r>
        <w:t>(</w:t>
      </w:r>
      <w:r>
        <w:rPr>
          <w:rStyle w:val="FootnoteReference"/>
        </w:rPr>
        <w:footnoteRef/>
      </w:r>
      <w:r>
        <w:t>) Y compris les technologies de conversion de la bioénergie (par exemple le biogaz), associées à un approvisionnement durable en biomasse.</w:t>
      </w:r>
    </w:p>
  </w:footnote>
  <w:footnote w:id="22">
    <w:p w14:paraId="1B05D408" w14:textId="395D017B" w:rsidR="005060FD" w:rsidRPr="00954C50" w:rsidRDefault="005060FD">
      <w:pPr>
        <w:pStyle w:val="FootnoteText"/>
      </w:pPr>
      <w:r>
        <w:t>(</w:t>
      </w:r>
      <w:r>
        <w:rPr>
          <w:rStyle w:val="FootnoteReference"/>
        </w:rPr>
        <w:footnoteRef/>
      </w:r>
      <w:r>
        <w:t>) L’analyse repose sur des scénarios qui tiennent compte des politiques et des mesures adoptées jusqu’en mars 2023. Les États membres présenteront leurs plans nationaux définitifs en matière d’énergie et de climat en 2024, qui pourraient comporter des mesures supplémentaires, notamment pour refléter les annonces les plus récentes de certains États membres concernant le renforcement du déploiement de l’énergie nucléaire.</w:t>
      </w:r>
    </w:p>
  </w:footnote>
  <w:footnote w:id="23">
    <w:p w14:paraId="59EF069E" w14:textId="77777777" w:rsidR="00482E88" w:rsidRPr="007C2AAF" w:rsidRDefault="00482E88" w:rsidP="00482E88">
      <w:pPr>
        <w:pStyle w:val="FootnoteText"/>
      </w:pPr>
      <w:r>
        <w:t>(</w:t>
      </w:r>
      <w:r>
        <w:rPr>
          <w:rStyle w:val="FootnoteReference"/>
        </w:rPr>
        <w:footnoteRef/>
      </w:r>
      <w:r>
        <w:t>) Les 10 % restants seront compensés par des émissions négatives ou produits au moyen de solutions bas carbone, y compris le captage et le stockage du carbone.</w:t>
      </w:r>
    </w:p>
  </w:footnote>
  <w:footnote w:id="24">
    <w:p w14:paraId="41DDCD24" w14:textId="77777777" w:rsidR="00482E88" w:rsidRPr="007C2AAF" w:rsidRDefault="00482E88" w:rsidP="00482E88">
      <w:pPr>
        <w:pStyle w:val="FootnoteText"/>
      </w:pPr>
      <w:r>
        <w:t>(</w:t>
      </w:r>
      <w:r>
        <w:rPr>
          <w:rStyle w:val="FootnoteReference"/>
        </w:rPr>
        <w:footnoteRef/>
      </w:r>
      <w:r>
        <w:t xml:space="preserve">) ACER, «Final Assessment of the EU Wholesale Electricity Market Design» (évaluation finale de l’organisation du marché de gros de l’électricité dans l’UE), 2022. </w:t>
      </w:r>
    </w:p>
  </w:footnote>
  <w:footnote w:id="25">
    <w:p w14:paraId="7513AD93" w14:textId="77777777" w:rsidR="00482E88" w:rsidRPr="007C2AAF" w:rsidRDefault="00482E88" w:rsidP="00482E88">
      <w:pPr>
        <w:pStyle w:val="FootnoteText"/>
      </w:pPr>
      <w:r>
        <w:t>(</w:t>
      </w:r>
      <w:r>
        <w:rPr>
          <w:rStyle w:val="FootnoteReference"/>
        </w:rPr>
        <w:footnoteRef/>
      </w:r>
      <w:r>
        <w:t>) «Transition numérique du système énergétique — Plan d’action de l’UE».</w:t>
      </w:r>
    </w:p>
  </w:footnote>
  <w:footnote w:id="26">
    <w:p w14:paraId="0EF6D5E5" w14:textId="62D2B847" w:rsidR="00482E88" w:rsidRPr="001C494F" w:rsidRDefault="00E63A28" w:rsidP="00482E88">
      <w:pPr>
        <w:pStyle w:val="FootnoteText"/>
      </w:pPr>
      <w:r>
        <w:t>(</w:t>
      </w:r>
      <w:r>
        <w:rPr>
          <w:rStyle w:val="FootnoteReference"/>
        </w:rPr>
        <w:footnoteRef/>
      </w:r>
      <w:r>
        <w:t>) COM(2023) 62.</w:t>
      </w:r>
    </w:p>
  </w:footnote>
  <w:footnote w:id="27">
    <w:p w14:paraId="2E785E7A" w14:textId="77777777" w:rsidR="00482E88" w:rsidRPr="001C494F" w:rsidRDefault="00482E88" w:rsidP="00482E88">
      <w:pPr>
        <w:pStyle w:val="FootnoteText"/>
      </w:pPr>
      <w:r>
        <w:t>(</w:t>
      </w:r>
      <w:r>
        <w:rPr>
          <w:rStyle w:val="FootnoteReference"/>
        </w:rPr>
        <w:footnoteRef/>
      </w:r>
      <w:r>
        <w:t>) https://s3platform.jrc.ec.europa.eu/hydrogen-valleys  </w:t>
      </w:r>
    </w:p>
  </w:footnote>
  <w:footnote w:id="28">
    <w:p w14:paraId="5ACD2F35" w14:textId="77777777" w:rsidR="00482E88" w:rsidRDefault="00482E88" w:rsidP="00482E88">
      <w:pPr>
        <w:pStyle w:val="FootnoteText"/>
      </w:pPr>
      <w:r>
        <w:t>(</w:t>
      </w:r>
      <w:r>
        <w:rPr>
          <w:rStyle w:val="FootnoteReference"/>
        </w:rPr>
        <w:footnoteRef/>
      </w:r>
      <w:r>
        <w:t>) Il s’agit notamment de l’électrification et du passage à des carburants de substitution (par exemple l’hydrogène d’origine renouvelable et bas carbone, les carburants de synthèse ou la bioénergie), des pôles industriels symbiotiques, de l’innovation dans les procédés à faibles émissions de carbone, de l’efficacité énergétique et de l’utilisation efficace des ressources, du remplacement de matériaux et des modèles économiques circulaires.</w:t>
      </w:r>
    </w:p>
    <w:p w14:paraId="0C98E9A3" w14:textId="77777777" w:rsidR="00482E88" w:rsidRPr="009E40F5" w:rsidRDefault="00482E88" w:rsidP="00482E88">
      <w:pPr>
        <w:pStyle w:val="FootnoteText"/>
        <w:rPr>
          <w:lang w:val="fr-BE"/>
        </w:rPr>
      </w:pPr>
    </w:p>
  </w:footnote>
  <w:footnote w:id="29">
    <w:p w14:paraId="6147BC79" w14:textId="77777777" w:rsidR="00482E88" w:rsidRPr="00A46C4C" w:rsidRDefault="00482E88" w:rsidP="00482E88">
      <w:pPr>
        <w:pStyle w:val="FootnoteText"/>
      </w:pPr>
      <w:r>
        <w:t>(</w:t>
      </w:r>
      <w:r>
        <w:rPr>
          <w:rStyle w:val="FootnoteReference"/>
        </w:rPr>
        <w:footnoteRef/>
      </w:r>
      <w:r>
        <w:t>) Selon l’Agence internationale de l’énergie, à cause de la forte dépendance de l’UE à l’égard des combustibles fossiles, la part des dépenses énergétiques dans le coût total de production est plus élevée pour les industries européennes à forte intensité énergétique que pour leurs concurrents aux États-Unis ou en Chine. Des données récentes donnent à penser qu’après le choc énergétique de 2021-2022 dû à la dépendance de l’UE à l’égard des importations de combustibles fossiles, la diminution de la consommation de gaz naturel s’explique en partie par une baisse de la production industrielle, en particulier des industries à forte intensité énergétique.</w:t>
      </w:r>
    </w:p>
  </w:footnote>
  <w:footnote w:id="30">
    <w:p w14:paraId="181658E2" w14:textId="41CBCEA4" w:rsidR="00482E88" w:rsidRPr="00EF773A" w:rsidRDefault="00E63A28" w:rsidP="00482E88">
      <w:pPr>
        <w:pStyle w:val="FootnoteText"/>
      </w:pPr>
      <w:r>
        <w:t>(</w:t>
      </w:r>
      <w:r>
        <w:rPr>
          <w:rStyle w:val="FootnoteReference"/>
        </w:rPr>
        <w:footnoteRef/>
      </w:r>
      <w:r>
        <w:t>) Eurostat, Cadre de suivi de l’économie circulaire, mai 2023. Emplois directs. Ces chiffres n’incluent pas les emplois dans l’économie circulaire lorsque celle-ci est intégrée dans d’autres secteurs.</w:t>
      </w:r>
    </w:p>
  </w:footnote>
  <w:footnote w:id="31">
    <w:p w14:paraId="2C5C914C" w14:textId="77777777" w:rsidR="00482E88" w:rsidRPr="00E43E07" w:rsidRDefault="00482E88" w:rsidP="00482E88">
      <w:pPr>
        <w:pStyle w:val="FootnoteText"/>
      </w:pPr>
      <w:r>
        <w:t>(</w:t>
      </w:r>
      <w:r>
        <w:rPr>
          <w:rStyle w:val="FootnoteReference"/>
        </w:rPr>
        <w:footnoteRef/>
      </w:r>
      <w:r>
        <w:t xml:space="preserve">) Le «captage du carbone» comprend le carbone capté dans le cadre des procédés industriels, de la production d’électricité et de chaleur, de la valorisation du biogaz et du captage direct dans l’atmosphère. </w:t>
      </w:r>
    </w:p>
  </w:footnote>
  <w:footnote w:id="32">
    <w:p w14:paraId="763ED71D" w14:textId="77777777" w:rsidR="00482E88" w:rsidRPr="00085733" w:rsidRDefault="00482E88" w:rsidP="00482E88">
      <w:pPr>
        <w:pStyle w:val="FootnoteText"/>
      </w:pPr>
      <w:r>
        <w:t>(</w:t>
      </w:r>
      <w:r>
        <w:rPr>
          <w:rStyle w:val="FootnoteReference"/>
        </w:rPr>
        <w:footnoteRef/>
      </w:r>
      <w:r>
        <w:t>) Bioénergie avec captage et stockage d’émissions de CO</w:t>
      </w:r>
      <w:r>
        <w:rPr>
          <w:vertAlign w:val="subscript"/>
        </w:rPr>
        <w:t>2</w:t>
      </w:r>
      <w:r>
        <w:t xml:space="preserve"> provenant de la combustion de biomasse pour la production d’énergie (BECCS) ou du traitement de la biomasse dans des applications industrielles.</w:t>
      </w:r>
    </w:p>
  </w:footnote>
  <w:footnote w:id="33">
    <w:p w14:paraId="788600DE" w14:textId="77777777" w:rsidR="00766CDA" w:rsidRPr="008B5D78" w:rsidRDefault="00766CDA" w:rsidP="00766CDA">
      <w:pPr>
        <w:pStyle w:val="FootnoteText"/>
      </w:pPr>
      <w:r>
        <w:t>(</w:t>
      </w:r>
      <w:r>
        <w:rPr>
          <w:rStyle w:val="FootnoteReference"/>
        </w:rPr>
        <w:footnoteRef/>
      </w:r>
      <w:r>
        <w:t>) Y compris les camions, les autobus et les autocars.</w:t>
      </w:r>
    </w:p>
  </w:footnote>
  <w:footnote w:id="34">
    <w:p w14:paraId="47DC4214" w14:textId="77777777" w:rsidR="00766CDA" w:rsidRPr="009F06FF" w:rsidRDefault="00766CDA" w:rsidP="00766CDA">
      <w:pPr>
        <w:pStyle w:val="FootnoteText"/>
      </w:pPr>
      <w:r>
        <w:t>(</w:t>
      </w:r>
      <w:r>
        <w:rPr>
          <w:rStyle w:val="FootnoteReference"/>
        </w:rPr>
        <w:footnoteRef/>
      </w:r>
      <w:r>
        <w:t>) Règlement (UE) 2023/1805 du Parlement européen et du Conseil du 13 septembre 2023 relatif à l’utilisation de carburants renouvelables et bas carbone dans le transport maritime et modifiant la directive 2009/16/CE.</w:t>
      </w:r>
    </w:p>
  </w:footnote>
  <w:footnote w:id="35">
    <w:p w14:paraId="67DFD5CD" w14:textId="77777777" w:rsidR="00766CDA" w:rsidRPr="008B5D46" w:rsidRDefault="00766CDA" w:rsidP="00766CDA">
      <w:pPr>
        <w:pStyle w:val="FootnoteText"/>
        <w:rPr>
          <w:rFonts w:cstheme="minorHAnsi"/>
        </w:rPr>
      </w:pPr>
      <w:r>
        <w:t>(</w:t>
      </w:r>
      <w:r>
        <w:rPr>
          <w:rStyle w:val="FootnoteReference"/>
          <w:rFonts w:cstheme="minorHAnsi"/>
        </w:rPr>
        <w:footnoteRef/>
      </w:r>
      <w:r>
        <w:t>) Règlement (UE) 2023/2405 du Parlement européen et du Conseil du 18 octobre 2023 relatif à l’instauration d’une égalité des conditions de concurrence pour un secteur du transport aérien durable (ReFuelEU Aviation).</w:t>
      </w:r>
    </w:p>
  </w:footnote>
  <w:footnote w:id="36">
    <w:p w14:paraId="1119FFD4" w14:textId="77777777" w:rsidR="00766CDA" w:rsidRPr="007C2AAF" w:rsidRDefault="00766CDA" w:rsidP="00766CDA">
      <w:pPr>
        <w:pStyle w:val="FootnoteText"/>
      </w:pPr>
      <w:r>
        <w:t>(</w:t>
      </w:r>
      <w:r>
        <w:rPr>
          <w:rStyle w:val="FootnoteReference"/>
        </w:rPr>
        <w:footnoteRef/>
      </w:r>
      <w:r>
        <w:t>) Par exemple, pour couvrir l’aviation d’affaires et les navires de moins de 5 000 GT.</w:t>
      </w:r>
    </w:p>
  </w:footnote>
  <w:footnote w:id="37">
    <w:p w14:paraId="2D782023" w14:textId="77777777" w:rsidR="00766CDA" w:rsidRPr="007C2AAF" w:rsidRDefault="00766CDA" w:rsidP="00766CDA">
      <w:pPr>
        <w:pStyle w:val="FootnoteText"/>
      </w:pPr>
      <w:r>
        <w:t>(</w:t>
      </w:r>
      <w:r>
        <w:rPr>
          <w:rStyle w:val="FootnoteReference"/>
        </w:rPr>
        <w:footnoteRef/>
      </w:r>
      <w:r>
        <w:t>) Y compris pour répondre à la stratégie de l’OMI en matière de réduction des émissions de gaz à effet de serre (zéro émission nette vers 2050, avec des points de contrôle indicatifs d’au moins 70 %, voire 80 %, par rapport à 2008 d’ici à 2040).</w:t>
      </w:r>
    </w:p>
  </w:footnote>
  <w:footnote w:id="38">
    <w:p w14:paraId="7475BA6D" w14:textId="77777777" w:rsidR="00766CDA" w:rsidRPr="008D390A" w:rsidRDefault="00766CDA" w:rsidP="00766CDA">
      <w:pPr>
        <w:pStyle w:val="FootnoteText"/>
      </w:pPr>
      <w:r>
        <w:t>(</w:t>
      </w:r>
      <w:r>
        <w:rPr>
          <w:rStyle w:val="FootnoteReference"/>
        </w:rPr>
        <w:footnoteRef/>
      </w:r>
      <w:r>
        <w:t>) Les technologies d’atténuation telles que l’élevage sélectif, une efficacité optimale dans l’alimentation des animaux et l’amélioration de la gestion des effluents d’élevage peuvent réduire les émissions de méthane provenant du bétail. L’agriculture de précision et l’amélioration de l’efficacité des engrais peuvent quant à elles réduire les émissions de protoxyde d’azote.</w:t>
      </w:r>
    </w:p>
  </w:footnote>
  <w:footnote w:id="39">
    <w:p w14:paraId="637DCE06" w14:textId="77777777" w:rsidR="00766CDA" w:rsidRPr="00AB0732" w:rsidRDefault="00766CDA" w:rsidP="00766CDA">
      <w:pPr>
        <w:pStyle w:val="FootnoteText"/>
      </w:pPr>
      <w:r>
        <w:t>(</w:t>
      </w:r>
      <w:r>
        <w:rPr>
          <w:rStyle w:val="FootnoteReference"/>
        </w:rPr>
        <w:footnoteRef/>
      </w:r>
      <w:r>
        <w:t>) Azote récupéré à partir d’effluents d’élevage.</w:t>
      </w:r>
    </w:p>
  </w:footnote>
  <w:footnote w:id="40">
    <w:p w14:paraId="6C55A1B5" w14:textId="77777777" w:rsidR="00766CDA" w:rsidRPr="00822E35" w:rsidRDefault="00766CDA" w:rsidP="00766CDA">
      <w:pPr>
        <w:pStyle w:val="FootnoteText"/>
      </w:pPr>
      <w:r>
        <w:t>(</w:t>
      </w:r>
      <w:r>
        <w:rPr>
          <w:rStyle w:val="FootnoteReference"/>
        </w:rPr>
        <w:footnoteRef/>
      </w:r>
      <w:r>
        <w:t xml:space="preserve">) </w:t>
      </w:r>
      <w:hyperlink r:id="rId3" w:history="1">
        <w:r>
          <w:rPr>
            <w:rStyle w:val="Hyperlink"/>
          </w:rPr>
          <w:t>La politique commune de la pêche aujourd’hui et demain: un pacte pour la pêche et les océans vers une gestion de la pêche durable, fondée sur des données scientifiques, innovante et inclusive - Commission européenne (europa.eu)</w:t>
        </w:r>
      </w:hyperlink>
    </w:p>
  </w:footnote>
  <w:footnote w:id="41">
    <w:p w14:paraId="2C297B51" w14:textId="77777777" w:rsidR="00766CDA" w:rsidRPr="007C2AAF" w:rsidRDefault="00766CDA" w:rsidP="00766CDA">
      <w:pPr>
        <w:pStyle w:val="FootnoteText"/>
      </w:pPr>
      <w:r>
        <w:t>(</w:t>
      </w:r>
      <w:r>
        <w:rPr>
          <w:rStyle w:val="FootnoteReference"/>
        </w:rPr>
        <w:footnoteRef/>
      </w:r>
      <w:r>
        <w:t>) COM(2020) 381 final.</w:t>
      </w:r>
    </w:p>
  </w:footnote>
  <w:footnote w:id="42">
    <w:p w14:paraId="4E6C8EE4" w14:textId="77777777" w:rsidR="00766CDA" w:rsidRPr="007C2AAF" w:rsidRDefault="00766CDA" w:rsidP="00766CDA">
      <w:pPr>
        <w:pStyle w:val="FootnoteText"/>
      </w:pPr>
      <w:r>
        <w:t>(</w:t>
      </w:r>
      <w:r>
        <w:rPr>
          <w:rStyle w:val="FootnoteReference"/>
        </w:rPr>
        <w:footnoteRef/>
      </w:r>
      <w:r>
        <w:t>) COM(2021) 800 final. La communication sur des cycles du carbone durables a annoncé que, d’ici à 2028, chaque gestionnaire de terres devrait avoir accès à des données vérifiées sur les émissions et les absorptions afin de permettre une généralisation du stockage du carbone dans les sols agricoles. En 2022, la Commission a adopté une proposition de règlement établissant un cadre de certification de l’Union pour les absorptions de carbone, qui fait actuellement l’objet d’une procédure de colégislation.</w:t>
      </w:r>
    </w:p>
  </w:footnote>
  <w:footnote w:id="43">
    <w:p w14:paraId="35B2B112" w14:textId="77777777" w:rsidR="00766CDA" w:rsidRPr="002A12CF" w:rsidRDefault="00766CDA" w:rsidP="00766CDA">
      <w:pPr>
        <w:pStyle w:val="FootnoteText"/>
      </w:pPr>
      <w:r>
        <w:t>(</w:t>
      </w:r>
      <w:r>
        <w:rPr>
          <w:rStyle w:val="FootnoteReference"/>
        </w:rPr>
        <w:footnoteRef/>
      </w:r>
      <w:r>
        <w:t xml:space="preserve">) Selon le rapport récent d’un groupe de réflexion, les entreprises de l’UE pourraient lever chaque année 470 milliards d’EUR supplémentaires sur les marchés des capitaux. Voir </w:t>
      </w:r>
      <w:hyperlink r:id="rId4" w:history="1">
        <w:r>
          <w:rPr>
            <w:rStyle w:val="Hyperlink"/>
          </w:rPr>
          <w:t>A renewed vision for EU capital markets (New Financial)</w:t>
        </w:r>
      </w:hyperlink>
      <w:r>
        <w:t>, janvier 2024.</w:t>
      </w:r>
    </w:p>
  </w:footnote>
  <w:footnote w:id="44">
    <w:p w14:paraId="233FDD20" w14:textId="77777777" w:rsidR="00766CDA" w:rsidRPr="008D390A" w:rsidRDefault="00766CDA" w:rsidP="00766CDA">
      <w:pPr>
        <w:pStyle w:val="FootnoteText"/>
      </w:pPr>
      <w:r>
        <w:t>(</w:t>
      </w:r>
      <w:r>
        <w:rPr>
          <w:rStyle w:val="FootnoteReference"/>
        </w:rPr>
        <w:footnoteRef/>
      </w:r>
      <w:r>
        <w:t>) Commission européenne,</w:t>
      </w:r>
      <w:hyperlink r:id="rId5" w:tgtFrame="_blank" w:history="1">
        <w:r>
          <w:rPr>
            <w:rStyle w:val="Hyperlink"/>
          </w:rPr>
          <w:t>Scaling up innovative technologies for climate neutrality</w:t>
        </w:r>
      </w:hyperlink>
      <w:r>
        <w:t xml:space="preserve"> (développer les technologies innovantes pour atteindre la neutralité climatique), 2023.</w:t>
      </w:r>
    </w:p>
  </w:footnote>
  <w:footnote w:id="45">
    <w:p w14:paraId="6412E971" w14:textId="77777777" w:rsidR="00766CDA" w:rsidRPr="00AE46BC" w:rsidRDefault="00766CDA" w:rsidP="00766CDA">
      <w:pPr>
        <w:pStyle w:val="FootnoteText"/>
      </w:pPr>
      <w:r>
        <w:t>(</w:t>
      </w:r>
      <w:r>
        <w:rPr>
          <w:rStyle w:val="FootnoteReference"/>
        </w:rPr>
        <w:footnoteRef/>
      </w:r>
      <w:r>
        <w:t>) Comme «Destination Terre», une initiative phare de la Commission européenne pour un avenir durable.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D328" w14:textId="77777777" w:rsidR="000B7BF2" w:rsidRPr="000B7BF2" w:rsidRDefault="000B7BF2" w:rsidP="000B7BF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AEA8B" w14:textId="77777777" w:rsidR="000B7BF2" w:rsidRPr="000B7BF2" w:rsidRDefault="000B7BF2" w:rsidP="000B7BF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1B1DA" w14:textId="77777777" w:rsidR="000B7BF2" w:rsidRPr="000B7BF2" w:rsidRDefault="000B7BF2" w:rsidP="000B7BF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5F198" w14:textId="77777777" w:rsidR="000A37A5" w:rsidRDefault="000A37A5">
    <w:pPr>
      <w:pStyle w:val="Header"/>
    </w:pPr>
  </w:p>
  <w:p w14:paraId="2F47BACC" w14:textId="77777777" w:rsidR="00DB3C5C" w:rsidRDefault="00DB3C5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B74FD" w14:textId="77777777" w:rsidR="000A37A5" w:rsidRDefault="000A37A5">
    <w:pPr>
      <w:pStyle w:val="Header"/>
    </w:pPr>
  </w:p>
  <w:p w14:paraId="61BD997E" w14:textId="77777777" w:rsidR="00DB3C5C" w:rsidRDefault="00DB3C5C"/>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0EE6" w14:textId="77777777" w:rsidR="000A37A5" w:rsidRDefault="000A3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267"/>
    <w:multiLevelType w:val="hybridMultilevel"/>
    <w:tmpl w:val="A11C54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C74B48"/>
    <w:multiLevelType w:val="hybridMultilevel"/>
    <w:tmpl w:val="C43237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872B3F"/>
    <w:multiLevelType w:val="hybridMultilevel"/>
    <w:tmpl w:val="21C048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FE598A"/>
    <w:multiLevelType w:val="hybridMultilevel"/>
    <w:tmpl w:val="A2ECA0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EA3F69"/>
    <w:multiLevelType w:val="hybridMultilevel"/>
    <w:tmpl w:val="B38EE5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5C58C6"/>
    <w:multiLevelType w:val="hybridMultilevel"/>
    <w:tmpl w:val="EB802622"/>
    <w:lvl w:ilvl="0" w:tplc="3B66045A">
      <w:start w:val="1"/>
      <w:numFmt w:val="bullet"/>
      <w:lvlText w:val=""/>
      <w:lvlJc w:val="left"/>
      <w:pPr>
        <w:ind w:left="720" w:hanging="360"/>
      </w:pPr>
      <w:rPr>
        <w:rFonts w:ascii="Symbol" w:hAnsi="Symbol"/>
      </w:rPr>
    </w:lvl>
    <w:lvl w:ilvl="1" w:tplc="6F60165C">
      <w:start w:val="1"/>
      <w:numFmt w:val="bullet"/>
      <w:lvlText w:val=""/>
      <w:lvlJc w:val="left"/>
      <w:pPr>
        <w:ind w:left="720" w:hanging="360"/>
      </w:pPr>
      <w:rPr>
        <w:rFonts w:ascii="Symbol" w:hAnsi="Symbol"/>
      </w:rPr>
    </w:lvl>
    <w:lvl w:ilvl="2" w:tplc="1D34A41C">
      <w:start w:val="1"/>
      <w:numFmt w:val="bullet"/>
      <w:lvlText w:val=""/>
      <w:lvlJc w:val="left"/>
      <w:pPr>
        <w:ind w:left="720" w:hanging="360"/>
      </w:pPr>
      <w:rPr>
        <w:rFonts w:ascii="Symbol" w:hAnsi="Symbol"/>
      </w:rPr>
    </w:lvl>
    <w:lvl w:ilvl="3" w:tplc="34FC30DC">
      <w:start w:val="1"/>
      <w:numFmt w:val="bullet"/>
      <w:lvlText w:val=""/>
      <w:lvlJc w:val="left"/>
      <w:pPr>
        <w:ind w:left="720" w:hanging="360"/>
      </w:pPr>
      <w:rPr>
        <w:rFonts w:ascii="Symbol" w:hAnsi="Symbol"/>
      </w:rPr>
    </w:lvl>
    <w:lvl w:ilvl="4" w:tplc="F3A0F2D0">
      <w:start w:val="1"/>
      <w:numFmt w:val="bullet"/>
      <w:lvlText w:val=""/>
      <w:lvlJc w:val="left"/>
      <w:pPr>
        <w:ind w:left="720" w:hanging="360"/>
      </w:pPr>
      <w:rPr>
        <w:rFonts w:ascii="Symbol" w:hAnsi="Symbol"/>
      </w:rPr>
    </w:lvl>
    <w:lvl w:ilvl="5" w:tplc="A9CA3E86">
      <w:start w:val="1"/>
      <w:numFmt w:val="bullet"/>
      <w:lvlText w:val=""/>
      <w:lvlJc w:val="left"/>
      <w:pPr>
        <w:ind w:left="720" w:hanging="360"/>
      </w:pPr>
      <w:rPr>
        <w:rFonts w:ascii="Symbol" w:hAnsi="Symbol"/>
      </w:rPr>
    </w:lvl>
    <w:lvl w:ilvl="6" w:tplc="F3C43DC0">
      <w:start w:val="1"/>
      <w:numFmt w:val="bullet"/>
      <w:lvlText w:val=""/>
      <w:lvlJc w:val="left"/>
      <w:pPr>
        <w:ind w:left="720" w:hanging="360"/>
      </w:pPr>
      <w:rPr>
        <w:rFonts w:ascii="Symbol" w:hAnsi="Symbol"/>
      </w:rPr>
    </w:lvl>
    <w:lvl w:ilvl="7" w:tplc="3B00E092">
      <w:start w:val="1"/>
      <w:numFmt w:val="bullet"/>
      <w:lvlText w:val=""/>
      <w:lvlJc w:val="left"/>
      <w:pPr>
        <w:ind w:left="720" w:hanging="360"/>
      </w:pPr>
      <w:rPr>
        <w:rFonts w:ascii="Symbol" w:hAnsi="Symbol"/>
      </w:rPr>
    </w:lvl>
    <w:lvl w:ilvl="8" w:tplc="F036030C">
      <w:start w:val="1"/>
      <w:numFmt w:val="bullet"/>
      <w:lvlText w:val=""/>
      <w:lvlJc w:val="left"/>
      <w:pPr>
        <w:ind w:left="720" w:hanging="360"/>
      </w:pPr>
      <w:rPr>
        <w:rFonts w:ascii="Symbol" w:hAnsi="Symbol"/>
      </w:rPr>
    </w:lvl>
  </w:abstractNum>
  <w:abstractNum w:abstractNumId="6" w15:restartNumberingAfterBreak="0">
    <w:nsid w:val="087D4D9F"/>
    <w:multiLevelType w:val="multilevel"/>
    <w:tmpl w:val="05FCE1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124BD9"/>
    <w:multiLevelType w:val="multilevel"/>
    <w:tmpl w:val="07C0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27761"/>
    <w:multiLevelType w:val="hybridMultilevel"/>
    <w:tmpl w:val="A980135E"/>
    <w:lvl w:ilvl="0" w:tplc="FFFFFFFF">
      <w:start w:val="1"/>
      <w:numFmt w:val="decimal"/>
      <w:lvlText w:val="%1."/>
      <w:lvlJc w:val="left"/>
      <w:pPr>
        <w:ind w:left="720" w:hanging="360"/>
      </w:pPr>
      <w:rPr>
        <w:rFonts w:ascii="Times New Roman" w:eastAsiaTheme="minorHAnsi" w:hAnsi="Times New Roman" w:cs="Times New Roman"/>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F277F3D"/>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5E1D14"/>
    <w:multiLevelType w:val="hybridMultilevel"/>
    <w:tmpl w:val="9EAEEE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036119"/>
    <w:multiLevelType w:val="hybridMultilevel"/>
    <w:tmpl w:val="2E5E17AA"/>
    <w:lvl w:ilvl="0" w:tplc="54C2EC56">
      <w:start w:val="2"/>
      <w:numFmt w:val="bullet"/>
      <w:lvlText w:val=""/>
      <w:lvlJc w:val="left"/>
      <w:pPr>
        <w:ind w:left="720" w:hanging="360"/>
      </w:pPr>
      <w:rPr>
        <w:rFonts w:ascii="Wingdings" w:eastAsia="Calibri"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15237D4"/>
    <w:multiLevelType w:val="multilevel"/>
    <w:tmpl w:val="4A423A3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251AA18"/>
    <w:multiLevelType w:val="hybridMultilevel"/>
    <w:tmpl w:val="C7105770"/>
    <w:lvl w:ilvl="0" w:tplc="C73AAB62">
      <w:start w:val="1"/>
      <w:numFmt w:val="bullet"/>
      <w:lvlText w:val=""/>
      <w:lvlJc w:val="left"/>
      <w:pPr>
        <w:ind w:left="720" w:hanging="360"/>
      </w:pPr>
      <w:rPr>
        <w:rFonts w:ascii="Symbol" w:hAnsi="Symbol" w:hint="default"/>
      </w:rPr>
    </w:lvl>
    <w:lvl w:ilvl="1" w:tplc="81287134">
      <w:start w:val="1"/>
      <w:numFmt w:val="bullet"/>
      <w:lvlText w:val="o"/>
      <w:lvlJc w:val="left"/>
      <w:pPr>
        <w:ind w:left="1440" w:hanging="360"/>
      </w:pPr>
      <w:rPr>
        <w:rFonts w:ascii="Courier New" w:hAnsi="Courier New" w:hint="default"/>
      </w:rPr>
    </w:lvl>
    <w:lvl w:ilvl="2" w:tplc="6C8A8A80">
      <w:start w:val="1"/>
      <w:numFmt w:val="bullet"/>
      <w:lvlText w:val=""/>
      <w:lvlJc w:val="left"/>
      <w:pPr>
        <w:ind w:left="2160" w:hanging="360"/>
      </w:pPr>
      <w:rPr>
        <w:rFonts w:ascii="Wingdings" w:hAnsi="Wingdings" w:hint="default"/>
      </w:rPr>
    </w:lvl>
    <w:lvl w:ilvl="3" w:tplc="C7F6A3D6">
      <w:start w:val="1"/>
      <w:numFmt w:val="bullet"/>
      <w:lvlText w:val=""/>
      <w:lvlJc w:val="left"/>
      <w:pPr>
        <w:ind w:left="2880" w:hanging="360"/>
      </w:pPr>
      <w:rPr>
        <w:rFonts w:ascii="Symbol" w:hAnsi="Symbol" w:hint="default"/>
      </w:rPr>
    </w:lvl>
    <w:lvl w:ilvl="4" w:tplc="B86A736E">
      <w:start w:val="1"/>
      <w:numFmt w:val="bullet"/>
      <w:lvlText w:val="o"/>
      <w:lvlJc w:val="left"/>
      <w:pPr>
        <w:ind w:left="3600" w:hanging="360"/>
      </w:pPr>
      <w:rPr>
        <w:rFonts w:ascii="Courier New" w:hAnsi="Courier New" w:hint="default"/>
      </w:rPr>
    </w:lvl>
    <w:lvl w:ilvl="5" w:tplc="C0D2DE28">
      <w:start w:val="1"/>
      <w:numFmt w:val="bullet"/>
      <w:lvlText w:val=""/>
      <w:lvlJc w:val="left"/>
      <w:pPr>
        <w:ind w:left="4320" w:hanging="360"/>
      </w:pPr>
      <w:rPr>
        <w:rFonts w:ascii="Wingdings" w:hAnsi="Wingdings" w:hint="default"/>
      </w:rPr>
    </w:lvl>
    <w:lvl w:ilvl="6" w:tplc="5D8E7314">
      <w:start w:val="1"/>
      <w:numFmt w:val="bullet"/>
      <w:lvlText w:val=""/>
      <w:lvlJc w:val="left"/>
      <w:pPr>
        <w:ind w:left="5040" w:hanging="360"/>
      </w:pPr>
      <w:rPr>
        <w:rFonts w:ascii="Symbol" w:hAnsi="Symbol" w:hint="default"/>
      </w:rPr>
    </w:lvl>
    <w:lvl w:ilvl="7" w:tplc="49DE60B8">
      <w:start w:val="1"/>
      <w:numFmt w:val="bullet"/>
      <w:lvlText w:val="o"/>
      <w:lvlJc w:val="left"/>
      <w:pPr>
        <w:ind w:left="5760" w:hanging="360"/>
      </w:pPr>
      <w:rPr>
        <w:rFonts w:ascii="Courier New" w:hAnsi="Courier New" w:hint="default"/>
      </w:rPr>
    </w:lvl>
    <w:lvl w:ilvl="8" w:tplc="DD5492B4">
      <w:start w:val="1"/>
      <w:numFmt w:val="bullet"/>
      <w:lvlText w:val=""/>
      <w:lvlJc w:val="left"/>
      <w:pPr>
        <w:ind w:left="6480" w:hanging="360"/>
      </w:pPr>
      <w:rPr>
        <w:rFonts w:ascii="Wingdings" w:hAnsi="Wingdings" w:hint="default"/>
      </w:rPr>
    </w:lvl>
  </w:abstractNum>
  <w:abstractNum w:abstractNumId="14" w15:restartNumberingAfterBreak="0">
    <w:nsid w:val="12DE9BEA"/>
    <w:multiLevelType w:val="hybridMultilevel"/>
    <w:tmpl w:val="0C9E45D2"/>
    <w:lvl w:ilvl="0" w:tplc="F95C02B8">
      <w:start w:val="1"/>
      <w:numFmt w:val="bullet"/>
      <w:lvlText w:val="-"/>
      <w:lvlJc w:val="left"/>
      <w:pPr>
        <w:ind w:left="720" w:hanging="360"/>
      </w:pPr>
      <w:rPr>
        <w:rFonts w:ascii="Aptos" w:hAnsi="Aptos" w:hint="default"/>
      </w:rPr>
    </w:lvl>
    <w:lvl w:ilvl="1" w:tplc="AB824242">
      <w:start w:val="1"/>
      <w:numFmt w:val="bullet"/>
      <w:lvlText w:val="o"/>
      <w:lvlJc w:val="left"/>
      <w:pPr>
        <w:ind w:left="1440" w:hanging="360"/>
      </w:pPr>
      <w:rPr>
        <w:rFonts w:ascii="Courier New" w:hAnsi="Courier New" w:hint="default"/>
      </w:rPr>
    </w:lvl>
    <w:lvl w:ilvl="2" w:tplc="6EC6026E">
      <w:start w:val="1"/>
      <w:numFmt w:val="bullet"/>
      <w:lvlText w:val=""/>
      <w:lvlJc w:val="left"/>
      <w:pPr>
        <w:ind w:left="2160" w:hanging="360"/>
      </w:pPr>
      <w:rPr>
        <w:rFonts w:ascii="Wingdings" w:hAnsi="Wingdings" w:hint="default"/>
      </w:rPr>
    </w:lvl>
    <w:lvl w:ilvl="3" w:tplc="A21A28FE">
      <w:start w:val="1"/>
      <w:numFmt w:val="bullet"/>
      <w:lvlText w:val=""/>
      <w:lvlJc w:val="left"/>
      <w:pPr>
        <w:ind w:left="2880" w:hanging="360"/>
      </w:pPr>
      <w:rPr>
        <w:rFonts w:ascii="Symbol" w:hAnsi="Symbol" w:hint="default"/>
      </w:rPr>
    </w:lvl>
    <w:lvl w:ilvl="4" w:tplc="FE000E68">
      <w:start w:val="1"/>
      <w:numFmt w:val="bullet"/>
      <w:lvlText w:val="o"/>
      <w:lvlJc w:val="left"/>
      <w:pPr>
        <w:ind w:left="3600" w:hanging="360"/>
      </w:pPr>
      <w:rPr>
        <w:rFonts w:ascii="Courier New" w:hAnsi="Courier New" w:hint="default"/>
      </w:rPr>
    </w:lvl>
    <w:lvl w:ilvl="5" w:tplc="EDB4CF5E">
      <w:start w:val="1"/>
      <w:numFmt w:val="bullet"/>
      <w:lvlText w:val=""/>
      <w:lvlJc w:val="left"/>
      <w:pPr>
        <w:ind w:left="4320" w:hanging="360"/>
      </w:pPr>
      <w:rPr>
        <w:rFonts w:ascii="Wingdings" w:hAnsi="Wingdings" w:hint="default"/>
      </w:rPr>
    </w:lvl>
    <w:lvl w:ilvl="6" w:tplc="D74C352E">
      <w:start w:val="1"/>
      <w:numFmt w:val="bullet"/>
      <w:lvlText w:val=""/>
      <w:lvlJc w:val="left"/>
      <w:pPr>
        <w:ind w:left="5040" w:hanging="360"/>
      </w:pPr>
      <w:rPr>
        <w:rFonts w:ascii="Symbol" w:hAnsi="Symbol" w:hint="default"/>
      </w:rPr>
    </w:lvl>
    <w:lvl w:ilvl="7" w:tplc="6F6C0760">
      <w:start w:val="1"/>
      <w:numFmt w:val="bullet"/>
      <w:lvlText w:val="o"/>
      <w:lvlJc w:val="left"/>
      <w:pPr>
        <w:ind w:left="5760" w:hanging="360"/>
      </w:pPr>
      <w:rPr>
        <w:rFonts w:ascii="Courier New" w:hAnsi="Courier New" w:hint="default"/>
      </w:rPr>
    </w:lvl>
    <w:lvl w:ilvl="8" w:tplc="50FAD64E">
      <w:start w:val="1"/>
      <w:numFmt w:val="bullet"/>
      <w:lvlText w:val=""/>
      <w:lvlJc w:val="left"/>
      <w:pPr>
        <w:ind w:left="6480" w:hanging="360"/>
      </w:pPr>
      <w:rPr>
        <w:rFonts w:ascii="Wingdings" w:hAnsi="Wingdings" w:hint="default"/>
      </w:rPr>
    </w:lvl>
  </w:abstractNum>
  <w:abstractNum w:abstractNumId="15" w15:restartNumberingAfterBreak="0">
    <w:nsid w:val="13CB3204"/>
    <w:multiLevelType w:val="hybridMultilevel"/>
    <w:tmpl w:val="05B8D54C"/>
    <w:lvl w:ilvl="0" w:tplc="3F0AC406">
      <w:start w:val="1"/>
      <w:numFmt w:val="bullet"/>
      <w:lvlText w:val="-"/>
      <w:lvlJc w:val="left"/>
      <w:pPr>
        <w:ind w:left="720" w:hanging="360"/>
      </w:pPr>
      <w:rPr>
        <w:rFonts w:ascii="Aptos" w:hAnsi="Aptos" w:hint="default"/>
      </w:rPr>
    </w:lvl>
    <w:lvl w:ilvl="1" w:tplc="AA54E2C6">
      <w:start w:val="1"/>
      <w:numFmt w:val="bullet"/>
      <w:lvlText w:val="o"/>
      <w:lvlJc w:val="left"/>
      <w:pPr>
        <w:ind w:left="1440" w:hanging="360"/>
      </w:pPr>
      <w:rPr>
        <w:rFonts w:ascii="Courier New" w:hAnsi="Courier New" w:hint="default"/>
      </w:rPr>
    </w:lvl>
    <w:lvl w:ilvl="2" w:tplc="84041A6A">
      <w:start w:val="1"/>
      <w:numFmt w:val="bullet"/>
      <w:lvlText w:val=""/>
      <w:lvlJc w:val="left"/>
      <w:pPr>
        <w:ind w:left="2160" w:hanging="360"/>
      </w:pPr>
      <w:rPr>
        <w:rFonts w:ascii="Wingdings" w:hAnsi="Wingdings" w:hint="default"/>
      </w:rPr>
    </w:lvl>
    <w:lvl w:ilvl="3" w:tplc="B96622F6">
      <w:start w:val="1"/>
      <w:numFmt w:val="bullet"/>
      <w:lvlText w:val=""/>
      <w:lvlJc w:val="left"/>
      <w:pPr>
        <w:ind w:left="2880" w:hanging="360"/>
      </w:pPr>
      <w:rPr>
        <w:rFonts w:ascii="Symbol" w:hAnsi="Symbol" w:hint="default"/>
      </w:rPr>
    </w:lvl>
    <w:lvl w:ilvl="4" w:tplc="815C0C60">
      <w:start w:val="1"/>
      <w:numFmt w:val="bullet"/>
      <w:lvlText w:val="o"/>
      <w:lvlJc w:val="left"/>
      <w:pPr>
        <w:ind w:left="3600" w:hanging="360"/>
      </w:pPr>
      <w:rPr>
        <w:rFonts w:ascii="Courier New" w:hAnsi="Courier New" w:hint="default"/>
      </w:rPr>
    </w:lvl>
    <w:lvl w:ilvl="5" w:tplc="43C8DB94">
      <w:start w:val="1"/>
      <w:numFmt w:val="bullet"/>
      <w:lvlText w:val=""/>
      <w:lvlJc w:val="left"/>
      <w:pPr>
        <w:ind w:left="4320" w:hanging="360"/>
      </w:pPr>
      <w:rPr>
        <w:rFonts w:ascii="Wingdings" w:hAnsi="Wingdings" w:hint="default"/>
      </w:rPr>
    </w:lvl>
    <w:lvl w:ilvl="6" w:tplc="4E581BB2">
      <w:start w:val="1"/>
      <w:numFmt w:val="bullet"/>
      <w:lvlText w:val=""/>
      <w:lvlJc w:val="left"/>
      <w:pPr>
        <w:ind w:left="5040" w:hanging="360"/>
      </w:pPr>
      <w:rPr>
        <w:rFonts w:ascii="Symbol" w:hAnsi="Symbol" w:hint="default"/>
      </w:rPr>
    </w:lvl>
    <w:lvl w:ilvl="7" w:tplc="BDD8BCCA">
      <w:start w:val="1"/>
      <w:numFmt w:val="bullet"/>
      <w:lvlText w:val="o"/>
      <w:lvlJc w:val="left"/>
      <w:pPr>
        <w:ind w:left="5760" w:hanging="360"/>
      </w:pPr>
      <w:rPr>
        <w:rFonts w:ascii="Courier New" w:hAnsi="Courier New" w:hint="default"/>
      </w:rPr>
    </w:lvl>
    <w:lvl w:ilvl="8" w:tplc="39922754">
      <w:start w:val="1"/>
      <w:numFmt w:val="bullet"/>
      <w:lvlText w:val=""/>
      <w:lvlJc w:val="left"/>
      <w:pPr>
        <w:ind w:left="6480" w:hanging="360"/>
      </w:pPr>
      <w:rPr>
        <w:rFonts w:ascii="Wingdings" w:hAnsi="Wingdings" w:hint="default"/>
      </w:rPr>
    </w:lvl>
  </w:abstractNum>
  <w:abstractNum w:abstractNumId="16" w15:restartNumberingAfterBreak="0">
    <w:nsid w:val="152D0522"/>
    <w:multiLevelType w:val="hybridMultilevel"/>
    <w:tmpl w:val="4E7A351C"/>
    <w:lvl w:ilvl="0" w:tplc="ED48729E">
      <w:start w:val="1"/>
      <w:numFmt w:val="decimal"/>
      <w:lvlText w:val="%1."/>
      <w:lvlJc w:val="left"/>
      <w:pPr>
        <w:ind w:left="720" w:hanging="360"/>
      </w:pPr>
    </w:lvl>
    <w:lvl w:ilvl="1" w:tplc="BBD8CC2C">
      <w:start w:val="1"/>
      <w:numFmt w:val="decimal"/>
      <w:lvlText w:val="%2."/>
      <w:lvlJc w:val="left"/>
      <w:pPr>
        <w:ind w:left="720" w:hanging="360"/>
      </w:pPr>
    </w:lvl>
    <w:lvl w:ilvl="2" w:tplc="4BA684DC">
      <w:start w:val="1"/>
      <w:numFmt w:val="decimal"/>
      <w:lvlText w:val="%3."/>
      <w:lvlJc w:val="left"/>
      <w:pPr>
        <w:ind w:left="720" w:hanging="360"/>
      </w:pPr>
    </w:lvl>
    <w:lvl w:ilvl="3" w:tplc="86F62306">
      <w:start w:val="1"/>
      <w:numFmt w:val="decimal"/>
      <w:lvlText w:val="%4."/>
      <w:lvlJc w:val="left"/>
      <w:pPr>
        <w:ind w:left="720" w:hanging="360"/>
      </w:pPr>
    </w:lvl>
    <w:lvl w:ilvl="4" w:tplc="EAF8AB2E">
      <w:start w:val="1"/>
      <w:numFmt w:val="decimal"/>
      <w:lvlText w:val="%5."/>
      <w:lvlJc w:val="left"/>
      <w:pPr>
        <w:ind w:left="720" w:hanging="360"/>
      </w:pPr>
    </w:lvl>
    <w:lvl w:ilvl="5" w:tplc="99F274DC">
      <w:start w:val="1"/>
      <w:numFmt w:val="decimal"/>
      <w:lvlText w:val="%6."/>
      <w:lvlJc w:val="left"/>
      <w:pPr>
        <w:ind w:left="720" w:hanging="360"/>
      </w:pPr>
    </w:lvl>
    <w:lvl w:ilvl="6" w:tplc="9ADA4840">
      <w:start w:val="1"/>
      <w:numFmt w:val="decimal"/>
      <w:lvlText w:val="%7."/>
      <w:lvlJc w:val="left"/>
      <w:pPr>
        <w:ind w:left="720" w:hanging="360"/>
      </w:pPr>
    </w:lvl>
    <w:lvl w:ilvl="7" w:tplc="42566832">
      <w:start w:val="1"/>
      <w:numFmt w:val="decimal"/>
      <w:lvlText w:val="%8."/>
      <w:lvlJc w:val="left"/>
      <w:pPr>
        <w:ind w:left="720" w:hanging="360"/>
      </w:pPr>
    </w:lvl>
    <w:lvl w:ilvl="8" w:tplc="DBDC341A">
      <w:start w:val="1"/>
      <w:numFmt w:val="decimal"/>
      <w:lvlText w:val="%9."/>
      <w:lvlJc w:val="left"/>
      <w:pPr>
        <w:ind w:left="720" w:hanging="360"/>
      </w:pPr>
    </w:lvl>
  </w:abstractNum>
  <w:abstractNum w:abstractNumId="17" w15:restartNumberingAfterBreak="0">
    <w:nsid w:val="161277C7"/>
    <w:multiLevelType w:val="hybridMultilevel"/>
    <w:tmpl w:val="7098D430"/>
    <w:lvl w:ilvl="0" w:tplc="C380A81A">
      <w:numFmt w:val="bullet"/>
      <w:lvlText w:val="-"/>
      <w:lvlJc w:val="left"/>
      <w:pPr>
        <w:ind w:left="720" w:hanging="360"/>
      </w:pPr>
      <w:rPr>
        <w:rFonts w:ascii="Times New Roman" w:eastAsia="Calibr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70E3A21"/>
    <w:multiLevelType w:val="hybridMultilevel"/>
    <w:tmpl w:val="DFE278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9A21E2B"/>
    <w:multiLevelType w:val="hybridMultilevel"/>
    <w:tmpl w:val="3E06C0AA"/>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DD185E"/>
    <w:multiLevelType w:val="hybridMultilevel"/>
    <w:tmpl w:val="E7288B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C8D7E7C"/>
    <w:multiLevelType w:val="hybridMultilevel"/>
    <w:tmpl w:val="D1C86EA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CA515B9"/>
    <w:multiLevelType w:val="hybridMultilevel"/>
    <w:tmpl w:val="669A92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E863C11"/>
    <w:multiLevelType w:val="hybridMultilevel"/>
    <w:tmpl w:val="3314104A"/>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F3B5A8E"/>
    <w:multiLevelType w:val="multilevel"/>
    <w:tmpl w:val="983CB2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12C53EA"/>
    <w:multiLevelType w:val="hybridMultilevel"/>
    <w:tmpl w:val="60B0A452"/>
    <w:lvl w:ilvl="0" w:tplc="5BBA772E">
      <w:start w:val="1"/>
      <w:numFmt w:val="decimal"/>
      <w:lvlText w:val="%1."/>
      <w:lvlJc w:val="left"/>
      <w:pPr>
        <w:ind w:left="720" w:hanging="360"/>
      </w:pPr>
      <w:rPr>
        <w:rFonts w:asciiTheme="minorHAnsi" w:eastAsiaTheme="minorHAnsi" w:hAnsiTheme="minorHAnsi" w:cstheme="minorBidi"/>
      </w:rPr>
    </w:lvl>
    <w:lvl w:ilvl="1" w:tplc="ADC4CBAC">
      <w:start w:val="1"/>
      <w:numFmt w:val="bullet"/>
      <w:lvlText w:val="o"/>
      <w:lvlJc w:val="left"/>
      <w:pPr>
        <w:ind w:left="1440" w:hanging="360"/>
      </w:pPr>
      <w:rPr>
        <w:rFonts w:ascii="Courier New" w:hAnsi="Courier New" w:hint="default"/>
      </w:rPr>
    </w:lvl>
    <w:lvl w:ilvl="2" w:tplc="35CAF58A">
      <w:start w:val="1"/>
      <w:numFmt w:val="bullet"/>
      <w:lvlText w:val=""/>
      <w:lvlJc w:val="left"/>
      <w:pPr>
        <w:ind w:left="2160" w:hanging="360"/>
      </w:pPr>
      <w:rPr>
        <w:rFonts w:ascii="Wingdings" w:hAnsi="Wingdings" w:hint="default"/>
      </w:rPr>
    </w:lvl>
    <w:lvl w:ilvl="3" w:tplc="4030D754">
      <w:start w:val="1"/>
      <w:numFmt w:val="bullet"/>
      <w:lvlText w:val=""/>
      <w:lvlJc w:val="left"/>
      <w:pPr>
        <w:ind w:left="2880" w:hanging="360"/>
      </w:pPr>
      <w:rPr>
        <w:rFonts w:ascii="Symbol" w:hAnsi="Symbol" w:hint="default"/>
      </w:rPr>
    </w:lvl>
    <w:lvl w:ilvl="4" w:tplc="3DFE830C">
      <w:start w:val="1"/>
      <w:numFmt w:val="bullet"/>
      <w:lvlText w:val="o"/>
      <w:lvlJc w:val="left"/>
      <w:pPr>
        <w:ind w:left="3600" w:hanging="360"/>
      </w:pPr>
      <w:rPr>
        <w:rFonts w:ascii="Courier New" w:hAnsi="Courier New" w:hint="default"/>
      </w:rPr>
    </w:lvl>
    <w:lvl w:ilvl="5" w:tplc="CE843CA0">
      <w:start w:val="1"/>
      <w:numFmt w:val="bullet"/>
      <w:lvlText w:val=""/>
      <w:lvlJc w:val="left"/>
      <w:pPr>
        <w:ind w:left="4320" w:hanging="360"/>
      </w:pPr>
      <w:rPr>
        <w:rFonts w:ascii="Wingdings" w:hAnsi="Wingdings" w:hint="default"/>
      </w:rPr>
    </w:lvl>
    <w:lvl w:ilvl="6" w:tplc="2E305A44">
      <w:start w:val="1"/>
      <w:numFmt w:val="bullet"/>
      <w:lvlText w:val=""/>
      <w:lvlJc w:val="left"/>
      <w:pPr>
        <w:ind w:left="5040" w:hanging="360"/>
      </w:pPr>
      <w:rPr>
        <w:rFonts w:ascii="Symbol" w:hAnsi="Symbol" w:hint="default"/>
      </w:rPr>
    </w:lvl>
    <w:lvl w:ilvl="7" w:tplc="5C72D878">
      <w:start w:val="1"/>
      <w:numFmt w:val="bullet"/>
      <w:lvlText w:val="o"/>
      <w:lvlJc w:val="left"/>
      <w:pPr>
        <w:ind w:left="5760" w:hanging="360"/>
      </w:pPr>
      <w:rPr>
        <w:rFonts w:ascii="Courier New" w:hAnsi="Courier New" w:hint="default"/>
      </w:rPr>
    </w:lvl>
    <w:lvl w:ilvl="8" w:tplc="0FA8EEC0">
      <w:start w:val="1"/>
      <w:numFmt w:val="bullet"/>
      <w:lvlText w:val=""/>
      <w:lvlJc w:val="left"/>
      <w:pPr>
        <w:ind w:left="6480" w:hanging="360"/>
      </w:pPr>
      <w:rPr>
        <w:rFonts w:ascii="Wingdings" w:hAnsi="Wingdings" w:hint="default"/>
      </w:rPr>
    </w:lvl>
  </w:abstractNum>
  <w:abstractNum w:abstractNumId="26" w15:restartNumberingAfterBreak="0">
    <w:nsid w:val="21698721"/>
    <w:multiLevelType w:val="hybridMultilevel"/>
    <w:tmpl w:val="13A0565C"/>
    <w:lvl w:ilvl="0" w:tplc="7B141AD6">
      <w:start w:val="1"/>
      <w:numFmt w:val="decimal"/>
      <w:lvlText w:val="%1."/>
      <w:lvlJc w:val="left"/>
      <w:pPr>
        <w:ind w:left="720" w:hanging="360"/>
      </w:pPr>
    </w:lvl>
    <w:lvl w:ilvl="1" w:tplc="C4FEFE86">
      <w:start w:val="1"/>
      <w:numFmt w:val="lowerLetter"/>
      <w:lvlText w:val="%2."/>
      <w:lvlJc w:val="left"/>
      <w:pPr>
        <w:ind w:left="1440" w:hanging="360"/>
      </w:pPr>
    </w:lvl>
    <w:lvl w:ilvl="2" w:tplc="F2309B40">
      <w:start w:val="1"/>
      <w:numFmt w:val="lowerRoman"/>
      <w:lvlText w:val="%3."/>
      <w:lvlJc w:val="right"/>
      <w:pPr>
        <w:ind w:left="2160" w:hanging="180"/>
      </w:pPr>
    </w:lvl>
    <w:lvl w:ilvl="3" w:tplc="4BEAE818">
      <w:start w:val="1"/>
      <w:numFmt w:val="decimal"/>
      <w:lvlText w:val="%4."/>
      <w:lvlJc w:val="left"/>
      <w:pPr>
        <w:ind w:left="2880" w:hanging="360"/>
      </w:pPr>
    </w:lvl>
    <w:lvl w:ilvl="4" w:tplc="8DA8F2EA">
      <w:start w:val="1"/>
      <w:numFmt w:val="lowerLetter"/>
      <w:lvlText w:val="%5."/>
      <w:lvlJc w:val="left"/>
      <w:pPr>
        <w:ind w:left="3600" w:hanging="360"/>
      </w:pPr>
    </w:lvl>
    <w:lvl w:ilvl="5" w:tplc="948A09AC">
      <w:start w:val="1"/>
      <w:numFmt w:val="lowerRoman"/>
      <w:lvlText w:val="%6."/>
      <w:lvlJc w:val="right"/>
      <w:pPr>
        <w:ind w:left="4320" w:hanging="180"/>
      </w:pPr>
    </w:lvl>
    <w:lvl w:ilvl="6" w:tplc="6C0C8E8E">
      <w:start w:val="1"/>
      <w:numFmt w:val="decimal"/>
      <w:lvlText w:val="%7."/>
      <w:lvlJc w:val="left"/>
      <w:pPr>
        <w:ind w:left="5040" w:hanging="360"/>
      </w:pPr>
    </w:lvl>
    <w:lvl w:ilvl="7" w:tplc="45AC273E">
      <w:start w:val="1"/>
      <w:numFmt w:val="lowerLetter"/>
      <w:lvlText w:val="%8."/>
      <w:lvlJc w:val="left"/>
      <w:pPr>
        <w:ind w:left="5760" w:hanging="360"/>
      </w:pPr>
    </w:lvl>
    <w:lvl w:ilvl="8" w:tplc="D16A598A">
      <w:start w:val="1"/>
      <w:numFmt w:val="lowerRoman"/>
      <w:lvlText w:val="%9."/>
      <w:lvlJc w:val="right"/>
      <w:pPr>
        <w:ind w:left="6480" w:hanging="180"/>
      </w:pPr>
    </w:lvl>
  </w:abstractNum>
  <w:abstractNum w:abstractNumId="27" w15:restartNumberingAfterBreak="0">
    <w:nsid w:val="247C5D9D"/>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50BD6B"/>
    <w:multiLevelType w:val="hybridMultilevel"/>
    <w:tmpl w:val="DBEEDBC6"/>
    <w:lvl w:ilvl="0" w:tplc="CEC4ADF0">
      <w:start w:val="1"/>
      <w:numFmt w:val="bullet"/>
      <w:lvlText w:val="-"/>
      <w:lvlJc w:val="left"/>
      <w:pPr>
        <w:ind w:left="720" w:hanging="360"/>
      </w:pPr>
      <w:rPr>
        <w:rFonts w:ascii="Aptos" w:hAnsi="Aptos" w:hint="default"/>
      </w:rPr>
    </w:lvl>
    <w:lvl w:ilvl="1" w:tplc="82BE4CCA">
      <w:start w:val="1"/>
      <w:numFmt w:val="bullet"/>
      <w:lvlText w:val="o"/>
      <w:lvlJc w:val="left"/>
      <w:pPr>
        <w:ind w:left="1440" w:hanging="360"/>
      </w:pPr>
      <w:rPr>
        <w:rFonts w:ascii="Courier New" w:hAnsi="Courier New" w:hint="default"/>
      </w:rPr>
    </w:lvl>
    <w:lvl w:ilvl="2" w:tplc="357072F0">
      <w:start w:val="1"/>
      <w:numFmt w:val="bullet"/>
      <w:lvlText w:val=""/>
      <w:lvlJc w:val="left"/>
      <w:pPr>
        <w:ind w:left="2160" w:hanging="360"/>
      </w:pPr>
      <w:rPr>
        <w:rFonts w:ascii="Wingdings" w:hAnsi="Wingdings" w:hint="default"/>
      </w:rPr>
    </w:lvl>
    <w:lvl w:ilvl="3" w:tplc="DA1E351C">
      <w:start w:val="1"/>
      <w:numFmt w:val="bullet"/>
      <w:lvlText w:val=""/>
      <w:lvlJc w:val="left"/>
      <w:pPr>
        <w:ind w:left="2880" w:hanging="360"/>
      </w:pPr>
      <w:rPr>
        <w:rFonts w:ascii="Symbol" w:hAnsi="Symbol" w:hint="default"/>
      </w:rPr>
    </w:lvl>
    <w:lvl w:ilvl="4" w:tplc="C192990C">
      <w:start w:val="1"/>
      <w:numFmt w:val="bullet"/>
      <w:lvlText w:val="o"/>
      <w:lvlJc w:val="left"/>
      <w:pPr>
        <w:ind w:left="3600" w:hanging="360"/>
      </w:pPr>
      <w:rPr>
        <w:rFonts w:ascii="Courier New" w:hAnsi="Courier New" w:hint="default"/>
      </w:rPr>
    </w:lvl>
    <w:lvl w:ilvl="5" w:tplc="D0CCB786">
      <w:start w:val="1"/>
      <w:numFmt w:val="bullet"/>
      <w:lvlText w:val=""/>
      <w:lvlJc w:val="left"/>
      <w:pPr>
        <w:ind w:left="4320" w:hanging="360"/>
      </w:pPr>
      <w:rPr>
        <w:rFonts w:ascii="Wingdings" w:hAnsi="Wingdings" w:hint="default"/>
      </w:rPr>
    </w:lvl>
    <w:lvl w:ilvl="6" w:tplc="30580B9A">
      <w:start w:val="1"/>
      <w:numFmt w:val="bullet"/>
      <w:lvlText w:val=""/>
      <w:lvlJc w:val="left"/>
      <w:pPr>
        <w:ind w:left="5040" w:hanging="360"/>
      </w:pPr>
      <w:rPr>
        <w:rFonts w:ascii="Symbol" w:hAnsi="Symbol" w:hint="default"/>
      </w:rPr>
    </w:lvl>
    <w:lvl w:ilvl="7" w:tplc="75BC06E4">
      <w:start w:val="1"/>
      <w:numFmt w:val="bullet"/>
      <w:lvlText w:val="o"/>
      <w:lvlJc w:val="left"/>
      <w:pPr>
        <w:ind w:left="5760" w:hanging="360"/>
      </w:pPr>
      <w:rPr>
        <w:rFonts w:ascii="Courier New" w:hAnsi="Courier New" w:hint="default"/>
      </w:rPr>
    </w:lvl>
    <w:lvl w:ilvl="8" w:tplc="BE94DA92">
      <w:start w:val="1"/>
      <w:numFmt w:val="bullet"/>
      <w:lvlText w:val=""/>
      <w:lvlJc w:val="left"/>
      <w:pPr>
        <w:ind w:left="6480" w:hanging="360"/>
      </w:pPr>
      <w:rPr>
        <w:rFonts w:ascii="Wingdings" w:hAnsi="Wingdings" w:hint="default"/>
      </w:rPr>
    </w:lvl>
  </w:abstractNum>
  <w:abstractNum w:abstractNumId="29" w15:restartNumberingAfterBreak="0">
    <w:nsid w:val="283230AB"/>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A50405"/>
    <w:multiLevelType w:val="hybridMultilevel"/>
    <w:tmpl w:val="F500B994"/>
    <w:lvl w:ilvl="0" w:tplc="1CB01296">
      <w:start w:val="1"/>
      <w:numFmt w:val="decimal"/>
      <w:lvlText w:val="%1."/>
      <w:lvlJc w:val="left"/>
      <w:pPr>
        <w:ind w:left="360" w:hanging="360"/>
      </w:pPr>
      <w:rPr>
        <w:rFonts w:ascii="Times New Roman" w:eastAsiaTheme="minorHAnsi" w:hAnsi="Times New Roman" w:cs="Times New Roman"/>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28D07A70"/>
    <w:multiLevelType w:val="hybridMultilevel"/>
    <w:tmpl w:val="F5AC5B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2A000AC2"/>
    <w:multiLevelType w:val="hybridMultilevel"/>
    <w:tmpl w:val="D8DAA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A73284E"/>
    <w:multiLevelType w:val="hybridMultilevel"/>
    <w:tmpl w:val="0C125B70"/>
    <w:lvl w:ilvl="0" w:tplc="CC38399A">
      <w:start w:val="1"/>
      <w:numFmt w:val="bullet"/>
      <w:pStyle w:val="ListParagraph"/>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2AB2F67E"/>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D11D73F"/>
    <w:multiLevelType w:val="hybridMultilevel"/>
    <w:tmpl w:val="8CC841C0"/>
    <w:lvl w:ilvl="0" w:tplc="D17AB2FE">
      <w:start w:val="4"/>
      <w:numFmt w:val="decimal"/>
      <w:lvlText w:val="%1"/>
      <w:lvlJc w:val="left"/>
      <w:pPr>
        <w:ind w:left="432" w:hanging="360"/>
      </w:pPr>
    </w:lvl>
    <w:lvl w:ilvl="1" w:tplc="3C3AE7FA">
      <w:start w:val="1"/>
      <w:numFmt w:val="lowerLetter"/>
      <w:lvlText w:val="%2."/>
      <w:lvlJc w:val="left"/>
      <w:pPr>
        <w:ind w:left="1440" w:hanging="360"/>
      </w:pPr>
    </w:lvl>
    <w:lvl w:ilvl="2" w:tplc="09F42BFC">
      <w:start w:val="1"/>
      <w:numFmt w:val="lowerRoman"/>
      <w:lvlText w:val="%3."/>
      <w:lvlJc w:val="right"/>
      <w:pPr>
        <w:ind w:left="2160" w:hanging="180"/>
      </w:pPr>
    </w:lvl>
    <w:lvl w:ilvl="3" w:tplc="D2F6B342">
      <w:start w:val="1"/>
      <w:numFmt w:val="decimal"/>
      <w:lvlText w:val="%4."/>
      <w:lvlJc w:val="left"/>
      <w:pPr>
        <w:ind w:left="2880" w:hanging="360"/>
      </w:pPr>
    </w:lvl>
    <w:lvl w:ilvl="4" w:tplc="9288D3D6">
      <w:start w:val="1"/>
      <w:numFmt w:val="lowerLetter"/>
      <w:lvlText w:val="%5."/>
      <w:lvlJc w:val="left"/>
      <w:pPr>
        <w:ind w:left="3600" w:hanging="360"/>
      </w:pPr>
    </w:lvl>
    <w:lvl w:ilvl="5" w:tplc="37DA0AFE">
      <w:start w:val="1"/>
      <w:numFmt w:val="lowerRoman"/>
      <w:lvlText w:val="%6."/>
      <w:lvlJc w:val="right"/>
      <w:pPr>
        <w:ind w:left="4320" w:hanging="180"/>
      </w:pPr>
    </w:lvl>
    <w:lvl w:ilvl="6" w:tplc="FC68AF32">
      <w:start w:val="1"/>
      <w:numFmt w:val="decimal"/>
      <w:lvlText w:val="%7."/>
      <w:lvlJc w:val="left"/>
      <w:pPr>
        <w:ind w:left="5040" w:hanging="360"/>
      </w:pPr>
    </w:lvl>
    <w:lvl w:ilvl="7" w:tplc="997A6336">
      <w:start w:val="1"/>
      <w:numFmt w:val="lowerLetter"/>
      <w:lvlText w:val="%8."/>
      <w:lvlJc w:val="left"/>
      <w:pPr>
        <w:ind w:left="5760" w:hanging="360"/>
      </w:pPr>
    </w:lvl>
    <w:lvl w:ilvl="8" w:tplc="780E335A">
      <w:start w:val="1"/>
      <w:numFmt w:val="lowerRoman"/>
      <w:lvlText w:val="%9."/>
      <w:lvlJc w:val="right"/>
      <w:pPr>
        <w:ind w:left="6480" w:hanging="180"/>
      </w:pPr>
    </w:lvl>
  </w:abstractNum>
  <w:abstractNum w:abstractNumId="3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DDF0199"/>
    <w:multiLevelType w:val="hybridMultilevel"/>
    <w:tmpl w:val="EDA8FDBE"/>
    <w:lvl w:ilvl="0" w:tplc="00E806EE">
      <w:start w:val="1"/>
      <w:numFmt w:val="bullet"/>
      <w:lvlText w:val=""/>
      <w:lvlJc w:val="left"/>
      <w:pPr>
        <w:ind w:left="720" w:hanging="360"/>
      </w:pPr>
      <w:rPr>
        <w:rFonts w:ascii="Symbol" w:hAnsi="Symbol"/>
      </w:rPr>
    </w:lvl>
    <w:lvl w:ilvl="1" w:tplc="242C161E">
      <w:start w:val="1"/>
      <w:numFmt w:val="bullet"/>
      <w:lvlText w:val=""/>
      <w:lvlJc w:val="left"/>
      <w:pPr>
        <w:ind w:left="720" w:hanging="360"/>
      </w:pPr>
      <w:rPr>
        <w:rFonts w:ascii="Symbol" w:hAnsi="Symbol"/>
      </w:rPr>
    </w:lvl>
    <w:lvl w:ilvl="2" w:tplc="DA1019B8">
      <w:start w:val="1"/>
      <w:numFmt w:val="bullet"/>
      <w:lvlText w:val=""/>
      <w:lvlJc w:val="left"/>
      <w:pPr>
        <w:ind w:left="720" w:hanging="360"/>
      </w:pPr>
      <w:rPr>
        <w:rFonts w:ascii="Symbol" w:hAnsi="Symbol"/>
      </w:rPr>
    </w:lvl>
    <w:lvl w:ilvl="3" w:tplc="F7D0716E">
      <w:start w:val="1"/>
      <w:numFmt w:val="bullet"/>
      <w:lvlText w:val=""/>
      <w:lvlJc w:val="left"/>
      <w:pPr>
        <w:ind w:left="720" w:hanging="360"/>
      </w:pPr>
      <w:rPr>
        <w:rFonts w:ascii="Symbol" w:hAnsi="Symbol"/>
      </w:rPr>
    </w:lvl>
    <w:lvl w:ilvl="4" w:tplc="06D45536">
      <w:start w:val="1"/>
      <w:numFmt w:val="bullet"/>
      <w:lvlText w:val=""/>
      <w:lvlJc w:val="left"/>
      <w:pPr>
        <w:ind w:left="720" w:hanging="360"/>
      </w:pPr>
      <w:rPr>
        <w:rFonts w:ascii="Symbol" w:hAnsi="Symbol"/>
      </w:rPr>
    </w:lvl>
    <w:lvl w:ilvl="5" w:tplc="853E335A">
      <w:start w:val="1"/>
      <w:numFmt w:val="bullet"/>
      <w:lvlText w:val=""/>
      <w:lvlJc w:val="left"/>
      <w:pPr>
        <w:ind w:left="720" w:hanging="360"/>
      </w:pPr>
      <w:rPr>
        <w:rFonts w:ascii="Symbol" w:hAnsi="Symbol"/>
      </w:rPr>
    </w:lvl>
    <w:lvl w:ilvl="6" w:tplc="4E3A6794">
      <w:start w:val="1"/>
      <w:numFmt w:val="bullet"/>
      <w:lvlText w:val=""/>
      <w:lvlJc w:val="left"/>
      <w:pPr>
        <w:ind w:left="720" w:hanging="360"/>
      </w:pPr>
      <w:rPr>
        <w:rFonts w:ascii="Symbol" w:hAnsi="Symbol"/>
      </w:rPr>
    </w:lvl>
    <w:lvl w:ilvl="7" w:tplc="297A898A">
      <w:start w:val="1"/>
      <w:numFmt w:val="bullet"/>
      <w:lvlText w:val=""/>
      <w:lvlJc w:val="left"/>
      <w:pPr>
        <w:ind w:left="720" w:hanging="360"/>
      </w:pPr>
      <w:rPr>
        <w:rFonts w:ascii="Symbol" w:hAnsi="Symbol"/>
      </w:rPr>
    </w:lvl>
    <w:lvl w:ilvl="8" w:tplc="158858C4">
      <w:start w:val="1"/>
      <w:numFmt w:val="bullet"/>
      <w:lvlText w:val=""/>
      <w:lvlJc w:val="left"/>
      <w:pPr>
        <w:ind w:left="720" w:hanging="360"/>
      </w:pPr>
      <w:rPr>
        <w:rFonts w:ascii="Symbol" w:hAnsi="Symbol"/>
      </w:rPr>
    </w:lvl>
  </w:abstractNum>
  <w:abstractNum w:abstractNumId="38" w15:restartNumberingAfterBreak="0">
    <w:nsid w:val="2F992E6A"/>
    <w:multiLevelType w:val="hybridMultilevel"/>
    <w:tmpl w:val="326E25E2"/>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11A78B3"/>
    <w:multiLevelType w:val="hybridMultilevel"/>
    <w:tmpl w:val="86DE5966"/>
    <w:lvl w:ilvl="0" w:tplc="255EE338">
      <w:numFmt w:val="bullet"/>
      <w:lvlText w:val="•"/>
      <w:lvlJc w:val="left"/>
      <w:pPr>
        <w:ind w:left="1146" w:hanging="720"/>
      </w:pPr>
      <w:rPr>
        <w:rFonts w:ascii="Times New Roman" w:eastAsiaTheme="minorHAnsi"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31444648"/>
    <w:multiLevelType w:val="hybridMultilevel"/>
    <w:tmpl w:val="9598685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14CB68F"/>
    <w:multiLevelType w:val="hybridMultilevel"/>
    <w:tmpl w:val="5E86AC76"/>
    <w:lvl w:ilvl="0" w:tplc="C868F30C">
      <w:start w:val="1"/>
      <w:numFmt w:val="bullet"/>
      <w:lvlText w:val="-"/>
      <w:lvlJc w:val="left"/>
      <w:pPr>
        <w:ind w:left="720" w:hanging="360"/>
      </w:pPr>
      <w:rPr>
        <w:rFonts w:ascii="Aptos" w:hAnsi="Aptos" w:hint="default"/>
      </w:rPr>
    </w:lvl>
    <w:lvl w:ilvl="1" w:tplc="B8A2A846">
      <w:start w:val="1"/>
      <w:numFmt w:val="bullet"/>
      <w:lvlText w:val="o"/>
      <w:lvlJc w:val="left"/>
      <w:pPr>
        <w:ind w:left="1440" w:hanging="360"/>
      </w:pPr>
      <w:rPr>
        <w:rFonts w:ascii="Courier New" w:hAnsi="Courier New" w:hint="default"/>
      </w:rPr>
    </w:lvl>
    <w:lvl w:ilvl="2" w:tplc="2AD23314">
      <w:start w:val="1"/>
      <w:numFmt w:val="bullet"/>
      <w:lvlText w:val=""/>
      <w:lvlJc w:val="left"/>
      <w:pPr>
        <w:ind w:left="2160" w:hanging="360"/>
      </w:pPr>
      <w:rPr>
        <w:rFonts w:ascii="Wingdings" w:hAnsi="Wingdings" w:hint="default"/>
      </w:rPr>
    </w:lvl>
    <w:lvl w:ilvl="3" w:tplc="DDB02D14">
      <w:start w:val="1"/>
      <w:numFmt w:val="bullet"/>
      <w:lvlText w:val=""/>
      <w:lvlJc w:val="left"/>
      <w:pPr>
        <w:ind w:left="2880" w:hanging="360"/>
      </w:pPr>
      <w:rPr>
        <w:rFonts w:ascii="Symbol" w:hAnsi="Symbol" w:hint="default"/>
      </w:rPr>
    </w:lvl>
    <w:lvl w:ilvl="4" w:tplc="AA2844F0">
      <w:start w:val="1"/>
      <w:numFmt w:val="bullet"/>
      <w:lvlText w:val="o"/>
      <w:lvlJc w:val="left"/>
      <w:pPr>
        <w:ind w:left="3600" w:hanging="360"/>
      </w:pPr>
      <w:rPr>
        <w:rFonts w:ascii="Courier New" w:hAnsi="Courier New" w:hint="default"/>
      </w:rPr>
    </w:lvl>
    <w:lvl w:ilvl="5" w:tplc="2CEEFA1C">
      <w:start w:val="1"/>
      <w:numFmt w:val="bullet"/>
      <w:lvlText w:val=""/>
      <w:lvlJc w:val="left"/>
      <w:pPr>
        <w:ind w:left="4320" w:hanging="360"/>
      </w:pPr>
      <w:rPr>
        <w:rFonts w:ascii="Wingdings" w:hAnsi="Wingdings" w:hint="default"/>
      </w:rPr>
    </w:lvl>
    <w:lvl w:ilvl="6" w:tplc="8F8A18DC">
      <w:start w:val="1"/>
      <w:numFmt w:val="bullet"/>
      <w:lvlText w:val=""/>
      <w:lvlJc w:val="left"/>
      <w:pPr>
        <w:ind w:left="5040" w:hanging="360"/>
      </w:pPr>
      <w:rPr>
        <w:rFonts w:ascii="Symbol" w:hAnsi="Symbol" w:hint="default"/>
      </w:rPr>
    </w:lvl>
    <w:lvl w:ilvl="7" w:tplc="15E435BE">
      <w:start w:val="1"/>
      <w:numFmt w:val="bullet"/>
      <w:lvlText w:val="o"/>
      <w:lvlJc w:val="left"/>
      <w:pPr>
        <w:ind w:left="5760" w:hanging="360"/>
      </w:pPr>
      <w:rPr>
        <w:rFonts w:ascii="Courier New" w:hAnsi="Courier New" w:hint="default"/>
      </w:rPr>
    </w:lvl>
    <w:lvl w:ilvl="8" w:tplc="0EBC9508">
      <w:start w:val="1"/>
      <w:numFmt w:val="bullet"/>
      <w:lvlText w:val=""/>
      <w:lvlJc w:val="left"/>
      <w:pPr>
        <w:ind w:left="6480" w:hanging="360"/>
      </w:pPr>
      <w:rPr>
        <w:rFonts w:ascii="Wingdings" w:hAnsi="Wingdings" w:hint="default"/>
      </w:rPr>
    </w:lvl>
  </w:abstractNum>
  <w:abstractNum w:abstractNumId="42" w15:restartNumberingAfterBreak="0">
    <w:nsid w:val="320117E5"/>
    <w:multiLevelType w:val="hybridMultilevel"/>
    <w:tmpl w:val="CF0C8E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27B272E"/>
    <w:multiLevelType w:val="hybridMultilevel"/>
    <w:tmpl w:val="EE2CB418"/>
    <w:lvl w:ilvl="0" w:tplc="90162BDE">
      <w:start w:val="1"/>
      <w:numFmt w:val="bullet"/>
      <w:lvlText w:val="-"/>
      <w:lvlJc w:val="left"/>
      <w:pPr>
        <w:ind w:left="720" w:hanging="360"/>
      </w:pPr>
      <w:rPr>
        <w:rFonts w:ascii="Aptos" w:hAnsi="Aptos" w:hint="default"/>
      </w:rPr>
    </w:lvl>
    <w:lvl w:ilvl="1" w:tplc="394C9124">
      <w:start w:val="1"/>
      <w:numFmt w:val="bullet"/>
      <w:lvlText w:val="o"/>
      <w:lvlJc w:val="left"/>
      <w:pPr>
        <w:ind w:left="1440" w:hanging="360"/>
      </w:pPr>
      <w:rPr>
        <w:rFonts w:ascii="Courier New" w:hAnsi="Courier New" w:hint="default"/>
      </w:rPr>
    </w:lvl>
    <w:lvl w:ilvl="2" w:tplc="98AEBDD2">
      <w:start w:val="1"/>
      <w:numFmt w:val="bullet"/>
      <w:lvlText w:val=""/>
      <w:lvlJc w:val="left"/>
      <w:pPr>
        <w:ind w:left="2160" w:hanging="360"/>
      </w:pPr>
      <w:rPr>
        <w:rFonts w:ascii="Wingdings" w:hAnsi="Wingdings" w:hint="default"/>
      </w:rPr>
    </w:lvl>
    <w:lvl w:ilvl="3" w:tplc="984893E0">
      <w:start w:val="1"/>
      <w:numFmt w:val="bullet"/>
      <w:lvlText w:val=""/>
      <w:lvlJc w:val="left"/>
      <w:pPr>
        <w:ind w:left="2880" w:hanging="360"/>
      </w:pPr>
      <w:rPr>
        <w:rFonts w:ascii="Symbol" w:hAnsi="Symbol" w:hint="default"/>
      </w:rPr>
    </w:lvl>
    <w:lvl w:ilvl="4" w:tplc="9C8ADE14">
      <w:start w:val="1"/>
      <w:numFmt w:val="bullet"/>
      <w:lvlText w:val="o"/>
      <w:lvlJc w:val="left"/>
      <w:pPr>
        <w:ind w:left="3600" w:hanging="360"/>
      </w:pPr>
      <w:rPr>
        <w:rFonts w:ascii="Courier New" w:hAnsi="Courier New" w:hint="default"/>
      </w:rPr>
    </w:lvl>
    <w:lvl w:ilvl="5" w:tplc="64A80A26">
      <w:start w:val="1"/>
      <w:numFmt w:val="bullet"/>
      <w:lvlText w:val=""/>
      <w:lvlJc w:val="left"/>
      <w:pPr>
        <w:ind w:left="4320" w:hanging="360"/>
      </w:pPr>
      <w:rPr>
        <w:rFonts w:ascii="Wingdings" w:hAnsi="Wingdings" w:hint="default"/>
      </w:rPr>
    </w:lvl>
    <w:lvl w:ilvl="6" w:tplc="A33600CA">
      <w:start w:val="1"/>
      <w:numFmt w:val="bullet"/>
      <w:lvlText w:val=""/>
      <w:lvlJc w:val="left"/>
      <w:pPr>
        <w:ind w:left="5040" w:hanging="360"/>
      </w:pPr>
      <w:rPr>
        <w:rFonts w:ascii="Symbol" w:hAnsi="Symbol" w:hint="default"/>
      </w:rPr>
    </w:lvl>
    <w:lvl w:ilvl="7" w:tplc="C43490B0">
      <w:start w:val="1"/>
      <w:numFmt w:val="bullet"/>
      <w:lvlText w:val="o"/>
      <w:lvlJc w:val="left"/>
      <w:pPr>
        <w:ind w:left="5760" w:hanging="360"/>
      </w:pPr>
      <w:rPr>
        <w:rFonts w:ascii="Courier New" w:hAnsi="Courier New" w:hint="default"/>
      </w:rPr>
    </w:lvl>
    <w:lvl w:ilvl="8" w:tplc="4E6CF9C4">
      <w:start w:val="1"/>
      <w:numFmt w:val="bullet"/>
      <w:lvlText w:val=""/>
      <w:lvlJc w:val="left"/>
      <w:pPr>
        <w:ind w:left="6480" w:hanging="360"/>
      </w:pPr>
      <w:rPr>
        <w:rFonts w:ascii="Wingdings" w:hAnsi="Wingdings" w:hint="default"/>
      </w:rPr>
    </w:lvl>
  </w:abstractNum>
  <w:abstractNum w:abstractNumId="44" w15:restartNumberingAfterBreak="0">
    <w:nsid w:val="32B34638"/>
    <w:multiLevelType w:val="multilevel"/>
    <w:tmpl w:val="39001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AA3C16"/>
    <w:multiLevelType w:val="multilevel"/>
    <w:tmpl w:val="77C2E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3B90F06"/>
    <w:multiLevelType w:val="hybridMultilevel"/>
    <w:tmpl w:val="1BCA7FAA"/>
    <w:lvl w:ilvl="0" w:tplc="162A88D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456E223A">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2" w:tplc="6E6A3E42">
      <w:numFmt w:val="bullet"/>
      <w:lvlText w:val="•"/>
      <w:lvlJc w:val="left"/>
      <w:pPr>
        <w:ind w:left="1936" w:hanging="360"/>
      </w:pPr>
      <w:rPr>
        <w:rFonts w:hint="default"/>
        <w:lang w:val="en-US" w:eastAsia="en-US" w:bidi="ar-SA"/>
      </w:rPr>
    </w:lvl>
    <w:lvl w:ilvl="3" w:tplc="DD9A06C4">
      <w:numFmt w:val="bullet"/>
      <w:lvlText w:val="•"/>
      <w:lvlJc w:val="left"/>
      <w:pPr>
        <w:ind w:left="2792" w:hanging="360"/>
      </w:pPr>
      <w:rPr>
        <w:rFonts w:hint="default"/>
        <w:lang w:val="en-US" w:eastAsia="en-US" w:bidi="ar-SA"/>
      </w:rPr>
    </w:lvl>
    <w:lvl w:ilvl="4" w:tplc="C6E0FF7E">
      <w:numFmt w:val="bullet"/>
      <w:lvlText w:val="•"/>
      <w:lvlJc w:val="left"/>
      <w:pPr>
        <w:ind w:left="3648" w:hanging="360"/>
      </w:pPr>
      <w:rPr>
        <w:rFonts w:hint="default"/>
        <w:lang w:val="en-US" w:eastAsia="en-US" w:bidi="ar-SA"/>
      </w:rPr>
    </w:lvl>
    <w:lvl w:ilvl="5" w:tplc="147ACD5A">
      <w:numFmt w:val="bullet"/>
      <w:lvlText w:val="•"/>
      <w:lvlJc w:val="left"/>
      <w:pPr>
        <w:ind w:left="4505" w:hanging="360"/>
      </w:pPr>
      <w:rPr>
        <w:rFonts w:hint="default"/>
        <w:lang w:val="en-US" w:eastAsia="en-US" w:bidi="ar-SA"/>
      </w:rPr>
    </w:lvl>
    <w:lvl w:ilvl="6" w:tplc="AC70DEA2">
      <w:numFmt w:val="bullet"/>
      <w:lvlText w:val="•"/>
      <w:lvlJc w:val="left"/>
      <w:pPr>
        <w:ind w:left="5361" w:hanging="360"/>
      </w:pPr>
      <w:rPr>
        <w:rFonts w:hint="default"/>
        <w:lang w:val="en-US" w:eastAsia="en-US" w:bidi="ar-SA"/>
      </w:rPr>
    </w:lvl>
    <w:lvl w:ilvl="7" w:tplc="6FE4E6B4">
      <w:numFmt w:val="bullet"/>
      <w:lvlText w:val="•"/>
      <w:lvlJc w:val="left"/>
      <w:pPr>
        <w:ind w:left="6217" w:hanging="360"/>
      </w:pPr>
      <w:rPr>
        <w:rFonts w:hint="default"/>
        <w:lang w:val="en-US" w:eastAsia="en-US" w:bidi="ar-SA"/>
      </w:rPr>
    </w:lvl>
    <w:lvl w:ilvl="8" w:tplc="3022D4BA">
      <w:numFmt w:val="bullet"/>
      <w:lvlText w:val="•"/>
      <w:lvlJc w:val="left"/>
      <w:pPr>
        <w:ind w:left="7073" w:hanging="360"/>
      </w:pPr>
      <w:rPr>
        <w:rFonts w:hint="default"/>
        <w:lang w:val="en-US" w:eastAsia="en-US" w:bidi="ar-SA"/>
      </w:rPr>
    </w:lvl>
  </w:abstractNum>
  <w:abstractNum w:abstractNumId="47" w15:restartNumberingAfterBreak="0">
    <w:nsid w:val="34F60747"/>
    <w:multiLevelType w:val="hybridMultilevel"/>
    <w:tmpl w:val="CF0C8E36"/>
    <w:lvl w:ilvl="0" w:tplc="FFFFFFF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373F1EDD"/>
    <w:multiLevelType w:val="multilevel"/>
    <w:tmpl w:val="4100F2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38194B9C"/>
    <w:multiLevelType w:val="hybridMultilevel"/>
    <w:tmpl w:val="77A6A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3B393891"/>
    <w:multiLevelType w:val="hybridMultilevel"/>
    <w:tmpl w:val="32228B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D3A10D2"/>
    <w:multiLevelType w:val="multilevel"/>
    <w:tmpl w:val="E2B83E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3E016F0B"/>
    <w:multiLevelType w:val="multilevel"/>
    <w:tmpl w:val="8A7AC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0496C2D"/>
    <w:multiLevelType w:val="hybridMultilevel"/>
    <w:tmpl w:val="8FD0A7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2365509"/>
    <w:multiLevelType w:val="hybridMultilevel"/>
    <w:tmpl w:val="82B248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25D375E"/>
    <w:multiLevelType w:val="hybridMultilevel"/>
    <w:tmpl w:val="E2940920"/>
    <w:lvl w:ilvl="0" w:tplc="82047716">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5366605"/>
    <w:multiLevelType w:val="hybridMultilevel"/>
    <w:tmpl w:val="3C72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DC4614"/>
    <w:multiLevelType w:val="hybridMultilevel"/>
    <w:tmpl w:val="78DE827E"/>
    <w:lvl w:ilvl="0" w:tplc="7AD476C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62243F4"/>
    <w:multiLevelType w:val="hybridMultilevel"/>
    <w:tmpl w:val="38EE6A66"/>
    <w:lvl w:ilvl="0" w:tplc="576E93DC">
      <w:start w:val="1"/>
      <w:numFmt w:val="bullet"/>
      <w:lvlText w:val=""/>
      <w:lvlJc w:val="left"/>
      <w:pPr>
        <w:ind w:left="720" w:hanging="360"/>
      </w:pPr>
      <w:rPr>
        <w:rFonts w:ascii="Symbol" w:hAnsi="Symbol"/>
      </w:rPr>
    </w:lvl>
    <w:lvl w:ilvl="1" w:tplc="FCE20E0C">
      <w:start w:val="1"/>
      <w:numFmt w:val="bullet"/>
      <w:lvlText w:val=""/>
      <w:lvlJc w:val="left"/>
      <w:pPr>
        <w:ind w:left="720" w:hanging="360"/>
      </w:pPr>
      <w:rPr>
        <w:rFonts w:ascii="Symbol" w:hAnsi="Symbol"/>
      </w:rPr>
    </w:lvl>
    <w:lvl w:ilvl="2" w:tplc="65F28AF4">
      <w:start w:val="1"/>
      <w:numFmt w:val="bullet"/>
      <w:lvlText w:val=""/>
      <w:lvlJc w:val="left"/>
      <w:pPr>
        <w:ind w:left="720" w:hanging="360"/>
      </w:pPr>
      <w:rPr>
        <w:rFonts w:ascii="Symbol" w:hAnsi="Symbol"/>
      </w:rPr>
    </w:lvl>
    <w:lvl w:ilvl="3" w:tplc="38009FEE">
      <w:start w:val="1"/>
      <w:numFmt w:val="bullet"/>
      <w:lvlText w:val=""/>
      <w:lvlJc w:val="left"/>
      <w:pPr>
        <w:ind w:left="720" w:hanging="360"/>
      </w:pPr>
      <w:rPr>
        <w:rFonts w:ascii="Symbol" w:hAnsi="Symbol"/>
      </w:rPr>
    </w:lvl>
    <w:lvl w:ilvl="4" w:tplc="DC46EB88">
      <w:start w:val="1"/>
      <w:numFmt w:val="bullet"/>
      <w:lvlText w:val=""/>
      <w:lvlJc w:val="left"/>
      <w:pPr>
        <w:ind w:left="720" w:hanging="360"/>
      </w:pPr>
      <w:rPr>
        <w:rFonts w:ascii="Symbol" w:hAnsi="Symbol"/>
      </w:rPr>
    </w:lvl>
    <w:lvl w:ilvl="5" w:tplc="6226C1EC">
      <w:start w:val="1"/>
      <w:numFmt w:val="bullet"/>
      <w:lvlText w:val=""/>
      <w:lvlJc w:val="left"/>
      <w:pPr>
        <w:ind w:left="720" w:hanging="360"/>
      </w:pPr>
      <w:rPr>
        <w:rFonts w:ascii="Symbol" w:hAnsi="Symbol"/>
      </w:rPr>
    </w:lvl>
    <w:lvl w:ilvl="6" w:tplc="1CF8CF4A">
      <w:start w:val="1"/>
      <w:numFmt w:val="bullet"/>
      <w:lvlText w:val=""/>
      <w:lvlJc w:val="left"/>
      <w:pPr>
        <w:ind w:left="720" w:hanging="360"/>
      </w:pPr>
      <w:rPr>
        <w:rFonts w:ascii="Symbol" w:hAnsi="Symbol"/>
      </w:rPr>
    </w:lvl>
    <w:lvl w:ilvl="7" w:tplc="0480DB36">
      <w:start w:val="1"/>
      <w:numFmt w:val="bullet"/>
      <w:lvlText w:val=""/>
      <w:lvlJc w:val="left"/>
      <w:pPr>
        <w:ind w:left="720" w:hanging="360"/>
      </w:pPr>
      <w:rPr>
        <w:rFonts w:ascii="Symbol" w:hAnsi="Symbol"/>
      </w:rPr>
    </w:lvl>
    <w:lvl w:ilvl="8" w:tplc="30D816D4">
      <w:start w:val="1"/>
      <w:numFmt w:val="bullet"/>
      <w:lvlText w:val=""/>
      <w:lvlJc w:val="left"/>
      <w:pPr>
        <w:ind w:left="720" w:hanging="360"/>
      </w:pPr>
      <w:rPr>
        <w:rFonts w:ascii="Symbol" w:hAnsi="Symbol"/>
      </w:rPr>
    </w:lvl>
  </w:abstractNum>
  <w:abstractNum w:abstractNumId="59" w15:restartNumberingAfterBreak="0">
    <w:nsid w:val="474781D3"/>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91746ED"/>
    <w:multiLevelType w:val="multilevel"/>
    <w:tmpl w:val="4928E7C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imes New Roman Bold" w:hAnsi="Times New Roman Bold" w:hint="default"/>
        <w:b/>
        <w:i w:val="0"/>
        <w:caps w:val="0"/>
        <w:strike w:val="0"/>
        <w:dstrike w:val="0"/>
        <w:shadow w:val="0"/>
        <w:emboss w:val="0"/>
        <w:imprint w:val="0"/>
        <w:vanish w:val="0"/>
        <w:color w:val="000000" w:themeColor="text1"/>
        <w:sz w:val="24"/>
        <w:vertAlign w:val="baseli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15:restartNumberingAfterBreak="0">
    <w:nsid w:val="49DA6487"/>
    <w:multiLevelType w:val="hybridMultilevel"/>
    <w:tmpl w:val="CF62868E"/>
    <w:lvl w:ilvl="0" w:tplc="18090001">
      <w:start w:val="1"/>
      <w:numFmt w:val="bullet"/>
      <w:lvlText w:val=""/>
      <w:lvlJc w:val="left"/>
      <w:pPr>
        <w:ind w:left="720" w:hanging="360"/>
      </w:pPr>
      <w:rPr>
        <w:rFonts w:ascii="Symbol" w:hAnsi="Symbol" w:hint="default"/>
      </w:rPr>
    </w:lvl>
    <w:lvl w:ilvl="1" w:tplc="9CC0228A">
      <w:numFmt w:val="bullet"/>
      <w:lvlText w:val="•"/>
      <w:lvlJc w:val="left"/>
      <w:pPr>
        <w:ind w:left="1800" w:hanging="720"/>
      </w:pPr>
      <w:rPr>
        <w:rFonts w:ascii="Times New Roman" w:eastAsiaTheme="minorHAnsi"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BEF5FBA"/>
    <w:multiLevelType w:val="hybridMultilevel"/>
    <w:tmpl w:val="7AAEC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166DB0"/>
    <w:multiLevelType w:val="hybridMultilevel"/>
    <w:tmpl w:val="242C1210"/>
    <w:lvl w:ilvl="0" w:tplc="3A60FDCC">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EF65BC"/>
    <w:multiLevelType w:val="hybridMultilevel"/>
    <w:tmpl w:val="5582EF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4FD73E1B"/>
    <w:multiLevelType w:val="hybridMultilevel"/>
    <w:tmpl w:val="CBF4FC4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FF94F8E"/>
    <w:multiLevelType w:val="hybridMultilevel"/>
    <w:tmpl w:val="65A606E2"/>
    <w:lvl w:ilvl="0" w:tplc="7F685A36">
      <w:start w:val="1"/>
      <w:numFmt w:val="bullet"/>
      <w:lvlText w:val=""/>
      <w:lvlJc w:val="left"/>
      <w:pPr>
        <w:ind w:left="720" w:hanging="360"/>
      </w:pPr>
      <w:rPr>
        <w:rFonts w:ascii="Symbol" w:hAnsi="Symbol"/>
      </w:rPr>
    </w:lvl>
    <w:lvl w:ilvl="1" w:tplc="39562BC8">
      <w:start w:val="1"/>
      <w:numFmt w:val="bullet"/>
      <w:lvlText w:val=""/>
      <w:lvlJc w:val="left"/>
      <w:pPr>
        <w:ind w:left="720" w:hanging="360"/>
      </w:pPr>
      <w:rPr>
        <w:rFonts w:ascii="Symbol" w:hAnsi="Symbol"/>
      </w:rPr>
    </w:lvl>
    <w:lvl w:ilvl="2" w:tplc="1DF6B1EA">
      <w:start w:val="1"/>
      <w:numFmt w:val="bullet"/>
      <w:lvlText w:val=""/>
      <w:lvlJc w:val="left"/>
      <w:pPr>
        <w:ind w:left="720" w:hanging="360"/>
      </w:pPr>
      <w:rPr>
        <w:rFonts w:ascii="Symbol" w:hAnsi="Symbol"/>
      </w:rPr>
    </w:lvl>
    <w:lvl w:ilvl="3" w:tplc="0BFABA0C">
      <w:start w:val="1"/>
      <w:numFmt w:val="bullet"/>
      <w:lvlText w:val=""/>
      <w:lvlJc w:val="left"/>
      <w:pPr>
        <w:ind w:left="720" w:hanging="360"/>
      </w:pPr>
      <w:rPr>
        <w:rFonts w:ascii="Symbol" w:hAnsi="Symbol"/>
      </w:rPr>
    </w:lvl>
    <w:lvl w:ilvl="4" w:tplc="0F207E9E">
      <w:start w:val="1"/>
      <w:numFmt w:val="bullet"/>
      <w:lvlText w:val=""/>
      <w:lvlJc w:val="left"/>
      <w:pPr>
        <w:ind w:left="720" w:hanging="360"/>
      </w:pPr>
      <w:rPr>
        <w:rFonts w:ascii="Symbol" w:hAnsi="Symbol"/>
      </w:rPr>
    </w:lvl>
    <w:lvl w:ilvl="5" w:tplc="D2C2EE9A">
      <w:start w:val="1"/>
      <w:numFmt w:val="bullet"/>
      <w:lvlText w:val=""/>
      <w:lvlJc w:val="left"/>
      <w:pPr>
        <w:ind w:left="720" w:hanging="360"/>
      </w:pPr>
      <w:rPr>
        <w:rFonts w:ascii="Symbol" w:hAnsi="Symbol"/>
      </w:rPr>
    </w:lvl>
    <w:lvl w:ilvl="6" w:tplc="24A88872">
      <w:start w:val="1"/>
      <w:numFmt w:val="bullet"/>
      <w:lvlText w:val=""/>
      <w:lvlJc w:val="left"/>
      <w:pPr>
        <w:ind w:left="720" w:hanging="360"/>
      </w:pPr>
      <w:rPr>
        <w:rFonts w:ascii="Symbol" w:hAnsi="Symbol"/>
      </w:rPr>
    </w:lvl>
    <w:lvl w:ilvl="7" w:tplc="1B8AD710">
      <w:start w:val="1"/>
      <w:numFmt w:val="bullet"/>
      <w:lvlText w:val=""/>
      <w:lvlJc w:val="left"/>
      <w:pPr>
        <w:ind w:left="720" w:hanging="360"/>
      </w:pPr>
      <w:rPr>
        <w:rFonts w:ascii="Symbol" w:hAnsi="Symbol"/>
      </w:rPr>
    </w:lvl>
    <w:lvl w:ilvl="8" w:tplc="41525CEE">
      <w:start w:val="1"/>
      <w:numFmt w:val="bullet"/>
      <w:lvlText w:val=""/>
      <w:lvlJc w:val="left"/>
      <w:pPr>
        <w:ind w:left="720" w:hanging="360"/>
      </w:pPr>
      <w:rPr>
        <w:rFonts w:ascii="Symbol" w:hAnsi="Symbol"/>
      </w:rPr>
    </w:lvl>
  </w:abstractNum>
  <w:abstractNum w:abstractNumId="67" w15:restartNumberingAfterBreak="0">
    <w:nsid w:val="5073158B"/>
    <w:multiLevelType w:val="multilevel"/>
    <w:tmpl w:val="6C24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0C1463E"/>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0DB1F27"/>
    <w:multiLevelType w:val="hybridMultilevel"/>
    <w:tmpl w:val="85FC7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1A86165"/>
    <w:multiLevelType w:val="hybridMultilevel"/>
    <w:tmpl w:val="7C009A02"/>
    <w:lvl w:ilvl="0" w:tplc="DA50D2E8">
      <w:start w:val="1"/>
      <w:numFmt w:val="bullet"/>
      <w:lvlText w:val=""/>
      <w:lvlJc w:val="left"/>
      <w:pPr>
        <w:ind w:left="720" w:hanging="360"/>
      </w:pPr>
      <w:rPr>
        <w:rFonts w:ascii="Symbol" w:hAnsi="Symbol"/>
      </w:rPr>
    </w:lvl>
    <w:lvl w:ilvl="1" w:tplc="97FE8EC6">
      <w:start w:val="1"/>
      <w:numFmt w:val="bullet"/>
      <w:lvlText w:val=""/>
      <w:lvlJc w:val="left"/>
      <w:pPr>
        <w:ind w:left="720" w:hanging="360"/>
      </w:pPr>
      <w:rPr>
        <w:rFonts w:ascii="Symbol" w:hAnsi="Symbol"/>
      </w:rPr>
    </w:lvl>
    <w:lvl w:ilvl="2" w:tplc="B5668C7A">
      <w:start w:val="1"/>
      <w:numFmt w:val="bullet"/>
      <w:lvlText w:val=""/>
      <w:lvlJc w:val="left"/>
      <w:pPr>
        <w:ind w:left="720" w:hanging="360"/>
      </w:pPr>
      <w:rPr>
        <w:rFonts w:ascii="Symbol" w:hAnsi="Symbol"/>
      </w:rPr>
    </w:lvl>
    <w:lvl w:ilvl="3" w:tplc="B6B0FA26">
      <w:start w:val="1"/>
      <w:numFmt w:val="bullet"/>
      <w:lvlText w:val=""/>
      <w:lvlJc w:val="left"/>
      <w:pPr>
        <w:ind w:left="720" w:hanging="360"/>
      </w:pPr>
      <w:rPr>
        <w:rFonts w:ascii="Symbol" w:hAnsi="Symbol"/>
      </w:rPr>
    </w:lvl>
    <w:lvl w:ilvl="4" w:tplc="4288D15C">
      <w:start w:val="1"/>
      <w:numFmt w:val="bullet"/>
      <w:lvlText w:val=""/>
      <w:lvlJc w:val="left"/>
      <w:pPr>
        <w:ind w:left="720" w:hanging="360"/>
      </w:pPr>
      <w:rPr>
        <w:rFonts w:ascii="Symbol" w:hAnsi="Symbol"/>
      </w:rPr>
    </w:lvl>
    <w:lvl w:ilvl="5" w:tplc="5D585696">
      <w:start w:val="1"/>
      <w:numFmt w:val="bullet"/>
      <w:lvlText w:val=""/>
      <w:lvlJc w:val="left"/>
      <w:pPr>
        <w:ind w:left="720" w:hanging="360"/>
      </w:pPr>
      <w:rPr>
        <w:rFonts w:ascii="Symbol" w:hAnsi="Symbol"/>
      </w:rPr>
    </w:lvl>
    <w:lvl w:ilvl="6" w:tplc="4E86F6BC">
      <w:start w:val="1"/>
      <w:numFmt w:val="bullet"/>
      <w:lvlText w:val=""/>
      <w:lvlJc w:val="left"/>
      <w:pPr>
        <w:ind w:left="720" w:hanging="360"/>
      </w:pPr>
      <w:rPr>
        <w:rFonts w:ascii="Symbol" w:hAnsi="Symbol"/>
      </w:rPr>
    </w:lvl>
    <w:lvl w:ilvl="7" w:tplc="37E6F738">
      <w:start w:val="1"/>
      <w:numFmt w:val="bullet"/>
      <w:lvlText w:val=""/>
      <w:lvlJc w:val="left"/>
      <w:pPr>
        <w:ind w:left="720" w:hanging="360"/>
      </w:pPr>
      <w:rPr>
        <w:rFonts w:ascii="Symbol" w:hAnsi="Symbol"/>
      </w:rPr>
    </w:lvl>
    <w:lvl w:ilvl="8" w:tplc="AD6A403E">
      <w:start w:val="1"/>
      <w:numFmt w:val="bullet"/>
      <w:lvlText w:val=""/>
      <w:lvlJc w:val="left"/>
      <w:pPr>
        <w:ind w:left="720" w:hanging="360"/>
      </w:pPr>
      <w:rPr>
        <w:rFonts w:ascii="Symbol" w:hAnsi="Symbol"/>
      </w:rPr>
    </w:lvl>
  </w:abstractNum>
  <w:abstractNum w:abstractNumId="71" w15:restartNumberingAfterBreak="0">
    <w:nsid w:val="54063258"/>
    <w:multiLevelType w:val="multilevel"/>
    <w:tmpl w:val="2376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51F73FF"/>
    <w:multiLevelType w:val="hybridMultilevel"/>
    <w:tmpl w:val="C43001AC"/>
    <w:lvl w:ilvl="0" w:tplc="676CFF7E">
      <w:start w:val="1"/>
      <w:numFmt w:val="bullet"/>
      <w:lvlText w:val="-"/>
      <w:lvlJc w:val="left"/>
      <w:pPr>
        <w:ind w:left="720" w:hanging="360"/>
      </w:pPr>
      <w:rPr>
        <w:rFonts w:ascii="Aptos" w:hAnsi="Aptos" w:hint="default"/>
      </w:rPr>
    </w:lvl>
    <w:lvl w:ilvl="1" w:tplc="3C782E64">
      <w:start w:val="1"/>
      <w:numFmt w:val="bullet"/>
      <w:lvlText w:val="o"/>
      <w:lvlJc w:val="left"/>
      <w:pPr>
        <w:ind w:left="1440" w:hanging="360"/>
      </w:pPr>
      <w:rPr>
        <w:rFonts w:ascii="Courier New" w:hAnsi="Courier New" w:hint="default"/>
      </w:rPr>
    </w:lvl>
    <w:lvl w:ilvl="2" w:tplc="19E4A598">
      <w:start w:val="1"/>
      <w:numFmt w:val="bullet"/>
      <w:lvlText w:val=""/>
      <w:lvlJc w:val="left"/>
      <w:pPr>
        <w:ind w:left="2160" w:hanging="360"/>
      </w:pPr>
      <w:rPr>
        <w:rFonts w:ascii="Wingdings" w:hAnsi="Wingdings" w:hint="default"/>
      </w:rPr>
    </w:lvl>
    <w:lvl w:ilvl="3" w:tplc="45B8F4BC">
      <w:start w:val="1"/>
      <w:numFmt w:val="bullet"/>
      <w:lvlText w:val=""/>
      <w:lvlJc w:val="left"/>
      <w:pPr>
        <w:ind w:left="2880" w:hanging="360"/>
      </w:pPr>
      <w:rPr>
        <w:rFonts w:ascii="Symbol" w:hAnsi="Symbol" w:hint="default"/>
      </w:rPr>
    </w:lvl>
    <w:lvl w:ilvl="4" w:tplc="9A1CD52A">
      <w:start w:val="1"/>
      <w:numFmt w:val="bullet"/>
      <w:lvlText w:val="o"/>
      <w:lvlJc w:val="left"/>
      <w:pPr>
        <w:ind w:left="3600" w:hanging="360"/>
      </w:pPr>
      <w:rPr>
        <w:rFonts w:ascii="Courier New" w:hAnsi="Courier New" w:hint="default"/>
      </w:rPr>
    </w:lvl>
    <w:lvl w:ilvl="5" w:tplc="6EBCA8D8">
      <w:start w:val="1"/>
      <w:numFmt w:val="bullet"/>
      <w:lvlText w:val=""/>
      <w:lvlJc w:val="left"/>
      <w:pPr>
        <w:ind w:left="4320" w:hanging="360"/>
      </w:pPr>
      <w:rPr>
        <w:rFonts w:ascii="Wingdings" w:hAnsi="Wingdings" w:hint="default"/>
      </w:rPr>
    </w:lvl>
    <w:lvl w:ilvl="6" w:tplc="FC06FFDE">
      <w:start w:val="1"/>
      <w:numFmt w:val="bullet"/>
      <w:lvlText w:val=""/>
      <w:lvlJc w:val="left"/>
      <w:pPr>
        <w:ind w:left="5040" w:hanging="360"/>
      </w:pPr>
      <w:rPr>
        <w:rFonts w:ascii="Symbol" w:hAnsi="Symbol" w:hint="default"/>
      </w:rPr>
    </w:lvl>
    <w:lvl w:ilvl="7" w:tplc="81FE8152">
      <w:start w:val="1"/>
      <w:numFmt w:val="bullet"/>
      <w:lvlText w:val="o"/>
      <w:lvlJc w:val="left"/>
      <w:pPr>
        <w:ind w:left="5760" w:hanging="360"/>
      </w:pPr>
      <w:rPr>
        <w:rFonts w:ascii="Courier New" w:hAnsi="Courier New" w:hint="default"/>
      </w:rPr>
    </w:lvl>
    <w:lvl w:ilvl="8" w:tplc="96B8A466">
      <w:start w:val="1"/>
      <w:numFmt w:val="bullet"/>
      <w:lvlText w:val=""/>
      <w:lvlJc w:val="left"/>
      <w:pPr>
        <w:ind w:left="6480" w:hanging="360"/>
      </w:pPr>
      <w:rPr>
        <w:rFonts w:ascii="Wingdings" w:hAnsi="Wingdings" w:hint="default"/>
      </w:rPr>
    </w:lvl>
  </w:abstractNum>
  <w:abstractNum w:abstractNumId="73" w15:restartNumberingAfterBreak="0">
    <w:nsid w:val="55E5711A"/>
    <w:multiLevelType w:val="hybridMultilevel"/>
    <w:tmpl w:val="A21EE9FC"/>
    <w:lvl w:ilvl="0" w:tplc="1B6443CE">
      <w:start w:val="1"/>
      <w:numFmt w:val="bullet"/>
      <w:lvlText w:val=""/>
      <w:lvlJc w:val="left"/>
      <w:pPr>
        <w:ind w:left="720" w:hanging="360"/>
      </w:pPr>
      <w:rPr>
        <w:rFonts w:ascii="Symbol" w:hAnsi="Symbol"/>
      </w:rPr>
    </w:lvl>
    <w:lvl w:ilvl="1" w:tplc="A7A011FE">
      <w:start w:val="1"/>
      <w:numFmt w:val="bullet"/>
      <w:lvlText w:val=""/>
      <w:lvlJc w:val="left"/>
      <w:pPr>
        <w:ind w:left="720" w:hanging="360"/>
      </w:pPr>
      <w:rPr>
        <w:rFonts w:ascii="Symbol" w:hAnsi="Symbol"/>
      </w:rPr>
    </w:lvl>
    <w:lvl w:ilvl="2" w:tplc="B88A0F12">
      <w:start w:val="1"/>
      <w:numFmt w:val="bullet"/>
      <w:lvlText w:val=""/>
      <w:lvlJc w:val="left"/>
      <w:pPr>
        <w:ind w:left="720" w:hanging="360"/>
      </w:pPr>
      <w:rPr>
        <w:rFonts w:ascii="Symbol" w:hAnsi="Symbol"/>
      </w:rPr>
    </w:lvl>
    <w:lvl w:ilvl="3" w:tplc="796484A8">
      <w:start w:val="1"/>
      <w:numFmt w:val="bullet"/>
      <w:lvlText w:val=""/>
      <w:lvlJc w:val="left"/>
      <w:pPr>
        <w:ind w:left="720" w:hanging="360"/>
      </w:pPr>
      <w:rPr>
        <w:rFonts w:ascii="Symbol" w:hAnsi="Symbol"/>
      </w:rPr>
    </w:lvl>
    <w:lvl w:ilvl="4" w:tplc="815C31BC">
      <w:start w:val="1"/>
      <w:numFmt w:val="bullet"/>
      <w:lvlText w:val=""/>
      <w:lvlJc w:val="left"/>
      <w:pPr>
        <w:ind w:left="720" w:hanging="360"/>
      </w:pPr>
      <w:rPr>
        <w:rFonts w:ascii="Symbol" w:hAnsi="Symbol"/>
      </w:rPr>
    </w:lvl>
    <w:lvl w:ilvl="5" w:tplc="8132D1D8">
      <w:start w:val="1"/>
      <w:numFmt w:val="bullet"/>
      <w:lvlText w:val=""/>
      <w:lvlJc w:val="left"/>
      <w:pPr>
        <w:ind w:left="720" w:hanging="360"/>
      </w:pPr>
      <w:rPr>
        <w:rFonts w:ascii="Symbol" w:hAnsi="Symbol"/>
      </w:rPr>
    </w:lvl>
    <w:lvl w:ilvl="6" w:tplc="D70A12EE">
      <w:start w:val="1"/>
      <w:numFmt w:val="bullet"/>
      <w:lvlText w:val=""/>
      <w:lvlJc w:val="left"/>
      <w:pPr>
        <w:ind w:left="720" w:hanging="360"/>
      </w:pPr>
      <w:rPr>
        <w:rFonts w:ascii="Symbol" w:hAnsi="Symbol"/>
      </w:rPr>
    </w:lvl>
    <w:lvl w:ilvl="7" w:tplc="995AA406">
      <w:start w:val="1"/>
      <w:numFmt w:val="bullet"/>
      <w:lvlText w:val=""/>
      <w:lvlJc w:val="left"/>
      <w:pPr>
        <w:ind w:left="720" w:hanging="360"/>
      </w:pPr>
      <w:rPr>
        <w:rFonts w:ascii="Symbol" w:hAnsi="Symbol"/>
      </w:rPr>
    </w:lvl>
    <w:lvl w:ilvl="8" w:tplc="0100BD16">
      <w:start w:val="1"/>
      <w:numFmt w:val="bullet"/>
      <w:lvlText w:val=""/>
      <w:lvlJc w:val="left"/>
      <w:pPr>
        <w:ind w:left="720" w:hanging="360"/>
      </w:pPr>
      <w:rPr>
        <w:rFonts w:ascii="Symbol" w:hAnsi="Symbol"/>
      </w:rPr>
    </w:lvl>
  </w:abstractNum>
  <w:abstractNum w:abstractNumId="74" w15:restartNumberingAfterBreak="0">
    <w:nsid w:val="560F3486"/>
    <w:multiLevelType w:val="hybridMultilevel"/>
    <w:tmpl w:val="5E5C4900"/>
    <w:lvl w:ilvl="0" w:tplc="F44CC09E">
      <w:start w:val="1"/>
      <w:numFmt w:val="decimal"/>
      <w:lvlText w:val="%1."/>
      <w:lvlJc w:val="left"/>
      <w:pPr>
        <w:ind w:left="720" w:hanging="360"/>
      </w:pPr>
    </w:lvl>
    <w:lvl w:ilvl="1" w:tplc="E9061938">
      <w:start w:val="1"/>
      <w:numFmt w:val="decimal"/>
      <w:lvlText w:val="%2."/>
      <w:lvlJc w:val="left"/>
      <w:pPr>
        <w:ind w:left="720" w:hanging="360"/>
      </w:pPr>
    </w:lvl>
    <w:lvl w:ilvl="2" w:tplc="FC54DB74">
      <w:start w:val="1"/>
      <w:numFmt w:val="decimal"/>
      <w:lvlText w:val="%3."/>
      <w:lvlJc w:val="left"/>
      <w:pPr>
        <w:ind w:left="720" w:hanging="360"/>
      </w:pPr>
    </w:lvl>
    <w:lvl w:ilvl="3" w:tplc="A5CCEAEA">
      <w:start w:val="1"/>
      <w:numFmt w:val="decimal"/>
      <w:lvlText w:val="%4."/>
      <w:lvlJc w:val="left"/>
      <w:pPr>
        <w:ind w:left="720" w:hanging="360"/>
      </w:pPr>
    </w:lvl>
    <w:lvl w:ilvl="4" w:tplc="9D4044A8">
      <w:start w:val="1"/>
      <w:numFmt w:val="decimal"/>
      <w:lvlText w:val="%5."/>
      <w:lvlJc w:val="left"/>
      <w:pPr>
        <w:ind w:left="720" w:hanging="360"/>
      </w:pPr>
    </w:lvl>
    <w:lvl w:ilvl="5" w:tplc="2D30FD0C">
      <w:start w:val="1"/>
      <w:numFmt w:val="decimal"/>
      <w:lvlText w:val="%6."/>
      <w:lvlJc w:val="left"/>
      <w:pPr>
        <w:ind w:left="720" w:hanging="360"/>
      </w:pPr>
    </w:lvl>
    <w:lvl w:ilvl="6" w:tplc="563CC85E">
      <w:start w:val="1"/>
      <w:numFmt w:val="decimal"/>
      <w:lvlText w:val="%7."/>
      <w:lvlJc w:val="left"/>
      <w:pPr>
        <w:ind w:left="720" w:hanging="360"/>
      </w:pPr>
    </w:lvl>
    <w:lvl w:ilvl="7" w:tplc="369665F2">
      <w:start w:val="1"/>
      <w:numFmt w:val="decimal"/>
      <w:lvlText w:val="%8."/>
      <w:lvlJc w:val="left"/>
      <w:pPr>
        <w:ind w:left="720" w:hanging="360"/>
      </w:pPr>
    </w:lvl>
    <w:lvl w:ilvl="8" w:tplc="6756AB26">
      <w:start w:val="1"/>
      <w:numFmt w:val="decimal"/>
      <w:lvlText w:val="%9."/>
      <w:lvlJc w:val="left"/>
      <w:pPr>
        <w:ind w:left="720" w:hanging="360"/>
      </w:pPr>
    </w:lvl>
  </w:abstractNum>
  <w:abstractNum w:abstractNumId="75" w15:restartNumberingAfterBreak="0">
    <w:nsid w:val="56A71B90"/>
    <w:multiLevelType w:val="multilevel"/>
    <w:tmpl w:val="43F0D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71D3430"/>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591D6491"/>
    <w:multiLevelType w:val="hybridMultilevel"/>
    <w:tmpl w:val="A72829C4"/>
    <w:lvl w:ilvl="0" w:tplc="1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9FDB445"/>
    <w:multiLevelType w:val="multilevel"/>
    <w:tmpl w:val="10805E84"/>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A0F2F6E"/>
    <w:multiLevelType w:val="hybridMultilevel"/>
    <w:tmpl w:val="A59CD880"/>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80" w15:restartNumberingAfterBreak="0">
    <w:nsid w:val="5CA62051"/>
    <w:multiLevelType w:val="multilevel"/>
    <w:tmpl w:val="DFCE80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FDA7207"/>
    <w:multiLevelType w:val="hybridMultilevel"/>
    <w:tmpl w:val="C0E6B3A8"/>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0516023"/>
    <w:multiLevelType w:val="hybridMultilevel"/>
    <w:tmpl w:val="F230BBA8"/>
    <w:lvl w:ilvl="0" w:tplc="BCBADFF2">
      <w:start w:val="1"/>
      <w:numFmt w:val="bullet"/>
      <w:lvlText w:val=""/>
      <w:lvlJc w:val="left"/>
      <w:pPr>
        <w:ind w:left="720" w:hanging="360"/>
      </w:pPr>
      <w:rPr>
        <w:rFonts w:ascii="Symbol" w:hAnsi="Symbol"/>
      </w:rPr>
    </w:lvl>
    <w:lvl w:ilvl="1" w:tplc="0680AFF6">
      <w:start w:val="1"/>
      <w:numFmt w:val="bullet"/>
      <w:lvlText w:val=""/>
      <w:lvlJc w:val="left"/>
      <w:pPr>
        <w:ind w:left="720" w:hanging="360"/>
      </w:pPr>
      <w:rPr>
        <w:rFonts w:ascii="Symbol" w:hAnsi="Symbol"/>
      </w:rPr>
    </w:lvl>
    <w:lvl w:ilvl="2" w:tplc="FDB220F0">
      <w:start w:val="1"/>
      <w:numFmt w:val="bullet"/>
      <w:lvlText w:val=""/>
      <w:lvlJc w:val="left"/>
      <w:pPr>
        <w:ind w:left="720" w:hanging="360"/>
      </w:pPr>
      <w:rPr>
        <w:rFonts w:ascii="Symbol" w:hAnsi="Symbol"/>
      </w:rPr>
    </w:lvl>
    <w:lvl w:ilvl="3" w:tplc="EDD0D72A">
      <w:start w:val="1"/>
      <w:numFmt w:val="bullet"/>
      <w:lvlText w:val=""/>
      <w:lvlJc w:val="left"/>
      <w:pPr>
        <w:ind w:left="720" w:hanging="360"/>
      </w:pPr>
      <w:rPr>
        <w:rFonts w:ascii="Symbol" w:hAnsi="Symbol"/>
      </w:rPr>
    </w:lvl>
    <w:lvl w:ilvl="4" w:tplc="F97228D6">
      <w:start w:val="1"/>
      <w:numFmt w:val="bullet"/>
      <w:lvlText w:val=""/>
      <w:lvlJc w:val="left"/>
      <w:pPr>
        <w:ind w:left="720" w:hanging="360"/>
      </w:pPr>
      <w:rPr>
        <w:rFonts w:ascii="Symbol" w:hAnsi="Symbol"/>
      </w:rPr>
    </w:lvl>
    <w:lvl w:ilvl="5" w:tplc="F8AA395A">
      <w:start w:val="1"/>
      <w:numFmt w:val="bullet"/>
      <w:lvlText w:val=""/>
      <w:lvlJc w:val="left"/>
      <w:pPr>
        <w:ind w:left="720" w:hanging="360"/>
      </w:pPr>
      <w:rPr>
        <w:rFonts w:ascii="Symbol" w:hAnsi="Symbol"/>
      </w:rPr>
    </w:lvl>
    <w:lvl w:ilvl="6" w:tplc="79C4C7B0">
      <w:start w:val="1"/>
      <w:numFmt w:val="bullet"/>
      <w:lvlText w:val=""/>
      <w:lvlJc w:val="left"/>
      <w:pPr>
        <w:ind w:left="720" w:hanging="360"/>
      </w:pPr>
      <w:rPr>
        <w:rFonts w:ascii="Symbol" w:hAnsi="Symbol"/>
      </w:rPr>
    </w:lvl>
    <w:lvl w:ilvl="7" w:tplc="4FB8AA30">
      <w:start w:val="1"/>
      <w:numFmt w:val="bullet"/>
      <w:lvlText w:val=""/>
      <w:lvlJc w:val="left"/>
      <w:pPr>
        <w:ind w:left="720" w:hanging="360"/>
      </w:pPr>
      <w:rPr>
        <w:rFonts w:ascii="Symbol" w:hAnsi="Symbol"/>
      </w:rPr>
    </w:lvl>
    <w:lvl w:ilvl="8" w:tplc="81866866">
      <w:start w:val="1"/>
      <w:numFmt w:val="bullet"/>
      <w:lvlText w:val=""/>
      <w:lvlJc w:val="left"/>
      <w:pPr>
        <w:ind w:left="720" w:hanging="360"/>
      </w:pPr>
      <w:rPr>
        <w:rFonts w:ascii="Symbol" w:hAnsi="Symbol"/>
      </w:rPr>
    </w:lvl>
  </w:abstractNum>
  <w:abstractNum w:abstractNumId="83" w15:restartNumberingAfterBreak="0">
    <w:nsid w:val="60804A06"/>
    <w:multiLevelType w:val="hybridMultilevel"/>
    <w:tmpl w:val="05886B52"/>
    <w:lvl w:ilvl="0" w:tplc="5FBADDBC">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4" w15:restartNumberingAfterBreak="0">
    <w:nsid w:val="611D55D3"/>
    <w:multiLevelType w:val="hybridMultilevel"/>
    <w:tmpl w:val="8794D680"/>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64252A76"/>
    <w:multiLevelType w:val="hybridMultilevel"/>
    <w:tmpl w:val="36A49500"/>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4641D24"/>
    <w:multiLevelType w:val="hybridMultilevel"/>
    <w:tmpl w:val="8B5A616E"/>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7" w15:restartNumberingAfterBreak="0">
    <w:nsid w:val="66267F4A"/>
    <w:multiLevelType w:val="hybridMultilevel"/>
    <w:tmpl w:val="59FEECEC"/>
    <w:lvl w:ilvl="0" w:tplc="C3CC1746">
      <w:start w:val="1"/>
      <w:numFmt w:val="decimal"/>
      <w:lvlText w:val="%1."/>
      <w:lvlJc w:val="left"/>
      <w:pPr>
        <w:ind w:left="720" w:hanging="360"/>
      </w:pPr>
      <w:rPr>
        <w:rFonts w:ascii="Times New Roman" w:eastAsiaTheme="minorHAnsi" w:hAnsi="Times New Roman" w:cs="Times New Roman"/>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8" w15:restartNumberingAfterBreak="0">
    <w:nsid w:val="67516070"/>
    <w:multiLevelType w:val="multilevel"/>
    <w:tmpl w:val="DEDE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84E48B5"/>
    <w:multiLevelType w:val="hybridMultilevel"/>
    <w:tmpl w:val="F3A812EA"/>
    <w:lvl w:ilvl="0" w:tplc="162A88D8">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68710EB7"/>
    <w:multiLevelType w:val="hybridMultilevel"/>
    <w:tmpl w:val="90582C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69C8744C"/>
    <w:multiLevelType w:val="hybridMultilevel"/>
    <w:tmpl w:val="B54A4F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CA6792D"/>
    <w:multiLevelType w:val="hybridMultilevel"/>
    <w:tmpl w:val="A6A6E0C6"/>
    <w:lvl w:ilvl="0" w:tplc="1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6F63CCF8"/>
    <w:multiLevelType w:val="hybridMultilevel"/>
    <w:tmpl w:val="45289CB2"/>
    <w:lvl w:ilvl="0" w:tplc="C42658E8">
      <w:start w:val="1"/>
      <w:numFmt w:val="bullet"/>
      <w:lvlText w:val="-"/>
      <w:lvlJc w:val="left"/>
      <w:pPr>
        <w:ind w:left="720" w:hanging="360"/>
      </w:pPr>
      <w:rPr>
        <w:rFonts w:ascii="Aptos" w:hAnsi="Aptos" w:hint="default"/>
      </w:rPr>
    </w:lvl>
    <w:lvl w:ilvl="1" w:tplc="19DC7EBC">
      <w:start w:val="1"/>
      <w:numFmt w:val="bullet"/>
      <w:lvlText w:val="o"/>
      <w:lvlJc w:val="left"/>
      <w:pPr>
        <w:ind w:left="1440" w:hanging="360"/>
      </w:pPr>
      <w:rPr>
        <w:rFonts w:ascii="Courier New" w:hAnsi="Courier New" w:hint="default"/>
      </w:rPr>
    </w:lvl>
    <w:lvl w:ilvl="2" w:tplc="53C2CDF2">
      <w:start w:val="1"/>
      <w:numFmt w:val="bullet"/>
      <w:lvlText w:val=""/>
      <w:lvlJc w:val="left"/>
      <w:pPr>
        <w:ind w:left="2160" w:hanging="360"/>
      </w:pPr>
      <w:rPr>
        <w:rFonts w:ascii="Wingdings" w:hAnsi="Wingdings" w:hint="default"/>
      </w:rPr>
    </w:lvl>
    <w:lvl w:ilvl="3" w:tplc="76A865E2">
      <w:start w:val="1"/>
      <w:numFmt w:val="bullet"/>
      <w:lvlText w:val=""/>
      <w:lvlJc w:val="left"/>
      <w:pPr>
        <w:ind w:left="2880" w:hanging="360"/>
      </w:pPr>
      <w:rPr>
        <w:rFonts w:ascii="Symbol" w:hAnsi="Symbol" w:hint="default"/>
      </w:rPr>
    </w:lvl>
    <w:lvl w:ilvl="4" w:tplc="131201D4">
      <w:start w:val="1"/>
      <w:numFmt w:val="bullet"/>
      <w:lvlText w:val="o"/>
      <w:lvlJc w:val="left"/>
      <w:pPr>
        <w:ind w:left="3600" w:hanging="360"/>
      </w:pPr>
      <w:rPr>
        <w:rFonts w:ascii="Courier New" w:hAnsi="Courier New" w:hint="default"/>
      </w:rPr>
    </w:lvl>
    <w:lvl w:ilvl="5" w:tplc="7D98946A">
      <w:start w:val="1"/>
      <w:numFmt w:val="bullet"/>
      <w:lvlText w:val=""/>
      <w:lvlJc w:val="left"/>
      <w:pPr>
        <w:ind w:left="4320" w:hanging="360"/>
      </w:pPr>
      <w:rPr>
        <w:rFonts w:ascii="Wingdings" w:hAnsi="Wingdings" w:hint="default"/>
      </w:rPr>
    </w:lvl>
    <w:lvl w:ilvl="6" w:tplc="14567C8A">
      <w:start w:val="1"/>
      <w:numFmt w:val="bullet"/>
      <w:lvlText w:val=""/>
      <w:lvlJc w:val="left"/>
      <w:pPr>
        <w:ind w:left="5040" w:hanging="360"/>
      </w:pPr>
      <w:rPr>
        <w:rFonts w:ascii="Symbol" w:hAnsi="Symbol" w:hint="default"/>
      </w:rPr>
    </w:lvl>
    <w:lvl w:ilvl="7" w:tplc="2AA69D68">
      <w:start w:val="1"/>
      <w:numFmt w:val="bullet"/>
      <w:lvlText w:val="o"/>
      <w:lvlJc w:val="left"/>
      <w:pPr>
        <w:ind w:left="5760" w:hanging="360"/>
      </w:pPr>
      <w:rPr>
        <w:rFonts w:ascii="Courier New" w:hAnsi="Courier New" w:hint="default"/>
      </w:rPr>
    </w:lvl>
    <w:lvl w:ilvl="8" w:tplc="1B5CE484">
      <w:start w:val="1"/>
      <w:numFmt w:val="bullet"/>
      <w:lvlText w:val=""/>
      <w:lvlJc w:val="left"/>
      <w:pPr>
        <w:ind w:left="6480" w:hanging="360"/>
      </w:pPr>
      <w:rPr>
        <w:rFonts w:ascii="Wingdings" w:hAnsi="Wingdings" w:hint="default"/>
      </w:rPr>
    </w:lvl>
  </w:abstractNum>
  <w:abstractNum w:abstractNumId="94" w15:restartNumberingAfterBreak="0">
    <w:nsid w:val="6F780EB4"/>
    <w:multiLevelType w:val="multilevel"/>
    <w:tmpl w:val="69847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FD37928"/>
    <w:multiLevelType w:val="hybridMultilevel"/>
    <w:tmpl w:val="A9801B42"/>
    <w:lvl w:ilvl="0" w:tplc="09183D36">
      <w:start w:val="1"/>
      <w:numFmt w:val="decimal"/>
      <w:lvlText w:val="%1)"/>
      <w:lvlJc w:val="left"/>
      <w:pPr>
        <w:ind w:left="720" w:hanging="360"/>
      </w:pPr>
    </w:lvl>
    <w:lvl w:ilvl="1" w:tplc="BDE6B1D2">
      <w:start w:val="1"/>
      <w:numFmt w:val="lowerLetter"/>
      <w:lvlText w:val="%2."/>
      <w:lvlJc w:val="left"/>
      <w:pPr>
        <w:ind w:left="1440" w:hanging="360"/>
      </w:pPr>
    </w:lvl>
    <w:lvl w:ilvl="2" w:tplc="5320889A">
      <w:start w:val="1"/>
      <w:numFmt w:val="lowerRoman"/>
      <w:lvlText w:val="%3."/>
      <w:lvlJc w:val="right"/>
      <w:pPr>
        <w:ind w:left="2160" w:hanging="180"/>
      </w:pPr>
    </w:lvl>
    <w:lvl w:ilvl="3" w:tplc="1DBADA32">
      <w:start w:val="1"/>
      <w:numFmt w:val="decimal"/>
      <w:lvlText w:val="%4."/>
      <w:lvlJc w:val="left"/>
      <w:pPr>
        <w:ind w:left="2880" w:hanging="360"/>
      </w:pPr>
    </w:lvl>
    <w:lvl w:ilvl="4" w:tplc="59C0700C">
      <w:start w:val="1"/>
      <w:numFmt w:val="lowerLetter"/>
      <w:lvlText w:val="%5."/>
      <w:lvlJc w:val="left"/>
      <w:pPr>
        <w:ind w:left="3600" w:hanging="360"/>
      </w:pPr>
    </w:lvl>
    <w:lvl w:ilvl="5" w:tplc="E24624D4">
      <w:start w:val="1"/>
      <w:numFmt w:val="lowerRoman"/>
      <w:lvlText w:val="%6."/>
      <w:lvlJc w:val="right"/>
      <w:pPr>
        <w:ind w:left="4320" w:hanging="180"/>
      </w:pPr>
    </w:lvl>
    <w:lvl w:ilvl="6" w:tplc="437E8E94">
      <w:start w:val="1"/>
      <w:numFmt w:val="decimal"/>
      <w:lvlText w:val="%7."/>
      <w:lvlJc w:val="left"/>
      <w:pPr>
        <w:ind w:left="5040" w:hanging="360"/>
      </w:pPr>
    </w:lvl>
    <w:lvl w:ilvl="7" w:tplc="262261BA">
      <w:start w:val="1"/>
      <w:numFmt w:val="lowerLetter"/>
      <w:lvlText w:val="%8."/>
      <w:lvlJc w:val="left"/>
      <w:pPr>
        <w:ind w:left="5760" w:hanging="360"/>
      </w:pPr>
    </w:lvl>
    <w:lvl w:ilvl="8" w:tplc="A45E534A">
      <w:start w:val="1"/>
      <w:numFmt w:val="lowerRoman"/>
      <w:lvlText w:val="%9."/>
      <w:lvlJc w:val="right"/>
      <w:pPr>
        <w:ind w:left="6480" w:hanging="180"/>
      </w:pPr>
    </w:lvl>
  </w:abstractNum>
  <w:abstractNum w:abstractNumId="96" w15:restartNumberingAfterBreak="0">
    <w:nsid w:val="718F4B7F"/>
    <w:multiLevelType w:val="hybridMultilevel"/>
    <w:tmpl w:val="F6B0653A"/>
    <w:lvl w:ilvl="0" w:tplc="18090001">
      <w:start w:val="1"/>
      <w:numFmt w:val="bullet"/>
      <w:lvlText w:val=""/>
      <w:lvlJc w:val="left"/>
      <w:pPr>
        <w:ind w:left="1174" w:hanging="360"/>
      </w:pPr>
      <w:rPr>
        <w:rFonts w:ascii="Symbol" w:hAnsi="Symbol" w:hint="default"/>
      </w:rPr>
    </w:lvl>
    <w:lvl w:ilvl="1" w:tplc="18090003" w:tentative="1">
      <w:start w:val="1"/>
      <w:numFmt w:val="bullet"/>
      <w:lvlText w:val="o"/>
      <w:lvlJc w:val="left"/>
      <w:pPr>
        <w:ind w:left="1894" w:hanging="360"/>
      </w:pPr>
      <w:rPr>
        <w:rFonts w:ascii="Courier New" w:hAnsi="Courier New" w:cs="Courier New" w:hint="default"/>
      </w:rPr>
    </w:lvl>
    <w:lvl w:ilvl="2" w:tplc="18090005" w:tentative="1">
      <w:start w:val="1"/>
      <w:numFmt w:val="bullet"/>
      <w:lvlText w:val=""/>
      <w:lvlJc w:val="left"/>
      <w:pPr>
        <w:ind w:left="2614" w:hanging="360"/>
      </w:pPr>
      <w:rPr>
        <w:rFonts w:ascii="Wingdings" w:hAnsi="Wingdings" w:hint="default"/>
      </w:rPr>
    </w:lvl>
    <w:lvl w:ilvl="3" w:tplc="18090001" w:tentative="1">
      <w:start w:val="1"/>
      <w:numFmt w:val="bullet"/>
      <w:lvlText w:val=""/>
      <w:lvlJc w:val="left"/>
      <w:pPr>
        <w:ind w:left="3334" w:hanging="360"/>
      </w:pPr>
      <w:rPr>
        <w:rFonts w:ascii="Symbol" w:hAnsi="Symbol" w:hint="default"/>
      </w:rPr>
    </w:lvl>
    <w:lvl w:ilvl="4" w:tplc="18090003" w:tentative="1">
      <w:start w:val="1"/>
      <w:numFmt w:val="bullet"/>
      <w:lvlText w:val="o"/>
      <w:lvlJc w:val="left"/>
      <w:pPr>
        <w:ind w:left="4054" w:hanging="360"/>
      </w:pPr>
      <w:rPr>
        <w:rFonts w:ascii="Courier New" w:hAnsi="Courier New" w:cs="Courier New" w:hint="default"/>
      </w:rPr>
    </w:lvl>
    <w:lvl w:ilvl="5" w:tplc="18090005" w:tentative="1">
      <w:start w:val="1"/>
      <w:numFmt w:val="bullet"/>
      <w:lvlText w:val=""/>
      <w:lvlJc w:val="left"/>
      <w:pPr>
        <w:ind w:left="4774" w:hanging="360"/>
      </w:pPr>
      <w:rPr>
        <w:rFonts w:ascii="Wingdings" w:hAnsi="Wingdings" w:hint="default"/>
      </w:rPr>
    </w:lvl>
    <w:lvl w:ilvl="6" w:tplc="18090001" w:tentative="1">
      <w:start w:val="1"/>
      <w:numFmt w:val="bullet"/>
      <w:lvlText w:val=""/>
      <w:lvlJc w:val="left"/>
      <w:pPr>
        <w:ind w:left="5494" w:hanging="360"/>
      </w:pPr>
      <w:rPr>
        <w:rFonts w:ascii="Symbol" w:hAnsi="Symbol" w:hint="default"/>
      </w:rPr>
    </w:lvl>
    <w:lvl w:ilvl="7" w:tplc="18090003" w:tentative="1">
      <w:start w:val="1"/>
      <w:numFmt w:val="bullet"/>
      <w:lvlText w:val="o"/>
      <w:lvlJc w:val="left"/>
      <w:pPr>
        <w:ind w:left="6214" w:hanging="360"/>
      </w:pPr>
      <w:rPr>
        <w:rFonts w:ascii="Courier New" w:hAnsi="Courier New" w:cs="Courier New" w:hint="default"/>
      </w:rPr>
    </w:lvl>
    <w:lvl w:ilvl="8" w:tplc="18090005" w:tentative="1">
      <w:start w:val="1"/>
      <w:numFmt w:val="bullet"/>
      <w:lvlText w:val=""/>
      <w:lvlJc w:val="left"/>
      <w:pPr>
        <w:ind w:left="6934" w:hanging="360"/>
      </w:pPr>
      <w:rPr>
        <w:rFonts w:ascii="Wingdings" w:hAnsi="Wingdings" w:hint="default"/>
      </w:rPr>
    </w:lvl>
  </w:abstractNum>
  <w:abstractNum w:abstractNumId="97" w15:restartNumberingAfterBreak="0">
    <w:nsid w:val="71DA7A2B"/>
    <w:multiLevelType w:val="hybridMultilevel"/>
    <w:tmpl w:val="02480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8" w15:restartNumberingAfterBreak="0">
    <w:nsid w:val="737D4875"/>
    <w:multiLevelType w:val="hybridMultilevel"/>
    <w:tmpl w:val="048E048E"/>
    <w:lvl w:ilvl="0" w:tplc="28EC52D0">
      <w:start w:val="1"/>
      <w:numFmt w:val="bullet"/>
      <w:lvlText w:val=""/>
      <w:lvlJc w:val="left"/>
      <w:pPr>
        <w:ind w:left="720" w:hanging="360"/>
      </w:pPr>
      <w:rPr>
        <w:rFonts w:ascii="Symbol" w:hAnsi="Symbol"/>
      </w:rPr>
    </w:lvl>
    <w:lvl w:ilvl="1" w:tplc="4C944220">
      <w:start w:val="1"/>
      <w:numFmt w:val="bullet"/>
      <w:lvlText w:val=""/>
      <w:lvlJc w:val="left"/>
      <w:pPr>
        <w:ind w:left="720" w:hanging="360"/>
      </w:pPr>
      <w:rPr>
        <w:rFonts w:ascii="Symbol" w:hAnsi="Symbol"/>
      </w:rPr>
    </w:lvl>
    <w:lvl w:ilvl="2" w:tplc="299498A8">
      <w:start w:val="1"/>
      <w:numFmt w:val="bullet"/>
      <w:lvlText w:val=""/>
      <w:lvlJc w:val="left"/>
      <w:pPr>
        <w:ind w:left="720" w:hanging="360"/>
      </w:pPr>
      <w:rPr>
        <w:rFonts w:ascii="Symbol" w:hAnsi="Symbol"/>
      </w:rPr>
    </w:lvl>
    <w:lvl w:ilvl="3" w:tplc="D0F01860">
      <w:start w:val="1"/>
      <w:numFmt w:val="bullet"/>
      <w:lvlText w:val=""/>
      <w:lvlJc w:val="left"/>
      <w:pPr>
        <w:ind w:left="720" w:hanging="360"/>
      </w:pPr>
      <w:rPr>
        <w:rFonts w:ascii="Symbol" w:hAnsi="Symbol"/>
      </w:rPr>
    </w:lvl>
    <w:lvl w:ilvl="4" w:tplc="5B427F8C">
      <w:start w:val="1"/>
      <w:numFmt w:val="bullet"/>
      <w:lvlText w:val=""/>
      <w:lvlJc w:val="left"/>
      <w:pPr>
        <w:ind w:left="720" w:hanging="360"/>
      </w:pPr>
      <w:rPr>
        <w:rFonts w:ascii="Symbol" w:hAnsi="Symbol"/>
      </w:rPr>
    </w:lvl>
    <w:lvl w:ilvl="5" w:tplc="7AEAFC7A">
      <w:start w:val="1"/>
      <w:numFmt w:val="bullet"/>
      <w:lvlText w:val=""/>
      <w:lvlJc w:val="left"/>
      <w:pPr>
        <w:ind w:left="720" w:hanging="360"/>
      </w:pPr>
      <w:rPr>
        <w:rFonts w:ascii="Symbol" w:hAnsi="Symbol"/>
      </w:rPr>
    </w:lvl>
    <w:lvl w:ilvl="6" w:tplc="827899F2">
      <w:start w:val="1"/>
      <w:numFmt w:val="bullet"/>
      <w:lvlText w:val=""/>
      <w:lvlJc w:val="left"/>
      <w:pPr>
        <w:ind w:left="720" w:hanging="360"/>
      </w:pPr>
      <w:rPr>
        <w:rFonts w:ascii="Symbol" w:hAnsi="Symbol"/>
      </w:rPr>
    </w:lvl>
    <w:lvl w:ilvl="7" w:tplc="4314C9B0">
      <w:start w:val="1"/>
      <w:numFmt w:val="bullet"/>
      <w:lvlText w:val=""/>
      <w:lvlJc w:val="left"/>
      <w:pPr>
        <w:ind w:left="720" w:hanging="360"/>
      </w:pPr>
      <w:rPr>
        <w:rFonts w:ascii="Symbol" w:hAnsi="Symbol"/>
      </w:rPr>
    </w:lvl>
    <w:lvl w:ilvl="8" w:tplc="ED8CB6DA">
      <w:start w:val="1"/>
      <w:numFmt w:val="bullet"/>
      <w:lvlText w:val=""/>
      <w:lvlJc w:val="left"/>
      <w:pPr>
        <w:ind w:left="720" w:hanging="360"/>
      </w:pPr>
      <w:rPr>
        <w:rFonts w:ascii="Symbol" w:hAnsi="Symbol"/>
      </w:rPr>
    </w:lvl>
  </w:abstractNum>
  <w:abstractNum w:abstractNumId="99" w15:restartNumberingAfterBreak="0">
    <w:nsid w:val="738465C3"/>
    <w:multiLevelType w:val="hybridMultilevel"/>
    <w:tmpl w:val="DE5E5DCE"/>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75076BF7"/>
    <w:multiLevelType w:val="hybridMultilevel"/>
    <w:tmpl w:val="E256AED2"/>
    <w:lvl w:ilvl="0" w:tplc="56D22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8982897"/>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7A0D12AC"/>
    <w:multiLevelType w:val="hybridMultilevel"/>
    <w:tmpl w:val="9F5E73C6"/>
    <w:lvl w:ilvl="0" w:tplc="9A623C32">
      <w:start w:val="1"/>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3" w15:restartNumberingAfterBreak="0">
    <w:nsid w:val="7A236399"/>
    <w:multiLevelType w:val="multilevel"/>
    <w:tmpl w:val="481C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A76A106"/>
    <w:multiLevelType w:val="hybridMultilevel"/>
    <w:tmpl w:val="B330B2F0"/>
    <w:lvl w:ilvl="0" w:tplc="58C87BF8">
      <w:start w:val="1"/>
      <w:numFmt w:val="bullet"/>
      <w:lvlText w:val="-"/>
      <w:lvlJc w:val="left"/>
      <w:pPr>
        <w:ind w:left="720" w:hanging="360"/>
      </w:pPr>
      <w:rPr>
        <w:rFonts w:ascii="Aptos" w:hAnsi="Aptos" w:hint="default"/>
      </w:rPr>
    </w:lvl>
    <w:lvl w:ilvl="1" w:tplc="7E528D64">
      <w:start w:val="1"/>
      <w:numFmt w:val="bullet"/>
      <w:lvlText w:val="o"/>
      <w:lvlJc w:val="left"/>
      <w:pPr>
        <w:ind w:left="1440" w:hanging="360"/>
      </w:pPr>
      <w:rPr>
        <w:rFonts w:ascii="Courier New" w:hAnsi="Courier New" w:hint="default"/>
      </w:rPr>
    </w:lvl>
    <w:lvl w:ilvl="2" w:tplc="D0D872FE">
      <w:start w:val="1"/>
      <w:numFmt w:val="bullet"/>
      <w:lvlText w:val=""/>
      <w:lvlJc w:val="left"/>
      <w:pPr>
        <w:ind w:left="2160" w:hanging="360"/>
      </w:pPr>
      <w:rPr>
        <w:rFonts w:ascii="Wingdings" w:hAnsi="Wingdings" w:hint="default"/>
      </w:rPr>
    </w:lvl>
    <w:lvl w:ilvl="3" w:tplc="164A7396">
      <w:start w:val="1"/>
      <w:numFmt w:val="bullet"/>
      <w:lvlText w:val=""/>
      <w:lvlJc w:val="left"/>
      <w:pPr>
        <w:ind w:left="2880" w:hanging="360"/>
      </w:pPr>
      <w:rPr>
        <w:rFonts w:ascii="Symbol" w:hAnsi="Symbol" w:hint="default"/>
      </w:rPr>
    </w:lvl>
    <w:lvl w:ilvl="4" w:tplc="9B4E9A12">
      <w:start w:val="1"/>
      <w:numFmt w:val="bullet"/>
      <w:lvlText w:val="o"/>
      <w:lvlJc w:val="left"/>
      <w:pPr>
        <w:ind w:left="3600" w:hanging="360"/>
      </w:pPr>
      <w:rPr>
        <w:rFonts w:ascii="Courier New" w:hAnsi="Courier New" w:hint="default"/>
      </w:rPr>
    </w:lvl>
    <w:lvl w:ilvl="5" w:tplc="237A697C">
      <w:start w:val="1"/>
      <w:numFmt w:val="bullet"/>
      <w:lvlText w:val=""/>
      <w:lvlJc w:val="left"/>
      <w:pPr>
        <w:ind w:left="4320" w:hanging="360"/>
      </w:pPr>
      <w:rPr>
        <w:rFonts w:ascii="Wingdings" w:hAnsi="Wingdings" w:hint="default"/>
      </w:rPr>
    </w:lvl>
    <w:lvl w:ilvl="6" w:tplc="324C177C">
      <w:start w:val="1"/>
      <w:numFmt w:val="bullet"/>
      <w:lvlText w:val=""/>
      <w:lvlJc w:val="left"/>
      <w:pPr>
        <w:ind w:left="5040" w:hanging="360"/>
      </w:pPr>
      <w:rPr>
        <w:rFonts w:ascii="Symbol" w:hAnsi="Symbol" w:hint="default"/>
      </w:rPr>
    </w:lvl>
    <w:lvl w:ilvl="7" w:tplc="4112CB66">
      <w:start w:val="1"/>
      <w:numFmt w:val="bullet"/>
      <w:lvlText w:val="o"/>
      <w:lvlJc w:val="left"/>
      <w:pPr>
        <w:ind w:left="5760" w:hanging="360"/>
      </w:pPr>
      <w:rPr>
        <w:rFonts w:ascii="Courier New" w:hAnsi="Courier New" w:hint="default"/>
      </w:rPr>
    </w:lvl>
    <w:lvl w:ilvl="8" w:tplc="BBDEACB2">
      <w:start w:val="1"/>
      <w:numFmt w:val="bullet"/>
      <w:lvlText w:val=""/>
      <w:lvlJc w:val="left"/>
      <w:pPr>
        <w:ind w:left="6480" w:hanging="360"/>
      </w:pPr>
      <w:rPr>
        <w:rFonts w:ascii="Wingdings" w:hAnsi="Wingdings" w:hint="default"/>
      </w:rPr>
    </w:lvl>
  </w:abstractNum>
  <w:abstractNum w:abstractNumId="105" w15:restartNumberingAfterBreak="0">
    <w:nsid w:val="7ADB67B4"/>
    <w:multiLevelType w:val="hybridMultilevel"/>
    <w:tmpl w:val="8794D6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B291BD0"/>
    <w:multiLevelType w:val="hybridMultilevel"/>
    <w:tmpl w:val="678AA392"/>
    <w:lvl w:ilvl="0" w:tplc="C3A63834">
      <w:start w:val="1"/>
      <w:numFmt w:val="decimal"/>
      <w:lvlText w:val="%1."/>
      <w:lvlJc w:val="left"/>
      <w:pPr>
        <w:ind w:left="720" w:hanging="360"/>
      </w:pPr>
    </w:lvl>
    <w:lvl w:ilvl="1" w:tplc="7E2CDEAC">
      <w:start w:val="1"/>
      <w:numFmt w:val="decimal"/>
      <w:lvlText w:val="%2."/>
      <w:lvlJc w:val="left"/>
      <w:pPr>
        <w:ind w:left="720" w:hanging="360"/>
      </w:pPr>
    </w:lvl>
    <w:lvl w:ilvl="2" w:tplc="E968E91E">
      <w:start w:val="1"/>
      <w:numFmt w:val="decimal"/>
      <w:lvlText w:val="%3."/>
      <w:lvlJc w:val="left"/>
      <w:pPr>
        <w:ind w:left="720" w:hanging="360"/>
      </w:pPr>
    </w:lvl>
    <w:lvl w:ilvl="3" w:tplc="CDE681CA">
      <w:start w:val="1"/>
      <w:numFmt w:val="decimal"/>
      <w:lvlText w:val="%4."/>
      <w:lvlJc w:val="left"/>
      <w:pPr>
        <w:ind w:left="720" w:hanging="360"/>
      </w:pPr>
    </w:lvl>
    <w:lvl w:ilvl="4" w:tplc="B26EB0C2">
      <w:start w:val="1"/>
      <w:numFmt w:val="decimal"/>
      <w:lvlText w:val="%5."/>
      <w:lvlJc w:val="left"/>
      <w:pPr>
        <w:ind w:left="720" w:hanging="360"/>
      </w:pPr>
    </w:lvl>
    <w:lvl w:ilvl="5" w:tplc="94841106">
      <w:start w:val="1"/>
      <w:numFmt w:val="decimal"/>
      <w:lvlText w:val="%6."/>
      <w:lvlJc w:val="left"/>
      <w:pPr>
        <w:ind w:left="720" w:hanging="360"/>
      </w:pPr>
    </w:lvl>
    <w:lvl w:ilvl="6" w:tplc="920A287C">
      <w:start w:val="1"/>
      <w:numFmt w:val="decimal"/>
      <w:lvlText w:val="%7."/>
      <w:lvlJc w:val="left"/>
      <w:pPr>
        <w:ind w:left="720" w:hanging="360"/>
      </w:pPr>
    </w:lvl>
    <w:lvl w:ilvl="7" w:tplc="74AC7DAC">
      <w:start w:val="1"/>
      <w:numFmt w:val="decimal"/>
      <w:lvlText w:val="%8."/>
      <w:lvlJc w:val="left"/>
      <w:pPr>
        <w:ind w:left="720" w:hanging="360"/>
      </w:pPr>
    </w:lvl>
    <w:lvl w:ilvl="8" w:tplc="D0D29BB2">
      <w:start w:val="1"/>
      <w:numFmt w:val="decimal"/>
      <w:lvlText w:val="%9."/>
      <w:lvlJc w:val="left"/>
      <w:pPr>
        <w:ind w:left="720" w:hanging="360"/>
      </w:pPr>
    </w:lvl>
  </w:abstractNum>
  <w:abstractNum w:abstractNumId="107" w15:restartNumberingAfterBreak="0">
    <w:nsid w:val="7BA3630E"/>
    <w:multiLevelType w:val="hybridMultilevel"/>
    <w:tmpl w:val="ABF451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8" w15:restartNumberingAfterBreak="0">
    <w:nsid w:val="7D5E9A6A"/>
    <w:multiLevelType w:val="hybridMultilevel"/>
    <w:tmpl w:val="D23E0C0A"/>
    <w:lvl w:ilvl="0" w:tplc="611C00D4">
      <w:start w:val="1"/>
      <w:numFmt w:val="bullet"/>
      <w:lvlText w:val="-"/>
      <w:lvlJc w:val="left"/>
      <w:pPr>
        <w:ind w:left="720" w:hanging="360"/>
      </w:pPr>
      <w:rPr>
        <w:rFonts w:ascii="Aptos" w:hAnsi="Aptos" w:hint="default"/>
      </w:rPr>
    </w:lvl>
    <w:lvl w:ilvl="1" w:tplc="301E4058">
      <w:start w:val="1"/>
      <w:numFmt w:val="bullet"/>
      <w:lvlText w:val="o"/>
      <w:lvlJc w:val="left"/>
      <w:pPr>
        <w:ind w:left="1440" w:hanging="360"/>
      </w:pPr>
      <w:rPr>
        <w:rFonts w:ascii="Courier New" w:hAnsi="Courier New" w:hint="default"/>
      </w:rPr>
    </w:lvl>
    <w:lvl w:ilvl="2" w:tplc="E6ECAF02">
      <w:start w:val="1"/>
      <w:numFmt w:val="bullet"/>
      <w:lvlText w:val=""/>
      <w:lvlJc w:val="left"/>
      <w:pPr>
        <w:ind w:left="2160" w:hanging="360"/>
      </w:pPr>
      <w:rPr>
        <w:rFonts w:ascii="Wingdings" w:hAnsi="Wingdings" w:hint="default"/>
      </w:rPr>
    </w:lvl>
    <w:lvl w:ilvl="3" w:tplc="6380872A">
      <w:start w:val="1"/>
      <w:numFmt w:val="bullet"/>
      <w:lvlText w:val=""/>
      <w:lvlJc w:val="left"/>
      <w:pPr>
        <w:ind w:left="2880" w:hanging="360"/>
      </w:pPr>
      <w:rPr>
        <w:rFonts w:ascii="Symbol" w:hAnsi="Symbol" w:hint="default"/>
      </w:rPr>
    </w:lvl>
    <w:lvl w:ilvl="4" w:tplc="B596B770">
      <w:start w:val="1"/>
      <w:numFmt w:val="bullet"/>
      <w:lvlText w:val="o"/>
      <w:lvlJc w:val="left"/>
      <w:pPr>
        <w:ind w:left="3600" w:hanging="360"/>
      </w:pPr>
      <w:rPr>
        <w:rFonts w:ascii="Courier New" w:hAnsi="Courier New" w:hint="default"/>
      </w:rPr>
    </w:lvl>
    <w:lvl w:ilvl="5" w:tplc="EA1E4212">
      <w:start w:val="1"/>
      <w:numFmt w:val="bullet"/>
      <w:lvlText w:val=""/>
      <w:lvlJc w:val="left"/>
      <w:pPr>
        <w:ind w:left="4320" w:hanging="360"/>
      </w:pPr>
      <w:rPr>
        <w:rFonts w:ascii="Wingdings" w:hAnsi="Wingdings" w:hint="default"/>
      </w:rPr>
    </w:lvl>
    <w:lvl w:ilvl="6" w:tplc="FF4EF4DC">
      <w:start w:val="1"/>
      <w:numFmt w:val="bullet"/>
      <w:lvlText w:val=""/>
      <w:lvlJc w:val="left"/>
      <w:pPr>
        <w:ind w:left="5040" w:hanging="360"/>
      </w:pPr>
      <w:rPr>
        <w:rFonts w:ascii="Symbol" w:hAnsi="Symbol" w:hint="default"/>
      </w:rPr>
    </w:lvl>
    <w:lvl w:ilvl="7" w:tplc="4696792A">
      <w:start w:val="1"/>
      <w:numFmt w:val="bullet"/>
      <w:lvlText w:val="o"/>
      <w:lvlJc w:val="left"/>
      <w:pPr>
        <w:ind w:left="5760" w:hanging="360"/>
      </w:pPr>
      <w:rPr>
        <w:rFonts w:ascii="Courier New" w:hAnsi="Courier New" w:hint="default"/>
      </w:rPr>
    </w:lvl>
    <w:lvl w:ilvl="8" w:tplc="D460EC4E">
      <w:start w:val="1"/>
      <w:numFmt w:val="bullet"/>
      <w:lvlText w:val=""/>
      <w:lvlJc w:val="left"/>
      <w:pPr>
        <w:ind w:left="6480" w:hanging="360"/>
      </w:pPr>
      <w:rPr>
        <w:rFonts w:ascii="Wingdings" w:hAnsi="Wingdings" w:hint="default"/>
      </w:rPr>
    </w:lvl>
  </w:abstractNum>
  <w:abstractNum w:abstractNumId="109" w15:restartNumberingAfterBreak="0">
    <w:nsid w:val="7EAC5F6B"/>
    <w:multiLevelType w:val="hybridMultilevel"/>
    <w:tmpl w:val="B590038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0" w15:restartNumberingAfterBreak="0">
    <w:nsid w:val="7FCE65A8"/>
    <w:multiLevelType w:val="multilevel"/>
    <w:tmpl w:val="60925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78"/>
  </w:num>
  <w:num w:numId="3">
    <w:abstractNumId w:val="95"/>
  </w:num>
  <w:num w:numId="4">
    <w:abstractNumId w:val="60"/>
  </w:num>
  <w:num w:numId="5">
    <w:abstractNumId w:val="33"/>
  </w:num>
  <w:num w:numId="6">
    <w:abstractNumId w:val="20"/>
  </w:num>
  <w:num w:numId="7">
    <w:abstractNumId w:val="2"/>
  </w:num>
  <w:num w:numId="8">
    <w:abstractNumId w:val="0"/>
  </w:num>
  <w:num w:numId="9">
    <w:abstractNumId w:val="4"/>
  </w:num>
  <w:num w:numId="10">
    <w:abstractNumId w:val="36"/>
  </w:num>
  <w:num w:numId="11">
    <w:abstractNumId w:val="36"/>
  </w:num>
  <w:num w:numId="12">
    <w:abstractNumId w:val="109"/>
  </w:num>
  <w:num w:numId="13">
    <w:abstractNumId w:val="97"/>
  </w:num>
  <w:num w:numId="14">
    <w:abstractNumId w:val="107"/>
  </w:num>
  <w:num w:numId="15">
    <w:abstractNumId w:val="32"/>
  </w:num>
  <w:num w:numId="16">
    <w:abstractNumId w:val="65"/>
  </w:num>
  <w:num w:numId="1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6"/>
  </w:num>
  <w:num w:numId="19">
    <w:abstractNumId w:val="60"/>
  </w:num>
  <w:num w:numId="20">
    <w:abstractNumId w:val="13"/>
  </w:num>
  <w:num w:numId="21">
    <w:abstractNumId w:val="26"/>
  </w:num>
  <w:num w:numId="22">
    <w:abstractNumId w:val="60"/>
  </w:num>
  <w:num w:numId="23">
    <w:abstractNumId w:val="60"/>
  </w:num>
  <w:num w:numId="24">
    <w:abstractNumId w:val="37"/>
  </w:num>
  <w:num w:numId="25">
    <w:abstractNumId w:val="106"/>
  </w:num>
  <w:num w:numId="26">
    <w:abstractNumId w:val="5"/>
  </w:num>
  <w:num w:numId="27">
    <w:abstractNumId w:val="60"/>
  </w:num>
  <w:num w:numId="28">
    <w:abstractNumId w:val="16"/>
  </w:num>
  <w:num w:numId="29">
    <w:abstractNumId w:val="66"/>
  </w:num>
  <w:num w:numId="30">
    <w:abstractNumId w:val="60"/>
  </w:num>
  <w:num w:numId="31">
    <w:abstractNumId w:val="60"/>
  </w:num>
  <w:num w:numId="32">
    <w:abstractNumId w:val="60"/>
  </w:num>
  <w:num w:numId="33">
    <w:abstractNumId w:val="82"/>
  </w:num>
  <w:num w:numId="34">
    <w:abstractNumId w:val="60"/>
  </w:num>
  <w:num w:numId="35">
    <w:abstractNumId w:val="74"/>
  </w:num>
  <w:num w:numId="36">
    <w:abstractNumId w:val="70"/>
  </w:num>
  <w:num w:numId="37">
    <w:abstractNumId w:val="98"/>
  </w:num>
  <w:num w:numId="3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63"/>
  </w:num>
  <w:num w:numId="41">
    <w:abstractNumId w:val="62"/>
  </w:num>
  <w:num w:numId="42">
    <w:abstractNumId w:val="39"/>
  </w:num>
  <w:num w:numId="43">
    <w:abstractNumId w:val="58"/>
  </w:num>
  <w:num w:numId="44">
    <w:abstractNumId w:val="83"/>
  </w:num>
  <w:num w:numId="45">
    <w:abstractNumId w:val="7"/>
  </w:num>
  <w:num w:numId="4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4"/>
  </w:num>
  <w:num w:numId="48">
    <w:abstractNumId w:val="23"/>
  </w:num>
  <w:num w:numId="49">
    <w:abstractNumId w:val="30"/>
  </w:num>
  <w:num w:numId="50">
    <w:abstractNumId w:val="40"/>
  </w:num>
  <w:num w:numId="51">
    <w:abstractNumId w:val="10"/>
  </w:num>
  <w:num w:numId="52">
    <w:abstractNumId w:val="31"/>
  </w:num>
  <w:num w:numId="53">
    <w:abstractNumId w:val="79"/>
  </w:num>
  <w:num w:numId="54">
    <w:abstractNumId w:val="60"/>
  </w:num>
  <w:num w:numId="55">
    <w:abstractNumId w:val="17"/>
  </w:num>
  <w:num w:numId="56">
    <w:abstractNumId w:val="11"/>
  </w:num>
  <w:num w:numId="57">
    <w:abstractNumId w:val="73"/>
  </w:num>
  <w:num w:numId="58">
    <w:abstractNumId w:val="69"/>
  </w:num>
  <w:num w:numId="59">
    <w:abstractNumId w:val="22"/>
  </w:num>
  <w:num w:numId="60">
    <w:abstractNumId w:val="81"/>
  </w:num>
  <w:num w:numId="61">
    <w:abstractNumId w:val="21"/>
  </w:num>
  <w:num w:numId="62">
    <w:abstractNumId w:val="99"/>
  </w:num>
  <w:num w:numId="63">
    <w:abstractNumId w:val="85"/>
  </w:num>
  <w:num w:numId="64">
    <w:abstractNumId w:val="38"/>
  </w:num>
  <w:num w:numId="65">
    <w:abstractNumId w:val="19"/>
  </w:num>
  <w:num w:numId="66">
    <w:abstractNumId w:val="33"/>
  </w:num>
  <w:num w:numId="67">
    <w:abstractNumId w:val="92"/>
  </w:num>
  <w:num w:numId="68">
    <w:abstractNumId w:val="33"/>
  </w:num>
  <w:num w:numId="69">
    <w:abstractNumId w:val="33"/>
  </w:num>
  <w:num w:numId="70">
    <w:abstractNumId w:val="59"/>
  </w:num>
  <w:num w:numId="71">
    <w:abstractNumId w:val="34"/>
  </w:num>
  <w:num w:numId="72">
    <w:abstractNumId w:val="33"/>
  </w:num>
  <w:num w:numId="73">
    <w:abstractNumId w:val="51"/>
  </w:num>
  <w:num w:numId="74">
    <w:abstractNumId w:val="48"/>
  </w:num>
  <w:num w:numId="7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num>
  <w:num w:numId="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4"/>
  </w:num>
  <w:num w:numId="79">
    <w:abstractNumId w:val="71"/>
  </w:num>
  <w:num w:numId="80">
    <w:abstractNumId w:val="80"/>
  </w:num>
  <w:num w:numId="81">
    <w:abstractNumId w:val="29"/>
  </w:num>
  <w:num w:numId="82">
    <w:abstractNumId w:val="50"/>
  </w:num>
  <w:num w:numId="83">
    <w:abstractNumId w:val="3"/>
  </w:num>
  <w:num w:numId="84">
    <w:abstractNumId w:val="18"/>
  </w:num>
  <w:num w:numId="85">
    <w:abstractNumId w:val="47"/>
  </w:num>
  <w:num w:numId="86">
    <w:abstractNumId w:val="52"/>
  </w:num>
  <w:num w:numId="87">
    <w:abstractNumId w:val="24"/>
  </w:num>
  <w:num w:numId="88">
    <w:abstractNumId w:val="6"/>
  </w:num>
  <w:num w:numId="89">
    <w:abstractNumId w:val="76"/>
  </w:num>
  <w:num w:numId="90">
    <w:abstractNumId w:val="101"/>
  </w:num>
  <w:num w:numId="91">
    <w:abstractNumId w:val="25"/>
  </w:num>
  <w:num w:numId="92">
    <w:abstractNumId w:val="102"/>
  </w:num>
  <w:num w:numId="93">
    <w:abstractNumId w:val="88"/>
  </w:num>
  <w:num w:numId="94">
    <w:abstractNumId w:val="54"/>
  </w:num>
  <w:num w:numId="95">
    <w:abstractNumId w:val="87"/>
  </w:num>
  <w:num w:numId="96">
    <w:abstractNumId w:val="53"/>
  </w:num>
  <w:num w:numId="97">
    <w:abstractNumId w:val="49"/>
  </w:num>
  <w:num w:numId="98">
    <w:abstractNumId w:val="72"/>
  </w:num>
  <w:num w:numId="99">
    <w:abstractNumId w:val="28"/>
  </w:num>
  <w:num w:numId="100">
    <w:abstractNumId w:val="14"/>
  </w:num>
  <w:num w:numId="101">
    <w:abstractNumId w:val="93"/>
  </w:num>
  <w:num w:numId="102">
    <w:abstractNumId w:val="41"/>
  </w:num>
  <w:num w:numId="103">
    <w:abstractNumId w:val="108"/>
  </w:num>
  <w:num w:numId="104">
    <w:abstractNumId w:val="43"/>
  </w:num>
  <w:num w:numId="105">
    <w:abstractNumId w:val="15"/>
  </w:num>
  <w:num w:numId="106">
    <w:abstractNumId w:val="104"/>
  </w:num>
  <w:num w:numId="107">
    <w:abstractNumId w:val="91"/>
  </w:num>
  <w:num w:numId="108">
    <w:abstractNumId w:val="86"/>
  </w:num>
  <w:num w:numId="109">
    <w:abstractNumId w:val="75"/>
  </w:num>
  <w:num w:numId="110">
    <w:abstractNumId w:val="67"/>
  </w:num>
  <w:num w:numId="111">
    <w:abstractNumId w:val="103"/>
  </w:num>
  <w:num w:numId="112">
    <w:abstractNumId w:val="44"/>
  </w:num>
  <w:num w:numId="113">
    <w:abstractNumId w:val="57"/>
  </w:num>
  <w:num w:numId="114">
    <w:abstractNumId w:val="1"/>
  </w:num>
  <w:num w:numId="115">
    <w:abstractNumId w:val="55"/>
  </w:num>
  <w:num w:numId="116">
    <w:abstractNumId w:val="94"/>
  </w:num>
  <w:num w:numId="117">
    <w:abstractNumId w:val="45"/>
  </w:num>
  <w:num w:numId="118">
    <w:abstractNumId w:val="90"/>
  </w:num>
  <w:num w:numId="119">
    <w:abstractNumId w:val="105"/>
  </w:num>
  <w:num w:numId="120">
    <w:abstractNumId w:val="9"/>
  </w:num>
  <w:num w:numId="121">
    <w:abstractNumId w:val="68"/>
  </w:num>
  <w:num w:numId="122">
    <w:abstractNumId w:val="61"/>
  </w:num>
  <w:num w:numId="123">
    <w:abstractNumId w:val="46"/>
  </w:num>
  <w:num w:numId="124">
    <w:abstractNumId w:val="89"/>
  </w:num>
  <w:num w:numId="125">
    <w:abstractNumId w:val="100"/>
  </w:num>
  <w:num w:numId="126">
    <w:abstractNumId w:val="27"/>
  </w:num>
  <w:num w:numId="127">
    <w:abstractNumId w:val="42"/>
  </w:num>
  <w:num w:numId="128">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2"/>
    <w:lvlOverride w:ilvl="0">
      <w:startOverride w:val="8"/>
    </w:lvlOverride>
  </w:num>
  <w:num w:numId="132">
    <w:abstractNumId w:val="8"/>
  </w:num>
  <w:num w:numId="133">
    <w:abstractNumId w:val="77"/>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4BBA97EE-C1F2-4E4E-848A-3AB7885849F8"/>
    <w:docVar w:name="LW_COVERPAGE_TYPE" w:val="1"/>
    <w:docVar w:name="LW_CROSSREFERENCE" w:val="{SEC(2024) 64 final} - {SWD(2024) 63 final} - {SWD(2024) 64 final}"/>
    <w:docVar w:name="LW_DocType" w:val="NORMAL"/>
    <w:docVar w:name="LW_EMISSION" w:val="6.2.2024"/>
    <w:docVar w:name="LW_EMISSION_ISODATE" w:val="2024-02-06"/>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arantir notre avenir_x000d__x000d__x000d__x000b__x000d__x000d__x000d__x000b_Objectif climatique de l\u8217?Europe pour 2040 et voie vers la neutralité climatique à l\u8217?horizon 2050 pour une société durable, juste et prospèr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F22527"/>
    <w:rsid w:val="00000136"/>
    <w:rsid w:val="0000020D"/>
    <w:rsid w:val="0000032A"/>
    <w:rsid w:val="000003B3"/>
    <w:rsid w:val="000003EA"/>
    <w:rsid w:val="00000476"/>
    <w:rsid w:val="0000053B"/>
    <w:rsid w:val="000006AA"/>
    <w:rsid w:val="000008A9"/>
    <w:rsid w:val="00000AD2"/>
    <w:rsid w:val="00000AFE"/>
    <w:rsid w:val="00000C3E"/>
    <w:rsid w:val="000010D6"/>
    <w:rsid w:val="00001118"/>
    <w:rsid w:val="000011B3"/>
    <w:rsid w:val="00001241"/>
    <w:rsid w:val="0000126A"/>
    <w:rsid w:val="000012C9"/>
    <w:rsid w:val="0000142A"/>
    <w:rsid w:val="000014F0"/>
    <w:rsid w:val="0000178A"/>
    <w:rsid w:val="000017FA"/>
    <w:rsid w:val="00001990"/>
    <w:rsid w:val="00001AE0"/>
    <w:rsid w:val="00001CBF"/>
    <w:rsid w:val="00001F36"/>
    <w:rsid w:val="000021AC"/>
    <w:rsid w:val="000021C5"/>
    <w:rsid w:val="00002251"/>
    <w:rsid w:val="000022B9"/>
    <w:rsid w:val="000022C6"/>
    <w:rsid w:val="0000230D"/>
    <w:rsid w:val="000027E1"/>
    <w:rsid w:val="000028A0"/>
    <w:rsid w:val="0000290A"/>
    <w:rsid w:val="00002985"/>
    <w:rsid w:val="00002A6F"/>
    <w:rsid w:val="00002A72"/>
    <w:rsid w:val="00002B1E"/>
    <w:rsid w:val="00002C97"/>
    <w:rsid w:val="00002FF3"/>
    <w:rsid w:val="0000312F"/>
    <w:rsid w:val="000031BE"/>
    <w:rsid w:val="0000329B"/>
    <w:rsid w:val="000033B3"/>
    <w:rsid w:val="0000345B"/>
    <w:rsid w:val="000034DF"/>
    <w:rsid w:val="000034F1"/>
    <w:rsid w:val="00003562"/>
    <w:rsid w:val="00003755"/>
    <w:rsid w:val="00003960"/>
    <w:rsid w:val="00003A06"/>
    <w:rsid w:val="00003A67"/>
    <w:rsid w:val="00003B03"/>
    <w:rsid w:val="00003C61"/>
    <w:rsid w:val="00003CBD"/>
    <w:rsid w:val="00003DDD"/>
    <w:rsid w:val="00003EBE"/>
    <w:rsid w:val="00003F77"/>
    <w:rsid w:val="00003FDB"/>
    <w:rsid w:val="0000452D"/>
    <w:rsid w:val="00004537"/>
    <w:rsid w:val="000045B2"/>
    <w:rsid w:val="0000460D"/>
    <w:rsid w:val="000047E3"/>
    <w:rsid w:val="000047F3"/>
    <w:rsid w:val="00004A21"/>
    <w:rsid w:val="00004A5C"/>
    <w:rsid w:val="00004ABC"/>
    <w:rsid w:val="00004B3F"/>
    <w:rsid w:val="00004CED"/>
    <w:rsid w:val="000050A5"/>
    <w:rsid w:val="000054D3"/>
    <w:rsid w:val="000054E0"/>
    <w:rsid w:val="000054F8"/>
    <w:rsid w:val="00005720"/>
    <w:rsid w:val="0000572E"/>
    <w:rsid w:val="0000575D"/>
    <w:rsid w:val="0000596A"/>
    <w:rsid w:val="00005D06"/>
    <w:rsid w:val="00005E5B"/>
    <w:rsid w:val="00005EE3"/>
    <w:rsid w:val="00006301"/>
    <w:rsid w:val="000064F0"/>
    <w:rsid w:val="0000668D"/>
    <w:rsid w:val="0000681F"/>
    <w:rsid w:val="00006F92"/>
    <w:rsid w:val="0000702B"/>
    <w:rsid w:val="00007352"/>
    <w:rsid w:val="00007392"/>
    <w:rsid w:val="000074B4"/>
    <w:rsid w:val="000075AB"/>
    <w:rsid w:val="000075C1"/>
    <w:rsid w:val="000076CD"/>
    <w:rsid w:val="000078B3"/>
    <w:rsid w:val="00007949"/>
    <w:rsid w:val="00007B61"/>
    <w:rsid w:val="00007D75"/>
    <w:rsid w:val="00007E25"/>
    <w:rsid w:val="00007FCB"/>
    <w:rsid w:val="000100A7"/>
    <w:rsid w:val="000100E3"/>
    <w:rsid w:val="00010168"/>
    <w:rsid w:val="0001023F"/>
    <w:rsid w:val="00010356"/>
    <w:rsid w:val="00010523"/>
    <w:rsid w:val="0001054E"/>
    <w:rsid w:val="00010637"/>
    <w:rsid w:val="00010759"/>
    <w:rsid w:val="00010921"/>
    <w:rsid w:val="00010952"/>
    <w:rsid w:val="000109F7"/>
    <w:rsid w:val="00010A9D"/>
    <w:rsid w:val="00010ADB"/>
    <w:rsid w:val="00010B0B"/>
    <w:rsid w:val="00010BB3"/>
    <w:rsid w:val="00010CF2"/>
    <w:rsid w:val="00010FA7"/>
    <w:rsid w:val="00011060"/>
    <w:rsid w:val="00011167"/>
    <w:rsid w:val="00011365"/>
    <w:rsid w:val="000113D0"/>
    <w:rsid w:val="0001152C"/>
    <w:rsid w:val="0001156A"/>
    <w:rsid w:val="0001160D"/>
    <w:rsid w:val="00011724"/>
    <w:rsid w:val="00011805"/>
    <w:rsid w:val="0001182F"/>
    <w:rsid w:val="00011920"/>
    <w:rsid w:val="00011AFC"/>
    <w:rsid w:val="00011B58"/>
    <w:rsid w:val="00011C1C"/>
    <w:rsid w:val="00011C79"/>
    <w:rsid w:val="00011C92"/>
    <w:rsid w:val="00011E0F"/>
    <w:rsid w:val="00012162"/>
    <w:rsid w:val="000121C8"/>
    <w:rsid w:val="000121D4"/>
    <w:rsid w:val="000122D8"/>
    <w:rsid w:val="0001240A"/>
    <w:rsid w:val="0001240B"/>
    <w:rsid w:val="000125EA"/>
    <w:rsid w:val="00012749"/>
    <w:rsid w:val="00012781"/>
    <w:rsid w:val="0001284E"/>
    <w:rsid w:val="0001289E"/>
    <w:rsid w:val="000129D7"/>
    <w:rsid w:val="00012A0B"/>
    <w:rsid w:val="00012AF9"/>
    <w:rsid w:val="00012B1A"/>
    <w:rsid w:val="00012B36"/>
    <w:rsid w:val="00012FA0"/>
    <w:rsid w:val="00012FB1"/>
    <w:rsid w:val="00013016"/>
    <w:rsid w:val="000131DD"/>
    <w:rsid w:val="000131E9"/>
    <w:rsid w:val="00013259"/>
    <w:rsid w:val="000132DE"/>
    <w:rsid w:val="000135F4"/>
    <w:rsid w:val="0001364C"/>
    <w:rsid w:val="0001365F"/>
    <w:rsid w:val="000137A1"/>
    <w:rsid w:val="00013A57"/>
    <w:rsid w:val="00013A87"/>
    <w:rsid w:val="00013B86"/>
    <w:rsid w:val="00013DEC"/>
    <w:rsid w:val="00013E67"/>
    <w:rsid w:val="00013FED"/>
    <w:rsid w:val="00014176"/>
    <w:rsid w:val="0001448D"/>
    <w:rsid w:val="00014852"/>
    <w:rsid w:val="0001488A"/>
    <w:rsid w:val="00014908"/>
    <w:rsid w:val="00014993"/>
    <w:rsid w:val="00014AF5"/>
    <w:rsid w:val="00014B47"/>
    <w:rsid w:val="00014D6E"/>
    <w:rsid w:val="00014EBC"/>
    <w:rsid w:val="00014FA2"/>
    <w:rsid w:val="00014FF4"/>
    <w:rsid w:val="00015385"/>
    <w:rsid w:val="0001543C"/>
    <w:rsid w:val="000154B2"/>
    <w:rsid w:val="000154DB"/>
    <w:rsid w:val="0001565F"/>
    <w:rsid w:val="00015742"/>
    <w:rsid w:val="000158C5"/>
    <w:rsid w:val="0001595A"/>
    <w:rsid w:val="000159B0"/>
    <w:rsid w:val="00015A73"/>
    <w:rsid w:val="00015A83"/>
    <w:rsid w:val="00015A9E"/>
    <w:rsid w:val="00015B02"/>
    <w:rsid w:val="00015B2D"/>
    <w:rsid w:val="00015C00"/>
    <w:rsid w:val="00015C23"/>
    <w:rsid w:val="00015C8F"/>
    <w:rsid w:val="00015CD9"/>
    <w:rsid w:val="00015DD6"/>
    <w:rsid w:val="00015FDC"/>
    <w:rsid w:val="00016010"/>
    <w:rsid w:val="00016025"/>
    <w:rsid w:val="000161AA"/>
    <w:rsid w:val="000162AD"/>
    <w:rsid w:val="00016337"/>
    <w:rsid w:val="00016499"/>
    <w:rsid w:val="00016863"/>
    <w:rsid w:val="000168A6"/>
    <w:rsid w:val="00016A18"/>
    <w:rsid w:val="00016A40"/>
    <w:rsid w:val="00016B1B"/>
    <w:rsid w:val="00016BAE"/>
    <w:rsid w:val="00016FAD"/>
    <w:rsid w:val="00017034"/>
    <w:rsid w:val="00017490"/>
    <w:rsid w:val="00017492"/>
    <w:rsid w:val="00017835"/>
    <w:rsid w:val="0001790A"/>
    <w:rsid w:val="0001796B"/>
    <w:rsid w:val="00017A49"/>
    <w:rsid w:val="00017C16"/>
    <w:rsid w:val="00017C76"/>
    <w:rsid w:val="00017CF8"/>
    <w:rsid w:val="00017EAA"/>
    <w:rsid w:val="00017F16"/>
    <w:rsid w:val="0002007E"/>
    <w:rsid w:val="0002029F"/>
    <w:rsid w:val="0002030A"/>
    <w:rsid w:val="000204D2"/>
    <w:rsid w:val="0002056C"/>
    <w:rsid w:val="000207D6"/>
    <w:rsid w:val="00020A10"/>
    <w:rsid w:val="00020A47"/>
    <w:rsid w:val="00020BA5"/>
    <w:rsid w:val="00020EB9"/>
    <w:rsid w:val="000215CB"/>
    <w:rsid w:val="00021698"/>
    <w:rsid w:val="00021738"/>
    <w:rsid w:val="00021837"/>
    <w:rsid w:val="00021A8E"/>
    <w:rsid w:val="00021AFE"/>
    <w:rsid w:val="00021B1D"/>
    <w:rsid w:val="00021CF3"/>
    <w:rsid w:val="00021D0B"/>
    <w:rsid w:val="00021D36"/>
    <w:rsid w:val="00021DBF"/>
    <w:rsid w:val="0002205B"/>
    <w:rsid w:val="000221CA"/>
    <w:rsid w:val="000221ED"/>
    <w:rsid w:val="0002222F"/>
    <w:rsid w:val="00022396"/>
    <w:rsid w:val="000227D9"/>
    <w:rsid w:val="00022B9A"/>
    <w:rsid w:val="00022BEE"/>
    <w:rsid w:val="00022C44"/>
    <w:rsid w:val="00022D30"/>
    <w:rsid w:val="00022D35"/>
    <w:rsid w:val="00022D52"/>
    <w:rsid w:val="00022E1F"/>
    <w:rsid w:val="00022FE9"/>
    <w:rsid w:val="00022FF0"/>
    <w:rsid w:val="00023045"/>
    <w:rsid w:val="0002305B"/>
    <w:rsid w:val="0002315C"/>
    <w:rsid w:val="0002322B"/>
    <w:rsid w:val="0002331E"/>
    <w:rsid w:val="0002339F"/>
    <w:rsid w:val="00023418"/>
    <w:rsid w:val="00023521"/>
    <w:rsid w:val="000237A9"/>
    <w:rsid w:val="000237B7"/>
    <w:rsid w:val="0002381A"/>
    <w:rsid w:val="0002384F"/>
    <w:rsid w:val="000238A8"/>
    <w:rsid w:val="000238D8"/>
    <w:rsid w:val="000239FF"/>
    <w:rsid w:val="00023BDC"/>
    <w:rsid w:val="00023C30"/>
    <w:rsid w:val="00023CCA"/>
    <w:rsid w:val="00023E15"/>
    <w:rsid w:val="00023F12"/>
    <w:rsid w:val="00023F68"/>
    <w:rsid w:val="000241C7"/>
    <w:rsid w:val="00024200"/>
    <w:rsid w:val="000245F5"/>
    <w:rsid w:val="0002474D"/>
    <w:rsid w:val="000247A3"/>
    <w:rsid w:val="00024A38"/>
    <w:rsid w:val="00024B36"/>
    <w:rsid w:val="00024E5C"/>
    <w:rsid w:val="00024E9B"/>
    <w:rsid w:val="00024F92"/>
    <w:rsid w:val="00025006"/>
    <w:rsid w:val="00025120"/>
    <w:rsid w:val="00025318"/>
    <w:rsid w:val="0002539C"/>
    <w:rsid w:val="0002540B"/>
    <w:rsid w:val="000254A3"/>
    <w:rsid w:val="000254CF"/>
    <w:rsid w:val="00025589"/>
    <w:rsid w:val="00025652"/>
    <w:rsid w:val="00025711"/>
    <w:rsid w:val="00025773"/>
    <w:rsid w:val="00025A39"/>
    <w:rsid w:val="00025BA0"/>
    <w:rsid w:val="00025C0D"/>
    <w:rsid w:val="00025C3D"/>
    <w:rsid w:val="00025D48"/>
    <w:rsid w:val="00025E67"/>
    <w:rsid w:val="0002617B"/>
    <w:rsid w:val="00026220"/>
    <w:rsid w:val="000263D5"/>
    <w:rsid w:val="000268D0"/>
    <w:rsid w:val="00026B44"/>
    <w:rsid w:val="00026BE1"/>
    <w:rsid w:val="00026F4E"/>
    <w:rsid w:val="00026F99"/>
    <w:rsid w:val="000270B0"/>
    <w:rsid w:val="00027145"/>
    <w:rsid w:val="00027514"/>
    <w:rsid w:val="0002778F"/>
    <w:rsid w:val="0002790D"/>
    <w:rsid w:val="00027C7D"/>
    <w:rsid w:val="00030024"/>
    <w:rsid w:val="00030178"/>
    <w:rsid w:val="0003020E"/>
    <w:rsid w:val="000302E8"/>
    <w:rsid w:val="000302EE"/>
    <w:rsid w:val="00030351"/>
    <w:rsid w:val="000303A2"/>
    <w:rsid w:val="00030487"/>
    <w:rsid w:val="000305C5"/>
    <w:rsid w:val="000305CD"/>
    <w:rsid w:val="00030717"/>
    <w:rsid w:val="00030747"/>
    <w:rsid w:val="000308F7"/>
    <w:rsid w:val="000309CC"/>
    <w:rsid w:val="00030AD8"/>
    <w:rsid w:val="00030B07"/>
    <w:rsid w:val="00030B73"/>
    <w:rsid w:val="00030BA1"/>
    <w:rsid w:val="00030BE7"/>
    <w:rsid w:val="00030C95"/>
    <w:rsid w:val="00030E0C"/>
    <w:rsid w:val="00030FBB"/>
    <w:rsid w:val="0003105E"/>
    <w:rsid w:val="000310F6"/>
    <w:rsid w:val="000311FF"/>
    <w:rsid w:val="000313CF"/>
    <w:rsid w:val="00031465"/>
    <w:rsid w:val="000314EB"/>
    <w:rsid w:val="00031605"/>
    <w:rsid w:val="0003164C"/>
    <w:rsid w:val="00031665"/>
    <w:rsid w:val="00031710"/>
    <w:rsid w:val="0003178A"/>
    <w:rsid w:val="00031796"/>
    <w:rsid w:val="00031829"/>
    <w:rsid w:val="000319F5"/>
    <w:rsid w:val="00031AF9"/>
    <w:rsid w:val="00031C1C"/>
    <w:rsid w:val="00031C86"/>
    <w:rsid w:val="00031DD5"/>
    <w:rsid w:val="00031E2E"/>
    <w:rsid w:val="00032088"/>
    <w:rsid w:val="0003217E"/>
    <w:rsid w:val="0003226B"/>
    <w:rsid w:val="0003240F"/>
    <w:rsid w:val="0003259F"/>
    <w:rsid w:val="000326F2"/>
    <w:rsid w:val="00032713"/>
    <w:rsid w:val="0003272E"/>
    <w:rsid w:val="00032753"/>
    <w:rsid w:val="00032872"/>
    <w:rsid w:val="00032AA8"/>
    <w:rsid w:val="00032C61"/>
    <w:rsid w:val="00032CC3"/>
    <w:rsid w:val="00032D10"/>
    <w:rsid w:val="00032E32"/>
    <w:rsid w:val="00032F17"/>
    <w:rsid w:val="0003309C"/>
    <w:rsid w:val="000330A9"/>
    <w:rsid w:val="00033292"/>
    <w:rsid w:val="000332A0"/>
    <w:rsid w:val="0003340C"/>
    <w:rsid w:val="000335C7"/>
    <w:rsid w:val="000336B1"/>
    <w:rsid w:val="0003378B"/>
    <w:rsid w:val="000338CA"/>
    <w:rsid w:val="00033AB6"/>
    <w:rsid w:val="00033B86"/>
    <w:rsid w:val="00033BAD"/>
    <w:rsid w:val="00033C53"/>
    <w:rsid w:val="00033CF5"/>
    <w:rsid w:val="00033D10"/>
    <w:rsid w:val="00033F31"/>
    <w:rsid w:val="00033F42"/>
    <w:rsid w:val="00034014"/>
    <w:rsid w:val="00034072"/>
    <w:rsid w:val="00034123"/>
    <w:rsid w:val="00034621"/>
    <w:rsid w:val="000346FE"/>
    <w:rsid w:val="00034812"/>
    <w:rsid w:val="00034983"/>
    <w:rsid w:val="000349CA"/>
    <w:rsid w:val="00034B33"/>
    <w:rsid w:val="00034CAC"/>
    <w:rsid w:val="00034D07"/>
    <w:rsid w:val="00034DA3"/>
    <w:rsid w:val="00034E1C"/>
    <w:rsid w:val="00034E31"/>
    <w:rsid w:val="00034E9F"/>
    <w:rsid w:val="00034F33"/>
    <w:rsid w:val="000350AB"/>
    <w:rsid w:val="00035112"/>
    <w:rsid w:val="00035153"/>
    <w:rsid w:val="000352FF"/>
    <w:rsid w:val="00035376"/>
    <w:rsid w:val="0003554D"/>
    <w:rsid w:val="000355F4"/>
    <w:rsid w:val="00035653"/>
    <w:rsid w:val="00035A1F"/>
    <w:rsid w:val="00035C22"/>
    <w:rsid w:val="00035C35"/>
    <w:rsid w:val="00035CE3"/>
    <w:rsid w:val="00035F0C"/>
    <w:rsid w:val="00035F84"/>
    <w:rsid w:val="000360D1"/>
    <w:rsid w:val="00036100"/>
    <w:rsid w:val="0003657F"/>
    <w:rsid w:val="000366BB"/>
    <w:rsid w:val="00036799"/>
    <w:rsid w:val="000367A6"/>
    <w:rsid w:val="000367AF"/>
    <w:rsid w:val="000367BA"/>
    <w:rsid w:val="00036892"/>
    <w:rsid w:val="00036949"/>
    <w:rsid w:val="00036957"/>
    <w:rsid w:val="000369FE"/>
    <w:rsid w:val="00036A3D"/>
    <w:rsid w:val="00036AA2"/>
    <w:rsid w:val="00036C4C"/>
    <w:rsid w:val="00036D7B"/>
    <w:rsid w:val="00036E7D"/>
    <w:rsid w:val="00036FAC"/>
    <w:rsid w:val="0003700C"/>
    <w:rsid w:val="00037184"/>
    <w:rsid w:val="00037195"/>
    <w:rsid w:val="000372FE"/>
    <w:rsid w:val="0003739E"/>
    <w:rsid w:val="00037435"/>
    <w:rsid w:val="0003753A"/>
    <w:rsid w:val="000375A5"/>
    <w:rsid w:val="000377C5"/>
    <w:rsid w:val="000378D5"/>
    <w:rsid w:val="00037A23"/>
    <w:rsid w:val="00037D5A"/>
    <w:rsid w:val="00037ED6"/>
    <w:rsid w:val="00037FBE"/>
    <w:rsid w:val="00040026"/>
    <w:rsid w:val="0004002D"/>
    <w:rsid w:val="00040091"/>
    <w:rsid w:val="00040167"/>
    <w:rsid w:val="000401E9"/>
    <w:rsid w:val="00040458"/>
    <w:rsid w:val="00040480"/>
    <w:rsid w:val="00040508"/>
    <w:rsid w:val="00040731"/>
    <w:rsid w:val="00040796"/>
    <w:rsid w:val="00040802"/>
    <w:rsid w:val="00040868"/>
    <w:rsid w:val="00040968"/>
    <w:rsid w:val="00040991"/>
    <w:rsid w:val="00040B28"/>
    <w:rsid w:val="00040E0D"/>
    <w:rsid w:val="00040E16"/>
    <w:rsid w:val="00040FAE"/>
    <w:rsid w:val="00040FFE"/>
    <w:rsid w:val="000410CE"/>
    <w:rsid w:val="000410E0"/>
    <w:rsid w:val="00041187"/>
    <w:rsid w:val="000411D6"/>
    <w:rsid w:val="0004125E"/>
    <w:rsid w:val="0004146F"/>
    <w:rsid w:val="0004151C"/>
    <w:rsid w:val="0004154D"/>
    <w:rsid w:val="00041595"/>
    <w:rsid w:val="00041603"/>
    <w:rsid w:val="00041734"/>
    <w:rsid w:val="00041770"/>
    <w:rsid w:val="000417C7"/>
    <w:rsid w:val="00041831"/>
    <w:rsid w:val="00041946"/>
    <w:rsid w:val="00041A5B"/>
    <w:rsid w:val="00041CD9"/>
    <w:rsid w:val="00041D22"/>
    <w:rsid w:val="00041D9F"/>
    <w:rsid w:val="00041EED"/>
    <w:rsid w:val="00042112"/>
    <w:rsid w:val="0004219E"/>
    <w:rsid w:val="000421E0"/>
    <w:rsid w:val="000424FC"/>
    <w:rsid w:val="00042570"/>
    <w:rsid w:val="00042686"/>
    <w:rsid w:val="000426C3"/>
    <w:rsid w:val="000426D0"/>
    <w:rsid w:val="00042735"/>
    <w:rsid w:val="00042C86"/>
    <w:rsid w:val="0004307D"/>
    <w:rsid w:val="000431B8"/>
    <w:rsid w:val="00043252"/>
    <w:rsid w:val="000433D2"/>
    <w:rsid w:val="000434CF"/>
    <w:rsid w:val="000434D2"/>
    <w:rsid w:val="0004370C"/>
    <w:rsid w:val="000437A6"/>
    <w:rsid w:val="000437A8"/>
    <w:rsid w:val="00043863"/>
    <w:rsid w:val="00043967"/>
    <w:rsid w:val="000439A8"/>
    <w:rsid w:val="00043ACB"/>
    <w:rsid w:val="00043C8E"/>
    <w:rsid w:val="00043D22"/>
    <w:rsid w:val="00043D2B"/>
    <w:rsid w:val="00043D62"/>
    <w:rsid w:val="0004419B"/>
    <w:rsid w:val="00044241"/>
    <w:rsid w:val="000442F1"/>
    <w:rsid w:val="000442F8"/>
    <w:rsid w:val="000443D4"/>
    <w:rsid w:val="000443E3"/>
    <w:rsid w:val="00044547"/>
    <w:rsid w:val="0004470A"/>
    <w:rsid w:val="0004489F"/>
    <w:rsid w:val="00044909"/>
    <w:rsid w:val="00044938"/>
    <w:rsid w:val="00044B34"/>
    <w:rsid w:val="00044FAE"/>
    <w:rsid w:val="00044FBB"/>
    <w:rsid w:val="00045169"/>
    <w:rsid w:val="000451CD"/>
    <w:rsid w:val="00045291"/>
    <w:rsid w:val="00045372"/>
    <w:rsid w:val="000453A3"/>
    <w:rsid w:val="000453F3"/>
    <w:rsid w:val="00045431"/>
    <w:rsid w:val="0004566F"/>
    <w:rsid w:val="000457E0"/>
    <w:rsid w:val="00045887"/>
    <w:rsid w:val="000458BF"/>
    <w:rsid w:val="00045A15"/>
    <w:rsid w:val="00045A88"/>
    <w:rsid w:val="00045C1A"/>
    <w:rsid w:val="00045FBA"/>
    <w:rsid w:val="000461D8"/>
    <w:rsid w:val="000461E0"/>
    <w:rsid w:val="000461F5"/>
    <w:rsid w:val="000462E8"/>
    <w:rsid w:val="00046425"/>
    <w:rsid w:val="00046445"/>
    <w:rsid w:val="000465B4"/>
    <w:rsid w:val="0004666D"/>
    <w:rsid w:val="0004667A"/>
    <w:rsid w:val="00046755"/>
    <w:rsid w:val="00046794"/>
    <w:rsid w:val="00046A8C"/>
    <w:rsid w:val="00046C12"/>
    <w:rsid w:val="00046E74"/>
    <w:rsid w:val="00046F12"/>
    <w:rsid w:val="00046F9C"/>
    <w:rsid w:val="0004704F"/>
    <w:rsid w:val="00047087"/>
    <w:rsid w:val="000470BF"/>
    <w:rsid w:val="000473A1"/>
    <w:rsid w:val="00047452"/>
    <w:rsid w:val="000475E8"/>
    <w:rsid w:val="00047786"/>
    <w:rsid w:val="00047B4F"/>
    <w:rsid w:val="00047CEC"/>
    <w:rsid w:val="00047E7B"/>
    <w:rsid w:val="00047EF5"/>
    <w:rsid w:val="00050080"/>
    <w:rsid w:val="00050149"/>
    <w:rsid w:val="00050301"/>
    <w:rsid w:val="000505A8"/>
    <w:rsid w:val="000506C2"/>
    <w:rsid w:val="00050ACC"/>
    <w:rsid w:val="00050B31"/>
    <w:rsid w:val="00050B63"/>
    <w:rsid w:val="00050CCC"/>
    <w:rsid w:val="00050D06"/>
    <w:rsid w:val="00050D14"/>
    <w:rsid w:val="00050F34"/>
    <w:rsid w:val="000511FF"/>
    <w:rsid w:val="00051303"/>
    <w:rsid w:val="000514CD"/>
    <w:rsid w:val="000514DE"/>
    <w:rsid w:val="00051662"/>
    <w:rsid w:val="00051713"/>
    <w:rsid w:val="00051850"/>
    <w:rsid w:val="00051855"/>
    <w:rsid w:val="00051944"/>
    <w:rsid w:val="000519B6"/>
    <w:rsid w:val="00051AE3"/>
    <w:rsid w:val="00051B5E"/>
    <w:rsid w:val="00051DB3"/>
    <w:rsid w:val="00051DC8"/>
    <w:rsid w:val="00051FFE"/>
    <w:rsid w:val="00052156"/>
    <w:rsid w:val="000521F8"/>
    <w:rsid w:val="00052235"/>
    <w:rsid w:val="00052454"/>
    <w:rsid w:val="00052506"/>
    <w:rsid w:val="00052770"/>
    <w:rsid w:val="00052ABF"/>
    <w:rsid w:val="00052B3E"/>
    <w:rsid w:val="00052B45"/>
    <w:rsid w:val="00052B8A"/>
    <w:rsid w:val="00052F4F"/>
    <w:rsid w:val="00052F8A"/>
    <w:rsid w:val="00053186"/>
    <w:rsid w:val="000533F6"/>
    <w:rsid w:val="00053505"/>
    <w:rsid w:val="0005377E"/>
    <w:rsid w:val="000537DA"/>
    <w:rsid w:val="0005392F"/>
    <w:rsid w:val="00053D4B"/>
    <w:rsid w:val="00053F69"/>
    <w:rsid w:val="00053FEB"/>
    <w:rsid w:val="000540E7"/>
    <w:rsid w:val="00054200"/>
    <w:rsid w:val="00054205"/>
    <w:rsid w:val="0005427A"/>
    <w:rsid w:val="000545B6"/>
    <w:rsid w:val="00054646"/>
    <w:rsid w:val="000546D5"/>
    <w:rsid w:val="000547F7"/>
    <w:rsid w:val="00054949"/>
    <w:rsid w:val="00054C0F"/>
    <w:rsid w:val="00054C25"/>
    <w:rsid w:val="00054D1D"/>
    <w:rsid w:val="00054E22"/>
    <w:rsid w:val="00054EF5"/>
    <w:rsid w:val="00054F6E"/>
    <w:rsid w:val="00055236"/>
    <w:rsid w:val="00055541"/>
    <w:rsid w:val="000555EB"/>
    <w:rsid w:val="00055637"/>
    <w:rsid w:val="000558B9"/>
    <w:rsid w:val="00055D1E"/>
    <w:rsid w:val="00055D26"/>
    <w:rsid w:val="00055D8C"/>
    <w:rsid w:val="00055F44"/>
    <w:rsid w:val="00055F61"/>
    <w:rsid w:val="00055F71"/>
    <w:rsid w:val="0005621A"/>
    <w:rsid w:val="00056265"/>
    <w:rsid w:val="000563A3"/>
    <w:rsid w:val="0005647E"/>
    <w:rsid w:val="0005660A"/>
    <w:rsid w:val="00056688"/>
    <w:rsid w:val="000569A6"/>
    <w:rsid w:val="00056B4E"/>
    <w:rsid w:val="00056B75"/>
    <w:rsid w:val="00056E09"/>
    <w:rsid w:val="00056EAC"/>
    <w:rsid w:val="00056F1E"/>
    <w:rsid w:val="00057208"/>
    <w:rsid w:val="000572BE"/>
    <w:rsid w:val="00057320"/>
    <w:rsid w:val="0005747C"/>
    <w:rsid w:val="0005756C"/>
    <w:rsid w:val="0005762D"/>
    <w:rsid w:val="00057630"/>
    <w:rsid w:val="000576C9"/>
    <w:rsid w:val="00057798"/>
    <w:rsid w:val="00057905"/>
    <w:rsid w:val="00057A82"/>
    <w:rsid w:val="00057C26"/>
    <w:rsid w:val="00057CF8"/>
    <w:rsid w:val="00060080"/>
    <w:rsid w:val="0006036C"/>
    <w:rsid w:val="000603EC"/>
    <w:rsid w:val="00060540"/>
    <w:rsid w:val="000605D6"/>
    <w:rsid w:val="000605E0"/>
    <w:rsid w:val="00060616"/>
    <w:rsid w:val="0006061F"/>
    <w:rsid w:val="000606C2"/>
    <w:rsid w:val="000607DA"/>
    <w:rsid w:val="000608C7"/>
    <w:rsid w:val="000608CE"/>
    <w:rsid w:val="000608EA"/>
    <w:rsid w:val="000608F0"/>
    <w:rsid w:val="00060B83"/>
    <w:rsid w:val="00060BE8"/>
    <w:rsid w:val="00060C09"/>
    <w:rsid w:val="00060CFB"/>
    <w:rsid w:val="00060D0C"/>
    <w:rsid w:val="00060FE6"/>
    <w:rsid w:val="00061099"/>
    <w:rsid w:val="0006127A"/>
    <w:rsid w:val="0006129D"/>
    <w:rsid w:val="000612CF"/>
    <w:rsid w:val="000613D6"/>
    <w:rsid w:val="0006151C"/>
    <w:rsid w:val="000615F7"/>
    <w:rsid w:val="000617EA"/>
    <w:rsid w:val="00061B16"/>
    <w:rsid w:val="00061B26"/>
    <w:rsid w:val="00061B82"/>
    <w:rsid w:val="00061DCB"/>
    <w:rsid w:val="00061ECB"/>
    <w:rsid w:val="00061EE0"/>
    <w:rsid w:val="0006201B"/>
    <w:rsid w:val="000622E3"/>
    <w:rsid w:val="0006237C"/>
    <w:rsid w:val="00062467"/>
    <w:rsid w:val="000625BC"/>
    <w:rsid w:val="000626AD"/>
    <w:rsid w:val="000629F7"/>
    <w:rsid w:val="00062A16"/>
    <w:rsid w:val="00062B4C"/>
    <w:rsid w:val="00062C90"/>
    <w:rsid w:val="00062E01"/>
    <w:rsid w:val="00062F25"/>
    <w:rsid w:val="00062F33"/>
    <w:rsid w:val="0006303D"/>
    <w:rsid w:val="00063132"/>
    <w:rsid w:val="00063239"/>
    <w:rsid w:val="000632C5"/>
    <w:rsid w:val="00063342"/>
    <w:rsid w:val="0006353E"/>
    <w:rsid w:val="0006354C"/>
    <w:rsid w:val="000635E7"/>
    <w:rsid w:val="0006366E"/>
    <w:rsid w:val="00063978"/>
    <w:rsid w:val="000639ED"/>
    <w:rsid w:val="00063D30"/>
    <w:rsid w:val="00063DC7"/>
    <w:rsid w:val="00063F9F"/>
    <w:rsid w:val="0006408E"/>
    <w:rsid w:val="0006409C"/>
    <w:rsid w:val="0006457D"/>
    <w:rsid w:val="00064621"/>
    <w:rsid w:val="00064670"/>
    <w:rsid w:val="000649EB"/>
    <w:rsid w:val="00064A5C"/>
    <w:rsid w:val="00064ACC"/>
    <w:rsid w:val="00064AD2"/>
    <w:rsid w:val="00064B6C"/>
    <w:rsid w:val="00064B7B"/>
    <w:rsid w:val="00064CC0"/>
    <w:rsid w:val="00064D5C"/>
    <w:rsid w:val="00064FB5"/>
    <w:rsid w:val="0006549A"/>
    <w:rsid w:val="000654C2"/>
    <w:rsid w:val="000654CA"/>
    <w:rsid w:val="00065691"/>
    <w:rsid w:val="000657BB"/>
    <w:rsid w:val="000659F2"/>
    <w:rsid w:val="00065AF7"/>
    <w:rsid w:val="00065EAF"/>
    <w:rsid w:val="00065F4A"/>
    <w:rsid w:val="00066173"/>
    <w:rsid w:val="000662F1"/>
    <w:rsid w:val="00066449"/>
    <w:rsid w:val="00066625"/>
    <w:rsid w:val="00066774"/>
    <w:rsid w:val="0006681C"/>
    <w:rsid w:val="0006689B"/>
    <w:rsid w:val="000668D3"/>
    <w:rsid w:val="000669CD"/>
    <w:rsid w:val="00066EE2"/>
    <w:rsid w:val="00067205"/>
    <w:rsid w:val="00067483"/>
    <w:rsid w:val="00067527"/>
    <w:rsid w:val="00067B0A"/>
    <w:rsid w:val="00067BED"/>
    <w:rsid w:val="00067C6B"/>
    <w:rsid w:val="00067DA8"/>
    <w:rsid w:val="00067DE0"/>
    <w:rsid w:val="00067F74"/>
    <w:rsid w:val="00067FDF"/>
    <w:rsid w:val="0007002B"/>
    <w:rsid w:val="0007005E"/>
    <w:rsid w:val="00070159"/>
    <w:rsid w:val="000701FD"/>
    <w:rsid w:val="000703A1"/>
    <w:rsid w:val="00070576"/>
    <w:rsid w:val="000705B8"/>
    <w:rsid w:val="000706E6"/>
    <w:rsid w:val="000706F2"/>
    <w:rsid w:val="00070746"/>
    <w:rsid w:val="00070776"/>
    <w:rsid w:val="0007081E"/>
    <w:rsid w:val="000709A2"/>
    <w:rsid w:val="000709E7"/>
    <w:rsid w:val="00070D0B"/>
    <w:rsid w:val="00070DC9"/>
    <w:rsid w:val="00070FB4"/>
    <w:rsid w:val="00070FBB"/>
    <w:rsid w:val="00071124"/>
    <w:rsid w:val="000711C1"/>
    <w:rsid w:val="00071278"/>
    <w:rsid w:val="000714C4"/>
    <w:rsid w:val="000715AA"/>
    <w:rsid w:val="0007164F"/>
    <w:rsid w:val="00071658"/>
    <w:rsid w:val="00071824"/>
    <w:rsid w:val="000718CF"/>
    <w:rsid w:val="00072091"/>
    <w:rsid w:val="00072093"/>
    <w:rsid w:val="0007214E"/>
    <w:rsid w:val="00072197"/>
    <w:rsid w:val="000721FD"/>
    <w:rsid w:val="00072604"/>
    <w:rsid w:val="000727C4"/>
    <w:rsid w:val="00072971"/>
    <w:rsid w:val="00072995"/>
    <w:rsid w:val="00072AA3"/>
    <w:rsid w:val="00072BC1"/>
    <w:rsid w:val="00072D09"/>
    <w:rsid w:val="00072DD0"/>
    <w:rsid w:val="00072EBB"/>
    <w:rsid w:val="00072EE5"/>
    <w:rsid w:val="00072F7C"/>
    <w:rsid w:val="0007308F"/>
    <w:rsid w:val="000730FA"/>
    <w:rsid w:val="00073312"/>
    <w:rsid w:val="0007338F"/>
    <w:rsid w:val="000733FC"/>
    <w:rsid w:val="000734E1"/>
    <w:rsid w:val="00073911"/>
    <w:rsid w:val="000739F4"/>
    <w:rsid w:val="00073B89"/>
    <w:rsid w:val="00073BA4"/>
    <w:rsid w:val="00073BE3"/>
    <w:rsid w:val="00073C7D"/>
    <w:rsid w:val="00073D54"/>
    <w:rsid w:val="00073DBD"/>
    <w:rsid w:val="00073E54"/>
    <w:rsid w:val="00073F5F"/>
    <w:rsid w:val="0007403A"/>
    <w:rsid w:val="000740A2"/>
    <w:rsid w:val="00074268"/>
    <w:rsid w:val="00074322"/>
    <w:rsid w:val="0007453A"/>
    <w:rsid w:val="000746AA"/>
    <w:rsid w:val="000746D0"/>
    <w:rsid w:val="00074843"/>
    <w:rsid w:val="000748A8"/>
    <w:rsid w:val="00074937"/>
    <w:rsid w:val="00074A47"/>
    <w:rsid w:val="00074A7C"/>
    <w:rsid w:val="00074B75"/>
    <w:rsid w:val="00074C61"/>
    <w:rsid w:val="00074F36"/>
    <w:rsid w:val="00074FCD"/>
    <w:rsid w:val="00074FFE"/>
    <w:rsid w:val="0007504B"/>
    <w:rsid w:val="00075265"/>
    <w:rsid w:val="00075286"/>
    <w:rsid w:val="00075302"/>
    <w:rsid w:val="0007530B"/>
    <w:rsid w:val="000754C6"/>
    <w:rsid w:val="00075527"/>
    <w:rsid w:val="000755C4"/>
    <w:rsid w:val="0007567E"/>
    <w:rsid w:val="00075A55"/>
    <w:rsid w:val="00075BAC"/>
    <w:rsid w:val="00075BCD"/>
    <w:rsid w:val="00075BD1"/>
    <w:rsid w:val="00075C4D"/>
    <w:rsid w:val="00075CF2"/>
    <w:rsid w:val="00075E75"/>
    <w:rsid w:val="00075E9F"/>
    <w:rsid w:val="00075F9E"/>
    <w:rsid w:val="000760D6"/>
    <w:rsid w:val="0007610F"/>
    <w:rsid w:val="00076150"/>
    <w:rsid w:val="00076168"/>
    <w:rsid w:val="00076192"/>
    <w:rsid w:val="000761D4"/>
    <w:rsid w:val="000762A4"/>
    <w:rsid w:val="0007652B"/>
    <w:rsid w:val="000766B4"/>
    <w:rsid w:val="00076730"/>
    <w:rsid w:val="000767ED"/>
    <w:rsid w:val="00076869"/>
    <w:rsid w:val="00076B87"/>
    <w:rsid w:val="00076BF7"/>
    <w:rsid w:val="00076CA6"/>
    <w:rsid w:val="00077307"/>
    <w:rsid w:val="00077484"/>
    <w:rsid w:val="000776FE"/>
    <w:rsid w:val="00077828"/>
    <w:rsid w:val="0007784E"/>
    <w:rsid w:val="0007798B"/>
    <w:rsid w:val="000779D5"/>
    <w:rsid w:val="00077ADA"/>
    <w:rsid w:val="00077C37"/>
    <w:rsid w:val="00077D52"/>
    <w:rsid w:val="00077ED2"/>
    <w:rsid w:val="00077F51"/>
    <w:rsid w:val="00080162"/>
    <w:rsid w:val="000801E1"/>
    <w:rsid w:val="000802CB"/>
    <w:rsid w:val="000804E1"/>
    <w:rsid w:val="0008071C"/>
    <w:rsid w:val="0008091B"/>
    <w:rsid w:val="00080999"/>
    <w:rsid w:val="00080A04"/>
    <w:rsid w:val="00080AE9"/>
    <w:rsid w:val="00080B9D"/>
    <w:rsid w:val="00080BEF"/>
    <w:rsid w:val="00080BF8"/>
    <w:rsid w:val="00080BFF"/>
    <w:rsid w:val="00080EB5"/>
    <w:rsid w:val="00080EB8"/>
    <w:rsid w:val="00080F1E"/>
    <w:rsid w:val="00080FC3"/>
    <w:rsid w:val="000810B5"/>
    <w:rsid w:val="000811A9"/>
    <w:rsid w:val="000814BC"/>
    <w:rsid w:val="00081519"/>
    <w:rsid w:val="00081552"/>
    <w:rsid w:val="00081555"/>
    <w:rsid w:val="00081573"/>
    <w:rsid w:val="000817D1"/>
    <w:rsid w:val="00081AAE"/>
    <w:rsid w:val="00081BAE"/>
    <w:rsid w:val="00081C77"/>
    <w:rsid w:val="00081ED6"/>
    <w:rsid w:val="00081F78"/>
    <w:rsid w:val="000820B1"/>
    <w:rsid w:val="00082118"/>
    <w:rsid w:val="000821CB"/>
    <w:rsid w:val="00082201"/>
    <w:rsid w:val="000822BF"/>
    <w:rsid w:val="00082310"/>
    <w:rsid w:val="00082511"/>
    <w:rsid w:val="000825B0"/>
    <w:rsid w:val="00082662"/>
    <w:rsid w:val="00082906"/>
    <w:rsid w:val="00082A80"/>
    <w:rsid w:val="00082B1F"/>
    <w:rsid w:val="00082BF9"/>
    <w:rsid w:val="00082C92"/>
    <w:rsid w:val="00082E09"/>
    <w:rsid w:val="00082EFF"/>
    <w:rsid w:val="00082F47"/>
    <w:rsid w:val="0008325B"/>
    <w:rsid w:val="000832CD"/>
    <w:rsid w:val="00083321"/>
    <w:rsid w:val="00083353"/>
    <w:rsid w:val="0008374C"/>
    <w:rsid w:val="000837BE"/>
    <w:rsid w:val="0008393D"/>
    <w:rsid w:val="0008394F"/>
    <w:rsid w:val="00083A26"/>
    <w:rsid w:val="00083BA9"/>
    <w:rsid w:val="00083E3D"/>
    <w:rsid w:val="00083EA8"/>
    <w:rsid w:val="00083F2C"/>
    <w:rsid w:val="00083F48"/>
    <w:rsid w:val="00084133"/>
    <w:rsid w:val="0008413C"/>
    <w:rsid w:val="00084163"/>
    <w:rsid w:val="00084325"/>
    <w:rsid w:val="00084398"/>
    <w:rsid w:val="000844F1"/>
    <w:rsid w:val="000844FC"/>
    <w:rsid w:val="0008458C"/>
    <w:rsid w:val="0008461A"/>
    <w:rsid w:val="0008463B"/>
    <w:rsid w:val="000847F1"/>
    <w:rsid w:val="00084C51"/>
    <w:rsid w:val="00084E21"/>
    <w:rsid w:val="00084F4A"/>
    <w:rsid w:val="00084FC0"/>
    <w:rsid w:val="000850D9"/>
    <w:rsid w:val="000853C9"/>
    <w:rsid w:val="000856FC"/>
    <w:rsid w:val="00085733"/>
    <w:rsid w:val="000857C3"/>
    <w:rsid w:val="0008598E"/>
    <w:rsid w:val="000859BF"/>
    <w:rsid w:val="00085B10"/>
    <w:rsid w:val="00085B69"/>
    <w:rsid w:val="00085D6C"/>
    <w:rsid w:val="00085D6F"/>
    <w:rsid w:val="00085E84"/>
    <w:rsid w:val="0008625C"/>
    <w:rsid w:val="000865A2"/>
    <w:rsid w:val="00086671"/>
    <w:rsid w:val="00086710"/>
    <w:rsid w:val="000868BC"/>
    <w:rsid w:val="00086CF4"/>
    <w:rsid w:val="00086D4E"/>
    <w:rsid w:val="00086D7D"/>
    <w:rsid w:val="00086F9D"/>
    <w:rsid w:val="0008707B"/>
    <w:rsid w:val="000871ED"/>
    <w:rsid w:val="00087583"/>
    <w:rsid w:val="000875BC"/>
    <w:rsid w:val="00087714"/>
    <w:rsid w:val="000877CB"/>
    <w:rsid w:val="00087D1A"/>
    <w:rsid w:val="00087E80"/>
    <w:rsid w:val="00087ED3"/>
    <w:rsid w:val="00087EFD"/>
    <w:rsid w:val="00087FEC"/>
    <w:rsid w:val="00090166"/>
    <w:rsid w:val="000901ED"/>
    <w:rsid w:val="00090378"/>
    <w:rsid w:val="00090782"/>
    <w:rsid w:val="00090825"/>
    <w:rsid w:val="00090861"/>
    <w:rsid w:val="00090AC8"/>
    <w:rsid w:val="00090BE0"/>
    <w:rsid w:val="00090D0C"/>
    <w:rsid w:val="00090DEC"/>
    <w:rsid w:val="00090F52"/>
    <w:rsid w:val="00090F73"/>
    <w:rsid w:val="00090FEA"/>
    <w:rsid w:val="000910D4"/>
    <w:rsid w:val="00091349"/>
    <w:rsid w:val="00091504"/>
    <w:rsid w:val="0009168E"/>
    <w:rsid w:val="000916A8"/>
    <w:rsid w:val="00091735"/>
    <w:rsid w:val="00091843"/>
    <w:rsid w:val="0009188D"/>
    <w:rsid w:val="0009188E"/>
    <w:rsid w:val="000918DC"/>
    <w:rsid w:val="000918E7"/>
    <w:rsid w:val="00091B45"/>
    <w:rsid w:val="00091B48"/>
    <w:rsid w:val="00091BBC"/>
    <w:rsid w:val="00091D04"/>
    <w:rsid w:val="00091D61"/>
    <w:rsid w:val="00091EA9"/>
    <w:rsid w:val="0009217D"/>
    <w:rsid w:val="000923AF"/>
    <w:rsid w:val="000923CC"/>
    <w:rsid w:val="0009249C"/>
    <w:rsid w:val="00092684"/>
    <w:rsid w:val="00092792"/>
    <w:rsid w:val="0009285B"/>
    <w:rsid w:val="00092925"/>
    <w:rsid w:val="000929C7"/>
    <w:rsid w:val="00092AE1"/>
    <w:rsid w:val="00092B9B"/>
    <w:rsid w:val="00092D09"/>
    <w:rsid w:val="00092D2D"/>
    <w:rsid w:val="00092D61"/>
    <w:rsid w:val="00092F45"/>
    <w:rsid w:val="00093042"/>
    <w:rsid w:val="00093060"/>
    <w:rsid w:val="00093196"/>
    <w:rsid w:val="0009348F"/>
    <w:rsid w:val="000934FD"/>
    <w:rsid w:val="000935DC"/>
    <w:rsid w:val="00093993"/>
    <w:rsid w:val="00093A25"/>
    <w:rsid w:val="00093C80"/>
    <w:rsid w:val="00093EC9"/>
    <w:rsid w:val="000941D3"/>
    <w:rsid w:val="0009434B"/>
    <w:rsid w:val="000943F8"/>
    <w:rsid w:val="00094486"/>
    <w:rsid w:val="000944DB"/>
    <w:rsid w:val="0009461F"/>
    <w:rsid w:val="0009465B"/>
    <w:rsid w:val="0009473E"/>
    <w:rsid w:val="00094871"/>
    <w:rsid w:val="0009498F"/>
    <w:rsid w:val="000949D8"/>
    <w:rsid w:val="000949EC"/>
    <w:rsid w:val="00094A44"/>
    <w:rsid w:val="00094A72"/>
    <w:rsid w:val="00094D1F"/>
    <w:rsid w:val="00095031"/>
    <w:rsid w:val="000956DA"/>
    <w:rsid w:val="0009576A"/>
    <w:rsid w:val="0009591D"/>
    <w:rsid w:val="00095D66"/>
    <w:rsid w:val="00095EE9"/>
    <w:rsid w:val="0009619A"/>
    <w:rsid w:val="000961EF"/>
    <w:rsid w:val="00096225"/>
    <w:rsid w:val="00096238"/>
    <w:rsid w:val="00096623"/>
    <w:rsid w:val="00096691"/>
    <w:rsid w:val="000969DA"/>
    <w:rsid w:val="00096A17"/>
    <w:rsid w:val="00096B16"/>
    <w:rsid w:val="00096D97"/>
    <w:rsid w:val="0009702F"/>
    <w:rsid w:val="000970B0"/>
    <w:rsid w:val="000970D8"/>
    <w:rsid w:val="00097295"/>
    <w:rsid w:val="00097354"/>
    <w:rsid w:val="000973C8"/>
    <w:rsid w:val="000975B4"/>
    <w:rsid w:val="00097684"/>
    <w:rsid w:val="00097D92"/>
    <w:rsid w:val="00097DA0"/>
    <w:rsid w:val="00097DB8"/>
    <w:rsid w:val="00097DF3"/>
    <w:rsid w:val="00097E2B"/>
    <w:rsid w:val="00097EA2"/>
    <w:rsid w:val="00097ECA"/>
    <w:rsid w:val="000A03D1"/>
    <w:rsid w:val="000A0484"/>
    <w:rsid w:val="000A05E2"/>
    <w:rsid w:val="000A0774"/>
    <w:rsid w:val="000A083B"/>
    <w:rsid w:val="000A08AC"/>
    <w:rsid w:val="000A098D"/>
    <w:rsid w:val="000A0A3A"/>
    <w:rsid w:val="000A0BA7"/>
    <w:rsid w:val="000A0BE8"/>
    <w:rsid w:val="000A0CC8"/>
    <w:rsid w:val="000A0E3E"/>
    <w:rsid w:val="000A109E"/>
    <w:rsid w:val="000A12BE"/>
    <w:rsid w:val="000A13BC"/>
    <w:rsid w:val="000A1508"/>
    <w:rsid w:val="000A1563"/>
    <w:rsid w:val="000A158B"/>
    <w:rsid w:val="000A161F"/>
    <w:rsid w:val="000A162E"/>
    <w:rsid w:val="000A18F2"/>
    <w:rsid w:val="000A1BF7"/>
    <w:rsid w:val="000A1C06"/>
    <w:rsid w:val="000A1C3A"/>
    <w:rsid w:val="000A1C52"/>
    <w:rsid w:val="000A1EA8"/>
    <w:rsid w:val="000A1F22"/>
    <w:rsid w:val="000A201E"/>
    <w:rsid w:val="000A254A"/>
    <w:rsid w:val="000A26B8"/>
    <w:rsid w:val="000A26E4"/>
    <w:rsid w:val="000A292E"/>
    <w:rsid w:val="000A297A"/>
    <w:rsid w:val="000A2CFE"/>
    <w:rsid w:val="000A2EB5"/>
    <w:rsid w:val="000A2F90"/>
    <w:rsid w:val="000A32DE"/>
    <w:rsid w:val="000A332F"/>
    <w:rsid w:val="000A333E"/>
    <w:rsid w:val="000A3379"/>
    <w:rsid w:val="000A34A6"/>
    <w:rsid w:val="000A3533"/>
    <w:rsid w:val="000A3575"/>
    <w:rsid w:val="000A35E1"/>
    <w:rsid w:val="000A360F"/>
    <w:rsid w:val="000A36F7"/>
    <w:rsid w:val="000A37A5"/>
    <w:rsid w:val="000A3937"/>
    <w:rsid w:val="000A3A5F"/>
    <w:rsid w:val="000A3DCF"/>
    <w:rsid w:val="000A3FAD"/>
    <w:rsid w:val="000A3FBC"/>
    <w:rsid w:val="000A4080"/>
    <w:rsid w:val="000A419F"/>
    <w:rsid w:val="000A4480"/>
    <w:rsid w:val="000A448A"/>
    <w:rsid w:val="000A44E4"/>
    <w:rsid w:val="000A4708"/>
    <w:rsid w:val="000A4C76"/>
    <w:rsid w:val="000A4D3E"/>
    <w:rsid w:val="000A4E1B"/>
    <w:rsid w:val="000A4E7E"/>
    <w:rsid w:val="000A4EBB"/>
    <w:rsid w:val="000A4EDA"/>
    <w:rsid w:val="000A4EDD"/>
    <w:rsid w:val="000A50F9"/>
    <w:rsid w:val="000A518D"/>
    <w:rsid w:val="000A5212"/>
    <w:rsid w:val="000A54CB"/>
    <w:rsid w:val="000A56E8"/>
    <w:rsid w:val="000A5723"/>
    <w:rsid w:val="000A57AF"/>
    <w:rsid w:val="000A5837"/>
    <w:rsid w:val="000A5899"/>
    <w:rsid w:val="000A58EA"/>
    <w:rsid w:val="000A5A3D"/>
    <w:rsid w:val="000A5A5E"/>
    <w:rsid w:val="000A5B6B"/>
    <w:rsid w:val="000A5D58"/>
    <w:rsid w:val="000A5D98"/>
    <w:rsid w:val="000A6111"/>
    <w:rsid w:val="000A6123"/>
    <w:rsid w:val="000A61FB"/>
    <w:rsid w:val="000A62D7"/>
    <w:rsid w:val="000A6375"/>
    <w:rsid w:val="000A643F"/>
    <w:rsid w:val="000A64A7"/>
    <w:rsid w:val="000A653B"/>
    <w:rsid w:val="000A6556"/>
    <w:rsid w:val="000A6635"/>
    <w:rsid w:val="000A670A"/>
    <w:rsid w:val="000A6767"/>
    <w:rsid w:val="000A67DF"/>
    <w:rsid w:val="000A6877"/>
    <w:rsid w:val="000A68E9"/>
    <w:rsid w:val="000A693B"/>
    <w:rsid w:val="000A69D1"/>
    <w:rsid w:val="000A6A41"/>
    <w:rsid w:val="000A6AB8"/>
    <w:rsid w:val="000A6AE9"/>
    <w:rsid w:val="000A6B10"/>
    <w:rsid w:val="000A6B94"/>
    <w:rsid w:val="000A6BC5"/>
    <w:rsid w:val="000A6C29"/>
    <w:rsid w:val="000A6D10"/>
    <w:rsid w:val="000A7224"/>
    <w:rsid w:val="000A7226"/>
    <w:rsid w:val="000A7302"/>
    <w:rsid w:val="000A733E"/>
    <w:rsid w:val="000A73BE"/>
    <w:rsid w:val="000A744C"/>
    <w:rsid w:val="000A7464"/>
    <w:rsid w:val="000A750F"/>
    <w:rsid w:val="000A75E5"/>
    <w:rsid w:val="000A767C"/>
    <w:rsid w:val="000A78D5"/>
    <w:rsid w:val="000A79C3"/>
    <w:rsid w:val="000A7A4C"/>
    <w:rsid w:val="000A7A54"/>
    <w:rsid w:val="000A7A99"/>
    <w:rsid w:val="000A7AC4"/>
    <w:rsid w:val="000A7B07"/>
    <w:rsid w:val="000A7B7B"/>
    <w:rsid w:val="000A7C3E"/>
    <w:rsid w:val="000A7C50"/>
    <w:rsid w:val="000A7C80"/>
    <w:rsid w:val="000B025C"/>
    <w:rsid w:val="000B027E"/>
    <w:rsid w:val="000B07A1"/>
    <w:rsid w:val="000B095E"/>
    <w:rsid w:val="000B0C75"/>
    <w:rsid w:val="000B0CF4"/>
    <w:rsid w:val="000B0E45"/>
    <w:rsid w:val="000B0E76"/>
    <w:rsid w:val="000B0F9E"/>
    <w:rsid w:val="000B1119"/>
    <w:rsid w:val="000B117C"/>
    <w:rsid w:val="000B11C5"/>
    <w:rsid w:val="000B120B"/>
    <w:rsid w:val="000B1253"/>
    <w:rsid w:val="000B14E8"/>
    <w:rsid w:val="000B15DB"/>
    <w:rsid w:val="000B168E"/>
    <w:rsid w:val="000B16B6"/>
    <w:rsid w:val="000B1729"/>
    <w:rsid w:val="000B1757"/>
    <w:rsid w:val="000B1765"/>
    <w:rsid w:val="000B18AC"/>
    <w:rsid w:val="000B18FD"/>
    <w:rsid w:val="000B195A"/>
    <w:rsid w:val="000B1BB0"/>
    <w:rsid w:val="000B1BD1"/>
    <w:rsid w:val="000B1C2D"/>
    <w:rsid w:val="000B1EC9"/>
    <w:rsid w:val="000B1EDA"/>
    <w:rsid w:val="000B1FB4"/>
    <w:rsid w:val="000B202A"/>
    <w:rsid w:val="000B206A"/>
    <w:rsid w:val="000B208B"/>
    <w:rsid w:val="000B210B"/>
    <w:rsid w:val="000B2201"/>
    <w:rsid w:val="000B22CC"/>
    <w:rsid w:val="000B23A9"/>
    <w:rsid w:val="000B2596"/>
    <w:rsid w:val="000B25FC"/>
    <w:rsid w:val="000B26BB"/>
    <w:rsid w:val="000B27AD"/>
    <w:rsid w:val="000B2BB0"/>
    <w:rsid w:val="000B2BBC"/>
    <w:rsid w:val="000B2F22"/>
    <w:rsid w:val="000B3164"/>
    <w:rsid w:val="000B3287"/>
    <w:rsid w:val="000B32FC"/>
    <w:rsid w:val="000B3383"/>
    <w:rsid w:val="000B341D"/>
    <w:rsid w:val="000B3594"/>
    <w:rsid w:val="000B36B3"/>
    <w:rsid w:val="000B36E2"/>
    <w:rsid w:val="000B36F5"/>
    <w:rsid w:val="000B3784"/>
    <w:rsid w:val="000B38C1"/>
    <w:rsid w:val="000B3AD6"/>
    <w:rsid w:val="000B3B21"/>
    <w:rsid w:val="000B3C34"/>
    <w:rsid w:val="000B3EB9"/>
    <w:rsid w:val="000B4154"/>
    <w:rsid w:val="000B4179"/>
    <w:rsid w:val="000B41EE"/>
    <w:rsid w:val="000B426C"/>
    <w:rsid w:val="000B43CA"/>
    <w:rsid w:val="000B4820"/>
    <w:rsid w:val="000B482C"/>
    <w:rsid w:val="000B492C"/>
    <w:rsid w:val="000B4B3B"/>
    <w:rsid w:val="000B4FAC"/>
    <w:rsid w:val="000B5064"/>
    <w:rsid w:val="000B50B1"/>
    <w:rsid w:val="000B5384"/>
    <w:rsid w:val="000B54B5"/>
    <w:rsid w:val="000B54BD"/>
    <w:rsid w:val="000B54F6"/>
    <w:rsid w:val="000B5618"/>
    <w:rsid w:val="000B56F5"/>
    <w:rsid w:val="000B5933"/>
    <w:rsid w:val="000B5962"/>
    <w:rsid w:val="000B5995"/>
    <w:rsid w:val="000B5C81"/>
    <w:rsid w:val="000B5D1E"/>
    <w:rsid w:val="000B5D2D"/>
    <w:rsid w:val="000B6025"/>
    <w:rsid w:val="000B6374"/>
    <w:rsid w:val="000B65F3"/>
    <w:rsid w:val="000B66E9"/>
    <w:rsid w:val="000B6751"/>
    <w:rsid w:val="000B6782"/>
    <w:rsid w:val="000B67A3"/>
    <w:rsid w:val="000B67E1"/>
    <w:rsid w:val="000B67E8"/>
    <w:rsid w:val="000B69DB"/>
    <w:rsid w:val="000B6A8F"/>
    <w:rsid w:val="000B6AC7"/>
    <w:rsid w:val="000B6BB6"/>
    <w:rsid w:val="000B6BBE"/>
    <w:rsid w:val="000B6C7E"/>
    <w:rsid w:val="000B6D58"/>
    <w:rsid w:val="000B6D77"/>
    <w:rsid w:val="000B6F75"/>
    <w:rsid w:val="000B6FA9"/>
    <w:rsid w:val="000B712F"/>
    <w:rsid w:val="000B71C1"/>
    <w:rsid w:val="000B749B"/>
    <w:rsid w:val="000B74B9"/>
    <w:rsid w:val="000B77EC"/>
    <w:rsid w:val="000B7809"/>
    <w:rsid w:val="000B7925"/>
    <w:rsid w:val="000B79A3"/>
    <w:rsid w:val="000B7B46"/>
    <w:rsid w:val="000B7BF2"/>
    <w:rsid w:val="000B7E29"/>
    <w:rsid w:val="000B7F4B"/>
    <w:rsid w:val="000C0199"/>
    <w:rsid w:val="000C01A2"/>
    <w:rsid w:val="000C04C8"/>
    <w:rsid w:val="000C0508"/>
    <w:rsid w:val="000C075B"/>
    <w:rsid w:val="000C0802"/>
    <w:rsid w:val="000C0807"/>
    <w:rsid w:val="000C0811"/>
    <w:rsid w:val="000C09AB"/>
    <w:rsid w:val="000C09FD"/>
    <w:rsid w:val="000C0AE9"/>
    <w:rsid w:val="000C0AFF"/>
    <w:rsid w:val="000C0BDC"/>
    <w:rsid w:val="000C0BF9"/>
    <w:rsid w:val="000C0D5F"/>
    <w:rsid w:val="000C0F81"/>
    <w:rsid w:val="000C0F97"/>
    <w:rsid w:val="000C115B"/>
    <w:rsid w:val="000C11AC"/>
    <w:rsid w:val="000C126C"/>
    <w:rsid w:val="000C1595"/>
    <w:rsid w:val="000C181B"/>
    <w:rsid w:val="000C1880"/>
    <w:rsid w:val="000C192C"/>
    <w:rsid w:val="000C19B0"/>
    <w:rsid w:val="000C1AF8"/>
    <w:rsid w:val="000C1BBD"/>
    <w:rsid w:val="000C1BC9"/>
    <w:rsid w:val="000C1CC4"/>
    <w:rsid w:val="000C1CC8"/>
    <w:rsid w:val="000C1F57"/>
    <w:rsid w:val="000C1F96"/>
    <w:rsid w:val="000C208A"/>
    <w:rsid w:val="000C218E"/>
    <w:rsid w:val="000C21B7"/>
    <w:rsid w:val="000C21FE"/>
    <w:rsid w:val="000C2537"/>
    <w:rsid w:val="000C25D2"/>
    <w:rsid w:val="000C26A3"/>
    <w:rsid w:val="000C27CB"/>
    <w:rsid w:val="000C2A1C"/>
    <w:rsid w:val="000C2B9F"/>
    <w:rsid w:val="000C2BB4"/>
    <w:rsid w:val="000C2BE4"/>
    <w:rsid w:val="000C2BFD"/>
    <w:rsid w:val="000C2C02"/>
    <w:rsid w:val="000C2C74"/>
    <w:rsid w:val="000C2C9F"/>
    <w:rsid w:val="000C2DC6"/>
    <w:rsid w:val="000C2DED"/>
    <w:rsid w:val="000C2FD6"/>
    <w:rsid w:val="000C326C"/>
    <w:rsid w:val="000C3345"/>
    <w:rsid w:val="000C370E"/>
    <w:rsid w:val="000C373D"/>
    <w:rsid w:val="000C37BC"/>
    <w:rsid w:val="000C3810"/>
    <w:rsid w:val="000C385F"/>
    <w:rsid w:val="000C3A22"/>
    <w:rsid w:val="000C3C16"/>
    <w:rsid w:val="000C3C6B"/>
    <w:rsid w:val="000C3DB1"/>
    <w:rsid w:val="000C3DCB"/>
    <w:rsid w:val="000C3E29"/>
    <w:rsid w:val="000C3EC6"/>
    <w:rsid w:val="000C3F30"/>
    <w:rsid w:val="000C3FF2"/>
    <w:rsid w:val="000C4037"/>
    <w:rsid w:val="000C40F2"/>
    <w:rsid w:val="000C4188"/>
    <w:rsid w:val="000C42B7"/>
    <w:rsid w:val="000C435F"/>
    <w:rsid w:val="000C4441"/>
    <w:rsid w:val="000C453E"/>
    <w:rsid w:val="000C4609"/>
    <w:rsid w:val="000C462C"/>
    <w:rsid w:val="000C4A1F"/>
    <w:rsid w:val="000C4A80"/>
    <w:rsid w:val="000C4E5D"/>
    <w:rsid w:val="000C4F75"/>
    <w:rsid w:val="000C4F8F"/>
    <w:rsid w:val="000C4FBC"/>
    <w:rsid w:val="000C5013"/>
    <w:rsid w:val="000C50AE"/>
    <w:rsid w:val="000C51A6"/>
    <w:rsid w:val="000C51E3"/>
    <w:rsid w:val="000C5431"/>
    <w:rsid w:val="000C5443"/>
    <w:rsid w:val="000C5482"/>
    <w:rsid w:val="000C5531"/>
    <w:rsid w:val="000C5661"/>
    <w:rsid w:val="000C56D4"/>
    <w:rsid w:val="000C57E4"/>
    <w:rsid w:val="000C5A97"/>
    <w:rsid w:val="000C5DE3"/>
    <w:rsid w:val="000C5EE9"/>
    <w:rsid w:val="000C624E"/>
    <w:rsid w:val="000C626B"/>
    <w:rsid w:val="000C655A"/>
    <w:rsid w:val="000C66AD"/>
    <w:rsid w:val="000C6937"/>
    <w:rsid w:val="000C6984"/>
    <w:rsid w:val="000C6A0C"/>
    <w:rsid w:val="000C6C0C"/>
    <w:rsid w:val="000C6F2F"/>
    <w:rsid w:val="000C6F77"/>
    <w:rsid w:val="000C6FD1"/>
    <w:rsid w:val="000C7442"/>
    <w:rsid w:val="000C7483"/>
    <w:rsid w:val="000C7625"/>
    <w:rsid w:val="000C77A0"/>
    <w:rsid w:val="000C78F6"/>
    <w:rsid w:val="000C79D3"/>
    <w:rsid w:val="000C7A6A"/>
    <w:rsid w:val="000C7A8F"/>
    <w:rsid w:val="000C7C38"/>
    <w:rsid w:val="000C7C58"/>
    <w:rsid w:val="000C7E8A"/>
    <w:rsid w:val="000C7ED7"/>
    <w:rsid w:val="000D0118"/>
    <w:rsid w:val="000D011A"/>
    <w:rsid w:val="000D01C5"/>
    <w:rsid w:val="000D02EA"/>
    <w:rsid w:val="000D0467"/>
    <w:rsid w:val="000D0504"/>
    <w:rsid w:val="000D0582"/>
    <w:rsid w:val="000D071C"/>
    <w:rsid w:val="000D08E0"/>
    <w:rsid w:val="000D090E"/>
    <w:rsid w:val="000D09FF"/>
    <w:rsid w:val="000D0A8F"/>
    <w:rsid w:val="000D0B52"/>
    <w:rsid w:val="000D0B90"/>
    <w:rsid w:val="000D0C16"/>
    <w:rsid w:val="000D0C35"/>
    <w:rsid w:val="000D0D64"/>
    <w:rsid w:val="000D13E4"/>
    <w:rsid w:val="000D15FE"/>
    <w:rsid w:val="000D17F9"/>
    <w:rsid w:val="000D186F"/>
    <w:rsid w:val="000D1960"/>
    <w:rsid w:val="000D1A62"/>
    <w:rsid w:val="000D1C59"/>
    <w:rsid w:val="000D1DA8"/>
    <w:rsid w:val="000D1FB9"/>
    <w:rsid w:val="000D2003"/>
    <w:rsid w:val="000D2062"/>
    <w:rsid w:val="000D2064"/>
    <w:rsid w:val="000D214D"/>
    <w:rsid w:val="000D2168"/>
    <w:rsid w:val="000D22AB"/>
    <w:rsid w:val="000D22E8"/>
    <w:rsid w:val="000D2697"/>
    <w:rsid w:val="000D2737"/>
    <w:rsid w:val="000D27D0"/>
    <w:rsid w:val="000D27D6"/>
    <w:rsid w:val="000D2B03"/>
    <w:rsid w:val="000D2BD5"/>
    <w:rsid w:val="000D2BFB"/>
    <w:rsid w:val="000D2C4C"/>
    <w:rsid w:val="000D2F5B"/>
    <w:rsid w:val="000D3018"/>
    <w:rsid w:val="000D3084"/>
    <w:rsid w:val="000D361E"/>
    <w:rsid w:val="000D365B"/>
    <w:rsid w:val="000D3778"/>
    <w:rsid w:val="000D38A3"/>
    <w:rsid w:val="000D39A3"/>
    <w:rsid w:val="000D3D02"/>
    <w:rsid w:val="000D3E89"/>
    <w:rsid w:val="000D3F83"/>
    <w:rsid w:val="000D406A"/>
    <w:rsid w:val="000D40A0"/>
    <w:rsid w:val="000D40D6"/>
    <w:rsid w:val="000D40EA"/>
    <w:rsid w:val="000D40F0"/>
    <w:rsid w:val="000D4100"/>
    <w:rsid w:val="000D412B"/>
    <w:rsid w:val="000D426A"/>
    <w:rsid w:val="000D42EA"/>
    <w:rsid w:val="000D4749"/>
    <w:rsid w:val="000D4852"/>
    <w:rsid w:val="000D48F9"/>
    <w:rsid w:val="000D49BE"/>
    <w:rsid w:val="000D4CE5"/>
    <w:rsid w:val="000D4D82"/>
    <w:rsid w:val="000D539A"/>
    <w:rsid w:val="000D53F7"/>
    <w:rsid w:val="000D5467"/>
    <w:rsid w:val="000D54FD"/>
    <w:rsid w:val="000D55DC"/>
    <w:rsid w:val="000D5749"/>
    <w:rsid w:val="000D5757"/>
    <w:rsid w:val="000D57DB"/>
    <w:rsid w:val="000D5848"/>
    <w:rsid w:val="000D58A1"/>
    <w:rsid w:val="000D5AA7"/>
    <w:rsid w:val="000D5EB6"/>
    <w:rsid w:val="000D5FE5"/>
    <w:rsid w:val="000D6039"/>
    <w:rsid w:val="000D611F"/>
    <w:rsid w:val="000D61A6"/>
    <w:rsid w:val="000D6404"/>
    <w:rsid w:val="000D6493"/>
    <w:rsid w:val="000D64BC"/>
    <w:rsid w:val="000D6592"/>
    <w:rsid w:val="000D65B4"/>
    <w:rsid w:val="000D65F8"/>
    <w:rsid w:val="000D66CF"/>
    <w:rsid w:val="000D6748"/>
    <w:rsid w:val="000D6850"/>
    <w:rsid w:val="000D6A33"/>
    <w:rsid w:val="000D6B1E"/>
    <w:rsid w:val="000D6BE9"/>
    <w:rsid w:val="000D6CEB"/>
    <w:rsid w:val="000D6E4E"/>
    <w:rsid w:val="000D6F23"/>
    <w:rsid w:val="000D6F74"/>
    <w:rsid w:val="000D705D"/>
    <w:rsid w:val="000D708E"/>
    <w:rsid w:val="000D7111"/>
    <w:rsid w:val="000D7269"/>
    <w:rsid w:val="000D731D"/>
    <w:rsid w:val="000D741F"/>
    <w:rsid w:val="000D7583"/>
    <w:rsid w:val="000D77EE"/>
    <w:rsid w:val="000D7830"/>
    <w:rsid w:val="000D789B"/>
    <w:rsid w:val="000D7BE2"/>
    <w:rsid w:val="000D7BF4"/>
    <w:rsid w:val="000D7EAE"/>
    <w:rsid w:val="000E007B"/>
    <w:rsid w:val="000E00A5"/>
    <w:rsid w:val="000E06DF"/>
    <w:rsid w:val="000E0A22"/>
    <w:rsid w:val="000E0D3E"/>
    <w:rsid w:val="000E0DA4"/>
    <w:rsid w:val="000E0E96"/>
    <w:rsid w:val="000E0EA6"/>
    <w:rsid w:val="000E0F2D"/>
    <w:rsid w:val="000E0F56"/>
    <w:rsid w:val="000E1009"/>
    <w:rsid w:val="000E1046"/>
    <w:rsid w:val="000E1067"/>
    <w:rsid w:val="000E1277"/>
    <w:rsid w:val="000E1375"/>
    <w:rsid w:val="000E1486"/>
    <w:rsid w:val="000E1592"/>
    <w:rsid w:val="000E16D3"/>
    <w:rsid w:val="000E1C27"/>
    <w:rsid w:val="000E1E07"/>
    <w:rsid w:val="000E1FBF"/>
    <w:rsid w:val="000E2162"/>
    <w:rsid w:val="000E21D4"/>
    <w:rsid w:val="000E21E3"/>
    <w:rsid w:val="000E23A1"/>
    <w:rsid w:val="000E2756"/>
    <w:rsid w:val="000E27E1"/>
    <w:rsid w:val="000E280E"/>
    <w:rsid w:val="000E2824"/>
    <w:rsid w:val="000E28A2"/>
    <w:rsid w:val="000E298C"/>
    <w:rsid w:val="000E2C55"/>
    <w:rsid w:val="000E2C86"/>
    <w:rsid w:val="000E31A9"/>
    <w:rsid w:val="000E32BF"/>
    <w:rsid w:val="000E3393"/>
    <w:rsid w:val="000E33D5"/>
    <w:rsid w:val="000E340C"/>
    <w:rsid w:val="000E352C"/>
    <w:rsid w:val="000E361D"/>
    <w:rsid w:val="000E36B4"/>
    <w:rsid w:val="000E3A53"/>
    <w:rsid w:val="000E3A66"/>
    <w:rsid w:val="000E3D32"/>
    <w:rsid w:val="000E3E9F"/>
    <w:rsid w:val="000E4184"/>
    <w:rsid w:val="000E41B0"/>
    <w:rsid w:val="000E4347"/>
    <w:rsid w:val="000E4366"/>
    <w:rsid w:val="000E4628"/>
    <w:rsid w:val="000E465A"/>
    <w:rsid w:val="000E4894"/>
    <w:rsid w:val="000E4985"/>
    <w:rsid w:val="000E4ACF"/>
    <w:rsid w:val="000E4B12"/>
    <w:rsid w:val="000E4BCB"/>
    <w:rsid w:val="000E4D4F"/>
    <w:rsid w:val="000E4D8E"/>
    <w:rsid w:val="000E4E8C"/>
    <w:rsid w:val="000E4F54"/>
    <w:rsid w:val="000E5053"/>
    <w:rsid w:val="000E539E"/>
    <w:rsid w:val="000E5566"/>
    <w:rsid w:val="000E567B"/>
    <w:rsid w:val="000E577A"/>
    <w:rsid w:val="000E57D1"/>
    <w:rsid w:val="000E5A20"/>
    <w:rsid w:val="000E5A61"/>
    <w:rsid w:val="000E5B05"/>
    <w:rsid w:val="000E5BA7"/>
    <w:rsid w:val="000E5C67"/>
    <w:rsid w:val="000E5F14"/>
    <w:rsid w:val="000E5F4A"/>
    <w:rsid w:val="000E60D1"/>
    <w:rsid w:val="000E60F5"/>
    <w:rsid w:val="000E611D"/>
    <w:rsid w:val="000E6385"/>
    <w:rsid w:val="000E6476"/>
    <w:rsid w:val="000E64AE"/>
    <w:rsid w:val="000E664F"/>
    <w:rsid w:val="000E6882"/>
    <w:rsid w:val="000E6955"/>
    <w:rsid w:val="000E6A62"/>
    <w:rsid w:val="000E6B23"/>
    <w:rsid w:val="000E6B49"/>
    <w:rsid w:val="000E6C49"/>
    <w:rsid w:val="000E6FBD"/>
    <w:rsid w:val="000E7286"/>
    <w:rsid w:val="000E72BB"/>
    <w:rsid w:val="000E732F"/>
    <w:rsid w:val="000E73B6"/>
    <w:rsid w:val="000E740D"/>
    <w:rsid w:val="000E742E"/>
    <w:rsid w:val="000E753F"/>
    <w:rsid w:val="000E7839"/>
    <w:rsid w:val="000E7868"/>
    <w:rsid w:val="000E7ACB"/>
    <w:rsid w:val="000E7ACC"/>
    <w:rsid w:val="000E7CB1"/>
    <w:rsid w:val="000E7CC8"/>
    <w:rsid w:val="000E7E1F"/>
    <w:rsid w:val="000E7E5D"/>
    <w:rsid w:val="000E7F5D"/>
    <w:rsid w:val="000F013B"/>
    <w:rsid w:val="000F02B8"/>
    <w:rsid w:val="000F033A"/>
    <w:rsid w:val="000F03EB"/>
    <w:rsid w:val="000F04CF"/>
    <w:rsid w:val="000F0657"/>
    <w:rsid w:val="000F06CF"/>
    <w:rsid w:val="000F0751"/>
    <w:rsid w:val="000F076A"/>
    <w:rsid w:val="000F082B"/>
    <w:rsid w:val="000F0A9F"/>
    <w:rsid w:val="000F0B8E"/>
    <w:rsid w:val="000F0C95"/>
    <w:rsid w:val="000F0FA6"/>
    <w:rsid w:val="000F1179"/>
    <w:rsid w:val="000F11C4"/>
    <w:rsid w:val="000F11E3"/>
    <w:rsid w:val="000F11F1"/>
    <w:rsid w:val="000F1422"/>
    <w:rsid w:val="000F1470"/>
    <w:rsid w:val="000F178D"/>
    <w:rsid w:val="000F1ABC"/>
    <w:rsid w:val="000F1C81"/>
    <w:rsid w:val="000F1EAC"/>
    <w:rsid w:val="000F1F77"/>
    <w:rsid w:val="000F202F"/>
    <w:rsid w:val="000F219B"/>
    <w:rsid w:val="000F22EF"/>
    <w:rsid w:val="000F2594"/>
    <w:rsid w:val="000F25D4"/>
    <w:rsid w:val="000F26E1"/>
    <w:rsid w:val="000F29AA"/>
    <w:rsid w:val="000F2BE8"/>
    <w:rsid w:val="000F2C26"/>
    <w:rsid w:val="000F2CE6"/>
    <w:rsid w:val="000F2DEE"/>
    <w:rsid w:val="000F30B0"/>
    <w:rsid w:val="000F31C0"/>
    <w:rsid w:val="000F3255"/>
    <w:rsid w:val="000F32E0"/>
    <w:rsid w:val="000F33EA"/>
    <w:rsid w:val="000F3442"/>
    <w:rsid w:val="000F34B7"/>
    <w:rsid w:val="000F3515"/>
    <w:rsid w:val="000F3622"/>
    <w:rsid w:val="000F3643"/>
    <w:rsid w:val="000F375D"/>
    <w:rsid w:val="000F3771"/>
    <w:rsid w:val="000F38BE"/>
    <w:rsid w:val="000F3927"/>
    <w:rsid w:val="000F399E"/>
    <w:rsid w:val="000F39AF"/>
    <w:rsid w:val="000F3AB4"/>
    <w:rsid w:val="000F3B82"/>
    <w:rsid w:val="000F3BB1"/>
    <w:rsid w:val="000F3CC9"/>
    <w:rsid w:val="000F3D5E"/>
    <w:rsid w:val="000F3E46"/>
    <w:rsid w:val="000F3FC4"/>
    <w:rsid w:val="000F40A3"/>
    <w:rsid w:val="000F40B3"/>
    <w:rsid w:val="000F40F8"/>
    <w:rsid w:val="000F41A8"/>
    <w:rsid w:val="000F42CA"/>
    <w:rsid w:val="000F42E9"/>
    <w:rsid w:val="000F45EE"/>
    <w:rsid w:val="000F45FC"/>
    <w:rsid w:val="000F4621"/>
    <w:rsid w:val="000F474D"/>
    <w:rsid w:val="000F4870"/>
    <w:rsid w:val="000F48F8"/>
    <w:rsid w:val="000F491E"/>
    <w:rsid w:val="000F4A86"/>
    <w:rsid w:val="000F4ABD"/>
    <w:rsid w:val="000F4AE2"/>
    <w:rsid w:val="000F4C15"/>
    <w:rsid w:val="000F4D9B"/>
    <w:rsid w:val="000F4E9A"/>
    <w:rsid w:val="000F50BD"/>
    <w:rsid w:val="000F515C"/>
    <w:rsid w:val="000F5268"/>
    <w:rsid w:val="000F54B3"/>
    <w:rsid w:val="000F555C"/>
    <w:rsid w:val="000F55AF"/>
    <w:rsid w:val="000F5733"/>
    <w:rsid w:val="000F59F9"/>
    <w:rsid w:val="000F5A0B"/>
    <w:rsid w:val="000F5C62"/>
    <w:rsid w:val="000F5C70"/>
    <w:rsid w:val="000F5D19"/>
    <w:rsid w:val="000F5E0E"/>
    <w:rsid w:val="000F5E28"/>
    <w:rsid w:val="000F5E36"/>
    <w:rsid w:val="000F6036"/>
    <w:rsid w:val="000F605E"/>
    <w:rsid w:val="000F6201"/>
    <w:rsid w:val="000F621D"/>
    <w:rsid w:val="000F6383"/>
    <w:rsid w:val="000F6790"/>
    <w:rsid w:val="000F6904"/>
    <w:rsid w:val="000F69A7"/>
    <w:rsid w:val="000F6C72"/>
    <w:rsid w:val="000F6D09"/>
    <w:rsid w:val="000F71CC"/>
    <w:rsid w:val="000F75CE"/>
    <w:rsid w:val="000F77E4"/>
    <w:rsid w:val="000F78E2"/>
    <w:rsid w:val="000F7ACF"/>
    <w:rsid w:val="000F7AFE"/>
    <w:rsid w:val="000F7C4C"/>
    <w:rsid w:val="000F7D3E"/>
    <w:rsid w:val="000F7F03"/>
    <w:rsid w:val="000F7FC0"/>
    <w:rsid w:val="000F7FF1"/>
    <w:rsid w:val="001000F1"/>
    <w:rsid w:val="0010012B"/>
    <w:rsid w:val="0010013C"/>
    <w:rsid w:val="00100237"/>
    <w:rsid w:val="001003A1"/>
    <w:rsid w:val="00100472"/>
    <w:rsid w:val="001004CA"/>
    <w:rsid w:val="001004FB"/>
    <w:rsid w:val="001006AF"/>
    <w:rsid w:val="00100709"/>
    <w:rsid w:val="001007AC"/>
    <w:rsid w:val="0010082B"/>
    <w:rsid w:val="00100836"/>
    <w:rsid w:val="00100843"/>
    <w:rsid w:val="0010087B"/>
    <w:rsid w:val="00100AC3"/>
    <w:rsid w:val="00100AF5"/>
    <w:rsid w:val="00100D2F"/>
    <w:rsid w:val="00100D5B"/>
    <w:rsid w:val="00100D6D"/>
    <w:rsid w:val="00100D78"/>
    <w:rsid w:val="001012D4"/>
    <w:rsid w:val="001014D1"/>
    <w:rsid w:val="0010161D"/>
    <w:rsid w:val="0010197C"/>
    <w:rsid w:val="00101989"/>
    <w:rsid w:val="0010199F"/>
    <w:rsid w:val="00102062"/>
    <w:rsid w:val="0010207D"/>
    <w:rsid w:val="0010216E"/>
    <w:rsid w:val="001024FC"/>
    <w:rsid w:val="0010250C"/>
    <w:rsid w:val="00102510"/>
    <w:rsid w:val="0010268D"/>
    <w:rsid w:val="001026DB"/>
    <w:rsid w:val="001026F4"/>
    <w:rsid w:val="00102BAB"/>
    <w:rsid w:val="00102C08"/>
    <w:rsid w:val="00102ED8"/>
    <w:rsid w:val="001030F3"/>
    <w:rsid w:val="001032E5"/>
    <w:rsid w:val="00103353"/>
    <w:rsid w:val="00103384"/>
    <w:rsid w:val="001033C1"/>
    <w:rsid w:val="001033C2"/>
    <w:rsid w:val="00103508"/>
    <w:rsid w:val="00103775"/>
    <w:rsid w:val="0010386C"/>
    <w:rsid w:val="00103954"/>
    <w:rsid w:val="00103AA1"/>
    <w:rsid w:val="00103B41"/>
    <w:rsid w:val="00103B72"/>
    <w:rsid w:val="00103D5D"/>
    <w:rsid w:val="001041B0"/>
    <w:rsid w:val="00104817"/>
    <w:rsid w:val="00104C84"/>
    <w:rsid w:val="00104CBE"/>
    <w:rsid w:val="00104D31"/>
    <w:rsid w:val="00104E53"/>
    <w:rsid w:val="00104F24"/>
    <w:rsid w:val="00104F53"/>
    <w:rsid w:val="00105019"/>
    <w:rsid w:val="0010519D"/>
    <w:rsid w:val="001052A9"/>
    <w:rsid w:val="001052D4"/>
    <w:rsid w:val="00105303"/>
    <w:rsid w:val="001054AD"/>
    <w:rsid w:val="001056F9"/>
    <w:rsid w:val="00105756"/>
    <w:rsid w:val="001057B0"/>
    <w:rsid w:val="00105891"/>
    <w:rsid w:val="00105C51"/>
    <w:rsid w:val="00105DD1"/>
    <w:rsid w:val="00105E83"/>
    <w:rsid w:val="00106128"/>
    <w:rsid w:val="001061D4"/>
    <w:rsid w:val="00106293"/>
    <w:rsid w:val="001062B4"/>
    <w:rsid w:val="001062B8"/>
    <w:rsid w:val="00106758"/>
    <w:rsid w:val="00106900"/>
    <w:rsid w:val="0010693B"/>
    <w:rsid w:val="001069AD"/>
    <w:rsid w:val="00106B76"/>
    <w:rsid w:val="00106C4B"/>
    <w:rsid w:val="00106C8B"/>
    <w:rsid w:val="00106D27"/>
    <w:rsid w:val="00106D49"/>
    <w:rsid w:val="00106D58"/>
    <w:rsid w:val="00106FEE"/>
    <w:rsid w:val="001075B5"/>
    <w:rsid w:val="00107621"/>
    <w:rsid w:val="0010776D"/>
    <w:rsid w:val="001077EC"/>
    <w:rsid w:val="001079B3"/>
    <w:rsid w:val="00107B43"/>
    <w:rsid w:val="00107CA7"/>
    <w:rsid w:val="00110247"/>
    <w:rsid w:val="00110280"/>
    <w:rsid w:val="00110374"/>
    <w:rsid w:val="00110425"/>
    <w:rsid w:val="001104F6"/>
    <w:rsid w:val="001104FA"/>
    <w:rsid w:val="00110669"/>
    <w:rsid w:val="001108D0"/>
    <w:rsid w:val="001109F0"/>
    <w:rsid w:val="00110A9D"/>
    <w:rsid w:val="00110CE3"/>
    <w:rsid w:val="00111068"/>
    <w:rsid w:val="00111116"/>
    <w:rsid w:val="001112B5"/>
    <w:rsid w:val="00111326"/>
    <w:rsid w:val="0011141A"/>
    <w:rsid w:val="0011150E"/>
    <w:rsid w:val="00111558"/>
    <w:rsid w:val="0011158C"/>
    <w:rsid w:val="00111806"/>
    <w:rsid w:val="00111929"/>
    <w:rsid w:val="00111A36"/>
    <w:rsid w:val="00111AE6"/>
    <w:rsid w:val="00111B24"/>
    <w:rsid w:val="00111EA3"/>
    <w:rsid w:val="00111EA9"/>
    <w:rsid w:val="00111EEA"/>
    <w:rsid w:val="00112214"/>
    <w:rsid w:val="0011223D"/>
    <w:rsid w:val="00112513"/>
    <w:rsid w:val="00112545"/>
    <w:rsid w:val="001125AD"/>
    <w:rsid w:val="001126F7"/>
    <w:rsid w:val="0011291E"/>
    <w:rsid w:val="00112DD4"/>
    <w:rsid w:val="00112E03"/>
    <w:rsid w:val="00112FCF"/>
    <w:rsid w:val="0011300D"/>
    <w:rsid w:val="00113034"/>
    <w:rsid w:val="001130A1"/>
    <w:rsid w:val="001130C0"/>
    <w:rsid w:val="0011316B"/>
    <w:rsid w:val="001131AB"/>
    <w:rsid w:val="001131CC"/>
    <w:rsid w:val="00113398"/>
    <w:rsid w:val="0011345A"/>
    <w:rsid w:val="001134C8"/>
    <w:rsid w:val="001135FD"/>
    <w:rsid w:val="00113866"/>
    <w:rsid w:val="00113878"/>
    <w:rsid w:val="0011395F"/>
    <w:rsid w:val="00113A2A"/>
    <w:rsid w:val="00113A58"/>
    <w:rsid w:val="00113AA8"/>
    <w:rsid w:val="00113C5D"/>
    <w:rsid w:val="00113DFD"/>
    <w:rsid w:val="00113E5B"/>
    <w:rsid w:val="00114012"/>
    <w:rsid w:val="00114174"/>
    <w:rsid w:val="00114184"/>
    <w:rsid w:val="0011428E"/>
    <w:rsid w:val="00114462"/>
    <w:rsid w:val="001145E9"/>
    <w:rsid w:val="00114701"/>
    <w:rsid w:val="00114743"/>
    <w:rsid w:val="001149D6"/>
    <w:rsid w:val="00114A2A"/>
    <w:rsid w:val="00114B4B"/>
    <w:rsid w:val="00114B70"/>
    <w:rsid w:val="00114BF2"/>
    <w:rsid w:val="00114BFB"/>
    <w:rsid w:val="00114F3B"/>
    <w:rsid w:val="00114F67"/>
    <w:rsid w:val="00114FFA"/>
    <w:rsid w:val="001150B4"/>
    <w:rsid w:val="00115127"/>
    <w:rsid w:val="0011556B"/>
    <w:rsid w:val="00115655"/>
    <w:rsid w:val="00115730"/>
    <w:rsid w:val="001159EB"/>
    <w:rsid w:val="00115AB5"/>
    <w:rsid w:val="00115B14"/>
    <w:rsid w:val="00115BA1"/>
    <w:rsid w:val="00115CC9"/>
    <w:rsid w:val="00115D2D"/>
    <w:rsid w:val="00115D31"/>
    <w:rsid w:val="00115E1D"/>
    <w:rsid w:val="00115EA8"/>
    <w:rsid w:val="00116378"/>
    <w:rsid w:val="001165B4"/>
    <w:rsid w:val="001166D7"/>
    <w:rsid w:val="0011674C"/>
    <w:rsid w:val="001167B5"/>
    <w:rsid w:val="001167FD"/>
    <w:rsid w:val="0011685E"/>
    <w:rsid w:val="00116AAD"/>
    <w:rsid w:val="00116AE9"/>
    <w:rsid w:val="00116C4B"/>
    <w:rsid w:val="00116D2A"/>
    <w:rsid w:val="001170DA"/>
    <w:rsid w:val="00117226"/>
    <w:rsid w:val="001175B9"/>
    <w:rsid w:val="001177AF"/>
    <w:rsid w:val="00117A2B"/>
    <w:rsid w:val="00117B93"/>
    <w:rsid w:val="00117C12"/>
    <w:rsid w:val="00117C2F"/>
    <w:rsid w:val="00117DA2"/>
    <w:rsid w:val="00117EF4"/>
    <w:rsid w:val="00117F01"/>
    <w:rsid w:val="00117FAE"/>
    <w:rsid w:val="0012005F"/>
    <w:rsid w:val="001201D8"/>
    <w:rsid w:val="00120249"/>
    <w:rsid w:val="00120264"/>
    <w:rsid w:val="00120341"/>
    <w:rsid w:val="001203FA"/>
    <w:rsid w:val="001204B6"/>
    <w:rsid w:val="00120557"/>
    <w:rsid w:val="001205E8"/>
    <w:rsid w:val="001206D0"/>
    <w:rsid w:val="0012086E"/>
    <w:rsid w:val="00120891"/>
    <w:rsid w:val="001208A9"/>
    <w:rsid w:val="00120EEA"/>
    <w:rsid w:val="00120FD1"/>
    <w:rsid w:val="0012121E"/>
    <w:rsid w:val="001212A3"/>
    <w:rsid w:val="0012149C"/>
    <w:rsid w:val="0012171D"/>
    <w:rsid w:val="001217D0"/>
    <w:rsid w:val="00121880"/>
    <w:rsid w:val="00121D55"/>
    <w:rsid w:val="00121E23"/>
    <w:rsid w:val="00122392"/>
    <w:rsid w:val="00122431"/>
    <w:rsid w:val="00122479"/>
    <w:rsid w:val="0012253E"/>
    <w:rsid w:val="00122609"/>
    <w:rsid w:val="00122634"/>
    <w:rsid w:val="0012271A"/>
    <w:rsid w:val="00122792"/>
    <w:rsid w:val="0012286D"/>
    <w:rsid w:val="00122914"/>
    <w:rsid w:val="00122964"/>
    <w:rsid w:val="00122A3F"/>
    <w:rsid w:val="00122C0B"/>
    <w:rsid w:val="00122D46"/>
    <w:rsid w:val="00122E74"/>
    <w:rsid w:val="00123384"/>
    <w:rsid w:val="001233FD"/>
    <w:rsid w:val="001236B2"/>
    <w:rsid w:val="001236DE"/>
    <w:rsid w:val="00123728"/>
    <w:rsid w:val="00123729"/>
    <w:rsid w:val="0012375A"/>
    <w:rsid w:val="0012379F"/>
    <w:rsid w:val="00123CCE"/>
    <w:rsid w:val="00123CFB"/>
    <w:rsid w:val="00123DB6"/>
    <w:rsid w:val="0012406E"/>
    <w:rsid w:val="00124158"/>
    <w:rsid w:val="00124184"/>
    <w:rsid w:val="00124185"/>
    <w:rsid w:val="001241DD"/>
    <w:rsid w:val="001241EE"/>
    <w:rsid w:val="001246A2"/>
    <w:rsid w:val="001246B5"/>
    <w:rsid w:val="0012471F"/>
    <w:rsid w:val="00124B16"/>
    <w:rsid w:val="00124B6C"/>
    <w:rsid w:val="00124ECE"/>
    <w:rsid w:val="0012514E"/>
    <w:rsid w:val="001252B9"/>
    <w:rsid w:val="001253C7"/>
    <w:rsid w:val="00125572"/>
    <w:rsid w:val="001256C2"/>
    <w:rsid w:val="001257D4"/>
    <w:rsid w:val="0012588E"/>
    <w:rsid w:val="001259C9"/>
    <w:rsid w:val="00125C64"/>
    <w:rsid w:val="00125D60"/>
    <w:rsid w:val="00125D6D"/>
    <w:rsid w:val="00125ED5"/>
    <w:rsid w:val="0012630E"/>
    <w:rsid w:val="0012636E"/>
    <w:rsid w:val="00126391"/>
    <w:rsid w:val="00126763"/>
    <w:rsid w:val="00126804"/>
    <w:rsid w:val="00126827"/>
    <w:rsid w:val="0012697C"/>
    <w:rsid w:val="00126D90"/>
    <w:rsid w:val="00126EF9"/>
    <w:rsid w:val="00126F89"/>
    <w:rsid w:val="00127096"/>
    <w:rsid w:val="001271F1"/>
    <w:rsid w:val="001273A8"/>
    <w:rsid w:val="001273AA"/>
    <w:rsid w:val="00127677"/>
    <w:rsid w:val="0012773B"/>
    <w:rsid w:val="001277BA"/>
    <w:rsid w:val="00127967"/>
    <w:rsid w:val="00127C13"/>
    <w:rsid w:val="00127E55"/>
    <w:rsid w:val="00127FB1"/>
    <w:rsid w:val="00130025"/>
    <w:rsid w:val="00130052"/>
    <w:rsid w:val="001301AF"/>
    <w:rsid w:val="00130295"/>
    <w:rsid w:val="001302D1"/>
    <w:rsid w:val="001303ED"/>
    <w:rsid w:val="00130414"/>
    <w:rsid w:val="001304A2"/>
    <w:rsid w:val="001307D8"/>
    <w:rsid w:val="0013089C"/>
    <w:rsid w:val="00130C2D"/>
    <w:rsid w:val="00130CC8"/>
    <w:rsid w:val="00130E45"/>
    <w:rsid w:val="00131049"/>
    <w:rsid w:val="001311EA"/>
    <w:rsid w:val="001312DA"/>
    <w:rsid w:val="00131407"/>
    <w:rsid w:val="0013145A"/>
    <w:rsid w:val="001318DA"/>
    <w:rsid w:val="00131967"/>
    <w:rsid w:val="00131E79"/>
    <w:rsid w:val="001321FB"/>
    <w:rsid w:val="00132390"/>
    <w:rsid w:val="00132434"/>
    <w:rsid w:val="0013249F"/>
    <w:rsid w:val="001324B2"/>
    <w:rsid w:val="00132806"/>
    <w:rsid w:val="00132A7C"/>
    <w:rsid w:val="00132B03"/>
    <w:rsid w:val="00132B07"/>
    <w:rsid w:val="00132C9A"/>
    <w:rsid w:val="00132CFE"/>
    <w:rsid w:val="00132CFF"/>
    <w:rsid w:val="00132D29"/>
    <w:rsid w:val="00132DE7"/>
    <w:rsid w:val="00132E05"/>
    <w:rsid w:val="00132FCB"/>
    <w:rsid w:val="0013306D"/>
    <w:rsid w:val="0013308D"/>
    <w:rsid w:val="0013323A"/>
    <w:rsid w:val="0013325C"/>
    <w:rsid w:val="00133470"/>
    <w:rsid w:val="00133544"/>
    <w:rsid w:val="00133695"/>
    <w:rsid w:val="0013397E"/>
    <w:rsid w:val="00133AE8"/>
    <w:rsid w:val="00133AF1"/>
    <w:rsid w:val="00133BCF"/>
    <w:rsid w:val="00133BFC"/>
    <w:rsid w:val="00133D7A"/>
    <w:rsid w:val="00133DCA"/>
    <w:rsid w:val="00133E40"/>
    <w:rsid w:val="0013404A"/>
    <w:rsid w:val="001340FF"/>
    <w:rsid w:val="00134213"/>
    <w:rsid w:val="00134240"/>
    <w:rsid w:val="0013473D"/>
    <w:rsid w:val="00134B6C"/>
    <w:rsid w:val="00134CDB"/>
    <w:rsid w:val="00134E64"/>
    <w:rsid w:val="00135108"/>
    <w:rsid w:val="00135230"/>
    <w:rsid w:val="00135354"/>
    <w:rsid w:val="001353F0"/>
    <w:rsid w:val="00135922"/>
    <w:rsid w:val="00135950"/>
    <w:rsid w:val="0013598A"/>
    <w:rsid w:val="00135990"/>
    <w:rsid w:val="001359DB"/>
    <w:rsid w:val="00135A6B"/>
    <w:rsid w:val="00135DEB"/>
    <w:rsid w:val="00135E15"/>
    <w:rsid w:val="00136010"/>
    <w:rsid w:val="00136063"/>
    <w:rsid w:val="001360BC"/>
    <w:rsid w:val="001360F7"/>
    <w:rsid w:val="001361C0"/>
    <w:rsid w:val="00136243"/>
    <w:rsid w:val="0013624D"/>
    <w:rsid w:val="00136678"/>
    <w:rsid w:val="0013669F"/>
    <w:rsid w:val="00136A65"/>
    <w:rsid w:val="00136AB6"/>
    <w:rsid w:val="00136B3F"/>
    <w:rsid w:val="00136DE7"/>
    <w:rsid w:val="00136E9D"/>
    <w:rsid w:val="00136F6E"/>
    <w:rsid w:val="0013709E"/>
    <w:rsid w:val="0013719E"/>
    <w:rsid w:val="001371A5"/>
    <w:rsid w:val="001371D0"/>
    <w:rsid w:val="001371D2"/>
    <w:rsid w:val="001372DC"/>
    <w:rsid w:val="001373C7"/>
    <w:rsid w:val="00137474"/>
    <w:rsid w:val="001375CD"/>
    <w:rsid w:val="001375D5"/>
    <w:rsid w:val="001375F1"/>
    <w:rsid w:val="00137944"/>
    <w:rsid w:val="0013796C"/>
    <w:rsid w:val="001379BB"/>
    <w:rsid w:val="00137A02"/>
    <w:rsid w:val="00137D38"/>
    <w:rsid w:val="00137E7E"/>
    <w:rsid w:val="00137F1D"/>
    <w:rsid w:val="00137F66"/>
    <w:rsid w:val="00137F9B"/>
    <w:rsid w:val="00140009"/>
    <w:rsid w:val="00140033"/>
    <w:rsid w:val="001401D1"/>
    <w:rsid w:val="001403B4"/>
    <w:rsid w:val="0014060F"/>
    <w:rsid w:val="00140615"/>
    <w:rsid w:val="001407DC"/>
    <w:rsid w:val="00140B99"/>
    <w:rsid w:val="00141207"/>
    <w:rsid w:val="0014124B"/>
    <w:rsid w:val="0014137A"/>
    <w:rsid w:val="001414F2"/>
    <w:rsid w:val="0014162C"/>
    <w:rsid w:val="00141862"/>
    <w:rsid w:val="001418A6"/>
    <w:rsid w:val="001418E2"/>
    <w:rsid w:val="00141A16"/>
    <w:rsid w:val="00141B08"/>
    <w:rsid w:val="00141BA9"/>
    <w:rsid w:val="00141CEF"/>
    <w:rsid w:val="00141D78"/>
    <w:rsid w:val="00141E6B"/>
    <w:rsid w:val="00141ED8"/>
    <w:rsid w:val="00141F44"/>
    <w:rsid w:val="00141F78"/>
    <w:rsid w:val="00142095"/>
    <w:rsid w:val="0014221A"/>
    <w:rsid w:val="00142540"/>
    <w:rsid w:val="00142592"/>
    <w:rsid w:val="001426B5"/>
    <w:rsid w:val="00142BD9"/>
    <w:rsid w:val="00142ED6"/>
    <w:rsid w:val="00142FD0"/>
    <w:rsid w:val="0014317E"/>
    <w:rsid w:val="001432A9"/>
    <w:rsid w:val="00143346"/>
    <w:rsid w:val="0014345E"/>
    <w:rsid w:val="00143491"/>
    <w:rsid w:val="001434BE"/>
    <w:rsid w:val="001434E4"/>
    <w:rsid w:val="0014359B"/>
    <w:rsid w:val="0014368E"/>
    <w:rsid w:val="0014369E"/>
    <w:rsid w:val="001436A7"/>
    <w:rsid w:val="00143806"/>
    <w:rsid w:val="00143885"/>
    <w:rsid w:val="00143922"/>
    <w:rsid w:val="00143B01"/>
    <w:rsid w:val="00143B5E"/>
    <w:rsid w:val="00143C84"/>
    <w:rsid w:val="00143D6E"/>
    <w:rsid w:val="00143F1C"/>
    <w:rsid w:val="00143F63"/>
    <w:rsid w:val="00144001"/>
    <w:rsid w:val="001441CF"/>
    <w:rsid w:val="001442A3"/>
    <w:rsid w:val="0014456F"/>
    <w:rsid w:val="00144710"/>
    <w:rsid w:val="001448AE"/>
    <w:rsid w:val="001449A2"/>
    <w:rsid w:val="001449E2"/>
    <w:rsid w:val="00144A8B"/>
    <w:rsid w:val="00144C55"/>
    <w:rsid w:val="0014509C"/>
    <w:rsid w:val="00145204"/>
    <w:rsid w:val="0014523D"/>
    <w:rsid w:val="001452F5"/>
    <w:rsid w:val="00145432"/>
    <w:rsid w:val="00145455"/>
    <w:rsid w:val="0014549A"/>
    <w:rsid w:val="00145605"/>
    <w:rsid w:val="0014586A"/>
    <w:rsid w:val="00145BFC"/>
    <w:rsid w:val="00145C7E"/>
    <w:rsid w:val="00145CFC"/>
    <w:rsid w:val="00145E37"/>
    <w:rsid w:val="00145ED8"/>
    <w:rsid w:val="00145F8E"/>
    <w:rsid w:val="001463F5"/>
    <w:rsid w:val="001464F5"/>
    <w:rsid w:val="00146760"/>
    <w:rsid w:val="00146869"/>
    <w:rsid w:val="00146904"/>
    <w:rsid w:val="001469E7"/>
    <w:rsid w:val="00146C64"/>
    <w:rsid w:val="00146CA3"/>
    <w:rsid w:val="00146D07"/>
    <w:rsid w:val="00146D1D"/>
    <w:rsid w:val="00146E36"/>
    <w:rsid w:val="00146FB8"/>
    <w:rsid w:val="00147190"/>
    <w:rsid w:val="0014722E"/>
    <w:rsid w:val="00147421"/>
    <w:rsid w:val="001474A2"/>
    <w:rsid w:val="00147553"/>
    <w:rsid w:val="00147656"/>
    <w:rsid w:val="00147709"/>
    <w:rsid w:val="00147923"/>
    <w:rsid w:val="00147AE6"/>
    <w:rsid w:val="00147B00"/>
    <w:rsid w:val="00147C14"/>
    <w:rsid w:val="00147D4A"/>
    <w:rsid w:val="00147E03"/>
    <w:rsid w:val="00147F54"/>
    <w:rsid w:val="001501D3"/>
    <w:rsid w:val="0015029C"/>
    <w:rsid w:val="001503BB"/>
    <w:rsid w:val="001504B5"/>
    <w:rsid w:val="00150807"/>
    <w:rsid w:val="00150ACC"/>
    <w:rsid w:val="00150AF1"/>
    <w:rsid w:val="00150AF9"/>
    <w:rsid w:val="00150CF3"/>
    <w:rsid w:val="00150D17"/>
    <w:rsid w:val="00150DF6"/>
    <w:rsid w:val="00150F4C"/>
    <w:rsid w:val="001510FE"/>
    <w:rsid w:val="0015119E"/>
    <w:rsid w:val="00151539"/>
    <w:rsid w:val="00151648"/>
    <w:rsid w:val="001516D7"/>
    <w:rsid w:val="00151721"/>
    <w:rsid w:val="0015185F"/>
    <w:rsid w:val="001519A4"/>
    <w:rsid w:val="00151E0B"/>
    <w:rsid w:val="00151EEF"/>
    <w:rsid w:val="00151F9C"/>
    <w:rsid w:val="00152039"/>
    <w:rsid w:val="001520EA"/>
    <w:rsid w:val="0015231C"/>
    <w:rsid w:val="0015259B"/>
    <w:rsid w:val="001525E8"/>
    <w:rsid w:val="00152699"/>
    <w:rsid w:val="001527C6"/>
    <w:rsid w:val="0015281F"/>
    <w:rsid w:val="00152879"/>
    <w:rsid w:val="001529D8"/>
    <w:rsid w:val="00152A2E"/>
    <w:rsid w:val="00152A6C"/>
    <w:rsid w:val="00152ADD"/>
    <w:rsid w:val="00152D93"/>
    <w:rsid w:val="001531AC"/>
    <w:rsid w:val="00153467"/>
    <w:rsid w:val="0015346D"/>
    <w:rsid w:val="001536E4"/>
    <w:rsid w:val="00153935"/>
    <w:rsid w:val="00153968"/>
    <w:rsid w:val="00153A10"/>
    <w:rsid w:val="00153B2C"/>
    <w:rsid w:val="00153B54"/>
    <w:rsid w:val="00153C40"/>
    <w:rsid w:val="00154364"/>
    <w:rsid w:val="0015439A"/>
    <w:rsid w:val="001543E9"/>
    <w:rsid w:val="00154635"/>
    <w:rsid w:val="0015469C"/>
    <w:rsid w:val="00154843"/>
    <w:rsid w:val="00154906"/>
    <w:rsid w:val="00154A59"/>
    <w:rsid w:val="00154AAF"/>
    <w:rsid w:val="00154C5E"/>
    <w:rsid w:val="00154D4D"/>
    <w:rsid w:val="00154D8C"/>
    <w:rsid w:val="00154E1D"/>
    <w:rsid w:val="00154EC4"/>
    <w:rsid w:val="00154F6A"/>
    <w:rsid w:val="00154F76"/>
    <w:rsid w:val="00155075"/>
    <w:rsid w:val="0015509A"/>
    <w:rsid w:val="00155129"/>
    <w:rsid w:val="0015518E"/>
    <w:rsid w:val="00155195"/>
    <w:rsid w:val="00155361"/>
    <w:rsid w:val="0015558F"/>
    <w:rsid w:val="001556FB"/>
    <w:rsid w:val="0015589C"/>
    <w:rsid w:val="00155A32"/>
    <w:rsid w:val="00155B5F"/>
    <w:rsid w:val="00155CDA"/>
    <w:rsid w:val="00155DC9"/>
    <w:rsid w:val="00155E78"/>
    <w:rsid w:val="00155F15"/>
    <w:rsid w:val="00155FF9"/>
    <w:rsid w:val="0015612A"/>
    <w:rsid w:val="00156269"/>
    <w:rsid w:val="00156321"/>
    <w:rsid w:val="00156324"/>
    <w:rsid w:val="001563B2"/>
    <w:rsid w:val="0015655C"/>
    <w:rsid w:val="0015655F"/>
    <w:rsid w:val="001565C8"/>
    <w:rsid w:val="00156988"/>
    <w:rsid w:val="00156BA4"/>
    <w:rsid w:val="00156BBD"/>
    <w:rsid w:val="00156D5E"/>
    <w:rsid w:val="00156D8C"/>
    <w:rsid w:val="00156E0C"/>
    <w:rsid w:val="00156EC7"/>
    <w:rsid w:val="00156F53"/>
    <w:rsid w:val="00157011"/>
    <w:rsid w:val="00157099"/>
    <w:rsid w:val="001570D5"/>
    <w:rsid w:val="00157129"/>
    <w:rsid w:val="00157148"/>
    <w:rsid w:val="0015744E"/>
    <w:rsid w:val="001574CD"/>
    <w:rsid w:val="0015786C"/>
    <w:rsid w:val="00157D7D"/>
    <w:rsid w:val="00157D98"/>
    <w:rsid w:val="00157E1F"/>
    <w:rsid w:val="00157E7D"/>
    <w:rsid w:val="00157EB2"/>
    <w:rsid w:val="00157FAC"/>
    <w:rsid w:val="00160019"/>
    <w:rsid w:val="001600AC"/>
    <w:rsid w:val="001600E4"/>
    <w:rsid w:val="0016011E"/>
    <w:rsid w:val="00160180"/>
    <w:rsid w:val="001601E1"/>
    <w:rsid w:val="00160739"/>
    <w:rsid w:val="001607DE"/>
    <w:rsid w:val="00160844"/>
    <w:rsid w:val="00160A54"/>
    <w:rsid w:val="00160AF3"/>
    <w:rsid w:val="00160CD1"/>
    <w:rsid w:val="0016108C"/>
    <w:rsid w:val="001612E2"/>
    <w:rsid w:val="00161499"/>
    <w:rsid w:val="001614D3"/>
    <w:rsid w:val="00161526"/>
    <w:rsid w:val="00161762"/>
    <w:rsid w:val="00161854"/>
    <w:rsid w:val="001619B4"/>
    <w:rsid w:val="00161B4C"/>
    <w:rsid w:val="00161C10"/>
    <w:rsid w:val="00161EAE"/>
    <w:rsid w:val="00161F4B"/>
    <w:rsid w:val="00161FD9"/>
    <w:rsid w:val="00161FEB"/>
    <w:rsid w:val="0016200C"/>
    <w:rsid w:val="0016213D"/>
    <w:rsid w:val="0016226B"/>
    <w:rsid w:val="001628FA"/>
    <w:rsid w:val="0016293D"/>
    <w:rsid w:val="0016297F"/>
    <w:rsid w:val="00162A6C"/>
    <w:rsid w:val="00162B0E"/>
    <w:rsid w:val="00162B32"/>
    <w:rsid w:val="00162D44"/>
    <w:rsid w:val="0016304D"/>
    <w:rsid w:val="0016314C"/>
    <w:rsid w:val="0016315F"/>
    <w:rsid w:val="00163236"/>
    <w:rsid w:val="00163406"/>
    <w:rsid w:val="00163A6C"/>
    <w:rsid w:val="00163A7F"/>
    <w:rsid w:val="00163B07"/>
    <w:rsid w:val="00163D5A"/>
    <w:rsid w:val="00164191"/>
    <w:rsid w:val="001642EF"/>
    <w:rsid w:val="00164430"/>
    <w:rsid w:val="0016460E"/>
    <w:rsid w:val="001646C5"/>
    <w:rsid w:val="001648F4"/>
    <w:rsid w:val="0016491D"/>
    <w:rsid w:val="0016498E"/>
    <w:rsid w:val="00164A11"/>
    <w:rsid w:val="00164A2E"/>
    <w:rsid w:val="00164EC5"/>
    <w:rsid w:val="00164F18"/>
    <w:rsid w:val="00165088"/>
    <w:rsid w:val="0016508A"/>
    <w:rsid w:val="001653F7"/>
    <w:rsid w:val="00165660"/>
    <w:rsid w:val="00165664"/>
    <w:rsid w:val="0016566D"/>
    <w:rsid w:val="0016579B"/>
    <w:rsid w:val="001658CF"/>
    <w:rsid w:val="001659BE"/>
    <w:rsid w:val="00165C22"/>
    <w:rsid w:val="00165CA4"/>
    <w:rsid w:val="00165DDC"/>
    <w:rsid w:val="00165FB2"/>
    <w:rsid w:val="001660C8"/>
    <w:rsid w:val="00166248"/>
    <w:rsid w:val="001663DB"/>
    <w:rsid w:val="00166453"/>
    <w:rsid w:val="001669DD"/>
    <w:rsid w:val="00166A59"/>
    <w:rsid w:val="00166C54"/>
    <w:rsid w:val="00166C9F"/>
    <w:rsid w:val="00166D17"/>
    <w:rsid w:val="00166D93"/>
    <w:rsid w:val="00166DB6"/>
    <w:rsid w:val="00166F30"/>
    <w:rsid w:val="00166FB9"/>
    <w:rsid w:val="00167552"/>
    <w:rsid w:val="0016759B"/>
    <w:rsid w:val="0016759E"/>
    <w:rsid w:val="001676A4"/>
    <w:rsid w:val="001677F5"/>
    <w:rsid w:val="0016783D"/>
    <w:rsid w:val="00167AE9"/>
    <w:rsid w:val="00167CDF"/>
    <w:rsid w:val="00167E15"/>
    <w:rsid w:val="00167F28"/>
    <w:rsid w:val="00167F77"/>
    <w:rsid w:val="00167FDC"/>
    <w:rsid w:val="00170024"/>
    <w:rsid w:val="00170106"/>
    <w:rsid w:val="001701D7"/>
    <w:rsid w:val="00170577"/>
    <w:rsid w:val="001706D4"/>
    <w:rsid w:val="0017089E"/>
    <w:rsid w:val="00170962"/>
    <w:rsid w:val="00170ABF"/>
    <w:rsid w:val="00170BD5"/>
    <w:rsid w:val="00170F0F"/>
    <w:rsid w:val="00170FC6"/>
    <w:rsid w:val="00171002"/>
    <w:rsid w:val="00171069"/>
    <w:rsid w:val="00171235"/>
    <w:rsid w:val="0017152A"/>
    <w:rsid w:val="0017185E"/>
    <w:rsid w:val="00171955"/>
    <w:rsid w:val="00171993"/>
    <w:rsid w:val="00171A0F"/>
    <w:rsid w:val="00171A25"/>
    <w:rsid w:val="00171BD7"/>
    <w:rsid w:val="00171CA4"/>
    <w:rsid w:val="00171E28"/>
    <w:rsid w:val="0017226C"/>
    <w:rsid w:val="001723C7"/>
    <w:rsid w:val="00172480"/>
    <w:rsid w:val="001724BC"/>
    <w:rsid w:val="00172846"/>
    <w:rsid w:val="001729C2"/>
    <w:rsid w:val="00172C63"/>
    <w:rsid w:val="00172CEE"/>
    <w:rsid w:val="00172F4D"/>
    <w:rsid w:val="00172FD6"/>
    <w:rsid w:val="00173083"/>
    <w:rsid w:val="001730AA"/>
    <w:rsid w:val="001730D9"/>
    <w:rsid w:val="001731DF"/>
    <w:rsid w:val="001732C3"/>
    <w:rsid w:val="00173548"/>
    <w:rsid w:val="0017365C"/>
    <w:rsid w:val="00173670"/>
    <w:rsid w:val="001736C8"/>
    <w:rsid w:val="00173711"/>
    <w:rsid w:val="00173732"/>
    <w:rsid w:val="00173BD5"/>
    <w:rsid w:val="00173E84"/>
    <w:rsid w:val="00173F0C"/>
    <w:rsid w:val="001740AD"/>
    <w:rsid w:val="001740FD"/>
    <w:rsid w:val="00174155"/>
    <w:rsid w:val="00174179"/>
    <w:rsid w:val="00174441"/>
    <w:rsid w:val="00174478"/>
    <w:rsid w:val="001745E5"/>
    <w:rsid w:val="00174701"/>
    <w:rsid w:val="001747CC"/>
    <w:rsid w:val="001749CA"/>
    <w:rsid w:val="00174ABF"/>
    <w:rsid w:val="00174B53"/>
    <w:rsid w:val="00174BA3"/>
    <w:rsid w:val="00174C04"/>
    <w:rsid w:val="00174E0C"/>
    <w:rsid w:val="00174F72"/>
    <w:rsid w:val="001752DF"/>
    <w:rsid w:val="001752EA"/>
    <w:rsid w:val="00175371"/>
    <w:rsid w:val="001754BF"/>
    <w:rsid w:val="001754D1"/>
    <w:rsid w:val="0017566F"/>
    <w:rsid w:val="0017578D"/>
    <w:rsid w:val="00175816"/>
    <w:rsid w:val="00175930"/>
    <w:rsid w:val="00175956"/>
    <w:rsid w:val="00175A1D"/>
    <w:rsid w:val="00175AE9"/>
    <w:rsid w:val="00175BBC"/>
    <w:rsid w:val="00175BC4"/>
    <w:rsid w:val="00175D0C"/>
    <w:rsid w:val="00175DD5"/>
    <w:rsid w:val="00175E99"/>
    <w:rsid w:val="00175EE9"/>
    <w:rsid w:val="0017614B"/>
    <w:rsid w:val="001762F8"/>
    <w:rsid w:val="001765E7"/>
    <w:rsid w:val="001766B3"/>
    <w:rsid w:val="00176738"/>
    <w:rsid w:val="0017678D"/>
    <w:rsid w:val="00176AF8"/>
    <w:rsid w:val="00176B3C"/>
    <w:rsid w:val="00176C85"/>
    <w:rsid w:val="00176CA3"/>
    <w:rsid w:val="00176E2A"/>
    <w:rsid w:val="00176E4C"/>
    <w:rsid w:val="0017731E"/>
    <w:rsid w:val="0017736C"/>
    <w:rsid w:val="001773CA"/>
    <w:rsid w:val="00177492"/>
    <w:rsid w:val="001774FA"/>
    <w:rsid w:val="001775FD"/>
    <w:rsid w:val="00177726"/>
    <w:rsid w:val="00177A96"/>
    <w:rsid w:val="00177C8A"/>
    <w:rsid w:val="00177DB6"/>
    <w:rsid w:val="001802FD"/>
    <w:rsid w:val="001806E7"/>
    <w:rsid w:val="001808AB"/>
    <w:rsid w:val="00180DCB"/>
    <w:rsid w:val="00180EDF"/>
    <w:rsid w:val="00180FC7"/>
    <w:rsid w:val="0018132E"/>
    <w:rsid w:val="001813D0"/>
    <w:rsid w:val="00181612"/>
    <w:rsid w:val="00181835"/>
    <w:rsid w:val="0018188E"/>
    <w:rsid w:val="001818D9"/>
    <w:rsid w:val="001818F3"/>
    <w:rsid w:val="00181A5E"/>
    <w:rsid w:val="00181C38"/>
    <w:rsid w:val="00181C73"/>
    <w:rsid w:val="00181ED6"/>
    <w:rsid w:val="00181F77"/>
    <w:rsid w:val="00181FAC"/>
    <w:rsid w:val="0018204D"/>
    <w:rsid w:val="001822EE"/>
    <w:rsid w:val="001824C9"/>
    <w:rsid w:val="00182871"/>
    <w:rsid w:val="00182877"/>
    <w:rsid w:val="00182AF3"/>
    <w:rsid w:val="0018302D"/>
    <w:rsid w:val="00183077"/>
    <w:rsid w:val="0018349B"/>
    <w:rsid w:val="001834C0"/>
    <w:rsid w:val="0018357C"/>
    <w:rsid w:val="001836A3"/>
    <w:rsid w:val="00183724"/>
    <w:rsid w:val="0018378D"/>
    <w:rsid w:val="001837ED"/>
    <w:rsid w:val="001838D8"/>
    <w:rsid w:val="00183967"/>
    <w:rsid w:val="00183B81"/>
    <w:rsid w:val="00183C1A"/>
    <w:rsid w:val="00183DF9"/>
    <w:rsid w:val="00183ED0"/>
    <w:rsid w:val="00184004"/>
    <w:rsid w:val="00184030"/>
    <w:rsid w:val="0018408F"/>
    <w:rsid w:val="00184140"/>
    <w:rsid w:val="00184445"/>
    <w:rsid w:val="0018477E"/>
    <w:rsid w:val="00184883"/>
    <w:rsid w:val="001848E9"/>
    <w:rsid w:val="00184ADC"/>
    <w:rsid w:val="00184AFF"/>
    <w:rsid w:val="00184C98"/>
    <w:rsid w:val="00184D34"/>
    <w:rsid w:val="00184DB9"/>
    <w:rsid w:val="00184DF7"/>
    <w:rsid w:val="00184FFA"/>
    <w:rsid w:val="001850E1"/>
    <w:rsid w:val="001850EA"/>
    <w:rsid w:val="001851F3"/>
    <w:rsid w:val="0018523F"/>
    <w:rsid w:val="0018529B"/>
    <w:rsid w:val="001852EF"/>
    <w:rsid w:val="00185574"/>
    <w:rsid w:val="001855C4"/>
    <w:rsid w:val="00185839"/>
    <w:rsid w:val="00185942"/>
    <w:rsid w:val="001859E1"/>
    <w:rsid w:val="00185A82"/>
    <w:rsid w:val="00185BD5"/>
    <w:rsid w:val="00185D16"/>
    <w:rsid w:val="00185DA5"/>
    <w:rsid w:val="00185DD2"/>
    <w:rsid w:val="00185E25"/>
    <w:rsid w:val="00185E3A"/>
    <w:rsid w:val="00185FDC"/>
    <w:rsid w:val="00185FF3"/>
    <w:rsid w:val="00186057"/>
    <w:rsid w:val="0018631E"/>
    <w:rsid w:val="001863E7"/>
    <w:rsid w:val="001865C0"/>
    <w:rsid w:val="00186738"/>
    <w:rsid w:val="001868E9"/>
    <w:rsid w:val="00186902"/>
    <w:rsid w:val="00186B6F"/>
    <w:rsid w:val="00186CE0"/>
    <w:rsid w:val="00186D1F"/>
    <w:rsid w:val="00186D2E"/>
    <w:rsid w:val="00186E77"/>
    <w:rsid w:val="00186F13"/>
    <w:rsid w:val="00186F8C"/>
    <w:rsid w:val="00186FEB"/>
    <w:rsid w:val="0018707E"/>
    <w:rsid w:val="0018718C"/>
    <w:rsid w:val="001871AF"/>
    <w:rsid w:val="00187361"/>
    <w:rsid w:val="00187422"/>
    <w:rsid w:val="00187552"/>
    <w:rsid w:val="00187580"/>
    <w:rsid w:val="001877DE"/>
    <w:rsid w:val="00187800"/>
    <w:rsid w:val="001878B2"/>
    <w:rsid w:val="001878D3"/>
    <w:rsid w:val="00187BC2"/>
    <w:rsid w:val="00187BF3"/>
    <w:rsid w:val="00187C5B"/>
    <w:rsid w:val="00187FBA"/>
    <w:rsid w:val="00187FC4"/>
    <w:rsid w:val="00190029"/>
    <w:rsid w:val="001901AB"/>
    <w:rsid w:val="001901FF"/>
    <w:rsid w:val="0019023A"/>
    <w:rsid w:val="0019023D"/>
    <w:rsid w:val="0019027E"/>
    <w:rsid w:val="001902C9"/>
    <w:rsid w:val="00190481"/>
    <w:rsid w:val="00190748"/>
    <w:rsid w:val="001907BB"/>
    <w:rsid w:val="00190B65"/>
    <w:rsid w:val="00190F63"/>
    <w:rsid w:val="00190FF6"/>
    <w:rsid w:val="0019106F"/>
    <w:rsid w:val="001910F8"/>
    <w:rsid w:val="0019118E"/>
    <w:rsid w:val="001912BF"/>
    <w:rsid w:val="001912FD"/>
    <w:rsid w:val="001913FA"/>
    <w:rsid w:val="001915EA"/>
    <w:rsid w:val="0019160E"/>
    <w:rsid w:val="00191706"/>
    <w:rsid w:val="00191792"/>
    <w:rsid w:val="00191C27"/>
    <w:rsid w:val="001920E8"/>
    <w:rsid w:val="001920F8"/>
    <w:rsid w:val="001921D6"/>
    <w:rsid w:val="00192344"/>
    <w:rsid w:val="001924C1"/>
    <w:rsid w:val="00192508"/>
    <w:rsid w:val="001925A5"/>
    <w:rsid w:val="001926F2"/>
    <w:rsid w:val="00192837"/>
    <w:rsid w:val="00192907"/>
    <w:rsid w:val="00192915"/>
    <w:rsid w:val="00192BD2"/>
    <w:rsid w:val="00192BDC"/>
    <w:rsid w:val="00192DC7"/>
    <w:rsid w:val="00192E44"/>
    <w:rsid w:val="00192F69"/>
    <w:rsid w:val="00192FF9"/>
    <w:rsid w:val="00193198"/>
    <w:rsid w:val="00193303"/>
    <w:rsid w:val="00193835"/>
    <w:rsid w:val="00193D52"/>
    <w:rsid w:val="00193EB6"/>
    <w:rsid w:val="00193F1D"/>
    <w:rsid w:val="00193FD3"/>
    <w:rsid w:val="001941ED"/>
    <w:rsid w:val="0019432E"/>
    <w:rsid w:val="001943C2"/>
    <w:rsid w:val="0019448A"/>
    <w:rsid w:val="001945A2"/>
    <w:rsid w:val="00194774"/>
    <w:rsid w:val="001949BC"/>
    <w:rsid w:val="00194AA7"/>
    <w:rsid w:val="00194B80"/>
    <w:rsid w:val="00194EA8"/>
    <w:rsid w:val="00194EAB"/>
    <w:rsid w:val="00194F01"/>
    <w:rsid w:val="00194F42"/>
    <w:rsid w:val="00194F4E"/>
    <w:rsid w:val="00194FD1"/>
    <w:rsid w:val="0019509D"/>
    <w:rsid w:val="001950A1"/>
    <w:rsid w:val="0019521B"/>
    <w:rsid w:val="00195521"/>
    <w:rsid w:val="0019558B"/>
    <w:rsid w:val="00195591"/>
    <w:rsid w:val="001955C6"/>
    <w:rsid w:val="0019561B"/>
    <w:rsid w:val="00195636"/>
    <w:rsid w:val="00195666"/>
    <w:rsid w:val="0019566C"/>
    <w:rsid w:val="00195772"/>
    <w:rsid w:val="0019587C"/>
    <w:rsid w:val="001958FD"/>
    <w:rsid w:val="001959ED"/>
    <w:rsid w:val="00195D64"/>
    <w:rsid w:val="00195E5C"/>
    <w:rsid w:val="00195E65"/>
    <w:rsid w:val="00195FD5"/>
    <w:rsid w:val="00195FF8"/>
    <w:rsid w:val="0019603A"/>
    <w:rsid w:val="0019626D"/>
    <w:rsid w:val="001962FE"/>
    <w:rsid w:val="001963AF"/>
    <w:rsid w:val="0019642B"/>
    <w:rsid w:val="00196451"/>
    <w:rsid w:val="00196534"/>
    <w:rsid w:val="001965B7"/>
    <w:rsid w:val="001966CC"/>
    <w:rsid w:val="00196818"/>
    <w:rsid w:val="00196A02"/>
    <w:rsid w:val="00196AB7"/>
    <w:rsid w:val="00196BF2"/>
    <w:rsid w:val="00196C56"/>
    <w:rsid w:val="00196CF9"/>
    <w:rsid w:val="00196DB9"/>
    <w:rsid w:val="00196EA4"/>
    <w:rsid w:val="00196F82"/>
    <w:rsid w:val="0019747F"/>
    <w:rsid w:val="0019756B"/>
    <w:rsid w:val="00197610"/>
    <w:rsid w:val="00197757"/>
    <w:rsid w:val="00197762"/>
    <w:rsid w:val="001977F7"/>
    <w:rsid w:val="001979A5"/>
    <w:rsid w:val="00197B77"/>
    <w:rsid w:val="00197D49"/>
    <w:rsid w:val="00197DAC"/>
    <w:rsid w:val="00197DB2"/>
    <w:rsid w:val="001A01CA"/>
    <w:rsid w:val="001A02DD"/>
    <w:rsid w:val="001A0315"/>
    <w:rsid w:val="001A0364"/>
    <w:rsid w:val="001A03C1"/>
    <w:rsid w:val="001A0433"/>
    <w:rsid w:val="001A05EB"/>
    <w:rsid w:val="001A060F"/>
    <w:rsid w:val="001A0625"/>
    <w:rsid w:val="001A0673"/>
    <w:rsid w:val="001A0912"/>
    <w:rsid w:val="001A0927"/>
    <w:rsid w:val="001A0A84"/>
    <w:rsid w:val="001A0ABE"/>
    <w:rsid w:val="001A0BBA"/>
    <w:rsid w:val="001A0C93"/>
    <w:rsid w:val="001A0CAB"/>
    <w:rsid w:val="001A0F4F"/>
    <w:rsid w:val="001A1375"/>
    <w:rsid w:val="001A165D"/>
    <w:rsid w:val="001A17F2"/>
    <w:rsid w:val="001A18B6"/>
    <w:rsid w:val="001A18D6"/>
    <w:rsid w:val="001A18F4"/>
    <w:rsid w:val="001A1B32"/>
    <w:rsid w:val="001A1B77"/>
    <w:rsid w:val="001A1CF0"/>
    <w:rsid w:val="001A1D7B"/>
    <w:rsid w:val="001A1FE3"/>
    <w:rsid w:val="001A2113"/>
    <w:rsid w:val="001A21C4"/>
    <w:rsid w:val="001A221C"/>
    <w:rsid w:val="001A24D4"/>
    <w:rsid w:val="001A26B5"/>
    <w:rsid w:val="001A2EEF"/>
    <w:rsid w:val="001A2FC1"/>
    <w:rsid w:val="001A3064"/>
    <w:rsid w:val="001A30D7"/>
    <w:rsid w:val="001A31CE"/>
    <w:rsid w:val="001A31D7"/>
    <w:rsid w:val="001A323E"/>
    <w:rsid w:val="001A3688"/>
    <w:rsid w:val="001A36DE"/>
    <w:rsid w:val="001A37C6"/>
    <w:rsid w:val="001A39CD"/>
    <w:rsid w:val="001A39F6"/>
    <w:rsid w:val="001A3A3E"/>
    <w:rsid w:val="001A3B61"/>
    <w:rsid w:val="001A3CF3"/>
    <w:rsid w:val="001A3EB6"/>
    <w:rsid w:val="001A403A"/>
    <w:rsid w:val="001A4235"/>
    <w:rsid w:val="001A4483"/>
    <w:rsid w:val="001A469F"/>
    <w:rsid w:val="001A46FD"/>
    <w:rsid w:val="001A484E"/>
    <w:rsid w:val="001A496B"/>
    <w:rsid w:val="001A4974"/>
    <w:rsid w:val="001A49E0"/>
    <w:rsid w:val="001A4A28"/>
    <w:rsid w:val="001A4D07"/>
    <w:rsid w:val="001A5003"/>
    <w:rsid w:val="001A50E0"/>
    <w:rsid w:val="001A5106"/>
    <w:rsid w:val="001A531E"/>
    <w:rsid w:val="001A5595"/>
    <w:rsid w:val="001A56E3"/>
    <w:rsid w:val="001A5A34"/>
    <w:rsid w:val="001A5AF5"/>
    <w:rsid w:val="001A5CC7"/>
    <w:rsid w:val="001A5D2C"/>
    <w:rsid w:val="001A62C2"/>
    <w:rsid w:val="001A63A0"/>
    <w:rsid w:val="001A6451"/>
    <w:rsid w:val="001A64AF"/>
    <w:rsid w:val="001A6805"/>
    <w:rsid w:val="001A6832"/>
    <w:rsid w:val="001A6846"/>
    <w:rsid w:val="001A6884"/>
    <w:rsid w:val="001A6A4A"/>
    <w:rsid w:val="001A6A81"/>
    <w:rsid w:val="001A6B5C"/>
    <w:rsid w:val="001A6BCC"/>
    <w:rsid w:val="001A6C15"/>
    <w:rsid w:val="001A6C93"/>
    <w:rsid w:val="001A6CBE"/>
    <w:rsid w:val="001A6D30"/>
    <w:rsid w:val="001A6DB3"/>
    <w:rsid w:val="001A6EF3"/>
    <w:rsid w:val="001A708F"/>
    <w:rsid w:val="001A7091"/>
    <w:rsid w:val="001A7125"/>
    <w:rsid w:val="001A7225"/>
    <w:rsid w:val="001A737B"/>
    <w:rsid w:val="001A73C4"/>
    <w:rsid w:val="001A7491"/>
    <w:rsid w:val="001A752D"/>
    <w:rsid w:val="001A7844"/>
    <w:rsid w:val="001A794A"/>
    <w:rsid w:val="001A79F1"/>
    <w:rsid w:val="001A7B52"/>
    <w:rsid w:val="001A7BF1"/>
    <w:rsid w:val="001A7CBD"/>
    <w:rsid w:val="001A7D51"/>
    <w:rsid w:val="001A7DDB"/>
    <w:rsid w:val="001A7E61"/>
    <w:rsid w:val="001A7F05"/>
    <w:rsid w:val="001A7F1E"/>
    <w:rsid w:val="001B014C"/>
    <w:rsid w:val="001B017B"/>
    <w:rsid w:val="001B01A5"/>
    <w:rsid w:val="001B021F"/>
    <w:rsid w:val="001B02FC"/>
    <w:rsid w:val="001B039C"/>
    <w:rsid w:val="001B0661"/>
    <w:rsid w:val="001B069A"/>
    <w:rsid w:val="001B080F"/>
    <w:rsid w:val="001B09F9"/>
    <w:rsid w:val="001B0B00"/>
    <w:rsid w:val="001B0B0E"/>
    <w:rsid w:val="001B0CCE"/>
    <w:rsid w:val="001B0FD2"/>
    <w:rsid w:val="001B0FE0"/>
    <w:rsid w:val="001B0FEC"/>
    <w:rsid w:val="001B1099"/>
    <w:rsid w:val="001B1293"/>
    <w:rsid w:val="001B12CB"/>
    <w:rsid w:val="001B13BD"/>
    <w:rsid w:val="001B140C"/>
    <w:rsid w:val="001B14B9"/>
    <w:rsid w:val="001B1593"/>
    <w:rsid w:val="001B16DB"/>
    <w:rsid w:val="001B18AD"/>
    <w:rsid w:val="001B1A3E"/>
    <w:rsid w:val="001B1BE8"/>
    <w:rsid w:val="001B1D00"/>
    <w:rsid w:val="001B1F92"/>
    <w:rsid w:val="001B1FDD"/>
    <w:rsid w:val="001B204B"/>
    <w:rsid w:val="001B2094"/>
    <w:rsid w:val="001B2193"/>
    <w:rsid w:val="001B21D3"/>
    <w:rsid w:val="001B2211"/>
    <w:rsid w:val="001B22D5"/>
    <w:rsid w:val="001B2387"/>
    <w:rsid w:val="001B24F6"/>
    <w:rsid w:val="001B2506"/>
    <w:rsid w:val="001B2B30"/>
    <w:rsid w:val="001B2B8F"/>
    <w:rsid w:val="001B2C22"/>
    <w:rsid w:val="001B30D7"/>
    <w:rsid w:val="001B310D"/>
    <w:rsid w:val="001B326F"/>
    <w:rsid w:val="001B32D0"/>
    <w:rsid w:val="001B332D"/>
    <w:rsid w:val="001B34D4"/>
    <w:rsid w:val="001B3629"/>
    <w:rsid w:val="001B36C4"/>
    <w:rsid w:val="001B3867"/>
    <w:rsid w:val="001B3918"/>
    <w:rsid w:val="001B39E7"/>
    <w:rsid w:val="001B3AAA"/>
    <w:rsid w:val="001B3BD6"/>
    <w:rsid w:val="001B3C8C"/>
    <w:rsid w:val="001B423B"/>
    <w:rsid w:val="001B4308"/>
    <w:rsid w:val="001B457E"/>
    <w:rsid w:val="001B45C7"/>
    <w:rsid w:val="001B46F8"/>
    <w:rsid w:val="001B4868"/>
    <w:rsid w:val="001B4872"/>
    <w:rsid w:val="001B4BC0"/>
    <w:rsid w:val="001B4C61"/>
    <w:rsid w:val="001B4CC2"/>
    <w:rsid w:val="001B4E6D"/>
    <w:rsid w:val="001B4EA4"/>
    <w:rsid w:val="001B4F2B"/>
    <w:rsid w:val="001B4F73"/>
    <w:rsid w:val="001B50DD"/>
    <w:rsid w:val="001B5161"/>
    <w:rsid w:val="001B520C"/>
    <w:rsid w:val="001B520F"/>
    <w:rsid w:val="001B53F2"/>
    <w:rsid w:val="001B570C"/>
    <w:rsid w:val="001B57F3"/>
    <w:rsid w:val="001B588F"/>
    <w:rsid w:val="001B5895"/>
    <w:rsid w:val="001B5938"/>
    <w:rsid w:val="001B597C"/>
    <w:rsid w:val="001B5C2E"/>
    <w:rsid w:val="001B5C4C"/>
    <w:rsid w:val="001B5D0A"/>
    <w:rsid w:val="001B5D2B"/>
    <w:rsid w:val="001B5EC6"/>
    <w:rsid w:val="001B5F69"/>
    <w:rsid w:val="001B6125"/>
    <w:rsid w:val="001B612E"/>
    <w:rsid w:val="001B65DA"/>
    <w:rsid w:val="001B6616"/>
    <w:rsid w:val="001B6620"/>
    <w:rsid w:val="001B6A53"/>
    <w:rsid w:val="001B6C7C"/>
    <w:rsid w:val="001B6F27"/>
    <w:rsid w:val="001B6FA4"/>
    <w:rsid w:val="001B7084"/>
    <w:rsid w:val="001B7099"/>
    <w:rsid w:val="001B7106"/>
    <w:rsid w:val="001B7143"/>
    <w:rsid w:val="001B7289"/>
    <w:rsid w:val="001B728B"/>
    <w:rsid w:val="001B72E4"/>
    <w:rsid w:val="001B7397"/>
    <w:rsid w:val="001B7493"/>
    <w:rsid w:val="001B78A2"/>
    <w:rsid w:val="001B7907"/>
    <w:rsid w:val="001B7984"/>
    <w:rsid w:val="001B7A01"/>
    <w:rsid w:val="001B7A43"/>
    <w:rsid w:val="001B7ACD"/>
    <w:rsid w:val="001B7C6E"/>
    <w:rsid w:val="001B7CEE"/>
    <w:rsid w:val="001B7F3E"/>
    <w:rsid w:val="001C02D8"/>
    <w:rsid w:val="001C034B"/>
    <w:rsid w:val="001C03DB"/>
    <w:rsid w:val="001C05EF"/>
    <w:rsid w:val="001C0686"/>
    <w:rsid w:val="001C0792"/>
    <w:rsid w:val="001C08D8"/>
    <w:rsid w:val="001C08F5"/>
    <w:rsid w:val="001C0BB1"/>
    <w:rsid w:val="001C0D11"/>
    <w:rsid w:val="001C0D93"/>
    <w:rsid w:val="001C0DF3"/>
    <w:rsid w:val="001C0EBD"/>
    <w:rsid w:val="001C0F05"/>
    <w:rsid w:val="001C0F65"/>
    <w:rsid w:val="001C1013"/>
    <w:rsid w:val="001C10D2"/>
    <w:rsid w:val="001C11FA"/>
    <w:rsid w:val="001C1209"/>
    <w:rsid w:val="001C1248"/>
    <w:rsid w:val="001C134C"/>
    <w:rsid w:val="001C136C"/>
    <w:rsid w:val="001C1646"/>
    <w:rsid w:val="001C16F4"/>
    <w:rsid w:val="001C17C7"/>
    <w:rsid w:val="001C17DC"/>
    <w:rsid w:val="001C187F"/>
    <w:rsid w:val="001C188A"/>
    <w:rsid w:val="001C18ED"/>
    <w:rsid w:val="001C1B64"/>
    <w:rsid w:val="001C1B7D"/>
    <w:rsid w:val="001C1B93"/>
    <w:rsid w:val="001C1DEF"/>
    <w:rsid w:val="001C1E50"/>
    <w:rsid w:val="001C1E8E"/>
    <w:rsid w:val="001C216B"/>
    <w:rsid w:val="001C2276"/>
    <w:rsid w:val="001C22AB"/>
    <w:rsid w:val="001C22BD"/>
    <w:rsid w:val="001C22F7"/>
    <w:rsid w:val="001C23D7"/>
    <w:rsid w:val="001C257E"/>
    <w:rsid w:val="001C26D0"/>
    <w:rsid w:val="001C26D4"/>
    <w:rsid w:val="001C28F5"/>
    <w:rsid w:val="001C290D"/>
    <w:rsid w:val="001C2936"/>
    <w:rsid w:val="001C2A07"/>
    <w:rsid w:val="001C2B96"/>
    <w:rsid w:val="001C2BDC"/>
    <w:rsid w:val="001C2C79"/>
    <w:rsid w:val="001C2CF5"/>
    <w:rsid w:val="001C348B"/>
    <w:rsid w:val="001C36F4"/>
    <w:rsid w:val="001C374C"/>
    <w:rsid w:val="001C3776"/>
    <w:rsid w:val="001C3939"/>
    <w:rsid w:val="001C398C"/>
    <w:rsid w:val="001C3A68"/>
    <w:rsid w:val="001C3B25"/>
    <w:rsid w:val="001C3C62"/>
    <w:rsid w:val="001C3C69"/>
    <w:rsid w:val="001C3E0B"/>
    <w:rsid w:val="001C401D"/>
    <w:rsid w:val="001C4031"/>
    <w:rsid w:val="001C4338"/>
    <w:rsid w:val="001C43A1"/>
    <w:rsid w:val="001C44BB"/>
    <w:rsid w:val="001C456A"/>
    <w:rsid w:val="001C45B2"/>
    <w:rsid w:val="001C46CB"/>
    <w:rsid w:val="001C494F"/>
    <w:rsid w:val="001C4969"/>
    <w:rsid w:val="001C49DE"/>
    <w:rsid w:val="001C4A4C"/>
    <w:rsid w:val="001C4BFD"/>
    <w:rsid w:val="001C4C69"/>
    <w:rsid w:val="001C4E81"/>
    <w:rsid w:val="001C4F74"/>
    <w:rsid w:val="001C4FB4"/>
    <w:rsid w:val="001C4FF5"/>
    <w:rsid w:val="001C5159"/>
    <w:rsid w:val="001C55D6"/>
    <w:rsid w:val="001C570F"/>
    <w:rsid w:val="001C5735"/>
    <w:rsid w:val="001C5864"/>
    <w:rsid w:val="001C587C"/>
    <w:rsid w:val="001C5907"/>
    <w:rsid w:val="001C5C72"/>
    <w:rsid w:val="001C5CC6"/>
    <w:rsid w:val="001C5D3B"/>
    <w:rsid w:val="001C5FEB"/>
    <w:rsid w:val="001C6012"/>
    <w:rsid w:val="001C62A0"/>
    <w:rsid w:val="001C62EF"/>
    <w:rsid w:val="001C640D"/>
    <w:rsid w:val="001C64A2"/>
    <w:rsid w:val="001C64FE"/>
    <w:rsid w:val="001C652D"/>
    <w:rsid w:val="001C66B1"/>
    <w:rsid w:val="001C6700"/>
    <w:rsid w:val="001C6B45"/>
    <w:rsid w:val="001C6B4D"/>
    <w:rsid w:val="001C6D16"/>
    <w:rsid w:val="001C6F01"/>
    <w:rsid w:val="001C6F0A"/>
    <w:rsid w:val="001C6F15"/>
    <w:rsid w:val="001C6F91"/>
    <w:rsid w:val="001C6F95"/>
    <w:rsid w:val="001C701E"/>
    <w:rsid w:val="001C7047"/>
    <w:rsid w:val="001C7054"/>
    <w:rsid w:val="001C714E"/>
    <w:rsid w:val="001C717C"/>
    <w:rsid w:val="001C7297"/>
    <w:rsid w:val="001C77BE"/>
    <w:rsid w:val="001C7997"/>
    <w:rsid w:val="001C7C02"/>
    <w:rsid w:val="001C7C08"/>
    <w:rsid w:val="001C7C19"/>
    <w:rsid w:val="001D0365"/>
    <w:rsid w:val="001D038A"/>
    <w:rsid w:val="001D04BD"/>
    <w:rsid w:val="001D051F"/>
    <w:rsid w:val="001D0526"/>
    <w:rsid w:val="001D06CB"/>
    <w:rsid w:val="001D0750"/>
    <w:rsid w:val="001D0881"/>
    <w:rsid w:val="001D08AA"/>
    <w:rsid w:val="001D0A15"/>
    <w:rsid w:val="001D0A59"/>
    <w:rsid w:val="001D0A6A"/>
    <w:rsid w:val="001D0A7F"/>
    <w:rsid w:val="001D0D70"/>
    <w:rsid w:val="001D0D9E"/>
    <w:rsid w:val="001D0E36"/>
    <w:rsid w:val="001D0F2F"/>
    <w:rsid w:val="001D0F48"/>
    <w:rsid w:val="001D0F60"/>
    <w:rsid w:val="001D10EB"/>
    <w:rsid w:val="001D10FF"/>
    <w:rsid w:val="001D114F"/>
    <w:rsid w:val="001D1242"/>
    <w:rsid w:val="001D1262"/>
    <w:rsid w:val="001D1298"/>
    <w:rsid w:val="001D130F"/>
    <w:rsid w:val="001D1383"/>
    <w:rsid w:val="001D146F"/>
    <w:rsid w:val="001D148C"/>
    <w:rsid w:val="001D180D"/>
    <w:rsid w:val="001D1939"/>
    <w:rsid w:val="001D1A5A"/>
    <w:rsid w:val="001D1AF2"/>
    <w:rsid w:val="001D200F"/>
    <w:rsid w:val="001D2027"/>
    <w:rsid w:val="001D2248"/>
    <w:rsid w:val="001D2304"/>
    <w:rsid w:val="001D236E"/>
    <w:rsid w:val="001D23F3"/>
    <w:rsid w:val="001D2640"/>
    <w:rsid w:val="001D27C5"/>
    <w:rsid w:val="001D2803"/>
    <w:rsid w:val="001D29BF"/>
    <w:rsid w:val="001D2A27"/>
    <w:rsid w:val="001D2CF8"/>
    <w:rsid w:val="001D2D26"/>
    <w:rsid w:val="001D2D2C"/>
    <w:rsid w:val="001D2FF8"/>
    <w:rsid w:val="001D313A"/>
    <w:rsid w:val="001D316F"/>
    <w:rsid w:val="001D32A8"/>
    <w:rsid w:val="001D333A"/>
    <w:rsid w:val="001D36BD"/>
    <w:rsid w:val="001D3769"/>
    <w:rsid w:val="001D3924"/>
    <w:rsid w:val="001D39D0"/>
    <w:rsid w:val="001D3A7D"/>
    <w:rsid w:val="001D3CCE"/>
    <w:rsid w:val="001D3E45"/>
    <w:rsid w:val="001D3E78"/>
    <w:rsid w:val="001D4039"/>
    <w:rsid w:val="001D40BF"/>
    <w:rsid w:val="001D410E"/>
    <w:rsid w:val="001D41CE"/>
    <w:rsid w:val="001D4337"/>
    <w:rsid w:val="001D43DA"/>
    <w:rsid w:val="001D4561"/>
    <w:rsid w:val="001D4643"/>
    <w:rsid w:val="001D465B"/>
    <w:rsid w:val="001D479F"/>
    <w:rsid w:val="001D4877"/>
    <w:rsid w:val="001D4C7B"/>
    <w:rsid w:val="001D4D14"/>
    <w:rsid w:val="001D4E4C"/>
    <w:rsid w:val="001D4EB1"/>
    <w:rsid w:val="001D4F1A"/>
    <w:rsid w:val="001D4FCA"/>
    <w:rsid w:val="001D503B"/>
    <w:rsid w:val="001D518F"/>
    <w:rsid w:val="001D521C"/>
    <w:rsid w:val="001D527D"/>
    <w:rsid w:val="001D547F"/>
    <w:rsid w:val="001D5573"/>
    <w:rsid w:val="001D56B3"/>
    <w:rsid w:val="001D59EE"/>
    <w:rsid w:val="001D5B39"/>
    <w:rsid w:val="001D5BF7"/>
    <w:rsid w:val="001D5DE7"/>
    <w:rsid w:val="001D5EED"/>
    <w:rsid w:val="001D5F12"/>
    <w:rsid w:val="001D6014"/>
    <w:rsid w:val="001D62EB"/>
    <w:rsid w:val="001D65B0"/>
    <w:rsid w:val="001D662F"/>
    <w:rsid w:val="001D68D8"/>
    <w:rsid w:val="001D6A53"/>
    <w:rsid w:val="001D6AC8"/>
    <w:rsid w:val="001D6B25"/>
    <w:rsid w:val="001D6C0E"/>
    <w:rsid w:val="001D6CBE"/>
    <w:rsid w:val="001D6CC7"/>
    <w:rsid w:val="001D7251"/>
    <w:rsid w:val="001D7271"/>
    <w:rsid w:val="001D72DF"/>
    <w:rsid w:val="001D730B"/>
    <w:rsid w:val="001D730E"/>
    <w:rsid w:val="001D7436"/>
    <w:rsid w:val="001D74CC"/>
    <w:rsid w:val="001D76CD"/>
    <w:rsid w:val="001D76D1"/>
    <w:rsid w:val="001D76E9"/>
    <w:rsid w:val="001D77CE"/>
    <w:rsid w:val="001D7864"/>
    <w:rsid w:val="001D78F8"/>
    <w:rsid w:val="001D7981"/>
    <w:rsid w:val="001D7A8D"/>
    <w:rsid w:val="001D7C93"/>
    <w:rsid w:val="001D7C98"/>
    <w:rsid w:val="001D7CE1"/>
    <w:rsid w:val="001D7D17"/>
    <w:rsid w:val="001E041A"/>
    <w:rsid w:val="001E058B"/>
    <w:rsid w:val="001E0647"/>
    <w:rsid w:val="001E065C"/>
    <w:rsid w:val="001E075F"/>
    <w:rsid w:val="001E0765"/>
    <w:rsid w:val="001E0815"/>
    <w:rsid w:val="001E084F"/>
    <w:rsid w:val="001E0910"/>
    <w:rsid w:val="001E092F"/>
    <w:rsid w:val="001E0D7A"/>
    <w:rsid w:val="001E0F0F"/>
    <w:rsid w:val="001E1174"/>
    <w:rsid w:val="001E118A"/>
    <w:rsid w:val="001E1210"/>
    <w:rsid w:val="001E1242"/>
    <w:rsid w:val="001E1422"/>
    <w:rsid w:val="001E14ED"/>
    <w:rsid w:val="001E15BC"/>
    <w:rsid w:val="001E16D3"/>
    <w:rsid w:val="001E1773"/>
    <w:rsid w:val="001E1842"/>
    <w:rsid w:val="001E1876"/>
    <w:rsid w:val="001E1B75"/>
    <w:rsid w:val="001E1C08"/>
    <w:rsid w:val="001E1CE9"/>
    <w:rsid w:val="001E1D49"/>
    <w:rsid w:val="001E2015"/>
    <w:rsid w:val="001E208C"/>
    <w:rsid w:val="001E208E"/>
    <w:rsid w:val="001E20BB"/>
    <w:rsid w:val="001E25EF"/>
    <w:rsid w:val="001E26F7"/>
    <w:rsid w:val="001E294C"/>
    <w:rsid w:val="001E2E1C"/>
    <w:rsid w:val="001E2EB0"/>
    <w:rsid w:val="001E2F2C"/>
    <w:rsid w:val="001E31CF"/>
    <w:rsid w:val="001E31F7"/>
    <w:rsid w:val="001E3219"/>
    <w:rsid w:val="001E3445"/>
    <w:rsid w:val="001E34AB"/>
    <w:rsid w:val="001E34AF"/>
    <w:rsid w:val="001E35F2"/>
    <w:rsid w:val="001E37B8"/>
    <w:rsid w:val="001E38FC"/>
    <w:rsid w:val="001E3993"/>
    <w:rsid w:val="001E3A9E"/>
    <w:rsid w:val="001E3B3B"/>
    <w:rsid w:val="001E3B9B"/>
    <w:rsid w:val="001E3C12"/>
    <w:rsid w:val="001E3D3D"/>
    <w:rsid w:val="001E3E47"/>
    <w:rsid w:val="001E3F9C"/>
    <w:rsid w:val="001E40BC"/>
    <w:rsid w:val="001E40F3"/>
    <w:rsid w:val="001E412F"/>
    <w:rsid w:val="001E4243"/>
    <w:rsid w:val="001E42C0"/>
    <w:rsid w:val="001E436E"/>
    <w:rsid w:val="001E44F1"/>
    <w:rsid w:val="001E4A99"/>
    <w:rsid w:val="001E4AB7"/>
    <w:rsid w:val="001E4B92"/>
    <w:rsid w:val="001E4BB2"/>
    <w:rsid w:val="001E4BB4"/>
    <w:rsid w:val="001E4BD2"/>
    <w:rsid w:val="001E4BFB"/>
    <w:rsid w:val="001E4D31"/>
    <w:rsid w:val="001E4E97"/>
    <w:rsid w:val="001E4EE3"/>
    <w:rsid w:val="001E4EEB"/>
    <w:rsid w:val="001E4FD4"/>
    <w:rsid w:val="001E50EE"/>
    <w:rsid w:val="001E52F5"/>
    <w:rsid w:val="001E543F"/>
    <w:rsid w:val="001E545E"/>
    <w:rsid w:val="001E5466"/>
    <w:rsid w:val="001E54CF"/>
    <w:rsid w:val="001E54FD"/>
    <w:rsid w:val="001E5532"/>
    <w:rsid w:val="001E55C0"/>
    <w:rsid w:val="001E55C6"/>
    <w:rsid w:val="001E5A4F"/>
    <w:rsid w:val="001E5B19"/>
    <w:rsid w:val="001E5B48"/>
    <w:rsid w:val="001E5BCB"/>
    <w:rsid w:val="001E5CB4"/>
    <w:rsid w:val="001E5D75"/>
    <w:rsid w:val="001E5E81"/>
    <w:rsid w:val="001E6048"/>
    <w:rsid w:val="001E60A3"/>
    <w:rsid w:val="001E617C"/>
    <w:rsid w:val="001E632F"/>
    <w:rsid w:val="001E63E7"/>
    <w:rsid w:val="001E644B"/>
    <w:rsid w:val="001E64A2"/>
    <w:rsid w:val="001E64E4"/>
    <w:rsid w:val="001E64E7"/>
    <w:rsid w:val="001E65FE"/>
    <w:rsid w:val="001E671C"/>
    <w:rsid w:val="001E6BE9"/>
    <w:rsid w:val="001E6CBD"/>
    <w:rsid w:val="001E6D39"/>
    <w:rsid w:val="001E7081"/>
    <w:rsid w:val="001E713C"/>
    <w:rsid w:val="001E722F"/>
    <w:rsid w:val="001E72C2"/>
    <w:rsid w:val="001E7440"/>
    <w:rsid w:val="001E74B0"/>
    <w:rsid w:val="001E75B0"/>
    <w:rsid w:val="001E7725"/>
    <w:rsid w:val="001E7B0D"/>
    <w:rsid w:val="001E7C05"/>
    <w:rsid w:val="001E7EA5"/>
    <w:rsid w:val="001E7EE9"/>
    <w:rsid w:val="001F014E"/>
    <w:rsid w:val="001F08AB"/>
    <w:rsid w:val="001F08F8"/>
    <w:rsid w:val="001F09A3"/>
    <w:rsid w:val="001F0A57"/>
    <w:rsid w:val="001F0D9B"/>
    <w:rsid w:val="001F0E0B"/>
    <w:rsid w:val="001F0E3C"/>
    <w:rsid w:val="001F0E4A"/>
    <w:rsid w:val="001F0F1B"/>
    <w:rsid w:val="001F1408"/>
    <w:rsid w:val="001F1518"/>
    <w:rsid w:val="001F151F"/>
    <w:rsid w:val="001F1859"/>
    <w:rsid w:val="001F1BA9"/>
    <w:rsid w:val="001F1FD7"/>
    <w:rsid w:val="001F20E1"/>
    <w:rsid w:val="001F21D9"/>
    <w:rsid w:val="001F222D"/>
    <w:rsid w:val="001F25A9"/>
    <w:rsid w:val="001F25F0"/>
    <w:rsid w:val="001F26E7"/>
    <w:rsid w:val="001F2750"/>
    <w:rsid w:val="001F27B6"/>
    <w:rsid w:val="001F2A10"/>
    <w:rsid w:val="001F2A64"/>
    <w:rsid w:val="001F2B36"/>
    <w:rsid w:val="001F2C9A"/>
    <w:rsid w:val="001F2D4C"/>
    <w:rsid w:val="001F2E77"/>
    <w:rsid w:val="001F2F8C"/>
    <w:rsid w:val="001F3072"/>
    <w:rsid w:val="001F30C4"/>
    <w:rsid w:val="001F356A"/>
    <w:rsid w:val="001F3651"/>
    <w:rsid w:val="001F36DD"/>
    <w:rsid w:val="001F3CB0"/>
    <w:rsid w:val="001F3D50"/>
    <w:rsid w:val="001F3E34"/>
    <w:rsid w:val="001F400D"/>
    <w:rsid w:val="001F4045"/>
    <w:rsid w:val="001F4158"/>
    <w:rsid w:val="001F4161"/>
    <w:rsid w:val="001F42AE"/>
    <w:rsid w:val="001F435D"/>
    <w:rsid w:val="001F44C4"/>
    <w:rsid w:val="001F45AB"/>
    <w:rsid w:val="001F473A"/>
    <w:rsid w:val="001F4840"/>
    <w:rsid w:val="001F4A3A"/>
    <w:rsid w:val="001F4C17"/>
    <w:rsid w:val="001F4D00"/>
    <w:rsid w:val="001F4F20"/>
    <w:rsid w:val="001F4FF2"/>
    <w:rsid w:val="001F5071"/>
    <w:rsid w:val="001F509E"/>
    <w:rsid w:val="001F52D3"/>
    <w:rsid w:val="001F53A3"/>
    <w:rsid w:val="001F54E6"/>
    <w:rsid w:val="001F55C7"/>
    <w:rsid w:val="001F55F4"/>
    <w:rsid w:val="001F56F3"/>
    <w:rsid w:val="001F577A"/>
    <w:rsid w:val="001F57B5"/>
    <w:rsid w:val="001F57FE"/>
    <w:rsid w:val="001F5AF4"/>
    <w:rsid w:val="001F5D0A"/>
    <w:rsid w:val="001F5E14"/>
    <w:rsid w:val="001F5FFD"/>
    <w:rsid w:val="001F61B2"/>
    <w:rsid w:val="001F61D1"/>
    <w:rsid w:val="001F6261"/>
    <w:rsid w:val="001F6268"/>
    <w:rsid w:val="001F63DE"/>
    <w:rsid w:val="001F63E0"/>
    <w:rsid w:val="001F64C6"/>
    <w:rsid w:val="001F6508"/>
    <w:rsid w:val="001F6533"/>
    <w:rsid w:val="001F653E"/>
    <w:rsid w:val="001F658A"/>
    <w:rsid w:val="001F68F6"/>
    <w:rsid w:val="001F6986"/>
    <w:rsid w:val="001F6B6C"/>
    <w:rsid w:val="001F6C95"/>
    <w:rsid w:val="001F716D"/>
    <w:rsid w:val="001F7390"/>
    <w:rsid w:val="001F73FB"/>
    <w:rsid w:val="001F7645"/>
    <w:rsid w:val="001F772D"/>
    <w:rsid w:val="001F774B"/>
    <w:rsid w:val="001F77B2"/>
    <w:rsid w:val="001F77E6"/>
    <w:rsid w:val="001F7A46"/>
    <w:rsid w:val="001F7A4D"/>
    <w:rsid w:val="001F7ABD"/>
    <w:rsid w:val="001F7AD9"/>
    <w:rsid w:val="001F7C37"/>
    <w:rsid w:val="001F7C70"/>
    <w:rsid w:val="001F7D38"/>
    <w:rsid w:val="001F7D5B"/>
    <w:rsid w:val="001F7D90"/>
    <w:rsid w:val="001F7FD0"/>
    <w:rsid w:val="001F7FEA"/>
    <w:rsid w:val="00200060"/>
    <w:rsid w:val="00200126"/>
    <w:rsid w:val="00200199"/>
    <w:rsid w:val="002001D7"/>
    <w:rsid w:val="0020044E"/>
    <w:rsid w:val="0020046B"/>
    <w:rsid w:val="0020052F"/>
    <w:rsid w:val="00200890"/>
    <w:rsid w:val="00200928"/>
    <w:rsid w:val="00200BCF"/>
    <w:rsid w:val="00200CEC"/>
    <w:rsid w:val="00200F4E"/>
    <w:rsid w:val="0020112B"/>
    <w:rsid w:val="0020141A"/>
    <w:rsid w:val="0020152F"/>
    <w:rsid w:val="00201665"/>
    <w:rsid w:val="00201694"/>
    <w:rsid w:val="0020188C"/>
    <w:rsid w:val="00201983"/>
    <w:rsid w:val="002019A3"/>
    <w:rsid w:val="00201C36"/>
    <w:rsid w:val="00201CBD"/>
    <w:rsid w:val="00201E34"/>
    <w:rsid w:val="00202015"/>
    <w:rsid w:val="002020E6"/>
    <w:rsid w:val="002022CC"/>
    <w:rsid w:val="002023B8"/>
    <w:rsid w:val="0020288E"/>
    <w:rsid w:val="0020291A"/>
    <w:rsid w:val="00202A48"/>
    <w:rsid w:val="00202AED"/>
    <w:rsid w:val="00202BDB"/>
    <w:rsid w:val="00202BEA"/>
    <w:rsid w:val="00202FB9"/>
    <w:rsid w:val="0020302E"/>
    <w:rsid w:val="0020303A"/>
    <w:rsid w:val="002030AA"/>
    <w:rsid w:val="002030B4"/>
    <w:rsid w:val="002032BE"/>
    <w:rsid w:val="00203374"/>
    <w:rsid w:val="0020344B"/>
    <w:rsid w:val="00203632"/>
    <w:rsid w:val="00203738"/>
    <w:rsid w:val="00203823"/>
    <w:rsid w:val="00203A93"/>
    <w:rsid w:val="00203C62"/>
    <w:rsid w:val="00203C94"/>
    <w:rsid w:val="00203CAF"/>
    <w:rsid w:val="00203CCE"/>
    <w:rsid w:val="00203F08"/>
    <w:rsid w:val="00203F9B"/>
    <w:rsid w:val="00204045"/>
    <w:rsid w:val="00204263"/>
    <w:rsid w:val="00204270"/>
    <w:rsid w:val="002042DF"/>
    <w:rsid w:val="0020461E"/>
    <w:rsid w:val="00204679"/>
    <w:rsid w:val="00204774"/>
    <w:rsid w:val="0020478A"/>
    <w:rsid w:val="00204BA6"/>
    <w:rsid w:val="00204BCA"/>
    <w:rsid w:val="00204C09"/>
    <w:rsid w:val="00204CF3"/>
    <w:rsid w:val="0020502B"/>
    <w:rsid w:val="0020504A"/>
    <w:rsid w:val="002050F7"/>
    <w:rsid w:val="002052D3"/>
    <w:rsid w:val="002052E7"/>
    <w:rsid w:val="00205333"/>
    <w:rsid w:val="0020539A"/>
    <w:rsid w:val="00205473"/>
    <w:rsid w:val="002055E1"/>
    <w:rsid w:val="002056FF"/>
    <w:rsid w:val="00205796"/>
    <w:rsid w:val="0020579D"/>
    <w:rsid w:val="002057FD"/>
    <w:rsid w:val="00205A0D"/>
    <w:rsid w:val="00205C64"/>
    <w:rsid w:val="00205CA4"/>
    <w:rsid w:val="00205CA8"/>
    <w:rsid w:val="00205E73"/>
    <w:rsid w:val="002060F9"/>
    <w:rsid w:val="002061E8"/>
    <w:rsid w:val="00206260"/>
    <w:rsid w:val="002063AC"/>
    <w:rsid w:val="00206447"/>
    <w:rsid w:val="00206483"/>
    <w:rsid w:val="002065DD"/>
    <w:rsid w:val="002065DE"/>
    <w:rsid w:val="002067B5"/>
    <w:rsid w:val="00206815"/>
    <w:rsid w:val="00206838"/>
    <w:rsid w:val="002068FE"/>
    <w:rsid w:val="00206BAB"/>
    <w:rsid w:val="00206C64"/>
    <w:rsid w:val="00206C6A"/>
    <w:rsid w:val="00206C6C"/>
    <w:rsid w:val="00206D40"/>
    <w:rsid w:val="00206D77"/>
    <w:rsid w:val="00206F52"/>
    <w:rsid w:val="002070B8"/>
    <w:rsid w:val="00207285"/>
    <w:rsid w:val="002072CB"/>
    <w:rsid w:val="002073D9"/>
    <w:rsid w:val="0020742C"/>
    <w:rsid w:val="0020756D"/>
    <w:rsid w:val="00207674"/>
    <w:rsid w:val="002076AA"/>
    <w:rsid w:val="00207775"/>
    <w:rsid w:val="0020788E"/>
    <w:rsid w:val="0020789B"/>
    <w:rsid w:val="002078A9"/>
    <w:rsid w:val="0020795A"/>
    <w:rsid w:val="00207A01"/>
    <w:rsid w:val="00207A08"/>
    <w:rsid w:val="00207D25"/>
    <w:rsid w:val="00207F63"/>
    <w:rsid w:val="00210002"/>
    <w:rsid w:val="0021033A"/>
    <w:rsid w:val="002103E8"/>
    <w:rsid w:val="002105B1"/>
    <w:rsid w:val="002106CB"/>
    <w:rsid w:val="002106DD"/>
    <w:rsid w:val="00210715"/>
    <w:rsid w:val="00210729"/>
    <w:rsid w:val="002107B6"/>
    <w:rsid w:val="002109E4"/>
    <w:rsid w:val="00210BFE"/>
    <w:rsid w:val="00210C18"/>
    <w:rsid w:val="00210C53"/>
    <w:rsid w:val="00210F65"/>
    <w:rsid w:val="00211171"/>
    <w:rsid w:val="002111C3"/>
    <w:rsid w:val="00211582"/>
    <w:rsid w:val="002116B9"/>
    <w:rsid w:val="002117C0"/>
    <w:rsid w:val="002117E8"/>
    <w:rsid w:val="0021181A"/>
    <w:rsid w:val="00211861"/>
    <w:rsid w:val="002118AE"/>
    <w:rsid w:val="00211AD5"/>
    <w:rsid w:val="00211C90"/>
    <w:rsid w:val="002122AA"/>
    <w:rsid w:val="002122DE"/>
    <w:rsid w:val="00212515"/>
    <w:rsid w:val="0021251A"/>
    <w:rsid w:val="002125FE"/>
    <w:rsid w:val="0021263C"/>
    <w:rsid w:val="00212C0A"/>
    <w:rsid w:val="00212D0F"/>
    <w:rsid w:val="00212D96"/>
    <w:rsid w:val="00212E1B"/>
    <w:rsid w:val="002130C1"/>
    <w:rsid w:val="00213218"/>
    <w:rsid w:val="00213260"/>
    <w:rsid w:val="00213389"/>
    <w:rsid w:val="00213426"/>
    <w:rsid w:val="0021344F"/>
    <w:rsid w:val="0021353F"/>
    <w:rsid w:val="0021386E"/>
    <w:rsid w:val="0021392A"/>
    <w:rsid w:val="0021398F"/>
    <w:rsid w:val="00213AA8"/>
    <w:rsid w:val="00213CA3"/>
    <w:rsid w:val="00213E36"/>
    <w:rsid w:val="00213F7F"/>
    <w:rsid w:val="00213FD5"/>
    <w:rsid w:val="002140B4"/>
    <w:rsid w:val="00214619"/>
    <w:rsid w:val="00214664"/>
    <w:rsid w:val="002148A5"/>
    <w:rsid w:val="00214B19"/>
    <w:rsid w:val="00214B4B"/>
    <w:rsid w:val="00214C11"/>
    <w:rsid w:val="00214DF9"/>
    <w:rsid w:val="0021500A"/>
    <w:rsid w:val="002153A6"/>
    <w:rsid w:val="002153CA"/>
    <w:rsid w:val="002156AD"/>
    <w:rsid w:val="00215727"/>
    <w:rsid w:val="00215740"/>
    <w:rsid w:val="0021579C"/>
    <w:rsid w:val="00215B27"/>
    <w:rsid w:val="00215C92"/>
    <w:rsid w:val="00215D08"/>
    <w:rsid w:val="00215DFB"/>
    <w:rsid w:val="00215E3A"/>
    <w:rsid w:val="00215E65"/>
    <w:rsid w:val="002160C1"/>
    <w:rsid w:val="002161FD"/>
    <w:rsid w:val="00216224"/>
    <w:rsid w:val="00216245"/>
    <w:rsid w:val="002165E8"/>
    <w:rsid w:val="00216617"/>
    <w:rsid w:val="002167C4"/>
    <w:rsid w:val="0021690F"/>
    <w:rsid w:val="00216CE9"/>
    <w:rsid w:val="00216D04"/>
    <w:rsid w:val="00216FB4"/>
    <w:rsid w:val="00217083"/>
    <w:rsid w:val="00217090"/>
    <w:rsid w:val="002171D3"/>
    <w:rsid w:val="0021730E"/>
    <w:rsid w:val="0021733E"/>
    <w:rsid w:val="002174C5"/>
    <w:rsid w:val="0021750E"/>
    <w:rsid w:val="0021765A"/>
    <w:rsid w:val="002176A5"/>
    <w:rsid w:val="00217704"/>
    <w:rsid w:val="002178A8"/>
    <w:rsid w:val="002179DE"/>
    <w:rsid w:val="002179F9"/>
    <w:rsid w:val="00217B88"/>
    <w:rsid w:val="00217BBF"/>
    <w:rsid w:val="00217BCD"/>
    <w:rsid w:val="00217C08"/>
    <w:rsid w:val="00217D46"/>
    <w:rsid w:val="00217D8D"/>
    <w:rsid w:val="00217DFF"/>
    <w:rsid w:val="00217EDB"/>
    <w:rsid w:val="00220176"/>
    <w:rsid w:val="002201CC"/>
    <w:rsid w:val="00220212"/>
    <w:rsid w:val="0022027A"/>
    <w:rsid w:val="00220396"/>
    <w:rsid w:val="002206E9"/>
    <w:rsid w:val="0022075C"/>
    <w:rsid w:val="002207E1"/>
    <w:rsid w:val="00220A35"/>
    <w:rsid w:val="00220B0E"/>
    <w:rsid w:val="00220BAE"/>
    <w:rsid w:val="00220D57"/>
    <w:rsid w:val="0022106B"/>
    <w:rsid w:val="002216D9"/>
    <w:rsid w:val="002218CD"/>
    <w:rsid w:val="00221995"/>
    <w:rsid w:val="00221EE3"/>
    <w:rsid w:val="00221EF1"/>
    <w:rsid w:val="00221F94"/>
    <w:rsid w:val="00221FFB"/>
    <w:rsid w:val="002221E0"/>
    <w:rsid w:val="002222A0"/>
    <w:rsid w:val="0022251A"/>
    <w:rsid w:val="0022265C"/>
    <w:rsid w:val="0022285A"/>
    <w:rsid w:val="0022296C"/>
    <w:rsid w:val="00222B12"/>
    <w:rsid w:val="00222CA8"/>
    <w:rsid w:val="00222DE3"/>
    <w:rsid w:val="002230E9"/>
    <w:rsid w:val="002231C0"/>
    <w:rsid w:val="00223487"/>
    <w:rsid w:val="0022353B"/>
    <w:rsid w:val="002236B6"/>
    <w:rsid w:val="00223853"/>
    <w:rsid w:val="002238A3"/>
    <w:rsid w:val="00223A38"/>
    <w:rsid w:val="00223A8B"/>
    <w:rsid w:val="00223AE7"/>
    <w:rsid w:val="00223C33"/>
    <w:rsid w:val="00223C41"/>
    <w:rsid w:val="00223CF6"/>
    <w:rsid w:val="00223EC4"/>
    <w:rsid w:val="00223FA4"/>
    <w:rsid w:val="00223FC8"/>
    <w:rsid w:val="00223FD1"/>
    <w:rsid w:val="0022402F"/>
    <w:rsid w:val="00224177"/>
    <w:rsid w:val="002241C0"/>
    <w:rsid w:val="00224225"/>
    <w:rsid w:val="002242B6"/>
    <w:rsid w:val="002245D2"/>
    <w:rsid w:val="00224811"/>
    <w:rsid w:val="0022481F"/>
    <w:rsid w:val="002248E7"/>
    <w:rsid w:val="00224B6B"/>
    <w:rsid w:val="00224BA8"/>
    <w:rsid w:val="00224C3F"/>
    <w:rsid w:val="00224DC6"/>
    <w:rsid w:val="00224E26"/>
    <w:rsid w:val="0022507F"/>
    <w:rsid w:val="002253C0"/>
    <w:rsid w:val="002253DF"/>
    <w:rsid w:val="00225425"/>
    <w:rsid w:val="0022543B"/>
    <w:rsid w:val="00225451"/>
    <w:rsid w:val="002254B7"/>
    <w:rsid w:val="00225A66"/>
    <w:rsid w:val="00225A82"/>
    <w:rsid w:val="00225ACB"/>
    <w:rsid w:val="00225D11"/>
    <w:rsid w:val="00225D42"/>
    <w:rsid w:val="00225DD6"/>
    <w:rsid w:val="00226105"/>
    <w:rsid w:val="0022613B"/>
    <w:rsid w:val="00226351"/>
    <w:rsid w:val="002264E5"/>
    <w:rsid w:val="0022677B"/>
    <w:rsid w:val="002267B1"/>
    <w:rsid w:val="002267FB"/>
    <w:rsid w:val="002268EB"/>
    <w:rsid w:val="00226A79"/>
    <w:rsid w:val="00226AB0"/>
    <w:rsid w:val="00226CA0"/>
    <w:rsid w:val="00226E27"/>
    <w:rsid w:val="00227033"/>
    <w:rsid w:val="002270E7"/>
    <w:rsid w:val="002271A1"/>
    <w:rsid w:val="0022772E"/>
    <w:rsid w:val="00227C94"/>
    <w:rsid w:val="00227CA9"/>
    <w:rsid w:val="00227CB6"/>
    <w:rsid w:val="00227DFA"/>
    <w:rsid w:val="00227F80"/>
    <w:rsid w:val="0023002F"/>
    <w:rsid w:val="00230262"/>
    <w:rsid w:val="002303F6"/>
    <w:rsid w:val="002304C1"/>
    <w:rsid w:val="00230845"/>
    <w:rsid w:val="002308CC"/>
    <w:rsid w:val="002308FD"/>
    <w:rsid w:val="00230950"/>
    <w:rsid w:val="002309B4"/>
    <w:rsid w:val="002309BF"/>
    <w:rsid w:val="002309F4"/>
    <w:rsid w:val="00230A75"/>
    <w:rsid w:val="00230B6D"/>
    <w:rsid w:val="00230C86"/>
    <w:rsid w:val="00230DEC"/>
    <w:rsid w:val="002310D9"/>
    <w:rsid w:val="0023140F"/>
    <w:rsid w:val="002314C6"/>
    <w:rsid w:val="002316EC"/>
    <w:rsid w:val="00231870"/>
    <w:rsid w:val="00231B45"/>
    <w:rsid w:val="00231B76"/>
    <w:rsid w:val="00231CB5"/>
    <w:rsid w:val="00231CDB"/>
    <w:rsid w:val="00231CF5"/>
    <w:rsid w:val="00231F06"/>
    <w:rsid w:val="00232129"/>
    <w:rsid w:val="0023224C"/>
    <w:rsid w:val="0023225B"/>
    <w:rsid w:val="00232439"/>
    <w:rsid w:val="0023247D"/>
    <w:rsid w:val="002327A9"/>
    <w:rsid w:val="002327CA"/>
    <w:rsid w:val="002327F6"/>
    <w:rsid w:val="002328C7"/>
    <w:rsid w:val="002328F3"/>
    <w:rsid w:val="002329AA"/>
    <w:rsid w:val="00232A73"/>
    <w:rsid w:val="00232AA2"/>
    <w:rsid w:val="00232B85"/>
    <w:rsid w:val="00232CAA"/>
    <w:rsid w:val="00232CF6"/>
    <w:rsid w:val="002334DB"/>
    <w:rsid w:val="002334FE"/>
    <w:rsid w:val="00233730"/>
    <w:rsid w:val="0023380A"/>
    <w:rsid w:val="00233856"/>
    <w:rsid w:val="002338B9"/>
    <w:rsid w:val="00233C6B"/>
    <w:rsid w:val="00233EFE"/>
    <w:rsid w:val="00233FA7"/>
    <w:rsid w:val="00233FFC"/>
    <w:rsid w:val="00234001"/>
    <w:rsid w:val="00234127"/>
    <w:rsid w:val="0023413B"/>
    <w:rsid w:val="0023422C"/>
    <w:rsid w:val="00234237"/>
    <w:rsid w:val="002342FE"/>
    <w:rsid w:val="0023439E"/>
    <w:rsid w:val="002343DD"/>
    <w:rsid w:val="002344C0"/>
    <w:rsid w:val="0023453C"/>
    <w:rsid w:val="00234632"/>
    <w:rsid w:val="00234734"/>
    <w:rsid w:val="002348D3"/>
    <w:rsid w:val="00234A77"/>
    <w:rsid w:val="00234CB1"/>
    <w:rsid w:val="00234D28"/>
    <w:rsid w:val="00235001"/>
    <w:rsid w:val="00235143"/>
    <w:rsid w:val="00235247"/>
    <w:rsid w:val="002354F3"/>
    <w:rsid w:val="00235661"/>
    <w:rsid w:val="00235BE9"/>
    <w:rsid w:val="00235C14"/>
    <w:rsid w:val="00235C47"/>
    <w:rsid w:val="00235D6E"/>
    <w:rsid w:val="00235E0F"/>
    <w:rsid w:val="00235FD0"/>
    <w:rsid w:val="00236196"/>
    <w:rsid w:val="002361A3"/>
    <w:rsid w:val="00236262"/>
    <w:rsid w:val="0023634D"/>
    <w:rsid w:val="002363E9"/>
    <w:rsid w:val="002364BF"/>
    <w:rsid w:val="002365F7"/>
    <w:rsid w:val="002367E5"/>
    <w:rsid w:val="002368C1"/>
    <w:rsid w:val="00236988"/>
    <w:rsid w:val="002369B6"/>
    <w:rsid w:val="00236C9A"/>
    <w:rsid w:val="00236D74"/>
    <w:rsid w:val="00236D83"/>
    <w:rsid w:val="00236DB5"/>
    <w:rsid w:val="0023706A"/>
    <w:rsid w:val="0023707E"/>
    <w:rsid w:val="00237120"/>
    <w:rsid w:val="002371C3"/>
    <w:rsid w:val="002374BE"/>
    <w:rsid w:val="00237743"/>
    <w:rsid w:val="0023777F"/>
    <w:rsid w:val="00237A2A"/>
    <w:rsid w:val="00237A47"/>
    <w:rsid w:val="00237B1C"/>
    <w:rsid w:val="00237F08"/>
    <w:rsid w:val="00240194"/>
    <w:rsid w:val="00240344"/>
    <w:rsid w:val="002403F0"/>
    <w:rsid w:val="002405A2"/>
    <w:rsid w:val="00240656"/>
    <w:rsid w:val="00240708"/>
    <w:rsid w:val="002408BE"/>
    <w:rsid w:val="00240A61"/>
    <w:rsid w:val="002410A8"/>
    <w:rsid w:val="00241127"/>
    <w:rsid w:val="00241207"/>
    <w:rsid w:val="00241291"/>
    <w:rsid w:val="002412BC"/>
    <w:rsid w:val="00241391"/>
    <w:rsid w:val="002413D6"/>
    <w:rsid w:val="0024151C"/>
    <w:rsid w:val="0024161F"/>
    <w:rsid w:val="002416B5"/>
    <w:rsid w:val="0024193F"/>
    <w:rsid w:val="00241C6E"/>
    <w:rsid w:val="00241D56"/>
    <w:rsid w:val="00241E51"/>
    <w:rsid w:val="00241F65"/>
    <w:rsid w:val="00241FDB"/>
    <w:rsid w:val="002420E3"/>
    <w:rsid w:val="00242230"/>
    <w:rsid w:val="00242232"/>
    <w:rsid w:val="0024228F"/>
    <w:rsid w:val="002422B6"/>
    <w:rsid w:val="00242337"/>
    <w:rsid w:val="002423B3"/>
    <w:rsid w:val="0024244B"/>
    <w:rsid w:val="002424C0"/>
    <w:rsid w:val="002425B6"/>
    <w:rsid w:val="002426C7"/>
    <w:rsid w:val="0024276C"/>
    <w:rsid w:val="002428EE"/>
    <w:rsid w:val="002429D9"/>
    <w:rsid w:val="002429E8"/>
    <w:rsid w:val="00242A21"/>
    <w:rsid w:val="00242A36"/>
    <w:rsid w:val="00242B79"/>
    <w:rsid w:val="00242CDF"/>
    <w:rsid w:val="00242CF5"/>
    <w:rsid w:val="00242DA0"/>
    <w:rsid w:val="00242E81"/>
    <w:rsid w:val="00242F16"/>
    <w:rsid w:val="00242F27"/>
    <w:rsid w:val="00242F46"/>
    <w:rsid w:val="00242FC2"/>
    <w:rsid w:val="00243285"/>
    <w:rsid w:val="0024328D"/>
    <w:rsid w:val="0024331B"/>
    <w:rsid w:val="00243440"/>
    <w:rsid w:val="002434D1"/>
    <w:rsid w:val="002435E7"/>
    <w:rsid w:val="002435EC"/>
    <w:rsid w:val="0024366F"/>
    <w:rsid w:val="0024375F"/>
    <w:rsid w:val="002437F1"/>
    <w:rsid w:val="00243B04"/>
    <w:rsid w:val="00243B4C"/>
    <w:rsid w:val="00243B5B"/>
    <w:rsid w:val="00243BEC"/>
    <w:rsid w:val="00243DB5"/>
    <w:rsid w:val="00243DE7"/>
    <w:rsid w:val="00243FA5"/>
    <w:rsid w:val="00243FD1"/>
    <w:rsid w:val="00244039"/>
    <w:rsid w:val="002440A9"/>
    <w:rsid w:val="002440D1"/>
    <w:rsid w:val="00244291"/>
    <w:rsid w:val="00244552"/>
    <w:rsid w:val="00244571"/>
    <w:rsid w:val="002446CF"/>
    <w:rsid w:val="002447B1"/>
    <w:rsid w:val="002448D1"/>
    <w:rsid w:val="002449E7"/>
    <w:rsid w:val="00244A75"/>
    <w:rsid w:val="00244C14"/>
    <w:rsid w:val="00244DC8"/>
    <w:rsid w:val="00244DFF"/>
    <w:rsid w:val="00244EBF"/>
    <w:rsid w:val="002450B4"/>
    <w:rsid w:val="002450B8"/>
    <w:rsid w:val="0024520B"/>
    <w:rsid w:val="0024530E"/>
    <w:rsid w:val="002454BA"/>
    <w:rsid w:val="00245703"/>
    <w:rsid w:val="00245897"/>
    <w:rsid w:val="002459B3"/>
    <w:rsid w:val="00245C01"/>
    <w:rsid w:val="00245C53"/>
    <w:rsid w:val="00245DEF"/>
    <w:rsid w:val="00245E76"/>
    <w:rsid w:val="00245FDA"/>
    <w:rsid w:val="00246002"/>
    <w:rsid w:val="00246326"/>
    <w:rsid w:val="002464D0"/>
    <w:rsid w:val="002464E0"/>
    <w:rsid w:val="00246947"/>
    <w:rsid w:val="00246A44"/>
    <w:rsid w:val="00246A75"/>
    <w:rsid w:val="00246AEE"/>
    <w:rsid w:val="00246B50"/>
    <w:rsid w:val="00246BC4"/>
    <w:rsid w:val="00246CAC"/>
    <w:rsid w:val="00246DF4"/>
    <w:rsid w:val="0024704F"/>
    <w:rsid w:val="00247068"/>
    <w:rsid w:val="002470AA"/>
    <w:rsid w:val="00247120"/>
    <w:rsid w:val="002474F5"/>
    <w:rsid w:val="0024750D"/>
    <w:rsid w:val="002475A3"/>
    <w:rsid w:val="00247635"/>
    <w:rsid w:val="00247656"/>
    <w:rsid w:val="002476FF"/>
    <w:rsid w:val="002477A0"/>
    <w:rsid w:val="002478DB"/>
    <w:rsid w:val="00247A7F"/>
    <w:rsid w:val="00247E25"/>
    <w:rsid w:val="00247E78"/>
    <w:rsid w:val="002500A4"/>
    <w:rsid w:val="002500A5"/>
    <w:rsid w:val="0025025F"/>
    <w:rsid w:val="0025028C"/>
    <w:rsid w:val="002504E6"/>
    <w:rsid w:val="002505DA"/>
    <w:rsid w:val="002505EB"/>
    <w:rsid w:val="00250685"/>
    <w:rsid w:val="00250729"/>
    <w:rsid w:val="00250A13"/>
    <w:rsid w:val="00250D4A"/>
    <w:rsid w:val="00250DC3"/>
    <w:rsid w:val="0025115E"/>
    <w:rsid w:val="002511AC"/>
    <w:rsid w:val="0025129B"/>
    <w:rsid w:val="0025145B"/>
    <w:rsid w:val="00251474"/>
    <w:rsid w:val="002514EE"/>
    <w:rsid w:val="00251544"/>
    <w:rsid w:val="00251725"/>
    <w:rsid w:val="00251889"/>
    <w:rsid w:val="00251965"/>
    <w:rsid w:val="002519BF"/>
    <w:rsid w:val="00251AB5"/>
    <w:rsid w:val="00251B5C"/>
    <w:rsid w:val="00251CF1"/>
    <w:rsid w:val="00251F48"/>
    <w:rsid w:val="00251FFE"/>
    <w:rsid w:val="002523E4"/>
    <w:rsid w:val="002526DD"/>
    <w:rsid w:val="00252A42"/>
    <w:rsid w:val="00252BAE"/>
    <w:rsid w:val="00252BF5"/>
    <w:rsid w:val="00252ED2"/>
    <w:rsid w:val="00252EE9"/>
    <w:rsid w:val="00252F5C"/>
    <w:rsid w:val="0025315E"/>
    <w:rsid w:val="0025345F"/>
    <w:rsid w:val="00253710"/>
    <w:rsid w:val="0025381F"/>
    <w:rsid w:val="00253A87"/>
    <w:rsid w:val="00253EDF"/>
    <w:rsid w:val="00253F72"/>
    <w:rsid w:val="0025401F"/>
    <w:rsid w:val="0025406B"/>
    <w:rsid w:val="0025408C"/>
    <w:rsid w:val="0025411A"/>
    <w:rsid w:val="002541FE"/>
    <w:rsid w:val="002543AE"/>
    <w:rsid w:val="00254693"/>
    <w:rsid w:val="0025483D"/>
    <w:rsid w:val="002548C1"/>
    <w:rsid w:val="002549C1"/>
    <w:rsid w:val="00254AC2"/>
    <w:rsid w:val="00254C19"/>
    <w:rsid w:val="00254CF3"/>
    <w:rsid w:val="002550EC"/>
    <w:rsid w:val="0025512D"/>
    <w:rsid w:val="00255148"/>
    <w:rsid w:val="002552C5"/>
    <w:rsid w:val="0025531F"/>
    <w:rsid w:val="0025556E"/>
    <w:rsid w:val="00255610"/>
    <w:rsid w:val="002556C2"/>
    <w:rsid w:val="00255862"/>
    <w:rsid w:val="002558F0"/>
    <w:rsid w:val="00255D26"/>
    <w:rsid w:val="0025650D"/>
    <w:rsid w:val="00256960"/>
    <w:rsid w:val="00256B3D"/>
    <w:rsid w:val="00256C02"/>
    <w:rsid w:val="00256C51"/>
    <w:rsid w:val="00256E0E"/>
    <w:rsid w:val="00256F00"/>
    <w:rsid w:val="002570A9"/>
    <w:rsid w:val="002571D1"/>
    <w:rsid w:val="002572AF"/>
    <w:rsid w:val="002574A5"/>
    <w:rsid w:val="00257857"/>
    <w:rsid w:val="002578E5"/>
    <w:rsid w:val="00257920"/>
    <w:rsid w:val="00257A01"/>
    <w:rsid w:val="00257A77"/>
    <w:rsid w:val="00257C20"/>
    <w:rsid w:val="00257D3D"/>
    <w:rsid w:val="00257D76"/>
    <w:rsid w:val="00257E48"/>
    <w:rsid w:val="00257EE3"/>
    <w:rsid w:val="00257F9F"/>
    <w:rsid w:val="002600B9"/>
    <w:rsid w:val="002601BE"/>
    <w:rsid w:val="00260299"/>
    <w:rsid w:val="00260370"/>
    <w:rsid w:val="002604B4"/>
    <w:rsid w:val="002606B9"/>
    <w:rsid w:val="00260709"/>
    <w:rsid w:val="00260799"/>
    <w:rsid w:val="0026092D"/>
    <w:rsid w:val="00260D12"/>
    <w:rsid w:val="00260DD6"/>
    <w:rsid w:val="00260E73"/>
    <w:rsid w:val="00260EDC"/>
    <w:rsid w:val="00261305"/>
    <w:rsid w:val="00261506"/>
    <w:rsid w:val="0026168C"/>
    <w:rsid w:val="002619E2"/>
    <w:rsid w:val="00261B5D"/>
    <w:rsid w:val="00261B65"/>
    <w:rsid w:val="00261C07"/>
    <w:rsid w:val="00261C10"/>
    <w:rsid w:val="00261C25"/>
    <w:rsid w:val="00261CE9"/>
    <w:rsid w:val="00261E54"/>
    <w:rsid w:val="00261EEC"/>
    <w:rsid w:val="002622D7"/>
    <w:rsid w:val="002622E9"/>
    <w:rsid w:val="002625F6"/>
    <w:rsid w:val="0026260C"/>
    <w:rsid w:val="002626D1"/>
    <w:rsid w:val="002627A6"/>
    <w:rsid w:val="002627DA"/>
    <w:rsid w:val="002627DC"/>
    <w:rsid w:val="0026288E"/>
    <w:rsid w:val="0026291F"/>
    <w:rsid w:val="00262B80"/>
    <w:rsid w:val="00262C55"/>
    <w:rsid w:val="00262CA4"/>
    <w:rsid w:val="00262F0D"/>
    <w:rsid w:val="00262F0E"/>
    <w:rsid w:val="00262F94"/>
    <w:rsid w:val="00263068"/>
    <w:rsid w:val="002633E8"/>
    <w:rsid w:val="002635CA"/>
    <w:rsid w:val="00263648"/>
    <w:rsid w:val="002636E4"/>
    <w:rsid w:val="00263717"/>
    <w:rsid w:val="00263981"/>
    <w:rsid w:val="002639B4"/>
    <w:rsid w:val="002639B6"/>
    <w:rsid w:val="00263AA5"/>
    <w:rsid w:val="00263D58"/>
    <w:rsid w:val="002641FB"/>
    <w:rsid w:val="00264209"/>
    <w:rsid w:val="00264271"/>
    <w:rsid w:val="00264471"/>
    <w:rsid w:val="0026455C"/>
    <w:rsid w:val="0026471A"/>
    <w:rsid w:val="002647E4"/>
    <w:rsid w:val="0026496A"/>
    <w:rsid w:val="00264B48"/>
    <w:rsid w:val="00264B66"/>
    <w:rsid w:val="00264B91"/>
    <w:rsid w:val="00264CC4"/>
    <w:rsid w:val="00264D69"/>
    <w:rsid w:val="00264E1B"/>
    <w:rsid w:val="00264E9B"/>
    <w:rsid w:val="0026516C"/>
    <w:rsid w:val="002652E5"/>
    <w:rsid w:val="002653C0"/>
    <w:rsid w:val="00265450"/>
    <w:rsid w:val="00265475"/>
    <w:rsid w:val="00265501"/>
    <w:rsid w:val="0026556D"/>
    <w:rsid w:val="0026560E"/>
    <w:rsid w:val="002657EF"/>
    <w:rsid w:val="0026582E"/>
    <w:rsid w:val="00265B50"/>
    <w:rsid w:val="00265B58"/>
    <w:rsid w:val="00265C39"/>
    <w:rsid w:val="00265CB6"/>
    <w:rsid w:val="00265DB5"/>
    <w:rsid w:val="00265E6B"/>
    <w:rsid w:val="00265F1F"/>
    <w:rsid w:val="002661C4"/>
    <w:rsid w:val="0026627C"/>
    <w:rsid w:val="0026634B"/>
    <w:rsid w:val="0026639E"/>
    <w:rsid w:val="0026640F"/>
    <w:rsid w:val="002665A0"/>
    <w:rsid w:val="00266692"/>
    <w:rsid w:val="002666EE"/>
    <w:rsid w:val="0026674E"/>
    <w:rsid w:val="00266811"/>
    <w:rsid w:val="00266854"/>
    <w:rsid w:val="0026686C"/>
    <w:rsid w:val="002668A4"/>
    <w:rsid w:val="002668CF"/>
    <w:rsid w:val="0026695A"/>
    <w:rsid w:val="00266A56"/>
    <w:rsid w:val="00266AA2"/>
    <w:rsid w:val="00266B30"/>
    <w:rsid w:val="00266EB4"/>
    <w:rsid w:val="00266EB9"/>
    <w:rsid w:val="00266EC0"/>
    <w:rsid w:val="0026732C"/>
    <w:rsid w:val="0026770B"/>
    <w:rsid w:val="00267742"/>
    <w:rsid w:val="002678E7"/>
    <w:rsid w:val="00267A43"/>
    <w:rsid w:val="00267B91"/>
    <w:rsid w:val="00267CFC"/>
    <w:rsid w:val="00267F33"/>
    <w:rsid w:val="00267F70"/>
    <w:rsid w:val="0027004C"/>
    <w:rsid w:val="00270163"/>
    <w:rsid w:val="00270399"/>
    <w:rsid w:val="0027063E"/>
    <w:rsid w:val="00270778"/>
    <w:rsid w:val="00270979"/>
    <w:rsid w:val="00270B6C"/>
    <w:rsid w:val="00270CA8"/>
    <w:rsid w:val="00270DD5"/>
    <w:rsid w:val="00270E50"/>
    <w:rsid w:val="00271510"/>
    <w:rsid w:val="0027187B"/>
    <w:rsid w:val="00271911"/>
    <w:rsid w:val="00271B0F"/>
    <w:rsid w:val="00271CB6"/>
    <w:rsid w:val="00272097"/>
    <w:rsid w:val="002720C0"/>
    <w:rsid w:val="0027219D"/>
    <w:rsid w:val="002726D6"/>
    <w:rsid w:val="00272834"/>
    <w:rsid w:val="00272882"/>
    <w:rsid w:val="00272892"/>
    <w:rsid w:val="00272973"/>
    <w:rsid w:val="00272A34"/>
    <w:rsid w:val="00272A50"/>
    <w:rsid w:val="00272A67"/>
    <w:rsid w:val="00272A75"/>
    <w:rsid w:val="00272E8E"/>
    <w:rsid w:val="00272F68"/>
    <w:rsid w:val="00272FBA"/>
    <w:rsid w:val="00272FF7"/>
    <w:rsid w:val="002730A6"/>
    <w:rsid w:val="00273283"/>
    <w:rsid w:val="00273320"/>
    <w:rsid w:val="0027338E"/>
    <w:rsid w:val="002733E1"/>
    <w:rsid w:val="0027348F"/>
    <w:rsid w:val="002734BD"/>
    <w:rsid w:val="002735F6"/>
    <w:rsid w:val="0027366C"/>
    <w:rsid w:val="002736D7"/>
    <w:rsid w:val="00273773"/>
    <w:rsid w:val="002738DA"/>
    <w:rsid w:val="00273A4A"/>
    <w:rsid w:val="00273D75"/>
    <w:rsid w:val="00273EC6"/>
    <w:rsid w:val="00273F1E"/>
    <w:rsid w:val="0027410C"/>
    <w:rsid w:val="002743AA"/>
    <w:rsid w:val="002745BB"/>
    <w:rsid w:val="00274602"/>
    <w:rsid w:val="00274836"/>
    <w:rsid w:val="002749B1"/>
    <w:rsid w:val="00274B37"/>
    <w:rsid w:val="00274B4C"/>
    <w:rsid w:val="00274C0A"/>
    <w:rsid w:val="00274C92"/>
    <w:rsid w:val="00274E8C"/>
    <w:rsid w:val="00274ECD"/>
    <w:rsid w:val="00274ED7"/>
    <w:rsid w:val="00274F27"/>
    <w:rsid w:val="0027500E"/>
    <w:rsid w:val="002750CE"/>
    <w:rsid w:val="002752D4"/>
    <w:rsid w:val="0027539E"/>
    <w:rsid w:val="0027550D"/>
    <w:rsid w:val="0027557F"/>
    <w:rsid w:val="00275699"/>
    <w:rsid w:val="002759E1"/>
    <w:rsid w:val="00275B95"/>
    <w:rsid w:val="00275BAE"/>
    <w:rsid w:val="00275BB7"/>
    <w:rsid w:val="00275CD5"/>
    <w:rsid w:val="00275DC1"/>
    <w:rsid w:val="00275FBB"/>
    <w:rsid w:val="002760E4"/>
    <w:rsid w:val="00276163"/>
    <w:rsid w:val="00276259"/>
    <w:rsid w:val="002763A0"/>
    <w:rsid w:val="0027677D"/>
    <w:rsid w:val="0027689F"/>
    <w:rsid w:val="00276907"/>
    <w:rsid w:val="00276AD6"/>
    <w:rsid w:val="00276CD1"/>
    <w:rsid w:val="00276D46"/>
    <w:rsid w:val="00276E3E"/>
    <w:rsid w:val="00276FA4"/>
    <w:rsid w:val="00277219"/>
    <w:rsid w:val="00277222"/>
    <w:rsid w:val="0027728A"/>
    <w:rsid w:val="002772AA"/>
    <w:rsid w:val="00277350"/>
    <w:rsid w:val="0027758E"/>
    <w:rsid w:val="00277662"/>
    <w:rsid w:val="00277A34"/>
    <w:rsid w:val="00277F7D"/>
    <w:rsid w:val="002803A1"/>
    <w:rsid w:val="0028047E"/>
    <w:rsid w:val="002804D5"/>
    <w:rsid w:val="002804DB"/>
    <w:rsid w:val="002806C3"/>
    <w:rsid w:val="00280763"/>
    <w:rsid w:val="002807BA"/>
    <w:rsid w:val="00280A05"/>
    <w:rsid w:val="00280A24"/>
    <w:rsid w:val="00280A7B"/>
    <w:rsid w:val="00280A93"/>
    <w:rsid w:val="00280AC9"/>
    <w:rsid w:val="00280AD7"/>
    <w:rsid w:val="00280B0B"/>
    <w:rsid w:val="00280B72"/>
    <w:rsid w:val="00280D7F"/>
    <w:rsid w:val="00280FEE"/>
    <w:rsid w:val="002810A3"/>
    <w:rsid w:val="00281259"/>
    <w:rsid w:val="0028148C"/>
    <w:rsid w:val="00281563"/>
    <w:rsid w:val="00281641"/>
    <w:rsid w:val="002818AD"/>
    <w:rsid w:val="0028194B"/>
    <w:rsid w:val="00281950"/>
    <w:rsid w:val="00281CC2"/>
    <w:rsid w:val="00281D28"/>
    <w:rsid w:val="00281DB9"/>
    <w:rsid w:val="002820CA"/>
    <w:rsid w:val="002821BC"/>
    <w:rsid w:val="002822A7"/>
    <w:rsid w:val="002823A3"/>
    <w:rsid w:val="002823B9"/>
    <w:rsid w:val="00282566"/>
    <w:rsid w:val="002826DB"/>
    <w:rsid w:val="00282719"/>
    <w:rsid w:val="0028274C"/>
    <w:rsid w:val="00282963"/>
    <w:rsid w:val="00282A88"/>
    <w:rsid w:val="00282BED"/>
    <w:rsid w:val="00282C19"/>
    <w:rsid w:val="00282E3D"/>
    <w:rsid w:val="00282F9D"/>
    <w:rsid w:val="002830BE"/>
    <w:rsid w:val="0028326B"/>
    <w:rsid w:val="00283418"/>
    <w:rsid w:val="002838F7"/>
    <w:rsid w:val="002839B5"/>
    <w:rsid w:val="00283A4F"/>
    <w:rsid w:val="00283CBA"/>
    <w:rsid w:val="00283D99"/>
    <w:rsid w:val="00283EC7"/>
    <w:rsid w:val="00284066"/>
    <w:rsid w:val="002842F8"/>
    <w:rsid w:val="00284314"/>
    <w:rsid w:val="002844B9"/>
    <w:rsid w:val="00284574"/>
    <w:rsid w:val="00284823"/>
    <w:rsid w:val="002848DA"/>
    <w:rsid w:val="00284E78"/>
    <w:rsid w:val="00284F46"/>
    <w:rsid w:val="00284F54"/>
    <w:rsid w:val="00284FB1"/>
    <w:rsid w:val="00285103"/>
    <w:rsid w:val="0028522F"/>
    <w:rsid w:val="0028539F"/>
    <w:rsid w:val="00285444"/>
    <w:rsid w:val="00285747"/>
    <w:rsid w:val="00285C16"/>
    <w:rsid w:val="00285C48"/>
    <w:rsid w:val="00285D6B"/>
    <w:rsid w:val="00285EE8"/>
    <w:rsid w:val="00285F37"/>
    <w:rsid w:val="00285F87"/>
    <w:rsid w:val="0028603B"/>
    <w:rsid w:val="00286262"/>
    <w:rsid w:val="00286595"/>
    <w:rsid w:val="002865C6"/>
    <w:rsid w:val="002865DD"/>
    <w:rsid w:val="002866A3"/>
    <w:rsid w:val="002867B3"/>
    <w:rsid w:val="002868EA"/>
    <w:rsid w:val="00286AAE"/>
    <w:rsid w:val="00286B13"/>
    <w:rsid w:val="00286B9F"/>
    <w:rsid w:val="00286C66"/>
    <w:rsid w:val="00286D37"/>
    <w:rsid w:val="00286FA4"/>
    <w:rsid w:val="00287098"/>
    <w:rsid w:val="00287103"/>
    <w:rsid w:val="0028727B"/>
    <w:rsid w:val="00287416"/>
    <w:rsid w:val="00287628"/>
    <w:rsid w:val="0028776E"/>
    <w:rsid w:val="002878E9"/>
    <w:rsid w:val="00287991"/>
    <w:rsid w:val="002879E7"/>
    <w:rsid w:val="00287F92"/>
    <w:rsid w:val="0029048E"/>
    <w:rsid w:val="0029049C"/>
    <w:rsid w:val="0029060D"/>
    <w:rsid w:val="0029072D"/>
    <w:rsid w:val="00290886"/>
    <w:rsid w:val="002908F4"/>
    <w:rsid w:val="002909F8"/>
    <w:rsid w:val="00290A62"/>
    <w:rsid w:val="00290A8E"/>
    <w:rsid w:val="00290A8F"/>
    <w:rsid w:val="00290DFC"/>
    <w:rsid w:val="00290EC6"/>
    <w:rsid w:val="00291036"/>
    <w:rsid w:val="00291077"/>
    <w:rsid w:val="002911D4"/>
    <w:rsid w:val="0029122C"/>
    <w:rsid w:val="0029135D"/>
    <w:rsid w:val="002914AA"/>
    <w:rsid w:val="002916DF"/>
    <w:rsid w:val="002916E6"/>
    <w:rsid w:val="0029182E"/>
    <w:rsid w:val="00291873"/>
    <w:rsid w:val="00291916"/>
    <w:rsid w:val="00291C51"/>
    <w:rsid w:val="00291C56"/>
    <w:rsid w:val="00291CD8"/>
    <w:rsid w:val="00291E52"/>
    <w:rsid w:val="00291F7D"/>
    <w:rsid w:val="00291F95"/>
    <w:rsid w:val="00292143"/>
    <w:rsid w:val="00292342"/>
    <w:rsid w:val="002923EF"/>
    <w:rsid w:val="00292451"/>
    <w:rsid w:val="00292485"/>
    <w:rsid w:val="0029253B"/>
    <w:rsid w:val="002925AA"/>
    <w:rsid w:val="002925FF"/>
    <w:rsid w:val="002928D4"/>
    <w:rsid w:val="00292A4F"/>
    <w:rsid w:val="00292A81"/>
    <w:rsid w:val="00292AE5"/>
    <w:rsid w:val="00292B3F"/>
    <w:rsid w:val="00292B42"/>
    <w:rsid w:val="00292B9C"/>
    <w:rsid w:val="00292CE1"/>
    <w:rsid w:val="00292D98"/>
    <w:rsid w:val="00293025"/>
    <w:rsid w:val="00293054"/>
    <w:rsid w:val="002931B9"/>
    <w:rsid w:val="00293203"/>
    <w:rsid w:val="002932D5"/>
    <w:rsid w:val="002933E3"/>
    <w:rsid w:val="0029342B"/>
    <w:rsid w:val="00293470"/>
    <w:rsid w:val="00293556"/>
    <w:rsid w:val="0029362F"/>
    <w:rsid w:val="0029371E"/>
    <w:rsid w:val="0029377D"/>
    <w:rsid w:val="00293A02"/>
    <w:rsid w:val="00293B60"/>
    <w:rsid w:val="00293C65"/>
    <w:rsid w:val="00293DBB"/>
    <w:rsid w:val="00293DE9"/>
    <w:rsid w:val="00293EB0"/>
    <w:rsid w:val="002943C0"/>
    <w:rsid w:val="00294683"/>
    <w:rsid w:val="0029478C"/>
    <w:rsid w:val="00294798"/>
    <w:rsid w:val="002948E2"/>
    <w:rsid w:val="00294DDA"/>
    <w:rsid w:val="00295086"/>
    <w:rsid w:val="0029531B"/>
    <w:rsid w:val="0029536D"/>
    <w:rsid w:val="002953AD"/>
    <w:rsid w:val="00295428"/>
    <w:rsid w:val="00295458"/>
    <w:rsid w:val="002954C9"/>
    <w:rsid w:val="002954E0"/>
    <w:rsid w:val="00295A81"/>
    <w:rsid w:val="00295B04"/>
    <w:rsid w:val="00295B11"/>
    <w:rsid w:val="00295B17"/>
    <w:rsid w:val="00295B85"/>
    <w:rsid w:val="00295C50"/>
    <w:rsid w:val="00295DD7"/>
    <w:rsid w:val="002960AA"/>
    <w:rsid w:val="00296255"/>
    <w:rsid w:val="0029625C"/>
    <w:rsid w:val="00296355"/>
    <w:rsid w:val="00296794"/>
    <w:rsid w:val="0029695C"/>
    <w:rsid w:val="00296A62"/>
    <w:rsid w:val="00296AC5"/>
    <w:rsid w:val="00296AF9"/>
    <w:rsid w:val="0029707B"/>
    <w:rsid w:val="0029707C"/>
    <w:rsid w:val="002970B6"/>
    <w:rsid w:val="002970C1"/>
    <w:rsid w:val="002971D2"/>
    <w:rsid w:val="0029724F"/>
    <w:rsid w:val="0029735F"/>
    <w:rsid w:val="00297380"/>
    <w:rsid w:val="002973CD"/>
    <w:rsid w:val="002974AC"/>
    <w:rsid w:val="0029757F"/>
    <w:rsid w:val="0029761A"/>
    <w:rsid w:val="002976EE"/>
    <w:rsid w:val="002977F8"/>
    <w:rsid w:val="00297891"/>
    <w:rsid w:val="00297AD3"/>
    <w:rsid w:val="00297DC6"/>
    <w:rsid w:val="00297ECD"/>
    <w:rsid w:val="00297F4D"/>
    <w:rsid w:val="002A0316"/>
    <w:rsid w:val="002A0498"/>
    <w:rsid w:val="002A053B"/>
    <w:rsid w:val="002A0A57"/>
    <w:rsid w:val="002A0CE1"/>
    <w:rsid w:val="002A0DCF"/>
    <w:rsid w:val="002A0EF5"/>
    <w:rsid w:val="002A0F99"/>
    <w:rsid w:val="002A0FCD"/>
    <w:rsid w:val="002A0FE0"/>
    <w:rsid w:val="002A12CF"/>
    <w:rsid w:val="002A12E3"/>
    <w:rsid w:val="002A140F"/>
    <w:rsid w:val="002A1584"/>
    <w:rsid w:val="002A1804"/>
    <w:rsid w:val="002A18B5"/>
    <w:rsid w:val="002A18DE"/>
    <w:rsid w:val="002A1CD3"/>
    <w:rsid w:val="002A20E9"/>
    <w:rsid w:val="002A2238"/>
    <w:rsid w:val="002A24A5"/>
    <w:rsid w:val="002A2532"/>
    <w:rsid w:val="002A259D"/>
    <w:rsid w:val="002A25A0"/>
    <w:rsid w:val="002A27AB"/>
    <w:rsid w:val="002A2838"/>
    <w:rsid w:val="002A2963"/>
    <w:rsid w:val="002A2A24"/>
    <w:rsid w:val="002A2AF5"/>
    <w:rsid w:val="002A2BE4"/>
    <w:rsid w:val="002A2C4B"/>
    <w:rsid w:val="002A30AE"/>
    <w:rsid w:val="002A3146"/>
    <w:rsid w:val="002A3190"/>
    <w:rsid w:val="002A336F"/>
    <w:rsid w:val="002A3402"/>
    <w:rsid w:val="002A342E"/>
    <w:rsid w:val="002A3459"/>
    <w:rsid w:val="002A34F9"/>
    <w:rsid w:val="002A3692"/>
    <w:rsid w:val="002A3712"/>
    <w:rsid w:val="002A38CD"/>
    <w:rsid w:val="002A3CAB"/>
    <w:rsid w:val="002A3E33"/>
    <w:rsid w:val="002A3EC8"/>
    <w:rsid w:val="002A4082"/>
    <w:rsid w:val="002A4227"/>
    <w:rsid w:val="002A429F"/>
    <w:rsid w:val="002A42EA"/>
    <w:rsid w:val="002A44C0"/>
    <w:rsid w:val="002A45A0"/>
    <w:rsid w:val="002A45B0"/>
    <w:rsid w:val="002A468D"/>
    <w:rsid w:val="002A4B72"/>
    <w:rsid w:val="002A4BAC"/>
    <w:rsid w:val="002A5086"/>
    <w:rsid w:val="002A5114"/>
    <w:rsid w:val="002A53AD"/>
    <w:rsid w:val="002A5444"/>
    <w:rsid w:val="002A54CB"/>
    <w:rsid w:val="002A55CF"/>
    <w:rsid w:val="002A56C1"/>
    <w:rsid w:val="002A5806"/>
    <w:rsid w:val="002A5878"/>
    <w:rsid w:val="002A5948"/>
    <w:rsid w:val="002A5AB8"/>
    <w:rsid w:val="002A5B2E"/>
    <w:rsid w:val="002A5BAA"/>
    <w:rsid w:val="002A5C75"/>
    <w:rsid w:val="002A5D77"/>
    <w:rsid w:val="002A6182"/>
    <w:rsid w:val="002A61D7"/>
    <w:rsid w:val="002A634C"/>
    <w:rsid w:val="002A63B5"/>
    <w:rsid w:val="002A64C0"/>
    <w:rsid w:val="002A6521"/>
    <w:rsid w:val="002A65DC"/>
    <w:rsid w:val="002A65DE"/>
    <w:rsid w:val="002A66EB"/>
    <w:rsid w:val="002A66F8"/>
    <w:rsid w:val="002A6A02"/>
    <w:rsid w:val="002A6C19"/>
    <w:rsid w:val="002A6CCB"/>
    <w:rsid w:val="002A6E3C"/>
    <w:rsid w:val="002A6EC2"/>
    <w:rsid w:val="002A6F46"/>
    <w:rsid w:val="002A6F93"/>
    <w:rsid w:val="002A7012"/>
    <w:rsid w:val="002A71ED"/>
    <w:rsid w:val="002A73B2"/>
    <w:rsid w:val="002A74A2"/>
    <w:rsid w:val="002A7545"/>
    <w:rsid w:val="002A755C"/>
    <w:rsid w:val="002A75C8"/>
    <w:rsid w:val="002A7714"/>
    <w:rsid w:val="002A7803"/>
    <w:rsid w:val="002A7882"/>
    <w:rsid w:val="002A7AAF"/>
    <w:rsid w:val="002A7BAB"/>
    <w:rsid w:val="002A7BFE"/>
    <w:rsid w:val="002A7FDE"/>
    <w:rsid w:val="002B0069"/>
    <w:rsid w:val="002B0161"/>
    <w:rsid w:val="002B0288"/>
    <w:rsid w:val="002B02E0"/>
    <w:rsid w:val="002B034A"/>
    <w:rsid w:val="002B03A2"/>
    <w:rsid w:val="002B04E4"/>
    <w:rsid w:val="002B05EA"/>
    <w:rsid w:val="002B06BD"/>
    <w:rsid w:val="002B0936"/>
    <w:rsid w:val="002B0A1B"/>
    <w:rsid w:val="002B0C1F"/>
    <w:rsid w:val="002B0C95"/>
    <w:rsid w:val="002B0D97"/>
    <w:rsid w:val="002B0DA7"/>
    <w:rsid w:val="002B0EA2"/>
    <w:rsid w:val="002B0F02"/>
    <w:rsid w:val="002B0F1B"/>
    <w:rsid w:val="002B117A"/>
    <w:rsid w:val="002B1185"/>
    <w:rsid w:val="002B12B4"/>
    <w:rsid w:val="002B1467"/>
    <w:rsid w:val="002B14FA"/>
    <w:rsid w:val="002B165E"/>
    <w:rsid w:val="002B16AC"/>
    <w:rsid w:val="002B1732"/>
    <w:rsid w:val="002B173C"/>
    <w:rsid w:val="002B18C0"/>
    <w:rsid w:val="002B1AEF"/>
    <w:rsid w:val="002B211D"/>
    <w:rsid w:val="002B22D5"/>
    <w:rsid w:val="002B22F1"/>
    <w:rsid w:val="002B259E"/>
    <w:rsid w:val="002B25CA"/>
    <w:rsid w:val="002B25EB"/>
    <w:rsid w:val="002B2639"/>
    <w:rsid w:val="002B27B8"/>
    <w:rsid w:val="002B284A"/>
    <w:rsid w:val="002B2AA7"/>
    <w:rsid w:val="002B2AC9"/>
    <w:rsid w:val="002B2AD6"/>
    <w:rsid w:val="002B2C64"/>
    <w:rsid w:val="002B2CB1"/>
    <w:rsid w:val="002B2DD5"/>
    <w:rsid w:val="002B2E63"/>
    <w:rsid w:val="002B3361"/>
    <w:rsid w:val="002B344F"/>
    <w:rsid w:val="002B3873"/>
    <w:rsid w:val="002B3907"/>
    <w:rsid w:val="002B3950"/>
    <w:rsid w:val="002B3973"/>
    <w:rsid w:val="002B39A7"/>
    <w:rsid w:val="002B39AA"/>
    <w:rsid w:val="002B3BCA"/>
    <w:rsid w:val="002B3C4C"/>
    <w:rsid w:val="002B41F8"/>
    <w:rsid w:val="002B41FC"/>
    <w:rsid w:val="002B4303"/>
    <w:rsid w:val="002B443E"/>
    <w:rsid w:val="002B4519"/>
    <w:rsid w:val="002B4526"/>
    <w:rsid w:val="002B45BF"/>
    <w:rsid w:val="002B4637"/>
    <w:rsid w:val="002B481F"/>
    <w:rsid w:val="002B4872"/>
    <w:rsid w:val="002B491B"/>
    <w:rsid w:val="002B494F"/>
    <w:rsid w:val="002B4AD1"/>
    <w:rsid w:val="002B4C5E"/>
    <w:rsid w:val="002B51B6"/>
    <w:rsid w:val="002B523F"/>
    <w:rsid w:val="002B53B0"/>
    <w:rsid w:val="002B549A"/>
    <w:rsid w:val="002B55FD"/>
    <w:rsid w:val="002B572D"/>
    <w:rsid w:val="002B577F"/>
    <w:rsid w:val="002B57C8"/>
    <w:rsid w:val="002B5CB9"/>
    <w:rsid w:val="002B5EB8"/>
    <w:rsid w:val="002B5F30"/>
    <w:rsid w:val="002B5F65"/>
    <w:rsid w:val="002B5F85"/>
    <w:rsid w:val="002B5FF6"/>
    <w:rsid w:val="002B6339"/>
    <w:rsid w:val="002B6368"/>
    <w:rsid w:val="002B6634"/>
    <w:rsid w:val="002B6642"/>
    <w:rsid w:val="002B685C"/>
    <w:rsid w:val="002B68EE"/>
    <w:rsid w:val="002B69DB"/>
    <w:rsid w:val="002B6C9F"/>
    <w:rsid w:val="002B7226"/>
    <w:rsid w:val="002B7242"/>
    <w:rsid w:val="002B7279"/>
    <w:rsid w:val="002B746A"/>
    <w:rsid w:val="002B74DF"/>
    <w:rsid w:val="002B750E"/>
    <w:rsid w:val="002B7519"/>
    <w:rsid w:val="002B75ED"/>
    <w:rsid w:val="002B785A"/>
    <w:rsid w:val="002B78B5"/>
    <w:rsid w:val="002B798B"/>
    <w:rsid w:val="002B7A8C"/>
    <w:rsid w:val="002B7A93"/>
    <w:rsid w:val="002B7B29"/>
    <w:rsid w:val="002B7E73"/>
    <w:rsid w:val="002C0040"/>
    <w:rsid w:val="002C0121"/>
    <w:rsid w:val="002C016C"/>
    <w:rsid w:val="002C0658"/>
    <w:rsid w:val="002C0A3B"/>
    <w:rsid w:val="002C0AEB"/>
    <w:rsid w:val="002C0B56"/>
    <w:rsid w:val="002C0BA6"/>
    <w:rsid w:val="002C0C4F"/>
    <w:rsid w:val="002C0CFD"/>
    <w:rsid w:val="002C0D57"/>
    <w:rsid w:val="002C0D69"/>
    <w:rsid w:val="002C0DCB"/>
    <w:rsid w:val="002C1274"/>
    <w:rsid w:val="002C12CB"/>
    <w:rsid w:val="002C137D"/>
    <w:rsid w:val="002C14B7"/>
    <w:rsid w:val="002C158F"/>
    <w:rsid w:val="002C16D4"/>
    <w:rsid w:val="002C18DF"/>
    <w:rsid w:val="002C19E8"/>
    <w:rsid w:val="002C1AFB"/>
    <w:rsid w:val="002C1B82"/>
    <w:rsid w:val="002C1D52"/>
    <w:rsid w:val="002C1E03"/>
    <w:rsid w:val="002C1E95"/>
    <w:rsid w:val="002C1EE6"/>
    <w:rsid w:val="002C202D"/>
    <w:rsid w:val="002C218B"/>
    <w:rsid w:val="002C2294"/>
    <w:rsid w:val="002C26A4"/>
    <w:rsid w:val="002C2705"/>
    <w:rsid w:val="002C27B7"/>
    <w:rsid w:val="002C283E"/>
    <w:rsid w:val="002C2990"/>
    <w:rsid w:val="002C29BD"/>
    <w:rsid w:val="002C2B8C"/>
    <w:rsid w:val="002C2D5D"/>
    <w:rsid w:val="002C2D73"/>
    <w:rsid w:val="002C2DFD"/>
    <w:rsid w:val="002C2E12"/>
    <w:rsid w:val="002C2FA5"/>
    <w:rsid w:val="002C3067"/>
    <w:rsid w:val="002C3171"/>
    <w:rsid w:val="002C36BA"/>
    <w:rsid w:val="002C3811"/>
    <w:rsid w:val="002C38CF"/>
    <w:rsid w:val="002C3907"/>
    <w:rsid w:val="002C3A3F"/>
    <w:rsid w:val="002C3B64"/>
    <w:rsid w:val="002C3BD6"/>
    <w:rsid w:val="002C3FD3"/>
    <w:rsid w:val="002C423B"/>
    <w:rsid w:val="002C44F7"/>
    <w:rsid w:val="002C45FB"/>
    <w:rsid w:val="002C479A"/>
    <w:rsid w:val="002C4952"/>
    <w:rsid w:val="002C4AAF"/>
    <w:rsid w:val="002C4B3D"/>
    <w:rsid w:val="002C4B9F"/>
    <w:rsid w:val="002C4D70"/>
    <w:rsid w:val="002C4D97"/>
    <w:rsid w:val="002C4E1F"/>
    <w:rsid w:val="002C4ED3"/>
    <w:rsid w:val="002C4FE5"/>
    <w:rsid w:val="002C5015"/>
    <w:rsid w:val="002C506D"/>
    <w:rsid w:val="002C5198"/>
    <w:rsid w:val="002C538C"/>
    <w:rsid w:val="002C5442"/>
    <w:rsid w:val="002C54DF"/>
    <w:rsid w:val="002C5514"/>
    <w:rsid w:val="002C5851"/>
    <w:rsid w:val="002C59A5"/>
    <w:rsid w:val="002C5AE1"/>
    <w:rsid w:val="002C5C9F"/>
    <w:rsid w:val="002C5FDA"/>
    <w:rsid w:val="002C6018"/>
    <w:rsid w:val="002C6062"/>
    <w:rsid w:val="002C6122"/>
    <w:rsid w:val="002C63CF"/>
    <w:rsid w:val="002C671E"/>
    <w:rsid w:val="002C6852"/>
    <w:rsid w:val="002C6973"/>
    <w:rsid w:val="002C6AA9"/>
    <w:rsid w:val="002C6C18"/>
    <w:rsid w:val="002C6C84"/>
    <w:rsid w:val="002C6CAD"/>
    <w:rsid w:val="002C6DDD"/>
    <w:rsid w:val="002C6DFA"/>
    <w:rsid w:val="002C6F66"/>
    <w:rsid w:val="002C6FED"/>
    <w:rsid w:val="002C7551"/>
    <w:rsid w:val="002C757B"/>
    <w:rsid w:val="002C7632"/>
    <w:rsid w:val="002C77F1"/>
    <w:rsid w:val="002C7823"/>
    <w:rsid w:val="002C787D"/>
    <w:rsid w:val="002C796E"/>
    <w:rsid w:val="002C7A51"/>
    <w:rsid w:val="002C7B89"/>
    <w:rsid w:val="002C7E14"/>
    <w:rsid w:val="002D00CD"/>
    <w:rsid w:val="002D0282"/>
    <w:rsid w:val="002D03F3"/>
    <w:rsid w:val="002D03FE"/>
    <w:rsid w:val="002D042D"/>
    <w:rsid w:val="002D04A0"/>
    <w:rsid w:val="002D05DB"/>
    <w:rsid w:val="002D08C0"/>
    <w:rsid w:val="002D093D"/>
    <w:rsid w:val="002D0A78"/>
    <w:rsid w:val="002D0AB1"/>
    <w:rsid w:val="002D0F5F"/>
    <w:rsid w:val="002D0F8D"/>
    <w:rsid w:val="002D0FF4"/>
    <w:rsid w:val="002D1052"/>
    <w:rsid w:val="002D106C"/>
    <w:rsid w:val="002D10B2"/>
    <w:rsid w:val="002D10E1"/>
    <w:rsid w:val="002D1289"/>
    <w:rsid w:val="002D1320"/>
    <w:rsid w:val="002D1371"/>
    <w:rsid w:val="002D1688"/>
    <w:rsid w:val="002D17FC"/>
    <w:rsid w:val="002D1C2C"/>
    <w:rsid w:val="002D21D1"/>
    <w:rsid w:val="002D2537"/>
    <w:rsid w:val="002D279C"/>
    <w:rsid w:val="002D28F4"/>
    <w:rsid w:val="002D293A"/>
    <w:rsid w:val="002D2CC7"/>
    <w:rsid w:val="002D2DFB"/>
    <w:rsid w:val="002D2EC0"/>
    <w:rsid w:val="002D3159"/>
    <w:rsid w:val="002D31F1"/>
    <w:rsid w:val="002D3200"/>
    <w:rsid w:val="002D324C"/>
    <w:rsid w:val="002D3283"/>
    <w:rsid w:val="002D331B"/>
    <w:rsid w:val="002D3560"/>
    <w:rsid w:val="002D35C2"/>
    <w:rsid w:val="002D3670"/>
    <w:rsid w:val="002D38EB"/>
    <w:rsid w:val="002D3A05"/>
    <w:rsid w:val="002D3ACB"/>
    <w:rsid w:val="002D3B9B"/>
    <w:rsid w:val="002D3C3A"/>
    <w:rsid w:val="002D3C99"/>
    <w:rsid w:val="002D3D4E"/>
    <w:rsid w:val="002D3D7F"/>
    <w:rsid w:val="002D3EE2"/>
    <w:rsid w:val="002D3F42"/>
    <w:rsid w:val="002D40DF"/>
    <w:rsid w:val="002D417B"/>
    <w:rsid w:val="002D4293"/>
    <w:rsid w:val="002D42F2"/>
    <w:rsid w:val="002D468A"/>
    <w:rsid w:val="002D4707"/>
    <w:rsid w:val="002D4773"/>
    <w:rsid w:val="002D48B0"/>
    <w:rsid w:val="002D4A7D"/>
    <w:rsid w:val="002D4AC1"/>
    <w:rsid w:val="002D4B20"/>
    <w:rsid w:val="002D4C01"/>
    <w:rsid w:val="002D4C16"/>
    <w:rsid w:val="002D4C3F"/>
    <w:rsid w:val="002D4D38"/>
    <w:rsid w:val="002D4DC1"/>
    <w:rsid w:val="002D4E19"/>
    <w:rsid w:val="002D4E75"/>
    <w:rsid w:val="002D5040"/>
    <w:rsid w:val="002D50DB"/>
    <w:rsid w:val="002D50F1"/>
    <w:rsid w:val="002D50FA"/>
    <w:rsid w:val="002D51D9"/>
    <w:rsid w:val="002D526E"/>
    <w:rsid w:val="002D53DE"/>
    <w:rsid w:val="002D5620"/>
    <w:rsid w:val="002D56FA"/>
    <w:rsid w:val="002D5777"/>
    <w:rsid w:val="002D5818"/>
    <w:rsid w:val="002D58D3"/>
    <w:rsid w:val="002D5A5A"/>
    <w:rsid w:val="002D5CA5"/>
    <w:rsid w:val="002D5DEA"/>
    <w:rsid w:val="002D5E08"/>
    <w:rsid w:val="002D5E16"/>
    <w:rsid w:val="002D6056"/>
    <w:rsid w:val="002D6297"/>
    <w:rsid w:val="002D6481"/>
    <w:rsid w:val="002D65F2"/>
    <w:rsid w:val="002D6957"/>
    <w:rsid w:val="002D6C97"/>
    <w:rsid w:val="002D6E38"/>
    <w:rsid w:val="002D722A"/>
    <w:rsid w:val="002D72A8"/>
    <w:rsid w:val="002D72B9"/>
    <w:rsid w:val="002D7412"/>
    <w:rsid w:val="002D75C9"/>
    <w:rsid w:val="002D76AA"/>
    <w:rsid w:val="002D7766"/>
    <w:rsid w:val="002D78C3"/>
    <w:rsid w:val="002D7C36"/>
    <w:rsid w:val="002D7FBF"/>
    <w:rsid w:val="002E00D3"/>
    <w:rsid w:val="002E0476"/>
    <w:rsid w:val="002E0492"/>
    <w:rsid w:val="002E0605"/>
    <w:rsid w:val="002E0675"/>
    <w:rsid w:val="002E07EF"/>
    <w:rsid w:val="002E09C9"/>
    <w:rsid w:val="002E0D69"/>
    <w:rsid w:val="002E10F0"/>
    <w:rsid w:val="002E119E"/>
    <w:rsid w:val="002E11F2"/>
    <w:rsid w:val="002E1297"/>
    <w:rsid w:val="002E12CE"/>
    <w:rsid w:val="002E14EF"/>
    <w:rsid w:val="002E158E"/>
    <w:rsid w:val="002E1742"/>
    <w:rsid w:val="002E17CF"/>
    <w:rsid w:val="002E1957"/>
    <w:rsid w:val="002E1A7D"/>
    <w:rsid w:val="002E1BAD"/>
    <w:rsid w:val="002E1CB6"/>
    <w:rsid w:val="002E1FED"/>
    <w:rsid w:val="002E2732"/>
    <w:rsid w:val="002E29E7"/>
    <w:rsid w:val="002E2A14"/>
    <w:rsid w:val="002E2F1E"/>
    <w:rsid w:val="002E3023"/>
    <w:rsid w:val="002E3040"/>
    <w:rsid w:val="002E30CA"/>
    <w:rsid w:val="002E30FE"/>
    <w:rsid w:val="002E32EC"/>
    <w:rsid w:val="002E3465"/>
    <w:rsid w:val="002E36DB"/>
    <w:rsid w:val="002E36F4"/>
    <w:rsid w:val="002E3990"/>
    <w:rsid w:val="002E3D52"/>
    <w:rsid w:val="002E3DBF"/>
    <w:rsid w:val="002E3E4F"/>
    <w:rsid w:val="002E3E76"/>
    <w:rsid w:val="002E3F74"/>
    <w:rsid w:val="002E4188"/>
    <w:rsid w:val="002E4399"/>
    <w:rsid w:val="002E43CD"/>
    <w:rsid w:val="002E44DC"/>
    <w:rsid w:val="002E4706"/>
    <w:rsid w:val="002E4846"/>
    <w:rsid w:val="002E4951"/>
    <w:rsid w:val="002E4B42"/>
    <w:rsid w:val="002E4C5B"/>
    <w:rsid w:val="002E4F9A"/>
    <w:rsid w:val="002E4FA2"/>
    <w:rsid w:val="002E4FAB"/>
    <w:rsid w:val="002E51E5"/>
    <w:rsid w:val="002E5334"/>
    <w:rsid w:val="002E5383"/>
    <w:rsid w:val="002E5468"/>
    <w:rsid w:val="002E550D"/>
    <w:rsid w:val="002E563C"/>
    <w:rsid w:val="002E56D4"/>
    <w:rsid w:val="002E598D"/>
    <w:rsid w:val="002E5A75"/>
    <w:rsid w:val="002E5AA3"/>
    <w:rsid w:val="002E5AD1"/>
    <w:rsid w:val="002E5B36"/>
    <w:rsid w:val="002E5C31"/>
    <w:rsid w:val="002E5DA4"/>
    <w:rsid w:val="002E5DEC"/>
    <w:rsid w:val="002E5E41"/>
    <w:rsid w:val="002E5E45"/>
    <w:rsid w:val="002E5ECF"/>
    <w:rsid w:val="002E5F44"/>
    <w:rsid w:val="002E5FA6"/>
    <w:rsid w:val="002E5FF3"/>
    <w:rsid w:val="002E610A"/>
    <w:rsid w:val="002E62F8"/>
    <w:rsid w:val="002E6385"/>
    <w:rsid w:val="002E63DC"/>
    <w:rsid w:val="002E644D"/>
    <w:rsid w:val="002E650B"/>
    <w:rsid w:val="002E66FA"/>
    <w:rsid w:val="002E68D3"/>
    <w:rsid w:val="002E68D6"/>
    <w:rsid w:val="002E6ACE"/>
    <w:rsid w:val="002E6ACF"/>
    <w:rsid w:val="002E6CFD"/>
    <w:rsid w:val="002E6EA0"/>
    <w:rsid w:val="002E71C2"/>
    <w:rsid w:val="002E74E6"/>
    <w:rsid w:val="002E75C4"/>
    <w:rsid w:val="002E76A1"/>
    <w:rsid w:val="002E772F"/>
    <w:rsid w:val="002E7C34"/>
    <w:rsid w:val="002E7C79"/>
    <w:rsid w:val="002E7C96"/>
    <w:rsid w:val="002E7D52"/>
    <w:rsid w:val="002E7EB8"/>
    <w:rsid w:val="002E7FAF"/>
    <w:rsid w:val="002E7FE2"/>
    <w:rsid w:val="002F0031"/>
    <w:rsid w:val="002F0153"/>
    <w:rsid w:val="002F01DB"/>
    <w:rsid w:val="002F039D"/>
    <w:rsid w:val="002F0461"/>
    <w:rsid w:val="002F046B"/>
    <w:rsid w:val="002F056E"/>
    <w:rsid w:val="002F0938"/>
    <w:rsid w:val="002F0AD7"/>
    <w:rsid w:val="002F0B0E"/>
    <w:rsid w:val="002F0B8F"/>
    <w:rsid w:val="002F0BAD"/>
    <w:rsid w:val="002F0D6B"/>
    <w:rsid w:val="002F0E26"/>
    <w:rsid w:val="002F0E3F"/>
    <w:rsid w:val="002F131C"/>
    <w:rsid w:val="002F1480"/>
    <w:rsid w:val="002F14EC"/>
    <w:rsid w:val="002F15DA"/>
    <w:rsid w:val="002F15E4"/>
    <w:rsid w:val="002F1658"/>
    <w:rsid w:val="002F178C"/>
    <w:rsid w:val="002F184D"/>
    <w:rsid w:val="002F18E1"/>
    <w:rsid w:val="002F19D0"/>
    <w:rsid w:val="002F1BB3"/>
    <w:rsid w:val="002F1D4E"/>
    <w:rsid w:val="002F1DB8"/>
    <w:rsid w:val="002F1E39"/>
    <w:rsid w:val="002F1EED"/>
    <w:rsid w:val="002F2044"/>
    <w:rsid w:val="002F2080"/>
    <w:rsid w:val="002F2083"/>
    <w:rsid w:val="002F20AB"/>
    <w:rsid w:val="002F2272"/>
    <w:rsid w:val="002F22A1"/>
    <w:rsid w:val="002F2418"/>
    <w:rsid w:val="002F275D"/>
    <w:rsid w:val="002F28A5"/>
    <w:rsid w:val="002F29A8"/>
    <w:rsid w:val="002F2F16"/>
    <w:rsid w:val="002F3186"/>
    <w:rsid w:val="002F319A"/>
    <w:rsid w:val="002F3210"/>
    <w:rsid w:val="002F34FB"/>
    <w:rsid w:val="002F374E"/>
    <w:rsid w:val="002F377D"/>
    <w:rsid w:val="002F383E"/>
    <w:rsid w:val="002F38A5"/>
    <w:rsid w:val="002F393B"/>
    <w:rsid w:val="002F395A"/>
    <w:rsid w:val="002F3A6C"/>
    <w:rsid w:val="002F3A77"/>
    <w:rsid w:val="002F3CFE"/>
    <w:rsid w:val="002F413D"/>
    <w:rsid w:val="002F4149"/>
    <w:rsid w:val="002F4227"/>
    <w:rsid w:val="002F4232"/>
    <w:rsid w:val="002F445C"/>
    <w:rsid w:val="002F4489"/>
    <w:rsid w:val="002F44C6"/>
    <w:rsid w:val="002F47B3"/>
    <w:rsid w:val="002F49B4"/>
    <w:rsid w:val="002F49C5"/>
    <w:rsid w:val="002F49F4"/>
    <w:rsid w:val="002F4A17"/>
    <w:rsid w:val="002F4AC8"/>
    <w:rsid w:val="002F4AF0"/>
    <w:rsid w:val="002F4B0A"/>
    <w:rsid w:val="002F4C55"/>
    <w:rsid w:val="002F4C6B"/>
    <w:rsid w:val="002F4C79"/>
    <w:rsid w:val="002F4CA4"/>
    <w:rsid w:val="002F4DCD"/>
    <w:rsid w:val="002F4F2B"/>
    <w:rsid w:val="002F4F31"/>
    <w:rsid w:val="002F5014"/>
    <w:rsid w:val="002F5091"/>
    <w:rsid w:val="002F50E7"/>
    <w:rsid w:val="002F5228"/>
    <w:rsid w:val="002F54CD"/>
    <w:rsid w:val="002F58F8"/>
    <w:rsid w:val="002F5925"/>
    <w:rsid w:val="002F5951"/>
    <w:rsid w:val="002F5A5F"/>
    <w:rsid w:val="002F5A71"/>
    <w:rsid w:val="002F5B14"/>
    <w:rsid w:val="002F5B44"/>
    <w:rsid w:val="002F5BB5"/>
    <w:rsid w:val="002F5BB9"/>
    <w:rsid w:val="002F5BD1"/>
    <w:rsid w:val="002F5DC8"/>
    <w:rsid w:val="002F5EEC"/>
    <w:rsid w:val="002F6137"/>
    <w:rsid w:val="002F613A"/>
    <w:rsid w:val="002F62B2"/>
    <w:rsid w:val="002F638A"/>
    <w:rsid w:val="002F6731"/>
    <w:rsid w:val="002F6865"/>
    <w:rsid w:val="002F6B41"/>
    <w:rsid w:val="002F6BA4"/>
    <w:rsid w:val="002F6F54"/>
    <w:rsid w:val="002F735B"/>
    <w:rsid w:val="002F780D"/>
    <w:rsid w:val="002F7838"/>
    <w:rsid w:val="002F79FF"/>
    <w:rsid w:val="002F7A83"/>
    <w:rsid w:val="002F7C35"/>
    <w:rsid w:val="002F7C9C"/>
    <w:rsid w:val="002F7DA7"/>
    <w:rsid w:val="002F7DF3"/>
    <w:rsid w:val="002F7E37"/>
    <w:rsid w:val="002F7E93"/>
    <w:rsid w:val="003000E8"/>
    <w:rsid w:val="0030017B"/>
    <w:rsid w:val="00300189"/>
    <w:rsid w:val="003002A3"/>
    <w:rsid w:val="003002F7"/>
    <w:rsid w:val="00300328"/>
    <w:rsid w:val="0030041D"/>
    <w:rsid w:val="00300847"/>
    <w:rsid w:val="00300B76"/>
    <w:rsid w:val="00300BAC"/>
    <w:rsid w:val="00300BE1"/>
    <w:rsid w:val="00300CC5"/>
    <w:rsid w:val="00300D63"/>
    <w:rsid w:val="00300D75"/>
    <w:rsid w:val="00300E14"/>
    <w:rsid w:val="00300F4A"/>
    <w:rsid w:val="00300FD2"/>
    <w:rsid w:val="003010C5"/>
    <w:rsid w:val="003011DD"/>
    <w:rsid w:val="003013D7"/>
    <w:rsid w:val="003014EE"/>
    <w:rsid w:val="0030150E"/>
    <w:rsid w:val="00301568"/>
    <w:rsid w:val="0030171E"/>
    <w:rsid w:val="00301837"/>
    <w:rsid w:val="00301B8B"/>
    <w:rsid w:val="00301C65"/>
    <w:rsid w:val="00301C6D"/>
    <w:rsid w:val="00301C90"/>
    <w:rsid w:val="00301CFC"/>
    <w:rsid w:val="00301D0E"/>
    <w:rsid w:val="00301D93"/>
    <w:rsid w:val="00301F46"/>
    <w:rsid w:val="00302056"/>
    <w:rsid w:val="003020A9"/>
    <w:rsid w:val="003020B6"/>
    <w:rsid w:val="00302151"/>
    <w:rsid w:val="0030229F"/>
    <w:rsid w:val="003022B4"/>
    <w:rsid w:val="003024D1"/>
    <w:rsid w:val="0030252A"/>
    <w:rsid w:val="0030258E"/>
    <w:rsid w:val="0030289C"/>
    <w:rsid w:val="003029FD"/>
    <w:rsid w:val="00302A00"/>
    <w:rsid w:val="00302CA2"/>
    <w:rsid w:val="00302D48"/>
    <w:rsid w:val="00302F42"/>
    <w:rsid w:val="00302FBB"/>
    <w:rsid w:val="00303099"/>
    <w:rsid w:val="0030325B"/>
    <w:rsid w:val="00303266"/>
    <w:rsid w:val="00303318"/>
    <w:rsid w:val="00303361"/>
    <w:rsid w:val="003037A4"/>
    <w:rsid w:val="00303829"/>
    <w:rsid w:val="00303893"/>
    <w:rsid w:val="00303BAB"/>
    <w:rsid w:val="00303EF3"/>
    <w:rsid w:val="00303FFD"/>
    <w:rsid w:val="00304087"/>
    <w:rsid w:val="003040AD"/>
    <w:rsid w:val="00304198"/>
    <w:rsid w:val="00304341"/>
    <w:rsid w:val="003043FD"/>
    <w:rsid w:val="00304416"/>
    <w:rsid w:val="003045AE"/>
    <w:rsid w:val="0030463B"/>
    <w:rsid w:val="00304718"/>
    <w:rsid w:val="0030479D"/>
    <w:rsid w:val="00304813"/>
    <w:rsid w:val="00304838"/>
    <w:rsid w:val="00304AB7"/>
    <w:rsid w:val="00304FE5"/>
    <w:rsid w:val="0030500A"/>
    <w:rsid w:val="00305042"/>
    <w:rsid w:val="003050ED"/>
    <w:rsid w:val="0030532C"/>
    <w:rsid w:val="00305555"/>
    <w:rsid w:val="003055CB"/>
    <w:rsid w:val="00305799"/>
    <w:rsid w:val="00305920"/>
    <w:rsid w:val="00305ACD"/>
    <w:rsid w:val="00305B4B"/>
    <w:rsid w:val="00305C5C"/>
    <w:rsid w:val="00305D5A"/>
    <w:rsid w:val="00305E12"/>
    <w:rsid w:val="003064AD"/>
    <w:rsid w:val="00306656"/>
    <w:rsid w:val="00306670"/>
    <w:rsid w:val="003066F9"/>
    <w:rsid w:val="0030678B"/>
    <w:rsid w:val="003067DB"/>
    <w:rsid w:val="0030699F"/>
    <w:rsid w:val="00306BE6"/>
    <w:rsid w:val="00306C49"/>
    <w:rsid w:val="00306C6A"/>
    <w:rsid w:val="00306DAC"/>
    <w:rsid w:val="00306E42"/>
    <w:rsid w:val="00306FD0"/>
    <w:rsid w:val="003071DC"/>
    <w:rsid w:val="0030725C"/>
    <w:rsid w:val="003072CE"/>
    <w:rsid w:val="0030744B"/>
    <w:rsid w:val="003074CE"/>
    <w:rsid w:val="003074F3"/>
    <w:rsid w:val="003075CF"/>
    <w:rsid w:val="00307614"/>
    <w:rsid w:val="0030780A"/>
    <w:rsid w:val="00307853"/>
    <w:rsid w:val="003078EF"/>
    <w:rsid w:val="00307971"/>
    <w:rsid w:val="00307A2A"/>
    <w:rsid w:val="00307CDD"/>
    <w:rsid w:val="00307CE8"/>
    <w:rsid w:val="00307F68"/>
    <w:rsid w:val="00307F93"/>
    <w:rsid w:val="00310377"/>
    <w:rsid w:val="003103F5"/>
    <w:rsid w:val="00310502"/>
    <w:rsid w:val="0031059D"/>
    <w:rsid w:val="00310702"/>
    <w:rsid w:val="003108AA"/>
    <w:rsid w:val="003108BE"/>
    <w:rsid w:val="0031096E"/>
    <w:rsid w:val="0031096F"/>
    <w:rsid w:val="00310A67"/>
    <w:rsid w:val="00310B36"/>
    <w:rsid w:val="00310C5A"/>
    <w:rsid w:val="0031109F"/>
    <w:rsid w:val="003110DD"/>
    <w:rsid w:val="0031124B"/>
    <w:rsid w:val="003112FB"/>
    <w:rsid w:val="0031140F"/>
    <w:rsid w:val="0031165E"/>
    <w:rsid w:val="00311799"/>
    <w:rsid w:val="00311903"/>
    <w:rsid w:val="0031196B"/>
    <w:rsid w:val="00311B20"/>
    <w:rsid w:val="00311BD4"/>
    <w:rsid w:val="00311C4A"/>
    <w:rsid w:val="00311CE4"/>
    <w:rsid w:val="00311D67"/>
    <w:rsid w:val="00311DB9"/>
    <w:rsid w:val="00311EF5"/>
    <w:rsid w:val="00311FF4"/>
    <w:rsid w:val="00312002"/>
    <w:rsid w:val="0031218D"/>
    <w:rsid w:val="003123C9"/>
    <w:rsid w:val="0031250C"/>
    <w:rsid w:val="003126D2"/>
    <w:rsid w:val="003127BF"/>
    <w:rsid w:val="0031287B"/>
    <w:rsid w:val="00312BF1"/>
    <w:rsid w:val="00312C7C"/>
    <w:rsid w:val="0031315D"/>
    <w:rsid w:val="00313174"/>
    <w:rsid w:val="003134B4"/>
    <w:rsid w:val="003138D2"/>
    <w:rsid w:val="0031395E"/>
    <w:rsid w:val="00313962"/>
    <w:rsid w:val="003139FB"/>
    <w:rsid w:val="00313A92"/>
    <w:rsid w:val="00313ADB"/>
    <w:rsid w:val="00313B38"/>
    <w:rsid w:val="00313C14"/>
    <w:rsid w:val="0031416A"/>
    <w:rsid w:val="0031447F"/>
    <w:rsid w:val="00314518"/>
    <w:rsid w:val="00314559"/>
    <w:rsid w:val="003145EC"/>
    <w:rsid w:val="003146DA"/>
    <w:rsid w:val="0031471E"/>
    <w:rsid w:val="003148AB"/>
    <w:rsid w:val="003149B5"/>
    <w:rsid w:val="00314B86"/>
    <w:rsid w:val="00314C31"/>
    <w:rsid w:val="00314CC0"/>
    <w:rsid w:val="00314CE3"/>
    <w:rsid w:val="00314D3E"/>
    <w:rsid w:val="00314E6D"/>
    <w:rsid w:val="00315354"/>
    <w:rsid w:val="0031538F"/>
    <w:rsid w:val="003153BD"/>
    <w:rsid w:val="003153FA"/>
    <w:rsid w:val="003154D4"/>
    <w:rsid w:val="0031555B"/>
    <w:rsid w:val="003155A7"/>
    <w:rsid w:val="0031573D"/>
    <w:rsid w:val="0031582B"/>
    <w:rsid w:val="00315871"/>
    <w:rsid w:val="0031594F"/>
    <w:rsid w:val="00315987"/>
    <w:rsid w:val="00315AD7"/>
    <w:rsid w:val="00315B29"/>
    <w:rsid w:val="00315C2F"/>
    <w:rsid w:val="00315D6B"/>
    <w:rsid w:val="00315F60"/>
    <w:rsid w:val="00316228"/>
    <w:rsid w:val="00316384"/>
    <w:rsid w:val="003165B1"/>
    <w:rsid w:val="0031699E"/>
    <w:rsid w:val="003169A1"/>
    <w:rsid w:val="00316A13"/>
    <w:rsid w:val="00316A65"/>
    <w:rsid w:val="00316B57"/>
    <w:rsid w:val="00316BE1"/>
    <w:rsid w:val="00316FA4"/>
    <w:rsid w:val="003170B8"/>
    <w:rsid w:val="00317186"/>
    <w:rsid w:val="0031766D"/>
    <w:rsid w:val="00317824"/>
    <w:rsid w:val="003178C7"/>
    <w:rsid w:val="00317927"/>
    <w:rsid w:val="00317A6F"/>
    <w:rsid w:val="00317C46"/>
    <w:rsid w:val="00317CAB"/>
    <w:rsid w:val="00317D00"/>
    <w:rsid w:val="00317EA3"/>
    <w:rsid w:val="00320150"/>
    <w:rsid w:val="003201FB"/>
    <w:rsid w:val="0032024C"/>
    <w:rsid w:val="003202D3"/>
    <w:rsid w:val="0032035A"/>
    <w:rsid w:val="003205BE"/>
    <w:rsid w:val="0032065B"/>
    <w:rsid w:val="003209F5"/>
    <w:rsid w:val="00320A8C"/>
    <w:rsid w:val="00320A9B"/>
    <w:rsid w:val="00320AEE"/>
    <w:rsid w:val="00320B60"/>
    <w:rsid w:val="00320BBD"/>
    <w:rsid w:val="00320C23"/>
    <w:rsid w:val="00320D46"/>
    <w:rsid w:val="00320D8D"/>
    <w:rsid w:val="00320EA1"/>
    <w:rsid w:val="003210AE"/>
    <w:rsid w:val="0032114A"/>
    <w:rsid w:val="003212EF"/>
    <w:rsid w:val="00321478"/>
    <w:rsid w:val="003214AB"/>
    <w:rsid w:val="00321621"/>
    <w:rsid w:val="00321695"/>
    <w:rsid w:val="00321743"/>
    <w:rsid w:val="0032175F"/>
    <w:rsid w:val="00321768"/>
    <w:rsid w:val="00321959"/>
    <w:rsid w:val="00321A3E"/>
    <w:rsid w:val="00321C3B"/>
    <w:rsid w:val="00321CEF"/>
    <w:rsid w:val="00321DB3"/>
    <w:rsid w:val="00321E68"/>
    <w:rsid w:val="00322019"/>
    <w:rsid w:val="00322035"/>
    <w:rsid w:val="003220B2"/>
    <w:rsid w:val="00322163"/>
    <w:rsid w:val="003222E8"/>
    <w:rsid w:val="0032231A"/>
    <w:rsid w:val="003223E9"/>
    <w:rsid w:val="00322615"/>
    <w:rsid w:val="00322680"/>
    <w:rsid w:val="0032284C"/>
    <w:rsid w:val="003228BF"/>
    <w:rsid w:val="003228C2"/>
    <w:rsid w:val="00322A1B"/>
    <w:rsid w:val="00322A6B"/>
    <w:rsid w:val="00322CD9"/>
    <w:rsid w:val="00322EF7"/>
    <w:rsid w:val="00323223"/>
    <w:rsid w:val="003232BF"/>
    <w:rsid w:val="003232FF"/>
    <w:rsid w:val="00323336"/>
    <w:rsid w:val="00323398"/>
    <w:rsid w:val="00323488"/>
    <w:rsid w:val="0032354E"/>
    <w:rsid w:val="003235B3"/>
    <w:rsid w:val="0032381B"/>
    <w:rsid w:val="00323862"/>
    <w:rsid w:val="003238EF"/>
    <w:rsid w:val="00323953"/>
    <w:rsid w:val="00323BEA"/>
    <w:rsid w:val="00323C59"/>
    <w:rsid w:val="00323D93"/>
    <w:rsid w:val="00323EA4"/>
    <w:rsid w:val="00323EF3"/>
    <w:rsid w:val="00323F3C"/>
    <w:rsid w:val="00323F81"/>
    <w:rsid w:val="00324066"/>
    <w:rsid w:val="00324075"/>
    <w:rsid w:val="00324076"/>
    <w:rsid w:val="003240FB"/>
    <w:rsid w:val="003242D8"/>
    <w:rsid w:val="003246CB"/>
    <w:rsid w:val="00324790"/>
    <w:rsid w:val="003248AC"/>
    <w:rsid w:val="00324A2A"/>
    <w:rsid w:val="00324B51"/>
    <w:rsid w:val="00324DA7"/>
    <w:rsid w:val="00324E0D"/>
    <w:rsid w:val="00324E2A"/>
    <w:rsid w:val="00324FBE"/>
    <w:rsid w:val="00325178"/>
    <w:rsid w:val="00325279"/>
    <w:rsid w:val="00325332"/>
    <w:rsid w:val="00325497"/>
    <w:rsid w:val="00325531"/>
    <w:rsid w:val="00325590"/>
    <w:rsid w:val="00325871"/>
    <w:rsid w:val="00325885"/>
    <w:rsid w:val="00325950"/>
    <w:rsid w:val="003259C5"/>
    <w:rsid w:val="00325B88"/>
    <w:rsid w:val="00325CBB"/>
    <w:rsid w:val="00325E91"/>
    <w:rsid w:val="00325F91"/>
    <w:rsid w:val="00325FE4"/>
    <w:rsid w:val="00326131"/>
    <w:rsid w:val="0032621D"/>
    <w:rsid w:val="0032623B"/>
    <w:rsid w:val="00326291"/>
    <w:rsid w:val="00326379"/>
    <w:rsid w:val="00326410"/>
    <w:rsid w:val="0032664F"/>
    <w:rsid w:val="003266D0"/>
    <w:rsid w:val="0032672C"/>
    <w:rsid w:val="003268EE"/>
    <w:rsid w:val="003268F2"/>
    <w:rsid w:val="003268F9"/>
    <w:rsid w:val="00326A92"/>
    <w:rsid w:val="00326A94"/>
    <w:rsid w:val="00326C8E"/>
    <w:rsid w:val="00326DB7"/>
    <w:rsid w:val="00326EA3"/>
    <w:rsid w:val="0032702E"/>
    <w:rsid w:val="00327068"/>
    <w:rsid w:val="00327360"/>
    <w:rsid w:val="003274B2"/>
    <w:rsid w:val="003276F0"/>
    <w:rsid w:val="003278C0"/>
    <w:rsid w:val="003278EE"/>
    <w:rsid w:val="003279C6"/>
    <w:rsid w:val="00327DBC"/>
    <w:rsid w:val="00327E1D"/>
    <w:rsid w:val="00327EB0"/>
    <w:rsid w:val="00330000"/>
    <w:rsid w:val="003301C9"/>
    <w:rsid w:val="00330297"/>
    <w:rsid w:val="0033051C"/>
    <w:rsid w:val="00330562"/>
    <w:rsid w:val="00330594"/>
    <w:rsid w:val="003305F4"/>
    <w:rsid w:val="0033071D"/>
    <w:rsid w:val="00330972"/>
    <w:rsid w:val="00330AE9"/>
    <w:rsid w:val="00330B4D"/>
    <w:rsid w:val="00330BE3"/>
    <w:rsid w:val="00330C53"/>
    <w:rsid w:val="00330F30"/>
    <w:rsid w:val="00330FDC"/>
    <w:rsid w:val="00331062"/>
    <w:rsid w:val="003310AE"/>
    <w:rsid w:val="003311A4"/>
    <w:rsid w:val="00331226"/>
    <w:rsid w:val="003312AD"/>
    <w:rsid w:val="003312EB"/>
    <w:rsid w:val="003313DA"/>
    <w:rsid w:val="003317A3"/>
    <w:rsid w:val="00331A72"/>
    <w:rsid w:val="00331B43"/>
    <w:rsid w:val="00331B6D"/>
    <w:rsid w:val="00331BAB"/>
    <w:rsid w:val="00331C49"/>
    <w:rsid w:val="00331C8A"/>
    <w:rsid w:val="00331E76"/>
    <w:rsid w:val="00331E7B"/>
    <w:rsid w:val="00331EC3"/>
    <w:rsid w:val="00331EC6"/>
    <w:rsid w:val="00331EDD"/>
    <w:rsid w:val="00332057"/>
    <w:rsid w:val="00332165"/>
    <w:rsid w:val="003322DD"/>
    <w:rsid w:val="003323E9"/>
    <w:rsid w:val="00332774"/>
    <w:rsid w:val="003328D8"/>
    <w:rsid w:val="00332922"/>
    <w:rsid w:val="00332B8D"/>
    <w:rsid w:val="00332B92"/>
    <w:rsid w:val="00332C4D"/>
    <w:rsid w:val="00332D66"/>
    <w:rsid w:val="00332E61"/>
    <w:rsid w:val="00332E8D"/>
    <w:rsid w:val="00332EF1"/>
    <w:rsid w:val="003330F5"/>
    <w:rsid w:val="003332CC"/>
    <w:rsid w:val="00333339"/>
    <w:rsid w:val="003333CB"/>
    <w:rsid w:val="00333579"/>
    <w:rsid w:val="003338B1"/>
    <w:rsid w:val="00333C17"/>
    <w:rsid w:val="00333D84"/>
    <w:rsid w:val="00333E05"/>
    <w:rsid w:val="00333EA6"/>
    <w:rsid w:val="00334050"/>
    <w:rsid w:val="0033408A"/>
    <w:rsid w:val="0033416B"/>
    <w:rsid w:val="0033421C"/>
    <w:rsid w:val="003343C1"/>
    <w:rsid w:val="003343D1"/>
    <w:rsid w:val="003344B4"/>
    <w:rsid w:val="003344DC"/>
    <w:rsid w:val="003346D1"/>
    <w:rsid w:val="003346DC"/>
    <w:rsid w:val="00334717"/>
    <w:rsid w:val="00334735"/>
    <w:rsid w:val="0033479F"/>
    <w:rsid w:val="00334841"/>
    <w:rsid w:val="00334862"/>
    <w:rsid w:val="00334939"/>
    <w:rsid w:val="00334C9A"/>
    <w:rsid w:val="00334EFD"/>
    <w:rsid w:val="00334F94"/>
    <w:rsid w:val="003350CA"/>
    <w:rsid w:val="003351B4"/>
    <w:rsid w:val="00335282"/>
    <w:rsid w:val="0033551E"/>
    <w:rsid w:val="00335565"/>
    <w:rsid w:val="00335572"/>
    <w:rsid w:val="00335761"/>
    <w:rsid w:val="003357DF"/>
    <w:rsid w:val="00335813"/>
    <w:rsid w:val="003359A0"/>
    <w:rsid w:val="00335E1B"/>
    <w:rsid w:val="0033611F"/>
    <w:rsid w:val="00336120"/>
    <w:rsid w:val="00336135"/>
    <w:rsid w:val="0033615E"/>
    <w:rsid w:val="003361E0"/>
    <w:rsid w:val="003362BE"/>
    <w:rsid w:val="003365D6"/>
    <w:rsid w:val="00336870"/>
    <w:rsid w:val="00336977"/>
    <w:rsid w:val="003369DA"/>
    <w:rsid w:val="00336A93"/>
    <w:rsid w:val="00336B1F"/>
    <w:rsid w:val="00336C46"/>
    <w:rsid w:val="00336E41"/>
    <w:rsid w:val="00336ECE"/>
    <w:rsid w:val="00336FFB"/>
    <w:rsid w:val="0033719B"/>
    <w:rsid w:val="0033731E"/>
    <w:rsid w:val="0033736A"/>
    <w:rsid w:val="00337490"/>
    <w:rsid w:val="0033754A"/>
    <w:rsid w:val="0033757C"/>
    <w:rsid w:val="00337828"/>
    <w:rsid w:val="0033786F"/>
    <w:rsid w:val="00337B94"/>
    <w:rsid w:val="00337BCD"/>
    <w:rsid w:val="00337C3A"/>
    <w:rsid w:val="00337CBC"/>
    <w:rsid w:val="00337DC1"/>
    <w:rsid w:val="00337F32"/>
    <w:rsid w:val="00337F5B"/>
    <w:rsid w:val="00337F7D"/>
    <w:rsid w:val="003402AA"/>
    <w:rsid w:val="00340362"/>
    <w:rsid w:val="0034036D"/>
    <w:rsid w:val="003405D0"/>
    <w:rsid w:val="003405F9"/>
    <w:rsid w:val="00340697"/>
    <w:rsid w:val="003406C3"/>
    <w:rsid w:val="00340833"/>
    <w:rsid w:val="00340944"/>
    <w:rsid w:val="00340AC6"/>
    <w:rsid w:val="00340F57"/>
    <w:rsid w:val="00340FAB"/>
    <w:rsid w:val="0034111E"/>
    <w:rsid w:val="003412A5"/>
    <w:rsid w:val="003412C3"/>
    <w:rsid w:val="00341336"/>
    <w:rsid w:val="0034145A"/>
    <w:rsid w:val="00341A6E"/>
    <w:rsid w:val="00341CAC"/>
    <w:rsid w:val="00341D39"/>
    <w:rsid w:val="00341F6F"/>
    <w:rsid w:val="00341FE8"/>
    <w:rsid w:val="00341FF8"/>
    <w:rsid w:val="003421B1"/>
    <w:rsid w:val="00342368"/>
    <w:rsid w:val="00342473"/>
    <w:rsid w:val="003424A8"/>
    <w:rsid w:val="003424BB"/>
    <w:rsid w:val="003426C0"/>
    <w:rsid w:val="00342799"/>
    <w:rsid w:val="0034291B"/>
    <w:rsid w:val="00342C55"/>
    <w:rsid w:val="00342CD9"/>
    <w:rsid w:val="00342D7D"/>
    <w:rsid w:val="00342FCC"/>
    <w:rsid w:val="00343476"/>
    <w:rsid w:val="00343519"/>
    <w:rsid w:val="003439C2"/>
    <w:rsid w:val="00343C2C"/>
    <w:rsid w:val="00343C93"/>
    <w:rsid w:val="00343D0A"/>
    <w:rsid w:val="00343D79"/>
    <w:rsid w:val="00343F06"/>
    <w:rsid w:val="00343F4A"/>
    <w:rsid w:val="00343FD4"/>
    <w:rsid w:val="0034406A"/>
    <w:rsid w:val="0034429B"/>
    <w:rsid w:val="00344564"/>
    <w:rsid w:val="00344669"/>
    <w:rsid w:val="0034479D"/>
    <w:rsid w:val="003447E6"/>
    <w:rsid w:val="00344985"/>
    <w:rsid w:val="00344B87"/>
    <w:rsid w:val="00344C03"/>
    <w:rsid w:val="00344CBB"/>
    <w:rsid w:val="00345033"/>
    <w:rsid w:val="003450BA"/>
    <w:rsid w:val="0034531A"/>
    <w:rsid w:val="0034536D"/>
    <w:rsid w:val="0034540B"/>
    <w:rsid w:val="0034548A"/>
    <w:rsid w:val="003454CE"/>
    <w:rsid w:val="00345695"/>
    <w:rsid w:val="00345697"/>
    <w:rsid w:val="00345755"/>
    <w:rsid w:val="003457CF"/>
    <w:rsid w:val="003459F8"/>
    <w:rsid w:val="00345ADA"/>
    <w:rsid w:val="00345B8E"/>
    <w:rsid w:val="00345CD9"/>
    <w:rsid w:val="00345DFE"/>
    <w:rsid w:val="00345F27"/>
    <w:rsid w:val="00345FC4"/>
    <w:rsid w:val="00346269"/>
    <w:rsid w:val="00346549"/>
    <w:rsid w:val="0034656C"/>
    <w:rsid w:val="003465DA"/>
    <w:rsid w:val="003465FF"/>
    <w:rsid w:val="00346883"/>
    <w:rsid w:val="00346884"/>
    <w:rsid w:val="003468D7"/>
    <w:rsid w:val="00346C28"/>
    <w:rsid w:val="00347208"/>
    <w:rsid w:val="0034729D"/>
    <w:rsid w:val="003473D5"/>
    <w:rsid w:val="003473DC"/>
    <w:rsid w:val="0034744C"/>
    <w:rsid w:val="003474C6"/>
    <w:rsid w:val="0034760F"/>
    <w:rsid w:val="003476B0"/>
    <w:rsid w:val="003478F9"/>
    <w:rsid w:val="0034794B"/>
    <w:rsid w:val="00347B74"/>
    <w:rsid w:val="00347C05"/>
    <w:rsid w:val="00347C0A"/>
    <w:rsid w:val="00347CE6"/>
    <w:rsid w:val="00347D6E"/>
    <w:rsid w:val="00350004"/>
    <w:rsid w:val="00350135"/>
    <w:rsid w:val="003501D4"/>
    <w:rsid w:val="0035038B"/>
    <w:rsid w:val="0035051A"/>
    <w:rsid w:val="00350832"/>
    <w:rsid w:val="00350895"/>
    <w:rsid w:val="003509C5"/>
    <w:rsid w:val="00350CF7"/>
    <w:rsid w:val="003512DB"/>
    <w:rsid w:val="00351567"/>
    <w:rsid w:val="00351765"/>
    <w:rsid w:val="00351918"/>
    <w:rsid w:val="00351A52"/>
    <w:rsid w:val="00351AC6"/>
    <w:rsid w:val="00351B17"/>
    <w:rsid w:val="00351D04"/>
    <w:rsid w:val="00351E6A"/>
    <w:rsid w:val="00351F7F"/>
    <w:rsid w:val="00352070"/>
    <w:rsid w:val="00352115"/>
    <w:rsid w:val="003521AD"/>
    <w:rsid w:val="003523DE"/>
    <w:rsid w:val="003524AC"/>
    <w:rsid w:val="003525A7"/>
    <w:rsid w:val="00352671"/>
    <w:rsid w:val="00352A56"/>
    <w:rsid w:val="00352BF8"/>
    <w:rsid w:val="00352C08"/>
    <w:rsid w:val="00352CB5"/>
    <w:rsid w:val="00352F27"/>
    <w:rsid w:val="00353040"/>
    <w:rsid w:val="003530A1"/>
    <w:rsid w:val="003531A7"/>
    <w:rsid w:val="0035326D"/>
    <w:rsid w:val="003532F8"/>
    <w:rsid w:val="0035335A"/>
    <w:rsid w:val="003534E6"/>
    <w:rsid w:val="003536F9"/>
    <w:rsid w:val="00353846"/>
    <w:rsid w:val="00353924"/>
    <w:rsid w:val="00353A43"/>
    <w:rsid w:val="00353C30"/>
    <w:rsid w:val="00353C6D"/>
    <w:rsid w:val="00353E58"/>
    <w:rsid w:val="00354104"/>
    <w:rsid w:val="003543EF"/>
    <w:rsid w:val="00354591"/>
    <w:rsid w:val="003545B0"/>
    <w:rsid w:val="00354785"/>
    <w:rsid w:val="003547F9"/>
    <w:rsid w:val="00354909"/>
    <w:rsid w:val="0035492B"/>
    <w:rsid w:val="00354B2E"/>
    <w:rsid w:val="00354D8C"/>
    <w:rsid w:val="00354F14"/>
    <w:rsid w:val="00355337"/>
    <w:rsid w:val="0035549C"/>
    <w:rsid w:val="003554EC"/>
    <w:rsid w:val="003554FB"/>
    <w:rsid w:val="0035550D"/>
    <w:rsid w:val="0035551F"/>
    <w:rsid w:val="003555C0"/>
    <w:rsid w:val="00355606"/>
    <w:rsid w:val="00355685"/>
    <w:rsid w:val="0035570B"/>
    <w:rsid w:val="00355811"/>
    <w:rsid w:val="003558FF"/>
    <w:rsid w:val="00355CDB"/>
    <w:rsid w:val="00355D16"/>
    <w:rsid w:val="00355E34"/>
    <w:rsid w:val="00356089"/>
    <w:rsid w:val="003561B5"/>
    <w:rsid w:val="003561FA"/>
    <w:rsid w:val="00356384"/>
    <w:rsid w:val="00356678"/>
    <w:rsid w:val="00356795"/>
    <w:rsid w:val="003567BA"/>
    <w:rsid w:val="00356810"/>
    <w:rsid w:val="003568EE"/>
    <w:rsid w:val="0035690E"/>
    <w:rsid w:val="00356AE9"/>
    <w:rsid w:val="00356D8E"/>
    <w:rsid w:val="00356D90"/>
    <w:rsid w:val="00356DD9"/>
    <w:rsid w:val="00356DF9"/>
    <w:rsid w:val="00356FA0"/>
    <w:rsid w:val="00356FB0"/>
    <w:rsid w:val="0035739D"/>
    <w:rsid w:val="003573B9"/>
    <w:rsid w:val="003574E3"/>
    <w:rsid w:val="003576DE"/>
    <w:rsid w:val="00357730"/>
    <w:rsid w:val="0035787E"/>
    <w:rsid w:val="00357911"/>
    <w:rsid w:val="00357914"/>
    <w:rsid w:val="00357A78"/>
    <w:rsid w:val="00357D3B"/>
    <w:rsid w:val="00357E1B"/>
    <w:rsid w:val="00360037"/>
    <w:rsid w:val="003606D7"/>
    <w:rsid w:val="00360738"/>
    <w:rsid w:val="00360824"/>
    <w:rsid w:val="00360890"/>
    <w:rsid w:val="003609EC"/>
    <w:rsid w:val="00360A5F"/>
    <w:rsid w:val="00360B31"/>
    <w:rsid w:val="00360CDE"/>
    <w:rsid w:val="00360E27"/>
    <w:rsid w:val="00360E7A"/>
    <w:rsid w:val="003610A5"/>
    <w:rsid w:val="003610F1"/>
    <w:rsid w:val="003610F4"/>
    <w:rsid w:val="003610F8"/>
    <w:rsid w:val="00361125"/>
    <w:rsid w:val="0036112F"/>
    <w:rsid w:val="0036117B"/>
    <w:rsid w:val="0036128D"/>
    <w:rsid w:val="00361333"/>
    <w:rsid w:val="003613A3"/>
    <w:rsid w:val="00361536"/>
    <w:rsid w:val="00361556"/>
    <w:rsid w:val="003616DB"/>
    <w:rsid w:val="003618B3"/>
    <w:rsid w:val="003619CF"/>
    <w:rsid w:val="00361A69"/>
    <w:rsid w:val="00361C7B"/>
    <w:rsid w:val="00361CCC"/>
    <w:rsid w:val="00361CD2"/>
    <w:rsid w:val="00361D9E"/>
    <w:rsid w:val="00362059"/>
    <w:rsid w:val="00362108"/>
    <w:rsid w:val="003622AD"/>
    <w:rsid w:val="0036231F"/>
    <w:rsid w:val="003624E4"/>
    <w:rsid w:val="0036277A"/>
    <w:rsid w:val="00362816"/>
    <w:rsid w:val="00362852"/>
    <w:rsid w:val="00362881"/>
    <w:rsid w:val="00362BC8"/>
    <w:rsid w:val="00362C2F"/>
    <w:rsid w:val="00362DCE"/>
    <w:rsid w:val="00362E8E"/>
    <w:rsid w:val="00362EFE"/>
    <w:rsid w:val="00362F14"/>
    <w:rsid w:val="00362F76"/>
    <w:rsid w:val="00362F77"/>
    <w:rsid w:val="003632EE"/>
    <w:rsid w:val="003634C0"/>
    <w:rsid w:val="003634D1"/>
    <w:rsid w:val="0036353D"/>
    <w:rsid w:val="00363649"/>
    <w:rsid w:val="00363A0C"/>
    <w:rsid w:val="00363A51"/>
    <w:rsid w:val="00363C4D"/>
    <w:rsid w:val="00363C72"/>
    <w:rsid w:val="00363D93"/>
    <w:rsid w:val="00363EEA"/>
    <w:rsid w:val="00364033"/>
    <w:rsid w:val="0036409C"/>
    <w:rsid w:val="003640AC"/>
    <w:rsid w:val="003643E5"/>
    <w:rsid w:val="00364611"/>
    <w:rsid w:val="00364811"/>
    <w:rsid w:val="003649C6"/>
    <w:rsid w:val="003649E7"/>
    <w:rsid w:val="00364AE7"/>
    <w:rsid w:val="00364B00"/>
    <w:rsid w:val="00364B2A"/>
    <w:rsid w:val="00364B33"/>
    <w:rsid w:val="00364B8D"/>
    <w:rsid w:val="00364BEF"/>
    <w:rsid w:val="00364DE7"/>
    <w:rsid w:val="00364DF4"/>
    <w:rsid w:val="00364EEC"/>
    <w:rsid w:val="00364F16"/>
    <w:rsid w:val="0036501E"/>
    <w:rsid w:val="003651C2"/>
    <w:rsid w:val="0036562F"/>
    <w:rsid w:val="003657CE"/>
    <w:rsid w:val="003657F7"/>
    <w:rsid w:val="00365B1E"/>
    <w:rsid w:val="00365C5E"/>
    <w:rsid w:val="00365CE1"/>
    <w:rsid w:val="00366002"/>
    <w:rsid w:val="003662A6"/>
    <w:rsid w:val="0036659B"/>
    <w:rsid w:val="00366795"/>
    <w:rsid w:val="003667E4"/>
    <w:rsid w:val="0036684F"/>
    <w:rsid w:val="003669D2"/>
    <w:rsid w:val="00366A9F"/>
    <w:rsid w:val="00366CC7"/>
    <w:rsid w:val="00366D50"/>
    <w:rsid w:val="00366D86"/>
    <w:rsid w:val="00366D92"/>
    <w:rsid w:val="00366EE7"/>
    <w:rsid w:val="00366FB4"/>
    <w:rsid w:val="00367187"/>
    <w:rsid w:val="003671BB"/>
    <w:rsid w:val="003672CB"/>
    <w:rsid w:val="00367304"/>
    <w:rsid w:val="00367356"/>
    <w:rsid w:val="003673EF"/>
    <w:rsid w:val="00367420"/>
    <w:rsid w:val="00367507"/>
    <w:rsid w:val="0036755A"/>
    <w:rsid w:val="003675EC"/>
    <w:rsid w:val="003679FC"/>
    <w:rsid w:val="00367C39"/>
    <w:rsid w:val="00367F0C"/>
    <w:rsid w:val="00367FE8"/>
    <w:rsid w:val="003700C7"/>
    <w:rsid w:val="00370718"/>
    <w:rsid w:val="0037086A"/>
    <w:rsid w:val="00370906"/>
    <w:rsid w:val="0037093D"/>
    <w:rsid w:val="0037098A"/>
    <w:rsid w:val="00370A46"/>
    <w:rsid w:val="00370BB3"/>
    <w:rsid w:val="00370CA3"/>
    <w:rsid w:val="00370DF2"/>
    <w:rsid w:val="00370E6B"/>
    <w:rsid w:val="00370E84"/>
    <w:rsid w:val="003710CA"/>
    <w:rsid w:val="003711AF"/>
    <w:rsid w:val="00371204"/>
    <w:rsid w:val="00371263"/>
    <w:rsid w:val="003712FE"/>
    <w:rsid w:val="00371498"/>
    <w:rsid w:val="003714E5"/>
    <w:rsid w:val="00371625"/>
    <w:rsid w:val="0037176D"/>
    <w:rsid w:val="003718CD"/>
    <w:rsid w:val="0037191C"/>
    <w:rsid w:val="00371A33"/>
    <w:rsid w:val="00371BF1"/>
    <w:rsid w:val="00371CC3"/>
    <w:rsid w:val="00371DB0"/>
    <w:rsid w:val="00371E1F"/>
    <w:rsid w:val="00371FA4"/>
    <w:rsid w:val="00371FB7"/>
    <w:rsid w:val="0037203F"/>
    <w:rsid w:val="0037206F"/>
    <w:rsid w:val="00372267"/>
    <w:rsid w:val="00372326"/>
    <w:rsid w:val="00372574"/>
    <w:rsid w:val="00372710"/>
    <w:rsid w:val="003728A9"/>
    <w:rsid w:val="0037290C"/>
    <w:rsid w:val="00372BDC"/>
    <w:rsid w:val="00372C60"/>
    <w:rsid w:val="00372C63"/>
    <w:rsid w:val="00372CB2"/>
    <w:rsid w:val="00372DD0"/>
    <w:rsid w:val="00372E53"/>
    <w:rsid w:val="00373062"/>
    <w:rsid w:val="00373142"/>
    <w:rsid w:val="003731E7"/>
    <w:rsid w:val="003731EB"/>
    <w:rsid w:val="0037357F"/>
    <w:rsid w:val="00373995"/>
    <w:rsid w:val="003739CB"/>
    <w:rsid w:val="00373A21"/>
    <w:rsid w:val="00373A72"/>
    <w:rsid w:val="00373FD9"/>
    <w:rsid w:val="0037406D"/>
    <w:rsid w:val="00374086"/>
    <w:rsid w:val="00374138"/>
    <w:rsid w:val="003741C6"/>
    <w:rsid w:val="003741E7"/>
    <w:rsid w:val="00374245"/>
    <w:rsid w:val="0037426B"/>
    <w:rsid w:val="0037451C"/>
    <w:rsid w:val="00374726"/>
    <w:rsid w:val="00374780"/>
    <w:rsid w:val="00374801"/>
    <w:rsid w:val="003748A3"/>
    <w:rsid w:val="003748D0"/>
    <w:rsid w:val="00374942"/>
    <w:rsid w:val="003749F7"/>
    <w:rsid w:val="00374C11"/>
    <w:rsid w:val="00374C7D"/>
    <w:rsid w:val="00374D47"/>
    <w:rsid w:val="00374D9E"/>
    <w:rsid w:val="00374DB7"/>
    <w:rsid w:val="00374F8F"/>
    <w:rsid w:val="00375044"/>
    <w:rsid w:val="003751E1"/>
    <w:rsid w:val="003752ED"/>
    <w:rsid w:val="003753A4"/>
    <w:rsid w:val="0037551B"/>
    <w:rsid w:val="003755AA"/>
    <w:rsid w:val="003756DD"/>
    <w:rsid w:val="00375733"/>
    <w:rsid w:val="003758A6"/>
    <w:rsid w:val="00375938"/>
    <w:rsid w:val="0037599C"/>
    <w:rsid w:val="00375A92"/>
    <w:rsid w:val="00375B97"/>
    <w:rsid w:val="00375C33"/>
    <w:rsid w:val="00375E89"/>
    <w:rsid w:val="00375F4B"/>
    <w:rsid w:val="00375FA7"/>
    <w:rsid w:val="003761C6"/>
    <w:rsid w:val="0037620F"/>
    <w:rsid w:val="003764B4"/>
    <w:rsid w:val="003765DB"/>
    <w:rsid w:val="00376776"/>
    <w:rsid w:val="003767B4"/>
    <w:rsid w:val="003769A9"/>
    <w:rsid w:val="00376A76"/>
    <w:rsid w:val="00376B15"/>
    <w:rsid w:val="00376C1A"/>
    <w:rsid w:val="00376C86"/>
    <w:rsid w:val="00376C92"/>
    <w:rsid w:val="00376DFB"/>
    <w:rsid w:val="00376FCF"/>
    <w:rsid w:val="00377065"/>
    <w:rsid w:val="00377070"/>
    <w:rsid w:val="00377242"/>
    <w:rsid w:val="0037728C"/>
    <w:rsid w:val="00377298"/>
    <w:rsid w:val="003772E9"/>
    <w:rsid w:val="003773A3"/>
    <w:rsid w:val="003773FF"/>
    <w:rsid w:val="0037741D"/>
    <w:rsid w:val="003774C5"/>
    <w:rsid w:val="003774D7"/>
    <w:rsid w:val="0037756F"/>
    <w:rsid w:val="00377576"/>
    <w:rsid w:val="0037759F"/>
    <w:rsid w:val="003779BC"/>
    <w:rsid w:val="00377BF9"/>
    <w:rsid w:val="00377DB0"/>
    <w:rsid w:val="00377DE4"/>
    <w:rsid w:val="00377F72"/>
    <w:rsid w:val="00380230"/>
    <w:rsid w:val="00380276"/>
    <w:rsid w:val="003802D8"/>
    <w:rsid w:val="003804AC"/>
    <w:rsid w:val="0038056F"/>
    <w:rsid w:val="003806BB"/>
    <w:rsid w:val="0038089C"/>
    <w:rsid w:val="00380BB5"/>
    <w:rsid w:val="00380BC9"/>
    <w:rsid w:val="00380ED1"/>
    <w:rsid w:val="003810F9"/>
    <w:rsid w:val="00381332"/>
    <w:rsid w:val="00381419"/>
    <w:rsid w:val="00381454"/>
    <w:rsid w:val="0038165E"/>
    <w:rsid w:val="003816A5"/>
    <w:rsid w:val="00381875"/>
    <w:rsid w:val="003818D4"/>
    <w:rsid w:val="00381C1D"/>
    <w:rsid w:val="00381C45"/>
    <w:rsid w:val="00381DAB"/>
    <w:rsid w:val="00381EF2"/>
    <w:rsid w:val="00381F4B"/>
    <w:rsid w:val="003821F2"/>
    <w:rsid w:val="003822F0"/>
    <w:rsid w:val="0038235E"/>
    <w:rsid w:val="0038242B"/>
    <w:rsid w:val="00382436"/>
    <w:rsid w:val="003824B4"/>
    <w:rsid w:val="003824FE"/>
    <w:rsid w:val="00382573"/>
    <w:rsid w:val="003826A3"/>
    <w:rsid w:val="00382877"/>
    <w:rsid w:val="00382A45"/>
    <w:rsid w:val="00382C31"/>
    <w:rsid w:val="00382E12"/>
    <w:rsid w:val="00382F39"/>
    <w:rsid w:val="0038338C"/>
    <w:rsid w:val="003834EC"/>
    <w:rsid w:val="00383520"/>
    <w:rsid w:val="00383521"/>
    <w:rsid w:val="00383571"/>
    <w:rsid w:val="0038367B"/>
    <w:rsid w:val="00383755"/>
    <w:rsid w:val="003838B5"/>
    <w:rsid w:val="00383D40"/>
    <w:rsid w:val="00383E12"/>
    <w:rsid w:val="00383E7E"/>
    <w:rsid w:val="00383FBE"/>
    <w:rsid w:val="00383FD7"/>
    <w:rsid w:val="00384099"/>
    <w:rsid w:val="0038415A"/>
    <w:rsid w:val="00384362"/>
    <w:rsid w:val="00384376"/>
    <w:rsid w:val="00384403"/>
    <w:rsid w:val="00384568"/>
    <w:rsid w:val="0038484A"/>
    <w:rsid w:val="00384A1B"/>
    <w:rsid w:val="00384B26"/>
    <w:rsid w:val="00384B79"/>
    <w:rsid w:val="00384DDA"/>
    <w:rsid w:val="00384FB7"/>
    <w:rsid w:val="00385018"/>
    <w:rsid w:val="003852B9"/>
    <w:rsid w:val="003852CF"/>
    <w:rsid w:val="00385362"/>
    <w:rsid w:val="00385464"/>
    <w:rsid w:val="003854E7"/>
    <w:rsid w:val="003854E9"/>
    <w:rsid w:val="003856C1"/>
    <w:rsid w:val="00385912"/>
    <w:rsid w:val="0038592D"/>
    <w:rsid w:val="0038594C"/>
    <w:rsid w:val="00385AE5"/>
    <w:rsid w:val="00385BE2"/>
    <w:rsid w:val="00385ECA"/>
    <w:rsid w:val="00385F1B"/>
    <w:rsid w:val="00386208"/>
    <w:rsid w:val="0038633A"/>
    <w:rsid w:val="00386368"/>
    <w:rsid w:val="003864C0"/>
    <w:rsid w:val="003864D7"/>
    <w:rsid w:val="003864E1"/>
    <w:rsid w:val="0038650F"/>
    <w:rsid w:val="0038657B"/>
    <w:rsid w:val="00386952"/>
    <w:rsid w:val="00386B63"/>
    <w:rsid w:val="00386BF3"/>
    <w:rsid w:val="00386C01"/>
    <w:rsid w:val="00386F65"/>
    <w:rsid w:val="003870ED"/>
    <w:rsid w:val="00387199"/>
    <w:rsid w:val="003873D9"/>
    <w:rsid w:val="00387453"/>
    <w:rsid w:val="0038766D"/>
    <w:rsid w:val="0038777F"/>
    <w:rsid w:val="00387A21"/>
    <w:rsid w:val="00387BBE"/>
    <w:rsid w:val="00387CC4"/>
    <w:rsid w:val="00387D10"/>
    <w:rsid w:val="00387EF7"/>
    <w:rsid w:val="00390425"/>
    <w:rsid w:val="00390458"/>
    <w:rsid w:val="0039053F"/>
    <w:rsid w:val="00390722"/>
    <w:rsid w:val="003907F9"/>
    <w:rsid w:val="00390809"/>
    <w:rsid w:val="00390897"/>
    <w:rsid w:val="00390A3E"/>
    <w:rsid w:val="00390AAC"/>
    <w:rsid w:val="00390EEB"/>
    <w:rsid w:val="00390FC6"/>
    <w:rsid w:val="00391110"/>
    <w:rsid w:val="00391239"/>
    <w:rsid w:val="00391272"/>
    <w:rsid w:val="003913C1"/>
    <w:rsid w:val="003913EC"/>
    <w:rsid w:val="00391436"/>
    <w:rsid w:val="00391454"/>
    <w:rsid w:val="00391497"/>
    <w:rsid w:val="00391636"/>
    <w:rsid w:val="00391826"/>
    <w:rsid w:val="00391898"/>
    <w:rsid w:val="0039196A"/>
    <w:rsid w:val="00391B87"/>
    <w:rsid w:val="00391BA8"/>
    <w:rsid w:val="00392117"/>
    <w:rsid w:val="0039211C"/>
    <w:rsid w:val="0039229F"/>
    <w:rsid w:val="003929D8"/>
    <w:rsid w:val="00392B61"/>
    <w:rsid w:val="00392FC4"/>
    <w:rsid w:val="00393043"/>
    <w:rsid w:val="003930D2"/>
    <w:rsid w:val="003935D4"/>
    <w:rsid w:val="00393870"/>
    <w:rsid w:val="00393BA8"/>
    <w:rsid w:val="00393CE2"/>
    <w:rsid w:val="00393CE5"/>
    <w:rsid w:val="00393D75"/>
    <w:rsid w:val="00393DF7"/>
    <w:rsid w:val="00393EEB"/>
    <w:rsid w:val="00393F71"/>
    <w:rsid w:val="00393FBC"/>
    <w:rsid w:val="00394039"/>
    <w:rsid w:val="00394055"/>
    <w:rsid w:val="00394118"/>
    <w:rsid w:val="00394138"/>
    <w:rsid w:val="0039423A"/>
    <w:rsid w:val="003942A4"/>
    <w:rsid w:val="00394305"/>
    <w:rsid w:val="00394403"/>
    <w:rsid w:val="003945EB"/>
    <w:rsid w:val="003946A6"/>
    <w:rsid w:val="00394709"/>
    <w:rsid w:val="00394881"/>
    <w:rsid w:val="003948C3"/>
    <w:rsid w:val="00394915"/>
    <w:rsid w:val="00394AFB"/>
    <w:rsid w:val="0039501F"/>
    <w:rsid w:val="00395032"/>
    <w:rsid w:val="0039519B"/>
    <w:rsid w:val="00395277"/>
    <w:rsid w:val="00395428"/>
    <w:rsid w:val="00395464"/>
    <w:rsid w:val="003954B7"/>
    <w:rsid w:val="00395728"/>
    <w:rsid w:val="00395AF8"/>
    <w:rsid w:val="00395CEE"/>
    <w:rsid w:val="00395E1D"/>
    <w:rsid w:val="00395EA0"/>
    <w:rsid w:val="003960E7"/>
    <w:rsid w:val="00396701"/>
    <w:rsid w:val="00396961"/>
    <w:rsid w:val="00396970"/>
    <w:rsid w:val="00396B11"/>
    <w:rsid w:val="00396CB2"/>
    <w:rsid w:val="00396DED"/>
    <w:rsid w:val="00396E52"/>
    <w:rsid w:val="00397042"/>
    <w:rsid w:val="0039713D"/>
    <w:rsid w:val="00397259"/>
    <w:rsid w:val="00397335"/>
    <w:rsid w:val="00397536"/>
    <w:rsid w:val="003975DB"/>
    <w:rsid w:val="003979D4"/>
    <w:rsid w:val="00397A54"/>
    <w:rsid w:val="00397A7F"/>
    <w:rsid w:val="00397B25"/>
    <w:rsid w:val="00397B70"/>
    <w:rsid w:val="003A00C9"/>
    <w:rsid w:val="003A01E7"/>
    <w:rsid w:val="003A05E6"/>
    <w:rsid w:val="003A062B"/>
    <w:rsid w:val="003A0727"/>
    <w:rsid w:val="003A07D7"/>
    <w:rsid w:val="003A09C3"/>
    <w:rsid w:val="003A0A8E"/>
    <w:rsid w:val="003A0D3F"/>
    <w:rsid w:val="003A0D6D"/>
    <w:rsid w:val="003A0DD7"/>
    <w:rsid w:val="003A0E20"/>
    <w:rsid w:val="003A110C"/>
    <w:rsid w:val="003A1181"/>
    <w:rsid w:val="003A11F9"/>
    <w:rsid w:val="003A13D7"/>
    <w:rsid w:val="003A141F"/>
    <w:rsid w:val="003A1641"/>
    <w:rsid w:val="003A16E8"/>
    <w:rsid w:val="003A1783"/>
    <w:rsid w:val="003A189A"/>
    <w:rsid w:val="003A1900"/>
    <w:rsid w:val="003A1971"/>
    <w:rsid w:val="003A198B"/>
    <w:rsid w:val="003A19AC"/>
    <w:rsid w:val="003A1AA0"/>
    <w:rsid w:val="003A1B28"/>
    <w:rsid w:val="003A1B64"/>
    <w:rsid w:val="003A1BAD"/>
    <w:rsid w:val="003A1BF2"/>
    <w:rsid w:val="003A1CA5"/>
    <w:rsid w:val="003A1D1A"/>
    <w:rsid w:val="003A2040"/>
    <w:rsid w:val="003A2618"/>
    <w:rsid w:val="003A26AC"/>
    <w:rsid w:val="003A28A4"/>
    <w:rsid w:val="003A2A7E"/>
    <w:rsid w:val="003A2B90"/>
    <w:rsid w:val="003A2E2D"/>
    <w:rsid w:val="003A2E89"/>
    <w:rsid w:val="003A30DA"/>
    <w:rsid w:val="003A3171"/>
    <w:rsid w:val="003A32C6"/>
    <w:rsid w:val="003A32D4"/>
    <w:rsid w:val="003A335E"/>
    <w:rsid w:val="003A344F"/>
    <w:rsid w:val="003A350D"/>
    <w:rsid w:val="003A3557"/>
    <w:rsid w:val="003A3599"/>
    <w:rsid w:val="003A3756"/>
    <w:rsid w:val="003A37B3"/>
    <w:rsid w:val="003A37D8"/>
    <w:rsid w:val="003A385F"/>
    <w:rsid w:val="003A3945"/>
    <w:rsid w:val="003A3A67"/>
    <w:rsid w:val="003A3D7D"/>
    <w:rsid w:val="003A3DF0"/>
    <w:rsid w:val="003A3FDA"/>
    <w:rsid w:val="003A4026"/>
    <w:rsid w:val="003A413D"/>
    <w:rsid w:val="003A41FC"/>
    <w:rsid w:val="003A42BE"/>
    <w:rsid w:val="003A434D"/>
    <w:rsid w:val="003A436A"/>
    <w:rsid w:val="003A439E"/>
    <w:rsid w:val="003A4591"/>
    <w:rsid w:val="003A4765"/>
    <w:rsid w:val="003A4800"/>
    <w:rsid w:val="003A48D4"/>
    <w:rsid w:val="003A493F"/>
    <w:rsid w:val="003A4979"/>
    <w:rsid w:val="003A4AD6"/>
    <w:rsid w:val="003A4B8E"/>
    <w:rsid w:val="003A4CAB"/>
    <w:rsid w:val="003A4CBA"/>
    <w:rsid w:val="003A4D82"/>
    <w:rsid w:val="003A4EB0"/>
    <w:rsid w:val="003A4FC7"/>
    <w:rsid w:val="003A5017"/>
    <w:rsid w:val="003A50D0"/>
    <w:rsid w:val="003A538C"/>
    <w:rsid w:val="003A5391"/>
    <w:rsid w:val="003A5406"/>
    <w:rsid w:val="003A545B"/>
    <w:rsid w:val="003A54BB"/>
    <w:rsid w:val="003A56CA"/>
    <w:rsid w:val="003A56D8"/>
    <w:rsid w:val="003A57A1"/>
    <w:rsid w:val="003A57E8"/>
    <w:rsid w:val="003A57F1"/>
    <w:rsid w:val="003A58FC"/>
    <w:rsid w:val="003A5A58"/>
    <w:rsid w:val="003A5A7E"/>
    <w:rsid w:val="003A5B85"/>
    <w:rsid w:val="003A5D47"/>
    <w:rsid w:val="003A5DFC"/>
    <w:rsid w:val="003A608A"/>
    <w:rsid w:val="003A60EC"/>
    <w:rsid w:val="003A6341"/>
    <w:rsid w:val="003A63B0"/>
    <w:rsid w:val="003A6401"/>
    <w:rsid w:val="003A652C"/>
    <w:rsid w:val="003A654A"/>
    <w:rsid w:val="003A6577"/>
    <w:rsid w:val="003A66A8"/>
    <w:rsid w:val="003A6741"/>
    <w:rsid w:val="003A6A97"/>
    <w:rsid w:val="003A6AB8"/>
    <w:rsid w:val="003A6B19"/>
    <w:rsid w:val="003A6B37"/>
    <w:rsid w:val="003A6CD1"/>
    <w:rsid w:val="003A6D96"/>
    <w:rsid w:val="003A6E9B"/>
    <w:rsid w:val="003A6F06"/>
    <w:rsid w:val="003A6F13"/>
    <w:rsid w:val="003A6F21"/>
    <w:rsid w:val="003A7077"/>
    <w:rsid w:val="003A75E6"/>
    <w:rsid w:val="003A7636"/>
    <w:rsid w:val="003A7726"/>
    <w:rsid w:val="003A77D1"/>
    <w:rsid w:val="003A77F0"/>
    <w:rsid w:val="003A7A19"/>
    <w:rsid w:val="003A7A9C"/>
    <w:rsid w:val="003A7AB6"/>
    <w:rsid w:val="003A7B92"/>
    <w:rsid w:val="003A7C73"/>
    <w:rsid w:val="003A7E14"/>
    <w:rsid w:val="003A7E80"/>
    <w:rsid w:val="003A7ED8"/>
    <w:rsid w:val="003A7EF0"/>
    <w:rsid w:val="003A7F7F"/>
    <w:rsid w:val="003B0082"/>
    <w:rsid w:val="003B0321"/>
    <w:rsid w:val="003B037B"/>
    <w:rsid w:val="003B039D"/>
    <w:rsid w:val="003B03E0"/>
    <w:rsid w:val="003B0422"/>
    <w:rsid w:val="003B04B7"/>
    <w:rsid w:val="003B060E"/>
    <w:rsid w:val="003B06D0"/>
    <w:rsid w:val="003B06FF"/>
    <w:rsid w:val="003B0872"/>
    <w:rsid w:val="003B0D90"/>
    <w:rsid w:val="003B0FA5"/>
    <w:rsid w:val="003B0FC4"/>
    <w:rsid w:val="003B101A"/>
    <w:rsid w:val="003B105F"/>
    <w:rsid w:val="003B1325"/>
    <w:rsid w:val="003B13B9"/>
    <w:rsid w:val="003B13EF"/>
    <w:rsid w:val="003B1584"/>
    <w:rsid w:val="003B1646"/>
    <w:rsid w:val="003B16B4"/>
    <w:rsid w:val="003B1708"/>
    <w:rsid w:val="003B1712"/>
    <w:rsid w:val="003B1767"/>
    <w:rsid w:val="003B196E"/>
    <w:rsid w:val="003B1BCB"/>
    <w:rsid w:val="003B1C2D"/>
    <w:rsid w:val="003B1F64"/>
    <w:rsid w:val="003B1FFA"/>
    <w:rsid w:val="003B211C"/>
    <w:rsid w:val="003B22D7"/>
    <w:rsid w:val="003B2431"/>
    <w:rsid w:val="003B25FD"/>
    <w:rsid w:val="003B261D"/>
    <w:rsid w:val="003B26BF"/>
    <w:rsid w:val="003B271D"/>
    <w:rsid w:val="003B2894"/>
    <w:rsid w:val="003B2BF1"/>
    <w:rsid w:val="003B2CE8"/>
    <w:rsid w:val="003B301E"/>
    <w:rsid w:val="003B31E7"/>
    <w:rsid w:val="003B331B"/>
    <w:rsid w:val="003B346B"/>
    <w:rsid w:val="003B362D"/>
    <w:rsid w:val="003B37C3"/>
    <w:rsid w:val="003B3A73"/>
    <w:rsid w:val="003B3C24"/>
    <w:rsid w:val="003B3C3B"/>
    <w:rsid w:val="003B3D19"/>
    <w:rsid w:val="003B3F62"/>
    <w:rsid w:val="003B3F90"/>
    <w:rsid w:val="003B4061"/>
    <w:rsid w:val="003B4113"/>
    <w:rsid w:val="003B427B"/>
    <w:rsid w:val="003B4309"/>
    <w:rsid w:val="003B43D9"/>
    <w:rsid w:val="003B491F"/>
    <w:rsid w:val="003B4981"/>
    <w:rsid w:val="003B4A8E"/>
    <w:rsid w:val="003B4D62"/>
    <w:rsid w:val="003B4DF8"/>
    <w:rsid w:val="003B4DFD"/>
    <w:rsid w:val="003B4F72"/>
    <w:rsid w:val="003B50B7"/>
    <w:rsid w:val="003B55A6"/>
    <w:rsid w:val="003B5700"/>
    <w:rsid w:val="003B57B8"/>
    <w:rsid w:val="003B57C7"/>
    <w:rsid w:val="003B597D"/>
    <w:rsid w:val="003B5A39"/>
    <w:rsid w:val="003B5BAC"/>
    <w:rsid w:val="003B5BBD"/>
    <w:rsid w:val="003B5BE9"/>
    <w:rsid w:val="003B5CAE"/>
    <w:rsid w:val="003B5D93"/>
    <w:rsid w:val="003B5E2C"/>
    <w:rsid w:val="003B5EBF"/>
    <w:rsid w:val="003B5F80"/>
    <w:rsid w:val="003B6035"/>
    <w:rsid w:val="003B6108"/>
    <w:rsid w:val="003B610A"/>
    <w:rsid w:val="003B61DF"/>
    <w:rsid w:val="003B627C"/>
    <w:rsid w:val="003B63CA"/>
    <w:rsid w:val="003B64B1"/>
    <w:rsid w:val="003B6515"/>
    <w:rsid w:val="003B65A0"/>
    <w:rsid w:val="003B65BE"/>
    <w:rsid w:val="003B6641"/>
    <w:rsid w:val="003B6924"/>
    <w:rsid w:val="003B6B8B"/>
    <w:rsid w:val="003B6C1D"/>
    <w:rsid w:val="003B6FD0"/>
    <w:rsid w:val="003B713F"/>
    <w:rsid w:val="003B71A7"/>
    <w:rsid w:val="003B71DE"/>
    <w:rsid w:val="003B72B3"/>
    <w:rsid w:val="003B731C"/>
    <w:rsid w:val="003B7475"/>
    <w:rsid w:val="003B74E8"/>
    <w:rsid w:val="003B75BE"/>
    <w:rsid w:val="003B77A1"/>
    <w:rsid w:val="003B77B9"/>
    <w:rsid w:val="003B7891"/>
    <w:rsid w:val="003B7930"/>
    <w:rsid w:val="003B79D9"/>
    <w:rsid w:val="003B7C3C"/>
    <w:rsid w:val="003B7C3E"/>
    <w:rsid w:val="003B7C80"/>
    <w:rsid w:val="003B7D51"/>
    <w:rsid w:val="003B7D98"/>
    <w:rsid w:val="003B7E69"/>
    <w:rsid w:val="003B7E76"/>
    <w:rsid w:val="003C0216"/>
    <w:rsid w:val="003C0356"/>
    <w:rsid w:val="003C03EB"/>
    <w:rsid w:val="003C03F7"/>
    <w:rsid w:val="003C0514"/>
    <w:rsid w:val="003C0539"/>
    <w:rsid w:val="003C05AD"/>
    <w:rsid w:val="003C0720"/>
    <w:rsid w:val="003C0786"/>
    <w:rsid w:val="003C078A"/>
    <w:rsid w:val="003C079A"/>
    <w:rsid w:val="003C0899"/>
    <w:rsid w:val="003C0911"/>
    <w:rsid w:val="003C0A91"/>
    <w:rsid w:val="003C0B5D"/>
    <w:rsid w:val="003C0BEF"/>
    <w:rsid w:val="003C0C12"/>
    <w:rsid w:val="003C0C7A"/>
    <w:rsid w:val="003C0D02"/>
    <w:rsid w:val="003C0E34"/>
    <w:rsid w:val="003C1020"/>
    <w:rsid w:val="003C1226"/>
    <w:rsid w:val="003C15B4"/>
    <w:rsid w:val="003C17A0"/>
    <w:rsid w:val="003C1A7D"/>
    <w:rsid w:val="003C1D27"/>
    <w:rsid w:val="003C1D67"/>
    <w:rsid w:val="003C1DF7"/>
    <w:rsid w:val="003C1E32"/>
    <w:rsid w:val="003C1F81"/>
    <w:rsid w:val="003C2094"/>
    <w:rsid w:val="003C20E7"/>
    <w:rsid w:val="003C2220"/>
    <w:rsid w:val="003C235B"/>
    <w:rsid w:val="003C260E"/>
    <w:rsid w:val="003C261C"/>
    <w:rsid w:val="003C2840"/>
    <w:rsid w:val="003C28E5"/>
    <w:rsid w:val="003C298E"/>
    <w:rsid w:val="003C29DC"/>
    <w:rsid w:val="003C2BA9"/>
    <w:rsid w:val="003C2C21"/>
    <w:rsid w:val="003C2C6D"/>
    <w:rsid w:val="003C2CDE"/>
    <w:rsid w:val="003C2DEA"/>
    <w:rsid w:val="003C2EB7"/>
    <w:rsid w:val="003C30E5"/>
    <w:rsid w:val="003C312C"/>
    <w:rsid w:val="003C3171"/>
    <w:rsid w:val="003C31AF"/>
    <w:rsid w:val="003C355B"/>
    <w:rsid w:val="003C3622"/>
    <w:rsid w:val="003C3923"/>
    <w:rsid w:val="003C392E"/>
    <w:rsid w:val="003C3BB7"/>
    <w:rsid w:val="003C3D96"/>
    <w:rsid w:val="003C3E15"/>
    <w:rsid w:val="003C3F3D"/>
    <w:rsid w:val="003C3FD9"/>
    <w:rsid w:val="003C41BF"/>
    <w:rsid w:val="003C42FA"/>
    <w:rsid w:val="003C43F1"/>
    <w:rsid w:val="003C43F3"/>
    <w:rsid w:val="003C440C"/>
    <w:rsid w:val="003C44AA"/>
    <w:rsid w:val="003C4504"/>
    <w:rsid w:val="003C4746"/>
    <w:rsid w:val="003C48B3"/>
    <w:rsid w:val="003C497C"/>
    <w:rsid w:val="003C49AB"/>
    <w:rsid w:val="003C4A5B"/>
    <w:rsid w:val="003C4C4F"/>
    <w:rsid w:val="003C4C53"/>
    <w:rsid w:val="003C4D2F"/>
    <w:rsid w:val="003C4F2A"/>
    <w:rsid w:val="003C4F61"/>
    <w:rsid w:val="003C4F67"/>
    <w:rsid w:val="003C50A3"/>
    <w:rsid w:val="003C5133"/>
    <w:rsid w:val="003C5149"/>
    <w:rsid w:val="003C51F3"/>
    <w:rsid w:val="003C52A9"/>
    <w:rsid w:val="003C531E"/>
    <w:rsid w:val="003C5494"/>
    <w:rsid w:val="003C5495"/>
    <w:rsid w:val="003C54D8"/>
    <w:rsid w:val="003C5685"/>
    <w:rsid w:val="003C57CE"/>
    <w:rsid w:val="003C5862"/>
    <w:rsid w:val="003C5A6B"/>
    <w:rsid w:val="003C5A85"/>
    <w:rsid w:val="003C5AD3"/>
    <w:rsid w:val="003C5BAB"/>
    <w:rsid w:val="003C5C31"/>
    <w:rsid w:val="003C5C75"/>
    <w:rsid w:val="003C5E56"/>
    <w:rsid w:val="003C5F34"/>
    <w:rsid w:val="003C642E"/>
    <w:rsid w:val="003C64EB"/>
    <w:rsid w:val="003C6640"/>
    <w:rsid w:val="003C6709"/>
    <w:rsid w:val="003C69CE"/>
    <w:rsid w:val="003C69D0"/>
    <w:rsid w:val="003C6A28"/>
    <w:rsid w:val="003C6AB2"/>
    <w:rsid w:val="003C6ABB"/>
    <w:rsid w:val="003C6E53"/>
    <w:rsid w:val="003C6E59"/>
    <w:rsid w:val="003C70AE"/>
    <w:rsid w:val="003C70F6"/>
    <w:rsid w:val="003C711A"/>
    <w:rsid w:val="003C718D"/>
    <w:rsid w:val="003C73A5"/>
    <w:rsid w:val="003C73A9"/>
    <w:rsid w:val="003C750E"/>
    <w:rsid w:val="003C75BC"/>
    <w:rsid w:val="003C7617"/>
    <w:rsid w:val="003C76AF"/>
    <w:rsid w:val="003C76DF"/>
    <w:rsid w:val="003C78BF"/>
    <w:rsid w:val="003C7942"/>
    <w:rsid w:val="003C7A17"/>
    <w:rsid w:val="003C7A55"/>
    <w:rsid w:val="003C7A7D"/>
    <w:rsid w:val="003C7AA3"/>
    <w:rsid w:val="003C7B0B"/>
    <w:rsid w:val="003C7CC6"/>
    <w:rsid w:val="003C7CCD"/>
    <w:rsid w:val="003C7CE1"/>
    <w:rsid w:val="003D0038"/>
    <w:rsid w:val="003D00B5"/>
    <w:rsid w:val="003D01E1"/>
    <w:rsid w:val="003D0370"/>
    <w:rsid w:val="003D0375"/>
    <w:rsid w:val="003D044D"/>
    <w:rsid w:val="003D0603"/>
    <w:rsid w:val="003D07F0"/>
    <w:rsid w:val="003D0883"/>
    <w:rsid w:val="003D092A"/>
    <w:rsid w:val="003D0940"/>
    <w:rsid w:val="003D09F3"/>
    <w:rsid w:val="003D0AF4"/>
    <w:rsid w:val="003D0C82"/>
    <w:rsid w:val="003D0E60"/>
    <w:rsid w:val="003D0E64"/>
    <w:rsid w:val="003D0F69"/>
    <w:rsid w:val="003D0FD4"/>
    <w:rsid w:val="003D10D5"/>
    <w:rsid w:val="003D11DC"/>
    <w:rsid w:val="003D11E9"/>
    <w:rsid w:val="003D1580"/>
    <w:rsid w:val="003D15EE"/>
    <w:rsid w:val="003D166D"/>
    <w:rsid w:val="003D1683"/>
    <w:rsid w:val="003D16B1"/>
    <w:rsid w:val="003D1879"/>
    <w:rsid w:val="003D189E"/>
    <w:rsid w:val="003D18E9"/>
    <w:rsid w:val="003D1A58"/>
    <w:rsid w:val="003D1B5E"/>
    <w:rsid w:val="003D1B86"/>
    <w:rsid w:val="003D1D53"/>
    <w:rsid w:val="003D1EC5"/>
    <w:rsid w:val="003D1ECD"/>
    <w:rsid w:val="003D1F8B"/>
    <w:rsid w:val="003D2027"/>
    <w:rsid w:val="003D210C"/>
    <w:rsid w:val="003D23BE"/>
    <w:rsid w:val="003D2584"/>
    <w:rsid w:val="003D25EF"/>
    <w:rsid w:val="003D2672"/>
    <w:rsid w:val="003D267C"/>
    <w:rsid w:val="003D2693"/>
    <w:rsid w:val="003D2AEF"/>
    <w:rsid w:val="003D2B88"/>
    <w:rsid w:val="003D2BB0"/>
    <w:rsid w:val="003D2D8A"/>
    <w:rsid w:val="003D2DFA"/>
    <w:rsid w:val="003D2E86"/>
    <w:rsid w:val="003D2EB9"/>
    <w:rsid w:val="003D2F24"/>
    <w:rsid w:val="003D2F81"/>
    <w:rsid w:val="003D33EA"/>
    <w:rsid w:val="003D3447"/>
    <w:rsid w:val="003D349C"/>
    <w:rsid w:val="003D34FD"/>
    <w:rsid w:val="003D3531"/>
    <w:rsid w:val="003D35D5"/>
    <w:rsid w:val="003D36EC"/>
    <w:rsid w:val="003D375F"/>
    <w:rsid w:val="003D3760"/>
    <w:rsid w:val="003D3788"/>
    <w:rsid w:val="003D37B7"/>
    <w:rsid w:val="003D3A8B"/>
    <w:rsid w:val="003D3AEF"/>
    <w:rsid w:val="003D3B08"/>
    <w:rsid w:val="003D3C08"/>
    <w:rsid w:val="003D3C37"/>
    <w:rsid w:val="003D3C53"/>
    <w:rsid w:val="003D3D87"/>
    <w:rsid w:val="003D3F21"/>
    <w:rsid w:val="003D437C"/>
    <w:rsid w:val="003D4814"/>
    <w:rsid w:val="003D4961"/>
    <w:rsid w:val="003D4B43"/>
    <w:rsid w:val="003D4D3F"/>
    <w:rsid w:val="003D4DEE"/>
    <w:rsid w:val="003D4E92"/>
    <w:rsid w:val="003D4FBA"/>
    <w:rsid w:val="003D50A2"/>
    <w:rsid w:val="003D5101"/>
    <w:rsid w:val="003D5186"/>
    <w:rsid w:val="003D53F2"/>
    <w:rsid w:val="003D555E"/>
    <w:rsid w:val="003D55D7"/>
    <w:rsid w:val="003D5761"/>
    <w:rsid w:val="003D582A"/>
    <w:rsid w:val="003D5E7C"/>
    <w:rsid w:val="003D5F5B"/>
    <w:rsid w:val="003D6083"/>
    <w:rsid w:val="003D62F1"/>
    <w:rsid w:val="003D655F"/>
    <w:rsid w:val="003D659C"/>
    <w:rsid w:val="003D65B6"/>
    <w:rsid w:val="003D66DD"/>
    <w:rsid w:val="003D66F9"/>
    <w:rsid w:val="003D6943"/>
    <w:rsid w:val="003D69F0"/>
    <w:rsid w:val="003D6A0D"/>
    <w:rsid w:val="003D6B8E"/>
    <w:rsid w:val="003D6DB0"/>
    <w:rsid w:val="003D6F62"/>
    <w:rsid w:val="003D7036"/>
    <w:rsid w:val="003D70AC"/>
    <w:rsid w:val="003D71BA"/>
    <w:rsid w:val="003D748A"/>
    <w:rsid w:val="003D7553"/>
    <w:rsid w:val="003D7701"/>
    <w:rsid w:val="003D7731"/>
    <w:rsid w:val="003D788B"/>
    <w:rsid w:val="003D795A"/>
    <w:rsid w:val="003D79B1"/>
    <w:rsid w:val="003D7C1E"/>
    <w:rsid w:val="003D7C73"/>
    <w:rsid w:val="003D7E03"/>
    <w:rsid w:val="003D7E05"/>
    <w:rsid w:val="003E0091"/>
    <w:rsid w:val="003E010C"/>
    <w:rsid w:val="003E021F"/>
    <w:rsid w:val="003E02B6"/>
    <w:rsid w:val="003E065F"/>
    <w:rsid w:val="003E07E2"/>
    <w:rsid w:val="003E0881"/>
    <w:rsid w:val="003E098A"/>
    <w:rsid w:val="003E09A0"/>
    <w:rsid w:val="003E0A10"/>
    <w:rsid w:val="003E0C17"/>
    <w:rsid w:val="003E0D79"/>
    <w:rsid w:val="003E1086"/>
    <w:rsid w:val="003E11D7"/>
    <w:rsid w:val="003E11F5"/>
    <w:rsid w:val="003E12F3"/>
    <w:rsid w:val="003E1404"/>
    <w:rsid w:val="003E1429"/>
    <w:rsid w:val="003E1542"/>
    <w:rsid w:val="003E163D"/>
    <w:rsid w:val="003E16B4"/>
    <w:rsid w:val="003E1833"/>
    <w:rsid w:val="003E1A05"/>
    <w:rsid w:val="003E1A30"/>
    <w:rsid w:val="003E1AF2"/>
    <w:rsid w:val="003E1B9F"/>
    <w:rsid w:val="003E1BC8"/>
    <w:rsid w:val="003E1D23"/>
    <w:rsid w:val="003E1DD5"/>
    <w:rsid w:val="003E20DB"/>
    <w:rsid w:val="003E21C3"/>
    <w:rsid w:val="003E21E0"/>
    <w:rsid w:val="003E23B1"/>
    <w:rsid w:val="003E24C7"/>
    <w:rsid w:val="003E2561"/>
    <w:rsid w:val="003E2780"/>
    <w:rsid w:val="003E2805"/>
    <w:rsid w:val="003E2962"/>
    <w:rsid w:val="003E2A12"/>
    <w:rsid w:val="003E2B1A"/>
    <w:rsid w:val="003E2BB2"/>
    <w:rsid w:val="003E2D2F"/>
    <w:rsid w:val="003E307F"/>
    <w:rsid w:val="003E31DA"/>
    <w:rsid w:val="003E346B"/>
    <w:rsid w:val="003E35B8"/>
    <w:rsid w:val="003E363B"/>
    <w:rsid w:val="003E364F"/>
    <w:rsid w:val="003E37CD"/>
    <w:rsid w:val="003E3849"/>
    <w:rsid w:val="003E3931"/>
    <w:rsid w:val="003E39B5"/>
    <w:rsid w:val="003E3B2E"/>
    <w:rsid w:val="003E3C64"/>
    <w:rsid w:val="003E3DA9"/>
    <w:rsid w:val="003E3EF0"/>
    <w:rsid w:val="003E3FA4"/>
    <w:rsid w:val="003E3FDB"/>
    <w:rsid w:val="003E4007"/>
    <w:rsid w:val="003E41E3"/>
    <w:rsid w:val="003E43E8"/>
    <w:rsid w:val="003E475B"/>
    <w:rsid w:val="003E488D"/>
    <w:rsid w:val="003E4A78"/>
    <w:rsid w:val="003E4B5D"/>
    <w:rsid w:val="003E4DBF"/>
    <w:rsid w:val="003E4F0D"/>
    <w:rsid w:val="003E4F4D"/>
    <w:rsid w:val="003E5139"/>
    <w:rsid w:val="003E53D3"/>
    <w:rsid w:val="003E5499"/>
    <w:rsid w:val="003E579B"/>
    <w:rsid w:val="003E5A18"/>
    <w:rsid w:val="003E5D2C"/>
    <w:rsid w:val="003E5D38"/>
    <w:rsid w:val="003E5D44"/>
    <w:rsid w:val="003E60B2"/>
    <w:rsid w:val="003E60CD"/>
    <w:rsid w:val="003E619A"/>
    <w:rsid w:val="003E61B5"/>
    <w:rsid w:val="003E6526"/>
    <w:rsid w:val="003E6598"/>
    <w:rsid w:val="003E663C"/>
    <w:rsid w:val="003E66A0"/>
    <w:rsid w:val="003E66CF"/>
    <w:rsid w:val="003E6819"/>
    <w:rsid w:val="003E6A83"/>
    <w:rsid w:val="003E6B07"/>
    <w:rsid w:val="003E6D2A"/>
    <w:rsid w:val="003E6D3A"/>
    <w:rsid w:val="003E6D66"/>
    <w:rsid w:val="003E6E61"/>
    <w:rsid w:val="003E7265"/>
    <w:rsid w:val="003E73E4"/>
    <w:rsid w:val="003E741C"/>
    <w:rsid w:val="003E7433"/>
    <w:rsid w:val="003E7660"/>
    <w:rsid w:val="003E7743"/>
    <w:rsid w:val="003E7870"/>
    <w:rsid w:val="003E7A4C"/>
    <w:rsid w:val="003E7A9F"/>
    <w:rsid w:val="003E7AC2"/>
    <w:rsid w:val="003E7C1F"/>
    <w:rsid w:val="003E7E13"/>
    <w:rsid w:val="003E7F32"/>
    <w:rsid w:val="003E7FF9"/>
    <w:rsid w:val="003F029F"/>
    <w:rsid w:val="003F041F"/>
    <w:rsid w:val="003F0839"/>
    <w:rsid w:val="003F08AF"/>
    <w:rsid w:val="003F0A97"/>
    <w:rsid w:val="003F0DC9"/>
    <w:rsid w:val="003F10A2"/>
    <w:rsid w:val="003F1158"/>
    <w:rsid w:val="003F1451"/>
    <w:rsid w:val="003F152E"/>
    <w:rsid w:val="003F1702"/>
    <w:rsid w:val="003F17B2"/>
    <w:rsid w:val="003F1BE1"/>
    <w:rsid w:val="003F1C52"/>
    <w:rsid w:val="003F1D18"/>
    <w:rsid w:val="003F1D2A"/>
    <w:rsid w:val="003F1D74"/>
    <w:rsid w:val="003F1E51"/>
    <w:rsid w:val="003F207E"/>
    <w:rsid w:val="003F2101"/>
    <w:rsid w:val="003F217C"/>
    <w:rsid w:val="003F22FA"/>
    <w:rsid w:val="003F233F"/>
    <w:rsid w:val="003F25F5"/>
    <w:rsid w:val="003F26B9"/>
    <w:rsid w:val="003F28CD"/>
    <w:rsid w:val="003F294F"/>
    <w:rsid w:val="003F2988"/>
    <w:rsid w:val="003F2A90"/>
    <w:rsid w:val="003F2B5E"/>
    <w:rsid w:val="003F2B74"/>
    <w:rsid w:val="003F2BF1"/>
    <w:rsid w:val="003F2D69"/>
    <w:rsid w:val="003F2E9D"/>
    <w:rsid w:val="003F2E9E"/>
    <w:rsid w:val="003F310F"/>
    <w:rsid w:val="003F3193"/>
    <w:rsid w:val="003F31EC"/>
    <w:rsid w:val="003F3299"/>
    <w:rsid w:val="003F32DC"/>
    <w:rsid w:val="003F35B5"/>
    <w:rsid w:val="003F3875"/>
    <w:rsid w:val="003F38F6"/>
    <w:rsid w:val="003F390E"/>
    <w:rsid w:val="003F3951"/>
    <w:rsid w:val="003F3999"/>
    <w:rsid w:val="003F3A17"/>
    <w:rsid w:val="003F3AA6"/>
    <w:rsid w:val="003F3D24"/>
    <w:rsid w:val="003F3EC8"/>
    <w:rsid w:val="003F3FD1"/>
    <w:rsid w:val="003F412C"/>
    <w:rsid w:val="003F4503"/>
    <w:rsid w:val="003F466C"/>
    <w:rsid w:val="003F47C6"/>
    <w:rsid w:val="003F4952"/>
    <w:rsid w:val="003F4D60"/>
    <w:rsid w:val="003F4DED"/>
    <w:rsid w:val="003F4ED1"/>
    <w:rsid w:val="003F52A1"/>
    <w:rsid w:val="003F537C"/>
    <w:rsid w:val="003F5390"/>
    <w:rsid w:val="003F549F"/>
    <w:rsid w:val="003F570B"/>
    <w:rsid w:val="003F5818"/>
    <w:rsid w:val="003F5BC8"/>
    <w:rsid w:val="003F5E76"/>
    <w:rsid w:val="003F5EDF"/>
    <w:rsid w:val="003F5EE2"/>
    <w:rsid w:val="003F6169"/>
    <w:rsid w:val="003F6199"/>
    <w:rsid w:val="003F621B"/>
    <w:rsid w:val="003F632C"/>
    <w:rsid w:val="003F6330"/>
    <w:rsid w:val="003F635D"/>
    <w:rsid w:val="003F63BB"/>
    <w:rsid w:val="003F6408"/>
    <w:rsid w:val="003F65C6"/>
    <w:rsid w:val="003F665B"/>
    <w:rsid w:val="003F675C"/>
    <w:rsid w:val="003F69A8"/>
    <w:rsid w:val="003F6E45"/>
    <w:rsid w:val="003F6E5E"/>
    <w:rsid w:val="003F6F12"/>
    <w:rsid w:val="003F6F7B"/>
    <w:rsid w:val="003F6FBB"/>
    <w:rsid w:val="003F7102"/>
    <w:rsid w:val="003F7150"/>
    <w:rsid w:val="003F7187"/>
    <w:rsid w:val="003F72DB"/>
    <w:rsid w:val="003F737D"/>
    <w:rsid w:val="003F7612"/>
    <w:rsid w:val="003F785C"/>
    <w:rsid w:val="003F79C1"/>
    <w:rsid w:val="003F7CA5"/>
    <w:rsid w:val="003F7FDD"/>
    <w:rsid w:val="0040000D"/>
    <w:rsid w:val="004001F7"/>
    <w:rsid w:val="004002C8"/>
    <w:rsid w:val="004002FB"/>
    <w:rsid w:val="00400478"/>
    <w:rsid w:val="00400591"/>
    <w:rsid w:val="00400774"/>
    <w:rsid w:val="004007D3"/>
    <w:rsid w:val="00400B75"/>
    <w:rsid w:val="00400E0A"/>
    <w:rsid w:val="004010E4"/>
    <w:rsid w:val="00401210"/>
    <w:rsid w:val="00401372"/>
    <w:rsid w:val="004014C5"/>
    <w:rsid w:val="004016DA"/>
    <w:rsid w:val="004018F9"/>
    <w:rsid w:val="004019D0"/>
    <w:rsid w:val="00401AED"/>
    <w:rsid w:val="00401B14"/>
    <w:rsid w:val="00401B59"/>
    <w:rsid w:val="00401C7D"/>
    <w:rsid w:val="00401C86"/>
    <w:rsid w:val="00401CF2"/>
    <w:rsid w:val="00401F6B"/>
    <w:rsid w:val="00401FB1"/>
    <w:rsid w:val="00401FF8"/>
    <w:rsid w:val="00402015"/>
    <w:rsid w:val="00402398"/>
    <w:rsid w:val="00402534"/>
    <w:rsid w:val="004026ED"/>
    <w:rsid w:val="004026FB"/>
    <w:rsid w:val="00402732"/>
    <w:rsid w:val="00402756"/>
    <w:rsid w:val="00402800"/>
    <w:rsid w:val="004028A5"/>
    <w:rsid w:val="004028E3"/>
    <w:rsid w:val="0040295A"/>
    <w:rsid w:val="00402BE9"/>
    <w:rsid w:val="00402DFE"/>
    <w:rsid w:val="00402ED3"/>
    <w:rsid w:val="0040321F"/>
    <w:rsid w:val="004034CB"/>
    <w:rsid w:val="00403757"/>
    <w:rsid w:val="004037DE"/>
    <w:rsid w:val="00403884"/>
    <w:rsid w:val="00403AD4"/>
    <w:rsid w:val="00403EBF"/>
    <w:rsid w:val="00403F32"/>
    <w:rsid w:val="00403FFC"/>
    <w:rsid w:val="004040B7"/>
    <w:rsid w:val="004040C7"/>
    <w:rsid w:val="00404103"/>
    <w:rsid w:val="00404527"/>
    <w:rsid w:val="00404742"/>
    <w:rsid w:val="004048A4"/>
    <w:rsid w:val="00405178"/>
    <w:rsid w:val="00405298"/>
    <w:rsid w:val="00405302"/>
    <w:rsid w:val="0040536B"/>
    <w:rsid w:val="004053D9"/>
    <w:rsid w:val="00405466"/>
    <w:rsid w:val="00405560"/>
    <w:rsid w:val="004055D8"/>
    <w:rsid w:val="0040581F"/>
    <w:rsid w:val="00405C60"/>
    <w:rsid w:val="00405CC5"/>
    <w:rsid w:val="00405EB4"/>
    <w:rsid w:val="00406475"/>
    <w:rsid w:val="004064CA"/>
    <w:rsid w:val="004064EE"/>
    <w:rsid w:val="0040653F"/>
    <w:rsid w:val="00406701"/>
    <w:rsid w:val="004068F7"/>
    <w:rsid w:val="00406972"/>
    <w:rsid w:val="00406A3F"/>
    <w:rsid w:val="00406B0E"/>
    <w:rsid w:val="00406DFF"/>
    <w:rsid w:val="00406FAF"/>
    <w:rsid w:val="00406FCC"/>
    <w:rsid w:val="00407028"/>
    <w:rsid w:val="0040708C"/>
    <w:rsid w:val="004071AB"/>
    <w:rsid w:val="00407325"/>
    <w:rsid w:val="0040732F"/>
    <w:rsid w:val="00407421"/>
    <w:rsid w:val="00407496"/>
    <w:rsid w:val="004074C0"/>
    <w:rsid w:val="0040757C"/>
    <w:rsid w:val="004075DD"/>
    <w:rsid w:val="00407767"/>
    <w:rsid w:val="004077A3"/>
    <w:rsid w:val="004077C2"/>
    <w:rsid w:val="00407B31"/>
    <w:rsid w:val="00407CE4"/>
    <w:rsid w:val="00407CFD"/>
    <w:rsid w:val="00407F28"/>
    <w:rsid w:val="00407F6C"/>
    <w:rsid w:val="00410204"/>
    <w:rsid w:val="00410666"/>
    <w:rsid w:val="00410825"/>
    <w:rsid w:val="0041082B"/>
    <w:rsid w:val="00410969"/>
    <w:rsid w:val="00410B34"/>
    <w:rsid w:val="00410C84"/>
    <w:rsid w:val="00410D14"/>
    <w:rsid w:val="00410E55"/>
    <w:rsid w:val="00410F2E"/>
    <w:rsid w:val="00411415"/>
    <w:rsid w:val="004114AB"/>
    <w:rsid w:val="004114B7"/>
    <w:rsid w:val="0041154A"/>
    <w:rsid w:val="00411644"/>
    <w:rsid w:val="004119B9"/>
    <w:rsid w:val="00411A8D"/>
    <w:rsid w:val="00411C48"/>
    <w:rsid w:val="00411D9F"/>
    <w:rsid w:val="00411E29"/>
    <w:rsid w:val="00411EA8"/>
    <w:rsid w:val="00411F6F"/>
    <w:rsid w:val="00411F85"/>
    <w:rsid w:val="00412259"/>
    <w:rsid w:val="00412264"/>
    <w:rsid w:val="00412300"/>
    <w:rsid w:val="004125A8"/>
    <w:rsid w:val="004126F3"/>
    <w:rsid w:val="00412C50"/>
    <w:rsid w:val="00412DFD"/>
    <w:rsid w:val="00412E14"/>
    <w:rsid w:val="00412E47"/>
    <w:rsid w:val="0041317A"/>
    <w:rsid w:val="0041339E"/>
    <w:rsid w:val="004134A6"/>
    <w:rsid w:val="0041354B"/>
    <w:rsid w:val="004135A3"/>
    <w:rsid w:val="00413617"/>
    <w:rsid w:val="00413621"/>
    <w:rsid w:val="0041363B"/>
    <w:rsid w:val="00413694"/>
    <w:rsid w:val="00413999"/>
    <w:rsid w:val="00413AE6"/>
    <w:rsid w:val="00413DF2"/>
    <w:rsid w:val="00413E22"/>
    <w:rsid w:val="00413F9C"/>
    <w:rsid w:val="0041400F"/>
    <w:rsid w:val="00414069"/>
    <w:rsid w:val="004141EC"/>
    <w:rsid w:val="00414414"/>
    <w:rsid w:val="0041447F"/>
    <w:rsid w:val="004144C5"/>
    <w:rsid w:val="00414685"/>
    <w:rsid w:val="00414796"/>
    <w:rsid w:val="00414AF7"/>
    <w:rsid w:val="00414B0B"/>
    <w:rsid w:val="00414B36"/>
    <w:rsid w:val="00414C44"/>
    <w:rsid w:val="00414DB7"/>
    <w:rsid w:val="00414FB4"/>
    <w:rsid w:val="00415083"/>
    <w:rsid w:val="00415280"/>
    <w:rsid w:val="004152D9"/>
    <w:rsid w:val="00415313"/>
    <w:rsid w:val="004153B8"/>
    <w:rsid w:val="00415454"/>
    <w:rsid w:val="004154E9"/>
    <w:rsid w:val="004157BC"/>
    <w:rsid w:val="004158A1"/>
    <w:rsid w:val="004158B0"/>
    <w:rsid w:val="00415C6F"/>
    <w:rsid w:val="00415E30"/>
    <w:rsid w:val="00415E3C"/>
    <w:rsid w:val="00415ED7"/>
    <w:rsid w:val="0041628A"/>
    <w:rsid w:val="004163BE"/>
    <w:rsid w:val="00416589"/>
    <w:rsid w:val="004167E2"/>
    <w:rsid w:val="00416908"/>
    <w:rsid w:val="0041697A"/>
    <w:rsid w:val="004169EB"/>
    <w:rsid w:val="00416CC9"/>
    <w:rsid w:val="00416E11"/>
    <w:rsid w:val="00416EFE"/>
    <w:rsid w:val="00416F0B"/>
    <w:rsid w:val="00416F60"/>
    <w:rsid w:val="00416FC9"/>
    <w:rsid w:val="0041700D"/>
    <w:rsid w:val="00417179"/>
    <w:rsid w:val="00417247"/>
    <w:rsid w:val="004172CD"/>
    <w:rsid w:val="004172E5"/>
    <w:rsid w:val="0041730C"/>
    <w:rsid w:val="0041740C"/>
    <w:rsid w:val="0041758F"/>
    <w:rsid w:val="0041787B"/>
    <w:rsid w:val="004178D6"/>
    <w:rsid w:val="00417A86"/>
    <w:rsid w:val="00417B71"/>
    <w:rsid w:val="00417C65"/>
    <w:rsid w:val="00417FE8"/>
    <w:rsid w:val="004202A5"/>
    <w:rsid w:val="00420341"/>
    <w:rsid w:val="004203EC"/>
    <w:rsid w:val="00420511"/>
    <w:rsid w:val="00420513"/>
    <w:rsid w:val="004205F4"/>
    <w:rsid w:val="00420635"/>
    <w:rsid w:val="004206CA"/>
    <w:rsid w:val="004206FF"/>
    <w:rsid w:val="004208C6"/>
    <w:rsid w:val="00420930"/>
    <w:rsid w:val="0042093E"/>
    <w:rsid w:val="004209DE"/>
    <w:rsid w:val="00420C0D"/>
    <w:rsid w:val="00420CC9"/>
    <w:rsid w:val="00420D02"/>
    <w:rsid w:val="00420DCF"/>
    <w:rsid w:val="00421266"/>
    <w:rsid w:val="00421289"/>
    <w:rsid w:val="0042129A"/>
    <w:rsid w:val="0042130F"/>
    <w:rsid w:val="004213A9"/>
    <w:rsid w:val="00421416"/>
    <w:rsid w:val="0042141D"/>
    <w:rsid w:val="004214C2"/>
    <w:rsid w:val="0042152C"/>
    <w:rsid w:val="004215B0"/>
    <w:rsid w:val="004218AE"/>
    <w:rsid w:val="00421990"/>
    <w:rsid w:val="004219C4"/>
    <w:rsid w:val="00421A84"/>
    <w:rsid w:val="00421AC6"/>
    <w:rsid w:val="00421AF0"/>
    <w:rsid w:val="00421C6F"/>
    <w:rsid w:val="0042201E"/>
    <w:rsid w:val="0042205E"/>
    <w:rsid w:val="0042211D"/>
    <w:rsid w:val="00422282"/>
    <w:rsid w:val="00422353"/>
    <w:rsid w:val="00422355"/>
    <w:rsid w:val="004223D3"/>
    <w:rsid w:val="004226B3"/>
    <w:rsid w:val="004226EA"/>
    <w:rsid w:val="00422803"/>
    <w:rsid w:val="00422B46"/>
    <w:rsid w:val="00422C11"/>
    <w:rsid w:val="00422D00"/>
    <w:rsid w:val="00422D3E"/>
    <w:rsid w:val="00422EB6"/>
    <w:rsid w:val="0042307D"/>
    <w:rsid w:val="004231FA"/>
    <w:rsid w:val="00423231"/>
    <w:rsid w:val="00423396"/>
    <w:rsid w:val="004234F7"/>
    <w:rsid w:val="00423584"/>
    <w:rsid w:val="0042366F"/>
    <w:rsid w:val="0042373B"/>
    <w:rsid w:val="0042378B"/>
    <w:rsid w:val="00423908"/>
    <w:rsid w:val="00423916"/>
    <w:rsid w:val="00423A95"/>
    <w:rsid w:val="00423E65"/>
    <w:rsid w:val="00423F19"/>
    <w:rsid w:val="00424324"/>
    <w:rsid w:val="00424476"/>
    <w:rsid w:val="004245CF"/>
    <w:rsid w:val="004245F6"/>
    <w:rsid w:val="004247FF"/>
    <w:rsid w:val="00424853"/>
    <w:rsid w:val="00424A01"/>
    <w:rsid w:val="00424A41"/>
    <w:rsid w:val="00424A65"/>
    <w:rsid w:val="00424B3D"/>
    <w:rsid w:val="00424B91"/>
    <w:rsid w:val="00424C40"/>
    <w:rsid w:val="00424C8B"/>
    <w:rsid w:val="00424D8F"/>
    <w:rsid w:val="00424EEA"/>
    <w:rsid w:val="00424F25"/>
    <w:rsid w:val="00424F6E"/>
    <w:rsid w:val="00425030"/>
    <w:rsid w:val="00425321"/>
    <w:rsid w:val="00425345"/>
    <w:rsid w:val="0042539A"/>
    <w:rsid w:val="004253BC"/>
    <w:rsid w:val="004257AF"/>
    <w:rsid w:val="00425894"/>
    <w:rsid w:val="00425B59"/>
    <w:rsid w:val="00425C9A"/>
    <w:rsid w:val="00425CF2"/>
    <w:rsid w:val="00425DB6"/>
    <w:rsid w:val="00425DD0"/>
    <w:rsid w:val="00425E0B"/>
    <w:rsid w:val="00425EAF"/>
    <w:rsid w:val="00425F6F"/>
    <w:rsid w:val="0042626B"/>
    <w:rsid w:val="0042629C"/>
    <w:rsid w:val="004262A3"/>
    <w:rsid w:val="00426326"/>
    <w:rsid w:val="004263E2"/>
    <w:rsid w:val="00426423"/>
    <w:rsid w:val="004264B9"/>
    <w:rsid w:val="00426537"/>
    <w:rsid w:val="00426656"/>
    <w:rsid w:val="00426992"/>
    <w:rsid w:val="00426997"/>
    <w:rsid w:val="00426A28"/>
    <w:rsid w:val="00426A9D"/>
    <w:rsid w:val="00426AA7"/>
    <w:rsid w:val="00426B5D"/>
    <w:rsid w:val="00426B65"/>
    <w:rsid w:val="00426D43"/>
    <w:rsid w:val="00427167"/>
    <w:rsid w:val="004271AD"/>
    <w:rsid w:val="0042733D"/>
    <w:rsid w:val="00427354"/>
    <w:rsid w:val="00427381"/>
    <w:rsid w:val="00427538"/>
    <w:rsid w:val="00427579"/>
    <w:rsid w:val="00427A40"/>
    <w:rsid w:val="00427B29"/>
    <w:rsid w:val="00427B2C"/>
    <w:rsid w:val="00427C64"/>
    <w:rsid w:val="00427E1F"/>
    <w:rsid w:val="00427FE1"/>
    <w:rsid w:val="00430022"/>
    <w:rsid w:val="00430030"/>
    <w:rsid w:val="0043041A"/>
    <w:rsid w:val="004304DA"/>
    <w:rsid w:val="00430559"/>
    <w:rsid w:val="00430587"/>
    <w:rsid w:val="00430769"/>
    <w:rsid w:val="0043082A"/>
    <w:rsid w:val="00430897"/>
    <w:rsid w:val="004308D7"/>
    <w:rsid w:val="00430915"/>
    <w:rsid w:val="00430920"/>
    <w:rsid w:val="0043095F"/>
    <w:rsid w:val="00430A8F"/>
    <w:rsid w:val="00430ACB"/>
    <w:rsid w:val="00430B03"/>
    <w:rsid w:val="00430B64"/>
    <w:rsid w:val="00430BBF"/>
    <w:rsid w:val="00430D58"/>
    <w:rsid w:val="00430E34"/>
    <w:rsid w:val="00430EC8"/>
    <w:rsid w:val="0043104C"/>
    <w:rsid w:val="0043105C"/>
    <w:rsid w:val="00431191"/>
    <w:rsid w:val="00431455"/>
    <w:rsid w:val="004315BB"/>
    <w:rsid w:val="0043196F"/>
    <w:rsid w:val="00431B67"/>
    <w:rsid w:val="00431BA6"/>
    <w:rsid w:val="00431D49"/>
    <w:rsid w:val="00431D4D"/>
    <w:rsid w:val="00431D6B"/>
    <w:rsid w:val="00431D75"/>
    <w:rsid w:val="00431EB4"/>
    <w:rsid w:val="0043202A"/>
    <w:rsid w:val="0043236D"/>
    <w:rsid w:val="004324DF"/>
    <w:rsid w:val="004326C6"/>
    <w:rsid w:val="004326E2"/>
    <w:rsid w:val="004326E7"/>
    <w:rsid w:val="004326FD"/>
    <w:rsid w:val="00432799"/>
    <w:rsid w:val="00432955"/>
    <w:rsid w:val="00432964"/>
    <w:rsid w:val="004329A8"/>
    <w:rsid w:val="00432A95"/>
    <w:rsid w:val="00432C03"/>
    <w:rsid w:val="00432CE1"/>
    <w:rsid w:val="00432E20"/>
    <w:rsid w:val="00432EF0"/>
    <w:rsid w:val="00432F15"/>
    <w:rsid w:val="0043301F"/>
    <w:rsid w:val="0043306B"/>
    <w:rsid w:val="004331B4"/>
    <w:rsid w:val="00433222"/>
    <w:rsid w:val="004332AD"/>
    <w:rsid w:val="004333A3"/>
    <w:rsid w:val="004333ED"/>
    <w:rsid w:val="0043341D"/>
    <w:rsid w:val="0043365E"/>
    <w:rsid w:val="00433664"/>
    <w:rsid w:val="00433B5C"/>
    <w:rsid w:val="00433C0A"/>
    <w:rsid w:val="00433ED0"/>
    <w:rsid w:val="0043421E"/>
    <w:rsid w:val="0043435C"/>
    <w:rsid w:val="00434517"/>
    <w:rsid w:val="00434558"/>
    <w:rsid w:val="00434583"/>
    <w:rsid w:val="0043470B"/>
    <w:rsid w:val="004349B1"/>
    <w:rsid w:val="004349F4"/>
    <w:rsid w:val="00434CA5"/>
    <w:rsid w:val="0043513C"/>
    <w:rsid w:val="00435159"/>
    <w:rsid w:val="00435193"/>
    <w:rsid w:val="004351F8"/>
    <w:rsid w:val="004352ED"/>
    <w:rsid w:val="0043531F"/>
    <w:rsid w:val="00435430"/>
    <w:rsid w:val="004354BD"/>
    <w:rsid w:val="00435920"/>
    <w:rsid w:val="00435973"/>
    <w:rsid w:val="00435998"/>
    <w:rsid w:val="004359CC"/>
    <w:rsid w:val="004359F7"/>
    <w:rsid w:val="00435B38"/>
    <w:rsid w:val="00435C55"/>
    <w:rsid w:val="00435CAB"/>
    <w:rsid w:val="00435F0D"/>
    <w:rsid w:val="00436057"/>
    <w:rsid w:val="00436547"/>
    <w:rsid w:val="00436571"/>
    <w:rsid w:val="004365E4"/>
    <w:rsid w:val="0043662B"/>
    <w:rsid w:val="00436759"/>
    <w:rsid w:val="00436A6D"/>
    <w:rsid w:val="00436B21"/>
    <w:rsid w:val="00436BCD"/>
    <w:rsid w:val="00436D70"/>
    <w:rsid w:val="00436EED"/>
    <w:rsid w:val="00437054"/>
    <w:rsid w:val="00437060"/>
    <w:rsid w:val="0043710F"/>
    <w:rsid w:val="004374A9"/>
    <w:rsid w:val="004374CD"/>
    <w:rsid w:val="004374EA"/>
    <w:rsid w:val="004374F3"/>
    <w:rsid w:val="0043754A"/>
    <w:rsid w:val="0043756D"/>
    <w:rsid w:val="004377A8"/>
    <w:rsid w:val="004377E0"/>
    <w:rsid w:val="00437971"/>
    <w:rsid w:val="00437993"/>
    <w:rsid w:val="00437AEA"/>
    <w:rsid w:val="00437BC6"/>
    <w:rsid w:val="00437BC9"/>
    <w:rsid w:val="00437DFD"/>
    <w:rsid w:val="00437EF8"/>
    <w:rsid w:val="00437F66"/>
    <w:rsid w:val="00437FC7"/>
    <w:rsid w:val="00440128"/>
    <w:rsid w:val="00440189"/>
    <w:rsid w:val="004402E9"/>
    <w:rsid w:val="0044033E"/>
    <w:rsid w:val="004404E2"/>
    <w:rsid w:val="004406FE"/>
    <w:rsid w:val="00440BCE"/>
    <w:rsid w:val="00440F59"/>
    <w:rsid w:val="0044119C"/>
    <w:rsid w:val="004416A3"/>
    <w:rsid w:val="004418CB"/>
    <w:rsid w:val="00441A22"/>
    <w:rsid w:val="00441BDE"/>
    <w:rsid w:val="00441BF1"/>
    <w:rsid w:val="00441F77"/>
    <w:rsid w:val="00442018"/>
    <w:rsid w:val="00442150"/>
    <w:rsid w:val="004421F5"/>
    <w:rsid w:val="00442734"/>
    <w:rsid w:val="0044285C"/>
    <w:rsid w:val="00442961"/>
    <w:rsid w:val="00442B5B"/>
    <w:rsid w:val="00442B7C"/>
    <w:rsid w:val="00442CE0"/>
    <w:rsid w:val="0044313F"/>
    <w:rsid w:val="00443193"/>
    <w:rsid w:val="004433F2"/>
    <w:rsid w:val="004434CD"/>
    <w:rsid w:val="0044375F"/>
    <w:rsid w:val="0044395E"/>
    <w:rsid w:val="004439A4"/>
    <w:rsid w:val="00443B02"/>
    <w:rsid w:val="00443CFC"/>
    <w:rsid w:val="00443DD5"/>
    <w:rsid w:val="00443F92"/>
    <w:rsid w:val="004440FD"/>
    <w:rsid w:val="004442EE"/>
    <w:rsid w:val="00444342"/>
    <w:rsid w:val="0044470B"/>
    <w:rsid w:val="004448B6"/>
    <w:rsid w:val="004448D9"/>
    <w:rsid w:val="004448DA"/>
    <w:rsid w:val="00444C4C"/>
    <w:rsid w:val="00444C68"/>
    <w:rsid w:val="00444D6C"/>
    <w:rsid w:val="00444DCF"/>
    <w:rsid w:val="00444F0A"/>
    <w:rsid w:val="00445073"/>
    <w:rsid w:val="00445349"/>
    <w:rsid w:val="00445432"/>
    <w:rsid w:val="0044555F"/>
    <w:rsid w:val="0044596F"/>
    <w:rsid w:val="0044598B"/>
    <w:rsid w:val="0044599D"/>
    <w:rsid w:val="00445AAD"/>
    <w:rsid w:val="00445AD6"/>
    <w:rsid w:val="00445FCD"/>
    <w:rsid w:val="00446175"/>
    <w:rsid w:val="004463E0"/>
    <w:rsid w:val="004464EA"/>
    <w:rsid w:val="00446527"/>
    <w:rsid w:val="0044663B"/>
    <w:rsid w:val="004466B8"/>
    <w:rsid w:val="004467B8"/>
    <w:rsid w:val="004467D5"/>
    <w:rsid w:val="004469C9"/>
    <w:rsid w:val="00446B16"/>
    <w:rsid w:val="00446B35"/>
    <w:rsid w:val="00446CAA"/>
    <w:rsid w:val="00446ED0"/>
    <w:rsid w:val="00446F06"/>
    <w:rsid w:val="00447076"/>
    <w:rsid w:val="004471DB"/>
    <w:rsid w:val="00447416"/>
    <w:rsid w:val="00447604"/>
    <w:rsid w:val="004476EE"/>
    <w:rsid w:val="004477D4"/>
    <w:rsid w:val="004478DE"/>
    <w:rsid w:val="00447A18"/>
    <w:rsid w:val="00447B7F"/>
    <w:rsid w:val="00447BDD"/>
    <w:rsid w:val="00447C37"/>
    <w:rsid w:val="00447C71"/>
    <w:rsid w:val="00447C73"/>
    <w:rsid w:val="00447C80"/>
    <w:rsid w:val="0045008D"/>
    <w:rsid w:val="0045013A"/>
    <w:rsid w:val="00450157"/>
    <w:rsid w:val="00450283"/>
    <w:rsid w:val="0045045A"/>
    <w:rsid w:val="00450492"/>
    <w:rsid w:val="004505BD"/>
    <w:rsid w:val="00450825"/>
    <w:rsid w:val="00450916"/>
    <w:rsid w:val="00450C76"/>
    <w:rsid w:val="00450DBD"/>
    <w:rsid w:val="00450DFA"/>
    <w:rsid w:val="00450FAA"/>
    <w:rsid w:val="0045102B"/>
    <w:rsid w:val="004512BF"/>
    <w:rsid w:val="00451334"/>
    <w:rsid w:val="00451386"/>
    <w:rsid w:val="0045146B"/>
    <w:rsid w:val="004514EC"/>
    <w:rsid w:val="00451575"/>
    <w:rsid w:val="00451659"/>
    <w:rsid w:val="00451754"/>
    <w:rsid w:val="00451833"/>
    <w:rsid w:val="004518DB"/>
    <w:rsid w:val="004518FA"/>
    <w:rsid w:val="00451A08"/>
    <w:rsid w:val="00451B14"/>
    <w:rsid w:val="00451B48"/>
    <w:rsid w:val="00451B50"/>
    <w:rsid w:val="00451B5F"/>
    <w:rsid w:val="00451B65"/>
    <w:rsid w:val="00451BC3"/>
    <w:rsid w:val="00451D30"/>
    <w:rsid w:val="00451DC5"/>
    <w:rsid w:val="00451FA9"/>
    <w:rsid w:val="00451FE4"/>
    <w:rsid w:val="0045208E"/>
    <w:rsid w:val="004522EE"/>
    <w:rsid w:val="004524EF"/>
    <w:rsid w:val="00452526"/>
    <w:rsid w:val="004526AE"/>
    <w:rsid w:val="004526EC"/>
    <w:rsid w:val="0045271F"/>
    <w:rsid w:val="00452736"/>
    <w:rsid w:val="004527BD"/>
    <w:rsid w:val="004527C4"/>
    <w:rsid w:val="00452814"/>
    <w:rsid w:val="004529BA"/>
    <w:rsid w:val="00452C77"/>
    <w:rsid w:val="00452DD9"/>
    <w:rsid w:val="00452FD3"/>
    <w:rsid w:val="00452FE3"/>
    <w:rsid w:val="0045363A"/>
    <w:rsid w:val="00453669"/>
    <w:rsid w:val="00453823"/>
    <w:rsid w:val="00453A9B"/>
    <w:rsid w:val="00453BB2"/>
    <w:rsid w:val="00453CA7"/>
    <w:rsid w:val="00453CFD"/>
    <w:rsid w:val="00454166"/>
    <w:rsid w:val="00454176"/>
    <w:rsid w:val="004541FC"/>
    <w:rsid w:val="004541FF"/>
    <w:rsid w:val="0045423A"/>
    <w:rsid w:val="00454252"/>
    <w:rsid w:val="004543BF"/>
    <w:rsid w:val="00454505"/>
    <w:rsid w:val="0045458E"/>
    <w:rsid w:val="004545F2"/>
    <w:rsid w:val="00454658"/>
    <w:rsid w:val="0045467C"/>
    <w:rsid w:val="004546C5"/>
    <w:rsid w:val="004546D3"/>
    <w:rsid w:val="004546DF"/>
    <w:rsid w:val="00454713"/>
    <w:rsid w:val="00454A9C"/>
    <w:rsid w:val="00454C8F"/>
    <w:rsid w:val="00454D8C"/>
    <w:rsid w:val="00454E7B"/>
    <w:rsid w:val="00454EE2"/>
    <w:rsid w:val="0045505B"/>
    <w:rsid w:val="0045508F"/>
    <w:rsid w:val="00455360"/>
    <w:rsid w:val="004553A8"/>
    <w:rsid w:val="004553BA"/>
    <w:rsid w:val="0045588D"/>
    <w:rsid w:val="0045593B"/>
    <w:rsid w:val="00455A4D"/>
    <w:rsid w:val="00455ADE"/>
    <w:rsid w:val="00455B3D"/>
    <w:rsid w:val="00455BDB"/>
    <w:rsid w:val="00455CEE"/>
    <w:rsid w:val="00455F0A"/>
    <w:rsid w:val="004560D7"/>
    <w:rsid w:val="0045625E"/>
    <w:rsid w:val="004562ED"/>
    <w:rsid w:val="004563A6"/>
    <w:rsid w:val="004564B8"/>
    <w:rsid w:val="00456526"/>
    <w:rsid w:val="00456597"/>
    <w:rsid w:val="00456695"/>
    <w:rsid w:val="004566FC"/>
    <w:rsid w:val="004567D6"/>
    <w:rsid w:val="004567EB"/>
    <w:rsid w:val="00456844"/>
    <w:rsid w:val="0045691D"/>
    <w:rsid w:val="00456B91"/>
    <w:rsid w:val="00456D16"/>
    <w:rsid w:val="00456DFC"/>
    <w:rsid w:val="00456E20"/>
    <w:rsid w:val="00456F38"/>
    <w:rsid w:val="00457136"/>
    <w:rsid w:val="004571B8"/>
    <w:rsid w:val="0045756D"/>
    <w:rsid w:val="00457646"/>
    <w:rsid w:val="00457683"/>
    <w:rsid w:val="00457745"/>
    <w:rsid w:val="004577A6"/>
    <w:rsid w:val="00457ABD"/>
    <w:rsid w:val="00457B0C"/>
    <w:rsid w:val="00457C06"/>
    <w:rsid w:val="00457CB0"/>
    <w:rsid w:val="00457D0A"/>
    <w:rsid w:val="00457F38"/>
    <w:rsid w:val="00460258"/>
    <w:rsid w:val="00460430"/>
    <w:rsid w:val="0046044F"/>
    <w:rsid w:val="004604ED"/>
    <w:rsid w:val="004608D9"/>
    <w:rsid w:val="004609C6"/>
    <w:rsid w:val="00460B29"/>
    <w:rsid w:val="00460D5A"/>
    <w:rsid w:val="00460E18"/>
    <w:rsid w:val="00460E57"/>
    <w:rsid w:val="00460EF3"/>
    <w:rsid w:val="00460F8F"/>
    <w:rsid w:val="00460F99"/>
    <w:rsid w:val="00460FC3"/>
    <w:rsid w:val="004610D1"/>
    <w:rsid w:val="004611A3"/>
    <w:rsid w:val="004611BC"/>
    <w:rsid w:val="004611DF"/>
    <w:rsid w:val="00461240"/>
    <w:rsid w:val="00461394"/>
    <w:rsid w:val="004613B4"/>
    <w:rsid w:val="00461401"/>
    <w:rsid w:val="00461623"/>
    <w:rsid w:val="00461981"/>
    <w:rsid w:val="00461B9B"/>
    <w:rsid w:val="00461BE5"/>
    <w:rsid w:val="00461C50"/>
    <w:rsid w:val="00461C85"/>
    <w:rsid w:val="00461CDB"/>
    <w:rsid w:val="00461F46"/>
    <w:rsid w:val="004620C3"/>
    <w:rsid w:val="00462355"/>
    <w:rsid w:val="0046239D"/>
    <w:rsid w:val="0046244B"/>
    <w:rsid w:val="0046253C"/>
    <w:rsid w:val="004625CE"/>
    <w:rsid w:val="004626FA"/>
    <w:rsid w:val="0046275A"/>
    <w:rsid w:val="00462766"/>
    <w:rsid w:val="004627E0"/>
    <w:rsid w:val="00462838"/>
    <w:rsid w:val="00462866"/>
    <w:rsid w:val="00462990"/>
    <w:rsid w:val="00462A24"/>
    <w:rsid w:val="00462A7E"/>
    <w:rsid w:val="00462A8B"/>
    <w:rsid w:val="00462BE9"/>
    <w:rsid w:val="00462CD6"/>
    <w:rsid w:val="0046305E"/>
    <w:rsid w:val="004630C4"/>
    <w:rsid w:val="004631FB"/>
    <w:rsid w:val="00463553"/>
    <w:rsid w:val="004637BF"/>
    <w:rsid w:val="00463A19"/>
    <w:rsid w:val="00463B90"/>
    <w:rsid w:val="00463BB9"/>
    <w:rsid w:val="00463CBD"/>
    <w:rsid w:val="00463D32"/>
    <w:rsid w:val="00463D60"/>
    <w:rsid w:val="00463D83"/>
    <w:rsid w:val="00463E26"/>
    <w:rsid w:val="00464008"/>
    <w:rsid w:val="0046413A"/>
    <w:rsid w:val="00464301"/>
    <w:rsid w:val="0046433E"/>
    <w:rsid w:val="00464415"/>
    <w:rsid w:val="00464614"/>
    <w:rsid w:val="00464663"/>
    <w:rsid w:val="00464752"/>
    <w:rsid w:val="00464870"/>
    <w:rsid w:val="004649BA"/>
    <w:rsid w:val="00464A62"/>
    <w:rsid w:val="00464B3D"/>
    <w:rsid w:val="00464CBA"/>
    <w:rsid w:val="0046527F"/>
    <w:rsid w:val="004652CE"/>
    <w:rsid w:val="00465514"/>
    <w:rsid w:val="004656C7"/>
    <w:rsid w:val="00465853"/>
    <w:rsid w:val="00465866"/>
    <w:rsid w:val="00465938"/>
    <w:rsid w:val="00465950"/>
    <w:rsid w:val="00465BAF"/>
    <w:rsid w:val="00465BEE"/>
    <w:rsid w:val="00465C7D"/>
    <w:rsid w:val="00465C9F"/>
    <w:rsid w:val="0046607B"/>
    <w:rsid w:val="004660C6"/>
    <w:rsid w:val="004660FE"/>
    <w:rsid w:val="00466579"/>
    <w:rsid w:val="0046689B"/>
    <w:rsid w:val="004669B2"/>
    <w:rsid w:val="004670A2"/>
    <w:rsid w:val="004672FA"/>
    <w:rsid w:val="00467465"/>
    <w:rsid w:val="004675CF"/>
    <w:rsid w:val="00467617"/>
    <w:rsid w:val="004677A7"/>
    <w:rsid w:val="00467824"/>
    <w:rsid w:val="00467858"/>
    <w:rsid w:val="00467BD9"/>
    <w:rsid w:val="00467BE3"/>
    <w:rsid w:val="00467C53"/>
    <w:rsid w:val="00467D32"/>
    <w:rsid w:val="00467DA8"/>
    <w:rsid w:val="00467DAE"/>
    <w:rsid w:val="00467E5E"/>
    <w:rsid w:val="004700D1"/>
    <w:rsid w:val="004700F7"/>
    <w:rsid w:val="00470448"/>
    <w:rsid w:val="004704CE"/>
    <w:rsid w:val="0047072B"/>
    <w:rsid w:val="00470906"/>
    <w:rsid w:val="00470915"/>
    <w:rsid w:val="00470BB2"/>
    <w:rsid w:val="00470DAE"/>
    <w:rsid w:val="00470F19"/>
    <w:rsid w:val="00470FE2"/>
    <w:rsid w:val="00471086"/>
    <w:rsid w:val="00471111"/>
    <w:rsid w:val="00471163"/>
    <w:rsid w:val="00471187"/>
    <w:rsid w:val="00471277"/>
    <w:rsid w:val="004712CD"/>
    <w:rsid w:val="0047138D"/>
    <w:rsid w:val="004713B5"/>
    <w:rsid w:val="0047146C"/>
    <w:rsid w:val="004714BC"/>
    <w:rsid w:val="0047150E"/>
    <w:rsid w:val="004716C4"/>
    <w:rsid w:val="00471740"/>
    <w:rsid w:val="00471E14"/>
    <w:rsid w:val="00471E4D"/>
    <w:rsid w:val="00471E8D"/>
    <w:rsid w:val="0047218A"/>
    <w:rsid w:val="004721AB"/>
    <w:rsid w:val="00472224"/>
    <w:rsid w:val="0047225C"/>
    <w:rsid w:val="00472282"/>
    <w:rsid w:val="004723DB"/>
    <w:rsid w:val="004723E6"/>
    <w:rsid w:val="0047241E"/>
    <w:rsid w:val="00472420"/>
    <w:rsid w:val="0047252E"/>
    <w:rsid w:val="004726F2"/>
    <w:rsid w:val="00472AC0"/>
    <w:rsid w:val="00472AC8"/>
    <w:rsid w:val="00472BA2"/>
    <w:rsid w:val="00472C43"/>
    <w:rsid w:val="00472D04"/>
    <w:rsid w:val="00472E8A"/>
    <w:rsid w:val="00472FAE"/>
    <w:rsid w:val="0047304F"/>
    <w:rsid w:val="00473470"/>
    <w:rsid w:val="00473546"/>
    <w:rsid w:val="00473627"/>
    <w:rsid w:val="004737BB"/>
    <w:rsid w:val="0047394C"/>
    <w:rsid w:val="00473B07"/>
    <w:rsid w:val="00473D01"/>
    <w:rsid w:val="00473D47"/>
    <w:rsid w:val="00473DB5"/>
    <w:rsid w:val="00473F6A"/>
    <w:rsid w:val="00474102"/>
    <w:rsid w:val="0047441E"/>
    <w:rsid w:val="0047444D"/>
    <w:rsid w:val="004744B3"/>
    <w:rsid w:val="004745CE"/>
    <w:rsid w:val="0047471B"/>
    <w:rsid w:val="004748D5"/>
    <w:rsid w:val="00474970"/>
    <w:rsid w:val="00474BC9"/>
    <w:rsid w:val="00474C40"/>
    <w:rsid w:val="00474E50"/>
    <w:rsid w:val="004752E1"/>
    <w:rsid w:val="0047542F"/>
    <w:rsid w:val="004757C7"/>
    <w:rsid w:val="00475834"/>
    <w:rsid w:val="00475921"/>
    <w:rsid w:val="00475A85"/>
    <w:rsid w:val="00475B2B"/>
    <w:rsid w:val="00475C2D"/>
    <w:rsid w:val="00475CAF"/>
    <w:rsid w:val="00475F1D"/>
    <w:rsid w:val="004762F5"/>
    <w:rsid w:val="00476449"/>
    <w:rsid w:val="00476637"/>
    <w:rsid w:val="00476662"/>
    <w:rsid w:val="00476700"/>
    <w:rsid w:val="004767FA"/>
    <w:rsid w:val="00476948"/>
    <w:rsid w:val="00476BFB"/>
    <w:rsid w:val="00476D3F"/>
    <w:rsid w:val="00476D55"/>
    <w:rsid w:val="00477130"/>
    <w:rsid w:val="004771B4"/>
    <w:rsid w:val="0047722A"/>
    <w:rsid w:val="004772D4"/>
    <w:rsid w:val="0047742A"/>
    <w:rsid w:val="004777C3"/>
    <w:rsid w:val="004778B7"/>
    <w:rsid w:val="0047798C"/>
    <w:rsid w:val="00477D42"/>
    <w:rsid w:val="00477E8E"/>
    <w:rsid w:val="00477EAE"/>
    <w:rsid w:val="00477F17"/>
    <w:rsid w:val="00477F53"/>
    <w:rsid w:val="0048006A"/>
    <w:rsid w:val="0048012C"/>
    <w:rsid w:val="00480417"/>
    <w:rsid w:val="004804B9"/>
    <w:rsid w:val="00480B59"/>
    <w:rsid w:val="00480C3B"/>
    <w:rsid w:val="00480E90"/>
    <w:rsid w:val="00480F31"/>
    <w:rsid w:val="00481084"/>
    <w:rsid w:val="0048109C"/>
    <w:rsid w:val="004812A5"/>
    <w:rsid w:val="0048131D"/>
    <w:rsid w:val="0048139F"/>
    <w:rsid w:val="004814C0"/>
    <w:rsid w:val="0048160A"/>
    <w:rsid w:val="00481BAB"/>
    <w:rsid w:val="00481CE6"/>
    <w:rsid w:val="00481D33"/>
    <w:rsid w:val="00481D8F"/>
    <w:rsid w:val="00481FD9"/>
    <w:rsid w:val="0048209C"/>
    <w:rsid w:val="004821CA"/>
    <w:rsid w:val="004824B4"/>
    <w:rsid w:val="0048279C"/>
    <w:rsid w:val="004827B5"/>
    <w:rsid w:val="00482972"/>
    <w:rsid w:val="00482E88"/>
    <w:rsid w:val="00482EE3"/>
    <w:rsid w:val="004833E6"/>
    <w:rsid w:val="00483420"/>
    <w:rsid w:val="004837E8"/>
    <w:rsid w:val="00483881"/>
    <w:rsid w:val="0048399E"/>
    <w:rsid w:val="004839FC"/>
    <w:rsid w:val="00483A53"/>
    <w:rsid w:val="00483C2D"/>
    <w:rsid w:val="0048416C"/>
    <w:rsid w:val="004841A4"/>
    <w:rsid w:val="00484231"/>
    <w:rsid w:val="0048462F"/>
    <w:rsid w:val="004847B9"/>
    <w:rsid w:val="004849B3"/>
    <w:rsid w:val="00484A3F"/>
    <w:rsid w:val="00484A7A"/>
    <w:rsid w:val="00484BFD"/>
    <w:rsid w:val="00484C93"/>
    <w:rsid w:val="00484D36"/>
    <w:rsid w:val="00484F35"/>
    <w:rsid w:val="004850FD"/>
    <w:rsid w:val="00485171"/>
    <w:rsid w:val="004853D8"/>
    <w:rsid w:val="00485488"/>
    <w:rsid w:val="00485534"/>
    <w:rsid w:val="004856D9"/>
    <w:rsid w:val="004857E2"/>
    <w:rsid w:val="00485828"/>
    <w:rsid w:val="00485896"/>
    <w:rsid w:val="00485956"/>
    <w:rsid w:val="00485A62"/>
    <w:rsid w:val="00485CF1"/>
    <w:rsid w:val="00485E53"/>
    <w:rsid w:val="00485E99"/>
    <w:rsid w:val="00485EAE"/>
    <w:rsid w:val="00486044"/>
    <w:rsid w:val="00486337"/>
    <w:rsid w:val="00486589"/>
    <w:rsid w:val="0048669B"/>
    <w:rsid w:val="00486738"/>
    <w:rsid w:val="004867A6"/>
    <w:rsid w:val="00486A58"/>
    <w:rsid w:val="00486A6F"/>
    <w:rsid w:val="00486C33"/>
    <w:rsid w:val="00486CF1"/>
    <w:rsid w:val="0048714C"/>
    <w:rsid w:val="00487311"/>
    <w:rsid w:val="004873B0"/>
    <w:rsid w:val="004873E3"/>
    <w:rsid w:val="004875D4"/>
    <w:rsid w:val="004875E8"/>
    <w:rsid w:val="00487686"/>
    <w:rsid w:val="00487A3A"/>
    <w:rsid w:val="00487B5E"/>
    <w:rsid w:val="00487D25"/>
    <w:rsid w:val="00490095"/>
    <w:rsid w:val="00490257"/>
    <w:rsid w:val="0049032A"/>
    <w:rsid w:val="00490425"/>
    <w:rsid w:val="004905AF"/>
    <w:rsid w:val="0049065A"/>
    <w:rsid w:val="00490667"/>
    <w:rsid w:val="00490677"/>
    <w:rsid w:val="004908F9"/>
    <w:rsid w:val="0049098B"/>
    <w:rsid w:val="0049099A"/>
    <w:rsid w:val="004909B0"/>
    <w:rsid w:val="00490B03"/>
    <w:rsid w:val="00490CAF"/>
    <w:rsid w:val="00490CD8"/>
    <w:rsid w:val="00490CF7"/>
    <w:rsid w:val="00490D64"/>
    <w:rsid w:val="00490E8D"/>
    <w:rsid w:val="0049105C"/>
    <w:rsid w:val="0049111D"/>
    <w:rsid w:val="00491201"/>
    <w:rsid w:val="00491390"/>
    <w:rsid w:val="00491472"/>
    <w:rsid w:val="004917C9"/>
    <w:rsid w:val="004919A2"/>
    <w:rsid w:val="00491AF4"/>
    <w:rsid w:val="00491C05"/>
    <w:rsid w:val="00491C32"/>
    <w:rsid w:val="00491EAC"/>
    <w:rsid w:val="00491EC6"/>
    <w:rsid w:val="00491ED0"/>
    <w:rsid w:val="0049200C"/>
    <w:rsid w:val="004920AF"/>
    <w:rsid w:val="004923A1"/>
    <w:rsid w:val="004924D6"/>
    <w:rsid w:val="004926A4"/>
    <w:rsid w:val="0049299A"/>
    <w:rsid w:val="0049299C"/>
    <w:rsid w:val="0049299D"/>
    <w:rsid w:val="00492ABD"/>
    <w:rsid w:val="00492C43"/>
    <w:rsid w:val="00492CDE"/>
    <w:rsid w:val="00492D9F"/>
    <w:rsid w:val="00492E32"/>
    <w:rsid w:val="00492E74"/>
    <w:rsid w:val="00492FE5"/>
    <w:rsid w:val="00493041"/>
    <w:rsid w:val="004931B3"/>
    <w:rsid w:val="004931C0"/>
    <w:rsid w:val="004931D8"/>
    <w:rsid w:val="004931F5"/>
    <w:rsid w:val="0049344B"/>
    <w:rsid w:val="00493552"/>
    <w:rsid w:val="00493771"/>
    <w:rsid w:val="00493A18"/>
    <w:rsid w:val="00493A64"/>
    <w:rsid w:val="00493BE9"/>
    <w:rsid w:val="00493C25"/>
    <w:rsid w:val="00493E32"/>
    <w:rsid w:val="00494315"/>
    <w:rsid w:val="004943B4"/>
    <w:rsid w:val="004944B0"/>
    <w:rsid w:val="0049468C"/>
    <w:rsid w:val="00494805"/>
    <w:rsid w:val="004948CA"/>
    <w:rsid w:val="00494A45"/>
    <w:rsid w:val="00494E78"/>
    <w:rsid w:val="00494EB2"/>
    <w:rsid w:val="00494EF2"/>
    <w:rsid w:val="00494F5A"/>
    <w:rsid w:val="0049518A"/>
    <w:rsid w:val="004954BB"/>
    <w:rsid w:val="00495702"/>
    <w:rsid w:val="004957EC"/>
    <w:rsid w:val="004958C5"/>
    <w:rsid w:val="00495AF3"/>
    <w:rsid w:val="0049626D"/>
    <w:rsid w:val="00496309"/>
    <w:rsid w:val="00496390"/>
    <w:rsid w:val="004966BF"/>
    <w:rsid w:val="0049676E"/>
    <w:rsid w:val="0049696C"/>
    <w:rsid w:val="00496CA0"/>
    <w:rsid w:val="00496CA4"/>
    <w:rsid w:val="00496CC7"/>
    <w:rsid w:val="00496E23"/>
    <w:rsid w:val="00496ED7"/>
    <w:rsid w:val="00496FCE"/>
    <w:rsid w:val="0049704B"/>
    <w:rsid w:val="00497074"/>
    <w:rsid w:val="004971B4"/>
    <w:rsid w:val="00497759"/>
    <w:rsid w:val="004978BB"/>
    <w:rsid w:val="004978BF"/>
    <w:rsid w:val="00497AA2"/>
    <w:rsid w:val="00497B82"/>
    <w:rsid w:val="00497BA7"/>
    <w:rsid w:val="00497C0B"/>
    <w:rsid w:val="004A0042"/>
    <w:rsid w:val="004A016A"/>
    <w:rsid w:val="004A0224"/>
    <w:rsid w:val="004A02E2"/>
    <w:rsid w:val="004A032A"/>
    <w:rsid w:val="004A039A"/>
    <w:rsid w:val="004A0429"/>
    <w:rsid w:val="004A04F0"/>
    <w:rsid w:val="004A055D"/>
    <w:rsid w:val="004A063F"/>
    <w:rsid w:val="004A07CB"/>
    <w:rsid w:val="004A0BC8"/>
    <w:rsid w:val="004A0C1C"/>
    <w:rsid w:val="004A0C81"/>
    <w:rsid w:val="004A0E78"/>
    <w:rsid w:val="004A0F1F"/>
    <w:rsid w:val="004A113D"/>
    <w:rsid w:val="004A1394"/>
    <w:rsid w:val="004A14D4"/>
    <w:rsid w:val="004A1540"/>
    <w:rsid w:val="004A1692"/>
    <w:rsid w:val="004A1878"/>
    <w:rsid w:val="004A18A5"/>
    <w:rsid w:val="004A1937"/>
    <w:rsid w:val="004A195E"/>
    <w:rsid w:val="004A1A97"/>
    <w:rsid w:val="004A1C11"/>
    <w:rsid w:val="004A1C79"/>
    <w:rsid w:val="004A1CE3"/>
    <w:rsid w:val="004A1EAC"/>
    <w:rsid w:val="004A20B4"/>
    <w:rsid w:val="004A20F9"/>
    <w:rsid w:val="004A219A"/>
    <w:rsid w:val="004A241B"/>
    <w:rsid w:val="004A2897"/>
    <w:rsid w:val="004A289A"/>
    <w:rsid w:val="004A2941"/>
    <w:rsid w:val="004A298B"/>
    <w:rsid w:val="004A2A0B"/>
    <w:rsid w:val="004A2BA6"/>
    <w:rsid w:val="004A2CD1"/>
    <w:rsid w:val="004A2D25"/>
    <w:rsid w:val="004A2DA8"/>
    <w:rsid w:val="004A2DD4"/>
    <w:rsid w:val="004A2F4D"/>
    <w:rsid w:val="004A2FF6"/>
    <w:rsid w:val="004A2FF8"/>
    <w:rsid w:val="004A3021"/>
    <w:rsid w:val="004A310F"/>
    <w:rsid w:val="004A3114"/>
    <w:rsid w:val="004A34C7"/>
    <w:rsid w:val="004A388E"/>
    <w:rsid w:val="004A38C0"/>
    <w:rsid w:val="004A38E4"/>
    <w:rsid w:val="004A3904"/>
    <w:rsid w:val="004A39F2"/>
    <w:rsid w:val="004A3A38"/>
    <w:rsid w:val="004A3B79"/>
    <w:rsid w:val="004A3D09"/>
    <w:rsid w:val="004A3D36"/>
    <w:rsid w:val="004A3E18"/>
    <w:rsid w:val="004A4055"/>
    <w:rsid w:val="004A406B"/>
    <w:rsid w:val="004A4218"/>
    <w:rsid w:val="004A45A0"/>
    <w:rsid w:val="004A45CA"/>
    <w:rsid w:val="004A4620"/>
    <w:rsid w:val="004A47D5"/>
    <w:rsid w:val="004A4836"/>
    <w:rsid w:val="004A4D41"/>
    <w:rsid w:val="004A4DBF"/>
    <w:rsid w:val="004A4EC9"/>
    <w:rsid w:val="004A4F90"/>
    <w:rsid w:val="004A4FC5"/>
    <w:rsid w:val="004A501B"/>
    <w:rsid w:val="004A514E"/>
    <w:rsid w:val="004A51CD"/>
    <w:rsid w:val="004A5491"/>
    <w:rsid w:val="004A57AA"/>
    <w:rsid w:val="004A596E"/>
    <w:rsid w:val="004A5980"/>
    <w:rsid w:val="004A5E06"/>
    <w:rsid w:val="004A5EA1"/>
    <w:rsid w:val="004A5F52"/>
    <w:rsid w:val="004A5FC0"/>
    <w:rsid w:val="004A5FC9"/>
    <w:rsid w:val="004A61F0"/>
    <w:rsid w:val="004A632B"/>
    <w:rsid w:val="004A64DE"/>
    <w:rsid w:val="004A6616"/>
    <w:rsid w:val="004A6659"/>
    <w:rsid w:val="004A6717"/>
    <w:rsid w:val="004A6903"/>
    <w:rsid w:val="004A6C08"/>
    <w:rsid w:val="004A7005"/>
    <w:rsid w:val="004A70B8"/>
    <w:rsid w:val="004A7146"/>
    <w:rsid w:val="004A7186"/>
    <w:rsid w:val="004A7239"/>
    <w:rsid w:val="004A72E1"/>
    <w:rsid w:val="004A746A"/>
    <w:rsid w:val="004A747F"/>
    <w:rsid w:val="004A74C9"/>
    <w:rsid w:val="004A785A"/>
    <w:rsid w:val="004A7915"/>
    <w:rsid w:val="004A797B"/>
    <w:rsid w:val="004A7992"/>
    <w:rsid w:val="004A7A9D"/>
    <w:rsid w:val="004A7C45"/>
    <w:rsid w:val="004A7E34"/>
    <w:rsid w:val="004B015B"/>
    <w:rsid w:val="004B01C3"/>
    <w:rsid w:val="004B025E"/>
    <w:rsid w:val="004B04F7"/>
    <w:rsid w:val="004B05FD"/>
    <w:rsid w:val="004B062F"/>
    <w:rsid w:val="004B0677"/>
    <w:rsid w:val="004B086F"/>
    <w:rsid w:val="004B0BBD"/>
    <w:rsid w:val="004B0D95"/>
    <w:rsid w:val="004B0EE8"/>
    <w:rsid w:val="004B0F9E"/>
    <w:rsid w:val="004B1068"/>
    <w:rsid w:val="004B10BE"/>
    <w:rsid w:val="004B10FF"/>
    <w:rsid w:val="004B11CA"/>
    <w:rsid w:val="004B154D"/>
    <w:rsid w:val="004B156C"/>
    <w:rsid w:val="004B17BF"/>
    <w:rsid w:val="004B185A"/>
    <w:rsid w:val="004B18A1"/>
    <w:rsid w:val="004B1AAB"/>
    <w:rsid w:val="004B1AAC"/>
    <w:rsid w:val="004B1B94"/>
    <w:rsid w:val="004B1BA8"/>
    <w:rsid w:val="004B1CA2"/>
    <w:rsid w:val="004B2029"/>
    <w:rsid w:val="004B231A"/>
    <w:rsid w:val="004B2456"/>
    <w:rsid w:val="004B24F5"/>
    <w:rsid w:val="004B258A"/>
    <w:rsid w:val="004B2779"/>
    <w:rsid w:val="004B294D"/>
    <w:rsid w:val="004B2B3C"/>
    <w:rsid w:val="004B2CCB"/>
    <w:rsid w:val="004B2D1C"/>
    <w:rsid w:val="004B2D2C"/>
    <w:rsid w:val="004B2E69"/>
    <w:rsid w:val="004B2F7B"/>
    <w:rsid w:val="004B328F"/>
    <w:rsid w:val="004B32D2"/>
    <w:rsid w:val="004B33F1"/>
    <w:rsid w:val="004B34CC"/>
    <w:rsid w:val="004B366C"/>
    <w:rsid w:val="004B36C6"/>
    <w:rsid w:val="004B3B4C"/>
    <w:rsid w:val="004B3B89"/>
    <w:rsid w:val="004B3D18"/>
    <w:rsid w:val="004B3D9D"/>
    <w:rsid w:val="004B3E30"/>
    <w:rsid w:val="004B4138"/>
    <w:rsid w:val="004B4165"/>
    <w:rsid w:val="004B4356"/>
    <w:rsid w:val="004B4360"/>
    <w:rsid w:val="004B43B5"/>
    <w:rsid w:val="004B4471"/>
    <w:rsid w:val="004B44F5"/>
    <w:rsid w:val="004B46D2"/>
    <w:rsid w:val="004B4B2A"/>
    <w:rsid w:val="004B4B5F"/>
    <w:rsid w:val="004B4B67"/>
    <w:rsid w:val="004B4C0F"/>
    <w:rsid w:val="004B4E04"/>
    <w:rsid w:val="004B4EF7"/>
    <w:rsid w:val="004B4F64"/>
    <w:rsid w:val="004B4FB1"/>
    <w:rsid w:val="004B5122"/>
    <w:rsid w:val="004B55D8"/>
    <w:rsid w:val="004B55EA"/>
    <w:rsid w:val="004B5762"/>
    <w:rsid w:val="004B5A9D"/>
    <w:rsid w:val="004B5CB8"/>
    <w:rsid w:val="004B60B1"/>
    <w:rsid w:val="004B611A"/>
    <w:rsid w:val="004B61BC"/>
    <w:rsid w:val="004B61E2"/>
    <w:rsid w:val="004B63C0"/>
    <w:rsid w:val="004B662E"/>
    <w:rsid w:val="004B66F6"/>
    <w:rsid w:val="004B685B"/>
    <w:rsid w:val="004B68F4"/>
    <w:rsid w:val="004B691E"/>
    <w:rsid w:val="004B6AD8"/>
    <w:rsid w:val="004B6C6A"/>
    <w:rsid w:val="004B6C79"/>
    <w:rsid w:val="004B6E8D"/>
    <w:rsid w:val="004B6EFE"/>
    <w:rsid w:val="004B6F6A"/>
    <w:rsid w:val="004B6FCB"/>
    <w:rsid w:val="004B70F1"/>
    <w:rsid w:val="004B7181"/>
    <w:rsid w:val="004B71FF"/>
    <w:rsid w:val="004B72AB"/>
    <w:rsid w:val="004B73BC"/>
    <w:rsid w:val="004B76A8"/>
    <w:rsid w:val="004B7916"/>
    <w:rsid w:val="004B79FB"/>
    <w:rsid w:val="004B7A02"/>
    <w:rsid w:val="004B7A49"/>
    <w:rsid w:val="004B7A61"/>
    <w:rsid w:val="004B7B87"/>
    <w:rsid w:val="004B7BC7"/>
    <w:rsid w:val="004B7FFB"/>
    <w:rsid w:val="004C0154"/>
    <w:rsid w:val="004C01A4"/>
    <w:rsid w:val="004C01C2"/>
    <w:rsid w:val="004C03FD"/>
    <w:rsid w:val="004C055D"/>
    <w:rsid w:val="004C05F6"/>
    <w:rsid w:val="004C078E"/>
    <w:rsid w:val="004C0822"/>
    <w:rsid w:val="004C0851"/>
    <w:rsid w:val="004C099F"/>
    <w:rsid w:val="004C0AF8"/>
    <w:rsid w:val="004C0BE3"/>
    <w:rsid w:val="004C0BF8"/>
    <w:rsid w:val="004C0C49"/>
    <w:rsid w:val="004C0D44"/>
    <w:rsid w:val="004C0D81"/>
    <w:rsid w:val="004C0DEC"/>
    <w:rsid w:val="004C0E96"/>
    <w:rsid w:val="004C0F67"/>
    <w:rsid w:val="004C0F97"/>
    <w:rsid w:val="004C1427"/>
    <w:rsid w:val="004C14BB"/>
    <w:rsid w:val="004C1501"/>
    <w:rsid w:val="004C16BC"/>
    <w:rsid w:val="004C1853"/>
    <w:rsid w:val="004C18EC"/>
    <w:rsid w:val="004C1915"/>
    <w:rsid w:val="004C1C8A"/>
    <w:rsid w:val="004C1D6B"/>
    <w:rsid w:val="004C1D74"/>
    <w:rsid w:val="004C2258"/>
    <w:rsid w:val="004C2262"/>
    <w:rsid w:val="004C240E"/>
    <w:rsid w:val="004C2424"/>
    <w:rsid w:val="004C24D5"/>
    <w:rsid w:val="004C2507"/>
    <w:rsid w:val="004C256B"/>
    <w:rsid w:val="004C261B"/>
    <w:rsid w:val="004C269E"/>
    <w:rsid w:val="004C293A"/>
    <w:rsid w:val="004C2DBA"/>
    <w:rsid w:val="004C2F59"/>
    <w:rsid w:val="004C3282"/>
    <w:rsid w:val="004C34EE"/>
    <w:rsid w:val="004C3599"/>
    <w:rsid w:val="004C384D"/>
    <w:rsid w:val="004C38BE"/>
    <w:rsid w:val="004C38E4"/>
    <w:rsid w:val="004C3B35"/>
    <w:rsid w:val="004C3D32"/>
    <w:rsid w:val="004C3DDB"/>
    <w:rsid w:val="004C3E3A"/>
    <w:rsid w:val="004C3E88"/>
    <w:rsid w:val="004C3F2B"/>
    <w:rsid w:val="004C3F6D"/>
    <w:rsid w:val="004C4022"/>
    <w:rsid w:val="004C417F"/>
    <w:rsid w:val="004C42CC"/>
    <w:rsid w:val="004C42CE"/>
    <w:rsid w:val="004C43CE"/>
    <w:rsid w:val="004C441C"/>
    <w:rsid w:val="004C4595"/>
    <w:rsid w:val="004C4943"/>
    <w:rsid w:val="004C4B41"/>
    <w:rsid w:val="004C4B5E"/>
    <w:rsid w:val="004C51A0"/>
    <w:rsid w:val="004C51BA"/>
    <w:rsid w:val="004C52D9"/>
    <w:rsid w:val="004C5414"/>
    <w:rsid w:val="004C5543"/>
    <w:rsid w:val="004C55DC"/>
    <w:rsid w:val="004C5932"/>
    <w:rsid w:val="004C59F3"/>
    <w:rsid w:val="004C5B70"/>
    <w:rsid w:val="004C5C6F"/>
    <w:rsid w:val="004C5D4A"/>
    <w:rsid w:val="004C6302"/>
    <w:rsid w:val="004C6353"/>
    <w:rsid w:val="004C6473"/>
    <w:rsid w:val="004C6562"/>
    <w:rsid w:val="004C66A1"/>
    <w:rsid w:val="004C670D"/>
    <w:rsid w:val="004C67E0"/>
    <w:rsid w:val="004C6858"/>
    <w:rsid w:val="004C6942"/>
    <w:rsid w:val="004C694C"/>
    <w:rsid w:val="004C69F3"/>
    <w:rsid w:val="004C6A38"/>
    <w:rsid w:val="004C6B4F"/>
    <w:rsid w:val="004C6F60"/>
    <w:rsid w:val="004C7005"/>
    <w:rsid w:val="004C7207"/>
    <w:rsid w:val="004C7215"/>
    <w:rsid w:val="004C7351"/>
    <w:rsid w:val="004C73A2"/>
    <w:rsid w:val="004C74DA"/>
    <w:rsid w:val="004C7689"/>
    <w:rsid w:val="004C7ADF"/>
    <w:rsid w:val="004D010C"/>
    <w:rsid w:val="004D01FE"/>
    <w:rsid w:val="004D02B3"/>
    <w:rsid w:val="004D02F9"/>
    <w:rsid w:val="004D036C"/>
    <w:rsid w:val="004D0549"/>
    <w:rsid w:val="004D0734"/>
    <w:rsid w:val="004D0A08"/>
    <w:rsid w:val="004D0A68"/>
    <w:rsid w:val="004D0B7C"/>
    <w:rsid w:val="004D0B9D"/>
    <w:rsid w:val="004D0BB4"/>
    <w:rsid w:val="004D0DD9"/>
    <w:rsid w:val="004D0E1B"/>
    <w:rsid w:val="004D0E97"/>
    <w:rsid w:val="004D0F3B"/>
    <w:rsid w:val="004D1133"/>
    <w:rsid w:val="004D12B5"/>
    <w:rsid w:val="004D13B1"/>
    <w:rsid w:val="004D16AA"/>
    <w:rsid w:val="004D17E1"/>
    <w:rsid w:val="004D19A9"/>
    <w:rsid w:val="004D1A5F"/>
    <w:rsid w:val="004D1C5B"/>
    <w:rsid w:val="004D1CE8"/>
    <w:rsid w:val="004D1DA2"/>
    <w:rsid w:val="004D1EAE"/>
    <w:rsid w:val="004D230A"/>
    <w:rsid w:val="004D234C"/>
    <w:rsid w:val="004D23E4"/>
    <w:rsid w:val="004D2488"/>
    <w:rsid w:val="004D24AA"/>
    <w:rsid w:val="004D27ED"/>
    <w:rsid w:val="004D2CA7"/>
    <w:rsid w:val="004D2D4C"/>
    <w:rsid w:val="004D2D93"/>
    <w:rsid w:val="004D2E54"/>
    <w:rsid w:val="004D2E84"/>
    <w:rsid w:val="004D303D"/>
    <w:rsid w:val="004D3082"/>
    <w:rsid w:val="004D31E6"/>
    <w:rsid w:val="004D3225"/>
    <w:rsid w:val="004D333A"/>
    <w:rsid w:val="004D3557"/>
    <w:rsid w:val="004D359C"/>
    <w:rsid w:val="004D372E"/>
    <w:rsid w:val="004D37E9"/>
    <w:rsid w:val="004D3848"/>
    <w:rsid w:val="004D3874"/>
    <w:rsid w:val="004D3896"/>
    <w:rsid w:val="004D38C5"/>
    <w:rsid w:val="004D39BA"/>
    <w:rsid w:val="004D39F6"/>
    <w:rsid w:val="004D3BE8"/>
    <w:rsid w:val="004D3C4B"/>
    <w:rsid w:val="004D3C58"/>
    <w:rsid w:val="004D3C6D"/>
    <w:rsid w:val="004D3C95"/>
    <w:rsid w:val="004D3D3F"/>
    <w:rsid w:val="004D4090"/>
    <w:rsid w:val="004D40A7"/>
    <w:rsid w:val="004D41CF"/>
    <w:rsid w:val="004D42F4"/>
    <w:rsid w:val="004D449F"/>
    <w:rsid w:val="004D4604"/>
    <w:rsid w:val="004D4758"/>
    <w:rsid w:val="004D4942"/>
    <w:rsid w:val="004D4946"/>
    <w:rsid w:val="004D4C39"/>
    <w:rsid w:val="004D4DA9"/>
    <w:rsid w:val="004D4DF8"/>
    <w:rsid w:val="004D4E3D"/>
    <w:rsid w:val="004D4E8F"/>
    <w:rsid w:val="004D5171"/>
    <w:rsid w:val="004D51CA"/>
    <w:rsid w:val="004D52AA"/>
    <w:rsid w:val="004D52B0"/>
    <w:rsid w:val="004D52FB"/>
    <w:rsid w:val="004D540C"/>
    <w:rsid w:val="004D5474"/>
    <w:rsid w:val="004D54DE"/>
    <w:rsid w:val="004D5B37"/>
    <w:rsid w:val="004D5C60"/>
    <w:rsid w:val="004D5CE2"/>
    <w:rsid w:val="004D5FF8"/>
    <w:rsid w:val="004D6195"/>
    <w:rsid w:val="004D6334"/>
    <w:rsid w:val="004D64AA"/>
    <w:rsid w:val="004D67B8"/>
    <w:rsid w:val="004D68F2"/>
    <w:rsid w:val="004D6A34"/>
    <w:rsid w:val="004D6B42"/>
    <w:rsid w:val="004D6DBC"/>
    <w:rsid w:val="004D6F46"/>
    <w:rsid w:val="004D7065"/>
    <w:rsid w:val="004D719C"/>
    <w:rsid w:val="004D7470"/>
    <w:rsid w:val="004D74E8"/>
    <w:rsid w:val="004D7524"/>
    <w:rsid w:val="004D75FF"/>
    <w:rsid w:val="004D771E"/>
    <w:rsid w:val="004D7746"/>
    <w:rsid w:val="004D7772"/>
    <w:rsid w:val="004D7827"/>
    <w:rsid w:val="004D78FE"/>
    <w:rsid w:val="004D7B91"/>
    <w:rsid w:val="004D7CF9"/>
    <w:rsid w:val="004D7D39"/>
    <w:rsid w:val="004D7D63"/>
    <w:rsid w:val="004D7EDD"/>
    <w:rsid w:val="004E001C"/>
    <w:rsid w:val="004E00AF"/>
    <w:rsid w:val="004E00D7"/>
    <w:rsid w:val="004E0250"/>
    <w:rsid w:val="004E0319"/>
    <w:rsid w:val="004E085A"/>
    <w:rsid w:val="004E0C96"/>
    <w:rsid w:val="004E0E63"/>
    <w:rsid w:val="004E119A"/>
    <w:rsid w:val="004E1253"/>
    <w:rsid w:val="004E1398"/>
    <w:rsid w:val="004E13CE"/>
    <w:rsid w:val="004E14EB"/>
    <w:rsid w:val="004E1548"/>
    <w:rsid w:val="004E18E5"/>
    <w:rsid w:val="004E190D"/>
    <w:rsid w:val="004E1A27"/>
    <w:rsid w:val="004E1D04"/>
    <w:rsid w:val="004E1EB0"/>
    <w:rsid w:val="004E1EC4"/>
    <w:rsid w:val="004E1EC9"/>
    <w:rsid w:val="004E2122"/>
    <w:rsid w:val="004E2176"/>
    <w:rsid w:val="004E21C7"/>
    <w:rsid w:val="004E2365"/>
    <w:rsid w:val="004E23E8"/>
    <w:rsid w:val="004E2758"/>
    <w:rsid w:val="004E2A0F"/>
    <w:rsid w:val="004E2C08"/>
    <w:rsid w:val="004E2C36"/>
    <w:rsid w:val="004E2D4C"/>
    <w:rsid w:val="004E2E8F"/>
    <w:rsid w:val="004E2FA0"/>
    <w:rsid w:val="004E30D9"/>
    <w:rsid w:val="004E30DE"/>
    <w:rsid w:val="004E31C1"/>
    <w:rsid w:val="004E3275"/>
    <w:rsid w:val="004E330E"/>
    <w:rsid w:val="004E335A"/>
    <w:rsid w:val="004E33BE"/>
    <w:rsid w:val="004E3400"/>
    <w:rsid w:val="004E34C3"/>
    <w:rsid w:val="004E35EA"/>
    <w:rsid w:val="004E380F"/>
    <w:rsid w:val="004E3A62"/>
    <w:rsid w:val="004E3BF0"/>
    <w:rsid w:val="004E3C92"/>
    <w:rsid w:val="004E3D62"/>
    <w:rsid w:val="004E3E72"/>
    <w:rsid w:val="004E3F5C"/>
    <w:rsid w:val="004E3F78"/>
    <w:rsid w:val="004E3FB9"/>
    <w:rsid w:val="004E407F"/>
    <w:rsid w:val="004E40A8"/>
    <w:rsid w:val="004E4110"/>
    <w:rsid w:val="004E4608"/>
    <w:rsid w:val="004E4695"/>
    <w:rsid w:val="004E4811"/>
    <w:rsid w:val="004E4ACB"/>
    <w:rsid w:val="004E4C10"/>
    <w:rsid w:val="004E4E27"/>
    <w:rsid w:val="004E4EFA"/>
    <w:rsid w:val="004E50DC"/>
    <w:rsid w:val="004E520E"/>
    <w:rsid w:val="004E54A0"/>
    <w:rsid w:val="004E5520"/>
    <w:rsid w:val="004E5A17"/>
    <w:rsid w:val="004E5AE2"/>
    <w:rsid w:val="004E5B5E"/>
    <w:rsid w:val="004E5FDD"/>
    <w:rsid w:val="004E6038"/>
    <w:rsid w:val="004E60CB"/>
    <w:rsid w:val="004E634C"/>
    <w:rsid w:val="004E6390"/>
    <w:rsid w:val="004E66A2"/>
    <w:rsid w:val="004E674C"/>
    <w:rsid w:val="004E67C4"/>
    <w:rsid w:val="004E682F"/>
    <w:rsid w:val="004E688F"/>
    <w:rsid w:val="004E69F1"/>
    <w:rsid w:val="004E6AD8"/>
    <w:rsid w:val="004E6B90"/>
    <w:rsid w:val="004E6D00"/>
    <w:rsid w:val="004E6D76"/>
    <w:rsid w:val="004E6DBF"/>
    <w:rsid w:val="004E6F00"/>
    <w:rsid w:val="004E6F29"/>
    <w:rsid w:val="004E7040"/>
    <w:rsid w:val="004E718E"/>
    <w:rsid w:val="004E71E4"/>
    <w:rsid w:val="004E7493"/>
    <w:rsid w:val="004E75E9"/>
    <w:rsid w:val="004E7600"/>
    <w:rsid w:val="004E7B2F"/>
    <w:rsid w:val="004E7BC4"/>
    <w:rsid w:val="004E7C0E"/>
    <w:rsid w:val="004E7CD6"/>
    <w:rsid w:val="004E7F13"/>
    <w:rsid w:val="004F017E"/>
    <w:rsid w:val="004F02B1"/>
    <w:rsid w:val="004F02DB"/>
    <w:rsid w:val="004F0444"/>
    <w:rsid w:val="004F081A"/>
    <w:rsid w:val="004F0C04"/>
    <w:rsid w:val="004F0CAA"/>
    <w:rsid w:val="004F0D76"/>
    <w:rsid w:val="004F0EFA"/>
    <w:rsid w:val="004F108D"/>
    <w:rsid w:val="004F13A7"/>
    <w:rsid w:val="004F14AD"/>
    <w:rsid w:val="004F1675"/>
    <w:rsid w:val="004F176F"/>
    <w:rsid w:val="004F17EF"/>
    <w:rsid w:val="004F183A"/>
    <w:rsid w:val="004F1B25"/>
    <w:rsid w:val="004F2069"/>
    <w:rsid w:val="004F214E"/>
    <w:rsid w:val="004F216D"/>
    <w:rsid w:val="004F25F6"/>
    <w:rsid w:val="004F2617"/>
    <w:rsid w:val="004F265F"/>
    <w:rsid w:val="004F26F0"/>
    <w:rsid w:val="004F273A"/>
    <w:rsid w:val="004F286B"/>
    <w:rsid w:val="004F28C0"/>
    <w:rsid w:val="004F2A26"/>
    <w:rsid w:val="004F2BDC"/>
    <w:rsid w:val="004F2C33"/>
    <w:rsid w:val="004F30C4"/>
    <w:rsid w:val="004F30DA"/>
    <w:rsid w:val="004F3120"/>
    <w:rsid w:val="004F3181"/>
    <w:rsid w:val="004F3213"/>
    <w:rsid w:val="004F347A"/>
    <w:rsid w:val="004F363C"/>
    <w:rsid w:val="004F381B"/>
    <w:rsid w:val="004F3826"/>
    <w:rsid w:val="004F3AC8"/>
    <w:rsid w:val="004F3DCD"/>
    <w:rsid w:val="004F3E39"/>
    <w:rsid w:val="004F3F0A"/>
    <w:rsid w:val="004F3FEA"/>
    <w:rsid w:val="004F40E0"/>
    <w:rsid w:val="004F43E7"/>
    <w:rsid w:val="004F43FA"/>
    <w:rsid w:val="004F4529"/>
    <w:rsid w:val="004F4614"/>
    <w:rsid w:val="004F47C7"/>
    <w:rsid w:val="004F48CE"/>
    <w:rsid w:val="004F493D"/>
    <w:rsid w:val="004F4958"/>
    <w:rsid w:val="004F4DEC"/>
    <w:rsid w:val="004F4E4B"/>
    <w:rsid w:val="004F5097"/>
    <w:rsid w:val="004F50C4"/>
    <w:rsid w:val="004F51C7"/>
    <w:rsid w:val="004F52BC"/>
    <w:rsid w:val="004F562B"/>
    <w:rsid w:val="004F5695"/>
    <w:rsid w:val="004F56C2"/>
    <w:rsid w:val="004F5812"/>
    <w:rsid w:val="004F582D"/>
    <w:rsid w:val="004F58CA"/>
    <w:rsid w:val="004F58E7"/>
    <w:rsid w:val="004F5923"/>
    <w:rsid w:val="004F59FA"/>
    <w:rsid w:val="004F5A17"/>
    <w:rsid w:val="004F5A9D"/>
    <w:rsid w:val="004F5AEB"/>
    <w:rsid w:val="004F5B7E"/>
    <w:rsid w:val="004F5D97"/>
    <w:rsid w:val="004F5DBC"/>
    <w:rsid w:val="004F5DEA"/>
    <w:rsid w:val="004F5F87"/>
    <w:rsid w:val="004F6038"/>
    <w:rsid w:val="004F63CF"/>
    <w:rsid w:val="004F663F"/>
    <w:rsid w:val="004F6717"/>
    <w:rsid w:val="004F69F2"/>
    <w:rsid w:val="004F6A0D"/>
    <w:rsid w:val="004F6A7F"/>
    <w:rsid w:val="004F6AA2"/>
    <w:rsid w:val="004F6AAF"/>
    <w:rsid w:val="004F6B67"/>
    <w:rsid w:val="004F6E71"/>
    <w:rsid w:val="004F6E89"/>
    <w:rsid w:val="004F6F00"/>
    <w:rsid w:val="004F6FF0"/>
    <w:rsid w:val="004F6FF2"/>
    <w:rsid w:val="004F70D5"/>
    <w:rsid w:val="004F7159"/>
    <w:rsid w:val="004F75DC"/>
    <w:rsid w:val="004F7C19"/>
    <w:rsid w:val="004F7C7E"/>
    <w:rsid w:val="004F7CFB"/>
    <w:rsid w:val="004F7D09"/>
    <w:rsid w:val="0050001B"/>
    <w:rsid w:val="00500212"/>
    <w:rsid w:val="0050045E"/>
    <w:rsid w:val="00500481"/>
    <w:rsid w:val="0050070E"/>
    <w:rsid w:val="005008E5"/>
    <w:rsid w:val="00500C04"/>
    <w:rsid w:val="00500C18"/>
    <w:rsid w:val="00500CB2"/>
    <w:rsid w:val="00500DE7"/>
    <w:rsid w:val="0050119B"/>
    <w:rsid w:val="005011C3"/>
    <w:rsid w:val="0050140F"/>
    <w:rsid w:val="005015BB"/>
    <w:rsid w:val="005015C5"/>
    <w:rsid w:val="0050183F"/>
    <w:rsid w:val="005018CE"/>
    <w:rsid w:val="0050196B"/>
    <w:rsid w:val="00501D0C"/>
    <w:rsid w:val="00501E25"/>
    <w:rsid w:val="00501EF8"/>
    <w:rsid w:val="00501EFC"/>
    <w:rsid w:val="00501FB8"/>
    <w:rsid w:val="00502006"/>
    <w:rsid w:val="005023A8"/>
    <w:rsid w:val="00502417"/>
    <w:rsid w:val="0050259E"/>
    <w:rsid w:val="0050266B"/>
    <w:rsid w:val="0050275D"/>
    <w:rsid w:val="0050288C"/>
    <w:rsid w:val="005028D6"/>
    <w:rsid w:val="005029D2"/>
    <w:rsid w:val="00502A32"/>
    <w:rsid w:val="00502C96"/>
    <w:rsid w:val="00502D7B"/>
    <w:rsid w:val="00502F06"/>
    <w:rsid w:val="00502FC7"/>
    <w:rsid w:val="00503083"/>
    <w:rsid w:val="00503244"/>
    <w:rsid w:val="005032B0"/>
    <w:rsid w:val="005032CD"/>
    <w:rsid w:val="005032CE"/>
    <w:rsid w:val="005033D3"/>
    <w:rsid w:val="00503413"/>
    <w:rsid w:val="005034AA"/>
    <w:rsid w:val="00503750"/>
    <w:rsid w:val="005037BB"/>
    <w:rsid w:val="005037F1"/>
    <w:rsid w:val="005038E2"/>
    <w:rsid w:val="00503961"/>
    <w:rsid w:val="00503BA8"/>
    <w:rsid w:val="00503D2B"/>
    <w:rsid w:val="00503E86"/>
    <w:rsid w:val="005041C0"/>
    <w:rsid w:val="0050425E"/>
    <w:rsid w:val="0050433B"/>
    <w:rsid w:val="005043B5"/>
    <w:rsid w:val="005043B9"/>
    <w:rsid w:val="00504537"/>
    <w:rsid w:val="005045FB"/>
    <w:rsid w:val="005046A3"/>
    <w:rsid w:val="005048BE"/>
    <w:rsid w:val="00504908"/>
    <w:rsid w:val="00504DCB"/>
    <w:rsid w:val="00504EF0"/>
    <w:rsid w:val="00504FDE"/>
    <w:rsid w:val="0050527C"/>
    <w:rsid w:val="0050528B"/>
    <w:rsid w:val="0050598D"/>
    <w:rsid w:val="00505BE8"/>
    <w:rsid w:val="00505C18"/>
    <w:rsid w:val="00505C5E"/>
    <w:rsid w:val="00505CF0"/>
    <w:rsid w:val="00505E28"/>
    <w:rsid w:val="00505E54"/>
    <w:rsid w:val="005060F8"/>
    <w:rsid w:val="005060FD"/>
    <w:rsid w:val="00506196"/>
    <w:rsid w:val="005061F0"/>
    <w:rsid w:val="005062F8"/>
    <w:rsid w:val="005063C0"/>
    <w:rsid w:val="00506497"/>
    <w:rsid w:val="00506820"/>
    <w:rsid w:val="00506B4E"/>
    <w:rsid w:val="00506BD2"/>
    <w:rsid w:val="00506C99"/>
    <w:rsid w:val="00506CB1"/>
    <w:rsid w:val="00506DB5"/>
    <w:rsid w:val="00506E19"/>
    <w:rsid w:val="00507107"/>
    <w:rsid w:val="00507167"/>
    <w:rsid w:val="00507255"/>
    <w:rsid w:val="0050735A"/>
    <w:rsid w:val="0050739B"/>
    <w:rsid w:val="005073D4"/>
    <w:rsid w:val="005073D8"/>
    <w:rsid w:val="00507436"/>
    <w:rsid w:val="005075A8"/>
    <w:rsid w:val="00507742"/>
    <w:rsid w:val="00507764"/>
    <w:rsid w:val="005078D4"/>
    <w:rsid w:val="005079E5"/>
    <w:rsid w:val="00507A0A"/>
    <w:rsid w:val="00507E72"/>
    <w:rsid w:val="00507EFC"/>
    <w:rsid w:val="00507F59"/>
    <w:rsid w:val="00507FA1"/>
    <w:rsid w:val="00507FAA"/>
    <w:rsid w:val="00507FE2"/>
    <w:rsid w:val="00510014"/>
    <w:rsid w:val="00510049"/>
    <w:rsid w:val="005100A0"/>
    <w:rsid w:val="0051036F"/>
    <w:rsid w:val="00510442"/>
    <w:rsid w:val="005104BA"/>
    <w:rsid w:val="0051050B"/>
    <w:rsid w:val="00510554"/>
    <w:rsid w:val="0051074D"/>
    <w:rsid w:val="0051085F"/>
    <w:rsid w:val="005108A8"/>
    <w:rsid w:val="005108BA"/>
    <w:rsid w:val="005109D2"/>
    <w:rsid w:val="00510A4F"/>
    <w:rsid w:val="00510A6A"/>
    <w:rsid w:val="00510B4D"/>
    <w:rsid w:val="00510C2A"/>
    <w:rsid w:val="00510CA0"/>
    <w:rsid w:val="00510E3D"/>
    <w:rsid w:val="00510F2F"/>
    <w:rsid w:val="00511619"/>
    <w:rsid w:val="005117E5"/>
    <w:rsid w:val="005119CB"/>
    <w:rsid w:val="00511BEE"/>
    <w:rsid w:val="00511CD2"/>
    <w:rsid w:val="00511D52"/>
    <w:rsid w:val="00511EE6"/>
    <w:rsid w:val="00511F49"/>
    <w:rsid w:val="00511FBF"/>
    <w:rsid w:val="00511FEB"/>
    <w:rsid w:val="005120F1"/>
    <w:rsid w:val="005122A1"/>
    <w:rsid w:val="005122B3"/>
    <w:rsid w:val="00512393"/>
    <w:rsid w:val="00512491"/>
    <w:rsid w:val="005124F8"/>
    <w:rsid w:val="005125DA"/>
    <w:rsid w:val="0051271F"/>
    <w:rsid w:val="00512727"/>
    <w:rsid w:val="0051289E"/>
    <w:rsid w:val="005129C1"/>
    <w:rsid w:val="005129DE"/>
    <w:rsid w:val="005129FA"/>
    <w:rsid w:val="00512A09"/>
    <w:rsid w:val="00512A28"/>
    <w:rsid w:val="00512A48"/>
    <w:rsid w:val="00512BE8"/>
    <w:rsid w:val="00512C91"/>
    <w:rsid w:val="00512C9D"/>
    <w:rsid w:val="00512EA0"/>
    <w:rsid w:val="00512F59"/>
    <w:rsid w:val="00512FDE"/>
    <w:rsid w:val="0051305B"/>
    <w:rsid w:val="00513091"/>
    <w:rsid w:val="00513122"/>
    <w:rsid w:val="00513327"/>
    <w:rsid w:val="0051347F"/>
    <w:rsid w:val="0051368D"/>
    <w:rsid w:val="00513695"/>
    <w:rsid w:val="00513735"/>
    <w:rsid w:val="005137CA"/>
    <w:rsid w:val="005138E3"/>
    <w:rsid w:val="00513AA5"/>
    <w:rsid w:val="00513B4E"/>
    <w:rsid w:val="00513FF7"/>
    <w:rsid w:val="00514049"/>
    <w:rsid w:val="0051404F"/>
    <w:rsid w:val="005140AF"/>
    <w:rsid w:val="00514241"/>
    <w:rsid w:val="00514483"/>
    <w:rsid w:val="005145DA"/>
    <w:rsid w:val="00514A29"/>
    <w:rsid w:val="00514ABE"/>
    <w:rsid w:val="00514B5D"/>
    <w:rsid w:val="00514C97"/>
    <w:rsid w:val="00514CB4"/>
    <w:rsid w:val="00514D3E"/>
    <w:rsid w:val="00514F17"/>
    <w:rsid w:val="00514FA8"/>
    <w:rsid w:val="0051505B"/>
    <w:rsid w:val="00515175"/>
    <w:rsid w:val="00515199"/>
    <w:rsid w:val="005151DF"/>
    <w:rsid w:val="005154A1"/>
    <w:rsid w:val="005156D2"/>
    <w:rsid w:val="0051594E"/>
    <w:rsid w:val="00515A31"/>
    <w:rsid w:val="00515C4E"/>
    <w:rsid w:val="00515D91"/>
    <w:rsid w:val="00515EB5"/>
    <w:rsid w:val="005161F2"/>
    <w:rsid w:val="00516276"/>
    <w:rsid w:val="00516339"/>
    <w:rsid w:val="005163E9"/>
    <w:rsid w:val="0051642F"/>
    <w:rsid w:val="00516737"/>
    <w:rsid w:val="005168D4"/>
    <w:rsid w:val="0051694E"/>
    <w:rsid w:val="005169B1"/>
    <w:rsid w:val="00516A70"/>
    <w:rsid w:val="00516B66"/>
    <w:rsid w:val="00516B6F"/>
    <w:rsid w:val="00516C05"/>
    <w:rsid w:val="00516CB4"/>
    <w:rsid w:val="00516DE4"/>
    <w:rsid w:val="00516EDA"/>
    <w:rsid w:val="00516F38"/>
    <w:rsid w:val="005170AA"/>
    <w:rsid w:val="005170D8"/>
    <w:rsid w:val="0051711A"/>
    <w:rsid w:val="005171FB"/>
    <w:rsid w:val="0051730D"/>
    <w:rsid w:val="005173A3"/>
    <w:rsid w:val="005175C0"/>
    <w:rsid w:val="00517674"/>
    <w:rsid w:val="005176AB"/>
    <w:rsid w:val="0051770C"/>
    <w:rsid w:val="0051781B"/>
    <w:rsid w:val="005178D9"/>
    <w:rsid w:val="00517A5D"/>
    <w:rsid w:val="00517D10"/>
    <w:rsid w:val="00517D43"/>
    <w:rsid w:val="00517E86"/>
    <w:rsid w:val="00517EFF"/>
    <w:rsid w:val="005204C4"/>
    <w:rsid w:val="005204FE"/>
    <w:rsid w:val="0052064C"/>
    <w:rsid w:val="005207B8"/>
    <w:rsid w:val="00520820"/>
    <w:rsid w:val="00520843"/>
    <w:rsid w:val="005208C4"/>
    <w:rsid w:val="005209BA"/>
    <w:rsid w:val="00520A53"/>
    <w:rsid w:val="00520C30"/>
    <w:rsid w:val="00520D35"/>
    <w:rsid w:val="00520DEA"/>
    <w:rsid w:val="00520E3D"/>
    <w:rsid w:val="00520E9C"/>
    <w:rsid w:val="00520ECA"/>
    <w:rsid w:val="00520EE3"/>
    <w:rsid w:val="00521012"/>
    <w:rsid w:val="00521159"/>
    <w:rsid w:val="00521329"/>
    <w:rsid w:val="005214CA"/>
    <w:rsid w:val="005216BD"/>
    <w:rsid w:val="00521960"/>
    <w:rsid w:val="00521A20"/>
    <w:rsid w:val="00521C66"/>
    <w:rsid w:val="00521D1F"/>
    <w:rsid w:val="00521F1B"/>
    <w:rsid w:val="00522202"/>
    <w:rsid w:val="0052228A"/>
    <w:rsid w:val="005222FB"/>
    <w:rsid w:val="005227AF"/>
    <w:rsid w:val="00522864"/>
    <w:rsid w:val="00522878"/>
    <w:rsid w:val="0052299D"/>
    <w:rsid w:val="005229C8"/>
    <w:rsid w:val="00523136"/>
    <w:rsid w:val="00523630"/>
    <w:rsid w:val="0052365E"/>
    <w:rsid w:val="005237D7"/>
    <w:rsid w:val="005237EC"/>
    <w:rsid w:val="00523819"/>
    <w:rsid w:val="00523BF7"/>
    <w:rsid w:val="00523C51"/>
    <w:rsid w:val="00523D49"/>
    <w:rsid w:val="005241C6"/>
    <w:rsid w:val="005249F8"/>
    <w:rsid w:val="00524AB3"/>
    <w:rsid w:val="00524BBD"/>
    <w:rsid w:val="00524BD1"/>
    <w:rsid w:val="00524C1E"/>
    <w:rsid w:val="00524E75"/>
    <w:rsid w:val="00524F56"/>
    <w:rsid w:val="00524FC2"/>
    <w:rsid w:val="005250E7"/>
    <w:rsid w:val="00525131"/>
    <w:rsid w:val="00525184"/>
    <w:rsid w:val="00525347"/>
    <w:rsid w:val="00525438"/>
    <w:rsid w:val="005254CA"/>
    <w:rsid w:val="00525652"/>
    <w:rsid w:val="00525806"/>
    <w:rsid w:val="00525830"/>
    <w:rsid w:val="00525F6E"/>
    <w:rsid w:val="005261B5"/>
    <w:rsid w:val="005261D6"/>
    <w:rsid w:val="005263FF"/>
    <w:rsid w:val="005264D8"/>
    <w:rsid w:val="00526640"/>
    <w:rsid w:val="0052668E"/>
    <w:rsid w:val="005266A2"/>
    <w:rsid w:val="005266D8"/>
    <w:rsid w:val="0052682A"/>
    <w:rsid w:val="005268F5"/>
    <w:rsid w:val="00526971"/>
    <w:rsid w:val="00526AB1"/>
    <w:rsid w:val="00526C04"/>
    <w:rsid w:val="00526CA0"/>
    <w:rsid w:val="00526CD3"/>
    <w:rsid w:val="00526CFE"/>
    <w:rsid w:val="00526FEA"/>
    <w:rsid w:val="00527026"/>
    <w:rsid w:val="0052717C"/>
    <w:rsid w:val="00527349"/>
    <w:rsid w:val="005274ED"/>
    <w:rsid w:val="005276EA"/>
    <w:rsid w:val="0052788D"/>
    <w:rsid w:val="00527ADC"/>
    <w:rsid w:val="00527C6D"/>
    <w:rsid w:val="00527C85"/>
    <w:rsid w:val="00527E07"/>
    <w:rsid w:val="00530076"/>
    <w:rsid w:val="005300AB"/>
    <w:rsid w:val="00530156"/>
    <w:rsid w:val="005303BD"/>
    <w:rsid w:val="005303FD"/>
    <w:rsid w:val="005305AF"/>
    <w:rsid w:val="0053086D"/>
    <w:rsid w:val="00530A4C"/>
    <w:rsid w:val="00530A85"/>
    <w:rsid w:val="00530E43"/>
    <w:rsid w:val="00530F3C"/>
    <w:rsid w:val="00530F4C"/>
    <w:rsid w:val="00530F50"/>
    <w:rsid w:val="00530F79"/>
    <w:rsid w:val="00531089"/>
    <w:rsid w:val="00531450"/>
    <w:rsid w:val="005315A5"/>
    <w:rsid w:val="00531884"/>
    <w:rsid w:val="005318D1"/>
    <w:rsid w:val="00531985"/>
    <w:rsid w:val="00531E9E"/>
    <w:rsid w:val="00531EA9"/>
    <w:rsid w:val="0053203C"/>
    <w:rsid w:val="0053204E"/>
    <w:rsid w:val="00532087"/>
    <w:rsid w:val="00532159"/>
    <w:rsid w:val="00532233"/>
    <w:rsid w:val="00532347"/>
    <w:rsid w:val="0053239B"/>
    <w:rsid w:val="00532702"/>
    <w:rsid w:val="00532C37"/>
    <w:rsid w:val="00532F1F"/>
    <w:rsid w:val="00532F32"/>
    <w:rsid w:val="00532F97"/>
    <w:rsid w:val="0053314E"/>
    <w:rsid w:val="005334F6"/>
    <w:rsid w:val="00533643"/>
    <w:rsid w:val="00533649"/>
    <w:rsid w:val="005336E9"/>
    <w:rsid w:val="0053381A"/>
    <w:rsid w:val="00533895"/>
    <w:rsid w:val="00533B51"/>
    <w:rsid w:val="00533D6B"/>
    <w:rsid w:val="005340C7"/>
    <w:rsid w:val="00534123"/>
    <w:rsid w:val="005342EB"/>
    <w:rsid w:val="005343EF"/>
    <w:rsid w:val="00534496"/>
    <w:rsid w:val="005348AF"/>
    <w:rsid w:val="005348F1"/>
    <w:rsid w:val="0053496D"/>
    <w:rsid w:val="00534B76"/>
    <w:rsid w:val="00534B78"/>
    <w:rsid w:val="00534BFE"/>
    <w:rsid w:val="00534C02"/>
    <w:rsid w:val="00534D8C"/>
    <w:rsid w:val="00534F32"/>
    <w:rsid w:val="00534F39"/>
    <w:rsid w:val="00534FB9"/>
    <w:rsid w:val="00535378"/>
    <w:rsid w:val="005353C4"/>
    <w:rsid w:val="00535481"/>
    <w:rsid w:val="00535629"/>
    <w:rsid w:val="0053572E"/>
    <w:rsid w:val="005357EC"/>
    <w:rsid w:val="00535D47"/>
    <w:rsid w:val="00535D9C"/>
    <w:rsid w:val="00535DBB"/>
    <w:rsid w:val="00535F1F"/>
    <w:rsid w:val="00536018"/>
    <w:rsid w:val="00536140"/>
    <w:rsid w:val="0053621E"/>
    <w:rsid w:val="00536422"/>
    <w:rsid w:val="005364D8"/>
    <w:rsid w:val="005364DC"/>
    <w:rsid w:val="00536515"/>
    <w:rsid w:val="005366A7"/>
    <w:rsid w:val="0053679E"/>
    <w:rsid w:val="005367BE"/>
    <w:rsid w:val="005367CA"/>
    <w:rsid w:val="005369EB"/>
    <w:rsid w:val="00536A45"/>
    <w:rsid w:val="00536C6C"/>
    <w:rsid w:val="005371D0"/>
    <w:rsid w:val="00537212"/>
    <w:rsid w:val="00537223"/>
    <w:rsid w:val="00537280"/>
    <w:rsid w:val="005372F2"/>
    <w:rsid w:val="0053746B"/>
    <w:rsid w:val="0053748F"/>
    <w:rsid w:val="005375BD"/>
    <w:rsid w:val="005375F5"/>
    <w:rsid w:val="0053766F"/>
    <w:rsid w:val="0053787E"/>
    <w:rsid w:val="0053798F"/>
    <w:rsid w:val="0053799E"/>
    <w:rsid w:val="005379DD"/>
    <w:rsid w:val="00537A67"/>
    <w:rsid w:val="00537AE6"/>
    <w:rsid w:val="00537AFE"/>
    <w:rsid w:val="00537B73"/>
    <w:rsid w:val="00537BCD"/>
    <w:rsid w:val="00537C01"/>
    <w:rsid w:val="00537D12"/>
    <w:rsid w:val="00537D6F"/>
    <w:rsid w:val="0054006C"/>
    <w:rsid w:val="005401AD"/>
    <w:rsid w:val="0054036C"/>
    <w:rsid w:val="00540390"/>
    <w:rsid w:val="005403D6"/>
    <w:rsid w:val="0054042A"/>
    <w:rsid w:val="0054087F"/>
    <w:rsid w:val="00540895"/>
    <w:rsid w:val="00540954"/>
    <w:rsid w:val="00540A65"/>
    <w:rsid w:val="00540AC3"/>
    <w:rsid w:val="00540D51"/>
    <w:rsid w:val="00540E1D"/>
    <w:rsid w:val="00540E4A"/>
    <w:rsid w:val="0054103F"/>
    <w:rsid w:val="0054109B"/>
    <w:rsid w:val="00541277"/>
    <w:rsid w:val="0054141E"/>
    <w:rsid w:val="00541450"/>
    <w:rsid w:val="005418FA"/>
    <w:rsid w:val="0054190F"/>
    <w:rsid w:val="005419D2"/>
    <w:rsid w:val="00541A01"/>
    <w:rsid w:val="00541BC7"/>
    <w:rsid w:val="00541C0D"/>
    <w:rsid w:val="00541EBE"/>
    <w:rsid w:val="00541EE2"/>
    <w:rsid w:val="00541FC9"/>
    <w:rsid w:val="005420EA"/>
    <w:rsid w:val="00542556"/>
    <w:rsid w:val="0054259B"/>
    <w:rsid w:val="0054261E"/>
    <w:rsid w:val="0054270A"/>
    <w:rsid w:val="00542787"/>
    <w:rsid w:val="00542808"/>
    <w:rsid w:val="005428BC"/>
    <w:rsid w:val="005429D9"/>
    <w:rsid w:val="00542AF7"/>
    <w:rsid w:val="00542C3D"/>
    <w:rsid w:val="00542D0C"/>
    <w:rsid w:val="00542F5F"/>
    <w:rsid w:val="00542F80"/>
    <w:rsid w:val="00542FDB"/>
    <w:rsid w:val="0054305D"/>
    <w:rsid w:val="005430D9"/>
    <w:rsid w:val="005431F8"/>
    <w:rsid w:val="00543358"/>
    <w:rsid w:val="00543496"/>
    <w:rsid w:val="0054353F"/>
    <w:rsid w:val="0054376A"/>
    <w:rsid w:val="00543808"/>
    <w:rsid w:val="00543A11"/>
    <w:rsid w:val="00543BE1"/>
    <w:rsid w:val="00543C0F"/>
    <w:rsid w:val="00543C86"/>
    <w:rsid w:val="00543D63"/>
    <w:rsid w:val="00543E8A"/>
    <w:rsid w:val="00543EF0"/>
    <w:rsid w:val="00543F79"/>
    <w:rsid w:val="005440E6"/>
    <w:rsid w:val="005441EC"/>
    <w:rsid w:val="00544360"/>
    <w:rsid w:val="005443D4"/>
    <w:rsid w:val="00544408"/>
    <w:rsid w:val="005448A1"/>
    <w:rsid w:val="005448F7"/>
    <w:rsid w:val="005448F8"/>
    <w:rsid w:val="00544905"/>
    <w:rsid w:val="00544A77"/>
    <w:rsid w:val="00544B52"/>
    <w:rsid w:val="00544B68"/>
    <w:rsid w:val="00544E8C"/>
    <w:rsid w:val="00544F17"/>
    <w:rsid w:val="00545073"/>
    <w:rsid w:val="00545198"/>
    <w:rsid w:val="005453B9"/>
    <w:rsid w:val="005453D8"/>
    <w:rsid w:val="005455AD"/>
    <w:rsid w:val="005455C1"/>
    <w:rsid w:val="005456A1"/>
    <w:rsid w:val="005456B0"/>
    <w:rsid w:val="005456BD"/>
    <w:rsid w:val="005459C1"/>
    <w:rsid w:val="00545AAC"/>
    <w:rsid w:val="00545B55"/>
    <w:rsid w:val="00545DAB"/>
    <w:rsid w:val="00545F7F"/>
    <w:rsid w:val="0054609E"/>
    <w:rsid w:val="00546150"/>
    <w:rsid w:val="0054631A"/>
    <w:rsid w:val="00546325"/>
    <w:rsid w:val="005464CB"/>
    <w:rsid w:val="00546511"/>
    <w:rsid w:val="0054680A"/>
    <w:rsid w:val="005468BE"/>
    <w:rsid w:val="005468E9"/>
    <w:rsid w:val="00546954"/>
    <w:rsid w:val="00546999"/>
    <w:rsid w:val="00546C87"/>
    <w:rsid w:val="00546F45"/>
    <w:rsid w:val="00546FF8"/>
    <w:rsid w:val="00547025"/>
    <w:rsid w:val="005470F7"/>
    <w:rsid w:val="00547281"/>
    <w:rsid w:val="00547313"/>
    <w:rsid w:val="00547464"/>
    <w:rsid w:val="00547639"/>
    <w:rsid w:val="00547696"/>
    <w:rsid w:val="00547C03"/>
    <w:rsid w:val="00547EB6"/>
    <w:rsid w:val="0055013B"/>
    <w:rsid w:val="005501D9"/>
    <w:rsid w:val="00550240"/>
    <w:rsid w:val="005504AB"/>
    <w:rsid w:val="0055053C"/>
    <w:rsid w:val="00550568"/>
    <w:rsid w:val="00550659"/>
    <w:rsid w:val="00550B3B"/>
    <w:rsid w:val="00550BC0"/>
    <w:rsid w:val="00550C88"/>
    <w:rsid w:val="00550CD8"/>
    <w:rsid w:val="00550FC3"/>
    <w:rsid w:val="00551117"/>
    <w:rsid w:val="0055119D"/>
    <w:rsid w:val="00551304"/>
    <w:rsid w:val="00551458"/>
    <w:rsid w:val="0055157B"/>
    <w:rsid w:val="0055158D"/>
    <w:rsid w:val="0055192C"/>
    <w:rsid w:val="00551CB9"/>
    <w:rsid w:val="00551EB0"/>
    <w:rsid w:val="00551F1E"/>
    <w:rsid w:val="00551F70"/>
    <w:rsid w:val="00552103"/>
    <w:rsid w:val="005523D9"/>
    <w:rsid w:val="00552463"/>
    <w:rsid w:val="005527A2"/>
    <w:rsid w:val="0055285C"/>
    <w:rsid w:val="0055289B"/>
    <w:rsid w:val="0055299D"/>
    <w:rsid w:val="00552D58"/>
    <w:rsid w:val="00552D8C"/>
    <w:rsid w:val="00552E91"/>
    <w:rsid w:val="00552EFD"/>
    <w:rsid w:val="00552FE4"/>
    <w:rsid w:val="00552FF7"/>
    <w:rsid w:val="005530A9"/>
    <w:rsid w:val="005530F1"/>
    <w:rsid w:val="005531B7"/>
    <w:rsid w:val="005532FB"/>
    <w:rsid w:val="00553712"/>
    <w:rsid w:val="005537E4"/>
    <w:rsid w:val="00553887"/>
    <w:rsid w:val="00553AB8"/>
    <w:rsid w:val="00553AFD"/>
    <w:rsid w:val="00553BE7"/>
    <w:rsid w:val="00553DBB"/>
    <w:rsid w:val="00553F41"/>
    <w:rsid w:val="00553FC6"/>
    <w:rsid w:val="0055419E"/>
    <w:rsid w:val="00554421"/>
    <w:rsid w:val="00554525"/>
    <w:rsid w:val="005545F9"/>
    <w:rsid w:val="0055467A"/>
    <w:rsid w:val="0055471C"/>
    <w:rsid w:val="00554817"/>
    <w:rsid w:val="005548DD"/>
    <w:rsid w:val="005548EB"/>
    <w:rsid w:val="005549CA"/>
    <w:rsid w:val="00554AF3"/>
    <w:rsid w:val="00554B11"/>
    <w:rsid w:val="00554BD5"/>
    <w:rsid w:val="00554C62"/>
    <w:rsid w:val="00554D00"/>
    <w:rsid w:val="00554D3F"/>
    <w:rsid w:val="00554EB2"/>
    <w:rsid w:val="00554F0A"/>
    <w:rsid w:val="00554F65"/>
    <w:rsid w:val="0055500D"/>
    <w:rsid w:val="005550FC"/>
    <w:rsid w:val="0055521C"/>
    <w:rsid w:val="00555564"/>
    <w:rsid w:val="0055565B"/>
    <w:rsid w:val="00555726"/>
    <w:rsid w:val="005559F6"/>
    <w:rsid w:val="00555A24"/>
    <w:rsid w:val="00555A9F"/>
    <w:rsid w:val="00555CBB"/>
    <w:rsid w:val="00555D54"/>
    <w:rsid w:val="0055602D"/>
    <w:rsid w:val="00556386"/>
    <w:rsid w:val="0055641E"/>
    <w:rsid w:val="0055673D"/>
    <w:rsid w:val="005567F6"/>
    <w:rsid w:val="00556C89"/>
    <w:rsid w:val="00556DF8"/>
    <w:rsid w:val="0055727D"/>
    <w:rsid w:val="005572F6"/>
    <w:rsid w:val="005573DC"/>
    <w:rsid w:val="00557526"/>
    <w:rsid w:val="0055774A"/>
    <w:rsid w:val="0055781C"/>
    <w:rsid w:val="00557930"/>
    <w:rsid w:val="0055793B"/>
    <w:rsid w:val="00557960"/>
    <w:rsid w:val="00557988"/>
    <w:rsid w:val="00557A71"/>
    <w:rsid w:val="00557B96"/>
    <w:rsid w:val="00557BA8"/>
    <w:rsid w:val="00557D3D"/>
    <w:rsid w:val="00557F4A"/>
    <w:rsid w:val="005600C7"/>
    <w:rsid w:val="0056017C"/>
    <w:rsid w:val="0056034E"/>
    <w:rsid w:val="00560425"/>
    <w:rsid w:val="00560488"/>
    <w:rsid w:val="00560647"/>
    <w:rsid w:val="00560922"/>
    <w:rsid w:val="00560B5E"/>
    <w:rsid w:val="00560BE0"/>
    <w:rsid w:val="00560BE5"/>
    <w:rsid w:val="00560CF0"/>
    <w:rsid w:val="00560DCC"/>
    <w:rsid w:val="00560DEC"/>
    <w:rsid w:val="00560FBD"/>
    <w:rsid w:val="005611D5"/>
    <w:rsid w:val="0056130E"/>
    <w:rsid w:val="005614D3"/>
    <w:rsid w:val="00561558"/>
    <w:rsid w:val="0056158F"/>
    <w:rsid w:val="005616B1"/>
    <w:rsid w:val="005616FE"/>
    <w:rsid w:val="00561784"/>
    <w:rsid w:val="00561845"/>
    <w:rsid w:val="0056192E"/>
    <w:rsid w:val="00561AE8"/>
    <w:rsid w:val="00561B50"/>
    <w:rsid w:val="00561C1A"/>
    <w:rsid w:val="00561C1C"/>
    <w:rsid w:val="00561D80"/>
    <w:rsid w:val="00561E68"/>
    <w:rsid w:val="00561FBB"/>
    <w:rsid w:val="005620D0"/>
    <w:rsid w:val="00562135"/>
    <w:rsid w:val="0056218E"/>
    <w:rsid w:val="00562273"/>
    <w:rsid w:val="00562310"/>
    <w:rsid w:val="005629BF"/>
    <w:rsid w:val="005629FE"/>
    <w:rsid w:val="00562B10"/>
    <w:rsid w:val="00562B1A"/>
    <w:rsid w:val="00562BBF"/>
    <w:rsid w:val="00562D48"/>
    <w:rsid w:val="00562F26"/>
    <w:rsid w:val="005632EE"/>
    <w:rsid w:val="0056346A"/>
    <w:rsid w:val="0056347C"/>
    <w:rsid w:val="00563583"/>
    <w:rsid w:val="005636B7"/>
    <w:rsid w:val="0056384F"/>
    <w:rsid w:val="00563A94"/>
    <w:rsid w:val="00563B13"/>
    <w:rsid w:val="00563B32"/>
    <w:rsid w:val="00563C07"/>
    <w:rsid w:val="00563C32"/>
    <w:rsid w:val="0056407D"/>
    <w:rsid w:val="00564149"/>
    <w:rsid w:val="00564238"/>
    <w:rsid w:val="0056438F"/>
    <w:rsid w:val="0056447E"/>
    <w:rsid w:val="005645BD"/>
    <w:rsid w:val="0056463E"/>
    <w:rsid w:val="0056477C"/>
    <w:rsid w:val="005647FE"/>
    <w:rsid w:val="005649DD"/>
    <w:rsid w:val="00564AE1"/>
    <w:rsid w:val="00564B06"/>
    <w:rsid w:val="00564CA7"/>
    <w:rsid w:val="00564D0C"/>
    <w:rsid w:val="00564D4C"/>
    <w:rsid w:val="00564DFC"/>
    <w:rsid w:val="00564E48"/>
    <w:rsid w:val="00564ECD"/>
    <w:rsid w:val="00564F4E"/>
    <w:rsid w:val="00565023"/>
    <w:rsid w:val="0056515D"/>
    <w:rsid w:val="0056540B"/>
    <w:rsid w:val="005654CD"/>
    <w:rsid w:val="005654E5"/>
    <w:rsid w:val="00565FE0"/>
    <w:rsid w:val="00566311"/>
    <w:rsid w:val="00566356"/>
    <w:rsid w:val="00566368"/>
    <w:rsid w:val="00566373"/>
    <w:rsid w:val="0056652A"/>
    <w:rsid w:val="005666D2"/>
    <w:rsid w:val="0056676F"/>
    <w:rsid w:val="005667B9"/>
    <w:rsid w:val="005667FC"/>
    <w:rsid w:val="005668E8"/>
    <w:rsid w:val="00566B67"/>
    <w:rsid w:val="00566B7E"/>
    <w:rsid w:val="00566BEA"/>
    <w:rsid w:val="00566C5F"/>
    <w:rsid w:val="00566D65"/>
    <w:rsid w:val="00566E05"/>
    <w:rsid w:val="00566E51"/>
    <w:rsid w:val="00566E98"/>
    <w:rsid w:val="00567052"/>
    <w:rsid w:val="0056708E"/>
    <w:rsid w:val="00567132"/>
    <w:rsid w:val="005671A8"/>
    <w:rsid w:val="0056738B"/>
    <w:rsid w:val="0056755E"/>
    <w:rsid w:val="00567721"/>
    <w:rsid w:val="005677ED"/>
    <w:rsid w:val="00567955"/>
    <w:rsid w:val="005679C8"/>
    <w:rsid w:val="00567C8A"/>
    <w:rsid w:val="00567CD7"/>
    <w:rsid w:val="005700C4"/>
    <w:rsid w:val="005702C0"/>
    <w:rsid w:val="005702D3"/>
    <w:rsid w:val="005703E5"/>
    <w:rsid w:val="00570403"/>
    <w:rsid w:val="00570557"/>
    <w:rsid w:val="00570594"/>
    <w:rsid w:val="00570ACB"/>
    <w:rsid w:val="00570AE6"/>
    <w:rsid w:val="00570BEF"/>
    <w:rsid w:val="00570DC4"/>
    <w:rsid w:val="00570E9C"/>
    <w:rsid w:val="00571088"/>
    <w:rsid w:val="0057109F"/>
    <w:rsid w:val="005710E0"/>
    <w:rsid w:val="00571252"/>
    <w:rsid w:val="005712CC"/>
    <w:rsid w:val="0057139B"/>
    <w:rsid w:val="00571424"/>
    <w:rsid w:val="0057148F"/>
    <w:rsid w:val="005714C0"/>
    <w:rsid w:val="0057157A"/>
    <w:rsid w:val="0057159E"/>
    <w:rsid w:val="005716A0"/>
    <w:rsid w:val="00571873"/>
    <w:rsid w:val="00571882"/>
    <w:rsid w:val="0057190B"/>
    <w:rsid w:val="0057197E"/>
    <w:rsid w:val="00571A99"/>
    <w:rsid w:val="00571AF6"/>
    <w:rsid w:val="00571C26"/>
    <w:rsid w:val="00571C70"/>
    <w:rsid w:val="00571C7C"/>
    <w:rsid w:val="00571D44"/>
    <w:rsid w:val="00571E73"/>
    <w:rsid w:val="00571F0F"/>
    <w:rsid w:val="00572185"/>
    <w:rsid w:val="00572189"/>
    <w:rsid w:val="00572406"/>
    <w:rsid w:val="0057242D"/>
    <w:rsid w:val="005724BF"/>
    <w:rsid w:val="00572587"/>
    <w:rsid w:val="005725FC"/>
    <w:rsid w:val="0057260F"/>
    <w:rsid w:val="005727BB"/>
    <w:rsid w:val="005728D0"/>
    <w:rsid w:val="005729AC"/>
    <w:rsid w:val="00572B52"/>
    <w:rsid w:val="00572B78"/>
    <w:rsid w:val="00572C80"/>
    <w:rsid w:val="00572DAD"/>
    <w:rsid w:val="00572F19"/>
    <w:rsid w:val="00572FFC"/>
    <w:rsid w:val="005732D9"/>
    <w:rsid w:val="00573307"/>
    <w:rsid w:val="00573388"/>
    <w:rsid w:val="00573399"/>
    <w:rsid w:val="005733B9"/>
    <w:rsid w:val="005733CD"/>
    <w:rsid w:val="0057356D"/>
    <w:rsid w:val="005736A3"/>
    <w:rsid w:val="005738C5"/>
    <w:rsid w:val="00573904"/>
    <w:rsid w:val="005739E0"/>
    <w:rsid w:val="005739F8"/>
    <w:rsid w:val="00573B35"/>
    <w:rsid w:val="00573BA8"/>
    <w:rsid w:val="00573BF5"/>
    <w:rsid w:val="00573D2A"/>
    <w:rsid w:val="00573E15"/>
    <w:rsid w:val="00573EEC"/>
    <w:rsid w:val="00573F3E"/>
    <w:rsid w:val="00573F5F"/>
    <w:rsid w:val="00573F7C"/>
    <w:rsid w:val="00573FDC"/>
    <w:rsid w:val="005742A2"/>
    <w:rsid w:val="005744F2"/>
    <w:rsid w:val="0057483F"/>
    <w:rsid w:val="005748B5"/>
    <w:rsid w:val="00574C03"/>
    <w:rsid w:val="00574C55"/>
    <w:rsid w:val="00574E8F"/>
    <w:rsid w:val="005751DC"/>
    <w:rsid w:val="005751DE"/>
    <w:rsid w:val="005757E3"/>
    <w:rsid w:val="00575827"/>
    <w:rsid w:val="005759A8"/>
    <w:rsid w:val="00575A8E"/>
    <w:rsid w:val="00575B1E"/>
    <w:rsid w:val="00575BDF"/>
    <w:rsid w:val="00575C37"/>
    <w:rsid w:val="00575C40"/>
    <w:rsid w:val="00575C77"/>
    <w:rsid w:val="0057601B"/>
    <w:rsid w:val="00576176"/>
    <w:rsid w:val="005762F1"/>
    <w:rsid w:val="0057632D"/>
    <w:rsid w:val="005763D2"/>
    <w:rsid w:val="005764FF"/>
    <w:rsid w:val="005766A6"/>
    <w:rsid w:val="00576931"/>
    <w:rsid w:val="00576AFB"/>
    <w:rsid w:val="00576BC9"/>
    <w:rsid w:val="00576DB3"/>
    <w:rsid w:val="00576E24"/>
    <w:rsid w:val="00576E2C"/>
    <w:rsid w:val="00576E33"/>
    <w:rsid w:val="00576ED9"/>
    <w:rsid w:val="005770E2"/>
    <w:rsid w:val="005771AB"/>
    <w:rsid w:val="00577261"/>
    <w:rsid w:val="00577301"/>
    <w:rsid w:val="005773B7"/>
    <w:rsid w:val="00577491"/>
    <w:rsid w:val="005774CD"/>
    <w:rsid w:val="00577670"/>
    <w:rsid w:val="005776E6"/>
    <w:rsid w:val="00577722"/>
    <w:rsid w:val="00577778"/>
    <w:rsid w:val="005777DD"/>
    <w:rsid w:val="00577841"/>
    <w:rsid w:val="005779B1"/>
    <w:rsid w:val="00577A6B"/>
    <w:rsid w:val="00577EFE"/>
    <w:rsid w:val="00580027"/>
    <w:rsid w:val="00580093"/>
    <w:rsid w:val="00580104"/>
    <w:rsid w:val="00580160"/>
    <w:rsid w:val="00580161"/>
    <w:rsid w:val="0058017D"/>
    <w:rsid w:val="005803AE"/>
    <w:rsid w:val="00580479"/>
    <w:rsid w:val="005806B1"/>
    <w:rsid w:val="0058074E"/>
    <w:rsid w:val="00580778"/>
    <w:rsid w:val="00580B6C"/>
    <w:rsid w:val="00580BBC"/>
    <w:rsid w:val="00580BFE"/>
    <w:rsid w:val="00580C99"/>
    <w:rsid w:val="00580D44"/>
    <w:rsid w:val="00580DFB"/>
    <w:rsid w:val="0058126F"/>
    <w:rsid w:val="005812F4"/>
    <w:rsid w:val="005816B7"/>
    <w:rsid w:val="0058172E"/>
    <w:rsid w:val="005817C1"/>
    <w:rsid w:val="00581A30"/>
    <w:rsid w:val="00581A8B"/>
    <w:rsid w:val="00581B49"/>
    <w:rsid w:val="00581D46"/>
    <w:rsid w:val="00581D93"/>
    <w:rsid w:val="00581DA6"/>
    <w:rsid w:val="00581DE0"/>
    <w:rsid w:val="00581DEA"/>
    <w:rsid w:val="00581E7E"/>
    <w:rsid w:val="00581F09"/>
    <w:rsid w:val="00581FC8"/>
    <w:rsid w:val="005823FF"/>
    <w:rsid w:val="00582538"/>
    <w:rsid w:val="005825F2"/>
    <w:rsid w:val="005826E9"/>
    <w:rsid w:val="005827C8"/>
    <w:rsid w:val="005827E8"/>
    <w:rsid w:val="005828AF"/>
    <w:rsid w:val="00582B36"/>
    <w:rsid w:val="00582D43"/>
    <w:rsid w:val="00582D65"/>
    <w:rsid w:val="00582E88"/>
    <w:rsid w:val="0058303B"/>
    <w:rsid w:val="00583045"/>
    <w:rsid w:val="00583120"/>
    <w:rsid w:val="005832A1"/>
    <w:rsid w:val="005832DA"/>
    <w:rsid w:val="005833C4"/>
    <w:rsid w:val="0058341B"/>
    <w:rsid w:val="005836E7"/>
    <w:rsid w:val="00583718"/>
    <w:rsid w:val="0058372D"/>
    <w:rsid w:val="005838BC"/>
    <w:rsid w:val="00583A6F"/>
    <w:rsid w:val="00583B20"/>
    <w:rsid w:val="00583B8B"/>
    <w:rsid w:val="00583BEA"/>
    <w:rsid w:val="00583C31"/>
    <w:rsid w:val="00583CA9"/>
    <w:rsid w:val="00583E2B"/>
    <w:rsid w:val="00583E4A"/>
    <w:rsid w:val="00583EA9"/>
    <w:rsid w:val="00583F2E"/>
    <w:rsid w:val="00583F74"/>
    <w:rsid w:val="00584145"/>
    <w:rsid w:val="00584164"/>
    <w:rsid w:val="00584262"/>
    <w:rsid w:val="00584320"/>
    <w:rsid w:val="0058432A"/>
    <w:rsid w:val="00584437"/>
    <w:rsid w:val="005844B7"/>
    <w:rsid w:val="005846EB"/>
    <w:rsid w:val="00584875"/>
    <w:rsid w:val="005848B3"/>
    <w:rsid w:val="00584932"/>
    <w:rsid w:val="00584A23"/>
    <w:rsid w:val="00584B70"/>
    <w:rsid w:val="00584BA5"/>
    <w:rsid w:val="00584C9E"/>
    <w:rsid w:val="00584E04"/>
    <w:rsid w:val="00584E28"/>
    <w:rsid w:val="00584F8F"/>
    <w:rsid w:val="00585292"/>
    <w:rsid w:val="005853DA"/>
    <w:rsid w:val="00585467"/>
    <w:rsid w:val="005854B5"/>
    <w:rsid w:val="00585545"/>
    <w:rsid w:val="005857C6"/>
    <w:rsid w:val="0058584A"/>
    <w:rsid w:val="00585952"/>
    <w:rsid w:val="00585ABE"/>
    <w:rsid w:val="00585AE6"/>
    <w:rsid w:val="00585BA9"/>
    <w:rsid w:val="00585BEC"/>
    <w:rsid w:val="00585C29"/>
    <w:rsid w:val="00585CD1"/>
    <w:rsid w:val="00585E4F"/>
    <w:rsid w:val="00585F27"/>
    <w:rsid w:val="00585F62"/>
    <w:rsid w:val="00586335"/>
    <w:rsid w:val="00586519"/>
    <w:rsid w:val="00586589"/>
    <w:rsid w:val="00586813"/>
    <w:rsid w:val="00586A64"/>
    <w:rsid w:val="00586AB3"/>
    <w:rsid w:val="00586B70"/>
    <w:rsid w:val="00586CB5"/>
    <w:rsid w:val="00586D9F"/>
    <w:rsid w:val="00586F86"/>
    <w:rsid w:val="00587016"/>
    <w:rsid w:val="0058715C"/>
    <w:rsid w:val="0058726F"/>
    <w:rsid w:val="005873A8"/>
    <w:rsid w:val="00587935"/>
    <w:rsid w:val="005879DB"/>
    <w:rsid w:val="00587AEA"/>
    <w:rsid w:val="00587C8E"/>
    <w:rsid w:val="00587D60"/>
    <w:rsid w:val="00587EC0"/>
    <w:rsid w:val="00587EDC"/>
    <w:rsid w:val="00587F07"/>
    <w:rsid w:val="00587FA7"/>
    <w:rsid w:val="00587FDF"/>
    <w:rsid w:val="00590078"/>
    <w:rsid w:val="0059008D"/>
    <w:rsid w:val="0059008F"/>
    <w:rsid w:val="005901C9"/>
    <w:rsid w:val="005901DD"/>
    <w:rsid w:val="005905C7"/>
    <w:rsid w:val="00590A50"/>
    <w:rsid w:val="00590C43"/>
    <w:rsid w:val="00590F9A"/>
    <w:rsid w:val="00591030"/>
    <w:rsid w:val="00591168"/>
    <w:rsid w:val="00591197"/>
    <w:rsid w:val="0059126C"/>
    <w:rsid w:val="0059127B"/>
    <w:rsid w:val="0059130A"/>
    <w:rsid w:val="00591336"/>
    <w:rsid w:val="005913FE"/>
    <w:rsid w:val="00591445"/>
    <w:rsid w:val="00591459"/>
    <w:rsid w:val="00591491"/>
    <w:rsid w:val="0059149A"/>
    <w:rsid w:val="00591592"/>
    <w:rsid w:val="0059163C"/>
    <w:rsid w:val="00591676"/>
    <w:rsid w:val="005917E4"/>
    <w:rsid w:val="00591844"/>
    <w:rsid w:val="0059191E"/>
    <w:rsid w:val="00591B4D"/>
    <w:rsid w:val="00591C14"/>
    <w:rsid w:val="00591DD8"/>
    <w:rsid w:val="00591E34"/>
    <w:rsid w:val="00592111"/>
    <w:rsid w:val="00592158"/>
    <w:rsid w:val="0059226A"/>
    <w:rsid w:val="00592296"/>
    <w:rsid w:val="0059258B"/>
    <w:rsid w:val="005925DA"/>
    <w:rsid w:val="005929D7"/>
    <w:rsid w:val="00592AD9"/>
    <w:rsid w:val="00592CCD"/>
    <w:rsid w:val="00592DD3"/>
    <w:rsid w:val="00592E14"/>
    <w:rsid w:val="00592F54"/>
    <w:rsid w:val="00593138"/>
    <w:rsid w:val="005933DB"/>
    <w:rsid w:val="00593669"/>
    <w:rsid w:val="0059379D"/>
    <w:rsid w:val="00593971"/>
    <w:rsid w:val="005939A8"/>
    <w:rsid w:val="00593A6C"/>
    <w:rsid w:val="00593B8F"/>
    <w:rsid w:val="00593D67"/>
    <w:rsid w:val="00593F06"/>
    <w:rsid w:val="00593F31"/>
    <w:rsid w:val="00593FC3"/>
    <w:rsid w:val="0059404D"/>
    <w:rsid w:val="005941B5"/>
    <w:rsid w:val="005942FB"/>
    <w:rsid w:val="00594307"/>
    <w:rsid w:val="0059431C"/>
    <w:rsid w:val="00594469"/>
    <w:rsid w:val="005944AC"/>
    <w:rsid w:val="00594507"/>
    <w:rsid w:val="005945CE"/>
    <w:rsid w:val="005946CA"/>
    <w:rsid w:val="00594813"/>
    <w:rsid w:val="00594815"/>
    <w:rsid w:val="00594903"/>
    <w:rsid w:val="0059494D"/>
    <w:rsid w:val="00594A95"/>
    <w:rsid w:val="00594AA3"/>
    <w:rsid w:val="00594AAE"/>
    <w:rsid w:val="00594AB0"/>
    <w:rsid w:val="00594ABC"/>
    <w:rsid w:val="00594C9D"/>
    <w:rsid w:val="00594CFE"/>
    <w:rsid w:val="00594E52"/>
    <w:rsid w:val="00594F60"/>
    <w:rsid w:val="00595099"/>
    <w:rsid w:val="00595223"/>
    <w:rsid w:val="00595341"/>
    <w:rsid w:val="0059536A"/>
    <w:rsid w:val="0059551E"/>
    <w:rsid w:val="0059553E"/>
    <w:rsid w:val="005955D3"/>
    <w:rsid w:val="005956D0"/>
    <w:rsid w:val="0059573F"/>
    <w:rsid w:val="00595C38"/>
    <w:rsid w:val="00595ECB"/>
    <w:rsid w:val="00595F05"/>
    <w:rsid w:val="00595F21"/>
    <w:rsid w:val="00595FC8"/>
    <w:rsid w:val="005960D7"/>
    <w:rsid w:val="0059612C"/>
    <w:rsid w:val="0059628A"/>
    <w:rsid w:val="00596669"/>
    <w:rsid w:val="005968FF"/>
    <w:rsid w:val="005969C3"/>
    <w:rsid w:val="00596A85"/>
    <w:rsid w:val="00596B25"/>
    <w:rsid w:val="00596E1D"/>
    <w:rsid w:val="00596EAB"/>
    <w:rsid w:val="00597025"/>
    <w:rsid w:val="0059722B"/>
    <w:rsid w:val="00597351"/>
    <w:rsid w:val="005975BC"/>
    <w:rsid w:val="005976AB"/>
    <w:rsid w:val="005976DD"/>
    <w:rsid w:val="00597757"/>
    <w:rsid w:val="0059779C"/>
    <w:rsid w:val="005977BC"/>
    <w:rsid w:val="00597891"/>
    <w:rsid w:val="005978B6"/>
    <w:rsid w:val="00597934"/>
    <w:rsid w:val="005979B3"/>
    <w:rsid w:val="00597A42"/>
    <w:rsid w:val="00597A87"/>
    <w:rsid w:val="00597B28"/>
    <w:rsid w:val="00597B40"/>
    <w:rsid w:val="00597E52"/>
    <w:rsid w:val="005A00C6"/>
    <w:rsid w:val="005A0198"/>
    <w:rsid w:val="005A0266"/>
    <w:rsid w:val="005A03B2"/>
    <w:rsid w:val="005A05DC"/>
    <w:rsid w:val="005A0686"/>
    <w:rsid w:val="005A079E"/>
    <w:rsid w:val="005A0B2D"/>
    <w:rsid w:val="005A0B56"/>
    <w:rsid w:val="005A0BE1"/>
    <w:rsid w:val="005A0C5A"/>
    <w:rsid w:val="005A0F76"/>
    <w:rsid w:val="005A10B5"/>
    <w:rsid w:val="005A10D0"/>
    <w:rsid w:val="005A1340"/>
    <w:rsid w:val="005A1418"/>
    <w:rsid w:val="005A15F9"/>
    <w:rsid w:val="005A1698"/>
    <w:rsid w:val="005A1819"/>
    <w:rsid w:val="005A19EB"/>
    <w:rsid w:val="005A1A5C"/>
    <w:rsid w:val="005A1A68"/>
    <w:rsid w:val="005A1ACA"/>
    <w:rsid w:val="005A1B1B"/>
    <w:rsid w:val="005A1BCB"/>
    <w:rsid w:val="005A1F4E"/>
    <w:rsid w:val="005A1F51"/>
    <w:rsid w:val="005A2005"/>
    <w:rsid w:val="005A216E"/>
    <w:rsid w:val="005A21E3"/>
    <w:rsid w:val="005A235C"/>
    <w:rsid w:val="005A2643"/>
    <w:rsid w:val="005A2774"/>
    <w:rsid w:val="005A27B4"/>
    <w:rsid w:val="005A2852"/>
    <w:rsid w:val="005A2C10"/>
    <w:rsid w:val="005A3061"/>
    <w:rsid w:val="005A3109"/>
    <w:rsid w:val="005A391C"/>
    <w:rsid w:val="005A3971"/>
    <w:rsid w:val="005A3D9D"/>
    <w:rsid w:val="005A3DE9"/>
    <w:rsid w:val="005A4334"/>
    <w:rsid w:val="005A44BC"/>
    <w:rsid w:val="005A4527"/>
    <w:rsid w:val="005A468E"/>
    <w:rsid w:val="005A46C6"/>
    <w:rsid w:val="005A4714"/>
    <w:rsid w:val="005A47AA"/>
    <w:rsid w:val="005A47AF"/>
    <w:rsid w:val="005A492B"/>
    <w:rsid w:val="005A4950"/>
    <w:rsid w:val="005A49BA"/>
    <w:rsid w:val="005A4B72"/>
    <w:rsid w:val="005A4C7C"/>
    <w:rsid w:val="005A4FEA"/>
    <w:rsid w:val="005A505F"/>
    <w:rsid w:val="005A52D2"/>
    <w:rsid w:val="005A5572"/>
    <w:rsid w:val="005A55B7"/>
    <w:rsid w:val="005A56F4"/>
    <w:rsid w:val="005A572D"/>
    <w:rsid w:val="005A57EB"/>
    <w:rsid w:val="005A582C"/>
    <w:rsid w:val="005A591D"/>
    <w:rsid w:val="005A5A53"/>
    <w:rsid w:val="005A5ABD"/>
    <w:rsid w:val="005A5B03"/>
    <w:rsid w:val="005A5C28"/>
    <w:rsid w:val="005A5D42"/>
    <w:rsid w:val="005A609A"/>
    <w:rsid w:val="005A62D1"/>
    <w:rsid w:val="005A63E2"/>
    <w:rsid w:val="005A6642"/>
    <w:rsid w:val="005A66DC"/>
    <w:rsid w:val="005A6899"/>
    <w:rsid w:val="005A68B9"/>
    <w:rsid w:val="005A6954"/>
    <w:rsid w:val="005A69F2"/>
    <w:rsid w:val="005A6BC5"/>
    <w:rsid w:val="005A6C6A"/>
    <w:rsid w:val="005A6C6B"/>
    <w:rsid w:val="005A6DA8"/>
    <w:rsid w:val="005A6E7D"/>
    <w:rsid w:val="005A6E98"/>
    <w:rsid w:val="005A6EBC"/>
    <w:rsid w:val="005A7010"/>
    <w:rsid w:val="005A71BC"/>
    <w:rsid w:val="005A7400"/>
    <w:rsid w:val="005A769D"/>
    <w:rsid w:val="005A76C0"/>
    <w:rsid w:val="005A7886"/>
    <w:rsid w:val="005A78F8"/>
    <w:rsid w:val="005A7905"/>
    <w:rsid w:val="005A79FC"/>
    <w:rsid w:val="005A7B10"/>
    <w:rsid w:val="005A7B42"/>
    <w:rsid w:val="005A7BA5"/>
    <w:rsid w:val="005A7C28"/>
    <w:rsid w:val="005A7CB5"/>
    <w:rsid w:val="005A7F30"/>
    <w:rsid w:val="005B01B9"/>
    <w:rsid w:val="005B0570"/>
    <w:rsid w:val="005B0888"/>
    <w:rsid w:val="005B0926"/>
    <w:rsid w:val="005B0952"/>
    <w:rsid w:val="005B09E2"/>
    <w:rsid w:val="005B0A08"/>
    <w:rsid w:val="005B0AF8"/>
    <w:rsid w:val="005B0CA2"/>
    <w:rsid w:val="005B0E04"/>
    <w:rsid w:val="005B0E3C"/>
    <w:rsid w:val="005B1030"/>
    <w:rsid w:val="005B1169"/>
    <w:rsid w:val="005B11D3"/>
    <w:rsid w:val="005B1213"/>
    <w:rsid w:val="005B134E"/>
    <w:rsid w:val="005B13BF"/>
    <w:rsid w:val="005B1448"/>
    <w:rsid w:val="005B1500"/>
    <w:rsid w:val="005B15BE"/>
    <w:rsid w:val="005B1622"/>
    <w:rsid w:val="005B183F"/>
    <w:rsid w:val="005B1947"/>
    <w:rsid w:val="005B1A13"/>
    <w:rsid w:val="005B1A9C"/>
    <w:rsid w:val="005B1CE4"/>
    <w:rsid w:val="005B1DC3"/>
    <w:rsid w:val="005B1E46"/>
    <w:rsid w:val="005B1EEB"/>
    <w:rsid w:val="005B2001"/>
    <w:rsid w:val="005B207F"/>
    <w:rsid w:val="005B2358"/>
    <w:rsid w:val="005B24E1"/>
    <w:rsid w:val="005B2510"/>
    <w:rsid w:val="005B288A"/>
    <w:rsid w:val="005B2A98"/>
    <w:rsid w:val="005B2B14"/>
    <w:rsid w:val="005B2B49"/>
    <w:rsid w:val="005B2BAB"/>
    <w:rsid w:val="005B2BFE"/>
    <w:rsid w:val="005B2FDB"/>
    <w:rsid w:val="005B319B"/>
    <w:rsid w:val="005B32A6"/>
    <w:rsid w:val="005B32E0"/>
    <w:rsid w:val="005B3317"/>
    <w:rsid w:val="005B3456"/>
    <w:rsid w:val="005B3479"/>
    <w:rsid w:val="005B34B5"/>
    <w:rsid w:val="005B3540"/>
    <w:rsid w:val="005B360C"/>
    <w:rsid w:val="005B360E"/>
    <w:rsid w:val="005B36E1"/>
    <w:rsid w:val="005B388F"/>
    <w:rsid w:val="005B390E"/>
    <w:rsid w:val="005B399F"/>
    <w:rsid w:val="005B3AAC"/>
    <w:rsid w:val="005B3AB9"/>
    <w:rsid w:val="005B3BEB"/>
    <w:rsid w:val="005B3C33"/>
    <w:rsid w:val="005B3E0A"/>
    <w:rsid w:val="005B3E86"/>
    <w:rsid w:val="005B3EBD"/>
    <w:rsid w:val="005B3F65"/>
    <w:rsid w:val="005B406A"/>
    <w:rsid w:val="005B40DD"/>
    <w:rsid w:val="005B411C"/>
    <w:rsid w:val="005B41BB"/>
    <w:rsid w:val="005B441E"/>
    <w:rsid w:val="005B4664"/>
    <w:rsid w:val="005B4769"/>
    <w:rsid w:val="005B4835"/>
    <w:rsid w:val="005B4B48"/>
    <w:rsid w:val="005B4CFD"/>
    <w:rsid w:val="005B515B"/>
    <w:rsid w:val="005B5195"/>
    <w:rsid w:val="005B5317"/>
    <w:rsid w:val="005B55F6"/>
    <w:rsid w:val="005B5757"/>
    <w:rsid w:val="005B57C9"/>
    <w:rsid w:val="005B58F9"/>
    <w:rsid w:val="005B5A56"/>
    <w:rsid w:val="005B5DD3"/>
    <w:rsid w:val="005B5E99"/>
    <w:rsid w:val="005B603C"/>
    <w:rsid w:val="005B6264"/>
    <w:rsid w:val="005B6517"/>
    <w:rsid w:val="005B6669"/>
    <w:rsid w:val="005B6797"/>
    <w:rsid w:val="005B67B1"/>
    <w:rsid w:val="005B68FA"/>
    <w:rsid w:val="005B6CB8"/>
    <w:rsid w:val="005B6CE9"/>
    <w:rsid w:val="005B6F18"/>
    <w:rsid w:val="005B6F7F"/>
    <w:rsid w:val="005B700D"/>
    <w:rsid w:val="005B7088"/>
    <w:rsid w:val="005B723C"/>
    <w:rsid w:val="005B72A9"/>
    <w:rsid w:val="005B7345"/>
    <w:rsid w:val="005B7653"/>
    <w:rsid w:val="005B7681"/>
    <w:rsid w:val="005B7756"/>
    <w:rsid w:val="005B776A"/>
    <w:rsid w:val="005B78E1"/>
    <w:rsid w:val="005B7919"/>
    <w:rsid w:val="005B7C77"/>
    <w:rsid w:val="005B7CBF"/>
    <w:rsid w:val="005B7D8F"/>
    <w:rsid w:val="005B7EC2"/>
    <w:rsid w:val="005C02C7"/>
    <w:rsid w:val="005C02E7"/>
    <w:rsid w:val="005C0586"/>
    <w:rsid w:val="005C061E"/>
    <w:rsid w:val="005C0704"/>
    <w:rsid w:val="005C08FE"/>
    <w:rsid w:val="005C0919"/>
    <w:rsid w:val="005C0AA1"/>
    <w:rsid w:val="005C0AD1"/>
    <w:rsid w:val="005C0B28"/>
    <w:rsid w:val="005C0C1D"/>
    <w:rsid w:val="005C0FA9"/>
    <w:rsid w:val="005C12BB"/>
    <w:rsid w:val="005C16C9"/>
    <w:rsid w:val="005C1741"/>
    <w:rsid w:val="005C1747"/>
    <w:rsid w:val="005C176E"/>
    <w:rsid w:val="005C1A58"/>
    <w:rsid w:val="005C1C1E"/>
    <w:rsid w:val="005C1C84"/>
    <w:rsid w:val="005C1CF0"/>
    <w:rsid w:val="005C1DD8"/>
    <w:rsid w:val="005C2013"/>
    <w:rsid w:val="005C203F"/>
    <w:rsid w:val="005C21B1"/>
    <w:rsid w:val="005C2372"/>
    <w:rsid w:val="005C2459"/>
    <w:rsid w:val="005C245B"/>
    <w:rsid w:val="005C2493"/>
    <w:rsid w:val="005C24AD"/>
    <w:rsid w:val="005C25D3"/>
    <w:rsid w:val="005C2749"/>
    <w:rsid w:val="005C2751"/>
    <w:rsid w:val="005C276A"/>
    <w:rsid w:val="005C27DE"/>
    <w:rsid w:val="005C296D"/>
    <w:rsid w:val="005C2A65"/>
    <w:rsid w:val="005C2A6F"/>
    <w:rsid w:val="005C2A79"/>
    <w:rsid w:val="005C2AA1"/>
    <w:rsid w:val="005C2AB2"/>
    <w:rsid w:val="005C2AD4"/>
    <w:rsid w:val="005C2B09"/>
    <w:rsid w:val="005C2B7D"/>
    <w:rsid w:val="005C2BF5"/>
    <w:rsid w:val="005C2DEC"/>
    <w:rsid w:val="005C2E13"/>
    <w:rsid w:val="005C2E62"/>
    <w:rsid w:val="005C2EBF"/>
    <w:rsid w:val="005C30CD"/>
    <w:rsid w:val="005C31E7"/>
    <w:rsid w:val="005C3269"/>
    <w:rsid w:val="005C3276"/>
    <w:rsid w:val="005C33DA"/>
    <w:rsid w:val="005C35A6"/>
    <w:rsid w:val="005C3696"/>
    <w:rsid w:val="005C36A2"/>
    <w:rsid w:val="005C3A5B"/>
    <w:rsid w:val="005C3A95"/>
    <w:rsid w:val="005C3B69"/>
    <w:rsid w:val="005C3CDF"/>
    <w:rsid w:val="005C3D6D"/>
    <w:rsid w:val="005C3DFF"/>
    <w:rsid w:val="005C3E07"/>
    <w:rsid w:val="005C3F67"/>
    <w:rsid w:val="005C4486"/>
    <w:rsid w:val="005C44D1"/>
    <w:rsid w:val="005C458B"/>
    <w:rsid w:val="005C4619"/>
    <w:rsid w:val="005C4717"/>
    <w:rsid w:val="005C4789"/>
    <w:rsid w:val="005C48F0"/>
    <w:rsid w:val="005C4999"/>
    <w:rsid w:val="005C4C41"/>
    <w:rsid w:val="005C4C51"/>
    <w:rsid w:val="005C4CF8"/>
    <w:rsid w:val="005C4D7B"/>
    <w:rsid w:val="005C4ED3"/>
    <w:rsid w:val="005C4ED7"/>
    <w:rsid w:val="005C4F92"/>
    <w:rsid w:val="005C5008"/>
    <w:rsid w:val="005C5242"/>
    <w:rsid w:val="005C53C7"/>
    <w:rsid w:val="005C546E"/>
    <w:rsid w:val="005C5483"/>
    <w:rsid w:val="005C5504"/>
    <w:rsid w:val="005C55BC"/>
    <w:rsid w:val="005C55C0"/>
    <w:rsid w:val="005C5747"/>
    <w:rsid w:val="005C593A"/>
    <w:rsid w:val="005C594B"/>
    <w:rsid w:val="005C5B2E"/>
    <w:rsid w:val="005C5EDE"/>
    <w:rsid w:val="005C605A"/>
    <w:rsid w:val="005C619F"/>
    <w:rsid w:val="005C62BF"/>
    <w:rsid w:val="005C6353"/>
    <w:rsid w:val="005C64E9"/>
    <w:rsid w:val="005C6637"/>
    <w:rsid w:val="005C687F"/>
    <w:rsid w:val="005C6882"/>
    <w:rsid w:val="005C68EA"/>
    <w:rsid w:val="005C6CD4"/>
    <w:rsid w:val="005C6D4C"/>
    <w:rsid w:val="005C6EAC"/>
    <w:rsid w:val="005C6F3C"/>
    <w:rsid w:val="005C6FE1"/>
    <w:rsid w:val="005C70F3"/>
    <w:rsid w:val="005C730D"/>
    <w:rsid w:val="005C739B"/>
    <w:rsid w:val="005C73D7"/>
    <w:rsid w:val="005C73DB"/>
    <w:rsid w:val="005C741C"/>
    <w:rsid w:val="005C7A75"/>
    <w:rsid w:val="005C7BA7"/>
    <w:rsid w:val="005C7D6A"/>
    <w:rsid w:val="005C7F7F"/>
    <w:rsid w:val="005C7FA6"/>
    <w:rsid w:val="005D0047"/>
    <w:rsid w:val="005D00D9"/>
    <w:rsid w:val="005D020E"/>
    <w:rsid w:val="005D031A"/>
    <w:rsid w:val="005D0367"/>
    <w:rsid w:val="005D044E"/>
    <w:rsid w:val="005D0451"/>
    <w:rsid w:val="005D04D6"/>
    <w:rsid w:val="005D04E2"/>
    <w:rsid w:val="005D06ED"/>
    <w:rsid w:val="005D0736"/>
    <w:rsid w:val="005D085B"/>
    <w:rsid w:val="005D0888"/>
    <w:rsid w:val="005D09AA"/>
    <w:rsid w:val="005D0A0B"/>
    <w:rsid w:val="005D0A32"/>
    <w:rsid w:val="005D0AF9"/>
    <w:rsid w:val="005D0B56"/>
    <w:rsid w:val="005D0BDD"/>
    <w:rsid w:val="005D0CD1"/>
    <w:rsid w:val="005D0E37"/>
    <w:rsid w:val="005D0E6A"/>
    <w:rsid w:val="005D0EDB"/>
    <w:rsid w:val="005D0FB7"/>
    <w:rsid w:val="005D0FB8"/>
    <w:rsid w:val="005D11B3"/>
    <w:rsid w:val="005D1589"/>
    <w:rsid w:val="005D15F7"/>
    <w:rsid w:val="005D177B"/>
    <w:rsid w:val="005D1876"/>
    <w:rsid w:val="005D187B"/>
    <w:rsid w:val="005D1907"/>
    <w:rsid w:val="005D1924"/>
    <w:rsid w:val="005D1AA9"/>
    <w:rsid w:val="005D1DE4"/>
    <w:rsid w:val="005D20E6"/>
    <w:rsid w:val="005D2388"/>
    <w:rsid w:val="005D2450"/>
    <w:rsid w:val="005D2498"/>
    <w:rsid w:val="005D24EB"/>
    <w:rsid w:val="005D2595"/>
    <w:rsid w:val="005D26B5"/>
    <w:rsid w:val="005D273D"/>
    <w:rsid w:val="005D2BD5"/>
    <w:rsid w:val="005D2C72"/>
    <w:rsid w:val="005D2C80"/>
    <w:rsid w:val="005D2CF3"/>
    <w:rsid w:val="005D2EEA"/>
    <w:rsid w:val="005D312F"/>
    <w:rsid w:val="005D31EB"/>
    <w:rsid w:val="005D3273"/>
    <w:rsid w:val="005D32EB"/>
    <w:rsid w:val="005D33EA"/>
    <w:rsid w:val="005D34EA"/>
    <w:rsid w:val="005D3617"/>
    <w:rsid w:val="005D3625"/>
    <w:rsid w:val="005D3699"/>
    <w:rsid w:val="005D3793"/>
    <w:rsid w:val="005D3B24"/>
    <w:rsid w:val="005D3BF5"/>
    <w:rsid w:val="005D41D2"/>
    <w:rsid w:val="005D4261"/>
    <w:rsid w:val="005D4338"/>
    <w:rsid w:val="005D44BB"/>
    <w:rsid w:val="005D467E"/>
    <w:rsid w:val="005D4B0E"/>
    <w:rsid w:val="005D4B34"/>
    <w:rsid w:val="005D4BCA"/>
    <w:rsid w:val="005D4EF6"/>
    <w:rsid w:val="005D5014"/>
    <w:rsid w:val="005D5134"/>
    <w:rsid w:val="005D5309"/>
    <w:rsid w:val="005D546B"/>
    <w:rsid w:val="005D56E8"/>
    <w:rsid w:val="005D5801"/>
    <w:rsid w:val="005D5A47"/>
    <w:rsid w:val="005D5E93"/>
    <w:rsid w:val="005D608B"/>
    <w:rsid w:val="005D613F"/>
    <w:rsid w:val="005D6373"/>
    <w:rsid w:val="005D65DA"/>
    <w:rsid w:val="005D6613"/>
    <w:rsid w:val="005D66E1"/>
    <w:rsid w:val="005D66EC"/>
    <w:rsid w:val="005D67D1"/>
    <w:rsid w:val="005D67DF"/>
    <w:rsid w:val="005D6A6A"/>
    <w:rsid w:val="005D6B39"/>
    <w:rsid w:val="005D6BDD"/>
    <w:rsid w:val="005D6C03"/>
    <w:rsid w:val="005D6C0B"/>
    <w:rsid w:val="005D6C7D"/>
    <w:rsid w:val="005D6D50"/>
    <w:rsid w:val="005D6DC2"/>
    <w:rsid w:val="005D6E10"/>
    <w:rsid w:val="005D7024"/>
    <w:rsid w:val="005D720B"/>
    <w:rsid w:val="005D7299"/>
    <w:rsid w:val="005D732C"/>
    <w:rsid w:val="005D7450"/>
    <w:rsid w:val="005D7783"/>
    <w:rsid w:val="005D77BD"/>
    <w:rsid w:val="005D783C"/>
    <w:rsid w:val="005D7AE8"/>
    <w:rsid w:val="005D7C17"/>
    <w:rsid w:val="005D7C92"/>
    <w:rsid w:val="005D7CBF"/>
    <w:rsid w:val="005D7E85"/>
    <w:rsid w:val="005E013E"/>
    <w:rsid w:val="005E0316"/>
    <w:rsid w:val="005E03AE"/>
    <w:rsid w:val="005E0466"/>
    <w:rsid w:val="005E082D"/>
    <w:rsid w:val="005E08D6"/>
    <w:rsid w:val="005E0938"/>
    <w:rsid w:val="005E0952"/>
    <w:rsid w:val="005E0A87"/>
    <w:rsid w:val="005E0B04"/>
    <w:rsid w:val="005E0BB0"/>
    <w:rsid w:val="005E0C28"/>
    <w:rsid w:val="005E0CC2"/>
    <w:rsid w:val="005E0E2C"/>
    <w:rsid w:val="005E0E9B"/>
    <w:rsid w:val="005E0F28"/>
    <w:rsid w:val="005E0F5C"/>
    <w:rsid w:val="005E0F8E"/>
    <w:rsid w:val="005E112D"/>
    <w:rsid w:val="005E116F"/>
    <w:rsid w:val="005E133E"/>
    <w:rsid w:val="005E143B"/>
    <w:rsid w:val="005E16C2"/>
    <w:rsid w:val="005E1889"/>
    <w:rsid w:val="005E1AB8"/>
    <w:rsid w:val="005E1D4A"/>
    <w:rsid w:val="005E1E4C"/>
    <w:rsid w:val="005E20A4"/>
    <w:rsid w:val="005E2190"/>
    <w:rsid w:val="005E21C3"/>
    <w:rsid w:val="005E2289"/>
    <w:rsid w:val="005E2302"/>
    <w:rsid w:val="005E25FD"/>
    <w:rsid w:val="005E2670"/>
    <w:rsid w:val="005E26E2"/>
    <w:rsid w:val="005E27C9"/>
    <w:rsid w:val="005E296C"/>
    <w:rsid w:val="005E29F4"/>
    <w:rsid w:val="005E2DA4"/>
    <w:rsid w:val="005E2F4B"/>
    <w:rsid w:val="005E2FB1"/>
    <w:rsid w:val="005E31DC"/>
    <w:rsid w:val="005E3407"/>
    <w:rsid w:val="005E341A"/>
    <w:rsid w:val="005E343E"/>
    <w:rsid w:val="005E3677"/>
    <w:rsid w:val="005E36FD"/>
    <w:rsid w:val="005E385C"/>
    <w:rsid w:val="005E3A0D"/>
    <w:rsid w:val="005E3AB1"/>
    <w:rsid w:val="005E3ADD"/>
    <w:rsid w:val="005E3B97"/>
    <w:rsid w:val="005E3C38"/>
    <w:rsid w:val="005E403A"/>
    <w:rsid w:val="005E429C"/>
    <w:rsid w:val="005E4364"/>
    <w:rsid w:val="005E441E"/>
    <w:rsid w:val="005E449C"/>
    <w:rsid w:val="005E44AF"/>
    <w:rsid w:val="005E4566"/>
    <w:rsid w:val="005E45B3"/>
    <w:rsid w:val="005E45D9"/>
    <w:rsid w:val="005E46A9"/>
    <w:rsid w:val="005E49E8"/>
    <w:rsid w:val="005E4B93"/>
    <w:rsid w:val="005E4C30"/>
    <w:rsid w:val="005E4D54"/>
    <w:rsid w:val="005E4EEA"/>
    <w:rsid w:val="005E4FC0"/>
    <w:rsid w:val="005E5011"/>
    <w:rsid w:val="005E50E1"/>
    <w:rsid w:val="005E54FF"/>
    <w:rsid w:val="005E5631"/>
    <w:rsid w:val="005E5684"/>
    <w:rsid w:val="005E574B"/>
    <w:rsid w:val="005E57A1"/>
    <w:rsid w:val="005E5958"/>
    <w:rsid w:val="005E5B13"/>
    <w:rsid w:val="005E5C00"/>
    <w:rsid w:val="005E5D86"/>
    <w:rsid w:val="005E5DF0"/>
    <w:rsid w:val="005E5ED8"/>
    <w:rsid w:val="005E6080"/>
    <w:rsid w:val="005E6101"/>
    <w:rsid w:val="005E6115"/>
    <w:rsid w:val="005E6139"/>
    <w:rsid w:val="005E61D4"/>
    <w:rsid w:val="005E63C5"/>
    <w:rsid w:val="005E6679"/>
    <w:rsid w:val="005E67BA"/>
    <w:rsid w:val="005E68B3"/>
    <w:rsid w:val="005E6B2C"/>
    <w:rsid w:val="005E6D18"/>
    <w:rsid w:val="005E6DF6"/>
    <w:rsid w:val="005E7119"/>
    <w:rsid w:val="005E7441"/>
    <w:rsid w:val="005E7555"/>
    <w:rsid w:val="005E75A0"/>
    <w:rsid w:val="005E75F4"/>
    <w:rsid w:val="005E77DB"/>
    <w:rsid w:val="005E78FF"/>
    <w:rsid w:val="005E7985"/>
    <w:rsid w:val="005E7A9D"/>
    <w:rsid w:val="005E7DE4"/>
    <w:rsid w:val="005E7F77"/>
    <w:rsid w:val="005F01CA"/>
    <w:rsid w:val="005F026E"/>
    <w:rsid w:val="005F02DA"/>
    <w:rsid w:val="005F032E"/>
    <w:rsid w:val="005F08F1"/>
    <w:rsid w:val="005F09E8"/>
    <w:rsid w:val="005F09FA"/>
    <w:rsid w:val="005F0AB6"/>
    <w:rsid w:val="005F0B02"/>
    <w:rsid w:val="005F0C12"/>
    <w:rsid w:val="005F0C22"/>
    <w:rsid w:val="005F0DD0"/>
    <w:rsid w:val="005F0F7D"/>
    <w:rsid w:val="005F10C9"/>
    <w:rsid w:val="005F1105"/>
    <w:rsid w:val="005F1263"/>
    <w:rsid w:val="005F129C"/>
    <w:rsid w:val="005F12D0"/>
    <w:rsid w:val="005F139B"/>
    <w:rsid w:val="005F15BA"/>
    <w:rsid w:val="005F1619"/>
    <w:rsid w:val="005F1845"/>
    <w:rsid w:val="005F1B79"/>
    <w:rsid w:val="005F1BCF"/>
    <w:rsid w:val="005F1CE1"/>
    <w:rsid w:val="005F1DD8"/>
    <w:rsid w:val="005F1E67"/>
    <w:rsid w:val="005F1F5C"/>
    <w:rsid w:val="005F1FCD"/>
    <w:rsid w:val="005F2016"/>
    <w:rsid w:val="005F2256"/>
    <w:rsid w:val="005F2464"/>
    <w:rsid w:val="005F25DF"/>
    <w:rsid w:val="005F25FB"/>
    <w:rsid w:val="005F26CB"/>
    <w:rsid w:val="005F27CB"/>
    <w:rsid w:val="005F2A15"/>
    <w:rsid w:val="005F2CC0"/>
    <w:rsid w:val="005F2E03"/>
    <w:rsid w:val="005F2FFE"/>
    <w:rsid w:val="005F3024"/>
    <w:rsid w:val="005F32A0"/>
    <w:rsid w:val="005F3394"/>
    <w:rsid w:val="005F344E"/>
    <w:rsid w:val="005F355C"/>
    <w:rsid w:val="005F3589"/>
    <w:rsid w:val="005F35C8"/>
    <w:rsid w:val="005F380C"/>
    <w:rsid w:val="005F3A03"/>
    <w:rsid w:val="005F3B9E"/>
    <w:rsid w:val="005F3BA5"/>
    <w:rsid w:val="005F3CE4"/>
    <w:rsid w:val="005F3D99"/>
    <w:rsid w:val="005F3E14"/>
    <w:rsid w:val="005F3E45"/>
    <w:rsid w:val="005F3E48"/>
    <w:rsid w:val="005F3EFB"/>
    <w:rsid w:val="005F3F7A"/>
    <w:rsid w:val="005F3FC2"/>
    <w:rsid w:val="005F40D0"/>
    <w:rsid w:val="005F43B8"/>
    <w:rsid w:val="005F445A"/>
    <w:rsid w:val="005F4486"/>
    <w:rsid w:val="005F456D"/>
    <w:rsid w:val="005F48EE"/>
    <w:rsid w:val="005F4B4E"/>
    <w:rsid w:val="005F4C2B"/>
    <w:rsid w:val="005F4D28"/>
    <w:rsid w:val="005F4ECE"/>
    <w:rsid w:val="005F4FEE"/>
    <w:rsid w:val="005F5032"/>
    <w:rsid w:val="005F5150"/>
    <w:rsid w:val="005F519E"/>
    <w:rsid w:val="005F52B2"/>
    <w:rsid w:val="005F5481"/>
    <w:rsid w:val="005F5495"/>
    <w:rsid w:val="005F555A"/>
    <w:rsid w:val="005F55D5"/>
    <w:rsid w:val="005F5647"/>
    <w:rsid w:val="005F56CC"/>
    <w:rsid w:val="005F5706"/>
    <w:rsid w:val="005F5A85"/>
    <w:rsid w:val="005F5B69"/>
    <w:rsid w:val="005F5D13"/>
    <w:rsid w:val="005F5D50"/>
    <w:rsid w:val="005F5DB1"/>
    <w:rsid w:val="005F5E9A"/>
    <w:rsid w:val="005F5FB5"/>
    <w:rsid w:val="005F6124"/>
    <w:rsid w:val="005F61E8"/>
    <w:rsid w:val="005F6315"/>
    <w:rsid w:val="005F6369"/>
    <w:rsid w:val="005F6490"/>
    <w:rsid w:val="005F6633"/>
    <w:rsid w:val="005F6692"/>
    <w:rsid w:val="005F6C00"/>
    <w:rsid w:val="005F6C31"/>
    <w:rsid w:val="005F6ED4"/>
    <w:rsid w:val="005F7135"/>
    <w:rsid w:val="005F732A"/>
    <w:rsid w:val="005F73AE"/>
    <w:rsid w:val="005F742E"/>
    <w:rsid w:val="005F748F"/>
    <w:rsid w:val="005F7610"/>
    <w:rsid w:val="005F78F2"/>
    <w:rsid w:val="005F7A52"/>
    <w:rsid w:val="005F7AA4"/>
    <w:rsid w:val="005F7AAD"/>
    <w:rsid w:val="005F7AF1"/>
    <w:rsid w:val="005F7C0C"/>
    <w:rsid w:val="005F7EB6"/>
    <w:rsid w:val="005F7F5E"/>
    <w:rsid w:val="005F7FB6"/>
    <w:rsid w:val="00600069"/>
    <w:rsid w:val="0060013E"/>
    <w:rsid w:val="0060017B"/>
    <w:rsid w:val="006001FD"/>
    <w:rsid w:val="00600212"/>
    <w:rsid w:val="0060023C"/>
    <w:rsid w:val="00600354"/>
    <w:rsid w:val="0060037F"/>
    <w:rsid w:val="006006F8"/>
    <w:rsid w:val="006007DC"/>
    <w:rsid w:val="006009D3"/>
    <w:rsid w:val="00600C0F"/>
    <w:rsid w:val="00600DD2"/>
    <w:rsid w:val="00600DED"/>
    <w:rsid w:val="00600FB9"/>
    <w:rsid w:val="006015FA"/>
    <w:rsid w:val="006016C0"/>
    <w:rsid w:val="0060185E"/>
    <w:rsid w:val="0060188A"/>
    <w:rsid w:val="0060198D"/>
    <w:rsid w:val="00601A18"/>
    <w:rsid w:val="00601A62"/>
    <w:rsid w:val="00601BF3"/>
    <w:rsid w:val="00601C22"/>
    <w:rsid w:val="00601C99"/>
    <w:rsid w:val="00601CE3"/>
    <w:rsid w:val="00601D1D"/>
    <w:rsid w:val="00601D3A"/>
    <w:rsid w:val="00601ED9"/>
    <w:rsid w:val="00601EDE"/>
    <w:rsid w:val="00601F53"/>
    <w:rsid w:val="00602081"/>
    <w:rsid w:val="0060214C"/>
    <w:rsid w:val="0060214F"/>
    <w:rsid w:val="00602773"/>
    <w:rsid w:val="00602782"/>
    <w:rsid w:val="0060282A"/>
    <w:rsid w:val="006028C2"/>
    <w:rsid w:val="006028C6"/>
    <w:rsid w:val="00602988"/>
    <w:rsid w:val="00602A29"/>
    <w:rsid w:val="00602AAB"/>
    <w:rsid w:val="00602CAD"/>
    <w:rsid w:val="00602E60"/>
    <w:rsid w:val="00602E9A"/>
    <w:rsid w:val="00602FA2"/>
    <w:rsid w:val="00602FF5"/>
    <w:rsid w:val="0060340B"/>
    <w:rsid w:val="00603451"/>
    <w:rsid w:val="0060367D"/>
    <w:rsid w:val="006036CF"/>
    <w:rsid w:val="006037D2"/>
    <w:rsid w:val="00603865"/>
    <w:rsid w:val="00603947"/>
    <w:rsid w:val="00603A16"/>
    <w:rsid w:val="00603C47"/>
    <w:rsid w:val="00603D85"/>
    <w:rsid w:val="00603E8F"/>
    <w:rsid w:val="00603F88"/>
    <w:rsid w:val="006041C2"/>
    <w:rsid w:val="00604441"/>
    <w:rsid w:val="0060456C"/>
    <w:rsid w:val="00604675"/>
    <w:rsid w:val="0060488C"/>
    <w:rsid w:val="006049B9"/>
    <w:rsid w:val="00604C81"/>
    <w:rsid w:val="00604D47"/>
    <w:rsid w:val="00604D4F"/>
    <w:rsid w:val="00604EA8"/>
    <w:rsid w:val="00604F86"/>
    <w:rsid w:val="00604F89"/>
    <w:rsid w:val="00605199"/>
    <w:rsid w:val="006051F0"/>
    <w:rsid w:val="006053B6"/>
    <w:rsid w:val="00605676"/>
    <w:rsid w:val="006056E5"/>
    <w:rsid w:val="00605710"/>
    <w:rsid w:val="00605717"/>
    <w:rsid w:val="00605762"/>
    <w:rsid w:val="006057EA"/>
    <w:rsid w:val="0060587C"/>
    <w:rsid w:val="006058C5"/>
    <w:rsid w:val="006059E5"/>
    <w:rsid w:val="00605A86"/>
    <w:rsid w:val="00605AA8"/>
    <w:rsid w:val="00605AC9"/>
    <w:rsid w:val="00605AE5"/>
    <w:rsid w:val="00605B90"/>
    <w:rsid w:val="00605E4F"/>
    <w:rsid w:val="006060DE"/>
    <w:rsid w:val="0060618C"/>
    <w:rsid w:val="00606249"/>
    <w:rsid w:val="0060627A"/>
    <w:rsid w:val="0060632D"/>
    <w:rsid w:val="006063C9"/>
    <w:rsid w:val="0060651A"/>
    <w:rsid w:val="00606666"/>
    <w:rsid w:val="006067B1"/>
    <w:rsid w:val="006067DB"/>
    <w:rsid w:val="00606829"/>
    <w:rsid w:val="00606839"/>
    <w:rsid w:val="00606989"/>
    <w:rsid w:val="006069F1"/>
    <w:rsid w:val="00606D4A"/>
    <w:rsid w:val="00606DB0"/>
    <w:rsid w:val="00606DD5"/>
    <w:rsid w:val="00606F84"/>
    <w:rsid w:val="00606FDB"/>
    <w:rsid w:val="00606FE5"/>
    <w:rsid w:val="0060703C"/>
    <w:rsid w:val="00607073"/>
    <w:rsid w:val="0060708F"/>
    <w:rsid w:val="00607107"/>
    <w:rsid w:val="006071D7"/>
    <w:rsid w:val="006071E8"/>
    <w:rsid w:val="0060756E"/>
    <w:rsid w:val="006075E1"/>
    <w:rsid w:val="00607632"/>
    <w:rsid w:val="0060769C"/>
    <w:rsid w:val="0060785B"/>
    <w:rsid w:val="00607977"/>
    <w:rsid w:val="00607AC9"/>
    <w:rsid w:val="00607BDC"/>
    <w:rsid w:val="00607C6C"/>
    <w:rsid w:val="00607E2D"/>
    <w:rsid w:val="006100E9"/>
    <w:rsid w:val="0061022D"/>
    <w:rsid w:val="006102A0"/>
    <w:rsid w:val="00610327"/>
    <w:rsid w:val="006104AD"/>
    <w:rsid w:val="00610574"/>
    <w:rsid w:val="00610577"/>
    <w:rsid w:val="0061062A"/>
    <w:rsid w:val="00610662"/>
    <w:rsid w:val="00610771"/>
    <w:rsid w:val="0061079F"/>
    <w:rsid w:val="00610ADB"/>
    <w:rsid w:val="00610B82"/>
    <w:rsid w:val="00610B87"/>
    <w:rsid w:val="00610F1E"/>
    <w:rsid w:val="00610FE4"/>
    <w:rsid w:val="006111B0"/>
    <w:rsid w:val="00611293"/>
    <w:rsid w:val="006112B0"/>
    <w:rsid w:val="00611374"/>
    <w:rsid w:val="0061143D"/>
    <w:rsid w:val="0061147F"/>
    <w:rsid w:val="00611587"/>
    <w:rsid w:val="0061158C"/>
    <w:rsid w:val="006116BB"/>
    <w:rsid w:val="00611717"/>
    <w:rsid w:val="00611745"/>
    <w:rsid w:val="00611B6C"/>
    <w:rsid w:val="00611CA7"/>
    <w:rsid w:val="00611CD4"/>
    <w:rsid w:val="00611E05"/>
    <w:rsid w:val="00611E86"/>
    <w:rsid w:val="00611F29"/>
    <w:rsid w:val="00611FA9"/>
    <w:rsid w:val="00612152"/>
    <w:rsid w:val="00612171"/>
    <w:rsid w:val="00612178"/>
    <w:rsid w:val="0061234F"/>
    <w:rsid w:val="0061235D"/>
    <w:rsid w:val="0061237B"/>
    <w:rsid w:val="006124D8"/>
    <w:rsid w:val="006124DE"/>
    <w:rsid w:val="00612524"/>
    <w:rsid w:val="00612780"/>
    <w:rsid w:val="00612A33"/>
    <w:rsid w:val="00612BC1"/>
    <w:rsid w:val="00612BCD"/>
    <w:rsid w:val="00612E7C"/>
    <w:rsid w:val="006130C0"/>
    <w:rsid w:val="00613120"/>
    <w:rsid w:val="00613394"/>
    <w:rsid w:val="0061363C"/>
    <w:rsid w:val="00613892"/>
    <w:rsid w:val="0061390D"/>
    <w:rsid w:val="00613A3E"/>
    <w:rsid w:val="00613B12"/>
    <w:rsid w:val="00613B9F"/>
    <w:rsid w:val="00613DA1"/>
    <w:rsid w:val="00613FBF"/>
    <w:rsid w:val="006141BF"/>
    <w:rsid w:val="006141E4"/>
    <w:rsid w:val="00614211"/>
    <w:rsid w:val="0061428A"/>
    <w:rsid w:val="00614290"/>
    <w:rsid w:val="006142DE"/>
    <w:rsid w:val="006142E8"/>
    <w:rsid w:val="00614342"/>
    <w:rsid w:val="006145C7"/>
    <w:rsid w:val="0061460F"/>
    <w:rsid w:val="00614727"/>
    <w:rsid w:val="00614AB0"/>
    <w:rsid w:val="00614EBE"/>
    <w:rsid w:val="00614FEE"/>
    <w:rsid w:val="0061513F"/>
    <w:rsid w:val="00615145"/>
    <w:rsid w:val="006152DE"/>
    <w:rsid w:val="0061530F"/>
    <w:rsid w:val="00615385"/>
    <w:rsid w:val="006153A1"/>
    <w:rsid w:val="006154F3"/>
    <w:rsid w:val="00615624"/>
    <w:rsid w:val="00615706"/>
    <w:rsid w:val="00615743"/>
    <w:rsid w:val="0061574D"/>
    <w:rsid w:val="0061592C"/>
    <w:rsid w:val="00615957"/>
    <w:rsid w:val="0061599D"/>
    <w:rsid w:val="00615B9A"/>
    <w:rsid w:val="00615BB7"/>
    <w:rsid w:val="00615D31"/>
    <w:rsid w:val="00615E3E"/>
    <w:rsid w:val="00615ECA"/>
    <w:rsid w:val="00615ED4"/>
    <w:rsid w:val="00615F17"/>
    <w:rsid w:val="00615F91"/>
    <w:rsid w:val="00615FB6"/>
    <w:rsid w:val="006160BF"/>
    <w:rsid w:val="006160EA"/>
    <w:rsid w:val="006160FF"/>
    <w:rsid w:val="006162DD"/>
    <w:rsid w:val="0061639F"/>
    <w:rsid w:val="00616507"/>
    <w:rsid w:val="00616658"/>
    <w:rsid w:val="006166CE"/>
    <w:rsid w:val="00616915"/>
    <w:rsid w:val="00616932"/>
    <w:rsid w:val="00616998"/>
    <w:rsid w:val="00616A01"/>
    <w:rsid w:val="00616BB6"/>
    <w:rsid w:val="00616CB1"/>
    <w:rsid w:val="00616E5F"/>
    <w:rsid w:val="00616FE2"/>
    <w:rsid w:val="00616FFF"/>
    <w:rsid w:val="0061713F"/>
    <w:rsid w:val="0061732F"/>
    <w:rsid w:val="006173EA"/>
    <w:rsid w:val="006176E8"/>
    <w:rsid w:val="00617794"/>
    <w:rsid w:val="006178A7"/>
    <w:rsid w:val="006178B6"/>
    <w:rsid w:val="006178FB"/>
    <w:rsid w:val="00617996"/>
    <w:rsid w:val="00617998"/>
    <w:rsid w:val="006179BA"/>
    <w:rsid w:val="00617A9E"/>
    <w:rsid w:val="00617AFA"/>
    <w:rsid w:val="00617BAE"/>
    <w:rsid w:val="00617EDB"/>
    <w:rsid w:val="00617F34"/>
    <w:rsid w:val="0062028E"/>
    <w:rsid w:val="00620352"/>
    <w:rsid w:val="006203E4"/>
    <w:rsid w:val="006204B8"/>
    <w:rsid w:val="00620607"/>
    <w:rsid w:val="00620A56"/>
    <w:rsid w:val="00620A7E"/>
    <w:rsid w:val="00620B86"/>
    <w:rsid w:val="00620D87"/>
    <w:rsid w:val="00621010"/>
    <w:rsid w:val="00621055"/>
    <w:rsid w:val="00621202"/>
    <w:rsid w:val="00621329"/>
    <w:rsid w:val="006214BC"/>
    <w:rsid w:val="00621511"/>
    <w:rsid w:val="006215CB"/>
    <w:rsid w:val="0062161A"/>
    <w:rsid w:val="00621647"/>
    <w:rsid w:val="006217D9"/>
    <w:rsid w:val="006217E7"/>
    <w:rsid w:val="00621886"/>
    <w:rsid w:val="006218B9"/>
    <w:rsid w:val="006219A4"/>
    <w:rsid w:val="00621A0B"/>
    <w:rsid w:val="00621C25"/>
    <w:rsid w:val="00621E14"/>
    <w:rsid w:val="00622236"/>
    <w:rsid w:val="006226F3"/>
    <w:rsid w:val="006227EA"/>
    <w:rsid w:val="00622851"/>
    <w:rsid w:val="006229AD"/>
    <w:rsid w:val="00622B69"/>
    <w:rsid w:val="00622C43"/>
    <w:rsid w:val="00622E97"/>
    <w:rsid w:val="00622F7C"/>
    <w:rsid w:val="00623365"/>
    <w:rsid w:val="00623426"/>
    <w:rsid w:val="00623429"/>
    <w:rsid w:val="006236B7"/>
    <w:rsid w:val="00623706"/>
    <w:rsid w:val="00623738"/>
    <w:rsid w:val="006237FD"/>
    <w:rsid w:val="0062395B"/>
    <w:rsid w:val="006239D2"/>
    <w:rsid w:val="006239F2"/>
    <w:rsid w:val="00623AD9"/>
    <w:rsid w:val="00623C99"/>
    <w:rsid w:val="00623E30"/>
    <w:rsid w:val="00623E36"/>
    <w:rsid w:val="00623EBD"/>
    <w:rsid w:val="00623F41"/>
    <w:rsid w:val="00624067"/>
    <w:rsid w:val="00624080"/>
    <w:rsid w:val="006240D0"/>
    <w:rsid w:val="0062422D"/>
    <w:rsid w:val="00624435"/>
    <w:rsid w:val="0062457A"/>
    <w:rsid w:val="006249C7"/>
    <w:rsid w:val="00624A5D"/>
    <w:rsid w:val="00624B2B"/>
    <w:rsid w:val="00624CE6"/>
    <w:rsid w:val="00624EC6"/>
    <w:rsid w:val="006252E0"/>
    <w:rsid w:val="006253C2"/>
    <w:rsid w:val="006255D5"/>
    <w:rsid w:val="0062583A"/>
    <w:rsid w:val="006258E3"/>
    <w:rsid w:val="00625926"/>
    <w:rsid w:val="00625A15"/>
    <w:rsid w:val="00625B40"/>
    <w:rsid w:val="00625BE7"/>
    <w:rsid w:val="00625D6A"/>
    <w:rsid w:val="00625F1C"/>
    <w:rsid w:val="00625F2E"/>
    <w:rsid w:val="00625FD3"/>
    <w:rsid w:val="006260AD"/>
    <w:rsid w:val="00626233"/>
    <w:rsid w:val="006264C6"/>
    <w:rsid w:val="0062655B"/>
    <w:rsid w:val="0062657C"/>
    <w:rsid w:val="006265E8"/>
    <w:rsid w:val="006267A1"/>
    <w:rsid w:val="006267A6"/>
    <w:rsid w:val="00626A4B"/>
    <w:rsid w:val="00626B09"/>
    <w:rsid w:val="00626BD5"/>
    <w:rsid w:val="00626C1E"/>
    <w:rsid w:val="00626CF9"/>
    <w:rsid w:val="00626D15"/>
    <w:rsid w:val="00626D88"/>
    <w:rsid w:val="00626E6E"/>
    <w:rsid w:val="00626EA7"/>
    <w:rsid w:val="00626F0C"/>
    <w:rsid w:val="00626FA2"/>
    <w:rsid w:val="00626FBA"/>
    <w:rsid w:val="00626FC8"/>
    <w:rsid w:val="0062702C"/>
    <w:rsid w:val="00627239"/>
    <w:rsid w:val="00627366"/>
    <w:rsid w:val="00627378"/>
    <w:rsid w:val="006275BD"/>
    <w:rsid w:val="0062762F"/>
    <w:rsid w:val="0062767F"/>
    <w:rsid w:val="0062775F"/>
    <w:rsid w:val="0062789B"/>
    <w:rsid w:val="00627E47"/>
    <w:rsid w:val="00627F9E"/>
    <w:rsid w:val="006300A1"/>
    <w:rsid w:val="0063010F"/>
    <w:rsid w:val="00630420"/>
    <w:rsid w:val="0063053A"/>
    <w:rsid w:val="00630731"/>
    <w:rsid w:val="00630996"/>
    <w:rsid w:val="006309BF"/>
    <w:rsid w:val="00630A1A"/>
    <w:rsid w:val="00630B4E"/>
    <w:rsid w:val="00630B7D"/>
    <w:rsid w:val="00630D05"/>
    <w:rsid w:val="00630E02"/>
    <w:rsid w:val="00630EBE"/>
    <w:rsid w:val="00630ED4"/>
    <w:rsid w:val="00630F9D"/>
    <w:rsid w:val="00631083"/>
    <w:rsid w:val="00631150"/>
    <w:rsid w:val="00631475"/>
    <w:rsid w:val="00631585"/>
    <w:rsid w:val="006316CA"/>
    <w:rsid w:val="00631751"/>
    <w:rsid w:val="0063195D"/>
    <w:rsid w:val="00631A7D"/>
    <w:rsid w:val="00631AA9"/>
    <w:rsid w:val="00631D11"/>
    <w:rsid w:val="00631D1A"/>
    <w:rsid w:val="006321F8"/>
    <w:rsid w:val="00632319"/>
    <w:rsid w:val="006323F0"/>
    <w:rsid w:val="00632505"/>
    <w:rsid w:val="006325B1"/>
    <w:rsid w:val="00632778"/>
    <w:rsid w:val="00632791"/>
    <w:rsid w:val="006328DD"/>
    <w:rsid w:val="006328DE"/>
    <w:rsid w:val="00632928"/>
    <w:rsid w:val="00632994"/>
    <w:rsid w:val="006329EF"/>
    <w:rsid w:val="00632A48"/>
    <w:rsid w:val="00632A62"/>
    <w:rsid w:val="00632B10"/>
    <w:rsid w:val="00632B3A"/>
    <w:rsid w:val="00632BE8"/>
    <w:rsid w:val="00632C82"/>
    <w:rsid w:val="00632D3E"/>
    <w:rsid w:val="00632ECE"/>
    <w:rsid w:val="0063311D"/>
    <w:rsid w:val="00633139"/>
    <w:rsid w:val="00633337"/>
    <w:rsid w:val="00633553"/>
    <w:rsid w:val="0063363A"/>
    <w:rsid w:val="00633766"/>
    <w:rsid w:val="00633827"/>
    <w:rsid w:val="00633911"/>
    <w:rsid w:val="006339F6"/>
    <w:rsid w:val="00633A1E"/>
    <w:rsid w:val="00633D15"/>
    <w:rsid w:val="006341C5"/>
    <w:rsid w:val="006341E9"/>
    <w:rsid w:val="00634263"/>
    <w:rsid w:val="006342F8"/>
    <w:rsid w:val="0063433F"/>
    <w:rsid w:val="0063448E"/>
    <w:rsid w:val="006345FC"/>
    <w:rsid w:val="0063460A"/>
    <w:rsid w:val="00634631"/>
    <w:rsid w:val="00634662"/>
    <w:rsid w:val="006347C8"/>
    <w:rsid w:val="006347E5"/>
    <w:rsid w:val="006347F7"/>
    <w:rsid w:val="00634AE5"/>
    <w:rsid w:val="00634BFD"/>
    <w:rsid w:val="00634C11"/>
    <w:rsid w:val="00634C49"/>
    <w:rsid w:val="00634CE8"/>
    <w:rsid w:val="00634D76"/>
    <w:rsid w:val="00634DC9"/>
    <w:rsid w:val="00634E22"/>
    <w:rsid w:val="00634E94"/>
    <w:rsid w:val="006351E6"/>
    <w:rsid w:val="00635241"/>
    <w:rsid w:val="006357A0"/>
    <w:rsid w:val="0063591A"/>
    <w:rsid w:val="00635B38"/>
    <w:rsid w:val="00635BC5"/>
    <w:rsid w:val="00636272"/>
    <w:rsid w:val="006365E1"/>
    <w:rsid w:val="0063681C"/>
    <w:rsid w:val="0063683E"/>
    <w:rsid w:val="00636C6E"/>
    <w:rsid w:val="00636CE2"/>
    <w:rsid w:val="00636ED2"/>
    <w:rsid w:val="00636F8E"/>
    <w:rsid w:val="00636FEE"/>
    <w:rsid w:val="00636FFB"/>
    <w:rsid w:val="00637071"/>
    <w:rsid w:val="00637131"/>
    <w:rsid w:val="00637410"/>
    <w:rsid w:val="0063744F"/>
    <w:rsid w:val="006374E1"/>
    <w:rsid w:val="00637678"/>
    <w:rsid w:val="0063789A"/>
    <w:rsid w:val="0063796A"/>
    <w:rsid w:val="00637B49"/>
    <w:rsid w:val="00637DF6"/>
    <w:rsid w:val="00640110"/>
    <w:rsid w:val="0064040A"/>
    <w:rsid w:val="0064043F"/>
    <w:rsid w:val="006404B6"/>
    <w:rsid w:val="00640505"/>
    <w:rsid w:val="006405ED"/>
    <w:rsid w:val="0064061E"/>
    <w:rsid w:val="006406F5"/>
    <w:rsid w:val="00640702"/>
    <w:rsid w:val="006407A1"/>
    <w:rsid w:val="0064089B"/>
    <w:rsid w:val="00640979"/>
    <w:rsid w:val="00640A50"/>
    <w:rsid w:val="00640E6D"/>
    <w:rsid w:val="00640E9E"/>
    <w:rsid w:val="00640F2F"/>
    <w:rsid w:val="006411C5"/>
    <w:rsid w:val="00641273"/>
    <w:rsid w:val="006412F8"/>
    <w:rsid w:val="0064179F"/>
    <w:rsid w:val="00641899"/>
    <w:rsid w:val="00641CD3"/>
    <w:rsid w:val="00641F91"/>
    <w:rsid w:val="00642087"/>
    <w:rsid w:val="0064211F"/>
    <w:rsid w:val="00642149"/>
    <w:rsid w:val="00642447"/>
    <w:rsid w:val="00642488"/>
    <w:rsid w:val="00642651"/>
    <w:rsid w:val="006426DC"/>
    <w:rsid w:val="00642780"/>
    <w:rsid w:val="006427D6"/>
    <w:rsid w:val="00642811"/>
    <w:rsid w:val="00642978"/>
    <w:rsid w:val="00642A68"/>
    <w:rsid w:val="00642C0B"/>
    <w:rsid w:val="00642D01"/>
    <w:rsid w:val="00642D0D"/>
    <w:rsid w:val="00642DDB"/>
    <w:rsid w:val="00642F3A"/>
    <w:rsid w:val="00643276"/>
    <w:rsid w:val="006433D8"/>
    <w:rsid w:val="006435D8"/>
    <w:rsid w:val="0064366A"/>
    <w:rsid w:val="0064379E"/>
    <w:rsid w:val="006437AE"/>
    <w:rsid w:val="0064383C"/>
    <w:rsid w:val="00643BE9"/>
    <w:rsid w:val="00643D26"/>
    <w:rsid w:val="00643E88"/>
    <w:rsid w:val="00643FC9"/>
    <w:rsid w:val="00644239"/>
    <w:rsid w:val="0064424A"/>
    <w:rsid w:val="006443BB"/>
    <w:rsid w:val="006445E4"/>
    <w:rsid w:val="00644850"/>
    <w:rsid w:val="006448BE"/>
    <w:rsid w:val="00644918"/>
    <w:rsid w:val="00644932"/>
    <w:rsid w:val="00644A76"/>
    <w:rsid w:val="00644B6F"/>
    <w:rsid w:val="00644CAE"/>
    <w:rsid w:val="00644E05"/>
    <w:rsid w:val="00644E88"/>
    <w:rsid w:val="006451B4"/>
    <w:rsid w:val="006452C3"/>
    <w:rsid w:val="00645331"/>
    <w:rsid w:val="006454E5"/>
    <w:rsid w:val="0064576D"/>
    <w:rsid w:val="00645976"/>
    <w:rsid w:val="00645D2F"/>
    <w:rsid w:val="00645E47"/>
    <w:rsid w:val="00646071"/>
    <w:rsid w:val="006462F4"/>
    <w:rsid w:val="00646567"/>
    <w:rsid w:val="006467C6"/>
    <w:rsid w:val="006467D4"/>
    <w:rsid w:val="00646E73"/>
    <w:rsid w:val="0064707B"/>
    <w:rsid w:val="00647281"/>
    <w:rsid w:val="00647556"/>
    <w:rsid w:val="0064778F"/>
    <w:rsid w:val="006478E1"/>
    <w:rsid w:val="006479FC"/>
    <w:rsid w:val="00647B84"/>
    <w:rsid w:val="00647F1C"/>
    <w:rsid w:val="00647F66"/>
    <w:rsid w:val="006502B5"/>
    <w:rsid w:val="006505D8"/>
    <w:rsid w:val="006505F1"/>
    <w:rsid w:val="006507BC"/>
    <w:rsid w:val="006507D3"/>
    <w:rsid w:val="006508B3"/>
    <w:rsid w:val="0065097B"/>
    <w:rsid w:val="00650ED3"/>
    <w:rsid w:val="00650F32"/>
    <w:rsid w:val="00651062"/>
    <w:rsid w:val="006510A1"/>
    <w:rsid w:val="0065120F"/>
    <w:rsid w:val="0065125F"/>
    <w:rsid w:val="00651294"/>
    <w:rsid w:val="006512B4"/>
    <w:rsid w:val="006512C5"/>
    <w:rsid w:val="006513F4"/>
    <w:rsid w:val="0065147F"/>
    <w:rsid w:val="00651549"/>
    <w:rsid w:val="00651702"/>
    <w:rsid w:val="00651810"/>
    <w:rsid w:val="00651AC6"/>
    <w:rsid w:val="00651BC7"/>
    <w:rsid w:val="00651CEE"/>
    <w:rsid w:val="00651D16"/>
    <w:rsid w:val="00651E93"/>
    <w:rsid w:val="006520FE"/>
    <w:rsid w:val="00652331"/>
    <w:rsid w:val="00652391"/>
    <w:rsid w:val="006524E4"/>
    <w:rsid w:val="006525FA"/>
    <w:rsid w:val="006526C3"/>
    <w:rsid w:val="00652727"/>
    <w:rsid w:val="00652806"/>
    <w:rsid w:val="00652929"/>
    <w:rsid w:val="00652AC1"/>
    <w:rsid w:val="00652B6C"/>
    <w:rsid w:val="00652B6D"/>
    <w:rsid w:val="00652B96"/>
    <w:rsid w:val="00652D86"/>
    <w:rsid w:val="00652E87"/>
    <w:rsid w:val="00652F41"/>
    <w:rsid w:val="00652FEA"/>
    <w:rsid w:val="0065307E"/>
    <w:rsid w:val="0065314C"/>
    <w:rsid w:val="006532A4"/>
    <w:rsid w:val="006532CA"/>
    <w:rsid w:val="00653456"/>
    <w:rsid w:val="00653663"/>
    <w:rsid w:val="0065374B"/>
    <w:rsid w:val="0065384D"/>
    <w:rsid w:val="006538CE"/>
    <w:rsid w:val="00653A3B"/>
    <w:rsid w:val="00653B07"/>
    <w:rsid w:val="00653C59"/>
    <w:rsid w:val="00653D16"/>
    <w:rsid w:val="00653E6B"/>
    <w:rsid w:val="00653F39"/>
    <w:rsid w:val="00654126"/>
    <w:rsid w:val="00654237"/>
    <w:rsid w:val="006542CF"/>
    <w:rsid w:val="0065433D"/>
    <w:rsid w:val="006546D4"/>
    <w:rsid w:val="006548B2"/>
    <w:rsid w:val="006549EE"/>
    <w:rsid w:val="00654B01"/>
    <w:rsid w:val="00654C9A"/>
    <w:rsid w:val="00654E3A"/>
    <w:rsid w:val="00654EB5"/>
    <w:rsid w:val="0065521F"/>
    <w:rsid w:val="00655525"/>
    <w:rsid w:val="0065568C"/>
    <w:rsid w:val="00655691"/>
    <w:rsid w:val="00655816"/>
    <w:rsid w:val="00655C72"/>
    <w:rsid w:val="00655CB3"/>
    <w:rsid w:val="00655CC9"/>
    <w:rsid w:val="00655FD0"/>
    <w:rsid w:val="00656052"/>
    <w:rsid w:val="006560EB"/>
    <w:rsid w:val="00656468"/>
    <w:rsid w:val="006564DB"/>
    <w:rsid w:val="006564DE"/>
    <w:rsid w:val="006564E0"/>
    <w:rsid w:val="006565EC"/>
    <w:rsid w:val="00656686"/>
    <w:rsid w:val="0065669A"/>
    <w:rsid w:val="00656859"/>
    <w:rsid w:val="0065686B"/>
    <w:rsid w:val="006568B2"/>
    <w:rsid w:val="00656B44"/>
    <w:rsid w:val="00656C04"/>
    <w:rsid w:val="00656C3B"/>
    <w:rsid w:val="00656FD2"/>
    <w:rsid w:val="00657034"/>
    <w:rsid w:val="006571F3"/>
    <w:rsid w:val="006572D5"/>
    <w:rsid w:val="006572EE"/>
    <w:rsid w:val="006574E1"/>
    <w:rsid w:val="0065757A"/>
    <w:rsid w:val="006575FB"/>
    <w:rsid w:val="006576AB"/>
    <w:rsid w:val="0065791E"/>
    <w:rsid w:val="00657A8C"/>
    <w:rsid w:val="00657ACE"/>
    <w:rsid w:val="00657FDA"/>
    <w:rsid w:val="0066005C"/>
    <w:rsid w:val="0066012B"/>
    <w:rsid w:val="00660181"/>
    <w:rsid w:val="00660187"/>
    <w:rsid w:val="006601AA"/>
    <w:rsid w:val="00660467"/>
    <w:rsid w:val="00660672"/>
    <w:rsid w:val="00660786"/>
    <w:rsid w:val="006607E5"/>
    <w:rsid w:val="00660860"/>
    <w:rsid w:val="00660902"/>
    <w:rsid w:val="00660A52"/>
    <w:rsid w:val="00660A7B"/>
    <w:rsid w:val="006610BB"/>
    <w:rsid w:val="006610E6"/>
    <w:rsid w:val="00661148"/>
    <w:rsid w:val="006612B5"/>
    <w:rsid w:val="0066166E"/>
    <w:rsid w:val="006616D6"/>
    <w:rsid w:val="0066172B"/>
    <w:rsid w:val="0066178E"/>
    <w:rsid w:val="00661998"/>
    <w:rsid w:val="006619CF"/>
    <w:rsid w:val="00661AE7"/>
    <w:rsid w:val="00661B25"/>
    <w:rsid w:val="00661B9C"/>
    <w:rsid w:val="00661BD6"/>
    <w:rsid w:val="00661CD5"/>
    <w:rsid w:val="00661DDA"/>
    <w:rsid w:val="00661EFF"/>
    <w:rsid w:val="0066208E"/>
    <w:rsid w:val="006620AF"/>
    <w:rsid w:val="006620B2"/>
    <w:rsid w:val="00662132"/>
    <w:rsid w:val="0066218A"/>
    <w:rsid w:val="006622FA"/>
    <w:rsid w:val="006626C5"/>
    <w:rsid w:val="006626D1"/>
    <w:rsid w:val="006628B3"/>
    <w:rsid w:val="006628D1"/>
    <w:rsid w:val="006629A6"/>
    <w:rsid w:val="006629F7"/>
    <w:rsid w:val="00662AFC"/>
    <w:rsid w:val="00662C05"/>
    <w:rsid w:val="00662D1B"/>
    <w:rsid w:val="00662D5B"/>
    <w:rsid w:val="00662DD8"/>
    <w:rsid w:val="00662DFC"/>
    <w:rsid w:val="00663138"/>
    <w:rsid w:val="006632C5"/>
    <w:rsid w:val="00663489"/>
    <w:rsid w:val="0066359F"/>
    <w:rsid w:val="006635B7"/>
    <w:rsid w:val="006635E0"/>
    <w:rsid w:val="0066372C"/>
    <w:rsid w:val="00663810"/>
    <w:rsid w:val="00663A49"/>
    <w:rsid w:val="00663B70"/>
    <w:rsid w:val="00663C8E"/>
    <w:rsid w:val="00663DC9"/>
    <w:rsid w:val="00663E83"/>
    <w:rsid w:val="006640B8"/>
    <w:rsid w:val="006643CE"/>
    <w:rsid w:val="0066447D"/>
    <w:rsid w:val="00664593"/>
    <w:rsid w:val="006646FA"/>
    <w:rsid w:val="0066471F"/>
    <w:rsid w:val="006647F6"/>
    <w:rsid w:val="00664896"/>
    <w:rsid w:val="0066493D"/>
    <w:rsid w:val="00664AB9"/>
    <w:rsid w:val="00664BE7"/>
    <w:rsid w:val="00664C58"/>
    <w:rsid w:val="00664C75"/>
    <w:rsid w:val="00664D45"/>
    <w:rsid w:val="00664D59"/>
    <w:rsid w:val="00664E3D"/>
    <w:rsid w:val="00664E44"/>
    <w:rsid w:val="00664E46"/>
    <w:rsid w:val="00664F93"/>
    <w:rsid w:val="0066506E"/>
    <w:rsid w:val="00665591"/>
    <w:rsid w:val="006657AE"/>
    <w:rsid w:val="0066593B"/>
    <w:rsid w:val="00665A3A"/>
    <w:rsid w:val="00665A94"/>
    <w:rsid w:val="00665B77"/>
    <w:rsid w:val="00665C9A"/>
    <w:rsid w:val="00665D1A"/>
    <w:rsid w:val="00665E4F"/>
    <w:rsid w:val="00665E5B"/>
    <w:rsid w:val="00665E5D"/>
    <w:rsid w:val="00666132"/>
    <w:rsid w:val="0066616F"/>
    <w:rsid w:val="006661FF"/>
    <w:rsid w:val="00666269"/>
    <w:rsid w:val="006662B4"/>
    <w:rsid w:val="006662B8"/>
    <w:rsid w:val="00666486"/>
    <w:rsid w:val="006664EB"/>
    <w:rsid w:val="00666897"/>
    <w:rsid w:val="006668EE"/>
    <w:rsid w:val="00666BC6"/>
    <w:rsid w:val="00666C69"/>
    <w:rsid w:val="00666EFA"/>
    <w:rsid w:val="00666FF5"/>
    <w:rsid w:val="00667358"/>
    <w:rsid w:val="00667362"/>
    <w:rsid w:val="00667376"/>
    <w:rsid w:val="0066768F"/>
    <w:rsid w:val="0066784C"/>
    <w:rsid w:val="006679A0"/>
    <w:rsid w:val="00667A09"/>
    <w:rsid w:val="00667ABB"/>
    <w:rsid w:val="00667B29"/>
    <w:rsid w:val="00667C02"/>
    <w:rsid w:val="00667CE7"/>
    <w:rsid w:val="00667EEE"/>
    <w:rsid w:val="00667F51"/>
    <w:rsid w:val="006701F9"/>
    <w:rsid w:val="0067038C"/>
    <w:rsid w:val="00670486"/>
    <w:rsid w:val="006705CB"/>
    <w:rsid w:val="006705EF"/>
    <w:rsid w:val="0067062E"/>
    <w:rsid w:val="0067076A"/>
    <w:rsid w:val="00670802"/>
    <w:rsid w:val="006709ED"/>
    <w:rsid w:val="00670AF8"/>
    <w:rsid w:val="00670B49"/>
    <w:rsid w:val="00670D65"/>
    <w:rsid w:val="00670E7F"/>
    <w:rsid w:val="00670F71"/>
    <w:rsid w:val="00670FE1"/>
    <w:rsid w:val="00671089"/>
    <w:rsid w:val="0067118B"/>
    <w:rsid w:val="00671233"/>
    <w:rsid w:val="0067132B"/>
    <w:rsid w:val="0067187C"/>
    <w:rsid w:val="0067188B"/>
    <w:rsid w:val="00671913"/>
    <w:rsid w:val="00671A30"/>
    <w:rsid w:val="00671C16"/>
    <w:rsid w:val="00671DD1"/>
    <w:rsid w:val="00671E65"/>
    <w:rsid w:val="00671F8C"/>
    <w:rsid w:val="00672039"/>
    <w:rsid w:val="00672175"/>
    <w:rsid w:val="00672209"/>
    <w:rsid w:val="00672290"/>
    <w:rsid w:val="0067238C"/>
    <w:rsid w:val="0067257E"/>
    <w:rsid w:val="00672599"/>
    <w:rsid w:val="006725F5"/>
    <w:rsid w:val="0067266C"/>
    <w:rsid w:val="0067296F"/>
    <w:rsid w:val="00672AE8"/>
    <w:rsid w:val="00672BA3"/>
    <w:rsid w:val="00672BBB"/>
    <w:rsid w:val="00672C21"/>
    <w:rsid w:val="00672D32"/>
    <w:rsid w:val="00672D53"/>
    <w:rsid w:val="00672DCF"/>
    <w:rsid w:val="00672E01"/>
    <w:rsid w:val="00672ED0"/>
    <w:rsid w:val="00672F18"/>
    <w:rsid w:val="00672F61"/>
    <w:rsid w:val="006730E5"/>
    <w:rsid w:val="0067310D"/>
    <w:rsid w:val="0067317B"/>
    <w:rsid w:val="006734F2"/>
    <w:rsid w:val="0067360B"/>
    <w:rsid w:val="0067362B"/>
    <w:rsid w:val="00673668"/>
    <w:rsid w:val="00673715"/>
    <w:rsid w:val="00673721"/>
    <w:rsid w:val="00673797"/>
    <w:rsid w:val="006737C2"/>
    <w:rsid w:val="006737D6"/>
    <w:rsid w:val="0067387F"/>
    <w:rsid w:val="00673A85"/>
    <w:rsid w:val="00673A89"/>
    <w:rsid w:val="00673B11"/>
    <w:rsid w:val="00673D3B"/>
    <w:rsid w:val="00673E05"/>
    <w:rsid w:val="00673E16"/>
    <w:rsid w:val="00673E35"/>
    <w:rsid w:val="00674074"/>
    <w:rsid w:val="0067426E"/>
    <w:rsid w:val="00674452"/>
    <w:rsid w:val="00674536"/>
    <w:rsid w:val="006746BA"/>
    <w:rsid w:val="0067489A"/>
    <w:rsid w:val="00674BC4"/>
    <w:rsid w:val="0067507C"/>
    <w:rsid w:val="006750AC"/>
    <w:rsid w:val="00675250"/>
    <w:rsid w:val="006752CB"/>
    <w:rsid w:val="006753B6"/>
    <w:rsid w:val="00675646"/>
    <w:rsid w:val="006756F0"/>
    <w:rsid w:val="00675747"/>
    <w:rsid w:val="00675852"/>
    <w:rsid w:val="00675856"/>
    <w:rsid w:val="006758FE"/>
    <w:rsid w:val="00675AC4"/>
    <w:rsid w:val="00675C00"/>
    <w:rsid w:val="00675D4E"/>
    <w:rsid w:val="00675D7D"/>
    <w:rsid w:val="00675DB5"/>
    <w:rsid w:val="00675EF3"/>
    <w:rsid w:val="00675F56"/>
    <w:rsid w:val="0067617F"/>
    <w:rsid w:val="006762EA"/>
    <w:rsid w:val="0067630B"/>
    <w:rsid w:val="00676334"/>
    <w:rsid w:val="006763F1"/>
    <w:rsid w:val="00676443"/>
    <w:rsid w:val="0067659B"/>
    <w:rsid w:val="0067695D"/>
    <w:rsid w:val="00676991"/>
    <w:rsid w:val="00676A08"/>
    <w:rsid w:val="00676A5A"/>
    <w:rsid w:val="00676B73"/>
    <w:rsid w:val="00676BCA"/>
    <w:rsid w:val="0067706F"/>
    <w:rsid w:val="006774AD"/>
    <w:rsid w:val="00677524"/>
    <w:rsid w:val="00677590"/>
    <w:rsid w:val="006775D6"/>
    <w:rsid w:val="006775FE"/>
    <w:rsid w:val="0067773E"/>
    <w:rsid w:val="0067780A"/>
    <w:rsid w:val="006779CE"/>
    <w:rsid w:val="00677B5E"/>
    <w:rsid w:val="00677E49"/>
    <w:rsid w:val="00677E8A"/>
    <w:rsid w:val="00677F98"/>
    <w:rsid w:val="00677FF1"/>
    <w:rsid w:val="0068003C"/>
    <w:rsid w:val="006800A5"/>
    <w:rsid w:val="006802DB"/>
    <w:rsid w:val="00680434"/>
    <w:rsid w:val="00680452"/>
    <w:rsid w:val="00680476"/>
    <w:rsid w:val="00680480"/>
    <w:rsid w:val="006805E3"/>
    <w:rsid w:val="00680601"/>
    <w:rsid w:val="0068091C"/>
    <w:rsid w:val="00680993"/>
    <w:rsid w:val="00680B2E"/>
    <w:rsid w:val="00680BC5"/>
    <w:rsid w:val="00680C26"/>
    <w:rsid w:val="00680C3A"/>
    <w:rsid w:val="006810A1"/>
    <w:rsid w:val="006810AA"/>
    <w:rsid w:val="006811C6"/>
    <w:rsid w:val="00681455"/>
    <w:rsid w:val="00681822"/>
    <w:rsid w:val="00681A31"/>
    <w:rsid w:val="00681BFC"/>
    <w:rsid w:val="00681C59"/>
    <w:rsid w:val="00681CBE"/>
    <w:rsid w:val="00681E77"/>
    <w:rsid w:val="00681EE6"/>
    <w:rsid w:val="00681FBC"/>
    <w:rsid w:val="0068213C"/>
    <w:rsid w:val="0068214A"/>
    <w:rsid w:val="006821B8"/>
    <w:rsid w:val="00682245"/>
    <w:rsid w:val="006822FA"/>
    <w:rsid w:val="0068232D"/>
    <w:rsid w:val="0068273F"/>
    <w:rsid w:val="00682881"/>
    <w:rsid w:val="006828FE"/>
    <w:rsid w:val="00682B26"/>
    <w:rsid w:val="00682B5B"/>
    <w:rsid w:val="00682B90"/>
    <w:rsid w:val="00682D17"/>
    <w:rsid w:val="00682D71"/>
    <w:rsid w:val="00682EE8"/>
    <w:rsid w:val="00682FC1"/>
    <w:rsid w:val="0068308B"/>
    <w:rsid w:val="006831BB"/>
    <w:rsid w:val="0068321C"/>
    <w:rsid w:val="00683419"/>
    <w:rsid w:val="00683426"/>
    <w:rsid w:val="006834C1"/>
    <w:rsid w:val="0068358F"/>
    <w:rsid w:val="0068359C"/>
    <w:rsid w:val="006835DC"/>
    <w:rsid w:val="00683676"/>
    <w:rsid w:val="00683986"/>
    <w:rsid w:val="00683AD1"/>
    <w:rsid w:val="00684145"/>
    <w:rsid w:val="006841CB"/>
    <w:rsid w:val="0068434F"/>
    <w:rsid w:val="006844DE"/>
    <w:rsid w:val="0068464C"/>
    <w:rsid w:val="0068465A"/>
    <w:rsid w:val="00684689"/>
    <w:rsid w:val="00684727"/>
    <w:rsid w:val="006849F3"/>
    <w:rsid w:val="00684BD9"/>
    <w:rsid w:val="00684D1F"/>
    <w:rsid w:val="00684DC4"/>
    <w:rsid w:val="00684E4B"/>
    <w:rsid w:val="00684FB2"/>
    <w:rsid w:val="00684FD1"/>
    <w:rsid w:val="006850BE"/>
    <w:rsid w:val="00685182"/>
    <w:rsid w:val="0068534E"/>
    <w:rsid w:val="006854A9"/>
    <w:rsid w:val="0068559B"/>
    <w:rsid w:val="006855AE"/>
    <w:rsid w:val="006855CA"/>
    <w:rsid w:val="006856B6"/>
    <w:rsid w:val="006856C8"/>
    <w:rsid w:val="0068590F"/>
    <w:rsid w:val="00685A1D"/>
    <w:rsid w:val="00685AA0"/>
    <w:rsid w:val="00685E07"/>
    <w:rsid w:val="00685EC1"/>
    <w:rsid w:val="0068608D"/>
    <w:rsid w:val="006860E4"/>
    <w:rsid w:val="0068621D"/>
    <w:rsid w:val="00686264"/>
    <w:rsid w:val="006862A9"/>
    <w:rsid w:val="006862B0"/>
    <w:rsid w:val="00686435"/>
    <w:rsid w:val="00686618"/>
    <w:rsid w:val="00686823"/>
    <w:rsid w:val="006868A1"/>
    <w:rsid w:val="00686A34"/>
    <w:rsid w:val="00686BB5"/>
    <w:rsid w:val="00686DF7"/>
    <w:rsid w:val="00686FAB"/>
    <w:rsid w:val="00686FCA"/>
    <w:rsid w:val="006870BC"/>
    <w:rsid w:val="0068710C"/>
    <w:rsid w:val="00687120"/>
    <w:rsid w:val="00687183"/>
    <w:rsid w:val="00687333"/>
    <w:rsid w:val="006873BA"/>
    <w:rsid w:val="00687417"/>
    <w:rsid w:val="006874D7"/>
    <w:rsid w:val="006875A6"/>
    <w:rsid w:val="00687658"/>
    <w:rsid w:val="006876AA"/>
    <w:rsid w:val="006877D4"/>
    <w:rsid w:val="006878EC"/>
    <w:rsid w:val="006879E3"/>
    <w:rsid w:val="00687CD6"/>
    <w:rsid w:val="00687CFC"/>
    <w:rsid w:val="00687DBD"/>
    <w:rsid w:val="0069011F"/>
    <w:rsid w:val="00690136"/>
    <w:rsid w:val="006901F9"/>
    <w:rsid w:val="006902C4"/>
    <w:rsid w:val="0069039C"/>
    <w:rsid w:val="0069057F"/>
    <w:rsid w:val="006907E6"/>
    <w:rsid w:val="0069080C"/>
    <w:rsid w:val="00690880"/>
    <w:rsid w:val="00690971"/>
    <w:rsid w:val="006909B1"/>
    <w:rsid w:val="006909DF"/>
    <w:rsid w:val="00690CB9"/>
    <w:rsid w:val="00690D2B"/>
    <w:rsid w:val="00690D6E"/>
    <w:rsid w:val="006912DD"/>
    <w:rsid w:val="0069133E"/>
    <w:rsid w:val="0069143F"/>
    <w:rsid w:val="00691533"/>
    <w:rsid w:val="0069155B"/>
    <w:rsid w:val="0069162F"/>
    <w:rsid w:val="006916A4"/>
    <w:rsid w:val="00691734"/>
    <w:rsid w:val="0069176C"/>
    <w:rsid w:val="00691985"/>
    <w:rsid w:val="00691B4D"/>
    <w:rsid w:val="00691BAB"/>
    <w:rsid w:val="00691C05"/>
    <w:rsid w:val="00691C2E"/>
    <w:rsid w:val="00691F52"/>
    <w:rsid w:val="0069223B"/>
    <w:rsid w:val="00692269"/>
    <w:rsid w:val="006923D9"/>
    <w:rsid w:val="00692528"/>
    <w:rsid w:val="00692681"/>
    <w:rsid w:val="0069292D"/>
    <w:rsid w:val="00692999"/>
    <w:rsid w:val="00692CC5"/>
    <w:rsid w:val="00692D98"/>
    <w:rsid w:val="00692DBD"/>
    <w:rsid w:val="00692EA8"/>
    <w:rsid w:val="00693148"/>
    <w:rsid w:val="006931DC"/>
    <w:rsid w:val="006932A0"/>
    <w:rsid w:val="0069344F"/>
    <w:rsid w:val="00693510"/>
    <w:rsid w:val="006937F7"/>
    <w:rsid w:val="00693845"/>
    <w:rsid w:val="00693920"/>
    <w:rsid w:val="00693A08"/>
    <w:rsid w:val="00693A18"/>
    <w:rsid w:val="00693B86"/>
    <w:rsid w:val="00693D0C"/>
    <w:rsid w:val="00693D75"/>
    <w:rsid w:val="00693DCD"/>
    <w:rsid w:val="00693E50"/>
    <w:rsid w:val="00694281"/>
    <w:rsid w:val="006942E1"/>
    <w:rsid w:val="00694575"/>
    <w:rsid w:val="0069458E"/>
    <w:rsid w:val="00694BB7"/>
    <w:rsid w:val="00694C04"/>
    <w:rsid w:val="00694C2F"/>
    <w:rsid w:val="0069505D"/>
    <w:rsid w:val="006950CB"/>
    <w:rsid w:val="0069531C"/>
    <w:rsid w:val="00695423"/>
    <w:rsid w:val="00695541"/>
    <w:rsid w:val="00695746"/>
    <w:rsid w:val="00695A34"/>
    <w:rsid w:val="00695D7E"/>
    <w:rsid w:val="00695D8B"/>
    <w:rsid w:val="00695D90"/>
    <w:rsid w:val="00695F20"/>
    <w:rsid w:val="006960CC"/>
    <w:rsid w:val="0069624F"/>
    <w:rsid w:val="00696479"/>
    <w:rsid w:val="0069649F"/>
    <w:rsid w:val="006965A0"/>
    <w:rsid w:val="006966E1"/>
    <w:rsid w:val="00696A71"/>
    <w:rsid w:val="00696B47"/>
    <w:rsid w:val="00696BC4"/>
    <w:rsid w:val="00696C97"/>
    <w:rsid w:val="00696D8B"/>
    <w:rsid w:val="00696EF7"/>
    <w:rsid w:val="00697199"/>
    <w:rsid w:val="006971C3"/>
    <w:rsid w:val="006971C6"/>
    <w:rsid w:val="0069731B"/>
    <w:rsid w:val="00697348"/>
    <w:rsid w:val="00697422"/>
    <w:rsid w:val="006978D2"/>
    <w:rsid w:val="006978EE"/>
    <w:rsid w:val="006979A6"/>
    <w:rsid w:val="00697BFC"/>
    <w:rsid w:val="00697C3F"/>
    <w:rsid w:val="00697EB6"/>
    <w:rsid w:val="00697ED9"/>
    <w:rsid w:val="006A01BB"/>
    <w:rsid w:val="006A01FB"/>
    <w:rsid w:val="006A02FC"/>
    <w:rsid w:val="006A030E"/>
    <w:rsid w:val="006A0356"/>
    <w:rsid w:val="006A0385"/>
    <w:rsid w:val="006A0395"/>
    <w:rsid w:val="006A0399"/>
    <w:rsid w:val="006A04AD"/>
    <w:rsid w:val="006A0551"/>
    <w:rsid w:val="006A05CC"/>
    <w:rsid w:val="006A0BB2"/>
    <w:rsid w:val="006A0C08"/>
    <w:rsid w:val="006A0C0E"/>
    <w:rsid w:val="006A0D2B"/>
    <w:rsid w:val="006A0D45"/>
    <w:rsid w:val="006A0EA6"/>
    <w:rsid w:val="006A0EE9"/>
    <w:rsid w:val="006A10B8"/>
    <w:rsid w:val="006A11BE"/>
    <w:rsid w:val="006A1231"/>
    <w:rsid w:val="006A1331"/>
    <w:rsid w:val="006A15AE"/>
    <w:rsid w:val="006A1785"/>
    <w:rsid w:val="006A17DB"/>
    <w:rsid w:val="006A190E"/>
    <w:rsid w:val="006A19F0"/>
    <w:rsid w:val="006A1C3E"/>
    <w:rsid w:val="006A1CC5"/>
    <w:rsid w:val="006A1CC9"/>
    <w:rsid w:val="006A1CEF"/>
    <w:rsid w:val="006A1D28"/>
    <w:rsid w:val="006A1E9A"/>
    <w:rsid w:val="006A1F4F"/>
    <w:rsid w:val="006A1F64"/>
    <w:rsid w:val="006A2278"/>
    <w:rsid w:val="006A22B0"/>
    <w:rsid w:val="006A22C9"/>
    <w:rsid w:val="006A23F8"/>
    <w:rsid w:val="006A2716"/>
    <w:rsid w:val="006A28C5"/>
    <w:rsid w:val="006A2906"/>
    <w:rsid w:val="006A293F"/>
    <w:rsid w:val="006A2A54"/>
    <w:rsid w:val="006A2BDD"/>
    <w:rsid w:val="006A2D79"/>
    <w:rsid w:val="006A2E08"/>
    <w:rsid w:val="006A3054"/>
    <w:rsid w:val="006A317F"/>
    <w:rsid w:val="006A3198"/>
    <w:rsid w:val="006A358E"/>
    <w:rsid w:val="006A3685"/>
    <w:rsid w:val="006A3776"/>
    <w:rsid w:val="006A383B"/>
    <w:rsid w:val="006A395F"/>
    <w:rsid w:val="006A39DB"/>
    <w:rsid w:val="006A3A80"/>
    <w:rsid w:val="006A3B74"/>
    <w:rsid w:val="006A3DC5"/>
    <w:rsid w:val="006A4186"/>
    <w:rsid w:val="006A428A"/>
    <w:rsid w:val="006A42F8"/>
    <w:rsid w:val="006A4475"/>
    <w:rsid w:val="006A4535"/>
    <w:rsid w:val="006A458E"/>
    <w:rsid w:val="006A48B7"/>
    <w:rsid w:val="006A49FD"/>
    <w:rsid w:val="006A4A49"/>
    <w:rsid w:val="006A4CF0"/>
    <w:rsid w:val="006A4D28"/>
    <w:rsid w:val="006A4E1F"/>
    <w:rsid w:val="006A5028"/>
    <w:rsid w:val="006A5040"/>
    <w:rsid w:val="006A52DD"/>
    <w:rsid w:val="006A5371"/>
    <w:rsid w:val="006A5432"/>
    <w:rsid w:val="006A5440"/>
    <w:rsid w:val="006A54E1"/>
    <w:rsid w:val="006A550F"/>
    <w:rsid w:val="006A554E"/>
    <w:rsid w:val="006A5792"/>
    <w:rsid w:val="006A58BE"/>
    <w:rsid w:val="006A59B7"/>
    <w:rsid w:val="006A5A7E"/>
    <w:rsid w:val="006A5A9B"/>
    <w:rsid w:val="006A5BB6"/>
    <w:rsid w:val="006A5CF6"/>
    <w:rsid w:val="006A5D4E"/>
    <w:rsid w:val="006A606C"/>
    <w:rsid w:val="006A60BE"/>
    <w:rsid w:val="006A60D2"/>
    <w:rsid w:val="006A62CD"/>
    <w:rsid w:val="006A66A0"/>
    <w:rsid w:val="006A69A3"/>
    <w:rsid w:val="006A69B7"/>
    <w:rsid w:val="006A6B3B"/>
    <w:rsid w:val="006A6B47"/>
    <w:rsid w:val="006A6BA8"/>
    <w:rsid w:val="006A6C2F"/>
    <w:rsid w:val="006A6C96"/>
    <w:rsid w:val="006A6EF2"/>
    <w:rsid w:val="006A6FAD"/>
    <w:rsid w:val="006A7162"/>
    <w:rsid w:val="006A723C"/>
    <w:rsid w:val="006A7276"/>
    <w:rsid w:val="006A7560"/>
    <w:rsid w:val="006A768D"/>
    <w:rsid w:val="006A77D5"/>
    <w:rsid w:val="006A785C"/>
    <w:rsid w:val="006A796B"/>
    <w:rsid w:val="006A796C"/>
    <w:rsid w:val="006A7C7D"/>
    <w:rsid w:val="006A7CB6"/>
    <w:rsid w:val="006A7D6D"/>
    <w:rsid w:val="006A7E5C"/>
    <w:rsid w:val="006A7F0B"/>
    <w:rsid w:val="006A7F7A"/>
    <w:rsid w:val="006B0033"/>
    <w:rsid w:val="006B0772"/>
    <w:rsid w:val="006B08E7"/>
    <w:rsid w:val="006B0AC7"/>
    <w:rsid w:val="006B0C0D"/>
    <w:rsid w:val="006B0D46"/>
    <w:rsid w:val="006B0EBC"/>
    <w:rsid w:val="006B102A"/>
    <w:rsid w:val="006B1273"/>
    <w:rsid w:val="006B132E"/>
    <w:rsid w:val="006B13E1"/>
    <w:rsid w:val="006B1482"/>
    <w:rsid w:val="006B165B"/>
    <w:rsid w:val="006B166C"/>
    <w:rsid w:val="006B1737"/>
    <w:rsid w:val="006B1787"/>
    <w:rsid w:val="006B190B"/>
    <w:rsid w:val="006B1946"/>
    <w:rsid w:val="006B19FF"/>
    <w:rsid w:val="006B1D0A"/>
    <w:rsid w:val="006B1F19"/>
    <w:rsid w:val="006B20DA"/>
    <w:rsid w:val="006B2202"/>
    <w:rsid w:val="006B2339"/>
    <w:rsid w:val="006B27C4"/>
    <w:rsid w:val="006B280D"/>
    <w:rsid w:val="006B2AB5"/>
    <w:rsid w:val="006B2B08"/>
    <w:rsid w:val="006B2B44"/>
    <w:rsid w:val="006B2BA1"/>
    <w:rsid w:val="006B2BF1"/>
    <w:rsid w:val="006B2CC0"/>
    <w:rsid w:val="006B2DAA"/>
    <w:rsid w:val="006B2DE6"/>
    <w:rsid w:val="006B2E5E"/>
    <w:rsid w:val="006B2F3B"/>
    <w:rsid w:val="006B305B"/>
    <w:rsid w:val="006B3136"/>
    <w:rsid w:val="006B3166"/>
    <w:rsid w:val="006B3293"/>
    <w:rsid w:val="006B32E0"/>
    <w:rsid w:val="006B338E"/>
    <w:rsid w:val="006B34F0"/>
    <w:rsid w:val="006B3629"/>
    <w:rsid w:val="006B39FB"/>
    <w:rsid w:val="006B3BAD"/>
    <w:rsid w:val="006B3FB5"/>
    <w:rsid w:val="006B418D"/>
    <w:rsid w:val="006B42F6"/>
    <w:rsid w:val="006B4338"/>
    <w:rsid w:val="006B43B5"/>
    <w:rsid w:val="006B44B3"/>
    <w:rsid w:val="006B4627"/>
    <w:rsid w:val="006B4685"/>
    <w:rsid w:val="006B475B"/>
    <w:rsid w:val="006B490F"/>
    <w:rsid w:val="006B49BA"/>
    <w:rsid w:val="006B49F4"/>
    <w:rsid w:val="006B4A80"/>
    <w:rsid w:val="006B4AB1"/>
    <w:rsid w:val="006B4BDC"/>
    <w:rsid w:val="006B4E75"/>
    <w:rsid w:val="006B4EB2"/>
    <w:rsid w:val="006B5306"/>
    <w:rsid w:val="006B53B2"/>
    <w:rsid w:val="006B5777"/>
    <w:rsid w:val="006B59C3"/>
    <w:rsid w:val="006B5A7C"/>
    <w:rsid w:val="006B5F6A"/>
    <w:rsid w:val="006B606F"/>
    <w:rsid w:val="006B607B"/>
    <w:rsid w:val="006B621E"/>
    <w:rsid w:val="006B62F5"/>
    <w:rsid w:val="006B64D3"/>
    <w:rsid w:val="006B65BF"/>
    <w:rsid w:val="006B66B9"/>
    <w:rsid w:val="006B6751"/>
    <w:rsid w:val="006B6831"/>
    <w:rsid w:val="006B68B2"/>
    <w:rsid w:val="006B6930"/>
    <w:rsid w:val="006B69E2"/>
    <w:rsid w:val="006B6AAD"/>
    <w:rsid w:val="006B6B89"/>
    <w:rsid w:val="006B6B8C"/>
    <w:rsid w:val="006B6CBE"/>
    <w:rsid w:val="006B6D9A"/>
    <w:rsid w:val="006B6E1B"/>
    <w:rsid w:val="006B6F27"/>
    <w:rsid w:val="006B7011"/>
    <w:rsid w:val="006B70D8"/>
    <w:rsid w:val="006B7640"/>
    <w:rsid w:val="006B7665"/>
    <w:rsid w:val="006B78B2"/>
    <w:rsid w:val="006B7A4D"/>
    <w:rsid w:val="006B7AA5"/>
    <w:rsid w:val="006B7CFD"/>
    <w:rsid w:val="006B7D43"/>
    <w:rsid w:val="006B7FA5"/>
    <w:rsid w:val="006BD94E"/>
    <w:rsid w:val="006C0268"/>
    <w:rsid w:val="006C029A"/>
    <w:rsid w:val="006C0372"/>
    <w:rsid w:val="006C0551"/>
    <w:rsid w:val="006C058E"/>
    <w:rsid w:val="006C087C"/>
    <w:rsid w:val="006C0903"/>
    <w:rsid w:val="006C0ADC"/>
    <w:rsid w:val="006C0AF0"/>
    <w:rsid w:val="006C0B45"/>
    <w:rsid w:val="006C0C33"/>
    <w:rsid w:val="006C0C65"/>
    <w:rsid w:val="006C0C73"/>
    <w:rsid w:val="006C1003"/>
    <w:rsid w:val="006C13EC"/>
    <w:rsid w:val="006C1552"/>
    <w:rsid w:val="006C187C"/>
    <w:rsid w:val="006C1970"/>
    <w:rsid w:val="006C1977"/>
    <w:rsid w:val="006C1996"/>
    <w:rsid w:val="006C19D0"/>
    <w:rsid w:val="006C1B40"/>
    <w:rsid w:val="006C1CEA"/>
    <w:rsid w:val="006C1D52"/>
    <w:rsid w:val="006C1E0B"/>
    <w:rsid w:val="006C212A"/>
    <w:rsid w:val="006C2259"/>
    <w:rsid w:val="006C2365"/>
    <w:rsid w:val="006C2536"/>
    <w:rsid w:val="006C274A"/>
    <w:rsid w:val="006C2762"/>
    <w:rsid w:val="006C29F1"/>
    <w:rsid w:val="006C29F3"/>
    <w:rsid w:val="006C2A26"/>
    <w:rsid w:val="006C2B3F"/>
    <w:rsid w:val="006C2B65"/>
    <w:rsid w:val="006C2CCB"/>
    <w:rsid w:val="006C2CD5"/>
    <w:rsid w:val="006C30C6"/>
    <w:rsid w:val="006C31AF"/>
    <w:rsid w:val="006C3277"/>
    <w:rsid w:val="006C35E2"/>
    <w:rsid w:val="006C3695"/>
    <w:rsid w:val="006C36C4"/>
    <w:rsid w:val="006C3793"/>
    <w:rsid w:val="006C38D9"/>
    <w:rsid w:val="006C393F"/>
    <w:rsid w:val="006C39C2"/>
    <w:rsid w:val="006C3B0D"/>
    <w:rsid w:val="006C3E3D"/>
    <w:rsid w:val="006C3F44"/>
    <w:rsid w:val="006C3FFC"/>
    <w:rsid w:val="006C42F5"/>
    <w:rsid w:val="006C4325"/>
    <w:rsid w:val="006C4414"/>
    <w:rsid w:val="006C44FB"/>
    <w:rsid w:val="006C48D2"/>
    <w:rsid w:val="006C4B09"/>
    <w:rsid w:val="006C4C42"/>
    <w:rsid w:val="006C4D04"/>
    <w:rsid w:val="006C4D85"/>
    <w:rsid w:val="006C4D8E"/>
    <w:rsid w:val="006C4E5F"/>
    <w:rsid w:val="006C4F3E"/>
    <w:rsid w:val="006C4FCA"/>
    <w:rsid w:val="006C54B8"/>
    <w:rsid w:val="006C5556"/>
    <w:rsid w:val="006C5666"/>
    <w:rsid w:val="006C56B2"/>
    <w:rsid w:val="006C5825"/>
    <w:rsid w:val="006C5878"/>
    <w:rsid w:val="006C59D1"/>
    <w:rsid w:val="006C5CF7"/>
    <w:rsid w:val="006C5D5B"/>
    <w:rsid w:val="006C5D9E"/>
    <w:rsid w:val="006C5EE2"/>
    <w:rsid w:val="006C5F3C"/>
    <w:rsid w:val="006C5F90"/>
    <w:rsid w:val="006C601B"/>
    <w:rsid w:val="006C614F"/>
    <w:rsid w:val="006C658E"/>
    <w:rsid w:val="006C65DF"/>
    <w:rsid w:val="006C665C"/>
    <w:rsid w:val="006C6854"/>
    <w:rsid w:val="006C6860"/>
    <w:rsid w:val="006C68C7"/>
    <w:rsid w:val="006C695F"/>
    <w:rsid w:val="006C6AD5"/>
    <w:rsid w:val="006C6B40"/>
    <w:rsid w:val="006C6D3C"/>
    <w:rsid w:val="006C6E92"/>
    <w:rsid w:val="006C6F34"/>
    <w:rsid w:val="006C7073"/>
    <w:rsid w:val="006C7197"/>
    <w:rsid w:val="006C72B4"/>
    <w:rsid w:val="006C72DA"/>
    <w:rsid w:val="006C7352"/>
    <w:rsid w:val="006C73FF"/>
    <w:rsid w:val="006C7734"/>
    <w:rsid w:val="006C7B65"/>
    <w:rsid w:val="006C7C57"/>
    <w:rsid w:val="006C7DFA"/>
    <w:rsid w:val="006D00F6"/>
    <w:rsid w:val="006D0330"/>
    <w:rsid w:val="006D03AF"/>
    <w:rsid w:val="006D03E4"/>
    <w:rsid w:val="006D0766"/>
    <w:rsid w:val="006D07EF"/>
    <w:rsid w:val="006D0AFF"/>
    <w:rsid w:val="006D0B5A"/>
    <w:rsid w:val="006D0BDB"/>
    <w:rsid w:val="006D0C3D"/>
    <w:rsid w:val="006D0CB1"/>
    <w:rsid w:val="006D0DF4"/>
    <w:rsid w:val="006D1093"/>
    <w:rsid w:val="006D1193"/>
    <w:rsid w:val="006D130C"/>
    <w:rsid w:val="006D133E"/>
    <w:rsid w:val="006D146E"/>
    <w:rsid w:val="006D16D3"/>
    <w:rsid w:val="006D1AFC"/>
    <w:rsid w:val="006D201D"/>
    <w:rsid w:val="006D20CB"/>
    <w:rsid w:val="006D2493"/>
    <w:rsid w:val="006D24DF"/>
    <w:rsid w:val="006D24FB"/>
    <w:rsid w:val="006D286C"/>
    <w:rsid w:val="006D28E5"/>
    <w:rsid w:val="006D295D"/>
    <w:rsid w:val="006D2ABA"/>
    <w:rsid w:val="006D2ABC"/>
    <w:rsid w:val="006D2B24"/>
    <w:rsid w:val="006D2B75"/>
    <w:rsid w:val="006D2BDB"/>
    <w:rsid w:val="006D2C17"/>
    <w:rsid w:val="006D2E63"/>
    <w:rsid w:val="006D2FD2"/>
    <w:rsid w:val="006D3078"/>
    <w:rsid w:val="006D340A"/>
    <w:rsid w:val="006D362B"/>
    <w:rsid w:val="006D3634"/>
    <w:rsid w:val="006D36D6"/>
    <w:rsid w:val="006D36E6"/>
    <w:rsid w:val="006D37DB"/>
    <w:rsid w:val="006D37F8"/>
    <w:rsid w:val="006D3823"/>
    <w:rsid w:val="006D3933"/>
    <w:rsid w:val="006D398E"/>
    <w:rsid w:val="006D3D27"/>
    <w:rsid w:val="006D3EDC"/>
    <w:rsid w:val="006D3F24"/>
    <w:rsid w:val="006D3FA0"/>
    <w:rsid w:val="006D3FA2"/>
    <w:rsid w:val="006D4066"/>
    <w:rsid w:val="006D417A"/>
    <w:rsid w:val="006D436C"/>
    <w:rsid w:val="006D43A3"/>
    <w:rsid w:val="006D441E"/>
    <w:rsid w:val="006D4715"/>
    <w:rsid w:val="006D49F9"/>
    <w:rsid w:val="006D4AEE"/>
    <w:rsid w:val="006D4CD4"/>
    <w:rsid w:val="006D504B"/>
    <w:rsid w:val="006D520D"/>
    <w:rsid w:val="006D5628"/>
    <w:rsid w:val="006D574E"/>
    <w:rsid w:val="006D5921"/>
    <w:rsid w:val="006D5942"/>
    <w:rsid w:val="006D5A82"/>
    <w:rsid w:val="006D5AC7"/>
    <w:rsid w:val="006D5DEE"/>
    <w:rsid w:val="006D5EE0"/>
    <w:rsid w:val="006D6064"/>
    <w:rsid w:val="006D60A1"/>
    <w:rsid w:val="006D61B4"/>
    <w:rsid w:val="006D61DA"/>
    <w:rsid w:val="006D61E2"/>
    <w:rsid w:val="006D61E5"/>
    <w:rsid w:val="006D6252"/>
    <w:rsid w:val="006D6325"/>
    <w:rsid w:val="006D6562"/>
    <w:rsid w:val="006D65FE"/>
    <w:rsid w:val="006D67DC"/>
    <w:rsid w:val="006D69EF"/>
    <w:rsid w:val="006D6AC3"/>
    <w:rsid w:val="006D6F15"/>
    <w:rsid w:val="006D7118"/>
    <w:rsid w:val="006D71B6"/>
    <w:rsid w:val="006D71DB"/>
    <w:rsid w:val="006D7215"/>
    <w:rsid w:val="006D73AE"/>
    <w:rsid w:val="006D73F2"/>
    <w:rsid w:val="006D74F3"/>
    <w:rsid w:val="006D7679"/>
    <w:rsid w:val="006D76DE"/>
    <w:rsid w:val="006D7717"/>
    <w:rsid w:val="006D7786"/>
    <w:rsid w:val="006D7859"/>
    <w:rsid w:val="006D787A"/>
    <w:rsid w:val="006D7938"/>
    <w:rsid w:val="006D7BC5"/>
    <w:rsid w:val="006D7C10"/>
    <w:rsid w:val="006D7C94"/>
    <w:rsid w:val="006D7C96"/>
    <w:rsid w:val="006D7CCF"/>
    <w:rsid w:val="006D7D04"/>
    <w:rsid w:val="006D7EB7"/>
    <w:rsid w:val="006D7ED4"/>
    <w:rsid w:val="006D7F6A"/>
    <w:rsid w:val="006E0133"/>
    <w:rsid w:val="006E01DD"/>
    <w:rsid w:val="006E039C"/>
    <w:rsid w:val="006E0496"/>
    <w:rsid w:val="006E079B"/>
    <w:rsid w:val="006E0A2D"/>
    <w:rsid w:val="006E0BB7"/>
    <w:rsid w:val="006E0BF6"/>
    <w:rsid w:val="006E0D58"/>
    <w:rsid w:val="006E0D62"/>
    <w:rsid w:val="006E0D76"/>
    <w:rsid w:val="006E11F3"/>
    <w:rsid w:val="006E1476"/>
    <w:rsid w:val="006E18D0"/>
    <w:rsid w:val="006E1A24"/>
    <w:rsid w:val="006E1A76"/>
    <w:rsid w:val="006E1C34"/>
    <w:rsid w:val="006E214D"/>
    <w:rsid w:val="006E22DB"/>
    <w:rsid w:val="006E2446"/>
    <w:rsid w:val="006E24A7"/>
    <w:rsid w:val="006E2723"/>
    <w:rsid w:val="006E27B9"/>
    <w:rsid w:val="006E2886"/>
    <w:rsid w:val="006E2BA6"/>
    <w:rsid w:val="006E2E6A"/>
    <w:rsid w:val="006E2F14"/>
    <w:rsid w:val="006E2F5C"/>
    <w:rsid w:val="006E3721"/>
    <w:rsid w:val="006E374E"/>
    <w:rsid w:val="006E3840"/>
    <w:rsid w:val="006E38D8"/>
    <w:rsid w:val="006E3B32"/>
    <w:rsid w:val="006E3D0D"/>
    <w:rsid w:val="006E3F2C"/>
    <w:rsid w:val="006E4059"/>
    <w:rsid w:val="006E407B"/>
    <w:rsid w:val="006E40D4"/>
    <w:rsid w:val="006E4108"/>
    <w:rsid w:val="006E42DD"/>
    <w:rsid w:val="006E4402"/>
    <w:rsid w:val="006E4701"/>
    <w:rsid w:val="006E47E4"/>
    <w:rsid w:val="006E4901"/>
    <w:rsid w:val="006E4C33"/>
    <w:rsid w:val="006E4EF3"/>
    <w:rsid w:val="006E4F3D"/>
    <w:rsid w:val="006E4F88"/>
    <w:rsid w:val="006E5462"/>
    <w:rsid w:val="006E557C"/>
    <w:rsid w:val="006E5590"/>
    <w:rsid w:val="006E5603"/>
    <w:rsid w:val="006E59F8"/>
    <w:rsid w:val="006E5CDA"/>
    <w:rsid w:val="006E5D18"/>
    <w:rsid w:val="006E5E97"/>
    <w:rsid w:val="006E5F45"/>
    <w:rsid w:val="006E5F6B"/>
    <w:rsid w:val="006E60BC"/>
    <w:rsid w:val="006E60EC"/>
    <w:rsid w:val="006E6178"/>
    <w:rsid w:val="006E623E"/>
    <w:rsid w:val="006E6584"/>
    <w:rsid w:val="006E65AE"/>
    <w:rsid w:val="006E65E2"/>
    <w:rsid w:val="006E669D"/>
    <w:rsid w:val="006E6784"/>
    <w:rsid w:val="006E68E0"/>
    <w:rsid w:val="006E6C8D"/>
    <w:rsid w:val="006E6E45"/>
    <w:rsid w:val="006E6EAD"/>
    <w:rsid w:val="006E7047"/>
    <w:rsid w:val="006E70AB"/>
    <w:rsid w:val="006E731B"/>
    <w:rsid w:val="006E732D"/>
    <w:rsid w:val="006E740A"/>
    <w:rsid w:val="006E76A9"/>
    <w:rsid w:val="006E76AA"/>
    <w:rsid w:val="006E7880"/>
    <w:rsid w:val="006E789E"/>
    <w:rsid w:val="006E7986"/>
    <w:rsid w:val="006E7A37"/>
    <w:rsid w:val="006E7CCD"/>
    <w:rsid w:val="006E7E29"/>
    <w:rsid w:val="006E7EF1"/>
    <w:rsid w:val="006E7F0A"/>
    <w:rsid w:val="006F00F7"/>
    <w:rsid w:val="006F0400"/>
    <w:rsid w:val="006F04F2"/>
    <w:rsid w:val="006F06A4"/>
    <w:rsid w:val="006F0740"/>
    <w:rsid w:val="006F082D"/>
    <w:rsid w:val="006F0879"/>
    <w:rsid w:val="006F0A7B"/>
    <w:rsid w:val="006F0B9B"/>
    <w:rsid w:val="006F0E3B"/>
    <w:rsid w:val="006F0F5C"/>
    <w:rsid w:val="006F0FFC"/>
    <w:rsid w:val="006F1207"/>
    <w:rsid w:val="006F1276"/>
    <w:rsid w:val="006F12A1"/>
    <w:rsid w:val="006F12ED"/>
    <w:rsid w:val="006F12FB"/>
    <w:rsid w:val="006F13F3"/>
    <w:rsid w:val="006F1667"/>
    <w:rsid w:val="006F179E"/>
    <w:rsid w:val="006F17E5"/>
    <w:rsid w:val="006F1908"/>
    <w:rsid w:val="006F1D64"/>
    <w:rsid w:val="006F1E17"/>
    <w:rsid w:val="006F1E57"/>
    <w:rsid w:val="006F1EF3"/>
    <w:rsid w:val="006F224E"/>
    <w:rsid w:val="006F2410"/>
    <w:rsid w:val="006F24C0"/>
    <w:rsid w:val="006F2605"/>
    <w:rsid w:val="006F265C"/>
    <w:rsid w:val="006F27C7"/>
    <w:rsid w:val="006F29F8"/>
    <w:rsid w:val="006F2B10"/>
    <w:rsid w:val="006F2B25"/>
    <w:rsid w:val="006F3014"/>
    <w:rsid w:val="006F31CF"/>
    <w:rsid w:val="006F3205"/>
    <w:rsid w:val="006F34DA"/>
    <w:rsid w:val="006F39CC"/>
    <w:rsid w:val="006F3AEC"/>
    <w:rsid w:val="006F3E26"/>
    <w:rsid w:val="006F3E61"/>
    <w:rsid w:val="006F3EF5"/>
    <w:rsid w:val="006F3F05"/>
    <w:rsid w:val="006F3F2D"/>
    <w:rsid w:val="006F4093"/>
    <w:rsid w:val="006F4099"/>
    <w:rsid w:val="006F4257"/>
    <w:rsid w:val="006F4342"/>
    <w:rsid w:val="006F4382"/>
    <w:rsid w:val="006F448E"/>
    <w:rsid w:val="006F4538"/>
    <w:rsid w:val="006F45E6"/>
    <w:rsid w:val="006F4627"/>
    <w:rsid w:val="006F4770"/>
    <w:rsid w:val="006F487E"/>
    <w:rsid w:val="006F4882"/>
    <w:rsid w:val="006F48A6"/>
    <w:rsid w:val="006F490A"/>
    <w:rsid w:val="006F4A39"/>
    <w:rsid w:val="006F4A6B"/>
    <w:rsid w:val="006F4B6F"/>
    <w:rsid w:val="006F4BC6"/>
    <w:rsid w:val="006F4E31"/>
    <w:rsid w:val="006F4E42"/>
    <w:rsid w:val="006F51A6"/>
    <w:rsid w:val="006F51EA"/>
    <w:rsid w:val="006F526A"/>
    <w:rsid w:val="006F532C"/>
    <w:rsid w:val="006F5403"/>
    <w:rsid w:val="006F5424"/>
    <w:rsid w:val="006F5430"/>
    <w:rsid w:val="006F56E4"/>
    <w:rsid w:val="006F5794"/>
    <w:rsid w:val="006F5953"/>
    <w:rsid w:val="006F5A32"/>
    <w:rsid w:val="006F5A70"/>
    <w:rsid w:val="006F5ABC"/>
    <w:rsid w:val="006F5AD9"/>
    <w:rsid w:val="006F5C52"/>
    <w:rsid w:val="006F5E65"/>
    <w:rsid w:val="006F5E9B"/>
    <w:rsid w:val="006F605A"/>
    <w:rsid w:val="006F620D"/>
    <w:rsid w:val="006F621D"/>
    <w:rsid w:val="006F646F"/>
    <w:rsid w:val="006F65FB"/>
    <w:rsid w:val="006F67BB"/>
    <w:rsid w:val="006F6879"/>
    <w:rsid w:val="006F6A73"/>
    <w:rsid w:val="006F6B6A"/>
    <w:rsid w:val="006F6BA7"/>
    <w:rsid w:val="006F6D35"/>
    <w:rsid w:val="006F6E8D"/>
    <w:rsid w:val="006F6FCE"/>
    <w:rsid w:val="006F6FD8"/>
    <w:rsid w:val="006F7055"/>
    <w:rsid w:val="006F7250"/>
    <w:rsid w:val="006F7633"/>
    <w:rsid w:val="006F76CB"/>
    <w:rsid w:val="006F7829"/>
    <w:rsid w:val="006F7C64"/>
    <w:rsid w:val="006F7FC4"/>
    <w:rsid w:val="006F7FF6"/>
    <w:rsid w:val="00700029"/>
    <w:rsid w:val="00700051"/>
    <w:rsid w:val="007000EB"/>
    <w:rsid w:val="007000EC"/>
    <w:rsid w:val="00700160"/>
    <w:rsid w:val="007001C2"/>
    <w:rsid w:val="0070025A"/>
    <w:rsid w:val="0070042F"/>
    <w:rsid w:val="0070050A"/>
    <w:rsid w:val="007005A6"/>
    <w:rsid w:val="00700658"/>
    <w:rsid w:val="0070066C"/>
    <w:rsid w:val="0070067E"/>
    <w:rsid w:val="00700699"/>
    <w:rsid w:val="00700722"/>
    <w:rsid w:val="00700779"/>
    <w:rsid w:val="007007B4"/>
    <w:rsid w:val="00700895"/>
    <w:rsid w:val="00700C0B"/>
    <w:rsid w:val="00700C2D"/>
    <w:rsid w:val="00700D03"/>
    <w:rsid w:val="00700D47"/>
    <w:rsid w:val="00700D94"/>
    <w:rsid w:val="00700E1A"/>
    <w:rsid w:val="007010B2"/>
    <w:rsid w:val="007010BF"/>
    <w:rsid w:val="00701269"/>
    <w:rsid w:val="00701310"/>
    <w:rsid w:val="00701331"/>
    <w:rsid w:val="007013D4"/>
    <w:rsid w:val="007013E1"/>
    <w:rsid w:val="007015AB"/>
    <w:rsid w:val="007016E4"/>
    <w:rsid w:val="00701723"/>
    <w:rsid w:val="00701724"/>
    <w:rsid w:val="00701991"/>
    <w:rsid w:val="00701A03"/>
    <w:rsid w:val="00701BAC"/>
    <w:rsid w:val="00701BC7"/>
    <w:rsid w:val="00701E2D"/>
    <w:rsid w:val="00701F62"/>
    <w:rsid w:val="0070214E"/>
    <w:rsid w:val="0070225A"/>
    <w:rsid w:val="007022AC"/>
    <w:rsid w:val="007022BF"/>
    <w:rsid w:val="0070258F"/>
    <w:rsid w:val="00702964"/>
    <w:rsid w:val="007029F3"/>
    <w:rsid w:val="00702B2F"/>
    <w:rsid w:val="00702BDD"/>
    <w:rsid w:val="00702C57"/>
    <w:rsid w:val="00702DFC"/>
    <w:rsid w:val="00702E39"/>
    <w:rsid w:val="00702E6D"/>
    <w:rsid w:val="00702E84"/>
    <w:rsid w:val="00702F8D"/>
    <w:rsid w:val="00702FC9"/>
    <w:rsid w:val="00703174"/>
    <w:rsid w:val="00703299"/>
    <w:rsid w:val="007033BB"/>
    <w:rsid w:val="0070347C"/>
    <w:rsid w:val="0070357C"/>
    <w:rsid w:val="00703931"/>
    <w:rsid w:val="00703957"/>
    <w:rsid w:val="007039EF"/>
    <w:rsid w:val="00703A26"/>
    <w:rsid w:val="00703FE0"/>
    <w:rsid w:val="0070403C"/>
    <w:rsid w:val="00704069"/>
    <w:rsid w:val="007040DB"/>
    <w:rsid w:val="0070413F"/>
    <w:rsid w:val="00704241"/>
    <w:rsid w:val="0070433F"/>
    <w:rsid w:val="007045E3"/>
    <w:rsid w:val="0070465B"/>
    <w:rsid w:val="00704948"/>
    <w:rsid w:val="00704970"/>
    <w:rsid w:val="00704B19"/>
    <w:rsid w:val="00704C12"/>
    <w:rsid w:val="00704D0A"/>
    <w:rsid w:val="00704D8F"/>
    <w:rsid w:val="00704D9A"/>
    <w:rsid w:val="00704F82"/>
    <w:rsid w:val="007050F1"/>
    <w:rsid w:val="00705363"/>
    <w:rsid w:val="007054C7"/>
    <w:rsid w:val="00705539"/>
    <w:rsid w:val="007057A1"/>
    <w:rsid w:val="00705915"/>
    <w:rsid w:val="00705995"/>
    <w:rsid w:val="00705C4F"/>
    <w:rsid w:val="00705CED"/>
    <w:rsid w:val="00705D22"/>
    <w:rsid w:val="00705DF5"/>
    <w:rsid w:val="00705F00"/>
    <w:rsid w:val="00705F88"/>
    <w:rsid w:val="007065BE"/>
    <w:rsid w:val="00706734"/>
    <w:rsid w:val="0070690C"/>
    <w:rsid w:val="00706BAF"/>
    <w:rsid w:val="00706C40"/>
    <w:rsid w:val="00706C92"/>
    <w:rsid w:val="00706D28"/>
    <w:rsid w:val="00706D4A"/>
    <w:rsid w:val="00706E04"/>
    <w:rsid w:val="00706F13"/>
    <w:rsid w:val="00706FEB"/>
    <w:rsid w:val="00707056"/>
    <w:rsid w:val="007070CA"/>
    <w:rsid w:val="007070E8"/>
    <w:rsid w:val="0070714D"/>
    <w:rsid w:val="00707174"/>
    <w:rsid w:val="0070719D"/>
    <w:rsid w:val="0070747E"/>
    <w:rsid w:val="00707502"/>
    <w:rsid w:val="00707516"/>
    <w:rsid w:val="00707B74"/>
    <w:rsid w:val="00707BBD"/>
    <w:rsid w:val="00707C22"/>
    <w:rsid w:val="00707C44"/>
    <w:rsid w:val="00707C74"/>
    <w:rsid w:val="00707D6B"/>
    <w:rsid w:val="00707EEE"/>
    <w:rsid w:val="0071001D"/>
    <w:rsid w:val="00710069"/>
    <w:rsid w:val="00710136"/>
    <w:rsid w:val="007101B4"/>
    <w:rsid w:val="0071026C"/>
    <w:rsid w:val="00710305"/>
    <w:rsid w:val="007104AD"/>
    <w:rsid w:val="00710521"/>
    <w:rsid w:val="007107F1"/>
    <w:rsid w:val="0071084D"/>
    <w:rsid w:val="007108CB"/>
    <w:rsid w:val="00710934"/>
    <w:rsid w:val="0071094C"/>
    <w:rsid w:val="007109F4"/>
    <w:rsid w:val="00710B34"/>
    <w:rsid w:val="00710D76"/>
    <w:rsid w:val="0071102E"/>
    <w:rsid w:val="0071103A"/>
    <w:rsid w:val="007110B9"/>
    <w:rsid w:val="007113FA"/>
    <w:rsid w:val="007114C3"/>
    <w:rsid w:val="00711557"/>
    <w:rsid w:val="00711602"/>
    <w:rsid w:val="00711693"/>
    <w:rsid w:val="00711992"/>
    <w:rsid w:val="00711B6B"/>
    <w:rsid w:val="00711B8D"/>
    <w:rsid w:val="0071246B"/>
    <w:rsid w:val="007124A1"/>
    <w:rsid w:val="0071262E"/>
    <w:rsid w:val="007127F0"/>
    <w:rsid w:val="00712B14"/>
    <w:rsid w:val="00712B34"/>
    <w:rsid w:val="00712C93"/>
    <w:rsid w:val="00712D00"/>
    <w:rsid w:val="00712E01"/>
    <w:rsid w:val="00712E6E"/>
    <w:rsid w:val="00712E88"/>
    <w:rsid w:val="00712FBD"/>
    <w:rsid w:val="00712FEA"/>
    <w:rsid w:val="007130FE"/>
    <w:rsid w:val="007131E5"/>
    <w:rsid w:val="007131F9"/>
    <w:rsid w:val="0071321F"/>
    <w:rsid w:val="0071322C"/>
    <w:rsid w:val="00713316"/>
    <w:rsid w:val="00713454"/>
    <w:rsid w:val="007134A4"/>
    <w:rsid w:val="007135CA"/>
    <w:rsid w:val="007135CE"/>
    <w:rsid w:val="0071360F"/>
    <w:rsid w:val="00713775"/>
    <w:rsid w:val="007137AD"/>
    <w:rsid w:val="00713894"/>
    <w:rsid w:val="00713970"/>
    <w:rsid w:val="007139B9"/>
    <w:rsid w:val="00713A91"/>
    <w:rsid w:val="00713CEA"/>
    <w:rsid w:val="007141F0"/>
    <w:rsid w:val="007143F9"/>
    <w:rsid w:val="00714406"/>
    <w:rsid w:val="00714624"/>
    <w:rsid w:val="00714950"/>
    <w:rsid w:val="00714AA8"/>
    <w:rsid w:val="00714FC7"/>
    <w:rsid w:val="007151F9"/>
    <w:rsid w:val="0071525B"/>
    <w:rsid w:val="00715393"/>
    <w:rsid w:val="0071545F"/>
    <w:rsid w:val="00715475"/>
    <w:rsid w:val="0071549A"/>
    <w:rsid w:val="00715591"/>
    <w:rsid w:val="00715711"/>
    <w:rsid w:val="0071571E"/>
    <w:rsid w:val="0071585E"/>
    <w:rsid w:val="00715ADF"/>
    <w:rsid w:val="00715CF8"/>
    <w:rsid w:val="00715DF5"/>
    <w:rsid w:val="00715EB6"/>
    <w:rsid w:val="00715F64"/>
    <w:rsid w:val="00715FD0"/>
    <w:rsid w:val="007160EC"/>
    <w:rsid w:val="00716145"/>
    <w:rsid w:val="007162BC"/>
    <w:rsid w:val="0071631A"/>
    <w:rsid w:val="00716326"/>
    <w:rsid w:val="00716568"/>
    <w:rsid w:val="007166A5"/>
    <w:rsid w:val="007167D4"/>
    <w:rsid w:val="007168B4"/>
    <w:rsid w:val="00716AE2"/>
    <w:rsid w:val="00716B72"/>
    <w:rsid w:val="00716BB8"/>
    <w:rsid w:val="00716D79"/>
    <w:rsid w:val="00716DEC"/>
    <w:rsid w:val="00716F63"/>
    <w:rsid w:val="00716F8B"/>
    <w:rsid w:val="00716FC8"/>
    <w:rsid w:val="00716FDF"/>
    <w:rsid w:val="0071709F"/>
    <w:rsid w:val="00717179"/>
    <w:rsid w:val="00717184"/>
    <w:rsid w:val="007173B7"/>
    <w:rsid w:val="00717515"/>
    <w:rsid w:val="0071762F"/>
    <w:rsid w:val="00717703"/>
    <w:rsid w:val="0071779E"/>
    <w:rsid w:val="007179F0"/>
    <w:rsid w:val="00717A3C"/>
    <w:rsid w:val="00717BB9"/>
    <w:rsid w:val="00717BE2"/>
    <w:rsid w:val="00717CCA"/>
    <w:rsid w:val="007201BB"/>
    <w:rsid w:val="00720214"/>
    <w:rsid w:val="00720226"/>
    <w:rsid w:val="00720337"/>
    <w:rsid w:val="00720477"/>
    <w:rsid w:val="007204CF"/>
    <w:rsid w:val="00720512"/>
    <w:rsid w:val="0072062D"/>
    <w:rsid w:val="00720648"/>
    <w:rsid w:val="0072068E"/>
    <w:rsid w:val="007206E3"/>
    <w:rsid w:val="00720708"/>
    <w:rsid w:val="00720768"/>
    <w:rsid w:val="00720D96"/>
    <w:rsid w:val="00720DF5"/>
    <w:rsid w:val="00720ED5"/>
    <w:rsid w:val="00720EEB"/>
    <w:rsid w:val="00721354"/>
    <w:rsid w:val="00721395"/>
    <w:rsid w:val="007213D0"/>
    <w:rsid w:val="007213E1"/>
    <w:rsid w:val="0072162E"/>
    <w:rsid w:val="0072169A"/>
    <w:rsid w:val="007218E7"/>
    <w:rsid w:val="00721B96"/>
    <w:rsid w:val="00721D80"/>
    <w:rsid w:val="00721DDF"/>
    <w:rsid w:val="00721F81"/>
    <w:rsid w:val="0072214F"/>
    <w:rsid w:val="00722187"/>
    <w:rsid w:val="007226B1"/>
    <w:rsid w:val="0072276D"/>
    <w:rsid w:val="007229A7"/>
    <w:rsid w:val="00722B68"/>
    <w:rsid w:val="00722E36"/>
    <w:rsid w:val="00722E54"/>
    <w:rsid w:val="00722E9F"/>
    <w:rsid w:val="00722FBF"/>
    <w:rsid w:val="00723096"/>
    <w:rsid w:val="007230B2"/>
    <w:rsid w:val="007233DA"/>
    <w:rsid w:val="007234A5"/>
    <w:rsid w:val="00723680"/>
    <w:rsid w:val="0072368C"/>
    <w:rsid w:val="00723928"/>
    <w:rsid w:val="00723978"/>
    <w:rsid w:val="007239ED"/>
    <w:rsid w:val="00723AF4"/>
    <w:rsid w:val="00723DD6"/>
    <w:rsid w:val="00723E32"/>
    <w:rsid w:val="00723ECE"/>
    <w:rsid w:val="00723F9D"/>
    <w:rsid w:val="00723F9E"/>
    <w:rsid w:val="00723FF5"/>
    <w:rsid w:val="007242B8"/>
    <w:rsid w:val="00724563"/>
    <w:rsid w:val="00724831"/>
    <w:rsid w:val="00724983"/>
    <w:rsid w:val="00724A84"/>
    <w:rsid w:val="00724AC6"/>
    <w:rsid w:val="00724B1D"/>
    <w:rsid w:val="00724B24"/>
    <w:rsid w:val="00724B64"/>
    <w:rsid w:val="00724BB4"/>
    <w:rsid w:val="00724D32"/>
    <w:rsid w:val="00724E9F"/>
    <w:rsid w:val="00724F5B"/>
    <w:rsid w:val="00725100"/>
    <w:rsid w:val="0072515F"/>
    <w:rsid w:val="007252A9"/>
    <w:rsid w:val="0072548D"/>
    <w:rsid w:val="00725531"/>
    <w:rsid w:val="0072567F"/>
    <w:rsid w:val="007258BA"/>
    <w:rsid w:val="00725995"/>
    <w:rsid w:val="00725A05"/>
    <w:rsid w:val="00725B60"/>
    <w:rsid w:val="00725D1E"/>
    <w:rsid w:val="00725D93"/>
    <w:rsid w:val="00725E36"/>
    <w:rsid w:val="00725EA4"/>
    <w:rsid w:val="00725F53"/>
    <w:rsid w:val="00725FE3"/>
    <w:rsid w:val="00726322"/>
    <w:rsid w:val="0072639A"/>
    <w:rsid w:val="007263FA"/>
    <w:rsid w:val="00726425"/>
    <w:rsid w:val="00726692"/>
    <w:rsid w:val="00726751"/>
    <w:rsid w:val="00726A68"/>
    <w:rsid w:val="00726A96"/>
    <w:rsid w:val="00726B6A"/>
    <w:rsid w:val="00726D25"/>
    <w:rsid w:val="00726D55"/>
    <w:rsid w:val="00726DA9"/>
    <w:rsid w:val="00727089"/>
    <w:rsid w:val="00727350"/>
    <w:rsid w:val="007275CE"/>
    <w:rsid w:val="00727613"/>
    <w:rsid w:val="00727654"/>
    <w:rsid w:val="007276C8"/>
    <w:rsid w:val="007279F7"/>
    <w:rsid w:val="00727A69"/>
    <w:rsid w:val="00727BAF"/>
    <w:rsid w:val="00727D3F"/>
    <w:rsid w:val="00727FAA"/>
    <w:rsid w:val="0073005C"/>
    <w:rsid w:val="00730353"/>
    <w:rsid w:val="007303D9"/>
    <w:rsid w:val="00730537"/>
    <w:rsid w:val="0073068D"/>
    <w:rsid w:val="00730721"/>
    <w:rsid w:val="007308F8"/>
    <w:rsid w:val="0073091A"/>
    <w:rsid w:val="00730B9D"/>
    <w:rsid w:val="00730BA1"/>
    <w:rsid w:val="00730CB2"/>
    <w:rsid w:val="00730E72"/>
    <w:rsid w:val="00730EEF"/>
    <w:rsid w:val="00730F5B"/>
    <w:rsid w:val="007310CF"/>
    <w:rsid w:val="007310D3"/>
    <w:rsid w:val="00731293"/>
    <w:rsid w:val="00731518"/>
    <w:rsid w:val="00731630"/>
    <w:rsid w:val="00731637"/>
    <w:rsid w:val="007317A6"/>
    <w:rsid w:val="0073188A"/>
    <w:rsid w:val="007319D5"/>
    <w:rsid w:val="00731A6E"/>
    <w:rsid w:val="00731B64"/>
    <w:rsid w:val="00731B79"/>
    <w:rsid w:val="00731C2B"/>
    <w:rsid w:val="00731DE0"/>
    <w:rsid w:val="00731DE8"/>
    <w:rsid w:val="00731DEE"/>
    <w:rsid w:val="00731E1E"/>
    <w:rsid w:val="00731F78"/>
    <w:rsid w:val="00732030"/>
    <w:rsid w:val="00732114"/>
    <w:rsid w:val="00732426"/>
    <w:rsid w:val="0073251A"/>
    <w:rsid w:val="00732864"/>
    <w:rsid w:val="007328C5"/>
    <w:rsid w:val="00732AD5"/>
    <w:rsid w:val="00732C13"/>
    <w:rsid w:val="00732D2A"/>
    <w:rsid w:val="007334E3"/>
    <w:rsid w:val="00733701"/>
    <w:rsid w:val="00733A61"/>
    <w:rsid w:val="00733ADC"/>
    <w:rsid w:val="00733BC9"/>
    <w:rsid w:val="00733D27"/>
    <w:rsid w:val="00733E6C"/>
    <w:rsid w:val="00733FB4"/>
    <w:rsid w:val="00734002"/>
    <w:rsid w:val="007340E1"/>
    <w:rsid w:val="00734543"/>
    <w:rsid w:val="0073454E"/>
    <w:rsid w:val="00734583"/>
    <w:rsid w:val="007346D0"/>
    <w:rsid w:val="00734701"/>
    <w:rsid w:val="00734734"/>
    <w:rsid w:val="0073488C"/>
    <w:rsid w:val="007348AB"/>
    <w:rsid w:val="00734936"/>
    <w:rsid w:val="0073499E"/>
    <w:rsid w:val="00734AA8"/>
    <w:rsid w:val="00734BAC"/>
    <w:rsid w:val="00734C2B"/>
    <w:rsid w:val="00734DC2"/>
    <w:rsid w:val="00734EE3"/>
    <w:rsid w:val="00734FAD"/>
    <w:rsid w:val="007353A6"/>
    <w:rsid w:val="0073546B"/>
    <w:rsid w:val="00735477"/>
    <w:rsid w:val="007354D0"/>
    <w:rsid w:val="007354FC"/>
    <w:rsid w:val="007356F4"/>
    <w:rsid w:val="00735740"/>
    <w:rsid w:val="007357EE"/>
    <w:rsid w:val="00735821"/>
    <w:rsid w:val="007358C1"/>
    <w:rsid w:val="007358EC"/>
    <w:rsid w:val="00735942"/>
    <w:rsid w:val="007359D2"/>
    <w:rsid w:val="00735AA3"/>
    <w:rsid w:val="00735C6D"/>
    <w:rsid w:val="00735EF8"/>
    <w:rsid w:val="00735FD4"/>
    <w:rsid w:val="0073600F"/>
    <w:rsid w:val="00736290"/>
    <w:rsid w:val="007364A4"/>
    <w:rsid w:val="00736661"/>
    <w:rsid w:val="00736718"/>
    <w:rsid w:val="00736782"/>
    <w:rsid w:val="007367A1"/>
    <w:rsid w:val="00736A25"/>
    <w:rsid w:val="00736A35"/>
    <w:rsid w:val="00736A3F"/>
    <w:rsid w:val="00736CF3"/>
    <w:rsid w:val="00737171"/>
    <w:rsid w:val="007371E5"/>
    <w:rsid w:val="00737304"/>
    <w:rsid w:val="0073745F"/>
    <w:rsid w:val="00737534"/>
    <w:rsid w:val="00737A46"/>
    <w:rsid w:val="00737D87"/>
    <w:rsid w:val="007400E0"/>
    <w:rsid w:val="00740124"/>
    <w:rsid w:val="00740158"/>
    <w:rsid w:val="00740179"/>
    <w:rsid w:val="007404E2"/>
    <w:rsid w:val="00740778"/>
    <w:rsid w:val="00740961"/>
    <w:rsid w:val="00740BB0"/>
    <w:rsid w:val="00740C43"/>
    <w:rsid w:val="00740C54"/>
    <w:rsid w:val="00740CB6"/>
    <w:rsid w:val="00740E19"/>
    <w:rsid w:val="00740E45"/>
    <w:rsid w:val="00740EAB"/>
    <w:rsid w:val="00740F22"/>
    <w:rsid w:val="007410F0"/>
    <w:rsid w:val="0074116A"/>
    <w:rsid w:val="0074126E"/>
    <w:rsid w:val="0074157D"/>
    <w:rsid w:val="007415D2"/>
    <w:rsid w:val="0074164B"/>
    <w:rsid w:val="00741684"/>
    <w:rsid w:val="0074172D"/>
    <w:rsid w:val="007417DB"/>
    <w:rsid w:val="00741889"/>
    <w:rsid w:val="00741AD9"/>
    <w:rsid w:val="00741DF1"/>
    <w:rsid w:val="00741E38"/>
    <w:rsid w:val="00741EEA"/>
    <w:rsid w:val="00741F54"/>
    <w:rsid w:val="00742171"/>
    <w:rsid w:val="0074241F"/>
    <w:rsid w:val="00742430"/>
    <w:rsid w:val="007425BB"/>
    <w:rsid w:val="00742663"/>
    <w:rsid w:val="00742889"/>
    <w:rsid w:val="007428E9"/>
    <w:rsid w:val="00742ABC"/>
    <w:rsid w:val="00742B4A"/>
    <w:rsid w:val="00742CFE"/>
    <w:rsid w:val="00742E18"/>
    <w:rsid w:val="00742E44"/>
    <w:rsid w:val="00742E83"/>
    <w:rsid w:val="0074310A"/>
    <w:rsid w:val="007431BE"/>
    <w:rsid w:val="007432E1"/>
    <w:rsid w:val="00743421"/>
    <w:rsid w:val="00743578"/>
    <w:rsid w:val="007436FD"/>
    <w:rsid w:val="00743792"/>
    <w:rsid w:val="00743795"/>
    <w:rsid w:val="007437F6"/>
    <w:rsid w:val="0074384B"/>
    <w:rsid w:val="00743884"/>
    <w:rsid w:val="007438AD"/>
    <w:rsid w:val="00743B03"/>
    <w:rsid w:val="00743B6D"/>
    <w:rsid w:val="00743C87"/>
    <w:rsid w:val="00743CE2"/>
    <w:rsid w:val="00743CFC"/>
    <w:rsid w:val="00743D1B"/>
    <w:rsid w:val="00743EF6"/>
    <w:rsid w:val="007443F2"/>
    <w:rsid w:val="0074447F"/>
    <w:rsid w:val="007444CD"/>
    <w:rsid w:val="007445B0"/>
    <w:rsid w:val="00744A22"/>
    <w:rsid w:val="00744B71"/>
    <w:rsid w:val="00744D50"/>
    <w:rsid w:val="00744DA3"/>
    <w:rsid w:val="00744DAB"/>
    <w:rsid w:val="00744E35"/>
    <w:rsid w:val="00745090"/>
    <w:rsid w:val="0074523B"/>
    <w:rsid w:val="00745290"/>
    <w:rsid w:val="007453ED"/>
    <w:rsid w:val="00745814"/>
    <w:rsid w:val="00745851"/>
    <w:rsid w:val="00745882"/>
    <w:rsid w:val="0074592E"/>
    <w:rsid w:val="00745A59"/>
    <w:rsid w:val="00745B67"/>
    <w:rsid w:val="00745CD3"/>
    <w:rsid w:val="00746062"/>
    <w:rsid w:val="00746345"/>
    <w:rsid w:val="00746380"/>
    <w:rsid w:val="00746402"/>
    <w:rsid w:val="007465A2"/>
    <w:rsid w:val="007465BA"/>
    <w:rsid w:val="007466A0"/>
    <w:rsid w:val="00746818"/>
    <w:rsid w:val="00746840"/>
    <w:rsid w:val="0074697C"/>
    <w:rsid w:val="00746CF4"/>
    <w:rsid w:val="00747010"/>
    <w:rsid w:val="00747017"/>
    <w:rsid w:val="007470EF"/>
    <w:rsid w:val="007472EB"/>
    <w:rsid w:val="007473B8"/>
    <w:rsid w:val="007474CD"/>
    <w:rsid w:val="0074765E"/>
    <w:rsid w:val="007476B3"/>
    <w:rsid w:val="007476CE"/>
    <w:rsid w:val="00747729"/>
    <w:rsid w:val="007477C1"/>
    <w:rsid w:val="00747829"/>
    <w:rsid w:val="0074783F"/>
    <w:rsid w:val="007478BC"/>
    <w:rsid w:val="00747A80"/>
    <w:rsid w:val="00747B48"/>
    <w:rsid w:val="00747D63"/>
    <w:rsid w:val="00747F06"/>
    <w:rsid w:val="00750224"/>
    <w:rsid w:val="007502B1"/>
    <w:rsid w:val="007502C4"/>
    <w:rsid w:val="0075035E"/>
    <w:rsid w:val="0075050A"/>
    <w:rsid w:val="007508F9"/>
    <w:rsid w:val="007508FA"/>
    <w:rsid w:val="00750B25"/>
    <w:rsid w:val="00750D7F"/>
    <w:rsid w:val="00750DC1"/>
    <w:rsid w:val="00750DDB"/>
    <w:rsid w:val="00750DE9"/>
    <w:rsid w:val="00750E2A"/>
    <w:rsid w:val="00750EC8"/>
    <w:rsid w:val="00751034"/>
    <w:rsid w:val="007511AE"/>
    <w:rsid w:val="00751230"/>
    <w:rsid w:val="00751321"/>
    <w:rsid w:val="00751572"/>
    <w:rsid w:val="0075170B"/>
    <w:rsid w:val="007517BA"/>
    <w:rsid w:val="00751A58"/>
    <w:rsid w:val="00751AF8"/>
    <w:rsid w:val="00751E82"/>
    <w:rsid w:val="00751E98"/>
    <w:rsid w:val="00751EDB"/>
    <w:rsid w:val="00751F3B"/>
    <w:rsid w:val="00752733"/>
    <w:rsid w:val="00752788"/>
    <w:rsid w:val="0075297C"/>
    <w:rsid w:val="00752BC1"/>
    <w:rsid w:val="00752D06"/>
    <w:rsid w:val="00752D8F"/>
    <w:rsid w:val="00752E7F"/>
    <w:rsid w:val="00752E9E"/>
    <w:rsid w:val="0075319E"/>
    <w:rsid w:val="00753208"/>
    <w:rsid w:val="0075333A"/>
    <w:rsid w:val="00753424"/>
    <w:rsid w:val="007534F7"/>
    <w:rsid w:val="00753557"/>
    <w:rsid w:val="00753871"/>
    <w:rsid w:val="007538D0"/>
    <w:rsid w:val="00753AFC"/>
    <w:rsid w:val="00753B46"/>
    <w:rsid w:val="00753BF1"/>
    <w:rsid w:val="00753C46"/>
    <w:rsid w:val="00753C5A"/>
    <w:rsid w:val="00753DD0"/>
    <w:rsid w:val="00753E88"/>
    <w:rsid w:val="00753E8F"/>
    <w:rsid w:val="00753F18"/>
    <w:rsid w:val="00753F57"/>
    <w:rsid w:val="00753FE7"/>
    <w:rsid w:val="007542DE"/>
    <w:rsid w:val="0075436B"/>
    <w:rsid w:val="007543CB"/>
    <w:rsid w:val="00754460"/>
    <w:rsid w:val="007544F8"/>
    <w:rsid w:val="00754895"/>
    <w:rsid w:val="007548C2"/>
    <w:rsid w:val="00754B7B"/>
    <w:rsid w:val="00754D52"/>
    <w:rsid w:val="00754D81"/>
    <w:rsid w:val="00754E7B"/>
    <w:rsid w:val="00754F64"/>
    <w:rsid w:val="0075506F"/>
    <w:rsid w:val="007550F6"/>
    <w:rsid w:val="0075517C"/>
    <w:rsid w:val="00755213"/>
    <w:rsid w:val="0075550A"/>
    <w:rsid w:val="0075559C"/>
    <w:rsid w:val="0075578F"/>
    <w:rsid w:val="00755840"/>
    <w:rsid w:val="007558E5"/>
    <w:rsid w:val="00755A44"/>
    <w:rsid w:val="00755A95"/>
    <w:rsid w:val="00755ACF"/>
    <w:rsid w:val="00755B64"/>
    <w:rsid w:val="00755C7C"/>
    <w:rsid w:val="00755EC1"/>
    <w:rsid w:val="00755EF8"/>
    <w:rsid w:val="00756021"/>
    <w:rsid w:val="0075609E"/>
    <w:rsid w:val="007560E4"/>
    <w:rsid w:val="00756349"/>
    <w:rsid w:val="007564F8"/>
    <w:rsid w:val="007565AB"/>
    <w:rsid w:val="00756811"/>
    <w:rsid w:val="00756871"/>
    <w:rsid w:val="0075690E"/>
    <w:rsid w:val="00756B44"/>
    <w:rsid w:val="00756B57"/>
    <w:rsid w:val="00756BC9"/>
    <w:rsid w:val="00756C58"/>
    <w:rsid w:val="00756DA5"/>
    <w:rsid w:val="00756DCF"/>
    <w:rsid w:val="00756DFE"/>
    <w:rsid w:val="00756E36"/>
    <w:rsid w:val="00757081"/>
    <w:rsid w:val="007571D6"/>
    <w:rsid w:val="007572E3"/>
    <w:rsid w:val="00757461"/>
    <w:rsid w:val="0075753D"/>
    <w:rsid w:val="007577A6"/>
    <w:rsid w:val="007577E0"/>
    <w:rsid w:val="00757833"/>
    <w:rsid w:val="00757840"/>
    <w:rsid w:val="007578B8"/>
    <w:rsid w:val="007578CD"/>
    <w:rsid w:val="0075795F"/>
    <w:rsid w:val="00757A0D"/>
    <w:rsid w:val="00757B5A"/>
    <w:rsid w:val="00757DE9"/>
    <w:rsid w:val="00757F30"/>
    <w:rsid w:val="00757F31"/>
    <w:rsid w:val="007600CD"/>
    <w:rsid w:val="007601B6"/>
    <w:rsid w:val="0076021D"/>
    <w:rsid w:val="007602B0"/>
    <w:rsid w:val="007604FC"/>
    <w:rsid w:val="007609EB"/>
    <w:rsid w:val="00760B90"/>
    <w:rsid w:val="00760C5B"/>
    <w:rsid w:val="00760F62"/>
    <w:rsid w:val="007610B2"/>
    <w:rsid w:val="007611D7"/>
    <w:rsid w:val="007614C8"/>
    <w:rsid w:val="00761739"/>
    <w:rsid w:val="0076174D"/>
    <w:rsid w:val="007618BB"/>
    <w:rsid w:val="0076197F"/>
    <w:rsid w:val="00761AC4"/>
    <w:rsid w:val="00761C7A"/>
    <w:rsid w:val="00761DA4"/>
    <w:rsid w:val="00761E9A"/>
    <w:rsid w:val="00761F17"/>
    <w:rsid w:val="00762238"/>
    <w:rsid w:val="00762693"/>
    <w:rsid w:val="007626C9"/>
    <w:rsid w:val="007626EA"/>
    <w:rsid w:val="00762740"/>
    <w:rsid w:val="00762924"/>
    <w:rsid w:val="007629BF"/>
    <w:rsid w:val="00762C0B"/>
    <w:rsid w:val="00762C43"/>
    <w:rsid w:val="00762CBA"/>
    <w:rsid w:val="00762D19"/>
    <w:rsid w:val="00762D27"/>
    <w:rsid w:val="00762D89"/>
    <w:rsid w:val="00762EAB"/>
    <w:rsid w:val="00763038"/>
    <w:rsid w:val="00763128"/>
    <w:rsid w:val="00763140"/>
    <w:rsid w:val="0076317A"/>
    <w:rsid w:val="007631C8"/>
    <w:rsid w:val="0076353E"/>
    <w:rsid w:val="0076357C"/>
    <w:rsid w:val="0076395D"/>
    <w:rsid w:val="00763A0B"/>
    <w:rsid w:val="00763B4C"/>
    <w:rsid w:val="00763C29"/>
    <w:rsid w:val="00763DF8"/>
    <w:rsid w:val="00763ED8"/>
    <w:rsid w:val="00763EE2"/>
    <w:rsid w:val="00763F3F"/>
    <w:rsid w:val="0076404C"/>
    <w:rsid w:val="00764052"/>
    <w:rsid w:val="0076433E"/>
    <w:rsid w:val="007644B8"/>
    <w:rsid w:val="00764545"/>
    <w:rsid w:val="0076466C"/>
    <w:rsid w:val="0076482D"/>
    <w:rsid w:val="00764924"/>
    <w:rsid w:val="00764CFB"/>
    <w:rsid w:val="00764DBB"/>
    <w:rsid w:val="00764DE5"/>
    <w:rsid w:val="007650CC"/>
    <w:rsid w:val="0076552F"/>
    <w:rsid w:val="0076561C"/>
    <w:rsid w:val="007657F4"/>
    <w:rsid w:val="00765B10"/>
    <w:rsid w:val="00765C09"/>
    <w:rsid w:val="00765CB1"/>
    <w:rsid w:val="00765EB5"/>
    <w:rsid w:val="0076615B"/>
    <w:rsid w:val="00766268"/>
    <w:rsid w:val="00766375"/>
    <w:rsid w:val="007663CA"/>
    <w:rsid w:val="00766420"/>
    <w:rsid w:val="00766470"/>
    <w:rsid w:val="007664B6"/>
    <w:rsid w:val="00766762"/>
    <w:rsid w:val="007667A3"/>
    <w:rsid w:val="00766831"/>
    <w:rsid w:val="00766865"/>
    <w:rsid w:val="00766CDA"/>
    <w:rsid w:val="00766D78"/>
    <w:rsid w:val="0076702A"/>
    <w:rsid w:val="0076715D"/>
    <w:rsid w:val="007673F6"/>
    <w:rsid w:val="0076745B"/>
    <w:rsid w:val="007674E5"/>
    <w:rsid w:val="0076778F"/>
    <w:rsid w:val="00767B5A"/>
    <w:rsid w:val="00767D28"/>
    <w:rsid w:val="00767F56"/>
    <w:rsid w:val="00770175"/>
    <w:rsid w:val="007701FD"/>
    <w:rsid w:val="00770263"/>
    <w:rsid w:val="007702E6"/>
    <w:rsid w:val="00770303"/>
    <w:rsid w:val="00770354"/>
    <w:rsid w:val="00770485"/>
    <w:rsid w:val="007704EE"/>
    <w:rsid w:val="007705CE"/>
    <w:rsid w:val="00770935"/>
    <w:rsid w:val="00770937"/>
    <w:rsid w:val="0077097C"/>
    <w:rsid w:val="00770AA6"/>
    <w:rsid w:val="00770E63"/>
    <w:rsid w:val="00770EC8"/>
    <w:rsid w:val="00770FCE"/>
    <w:rsid w:val="00770FFC"/>
    <w:rsid w:val="00771156"/>
    <w:rsid w:val="00771236"/>
    <w:rsid w:val="0077126C"/>
    <w:rsid w:val="00771350"/>
    <w:rsid w:val="007713E0"/>
    <w:rsid w:val="0077161D"/>
    <w:rsid w:val="00771747"/>
    <w:rsid w:val="007717E0"/>
    <w:rsid w:val="00771A5B"/>
    <w:rsid w:val="00771A71"/>
    <w:rsid w:val="00771B25"/>
    <w:rsid w:val="00771C7E"/>
    <w:rsid w:val="00771D4D"/>
    <w:rsid w:val="00771F7C"/>
    <w:rsid w:val="00771FBC"/>
    <w:rsid w:val="007720EF"/>
    <w:rsid w:val="007721E4"/>
    <w:rsid w:val="007722BB"/>
    <w:rsid w:val="007724F7"/>
    <w:rsid w:val="00772541"/>
    <w:rsid w:val="0077256F"/>
    <w:rsid w:val="0077290B"/>
    <w:rsid w:val="0077298E"/>
    <w:rsid w:val="007729A6"/>
    <w:rsid w:val="00772AC3"/>
    <w:rsid w:val="00772AE1"/>
    <w:rsid w:val="00772BF5"/>
    <w:rsid w:val="00772D23"/>
    <w:rsid w:val="00772D89"/>
    <w:rsid w:val="00772E3C"/>
    <w:rsid w:val="00772E48"/>
    <w:rsid w:val="0077328C"/>
    <w:rsid w:val="007732A3"/>
    <w:rsid w:val="007734E6"/>
    <w:rsid w:val="00773500"/>
    <w:rsid w:val="007736D8"/>
    <w:rsid w:val="0077397D"/>
    <w:rsid w:val="007739DF"/>
    <w:rsid w:val="0077424B"/>
    <w:rsid w:val="007742C1"/>
    <w:rsid w:val="007743CE"/>
    <w:rsid w:val="00774576"/>
    <w:rsid w:val="00774804"/>
    <w:rsid w:val="00774C78"/>
    <w:rsid w:val="00774E9F"/>
    <w:rsid w:val="00774EF1"/>
    <w:rsid w:val="00774F44"/>
    <w:rsid w:val="00774F85"/>
    <w:rsid w:val="00774F99"/>
    <w:rsid w:val="00774FBA"/>
    <w:rsid w:val="007751A4"/>
    <w:rsid w:val="007754DC"/>
    <w:rsid w:val="007756F1"/>
    <w:rsid w:val="00775816"/>
    <w:rsid w:val="00775982"/>
    <w:rsid w:val="00775B74"/>
    <w:rsid w:val="00775BA4"/>
    <w:rsid w:val="00775BB0"/>
    <w:rsid w:val="00775C17"/>
    <w:rsid w:val="00775D8C"/>
    <w:rsid w:val="00775E43"/>
    <w:rsid w:val="0077615E"/>
    <w:rsid w:val="007762ED"/>
    <w:rsid w:val="00776346"/>
    <w:rsid w:val="0077635B"/>
    <w:rsid w:val="00776503"/>
    <w:rsid w:val="00776658"/>
    <w:rsid w:val="0077679C"/>
    <w:rsid w:val="007767A8"/>
    <w:rsid w:val="00776971"/>
    <w:rsid w:val="00776B2A"/>
    <w:rsid w:val="00776BF7"/>
    <w:rsid w:val="00776CD3"/>
    <w:rsid w:val="00776EE1"/>
    <w:rsid w:val="007770C9"/>
    <w:rsid w:val="00777161"/>
    <w:rsid w:val="007775BF"/>
    <w:rsid w:val="00777679"/>
    <w:rsid w:val="00777744"/>
    <w:rsid w:val="00777750"/>
    <w:rsid w:val="00777911"/>
    <w:rsid w:val="00777B79"/>
    <w:rsid w:val="00777C24"/>
    <w:rsid w:val="00777DC9"/>
    <w:rsid w:val="0078021B"/>
    <w:rsid w:val="0078023E"/>
    <w:rsid w:val="0078029A"/>
    <w:rsid w:val="00780394"/>
    <w:rsid w:val="007803F0"/>
    <w:rsid w:val="007805BD"/>
    <w:rsid w:val="007806FE"/>
    <w:rsid w:val="00780734"/>
    <w:rsid w:val="007807FC"/>
    <w:rsid w:val="00780AA6"/>
    <w:rsid w:val="00780BC2"/>
    <w:rsid w:val="00780BE1"/>
    <w:rsid w:val="00780EBE"/>
    <w:rsid w:val="00780F02"/>
    <w:rsid w:val="00780FA9"/>
    <w:rsid w:val="0078113E"/>
    <w:rsid w:val="00781351"/>
    <w:rsid w:val="007813DB"/>
    <w:rsid w:val="007813F3"/>
    <w:rsid w:val="0078164D"/>
    <w:rsid w:val="00781963"/>
    <w:rsid w:val="00781AB3"/>
    <w:rsid w:val="00781B0A"/>
    <w:rsid w:val="00781B2C"/>
    <w:rsid w:val="00781CA9"/>
    <w:rsid w:val="00781DCB"/>
    <w:rsid w:val="00781F7C"/>
    <w:rsid w:val="00782320"/>
    <w:rsid w:val="00782350"/>
    <w:rsid w:val="00782451"/>
    <w:rsid w:val="00782465"/>
    <w:rsid w:val="0078248F"/>
    <w:rsid w:val="007824E9"/>
    <w:rsid w:val="0078254D"/>
    <w:rsid w:val="007826EB"/>
    <w:rsid w:val="007827D5"/>
    <w:rsid w:val="00782842"/>
    <w:rsid w:val="007829D0"/>
    <w:rsid w:val="00782CEC"/>
    <w:rsid w:val="00782DC5"/>
    <w:rsid w:val="00782EF5"/>
    <w:rsid w:val="00782FF4"/>
    <w:rsid w:val="00783005"/>
    <w:rsid w:val="00783120"/>
    <w:rsid w:val="00783588"/>
    <w:rsid w:val="00783599"/>
    <w:rsid w:val="007835EC"/>
    <w:rsid w:val="00783783"/>
    <w:rsid w:val="00783834"/>
    <w:rsid w:val="0078390B"/>
    <w:rsid w:val="007839A8"/>
    <w:rsid w:val="00783ADF"/>
    <w:rsid w:val="00783AEE"/>
    <w:rsid w:val="00783B8E"/>
    <w:rsid w:val="00783C06"/>
    <w:rsid w:val="00783DA4"/>
    <w:rsid w:val="007840A4"/>
    <w:rsid w:val="00784141"/>
    <w:rsid w:val="0078415E"/>
    <w:rsid w:val="00784180"/>
    <w:rsid w:val="0078438A"/>
    <w:rsid w:val="007843FC"/>
    <w:rsid w:val="007844F8"/>
    <w:rsid w:val="007845D4"/>
    <w:rsid w:val="007846AD"/>
    <w:rsid w:val="007846B6"/>
    <w:rsid w:val="007849CB"/>
    <w:rsid w:val="00784A13"/>
    <w:rsid w:val="00784C2E"/>
    <w:rsid w:val="00784D03"/>
    <w:rsid w:val="00784EB2"/>
    <w:rsid w:val="00784FCD"/>
    <w:rsid w:val="00785053"/>
    <w:rsid w:val="007850B8"/>
    <w:rsid w:val="007851A7"/>
    <w:rsid w:val="007851D6"/>
    <w:rsid w:val="007852BF"/>
    <w:rsid w:val="00785430"/>
    <w:rsid w:val="007854E3"/>
    <w:rsid w:val="00785592"/>
    <w:rsid w:val="00785849"/>
    <w:rsid w:val="00785952"/>
    <w:rsid w:val="00785C54"/>
    <w:rsid w:val="00785CE6"/>
    <w:rsid w:val="00785F57"/>
    <w:rsid w:val="00786140"/>
    <w:rsid w:val="007861FA"/>
    <w:rsid w:val="0078644A"/>
    <w:rsid w:val="007865CC"/>
    <w:rsid w:val="007866AD"/>
    <w:rsid w:val="0078674B"/>
    <w:rsid w:val="0078682F"/>
    <w:rsid w:val="00786AA9"/>
    <w:rsid w:val="00786EC0"/>
    <w:rsid w:val="00786FED"/>
    <w:rsid w:val="00787163"/>
    <w:rsid w:val="007871E0"/>
    <w:rsid w:val="00787422"/>
    <w:rsid w:val="007875FF"/>
    <w:rsid w:val="0078765E"/>
    <w:rsid w:val="00787678"/>
    <w:rsid w:val="007876F0"/>
    <w:rsid w:val="0078779A"/>
    <w:rsid w:val="00787AD1"/>
    <w:rsid w:val="00787D3D"/>
    <w:rsid w:val="00787E71"/>
    <w:rsid w:val="00787FF0"/>
    <w:rsid w:val="0079019E"/>
    <w:rsid w:val="00790525"/>
    <w:rsid w:val="0079064B"/>
    <w:rsid w:val="00790661"/>
    <w:rsid w:val="00790718"/>
    <w:rsid w:val="00790858"/>
    <w:rsid w:val="00790E37"/>
    <w:rsid w:val="00791065"/>
    <w:rsid w:val="007910D1"/>
    <w:rsid w:val="00791131"/>
    <w:rsid w:val="007912FF"/>
    <w:rsid w:val="00791427"/>
    <w:rsid w:val="0079143D"/>
    <w:rsid w:val="007914E1"/>
    <w:rsid w:val="007915CF"/>
    <w:rsid w:val="007919F5"/>
    <w:rsid w:val="00791AB4"/>
    <w:rsid w:val="00791BA1"/>
    <w:rsid w:val="00791BB7"/>
    <w:rsid w:val="00791C15"/>
    <w:rsid w:val="00791C22"/>
    <w:rsid w:val="00791C6C"/>
    <w:rsid w:val="00791D2C"/>
    <w:rsid w:val="007920E0"/>
    <w:rsid w:val="007921C8"/>
    <w:rsid w:val="007921D0"/>
    <w:rsid w:val="0079223D"/>
    <w:rsid w:val="00792268"/>
    <w:rsid w:val="00792386"/>
    <w:rsid w:val="007923F6"/>
    <w:rsid w:val="00792663"/>
    <w:rsid w:val="0079269E"/>
    <w:rsid w:val="00792765"/>
    <w:rsid w:val="007927FD"/>
    <w:rsid w:val="00792A69"/>
    <w:rsid w:val="00792A83"/>
    <w:rsid w:val="00792ACF"/>
    <w:rsid w:val="00792C27"/>
    <w:rsid w:val="00792C62"/>
    <w:rsid w:val="00792C99"/>
    <w:rsid w:val="00792F56"/>
    <w:rsid w:val="007930C1"/>
    <w:rsid w:val="007931F0"/>
    <w:rsid w:val="0079330A"/>
    <w:rsid w:val="0079333F"/>
    <w:rsid w:val="0079336E"/>
    <w:rsid w:val="00793437"/>
    <w:rsid w:val="007936F9"/>
    <w:rsid w:val="007937F8"/>
    <w:rsid w:val="00793839"/>
    <w:rsid w:val="00793846"/>
    <w:rsid w:val="007938B8"/>
    <w:rsid w:val="0079393E"/>
    <w:rsid w:val="00793947"/>
    <w:rsid w:val="00793948"/>
    <w:rsid w:val="007939C2"/>
    <w:rsid w:val="00793A7B"/>
    <w:rsid w:val="00793A9D"/>
    <w:rsid w:val="00793B59"/>
    <w:rsid w:val="00793E23"/>
    <w:rsid w:val="00793F8D"/>
    <w:rsid w:val="00794210"/>
    <w:rsid w:val="0079427D"/>
    <w:rsid w:val="007943F9"/>
    <w:rsid w:val="007947F1"/>
    <w:rsid w:val="00794987"/>
    <w:rsid w:val="0079499D"/>
    <w:rsid w:val="00794AA0"/>
    <w:rsid w:val="00794B9F"/>
    <w:rsid w:val="00794CDA"/>
    <w:rsid w:val="00794D1B"/>
    <w:rsid w:val="00794D1C"/>
    <w:rsid w:val="00794D93"/>
    <w:rsid w:val="00794E8D"/>
    <w:rsid w:val="007950D7"/>
    <w:rsid w:val="0079513A"/>
    <w:rsid w:val="0079534C"/>
    <w:rsid w:val="00795396"/>
    <w:rsid w:val="0079589E"/>
    <w:rsid w:val="00795991"/>
    <w:rsid w:val="00795A58"/>
    <w:rsid w:val="00795C5E"/>
    <w:rsid w:val="00795CE9"/>
    <w:rsid w:val="00795D37"/>
    <w:rsid w:val="00795EF0"/>
    <w:rsid w:val="007960BF"/>
    <w:rsid w:val="00796215"/>
    <w:rsid w:val="007962D9"/>
    <w:rsid w:val="00796426"/>
    <w:rsid w:val="0079645E"/>
    <w:rsid w:val="00796473"/>
    <w:rsid w:val="007964A0"/>
    <w:rsid w:val="00796604"/>
    <w:rsid w:val="00796740"/>
    <w:rsid w:val="0079684A"/>
    <w:rsid w:val="00796899"/>
    <w:rsid w:val="0079692B"/>
    <w:rsid w:val="00796A0D"/>
    <w:rsid w:val="00796C25"/>
    <w:rsid w:val="00796C35"/>
    <w:rsid w:val="00796F86"/>
    <w:rsid w:val="00796FB2"/>
    <w:rsid w:val="007970D9"/>
    <w:rsid w:val="00797227"/>
    <w:rsid w:val="00797264"/>
    <w:rsid w:val="007974D1"/>
    <w:rsid w:val="007975ED"/>
    <w:rsid w:val="007977B2"/>
    <w:rsid w:val="007978F2"/>
    <w:rsid w:val="007978FF"/>
    <w:rsid w:val="00797972"/>
    <w:rsid w:val="007979BB"/>
    <w:rsid w:val="00797D73"/>
    <w:rsid w:val="00797F83"/>
    <w:rsid w:val="007A0046"/>
    <w:rsid w:val="007A0121"/>
    <w:rsid w:val="007A029F"/>
    <w:rsid w:val="007A0345"/>
    <w:rsid w:val="007A03AF"/>
    <w:rsid w:val="007A03BA"/>
    <w:rsid w:val="007A03D8"/>
    <w:rsid w:val="007A0676"/>
    <w:rsid w:val="007A067F"/>
    <w:rsid w:val="007A071C"/>
    <w:rsid w:val="007A07B3"/>
    <w:rsid w:val="007A07ED"/>
    <w:rsid w:val="007A0834"/>
    <w:rsid w:val="007A0860"/>
    <w:rsid w:val="007A08D0"/>
    <w:rsid w:val="007A0972"/>
    <w:rsid w:val="007A0A07"/>
    <w:rsid w:val="007A0B18"/>
    <w:rsid w:val="007A0CDF"/>
    <w:rsid w:val="007A0F5B"/>
    <w:rsid w:val="007A0FE3"/>
    <w:rsid w:val="007A10E4"/>
    <w:rsid w:val="007A1182"/>
    <w:rsid w:val="007A1204"/>
    <w:rsid w:val="007A12F1"/>
    <w:rsid w:val="007A12FB"/>
    <w:rsid w:val="007A13CB"/>
    <w:rsid w:val="007A14C9"/>
    <w:rsid w:val="007A14E1"/>
    <w:rsid w:val="007A153D"/>
    <w:rsid w:val="007A1715"/>
    <w:rsid w:val="007A190B"/>
    <w:rsid w:val="007A1924"/>
    <w:rsid w:val="007A19C3"/>
    <w:rsid w:val="007A1A38"/>
    <w:rsid w:val="007A1FEE"/>
    <w:rsid w:val="007A244D"/>
    <w:rsid w:val="007A2526"/>
    <w:rsid w:val="007A2550"/>
    <w:rsid w:val="007A255D"/>
    <w:rsid w:val="007A257F"/>
    <w:rsid w:val="007A2C00"/>
    <w:rsid w:val="007A2D24"/>
    <w:rsid w:val="007A2DC3"/>
    <w:rsid w:val="007A304D"/>
    <w:rsid w:val="007A3057"/>
    <w:rsid w:val="007A3116"/>
    <w:rsid w:val="007A32E2"/>
    <w:rsid w:val="007A3365"/>
    <w:rsid w:val="007A34A6"/>
    <w:rsid w:val="007A34BD"/>
    <w:rsid w:val="007A35D4"/>
    <w:rsid w:val="007A3640"/>
    <w:rsid w:val="007A379D"/>
    <w:rsid w:val="007A3913"/>
    <w:rsid w:val="007A3CAA"/>
    <w:rsid w:val="007A3DF7"/>
    <w:rsid w:val="007A3EDA"/>
    <w:rsid w:val="007A3F6E"/>
    <w:rsid w:val="007A41B8"/>
    <w:rsid w:val="007A422F"/>
    <w:rsid w:val="007A4332"/>
    <w:rsid w:val="007A43C5"/>
    <w:rsid w:val="007A44FE"/>
    <w:rsid w:val="007A4592"/>
    <w:rsid w:val="007A4695"/>
    <w:rsid w:val="007A47B5"/>
    <w:rsid w:val="007A48B0"/>
    <w:rsid w:val="007A49B5"/>
    <w:rsid w:val="007A4B6D"/>
    <w:rsid w:val="007A4DC3"/>
    <w:rsid w:val="007A4E18"/>
    <w:rsid w:val="007A4E29"/>
    <w:rsid w:val="007A4E5A"/>
    <w:rsid w:val="007A501E"/>
    <w:rsid w:val="007A5090"/>
    <w:rsid w:val="007A53BF"/>
    <w:rsid w:val="007A55B9"/>
    <w:rsid w:val="007A59AB"/>
    <w:rsid w:val="007A5A49"/>
    <w:rsid w:val="007A5A82"/>
    <w:rsid w:val="007A5E8F"/>
    <w:rsid w:val="007A5F67"/>
    <w:rsid w:val="007A61EF"/>
    <w:rsid w:val="007A624F"/>
    <w:rsid w:val="007A638C"/>
    <w:rsid w:val="007A64FC"/>
    <w:rsid w:val="007A65F5"/>
    <w:rsid w:val="007A6617"/>
    <w:rsid w:val="007A6638"/>
    <w:rsid w:val="007A68AB"/>
    <w:rsid w:val="007A6A05"/>
    <w:rsid w:val="007A6C67"/>
    <w:rsid w:val="007A6D08"/>
    <w:rsid w:val="007A6E80"/>
    <w:rsid w:val="007A6EA2"/>
    <w:rsid w:val="007A6F1F"/>
    <w:rsid w:val="007A6FEB"/>
    <w:rsid w:val="007A7052"/>
    <w:rsid w:val="007A7074"/>
    <w:rsid w:val="007A70E2"/>
    <w:rsid w:val="007A7148"/>
    <w:rsid w:val="007A732E"/>
    <w:rsid w:val="007A7365"/>
    <w:rsid w:val="007A74C3"/>
    <w:rsid w:val="007A757B"/>
    <w:rsid w:val="007A758C"/>
    <w:rsid w:val="007A78B6"/>
    <w:rsid w:val="007A7A5F"/>
    <w:rsid w:val="007A7AF3"/>
    <w:rsid w:val="007A7B0A"/>
    <w:rsid w:val="007A7B4C"/>
    <w:rsid w:val="007A7C1A"/>
    <w:rsid w:val="007A7C23"/>
    <w:rsid w:val="007A7C47"/>
    <w:rsid w:val="007A7C98"/>
    <w:rsid w:val="007A7E0D"/>
    <w:rsid w:val="007A7E8D"/>
    <w:rsid w:val="007A7F10"/>
    <w:rsid w:val="007A7FA3"/>
    <w:rsid w:val="007A7FA5"/>
    <w:rsid w:val="007B00E1"/>
    <w:rsid w:val="007B00FE"/>
    <w:rsid w:val="007B01CB"/>
    <w:rsid w:val="007B029E"/>
    <w:rsid w:val="007B02C7"/>
    <w:rsid w:val="007B03AB"/>
    <w:rsid w:val="007B0412"/>
    <w:rsid w:val="007B0494"/>
    <w:rsid w:val="007B04A1"/>
    <w:rsid w:val="007B06F9"/>
    <w:rsid w:val="007B0742"/>
    <w:rsid w:val="007B07CC"/>
    <w:rsid w:val="007B098D"/>
    <w:rsid w:val="007B0AA6"/>
    <w:rsid w:val="007B0AF9"/>
    <w:rsid w:val="007B0BF8"/>
    <w:rsid w:val="007B0FC6"/>
    <w:rsid w:val="007B11B3"/>
    <w:rsid w:val="007B124A"/>
    <w:rsid w:val="007B14E3"/>
    <w:rsid w:val="007B155E"/>
    <w:rsid w:val="007B16FA"/>
    <w:rsid w:val="007B1726"/>
    <w:rsid w:val="007B17DF"/>
    <w:rsid w:val="007B184F"/>
    <w:rsid w:val="007B18D8"/>
    <w:rsid w:val="007B19AD"/>
    <w:rsid w:val="007B1A3B"/>
    <w:rsid w:val="007B1AEA"/>
    <w:rsid w:val="007B1BAA"/>
    <w:rsid w:val="007B1E07"/>
    <w:rsid w:val="007B1EAE"/>
    <w:rsid w:val="007B2023"/>
    <w:rsid w:val="007B22FB"/>
    <w:rsid w:val="007B230E"/>
    <w:rsid w:val="007B2316"/>
    <w:rsid w:val="007B2362"/>
    <w:rsid w:val="007B250E"/>
    <w:rsid w:val="007B260E"/>
    <w:rsid w:val="007B28D1"/>
    <w:rsid w:val="007B299B"/>
    <w:rsid w:val="007B29C0"/>
    <w:rsid w:val="007B2B2E"/>
    <w:rsid w:val="007B2BB4"/>
    <w:rsid w:val="007B2C11"/>
    <w:rsid w:val="007B3044"/>
    <w:rsid w:val="007B306A"/>
    <w:rsid w:val="007B3244"/>
    <w:rsid w:val="007B3269"/>
    <w:rsid w:val="007B3859"/>
    <w:rsid w:val="007B39D2"/>
    <w:rsid w:val="007B3AD4"/>
    <w:rsid w:val="007B3AF8"/>
    <w:rsid w:val="007B3D34"/>
    <w:rsid w:val="007B3E84"/>
    <w:rsid w:val="007B3EC0"/>
    <w:rsid w:val="007B3FC1"/>
    <w:rsid w:val="007B40EB"/>
    <w:rsid w:val="007B4124"/>
    <w:rsid w:val="007B414F"/>
    <w:rsid w:val="007B4291"/>
    <w:rsid w:val="007B42CF"/>
    <w:rsid w:val="007B4332"/>
    <w:rsid w:val="007B4777"/>
    <w:rsid w:val="007B48D6"/>
    <w:rsid w:val="007B4BEA"/>
    <w:rsid w:val="007B4C74"/>
    <w:rsid w:val="007B4D03"/>
    <w:rsid w:val="007B4DEA"/>
    <w:rsid w:val="007B4E5E"/>
    <w:rsid w:val="007B4E92"/>
    <w:rsid w:val="007B4EF1"/>
    <w:rsid w:val="007B51E4"/>
    <w:rsid w:val="007B536B"/>
    <w:rsid w:val="007B5428"/>
    <w:rsid w:val="007B55EA"/>
    <w:rsid w:val="007B579A"/>
    <w:rsid w:val="007B595A"/>
    <w:rsid w:val="007B596E"/>
    <w:rsid w:val="007B598C"/>
    <w:rsid w:val="007B5A6B"/>
    <w:rsid w:val="007B5B9B"/>
    <w:rsid w:val="007B5BFF"/>
    <w:rsid w:val="007B5CAD"/>
    <w:rsid w:val="007B5D11"/>
    <w:rsid w:val="007B5D3E"/>
    <w:rsid w:val="007B5F6B"/>
    <w:rsid w:val="007B6715"/>
    <w:rsid w:val="007B6718"/>
    <w:rsid w:val="007B6780"/>
    <w:rsid w:val="007B67D9"/>
    <w:rsid w:val="007B6874"/>
    <w:rsid w:val="007B68FD"/>
    <w:rsid w:val="007B694A"/>
    <w:rsid w:val="007B6AD6"/>
    <w:rsid w:val="007B6BDB"/>
    <w:rsid w:val="007B6C07"/>
    <w:rsid w:val="007B6C13"/>
    <w:rsid w:val="007B6C31"/>
    <w:rsid w:val="007B6C33"/>
    <w:rsid w:val="007B6E35"/>
    <w:rsid w:val="007B6FDE"/>
    <w:rsid w:val="007B72F6"/>
    <w:rsid w:val="007B72FD"/>
    <w:rsid w:val="007B7373"/>
    <w:rsid w:val="007B754E"/>
    <w:rsid w:val="007B7630"/>
    <w:rsid w:val="007B7674"/>
    <w:rsid w:val="007B788C"/>
    <w:rsid w:val="007B7899"/>
    <w:rsid w:val="007B7951"/>
    <w:rsid w:val="007B79FA"/>
    <w:rsid w:val="007B7A24"/>
    <w:rsid w:val="007B7BE0"/>
    <w:rsid w:val="007B7C86"/>
    <w:rsid w:val="007B7CAB"/>
    <w:rsid w:val="007B7CF1"/>
    <w:rsid w:val="007B7D23"/>
    <w:rsid w:val="007B7D95"/>
    <w:rsid w:val="007B7FCA"/>
    <w:rsid w:val="007C00C8"/>
    <w:rsid w:val="007C00D2"/>
    <w:rsid w:val="007C020C"/>
    <w:rsid w:val="007C0428"/>
    <w:rsid w:val="007C04D2"/>
    <w:rsid w:val="007C04F0"/>
    <w:rsid w:val="007C04FA"/>
    <w:rsid w:val="007C05AE"/>
    <w:rsid w:val="007C05FD"/>
    <w:rsid w:val="007C061F"/>
    <w:rsid w:val="007C0872"/>
    <w:rsid w:val="007C08D3"/>
    <w:rsid w:val="007C0994"/>
    <w:rsid w:val="007C0A8A"/>
    <w:rsid w:val="007C0ABA"/>
    <w:rsid w:val="007C0BD5"/>
    <w:rsid w:val="007C0C43"/>
    <w:rsid w:val="007C0C53"/>
    <w:rsid w:val="007C0D36"/>
    <w:rsid w:val="007C0D8B"/>
    <w:rsid w:val="007C0DCE"/>
    <w:rsid w:val="007C0E65"/>
    <w:rsid w:val="007C0FD5"/>
    <w:rsid w:val="007C0FF4"/>
    <w:rsid w:val="007C1055"/>
    <w:rsid w:val="007C10E2"/>
    <w:rsid w:val="007C11CF"/>
    <w:rsid w:val="007C1228"/>
    <w:rsid w:val="007C12AE"/>
    <w:rsid w:val="007C12DD"/>
    <w:rsid w:val="007C131E"/>
    <w:rsid w:val="007C1357"/>
    <w:rsid w:val="007C146D"/>
    <w:rsid w:val="007C1570"/>
    <w:rsid w:val="007C15BC"/>
    <w:rsid w:val="007C1678"/>
    <w:rsid w:val="007C16E9"/>
    <w:rsid w:val="007C16EA"/>
    <w:rsid w:val="007C180A"/>
    <w:rsid w:val="007C18B7"/>
    <w:rsid w:val="007C1A83"/>
    <w:rsid w:val="007C1A99"/>
    <w:rsid w:val="007C1B99"/>
    <w:rsid w:val="007C1BC8"/>
    <w:rsid w:val="007C1FC5"/>
    <w:rsid w:val="007C1FFE"/>
    <w:rsid w:val="007C20C7"/>
    <w:rsid w:val="007C218D"/>
    <w:rsid w:val="007C22BF"/>
    <w:rsid w:val="007C2368"/>
    <w:rsid w:val="007C2450"/>
    <w:rsid w:val="007C2741"/>
    <w:rsid w:val="007C2747"/>
    <w:rsid w:val="007C2953"/>
    <w:rsid w:val="007C2AAF"/>
    <w:rsid w:val="007C2B9E"/>
    <w:rsid w:val="007C2C24"/>
    <w:rsid w:val="007C2DE9"/>
    <w:rsid w:val="007C30E5"/>
    <w:rsid w:val="007C3483"/>
    <w:rsid w:val="007C34C3"/>
    <w:rsid w:val="007C34C7"/>
    <w:rsid w:val="007C34EF"/>
    <w:rsid w:val="007C34F8"/>
    <w:rsid w:val="007C3516"/>
    <w:rsid w:val="007C37E7"/>
    <w:rsid w:val="007C3896"/>
    <w:rsid w:val="007C3CD8"/>
    <w:rsid w:val="007C3D84"/>
    <w:rsid w:val="007C417A"/>
    <w:rsid w:val="007C4630"/>
    <w:rsid w:val="007C46B7"/>
    <w:rsid w:val="007C4701"/>
    <w:rsid w:val="007C4777"/>
    <w:rsid w:val="007C48F8"/>
    <w:rsid w:val="007C4B3C"/>
    <w:rsid w:val="007C4B6B"/>
    <w:rsid w:val="007C4BB0"/>
    <w:rsid w:val="007C4BD6"/>
    <w:rsid w:val="007C4D3B"/>
    <w:rsid w:val="007C4DCD"/>
    <w:rsid w:val="007C516B"/>
    <w:rsid w:val="007C5194"/>
    <w:rsid w:val="007C5199"/>
    <w:rsid w:val="007C51FA"/>
    <w:rsid w:val="007C52D2"/>
    <w:rsid w:val="007C5315"/>
    <w:rsid w:val="007C5388"/>
    <w:rsid w:val="007C5524"/>
    <w:rsid w:val="007C5612"/>
    <w:rsid w:val="007C570C"/>
    <w:rsid w:val="007C580C"/>
    <w:rsid w:val="007C5986"/>
    <w:rsid w:val="007C5AA2"/>
    <w:rsid w:val="007C5BDC"/>
    <w:rsid w:val="007C5C0D"/>
    <w:rsid w:val="007C5C40"/>
    <w:rsid w:val="007C5CD2"/>
    <w:rsid w:val="007C5F4C"/>
    <w:rsid w:val="007C6248"/>
    <w:rsid w:val="007C62C2"/>
    <w:rsid w:val="007C6433"/>
    <w:rsid w:val="007C6462"/>
    <w:rsid w:val="007C6504"/>
    <w:rsid w:val="007C67F4"/>
    <w:rsid w:val="007C6A6B"/>
    <w:rsid w:val="007C6B40"/>
    <w:rsid w:val="007C6D07"/>
    <w:rsid w:val="007C6D4E"/>
    <w:rsid w:val="007C6E12"/>
    <w:rsid w:val="007C730F"/>
    <w:rsid w:val="007C74D4"/>
    <w:rsid w:val="007C7564"/>
    <w:rsid w:val="007C77EF"/>
    <w:rsid w:val="007C7908"/>
    <w:rsid w:val="007C795C"/>
    <w:rsid w:val="007C7A8D"/>
    <w:rsid w:val="007C7CF6"/>
    <w:rsid w:val="007C7D01"/>
    <w:rsid w:val="007C7D5F"/>
    <w:rsid w:val="007C7E3A"/>
    <w:rsid w:val="007D0007"/>
    <w:rsid w:val="007D01CC"/>
    <w:rsid w:val="007D040D"/>
    <w:rsid w:val="007D0427"/>
    <w:rsid w:val="007D0558"/>
    <w:rsid w:val="007D059F"/>
    <w:rsid w:val="007D07C8"/>
    <w:rsid w:val="007D0990"/>
    <w:rsid w:val="007D0A7D"/>
    <w:rsid w:val="007D0BF5"/>
    <w:rsid w:val="007D0C7A"/>
    <w:rsid w:val="007D0E1A"/>
    <w:rsid w:val="007D0F7A"/>
    <w:rsid w:val="007D12C6"/>
    <w:rsid w:val="007D1410"/>
    <w:rsid w:val="007D1572"/>
    <w:rsid w:val="007D1603"/>
    <w:rsid w:val="007D16C2"/>
    <w:rsid w:val="007D1798"/>
    <w:rsid w:val="007D180D"/>
    <w:rsid w:val="007D188D"/>
    <w:rsid w:val="007D188F"/>
    <w:rsid w:val="007D1942"/>
    <w:rsid w:val="007D1946"/>
    <w:rsid w:val="007D19FC"/>
    <w:rsid w:val="007D1AA6"/>
    <w:rsid w:val="007D1C0A"/>
    <w:rsid w:val="007D1C44"/>
    <w:rsid w:val="007D1C8F"/>
    <w:rsid w:val="007D1F22"/>
    <w:rsid w:val="007D2043"/>
    <w:rsid w:val="007D221C"/>
    <w:rsid w:val="007D23C8"/>
    <w:rsid w:val="007D23E7"/>
    <w:rsid w:val="007D23EA"/>
    <w:rsid w:val="007D240F"/>
    <w:rsid w:val="007D25C5"/>
    <w:rsid w:val="007D294E"/>
    <w:rsid w:val="007D2C27"/>
    <w:rsid w:val="007D2D44"/>
    <w:rsid w:val="007D2EB0"/>
    <w:rsid w:val="007D2F30"/>
    <w:rsid w:val="007D3027"/>
    <w:rsid w:val="007D3057"/>
    <w:rsid w:val="007D3174"/>
    <w:rsid w:val="007D3393"/>
    <w:rsid w:val="007D34E3"/>
    <w:rsid w:val="007D3548"/>
    <w:rsid w:val="007D35E9"/>
    <w:rsid w:val="007D37B6"/>
    <w:rsid w:val="007D39F7"/>
    <w:rsid w:val="007D3AFB"/>
    <w:rsid w:val="007D3B69"/>
    <w:rsid w:val="007D3DC6"/>
    <w:rsid w:val="007D3EAD"/>
    <w:rsid w:val="007D3F2C"/>
    <w:rsid w:val="007D4013"/>
    <w:rsid w:val="007D4064"/>
    <w:rsid w:val="007D4209"/>
    <w:rsid w:val="007D428B"/>
    <w:rsid w:val="007D4413"/>
    <w:rsid w:val="007D4561"/>
    <w:rsid w:val="007D46CB"/>
    <w:rsid w:val="007D4889"/>
    <w:rsid w:val="007D49B9"/>
    <w:rsid w:val="007D4A16"/>
    <w:rsid w:val="007D4B1D"/>
    <w:rsid w:val="007D4B7A"/>
    <w:rsid w:val="007D4BC9"/>
    <w:rsid w:val="007D4C81"/>
    <w:rsid w:val="007D4C85"/>
    <w:rsid w:val="007D4D12"/>
    <w:rsid w:val="007D4DB4"/>
    <w:rsid w:val="007D4DEC"/>
    <w:rsid w:val="007D4E91"/>
    <w:rsid w:val="007D4EF4"/>
    <w:rsid w:val="007D5019"/>
    <w:rsid w:val="007D5280"/>
    <w:rsid w:val="007D5336"/>
    <w:rsid w:val="007D564E"/>
    <w:rsid w:val="007D58A0"/>
    <w:rsid w:val="007D5D4C"/>
    <w:rsid w:val="007D5F53"/>
    <w:rsid w:val="007D5F92"/>
    <w:rsid w:val="007D6734"/>
    <w:rsid w:val="007D676A"/>
    <w:rsid w:val="007D6796"/>
    <w:rsid w:val="007D67E4"/>
    <w:rsid w:val="007D6867"/>
    <w:rsid w:val="007D6ACF"/>
    <w:rsid w:val="007D6C0E"/>
    <w:rsid w:val="007D6F7C"/>
    <w:rsid w:val="007D70DE"/>
    <w:rsid w:val="007D7156"/>
    <w:rsid w:val="007D71A6"/>
    <w:rsid w:val="007D721A"/>
    <w:rsid w:val="007D74C0"/>
    <w:rsid w:val="007D7588"/>
    <w:rsid w:val="007D773C"/>
    <w:rsid w:val="007D7745"/>
    <w:rsid w:val="007D7897"/>
    <w:rsid w:val="007D7AC1"/>
    <w:rsid w:val="007D7B0A"/>
    <w:rsid w:val="007D7BE7"/>
    <w:rsid w:val="007D7BF7"/>
    <w:rsid w:val="007D7D19"/>
    <w:rsid w:val="007D7D8A"/>
    <w:rsid w:val="007E007C"/>
    <w:rsid w:val="007E00D9"/>
    <w:rsid w:val="007E00E8"/>
    <w:rsid w:val="007E02A7"/>
    <w:rsid w:val="007E02D4"/>
    <w:rsid w:val="007E05AD"/>
    <w:rsid w:val="007E067F"/>
    <w:rsid w:val="007E0856"/>
    <w:rsid w:val="007E0C94"/>
    <w:rsid w:val="007E0E25"/>
    <w:rsid w:val="007E0FAC"/>
    <w:rsid w:val="007E1075"/>
    <w:rsid w:val="007E11A1"/>
    <w:rsid w:val="007E126F"/>
    <w:rsid w:val="007E1566"/>
    <w:rsid w:val="007E158B"/>
    <w:rsid w:val="007E186B"/>
    <w:rsid w:val="007E18C7"/>
    <w:rsid w:val="007E1A91"/>
    <w:rsid w:val="007E1CAA"/>
    <w:rsid w:val="007E1D97"/>
    <w:rsid w:val="007E1EF1"/>
    <w:rsid w:val="007E1FCF"/>
    <w:rsid w:val="007E2230"/>
    <w:rsid w:val="007E240B"/>
    <w:rsid w:val="007E24F6"/>
    <w:rsid w:val="007E2625"/>
    <w:rsid w:val="007E2736"/>
    <w:rsid w:val="007E2914"/>
    <w:rsid w:val="007E291D"/>
    <w:rsid w:val="007E2A63"/>
    <w:rsid w:val="007E2CA4"/>
    <w:rsid w:val="007E2D3A"/>
    <w:rsid w:val="007E2DC3"/>
    <w:rsid w:val="007E2E43"/>
    <w:rsid w:val="007E2F24"/>
    <w:rsid w:val="007E2F2D"/>
    <w:rsid w:val="007E2FA7"/>
    <w:rsid w:val="007E303E"/>
    <w:rsid w:val="007E3128"/>
    <w:rsid w:val="007E319A"/>
    <w:rsid w:val="007E323F"/>
    <w:rsid w:val="007E3639"/>
    <w:rsid w:val="007E36B2"/>
    <w:rsid w:val="007E37F8"/>
    <w:rsid w:val="007E38E0"/>
    <w:rsid w:val="007E3AEF"/>
    <w:rsid w:val="007E3B4D"/>
    <w:rsid w:val="007E3D47"/>
    <w:rsid w:val="007E3E0E"/>
    <w:rsid w:val="007E3E8E"/>
    <w:rsid w:val="007E3FCC"/>
    <w:rsid w:val="007E4151"/>
    <w:rsid w:val="007E422B"/>
    <w:rsid w:val="007E455B"/>
    <w:rsid w:val="007E46A4"/>
    <w:rsid w:val="007E4A47"/>
    <w:rsid w:val="007E4A8C"/>
    <w:rsid w:val="007E4BC7"/>
    <w:rsid w:val="007E4C48"/>
    <w:rsid w:val="007E4E08"/>
    <w:rsid w:val="007E5042"/>
    <w:rsid w:val="007E5115"/>
    <w:rsid w:val="007E51FA"/>
    <w:rsid w:val="007E54AA"/>
    <w:rsid w:val="007E54AD"/>
    <w:rsid w:val="007E5535"/>
    <w:rsid w:val="007E554B"/>
    <w:rsid w:val="007E569F"/>
    <w:rsid w:val="007E5A02"/>
    <w:rsid w:val="007E5BEE"/>
    <w:rsid w:val="007E5C44"/>
    <w:rsid w:val="007E5D94"/>
    <w:rsid w:val="007E5EDB"/>
    <w:rsid w:val="007E5F9A"/>
    <w:rsid w:val="007E5FB9"/>
    <w:rsid w:val="007E5FE1"/>
    <w:rsid w:val="007E600C"/>
    <w:rsid w:val="007E61EC"/>
    <w:rsid w:val="007E6384"/>
    <w:rsid w:val="007E6435"/>
    <w:rsid w:val="007E6511"/>
    <w:rsid w:val="007E65FC"/>
    <w:rsid w:val="007E6766"/>
    <w:rsid w:val="007E68AB"/>
    <w:rsid w:val="007E6A45"/>
    <w:rsid w:val="007E6B52"/>
    <w:rsid w:val="007E6BA8"/>
    <w:rsid w:val="007E6D09"/>
    <w:rsid w:val="007E6D4D"/>
    <w:rsid w:val="007E6F2F"/>
    <w:rsid w:val="007E703D"/>
    <w:rsid w:val="007E7068"/>
    <w:rsid w:val="007E70F5"/>
    <w:rsid w:val="007E7110"/>
    <w:rsid w:val="007E72BD"/>
    <w:rsid w:val="007E7368"/>
    <w:rsid w:val="007E7528"/>
    <w:rsid w:val="007E766B"/>
    <w:rsid w:val="007E77C3"/>
    <w:rsid w:val="007E78F1"/>
    <w:rsid w:val="007E79E4"/>
    <w:rsid w:val="007E7B17"/>
    <w:rsid w:val="007E7B67"/>
    <w:rsid w:val="007E7BA8"/>
    <w:rsid w:val="007E7BB3"/>
    <w:rsid w:val="007E7CD4"/>
    <w:rsid w:val="007E7F9F"/>
    <w:rsid w:val="007E7FBA"/>
    <w:rsid w:val="007F0220"/>
    <w:rsid w:val="007F04AA"/>
    <w:rsid w:val="007F05A9"/>
    <w:rsid w:val="007F0798"/>
    <w:rsid w:val="007F0880"/>
    <w:rsid w:val="007F09EA"/>
    <w:rsid w:val="007F09F0"/>
    <w:rsid w:val="007F0A70"/>
    <w:rsid w:val="007F0BBD"/>
    <w:rsid w:val="007F0BE1"/>
    <w:rsid w:val="007F0C19"/>
    <w:rsid w:val="007F0D6E"/>
    <w:rsid w:val="007F0E2C"/>
    <w:rsid w:val="007F0F09"/>
    <w:rsid w:val="007F0F39"/>
    <w:rsid w:val="007F1322"/>
    <w:rsid w:val="007F13D1"/>
    <w:rsid w:val="007F14EB"/>
    <w:rsid w:val="007F1561"/>
    <w:rsid w:val="007F1AD5"/>
    <w:rsid w:val="007F1B9E"/>
    <w:rsid w:val="007F1C65"/>
    <w:rsid w:val="007F1D21"/>
    <w:rsid w:val="007F1E21"/>
    <w:rsid w:val="007F2261"/>
    <w:rsid w:val="007F2441"/>
    <w:rsid w:val="007F24B1"/>
    <w:rsid w:val="007F275E"/>
    <w:rsid w:val="007F27F0"/>
    <w:rsid w:val="007F287F"/>
    <w:rsid w:val="007F2902"/>
    <w:rsid w:val="007F2A8E"/>
    <w:rsid w:val="007F2B86"/>
    <w:rsid w:val="007F2BFC"/>
    <w:rsid w:val="007F2C70"/>
    <w:rsid w:val="007F2C99"/>
    <w:rsid w:val="007F2D59"/>
    <w:rsid w:val="007F30A1"/>
    <w:rsid w:val="007F3112"/>
    <w:rsid w:val="007F3162"/>
    <w:rsid w:val="007F32EA"/>
    <w:rsid w:val="007F32FF"/>
    <w:rsid w:val="007F363B"/>
    <w:rsid w:val="007F38AA"/>
    <w:rsid w:val="007F3910"/>
    <w:rsid w:val="007F3A11"/>
    <w:rsid w:val="007F3A7E"/>
    <w:rsid w:val="007F3B3E"/>
    <w:rsid w:val="007F3D72"/>
    <w:rsid w:val="007F3E07"/>
    <w:rsid w:val="007F3F1D"/>
    <w:rsid w:val="007F40AD"/>
    <w:rsid w:val="007F413E"/>
    <w:rsid w:val="007F41DF"/>
    <w:rsid w:val="007F44B6"/>
    <w:rsid w:val="007F4889"/>
    <w:rsid w:val="007F494A"/>
    <w:rsid w:val="007F4A35"/>
    <w:rsid w:val="007F4AD3"/>
    <w:rsid w:val="007F4E0F"/>
    <w:rsid w:val="007F4EB2"/>
    <w:rsid w:val="007F4FA9"/>
    <w:rsid w:val="007F5092"/>
    <w:rsid w:val="007F510E"/>
    <w:rsid w:val="007F5550"/>
    <w:rsid w:val="007F5572"/>
    <w:rsid w:val="007F5804"/>
    <w:rsid w:val="007F58F8"/>
    <w:rsid w:val="007F5A2D"/>
    <w:rsid w:val="007F5ADD"/>
    <w:rsid w:val="007F5E59"/>
    <w:rsid w:val="007F5FD3"/>
    <w:rsid w:val="007F6281"/>
    <w:rsid w:val="007F6362"/>
    <w:rsid w:val="007F6488"/>
    <w:rsid w:val="007F649F"/>
    <w:rsid w:val="007F6723"/>
    <w:rsid w:val="007F67C4"/>
    <w:rsid w:val="007F67C6"/>
    <w:rsid w:val="007F67D4"/>
    <w:rsid w:val="007F690D"/>
    <w:rsid w:val="007F6D55"/>
    <w:rsid w:val="007F70D5"/>
    <w:rsid w:val="007F721D"/>
    <w:rsid w:val="007F7680"/>
    <w:rsid w:val="007F77CB"/>
    <w:rsid w:val="007F77DD"/>
    <w:rsid w:val="007F78C7"/>
    <w:rsid w:val="007F7960"/>
    <w:rsid w:val="007F7A1B"/>
    <w:rsid w:val="007F7A52"/>
    <w:rsid w:val="007F7AED"/>
    <w:rsid w:val="007F7B59"/>
    <w:rsid w:val="007F7BCD"/>
    <w:rsid w:val="007F7DBD"/>
    <w:rsid w:val="007F7EC6"/>
    <w:rsid w:val="007F7FAC"/>
    <w:rsid w:val="00800029"/>
    <w:rsid w:val="00800129"/>
    <w:rsid w:val="00800193"/>
    <w:rsid w:val="008001F4"/>
    <w:rsid w:val="008005FE"/>
    <w:rsid w:val="00800885"/>
    <w:rsid w:val="0080097B"/>
    <w:rsid w:val="00800BCD"/>
    <w:rsid w:val="00800C01"/>
    <w:rsid w:val="00800D6F"/>
    <w:rsid w:val="008010ED"/>
    <w:rsid w:val="00801209"/>
    <w:rsid w:val="00801246"/>
    <w:rsid w:val="00801358"/>
    <w:rsid w:val="00801387"/>
    <w:rsid w:val="0080149A"/>
    <w:rsid w:val="008014C9"/>
    <w:rsid w:val="00801521"/>
    <w:rsid w:val="00801677"/>
    <w:rsid w:val="00801819"/>
    <w:rsid w:val="008018AD"/>
    <w:rsid w:val="00801AB6"/>
    <w:rsid w:val="00801B74"/>
    <w:rsid w:val="00801B8C"/>
    <w:rsid w:val="00801D77"/>
    <w:rsid w:val="008020CC"/>
    <w:rsid w:val="008020F3"/>
    <w:rsid w:val="00802157"/>
    <w:rsid w:val="008021ED"/>
    <w:rsid w:val="00802226"/>
    <w:rsid w:val="00802315"/>
    <w:rsid w:val="008024EF"/>
    <w:rsid w:val="0080259B"/>
    <w:rsid w:val="008025C3"/>
    <w:rsid w:val="008026A2"/>
    <w:rsid w:val="0080270C"/>
    <w:rsid w:val="008028E1"/>
    <w:rsid w:val="00802E17"/>
    <w:rsid w:val="00802FF5"/>
    <w:rsid w:val="0080368C"/>
    <w:rsid w:val="008036A2"/>
    <w:rsid w:val="008037B6"/>
    <w:rsid w:val="00803828"/>
    <w:rsid w:val="008039B4"/>
    <w:rsid w:val="00803A34"/>
    <w:rsid w:val="00803CC1"/>
    <w:rsid w:val="00803CD0"/>
    <w:rsid w:val="00803DCC"/>
    <w:rsid w:val="00803E48"/>
    <w:rsid w:val="0080408E"/>
    <w:rsid w:val="008040A8"/>
    <w:rsid w:val="00804381"/>
    <w:rsid w:val="00804652"/>
    <w:rsid w:val="00804692"/>
    <w:rsid w:val="0080492C"/>
    <w:rsid w:val="00804A86"/>
    <w:rsid w:val="00804C33"/>
    <w:rsid w:val="00804C66"/>
    <w:rsid w:val="00804C8A"/>
    <w:rsid w:val="00804ED3"/>
    <w:rsid w:val="00804F5B"/>
    <w:rsid w:val="00804FE0"/>
    <w:rsid w:val="008050A5"/>
    <w:rsid w:val="008050DD"/>
    <w:rsid w:val="00805437"/>
    <w:rsid w:val="008055A0"/>
    <w:rsid w:val="008055CC"/>
    <w:rsid w:val="0080560B"/>
    <w:rsid w:val="008056D7"/>
    <w:rsid w:val="0080579C"/>
    <w:rsid w:val="008057F3"/>
    <w:rsid w:val="0080588D"/>
    <w:rsid w:val="008058A8"/>
    <w:rsid w:val="008058C1"/>
    <w:rsid w:val="00805B98"/>
    <w:rsid w:val="00805CEE"/>
    <w:rsid w:val="00805D6C"/>
    <w:rsid w:val="00805FE1"/>
    <w:rsid w:val="00806046"/>
    <w:rsid w:val="008061DF"/>
    <w:rsid w:val="00806260"/>
    <w:rsid w:val="008066C6"/>
    <w:rsid w:val="0080672B"/>
    <w:rsid w:val="0080675F"/>
    <w:rsid w:val="008067E9"/>
    <w:rsid w:val="00806836"/>
    <w:rsid w:val="00806876"/>
    <w:rsid w:val="00806EF5"/>
    <w:rsid w:val="00807129"/>
    <w:rsid w:val="008071E0"/>
    <w:rsid w:val="0080728A"/>
    <w:rsid w:val="008073D6"/>
    <w:rsid w:val="008074A9"/>
    <w:rsid w:val="00807555"/>
    <w:rsid w:val="008075D4"/>
    <w:rsid w:val="008079C6"/>
    <w:rsid w:val="008079DC"/>
    <w:rsid w:val="00807B17"/>
    <w:rsid w:val="00807BCF"/>
    <w:rsid w:val="00807C0C"/>
    <w:rsid w:val="00807C71"/>
    <w:rsid w:val="00807E41"/>
    <w:rsid w:val="008101AA"/>
    <w:rsid w:val="00810214"/>
    <w:rsid w:val="00810483"/>
    <w:rsid w:val="008106DF"/>
    <w:rsid w:val="008108C8"/>
    <w:rsid w:val="0081096D"/>
    <w:rsid w:val="00810A08"/>
    <w:rsid w:val="00810AC8"/>
    <w:rsid w:val="00810B65"/>
    <w:rsid w:val="00810DBA"/>
    <w:rsid w:val="008110F3"/>
    <w:rsid w:val="0081119A"/>
    <w:rsid w:val="008111BB"/>
    <w:rsid w:val="00811203"/>
    <w:rsid w:val="0081121E"/>
    <w:rsid w:val="00811249"/>
    <w:rsid w:val="00811331"/>
    <w:rsid w:val="008113C5"/>
    <w:rsid w:val="008114F2"/>
    <w:rsid w:val="0081178C"/>
    <w:rsid w:val="00811AA7"/>
    <w:rsid w:val="00811B2B"/>
    <w:rsid w:val="00811DA4"/>
    <w:rsid w:val="00812081"/>
    <w:rsid w:val="008120C0"/>
    <w:rsid w:val="00812106"/>
    <w:rsid w:val="00812276"/>
    <w:rsid w:val="0081243D"/>
    <w:rsid w:val="0081252A"/>
    <w:rsid w:val="0081262F"/>
    <w:rsid w:val="008126BE"/>
    <w:rsid w:val="008126F6"/>
    <w:rsid w:val="008129A1"/>
    <w:rsid w:val="00812ACA"/>
    <w:rsid w:val="00812CF9"/>
    <w:rsid w:val="00812D9B"/>
    <w:rsid w:val="00812DF5"/>
    <w:rsid w:val="00812F5D"/>
    <w:rsid w:val="0081317D"/>
    <w:rsid w:val="008131DC"/>
    <w:rsid w:val="00813205"/>
    <w:rsid w:val="008133FB"/>
    <w:rsid w:val="00813679"/>
    <w:rsid w:val="00813786"/>
    <w:rsid w:val="00813857"/>
    <w:rsid w:val="00813982"/>
    <w:rsid w:val="00813A4C"/>
    <w:rsid w:val="00813ADA"/>
    <w:rsid w:val="00813C13"/>
    <w:rsid w:val="00813EDD"/>
    <w:rsid w:val="00813F7C"/>
    <w:rsid w:val="0081405B"/>
    <w:rsid w:val="00814347"/>
    <w:rsid w:val="0081440C"/>
    <w:rsid w:val="00814597"/>
    <w:rsid w:val="0081459D"/>
    <w:rsid w:val="0081462F"/>
    <w:rsid w:val="0081466A"/>
    <w:rsid w:val="00814691"/>
    <w:rsid w:val="0081494A"/>
    <w:rsid w:val="00814A5A"/>
    <w:rsid w:val="00814A9C"/>
    <w:rsid w:val="00814B32"/>
    <w:rsid w:val="00814BEC"/>
    <w:rsid w:val="00814E36"/>
    <w:rsid w:val="00814ED0"/>
    <w:rsid w:val="00814EDD"/>
    <w:rsid w:val="00814EFA"/>
    <w:rsid w:val="00814F29"/>
    <w:rsid w:val="00814FAA"/>
    <w:rsid w:val="00814FF1"/>
    <w:rsid w:val="00815069"/>
    <w:rsid w:val="0081506D"/>
    <w:rsid w:val="0081523B"/>
    <w:rsid w:val="00815297"/>
    <w:rsid w:val="008152D4"/>
    <w:rsid w:val="00815419"/>
    <w:rsid w:val="0081544E"/>
    <w:rsid w:val="00815592"/>
    <w:rsid w:val="00815739"/>
    <w:rsid w:val="008158A6"/>
    <w:rsid w:val="00815AEA"/>
    <w:rsid w:val="00815BC4"/>
    <w:rsid w:val="00815C47"/>
    <w:rsid w:val="00815FF3"/>
    <w:rsid w:val="008160C4"/>
    <w:rsid w:val="0081623F"/>
    <w:rsid w:val="00816241"/>
    <w:rsid w:val="008162F3"/>
    <w:rsid w:val="0081646C"/>
    <w:rsid w:val="008165A2"/>
    <w:rsid w:val="00816617"/>
    <w:rsid w:val="0081681E"/>
    <w:rsid w:val="008168F7"/>
    <w:rsid w:val="00816902"/>
    <w:rsid w:val="008169F4"/>
    <w:rsid w:val="00816A56"/>
    <w:rsid w:val="00816A95"/>
    <w:rsid w:val="00816BF2"/>
    <w:rsid w:val="00816C23"/>
    <w:rsid w:val="00816C48"/>
    <w:rsid w:val="00817231"/>
    <w:rsid w:val="008172CF"/>
    <w:rsid w:val="008176E2"/>
    <w:rsid w:val="00817742"/>
    <w:rsid w:val="00817751"/>
    <w:rsid w:val="008178DB"/>
    <w:rsid w:val="008178E4"/>
    <w:rsid w:val="00817A93"/>
    <w:rsid w:val="00817A9C"/>
    <w:rsid w:val="00817B8F"/>
    <w:rsid w:val="00817CDC"/>
    <w:rsid w:val="00817DB7"/>
    <w:rsid w:val="00817FBD"/>
    <w:rsid w:val="0082002B"/>
    <w:rsid w:val="008200C6"/>
    <w:rsid w:val="008200D1"/>
    <w:rsid w:val="00820181"/>
    <w:rsid w:val="00820274"/>
    <w:rsid w:val="0082029E"/>
    <w:rsid w:val="008202BC"/>
    <w:rsid w:val="008202E8"/>
    <w:rsid w:val="008203A8"/>
    <w:rsid w:val="00820616"/>
    <w:rsid w:val="00820632"/>
    <w:rsid w:val="008207A9"/>
    <w:rsid w:val="00820B39"/>
    <w:rsid w:val="00820D29"/>
    <w:rsid w:val="00820DE8"/>
    <w:rsid w:val="00820E05"/>
    <w:rsid w:val="00820F1E"/>
    <w:rsid w:val="008211DF"/>
    <w:rsid w:val="008211EE"/>
    <w:rsid w:val="00821589"/>
    <w:rsid w:val="008216FB"/>
    <w:rsid w:val="0082184E"/>
    <w:rsid w:val="00821879"/>
    <w:rsid w:val="00821927"/>
    <w:rsid w:val="008219BC"/>
    <w:rsid w:val="008219E8"/>
    <w:rsid w:val="00821A62"/>
    <w:rsid w:val="00821BDB"/>
    <w:rsid w:val="00821C21"/>
    <w:rsid w:val="00821DDA"/>
    <w:rsid w:val="00821E9D"/>
    <w:rsid w:val="00821FCC"/>
    <w:rsid w:val="0082202C"/>
    <w:rsid w:val="008220B8"/>
    <w:rsid w:val="00822154"/>
    <w:rsid w:val="008222A0"/>
    <w:rsid w:val="00822366"/>
    <w:rsid w:val="008223F2"/>
    <w:rsid w:val="008224D9"/>
    <w:rsid w:val="00822517"/>
    <w:rsid w:val="008225C3"/>
    <w:rsid w:val="00822621"/>
    <w:rsid w:val="00822680"/>
    <w:rsid w:val="00822795"/>
    <w:rsid w:val="008228BC"/>
    <w:rsid w:val="008228FE"/>
    <w:rsid w:val="00822999"/>
    <w:rsid w:val="00822C48"/>
    <w:rsid w:val="00822CC1"/>
    <w:rsid w:val="00822EDA"/>
    <w:rsid w:val="00822F15"/>
    <w:rsid w:val="00822F66"/>
    <w:rsid w:val="00823073"/>
    <w:rsid w:val="00823084"/>
    <w:rsid w:val="00823452"/>
    <w:rsid w:val="0082361F"/>
    <w:rsid w:val="008239E3"/>
    <w:rsid w:val="00823A11"/>
    <w:rsid w:val="00823A71"/>
    <w:rsid w:val="00823B03"/>
    <w:rsid w:val="00823CBE"/>
    <w:rsid w:val="00823E4D"/>
    <w:rsid w:val="00823EFD"/>
    <w:rsid w:val="00824316"/>
    <w:rsid w:val="0082458C"/>
    <w:rsid w:val="0082470E"/>
    <w:rsid w:val="00824765"/>
    <w:rsid w:val="008248F9"/>
    <w:rsid w:val="00824909"/>
    <w:rsid w:val="008249B0"/>
    <w:rsid w:val="00824A5B"/>
    <w:rsid w:val="00824AE2"/>
    <w:rsid w:val="00824B9A"/>
    <w:rsid w:val="00824BE9"/>
    <w:rsid w:val="00824C35"/>
    <w:rsid w:val="00824C7E"/>
    <w:rsid w:val="00825010"/>
    <w:rsid w:val="00825074"/>
    <w:rsid w:val="00825164"/>
    <w:rsid w:val="008252E3"/>
    <w:rsid w:val="00825345"/>
    <w:rsid w:val="00825364"/>
    <w:rsid w:val="0082537C"/>
    <w:rsid w:val="00825382"/>
    <w:rsid w:val="008253AF"/>
    <w:rsid w:val="008253B4"/>
    <w:rsid w:val="008253D9"/>
    <w:rsid w:val="00825435"/>
    <w:rsid w:val="008255B0"/>
    <w:rsid w:val="0082560B"/>
    <w:rsid w:val="00825B50"/>
    <w:rsid w:val="00825DAC"/>
    <w:rsid w:val="00826020"/>
    <w:rsid w:val="00826110"/>
    <w:rsid w:val="008261F1"/>
    <w:rsid w:val="0082636C"/>
    <w:rsid w:val="008263CE"/>
    <w:rsid w:val="008264B5"/>
    <w:rsid w:val="008264DA"/>
    <w:rsid w:val="008264E4"/>
    <w:rsid w:val="00826817"/>
    <w:rsid w:val="00826883"/>
    <w:rsid w:val="00826914"/>
    <w:rsid w:val="00826C04"/>
    <w:rsid w:val="00826DC2"/>
    <w:rsid w:val="00827184"/>
    <w:rsid w:val="008271F3"/>
    <w:rsid w:val="00827819"/>
    <w:rsid w:val="0082787F"/>
    <w:rsid w:val="008278F4"/>
    <w:rsid w:val="0082797E"/>
    <w:rsid w:val="00827AAD"/>
    <w:rsid w:val="00827AFE"/>
    <w:rsid w:val="00827B69"/>
    <w:rsid w:val="00827C1A"/>
    <w:rsid w:val="00827D94"/>
    <w:rsid w:val="00827DA9"/>
    <w:rsid w:val="00827E9D"/>
    <w:rsid w:val="0083003E"/>
    <w:rsid w:val="0083005F"/>
    <w:rsid w:val="0083015C"/>
    <w:rsid w:val="00830450"/>
    <w:rsid w:val="0083045C"/>
    <w:rsid w:val="00830580"/>
    <w:rsid w:val="00830B06"/>
    <w:rsid w:val="00830CEB"/>
    <w:rsid w:val="00831061"/>
    <w:rsid w:val="00831063"/>
    <w:rsid w:val="00831098"/>
    <w:rsid w:val="00831151"/>
    <w:rsid w:val="008311AE"/>
    <w:rsid w:val="008311D0"/>
    <w:rsid w:val="00831295"/>
    <w:rsid w:val="008312F4"/>
    <w:rsid w:val="00831557"/>
    <w:rsid w:val="0083155D"/>
    <w:rsid w:val="00831597"/>
    <w:rsid w:val="008315A5"/>
    <w:rsid w:val="008315F4"/>
    <w:rsid w:val="008316B4"/>
    <w:rsid w:val="008317CA"/>
    <w:rsid w:val="00831899"/>
    <w:rsid w:val="008318E6"/>
    <w:rsid w:val="0083192F"/>
    <w:rsid w:val="00831AB2"/>
    <w:rsid w:val="00831B9B"/>
    <w:rsid w:val="00831CB2"/>
    <w:rsid w:val="00831DCE"/>
    <w:rsid w:val="00832032"/>
    <w:rsid w:val="008320DD"/>
    <w:rsid w:val="0083232D"/>
    <w:rsid w:val="008324B4"/>
    <w:rsid w:val="008325C7"/>
    <w:rsid w:val="0083267E"/>
    <w:rsid w:val="00832801"/>
    <w:rsid w:val="0083291B"/>
    <w:rsid w:val="00832B8F"/>
    <w:rsid w:val="00832C4C"/>
    <w:rsid w:val="00832CCB"/>
    <w:rsid w:val="00832D0A"/>
    <w:rsid w:val="00832D9E"/>
    <w:rsid w:val="008330E2"/>
    <w:rsid w:val="008331BA"/>
    <w:rsid w:val="008334CC"/>
    <w:rsid w:val="008337D8"/>
    <w:rsid w:val="0083384E"/>
    <w:rsid w:val="008338BB"/>
    <w:rsid w:val="00833938"/>
    <w:rsid w:val="00833986"/>
    <w:rsid w:val="008339ED"/>
    <w:rsid w:val="00833A74"/>
    <w:rsid w:val="00833AB9"/>
    <w:rsid w:val="00833AE7"/>
    <w:rsid w:val="00833BE3"/>
    <w:rsid w:val="00833E42"/>
    <w:rsid w:val="00833E88"/>
    <w:rsid w:val="00833ED9"/>
    <w:rsid w:val="00833EF8"/>
    <w:rsid w:val="00833F34"/>
    <w:rsid w:val="0083427E"/>
    <w:rsid w:val="008343A3"/>
    <w:rsid w:val="00834566"/>
    <w:rsid w:val="0083487F"/>
    <w:rsid w:val="00834B33"/>
    <w:rsid w:val="00834B4E"/>
    <w:rsid w:val="00834D70"/>
    <w:rsid w:val="00834DB2"/>
    <w:rsid w:val="00834DFB"/>
    <w:rsid w:val="00834E2D"/>
    <w:rsid w:val="00834E9B"/>
    <w:rsid w:val="00834F40"/>
    <w:rsid w:val="00834F53"/>
    <w:rsid w:val="00835012"/>
    <w:rsid w:val="008350AF"/>
    <w:rsid w:val="00835169"/>
    <w:rsid w:val="0083534D"/>
    <w:rsid w:val="008354C5"/>
    <w:rsid w:val="0083551C"/>
    <w:rsid w:val="00835635"/>
    <w:rsid w:val="00835695"/>
    <w:rsid w:val="00835BFB"/>
    <w:rsid w:val="00835C16"/>
    <w:rsid w:val="00835D7F"/>
    <w:rsid w:val="00835E0D"/>
    <w:rsid w:val="00835E4A"/>
    <w:rsid w:val="00835F70"/>
    <w:rsid w:val="00835F83"/>
    <w:rsid w:val="0083600F"/>
    <w:rsid w:val="0083607F"/>
    <w:rsid w:val="00836081"/>
    <w:rsid w:val="00836114"/>
    <w:rsid w:val="00836472"/>
    <w:rsid w:val="008366E4"/>
    <w:rsid w:val="008367A5"/>
    <w:rsid w:val="00836861"/>
    <w:rsid w:val="00836909"/>
    <w:rsid w:val="0083698F"/>
    <w:rsid w:val="008369D9"/>
    <w:rsid w:val="008369EE"/>
    <w:rsid w:val="00836A61"/>
    <w:rsid w:val="00836BF3"/>
    <w:rsid w:val="00836CFA"/>
    <w:rsid w:val="00836DFD"/>
    <w:rsid w:val="00836E02"/>
    <w:rsid w:val="00836E36"/>
    <w:rsid w:val="00836EA8"/>
    <w:rsid w:val="00836EF1"/>
    <w:rsid w:val="00836F28"/>
    <w:rsid w:val="00837017"/>
    <w:rsid w:val="008370BD"/>
    <w:rsid w:val="00837145"/>
    <w:rsid w:val="00837251"/>
    <w:rsid w:val="00837424"/>
    <w:rsid w:val="0083746E"/>
    <w:rsid w:val="0083768A"/>
    <w:rsid w:val="008376D3"/>
    <w:rsid w:val="0083779A"/>
    <w:rsid w:val="008377EC"/>
    <w:rsid w:val="008379EC"/>
    <w:rsid w:val="00837A0C"/>
    <w:rsid w:val="00837B9B"/>
    <w:rsid w:val="00837C15"/>
    <w:rsid w:val="00837D3E"/>
    <w:rsid w:val="00837DE0"/>
    <w:rsid w:val="00837EE4"/>
    <w:rsid w:val="00837F93"/>
    <w:rsid w:val="00840068"/>
    <w:rsid w:val="008401B6"/>
    <w:rsid w:val="00840358"/>
    <w:rsid w:val="00840417"/>
    <w:rsid w:val="00840579"/>
    <w:rsid w:val="0084061A"/>
    <w:rsid w:val="00840B03"/>
    <w:rsid w:val="00840B7B"/>
    <w:rsid w:val="00840D14"/>
    <w:rsid w:val="00840D88"/>
    <w:rsid w:val="0084114B"/>
    <w:rsid w:val="00841193"/>
    <w:rsid w:val="00841263"/>
    <w:rsid w:val="0084128F"/>
    <w:rsid w:val="008413D0"/>
    <w:rsid w:val="00841441"/>
    <w:rsid w:val="008414EC"/>
    <w:rsid w:val="008415EC"/>
    <w:rsid w:val="00841774"/>
    <w:rsid w:val="00841843"/>
    <w:rsid w:val="00841861"/>
    <w:rsid w:val="00841972"/>
    <w:rsid w:val="00841A5B"/>
    <w:rsid w:val="00841D79"/>
    <w:rsid w:val="00841DFD"/>
    <w:rsid w:val="00841E12"/>
    <w:rsid w:val="00841EA5"/>
    <w:rsid w:val="00841FD0"/>
    <w:rsid w:val="0084239A"/>
    <w:rsid w:val="00842491"/>
    <w:rsid w:val="008424CB"/>
    <w:rsid w:val="008425FF"/>
    <w:rsid w:val="00842661"/>
    <w:rsid w:val="00842A58"/>
    <w:rsid w:val="00842B4C"/>
    <w:rsid w:val="00843021"/>
    <w:rsid w:val="008432E5"/>
    <w:rsid w:val="00843472"/>
    <w:rsid w:val="008437A5"/>
    <w:rsid w:val="00843B60"/>
    <w:rsid w:val="00843BD2"/>
    <w:rsid w:val="00843C07"/>
    <w:rsid w:val="00843E7A"/>
    <w:rsid w:val="00843ECE"/>
    <w:rsid w:val="00844023"/>
    <w:rsid w:val="00844038"/>
    <w:rsid w:val="008441CF"/>
    <w:rsid w:val="0084423F"/>
    <w:rsid w:val="008444F9"/>
    <w:rsid w:val="0084482B"/>
    <w:rsid w:val="00844AEB"/>
    <w:rsid w:val="00844AFB"/>
    <w:rsid w:val="00844BF3"/>
    <w:rsid w:val="00844C7E"/>
    <w:rsid w:val="00844CC3"/>
    <w:rsid w:val="00844D99"/>
    <w:rsid w:val="00844D9F"/>
    <w:rsid w:val="00844E66"/>
    <w:rsid w:val="00844FC1"/>
    <w:rsid w:val="008450F9"/>
    <w:rsid w:val="008451E0"/>
    <w:rsid w:val="0084534C"/>
    <w:rsid w:val="00845424"/>
    <w:rsid w:val="00845447"/>
    <w:rsid w:val="0084550A"/>
    <w:rsid w:val="008456E4"/>
    <w:rsid w:val="008456E7"/>
    <w:rsid w:val="008458D0"/>
    <w:rsid w:val="00845947"/>
    <w:rsid w:val="00845B54"/>
    <w:rsid w:val="00845C8D"/>
    <w:rsid w:val="00845D41"/>
    <w:rsid w:val="00845FC5"/>
    <w:rsid w:val="008461CE"/>
    <w:rsid w:val="008463DC"/>
    <w:rsid w:val="0084673E"/>
    <w:rsid w:val="00846763"/>
    <w:rsid w:val="008468D0"/>
    <w:rsid w:val="00846A28"/>
    <w:rsid w:val="00846C41"/>
    <w:rsid w:val="00846D06"/>
    <w:rsid w:val="0084716E"/>
    <w:rsid w:val="00847255"/>
    <w:rsid w:val="00847377"/>
    <w:rsid w:val="0084778B"/>
    <w:rsid w:val="008477DA"/>
    <w:rsid w:val="00847814"/>
    <w:rsid w:val="00847902"/>
    <w:rsid w:val="00847E9A"/>
    <w:rsid w:val="00847ED6"/>
    <w:rsid w:val="00847F18"/>
    <w:rsid w:val="00847F92"/>
    <w:rsid w:val="00850049"/>
    <w:rsid w:val="0085009C"/>
    <w:rsid w:val="00850132"/>
    <w:rsid w:val="00850296"/>
    <w:rsid w:val="008505FE"/>
    <w:rsid w:val="0085064F"/>
    <w:rsid w:val="008506A3"/>
    <w:rsid w:val="00850771"/>
    <w:rsid w:val="008507EE"/>
    <w:rsid w:val="00850872"/>
    <w:rsid w:val="00850907"/>
    <w:rsid w:val="008509A5"/>
    <w:rsid w:val="008509F7"/>
    <w:rsid w:val="00850D58"/>
    <w:rsid w:val="00850D8A"/>
    <w:rsid w:val="00850E52"/>
    <w:rsid w:val="00850F99"/>
    <w:rsid w:val="00850FB7"/>
    <w:rsid w:val="0085102B"/>
    <w:rsid w:val="0085128F"/>
    <w:rsid w:val="00851335"/>
    <w:rsid w:val="00851445"/>
    <w:rsid w:val="00851510"/>
    <w:rsid w:val="008516D2"/>
    <w:rsid w:val="00851820"/>
    <w:rsid w:val="0085185E"/>
    <w:rsid w:val="00851864"/>
    <w:rsid w:val="00851BD6"/>
    <w:rsid w:val="00851CD4"/>
    <w:rsid w:val="00851E16"/>
    <w:rsid w:val="008520F7"/>
    <w:rsid w:val="0085224F"/>
    <w:rsid w:val="0085242A"/>
    <w:rsid w:val="0085247D"/>
    <w:rsid w:val="008524AD"/>
    <w:rsid w:val="008524C3"/>
    <w:rsid w:val="00852565"/>
    <w:rsid w:val="008525FE"/>
    <w:rsid w:val="008526F2"/>
    <w:rsid w:val="0085290A"/>
    <w:rsid w:val="008529B1"/>
    <w:rsid w:val="00852A31"/>
    <w:rsid w:val="00852B35"/>
    <w:rsid w:val="00852B63"/>
    <w:rsid w:val="00852B8E"/>
    <w:rsid w:val="00852C1F"/>
    <w:rsid w:val="00852CDB"/>
    <w:rsid w:val="008530B0"/>
    <w:rsid w:val="0085319A"/>
    <w:rsid w:val="008533DF"/>
    <w:rsid w:val="008534FC"/>
    <w:rsid w:val="0085356C"/>
    <w:rsid w:val="008537E5"/>
    <w:rsid w:val="00853BA7"/>
    <w:rsid w:val="00853C24"/>
    <w:rsid w:val="00853D88"/>
    <w:rsid w:val="00853F07"/>
    <w:rsid w:val="00853F59"/>
    <w:rsid w:val="00854033"/>
    <w:rsid w:val="00854075"/>
    <w:rsid w:val="00854123"/>
    <w:rsid w:val="0085432E"/>
    <w:rsid w:val="0085441A"/>
    <w:rsid w:val="0085461B"/>
    <w:rsid w:val="0085471E"/>
    <w:rsid w:val="008547EA"/>
    <w:rsid w:val="008548BC"/>
    <w:rsid w:val="00854904"/>
    <w:rsid w:val="00854B5B"/>
    <w:rsid w:val="00854EFF"/>
    <w:rsid w:val="00855078"/>
    <w:rsid w:val="0085513A"/>
    <w:rsid w:val="008554DD"/>
    <w:rsid w:val="008555CE"/>
    <w:rsid w:val="008557F7"/>
    <w:rsid w:val="00855AD3"/>
    <w:rsid w:val="00855C4B"/>
    <w:rsid w:val="00855C8B"/>
    <w:rsid w:val="00855D08"/>
    <w:rsid w:val="00855FE1"/>
    <w:rsid w:val="00856180"/>
    <w:rsid w:val="00856205"/>
    <w:rsid w:val="00856211"/>
    <w:rsid w:val="0085623E"/>
    <w:rsid w:val="0085623F"/>
    <w:rsid w:val="008563DE"/>
    <w:rsid w:val="008563FA"/>
    <w:rsid w:val="00856422"/>
    <w:rsid w:val="008564B3"/>
    <w:rsid w:val="00856504"/>
    <w:rsid w:val="008565AE"/>
    <w:rsid w:val="0085669F"/>
    <w:rsid w:val="008566A9"/>
    <w:rsid w:val="00856AF0"/>
    <w:rsid w:val="00856C7F"/>
    <w:rsid w:val="00856FE3"/>
    <w:rsid w:val="008570E9"/>
    <w:rsid w:val="008571A3"/>
    <w:rsid w:val="008571EF"/>
    <w:rsid w:val="008573D4"/>
    <w:rsid w:val="00857672"/>
    <w:rsid w:val="0085782F"/>
    <w:rsid w:val="008578D8"/>
    <w:rsid w:val="0085795F"/>
    <w:rsid w:val="00857A0A"/>
    <w:rsid w:val="00857CEB"/>
    <w:rsid w:val="00857D86"/>
    <w:rsid w:val="00857F12"/>
    <w:rsid w:val="00857FF8"/>
    <w:rsid w:val="00860141"/>
    <w:rsid w:val="00860144"/>
    <w:rsid w:val="008601DF"/>
    <w:rsid w:val="00860506"/>
    <w:rsid w:val="0086057F"/>
    <w:rsid w:val="00860B69"/>
    <w:rsid w:val="00860D8B"/>
    <w:rsid w:val="00860F00"/>
    <w:rsid w:val="00860F55"/>
    <w:rsid w:val="00860FA7"/>
    <w:rsid w:val="0086116B"/>
    <w:rsid w:val="008611B3"/>
    <w:rsid w:val="008612F3"/>
    <w:rsid w:val="00861378"/>
    <w:rsid w:val="008615BB"/>
    <w:rsid w:val="00861633"/>
    <w:rsid w:val="008617C9"/>
    <w:rsid w:val="008617CF"/>
    <w:rsid w:val="00861845"/>
    <w:rsid w:val="00861A32"/>
    <w:rsid w:val="00861A7F"/>
    <w:rsid w:val="00861AC1"/>
    <w:rsid w:val="00861AF8"/>
    <w:rsid w:val="00861B75"/>
    <w:rsid w:val="00861C87"/>
    <w:rsid w:val="00861CE1"/>
    <w:rsid w:val="00861DE6"/>
    <w:rsid w:val="00861E17"/>
    <w:rsid w:val="00861E5F"/>
    <w:rsid w:val="00861EE3"/>
    <w:rsid w:val="008620CD"/>
    <w:rsid w:val="0086216A"/>
    <w:rsid w:val="00862176"/>
    <w:rsid w:val="008621AE"/>
    <w:rsid w:val="008621F2"/>
    <w:rsid w:val="00862252"/>
    <w:rsid w:val="008622E2"/>
    <w:rsid w:val="008622EE"/>
    <w:rsid w:val="008624CE"/>
    <w:rsid w:val="008624D1"/>
    <w:rsid w:val="0086265E"/>
    <w:rsid w:val="0086275E"/>
    <w:rsid w:val="008628AE"/>
    <w:rsid w:val="008628CB"/>
    <w:rsid w:val="008628FF"/>
    <w:rsid w:val="008629BB"/>
    <w:rsid w:val="008629FC"/>
    <w:rsid w:val="0086306B"/>
    <w:rsid w:val="00863088"/>
    <w:rsid w:val="008630D8"/>
    <w:rsid w:val="00863271"/>
    <w:rsid w:val="008633A3"/>
    <w:rsid w:val="008634C3"/>
    <w:rsid w:val="008635CE"/>
    <w:rsid w:val="0086387B"/>
    <w:rsid w:val="0086396F"/>
    <w:rsid w:val="00863A35"/>
    <w:rsid w:val="00863B2F"/>
    <w:rsid w:val="00863DB4"/>
    <w:rsid w:val="00863DBE"/>
    <w:rsid w:val="00863EAB"/>
    <w:rsid w:val="00863EEB"/>
    <w:rsid w:val="00863FBA"/>
    <w:rsid w:val="008644A5"/>
    <w:rsid w:val="008644D5"/>
    <w:rsid w:val="00864558"/>
    <w:rsid w:val="00864630"/>
    <w:rsid w:val="00864652"/>
    <w:rsid w:val="008647FE"/>
    <w:rsid w:val="008648F3"/>
    <w:rsid w:val="00864981"/>
    <w:rsid w:val="00864A9F"/>
    <w:rsid w:val="00864BFE"/>
    <w:rsid w:val="00864D11"/>
    <w:rsid w:val="00864D2E"/>
    <w:rsid w:val="00864DFE"/>
    <w:rsid w:val="00864E37"/>
    <w:rsid w:val="0086508E"/>
    <w:rsid w:val="008653F3"/>
    <w:rsid w:val="00865562"/>
    <w:rsid w:val="0086560E"/>
    <w:rsid w:val="00865654"/>
    <w:rsid w:val="0086568A"/>
    <w:rsid w:val="00865835"/>
    <w:rsid w:val="00865855"/>
    <w:rsid w:val="00865A80"/>
    <w:rsid w:val="00865DA1"/>
    <w:rsid w:val="00865EF5"/>
    <w:rsid w:val="00866083"/>
    <w:rsid w:val="0086616F"/>
    <w:rsid w:val="008662BD"/>
    <w:rsid w:val="00866492"/>
    <w:rsid w:val="008665EB"/>
    <w:rsid w:val="0086666A"/>
    <w:rsid w:val="008666B7"/>
    <w:rsid w:val="0086697E"/>
    <w:rsid w:val="00866C3A"/>
    <w:rsid w:val="00866D0A"/>
    <w:rsid w:val="00866D4D"/>
    <w:rsid w:val="00866DDB"/>
    <w:rsid w:val="00866DEB"/>
    <w:rsid w:val="00866E32"/>
    <w:rsid w:val="00866E44"/>
    <w:rsid w:val="00866E49"/>
    <w:rsid w:val="00866E63"/>
    <w:rsid w:val="00866EC0"/>
    <w:rsid w:val="00866ECE"/>
    <w:rsid w:val="00866EED"/>
    <w:rsid w:val="00866F62"/>
    <w:rsid w:val="00866F8B"/>
    <w:rsid w:val="008672E2"/>
    <w:rsid w:val="008672E5"/>
    <w:rsid w:val="0086730E"/>
    <w:rsid w:val="00867759"/>
    <w:rsid w:val="00867874"/>
    <w:rsid w:val="008678A9"/>
    <w:rsid w:val="0086794A"/>
    <w:rsid w:val="00867A7F"/>
    <w:rsid w:val="00867B86"/>
    <w:rsid w:val="00867CFA"/>
    <w:rsid w:val="00867DAF"/>
    <w:rsid w:val="00867E10"/>
    <w:rsid w:val="00867E95"/>
    <w:rsid w:val="0087000E"/>
    <w:rsid w:val="0087010B"/>
    <w:rsid w:val="0087015B"/>
    <w:rsid w:val="008701BA"/>
    <w:rsid w:val="0087025D"/>
    <w:rsid w:val="00870268"/>
    <w:rsid w:val="008704B3"/>
    <w:rsid w:val="008704FA"/>
    <w:rsid w:val="008709AF"/>
    <w:rsid w:val="008709B7"/>
    <w:rsid w:val="00870B82"/>
    <w:rsid w:val="00870D4F"/>
    <w:rsid w:val="00870DC6"/>
    <w:rsid w:val="00870DE3"/>
    <w:rsid w:val="00870F4F"/>
    <w:rsid w:val="00871128"/>
    <w:rsid w:val="0087138F"/>
    <w:rsid w:val="00871511"/>
    <w:rsid w:val="0087151D"/>
    <w:rsid w:val="008715E6"/>
    <w:rsid w:val="008715EC"/>
    <w:rsid w:val="00871742"/>
    <w:rsid w:val="0087188A"/>
    <w:rsid w:val="008718DC"/>
    <w:rsid w:val="00871A2A"/>
    <w:rsid w:val="00871D6D"/>
    <w:rsid w:val="00871E8B"/>
    <w:rsid w:val="00871F30"/>
    <w:rsid w:val="00871FEF"/>
    <w:rsid w:val="008720C0"/>
    <w:rsid w:val="008720DA"/>
    <w:rsid w:val="0087218C"/>
    <w:rsid w:val="008722D6"/>
    <w:rsid w:val="008723F8"/>
    <w:rsid w:val="00872684"/>
    <w:rsid w:val="008726A8"/>
    <w:rsid w:val="0087276C"/>
    <w:rsid w:val="0087280F"/>
    <w:rsid w:val="00872988"/>
    <w:rsid w:val="00872A93"/>
    <w:rsid w:val="0087300E"/>
    <w:rsid w:val="00873385"/>
    <w:rsid w:val="008733C8"/>
    <w:rsid w:val="008734C0"/>
    <w:rsid w:val="008735D4"/>
    <w:rsid w:val="008737F7"/>
    <w:rsid w:val="00873843"/>
    <w:rsid w:val="0087399C"/>
    <w:rsid w:val="008739DC"/>
    <w:rsid w:val="00873A34"/>
    <w:rsid w:val="00873A78"/>
    <w:rsid w:val="00873AAA"/>
    <w:rsid w:val="00873F36"/>
    <w:rsid w:val="00873FBA"/>
    <w:rsid w:val="0087400E"/>
    <w:rsid w:val="00874124"/>
    <w:rsid w:val="008742F7"/>
    <w:rsid w:val="00874318"/>
    <w:rsid w:val="008743DB"/>
    <w:rsid w:val="008745C2"/>
    <w:rsid w:val="00874669"/>
    <w:rsid w:val="00874688"/>
    <w:rsid w:val="0087471F"/>
    <w:rsid w:val="00874844"/>
    <w:rsid w:val="00874856"/>
    <w:rsid w:val="00874930"/>
    <w:rsid w:val="00874978"/>
    <w:rsid w:val="00874B18"/>
    <w:rsid w:val="00874E00"/>
    <w:rsid w:val="00874E33"/>
    <w:rsid w:val="00874E34"/>
    <w:rsid w:val="00874EA4"/>
    <w:rsid w:val="00874F27"/>
    <w:rsid w:val="008750F3"/>
    <w:rsid w:val="00875125"/>
    <w:rsid w:val="0087518B"/>
    <w:rsid w:val="008753F0"/>
    <w:rsid w:val="008754F9"/>
    <w:rsid w:val="0087558B"/>
    <w:rsid w:val="0087565D"/>
    <w:rsid w:val="008758F7"/>
    <w:rsid w:val="008759D0"/>
    <w:rsid w:val="00875CB8"/>
    <w:rsid w:val="00875E19"/>
    <w:rsid w:val="00875E2B"/>
    <w:rsid w:val="00875F6E"/>
    <w:rsid w:val="0087635E"/>
    <w:rsid w:val="00876459"/>
    <w:rsid w:val="0087647C"/>
    <w:rsid w:val="0087654F"/>
    <w:rsid w:val="00876664"/>
    <w:rsid w:val="00876886"/>
    <w:rsid w:val="00876AEE"/>
    <w:rsid w:val="00876BFA"/>
    <w:rsid w:val="00876D91"/>
    <w:rsid w:val="00877072"/>
    <w:rsid w:val="008772E4"/>
    <w:rsid w:val="0087733D"/>
    <w:rsid w:val="00877404"/>
    <w:rsid w:val="0087768F"/>
    <w:rsid w:val="0087769C"/>
    <w:rsid w:val="008776B5"/>
    <w:rsid w:val="00877AC6"/>
    <w:rsid w:val="00877C46"/>
    <w:rsid w:val="00877D98"/>
    <w:rsid w:val="00877F69"/>
    <w:rsid w:val="0088008A"/>
    <w:rsid w:val="00880307"/>
    <w:rsid w:val="008803F4"/>
    <w:rsid w:val="00880546"/>
    <w:rsid w:val="008805FE"/>
    <w:rsid w:val="0088082B"/>
    <w:rsid w:val="0088082E"/>
    <w:rsid w:val="008809EF"/>
    <w:rsid w:val="00880AB9"/>
    <w:rsid w:val="00880BE4"/>
    <w:rsid w:val="00880CED"/>
    <w:rsid w:val="00880DE4"/>
    <w:rsid w:val="00880E22"/>
    <w:rsid w:val="00880FDF"/>
    <w:rsid w:val="0088102B"/>
    <w:rsid w:val="008817B8"/>
    <w:rsid w:val="008819A7"/>
    <w:rsid w:val="00881B80"/>
    <w:rsid w:val="00881CB9"/>
    <w:rsid w:val="00881D17"/>
    <w:rsid w:val="00881D8F"/>
    <w:rsid w:val="00882012"/>
    <w:rsid w:val="0088203E"/>
    <w:rsid w:val="00882097"/>
    <w:rsid w:val="008822FB"/>
    <w:rsid w:val="0088242B"/>
    <w:rsid w:val="008825DF"/>
    <w:rsid w:val="008826C0"/>
    <w:rsid w:val="0088272B"/>
    <w:rsid w:val="008828B1"/>
    <w:rsid w:val="0088290A"/>
    <w:rsid w:val="008829EE"/>
    <w:rsid w:val="008829F6"/>
    <w:rsid w:val="00882B54"/>
    <w:rsid w:val="00882B57"/>
    <w:rsid w:val="00882CF9"/>
    <w:rsid w:val="008833E2"/>
    <w:rsid w:val="00883479"/>
    <w:rsid w:val="0088354D"/>
    <w:rsid w:val="00883632"/>
    <w:rsid w:val="00883652"/>
    <w:rsid w:val="00883683"/>
    <w:rsid w:val="00883722"/>
    <w:rsid w:val="00883762"/>
    <w:rsid w:val="0088381B"/>
    <w:rsid w:val="00883982"/>
    <w:rsid w:val="008839D5"/>
    <w:rsid w:val="00883CF3"/>
    <w:rsid w:val="00884096"/>
    <w:rsid w:val="0088409A"/>
    <w:rsid w:val="008840AF"/>
    <w:rsid w:val="00884312"/>
    <w:rsid w:val="00884364"/>
    <w:rsid w:val="008843E1"/>
    <w:rsid w:val="008843FD"/>
    <w:rsid w:val="0088445C"/>
    <w:rsid w:val="0088447E"/>
    <w:rsid w:val="008846E1"/>
    <w:rsid w:val="00884781"/>
    <w:rsid w:val="00884B0E"/>
    <w:rsid w:val="00884B21"/>
    <w:rsid w:val="00884B64"/>
    <w:rsid w:val="00884CD0"/>
    <w:rsid w:val="00884D48"/>
    <w:rsid w:val="00884E76"/>
    <w:rsid w:val="00884E79"/>
    <w:rsid w:val="00884E84"/>
    <w:rsid w:val="00884E91"/>
    <w:rsid w:val="00884EBA"/>
    <w:rsid w:val="00884F31"/>
    <w:rsid w:val="00884F36"/>
    <w:rsid w:val="00885056"/>
    <w:rsid w:val="00885131"/>
    <w:rsid w:val="0088543B"/>
    <w:rsid w:val="008854AB"/>
    <w:rsid w:val="00885529"/>
    <w:rsid w:val="0088563D"/>
    <w:rsid w:val="00885772"/>
    <w:rsid w:val="00885811"/>
    <w:rsid w:val="00885875"/>
    <w:rsid w:val="00885921"/>
    <w:rsid w:val="00885A97"/>
    <w:rsid w:val="00885B2F"/>
    <w:rsid w:val="00885C39"/>
    <w:rsid w:val="00885C59"/>
    <w:rsid w:val="00885CBA"/>
    <w:rsid w:val="008860DC"/>
    <w:rsid w:val="00886267"/>
    <w:rsid w:val="0088657E"/>
    <w:rsid w:val="008865D5"/>
    <w:rsid w:val="0088664C"/>
    <w:rsid w:val="0088667A"/>
    <w:rsid w:val="00886687"/>
    <w:rsid w:val="00886695"/>
    <w:rsid w:val="0088678D"/>
    <w:rsid w:val="00886854"/>
    <w:rsid w:val="00886A6F"/>
    <w:rsid w:val="00886A98"/>
    <w:rsid w:val="00886BAF"/>
    <w:rsid w:val="00886C25"/>
    <w:rsid w:val="00886D88"/>
    <w:rsid w:val="00886DCD"/>
    <w:rsid w:val="00886EEE"/>
    <w:rsid w:val="008870FD"/>
    <w:rsid w:val="0088710D"/>
    <w:rsid w:val="008872EC"/>
    <w:rsid w:val="00887317"/>
    <w:rsid w:val="008873EE"/>
    <w:rsid w:val="008874F0"/>
    <w:rsid w:val="0088764E"/>
    <w:rsid w:val="008876C7"/>
    <w:rsid w:val="00887792"/>
    <w:rsid w:val="00887CD7"/>
    <w:rsid w:val="00887DEF"/>
    <w:rsid w:val="00887DF6"/>
    <w:rsid w:val="00887E13"/>
    <w:rsid w:val="00887E44"/>
    <w:rsid w:val="00887FD1"/>
    <w:rsid w:val="008894C7"/>
    <w:rsid w:val="00890063"/>
    <w:rsid w:val="008900B7"/>
    <w:rsid w:val="008901B6"/>
    <w:rsid w:val="00890241"/>
    <w:rsid w:val="008902DC"/>
    <w:rsid w:val="008905A0"/>
    <w:rsid w:val="008905A1"/>
    <w:rsid w:val="008908A5"/>
    <w:rsid w:val="008908AE"/>
    <w:rsid w:val="00890BF1"/>
    <w:rsid w:val="00890BF4"/>
    <w:rsid w:val="00890D2C"/>
    <w:rsid w:val="00890DE0"/>
    <w:rsid w:val="00890E13"/>
    <w:rsid w:val="00890E19"/>
    <w:rsid w:val="00890EDF"/>
    <w:rsid w:val="00890FB6"/>
    <w:rsid w:val="00891095"/>
    <w:rsid w:val="00891160"/>
    <w:rsid w:val="008911B0"/>
    <w:rsid w:val="00891282"/>
    <w:rsid w:val="0089133C"/>
    <w:rsid w:val="00891390"/>
    <w:rsid w:val="008913D3"/>
    <w:rsid w:val="00891602"/>
    <w:rsid w:val="0089164D"/>
    <w:rsid w:val="0089171E"/>
    <w:rsid w:val="00891808"/>
    <w:rsid w:val="00891819"/>
    <w:rsid w:val="008918AD"/>
    <w:rsid w:val="0089191A"/>
    <w:rsid w:val="008919B5"/>
    <w:rsid w:val="00891B1A"/>
    <w:rsid w:val="00891BD4"/>
    <w:rsid w:val="00891D25"/>
    <w:rsid w:val="00891DEB"/>
    <w:rsid w:val="00891E76"/>
    <w:rsid w:val="00891E80"/>
    <w:rsid w:val="00891F11"/>
    <w:rsid w:val="00891FEB"/>
    <w:rsid w:val="0089213C"/>
    <w:rsid w:val="00892203"/>
    <w:rsid w:val="00892288"/>
    <w:rsid w:val="008922E5"/>
    <w:rsid w:val="008923D8"/>
    <w:rsid w:val="00892434"/>
    <w:rsid w:val="00892480"/>
    <w:rsid w:val="00892620"/>
    <w:rsid w:val="0089264A"/>
    <w:rsid w:val="0089271A"/>
    <w:rsid w:val="008927C2"/>
    <w:rsid w:val="00892800"/>
    <w:rsid w:val="0089285A"/>
    <w:rsid w:val="0089292E"/>
    <w:rsid w:val="00892984"/>
    <w:rsid w:val="0089298B"/>
    <w:rsid w:val="00892AA9"/>
    <w:rsid w:val="00892BAA"/>
    <w:rsid w:val="00892BC7"/>
    <w:rsid w:val="00892BCD"/>
    <w:rsid w:val="00892BE3"/>
    <w:rsid w:val="0089304C"/>
    <w:rsid w:val="0089309A"/>
    <w:rsid w:val="00893246"/>
    <w:rsid w:val="00893303"/>
    <w:rsid w:val="00893471"/>
    <w:rsid w:val="00893474"/>
    <w:rsid w:val="0089348D"/>
    <w:rsid w:val="008934BF"/>
    <w:rsid w:val="0089367E"/>
    <w:rsid w:val="0089373E"/>
    <w:rsid w:val="0089387D"/>
    <w:rsid w:val="00893B52"/>
    <w:rsid w:val="00893BDB"/>
    <w:rsid w:val="00893F14"/>
    <w:rsid w:val="008940E5"/>
    <w:rsid w:val="0089415F"/>
    <w:rsid w:val="00894545"/>
    <w:rsid w:val="00894593"/>
    <w:rsid w:val="008945B3"/>
    <w:rsid w:val="008948A7"/>
    <w:rsid w:val="00894906"/>
    <w:rsid w:val="0089499B"/>
    <w:rsid w:val="00894AE5"/>
    <w:rsid w:val="00894B09"/>
    <w:rsid w:val="00894D14"/>
    <w:rsid w:val="00894D43"/>
    <w:rsid w:val="00894FCD"/>
    <w:rsid w:val="0089500B"/>
    <w:rsid w:val="008950E7"/>
    <w:rsid w:val="0089512B"/>
    <w:rsid w:val="0089517F"/>
    <w:rsid w:val="00895185"/>
    <w:rsid w:val="008952C8"/>
    <w:rsid w:val="0089531F"/>
    <w:rsid w:val="00895320"/>
    <w:rsid w:val="00895464"/>
    <w:rsid w:val="0089549B"/>
    <w:rsid w:val="00895582"/>
    <w:rsid w:val="008956D9"/>
    <w:rsid w:val="008956DE"/>
    <w:rsid w:val="00895832"/>
    <w:rsid w:val="00895990"/>
    <w:rsid w:val="00895A73"/>
    <w:rsid w:val="00895AB7"/>
    <w:rsid w:val="008960EC"/>
    <w:rsid w:val="0089616C"/>
    <w:rsid w:val="0089633C"/>
    <w:rsid w:val="008963AF"/>
    <w:rsid w:val="0089640E"/>
    <w:rsid w:val="0089648B"/>
    <w:rsid w:val="00896577"/>
    <w:rsid w:val="008965F9"/>
    <w:rsid w:val="008966C2"/>
    <w:rsid w:val="008968A9"/>
    <w:rsid w:val="00896A32"/>
    <w:rsid w:val="00896AEC"/>
    <w:rsid w:val="00896BAC"/>
    <w:rsid w:val="00896DD5"/>
    <w:rsid w:val="00896F13"/>
    <w:rsid w:val="008970A5"/>
    <w:rsid w:val="0089731B"/>
    <w:rsid w:val="00897418"/>
    <w:rsid w:val="00897615"/>
    <w:rsid w:val="00897805"/>
    <w:rsid w:val="008978BD"/>
    <w:rsid w:val="008978DB"/>
    <w:rsid w:val="00897BAD"/>
    <w:rsid w:val="00897CB3"/>
    <w:rsid w:val="00897E06"/>
    <w:rsid w:val="00897E7D"/>
    <w:rsid w:val="00897E81"/>
    <w:rsid w:val="008A0051"/>
    <w:rsid w:val="008A010D"/>
    <w:rsid w:val="008A01F4"/>
    <w:rsid w:val="008A021C"/>
    <w:rsid w:val="008A02A5"/>
    <w:rsid w:val="008A02CC"/>
    <w:rsid w:val="008A031A"/>
    <w:rsid w:val="008A0334"/>
    <w:rsid w:val="008A0352"/>
    <w:rsid w:val="008A0652"/>
    <w:rsid w:val="008A0885"/>
    <w:rsid w:val="008A0956"/>
    <w:rsid w:val="008A0B51"/>
    <w:rsid w:val="008A0C48"/>
    <w:rsid w:val="008A0CA2"/>
    <w:rsid w:val="008A0D7F"/>
    <w:rsid w:val="008A0E26"/>
    <w:rsid w:val="008A1029"/>
    <w:rsid w:val="008A11EE"/>
    <w:rsid w:val="008A1257"/>
    <w:rsid w:val="008A1461"/>
    <w:rsid w:val="008A14A3"/>
    <w:rsid w:val="008A14E5"/>
    <w:rsid w:val="008A158A"/>
    <w:rsid w:val="008A1844"/>
    <w:rsid w:val="008A186D"/>
    <w:rsid w:val="008A197B"/>
    <w:rsid w:val="008A19F8"/>
    <w:rsid w:val="008A1A7C"/>
    <w:rsid w:val="008A1B89"/>
    <w:rsid w:val="008A1D04"/>
    <w:rsid w:val="008A1D66"/>
    <w:rsid w:val="008A1D86"/>
    <w:rsid w:val="008A1E35"/>
    <w:rsid w:val="008A1EC3"/>
    <w:rsid w:val="008A1F54"/>
    <w:rsid w:val="008A2568"/>
    <w:rsid w:val="008A290F"/>
    <w:rsid w:val="008A299F"/>
    <w:rsid w:val="008A2A14"/>
    <w:rsid w:val="008A2B0E"/>
    <w:rsid w:val="008A2B30"/>
    <w:rsid w:val="008A2BAE"/>
    <w:rsid w:val="008A2D49"/>
    <w:rsid w:val="008A300F"/>
    <w:rsid w:val="008A3073"/>
    <w:rsid w:val="008A3165"/>
    <w:rsid w:val="008A33F4"/>
    <w:rsid w:val="008A34FE"/>
    <w:rsid w:val="008A35F7"/>
    <w:rsid w:val="008A370A"/>
    <w:rsid w:val="008A37DF"/>
    <w:rsid w:val="008A3944"/>
    <w:rsid w:val="008A3AC6"/>
    <w:rsid w:val="008A3AEE"/>
    <w:rsid w:val="008A3C50"/>
    <w:rsid w:val="008A3C5B"/>
    <w:rsid w:val="008A3F8D"/>
    <w:rsid w:val="008A40AB"/>
    <w:rsid w:val="008A4206"/>
    <w:rsid w:val="008A4306"/>
    <w:rsid w:val="008A43FC"/>
    <w:rsid w:val="008A457E"/>
    <w:rsid w:val="008A45DB"/>
    <w:rsid w:val="008A4629"/>
    <w:rsid w:val="008A474F"/>
    <w:rsid w:val="008A478A"/>
    <w:rsid w:val="008A47F0"/>
    <w:rsid w:val="008A487E"/>
    <w:rsid w:val="008A4AFC"/>
    <w:rsid w:val="008A50A8"/>
    <w:rsid w:val="008A50D8"/>
    <w:rsid w:val="008A51DE"/>
    <w:rsid w:val="008A521E"/>
    <w:rsid w:val="008A5460"/>
    <w:rsid w:val="008A5530"/>
    <w:rsid w:val="008A5575"/>
    <w:rsid w:val="008A57DD"/>
    <w:rsid w:val="008A58C4"/>
    <w:rsid w:val="008A5912"/>
    <w:rsid w:val="008A5965"/>
    <w:rsid w:val="008A5ABB"/>
    <w:rsid w:val="008A5AE6"/>
    <w:rsid w:val="008A5D35"/>
    <w:rsid w:val="008A5D44"/>
    <w:rsid w:val="008A5D84"/>
    <w:rsid w:val="008A5F8C"/>
    <w:rsid w:val="008A6079"/>
    <w:rsid w:val="008A6094"/>
    <w:rsid w:val="008A60E0"/>
    <w:rsid w:val="008A627F"/>
    <w:rsid w:val="008A62BC"/>
    <w:rsid w:val="008A62E2"/>
    <w:rsid w:val="008A6399"/>
    <w:rsid w:val="008A646B"/>
    <w:rsid w:val="008A676D"/>
    <w:rsid w:val="008A6C6C"/>
    <w:rsid w:val="008A6D61"/>
    <w:rsid w:val="008A6E23"/>
    <w:rsid w:val="008A6EDE"/>
    <w:rsid w:val="008A71FD"/>
    <w:rsid w:val="008A7432"/>
    <w:rsid w:val="008A745A"/>
    <w:rsid w:val="008A7655"/>
    <w:rsid w:val="008A7948"/>
    <w:rsid w:val="008A7C1B"/>
    <w:rsid w:val="008A7C89"/>
    <w:rsid w:val="008A7D5C"/>
    <w:rsid w:val="008A7FDF"/>
    <w:rsid w:val="008B0142"/>
    <w:rsid w:val="008B0231"/>
    <w:rsid w:val="008B0451"/>
    <w:rsid w:val="008B058C"/>
    <w:rsid w:val="008B079C"/>
    <w:rsid w:val="008B083F"/>
    <w:rsid w:val="008B088A"/>
    <w:rsid w:val="008B08DF"/>
    <w:rsid w:val="008B09E0"/>
    <w:rsid w:val="008B0C13"/>
    <w:rsid w:val="008B0D07"/>
    <w:rsid w:val="008B0D1C"/>
    <w:rsid w:val="008B0D9E"/>
    <w:rsid w:val="008B0FE4"/>
    <w:rsid w:val="008B1013"/>
    <w:rsid w:val="008B12F1"/>
    <w:rsid w:val="008B13BC"/>
    <w:rsid w:val="008B14F4"/>
    <w:rsid w:val="008B17B1"/>
    <w:rsid w:val="008B1803"/>
    <w:rsid w:val="008B18A9"/>
    <w:rsid w:val="008B1A64"/>
    <w:rsid w:val="008B1CF3"/>
    <w:rsid w:val="008B1E89"/>
    <w:rsid w:val="008B1F2B"/>
    <w:rsid w:val="008B1FAF"/>
    <w:rsid w:val="008B2001"/>
    <w:rsid w:val="008B206A"/>
    <w:rsid w:val="008B24AE"/>
    <w:rsid w:val="008B258F"/>
    <w:rsid w:val="008B2A93"/>
    <w:rsid w:val="008B2C34"/>
    <w:rsid w:val="008B2C71"/>
    <w:rsid w:val="008B2D37"/>
    <w:rsid w:val="008B2DD1"/>
    <w:rsid w:val="008B2DE1"/>
    <w:rsid w:val="008B2F77"/>
    <w:rsid w:val="008B2FB6"/>
    <w:rsid w:val="008B2FFE"/>
    <w:rsid w:val="008B30D4"/>
    <w:rsid w:val="008B3384"/>
    <w:rsid w:val="008B353F"/>
    <w:rsid w:val="008B36B7"/>
    <w:rsid w:val="008B36FF"/>
    <w:rsid w:val="008B3772"/>
    <w:rsid w:val="008B3800"/>
    <w:rsid w:val="008B395B"/>
    <w:rsid w:val="008B3A01"/>
    <w:rsid w:val="008B3AAC"/>
    <w:rsid w:val="008B3C56"/>
    <w:rsid w:val="008B40A3"/>
    <w:rsid w:val="008B4174"/>
    <w:rsid w:val="008B4234"/>
    <w:rsid w:val="008B423D"/>
    <w:rsid w:val="008B44CE"/>
    <w:rsid w:val="008B464D"/>
    <w:rsid w:val="008B4A29"/>
    <w:rsid w:val="008B4AB1"/>
    <w:rsid w:val="008B4B56"/>
    <w:rsid w:val="008B4B6E"/>
    <w:rsid w:val="008B4DF9"/>
    <w:rsid w:val="008B509D"/>
    <w:rsid w:val="008B50E9"/>
    <w:rsid w:val="008B5107"/>
    <w:rsid w:val="008B568B"/>
    <w:rsid w:val="008B5871"/>
    <w:rsid w:val="008B5909"/>
    <w:rsid w:val="008B5A0C"/>
    <w:rsid w:val="008B5A18"/>
    <w:rsid w:val="008B5AA8"/>
    <w:rsid w:val="008B5C18"/>
    <w:rsid w:val="008B5C51"/>
    <w:rsid w:val="008B5CE7"/>
    <w:rsid w:val="008B5D78"/>
    <w:rsid w:val="008B5E0F"/>
    <w:rsid w:val="008B60A8"/>
    <w:rsid w:val="008B610B"/>
    <w:rsid w:val="008B6118"/>
    <w:rsid w:val="008B623D"/>
    <w:rsid w:val="008B630C"/>
    <w:rsid w:val="008B642B"/>
    <w:rsid w:val="008B64DA"/>
    <w:rsid w:val="008B664D"/>
    <w:rsid w:val="008B66F8"/>
    <w:rsid w:val="008B6A3D"/>
    <w:rsid w:val="008B6B0A"/>
    <w:rsid w:val="008B6B21"/>
    <w:rsid w:val="008B6BE8"/>
    <w:rsid w:val="008B6C8C"/>
    <w:rsid w:val="008B6DF8"/>
    <w:rsid w:val="008B6E6A"/>
    <w:rsid w:val="008B6E94"/>
    <w:rsid w:val="008B70BB"/>
    <w:rsid w:val="008B711F"/>
    <w:rsid w:val="008B7138"/>
    <w:rsid w:val="008B7189"/>
    <w:rsid w:val="008B731E"/>
    <w:rsid w:val="008B7378"/>
    <w:rsid w:val="008B73C5"/>
    <w:rsid w:val="008B774A"/>
    <w:rsid w:val="008B7925"/>
    <w:rsid w:val="008B7A18"/>
    <w:rsid w:val="008B7B2B"/>
    <w:rsid w:val="008B7B68"/>
    <w:rsid w:val="008B7F10"/>
    <w:rsid w:val="008C003B"/>
    <w:rsid w:val="008C005F"/>
    <w:rsid w:val="008C02DE"/>
    <w:rsid w:val="008C02E4"/>
    <w:rsid w:val="008C0413"/>
    <w:rsid w:val="008C051D"/>
    <w:rsid w:val="008C0617"/>
    <w:rsid w:val="008C0B37"/>
    <w:rsid w:val="008C0DA5"/>
    <w:rsid w:val="008C0E0E"/>
    <w:rsid w:val="008C0E54"/>
    <w:rsid w:val="008C0FE7"/>
    <w:rsid w:val="008C150D"/>
    <w:rsid w:val="008C167C"/>
    <w:rsid w:val="008C1778"/>
    <w:rsid w:val="008C17ED"/>
    <w:rsid w:val="008C1820"/>
    <w:rsid w:val="008C190F"/>
    <w:rsid w:val="008C1A0D"/>
    <w:rsid w:val="008C1A7D"/>
    <w:rsid w:val="008C1A82"/>
    <w:rsid w:val="008C1D16"/>
    <w:rsid w:val="008C2009"/>
    <w:rsid w:val="008C210F"/>
    <w:rsid w:val="008C21C2"/>
    <w:rsid w:val="008C220E"/>
    <w:rsid w:val="008C223A"/>
    <w:rsid w:val="008C2467"/>
    <w:rsid w:val="008C2777"/>
    <w:rsid w:val="008C2798"/>
    <w:rsid w:val="008C28D4"/>
    <w:rsid w:val="008C28EF"/>
    <w:rsid w:val="008C2B1C"/>
    <w:rsid w:val="008C2C0D"/>
    <w:rsid w:val="008C2C45"/>
    <w:rsid w:val="008C2C9C"/>
    <w:rsid w:val="008C2CD2"/>
    <w:rsid w:val="008C2D0B"/>
    <w:rsid w:val="008C2E14"/>
    <w:rsid w:val="008C2E16"/>
    <w:rsid w:val="008C2E9C"/>
    <w:rsid w:val="008C2FE3"/>
    <w:rsid w:val="008C3067"/>
    <w:rsid w:val="008C3125"/>
    <w:rsid w:val="008C31E6"/>
    <w:rsid w:val="008C31FC"/>
    <w:rsid w:val="008C383C"/>
    <w:rsid w:val="008C3A1E"/>
    <w:rsid w:val="008C3B4C"/>
    <w:rsid w:val="008C3DA0"/>
    <w:rsid w:val="008C3ED7"/>
    <w:rsid w:val="008C3EF6"/>
    <w:rsid w:val="008C3F36"/>
    <w:rsid w:val="008C3F84"/>
    <w:rsid w:val="008C3FBD"/>
    <w:rsid w:val="008C3FD0"/>
    <w:rsid w:val="008C3FD1"/>
    <w:rsid w:val="008C4209"/>
    <w:rsid w:val="008C426E"/>
    <w:rsid w:val="008C4A14"/>
    <w:rsid w:val="008C4AE1"/>
    <w:rsid w:val="008C4B65"/>
    <w:rsid w:val="008C4C4D"/>
    <w:rsid w:val="008C5180"/>
    <w:rsid w:val="008C5254"/>
    <w:rsid w:val="008C52AF"/>
    <w:rsid w:val="008C52FC"/>
    <w:rsid w:val="008C555C"/>
    <w:rsid w:val="008C5578"/>
    <w:rsid w:val="008C56B4"/>
    <w:rsid w:val="008C574E"/>
    <w:rsid w:val="008C57EE"/>
    <w:rsid w:val="008C5880"/>
    <w:rsid w:val="008C5B5A"/>
    <w:rsid w:val="008C5CA9"/>
    <w:rsid w:val="008C5D8A"/>
    <w:rsid w:val="008C5D8C"/>
    <w:rsid w:val="008C5E60"/>
    <w:rsid w:val="008C5F66"/>
    <w:rsid w:val="008C610B"/>
    <w:rsid w:val="008C62BE"/>
    <w:rsid w:val="008C62DA"/>
    <w:rsid w:val="008C6564"/>
    <w:rsid w:val="008C66C4"/>
    <w:rsid w:val="008C676A"/>
    <w:rsid w:val="008C6835"/>
    <w:rsid w:val="008C6A40"/>
    <w:rsid w:val="008C6CDD"/>
    <w:rsid w:val="008C6D05"/>
    <w:rsid w:val="008C71A6"/>
    <w:rsid w:val="008C71C0"/>
    <w:rsid w:val="008C72F4"/>
    <w:rsid w:val="008C7370"/>
    <w:rsid w:val="008C74A0"/>
    <w:rsid w:val="008C7762"/>
    <w:rsid w:val="008C7920"/>
    <w:rsid w:val="008C7937"/>
    <w:rsid w:val="008C794A"/>
    <w:rsid w:val="008C7981"/>
    <w:rsid w:val="008C79A1"/>
    <w:rsid w:val="008C7AEE"/>
    <w:rsid w:val="008C7BAC"/>
    <w:rsid w:val="008C7DC9"/>
    <w:rsid w:val="008C7F13"/>
    <w:rsid w:val="008D00E4"/>
    <w:rsid w:val="008D017E"/>
    <w:rsid w:val="008D01E2"/>
    <w:rsid w:val="008D02F3"/>
    <w:rsid w:val="008D0314"/>
    <w:rsid w:val="008D0457"/>
    <w:rsid w:val="008D045E"/>
    <w:rsid w:val="008D04CC"/>
    <w:rsid w:val="008D05C0"/>
    <w:rsid w:val="008D05F8"/>
    <w:rsid w:val="008D06A6"/>
    <w:rsid w:val="008D0955"/>
    <w:rsid w:val="008D09BC"/>
    <w:rsid w:val="008D0A24"/>
    <w:rsid w:val="008D0BF5"/>
    <w:rsid w:val="008D0CB0"/>
    <w:rsid w:val="008D0CE7"/>
    <w:rsid w:val="008D0D97"/>
    <w:rsid w:val="008D1182"/>
    <w:rsid w:val="008D1209"/>
    <w:rsid w:val="008D1487"/>
    <w:rsid w:val="008D14E9"/>
    <w:rsid w:val="008D177E"/>
    <w:rsid w:val="008D18A3"/>
    <w:rsid w:val="008D1B0E"/>
    <w:rsid w:val="008D1C61"/>
    <w:rsid w:val="008D1CA4"/>
    <w:rsid w:val="008D1D5A"/>
    <w:rsid w:val="008D1D65"/>
    <w:rsid w:val="008D1DBA"/>
    <w:rsid w:val="008D1E99"/>
    <w:rsid w:val="008D1EE0"/>
    <w:rsid w:val="008D2068"/>
    <w:rsid w:val="008D2097"/>
    <w:rsid w:val="008D22F9"/>
    <w:rsid w:val="008D252E"/>
    <w:rsid w:val="008D252F"/>
    <w:rsid w:val="008D2811"/>
    <w:rsid w:val="008D2B40"/>
    <w:rsid w:val="008D2CE0"/>
    <w:rsid w:val="008D2F13"/>
    <w:rsid w:val="008D30A0"/>
    <w:rsid w:val="008D3228"/>
    <w:rsid w:val="008D333A"/>
    <w:rsid w:val="008D33DD"/>
    <w:rsid w:val="008D33F5"/>
    <w:rsid w:val="008D348E"/>
    <w:rsid w:val="008D3726"/>
    <w:rsid w:val="008D37D2"/>
    <w:rsid w:val="008D38ED"/>
    <w:rsid w:val="008D390A"/>
    <w:rsid w:val="008D3B51"/>
    <w:rsid w:val="008D3CCA"/>
    <w:rsid w:val="008D4253"/>
    <w:rsid w:val="008D4500"/>
    <w:rsid w:val="008D459C"/>
    <w:rsid w:val="008D45B0"/>
    <w:rsid w:val="008D49F6"/>
    <w:rsid w:val="008D4AF7"/>
    <w:rsid w:val="008D4B30"/>
    <w:rsid w:val="008D4B40"/>
    <w:rsid w:val="008D4BC6"/>
    <w:rsid w:val="008D4C6C"/>
    <w:rsid w:val="008D5018"/>
    <w:rsid w:val="008D5191"/>
    <w:rsid w:val="008D523D"/>
    <w:rsid w:val="008D5249"/>
    <w:rsid w:val="008D52E1"/>
    <w:rsid w:val="008D53BC"/>
    <w:rsid w:val="008D5449"/>
    <w:rsid w:val="008D5461"/>
    <w:rsid w:val="008D5540"/>
    <w:rsid w:val="008D5565"/>
    <w:rsid w:val="008D5831"/>
    <w:rsid w:val="008D5A12"/>
    <w:rsid w:val="008D5CE7"/>
    <w:rsid w:val="008D5DE2"/>
    <w:rsid w:val="008D5E47"/>
    <w:rsid w:val="008D5EEE"/>
    <w:rsid w:val="008D61A8"/>
    <w:rsid w:val="008D6327"/>
    <w:rsid w:val="008D63C8"/>
    <w:rsid w:val="008D670D"/>
    <w:rsid w:val="008D6806"/>
    <w:rsid w:val="008D68AF"/>
    <w:rsid w:val="008D692A"/>
    <w:rsid w:val="008D6C22"/>
    <w:rsid w:val="008D6C99"/>
    <w:rsid w:val="008D6CA7"/>
    <w:rsid w:val="008D6CAF"/>
    <w:rsid w:val="008D6D10"/>
    <w:rsid w:val="008D6D51"/>
    <w:rsid w:val="008D6DDC"/>
    <w:rsid w:val="008D6DE1"/>
    <w:rsid w:val="008D772C"/>
    <w:rsid w:val="008D7A5C"/>
    <w:rsid w:val="008D7B76"/>
    <w:rsid w:val="008D7C4E"/>
    <w:rsid w:val="008D7CB1"/>
    <w:rsid w:val="008D7D4B"/>
    <w:rsid w:val="008D7DB8"/>
    <w:rsid w:val="008D7ED2"/>
    <w:rsid w:val="008D7F6F"/>
    <w:rsid w:val="008E003D"/>
    <w:rsid w:val="008E02AC"/>
    <w:rsid w:val="008E04BF"/>
    <w:rsid w:val="008E04E9"/>
    <w:rsid w:val="008E05A5"/>
    <w:rsid w:val="008E0685"/>
    <w:rsid w:val="008E06A7"/>
    <w:rsid w:val="008E0993"/>
    <w:rsid w:val="008E0ABE"/>
    <w:rsid w:val="008E0F0A"/>
    <w:rsid w:val="008E10EB"/>
    <w:rsid w:val="008E1101"/>
    <w:rsid w:val="008E126F"/>
    <w:rsid w:val="008E13E8"/>
    <w:rsid w:val="008E1639"/>
    <w:rsid w:val="008E1C58"/>
    <w:rsid w:val="008E22C4"/>
    <w:rsid w:val="008E22CE"/>
    <w:rsid w:val="008E2704"/>
    <w:rsid w:val="008E2812"/>
    <w:rsid w:val="008E28D4"/>
    <w:rsid w:val="008E2911"/>
    <w:rsid w:val="008E2A12"/>
    <w:rsid w:val="008E2BA8"/>
    <w:rsid w:val="008E2CEF"/>
    <w:rsid w:val="008E2E0A"/>
    <w:rsid w:val="008E2FDC"/>
    <w:rsid w:val="008E30CD"/>
    <w:rsid w:val="008E352C"/>
    <w:rsid w:val="008E36AD"/>
    <w:rsid w:val="008E38C1"/>
    <w:rsid w:val="008E39ED"/>
    <w:rsid w:val="008E3D4C"/>
    <w:rsid w:val="008E3EF4"/>
    <w:rsid w:val="008E3F6B"/>
    <w:rsid w:val="008E3FE2"/>
    <w:rsid w:val="008E40AC"/>
    <w:rsid w:val="008E411D"/>
    <w:rsid w:val="008E41B1"/>
    <w:rsid w:val="008E424D"/>
    <w:rsid w:val="008E4259"/>
    <w:rsid w:val="008E4301"/>
    <w:rsid w:val="008E4304"/>
    <w:rsid w:val="008E4347"/>
    <w:rsid w:val="008E4363"/>
    <w:rsid w:val="008E447B"/>
    <w:rsid w:val="008E44A7"/>
    <w:rsid w:val="008E4534"/>
    <w:rsid w:val="008E4B85"/>
    <w:rsid w:val="008E4C0F"/>
    <w:rsid w:val="008E51D2"/>
    <w:rsid w:val="008E5287"/>
    <w:rsid w:val="008E52A3"/>
    <w:rsid w:val="008E5618"/>
    <w:rsid w:val="008E5624"/>
    <w:rsid w:val="008E585B"/>
    <w:rsid w:val="008E5909"/>
    <w:rsid w:val="008E5945"/>
    <w:rsid w:val="008E5966"/>
    <w:rsid w:val="008E5F9E"/>
    <w:rsid w:val="008E601F"/>
    <w:rsid w:val="008E6069"/>
    <w:rsid w:val="008E634C"/>
    <w:rsid w:val="008E6366"/>
    <w:rsid w:val="008E636D"/>
    <w:rsid w:val="008E64CA"/>
    <w:rsid w:val="008E663E"/>
    <w:rsid w:val="008E6720"/>
    <w:rsid w:val="008E6791"/>
    <w:rsid w:val="008E6A3C"/>
    <w:rsid w:val="008E6C20"/>
    <w:rsid w:val="008E6C5A"/>
    <w:rsid w:val="008E6F1E"/>
    <w:rsid w:val="008E701F"/>
    <w:rsid w:val="008E71E6"/>
    <w:rsid w:val="008E72DC"/>
    <w:rsid w:val="008E7423"/>
    <w:rsid w:val="008E74B2"/>
    <w:rsid w:val="008E74DD"/>
    <w:rsid w:val="008E74EC"/>
    <w:rsid w:val="008E7727"/>
    <w:rsid w:val="008E7745"/>
    <w:rsid w:val="008E7A15"/>
    <w:rsid w:val="008E7B41"/>
    <w:rsid w:val="008E7D24"/>
    <w:rsid w:val="008F001B"/>
    <w:rsid w:val="008F004D"/>
    <w:rsid w:val="008F0110"/>
    <w:rsid w:val="008F02F9"/>
    <w:rsid w:val="008F050C"/>
    <w:rsid w:val="008F063F"/>
    <w:rsid w:val="008F0659"/>
    <w:rsid w:val="008F0685"/>
    <w:rsid w:val="008F06D8"/>
    <w:rsid w:val="008F07FE"/>
    <w:rsid w:val="008F08C3"/>
    <w:rsid w:val="008F0994"/>
    <w:rsid w:val="008F0B3A"/>
    <w:rsid w:val="008F0B82"/>
    <w:rsid w:val="008F0BBD"/>
    <w:rsid w:val="008F0C71"/>
    <w:rsid w:val="008F0DF4"/>
    <w:rsid w:val="008F10E7"/>
    <w:rsid w:val="008F11CD"/>
    <w:rsid w:val="008F1314"/>
    <w:rsid w:val="008F1333"/>
    <w:rsid w:val="008F13DC"/>
    <w:rsid w:val="008F14AB"/>
    <w:rsid w:val="008F14B0"/>
    <w:rsid w:val="008F16A9"/>
    <w:rsid w:val="008F1774"/>
    <w:rsid w:val="008F1A40"/>
    <w:rsid w:val="008F1B7D"/>
    <w:rsid w:val="008F1E60"/>
    <w:rsid w:val="008F1EDD"/>
    <w:rsid w:val="008F1FDC"/>
    <w:rsid w:val="008F2134"/>
    <w:rsid w:val="008F2198"/>
    <w:rsid w:val="008F2515"/>
    <w:rsid w:val="008F26B5"/>
    <w:rsid w:val="008F2962"/>
    <w:rsid w:val="008F2A71"/>
    <w:rsid w:val="008F2B68"/>
    <w:rsid w:val="008F2BA3"/>
    <w:rsid w:val="008F2C1E"/>
    <w:rsid w:val="008F2CEA"/>
    <w:rsid w:val="008F2D21"/>
    <w:rsid w:val="008F2D45"/>
    <w:rsid w:val="008F2F67"/>
    <w:rsid w:val="008F3072"/>
    <w:rsid w:val="008F3140"/>
    <w:rsid w:val="008F337D"/>
    <w:rsid w:val="008F340F"/>
    <w:rsid w:val="008F3849"/>
    <w:rsid w:val="008F399E"/>
    <w:rsid w:val="008F3B65"/>
    <w:rsid w:val="008F3BB2"/>
    <w:rsid w:val="008F3C8E"/>
    <w:rsid w:val="008F3D1E"/>
    <w:rsid w:val="008F3DBE"/>
    <w:rsid w:val="008F3E3F"/>
    <w:rsid w:val="008F3E48"/>
    <w:rsid w:val="008F3EBB"/>
    <w:rsid w:val="008F3FF4"/>
    <w:rsid w:val="008F4409"/>
    <w:rsid w:val="008F460B"/>
    <w:rsid w:val="008F47F5"/>
    <w:rsid w:val="008F4948"/>
    <w:rsid w:val="008F4B2D"/>
    <w:rsid w:val="008F4B35"/>
    <w:rsid w:val="008F4BD7"/>
    <w:rsid w:val="008F4C3B"/>
    <w:rsid w:val="008F4C86"/>
    <w:rsid w:val="008F4D0F"/>
    <w:rsid w:val="008F4D55"/>
    <w:rsid w:val="008F4FFF"/>
    <w:rsid w:val="008F5239"/>
    <w:rsid w:val="008F5540"/>
    <w:rsid w:val="008F5703"/>
    <w:rsid w:val="008F572A"/>
    <w:rsid w:val="008F579E"/>
    <w:rsid w:val="008F57C4"/>
    <w:rsid w:val="008F587F"/>
    <w:rsid w:val="008F5996"/>
    <w:rsid w:val="008F5C14"/>
    <w:rsid w:val="008F5C28"/>
    <w:rsid w:val="008F5E32"/>
    <w:rsid w:val="008F5EDA"/>
    <w:rsid w:val="008F5F10"/>
    <w:rsid w:val="008F6328"/>
    <w:rsid w:val="008F641F"/>
    <w:rsid w:val="008F6587"/>
    <w:rsid w:val="008F693B"/>
    <w:rsid w:val="008F69D3"/>
    <w:rsid w:val="008F6AC4"/>
    <w:rsid w:val="008F6B58"/>
    <w:rsid w:val="008F6B77"/>
    <w:rsid w:val="008F6BB6"/>
    <w:rsid w:val="008F6D3F"/>
    <w:rsid w:val="008F6F7B"/>
    <w:rsid w:val="008F702C"/>
    <w:rsid w:val="008F708F"/>
    <w:rsid w:val="008F7213"/>
    <w:rsid w:val="008F722C"/>
    <w:rsid w:val="008F72E7"/>
    <w:rsid w:val="008F73C9"/>
    <w:rsid w:val="008F778F"/>
    <w:rsid w:val="008F77B6"/>
    <w:rsid w:val="008F7AC8"/>
    <w:rsid w:val="008F7BE4"/>
    <w:rsid w:val="008F7C1F"/>
    <w:rsid w:val="008F7C9C"/>
    <w:rsid w:val="008F7EB4"/>
    <w:rsid w:val="008FA181"/>
    <w:rsid w:val="0090017D"/>
    <w:rsid w:val="009001D1"/>
    <w:rsid w:val="009002CF"/>
    <w:rsid w:val="00900502"/>
    <w:rsid w:val="00900681"/>
    <w:rsid w:val="0090079C"/>
    <w:rsid w:val="009007F1"/>
    <w:rsid w:val="00900B07"/>
    <w:rsid w:val="00900BB2"/>
    <w:rsid w:val="00900EDA"/>
    <w:rsid w:val="00900FDA"/>
    <w:rsid w:val="0090144F"/>
    <w:rsid w:val="00901469"/>
    <w:rsid w:val="009017D0"/>
    <w:rsid w:val="009017DD"/>
    <w:rsid w:val="0090180B"/>
    <w:rsid w:val="00901830"/>
    <w:rsid w:val="0090189E"/>
    <w:rsid w:val="00901930"/>
    <w:rsid w:val="00901A71"/>
    <w:rsid w:val="00901A75"/>
    <w:rsid w:val="00901B1B"/>
    <w:rsid w:val="00901C07"/>
    <w:rsid w:val="00901CF6"/>
    <w:rsid w:val="00901F20"/>
    <w:rsid w:val="00901F35"/>
    <w:rsid w:val="009020C6"/>
    <w:rsid w:val="00902174"/>
    <w:rsid w:val="00902230"/>
    <w:rsid w:val="00902320"/>
    <w:rsid w:val="009023E6"/>
    <w:rsid w:val="0090250E"/>
    <w:rsid w:val="00902589"/>
    <w:rsid w:val="00902605"/>
    <w:rsid w:val="00902901"/>
    <w:rsid w:val="009029EC"/>
    <w:rsid w:val="00902A58"/>
    <w:rsid w:val="00902ABB"/>
    <w:rsid w:val="00902B08"/>
    <w:rsid w:val="00902D40"/>
    <w:rsid w:val="00902D98"/>
    <w:rsid w:val="00902FD6"/>
    <w:rsid w:val="00903126"/>
    <w:rsid w:val="009032C8"/>
    <w:rsid w:val="00903359"/>
    <w:rsid w:val="00903367"/>
    <w:rsid w:val="00903751"/>
    <w:rsid w:val="00903860"/>
    <w:rsid w:val="009038CE"/>
    <w:rsid w:val="0090394F"/>
    <w:rsid w:val="00903CAA"/>
    <w:rsid w:val="00903FE1"/>
    <w:rsid w:val="00904020"/>
    <w:rsid w:val="009041AB"/>
    <w:rsid w:val="009041B2"/>
    <w:rsid w:val="009041DD"/>
    <w:rsid w:val="00904205"/>
    <w:rsid w:val="00904251"/>
    <w:rsid w:val="009043D1"/>
    <w:rsid w:val="00904518"/>
    <w:rsid w:val="00904615"/>
    <w:rsid w:val="0090463D"/>
    <w:rsid w:val="009048C0"/>
    <w:rsid w:val="009049A3"/>
    <w:rsid w:val="009049D0"/>
    <w:rsid w:val="00904AAC"/>
    <w:rsid w:val="00904B47"/>
    <w:rsid w:val="00904BA2"/>
    <w:rsid w:val="00904C95"/>
    <w:rsid w:val="00904DA0"/>
    <w:rsid w:val="00904DB8"/>
    <w:rsid w:val="00904E8F"/>
    <w:rsid w:val="0090505F"/>
    <w:rsid w:val="00905111"/>
    <w:rsid w:val="0090539E"/>
    <w:rsid w:val="0090545C"/>
    <w:rsid w:val="009057F6"/>
    <w:rsid w:val="00905911"/>
    <w:rsid w:val="00905A5E"/>
    <w:rsid w:val="00905A8A"/>
    <w:rsid w:val="00905B10"/>
    <w:rsid w:val="00905B35"/>
    <w:rsid w:val="0090601A"/>
    <w:rsid w:val="009060A8"/>
    <w:rsid w:val="009061A1"/>
    <w:rsid w:val="009062D7"/>
    <w:rsid w:val="00906381"/>
    <w:rsid w:val="0090667D"/>
    <w:rsid w:val="00906770"/>
    <w:rsid w:val="009067B2"/>
    <w:rsid w:val="009069A5"/>
    <w:rsid w:val="00906C24"/>
    <w:rsid w:val="00906DC4"/>
    <w:rsid w:val="00907158"/>
    <w:rsid w:val="0090716E"/>
    <w:rsid w:val="009071CA"/>
    <w:rsid w:val="00907316"/>
    <w:rsid w:val="00907352"/>
    <w:rsid w:val="0090737C"/>
    <w:rsid w:val="00907464"/>
    <w:rsid w:val="00907515"/>
    <w:rsid w:val="009076F0"/>
    <w:rsid w:val="00907743"/>
    <w:rsid w:val="0090784B"/>
    <w:rsid w:val="009079F4"/>
    <w:rsid w:val="00907BA9"/>
    <w:rsid w:val="00907C19"/>
    <w:rsid w:val="00907D3B"/>
    <w:rsid w:val="00907DCF"/>
    <w:rsid w:val="00907E2D"/>
    <w:rsid w:val="00907E6F"/>
    <w:rsid w:val="009104E5"/>
    <w:rsid w:val="00910519"/>
    <w:rsid w:val="009105E7"/>
    <w:rsid w:val="0091071C"/>
    <w:rsid w:val="00910B26"/>
    <w:rsid w:val="00910BC3"/>
    <w:rsid w:val="00910BCB"/>
    <w:rsid w:val="00910C2A"/>
    <w:rsid w:val="00910CE2"/>
    <w:rsid w:val="00910D68"/>
    <w:rsid w:val="00910DA5"/>
    <w:rsid w:val="00910FAF"/>
    <w:rsid w:val="0091122E"/>
    <w:rsid w:val="0091128E"/>
    <w:rsid w:val="00911A3D"/>
    <w:rsid w:val="00911C72"/>
    <w:rsid w:val="00911D13"/>
    <w:rsid w:val="00911D98"/>
    <w:rsid w:val="00911ED7"/>
    <w:rsid w:val="00911F48"/>
    <w:rsid w:val="00912132"/>
    <w:rsid w:val="0091230E"/>
    <w:rsid w:val="009124C0"/>
    <w:rsid w:val="009126AE"/>
    <w:rsid w:val="009126FC"/>
    <w:rsid w:val="009128A4"/>
    <w:rsid w:val="009128AF"/>
    <w:rsid w:val="00912967"/>
    <w:rsid w:val="00912C91"/>
    <w:rsid w:val="00912CD8"/>
    <w:rsid w:val="00912D69"/>
    <w:rsid w:val="00912E01"/>
    <w:rsid w:val="0091301A"/>
    <w:rsid w:val="00913113"/>
    <w:rsid w:val="0091316C"/>
    <w:rsid w:val="00913199"/>
    <w:rsid w:val="00913285"/>
    <w:rsid w:val="0091347E"/>
    <w:rsid w:val="00913547"/>
    <w:rsid w:val="00913656"/>
    <w:rsid w:val="00913712"/>
    <w:rsid w:val="00913867"/>
    <w:rsid w:val="009138B7"/>
    <w:rsid w:val="00913926"/>
    <w:rsid w:val="00913A12"/>
    <w:rsid w:val="00913A29"/>
    <w:rsid w:val="00913B4C"/>
    <w:rsid w:val="00913D58"/>
    <w:rsid w:val="00913E08"/>
    <w:rsid w:val="00913F2B"/>
    <w:rsid w:val="009140DB"/>
    <w:rsid w:val="00914173"/>
    <w:rsid w:val="00914186"/>
    <w:rsid w:val="00914295"/>
    <w:rsid w:val="00914356"/>
    <w:rsid w:val="0091499F"/>
    <w:rsid w:val="00914BC7"/>
    <w:rsid w:val="00914C94"/>
    <w:rsid w:val="00914DE5"/>
    <w:rsid w:val="00914EDC"/>
    <w:rsid w:val="00914FA3"/>
    <w:rsid w:val="00914FB1"/>
    <w:rsid w:val="009153CD"/>
    <w:rsid w:val="00915411"/>
    <w:rsid w:val="009155B9"/>
    <w:rsid w:val="00915634"/>
    <w:rsid w:val="0091598E"/>
    <w:rsid w:val="0091599F"/>
    <w:rsid w:val="00915A5D"/>
    <w:rsid w:val="00915C0B"/>
    <w:rsid w:val="00915C1B"/>
    <w:rsid w:val="00915D64"/>
    <w:rsid w:val="00915F72"/>
    <w:rsid w:val="009161C4"/>
    <w:rsid w:val="009162FE"/>
    <w:rsid w:val="00916320"/>
    <w:rsid w:val="0091639B"/>
    <w:rsid w:val="009163C9"/>
    <w:rsid w:val="009163F2"/>
    <w:rsid w:val="0091649E"/>
    <w:rsid w:val="0091670F"/>
    <w:rsid w:val="00916774"/>
    <w:rsid w:val="009168D3"/>
    <w:rsid w:val="00916980"/>
    <w:rsid w:val="00916ACE"/>
    <w:rsid w:val="00916E26"/>
    <w:rsid w:val="00916F12"/>
    <w:rsid w:val="00917031"/>
    <w:rsid w:val="0091719C"/>
    <w:rsid w:val="009171C6"/>
    <w:rsid w:val="009172F1"/>
    <w:rsid w:val="009177EC"/>
    <w:rsid w:val="009179EB"/>
    <w:rsid w:val="00917A00"/>
    <w:rsid w:val="00917A82"/>
    <w:rsid w:val="00917BFF"/>
    <w:rsid w:val="00917C2A"/>
    <w:rsid w:val="00917DB4"/>
    <w:rsid w:val="00917DF6"/>
    <w:rsid w:val="00917E1E"/>
    <w:rsid w:val="00917FA3"/>
    <w:rsid w:val="0092000F"/>
    <w:rsid w:val="00920036"/>
    <w:rsid w:val="00920052"/>
    <w:rsid w:val="0092011C"/>
    <w:rsid w:val="00920323"/>
    <w:rsid w:val="0092034F"/>
    <w:rsid w:val="0092066F"/>
    <w:rsid w:val="00920781"/>
    <w:rsid w:val="0092089E"/>
    <w:rsid w:val="00920E2B"/>
    <w:rsid w:val="00920FB4"/>
    <w:rsid w:val="0092122E"/>
    <w:rsid w:val="009212DA"/>
    <w:rsid w:val="009212FA"/>
    <w:rsid w:val="009215B3"/>
    <w:rsid w:val="009215BE"/>
    <w:rsid w:val="00921724"/>
    <w:rsid w:val="009217D2"/>
    <w:rsid w:val="0092182E"/>
    <w:rsid w:val="00921920"/>
    <w:rsid w:val="00921B9A"/>
    <w:rsid w:val="00921E87"/>
    <w:rsid w:val="00922089"/>
    <w:rsid w:val="009221C8"/>
    <w:rsid w:val="00922217"/>
    <w:rsid w:val="0092228D"/>
    <w:rsid w:val="00922529"/>
    <w:rsid w:val="00922627"/>
    <w:rsid w:val="009226BB"/>
    <w:rsid w:val="009227C4"/>
    <w:rsid w:val="00922837"/>
    <w:rsid w:val="0092285A"/>
    <w:rsid w:val="00922997"/>
    <w:rsid w:val="00922ABD"/>
    <w:rsid w:val="00922D50"/>
    <w:rsid w:val="00922D9A"/>
    <w:rsid w:val="00922DB2"/>
    <w:rsid w:val="00922E37"/>
    <w:rsid w:val="00922FE4"/>
    <w:rsid w:val="009230F0"/>
    <w:rsid w:val="0092313F"/>
    <w:rsid w:val="00923284"/>
    <w:rsid w:val="0092336A"/>
    <w:rsid w:val="009234B0"/>
    <w:rsid w:val="00923625"/>
    <w:rsid w:val="0092376A"/>
    <w:rsid w:val="00923EAB"/>
    <w:rsid w:val="00923F9B"/>
    <w:rsid w:val="00924283"/>
    <w:rsid w:val="00924335"/>
    <w:rsid w:val="009243F6"/>
    <w:rsid w:val="0092456C"/>
    <w:rsid w:val="00924612"/>
    <w:rsid w:val="009246E6"/>
    <w:rsid w:val="00924A9F"/>
    <w:rsid w:val="00924C60"/>
    <w:rsid w:val="00924CCC"/>
    <w:rsid w:val="00924D2B"/>
    <w:rsid w:val="00924E17"/>
    <w:rsid w:val="00924E5B"/>
    <w:rsid w:val="00924EC5"/>
    <w:rsid w:val="00924F77"/>
    <w:rsid w:val="00924F8C"/>
    <w:rsid w:val="009250CC"/>
    <w:rsid w:val="0092510C"/>
    <w:rsid w:val="00925154"/>
    <w:rsid w:val="009251BD"/>
    <w:rsid w:val="0092521D"/>
    <w:rsid w:val="00925279"/>
    <w:rsid w:val="0092529E"/>
    <w:rsid w:val="009253A9"/>
    <w:rsid w:val="009257AD"/>
    <w:rsid w:val="009257CC"/>
    <w:rsid w:val="0092587D"/>
    <w:rsid w:val="0092596D"/>
    <w:rsid w:val="00925A9E"/>
    <w:rsid w:val="00925C68"/>
    <w:rsid w:val="00925D42"/>
    <w:rsid w:val="00925DDE"/>
    <w:rsid w:val="00925FF4"/>
    <w:rsid w:val="0092602D"/>
    <w:rsid w:val="009260D8"/>
    <w:rsid w:val="009261A9"/>
    <w:rsid w:val="009262A6"/>
    <w:rsid w:val="009264E9"/>
    <w:rsid w:val="009265B6"/>
    <w:rsid w:val="00926623"/>
    <w:rsid w:val="009266E3"/>
    <w:rsid w:val="0092674D"/>
    <w:rsid w:val="009269F3"/>
    <w:rsid w:val="00926AA0"/>
    <w:rsid w:val="00926B0F"/>
    <w:rsid w:val="00926B7A"/>
    <w:rsid w:val="00926BB2"/>
    <w:rsid w:val="00926BCF"/>
    <w:rsid w:val="00926DB0"/>
    <w:rsid w:val="00926DB8"/>
    <w:rsid w:val="00926DD6"/>
    <w:rsid w:val="00926E21"/>
    <w:rsid w:val="00926E8C"/>
    <w:rsid w:val="00926F64"/>
    <w:rsid w:val="00926FF2"/>
    <w:rsid w:val="00927013"/>
    <w:rsid w:val="0092709C"/>
    <w:rsid w:val="009270E4"/>
    <w:rsid w:val="0092710D"/>
    <w:rsid w:val="00927295"/>
    <w:rsid w:val="00927331"/>
    <w:rsid w:val="00927519"/>
    <w:rsid w:val="00927585"/>
    <w:rsid w:val="0092762F"/>
    <w:rsid w:val="009277A5"/>
    <w:rsid w:val="00927942"/>
    <w:rsid w:val="00927962"/>
    <w:rsid w:val="00927B33"/>
    <w:rsid w:val="00927B55"/>
    <w:rsid w:val="00927B59"/>
    <w:rsid w:val="00927C4D"/>
    <w:rsid w:val="00927C7C"/>
    <w:rsid w:val="00927DB9"/>
    <w:rsid w:val="00927E86"/>
    <w:rsid w:val="00927F5F"/>
    <w:rsid w:val="0093003E"/>
    <w:rsid w:val="00930090"/>
    <w:rsid w:val="009300A8"/>
    <w:rsid w:val="00930145"/>
    <w:rsid w:val="0093015C"/>
    <w:rsid w:val="00930164"/>
    <w:rsid w:val="009302D0"/>
    <w:rsid w:val="0093033E"/>
    <w:rsid w:val="0093078B"/>
    <w:rsid w:val="00930798"/>
    <w:rsid w:val="0093091A"/>
    <w:rsid w:val="00930AB2"/>
    <w:rsid w:val="00930C27"/>
    <w:rsid w:val="00930D9E"/>
    <w:rsid w:val="00930E6B"/>
    <w:rsid w:val="00930EAB"/>
    <w:rsid w:val="009311A0"/>
    <w:rsid w:val="009313F2"/>
    <w:rsid w:val="00931400"/>
    <w:rsid w:val="00931670"/>
    <w:rsid w:val="0093170E"/>
    <w:rsid w:val="009317CD"/>
    <w:rsid w:val="009317F7"/>
    <w:rsid w:val="009318A8"/>
    <w:rsid w:val="00931915"/>
    <w:rsid w:val="00931978"/>
    <w:rsid w:val="00931BAB"/>
    <w:rsid w:val="00931BB7"/>
    <w:rsid w:val="00931D1A"/>
    <w:rsid w:val="00931FEB"/>
    <w:rsid w:val="009320E5"/>
    <w:rsid w:val="0093225A"/>
    <w:rsid w:val="00932350"/>
    <w:rsid w:val="00932685"/>
    <w:rsid w:val="009326A4"/>
    <w:rsid w:val="00932732"/>
    <w:rsid w:val="009327E8"/>
    <w:rsid w:val="00932850"/>
    <w:rsid w:val="00932AAD"/>
    <w:rsid w:val="00932B45"/>
    <w:rsid w:val="00932CFB"/>
    <w:rsid w:val="00932E75"/>
    <w:rsid w:val="00932ECF"/>
    <w:rsid w:val="00932F6A"/>
    <w:rsid w:val="00932F72"/>
    <w:rsid w:val="00932FC0"/>
    <w:rsid w:val="0093311B"/>
    <w:rsid w:val="0093323E"/>
    <w:rsid w:val="00933310"/>
    <w:rsid w:val="00933435"/>
    <w:rsid w:val="00933583"/>
    <w:rsid w:val="009335B3"/>
    <w:rsid w:val="0093366B"/>
    <w:rsid w:val="0093377B"/>
    <w:rsid w:val="009337EE"/>
    <w:rsid w:val="009338F0"/>
    <w:rsid w:val="009338F7"/>
    <w:rsid w:val="00933D06"/>
    <w:rsid w:val="00933D2F"/>
    <w:rsid w:val="00933D3F"/>
    <w:rsid w:val="00934026"/>
    <w:rsid w:val="00934118"/>
    <w:rsid w:val="00934152"/>
    <w:rsid w:val="009341E2"/>
    <w:rsid w:val="0093427B"/>
    <w:rsid w:val="00934396"/>
    <w:rsid w:val="0093456D"/>
    <w:rsid w:val="009345F3"/>
    <w:rsid w:val="00934646"/>
    <w:rsid w:val="00934650"/>
    <w:rsid w:val="009346C3"/>
    <w:rsid w:val="009347F7"/>
    <w:rsid w:val="0093485D"/>
    <w:rsid w:val="009349DD"/>
    <w:rsid w:val="00934B3B"/>
    <w:rsid w:val="00934B76"/>
    <w:rsid w:val="00934C26"/>
    <w:rsid w:val="00934C41"/>
    <w:rsid w:val="00934C70"/>
    <w:rsid w:val="00934D8C"/>
    <w:rsid w:val="00934E80"/>
    <w:rsid w:val="00934F4B"/>
    <w:rsid w:val="00934FD5"/>
    <w:rsid w:val="00935049"/>
    <w:rsid w:val="0093505B"/>
    <w:rsid w:val="0093506C"/>
    <w:rsid w:val="009350A4"/>
    <w:rsid w:val="00935288"/>
    <w:rsid w:val="009353F0"/>
    <w:rsid w:val="0093550F"/>
    <w:rsid w:val="009357E3"/>
    <w:rsid w:val="009358EE"/>
    <w:rsid w:val="009358F9"/>
    <w:rsid w:val="00935970"/>
    <w:rsid w:val="009359E7"/>
    <w:rsid w:val="00935B1C"/>
    <w:rsid w:val="00935BC8"/>
    <w:rsid w:val="00935C0E"/>
    <w:rsid w:val="00935C26"/>
    <w:rsid w:val="00935C94"/>
    <w:rsid w:val="00935D49"/>
    <w:rsid w:val="00935F1E"/>
    <w:rsid w:val="00935FD4"/>
    <w:rsid w:val="00936265"/>
    <w:rsid w:val="00936536"/>
    <w:rsid w:val="0093669E"/>
    <w:rsid w:val="009366FA"/>
    <w:rsid w:val="00936792"/>
    <w:rsid w:val="00936854"/>
    <w:rsid w:val="00936A7C"/>
    <w:rsid w:val="00936BD8"/>
    <w:rsid w:val="00936E01"/>
    <w:rsid w:val="00936F0C"/>
    <w:rsid w:val="009372F2"/>
    <w:rsid w:val="00937543"/>
    <w:rsid w:val="0093755A"/>
    <w:rsid w:val="0093778B"/>
    <w:rsid w:val="009379BE"/>
    <w:rsid w:val="00937A8B"/>
    <w:rsid w:val="00937A93"/>
    <w:rsid w:val="00937E5D"/>
    <w:rsid w:val="00937EBD"/>
    <w:rsid w:val="00937FF5"/>
    <w:rsid w:val="0094002C"/>
    <w:rsid w:val="00940309"/>
    <w:rsid w:val="0094037A"/>
    <w:rsid w:val="00940393"/>
    <w:rsid w:val="009404F4"/>
    <w:rsid w:val="0094073D"/>
    <w:rsid w:val="00940793"/>
    <w:rsid w:val="009407DD"/>
    <w:rsid w:val="009408DB"/>
    <w:rsid w:val="00940B0D"/>
    <w:rsid w:val="00940B98"/>
    <w:rsid w:val="00940E70"/>
    <w:rsid w:val="00940EF9"/>
    <w:rsid w:val="00940F4B"/>
    <w:rsid w:val="00941198"/>
    <w:rsid w:val="0094122B"/>
    <w:rsid w:val="009412CD"/>
    <w:rsid w:val="0094130B"/>
    <w:rsid w:val="0094134A"/>
    <w:rsid w:val="0094146D"/>
    <w:rsid w:val="009417CF"/>
    <w:rsid w:val="009417D1"/>
    <w:rsid w:val="009418EC"/>
    <w:rsid w:val="00941931"/>
    <w:rsid w:val="009419C0"/>
    <w:rsid w:val="009419C9"/>
    <w:rsid w:val="00941A9B"/>
    <w:rsid w:val="00941B47"/>
    <w:rsid w:val="00941C8B"/>
    <w:rsid w:val="00941D0D"/>
    <w:rsid w:val="0094201B"/>
    <w:rsid w:val="0094211F"/>
    <w:rsid w:val="009426B8"/>
    <w:rsid w:val="009426E6"/>
    <w:rsid w:val="00942712"/>
    <w:rsid w:val="009427C6"/>
    <w:rsid w:val="0094294E"/>
    <w:rsid w:val="00942A27"/>
    <w:rsid w:val="00942B1D"/>
    <w:rsid w:val="00942B37"/>
    <w:rsid w:val="00942B6F"/>
    <w:rsid w:val="00942BEF"/>
    <w:rsid w:val="00942C4C"/>
    <w:rsid w:val="00942C5F"/>
    <w:rsid w:val="0094311C"/>
    <w:rsid w:val="009432EB"/>
    <w:rsid w:val="009433F1"/>
    <w:rsid w:val="0094347A"/>
    <w:rsid w:val="0094348C"/>
    <w:rsid w:val="009434BB"/>
    <w:rsid w:val="009436D9"/>
    <w:rsid w:val="0094378C"/>
    <w:rsid w:val="009437E6"/>
    <w:rsid w:val="0094382E"/>
    <w:rsid w:val="00943A3F"/>
    <w:rsid w:val="00943B04"/>
    <w:rsid w:val="00943B28"/>
    <w:rsid w:val="00943BD2"/>
    <w:rsid w:val="00943C8F"/>
    <w:rsid w:val="00943E1F"/>
    <w:rsid w:val="00944099"/>
    <w:rsid w:val="00944162"/>
    <w:rsid w:val="00944507"/>
    <w:rsid w:val="00944544"/>
    <w:rsid w:val="0094462E"/>
    <w:rsid w:val="009447DC"/>
    <w:rsid w:val="009447E7"/>
    <w:rsid w:val="00944899"/>
    <w:rsid w:val="009448E4"/>
    <w:rsid w:val="00944F53"/>
    <w:rsid w:val="009450C2"/>
    <w:rsid w:val="0094510C"/>
    <w:rsid w:val="0094527B"/>
    <w:rsid w:val="0094545A"/>
    <w:rsid w:val="009454B0"/>
    <w:rsid w:val="009456A3"/>
    <w:rsid w:val="0094577A"/>
    <w:rsid w:val="0094581C"/>
    <w:rsid w:val="0094584E"/>
    <w:rsid w:val="00945942"/>
    <w:rsid w:val="00945952"/>
    <w:rsid w:val="009459B8"/>
    <w:rsid w:val="00945C52"/>
    <w:rsid w:val="00945C85"/>
    <w:rsid w:val="00945D1D"/>
    <w:rsid w:val="00945DD7"/>
    <w:rsid w:val="009460B8"/>
    <w:rsid w:val="0094614C"/>
    <w:rsid w:val="009461E5"/>
    <w:rsid w:val="009463B6"/>
    <w:rsid w:val="00946440"/>
    <w:rsid w:val="0094653F"/>
    <w:rsid w:val="00946607"/>
    <w:rsid w:val="0094667A"/>
    <w:rsid w:val="00946949"/>
    <w:rsid w:val="00946B6E"/>
    <w:rsid w:val="00946BE3"/>
    <w:rsid w:val="00946C3E"/>
    <w:rsid w:val="00946E6A"/>
    <w:rsid w:val="00946F81"/>
    <w:rsid w:val="00946FA5"/>
    <w:rsid w:val="00947201"/>
    <w:rsid w:val="009472E6"/>
    <w:rsid w:val="00947C80"/>
    <w:rsid w:val="00950265"/>
    <w:rsid w:val="0095029B"/>
    <w:rsid w:val="0095030B"/>
    <w:rsid w:val="009504B3"/>
    <w:rsid w:val="00950694"/>
    <w:rsid w:val="00950828"/>
    <w:rsid w:val="00950A6D"/>
    <w:rsid w:val="00950B8D"/>
    <w:rsid w:val="00950D80"/>
    <w:rsid w:val="00951077"/>
    <w:rsid w:val="00951194"/>
    <w:rsid w:val="009512A3"/>
    <w:rsid w:val="0095139B"/>
    <w:rsid w:val="00951434"/>
    <w:rsid w:val="0095182D"/>
    <w:rsid w:val="0095198D"/>
    <w:rsid w:val="00951993"/>
    <w:rsid w:val="00951B20"/>
    <w:rsid w:val="00951BFB"/>
    <w:rsid w:val="00951FD6"/>
    <w:rsid w:val="009521AB"/>
    <w:rsid w:val="009521BF"/>
    <w:rsid w:val="009523DF"/>
    <w:rsid w:val="00952474"/>
    <w:rsid w:val="0095259A"/>
    <w:rsid w:val="0095270C"/>
    <w:rsid w:val="0095288A"/>
    <w:rsid w:val="009529A3"/>
    <w:rsid w:val="00952B7F"/>
    <w:rsid w:val="00952C5D"/>
    <w:rsid w:val="00952D51"/>
    <w:rsid w:val="00952FE6"/>
    <w:rsid w:val="00953088"/>
    <w:rsid w:val="009534E0"/>
    <w:rsid w:val="0095354A"/>
    <w:rsid w:val="009535EC"/>
    <w:rsid w:val="00953673"/>
    <w:rsid w:val="00953722"/>
    <w:rsid w:val="00953748"/>
    <w:rsid w:val="009537D2"/>
    <w:rsid w:val="00953922"/>
    <w:rsid w:val="00953DE3"/>
    <w:rsid w:val="00953F44"/>
    <w:rsid w:val="00954072"/>
    <w:rsid w:val="009540D0"/>
    <w:rsid w:val="00954122"/>
    <w:rsid w:val="0095417D"/>
    <w:rsid w:val="0095437F"/>
    <w:rsid w:val="009543B8"/>
    <w:rsid w:val="00954709"/>
    <w:rsid w:val="009548C3"/>
    <w:rsid w:val="00954A41"/>
    <w:rsid w:val="00954A75"/>
    <w:rsid w:val="00954C50"/>
    <w:rsid w:val="00954C51"/>
    <w:rsid w:val="00954E18"/>
    <w:rsid w:val="00954EAB"/>
    <w:rsid w:val="00954F3E"/>
    <w:rsid w:val="009550D9"/>
    <w:rsid w:val="00955150"/>
    <w:rsid w:val="0095518E"/>
    <w:rsid w:val="00955341"/>
    <w:rsid w:val="00955472"/>
    <w:rsid w:val="009556D0"/>
    <w:rsid w:val="0095572A"/>
    <w:rsid w:val="009557A7"/>
    <w:rsid w:val="009557D6"/>
    <w:rsid w:val="0095593E"/>
    <w:rsid w:val="0095593F"/>
    <w:rsid w:val="00955950"/>
    <w:rsid w:val="009559C3"/>
    <w:rsid w:val="009559D9"/>
    <w:rsid w:val="00955A0B"/>
    <w:rsid w:val="00955A1E"/>
    <w:rsid w:val="00955A6D"/>
    <w:rsid w:val="00955A7F"/>
    <w:rsid w:val="00955B5A"/>
    <w:rsid w:val="00955B64"/>
    <w:rsid w:val="00955C86"/>
    <w:rsid w:val="00955D13"/>
    <w:rsid w:val="00955EC5"/>
    <w:rsid w:val="00955ECD"/>
    <w:rsid w:val="00956061"/>
    <w:rsid w:val="009560E1"/>
    <w:rsid w:val="00956254"/>
    <w:rsid w:val="0095626A"/>
    <w:rsid w:val="00956281"/>
    <w:rsid w:val="009562F3"/>
    <w:rsid w:val="009563E7"/>
    <w:rsid w:val="0095655A"/>
    <w:rsid w:val="009565A9"/>
    <w:rsid w:val="0095662F"/>
    <w:rsid w:val="009566A4"/>
    <w:rsid w:val="009566EE"/>
    <w:rsid w:val="0095693E"/>
    <w:rsid w:val="00956A11"/>
    <w:rsid w:val="00956CDA"/>
    <w:rsid w:val="00956DC2"/>
    <w:rsid w:val="00956DEE"/>
    <w:rsid w:val="0095712E"/>
    <w:rsid w:val="009571A8"/>
    <w:rsid w:val="0095737F"/>
    <w:rsid w:val="0095765C"/>
    <w:rsid w:val="00957722"/>
    <w:rsid w:val="00957A92"/>
    <w:rsid w:val="00957D25"/>
    <w:rsid w:val="00957D7E"/>
    <w:rsid w:val="00957F47"/>
    <w:rsid w:val="009600BA"/>
    <w:rsid w:val="0096012C"/>
    <w:rsid w:val="00960249"/>
    <w:rsid w:val="009602E1"/>
    <w:rsid w:val="009602FA"/>
    <w:rsid w:val="00960379"/>
    <w:rsid w:val="009603C8"/>
    <w:rsid w:val="009604E3"/>
    <w:rsid w:val="00960558"/>
    <w:rsid w:val="0096056D"/>
    <w:rsid w:val="00960983"/>
    <w:rsid w:val="00960A7A"/>
    <w:rsid w:val="00960B16"/>
    <w:rsid w:val="00960BF9"/>
    <w:rsid w:val="00960E20"/>
    <w:rsid w:val="00961131"/>
    <w:rsid w:val="00961209"/>
    <w:rsid w:val="00961442"/>
    <w:rsid w:val="009614F5"/>
    <w:rsid w:val="00961641"/>
    <w:rsid w:val="00961745"/>
    <w:rsid w:val="009618C5"/>
    <w:rsid w:val="00961A3F"/>
    <w:rsid w:val="00961A7B"/>
    <w:rsid w:val="00961ED5"/>
    <w:rsid w:val="00961FF7"/>
    <w:rsid w:val="00962033"/>
    <w:rsid w:val="0096213D"/>
    <w:rsid w:val="00962236"/>
    <w:rsid w:val="00962443"/>
    <w:rsid w:val="0096247E"/>
    <w:rsid w:val="00962549"/>
    <w:rsid w:val="009625A4"/>
    <w:rsid w:val="00962689"/>
    <w:rsid w:val="0096294F"/>
    <w:rsid w:val="00962C31"/>
    <w:rsid w:val="00962D4B"/>
    <w:rsid w:val="00962E4F"/>
    <w:rsid w:val="00962F42"/>
    <w:rsid w:val="0096318E"/>
    <w:rsid w:val="009631ED"/>
    <w:rsid w:val="00963216"/>
    <w:rsid w:val="00963907"/>
    <w:rsid w:val="00963A73"/>
    <w:rsid w:val="00963A80"/>
    <w:rsid w:val="00963AC2"/>
    <w:rsid w:val="00963B0A"/>
    <w:rsid w:val="00963B7C"/>
    <w:rsid w:val="00963C09"/>
    <w:rsid w:val="00963C1F"/>
    <w:rsid w:val="00963CC9"/>
    <w:rsid w:val="00963DD7"/>
    <w:rsid w:val="00964147"/>
    <w:rsid w:val="00964290"/>
    <w:rsid w:val="0096445D"/>
    <w:rsid w:val="009645D3"/>
    <w:rsid w:val="00964968"/>
    <w:rsid w:val="00964AE0"/>
    <w:rsid w:val="00964BA8"/>
    <w:rsid w:val="00964BC2"/>
    <w:rsid w:val="00964DC0"/>
    <w:rsid w:val="00964E3D"/>
    <w:rsid w:val="009651BF"/>
    <w:rsid w:val="00965257"/>
    <w:rsid w:val="00965334"/>
    <w:rsid w:val="00965383"/>
    <w:rsid w:val="00965403"/>
    <w:rsid w:val="0096542E"/>
    <w:rsid w:val="00965629"/>
    <w:rsid w:val="00965968"/>
    <w:rsid w:val="00965AC6"/>
    <w:rsid w:val="00965DB1"/>
    <w:rsid w:val="00966034"/>
    <w:rsid w:val="00966105"/>
    <w:rsid w:val="009665F8"/>
    <w:rsid w:val="00966609"/>
    <w:rsid w:val="009669C2"/>
    <w:rsid w:val="00966A48"/>
    <w:rsid w:val="00966BCC"/>
    <w:rsid w:val="00966E61"/>
    <w:rsid w:val="00966F11"/>
    <w:rsid w:val="00966FC1"/>
    <w:rsid w:val="0096718E"/>
    <w:rsid w:val="0096720E"/>
    <w:rsid w:val="00967231"/>
    <w:rsid w:val="009673A7"/>
    <w:rsid w:val="00967523"/>
    <w:rsid w:val="00967888"/>
    <w:rsid w:val="00967950"/>
    <w:rsid w:val="00967A7D"/>
    <w:rsid w:val="00967CC6"/>
    <w:rsid w:val="00967EF8"/>
    <w:rsid w:val="00967FF8"/>
    <w:rsid w:val="00970069"/>
    <w:rsid w:val="0097010F"/>
    <w:rsid w:val="00970158"/>
    <w:rsid w:val="0097038A"/>
    <w:rsid w:val="009703E3"/>
    <w:rsid w:val="009705D0"/>
    <w:rsid w:val="00970659"/>
    <w:rsid w:val="00970760"/>
    <w:rsid w:val="00970995"/>
    <w:rsid w:val="00970A54"/>
    <w:rsid w:val="00970B0E"/>
    <w:rsid w:val="00970BBC"/>
    <w:rsid w:val="00970D3F"/>
    <w:rsid w:val="00970E8B"/>
    <w:rsid w:val="0097155C"/>
    <w:rsid w:val="0097170B"/>
    <w:rsid w:val="0097184C"/>
    <w:rsid w:val="009718B3"/>
    <w:rsid w:val="00971A4A"/>
    <w:rsid w:val="00971BA3"/>
    <w:rsid w:val="00971C49"/>
    <w:rsid w:val="0097242A"/>
    <w:rsid w:val="0097273C"/>
    <w:rsid w:val="00972991"/>
    <w:rsid w:val="00972B91"/>
    <w:rsid w:val="00972CB9"/>
    <w:rsid w:val="00972E19"/>
    <w:rsid w:val="00972F0C"/>
    <w:rsid w:val="00973167"/>
    <w:rsid w:val="009731F6"/>
    <w:rsid w:val="00973244"/>
    <w:rsid w:val="00973445"/>
    <w:rsid w:val="00973479"/>
    <w:rsid w:val="00973728"/>
    <w:rsid w:val="0097375B"/>
    <w:rsid w:val="009737C3"/>
    <w:rsid w:val="0097388C"/>
    <w:rsid w:val="00973901"/>
    <w:rsid w:val="00973989"/>
    <w:rsid w:val="00973B9F"/>
    <w:rsid w:val="00973BA2"/>
    <w:rsid w:val="00973BB8"/>
    <w:rsid w:val="00973C4D"/>
    <w:rsid w:val="00973C5F"/>
    <w:rsid w:val="00973C68"/>
    <w:rsid w:val="00973CB2"/>
    <w:rsid w:val="00973CF7"/>
    <w:rsid w:val="00973D50"/>
    <w:rsid w:val="00973D73"/>
    <w:rsid w:val="00973DA4"/>
    <w:rsid w:val="00973EDF"/>
    <w:rsid w:val="00974212"/>
    <w:rsid w:val="00974393"/>
    <w:rsid w:val="00974640"/>
    <w:rsid w:val="00974643"/>
    <w:rsid w:val="00974698"/>
    <w:rsid w:val="0097482A"/>
    <w:rsid w:val="00974BA2"/>
    <w:rsid w:val="00974DBB"/>
    <w:rsid w:val="00974E6A"/>
    <w:rsid w:val="00974F27"/>
    <w:rsid w:val="009750EE"/>
    <w:rsid w:val="00975291"/>
    <w:rsid w:val="009752EA"/>
    <w:rsid w:val="00975388"/>
    <w:rsid w:val="0097553C"/>
    <w:rsid w:val="00975AC5"/>
    <w:rsid w:val="00975B2B"/>
    <w:rsid w:val="00975C87"/>
    <w:rsid w:val="00975F0A"/>
    <w:rsid w:val="00975F7B"/>
    <w:rsid w:val="00975F96"/>
    <w:rsid w:val="00975FB6"/>
    <w:rsid w:val="00975FB9"/>
    <w:rsid w:val="0097607C"/>
    <w:rsid w:val="009760E4"/>
    <w:rsid w:val="009760FC"/>
    <w:rsid w:val="00976300"/>
    <w:rsid w:val="0097637F"/>
    <w:rsid w:val="00976682"/>
    <w:rsid w:val="00976689"/>
    <w:rsid w:val="009767A5"/>
    <w:rsid w:val="009767BA"/>
    <w:rsid w:val="00976965"/>
    <w:rsid w:val="00976C6E"/>
    <w:rsid w:val="00976F69"/>
    <w:rsid w:val="00976F6D"/>
    <w:rsid w:val="00977020"/>
    <w:rsid w:val="00977065"/>
    <w:rsid w:val="00977092"/>
    <w:rsid w:val="009770E3"/>
    <w:rsid w:val="009774D7"/>
    <w:rsid w:val="009775BC"/>
    <w:rsid w:val="009776A3"/>
    <w:rsid w:val="0097770D"/>
    <w:rsid w:val="0097789A"/>
    <w:rsid w:val="00977CB4"/>
    <w:rsid w:val="00977D86"/>
    <w:rsid w:val="00977D88"/>
    <w:rsid w:val="00977F4F"/>
    <w:rsid w:val="00977F6E"/>
    <w:rsid w:val="009800B6"/>
    <w:rsid w:val="00980166"/>
    <w:rsid w:val="009801AD"/>
    <w:rsid w:val="009802DD"/>
    <w:rsid w:val="0098044A"/>
    <w:rsid w:val="009808AB"/>
    <w:rsid w:val="00980ADA"/>
    <w:rsid w:val="00980B68"/>
    <w:rsid w:val="00980BE3"/>
    <w:rsid w:val="00980C5D"/>
    <w:rsid w:val="00980DE9"/>
    <w:rsid w:val="00981148"/>
    <w:rsid w:val="0098127B"/>
    <w:rsid w:val="00981678"/>
    <w:rsid w:val="0098176D"/>
    <w:rsid w:val="00981864"/>
    <w:rsid w:val="009818CE"/>
    <w:rsid w:val="00981985"/>
    <w:rsid w:val="009819E1"/>
    <w:rsid w:val="00981C17"/>
    <w:rsid w:val="00981D16"/>
    <w:rsid w:val="00981D64"/>
    <w:rsid w:val="00981EE5"/>
    <w:rsid w:val="00982075"/>
    <w:rsid w:val="0098218A"/>
    <w:rsid w:val="0098229A"/>
    <w:rsid w:val="009823AC"/>
    <w:rsid w:val="009823C9"/>
    <w:rsid w:val="0098254E"/>
    <w:rsid w:val="009825A7"/>
    <w:rsid w:val="009825B6"/>
    <w:rsid w:val="009826FF"/>
    <w:rsid w:val="00982771"/>
    <w:rsid w:val="0098298F"/>
    <w:rsid w:val="00982A23"/>
    <w:rsid w:val="00982B3A"/>
    <w:rsid w:val="00982B78"/>
    <w:rsid w:val="00982D23"/>
    <w:rsid w:val="00982D42"/>
    <w:rsid w:val="00982DDF"/>
    <w:rsid w:val="00982EA8"/>
    <w:rsid w:val="00982FE7"/>
    <w:rsid w:val="009834B3"/>
    <w:rsid w:val="0098355C"/>
    <w:rsid w:val="009836C7"/>
    <w:rsid w:val="00983CEE"/>
    <w:rsid w:val="00983F02"/>
    <w:rsid w:val="00983F07"/>
    <w:rsid w:val="00983FBD"/>
    <w:rsid w:val="009840F5"/>
    <w:rsid w:val="00984267"/>
    <w:rsid w:val="009842A4"/>
    <w:rsid w:val="0098431B"/>
    <w:rsid w:val="00984353"/>
    <w:rsid w:val="0098447C"/>
    <w:rsid w:val="009844A9"/>
    <w:rsid w:val="00984513"/>
    <w:rsid w:val="0098487C"/>
    <w:rsid w:val="0098489F"/>
    <w:rsid w:val="00984910"/>
    <w:rsid w:val="00984B6A"/>
    <w:rsid w:val="00984C4C"/>
    <w:rsid w:val="00984DC5"/>
    <w:rsid w:val="00984F64"/>
    <w:rsid w:val="00984F9B"/>
    <w:rsid w:val="009850A8"/>
    <w:rsid w:val="0098516E"/>
    <w:rsid w:val="009853A0"/>
    <w:rsid w:val="009855A6"/>
    <w:rsid w:val="0098563C"/>
    <w:rsid w:val="0098579C"/>
    <w:rsid w:val="009858B4"/>
    <w:rsid w:val="0098592E"/>
    <w:rsid w:val="00985951"/>
    <w:rsid w:val="0098597F"/>
    <w:rsid w:val="00985ABA"/>
    <w:rsid w:val="00986005"/>
    <w:rsid w:val="0098613B"/>
    <w:rsid w:val="0098627A"/>
    <w:rsid w:val="0098629B"/>
    <w:rsid w:val="009862B8"/>
    <w:rsid w:val="00986335"/>
    <w:rsid w:val="009867B3"/>
    <w:rsid w:val="009867C8"/>
    <w:rsid w:val="009868C4"/>
    <w:rsid w:val="0098693B"/>
    <w:rsid w:val="00986A3B"/>
    <w:rsid w:val="00986B08"/>
    <w:rsid w:val="00986B2B"/>
    <w:rsid w:val="00986B3C"/>
    <w:rsid w:val="00986B5F"/>
    <w:rsid w:val="00986C2F"/>
    <w:rsid w:val="00986FD4"/>
    <w:rsid w:val="00987014"/>
    <w:rsid w:val="00987086"/>
    <w:rsid w:val="00987092"/>
    <w:rsid w:val="0098727D"/>
    <w:rsid w:val="00987418"/>
    <w:rsid w:val="00987455"/>
    <w:rsid w:val="0098766D"/>
    <w:rsid w:val="0098774A"/>
    <w:rsid w:val="009877F6"/>
    <w:rsid w:val="00987C82"/>
    <w:rsid w:val="00987D0C"/>
    <w:rsid w:val="00987D7E"/>
    <w:rsid w:val="009900BA"/>
    <w:rsid w:val="00990226"/>
    <w:rsid w:val="009902DC"/>
    <w:rsid w:val="00990337"/>
    <w:rsid w:val="0099061D"/>
    <w:rsid w:val="009906CB"/>
    <w:rsid w:val="009906DE"/>
    <w:rsid w:val="00990773"/>
    <w:rsid w:val="009907EB"/>
    <w:rsid w:val="009908EA"/>
    <w:rsid w:val="00990992"/>
    <w:rsid w:val="00990A36"/>
    <w:rsid w:val="00990A79"/>
    <w:rsid w:val="00990B87"/>
    <w:rsid w:val="00990D13"/>
    <w:rsid w:val="00990DB6"/>
    <w:rsid w:val="00990DF7"/>
    <w:rsid w:val="0099101B"/>
    <w:rsid w:val="00991061"/>
    <w:rsid w:val="0099114F"/>
    <w:rsid w:val="0099148C"/>
    <w:rsid w:val="009914EE"/>
    <w:rsid w:val="00991562"/>
    <w:rsid w:val="009916C0"/>
    <w:rsid w:val="00991776"/>
    <w:rsid w:val="0099177A"/>
    <w:rsid w:val="0099179A"/>
    <w:rsid w:val="009917CD"/>
    <w:rsid w:val="00991803"/>
    <w:rsid w:val="0099184B"/>
    <w:rsid w:val="00991A8A"/>
    <w:rsid w:val="00991A94"/>
    <w:rsid w:val="00991A9B"/>
    <w:rsid w:val="00991C7E"/>
    <w:rsid w:val="00991E89"/>
    <w:rsid w:val="00991F4A"/>
    <w:rsid w:val="0099207B"/>
    <w:rsid w:val="00992285"/>
    <w:rsid w:val="009923FF"/>
    <w:rsid w:val="0099240F"/>
    <w:rsid w:val="00992AD2"/>
    <w:rsid w:val="00992C4A"/>
    <w:rsid w:val="00992D91"/>
    <w:rsid w:val="00993056"/>
    <w:rsid w:val="00993120"/>
    <w:rsid w:val="00993466"/>
    <w:rsid w:val="009934D3"/>
    <w:rsid w:val="009934E7"/>
    <w:rsid w:val="0099389E"/>
    <w:rsid w:val="0099389F"/>
    <w:rsid w:val="00993B53"/>
    <w:rsid w:val="00993D82"/>
    <w:rsid w:val="00993FA6"/>
    <w:rsid w:val="0099404B"/>
    <w:rsid w:val="00994293"/>
    <w:rsid w:val="0099455D"/>
    <w:rsid w:val="00994644"/>
    <w:rsid w:val="009947B0"/>
    <w:rsid w:val="0099486C"/>
    <w:rsid w:val="009949C7"/>
    <w:rsid w:val="00994A26"/>
    <w:rsid w:val="00994A2D"/>
    <w:rsid w:val="00994D6A"/>
    <w:rsid w:val="0099510A"/>
    <w:rsid w:val="0099512E"/>
    <w:rsid w:val="009952A8"/>
    <w:rsid w:val="00995612"/>
    <w:rsid w:val="00995727"/>
    <w:rsid w:val="009959D9"/>
    <w:rsid w:val="00995BA0"/>
    <w:rsid w:val="00995C07"/>
    <w:rsid w:val="00995E72"/>
    <w:rsid w:val="00996058"/>
    <w:rsid w:val="009962FF"/>
    <w:rsid w:val="009966CD"/>
    <w:rsid w:val="009967FC"/>
    <w:rsid w:val="0099696F"/>
    <w:rsid w:val="009969CE"/>
    <w:rsid w:val="00996BDE"/>
    <w:rsid w:val="00996CE7"/>
    <w:rsid w:val="00996DC8"/>
    <w:rsid w:val="00996DE0"/>
    <w:rsid w:val="0099700A"/>
    <w:rsid w:val="009970A4"/>
    <w:rsid w:val="0099737B"/>
    <w:rsid w:val="00997406"/>
    <w:rsid w:val="009975A0"/>
    <w:rsid w:val="00997645"/>
    <w:rsid w:val="009976F3"/>
    <w:rsid w:val="0099781D"/>
    <w:rsid w:val="00997896"/>
    <w:rsid w:val="00997B57"/>
    <w:rsid w:val="00997B8E"/>
    <w:rsid w:val="00997CCF"/>
    <w:rsid w:val="00997D7D"/>
    <w:rsid w:val="009A00B3"/>
    <w:rsid w:val="009A01C1"/>
    <w:rsid w:val="009A022B"/>
    <w:rsid w:val="009A0262"/>
    <w:rsid w:val="009A02B4"/>
    <w:rsid w:val="009A0383"/>
    <w:rsid w:val="009A0429"/>
    <w:rsid w:val="009A0518"/>
    <w:rsid w:val="009A0756"/>
    <w:rsid w:val="009A090E"/>
    <w:rsid w:val="009A095B"/>
    <w:rsid w:val="009A0BB1"/>
    <w:rsid w:val="009A0C55"/>
    <w:rsid w:val="009A0C78"/>
    <w:rsid w:val="009A0D8D"/>
    <w:rsid w:val="009A0E16"/>
    <w:rsid w:val="009A0F14"/>
    <w:rsid w:val="009A115C"/>
    <w:rsid w:val="009A11BE"/>
    <w:rsid w:val="009A12C8"/>
    <w:rsid w:val="009A12F0"/>
    <w:rsid w:val="009A13D4"/>
    <w:rsid w:val="009A1659"/>
    <w:rsid w:val="009A16AA"/>
    <w:rsid w:val="009A178C"/>
    <w:rsid w:val="009A188D"/>
    <w:rsid w:val="009A198C"/>
    <w:rsid w:val="009A1A3D"/>
    <w:rsid w:val="009A1B27"/>
    <w:rsid w:val="009A1CEF"/>
    <w:rsid w:val="009A212B"/>
    <w:rsid w:val="009A216F"/>
    <w:rsid w:val="009A21F0"/>
    <w:rsid w:val="009A2431"/>
    <w:rsid w:val="009A2776"/>
    <w:rsid w:val="009A27F8"/>
    <w:rsid w:val="009A2814"/>
    <w:rsid w:val="009A2815"/>
    <w:rsid w:val="009A283C"/>
    <w:rsid w:val="009A296B"/>
    <w:rsid w:val="009A2971"/>
    <w:rsid w:val="009A2A25"/>
    <w:rsid w:val="009A2C24"/>
    <w:rsid w:val="009A2CE5"/>
    <w:rsid w:val="009A2E24"/>
    <w:rsid w:val="009A2E2B"/>
    <w:rsid w:val="009A3109"/>
    <w:rsid w:val="009A310A"/>
    <w:rsid w:val="009A3217"/>
    <w:rsid w:val="009A33A2"/>
    <w:rsid w:val="009A341E"/>
    <w:rsid w:val="009A35B7"/>
    <w:rsid w:val="009A36B6"/>
    <w:rsid w:val="009A37A2"/>
    <w:rsid w:val="009A3A2E"/>
    <w:rsid w:val="009A3BBB"/>
    <w:rsid w:val="009A3D43"/>
    <w:rsid w:val="009A3E16"/>
    <w:rsid w:val="009A3E1C"/>
    <w:rsid w:val="009A3E49"/>
    <w:rsid w:val="009A3F25"/>
    <w:rsid w:val="009A3F6D"/>
    <w:rsid w:val="009A3FEE"/>
    <w:rsid w:val="009A40D6"/>
    <w:rsid w:val="009A427A"/>
    <w:rsid w:val="009A42B7"/>
    <w:rsid w:val="009A42D7"/>
    <w:rsid w:val="009A4325"/>
    <w:rsid w:val="009A4384"/>
    <w:rsid w:val="009A43EC"/>
    <w:rsid w:val="009A4407"/>
    <w:rsid w:val="009A4447"/>
    <w:rsid w:val="009A4650"/>
    <w:rsid w:val="009A4693"/>
    <w:rsid w:val="009A4801"/>
    <w:rsid w:val="009A4B4D"/>
    <w:rsid w:val="009A4B8C"/>
    <w:rsid w:val="009A4C87"/>
    <w:rsid w:val="009A4C88"/>
    <w:rsid w:val="009A4ED1"/>
    <w:rsid w:val="009A4FB6"/>
    <w:rsid w:val="009A5008"/>
    <w:rsid w:val="009A50BE"/>
    <w:rsid w:val="009A5156"/>
    <w:rsid w:val="009A52DD"/>
    <w:rsid w:val="009A5313"/>
    <w:rsid w:val="009A53D0"/>
    <w:rsid w:val="009A5401"/>
    <w:rsid w:val="009A55C2"/>
    <w:rsid w:val="009A56DF"/>
    <w:rsid w:val="009A5908"/>
    <w:rsid w:val="009A59AE"/>
    <w:rsid w:val="009A5A82"/>
    <w:rsid w:val="009A5B1D"/>
    <w:rsid w:val="009A5BB2"/>
    <w:rsid w:val="009A5BD8"/>
    <w:rsid w:val="009A5CF6"/>
    <w:rsid w:val="009A5D59"/>
    <w:rsid w:val="009A5D76"/>
    <w:rsid w:val="009A5DF5"/>
    <w:rsid w:val="009A5E2E"/>
    <w:rsid w:val="009A5E8B"/>
    <w:rsid w:val="009A5F73"/>
    <w:rsid w:val="009A5FA5"/>
    <w:rsid w:val="009A6048"/>
    <w:rsid w:val="009A606E"/>
    <w:rsid w:val="009A63E6"/>
    <w:rsid w:val="009A6467"/>
    <w:rsid w:val="009A64EB"/>
    <w:rsid w:val="009A656C"/>
    <w:rsid w:val="009A6693"/>
    <w:rsid w:val="009A69BF"/>
    <w:rsid w:val="009A6A10"/>
    <w:rsid w:val="009A6A9E"/>
    <w:rsid w:val="009A6B70"/>
    <w:rsid w:val="009A6C37"/>
    <w:rsid w:val="009A6EC8"/>
    <w:rsid w:val="009A7138"/>
    <w:rsid w:val="009A716C"/>
    <w:rsid w:val="009A71E0"/>
    <w:rsid w:val="009A7306"/>
    <w:rsid w:val="009A7417"/>
    <w:rsid w:val="009A7451"/>
    <w:rsid w:val="009A74C5"/>
    <w:rsid w:val="009A7927"/>
    <w:rsid w:val="009A7928"/>
    <w:rsid w:val="009A79B2"/>
    <w:rsid w:val="009A7BC7"/>
    <w:rsid w:val="009A7BFF"/>
    <w:rsid w:val="009A7DC7"/>
    <w:rsid w:val="009A7E51"/>
    <w:rsid w:val="009A7F6E"/>
    <w:rsid w:val="009B00B9"/>
    <w:rsid w:val="009B0166"/>
    <w:rsid w:val="009B01A9"/>
    <w:rsid w:val="009B021C"/>
    <w:rsid w:val="009B02BA"/>
    <w:rsid w:val="009B04F6"/>
    <w:rsid w:val="009B050B"/>
    <w:rsid w:val="009B0705"/>
    <w:rsid w:val="009B0749"/>
    <w:rsid w:val="009B09ED"/>
    <w:rsid w:val="009B0A07"/>
    <w:rsid w:val="009B0A16"/>
    <w:rsid w:val="009B0BB7"/>
    <w:rsid w:val="009B0CDF"/>
    <w:rsid w:val="009B0E15"/>
    <w:rsid w:val="009B0ED9"/>
    <w:rsid w:val="009B0FBB"/>
    <w:rsid w:val="009B0FE2"/>
    <w:rsid w:val="009B1115"/>
    <w:rsid w:val="009B131D"/>
    <w:rsid w:val="009B15DF"/>
    <w:rsid w:val="009B16A3"/>
    <w:rsid w:val="009B17FF"/>
    <w:rsid w:val="009B1941"/>
    <w:rsid w:val="009B1946"/>
    <w:rsid w:val="009B1BD4"/>
    <w:rsid w:val="009B1CC8"/>
    <w:rsid w:val="009B1EE5"/>
    <w:rsid w:val="009B1F1C"/>
    <w:rsid w:val="009B1F50"/>
    <w:rsid w:val="009B1F5D"/>
    <w:rsid w:val="009B2031"/>
    <w:rsid w:val="009B22ED"/>
    <w:rsid w:val="009B2371"/>
    <w:rsid w:val="009B26BD"/>
    <w:rsid w:val="009B26DD"/>
    <w:rsid w:val="009B275F"/>
    <w:rsid w:val="009B27E9"/>
    <w:rsid w:val="009B280D"/>
    <w:rsid w:val="009B2A38"/>
    <w:rsid w:val="009B2A77"/>
    <w:rsid w:val="009B2AF4"/>
    <w:rsid w:val="009B2C03"/>
    <w:rsid w:val="009B2DAA"/>
    <w:rsid w:val="009B2DAB"/>
    <w:rsid w:val="009B2E7A"/>
    <w:rsid w:val="009B3095"/>
    <w:rsid w:val="009B319B"/>
    <w:rsid w:val="009B31D2"/>
    <w:rsid w:val="009B3227"/>
    <w:rsid w:val="009B32B3"/>
    <w:rsid w:val="009B3375"/>
    <w:rsid w:val="009B339E"/>
    <w:rsid w:val="009B34EB"/>
    <w:rsid w:val="009B35E0"/>
    <w:rsid w:val="009B360C"/>
    <w:rsid w:val="009B3670"/>
    <w:rsid w:val="009B37FB"/>
    <w:rsid w:val="009B38A9"/>
    <w:rsid w:val="009B39B3"/>
    <w:rsid w:val="009B39E7"/>
    <w:rsid w:val="009B3AA9"/>
    <w:rsid w:val="009B3C04"/>
    <w:rsid w:val="009B3F38"/>
    <w:rsid w:val="009B4120"/>
    <w:rsid w:val="009B4244"/>
    <w:rsid w:val="009B4466"/>
    <w:rsid w:val="009B44A0"/>
    <w:rsid w:val="009B45F1"/>
    <w:rsid w:val="009B489F"/>
    <w:rsid w:val="009B49DB"/>
    <w:rsid w:val="009B4B21"/>
    <w:rsid w:val="009B4F97"/>
    <w:rsid w:val="009B5073"/>
    <w:rsid w:val="009B524A"/>
    <w:rsid w:val="009B5368"/>
    <w:rsid w:val="009B554F"/>
    <w:rsid w:val="009B55CD"/>
    <w:rsid w:val="009B5644"/>
    <w:rsid w:val="009B565E"/>
    <w:rsid w:val="009B5776"/>
    <w:rsid w:val="009B57C5"/>
    <w:rsid w:val="009B5A1C"/>
    <w:rsid w:val="009B5A9B"/>
    <w:rsid w:val="009B5A9F"/>
    <w:rsid w:val="009B5CC0"/>
    <w:rsid w:val="009B5D44"/>
    <w:rsid w:val="009B5DB8"/>
    <w:rsid w:val="009B601C"/>
    <w:rsid w:val="009B601F"/>
    <w:rsid w:val="009B621F"/>
    <w:rsid w:val="009B646C"/>
    <w:rsid w:val="009B65ED"/>
    <w:rsid w:val="009B6FB2"/>
    <w:rsid w:val="009B721A"/>
    <w:rsid w:val="009B7270"/>
    <w:rsid w:val="009B72B0"/>
    <w:rsid w:val="009B74AE"/>
    <w:rsid w:val="009B766F"/>
    <w:rsid w:val="009B7730"/>
    <w:rsid w:val="009B7752"/>
    <w:rsid w:val="009B77EB"/>
    <w:rsid w:val="009B796C"/>
    <w:rsid w:val="009B7C1F"/>
    <w:rsid w:val="009B7F47"/>
    <w:rsid w:val="009C07C3"/>
    <w:rsid w:val="009C0A09"/>
    <w:rsid w:val="009C0AD2"/>
    <w:rsid w:val="009C0B9D"/>
    <w:rsid w:val="009C0F0C"/>
    <w:rsid w:val="009C1024"/>
    <w:rsid w:val="009C12A2"/>
    <w:rsid w:val="009C12E5"/>
    <w:rsid w:val="009C13C5"/>
    <w:rsid w:val="009C1416"/>
    <w:rsid w:val="009C147B"/>
    <w:rsid w:val="009C1522"/>
    <w:rsid w:val="009C1599"/>
    <w:rsid w:val="009C1778"/>
    <w:rsid w:val="009C18FD"/>
    <w:rsid w:val="009C1924"/>
    <w:rsid w:val="009C1A88"/>
    <w:rsid w:val="009C1AD6"/>
    <w:rsid w:val="009C1C0A"/>
    <w:rsid w:val="009C1D9F"/>
    <w:rsid w:val="009C1FD9"/>
    <w:rsid w:val="009C20BB"/>
    <w:rsid w:val="009C228A"/>
    <w:rsid w:val="009C22E5"/>
    <w:rsid w:val="009C2487"/>
    <w:rsid w:val="009C24FE"/>
    <w:rsid w:val="009C2742"/>
    <w:rsid w:val="009C28EE"/>
    <w:rsid w:val="009C2930"/>
    <w:rsid w:val="009C2ACB"/>
    <w:rsid w:val="009C2D6F"/>
    <w:rsid w:val="009C2FA3"/>
    <w:rsid w:val="009C31F4"/>
    <w:rsid w:val="009C31F5"/>
    <w:rsid w:val="009C35DD"/>
    <w:rsid w:val="009C3622"/>
    <w:rsid w:val="009C367D"/>
    <w:rsid w:val="009C3813"/>
    <w:rsid w:val="009C3847"/>
    <w:rsid w:val="009C388F"/>
    <w:rsid w:val="009C393D"/>
    <w:rsid w:val="009C3C02"/>
    <w:rsid w:val="009C3D63"/>
    <w:rsid w:val="009C3D74"/>
    <w:rsid w:val="009C3DA6"/>
    <w:rsid w:val="009C3EE3"/>
    <w:rsid w:val="009C40BE"/>
    <w:rsid w:val="009C430D"/>
    <w:rsid w:val="009C44B4"/>
    <w:rsid w:val="009C44E0"/>
    <w:rsid w:val="009C4611"/>
    <w:rsid w:val="009C461B"/>
    <w:rsid w:val="009C47B8"/>
    <w:rsid w:val="009C493D"/>
    <w:rsid w:val="009C4CA3"/>
    <w:rsid w:val="009C4DEC"/>
    <w:rsid w:val="009C50E2"/>
    <w:rsid w:val="009C53BC"/>
    <w:rsid w:val="009C5604"/>
    <w:rsid w:val="009C588F"/>
    <w:rsid w:val="009C58C9"/>
    <w:rsid w:val="009C5901"/>
    <w:rsid w:val="009C593E"/>
    <w:rsid w:val="009C59F0"/>
    <w:rsid w:val="009C5AEB"/>
    <w:rsid w:val="009C5B26"/>
    <w:rsid w:val="009C5D5B"/>
    <w:rsid w:val="009C5E8D"/>
    <w:rsid w:val="009C5F78"/>
    <w:rsid w:val="009C5FE9"/>
    <w:rsid w:val="009C60D6"/>
    <w:rsid w:val="009C62E1"/>
    <w:rsid w:val="009C63C6"/>
    <w:rsid w:val="009C648B"/>
    <w:rsid w:val="009C655C"/>
    <w:rsid w:val="009C66AA"/>
    <w:rsid w:val="009C67E0"/>
    <w:rsid w:val="009C67FB"/>
    <w:rsid w:val="009C6960"/>
    <w:rsid w:val="009C6A61"/>
    <w:rsid w:val="009C6CE3"/>
    <w:rsid w:val="009C6D32"/>
    <w:rsid w:val="009C6DD0"/>
    <w:rsid w:val="009C6FC0"/>
    <w:rsid w:val="009C7108"/>
    <w:rsid w:val="009C7312"/>
    <w:rsid w:val="009C73C8"/>
    <w:rsid w:val="009C78DB"/>
    <w:rsid w:val="009C792F"/>
    <w:rsid w:val="009C7D10"/>
    <w:rsid w:val="009C7D4E"/>
    <w:rsid w:val="009C7D88"/>
    <w:rsid w:val="009C7E45"/>
    <w:rsid w:val="009C7E49"/>
    <w:rsid w:val="009C7F87"/>
    <w:rsid w:val="009D0225"/>
    <w:rsid w:val="009D0581"/>
    <w:rsid w:val="009D079D"/>
    <w:rsid w:val="009D0845"/>
    <w:rsid w:val="009D0AE7"/>
    <w:rsid w:val="009D0E10"/>
    <w:rsid w:val="009D0EAB"/>
    <w:rsid w:val="009D0ED1"/>
    <w:rsid w:val="009D1213"/>
    <w:rsid w:val="009D143C"/>
    <w:rsid w:val="009D14B1"/>
    <w:rsid w:val="009D14B8"/>
    <w:rsid w:val="009D163E"/>
    <w:rsid w:val="009D183D"/>
    <w:rsid w:val="009D190B"/>
    <w:rsid w:val="009D1931"/>
    <w:rsid w:val="009D196D"/>
    <w:rsid w:val="009D1988"/>
    <w:rsid w:val="009D19F2"/>
    <w:rsid w:val="009D1A53"/>
    <w:rsid w:val="009D1BC3"/>
    <w:rsid w:val="009D1D3B"/>
    <w:rsid w:val="009D1FEB"/>
    <w:rsid w:val="009D2280"/>
    <w:rsid w:val="009D2368"/>
    <w:rsid w:val="009D24AA"/>
    <w:rsid w:val="009D24D2"/>
    <w:rsid w:val="009D274E"/>
    <w:rsid w:val="009D281E"/>
    <w:rsid w:val="009D2877"/>
    <w:rsid w:val="009D289D"/>
    <w:rsid w:val="009D2A42"/>
    <w:rsid w:val="009D2CB8"/>
    <w:rsid w:val="009D2F64"/>
    <w:rsid w:val="009D2F83"/>
    <w:rsid w:val="009D2FDC"/>
    <w:rsid w:val="009D3138"/>
    <w:rsid w:val="009D3187"/>
    <w:rsid w:val="009D34CA"/>
    <w:rsid w:val="009D34E6"/>
    <w:rsid w:val="009D351B"/>
    <w:rsid w:val="009D36B5"/>
    <w:rsid w:val="009D3A1D"/>
    <w:rsid w:val="009D3A44"/>
    <w:rsid w:val="009D3AB4"/>
    <w:rsid w:val="009D3AE9"/>
    <w:rsid w:val="009D3B9B"/>
    <w:rsid w:val="009D3D31"/>
    <w:rsid w:val="009D3D43"/>
    <w:rsid w:val="009D3D66"/>
    <w:rsid w:val="009D3D9D"/>
    <w:rsid w:val="009D3EE5"/>
    <w:rsid w:val="009D3FA2"/>
    <w:rsid w:val="009D4043"/>
    <w:rsid w:val="009D412F"/>
    <w:rsid w:val="009D41A7"/>
    <w:rsid w:val="009D41F8"/>
    <w:rsid w:val="009D4494"/>
    <w:rsid w:val="009D4520"/>
    <w:rsid w:val="009D486C"/>
    <w:rsid w:val="009D493A"/>
    <w:rsid w:val="009D498A"/>
    <w:rsid w:val="009D4CEF"/>
    <w:rsid w:val="009D525C"/>
    <w:rsid w:val="009D52E6"/>
    <w:rsid w:val="009D552C"/>
    <w:rsid w:val="009D5583"/>
    <w:rsid w:val="009D55E1"/>
    <w:rsid w:val="009D5657"/>
    <w:rsid w:val="009D59EB"/>
    <w:rsid w:val="009D5A16"/>
    <w:rsid w:val="009D5AB9"/>
    <w:rsid w:val="009D5B0E"/>
    <w:rsid w:val="009D5BC9"/>
    <w:rsid w:val="009D5BCC"/>
    <w:rsid w:val="009D5F6C"/>
    <w:rsid w:val="009D5F90"/>
    <w:rsid w:val="009D5FD6"/>
    <w:rsid w:val="009D60A5"/>
    <w:rsid w:val="009D6263"/>
    <w:rsid w:val="009D6345"/>
    <w:rsid w:val="009D6671"/>
    <w:rsid w:val="009D66CC"/>
    <w:rsid w:val="009D6878"/>
    <w:rsid w:val="009D6993"/>
    <w:rsid w:val="009D6A3B"/>
    <w:rsid w:val="009D6AF4"/>
    <w:rsid w:val="009D6B04"/>
    <w:rsid w:val="009D6B65"/>
    <w:rsid w:val="009D6CD1"/>
    <w:rsid w:val="009D6FAB"/>
    <w:rsid w:val="009D72AA"/>
    <w:rsid w:val="009D745B"/>
    <w:rsid w:val="009D7582"/>
    <w:rsid w:val="009D7633"/>
    <w:rsid w:val="009D763C"/>
    <w:rsid w:val="009D775A"/>
    <w:rsid w:val="009D791C"/>
    <w:rsid w:val="009D7C24"/>
    <w:rsid w:val="009D7C44"/>
    <w:rsid w:val="009D7CDA"/>
    <w:rsid w:val="009D7DC7"/>
    <w:rsid w:val="009D7FB5"/>
    <w:rsid w:val="009E00EA"/>
    <w:rsid w:val="009E01F3"/>
    <w:rsid w:val="009E025E"/>
    <w:rsid w:val="009E036B"/>
    <w:rsid w:val="009E038C"/>
    <w:rsid w:val="009E03AD"/>
    <w:rsid w:val="009E0404"/>
    <w:rsid w:val="009E05DC"/>
    <w:rsid w:val="009E0623"/>
    <w:rsid w:val="009E0684"/>
    <w:rsid w:val="009E0881"/>
    <w:rsid w:val="009E0904"/>
    <w:rsid w:val="009E09F3"/>
    <w:rsid w:val="009E0A86"/>
    <w:rsid w:val="009E0CA7"/>
    <w:rsid w:val="009E0CDF"/>
    <w:rsid w:val="009E0DCC"/>
    <w:rsid w:val="009E0EE0"/>
    <w:rsid w:val="009E0F50"/>
    <w:rsid w:val="009E1271"/>
    <w:rsid w:val="009E131F"/>
    <w:rsid w:val="009E147A"/>
    <w:rsid w:val="009E19C6"/>
    <w:rsid w:val="009E1A4C"/>
    <w:rsid w:val="009E1BDE"/>
    <w:rsid w:val="009E1BE8"/>
    <w:rsid w:val="009E1C29"/>
    <w:rsid w:val="009E1D94"/>
    <w:rsid w:val="009E1FB9"/>
    <w:rsid w:val="009E2284"/>
    <w:rsid w:val="009E235E"/>
    <w:rsid w:val="009E23D6"/>
    <w:rsid w:val="009E256B"/>
    <w:rsid w:val="009E278C"/>
    <w:rsid w:val="009E27EA"/>
    <w:rsid w:val="009E298C"/>
    <w:rsid w:val="009E29B4"/>
    <w:rsid w:val="009E2B53"/>
    <w:rsid w:val="009E2B54"/>
    <w:rsid w:val="009E2B7C"/>
    <w:rsid w:val="009E2BC3"/>
    <w:rsid w:val="009E2BF4"/>
    <w:rsid w:val="009E2CAE"/>
    <w:rsid w:val="009E2D09"/>
    <w:rsid w:val="009E2DE7"/>
    <w:rsid w:val="009E2DF3"/>
    <w:rsid w:val="009E303E"/>
    <w:rsid w:val="009E3066"/>
    <w:rsid w:val="009E35F5"/>
    <w:rsid w:val="009E36AA"/>
    <w:rsid w:val="009E3796"/>
    <w:rsid w:val="009E3A2C"/>
    <w:rsid w:val="009E3A62"/>
    <w:rsid w:val="009E3CC5"/>
    <w:rsid w:val="009E3D52"/>
    <w:rsid w:val="009E3DD2"/>
    <w:rsid w:val="009E3F25"/>
    <w:rsid w:val="009E409E"/>
    <w:rsid w:val="009E40F5"/>
    <w:rsid w:val="009E42D9"/>
    <w:rsid w:val="009E4748"/>
    <w:rsid w:val="009E488D"/>
    <w:rsid w:val="009E48C4"/>
    <w:rsid w:val="009E4950"/>
    <w:rsid w:val="009E4B08"/>
    <w:rsid w:val="009E4B74"/>
    <w:rsid w:val="009E4CE0"/>
    <w:rsid w:val="009E4D0F"/>
    <w:rsid w:val="009E4DBF"/>
    <w:rsid w:val="009E4DC2"/>
    <w:rsid w:val="009E4F01"/>
    <w:rsid w:val="009E504B"/>
    <w:rsid w:val="009E5180"/>
    <w:rsid w:val="009E51F2"/>
    <w:rsid w:val="009E533B"/>
    <w:rsid w:val="009E5501"/>
    <w:rsid w:val="009E55DB"/>
    <w:rsid w:val="009E56B0"/>
    <w:rsid w:val="009E5713"/>
    <w:rsid w:val="009E5931"/>
    <w:rsid w:val="009E5B4E"/>
    <w:rsid w:val="009E5C00"/>
    <w:rsid w:val="009E5FF1"/>
    <w:rsid w:val="009E5FF6"/>
    <w:rsid w:val="009E611B"/>
    <w:rsid w:val="009E6447"/>
    <w:rsid w:val="009E666A"/>
    <w:rsid w:val="009E68F5"/>
    <w:rsid w:val="009E6911"/>
    <w:rsid w:val="009E6A3D"/>
    <w:rsid w:val="009E6AA6"/>
    <w:rsid w:val="009E6B85"/>
    <w:rsid w:val="009E6C31"/>
    <w:rsid w:val="009E7172"/>
    <w:rsid w:val="009E73F9"/>
    <w:rsid w:val="009E746A"/>
    <w:rsid w:val="009E74AE"/>
    <w:rsid w:val="009E76DF"/>
    <w:rsid w:val="009E78E9"/>
    <w:rsid w:val="009E793B"/>
    <w:rsid w:val="009E79E6"/>
    <w:rsid w:val="009E7B43"/>
    <w:rsid w:val="009E7CE2"/>
    <w:rsid w:val="009E7D13"/>
    <w:rsid w:val="009E7D73"/>
    <w:rsid w:val="009E7FB7"/>
    <w:rsid w:val="009F005E"/>
    <w:rsid w:val="009F00E9"/>
    <w:rsid w:val="009F012E"/>
    <w:rsid w:val="009F01DF"/>
    <w:rsid w:val="009F01E8"/>
    <w:rsid w:val="009F027A"/>
    <w:rsid w:val="009F035D"/>
    <w:rsid w:val="009F04F4"/>
    <w:rsid w:val="009F0652"/>
    <w:rsid w:val="009F06FF"/>
    <w:rsid w:val="009F0705"/>
    <w:rsid w:val="009F08C6"/>
    <w:rsid w:val="009F09C5"/>
    <w:rsid w:val="009F0AA9"/>
    <w:rsid w:val="009F0AAA"/>
    <w:rsid w:val="009F0BFA"/>
    <w:rsid w:val="009F0C01"/>
    <w:rsid w:val="009F0C4B"/>
    <w:rsid w:val="009F0C5A"/>
    <w:rsid w:val="009F0CE5"/>
    <w:rsid w:val="009F0D76"/>
    <w:rsid w:val="009F0DDD"/>
    <w:rsid w:val="009F0EAF"/>
    <w:rsid w:val="009F0FE2"/>
    <w:rsid w:val="009F10D6"/>
    <w:rsid w:val="009F14B6"/>
    <w:rsid w:val="009F14F1"/>
    <w:rsid w:val="009F150C"/>
    <w:rsid w:val="009F15D3"/>
    <w:rsid w:val="009F1622"/>
    <w:rsid w:val="009F1646"/>
    <w:rsid w:val="009F181D"/>
    <w:rsid w:val="009F1A49"/>
    <w:rsid w:val="009F1A58"/>
    <w:rsid w:val="009F1CAE"/>
    <w:rsid w:val="009F1CD5"/>
    <w:rsid w:val="009F1EB3"/>
    <w:rsid w:val="009F1F98"/>
    <w:rsid w:val="009F20BD"/>
    <w:rsid w:val="009F2344"/>
    <w:rsid w:val="009F25B7"/>
    <w:rsid w:val="009F28E5"/>
    <w:rsid w:val="009F2992"/>
    <w:rsid w:val="009F2ABD"/>
    <w:rsid w:val="009F2AEF"/>
    <w:rsid w:val="009F2BCB"/>
    <w:rsid w:val="009F2BDD"/>
    <w:rsid w:val="009F2BE2"/>
    <w:rsid w:val="009F3158"/>
    <w:rsid w:val="009F31DF"/>
    <w:rsid w:val="009F3287"/>
    <w:rsid w:val="009F331A"/>
    <w:rsid w:val="009F341D"/>
    <w:rsid w:val="009F3454"/>
    <w:rsid w:val="009F34A0"/>
    <w:rsid w:val="009F3571"/>
    <w:rsid w:val="009F3B41"/>
    <w:rsid w:val="009F3C61"/>
    <w:rsid w:val="009F3C90"/>
    <w:rsid w:val="009F3CDC"/>
    <w:rsid w:val="009F3DAC"/>
    <w:rsid w:val="009F3DAF"/>
    <w:rsid w:val="009F3DD8"/>
    <w:rsid w:val="009F3E2B"/>
    <w:rsid w:val="009F3EB6"/>
    <w:rsid w:val="009F3EF3"/>
    <w:rsid w:val="009F4010"/>
    <w:rsid w:val="009F4034"/>
    <w:rsid w:val="009F409F"/>
    <w:rsid w:val="009F40B5"/>
    <w:rsid w:val="009F4170"/>
    <w:rsid w:val="009F4228"/>
    <w:rsid w:val="009F424E"/>
    <w:rsid w:val="009F4290"/>
    <w:rsid w:val="009F42DB"/>
    <w:rsid w:val="009F4319"/>
    <w:rsid w:val="009F4379"/>
    <w:rsid w:val="009F43E2"/>
    <w:rsid w:val="009F4742"/>
    <w:rsid w:val="009F4775"/>
    <w:rsid w:val="009F47F2"/>
    <w:rsid w:val="009F4935"/>
    <w:rsid w:val="009F4ABF"/>
    <w:rsid w:val="009F4BCF"/>
    <w:rsid w:val="009F4CDB"/>
    <w:rsid w:val="009F4F70"/>
    <w:rsid w:val="009F50CE"/>
    <w:rsid w:val="009F517C"/>
    <w:rsid w:val="009F51AC"/>
    <w:rsid w:val="009F525C"/>
    <w:rsid w:val="009F52D8"/>
    <w:rsid w:val="009F55F5"/>
    <w:rsid w:val="009F575F"/>
    <w:rsid w:val="009F5A58"/>
    <w:rsid w:val="009F5B66"/>
    <w:rsid w:val="009F5C16"/>
    <w:rsid w:val="009F5C83"/>
    <w:rsid w:val="009F5E51"/>
    <w:rsid w:val="009F5E9F"/>
    <w:rsid w:val="009F60CF"/>
    <w:rsid w:val="009F6200"/>
    <w:rsid w:val="009F63CA"/>
    <w:rsid w:val="009F6437"/>
    <w:rsid w:val="009F6702"/>
    <w:rsid w:val="009F6735"/>
    <w:rsid w:val="009F694E"/>
    <w:rsid w:val="009F6A5D"/>
    <w:rsid w:val="009F6B3D"/>
    <w:rsid w:val="009F6C4B"/>
    <w:rsid w:val="009F6D4C"/>
    <w:rsid w:val="009F6DFC"/>
    <w:rsid w:val="009F707C"/>
    <w:rsid w:val="009F7109"/>
    <w:rsid w:val="009F7294"/>
    <w:rsid w:val="009F737E"/>
    <w:rsid w:val="009F7389"/>
    <w:rsid w:val="009F7544"/>
    <w:rsid w:val="009F7814"/>
    <w:rsid w:val="009F783F"/>
    <w:rsid w:val="009F7873"/>
    <w:rsid w:val="009F798D"/>
    <w:rsid w:val="009F7BC8"/>
    <w:rsid w:val="009F7BD9"/>
    <w:rsid w:val="009F7FB2"/>
    <w:rsid w:val="00A0015D"/>
    <w:rsid w:val="00A00363"/>
    <w:rsid w:val="00A004C2"/>
    <w:rsid w:val="00A0050B"/>
    <w:rsid w:val="00A00697"/>
    <w:rsid w:val="00A00935"/>
    <w:rsid w:val="00A0096E"/>
    <w:rsid w:val="00A009E7"/>
    <w:rsid w:val="00A00A78"/>
    <w:rsid w:val="00A00B85"/>
    <w:rsid w:val="00A00C32"/>
    <w:rsid w:val="00A00D7A"/>
    <w:rsid w:val="00A00DD2"/>
    <w:rsid w:val="00A00E90"/>
    <w:rsid w:val="00A00F55"/>
    <w:rsid w:val="00A00F94"/>
    <w:rsid w:val="00A00FDC"/>
    <w:rsid w:val="00A01080"/>
    <w:rsid w:val="00A010C6"/>
    <w:rsid w:val="00A01196"/>
    <w:rsid w:val="00A014AA"/>
    <w:rsid w:val="00A015AA"/>
    <w:rsid w:val="00A016D1"/>
    <w:rsid w:val="00A0189B"/>
    <w:rsid w:val="00A01B41"/>
    <w:rsid w:val="00A01FE6"/>
    <w:rsid w:val="00A02149"/>
    <w:rsid w:val="00A0229E"/>
    <w:rsid w:val="00A02309"/>
    <w:rsid w:val="00A02337"/>
    <w:rsid w:val="00A023B5"/>
    <w:rsid w:val="00A023E7"/>
    <w:rsid w:val="00A024DD"/>
    <w:rsid w:val="00A02516"/>
    <w:rsid w:val="00A0279C"/>
    <w:rsid w:val="00A02947"/>
    <w:rsid w:val="00A029A7"/>
    <w:rsid w:val="00A02BA5"/>
    <w:rsid w:val="00A02CAD"/>
    <w:rsid w:val="00A02D69"/>
    <w:rsid w:val="00A02DA3"/>
    <w:rsid w:val="00A02E07"/>
    <w:rsid w:val="00A02F05"/>
    <w:rsid w:val="00A02F8E"/>
    <w:rsid w:val="00A0342A"/>
    <w:rsid w:val="00A03474"/>
    <w:rsid w:val="00A037CD"/>
    <w:rsid w:val="00A03880"/>
    <w:rsid w:val="00A0389A"/>
    <w:rsid w:val="00A038E0"/>
    <w:rsid w:val="00A03A46"/>
    <w:rsid w:val="00A03BD9"/>
    <w:rsid w:val="00A0405F"/>
    <w:rsid w:val="00A04325"/>
    <w:rsid w:val="00A045C7"/>
    <w:rsid w:val="00A045E3"/>
    <w:rsid w:val="00A04744"/>
    <w:rsid w:val="00A04B59"/>
    <w:rsid w:val="00A04B76"/>
    <w:rsid w:val="00A04C4A"/>
    <w:rsid w:val="00A0511E"/>
    <w:rsid w:val="00A051AF"/>
    <w:rsid w:val="00A051FC"/>
    <w:rsid w:val="00A05208"/>
    <w:rsid w:val="00A05211"/>
    <w:rsid w:val="00A05327"/>
    <w:rsid w:val="00A05406"/>
    <w:rsid w:val="00A05611"/>
    <w:rsid w:val="00A05644"/>
    <w:rsid w:val="00A05825"/>
    <w:rsid w:val="00A0583E"/>
    <w:rsid w:val="00A05AB4"/>
    <w:rsid w:val="00A05DF5"/>
    <w:rsid w:val="00A05FA6"/>
    <w:rsid w:val="00A05FC5"/>
    <w:rsid w:val="00A06047"/>
    <w:rsid w:val="00A06115"/>
    <w:rsid w:val="00A062AA"/>
    <w:rsid w:val="00A06352"/>
    <w:rsid w:val="00A06382"/>
    <w:rsid w:val="00A063C8"/>
    <w:rsid w:val="00A06529"/>
    <w:rsid w:val="00A06799"/>
    <w:rsid w:val="00A06846"/>
    <w:rsid w:val="00A06B5A"/>
    <w:rsid w:val="00A06D5C"/>
    <w:rsid w:val="00A07055"/>
    <w:rsid w:val="00A0713B"/>
    <w:rsid w:val="00A072D8"/>
    <w:rsid w:val="00A07428"/>
    <w:rsid w:val="00A0753C"/>
    <w:rsid w:val="00A0770B"/>
    <w:rsid w:val="00A077F3"/>
    <w:rsid w:val="00A07B09"/>
    <w:rsid w:val="00A07B53"/>
    <w:rsid w:val="00A07C66"/>
    <w:rsid w:val="00A07CED"/>
    <w:rsid w:val="00A07DD7"/>
    <w:rsid w:val="00A07DF9"/>
    <w:rsid w:val="00A07E99"/>
    <w:rsid w:val="00A07EA5"/>
    <w:rsid w:val="00A10336"/>
    <w:rsid w:val="00A1035E"/>
    <w:rsid w:val="00A104DA"/>
    <w:rsid w:val="00A10634"/>
    <w:rsid w:val="00A10664"/>
    <w:rsid w:val="00A107B8"/>
    <w:rsid w:val="00A10963"/>
    <w:rsid w:val="00A10B93"/>
    <w:rsid w:val="00A10DB1"/>
    <w:rsid w:val="00A10E2B"/>
    <w:rsid w:val="00A10F2F"/>
    <w:rsid w:val="00A1104A"/>
    <w:rsid w:val="00A11061"/>
    <w:rsid w:val="00A11313"/>
    <w:rsid w:val="00A113F2"/>
    <w:rsid w:val="00A11521"/>
    <w:rsid w:val="00A1167F"/>
    <w:rsid w:val="00A11823"/>
    <w:rsid w:val="00A118AF"/>
    <w:rsid w:val="00A118EF"/>
    <w:rsid w:val="00A11A4D"/>
    <w:rsid w:val="00A11B6B"/>
    <w:rsid w:val="00A11B75"/>
    <w:rsid w:val="00A11C0D"/>
    <w:rsid w:val="00A11C3F"/>
    <w:rsid w:val="00A11DDF"/>
    <w:rsid w:val="00A11E1F"/>
    <w:rsid w:val="00A11F8E"/>
    <w:rsid w:val="00A1210D"/>
    <w:rsid w:val="00A1215D"/>
    <w:rsid w:val="00A12232"/>
    <w:rsid w:val="00A1288E"/>
    <w:rsid w:val="00A1290F"/>
    <w:rsid w:val="00A1291B"/>
    <w:rsid w:val="00A12C07"/>
    <w:rsid w:val="00A12C7C"/>
    <w:rsid w:val="00A12EB9"/>
    <w:rsid w:val="00A12EFD"/>
    <w:rsid w:val="00A1303A"/>
    <w:rsid w:val="00A13223"/>
    <w:rsid w:val="00A132C3"/>
    <w:rsid w:val="00A1339D"/>
    <w:rsid w:val="00A13567"/>
    <w:rsid w:val="00A135FC"/>
    <w:rsid w:val="00A138C6"/>
    <w:rsid w:val="00A138FD"/>
    <w:rsid w:val="00A13941"/>
    <w:rsid w:val="00A13998"/>
    <w:rsid w:val="00A13A01"/>
    <w:rsid w:val="00A13A33"/>
    <w:rsid w:val="00A13AD2"/>
    <w:rsid w:val="00A13B5B"/>
    <w:rsid w:val="00A13BF5"/>
    <w:rsid w:val="00A13CE9"/>
    <w:rsid w:val="00A13E32"/>
    <w:rsid w:val="00A13FD7"/>
    <w:rsid w:val="00A142A0"/>
    <w:rsid w:val="00A14372"/>
    <w:rsid w:val="00A14488"/>
    <w:rsid w:val="00A146C3"/>
    <w:rsid w:val="00A14706"/>
    <w:rsid w:val="00A14804"/>
    <w:rsid w:val="00A14873"/>
    <w:rsid w:val="00A148AF"/>
    <w:rsid w:val="00A14B4A"/>
    <w:rsid w:val="00A14C8C"/>
    <w:rsid w:val="00A14E0A"/>
    <w:rsid w:val="00A14E26"/>
    <w:rsid w:val="00A14F16"/>
    <w:rsid w:val="00A14F18"/>
    <w:rsid w:val="00A14F94"/>
    <w:rsid w:val="00A15151"/>
    <w:rsid w:val="00A1518C"/>
    <w:rsid w:val="00A15363"/>
    <w:rsid w:val="00A1544D"/>
    <w:rsid w:val="00A1545A"/>
    <w:rsid w:val="00A1555C"/>
    <w:rsid w:val="00A15633"/>
    <w:rsid w:val="00A15A86"/>
    <w:rsid w:val="00A15B0F"/>
    <w:rsid w:val="00A15B18"/>
    <w:rsid w:val="00A15B4D"/>
    <w:rsid w:val="00A15BF0"/>
    <w:rsid w:val="00A15D6F"/>
    <w:rsid w:val="00A15EB3"/>
    <w:rsid w:val="00A15FC4"/>
    <w:rsid w:val="00A160C2"/>
    <w:rsid w:val="00A16340"/>
    <w:rsid w:val="00A16376"/>
    <w:rsid w:val="00A1662A"/>
    <w:rsid w:val="00A16665"/>
    <w:rsid w:val="00A168C7"/>
    <w:rsid w:val="00A169BA"/>
    <w:rsid w:val="00A16A01"/>
    <w:rsid w:val="00A16A2C"/>
    <w:rsid w:val="00A16A68"/>
    <w:rsid w:val="00A16C2F"/>
    <w:rsid w:val="00A16C4C"/>
    <w:rsid w:val="00A16D2C"/>
    <w:rsid w:val="00A16F27"/>
    <w:rsid w:val="00A1700E"/>
    <w:rsid w:val="00A17093"/>
    <w:rsid w:val="00A173AA"/>
    <w:rsid w:val="00A17589"/>
    <w:rsid w:val="00A175AF"/>
    <w:rsid w:val="00A1774D"/>
    <w:rsid w:val="00A177B5"/>
    <w:rsid w:val="00A178B6"/>
    <w:rsid w:val="00A17C3D"/>
    <w:rsid w:val="00A17C7B"/>
    <w:rsid w:val="00A17CF4"/>
    <w:rsid w:val="00A17DD6"/>
    <w:rsid w:val="00A17E0A"/>
    <w:rsid w:val="00A20013"/>
    <w:rsid w:val="00A200EE"/>
    <w:rsid w:val="00A20293"/>
    <w:rsid w:val="00A204DE"/>
    <w:rsid w:val="00A204E1"/>
    <w:rsid w:val="00A20526"/>
    <w:rsid w:val="00A20790"/>
    <w:rsid w:val="00A20C64"/>
    <w:rsid w:val="00A20D46"/>
    <w:rsid w:val="00A20EBD"/>
    <w:rsid w:val="00A20F6A"/>
    <w:rsid w:val="00A211FE"/>
    <w:rsid w:val="00A21540"/>
    <w:rsid w:val="00A21868"/>
    <w:rsid w:val="00A21AE4"/>
    <w:rsid w:val="00A21C01"/>
    <w:rsid w:val="00A21C0C"/>
    <w:rsid w:val="00A21D7C"/>
    <w:rsid w:val="00A21DE6"/>
    <w:rsid w:val="00A21E00"/>
    <w:rsid w:val="00A21FA8"/>
    <w:rsid w:val="00A2201E"/>
    <w:rsid w:val="00A22054"/>
    <w:rsid w:val="00A2207A"/>
    <w:rsid w:val="00A22228"/>
    <w:rsid w:val="00A2228E"/>
    <w:rsid w:val="00A224FE"/>
    <w:rsid w:val="00A22502"/>
    <w:rsid w:val="00A225D9"/>
    <w:rsid w:val="00A2262B"/>
    <w:rsid w:val="00A226EE"/>
    <w:rsid w:val="00A2282A"/>
    <w:rsid w:val="00A228F1"/>
    <w:rsid w:val="00A22AE1"/>
    <w:rsid w:val="00A22CA5"/>
    <w:rsid w:val="00A22D50"/>
    <w:rsid w:val="00A2307E"/>
    <w:rsid w:val="00A231D9"/>
    <w:rsid w:val="00A233D9"/>
    <w:rsid w:val="00A234AD"/>
    <w:rsid w:val="00A2369C"/>
    <w:rsid w:val="00A23906"/>
    <w:rsid w:val="00A239EF"/>
    <w:rsid w:val="00A23B1D"/>
    <w:rsid w:val="00A23C06"/>
    <w:rsid w:val="00A23C7C"/>
    <w:rsid w:val="00A23D04"/>
    <w:rsid w:val="00A23D88"/>
    <w:rsid w:val="00A23E44"/>
    <w:rsid w:val="00A23F67"/>
    <w:rsid w:val="00A24002"/>
    <w:rsid w:val="00A241F2"/>
    <w:rsid w:val="00A2450D"/>
    <w:rsid w:val="00A2457F"/>
    <w:rsid w:val="00A2471A"/>
    <w:rsid w:val="00A24809"/>
    <w:rsid w:val="00A24A23"/>
    <w:rsid w:val="00A24BD5"/>
    <w:rsid w:val="00A24CB8"/>
    <w:rsid w:val="00A25179"/>
    <w:rsid w:val="00A251B0"/>
    <w:rsid w:val="00A252A6"/>
    <w:rsid w:val="00A2533A"/>
    <w:rsid w:val="00A25485"/>
    <w:rsid w:val="00A25774"/>
    <w:rsid w:val="00A25AAB"/>
    <w:rsid w:val="00A25C74"/>
    <w:rsid w:val="00A25DCB"/>
    <w:rsid w:val="00A25EFA"/>
    <w:rsid w:val="00A25F27"/>
    <w:rsid w:val="00A2612D"/>
    <w:rsid w:val="00A262CA"/>
    <w:rsid w:val="00A26343"/>
    <w:rsid w:val="00A2637E"/>
    <w:rsid w:val="00A265AE"/>
    <w:rsid w:val="00A265D1"/>
    <w:rsid w:val="00A268C7"/>
    <w:rsid w:val="00A26ADD"/>
    <w:rsid w:val="00A26B97"/>
    <w:rsid w:val="00A26CD7"/>
    <w:rsid w:val="00A26E8F"/>
    <w:rsid w:val="00A26F57"/>
    <w:rsid w:val="00A26FF4"/>
    <w:rsid w:val="00A27144"/>
    <w:rsid w:val="00A2719B"/>
    <w:rsid w:val="00A272CD"/>
    <w:rsid w:val="00A27327"/>
    <w:rsid w:val="00A27365"/>
    <w:rsid w:val="00A273A5"/>
    <w:rsid w:val="00A2746B"/>
    <w:rsid w:val="00A2747E"/>
    <w:rsid w:val="00A27570"/>
    <w:rsid w:val="00A2760C"/>
    <w:rsid w:val="00A27728"/>
    <w:rsid w:val="00A27740"/>
    <w:rsid w:val="00A277D5"/>
    <w:rsid w:val="00A278CC"/>
    <w:rsid w:val="00A279C6"/>
    <w:rsid w:val="00A279F9"/>
    <w:rsid w:val="00A27B45"/>
    <w:rsid w:val="00A27C3F"/>
    <w:rsid w:val="00A27D43"/>
    <w:rsid w:val="00A27DF4"/>
    <w:rsid w:val="00A27E49"/>
    <w:rsid w:val="00A30094"/>
    <w:rsid w:val="00A303FC"/>
    <w:rsid w:val="00A30550"/>
    <w:rsid w:val="00A30C8D"/>
    <w:rsid w:val="00A30CB1"/>
    <w:rsid w:val="00A30D57"/>
    <w:rsid w:val="00A30DB9"/>
    <w:rsid w:val="00A30E6A"/>
    <w:rsid w:val="00A310A4"/>
    <w:rsid w:val="00A31328"/>
    <w:rsid w:val="00A313FB"/>
    <w:rsid w:val="00A31509"/>
    <w:rsid w:val="00A315A0"/>
    <w:rsid w:val="00A31721"/>
    <w:rsid w:val="00A31801"/>
    <w:rsid w:val="00A31864"/>
    <w:rsid w:val="00A3186A"/>
    <w:rsid w:val="00A31A71"/>
    <w:rsid w:val="00A31B7C"/>
    <w:rsid w:val="00A31CF3"/>
    <w:rsid w:val="00A31DBD"/>
    <w:rsid w:val="00A31DCE"/>
    <w:rsid w:val="00A32148"/>
    <w:rsid w:val="00A321AD"/>
    <w:rsid w:val="00A322DA"/>
    <w:rsid w:val="00A323F0"/>
    <w:rsid w:val="00A32547"/>
    <w:rsid w:val="00A32636"/>
    <w:rsid w:val="00A3272B"/>
    <w:rsid w:val="00A32868"/>
    <w:rsid w:val="00A3289C"/>
    <w:rsid w:val="00A328C9"/>
    <w:rsid w:val="00A32937"/>
    <w:rsid w:val="00A32949"/>
    <w:rsid w:val="00A32961"/>
    <w:rsid w:val="00A329EC"/>
    <w:rsid w:val="00A32DC7"/>
    <w:rsid w:val="00A32FDD"/>
    <w:rsid w:val="00A33144"/>
    <w:rsid w:val="00A33238"/>
    <w:rsid w:val="00A33254"/>
    <w:rsid w:val="00A33315"/>
    <w:rsid w:val="00A3352B"/>
    <w:rsid w:val="00A33603"/>
    <w:rsid w:val="00A338C4"/>
    <w:rsid w:val="00A338FA"/>
    <w:rsid w:val="00A33B1D"/>
    <w:rsid w:val="00A33C4D"/>
    <w:rsid w:val="00A33E0F"/>
    <w:rsid w:val="00A33F5B"/>
    <w:rsid w:val="00A33F7E"/>
    <w:rsid w:val="00A3407E"/>
    <w:rsid w:val="00A340F4"/>
    <w:rsid w:val="00A341AB"/>
    <w:rsid w:val="00A34311"/>
    <w:rsid w:val="00A3446A"/>
    <w:rsid w:val="00A3455F"/>
    <w:rsid w:val="00A3461E"/>
    <w:rsid w:val="00A34620"/>
    <w:rsid w:val="00A34724"/>
    <w:rsid w:val="00A3472E"/>
    <w:rsid w:val="00A3480D"/>
    <w:rsid w:val="00A348D9"/>
    <w:rsid w:val="00A34931"/>
    <w:rsid w:val="00A34C78"/>
    <w:rsid w:val="00A34C9C"/>
    <w:rsid w:val="00A34D30"/>
    <w:rsid w:val="00A34FDF"/>
    <w:rsid w:val="00A35158"/>
    <w:rsid w:val="00A35462"/>
    <w:rsid w:val="00A35463"/>
    <w:rsid w:val="00A355EC"/>
    <w:rsid w:val="00A3584C"/>
    <w:rsid w:val="00A3593F"/>
    <w:rsid w:val="00A35955"/>
    <w:rsid w:val="00A35CB6"/>
    <w:rsid w:val="00A35D05"/>
    <w:rsid w:val="00A35E87"/>
    <w:rsid w:val="00A36075"/>
    <w:rsid w:val="00A3609F"/>
    <w:rsid w:val="00A361C2"/>
    <w:rsid w:val="00A361FD"/>
    <w:rsid w:val="00A3634C"/>
    <w:rsid w:val="00A365DF"/>
    <w:rsid w:val="00A367D9"/>
    <w:rsid w:val="00A368D4"/>
    <w:rsid w:val="00A36943"/>
    <w:rsid w:val="00A36BF0"/>
    <w:rsid w:val="00A37267"/>
    <w:rsid w:val="00A372DA"/>
    <w:rsid w:val="00A37385"/>
    <w:rsid w:val="00A373E9"/>
    <w:rsid w:val="00A374CF"/>
    <w:rsid w:val="00A375AD"/>
    <w:rsid w:val="00A3765E"/>
    <w:rsid w:val="00A37AB5"/>
    <w:rsid w:val="00A37FC8"/>
    <w:rsid w:val="00A4021C"/>
    <w:rsid w:val="00A4044A"/>
    <w:rsid w:val="00A40584"/>
    <w:rsid w:val="00A40877"/>
    <w:rsid w:val="00A408CF"/>
    <w:rsid w:val="00A409B0"/>
    <w:rsid w:val="00A409D7"/>
    <w:rsid w:val="00A40AD1"/>
    <w:rsid w:val="00A40BB9"/>
    <w:rsid w:val="00A40C59"/>
    <w:rsid w:val="00A40CD7"/>
    <w:rsid w:val="00A40D68"/>
    <w:rsid w:val="00A40E06"/>
    <w:rsid w:val="00A40F27"/>
    <w:rsid w:val="00A4103F"/>
    <w:rsid w:val="00A41045"/>
    <w:rsid w:val="00A41094"/>
    <w:rsid w:val="00A411D3"/>
    <w:rsid w:val="00A412F9"/>
    <w:rsid w:val="00A41306"/>
    <w:rsid w:val="00A4149D"/>
    <w:rsid w:val="00A414D5"/>
    <w:rsid w:val="00A41522"/>
    <w:rsid w:val="00A41544"/>
    <w:rsid w:val="00A416F1"/>
    <w:rsid w:val="00A41713"/>
    <w:rsid w:val="00A4178F"/>
    <w:rsid w:val="00A41799"/>
    <w:rsid w:val="00A417D2"/>
    <w:rsid w:val="00A41AEC"/>
    <w:rsid w:val="00A41B0E"/>
    <w:rsid w:val="00A41BE0"/>
    <w:rsid w:val="00A41E2B"/>
    <w:rsid w:val="00A41ECF"/>
    <w:rsid w:val="00A41EE8"/>
    <w:rsid w:val="00A41F64"/>
    <w:rsid w:val="00A41FF1"/>
    <w:rsid w:val="00A41FF2"/>
    <w:rsid w:val="00A421CC"/>
    <w:rsid w:val="00A4229C"/>
    <w:rsid w:val="00A4250C"/>
    <w:rsid w:val="00A4254E"/>
    <w:rsid w:val="00A42710"/>
    <w:rsid w:val="00A428BE"/>
    <w:rsid w:val="00A42CAE"/>
    <w:rsid w:val="00A42D02"/>
    <w:rsid w:val="00A42F91"/>
    <w:rsid w:val="00A43047"/>
    <w:rsid w:val="00A431AC"/>
    <w:rsid w:val="00A43305"/>
    <w:rsid w:val="00A4359B"/>
    <w:rsid w:val="00A43618"/>
    <w:rsid w:val="00A43727"/>
    <w:rsid w:val="00A4392A"/>
    <w:rsid w:val="00A4396E"/>
    <w:rsid w:val="00A43A32"/>
    <w:rsid w:val="00A43A76"/>
    <w:rsid w:val="00A43AEF"/>
    <w:rsid w:val="00A43B2E"/>
    <w:rsid w:val="00A43B5A"/>
    <w:rsid w:val="00A43BD2"/>
    <w:rsid w:val="00A43D06"/>
    <w:rsid w:val="00A43F2D"/>
    <w:rsid w:val="00A43FB7"/>
    <w:rsid w:val="00A43FFD"/>
    <w:rsid w:val="00A4408D"/>
    <w:rsid w:val="00A44218"/>
    <w:rsid w:val="00A4430D"/>
    <w:rsid w:val="00A443B9"/>
    <w:rsid w:val="00A444D7"/>
    <w:rsid w:val="00A44770"/>
    <w:rsid w:val="00A447AA"/>
    <w:rsid w:val="00A447D6"/>
    <w:rsid w:val="00A447F1"/>
    <w:rsid w:val="00A4495C"/>
    <w:rsid w:val="00A449AA"/>
    <w:rsid w:val="00A44CC2"/>
    <w:rsid w:val="00A44E89"/>
    <w:rsid w:val="00A44F10"/>
    <w:rsid w:val="00A44F73"/>
    <w:rsid w:val="00A45086"/>
    <w:rsid w:val="00A45341"/>
    <w:rsid w:val="00A45390"/>
    <w:rsid w:val="00A45704"/>
    <w:rsid w:val="00A4580A"/>
    <w:rsid w:val="00A45A9B"/>
    <w:rsid w:val="00A45B35"/>
    <w:rsid w:val="00A45B4A"/>
    <w:rsid w:val="00A4604A"/>
    <w:rsid w:val="00A46132"/>
    <w:rsid w:val="00A46177"/>
    <w:rsid w:val="00A46381"/>
    <w:rsid w:val="00A46579"/>
    <w:rsid w:val="00A465EF"/>
    <w:rsid w:val="00A466E8"/>
    <w:rsid w:val="00A46A67"/>
    <w:rsid w:val="00A46BDE"/>
    <w:rsid w:val="00A46C4C"/>
    <w:rsid w:val="00A46E10"/>
    <w:rsid w:val="00A46E3E"/>
    <w:rsid w:val="00A4722B"/>
    <w:rsid w:val="00A47269"/>
    <w:rsid w:val="00A473CD"/>
    <w:rsid w:val="00A47430"/>
    <w:rsid w:val="00A4743B"/>
    <w:rsid w:val="00A474AF"/>
    <w:rsid w:val="00A475EF"/>
    <w:rsid w:val="00A47645"/>
    <w:rsid w:val="00A476DC"/>
    <w:rsid w:val="00A4777C"/>
    <w:rsid w:val="00A4795C"/>
    <w:rsid w:val="00A479FD"/>
    <w:rsid w:val="00A47B96"/>
    <w:rsid w:val="00A47B9F"/>
    <w:rsid w:val="00A47C68"/>
    <w:rsid w:val="00A47E2E"/>
    <w:rsid w:val="00A47F5D"/>
    <w:rsid w:val="00A500F6"/>
    <w:rsid w:val="00A501AA"/>
    <w:rsid w:val="00A50204"/>
    <w:rsid w:val="00A50266"/>
    <w:rsid w:val="00A50620"/>
    <w:rsid w:val="00A50806"/>
    <w:rsid w:val="00A508E3"/>
    <w:rsid w:val="00A50984"/>
    <w:rsid w:val="00A50A66"/>
    <w:rsid w:val="00A50AAA"/>
    <w:rsid w:val="00A50D3D"/>
    <w:rsid w:val="00A50E9A"/>
    <w:rsid w:val="00A50F02"/>
    <w:rsid w:val="00A5118D"/>
    <w:rsid w:val="00A511A6"/>
    <w:rsid w:val="00A512F5"/>
    <w:rsid w:val="00A51544"/>
    <w:rsid w:val="00A5158C"/>
    <w:rsid w:val="00A515F6"/>
    <w:rsid w:val="00A51648"/>
    <w:rsid w:val="00A51728"/>
    <w:rsid w:val="00A51976"/>
    <w:rsid w:val="00A519D1"/>
    <w:rsid w:val="00A51A57"/>
    <w:rsid w:val="00A51F58"/>
    <w:rsid w:val="00A52063"/>
    <w:rsid w:val="00A5209A"/>
    <w:rsid w:val="00A5212E"/>
    <w:rsid w:val="00A52215"/>
    <w:rsid w:val="00A522A6"/>
    <w:rsid w:val="00A52300"/>
    <w:rsid w:val="00A523EE"/>
    <w:rsid w:val="00A524F7"/>
    <w:rsid w:val="00A52613"/>
    <w:rsid w:val="00A52D97"/>
    <w:rsid w:val="00A52DEC"/>
    <w:rsid w:val="00A531C4"/>
    <w:rsid w:val="00A5347A"/>
    <w:rsid w:val="00A53921"/>
    <w:rsid w:val="00A53A28"/>
    <w:rsid w:val="00A53ACD"/>
    <w:rsid w:val="00A53DF3"/>
    <w:rsid w:val="00A53EE0"/>
    <w:rsid w:val="00A53F82"/>
    <w:rsid w:val="00A54076"/>
    <w:rsid w:val="00A54107"/>
    <w:rsid w:val="00A542CA"/>
    <w:rsid w:val="00A5439A"/>
    <w:rsid w:val="00A5444E"/>
    <w:rsid w:val="00A5448C"/>
    <w:rsid w:val="00A544FD"/>
    <w:rsid w:val="00A5453A"/>
    <w:rsid w:val="00A545E6"/>
    <w:rsid w:val="00A54715"/>
    <w:rsid w:val="00A5472F"/>
    <w:rsid w:val="00A5480C"/>
    <w:rsid w:val="00A5490D"/>
    <w:rsid w:val="00A5496B"/>
    <w:rsid w:val="00A549C6"/>
    <w:rsid w:val="00A54B44"/>
    <w:rsid w:val="00A54BE0"/>
    <w:rsid w:val="00A54C51"/>
    <w:rsid w:val="00A54D08"/>
    <w:rsid w:val="00A54DB7"/>
    <w:rsid w:val="00A54E8E"/>
    <w:rsid w:val="00A551CB"/>
    <w:rsid w:val="00A5535E"/>
    <w:rsid w:val="00A5542A"/>
    <w:rsid w:val="00A555D4"/>
    <w:rsid w:val="00A5560A"/>
    <w:rsid w:val="00A55724"/>
    <w:rsid w:val="00A55830"/>
    <w:rsid w:val="00A55CF4"/>
    <w:rsid w:val="00A55CFD"/>
    <w:rsid w:val="00A55F8C"/>
    <w:rsid w:val="00A560CE"/>
    <w:rsid w:val="00A560E1"/>
    <w:rsid w:val="00A56278"/>
    <w:rsid w:val="00A5627F"/>
    <w:rsid w:val="00A563D2"/>
    <w:rsid w:val="00A5640F"/>
    <w:rsid w:val="00A56426"/>
    <w:rsid w:val="00A56707"/>
    <w:rsid w:val="00A5670F"/>
    <w:rsid w:val="00A56AF1"/>
    <w:rsid w:val="00A56BD7"/>
    <w:rsid w:val="00A56C24"/>
    <w:rsid w:val="00A56D44"/>
    <w:rsid w:val="00A56EAF"/>
    <w:rsid w:val="00A56FB2"/>
    <w:rsid w:val="00A57249"/>
    <w:rsid w:val="00A574F3"/>
    <w:rsid w:val="00A577D9"/>
    <w:rsid w:val="00A57B3F"/>
    <w:rsid w:val="00A57C43"/>
    <w:rsid w:val="00A57EA1"/>
    <w:rsid w:val="00A57F2A"/>
    <w:rsid w:val="00A60036"/>
    <w:rsid w:val="00A600B0"/>
    <w:rsid w:val="00A60373"/>
    <w:rsid w:val="00A603BE"/>
    <w:rsid w:val="00A60550"/>
    <w:rsid w:val="00A609BD"/>
    <w:rsid w:val="00A60C5A"/>
    <w:rsid w:val="00A60E8C"/>
    <w:rsid w:val="00A6112A"/>
    <w:rsid w:val="00A6113B"/>
    <w:rsid w:val="00A6116A"/>
    <w:rsid w:val="00A614A6"/>
    <w:rsid w:val="00A615CA"/>
    <w:rsid w:val="00A617AC"/>
    <w:rsid w:val="00A618A4"/>
    <w:rsid w:val="00A61A57"/>
    <w:rsid w:val="00A61AC3"/>
    <w:rsid w:val="00A61BB6"/>
    <w:rsid w:val="00A61D06"/>
    <w:rsid w:val="00A61FAA"/>
    <w:rsid w:val="00A61FD9"/>
    <w:rsid w:val="00A62045"/>
    <w:rsid w:val="00A62211"/>
    <w:rsid w:val="00A622D1"/>
    <w:rsid w:val="00A6237E"/>
    <w:rsid w:val="00A623E0"/>
    <w:rsid w:val="00A624B6"/>
    <w:rsid w:val="00A6265C"/>
    <w:rsid w:val="00A62712"/>
    <w:rsid w:val="00A627C2"/>
    <w:rsid w:val="00A627C4"/>
    <w:rsid w:val="00A628EF"/>
    <w:rsid w:val="00A62919"/>
    <w:rsid w:val="00A62975"/>
    <w:rsid w:val="00A629EB"/>
    <w:rsid w:val="00A62A57"/>
    <w:rsid w:val="00A62ABD"/>
    <w:rsid w:val="00A62B93"/>
    <w:rsid w:val="00A62BE5"/>
    <w:rsid w:val="00A62DE4"/>
    <w:rsid w:val="00A6307B"/>
    <w:rsid w:val="00A631F1"/>
    <w:rsid w:val="00A632A2"/>
    <w:rsid w:val="00A632CA"/>
    <w:rsid w:val="00A63763"/>
    <w:rsid w:val="00A6398B"/>
    <w:rsid w:val="00A639B9"/>
    <w:rsid w:val="00A63A5E"/>
    <w:rsid w:val="00A63BBD"/>
    <w:rsid w:val="00A63C17"/>
    <w:rsid w:val="00A63C7F"/>
    <w:rsid w:val="00A63D2E"/>
    <w:rsid w:val="00A63E90"/>
    <w:rsid w:val="00A63ED0"/>
    <w:rsid w:val="00A64031"/>
    <w:rsid w:val="00A641D5"/>
    <w:rsid w:val="00A641D6"/>
    <w:rsid w:val="00A645AD"/>
    <w:rsid w:val="00A6489D"/>
    <w:rsid w:val="00A64A48"/>
    <w:rsid w:val="00A64B3B"/>
    <w:rsid w:val="00A64E89"/>
    <w:rsid w:val="00A64F53"/>
    <w:rsid w:val="00A650FB"/>
    <w:rsid w:val="00A6529A"/>
    <w:rsid w:val="00A652DC"/>
    <w:rsid w:val="00A6541E"/>
    <w:rsid w:val="00A654CA"/>
    <w:rsid w:val="00A6555D"/>
    <w:rsid w:val="00A65890"/>
    <w:rsid w:val="00A658A5"/>
    <w:rsid w:val="00A65A2E"/>
    <w:rsid w:val="00A65AB1"/>
    <w:rsid w:val="00A65AF4"/>
    <w:rsid w:val="00A65E49"/>
    <w:rsid w:val="00A65ECA"/>
    <w:rsid w:val="00A65F92"/>
    <w:rsid w:val="00A66027"/>
    <w:rsid w:val="00A663C5"/>
    <w:rsid w:val="00A664A2"/>
    <w:rsid w:val="00A664D7"/>
    <w:rsid w:val="00A6659A"/>
    <w:rsid w:val="00A665FD"/>
    <w:rsid w:val="00A66664"/>
    <w:rsid w:val="00A666EB"/>
    <w:rsid w:val="00A66801"/>
    <w:rsid w:val="00A6681E"/>
    <w:rsid w:val="00A66ADD"/>
    <w:rsid w:val="00A66CAD"/>
    <w:rsid w:val="00A66D99"/>
    <w:rsid w:val="00A66DF7"/>
    <w:rsid w:val="00A66F35"/>
    <w:rsid w:val="00A66FC3"/>
    <w:rsid w:val="00A6711F"/>
    <w:rsid w:val="00A671AC"/>
    <w:rsid w:val="00A67525"/>
    <w:rsid w:val="00A67557"/>
    <w:rsid w:val="00A676E3"/>
    <w:rsid w:val="00A6796F"/>
    <w:rsid w:val="00A679F3"/>
    <w:rsid w:val="00A67A4C"/>
    <w:rsid w:val="00A67CBD"/>
    <w:rsid w:val="00A67D3A"/>
    <w:rsid w:val="00A67DAF"/>
    <w:rsid w:val="00A67F3E"/>
    <w:rsid w:val="00A67FF5"/>
    <w:rsid w:val="00A70021"/>
    <w:rsid w:val="00A7014F"/>
    <w:rsid w:val="00A7035A"/>
    <w:rsid w:val="00A703CE"/>
    <w:rsid w:val="00A704B7"/>
    <w:rsid w:val="00A70699"/>
    <w:rsid w:val="00A7070E"/>
    <w:rsid w:val="00A708BB"/>
    <w:rsid w:val="00A709EE"/>
    <w:rsid w:val="00A70D0D"/>
    <w:rsid w:val="00A70E37"/>
    <w:rsid w:val="00A70F03"/>
    <w:rsid w:val="00A71071"/>
    <w:rsid w:val="00A71554"/>
    <w:rsid w:val="00A7155C"/>
    <w:rsid w:val="00A71602"/>
    <w:rsid w:val="00A7162C"/>
    <w:rsid w:val="00A71667"/>
    <w:rsid w:val="00A71678"/>
    <w:rsid w:val="00A7193D"/>
    <w:rsid w:val="00A71A87"/>
    <w:rsid w:val="00A71C19"/>
    <w:rsid w:val="00A71DBF"/>
    <w:rsid w:val="00A71E50"/>
    <w:rsid w:val="00A71F51"/>
    <w:rsid w:val="00A71F76"/>
    <w:rsid w:val="00A720A0"/>
    <w:rsid w:val="00A721C3"/>
    <w:rsid w:val="00A7227E"/>
    <w:rsid w:val="00A7263F"/>
    <w:rsid w:val="00A726B1"/>
    <w:rsid w:val="00A726E5"/>
    <w:rsid w:val="00A72876"/>
    <w:rsid w:val="00A7293D"/>
    <w:rsid w:val="00A72C3D"/>
    <w:rsid w:val="00A72CE8"/>
    <w:rsid w:val="00A72E22"/>
    <w:rsid w:val="00A72F75"/>
    <w:rsid w:val="00A730D6"/>
    <w:rsid w:val="00A732AC"/>
    <w:rsid w:val="00A733BB"/>
    <w:rsid w:val="00A73791"/>
    <w:rsid w:val="00A737F5"/>
    <w:rsid w:val="00A7380C"/>
    <w:rsid w:val="00A739B5"/>
    <w:rsid w:val="00A73AA9"/>
    <w:rsid w:val="00A73B51"/>
    <w:rsid w:val="00A73D65"/>
    <w:rsid w:val="00A73E29"/>
    <w:rsid w:val="00A73EEE"/>
    <w:rsid w:val="00A7409F"/>
    <w:rsid w:val="00A7420C"/>
    <w:rsid w:val="00A74263"/>
    <w:rsid w:val="00A742F0"/>
    <w:rsid w:val="00A7464B"/>
    <w:rsid w:val="00A74708"/>
    <w:rsid w:val="00A74962"/>
    <w:rsid w:val="00A74991"/>
    <w:rsid w:val="00A74AC3"/>
    <w:rsid w:val="00A74C7D"/>
    <w:rsid w:val="00A74E00"/>
    <w:rsid w:val="00A74E0A"/>
    <w:rsid w:val="00A74F04"/>
    <w:rsid w:val="00A75098"/>
    <w:rsid w:val="00A752A1"/>
    <w:rsid w:val="00A7533D"/>
    <w:rsid w:val="00A753D0"/>
    <w:rsid w:val="00A756BF"/>
    <w:rsid w:val="00A7571D"/>
    <w:rsid w:val="00A75912"/>
    <w:rsid w:val="00A75944"/>
    <w:rsid w:val="00A75A88"/>
    <w:rsid w:val="00A75B2C"/>
    <w:rsid w:val="00A75B42"/>
    <w:rsid w:val="00A75B80"/>
    <w:rsid w:val="00A75B8A"/>
    <w:rsid w:val="00A75C6F"/>
    <w:rsid w:val="00A75DA0"/>
    <w:rsid w:val="00A75E1E"/>
    <w:rsid w:val="00A75F3B"/>
    <w:rsid w:val="00A75F77"/>
    <w:rsid w:val="00A7613D"/>
    <w:rsid w:val="00A76160"/>
    <w:rsid w:val="00A76188"/>
    <w:rsid w:val="00A76218"/>
    <w:rsid w:val="00A76278"/>
    <w:rsid w:val="00A762EC"/>
    <w:rsid w:val="00A76596"/>
    <w:rsid w:val="00A7659C"/>
    <w:rsid w:val="00A7664D"/>
    <w:rsid w:val="00A767BC"/>
    <w:rsid w:val="00A76A95"/>
    <w:rsid w:val="00A76BF9"/>
    <w:rsid w:val="00A76CC1"/>
    <w:rsid w:val="00A77190"/>
    <w:rsid w:val="00A771C1"/>
    <w:rsid w:val="00A7761B"/>
    <w:rsid w:val="00A777CC"/>
    <w:rsid w:val="00A77B7F"/>
    <w:rsid w:val="00A77C42"/>
    <w:rsid w:val="00A77F99"/>
    <w:rsid w:val="00A77F9B"/>
    <w:rsid w:val="00A801C3"/>
    <w:rsid w:val="00A801D6"/>
    <w:rsid w:val="00A802D3"/>
    <w:rsid w:val="00A8049B"/>
    <w:rsid w:val="00A80634"/>
    <w:rsid w:val="00A80726"/>
    <w:rsid w:val="00A8074E"/>
    <w:rsid w:val="00A80841"/>
    <w:rsid w:val="00A80A96"/>
    <w:rsid w:val="00A80B27"/>
    <w:rsid w:val="00A811D4"/>
    <w:rsid w:val="00A8158A"/>
    <w:rsid w:val="00A8159B"/>
    <w:rsid w:val="00A81791"/>
    <w:rsid w:val="00A81A30"/>
    <w:rsid w:val="00A81BB4"/>
    <w:rsid w:val="00A81CC2"/>
    <w:rsid w:val="00A81D50"/>
    <w:rsid w:val="00A81DCF"/>
    <w:rsid w:val="00A81DF7"/>
    <w:rsid w:val="00A81E9D"/>
    <w:rsid w:val="00A82048"/>
    <w:rsid w:val="00A820B8"/>
    <w:rsid w:val="00A820D6"/>
    <w:rsid w:val="00A82115"/>
    <w:rsid w:val="00A82269"/>
    <w:rsid w:val="00A823EE"/>
    <w:rsid w:val="00A82445"/>
    <w:rsid w:val="00A824CD"/>
    <w:rsid w:val="00A82730"/>
    <w:rsid w:val="00A82916"/>
    <w:rsid w:val="00A829EB"/>
    <w:rsid w:val="00A82D0B"/>
    <w:rsid w:val="00A82DCC"/>
    <w:rsid w:val="00A82E40"/>
    <w:rsid w:val="00A82EA3"/>
    <w:rsid w:val="00A82EB7"/>
    <w:rsid w:val="00A82FE9"/>
    <w:rsid w:val="00A83003"/>
    <w:rsid w:val="00A83090"/>
    <w:rsid w:val="00A8331A"/>
    <w:rsid w:val="00A83489"/>
    <w:rsid w:val="00A8352B"/>
    <w:rsid w:val="00A8357E"/>
    <w:rsid w:val="00A838F1"/>
    <w:rsid w:val="00A839D0"/>
    <w:rsid w:val="00A83A06"/>
    <w:rsid w:val="00A83A5E"/>
    <w:rsid w:val="00A83B0B"/>
    <w:rsid w:val="00A83B1B"/>
    <w:rsid w:val="00A83CE3"/>
    <w:rsid w:val="00A83D93"/>
    <w:rsid w:val="00A84104"/>
    <w:rsid w:val="00A842BC"/>
    <w:rsid w:val="00A8433A"/>
    <w:rsid w:val="00A844E2"/>
    <w:rsid w:val="00A84553"/>
    <w:rsid w:val="00A845B9"/>
    <w:rsid w:val="00A8463A"/>
    <w:rsid w:val="00A8475B"/>
    <w:rsid w:val="00A847AE"/>
    <w:rsid w:val="00A84A9D"/>
    <w:rsid w:val="00A84B64"/>
    <w:rsid w:val="00A84D57"/>
    <w:rsid w:val="00A84F11"/>
    <w:rsid w:val="00A8538C"/>
    <w:rsid w:val="00A8540C"/>
    <w:rsid w:val="00A85431"/>
    <w:rsid w:val="00A85452"/>
    <w:rsid w:val="00A854A6"/>
    <w:rsid w:val="00A8555D"/>
    <w:rsid w:val="00A85576"/>
    <w:rsid w:val="00A8576D"/>
    <w:rsid w:val="00A85A57"/>
    <w:rsid w:val="00A85A5E"/>
    <w:rsid w:val="00A85F87"/>
    <w:rsid w:val="00A85FBA"/>
    <w:rsid w:val="00A86009"/>
    <w:rsid w:val="00A8605D"/>
    <w:rsid w:val="00A86189"/>
    <w:rsid w:val="00A861F6"/>
    <w:rsid w:val="00A86219"/>
    <w:rsid w:val="00A8623D"/>
    <w:rsid w:val="00A863E5"/>
    <w:rsid w:val="00A8650E"/>
    <w:rsid w:val="00A8653D"/>
    <w:rsid w:val="00A86786"/>
    <w:rsid w:val="00A8699B"/>
    <w:rsid w:val="00A86D17"/>
    <w:rsid w:val="00A86DAF"/>
    <w:rsid w:val="00A87025"/>
    <w:rsid w:val="00A870E7"/>
    <w:rsid w:val="00A874A3"/>
    <w:rsid w:val="00A875A5"/>
    <w:rsid w:val="00A8760A"/>
    <w:rsid w:val="00A87647"/>
    <w:rsid w:val="00A878AF"/>
    <w:rsid w:val="00A8795A"/>
    <w:rsid w:val="00A87D9D"/>
    <w:rsid w:val="00A9010B"/>
    <w:rsid w:val="00A901F3"/>
    <w:rsid w:val="00A90236"/>
    <w:rsid w:val="00A90296"/>
    <w:rsid w:val="00A90582"/>
    <w:rsid w:val="00A907BE"/>
    <w:rsid w:val="00A90847"/>
    <w:rsid w:val="00A90A21"/>
    <w:rsid w:val="00A90CF2"/>
    <w:rsid w:val="00A90D10"/>
    <w:rsid w:val="00A90FE8"/>
    <w:rsid w:val="00A91073"/>
    <w:rsid w:val="00A9129E"/>
    <w:rsid w:val="00A912D7"/>
    <w:rsid w:val="00A9138C"/>
    <w:rsid w:val="00A913E1"/>
    <w:rsid w:val="00A913F7"/>
    <w:rsid w:val="00A9157E"/>
    <w:rsid w:val="00A915DD"/>
    <w:rsid w:val="00A91A56"/>
    <w:rsid w:val="00A91AAB"/>
    <w:rsid w:val="00A91CE0"/>
    <w:rsid w:val="00A91D1D"/>
    <w:rsid w:val="00A91D7C"/>
    <w:rsid w:val="00A91E1D"/>
    <w:rsid w:val="00A91F55"/>
    <w:rsid w:val="00A91FE5"/>
    <w:rsid w:val="00A9207C"/>
    <w:rsid w:val="00A9222D"/>
    <w:rsid w:val="00A9240E"/>
    <w:rsid w:val="00A924C4"/>
    <w:rsid w:val="00A92582"/>
    <w:rsid w:val="00A925CA"/>
    <w:rsid w:val="00A9263A"/>
    <w:rsid w:val="00A927CB"/>
    <w:rsid w:val="00A92913"/>
    <w:rsid w:val="00A92A49"/>
    <w:rsid w:val="00A92AB2"/>
    <w:rsid w:val="00A92B46"/>
    <w:rsid w:val="00A92C60"/>
    <w:rsid w:val="00A92CEE"/>
    <w:rsid w:val="00A92DB5"/>
    <w:rsid w:val="00A93128"/>
    <w:rsid w:val="00A93749"/>
    <w:rsid w:val="00A93750"/>
    <w:rsid w:val="00A9376D"/>
    <w:rsid w:val="00A937FE"/>
    <w:rsid w:val="00A93AEA"/>
    <w:rsid w:val="00A93BED"/>
    <w:rsid w:val="00A940A3"/>
    <w:rsid w:val="00A9410A"/>
    <w:rsid w:val="00A94147"/>
    <w:rsid w:val="00A94186"/>
    <w:rsid w:val="00A94320"/>
    <w:rsid w:val="00A94414"/>
    <w:rsid w:val="00A94435"/>
    <w:rsid w:val="00A944BE"/>
    <w:rsid w:val="00A944E6"/>
    <w:rsid w:val="00A945F7"/>
    <w:rsid w:val="00A946A3"/>
    <w:rsid w:val="00A947D0"/>
    <w:rsid w:val="00A94911"/>
    <w:rsid w:val="00A94C55"/>
    <w:rsid w:val="00A94D42"/>
    <w:rsid w:val="00A94D75"/>
    <w:rsid w:val="00A94EA5"/>
    <w:rsid w:val="00A94F25"/>
    <w:rsid w:val="00A9510A"/>
    <w:rsid w:val="00A952BC"/>
    <w:rsid w:val="00A95369"/>
    <w:rsid w:val="00A9536F"/>
    <w:rsid w:val="00A954A9"/>
    <w:rsid w:val="00A95723"/>
    <w:rsid w:val="00A9593B"/>
    <w:rsid w:val="00A95AD5"/>
    <w:rsid w:val="00A95E11"/>
    <w:rsid w:val="00A95E2F"/>
    <w:rsid w:val="00A95FB2"/>
    <w:rsid w:val="00A96286"/>
    <w:rsid w:val="00A9634B"/>
    <w:rsid w:val="00A96363"/>
    <w:rsid w:val="00A963A2"/>
    <w:rsid w:val="00A96568"/>
    <w:rsid w:val="00A9656D"/>
    <w:rsid w:val="00A965A5"/>
    <w:rsid w:val="00A9667F"/>
    <w:rsid w:val="00A966D6"/>
    <w:rsid w:val="00A966E6"/>
    <w:rsid w:val="00A969F9"/>
    <w:rsid w:val="00A96CDD"/>
    <w:rsid w:val="00A96D3F"/>
    <w:rsid w:val="00A96D50"/>
    <w:rsid w:val="00A96D53"/>
    <w:rsid w:val="00A9711D"/>
    <w:rsid w:val="00A97145"/>
    <w:rsid w:val="00A97320"/>
    <w:rsid w:val="00A9741C"/>
    <w:rsid w:val="00A97593"/>
    <w:rsid w:val="00A975DD"/>
    <w:rsid w:val="00A9773C"/>
    <w:rsid w:val="00A979E6"/>
    <w:rsid w:val="00A97A5F"/>
    <w:rsid w:val="00A97C8B"/>
    <w:rsid w:val="00A97DDC"/>
    <w:rsid w:val="00A97F87"/>
    <w:rsid w:val="00AA000D"/>
    <w:rsid w:val="00AA003C"/>
    <w:rsid w:val="00AA008F"/>
    <w:rsid w:val="00AA02B9"/>
    <w:rsid w:val="00AA0501"/>
    <w:rsid w:val="00AA0535"/>
    <w:rsid w:val="00AA06BD"/>
    <w:rsid w:val="00AA06F5"/>
    <w:rsid w:val="00AA0A37"/>
    <w:rsid w:val="00AA0B49"/>
    <w:rsid w:val="00AA0C24"/>
    <w:rsid w:val="00AA0C9E"/>
    <w:rsid w:val="00AA0D59"/>
    <w:rsid w:val="00AA0E6D"/>
    <w:rsid w:val="00AA0F0C"/>
    <w:rsid w:val="00AA0FCF"/>
    <w:rsid w:val="00AA102A"/>
    <w:rsid w:val="00AA10F0"/>
    <w:rsid w:val="00AA13E7"/>
    <w:rsid w:val="00AA151F"/>
    <w:rsid w:val="00AA1650"/>
    <w:rsid w:val="00AA1866"/>
    <w:rsid w:val="00AA1951"/>
    <w:rsid w:val="00AA1F2D"/>
    <w:rsid w:val="00AA1F9F"/>
    <w:rsid w:val="00AA2329"/>
    <w:rsid w:val="00AA24B0"/>
    <w:rsid w:val="00AA256A"/>
    <w:rsid w:val="00AA26AB"/>
    <w:rsid w:val="00AA2735"/>
    <w:rsid w:val="00AA27F6"/>
    <w:rsid w:val="00AA280C"/>
    <w:rsid w:val="00AA2965"/>
    <w:rsid w:val="00AA2FE2"/>
    <w:rsid w:val="00AA302F"/>
    <w:rsid w:val="00AA3135"/>
    <w:rsid w:val="00AA32DE"/>
    <w:rsid w:val="00AA3450"/>
    <w:rsid w:val="00AA347C"/>
    <w:rsid w:val="00AA34E6"/>
    <w:rsid w:val="00AA36A5"/>
    <w:rsid w:val="00AA3A4B"/>
    <w:rsid w:val="00AA3B83"/>
    <w:rsid w:val="00AA3D6A"/>
    <w:rsid w:val="00AA3DE9"/>
    <w:rsid w:val="00AA3E7E"/>
    <w:rsid w:val="00AA3FCE"/>
    <w:rsid w:val="00AA4157"/>
    <w:rsid w:val="00AA45BB"/>
    <w:rsid w:val="00AA4681"/>
    <w:rsid w:val="00AA473D"/>
    <w:rsid w:val="00AA47D6"/>
    <w:rsid w:val="00AA48AB"/>
    <w:rsid w:val="00AA4958"/>
    <w:rsid w:val="00AA49A9"/>
    <w:rsid w:val="00AA49F7"/>
    <w:rsid w:val="00AA4A9A"/>
    <w:rsid w:val="00AA4B4B"/>
    <w:rsid w:val="00AA4CC2"/>
    <w:rsid w:val="00AA4D2B"/>
    <w:rsid w:val="00AA4D57"/>
    <w:rsid w:val="00AA4D5E"/>
    <w:rsid w:val="00AA5218"/>
    <w:rsid w:val="00AA528C"/>
    <w:rsid w:val="00AA52C8"/>
    <w:rsid w:val="00AA5378"/>
    <w:rsid w:val="00AA5474"/>
    <w:rsid w:val="00AA54E7"/>
    <w:rsid w:val="00AA56BC"/>
    <w:rsid w:val="00AA5746"/>
    <w:rsid w:val="00AA5849"/>
    <w:rsid w:val="00AA5C3F"/>
    <w:rsid w:val="00AA5CB7"/>
    <w:rsid w:val="00AA5F3D"/>
    <w:rsid w:val="00AA6016"/>
    <w:rsid w:val="00AA6040"/>
    <w:rsid w:val="00AA60AD"/>
    <w:rsid w:val="00AA618E"/>
    <w:rsid w:val="00AA61D1"/>
    <w:rsid w:val="00AA625B"/>
    <w:rsid w:val="00AA653C"/>
    <w:rsid w:val="00AA65F0"/>
    <w:rsid w:val="00AA6634"/>
    <w:rsid w:val="00AA6731"/>
    <w:rsid w:val="00AA67ED"/>
    <w:rsid w:val="00AA688B"/>
    <w:rsid w:val="00AA6936"/>
    <w:rsid w:val="00AA6A6C"/>
    <w:rsid w:val="00AA6A7F"/>
    <w:rsid w:val="00AA6E3F"/>
    <w:rsid w:val="00AA6EF0"/>
    <w:rsid w:val="00AA7010"/>
    <w:rsid w:val="00AA7096"/>
    <w:rsid w:val="00AA70AA"/>
    <w:rsid w:val="00AA7144"/>
    <w:rsid w:val="00AA7274"/>
    <w:rsid w:val="00AA7333"/>
    <w:rsid w:val="00AA73E9"/>
    <w:rsid w:val="00AA7458"/>
    <w:rsid w:val="00AA762A"/>
    <w:rsid w:val="00AA7662"/>
    <w:rsid w:val="00AA78B8"/>
    <w:rsid w:val="00AA7B22"/>
    <w:rsid w:val="00AA7B3F"/>
    <w:rsid w:val="00AA7B46"/>
    <w:rsid w:val="00AA7D4C"/>
    <w:rsid w:val="00AA7E05"/>
    <w:rsid w:val="00AB0072"/>
    <w:rsid w:val="00AB00F0"/>
    <w:rsid w:val="00AB0187"/>
    <w:rsid w:val="00AB024B"/>
    <w:rsid w:val="00AB060C"/>
    <w:rsid w:val="00AB0732"/>
    <w:rsid w:val="00AB07B7"/>
    <w:rsid w:val="00AB07C1"/>
    <w:rsid w:val="00AB081C"/>
    <w:rsid w:val="00AB0898"/>
    <w:rsid w:val="00AB0C8D"/>
    <w:rsid w:val="00AB0D69"/>
    <w:rsid w:val="00AB1295"/>
    <w:rsid w:val="00AB12A4"/>
    <w:rsid w:val="00AB140B"/>
    <w:rsid w:val="00AB1828"/>
    <w:rsid w:val="00AB1854"/>
    <w:rsid w:val="00AB1857"/>
    <w:rsid w:val="00AB18D5"/>
    <w:rsid w:val="00AB18F0"/>
    <w:rsid w:val="00AB20B2"/>
    <w:rsid w:val="00AB2148"/>
    <w:rsid w:val="00AB21A8"/>
    <w:rsid w:val="00AB22A1"/>
    <w:rsid w:val="00AB247A"/>
    <w:rsid w:val="00AB24D2"/>
    <w:rsid w:val="00AB257D"/>
    <w:rsid w:val="00AB257F"/>
    <w:rsid w:val="00AB2582"/>
    <w:rsid w:val="00AB26E5"/>
    <w:rsid w:val="00AB2757"/>
    <w:rsid w:val="00AB2770"/>
    <w:rsid w:val="00AB27B7"/>
    <w:rsid w:val="00AB2990"/>
    <w:rsid w:val="00AB29D4"/>
    <w:rsid w:val="00AB2A7B"/>
    <w:rsid w:val="00AB2AB1"/>
    <w:rsid w:val="00AB2C06"/>
    <w:rsid w:val="00AB2D91"/>
    <w:rsid w:val="00AB32A5"/>
    <w:rsid w:val="00AB3357"/>
    <w:rsid w:val="00AB3441"/>
    <w:rsid w:val="00AB357D"/>
    <w:rsid w:val="00AB35DE"/>
    <w:rsid w:val="00AB3649"/>
    <w:rsid w:val="00AB3747"/>
    <w:rsid w:val="00AB3834"/>
    <w:rsid w:val="00AB3894"/>
    <w:rsid w:val="00AB3962"/>
    <w:rsid w:val="00AB39A0"/>
    <w:rsid w:val="00AB3A49"/>
    <w:rsid w:val="00AB3A4E"/>
    <w:rsid w:val="00AB3B1C"/>
    <w:rsid w:val="00AB3FC7"/>
    <w:rsid w:val="00AB40B9"/>
    <w:rsid w:val="00AB424D"/>
    <w:rsid w:val="00AB4274"/>
    <w:rsid w:val="00AB44D4"/>
    <w:rsid w:val="00AB44FB"/>
    <w:rsid w:val="00AB46E8"/>
    <w:rsid w:val="00AB48B4"/>
    <w:rsid w:val="00AB48D2"/>
    <w:rsid w:val="00AB49B7"/>
    <w:rsid w:val="00AB4AEF"/>
    <w:rsid w:val="00AB4C8B"/>
    <w:rsid w:val="00AB4CB8"/>
    <w:rsid w:val="00AB4CCD"/>
    <w:rsid w:val="00AB4D4A"/>
    <w:rsid w:val="00AB4DDD"/>
    <w:rsid w:val="00AB4F02"/>
    <w:rsid w:val="00AB4FC0"/>
    <w:rsid w:val="00AB50E5"/>
    <w:rsid w:val="00AB5185"/>
    <w:rsid w:val="00AB53AB"/>
    <w:rsid w:val="00AB5791"/>
    <w:rsid w:val="00AB5849"/>
    <w:rsid w:val="00AB5870"/>
    <w:rsid w:val="00AB592F"/>
    <w:rsid w:val="00AB59BC"/>
    <w:rsid w:val="00AB59D7"/>
    <w:rsid w:val="00AB5C92"/>
    <w:rsid w:val="00AB5E99"/>
    <w:rsid w:val="00AB5F48"/>
    <w:rsid w:val="00AB61E9"/>
    <w:rsid w:val="00AB62D6"/>
    <w:rsid w:val="00AB6A7D"/>
    <w:rsid w:val="00AB6EEF"/>
    <w:rsid w:val="00AB6F5D"/>
    <w:rsid w:val="00AB7097"/>
    <w:rsid w:val="00AB743C"/>
    <w:rsid w:val="00AB75E4"/>
    <w:rsid w:val="00AB76B2"/>
    <w:rsid w:val="00AB77E2"/>
    <w:rsid w:val="00AB78C7"/>
    <w:rsid w:val="00AB791D"/>
    <w:rsid w:val="00AB7CC5"/>
    <w:rsid w:val="00AB7EB6"/>
    <w:rsid w:val="00AC0291"/>
    <w:rsid w:val="00AC03C6"/>
    <w:rsid w:val="00AC04F1"/>
    <w:rsid w:val="00AC0574"/>
    <w:rsid w:val="00AC05D7"/>
    <w:rsid w:val="00AC0679"/>
    <w:rsid w:val="00AC0741"/>
    <w:rsid w:val="00AC079E"/>
    <w:rsid w:val="00AC07C6"/>
    <w:rsid w:val="00AC0898"/>
    <w:rsid w:val="00AC0970"/>
    <w:rsid w:val="00AC0A77"/>
    <w:rsid w:val="00AC0B12"/>
    <w:rsid w:val="00AC0B16"/>
    <w:rsid w:val="00AC0DD4"/>
    <w:rsid w:val="00AC0F11"/>
    <w:rsid w:val="00AC110F"/>
    <w:rsid w:val="00AC1183"/>
    <w:rsid w:val="00AC13F4"/>
    <w:rsid w:val="00AC1682"/>
    <w:rsid w:val="00AC17A6"/>
    <w:rsid w:val="00AC1802"/>
    <w:rsid w:val="00AC1A2D"/>
    <w:rsid w:val="00AC1C27"/>
    <w:rsid w:val="00AC1C92"/>
    <w:rsid w:val="00AC1D51"/>
    <w:rsid w:val="00AC1D6A"/>
    <w:rsid w:val="00AC1DEE"/>
    <w:rsid w:val="00AC1EBC"/>
    <w:rsid w:val="00AC1F48"/>
    <w:rsid w:val="00AC1FA0"/>
    <w:rsid w:val="00AC2043"/>
    <w:rsid w:val="00AC217B"/>
    <w:rsid w:val="00AC22F0"/>
    <w:rsid w:val="00AC2430"/>
    <w:rsid w:val="00AC25EC"/>
    <w:rsid w:val="00AC2662"/>
    <w:rsid w:val="00AC2B49"/>
    <w:rsid w:val="00AC2CCB"/>
    <w:rsid w:val="00AC2D45"/>
    <w:rsid w:val="00AC2FF7"/>
    <w:rsid w:val="00AC323F"/>
    <w:rsid w:val="00AC3366"/>
    <w:rsid w:val="00AC34D8"/>
    <w:rsid w:val="00AC35BE"/>
    <w:rsid w:val="00AC37E1"/>
    <w:rsid w:val="00AC38D0"/>
    <w:rsid w:val="00AC3C06"/>
    <w:rsid w:val="00AC3D94"/>
    <w:rsid w:val="00AC4135"/>
    <w:rsid w:val="00AC41D1"/>
    <w:rsid w:val="00AC4503"/>
    <w:rsid w:val="00AC4713"/>
    <w:rsid w:val="00AC4734"/>
    <w:rsid w:val="00AC47E8"/>
    <w:rsid w:val="00AC49F2"/>
    <w:rsid w:val="00AC4A97"/>
    <w:rsid w:val="00AC4B3C"/>
    <w:rsid w:val="00AC4CC4"/>
    <w:rsid w:val="00AC4F58"/>
    <w:rsid w:val="00AC515B"/>
    <w:rsid w:val="00AC5164"/>
    <w:rsid w:val="00AC524B"/>
    <w:rsid w:val="00AC53BE"/>
    <w:rsid w:val="00AC54B9"/>
    <w:rsid w:val="00AC56E8"/>
    <w:rsid w:val="00AC57D9"/>
    <w:rsid w:val="00AC5841"/>
    <w:rsid w:val="00AC5B23"/>
    <w:rsid w:val="00AC5BFB"/>
    <w:rsid w:val="00AC5C9F"/>
    <w:rsid w:val="00AC5CBF"/>
    <w:rsid w:val="00AC5D00"/>
    <w:rsid w:val="00AC5F11"/>
    <w:rsid w:val="00AC5F1E"/>
    <w:rsid w:val="00AC5FCD"/>
    <w:rsid w:val="00AC6027"/>
    <w:rsid w:val="00AC60F2"/>
    <w:rsid w:val="00AC63AD"/>
    <w:rsid w:val="00AC63B0"/>
    <w:rsid w:val="00AC653A"/>
    <w:rsid w:val="00AC666D"/>
    <w:rsid w:val="00AC6705"/>
    <w:rsid w:val="00AC6773"/>
    <w:rsid w:val="00AC67B8"/>
    <w:rsid w:val="00AC6907"/>
    <w:rsid w:val="00AC690C"/>
    <w:rsid w:val="00AC69F3"/>
    <w:rsid w:val="00AC6B75"/>
    <w:rsid w:val="00AC6DC5"/>
    <w:rsid w:val="00AC6F77"/>
    <w:rsid w:val="00AC6F8C"/>
    <w:rsid w:val="00AC711C"/>
    <w:rsid w:val="00AC7216"/>
    <w:rsid w:val="00AC7254"/>
    <w:rsid w:val="00AC72B2"/>
    <w:rsid w:val="00AC7438"/>
    <w:rsid w:val="00AC7587"/>
    <w:rsid w:val="00AC75F1"/>
    <w:rsid w:val="00AC7613"/>
    <w:rsid w:val="00AC7709"/>
    <w:rsid w:val="00AC77E6"/>
    <w:rsid w:val="00AC78BD"/>
    <w:rsid w:val="00AC78C3"/>
    <w:rsid w:val="00AC78E3"/>
    <w:rsid w:val="00AC798A"/>
    <w:rsid w:val="00AC7A79"/>
    <w:rsid w:val="00AC7BB0"/>
    <w:rsid w:val="00AC7D43"/>
    <w:rsid w:val="00AC7D84"/>
    <w:rsid w:val="00AC7DF5"/>
    <w:rsid w:val="00AC7E3E"/>
    <w:rsid w:val="00AC7E3F"/>
    <w:rsid w:val="00AC7FE8"/>
    <w:rsid w:val="00AD00B5"/>
    <w:rsid w:val="00AD011F"/>
    <w:rsid w:val="00AD0134"/>
    <w:rsid w:val="00AD015D"/>
    <w:rsid w:val="00AD0440"/>
    <w:rsid w:val="00AD05EF"/>
    <w:rsid w:val="00AD0608"/>
    <w:rsid w:val="00AD068C"/>
    <w:rsid w:val="00AD06B0"/>
    <w:rsid w:val="00AD0739"/>
    <w:rsid w:val="00AD085B"/>
    <w:rsid w:val="00AD0871"/>
    <w:rsid w:val="00AD08B4"/>
    <w:rsid w:val="00AD0923"/>
    <w:rsid w:val="00AD092A"/>
    <w:rsid w:val="00AD0A55"/>
    <w:rsid w:val="00AD0B01"/>
    <w:rsid w:val="00AD0C73"/>
    <w:rsid w:val="00AD0CD8"/>
    <w:rsid w:val="00AD0D83"/>
    <w:rsid w:val="00AD0E79"/>
    <w:rsid w:val="00AD0EFE"/>
    <w:rsid w:val="00AD0F9E"/>
    <w:rsid w:val="00AD1146"/>
    <w:rsid w:val="00AD115C"/>
    <w:rsid w:val="00AD1387"/>
    <w:rsid w:val="00AD14DF"/>
    <w:rsid w:val="00AD1706"/>
    <w:rsid w:val="00AD176C"/>
    <w:rsid w:val="00AD19A1"/>
    <w:rsid w:val="00AD19A2"/>
    <w:rsid w:val="00AD19E6"/>
    <w:rsid w:val="00AD1AE1"/>
    <w:rsid w:val="00AD1AEC"/>
    <w:rsid w:val="00AD1CB8"/>
    <w:rsid w:val="00AD1D38"/>
    <w:rsid w:val="00AD1E20"/>
    <w:rsid w:val="00AD1E9E"/>
    <w:rsid w:val="00AD1F7E"/>
    <w:rsid w:val="00AD2049"/>
    <w:rsid w:val="00AD23FA"/>
    <w:rsid w:val="00AD24AB"/>
    <w:rsid w:val="00AD24FE"/>
    <w:rsid w:val="00AD255A"/>
    <w:rsid w:val="00AD2568"/>
    <w:rsid w:val="00AD25A1"/>
    <w:rsid w:val="00AD2703"/>
    <w:rsid w:val="00AD294F"/>
    <w:rsid w:val="00AD2AD5"/>
    <w:rsid w:val="00AD2BF4"/>
    <w:rsid w:val="00AD2DB6"/>
    <w:rsid w:val="00AD2DB8"/>
    <w:rsid w:val="00AD2F7C"/>
    <w:rsid w:val="00AD35BA"/>
    <w:rsid w:val="00AD3944"/>
    <w:rsid w:val="00AD394E"/>
    <w:rsid w:val="00AD39BA"/>
    <w:rsid w:val="00AD3A4F"/>
    <w:rsid w:val="00AD3C7E"/>
    <w:rsid w:val="00AD3D5D"/>
    <w:rsid w:val="00AD3DFC"/>
    <w:rsid w:val="00AD3F2C"/>
    <w:rsid w:val="00AD3F35"/>
    <w:rsid w:val="00AD40C9"/>
    <w:rsid w:val="00AD40CB"/>
    <w:rsid w:val="00AD41F8"/>
    <w:rsid w:val="00AD473C"/>
    <w:rsid w:val="00AD484F"/>
    <w:rsid w:val="00AD4A39"/>
    <w:rsid w:val="00AD4AA0"/>
    <w:rsid w:val="00AD4AC9"/>
    <w:rsid w:val="00AD4D58"/>
    <w:rsid w:val="00AD5039"/>
    <w:rsid w:val="00AD5098"/>
    <w:rsid w:val="00AD53E9"/>
    <w:rsid w:val="00AD5593"/>
    <w:rsid w:val="00AD56A7"/>
    <w:rsid w:val="00AD56D4"/>
    <w:rsid w:val="00AD56FC"/>
    <w:rsid w:val="00AD57BC"/>
    <w:rsid w:val="00AD5831"/>
    <w:rsid w:val="00AD5955"/>
    <w:rsid w:val="00AD5957"/>
    <w:rsid w:val="00AD595D"/>
    <w:rsid w:val="00AD599A"/>
    <w:rsid w:val="00AD5B59"/>
    <w:rsid w:val="00AD5BC3"/>
    <w:rsid w:val="00AD5C29"/>
    <w:rsid w:val="00AD6024"/>
    <w:rsid w:val="00AD6069"/>
    <w:rsid w:val="00AD6093"/>
    <w:rsid w:val="00AD60BE"/>
    <w:rsid w:val="00AD643A"/>
    <w:rsid w:val="00AD6457"/>
    <w:rsid w:val="00AD64E6"/>
    <w:rsid w:val="00AD6534"/>
    <w:rsid w:val="00AD65D9"/>
    <w:rsid w:val="00AD695A"/>
    <w:rsid w:val="00AD695E"/>
    <w:rsid w:val="00AD69B9"/>
    <w:rsid w:val="00AD6B11"/>
    <w:rsid w:val="00AD6B16"/>
    <w:rsid w:val="00AD6C8D"/>
    <w:rsid w:val="00AD6D39"/>
    <w:rsid w:val="00AD6E0D"/>
    <w:rsid w:val="00AD6E9D"/>
    <w:rsid w:val="00AD6EF8"/>
    <w:rsid w:val="00AD6F50"/>
    <w:rsid w:val="00AD6FEE"/>
    <w:rsid w:val="00AD7152"/>
    <w:rsid w:val="00AD720E"/>
    <w:rsid w:val="00AD7403"/>
    <w:rsid w:val="00AD744F"/>
    <w:rsid w:val="00AD74F3"/>
    <w:rsid w:val="00AD75CA"/>
    <w:rsid w:val="00AD7614"/>
    <w:rsid w:val="00AD7778"/>
    <w:rsid w:val="00AD7863"/>
    <w:rsid w:val="00AD7960"/>
    <w:rsid w:val="00AD79D1"/>
    <w:rsid w:val="00AD7A19"/>
    <w:rsid w:val="00AD7CD5"/>
    <w:rsid w:val="00AD7DA8"/>
    <w:rsid w:val="00AD7E98"/>
    <w:rsid w:val="00AE0120"/>
    <w:rsid w:val="00AE0192"/>
    <w:rsid w:val="00AE024C"/>
    <w:rsid w:val="00AE0254"/>
    <w:rsid w:val="00AE0261"/>
    <w:rsid w:val="00AE035D"/>
    <w:rsid w:val="00AE0515"/>
    <w:rsid w:val="00AE0784"/>
    <w:rsid w:val="00AE07B5"/>
    <w:rsid w:val="00AE0838"/>
    <w:rsid w:val="00AE08C6"/>
    <w:rsid w:val="00AE09DD"/>
    <w:rsid w:val="00AE0B61"/>
    <w:rsid w:val="00AE0B63"/>
    <w:rsid w:val="00AE0B6C"/>
    <w:rsid w:val="00AE0D1E"/>
    <w:rsid w:val="00AE0E2C"/>
    <w:rsid w:val="00AE0E4A"/>
    <w:rsid w:val="00AE1198"/>
    <w:rsid w:val="00AE14B4"/>
    <w:rsid w:val="00AE1570"/>
    <w:rsid w:val="00AE15D3"/>
    <w:rsid w:val="00AE16E9"/>
    <w:rsid w:val="00AE17A0"/>
    <w:rsid w:val="00AE18DD"/>
    <w:rsid w:val="00AE1991"/>
    <w:rsid w:val="00AE1D69"/>
    <w:rsid w:val="00AE1F24"/>
    <w:rsid w:val="00AE2013"/>
    <w:rsid w:val="00AE20F9"/>
    <w:rsid w:val="00AE21C3"/>
    <w:rsid w:val="00AE231F"/>
    <w:rsid w:val="00AE23FB"/>
    <w:rsid w:val="00AE25B0"/>
    <w:rsid w:val="00AE2816"/>
    <w:rsid w:val="00AE2969"/>
    <w:rsid w:val="00AE2974"/>
    <w:rsid w:val="00AE2A82"/>
    <w:rsid w:val="00AE2BFB"/>
    <w:rsid w:val="00AE2CC2"/>
    <w:rsid w:val="00AE2EAB"/>
    <w:rsid w:val="00AE2EC5"/>
    <w:rsid w:val="00AE2F18"/>
    <w:rsid w:val="00AE30B7"/>
    <w:rsid w:val="00AE30CB"/>
    <w:rsid w:val="00AE3102"/>
    <w:rsid w:val="00AE31BC"/>
    <w:rsid w:val="00AE324E"/>
    <w:rsid w:val="00AE3840"/>
    <w:rsid w:val="00AE385F"/>
    <w:rsid w:val="00AE3AC8"/>
    <w:rsid w:val="00AE3D1F"/>
    <w:rsid w:val="00AE3F63"/>
    <w:rsid w:val="00AE3F81"/>
    <w:rsid w:val="00AE4095"/>
    <w:rsid w:val="00AE4126"/>
    <w:rsid w:val="00AE4138"/>
    <w:rsid w:val="00AE43D8"/>
    <w:rsid w:val="00AE4471"/>
    <w:rsid w:val="00AE44DB"/>
    <w:rsid w:val="00AE458C"/>
    <w:rsid w:val="00AE46BC"/>
    <w:rsid w:val="00AE4895"/>
    <w:rsid w:val="00AE4A5B"/>
    <w:rsid w:val="00AE4B39"/>
    <w:rsid w:val="00AE4B45"/>
    <w:rsid w:val="00AE4B61"/>
    <w:rsid w:val="00AE4B72"/>
    <w:rsid w:val="00AE4C20"/>
    <w:rsid w:val="00AE4D8A"/>
    <w:rsid w:val="00AE4E82"/>
    <w:rsid w:val="00AE51FF"/>
    <w:rsid w:val="00AE525D"/>
    <w:rsid w:val="00AE532C"/>
    <w:rsid w:val="00AE536B"/>
    <w:rsid w:val="00AE537D"/>
    <w:rsid w:val="00AE54D4"/>
    <w:rsid w:val="00AE57EB"/>
    <w:rsid w:val="00AE59E8"/>
    <w:rsid w:val="00AE5A96"/>
    <w:rsid w:val="00AE5B6F"/>
    <w:rsid w:val="00AE5BC2"/>
    <w:rsid w:val="00AE5C5A"/>
    <w:rsid w:val="00AE5C99"/>
    <w:rsid w:val="00AE5D2E"/>
    <w:rsid w:val="00AE5DAC"/>
    <w:rsid w:val="00AE6109"/>
    <w:rsid w:val="00AE6157"/>
    <w:rsid w:val="00AE61BA"/>
    <w:rsid w:val="00AE6388"/>
    <w:rsid w:val="00AE6445"/>
    <w:rsid w:val="00AE6457"/>
    <w:rsid w:val="00AE64AA"/>
    <w:rsid w:val="00AE65B3"/>
    <w:rsid w:val="00AE66C9"/>
    <w:rsid w:val="00AE66FD"/>
    <w:rsid w:val="00AE673D"/>
    <w:rsid w:val="00AE6871"/>
    <w:rsid w:val="00AE68DF"/>
    <w:rsid w:val="00AE68E5"/>
    <w:rsid w:val="00AE69FB"/>
    <w:rsid w:val="00AE6A1C"/>
    <w:rsid w:val="00AE6C6E"/>
    <w:rsid w:val="00AE6C94"/>
    <w:rsid w:val="00AE6E67"/>
    <w:rsid w:val="00AE6FF6"/>
    <w:rsid w:val="00AE725F"/>
    <w:rsid w:val="00AE7272"/>
    <w:rsid w:val="00AE73EA"/>
    <w:rsid w:val="00AE73F6"/>
    <w:rsid w:val="00AE73FC"/>
    <w:rsid w:val="00AE760B"/>
    <w:rsid w:val="00AE7779"/>
    <w:rsid w:val="00AE783B"/>
    <w:rsid w:val="00AE7C7A"/>
    <w:rsid w:val="00AE7CE2"/>
    <w:rsid w:val="00AE7D17"/>
    <w:rsid w:val="00AE7E11"/>
    <w:rsid w:val="00AE7E7E"/>
    <w:rsid w:val="00AF00A5"/>
    <w:rsid w:val="00AF0440"/>
    <w:rsid w:val="00AF0632"/>
    <w:rsid w:val="00AF079B"/>
    <w:rsid w:val="00AF094A"/>
    <w:rsid w:val="00AF0B31"/>
    <w:rsid w:val="00AF0ED0"/>
    <w:rsid w:val="00AF101E"/>
    <w:rsid w:val="00AF10AB"/>
    <w:rsid w:val="00AF10AF"/>
    <w:rsid w:val="00AF1333"/>
    <w:rsid w:val="00AF13D4"/>
    <w:rsid w:val="00AF1909"/>
    <w:rsid w:val="00AF19BC"/>
    <w:rsid w:val="00AF1A1A"/>
    <w:rsid w:val="00AF1EDE"/>
    <w:rsid w:val="00AF1F8E"/>
    <w:rsid w:val="00AF210E"/>
    <w:rsid w:val="00AF21E1"/>
    <w:rsid w:val="00AF22A7"/>
    <w:rsid w:val="00AF22FD"/>
    <w:rsid w:val="00AF2431"/>
    <w:rsid w:val="00AF2458"/>
    <w:rsid w:val="00AF2A62"/>
    <w:rsid w:val="00AF2B23"/>
    <w:rsid w:val="00AF2BED"/>
    <w:rsid w:val="00AF2C35"/>
    <w:rsid w:val="00AF2E65"/>
    <w:rsid w:val="00AF2E69"/>
    <w:rsid w:val="00AF2EBD"/>
    <w:rsid w:val="00AF2F37"/>
    <w:rsid w:val="00AF3084"/>
    <w:rsid w:val="00AF309D"/>
    <w:rsid w:val="00AF3329"/>
    <w:rsid w:val="00AF3376"/>
    <w:rsid w:val="00AF345C"/>
    <w:rsid w:val="00AF3982"/>
    <w:rsid w:val="00AF3A77"/>
    <w:rsid w:val="00AF3BBC"/>
    <w:rsid w:val="00AF3CB8"/>
    <w:rsid w:val="00AF3E7C"/>
    <w:rsid w:val="00AF4073"/>
    <w:rsid w:val="00AF452B"/>
    <w:rsid w:val="00AF4736"/>
    <w:rsid w:val="00AF4842"/>
    <w:rsid w:val="00AF489A"/>
    <w:rsid w:val="00AF4AB9"/>
    <w:rsid w:val="00AF4B78"/>
    <w:rsid w:val="00AF4BBC"/>
    <w:rsid w:val="00AF4CD2"/>
    <w:rsid w:val="00AF4DA1"/>
    <w:rsid w:val="00AF4DBA"/>
    <w:rsid w:val="00AF4EAD"/>
    <w:rsid w:val="00AF4F5D"/>
    <w:rsid w:val="00AF5178"/>
    <w:rsid w:val="00AF517D"/>
    <w:rsid w:val="00AF5365"/>
    <w:rsid w:val="00AF5512"/>
    <w:rsid w:val="00AF5602"/>
    <w:rsid w:val="00AF5624"/>
    <w:rsid w:val="00AF57F1"/>
    <w:rsid w:val="00AF5A2C"/>
    <w:rsid w:val="00AF5BDE"/>
    <w:rsid w:val="00AF5E4E"/>
    <w:rsid w:val="00AF5E5E"/>
    <w:rsid w:val="00AF5EA0"/>
    <w:rsid w:val="00AF5EA5"/>
    <w:rsid w:val="00AF5EEE"/>
    <w:rsid w:val="00AF5FDA"/>
    <w:rsid w:val="00AF6063"/>
    <w:rsid w:val="00AF609E"/>
    <w:rsid w:val="00AF61F2"/>
    <w:rsid w:val="00AF6455"/>
    <w:rsid w:val="00AF648E"/>
    <w:rsid w:val="00AF65BB"/>
    <w:rsid w:val="00AF66A0"/>
    <w:rsid w:val="00AF688B"/>
    <w:rsid w:val="00AF68F7"/>
    <w:rsid w:val="00AF6C9B"/>
    <w:rsid w:val="00AF6CF4"/>
    <w:rsid w:val="00AF6E0A"/>
    <w:rsid w:val="00AF6E84"/>
    <w:rsid w:val="00AF6F15"/>
    <w:rsid w:val="00AF6FBC"/>
    <w:rsid w:val="00AF7093"/>
    <w:rsid w:val="00AF70A2"/>
    <w:rsid w:val="00AF72B0"/>
    <w:rsid w:val="00AF737D"/>
    <w:rsid w:val="00AF7A0F"/>
    <w:rsid w:val="00AF7A1F"/>
    <w:rsid w:val="00AF7B93"/>
    <w:rsid w:val="00AF7BA0"/>
    <w:rsid w:val="00B000FA"/>
    <w:rsid w:val="00B00345"/>
    <w:rsid w:val="00B0036E"/>
    <w:rsid w:val="00B0039A"/>
    <w:rsid w:val="00B003A6"/>
    <w:rsid w:val="00B00410"/>
    <w:rsid w:val="00B005F4"/>
    <w:rsid w:val="00B006A2"/>
    <w:rsid w:val="00B006B9"/>
    <w:rsid w:val="00B006E8"/>
    <w:rsid w:val="00B007E9"/>
    <w:rsid w:val="00B008CC"/>
    <w:rsid w:val="00B00912"/>
    <w:rsid w:val="00B00A9C"/>
    <w:rsid w:val="00B00B88"/>
    <w:rsid w:val="00B00C9D"/>
    <w:rsid w:val="00B00DB0"/>
    <w:rsid w:val="00B01038"/>
    <w:rsid w:val="00B010DB"/>
    <w:rsid w:val="00B0147D"/>
    <w:rsid w:val="00B014AE"/>
    <w:rsid w:val="00B01508"/>
    <w:rsid w:val="00B016A4"/>
    <w:rsid w:val="00B01700"/>
    <w:rsid w:val="00B017AF"/>
    <w:rsid w:val="00B018E1"/>
    <w:rsid w:val="00B01B9F"/>
    <w:rsid w:val="00B01D97"/>
    <w:rsid w:val="00B01EE0"/>
    <w:rsid w:val="00B01F0F"/>
    <w:rsid w:val="00B01F52"/>
    <w:rsid w:val="00B01F94"/>
    <w:rsid w:val="00B0247B"/>
    <w:rsid w:val="00B02552"/>
    <w:rsid w:val="00B02880"/>
    <w:rsid w:val="00B02DFE"/>
    <w:rsid w:val="00B02E11"/>
    <w:rsid w:val="00B031BA"/>
    <w:rsid w:val="00B031D6"/>
    <w:rsid w:val="00B03516"/>
    <w:rsid w:val="00B03649"/>
    <w:rsid w:val="00B03709"/>
    <w:rsid w:val="00B038B8"/>
    <w:rsid w:val="00B03941"/>
    <w:rsid w:val="00B03A2E"/>
    <w:rsid w:val="00B03D47"/>
    <w:rsid w:val="00B03F64"/>
    <w:rsid w:val="00B03F83"/>
    <w:rsid w:val="00B0402B"/>
    <w:rsid w:val="00B0403C"/>
    <w:rsid w:val="00B0408D"/>
    <w:rsid w:val="00B040DE"/>
    <w:rsid w:val="00B04412"/>
    <w:rsid w:val="00B044B2"/>
    <w:rsid w:val="00B044DD"/>
    <w:rsid w:val="00B04681"/>
    <w:rsid w:val="00B0490D"/>
    <w:rsid w:val="00B0490F"/>
    <w:rsid w:val="00B0498D"/>
    <w:rsid w:val="00B049B7"/>
    <w:rsid w:val="00B04B31"/>
    <w:rsid w:val="00B04E07"/>
    <w:rsid w:val="00B04F55"/>
    <w:rsid w:val="00B05250"/>
    <w:rsid w:val="00B053F3"/>
    <w:rsid w:val="00B057F4"/>
    <w:rsid w:val="00B059F0"/>
    <w:rsid w:val="00B05C11"/>
    <w:rsid w:val="00B05C89"/>
    <w:rsid w:val="00B05F62"/>
    <w:rsid w:val="00B0601B"/>
    <w:rsid w:val="00B06052"/>
    <w:rsid w:val="00B0610A"/>
    <w:rsid w:val="00B061C1"/>
    <w:rsid w:val="00B061CE"/>
    <w:rsid w:val="00B06216"/>
    <w:rsid w:val="00B06523"/>
    <w:rsid w:val="00B06603"/>
    <w:rsid w:val="00B067AB"/>
    <w:rsid w:val="00B06B41"/>
    <w:rsid w:val="00B06C08"/>
    <w:rsid w:val="00B06CC0"/>
    <w:rsid w:val="00B06D0C"/>
    <w:rsid w:val="00B07212"/>
    <w:rsid w:val="00B07223"/>
    <w:rsid w:val="00B07276"/>
    <w:rsid w:val="00B073FA"/>
    <w:rsid w:val="00B07653"/>
    <w:rsid w:val="00B079DB"/>
    <w:rsid w:val="00B07A1F"/>
    <w:rsid w:val="00B07D5A"/>
    <w:rsid w:val="00B07D95"/>
    <w:rsid w:val="00B07DAD"/>
    <w:rsid w:val="00B07ED5"/>
    <w:rsid w:val="00B07ED6"/>
    <w:rsid w:val="00B07FA1"/>
    <w:rsid w:val="00B07FD8"/>
    <w:rsid w:val="00B1015A"/>
    <w:rsid w:val="00B1019F"/>
    <w:rsid w:val="00B1022E"/>
    <w:rsid w:val="00B103BC"/>
    <w:rsid w:val="00B104E3"/>
    <w:rsid w:val="00B1064F"/>
    <w:rsid w:val="00B10983"/>
    <w:rsid w:val="00B10A8A"/>
    <w:rsid w:val="00B10CED"/>
    <w:rsid w:val="00B11220"/>
    <w:rsid w:val="00B114DC"/>
    <w:rsid w:val="00B116BC"/>
    <w:rsid w:val="00B1174F"/>
    <w:rsid w:val="00B118A8"/>
    <w:rsid w:val="00B11AA3"/>
    <w:rsid w:val="00B11B1E"/>
    <w:rsid w:val="00B11B75"/>
    <w:rsid w:val="00B11BE4"/>
    <w:rsid w:val="00B11D4E"/>
    <w:rsid w:val="00B11E96"/>
    <w:rsid w:val="00B11FFF"/>
    <w:rsid w:val="00B120C3"/>
    <w:rsid w:val="00B12123"/>
    <w:rsid w:val="00B121C8"/>
    <w:rsid w:val="00B12287"/>
    <w:rsid w:val="00B12311"/>
    <w:rsid w:val="00B12513"/>
    <w:rsid w:val="00B1253B"/>
    <w:rsid w:val="00B12561"/>
    <w:rsid w:val="00B125EB"/>
    <w:rsid w:val="00B12654"/>
    <w:rsid w:val="00B12779"/>
    <w:rsid w:val="00B1277D"/>
    <w:rsid w:val="00B12854"/>
    <w:rsid w:val="00B128B9"/>
    <w:rsid w:val="00B129A2"/>
    <w:rsid w:val="00B129A6"/>
    <w:rsid w:val="00B12A6C"/>
    <w:rsid w:val="00B12AE6"/>
    <w:rsid w:val="00B12C71"/>
    <w:rsid w:val="00B12FA1"/>
    <w:rsid w:val="00B1310F"/>
    <w:rsid w:val="00B1316B"/>
    <w:rsid w:val="00B1329D"/>
    <w:rsid w:val="00B132B5"/>
    <w:rsid w:val="00B132C0"/>
    <w:rsid w:val="00B1344B"/>
    <w:rsid w:val="00B1354B"/>
    <w:rsid w:val="00B1360F"/>
    <w:rsid w:val="00B13780"/>
    <w:rsid w:val="00B1383E"/>
    <w:rsid w:val="00B13B55"/>
    <w:rsid w:val="00B13C4D"/>
    <w:rsid w:val="00B13DF5"/>
    <w:rsid w:val="00B13E81"/>
    <w:rsid w:val="00B13EFD"/>
    <w:rsid w:val="00B14111"/>
    <w:rsid w:val="00B141CF"/>
    <w:rsid w:val="00B142A8"/>
    <w:rsid w:val="00B142D1"/>
    <w:rsid w:val="00B143D5"/>
    <w:rsid w:val="00B145B9"/>
    <w:rsid w:val="00B14641"/>
    <w:rsid w:val="00B14664"/>
    <w:rsid w:val="00B14757"/>
    <w:rsid w:val="00B148EA"/>
    <w:rsid w:val="00B14EE2"/>
    <w:rsid w:val="00B14F30"/>
    <w:rsid w:val="00B14F71"/>
    <w:rsid w:val="00B151D8"/>
    <w:rsid w:val="00B152F6"/>
    <w:rsid w:val="00B155BE"/>
    <w:rsid w:val="00B15609"/>
    <w:rsid w:val="00B1568A"/>
    <w:rsid w:val="00B15821"/>
    <w:rsid w:val="00B158AD"/>
    <w:rsid w:val="00B158F7"/>
    <w:rsid w:val="00B1599B"/>
    <w:rsid w:val="00B15A4A"/>
    <w:rsid w:val="00B15D32"/>
    <w:rsid w:val="00B15E34"/>
    <w:rsid w:val="00B15E70"/>
    <w:rsid w:val="00B15FD1"/>
    <w:rsid w:val="00B160B2"/>
    <w:rsid w:val="00B160EC"/>
    <w:rsid w:val="00B163BC"/>
    <w:rsid w:val="00B165BD"/>
    <w:rsid w:val="00B166BC"/>
    <w:rsid w:val="00B166C4"/>
    <w:rsid w:val="00B16736"/>
    <w:rsid w:val="00B16793"/>
    <w:rsid w:val="00B168A9"/>
    <w:rsid w:val="00B169CC"/>
    <w:rsid w:val="00B16CF8"/>
    <w:rsid w:val="00B16E60"/>
    <w:rsid w:val="00B16E6E"/>
    <w:rsid w:val="00B16EC4"/>
    <w:rsid w:val="00B16EEC"/>
    <w:rsid w:val="00B16F0C"/>
    <w:rsid w:val="00B17317"/>
    <w:rsid w:val="00B1743A"/>
    <w:rsid w:val="00B17457"/>
    <w:rsid w:val="00B174F9"/>
    <w:rsid w:val="00B17540"/>
    <w:rsid w:val="00B176DE"/>
    <w:rsid w:val="00B17769"/>
    <w:rsid w:val="00B1799C"/>
    <w:rsid w:val="00B17A04"/>
    <w:rsid w:val="00B17A85"/>
    <w:rsid w:val="00B17CD9"/>
    <w:rsid w:val="00B17D9A"/>
    <w:rsid w:val="00B17E75"/>
    <w:rsid w:val="00B20276"/>
    <w:rsid w:val="00B20386"/>
    <w:rsid w:val="00B2039B"/>
    <w:rsid w:val="00B20471"/>
    <w:rsid w:val="00B2049A"/>
    <w:rsid w:val="00B20521"/>
    <w:rsid w:val="00B20708"/>
    <w:rsid w:val="00B20798"/>
    <w:rsid w:val="00B207F3"/>
    <w:rsid w:val="00B20B05"/>
    <w:rsid w:val="00B20B93"/>
    <w:rsid w:val="00B20BB0"/>
    <w:rsid w:val="00B20BBF"/>
    <w:rsid w:val="00B20C58"/>
    <w:rsid w:val="00B20DC1"/>
    <w:rsid w:val="00B20EEC"/>
    <w:rsid w:val="00B2100B"/>
    <w:rsid w:val="00B210EA"/>
    <w:rsid w:val="00B2123A"/>
    <w:rsid w:val="00B21299"/>
    <w:rsid w:val="00B21363"/>
    <w:rsid w:val="00B214AA"/>
    <w:rsid w:val="00B21532"/>
    <w:rsid w:val="00B21651"/>
    <w:rsid w:val="00B21AB6"/>
    <w:rsid w:val="00B21AE9"/>
    <w:rsid w:val="00B21B4A"/>
    <w:rsid w:val="00B21D11"/>
    <w:rsid w:val="00B21F3D"/>
    <w:rsid w:val="00B21F8D"/>
    <w:rsid w:val="00B22220"/>
    <w:rsid w:val="00B22231"/>
    <w:rsid w:val="00B22478"/>
    <w:rsid w:val="00B22559"/>
    <w:rsid w:val="00B225A8"/>
    <w:rsid w:val="00B2273C"/>
    <w:rsid w:val="00B22AFF"/>
    <w:rsid w:val="00B22C2C"/>
    <w:rsid w:val="00B22C57"/>
    <w:rsid w:val="00B22C7F"/>
    <w:rsid w:val="00B22DC8"/>
    <w:rsid w:val="00B22F43"/>
    <w:rsid w:val="00B23059"/>
    <w:rsid w:val="00B23115"/>
    <w:rsid w:val="00B233C0"/>
    <w:rsid w:val="00B23416"/>
    <w:rsid w:val="00B23423"/>
    <w:rsid w:val="00B23443"/>
    <w:rsid w:val="00B235B7"/>
    <w:rsid w:val="00B235DD"/>
    <w:rsid w:val="00B2369A"/>
    <w:rsid w:val="00B236A4"/>
    <w:rsid w:val="00B23709"/>
    <w:rsid w:val="00B2396F"/>
    <w:rsid w:val="00B23997"/>
    <w:rsid w:val="00B23A30"/>
    <w:rsid w:val="00B23A7B"/>
    <w:rsid w:val="00B23BFC"/>
    <w:rsid w:val="00B23D2E"/>
    <w:rsid w:val="00B23D43"/>
    <w:rsid w:val="00B23DD4"/>
    <w:rsid w:val="00B23E4F"/>
    <w:rsid w:val="00B23E57"/>
    <w:rsid w:val="00B24113"/>
    <w:rsid w:val="00B242CC"/>
    <w:rsid w:val="00B245AC"/>
    <w:rsid w:val="00B24807"/>
    <w:rsid w:val="00B24B82"/>
    <w:rsid w:val="00B24CC8"/>
    <w:rsid w:val="00B24D36"/>
    <w:rsid w:val="00B24DE4"/>
    <w:rsid w:val="00B24DE8"/>
    <w:rsid w:val="00B24ED7"/>
    <w:rsid w:val="00B24F08"/>
    <w:rsid w:val="00B250C4"/>
    <w:rsid w:val="00B250D5"/>
    <w:rsid w:val="00B25182"/>
    <w:rsid w:val="00B25249"/>
    <w:rsid w:val="00B252F7"/>
    <w:rsid w:val="00B25366"/>
    <w:rsid w:val="00B25397"/>
    <w:rsid w:val="00B253E2"/>
    <w:rsid w:val="00B25728"/>
    <w:rsid w:val="00B2573E"/>
    <w:rsid w:val="00B258AD"/>
    <w:rsid w:val="00B259DD"/>
    <w:rsid w:val="00B25A76"/>
    <w:rsid w:val="00B25C0B"/>
    <w:rsid w:val="00B25CA7"/>
    <w:rsid w:val="00B25E85"/>
    <w:rsid w:val="00B25FA8"/>
    <w:rsid w:val="00B26083"/>
    <w:rsid w:val="00B26110"/>
    <w:rsid w:val="00B26337"/>
    <w:rsid w:val="00B26380"/>
    <w:rsid w:val="00B264C2"/>
    <w:rsid w:val="00B26533"/>
    <w:rsid w:val="00B2656F"/>
    <w:rsid w:val="00B267F3"/>
    <w:rsid w:val="00B26890"/>
    <w:rsid w:val="00B269B7"/>
    <w:rsid w:val="00B26BF9"/>
    <w:rsid w:val="00B27242"/>
    <w:rsid w:val="00B274F1"/>
    <w:rsid w:val="00B27552"/>
    <w:rsid w:val="00B27679"/>
    <w:rsid w:val="00B2770C"/>
    <w:rsid w:val="00B27922"/>
    <w:rsid w:val="00B27D46"/>
    <w:rsid w:val="00B27E9D"/>
    <w:rsid w:val="00B27F92"/>
    <w:rsid w:val="00B300DB"/>
    <w:rsid w:val="00B300FE"/>
    <w:rsid w:val="00B30241"/>
    <w:rsid w:val="00B302A2"/>
    <w:rsid w:val="00B30406"/>
    <w:rsid w:val="00B3045D"/>
    <w:rsid w:val="00B30673"/>
    <w:rsid w:val="00B30682"/>
    <w:rsid w:val="00B306A7"/>
    <w:rsid w:val="00B30823"/>
    <w:rsid w:val="00B3083A"/>
    <w:rsid w:val="00B30918"/>
    <w:rsid w:val="00B30A95"/>
    <w:rsid w:val="00B30AF8"/>
    <w:rsid w:val="00B30B3E"/>
    <w:rsid w:val="00B30F4A"/>
    <w:rsid w:val="00B30FC3"/>
    <w:rsid w:val="00B3102F"/>
    <w:rsid w:val="00B310C8"/>
    <w:rsid w:val="00B312BF"/>
    <w:rsid w:val="00B31393"/>
    <w:rsid w:val="00B314A5"/>
    <w:rsid w:val="00B316C1"/>
    <w:rsid w:val="00B3182B"/>
    <w:rsid w:val="00B31893"/>
    <w:rsid w:val="00B318A4"/>
    <w:rsid w:val="00B31CC3"/>
    <w:rsid w:val="00B31CC9"/>
    <w:rsid w:val="00B31D82"/>
    <w:rsid w:val="00B31E7D"/>
    <w:rsid w:val="00B31FAF"/>
    <w:rsid w:val="00B322B5"/>
    <w:rsid w:val="00B32594"/>
    <w:rsid w:val="00B327E7"/>
    <w:rsid w:val="00B329A1"/>
    <w:rsid w:val="00B32BA2"/>
    <w:rsid w:val="00B32DCC"/>
    <w:rsid w:val="00B32DE3"/>
    <w:rsid w:val="00B32E56"/>
    <w:rsid w:val="00B33655"/>
    <w:rsid w:val="00B3367E"/>
    <w:rsid w:val="00B33747"/>
    <w:rsid w:val="00B3378C"/>
    <w:rsid w:val="00B33928"/>
    <w:rsid w:val="00B33A68"/>
    <w:rsid w:val="00B33A7D"/>
    <w:rsid w:val="00B33B3B"/>
    <w:rsid w:val="00B33DE5"/>
    <w:rsid w:val="00B33F0D"/>
    <w:rsid w:val="00B3404F"/>
    <w:rsid w:val="00B340F8"/>
    <w:rsid w:val="00B34154"/>
    <w:rsid w:val="00B3419E"/>
    <w:rsid w:val="00B34350"/>
    <w:rsid w:val="00B3441F"/>
    <w:rsid w:val="00B34493"/>
    <w:rsid w:val="00B3451F"/>
    <w:rsid w:val="00B34610"/>
    <w:rsid w:val="00B3467C"/>
    <w:rsid w:val="00B3481C"/>
    <w:rsid w:val="00B349CF"/>
    <w:rsid w:val="00B34D4A"/>
    <w:rsid w:val="00B34E90"/>
    <w:rsid w:val="00B34F28"/>
    <w:rsid w:val="00B34FE0"/>
    <w:rsid w:val="00B3504B"/>
    <w:rsid w:val="00B35091"/>
    <w:rsid w:val="00B351F8"/>
    <w:rsid w:val="00B35436"/>
    <w:rsid w:val="00B35585"/>
    <w:rsid w:val="00B357EE"/>
    <w:rsid w:val="00B3588B"/>
    <w:rsid w:val="00B358AB"/>
    <w:rsid w:val="00B35BC1"/>
    <w:rsid w:val="00B35C72"/>
    <w:rsid w:val="00B35CF7"/>
    <w:rsid w:val="00B35E41"/>
    <w:rsid w:val="00B35F52"/>
    <w:rsid w:val="00B36019"/>
    <w:rsid w:val="00B36211"/>
    <w:rsid w:val="00B364D6"/>
    <w:rsid w:val="00B367AF"/>
    <w:rsid w:val="00B36A79"/>
    <w:rsid w:val="00B36B36"/>
    <w:rsid w:val="00B36B41"/>
    <w:rsid w:val="00B36D41"/>
    <w:rsid w:val="00B36DC1"/>
    <w:rsid w:val="00B36E43"/>
    <w:rsid w:val="00B36E8D"/>
    <w:rsid w:val="00B36FF3"/>
    <w:rsid w:val="00B37086"/>
    <w:rsid w:val="00B3717D"/>
    <w:rsid w:val="00B3748E"/>
    <w:rsid w:val="00B374AC"/>
    <w:rsid w:val="00B37506"/>
    <w:rsid w:val="00B375F2"/>
    <w:rsid w:val="00B37868"/>
    <w:rsid w:val="00B37BE1"/>
    <w:rsid w:val="00B37BE3"/>
    <w:rsid w:val="00B37C5C"/>
    <w:rsid w:val="00B37C72"/>
    <w:rsid w:val="00B37E3B"/>
    <w:rsid w:val="00B37FA1"/>
    <w:rsid w:val="00B401F7"/>
    <w:rsid w:val="00B403AF"/>
    <w:rsid w:val="00B40720"/>
    <w:rsid w:val="00B40738"/>
    <w:rsid w:val="00B408FA"/>
    <w:rsid w:val="00B4092F"/>
    <w:rsid w:val="00B409E5"/>
    <w:rsid w:val="00B40A96"/>
    <w:rsid w:val="00B40B64"/>
    <w:rsid w:val="00B40BB0"/>
    <w:rsid w:val="00B40C2D"/>
    <w:rsid w:val="00B40C2E"/>
    <w:rsid w:val="00B40DDE"/>
    <w:rsid w:val="00B40E1E"/>
    <w:rsid w:val="00B40E50"/>
    <w:rsid w:val="00B40E80"/>
    <w:rsid w:val="00B40ED3"/>
    <w:rsid w:val="00B40F16"/>
    <w:rsid w:val="00B40FEF"/>
    <w:rsid w:val="00B41143"/>
    <w:rsid w:val="00B4127A"/>
    <w:rsid w:val="00B4137A"/>
    <w:rsid w:val="00B413B9"/>
    <w:rsid w:val="00B41419"/>
    <w:rsid w:val="00B4181D"/>
    <w:rsid w:val="00B418F6"/>
    <w:rsid w:val="00B418FC"/>
    <w:rsid w:val="00B419C8"/>
    <w:rsid w:val="00B41A8F"/>
    <w:rsid w:val="00B41DE0"/>
    <w:rsid w:val="00B41E8B"/>
    <w:rsid w:val="00B41EF3"/>
    <w:rsid w:val="00B41F3A"/>
    <w:rsid w:val="00B4208F"/>
    <w:rsid w:val="00B422A3"/>
    <w:rsid w:val="00B4238D"/>
    <w:rsid w:val="00B42433"/>
    <w:rsid w:val="00B42442"/>
    <w:rsid w:val="00B42612"/>
    <w:rsid w:val="00B42714"/>
    <w:rsid w:val="00B42771"/>
    <w:rsid w:val="00B427FF"/>
    <w:rsid w:val="00B429D7"/>
    <w:rsid w:val="00B42A3A"/>
    <w:rsid w:val="00B42B88"/>
    <w:rsid w:val="00B42C2E"/>
    <w:rsid w:val="00B42DB3"/>
    <w:rsid w:val="00B42DD2"/>
    <w:rsid w:val="00B4314E"/>
    <w:rsid w:val="00B43342"/>
    <w:rsid w:val="00B434B2"/>
    <w:rsid w:val="00B434CE"/>
    <w:rsid w:val="00B435CF"/>
    <w:rsid w:val="00B435E0"/>
    <w:rsid w:val="00B4360D"/>
    <w:rsid w:val="00B43614"/>
    <w:rsid w:val="00B4361D"/>
    <w:rsid w:val="00B43671"/>
    <w:rsid w:val="00B437C7"/>
    <w:rsid w:val="00B438F7"/>
    <w:rsid w:val="00B43B36"/>
    <w:rsid w:val="00B43D0A"/>
    <w:rsid w:val="00B43D50"/>
    <w:rsid w:val="00B43E87"/>
    <w:rsid w:val="00B43E8F"/>
    <w:rsid w:val="00B440C5"/>
    <w:rsid w:val="00B44175"/>
    <w:rsid w:val="00B443CB"/>
    <w:rsid w:val="00B443F0"/>
    <w:rsid w:val="00B4441B"/>
    <w:rsid w:val="00B4479C"/>
    <w:rsid w:val="00B449BE"/>
    <w:rsid w:val="00B44A03"/>
    <w:rsid w:val="00B44A82"/>
    <w:rsid w:val="00B44ADC"/>
    <w:rsid w:val="00B44B6D"/>
    <w:rsid w:val="00B44CE8"/>
    <w:rsid w:val="00B44D49"/>
    <w:rsid w:val="00B44F90"/>
    <w:rsid w:val="00B4505D"/>
    <w:rsid w:val="00B451F1"/>
    <w:rsid w:val="00B45991"/>
    <w:rsid w:val="00B45CAA"/>
    <w:rsid w:val="00B45D72"/>
    <w:rsid w:val="00B45E62"/>
    <w:rsid w:val="00B463F7"/>
    <w:rsid w:val="00B46507"/>
    <w:rsid w:val="00B46529"/>
    <w:rsid w:val="00B465B9"/>
    <w:rsid w:val="00B46692"/>
    <w:rsid w:val="00B46780"/>
    <w:rsid w:val="00B469D0"/>
    <w:rsid w:val="00B46A9A"/>
    <w:rsid w:val="00B46AF4"/>
    <w:rsid w:val="00B46AFD"/>
    <w:rsid w:val="00B46E60"/>
    <w:rsid w:val="00B4771A"/>
    <w:rsid w:val="00B47832"/>
    <w:rsid w:val="00B47B27"/>
    <w:rsid w:val="00B47B58"/>
    <w:rsid w:val="00B5020F"/>
    <w:rsid w:val="00B502B6"/>
    <w:rsid w:val="00B50446"/>
    <w:rsid w:val="00B50486"/>
    <w:rsid w:val="00B50547"/>
    <w:rsid w:val="00B505B7"/>
    <w:rsid w:val="00B5060B"/>
    <w:rsid w:val="00B507C2"/>
    <w:rsid w:val="00B50895"/>
    <w:rsid w:val="00B509C7"/>
    <w:rsid w:val="00B50A79"/>
    <w:rsid w:val="00B50AAE"/>
    <w:rsid w:val="00B50C33"/>
    <w:rsid w:val="00B50CA9"/>
    <w:rsid w:val="00B50E53"/>
    <w:rsid w:val="00B50E57"/>
    <w:rsid w:val="00B50F4C"/>
    <w:rsid w:val="00B51157"/>
    <w:rsid w:val="00B51663"/>
    <w:rsid w:val="00B516DF"/>
    <w:rsid w:val="00B518B6"/>
    <w:rsid w:val="00B51954"/>
    <w:rsid w:val="00B51CB0"/>
    <w:rsid w:val="00B51D95"/>
    <w:rsid w:val="00B51DCB"/>
    <w:rsid w:val="00B51E5A"/>
    <w:rsid w:val="00B52049"/>
    <w:rsid w:val="00B52082"/>
    <w:rsid w:val="00B5217F"/>
    <w:rsid w:val="00B521D9"/>
    <w:rsid w:val="00B52387"/>
    <w:rsid w:val="00B52410"/>
    <w:rsid w:val="00B525E8"/>
    <w:rsid w:val="00B52674"/>
    <w:rsid w:val="00B5271B"/>
    <w:rsid w:val="00B5280B"/>
    <w:rsid w:val="00B5292E"/>
    <w:rsid w:val="00B5293D"/>
    <w:rsid w:val="00B529A8"/>
    <w:rsid w:val="00B52C7B"/>
    <w:rsid w:val="00B52EC0"/>
    <w:rsid w:val="00B52F03"/>
    <w:rsid w:val="00B530F6"/>
    <w:rsid w:val="00B5310E"/>
    <w:rsid w:val="00B53169"/>
    <w:rsid w:val="00B531FA"/>
    <w:rsid w:val="00B5322F"/>
    <w:rsid w:val="00B5323D"/>
    <w:rsid w:val="00B534BA"/>
    <w:rsid w:val="00B5357B"/>
    <w:rsid w:val="00B53755"/>
    <w:rsid w:val="00B537A8"/>
    <w:rsid w:val="00B5381C"/>
    <w:rsid w:val="00B5387F"/>
    <w:rsid w:val="00B53A3C"/>
    <w:rsid w:val="00B53A41"/>
    <w:rsid w:val="00B53AEB"/>
    <w:rsid w:val="00B53D7A"/>
    <w:rsid w:val="00B540B9"/>
    <w:rsid w:val="00B540E5"/>
    <w:rsid w:val="00B54108"/>
    <w:rsid w:val="00B541B9"/>
    <w:rsid w:val="00B541ED"/>
    <w:rsid w:val="00B5428D"/>
    <w:rsid w:val="00B542B4"/>
    <w:rsid w:val="00B54332"/>
    <w:rsid w:val="00B543AD"/>
    <w:rsid w:val="00B543BF"/>
    <w:rsid w:val="00B5446D"/>
    <w:rsid w:val="00B545B4"/>
    <w:rsid w:val="00B54B43"/>
    <w:rsid w:val="00B54C4E"/>
    <w:rsid w:val="00B54D52"/>
    <w:rsid w:val="00B54DA1"/>
    <w:rsid w:val="00B54F3F"/>
    <w:rsid w:val="00B5506D"/>
    <w:rsid w:val="00B55376"/>
    <w:rsid w:val="00B553C8"/>
    <w:rsid w:val="00B5557A"/>
    <w:rsid w:val="00B555C9"/>
    <w:rsid w:val="00B55795"/>
    <w:rsid w:val="00B55797"/>
    <w:rsid w:val="00B557DA"/>
    <w:rsid w:val="00B5586F"/>
    <w:rsid w:val="00B558F4"/>
    <w:rsid w:val="00B55A42"/>
    <w:rsid w:val="00B55B3E"/>
    <w:rsid w:val="00B55B6C"/>
    <w:rsid w:val="00B55B86"/>
    <w:rsid w:val="00B55D4F"/>
    <w:rsid w:val="00B5604D"/>
    <w:rsid w:val="00B56102"/>
    <w:rsid w:val="00B56146"/>
    <w:rsid w:val="00B561C6"/>
    <w:rsid w:val="00B56217"/>
    <w:rsid w:val="00B56414"/>
    <w:rsid w:val="00B56493"/>
    <w:rsid w:val="00B564FD"/>
    <w:rsid w:val="00B565FF"/>
    <w:rsid w:val="00B569F5"/>
    <w:rsid w:val="00B56CAE"/>
    <w:rsid w:val="00B56D32"/>
    <w:rsid w:val="00B56DD7"/>
    <w:rsid w:val="00B56EF8"/>
    <w:rsid w:val="00B5702A"/>
    <w:rsid w:val="00B57059"/>
    <w:rsid w:val="00B57170"/>
    <w:rsid w:val="00B571BF"/>
    <w:rsid w:val="00B57279"/>
    <w:rsid w:val="00B57362"/>
    <w:rsid w:val="00B576B3"/>
    <w:rsid w:val="00B5795C"/>
    <w:rsid w:val="00B5799A"/>
    <w:rsid w:val="00B579F4"/>
    <w:rsid w:val="00B57A4F"/>
    <w:rsid w:val="00B57A99"/>
    <w:rsid w:val="00B57E23"/>
    <w:rsid w:val="00B57E5B"/>
    <w:rsid w:val="00B57E8D"/>
    <w:rsid w:val="00B57ED6"/>
    <w:rsid w:val="00B5FB82"/>
    <w:rsid w:val="00B60043"/>
    <w:rsid w:val="00B60176"/>
    <w:rsid w:val="00B60206"/>
    <w:rsid w:val="00B60320"/>
    <w:rsid w:val="00B60377"/>
    <w:rsid w:val="00B603AB"/>
    <w:rsid w:val="00B604A1"/>
    <w:rsid w:val="00B60555"/>
    <w:rsid w:val="00B6055B"/>
    <w:rsid w:val="00B605BA"/>
    <w:rsid w:val="00B605BB"/>
    <w:rsid w:val="00B605E2"/>
    <w:rsid w:val="00B606E1"/>
    <w:rsid w:val="00B60A53"/>
    <w:rsid w:val="00B60B54"/>
    <w:rsid w:val="00B60C29"/>
    <w:rsid w:val="00B60E57"/>
    <w:rsid w:val="00B60E96"/>
    <w:rsid w:val="00B60F35"/>
    <w:rsid w:val="00B60FDD"/>
    <w:rsid w:val="00B610E9"/>
    <w:rsid w:val="00B61263"/>
    <w:rsid w:val="00B612A3"/>
    <w:rsid w:val="00B61398"/>
    <w:rsid w:val="00B61472"/>
    <w:rsid w:val="00B615E9"/>
    <w:rsid w:val="00B61789"/>
    <w:rsid w:val="00B6185F"/>
    <w:rsid w:val="00B61A7E"/>
    <w:rsid w:val="00B61AA1"/>
    <w:rsid w:val="00B61C71"/>
    <w:rsid w:val="00B61D3B"/>
    <w:rsid w:val="00B61F6A"/>
    <w:rsid w:val="00B61F85"/>
    <w:rsid w:val="00B61FD6"/>
    <w:rsid w:val="00B62026"/>
    <w:rsid w:val="00B621C9"/>
    <w:rsid w:val="00B6222A"/>
    <w:rsid w:val="00B62264"/>
    <w:rsid w:val="00B62357"/>
    <w:rsid w:val="00B62384"/>
    <w:rsid w:val="00B62680"/>
    <w:rsid w:val="00B626F1"/>
    <w:rsid w:val="00B6277C"/>
    <w:rsid w:val="00B6277D"/>
    <w:rsid w:val="00B62A63"/>
    <w:rsid w:val="00B62AC7"/>
    <w:rsid w:val="00B62BCE"/>
    <w:rsid w:val="00B62E56"/>
    <w:rsid w:val="00B62EAC"/>
    <w:rsid w:val="00B62EB4"/>
    <w:rsid w:val="00B62EC5"/>
    <w:rsid w:val="00B63169"/>
    <w:rsid w:val="00B633AE"/>
    <w:rsid w:val="00B63538"/>
    <w:rsid w:val="00B63580"/>
    <w:rsid w:val="00B635DD"/>
    <w:rsid w:val="00B63633"/>
    <w:rsid w:val="00B63656"/>
    <w:rsid w:val="00B637A8"/>
    <w:rsid w:val="00B638DE"/>
    <w:rsid w:val="00B63B2F"/>
    <w:rsid w:val="00B63E2D"/>
    <w:rsid w:val="00B63F37"/>
    <w:rsid w:val="00B63F4B"/>
    <w:rsid w:val="00B64112"/>
    <w:rsid w:val="00B64144"/>
    <w:rsid w:val="00B64237"/>
    <w:rsid w:val="00B64241"/>
    <w:rsid w:val="00B64337"/>
    <w:rsid w:val="00B6437F"/>
    <w:rsid w:val="00B64427"/>
    <w:rsid w:val="00B644B6"/>
    <w:rsid w:val="00B6477B"/>
    <w:rsid w:val="00B649A9"/>
    <w:rsid w:val="00B649EE"/>
    <w:rsid w:val="00B64A0D"/>
    <w:rsid w:val="00B64B3C"/>
    <w:rsid w:val="00B64C22"/>
    <w:rsid w:val="00B64CF2"/>
    <w:rsid w:val="00B64DAB"/>
    <w:rsid w:val="00B651E2"/>
    <w:rsid w:val="00B65221"/>
    <w:rsid w:val="00B65285"/>
    <w:rsid w:val="00B65291"/>
    <w:rsid w:val="00B65352"/>
    <w:rsid w:val="00B65356"/>
    <w:rsid w:val="00B6543A"/>
    <w:rsid w:val="00B6543D"/>
    <w:rsid w:val="00B654E4"/>
    <w:rsid w:val="00B6572D"/>
    <w:rsid w:val="00B658DB"/>
    <w:rsid w:val="00B65AA0"/>
    <w:rsid w:val="00B65AB2"/>
    <w:rsid w:val="00B65B29"/>
    <w:rsid w:val="00B65CEC"/>
    <w:rsid w:val="00B65EE5"/>
    <w:rsid w:val="00B65F2D"/>
    <w:rsid w:val="00B661B8"/>
    <w:rsid w:val="00B66323"/>
    <w:rsid w:val="00B664BF"/>
    <w:rsid w:val="00B667DE"/>
    <w:rsid w:val="00B66894"/>
    <w:rsid w:val="00B668F3"/>
    <w:rsid w:val="00B669F0"/>
    <w:rsid w:val="00B66AED"/>
    <w:rsid w:val="00B66D6F"/>
    <w:rsid w:val="00B66D72"/>
    <w:rsid w:val="00B66DCF"/>
    <w:rsid w:val="00B66EA4"/>
    <w:rsid w:val="00B67056"/>
    <w:rsid w:val="00B673A5"/>
    <w:rsid w:val="00B673CA"/>
    <w:rsid w:val="00B67A93"/>
    <w:rsid w:val="00B67EBE"/>
    <w:rsid w:val="00B700F8"/>
    <w:rsid w:val="00B7013E"/>
    <w:rsid w:val="00B702AD"/>
    <w:rsid w:val="00B702AF"/>
    <w:rsid w:val="00B70327"/>
    <w:rsid w:val="00B70387"/>
    <w:rsid w:val="00B70491"/>
    <w:rsid w:val="00B705D8"/>
    <w:rsid w:val="00B706FC"/>
    <w:rsid w:val="00B70884"/>
    <w:rsid w:val="00B70910"/>
    <w:rsid w:val="00B70CA2"/>
    <w:rsid w:val="00B70E21"/>
    <w:rsid w:val="00B70E7A"/>
    <w:rsid w:val="00B70EF0"/>
    <w:rsid w:val="00B7119F"/>
    <w:rsid w:val="00B712C2"/>
    <w:rsid w:val="00B714C4"/>
    <w:rsid w:val="00B714F2"/>
    <w:rsid w:val="00B714FD"/>
    <w:rsid w:val="00B71772"/>
    <w:rsid w:val="00B71794"/>
    <w:rsid w:val="00B71798"/>
    <w:rsid w:val="00B7180B"/>
    <w:rsid w:val="00B71891"/>
    <w:rsid w:val="00B71911"/>
    <w:rsid w:val="00B71952"/>
    <w:rsid w:val="00B71996"/>
    <w:rsid w:val="00B71A94"/>
    <w:rsid w:val="00B71B06"/>
    <w:rsid w:val="00B71DED"/>
    <w:rsid w:val="00B71E0D"/>
    <w:rsid w:val="00B71E88"/>
    <w:rsid w:val="00B71F25"/>
    <w:rsid w:val="00B72058"/>
    <w:rsid w:val="00B7236F"/>
    <w:rsid w:val="00B7253A"/>
    <w:rsid w:val="00B726E9"/>
    <w:rsid w:val="00B72725"/>
    <w:rsid w:val="00B727AF"/>
    <w:rsid w:val="00B72B4B"/>
    <w:rsid w:val="00B72B69"/>
    <w:rsid w:val="00B72C60"/>
    <w:rsid w:val="00B72C66"/>
    <w:rsid w:val="00B72E1F"/>
    <w:rsid w:val="00B72EA7"/>
    <w:rsid w:val="00B72F0B"/>
    <w:rsid w:val="00B7306C"/>
    <w:rsid w:val="00B730C4"/>
    <w:rsid w:val="00B730D6"/>
    <w:rsid w:val="00B73376"/>
    <w:rsid w:val="00B7344D"/>
    <w:rsid w:val="00B73516"/>
    <w:rsid w:val="00B7351C"/>
    <w:rsid w:val="00B7356C"/>
    <w:rsid w:val="00B73791"/>
    <w:rsid w:val="00B7380C"/>
    <w:rsid w:val="00B73889"/>
    <w:rsid w:val="00B7388B"/>
    <w:rsid w:val="00B738AE"/>
    <w:rsid w:val="00B73953"/>
    <w:rsid w:val="00B739EF"/>
    <w:rsid w:val="00B73AC4"/>
    <w:rsid w:val="00B73BD7"/>
    <w:rsid w:val="00B73DF8"/>
    <w:rsid w:val="00B73EDE"/>
    <w:rsid w:val="00B74042"/>
    <w:rsid w:val="00B741F7"/>
    <w:rsid w:val="00B74410"/>
    <w:rsid w:val="00B7449A"/>
    <w:rsid w:val="00B744F1"/>
    <w:rsid w:val="00B748F8"/>
    <w:rsid w:val="00B74965"/>
    <w:rsid w:val="00B74C3F"/>
    <w:rsid w:val="00B74C5A"/>
    <w:rsid w:val="00B74CB8"/>
    <w:rsid w:val="00B74D2E"/>
    <w:rsid w:val="00B74D30"/>
    <w:rsid w:val="00B74DC8"/>
    <w:rsid w:val="00B74EE5"/>
    <w:rsid w:val="00B74F3C"/>
    <w:rsid w:val="00B7541B"/>
    <w:rsid w:val="00B754A4"/>
    <w:rsid w:val="00B754D5"/>
    <w:rsid w:val="00B75538"/>
    <w:rsid w:val="00B755D7"/>
    <w:rsid w:val="00B7563C"/>
    <w:rsid w:val="00B75779"/>
    <w:rsid w:val="00B758B0"/>
    <w:rsid w:val="00B7596E"/>
    <w:rsid w:val="00B75AE0"/>
    <w:rsid w:val="00B75C6B"/>
    <w:rsid w:val="00B75CBF"/>
    <w:rsid w:val="00B75D26"/>
    <w:rsid w:val="00B75EDA"/>
    <w:rsid w:val="00B75F15"/>
    <w:rsid w:val="00B760A7"/>
    <w:rsid w:val="00B76176"/>
    <w:rsid w:val="00B76202"/>
    <w:rsid w:val="00B76268"/>
    <w:rsid w:val="00B76407"/>
    <w:rsid w:val="00B76543"/>
    <w:rsid w:val="00B765E6"/>
    <w:rsid w:val="00B76B9E"/>
    <w:rsid w:val="00B76C81"/>
    <w:rsid w:val="00B76EFA"/>
    <w:rsid w:val="00B76FF6"/>
    <w:rsid w:val="00B7701C"/>
    <w:rsid w:val="00B7748E"/>
    <w:rsid w:val="00B776C9"/>
    <w:rsid w:val="00B77857"/>
    <w:rsid w:val="00B779D3"/>
    <w:rsid w:val="00B77A7C"/>
    <w:rsid w:val="00B77B52"/>
    <w:rsid w:val="00B77D23"/>
    <w:rsid w:val="00B77D5A"/>
    <w:rsid w:val="00B77FB4"/>
    <w:rsid w:val="00B78000"/>
    <w:rsid w:val="00B801CB"/>
    <w:rsid w:val="00B8020C"/>
    <w:rsid w:val="00B803B1"/>
    <w:rsid w:val="00B80406"/>
    <w:rsid w:val="00B80624"/>
    <w:rsid w:val="00B807A3"/>
    <w:rsid w:val="00B808D7"/>
    <w:rsid w:val="00B80922"/>
    <w:rsid w:val="00B80ACA"/>
    <w:rsid w:val="00B80C4F"/>
    <w:rsid w:val="00B80C66"/>
    <w:rsid w:val="00B80EF1"/>
    <w:rsid w:val="00B8111F"/>
    <w:rsid w:val="00B81365"/>
    <w:rsid w:val="00B81450"/>
    <w:rsid w:val="00B815FB"/>
    <w:rsid w:val="00B81713"/>
    <w:rsid w:val="00B81813"/>
    <w:rsid w:val="00B81B03"/>
    <w:rsid w:val="00B81D27"/>
    <w:rsid w:val="00B81D37"/>
    <w:rsid w:val="00B81D5A"/>
    <w:rsid w:val="00B81DA5"/>
    <w:rsid w:val="00B8205F"/>
    <w:rsid w:val="00B820F2"/>
    <w:rsid w:val="00B821FB"/>
    <w:rsid w:val="00B8230C"/>
    <w:rsid w:val="00B82389"/>
    <w:rsid w:val="00B823C4"/>
    <w:rsid w:val="00B82485"/>
    <w:rsid w:val="00B82550"/>
    <w:rsid w:val="00B8261B"/>
    <w:rsid w:val="00B826D7"/>
    <w:rsid w:val="00B82767"/>
    <w:rsid w:val="00B82A94"/>
    <w:rsid w:val="00B82B0A"/>
    <w:rsid w:val="00B82B3D"/>
    <w:rsid w:val="00B82B89"/>
    <w:rsid w:val="00B82BEF"/>
    <w:rsid w:val="00B8356C"/>
    <w:rsid w:val="00B8368A"/>
    <w:rsid w:val="00B8369B"/>
    <w:rsid w:val="00B837FE"/>
    <w:rsid w:val="00B8397A"/>
    <w:rsid w:val="00B83E39"/>
    <w:rsid w:val="00B83EEE"/>
    <w:rsid w:val="00B8400C"/>
    <w:rsid w:val="00B841A0"/>
    <w:rsid w:val="00B84374"/>
    <w:rsid w:val="00B844A8"/>
    <w:rsid w:val="00B84553"/>
    <w:rsid w:val="00B846EB"/>
    <w:rsid w:val="00B8477D"/>
    <w:rsid w:val="00B84803"/>
    <w:rsid w:val="00B84889"/>
    <w:rsid w:val="00B84898"/>
    <w:rsid w:val="00B849CC"/>
    <w:rsid w:val="00B84BBC"/>
    <w:rsid w:val="00B84BE4"/>
    <w:rsid w:val="00B84D68"/>
    <w:rsid w:val="00B84E82"/>
    <w:rsid w:val="00B84EF9"/>
    <w:rsid w:val="00B85066"/>
    <w:rsid w:val="00B85373"/>
    <w:rsid w:val="00B854A7"/>
    <w:rsid w:val="00B8576F"/>
    <w:rsid w:val="00B857D3"/>
    <w:rsid w:val="00B8586A"/>
    <w:rsid w:val="00B859C4"/>
    <w:rsid w:val="00B85AE9"/>
    <w:rsid w:val="00B85BB2"/>
    <w:rsid w:val="00B85C49"/>
    <w:rsid w:val="00B85C64"/>
    <w:rsid w:val="00B85E72"/>
    <w:rsid w:val="00B85E8F"/>
    <w:rsid w:val="00B85EF3"/>
    <w:rsid w:val="00B861DC"/>
    <w:rsid w:val="00B86210"/>
    <w:rsid w:val="00B862D3"/>
    <w:rsid w:val="00B8634F"/>
    <w:rsid w:val="00B86418"/>
    <w:rsid w:val="00B86454"/>
    <w:rsid w:val="00B86528"/>
    <w:rsid w:val="00B8662D"/>
    <w:rsid w:val="00B866AE"/>
    <w:rsid w:val="00B866C1"/>
    <w:rsid w:val="00B86807"/>
    <w:rsid w:val="00B86844"/>
    <w:rsid w:val="00B86A34"/>
    <w:rsid w:val="00B86AC2"/>
    <w:rsid w:val="00B86ADB"/>
    <w:rsid w:val="00B86C6B"/>
    <w:rsid w:val="00B86DED"/>
    <w:rsid w:val="00B86F28"/>
    <w:rsid w:val="00B87059"/>
    <w:rsid w:val="00B8717E"/>
    <w:rsid w:val="00B87391"/>
    <w:rsid w:val="00B87473"/>
    <w:rsid w:val="00B87547"/>
    <w:rsid w:val="00B8779A"/>
    <w:rsid w:val="00B87905"/>
    <w:rsid w:val="00B8797E"/>
    <w:rsid w:val="00B87C87"/>
    <w:rsid w:val="00B87CBE"/>
    <w:rsid w:val="00B87D58"/>
    <w:rsid w:val="00B87DB6"/>
    <w:rsid w:val="00B87EE0"/>
    <w:rsid w:val="00B902CC"/>
    <w:rsid w:val="00B90405"/>
    <w:rsid w:val="00B90407"/>
    <w:rsid w:val="00B90475"/>
    <w:rsid w:val="00B9062E"/>
    <w:rsid w:val="00B90647"/>
    <w:rsid w:val="00B90A43"/>
    <w:rsid w:val="00B90DFC"/>
    <w:rsid w:val="00B90E7C"/>
    <w:rsid w:val="00B90EB2"/>
    <w:rsid w:val="00B90EFA"/>
    <w:rsid w:val="00B910C2"/>
    <w:rsid w:val="00B91132"/>
    <w:rsid w:val="00B9114B"/>
    <w:rsid w:val="00B911AA"/>
    <w:rsid w:val="00B91313"/>
    <w:rsid w:val="00B91390"/>
    <w:rsid w:val="00B9159F"/>
    <w:rsid w:val="00B915BA"/>
    <w:rsid w:val="00B91688"/>
    <w:rsid w:val="00B91900"/>
    <w:rsid w:val="00B9194D"/>
    <w:rsid w:val="00B91B7F"/>
    <w:rsid w:val="00B91B88"/>
    <w:rsid w:val="00B91DEB"/>
    <w:rsid w:val="00B91F4F"/>
    <w:rsid w:val="00B92243"/>
    <w:rsid w:val="00B92459"/>
    <w:rsid w:val="00B925FC"/>
    <w:rsid w:val="00B926BF"/>
    <w:rsid w:val="00B928B2"/>
    <w:rsid w:val="00B92910"/>
    <w:rsid w:val="00B9296E"/>
    <w:rsid w:val="00B92995"/>
    <w:rsid w:val="00B92B09"/>
    <w:rsid w:val="00B92B30"/>
    <w:rsid w:val="00B92B3B"/>
    <w:rsid w:val="00B92CCE"/>
    <w:rsid w:val="00B92D5B"/>
    <w:rsid w:val="00B92D62"/>
    <w:rsid w:val="00B92D87"/>
    <w:rsid w:val="00B92DFF"/>
    <w:rsid w:val="00B92EB8"/>
    <w:rsid w:val="00B92EFA"/>
    <w:rsid w:val="00B93002"/>
    <w:rsid w:val="00B93066"/>
    <w:rsid w:val="00B93157"/>
    <w:rsid w:val="00B9316C"/>
    <w:rsid w:val="00B93179"/>
    <w:rsid w:val="00B932F6"/>
    <w:rsid w:val="00B93348"/>
    <w:rsid w:val="00B93366"/>
    <w:rsid w:val="00B9340C"/>
    <w:rsid w:val="00B935C3"/>
    <w:rsid w:val="00B935EB"/>
    <w:rsid w:val="00B9363B"/>
    <w:rsid w:val="00B9389C"/>
    <w:rsid w:val="00B93986"/>
    <w:rsid w:val="00B93A15"/>
    <w:rsid w:val="00B93A59"/>
    <w:rsid w:val="00B93B23"/>
    <w:rsid w:val="00B93BA0"/>
    <w:rsid w:val="00B93BE4"/>
    <w:rsid w:val="00B93D5E"/>
    <w:rsid w:val="00B93D7F"/>
    <w:rsid w:val="00B93E6E"/>
    <w:rsid w:val="00B941D8"/>
    <w:rsid w:val="00B94255"/>
    <w:rsid w:val="00B943BD"/>
    <w:rsid w:val="00B94443"/>
    <w:rsid w:val="00B94485"/>
    <w:rsid w:val="00B944A7"/>
    <w:rsid w:val="00B94523"/>
    <w:rsid w:val="00B9459E"/>
    <w:rsid w:val="00B945B1"/>
    <w:rsid w:val="00B9488D"/>
    <w:rsid w:val="00B948A8"/>
    <w:rsid w:val="00B94935"/>
    <w:rsid w:val="00B94A46"/>
    <w:rsid w:val="00B94CD5"/>
    <w:rsid w:val="00B94D48"/>
    <w:rsid w:val="00B94E93"/>
    <w:rsid w:val="00B94F28"/>
    <w:rsid w:val="00B95044"/>
    <w:rsid w:val="00B951EE"/>
    <w:rsid w:val="00B95379"/>
    <w:rsid w:val="00B953CF"/>
    <w:rsid w:val="00B95474"/>
    <w:rsid w:val="00B95626"/>
    <w:rsid w:val="00B95804"/>
    <w:rsid w:val="00B95817"/>
    <w:rsid w:val="00B9583C"/>
    <w:rsid w:val="00B95A09"/>
    <w:rsid w:val="00B95AE0"/>
    <w:rsid w:val="00B95C03"/>
    <w:rsid w:val="00B95C69"/>
    <w:rsid w:val="00B95E5F"/>
    <w:rsid w:val="00B9610C"/>
    <w:rsid w:val="00B961D7"/>
    <w:rsid w:val="00B964D8"/>
    <w:rsid w:val="00B965FC"/>
    <w:rsid w:val="00B9690A"/>
    <w:rsid w:val="00B96A40"/>
    <w:rsid w:val="00B96A8F"/>
    <w:rsid w:val="00B96D64"/>
    <w:rsid w:val="00B96DB9"/>
    <w:rsid w:val="00B96EC0"/>
    <w:rsid w:val="00B96F38"/>
    <w:rsid w:val="00B97183"/>
    <w:rsid w:val="00B97205"/>
    <w:rsid w:val="00B97264"/>
    <w:rsid w:val="00B972AB"/>
    <w:rsid w:val="00B973A1"/>
    <w:rsid w:val="00B973B1"/>
    <w:rsid w:val="00B97492"/>
    <w:rsid w:val="00B9762A"/>
    <w:rsid w:val="00B97710"/>
    <w:rsid w:val="00B9778F"/>
    <w:rsid w:val="00B97845"/>
    <w:rsid w:val="00B97966"/>
    <w:rsid w:val="00B97976"/>
    <w:rsid w:val="00B9798B"/>
    <w:rsid w:val="00B97BD5"/>
    <w:rsid w:val="00B97CBE"/>
    <w:rsid w:val="00B97CC9"/>
    <w:rsid w:val="00B97E3C"/>
    <w:rsid w:val="00B97F62"/>
    <w:rsid w:val="00B97F75"/>
    <w:rsid w:val="00BA0106"/>
    <w:rsid w:val="00BA042F"/>
    <w:rsid w:val="00BA0813"/>
    <w:rsid w:val="00BA084E"/>
    <w:rsid w:val="00BA08BA"/>
    <w:rsid w:val="00BA0ABE"/>
    <w:rsid w:val="00BA0B72"/>
    <w:rsid w:val="00BA0D58"/>
    <w:rsid w:val="00BA0E47"/>
    <w:rsid w:val="00BA0ED9"/>
    <w:rsid w:val="00BA0F31"/>
    <w:rsid w:val="00BA1029"/>
    <w:rsid w:val="00BA105C"/>
    <w:rsid w:val="00BA11DB"/>
    <w:rsid w:val="00BA1244"/>
    <w:rsid w:val="00BA1467"/>
    <w:rsid w:val="00BA14DA"/>
    <w:rsid w:val="00BA1693"/>
    <w:rsid w:val="00BA1A46"/>
    <w:rsid w:val="00BA1A6A"/>
    <w:rsid w:val="00BA1AFA"/>
    <w:rsid w:val="00BA1B0B"/>
    <w:rsid w:val="00BA1B79"/>
    <w:rsid w:val="00BA1B9B"/>
    <w:rsid w:val="00BA1BF8"/>
    <w:rsid w:val="00BA1BF9"/>
    <w:rsid w:val="00BA1E01"/>
    <w:rsid w:val="00BA1F09"/>
    <w:rsid w:val="00BA20F0"/>
    <w:rsid w:val="00BA22BD"/>
    <w:rsid w:val="00BA2351"/>
    <w:rsid w:val="00BA23AA"/>
    <w:rsid w:val="00BA23AC"/>
    <w:rsid w:val="00BA2418"/>
    <w:rsid w:val="00BA245C"/>
    <w:rsid w:val="00BA2670"/>
    <w:rsid w:val="00BA2697"/>
    <w:rsid w:val="00BA269A"/>
    <w:rsid w:val="00BA26D8"/>
    <w:rsid w:val="00BA2AC6"/>
    <w:rsid w:val="00BA2C42"/>
    <w:rsid w:val="00BA2CF6"/>
    <w:rsid w:val="00BA2DF5"/>
    <w:rsid w:val="00BA2E24"/>
    <w:rsid w:val="00BA2F3B"/>
    <w:rsid w:val="00BA2F9B"/>
    <w:rsid w:val="00BA3033"/>
    <w:rsid w:val="00BA304E"/>
    <w:rsid w:val="00BA3159"/>
    <w:rsid w:val="00BA31FA"/>
    <w:rsid w:val="00BA334F"/>
    <w:rsid w:val="00BA35D7"/>
    <w:rsid w:val="00BA37A2"/>
    <w:rsid w:val="00BA3882"/>
    <w:rsid w:val="00BA390C"/>
    <w:rsid w:val="00BA3B75"/>
    <w:rsid w:val="00BA3C26"/>
    <w:rsid w:val="00BA3D00"/>
    <w:rsid w:val="00BA3E33"/>
    <w:rsid w:val="00BA3FA2"/>
    <w:rsid w:val="00BA41F2"/>
    <w:rsid w:val="00BA4202"/>
    <w:rsid w:val="00BA441A"/>
    <w:rsid w:val="00BA4552"/>
    <w:rsid w:val="00BA4668"/>
    <w:rsid w:val="00BA4697"/>
    <w:rsid w:val="00BA4894"/>
    <w:rsid w:val="00BA48E1"/>
    <w:rsid w:val="00BA48F5"/>
    <w:rsid w:val="00BA4D31"/>
    <w:rsid w:val="00BA4F1F"/>
    <w:rsid w:val="00BA4F74"/>
    <w:rsid w:val="00BA50A1"/>
    <w:rsid w:val="00BA5194"/>
    <w:rsid w:val="00BA52A2"/>
    <w:rsid w:val="00BA5337"/>
    <w:rsid w:val="00BA536B"/>
    <w:rsid w:val="00BA5518"/>
    <w:rsid w:val="00BA5572"/>
    <w:rsid w:val="00BA5644"/>
    <w:rsid w:val="00BA56B9"/>
    <w:rsid w:val="00BA5854"/>
    <w:rsid w:val="00BA5E9F"/>
    <w:rsid w:val="00BA6046"/>
    <w:rsid w:val="00BA6259"/>
    <w:rsid w:val="00BA638D"/>
    <w:rsid w:val="00BA63AF"/>
    <w:rsid w:val="00BA63D3"/>
    <w:rsid w:val="00BA6455"/>
    <w:rsid w:val="00BA64DD"/>
    <w:rsid w:val="00BA64E1"/>
    <w:rsid w:val="00BA65D8"/>
    <w:rsid w:val="00BA65DB"/>
    <w:rsid w:val="00BA661B"/>
    <w:rsid w:val="00BA66D5"/>
    <w:rsid w:val="00BA6806"/>
    <w:rsid w:val="00BA6AA0"/>
    <w:rsid w:val="00BA6B19"/>
    <w:rsid w:val="00BA740B"/>
    <w:rsid w:val="00BA77BB"/>
    <w:rsid w:val="00BA7848"/>
    <w:rsid w:val="00BA7871"/>
    <w:rsid w:val="00BA79C5"/>
    <w:rsid w:val="00BA7AED"/>
    <w:rsid w:val="00BA7C22"/>
    <w:rsid w:val="00BA7E6C"/>
    <w:rsid w:val="00BA7FAB"/>
    <w:rsid w:val="00BB036E"/>
    <w:rsid w:val="00BB03B3"/>
    <w:rsid w:val="00BB04C6"/>
    <w:rsid w:val="00BB058C"/>
    <w:rsid w:val="00BB06A5"/>
    <w:rsid w:val="00BB072A"/>
    <w:rsid w:val="00BB089A"/>
    <w:rsid w:val="00BB0953"/>
    <w:rsid w:val="00BB09A5"/>
    <w:rsid w:val="00BB0BDE"/>
    <w:rsid w:val="00BB11EE"/>
    <w:rsid w:val="00BB1388"/>
    <w:rsid w:val="00BB13FC"/>
    <w:rsid w:val="00BB168A"/>
    <w:rsid w:val="00BB1952"/>
    <w:rsid w:val="00BB1A88"/>
    <w:rsid w:val="00BB1B2D"/>
    <w:rsid w:val="00BB1B84"/>
    <w:rsid w:val="00BB1C45"/>
    <w:rsid w:val="00BB1DE2"/>
    <w:rsid w:val="00BB1F33"/>
    <w:rsid w:val="00BB20DF"/>
    <w:rsid w:val="00BB2154"/>
    <w:rsid w:val="00BB2239"/>
    <w:rsid w:val="00BB2258"/>
    <w:rsid w:val="00BB23D4"/>
    <w:rsid w:val="00BB2588"/>
    <w:rsid w:val="00BB25CB"/>
    <w:rsid w:val="00BB2657"/>
    <w:rsid w:val="00BB2821"/>
    <w:rsid w:val="00BB2B0F"/>
    <w:rsid w:val="00BB2B4F"/>
    <w:rsid w:val="00BB2B89"/>
    <w:rsid w:val="00BB2D57"/>
    <w:rsid w:val="00BB2D5C"/>
    <w:rsid w:val="00BB2D93"/>
    <w:rsid w:val="00BB2F25"/>
    <w:rsid w:val="00BB3022"/>
    <w:rsid w:val="00BB3042"/>
    <w:rsid w:val="00BB3093"/>
    <w:rsid w:val="00BB31E8"/>
    <w:rsid w:val="00BB3313"/>
    <w:rsid w:val="00BB340A"/>
    <w:rsid w:val="00BB34A1"/>
    <w:rsid w:val="00BB3788"/>
    <w:rsid w:val="00BB399B"/>
    <w:rsid w:val="00BB3A79"/>
    <w:rsid w:val="00BB3B81"/>
    <w:rsid w:val="00BB3D05"/>
    <w:rsid w:val="00BB3F90"/>
    <w:rsid w:val="00BB3FAC"/>
    <w:rsid w:val="00BB409D"/>
    <w:rsid w:val="00BB426E"/>
    <w:rsid w:val="00BB4621"/>
    <w:rsid w:val="00BB4699"/>
    <w:rsid w:val="00BB497C"/>
    <w:rsid w:val="00BB499B"/>
    <w:rsid w:val="00BB49B9"/>
    <w:rsid w:val="00BB4A86"/>
    <w:rsid w:val="00BB4AAC"/>
    <w:rsid w:val="00BB4BE0"/>
    <w:rsid w:val="00BB4C15"/>
    <w:rsid w:val="00BB4CC8"/>
    <w:rsid w:val="00BB4EAC"/>
    <w:rsid w:val="00BB507A"/>
    <w:rsid w:val="00BB5234"/>
    <w:rsid w:val="00BB5641"/>
    <w:rsid w:val="00BB59EC"/>
    <w:rsid w:val="00BB5AAB"/>
    <w:rsid w:val="00BB601A"/>
    <w:rsid w:val="00BB6325"/>
    <w:rsid w:val="00BB63EF"/>
    <w:rsid w:val="00BB64B1"/>
    <w:rsid w:val="00BB64E8"/>
    <w:rsid w:val="00BB6687"/>
    <w:rsid w:val="00BB68C2"/>
    <w:rsid w:val="00BB696B"/>
    <w:rsid w:val="00BB69D1"/>
    <w:rsid w:val="00BB6A97"/>
    <w:rsid w:val="00BB6B7F"/>
    <w:rsid w:val="00BB6CD1"/>
    <w:rsid w:val="00BB705A"/>
    <w:rsid w:val="00BB7078"/>
    <w:rsid w:val="00BB732F"/>
    <w:rsid w:val="00BB778A"/>
    <w:rsid w:val="00BB794F"/>
    <w:rsid w:val="00BB796C"/>
    <w:rsid w:val="00BB7BFD"/>
    <w:rsid w:val="00BB7C8D"/>
    <w:rsid w:val="00BB7D29"/>
    <w:rsid w:val="00BB7EF4"/>
    <w:rsid w:val="00BB7F3E"/>
    <w:rsid w:val="00BB7FE3"/>
    <w:rsid w:val="00BC0045"/>
    <w:rsid w:val="00BC01BF"/>
    <w:rsid w:val="00BC030D"/>
    <w:rsid w:val="00BC0396"/>
    <w:rsid w:val="00BC055D"/>
    <w:rsid w:val="00BC067B"/>
    <w:rsid w:val="00BC06F2"/>
    <w:rsid w:val="00BC0954"/>
    <w:rsid w:val="00BC098B"/>
    <w:rsid w:val="00BC0CA6"/>
    <w:rsid w:val="00BC0D28"/>
    <w:rsid w:val="00BC0E12"/>
    <w:rsid w:val="00BC1220"/>
    <w:rsid w:val="00BC1353"/>
    <w:rsid w:val="00BC1513"/>
    <w:rsid w:val="00BC1B93"/>
    <w:rsid w:val="00BC1DB3"/>
    <w:rsid w:val="00BC1E96"/>
    <w:rsid w:val="00BC1EFC"/>
    <w:rsid w:val="00BC1FB8"/>
    <w:rsid w:val="00BC2165"/>
    <w:rsid w:val="00BC24B2"/>
    <w:rsid w:val="00BC2575"/>
    <w:rsid w:val="00BC26EA"/>
    <w:rsid w:val="00BC2716"/>
    <w:rsid w:val="00BC27AF"/>
    <w:rsid w:val="00BC280A"/>
    <w:rsid w:val="00BC2893"/>
    <w:rsid w:val="00BC296B"/>
    <w:rsid w:val="00BC29AF"/>
    <w:rsid w:val="00BC2AB3"/>
    <w:rsid w:val="00BC2C11"/>
    <w:rsid w:val="00BC2CE3"/>
    <w:rsid w:val="00BC2E21"/>
    <w:rsid w:val="00BC2F54"/>
    <w:rsid w:val="00BC3102"/>
    <w:rsid w:val="00BC320A"/>
    <w:rsid w:val="00BC330F"/>
    <w:rsid w:val="00BC3365"/>
    <w:rsid w:val="00BC33AC"/>
    <w:rsid w:val="00BC33D5"/>
    <w:rsid w:val="00BC35E7"/>
    <w:rsid w:val="00BC36B7"/>
    <w:rsid w:val="00BC38CD"/>
    <w:rsid w:val="00BC39C9"/>
    <w:rsid w:val="00BC3A94"/>
    <w:rsid w:val="00BC3B3A"/>
    <w:rsid w:val="00BC3CAA"/>
    <w:rsid w:val="00BC3F28"/>
    <w:rsid w:val="00BC406C"/>
    <w:rsid w:val="00BC4255"/>
    <w:rsid w:val="00BC436C"/>
    <w:rsid w:val="00BC43CB"/>
    <w:rsid w:val="00BC459A"/>
    <w:rsid w:val="00BC4886"/>
    <w:rsid w:val="00BC48CB"/>
    <w:rsid w:val="00BC49D6"/>
    <w:rsid w:val="00BC4A36"/>
    <w:rsid w:val="00BC4EA0"/>
    <w:rsid w:val="00BC4F04"/>
    <w:rsid w:val="00BC4F49"/>
    <w:rsid w:val="00BC50A7"/>
    <w:rsid w:val="00BC534F"/>
    <w:rsid w:val="00BC5560"/>
    <w:rsid w:val="00BC55A3"/>
    <w:rsid w:val="00BC55CC"/>
    <w:rsid w:val="00BC5A92"/>
    <w:rsid w:val="00BC5C67"/>
    <w:rsid w:val="00BC5EBE"/>
    <w:rsid w:val="00BC5F17"/>
    <w:rsid w:val="00BC5FED"/>
    <w:rsid w:val="00BC6138"/>
    <w:rsid w:val="00BC627D"/>
    <w:rsid w:val="00BC62DE"/>
    <w:rsid w:val="00BC63B3"/>
    <w:rsid w:val="00BC64E8"/>
    <w:rsid w:val="00BC64F3"/>
    <w:rsid w:val="00BC69EB"/>
    <w:rsid w:val="00BC6CEA"/>
    <w:rsid w:val="00BC6D9A"/>
    <w:rsid w:val="00BC6DAF"/>
    <w:rsid w:val="00BC6DBF"/>
    <w:rsid w:val="00BC6E09"/>
    <w:rsid w:val="00BC6FE0"/>
    <w:rsid w:val="00BC757B"/>
    <w:rsid w:val="00BC7810"/>
    <w:rsid w:val="00BC7A5A"/>
    <w:rsid w:val="00BC7AFD"/>
    <w:rsid w:val="00BC7B4C"/>
    <w:rsid w:val="00BC7C8B"/>
    <w:rsid w:val="00BC7DEA"/>
    <w:rsid w:val="00BC7E91"/>
    <w:rsid w:val="00BC7F46"/>
    <w:rsid w:val="00BC7F4F"/>
    <w:rsid w:val="00BC7FE6"/>
    <w:rsid w:val="00BD04AB"/>
    <w:rsid w:val="00BD0532"/>
    <w:rsid w:val="00BD056B"/>
    <w:rsid w:val="00BD05D1"/>
    <w:rsid w:val="00BD06D0"/>
    <w:rsid w:val="00BD0847"/>
    <w:rsid w:val="00BD0881"/>
    <w:rsid w:val="00BD0AF3"/>
    <w:rsid w:val="00BD0BF9"/>
    <w:rsid w:val="00BD0DA5"/>
    <w:rsid w:val="00BD0E5E"/>
    <w:rsid w:val="00BD0FDF"/>
    <w:rsid w:val="00BD10A9"/>
    <w:rsid w:val="00BD141E"/>
    <w:rsid w:val="00BD152F"/>
    <w:rsid w:val="00BD1611"/>
    <w:rsid w:val="00BD171A"/>
    <w:rsid w:val="00BD1964"/>
    <w:rsid w:val="00BD1ADB"/>
    <w:rsid w:val="00BD1C33"/>
    <w:rsid w:val="00BD1C3A"/>
    <w:rsid w:val="00BD1ED9"/>
    <w:rsid w:val="00BD1F5A"/>
    <w:rsid w:val="00BD1FE9"/>
    <w:rsid w:val="00BD235B"/>
    <w:rsid w:val="00BD239F"/>
    <w:rsid w:val="00BD247F"/>
    <w:rsid w:val="00BD2A19"/>
    <w:rsid w:val="00BD2AB9"/>
    <w:rsid w:val="00BD2BBF"/>
    <w:rsid w:val="00BD2D43"/>
    <w:rsid w:val="00BD2F64"/>
    <w:rsid w:val="00BD301A"/>
    <w:rsid w:val="00BD30DF"/>
    <w:rsid w:val="00BD3168"/>
    <w:rsid w:val="00BD318C"/>
    <w:rsid w:val="00BD32D1"/>
    <w:rsid w:val="00BD35DF"/>
    <w:rsid w:val="00BD35EC"/>
    <w:rsid w:val="00BD363E"/>
    <w:rsid w:val="00BD36E9"/>
    <w:rsid w:val="00BD3714"/>
    <w:rsid w:val="00BD3838"/>
    <w:rsid w:val="00BD3878"/>
    <w:rsid w:val="00BD399B"/>
    <w:rsid w:val="00BD39A3"/>
    <w:rsid w:val="00BD3A85"/>
    <w:rsid w:val="00BD3A8C"/>
    <w:rsid w:val="00BD3BFC"/>
    <w:rsid w:val="00BD3C4A"/>
    <w:rsid w:val="00BD3CCE"/>
    <w:rsid w:val="00BD3D08"/>
    <w:rsid w:val="00BD3F16"/>
    <w:rsid w:val="00BD3FD0"/>
    <w:rsid w:val="00BD4097"/>
    <w:rsid w:val="00BD437D"/>
    <w:rsid w:val="00BD43E8"/>
    <w:rsid w:val="00BD4624"/>
    <w:rsid w:val="00BD46F0"/>
    <w:rsid w:val="00BD4856"/>
    <w:rsid w:val="00BD4931"/>
    <w:rsid w:val="00BD4958"/>
    <w:rsid w:val="00BD4A39"/>
    <w:rsid w:val="00BD4A3C"/>
    <w:rsid w:val="00BD4C1D"/>
    <w:rsid w:val="00BD4E13"/>
    <w:rsid w:val="00BD4EDA"/>
    <w:rsid w:val="00BD4EE3"/>
    <w:rsid w:val="00BD4F56"/>
    <w:rsid w:val="00BD5364"/>
    <w:rsid w:val="00BD54B7"/>
    <w:rsid w:val="00BD551F"/>
    <w:rsid w:val="00BD5551"/>
    <w:rsid w:val="00BD5588"/>
    <w:rsid w:val="00BD55A9"/>
    <w:rsid w:val="00BD55B4"/>
    <w:rsid w:val="00BD5BB7"/>
    <w:rsid w:val="00BD5BF4"/>
    <w:rsid w:val="00BD5CD1"/>
    <w:rsid w:val="00BD5D20"/>
    <w:rsid w:val="00BD5DDE"/>
    <w:rsid w:val="00BD5E94"/>
    <w:rsid w:val="00BD5FB6"/>
    <w:rsid w:val="00BD6237"/>
    <w:rsid w:val="00BD63EF"/>
    <w:rsid w:val="00BD63F9"/>
    <w:rsid w:val="00BD653E"/>
    <w:rsid w:val="00BD69FB"/>
    <w:rsid w:val="00BD69FD"/>
    <w:rsid w:val="00BD6B19"/>
    <w:rsid w:val="00BD6C15"/>
    <w:rsid w:val="00BD6CF2"/>
    <w:rsid w:val="00BD6CF5"/>
    <w:rsid w:val="00BD72B3"/>
    <w:rsid w:val="00BD733F"/>
    <w:rsid w:val="00BD73E6"/>
    <w:rsid w:val="00BD74A6"/>
    <w:rsid w:val="00BD774B"/>
    <w:rsid w:val="00BD7782"/>
    <w:rsid w:val="00BD7984"/>
    <w:rsid w:val="00BD7C04"/>
    <w:rsid w:val="00BD7C62"/>
    <w:rsid w:val="00BD7CC3"/>
    <w:rsid w:val="00BD7D9E"/>
    <w:rsid w:val="00BD7EF3"/>
    <w:rsid w:val="00BE007A"/>
    <w:rsid w:val="00BE00FD"/>
    <w:rsid w:val="00BE03AF"/>
    <w:rsid w:val="00BE04A4"/>
    <w:rsid w:val="00BE06B6"/>
    <w:rsid w:val="00BE06E0"/>
    <w:rsid w:val="00BE07E3"/>
    <w:rsid w:val="00BE0966"/>
    <w:rsid w:val="00BE0E68"/>
    <w:rsid w:val="00BE0EE8"/>
    <w:rsid w:val="00BE0FB6"/>
    <w:rsid w:val="00BE10E4"/>
    <w:rsid w:val="00BE1168"/>
    <w:rsid w:val="00BE1203"/>
    <w:rsid w:val="00BE138E"/>
    <w:rsid w:val="00BE1452"/>
    <w:rsid w:val="00BE14A9"/>
    <w:rsid w:val="00BE1542"/>
    <w:rsid w:val="00BE16D9"/>
    <w:rsid w:val="00BE177B"/>
    <w:rsid w:val="00BE186C"/>
    <w:rsid w:val="00BE1887"/>
    <w:rsid w:val="00BE1B45"/>
    <w:rsid w:val="00BE1BCC"/>
    <w:rsid w:val="00BE1CF9"/>
    <w:rsid w:val="00BE1E08"/>
    <w:rsid w:val="00BE1E5B"/>
    <w:rsid w:val="00BE1E9E"/>
    <w:rsid w:val="00BE225F"/>
    <w:rsid w:val="00BE22CC"/>
    <w:rsid w:val="00BE24BD"/>
    <w:rsid w:val="00BE259D"/>
    <w:rsid w:val="00BE262E"/>
    <w:rsid w:val="00BE278F"/>
    <w:rsid w:val="00BE27AB"/>
    <w:rsid w:val="00BE286B"/>
    <w:rsid w:val="00BE2890"/>
    <w:rsid w:val="00BE2965"/>
    <w:rsid w:val="00BE29EC"/>
    <w:rsid w:val="00BE2BEB"/>
    <w:rsid w:val="00BE2C00"/>
    <w:rsid w:val="00BE2C4F"/>
    <w:rsid w:val="00BE2E58"/>
    <w:rsid w:val="00BE2F60"/>
    <w:rsid w:val="00BE3262"/>
    <w:rsid w:val="00BE3366"/>
    <w:rsid w:val="00BE3481"/>
    <w:rsid w:val="00BE362E"/>
    <w:rsid w:val="00BE394C"/>
    <w:rsid w:val="00BE3AD2"/>
    <w:rsid w:val="00BE3B33"/>
    <w:rsid w:val="00BE3BF4"/>
    <w:rsid w:val="00BE3C32"/>
    <w:rsid w:val="00BE3C67"/>
    <w:rsid w:val="00BE3D7F"/>
    <w:rsid w:val="00BE3F94"/>
    <w:rsid w:val="00BE4117"/>
    <w:rsid w:val="00BE41D0"/>
    <w:rsid w:val="00BE4260"/>
    <w:rsid w:val="00BE42D0"/>
    <w:rsid w:val="00BE4396"/>
    <w:rsid w:val="00BE441F"/>
    <w:rsid w:val="00BE44EA"/>
    <w:rsid w:val="00BE47E5"/>
    <w:rsid w:val="00BE4825"/>
    <w:rsid w:val="00BE4A54"/>
    <w:rsid w:val="00BE4BF7"/>
    <w:rsid w:val="00BE503B"/>
    <w:rsid w:val="00BE5090"/>
    <w:rsid w:val="00BE51C4"/>
    <w:rsid w:val="00BE52CE"/>
    <w:rsid w:val="00BE554E"/>
    <w:rsid w:val="00BE5896"/>
    <w:rsid w:val="00BE58A8"/>
    <w:rsid w:val="00BE59E2"/>
    <w:rsid w:val="00BE5AA3"/>
    <w:rsid w:val="00BE5CCB"/>
    <w:rsid w:val="00BE5E84"/>
    <w:rsid w:val="00BE5F16"/>
    <w:rsid w:val="00BE6055"/>
    <w:rsid w:val="00BE6086"/>
    <w:rsid w:val="00BE61FF"/>
    <w:rsid w:val="00BE63AB"/>
    <w:rsid w:val="00BE63EE"/>
    <w:rsid w:val="00BE6742"/>
    <w:rsid w:val="00BE69AE"/>
    <w:rsid w:val="00BE69D1"/>
    <w:rsid w:val="00BE6C1E"/>
    <w:rsid w:val="00BE6CCB"/>
    <w:rsid w:val="00BE6DE9"/>
    <w:rsid w:val="00BE6E5E"/>
    <w:rsid w:val="00BE70B0"/>
    <w:rsid w:val="00BE712D"/>
    <w:rsid w:val="00BE7177"/>
    <w:rsid w:val="00BE7391"/>
    <w:rsid w:val="00BE7554"/>
    <w:rsid w:val="00BE758E"/>
    <w:rsid w:val="00BE770B"/>
    <w:rsid w:val="00BE7A98"/>
    <w:rsid w:val="00BE7BE8"/>
    <w:rsid w:val="00BE7C99"/>
    <w:rsid w:val="00BF00BE"/>
    <w:rsid w:val="00BF01B8"/>
    <w:rsid w:val="00BF043C"/>
    <w:rsid w:val="00BF05CD"/>
    <w:rsid w:val="00BF06C1"/>
    <w:rsid w:val="00BF06E5"/>
    <w:rsid w:val="00BF0B14"/>
    <w:rsid w:val="00BF0B6F"/>
    <w:rsid w:val="00BF0CF3"/>
    <w:rsid w:val="00BF0D75"/>
    <w:rsid w:val="00BF0D9F"/>
    <w:rsid w:val="00BF0DD3"/>
    <w:rsid w:val="00BF0E12"/>
    <w:rsid w:val="00BF0E13"/>
    <w:rsid w:val="00BF0FA8"/>
    <w:rsid w:val="00BF112E"/>
    <w:rsid w:val="00BF12BA"/>
    <w:rsid w:val="00BF12F6"/>
    <w:rsid w:val="00BF13B2"/>
    <w:rsid w:val="00BF13C5"/>
    <w:rsid w:val="00BF13D1"/>
    <w:rsid w:val="00BF13DA"/>
    <w:rsid w:val="00BF14BB"/>
    <w:rsid w:val="00BF1650"/>
    <w:rsid w:val="00BF170D"/>
    <w:rsid w:val="00BF17BA"/>
    <w:rsid w:val="00BF17DB"/>
    <w:rsid w:val="00BF1842"/>
    <w:rsid w:val="00BF191B"/>
    <w:rsid w:val="00BF1A9E"/>
    <w:rsid w:val="00BF1F7F"/>
    <w:rsid w:val="00BF2087"/>
    <w:rsid w:val="00BF21E9"/>
    <w:rsid w:val="00BF2218"/>
    <w:rsid w:val="00BF2259"/>
    <w:rsid w:val="00BF22D1"/>
    <w:rsid w:val="00BF2348"/>
    <w:rsid w:val="00BF249D"/>
    <w:rsid w:val="00BF250A"/>
    <w:rsid w:val="00BF25CF"/>
    <w:rsid w:val="00BF25FE"/>
    <w:rsid w:val="00BF268A"/>
    <w:rsid w:val="00BF2707"/>
    <w:rsid w:val="00BF290D"/>
    <w:rsid w:val="00BF294B"/>
    <w:rsid w:val="00BF29F5"/>
    <w:rsid w:val="00BF2AF0"/>
    <w:rsid w:val="00BF2C86"/>
    <w:rsid w:val="00BF2D1F"/>
    <w:rsid w:val="00BF2D50"/>
    <w:rsid w:val="00BF3142"/>
    <w:rsid w:val="00BF3212"/>
    <w:rsid w:val="00BF3225"/>
    <w:rsid w:val="00BF3248"/>
    <w:rsid w:val="00BF3549"/>
    <w:rsid w:val="00BF359E"/>
    <w:rsid w:val="00BF388A"/>
    <w:rsid w:val="00BF3B42"/>
    <w:rsid w:val="00BF3B7C"/>
    <w:rsid w:val="00BF3BD8"/>
    <w:rsid w:val="00BF3BFB"/>
    <w:rsid w:val="00BF3CC0"/>
    <w:rsid w:val="00BF41F8"/>
    <w:rsid w:val="00BF4270"/>
    <w:rsid w:val="00BF4494"/>
    <w:rsid w:val="00BF4544"/>
    <w:rsid w:val="00BF479B"/>
    <w:rsid w:val="00BF482D"/>
    <w:rsid w:val="00BF48C0"/>
    <w:rsid w:val="00BF48C8"/>
    <w:rsid w:val="00BF494F"/>
    <w:rsid w:val="00BF4980"/>
    <w:rsid w:val="00BF498F"/>
    <w:rsid w:val="00BF4A50"/>
    <w:rsid w:val="00BF4ADF"/>
    <w:rsid w:val="00BF4AE9"/>
    <w:rsid w:val="00BF4B11"/>
    <w:rsid w:val="00BF4B8F"/>
    <w:rsid w:val="00BF510E"/>
    <w:rsid w:val="00BF51A9"/>
    <w:rsid w:val="00BF5355"/>
    <w:rsid w:val="00BF5AC7"/>
    <w:rsid w:val="00BF5AF4"/>
    <w:rsid w:val="00BF5BFF"/>
    <w:rsid w:val="00BF5F82"/>
    <w:rsid w:val="00BF603B"/>
    <w:rsid w:val="00BF60C7"/>
    <w:rsid w:val="00BF60F1"/>
    <w:rsid w:val="00BF6158"/>
    <w:rsid w:val="00BF619C"/>
    <w:rsid w:val="00BF6218"/>
    <w:rsid w:val="00BF624B"/>
    <w:rsid w:val="00BF665D"/>
    <w:rsid w:val="00BF685A"/>
    <w:rsid w:val="00BF69D9"/>
    <w:rsid w:val="00BF6B98"/>
    <w:rsid w:val="00BF6C46"/>
    <w:rsid w:val="00BF6D39"/>
    <w:rsid w:val="00BF6E00"/>
    <w:rsid w:val="00BF6E1C"/>
    <w:rsid w:val="00BF6EF4"/>
    <w:rsid w:val="00BF71ED"/>
    <w:rsid w:val="00BF729B"/>
    <w:rsid w:val="00BF72AE"/>
    <w:rsid w:val="00BF72C2"/>
    <w:rsid w:val="00BF7362"/>
    <w:rsid w:val="00BF751E"/>
    <w:rsid w:val="00BF77D1"/>
    <w:rsid w:val="00BF77FE"/>
    <w:rsid w:val="00BF7B73"/>
    <w:rsid w:val="00BF7C51"/>
    <w:rsid w:val="00BF7D97"/>
    <w:rsid w:val="00BF7E4E"/>
    <w:rsid w:val="00C0021F"/>
    <w:rsid w:val="00C002A0"/>
    <w:rsid w:val="00C0048B"/>
    <w:rsid w:val="00C005C9"/>
    <w:rsid w:val="00C00699"/>
    <w:rsid w:val="00C0074F"/>
    <w:rsid w:val="00C00974"/>
    <w:rsid w:val="00C00A65"/>
    <w:rsid w:val="00C00E16"/>
    <w:rsid w:val="00C00F51"/>
    <w:rsid w:val="00C01028"/>
    <w:rsid w:val="00C010B3"/>
    <w:rsid w:val="00C0131B"/>
    <w:rsid w:val="00C01528"/>
    <w:rsid w:val="00C01600"/>
    <w:rsid w:val="00C01758"/>
    <w:rsid w:val="00C017D6"/>
    <w:rsid w:val="00C01ADC"/>
    <w:rsid w:val="00C01B3A"/>
    <w:rsid w:val="00C01C6B"/>
    <w:rsid w:val="00C01CEC"/>
    <w:rsid w:val="00C01E82"/>
    <w:rsid w:val="00C020C9"/>
    <w:rsid w:val="00C020D6"/>
    <w:rsid w:val="00C021F5"/>
    <w:rsid w:val="00C023E5"/>
    <w:rsid w:val="00C02630"/>
    <w:rsid w:val="00C02673"/>
    <w:rsid w:val="00C02683"/>
    <w:rsid w:val="00C027AC"/>
    <w:rsid w:val="00C02D52"/>
    <w:rsid w:val="00C02D9E"/>
    <w:rsid w:val="00C02FCA"/>
    <w:rsid w:val="00C03021"/>
    <w:rsid w:val="00C03077"/>
    <w:rsid w:val="00C033AC"/>
    <w:rsid w:val="00C034C5"/>
    <w:rsid w:val="00C037D1"/>
    <w:rsid w:val="00C037E1"/>
    <w:rsid w:val="00C038BE"/>
    <w:rsid w:val="00C03983"/>
    <w:rsid w:val="00C03A9F"/>
    <w:rsid w:val="00C03AB0"/>
    <w:rsid w:val="00C03B89"/>
    <w:rsid w:val="00C03CAB"/>
    <w:rsid w:val="00C03CFB"/>
    <w:rsid w:val="00C03D61"/>
    <w:rsid w:val="00C03D75"/>
    <w:rsid w:val="00C03E28"/>
    <w:rsid w:val="00C04265"/>
    <w:rsid w:val="00C04306"/>
    <w:rsid w:val="00C043E4"/>
    <w:rsid w:val="00C04619"/>
    <w:rsid w:val="00C04684"/>
    <w:rsid w:val="00C04B36"/>
    <w:rsid w:val="00C04B56"/>
    <w:rsid w:val="00C04F0F"/>
    <w:rsid w:val="00C05037"/>
    <w:rsid w:val="00C050E2"/>
    <w:rsid w:val="00C0541C"/>
    <w:rsid w:val="00C0542F"/>
    <w:rsid w:val="00C0552B"/>
    <w:rsid w:val="00C05589"/>
    <w:rsid w:val="00C055CB"/>
    <w:rsid w:val="00C056C8"/>
    <w:rsid w:val="00C058FD"/>
    <w:rsid w:val="00C059D0"/>
    <w:rsid w:val="00C05C1A"/>
    <w:rsid w:val="00C05CF7"/>
    <w:rsid w:val="00C05E9C"/>
    <w:rsid w:val="00C05F44"/>
    <w:rsid w:val="00C06339"/>
    <w:rsid w:val="00C0645E"/>
    <w:rsid w:val="00C064F0"/>
    <w:rsid w:val="00C064F4"/>
    <w:rsid w:val="00C065B6"/>
    <w:rsid w:val="00C066BA"/>
    <w:rsid w:val="00C06771"/>
    <w:rsid w:val="00C06833"/>
    <w:rsid w:val="00C068A5"/>
    <w:rsid w:val="00C06967"/>
    <w:rsid w:val="00C06A45"/>
    <w:rsid w:val="00C06A5A"/>
    <w:rsid w:val="00C06AC9"/>
    <w:rsid w:val="00C06B60"/>
    <w:rsid w:val="00C06CEB"/>
    <w:rsid w:val="00C0702B"/>
    <w:rsid w:val="00C07539"/>
    <w:rsid w:val="00C0777D"/>
    <w:rsid w:val="00C0778C"/>
    <w:rsid w:val="00C07872"/>
    <w:rsid w:val="00C07901"/>
    <w:rsid w:val="00C07940"/>
    <w:rsid w:val="00C07A70"/>
    <w:rsid w:val="00C07D7B"/>
    <w:rsid w:val="00C07D87"/>
    <w:rsid w:val="00C07DE1"/>
    <w:rsid w:val="00C07EBB"/>
    <w:rsid w:val="00C07F67"/>
    <w:rsid w:val="00C07F75"/>
    <w:rsid w:val="00C0C6F2"/>
    <w:rsid w:val="00C101D3"/>
    <w:rsid w:val="00C102AC"/>
    <w:rsid w:val="00C10373"/>
    <w:rsid w:val="00C103A0"/>
    <w:rsid w:val="00C103A2"/>
    <w:rsid w:val="00C10521"/>
    <w:rsid w:val="00C1080D"/>
    <w:rsid w:val="00C108AE"/>
    <w:rsid w:val="00C109D6"/>
    <w:rsid w:val="00C10A83"/>
    <w:rsid w:val="00C10F18"/>
    <w:rsid w:val="00C10FEA"/>
    <w:rsid w:val="00C110C7"/>
    <w:rsid w:val="00C111FE"/>
    <w:rsid w:val="00C11310"/>
    <w:rsid w:val="00C114CA"/>
    <w:rsid w:val="00C11557"/>
    <w:rsid w:val="00C11682"/>
    <w:rsid w:val="00C1176D"/>
    <w:rsid w:val="00C117C5"/>
    <w:rsid w:val="00C11846"/>
    <w:rsid w:val="00C118A6"/>
    <w:rsid w:val="00C118D0"/>
    <w:rsid w:val="00C118EA"/>
    <w:rsid w:val="00C11A59"/>
    <w:rsid w:val="00C11ACB"/>
    <w:rsid w:val="00C11C7E"/>
    <w:rsid w:val="00C11CF6"/>
    <w:rsid w:val="00C11D7A"/>
    <w:rsid w:val="00C11EED"/>
    <w:rsid w:val="00C11FC9"/>
    <w:rsid w:val="00C1201E"/>
    <w:rsid w:val="00C12267"/>
    <w:rsid w:val="00C122F9"/>
    <w:rsid w:val="00C1248C"/>
    <w:rsid w:val="00C12654"/>
    <w:rsid w:val="00C12767"/>
    <w:rsid w:val="00C1298B"/>
    <w:rsid w:val="00C12C23"/>
    <w:rsid w:val="00C12D9D"/>
    <w:rsid w:val="00C12E52"/>
    <w:rsid w:val="00C12FD4"/>
    <w:rsid w:val="00C1304E"/>
    <w:rsid w:val="00C13146"/>
    <w:rsid w:val="00C132AA"/>
    <w:rsid w:val="00C13321"/>
    <w:rsid w:val="00C13435"/>
    <w:rsid w:val="00C1360F"/>
    <w:rsid w:val="00C13798"/>
    <w:rsid w:val="00C137D5"/>
    <w:rsid w:val="00C138CA"/>
    <w:rsid w:val="00C1397E"/>
    <w:rsid w:val="00C13B8E"/>
    <w:rsid w:val="00C13C6C"/>
    <w:rsid w:val="00C14008"/>
    <w:rsid w:val="00C14073"/>
    <w:rsid w:val="00C1425E"/>
    <w:rsid w:val="00C142A9"/>
    <w:rsid w:val="00C142CF"/>
    <w:rsid w:val="00C1431F"/>
    <w:rsid w:val="00C1445F"/>
    <w:rsid w:val="00C1459F"/>
    <w:rsid w:val="00C145AE"/>
    <w:rsid w:val="00C1460F"/>
    <w:rsid w:val="00C1470C"/>
    <w:rsid w:val="00C14721"/>
    <w:rsid w:val="00C1473A"/>
    <w:rsid w:val="00C14752"/>
    <w:rsid w:val="00C147DB"/>
    <w:rsid w:val="00C1481C"/>
    <w:rsid w:val="00C1489F"/>
    <w:rsid w:val="00C1490D"/>
    <w:rsid w:val="00C14927"/>
    <w:rsid w:val="00C14975"/>
    <w:rsid w:val="00C14A7F"/>
    <w:rsid w:val="00C14B87"/>
    <w:rsid w:val="00C14BB6"/>
    <w:rsid w:val="00C14C1D"/>
    <w:rsid w:val="00C14D0B"/>
    <w:rsid w:val="00C14D11"/>
    <w:rsid w:val="00C14E15"/>
    <w:rsid w:val="00C14EFD"/>
    <w:rsid w:val="00C14F62"/>
    <w:rsid w:val="00C1508C"/>
    <w:rsid w:val="00C15137"/>
    <w:rsid w:val="00C1528F"/>
    <w:rsid w:val="00C153D2"/>
    <w:rsid w:val="00C154AD"/>
    <w:rsid w:val="00C15703"/>
    <w:rsid w:val="00C157BF"/>
    <w:rsid w:val="00C15990"/>
    <w:rsid w:val="00C15999"/>
    <w:rsid w:val="00C159FD"/>
    <w:rsid w:val="00C15A6A"/>
    <w:rsid w:val="00C15D80"/>
    <w:rsid w:val="00C15F03"/>
    <w:rsid w:val="00C1600D"/>
    <w:rsid w:val="00C16014"/>
    <w:rsid w:val="00C161AA"/>
    <w:rsid w:val="00C161E3"/>
    <w:rsid w:val="00C16397"/>
    <w:rsid w:val="00C1642B"/>
    <w:rsid w:val="00C1662D"/>
    <w:rsid w:val="00C168D5"/>
    <w:rsid w:val="00C16B65"/>
    <w:rsid w:val="00C16B83"/>
    <w:rsid w:val="00C16B86"/>
    <w:rsid w:val="00C16B9F"/>
    <w:rsid w:val="00C16D47"/>
    <w:rsid w:val="00C16DB9"/>
    <w:rsid w:val="00C16ECC"/>
    <w:rsid w:val="00C1702D"/>
    <w:rsid w:val="00C17091"/>
    <w:rsid w:val="00C170A2"/>
    <w:rsid w:val="00C170D1"/>
    <w:rsid w:val="00C171BD"/>
    <w:rsid w:val="00C171F3"/>
    <w:rsid w:val="00C17384"/>
    <w:rsid w:val="00C17746"/>
    <w:rsid w:val="00C17848"/>
    <w:rsid w:val="00C17895"/>
    <w:rsid w:val="00C178F7"/>
    <w:rsid w:val="00C17990"/>
    <w:rsid w:val="00C17A6B"/>
    <w:rsid w:val="00C17D54"/>
    <w:rsid w:val="00C17E3A"/>
    <w:rsid w:val="00C17F00"/>
    <w:rsid w:val="00C17F11"/>
    <w:rsid w:val="00C20000"/>
    <w:rsid w:val="00C201D5"/>
    <w:rsid w:val="00C201F8"/>
    <w:rsid w:val="00C20351"/>
    <w:rsid w:val="00C2043A"/>
    <w:rsid w:val="00C20736"/>
    <w:rsid w:val="00C2076A"/>
    <w:rsid w:val="00C2090B"/>
    <w:rsid w:val="00C20AC3"/>
    <w:rsid w:val="00C20C6D"/>
    <w:rsid w:val="00C20CF4"/>
    <w:rsid w:val="00C20D5B"/>
    <w:rsid w:val="00C20E43"/>
    <w:rsid w:val="00C20EE9"/>
    <w:rsid w:val="00C2101F"/>
    <w:rsid w:val="00C210A0"/>
    <w:rsid w:val="00C213EE"/>
    <w:rsid w:val="00C21447"/>
    <w:rsid w:val="00C215ED"/>
    <w:rsid w:val="00C21632"/>
    <w:rsid w:val="00C216A3"/>
    <w:rsid w:val="00C21B6E"/>
    <w:rsid w:val="00C21BBF"/>
    <w:rsid w:val="00C21D4F"/>
    <w:rsid w:val="00C21E3C"/>
    <w:rsid w:val="00C21EA7"/>
    <w:rsid w:val="00C22009"/>
    <w:rsid w:val="00C222C1"/>
    <w:rsid w:val="00C222FD"/>
    <w:rsid w:val="00C2238D"/>
    <w:rsid w:val="00C225CE"/>
    <w:rsid w:val="00C227AD"/>
    <w:rsid w:val="00C2289B"/>
    <w:rsid w:val="00C22A07"/>
    <w:rsid w:val="00C22AA2"/>
    <w:rsid w:val="00C22BAC"/>
    <w:rsid w:val="00C22D8D"/>
    <w:rsid w:val="00C22DA9"/>
    <w:rsid w:val="00C22E38"/>
    <w:rsid w:val="00C22E55"/>
    <w:rsid w:val="00C22EB6"/>
    <w:rsid w:val="00C23069"/>
    <w:rsid w:val="00C231C4"/>
    <w:rsid w:val="00C2329A"/>
    <w:rsid w:val="00C232D6"/>
    <w:rsid w:val="00C23337"/>
    <w:rsid w:val="00C233BA"/>
    <w:rsid w:val="00C2356B"/>
    <w:rsid w:val="00C23658"/>
    <w:rsid w:val="00C239B0"/>
    <w:rsid w:val="00C23A54"/>
    <w:rsid w:val="00C23C73"/>
    <w:rsid w:val="00C23F5C"/>
    <w:rsid w:val="00C240E0"/>
    <w:rsid w:val="00C242A5"/>
    <w:rsid w:val="00C242B7"/>
    <w:rsid w:val="00C2438F"/>
    <w:rsid w:val="00C245DD"/>
    <w:rsid w:val="00C24609"/>
    <w:rsid w:val="00C24777"/>
    <w:rsid w:val="00C24839"/>
    <w:rsid w:val="00C24ADB"/>
    <w:rsid w:val="00C252F1"/>
    <w:rsid w:val="00C253AB"/>
    <w:rsid w:val="00C254F7"/>
    <w:rsid w:val="00C25819"/>
    <w:rsid w:val="00C25883"/>
    <w:rsid w:val="00C258B2"/>
    <w:rsid w:val="00C25B3A"/>
    <w:rsid w:val="00C25CED"/>
    <w:rsid w:val="00C25E81"/>
    <w:rsid w:val="00C26031"/>
    <w:rsid w:val="00C260CE"/>
    <w:rsid w:val="00C26144"/>
    <w:rsid w:val="00C26263"/>
    <w:rsid w:val="00C26529"/>
    <w:rsid w:val="00C26530"/>
    <w:rsid w:val="00C26554"/>
    <w:rsid w:val="00C266E2"/>
    <w:rsid w:val="00C266F9"/>
    <w:rsid w:val="00C2676F"/>
    <w:rsid w:val="00C268CE"/>
    <w:rsid w:val="00C26965"/>
    <w:rsid w:val="00C26967"/>
    <w:rsid w:val="00C26A7D"/>
    <w:rsid w:val="00C26B88"/>
    <w:rsid w:val="00C26FCC"/>
    <w:rsid w:val="00C26FD9"/>
    <w:rsid w:val="00C27142"/>
    <w:rsid w:val="00C272A4"/>
    <w:rsid w:val="00C272E1"/>
    <w:rsid w:val="00C27382"/>
    <w:rsid w:val="00C27391"/>
    <w:rsid w:val="00C27460"/>
    <w:rsid w:val="00C274AE"/>
    <w:rsid w:val="00C275B3"/>
    <w:rsid w:val="00C275D7"/>
    <w:rsid w:val="00C27621"/>
    <w:rsid w:val="00C27696"/>
    <w:rsid w:val="00C276E0"/>
    <w:rsid w:val="00C276FB"/>
    <w:rsid w:val="00C27790"/>
    <w:rsid w:val="00C277DB"/>
    <w:rsid w:val="00C278DD"/>
    <w:rsid w:val="00C278E7"/>
    <w:rsid w:val="00C27971"/>
    <w:rsid w:val="00C27A1A"/>
    <w:rsid w:val="00C27D57"/>
    <w:rsid w:val="00C27E8B"/>
    <w:rsid w:val="00C27E96"/>
    <w:rsid w:val="00C30353"/>
    <w:rsid w:val="00C306C5"/>
    <w:rsid w:val="00C3096C"/>
    <w:rsid w:val="00C309D7"/>
    <w:rsid w:val="00C30A0B"/>
    <w:rsid w:val="00C30B86"/>
    <w:rsid w:val="00C30DA0"/>
    <w:rsid w:val="00C31095"/>
    <w:rsid w:val="00C31411"/>
    <w:rsid w:val="00C3142B"/>
    <w:rsid w:val="00C31453"/>
    <w:rsid w:val="00C314AF"/>
    <w:rsid w:val="00C31526"/>
    <w:rsid w:val="00C31620"/>
    <w:rsid w:val="00C31659"/>
    <w:rsid w:val="00C316DD"/>
    <w:rsid w:val="00C31879"/>
    <w:rsid w:val="00C31990"/>
    <w:rsid w:val="00C31BA1"/>
    <w:rsid w:val="00C31C20"/>
    <w:rsid w:val="00C31D06"/>
    <w:rsid w:val="00C31ED1"/>
    <w:rsid w:val="00C31ED9"/>
    <w:rsid w:val="00C32006"/>
    <w:rsid w:val="00C320F3"/>
    <w:rsid w:val="00C32114"/>
    <w:rsid w:val="00C321F9"/>
    <w:rsid w:val="00C32279"/>
    <w:rsid w:val="00C3234E"/>
    <w:rsid w:val="00C32368"/>
    <w:rsid w:val="00C323EB"/>
    <w:rsid w:val="00C3242B"/>
    <w:rsid w:val="00C32467"/>
    <w:rsid w:val="00C324D0"/>
    <w:rsid w:val="00C3265D"/>
    <w:rsid w:val="00C327F2"/>
    <w:rsid w:val="00C328DB"/>
    <w:rsid w:val="00C32960"/>
    <w:rsid w:val="00C32A2E"/>
    <w:rsid w:val="00C32A2F"/>
    <w:rsid w:val="00C32A42"/>
    <w:rsid w:val="00C32A50"/>
    <w:rsid w:val="00C32A56"/>
    <w:rsid w:val="00C32B0F"/>
    <w:rsid w:val="00C32EEA"/>
    <w:rsid w:val="00C3313A"/>
    <w:rsid w:val="00C3317F"/>
    <w:rsid w:val="00C331A9"/>
    <w:rsid w:val="00C3321C"/>
    <w:rsid w:val="00C33430"/>
    <w:rsid w:val="00C335D2"/>
    <w:rsid w:val="00C3365D"/>
    <w:rsid w:val="00C336B5"/>
    <w:rsid w:val="00C336B7"/>
    <w:rsid w:val="00C33C06"/>
    <w:rsid w:val="00C33DC4"/>
    <w:rsid w:val="00C33FB8"/>
    <w:rsid w:val="00C34041"/>
    <w:rsid w:val="00C340B4"/>
    <w:rsid w:val="00C340DB"/>
    <w:rsid w:val="00C341A0"/>
    <w:rsid w:val="00C342C0"/>
    <w:rsid w:val="00C34384"/>
    <w:rsid w:val="00C34469"/>
    <w:rsid w:val="00C34538"/>
    <w:rsid w:val="00C34574"/>
    <w:rsid w:val="00C3463E"/>
    <w:rsid w:val="00C346D2"/>
    <w:rsid w:val="00C346F2"/>
    <w:rsid w:val="00C347CC"/>
    <w:rsid w:val="00C34893"/>
    <w:rsid w:val="00C34972"/>
    <w:rsid w:val="00C34A6E"/>
    <w:rsid w:val="00C34ACC"/>
    <w:rsid w:val="00C34BEA"/>
    <w:rsid w:val="00C34C3C"/>
    <w:rsid w:val="00C34E92"/>
    <w:rsid w:val="00C34F92"/>
    <w:rsid w:val="00C350C5"/>
    <w:rsid w:val="00C35152"/>
    <w:rsid w:val="00C353E1"/>
    <w:rsid w:val="00C353ED"/>
    <w:rsid w:val="00C3546D"/>
    <w:rsid w:val="00C3548F"/>
    <w:rsid w:val="00C3549B"/>
    <w:rsid w:val="00C354C7"/>
    <w:rsid w:val="00C354D3"/>
    <w:rsid w:val="00C35568"/>
    <w:rsid w:val="00C35701"/>
    <w:rsid w:val="00C35823"/>
    <w:rsid w:val="00C358C3"/>
    <w:rsid w:val="00C3591B"/>
    <w:rsid w:val="00C3591F"/>
    <w:rsid w:val="00C3592B"/>
    <w:rsid w:val="00C359E4"/>
    <w:rsid w:val="00C35A18"/>
    <w:rsid w:val="00C35A52"/>
    <w:rsid w:val="00C35B0F"/>
    <w:rsid w:val="00C35DD5"/>
    <w:rsid w:val="00C35DFC"/>
    <w:rsid w:val="00C35E1E"/>
    <w:rsid w:val="00C35E24"/>
    <w:rsid w:val="00C36392"/>
    <w:rsid w:val="00C363F3"/>
    <w:rsid w:val="00C36457"/>
    <w:rsid w:val="00C36523"/>
    <w:rsid w:val="00C36598"/>
    <w:rsid w:val="00C36671"/>
    <w:rsid w:val="00C369B3"/>
    <w:rsid w:val="00C36BDF"/>
    <w:rsid w:val="00C36C52"/>
    <w:rsid w:val="00C36C73"/>
    <w:rsid w:val="00C36D8A"/>
    <w:rsid w:val="00C36DCD"/>
    <w:rsid w:val="00C36F1B"/>
    <w:rsid w:val="00C3754F"/>
    <w:rsid w:val="00C375BB"/>
    <w:rsid w:val="00C37828"/>
    <w:rsid w:val="00C3786E"/>
    <w:rsid w:val="00C37BD7"/>
    <w:rsid w:val="00C37CA4"/>
    <w:rsid w:val="00C37CF0"/>
    <w:rsid w:val="00C37D1A"/>
    <w:rsid w:val="00C37D41"/>
    <w:rsid w:val="00C37F6C"/>
    <w:rsid w:val="00C37F70"/>
    <w:rsid w:val="00C37FAD"/>
    <w:rsid w:val="00C4075B"/>
    <w:rsid w:val="00C40805"/>
    <w:rsid w:val="00C40874"/>
    <w:rsid w:val="00C408FC"/>
    <w:rsid w:val="00C40916"/>
    <w:rsid w:val="00C40996"/>
    <w:rsid w:val="00C40B2C"/>
    <w:rsid w:val="00C40D3E"/>
    <w:rsid w:val="00C40D5A"/>
    <w:rsid w:val="00C41139"/>
    <w:rsid w:val="00C4163C"/>
    <w:rsid w:val="00C4168E"/>
    <w:rsid w:val="00C4194F"/>
    <w:rsid w:val="00C41994"/>
    <w:rsid w:val="00C41B61"/>
    <w:rsid w:val="00C41C9F"/>
    <w:rsid w:val="00C41D62"/>
    <w:rsid w:val="00C41DB8"/>
    <w:rsid w:val="00C41E9F"/>
    <w:rsid w:val="00C42024"/>
    <w:rsid w:val="00C42061"/>
    <w:rsid w:val="00C42124"/>
    <w:rsid w:val="00C42341"/>
    <w:rsid w:val="00C42448"/>
    <w:rsid w:val="00C4250E"/>
    <w:rsid w:val="00C425DB"/>
    <w:rsid w:val="00C426BD"/>
    <w:rsid w:val="00C4286C"/>
    <w:rsid w:val="00C42A51"/>
    <w:rsid w:val="00C42A8C"/>
    <w:rsid w:val="00C42E12"/>
    <w:rsid w:val="00C42F22"/>
    <w:rsid w:val="00C4306F"/>
    <w:rsid w:val="00C43142"/>
    <w:rsid w:val="00C431D4"/>
    <w:rsid w:val="00C43507"/>
    <w:rsid w:val="00C43557"/>
    <w:rsid w:val="00C43648"/>
    <w:rsid w:val="00C43792"/>
    <w:rsid w:val="00C437C1"/>
    <w:rsid w:val="00C437F8"/>
    <w:rsid w:val="00C43B39"/>
    <w:rsid w:val="00C43B95"/>
    <w:rsid w:val="00C43C4F"/>
    <w:rsid w:val="00C43CBA"/>
    <w:rsid w:val="00C43D00"/>
    <w:rsid w:val="00C43F01"/>
    <w:rsid w:val="00C43FCC"/>
    <w:rsid w:val="00C43FE1"/>
    <w:rsid w:val="00C44119"/>
    <w:rsid w:val="00C4414A"/>
    <w:rsid w:val="00C441DD"/>
    <w:rsid w:val="00C441EB"/>
    <w:rsid w:val="00C4427E"/>
    <w:rsid w:val="00C44311"/>
    <w:rsid w:val="00C4454C"/>
    <w:rsid w:val="00C44604"/>
    <w:rsid w:val="00C446AF"/>
    <w:rsid w:val="00C449B9"/>
    <w:rsid w:val="00C44B94"/>
    <w:rsid w:val="00C44CCD"/>
    <w:rsid w:val="00C44EF5"/>
    <w:rsid w:val="00C45285"/>
    <w:rsid w:val="00C45421"/>
    <w:rsid w:val="00C456EF"/>
    <w:rsid w:val="00C45811"/>
    <w:rsid w:val="00C45A48"/>
    <w:rsid w:val="00C45B29"/>
    <w:rsid w:val="00C45B4B"/>
    <w:rsid w:val="00C45E1A"/>
    <w:rsid w:val="00C45EEA"/>
    <w:rsid w:val="00C46201"/>
    <w:rsid w:val="00C464BF"/>
    <w:rsid w:val="00C465BA"/>
    <w:rsid w:val="00C46636"/>
    <w:rsid w:val="00C466AA"/>
    <w:rsid w:val="00C4686F"/>
    <w:rsid w:val="00C46BE8"/>
    <w:rsid w:val="00C46CB6"/>
    <w:rsid w:val="00C46CC6"/>
    <w:rsid w:val="00C46D11"/>
    <w:rsid w:val="00C46DA3"/>
    <w:rsid w:val="00C46E15"/>
    <w:rsid w:val="00C470A2"/>
    <w:rsid w:val="00C474B7"/>
    <w:rsid w:val="00C47680"/>
    <w:rsid w:val="00C4777E"/>
    <w:rsid w:val="00C4783E"/>
    <w:rsid w:val="00C47841"/>
    <w:rsid w:val="00C478D4"/>
    <w:rsid w:val="00C478F4"/>
    <w:rsid w:val="00C479B6"/>
    <w:rsid w:val="00C47B57"/>
    <w:rsid w:val="00C47BD5"/>
    <w:rsid w:val="00C47C0B"/>
    <w:rsid w:val="00C47C2D"/>
    <w:rsid w:val="00C47CA7"/>
    <w:rsid w:val="00C47D09"/>
    <w:rsid w:val="00C47DF9"/>
    <w:rsid w:val="00C47F14"/>
    <w:rsid w:val="00C50146"/>
    <w:rsid w:val="00C501D4"/>
    <w:rsid w:val="00C5026A"/>
    <w:rsid w:val="00C50360"/>
    <w:rsid w:val="00C50480"/>
    <w:rsid w:val="00C5049C"/>
    <w:rsid w:val="00C50BF9"/>
    <w:rsid w:val="00C50C8E"/>
    <w:rsid w:val="00C50E0D"/>
    <w:rsid w:val="00C50E19"/>
    <w:rsid w:val="00C50E42"/>
    <w:rsid w:val="00C50E5A"/>
    <w:rsid w:val="00C51057"/>
    <w:rsid w:val="00C511BB"/>
    <w:rsid w:val="00C5133C"/>
    <w:rsid w:val="00C51456"/>
    <w:rsid w:val="00C5150B"/>
    <w:rsid w:val="00C515CA"/>
    <w:rsid w:val="00C516DD"/>
    <w:rsid w:val="00C51708"/>
    <w:rsid w:val="00C51810"/>
    <w:rsid w:val="00C51952"/>
    <w:rsid w:val="00C51A1B"/>
    <w:rsid w:val="00C51AEB"/>
    <w:rsid w:val="00C52032"/>
    <w:rsid w:val="00C52098"/>
    <w:rsid w:val="00C5215C"/>
    <w:rsid w:val="00C5236F"/>
    <w:rsid w:val="00C5253F"/>
    <w:rsid w:val="00C52580"/>
    <w:rsid w:val="00C52644"/>
    <w:rsid w:val="00C526C2"/>
    <w:rsid w:val="00C52779"/>
    <w:rsid w:val="00C527AF"/>
    <w:rsid w:val="00C527E8"/>
    <w:rsid w:val="00C52A25"/>
    <w:rsid w:val="00C52A98"/>
    <w:rsid w:val="00C52AA7"/>
    <w:rsid w:val="00C52AA8"/>
    <w:rsid w:val="00C52B1E"/>
    <w:rsid w:val="00C52B84"/>
    <w:rsid w:val="00C52BB1"/>
    <w:rsid w:val="00C52D54"/>
    <w:rsid w:val="00C52DC5"/>
    <w:rsid w:val="00C52F74"/>
    <w:rsid w:val="00C531B7"/>
    <w:rsid w:val="00C532C2"/>
    <w:rsid w:val="00C53321"/>
    <w:rsid w:val="00C533BD"/>
    <w:rsid w:val="00C53412"/>
    <w:rsid w:val="00C53429"/>
    <w:rsid w:val="00C5346E"/>
    <w:rsid w:val="00C53496"/>
    <w:rsid w:val="00C5355E"/>
    <w:rsid w:val="00C535A6"/>
    <w:rsid w:val="00C5362A"/>
    <w:rsid w:val="00C5363D"/>
    <w:rsid w:val="00C5396D"/>
    <w:rsid w:val="00C53AF8"/>
    <w:rsid w:val="00C53C7F"/>
    <w:rsid w:val="00C53D98"/>
    <w:rsid w:val="00C53DDA"/>
    <w:rsid w:val="00C53FE5"/>
    <w:rsid w:val="00C5400C"/>
    <w:rsid w:val="00C540A4"/>
    <w:rsid w:val="00C54187"/>
    <w:rsid w:val="00C5420E"/>
    <w:rsid w:val="00C5432A"/>
    <w:rsid w:val="00C5436C"/>
    <w:rsid w:val="00C543C2"/>
    <w:rsid w:val="00C544AC"/>
    <w:rsid w:val="00C544DE"/>
    <w:rsid w:val="00C546A8"/>
    <w:rsid w:val="00C547B9"/>
    <w:rsid w:val="00C547FC"/>
    <w:rsid w:val="00C549B3"/>
    <w:rsid w:val="00C54B64"/>
    <w:rsid w:val="00C54C6D"/>
    <w:rsid w:val="00C54D56"/>
    <w:rsid w:val="00C54D64"/>
    <w:rsid w:val="00C54D80"/>
    <w:rsid w:val="00C54DF4"/>
    <w:rsid w:val="00C54DF9"/>
    <w:rsid w:val="00C54FFA"/>
    <w:rsid w:val="00C55081"/>
    <w:rsid w:val="00C553E7"/>
    <w:rsid w:val="00C55495"/>
    <w:rsid w:val="00C558BC"/>
    <w:rsid w:val="00C5594A"/>
    <w:rsid w:val="00C55C7A"/>
    <w:rsid w:val="00C55E7F"/>
    <w:rsid w:val="00C55FC2"/>
    <w:rsid w:val="00C55FC8"/>
    <w:rsid w:val="00C560AA"/>
    <w:rsid w:val="00C5610B"/>
    <w:rsid w:val="00C56255"/>
    <w:rsid w:val="00C5625D"/>
    <w:rsid w:val="00C56266"/>
    <w:rsid w:val="00C563C1"/>
    <w:rsid w:val="00C5650D"/>
    <w:rsid w:val="00C56785"/>
    <w:rsid w:val="00C567F4"/>
    <w:rsid w:val="00C56835"/>
    <w:rsid w:val="00C56B16"/>
    <w:rsid w:val="00C56B1E"/>
    <w:rsid w:val="00C56BCD"/>
    <w:rsid w:val="00C56CC8"/>
    <w:rsid w:val="00C56FF5"/>
    <w:rsid w:val="00C570D8"/>
    <w:rsid w:val="00C57259"/>
    <w:rsid w:val="00C57451"/>
    <w:rsid w:val="00C579A1"/>
    <w:rsid w:val="00C57AD6"/>
    <w:rsid w:val="00C57D9F"/>
    <w:rsid w:val="00C57F34"/>
    <w:rsid w:val="00C60218"/>
    <w:rsid w:val="00C602D0"/>
    <w:rsid w:val="00C603F5"/>
    <w:rsid w:val="00C6052A"/>
    <w:rsid w:val="00C6061A"/>
    <w:rsid w:val="00C60A9C"/>
    <w:rsid w:val="00C60BF7"/>
    <w:rsid w:val="00C6123C"/>
    <w:rsid w:val="00C61272"/>
    <w:rsid w:val="00C615F9"/>
    <w:rsid w:val="00C616A9"/>
    <w:rsid w:val="00C616E6"/>
    <w:rsid w:val="00C61850"/>
    <w:rsid w:val="00C61952"/>
    <w:rsid w:val="00C6198F"/>
    <w:rsid w:val="00C61A93"/>
    <w:rsid w:val="00C61B68"/>
    <w:rsid w:val="00C61B8F"/>
    <w:rsid w:val="00C61CE9"/>
    <w:rsid w:val="00C61D81"/>
    <w:rsid w:val="00C61D91"/>
    <w:rsid w:val="00C61E7C"/>
    <w:rsid w:val="00C61EBF"/>
    <w:rsid w:val="00C61F9F"/>
    <w:rsid w:val="00C61FE0"/>
    <w:rsid w:val="00C6200B"/>
    <w:rsid w:val="00C62174"/>
    <w:rsid w:val="00C6240D"/>
    <w:rsid w:val="00C62705"/>
    <w:rsid w:val="00C6282D"/>
    <w:rsid w:val="00C628FB"/>
    <w:rsid w:val="00C62999"/>
    <w:rsid w:val="00C629D8"/>
    <w:rsid w:val="00C62A1D"/>
    <w:rsid w:val="00C62AB5"/>
    <w:rsid w:val="00C62AE5"/>
    <w:rsid w:val="00C62CE7"/>
    <w:rsid w:val="00C62D75"/>
    <w:rsid w:val="00C62E08"/>
    <w:rsid w:val="00C6312E"/>
    <w:rsid w:val="00C631B9"/>
    <w:rsid w:val="00C632DF"/>
    <w:rsid w:val="00C63414"/>
    <w:rsid w:val="00C6355A"/>
    <w:rsid w:val="00C635EB"/>
    <w:rsid w:val="00C63700"/>
    <w:rsid w:val="00C6370B"/>
    <w:rsid w:val="00C63731"/>
    <w:rsid w:val="00C638C2"/>
    <w:rsid w:val="00C63A02"/>
    <w:rsid w:val="00C63A34"/>
    <w:rsid w:val="00C63B73"/>
    <w:rsid w:val="00C63BE1"/>
    <w:rsid w:val="00C63DF0"/>
    <w:rsid w:val="00C63EF0"/>
    <w:rsid w:val="00C64162"/>
    <w:rsid w:val="00C64345"/>
    <w:rsid w:val="00C645B9"/>
    <w:rsid w:val="00C645BF"/>
    <w:rsid w:val="00C645F3"/>
    <w:rsid w:val="00C64618"/>
    <w:rsid w:val="00C649BA"/>
    <w:rsid w:val="00C64C80"/>
    <w:rsid w:val="00C65027"/>
    <w:rsid w:val="00C6536C"/>
    <w:rsid w:val="00C654C7"/>
    <w:rsid w:val="00C65718"/>
    <w:rsid w:val="00C657D3"/>
    <w:rsid w:val="00C65A4B"/>
    <w:rsid w:val="00C65AA9"/>
    <w:rsid w:val="00C65BFC"/>
    <w:rsid w:val="00C65D7C"/>
    <w:rsid w:val="00C65E4F"/>
    <w:rsid w:val="00C65E8D"/>
    <w:rsid w:val="00C65F49"/>
    <w:rsid w:val="00C6604E"/>
    <w:rsid w:val="00C6628B"/>
    <w:rsid w:val="00C663FB"/>
    <w:rsid w:val="00C6653D"/>
    <w:rsid w:val="00C6665F"/>
    <w:rsid w:val="00C666A0"/>
    <w:rsid w:val="00C66884"/>
    <w:rsid w:val="00C6691C"/>
    <w:rsid w:val="00C6696C"/>
    <w:rsid w:val="00C66A1F"/>
    <w:rsid w:val="00C66A49"/>
    <w:rsid w:val="00C66A8C"/>
    <w:rsid w:val="00C66D62"/>
    <w:rsid w:val="00C66F3A"/>
    <w:rsid w:val="00C671EC"/>
    <w:rsid w:val="00C672F3"/>
    <w:rsid w:val="00C673B8"/>
    <w:rsid w:val="00C674D0"/>
    <w:rsid w:val="00C67575"/>
    <w:rsid w:val="00C67767"/>
    <w:rsid w:val="00C678E4"/>
    <w:rsid w:val="00C67960"/>
    <w:rsid w:val="00C67DC4"/>
    <w:rsid w:val="00C67E24"/>
    <w:rsid w:val="00C70058"/>
    <w:rsid w:val="00C70084"/>
    <w:rsid w:val="00C70125"/>
    <w:rsid w:val="00C70325"/>
    <w:rsid w:val="00C70550"/>
    <w:rsid w:val="00C70643"/>
    <w:rsid w:val="00C706AD"/>
    <w:rsid w:val="00C706E4"/>
    <w:rsid w:val="00C7079F"/>
    <w:rsid w:val="00C707C2"/>
    <w:rsid w:val="00C7093E"/>
    <w:rsid w:val="00C709E8"/>
    <w:rsid w:val="00C70D8A"/>
    <w:rsid w:val="00C70FAE"/>
    <w:rsid w:val="00C70FBA"/>
    <w:rsid w:val="00C71078"/>
    <w:rsid w:val="00C7138D"/>
    <w:rsid w:val="00C71486"/>
    <w:rsid w:val="00C7165A"/>
    <w:rsid w:val="00C7171A"/>
    <w:rsid w:val="00C717CA"/>
    <w:rsid w:val="00C71939"/>
    <w:rsid w:val="00C71B1D"/>
    <w:rsid w:val="00C71D70"/>
    <w:rsid w:val="00C71D86"/>
    <w:rsid w:val="00C71E1F"/>
    <w:rsid w:val="00C71F46"/>
    <w:rsid w:val="00C71FC3"/>
    <w:rsid w:val="00C71FDF"/>
    <w:rsid w:val="00C720BA"/>
    <w:rsid w:val="00C7233D"/>
    <w:rsid w:val="00C72408"/>
    <w:rsid w:val="00C72469"/>
    <w:rsid w:val="00C7258B"/>
    <w:rsid w:val="00C726D5"/>
    <w:rsid w:val="00C72BCA"/>
    <w:rsid w:val="00C72C47"/>
    <w:rsid w:val="00C72C56"/>
    <w:rsid w:val="00C72DA2"/>
    <w:rsid w:val="00C73010"/>
    <w:rsid w:val="00C732FF"/>
    <w:rsid w:val="00C73421"/>
    <w:rsid w:val="00C73463"/>
    <w:rsid w:val="00C734EE"/>
    <w:rsid w:val="00C73673"/>
    <w:rsid w:val="00C73782"/>
    <w:rsid w:val="00C73C32"/>
    <w:rsid w:val="00C73D41"/>
    <w:rsid w:val="00C73D62"/>
    <w:rsid w:val="00C73E26"/>
    <w:rsid w:val="00C73F2C"/>
    <w:rsid w:val="00C741E2"/>
    <w:rsid w:val="00C746DE"/>
    <w:rsid w:val="00C746DF"/>
    <w:rsid w:val="00C746E4"/>
    <w:rsid w:val="00C748A5"/>
    <w:rsid w:val="00C749B7"/>
    <w:rsid w:val="00C74B03"/>
    <w:rsid w:val="00C74D8F"/>
    <w:rsid w:val="00C74E71"/>
    <w:rsid w:val="00C74EB2"/>
    <w:rsid w:val="00C7508A"/>
    <w:rsid w:val="00C7513C"/>
    <w:rsid w:val="00C751BA"/>
    <w:rsid w:val="00C75297"/>
    <w:rsid w:val="00C75349"/>
    <w:rsid w:val="00C753B1"/>
    <w:rsid w:val="00C755A8"/>
    <w:rsid w:val="00C755E2"/>
    <w:rsid w:val="00C75823"/>
    <w:rsid w:val="00C759B4"/>
    <w:rsid w:val="00C759E2"/>
    <w:rsid w:val="00C75ACE"/>
    <w:rsid w:val="00C75ADA"/>
    <w:rsid w:val="00C75BA1"/>
    <w:rsid w:val="00C75C38"/>
    <w:rsid w:val="00C75E02"/>
    <w:rsid w:val="00C75E4F"/>
    <w:rsid w:val="00C75E5A"/>
    <w:rsid w:val="00C75F96"/>
    <w:rsid w:val="00C75FD3"/>
    <w:rsid w:val="00C75FFC"/>
    <w:rsid w:val="00C76194"/>
    <w:rsid w:val="00C762D7"/>
    <w:rsid w:val="00C7637C"/>
    <w:rsid w:val="00C7638D"/>
    <w:rsid w:val="00C7640D"/>
    <w:rsid w:val="00C765C6"/>
    <w:rsid w:val="00C7670C"/>
    <w:rsid w:val="00C76796"/>
    <w:rsid w:val="00C767AD"/>
    <w:rsid w:val="00C769EA"/>
    <w:rsid w:val="00C76A2D"/>
    <w:rsid w:val="00C76A42"/>
    <w:rsid w:val="00C76B2D"/>
    <w:rsid w:val="00C76BCF"/>
    <w:rsid w:val="00C76D36"/>
    <w:rsid w:val="00C76DFB"/>
    <w:rsid w:val="00C771C6"/>
    <w:rsid w:val="00C77235"/>
    <w:rsid w:val="00C772CF"/>
    <w:rsid w:val="00C77351"/>
    <w:rsid w:val="00C77448"/>
    <w:rsid w:val="00C774FF"/>
    <w:rsid w:val="00C7756F"/>
    <w:rsid w:val="00C776E8"/>
    <w:rsid w:val="00C7777B"/>
    <w:rsid w:val="00C777F2"/>
    <w:rsid w:val="00C778F2"/>
    <w:rsid w:val="00C779D4"/>
    <w:rsid w:val="00C77AAA"/>
    <w:rsid w:val="00C77B41"/>
    <w:rsid w:val="00C77B7F"/>
    <w:rsid w:val="00C77C55"/>
    <w:rsid w:val="00C77CB5"/>
    <w:rsid w:val="00C77CD2"/>
    <w:rsid w:val="00C77EE0"/>
    <w:rsid w:val="00C80014"/>
    <w:rsid w:val="00C80237"/>
    <w:rsid w:val="00C8026E"/>
    <w:rsid w:val="00C8032B"/>
    <w:rsid w:val="00C8033E"/>
    <w:rsid w:val="00C80419"/>
    <w:rsid w:val="00C804F2"/>
    <w:rsid w:val="00C8083A"/>
    <w:rsid w:val="00C80869"/>
    <w:rsid w:val="00C80B3B"/>
    <w:rsid w:val="00C80B52"/>
    <w:rsid w:val="00C80BC0"/>
    <w:rsid w:val="00C80E02"/>
    <w:rsid w:val="00C80F2B"/>
    <w:rsid w:val="00C80F72"/>
    <w:rsid w:val="00C81120"/>
    <w:rsid w:val="00C8122D"/>
    <w:rsid w:val="00C81319"/>
    <w:rsid w:val="00C813A6"/>
    <w:rsid w:val="00C816BB"/>
    <w:rsid w:val="00C8176B"/>
    <w:rsid w:val="00C818C2"/>
    <w:rsid w:val="00C819C4"/>
    <w:rsid w:val="00C819C6"/>
    <w:rsid w:val="00C81CCF"/>
    <w:rsid w:val="00C81DD2"/>
    <w:rsid w:val="00C81F68"/>
    <w:rsid w:val="00C81F9B"/>
    <w:rsid w:val="00C82037"/>
    <w:rsid w:val="00C82084"/>
    <w:rsid w:val="00C82381"/>
    <w:rsid w:val="00C82440"/>
    <w:rsid w:val="00C824DD"/>
    <w:rsid w:val="00C825F9"/>
    <w:rsid w:val="00C826A5"/>
    <w:rsid w:val="00C827F8"/>
    <w:rsid w:val="00C82989"/>
    <w:rsid w:val="00C82C77"/>
    <w:rsid w:val="00C82D5F"/>
    <w:rsid w:val="00C82D8C"/>
    <w:rsid w:val="00C82EE0"/>
    <w:rsid w:val="00C82FC8"/>
    <w:rsid w:val="00C82FD2"/>
    <w:rsid w:val="00C8305C"/>
    <w:rsid w:val="00C83436"/>
    <w:rsid w:val="00C83447"/>
    <w:rsid w:val="00C83514"/>
    <w:rsid w:val="00C83775"/>
    <w:rsid w:val="00C83C12"/>
    <w:rsid w:val="00C83C4D"/>
    <w:rsid w:val="00C83E53"/>
    <w:rsid w:val="00C83EC9"/>
    <w:rsid w:val="00C840FC"/>
    <w:rsid w:val="00C84256"/>
    <w:rsid w:val="00C84385"/>
    <w:rsid w:val="00C84518"/>
    <w:rsid w:val="00C8451D"/>
    <w:rsid w:val="00C84749"/>
    <w:rsid w:val="00C84812"/>
    <w:rsid w:val="00C8481F"/>
    <w:rsid w:val="00C84A30"/>
    <w:rsid w:val="00C84BDD"/>
    <w:rsid w:val="00C84BE1"/>
    <w:rsid w:val="00C84F20"/>
    <w:rsid w:val="00C84F3E"/>
    <w:rsid w:val="00C84FAB"/>
    <w:rsid w:val="00C85081"/>
    <w:rsid w:val="00C8518A"/>
    <w:rsid w:val="00C853DD"/>
    <w:rsid w:val="00C85456"/>
    <w:rsid w:val="00C8557A"/>
    <w:rsid w:val="00C856A0"/>
    <w:rsid w:val="00C85847"/>
    <w:rsid w:val="00C85892"/>
    <w:rsid w:val="00C858BA"/>
    <w:rsid w:val="00C85A46"/>
    <w:rsid w:val="00C85C0E"/>
    <w:rsid w:val="00C85E5E"/>
    <w:rsid w:val="00C86047"/>
    <w:rsid w:val="00C861DC"/>
    <w:rsid w:val="00C86247"/>
    <w:rsid w:val="00C862C9"/>
    <w:rsid w:val="00C86336"/>
    <w:rsid w:val="00C86356"/>
    <w:rsid w:val="00C864C5"/>
    <w:rsid w:val="00C865EE"/>
    <w:rsid w:val="00C867BF"/>
    <w:rsid w:val="00C8689D"/>
    <w:rsid w:val="00C86A9F"/>
    <w:rsid w:val="00C86B30"/>
    <w:rsid w:val="00C86DDA"/>
    <w:rsid w:val="00C86E2A"/>
    <w:rsid w:val="00C86E69"/>
    <w:rsid w:val="00C86FA5"/>
    <w:rsid w:val="00C86FD0"/>
    <w:rsid w:val="00C870B2"/>
    <w:rsid w:val="00C870DD"/>
    <w:rsid w:val="00C87256"/>
    <w:rsid w:val="00C872DB"/>
    <w:rsid w:val="00C872E6"/>
    <w:rsid w:val="00C87314"/>
    <w:rsid w:val="00C874EF"/>
    <w:rsid w:val="00C8754B"/>
    <w:rsid w:val="00C875B5"/>
    <w:rsid w:val="00C875E3"/>
    <w:rsid w:val="00C87696"/>
    <w:rsid w:val="00C878A0"/>
    <w:rsid w:val="00C8790D"/>
    <w:rsid w:val="00C87AEC"/>
    <w:rsid w:val="00C87CB1"/>
    <w:rsid w:val="00C87DC8"/>
    <w:rsid w:val="00C87FBF"/>
    <w:rsid w:val="00C900AD"/>
    <w:rsid w:val="00C90240"/>
    <w:rsid w:val="00C90396"/>
    <w:rsid w:val="00C9060E"/>
    <w:rsid w:val="00C9074A"/>
    <w:rsid w:val="00C907D1"/>
    <w:rsid w:val="00C90818"/>
    <w:rsid w:val="00C908F4"/>
    <w:rsid w:val="00C90966"/>
    <w:rsid w:val="00C90999"/>
    <w:rsid w:val="00C909CB"/>
    <w:rsid w:val="00C909D8"/>
    <w:rsid w:val="00C90DF1"/>
    <w:rsid w:val="00C90F02"/>
    <w:rsid w:val="00C90F6D"/>
    <w:rsid w:val="00C91053"/>
    <w:rsid w:val="00C910DC"/>
    <w:rsid w:val="00C911A1"/>
    <w:rsid w:val="00C911A3"/>
    <w:rsid w:val="00C912BE"/>
    <w:rsid w:val="00C913CE"/>
    <w:rsid w:val="00C913D4"/>
    <w:rsid w:val="00C91478"/>
    <w:rsid w:val="00C91495"/>
    <w:rsid w:val="00C91568"/>
    <w:rsid w:val="00C91972"/>
    <w:rsid w:val="00C91A65"/>
    <w:rsid w:val="00C91CC4"/>
    <w:rsid w:val="00C91F88"/>
    <w:rsid w:val="00C9212F"/>
    <w:rsid w:val="00C92299"/>
    <w:rsid w:val="00C922A0"/>
    <w:rsid w:val="00C923E5"/>
    <w:rsid w:val="00C9271B"/>
    <w:rsid w:val="00C92825"/>
    <w:rsid w:val="00C92A21"/>
    <w:rsid w:val="00C92A2E"/>
    <w:rsid w:val="00C92A8B"/>
    <w:rsid w:val="00C92B41"/>
    <w:rsid w:val="00C92BDA"/>
    <w:rsid w:val="00C92F10"/>
    <w:rsid w:val="00C9306F"/>
    <w:rsid w:val="00C93103"/>
    <w:rsid w:val="00C932B3"/>
    <w:rsid w:val="00C932F3"/>
    <w:rsid w:val="00C938BB"/>
    <w:rsid w:val="00C93A11"/>
    <w:rsid w:val="00C93B0B"/>
    <w:rsid w:val="00C93BBF"/>
    <w:rsid w:val="00C93C8B"/>
    <w:rsid w:val="00C93DDD"/>
    <w:rsid w:val="00C93E25"/>
    <w:rsid w:val="00C93F84"/>
    <w:rsid w:val="00C93FCF"/>
    <w:rsid w:val="00C9413A"/>
    <w:rsid w:val="00C9414C"/>
    <w:rsid w:val="00C944EF"/>
    <w:rsid w:val="00C9459E"/>
    <w:rsid w:val="00C94635"/>
    <w:rsid w:val="00C9483B"/>
    <w:rsid w:val="00C94CD5"/>
    <w:rsid w:val="00C94D67"/>
    <w:rsid w:val="00C94FDC"/>
    <w:rsid w:val="00C94FF5"/>
    <w:rsid w:val="00C950BA"/>
    <w:rsid w:val="00C9529D"/>
    <w:rsid w:val="00C95442"/>
    <w:rsid w:val="00C9548F"/>
    <w:rsid w:val="00C95531"/>
    <w:rsid w:val="00C955E5"/>
    <w:rsid w:val="00C956E2"/>
    <w:rsid w:val="00C958E1"/>
    <w:rsid w:val="00C9596A"/>
    <w:rsid w:val="00C95975"/>
    <w:rsid w:val="00C95A0C"/>
    <w:rsid w:val="00C95ADE"/>
    <w:rsid w:val="00C95E39"/>
    <w:rsid w:val="00C960A1"/>
    <w:rsid w:val="00C962AF"/>
    <w:rsid w:val="00C963BC"/>
    <w:rsid w:val="00C96523"/>
    <w:rsid w:val="00C9662D"/>
    <w:rsid w:val="00C96A1D"/>
    <w:rsid w:val="00C96A51"/>
    <w:rsid w:val="00C96B4F"/>
    <w:rsid w:val="00C96D1E"/>
    <w:rsid w:val="00C96D50"/>
    <w:rsid w:val="00C96FA6"/>
    <w:rsid w:val="00C970F8"/>
    <w:rsid w:val="00C97297"/>
    <w:rsid w:val="00C9730A"/>
    <w:rsid w:val="00C97322"/>
    <w:rsid w:val="00C973DE"/>
    <w:rsid w:val="00C9747A"/>
    <w:rsid w:val="00C975D4"/>
    <w:rsid w:val="00C976DC"/>
    <w:rsid w:val="00C979D6"/>
    <w:rsid w:val="00C97A3B"/>
    <w:rsid w:val="00C97B33"/>
    <w:rsid w:val="00C97BA2"/>
    <w:rsid w:val="00C97BE6"/>
    <w:rsid w:val="00C97D75"/>
    <w:rsid w:val="00CA0098"/>
    <w:rsid w:val="00CA0185"/>
    <w:rsid w:val="00CA026D"/>
    <w:rsid w:val="00CA052A"/>
    <w:rsid w:val="00CA05DD"/>
    <w:rsid w:val="00CA061D"/>
    <w:rsid w:val="00CA0818"/>
    <w:rsid w:val="00CA0C3D"/>
    <w:rsid w:val="00CA0C81"/>
    <w:rsid w:val="00CA0D60"/>
    <w:rsid w:val="00CA11CC"/>
    <w:rsid w:val="00CA1328"/>
    <w:rsid w:val="00CA1362"/>
    <w:rsid w:val="00CA137C"/>
    <w:rsid w:val="00CA165E"/>
    <w:rsid w:val="00CA1847"/>
    <w:rsid w:val="00CA1A00"/>
    <w:rsid w:val="00CA1B74"/>
    <w:rsid w:val="00CA1E93"/>
    <w:rsid w:val="00CA1FA6"/>
    <w:rsid w:val="00CA2090"/>
    <w:rsid w:val="00CA2240"/>
    <w:rsid w:val="00CA2649"/>
    <w:rsid w:val="00CA2766"/>
    <w:rsid w:val="00CA29A9"/>
    <w:rsid w:val="00CA2B3E"/>
    <w:rsid w:val="00CA2DBB"/>
    <w:rsid w:val="00CA2DEE"/>
    <w:rsid w:val="00CA2E4D"/>
    <w:rsid w:val="00CA32BB"/>
    <w:rsid w:val="00CA34D3"/>
    <w:rsid w:val="00CA3513"/>
    <w:rsid w:val="00CA371A"/>
    <w:rsid w:val="00CA38B9"/>
    <w:rsid w:val="00CA3C7A"/>
    <w:rsid w:val="00CA41C3"/>
    <w:rsid w:val="00CA4332"/>
    <w:rsid w:val="00CA4429"/>
    <w:rsid w:val="00CA48D4"/>
    <w:rsid w:val="00CA4A63"/>
    <w:rsid w:val="00CA4B12"/>
    <w:rsid w:val="00CA4C02"/>
    <w:rsid w:val="00CA4D37"/>
    <w:rsid w:val="00CA4D76"/>
    <w:rsid w:val="00CA4F40"/>
    <w:rsid w:val="00CA5079"/>
    <w:rsid w:val="00CA5273"/>
    <w:rsid w:val="00CA5374"/>
    <w:rsid w:val="00CA5448"/>
    <w:rsid w:val="00CA55A3"/>
    <w:rsid w:val="00CA5607"/>
    <w:rsid w:val="00CA5828"/>
    <w:rsid w:val="00CA5B52"/>
    <w:rsid w:val="00CA5C9D"/>
    <w:rsid w:val="00CA5D31"/>
    <w:rsid w:val="00CA5D4C"/>
    <w:rsid w:val="00CA5DAC"/>
    <w:rsid w:val="00CA612C"/>
    <w:rsid w:val="00CA6291"/>
    <w:rsid w:val="00CA66CE"/>
    <w:rsid w:val="00CA688B"/>
    <w:rsid w:val="00CA68F2"/>
    <w:rsid w:val="00CA69BC"/>
    <w:rsid w:val="00CA6B79"/>
    <w:rsid w:val="00CA6BC5"/>
    <w:rsid w:val="00CA6E63"/>
    <w:rsid w:val="00CA6FA0"/>
    <w:rsid w:val="00CA6FCB"/>
    <w:rsid w:val="00CA7069"/>
    <w:rsid w:val="00CA7316"/>
    <w:rsid w:val="00CA73E4"/>
    <w:rsid w:val="00CA73FF"/>
    <w:rsid w:val="00CA754B"/>
    <w:rsid w:val="00CA767C"/>
    <w:rsid w:val="00CA767E"/>
    <w:rsid w:val="00CA7704"/>
    <w:rsid w:val="00CA7765"/>
    <w:rsid w:val="00CA786D"/>
    <w:rsid w:val="00CA7AA8"/>
    <w:rsid w:val="00CA7ACD"/>
    <w:rsid w:val="00CA7D66"/>
    <w:rsid w:val="00CA7F35"/>
    <w:rsid w:val="00CA7F7D"/>
    <w:rsid w:val="00CA7FEF"/>
    <w:rsid w:val="00CB0095"/>
    <w:rsid w:val="00CB0229"/>
    <w:rsid w:val="00CB0549"/>
    <w:rsid w:val="00CB0561"/>
    <w:rsid w:val="00CB06E7"/>
    <w:rsid w:val="00CB07F0"/>
    <w:rsid w:val="00CB08B3"/>
    <w:rsid w:val="00CB096B"/>
    <w:rsid w:val="00CB0C60"/>
    <w:rsid w:val="00CB0E3D"/>
    <w:rsid w:val="00CB0EDF"/>
    <w:rsid w:val="00CB1057"/>
    <w:rsid w:val="00CB10BF"/>
    <w:rsid w:val="00CB129D"/>
    <w:rsid w:val="00CB1362"/>
    <w:rsid w:val="00CB147C"/>
    <w:rsid w:val="00CB196E"/>
    <w:rsid w:val="00CB1A5B"/>
    <w:rsid w:val="00CB1A89"/>
    <w:rsid w:val="00CB1BDA"/>
    <w:rsid w:val="00CB1C8E"/>
    <w:rsid w:val="00CB1D15"/>
    <w:rsid w:val="00CB1F60"/>
    <w:rsid w:val="00CB2039"/>
    <w:rsid w:val="00CB20B3"/>
    <w:rsid w:val="00CB2145"/>
    <w:rsid w:val="00CB226C"/>
    <w:rsid w:val="00CB2292"/>
    <w:rsid w:val="00CB2304"/>
    <w:rsid w:val="00CB239C"/>
    <w:rsid w:val="00CB2482"/>
    <w:rsid w:val="00CB24EC"/>
    <w:rsid w:val="00CB25B0"/>
    <w:rsid w:val="00CB25E6"/>
    <w:rsid w:val="00CB262E"/>
    <w:rsid w:val="00CB273F"/>
    <w:rsid w:val="00CB276A"/>
    <w:rsid w:val="00CB27A8"/>
    <w:rsid w:val="00CB28CE"/>
    <w:rsid w:val="00CB2967"/>
    <w:rsid w:val="00CB2CAF"/>
    <w:rsid w:val="00CB2E23"/>
    <w:rsid w:val="00CB2F89"/>
    <w:rsid w:val="00CB2F9F"/>
    <w:rsid w:val="00CB31F7"/>
    <w:rsid w:val="00CB330C"/>
    <w:rsid w:val="00CB3366"/>
    <w:rsid w:val="00CB341B"/>
    <w:rsid w:val="00CB343F"/>
    <w:rsid w:val="00CB35D7"/>
    <w:rsid w:val="00CB37DF"/>
    <w:rsid w:val="00CB3841"/>
    <w:rsid w:val="00CB3921"/>
    <w:rsid w:val="00CB39C2"/>
    <w:rsid w:val="00CB3C03"/>
    <w:rsid w:val="00CB3CE9"/>
    <w:rsid w:val="00CB3F21"/>
    <w:rsid w:val="00CB401A"/>
    <w:rsid w:val="00CB4033"/>
    <w:rsid w:val="00CB413A"/>
    <w:rsid w:val="00CB429E"/>
    <w:rsid w:val="00CB4509"/>
    <w:rsid w:val="00CB4625"/>
    <w:rsid w:val="00CB462C"/>
    <w:rsid w:val="00CB4848"/>
    <w:rsid w:val="00CB48C1"/>
    <w:rsid w:val="00CB48EB"/>
    <w:rsid w:val="00CB4954"/>
    <w:rsid w:val="00CB4BD7"/>
    <w:rsid w:val="00CB4C4D"/>
    <w:rsid w:val="00CB4D63"/>
    <w:rsid w:val="00CB4E91"/>
    <w:rsid w:val="00CB5296"/>
    <w:rsid w:val="00CB52B7"/>
    <w:rsid w:val="00CB5501"/>
    <w:rsid w:val="00CB5633"/>
    <w:rsid w:val="00CB575F"/>
    <w:rsid w:val="00CB5777"/>
    <w:rsid w:val="00CB5845"/>
    <w:rsid w:val="00CB5A27"/>
    <w:rsid w:val="00CB5C31"/>
    <w:rsid w:val="00CB5C61"/>
    <w:rsid w:val="00CB5CE2"/>
    <w:rsid w:val="00CB5D0A"/>
    <w:rsid w:val="00CB5DFE"/>
    <w:rsid w:val="00CB5EA6"/>
    <w:rsid w:val="00CB5ED9"/>
    <w:rsid w:val="00CB6230"/>
    <w:rsid w:val="00CB6367"/>
    <w:rsid w:val="00CB6475"/>
    <w:rsid w:val="00CB6557"/>
    <w:rsid w:val="00CB6765"/>
    <w:rsid w:val="00CB69EB"/>
    <w:rsid w:val="00CB6D5B"/>
    <w:rsid w:val="00CB6DE9"/>
    <w:rsid w:val="00CB6FC1"/>
    <w:rsid w:val="00CB7108"/>
    <w:rsid w:val="00CB710B"/>
    <w:rsid w:val="00CB7153"/>
    <w:rsid w:val="00CB72D7"/>
    <w:rsid w:val="00CB747D"/>
    <w:rsid w:val="00CB74EB"/>
    <w:rsid w:val="00CB7521"/>
    <w:rsid w:val="00CB757A"/>
    <w:rsid w:val="00CB79AC"/>
    <w:rsid w:val="00CB79CB"/>
    <w:rsid w:val="00CB7B67"/>
    <w:rsid w:val="00CB7C85"/>
    <w:rsid w:val="00CB7CAE"/>
    <w:rsid w:val="00CB7F0A"/>
    <w:rsid w:val="00CB7F97"/>
    <w:rsid w:val="00CC0381"/>
    <w:rsid w:val="00CC061D"/>
    <w:rsid w:val="00CC0704"/>
    <w:rsid w:val="00CC07CB"/>
    <w:rsid w:val="00CC090B"/>
    <w:rsid w:val="00CC09E7"/>
    <w:rsid w:val="00CC0B89"/>
    <w:rsid w:val="00CC0B90"/>
    <w:rsid w:val="00CC0CD1"/>
    <w:rsid w:val="00CC0D1D"/>
    <w:rsid w:val="00CC0E12"/>
    <w:rsid w:val="00CC0EF1"/>
    <w:rsid w:val="00CC100B"/>
    <w:rsid w:val="00CC116D"/>
    <w:rsid w:val="00CC12B2"/>
    <w:rsid w:val="00CC14C5"/>
    <w:rsid w:val="00CC14FF"/>
    <w:rsid w:val="00CC1720"/>
    <w:rsid w:val="00CC179A"/>
    <w:rsid w:val="00CC1800"/>
    <w:rsid w:val="00CC1BD0"/>
    <w:rsid w:val="00CC1C01"/>
    <w:rsid w:val="00CC1C28"/>
    <w:rsid w:val="00CC1C3B"/>
    <w:rsid w:val="00CC1ED5"/>
    <w:rsid w:val="00CC1FB8"/>
    <w:rsid w:val="00CC1FD4"/>
    <w:rsid w:val="00CC1FFC"/>
    <w:rsid w:val="00CC2029"/>
    <w:rsid w:val="00CC23C1"/>
    <w:rsid w:val="00CC23C6"/>
    <w:rsid w:val="00CC243D"/>
    <w:rsid w:val="00CC24BD"/>
    <w:rsid w:val="00CC2613"/>
    <w:rsid w:val="00CC261E"/>
    <w:rsid w:val="00CC27A7"/>
    <w:rsid w:val="00CC2821"/>
    <w:rsid w:val="00CC2A3B"/>
    <w:rsid w:val="00CC2B1A"/>
    <w:rsid w:val="00CC2B3F"/>
    <w:rsid w:val="00CC2B9B"/>
    <w:rsid w:val="00CC2F52"/>
    <w:rsid w:val="00CC305B"/>
    <w:rsid w:val="00CC3221"/>
    <w:rsid w:val="00CC324C"/>
    <w:rsid w:val="00CC3278"/>
    <w:rsid w:val="00CC32A0"/>
    <w:rsid w:val="00CC34DD"/>
    <w:rsid w:val="00CC37A8"/>
    <w:rsid w:val="00CC3886"/>
    <w:rsid w:val="00CC3A93"/>
    <w:rsid w:val="00CC3B31"/>
    <w:rsid w:val="00CC3B7C"/>
    <w:rsid w:val="00CC3BBB"/>
    <w:rsid w:val="00CC3D14"/>
    <w:rsid w:val="00CC3D3D"/>
    <w:rsid w:val="00CC3DCA"/>
    <w:rsid w:val="00CC3F7D"/>
    <w:rsid w:val="00CC3FD5"/>
    <w:rsid w:val="00CC4008"/>
    <w:rsid w:val="00CC4099"/>
    <w:rsid w:val="00CC44A0"/>
    <w:rsid w:val="00CC453F"/>
    <w:rsid w:val="00CC46D1"/>
    <w:rsid w:val="00CC4881"/>
    <w:rsid w:val="00CC48B9"/>
    <w:rsid w:val="00CC48FB"/>
    <w:rsid w:val="00CC4984"/>
    <w:rsid w:val="00CC4997"/>
    <w:rsid w:val="00CC49F9"/>
    <w:rsid w:val="00CC4A14"/>
    <w:rsid w:val="00CC4FD0"/>
    <w:rsid w:val="00CC4FD3"/>
    <w:rsid w:val="00CC507C"/>
    <w:rsid w:val="00CC50A1"/>
    <w:rsid w:val="00CC524C"/>
    <w:rsid w:val="00CC5485"/>
    <w:rsid w:val="00CC58E1"/>
    <w:rsid w:val="00CC5961"/>
    <w:rsid w:val="00CC599E"/>
    <w:rsid w:val="00CC5AD8"/>
    <w:rsid w:val="00CC600B"/>
    <w:rsid w:val="00CC6108"/>
    <w:rsid w:val="00CC621F"/>
    <w:rsid w:val="00CC6225"/>
    <w:rsid w:val="00CC6494"/>
    <w:rsid w:val="00CC649E"/>
    <w:rsid w:val="00CC665A"/>
    <w:rsid w:val="00CC66A9"/>
    <w:rsid w:val="00CC68AC"/>
    <w:rsid w:val="00CC6930"/>
    <w:rsid w:val="00CC6965"/>
    <w:rsid w:val="00CC69FD"/>
    <w:rsid w:val="00CC6BE3"/>
    <w:rsid w:val="00CC6C0C"/>
    <w:rsid w:val="00CC6D41"/>
    <w:rsid w:val="00CC6ED2"/>
    <w:rsid w:val="00CC7010"/>
    <w:rsid w:val="00CC70E4"/>
    <w:rsid w:val="00CC729E"/>
    <w:rsid w:val="00CC74AF"/>
    <w:rsid w:val="00CC75D2"/>
    <w:rsid w:val="00CC7982"/>
    <w:rsid w:val="00CC7A10"/>
    <w:rsid w:val="00CC7B70"/>
    <w:rsid w:val="00CC7BF7"/>
    <w:rsid w:val="00CC7D09"/>
    <w:rsid w:val="00CC7D0C"/>
    <w:rsid w:val="00CD0141"/>
    <w:rsid w:val="00CD0488"/>
    <w:rsid w:val="00CD07D4"/>
    <w:rsid w:val="00CD09CA"/>
    <w:rsid w:val="00CD0C3C"/>
    <w:rsid w:val="00CD0C9D"/>
    <w:rsid w:val="00CD0DBA"/>
    <w:rsid w:val="00CD0E1B"/>
    <w:rsid w:val="00CD0FF3"/>
    <w:rsid w:val="00CD1157"/>
    <w:rsid w:val="00CD120C"/>
    <w:rsid w:val="00CD1319"/>
    <w:rsid w:val="00CD16C2"/>
    <w:rsid w:val="00CD16F5"/>
    <w:rsid w:val="00CD1773"/>
    <w:rsid w:val="00CD1784"/>
    <w:rsid w:val="00CD1855"/>
    <w:rsid w:val="00CD1926"/>
    <w:rsid w:val="00CD19CD"/>
    <w:rsid w:val="00CD1B7E"/>
    <w:rsid w:val="00CD1C4A"/>
    <w:rsid w:val="00CD1D9F"/>
    <w:rsid w:val="00CD1E47"/>
    <w:rsid w:val="00CD1F44"/>
    <w:rsid w:val="00CD21D6"/>
    <w:rsid w:val="00CD224F"/>
    <w:rsid w:val="00CD2277"/>
    <w:rsid w:val="00CD2500"/>
    <w:rsid w:val="00CD279C"/>
    <w:rsid w:val="00CD289B"/>
    <w:rsid w:val="00CD28BA"/>
    <w:rsid w:val="00CD295A"/>
    <w:rsid w:val="00CD29F5"/>
    <w:rsid w:val="00CD2B0A"/>
    <w:rsid w:val="00CD2B28"/>
    <w:rsid w:val="00CD2D9D"/>
    <w:rsid w:val="00CD2DC3"/>
    <w:rsid w:val="00CD30AB"/>
    <w:rsid w:val="00CD3272"/>
    <w:rsid w:val="00CD369C"/>
    <w:rsid w:val="00CD373F"/>
    <w:rsid w:val="00CD379D"/>
    <w:rsid w:val="00CD3851"/>
    <w:rsid w:val="00CD3936"/>
    <w:rsid w:val="00CD3976"/>
    <w:rsid w:val="00CD3CCF"/>
    <w:rsid w:val="00CD3D0F"/>
    <w:rsid w:val="00CD3D4B"/>
    <w:rsid w:val="00CD3F46"/>
    <w:rsid w:val="00CD3FFD"/>
    <w:rsid w:val="00CD415E"/>
    <w:rsid w:val="00CD4179"/>
    <w:rsid w:val="00CD4397"/>
    <w:rsid w:val="00CD44A8"/>
    <w:rsid w:val="00CD4514"/>
    <w:rsid w:val="00CD473D"/>
    <w:rsid w:val="00CD483C"/>
    <w:rsid w:val="00CD4884"/>
    <w:rsid w:val="00CD4DDD"/>
    <w:rsid w:val="00CD4E92"/>
    <w:rsid w:val="00CD4F76"/>
    <w:rsid w:val="00CD5055"/>
    <w:rsid w:val="00CD5119"/>
    <w:rsid w:val="00CD5191"/>
    <w:rsid w:val="00CD5390"/>
    <w:rsid w:val="00CD53B7"/>
    <w:rsid w:val="00CD5488"/>
    <w:rsid w:val="00CD56FE"/>
    <w:rsid w:val="00CD5910"/>
    <w:rsid w:val="00CD59EA"/>
    <w:rsid w:val="00CD5AA1"/>
    <w:rsid w:val="00CD5BB6"/>
    <w:rsid w:val="00CD5C93"/>
    <w:rsid w:val="00CD5DC1"/>
    <w:rsid w:val="00CD5F90"/>
    <w:rsid w:val="00CD5FA6"/>
    <w:rsid w:val="00CD5FB8"/>
    <w:rsid w:val="00CD6363"/>
    <w:rsid w:val="00CD6532"/>
    <w:rsid w:val="00CD66E7"/>
    <w:rsid w:val="00CD6743"/>
    <w:rsid w:val="00CD6760"/>
    <w:rsid w:val="00CD6830"/>
    <w:rsid w:val="00CD691F"/>
    <w:rsid w:val="00CD6B16"/>
    <w:rsid w:val="00CD6B51"/>
    <w:rsid w:val="00CD6C3B"/>
    <w:rsid w:val="00CD6CC7"/>
    <w:rsid w:val="00CD6CD6"/>
    <w:rsid w:val="00CD6EBE"/>
    <w:rsid w:val="00CD7060"/>
    <w:rsid w:val="00CD7064"/>
    <w:rsid w:val="00CD7101"/>
    <w:rsid w:val="00CD71F7"/>
    <w:rsid w:val="00CD733B"/>
    <w:rsid w:val="00CD7506"/>
    <w:rsid w:val="00CD754A"/>
    <w:rsid w:val="00CD7640"/>
    <w:rsid w:val="00CD7718"/>
    <w:rsid w:val="00CD78F5"/>
    <w:rsid w:val="00CD79CC"/>
    <w:rsid w:val="00CD7A6A"/>
    <w:rsid w:val="00CD7D0E"/>
    <w:rsid w:val="00CD7E09"/>
    <w:rsid w:val="00CD7EA9"/>
    <w:rsid w:val="00CD7EC3"/>
    <w:rsid w:val="00CE01EF"/>
    <w:rsid w:val="00CE0615"/>
    <w:rsid w:val="00CE06D0"/>
    <w:rsid w:val="00CE06E8"/>
    <w:rsid w:val="00CE08FA"/>
    <w:rsid w:val="00CE106C"/>
    <w:rsid w:val="00CE11F1"/>
    <w:rsid w:val="00CE13C3"/>
    <w:rsid w:val="00CE1529"/>
    <w:rsid w:val="00CE1A0D"/>
    <w:rsid w:val="00CE1D94"/>
    <w:rsid w:val="00CE1E0C"/>
    <w:rsid w:val="00CE200E"/>
    <w:rsid w:val="00CE20A6"/>
    <w:rsid w:val="00CE2332"/>
    <w:rsid w:val="00CE2509"/>
    <w:rsid w:val="00CE255E"/>
    <w:rsid w:val="00CE257F"/>
    <w:rsid w:val="00CE2675"/>
    <w:rsid w:val="00CE2781"/>
    <w:rsid w:val="00CE28BB"/>
    <w:rsid w:val="00CE2B29"/>
    <w:rsid w:val="00CE2EB3"/>
    <w:rsid w:val="00CE2EFA"/>
    <w:rsid w:val="00CE2F6F"/>
    <w:rsid w:val="00CE2FCA"/>
    <w:rsid w:val="00CE306D"/>
    <w:rsid w:val="00CE3125"/>
    <w:rsid w:val="00CE322C"/>
    <w:rsid w:val="00CE328B"/>
    <w:rsid w:val="00CE3323"/>
    <w:rsid w:val="00CE3324"/>
    <w:rsid w:val="00CE3422"/>
    <w:rsid w:val="00CE342B"/>
    <w:rsid w:val="00CE3507"/>
    <w:rsid w:val="00CE36E4"/>
    <w:rsid w:val="00CE3796"/>
    <w:rsid w:val="00CE3930"/>
    <w:rsid w:val="00CE39CB"/>
    <w:rsid w:val="00CE3A2D"/>
    <w:rsid w:val="00CE3A73"/>
    <w:rsid w:val="00CE3C33"/>
    <w:rsid w:val="00CE3C5F"/>
    <w:rsid w:val="00CE3D6C"/>
    <w:rsid w:val="00CE3ED0"/>
    <w:rsid w:val="00CE3ED5"/>
    <w:rsid w:val="00CE3F87"/>
    <w:rsid w:val="00CE428B"/>
    <w:rsid w:val="00CE430A"/>
    <w:rsid w:val="00CE44DE"/>
    <w:rsid w:val="00CE4650"/>
    <w:rsid w:val="00CE4885"/>
    <w:rsid w:val="00CE4947"/>
    <w:rsid w:val="00CE4A69"/>
    <w:rsid w:val="00CE4CFC"/>
    <w:rsid w:val="00CE4E80"/>
    <w:rsid w:val="00CE4EF7"/>
    <w:rsid w:val="00CE4FAE"/>
    <w:rsid w:val="00CE5016"/>
    <w:rsid w:val="00CE51DF"/>
    <w:rsid w:val="00CE51EF"/>
    <w:rsid w:val="00CE52A6"/>
    <w:rsid w:val="00CE530B"/>
    <w:rsid w:val="00CE5391"/>
    <w:rsid w:val="00CE53C4"/>
    <w:rsid w:val="00CE53E0"/>
    <w:rsid w:val="00CE5410"/>
    <w:rsid w:val="00CE58EE"/>
    <w:rsid w:val="00CE59F3"/>
    <w:rsid w:val="00CE5AD6"/>
    <w:rsid w:val="00CE5C25"/>
    <w:rsid w:val="00CE5D8F"/>
    <w:rsid w:val="00CE5DEB"/>
    <w:rsid w:val="00CE5E62"/>
    <w:rsid w:val="00CE5E9B"/>
    <w:rsid w:val="00CE5F22"/>
    <w:rsid w:val="00CE5F3B"/>
    <w:rsid w:val="00CE60CC"/>
    <w:rsid w:val="00CE623C"/>
    <w:rsid w:val="00CE62A8"/>
    <w:rsid w:val="00CE6424"/>
    <w:rsid w:val="00CE6503"/>
    <w:rsid w:val="00CE6532"/>
    <w:rsid w:val="00CE65C1"/>
    <w:rsid w:val="00CE6A3B"/>
    <w:rsid w:val="00CE6AAD"/>
    <w:rsid w:val="00CE6BAD"/>
    <w:rsid w:val="00CE6CB9"/>
    <w:rsid w:val="00CE6CFD"/>
    <w:rsid w:val="00CE6F36"/>
    <w:rsid w:val="00CE7028"/>
    <w:rsid w:val="00CE7096"/>
    <w:rsid w:val="00CE72C3"/>
    <w:rsid w:val="00CE73F0"/>
    <w:rsid w:val="00CE7563"/>
    <w:rsid w:val="00CE75AD"/>
    <w:rsid w:val="00CE7773"/>
    <w:rsid w:val="00CE77D8"/>
    <w:rsid w:val="00CE7800"/>
    <w:rsid w:val="00CE786E"/>
    <w:rsid w:val="00CE7890"/>
    <w:rsid w:val="00CE78BC"/>
    <w:rsid w:val="00CE7A00"/>
    <w:rsid w:val="00CE7C14"/>
    <w:rsid w:val="00CE7C21"/>
    <w:rsid w:val="00CE7CCA"/>
    <w:rsid w:val="00CE7D9E"/>
    <w:rsid w:val="00CE7FAC"/>
    <w:rsid w:val="00CF009A"/>
    <w:rsid w:val="00CF011F"/>
    <w:rsid w:val="00CF0124"/>
    <w:rsid w:val="00CF0141"/>
    <w:rsid w:val="00CF01BF"/>
    <w:rsid w:val="00CF03CA"/>
    <w:rsid w:val="00CF048C"/>
    <w:rsid w:val="00CF04D9"/>
    <w:rsid w:val="00CF0547"/>
    <w:rsid w:val="00CF05B9"/>
    <w:rsid w:val="00CF0749"/>
    <w:rsid w:val="00CF07D0"/>
    <w:rsid w:val="00CF0927"/>
    <w:rsid w:val="00CF09BC"/>
    <w:rsid w:val="00CF09ED"/>
    <w:rsid w:val="00CF0B5C"/>
    <w:rsid w:val="00CF0B6A"/>
    <w:rsid w:val="00CF0C98"/>
    <w:rsid w:val="00CF0D8A"/>
    <w:rsid w:val="00CF0DEC"/>
    <w:rsid w:val="00CF0EB8"/>
    <w:rsid w:val="00CF0F7B"/>
    <w:rsid w:val="00CF0FB8"/>
    <w:rsid w:val="00CF0FD8"/>
    <w:rsid w:val="00CF1070"/>
    <w:rsid w:val="00CF1103"/>
    <w:rsid w:val="00CF12C4"/>
    <w:rsid w:val="00CF13A7"/>
    <w:rsid w:val="00CF1650"/>
    <w:rsid w:val="00CF17DA"/>
    <w:rsid w:val="00CF1928"/>
    <w:rsid w:val="00CF196D"/>
    <w:rsid w:val="00CF1CCF"/>
    <w:rsid w:val="00CF1D70"/>
    <w:rsid w:val="00CF1DDD"/>
    <w:rsid w:val="00CF1EEE"/>
    <w:rsid w:val="00CF239E"/>
    <w:rsid w:val="00CF239F"/>
    <w:rsid w:val="00CF2475"/>
    <w:rsid w:val="00CF270F"/>
    <w:rsid w:val="00CF2840"/>
    <w:rsid w:val="00CF2992"/>
    <w:rsid w:val="00CF29DE"/>
    <w:rsid w:val="00CF2A90"/>
    <w:rsid w:val="00CF2AEF"/>
    <w:rsid w:val="00CF2B0C"/>
    <w:rsid w:val="00CF2C6F"/>
    <w:rsid w:val="00CF2C8B"/>
    <w:rsid w:val="00CF2CAD"/>
    <w:rsid w:val="00CF2CD0"/>
    <w:rsid w:val="00CF2D07"/>
    <w:rsid w:val="00CF2D81"/>
    <w:rsid w:val="00CF2E87"/>
    <w:rsid w:val="00CF3045"/>
    <w:rsid w:val="00CF3168"/>
    <w:rsid w:val="00CF3272"/>
    <w:rsid w:val="00CF360E"/>
    <w:rsid w:val="00CF37B6"/>
    <w:rsid w:val="00CF384E"/>
    <w:rsid w:val="00CF3974"/>
    <w:rsid w:val="00CF39A8"/>
    <w:rsid w:val="00CF3C46"/>
    <w:rsid w:val="00CF3E8A"/>
    <w:rsid w:val="00CF3E8F"/>
    <w:rsid w:val="00CF3F01"/>
    <w:rsid w:val="00CF4215"/>
    <w:rsid w:val="00CF4345"/>
    <w:rsid w:val="00CF436C"/>
    <w:rsid w:val="00CF4390"/>
    <w:rsid w:val="00CF44BF"/>
    <w:rsid w:val="00CF44E2"/>
    <w:rsid w:val="00CF46EE"/>
    <w:rsid w:val="00CF4781"/>
    <w:rsid w:val="00CF47C2"/>
    <w:rsid w:val="00CF4996"/>
    <w:rsid w:val="00CF4C1E"/>
    <w:rsid w:val="00CF4C85"/>
    <w:rsid w:val="00CF4D47"/>
    <w:rsid w:val="00CF4EC0"/>
    <w:rsid w:val="00CF500D"/>
    <w:rsid w:val="00CF5125"/>
    <w:rsid w:val="00CF51AA"/>
    <w:rsid w:val="00CF51BE"/>
    <w:rsid w:val="00CF5368"/>
    <w:rsid w:val="00CF5405"/>
    <w:rsid w:val="00CF5538"/>
    <w:rsid w:val="00CF55B2"/>
    <w:rsid w:val="00CF55E0"/>
    <w:rsid w:val="00CF56E2"/>
    <w:rsid w:val="00CF5706"/>
    <w:rsid w:val="00CF5A38"/>
    <w:rsid w:val="00CF5B09"/>
    <w:rsid w:val="00CF5B1F"/>
    <w:rsid w:val="00CF5BAC"/>
    <w:rsid w:val="00CF5D2A"/>
    <w:rsid w:val="00CF6062"/>
    <w:rsid w:val="00CF6075"/>
    <w:rsid w:val="00CF60D6"/>
    <w:rsid w:val="00CF61C6"/>
    <w:rsid w:val="00CF63E6"/>
    <w:rsid w:val="00CF6473"/>
    <w:rsid w:val="00CF65BA"/>
    <w:rsid w:val="00CF662F"/>
    <w:rsid w:val="00CF6775"/>
    <w:rsid w:val="00CF68BC"/>
    <w:rsid w:val="00CF68E8"/>
    <w:rsid w:val="00CF6985"/>
    <w:rsid w:val="00CF6C26"/>
    <w:rsid w:val="00CF6C75"/>
    <w:rsid w:val="00CF6E93"/>
    <w:rsid w:val="00CF73F6"/>
    <w:rsid w:val="00CF7830"/>
    <w:rsid w:val="00CF7934"/>
    <w:rsid w:val="00CF7939"/>
    <w:rsid w:val="00CF79EB"/>
    <w:rsid w:val="00CF7A39"/>
    <w:rsid w:val="00CF7A61"/>
    <w:rsid w:val="00CF7D48"/>
    <w:rsid w:val="00CF7F76"/>
    <w:rsid w:val="00CF7FB2"/>
    <w:rsid w:val="00D0001E"/>
    <w:rsid w:val="00D0017C"/>
    <w:rsid w:val="00D0033D"/>
    <w:rsid w:val="00D003D5"/>
    <w:rsid w:val="00D004B1"/>
    <w:rsid w:val="00D004C3"/>
    <w:rsid w:val="00D005CD"/>
    <w:rsid w:val="00D0060F"/>
    <w:rsid w:val="00D0061C"/>
    <w:rsid w:val="00D008D3"/>
    <w:rsid w:val="00D00B3B"/>
    <w:rsid w:val="00D00D47"/>
    <w:rsid w:val="00D00F91"/>
    <w:rsid w:val="00D01048"/>
    <w:rsid w:val="00D0118E"/>
    <w:rsid w:val="00D0165A"/>
    <w:rsid w:val="00D01695"/>
    <w:rsid w:val="00D01705"/>
    <w:rsid w:val="00D0175A"/>
    <w:rsid w:val="00D019D3"/>
    <w:rsid w:val="00D01B50"/>
    <w:rsid w:val="00D01BEE"/>
    <w:rsid w:val="00D01CB5"/>
    <w:rsid w:val="00D020B2"/>
    <w:rsid w:val="00D02148"/>
    <w:rsid w:val="00D0221D"/>
    <w:rsid w:val="00D022D9"/>
    <w:rsid w:val="00D0232E"/>
    <w:rsid w:val="00D02378"/>
    <w:rsid w:val="00D02418"/>
    <w:rsid w:val="00D02501"/>
    <w:rsid w:val="00D02582"/>
    <w:rsid w:val="00D025BB"/>
    <w:rsid w:val="00D025ED"/>
    <w:rsid w:val="00D02839"/>
    <w:rsid w:val="00D02B0C"/>
    <w:rsid w:val="00D02C49"/>
    <w:rsid w:val="00D02CC6"/>
    <w:rsid w:val="00D031FD"/>
    <w:rsid w:val="00D03299"/>
    <w:rsid w:val="00D03339"/>
    <w:rsid w:val="00D033B2"/>
    <w:rsid w:val="00D033B3"/>
    <w:rsid w:val="00D0344B"/>
    <w:rsid w:val="00D03481"/>
    <w:rsid w:val="00D03485"/>
    <w:rsid w:val="00D034B5"/>
    <w:rsid w:val="00D038AF"/>
    <w:rsid w:val="00D038DF"/>
    <w:rsid w:val="00D039D0"/>
    <w:rsid w:val="00D03A11"/>
    <w:rsid w:val="00D03A9C"/>
    <w:rsid w:val="00D03AEC"/>
    <w:rsid w:val="00D03C6B"/>
    <w:rsid w:val="00D03D55"/>
    <w:rsid w:val="00D041B7"/>
    <w:rsid w:val="00D041FA"/>
    <w:rsid w:val="00D042AD"/>
    <w:rsid w:val="00D04375"/>
    <w:rsid w:val="00D04403"/>
    <w:rsid w:val="00D044B2"/>
    <w:rsid w:val="00D04925"/>
    <w:rsid w:val="00D04C38"/>
    <w:rsid w:val="00D051CA"/>
    <w:rsid w:val="00D054C6"/>
    <w:rsid w:val="00D055B6"/>
    <w:rsid w:val="00D05643"/>
    <w:rsid w:val="00D05776"/>
    <w:rsid w:val="00D0595C"/>
    <w:rsid w:val="00D05C30"/>
    <w:rsid w:val="00D05C7C"/>
    <w:rsid w:val="00D05CC0"/>
    <w:rsid w:val="00D05D2B"/>
    <w:rsid w:val="00D05DCB"/>
    <w:rsid w:val="00D05E02"/>
    <w:rsid w:val="00D05E25"/>
    <w:rsid w:val="00D05EA0"/>
    <w:rsid w:val="00D06106"/>
    <w:rsid w:val="00D06260"/>
    <w:rsid w:val="00D06378"/>
    <w:rsid w:val="00D0645D"/>
    <w:rsid w:val="00D0650F"/>
    <w:rsid w:val="00D06577"/>
    <w:rsid w:val="00D0669D"/>
    <w:rsid w:val="00D067AB"/>
    <w:rsid w:val="00D06921"/>
    <w:rsid w:val="00D06946"/>
    <w:rsid w:val="00D06A11"/>
    <w:rsid w:val="00D06A5E"/>
    <w:rsid w:val="00D06BF2"/>
    <w:rsid w:val="00D06DB7"/>
    <w:rsid w:val="00D06DD4"/>
    <w:rsid w:val="00D06EE8"/>
    <w:rsid w:val="00D07043"/>
    <w:rsid w:val="00D071DD"/>
    <w:rsid w:val="00D0743D"/>
    <w:rsid w:val="00D074B9"/>
    <w:rsid w:val="00D0774D"/>
    <w:rsid w:val="00D07784"/>
    <w:rsid w:val="00D07880"/>
    <w:rsid w:val="00D07882"/>
    <w:rsid w:val="00D078BF"/>
    <w:rsid w:val="00D07A14"/>
    <w:rsid w:val="00D07A5E"/>
    <w:rsid w:val="00D07BDD"/>
    <w:rsid w:val="00D07D19"/>
    <w:rsid w:val="00D07D49"/>
    <w:rsid w:val="00D101D1"/>
    <w:rsid w:val="00D10346"/>
    <w:rsid w:val="00D103D7"/>
    <w:rsid w:val="00D10594"/>
    <w:rsid w:val="00D1080A"/>
    <w:rsid w:val="00D10857"/>
    <w:rsid w:val="00D108C3"/>
    <w:rsid w:val="00D10A1D"/>
    <w:rsid w:val="00D10C2F"/>
    <w:rsid w:val="00D10C64"/>
    <w:rsid w:val="00D10E4E"/>
    <w:rsid w:val="00D1102C"/>
    <w:rsid w:val="00D111EB"/>
    <w:rsid w:val="00D11228"/>
    <w:rsid w:val="00D11297"/>
    <w:rsid w:val="00D1136B"/>
    <w:rsid w:val="00D11479"/>
    <w:rsid w:val="00D116B7"/>
    <w:rsid w:val="00D116ED"/>
    <w:rsid w:val="00D118D9"/>
    <w:rsid w:val="00D11A96"/>
    <w:rsid w:val="00D11AC7"/>
    <w:rsid w:val="00D11CA6"/>
    <w:rsid w:val="00D11CC0"/>
    <w:rsid w:val="00D11D24"/>
    <w:rsid w:val="00D11E17"/>
    <w:rsid w:val="00D11F3E"/>
    <w:rsid w:val="00D11F70"/>
    <w:rsid w:val="00D12488"/>
    <w:rsid w:val="00D124D1"/>
    <w:rsid w:val="00D126D3"/>
    <w:rsid w:val="00D1276C"/>
    <w:rsid w:val="00D12860"/>
    <w:rsid w:val="00D12990"/>
    <w:rsid w:val="00D129AF"/>
    <w:rsid w:val="00D12A79"/>
    <w:rsid w:val="00D12AA4"/>
    <w:rsid w:val="00D12E0A"/>
    <w:rsid w:val="00D13007"/>
    <w:rsid w:val="00D1308E"/>
    <w:rsid w:val="00D13152"/>
    <w:rsid w:val="00D131BB"/>
    <w:rsid w:val="00D13284"/>
    <w:rsid w:val="00D133B9"/>
    <w:rsid w:val="00D133F4"/>
    <w:rsid w:val="00D13432"/>
    <w:rsid w:val="00D1358A"/>
    <w:rsid w:val="00D13642"/>
    <w:rsid w:val="00D13712"/>
    <w:rsid w:val="00D13AA7"/>
    <w:rsid w:val="00D13D41"/>
    <w:rsid w:val="00D13D5A"/>
    <w:rsid w:val="00D13F7A"/>
    <w:rsid w:val="00D13FBA"/>
    <w:rsid w:val="00D141CA"/>
    <w:rsid w:val="00D1484D"/>
    <w:rsid w:val="00D1496C"/>
    <w:rsid w:val="00D149E1"/>
    <w:rsid w:val="00D14AED"/>
    <w:rsid w:val="00D14AF9"/>
    <w:rsid w:val="00D14DF0"/>
    <w:rsid w:val="00D14E70"/>
    <w:rsid w:val="00D14E98"/>
    <w:rsid w:val="00D14F4B"/>
    <w:rsid w:val="00D14FE4"/>
    <w:rsid w:val="00D150BF"/>
    <w:rsid w:val="00D15219"/>
    <w:rsid w:val="00D1533E"/>
    <w:rsid w:val="00D1543B"/>
    <w:rsid w:val="00D15568"/>
    <w:rsid w:val="00D15796"/>
    <w:rsid w:val="00D1589F"/>
    <w:rsid w:val="00D158B6"/>
    <w:rsid w:val="00D15A10"/>
    <w:rsid w:val="00D15BC2"/>
    <w:rsid w:val="00D15D21"/>
    <w:rsid w:val="00D15D9B"/>
    <w:rsid w:val="00D15DE7"/>
    <w:rsid w:val="00D15F38"/>
    <w:rsid w:val="00D1607F"/>
    <w:rsid w:val="00D16219"/>
    <w:rsid w:val="00D1627B"/>
    <w:rsid w:val="00D16367"/>
    <w:rsid w:val="00D163ED"/>
    <w:rsid w:val="00D1652C"/>
    <w:rsid w:val="00D1653A"/>
    <w:rsid w:val="00D16556"/>
    <w:rsid w:val="00D167FC"/>
    <w:rsid w:val="00D1684C"/>
    <w:rsid w:val="00D16852"/>
    <w:rsid w:val="00D1687E"/>
    <w:rsid w:val="00D16890"/>
    <w:rsid w:val="00D16932"/>
    <w:rsid w:val="00D169A8"/>
    <w:rsid w:val="00D169E3"/>
    <w:rsid w:val="00D16A3F"/>
    <w:rsid w:val="00D16B42"/>
    <w:rsid w:val="00D16B4C"/>
    <w:rsid w:val="00D16BDA"/>
    <w:rsid w:val="00D16C29"/>
    <w:rsid w:val="00D16CDA"/>
    <w:rsid w:val="00D16D3D"/>
    <w:rsid w:val="00D16EAC"/>
    <w:rsid w:val="00D16F5B"/>
    <w:rsid w:val="00D17043"/>
    <w:rsid w:val="00D1705C"/>
    <w:rsid w:val="00D17289"/>
    <w:rsid w:val="00D172D8"/>
    <w:rsid w:val="00D172ED"/>
    <w:rsid w:val="00D173C6"/>
    <w:rsid w:val="00D173DA"/>
    <w:rsid w:val="00D17555"/>
    <w:rsid w:val="00D176C5"/>
    <w:rsid w:val="00D177C5"/>
    <w:rsid w:val="00D17A5B"/>
    <w:rsid w:val="00D17C26"/>
    <w:rsid w:val="00D17F95"/>
    <w:rsid w:val="00D17FFB"/>
    <w:rsid w:val="00D20072"/>
    <w:rsid w:val="00D2049F"/>
    <w:rsid w:val="00D2050D"/>
    <w:rsid w:val="00D20567"/>
    <w:rsid w:val="00D2080B"/>
    <w:rsid w:val="00D208E1"/>
    <w:rsid w:val="00D20BF9"/>
    <w:rsid w:val="00D20DA5"/>
    <w:rsid w:val="00D21172"/>
    <w:rsid w:val="00D212BB"/>
    <w:rsid w:val="00D2133A"/>
    <w:rsid w:val="00D21582"/>
    <w:rsid w:val="00D21B6E"/>
    <w:rsid w:val="00D21BAB"/>
    <w:rsid w:val="00D21C8B"/>
    <w:rsid w:val="00D21C93"/>
    <w:rsid w:val="00D21D94"/>
    <w:rsid w:val="00D22027"/>
    <w:rsid w:val="00D220DC"/>
    <w:rsid w:val="00D220EB"/>
    <w:rsid w:val="00D22321"/>
    <w:rsid w:val="00D223DD"/>
    <w:rsid w:val="00D2240C"/>
    <w:rsid w:val="00D22414"/>
    <w:rsid w:val="00D226DA"/>
    <w:rsid w:val="00D2277F"/>
    <w:rsid w:val="00D227B5"/>
    <w:rsid w:val="00D22828"/>
    <w:rsid w:val="00D22848"/>
    <w:rsid w:val="00D22884"/>
    <w:rsid w:val="00D22930"/>
    <w:rsid w:val="00D22933"/>
    <w:rsid w:val="00D22B25"/>
    <w:rsid w:val="00D22C2D"/>
    <w:rsid w:val="00D22C83"/>
    <w:rsid w:val="00D22D7F"/>
    <w:rsid w:val="00D22E34"/>
    <w:rsid w:val="00D23282"/>
    <w:rsid w:val="00D23472"/>
    <w:rsid w:val="00D2353F"/>
    <w:rsid w:val="00D235FB"/>
    <w:rsid w:val="00D23674"/>
    <w:rsid w:val="00D236A1"/>
    <w:rsid w:val="00D237FF"/>
    <w:rsid w:val="00D239E3"/>
    <w:rsid w:val="00D23A8F"/>
    <w:rsid w:val="00D23D20"/>
    <w:rsid w:val="00D23F0A"/>
    <w:rsid w:val="00D23F39"/>
    <w:rsid w:val="00D241E2"/>
    <w:rsid w:val="00D24391"/>
    <w:rsid w:val="00D24462"/>
    <w:rsid w:val="00D244C7"/>
    <w:rsid w:val="00D2462F"/>
    <w:rsid w:val="00D2467B"/>
    <w:rsid w:val="00D24685"/>
    <w:rsid w:val="00D247D2"/>
    <w:rsid w:val="00D248C0"/>
    <w:rsid w:val="00D249BB"/>
    <w:rsid w:val="00D24B63"/>
    <w:rsid w:val="00D24BC8"/>
    <w:rsid w:val="00D24DC4"/>
    <w:rsid w:val="00D24DF1"/>
    <w:rsid w:val="00D24E3C"/>
    <w:rsid w:val="00D24EBB"/>
    <w:rsid w:val="00D24EF2"/>
    <w:rsid w:val="00D24F74"/>
    <w:rsid w:val="00D2507D"/>
    <w:rsid w:val="00D250C2"/>
    <w:rsid w:val="00D25126"/>
    <w:rsid w:val="00D2536C"/>
    <w:rsid w:val="00D25438"/>
    <w:rsid w:val="00D256EC"/>
    <w:rsid w:val="00D257BF"/>
    <w:rsid w:val="00D257D7"/>
    <w:rsid w:val="00D25D3C"/>
    <w:rsid w:val="00D25F51"/>
    <w:rsid w:val="00D262ED"/>
    <w:rsid w:val="00D26650"/>
    <w:rsid w:val="00D266A4"/>
    <w:rsid w:val="00D2679D"/>
    <w:rsid w:val="00D2691E"/>
    <w:rsid w:val="00D26ACD"/>
    <w:rsid w:val="00D26D6A"/>
    <w:rsid w:val="00D26D8D"/>
    <w:rsid w:val="00D26F39"/>
    <w:rsid w:val="00D2703D"/>
    <w:rsid w:val="00D2733F"/>
    <w:rsid w:val="00D27396"/>
    <w:rsid w:val="00D2775F"/>
    <w:rsid w:val="00D277F1"/>
    <w:rsid w:val="00D278D3"/>
    <w:rsid w:val="00D27A46"/>
    <w:rsid w:val="00D27A50"/>
    <w:rsid w:val="00D27ADA"/>
    <w:rsid w:val="00D27B3D"/>
    <w:rsid w:val="00D27C4F"/>
    <w:rsid w:val="00D27CBE"/>
    <w:rsid w:val="00D27CF4"/>
    <w:rsid w:val="00D27DAD"/>
    <w:rsid w:val="00D27EAB"/>
    <w:rsid w:val="00D300F1"/>
    <w:rsid w:val="00D30375"/>
    <w:rsid w:val="00D3052A"/>
    <w:rsid w:val="00D30565"/>
    <w:rsid w:val="00D30681"/>
    <w:rsid w:val="00D3082D"/>
    <w:rsid w:val="00D3094E"/>
    <w:rsid w:val="00D309D5"/>
    <w:rsid w:val="00D30D76"/>
    <w:rsid w:val="00D30EF1"/>
    <w:rsid w:val="00D30FB0"/>
    <w:rsid w:val="00D30FF7"/>
    <w:rsid w:val="00D310F1"/>
    <w:rsid w:val="00D312F3"/>
    <w:rsid w:val="00D31383"/>
    <w:rsid w:val="00D313D5"/>
    <w:rsid w:val="00D31579"/>
    <w:rsid w:val="00D3169F"/>
    <w:rsid w:val="00D31784"/>
    <w:rsid w:val="00D317A2"/>
    <w:rsid w:val="00D3185F"/>
    <w:rsid w:val="00D31942"/>
    <w:rsid w:val="00D319F2"/>
    <w:rsid w:val="00D31A55"/>
    <w:rsid w:val="00D31A8B"/>
    <w:rsid w:val="00D31BC4"/>
    <w:rsid w:val="00D31C8E"/>
    <w:rsid w:val="00D31CA1"/>
    <w:rsid w:val="00D31CE4"/>
    <w:rsid w:val="00D31E98"/>
    <w:rsid w:val="00D31EEC"/>
    <w:rsid w:val="00D31FE3"/>
    <w:rsid w:val="00D32172"/>
    <w:rsid w:val="00D3221B"/>
    <w:rsid w:val="00D324A7"/>
    <w:rsid w:val="00D324B1"/>
    <w:rsid w:val="00D324BA"/>
    <w:rsid w:val="00D3262A"/>
    <w:rsid w:val="00D32789"/>
    <w:rsid w:val="00D32877"/>
    <w:rsid w:val="00D32A9D"/>
    <w:rsid w:val="00D32DE2"/>
    <w:rsid w:val="00D32EA4"/>
    <w:rsid w:val="00D32F90"/>
    <w:rsid w:val="00D32FAE"/>
    <w:rsid w:val="00D330AD"/>
    <w:rsid w:val="00D33399"/>
    <w:rsid w:val="00D33486"/>
    <w:rsid w:val="00D334EC"/>
    <w:rsid w:val="00D335AE"/>
    <w:rsid w:val="00D336C3"/>
    <w:rsid w:val="00D336C4"/>
    <w:rsid w:val="00D33736"/>
    <w:rsid w:val="00D33739"/>
    <w:rsid w:val="00D33856"/>
    <w:rsid w:val="00D33D6C"/>
    <w:rsid w:val="00D33DDA"/>
    <w:rsid w:val="00D33E03"/>
    <w:rsid w:val="00D33E77"/>
    <w:rsid w:val="00D33EC8"/>
    <w:rsid w:val="00D33F0B"/>
    <w:rsid w:val="00D33F5E"/>
    <w:rsid w:val="00D33F75"/>
    <w:rsid w:val="00D33F97"/>
    <w:rsid w:val="00D3401A"/>
    <w:rsid w:val="00D34026"/>
    <w:rsid w:val="00D34097"/>
    <w:rsid w:val="00D34524"/>
    <w:rsid w:val="00D3459B"/>
    <w:rsid w:val="00D345DB"/>
    <w:rsid w:val="00D34611"/>
    <w:rsid w:val="00D3476C"/>
    <w:rsid w:val="00D348A1"/>
    <w:rsid w:val="00D34A4E"/>
    <w:rsid w:val="00D34B19"/>
    <w:rsid w:val="00D34BE0"/>
    <w:rsid w:val="00D34C74"/>
    <w:rsid w:val="00D34D5E"/>
    <w:rsid w:val="00D34D77"/>
    <w:rsid w:val="00D34E76"/>
    <w:rsid w:val="00D34FDA"/>
    <w:rsid w:val="00D351C0"/>
    <w:rsid w:val="00D352FC"/>
    <w:rsid w:val="00D35341"/>
    <w:rsid w:val="00D355CD"/>
    <w:rsid w:val="00D3581E"/>
    <w:rsid w:val="00D3588B"/>
    <w:rsid w:val="00D359B4"/>
    <w:rsid w:val="00D35C60"/>
    <w:rsid w:val="00D35E2D"/>
    <w:rsid w:val="00D35EB7"/>
    <w:rsid w:val="00D35F66"/>
    <w:rsid w:val="00D3601C"/>
    <w:rsid w:val="00D36089"/>
    <w:rsid w:val="00D3611C"/>
    <w:rsid w:val="00D36480"/>
    <w:rsid w:val="00D365A7"/>
    <w:rsid w:val="00D3660E"/>
    <w:rsid w:val="00D36632"/>
    <w:rsid w:val="00D3665E"/>
    <w:rsid w:val="00D36836"/>
    <w:rsid w:val="00D368A6"/>
    <w:rsid w:val="00D36AAC"/>
    <w:rsid w:val="00D36DE5"/>
    <w:rsid w:val="00D36E78"/>
    <w:rsid w:val="00D36E7B"/>
    <w:rsid w:val="00D3701A"/>
    <w:rsid w:val="00D3716B"/>
    <w:rsid w:val="00D372AD"/>
    <w:rsid w:val="00D37578"/>
    <w:rsid w:val="00D37703"/>
    <w:rsid w:val="00D37A85"/>
    <w:rsid w:val="00D40089"/>
    <w:rsid w:val="00D4010C"/>
    <w:rsid w:val="00D404B8"/>
    <w:rsid w:val="00D4057C"/>
    <w:rsid w:val="00D40595"/>
    <w:rsid w:val="00D40640"/>
    <w:rsid w:val="00D4073E"/>
    <w:rsid w:val="00D4087D"/>
    <w:rsid w:val="00D40960"/>
    <w:rsid w:val="00D40CF3"/>
    <w:rsid w:val="00D40D2D"/>
    <w:rsid w:val="00D40D33"/>
    <w:rsid w:val="00D40E25"/>
    <w:rsid w:val="00D40EC9"/>
    <w:rsid w:val="00D40F7E"/>
    <w:rsid w:val="00D4102C"/>
    <w:rsid w:val="00D41109"/>
    <w:rsid w:val="00D41201"/>
    <w:rsid w:val="00D41308"/>
    <w:rsid w:val="00D4133A"/>
    <w:rsid w:val="00D4158D"/>
    <w:rsid w:val="00D41594"/>
    <w:rsid w:val="00D415BC"/>
    <w:rsid w:val="00D415D1"/>
    <w:rsid w:val="00D4169D"/>
    <w:rsid w:val="00D4196F"/>
    <w:rsid w:val="00D41AA1"/>
    <w:rsid w:val="00D41BB1"/>
    <w:rsid w:val="00D41CE6"/>
    <w:rsid w:val="00D41E43"/>
    <w:rsid w:val="00D41EA7"/>
    <w:rsid w:val="00D41EDF"/>
    <w:rsid w:val="00D42443"/>
    <w:rsid w:val="00D4252E"/>
    <w:rsid w:val="00D42720"/>
    <w:rsid w:val="00D4298F"/>
    <w:rsid w:val="00D42A32"/>
    <w:rsid w:val="00D42AE0"/>
    <w:rsid w:val="00D42C8A"/>
    <w:rsid w:val="00D42CA5"/>
    <w:rsid w:val="00D42E23"/>
    <w:rsid w:val="00D43038"/>
    <w:rsid w:val="00D433CF"/>
    <w:rsid w:val="00D4348F"/>
    <w:rsid w:val="00D4353E"/>
    <w:rsid w:val="00D43572"/>
    <w:rsid w:val="00D4365F"/>
    <w:rsid w:val="00D43937"/>
    <w:rsid w:val="00D43A7E"/>
    <w:rsid w:val="00D43AD3"/>
    <w:rsid w:val="00D43D6B"/>
    <w:rsid w:val="00D44224"/>
    <w:rsid w:val="00D4435F"/>
    <w:rsid w:val="00D44368"/>
    <w:rsid w:val="00D444D7"/>
    <w:rsid w:val="00D4455B"/>
    <w:rsid w:val="00D4466A"/>
    <w:rsid w:val="00D44715"/>
    <w:rsid w:val="00D4475D"/>
    <w:rsid w:val="00D447BC"/>
    <w:rsid w:val="00D44901"/>
    <w:rsid w:val="00D44921"/>
    <w:rsid w:val="00D449F2"/>
    <w:rsid w:val="00D44A12"/>
    <w:rsid w:val="00D44A6C"/>
    <w:rsid w:val="00D44A6D"/>
    <w:rsid w:val="00D44B35"/>
    <w:rsid w:val="00D44B7E"/>
    <w:rsid w:val="00D44CE3"/>
    <w:rsid w:val="00D44D80"/>
    <w:rsid w:val="00D450AE"/>
    <w:rsid w:val="00D451ED"/>
    <w:rsid w:val="00D45234"/>
    <w:rsid w:val="00D4530E"/>
    <w:rsid w:val="00D4534D"/>
    <w:rsid w:val="00D45440"/>
    <w:rsid w:val="00D45551"/>
    <w:rsid w:val="00D4564A"/>
    <w:rsid w:val="00D45726"/>
    <w:rsid w:val="00D457BE"/>
    <w:rsid w:val="00D4588E"/>
    <w:rsid w:val="00D458B4"/>
    <w:rsid w:val="00D458B8"/>
    <w:rsid w:val="00D458D6"/>
    <w:rsid w:val="00D459AA"/>
    <w:rsid w:val="00D45AB7"/>
    <w:rsid w:val="00D45C79"/>
    <w:rsid w:val="00D45D74"/>
    <w:rsid w:val="00D45E6F"/>
    <w:rsid w:val="00D45FC1"/>
    <w:rsid w:val="00D45FDA"/>
    <w:rsid w:val="00D460B9"/>
    <w:rsid w:val="00D460E7"/>
    <w:rsid w:val="00D461BC"/>
    <w:rsid w:val="00D46539"/>
    <w:rsid w:val="00D4680A"/>
    <w:rsid w:val="00D46C92"/>
    <w:rsid w:val="00D46D7B"/>
    <w:rsid w:val="00D47031"/>
    <w:rsid w:val="00D4732D"/>
    <w:rsid w:val="00D47631"/>
    <w:rsid w:val="00D47633"/>
    <w:rsid w:val="00D47659"/>
    <w:rsid w:val="00D4773B"/>
    <w:rsid w:val="00D4776A"/>
    <w:rsid w:val="00D479F8"/>
    <w:rsid w:val="00D47A96"/>
    <w:rsid w:val="00D47B23"/>
    <w:rsid w:val="00D47BC7"/>
    <w:rsid w:val="00D47C1A"/>
    <w:rsid w:val="00D47FD9"/>
    <w:rsid w:val="00D50299"/>
    <w:rsid w:val="00D502C1"/>
    <w:rsid w:val="00D503FA"/>
    <w:rsid w:val="00D50554"/>
    <w:rsid w:val="00D506DD"/>
    <w:rsid w:val="00D50767"/>
    <w:rsid w:val="00D50861"/>
    <w:rsid w:val="00D50863"/>
    <w:rsid w:val="00D50B69"/>
    <w:rsid w:val="00D50B9D"/>
    <w:rsid w:val="00D50DC7"/>
    <w:rsid w:val="00D50EA4"/>
    <w:rsid w:val="00D5104F"/>
    <w:rsid w:val="00D5119D"/>
    <w:rsid w:val="00D513DE"/>
    <w:rsid w:val="00D515A1"/>
    <w:rsid w:val="00D51761"/>
    <w:rsid w:val="00D51A29"/>
    <w:rsid w:val="00D51B28"/>
    <w:rsid w:val="00D51C3A"/>
    <w:rsid w:val="00D51CC8"/>
    <w:rsid w:val="00D51DAE"/>
    <w:rsid w:val="00D51DD0"/>
    <w:rsid w:val="00D52090"/>
    <w:rsid w:val="00D52273"/>
    <w:rsid w:val="00D5245F"/>
    <w:rsid w:val="00D52671"/>
    <w:rsid w:val="00D526A5"/>
    <w:rsid w:val="00D52734"/>
    <w:rsid w:val="00D527B1"/>
    <w:rsid w:val="00D5280D"/>
    <w:rsid w:val="00D52888"/>
    <w:rsid w:val="00D52C76"/>
    <w:rsid w:val="00D52DEC"/>
    <w:rsid w:val="00D52EDB"/>
    <w:rsid w:val="00D52FDC"/>
    <w:rsid w:val="00D53054"/>
    <w:rsid w:val="00D53060"/>
    <w:rsid w:val="00D53385"/>
    <w:rsid w:val="00D5370D"/>
    <w:rsid w:val="00D53712"/>
    <w:rsid w:val="00D537A2"/>
    <w:rsid w:val="00D5386B"/>
    <w:rsid w:val="00D5389B"/>
    <w:rsid w:val="00D538C5"/>
    <w:rsid w:val="00D53911"/>
    <w:rsid w:val="00D53999"/>
    <w:rsid w:val="00D53A2B"/>
    <w:rsid w:val="00D53B20"/>
    <w:rsid w:val="00D53B58"/>
    <w:rsid w:val="00D53BB8"/>
    <w:rsid w:val="00D53E41"/>
    <w:rsid w:val="00D53EB4"/>
    <w:rsid w:val="00D54061"/>
    <w:rsid w:val="00D540CC"/>
    <w:rsid w:val="00D540F3"/>
    <w:rsid w:val="00D5424E"/>
    <w:rsid w:val="00D54394"/>
    <w:rsid w:val="00D5451A"/>
    <w:rsid w:val="00D5467F"/>
    <w:rsid w:val="00D5472C"/>
    <w:rsid w:val="00D548F2"/>
    <w:rsid w:val="00D54C4A"/>
    <w:rsid w:val="00D54E71"/>
    <w:rsid w:val="00D54FB1"/>
    <w:rsid w:val="00D55546"/>
    <w:rsid w:val="00D55957"/>
    <w:rsid w:val="00D55AAB"/>
    <w:rsid w:val="00D55B20"/>
    <w:rsid w:val="00D55B58"/>
    <w:rsid w:val="00D55D16"/>
    <w:rsid w:val="00D55DA4"/>
    <w:rsid w:val="00D55DBF"/>
    <w:rsid w:val="00D55ED2"/>
    <w:rsid w:val="00D560F9"/>
    <w:rsid w:val="00D56274"/>
    <w:rsid w:val="00D564C2"/>
    <w:rsid w:val="00D56563"/>
    <w:rsid w:val="00D565CD"/>
    <w:rsid w:val="00D567B5"/>
    <w:rsid w:val="00D56854"/>
    <w:rsid w:val="00D568D9"/>
    <w:rsid w:val="00D56B5D"/>
    <w:rsid w:val="00D56B8A"/>
    <w:rsid w:val="00D56D6C"/>
    <w:rsid w:val="00D56FE0"/>
    <w:rsid w:val="00D57014"/>
    <w:rsid w:val="00D5702F"/>
    <w:rsid w:val="00D57074"/>
    <w:rsid w:val="00D57286"/>
    <w:rsid w:val="00D573E1"/>
    <w:rsid w:val="00D5741E"/>
    <w:rsid w:val="00D5744A"/>
    <w:rsid w:val="00D57484"/>
    <w:rsid w:val="00D574D2"/>
    <w:rsid w:val="00D574FD"/>
    <w:rsid w:val="00D575E8"/>
    <w:rsid w:val="00D57663"/>
    <w:rsid w:val="00D5782A"/>
    <w:rsid w:val="00D5784B"/>
    <w:rsid w:val="00D57930"/>
    <w:rsid w:val="00D57989"/>
    <w:rsid w:val="00D57993"/>
    <w:rsid w:val="00D57AA0"/>
    <w:rsid w:val="00D57C41"/>
    <w:rsid w:val="00D57C55"/>
    <w:rsid w:val="00D57C57"/>
    <w:rsid w:val="00D57D82"/>
    <w:rsid w:val="00D57E1B"/>
    <w:rsid w:val="00D57E83"/>
    <w:rsid w:val="00D57EDF"/>
    <w:rsid w:val="00D57F1B"/>
    <w:rsid w:val="00D600C4"/>
    <w:rsid w:val="00D60118"/>
    <w:rsid w:val="00D60141"/>
    <w:rsid w:val="00D602CD"/>
    <w:rsid w:val="00D603C8"/>
    <w:rsid w:val="00D60476"/>
    <w:rsid w:val="00D605CC"/>
    <w:rsid w:val="00D6061B"/>
    <w:rsid w:val="00D60978"/>
    <w:rsid w:val="00D60BE8"/>
    <w:rsid w:val="00D60DF8"/>
    <w:rsid w:val="00D60E7D"/>
    <w:rsid w:val="00D61162"/>
    <w:rsid w:val="00D61317"/>
    <w:rsid w:val="00D61352"/>
    <w:rsid w:val="00D61450"/>
    <w:rsid w:val="00D6151F"/>
    <w:rsid w:val="00D61932"/>
    <w:rsid w:val="00D61B35"/>
    <w:rsid w:val="00D61EA0"/>
    <w:rsid w:val="00D621E9"/>
    <w:rsid w:val="00D621F4"/>
    <w:rsid w:val="00D62439"/>
    <w:rsid w:val="00D62455"/>
    <w:rsid w:val="00D625AF"/>
    <w:rsid w:val="00D625B5"/>
    <w:rsid w:val="00D626E0"/>
    <w:rsid w:val="00D626FC"/>
    <w:rsid w:val="00D62865"/>
    <w:rsid w:val="00D62875"/>
    <w:rsid w:val="00D628FA"/>
    <w:rsid w:val="00D62CBE"/>
    <w:rsid w:val="00D62CF0"/>
    <w:rsid w:val="00D62D40"/>
    <w:rsid w:val="00D62EB4"/>
    <w:rsid w:val="00D630D3"/>
    <w:rsid w:val="00D631BB"/>
    <w:rsid w:val="00D63223"/>
    <w:rsid w:val="00D63519"/>
    <w:rsid w:val="00D63548"/>
    <w:rsid w:val="00D636CB"/>
    <w:rsid w:val="00D6376B"/>
    <w:rsid w:val="00D6386E"/>
    <w:rsid w:val="00D63884"/>
    <w:rsid w:val="00D638AA"/>
    <w:rsid w:val="00D63908"/>
    <w:rsid w:val="00D63A8B"/>
    <w:rsid w:val="00D63A9D"/>
    <w:rsid w:val="00D63C18"/>
    <w:rsid w:val="00D63DF8"/>
    <w:rsid w:val="00D64181"/>
    <w:rsid w:val="00D64321"/>
    <w:rsid w:val="00D64335"/>
    <w:rsid w:val="00D64373"/>
    <w:rsid w:val="00D6443E"/>
    <w:rsid w:val="00D64468"/>
    <w:rsid w:val="00D64533"/>
    <w:rsid w:val="00D64606"/>
    <w:rsid w:val="00D646B9"/>
    <w:rsid w:val="00D6483A"/>
    <w:rsid w:val="00D648B0"/>
    <w:rsid w:val="00D6496D"/>
    <w:rsid w:val="00D64A13"/>
    <w:rsid w:val="00D64A93"/>
    <w:rsid w:val="00D64B76"/>
    <w:rsid w:val="00D64D73"/>
    <w:rsid w:val="00D64F23"/>
    <w:rsid w:val="00D64F77"/>
    <w:rsid w:val="00D6503F"/>
    <w:rsid w:val="00D6512C"/>
    <w:rsid w:val="00D651AB"/>
    <w:rsid w:val="00D65285"/>
    <w:rsid w:val="00D65309"/>
    <w:rsid w:val="00D654D3"/>
    <w:rsid w:val="00D654EF"/>
    <w:rsid w:val="00D65544"/>
    <w:rsid w:val="00D6555F"/>
    <w:rsid w:val="00D65675"/>
    <w:rsid w:val="00D65968"/>
    <w:rsid w:val="00D65C55"/>
    <w:rsid w:val="00D65C88"/>
    <w:rsid w:val="00D65CBA"/>
    <w:rsid w:val="00D65E3B"/>
    <w:rsid w:val="00D6601F"/>
    <w:rsid w:val="00D6608C"/>
    <w:rsid w:val="00D66240"/>
    <w:rsid w:val="00D662E0"/>
    <w:rsid w:val="00D66392"/>
    <w:rsid w:val="00D66694"/>
    <w:rsid w:val="00D66782"/>
    <w:rsid w:val="00D66881"/>
    <w:rsid w:val="00D6695C"/>
    <w:rsid w:val="00D669A4"/>
    <w:rsid w:val="00D66A74"/>
    <w:rsid w:val="00D66BA1"/>
    <w:rsid w:val="00D66C01"/>
    <w:rsid w:val="00D66DE8"/>
    <w:rsid w:val="00D66FA5"/>
    <w:rsid w:val="00D66FB9"/>
    <w:rsid w:val="00D6703D"/>
    <w:rsid w:val="00D67108"/>
    <w:rsid w:val="00D67189"/>
    <w:rsid w:val="00D673E1"/>
    <w:rsid w:val="00D6741A"/>
    <w:rsid w:val="00D674C1"/>
    <w:rsid w:val="00D6761A"/>
    <w:rsid w:val="00D67722"/>
    <w:rsid w:val="00D677B2"/>
    <w:rsid w:val="00D677E5"/>
    <w:rsid w:val="00D679C0"/>
    <w:rsid w:val="00D67BA1"/>
    <w:rsid w:val="00D67EFA"/>
    <w:rsid w:val="00D67F58"/>
    <w:rsid w:val="00D67FBB"/>
    <w:rsid w:val="00D67FFA"/>
    <w:rsid w:val="00D7012B"/>
    <w:rsid w:val="00D702EB"/>
    <w:rsid w:val="00D7046E"/>
    <w:rsid w:val="00D70481"/>
    <w:rsid w:val="00D70487"/>
    <w:rsid w:val="00D7053F"/>
    <w:rsid w:val="00D70569"/>
    <w:rsid w:val="00D70879"/>
    <w:rsid w:val="00D708FD"/>
    <w:rsid w:val="00D70C67"/>
    <w:rsid w:val="00D70E6F"/>
    <w:rsid w:val="00D70EDB"/>
    <w:rsid w:val="00D70F8F"/>
    <w:rsid w:val="00D7119C"/>
    <w:rsid w:val="00D71247"/>
    <w:rsid w:val="00D712D2"/>
    <w:rsid w:val="00D71371"/>
    <w:rsid w:val="00D715F1"/>
    <w:rsid w:val="00D717BD"/>
    <w:rsid w:val="00D718F0"/>
    <w:rsid w:val="00D7190F"/>
    <w:rsid w:val="00D71B6A"/>
    <w:rsid w:val="00D71C68"/>
    <w:rsid w:val="00D71D28"/>
    <w:rsid w:val="00D7203D"/>
    <w:rsid w:val="00D7206C"/>
    <w:rsid w:val="00D720E6"/>
    <w:rsid w:val="00D722D9"/>
    <w:rsid w:val="00D7230C"/>
    <w:rsid w:val="00D72384"/>
    <w:rsid w:val="00D72406"/>
    <w:rsid w:val="00D72877"/>
    <w:rsid w:val="00D72B41"/>
    <w:rsid w:val="00D72E53"/>
    <w:rsid w:val="00D73045"/>
    <w:rsid w:val="00D73091"/>
    <w:rsid w:val="00D73192"/>
    <w:rsid w:val="00D731F5"/>
    <w:rsid w:val="00D734A1"/>
    <w:rsid w:val="00D73567"/>
    <w:rsid w:val="00D7358D"/>
    <w:rsid w:val="00D7364F"/>
    <w:rsid w:val="00D73653"/>
    <w:rsid w:val="00D737EB"/>
    <w:rsid w:val="00D7383E"/>
    <w:rsid w:val="00D73855"/>
    <w:rsid w:val="00D7393F"/>
    <w:rsid w:val="00D73AD4"/>
    <w:rsid w:val="00D73B87"/>
    <w:rsid w:val="00D73B8E"/>
    <w:rsid w:val="00D73BB5"/>
    <w:rsid w:val="00D73C0B"/>
    <w:rsid w:val="00D73CC0"/>
    <w:rsid w:val="00D73EDD"/>
    <w:rsid w:val="00D74250"/>
    <w:rsid w:val="00D74523"/>
    <w:rsid w:val="00D746DB"/>
    <w:rsid w:val="00D74955"/>
    <w:rsid w:val="00D74C9E"/>
    <w:rsid w:val="00D74D0A"/>
    <w:rsid w:val="00D74EFF"/>
    <w:rsid w:val="00D74F41"/>
    <w:rsid w:val="00D75008"/>
    <w:rsid w:val="00D7503B"/>
    <w:rsid w:val="00D750B1"/>
    <w:rsid w:val="00D75185"/>
    <w:rsid w:val="00D75209"/>
    <w:rsid w:val="00D752CA"/>
    <w:rsid w:val="00D75360"/>
    <w:rsid w:val="00D7558C"/>
    <w:rsid w:val="00D75733"/>
    <w:rsid w:val="00D75AE4"/>
    <w:rsid w:val="00D75BF9"/>
    <w:rsid w:val="00D75D18"/>
    <w:rsid w:val="00D7601E"/>
    <w:rsid w:val="00D76172"/>
    <w:rsid w:val="00D761A8"/>
    <w:rsid w:val="00D76339"/>
    <w:rsid w:val="00D76341"/>
    <w:rsid w:val="00D765C9"/>
    <w:rsid w:val="00D76685"/>
    <w:rsid w:val="00D766BC"/>
    <w:rsid w:val="00D766EE"/>
    <w:rsid w:val="00D76733"/>
    <w:rsid w:val="00D768D5"/>
    <w:rsid w:val="00D768DC"/>
    <w:rsid w:val="00D769D3"/>
    <w:rsid w:val="00D76F03"/>
    <w:rsid w:val="00D76FCD"/>
    <w:rsid w:val="00D77019"/>
    <w:rsid w:val="00D77312"/>
    <w:rsid w:val="00D77589"/>
    <w:rsid w:val="00D775F6"/>
    <w:rsid w:val="00D776A8"/>
    <w:rsid w:val="00D7782C"/>
    <w:rsid w:val="00D77B21"/>
    <w:rsid w:val="00D77E5C"/>
    <w:rsid w:val="00D77EB4"/>
    <w:rsid w:val="00D8032C"/>
    <w:rsid w:val="00D8039E"/>
    <w:rsid w:val="00D803A5"/>
    <w:rsid w:val="00D803E2"/>
    <w:rsid w:val="00D804BC"/>
    <w:rsid w:val="00D805F2"/>
    <w:rsid w:val="00D806E5"/>
    <w:rsid w:val="00D8078A"/>
    <w:rsid w:val="00D807C1"/>
    <w:rsid w:val="00D807E4"/>
    <w:rsid w:val="00D808D4"/>
    <w:rsid w:val="00D80A75"/>
    <w:rsid w:val="00D80C8C"/>
    <w:rsid w:val="00D80E25"/>
    <w:rsid w:val="00D80FC6"/>
    <w:rsid w:val="00D80FD9"/>
    <w:rsid w:val="00D8118C"/>
    <w:rsid w:val="00D811EE"/>
    <w:rsid w:val="00D81213"/>
    <w:rsid w:val="00D8129C"/>
    <w:rsid w:val="00D814AA"/>
    <w:rsid w:val="00D81537"/>
    <w:rsid w:val="00D81729"/>
    <w:rsid w:val="00D81917"/>
    <w:rsid w:val="00D81A87"/>
    <w:rsid w:val="00D81AC5"/>
    <w:rsid w:val="00D81B18"/>
    <w:rsid w:val="00D81BCC"/>
    <w:rsid w:val="00D81C4B"/>
    <w:rsid w:val="00D81F09"/>
    <w:rsid w:val="00D82249"/>
    <w:rsid w:val="00D822E1"/>
    <w:rsid w:val="00D82579"/>
    <w:rsid w:val="00D825A4"/>
    <w:rsid w:val="00D8276E"/>
    <w:rsid w:val="00D82968"/>
    <w:rsid w:val="00D82B4C"/>
    <w:rsid w:val="00D82C43"/>
    <w:rsid w:val="00D82EEE"/>
    <w:rsid w:val="00D82FDA"/>
    <w:rsid w:val="00D8321A"/>
    <w:rsid w:val="00D832D3"/>
    <w:rsid w:val="00D833DC"/>
    <w:rsid w:val="00D834D2"/>
    <w:rsid w:val="00D837E8"/>
    <w:rsid w:val="00D838AE"/>
    <w:rsid w:val="00D83AAB"/>
    <w:rsid w:val="00D83B34"/>
    <w:rsid w:val="00D83BCD"/>
    <w:rsid w:val="00D83EC6"/>
    <w:rsid w:val="00D841F2"/>
    <w:rsid w:val="00D84205"/>
    <w:rsid w:val="00D84240"/>
    <w:rsid w:val="00D8428E"/>
    <w:rsid w:val="00D84299"/>
    <w:rsid w:val="00D8430E"/>
    <w:rsid w:val="00D84435"/>
    <w:rsid w:val="00D844A8"/>
    <w:rsid w:val="00D8473B"/>
    <w:rsid w:val="00D8474C"/>
    <w:rsid w:val="00D84877"/>
    <w:rsid w:val="00D8493B"/>
    <w:rsid w:val="00D849DE"/>
    <w:rsid w:val="00D84B44"/>
    <w:rsid w:val="00D84CCD"/>
    <w:rsid w:val="00D84EDF"/>
    <w:rsid w:val="00D84FBC"/>
    <w:rsid w:val="00D84FBF"/>
    <w:rsid w:val="00D85005"/>
    <w:rsid w:val="00D85154"/>
    <w:rsid w:val="00D851D0"/>
    <w:rsid w:val="00D85378"/>
    <w:rsid w:val="00D85462"/>
    <w:rsid w:val="00D85643"/>
    <w:rsid w:val="00D85846"/>
    <w:rsid w:val="00D858BF"/>
    <w:rsid w:val="00D85BFF"/>
    <w:rsid w:val="00D85C3D"/>
    <w:rsid w:val="00D85F5C"/>
    <w:rsid w:val="00D8600E"/>
    <w:rsid w:val="00D8601F"/>
    <w:rsid w:val="00D860A9"/>
    <w:rsid w:val="00D861BD"/>
    <w:rsid w:val="00D86293"/>
    <w:rsid w:val="00D863D0"/>
    <w:rsid w:val="00D8643A"/>
    <w:rsid w:val="00D86504"/>
    <w:rsid w:val="00D865C5"/>
    <w:rsid w:val="00D865D1"/>
    <w:rsid w:val="00D867FF"/>
    <w:rsid w:val="00D86B0C"/>
    <w:rsid w:val="00D86B45"/>
    <w:rsid w:val="00D86DB4"/>
    <w:rsid w:val="00D86FCE"/>
    <w:rsid w:val="00D873C6"/>
    <w:rsid w:val="00D87461"/>
    <w:rsid w:val="00D8755E"/>
    <w:rsid w:val="00D875D4"/>
    <w:rsid w:val="00D8772E"/>
    <w:rsid w:val="00D87864"/>
    <w:rsid w:val="00D87B35"/>
    <w:rsid w:val="00D87B3F"/>
    <w:rsid w:val="00D87D7B"/>
    <w:rsid w:val="00D900FF"/>
    <w:rsid w:val="00D901C7"/>
    <w:rsid w:val="00D901D6"/>
    <w:rsid w:val="00D902A4"/>
    <w:rsid w:val="00D9049A"/>
    <w:rsid w:val="00D9059D"/>
    <w:rsid w:val="00D90714"/>
    <w:rsid w:val="00D9083A"/>
    <w:rsid w:val="00D9086D"/>
    <w:rsid w:val="00D90926"/>
    <w:rsid w:val="00D90A1A"/>
    <w:rsid w:val="00D90C53"/>
    <w:rsid w:val="00D90D2D"/>
    <w:rsid w:val="00D90E41"/>
    <w:rsid w:val="00D91115"/>
    <w:rsid w:val="00D91215"/>
    <w:rsid w:val="00D9152C"/>
    <w:rsid w:val="00D9156D"/>
    <w:rsid w:val="00D916A4"/>
    <w:rsid w:val="00D916F8"/>
    <w:rsid w:val="00D91941"/>
    <w:rsid w:val="00D9195F"/>
    <w:rsid w:val="00D91B25"/>
    <w:rsid w:val="00D91B9F"/>
    <w:rsid w:val="00D91BE3"/>
    <w:rsid w:val="00D9232A"/>
    <w:rsid w:val="00D92387"/>
    <w:rsid w:val="00D924AC"/>
    <w:rsid w:val="00D92767"/>
    <w:rsid w:val="00D9277A"/>
    <w:rsid w:val="00D9289B"/>
    <w:rsid w:val="00D9291F"/>
    <w:rsid w:val="00D9295C"/>
    <w:rsid w:val="00D92A0A"/>
    <w:rsid w:val="00D92A1F"/>
    <w:rsid w:val="00D92B11"/>
    <w:rsid w:val="00D92B2B"/>
    <w:rsid w:val="00D92C47"/>
    <w:rsid w:val="00D92D44"/>
    <w:rsid w:val="00D92D7F"/>
    <w:rsid w:val="00D92F06"/>
    <w:rsid w:val="00D92F10"/>
    <w:rsid w:val="00D92FEF"/>
    <w:rsid w:val="00D9307E"/>
    <w:rsid w:val="00D9356A"/>
    <w:rsid w:val="00D935F7"/>
    <w:rsid w:val="00D9371D"/>
    <w:rsid w:val="00D93936"/>
    <w:rsid w:val="00D93A07"/>
    <w:rsid w:val="00D93AC1"/>
    <w:rsid w:val="00D93BD7"/>
    <w:rsid w:val="00D93FEC"/>
    <w:rsid w:val="00D94048"/>
    <w:rsid w:val="00D940A2"/>
    <w:rsid w:val="00D94438"/>
    <w:rsid w:val="00D944AB"/>
    <w:rsid w:val="00D9460C"/>
    <w:rsid w:val="00D94715"/>
    <w:rsid w:val="00D947FB"/>
    <w:rsid w:val="00D9480A"/>
    <w:rsid w:val="00D948A0"/>
    <w:rsid w:val="00D9490C"/>
    <w:rsid w:val="00D94ACF"/>
    <w:rsid w:val="00D94E22"/>
    <w:rsid w:val="00D94EFB"/>
    <w:rsid w:val="00D95025"/>
    <w:rsid w:val="00D95372"/>
    <w:rsid w:val="00D95447"/>
    <w:rsid w:val="00D95661"/>
    <w:rsid w:val="00D956DC"/>
    <w:rsid w:val="00D957F1"/>
    <w:rsid w:val="00D95A2C"/>
    <w:rsid w:val="00D95A86"/>
    <w:rsid w:val="00D95D33"/>
    <w:rsid w:val="00D95E1F"/>
    <w:rsid w:val="00D95E39"/>
    <w:rsid w:val="00D95E9C"/>
    <w:rsid w:val="00D95EAD"/>
    <w:rsid w:val="00D95ED0"/>
    <w:rsid w:val="00D95FFC"/>
    <w:rsid w:val="00D961A0"/>
    <w:rsid w:val="00D961A4"/>
    <w:rsid w:val="00D96319"/>
    <w:rsid w:val="00D96439"/>
    <w:rsid w:val="00D96526"/>
    <w:rsid w:val="00D9688E"/>
    <w:rsid w:val="00D96AC6"/>
    <w:rsid w:val="00D96B4E"/>
    <w:rsid w:val="00D96D4B"/>
    <w:rsid w:val="00D96D64"/>
    <w:rsid w:val="00D96D6A"/>
    <w:rsid w:val="00D96D83"/>
    <w:rsid w:val="00D96E56"/>
    <w:rsid w:val="00D97157"/>
    <w:rsid w:val="00D971A5"/>
    <w:rsid w:val="00D972B7"/>
    <w:rsid w:val="00D9741F"/>
    <w:rsid w:val="00D97444"/>
    <w:rsid w:val="00D97575"/>
    <w:rsid w:val="00D97647"/>
    <w:rsid w:val="00D977E2"/>
    <w:rsid w:val="00D977F8"/>
    <w:rsid w:val="00D97845"/>
    <w:rsid w:val="00D97853"/>
    <w:rsid w:val="00D97884"/>
    <w:rsid w:val="00D97A67"/>
    <w:rsid w:val="00D97A9B"/>
    <w:rsid w:val="00D97AB3"/>
    <w:rsid w:val="00D97C25"/>
    <w:rsid w:val="00DA0029"/>
    <w:rsid w:val="00DA02C7"/>
    <w:rsid w:val="00DA0644"/>
    <w:rsid w:val="00DA077C"/>
    <w:rsid w:val="00DA08C4"/>
    <w:rsid w:val="00DA0B77"/>
    <w:rsid w:val="00DA0BDF"/>
    <w:rsid w:val="00DA0D5A"/>
    <w:rsid w:val="00DA0D68"/>
    <w:rsid w:val="00DA0E2A"/>
    <w:rsid w:val="00DA0EFD"/>
    <w:rsid w:val="00DA116F"/>
    <w:rsid w:val="00DA13BC"/>
    <w:rsid w:val="00DA1400"/>
    <w:rsid w:val="00DA1474"/>
    <w:rsid w:val="00DA154F"/>
    <w:rsid w:val="00DA159D"/>
    <w:rsid w:val="00DA1705"/>
    <w:rsid w:val="00DA1945"/>
    <w:rsid w:val="00DA196A"/>
    <w:rsid w:val="00DA1A07"/>
    <w:rsid w:val="00DA1B64"/>
    <w:rsid w:val="00DA1C7D"/>
    <w:rsid w:val="00DA1DD4"/>
    <w:rsid w:val="00DA1E75"/>
    <w:rsid w:val="00DA20E5"/>
    <w:rsid w:val="00DA21B1"/>
    <w:rsid w:val="00DA2320"/>
    <w:rsid w:val="00DA2451"/>
    <w:rsid w:val="00DA25D2"/>
    <w:rsid w:val="00DA26E3"/>
    <w:rsid w:val="00DA27EE"/>
    <w:rsid w:val="00DA284A"/>
    <w:rsid w:val="00DA32F2"/>
    <w:rsid w:val="00DA33BA"/>
    <w:rsid w:val="00DA354A"/>
    <w:rsid w:val="00DA35A3"/>
    <w:rsid w:val="00DA3613"/>
    <w:rsid w:val="00DA3636"/>
    <w:rsid w:val="00DA36F7"/>
    <w:rsid w:val="00DA37A6"/>
    <w:rsid w:val="00DA3B53"/>
    <w:rsid w:val="00DA3FC0"/>
    <w:rsid w:val="00DA40FB"/>
    <w:rsid w:val="00DA4337"/>
    <w:rsid w:val="00DA4376"/>
    <w:rsid w:val="00DA4428"/>
    <w:rsid w:val="00DA442B"/>
    <w:rsid w:val="00DA44B1"/>
    <w:rsid w:val="00DA453A"/>
    <w:rsid w:val="00DA4597"/>
    <w:rsid w:val="00DA477F"/>
    <w:rsid w:val="00DA480B"/>
    <w:rsid w:val="00DA49ED"/>
    <w:rsid w:val="00DA4C8E"/>
    <w:rsid w:val="00DA4E58"/>
    <w:rsid w:val="00DA4F5B"/>
    <w:rsid w:val="00DA514C"/>
    <w:rsid w:val="00DA5156"/>
    <w:rsid w:val="00DA516E"/>
    <w:rsid w:val="00DA54C9"/>
    <w:rsid w:val="00DA5540"/>
    <w:rsid w:val="00DA55CE"/>
    <w:rsid w:val="00DA567E"/>
    <w:rsid w:val="00DA576F"/>
    <w:rsid w:val="00DA57E3"/>
    <w:rsid w:val="00DA5A67"/>
    <w:rsid w:val="00DA5A86"/>
    <w:rsid w:val="00DA5BC8"/>
    <w:rsid w:val="00DA5C09"/>
    <w:rsid w:val="00DA5DC8"/>
    <w:rsid w:val="00DA5EDF"/>
    <w:rsid w:val="00DA608A"/>
    <w:rsid w:val="00DA614D"/>
    <w:rsid w:val="00DA61E1"/>
    <w:rsid w:val="00DA62DC"/>
    <w:rsid w:val="00DA6499"/>
    <w:rsid w:val="00DA6555"/>
    <w:rsid w:val="00DA6644"/>
    <w:rsid w:val="00DA670E"/>
    <w:rsid w:val="00DA67C9"/>
    <w:rsid w:val="00DA6D67"/>
    <w:rsid w:val="00DA6E4E"/>
    <w:rsid w:val="00DA6EA2"/>
    <w:rsid w:val="00DA6F1D"/>
    <w:rsid w:val="00DA746D"/>
    <w:rsid w:val="00DA75A8"/>
    <w:rsid w:val="00DA770C"/>
    <w:rsid w:val="00DA7715"/>
    <w:rsid w:val="00DA79B5"/>
    <w:rsid w:val="00DA7C29"/>
    <w:rsid w:val="00DA7C31"/>
    <w:rsid w:val="00DA7D0A"/>
    <w:rsid w:val="00DA7D5C"/>
    <w:rsid w:val="00DA7D9A"/>
    <w:rsid w:val="00DA7F61"/>
    <w:rsid w:val="00DB0136"/>
    <w:rsid w:val="00DB0197"/>
    <w:rsid w:val="00DB03C3"/>
    <w:rsid w:val="00DB0440"/>
    <w:rsid w:val="00DB0494"/>
    <w:rsid w:val="00DB049E"/>
    <w:rsid w:val="00DB04BC"/>
    <w:rsid w:val="00DB0570"/>
    <w:rsid w:val="00DB0708"/>
    <w:rsid w:val="00DB078A"/>
    <w:rsid w:val="00DB0937"/>
    <w:rsid w:val="00DB0B4A"/>
    <w:rsid w:val="00DB0B91"/>
    <w:rsid w:val="00DB0B92"/>
    <w:rsid w:val="00DB0E8D"/>
    <w:rsid w:val="00DB112D"/>
    <w:rsid w:val="00DB122D"/>
    <w:rsid w:val="00DB1345"/>
    <w:rsid w:val="00DB13FD"/>
    <w:rsid w:val="00DB1494"/>
    <w:rsid w:val="00DB1774"/>
    <w:rsid w:val="00DB1801"/>
    <w:rsid w:val="00DB18B5"/>
    <w:rsid w:val="00DB1980"/>
    <w:rsid w:val="00DB19FD"/>
    <w:rsid w:val="00DB1D11"/>
    <w:rsid w:val="00DB1F0D"/>
    <w:rsid w:val="00DB2105"/>
    <w:rsid w:val="00DB2329"/>
    <w:rsid w:val="00DB23A9"/>
    <w:rsid w:val="00DB243B"/>
    <w:rsid w:val="00DB27A1"/>
    <w:rsid w:val="00DB2BC1"/>
    <w:rsid w:val="00DB2C2D"/>
    <w:rsid w:val="00DB2D88"/>
    <w:rsid w:val="00DB2ECA"/>
    <w:rsid w:val="00DB2F43"/>
    <w:rsid w:val="00DB30E9"/>
    <w:rsid w:val="00DB3134"/>
    <w:rsid w:val="00DB33E6"/>
    <w:rsid w:val="00DB3644"/>
    <w:rsid w:val="00DB3680"/>
    <w:rsid w:val="00DB372B"/>
    <w:rsid w:val="00DB37F5"/>
    <w:rsid w:val="00DB39B9"/>
    <w:rsid w:val="00DB3A40"/>
    <w:rsid w:val="00DB3C5C"/>
    <w:rsid w:val="00DB3CB8"/>
    <w:rsid w:val="00DB3DBA"/>
    <w:rsid w:val="00DB3E02"/>
    <w:rsid w:val="00DB3E7B"/>
    <w:rsid w:val="00DB42E5"/>
    <w:rsid w:val="00DB43C2"/>
    <w:rsid w:val="00DB4627"/>
    <w:rsid w:val="00DB4807"/>
    <w:rsid w:val="00DB48B6"/>
    <w:rsid w:val="00DB48E6"/>
    <w:rsid w:val="00DB49F9"/>
    <w:rsid w:val="00DB4A36"/>
    <w:rsid w:val="00DB4F1A"/>
    <w:rsid w:val="00DB501F"/>
    <w:rsid w:val="00DB52ED"/>
    <w:rsid w:val="00DB560A"/>
    <w:rsid w:val="00DB564B"/>
    <w:rsid w:val="00DB5676"/>
    <w:rsid w:val="00DB5783"/>
    <w:rsid w:val="00DB5809"/>
    <w:rsid w:val="00DB5868"/>
    <w:rsid w:val="00DB594F"/>
    <w:rsid w:val="00DB5A61"/>
    <w:rsid w:val="00DB5CD3"/>
    <w:rsid w:val="00DB6510"/>
    <w:rsid w:val="00DB6A21"/>
    <w:rsid w:val="00DB6A5B"/>
    <w:rsid w:val="00DB6A69"/>
    <w:rsid w:val="00DB6CF3"/>
    <w:rsid w:val="00DB6D2B"/>
    <w:rsid w:val="00DB6F94"/>
    <w:rsid w:val="00DB710A"/>
    <w:rsid w:val="00DB71E0"/>
    <w:rsid w:val="00DB73B8"/>
    <w:rsid w:val="00DB74CA"/>
    <w:rsid w:val="00DB77C9"/>
    <w:rsid w:val="00DB78F8"/>
    <w:rsid w:val="00DB7916"/>
    <w:rsid w:val="00DB7B8B"/>
    <w:rsid w:val="00DC00D1"/>
    <w:rsid w:val="00DC0303"/>
    <w:rsid w:val="00DC039F"/>
    <w:rsid w:val="00DC040E"/>
    <w:rsid w:val="00DC041E"/>
    <w:rsid w:val="00DC06AA"/>
    <w:rsid w:val="00DC06EE"/>
    <w:rsid w:val="00DC075F"/>
    <w:rsid w:val="00DC0799"/>
    <w:rsid w:val="00DC08D0"/>
    <w:rsid w:val="00DC0B12"/>
    <w:rsid w:val="00DC0B37"/>
    <w:rsid w:val="00DC0BA0"/>
    <w:rsid w:val="00DC0D8C"/>
    <w:rsid w:val="00DC1023"/>
    <w:rsid w:val="00DC1141"/>
    <w:rsid w:val="00DC1241"/>
    <w:rsid w:val="00DC1435"/>
    <w:rsid w:val="00DC14CB"/>
    <w:rsid w:val="00DC19CD"/>
    <w:rsid w:val="00DC1A3A"/>
    <w:rsid w:val="00DC1A3B"/>
    <w:rsid w:val="00DC1CBE"/>
    <w:rsid w:val="00DC1CFD"/>
    <w:rsid w:val="00DC1E00"/>
    <w:rsid w:val="00DC1E57"/>
    <w:rsid w:val="00DC1ED9"/>
    <w:rsid w:val="00DC203C"/>
    <w:rsid w:val="00DC209C"/>
    <w:rsid w:val="00DC20DF"/>
    <w:rsid w:val="00DC2726"/>
    <w:rsid w:val="00DC2747"/>
    <w:rsid w:val="00DC2780"/>
    <w:rsid w:val="00DC28A4"/>
    <w:rsid w:val="00DC28D0"/>
    <w:rsid w:val="00DC2917"/>
    <w:rsid w:val="00DC2959"/>
    <w:rsid w:val="00DC2993"/>
    <w:rsid w:val="00DC29BF"/>
    <w:rsid w:val="00DC2ABB"/>
    <w:rsid w:val="00DC2C1C"/>
    <w:rsid w:val="00DC2E44"/>
    <w:rsid w:val="00DC2E74"/>
    <w:rsid w:val="00DC2F1A"/>
    <w:rsid w:val="00DC2F6F"/>
    <w:rsid w:val="00DC2F83"/>
    <w:rsid w:val="00DC302A"/>
    <w:rsid w:val="00DC30A8"/>
    <w:rsid w:val="00DC3147"/>
    <w:rsid w:val="00DC31BB"/>
    <w:rsid w:val="00DC31C7"/>
    <w:rsid w:val="00DC3205"/>
    <w:rsid w:val="00DC3466"/>
    <w:rsid w:val="00DC34A8"/>
    <w:rsid w:val="00DC3679"/>
    <w:rsid w:val="00DC3691"/>
    <w:rsid w:val="00DC3A15"/>
    <w:rsid w:val="00DC3A65"/>
    <w:rsid w:val="00DC3BAD"/>
    <w:rsid w:val="00DC40F1"/>
    <w:rsid w:val="00DC42C7"/>
    <w:rsid w:val="00DC43DA"/>
    <w:rsid w:val="00DC45A5"/>
    <w:rsid w:val="00DC4643"/>
    <w:rsid w:val="00DC471F"/>
    <w:rsid w:val="00DC490F"/>
    <w:rsid w:val="00DC4A92"/>
    <w:rsid w:val="00DC4D27"/>
    <w:rsid w:val="00DC4DAB"/>
    <w:rsid w:val="00DC4E2D"/>
    <w:rsid w:val="00DC4EFF"/>
    <w:rsid w:val="00DC5054"/>
    <w:rsid w:val="00DC5103"/>
    <w:rsid w:val="00DC556F"/>
    <w:rsid w:val="00DC56A8"/>
    <w:rsid w:val="00DC5907"/>
    <w:rsid w:val="00DC592A"/>
    <w:rsid w:val="00DC5AFE"/>
    <w:rsid w:val="00DC5BC1"/>
    <w:rsid w:val="00DC5FBB"/>
    <w:rsid w:val="00DC6142"/>
    <w:rsid w:val="00DC625A"/>
    <w:rsid w:val="00DC63AA"/>
    <w:rsid w:val="00DC6565"/>
    <w:rsid w:val="00DC664F"/>
    <w:rsid w:val="00DC670C"/>
    <w:rsid w:val="00DC6AA2"/>
    <w:rsid w:val="00DC6AC1"/>
    <w:rsid w:val="00DC6AE8"/>
    <w:rsid w:val="00DC71C6"/>
    <w:rsid w:val="00DC74A1"/>
    <w:rsid w:val="00DC7621"/>
    <w:rsid w:val="00DC76CB"/>
    <w:rsid w:val="00DC7837"/>
    <w:rsid w:val="00DC78C1"/>
    <w:rsid w:val="00DC78E2"/>
    <w:rsid w:val="00DC7B3D"/>
    <w:rsid w:val="00DC7EA7"/>
    <w:rsid w:val="00DC7EEC"/>
    <w:rsid w:val="00DC7F66"/>
    <w:rsid w:val="00DD0108"/>
    <w:rsid w:val="00DD02C7"/>
    <w:rsid w:val="00DD0380"/>
    <w:rsid w:val="00DD03F6"/>
    <w:rsid w:val="00DD08AE"/>
    <w:rsid w:val="00DD0B8F"/>
    <w:rsid w:val="00DD0D36"/>
    <w:rsid w:val="00DD0E36"/>
    <w:rsid w:val="00DD0EAF"/>
    <w:rsid w:val="00DD0FCA"/>
    <w:rsid w:val="00DD11AA"/>
    <w:rsid w:val="00DD1230"/>
    <w:rsid w:val="00DD129B"/>
    <w:rsid w:val="00DD130E"/>
    <w:rsid w:val="00DD132D"/>
    <w:rsid w:val="00DD13C9"/>
    <w:rsid w:val="00DD13E5"/>
    <w:rsid w:val="00DD17E1"/>
    <w:rsid w:val="00DD1947"/>
    <w:rsid w:val="00DD194F"/>
    <w:rsid w:val="00DD1955"/>
    <w:rsid w:val="00DD19AB"/>
    <w:rsid w:val="00DD19EC"/>
    <w:rsid w:val="00DD1A60"/>
    <w:rsid w:val="00DD1B39"/>
    <w:rsid w:val="00DD1C13"/>
    <w:rsid w:val="00DD1C3A"/>
    <w:rsid w:val="00DD1DB8"/>
    <w:rsid w:val="00DD1E11"/>
    <w:rsid w:val="00DD1E3D"/>
    <w:rsid w:val="00DD2099"/>
    <w:rsid w:val="00DD2107"/>
    <w:rsid w:val="00DD24F9"/>
    <w:rsid w:val="00DD25D0"/>
    <w:rsid w:val="00DD263D"/>
    <w:rsid w:val="00DD27C2"/>
    <w:rsid w:val="00DD28A5"/>
    <w:rsid w:val="00DD2944"/>
    <w:rsid w:val="00DD2A31"/>
    <w:rsid w:val="00DD2BD3"/>
    <w:rsid w:val="00DD2C64"/>
    <w:rsid w:val="00DD2E7A"/>
    <w:rsid w:val="00DD2EAD"/>
    <w:rsid w:val="00DD2F47"/>
    <w:rsid w:val="00DD31AA"/>
    <w:rsid w:val="00DD32D3"/>
    <w:rsid w:val="00DD3341"/>
    <w:rsid w:val="00DD345A"/>
    <w:rsid w:val="00DD39EB"/>
    <w:rsid w:val="00DD3A0A"/>
    <w:rsid w:val="00DD3BDC"/>
    <w:rsid w:val="00DD4383"/>
    <w:rsid w:val="00DD4442"/>
    <w:rsid w:val="00DD44BB"/>
    <w:rsid w:val="00DD4529"/>
    <w:rsid w:val="00DD45A3"/>
    <w:rsid w:val="00DD46C2"/>
    <w:rsid w:val="00DD4734"/>
    <w:rsid w:val="00DD489F"/>
    <w:rsid w:val="00DD494B"/>
    <w:rsid w:val="00DD496B"/>
    <w:rsid w:val="00DD498A"/>
    <w:rsid w:val="00DD49D8"/>
    <w:rsid w:val="00DD4A7C"/>
    <w:rsid w:val="00DD4BF0"/>
    <w:rsid w:val="00DD4C5A"/>
    <w:rsid w:val="00DD4DD0"/>
    <w:rsid w:val="00DD51A3"/>
    <w:rsid w:val="00DD51F0"/>
    <w:rsid w:val="00DD5213"/>
    <w:rsid w:val="00DD5314"/>
    <w:rsid w:val="00DD532B"/>
    <w:rsid w:val="00DD533A"/>
    <w:rsid w:val="00DD543B"/>
    <w:rsid w:val="00DD5486"/>
    <w:rsid w:val="00DD54F5"/>
    <w:rsid w:val="00DD5592"/>
    <w:rsid w:val="00DD55FE"/>
    <w:rsid w:val="00DD5625"/>
    <w:rsid w:val="00DD573C"/>
    <w:rsid w:val="00DD57C6"/>
    <w:rsid w:val="00DD5930"/>
    <w:rsid w:val="00DD59B7"/>
    <w:rsid w:val="00DD5BFD"/>
    <w:rsid w:val="00DD5C03"/>
    <w:rsid w:val="00DD5C0E"/>
    <w:rsid w:val="00DD5C71"/>
    <w:rsid w:val="00DD5CC9"/>
    <w:rsid w:val="00DD60EC"/>
    <w:rsid w:val="00DD6258"/>
    <w:rsid w:val="00DD628E"/>
    <w:rsid w:val="00DD62E7"/>
    <w:rsid w:val="00DD63AD"/>
    <w:rsid w:val="00DD64B8"/>
    <w:rsid w:val="00DD6699"/>
    <w:rsid w:val="00DD66D5"/>
    <w:rsid w:val="00DD68AA"/>
    <w:rsid w:val="00DD7059"/>
    <w:rsid w:val="00DD70F6"/>
    <w:rsid w:val="00DD7110"/>
    <w:rsid w:val="00DD7229"/>
    <w:rsid w:val="00DD722E"/>
    <w:rsid w:val="00DD739B"/>
    <w:rsid w:val="00DD740C"/>
    <w:rsid w:val="00DD749E"/>
    <w:rsid w:val="00DD7652"/>
    <w:rsid w:val="00DD791D"/>
    <w:rsid w:val="00DD796E"/>
    <w:rsid w:val="00DD79E3"/>
    <w:rsid w:val="00DD7A29"/>
    <w:rsid w:val="00DD7CAF"/>
    <w:rsid w:val="00DD7D17"/>
    <w:rsid w:val="00DD7E18"/>
    <w:rsid w:val="00DD7E1A"/>
    <w:rsid w:val="00DE0103"/>
    <w:rsid w:val="00DE01D9"/>
    <w:rsid w:val="00DE04BE"/>
    <w:rsid w:val="00DE0612"/>
    <w:rsid w:val="00DE06EE"/>
    <w:rsid w:val="00DE0717"/>
    <w:rsid w:val="00DE0791"/>
    <w:rsid w:val="00DE092A"/>
    <w:rsid w:val="00DE0954"/>
    <w:rsid w:val="00DE09B1"/>
    <w:rsid w:val="00DE0C99"/>
    <w:rsid w:val="00DE0E46"/>
    <w:rsid w:val="00DE0E57"/>
    <w:rsid w:val="00DE0E8F"/>
    <w:rsid w:val="00DE1284"/>
    <w:rsid w:val="00DE12A4"/>
    <w:rsid w:val="00DE12A5"/>
    <w:rsid w:val="00DE134F"/>
    <w:rsid w:val="00DE150B"/>
    <w:rsid w:val="00DE1660"/>
    <w:rsid w:val="00DE1872"/>
    <w:rsid w:val="00DE189D"/>
    <w:rsid w:val="00DE190C"/>
    <w:rsid w:val="00DE1BD1"/>
    <w:rsid w:val="00DE1CF4"/>
    <w:rsid w:val="00DE1DDB"/>
    <w:rsid w:val="00DE2027"/>
    <w:rsid w:val="00DE2180"/>
    <w:rsid w:val="00DE22E3"/>
    <w:rsid w:val="00DE2420"/>
    <w:rsid w:val="00DE2690"/>
    <w:rsid w:val="00DE26A1"/>
    <w:rsid w:val="00DE26DB"/>
    <w:rsid w:val="00DE2850"/>
    <w:rsid w:val="00DE28F4"/>
    <w:rsid w:val="00DE2B3A"/>
    <w:rsid w:val="00DE2B8F"/>
    <w:rsid w:val="00DE2D4D"/>
    <w:rsid w:val="00DE2D5A"/>
    <w:rsid w:val="00DE2DFB"/>
    <w:rsid w:val="00DE2E57"/>
    <w:rsid w:val="00DE303F"/>
    <w:rsid w:val="00DE31B6"/>
    <w:rsid w:val="00DE31E4"/>
    <w:rsid w:val="00DE32A9"/>
    <w:rsid w:val="00DE3329"/>
    <w:rsid w:val="00DE336C"/>
    <w:rsid w:val="00DE33B0"/>
    <w:rsid w:val="00DE35CC"/>
    <w:rsid w:val="00DE3638"/>
    <w:rsid w:val="00DE3702"/>
    <w:rsid w:val="00DE392A"/>
    <w:rsid w:val="00DE39CB"/>
    <w:rsid w:val="00DE3A8B"/>
    <w:rsid w:val="00DE3BAD"/>
    <w:rsid w:val="00DE3BC0"/>
    <w:rsid w:val="00DE3C0B"/>
    <w:rsid w:val="00DE3DD4"/>
    <w:rsid w:val="00DE3E06"/>
    <w:rsid w:val="00DE4057"/>
    <w:rsid w:val="00DE4207"/>
    <w:rsid w:val="00DE43E4"/>
    <w:rsid w:val="00DE4446"/>
    <w:rsid w:val="00DE4464"/>
    <w:rsid w:val="00DE45D9"/>
    <w:rsid w:val="00DE46B2"/>
    <w:rsid w:val="00DE46FD"/>
    <w:rsid w:val="00DE47E1"/>
    <w:rsid w:val="00DE4845"/>
    <w:rsid w:val="00DE499B"/>
    <w:rsid w:val="00DE4A6C"/>
    <w:rsid w:val="00DE4E2C"/>
    <w:rsid w:val="00DE4F2C"/>
    <w:rsid w:val="00DE4FF0"/>
    <w:rsid w:val="00DE505A"/>
    <w:rsid w:val="00DE5172"/>
    <w:rsid w:val="00DE51F0"/>
    <w:rsid w:val="00DE53E8"/>
    <w:rsid w:val="00DE53FA"/>
    <w:rsid w:val="00DE54B7"/>
    <w:rsid w:val="00DE58C7"/>
    <w:rsid w:val="00DE5982"/>
    <w:rsid w:val="00DE5DCE"/>
    <w:rsid w:val="00DE62C9"/>
    <w:rsid w:val="00DE6565"/>
    <w:rsid w:val="00DE68E2"/>
    <w:rsid w:val="00DE69D2"/>
    <w:rsid w:val="00DE6A23"/>
    <w:rsid w:val="00DE6C07"/>
    <w:rsid w:val="00DE6F24"/>
    <w:rsid w:val="00DE7027"/>
    <w:rsid w:val="00DE7071"/>
    <w:rsid w:val="00DE71B3"/>
    <w:rsid w:val="00DE729A"/>
    <w:rsid w:val="00DE72DD"/>
    <w:rsid w:val="00DE731D"/>
    <w:rsid w:val="00DE734A"/>
    <w:rsid w:val="00DE777A"/>
    <w:rsid w:val="00DE7791"/>
    <w:rsid w:val="00DE7965"/>
    <w:rsid w:val="00DE7A71"/>
    <w:rsid w:val="00DE7BA5"/>
    <w:rsid w:val="00DE7C09"/>
    <w:rsid w:val="00DE7C83"/>
    <w:rsid w:val="00DE7CD3"/>
    <w:rsid w:val="00DF00E7"/>
    <w:rsid w:val="00DF011E"/>
    <w:rsid w:val="00DF0168"/>
    <w:rsid w:val="00DF0206"/>
    <w:rsid w:val="00DF047B"/>
    <w:rsid w:val="00DF0822"/>
    <w:rsid w:val="00DF08F4"/>
    <w:rsid w:val="00DF0A3D"/>
    <w:rsid w:val="00DF0A96"/>
    <w:rsid w:val="00DF0BDB"/>
    <w:rsid w:val="00DF0D6E"/>
    <w:rsid w:val="00DF0EC4"/>
    <w:rsid w:val="00DF0F49"/>
    <w:rsid w:val="00DF0FE7"/>
    <w:rsid w:val="00DF1016"/>
    <w:rsid w:val="00DF1159"/>
    <w:rsid w:val="00DF16B6"/>
    <w:rsid w:val="00DF175E"/>
    <w:rsid w:val="00DF1A6E"/>
    <w:rsid w:val="00DF1AAE"/>
    <w:rsid w:val="00DF1BB2"/>
    <w:rsid w:val="00DF1BD3"/>
    <w:rsid w:val="00DF1C4B"/>
    <w:rsid w:val="00DF1EEB"/>
    <w:rsid w:val="00DF200D"/>
    <w:rsid w:val="00DF23B8"/>
    <w:rsid w:val="00DF24D0"/>
    <w:rsid w:val="00DF258D"/>
    <w:rsid w:val="00DF25E7"/>
    <w:rsid w:val="00DF26AD"/>
    <w:rsid w:val="00DF2B67"/>
    <w:rsid w:val="00DF2E63"/>
    <w:rsid w:val="00DF2E6B"/>
    <w:rsid w:val="00DF2F5C"/>
    <w:rsid w:val="00DF318E"/>
    <w:rsid w:val="00DF31B0"/>
    <w:rsid w:val="00DF335A"/>
    <w:rsid w:val="00DF34D9"/>
    <w:rsid w:val="00DF362C"/>
    <w:rsid w:val="00DF36E9"/>
    <w:rsid w:val="00DF3907"/>
    <w:rsid w:val="00DF3983"/>
    <w:rsid w:val="00DF39A2"/>
    <w:rsid w:val="00DF39DD"/>
    <w:rsid w:val="00DF3A26"/>
    <w:rsid w:val="00DF3A32"/>
    <w:rsid w:val="00DF3B14"/>
    <w:rsid w:val="00DF3B3A"/>
    <w:rsid w:val="00DF3B45"/>
    <w:rsid w:val="00DF3C19"/>
    <w:rsid w:val="00DF411F"/>
    <w:rsid w:val="00DF4313"/>
    <w:rsid w:val="00DF4350"/>
    <w:rsid w:val="00DF4700"/>
    <w:rsid w:val="00DF4A67"/>
    <w:rsid w:val="00DF4A9C"/>
    <w:rsid w:val="00DF4BBC"/>
    <w:rsid w:val="00DF4EC9"/>
    <w:rsid w:val="00DF5095"/>
    <w:rsid w:val="00DF5256"/>
    <w:rsid w:val="00DF54C0"/>
    <w:rsid w:val="00DF552D"/>
    <w:rsid w:val="00DF573B"/>
    <w:rsid w:val="00DF57A0"/>
    <w:rsid w:val="00DF58C0"/>
    <w:rsid w:val="00DF5943"/>
    <w:rsid w:val="00DF5B5B"/>
    <w:rsid w:val="00DF5B90"/>
    <w:rsid w:val="00DF5E0F"/>
    <w:rsid w:val="00DF5F79"/>
    <w:rsid w:val="00DF5FFE"/>
    <w:rsid w:val="00DF601E"/>
    <w:rsid w:val="00DF60A9"/>
    <w:rsid w:val="00DF61B9"/>
    <w:rsid w:val="00DF648E"/>
    <w:rsid w:val="00DF6502"/>
    <w:rsid w:val="00DF669B"/>
    <w:rsid w:val="00DF66C1"/>
    <w:rsid w:val="00DF66CB"/>
    <w:rsid w:val="00DF69C9"/>
    <w:rsid w:val="00DF6B49"/>
    <w:rsid w:val="00DF6BB5"/>
    <w:rsid w:val="00DF6D88"/>
    <w:rsid w:val="00DF6D98"/>
    <w:rsid w:val="00DF6FA9"/>
    <w:rsid w:val="00DF71ED"/>
    <w:rsid w:val="00DF726C"/>
    <w:rsid w:val="00DF7287"/>
    <w:rsid w:val="00DF72AF"/>
    <w:rsid w:val="00DF7539"/>
    <w:rsid w:val="00DF7621"/>
    <w:rsid w:val="00DF76EE"/>
    <w:rsid w:val="00DF77C2"/>
    <w:rsid w:val="00DF7834"/>
    <w:rsid w:val="00DF7846"/>
    <w:rsid w:val="00DF78A4"/>
    <w:rsid w:val="00DF7C3E"/>
    <w:rsid w:val="00DF7FBE"/>
    <w:rsid w:val="00E0011E"/>
    <w:rsid w:val="00E00163"/>
    <w:rsid w:val="00E0016A"/>
    <w:rsid w:val="00E00575"/>
    <w:rsid w:val="00E005E4"/>
    <w:rsid w:val="00E00B19"/>
    <w:rsid w:val="00E00BE4"/>
    <w:rsid w:val="00E00BEF"/>
    <w:rsid w:val="00E00F61"/>
    <w:rsid w:val="00E00FD0"/>
    <w:rsid w:val="00E01009"/>
    <w:rsid w:val="00E010CD"/>
    <w:rsid w:val="00E0128E"/>
    <w:rsid w:val="00E012F1"/>
    <w:rsid w:val="00E0135A"/>
    <w:rsid w:val="00E013C6"/>
    <w:rsid w:val="00E01584"/>
    <w:rsid w:val="00E01590"/>
    <w:rsid w:val="00E015AC"/>
    <w:rsid w:val="00E01725"/>
    <w:rsid w:val="00E0172A"/>
    <w:rsid w:val="00E017F4"/>
    <w:rsid w:val="00E0181A"/>
    <w:rsid w:val="00E01833"/>
    <w:rsid w:val="00E01980"/>
    <w:rsid w:val="00E019B4"/>
    <w:rsid w:val="00E01B0D"/>
    <w:rsid w:val="00E01B48"/>
    <w:rsid w:val="00E01C57"/>
    <w:rsid w:val="00E01CCB"/>
    <w:rsid w:val="00E01CEE"/>
    <w:rsid w:val="00E01D09"/>
    <w:rsid w:val="00E01D64"/>
    <w:rsid w:val="00E01D86"/>
    <w:rsid w:val="00E01DD7"/>
    <w:rsid w:val="00E01E3D"/>
    <w:rsid w:val="00E021C7"/>
    <w:rsid w:val="00E021D7"/>
    <w:rsid w:val="00E02276"/>
    <w:rsid w:val="00E022F6"/>
    <w:rsid w:val="00E02584"/>
    <w:rsid w:val="00E0287B"/>
    <w:rsid w:val="00E02A77"/>
    <w:rsid w:val="00E02AA1"/>
    <w:rsid w:val="00E02AF8"/>
    <w:rsid w:val="00E02E69"/>
    <w:rsid w:val="00E02F6E"/>
    <w:rsid w:val="00E0312C"/>
    <w:rsid w:val="00E03137"/>
    <w:rsid w:val="00E031B8"/>
    <w:rsid w:val="00E031D7"/>
    <w:rsid w:val="00E03259"/>
    <w:rsid w:val="00E03287"/>
    <w:rsid w:val="00E03337"/>
    <w:rsid w:val="00E0337F"/>
    <w:rsid w:val="00E0345B"/>
    <w:rsid w:val="00E034FA"/>
    <w:rsid w:val="00E035CE"/>
    <w:rsid w:val="00E03715"/>
    <w:rsid w:val="00E03822"/>
    <w:rsid w:val="00E038CE"/>
    <w:rsid w:val="00E03962"/>
    <w:rsid w:val="00E03D01"/>
    <w:rsid w:val="00E03DE1"/>
    <w:rsid w:val="00E0416F"/>
    <w:rsid w:val="00E041E2"/>
    <w:rsid w:val="00E041EF"/>
    <w:rsid w:val="00E041F1"/>
    <w:rsid w:val="00E042AC"/>
    <w:rsid w:val="00E04315"/>
    <w:rsid w:val="00E04617"/>
    <w:rsid w:val="00E04657"/>
    <w:rsid w:val="00E0468D"/>
    <w:rsid w:val="00E047FE"/>
    <w:rsid w:val="00E04865"/>
    <w:rsid w:val="00E04960"/>
    <w:rsid w:val="00E04A15"/>
    <w:rsid w:val="00E04B7F"/>
    <w:rsid w:val="00E04BA3"/>
    <w:rsid w:val="00E04F86"/>
    <w:rsid w:val="00E04F92"/>
    <w:rsid w:val="00E05084"/>
    <w:rsid w:val="00E05301"/>
    <w:rsid w:val="00E05342"/>
    <w:rsid w:val="00E0535D"/>
    <w:rsid w:val="00E055B5"/>
    <w:rsid w:val="00E05941"/>
    <w:rsid w:val="00E059AD"/>
    <w:rsid w:val="00E059E3"/>
    <w:rsid w:val="00E05AA8"/>
    <w:rsid w:val="00E05AEA"/>
    <w:rsid w:val="00E05B20"/>
    <w:rsid w:val="00E05B55"/>
    <w:rsid w:val="00E05CB5"/>
    <w:rsid w:val="00E05CB7"/>
    <w:rsid w:val="00E05D59"/>
    <w:rsid w:val="00E05D8E"/>
    <w:rsid w:val="00E06035"/>
    <w:rsid w:val="00E0606A"/>
    <w:rsid w:val="00E060A6"/>
    <w:rsid w:val="00E060B0"/>
    <w:rsid w:val="00E0621F"/>
    <w:rsid w:val="00E0626A"/>
    <w:rsid w:val="00E06400"/>
    <w:rsid w:val="00E06701"/>
    <w:rsid w:val="00E067B6"/>
    <w:rsid w:val="00E06861"/>
    <w:rsid w:val="00E06915"/>
    <w:rsid w:val="00E06AD6"/>
    <w:rsid w:val="00E06C6E"/>
    <w:rsid w:val="00E06CE5"/>
    <w:rsid w:val="00E07382"/>
    <w:rsid w:val="00E075E1"/>
    <w:rsid w:val="00E076DF"/>
    <w:rsid w:val="00E078A1"/>
    <w:rsid w:val="00E079C4"/>
    <w:rsid w:val="00E07A3B"/>
    <w:rsid w:val="00E07AA3"/>
    <w:rsid w:val="00E07D27"/>
    <w:rsid w:val="00E07E3D"/>
    <w:rsid w:val="00E07E40"/>
    <w:rsid w:val="00E07EA9"/>
    <w:rsid w:val="00E1002B"/>
    <w:rsid w:val="00E10057"/>
    <w:rsid w:val="00E102EB"/>
    <w:rsid w:val="00E1031E"/>
    <w:rsid w:val="00E10405"/>
    <w:rsid w:val="00E104FA"/>
    <w:rsid w:val="00E10553"/>
    <w:rsid w:val="00E105CC"/>
    <w:rsid w:val="00E106D9"/>
    <w:rsid w:val="00E1073C"/>
    <w:rsid w:val="00E107C2"/>
    <w:rsid w:val="00E10835"/>
    <w:rsid w:val="00E10955"/>
    <w:rsid w:val="00E10B11"/>
    <w:rsid w:val="00E10D76"/>
    <w:rsid w:val="00E10EB0"/>
    <w:rsid w:val="00E10F63"/>
    <w:rsid w:val="00E111B5"/>
    <w:rsid w:val="00E112B9"/>
    <w:rsid w:val="00E11359"/>
    <w:rsid w:val="00E113A6"/>
    <w:rsid w:val="00E1146E"/>
    <w:rsid w:val="00E115A1"/>
    <w:rsid w:val="00E11649"/>
    <w:rsid w:val="00E116D8"/>
    <w:rsid w:val="00E1174F"/>
    <w:rsid w:val="00E1176C"/>
    <w:rsid w:val="00E118EC"/>
    <w:rsid w:val="00E11D91"/>
    <w:rsid w:val="00E11DE1"/>
    <w:rsid w:val="00E11F23"/>
    <w:rsid w:val="00E11F71"/>
    <w:rsid w:val="00E12033"/>
    <w:rsid w:val="00E1206B"/>
    <w:rsid w:val="00E1210A"/>
    <w:rsid w:val="00E1216F"/>
    <w:rsid w:val="00E12185"/>
    <w:rsid w:val="00E1218C"/>
    <w:rsid w:val="00E1233E"/>
    <w:rsid w:val="00E125B8"/>
    <w:rsid w:val="00E12754"/>
    <w:rsid w:val="00E12A62"/>
    <w:rsid w:val="00E12D2D"/>
    <w:rsid w:val="00E12DD1"/>
    <w:rsid w:val="00E12F7F"/>
    <w:rsid w:val="00E12FDB"/>
    <w:rsid w:val="00E12FE2"/>
    <w:rsid w:val="00E1306F"/>
    <w:rsid w:val="00E1308A"/>
    <w:rsid w:val="00E130AD"/>
    <w:rsid w:val="00E130F0"/>
    <w:rsid w:val="00E1355A"/>
    <w:rsid w:val="00E135FD"/>
    <w:rsid w:val="00E1362E"/>
    <w:rsid w:val="00E136A3"/>
    <w:rsid w:val="00E136C7"/>
    <w:rsid w:val="00E13807"/>
    <w:rsid w:val="00E13853"/>
    <w:rsid w:val="00E13B8B"/>
    <w:rsid w:val="00E13D0B"/>
    <w:rsid w:val="00E13DDA"/>
    <w:rsid w:val="00E141E3"/>
    <w:rsid w:val="00E14430"/>
    <w:rsid w:val="00E144AF"/>
    <w:rsid w:val="00E144EA"/>
    <w:rsid w:val="00E145F8"/>
    <w:rsid w:val="00E14662"/>
    <w:rsid w:val="00E1473A"/>
    <w:rsid w:val="00E147D9"/>
    <w:rsid w:val="00E1482E"/>
    <w:rsid w:val="00E14C2D"/>
    <w:rsid w:val="00E14C33"/>
    <w:rsid w:val="00E14DFE"/>
    <w:rsid w:val="00E14F94"/>
    <w:rsid w:val="00E1503F"/>
    <w:rsid w:val="00E1516D"/>
    <w:rsid w:val="00E15200"/>
    <w:rsid w:val="00E152BE"/>
    <w:rsid w:val="00E15374"/>
    <w:rsid w:val="00E1555E"/>
    <w:rsid w:val="00E1561A"/>
    <w:rsid w:val="00E15647"/>
    <w:rsid w:val="00E15891"/>
    <w:rsid w:val="00E15990"/>
    <w:rsid w:val="00E15AF7"/>
    <w:rsid w:val="00E15C29"/>
    <w:rsid w:val="00E15C3F"/>
    <w:rsid w:val="00E16062"/>
    <w:rsid w:val="00E16068"/>
    <w:rsid w:val="00E16094"/>
    <w:rsid w:val="00E161F2"/>
    <w:rsid w:val="00E16437"/>
    <w:rsid w:val="00E1643A"/>
    <w:rsid w:val="00E1654D"/>
    <w:rsid w:val="00E16581"/>
    <w:rsid w:val="00E16590"/>
    <w:rsid w:val="00E16A3E"/>
    <w:rsid w:val="00E16C1F"/>
    <w:rsid w:val="00E16D6D"/>
    <w:rsid w:val="00E16D99"/>
    <w:rsid w:val="00E16E29"/>
    <w:rsid w:val="00E17044"/>
    <w:rsid w:val="00E17274"/>
    <w:rsid w:val="00E1730A"/>
    <w:rsid w:val="00E173AC"/>
    <w:rsid w:val="00E174D5"/>
    <w:rsid w:val="00E1753E"/>
    <w:rsid w:val="00E1759B"/>
    <w:rsid w:val="00E175B5"/>
    <w:rsid w:val="00E1773B"/>
    <w:rsid w:val="00E177D1"/>
    <w:rsid w:val="00E17823"/>
    <w:rsid w:val="00E17BF6"/>
    <w:rsid w:val="00E17D76"/>
    <w:rsid w:val="00E17E0F"/>
    <w:rsid w:val="00E20159"/>
    <w:rsid w:val="00E201B4"/>
    <w:rsid w:val="00E20552"/>
    <w:rsid w:val="00E20879"/>
    <w:rsid w:val="00E20A47"/>
    <w:rsid w:val="00E20A77"/>
    <w:rsid w:val="00E20BE7"/>
    <w:rsid w:val="00E20E0B"/>
    <w:rsid w:val="00E20FB4"/>
    <w:rsid w:val="00E210DF"/>
    <w:rsid w:val="00E210F3"/>
    <w:rsid w:val="00E2124F"/>
    <w:rsid w:val="00E2195D"/>
    <w:rsid w:val="00E21ADE"/>
    <w:rsid w:val="00E21AFE"/>
    <w:rsid w:val="00E21B1E"/>
    <w:rsid w:val="00E21B9F"/>
    <w:rsid w:val="00E21E29"/>
    <w:rsid w:val="00E221A5"/>
    <w:rsid w:val="00E22330"/>
    <w:rsid w:val="00E22334"/>
    <w:rsid w:val="00E223B3"/>
    <w:rsid w:val="00E22435"/>
    <w:rsid w:val="00E2259C"/>
    <w:rsid w:val="00E22667"/>
    <w:rsid w:val="00E2283C"/>
    <w:rsid w:val="00E228AF"/>
    <w:rsid w:val="00E229FA"/>
    <w:rsid w:val="00E22AAE"/>
    <w:rsid w:val="00E22B23"/>
    <w:rsid w:val="00E22B91"/>
    <w:rsid w:val="00E22C1A"/>
    <w:rsid w:val="00E22D9C"/>
    <w:rsid w:val="00E22DEE"/>
    <w:rsid w:val="00E22E9D"/>
    <w:rsid w:val="00E23061"/>
    <w:rsid w:val="00E2310D"/>
    <w:rsid w:val="00E23171"/>
    <w:rsid w:val="00E23415"/>
    <w:rsid w:val="00E234E2"/>
    <w:rsid w:val="00E237BE"/>
    <w:rsid w:val="00E23B46"/>
    <w:rsid w:val="00E23B5D"/>
    <w:rsid w:val="00E23BC1"/>
    <w:rsid w:val="00E23BCE"/>
    <w:rsid w:val="00E23CCE"/>
    <w:rsid w:val="00E23D9A"/>
    <w:rsid w:val="00E23DA4"/>
    <w:rsid w:val="00E24001"/>
    <w:rsid w:val="00E2419D"/>
    <w:rsid w:val="00E241BF"/>
    <w:rsid w:val="00E241E2"/>
    <w:rsid w:val="00E242C6"/>
    <w:rsid w:val="00E24367"/>
    <w:rsid w:val="00E24387"/>
    <w:rsid w:val="00E244CE"/>
    <w:rsid w:val="00E244F0"/>
    <w:rsid w:val="00E2450E"/>
    <w:rsid w:val="00E2455A"/>
    <w:rsid w:val="00E2459B"/>
    <w:rsid w:val="00E2461D"/>
    <w:rsid w:val="00E2477A"/>
    <w:rsid w:val="00E247A6"/>
    <w:rsid w:val="00E24B23"/>
    <w:rsid w:val="00E24DBA"/>
    <w:rsid w:val="00E24E73"/>
    <w:rsid w:val="00E24EC8"/>
    <w:rsid w:val="00E24ECB"/>
    <w:rsid w:val="00E24F8D"/>
    <w:rsid w:val="00E25146"/>
    <w:rsid w:val="00E251DE"/>
    <w:rsid w:val="00E25263"/>
    <w:rsid w:val="00E252C7"/>
    <w:rsid w:val="00E2532D"/>
    <w:rsid w:val="00E25485"/>
    <w:rsid w:val="00E257BC"/>
    <w:rsid w:val="00E259AF"/>
    <w:rsid w:val="00E25A3C"/>
    <w:rsid w:val="00E25A3F"/>
    <w:rsid w:val="00E25B4D"/>
    <w:rsid w:val="00E25B8C"/>
    <w:rsid w:val="00E25BD2"/>
    <w:rsid w:val="00E25EEE"/>
    <w:rsid w:val="00E2617A"/>
    <w:rsid w:val="00E261B7"/>
    <w:rsid w:val="00E26303"/>
    <w:rsid w:val="00E2630B"/>
    <w:rsid w:val="00E2636A"/>
    <w:rsid w:val="00E2641A"/>
    <w:rsid w:val="00E266A0"/>
    <w:rsid w:val="00E266A6"/>
    <w:rsid w:val="00E26A88"/>
    <w:rsid w:val="00E26D3A"/>
    <w:rsid w:val="00E270C7"/>
    <w:rsid w:val="00E272BA"/>
    <w:rsid w:val="00E272BE"/>
    <w:rsid w:val="00E273C0"/>
    <w:rsid w:val="00E275CE"/>
    <w:rsid w:val="00E278AE"/>
    <w:rsid w:val="00E27A5F"/>
    <w:rsid w:val="00E27D35"/>
    <w:rsid w:val="00E27DEA"/>
    <w:rsid w:val="00E27FCF"/>
    <w:rsid w:val="00E302BF"/>
    <w:rsid w:val="00E3031D"/>
    <w:rsid w:val="00E30366"/>
    <w:rsid w:val="00E306FE"/>
    <w:rsid w:val="00E309BD"/>
    <w:rsid w:val="00E309D5"/>
    <w:rsid w:val="00E30A0D"/>
    <w:rsid w:val="00E30BA0"/>
    <w:rsid w:val="00E30C6E"/>
    <w:rsid w:val="00E30CB2"/>
    <w:rsid w:val="00E30E44"/>
    <w:rsid w:val="00E30F03"/>
    <w:rsid w:val="00E30FEB"/>
    <w:rsid w:val="00E31052"/>
    <w:rsid w:val="00E31337"/>
    <w:rsid w:val="00E314E7"/>
    <w:rsid w:val="00E31B67"/>
    <w:rsid w:val="00E31C10"/>
    <w:rsid w:val="00E31C7A"/>
    <w:rsid w:val="00E31D1E"/>
    <w:rsid w:val="00E31F29"/>
    <w:rsid w:val="00E31FDC"/>
    <w:rsid w:val="00E31FDF"/>
    <w:rsid w:val="00E31FEC"/>
    <w:rsid w:val="00E32039"/>
    <w:rsid w:val="00E320AF"/>
    <w:rsid w:val="00E320F6"/>
    <w:rsid w:val="00E32105"/>
    <w:rsid w:val="00E321E8"/>
    <w:rsid w:val="00E322A4"/>
    <w:rsid w:val="00E32465"/>
    <w:rsid w:val="00E3268A"/>
    <w:rsid w:val="00E327F8"/>
    <w:rsid w:val="00E3283A"/>
    <w:rsid w:val="00E328A3"/>
    <w:rsid w:val="00E3298A"/>
    <w:rsid w:val="00E329FD"/>
    <w:rsid w:val="00E32AA7"/>
    <w:rsid w:val="00E32D85"/>
    <w:rsid w:val="00E32DAA"/>
    <w:rsid w:val="00E32E75"/>
    <w:rsid w:val="00E32F85"/>
    <w:rsid w:val="00E3322A"/>
    <w:rsid w:val="00E33278"/>
    <w:rsid w:val="00E33AE4"/>
    <w:rsid w:val="00E33C89"/>
    <w:rsid w:val="00E33D78"/>
    <w:rsid w:val="00E33EF7"/>
    <w:rsid w:val="00E33F61"/>
    <w:rsid w:val="00E33FA5"/>
    <w:rsid w:val="00E34004"/>
    <w:rsid w:val="00E34106"/>
    <w:rsid w:val="00E34146"/>
    <w:rsid w:val="00E34185"/>
    <w:rsid w:val="00E3426B"/>
    <w:rsid w:val="00E34412"/>
    <w:rsid w:val="00E3485D"/>
    <w:rsid w:val="00E34899"/>
    <w:rsid w:val="00E34A60"/>
    <w:rsid w:val="00E34BCF"/>
    <w:rsid w:val="00E34E46"/>
    <w:rsid w:val="00E34E5E"/>
    <w:rsid w:val="00E34EE4"/>
    <w:rsid w:val="00E351F0"/>
    <w:rsid w:val="00E3525E"/>
    <w:rsid w:val="00E353BD"/>
    <w:rsid w:val="00E354FC"/>
    <w:rsid w:val="00E356D3"/>
    <w:rsid w:val="00E3591C"/>
    <w:rsid w:val="00E35995"/>
    <w:rsid w:val="00E35A89"/>
    <w:rsid w:val="00E35FB1"/>
    <w:rsid w:val="00E36109"/>
    <w:rsid w:val="00E363C1"/>
    <w:rsid w:val="00E364C4"/>
    <w:rsid w:val="00E36502"/>
    <w:rsid w:val="00E3659A"/>
    <w:rsid w:val="00E366DF"/>
    <w:rsid w:val="00E36895"/>
    <w:rsid w:val="00E36BF4"/>
    <w:rsid w:val="00E36D48"/>
    <w:rsid w:val="00E36D72"/>
    <w:rsid w:val="00E36E35"/>
    <w:rsid w:val="00E36F8A"/>
    <w:rsid w:val="00E3702A"/>
    <w:rsid w:val="00E37030"/>
    <w:rsid w:val="00E37044"/>
    <w:rsid w:val="00E37140"/>
    <w:rsid w:val="00E371CB"/>
    <w:rsid w:val="00E3736B"/>
    <w:rsid w:val="00E37464"/>
    <w:rsid w:val="00E375F9"/>
    <w:rsid w:val="00E37602"/>
    <w:rsid w:val="00E37714"/>
    <w:rsid w:val="00E378F6"/>
    <w:rsid w:val="00E379D9"/>
    <w:rsid w:val="00E37AA3"/>
    <w:rsid w:val="00E37CF5"/>
    <w:rsid w:val="00E37DD6"/>
    <w:rsid w:val="00E37E04"/>
    <w:rsid w:val="00E37E1B"/>
    <w:rsid w:val="00E37E41"/>
    <w:rsid w:val="00E401CD"/>
    <w:rsid w:val="00E402E6"/>
    <w:rsid w:val="00E40338"/>
    <w:rsid w:val="00E4034E"/>
    <w:rsid w:val="00E40495"/>
    <w:rsid w:val="00E409EA"/>
    <w:rsid w:val="00E40DF0"/>
    <w:rsid w:val="00E40E25"/>
    <w:rsid w:val="00E40E3C"/>
    <w:rsid w:val="00E41145"/>
    <w:rsid w:val="00E41220"/>
    <w:rsid w:val="00E4126F"/>
    <w:rsid w:val="00E41278"/>
    <w:rsid w:val="00E412DC"/>
    <w:rsid w:val="00E4132A"/>
    <w:rsid w:val="00E413C7"/>
    <w:rsid w:val="00E414FE"/>
    <w:rsid w:val="00E41643"/>
    <w:rsid w:val="00E4177D"/>
    <w:rsid w:val="00E417B9"/>
    <w:rsid w:val="00E41927"/>
    <w:rsid w:val="00E419F1"/>
    <w:rsid w:val="00E41C08"/>
    <w:rsid w:val="00E41F5B"/>
    <w:rsid w:val="00E41FB5"/>
    <w:rsid w:val="00E421E5"/>
    <w:rsid w:val="00E4223F"/>
    <w:rsid w:val="00E422B5"/>
    <w:rsid w:val="00E42357"/>
    <w:rsid w:val="00E42460"/>
    <w:rsid w:val="00E424F4"/>
    <w:rsid w:val="00E42505"/>
    <w:rsid w:val="00E428BE"/>
    <w:rsid w:val="00E428F8"/>
    <w:rsid w:val="00E42981"/>
    <w:rsid w:val="00E42A62"/>
    <w:rsid w:val="00E42B2F"/>
    <w:rsid w:val="00E42B31"/>
    <w:rsid w:val="00E42F7D"/>
    <w:rsid w:val="00E43002"/>
    <w:rsid w:val="00E430E6"/>
    <w:rsid w:val="00E430FE"/>
    <w:rsid w:val="00E4314B"/>
    <w:rsid w:val="00E43173"/>
    <w:rsid w:val="00E431BC"/>
    <w:rsid w:val="00E43316"/>
    <w:rsid w:val="00E4337D"/>
    <w:rsid w:val="00E434FA"/>
    <w:rsid w:val="00E43A3F"/>
    <w:rsid w:val="00E43ABC"/>
    <w:rsid w:val="00E43B0B"/>
    <w:rsid w:val="00E43B4D"/>
    <w:rsid w:val="00E43C10"/>
    <w:rsid w:val="00E43C4D"/>
    <w:rsid w:val="00E43CC2"/>
    <w:rsid w:val="00E43E19"/>
    <w:rsid w:val="00E44124"/>
    <w:rsid w:val="00E443EE"/>
    <w:rsid w:val="00E4450C"/>
    <w:rsid w:val="00E44520"/>
    <w:rsid w:val="00E4459E"/>
    <w:rsid w:val="00E44931"/>
    <w:rsid w:val="00E44A8E"/>
    <w:rsid w:val="00E44B2A"/>
    <w:rsid w:val="00E44BCD"/>
    <w:rsid w:val="00E44CB1"/>
    <w:rsid w:val="00E44D50"/>
    <w:rsid w:val="00E44DBC"/>
    <w:rsid w:val="00E44F70"/>
    <w:rsid w:val="00E450AA"/>
    <w:rsid w:val="00E4517C"/>
    <w:rsid w:val="00E451C7"/>
    <w:rsid w:val="00E452CA"/>
    <w:rsid w:val="00E45341"/>
    <w:rsid w:val="00E453F9"/>
    <w:rsid w:val="00E45424"/>
    <w:rsid w:val="00E45667"/>
    <w:rsid w:val="00E45740"/>
    <w:rsid w:val="00E4597A"/>
    <w:rsid w:val="00E45A29"/>
    <w:rsid w:val="00E45C50"/>
    <w:rsid w:val="00E45C65"/>
    <w:rsid w:val="00E45CA5"/>
    <w:rsid w:val="00E45CBF"/>
    <w:rsid w:val="00E45CE9"/>
    <w:rsid w:val="00E45D1A"/>
    <w:rsid w:val="00E45EB0"/>
    <w:rsid w:val="00E45FDD"/>
    <w:rsid w:val="00E463CA"/>
    <w:rsid w:val="00E465BF"/>
    <w:rsid w:val="00E465F7"/>
    <w:rsid w:val="00E4663E"/>
    <w:rsid w:val="00E46707"/>
    <w:rsid w:val="00E467AE"/>
    <w:rsid w:val="00E46A19"/>
    <w:rsid w:val="00E46B2D"/>
    <w:rsid w:val="00E46CA4"/>
    <w:rsid w:val="00E46D99"/>
    <w:rsid w:val="00E46DF0"/>
    <w:rsid w:val="00E46F57"/>
    <w:rsid w:val="00E47101"/>
    <w:rsid w:val="00E4730B"/>
    <w:rsid w:val="00E473F1"/>
    <w:rsid w:val="00E47408"/>
    <w:rsid w:val="00E474B1"/>
    <w:rsid w:val="00E47563"/>
    <w:rsid w:val="00E47611"/>
    <w:rsid w:val="00E477AF"/>
    <w:rsid w:val="00E47910"/>
    <w:rsid w:val="00E47979"/>
    <w:rsid w:val="00E47982"/>
    <w:rsid w:val="00E47996"/>
    <w:rsid w:val="00E479B3"/>
    <w:rsid w:val="00E47CFE"/>
    <w:rsid w:val="00E47DC3"/>
    <w:rsid w:val="00E47E09"/>
    <w:rsid w:val="00E47F30"/>
    <w:rsid w:val="00E50068"/>
    <w:rsid w:val="00E5007C"/>
    <w:rsid w:val="00E50216"/>
    <w:rsid w:val="00E502DF"/>
    <w:rsid w:val="00E503AD"/>
    <w:rsid w:val="00E50426"/>
    <w:rsid w:val="00E50545"/>
    <w:rsid w:val="00E50574"/>
    <w:rsid w:val="00E50588"/>
    <w:rsid w:val="00E50604"/>
    <w:rsid w:val="00E50732"/>
    <w:rsid w:val="00E5087A"/>
    <w:rsid w:val="00E50CC8"/>
    <w:rsid w:val="00E50E3B"/>
    <w:rsid w:val="00E50E96"/>
    <w:rsid w:val="00E50ED0"/>
    <w:rsid w:val="00E50FF7"/>
    <w:rsid w:val="00E511DB"/>
    <w:rsid w:val="00E511EE"/>
    <w:rsid w:val="00E51521"/>
    <w:rsid w:val="00E51548"/>
    <w:rsid w:val="00E515DC"/>
    <w:rsid w:val="00E5184C"/>
    <w:rsid w:val="00E51A4C"/>
    <w:rsid w:val="00E51BA4"/>
    <w:rsid w:val="00E51C2C"/>
    <w:rsid w:val="00E51CBE"/>
    <w:rsid w:val="00E51DB2"/>
    <w:rsid w:val="00E51E57"/>
    <w:rsid w:val="00E51F8F"/>
    <w:rsid w:val="00E52072"/>
    <w:rsid w:val="00E520ED"/>
    <w:rsid w:val="00E52321"/>
    <w:rsid w:val="00E52324"/>
    <w:rsid w:val="00E523EE"/>
    <w:rsid w:val="00E5257B"/>
    <w:rsid w:val="00E52689"/>
    <w:rsid w:val="00E5273B"/>
    <w:rsid w:val="00E527AA"/>
    <w:rsid w:val="00E52AFB"/>
    <w:rsid w:val="00E52B6B"/>
    <w:rsid w:val="00E52C4E"/>
    <w:rsid w:val="00E52D91"/>
    <w:rsid w:val="00E52DAB"/>
    <w:rsid w:val="00E530E4"/>
    <w:rsid w:val="00E53349"/>
    <w:rsid w:val="00E5342E"/>
    <w:rsid w:val="00E535A8"/>
    <w:rsid w:val="00E5364C"/>
    <w:rsid w:val="00E53988"/>
    <w:rsid w:val="00E53B3D"/>
    <w:rsid w:val="00E53C66"/>
    <w:rsid w:val="00E53EE9"/>
    <w:rsid w:val="00E53F27"/>
    <w:rsid w:val="00E54049"/>
    <w:rsid w:val="00E54250"/>
    <w:rsid w:val="00E5431F"/>
    <w:rsid w:val="00E543BA"/>
    <w:rsid w:val="00E5446B"/>
    <w:rsid w:val="00E54552"/>
    <w:rsid w:val="00E54623"/>
    <w:rsid w:val="00E54678"/>
    <w:rsid w:val="00E54924"/>
    <w:rsid w:val="00E54AF3"/>
    <w:rsid w:val="00E54BBE"/>
    <w:rsid w:val="00E54BCE"/>
    <w:rsid w:val="00E54C8B"/>
    <w:rsid w:val="00E54CD4"/>
    <w:rsid w:val="00E54D0B"/>
    <w:rsid w:val="00E54EB9"/>
    <w:rsid w:val="00E54F77"/>
    <w:rsid w:val="00E55027"/>
    <w:rsid w:val="00E552A5"/>
    <w:rsid w:val="00E553BC"/>
    <w:rsid w:val="00E555FB"/>
    <w:rsid w:val="00E556B0"/>
    <w:rsid w:val="00E557AB"/>
    <w:rsid w:val="00E55832"/>
    <w:rsid w:val="00E55A57"/>
    <w:rsid w:val="00E55BDA"/>
    <w:rsid w:val="00E55D09"/>
    <w:rsid w:val="00E55EF9"/>
    <w:rsid w:val="00E55F4C"/>
    <w:rsid w:val="00E56271"/>
    <w:rsid w:val="00E562F8"/>
    <w:rsid w:val="00E563EE"/>
    <w:rsid w:val="00E56431"/>
    <w:rsid w:val="00E56568"/>
    <w:rsid w:val="00E56722"/>
    <w:rsid w:val="00E56903"/>
    <w:rsid w:val="00E56B02"/>
    <w:rsid w:val="00E56C65"/>
    <w:rsid w:val="00E56CDB"/>
    <w:rsid w:val="00E56D06"/>
    <w:rsid w:val="00E56DA8"/>
    <w:rsid w:val="00E56E28"/>
    <w:rsid w:val="00E56E3C"/>
    <w:rsid w:val="00E56EFA"/>
    <w:rsid w:val="00E56F3B"/>
    <w:rsid w:val="00E571D6"/>
    <w:rsid w:val="00E57212"/>
    <w:rsid w:val="00E57633"/>
    <w:rsid w:val="00E5764C"/>
    <w:rsid w:val="00E57814"/>
    <w:rsid w:val="00E578B7"/>
    <w:rsid w:val="00E579C6"/>
    <w:rsid w:val="00E57B01"/>
    <w:rsid w:val="00E57DD7"/>
    <w:rsid w:val="00E57F25"/>
    <w:rsid w:val="00E57F6F"/>
    <w:rsid w:val="00E60068"/>
    <w:rsid w:val="00E600DD"/>
    <w:rsid w:val="00E601AA"/>
    <w:rsid w:val="00E601B5"/>
    <w:rsid w:val="00E6053B"/>
    <w:rsid w:val="00E60846"/>
    <w:rsid w:val="00E60931"/>
    <w:rsid w:val="00E609BF"/>
    <w:rsid w:val="00E609C9"/>
    <w:rsid w:val="00E60A19"/>
    <w:rsid w:val="00E60B1D"/>
    <w:rsid w:val="00E60E40"/>
    <w:rsid w:val="00E61593"/>
    <w:rsid w:val="00E6170E"/>
    <w:rsid w:val="00E61898"/>
    <w:rsid w:val="00E61A54"/>
    <w:rsid w:val="00E61C80"/>
    <w:rsid w:val="00E61E6E"/>
    <w:rsid w:val="00E6203B"/>
    <w:rsid w:val="00E62074"/>
    <w:rsid w:val="00E62308"/>
    <w:rsid w:val="00E623BF"/>
    <w:rsid w:val="00E623E9"/>
    <w:rsid w:val="00E62414"/>
    <w:rsid w:val="00E6266D"/>
    <w:rsid w:val="00E62BC5"/>
    <w:rsid w:val="00E62D63"/>
    <w:rsid w:val="00E62ED6"/>
    <w:rsid w:val="00E62F43"/>
    <w:rsid w:val="00E631CA"/>
    <w:rsid w:val="00E631D0"/>
    <w:rsid w:val="00E63239"/>
    <w:rsid w:val="00E6347C"/>
    <w:rsid w:val="00E634B5"/>
    <w:rsid w:val="00E63549"/>
    <w:rsid w:val="00E6354B"/>
    <w:rsid w:val="00E63597"/>
    <w:rsid w:val="00E635B7"/>
    <w:rsid w:val="00E63603"/>
    <w:rsid w:val="00E63A28"/>
    <w:rsid w:val="00E63B75"/>
    <w:rsid w:val="00E63C61"/>
    <w:rsid w:val="00E63D8F"/>
    <w:rsid w:val="00E63D90"/>
    <w:rsid w:val="00E64063"/>
    <w:rsid w:val="00E64135"/>
    <w:rsid w:val="00E6415B"/>
    <w:rsid w:val="00E643A2"/>
    <w:rsid w:val="00E643ED"/>
    <w:rsid w:val="00E64422"/>
    <w:rsid w:val="00E6464D"/>
    <w:rsid w:val="00E646C9"/>
    <w:rsid w:val="00E64ACD"/>
    <w:rsid w:val="00E64AF7"/>
    <w:rsid w:val="00E64B4D"/>
    <w:rsid w:val="00E64B54"/>
    <w:rsid w:val="00E64C81"/>
    <w:rsid w:val="00E64D04"/>
    <w:rsid w:val="00E64F94"/>
    <w:rsid w:val="00E6518A"/>
    <w:rsid w:val="00E6530B"/>
    <w:rsid w:val="00E653B4"/>
    <w:rsid w:val="00E65416"/>
    <w:rsid w:val="00E657E3"/>
    <w:rsid w:val="00E657FE"/>
    <w:rsid w:val="00E65849"/>
    <w:rsid w:val="00E658F9"/>
    <w:rsid w:val="00E65A06"/>
    <w:rsid w:val="00E65CB6"/>
    <w:rsid w:val="00E65D6A"/>
    <w:rsid w:val="00E65D8A"/>
    <w:rsid w:val="00E65F48"/>
    <w:rsid w:val="00E66083"/>
    <w:rsid w:val="00E661C0"/>
    <w:rsid w:val="00E66250"/>
    <w:rsid w:val="00E66586"/>
    <w:rsid w:val="00E6661D"/>
    <w:rsid w:val="00E66661"/>
    <w:rsid w:val="00E669D4"/>
    <w:rsid w:val="00E66A97"/>
    <w:rsid w:val="00E66B10"/>
    <w:rsid w:val="00E66B4E"/>
    <w:rsid w:val="00E66CCF"/>
    <w:rsid w:val="00E66DC2"/>
    <w:rsid w:val="00E670C4"/>
    <w:rsid w:val="00E670D4"/>
    <w:rsid w:val="00E67328"/>
    <w:rsid w:val="00E677BA"/>
    <w:rsid w:val="00E67819"/>
    <w:rsid w:val="00E67982"/>
    <w:rsid w:val="00E67A4A"/>
    <w:rsid w:val="00E67AD6"/>
    <w:rsid w:val="00E67B72"/>
    <w:rsid w:val="00E67D51"/>
    <w:rsid w:val="00E7007E"/>
    <w:rsid w:val="00E70257"/>
    <w:rsid w:val="00E7042C"/>
    <w:rsid w:val="00E705F3"/>
    <w:rsid w:val="00E705FA"/>
    <w:rsid w:val="00E706BB"/>
    <w:rsid w:val="00E7086F"/>
    <w:rsid w:val="00E70CDC"/>
    <w:rsid w:val="00E70FCE"/>
    <w:rsid w:val="00E7106A"/>
    <w:rsid w:val="00E71450"/>
    <w:rsid w:val="00E71699"/>
    <w:rsid w:val="00E71760"/>
    <w:rsid w:val="00E718D7"/>
    <w:rsid w:val="00E71900"/>
    <w:rsid w:val="00E71904"/>
    <w:rsid w:val="00E71AC9"/>
    <w:rsid w:val="00E71CF8"/>
    <w:rsid w:val="00E72029"/>
    <w:rsid w:val="00E7205C"/>
    <w:rsid w:val="00E720CB"/>
    <w:rsid w:val="00E72149"/>
    <w:rsid w:val="00E72259"/>
    <w:rsid w:val="00E7233D"/>
    <w:rsid w:val="00E7240D"/>
    <w:rsid w:val="00E724FA"/>
    <w:rsid w:val="00E7265A"/>
    <w:rsid w:val="00E72717"/>
    <w:rsid w:val="00E72755"/>
    <w:rsid w:val="00E72919"/>
    <w:rsid w:val="00E72A9E"/>
    <w:rsid w:val="00E72B76"/>
    <w:rsid w:val="00E72C29"/>
    <w:rsid w:val="00E72C69"/>
    <w:rsid w:val="00E72DC2"/>
    <w:rsid w:val="00E72E4A"/>
    <w:rsid w:val="00E72E4D"/>
    <w:rsid w:val="00E72E86"/>
    <w:rsid w:val="00E72FEF"/>
    <w:rsid w:val="00E73088"/>
    <w:rsid w:val="00E730F6"/>
    <w:rsid w:val="00E733FF"/>
    <w:rsid w:val="00E735FD"/>
    <w:rsid w:val="00E73702"/>
    <w:rsid w:val="00E73897"/>
    <w:rsid w:val="00E738D1"/>
    <w:rsid w:val="00E73D4B"/>
    <w:rsid w:val="00E73E73"/>
    <w:rsid w:val="00E73E95"/>
    <w:rsid w:val="00E73F36"/>
    <w:rsid w:val="00E73FA7"/>
    <w:rsid w:val="00E74005"/>
    <w:rsid w:val="00E7407E"/>
    <w:rsid w:val="00E74596"/>
    <w:rsid w:val="00E746CF"/>
    <w:rsid w:val="00E74703"/>
    <w:rsid w:val="00E74708"/>
    <w:rsid w:val="00E748E9"/>
    <w:rsid w:val="00E7495D"/>
    <w:rsid w:val="00E7496D"/>
    <w:rsid w:val="00E749CF"/>
    <w:rsid w:val="00E74ACB"/>
    <w:rsid w:val="00E74D13"/>
    <w:rsid w:val="00E74D16"/>
    <w:rsid w:val="00E74DCB"/>
    <w:rsid w:val="00E74E5C"/>
    <w:rsid w:val="00E74EDD"/>
    <w:rsid w:val="00E74FAC"/>
    <w:rsid w:val="00E74FEE"/>
    <w:rsid w:val="00E750AF"/>
    <w:rsid w:val="00E75251"/>
    <w:rsid w:val="00E7549A"/>
    <w:rsid w:val="00E7554F"/>
    <w:rsid w:val="00E7563B"/>
    <w:rsid w:val="00E756C4"/>
    <w:rsid w:val="00E75803"/>
    <w:rsid w:val="00E7581D"/>
    <w:rsid w:val="00E758D1"/>
    <w:rsid w:val="00E758E4"/>
    <w:rsid w:val="00E7593A"/>
    <w:rsid w:val="00E7594E"/>
    <w:rsid w:val="00E75AA5"/>
    <w:rsid w:val="00E75B72"/>
    <w:rsid w:val="00E75D6C"/>
    <w:rsid w:val="00E75D6E"/>
    <w:rsid w:val="00E75E00"/>
    <w:rsid w:val="00E75F07"/>
    <w:rsid w:val="00E75F83"/>
    <w:rsid w:val="00E75F96"/>
    <w:rsid w:val="00E76104"/>
    <w:rsid w:val="00E761F5"/>
    <w:rsid w:val="00E76339"/>
    <w:rsid w:val="00E7639E"/>
    <w:rsid w:val="00E76410"/>
    <w:rsid w:val="00E76511"/>
    <w:rsid w:val="00E76599"/>
    <w:rsid w:val="00E7663A"/>
    <w:rsid w:val="00E7663D"/>
    <w:rsid w:val="00E76764"/>
    <w:rsid w:val="00E7679C"/>
    <w:rsid w:val="00E767D0"/>
    <w:rsid w:val="00E76882"/>
    <w:rsid w:val="00E76896"/>
    <w:rsid w:val="00E76994"/>
    <w:rsid w:val="00E769C9"/>
    <w:rsid w:val="00E769E1"/>
    <w:rsid w:val="00E76C7B"/>
    <w:rsid w:val="00E76D36"/>
    <w:rsid w:val="00E76FA7"/>
    <w:rsid w:val="00E7710F"/>
    <w:rsid w:val="00E773FD"/>
    <w:rsid w:val="00E774F0"/>
    <w:rsid w:val="00E775E5"/>
    <w:rsid w:val="00E77696"/>
    <w:rsid w:val="00E77731"/>
    <w:rsid w:val="00E77789"/>
    <w:rsid w:val="00E778DF"/>
    <w:rsid w:val="00E778FD"/>
    <w:rsid w:val="00E7791D"/>
    <w:rsid w:val="00E779A3"/>
    <w:rsid w:val="00E77A03"/>
    <w:rsid w:val="00E77A13"/>
    <w:rsid w:val="00E77BF4"/>
    <w:rsid w:val="00E77C94"/>
    <w:rsid w:val="00E77CC5"/>
    <w:rsid w:val="00E77D1A"/>
    <w:rsid w:val="00E8024E"/>
    <w:rsid w:val="00E80268"/>
    <w:rsid w:val="00E806CD"/>
    <w:rsid w:val="00E80712"/>
    <w:rsid w:val="00E80889"/>
    <w:rsid w:val="00E80913"/>
    <w:rsid w:val="00E80BF8"/>
    <w:rsid w:val="00E80D6D"/>
    <w:rsid w:val="00E80D77"/>
    <w:rsid w:val="00E80D9A"/>
    <w:rsid w:val="00E810D3"/>
    <w:rsid w:val="00E8117D"/>
    <w:rsid w:val="00E811A8"/>
    <w:rsid w:val="00E81266"/>
    <w:rsid w:val="00E81352"/>
    <w:rsid w:val="00E81457"/>
    <w:rsid w:val="00E815A9"/>
    <w:rsid w:val="00E815E4"/>
    <w:rsid w:val="00E8164E"/>
    <w:rsid w:val="00E81B2C"/>
    <w:rsid w:val="00E81CE4"/>
    <w:rsid w:val="00E81D11"/>
    <w:rsid w:val="00E81D2E"/>
    <w:rsid w:val="00E81D9B"/>
    <w:rsid w:val="00E821F8"/>
    <w:rsid w:val="00E82243"/>
    <w:rsid w:val="00E823B0"/>
    <w:rsid w:val="00E823D0"/>
    <w:rsid w:val="00E82466"/>
    <w:rsid w:val="00E824A2"/>
    <w:rsid w:val="00E825AB"/>
    <w:rsid w:val="00E826CC"/>
    <w:rsid w:val="00E8292D"/>
    <w:rsid w:val="00E82933"/>
    <w:rsid w:val="00E82AC3"/>
    <w:rsid w:val="00E82B91"/>
    <w:rsid w:val="00E82DBA"/>
    <w:rsid w:val="00E82EB7"/>
    <w:rsid w:val="00E82F32"/>
    <w:rsid w:val="00E82F96"/>
    <w:rsid w:val="00E82FEC"/>
    <w:rsid w:val="00E8303C"/>
    <w:rsid w:val="00E830BC"/>
    <w:rsid w:val="00E8314D"/>
    <w:rsid w:val="00E831CD"/>
    <w:rsid w:val="00E83784"/>
    <w:rsid w:val="00E83B03"/>
    <w:rsid w:val="00E83B57"/>
    <w:rsid w:val="00E83C5A"/>
    <w:rsid w:val="00E83CFF"/>
    <w:rsid w:val="00E83E1E"/>
    <w:rsid w:val="00E83F1B"/>
    <w:rsid w:val="00E84014"/>
    <w:rsid w:val="00E84169"/>
    <w:rsid w:val="00E841A2"/>
    <w:rsid w:val="00E841A8"/>
    <w:rsid w:val="00E842D1"/>
    <w:rsid w:val="00E8432A"/>
    <w:rsid w:val="00E84344"/>
    <w:rsid w:val="00E8472A"/>
    <w:rsid w:val="00E848EC"/>
    <w:rsid w:val="00E8497E"/>
    <w:rsid w:val="00E84AC1"/>
    <w:rsid w:val="00E84BDC"/>
    <w:rsid w:val="00E84CF2"/>
    <w:rsid w:val="00E84E93"/>
    <w:rsid w:val="00E84E94"/>
    <w:rsid w:val="00E84E9A"/>
    <w:rsid w:val="00E84F61"/>
    <w:rsid w:val="00E84FA0"/>
    <w:rsid w:val="00E84FD6"/>
    <w:rsid w:val="00E85146"/>
    <w:rsid w:val="00E8527D"/>
    <w:rsid w:val="00E85616"/>
    <w:rsid w:val="00E856E2"/>
    <w:rsid w:val="00E8572A"/>
    <w:rsid w:val="00E858E7"/>
    <w:rsid w:val="00E859A3"/>
    <w:rsid w:val="00E85B23"/>
    <w:rsid w:val="00E85B50"/>
    <w:rsid w:val="00E85CD4"/>
    <w:rsid w:val="00E85DB9"/>
    <w:rsid w:val="00E85EA1"/>
    <w:rsid w:val="00E85F63"/>
    <w:rsid w:val="00E86155"/>
    <w:rsid w:val="00E8619B"/>
    <w:rsid w:val="00E86252"/>
    <w:rsid w:val="00E86376"/>
    <w:rsid w:val="00E86484"/>
    <w:rsid w:val="00E86518"/>
    <w:rsid w:val="00E8681F"/>
    <w:rsid w:val="00E86C84"/>
    <w:rsid w:val="00E86D82"/>
    <w:rsid w:val="00E86DA3"/>
    <w:rsid w:val="00E86E3C"/>
    <w:rsid w:val="00E86FAA"/>
    <w:rsid w:val="00E870F5"/>
    <w:rsid w:val="00E87164"/>
    <w:rsid w:val="00E872B5"/>
    <w:rsid w:val="00E87322"/>
    <w:rsid w:val="00E87327"/>
    <w:rsid w:val="00E87334"/>
    <w:rsid w:val="00E87465"/>
    <w:rsid w:val="00E87517"/>
    <w:rsid w:val="00E875F1"/>
    <w:rsid w:val="00E876FB"/>
    <w:rsid w:val="00E878FA"/>
    <w:rsid w:val="00E87909"/>
    <w:rsid w:val="00E8798D"/>
    <w:rsid w:val="00E87A7F"/>
    <w:rsid w:val="00E87F3F"/>
    <w:rsid w:val="00E9007F"/>
    <w:rsid w:val="00E90388"/>
    <w:rsid w:val="00E903CD"/>
    <w:rsid w:val="00E905FD"/>
    <w:rsid w:val="00E9067E"/>
    <w:rsid w:val="00E90695"/>
    <w:rsid w:val="00E9070E"/>
    <w:rsid w:val="00E90878"/>
    <w:rsid w:val="00E9096A"/>
    <w:rsid w:val="00E90C5F"/>
    <w:rsid w:val="00E90C7C"/>
    <w:rsid w:val="00E90CAD"/>
    <w:rsid w:val="00E90CD7"/>
    <w:rsid w:val="00E90D13"/>
    <w:rsid w:val="00E90EE3"/>
    <w:rsid w:val="00E90F82"/>
    <w:rsid w:val="00E90FEA"/>
    <w:rsid w:val="00E91273"/>
    <w:rsid w:val="00E91309"/>
    <w:rsid w:val="00E91310"/>
    <w:rsid w:val="00E91323"/>
    <w:rsid w:val="00E91345"/>
    <w:rsid w:val="00E915BF"/>
    <w:rsid w:val="00E91790"/>
    <w:rsid w:val="00E91875"/>
    <w:rsid w:val="00E91AAD"/>
    <w:rsid w:val="00E91C2E"/>
    <w:rsid w:val="00E91CF1"/>
    <w:rsid w:val="00E921F8"/>
    <w:rsid w:val="00E921FA"/>
    <w:rsid w:val="00E9221E"/>
    <w:rsid w:val="00E922DB"/>
    <w:rsid w:val="00E92667"/>
    <w:rsid w:val="00E9267F"/>
    <w:rsid w:val="00E92852"/>
    <w:rsid w:val="00E928B1"/>
    <w:rsid w:val="00E92980"/>
    <w:rsid w:val="00E929D8"/>
    <w:rsid w:val="00E92A6F"/>
    <w:rsid w:val="00E92AD6"/>
    <w:rsid w:val="00E92B72"/>
    <w:rsid w:val="00E92C4F"/>
    <w:rsid w:val="00E92C57"/>
    <w:rsid w:val="00E92DB2"/>
    <w:rsid w:val="00E92DB7"/>
    <w:rsid w:val="00E92DE5"/>
    <w:rsid w:val="00E92FEA"/>
    <w:rsid w:val="00E930BA"/>
    <w:rsid w:val="00E93103"/>
    <w:rsid w:val="00E9316B"/>
    <w:rsid w:val="00E932EA"/>
    <w:rsid w:val="00E93542"/>
    <w:rsid w:val="00E93767"/>
    <w:rsid w:val="00E93861"/>
    <w:rsid w:val="00E93880"/>
    <w:rsid w:val="00E93902"/>
    <w:rsid w:val="00E939BD"/>
    <w:rsid w:val="00E93A32"/>
    <w:rsid w:val="00E93AEA"/>
    <w:rsid w:val="00E93CDF"/>
    <w:rsid w:val="00E93F46"/>
    <w:rsid w:val="00E93F55"/>
    <w:rsid w:val="00E94109"/>
    <w:rsid w:val="00E941E2"/>
    <w:rsid w:val="00E94327"/>
    <w:rsid w:val="00E943E2"/>
    <w:rsid w:val="00E94495"/>
    <w:rsid w:val="00E945AA"/>
    <w:rsid w:val="00E9461A"/>
    <w:rsid w:val="00E947B5"/>
    <w:rsid w:val="00E94A25"/>
    <w:rsid w:val="00E94A2E"/>
    <w:rsid w:val="00E94B2D"/>
    <w:rsid w:val="00E94B92"/>
    <w:rsid w:val="00E94BE7"/>
    <w:rsid w:val="00E94E24"/>
    <w:rsid w:val="00E94E59"/>
    <w:rsid w:val="00E9500D"/>
    <w:rsid w:val="00E95230"/>
    <w:rsid w:val="00E95581"/>
    <w:rsid w:val="00E956B0"/>
    <w:rsid w:val="00E95803"/>
    <w:rsid w:val="00E95916"/>
    <w:rsid w:val="00E959DA"/>
    <w:rsid w:val="00E95A79"/>
    <w:rsid w:val="00E95B71"/>
    <w:rsid w:val="00E95B82"/>
    <w:rsid w:val="00E95BBA"/>
    <w:rsid w:val="00E95CA4"/>
    <w:rsid w:val="00E95DE5"/>
    <w:rsid w:val="00E95E38"/>
    <w:rsid w:val="00E95F87"/>
    <w:rsid w:val="00E9611C"/>
    <w:rsid w:val="00E961AB"/>
    <w:rsid w:val="00E962CD"/>
    <w:rsid w:val="00E96631"/>
    <w:rsid w:val="00E9663C"/>
    <w:rsid w:val="00E96648"/>
    <w:rsid w:val="00E9670E"/>
    <w:rsid w:val="00E9694F"/>
    <w:rsid w:val="00E96C3F"/>
    <w:rsid w:val="00E96DD5"/>
    <w:rsid w:val="00E96DFB"/>
    <w:rsid w:val="00E96E11"/>
    <w:rsid w:val="00E96E35"/>
    <w:rsid w:val="00E96EC2"/>
    <w:rsid w:val="00E96FB4"/>
    <w:rsid w:val="00E9715E"/>
    <w:rsid w:val="00E972C0"/>
    <w:rsid w:val="00E973DB"/>
    <w:rsid w:val="00E97673"/>
    <w:rsid w:val="00E97767"/>
    <w:rsid w:val="00E9778F"/>
    <w:rsid w:val="00E97A4C"/>
    <w:rsid w:val="00E97BB5"/>
    <w:rsid w:val="00E97BCF"/>
    <w:rsid w:val="00E97C5B"/>
    <w:rsid w:val="00E97CBE"/>
    <w:rsid w:val="00E97FD2"/>
    <w:rsid w:val="00E97FDF"/>
    <w:rsid w:val="00EA0078"/>
    <w:rsid w:val="00EA01D4"/>
    <w:rsid w:val="00EA030C"/>
    <w:rsid w:val="00EA0397"/>
    <w:rsid w:val="00EA050B"/>
    <w:rsid w:val="00EA0987"/>
    <w:rsid w:val="00EA09D8"/>
    <w:rsid w:val="00EA09E3"/>
    <w:rsid w:val="00EA0A1A"/>
    <w:rsid w:val="00EA0AFC"/>
    <w:rsid w:val="00EA0EAF"/>
    <w:rsid w:val="00EA0F90"/>
    <w:rsid w:val="00EA1176"/>
    <w:rsid w:val="00EA11F6"/>
    <w:rsid w:val="00EA12CC"/>
    <w:rsid w:val="00EA13EA"/>
    <w:rsid w:val="00EA1447"/>
    <w:rsid w:val="00EA1594"/>
    <w:rsid w:val="00EA15C0"/>
    <w:rsid w:val="00EA16FC"/>
    <w:rsid w:val="00EA184E"/>
    <w:rsid w:val="00EA1952"/>
    <w:rsid w:val="00EA195C"/>
    <w:rsid w:val="00EA1A64"/>
    <w:rsid w:val="00EA1A82"/>
    <w:rsid w:val="00EA1B67"/>
    <w:rsid w:val="00EA1BAF"/>
    <w:rsid w:val="00EA1CC9"/>
    <w:rsid w:val="00EA1D12"/>
    <w:rsid w:val="00EA1F62"/>
    <w:rsid w:val="00EA210A"/>
    <w:rsid w:val="00EA2131"/>
    <w:rsid w:val="00EA2161"/>
    <w:rsid w:val="00EA2436"/>
    <w:rsid w:val="00EA2464"/>
    <w:rsid w:val="00EA251E"/>
    <w:rsid w:val="00EA2541"/>
    <w:rsid w:val="00EA2775"/>
    <w:rsid w:val="00EA29AA"/>
    <w:rsid w:val="00EA2C60"/>
    <w:rsid w:val="00EA2D0B"/>
    <w:rsid w:val="00EA306D"/>
    <w:rsid w:val="00EA3237"/>
    <w:rsid w:val="00EA32ED"/>
    <w:rsid w:val="00EA3508"/>
    <w:rsid w:val="00EA353E"/>
    <w:rsid w:val="00EA35EC"/>
    <w:rsid w:val="00EA3777"/>
    <w:rsid w:val="00EA37C6"/>
    <w:rsid w:val="00EA3A9A"/>
    <w:rsid w:val="00EA3AD8"/>
    <w:rsid w:val="00EA3D6C"/>
    <w:rsid w:val="00EA41EA"/>
    <w:rsid w:val="00EA4229"/>
    <w:rsid w:val="00EA432D"/>
    <w:rsid w:val="00EA457B"/>
    <w:rsid w:val="00EA45D7"/>
    <w:rsid w:val="00EA491E"/>
    <w:rsid w:val="00EA4A88"/>
    <w:rsid w:val="00EA4C16"/>
    <w:rsid w:val="00EA4EFA"/>
    <w:rsid w:val="00EA508C"/>
    <w:rsid w:val="00EA50D3"/>
    <w:rsid w:val="00EA542E"/>
    <w:rsid w:val="00EA54D7"/>
    <w:rsid w:val="00EA55C3"/>
    <w:rsid w:val="00EA58AB"/>
    <w:rsid w:val="00EA5B3F"/>
    <w:rsid w:val="00EA5BB2"/>
    <w:rsid w:val="00EA5C7F"/>
    <w:rsid w:val="00EA5CD7"/>
    <w:rsid w:val="00EA5D5C"/>
    <w:rsid w:val="00EA5DFA"/>
    <w:rsid w:val="00EA5F49"/>
    <w:rsid w:val="00EA60FB"/>
    <w:rsid w:val="00EA62D9"/>
    <w:rsid w:val="00EA6358"/>
    <w:rsid w:val="00EA63AB"/>
    <w:rsid w:val="00EA6498"/>
    <w:rsid w:val="00EA66CA"/>
    <w:rsid w:val="00EA6723"/>
    <w:rsid w:val="00EA67C4"/>
    <w:rsid w:val="00EA680B"/>
    <w:rsid w:val="00EA6BB7"/>
    <w:rsid w:val="00EA6C07"/>
    <w:rsid w:val="00EA6F2F"/>
    <w:rsid w:val="00EA703A"/>
    <w:rsid w:val="00EA7101"/>
    <w:rsid w:val="00EA7C16"/>
    <w:rsid w:val="00EA7CB9"/>
    <w:rsid w:val="00EA7CBD"/>
    <w:rsid w:val="00EB008A"/>
    <w:rsid w:val="00EB0222"/>
    <w:rsid w:val="00EB0243"/>
    <w:rsid w:val="00EB02F6"/>
    <w:rsid w:val="00EB071C"/>
    <w:rsid w:val="00EB0892"/>
    <w:rsid w:val="00EB0944"/>
    <w:rsid w:val="00EB0AE8"/>
    <w:rsid w:val="00EB0B68"/>
    <w:rsid w:val="00EB0BE3"/>
    <w:rsid w:val="00EB0C7F"/>
    <w:rsid w:val="00EB0D41"/>
    <w:rsid w:val="00EB0DD9"/>
    <w:rsid w:val="00EB0E36"/>
    <w:rsid w:val="00EB1002"/>
    <w:rsid w:val="00EB13BB"/>
    <w:rsid w:val="00EB1482"/>
    <w:rsid w:val="00EB1692"/>
    <w:rsid w:val="00EB1893"/>
    <w:rsid w:val="00EB1B33"/>
    <w:rsid w:val="00EB1CEE"/>
    <w:rsid w:val="00EB1EA7"/>
    <w:rsid w:val="00EB2001"/>
    <w:rsid w:val="00EB2066"/>
    <w:rsid w:val="00EB207D"/>
    <w:rsid w:val="00EB21B8"/>
    <w:rsid w:val="00EB21CD"/>
    <w:rsid w:val="00EB2338"/>
    <w:rsid w:val="00EB23CC"/>
    <w:rsid w:val="00EB269B"/>
    <w:rsid w:val="00EB2713"/>
    <w:rsid w:val="00EB280D"/>
    <w:rsid w:val="00EB293F"/>
    <w:rsid w:val="00EB2AA8"/>
    <w:rsid w:val="00EB2ADF"/>
    <w:rsid w:val="00EB2B19"/>
    <w:rsid w:val="00EB2C29"/>
    <w:rsid w:val="00EB2CF6"/>
    <w:rsid w:val="00EB2E74"/>
    <w:rsid w:val="00EB2F87"/>
    <w:rsid w:val="00EB3138"/>
    <w:rsid w:val="00EB3243"/>
    <w:rsid w:val="00EB39AB"/>
    <w:rsid w:val="00EB3B36"/>
    <w:rsid w:val="00EB3B37"/>
    <w:rsid w:val="00EB3B84"/>
    <w:rsid w:val="00EB3BD8"/>
    <w:rsid w:val="00EB3C5F"/>
    <w:rsid w:val="00EB3E47"/>
    <w:rsid w:val="00EB3F89"/>
    <w:rsid w:val="00EB40BB"/>
    <w:rsid w:val="00EB418E"/>
    <w:rsid w:val="00EB425F"/>
    <w:rsid w:val="00EB44E1"/>
    <w:rsid w:val="00EB45A3"/>
    <w:rsid w:val="00EB46E8"/>
    <w:rsid w:val="00EB478F"/>
    <w:rsid w:val="00EB47EF"/>
    <w:rsid w:val="00EB48A3"/>
    <w:rsid w:val="00EB48E6"/>
    <w:rsid w:val="00EB4906"/>
    <w:rsid w:val="00EB4978"/>
    <w:rsid w:val="00EB498A"/>
    <w:rsid w:val="00EB4D89"/>
    <w:rsid w:val="00EB4E0B"/>
    <w:rsid w:val="00EB4E29"/>
    <w:rsid w:val="00EB4E6F"/>
    <w:rsid w:val="00EB4F56"/>
    <w:rsid w:val="00EB5020"/>
    <w:rsid w:val="00EB5123"/>
    <w:rsid w:val="00EB51CF"/>
    <w:rsid w:val="00EB5235"/>
    <w:rsid w:val="00EB53C7"/>
    <w:rsid w:val="00EB555E"/>
    <w:rsid w:val="00EB55BB"/>
    <w:rsid w:val="00EB568E"/>
    <w:rsid w:val="00EB57C0"/>
    <w:rsid w:val="00EB58C9"/>
    <w:rsid w:val="00EB599B"/>
    <w:rsid w:val="00EB5AFE"/>
    <w:rsid w:val="00EB5CF2"/>
    <w:rsid w:val="00EB5FA3"/>
    <w:rsid w:val="00EB6065"/>
    <w:rsid w:val="00EB60B1"/>
    <w:rsid w:val="00EB60FC"/>
    <w:rsid w:val="00EB629B"/>
    <w:rsid w:val="00EB633F"/>
    <w:rsid w:val="00EB6383"/>
    <w:rsid w:val="00EB63BF"/>
    <w:rsid w:val="00EB64DA"/>
    <w:rsid w:val="00EB64EF"/>
    <w:rsid w:val="00EB66AC"/>
    <w:rsid w:val="00EB68D9"/>
    <w:rsid w:val="00EB6A8C"/>
    <w:rsid w:val="00EB6B92"/>
    <w:rsid w:val="00EB6D7A"/>
    <w:rsid w:val="00EB6EC9"/>
    <w:rsid w:val="00EB6F16"/>
    <w:rsid w:val="00EB6F23"/>
    <w:rsid w:val="00EB7237"/>
    <w:rsid w:val="00EB7464"/>
    <w:rsid w:val="00EB7495"/>
    <w:rsid w:val="00EB74C8"/>
    <w:rsid w:val="00EB75F1"/>
    <w:rsid w:val="00EB7606"/>
    <w:rsid w:val="00EB778C"/>
    <w:rsid w:val="00EB7A79"/>
    <w:rsid w:val="00EB7B71"/>
    <w:rsid w:val="00EB7E85"/>
    <w:rsid w:val="00EB7F1A"/>
    <w:rsid w:val="00EC0008"/>
    <w:rsid w:val="00EC034E"/>
    <w:rsid w:val="00EC043E"/>
    <w:rsid w:val="00EC07CA"/>
    <w:rsid w:val="00EC08E7"/>
    <w:rsid w:val="00EC098C"/>
    <w:rsid w:val="00EC0CCA"/>
    <w:rsid w:val="00EC0CDA"/>
    <w:rsid w:val="00EC0E3B"/>
    <w:rsid w:val="00EC0E6E"/>
    <w:rsid w:val="00EC0EC7"/>
    <w:rsid w:val="00EC0F7A"/>
    <w:rsid w:val="00EC0F8E"/>
    <w:rsid w:val="00EC104F"/>
    <w:rsid w:val="00EC10EB"/>
    <w:rsid w:val="00EC10F4"/>
    <w:rsid w:val="00EC12B8"/>
    <w:rsid w:val="00EC136D"/>
    <w:rsid w:val="00EC13A7"/>
    <w:rsid w:val="00EC13D3"/>
    <w:rsid w:val="00EC163B"/>
    <w:rsid w:val="00EC16C7"/>
    <w:rsid w:val="00EC18A2"/>
    <w:rsid w:val="00EC1944"/>
    <w:rsid w:val="00EC1945"/>
    <w:rsid w:val="00EC1A03"/>
    <w:rsid w:val="00EC1A66"/>
    <w:rsid w:val="00EC1A8A"/>
    <w:rsid w:val="00EC1EC5"/>
    <w:rsid w:val="00EC2021"/>
    <w:rsid w:val="00EC22CB"/>
    <w:rsid w:val="00EC22DD"/>
    <w:rsid w:val="00EC2579"/>
    <w:rsid w:val="00EC2589"/>
    <w:rsid w:val="00EC297E"/>
    <w:rsid w:val="00EC2A33"/>
    <w:rsid w:val="00EC2B9D"/>
    <w:rsid w:val="00EC2CB8"/>
    <w:rsid w:val="00EC30CB"/>
    <w:rsid w:val="00EC30EE"/>
    <w:rsid w:val="00EC3182"/>
    <w:rsid w:val="00EC325A"/>
    <w:rsid w:val="00EC331F"/>
    <w:rsid w:val="00EC360B"/>
    <w:rsid w:val="00EC36B6"/>
    <w:rsid w:val="00EC3931"/>
    <w:rsid w:val="00EC3959"/>
    <w:rsid w:val="00EC398E"/>
    <w:rsid w:val="00EC3B43"/>
    <w:rsid w:val="00EC3D85"/>
    <w:rsid w:val="00EC3DEA"/>
    <w:rsid w:val="00EC3DF8"/>
    <w:rsid w:val="00EC3E67"/>
    <w:rsid w:val="00EC3EEE"/>
    <w:rsid w:val="00EC3F04"/>
    <w:rsid w:val="00EC40B5"/>
    <w:rsid w:val="00EC423C"/>
    <w:rsid w:val="00EC4304"/>
    <w:rsid w:val="00EC4409"/>
    <w:rsid w:val="00EC458D"/>
    <w:rsid w:val="00EC459C"/>
    <w:rsid w:val="00EC4693"/>
    <w:rsid w:val="00EC479B"/>
    <w:rsid w:val="00EC4B5C"/>
    <w:rsid w:val="00EC4DB1"/>
    <w:rsid w:val="00EC4F40"/>
    <w:rsid w:val="00EC4F5D"/>
    <w:rsid w:val="00EC4FF8"/>
    <w:rsid w:val="00EC509F"/>
    <w:rsid w:val="00EC510B"/>
    <w:rsid w:val="00EC51C8"/>
    <w:rsid w:val="00EC5223"/>
    <w:rsid w:val="00EC5284"/>
    <w:rsid w:val="00EC52B7"/>
    <w:rsid w:val="00EC5687"/>
    <w:rsid w:val="00EC5809"/>
    <w:rsid w:val="00EC58CC"/>
    <w:rsid w:val="00EC591F"/>
    <w:rsid w:val="00EC5989"/>
    <w:rsid w:val="00EC59C2"/>
    <w:rsid w:val="00EC5A79"/>
    <w:rsid w:val="00EC5A89"/>
    <w:rsid w:val="00EC5B86"/>
    <w:rsid w:val="00EC5BF1"/>
    <w:rsid w:val="00EC5C19"/>
    <w:rsid w:val="00EC5C9F"/>
    <w:rsid w:val="00EC5D99"/>
    <w:rsid w:val="00EC5F0C"/>
    <w:rsid w:val="00EC5F52"/>
    <w:rsid w:val="00EC5F67"/>
    <w:rsid w:val="00EC60B1"/>
    <w:rsid w:val="00EC628B"/>
    <w:rsid w:val="00EC6292"/>
    <w:rsid w:val="00EC6495"/>
    <w:rsid w:val="00EC6619"/>
    <w:rsid w:val="00EC677E"/>
    <w:rsid w:val="00EC67AF"/>
    <w:rsid w:val="00EC67B6"/>
    <w:rsid w:val="00EC6828"/>
    <w:rsid w:val="00EC68E8"/>
    <w:rsid w:val="00EC6C95"/>
    <w:rsid w:val="00EC6CDF"/>
    <w:rsid w:val="00EC6D98"/>
    <w:rsid w:val="00EC6ECE"/>
    <w:rsid w:val="00EC705F"/>
    <w:rsid w:val="00EC70F4"/>
    <w:rsid w:val="00EC7192"/>
    <w:rsid w:val="00EC723E"/>
    <w:rsid w:val="00EC758B"/>
    <w:rsid w:val="00EC75A2"/>
    <w:rsid w:val="00EC75B8"/>
    <w:rsid w:val="00EC75CC"/>
    <w:rsid w:val="00EC7680"/>
    <w:rsid w:val="00EC7717"/>
    <w:rsid w:val="00EC7951"/>
    <w:rsid w:val="00EC797B"/>
    <w:rsid w:val="00EC7982"/>
    <w:rsid w:val="00EC79DF"/>
    <w:rsid w:val="00EC7EE1"/>
    <w:rsid w:val="00EC7F12"/>
    <w:rsid w:val="00ED020E"/>
    <w:rsid w:val="00ED03AA"/>
    <w:rsid w:val="00ED03D1"/>
    <w:rsid w:val="00ED08CB"/>
    <w:rsid w:val="00ED0E1F"/>
    <w:rsid w:val="00ED0E6E"/>
    <w:rsid w:val="00ED0F27"/>
    <w:rsid w:val="00ED10D6"/>
    <w:rsid w:val="00ED12D9"/>
    <w:rsid w:val="00ED1301"/>
    <w:rsid w:val="00ED139B"/>
    <w:rsid w:val="00ED13D0"/>
    <w:rsid w:val="00ED13D6"/>
    <w:rsid w:val="00ED1484"/>
    <w:rsid w:val="00ED15CB"/>
    <w:rsid w:val="00ED16F2"/>
    <w:rsid w:val="00ED177B"/>
    <w:rsid w:val="00ED18BD"/>
    <w:rsid w:val="00ED18F3"/>
    <w:rsid w:val="00ED193D"/>
    <w:rsid w:val="00ED19A7"/>
    <w:rsid w:val="00ED1BF4"/>
    <w:rsid w:val="00ED1E46"/>
    <w:rsid w:val="00ED1FD0"/>
    <w:rsid w:val="00ED2012"/>
    <w:rsid w:val="00ED203C"/>
    <w:rsid w:val="00ED20E6"/>
    <w:rsid w:val="00ED245E"/>
    <w:rsid w:val="00ED250B"/>
    <w:rsid w:val="00ED29AA"/>
    <w:rsid w:val="00ED2A6B"/>
    <w:rsid w:val="00ED2B80"/>
    <w:rsid w:val="00ED2DD5"/>
    <w:rsid w:val="00ED2E1C"/>
    <w:rsid w:val="00ED2E3A"/>
    <w:rsid w:val="00ED2E47"/>
    <w:rsid w:val="00ED2E9E"/>
    <w:rsid w:val="00ED2EC5"/>
    <w:rsid w:val="00ED2EEA"/>
    <w:rsid w:val="00ED2F9B"/>
    <w:rsid w:val="00ED3080"/>
    <w:rsid w:val="00ED30F0"/>
    <w:rsid w:val="00ED31EC"/>
    <w:rsid w:val="00ED3337"/>
    <w:rsid w:val="00ED338B"/>
    <w:rsid w:val="00ED34E2"/>
    <w:rsid w:val="00ED3580"/>
    <w:rsid w:val="00ED35DD"/>
    <w:rsid w:val="00ED3733"/>
    <w:rsid w:val="00ED38C5"/>
    <w:rsid w:val="00ED3A36"/>
    <w:rsid w:val="00ED3AAC"/>
    <w:rsid w:val="00ED3AB5"/>
    <w:rsid w:val="00ED401D"/>
    <w:rsid w:val="00ED420F"/>
    <w:rsid w:val="00ED43A3"/>
    <w:rsid w:val="00ED451A"/>
    <w:rsid w:val="00ED471E"/>
    <w:rsid w:val="00ED4A68"/>
    <w:rsid w:val="00ED4BBE"/>
    <w:rsid w:val="00ED4C7C"/>
    <w:rsid w:val="00ED4D42"/>
    <w:rsid w:val="00ED4DC4"/>
    <w:rsid w:val="00ED50C7"/>
    <w:rsid w:val="00ED5158"/>
    <w:rsid w:val="00ED5223"/>
    <w:rsid w:val="00ED52EB"/>
    <w:rsid w:val="00ED54E4"/>
    <w:rsid w:val="00ED5667"/>
    <w:rsid w:val="00ED569B"/>
    <w:rsid w:val="00ED57E9"/>
    <w:rsid w:val="00ED585C"/>
    <w:rsid w:val="00ED58BA"/>
    <w:rsid w:val="00ED5953"/>
    <w:rsid w:val="00ED5B75"/>
    <w:rsid w:val="00ED5B82"/>
    <w:rsid w:val="00ED5BED"/>
    <w:rsid w:val="00ED5CA2"/>
    <w:rsid w:val="00ED5E1B"/>
    <w:rsid w:val="00ED5FCB"/>
    <w:rsid w:val="00ED60F6"/>
    <w:rsid w:val="00ED62C9"/>
    <w:rsid w:val="00ED661E"/>
    <w:rsid w:val="00ED6A47"/>
    <w:rsid w:val="00ED6B9C"/>
    <w:rsid w:val="00ED6E4D"/>
    <w:rsid w:val="00ED6F17"/>
    <w:rsid w:val="00ED7004"/>
    <w:rsid w:val="00ED7294"/>
    <w:rsid w:val="00ED7445"/>
    <w:rsid w:val="00ED749A"/>
    <w:rsid w:val="00ED7537"/>
    <w:rsid w:val="00ED759B"/>
    <w:rsid w:val="00ED7708"/>
    <w:rsid w:val="00ED77B7"/>
    <w:rsid w:val="00ED799D"/>
    <w:rsid w:val="00ED7A27"/>
    <w:rsid w:val="00ED7B19"/>
    <w:rsid w:val="00ED7FCE"/>
    <w:rsid w:val="00ED7FFB"/>
    <w:rsid w:val="00EE03DC"/>
    <w:rsid w:val="00EE0428"/>
    <w:rsid w:val="00EE0429"/>
    <w:rsid w:val="00EE0464"/>
    <w:rsid w:val="00EE055A"/>
    <w:rsid w:val="00EE0664"/>
    <w:rsid w:val="00EE066B"/>
    <w:rsid w:val="00EE0919"/>
    <w:rsid w:val="00EE0A4D"/>
    <w:rsid w:val="00EE0B7C"/>
    <w:rsid w:val="00EE0BDC"/>
    <w:rsid w:val="00EE0C84"/>
    <w:rsid w:val="00EE0D58"/>
    <w:rsid w:val="00EE1080"/>
    <w:rsid w:val="00EE1177"/>
    <w:rsid w:val="00EE12E2"/>
    <w:rsid w:val="00EE1307"/>
    <w:rsid w:val="00EE130D"/>
    <w:rsid w:val="00EE1356"/>
    <w:rsid w:val="00EE1450"/>
    <w:rsid w:val="00EE145F"/>
    <w:rsid w:val="00EE151D"/>
    <w:rsid w:val="00EE16D1"/>
    <w:rsid w:val="00EE1766"/>
    <w:rsid w:val="00EE186E"/>
    <w:rsid w:val="00EE18E0"/>
    <w:rsid w:val="00EE1A04"/>
    <w:rsid w:val="00EE1A15"/>
    <w:rsid w:val="00EE1C2B"/>
    <w:rsid w:val="00EE1C2F"/>
    <w:rsid w:val="00EE1C74"/>
    <w:rsid w:val="00EE1C97"/>
    <w:rsid w:val="00EE1D27"/>
    <w:rsid w:val="00EE1FEF"/>
    <w:rsid w:val="00EE2159"/>
    <w:rsid w:val="00EE21B0"/>
    <w:rsid w:val="00EE22F6"/>
    <w:rsid w:val="00EE2421"/>
    <w:rsid w:val="00EE2515"/>
    <w:rsid w:val="00EE27A2"/>
    <w:rsid w:val="00EE281B"/>
    <w:rsid w:val="00EE2931"/>
    <w:rsid w:val="00EE2984"/>
    <w:rsid w:val="00EE2CE8"/>
    <w:rsid w:val="00EE2DFC"/>
    <w:rsid w:val="00EE2E94"/>
    <w:rsid w:val="00EE2FCF"/>
    <w:rsid w:val="00EE30BB"/>
    <w:rsid w:val="00EE32EE"/>
    <w:rsid w:val="00EE389F"/>
    <w:rsid w:val="00EE39A7"/>
    <w:rsid w:val="00EE3A0D"/>
    <w:rsid w:val="00EE3A2E"/>
    <w:rsid w:val="00EE3B75"/>
    <w:rsid w:val="00EE3CEB"/>
    <w:rsid w:val="00EE3D17"/>
    <w:rsid w:val="00EE3EA1"/>
    <w:rsid w:val="00EE4114"/>
    <w:rsid w:val="00EE415C"/>
    <w:rsid w:val="00EE4230"/>
    <w:rsid w:val="00EE4359"/>
    <w:rsid w:val="00EE44AC"/>
    <w:rsid w:val="00EE4559"/>
    <w:rsid w:val="00EE4730"/>
    <w:rsid w:val="00EE4853"/>
    <w:rsid w:val="00EE4CC3"/>
    <w:rsid w:val="00EE4CE4"/>
    <w:rsid w:val="00EE4E61"/>
    <w:rsid w:val="00EE4E6A"/>
    <w:rsid w:val="00EE4FF8"/>
    <w:rsid w:val="00EE5145"/>
    <w:rsid w:val="00EE5153"/>
    <w:rsid w:val="00EE53C9"/>
    <w:rsid w:val="00EE5512"/>
    <w:rsid w:val="00EE552F"/>
    <w:rsid w:val="00EE55A2"/>
    <w:rsid w:val="00EE5693"/>
    <w:rsid w:val="00EE56FC"/>
    <w:rsid w:val="00EE5774"/>
    <w:rsid w:val="00EE5B69"/>
    <w:rsid w:val="00EE5C58"/>
    <w:rsid w:val="00EE5ECB"/>
    <w:rsid w:val="00EE6032"/>
    <w:rsid w:val="00EE6094"/>
    <w:rsid w:val="00EE6238"/>
    <w:rsid w:val="00EE6325"/>
    <w:rsid w:val="00EE64C2"/>
    <w:rsid w:val="00EE6555"/>
    <w:rsid w:val="00EE65B1"/>
    <w:rsid w:val="00EE673B"/>
    <w:rsid w:val="00EE6849"/>
    <w:rsid w:val="00EE684B"/>
    <w:rsid w:val="00EE685B"/>
    <w:rsid w:val="00EE69DB"/>
    <w:rsid w:val="00EE6A22"/>
    <w:rsid w:val="00EE6B6F"/>
    <w:rsid w:val="00EE6BED"/>
    <w:rsid w:val="00EE6E2F"/>
    <w:rsid w:val="00EE6F36"/>
    <w:rsid w:val="00EE7047"/>
    <w:rsid w:val="00EE70B7"/>
    <w:rsid w:val="00EE7116"/>
    <w:rsid w:val="00EE71B0"/>
    <w:rsid w:val="00EE74E7"/>
    <w:rsid w:val="00EE757F"/>
    <w:rsid w:val="00EE760A"/>
    <w:rsid w:val="00EE7647"/>
    <w:rsid w:val="00EE768A"/>
    <w:rsid w:val="00EE76A0"/>
    <w:rsid w:val="00EE76C3"/>
    <w:rsid w:val="00EE7A81"/>
    <w:rsid w:val="00EE7B1A"/>
    <w:rsid w:val="00EE7B46"/>
    <w:rsid w:val="00EF0012"/>
    <w:rsid w:val="00EF02C9"/>
    <w:rsid w:val="00EF02DF"/>
    <w:rsid w:val="00EF0524"/>
    <w:rsid w:val="00EF0590"/>
    <w:rsid w:val="00EF064D"/>
    <w:rsid w:val="00EF07CF"/>
    <w:rsid w:val="00EF0817"/>
    <w:rsid w:val="00EF0986"/>
    <w:rsid w:val="00EF0A63"/>
    <w:rsid w:val="00EF0B2C"/>
    <w:rsid w:val="00EF0C2E"/>
    <w:rsid w:val="00EF0DC5"/>
    <w:rsid w:val="00EF0E3A"/>
    <w:rsid w:val="00EF0F46"/>
    <w:rsid w:val="00EF13B3"/>
    <w:rsid w:val="00EF1406"/>
    <w:rsid w:val="00EF1410"/>
    <w:rsid w:val="00EF162B"/>
    <w:rsid w:val="00EF165B"/>
    <w:rsid w:val="00EF16D2"/>
    <w:rsid w:val="00EF17B8"/>
    <w:rsid w:val="00EF1873"/>
    <w:rsid w:val="00EF1A05"/>
    <w:rsid w:val="00EF1A60"/>
    <w:rsid w:val="00EF1AB9"/>
    <w:rsid w:val="00EF1BB4"/>
    <w:rsid w:val="00EF20D1"/>
    <w:rsid w:val="00EF212B"/>
    <w:rsid w:val="00EF2256"/>
    <w:rsid w:val="00EF2A0B"/>
    <w:rsid w:val="00EF2D20"/>
    <w:rsid w:val="00EF2D57"/>
    <w:rsid w:val="00EF303B"/>
    <w:rsid w:val="00EF304B"/>
    <w:rsid w:val="00EF304E"/>
    <w:rsid w:val="00EF30A8"/>
    <w:rsid w:val="00EF3321"/>
    <w:rsid w:val="00EF36DF"/>
    <w:rsid w:val="00EF373D"/>
    <w:rsid w:val="00EF385C"/>
    <w:rsid w:val="00EF3889"/>
    <w:rsid w:val="00EF39F0"/>
    <w:rsid w:val="00EF3A94"/>
    <w:rsid w:val="00EF3D90"/>
    <w:rsid w:val="00EF3DBD"/>
    <w:rsid w:val="00EF3F30"/>
    <w:rsid w:val="00EF3F3D"/>
    <w:rsid w:val="00EF406C"/>
    <w:rsid w:val="00EF4091"/>
    <w:rsid w:val="00EF421D"/>
    <w:rsid w:val="00EF435B"/>
    <w:rsid w:val="00EF4368"/>
    <w:rsid w:val="00EF4427"/>
    <w:rsid w:val="00EF463C"/>
    <w:rsid w:val="00EF46A4"/>
    <w:rsid w:val="00EF46DA"/>
    <w:rsid w:val="00EF47C4"/>
    <w:rsid w:val="00EF489A"/>
    <w:rsid w:val="00EF489E"/>
    <w:rsid w:val="00EF49BF"/>
    <w:rsid w:val="00EF4AB4"/>
    <w:rsid w:val="00EF4BDB"/>
    <w:rsid w:val="00EF5239"/>
    <w:rsid w:val="00EF58B9"/>
    <w:rsid w:val="00EF5BD8"/>
    <w:rsid w:val="00EF5C84"/>
    <w:rsid w:val="00EF5D8B"/>
    <w:rsid w:val="00EF5F4D"/>
    <w:rsid w:val="00EF61EB"/>
    <w:rsid w:val="00EF63BE"/>
    <w:rsid w:val="00EF63F4"/>
    <w:rsid w:val="00EF6403"/>
    <w:rsid w:val="00EF64FA"/>
    <w:rsid w:val="00EF652E"/>
    <w:rsid w:val="00EF67AC"/>
    <w:rsid w:val="00EF6867"/>
    <w:rsid w:val="00EF6C78"/>
    <w:rsid w:val="00EF6E4E"/>
    <w:rsid w:val="00EF6E50"/>
    <w:rsid w:val="00EF6EC2"/>
    <w:rsid w:val="00EF6FBA"/>
    <w:rsid w:val="00EF7067"/>
    <w:rsid w:val="00EF70B9"/>
    <w:rsid w:val="00EF71E1"/>
    <w:rsid w:val="00EF7274"/>
    <w:rsid w:val="00EF72C1"/>
    <w:rsid w:val="00EF72E9"/>
    <w:rsid w:val="00EF747D"/>
    <w:rsid w:val="00EF7572"/>
    <w:rsid w:val="00EF7597"/>
    <w:rsid w:val="00EF76B0"/>
    <w:rsid w:val="00EF7726"/>
    <w:rsid w:val="00EF773A"/>
    <w:rsid w:val="00EF78E8"/>
    <w:rsid w:val="00EF7A4C"/>
    <w:rsid w:val="00EF7B78"/>
    <w:rsid w:val="00EF7CBE"/>
    <w:rsid w:val="00EF7E39"/>
    <w:rsid w:val="00EF7F7F"/>
    <w:rsid w:val="00F0057D"/>
    <w:rsid w:val="00F00653"/>
    <w:rsid w:val="00F00674"/>
    <w:rsid w:val="00F00733"/>
    <w:rsid w:val="00F00883"/>
    <w:rsid w:val="00F008BD"/>
    <w:rsid w:val="00F0095C"/>
    <w:rsid w:val="00F00BB0"/>
    <w:rsid w:val="00F00BDE"/>
    <w:rsid w:val="00F00DA1"/>
    <w:rsid w:val="00F00FCB"/>
    <w:rsid w:val="00F00FDD"/>
    <w:rsid w:val="00F011F2"/>
    <w:rsid w:val="00F013B1"/>
    <w:rsid w:val="00F01402"/>
    <w:rsid w:val="00F01700"/>
    <w:rsid w:val="00F01811"/>
    <w:rsid w:val="00F01823"/>
    <w:rsid w:val="00F01B33"/>
    <w:rsid w:val="00F01BA3"/>
    <w:rsid w:val="00F01EE4"/>
    <w:rsid w:val="00F01FB5"/>
    <w:rsid w:val="00F0207B"/>
    <w:rsid w:val="00F02429"/>
    <w:rsid w:val="00F024B2"/>
    <w:rsid w:val="00F024F0"/>
    <w:rsid w:val="00F02521"/>
    <w:rsid w:val="00F026F4"/>
    <w:rsid w:val="00F02B75"/>
    <w:rsid w:val="00F02B8A"/>
    <w:rsid w:val="00F02E12"/>
    <w:rsid w:val="00F02E57"/>
    <w:rsid w:val="00F02E70"/>
    <w:rsid w:val="00F02E75"/>
    <w:rsid w:val="00F02F8E"/>
    <w:rsid w:val="00F03022"/>
    <w:rsid w:val="00F031C4"/>
    <w:rsid w:val="00F03217"/>
    <w:rsid w:val="00F0327E"/>
    <w:rsid w:val="00F032BA"/>
    <w:rsid w:val="00F0339E"/>
    <w:rsid w:val="00F034A0"/>
    <w:rsid w:val="00F035A3"/>
    <w:rsid w:val="00F03A02"/>
    <w:rsid w:val="00F03A9C"/>
    <w:rsid w:val="00F03BA7"/>
    <w:rsid w:val="00F04038"/>
    <w:rsid w:val="00F04291"/>
    <w:rsid w:val="00F042F3"/>
    <w:rsid w:val="00F04303"/>
    <w:rsid w:val="00F04454"/>
    <w:rsid w:val="00F044A2"/>
    <w:rsid w:val="00F0457E"/>
    <w:rsid w:val="00F04812"/>
    <w:rsid w:val="00F04934"/>
    <w:rsid w:val="00F0499A"/>
    <w:rsid w:val="00F04AE1"/>
    <w:rsid w:val="00F04B6A"/>
    <w:rsid w:val="00F04CCC"/>
    <w:rsid w:val="00F04EE1"/>
    <w:rsid w:val="00F04EF2"/>
    <w:rsid w:val="00F05029"/>
    <w:rsid w:val="00F05205"/>
    <w:rsid w:val="00F055A8"/>
    <w:rsid w:val="00F0560B"/>
    <w:rsid w:val="00F05648"/>
    <w:rsid w:val="00F0569A"/>
    <w:rsid w:val="00F05AA1"/>
    <w:rsid w:val="00F05B72"/>
    <w:rsid w:val="00F05CC0"/>
    <w:rsid w:val="00F05F78"/>
    <w:rsid w:val="00F0606D"/>
    <w:rsid w:val="00F0610F"/>
    <w:rsid w:val="00F0627E"/>
    <w:rsid w:val="00F062E3"/>
    <w:rsid w:val="00F06384"/>
    <w:rsid w:val="00F06490"/>
    <w:rsid w:val="00F0667B"/>
    <w:rsid w:val="00F06689"/>
    <w:rsid w:val="00F06736"/>
    <w:rsid w:val="00F067AB"/>
    <w:rsid w:val="00F06827"/>
    <w:rsid w:val="00F06899"/>
    <w:rsid w:val="00F0690A"/>
    <w:rsid w:val="00F06B6C"/>
    <w:rsid w:val="00F0716A"/>
    <w:rsid w:val="00F07186"/>
    <w:rsid w:val="00F073DE"/>
    <w:rsid w:val="00F07448"/>
    <w:rsid w:val="00F07680"/>
    <w:rsid w:val="00F07709"/>
    <w:rsid w:val="00F0775E"/>
    <w:rsid w:val="00F07891"/>
    <w:rsid w:val="00F07BA5"/>
    <w:rsid w:val="00F07C73"/>
    <w:rsid w:val="00F07CFB"/>
    <w:rsid w:val="00F07DD8"/>
    <w:rsid w:val="00F07E23"/>
    <w:rsid w:val="00F07F1F"/>
    <w:rsid w:val="00F07FDA"/>
    <w:rsid w:val="00F07FE8"/>
    <w:rsid w:val="00F10036"/>
    <w:rsid w:val="00F100F8"/>
    <w:rsid w:val="00F10118"/>
    <w:rsid w:val="00F1015F"/>
    <w:rsid w:val="00F1016E"/>
    <w:rsid w:val="00F101B2"/>
    <w:rsid w:val="00F1030A"/>
    <w:rsid w:val="00F1057F"/>
    <w:rsid w:val="00F10583"/>
    <w:rsid w:val="00F105B7"/>
    <w:rsid w:val="00F10779"/>
    <w:rsid w:val="00F107FF"/>
    <w:rsid w:val="00F10A4E"/>
    <w:rsid w:val="00F10C29"/>
    <w:rsid w:val="00F10C8F"/>
    <w:rsid w:val="00F10D65"/>
    <w:rsid w:val="00F10D79"/>
    <w:rsid w:val="00F10D80"/>
    <w:rsid w:val="00F10F12"/>
    <w:rsid w:val="00F1103E"/>
    <w:rsid w:val="00F1118C"/>
    <w:rsid w:val="00F1130E"/>
    <w:rsid w:val="00F11394"/>
    <w:rsid w:val="00F114DA"/>
    <w:rsid w:val="00F11688"/>
    <w:rsid w:val="00F116A1"/>
    <w:rsid w:val="00F1190D"/>
    <w:rsid w:val="00F11B8D"/>
    <w:rsid w:val="00F11BC9"/>
    <w:rsid w:val="00F11BF0"/>
    <w:rsid w:val="00F11BF6"/>
    <w:rsid w:val="00F11C36"/>
    <w:rsid w:val="00F11CD2"/>
    <w:rsid w:val="00F11F17"/>
    <w:rsid w:val="00F11F52"/>
    <w:rsid w:val="00F121D5"/>
    <w:rsid w:val="00F12491"/>
    <w:rsid w:val="00F124D7"/>
    <w:rsid w:val="00F1261E"/>
    <w:rsid w:val="00F127A4"/>
    <w:rsid w:val="00F129A7"/>
    <w:rsid w:val="00F12BA6"/>
    <w:rsid w:val="00F12F68"/>
    <w:rsid w:val="00F12FD9"/>
    <w:rsid w:val="00F1308A"/>
    <w:rsid w:val="00F130B7"/>
    <w:rsid w:val="00F132D9"/>
    <w:rsid w:val="00F132F4"/>
    <w:rsid w:val="00F133F6"/>
    <w:rsid w:val="00F13429"/>
    <w:rsid w:val="00F13714"/>
    <w:rsid w:val="00F13716"/>
    <w:rsid w:val="00F138BB"/>
    <w:rsid w:val="00F13A3F"/>
    <w:rsid w:val="00F13A7A"/>
    <w:rsid w:val="00F13AD9"/>
    <w:rsid w:val="00F13AEE"/>
    <w:rsid w:val="00F13B17"/>
    <w:rsid w:val="00F13BCC"/>
    <w:rsid w:val="00F13C33"/>
    <w:rsid w:val="00F13D02"/>
    <w:rsid w:val="00F13D21"/>
    <w:rsid w:val="00F13D2A"/>
    <w:rsid w:val="00F14248"/>
    <w:rsid w:val="00F142E9"/>
    <w:rsid w:val="00F1440C"/>
    <w:rsid w:val="00F14666"/>
    <w:rsid w:val="00F146BF"/>
    <w:rsid w:val="00F14778"/>
    <w:rsid w:val="00F149F7"/>
    <w:rsid w:val="00F14B54"/>
    <w:rsid w:val="00F14BDF"/>
    <w:rsid w:val="00F14C18"/>
    <w:rsid w:val="00F14C70"/>
    <w:rsid w:val="00F14D5C"/>
    <w:rsid w:val="00F14DC9"/>
    <w:rsid w:val="00F14DEE"/>
    <w:rsid w:val="00F14E55"/>
    <w:rsid w:val="00F14F0B"/>
    <w:rsid w:val="00F14F9F"/>
    <w:rsid w:val="00F15256"/>
    <w:rsid w:val="00F1529C"/>
    <w:rsid w:val="00F153DD"/>
    <w:rsid w:val="00F1559A"/>
    <w:rsid w:val="00F15639"/>
    <w:rsid w:val="00F156FA"/>
    <w:rsid w:val="00F15725"/>
    <w:rsid w:val="00F157C7"/>
    <w:rsid w:val="00F15841"/>
    <w:rsid w:val="00F15905"/>
    <w:rsid w:val="00F15F04"/>
    <w:rsid w:val="00F16151"/>
    <w:rsid w:val="00F16197"/>
    <w:rsid w:val="00F161DE"/>
    <w:rsid w:val="00F1625D"/>
    <w:rsid w:val="00F163BB"/>
    <w:rsid w:val="00F16422"/>
    <w:rsid w:val="00F16691"/>
    <w:rsid w:val="00F16702"/>
    <w:rsid w:val="00F167C7"/>
    <w:rsid w:val="00F169C3"/>
    <w:rsid w:val="00F16B7F"/>
    <w:rsid w:val="00F16C42"/>
    <w:rsid w:val="00F16C5C"/>
    <w:rsid w:val="00F16ED9"/>
    <w:rsid w:val="00F16F7B"/>
    <w:rsid w:val="00F1704A"/>
    <w:rsid w:val="00F1716E"/>
    <w:rsid w:val="00F17207"/>
    <w:rsid w:val="00F1739B"/>
    <w:rsid w:val="00F1745E"/>
    <w:rsid w:val="00F174BF"/>
    <w:rsid w:val="00F17629"/>
    <w:rsid w:val="00F1791B"/>
    <w:rsid w:val="00F179DA"/>
    <w:rsid w:val="00F17A0A"/>
    <w:rsid w:val="00F17B88"/>
    <w:rsid w:val="00F17BF5"/>
    <w:rsid w:val="00F17DC0"/>
    <w:rsid w:val="00F17EBD"/>
    <w:rsid w:val="00F17FAB"/>
    <w:rsid w:val="00F2054B"/>
    <w:rsid w:val="00F2067F"/>
    <w:rsid w:val="00F206B8"/>
    <w:rsid w:val="00F206FA"/>
    <w:rsid w:val="00F207A6"/>
    <w:rsid w:val="00F2088F"/>
    <w:rsid w:val="00F20A7A"/>
    <w:rsid w:val="00F20AB0"/>
    <w:rsid w:val="00F20AC0"/>
    <w:rsid w:val="00F20CDB"/>
    <w:rsid w:val="00F20D32"/>
    <w:rsid w:val="00F21058"/>
    <w:rsid w:val="00F210B7"/>
    <w:rsid w:val="00F211FE"/>
    <w:rsid w:val="00F21311"/>
    <w:rsid w:val="00F214CE"/>
    <w:rsid w:val="00F215CF"/>
    <w:rsid w:val="00F2172E"/>
    <w:rsid w:val="00F21921"/>
    <w:rsid w:val="00F2199D"/>
    <w:rsid w:val="00F219AC"/>
    <w:rsid w:val="00F21AE0"/>
    <w:rsid w:val="00F21BF3"/>
    <w:rsid w:val="00F21CD6"/>
    <w:rsid w:val="00F21D3B"/>
    <w:rsid w:val="00F2200B"/>
    <w:rsid w:val="00F221F1"/>
    <w:rsid w:val="00F2229A"/>
    <w:rsid w:val="00F222BB"/>
    <w:rsid w:val="00F22323"/>
    <w:rsid w:val="00F223A1"/>
    <w:rsid w:val="00F223AC"/>
    <w:rsid w:val="00F22493"/>
    <w:rsid w:val="00F22515"/>
    <w:rsid w:val="00F22527"/>
    <w:rsid w:val="00F22537"/>
    <w:rsid w:val="00F225B1"/>
    <w:rsid w:val="00F22660"/>
    <w:rsid w:val="00F22966"/>
    <w:rsid w:val="00F22AAE"/>
    <w:rsid w:val="00F22ADB"/>
    <w:rsid w:val="00F22B75"/>
    <w:rsid w:val="00F22C3C"/>
    <w:rsid w:val="00F22D9C"/>
    <w:rsid w:val="00F22E5F"/>
    <w:rsid w:val="00F22E95"/>
    <w:rsid w:val="00F22F16"/>
    <w:rsid w:val="00F22FB1"/>
    <w:rsid w:val="00F230E9"/>
    <w:rsid w:val="00F23180"/>
    <w:rsid w:val="00F231FA"/>
    <w:rsid w:val="00F2325A"/>
    <w:rsid w:val="00F23680"/>
    <w:rsid w:val="00F2392C"/>
    <w:rsid w:val="00F23AA9"/>
    <w:rsid w:val="00F23C53"/>
    <w:rsid w:val="00F23D56"/>
    <w:rsid w:val="00F23E2E"/>
    <w:rsid w:val="00F240E8"/>
    <w:rsid w:val="00F24145"/>
    <w:rsid w:val="00F241D8"/>
    <w:rsid w:val="00F24424"/>
    <w:rsid w:val="00F24483"/>
    <w:rsid w:val="00F24734"/>
    <w:rsid w:val="00F247B7"/>
    <w:rsid w:val="00F247D8"/>
    <w:rsid w:val="00F24975"/>
    <w:rsid w:val="00F24C36"/>
    <w:rsid w:val="00F24C4C"/>
    <w:rsid w:val="00F24DD6"/>
    <w:rsid w:val="00F24E50"/>
    <w:rsid w:val="00F250C3"/>
    <w:rsid w:val="00F25188"/>
    <w:rsid w:val="00F25467"/>
    <w:rsid w:val="00F25626"/>
    <w:rsid w:val="00F258E7"/>
    <w:rsid w:val="00F25925"/>
    <w:rsid w:val="00F25AD8"/>
    <w:rsid w:val="00F25E23"/>
    <w:rsid w:val="00F25F1A"/>
    <w:rsid w:val="00F2606F"/>
    <w:rsid w:val="00F2619A"/>
    <w:rsid w:val="00F261E4"/>
    <w:rsid w:val="00F26435"/>
    <w:rsid w:val="00F26469"/>
    <w:rsid w:val="00F264A5"/>
    <w:rsid w:val="00F264D6"/>
    <w:rsid w:val="00F268AC"/>
    <w:rsid w:val="00F26952"/>
    <w:rsid w:val="00F26A81"/>
    <w:rsid w:val="00F26AD4"/>
    <w:rsid w:val="00F26B45"/>
    <w:rsid w:val="00F26D6E"/>
    <w:rsid w:val="00F26E65"/>
    <w:rsid w:val="00F26F30"/>
    <w:rsid w:val="00F2719C"/>
    <w:rsid w:val="00F272BC"/>
    <w:rsid w:val="00F27352"/>
    <w:rsid w:val="00F27482"/>
    <w:rsid w:val="00F276D5"/>
    <w:rsid w:val="00F276E2"/>
    <w:rsid w:val="00F27728"/>
    <w:rsid w:val="00F2799E"/>
    <w:rsid w:val="00F27C4D"/>
    <w:rsid w:val="00F27EFC"/>
    <w:rsid w:val="00F27F43"/>
    <w:rsid w:val="00F27FEC"/>
    <w:rsid w:val="00F3013F"/>
    <w:rsid w:val="00F30166"/>
    <w:rsid w:val="00F3026B"/>
    <w:rsid w:val="00F30388"/>
    <w:rsid w:val="00F305BC"/>
    <w:rsid w:val="00F307B7"/>
    <w:rsid w:val="00F309C9"/>
    <w:rsid w:val="00F30AAB"/>
    <w:rsid w:val="00F30AB1"/>
    <w:rsid w:val="00F30AF2"/>
    <w:rsid w:val="00F30CE4"/>
    <w:rsid w:val="00F30E03"/>
    <w:rsid w:val="00F30EBD"/>
    <w:rsid w:val="00F30EE6"/>
    <w:rsid w:val="00F30F28"/>
    <w:rsid w:val="00F30F9F"/>
    <w:rsid w:val="00F30FA5"/>
    <w:rsid w:val="00F3108B"/>
    <w:rsid w:val="00F310CA"/>
    <w:rsid w:val="00F311A0"/>
    <w:rsid w:val="00F3124E"/>
    <w:rsid w:val="00F3130B"/>
    <w:rsid w:val="00F3147D"/>
    <w:rsid w:val="00F31747"/>
    <w:rsid w:val="00F3181E"/>
    <w:rsid w:val="00F3186C"/>
    <w:rsid w:val="00F31996"/>
    <w:rsid w:val="00F31BAC"/>
    <w:rsid w:val="00F31BD4"/>
    <w:rsid w:val="00F31BED"/>
    <w:rsid w:val="00F31C3E"/>
    <w:rsid w:val="00F31D20"/>
    <w:rsid w:val="00F31F75"/>
    <w:rsid w:val="00F32135"/>
    <w:rsid w:val="00F321C5"/>
    <w:rsid w:val="00F325FB"/>
    <w:rsid w:val="00F32658"/>
    <w:rsid w:val="00F32948"/>
    <w:rsid w:val="00F32A17"/>
    <w:rsid w:val="00F32B1F"/>
    <w:rsid w:val="00F32E28"/>
    <w:rsid w:val="00F32ED1"/>
    <w:rsid w:val="00F32ED4"/>
    <w:rsid w:val="00F3308F"/>
    <w:rsid w:val="00F3338F"/>
    <w:rsid w:val="00F33408"/>
    <w:rsid w:val="00F3349C"/>
    <w:rsid w:val="00F337FE"/>
    <w:rsid w:val="00F33837"/>
    <w:rsid w:val="00F33935"/>
    <w:rsid w:val="00F33987"/>
    <w:rsid w:val="00F33A89"/>
    <w:rsid w:val="00F33C12"/>
    <w:rsid w:val="00F341A4"/>
    <w:rsid w:val="00F343D5"/>
    <w:rsid w:val="00F343E0"/>
    <w:rsid w:val="00F34664"/>
    <w:rsid w:val="00F3509D"/>
    <w:rsid w:val="00F350B0"/>
    <w:rsid w:val="00F35184"/>
    <w:rsid w:val="00F3520A"/>
    <w:rsid w:val="00F353F9"/>
    <w:rsid w:val="00F359DB"/>
    <w:rsid w:val="00F35B1E"/>
    <w:rsid w:val="00F35B35"/>
    <w:rsid w:val="00F35BBD"/>
    <w:rsid w:val="00F35D2D"/>
    <w:rsid w:val="00F35F10"/>
    <w:rsid w:val="00F35FB0"/>
    <w:rsid w:val="00F3604A"/>
    <w:rsid w:val="00F361E7"/>
    <w:rsid w:val="00F361F0"/>
    <w:rsid w:val="00F3625A"/>
    <w:rsid w:val="00F36306"/>
    <w:rsid w:val="00F3647B"/>
    <w:rsid w:val="00F364BA"/>
    <w:rsid w:val="00F36764"/>
    <w:rsid w:val="00F36816"/>
    <w:rsid w:val="00F36837"/>
    <w:rsid w:val="00F369F7"/>
    <w:rsid w:val="00F36AC1"/>
    <w:rsid w:val="00F36B35"/>
    <w:rsid w:val="00F36B81"/>
    <w:rsid w:val="00F36BFE"/>
    <w:rsid w:val="00F36F27"/>
    <w:rsid w:val="00F36F71"/>
    <w:rsid w:val="00F36FB1"/>
    <w:rsid w:val="00F36FE7"/>
    <w:rsid w:val="00F37101"/>
    <w:rsid w:val="00F372BF"/>
    <w:rsid w:val="00F374EE"/>
    <w:rsid w:val="00F3756E"/>
    <w:rsid w:val="00F37611"/>
    <w:rsid w:val="00F3765A"/>
    <w:rsid w:val="00F37826"/>
    <w:rsid w:val="00F3788A"/>
    <w:rsid w:val="00F378FD"/>
    <w:rsid w:val="00F37B0F"/>
    <w:rsid w:val="00F37E5B"/>
    <w:rsid w:val="00F37FE6"/>
    <w:rsid w:val="00F40047"/>
    <w:rsid w:val="00F40135"/>
    <w:rsid w:val="00F40291"/>
    <w:rsid w:val="00F4051A"/>
    <w:rsid w:val="00F4091D"/>
    <w:rsid w:val="00F40978"/>
    <w:rsid w:val="00F40B79"/>
    <w:rsid w:val="00F40C2E"/>
    <w:rsid w:val="00F40D21"/>
    <w:rsid w:val="00F40F6C"/>
    <w:rsid w:val="00F41124"/>
    <w:rsid w:val="00F41340"/>
    <w:rsid w:val="00F4135E"/>
    <w:rsid w:val="00F41486"/>
    <w:rsid w:val="00F414AD"/>
    <w:rsid w:val="00F416A1"/>
    <w:rsid w:val="00F4177B"/>
    <w:rsid w:val="00F417FF"/>
    <w:rsid w:val="00F41926"/>
    <w:rsid w:val="00F41933"/>
    <w:rsid w:val="00F41BB1"/>
    <w:rsid w:val="00F41C6E"/>
    <w:rsid w:val="00F41D32"/>
    <w:rsid w:val="00F41E7E"/>
    <w:rsid w:val="00F41E90"/>
    <w:rsid w:val="00F41F90"/>
    <w:rsid w:val="00F42039"/>
    <w:rsid w:val="00F42300"/>
    <w:rsid w:val="00F423A8"/>
    <w:rsid w:val="00F42487"/>
    <w:rsid w:val="00F427E9"/>
    <w:rsid w:val="00F4282F"/>
    <w:rsid w:val="00F429A0"/>
    <w:rsid w:val="00F42A8C"/>
    <w:rsid w:val="00F42CA2"/>
    <w:rsid w:val="00F42CF7"/>
    <w:rsid w:val="00F42D3B"/>
    <w:rsid w:val="00F42DBF"/>
    <w:rsid w:val="00F42E5B"/>
    <w:rsid w:val="00F42F53"/>
    <w:rsid w:val="00F43004"/>
    <w:rsid w:val="00F43015"/>
    <w:rsid w:val="00F431E7"/>
    <w:rsid w:val="00F43221"/>
    <w:rsid w:val="00F432AC"/>
    <w:rsid w:val="00F4336C"/>
    <w:rsid w:val="00F43390"/>
    <w:rsid w:val="00F43482"/>
    <w:rsid w:val="00F4349D"/>
    <w:rsid w:val="00F4363E"/>
    <w:rsid w:val="00F439B0"/>
    <w:rsid w:val="00F43A94"/>
    <w:rsid w:val="00F43C74"/>
    <w:rsid w:val="00F43CA2"/>
    <w:rsid w:val="00F43ED9"/>
    <w:rsid w:val="00F43F11"/>
    <w:rsid w:val="00F44046"/>
    <w:rsid w:val="00F4406E"/>
    <w:rsid w:val="00F442A8"/>
    <w:rsid w:val="00F442CF"/>
    <w:rsid w:val="00F443DB"/>
    <w:rsid w:val="00F4451A"/>
    <w:rsid w:val="00F44532"/>
    <w:rsid w:val="00F44553"/>
    <w:rsid w:val="00F445FA"/>
    <w:rsid w:val="00F44822"/>
    <w:rsid w:val="00F44898"/>
    <w:rsid w:val="00F449CC"/>
    <w:rsid w:val="00F44A7D"/>
    <w:rsid w:val="00F44BFE"/>
    <w:rsid w:val="00F44C32"/>
    <w:rsid w:val="00F44C58"/>
    <w:rsid w:val="00F44CB0"/>
    <w:rsid w:val="00F44E86"/>
    <w:rsid w:val="00F44F0E"/>
    <w:rsid w:val="00F44F5C"/>
    <w:rsid w:val="00F44F81"/>
    <w:rsid w:val="00F44F84"/>
    <w:rsid w:val="00F45033"/>
    <w:rsid w:val="00F45319"/>
    <w:rsid w:val="00F4533E"/>
    <w:rsid w:val="00F45590"/>
    <w:rsid w:val="00F455A9"/>
    <w:rsid w:val="00F456D2"/>
    <w:rsid w:val="00F45727"/>
    <w:rsid w:val="00F45847"/>
    <w:rsid w:val="00F45E6C"/>
    <w:rsid w:val="00F45F78"/>
    <w:rsid w:val="00F46132"/>
    <w:rsid w:val="00F46134"/>
    <w:rsid w:val="00F46179"/>
    <w:rsid w:val="00F461C5"/>
    <w:rsid w:val="00F461CF"/>
    <w:rsid w:val="00F4624D"/>
    <w:rsid w:val="00F463B2"/>
    <w:rsid w:val="00F46444"/>
    <w:rsid w:val="00F46537"/>
    <w:rsid w:val="00F465B2"/>
    <w:rsid w:val="00F465E9"/>
    <w:rsid w:val="00F4661B"/>
    <w:rsid w:val="00F46787"/>
    <w:rsid w:val="00F467AB"/>
    <w:rsid w:val="00F4686B"/>
    <w:rsid w:val="00F4694C"/>
    <w:rsid w:val="00F469FF"/>
    <w:rsid w:val="00F46ABC"/>
    <w:rsid w:val="00F46AE9"/>
    <w:rsid w:val="00F46B97"/>
    <w:rsid w:val="00F46C59"/>
    <w:rsid w:val="00F46E1F"/>
    <w:rsid w:val="00F46FC5"/>
    <w:rsid w:val="00F47010"/>
    <w:rsid w:val="00F47215"/>
    <w:rsid w:val="00F47442"/>
    <w:rsid w:val="00F47635"/>
    <w:rsid w:val="00F47743"/>
    <w:rsid w:val="00F47C4F"/>
    <w:rsid w:val="00F47C99"/>
    <w:rsid w:val="00F5008B"/>
    <w:rsid w:val="00F5029B"/>
    <w:rsid w:val="00F5038B"/>
    <w:rsid w:val="00F5086D"/>
    <w:rsid w:val="00F50972"/>
    <w:rsid w:val="00F50D65"/>
    <w:rsid w:val="00F50F07"/>
    <w:rsid w:val="00F51061"/>
    <w:rsid w:val="00F51243"/>
    <w:rsid w:val="00F51254"/>
    <w:rsid w:val="00F51451"/>
    <w:rsid w:val="00F514A7"/>
    <w:rsid w:val="00F514F4"/>
    <w:rsid w:val="00F51541"/>
    <w:rsid w:val="00F515CD"/>
    <w:rsid w:val="00F51763"/>
    <w:rsid w:val="00F518C1"/>
    <w:rsid w:val="00F51AED"/>
    <w:rsid w:val="00F51B95"/>
    <w:rsid w:val="00F51BB1"/>
    <w:rsid w:val="00F51C27"/>
    <w:rsid w:val="00F51D21"/>
    <w:rsid w:val="00F51DA8"/>
    <w:rsid w:val="00F51EC2"/>
    <w:rsid w:val="00F51F39"/>
    <w:rsid w:val="00F51FD7"/>
    <w:rsid w:val="00F525B4"/>
    <w:rsid w:val="00F525D3"/>
    <w:rsid w:val="00F5270E"/>
    <w:rsid w:val="00F52918"/>
    <w:rsid w:val="00F52DA0"/>
    <w:rsid w:val="00F52E27"/>
    <w:rsid w:val="00F5310E"/>
    <w:rsid w:val="00F53280"/>
    <w:rsid w:val="00F53351"/>
    <w:rsid w:val="00F5344F"/>
    <w:rsid w:val="00F5368D"/>
    <w:rsid w:val="00F53B2F"/>
    <w:rsid w:val="00F53C35"/>
    <w:rsid w:val="00F53C53"/>
    <w:rsid w:val="00F53CBB"/>
    <w:rsid w:val="00F53CBC"/>
    <w:rsid w:val="00F53CDC"/>
    <w:rsid w:val="00F53D2F"/>
    <w:rsid w:val="00F54132"/>
    <w:rsid w:val="00F54199"/>
    <w:rsid w:val="00F54289"/>
    <w:rsid w:val="00F54303"/>
    <w:rsid w:val="00F54434"/>
    <w:rsid w:val="00F54520"/>
    <w:rsid w:val="00F5461D"/>
    <w:rsid w:val="00F54641"/>
    <w:rsid w:val="00F5477C"/>
    <w:rsid w:val="00F5494E"/>
    <w:rsid w:val="00F54A4E"/>
    <w:rsid w:val="00F54AFC"/>
    <w:rsid w:val="00F54AFF"/>
    <w:rsid w:val="00F54CD3"/>
    <w:rsid w:val="00F54E42"/>
    <w:rsid w:val="00F54FBC"/>
    <w:rsid w:val="00F551C9"/>
    <w:rsid w:val="00F5530C"/>
    <w:rsid w:val="00F553EF"/>
    <w:rsid w:val="00F55749"/>
    <w:rsid w:val="00F557BC"/>
    <w:rsid w:val="00F5581D"/>
    <w:rsid w:val="00F55948"/>
    <w:rsid w:val="00F55C6E"/>
    <w:rsid w:val="00F55D44"/>
    <w:rsid w:val="00F55F19"/>
    <w:rsid w:val="00F56139"/>
    <w:rsid w:val="00F5619D"/>
    <w:rsid w:val="00F5623A"/>
    <w:rsid w:val="00F56272"/>
    <w:rsid w:val="00F56416"/>
    <w:rsid w:val="00F56558"/>
    <w:rsid w:val="00F56605"/>
    <w:rsid w:val="00F5666E"/>
    <w:rsid w:val="00F568F1"/>
    <w:rsid w:val="00F56BC5"/>
    <w:rsid w:val="00F56CD7"/>
    <w:rsid w:val="00F56D09"/>
    <w:rsid w:val="00F56D2C"/>
    <w:rsid w:val="00F56E13"/>
    <w:rsid w:val="00F56FFC"/>
    <w:rsid w:val="00F57017"/>
    <w:rsid w:val="00F571BA"/>
    <w:rsid w:val="00F57246"/>
    <w:rsid w:val="00F5743C"/>
    <w:rsid w:val="00F574FB"/>
    <w:rsid w:val="00F574FF"/>
    <w:rsid w:val="00F575CA"/>
    <w:rsid w:val="00F57A41"/>
    <w:rsid w:val="00F57AA9"/>
    <w:rsid w:val="00F57B1A"/>
    <w:rsid w:val="00F57D36"/>
    <w:rsid w:val="00F57D41"/>
    <w:rsid w:val="00F57EFF"/>
    <w:rsid w:val="00F60074"/>
    <w:rsid w:val="00F601C7"/>
    <w:rsid w:val="00F602A4"/>
    <w:rsid w:val="00F60439"/>
    <w:rsid w:val="00F60517"/>
    <w:rsid w:val="00F605AC"/>
    <w:rsid w:val="00F60728"/>
    <w:rsid w:val="00F60736"/>
    <w:rsid w:val="00F607C2"/>
    <w:rsid w:val="00F607DA"/>
    <w:rsid w:val="00F6086B"/>
    <w:rsid w:val="00F60938"/>
    <w:rsid w:val="00F60C22"/>
    <w:rsid w:val="00F60CFB"/>
    <w:rsid w:val="00F60E46"/>
    <w:rsid w:val="00F60F1B"/>
    <w:rsid w:val="00F60FE3"/>
    <w:rsid w:val="00F611CA"/>
    <w:rsid w:val="00F611D1"/>
    <w:rsid w:val="00F613A3"/>
    <w:rsid w:val="00F613BD"/>
    <w:rsid w:val="00F615A3"/>
    <w:rsid w:val="00F61677"/>
    <w:rsid w:val="00F617DD"/>
    <w:rsid w:val="00F6180F"/>
    <w:rsid w:val="00F61827"/>
    <w:rsid w:val="00F61A3C"/>
    <w:rsid w:val="00F61C31"/>
    <w:rsid w:val="00F61CFC"/>
    <w:rsid w:val="00F61FA6"/>
    <w:rsid w:val="00F62018"/>
    <w:rsid w:val="00F62235"/>
    <w:rsid w:val="00F625A3"/>
    <w:rsid w:val="00F62B30"/>
    <w:rsid w:val="00F62B66"/>
    <w:rsid w:val="00F62B89"/>
    <w:rsid w:val="00F62BD0"/>
    <w:rsid w:val="00F62DD7"/>
    <w:rsid w:val="00F62ED2"/>
    <w:rsid w:val="00F63240"/>
    <w:rsid w:val="00F632E3"/>
    <w:rsid w:val="00F6348F"/>
    <w:rsid w:val="00F6365E"/>
    <w:rsid w:val="00F636F7"/>
    <w:rsid w:val="00F63746"/>
    <w:rsid w:val="00F6377C"/>
    <w:rsid w:val="00F63789"/>
    <w:rsid w:val="00F6399F"/>
    <w:rsid w:val="00F63A13"/>
    <w:rsid w:val="00F63C7C"/>
    <w:rsid w:val="00F63C8D"/>
    <w:rsid w:val="00F63C95"/>
    <w:rsid w:val="00F63D3C"/>
    <w:rsid w:val="00F6401A"/>
    <w:rsid w:val="00F6405A"/>
    <w:rsid w:val="00F641B4"/>
    <w:rsid w:val="00F64236"/>
    <w:rsid w:val="00F6424D"/>
    <w:rsid w:val="00F64339"/>
    <w:rsid w:val="00F64358"/>
    <w:rsid w:val="00F6440E"/>
    <w:rsid w:val="00F64521"/>
    <w:rsid w:val="00F646C9"/>
    <w:rsid w:val="00F646DD"/>
    <w:rsid w:val="00F647A7"/>
    <w:rsid w:val="00F647C1"/>
    <w:rsid w:val="00F64881"/>
    <w:rsid w:val="00F64955"/>
    <w:rsid w:val="00F64A26"/>
    <w:rsid w:val="00F64B73"/>
    <w:rsid w:val="00F64DB9"/>
    <w:rsid w:val="00F64DCC"/>
    <w:rsid w:val="00F64E59"/>
    <w:rsid w:val="00F64E66"/>
    <w:rsid w:val="00F64ED5"/>
    <w:rsid w:val="00F64F49"/>
    <w:rsid w:val="00F64F62"/>
    <w:rsid w:val="00F65000"/>
    <w:rsid w:val="00F650D0"/>
    <w:rsid w:val="00F65129"/>
    <w:rsid w:val="00F65306"/>
    <w:rsid w:val="00F6540D"/>
    <w:rsid w:val="00F657C3"/>
    <w:rsid w:val="00F65849"/>
    <w:rsid w:val="00F6597E"/>
    <w:rsid w:val="00F65EF2"/>
    <w:rsid w:val="00F65F39"/>
    <w:rsid w:val="00F65FA6"/>
    <w:rsid w:val="00F6601E"/>
    <w:rsid w:val="00F660CB"/>
    <w:rsid w:val="00F6611B"/>
    <w:rsid w:val="00F662AD"/>
    <w:rsid w:val="00F66A4A"/>
    <w:rsid w:val="00F66B76"/>
    <w:rsid w:val="00F66BCC"/>
    <w:rsid w:val="00F66C5A"/>
    <w:rsid w:val="00F66D2D"/>
    <w:rsid w:val="00F66F7F"/>
    <w:rsid w:val="00F66FAB"/>
    <w:rsid w:val="00F67064"/>
    <w:rsid w:val="00F67071"/>
    <w:rsid w:val="00F670F6"/>
    <w:rsid w:val="00F67192"/>
    <w:rsid w:val="00F67394"/>
    <w:rsid w:val="00F67501"/>
    <w:rsid w:val="00F6768B"/>
    <w:rsid w:val="00F67724"/>
    <w:rsid w:val="00F6782D"/>
    <w:rsid w:val="00F678B7"/>
    <w:rsid w:val="00F679F9"/>
    <w:rsid w:val="00F67C12"/>
    <w:rsid w:val="00F67C3D"/>
    <w:rsid w:val="00F67E08"/>
    <w:rsid w:val="00F67FAD"/>
    <w:rsid w:val="00F67FE5"/>
    <w:rsid w:val="00F7004A"/>
    <w:rsid w:val="00F70097"/>
    <w:rsid w:val="00F70300"/>
    <w:rsid w:val="00F703D0"/>
    <w:rsid w:val="00F7047F"/>
    <w:rsid w:val="00F704B5"/>
    <w:rsid w:val="00F7052D"/>
    <w:rsid w:val="00F70C18"/>
    <w:rsid w:val="00F70C8C"/>
    <w:rsid w:val="00F70D6E"/>
    <w:rsid w:val="00F70E14"/>
    <w:rsid w:val="00F70E36"/>
    <w:rsid w:val="00F7151D"/>
    <w:rsid w:val="00F71618"/>
    <w:rsid w:val="00F71636"/>
    <w:rsid w:val="00F717BB"/>
    <w:rsid w:val="00F717F5"/>
    <w:rsid w:val="00F71AA3"/>
    <w:rsid w:val="00F71B02"/>
    <w:rsid w:val="00F71C8D"/>
    <w:rsid w:val="00F71CB4"/>
    <w:rsid w:val="00F71E66"/>
    <w:rsid w:val="00F71E98"/>
    <w:rsid w:val="00F7202C"/>
    <w:rsid w:val="00F7213F"/>
    <w:rsid w:val="00F7223D"/>
    <w:rsid w:val="00F724C2"/>
    <w:rsid w:val="00F725E9"/>
    <w:rsid w:val="00F72830"/>
    <w:rsid w:val="00F728E3"/>
    <w:rsid w:val="00F729CF"/>
    <w:rsid w:val="00F72C91"/>
    <w:rsid w:val="00F72C95"/>
    <w:rsid w:val="00F72D10"/>
    <w:rsid w:val="00F72D5D"/>
    <w:rsid w:val="00F72E00"/>
    <w:rsid w:val="00F72EB5"/>
    <w:rsid w:val="00F72FC6"/>
    <w:rsid w:val="00F73045"/>
    <w:rsid w:val="00F73103"/>
    <w:rsid w:val="00F734BF"/>
    <w:rsid w:val="00F737FD"/>
    <w:rsid w:val="00F7382B"/>
    <w:rsid w:val="00F73969"/>
    <w:rsid w:val="00F739AD"/>
    <w:rsid w:val="00F73A2E"/>
    <w:rsid w:val="00F73B42"/>
    <w:rsid w:val="00F73B61"/>
    <w:rsid w:val="00F73CF3"/>
    <w:rsid w:val="00F73EA0"/>
    <w:rsid w:val="00F74223"/>
    <w:rsid w:val="00F74344"/>
    <w:rsid w:val="00F743D9"/>
    <w:rsid w:val="00F7459B"/>
    <w:rsid w:val="00F74732"/>
    <w:rsid w:val="00F747B7"/>
    <w:rsid w:val="00F748F8"/>
    <w:rsid w:val="00F74910"/>
    <w:rsid w:val="00F74B50"/>
    <w:rsid w:val="00F74CF3"/>
    <w:rsid w:val="00F74D2A"/>
    <w:rsid w:val="00F74DC9"/>
    <w:rsid w:val="00F74E51"/>
    <w:rsid w:val="00F74EA7"/>
    <w:rsid w:val="00F75113"/>
    <w:rsid w:val="00F752A0"/>
    <w:rsid w:val="00F75383"/>
    <w:rsid w:val="00F75396"/>
    <w:rsid w:val="00F753C1"/>
    <w:rsid w:val="00F75430"/>
    <w:rsid w:val="00F7543E"/>
    <w:rsid w:val="00F754AB"/>
    <w:rsid w:val="00F7555F"/>
    <w:rsid w:val="00F756E3"/>
    <w:rsid w:val="00F75722"/>
    <w:rsid w:val="00F75D52"/>
    <w:rsid w:val="00F75D54"/>
    <w:rsid w:val="00F75DFC"/>
    <w:rsid w:val="00F75EA4"/>
    <w:rsid w:val="00F75F7D"/>
    <w:rsid w:val="00F76036"/>
    <w:rsid w:val="00F7629C"/>
    <w:rsid w:val="00F76372"/>
    <w:rsid w:val="00F763DA"/>
    <w:rsid w:val="00F764E1"/>
    <w:rsid w:val="00F7655D"/>
    <w:rsid w:val="00F7656A"/>
    <w:rsid w:val="00F76648"/>
    <w:rsid w:val="00F76657"/>
    <w:rsid w:val="00F76674"/>
    <w:rsid w:val="00F766DC"/>
    <w:rsid w:val="00F76B08"/>
    <w:rsid w:val="00F76C26"/>
    <w:rsid w:val="00F76C66"/>
    <w:rsid w:val="00F76C74"/>
    <w:rsid w:val="00F76C76"/>
    <w:rsid w:val="00F76DBD"/>
    <w:rsid w:val="00F770E3"/>
    <w:rsid w:val="00F77599"/>
    <w:rsid w:val="00F775E7"/>
    <w:rsid w:val="00F7765A"/>
    <w:rsid w:val="00F77680"/>
    <w:rsid w:val="00F77687"/>
    <w:rsid w:val="00F776EE"/>
    <w:rsid w:val="00F77788"/>
    <w:rsid w:val="00F777DE"/>
    <w:rsid w:val="00F777DF"/>
    <w:rsid w:val="00F7789B"/>
    <w:rsid w:val="00F77AE0"/>
    <w:rsid w:val="00F77B56"/>
    <w:rsid w:val="00F77B8E"/>
    <w:rsid w:val="00F77E57"/>
    <w:rsid w:val="00F77F2F"/>
    <w:rsid w:val="00F800DA"/>
    <w:rsid w:val="00F80166"/>
    <w:rsid w:val="00F80213"/>
    <w:rsid w:val="00F802EB"/>
    <w:rsid w:val="00F8040A"/>
    <w:rsid w:val="00F8051C"/>
    <w:rsid w:val="00F8052E"/>
    <w:rsid w:val="00F80564"/>
    <w:rsid w:val="00F805D1"/>
    <w:rsid w:val="00F8063C"/>
    <w:rsid w:val="00F80711"/>
    <w:rsid w:val="00F80877"/>
    <w:rsid w:val="00F8089E"/>
    <w:rsid w:val="00F809C0"/>
    <w:rsid w:val="00F80BB7"/>
    <w:rsid w:val="00F80C05"/>
    <w:rsid w:val="00F80CAD"/>
    <w:rsid w:val="00F80CEB"/>
    <w:rsid w:val="00F80D4A"/>
    <w:rsid w:val="00F80D4C"/>
    <w:rsid w:val="00F80F35"/>
    <w:rsid w:val="00F80F83"/>
    <w:rsid w:val="00F81242"/>
    <w:rsid w:val="00F8128E"/>
    <w:rsid w:val="00F81355"/>
    <w:rsid w:val="00F81470"/>
    <w:rsid w:val="00F814ED"/>
    <w:rsid w:val="00F81647"/>
    <w:rsid w:val="00F81769"/>
    <w:rsid w:val="00F8180E"/>
    <w:rsid w:val="00F8184E"/>
    <w:rsid w:val="00F8188B"/>
    <w:rsid w:val="00F8196C"/>
    <w:rsid w:val="00F81A5B"/>
    <w:rsid w:val="00F81B08"/>
    <w:rsid w:val="00F81B28"/>
    <w:rsid w:val="00F81B59"/>
    <w:rsid w:val="00F81C46"/>
    <w:rsid w:val="00F81C7F"/>
    <w:rsid w:val="00F81D3B"/>
    <w:rsid w:val="00F81DDF"/>
    <w:rsid w:val="00F81DE7"/>
    <w:rsid w:val="00F81EB9"/>
    <w:rsid w:val="00F81EC8"/>
    <w:rsid w:val="00F82125"/>
    <w:rsid w:val="00F82157"/>
    <w:rsid w:val="00F82263"/>
    <w:rsid w:val="00F822A5"/>
    <w:rsid w:val="00F82360"/>
    <w:rsid w:val="00F824C6"/>
    <w:rsid w:val="00F82561"/>
    <w:rsid w:val="00F82766"/>
    <w:rsid w:val="00F8279C"/>
    <w:rsid w:val="00F82974"/>
    <w:rsid w:val="00F82B59"/>
    <w:rsid w:val="00F82B70"/>
    <w:rsid w:val="00F82BCF"/>
    <w:rsid w:val="00F82BE4"/>
    <w:rsid w:val="00F82D0D"/>
    <w:rsid w:val="00F82D3E"/>
    <w:rsid w:val="00F82D7E"/>
    <w:rsid w:val="00F82E0B"/>
    <w:rsid w:val="00F82F3D"/>
    <w:rsid w:val="00F82F70"/>
    <w:rsid w:val="00F82F72"/>
    <w:rsid w:val="00F83048"/>
    <w:rsid w:val="00F830BE"/>
    <w:rsid w:val="00F830C2"/>
    <w:rsid w:val="00F830CA"/>
    <w:rsid w:val="00F83129"/>
    <w:rsid w:val="00F831CB"/>
    <w:rsid w:val="00F8326C"/>
    <w:rsid w:val="00F83506"/>
    <w:rsid w:val="00F837A6"/>
    <w:rsid w:val="00F837D8"/>
    <w:rsid w:val="00F837D9"/>
    <w:rsid w:val="00F83B62"/>
    <w:rsid w:val="00F83C3F"/>
    <w:rsid w:val="00F83E67"/>
    <w:rsid w:val="00F83F09"/>
    <w:rsid w:val="00F83F72"/>
    <w:rsid w:val="00F83FE4"/>
    <w:rsid w:val="00F84188"/>
    <w:rsid w:val="00F84357"/>
    <w:rsid w:val="00F8435A"/>
    <w:rsid w:val="00F8445A"/>
    <w:rsid w:val="00F84743"/>
    <w:rsid w:val="00F84795"/>
    <w:rsid w:val="00F8490B"/>
    <w:rsid w:val="00F8491B"/>
    <w:rsid w:val="00F8497C"/>
    <w:rsid w:val="00F84BAA"/>
    <w:rsid w:val="00F84DD7"/>
    <w:rsid w:val="00F8520F"/>
    <w:rsid w:val="00F853C6"/>
    <w:rsid w:val="00F854BE"/>
    <w:rsid w:val="00F85538"/>
    <w:rsid w:val="00F8579A"/>
    <w:rsid w:val="00F8583A"/>
    <w:rsid w:val="00F858AE"/>
    <w:rsid w:val="00F858FF"/>
    <w:rsid w:val="00F85B38"/>
    <w:rsid w:val="00F85BAF"/>
    <w:rsid w:val="00F85F22"/>
    <w:rsid w:val="00F85F64"/>
    <w:rsid w:val="00F85F8C"/>
    <w:rsid w:val="00F8615B"/>
    <w:rsid w:val="00F86190"/>
    <w:rsid w:val="00F861BA"/>
    <w:rsid w:val="00F861F1"/>
    <w:rsid w:val="00F86272"/>
    <w:rsid w:val="00F8629F"/>
    <w:rsid w:val="00F862C4"/>
    <w:rsid w:val="00F8670A"/>
    <w:rsid w:val="00F86937"/>
    <w:rsid w:val="00F86B16"/>
    <w:rsid w:val="00F86B27"/>
    <w:rsid w:val="00F86BA5"/>
    <w:rsid w:val="00F86BC3"/>
    <w:rsid w:val="00F86D20"/>
    <w:rsid w:val="00F86EB5"/>
    <w:rsid w:val="00F87008"/>
    <w:rsid w:val="00F8708A"/>
    <w:rsid w:val="00F87387"/>
    <w:rsid w:val="00F873A8"/>
    <w:rsid w:val="00F87718"/>
    <w:rsid w:val="00F877B5"/>
    <w:rsid w:val="00F877C1"/>
    <w:rsid w:val="00F877DF"/>
    <w:rsid w:val="00F87870"/>
    <w:rsid w:val="00F879D6"/>
    <w:rsid w:val="00F87A5B"/>
    <w:rsid w:val="00F87EA3"/>
    <w:rsid w:val="00F87F9A"/>
    <w:rsid w:val="00F900E8"/>
    <w:rsid w:val="00F90203"/>
    <w:rsid w:val="00F903A2"/>
    <w:rsid w:val="00F903E4"/>
    <w:rsid w:val="00F90478"/>
    <w:rsid w:val="00F90591"/>
    <w:rsid w:val="00F90724"/>
    <w:rsid w:val="00F90BA1"/>
    <w:rsid w:val="00F90C65"/>
    <w:rsid w:val="00F90CCA"/>
    <w:rsid w:val="00F90D6E"/>
    <w:rsid w:val="00F90DFF"/>
    <w:rsid w:val="00F90E38"/>
    <w:rsid w:val="00F90E63"/>
    <w:rsid w:val="00F90FBC"/>
    <w:rsid w:val="00F910EB"/>
    <w:rsid w:val="00F912E8"/>
    <w:rsid w:val="00F9156A"/>
    <w:rsid w:val="00F91581"/>
    <w:rsid w:val="00F91E0D"/>
    <w:rsid w:val="00F91E5B"/>
    <w:rsid w:val="00F921F7"/>
    <w:rsid w:val="00F92285"/>
    <w:rsid w:val="00F922C5"/>
    <w:rsid w:val="00F92501"/>
    <w:rsid w:val="00F92792"/>
    <w:rsid w:val="00F929B7"/>
    <w:rsid w:val="00F92B2B"/>
    <w:rsid w:val="00F92BB7"/>
    <w:rsid w:val="00F92D81"/>
    <w:rsid w:val="00F92EC6"/>
    <w:rsid w:val="00F92F90"/>
    <w:rsid w:val="00F92FAC"/>
    <w:rsid w:val="00F93133"/>
    <w:rsid w:val="00F931BA"/>
    <w:rsid w:val="00F933B5"/>
    <w:rsid w:val="00F934DC"/>
    <w:rsid w:val="00F93659"/>
    <w:rsid w:val="00F93742"/>
    <w:rsid w:val="00F937E5"/>
    <w:rsid w:val="00F939EC"/>
    <w:rsid w:val="00F93C5F"/>
    <w:rsid w:val="00F93CA0"/>
    <w:rsid w:val="00F93DD1"/>
    <w:rsid w:val="00F93ED5"/>
    <w:rsid w:val="00F94116"/>
    <w:rsid w:val="00F94386"/>
    <w:rsid w:val="00F94575"/>
    <w:rsid w:val="00F9468A"/>
    <w:rsid w:val="00F946E1"/>
    <w:rsid w:val="00F946F4"/>
    <w:rsid w:val="00F94794"/>
    <w:rsid w:val="00F948CB"/>
    <w:rsid w:val="00F949D8"/>
    <w:rsid w:val="00F94A8C"/>
    <w:rsid w:val="00F94D00"/>
    <w:rsid w:val="00F94E67"/>
    <w:rsid w:val="00F94EE4"/>
    <w:rsid w:val="00F95118"/>
    <w:rsid w:val="00F95124"/>
    <w:rsid w:val="00F951A4"/>
    <w:rsid w:val="00F951B8"/>
    <w:rsid w:val="00F9531F"/>
    <w:rsid w:val="00F9570B"/>
    <w:rsid w:val="00F957B7"/>
    <w:rsid w:val="00F957D2"/>
    <w:rsid w:val="00F95878"/>
    <w:rsid w:val="00F95B1D"/>
    <w:rsid w:val="00F95B6C"/>
    <w:rsid w:val="00F95DCB"/>
    <w:rsid w:val="00F95E35"/>
    <w:rsid w:val="00F95ED4"/>
    <w:rsid w:val="00F95F59"/>
    <w:rsid w:val="00F95F71"/>
    <w:rsid w:val="00F96256"/>
    <w:rsid w:val="00F9627D"/>
    <w:rsid w:val="00F96477"/>
    <w:rsid w:val="00F9658F"/>
    <w:rsid w:val="00F96608"/>
    <w:rsid w:val="00F96849"/>
    <w:rsid w:val="00F96879"/>
    <w:rsid w:val="00F969BA"/>
    <w:rsid w:val="00F96A37"/>
    <w:rsid w:val="00F96CA9"/>
    <w:rsid w:val="00F96E9A"/>
    <w:rsid w:val="00F96F34"/>
    <w:rsid w:val="00F9700F"/>
    <w:rsid w:val="00F970A4"/>
    <w:rsid w:val="00F9720E"/>
    <w:rsid w:val="00F973AC"/>
    <w:rsid w:val="00F97432"/>
    <w:rsid w:val="00F97588"/>
    <w:rsid w:val="00F9766E"/>
    <w:rsid w:val="00F9776A"/>
    <w:rsid w:val="00F97881"/>
    <w:rsid w:val="00F9788A"/>
    <w:rsid w:val="00F97931"/>
    <w:rsid w:val="00F97972"/>
    <w:rsid w:val="00F97AA4"/>
    <w:rsid w:val="00F97CBE"/>
    <w:rsid w:val="00F97E1F"/>
    <w:rsid w:val="00F97EC6"/>
    <w:rsid w:val="00F97ED5"/>
    <w:rsid w:val="00FA03AC"/>
    <w:rsid w:val="00FA04CA"/>
    <w:rsid w:val="00FA05D9"/>
    <w:rsid w:val="00FA077D"/>
    <w:rsid w:val="00FA0A2E"/>
    <w:rsid w:val="00FA0A46"/>
    <w:rsid w:val="00FA0AC6"/>
    <w:rsid w:val="00FA0BDF"/>
    <w:rsid w:val="00FA0CAF"/>
    <w:rsid w:val="00FA0D98"/>
    <w:rsid w:val="00FA0DF1"/>
    <w:rsid w:val="00FA0E30"/>
    <w:rsid w:val="00FA0EA3"/>
    <w:rsid w:val="00FA0FD7"/>
    <w:rsid w:val="00FA10B1"/>
    <w:rsid w:val="00FA11B0"/>
    <w:rsid w:val="00FA127C"/>
    <w:rsid w:val="00FA12F0"/>
    <w:rsid w:val="00FA1331"/>
    <w:rsid w:val="00FA1625"/>
    <w:rsid w:val="00FA1644"/>
    <w:rsid w:val="00FA16F9"/>
    <w:rsid w:val="00FA1849"/>
    <w:rsid w:val="00FA1A15"/>
    <w:rsid w:val="00FA1A92"/>
    <w:rsid w:val="00FA1CDB"/>
    <w:rsid w:val="00FA1E05"/>
    <w:rsid w:val="00FA1FF1"/>
    <w:rsid w:val="00FA203A"/>
    <w:rsid w:val="00FA2223"/>
    <w:rsid w:val="00FA2264"/>
    <w:rsid w:val="00FA2296"/>
    <w:rsid w:val="00FA2318"/>
    <w:rsid w:val="00FA2367"/>
    <w:rsid w:val="00FA237A"/>
    <w:rsid w:val="00FA23CC"/>
    <w:rsid w:val="00FA2580"/>
    <w:rsid w:val="00FA29C4"/>
    <w:rsid w:val="00FA2BB0"/>
    <w:rsid w:val="00FA2C19"/>
    <w:rsid w:val="00FA2C72"/>
    <w:rsid w:val="00FA2C78"/>
    <w:rsid w:val="00FA2DA1"/>
    <w:rsid w:val="00FA2E3B"/>
    <w:rsid w:val="00FA2FA1"/>
    <w:rsid w:val="00FA31BD"/>
    <w:rsid w:val="00FA32B2"/>
    <w:rsid w:val="00FA33D6"/>
    <w:rsid w:val="00FA33FC"/>
    <w:rsid w:val="00FA3584"/>
    <w:rsid w:val="00FA3602"/>
    <w:rsid w:val="00FA384B"/>
    <w:rsid w:val="00FA388F"/>
    <w:rsid w:val="00FA39D4"/>
    <w:rsid w:val="00FA39F6"/>
    <w:rsid w:val="00FA3AF6"/>
    <w:rsid w:val="00FA3C08"/>
    <w:rsid w:val="00FA3CE8"/>
    <w:rsid w:val="00FA3E76"/>
    <w:rsid w:val="00FA3F3E"/>
    <w:rsid w:val="00FA4092"/>
    <w:rsid w:val="00FA4118"/>
    <w:rsid w:val="00FA415C"/>
    <w:rsid w:val="00FA418D"/>
    <w:rsid w:val="00FA42BA"/>
    <w:rsid w:val="00FA44F0"/>
    <w:rsid w:val="00FA465A"/>
    <w:rsid w:val="00FA4832"/>
    <w:rsid w:val="00FA492E"/>
    <w:rsid w:val="00FA4936"/>
    <w:rsid w:val="00FA4987"/>
    <w:rsid w:val="00FA4EA9"/>
    <w:rsid w:val="00FA5107"/>
    <w:rsid w:val="00FA5232"/>
    <w:rsid w:val="00FA52EE"/>
    <w:rsid w:val="00FA533C"/>
    <w:rsid w:val="00FA5379"/>
    <w:rsid w:val="00FA554C"/>
    <w:rsid w:val="00FA55EB"/>
    <w:rsid w:val="00FA5615"/>
    <w:rsid w:val="00FA5664"/>
    <w:rsid w:val="00FA5733"/>
    <w:rsid w:val="00FA5B31"/>
    <w:rsid w:val="00FA5B3E"/>
    <w:rsid w:val="00FA5C6D"/>
    <w:rsid w:val="00FA5CAB"/>
    <w:rsid w:val="00FA6055"/>
    <w:rsid w:val="00FA608F"/>
    <w:rsid w:val="00FA62E8"/>
    <w:rsid w:val="00FA6388"/>
    <w:rsid w:val="00FA6592"/>
    <w:rsid w:val="00FA6687"/>
    <w:rsid w:val="00FA66AE"/>
    <w:rsid w:val="00FA6794"/>
    <w:rsid w:val="00FA689F"/>
    <w:rsid w:val="00FA6949"/>
    <w:rsid w:val="00FA695D"/>
    <w:rsid w:val="00FA6965"/>
    <w:rsid w:val="00FA6A4B"/>
    <w:rsid w:val="00FA6AE9"/>
    <w:rsid w:val="00FA6BD0"/>
    <w:rsid w:val="00FA6BF1"/>
    <w:rsid w:val="00FA6D0F"/>
    <w:rsid w:val="00FA6D92"/>
    <w:rsid w:val="00FA6DE8"/>
    <w:rsid w:val="00FA713B"/>
    <w:rsid w:val="00FA71C4"/>
    <w:rsid w:val="00FA72C3"/>
    <w:rsid w:val="00FA7551"/>
    <w:rsid w:val="00FA7619"/>
    <w:rsid w:val="00FA7698"/>
    <w:rsid w:val="00FA77B5"/>
    <w:rsid w:val="00FA7895"/>
    <w:rsid w:val="00FA7AF6"/>
    <w:rsid w:val="00FA7B01"/>
    <w:rsid w:val="00FA7C59"/>
    <w:rsid w:val="00FA7D10"/>
    <w:rsid w:val="00FA7D21"/>
    <w:rsid w:val="00FA7D52"/>
    <w:rsid w:val="00FA7F05"/>
    <w:rsid w:val="00FA7F6C"/>
    <w:rsid w:val="00FB0085"/>
    <w:rsid w:val="00FB016E"/>
    <w:rsid w:val="00FB0228"/>
    <w:rsid w:val="00FB0291"/>
    <w:rsid w:val="00FB02C6"/>
    <w:rsid w:val="00FB0402"/>
    <w:rsid w:val="00FB051F"/>
    <w:rsid w:val="00FB0569"/>
    <w:rsid w:val="00FB09D3"/>
    <w:rsid w:val="00FB0A1D"/>
    <w:rsid w:val="00FB0D62"/>
    <w:rsid w:val="00FB0EEE"/>
    <w:rsid w:val="00FB0F02"/>
    <w:rsid w:val="00FB0F1E"/>
    <w:rsid w:val="00FB10C5"/>
    <w:rsid w:val="00FB1191"/>
    <w:rsid w:val="00FB160F"/>
    <w:rsid w:val="00FB1615"/>
    <w:rsid w:val="00FB1809"/>
    <w:rsid w:val="00FB184C"/>
    <w:rsid w:val="00FB189C"/>
    <w:rsid w:val="00FB1951"/>
    <w:rsid w:val="00FB1977"/>
    <w:rsid w:val="00FB1B4B"/>
    <w:rsid w:val="00FB1BCE"/>
    <w:rsid w:val="00FB1CBE"/>
    <w:rsid w:val="00FB1E62"/>
    <w:rsid w:val="00FB1F20"/>
    <w:rsid w:val="00FB1F8F"/>
    <w:rsid w:val="00FB22A9"/>
    <w:rsid w:val="00FB22BA"/>
    <w:rsid w:val="00FB2373"/>
    <w:rsid w:val="00FB24CF"/>
    <w:rsid w:val="00FB26B4"/>
    <w:rsid w:val="00FB29E7"/>
    <w:rsid w:val="00FB2CAE"/>
    <w:rsid w:val="00FB31D0"/>
    <w:rsid w:val="00FB3384"/>
    <w:rsid w:val="00FB346D"/>
    <w:rsid w:val="00FB36B4"/>
    <w:rsid w:val="00FB3799"/>
    <w:rsid w:val="00FB380E"/>
    <w:rsid w:val="00FB3821"/>
    <w:rsid w:val="00FB39C5"/>
    <w:rsid w:val="00FB3D32"/>
    <w:rsid w:val="00FB3F8C"/>
    <w:rsid w:val="00FB3FC4"/>
    <w:rsid w:val="00FB4139"/>
    <w:rsid w:val="00FB4323"/>
    <w:rsid w:val="00FB4394"/>
    <w:rsid w:val="00FB454E"/>
    <w:rsid w:val="00FB45F0"/>
    <w:rsid w:val="00FB4809"/>
    <w:rsid w:val="00FB494F"/>
    <w:rsid w:val="00FB4D4A"/>
    <w:rsid w:val="00FB4DC2"/>
    <w:rsid w:val="00FB4EFF"/>
    <w:rsid w:val="00FB4FCB"/>
    <w:rsid w:val="00FB4FE2"/>
    <w:rsid w:val="00FB50CE"/>
    <w:rsid w:val="00FB5137"/>
    <w:rsid w:val="00FB5387"/>
    <w:rsid w:val="00FB5570"/>
    <w:rsid w:val="00FB588B"/>
    <w:rsid w:val="00FB598A"/>
    <w:rsid w:val="00FB5A6A"/>
    <w:rsid w:val="00FB5C4A"/>
    <w:rsid w:val="00FB5DF0"/>
    <w:rsid w:val="00FB5FE6"/>
    <w:rsid w:val="00FB603A"/>
    <w:rsid w:val="00FB6090"/>
    <w:rsid w:val="00FB6124"/>
    <w:rsid w:val="00FB6130"/>
    <w:rsid w:val="00FB628B"/>
    <w:rsid w:val="00FB6321"/>
    <w:rsid w:val="00FB64A8"/>
    <w:rsid w:val="00FB650E"/>
    <w:rsid w:val="00FB6616"/>
    <w:rsid w:val="00FB6822"/>
    <w:rsid w:val="00FB6861"/>
    <w:rsid w:val="00FB68DD"/>
    <w:rsid w:val="00FB6A07"/>
    <w:rsid w:val="00FB6CDA"/>
    <w:rsid w:val="00FB6D8F"/>
    <w:rsid w:val="00FB7084"/>
    <w:rsid w:val="00FB7283"/>
    <w:rsid w:val="00FB7308"/>
    <w:rsid w:val="00FB739F"/>
    <w:rsid w:val="00FB7449"/>
    <w:rsid w:val="00FB74FC"/>
    <w:rsid w:val="00FB75B9"/>
    <w:rsid w:val="00FB75C8"/>
    <w:rsid w:val="00FB76B4"/>
    <w:rsid w:val="00FB775D"/>
    <w:rsid w:val="00FB77B4"/>
    <w:rsid w:val="00FB793E"/>
    <w:rsid w:val="00FB7A1E"/>
    <w:rsid w:val="00FB7A51"/>
    <w:rsid w:val="00FB7A9B"/>
    <w:rsid w:val="00FB7DFD"/>
    <w:rsid w:val="00FB7E26"/>
    <w:rsid w:val="00FB7F96"/>
    <w:rsid w:val="00FB7FCF"/>
    <w:rsid w:val="00FC007A"/>
    <w:rsid w:val="00FC00F0"/>
    <w:rsid w:val="00FC0263"/>
    <w:rsid w:val="00FC02B4"/>
    <w:rsid w:val="00FC0395"/>
    <w:rsid w:val="00FC0511"/>
    <w:rsid w:val="00FC0548"/>
    <w:rsid w:val="00FC0620"/>
    <w:rsid w:val="00FC063C"/>
    <w:rsid w:val="00FC0A30"/>
    <w:rsid w:val="00FC0A52"/>
    <w:rsid w:val="00FC0A6E"/>
    <w:rsid w:val="00FC0F93"/>
    <w:rsid w:val="00FC100C"/>
    <w:rsid w:val="00FC11A8"/>
    <w:rsid w:val="00FC11DC"/>
    <w:rsid w:val="00FC124F"/>
    <w:rsid w:val="00FC15AE"/>
    <w:rsid w:val="00FC16D6"/>
    <w:rsid w:val="00FC16EE"/>
    <w:rsid w:val="00FC1900"/>
    <w:rsid w:val="00FC1A69"/>
    <w:rsid w:val="00FC1C9C"/>
    <w:rsid w:val="00FC1CAD"/>
    <w:rsid w:val="00FC1D78"/>
    <w:rsid w:val="00FC1DC6"/>
    <w:rsid w:val="00FC2004"/>
    <w:rsid w:val="00FC20BF"/>
    <w:rsid w:val="00FC21A6"/>
    <w:rsid w:val="00FC2609"/>
    <w:rsid w:val="00FC2670"/>
    <w:rsid w:val="00FC282B"/>
    <w:rsid w:val="00FC2839"/>
    <w:rsid w:val="00FC2934"/>
    <w:rsid w:val="00FC29A8"/>
    <w:rsid w:val="00FC2A91"/>
    <w:rsid w:val="00FC2EF8"/>
    <w:rsid w:val="00FC2F34"/>
    <w:rsid w:val="00FC3003"/>
    <w:rsid w:val="00FC3010"/>
    <w:rsid w:val="00FC30C4"/>
    <w:rsid w:val="00FC310F"/>
    <w:rsid w:val="00FC31F5"/>
    <w:rsid w:val="00FC3273"/>
    <w:rsid w:val="00FC32C8"/>
    <w:rsid w:val="00FC32E8"/>
    <w:rsid w:val="00FC332F"/>
    <w:rsid w:val="00FC337B"/>
    <w:rsid w:val="00FC339B"/>
    <w:rsid w:val="00FC34E2"/>
    <w:rsid w:val="00FC3561"/>
    <w:rsid w:val="00FC358C"/>
    <w:rsid w:val="00FC3611"/>
    <w:rsid w:val="00FC36B9"/>
    <w:rsid w:val="00FC3902"/>
    <w:rsid w:val="00FC39B8"/>
    <w:rsid w:val="00FC3B69"/>
    <w:rsid w:val="00FC3CBD"/>
    <w:rsid w:val="00FC3D1F"/>
    <w:rsid w:val="00FC3D27"/>
    <w:rsid w:val="00FC3DB4"/>
    <w:rsid w:val="00FC3F6B"/>
    <w:rsid w:val="00FC4154"/>
    <w:rsid w:val="00FC4163"/>
    <w:rsid w:val="00FC41C6"/>
    <w:rsid w:val="00FC420B"/>
    <w:rsid w:val="00FC4301"/>
    <w:rsid w:val="00FC4335"/>
    <w:rsid w:val="00FC4560"/>
    <w:rsid w:val="00FC45C2"/>
    <w:rsid w:val="00FC46D3"/>
    <w:rsid w:val="00FC4875"/>
    <w:rsid w:val="00FC4A65"/>
    <w:rsid w:val="00FC4D34"/>
    <w:rsid w:val="00FC4D97"/>
    <w:rsid w:val="00FC4EBB"/>
    <w:rsid w:val="00FC4F56"/>
    <w:rsid w:val="00FC5213"/>
    <w:rsid w:val="00FC5319"/>
    <w:rsid w:val="00FC5336"/>
    <w:rsid w:val="00FC5439"/>
    <w:rsid w:val="00FC5502"/>
    <w:rsid w:val="00FC55F3"/>
    <w:rsid w:val="00FC5689"/>
    <w:rsid w:val="00FC5690"/>
    <w:rsid w:val="00FC569A"/>
    <w:rsid w:val="00FC56D9"/>
    <w:rsid w:val="00FC58C3"/>
    <w:rsid w:val="00FC5A15"/>
    <w:rsid w:val="00FC5A36"/>
    <w:rsid w:val="00FC5AFD"/>
    <w:rsid w:val="00FC5B1C"/>
    <w:rsid w:val="00FC5CAE"/>
    <w:rsid w:val="00FC5D7D"/>
    <w:rsid w:val="00FC5E60"/>
    <w:rsid w:val="00FC5F30"/>
    <w:rsid w:val="00FC628E"/>
    <w:rsid w:val="00FC6454"/>
    <w:rsid w:val="00FC655F"/>
    <w:rsid w:val="00FC6569"/>
    <w:rsid w:val="00FC65F1"/>
    <w:rsid w:val="00FC67C7"/>
    <w:rsid w:val="00FC6B19"/>
    <w:rsid w:val="00FC6B2C"/>
    <w:rsid w:val="00FC6BB2"/>
    <w:rsid w:val="00FC6BDE"/>
    <w:rsid w:val="00FC6D48"/>
    <w:rsid w:val="00FC70B3"/>
    <w:rsid w:val="00FC70DD"/>
    <w:rsid w:val="00FC72E2"/>
    <w:rsid w:val="00FC739A"/>
    <w:rsid w:val="00FC7469"/>
    <w:rsid w:val="00FC75CE"/>
    <w:rsid w:val="00FC7647"/>
    <w:rsid w:val="00FC76DD"/>
    <w:rsid w:val="00FC7861"/>
    <w:rsid w:val="00FC7876"/>
    <w:rsid w:val="00FC7959"/>
    <w:rsid w:val="00FC7CB0"/>
    <w:rsid w:val="00FC7CD0"/>
    <w:rsid w:val="00FC7D05"/>
    <w:rsid w:val="00FC7D10"/>
    <w:rsid w:val="00FC7D2C"/>
    <w:rsid w:val="00FD0047"/>
    <w:rsid w:val="00FD0191"/>
    <w:rsid w:val="00FD045F"/>
    <w:rsid w:val="00FD0594"/>
    <w:rsid w:val="00FD0625"/>
    <w:rsid w:val="00FD0693"/>
    <w:rsid w:val="00FD0720"/>
    <w:rsid w:val="00FD0B44"/>
    <w:rsid w:val="00FD0C11"/>
    <w:rsid w:val="00FD0C63"/>
    <w:rsid w:val="00FD0C73"/>
    <w:rsid w:val="00FD0C96"/>
    <w:rsid w:val="00FD1199"/>
    <w:rsid w:val="00FD148F"/>
    <w:rsid w:val="00FD1544"/>
    <w:rsid w:val="00FD16C2"/>
    <w:rsid w:val="00FD17C1"/>
    <w:rsid w:val="00FD1939"/>
    <w:rsid w:val="00FD1951"/>
    <w:rsid w:val="00FD19F2"/>
    <w:rsid w:val="00FD1A98"/>
    <w:rsid w:val="00FD1C11"/>
    <w:rsid w:val="00FD1D05"/>
    <w:rsid w:val="00FD1F10"/>
    <w:rsid w:val="00FD1FA3"/>
    <w:rsid w:val="00FD1FB5"/>
    <w:rsid w:val="00FD217B"/>
    <w:rsid w:val="00FD2233"/>
    <w:rsid w:val="00FD22FD"/>
    <w:rsid w:val="00FD2393"/>
    <w:rsid w:val="00FD2557"/>
    <w:rsid w:val="00FD25EF"/>
    <w:rsid w:val="00FD274E"/>
    <w:rsid w:val="00FD2AE3"/>
    <w:rsid w:val="00FD2B02"/>
    <w:rsid w:val="00FD2E24"/>
    <w:rsid w:val="00FD2FA2"/>
    <w:rsid w:val="00FD3244"/>
    <w:rsid w:val="00FD34DE"/>
    <w:rsid w:val="00FD356E"/>
    <w:rsid w:val="00FD35CF"/>
    <w:rsid w:val="00FD3809"/>
    <w:rsid w:val="00FD3B51"/>
    <w:rsid w:val="00FD3BA0"/>
    <w:rsid w:val="00FD3DDA"/>
    <w:rsid w:val="00FD3E90"/>
    <w:rsid w:val="00FD3F84"/>
    <w:rsid w:val="00FD41B2"/>
    <w:rsid w:val="00FD4300"/>
    <w:rsid w:val="00FD433D"/>
    <w:rsid w:val="00FD43A5"/>
    <w:rsid w:val="00FD44E6"/>
    <w:rsid w:val="00FD45B9"/>
    <w:rsid w:val="00FD47B1"/>
    <w:rsid w:val="00FD48A3"/>
    <w:rsid w:val="00FD48C3"/>
    <w:rsid w:val="00FD4AF7"/>
    <w:rsid w:val="00FD4BF2"/>
    <w:rsid w:val="00FD4F0A"/>
    <w:rsid w:val="00FD50B7"/>
    <w:rsid w:val="00FD51D2"/>
    <w:rsid w:val="00FD51F6"/>
    <w:rsid w:val="00FD5458"/>
    <w:rsid w:val="00FD56BB"/>
    <w:rsid w:val="00FD5878"/>
    <w:rsid w:val="00FD5931"/>
    <w:rsid w:val="00FD59B4"/>
    <w:rsid w:val="00FD5A0F"/>
    <w:rsid w:val="00FD5B9C"/>
    <w:rsid w:val="00FD5D01"/>
    <w:rsid w:val="00FD5DC4"/>
    <w:rsid w:val="00FD6011"/>
    <w:rsid w:val="00FD6040"/>
    <w:rsid w:val="00FD642A"/>
    <w:rsid w:val="00FD64F7"/>
    <w:rsid w:val="00FD6BED"/>
    <w:rsid w:val="00FD6D84"/>
    <w:rsid w:val="00FD6DD3"/>
    <w:rsid w:val="00FD6E42"/>
    <w:rsid w:val="00FD716D"/>
    <w:rsid w:val="00FD75AE"/>
    <w:rsid w:val="00FD7615"/>
    <w:rsid w:val="00FD76F4"/>
    <w:rsid w:val="00FD779C"/>
    <w:rsid w:val="00FD7A41"/>
    <w:rsid w:val="00FD7C5C"/>
    <w:rsid w:val="00FD7F41"/>
    <w:rsid w:val="00FD7FCB"/>
    <w:rsid w:val="00FE0186"/>
    <w:rsid w:val="00FE032B"/>
    <w:rsid w:val="00FE0509"/>
    <w:rsid w:val="00FE05DB"/>
    <w:rsid w:val="00FE0655"/>
    <w:rsid w:val="00FE0697"/>
    <w:rsid w:val="00FE081A"/>
    <w:rsid w:val="00FE0A8F"/>
    <w:rsid w:val="00FE0BB4"/>
    <w:rsid w:val="00FE0D2E"/>
    <w:rsid w:val="00FE0D98"/>
    <w:rsid w:val="00FE0E35"/>
    <w:rsid w:val="00FE0EBE"/>
    <w:rsid w:val="00FE0FB4"/>
    <w:rsid w:val="00FE1195"/>
    <w:rsid w:val="00FE11A9"/>
    <w:rsid w:val="00FE138E"/>
    <w:rsid w:val="00FE1463"/>
    <w:rsid w:val="00FE14D6"/>
    <w:rsid w:val="00FE150D"/>
    <w:rsid w:val="00FE175D"/>
    <w:rsid w:val="00FE18F9"/>
    <w:rsid w:val="00FE1A46"/>
    <w:rsid w:val="00FE1BD8"/>
    <w:rsid w:val="00FE1C83"/>
    <w:rsid w:val="00FE1D40"/>
    <w:rsid w:val="00FE1DE4"/>
    <w:rsid w:val="00FE1F0E"/>
    <w:rsid w:val="00FE1FAF"/>
    <w:rsid w:val="00FE2078"/>
    <w:rsid w:val="00FE2742"/>
    <w:rsid w:val="00FE2773"/>
    <w:rsid w:val="00FE27A9"/>
    <w:rsid w:val="00FE282B"/>
    <w:rsid w:val="00FE2A2D"/>
    <w:rsid w:val="00FE2B58"/>
    <w:rsid w:val="00FE2BE0"/>
    <w:rsid w:val="00FE2C51"/>
    <w:rsid w:val="00FE2CF1"/>
    <w:rsid w:val="00FE2D1C"/>
    <w:rsid w:val="00FE2D35"/>
    <w:rsid w:val="00FE2D57"/>
    <w:rsid w:val="00FE2E6B"/>
    <w:rsid w:val="00FE2EAE"/>
    <w:rsid w:val="00FE33DA"/>
    <w:rsid w:val="00FE3536"/>
    <w:rsid w:val="00FE35C0"/>
    <w:rsid w:val="00FE38CD"/>
    <w:rsid w:val="00FE3A9C"/>
    <w:rsid w:val="00FE3B0F"/>
    <w:rsid w:val="00FE3B81"/>
    <w:rsid w:val="00FE3EC5"/>
    <w:rsid w:val="00FE3FA4"/>
    <w:rsid w:val="00FE403F"/>
    <w:rsid w:val="00FE405D"/>
    <w:rsid w:val="00FE40D2"/>
    <w:rsid w:val="00FE42F2"/>
    <w:rsid w:val="00FE431F"/>
    <w:rsid w:val="00FE43C1"/>
    <w:rsid w:val="00FE4531"/>
    <w:rsid w:val="00FE454D"/>
    <w:rsid w:val="00FE4691"/>
    <w:rsid w:val="00FE473E"/>
    <w:rsid w:val="00FE49C6"/>
    <w:rsid w:val="00FE4AB2"/>
    <w:rsid w:val="00FE4B02"/>
    <w:rsid w:val="00FE4B75"/>
    <w:rsid w:val="00FE4C1B"/>
    <w:rsid w:val="00FE4C1F"/>
    <w:rsid w:val="00FE4C2F"/>
    <w:rsid w:val="00FE4D64"/>
    <w:rsid w:val="00FE4D6D"/>
    <w:rsid w:val="00FE4F39"/>
    <w:rsid w:val="00FE4FE4"/>
    <w:rsid w:val="00FE5113"/>
    <w:rsid w:val="00FE511B"/>
    <w:rsid w:val="00FE538B"/>
    <w:rsid w:val="00FE53B0"/>
    <w:rsid w:val="00FE5511"/>
    <w:rsid w:val="00FE5648"/>
    <w:rsid w:val="00FE59C1"/>
    <w:rsid w:val="00FE5D05"/>
    <w:rsid w:val="00FE5D8B"/>
    <w:rsid w:val="00FE5EA7"/>
    <w:rsid w:val="00FE5FAB"/>
    <w:rsid w:val="00FE602A"/>
    <w:rsid w:val="00FE6196"/>
    <w:rsid w:val="00FE62E8"/>
    <w:rsid w:val="00FE6819"/>
    <w:rsid w:val="00FE6A63"/>
    <w:rsid w:val="00FE6B0F"/>
    <w:rsid w:val="00FE6C4D"/>
    <w:rsid w:val="00FE6C50"/>
    <w:rsid w:val="00FE6DBC"/>
    <w:rsid w:val="00FE6DFB"/>
    <w:rsid w:val="00FE6E96"/>
    <w:rsid w:val="00FE763C"/>
    <w:rsid w:val="00FE7689"/>
    <w:rsid w:val="00FE769D"/>
    <w:rsid w:val="00FE772A"/>
    <w:rsid w:val="00FE785F"/>
    <w:rsid w:val="00FE78A5"/>
    <w:rsid w:val="00FE7961"/>
    <w:rsid w:val="00FE7AB2"/>
    <w:rsid w:val="00FE7ADD"/>
    <w:rsid w:val="00FE7AEA"/>
    <w:rsid w:val="00FE7BCC"/>
    <w:rsid w:val="00FE7C83"/>
    <w:rsid w:val="00FE7F98"/>
    <w:rsid w:val="00FE7FBC"/>
    <w:rsid w:val="00FF015E"/>
    <w:rsid w:val="00FF020E"/>
    <w:rsid w:val="00FF02C2"/>
    <w:rsid w:val="00FF0515"/>
    <w:rsid w:val="00FF05C8"/>
    <w:rsid w:val="00FF0604"/>
    <w:rsid w:val="00FF0758"/>
    <w:rsid w:val="00FF08F0"/>
    <w:rsid w:val="00FF091E"/>
    <w:rsid w:val="00FF0C10"/>
    <w:rsid w:val="00FF0C42"/>
    <w:rsid w:val="00FF0CA8"/>
    <w:rsid w:val="00FF0D2C"/>
    <w:rsid w:val="00FF0D4B"/>
    <w:rsid w:val="00FF0F0B"/>
    <w:rsid w:val="00FF1257"/>
    <w:rsid w:val="00FF1355"/>
    <w:rsid w:val="00FF1465"/>
    <w:rsid w:val="00FF14EC"/>
    <w:rsid w:val="00FF1512"/>
    <w:rsid w:val="00FF15CC"/>
    <w:rsid w:val="00FF165D"/>
    <w:rsid w:val="00FF172B"/>
    <w:rsid w:val="00FF177F"/>
    <w:rsid w:val="00FF17E5"/>
    <w:rsid w:val="00FF1A55"/>
    <w:rsid w:val="00FF1ABF"/>
    <w:rsid w:val="00FF1CC5"/>
    <w:rsid w:val="00FF1DDD"/>
    <w:rsid w:val="00FF1FEA"/>
    <w:rsid w:val="00FF224D"/>
    <w:rsid w:val="00FF22F1"/>
    <w:rsid w:val="00FF23DE"/>
    <w:rsid w:val="00FF2564"/>
    <w:rsid w:val="00FF262B"/>
    <w:rsid w:val="00FF2717"/>
    <w:rsid w:val="00FF275D"/>
    <w:rsid w:val="00FF2B69"/>
    <w:rsid w:val="00FF2B76"/>
    <w:rsid w:val="00FF2BBE"/>
    <w:rsid w:val="00FF2EA2"/>
    <w:rsid w:val="00FF2F7C"/>
    <w:rsid w:val="00FF3050"/>
    <w:rsid w:val="00FF3054"/>
    <w:rsid w:val="00FF3127"/>
    <w:rsid w:val="00FF33E6"/>
    <w:rsid w:val="00FF33EE"/>
    <w:rsid w:val="00FF341F"/>
    <w:rsid w:val="00FF3621"/>
    <w:rsid w:val="00FF37C8"/>
    <w:rsid w:val="00FF3940"/>
    <w:rsid w:val="00FF3AD1"/>
    <w:rsid w:val="00FF3B61"/>
    <w:rsid w:val="00FF3C16"/>
    <w:rsid w:val="00FF3DEC"/>
    <w:rsid w:val="00FF3DF0"/>
    <w:rsid w:val="00FF3E66"/>
    <w:rsid w:val="00FF3ED2"/>
    <w:rsid w:val="00FF3EE5"/>
    <w:rsid w:val="00FF3FF0"/>
    <w:rsid w:val="00FF4261"/>
    <w:rsid w:val="00FF4290"/>
    <w:rsid w:val="00FF430B"/>
    <w:rsid w:val="00FF43B7"/>
    <w:rsid w:val="00FF457B"/>
    <w:rsid w:val="00FF46B7"/>
    <w:rsid w:val="00FF4970"/>
    <w:rsid w:val="00FF4A70"/>
    <w:rsid w:val="00FF4C38"/>
    <w:rsid w:val="00FF4D1A"/>
    <w:rsid w:val="00FF4EDF"/>
    <w:rsid w:val="00FF4F36"/>
    <w:rsid w:val="00FF4F3B"/>
    <w:rsid w:val="00FF4FA2"/>
    <w:rsid w:val="00FF4FE8"/>
    <w:rsid w:val="00FF5089"/>
    <w:rsid w:val="00FF51B0"/>
    <w:rsid w:val="00FF521D"/>
    <w:rsid w:val="00FF5270"/>
    <w:rsid w:val="00FF5298"/>
    <w:rsid w:val="00FF52C5"/>
    <w:rsid w:val="00FF52E6"/>
    <w:rsid w:val="00FF54D6"/>
    <w:rsid w:val="00FF5655"/>
    <w:rsid w:val="00FF5801"/>
    <w:rsid w:val="00FF581E"/>
    <w:rsid w:val="00FF5933"/>
    <w:rsid w:val="00FF5A86"/>
    <w:rsid w:val="00FF5B56"/>
    <w:rsid w:val="00FF6109"/>
    <w:rsid w:val="00FF626C"/>
    <w:rsid w:val="00FF63B7"/>
    <w:rsid w:val="00FF642B"/>
    <w:rsid w:val="00FF6512"/>
    <w:rsid w:val="00FF6534"/>
    <w:rsid w:val="00FF6798"/>
    <w:rsid w:val="00FF67B4"/>
    <w:rsid w:val="00FF68C9"/>
    <w:rsid w:val="00FF68F2"/>
    <w:rsid w:val="00FF6951"/>
    <w:rsid w:val="00FF6B7E"/>
    <w:rsid w:val="00FF6B8A"/>
    <w:rsid w:val="00FF6BEE"/>
    <w:rsid w:val="00FF6CA9"/>
    <w:rsid w:val="00FF6CB6"/>
    <w:rsid w:val="00FF6D3E"/>
    <w:rsid w:val="00FF7041"/>
    <w:rsid w:val="00FF709A"/>
    <w:rsid w:val="00FF70ED"/>
    <w:rsid w:val="00FF7439"/>
    <w:rsid w:val="00FF7454"/>
    <w:rsid w:val="00FF75D1"/>
    <w:rsid w:val="00FF76C8"/>
    <w:rsid w:val="00FF7890"/>
    <w:rsid w:val="00FF7B38"/>
    <w:rsid w:val="00FF7C63"/>
    <w:rsid w:val="00FF7F60"/>
    <w:rsid w:val="010C91A9"/>
    <w:rsid w:val="010E6A38"/>
    <w:rsid w:val="010F91F8"/>
    <w:rsid w:val="012E3504"/>
    <w:rsid w:val="01314796"/>
    <w:rsid w:val="01541688"/>
    <w:rsid w:val="0155CAA3"/>
    <w:rsid w:val="015BD94F"/>
    <w:rsid w:val="0160FD2C"/>
    <w:rsid w:val="0163678A"/>
    <w:rsid w:val="017A59C8"/>
    <w:rsid w:val="017CF987"/>
    <w:rsid w:val="017DF130"/>
    <w:rsid w:val="01879890"/>
    <w:rsid w:val="018826F3"/>
    <w:rsid w:val="01AC8C01"/>
    <w:rsid w:val="01B049FE"/>
    <w:rsid w:val="01B0B9C9"/>
    <w:rsid w:val="01CEF7F7"/>
    <w:rsid w:val="01CFDCB7"/>
    <w:rsid w:val="01E32BDD"/>
    <w:rsid w:val="01F3454C"/>
    <w:rsid w:val="01F69B42"/>
    <w:rsid w:val="01F7B840"/>
    <w:rsid w:val="01F9FB0C"/>
    <w:rsid w:val="01FB1269"/>
    <w:rsid w:val="0233FD84"/>
    <w:rsid w:val="02427567"/>
    <w:rsid w:val="02432985"/>
    <w:rsid w:val="024B0E56"/>
    <w:rsid w:val="024FF98F"/>
    <w:rsid w:val="02534907"/>
    <w:rsid w:val="025B2856"/>
    <w:rsid w:val="0261AF4B"/>
    <w:rsid w:val="02761EB4"/>
    <w:rsid w:val="028F964A"/>
    <w:rsid w:val="02918E88"/>
    <w:rsid w:val="02C85AB0"/>
    <w:rsid w:val="02CDEE1D"/>
    <w:rsid w:val="02CE7E8F"/>
    <w:rsid w:val="02D057C7"/>
    <w:rsid w:val="02D7B08E"/>
    <w:rsid w:val="02E3F878"/>
    <w:rsid w:val="02E712D7"/>
    <w:rsid w:val="02EEA28B"/>
    <w:rsid w:val="02F14C03"/>
    <w:rsid w:val="02FFB6D7"/>
    <w:rsid w:val="030A13C2"/>
    <w:rsid w:val="03198428"/>
    <w:rsid w:val="031EFA0C"/>
    <w:rsid w:val="03288B32"/>
    <w:rsid w:val="033CB6C7"/>
    <w:rsid w:val="033E0610"/>
    <w:rsid w:val="0340432D"/>
    <w:rsid w:val="0353500F"/>
    <w:rsid w:val="03553763"/>
    <w:rsid w:val="03572E6D"/>
    <w:rsid w:val="038B540D"/>
    <w:rsid w:val="0395CB6D"/>
    <w:rsid w:val="0397BB42"/>
    <w:rsid w:val="03A33B7B"/>
    <w:rsid w:val="03A72E0F"/>
    <w:rsid w:val="03AD9512"/>
    <w:rsid w:val="03BC3005"/>
    <w:rsid w:val="03C53618"/>
    <w:rsid w:val="03C9720F"/>
    <w:rsid w:val="03C9EE5B"/>
    <w:rsid w:val="03CD5024"/>
    <w:rsid w:val="03D651B0"/>
    <w:rsid w:val="03F1076F"/>
    <w:rsid w:val="03FE9067"/>
    <w:rsid w:val="04096336"/>
    <w:rsid w:val="040E2CA5"/>
    <w:rsid w:val="0420EA13"/>
    <w:rsid w:val="042A6005"/>
    <w:rsid w:val="042D37AB"/>
    <w:rsid w:val="0446147C"/>
    <w:rsid w:val="04481BCF"/>
    <w:rsid w:val="04522A38"/>
    <w:rsid w:val="045333D2"/>
    <w:rsid w:val="0457EB91"/>
    <w:rsid w:val="045DDAC4"/>
    <w:rsid w:val="046B948F"/>
    <w:rsid w:val="047042DF"/>
    <w:rsid w:val="047377A0"/>
    <w:rsid w:val="04A6EE2B"/>
    <w:rsid w:val="04AB8F71"/>
    <w:rsid w:val="04AE95F3"/>
    <w:rsid w:val="04BD61C0"/>
    <w:rsid w:val="04DF7C42"/>
    <w:rsid w:val="04E5609B"/>
    <w:rsid w:val="04F0E4AE"/>
    <w:rsid w:val="04F7C006"/>
    <w:rsid w:val="05033CB7"/>
    <w:rsid w:val="050822C4"/>
    <w:rsid w:val="0509B1B8"/>
    <w:rsid w:val="05162637"/>
    <w:rsid w:val="051A3C08"/>
    <w:rsid w:val="052282A2"/>
    <w:rsid w:val="052A35A3"/>
    <w:rsid w:val="052B9F18"/>
    <w:rsid w:val="053B0B4D"/>
    <w:rsid w:val="053CE687"/>
    <w:rsid w:val="054DBAB7"/>
    <w:rsid w:val="054EC16E"/>
    <w:rsid w:val="05546B2A"/>
    <w:rsid w:val="056078CD"/>
    <w:rsid w:val="058CD7D0"/>
    <w:rsid w:val="05938CA4"/>
    <w:rsid w:val="0596CD66"/>
    <w:rsid w:val="0599B057"/>
    <w:rsid w:val="059DABB3"/>
    <w:rsid w:val="05BFD666"/>
    <w:rsid w:val="05CE7009"/>
    <w:rsid w:val="05CFEDE0"/>
    <w:rsid w:val="05D15A39"/>
    <w:rsid w:val="05DD67FB"/>
    <w:rsid w:val="05E08512"/>
    <w:rsid w:val="05E5DBEF"/>
    <w:rsid w:val="05E702FC"/>
    <w:rsid w:val="05F24C10"/>
    <w:rsid w:val="05F8309D"/>
    <w:rsid w:val="06024837"/>
    <w:rsid w:val="0602CAC1"/>
    <w:rsid w:val="06041CE4"/>
    <w:rsid w:val="0608D6B6"/>
    <w:rsid w:val="0609F398"/>
    <w:rsid w:val="060D17F5"/>
    <w:rsid w:val="0624D558"/>
    <w:rsid w:val="06374069"/>
    <w:rsid w:val="06396AA5"/>
    <w:rsid w:val="064D1BB3"/>
    <w:rsid w:val="0653321F"/>
    <w:rsid w:val="065B03CF"/>
    <w:rsid w:val="065EC859"/>
    <w:rsid w:val="066FA385"/>
    <w:rsid w:val="067612B4"/>
    <w:rsid w:val="067CCA0F"/>
    <w:rsid w:val="06B3942A"/>
    <w:rsid w:val="06C4CBB1"/>
    <w:rsid w:val="06C98094"/>
    <w:rsid w:val="06F37A13"/>
    <w:rsid w:val="06F62021"/>
    <w:rsid w:val="0704143B"/>
    <w:rsid w:val="07094AF7"/>
    <w:rsid w:val="0713C5B9"/>
    <w:rsid w:val="07234738"/>
    <w:rsid w:val="0751F3D4"/>
    <w:rsid w:val="075ED4C7"/>
    <w:rsid w:val="07640809"/>
    <w:rsid w:val="077C400E"/>
    <w:rsid w:val="0785CA97"/>
    <w:rsid w:val="0798ABA0"/>
    <w:rsid w:val="079EA1E1"/>
    <w:rsid w:val="079EB85B"/>
    <w:rsid w:val="07A7BBC4"/>
    <w:rsid w:val="07A9B121"/>
    <w:rsid w:val="07AA3E87"/>
    <w:rsid w:val="07B1DB97"/>
    <w:rsid w:val="07C4B32A"/>
    <w:rsid w:val="07C79390"/>
    <w:rsid w:val="07C935C6"/>
    <w:rsid w:val="07E9B562"/>
    <w:rsid w:val="07F0EC7D"/>
    <w:rsid w:val="08138BB6"/>
    <w:rsid w:val="081BA912"/>
    <w:rsid w:val="081D18CC"/>
    <w:rsid w:val="082BB4F9"/>
    <w:rsid w:val="0830076B"/>
    <w:rsid w:val="08393186"/>
    <w:rsid w:val="084873C3"/>
    <w:rsid w:val="0849C241"/>
    <w:rsid w:val="084DD2F6"/>
    <w:rsid w:val="085557DF"/>
    <w:rsid w:val="0862CBE2"/>
    <w:rsid w:val="0866F9C4"/>
    <w:rsid w:val="086837C2"/>
    <w:rsid w:val="086AC12F"/>
    <w:rsid w:val="087CFD38"/>
    <w:rsid w:val="08848408"/>
    <w:rsid w:val="0884BE65"/>
    <w:rsid w:val="088993BD"/>
    <w:rsid w:val="088C435E"/>
    <w:rsid w:val="088C4FEE"/>
    <w:rsid w:val="08AC0007"/>
    <w:rsid w:val="08AFD09F"/>
    <w:rsid w:val="08BDF704"/>
    <w:rsid w:val="08CD842E"/>
    <w:rsid w:val="08D0B898"/>
    <w:rsid w:val="08D12E0B"/>
    <w:rsid w:val="08D4F064"/>
    <w:rsid w:val="08DD412E"/>
    <w:rsid w:val="090AEF69"/>
    <w:rsid w:val="090BA2C5"/>
    <w:rsid w:val="09331799"/>
    <w:rsid w:val="093EFB3D"/>
    <w:rsid w:val="09987D19"/>
    <w:rsid w:val="099B5CF7"/>
    <w:rsid w:val="099C4F79"/>
    <w:rsid w:val="099C725F"/>
    <w:rsid w:val="09AFF38F"/>
    <w:rsid w:val="09BDD267"/>
    <w:rsid w:val="09C59D3F"/>
    <w:rsid w:val="09D4F27A"/>
    <w:rsid w:val="09D73C77"/>
    <w:rsid w:val="09DBF4F2"/>
    <w:rsid w:val="09DF82FC"/>
    <w:rsid w:val="09E00216"/>
    <w:rsid w:val="09E933B6"/>
    <w:rsid w:val="09F0CD43"/>
    <w:rsid w:val="09FAFF90"/>
    <w:rsid w:val="0A17CB2C"/>
    <w:rsid w:val="0A1E354E"/>
    <w:rsid w:val="0A2F84F6"/>
    <w:rsid w:val="0A3CEE85"/>
    <w:rsid w:val="0A479202"/>
    <w:rsid w:val="0A528383"/>
    <w:rsid w:val="0A59D48D"/>
    <w:rsid w:val="0A67F93A"/>
    <w:rsid w:val="0A6B4235"/>
    <w:rsid w:val="0A7090DB"/>
    <w:rsid w:val="0A79118F"/>
    <w:rsid w:val="0A84494E"/>
    <w:rsid w:val="0A8608C1"/>
    <w:rsid w:val="0A878F37"/>
    <w:rsid w:val="0AA222EB"/>
    <w:rsid w:val="0AAE4F6B"/>
    <w:rsid w:val="0ABE4240"/>
    <w:rsid w:val="0ACA421F"/>
    <w:rsid w:val="0ACCF061"/>
    <w:rsid w:val="0AD472AA"/>
    <w:rsid w:val="0AD83E78"/>
    <w:rsid w:val="0AE545DF"/>
    <w:rsid w:val="0AE91725"/>
    <w:rsid w:val="0AEE4821"/>
    <w:rsid w:val="0AF37DA7"/>
    <w:rsid w:val="0AF77A79"/>
    <w:rsid w:val="0B14AB30"/>
    <w:rsid w:val="0B1525A7"/>
    <w:rsid w:val="0B2C7800"/>
    <w:rsid w:val="0B4945AE"/>
    <w:rsid w:val="0B4C8C0D"/>
    <w:rsid w:val="0B69DF7E"/>
    <w:rsid w:val="0B6B282D"/>
    <w:rsid w:val="0B6B7610"/>
    <w:rsid w:val="0B6C349C"/>
    <w:rsid w:val="0B75F0E6"/>
    <w:rsid w:val="0B795D68"/>
    <w:rsid w:val="0B7F426A"/>
    <w:rsid w:val="0B800C9D"/>
    <w:rsid w:val="0B89214E"/>
    <w:rsid w:val="0B9BB1E2"/>
    <w:rsid w:val="0B9E9A86"/>
    <w:rsid w:val="0BA815A9"/>
    <w:rsid w:val="0BAA84AF"/>
    <w:rsid w:val="0BB06D54"/>
    <w:rsid w:val="0BD2195F"/>
    <w:rsid w:val="0BD568D4"/>
    <w:rsid w:val="0BDA45A5"/>
    <w:rsid w:val="0BDDAC7C"/>
    <w:rsid w:val="0BDE4E8C"/>
    <w:rsid w:val="0BE4281E"/>
    <w:rsid w:val="0BFC58EC"/>
    <w:rsid w:val="0C013EA1"/>
    <w:rsid w:val="0C02E65E"/>
    <w:rsid w:val="0C0B9CCC"/>
    <w:rsid w:val="0C0D69F5"/>
    <w:rsid w:val="0C0F7474"/>
    <w:rsid w:val="0C106A65"/>
    <w:rsid w:val="0C19B263"/>
    <w:rsid w:val="0C1FE8EE"/>
    <w:rsid w:val="0C301274"/>
    <w:rsid w:val="0C347128"/>
    <w:rsid w:val="0C36FFE5"/>
    <w:rsid w:val="0C54BACE"/>
    <w:rsid w:val="0C877981"/>
    <w:rsid w:val="0C8A52A8"/>
    <w:rsid w:val="0C8F37DD"/>
    <w:rsid w:val="0C9168C8"/>
    <w:rsid w:val="0C960173"/>
    <w:rsid w:val="0C9E7518"/>
    <w:rsid w:val="0C9F512C"/>
    <w:rsid w:val="0CAC928A"/>
    <w:rsid w:val="0CB9FC00"/>
    <w:rsid w:val="0CBE0DA6"/>
    <w:rsid w:val="0CC9099F"/>
    <w:rsid w:val="0CC95E1E"/>
    <w:rsid w:val="0CD0E83B"/>
    <w:rsid w:val="0CD2226E"/>
    <w:rsid w:val="0CE05AEB"/>
    <w:rsid w:val="0CE5B42F"/>
    <w:rsid w:val="0CECF3B6"/>
    <w:rsid w:val="0CF7ED6C"/>
    <w:rsid w:val="0D177315"/>
    <w:rsid w:val="0D1A8123"/>
    <w:rsid w:val="0D2CCB39"/>
    <w:rsid w:val="0D33FECA"/>
    <w:rsid w:val="0D3A6AE7"/>
    <w:rsid w:val="0D4063F0"/>
    <w:rsid w:val="0D534258"/>
    <w:rsid w:val="0D5A38F5"/>
    <w:rsid w:val="0D5C54DA"/>
    <w:rsid w:val="0D63124B"/>
    <w:rsid w:val="0D651AD6"/>
    <w:rsid w:val="0D7C3AA8"/>
    <w:rsid w:val="0D7ED9B2"/>
    <w:rsid w:val="0D81F486"/>
    <w:rsid w:val="0D8ABB1F"/>
    <w:rsid w:val="0D8D79D2"/>
    <w:rsid w:val="0D8FA0B8"/>
    <w:rsid w:val="0D9069DC"/>
    <w:rsid w:val="0D9182F9"/>
    <w:rsid w:val="0DAE91EF"/>
    <w:rsid w:val="0DBB0231"/>
    <w:rsid w:val="0DCFAD20"/>
    <w:rsid w:val="0DD56FD9"/>
    <w:rsid w:val="0DDAE0D8"/>
    <w:rsid w:val="0DE39080"/>
    <w:rsid w:val="0DEEDF49"/>
    <w:rsid w:val="0DFBCECD"/>
    <w:rsid w:val="0E126C5B"/>
    <w:rsid w:val="0E2B5915"/>
    <w:rsid w:val="0E2D9685"/>
    <w:rsid w:val="0E2E6F04"/>
    <w:rsid w:val="0E3083B0"/>
    <w:rsid w:val="0E30CCE4"/>
    <w:rsid w:val="0E3821F7"/>
    <w:rsid w:val="0E3DFED7"/>
    <w:rsid w:val="0E3E1E81"/>
    <w:rsid w:val="0E5350E9"/>
    <w:rsid w:val="0E5D43F5"/>
    <w:rsid w:val="0E63B604"/>
    <w:rsid w:val="0E83AF30"/>
    <w:rsid w:val="0E8AC7E8"/>
    <w:rsid w:val="0E8CFE72"/>
    <w:rsid w:val="0E917405"/>
    <w:rsid w:val="0EB00A6F"/>
    <w:rsid w:val="0EEA2B54"/>
    <w:rsid w:val="0F033857"/>
    <w:rsid w:val="0F095C1C"/>
    <w:rsid w:val="0F2478DD"/>
    <w:rsid w:val="0F2AA352"/>
    <w:rsid w:val="0F2C5AD0"/>
    <w:rsid w:val="0F305265"/>
    <w:rsid w:val="0F3B41FA"/>
    <w:rsid w:val="0F3E96B2"/>
    <w:rsid w:val="0F3FD3F0"/>
    <w:rsid w:val="0F409D67"/>
    <w:rsid w:val="0F71403A"/>
    <w:rsid w:val="0F71D7F8"/>
    <w:rsid w:val="0F7413DA"/>
    <w:rsid w:val="0F75524F"/>
    <w:rsid w:val="0F779BA1"/>
    <w:rsid w:val="0F80495B"/>
    <w:rsid w:val="0F8066A4"/>
    <w:rsid w:val="0F9A101D"/>
    <w:rsid w:val="0FABB4F6"/>
    <w:rsid w:val="0FBD27DB"/>
    <w:rsid w:val="0FC6A8F8"/>
    <w:rsid w:val="0FC7CABE"/>
    <w:rsid w:val="0FC999BE"/>
    <w:rsid w:val="0FCF6E6D"/>
    <w:rsid w:val="0FD2295F"/>
    <w:rsid w:val="0FD38502"/>
    <w:rsid w:val="0FD64310"/>
    <w:rsid w:val="0FDD3E75"/>
    <w:rsid w:val="0FEFB652"/>
    <w:rsid w:val="0FF3C0C2"/>
    <w:rsid w:val="1006B549"/>
    <w:rsid w:val="10203B1C"/>
    <w:rsid w:val="102CE6A5"/>
    <w:rsid w:val="10345E66"/>
    <w:rsid w:val="103C013A"/>
    <w:rsid w:val="104349EB"/>
    <w:rsid w:val="104A3D14"/>
    <w:rsid w:val="104C8E65"/>
    <w:rsid w:val="105AC3A0"/>
    <w:rsid w:val="105E0665"/>
    <w:rsid w:val="105E3D50"/>
    <w:rsid w:val="106E6461"/>
    <w:rsid w:val="1077F2E4"/>
    <w:rsid w:val="10BB55CF"/>
    <w:rsid w:val="10D5D779"/>
    <w:rsid w:val="10D7125B"/>
    <w:rsid w:val="10D751F3"/>
    <w:rsid w:val="10DB60A4"/>
    <w:rsid w:val="10E21730"/>
    <w:rsid w:val="10F27599"/>
    <w:rsid w:val="111122B0"/>
    <w:rsid w:val="1112B85A"/>
    <w:rsid w:val="11162C54"/>
    <w:rsid w:val="1121C44B"/>
    <w:rsid w:val="11282EEC"/>
    <w:rsid w:val="112FD29B"/>
    <w:rsid w:val="113C1019"/>
    <w:rsid w:val="113E3D43"/>
    <w:rsid w:val="113EF862"/>
    <w:rsid w:val="1140EC27"/>
    <w:rsid w:val="116E47DA"/>
    <w:rsid w:val="116EEBA9"/>
    <w:rsid w:val="11780592"/>
    <w:rsid w:val="117BBAD3"/>
    <w:rsid w:val="117F8DA0"/>
    <w:rsid w:val="11850D3C"/>
    <w:rsid w:val="1190200A"/>
    <w:rsid w:val="119EBE85"/>
    <w:rsid w:val="11A7256F"/>
    <w:rsid w:val="11A8315B"/>
    <w:rsid w:val="11AA7C8F"/>
    <w:rsid w:val="11CD6321"/>
    <w:rsid w:val="11CF8E79"/>
    <w:rsid w:val="11D62276"/>
    <w:rsid w:val="11D8AF4C"/>
    <w:rsid w:val="11E346B1"/>
    <w:rsid w:val="11F862D2"/>
    <w:rsid w:val="11FEEB8A"/>
    <w:rsid w:val="1200AC96"/>
    <w:rsid w:val="12063391"/>
    <w:rsid w:val="120AB721"/>
    <w:rsid w:val="120EE77D"/>
    <w:rsid w:val="12168B38"/>
    <w:rsid w:val="121BF1DF"/>
    <w:rsid w:val="1247AB14"/>
    <w:rsid w:val="124E6994"/>
    <w:rsid w:val="125F3798"/>
    <w:rsid w:val="1263AF48"/>
    <w:rsid w:val="126DAF9C"/>
    <w:rsid w:val="1272BB1D"/>
    <w:rsid w:val="1272E2BC"/>
    <w:rsid w:val="128032F8"/>
    <w:rsid w:val="129FD54B"/>
    <w:rsid w:val="12A78163"/>
    <w:rsid w:val="12A84190"/>
    <w:rsid w:val="12ACF311"/>
    <w:rsid w:val="12B06199"/>
    <w:rsid w:val="12C251A0"/>
    <w:rsid w:val="12DE7F07"/>
    <w:rsid w:val="12E4367D"/>
    <w:rsid w:val="12EC9699"/>
    <w:rsid w:val="12F26BB8"/>
    <w:rsid w:val="12FC69C7"/>
    <w:rsid w:val="130D5F47"/>
    <w:rsid w:val="131BD350"/>
    <w:rsid w:val="13249599"/>
    <w:rsid w:val="133C2CBD"/>
    <w:rsid w:val="13402674"/>
    <w:rsid w:val="1345F56E"/>
    <w:rsid w:val="13498A73"/>
    <w:rsid w:val="134DBCEA"/>
    <w:rsid w:val="135C1760"/>
    <w:rsid w:val="135F22BD"/>
    <w:rsid w:val="136B3271"/>
    <w:rsid w:val="1371DC5A"/>
    <w:rsid w:val="137598E7"/>
    <w:rsid w:val="137783CF"/>
    <w:rsid w:val="137EA751"/>
    <w:rsid w:val="139D5397"/>
    <w:rsid w:val="13A054B9"/>
    <w:rsid w:val="13A9AE97"/>
    <w:rsid w:val="13AB88AE"/>
    <w:rsid w:val="13ADEAF3"/>
    <w:rsid w:val="13B825E0"/>
    <w:rsid w:val="13CD60FD"/>
    <w:rsid w:val="13D6F01B"/>
    <w:rsid w:val="13D86075"/>
    <w:rsid w:val="13DC907D"/>
    <w:rsid w:val="13DCBD21"/>
    <w:rsid w:val="13E027E5"/>
    <w:rsid w:val="13E2B9F1"/>
    <w:rsid w:val="13EF8FE4"/>
    <w:rsid w:val="1402A75D"/>
    <w:rsid w:val="141E5AE7"/>
    <w:rsid w:val="1423BD67"/>
    <w:rsid w:val="143CD13B"/>
    <w:rsid w:val="143D9DE6"/>
    <w:rsid w:val="1444B15D"/>
    <w:rsid w:val="144D929E"/>
    <w:rsid w:val="14508C0E"/>
    <w:rsid w:val="14542108"/>
    <w:rsid w:val="145B1779"/>
    <w:rsid w:val="145C6B78"/>
    <w:rsid w:val="14636514"/>
    <w:rsid w:val="14700220"/>
    <w:rsid w:val="14844701"/>
    <w:rsid w:val="149A128E"/>
    <w:rsid w:val="149C0E6B"/>
    <w:rsid w:val="14AE339A"/>
    <w:rsid w:val="14B03FF8"/>
    <w:rsid w:val="14B3101F"/>
    <w:rsid w:val="14D416C8"/>
    <w:rsid w:val="14EA4594"/>
    <w:rsid w:val="14F353D7"/>
    <w:rsid w:val="14F7A53A"/>
    <w:rsid w:val="1506E38D"/>
    <w:rsid w:val="151461D2"/>
    <w:rsid w:val="15149376"/>
    <w:rsid w:val="15271A8B"/>
    <w:rsid w:val="15354D68"/>
    <w:rsid w:val="1536D088"/>
    <w:rsid w:val="15394D80"/>
    <w:rsid w:val="15453336"/>
    <w:rsid w:val="1549DD1E"/>
    <w:rsid w:val="154BFC3A"/>
    <w:rsid w:val="154C3F23"/>
    <w:rsid w:val="156BFDDD"/>
    <w:rsid w:val="1579931D"/>
    <w:rsid w:val="15958CED"/>
    <w:rsid w:val="159D8EE6"/>
    <w:rsid w:val="15B777E2"/>
    <w:rsid w:val="15C917BC"/>
    <w:rsid w:val="15D408D1"/>
    <w:rsid w:val="15D981C0"/>
    <w:rsid w:val="15DB946E"/>
    <w:rsid w:val="15E7D380"/>
    <w:rsid w:val="15EA15C3"/>
    <w:rsid w:val="15ECED7A"/>
    <w:rsid w:val="15F119A6"/>
    <w:rsid w:val="15FA0F08"/>
    <w:rsid w:val="15FF7DFE"/>
    <w:rsid w:val="16002861"/>
    <w:rsid w:val="1618C380"/>
    <w:rsid w:val="161BD11A"/>
    <w:rsid w:val="161E97D8"/>
    <w:rsid w:val="1623C687"/>
    <w:rsid w:val="1633F647"/>
    <w:rsid w:val="16412C74"/>
    <w:rsid w:val="16665ADA"/>
    <w:rsid w:val="1672FF1E"/>
    <w:rsid w:val="167D9630"/>
    <w:rsid w:val="168963F9"/>
    <w:rsid w:val="16927FCE"/>
    <w:rsid w:val="169E90A1"/>
    <w:rsid w:val="16A53B94"/>
    <w:rsid w:val="16A55BF1"/>
    <w:rsid w:val="16A86D8A"/>
    <w:rsid w:val="16AA2736"/>
    <w:rsid w:val="16B4269A"/>
    <w:rsid w:val="16B7C396"/>
    <w:rsid w:val="16BC0991"/>
    <w:rsid w:val="16C13690"/>
    <w:rsid w:val="16C252B0"/>
    <w:rsid w:val="16D08FC2"/>
    <w:rsid w:val="16F332E4"/>
    <w:rsid w:val="16F9C293"/>
    <w:rsid w:val="16FA24EE"/>
    <w:rsid w:val="170F426E"/>
    <w:rsid w:val="171B5E19"/>
    <w:rsid w:val="1739B1C9"/>
    <w:rsid w:val="17462945"/>
    <w:rsid w:val="174D5F68"/>
    <w:rsid w:val="1761BC1A"/>
    <w:rsid w:val="1764E8BC"/>
    <w:rsid w:val="176D0FCC"/>
    <w:rsid w:val="177D8703"/>
    <w:rsid w:val="17853360"/>
    <w:rsid w:val="178D53D9"/>
    <w:rsid w:val="178EC48C"/>
    <w:rsid w:val="1790CA95"/>
    <w:rsid w:val="17B7E2D0"/>
    <w:rsid w:val="17BBE7C3"/>
    <w:rsid w:val="17D0C3E0"/>
    <w:rsid w:val="17DF3EEF"/>
    <w:rsid w:val="17E81768"/>
    <w:rsid w:val="17F85C3E"/>
    <w:rsid w:val="18012F0F"/>
    <w:rsid w:val="18300DE8"/>
    <w:rsid w:val="184A09A8"/>
    <w:rsid w:val="185486D8"/>
    <w:rsid w:val="18594BD9"/>
    <w:rsid w:val="186219D0"/>
    <w:rsid w:val="186581EE"/>
    <w:rsid w:val="186CE102"/>
    <w:rsid w:val="186F91DC"/>
    <w:rsid w:val="1891B28E"/>
    <w:rsid w:val="189CA4FE"/>
    <w:rsid w:val="18B12095"/>
    <w:rsid w:val="18B84C52"/>
    <w:rsid w:val="18B8B7CD"/>
    <w:rsid w:val="18C07F6B"/>
    <w:rsid w:val="18D45A8F"/>
    <w:rsid w:val="18DE5CA1"/>
    <w:rsid w:val="18E26660"/>
    <w:rsid w:val="18E9F654"/>
    <w:rsid w:val="18F3599F"/>
    <w:rsid w:val="19030C38"/>
    <w:rsid w:val="1923E7CF"/>
    <w:rsid w:val="1948DD72"/>
    <w:rsid w:val="19560A15"/>
    <w:rsid w:val="195C2E8D"/>
    <w:rsid w:val="195D0009"/>
    <w:rsid w:val="196BE784"/>
    <w:rsid w:val="198393A8"/>
    <w:rsid w:val="1985F3EA"/>
    <w:rsid w:val="1994DC74"/>
    <w:rsid w:val="19958E02"/>
    <w:rsid w:val="19AFBB14"/>
    <w:rsid w:val="19B1628E"/>
    <w:rsid w:val="19BAD09F"/>
    <w:rsid w:val="19BD344A"/>
    <w:rsid w:val="19C2DE1F"/>
    <w:rsid w:val="19C5718F"/>
    <w:rsid w:val="19E09B5D"/>
    <w:rsid w:val="19F1F40E"/>
    <w:rsid w:val="19F3AC53"/>
    <w:rsid w:val="19FA408B"/>
    <w:rsid w:val="1A427988"/>
    <w:rsid w:val="1A4F2E6A"/>
    <w:rsid w:val="1A78C2C8"/>
    <w:rsid w:val="1A8AFD12"/>
    <w:rsid w:val="1A9B7B35"/>
    <w:rsid w:val="1A9DC022"/>
    <w:rsid w:val="1ACB47F4"/>
    <w:rsid w:val="1ACD2E85"/>
    <w:rsid w:val="1AED2C9D"/>
    <w:rsid w:val="1B0A8994"/>
    <w:rsid w:val="1B178478"/>
    <w:rsid w:val="1B1BDB5C"/>
    <w:rsid w:val="1B1EE7D8"/>
    <w:rsid w:val="1B232734"/>
    <w:rsid w:val="1B271F48"/>
    <w:rsid w:val="1B3DA005"/>
    <w:rsid w:val="1B44C449"/>
    <w:rsid w:val="1B48A801"/>
    <w:rsid w:val="1B510753"/>
    <w:rsid w:val="1B5FB10C"/>
    <w:rsid w:val="1B7940E6"/>
    <w:rsid w:val="1B7E2986"/>
    <w:rsid w:val="1B82D70F"/>
    <w:rsid w:val="1B902CE7"/>
    <w:rsid w:val="1B9EF01C"/>
    <w:rsid w:val="1B9FD726"/>
    <w:rsid w:val="1BA04627"/>
    <w:rsid w:val="1BA4E891"/>
    <w:rsid w:val="1BA7329E"/>
    <w:rsid w:val="1BAE47A4"/>
    <w:rsid w:val="1BB181EA"/>
    <w:rsid w:val="1BB7011C"/>
    <w:rsid w:val="1BC43E7C"/>
    <w:rsid w:val="1BD4BF61"/>
    <w:rsid w:val="1BD57CEA"/>
    <w:rsid w:val="1BECD72B"/>
    <w:rsid w:val="1BF14C4D"/>
    <w:rsid w:val="1BFC6B59"/>
    <w:rsid w:val="1BFF9B28"/>
    <w:rsid w:val="1C03685C"/>
    <w:rsid w:val="1C173DB6"/>
    <w:rsid w:val="1C19F703"/>
    <w:rsid w:val="1C341F26"/>
    <w:rsid w:val="1C3F7C26"/>
    <w:rsid w:val="1C42BB89"/>
    <w:rsid w:val="1C4D8856"/>
    <w:rsid w:val="1C521740"/>
    <w:rsid w:val="1C57B0C8"/>
    <w:rsid w:val="1C5D8D01"/>
    <w:rsid w:val="1C6354B2"/>
    <w:rsid w:val="1C6A19DA"/>
    <w:rsid w:val="1C86D9A1"/>
    <w:rsid w:val="1C87BAD7"/>
    <w:rsid w:val="1C8D7A94"/>
    <w:rsid w:val="1C92A2F7"/>
    <w:rsid w:val="1C93141A"/>
    <w:rsid w:val="1CA31621"/>
    <w:rsid w:val="1CA6062C"/>
    <w:rsid w:val="1CB43BC8"/>
    <w:rsid w:val="1CB666D7"/>
    <w:rsid w:val="1CC5187C"/>
    <w:rsid w:val="1CD2ADA4"/>
    <w:rsid w:val="1CD404EF"/>
    <w:rsid w:val="1CDBE85C"/>
    <w:rsid w:val="1CDEB969"/>
    <w:rsid w:val="1CE8A881"/>
    <w:rsid w:val="1CEE54DD"/>
    <w:rsid w:val="1CF6C7AF"/>
    <w:rsid w:val="1CFB11FC"/>
    <w:rsid w:val="1D02F9A6"/>
    <w:rsid w:val="1D05A050"/>
    <w:rsid w:val="1D1B6A2D"/>
    <w:rsid w:val="1D23017E"/>
    <w:rsid w:val="1D2B06FF"/>
    <w:rsid w:val="1D3B44B8"/>
    <w:rsid w:val="1D48B628"/>
    <w:rsid w:val="1D50F584"/>
    <w:rsid w:val="1D52D17D"/>
    <w:rsid w:val="1D536591"/>
    <w:rsid w:val="1D55F042"/>
    <w:rsid w:val="1D6652A1"/>
    <w:rsid w:val="1D6BEDE6"/>
    <w:rsid w:val="1D7BD6B7"/>
    <w:rsid w:val="1D802389"/>
    <w:rsid w:val="1D82B863"/>
    <w:rsid w:val="1D854441"/>
    <w:rsid w:val="1D87609B"/>
    <w:rsid w:val="1D8D7FB1"/>
    <w:rsid w:val="1D9DE626"/>
    <w:rsid w:val="1DA94DE1"/>
    <w:rsid w:val="1DB124CE"/>
    <w:rsid w:val="1DBFD093"/>
    <w:rsid w:val="1DDF0E4C"/>
    <w:rsid w:val="1DE57B32"/>
    <w:rsid w:val="1DE7D543"/>
    <w:rsid w:val="1DF4DAA8"/>
    <w:rsid w:val="1DFA3472"/>
    <w:rsid w:val="1E1F1486"/>
    <w:rsid w:val="1E2F7683"/>
    <w:rsid w:val="1E36BA9A"/>
    <w:rsid w:val="1E371531"/>
    <w:rsid w:val="1E3AD2B3"/>
    <w:rsid w:val="1E487862"/>
    <w:rsid w:val="1E4AB13D"/>
    <w:rsid w:val="1E4EFE8F"/>
    <w:rsid w:val="1E5ABBD0"/>
    <w:rsid w:val="1E6177A9"/>
    <w:rsid w:val="1E620EB9"/>
    <w:rsid w:val="1E7DAE54"/>
    <w:rsid w:val="1E886092"/>
    <w:rsid w:val="1EA25379"/>
    <w:rsid w:val="1EA98687"/>
    <w:rsid w:val="1EBD2F60"/>
    <w:rsid w:val="1EBE5591"/>
    <w:rsid w:val="1EC5CAC4"/>
    <w:rsid w:val="1EDED360"/>
    <w:rsid w:val="1EDF7192"/>
    <w:rsid w:val="1EEEA1DE"/>
    <w:rsid w:val="1F0C3C38"/>
    <w:rsid w:val="1F232124"/>
    <w:rsid w:val="1F2AF1BA"/>
    <w:rsid w:val="1F2BB25E"/>
    <w:rsid w:val="1F419B5E"/>
    <w:rsid w:val="1F60B7AC"/>
    <w:rsid w:val="1F662824"/>
    <w:rsid w:val="1F771D82"/>
    <w:rsid w:val="1F977B43"/>
    <w:rsid w:val="1FA3BE69"/>
    <w:rsid w:val="1FB64631"/>
    <w:rsid w:val="1FC6F9A8"/>
    <w:rsid w:val="1FC93C74"/>
    <w:rsid w:val="1FCA4AA1"/>
    <w:rsid w:val="1FD3936D"/>
    <w:rsid w:val="1FD5F186"/>
    <w:rsid w:val="1FE3D52B"/>
    <w:rsid w:val="20101BAB"/>
    <w:rsid w:val="201BF521"/>
    <w:rsid w:val="2027E247"/>
    <w:rsid w:val="202DAC4B"/>
    <w:rsid w:val="2039F98C"/>
    <w:rsid w:val="203CAEEB"/>
    <w:rsid w:val="204BA49D"/>
    <w:rsid w:val="205E0D08"/>
    <w:rsid w:val="20625503"/>
    <w:rsid w:val="20677EBF"/>
    <w:rsid w:val="2067FC51"/>
    <w:rsid w:val="206CEDF9"/>
    <w:rsid w:val="2082F9DC"/>
    <w:rsid w:val="20837412"/>
    <w:rsid w:val="2083D911"/>
    <w:rsid w:val="2087E1A5"/>
    <w:rsid w:val="2090612E"/>
    <w:rsid w:val="20A55BA9"/>
    <w:rsid w:val="20A58290"/>
    <w:rsid w:val="20A78C99"/>
    <w:rsid w:val="20B202F6"/>
    <w:rsid w:val="20B36B49"/>
    <w:rsid w:val="20B4402A"/>
    <w:rsid w:val="20B92CC5"/>
    <w:rsid w:val="20BF015D"/>
    <w:rsid w:val="20C6FF6E"/>
    <w:rsid w:val="20CA28FC"/>
    <w:rsid w:val="20F59B58"/>
    <w:rsid w:val="2102495F"/>
    <w:rsid w:val="212B21EB"/>
    <w:rsid w:val="21319407"/>
    <w:rsid w:val="2138FF46"/>
    <w:rsid w:val="213FB5AA"/>
    <w:rsid w:val="2144D3C8"/>
    <w:rsid w:val="21454B0A"/>
    <w:rsid w:val="21480220"/>
    <w:rsid w:val="214AC62E"/>
    <w:rsid w:val="2155569D"/>
    <w:rsid w:val="215EDB2D"/>
    <w:rsid w:val="21650CD5"/>
    <w:rsid w:val="217E0C5A"/>
    <w:rsid w:val="217E39C3"/>
    <w:rsid w:val="21824DEF"/>
    <w:rsid w:val="218453A3"/>
    <w:rsid w:val="2184A194"/>
    <w:rsid w:val="218B716D"/>
    <w:rsid w:val="218E9E6B"/>
    <w:rsid w:val="2196304E"/>
    <w:rsid w:val="21B4DD3E"/>
    <w:rsid w:val="21C9E153"/>
    <w:rsid w:val="21DCBBA8"/>
    <w:rsid w:val="21E5625F"/>
    <w:rsid w:val="21FDCEFB"/>
    <w:rsid w:val="220121F6"/>
    <w:rsid w:val="2204F3CD"/>
    <w:rsid w:val="2206B03C"/>
    <w:rsid w:val="220E88D1"/>
    <w:rsid w:val="22223A91"/>
    <w:rsid w:val="222E3026"/>
    <w:rsid w:val="2241EFBA"/>
    <w:rsid w:val="22574E76"/>
    <w:rsid w:val="225C2AD2"/>
    <w:rsid w:val="225D94C6"/>
    <w:rsid w:val="22742028"/>
    <w:rsid w:val="2277D4DF"/>
    <w:rsid w:val="228FD251"/>
    <w:rsid w:val="22A3C697"/>
    <w:rsid w:val="22A54632"/>
    <w:rsid w:val="22B1E5F5"/>
    <w:rsid w:val="22C0BF72"/>
    <w:rsid w:val="22D3F222"/>
    <w:rsid w:val="22D6DB28"/>
    <w:rsid w:val="22E5EB0C"/>
    <w:rsid w:val="2304A1D2"/>
    <w:rsid w:val="2309B04F"/>
    <w:rsid w:val="230BC43D"/>
    <w:rsid w:val="231299F4"/>
    <w:rsid w:val="231BBC21"/>
    <w:rsid w:val="2322E5D4"/>
    <w:rsid w:val="232CAEF2"/>
    <w:rsid w:val="2338286D"/>
    <w:rsid w:val="233C2683"/>
    <w:rsid w:val="233E1742"/>
    <w:rsid w:val="2347B66B"/>
    <w:rsid w:val="234C7B28"/>
    <w:rsid w:val="23607F28"/>
    <w:rsid w:val="2379DF53"/>
    <w:rsid w:val="237AAE3C"/>
    <w:rsid w:val="237E7885"/>
    <w:rsid w:val="2380F5F6"/>
    <w:rsid w:val="2382C904"/>
    <w:rsid w:val="239DB171"/>
    <w:rsid w:val="23A4458D"/>
    <w:rsid w:val="23AF9103"/>
    <w:rsid w:val="23B8E1C7"/>
    <w:rsid w:val="23BE384F"/>
    <w:rsid w:val="23EA810A"/>
    <w:rsid w:val="23FC7F5F"/>
    <w:rsid w:val="23FF1B02"/>
    <w:rsid w:val="2412DCF9"/>
    <w:rsid w:val="2415386C"/>
    <w:rsid w:val="242ADCA4"/>
    <w:rsid w:val="2444E83A"/>
    <w:rsid w:val="2445B413"/>
    <w:rsid w:val="245283F5"/>
    <w:rsid w:val="24637E9C"/>
    <w:rsid w:val="24696A63"/>
    <w:rsid w:val="247FB2C9"/>
    <w:rsid w:val="2481426E"/>
    <w:rsid w:val="2498BF4A"/>
    <w:rsid w:val="249CAD97"/>
    <w:rsid w:val="24A4052E"/>
    <w:rsid w:val="24A97CBF"/>
    <w:rsid w:val="24AE86CE"/>
    <w:rsid w:val="24B21D2A"/>
    <w:rsid w:val="24C6D1BF"/>
    <w:rsid w:val="24CD0C00"/>
    <w:rsid w:val="24CE4B2E"/>
    <w:rsid w:val="24D26EE8"/>
    <w:rsid w:val="24E0CC40"/>
    <w:rsid w:val="24EAD1DD"/>
    <w:rsid w:val="24FF5855"/>
    <w:rsid w:val="25067194"/>
    <w:rsid w:val="250E5C36"/>
    <w:rsid w:val="25136A8F"/>
    <w:rsid w:val="251973F5"/>
    <w:rsid w:val="253C04CD"/>
    <w:rsid w:val="253EE4CB"/>
    <w:rsid w:val="2546C780"/>
    <w:rsid w:val="254A8358"/>
    <w:rsid w:val="25538D09"/>
    <w:rsid w:val="255BED53"/>
    <w:rsid w:val="25600608"/>
    <w:rsid w:val="258D9B02"/>
    <w:rsid w:val="259C5F40"/>
    <w:rsid w:val="259FF559"/>
    <w:rsid w:val="25A064B4"/>
    <w:rsid w:val="25A10B51"/>
    <w:rsid w:val="25A15767"/>
    <w:rsid w:val="25C1679E"/>
    <w:rsid w:val="25CCB845"/>
    <w:rsid w:val="25CE0902"/>
    <w:rsid w:val="25E0B9DA"/>
    <w:rsid w:val="25E0EC67"/>
    <w:rsid w:val="25EA232C"/>
    <w:rsid w:val="25F26C51"/>
    <w:rsid w:val="25F89726"/>
    <w:rsid w:val="261AA82D"/>
    <w:rsid w:val="2623D191"/>
    <w:rsid w:val="262C6B3F"/>
    <w:rsid w:val="264693D0"/>
    <w:rsid w:val="2647F53C"/>
    <w:rsid w:val="264FDAB2"/>
    <w:rsid w:val="264FDAC0"/>
    <w:rsid w:val="265F584E"/>
    <w:rsid w:val="266959A3"/>
    <w:rsid w:val="26915153"/>
    <w:rsid w:val="2694805B"/>
    <w:rsid w:val="2698A2B8"/>
    <w:rsid w:val="269B41DE"/>
    <w:rsid w:val="269FF857"/>
    <w:rsid w:val="26A41BA4"/>
    <w:rsid w:val="26B1CA43"/>
    <w:rsid w:val="26B99A74"/>
    <w:rsid w:val="26BB0D5F"/>
    <w:rsid w:val="26BC7C54"/>
    <w:rsid w:val="26C0F902"/>
    <w:rsid w:val="26D34435"/>
    <w:rsid w:val="26D7FEFA"/>
    <w:rsid w:val="26D92A50"/>
    <w:rsid w:val="26E0E7A4"/>
    <w:rsid w:val="26E5B1CE"/>
    <w:rsid w:val="26F74BAA"/>
    <w:rsid w:val="26FD94AF"/>
    <w:rsid w:val="2701A149"/>
    <w:rsid w:val="2703EDD7"/>
    <w:rsid w:val="270E6D86"/>
    <w:rsid w:val="2727215D"/>
    <w:rsid w:val="272D3513"/>
    <w:rsid w:val="272FD8AE"/>
    <w:rsid w:val="273C51BB"/>
    <w:rsid w:val="276FC265"/>
    <w:rsid w:val="2778593A"/>
    <w:rsid w:val="277D54D5"/>
    <w:rsid w:val="278A2402"/>
    <w:rsid w:val="278FC719"/>
    <w:rsid w:val="27978269"/>
    <w:rsid w:val="27A3A96B"/>
    <w:rsid w:val="27B11601"/>
    <w:rsid w:val="27B53777"/>
    <w:rsid w:val="27BB4041"/>
    <w:rsid w:val="27BD6B50"/>
    <w:rsid w:val="27D20B8D"/>
    <w:rsid w:val="27D97E2C"/>
    <w:rsid w:val="27E410AC"/>
    <w:rsid w:val="27E44DB2"/>
    <w:rsid w:val="27E9BDEC"/>
    <w:rsid w:val="27F3E9EF"/>
    <w:rsid w:val="27F4B0E7"/>
    <w:rsid w:val="27F633FB"/>
    <w:rsid w:val="27FAB2F1"/>
    <w:rsid w:val="2802CA3D"/>
    <w:rsid w:val="28088707"/>
    <w:rsid w:val="281982B1"/>
    <w:rsid w:val="28282ADA"/>
    <w:rsid w:val="282F9A06"/>
    <w:rsid w:val="28480292"/>
    <w:rsid w:val="284F9B0F"/>
    <w:rsid w:val="28538DFB"/>
    <w:rsid w:val="28680A68"/>
    <w:rsid w:val="2875F1C0"/>
    <w:rsid w:val="287669A9"/>
    <w:rsid w:val="28969D04"/>
    <w:rsid w:val="28A044E5"/>
    <w:rsid w:val="28B4BA08"/>
    <w:rsid w:val="28BE5DFA"/>
    <w:rsid w:val="28D7A340"/>
    <w:rsid w:val="28D80576"/>
    <w:rsid w:val="28DF53DE"/>
    <w:rsid w:val="28E36876"/>
    <w:rsid w:val="28F202F4"/>
    <w:rsid w:val="28F73E35"/>
    <w:rsid w:val="28F7634A"/>
    <w:rsid w:val="28FD84D4"/>
    <w:rsid w:val="29099B3B"/>
    <w:rsid w:val="29144B0E"/>
    <w:rsid w:val="29152077"/>
    <w:rsid w:val="2918595D"/>
    <w:rsid w:val="29273184"/>
    <w:rsid w:val="292D4A71"/>
    <w:rsid w:val="293F9792"/>
    <w:rsid w:val="294283C8"/>
    <w:rsid w:val="29484D32"/>
    <w:rsid w:val="294A05A4"/>
    <w:rsid w:val="294FF5FB"/>
    <w:rsid w:val="2958557A"/>
    <w:rsid w:val="295FCFBF"/>
    <w:rsid w:val="2976EA28"/>
    <w:rsid w:val="297B3543"/>
    <w:rsid w:val="297FF281"/>
    <w:rsid w:val="29861FE9"/>
    <w:rsid w:val="2992ACCB"/>
    <w:rsid w:val="2992E177"/>
    <w:rsid w:val="299B1F9E"/>
    <w:rsid w:val="299E9A9E"/>
    <w:rsid w:val="29A42016"/>
    <w:rsid w:val="29A4ADD8"/>
    <w:rsid w:val="29AFABAF"/>
    <w:rsid w:val="29B4B73A"/>
    <w:rsid w:val="29B9D29D"/>
    <w:rsid w:val="29BDD635"/>
    <w:rsid w:val="29BF27A0"/>
    <w:rsid w:val="29D08009"/>
    <w:rsid w:val="29E62B9B"/>
    <w:rsid w:val="29EB5F33"/>
    <w:rsid w:val="2A13DF12"/>
    <w:rsid w:val="2A156138"/>
    <w:rsid w:val="2A1AA6AE"/>
    <w:rsid w:val="2A1D1BED"/>
    <w:rsid w:val="2A218607"/>
    <w:rsid w:val="2A24CDF3"/>
    <w:rsid w:val="2A335D0C"/>
    <w:rsid w:val="2A475C27"/>
    <w:rsid w:val="2A5B0BB4"/>
    <w:rsid w:val="2A6CB756"/>
    <w:rsid w:val="2A833DE7"/>
    <w:rsid w:val="2A8AC0E7"/>
    <w:rsid w:val="2A9B5307"/>
    <w:rsid w:val="2A9D3E7E"/>
    <w:rsid w:val="2AA116CD"/>
    <w:rsid w:val="2AA61A62"/>
    <w:rsid w:val="2AA634EA"/>
    <w:rsid w:val="2AB63DAC"/>
    <w:rsid w:val="2AC153E5"/>
    <w:rsid w:val="2AD94648"/>
    <w:rsid w:val="2ADAC7ED"/>
    <w:rsid w:val="2AE5A1A8"/>
    <w:rsid w:val="2AF326E8"/>
    <w:rsid w:val="2AF65CE3"/>
    <w:rsid w:val="2B030A5F"/>
    <w:rsid w:val="2B04474D"/>
    <w:rsid w:val="2B05233E"/>
    <w:rsid w:val="2B08D8C8"/>
    <w:rsid w:val="2B14C02F"/>
    <w:rsid w:val="2B15AE9C"/>
    <w:rsid w:val="2B303CE0"/>
    <w:rsid w:val="2B37D5F0"/>
    <w:rsid w:val="2B3AA50A"/>
    <w:rsid w:val="2B3E0F33"/>
    <w:rsid w:val="2B407E39"/>
    <w:rsid w:val="2B42AC1E"/>
    <w:rsid w:val="2B4373A1"/>
    <w:rsid w:val="2B53AA66"/>
    <w:rsid w:val="2B561F3E"/>
    <w:rsid w:val="2B59AF5D"/>
    <w:rsid w:val="2B6B0CB1"/>
    <w:rsid w:val="2B6D2A9C"/>
    <w:rsid w:val="2B6D8F43"/>
    <w:rsid w:val="2B713BDD"/>
    <w:rsid w:val="2B87BFC6"/>
    <w:rsid w:val="2B8F9AF9"/>
    <w:rsid w:val="2BA1BD2A"/>
    <w:rsid w:val="2BA28F7D"/>
    <w:rsid w:val="2BA5A513"/>
    <w:rsid w:val="2BC7EB16"/>
    <w:rsid w:val="2BFEEAC0"/>
    <w:rsid w:val="2C0795EA"/>
    <w:rsid w:val="2C081D2C"/>
    <w:rsid w:val="2C1F8073"/>
    <w:rsid w:val="2C53D79A"/>
    <w:rsid w:val="2C5719AC"/>
    <w:rsid w:val="2C5D51B9"/>
    <w:rsid w:val="2C624E55"/>
    <w:rsid w:val="2C75BA00"/>
    <w:rsid w:val="2C77E4E5"/>
    <w:rsid w:val="2C7941D1"/>
    <w:rsid w:val="2C7EA3C6"/>
    <w:rsid w:val="2C95D79C"/>
    <w:rsid w:val="2CA1B285"/>
    <w:rsid w:val="2CB1EB4C"/>
    <w:rsid w:val="2CB546E1"/>
    <w:rsid w:val="2CCE2414"/>
    <w:rsid w:val="2CD1B273"/>
    <w:rsid w:val="2CD43DC9"/>
    <w:rsid w:val="2CD9D401"/>
    <w:rsid w:val="2CDC4E9A"/>
    <w:rsid w:val="2CFDCC32"/>
    <w:rsid w:val="2D0A8362"/>
    <w:rsid w:val="2D0E84AB"/>
    <w:rsid w:val="2D1667A6"/>
    <w:rsid w:val="2D1BEEAD"/>
    <w:rsid w:val="2D279E0A"/>
    <w:rsid w:val="2D3091D8"/>
    <w:rsid w:val="2D30C42F"/>
    <w:rsid w:val="2D33F1B3"/>
    <w:rsid w:val="2D356F57"/>
    <w:rsid w:val="2D427FD2"/>
    <w:rsid w:val="2D4E5693"/>
    <w:rsid w:val="2D588182"/>
    <w:rsid w:val="2D595423"/>
    <w:rsid w:val="2D5D7B93"/>
    <w:rsid w:val="2D69FE58"/>
    <w:rsid w:val="2D710C3A"/>
    <w:rsid w:val="2D7BE59E"/>
    <w:rsid w:val="2D7F8F22"/>
    <w:rsid w:val="2D861B5B"/>
    <w:rsid w:val="2D9CCBA2"/>
    <w:rsid w:val="2DA49FCE"/>
    <w:rsid w:val="2DA4F29B"/>
    <w:rsid w:val="2DA57AD3"/>
    <w:rsid w:val="2DAE7964"/>
    <w:rsid w:val="2DB461CD"/>
    <w:rsid w:val="2DB688BA"/>
    <w:rsid w:val="2DC94C69"/>
    <w:rsid w:val="2DDA8375"/>
    <w:rsid w:val="2DDBB5D6"/>
    <w:rsid w:val="2DE985F2"/>
    <w:rsid w:val="2DF861DA"/>
    <w:rsid w:val="2E118A61"/>
    <w:rsid w:val="2E11ADC7"/>
    <w:rsid w:val="2E1224AA"/>
    <w:rsid w:val="2E16379A"/>
    <w:rsid w:val="2E1CF709"/>
    <w:rsid w:val="2E22E097"/>
    <w:rsid w:val="2E2824B4"/>
    <w:rsid w:val="2E32563F"/>
    <w:rsid w:val="2E3EDA01"/>
    <w:rsid w:val="2E53C2EC"/>
    <w:rsid w:val="2E543666"/>
    <w:rsid w:val="2E566C0D"/>
    <w:rsid w:val="2E5867F8"/>
    <w:rsid w:val="2E622CBB"/>
    <w:rsid w:val="2E75CFA6"/>
    <w:rsid w:val="2E781EFB"/>
    <w:rsid w:val="2E81A621"/>
    <w:rsid w:val="2E821DE2"/>
    <w:rsid w:val="2E857663"/>
    <w:rsid w:val="2E8C1545"/>
    <w:rsid w:val="2E8E178F"/>
    <w:rsid w:val="2E92112D"/>
    <w:rsid w:val="2E9859C3"/>
    <w:rsid w:val="2E9CBBC8"/>
    <w:rsid w:val="2E9E5759"/>
    <w:rsid w:val="2EA6D0C4"/>
    <w:rsid w:val="2EB3DB26"/>
    <w:rsid w:val="2EE53344"/>
    <w:rsid w:val="2EEF2CBE"/>
    <w:rsid w:val="2EFF2846"/>
    <w:rsid w:val="2F15B385"/>
    <w:rsid w:val="2F2AA45E"/>
    <w:rsid w:val="2F4746FA"/>
    <w:rsid w:val="2F50E203"/>
    <w:rsid w:val="2F73CE28"/>
    <w:rsid w:val="2F7B3514"/>
    <w:rsid w:val="2F7E82E4"/>
    <w:rsid w:val="2F8866BA"/>
    <w:rsid w:val="2F8CC164"/>
    <w:rsid w:val="2F8EC43A"/>
    <w:rsid w:val="2FA76DD8"/>
    <w:rsid w:val="2FB58D68"/>
    <w:rsid w:val="2FBB01FD"/>
    <w:rsid w:val="2FC977F9"/>
    <w:rsid w:val="2FCCEE0E"/>
    <w:rsid w:val="2FCF8957"/>
    <w:rsid w:val="2FD15BDF"/>
    <w:rsid w:val="2FDED887"/>
    <w:rsid w:val="2FE2899B"/>
    <w:rsid w:val="2FE5160C"/>
    <w:rsid w:val="2FF8C604"/>
    <w:rsid w:val="300EF239"/>
    <w:rsid w:val="3011D302"/>
    <w:rsid w:val="301306C5"/>
    <w:rsid w:val="3025C386"/>
    <w:rsid w:val="303BB208"/>
    <w:rsid w:val="303E8870"/>
    <w:rsid w:val="305B5262"/>
    <w:rsid w:val="30630C1C"/>
    <w:rsid w:val="306C972A"/>
    <w:rsid w:val="307C8360"/>
    <w:rsid w:val="307CCF40"/>
    <w:rsid w:val="308574E1"/>
    <w:rsid w:val="3099B51E"/>
    <w:rsid w:val="30BFA58E"/>
    <w:rsid w:val="30C3A967"/>
    <w:rsid w:val="30CD7549"/>
    <w:rsid w:val="30D0A897"/>
    <w:rsid w:val="30D9997A"/>
    <w:rsid w:val="30E3175B"/>
    <w:rsid w:val="30E93E20"/>
    <w:rsid w:val="30FDDE11"/>
    <w:rsid w:val="3100F6B4"/>
    <w:rsid w:val="3101353C"/>
    <w:rsid w:val="3120F3BE"/>
    <w:rsid w:val="313B8E1C"/>
    <w:rsid w:val="3146F2FA"/>
    <w:rsid w:val="315848D8"/>
    <w:rsid w:val="3160C2BA"/>
    <w:rsid w:val="3164D39F"/>
    <w:rsid w:val="316FA0AC"/>
    <w:rsid w:val="317B1B6F"/>
    <w:rsid w:val="317D1184"/>
    <w:rsid w:val="317D369F"/>
    <w:rsid w:val="31846B24"/>
    <w:rsid w:val="319C24C1"/>
    <w:rsid w:val="31A0853D"/>
    <w:rsid w:val="31A47F3F"/>
    <w:rsid w:val="31B00E34"/>
    <w:rsid w:val="31DA1B68"/>
    <w:rsid w:val="31E9B810"/>
    <w:rsid w:val="31F22F49"/>
    <w:rsid w:val="31F73441"/>
    <w:rsid w:val="31FD9E77"/>
    <w:rsid w:val="320B7701"/>
    <w:rsid w:val="322147FE"/>
    <w:rsid w:val="323F2DBE"/>
    <w:rsid w:val="3246F5F0"/>
    <w:rsid w:val="32725523"/>
    <w:rsid w:val="3272D63A"/>
    <w:rsid w:val="327A66EE"/>
    <w:rsid w:val="328AB5FD"/>
    <w:rsid w:val="328DF9B0"/>
    <w:rsid w:val="3295EB65"/>
    <w:rsid w:val="32A79045"/>
    <w:rsid w:val="32AEE558"/>
    <w:rsid w:val="32B8264E"/>
    <w:rsid w:val="32BF826F"/>
    <w:rsid w:val="32CE4015"/>
    <w:rsid w:val="32DC1716"/>
    <w:rsid w:val="32FB4C17"/>
    <w:rsid w:val="32FCC1F6"/>
    <w:rsid w:val="33061E2E"/>
    <w:rsid w:val="330F68CB"/>
    <w:rsid w:val="33137F64"/>
    <w:rsid w:val="33289D19"/>
    <w:rsid w:val="332A0CE7"/>
    <w:rsid w:val="332D2D88"/>
    <w:rsid w:val="3337BB7A"/>
    <w:rsid w:val="3337FE42"/>
    <w:rsid w:val="3338B799"/>
    <w:rsid w:val="333D6598"/>
    <w:rsid w:val="334C56E7"/>
    <w:rsid w:val="3354CC49"/>
    <w:rsid w:val="33683594"/>
    <w:rsid w:val="3372B652"/>
    <w:rsid w:val="3381A432"/>
    <w:rsid w:val="338A3063"/>
    <w:rsid w:val="3395F46F"/>
    <w:rsid w:val="339B5833"/>
    <w:rsid w:val="33ACA7D1"/>
    <w:rsid w:val="33ACAF44"/>
    <w:rsid w:val="33ACD9A7"/>
    <w:rsid w:val="33C390DD"/>
    <w:rsid w:val="33D6A96C"/>
    <w:rsid w:val="33F54A46"/>
    <w:rsid w:val="33FB4A29"/>
    <w:rsid w:val="340D5F3C"/>
    <w:rsid w:val="34175F43"/>
    <w:rsid w:val="34185C69"/>
    <w:rsid w:val="342859F7"/>
    <w:rsid w:val="342D7D11"/>
    <w:rsid w:val="343F5CC7"/>
    <w:rsid w:val="343F682E"/>
    <w:rsid w:val="3440F935"/>
    <w:rsid w:val="34420377"/>
    <w:rsid w:val="344DA341"/>
    <w:rsid w:val="347202DF"/>
    <w:rsid w:val="3484A71E"/>
    <w:rsid w:val="348A36C4"/>
    <w:rsid w:val="34907A88"/>
    <w:rsid w:val="34985C0B"/>
    <w:rsid w:val="34AA078C"/>
    <w:rsid w:val="34B4287D"/>
    <w:rsid w:val="34CB6F0D"/>
    <w:rsid w:val="34D57C0F"/>
    <w:rsid w:val="34DC5F53"/>
    <w:rsid w:val="34E9CA2F"/>
    <w:rsid w:val="351676EF"/>
    <w:rsid w:val="3517C51A"/>
    <w:rsid w:val="3519E618"/>
    <w:rsid w:val="35205CB3"/>
    <w:rsid w:val="35270D87"/>
    <w:rsid w:val="35312FB3"/>
    <w:rsid w:val="353D3AE2"/>
    <w:rsid w:val="3564C6C2"/>
    <w:rsid w:val="35665C67"/>
    <w:rsid w:val="3568A13F"/>
    <w:rsid w:val="356F962C"/>
    <w:rsid w:val="3586F5C6"/>
    <w:rsid w:val="3593636E"/>
    <w:rsid w:val="35A02A6F"/>
    <w:rsid w:val="35A60FC3"/>
    <w:rsid w:val="35A984C0"/>
    <w:rsid w:val="35B73E06"/>
    <w:rsid w:val="35BF7F48"/>
    <w:rsid w:val="35BF94DA"/>
    <w:rsid w:val="35C0D313"/>
    <w:rsid w:val="35C3218A"/>
    <w:rsid w:val="35D30EB0"/>
    <w:rsid w:val="35DF7C9F"/>
    <w:rsid w:val="35E4253F"/>
    <w:rsid w:val="35E728F4"/>
    <w:rsid w:val="35E835BA"/>
    <w:rsid w:val="35E9B4E5"/>
    <w:rsid w:val="3600B966"/>
    <w:rsid w:val="360CC708"/>
    <w:rsid w:val="3616A876"/>
    <w:rsid w:val="361E1002"/>
    <w:rsid w:val="36238EE6"/>
    <w:rsid w:val="36292DF9"/>
    <w:rsid w:val="363E14B2"/>
    <w:rsid w:val="365A07CA"/>
    <w:rsid w:val="36600701"/>
    <w:rsid w:val="3661A5A7"/>
    <w:rsid w:val="3664998D"/>
    <w:rsid w:val="3675065A"/>
    <w:rsid w:val="3694434A"/>
    <w:rsid w:val="36D15B07"/>
    <w:rsid w:val="36E8C2C2"/>
    <w:rsid w:val="36FD6638"/>
    <w:rsid w:val="370B668D"/>
    <w:rsid w:val="370FFECB"/>
    <w:rsid w:val="371138F0"/>
    <w:rsid w:val="37151991"/>
    <w:rsid w:val="3719FF62"/>
    <w:rsid w:val="372275FA"/>
    <w:rsid w:val="37454E19"/>
    <w:rsid w:val="375E2D3C"/>
    <w:rsid w:val="377D26CA"/>
    <w:rsid w:val="37837009"/>
    <w:rsid w:val="378BA85E"/>
    <w:rsid w:val="378BFAD8"/>
    <w:rsid w:val="3793BE95"/>
    <w:rsid w:val="3794CF6C"/>
    <w:rsid w:val="379B281A"/>
    <w:rsid w:val="379B70F1"/>
    <w:rsid w:val="37B2E1D4"/>
    <w:rsid w:val="37BA8432"/>
    <w:rsid w:val="37BB4D49"/>
    <w:rsid w:val="37D434E4"/>
    <w:rsid w:val="37EEC519"/>
    <w:rsid w:val="37F67FEB"/>
    <w:rsid w:val="37FBA164"/>
    <w:rsid w:val="37FE1774"/>
    <w:rsid w:val="37FE72FF"/>
    <w:rsid w:val="3804D637"/>
    <w:rsid w:val="38054FF7"/>
    <w:rsid w:val="3818C441"/>
    <w:rsid w:val="381FB1DC"/>
    <w:rsid w:val="382D1209"/>
    <w:rsid w:val="38383D82"/>
    <w:rsid w:val="385E893A"/>
    <w:rsid w:val="386DC960"/>
    <w:rsid w:val="3870749F"/>
    <w:rsid w:val="3870A38A"/>
    <w:rsid w:val="3875669A"/>
    <w:rsid w:val="38761D05"/>
    <w:rsid w:val="3877895E"/>
    <w:rsid w:val="387E5147"/>
    <w:rsid w:val="3880E589"/>
    <w:rsid w:val="388B21CF"/>
    <w:rsid w:val="388EF7F6"/>
    <w:rsid w:val="389239EF"/>
    <w:rsid w:val="38A736EE"/>
    <w:rsid w:val="38B27ACA"/>
    <w:rsid w:val="38B93F5D"/>
    <w:rsid w:val="38BE1B6E"/>
    <w:rsid w:val="38CCC3B6"/>
    <w:rsid w:val="38E617FE"/>
    <w:rsid w:val="38F7200A"/>
    <w:rsid w:val="390226FD"/>
    <w:rsid w:val="392048BB"/>
    <w:rsid w:val="3926836E"/>
    <w:rsid w:val="392E70C5"/>
    <w:rsid w:val="393C2BCA"/>
    <w:rsid w:val="3946E340"/>
    <w:rsid w:val="39475EB7"/>
    <w:rsid w:val="39520A8B"/>
    <w:rsid w:val="396C937D"/>
    <w:rsid w:val="3976D044"/>
    <w:rsid w:val="398516BE"/>
    <w:rsid w:val="398773A3"/>
    <w:rsid w:val="398E3C9C"/>
    <w:rsid w:val="3991C811"/>
    <w:rsid w:val="39A391F3"/>
    <w:rsid w:val="39A63D67"/>
    <w:rsid w:val="39AC1F0E"/>
    <w:rsid w:val="39B494A2"/>
    <w:rsid w:val="39C27E3F"/>
    <w:rsid w:val="39C8ED54"/>
    <w:rsid w:val="39D034FF"/>
    <w:rsid w:val="39D14C95"/>
    <w:rsid w:val="39D477C9"/>
    <w:rsid w:val="39FD1697"/>
    <w:rsid w:val="3A09A381"/>
    <w:rsid w:val="3A251BEB"/>
    <w:rsid w:val="3A26B818"/>
    <w:rsid w:val="3A348A7E"/>
    <w:rsid w:val="3A3A00F6"/>
    <w:rsid w:val="3A445EB0"/>
    <w:rsid w:val="3A5261D0"/>
    <w:rsid w:val="3A5DEDA6"/>
    <w:rsid w:val="3A6687D4"/>
    <w:rsid w:val="3A869C4E"/>
    <w:rsid w:val="3A8BFD9C"/>
    <w:rsid w:val="3A92F06B"/>
    <w:rsid w:val="3A9DD666"/>
    <w:rsid w:val="3AACDCB8"/>
    <w:rsid w:val="3AC4453F"/>
    <w:rsid w:val="3ADE5774"/>
    <w:rsid w:val="3ADF9FAC"/>
    <w:rsid w:val="3AF42B23"/>
    <w:rsid w:val="3B08EABA"/>
    <w:rsid w:val="3B0E2CE3"/>
    <w:rsid w:val="3B124467"/>
    <w:rsid w:val="3B1ABEE1"/>
    <w:rsid w:val="3B201FFF"/>
    <w:rsid w:val="3B2CA323"/>
    <w:rsid w:val="3B5B3F1E"/>
    <w:rsid w:val="3B5EC82B"/>
    <w:rsid w:val="3B602AE8"/>
    <w:rsid w:val="3B723390"/>
    <w:rsid w:val="3B752DDD"/>
    <w:rsid w:val="3B85862C"/>
    <w:rsid w:val="3B887E58"/>
    <w:rsid w:val="3B8A5692"/>
    <w:rsid w:val="3B91E130"/>
    <w:rsid w:val="3B9944AD"/>
    <w:rsid w:val="3BAF06CF"/>
    <w:rsid w:val="3BC0FFAE"/>
    <w:rsid w:val="3BE423AD"/>
    <w:rsid w:val="3C035CB8"/>
    <w:rsid w:val="3C06AA2A"/>
    <w:rsid w:val="3C06D648"/>
    <w:rsid w:val="3C187350"/>
    <w:rsid w:val="3C2438F3"/>
    <w:rsid w:val="3C340595"/>
    <w:rsid w:val="3C40ABEF"/>
    <w:rsid w:val="3C47A964"/>
    <w:rsid w:val="3C5D9C15"/>
    <w:rsid w:val="3C5FD703"/>
    <w:rsid w:val="3C6DF4E3"/>
    <w:rsid w:val="3C9336A9"/>
    <w:rsid w:val="3C99074F"/>
    <w:rsid w:val="3C99F6E5"/>
    <w:rsid w:val="3C9F3BFF"/>
    <w:rsid w:val="3CA86103"/>
    <w:rsid w:val="3CA87C5F"/>
    <w:rsid w:val="3CAE14C8"/>
    <w:rsid w:val="3CBD38CD"/>
    <w:rsid w:val="3CBE20AF"/>
    <w:rsid w:val="3CDB1040"/>
    <w:rsid w:val="3CE31DAA"/>
    <w:rsid w:val="3CEC3293"/>
    <w:rsid w:val="3CF822BA"/>
    <w:rsid w:val="3CFEE693"/>
    <w:rsid w:val="3D018BFC"/>
    <w:rsid w:val="3D107C95"/>
    <w:rsid w:val="3D131A06"/>
    <w:rsid w:val="3D26321B"/>
    <w:rsid w:val="3D2C414F"/>
    <w:rsid w:val="3D33753B"/>
    <w:rsid w:val="3D338DF4"/>
    <w:rsid w:val="3D3856E1"/>
    <w:rsid w:val="3D3894D2"/>
    <w:rsid w:val="3D3F47C3"/>
    <w:rsid w:val="3D494D28"/>
    <w:rsid w:val="3D4E4BD6"/>
    <w:rsid w:val="3D602EBA"/>
    <w:rsid w:val="3D67F6B4"/>
    <w:rsid w:val="3D6CBD9C"/>
    <w:rsid w:val="3D8297C1"/>
    <w:rsid w:val="3D878D1E"/>
    <w:rsid w:val="3D894EB1"/>
    <w:rsid w:val="3DA14471"/>
    <w:rsid w:val="3DA71689"/>
    <w:rsid w:val="3DAED0B1"/>
    <w:rsid w:val="3DC46449"/>
    <w:rsid w:val="3DC57BFA"/>
    <w:rsid w:val="3DD3DEE2"/>
    <w:rsid w:val="3DE10D2E"/>
    <w:rsid w:val="3DE63557"/>
    <w:rsid w:val="3DE6A57D"/>
    <w:rsid w:val="3DF45255"/>
    <w:rsid w:val="3DFCD52A"/>
    <w:rsid w:val="3DFE76B2"/>
    <w:rsid w:val="3E0277E7"/>
    <w:rsid w:val="3E055F2A"/>
    <w:rsid w:val="3E1D0F91"/>
    <w:rsid w:val="3E29090D"/>
    <w:rsid w:val="3E29641E"/>
    <w:rsid w:val="3E2C60FF"/>
    <w:rsid w:val="3E2F8920"/>
    <w:rsid w:val="3E3067A6"/>
    <w:rsid w:val="3E392D88"/>
    <w:rsid w:val="3E3A5B88"/>
    <w:rsid w:val="3E3F1DBD"/>
    <w:rsid w:val="3E463604"/>
    <w:rsid w:val="3E49E529"/>
    <w:rsid w:val="3E4C2E4D"/>
    <w:rsid w:val="3E5C670F"/>
    <w:rsid w:val="3E6E4AAC"/>
    <w:rsid w:val="3E751787"/>
    <w:rsid w:val="3E903716"/>
    <w:rsid w:val="3E95E3E3"/>
    <w:rsid w:val="3E9A86EA"/>
    <w:rsid w:val="3EAE0410"/>
    <w:rsid w:val="3EB6CE7C"/>
    <w:rsid w:val="3EC7EE5B"/>
    <w:rsid w:val="3ED58DE9"/>
    <w:rsid w:val="3ED5D38C"/>
    <w:rsid w:val="3EEB0F79"/>
    <w:rsid w:val="3EF8E129"/>
    <w:rsid w:val="3EFBFD9A"/>
    <w:rsid w:val="3F1B92C3"/>
    <w:rsid w:val="3F1F3E28"/>
    <w:rsid w:val="3F247005"/>
    <w:rsid w:val="3F3DD002"/>
    <w:rsid w:val="3F4CEEA3"/>
    <w:rsid w:val="3F66618E"/>
    <w:rsid w:val="3F6D5429"/>
    <w:rsid w:val="3F7F54B7"/>
    <w:rsid w:val="3F83DC5A"/>
    <w:rsid w:val="3F850D76"/>
    <w:rsid w:val="3F8EB715"/>
    <w:rsid w:val="3F9777C5"/>
    <w:rsid w:val="3F97D231"/>
    <w:rsid w:val="3FA1377F"/>
    <w:rsid w:val="3FA52433"/>
    <w:rsid w:val="3FA6780A"/>
    <w:rsid w:val="3FB30CD9"/>
    <w:rsid w:val="3FB83F65"/>
    <w:rsid w:val="3FBBE132"/>
    <w:rsid w:val="3FC8B084"/>
    <w:rsid w:val="3FCC64EA"/>
    <w:rsid w:val="3FD2ABE2"/>
    <w:rsid w:val="3FDFF542"/>
    <w:rsid w:val="3FE31048"/>
    <w:rsid w:val="3FEE3BBC"/>
    <w:rsid w:val="40030529"/>
    <w:rsid w:val="400513B5"/>
    <w:rsid w:val="400D3311"/>
    <w:rsid w:val="401EA856"/>
    <w:rsid w:val="4031BFC3"/>
    <w:rsid w:val="4038055A"/>
    <w:rsid w:val="403FFAA7"/>
    <w:rsid w:val="405BD5E1"/>
    <w:rsid w:val="406DDAF6"/>
    <w:rsid w:val="4072E41E"/>
    <w:rsid w:val="408B3B1D"/>
    <w:rsid w:val="40A6F91D"/>
    <w:rsid w:val="40AD726F"/>
    <w:rsid w:val="40D3452E"/>
    <w:rsid w:val="40DDEC75"/>
    <w:rsid w:val="40E8B46C"/>
    <w:rsid w:val="40EA36F0"/>
    <w:rsid w:val="40F15DEE"/>
    <w:rsid w:val="40F503DB"/>
    <w:rsid w:val="40FE0A16"/>
    <w:rsid w:val="41033AD5"/>
    <w:rsid w:val="410424CF"/>
    <w:rsid w:val="410B480C"/>
    <w:rsid w:val="411D9692"/>
    <w:rsid w:val="412D7E89"/>
    <w:rsid w:val="41595B1D"/>
    <w:rsid w:val="415D9179"/>
    <w:rsid w:val="4170CE4A"/>
    <w:rsid w:val="417981CD"/>
    <w:rsid w:val="4191E332"/>
    <w:rsid w:val="41A0E46F"/>
    <w:rsid w:val="41A7CBE9"/>
    <w:rsid w:val="41ABB230"/>
    <w:rsid w:val="41AD8C1B"/>
    <w:rsid w:val="41B2C4A9"/>
    <w:rsid w:val="41B93434"/>
    <w:rsid w:val="41B9570C"/>
    <w:rsid w:val="41DA79D9"/>
    <w:rsid w:val="41EABC4F"/>
    <w:rsid w:val="41F7EA8A"/>
    <w:rsid w:val="41F9336F"/>
    <w:rsid w:val="420BC474"/>
    <w:rsid w:val="42107BA2"/>
    <w:rsid w:val="42123A3A"/>
    <w:rsid w:val="422811D0"/>
    <w:rsid w:val="422FDB56"/>
    <w:rsid w:val="422FF640"/>
    <w:rsid w:val="42324EF0"/>
    <w:rsid w:val="42376618"/>
    <w:rsid w:val="423CC998"/>
    <w:rsid w:val="4245BDCB"/>
    <w:rsid w:val="424BC0A5"/>
    <w:rsid w:val="424FB21C"/>
    <w:rsid w:val="42524C6A"/>
    <w:rsid w:val="4268489C"/>
    <w:rsid w:val="426F30E6"/>
    <w:rsid w:val="42753F20"/>
    <w:rsid w:val="427D9B0B"/>
    <w:rsid w:val="4283CFE0"/>
    <w:rsid w:val="4285FDEA"/>
    <w:rsid w:val="428F1D0B"/>
    <w:rsid w:val="429D9B46"/>
    <w:rsid w:val="42B92EB0"/>
    <w:rsid w:val="42C42AB2"/>
    <w:rsid w:val="42D34BA6"/>
    <w:rsid w:val="42DAF479"/>
    <w:rsid w:val="42F3B841"/>
    <w:rsid w:val="42F4A6D3"/>
    <w:rsid w:val="430B506B"/>
    <w:rsid w:val="43146E00"/>
    <w:rsid w:val="4319C3CD"/>
    <w:rsid w:val="43275358"/>
    <w:rsid w:val="432E68B7"/>
    <w:rsid w:val="433E46AB"/>
    <w:rsid w:val="434290B0"/>
    <w:rsid w:val="43618BC8"/>
    <w:rsid w:val="438DE02C"/>
    <w:rsid w:val="438E9729"/>
    <w:rsid w:val="4393101D"/>
    <w:rsid w:val="4396BC14"/>
    <w:rsid w:val="43A8050F"/>
    <w:rsid w:val="43AA4E2F"/>
    <w:rsid w:val="43C11A4C"/>
    <w:rsid w:val="43E497AC"/>
    <w:rsid w:val="43E7A9C1"/>
    <w:rsid w:val="43F0D2DA"/>
    <w:rsid w:val="43F94D48"/>
    <w:rsid w:val="43FB9964"/>
    <w:rsid w:val="440820A2"/>
    <w:rsid w:val="440A28D3"/>
    <w:rsid w:val="4411F9D5"/>
    <w:rsid w:val="441779E9"/>
    <w:rsid w:val="4423D3B1"/>
    <w:rsid w:val="442BD438"/>
    <w:rsid w:val="442FAF84"/>
    <w:rsid w:val="4449AF5E"/>
    <w:rsid w:val="444F0BC6"/>
    <w:rsid w:val="4451C08B"/>
    <w:rsid w:val="4471687B"/>
    <w:rsid w:val="44730202"/>
    <w:rsid w:val="447CE81B"/>
    <w:rsid w:val="447E46D1"/>
    <w:rsid w:val="448AE9BF"/>
    <w:rsid w:val="44924EAF"/>
    <w:rsid w:val="449EEE67"/>
    <w:rsid w:val="44A47E08"/>
    <w:rsid w:val="44A86F0C"/>
    <w:rsid w:val="44B04EB5"/>
    <w:rsid w:val="44B6B586"/>
    <w:rsid w:val="44BC0B7E"/>
    <w:rsid w:val="44C0A01C"/>
    <w:rsid w:val="44C3BE2C"/>
    <w:rsid w:val="44D0E2B1"/>
    <w:rsid w:val="44D616AE"/>
    <w:rsid w:val="44D86A0B"/>
    <w:rsid w:val="44E7505B"/>
    <w:rsid w:val="44EAE157"/>
    <w:rsid w:val="44F74749"/>
    <w:rsid w:val="44FD0059"/>
    <w:rsid w:val="45025FBE"/>
    <w:rsid w:val="451133A5"/>
    <w:rsid w:val="45121196"/>
    <w:rsid w:val="451709C4"/>
    <w:rsid w:val="45237BBC"/>
    <w:rsid w:val="4529E3C5"/>
    <w:rsid w:val="452D158B"/>
    <w:rsid w:val="45438ADF"/>
    <w:rsid w:val="45492B45"/>
    <w:rsid w:val="4561B3AB"/>
    <w:rsid w:val="4562FCB2"/>
    <w:rsid w:val="45685B46"/>
    <w:rsid w:val="459D6BCD"/>
    <w:rsid w:val="459F39FF"/>
    <w:rsid w:val="45A986DE"/>
    <w:rsid w:val="45B35624"/>
    <w:rsid w:val="45B87706"/>
    <w:rsid w:val="45C48AF0"/>
    <w:rsid w:val="45DA6A9E"/>
    <w:rsid w:val="45DCBE80"/>
    <w:rsid w:val="45E2E6ED"/>
    <w:rsid w:val="45E50832"/>
    <w:rsid w:val="45FC863D"/>
    <w:rsid w:val="46010264"/>
    <w:rsid w:val="4602A1F6"/>
    <w:rsid w:val="4606B949"/>
    <w:rsid w:val="461638EA"/>
    <w:rsid w:val="4618E104"/>
    <w:rsid w:val="462514FF"/>
    <w:rsid w:val="46350FB1"/>
    <w:rsid w:val="463E159C"/>
    <w:rsid w:val="46443F6D"/>
    <w:rsid w:val="464B6EE9"/>
    <w:rsid w:val="4650017F"/>
    <w:rsid w:val="4658DE1B"/>
    <w:rsid w:val="4665B942"/>
    <w:rsid w:val="46694382"/>
    <w:rsid w:val="466CB312"/>
    <w:rsid w:val="46800DFF"/>
    <w:rsid w:val="46804570"/>
    <w:rsid w:val="4682A813"/>
    <w:rsid w:val="469D9BB2"/>
    <w:rsid w:val="469F4EC0"/>
    <w:rsid w:val="46A674EB"/>
    <w:rsid w:val="46B182C3"/>
    <w:rsid w:val="46B510C7"/>
    <w:rsid w:val="46B72119"/>
    <w:rsid w:val="46BCADC4"/>
    <w:rsid w:val="46C43E1E"/>
    <w:rsid w:val="46D8C2DA"/>
    <w:rsid w:val="46E17A84"/>
    <w:rsid w:val="46E3BE86"/>
    <w:rsid w:val="46EA9044"/>
    <w:rsid w:val="46EF884B"/>
    <w:rsid w:val="46F75926"/>
    <w:rsid w:val="46F7857C"/>
    <w:rsid w:val="46F81687"/>
    <w:rsid w:val="470846D7"/>
    <w:rsid w:val="4710F971"/>
    <w:rsid w:val="472D7842"/>
    <w:rsid w:val="4733D136"/>
    <w:rsid w:val="475337FD"/>
    <w:rsid w:val="475448F3"/>
    <w:rsid w:val="47598673"/>
    <w:rsid w:val="4767D8FB"/>
    <w:rsid w:val="477D6B8E"/>
    <w:rsid w:val="4780D893"/>
    <w:rsid w:val="47861F4E"/>
    <w:rsid w:val="479FCEBB"/>
    <w:rsid w:val="47AFD49A"/>
    <w:rsid w:val="47B11277"/>
    <w:rsid w:val="47B4D468"/>
    <w:rsid w:val="47B8A387"/>
    <w:rsid w:val="47B9A18B"/>
    <w:rsid w:val="47BAF485"/>
    <w:rsid w:val="47C78B68"/>
    <w:rsid w:val="47C86F9B"/>
    <w:rsid w:val="47CCC4A5"/>
    <w:rsid w:val="47D0139D"/>
    <w:rsid w:val="47D8666A"/>
    <w:rsid w:val="47E51969"/>
    <w:rsid w:val="47EC71D6"/>
    <w:rsid w:val="47EE5648"/>
    <w:rsid w:val="47F2C5C9"/>
    <w:rsid w:val="47F9CFEB"/>
    <w:rsid w:val="47FD9549"/>
    <w:rsid w:val="48033752"/>
    <w:rsid w:val="4819E588"/>
    <w:rsid w:val="481A5BFA"/>
    <w:rsid w:val="482AF3E2"/>
    <w:rsid w:val="4839873D"/>
    <w:rsid w:val="483A093D"/>
    <w:rsid w:val="4857327A"/>
    <w:rsid w:val="48594AE1"/>
    <w:rsid w:val="4859E5FF"/>
    <w:rsid w:val="485CA76A"/>
    <w:rsid w:val="48736CEF"/>
    <w:rsid w:val="4878D335"/>
    <w:rsid w:val="4881C48E"/>
    <w:rsid w:val="48840CF1"/>
    <w:rsid w:val="4886C0E7"/>
    <w:rsid w:val="4886CAFE"/>
    <w:rsid w:val="488EDD67"/>
    <w:rsid w:val="4894585C"/>
    <w:rsid w:val="489B2959"/>
    <w:rsid w:val="489C8DB8"/>
    <w:rsid w:val="48B5433D"/>
    <w:rsid w:val="48C3B7F6"/>
    <w:rsid w:val="48C3FEB3"/>
    <w:rsid w:val="48C7B2E0"/>
    <w:rsid w:val="48C85C86"/>
    <w:rsid w:val="48DFFB8C"/>
    <w:rsid w:val="48E48B5D"/>
    <w:rsid w:val="48E91644"/>
    <w:rsid w:val="48F4E030"/>
    <w:rsid w:val="48F95FA0"/>
    <w:rsid w:val="49286DE9"/>
    <w:rsid w:val="49300CD2"/>
    <w:rsid w:val="4939F3C1"/>
    <w:rsid w:val="494C43D2"/>
    <w:rsid w:val="4957DBDF"/>
    <w:rsid w:val="4965574E"/>
    <w:rsid w:val="4978339A"/>
    <w:rsid w:val="4980D8A3"/>
    <w:rsid w:val="49822EA1"/>
    <w:rsid w:val="4988535F"/>
    <w:rsid w:val="498EA68F"/>
    <w:rsid w:val="49B1CB8C"/>
    <w:rsid w:val="49B5B5E9"/>
    <w:rsid w:val="49BACC25"/>
    <w:rsid w:val="49BC0BDD"/>
    <w:rsid w:val="49C10100"/>
    <w:rsid w:val="49C23F2B"/>
    <w:rsid w:val="49CDE35B"/>
    <w:rsid w:val="49D6C698"/>
    <w:rsid w:val="49D6C775"/>
    <w:rsid w:val="49E7F33B"/>
    <w:rsid w:val="4A12CC00"/>
    <w:rsid w:val="4A1312E9"/>
    <w:rsid w:val="4A23A9D2"/>
    <w:rsid w:val="4A3BA7B8"/>
    <w:rsid w:val="4A3D0918"/>
    <w:rsid w:val="4A40F31B"/>
    <w:rsid w:val="4A512F45"/>
    <w:rsid w:val="4A56519E"/>
    <w:rsid w:val="4A638341"/>
    <w:rsid w:val="4A6620DF"/>
    <w:rsid w:val="4A6E053F"/>
    <w:rsid w:val="4A74CA0C"/>
    <w:rsid w:val="4A7B1BC8"/>
    <w:rsid w:val="4A7CAB9E"/>
    <w:rsid w:val="4A7D46D7"/>
    <w:rsid w:val="4A869293"/>
    <w:rsid w:val="4A8DA63B"/>
    <w:rsid w:val="4A8E1A77"/>
    <w:rsid w:val="4A93A520"/>
    <w:rsid w:val="4A9CAB82"/>
    <w:rsid w:val="4ABACE4D"/>
    <w:rsid w:val="4ABEFDE8"/>
    <w:rsid w:val="4B0AEAFB"/>
    <w:rsid w:val="4B0E0DEC"/>
    <w:rsid w:val="4B17B090"/>
    <w:rsid w:val="4B1EE90A"/>
    <w:rsid w:val="4B25FE90"/>
    <w:rsid w:val="4B442D31"/>
    <w:rsid w:val="4B4CEE0C"/>
    <w:rsid w:val="4B53920F"/>
    <w:rsid w:val="4B564303"/>
    <w:rsid w:val="4B5A1D72"/>
    <w:rsid w:val="4B5A6A91"/>
    <w:rsid w:val="4B5FB40C"/>
    <w:rsid w:val="4B60B676"/>
    <w:rsid w:val="4B7AB801"/>
    <w:rsid w:val="4B7ABCBD"/>
    <w:rsid w:val="4B930585"/>
    <w:rsid w:val="4B98542C"/>
    <w:rsid w:val="4BA3EA4A"/>
    <w:rsid w:val="4BC2D743"/>
    <w:rsid w:val="4BC87FB0"/>
    <w:rsid w:val="4BCC49E9"/>
    <w:rsid w:val="4BD14492"/>
    <w:rsid w:val="4BD1DB3F"/>
    <w:rsid w:val="4BD6E08A"/>
    <w:rsid w:val="4BD8E3FB"/>
    <w:rsid w:val="4BDE1CA2"/>
    <w:rsid w:val="4BFE87CC"/>
    <w:rsid w:val="4C00A19F"/>
    <w:rsid w:val="4C02C445"/>
    <w:rsid w:val="4C08A17B"/>
    <w:rsid w:val="4C0F6445"/>
    <w:rsid w:val="4C107401"/>
    <w:rsid w:val="4C10F54C"/>
    <w:rsid w:val="4C1ABECB"/>
    <w:rsid w:val="4C2099A1"/>
    <w:rsid w:val="4C289CFF"/>
    <w:rsid w:val="4C388D22"/>
    <w:rsid w:val="4C3A2F09"/>
    <w:rsid w:val="4C46204D"/>
    <w:rsid w:val="4C4D37F7"/>
    <w:rsid w:val="4C4F471F"/>
    <w:rsid w:val="4C5AE58D"/>
    <w:rsid w:val="4C626750"/>
    <w:rsid w:val="4C64CCBD"/>
    <w:rsid w:val="4C734176"/>
    <w:rsid w:val="4C773450"/>
    <w:rsid w:val="4C8EC369"/>
    <w:rsid w:val="4C94648D"/>
    <w:rsid w:val="4CB29B59"/>
    <w:rsid w:val="4CB2FDBB"/>
    <w:rsid w:val="4CB369AC"/>
    <w:rsid w:val="4CE53794"/>
    <w:rsid w:val="4CF5DB48"/>
    <w:rsid w:val="4CFF3795"/>
    <w:rsid w:val="4D116DB2"/>
    <w:rsid w:val="4D1E75E8"/>
    <w:rsid w:val="4D1F7F2C"/>
    <w:rsid w:val="4D289461"/>
    <w:rsid w:val="4D42904D"/>
    <w:rsid w:val="4D49345E"/>
    <w:rsid w:val="4D4AEC95"/>
    <w:rsid w:val="4D5B0A77"/>
    <w:rsid w:val="4D5EC9CF"/>
    <w:rsid w:val="4D5EFECF"/>
    <w:rsid w:val="4D6D4B9E"/>
    <w:rsid w:val="4D84186A"/>
    <w:rsid w:val="4D8523F9"/>
    <w:rsid w:val="4D89E026"/>
    <w:rsid w:val="4DA03AD6"/>
    <w:rsid w:val="4DA71562"/>
    <w:rsid w:val="4DA870C1"/>
    <w:rsid w:val="4DB72CC0"/>
    <w:rsid w:val="4DC9038B"/>
    <w:rsid w:val="4DD11F37"/>
    <w:rsid w:val="4DDE6639"/>
    <w:rsid w:val="4DEBD3B6"/>
    <w:rsid w:val="4E0436AB"/>
    <w:rsid w:val="4E0C1B38"/>
    <w:rsid w:val="4E166AFE"/>
    <w:rsid w:val="4E1893FB"/>
    <w:rsid w:val="4E21B2E1"/>
    <w:rsid w:val="4E220E9D"/>
    <w:rsid w:val="4E2B77FA"/>
    <w:rsid w:val="4E31A147"/>
    <w:rsid w:val="4E42B903"/>
    <w:rsid w:val="4E4E1354"/>
    <w:rsid w:val="4E5D3FC6"/>
    <w:rsid w:val="4E752145"/>
    <w:rsid w:val="4E756DDE"/>
    <w:rsid w:val="4E7C478D"/>
    <w:rsid w:val="4E8CD96E"/>
    <w:rsid w:val="4E99C80A"/>
    <w:rsid w:val="4E9D6E9A"/>
    <w:rsid w:val="4EA60C05"/>
    <w:rsid w:val="4EA8E7F5"/>
    <w:rsid w:val="4EAD3686"/>
    <w:rsid w:val="4EBB8CF6"/>
    <w:rsid w:val="4EC65746"/>
    <w:rsid w:val="4EFD8BCC"/>
    <w:rsid w:val="4EFE0E48"/>
    <w:rsid w:val="4F03240F"/>
    <w:rsid w:val="4F15582E"/>
    <w:rsid w:val="4F36F464"/>
    <w:rsid w:val="4F376D63"/>
    <w:rsid w:val="4F56A8B0"/>
    <w:rsid w:val="4F57BE91"/>
    <w:rsid w:val="4F6AB58A"/>
    <w:rsid w:val="4F6BA7CC"/>
    <w:rsid w:val="4F9319A8"/>
    <w:rsid w:val="4F9D8588"/>
    <w:rsid w:val="4FA6A4A8"/>
    <w:rsid w:val="4FA6CE57"/>
    <w:rsid w:val="4FAC71F4"/>
    <w:rsid w:val="4FB0D20C"/>
    <w:rsid w:val="4FB3FEBA"/>
    <w:rsid w:val="4FC7B836"/>
    <w:rsid w:val="4FE2CFCC"/>
    <w:rsid w:val="4FFB5619"/>
    <w:rsid w:val="50101A4D"/>
    <w:rsid w:val="5015AEF3"/>
    <w:rsid w:val="501B79D1"/>
    <w:rsid w:val="503147D8"/>
    <w:rsid w:val="503583A2"/>
    <w:rsid w:val="50482476"/>
    <w:rsid w:val="5055BF88"/>
    <w:rsid w:val="5057B208"/>
    <w:rsid w:val="505A7BD6"/>
    <w:rsid w:val="5073F474"/>
    <w:rsid w:val="5075747E"/>
    <w:rsid w:val="50810309"/>
    <w:rsid w:val="508AC36D"/>
    <w:rsid w:val="50965695"/>
    <w:rsid w:val="50AFC6F3"/>
    <w:rsid w:val="50BA9533"/>
    <w:rsid w:val="50BB3FF4"/>
    <w:rsid w:val="50BF1793"/>
    <w:rsid w:val="50BFF681"/>
    <w:rsid w:val="50C6B004"/>
    <w:rsid w:val="50C8DC30"/>
    <w:rsid w:val="50CB419D"/>
    <w:rsid w:val="50CCA09B"/>
    <w:rsid w:val="50CE31A7"/>
    <w:rsid w:val="50D4487C"/>
    <w:rsid w:val="50E75BC7"/>
    <w:rsid w:val="50EEF0D3"/>
    <w:rsid w:val="50FA5D64"/>
    <w:rsid w:val="510F0A09"/>
    <w:rsid w:val="5112022E"/>
    <w:rsid w:val="511BE89D"/>
    <w:rsid w:val="51219149"/>
    <w:rsid w:val="512446AE"/>
    <w:rsid w:val="5134E0E5"/>
    <w:rsid w:val="5137D3AE"/>
    <w:rsid w:val="513E322D"/>
    <w:rsid w:val="5146F847"/>
    <w:rsid w:val="518F765D"/>
    <w:rsid w:val="51A1F80E"/>
    <w:rsid w:val="51A931A0"/>
    <w:rsid w:val="51B7DCC1"/>
    <w:rsid w:val="51C8B020"/>
    <w:rsid w:val="51C96335"/>
    <w:rsid w:val="51CACDE7"/>
    <w:rsid w:val="51CC5888"/>
    <w:rsid w:val="51E588A1"/>
    <w:rsid w:val="51E72E6D"/>
    <w:rsid w:val="51E83644"/>
    <w:rsid w:val="51FD56E6"/>
    <w:rsid w:val="520779C5"/>
    <w:rsid w:val="521DC14B"/>
    <w:rsid w:val="5227E38C"/>
    <w:rsid w:val="52324378"/>
    <w:rsid w:val="52444ED8"/>
    <w:rsid w:val="5246B99D"/>
    <w:rsid w:val="524BB063"/>
    <w:rsid w:val="524BD1B7"/>
    <w:rsid w:val="524DE663"/>
    <w:rsid w:val="52513479"/>
    <w:rsid w:val="5257662C"/>
    <w:rsid w:val="528C879C"/>
    <w:rsid w:val="52903FF6"/>
    <w:rsid w:val="52952243"/>
    <w:rsid w:val="5295570C"/>
    <w:rsid w:val="52A59512"/>
    <w:rsid w:val="52A67947"/>
    <w:rsid w:val="52AEF3B8"/>
    <w:rsid w:val="52CA742B"/>
    <w:rsid w:val="52CC13F4"/>
    <w:rsid w:val="52D9CD2D"/>
    <w:rsid w:val="52E13D4E"/>
    <w:rsid w:val="52E4B1A0"/>
    <w:rsid w:val="52E4DC90"/>
    <w:rsid w:val="52E5D270"/>
    <w:rsid w:val="52E95923"/>
    <w:rsid w:val="52EB7F6A"/>
    <w:rsid w:val="52ECC435"/>
    <w:rsid w:val="52F935B3"/>
    <w:rsid w:val="530D1804"/>
    <w:rsid w:val="531C4647"/>
    <w:rsid w:val="53219EA6"/>
    <w:rsid w:val="533201BD"/>
    <w:rsid w:val="5337A218"/>
    <w:rsid w:val="536EB709"/>
    <w:rsid w:val="538AE535"/>
    <w:rsid w:val="53A48415"/>
    <w:rsid w:val="53A76B5B"/>
    <w:rsid w:val="53A868C0"/>
    <w:rsid w:val="53B67D05"/>
    <w:rsid w:val="53B72013"/>
    <w:rsid w:val="53B927FC"/>
    <w:rsid w:val="53C2A919"/>
    <w:rsid w:val="53CDD574"/>
    <w:rsid w:val="53CEFF09"/>
    <w:rsid w:val="53DEB0E1"/>
    <w:rsid w:val="53EE4CA6"/>
    <w:rsid w:val="53F49729"/>
    <w:rsid w:val="5402B5AF"/>
    <w:rsid w:val="5421CC38"/>
    <w:rsid w:val="5436A90F"/>
    <w:rsid w:val="543935F7"/>
    <w:rsid w:val="54442D0A"/>
    <w:rsid w:val="5467560D"/>
    <w:rsid w:val="5469A929"/>
    <w:rsid w:val="546B1C50"/>
    <w:rsid w:val="546C5D65"/>
    <w:rsid w:val="54721EE1"/>
    <w:rsid w:val="548631FF"/>
    <w:rsid w:val="548FBCFE"/>
    <w:rsid w:val="54A833E9"/>
    <w:rsid w:val="54B0B149"/>
    <w:rsid w:val="54C0975E"/>
    <w:rsid w:val="54D7F7E7"/>
    <w:rsid w:val="54D991B0"/>
    <w:rsid w:val="54EC860F"/>
    <w:rsid w:val="54F74C1B"/>
    <w:rsid w:val="54FEF155"/>
    <w:rsid w:val="55073591"/>
    <w:rsid w:val="5520035C"/>
    <w:rsid w:val="55285B09"/>
    <w:rsid w:val="552CFBB8"/>
    <w:rsid w:val="5531E09F"/>
    <w:rsid w:val="5537D7EF"/>
    <w:rsid w:val="5545BE73"/>
    <w:rsid w:val="554BF3D6"/>
    <w:rsid w:val="555523E6"/>
    <w:rsid w:val="5560F12F"/>
    <w:rsid w:val="557AEEEE"/>
    <w:rsid w:val="557F7391"/>
    <w:rsid w:val="55808FA5"/>
    <w:rsid w:val="5584EAB1"/>
    <w:rsid w:val="5590678A"/>
    <w:rsid w:val="559AB31A"/>
    <w:rsid w:val="55A73CCE"/>
    <w:rsid w:val="55A76502"/>
    <w:rsid w:val="55CA05B1"/>
    <w:rsid w:val="55CFB148"/>
    <w:rsid w:val="55CFB5A0"/>
    <w:rsid w:val="55EE8700"/>
    <w:rsid w:val="55F17D5F"/>
    <w:rsid w:val="55FCE8FB"/>
    <w:rsid w:val="560EC43C"/>
    <w:rsid w:val="560FFAD5"/>
    <w:rsid w:val="561890F9"/>
    <w:rsid w:val="561D03BD"/>
    <w:rsid w:val="562B7855"/>
    <w:rsid w:val="5633A9BD"/>
    <w:rsid w:val="5638D703"/>
    <w:rsid w:val="563B5266"/>
    <w:rsid w:val="56405989"/>
    <w:rsid w:val="5646DEC8"/>
    <w:rsid w:val="5659A4C7"/>
    <w:rsid w:val="5668A148"/>
    <w:rsid w:val="5680D07E"/>
    <w:rsid w:val="568991B9"/>
    <w:rsid w:val="56C3D9B0"/>
    <w:rsid w:val="56E3CBD5"/>
    <w:rsid w:val="56F835C0"/>
    <w:rsid w:val="56F84971"/>
    <w:rsid w:val="56F907E8"/>
    <w:rsid w:val="57015484"/>
    <w:rsid w:val="5706E994"/>
    <w:rsid w:val="57085AA0"/>
    <w:rsid w:val="572F63D5"/>
    <w:rsid w:val="573A8F09"/>
    <w:rsid w:val="573B327E"/>
    <w:rsid w:val="573E198E"/>
    <w:rsid w:val="575979ED"/>
    <w:rsid w:val="575D7172"/>
    <w:rsid w:val="575FF690"/>
    <w:rsid w:val="576345C2"/>
    <w:rsid w:val="576589B4"/>
    <w:rsid w:val="576A391A"/>
    <w:rsid w:val="576FE8BE"/>
    <w:rsid w:val="57701D5B"/>
    <w:rsid w:val="57789892"/>
    <w:rsid w:val="5779AF89"/>
    <w:rsid w:val="578A8DC9"/>
    <w:rsid w:val="5796CAE6"/>
    <w:rsid w:val="57B3E48F"/>
    <w:rsid w:val="57B96D8A"/>
    <w:rsid w:val="57BA2694"/>
    <w:rsid w:val="57E865A8"/>
    <w:rsid w:val="57F63398"/>
    <w:rsid w:val="58084C50"/>
    <w:rsid w:val="58157AD1"/>
    <w:rsid w:val="5835EABD"/>
    <w:rsid w:val="583B7787"/>
    <w:rsid w:val="58400C01"/>
    <w:rsid w:val="584C4528"/>
    <w:rsid w:val="585B4396"/>
    <w:rsid w:val="5873230F"/>
    <w:rsid w:val="58A350E1"/>
    <w:rsid w:val="58AAF57E"/>
    <w:rsid w:val="58B41D1E"/>
    <w:rsid w:val="58B62B8F"/>
    <w:rsid w:val="58B677C8"/>
    <w:rsid w:val="58C651D9"/>
    <w:rsid w:val="58C8084C"/>
    <w:rsid w:val="58DC8A9D"/>
    <w:rsid w:val="58DF14A8"/>
    <w:rsid w:val="58FBC6F1"/>
    <w:rsid w:val="59074D13"/>
    <w:rsid w:val="590FDB54"/>
    <w:rsid w:val="5914F082"/>
    <w:rsid w:val="591FA66B"/>
    <w:rsid w:val="59227AE4"/>
    <w:rsid w:val="592357DE"/>
    <w:rsid w:val="592F2F16"/>
    <w:rsid w:val="59366A3D"/>
    <w:rsid w:val="593AF2E1"/>
    <w:rsid w:val="593FC756"/>
    <w:rsid w:val="59430C64"/>
    <w:rsid w:val="595129CC"/>
    <w:rsid w:val="595605F5"/>
    <w:rsid w:val="59576CB2"/>
    <w:rsid w:val="5961D3FC"/>
    <w:rsid w:val="5969A4DC"/>
    <w:rsid w:val="598534B6"/>
    <w:rsid w:val="59998C23"/>
    <w:rsid w:val="59A54D95"/>
    <w:rsid w:val="59B87140"/>
    <w:rsid w:val="59C20F03"/>
    <w:rsid w:val="59DD89D3"/>
    <w:rsid w:val="59E7774F"/>
    <w:rsid w:val="59F3DF07"/>
    <w:rsid w:val="59F448C1"/>
    <w:rsid w:val="5A07F71A"/>
    <w:rsid w:val="5A178A04"/>
    <w:rsid w:val="5A1F0ACD"/>
    <w:rsid w:val="5A24FE59"/>
    <w:rsid w:val="5A28D690"/>
    <w:rsid w:val="5A3E18B0"/>
    <w:rsid w:val="5A43C26E"/>
    <w:rsid w:val="5A4702BA"/>
    <w:rsid w:val="5A614626"/>
    <w:rsid w:val="5A6706F5"/>
    <w:rsid w:val="5A672F58"/>
    <w:rsid w:val="5A7B6F9F"/>
    <w:rsid w:val="5A7D261E"/>
    <w:rsid w:val="5A84859A"/>
    <w:rsid w:val="5A951234"/>
    <w:rsid w:val="5A9ADEE4"/>
    <w:rsid w:val="5A9F365C"/>
    <w:rsid w:val="5AA075FE"/>
    <w:rsid w:val="5AAE2F6D"/>
    <w:rsid w:val="5AB0D833"/>
    <w:rsid w:val="5ABB7EAE"/>
    <w:rsid w:val="5ABDD86D"/>
    <w:rsid w:val="5ABF9DD3"/>
    <w:rsid w:val="5AC0037C"/>
    <w:rsid w:val="5AD82242"/>
    <w:rsid w:val="5ADE0761"/>
    <w:rsid w:val="5AEAFA9F"/>
    <w:rsid w:val="5AEF40AB"/>
    <w:rsid w:val="5AF38536"/>
    <w:rsid w:val="5AF3A6DB"/>
    <w:rsid w:val="5AF5122B"/>
    <w:rsid w:val="5B021F2B"/>
    <w:rsid w:val="5B095ADB"/>
    <w:rsid w:val="5B18BE12"/>
    <w:rsid w:val="5B32B5D4"/>
    <w:rsid w:val="5B3C8A42"/>
    <w:rsid w:val="5B424CD0"/>
    <w:rsid w:val="5B5B1D1D"/>
    <w:rsid w:val="5B5FEC13"/>
    <w:rsid w:val="5B620476"/>
    <w:rsid w:val="5B6E3578"/>
    <w:rsid w:val="5B71E628"/>
    <w:rsid w:val="5B7AA1AC"/>
    <w:rsid w:val="5B875855"/>
    <w:rsid w:val="5B8FAF68"/>
    <w:rsid w:val="5B985254"/>
    <w:rsid w:val="5BA3E7A2"/>
    <w:rsid w:val="5BA60073"/>
    <w:rsid w:val="5BA9D7C1"/>
    <w:rsid w:val="5BB09F41"/>
    <w:rsid w:val="5BB50E7C"/>
    <w:rsid w:val="5BCC892A"/>
    <w:rsid w:val="5BD78942"/>
    <w:rsid w:val="5BF29060"/>
    <w:rsid w:val="5C04B0F0"/>
    <w:rsid w:val="5C17D778"/>
    <w:rsid w:val="5C3367B3"/>
    <w:rsid w:val="5C3DBEE5"/>
    <w:rsid w:val="5C486DF7"/>
    <w:rsid w:val="5C4BF2E6"/>
    <w:rsid w:val="5C5203E8"/>
    <w:rsid w:val="5C57472D"/>
    <w:rsid w:val="5C580D53"/>
    <w:rsid w:val="5C5CF740"/>
    <w:rsid w:val="5C657322"/>
    <w:rsid w:val="5C65F70A"/>
    <w:rsid w:val="5C76660D"/>
    <w:rsid w:val="5C781B87"/>
    <w:rsid w:val="5C7A7E1E"/>
    <w:rsid w:val="5C7E9525"/>
    <w:rsid w:val="5C7FFB57"/>
    <w:rsid w:val="5C851819"/>
    <w:rsid w:val="5C908404"/>
    <w:rsid w:val="5CB1EBB7"/>
    <w:rsid w:val="5CCC605D"/>
    <w:rsid w:val="5CD60182"/>
    <w:rsid w:val="5CDE2455"/>
    <w:rsid w:val="5CEB1C00"/>
    <w:rsid w:val="5D0BDD28"/>
    <w:rsid w:val="5D0D81F7"/>
    <w:rsid w:val="5D0F87FD"/>
    <w:rsid w:val="5D172B2C"/>
    <w:rsid w:val="5D1A7E5B"/>
    <w:rsid w:val="5D247165"/>
    <w:rsid w:val="5D2C4C41"/>
    <w:rsid w:val="5D54BD3D"/>
    <w:rsid w:val="5D6376D9"/>
    <w:rsid w:val="5D65629E"/>
    <w:rsid w:val="5D6CB2B4"/>
    <w:rsid w:val="5D78CE1F"/>
    <w:rsid w:val="5DDB7FF7"/>
    <w:rsid w:val="5DFB136D"/>
    <w:rsid w:val="5E177ECF"/>
    <w:rsid w:val="5E278F37"/>
    <w:rsid w:val="5E2E1BE6"/>
    <w:rsid w:val="5E3F8036"/>
    <w:rsid w:val="5E3F93B2"/>
    <w:rsid w:val="5E5B5519"/>
    <w:rsid w:val="5E5EA0A8"/>
    <w:rsid w:val="5E65AEF0"/>
    <w:rsid w:val="5E697C65"/>
    <w:rsid w:val="5E7D2F37"/>
    <w:rsid w:val="5E7E9CC4"/>
    <w:rsid w:val="5E816C49"/>
    <w:rsid w:val="5E84715C"/>
    <w:rsid w:val="5E8482E2"/>
    <w:rsid w:val="5ECF1A75"/>
    <w:rsid w:val="5ECFC708"/>
    <w:rsid w:val="5ED54AEC"/>
    <w:rsid w:val="5EFC0A90"/>
    <w:rsid w:val="5F01E96C"/>
    <w:rsid w:val="5F0BA88C"/>
    <w:rsid w:val="5F15D166"/>
    <w:rsid w:val="5F19F03A"/>
    <w:rsid w:val="5F1CB841"/>
    <w:rsid w:val="5F31A6F9"/>
    <w:rsid w:val="5F4E562C"/>
    <w:rsid w:val="5F5075BE"/>
    <w:rsid w:val="5F5C2783"/>
    <w:rsid w:val="5F677EB6"/>
    <w:rsid w:val="5F8393A8"/>
    <w:rsid w:val="5F8580B8"/>
    <w:rsid w:val="5F85B689"/>
    <w:rsid w:val="5F86DFB1"/>
    <w:rsid w:val="5F87E158"/>
    <w:rsid w:val="5F8FB5F9"/>
    <w:rsid w:val="5F9D1275"/>
    <w:rsid w:val="5FA860DB"/>
    <w:rsid w:val="5FAFE4ED"/>
    <w:rsid w:val="5FB68918"/>
    <w:rsid w:val="5FB6A807"/>
    <w:rsid w:val="5FBF2208"/>
    <w:rsid w:val="5FC2D2E5"/>
    <w:rsid w:val="5FC35F98"/>
    <w:rsid w:val="5FD3ADE0"/>
    <w:rsid w:val="5FDFFD54"/>
    <w:rsid w:val="5FF00AA6"/>
    <w:rsid w:val="600C27CB"/>
    <w:rsid w:val="601B20F7"/>
    <w:rsid w:val="602041BD"/>
    <w:rsid w:val="60234451"/>
    <w:rsid w:val="60234F3D"/>
    <w:rsid w:val="60378469"/>
    <w:rsid w:val="60408787"/>
    <w:rsid w:val="604C2972"/>
    <w:rsid w:val="6068EFC9"/>
    <w:rsid w:val="606BE426"/>
    <w:rsid w:val="606F3698"/>
    <w:rsid w:val="6072D1BB"/>
    <w:rsid w:val="60765BBF"/>
    <w:rsid w:val="607AB846"/>
    <w:rsid w:val="609D205B"/>
    <w:rsid w:val="60C65CB6"/>
    <w:rsid w:val="60E8B7EA"/>
    <w:rsid w:val="60FC909A"/>
    <w:rsid w:val="61051F35"/>
    <w:rsid w:val="610628A6"/>
    <w:rsid w:val="610A3072"/>
    <w:rsid w:val="61134596"/>
    <w:rsid w:val="61294287"/>
    <w:rsid w:val="6138E2D6"/>
    <w:rsid w:val="61497AF4"/>
    <w:rsid w:val="614B7C9E"/>
    <w:rsid w:val="61579FA7"/>
    <w:rsid w:val="61717671"/>
    <w:rsid w:val="6182B2AA"/>
    <w:rsid w:val="618BA4EE"/>
    <w:rsid w:val="619AA2F5"/>
    <w:rsid w:val="619D7F48"/>
    <w:rsid w:val="61AF9B3A"/>
    <w:rsid w:val="61B7DCB0"/>
    <w:rsid w:val="61B7EE44"/>
    <w:rsid w:val="61CF3816"/>
    <w:rsid w:val="61CFB90C"/>
    <w:rsid w:val="61DC7ADD"/>
    <w:rsid w:val="61EB73B5"/>
    <w:rsid w:val="61FB30DE"/>
    <w:rsid w:val="620FB34C"/>
    <w:rsid w:val="62155661"/>
    <w:rsid w:val="622101F3"/>
    <w:rsid w:val="623497F5"/>
    <w:rsid w:val="623D2BA3"/>
    <w:rsid w:val="624714EA"/>
    <w:rsid w:val="624E1DAF"/>
    <w:rsid w:val="625ED344"/>
    <w:rsid w:val="6260E78C"/>
    <w:rsid w:val="62653C5B"/>
    <w:rsid w:val="627E78D6"/>
    <w:rsid w:val="6281E4C8"/>
    <w:rsid w:val="6283E831"/>
    <w:rsid w:val="62A1E526"/>
    <w:rsid w:val="62AB6423"/>
    <w:rsid w:val="62BA94B0"/>
    <w:rsid w:val="62BDB8BF"/>
    <w:rsid w:val="62BEA3B7"/>
    <w:rsid w:val="62DD83A7"/>
    <w:rsid w:val="62DF4A2C"/>
    <w:rsid w:val="62E2A56B"/>
    <w:rsid w:val="62E80171"/>
    <w:rsid w:val="62F67A1D"/>
    <w:rsid w:val="62FC6562"/>
    <w:rsid w:val="62FD89D0"/>
    <w:rsid w:val="630FDC63"/>
    <w:rsid w:val="6310E3CE"/>
    <w:rsid w:val="631EC209"/>
    <w:rsid w:val="6321B761"/>
    <w:rsid w:val="632B8714"/>
    <w:rsid w:val="6348AC14"/>
    <w:rsid w:val="634CB0F9"/>
    <w:rsid w:val="635F8B6D"/>
    <w:rsid w:val="637C4B2C"/>
    <w:rsid w:val="638A8A99"/>
    <w:rsid w:val="638AB3FE"/>
    <w:rsid w:val="638DD938"/>
    <w:rsid w:val="63A4B148"/>
    <w:rsid w:val="63B6BDB8"/>
    <w:rsid w:val="63BEFEC3"/>
    <w:rsid w:val="63D10ABA"/>
    <w:rsid w:val="63E3E047"/>
    <w:rsid w:val="63E9F2C8"/>
    <w:rsid w:val="63F3B539"/>
    <w:rsid w:val="63F5D384"/>
    <w:rsid w:val="63FB15DF"/>
    <w:rsid w:val="640B519C"/>
    <w:rsid w:val="640B6850"/>
    <w:rsid w:val="64142A55"/>
    <w:rsid w:val="642AB9A3"/>
    <w:rsid w:val="64382809"/>
    <w:rsid w:val="643DB587"/>
    <w:rsid w:val="644DCD01"/>
    <w:rsid w:val="64564578"/>
    <w:rsid w:val="64A060B2"/>
    <w:rsid w:val="64AE4529"/>
    <w:rsid w:val="64DB42AB"/>
    <w:rsid w:val="64FA1E17"/>
    <w:rsid w:val="64FB23E7"/>
    <w:rsid w:val="6503C043"/>
    <w:rsid w:val="6504441E"/>
    <w:rsid w:val="650C80E1"/>
    <w:rsid w:val="65198FFB"/>
    <w:rsid w:val="651C858C"/>
    <w:rsid w:val="6529CE2C"/>
    <w:rsid w:val="65469198"/>
    <w:rsid w:val="65494044"/>
    <w:rsid w:val="655B85D4"/>
    <w:rsid w:val="6565C535"/>
    <w:rsid w:val="656CF593"/>
    <w:rsid w:val="6575B097"/>
    <w:rsid w:val="65777217"/>
    <w:rsid w:val="6578209C"/>
    <w:rsid w:val="65935D3A"/>
    <w:rsid w:val="65BE996A"/>
    <w:rsid w:val="65BFA52B"/>
    <w:rsid w:val="65DE6F75"/>
    <w:rsid w:val="65E67B10"/>
    <w:rsid w:val="65E911BD"/>
    <w:rsid w:val="65F97B74"/>
    <w:rsid w:val="65FBC75A"/>
    <w:rsid w:val="65FC79B9"/>
    <w:rsid w:val="6608D65B"/>
    <w:rsid w:val="661A128D"/>
    <w:rsid w:val="66413D24"/>
    <w:rsid w:val="6645ECAB"/>
    <w:rsid w:val="664FE458"/>
    <w:rsid w:val="6656D1F3"/>
    <w:rsid w:val="6658CD9C"/>
    <w:rsid w:val="66663DC5"/>
    <w:rsid w:val="667003CB"/>
    <w:rsid w:val="6671743C"/>
    <w:rsid w:val="667E7104"/>
    <w:rsid w:val="6683ED2D"/>
    <w:rsid w:val="6683FBD6"/>
    <w:rsid w:val="66905099"/>
    <w:rsid w:val="6694A6B7"/>
    <w:rsid w:val="66961F93"/>
    <w:rsid w:val="669AF513"/>
    <w:rsid w:val="66A24D06"/>
    <w:rsid w:val="66A80C9D"/>
    <w:rsid w:val="66AAD32D"/>
    <w:rsid w:val="66BC9B65"/>
    <w:rsid w:val="66D72309"/>
    <w:rsid w:val="66E23307"/>
    <w:rsid w:val="66E6DC6E"/>
    <w:rsid w:val="66F47316"/>
    <w:rsid w:val="66F7E6BE"/>
    <w:rsid w:val="67076991"/>
    <w:rsid w:val="670F793A"/>
    <w:rsid w:val="6716F2EF"/>
    <w:rsid w:val="671C8CCB"/>
    <w:rsid w:val="6726640F"/>
    <w:rsid w:val="672CF22A"/>
    <w:rsid w:val="6735E42E"/>
    <w:rsid w:val="673F23BE"/>
    <w:rsid w:val="67485EF1"/>
    <w:rsid w:val="674A9E61"/>
    <w:rsid w:val="675F5DF3"/>
    <w:rsid w:val="67625A65"/>
    <w:rsid w:val="6762C945"/>
    <w:rsid w:val="67713B1F"/>
    <w:rsid w:val="677E6461"/>
    <w:rsid w:val="677F4230"/>
    <w:rsid w:val="67878C1A"/>
    <w:rsid w:val="6787F643"/>
    <w:rsid w:val="6798CFA0"/>
    <w:rsid w:val="67A121CD"/>
    <w:rsid w:val="67B48321"/>
    <w:rsid w:val="67D470B6"/>
    <w:rsid w:val="67D63A19"/>
    <w:rsid w:val="67D6E0BB"/>
    <w:rsid w:val="67E2E7E9"/>
    <w:rsid w:val="67F7411A"/>
    <w:rsid w:val="67FAA130"/>
    <w:rsid w:val="680069DF"/>
    <w:rsid w:val="68305A07"/>
    <w:rsid w:val="68404DB9"/>
    <w:rsid w:val="6848A902"/>
    <w:rsid w:val="68524DE7"/>
    <w:rsid w:val="685FBC7C"/>
    <w:rsid w:val="6868567D"/>
    <w:rsid w:val="68A66569"/>
    <w:rsid w:val="68B06570"/>
    <w:rsid w:val="68B2907F"/>
    <w:rsid w:val="68C17FB5"/>
    <w:rsid w:val="68C40446"/>
    <w:rsid w:val="68C8DFBF"/>
    <w:rsid w:val="68CA42C5"/>
    <w:rsid w:val="68E40C26"/>
    <w:rsid w:val="68E7777B"/>
    <w:rsid w:val="68EAC80F"/>
    <w:rsid w:val="68EDDCE2"/>
    <w:rsid w:val="68EEDF7E"/>
    <w:rsid w:val="69032D2D"/>
    <w:rsid w:val="691C5DC4"/>
    <w:rsid w:val="69273321"/>
    <w:rsid w:val="69323CAF"/>
    <w:rsid w:val="6945FE7F"/>
    <w:rsid w:val="694723C4"/>
    <w:rsid w:val="694F8DCB"/>
    <w:rsid w:val="6958E73C"/>
    <w:rsid w:val="696B414C"/>
    <w:rsid w:val="697B4F96"/>
    <w:rsid w:val="697E25E5"/>
    <w:rsid w:val="6988A6B8"/>
    <w:rsid w:val="698C90A2"/>
    <w:rsid w:val="698FF35D"/>
    <w:rsid w:val="69923AD6"/>
    <w:rsid w:val="69A6C892"/>
    <w:rsid w:val="69AE0CA6"/>
    <w:rsid w:val="69C74EF4"/>
    <w:rsid w:val="69CC2A68"/>
    <w:rsid w:val="69D03BC5"/>
    <w:rsid w:val="69D65F13"/>
    <w:rsid w:val="69E56443"/>
    <w:rsid w:val="69EA0033"/>
    <w:rsid w:val="69EC6DD8"/>
    <w:rsid w:val="69ED070B"/>
    <w:rsid w:val="69F3AEC6"/>
    <w:rsid w:val="69F9B734"/>
    <w:rsid w:val="6A1B5CE4"/>
    <w:rsid w:val="6A1E11FA"/>
    <w:rsid w:val="6A2136ED"/>
    <w:rsid w:val="6A495907"/>
    <w:rsid w:val="6A6E1699"/>
    <w:rsid w:val="6A75EB55"/>
    <w:rsid w:val="6A7DEE18"/>
    <w:rsid w:val="6A839B89"/>
    <w:rsid w:val="6A8B84AF"/>
    <w:rsid w:val="6A8FB05D"/>
    <w:rsid w:val="6A932581"/>
    <w:rsid w:val="6A93F5C2"/>
    <w:rsid w:val="6A9A7C13"/>
    <w:rsid w:val="6A9D2568"/>
    <w:rsid w:val="6AA35BD5"/>
    <w:rsid w:val="6AA3B7A3"/>
    <w:rsid w:val="6AC3B5F2"/>
    <w:rsid w:val="6AC49CF8"/>
    <w:rsid w:val="6AC6BD15"/>
    <w:rsid w:val="6ACCFC5B"/>
    <w:rsid w:val="6AD631DE"/>
    <w:rsid w:val="6ADA2355"/>
    <w:rsid w:val="6ADF61DA"/>
    <w:rsid w:val="6AEBAA8F"/>
    <w:rsid w:val="6AEDB750"/>
    <w:rsid w:val="6B0AEB64"/>
    <w:rsid w:val="6B171FF7"/>
    <w:rsid w:val="6B1A88AB"/>
    <w:rsid w:val="6B1FEC2B"/>
    <w:rsid w:val="6B2EE1DC"/>
    <w:rsid w:val="6B30E395"/>
    <w:rsid w:val="6B3EA62D"/>
    <w:rsid w:val="6B44D204"/>
    <w:rsid w:val="6B4C95A0"/>
    <w:rsid w:val="6B5E084A"/>
    <w:rsid w:val="6B5F3AC6"/>
    <w:rsid w:val="6B6D0570"/>
    <w:rsid w:val="6B6EF9E0"/>
    <w:rsid w:val="6B75C17C"/>
    <w:rsid w:val="6B771A78"/>
    <w:rsid w:val="6B7979EF"/>
    <w:rsid w:val="6B82C0AE"/>
    <w:rsid w:val="6B959312"/>
    <w:rsid w:val="6BADC0B8"/>
    <w:rsid w:val="6BAE5D6A"/>
    <w:rsid w:val="6BBA0942"/>
    <w:rsid w:val="6BCA3627"/>
    <w:rsid w:val="6BD41925"/>
    <w:rsid w:val="6BD70C5B"/>
    <w:rsid w:val="6BE0095F"/>
    <w:rsid w:val="6BE479E5"/>
    <w:rsid w:val="6BF198FE"/>
    <w:rsid w:val="6BFFA19A"/>
    <w:rsid w:val="6C014C0F"/>
    <w:rsid w:val="6C0227F2"/>
    <w:rsid w:val="6C0D2EBC"/>
    <w:rsid w:val="6C0E4B9E"/>
    <w:rsid w:val="6C0EC253"/>
    <w:rsid w:val="6C3EABC9"/>
    <w:rsid w:val="6C446591"/>
    <w:rsid w:val="6C44A9AD"/>
    <w:rsid w:val="6C4A6004"/>
    <w:rsid w:val="6C587925"/>
    <w:rsid w:val="6C77352B"/>
    <w:rsid w:val="6C7B600B"/>
    <w:rsid w:val="6C7B9583"/>
    <w:rsid w:val="6C7C256C"/>
    <w:rsid w:val="6C9BF8BC"/>
    <w:rsid w:val="6CC1F008"/>
    <w:rsid w:val="6CC9DB98"/>
    <w:rsid w:val="6CCCDBFB"/>
    <w:rsid w:val="6CCE8DAE"/>
    <w:rsid w:val="6CD8B754"/>
    <w:rsid w:val="6CF64FCB"/>
    <w:rsid w:val="6CF75B1A"/>
    <w:rsid w:val="6D0AAB15"/>
    <w:rsid w:val="6D173EF7"/>
    <w:rsid w:val="6D265113"/>
    <w:rsid w:val="6D267E41"/>
    <w:rsid w:val="6D2B4B7F"/>
    <w:rsid w:val="6D2DBE8F"/>
    <w:rsid w:val="6D363D0A"/>
    <w:rsid w:val="6D420383"/>
    <w:rsid w:val="6D4EA493"/>
    <w:rsid w:val="6D54A36A"/>
    <w:rsid w:val="6D78ECAD"/>
    <w:rsid w:val="6D9B851B"/>
    <w:rsid w:val="6DB2069C"/>
    <w:rsid w:val="6DB2B9EB"/>
    <w:rsid w:val="6DB9FEBA"/>
    <w:rsid w:val="6DBAAE5C"/>
    <w:rsid w:val="6DBC4E86"/>
    <w:rsid w:val="6DC240C4"/>
    <w:rsid w:val="6DCE47C6"/>
    <w:rsid w:val="6DEA9B6E"/>
    <w:rsid w:val="6DF87BD6"/>
    <w:rsid w:val="6DFA7C10"/>
    <w:rsid w:val="6E0A0720"/>
    <w:rsid w:val="6E0ACF19"/>
    <w:rsid w:val="6E0B0BF3"/>
    <w:rsid w:val="6E119D7D"/>
    <w:rsid w:val="6E2FFDBF"/>
    <w:rsid w:val="6E331668"/>
    <w:rsid w:val="6E3F5911"/>
    <w:rsid w:val="6E437D24"/>
    <w:rsid w:val="6E5CB9EB"/>
    <w:rsid w:val="6E6476C0"/>
    <w:rsid w:val="6E7C637F"/>
    <w:rsid w:val="6E8FF6AC"/>
    <w:rsid w:val="6EB2BF06"/>
    <w:rsid w:val="6EBD7156"/>
    <w:rsid w:val="6ED0375B"/>
    <w:rsid w:val="6ED8C1A3"/>
    <w:rsid w:val="6EDAE3DD"/>
    <w:rsid w:val="6F08E2F2"/>
    <w:rsid w:val="6F1954A2"/>
    <w:rsid w:val="6F1CB4A5"/>
    <w:rsid w:val="6F1D6590"/>
    <w:rsid w:val="6F2300F3"/>
    <w:rsid w:val="6F2C5ADE"/>
    <w:rsid w:val="6F2E05AD"/>
    <w:rsid w:val="6F39A03C"/>
    <w:rsid w:val="6F53E522"/>
    <w:rsid w:val="6F548E7C"/>
    <w:rsid w:val="6F6F294E"/>
    <w:rsid w:val="6F7C9AE7"/>
    <w:rsid w:val="6F9FC29E"/>
    <w:rsid w:val="6FA54747"/>
    <w:rsid w:val="6FC8AC83"/>
    <w:rsid w:val="6FD0248C"/>
    <w:rsid w:val="6FDC1E04"/>
    <w:rsid w:val="6FE1055D"/>
    <w:rsid w:val="6FE2ADBF"/>
    <w:rsid w:val="6FEA911A"/>
    <w:rsid w:val="6FFADB2B"/>
    <w:rsid w:val="700059F8"/>
    <w:rsid w:val="70024833"/>
    <w:rsid w:val="700707A0"/>
    <w:rsid w:val="7009066D"/>
    <w:rsid w:val="700CF7E4"/>
    <w:rsid w:val="7025B007"/>
    <w:rsid w:val="702BF653"/>
    <w:rsid w:val="7035C1E4"/>
    <w:rsid w:val="703C4593"/>
    <w:rsid w:val="70423EE2"/>
    <w:rsid w:val="7045C414"/>
    <w:rsid w:val="7046ACBF"/>
    <w:rsid w:val="705CAC6A"/>
    <w:rsid w:val="7066F2E8"/>
    <w:rsid w:val="7069E85A"/>
    <w:rsid w:val="70782EB7"/>
    <w:rsid w:val="707FA64F"/>
    <w:rsid w:val="70A44738"/>
    <w:rsid w:val="70AB36B9"/>
    <w:rsid w:val="70AE4F2D"/>
    <w:rsid w:val="70C4A603"/>
    <w:rsid w:val="70D99DAE"/>
    <w:rsid w:val="70DFF791"/>
    <w:rsid w:val="70ECE17C"/>
    <w:rsid w:val="70F9F163"/>
    <w:rsid w:val="70FD79E7"/>
    <w:rsid w:val="71092B0D"/>
    <w:rsid w:val="710AC6DE"/>
    <w:rsid w:val="7116EA9C"/>
    <w:rsid w:val="711AD37A"/>
    <w:rsid w:val="711B064B"/>
    <w:rsid w:val="712D018D"/>
    <w:rsid w:val="712DF334"/>
    <w:rsid w:val="7130D3F4"/>
    <w:rsid w:val="713776B2"/>
    <w:rsid w:val="713850D4"/>
    <w:rsid w:val="7138EE75"/>
    <w:rsid w:val="713A2CD8"/>
    <w:rsid w:val="714D06D9"/>
    <w:rsid w:val="714E3291"/>
    <w:rsid w:val="7158636E"/>
    <w:rsid w:val="7162BB75"/>
    <w:rsid w:val="71633E9D"/>
    <w:rsid w:val="716E6E43"/>
    <w:rsid w:val="7176084C"/>
    <w:rsid w:val="7182E26D"/>
    <w:rsid w:val="7183B74E"/>
    <w:rsid w:val="7188A4E4"/>
    <w:rsid w:val="7189AF84"/>
    <w:rsid w:val="71A63365"/>
    <w:rsid w:val="71B4CD85"/>
    <w:rsid w:val="71D82850"/>
    <w:rsid w:val="71D9B643"/>
    <w:rsid w:val="71E19475"/>
    <w:rsid w:val="71E7EA98"/>
    <w:rsid w:val="71EA16BE"/>
    <w:rsid w:val="71F4E955"/>
    <w:rsid w:val="72135483"/>
    <w:rsid w:val="722991DD"/>
    <w:rsid w:val="723EADA1"/>
    <w:rsid w:val="723F4B4E"/>
    <w:rsid w:val="72472913"/>
    <w:rsid w:val="726561DA"/>
    <w:rsid w:val="726C48D0"/>
    <w:rsid w:val="726FAD67"/>
    <w:rsid w:val="7276C1BB"/>
    <w:rsid w:val="72910FAE"/>
    <w:rsid w:val="72A16E72"/>
    <w:rsid w:val="72A67965"/>
    <w:rsid w:val="72BF32BC"/>
    <w:rsid w:val="72CBF648"/>
    <w:rsid w:val="72F8BDA2"/>
    <w:rsid w:val="73099432"/>
    <w:rsid w:val="7329F6C8"/>
    <w:rsid w:val="73418E1E"/>
    <w:rsid w:val="734C535B"/>
    <w:rsid w:val="7358112E"/>
    <w:rsid w:val="736E6462"/>
    <w:rsid w:val="737348C3"/>
    <w:rsid w:val="7374B2BE"/>
    <w:rsid w:val="737610F4"/>
    <w:rsid w:val="737EE083"/>
    <w:rsid w:val="738489A2"/>
    <w:rsid w:val="73865CD4"/>
    <w:rsid w:val="738BA11D"/>
    <w:rsid w:val="7397D208"/>
    <w:rsid w:val="73A9E786"/>
    <w:rsid w:val="73C3273F"/>
    <w:rsid w:val="73DA7E02"/>
    <w:rsid w:val="73DAE3A4"/>
    <w:rsid w:val="73EB5C69"/>
    <w:rsid w:val="73EC69BF"/>
    <w:rsid w:val="73F38339"/>
    <w:rsid w:val="73FFD21D"/>
    <w:rsid w:val="7404C3BD"/>
    <w:rsid w:val="74170C53"/>
    <w:rsid w:val="7442C5B5"/>
    <w:rsid w:val="744A8BAF"/>
    <w:rsid w:val="7453D951"/>
    <w:rsid w:val="747B7139"/>
    <w:rsid w:val="748BC5E1"/>
    <w:rsid w:val="74A61692"/>
    <w:rsid w:val="74B1CBD5"/>
    <w:rsid w:val="74B35C5B"/>
    <w:rsid w:val="74D5B956"/>
    <w:rsid w:val="74D6D02A"/>
    <w:rsid w:val="74D912E2"/>
    <w:rsid w:val="74E16CC8"/>
    <w:rsid w:val="74F4A3CE"/>
    <w:rsid w:val="75020220"/>
    <w:rsid w:val="7502E153"/>
    <w:rsid w:val="750545CC"/>
    <w:rsid w:val="751285AF"/>
    <w:rsid w:val="75193537"/>
    <w:rsid w:val="751A4305"/>
    <w:rsid w:val="751DDDBE"/>
    <w:rsid w:val="75202805"/>
    <w:rsid w:val="75274B25"/>
    <w:rsid w:val="75297419"/>
    <w:rsid w:val="7536F04A"/>
    <w:rsid w:val="753AB4E5"/>
    <w:rsid w:val="754545EE"/>
    <w:rsid w:val="75459DCE"/>
    <w:rsid w:val="754B3C0A"/>
    <w:rsid w:val="756B96CB"/>
    <w:rsid w:val="75945477"/>
    <w:rsid w:val="759C34A7"/>
    <w:rsid w:val="75AD6EB1"/>
    <w:rsid w:val="75C12ED8"/>
    <w:rsid w:val="75CD1DAD"/>
    <w:rsid w:val="75CE7C1A"/>
    <w:rsid w:val="75E708ED"/>
    <w:rsid w:val="75EEE94E"/>
    <w:rsid w:val="75F65DC9"/>
    <w:rsid w:val="7600DEEB"/>
    <w:rsid w:val="7604E00E"/>
    <w:rsid w:val="760584A9"/>
    <w:rsid w:val="76099E55"/>
    <w:rsid w:val="760F2436"/>
    <w:rsid w:val="76143285"/>
    <w:rsid w:val="76242D70"/>
    <w:rsid w:val="76259D35"/>
    <w:rsid w:val="7626DBF0"/>
    <w:rsid w:val="7628E23D"/>
    <w:rsid w:val="762D209B"/>
    <w:rsid w:val="7630ED72"/>
    <w:rsid w:val="76516EFA"/>
    <w:rsid w:val="76594FE9"/>
    <w:rsid w:val="7661F03E"/>
    <w:rsid w:val="7664283B"/>
    <w:rsid w:val="766B1E42"/>
    <w:rsid w:val="7673097A"/>
    <w:rsid w:val="76736C69"/>
    <w:rsid w:val="767F232D"/>
    <w:rsid w:val="76822DB5"/>
    <w:rsid w:val="76B81485"/>
    <w:rsid w:val="76BA0187"/>
    <w:rsid w:val="76C53561"/>
    <w:rsid w:val="76C8EA11"/>
    <w:rsid w:val="76D19F1B"/>
    <w:rsid w:val="76D764B7"/>
    <w:rsid w:val="76E215D1"/>
    <w:rsid w:val="76E2DD0B"/>
    <w:rsid w:val="76E6993C"/>
    <w:rsid w:val="76EC0677"/>
    <w:rsid w:val="76F2EDC9"/>
    <w:rsid w:val="76F71683"/>
    <w:rsid w:val="76FA04B4"/>
    <w:rsid w:val="76FFCF8E"/>
    <w:rsid w:val="7709D899"/>
    <w:rsid w:val="771AAFA8"/>
    <w:rsid w:val="771B15FE"/>
    <w:rsid w:val="772275D6"/>
    <w:rsid w:val="7724F864"/>
    <w:rsid w:val="775139C0"/>
    <w:rsid w:val="77659935"/>
    <w:rsid w:val="776932E7"/>
    <w:rsid w:val="7787213D"/>
    <w:rsid w:val="77881BE3"/>
    <w:rsid w:val="77AC7239"/>
    <w:rsid w:val="77B005B4"/>
    <w:rsid w:val="77B623DA"/>
    <w:rsid w:val="77BD3257"/>
    <w:rsid w:val="77BF92A4"/>
    <w:rsid w:val="77C67C51"/>
    <w:rsid w:val="77D26A87"/>
    <w:rsid w:val="77E61EB1"/>
    <w:rsid w:val="77EE981C"/>
    <w:rsid w:val="77F67A0F"/>
    <w:rsid w:val="77F691F9"/>
    <w:rsid w:val="7800CF12"/>
    <w:rsid w:val="7808BD13"/>
    <w:rsid w:val="780D5A18"/>
    <w:rsid w:val="781B1292"/>
    <w:rsid w:val="782A029D"/>
    <w:rsid w:val="7835284F"/>
    <w:rsid w:val="7835949B"/>
    <w:rsid w:val="784D2A94"/>
    <w:rsid w:val="78561CA3"/>
    <w:rsid w:val="7863C073"/>
    <w:rsid w:val="78664EAD"/>
    <w:rsid w:val="786925A9"/>
    <w:rsid w:val="787A7110"/>
    <w:rsid w:val="78B0FBDC"/>
    <w:rsid w:val="78B7CF69"/>
    <w:rsid w:val="78CE1EC7"/>
    <w:rsid w:val="78E467BF"/>
    <w:rsid w:val="78EBB5B2"/>
    <w:rsid w:val="78F1F13D"/>
    <w:rsid w:val="78F8ADC5"/>
    <w:rsid w:val="79018A5B"/>
    <w:rsid w:val="79068F98"/>
    <w:rsid w:val="7912542F"/>
    <w:rsid w:val="7917CB82"/>
    <w:rsid w:val="792EE827"/>
    <w:rsid w:val="794D344D"/>
    <w:rsid w:val="794D8652"/>
    <w:rsid w:val="794F02B4"/>
    <w:rsid w:val="795B7263"/>
    <w:rsid w:val="795E62E1"/>
    <w:rsid w:val="795EECF3"/>
    <w:rsid w:val="796225C0"/>
    <w:rsid w:val="79687700"/>
    <w:rsid w:val="796D5825"/>
    <w:rsid w:val="7977C6C3"/>
    <w:rsid w:val="798313BE"/>
    <w:rsid w:val="798921CD"/>
    <w:rsid w:val="79974104"/>
    <w:rsid w:val="799F0E82"/>
    <w:rsid w:val="79A31E71"/>
    <w:rsid w:val="79ACEDAB"/>
    <w:rsid w:val="79AD10B6"/>
    <w:rsid w:val="79BC24CF"/>
    <w:rsid w:val="79C08B05"/>
    <w:rsid w:val="79C4CAD1"/>
    <w:rsid w:val="79C668A1"/>
    <w:rsid w:val="79C79A1F"/>
    <w:rsid w:val="79CE7A68"/>
    <w:rsid w:val="79D96C15"/>
    <w:rsid w:val="79F49511"/>
    <w:rsid w:val="79F7105D"/>
    <w:rsid w:val="79FA6913"/>
    <w:rsid w:val="79FD017F"/>
    <w:rsid w:val="7A037205"/>
    <w:rsid w:val="7A0D7A7F"/>
    <w:rsid w:val="7A17E716"/>
    <w:rsid w:val="7A2128EF"/>
    <w:rsid w:val="7A28B814"/>
    <w:rsid w:val="7A2E761B"/>
    <w:rsid w:val="7A382542"/>
    <w:rsid w:val="7A39E887"/>
    <w:rsid w:val="7A406256"/>
    <w:rsid w:val="7A4277D3"/>
    <w:rsid w:val="7A5F9916"/>
    <w:rsid w:val="7A622B5C"/>
    <w:rsid w:val="7A63FC5C"/>
    <w:rsid w:val="7A690EF6"/>
    <w:rsid w:val="7A7F0051"/>
    <w:rsid w:val="7A8CABC8"/>
    <w:rsid w:val="7AB5E556"/>
    <w:rsid w:val="7ABC969A"/>
    <w:rsid w:val="7AC0EA9D"/>
    <w:rsid w:val="7ACBB37E"/>
    <w:rsid w:val="7AD8C814"/>
    <w:rsid w:val="7AF93B5C"/>
    <w:rsid w:val="7AFE2165"/>
    <w:rsid w:val="7B05C606"/>
    <w:rsid w:val="7B089FE1"/>
    <w:rsid w:val="7B209185"/>
    <w:rsid w:val="7B2BCC01"/>
    <w:rsid w:val="7B53B090"/>
    <w:rsid w:val="7B56F616"/>
    <w:rsid w:val="7B639178"/>
    <w:rsid w:val="7B6A585C"/>
    <w:rsid w:val="7B6B2CE6"/>
    <w:rsid w:val="7B7F6E81"/>
    <w:rsid w:val="7B8F33CB"/>
    <w:rsid w:val="7B93F527"/>
    <w:rsid w:val="7B9C4604"/>
    <w:rsid w:val="7B9FC84F"/>
    <w:rsid w:val="7BA2507C"/>
    <w:rsid w:val="7BB704AF"/>
    <w:rsid w:val="7BB9D2F9"/>
    <w:rsid w:val="7BCA467C"/>
    <w:rsid w:val="7BCE20CD"/>
    <w:rsid w:val="7BD7245E"/>
    <w:rsid w:val="7BDB03C7"/>
    <w:rsid w:val="7BE5158F"/>
    <w:rsid w:val="7BF29026"/>
    <w:rsid w:val="7BF4CDC9"/>
    <w:rsid w:val="7BF9A59F"/>
    <w:rsid w:val="7BFCCF65"/>
    <w:rsid w:val="7C0C0880"/>
    <w:rsid w:val="7C1B0176"/>
    <w:rsid w:val="7C20D35C"/>
    <w:rsid w:val="7C3F8411"/>
    <w:rsid w:val="7C5D19B0"/>
    <w:rsid w:val="7C5D5167"/>
    <w:rsid w:val="7C644402"/>
    <w:rsid w:val="7C68D789"/>
    <w:rsid w:val="7C6F02B0"/>
    <w:rsid w:val="7C7013F1"/>
    <w:rsid w:val="7C75FAA6"/>
    <w:rsid w:val="7C76C0A2"/>
    <w:rsid w:val="7C7CB5B3"/>
    <w:rsid w:val="7C867593"/>
    <w:rsid w:val="7C8A5DD0"/>
    <w:rsid w:val="7C8C65C3"/>
    <w:rsid w:val="7C92529A"/>
    <w:rsid w:val="7CB027C6"/>
    <w:rsid w:val="7CBBBAE3"/>
    <w:rsid w:val="7CBE05A3"/>
    <w:rsid w:val="7CBE71D7"/>
    <w:rsid w:val="7CC4DDC5"/>
    <w:rsid w:val="7CCEBBF6"/>
    <w:rsid w:val="7CCF1E7A"/>
    <w:rsid w:val="7CD5133F"/>
    <w:rsid w:val="7CDF40B9"/>
    <w:rsid w:val="7CE29BF4"/>
    <w:rsid w:val="7CE7A284"/>
    <w:rsid w:val="7CE7E384"/>
    <w:rsid w:val="7CE9C365"/>
    <w:rsid w:val="7CF6C77F"/>
    <w:rsid w:val="7CFC6B93"/>
    <w:rsid w:val="7D04330F"/>
    <w:rsid w:val="7D073204"/>
    <w:rsid w:val="7D0ECDE4"/>
    <w:rsid w:val="7D32BB82"/>
    <w:rsid w:val="7D349D91"/>
    <w:rsid w:val="7D365359"/>
    <w:rsid w:val="7D399032"/>
    <w:rsid w:val="7D48EFA0"/>
    <w:rsid w:val="7D5324C6"/>
    <w:rsid w:val="7D55C23A"/>
    <w:rsid w:val="7D5DDB99"/>
    <w:rsid w:val="7D6014D3"/>
    <w:rsid w:val="7D722CBD"/>
    <w:rsid w:val="7D853A24"/>
    <w:rsid w:val="7D897070"/>
    <w:rsid w:val="7D8DB8BB"/>
    <w:rsid w:val="7D94F4B3"/>
    <w:rsid w:val="7D97F60E"/>
    <w:rsid w:val="7DAEE74E"/>
    <w:rsid w:val="7DB8EECE"/>
    <w:rsid w:val="7DC76819"/>
    <w:rsid w:val="7DC86480"/>
    <w:rsid w:val="7DCB8B66"/>
    <w:rsid w:val="7DD7F135"/>
    <w:rsid w:val="7DE36BC4"/>
    <w:rsid w:val="7DE66D73"/>
    <w:rsid w:val="7DE71845"/>
    <w:rsid w:val="7DEA5C30"/>
    <w:rsid w:val="7E01117D"/>
    <w:rsid w:val="7E0DA292"/>
    <w:rsid w:val="7E23F66A"/>
    <w:rsid w:val="7E314F4A"/>
    <w:rsid w:val="7E33CCE4"/>
    <w:rsid w:val="7E4472A6"/>
    <w:rsid w:val="7E47048B"/>
    <w:rsid w:val="7E4FA078"/>
    <w:rsid w:val="7E700ABA"/>
    <w:rsid w:val="7E95DCAC"/>
    <w:rsid w:val="7EC25A49"/>
    <w:rsid w:val="7EC25E8E"/>
    <w:rsid w:val="7EC9CA9A"/>
    <w:rsid w:val="7ECB4F4F"/>
    <w:rsid w:val="7EDB476C"/>
    <w:rsid w:val="7EE6D68E"/>
    <w:rsid w:val="7EF845C6"/>
    <w:rsid w:val="7EFF397C"/>
    <w:rsid w:val="7F08243E"/>
    <w:rsid w:val="7F0CFA28"/>
    <w:rsid w:val="7F1F7D4E"/>
    <w:rsid w:val="7F37CA99"/>
    <w:rsid w:val="7F3A4592"/>
    <w:rsid w:val="7F40B739"/>
    <w:rsid w:val="7F46C98E"/>
    <w:rsid w:val="7F47D146"/>
    <w:rsid w:val="7F487C8D"/>
    <w:rsid w:val="7F4999F7"/>
    <w:rsid w:val="7F782A5F"/>
    <w:rsid w:val="7F834D4D"/>
    <w:rsid w:val="7F882DD4"/>
    <w:rsid w:val="7F9132AF"/>
    <w:rsid w:val="7F94F229"/>
    <w:rsid w:val="7F96D8F5"/>
    <w:rsid w:val="7F9A83FE"/>
    <w:rsid w:val="7FA435CD"/>
    <w:rsid w:val="7FAE972F"/>
    <w:rsid w:val="7FB3D6A4"/>
    <w:rsid w:val="7FC4B0CA"/>
    <w:rsid w:val="7FD00583"/>
    <w:rsid w:val="7FD3ADD5"/>
    <w:rsid w:val="7FDF39E0"/>
    <w:rsid w:val="7FEEBD86"/>
    <w:rsid w:val="7FF4FDB9"/>
    <w:rsid w:val="7FFD525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9C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E4"/>
    <w:pPr>
      <w:jc w:val="both"/>
    </w:pPr>
    <w:rPr>
      <w:rFonts w:ascii="Times New Roman" w:hAnsi="Times New Roman" w:cs="Times New Roman"/>
      <w:sz w:val="24"/>
      <w:szCs w:val="24"/>
    </w:rPr>
  </w:style>
  <w:style w:type="paragraph" w:styleId="Heading1">
    <w:name w:val="heading 1"/>
    <w:basedOn w:val="ListParagraph"/>
    <w:next w:val="Normal"/>
    <w:link w:val="Heading1Char"/>
    <w:uiPriority w:val="9"/>
    <w:qFormat/>
    <w:rsid w:val="00002B1E"/>
    <w:pPr>
      <w:numPr>
        <w:numId w:val="76"/>
      </w:numPr>
      <w:spacing w:before="240" w:after="120"/>
      <w:outlineLvl w:val="0"/>
    </w:pPr>
    <w:rPr>
      <w:b/>
      <w:bCs/>
    </w:rPr>
  </w:style>
  <w:style w:type="paragraph" w:styleId="Heading2">
    <w:name w:val="heading 2"/>
    <w:basedOn w:val="Heading1"/>
    <w:next w:val="Normal"/>
    <w:link w:val="Heading2Char"/>
    <w:uiPriority w:val="9"/>
    <w:unhideWhenUsed/>
    <w:qFormat/>
    <w:rsid w:val="00002B1E"/>
    <w:pPr>
      <w:numPr>
        <w:ilvl w:val="1"/>
      </w:numPr>
      <w:tabs>
        <w:tab w:val="num" w:pos="360"/>
      </w:tabs>
      <w:outlineLvl w:val="1"/>
    </w:pPr>
  </w:style>
  <w:style w:type="paragraph" w:styleId="Heading3">
    <w:name w:val="heading 3"/>
    <w:basedOn w:val="Normal"/>
    <w:next w:val="Normal"/>
    <w:link w:val="Heading3Char"/>
    <w:uiPriority w:val="9"/>
    <w:unhideWhenUsed/>
    <w:qFormat/>
    <w:rsid w:val="001C05EF"/>
    <w:pPr>
      <w:keepNext/>
      <w:keepLines/>
      <w:numPr>
        <w:ilvl w:val="2"/>
        <w:numId w:val="76"/>
      </w:numPr>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C05EF"/>
    <w:pPr>
      <w:keepNext/>
      <w:keepLines/>
      <w:numPr>
        <w:ilvl w:val="3"/>
        <w:numId w:val="7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05EF"/>
    <w:pPr>
      <w:keepNext/>
      <w:keepLines/>
      <w:numPr>
        <w:ilvl w:val="4"/>
        <w:numId w:val="7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C05EF"/>
    <w:pPr>
      <w:keepNext/>
      <w:keepLines/>
      <w:numPr>
        <w:ilvl w:val="5"/>
        <w:numId w:val="7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C05EF"/>
    <w:pPr>
      <w:keepNext/>
      <w:keepLines/>
      <w:numPr>
        <w:ilvl w:val="6"/>
        <w:numId w:val="7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C05EF"/>
    <w:pPr>
      <w:keepNext/>
      <w:keepLines/>
      <w:numPr>
        <w:ilvl w:val="7"/>
        <w:numId w:val="7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05EF"/>
    <w:pPr>
      <w:keepNext/>
      <w:keepLines/>
      <w:numPr>
        <w:ilvl w:val="8"/>
        <w:numId w:val="7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310702"/>
    <w:pPr>
      <w:numPr>
        <w:numId w:val="5"/>
      </w:numPr>
      <w:contextualSpacing/>
    </w:pPr>
  </w:style>
  <w:style w:type="character" w:customStyle="1" w:styleId="Heading1Char">
    <w:name w:val="Heading 1 Char"/>
    <w:basedOn w:val="DefaultParagraphFont"/>
    <w:link w:val="Heading1"/>
    <w:uiPriority w:val="9"/>
    <w:rsid w:val="00E35FB1"/>
    <w:rPr>
      <w:rFonts w:ascii="Times New Roman" w:hAnsi="Times New Roman" w:cs="Times New Roman"/>
      <w:b/>
      <w:bCs/>
      <w:sz w:val="24"/>
      <w:szCs w:val="24"/>
      <w:lang w:val="fr-FR"/>
    </w:rPr>
  </w:style>
  <w:style w:type="character" w:customStyle="1" w:styleId="Heading2Char">
    <w:name w:val="Heading 2 Char"/>
    <w:basedOn w:val="DefaultParagraphFont"/>
    <w:link w:val="Heading2"/>
    <w:uiPriority w:val="9"/>
    <w:rsid w:val="001C05EF"/>
    <w:rPr>
      <w:rFonts w:ascii="Times New Roman" w:hAnsi="Times New Roman" w:cs="Times New Roman"/>
      <w:b/>
      <w:bCs/>
      <w:sz w:val="24"/>
      <w:szCs w:val="24"/>
      <w:lang w:val="fr-FR"/>
    </w:rPr>
  </w:style>
  <w:style w:type="character" w:customStyle="1" w:styleId="Heading3Char">
    <w:name w:val="Heading 3 Char"/>
    <w:basedOn w:val="DefaultParagraphFont"/>
    <w:link w:val="Heading3"/>
    <w:uiPriority w:val="9"/>
    <w:rsid w:val="001C05EF"/>
    <w:rPr>
      <w:rFonts w:asciiTheme="majorHAnsi" w:eastAsiaTheme="majorEastAsia" w:hAnsiTheme="majorHAnsi" w:cstheme="majorBidi"/>
      <w:color w:val="1F3763" w:themeColor="accent1" w:themeShade="7F"/>
      <w:sz w:val="24"/>
      <w:szCs w:val="24"/>
      <w:lang w:val="fr-FR"/>
    </w:rPr>
  </w:style>
  <w:style w:type="character" w:customStyle="1" w:styleId="Heading4Char">
    <w:name w:val="Heading 4 Char"/>
    <w:basedOn w:val="DefaultParagraphFont"/>
    <w:link w:val="Heading4"/>
    <w:uiPriority w:val="9"/>
    <w:rsid w:val="001C05EF"/>
    <w:rPr>
      <w:rFonts w:asciiTheme="majorHAnsi" w:eastAsiaTheme="majorEastAsia" w:hAnsiTheme="majorHAnsi" w:cstheme="majorBidi"/>
      <w:i/>
      <w:iCs/>
      <w:color w:val="2F5496" w:themeColor="accent1" w:themeShade="BF"/>
      <w:sz w:val="24"/>
      <w:szCs w:val="24"/>
      <w:lang w:val="fr-FR"/>
    </w:rPr>
  </w:style>
  <w:style w:type="character" w:customStyle="1" w:styleId="Heading5Char">
    <w:name w:val="Heading 5 Char"/>
    <w:basedOn w:val="DefaultParagraphFont"/>
    <w:link w:val="Heading5"/>
    <w:uiPriority w:val="9"/>
    <w:rsid w:val="001C05EF"/>
    <w:rPr>
      <w:rFonts w:asciiTheme="majorHAnsi" w:eastAsiaTheme="majorEastAsia" w:hAnsiTheme="majorHAnsi" w:cstheme="majorBidi"/>
      <w:color w:val="2F5496" w:themeColor="accent1" w:themeShade="BF"/>
      <w:sz w:val="24"/>
      <w:szCs w:val="24"/>
      <w:lang w:val="fr-FR"/>
    </w:rPr>
  </w:style>
  <w:style w:type="character" w:customStyle="1" w:styleId="Heading6Char">
    <w:name w:val="Heading 6 Char"/>
    <w:basedOn w:val="DefaultParagraphFont"/>
    <w:link w:val="Heading6"/>
    <w:uiPriority w:val="9"/>
    <w:rsid w:val="001C05EF"/>
    <w:rPr>
      <w:rFonts w:asciiTheme="majorHAnsi" w:eastAsiaTheme="majorEastAsia" w:hAnsiTheme="majorHAnsi" w:cstheme="majorBidi"/>
      <w:color w:val="1F3763" w:themeColor="accent1" w:themeShade="7F"/>
      <w:sz w:val="24"/>
      <w:szCs w:val="24"/>
      <w:lang w:val="fr-FR"/>
    </w:rPr>
  </w:style>
  <w:style w:type="character" w:customStyle="1" w:styleId="Heading7Char">
    <w:name w:val="Heading 7 Char"/>
    <w:basedOn w:val="DefaultParagraphFont"/>
    <w:link w:val="Heading7"/>
    <w:uiPriority w:val="9"/>
    <w:semiHidden/>
    <w:rsid w:val="001C05EF"/>
    <w:rPr>
      <w:rFonts w:asciiTheme="majorHAnsi" w:eastAsiaTheme="majorEastAsia" w:hAnsiTheme="majorHAnsi" w:cstheme="majorBidi"/>
      <w:i/>
      <w:iCs/>
      <w:color w:val="1F3763" w:themeColor="accent1" w:themeShade="7F"/>
      <w:sz w:val="24"/>
      <w:szCs w:val="24"/>
      <w:lang w:val="fr-FR"/>
    </w:rPr>
  </w:style>
  <w:style w:type="character" w:customStyle="1" w:styleId="Heading8Char">
    <w:name w:val="Heading 8 Char"/>
    <w:basedOn w:val="DefaultParagraphFont"/>
    <w:link w:val="Heading8"/>
    <w:uiPriority w:val="9"/>
    <w:semiHidden/>
    <w:rsid w:val="001C05EF"/>
    <w:rPr>
      <w:rFonts w:asciiTheme="majorHAnsi" w:eastAsiaTheme="majorEastAsia" w:hAnsiTheme="majorHAnsi" w:cstheme="majorBidi"/>
      <w:color w:val="272727" w:themeColor="text1" w:themeTint="D8"/>
      <w:sz w:val="21"/>
      <w:szCs w:val="21"/>
      <w:lang w:val="fr-FR"/>
    </w:rPr>
  </w:style>
  <w:style w:type="character" w:customStyle="1" w:styleId="Heading9Char">
    <w:name w:val="Heading 9 Char"/>
    <w:basedOn w:val="DefaultParagraphFont"/>
    <w:link w:val="Heading9"/>
    <w:uiPriority w:val="9"/>
    <w:semiHidden/>
    <w:rsid w:val="001C05EF"/>
    <w:rPr>
      <w:rFonts w:asciiTheme="majorHAnsi" w:eastAsiaTheme="majorEastAsia" w:hAnsiTheme="majorHAnsi" w:cstheme="majorBidi"/>
      <w:i/>
      <w:iCs/>
      <w:color w:val="272727" w:themeColor="text1" w:themeTint="D8"/>
      <w:sz w:val="21"/>
      <w:szCs w:val="21"/>
      <w:lang w:val="fr-FR"/>
    </w:rPr>
  </w:style>
  <w:style w:type="paragraph" w:customStyle="1" w:styleId="LegalNumPar">
    <w:name w:val="LegalNumPar"/>
    <w:basedOn w:val="Normal"/>
    <w:rsid w:val="001501D3"/>
    <w:pPr>
      <w:numPr>
        <w:numId w:val="10"/>
      </w:numPr>
      <w:spacing w:line="360" w:lineRule="auto"/>
    </w:pPr>
  </w:style>
  <w:style w:type="paragraph" w:customStyle="1" w:styleId="LegalNumPar2">
    <w:name w:val="LegalNumPar2"/>
    <w:basedOn w:val="Normal"/>
    <w:rsid w:val="001501D3"/>
    <w:pPr>
      <w:numPr>
        <w:ilvl w:val="1"/>
        <w:numId w:val="11"/>
      </w:numPr>
      <w:spacing w:line="360" w:lineRule="auto"/>
    </w:pPr>
  </w:style>
  <w:style w:type="paragraph" w:customStyle="1" w:styleId="LegalNumPar3">
    <w:name w:val="LegalNumPar3"/>
    <w:basedOn w:val="Normal"/>
    <w:rsid w:val="001501D3"/>
    <w:pPr>
      <w:numPr>
        <w:ilvl w:val="2"/>
        <w:numId w:val="11"/>
      </w:numPr>
      <w:spacing w:line="360" w:lineRule="auto"/>
    </w:pPr>
  </w:style>
  <w:style w:type="paragraph" w:styleId="Revision">
    <w:name w:val="Revision"/>
    <w:hidden/>
    <w:uiPriority w:val="99"/>
    <w:semiHidden/>
    <w:rsid w:val="00793846"/>
    <w:pPr>
      <w:spacing w:after="0" w:line="240" w:lineRule="auto"/>
    </w:pPr>
  </w:style>
  <w:style w:type="character" w:styleId="CommentReference">
    <w:name w:val="annotation reference"/>
    <w:basedOn w:val="DefaultParagraphFont"/>
    <w:uiPriority w:val="99"/>
    <w:semiHidden/>
    <w:unhideWhenUsed/>
    <w:rsid w:val="00793846"/>
    <w:rPr>
      <w:sz w:val="16"/>
      <w:szCs w:val="16"/>
    </w:rPr>
  </w:style>
  <w:style w:type="paragraph" w:styleId="CommentText">
    <w:name w:val="annotation text"/>
    <w:basedOn w:val="Normal"/>
    <w:link w:val="CommentTextChar"/>
    <w:uiPriority w:val="99"/>
    <w:unhideWhenUsed/>
    <w:rsid w:val="00793846"/>
    <w:pPr>
      <w:spacing w:line="240" w:lineRule="auto"/>
    </w:pPr>
    <w:rPr>
      <w:sz w:val="20"/>
      <w:szCs w:val="20"/>
    </w:rPr>
  </w:style>
  <w:style w:type="character" w:customStyle="1" w:styleId="CommentTextChar">
    <w:name w:val="Comment Text Char"/>
    <w:basedOn w:val="DefaultParagraphFont"/>
    <w:link w:val="CommentText"/>
    <w:uiPriority w:val="99"/>
    <w:rsid w:val="00793846"/>
    <w:rPr>
      <w:sz w:val="20"/>
      <w:szCs w:val="20"/>
    </w:rPr>
  </w:style>
  <w:style w:type="paragraph" w:styleId="CommentSubject">
    <w:name w:val="annotation subject"/>
    <w:basedOn w:val="CommentText"/>
    <w:next w:val="CommentText"/>
    <w:link w:val="CommentSubjectChar"/>
    <w:uiPriority w:val="99"/>
    <w:semiHidden/>
    <w:unhideWhenUsed/>
    <w:rsid w:val="00793846"/>
    <w:rPr>
      <w:b/>
      <w:bCs/>
    </w:rPr>
  </w:style>
  <w:style w:type="character" w:customStyle="1" w:styleId="CommentSubjectChar">
    <w:name w:val="Comment Subject Char"/>
    <w:basedOn w:val="CommentTextChar"/>
    <w:link w:val="CommentSubject"/>
    <w:uiPriority w:val="99"/>
    <w:semiHidden/>
    <w:rsid w:val="00793846"/>
    <w:rPr>
      <w:b/>
      <w:bCs/>
      <w:sz w:val="20"/>
      <w:szCs w:val="20"/>
    </w:rPr>
  </w:style>
  <w:style w:type="paragraph" w:styleId="Header">
    <w:name w:val="header"/>
    <w:basedOn w:val="Normal"/>
    <w:link w:val="HeaderChar"/>
    <w:uiPriority w:val="99"/>
    <w:unhideWhenUsed/>
    <w:rsid w:val="001D479F"/>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1D479F"/>
  </w:style>
  <w:style w:type="paragraph" w:styleId="Footer">
    <w:name w:val="footer"/>
    <w:basedOn w:val="Normal"/>
    <w:link w:val="FooterChar"/>
    <w:uiPriority w:val="99"/>
    <w:unhideWhenUsed/>
    <w:rsid w:val="001D4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79F"/>
  </w:style>
  <w:style w:type="character" w:customStyle="1" w:styleId="normaltextrun">
    <w:name w:val="normaltextrun"/>
    <w:basedOn w:val="DefaultParagraphFont"/>
    <w:rsid w:val="00D3476C"/>
  </w:style>
  <w:style w:type="character" w:customStyle="1" w:styleId="cf01">
    <w:name w:val="cf01"/>
    <w:basedOn w:val="DefaultParagraphFont"/>
    <w:rsid w:val="00701724"/>
    <w:rPr>
      <w:rFonts w:ascii="Segoe UI" w:hAnsi="Segoe UI" w:cs="Segoe UI" w:hint="default"/>
      <w:sz w:val="18"/>
      <w:szCs w:val="18"/>
    </w:rPr>
  </w:style>
  <w:style w:type="paragraph" w:styleId="TOCHeading">
    <w:name w:val="TOC Heading"/>
    <w:basedOn w:val="Heading1"/>
    <w:next w:val="Normal"/>
    <w:uiPriority w:val="39"/>
    <w:unhideWhenUsed/>
    <w:qFormat/>
    <w:rsid w:val="00452DD9"/>
    <w:pPr>
      <w:keepNext/>
      <w:keepLines/>
      <w:spacing w:after="0"/>
      <w:ind w:left="0" w:firstLine="0"/>
      <w:contextualSpacing w:val="0"/>
      <w:jc w:val="left"/>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3C4F67"/>
    <w:pPr>
      <w:tabs>
        <w:tab w:val="left" w:pos="440"/>
        <w:tab w:val="left" w:pos="480"/>
        <w:tab w:val="right" w:leader="dot" w:pos="9015"/>
      </w:tabs>
      <w:spacing w:after="100"/>
    </w:pPr>
  </w:style>
  <w:style w:type="paragraph" w:styleId="TOC2">
    <w:name w:val="toc 2"/>
    <w:basedOn w:val="Normal"/>
    <w:next w:val="Normal"/>
    <w:autoRedefine/>
    <w:uiPriority w:val="39"/>
    <w:unhideWhenUsed/>
    <w:rsid w:val="001A05EB"/>
    <w:pPr>
      <w:tabs>
        <w:tab w:val="left" w:pos="880"/>
        <w:tab w:val="right" w:leader="dot" w:pos="9016"/>
      </w:tabs>
      <w:spacing w:after="100"/>
      <w:ind w:left="220"/>
    </w:pPr>
  </w:style>
  <w:style w:type="character" w:styleId="Hyperlink">
    <w:name w:val="Hyperlink"/>
    <w:basedOn w:val="DefaultParagraphFont"/>
    <w:uiPriority w:val="99"/>
    <w:unhideWhenUsed/>
    <w:qFormat/>
    <w:rsid w:val="00452DD9"/>
    <w:rPr>
      <w:color w:val="0563C1"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452DD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52DD9"/>
    <w:rPr>
      <w:sz w:val="20"/>
      <w:szCs w:val="20"/>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sid w:val="00452DD9"/>
    <w:rPr>
      <w:vertAlign w:val="superscript"/>
    </w:rPr>
  </w:style>
  <w:style w:type="character" w:customStyle="1" w:styleId="UnresolvedMention1">
    <w:name w:val="Unresolved Mention1"/>
    <w:basedOn w:val="DefaultParagraphFont"/>
    <w:uiPriority w:val="99"/>
    <w:semiHidden/>
    <w:unhideWhenUsed/>
    <w:rsid w:val="00452DD9"/>
    <w:rPr>
      <w:color w:val="605E5C"/>
      <w:shd w:val="clear" w:color="auto" w:fill="E1DFDD"/>
    </w:rPr>
  </w:style>
  <w:style w:type="character" w:customStyle="1" w:styleId="eop">
    <w:name w:val="eop"/>
    <w:basedOn w:val="DefaultParagraphFont"/>
    <w:rsid w:val="002F5BD1"/>
  </w:style>
  <w:style w:type="character" w:customStyle="1" w:styleId="Mention1">
    <w:name w:val="Mention1"/>
    <w:basedOn w:val="DefaultParagraphFont"/>
    <w:uiPriority w:val="99"/>
    <w:unhideWhenUsed/>
    <w:rsid w:val="002072CB"/>
    <w:rPr>
      <w:color w:val="2B579A"/>
      <w:shd w:val="clear" w:color="auto" w:fill="E1DFDD"/>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unhideWhenUsed/>
    <w:rsid w:val="00D2050D"/>
    <w:pPr>
      <w:spacing w:line="240" w:lineRule="exact"/>
    </w:pPr>
    <w:rPr>
      <w:rFonts w:asciiTheme="minorHAnsi" w:hAnsiTheme="minorHAnsi" w:cstheme="minorBidi"/>
      <w:sz w:val="22"/>
      <w:szCs w:val="22"/>
      <w:vertAlign w:val="superscript"/>
    </w:rPr>
  </w:style>
  <w:style w:type="paragraph" w:styleId="NormalWeb">
    <w:name w:val="Normal (Web)"/>
    <w:basedOn w:val="Normal"/>
    <w:uiPriority w:val="99"/>
    <w:unhideWhenUsed/>
    <w:rsid w:val="009B77EB"/>
    <w:pPr>
      <w:spacing w:before="100" w:beforeAutospacing="1" w:after="100" w:afterAutospacing="1" w:line="240" w:lineRule="auto"/>
      <w:jc w:val="left"/>
    </w:pPr>
    <w:rPr>
      <w:rFonts w:eastAsia="Times New Roman"/>
      <w:lang w:eastAsia="en-GB"/>
    </w:rPr>
  </w:style>
  <w:style w:type="paragraph" w:customStyle="1" w:styleId="pf0">
    <w:name w:val="pf0"/>
    <w:basedOn w:val="Normal"/>
    <w:rsid w:val="002130C1"/>
    <w:pPr>
      <w:spacing w:before="100" w:beforeAutospacing="1" w:after="100" w:afterAutospacing="1" w:line="240" w:lineRule="auto"/>
      <w:jc w:val="left"/>
    </w:pPr>
    <w:rPr>
      <w:rFonts w:eastAsia="Times New Roman"/>
      <w:lang w:eastAsia="en-IE"/>
    </w:rPr>
  </w:style>
  <w:style w:type="paragraph" w:styleId="TOC3">
    <w:name w:val="toc 3"/>
    <w:basedOn w:val="Normal"/>
    <w:next w:val="Normal"/>
    <w:autoRedefine/>
    <w:uiPriority w:val="39"/>
    <w:unhideWhenUsed/>
    <w:rsid w:val="00D05E02"/>
    <w:pPr>
      <w:tabs>
        <w:tab w:val="left" w:pos="1320"/>
        <w:tab w:val="right" w:leader="dot" w:pos="9016"/>
      </w:tabs>
      <w:spacing w:after="100"/>
      <w:ind w:left="480"/>
    </w:pPr>
  </w:style>
  <w:style w:type="character" w:styleId="FollowedHyperlink">
    <w:name w:val="FollowedHyperlink"/>
    <w:basedOn w:val="DefaultParagraphFont"/>
    <w:uiPriority w:val="99"/>
    <w:semiHidden/>
    <w:unhideWhenUsed/>
    <w:rsid w:val="00C03A9F"/>
    <w:rPr>
      <w:color w:val="954F72" w:themeColor="followedHyperlink"/>
      <w:u w:val="single"/>
    </w:rPr>
  </w:style>
  <w:style w:type="paragraph" w:styleId="Caption">
    <w:name w:val="caption"/>
    <w:basedOn w:val="Normal"/>
    <w:next w:val="Normal"/>
    <w:uiPriority w:val="35"/>
    <w:unhideWhenUsed/>
    <w:qFormat/>
    <w:rsid w:val="004A0042"/>
    <w:pPr>
      <w:spacing w:after="200" w:line="240" w:lineRule="auto"/>
    </w:pPr>
    <w:rPr>
      <w:i/>
      <w:iCs/>
      <w:color w:val="44546A" w:themeColor="text2"/>
      <w:sz w:val="18"/>
      <w:szCs w:val="18"/>
    </w:rPr>
  </w:style>
  <w:style w:type="table" w:styleId="TableGrid">
    <w:name w:val="Table Grid"/>
    <w:basedOn w:val="TableNormal"/>
    <w:uiPriority w:val="39"/>
    <w:rsid w:val="00014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810A3"/>
    <w:rPr>
      <w:b/>
      <w:bCs/>
    </w:rPr>
  </w:style>
  <w:style w:type="paragraph" w:customStyle="1" w:styleId="p1">
    <w:name w:val="p1"/>
    <w:basedOn w:val="Normal"/>
    <w:rsid w:val="00A32FDD"/>
    <w:pPr>
      <w:spacing w:before="100" w:beforeAutospacing="1" w:after="100" w:afterAutospacing="1" w:line="240" w:lineRule="auto"/>
      <w:jc w:val="left"/>
    </w:pPr>
    <w:rPr>
      <w:rFonts w:ascii="Calibri" w:hAnsi="Calibri" w:cs="Calibri"/>
      <w:sz w:val="22"/>
      <w:szCs w:val="22"/>
      <w:lang w:eastAsia="fr-BE"/>
    </w:rPr>
  </w:style>
  <w:style w:type="character" w:customStyle="1" w:styleId="s1">
    <w:name w:val="s1"/>
    <w:basedOn w:val="DefaultParagraphFont"/>
    <w:rsid w:val="00A32FDD"/>
  </w:style>
  <w:style w:type="paragraph" w:customStyle="1" w:styleId="CharCharChar1">
    <w:name w:val="Char Char Char1"/>
    <w:basedOn w:val="Normal"/>
    <w:uiPriority w:val="99"/>
    <w:rsid w:val="00C1397E"/>
    <w:pPr>
      <w:spacing w:line="240" w:lineRule="exact"/>
    </w:pPr>
    <w:rPr>
      <w:vertAlign w:val="superscript"/>
    </w:rPr>
  </w:style>
  <w:style w:type="paragraph" w:customStyle="1" w:styleId="paragraph">
    <w:name w:val="paragraph"/>
    <w:basedOn w:val="Normal"/>
    <w:rsid w:val="009F6DFC"/>
    <w:pPr>
      <w:spacing w:before="100" w:beforeAutospacing="1" w:after="100" w:afterAutospacing="1" w:line="240" w:lineRule="auto"/>
      <w:jc w:val="left"/>
    </w:pPr>
    <w:rPr>
      <w:rFonts w:eastAsia="Times New Roman"/>
      <w:lang w:eastAsia="en-GB"/>
    </w:rPr>
  </w:style>
  <w:style w:type="character" w:customStyle="1" w:styleId="superscript">
    <w:name w:val="superscript"/>
    <w:basedOn w:val="DefaultParagraphFont"/>
    <w:rsid w:val="009F6DFC"/>
  </w:style>
  <w:style w:type="character" w:customStyle="1" w:styleId="Marker">
    <w:name w:val="Marker"/>
    <w:basedOn w:val="DefaultParagraphFont"/>
    <w:rsid w:val="000A37A5"/>
    <w:rPr>
      <w:color w:val="0000FF"/>
      <w:shd w:val="clear" w:color="auto" w:fill="auto"/>
    </w:rPr>
  </w:style>
  <w:style w:type="paragraph" w:customStyle="1" w:styleId="Pagedecouverture">
    <w:name w:val="Page de couverture"/>
    <w:basedOn w:val="Normal"/>
    <w:next w:val="Normal"/>
    <w:rsid w:val="000A37A5"/>
    <w:pPr>
      <w:spacing w:after="0" w:line="240" w:lineRule="auto"/>
    </w:pPr>
    <w:rPr>
      <w:szCs w:val="22"/>
    </w:rPr>
  </w:style>
  <w:style w:type="paragraph" w:customStyle="1" w:styleId="FooterCoverPage">
    <w:name w:val="Footer Cover Page"/>
    <w:basedOn w:val="Normal"/>
    <w:link w:val="FooterCoverPageChar"/>
    <w:rsid w:val="000A37A5"/>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0A37A5"/>
    <w:rPr>
      <w:rFonts w:ascii="Times New Roman" w:hAnsi="Times New Roman" w:cs="Times New Roman"/>
      <w:sz w:val="24"/>
      <w:szCs w:val="24"/>
    </w:rPr>
  </w:style>
  <w:style w:type="paragraph" w:customStyle="1" w:styleId="FooterSensitivity">
    <w:name w:val="Footer Sensitivity"/>
    <w:basedOn w:val="Normal"/>
    <w:link w:val="FooterSensitivityChar"/>
    <w:rsid w:val="000A37A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0A37A5"/>
    <w:rPr>
      <w:rFonts w:ascii="Times New Roman" w:hAnsi="Times New Roman" w:cs="Times New Roman"/>
      <w:b/>
      <w:sz w:val="32"/>
      <w:szCs w:val="24"/>
    </w:rPr>
  </w:style>
  <w:style w:type="paragraph" w:customStyle="1" w:styleId="HeaderCoverPage">
    <w:name w:val="Header Cover Page"/>
    <w:basedOn w:val="Normal"/>
    <w:link w:val="HeaderCoverPageChar"/>
    <w:rsid w:val="000A37A5"/>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0A37A5"/>
    <w:rPr>
      <w:rFonts w:ascii="Times New Roman" w:hAnsi="Times New Roman" w:cs="Times New Roman"/>
      <w:sz w:val="24"/>
      <w:szCs w:val="24"/>
    </w:rPr>
  </w:style>
  <w:style w:type="paragraph" w:customStyle="1" w:styleId="HeaderSensitivity">
    <w:name w:val="Header Sensitivity"/>
    <w:basedOn w:val="Normal"/>
    <w:link w:val="HeaderSensitivityChar"/>
    <w:rsid w:val="000A37A5"/>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0A37A5"/>
    <w:rPr>
      <w:rFonts w:ascii="Times New Roman" w:hAnsi="Times New Roman" w:cs="Times New Roman"/>
      <w:b/>
      <w:sz w:val="32"/>
      <w:szCs w:val="24"/>
    </w:rPr>
  </w:style>
  <w:style w:type="paragraph" w:customStyle="1" w:styleId="HeaderSensitivityRight">
    <w:name w:val="Header Sensitivity Right"/>
    <w:basedOn w:val="Normal"/>
    <w:link w:val="HeaderSensitivityRightChar"/>
    <w:rsid w:val="00EC4B5C"/>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0A37A5"/>
    <w:rPr>
      <w:rFonts w:ascii="Times New Roman" w:hAnsi="Times New Roman" w:cs="Times New Roman"/>
      <w:sz w:val="28"/>
      <w:szCs w:val="24"/>
    </w:rPr>
  </w:style>
  <w:style w:type="paragraph" w:customStyle="1" w:styleId="Disclaimer">
    <w:name w:val="Disclaimer"/>
    <w:basedOn w:val="Normal"/>
    <w:rsid w:val="00702E6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szCs w:val="22"/>
    </w:rPr>
  </w:style>
  <w:style w:type="paragraph" w:customStyle="1" w:styleId="SecurityMarking">
    <w:name w:val="SecurityMarking"/>
    <w:basedOn w:val="Normal"/>
    <w:rsid w:val="00EC4B5C"/>
    <w:pPr>
      <w:spacing w:after="0" w:line="276" w:lineRule="auto"/>
      <w:ind w:left="5103"/>
      <w:jc w:val="left"/>
    </w:pPr>
    <w:rPr>
      <w:sz w:val="28"/>
      <w:szCs w:val="22"/>
    </w:rPr>
  </w:style>
  <w:style w:type="paragraph" w:customStyle="1" w:styleId="DateMarking">
    <w:name w:val="DateMarking"/>
    <w:basedOn w:val="Normal"/>
    <w:rsid w:val="00EC4B5C"/>
    <w:pPr>
      <w:spacing w:after="0" w:line="276" w:lineRule="auto"/>
      <w:ind w:left="5103"/>
      <w:jc w:val="left"/>
    </w:pPr>
    <w:rPr>
      <w:i/>
      <w:sz w:val="28"/>
      <w:szCs w:val="22"/>
    </w:rPr>
  </w:style>
  <w:style w:type="paragraph" w:customStyle="1" w:styleId="ReleasableTo">
    <w:name w:val="ReleasableTo"/>
    <w:basedOn w:val="Normal"/>
    <w:rsid w:val="00EC4B5C"/>
    <w:pPr>
      <w:spacing w:after="0" w:line="276" w:lineRule="auto"/>
      <w:ind w:left="5103"/>
      <w:jc w:val="left"/>
    </w:pPr>
    <w:rPr>
      <w:i/>
      <w:sz w:val="28"/>
      <w:szCs w:val="22"/>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rsid w:val="006A7C7D"/>
    <w:rPr>
      <w:rFonts w:ascii="Times New Roman" w:hAnsi="Times New Roman" w:cs="Times New Roman"/>
      <w:sz w:val="24"/>
      <w:szCs w:val="24"/>
      <w:lang w:val="fr-FR"/>
    </w:rPr>
  </w:style>
  <w:style w:type="character" w:customStyle="1" w:styleId="tabchar">
    <w:name w:val="tabchar"/>
    <w:basedOn w:val="DefaultParagraphFont"/>
    <w:rsid w:val="00281CC2"/>
  </w:style>
  <w:style w:type="paragraph" w:styleId="BodyText">
    <w:name w:val="Body Text"/>
    <w:basedOn w:val="Normal"/>
    <w:link w:val="BodyTextChar"/>
    <w:uiPriority w:val="1"/>
    <w:qFormat/>
    <w:rsid w:val="00DF200D"/>
    <w:pPr>
      <w:widowControl w:val="0"/>
      <w:autoSpaceDE w:val="0"/>
      <w:autoSpaceDN w:val="0"/>
      <w:spacing w:after="0" w:line="240" w:lineRule="auto"/>
      <w:ind w:left="820" w:hanging="360"/>
    </w:pPr>
    <w:rPr>
      <w:rFonts w:eastAsia="Times New Roman"/>
    </w:rPr>
  </w:style>
  <w:style w:type="character" w:customStyle="1" w:styleId="BodyTextChar">
    <w:name w:val="Body Text Char"/>
    <w:basedOn w:val="DefaultParagraphFont"/>
    <w:link w:val="BodyText"/>
    <w:uiPriority w:val="1"/>
    <w:rsid w:val="00DF200D"/>
    <w:rPr>
      <w:rFonts w:ascii="Times New Roman" w:eastAsia="Times New Roman" w:hAnsi="Times New Roman" w:cs="Times New Roman"/>
      <w:sz w:val="24"/>
      <w:szCs w:val="24"/>
      <w:lang w:val="fr-FR"/>
    </w:rPr>
  </w:style>
  <w:style w:type="character" w:customStyle="1" w:styleId="ui-provider">
    <w:name w:val="ui-provider"/>
    <w:basedOn w:val="DefaultParagraphFont"/>
    <w:rsid w:val="00074C61"/>
  </w:style>
  <w:style w:type="paragraph" w:customStyle="1" w:styleId="Default">
    <w:name w:val="Default"/>
    <w:rsid w:val="00D92D7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UnresolvedMention2">
    <w:name w:val="Unresolved Mention2"/>
    <w:basedOn w:val="DefaultParagraphFont"/>
    <w:uiPriority w:val="99"/>
    <w:semiHidden/>
    <w:unhideWhenUsed/>
    <w:rsid w:val="00482E88"/>
    <w:rPr>
      <w:color w:val="605E5C"/>
      <w:shd w:val="clear" w:color="auto" w:fill="E1DFDD"/>
    </w:rPr>
  </w:style>
  <w:style w:type="character" w:customStyle="1" w:styleId="Mention2">
    <w:name w:val="Mention2"/>
    <w:basedOn w:val="DefaultParagraphFont"/>
    <w:uiPriority w:val="99"/>
    <w:unhideWhenUsed/>
    <w:rsid w:val="00482E88"/>
    <w:rPr>
      <w:color w:val="2B579A"/>
      <w:shd w:val="clear" w:color="auto" w:fill="E1DFDD"/>
    </w:rPr>
  </w:style>
  <w:style w:type="paragraph" w:styleId="BalloonText">
    <w:name w:val="Balloon Text"/>
    <w:basedOn w:val="Normal"/>
    <w:link w:val="BalloonTextChar"/>
    <w:uiPriority w:val="99"/>
    <w:semiHidden/>
    <w:unhideWhenUsed/>
    <w:rsid w:val="003424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4A8"/>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9599">
      <w:bodyDiv w:val="1"/>
      <w:marLeft w:val="0"/>
      <w:marRight w:val="0"/>
      <w:marTop w:val="0"/>
      <w:marBottom w:val="0"/>
      <w:divBdr>
        <w:top w:val="none" w:sz="0" w:space="0" w:color="auto"/>
        <w:left w:val="none" w:sz="0" w:space="0" w:color="auto"/>
        <w:bottom w:val="none" w:sz="0" w:space="0" w:color="auto"/>
        <w:right w:val="none" w:sz="0" w:space="0" w:color="auto"/>
      </w:divBdr>
    </w:div>
    <w:div w:id="88503858">
      <w:bodyDiv w:val="1"/>
      <w:marLeft w:val="0"/>
      <w:marRight w:val="0"/>
      <w:marTop w:val="0"/>
      <w:marBottom w:val="0"/>
      <w:divBdr>
        <w:top w:val="none" w:sz="0" w:space="0" w:color="auto"/>
        <w:left w:val="none" w:sz="0" w:space="0" w:color="auto"/>
        <w:bottom w:val="none" w:sz="0" w:space="0" w:color="auto"/>
        <w:right w:val="none" w:sz="0" w:space="0" w:color="auto"/>
      </w:divBdr>
    </w:div>
    <w:div w:id="114982903">
      <w:bodyDiv w:val="1"/>
      <w:marLeft w:val="0"/>
      <w:marRight w:val="0"/>
      <w:marTop w:val="0"/>
      <w:marBottom w:val="0"/>
      <w:divBdr>
        <w:top w:val="none" w:sz="0" w:space="0" w:color="auto"/>
        <w:left w:val="none" w:sz="0" w:space="0" w:color="auto"/>
        <w:bottom w:val="none" w:sz="0" w:space="0" w:color="auto"/>
        <w:right w:val="none" w:sz="0" w:space="0" w:color="auto"/>
      </w:divBdr>
    </w:div>
    <w:div w:id="203837576">
      <w:bodyDiv w:val="1"/>
      <w:marLeft w:val="0"/>
      <w:marRight w:val="0"/>
      <w:marTop w:val="0"/>
      <w:marBottom w:val="0"/>
      <w:divBdr>
        <w:top w:val="none" w:sz="0" w:space="0" w:color="auto"/>
        <w:left w:val="none" w:sz="0" w:space="0" w:color="auto"/>
        <w:bottom w:val="none" w:sz="0" w:space="0" w:color="auto"/>
        <w:right w:val="none" w:sz="0" w:space="0" w:color="auto"/>
      </w:divBdr>
    </w:div>
    <w:div w:id="227110763">
      <w:bodyDiv w:val="1"/>
      <w:marLeft w:val="0"/>
      <w:marRight w:val="0"/>
      <w:marTop w:val="0"/>
      <w:marBottom w:val="0"/>
      <w:divBdr>
        <w:top w:val="none" w:sz="0" w:space="0" w:color="auto"/>
        <w:left w:val="none" w:sz="0" w:space="0" w:color="auto"/>
        <w:bottom w:val="none" w:sz="0" w:space="0" w:color="auto"/>
        <w:right w:val="none" w:sz="0" w:space="0" w:color="auto"/>
      </w:divBdr>
    </w:div>
    <w:div w:id="274487956">
      <w:bodyDiv w:val="1"/>
      <w:marLeft w:val="0"/>
      <w:marRight w:val="0"/>
      <w:marTop w:val="0"/>
      <w:marBottom w:val="0"/>
      <w:divBdr>
        <w:top w:val="none" w:sz="0" w:space="0" w:color="auto"/>
        <w:left w:val="none" w:sz="0" w:space="0" w:color="auto"/>
        <w:bottom w:val="none" w:sz="0" w:space="0" w:color="auto"/>
        <w:right w:val="none" w:sz="0" w:space="0" w:color="auto"/>
      </w:divBdr>
    </w:div>
    <w:div w:id="401375083">
      <w:bodyDiv w:val="1"/>
      <w:marLeft w:val="0"/>
      <w:marRight w:val="0"/>
      <w:marTop w:val="0"/>
      <w:marBottom w:val="0"/>
      <w:divBdr>
        <w:top w:val="none" w:sz="0" w:space="0" w:color="auto"/>
        <w:left w:val="none" w:sz="0" w:space="0" w:color="auto"/>
        <w:bottom w:val="none" w:sz="0" w:space="0" w:color="auto"/>
        <w:right w:val="none" w:sz="0" w:space="0" w:color="auto"/>
      </w:divBdr>
    </w:div>
    <w:div w:id="448284730">
      <w:bodyDiv w:val="1"/>
      <w:marLeft w:val="0"/>
      <w:marRight w:val="0"/>
      <w:marTop w:val="0"/>
      <w:marBottom w:val="0"/>
      <w:divBdr>
        <w:top w:val="none" w:sz="0" w:space="0" w:color="auto"/>
        <w:left w:val="none" w:sz="0" w:space="0" w:color="auto"/>
        <w:bottom w:val="none" w:sz="0" w:space="0" w:color="auto"/>
        <w:right w:val="none" w:sz="0" w:space="0" w:color="auto"/>
      </w:divBdr>
    </w:div>
    <w:div w:id="617445385">
      <w:bodyDiv w:val="1"/>
      <w:marLeft w:val="0"/>
      <w:marRight w:val="0"/>
      <w:marTop w:val="0"/>
      <w:marBottom w:val="0"/>
      <w:divBdr>
        <w:top w:val="none" w:sz="0" w:space="0" w:color="auto"/>
        <w:left w:val="none" w:sz="0" w:space="0" w:color="auto"/>
        <w:bottom w:val="none" w:sz="0" w:space="0" w:color="auto"/>
        <w:right w:val="none" w:sz="0" w:space="0" w:color="auto"/>
      </w:divBdr>
    </w:div>
    <w:div w:id="640887034">
      <w:bodyDiv w:val="1"/>
      <w:marLeft w:val="0"/>
      <w:marRight w:val="0"/>
      <w:marTop w:val="0"/>
      <w:marBottom w:val="0"/>
      <w:divBdr>
        <w:top w:val="none" w:sz="0" w:space="0" w:color="auto"/>
        <w:left w:val="none" w:sz="0" w:space="0" w:color="auto"/>
        <w:bottom w:val="none" w:sz="0" w:space="0" w:color="auto"/>
        <w:right w:val="none" w:sz="0" w:space="0" w:color="auto"/>
      </w:divBdr>
    </w:div>
    <w:div w:id="656998788">
      <w:bodyDiv w:val="1"/>
      <w:marLeft w:val="0"/>
      <w:marRight w:val="0"/>
      <w:marTop w:val="0"/>
      <w:marBottom w:val="0"/>
      <w:divBdr>
        <w:top w:val="none" w:sz="0" w:space="0" w:color="auto"/>
        <w:left w:val="none" w:sz="0" w:space="0" w:color="auto"/>
        <w:bottom w:val="none" w:sz="0" w:space="0" w:color="auto"/>
        <w:right w:val="none" w:sz="0" w:space="0" w:color="auto"/>
      </w:divBdr>
    </w:div>
    <w:div w:id="740712100">
      <w:bodyDiv w:val="1"/>
      <w:marLeft w:val="0"/>
      <w:marRight w:val="0"/>
      <w:marTop w:val="0"/>
      <w:marBottom w:val="0"/>
      <w:divBdr>
        <w:top w:val="none" w:sz="0" w:space="0" w:color="auto"/>
        <w:left w:val="none" w:sz="0" w:space="0" w:color="auto"/>
        <w:bottom w:val="none" w:sz="0" w:space="0" w:color="auto"/>
        <w:right w:val="none" w:sz="0" w:space="0" w:color="auto"/>
      </w:divBdr>
      <w:divsChild>
        <w:div w:id="27920665">
          <w:marLeft w:val="0"/>
          <w:marRight w:val="0"/>
          <w:marTop w:val="0"/>
          <w:marBottom w:val="0"/>
          <w:divBdr>
            <w:top w:val="none" w:sz="0" w:space="0" w:color="auto"/>
            <w:left w:val="none" w:sz="0" w:space="0" w:color="auto"/>
            <w:bottom w:val="none" w:sz="0" w:space="0" w:color="auto"/>
            <w:right w:val="none" w:sz="0" w:space="0" w:color="auto"/>
          </w:divBdr>
        </w:div>
        <w:div w:id="558903834">
          <w:marLeft w:val="0"/>
          <w:marRight w:val="0"/>
          <w:marTop w:val="0"/>
          <w:marBottom w:val="0"/>
          <w:divBdr>
            <w:top w:val="none" w:sz="0" w:space="0" w:color="auto"/>
            <w:left w:val="none" w:sz="0" w:space="0" w:color="auto"/>
            <w:bottom w:val="none" w:sz="0" w:space="0" w:color="auto"/>
            <w:right w:val="none" w:sz="0" w:space="0" w:color="auto"/>
          </w:divBdr>
        </w:div>
        <w:div w:id="714543409">
          <w:marLeft w:val="0"/>
          <w:marRight w:val="0"/>
          <w:marTop w:val="0"/>
          <w:marBottom w:val="0"/>
          <w:divBdr>
            <w:top w:val="none" w:sz="0" w:space="0" w:color="auto"/>
            <w:left w:val="none" w:sz="0" w:space="0" w:color="auto"/>
            <w:bottom w:val="none" w:sz="0" w:space="0" w:color="auto"/>
            <w:right w:val="none" w:sz="0" w:space="0" w:color="auto"/>
          </w:divBdr>
        </w:div>
        <w:div w:id="794953329">
          <w:marLeft w:val="0"/>
          <w:marRight w:val="0"/>
          <w:marTop w:val="0"/>
          <w:marBottom w:val="0"/>
          <w:divBdr>
            <w:top w:val="none" w:sz="0" w:space="0" w:color="auto"/>
            <w:left w:val="none" w:sz="0" w:space="0" w:color="auto"/>
            <w:bottom w:val="none" w:sz="0" w:space="0" w:color="auto"/>
            <w:right w:val="none" w:sz="0" w:space="0" w:color="auto"/>
          </w:divBdr>
        </w:div>
        <w:div w:id="1868565426">
          <w:marLeft w:val="0"/>
          <w:marRight w:val="0"/>
          <w:marTop w:val="0"/>
          <w:marBottom w:val="0"/>
          <w:divBdr>
            <w:top w:val="none" w:sz="0" w:space="0" w:color="auto"/>
            <w:left w:val="none" w:sz="0" w:space="0" w:color="auto"/>
            <w:bottom w:val="none" w:sz="0" w:space="0" w:color="auto"/>
            <w:right w:val="none" w:sz="0" w:space="0" w:color="auto"/>
          </w:divBdr>
        </w:div>
      </w:divsChild>
    </w:div>
    <w:div w:id="756024956">
      <w:bodyDiv w:val="1"/>
      <w:marLeft w:val="0"/>
      <w:marRight w:val="0"/>
      <w:marTop w:val="0"/>
      <w:marBottom w:val="0"/>
      <w:divBdr>
        <w:top w:val="none" w:sz="0" w:space="0" w:color="auto"/>
        <w:left w:val="none" w:sz="0" w:space="0" w:color="auto"/>
        <w:bottom w:val="none" w:sz="0" w:space="0" w:color="auto"/>
        <w:right w:val="none" w:sz="0" w:space="0" w:color="auto"/>
      </w:divBdr>
    </w:div>
    <w:div w:id="756098631">
      <w:bodyDiv w:val="1"/>
      <w:marLeft w:val="0"/>
      <w:marRight w:val="0"/>
      <w:marTop w:val="0"/>
      <w:marBottom w:val="0"/>
      <w:divBdr>
        <w:top w:val="none" w:sz="0" w:space="0" w:color="auto"/>
        <w:left w:val="none" w:sz="0" w:space="0" w:color="auto"/>
        <w:bottom w:val="none" w:sz="0" w:space="0" w:color="auto"/>
        <w:right w:val="none" w:sz="0" w:space="0" w:color="auto"/>
      </w:divBdr>
    </w:div>
    <w:div w:id="820577510">
      <w:bodyDiv w:val="1"/>
      <w:marLeft w:val="0"/>
      <w:marRight w:val="0"/>
      <w:marTop w:val="0"/>
      <w:marBottom w:val="0"/>
      <w:divBdr>
        <w:top w:val="none" w:sz="0" w:space="0" w:color="auto"/>
        <w:left w:val="none" w:sz="0" w:space="0" w:color="auto"/>
        <w:bottom w:val="none" w:sz="0" w:space="0" w:color="auto"/>
        <w:right w:val="none" w:sz="0" w:space="0" w:color="auto"/>
      </w:divBdr>
      <w:divsChild>
        <w:div w:id="1422606976">
          <w:marLeft w:val="0"/>
          <w:marRight w:val="0"/>
          <w:marTop w:val="0"/>
          <w:marBottom w:val="0"/>
          <w:divBdr>
            <w:top w:val="none" w:sz="0" w:space="0" w:color="auto"/>
            <w:left w:val="none" w:sz="0" w:space="0" w:color="auto"/>
            <w:bottom w:val="none" w:sz="0" w:space="0" w:color="auto"/>
            <w:right w:val="none" w:sz="0" w:space="0" w:color="auto"/>
          </w:divBdr>
        </w:div>
        <w:div w:id="1974093103">
          <w:marLeft w:val="0"/>
          <w:marRight w:val="0"/>
          <w:marTop w:val="0"/>
          <w:marBottom w:val="0"/>
          <w:divBdr>
            <w:top w:val="none" w:sz="0" w:space="0" w:color="auto"/>
            <w:left w:val="none" w:sz="0" w:space="0" w:color="auto"/>
            <w:bottom w:val="none" w:sz="0" w:space="0" w:color="auto"/>
            <w:right w:val="none" w:sz="0" w:space="0" w:color="auto"/>
          </w:divBdr>
        </w:div>
        <w:div w:id="1994286170">
          <w:marLeft w:val="0"/>
          <w:marRight w:val="0"/>
          <w:marTop w:val="0"/>
          <w:marBottom w:val="0"/>
          <w:divBdr>
            <w:top w:val="none" w:sz="0" w:space="0" w:color="auto"/>
            <w:left w:val="none" w:sz="0" w:space="0" w:color="auto"/>
            <w:bottom w:val="none" w:sz="0" w:space="0" w:color="auto"/>
            <w:right w:val="none" w:sz="0" w:space="0" w:color="auto"/>
          </w:divBdr>
        </w:div>
        <w:div w:id="2031031343">
          <w:marLeft w:val="0"/>
          <w:marRight w:val="0"/>
          <w:marTop w:val="0"/>
          <w:marBottom w:val="0"/>
          <w:divBdr>
            <w:top w:val="none" w:sz="0" w:space="0" w:color="auto"/>
            <w:left w:val="none" w:sz="0" w:space="0" w:color="auto"/>
            <w:bottom w:val="none" w:sz="0" w:space="0" w:color="auto"/>
            <w:right w:val="none" w:sz="0" w:space="0" w:color="auto"/>
          </w:divBdr>
        </w:div>
      </w:divsChild>
    </w:div>
    <w:div w:id="823206018">
      <w:bodyDiv w:val="1"/>
      <w:marLeft w:val="0"/>
      <w:marRight w:val="0"/>
      <w:marTop w:val="0"/>
      <w:marBottom w:val="0"/>
      <w:divBdr>
        <w:top w:val="none" w:sz="0" w:space="0" w:color="auto"/>
        <w:left w:val="none" w:sz="0" w:space="0" w:color="auto"/>
        <w:bottom w:val="none" w:sz="0" w:space="0" w:color="auto"/>
        <w:right w:val="none" w:sz="0" w:space="0" w:color="auto"/>
      </w:divBdr>
    </w:div>
    <w:div w:id="864097076">
      <w:bodyDiv w:val="1"/>
      <w:marLeft w:val="0"/>
      <w:marRight w:val="0"/>
      <w:marTop w:val="0"/>
      <w:marBottom w:val="0"/>
      <w:divBdr>
        <w:top w:val="none" w:sz="0" w:space="0" w:color="auto"/>
        <w:left w:val="none" w:sz="0" w:space="0" w:color="auto"/>
        <w:bottom w:val="none" w:sz="0" w:space="0" w:color="auto"/>
        <w:right w:val="none" w:sz="0" w:space="0" w:color="auto"/>
      </w:divBdr>
    </w:div>
    <w:div w:id="880046658">
      <w:bodyDiv w:val="1"/>
      <w:marLeft w:val="0"/>
      <w:marRight w:val="0"/>
      <w:marTop w:val="0"/>
      <w:marBottom w:val="0"/>
      <w:divBdr>
        <w:top w:val="none" w:sz="0" w:space="0" w:color="auto"/>
        <w:left w:val="none" w:sz="0" w:space="0" w:color="auto"/>
        <w:bottom w:val="none" w:sz="0" w:space="0" w:color="auto"/>
        <w:right w:val="none" w:sz="0" w:space="0" w:color="auto"/>
      </w:divBdr>
      <w:divsChild>
        <w:div w:id="1189029105">
          <w:marLeft w:val="0"/>
          <w:marRight w:val="0"/>
          <w:marTop w:val="0"/>
          <w:marBottom w:val="0"/>
          <w:divBdr>
            <w:top w:val="none" w:sz="0" w:space="0" w:color="auto"/>
            <w:left w:val="none" w:sz="0" w:space="0" w:color="auto"/>
            <w:bottom w:val="none" w:sz="0" w:space="0" w:color="auto"/>
            <w:right w:val="none" w:sz="0" w:space="0" w:color="auto"/>
          </w:divBdr>
        </w:div>
        <w:div w:id="1914195832">
          <w:marLeft w:val="0"/>
          <w:marRight w:val="0"/>
          <w:marTop w:val="0"/>
          <w:marBottom w:val="0"/>
          <w:divBdr>
            <w:top w:val="none" w:sz="0" w:space="0" w:color="auto"/>
            <w:left w:val="none" w:sz="0" w:space="0" w:color="auto"/>
            <w:bottom w:val="none" w:sz="0" w:space="0" w:color="auto"/>
            <w:right w:val="none" w:sz="0" w:space="0" w:color="auto"/>
          </w:divBdr>
          <w:divsChild>
            <w:div w:id="10855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9361">
      <w:bodyDiv w:val="1"/>
      <w:marLeft w:val="0"/>
      <w:marRight w:val="0"/>
      <w:marTop w:val="0"/>
      <w:marBottom w:val="0"/>
      <w:divBdr>
        <w:top w:val="none" w:sz="0" w:space="0" w:color="auto"/>
        <w:left w:val="none" w:sz="0" w:space="0" w:color="auto"/>
        <w:bottom w:val="none" w:sz="0" w:space="0" w:color="auto"/>
        <w:right w:val="none" w:sz="0" w:space="0" w:color="auto"/>
      </w:divBdr>
    </w:div>
    <w:div w:id="917593531">
      <w:bodyDiv w:val="1"/>
      <w:marLeft w:val="0"/>
      <w:marRight w:val="0"/>
      <w:marTop w:val="0"/>
      <w:marBottom w:val="0"/>
      <w:divBdr>
        <w:top w:val="none" w:sz="0" w:space="0" w:color="auto"/>
        <w:left w:val="none" w:sz="0" w:space="0" w:color="auto"/>
        <w:bottom w:val="none" w:sz="0" w:space="0" w:color="auto"/>
        <w:right w:val="none" w:sz="0" w:space="0" w:color="auto"/>
      </w:divBdr>
    </w:div>
    <w:div w:id="1162503284">
      <w:bodyDiv w:val="1"/>
      <w:marLeft w:val="0"/>
      <w:marRight w:val="0"/>
      <w:marTop w:val="0"/>
      <w:marBottom w:val="0"/>
      <w:divBdr>
        <w:top w:val="none" w:sz="0" w:space="0" w:color="auto"/>
        <w:left w:val="none" w:sz="0" w:space="0" w:color="auto"/>
        <w:bottom w:val="none" w:sz="0" w:space="0" w:color="auto"/>
        <w:right w:val="none" w:sz="0" w:space="0" w:color="auto"/>
      </w:divBdr>
    </w:div>
    <w:div w:id="1235118725">
      <w:bodyDiv w:val="1"/>
      <w:marLeft w:val="0"/>
      <w:marRight w:val="0"/>
      <w:marTop w:val="0"/>
      <w:marBottom w:val="0"/>
      <w:divBdr>
        <w:top w:val="none" w:sz="0" w:space="0" w:color="auto"/>
        <w:left w:val="none" w:sz="0" w:space="0" w:color="auto"/>
        <w:bottom w:val="none" w:sz="0" w:space="0" w:color="auto"/>
        <w:right w:val="none" w:sz="0" w:space="0" w:color="auto"/>
      </w:divBdr>
      <w:divsChild>
        <w:div w:id="1009405279">
          <w:marLeft w:val="0"/>
          <w:marRight w:val="0"/>
          <w:marTop w:val="0"/>
          <w:marBottom w:val="0"/>
          <w:divBdr>
            <w:top w:val="none" w:sz="0" w:space="0" w:color="auto"/>
            <w:left w:val="none" w:sz="0" w:space="0" w:color="auto"/>
            <w:bottom w:val="none" w:sz="0" w:space="0" w:color="auto"/>
            <w:right w:val="none" w:sz="0" w:space="0" w:color="auto"/>
          </w:divBdr>
        </w:div>
        <w:div w:id="1370105828">
          <w:marLeft w:val="0"/>
          <w:marRight w:val="0"/>
          <w:marTop w:val="0"/>
          <w:marBottom w:val="0"/>
          <w:divBdr>
            <w:top w:val="none" w:sz="0" w:space="0" w:color="auto"/>
            <w:left w:val="none" w:sz="0" w:space="0" w:color="auto"/>
            <w:bottom w:val="none" w:sz="0" w:space="0" w:color="auto"/>
            <w:right w:val="none" w:sz="0" w:space="0" w:color="auto"/>
          </w:divBdr>
        </w:div>
        <w:div w:id="1519805642">
          <w:marLeft w:val="0"/>
          <w:marRight w:val="0"/>
          <w:marTop w:val="0"/>
          <w:marBottom w:val="0"/>
          <w:divBdr>
            <w:top w:val="none" w:sz="0" w:space="0" w:color="auto"/>
            <w:left w:val="none" w:sz="0" w:space="0" w:color="auto"/>
            <w:bottom w:val="none" w:sz="0" w:space="0" w:color="auto"/>
            <w:right w:val="none" w:sz="0" w:space="0" w:color="auto"/>
          </w:divBdr>
        </w:div>
        <w:div w:id="1898973436">
          <w:marLeft w:val="0"/>
          <w:marRight w:val="0"/>
          <w:marTop w:val="0"/>
          <w:marBottom w:val="0"/>
          <w:divBdr>
            <w:top w:val="none" w:sz="0" w:space="0" w:color="auto"/>
            <w:left w:val="none" w:sz="0" w:space="0" w:color="auto"/>
            <w:bottom w:val="none" w:sz="0" w:space="0" w:color="auto"/>
            <w:right w:val="none" w:sz="0" w:space="0" w:color="auto"/>
          </w:divBdr>
        </w:div>
      </w:divsChild>
    </w:div>
    <w:div w:id="1246189665">
      <w:bodyDiv w:val="1"/>
      <w:marLeft w:val="0"/>
      <w:marRight w:val="0"/>
      <w:marTop w:val="0"/>
      <w:marBottom w:val="0"/>
      <w:divBdr>
        <w:top w:val="none" w:sz="0" w:space="0" w:color="auto"/>
        <w:left w:val="none" w:sz="0" w:space="0" w:color="auto"/>
        <w:bottom w:val="none" w:sz="0" w:space="0" w:color="auto"/>
        <w:right w:val="none" w:sz="0" w:space="0" w:color="auto"/>
      </w:divBdr>
    </w:div>
    <w:div w:id="1255087144">
      <w:bodyDiv w:val="1"/>
      <w:marLeft w:val="0"/>
      <w:marRight w:val="0"/>
      <w:marTop w:val="0"/>
      <w:marBottom w:val="0"/>
      <w:divBdr>
        <w:top w:val="none" w:sz="0" w:space="0" w:color="auto"/>
        <w:left w:val="none" w:sz="0" w:space="0" w:color="auto"/>
        <w:bottom w:val="none" w:sz="0" w:space="0" w:color="auto"/>
        <w:right w:val="none" w:sz="0" w:space="0" w:color="auto"/>
      </w:divBdr>
    </w:div>
    <w:div w:id="1294559940">
      <w:bodyDiv w:val="1"/>
      <w:marLeft w:val="0"/>
      <w:marRight w:val="0"/>
      <w:marTop w:val="0"/>
      <w:marBottom w:val="0"/>
      <w:divBdr>
        <w:top w:val="none" w:sz="0" w:space="0" w:color="auto"/>
        <w:left w:val="none" w:sz="0" w:space="0" w:color="auto"/>
        <w:bottom w:val="none" w:sz="0" w:space="0" w:color="auto"/>
        <w:right w:val="none" w:sz="0" w:space="0" w:color="auto"/>
      </w:divBdr>
      <w:divsChild>
        <w:div w:id="789593277">
          <w:marLeft w:val="0"/>
          <w:marRight w:val="0"/>
          <w:marTop w:val="0"/>
          <w:marBottom w:val="0"/>
          <w:divBdr>
            <w:top w:val="none" w:sz="0" w:space="0" w:color="auto"/>
            <w:left w:val="none" w:sz="0" w:space="0" w:color="auto"/>
            <w:bottom w:val="none" w:sz="0" w:space="0" w:color="auto"/>
            <w:right w:val="none" w:sz="0" w:space="0" w:color="auto"/>
          </w:divBdr>
        </w:div>
        <w:div w:id="912398777">
          <w:marLeft w:val="0"/>
          <w:marRight w:val="0"/>
          <w:marTop w:val="0"/>
          <w:marBottom w:val="0"/>
          <w:divBdr>
            <w:top w:val="none" w:sz="0" w:space="0" w:color="auto"/>
            <w:left w:val="none" w:sz="0" w:space="0" w:color="auto"/>
            <w:bottom w:val="none" w:sz="0" w:space="0" w:color="auto"/>
            <w:right w:val="none" w:sz="0" w:space="0" w:color="auto"/>
          </w:divBdr>
        </w:div>
        <w:div w:id="1101073163">
          <w:marLeft w:val="0"/>
          <w:marRight w:val="0"/>
          <w:marTop w:val="0"/>
          <w:marBottom w:val="0"/>
          <w:divBdr>
            <w:top w:val="none" w:sz="0" w:space="0" w:color="auto"/>
            <w:left w:val="none" w:sz="0" w:space="0" w:color="auto"/>
            <w:bottom w:val="none" w:sz="0" w:space="0" w:color="auto"/>
            <w:right w:val="none" w:sz="0" w:space="0" w:color="auto"/>
          </w:divBdr>
        </w:div>
      </w:divsChild>
    </w:div>
    <w:div w:id="1325477769">
      <w:bodyDiv w:val="1"/>
      <w:marLeft w:val="0"/>
      <w:marRight w:val="0"/>
      <w:marTop w:val="0"/>
      <w:marBottom w:val="0"/>
      <w:divBdr>
        <w:top w:val="none" w:sz="0" w:space="0" w:color="auto"/>
        <w:left w:val="none" w:sz="0" w:space="0" w:color="auto"/>
        <w:bottom w:val="none" w:sz="0" w:space="0" w:color="auto"/>
        <w:right w:val="none" w:sz="0" w:space="0" w:color="auto"/>
      </w:divBdr>
    </w:div>
    <w:div w:id="1350713367">
      <w:bodyDiv w:val="1"/>
      <w:marLeft w:val="0"/>
      <w:marRight w:val="0"/>
      <w:marTop w:val="0"/>
      <w:marBottom w:val="0"/>
      <w:divBdr>
        <w:top w:val="none" w:sz="0" w:space="0" w:color="auto"/>
        <w:left w:val="none" w:sz="0" w:space="0" w:color="auto"/>
        <w:bottom w:val="none" w:sz="0" w:space="0" w:color="auto"/>
        <w:right w:val="none" w:sz="0" w:space="0" w:color="auto"/>
      </w:divBdr>
      <w:divsChild>
        <w:div w:id="869957613">
          <w:marLeft w:val="0"/>
          <w:marRight w:val="0"/>
          <w:marTop w:val="0"/>
          <w:marBottom w:val="0"/>
          <w:divBdr>
            <w:top w:val="none" w:sz="0" w:space="0" w:color="auto"/>
            <w:left w:val="none" w:sz="0" w:space="0" w:color="auto"/>
            <w:bottom w:val="none" w:sz="0" w:space="0" w:color="auto"/>
            <w:right w:val="none" w:sz="0" w:space="0" w:color="auto"/>
          </w:divBdr>
        </w:div>
        <w:div w:id="1402025696">
          <w:marLeft w:val="0"/>
          <w:marRight w:val="0"/>
          <w:marTop w:val="0"/>
          <w:marBottom w:val="0"/>
          <w:divBdr>
            <w:top w:val="none" w:sz="0" w:space="0" w:color="auto"/>
            <w:left w:val="none" w:sz="0" w:space="0" w:color="auto"/>
            <w:bottom w:val="none" w:sz="0" w:space="0" w:color="auto"/>
            <w:right w:val="none" w:sz="0" w:space="0" w:color="auto"/>
          </w:divBdr>
        </w:div>
      </w:divsChild>
    </w:div>
    <w:div w:id="1381514646">
      <w:bodyDiv w:val="1"/>
      <w:marLeft w:val="0"/>
      <w:marRight w:val="0"/>
      <w:marTop w:val="0"/>
      <w:marBottom w:val="0"/>
      <w:divBdr>
        <w:top w:val="none" w:sz="0" w:space="0" w:color="auto"/>
        <w:left w:val="none" w:sz="0" w:space="0" w:color="auto"/>
        <w:bottom w:val="none" w:sz="0" w:space="0" w:color="auto"/>
        <w:right w:val="none" w:sz="0" w:space="0" w:color="auto"/>
      </w:divBdr>
    </w:div>
    <w:div w:id="1427380906">
      <w:bodyDiv w:val="1"/>
      <w:marLeft w:val="0"/>
      <w:marRight w:val="0"/>
      <w:marTop w:val="0"/>
      <w:marBottom w:val="0"/>
      <w:divBdr>
        <w:top w:val="none" w:sz="0" w:space="0" w:color="auto"/>
        <w:left w:val="none" w:sz="0" w:space="0" w:color="auto"/>
        <w:bottom w:val="none" w:sz="0" w:space="0" w:color="auto"/>
        <w:right w:val="none" w:sz="0" w:space="0" w:color="auto"/>
      </w:divBdr>
      <w:divsChild>
        <w:div w:id="94403300">
          <w:marLeft w:val="0"/>
          <w:marRight w:val="0"/>
          <w:marTop w:val="0"/>
          <w:marBottom w:val="0"/>
          <w:divBdr>
            <w:top w:val="none" w:sz="0" w:space="0" w:color="auto"/>
            <w:left w:val="none" w:sz="0" w:space="0" w:color="auto"/>
            <w:bottom w:val="none" w:sz="0" w:space="0" w:color="auto"/>
            <w:right w:val="none" w:sz="0" w:space="0" w:color="auto"/>
          </w:divBdr>
        </w:div>
        <w:div w:id="447285884">
          <w:marLeft w:val="0"/>
          <w:marRight w:val="0"/>
          <w:marTop w:val="0"/>
          <w:marBottom w:val="0"/>
          <w:divBdr>
            <w:top w:val="none" w:sz="0" w:space="0" w:color="auto"/>
            <w:left w:val="none" w:sz="0" w:space="0" w:color="auto"/>
            <w:bottom w:val="none" w:sz="0" w:space="0" w:color="auto"/>
            <w:right w:val="none" w:sz="0" w:space="0" w:color="auto"/>
          </w:divBdr>
        </w:div>
      </w:divsChild>
    </w:div>
    <w:div w:id="1481922481">
      <w:bodyDiv w:val="1"/>
      <w:marLeft w:val="0"/>
      <w:marRight w:val="0"/>
      <w:marTop w:val="0"/>
      <w:marBottom w:val="0"/>
      <w:divBdr>
        <w:top w:val="none" w:sz="0" w:space="0" w:color="auto"/>
        <w:left w:val="none" w:sz="0" w:space="0" w:color="auto"/>
        <w:bottom w:val="none" w:sz="0" w:space="0" w:color="auto"/>
        <w:right w:val="none" w:sz="0" w:space="0" w:color="auto"/>
      </w:divBdr>
    </w:div>
    <w:div w:id="1492865524">
      <w:bodyDiv w:val="1"/>
      <w:marLeft w:val="0"/>
      <w:marRight w:val="0"/>
      <w:marTop w:val="0"/>
      <w:marBottom w:val="0"/>
      <w:divBdr>
        <w:top w:val="none" w:sz="0" w:space="0" w:color="auto"/>
        <w:left w:val="none" w:sz="0" w:space="0" w:color="auto"/>
        <w:bottom w:val="none" w:sz="0" w:space="0" w:color="auto"/>
        <w:right w:val="none" w:sz="0" w:space="0" w:color="auto"/>
      </w:divBdr>
      <w:divsChild>
        <w:div w:id="331185220">
          <w:marLeft w:val="0"/>
          <w:marRight w:val="0"/>
          <w:marTop w:val="0"/>
          <w:marBottom w:val="0"/>
          <w:divBdr>
            <w:top w:val="none" w:sz="0" w:space="0" w:color="auto"/>
            <w:left w:val="none" w:sz="0" w:space="0" w:color="auto"/>
            <w:bottom w:val="none" w:sz="0" w:space="0" w:color="auto"/>
            <w:right w:val="none" w:sz="0" w:space="0" w:color="auto"/>
          </w:divBdr>
        </w:div>
        <w:div w:id="576205998">
          <w:marLeft w:val="0"/>
          <w:marRight w:val="0"/>
          <w:marTop w:val="0"/>
          <w:marBottom w:val="0"/>
          <w:divBdr>
            <w:top w:val="none" w:sz="0" w:space="0" w:color="auto"/>
            <w:left w:val="none" w:sz="0" w:space="0" w:color="auto"/>
            <w:bottom w:val="none" w:sz="0" w:space="0" w:color="auto"/>
            <w:right w:val="none" w:sz="0" w:space="0" w:color="auto"/>
          </w:divBdr>
        </w:div>
        <w:div w:id="867983516">
          <w:marLeft w:val="0"/>
          <w:marRight w:val="0"/>
          <w:marTop w:val="0"/>
          <w:marBottom w:val="0"/>
          <w:divBdr>
            <w:top w:val="none" w:sz="0" w:space="0" w:color="auto"/>
            <w:left w:val="none" w:sz="0" w:space="0" w:color="auto"/>
            <w:bottom w:val="none" w:sz="0" w:space="0" w:color="auto"/>
            <w:right w:val="none" w:sz="0" w:space="0" w:color="auto"/>
          </w:divBdr>
        </w:div>
        <w:div w:id="1418818456">
          <w:marLeft w:val="0"/>
          <w:marRight w:val="0"/>
          <w:marTop w:val="0"/>
          <w:marBottom w:val="0"/>
          <w:divBdr>
            <w:top w:val="none" w:sz="0" w:space="0" w:color="auto"/>
            <w:left w:val="none" w:sz="0" w:space="0" w:color="auto"/>
            <w:bottom w:val="none" w:sz="0" w:space="0" w:color="auto"/>
            <w:right w:val="none" w:sz="0" w:space="0" w:color="auto"/>
          </w:divBdr>
        </w:div>
        <w:div w:id="1442339247">
          <w:marLeft w:val="0"/>
          <w:marRight w:val="0"/>
          <w:marTop w:val="0"/>
          <w:marBottom w:val="0"/>
          <w:divBdr>
            <w:top w:val="none" w:sz="0" w:space="0" w:color="auto"/>
            <w:left w:val="none" w:sz="0" w:space="0" w:color="auto"/>
            <w:bottom w:val="none" w:sz="0" w:space="0" w:color="auto"/>
            <w:right w:val="none" w:sz="0" w:space="0" w:color="auto"/>
          </w:divBdr>
        </w:div>
      </w:divsChild>
    </w:div>
    <w:div w:id="1522469827">
      <w:bodyDiv w:val="1"/>
      <w:marLeft w:val="0"/>
      <w:marRight w:val="0"/>
      <w:marTop w:val="0"/>
      <w:marBottom w:val="0"/>
      <w:divBdr>
        <w:top w:val="none" w:sz="0" w:space="0" w:color="auto"/>
        <w:left w:val="none" w:sz="0" w:space="0" w:color="auto"/>
        <w:bottom w:val="none" w:sz="0" w:space="0" w:color="auto"/>
        <w:right w:val="none" w:sz="0" w:space="0" w:color="auto"/>
      </w:divBdr>
      <w:divsChild>
        <w:div w:id="754670130">
          <w:marLeft w:val="0"/>
          <w:marRight w:val="0"/>
          <w:marTop w:val="0"/>
          <w:marBottom w:val="0"/>
          <w:divBdr>
            <w:top w:val="none" w:sz="0" w:space="0" w:color="auto"/>
            <w:left w:val="none" w:sz="0" w:space="0" w:color="auto"/>
            <w:bottom w:val="none" w:sz="0" w:space="0" w:color="auto"/>
            <w:right w:val="none" w:sz="0" w:space="0" w:color="auto"/>
          </w:divBdr>
        </w:div>
        <w:div w:id="2021197956">
          <w:marLeft w:val="0"/>
          <w:marRight w:val="0"/>
          <w:marTop w:val="0"/>
          <w:marBottom w:val="0"/>
          <w:divBdr>
            <w:top w:val="none" w:sz="0" w:space="0" w:color="auto"/>
            <w:left w:val="none" w:sz="0" w:space="0" w:color="auto"/>
            <w:bottom w:val="none" w:sz="0" w:space="0" w:color="auto"/>
            <w:right w:val="none" w:sz="0" w:space="0" w:color="auto"/>
          </w:divBdr>
        </w:div>
      </w:divsChild>
    </w:div>
    <w:div w:id="1529639587">
      <w:bodyDiv w:val="1"/>
      <w:marLeft w:val="0"/>
      <w:marRight w:val="0"/>
      <w:marTop w:val="0"/>
      <w:marBottom w:val="0"/>
      <w:divBdr>
        <w:top w:val="none" w:sz="0" w:space="0" w:color="auto"/>
        <w:left w:val="none" w:sz="0" w:space="0" w:color="auto"/>
        <w:bottom w:val="none" w:sz="0" w:space="0" w:color="auto"/>
        <w:right w:val="none" w:sz="0" w:space="0" w:color="auto"/>
      </w:divBdr>
    </w:div>
    <w:div w:id="1559391249">
      <w:bodyDiv w:val="1"/>
      <w:marLeft w:val="0"/>
      <w:marRight w:val="0"/>
      <w:marTop w:val="0"/>
      <w:marBottom w:val="0"/>
      <w:divBdr>
        <w:top w:val="none" w:sz="0" w:space="0" w:color="auto"/>
        <w:left w:val="none" w:sz="0" w:space="0" w:color="auto"/>
        <w:bottom w:val="none" w:sz="0" w:space="0" w:color="auto"/>
        <w:right w:val="none" w:sz="0" w:space="0" w:color="auto"/>
      </w:divBdr>
    </w:div>
    <w:div w:id="1580752619">
      <w:bodyDiv w:val="1"/>
      <w:marLeft w:val="0"/>
      <w:marRight w:val="0"/>
      <w:marTop w:val="0"/>
      <w:marBottom w:val="0"/>
      <w:divBdr>
        <w:top w:val="none" w:sz="0" w:space="0" w:color="auto"/>
        <w:left w:val="none" w:sz="0" w:space="0" w:color="auto"/>
        <w:bottom w:val="none" w:sz="0" w:space="0" w:color="auto"/>
        <w:right w:val="none" w:sz="0" w:space="0" w:color="auto"/>
      </w:divBdr>
      <w:divsChild>
        <w:div w:id="1102411627">
          <w:marLeft w:val="0"/>
          <w:marRight w:val="0"/>
          <w:marTop w:val="0"/>
          <w:marBottom w:val="0"/>
          <w:divBdr>
            <w:top w:val="none" w:sz="0" w:space="0" w:color="auto"/>
            <w:left w:val="none" w:sz="0" w:space="0" w:color="auto"/>
            <w:bottom w:val="none" w:sz="0" w:space="0" w:color="auto"/>
            <w:right w:val="none" w:sz="0" w:space="0" w:color="auto"/>
          </w:divBdr>
        </w:div>
        <w:div w:id="1166240761">
          <w:marLeft w:val="0"/>
          <w:marRight w:val="0"/>
          <w:marTop w:val="0"/>
          <w:marBottom w:val="0"/>
          <w:divBdr>
            <w:top w:val="none" w:sz="0" w:space="0" w:color="auto"/>
            <w:left w:val="none" w:sz="0" w:space="0" w:color="auto"/>
            <w:bottom w:val="none" w:sz="0" w:space="0" w:color="auto"/>
            <w:right w:val="none" w:sz="0" w:space="0" w:color="auto"/>
          </w:divBdr>
        </w:div>
        <w:div w:id="1167092432">
          <w:marLeft w:val="0"/>
          <w:marRight w:val="0"/>
          <w:marTop w:val="0"/>
          <w:marBottom w:val="0"/>
          <w:divBdr>
            <w:top w:val="none" w:sz="0" w:space="0" w:color="auto"/>
            <w:left w:val="none" w:sz="0" w:space="0" w:color="auto"/>
            <w:bottom w:val="none" w:sz="0" w:space="0" w:color="auto"/>
            <w:right w:val="none" w:sz="0" w:space="0" w:color="auto"/>
          </w:divBdr>
        </w:div>
      </w:divsChild>
    </w:div>
    <w:div w:id="1660497652">
      <w:bodyDiv w:val="1"/>
      <w:marLeft w:val="0"/>
      <w:marRight w:val="0"/>
      <w:marTop w:val="0"/>
      <w:marBottom w:val="0"/>
      <w:divBdr>
        <w:top w:val="none" w:sz="0" w:space="0" w:color="auto"/>
        <w:left w:val="none" w:sz="0" w:space="0" w:color="auto"/>
        <w:bottom w:val="none" w:sz="0" w:space="0" w:color="auto"/>
        <w:right w:val="none" w:sz="0" w:space="0" w:color="auto"/>
      </w:divBdr>
    </w:div>
    <w:div w:id="1744642395">
      <w:bodyDiv w:val="1"/>
      <w:marLeft w:val="0"/>
      <w:marRight w:val="0"/>
      <w:marTop w:val="0"/>
      <w:marBottom w:val="0"/>
      <w:divBdr>
        <w:top w:val="none" w:sz="0" w:space="0" w:color="auto"/>
        <w:left w:val="none" w:sz="0" w:space="0" w:color="auto"/>
        <w:bottom w:val="none" w:sz="0" w:space="0" w:color="auto"/>
        <w:right w:val="none" w:sz="0" w:space="0" w:color="auto"/>
      </w:divBdr>
      <w:divsChild>
        <w:div w:id="96365048">
          <w:marLeft w:val="0"/>
          <w:marRight w:val="0"/>
          <w:marTop w:val="0"/>
          <w:marBottom w:val="0"/>
          <w:divBdr>
            <w:top w:val="none" w:sz="0" w:space="0" w:color="auto"/>
            <w:left w:val="none" w:sz="0" w:space="0" w:color="auto"/>
            <w:bottom w:val="none" w:sz="0" w:space="0" w:color="auto"/>
            <w:right w:val="none" w:sz="0" w:space="0" w:color="auto"/>
          </w:divBdr>
        </w:div>
        <w:div w:id="895819817">
          <w:marLeft w:val="0"/>
          <w:marRight w:val="0"/>
          <w:marTop w:val="0"/>
          <w:marBottom w:val="0"/>
          <w:divBdr>
            <w:top w:val="none" w:sz="0" w:space="0" w:color="auto"/>
            <w:left w:val="none" w:sz="0" w:space="0" w:color="auto"/>
            <w:bottom w:val="none" w:sz="0" w:space="0" w:color="auto"/>
            <w:right w:val="none" w:sz="0" w:space="0" w:color="auto"/>
          </w:divBdr>
        </w:div>
        <w:div w:id="1280455897">
          <w:marLeft w:val="0"/>
          <w:marRight w:val="0"/>
          <w:marTop w:val="0"/>
          <w:marBottom w:val="0"/>
          <w:divBdr>
            <w:top w:val="none" w:sz="0" w:space="0" w:color="auto"/>
            <w:left w:val="none" w:sz="0" w:space="0" w:color="auto"/>
            <w:bottom w:val="none" w:sz="0" w:space="0" w:color="auto"/>
            <w:right w:val="none" w:sz="0" w:space="0" w:color="auto"/>
          </w:divBdr>
        </w:div>
        <w:div w:id="1575965226">
          <w:marLeft w:val="0"/>
          <w:marRight w:val="0"/>
          <w:marTop w:val="0"/>
          <w:marBottom w:val="0"/>
          <w:divBdr>
            <w:top w:val="none" w:sz="0" w:space="0" w:color="auto"/>
            <w:left w:val="none" w:sz="0" w:space="0" w:color="auto"/>
            <w:bottom w:val="none" w:sz="0" w:space="0" w:color="auto"/>
            <w:right w:val="none" w:sz="0" w:space="0" w:color="auto"/>
          </w:divBdr>
        </w:div>
      </w:divsChild>
    </w:div>
    <w:div w:id="1749418819">
      <w:bodyDiv w:val="1"/>
      <w:marLeft w:val="0"/>
      <w:marRight w:val="0"/>
      <w:marTop w:val="0"/>
      <w:marBottom w:val="0"/>
      <w:divBdr>
        <w:top w:val="none" w:sz="0" w:space="0" w:color="auto"/>
        <w:left w:val="none" w:sz="0" w:space="0" w:color="auto"/>
        <w:bottom w:val="none" w:sz="0" w:space="0" w:color="auto"/>
        <w:right w:val="none" w:sz="0" w:space="0" w:color="auto"/>
      </w:divBdr>
    </w:div>
    <w:div w:id="1787387162">
      <w:bodyDiv w:val="1"/>
      <w:marLeft w:val="0"/>
      <w:marRight w:val="0"/>
      <w:marTop w:val="0"/>
      <w:marBottom w:val="0"/>
      <w:divBdr>
        <w:top w:val="none" w:sz="0" w:space="0" w:color="auto"/>
        <w:left w:val="none" w:sz="0" w:space="0" w:color="auto"/>
        <w:bottom w:val="none" w:sz="0" w:space="0" w:color="auto"/>
        <w:right w:val="none" w:sz="0" w:space="0" w:color="auto"/>
      </w:divBdr>
      <w:divsChild>
        <w:div w:id="656230468">
          <w:marLeft w:val="0"/>
          <w:marRight w:val="0"/>
          <w:marTop w:val="0"/>
          <w:marBottom w:val="0"/>
          <w:divBdr>
            <w:top w:val="none" w:sz="0" w:space="0" w:color="auto"/>
            <w:left w:val="none" w:sz="0" w:space="0" w:color="auto"/>
            <w:bottom w:val="none" w:sz="0" w:space="0" w:color="auto"/>
            <w:right w:val="none" w:sz="0" w:space="0" w:color="auto"/>
          </w:divBdr>
        </w:div>
        <w:div w:id="1787045610">
          <w:marLeft w:val="0"/>
          <w:marRight w:val="0"/>
          <w:marTop w:val="0"/>
          <w:marBottom w:val="0"/>
          <w:divBdr>
            <w:top w:val="none" w:sz="0" w:space="0" w:color="auto"/>
            <w:left w:val="none" w:sz="0" w:space="0" w:color="auto"/>
            <w:bottom w:val="none" w:sz="0" w:space="0" w:color="auto"/>
            <w:right w:val="none" w:sz="0" w:space="0" w:color="auto"/>
          </w:divBdr>
        </w:div>
      </w:divsChild>
    </w:div>
    <w:div w:id="1880773954">
      <w:bodyDiv w:val="1"/>
      <w:marLeft w:val="0"/>
      <w:marRight w:val="0"/>
      <w:marTop w:val="0"/>
      <w:marBottom w:val="0"/>
      <w:divBdr>
        <w:top w:val="none" w:sz="0" w:space="0" w:color="auto"/>
        <w:left w:val="none" w:sz="0" w:space="0" w:color="auto"/>
        <w:bottom w:val="none" w:sz="0" w:space="0" w:color="auto"/>
        <w:right w:val="none" w:sz="0" w:space="0" w:color="auto"/>
      </w:divBdr>
    </w:div>
    <w:div w:id="2002658044">
      <w:bodyDiv w:val="1"/>
      <w:marLeft w:val="0"/>
      <w:marRight w:val="0"/>
      <w:marTop w:val="0"/>
      <w:marBottom w:val="0"/>
      <w:divBdr>
        <w:top w:val="none" w:sz="0" w:space="0" w:color="auto"/>
        <w:left w:val="none" w:sz="0" w:space="0" w:color="auto"/>
        <w:bottom w:val="none" w:sz="0" w:space="0" w:color="auto"/>
        <w:right w:val="none" w:sz="0" w:space="0" w:color="auto"/>
      </w:divBdr>
    </w:div>
    <w:div w:id="2126458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oceans-and-fisheries.ec.europa.eu/publications/common-fisheries-policy-today-and-tomorrow-fisheries-and-oceans-pact-towards-sustainable-science_en" TargetMode="External"/><Relationship Id="rId2" Type="http://schemas.openxmlformats.org/officeDocument/2006/relationships/hyperlink" Target="https://www.nature.com/articles/s41591-023-02419-z" TargetMode="External"/><Relationship Id="rId1" Type="http://schemas.openxmlformats.org/officeDocument/2006/relationships/hyperlink" Target="https://doi.org/10.1038/s41591-023-02419-z" TargetMode="External"/><Relationship Id="rId5" Type="http://schemas.openxmlformats.org/officeDocument/2006/relationships/hyperlink" Target="https://op.europa.eu/en/web/eu-law-and-publications/publication-detail/-/publication/2f1ec1d2-1173-11ee-b12e-01aa75ed71a1" TargetMode="External"/><Relationship Id="rId4" Type="http://schemas.openxmlformats.org/officeDocument/2006/relationships/hyperlink" Target="https://newfinancial.org/wp-content/uploads/2024.01-A-renewed-vision-for-EU-capital-markets-New-Financi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987089B2DDC4EA3C5EEDA50AEC7B2" ma:contentTypeVersion="18" ma:contentTypeDescription="Create a new document." ma:contentTypeScope="" ma:versionID="515fdc0f9a7d11954d94cb1103835bdf">
  <xsd:schema xmlns:xsd="http://www.w3.org/2001/XMLSchema" xmlns:xs="http://www.w3.org/2001/XMLSchema" xmlns:p="http://schemas.microsoft.com/office/2006/metadata/properties" xmlns:ns2="122f29e7-6632-4cfe-826d-d0aa7d34b0a3" xmlns:ns3="0963436b-35f1-4197-85e1-d8d1686f5aa4" targetNamespace="http://schemas.microsoft.com/office/2006/metadata/properties" ma:root="true" ma:fieldsID="693a45ec431d16f66d3b0ff7a4b65068" ns2:_="" ns3:_="">
    <xsd:import namespace="122f29e7-6632-4cfe-826d-d0aa7d34b0a3"/>
    <xsd:import namespace="0963436b-35f1-4197-85e1-d8d1686f5a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ForcontributionsbyCLIMAunit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f29e7-6632-4cfe-826d-d0aa7d34b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ForcontributionsbyCLIMAunits" ma:index="21" nillable="true" ma:displayName="For contributions by CLIMA units" ma:format="Dropdown" ma:list="UserInfo" ma:SharePointGroup="0" ma:internalName="ForcontributionsbyCLIMAuni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63436b-35f1-4197-85e1-d8d1686f5a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865d83c-5963-4a75-819a-ef9fffe75ef7}" ma:internalName="TaxCatchAll" ma:showField="CatchAllData" ma:web="0963436b-35f1-4197-85e1-d8d1686f5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f29e7-6632-4cfe-826d-d0aa7d34b0a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0963436b-35f1-4197-85e1-d8d1686f5aa4" xsi:nil="true"/>
    <ForcontributionsbyCLIMAunits xmlns="122f29e7-6632-4cfe-826d-d0aa7d34b0a3">
      <UserInfo>
        <DisplayName/>
        <AccountId xsi:nil="true"/>
        <AccountType/>
      </UserInfo>
    </ForcontributionsbyCLIMAunit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04B15-1029-4867-9848-DEB1526D0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f29e7-6632-4cfe-826d-d0aa7d34b0a3"/>
    <ds:schemaRef ds:uri="0963436b-35f1-4197-85e1-d8d1686f5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7A81BF-82D1-4C32-A926-B3C6C2E89C67}">
  <ds:schemaRefs>
    <ds:schemaRef ds:uri="http://schemas.microsoft.com/sharepoint/v3/contenttype/forms"/>
  </ds:schemaRefs>
</ds:datastoreItem>
</file>

<file path=customXml/itemProps3.xml><?xml version="1.0" encoding="utf-8"?>
<ds:datastoreItem xmlns:ds="http://schemas.openxmlformats.org/officeDocument/2006/customXml" ds:itemID="{F8E16424-AB9B-40C9-BE5F-71EEAD55F6A7}">
  <ds:schemaRefs>
    <ds:schemaRef ds:uri="http://schemas.microsoft.com/office/2006/metadata/properties"/>
    <ds:schemaRef ds:uri="http://schemas.microsoft.com/office/infopath/2007/PartnerControls"/>
    <ds:schemaRef ds:uri="122f29e7-6632-4cfe-826d-d0aa7d34b0a3"/>
    <ds:schemaRef ds:uri="0963436b-35f1-4197-85e1-d8d1686f5aa4"/>
  </ds:schemaRefs>
</ds:datastoreItem>
</file>

<file path=customXml/itemProps4.xml><?xml version="1.0" encoding="utf-8"?>
<ds:datastoreItem xmlns:ds="http://schemas.openxmlformats.org/officeDocument/2006/customXml" ds:itemID="{4E1C56C6-61FE-4FE0-ABF0-AA48E17A0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16658</Words>
  <Characters>94952</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111388</CharactersWithSpaces>
  <SharedDoc>false</SharedDoc>
  <HLinks>
    <vt:vector size="114" baseType="variant">
      <vt:variant>
        <vt:i4>1114164</vt:i4>
      </vt:variant>
      <vt:variant>
        <vt:i4>80</vt:i4>
      </vt:variant>
      <vt:variant>
        <vt:i4>0</vt:i4>
      </vt:variant>
      <vt:variant>
        <vt:i4>5</vt:i4>
      </vt:variant>
      <vt:variant>
        <vt:lpwstr/>
      </vt:variant>
      <vt:variant>
        <vt:lpwstr>_Toc157365457</vt:lpwstr>
      </vt:variant>
      <vt:variant>
        <vt:i4>1114164</vt:i4>
      </vt:variant>
      <vt:variant>
        <vt:i4>74</vt:i4>
      </vt:variant>
      <vt:variant>
        <vt:i4>0</vt:i4>
      </vt:variant>
      <vt:variant>
        <vt:i4>5</vt:i4>
      </vt:variant>
      <vt:variant>
        <vt:lpwstr/>
      </vt:variant>
      <vt:variant>
        <vt:lpwstr>_Toc157365456</vt:lpwstr>
      </vt:variant>
      <vt:variant>
        <vt:i4>1114164</vt:i4>
      </vt:variant>
      <vt:variant>
        <vt:i4>68</vt:i4>
      </vt:variant>
      <vt:variant>
        <vt:i4>0</vt:i4>
      </vt:variant>
      <vt:variant>
        <vt:i4>5</vt:i4>
      </vt:variant>
      <vt:variant>
        <vt:lpwstr/>
      </vt:variant>
      <vt:variant>
        <vt:lpwstr>_Toc157365455</vt:lpwstr>
      </vt:variant>
      <vt:variant>
        <vt:i4>1114164</vt:i4>
      </vt:variant>
      <vt:variant>
        <vt:i4>62</vt:i4>
      </vt:variant>
      <vt:variant>
        <vt:i4>0</vt:i4>
      </vt:variant>
      <vt:variant>
        <vt:i4>5</vt:i4>
      </vt:variant>
      <vt:variant>
        <vt:lpwstr/>
      </vt:variant>
      <vt:variant>
        <vt:lpwstr>_Toc157365454</vt:lpwstr>
      </vt:variant>
      <vt:variant>
        <vt:i4>1114164</vt:i4>
      </vt:variant>
      <vt:variant>
        <vt:i4>56</vt:i4>
      </vt:variant>
      <vt:variant>
        <vt:i4>0</vt:i4>
      </vt:variant>
      <vt:variant>
        <vt:i4>5</vt:i4>
      </vt:variant>
      <vt:variant>
        <vt:lpwstr/>
      </vt:variant>
      <vt:variant>
        <vt:lpwstr>_Toc157365453</vt:lpwstr>
      </vt:variant>
      <vt:variant>
        <vt:i4>1114164</vt:i4>
      </vt:variant>
      <vt:variant>
        <vt:i4>50</vt:i4>
      </vt:variant>
      <vt:variant>
        <vt:i4>0</vt:i4>
      </vt:variant>
      <vt:variant>
        <vt:i4>5</vt:i4>
      </vt:variant>
      <vt:variant>
        <vt:lpwstr/>
      </vt:variant>
      <vt:variant>
        <vt:lpwstr>_Toc157365452</vt:lpwstr>
      </vt:variant>
      <vt:variant>
        <vt:i4>1441844</vt:i4>
      </vt:variant>
      <vt:variant>
        <vt:i4>44</vt:i4>
      </vt:variant>
      <vt:variant>
        <vt:i4>0</vt:i4>
      </vt:variant>
      <vt:variant>
        <vt:i4>5</vt:i4>
      </vt:variant>
      <vt:variant>
        <vt:lpwstr/>
      </vt:variant>
      <vt:variant>
        <vt:lpwstr>_Toc157365429</vt:lpwstr>
      </vt:variant>
      <vt:variant>
        <vt:i4>1441844</vt:i4>
      </vt:variant>
      <vt:variant>
        <vt:i4>38</vt:i4>
      </vt:variant>
      <vt:variant>
        <vt:i4>0</vt:i4>
      </vt:variant>
      <vt:variant>
        <vt:i4>5</vt:i4>
      </vt:variant>
      <vt:variant>
        <vt:lpwstr/>
      </vt:variant>
      <vt:variant>
        <vt:lpwstr>_Toc157365428</vt:lpwstr>
      </vt:variant>
      <vt:variant>
        <vt:i4>1441844</vt:i4>
      </vt:variant>
      <vt:variant>
        <vt:i4>32</vt:i4>
      </vt:variant>
      <vt:variant>
        <vt:i4>0</vt:i4>
      </vt:variant>
      <vt:variant>
        <vt:i4>5</vt:i4>
      </vt:variant>
      <vt:variant>
        <vt:lpwstr/>
      </vt:variant>
      <vt:variant>
        <vt:lpwstr>_Toc157365427</vt:lpwstr>
      </vt:variant>
      <vt:variant>
        <vt:i4>1441844</vt:i4>
      </vt:variant>
      <vt:variant>
        <vt:i4>26</vt:i4>
      </vt:variant>
      <vt:variant>
        <vt:i4>0</vt:i4>
      </vt:variant>
      <vt:variant>
        <vt:i4>5</vt:i4>
      </vt:variant>
      <vt:variant>
        <vt:lpwstr/>
      </vt:variant>
      <vt:variant>
        <vt:lpwstr>_Toc157365426</vt:lpwstr>
      </vt:variant>
      <vt:variant>
        <vt:i4>1441844</vt:i4>
      </vt:variant>
      <vt:variant>
        <vt:i4>20</vt:i4>
      </vt:variant>
      <vt:variant>
        <vt:i4>0</vt:i4>
      </vt:variant>
      <vt:variant>
        <vt:i4>5</vt:i4>
      </vt:variant>
      <vt:variant>
        <vt:lpwstr/>
      </vt:variant>
      <vt:variant>
        <vt:lpwstr>_Toc157365425</vt:lpwstr>
      </vt:variant>
      <vt:variant>
        <vt:i4>1441844</vt:i4>
      </vt:variant>
      <vt:variant>
        <vt:i4>14</vt:i4>
      </vt:variant>
      <vt:variant>
        <vt:i4>0</vt:i4>
      </vt:variant>
      <vt:variant>
        <vt:i4>5</vt:i4>
      </vt:variant>
      <vt:variant>
        <vt:lpwstr/>
      </vt:variant>
      <vt:variant>
        <vt:lpwstr>_Toc157365424</vt:lpwstr>
      </vt:variant>
      <vt:variant>
        <vt:i4>1441844</vt:i4>
      </vt:variant>
      <vt:variant>
        <vt:i4>8</vt:i4>
      </vt:variant>
      <vt:variant>
        <vt:i4>0</vt:i4>
      </vt:variant>
      <vt:variant>
        <vt:i4>5</vt:i4>
      </vt:variant>
      <vt:variant>
        <vt:lpwstr/>
      </vt:variant>
      <vt:variant>
        <vt:lpwstr>_Toc157365423</vt:lpwstr>
      </vt:variant>
      <vt:variant>
        <vt:i4>1441844</vt:i4>
      </vt:variant>
      <vt:variant>
        <vt:i4>2</vt:i4>
      </vt:variant>
      <vt:variant>
        <vt:i4>0</vt:i4>
      </vt:variant>
      <vt:variant>
        <vt:i4>5</vt:i4>
      </vt:variant>
      <vt:variant>
        <vt:lpwstr/>
      </vt:variant>
      <vt:variant>
        <vt:lpwstr>_Toc157365421</vt:lpwstr>
      </vt:variant>
      <vt:variant>
        <vt:i4>4390918</vt:i4>
      </vt:variant>
      <vt:variant>
        <vt:i4>12</vt:i4>
      </vt:variant>
      <vt:variant>
        <vt:i4>0</vt:i4>
      </vt:variant>
      <vt:variant>
        <vt:i4>5</vt:i4>
      </vt:variant>
      <vt:variant>
        <vt:lpwstr>https://op.europa.eu/en/web/eu-law-and-publications/publication-detail/-/publication/2f1ec1d2-1173-11ee-b12e-01aa75ed71a1</vt:lpwstr>
      </vt:variant>
      <vt:variant>
        <vt:lpwstr/>
      </vt:variant>
      <vt:variant>
        <vt:i4>852020</vt:i4>
      </vt:variant>
      <vt:variant>
        <vt:i4>9</vt:i4>
      </vt:variant>
      <vt:variant>
        <vt:i4>0</vt:i4>
      </vt:variant>
      <vt:variant>
        <vt:i4>5</vt:i4>
      </vt:variant>
      <vt:variant>
        <vt:lpwstr>https://climate.ec.europa.eu/document/996c24d8-9004-4c4e-b637-60b384ae4814_en</vt:lpwstr>
      </vt:variant>
      <vt:variant>
        <vt:lpwstr/>
      </vt:variant>
      <vt:variant>
        <vt:i4>4587619</vt:i4>
      </vt:variant>
      <vt:variant>
        <vt:i4>6</vt:i4>
      </vt:variant>
      <vt:variant>
        <vt:i4>0</vt:i4>
      </vt:variant>
      <vt:variant>
        <vt:i4>5</vt:i4>
      </vt:variant>
      <vt:variant>
        <vt:lpwstr>https://oceans-and-fisheries.ec.europa.eu/publications/common-fisheries-policy-today-and-tomorrow-fisheries-and-oceans-pact-towards-sustainable-science_en</vt:lpwstr>
      </vt:variant>
      <vt:variant>
        <vt:lpwstr/>
      </vt:variant>
      <vt:variant>
        <vt:i4>8323109</vt:i4>
      </vt:variant>
      <vt:variant>
        <vt:i4>3</vt:i4>
      </vt:variant>
      <vt:variant>
        <vt:i4>0</vt:i4>
      </vt:variant>
      <vt:variant>
        <vt:i4>5</vt:i4>
      </vt:variant>
      <vt:variant>
        <vt:lpwstr>https://www.nature.com/articles/s41591-023-02419-z</vt:lpwstr>
      </vt:variant>
      <vt:variant>
        <vt:lpwstr/>
      </vt:variant>
      <vt:variant>
        <vt:i4>6553653</vt:i4>
      </vt:variant>
      <vt:variant>
        <vt:i4>0</vt:i4>
      </vt:variant>
      <vt:variant>
        <vt:i4>0</vt:i4>
      </vt:variant>
      <vt:variant>
        <vt:i4>5</vt:i4>
      </vt:variant>
      <vt:variant>
        <vt:lpwstr>https://doi.org/10.1038/s41591-023-02419-z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2024-02-06T15:20:00Z</dcterms:created>
  <dcterms:modified xsi:type="dcterms:W3CDTF">2024-03-06T09:08:00Z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2024-01-30T14:09:49Z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19018972-1768-4038-a815-099e5be69273</vt:lpwstr>
  </property>
  <property fmtid="{D5CDD505-2E9C-101B-9397-08002B2CF9AE}" pid="8" name="MSIP_Label_6bd9ddd1-4d20-43f6-abfa-fc3c07406f94_ContentBits">
    <vt:lpwstr>0</vt:lpwstr>
  </property>
  <property fmtid="{D5CDD505-2E9C-101B-9397-08002B2CF9AE}" pid="9" name="MediaServiceImageTags">
    <vt:lpwstr/>
  </property>
  <property fmtid="{D5CDD505-2E9C-101B-9397-08002B2CF9AE}" pid="10" name="ContentTypeId">
    <vt:lpwstr>0x010100AE1987089B2DDC4EA3C5EEDA50AEC7B2</vt:lpwstr>
  </property>
  <property fmtid="{D5CDD505-2E9C-101B-9397-08002B2CF9AE}" pid="11" name="Level of sensitivity">
    <vt:lpwstr>Standard treatment</vt:lpwstr>
  </property>
  <property fmtid="{D5CDD505-2E9C-101B-9397-08002B2CF9AE}" pid="12" name="Last edi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CP-014</vt:lpwstr>
  </property>
</Properties>
</file>