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EF6AE" w14:textId="57B4F1A4" w:rsidR="00957D7E" w:rsidRPr="00C05138" w:rsidRDefault="00C644BA" w:rsidP="00C644BA">
      <w:pPr>
        <w:pStyle w:val="Pagedecouverture"/>
        <w:rPr>
          <w:noProof/>
          <w:lang w:val="ro-RO"/>
        </w:rPr>
      </w:pPr>
      <w:bookmarkStart w:id="0" w:name="LW_BM_COVERPAGE"/>
      <w:r>
        <w:rPr>
          <w:noProof/>
          <w:lang w:val="ro-RO"/>
        </w:rPr>
        <w:pict w14:anchorId="290E3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9931172-646B-423A-8A40-B2E3274659E6" style="width:455.25pt;height:378.75pt">
            <v:imagedata r:id="rId11" o:title=""/>
          </v:shape>
        </w:pict>
      </w:r>
    </w:p>
    <w:bookmarkEnd w:id="0"/>
    <w:p w14:paraId="499A1118" w14:textId="77777777" w:rsidR="000A37A5" w:rsidRPr="00C05138" w:rsidRDefault="000A37A5" w:rsidP="002A12CF">
      <w:pPr>
        <w:rPr>
          <w:noProof/>
          <w:lang w:val="ro-RO"/>
        </w:rPr>
        <w:sectPr w:rsidR="000A37A5" w:rsidRPr="00C05138" w:rsidSect="00C644B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bookmarkStart w:id="2" w:name="_Toc160178622" w:displacedByCustomXml="next"/>
    <w:sdt>
      <w:sdtPr>
        <w:rPr>
          <w:b w:val="0"/>
          <w:noProof/>
          <w:lang w:val="ro-RO"/>
        </w:rPr>
        <w:id w:val="1404192831"/>
        <w:docPartObj>
          <w:docPartGallery w:val="Table of Contents"/>
          <w:docPartUnique/>
        </w:docPartObj>
      </w:sdtPr>
      <w:sdtEndPr/>
      <w:sdtContent>
        <w:p w14:paraId="25C04743" w14:textId="77777777" w:rsidR="00482E88" w:rsidRPr="00C05138" w:rsidRDefault="00482E88" w:rsidP="00482E88">
          <w:pPr>
            <w:pStyle w:val="Heading1"/>
            <w:rPr>
              <w:noProof/>
              <w:lang w:val="ro-RO"/>
            </w:rPr>
          </w:pPr>
          <w:r w:rsidRPr="00C05138">
            <w:rPr>
              <w:noProof/>
              <w:lang w:val="ro-RO"/>
            </w:rPr>
            <w:t>Cuprins</w:t>
          </w:r>
          <w:bookmarkEnd w:id="2"/>
        </w:p>
        <w:p w14:paraId="439FEDC4" w14:textId="5A784274" w:rsidR="00313DCF" w:rsidRPr="00C05138" w:rsidRDefault="00313DCF">
          <w:pPr>
            <w:pStyle w:val="TOC1"/>
            <w:rPr>
              <w:rFonts w:asciiTheme="minorHAnsi" w:eastAsiaTheme="minorEastAsia" w:hAnsiTheme="minorHAnsi" w:cstheme="minorBidi"/>
              <w:noProof/>
              <w:kern w:val="2"/>
              <w:sz w:val="22"/>
              <w:szCs w:val="22"/>
              <w:lang w:val="ro-RO"/>
              <w14:ligatures w14:val="standardContextual"/>
            </w:rPr>
          </w:pPr>
          <w:r w:rsidRPr="00C05138">
            <w:rPr>
              <w:noProof/>
              <w:lang w:val="ro-RO"/>
            </w:rPr>
            <w:fldChar w:fldCharType="begin"/>
          </w:r>
          <w:r w:rsidRPr="00C05138">
            <w:rPr>
              <w:noProof/>
              <w:lang w:val="ro-RO"/>
            </w:rPr>
            <w:instrText xml:space="preserve"> TOC \o "1-2" \h \z \u </w:instrText>
          </w:r>
          <w:r w:rsidRPr="00C05138">
            <w:rPr>
              <w:noProof/>
              <w:lang w:val="ro-RO"/>
            </w:rPr>
            <w:fldChar w:fldCharType="separate"/>
          </w:r>
          <w:hyperlink w:anchor="_Toc160178622" w:history="1">
            <w:r w:rsidRPr="00C05138">
              <w:rPr>
                <w:rStyle w:val="Hyperlink"/>
                <w:noProof/>
                <w:lang w:val="ro-RO"/>
              </w:rPr>
              <w:t>1</w:t>
            </w:r>
            <w:r w:rsidRPr="00C05138">
              <w:rPr>
                <w:rFonts w:asciiTheme="minorHAnsi" w:eastAsiaTheme="minorEastAsia" w:hAnsiTheme="minorHAnsi" w:cstheme="minorBidi"/>
                <w:noProof/>
                <w:kern w:val="2"/>
                <w:sz w:val="22"/>
                <w:szCs w:val="22"/>
                <w:lang w:val="ro-RO"/>
                <w14:ligatures w14:val="standardContextual"/>
              </w:rPr>
              <w:tab/>
            </w:r>
            <w:r w:rsidRPr="00C05138">
              <w:rPr>
                <w:rStyle w:val="Hyperlink"/>
                <w:noProof/>
                <w:lang w:val="ro-RO"/>
              </w:rPr>
              <w:t>Cuprins</w:t>
            </w:r>
            <w:r w:rsidRPr="00C05138">
              <w:rPr>
                <w:noProof/>
                <w:webHidden/>
                <w:lang w:val="ro-RO"/>
              </w:rPr>
              <w:tab/>
            </w:r>
            <w:r w:rsidRPr="00C05138">
              <w:rPr>
                <w:noProof/>
                <w:webHidden/>
                <w:lang w:val="ro-RO"/>
              </w:rPr>
              <w:fldChar w:fldCharType="begin"/>
            </w:r>
            <w:r w:rsidRPr="00C05138">
              <w:rPr>
                <w:noProof/>
                <w:webHidden/>
                <w:lang w:val="ro-RO"/>
              </w:rPr>
              <w:instrText xml:space="preserve"> PAGEREF _Toc160178622 \h </w:instrText>
            </w:r>
            <w:r w:rsidRPr="00C05138">
              <w:rPr>
                <w:noProof/>
                <w:webHidden/>
                <w:lang w:val="ro-RO"/>
              </w:rPr>
            </w:r>
            <w:r w:rsidRPr="00C05138">
              <w:rPr>
                <w:noProof/>
                <w:webHidden/>
                <w:lang w:val="ro-RO"/>
              </w:rPr>
              <w:fldChar w:fldCharType="separate"/>
            </w:r>
            <w:r w:rsidRPr="00C05138">
              <w:rPr>
                <w:noProof/>
                <w:webHidden/>
                <w:lang w:val="ro-RO"/>
              </w:rPr>
              <w:t>1</w:t>
            </w:r>
            <w:r w:rsidRPr="00C05138">
              <w:rPr>
                <w:noProof/>
                <w:webHidden/>
                <w:lang w:val="ro-RO"/>
              </w:rPr>
              <w:fldChar w:fldCharType="end"/>
            </w:r>
          </w:hyperlink>
        </w:p>
        <w:p w14:paraId="69713F3C" w14:textId="35C40290" w:rsidR="00313DCF" w:rsidRPr="00C05138" w:rsidRDefault="00C644BA">
          <w:pPr>
            <w:pStyle w:val="TOC1"/>
            <w:rPr>
              <w:rFonts w:asciiTheme="minorHAnsi" w:eastAsiaTheme="minorEastAsia" w:hAnsiTheme="minorHAnsi" w:cstheme="minorBidi"/>
              <w:noProof/>
              <w:kern w:val="2"/>
              <w:sz w:val="22"/>
              <w:szCs w:val="22"/>
              <w:lang w:val="ro-RO"/>
              <w14:ligatures w14:val="standardContextual"/>
            </w:rPr>
          </w:pPr>
          <w:hyperlink w:anchor="_Toc160178623" w:history="1">
            <w:r w:rsidR="00313DCF" w:rsidRPr="00C05138">
              <w:rPr>
                <w:rStyle w:val="Hyperlink"/>
                <w:noProof/>
                <w:lang w:val="ro-RO"/>
              </w:rPr>
              <w:t>1</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O viziune pentru perioada de după 2030</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_Toc160178623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2</w:t>
            </w:r>
            <w:r w:rsidR="00313DCF" w:rsidRPr="00C05138">
              <w:rPr>
                <w:noProof/>
                <w:webHidden/>
                <w:lang w:val="ro-RO"/>
              </w:rPr>
              <w:fldChar w:fldCharType="end"/>
            </w:r>
          </w:hyperlink>
        </w:p>
        <w:p w14:paraId="3893C221" w14:textId="7C5448CB" w:rsidR="00313DCF" w:rsidRPr="00C05138" w:rsidRDefault="00C644BA">
          <w:pPr>
            <w:pStyle w:val="TOC1"/>
            <w:rPr>
              <w:rFonts w:asciiTheme="minorHAnsi" w:eastAsiaTheme="minorEastAsia" w:hAnsiTheme="minorHAnsi" w:cstheme="minorBidi"/>
              <w:noProof/>
              <w:kern w:val="2"/>
              <w:sz w:val="22"/>
              <w:szCs w:val="22"/>
              <w:lang w:val="ro-RO"/>
              <w14:ligatures w14:val="standardContextual"/>
            </w:rPr>
          </w:pPr>
          <w:hyperlink w:anchor="_Toc160178624" w:history="1">
            <w:r w:rsidR="00313DCF" w:rsidRPr="00C05138">
              <w:rPr>
                <w:rStyle w:val="Hyperlink"/>
                <w:noProof/>
                <w:lang w:val="ro-RO"/>
              </w:rPr>
              <w:t>2</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Acțiuni climatice ambițioase la nivel mondial</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_Toc160178624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5</w:t>
            </w:r>
            <w:r w:rsidR="00313DCF" w:rsidRPr="00C05138">
              <w:rPr>
                <w:noProof/>
                <w:webHidden/>
                <w:lang w:val="ro-RO"/>
              </w:rPr>
              <w:fldChar w:fldCharType="end"/>
            </w:r>
          </w:hyperlink>
        </w:p>
        <w:p w14:paraId="178B43F5" w14:textId="3C6D5F4A" w:rsidR="00313DCF" w:rsidRPr="00C05138" w:rsidRDefault="00C644BA">
          <w:pPr>
            <w:pStyle w:val="TOC1"/>
            <w:rPr>
              <w:rFonts w:asciiTheme="minorHAnsi" w:eastAsiaTheme="minorEastAsia" w:hAnsiTheme="minorHAnsi" w:cstheme="minorBidi"/>
              <w:noProof/>
              <w:kern w:val="2"/>
              <w:sz w:val="22"/>
              <w:szCs w:val="22"/>
              <w:lang w:val="ro-RO"/>
              <w14:ligatures w14:val="standardContextual"/>
            </w:rPr>
          </w:pPr>
          <w:hyperlink w:anchor="_Toc160178625" w:history="1">
            <w:r w:rsidR="00313DCF" w:rsidRPr="00C05138">
              <w:rPr>
                <w:rStyle w:val="Hyperlink"/>
                <w:noProof/>
                <w:lang w:val="ro-RO"/>
              </w:rPr>
              <w:t>3</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Obiectivul pentru 2040 și calea către neutralitatea climatică</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_Toc160178625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7</w:t>
            </w:r>
            <w:r w:rsidR="00313DCF" w:rsidRPr="00C05138">
              <w:rPr>
                <w:noProof/>
                <w:webHidden/>
                <w:lang w:val="ro-RO"/>
              </w:rPr>
              <w:fldChar w:fldCharType="end"/>
            </w:r>
          </w:hyperlink>
        </w:p>
        <w:p w14:paraId="54BACAEB" w14:textId="5D83DD9E" w:rsidR="00313DCF" w:rsidRPr="00C05138" w:rsidRDefault="00C644BA">
          <w:pPr>
            <w:pStyle w:val="TOC2"/>
            <w:rPr>
              <w:rFonts w:asciiTheme="minorHAnsi" w:eastAsiaTheme="minorEastAsia" w:hAnsiTheme="minorHAnsi" w:cstheme="minorBidi"/>
              <w:noProof/>
              <w:kern w:val="2"/>
              <w:sz w:val="22"/>
              <w:szCs w:val="22"/>
              <w:lang w:val="ro-RO"/>
              <w14:ligatures w14:val="standardContextual"/>
            </w:rPr>
          </w:pPr>
          <w:hyperlink w:anchor="_Toc160178626" w:history="1">
            <w:r w:rsidR="00313DCF" w:rsidRPr="00C05138">
              <w:rPr>
                <w:rStyle w:val="Hyperlink"/>
                <w:noProof/>
                <w:lang w:val="ro-RO"/>
              </w:rPr>
              <w:t>3.1</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Obiectivul</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_Toc160178626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7</w:t>
            </w:r>
            <w:r w:rsidR="00313DCF" w:rsidRPr="00C05138">
              <w:rPr>
                <w:noProof/>
                <w:webHidden/>
                <w:lang w:val="ro-RO"/>
              </w:rPr>
              <w:fldChar w:fldCharType="end"/>
            </w:r>
          </w:hyperlink>
        </w:p>
        <w:p w14:paraId="1D078D10" w14:textId="49DEAE38" w:rsidR="00313DCF" w:rsidRPr="00C05138" w:rsidRDefault="00C644BA">
          <w:pPr>
            <w:pStyle w:val="TOC2"/>
            <w:rPr>
              <w:rFonts w:asciiTheme="minorHAnsi" w:eastAsiaTheme="minorEastAsia" w:hAnsiTheme="minorHAnsi" w:cstheme="minorBidi"/>
              <w:noProof/>
              <w:kern w:val="2"/>
              <w:sz w:val="22"/>
              <w:szCs w:val="22"/>
              <w:lang w:val="ro-RO"/>
              <w14:ligatures w14:val="standardContextual"/>
            </w:rPr>
          </w:pPr>
          <w:hyperlink w:anchor="_Toc160178627" w:history="1">
            <w:r w:rsidR="00313DCF" w:rsidRPr="00C05138">
              <w:rPr>
                <w:rStyle w:val="Hyperlink"/>
                <w:noProof/>
                <w:lang w:val="ro-RO"/>
              </w:rPr>
              <w:t>3.2</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Costul lipsei de acțiune</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_Toc160178627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10</w:t>
            </w:r>
            <w:r w:rsidR="00313DCF" w:rsidRPr="00C05138">
              <w:rPr>
                <w:noProof/>
                <w:webHidden/>
                <w:lang w:val="ro-RO"/>
              </w:rPr>
              <w:fldChar w:fldCharType="end"/>
            </w:r>
          </w:hyperlink>
        </w:p>
        <w:p w14:paraId="45BB63AC" w14:textId="20D31E00" w:rsidR="00313DCF" w:rsidRPr="00C05138" w:rsidRDefault="00C644BA">
          <w:pPr>
            <w:pStyle w:val="TOC1"/>
            <w:rPr>
              <w:rFonts w:asciiTheme="minorHAnsi" w:eastAsiaTheme="minorEastAsia" w:hAnsiTheme="minorHAnsi" w:cstheme="minorBidi"/>
              <w:noProof/>
              <w:kern w:val="2"/>
              <w:sz w:val="22"/>
              <w:szCs w:val="22"/>
              <w:lang w:val="ro-RO"/>
              <w14:ligatures w14:val="standardContextual"/>
            </w:rPr>
          </w:pPr>
          <w:hyperlink w:anchor="_Toc160178628" w:history="1">
            <w:r w:rsidR="00313DCF" w:rsidRPr="00C05138">
              <w:rPr>
                <w:rStyle w:val="Hyperlink"/>
                <w:noProof/>
                <w:lang w:val="ro-RO"/>
              </w:rPr>
              <w:t>4</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Îndeplinirea obiectivului pentru 2040</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_Toc160178628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11</w:t>
            </w:r>
            <w:r w:rsidR="00313DCF" w:rsidRPr="00C05138">
              <w:rPr>
                <w:noProof/>
                <w:webHidden/>
                <w:lang w:val="ro-RO"/>
              </w:rPr>
              <w:fldChar w:fldCharType="end"/>
            </w:r>
          </w:hyperlink>
        </w:p>
        <w:p w14:paraId="40EB948D" w14:textId="4F863CB7" w:rsidR="00313DCF" w:rsidRPr="00C05138" w:rsidRDefault="00C644BA">
          <w:pPr>
            <w:pStyle w:val="TOC2"/>
            <w:rPr>
              <w:rFonts w:asciiTheme="minorHAnsi" w:eastAsiaTheme="minorEastAsia" w:hAnsiTheme="minorHAnsi" w:cstheme="minorBidi"/>
              <w:noProof/>
              <w:kern w:val="2"/>
              <w:sz w:val="22"/>
              <w:szCs w:val="22"/>
              <w:lang w:val="ro-RO"/>
              <w14:ligatures w14:val="standardContextual"/>
            </w:rPr>
          </w:pPr>
          <w:hyperlink w:anchor="_Toc160178629" w:history="1">
            <w:r w:rsidR="00313DCF" w:rsidRPr="00C05138">
              <w:rPr>
                <w:rStyle w:val="Hyperlink"/>
                <w:noProof/>
                <w:lang w:val="ro-RO"/>
              </w:rPr>
              <w:t>4.1</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Punerea în aplicare a cadrului de politică pentru 2030</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_Toc160178629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11</w:t>
            </w:r>
            <w:r w:rsidR="00313DCF" w:rsidRPr="00C05138">
              <w:rPr>
                <w:noProof/>
                <w:webHidden/>
                <w:lang w:val="ro-RO"/>
              </w:rPr>
              <w:fldChar w:fldCharType="end"/>
            </w:r>
          </w:hyperlink>
        </w:p>
        <w:p w14:paraId="28AEC19C" w14:textId="5BC02599" w:rsidR="00313DCF" w:rsidRPr="00C05138" w:rsidRDefault="00C644BA">
          <w:pPr>
            <w:pStyle w:val="TOC2"/>
            <w:rPr>
              <w:rFonts w:asciiTheme="minorHAnsi" w:eastAsiaTheme="minorEastAsia" w:hAnsiTheme="minorHAnsi" w:cstheme="minorBidi"/>
              <w:noProof/>
              <w:kern w:val="2"/>
              <w:sz w:val="22"/>
              <w:szCs w:val="22"/>
              <w:lang w:val="ro-RO"/>
              <w14:ligatures w14:val="standardContextual"/>
            </w:rPr>
          </w:pPr>
          <w:hyperlink w:anchor="_Toc160178630" w:history="1">
            <w:r w:rsidR="00313DCF" w:rsidRPr="00C05138">
              <w:rPr>
                <w:rStyle w:val="Hyperlink"/>
                <w:noProof/>
                <w:lang w:val="ro-RO"/>
              </w:rPr>
              <w:t>4.2</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O economie în serviciul cetățenilor</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_Toc160178630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11</w:t>
            </w:r>
            <w:r w:rsidR="00313DCF" w:rsidRPr="00C05138">
              <w:rPr>
                <w:noProof/>
                <w:webHidden/>
                <w:lang w:val="ro-RO"/>
              </w:rPr>
              <w:fldChar w:fldCharType="end"/>
            </w:r>
          </w:hyperlink>
        </w:p>
        <w:p w14:paraId="53465616" w14:textId="459DFD4B" w:rsidR="00313DCF" w:rsidRPr="00C05138" w:rsidRDefault="00C644BA">
          <w:pPr>
            <w:pStyle w:val="TOC2"/>
            <w:rPr>
              <w:rFonts w:asciiTheme="minorHAnsi" w:eastAsiaTheme="minorEastAsia" w:hAnsiTheme="minorHAnsi" w:cstheme="minorBidi"/>
              <w:noProof/>
              <w:kern w:val="2"/>
              <w:sz w:val="22"/>
              <w:szCs w:val="22"/>
              <w:lang w:val="ro-RO"/>
              <w14:ligatures w14:val="standardContextual"/>
            </w:rPr>
          </w:pPr>
          <w:hyperlink w:anchor="_Toc160178631" w:history="1">
            <w:r w:rsidR="00313DCF" w:rsidRPr="00C05138">
              <w:rPr>
                <w:rStyle w:val="Hyperlink"/>
                <w:noProof/>
                <w:lang w:val="ro-RO"/>
              </w:rPr>
              <w:t>4.3</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Sistemul energetic al UE</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_Toc160178631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13</w:t>
            </w:r>
            <w:r w:rsidR="00313DCF" w:rsidRPr="00C05138">
              <w:rPr>
                <w:noProof/>
                <w:webHidden/>
                <w:lang w:val="ro-RO"/>
              </w:rPr>
              <w:fldChar w:fldCharType="end"/>
            </w:r>
          </w:hyperlink>
        </w:p>
        <w:p w14:paraId="4C6170B8" w14:textId="3B083CAC" w:rsidR="00313DCF" w:rsidRPr="00C05138" w:rsidRDefault="00C644BA">
          <w:pPr>
            <w:pStyle w:val="TOC2"/>
            <w:rPr>
              <w:rFonts w:asciiTheme="minorHAnsi" w:eastAsiaTheme="minorEastAsia" w:hAnsiTheme="minorHAnsi" w:cstheme="minorBidi"/>
              <w:noProof/>
              <w:kern w:val="2"/>
              <w:sz w:val="22"/>
              <w:szCs w:val="22"/>
              <w:lang w:val="ro-RO"/>
              <w14:ligatures w14:val="standardContextual"/>
            </w:rPr>
          </w:pPr>
          <w:hyperlink w:anchor="_Toc160178632" w:history="1">
            <w:r w:rsidR="00313DCF" w:rsidRPr="00C05138">
              <w:rPr>
                <w:rStyle w:val="Hyperlink"/>
                <w:noProof/>
                <w:lang w:val="ro-RO"/>
              </w:rPr>
              <w:t>4.4</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Pactul privind decarbonizarea industriei</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_Toc160178632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16</w:t>
            </w:r>
            <w:r w:rsidR="00313DCF" w:rsidRPr="00C05138">
              <w:rPr>
                <w:noProof/>
                <w:webHidden/>
                <w:lang w:val="ro-RO"/>
              </w:rPr>
              <w:fldChar w:fldCharType="end"/>
            </w:r>
          </w:hyperlink>
        </w:p>
        <w:p w14:paraId="512E1DCE" w14:textId="6AA21692" w:rsidR="00313DCF" w:rsidRPr="00C05138" w:rsidRDefault="00C644BA">
          <w:pPr>
            <w:pStyle w:val="TOC2"/>
            <w:rPr>
              <w:rFonts w:asciiTheme="minorHAnsi" w:eastAsiaTheme="minorEastAsia" w:hAnsiTheme="minorHAnsi" w:cstheme="minorBidi"/>
              <w:noProof/>
              <w:kern w:val="2"/>
              <w:sz w:val="22"/>
              <w:szCs w:val="22"/>
              <w:lang w:val="ro-RO"/>
              <w14:ligatures w14:val="standardContextual"/>
            </w:rPr>
          </w:pPr>
          <w:hyperlink w:anchor="_Toc160178633" w:history="1">
            <w:r w:rsidR="00313DCF" w:rsidRPr="00C05138">
              <w:rPr>
                <w:rStyle w:val="Hyperlink"/>
                <w:noProof/>
                <w:lang w:val="ro-RO"/>
              </w:rPr>
              <w:t>4.5</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Decarbonizarea transporturilor și îmbunătățirea mobilității</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_Toc160178633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21</w:t>
            </w:r>
            <w:r w:rsidR="00313DCF" w:rsidRPr="00C05138">
              <w:rPr>
                <w:noProof/>
                <w:webHidden/>
                <w:lang w:val="ro-RO"/>
              </w:rPr>
              <w:fldChar w:fldCharType="end"/>
            </w:r>
          </w:hyperlink>
        </w:p>
        <w:p w14:paraId="713A554E" w14:textId="143B8928" w:rsidR="00313DCF" w:rsidRPr="00C05138" w:rsidRDefault="00C644BA">
          <w:pPr>
            <w:pStyle w:val="TOC2"/>
            <w:rPr>
              <w:rFonts w:asciiTheme="minorHAnsi" w:eastAsiaTheme="minorEastAsia" w:hAnsiTheme="minorHAnsi" w:cstheme="minorBidi"/>
              <w:noProof/>
              <w:kern w:val="2"/>
              <w:sz w:val="22"/>
              <w:szCs w:val="22"/>
              <w:lang w:val="ro-RO"/>
              <w14:ligatures w14:val="standardContextual"/>
            </w:rPr>
          </w:pPr>
          <w:hyperlink w:anchor="_Toc160178634" w:history="1">
            <w:r w:rsidR="00313DCF" w:rsidRPr="00C05138">
              <w:rPr>
                <w:rStyle w:val="Hyperlink"/>
                <w:noProof/>
                <w:lang w:val="ro-RO"/>
              </w:rPr>
              <w:t>4.6</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Terenuri, alimente și bioeconomie</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_Toc160178634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23</w:t>
            </w:r>
            <w:r w:rsidR="00313DCF" w:rsidRPr="00C05138">
              <w:rPr>
                <w:noProof/>
                <w:webHidden/>
                <w:lang w:val="ro-RO"/>
              </w:rPr>
              <w:fldChar w:fldCharType="end"/>
            </w:r>
          </w:hyperlink>
        </w:p>
        <w:p w14:paraId="65E779A2" w14:textId="58075B74" w:rsidR="00313DCF" w:rsidRPr="00C05138" w:rsidRDefault="00C644BA">
          <w:pPr>
            <w:pStyle w:val="TOC2"/>
            <w:rPr>
              <w:rFonts w:asciiTheme="minorHAnsi" w:eastAsiaTheme="minorEastAsia" w:hAnsiTheme="minorHAnsi" w:cstheme="minorBidi"/>
              <w:noProof/>
              <w:kern w:val="2"/>
              <w:sz w:val="22"/>
              <w:szCs w:val="22"/>
              <w:lang w:val="ro-RO"/>
              <w14:ligatures w14:val="standardContextual"/>
            </w:rPr>
          </w:pPr>
          <w:hyperlink w:anchor="_Toc160178635" w:history="1">
            <w:r w:rsidR="00313DCF" w:rsidRPr="00C05138">
              <w:rPr>
                <w:rStyle w:val="Hyperlink"/>
                <w:noProof/>
                <w:lang w:val="ro-RO"/>
              </w:rPr>
              <w:t>4.7</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Investiții pentru viitorul nostru</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_Toc160178635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26</w:t>
            </w:r>
            <w:r w:rsidR="00313DCF" w:rsidRPr="00C05138">
              <w:rPr>
                <w:noProof/>
                <w:webHidden/>
                <w:lang w:val="ro-RO"/>
              </w:rPr>
              <w:fldChar w:fldCharType="end"/>
            </w:r>
          </w:hyperlink>
        </w:p>
        <w:p w14:paraId="7C32360E" w14:textId="142381E8" w:rsidR="00313DCF" w:rsidRPr="00C05138" w:rsidRDefault="00C644BA">
          <w:pPr>
            <w:pStyle w:val="TOC1"/>
            <w:rPr>
              <w:rFonts w:asciiTheme="minorHAnsi" w:eastAsiaTheme="minorEastAsia" w:hAnsiTheme="minorHAnsi" w:cstheme="minorBidi"/>
              <w:noProof/>
              <w:kern w:val="2"/>
              <w:sz w:val="22"/>
              <w:szCs w:val="22"/>
              <w:lang w:val="ro-RO"/>
              <w14:ligatures w14:val="standardContextual"/>
            </w:rPr>
          </w:pPr>
          <w:hyperlink w:anchor="_Toc160178636" w:history="1">
            <w:r w:rsidR="00313DCF" w:rsidRPr="00C05138">
              <w:rPr>
                <w:rStyle w:val="Hyperlink"/>
                <w:noProof/>
                <w:lang w:val="ro-RO"/>
              </w:rPr>
              <w:t>5</w:t>
            </w:r>
            <w:r w:rsidR="00313DCF" w:rsidRPr="00C05138">
              <w:rPr>
                <w:rFonts w:asciiTheme="minorHAnsi" w:eastAsiaTheme="minorEastAsia" w:hAnsiTheme="minorHAnsi" w:cstheme="minorBidi"/>
                <w:noProof/>
                <w:kern w:val="2"/>
                <w:sz w:val="22"/>
                <w:szCs w:val="22"/>
                <w:lang w:val="ro-RO"/>
                <w14:ligatures w14:val="standardContextual"/>
              </w:rPr>
              <w:tab/>
            </w:r>
            <w:r w:rsidR="00313DCF" w:rsidRPr="00C05138">
              <w:rPr>
                <w:rStyle w:val="Hyperlink"/>
                <w:noProof/>
                <w:lang w:val="ro-RO"/>
              </w:rPr>
              <w:t>Concluzii și etapele următoare</w:t>
            </w:r>
            <w:r w:rsidR="00313DCF" w:rsidRPr="00C05138">
              <w:rPr>
                <w:noProof/>
                <w:webHidden/>
                <w:lang w:val="ro-RO"/>
              </w:rPr>
              <w:tab/>
            </w:r>
            <w:r w:rsidR="00313DCF" w:rsidRPr="00C05138">
              <w:rPr>
                <w:noProof/>
                <w:webHidden/>
                <w:lang w:val="ro-RO"/>
              </w:rPr>
              <w:fldChar w:fldCharType="begin"/>
            </w:r>
            <w:r w:rsidR="00313DCF" w:rsidRPr="00C05138">
              <w:rPr>
                <w:noProof/>
                <w:webHidden/>
                <w:lang w:val="ro-RO"/>
              </w:rPr>
              <w:instrText xml:space="preserve"> PAGEREF _Toc160178636 \h </w:instrText>
            </w:r>
            <w:r w:rsidR="00313DCF" w:rsidRPr="00C05138">
              <w:rPr>
                <w:noProof/>
                <w:webHidden/>
                <w:lang w:val="ro-RO"/>
              </w:rPr>
            </w:r>
            <w:r w:rsidR="00313DCF" w:rsidRPr="00C05138">
              <w:rPr>
                <w:noProof/>
                <w:webHidden/>
                <w:lang w:val="ro-RO"/>
              </w:rPr>
              <w:fldChar w:fldCharType="separate"/>
            </w:r>
            <w:r w:rsidR="00313DCF" w:rsidRPr="00C05138">
              <w:rPr>
                <w:noProof/>
                <w:webHidden/>
                <w:lang w:val="ro-RO"/>
              </w:rPr>
              <w:t>30</w:t>
            </w:r>
            <w:r w:rsidR="00313DCF" w:rsidRPr="00C05138">
              <w:rPr>
                <w:noProof/>
                <w:webHidden/>
                <w:lang w:val="ro-RO"/>
              </w:rPr>
              <w:fldChar w:fldCharType="end"/>
            </w:r>
          </w:hyperlink>
        </w:p>
        <w:p w14:paraId="2ED26F3B" w14:textId="0E0CF2C4" w:rsidR="00482E88" w:rsidRPr="00C05138" w:rsidRDefault="00313DCF" w:rsidP="003C4F67">
          <w:pPr>
            <w:pStyle w:val="TOC1"/>
            <w:rPr>
              <w:rStyle w:val="Hyperlink"/>
              <w:noProof/>
              <w:lang w:val="ro-RO"/>
            </w:rPr>
          </w:pPr>
          <w:r w:rsidRPr="00C05138">
            <w:rPr>
              <w:noProof/>
              <w:lang w:val="ro-RO"/>
            </w:rPr>
            <w:fldChar w:fldCharType="end"/>
          </w:r>
        </w:p>
      </w:sdtContent>
    </w:sdt>
    <w:p w14:paraId="5A01F25D" w14:textId="77777777" w:rsidR="00482E88" w:rsidRPr="00C05138" w:rsidRDefault="00482E88" w:rsidP="00482E88">
      <w:pPr>
        <w:rPr>
          <w:noProof/>
          <w:lang w:val="ro-RO"/>
        </w:rPr>
      </w:pPr>
    </w:p>
    <w:p w14:paraId="17BBC203" w14:textId="77777777" w:rsidR="00482E88" w:rsidRPr="00C05138" w:rsidRDefault="00482E88" w:rsidP="00482E88">
      <w:pPr>
        <w:rPr>
          <w:noProof/>
          <w:lang w:val="ro-RO"/>
        </w:rPr>
      </w:pPr>
    </w:p>
    <w:p w14:paraId="190EB9F8" w14:textId="77777777" w:rsidR="00482E88" w:rsidRPr="00C05138" w:rsidRDefault="00482E88" w:rsidP="00482E88">
      <w:pPr>
        <w:jc w:val="left"/>
        <w:rPr>
          <w:b/>
          <w:noProof/>
          <w:lang w:val="ro-RO"/>
        </w:rPr>
      </w:pPr>
      <w:r w:rsidRPr="00C05138">
        <w:rPr>
          <w:noProof/>
          <w:lang w:val="ro-RO"/>
        </w:rPr>
        <w:br w:type="page"/>
      </w:r>
    </w:p>
    <w:p w14:paraId="65012081" w14:textId="77777777" w:rsidR="00482E88" w:rsidRPr="00C05138" w:rsidRDefault="00482E88" w:rsidP="00482E88">
      <w:pPr>
        <w:rPr>
          <w:noProof/>
          <w:lang w:val="ro-RO"/>
        </w:rPr>
      </w:pPr>
      <w:bookmarkStart w:id="3" w:name="_Toc155286916"/>
    </w:p>
    <w:p w14:paraId="7748E4A7" w14:textId="77777777" w:rsidR="00482E88" w:rsidRPr="00C05138" w:rsidRDefault="00482E88" w:rsidP="0013325C">
      <w:pPr>
        <w:pStyle w:val="Heading1"/>
        <w:numPr>
          <w:ilvl w:val="0"/>
          <w:numId w:val="74"/>
        </w:numPr>
        <w:ind w:left="426" w:hanging="426"/>
        <w:rPr>
          <w:noProof/>
          <w:lang w:val="ro-RO"/>
        </w:rPr>
      </w:pPr>
      <w:bookmarkStart w:id="4" w:name="_Toc160178623"/>
      <w:r w:rsidRPr="00C05138">
        <w:rPr>
          <w:noProof/>
          <w:lang w:val="ro-RO"/>
        </w:rPr>
        <w:t>O viziune pentru perioada de după 2030</w:t>
      </w:r>
      <w:bookmarkEnd w:id="3"/>
      <w:bookmarkEnd w:id="4"/>
      <w:r w:rsidRPr="00C05138">
        <w:rPr>
          <w:noProof/>
          <w:lang w:val="ro-RO"/>
        </w:rPr>
        <w:t xml:space="preserve"> </w:t>
      </w:r>
    </w:p>
    <w:p w14:paraId="4278DB2C" w14:textId="08EB14B5" w:rsidR="00482E88" w:rsidRPr="00C05138" w:rsidRDefault="00482E88" w:rsidP="00482E88">
      <w:pPr>
        <w:rPr>
          <w:noProof/>
          <w:lang w:val="ro-RO"/>
        </w:rPr>
      </w:pPr>
      <w:r w:rsidRPr="00C05138">
        <w:rPr>
          <w:noProof/>
          <w:lang w:val="ro-RO"/>
        </w:rPr>
        <w:t>Schimbările climatice se intensifică, iar costurile lor în viața reală cresc tot mai mult. În 2023, accelerarea perturbărilor climatice a atins un nivel fără precedent, înregistrându-se pentru prima dată o creștere a încălzirii globale cu 1,48 °C peste nivelul preindustrial, în timp ce temperaturile oceanelor și topirea gheții în Oceanul Antarctic au depășit, de departe, toate recordurile. Este mai clar decât oricând că atingerea unei stabilități climatice și protejarea unei planete viabile pentru generațiile actuale și viitoare înseamnă reducerea drastică și rapidă a emisiilor de gaze cu efect de seră (GES) la nivel mondial și pregătirea pentru efectele viitoare ale schimbărilor climatice (</w:t>
      </w:r>
      <w:r w:rsidRPr="00C05138">
        <w:rPr>
          <w:rStyle w:val="FootnoteReference"/>
          <w:noProof/>
          <w:lang w:val="ro-RO"/>
        </w:rPr>
        <w:footnoteReference w:id="2"/>
      </w:r>
      <w:r w:rsidRPr="00C05138">
        <w:rPr>
          <w:noProof/>
          <w:lang w:val="ro-RO"/>
        </w:rPr>
        <w:t>). Această direcție poate și trebuie să meargă mână în mână cu modelarea unei societăți prospere și echitabile, precum și a unui sector industrial și agricol al UE flexibil și puternic, în cadrul unei economii competitive la nivel mondial și din ce în ce mai durabile, care să producă rezultate pentru toți cetățenii și în conformitate cu cele 20 de principii ale Pilonului european al drepturilor sociale și cu planul său de acțiune.</w:t>
      </w:r>
    </w:p>
    <w:p w14:paraId="317CEE3E" w14:textId="77777777" w:rsidR="00482E88" w:rsidRPr="00C05138" w:rsidRDefault="00482E88" w:rsidP="00482E88">
      <w:pPr>
        <w:rPr>
          <w:noProof/>
          <w:lang w:val="ro-RO"/>
        </w:rPr>
      </w:pPr>
      <w:r w:rsidRPr="00C05138">
        <w:rPr>
          <w:noProof/>
          <w:lang w:val="ro-RO"/>
        </w:rPr>
        <w:t>Rezultatul COP28 de la Dubai și prima evaluare la nivel global a acțiunilor climatice arată că și restul lumii avansează rapid în această direcție. Prin introducerea în legislație a obiectivului privind realizarea neutralității climatice până în 2050, UE a avut un rol de lider în domeniul acțiunilor climatice și își propune să continue pe acest drum.</w:t>
      </w:r>
    </w:p>
    <w:p w14:paraId="20CC9066" w14:textId="090F5F13" w:rsidR="00482E88" w:rsidRPr="00C05138" w:rsidRDefault="00482E88" w:rsidP="00482E88">
      <w:pPr>
        <w:rPr>
          <w:noProof/>
          <w:lang w:val="ro-RO"/>
        </w:rPr>
      </w:pPr>
      <w:r w:rsidRPr="00C05138">
        <w:rPr>
          <w:noProof/>
          <w:lang w:val="ro-RO"/>
        </w:rPr>
        <w:t>Viziunea privind Europa la sfârșitul următorului deceniu este una cuprinzătoare: ea ar trebui să rămână o destinație principală pentru oportunitățile de investiții care aduc locuri de muncă de calitate, stabile și adaptate exigențelor viitorului, cu un ecosistem industrial puternic. Europa ar trebui să fie lider în dezvoltarea piețelor tehnologiilor curate ale viitorului, în care toate țările și întreprinderile majore urmăresc valorificarea oportunităților de piață. Transformarea Europei într-un continent care să beneficieze de energie curată, produsă cu emisii scăzute de dioxid de carbon și la prețuri accesibile, precum și de alimente și materiale durabile o va face rezistentă la crizele viitoare, cum ar fi cele cauzate în prezent de întreruperile aprovizionării cu combustibili fosili. Rămânând un lider mondial și un partener de încredere în domeniul acțiunilor climatice, Europa își va consolida autonomia strategică deschisă și, totodată, își va diversifica lanțurile valorice mondiale durabile pentru a-și croi propriul drum într-o lume volatilă.</w:t>
      </w:r>
    </w:p>
    <w:p w14:paraId="563E656F" w14:textId="2386F2E8" w:rsidR="00482E88" w:rsidRPr="00C05138" w:rsidRDefault="00482E88" w:rsidP="00482E88">
      <w:pPr>
        <w:rPr>
          <w:noProof/>
          <w:lang w:val="ro-RO"/>
        </w:rPr>
      </w:pPr>
      <w:r w:rsidRPr="00C05138">
        <w:rPr>
          <w:noProof/>
          <w:lang w:val="ro-RO"/>
        </w:rPr>
        <w:t>Această viziune poate fi realizată, pentru Europa și pentru cetățenii săi, printr-o serie de acțiuni climatice bine concepute. Pactul verde european este strategia pe termen lung a UE pentru creștere economică, investiții și inovare.</w:t>
      </w:r>
      <w:r w:rsidR="00313DCF" w:rsidRPr="00C05138">
        <w:rPr>
          <w:noProof/>
          <w:lang w:val="ro-RO"/>
        </w:rPr>
        <w:t xml:space="preserve"> </w:t>
      </w:r>
      <w:r w:rsidRPr="00C05138">
        <w:rPr>
          <w:noProof/>
          <w:lang w:val="ro-RO"/>
        </w:rPr>
        <w:t>Punerea sa în aplicare va consolida în special independența energetică a UE față de combustibilii fosili. În 2022, valoarea importurilor de combustibili fosili a crescut la 640 de miliarde EUR (4,1 % din PIB) ca urmare a războiului de agresiune al Rusiei împotriva Ucrainei. În 2023, când prețurile au scăzut substanțial, costurile nete ale importurilor de combustibili fosili au reprezentat aproximativ 2,4 % din PIB (</w:t>
      </w:r>
      <w:r w:rsidRPr="00C05138">
        <w:rPr>
          <w:rStyle w:val="FootnoteReference"/>
          <w:noProof/>
          <w:lang w:val="ro-RO"/>
        </w:rPr>
        <w:footnoteReference w:id="3"/>
      </w:r>
      <w:r w:rsidRPr="00C05138">
        <w:rPr>
          <w:noProof/>
          <w:lang w:val="ro-RO"/>
        </w:rPr>
        <w:t xml:space="preserve">). </w:t>
      </w:r>
    </w:p>
    <w:p w14:paraId="32C63C73" w14:textId="030CF121" w:rsidR="00482E88" w:rsidRPr="00C05138" w:rsidRDefault="00482E88" w:rsidP="00AF6F15">
      <w:pPr>
        <w:spacing w:after="0" w:line="240" w:lineRule="auto"/>
        <w:rPr>
          <w:noProof/>
          <w:lang w:val="ro-RO"/>
        </w:rPr>
      </w:pPr>
      <w:r w:rsidRPr="00C05138">
        <w:rPr>
          <w:noProof/>
          <w:lang w:val="ro-RO"/>
        </w:rPr>
        <w:t>Creșterea economiei pe baza combustibililor fosili și a risipei de resurse nu este sustenabilă. UE a demonstrat că acțiunile climatice și susținerea creșterii economice merg mână în mână prin decuplarea creșterii de emisiile de gaze cu efect de seră. Potrivit datelor provizorii, emisiile nete totale de gaze cu efect de seră au fost cu 32,5 % mai mici în 2022 decât în 1990 (</w:t>
      </w:r>
      <w:r w:rsidRPr="00C05138">
        <w:rPr>
          <w:rStyle w:val="FootnoteReference"/>
          <w:noProof/>
          <w:lang w:val="ro-RO"/>
        </w:rPr>
        <w:footnoteReference w:id="4"/>
      </w:r>
      <w:r w:rsidRPr="00C05138">
        <w:rPr>
          <w:noProof/>
          <w:lang w:val="ro-RO"/>
        </w:rPr>
        <w:t>), în timp ce economia a crescut cu 67 % (</w:t>
      </w:r>
      <w:r w:rsidRPr="00C05138">
        <w:rPr>
          <w:rStyle w:val="FootnoteReference"/>
          <w:noProof/>
          <w:lang w:val="ro-RO"/>
        </w:rPr>
        <w:footnoteReference w:id="5"/>
      </w:r>
      <w:r w:rsidRPr="00C05138">
        <w:rPr>
          <w:noProof/>
          <w:lang w:val="ro-RO"/>
        </w:rPr>
        <w:t>). Productivitatea materialelor a crescut cu 37,5 % între 2000 și 2022 (</w:t>
      </w:r>
      <w:r w:rsidRPr="00C05138">
        <w:rPr>
          <w:noProof/>
          <w:vertAlign w:val="superscript"/>
          <w:lang w:val="ro-RO"/>
        </w:rPr>
        <w:footnoteReference w:id="6"/>
      </w:r>
      <w:r w:rsidRPr="00C05138">
        <w:rPr>
          <w:noProof/>
          <w:lang w:val="ro-RO"/>
        </w:rPr>
        <w:t xml:space="preserve">). </w:t>
      </w:r>
    </w:p>
    <w:p w14:paraId="7A09DB8B" w14:textId="77777777" w:rsidR="00482E88" w:rsidRPr="00C05138" w:rsidRDefault="00482E88" w:rsidP="00482E88">
      <w:pPr>
        <w:rPr>
          <w:noProof/>
          <w:lang w:val="ro-RO"/>
        </w:rPr>
      </w:pPr>
    </w:p>
    <w:p w14:paraId="6738668B" w14:textId="2D588402" w:rsidR="00482E88" w:rsidRPr="00C05138" w:rsidDel="004812A5" w:rsidRDefault="00482E88" w:rsidP="00482E88">
      <w:pPr>
        <w:rPr>
          <w:noProof/>
          <w:lang w:val="ro-RO"/>
        </w:rPr>
      </w:pPr>
      <w:r w:rsidRPr="00C05138">
        <w:rPr>
          <w:noProof/>
          <w:lang w:val="ro-RO"/>
        </w:rPr>
        <w:t xml:space="preserve">În prezent, sunt în curs de implementare, la niveluri record, tehnologii din domeniul energiei din surse regenerabile și tehnologii cu emisii scăzute de dioxid de carbon. În 2023, UE a instalat capacități noi de energie eoliană de 17 GW, respectiv de energie solară de 56 GW (CC), ceea ce reprezintă o situație fără precedent. În 2022, s-au vândut aproximativ 3 milioane de unități de pompe de căldură. </w:t>
      </w:r>
    </w:p>
    <w:p w14:paraId="79C2D6DB" w14:textId="3D861AAD" w:rsidR="00482E88" w:rsidRPr="00C05138" w:rsidRDefault="00482E88" w:rsidP="00482E88">
      <w:pPr>
        <w:rPr>
          <w:noProof/>
          <w:lang w:val="ro-RO"/>
        </w:rPr>
      </w:pPr>
      <w:r w:rsidRPr="00C05138">
        <w:rPr>
          <w:noProof/>
          <w:lang w:val="ro-RO"/>
        </w:rPr>
        <w:t xml:space="preserve">Legea europeană a climei a introdus un obiectiv intermediar care urmează să fie propus de Comisie în termen de cel mult șase luni de la evaluarea la nivel global în temeiul Acordului de la Paris. Prin urmare, în conformitate cu avizul științific al Consiliului științific consultativ european privind schimbările climatice și pe baza unei evaluări detaliate a impactului, prezenta comunicare propune o reducere cu 90 % a emisiilor nete de gaze cu efect de seră comparativ cu nivelurile din 1990 ca obiectiv recomandat pentru 2040 („obiectivul pentru 2040”). Acesta ar asigura faptul că bugetul global corespunzător privind emisiile de gaze cu efect de seră (GES) pentru UE până în 2050 este în conformitate cu dispozițiile Legii europene a climei și oferă o cale credibilă către o societate puternică și durabilă în Europa. </w:t>
      </w:r>
    </w:p>
    <w:p w14:paraId="42B99322" w14:textId="617721F0" w:rsidR="00482E88" w:rsidRPr="00C05138" w:rsidRDefault="00482E88" w:rsidP="00482E88">
      <w:pPr>
        <w:rPr>
          <w:noProof/>
          <w:lang w:val="ro-RO"/>
        </w:rPr>
      </w:pPr>
      <w:r w:rsidRPr="00C05138">
        <w:rPr>
          <w:noProof/>
          <w:lang w:val="ro-RO"/>
        </w:rPr>
        <w:t>Atingerea acestui obiectiv va necesita o serie de condiții favorizante, cum ar fi punerea în aplicare deplină a cadrului convenit pentru 2030, asigurarea competitivității industriei europene, un accent mai mare pe o tranziție justă care să nu lase pe nimeni în urmă, condiții de concurență echitabile cu partenerii internaționali și un dialog strategic privind cadrul pentru perioada ulterioară anului 2030, inclusiv cu sectorul industrial și cu cel agricol.</w:t>
      </w:r>
    </w:p>
    <w:p w14:paraId="644E57B1" w14:textId="77777777" w:rsidR="00482E88" w:rsidRPr="00C05138" w:rsidRDefault="00482E88" w:rsidP="00482E88">
      <w:pPr>
        <w:rPr>
          <w:noProof/>
          <w:lang w:val="ro-RO"/>
        </w:rPr>
      </w:pPr>
      <w:r w:rsidRPr="00C05138">
        <w:rPr>
          <w:noProof/>
          <w:lang w:val="ro-RO"/>
        </w:rPr>
        <w:t>Obiectivul prezentei comunicări este de a lansa dezbaterea politică și de a contribui la pregătirea cadrului pentru perioada ulterioară anului 2030. Ea nu propune noi măsuri de politică și nu stabilește noi obiective sectoriale specifice.</w:t>
      </w:r>
    </w:p>
    <w:p w14:paraId="140C1011" w14:textId="1B7F17D7" w:rsidR="00374D9E" w:rsidRPr="00C05138" w:rsidRDefault="00482E88" w:rsidP="00482E88">
      <w:pPr>
        <w:spacing w:after="240"/>
        <w:rPr>
          <w:noProof/>
          <w:lang w:val="ro-RO"/>
        </w:rPr>
      </w:pPr>
      <w:r w:rsidRPr="00C05138">
        <w:rPr>
          <w:noProof/>
          <w:lang w:val="ro-RO"/>
        </w:rPr>
        <w:t>În acest sens, stabilitatea și punerea în aplicare deplină a cadrului legislativ în vigoare pentru îndeplinirea obiectivelor în materie de climă și energie pentru 2030 reprezintă o condiție prealabilă pentru ca UE să își mențină direcția înspre atingerea obiectivului pentru 2040 pentru a realiza neutralitatea climatică până în 2050 și să valorifice pe deplin potențialul tranziției. De fapt, o extindere a politicilor actuale către 2040 ar conduce deja la o reducere cu 88 % până în 2040. Concentrarea eforturilor de decarbonizare la începutul drumului nostru către atingerea neutralității climatice până în 2050 va reduce în mod semnificativ importurile de combustibili fosili (cu 80 % în 2040) și, prin urmare, va oferi o mai mare protecție împotriva șocurilor prețurilor și va crea o piață-pilot în domeniul tehnologiilor curate, consolidând autonomia strategică deschisă și competitivitatea UE.</w:t>
      </w:r>
      <w:r w:rsidR="00313DCF" w:rsidRPr="00C05138">
        <w:rPr>
          <w:noProof/>
          <w:lang w:val="ro-RO"/>
        </w:rPr>
        <w:t xml:space="preserve"> </w:t>
      </w:r>
      <w:r w:rsidRPr="00C05138">
        <w:rPr>
          <w:noProof/>
          <w:lang w:val="ro-RO"/>
        </w:rPr>
        <w:t>Cu toate acestea, este necesar să se pună un accent mai mare pe un cadru care să garanteze că toți cetățenii beneficiază de tranziția climatică, atât în prezent, cât și în următoarele decenii. De exemplu, Pactul verde european trebuie să fie, de asemenea, un pact privind decarbonizarea industrială. Europa are nevoie de o mai bună integrare a ocupării forței de muncă și a competențelor, precum și a aspectelor sociale și distributive în acțiunile climatice și de un cadru favorabil pentru o industrie decarbonizată în vederea unei creșteri economice durabile, precum și de condiții de concurență echitabile la nivel mondial pentru ca întreprinderile verzi să prospere. Europa va trebui, de asemenea, să planifice infrastructura energetică și de transport necesară. Aceste aspecte vor fi abordate în viitoarele revizuiri deja prevăzute în măsurile existente ale UE pentru a asigura îndeplinirea cu succes a obiectivelor noastre pentru 2030.</w:t>
      </w:r>
    </w:p>
    <w:p w14:paraId="66EE6EF2" w14:textId="6FEF602A" w:rsidR="00374D9E" w:rsidRPr="00C05138" w:rsidRDefault="00374D9E" w:rsidP="00482E88">
      <w:pPr>
        <w:spacing w:after="240"/>
        <w:rPr>
          <w:noProof/>
          <w:lang w:val="ro-RO"/>
        </w:rPr>
      </w:pPr>
      <w:r w:rsidRPr="00C05138">
        <w:rPr>
          <w:noProof/>
          <w:lang w:val="ro-RO"/>
        </w:rPr>
        <w:t>În plus, Europa va trebui să mobilizeze combinația adecvată de investiții din sectorul privat și din cel public pentru ca economia noastră să devină atât sustenabilă, cât și competitivă. În acest domeniu,</w:t>
      </w:r>
      <w:r w:rsidRPr="00C05138">
        <w:rPr>
          <w:noProof/>
          <w:color w:val="00B050"/>
          <w:lang w:val="ro-RO"/>
        </w:rPr>
        <w:t xml:space="preserve"> </w:t>
      </w:r>
      <w:r w:rsidRPr="00C05138">
        <w:rPr>
          <w:noProof/>
          <w:lang w:val="ro-RO"/>
        </w:rPr>
        <w:t>în următorii ani, va fi necesară o abordare europeană în materie de finanțare, în strânsă cooperare cu statele membre, pentru a genera economii de scară și de gamă, limitând în același timp fragmentarea eforturilor și adâncirea dezechilibrelor regionale.</w:t>
      </w:r>
    </w:p>
    <w:p w14:paraId="2C870110" w14:textId="5CBA3E28" w:rsidR="00482E88" w:rsidRPr="00C05138" w:rsidRDefault="00482E88" w:rsidP="00482E88">
      <w:pPr>
        <w:spacing w:after="240"/>
        <w:rPr>
          <w:noProof/>
          <w:lang w:val="ro-RO"/>
        </w:rPr>
      </w:pPr>
    </w:p>
    <w:p w14:paraId="52407B88" w14:textId="77777777" w:rsidR="00482E88" w:rsidRPr="00C05138" w:rsidRDefault="00482E88" w:rsidP="00482E88">
      <w:pPr>
        <w:rPr>
          <w:noProof/>
          <w:lang w:val="ro-RO"/>
        </w:rPr>
      </w:pPr>
      <w:r w:rsidRPr="00C05138">
        <w:rPr>
          <w:noProof/>
          <w:lang w:val="ro-RO"/>
        </w:rPr>
        <w:t xml:space="preserve">Multe investiții care urmează să fie întreprinse pentru a atinge obiectivele în materie de climă și energie pentru 2030 au efecte care se întind pe durata mai multor decenii. Definirea unui obiectiv climatic pentru 2040 va asigura predictibilitatea investițiilor. Aceasta va ajuta factorii de decizie din UE, statele membre și părțile interesate să ia deciziile necesare în acest deceniu critic, astfel încât acestea să fie compatibile cu obiectivul pentru 2040 și cu obiectivul privind realizarea neutralității climatice, reducând la minimum riscurile de blocare în cadrul unor traiectorii costisitoare și insuficiente și al unor active depreciate. </w:t>
      </w:r>
    </w:p>
    <w:p w14:paraId="0ECFFD81" w14:textId="7EC95E8C" w:rsidR="00482E88" w:rsidRPr="00C05138" w:rsidRDefault="00482E88" w:rsidP="00482E88">
      <w:pPr>
        <w:pStyle w:val="pf0"/>
        <w:jc w:val="both"/>
        <w:rPr>
          <w:noProof/>
          <w:lang w:val="ro-RO"/>
        </w:rPr>
      </w:pPr>
      <w:r w:rsidRPr="00C05138">
        <w:rPr>
          <w:noProof/>
          <w:lang w:val="ro-RO"/>
        </w:rPr>
        <w:t xml:space="preserve">Imperativul ca tranziția să fie justă se află în centrul Pactului verde european, având în vedere preocupările unor cetățeni și actori industriali cu privire la riscurile și costurile tranziției climatice și energetice. Acțiunile climatice trebuie să îi aducă pe toți laolaltă, acordând o atenție deosebită sprijinirii celor care se confruntă cu cele mai mari provocări. </w:t>
      </w:r>
      <w:bookmarkStart w:id="5" w:name="_Hlk157173186"/>
      <w:r w:rsidRPr="00C05138">
        <w:rPr>
          <w:noProof/>
          <w:lang w:val="ro-RO"/>
        </w:rPr>
        <w:t>Acesta este motivul pentru care prezenta comunicare lansează un dialog și o informare extinsă a cetățenilor, a întreprinderilor, a partenerilor sociali, a ONG-urilor, a mediului academic și a altor părți interesate cu privire la calea corectă pentru 2040 către atingerea neutralității climatice până în 2050. Un astfel de dialog cu industria are deja loc prin dialogurile privind tranziția curată organizate cu principalele sectoare industriale și va fi continuat și extins, inclusiv în perspectiva anului 2040. S-a lansat, de asemenea, dialogul strategic privind viitorul agriculturii cu fermierii și cu alți actori din lanțul alimentar în ceea ce privește viitorul agriculturii. În plus, ar trebui consolidat un dialog structurat și sistematic cu partenerii sociali pentru a asigura contribuția acestora, punând accentul pe ocuparea forței de muncă, inclusiv pe disponibilitatea locurilor de muncă pentru lucrătorii disponibilizați, pe mobilitate, pe calitatea locurilor de muncă, pe investiții în recalificare și perfecționare. Comisia va prezenta bilanțul dialogurilor privind tranziția curată înainte de reuniunea extraordinară a Consiliului European din luna aprilie a acestui an. Aceste dialoguri și activități de informare îi vor permite următoarei Comisii să prezinte propuneri legislative pentru cadrul de politică pentru perioada ulterioară anului 2030, care vor fi necesare pentru atingerea obiectivului pentru 2040 într-un mod echitabil și eficient din punctul de vedere al costurilor.</w:t>
      </w:r>
    </w:p>
    <w:p w14:paraId="5C3D0352" w14:textId="77777777" w:rsidR="00482E88" w:rsidRPr="00C05138" w:rsidRDefault="00482E88" w:rsidP="00482E88">
      <w:pPr>
        <w:pStyle w:val="Heading1"/>
        <w:rPr>
          <w:noProof/>
          <w:lang w:val="ro-RO"/>
        </w:rPr>
      </w:pPr>
      <w:bookmarkStart w:id="6" w:name="_Toc157365422"/>
      <w:bookmarkStart w:id="7" w:name="_Toc160178624"/>
      <w:bookmarkEnd w:id="5"/>
      <w:bookmarkEnd w:id="6"/>
      <w:r w:rsidRPr="00C05138">
        <w:rPr>
          <w:noProof/>
          <w:lang w:val="ro-RO"/>
        </w:rPr>
        <w:t>Acțiuni climatice ambițioase la nivel mondial</w:t>
      </w:r>
      <w:bookmarkEnd w:id="7"/>
      <w:r w:rsidRPr="00C05138">
        <w:rPr>
          <w:noProof/>
          <w:lang w:val="ro-RO"/>
        </w:rPr>
        <w:t xml:space="preserve"> </w:t>
      </w:r>
    </w:p>
    <w:p w14:paraId="2BB5493E" w14:textId="3A9042FD" w:rsidR="00482E88" w:rsidRPr="00C05138" w:rsidRDefault="00482E88" w:rsidP="00482E88">
      <w:pPr>
        <w:spacing w:line="257" w:lineRule="auto"/>
        <w:rPr>
          <w:noProof/>
          <w:lang w:val="ro-RO"/>
        </w:rPr>
      </w:pPr>
      <w:r w:rsidRPr="00C05138">
        <w:rPr>
          <w:noProof/>
          <w:lang w:val="ro-RO"/>
        </w:rPr>
        <w:t>Prima evaluare la nivel global realizată în temeiul Acordului de la Paris a arătat că părțile pun în aplicare acțiuni climatice din ce în ce mai eficace, dar că sunt necesare acțiuni suplimentare urgente pentru a aduce lumea pe deplin pe calea cea bună către atingerea obiectivelor Acordului de la Paris.</w:t>
      </w:r>
    </w:p>
    <w:p w14:paraId="64C78AF1" w14:textId="77777777" w:rsidR="00482E88" w:rsidRPr="00C05138" w:rsidRDefault="00482E88" w:rsidP="00482E88">
      <w:pPr>
        <w:spacing w:line="257" w:lineRule="auto"/>
        <w:rPr>
          <w:noProof/>
          <w:lang w:val="ro-RO"/>
        </w:rPr>
      </w:pPr>
      <w:r w:rsidRPr="00C05138">
        <w:rPr>
          <w:noProof/>
          <w:lang w:val="ro-RO"/>
        </w:rPr>
        <w:t>Părțile la COP28 au convenit că, pentru a limita încălzirea globală la 1,5 °C este nevoie de reduceri profunde, rapide și susținute ale emisiilor de gaze cu efect de seră la nivel mondial, cu 43 % până în 2030 și cu 60 % până în 2035 comparativ cu nivelurile din 2019, precum și de atingerea obiectivului de zero emisii nete de CO</w:t>
      </w:r>
      <w:r w:rsidRPr="00C05138">
        <w:rPr>
          <w:noProof/>
          <w:vertAlign w:val="subscript"/>
          <w:lang w:val="ro-RO"/>
        </w:rPr>
        <w:t>2</w:t>
      </w:r>
      <w:r w:rsidRPr="00C05138">
        <w:rPr>
          <w:noProof/>
          <w:lang w:val="ro-RO"/>
        </w:rPr>
        <w:t xml:space="preserve"> la nivel mondial până în 2050. Evaluarea la nivel global a evidențiat faptul că era combustibililor fosili ar trebui să se încheie, recunoscând necesitatea ca toată lumea să realizeze tranziția către renunțarea la combustibilii fosili. De asemenea, părțile la acord sunt invitate să tripleze capacitatea mondială de energie din surse regenerabile și să dubleze rata de îmbunătățire a eficienței energetice până în 2030 pentru a accelera eforturile la nivel mondial în direcția implementării unor sisteme energetice cu zero emisii nete, care să utilizeze combustibili cu emisii zero și cu emisii scăzute de dioxid de carbon cu mult înainte de sau până la jumătatea acestui secol. Deși se subliniază importanța unei tranziții juste, se face, de asemenea, apel la accelerarea eforturilor de reducere treptată a utilizării cărbunelui fără reducerea emisiilor și a emisiilor generate de transportul rutier, precum și la combaterea emisiilor de metan și a altor emisii decât cele de CO</w:t>
      </w:r>
      <w:r w:rsidRPr="00C05138">
        <w:rPr>
          <w:noProof/>
          <w:vertAlign w:val="subscript"/>
          <w:lang w:val="ro-RO"/>
        </w:rPr>
        <w:t>2</w:t>
      </w:r>
      <w:r w:rsidRPr="00C05138">
        <w:rPr>
          <w:noProof/>
          <w:lang w:val="ro-RO"/>
        </w:rPr>
        <w:t xml:space="preserve"> în acest deceniu și la eliminarea treptată, cât mai curând posibil, a subvențiilor pentru combustibilii fosili care sunt ineficiente și nu abordează sărăcia energetică sau grupurile vulnerabile. Acest lucru va necesita o schimbare a modelelor de investiții în întreaga lume pentru a se asigura că fluxurile financiare sunt în concordanță cu modalitățile de dezvoltare care implică emisii scăzute și care sunt reziliente la schimbările climatice.</w:t>
      </w:r>
    </w:p>
    <w:p w14:paraId="562A1AF6" w14:textId="2040B2C9" w:rsidR="00482E88" w:rsidRPr="00C05138" w:rsidRDefault="00482E88" w:rsidP="00482E88">
      <w:pPr>
        <w:spacing w:line="257" w:lineRule="auto"/>
        <w:rPr>
          <w:noProof/>
          <w:lang w:val="ro-RO"/>
        </w:rPr>
      </w:pPr>
      <w:r w:rsidRPr="00C05138">
        <w:rPr>
          <w:noProof/>
          <w:lang w:val="ro-RO"/>
        </w:rPr>
        <w:t>Rezultatele COP28 stabilesc nivelul minim de acțiune preconizat pentru întreaga comunitate mondială și îi aduc și pe alții pe traiectoria pe care UE se află deja.</w:t>
      </w:r>
      <w:r w:rsidR="00313DCF" w:rsidRPr="00C05138">
        <w:rPr>
          <w:noProof/>
          <w:lang w:val="ro-RO"/>
        </w:rPr>
        <w:t xml:space="preserve"> </w:t>
      </w:r>
      <w:r w:rsidRPr="00C05138">
        <w:rPr>
          <w:noProof/>
          <w:lang w:val="ro-RO"/>
        </w:rPr>
        <w:t>UE va continua să contribuie la asigurarea mijloacelor și a impulsului necesar pentru intensificarea acțiunilor la nivel mondial, dar și să convingă și să sprijine alte țări să îi urmeze exemplul.</w:t>
      </w:r>
    </w:p>
    <w:p w14:paraId="28594049" w14:textId="77777777" w:rsidR="00482E88" w:rsidRPr="00C05138" w:rsidRDefault="00482E88" w:rsidP="00482E88">
      <w:pPr>
        <w:spacing w:line="257" w:lineRule="auto"/>
        <w:rPr>
          <w:noProof/>
          <w:lang w:val="ro-RO"/>
        </w:rPr>
      </w:pPr>
      <w:r w:rsidRPr="00C05138">
        <w:rPr>
          <w:noProof/>
          <w:lang w:val="ro-RO"/>
        </w:rPr>
        <w:t>Pe baza succesului și a potențialului strategiei „Global Gateway”, cooperarea internațională se va extinde la noi domenii, în conformitate cu angajamentele colective asumate în evaluarea la nivel global și cu noile oportunități tehnologice. Finanțarea combaterii schimbărilor climatice va rămâne în centrul contribuției UE la acțiunile climatice la nivel mondial. UE, împreună cu statele sale membre și cu Banca Europeană de Investiții (BEI), reprezintă cel mai mare contribuitor la finanțarea publică a combaterii schimbărilor climatice în cadrul economiilor în curs de dezvoltare, participând cu 28,5 miliarde EUR în 2022 și mobilizând o finanțare privată suplimentară de 11,9 miliarde EUR.</w:t>
      </w:r>
    </w:p>
    <w:p w14:paraId="03040019" w14:textId="77777777" w:rsidR="00482E88" w:rsidRPr="00C05138" w:rsidRDefault="00482E88" w:rsidP="00482E88">
      <w:pPr>
        <w:rPr>
          <w:noProof/>
          <w:lang w:val="ro-RO"/>
        </w:rPr>
      </w:pPr>
      <w:r w:rsidRPr="00C05138">
        <w:rPr>
          <w:noProof/>
          <w:lang w:val="ro-RO"/>
        </w:rPr>
        <w:t>UE și statele sale membre vor consolida în continuare diplomația climatică în cadrul forurilor bilaterale, plurilaterale (printre altele, în cadrul G7, al G20, al OCDE și al Climate Club) și multilaterale.</w:t>
      </w:r>
    </w:p>
    <w:p w14:paraId="4B846ED0" w14:textId="64690A25" w:rsidR="00482E88" w:rsidRPr="00C05138" w:rsidRDefault="00482E88" w:rsidP="00482E88">
      <w:pPr>
        <w:rPr>
          <w:noProof/>
          <w:lang w:val="ro-RO"/>
        </w:rPr>
      </w:pPr>
      <w:r w:rsidRPr="00C05138">
        <w:rPr>
          <w:noProof/>
          <w:lang w:val="ro-RO"/>
        </w:rPr>
        <w:t>Comisia va institui un grup operativ specific pentru a-și pune la dispoziție cunoștințele de specialitate și va mobiliza personal pentru a crea piețe ale carbonului, pentru a dezvolta o abordare la nivel global asupra stabilirii prețului carbonului (</w:t>
      </w:r>
      <w:r w:rsidRPr="00C05138">
        <w:rPr>
          <w:rStyle w:val="FootnoteReference"/>
          <w:noProof/>
          <w:lang w:val="ro-RO"/>
        </w:rPr>
        <w:footnoteReference w:id="7"/>
      </w:r>
      <w:r w:rsidRPr="00C05138">
        <w:rPr>
          <w:noProof/>
          <w:lang w:val="ro-RO"/>
        </w:rPr>
        <w:t xml:space="preserve">), pentru a-și intensifica atât diplomația în ceea ce privește piața carbonului în întreaga lume, cât și eforturile de a reproduce succesul schemei UE de comercializare a certificatelor de emisii (EU ETS), încurajând și sprijinind alte jurisdicții să introducă sau să își îmbunătățească propriile mecanisme de stabilire a prețului carbonului. </w:t>
      </w:r>
    </w:p>
    <w:p w14:paraId="329BF017" w14:textId="2CB7130C" w:rsidR="00482E88" w:rsidRPr="00C05138" w:rsidRDefault="00482E88" w:rsidP="00482E88">
      <w:pPr>
        <w:rPr>
          <w:noProof/>
          <w:highlight w:val="magenta"/>
          <w:lang w:val="ro-RO"/>
        </w:rPr>
      </w:pPr>
      <w:r w:rsidRPr="00C05138">
        <w:rPr>
          <w:noProof/>
          <w:lang w:val="ro-RO"/>
        </w:rPr>
        <w:t xml:space="preserve">Punerea în aplicare treptată a mecanismului de ajustare a carbonului la frontieră (CBAM), care a intrat în vigoare, în faza sa de tranziție, la 1 octombrie 2023, stimulează, de asemenea, guvernele să utilizeze măsuri de stabilire a prețurilor pentru a reduce emisiile și pentru ca industriile să își reducă emisiile de gaze cu efect de seră, pe baza unei metodologii care are potențial de aplicare la nivel internațional. </w:t>
      </w:r>
    </w:p>
    <w:p w14:paraId="23567AA0" w14:textId="77777777" w:rsidR="00482E88" w:rsidRPr="00C05138" w:rsidRDefault="00482E88" w:rsidP="00482E88">
      <w:pPr>
        <w:spacing w:line="257" w:lineRule="auto"/>
        <w:rPr>
          <w:noProof/>
          <w:lang w:val="ro-RO"/>
        </w:rPr>
      </w:pPr>
      <w:r w:rsidRPr="00C05138">
        <w:rPr>
          <w:noProof/>
          <w:lang w:val="ro-RO"/>
        </w:rPr>
        <w:t xml:space="preserve">Într-un mediu geopolitic volatil, UE va continua să dezvolte parteneriate stabile cu țări care împărtășesc aceeași viziune. Alianțele și parteneriatele verzi încheiate începând din 2021 vor susține calea UE și a partenerilor săi către neutralitatea climatică. Aceasta va extinde și va aprofunda parteneriatele cu furnizori internaționali fiabili, inclusiv cu țările învecinate, pentru a asigura securitatea energetică pe termen lung și previzibilitatea aprovizionării pe tot parcursul tranziției energetice. Acest lucru va contribui la reducerea costurilor și a dependențelor externe, reducând în același timp riscurile lanțurilor de aprovizionare, și, de asemenea, le va permite întreprinderilor și societății europene să beneficieze de tranziția globală și de cererea tot mai mare de tehnologii curate, alături de instrumente de politică menite să asigure reziliența aprovizionării UE cu tehnologii „zero-net”. </w:t>
      </w:r>
    </w:p>
    <w:p w14:paraId="47AAFE8D" w14:textId="77777777" w:rsidR="00482E88" w:rsidRPr="00C05138" w:rsidRDefault="00482E88" w:rsidP="00482E88">
      <w:pPr>
        <w:spacing w:line="257" w:lineRule="auto"/>
        <w:rPr>
          <w:noProof/>
          <w:sz w:val="22"/>
          <w:lang w:val="ro-RO"/>
        </w:rPr>
      </w:pPr>
      <w:r w:rsidRPr="00C05138">
        <w:rPr>
          <w:noProof/>
          <w:lang w:val="ro-RO"/>
        </w:rPr>
        <w:t>Acordurile comerciale pot contribui la promovarea obiectivelor climatice și la atingerea obiectivelor noastre, asigurând, în același timp, faptul că sistemul comercial internațional rămâne echitabil și nediscriminatoriu. Politica comercială poate stimula inovarea, promovând lanțurile valorice durabile și creând acces pe piață pentru tehnologii și produse curate.</w:t>
      </w:r>
      <w:r w:rsidRPr="00C05138">
        <w:rPr>
          <w:i/>
          <w:noProof/>
          <w:sz w:val="22"/>
          <w:lang w:val="ro-RO"/>
        </w:rPr>
        <w:t xml:space="preserve"> </w:t>
      </w:r>
    </w:p>
    <w:p w14:paraId="05F44A6E" w14:textId="77777777" w:rsidR="00482E88" w:rsidRPr="00C05138" w:rsidRDefault="00482E88" w:rsidP="00482E88">
      <w:pPr>
        <w:rPr>
          <w:noProof/>
          <w:lang w:val="ro-RO"/>
        </w:rPr>
      </w:pPr>
      <w:r w:rsidRPr="00C05138">
        <w:rPr>
          <w:noProof/>
          <w:lang w:val="ro-RO"/>
        </w:rPr>
        <w:t>Reflectând impulsul semnificativ în ceea ce privește extinderea UE, Comisia va sprijini țările candidate și potențial candidate să se alinieze la acquis-ul UE în domeniul climei și al energiei, inclusiv la Legea europeană a climei, și să îl adopte. Aceasta include punerea în aplicare a angajamentelor asumate prin intermediul Comunității Energiei de a îndeplini obiectivele în materie de climă și de energie pentru 2030 și de a realiza neutralitatea climatică până în 2050 într-un cadru bazat pe Regulamentul privind guvernanța uniunii energetice.</w:t>
      </w:r>
      <w:r w:rsidRPr="00C05138">
        <w:rPr>
          <w:noProof/>
          <w:color w:val="000000" w:themeColor="text1"/>
          <w:lang w:val="ro-RO"/>
        </w:rPr>
        <w:t xml:space="preserve"> </w:t>
      </w:r>
      <w:r w:rsidRPr="00C05138">
        <w:rPr>
          <w:noProof/>
          <w:lang w:val="ro-RO"/>
        </w:rPr>
        <w:t xml:space="preserve">Angajamentul față de jalonul stabilit pentru 2040 și tranziția în conformitate cu acesta vor fi, de asemenea, factori importanți în procesul de aderare al viitoarelor state membre ale UE. </w:t>
      </w:r>
    </w:p>
    <w:p w14:paraId="07D82453" w14:textId="68DC5BCD" w:rsidR="00482E88" w:rsidRPr="00C05138" w:rsidRDefault="00482E88" w:rsidP="00482E88">
      <w:pPr>
        <w:rPr>
          <w:noProof/>
          <w:lang w:val="ro-RO"/>
        </w:rPr>
      </w:pPr>
      <w:r w:rsidRPr="00C05138">
        <w:rPr>
          <w:noProof/>
          <w:lang w:val="ro-RO"/>
        </w:rPr>
        <w:t xml:space="preserve">Odată convenit, obiectivul pentru 2040 va sta la baza noii contribuții stabilite la nivel național (CSN) a UE în temeiul Acordului de la Paris, care urmează să fie comunicată CCONUSC până în 2025, înainte de COP30. O valoare netă a emisiilor de gaze cu efect de seră pentru UE în 2035 va fi obținută după ce se va conveni asupra obiectivului pentru 2040, aceasta urmând să fie comunicată în cadrul noii CSN. </w:t>
      </w:r>
    </w:p>
    <w:p w14:paraId="09F626C6" w14:textId="77777777" w:rsidR="00482E88" w:rsidRPr="00C05138" w:rsidRDefault="00482E88" w:rsidP="00482E88">
      <w:pPr>
        <w:pStyle w:val="Heading1"/>
        <w:rPr>
          <w:noProof/>
          <w:lang w:val="ro-RO"/>
        </w:rPr>
      </w:pPr>
      <w:bookmarkStart w:id="8" w:name="_Toc155286918"/>
      <w:bookmarkStart w:id="9" w:name="_Toc160178625"/>
      <w:r w:rsidRPr="00C05138">
        <w:rPr>
          <w:noProof/>
          <w:lang w:val="ro-RO"/>
        </w:rPr>
        <w:t>Obiectivul pentru 2040 și calea către neutralitatea climatică</w:t>
      </w:r>
      <w:bookmarkEnd w:id="8"/>
      <w:bookmarkEnd w:id="9"/>
    </w:p>
    <w:p w14:paraId="433A2A42" w14:textId="77777777" w:rsidR="00482E88" w:rsidRPr="00C05138" w:rsidRDefault="00482E88" w:rsidP="00482E88">
      <w:pPr>
        <w:pStyle w:val="Heading2"/>
        <w:rPr>
          <w:noProof/>
          <w:lang w:val="ro-RO"/>
        </w:rPr>
      </w:pPr>
      <w:bookmarkStart w:id="10" w:name="_Toc160178626"/>
      <w:r w:rsidRPr="00C05138">
        <w:rPr>
          <w:noProof/>
          <w:lang w:val="ro-RO"/>
        </w:rPr>
        <w:t>Obiectivul</w:t>
      </w:r>
      <w:bookmarkEnd w:id="10"/>
    </w:p>
    <w:p w14:paraId="297405E3" w14:textId="7B54BF4B" w:rsidR="00482E88" w:rsidRPr="00C05138" w:rsidRDefault="00482E88" w:rsidP="00482E88">
      <w:pPr>
        <w:rPr>
          <w:noProof/>
          <w:lang w:val="ro-RO"/>
        </w:rPr>
      </w:pPr>
      <w:r w:rsidRPr="00C05138">
        <w:rPr>
          <w:noProof/>
          <w:lang w:val="ro-RO"/>
        </w:rPr>
        <w:t xml:space="preserve">Pentru a plasa UE pe o traiectorie fermă către neutralitatea climatică, prezenta comunicare propune </w:t>
      </w:r>
      <w:r w:rsidRPr="00C05138">
        <w:rPr>
          <w:b/>
          <w:noProof/>
          <w:lang w:val="ro-RO"/>
        </w:rPr>
        <w:t>o reducere cu 90 % a emisiilor nete de gaze cu efect de seră comparativ cu nivelurile din 1990 ca obiectiv recomandat pentru 2040 („obiectivul pentru 2040”)</w:t>
      </w:r>
      <w:r w:rsidRPr="00C05138">
        <w:rPr>
          <w:noProof/>
          <w:lang w:val="ro-RO"/>
        </w:rPr>
        <w:t>.</w:t>
      </w:r>
      <w:r w:rsidRPr="00C05138">
        <w:rPr>
          <w:b/>
          <w:noProof/>
          <w:lang w:val="ro-RO"/>
        </w:rPr>
        <w:t xml:space="preserve"> </w:t>
      </w:r>
      <w:r w:rsidRPr="00C05138">
        <w:rPr>
          <w:noProof/>
          <w:lang w:val="ro-RO"/>
        </w:rPr>
        <w:t>Pentru a asigura o reducere cu 90 % a emisiilor nete de gaze cu efect de seră, analiza din evaluarea impactului arată că nivelul emisiilor de gaze cu efect de seră rămase în UE în 2040 ar trebui să fie mai mic de 850 Mt echivalent CO</w:t>
      </w:r>
      <w:r w:rsidRPr="00C05138">
        <w:rPr>
          <w:noProof/>
          <w:vertAlign w:val="subscript"/>
          <w:lang w:val="ro-RO"/>
        </w:rPr>
        <w:t>2</w:t>
      </w:r>
      <w:r w:rsidRPr="00C05138">
        <w:rPr>
          <w:noProof/>
          <w:lang w:val="ro-RO"/>
        </w:rPr>
        <w:t> (</w:t>
      </w:r>
      <w:r w:rsidRPr="00C05138">
        <w:rPr>
          <w:rStyle w:val="FootnoteReference"/>
          <w:noProof/>
          <w:lang w:val="ro-RO"/>
        </w:rPr>
        <w:footnoteReference w:id="8"/>
      </w:r>
      <w:r w:rsidRPr="00C05138">
        <w:rPr>
          <w:noProof/>
          <w:lang w:val="ro-RO"/>
        </w:rPr>
        <w:t>), iar eliminările de dioxid de carbon (din atmosferă, prin intermediul eliminărilor de dioxid de carbon cu ajutorul terenurilor și industriale) ar trebui să ajungă până la 400 Mt CO</w:t>
      </w:r>
      <w:r w:rsidRPr="00C05138">
        <w:rPr>
          <w:noProof/>
          <w:vertAlign w:val="subscript"/>
          <w:lang w:val="ro-RO"/>
        </w:rPr>
        <w:t>2</w:t>
      </w:r>
      <w:r w:rsidRPr="00C05138">
        <w:rPr>
          <w:noProof/>
          <w:lang w:val="ro-RO"/>
        </w:rPr>
        <w:t>.</w:t>
      </w:r>
    </w:p>
    <w:p w14:paraId="63129C1F" w14:textId="7D3B97AE" w:rsidR="00482E88" w:rsidRPr="00C05138" w:rsidRDefault="00482E88" w:rsidP="00482E88">
      <w:pPr>
        <w:rPr>
          <w:noProof/>
          <w:lang w:val="ro-RO"/>
        </w:rPr>
      </w:pPr>
      <w:r w:rsidRPr="00C05138">
        <w:rPr>
          <w:noProof/>
          <w:lang w:val="ro-RO"/>
        </w:rPr>
        <w:t>Obiectivul propus se bazează pe o evaluare aprofundată a impactului (</w:t>
      </w:r>
      <w:r w:rsidRPr="00C05138">
        <w:rPr>
          <w:rStyle w:val="FootnoteReference"/>
          <w:noProof/>
          <w:highlight w:val="lightGray"/>
          <w:lang w:val="ro-RO"/>
        </w:rPr>
        <w:footnoteReference w:id="9"/>
      </w:r>
      <w:r w:rsidRPr="00C05138">
        <w:rPr>
          <w:noProof/>
          <w:lang w:val="ro-RO"/>
        </w:rPr>
        <w:t>), care a analizat în detaliu implicațiile a trei opțiuni privind obiectivul pentru 2040:</w:t>
      </w:r>
    </w:p>
    <w:p w14:paraId="5BFC361D" w14:textId="77777777" w:rsidR="00482E88" w:rsidRPr="00C05138" w:rsidRDefault="00482E88" w:rsidP="00482E88">
      <w:pPr>
        <w:pStyle w:val="ListParagraph"/>
        <w:numPr>
          <w:ilvl w:val="0"/>
          <w:numId w:val="58"/>
        </w:numPr>
        <w:spacing w:after="240"/>
        <w:rPr>
          <w:noProof/>
          <w:lang w:val="ro-RO"/>
        </w:rPr>
      </w:pPr>
      <w:r w:rsidRPr="00C05138">
        <w:rPr>
          <w:noProof/>
          <w:lang w:val="ro-RO"/>
        </w:rPr>
        <w:t>opțiunea 1 – o reducere cu până la 80 % comparativ cu 1990, în concordanță cu o traiectorie liniară între 2030 și 2050 (</w:t>
      </w:r>
      <w:r w:rsidRPr="00C05138">
        <w:rPr>
          <w:rStyle w:val="FootnoteReference"/>
          <w:noProof/>
          <w:lang w:val="ro-RO"/>
        </w:rPr>
        <w:footnoteReference w:id="10"/>
      </w:r>
      <w:r w:rsidRPr="00C05138">
        <w:rPr>
          <w:noProof/>
          <w:lang w:val="ro-RO"/>
        </w:rPr>
        <w:t>);</w:t>
      </w:r>
    </w:p>
    <w:p w14:paraId="75B4E31A" w14:textId="3C1DC2A2" w:rsidR="00482E88" w:rsidRPr="00C05138" w:rsidRDefault="00482E88" w:rsidP="00482E88">
      <w:pPr>
        <w:pStyle w:val="ListParagraph"/>
        <w:numPr>
          <w:ilvl w:val="0"/>
          <w:numId w:val="58"/>
        </w:numPr>
        <w:spacing w:after="240"/>
        <w:rPr>
          <w:noProof/>
          <w:lang w:val="ro-RO"/>
        </w:rPr>
      </w:pPr>
      <w:r w:rsidRPr="00C05138">
        <w:rPr>
          <w:noProof/>
          <w:lang w:val="ro-RO"/>
        </w:rPr>
        <w:t>opțiunea 2 – o reducere cu 85-90 %, compatibilă cu nivelul reducerii nete de gaze cu efect de seră, care ar urma să fie atinsă dacă actualul cadru de politică ar fi extins până în 2040 și</w:t>
      </w:r>
    </w:p>
    <w:p w14:paraId="37796437" w14:textId="77777777" w:rsidR="00482E88" w:rsidRPr="00C05138" w:rsidRDefault="00482E88" w:rsidP="00482E88">
      <w:pPr>
        <w:pStyle w:val="ListParagraph"/>
        <w:numPr>
          <w:ilvl w:val="0"/>
          <w:numId w:val="58"/>
        </w:numPr>
        <w:spacing w:after="240"/>
        <w:rPr>
          <w:noProof/>
          <w:lang w:val="ro-RO"/>
        </w:rPr>
      </w:pPr>
      <w:r w:rsidRPr="00C05138">
        <w:rPr>
          <w:noProof/>
          <w:lang w:val="ro-RO"/>
        </w:rPr>
        <w:t xml:space="preserve">opțiunea 3 – o reducere cu 90-95 %. </w:t>
      </w:r>
    </w:p>
    <w:p w14:paraId="470670EA" w14:textId="77777777" w:rsidR="00482E88" w:rsidRPr="00C05138" w:rsidRDefault="00482E88" w:rsidP="00482E88">
      <w:pPr>
        <w:tabs>
          <w:tab w:val="left" w:pos="5103"/>
        </w:tabs>
        <w:spacing w:after="0"/>
        <w:rPr>
          <w:noProof/>
          <w:lang w:val="ro-RO"/>
        </w:rPr>
      </w:pPr>
    </w:p>
    <w:p w14:paraId="5D26A02A" w14:textId="4CBC0782" w:rsidR="00482E88" w:rsidRPr="00C05138" w:rsidRDefault="00482E88" w:rsidP="00482E88">
      <w:pPr>
        <w:spacing w:after="240"/>
        <w:rPr>
          <w:noProof/>
          <w:lang w:val="ro-RO"/>
        </w:rPr>
      </w:pPr>
      <w:r w:rsidRPr="00C05138">
        <w:rPr>
          <w:noProof/>
          <w:lang w:val="ro-RO"/>
        </w:rPr>
        <w:t xml:space="preserve">Există o diferență clară între opțiunile avute în vedere în ceea ce privește importanța tehnologiilor noi. Opțiunea 3 este însoțită de investiții mai rapide decât în cazul opțiunii 2, care ar urma să fie realizate între 2031 și 2040 pentru implementarea noilor tehnologii cu emisii scăzute de dioxid de carbon, cum ar fi producția de hidrogen prin electroliză, captarea și utilizarea dioxidului de carbon și eliminările industriale de dioxid de carbon. Opțiunea 1 prevede în mare măsură implementarea tehnologiilor noi în perioada 2041-2050 și, prin urmare, riscă să nu conducă la realizarea neutralității climatice până în 2050. Opțiunea 3 anticipează volumul mare de eliminări de dioxid de carbon necesar pentru a atinge neutralitatea climatică până în 2050 și pentru a genera emisii nete negative după 2050. </w:t>
      </w:r>
    </w:p>
    <w:p w14:paraId="2DDB5F53" w14:textId="4BE0EB30" w:rsidR="00482E88" w:rsidRPr="00C05138" w:rsidRDefault="00482E88" w:rsidP="00482E88">
      <w:pPr>
        <w:spacing w:after="240"/>
        <w:rPr>
          <w:noProof/>
          <w:lang w:val="ro-RO"/>
        </w:rPr>
      </w:pPr>
      <w:r w:rsidRPr="00C05138">
        <w:rPr>
          <w:noProof/>
          <w:lang w:val="ro-RO"/>
        </w:rPr>
        <w:t>Opțiunea 3 conduce la cel mai mic buget privind GES pentru UE, cu un nivel al emisiilor nete cumulate de gaze cu efect de seră (bugetul orientativ privind GES) egal cu 16</w:t>
      </w:r>
      <w:r w:rsidR="00C05138" w:rsidRPr="00C05138">
        <w:rPr>
          <w:noProof/>
          <w:lang w:val="ro-RO"/>
        </w:rPr>
        <w:t> </w:t>
      </w:r>
      <w:r w:rsidRPr="00C05138">
        <w:rPr>
          <w:noProof/>
          <w:lang w:val="ro-RO"/>
        </w:rPr>
        <w:t>Gt echivalent CO</w:t>
      </w:r>
      <w:r w:rsidRPr="00C05138">
        <w:rPr>
          <w:noProof/>
          <w:vertAlign w:val="subscript"/>
          <w:lang w:val="ro-RO"/>
        </w:rPr>
        <w:t>2</w:t>
      </w:r>
      <w:r w:rsidRPr="00C05138">
        <w:rPr>
          <w:noProof/>
          <w:lang w:val="ro-RO"/>
        </w:rPr>
        <w:t xml:space="preserve"> pentru perioada 2030-2050. Aceasta este singura opțiune care corespunde avizului Consiliului științific consultativ european privind schimbările climatice (ESABCC) (</w:t>
      </w:r>
      <w:r w:rsidRPr="00C05138">
        <w:rPr>
          <w:noProof/>
          <w:vertAlign w:val="superscript"/>
          <w:lang w:val="ro-RO"/>
        </w:rPr>
        <w:footnoteReference w:id="11"/>
      </w:r>
      <w:r w:rsidRPr="00C05138">
        <w:rPr>
          <w:noProof/>
          <w:lang w:val="ro-RO"/>
        </w:rPr>
        <w:t>), care reduce la minimum emisiile totale de GES pe care le eliberăm în atmosferă și care este în conformitate cu dispozițiile Legii europene a climei referitoare la prezentarea unui buget privind GES care să nu pună în pericol angajamentele asumate de UE în temeiul Acordului de la Paris. Având în vedere reducerea rapidă a bugetului de carbon rămas la nivel global</w:t>
      </w:r>
      <w:r w:rsidR="00C71E06" w:rsidRPr="00C05138">
        <w:rPr>
          <w:noProof/>
          <w:lang w:val="ro-RO"/>
        </w:rPr>
        <w:t> </w:t>
      </w:r>
      <w:r w:rsidRPr="00C05138">
        <w:rPr>
          <w:noProof/>
          <w:lang w:val="ro-RO"/>
        </w:rPr>
        <w:t>(</w:t>
      </w:r>
      <w:r w:rsidRPr="00C05138">
        <w:rPr>
          <w:rStyle w:val="FootnoteReference"/>
          <w:noProof/>
          <w:lang w:val="ro-RO"/>
        </w:rPr>
        <w:footnoteReference w:id="12"/>
      </w:r>
      <w:r w:rsidRPr="00C05138">
        <w:rPr>
          <w:noProof/>
          <w:lang w:val="ro-RO"/>
        </w:rPr>
        <w:t xml:space="preserve">), este esențial ca toate părțile să își reducă la minimum propriile emisii cumulate. Înscrierea UE pe această cale cât mai curând posibil va face această tranziție mai ieftină și mai previzibilă. Cu cât se amână mai mult acțiunile climatice, cu atât mai mari sunt costurile umane și economice și cu atât mai mare este nevoia de a finanța refacerea și adaptarea, utilizând resurse din economia UE. </w:t>
      </w:r>
    </w:p>
    <w:p w14:paraId="53E4B47D" w14:textId="79661148" w:rsidR="00482E88" w:rsidRPr="00C05138" w:rsidRDefault="00482E88" w:rsidP="00482E88">
      <w:pPr>
        <w:rPr>
          <w:noProof/>
          <w:lang w:val="ro-RO"/>
        </w:rPr>
      </w:pPr>
      <w:r w:rsidRPr="00C05138">
        <w:rPr>
          <w:noProof/>
          <w:lang w:val="ro-RO"/>
        </w:rPr>
        <w:t xml:space="preserve">Toate opțiunile implică o trecere a costurilor totale de la costuri operaționale (legate de achizițiile de combustibili fosili) la costuri de capital. Necesarul de investiții pentru perioada 2031-2050 este similar în cazul tuturor opțiunilor, opțiunea 3 necesitând investiții anuale mai mari în perioada 2031-2040 decât opțiunile 1 și 2, însă, ulterior, investiții anuale mai scăzute în perioada 2041-2050. Cu toate acestea, cu excepția industriilor energointensive, diferențele dintre opțiunile 2 și 3 în ceea ce privește costurile totale rezultate aferente sistemului energetic, PIB-ul și competitivitatea cu privire la cotele exporturilor la nivel mondial rămân limitate. Opțiunea 3 stabilește o traiectorie clară de tranziție către renunțarea la combustibilii fosili, astfel cum s-a solicitat în cadrul COP28, oferind cele mai mari beneficii în ceea ce privește independența energetică și o protecție sporită împotriva șocurilor cauzate de prețurile combustibililor fosili. Aceasta consolidează autonomia strategică deschisă a UE în contextul internațional extrem de volatil, în care dependența de importurile de combustibili fosili reprezintă un risc pentru securitatea UE și pentru stabilitatea sa economică. </w:t>
      </w:r>
    </w:p>
    <w:p w14:paraId="07ED083D" w14:textId="1470B699" w:rsidR="00482E88" w:rsidRPr="00C05138" w:rsidRDefault="00482E88" w:rsidP="00482E88">
      <w:pPr>
        <w:rPr>
          <w:noProof/>
          <w:lang w:val="ro-RO"/>
        </w:rPr>
      </w:pPr>
      <w:r w:rsidRPr="00C05138">
        <w:rPr>
          <w:noProof/>
          <w:lang w:val="ro-RO"/>
        </w:rPr>
        <w:t xml:space="preserve">Obiectivul recomandat impune mai degrabă o implementare rapidă a tehnologiilor cu emisii zero și cu emisii scăzute de dioxid de carbon până în 2040, crearea unei mari piețe interne pentru producătorii de tehnologii curate, stimularea cercetării și inovării și crearea unei baze industriale europene puternice, care vor plasa UE într-o poziție de lider în cursa mondială pentru tehnologii curate, decât amânarea acțiunilor pentru ultimul deceniu până în 2050. Cu toate acestea, cu mai multe acțiuni prevăzute pentru deceniul 2031-2040, opțiunea 3 implică, de asemenea, nevoi ceva mai mari în materie de materii prime (mai reduse în deceniul următor) și, în cazul în care tehnologiile noi nu sunt implementate suficient de rapid, un risc mai mare de compromisuri de mediu potențiale, în special în ceea ce privește utilizarea terenurilor și rolul biomasei în sistemul energetic. </w:t>
      </w:r>
    </w:p>
    <w:p w14:paraId="2B61C40F" w14:textId="62ADD8F9" w:rsidR="00482E88" w:rsidRPr="00C05138" w:rsidRDefault="00482E88" w:rsidP="00482E88">
      <w:pPr>
        <w:spacing w:after="240" w:line="240" w:lineRule="auto"/>
        <w:rPr>
          <w:noProof/>
          <w:lang w:val="ro-RO"/>
        </w:rPr>
      </w:pPr>
      <w:r w:rsidRPr="00C05138">
        <w:rPr>
          <w:noProof/>
          <w:lang w:val="ro-RO"/>
        </w:rPr>
        <w:t>Un obiectiv de 90 % va necesita o mai mare concentrare asupra și eforturi mai intense în vederea asigurării unei tranziții juste decât opțiunile avute în vedere care sunt mai puțin ambițioase, deoarece tranziția este accelerată într-o oarecare măsură. Deși diferența dintre opțiuni în ceea ce privește costurile pentru gospodării este limitată (în special datorită creșterii eficienței energetice în cadrul opțiunii 3, ceea ce limitează achizițiile de energie), cadrul de politică pentru perioada ulterioară anului 2030 ar trebui să includă măsuri de politică adecvate pentru a asigura prețuri accesibile la energie și accesul la soluții decarbonizate. Măsurile de redistribuire vor fi esențiale pentru abordarea impactului social, astfel încât nimeni să nu fie lăsat în urmă.</w:t>
      </w:r>
    </w:p>
    <w:p w14:paraId="60AB3A41" w14:textId="77777777" w:rsidR="00482E88" w:rsidRPr="00C05138" w:rsidRDefault="00482E88" w:rsidP="00482E88">
      <w:pPr>
        <w:spacing w:before="120" w:after="240" w:line="240" w:lineRule="auto"/>
        <w:rPr>
          <w:noProof/>
          <w:color w:val="000000" w:themeColor="text1"/>
          <w:lang w:val="ro-RO"/>
        </w:rPr>
      </w:pPr>
    </w:p>
    <w:tbl>
      <w:tblPr>
        <w:tblStyle w:val="TableGrid"/>
        <w:tblW w:w="0" w:type="auto"/>
        <w:tblLook w:val="04A0" w:firstRow="1" w:lastRow="0" w:firstColumn="1" w:lastColumn="0" w:noHBand="0" w:noVBand="1"/>
      </w:tblPr>
      <w:tblGrid>
        <w:gridCol w:w="9242"/>
      </w:tblGrid>
      <w:tr w:rsidR="00482E88" w:rsidRPr="00C05138" w14:paraId="0ADA4E7D" w14:textId="77777777" w:rsidTr="002205E6">
        <w:tc>
          <w:tcPr>
            <w:tcW w:w="9242" w:type="dxa"/>
          </w:tcPr>
          <w:p w14:paraId="23E6C268" w14:textId="77777777" w:rsidR="00482E88" w:rsidRPr="00C05138" w:rsidRDefault="00482E88" w:rsidP="002205E6">
            <w:pPr>
              <w:spacing w:after="240"/>
              <w:jc w:val="center"/>
              <w:rPr>
                <w:b/>
                <w:noProof/>
                <w:lang w:val="ro-RO"/>
              </w:rPr>
            </w:pPr>
            <w:r w:rsidRPr="00C05138">
              <w:rPr>
                <w:b/>
                <w:noProof/>
                <w:lang w:val="ro-RO"/>
              </w:rPr>
              <w:t>Compararea opțiunilor avute în vedere</w:t>
            </w:r>
          </w:p>
          <w:p w14:paraId="66BCCDBF" w14:textId="77777777" w:rsidR="00482E88" w:rsidRPr="00C05138" w:rsidRDefault="00482E88" w:rsidP="002205E6">
            <w:pPr>
              <w:rPr>
                <w:noProof/>
                <w:lang w:val="ro-RO"/>
              </w:rPr>
            </w:pPr>
            <w:r w:rsidRPr="00C05138">
              <w:rPr>
                <w:noProof/>
                <w:u w:val="single"/>
                <w:lang w:val="ro-RO"/>
              </w:rPr>
              <w:t>Investiții și costuri</w:t>
            </w:r>
          </w:p>
          <w:p w14:paraId="742DFA8A" w14:textId="77777777" w:rsidR="00482E88" w:rsidRPr="00C05138" w:rsidRDefault="00482E88" w:rsidP="002205E6">
            <w:pPr>
              <w:rPr>
                <w:noProof/>
                <w:lang w:val="ro-RO"/>
              </w:rPr>
            </w:pPr>
            <w:r w:rsidRPr="00C05138">
              <w:rPr>
                <w:noProof/>
                <w:lang w:val="ro-RO"/>
              </w:rPr>
              <w:t>Toate opțiunile necesită un nivel similar de investiții în perioada 2031-2050 și implică redirecționarea resurselor care, altfel, în absența vreunei acțiuni, ar trebui, de asemenea, să fie investite în tehnologii cu intensitate ridicată a emisiilor de dioxid de carbon pentru a răspunde nevoilor energetice ale economiei. Necesarul de investiții în sistemul energetic se ridică, în medie, la aproape 660 de miliarde EUR (echivalentul a 3,2 % din PIB) pe an pe parcursul întregii perioade (față de 250 de miliarde EUR sau 1,7 % din PIB în perioada 2011-2020, un deceniu cu investiții relativ scăzute în sistemul energetic), iar cheltuielile anuale din sectorul transporturilor (</w:t>
            </w:r>
            <w:r w:rsidRPr="00C05138">
              <w:rPr>
                <w:rStyle w:val="FootnoteReference"/>
                <w:noProof/>
                <w:lang w:val="ro-RO"/>
              </w:rPr>
              <w:footnoteReference w:id="13"/>
            </w:r>
            <w:r w:rsidRPr="00C05138">
              <w:rPr>
                <w:noProof/>
                <w:lang w:val="ro-RO"/>
              </w:rPr>
              <w:t xml:space="preserve">) se ridică la aproximativ 870 de miliarde EUR (echivalentul a 4,2 % din PIB, ceea ce reprezintă o proporție din PIB similară cu cea din perioada 2011-2020). Opțiunea 3 prevede unele investiții în sistemul energetic pentru anii 2030, cu o investiție medie anuală de 710 miliarde EUR în perioada 2031-2040. </w:t>
            </w:r>
          </w:p>
          <w:p w14:paraId="22F17E64" w14:textId="77777777" w:rsidR="00482E88" w:rsidRPr="00C05138" w:rsidRDefault="00482E88" w:rsidP="002205E6">
            <w:pPr>
              <w:rPr>
                <w:noProof/>
                <w:lang w:val="ro-RO"/>
              </w:rPr>
            </w:pPr>
          </w:p>
          <w:p w14:paraId="258A785A" w14:textId="7236DCBA" w:rsidR="00482E88" w:rsidRPr="00C05138" w:rsidRDefault="00482E88" w:rsidP="002205E6">
            <w:pPr>
              <w:rPr>
                <w:noProof/>
                <w:highlight w:val="magenta"/>
                <w:lang w:val="ro-RO"/>
              </w:rPr>
            </w:pPr>
            <w:r w:rsidRPr="00C05138">
              <w:rPr>
                <w:noProof/>
                <w:lang w:val="ro-RO"/>
              </w:rPr>
              <w:t>Costurile aferente sistemului energetic (</w:t>
            </w:r>
            <w:r w:rsidRPr="00C05138">
              <w:rPr>
                <w:rStyle w:val="FootnoteReference"/>
                <w:noProof/>
                <w:lang w:val="ro-RO"/>
              </w:rPr>
              <w:footnoteReference w:id="14"/>
            </w:r>
            <w:r w:rsidRPr="00C05138">
              <w:rPr>
                <w:noProof/>
                <w:lang w:val="ro-RO"/>
              </w:rPr>
              <w:t>) sunt, de asemenea, similare pentru toate opțiunile, variind de la 12,4 % (opțiunea 1) și 12,7 % (opțiunea 2) la 12,9 % din PIB (opțiunea 3) în perioada 2031-2040, observându-se o creștere moderată în comparație cu procentul de 11,9 % din PIB cheltuit în perioada 2011-2020 și, ulterior, o scădere la aproximativ 11,3 % pentru perioada 2041-2050. Costul importurilor de combustibili fosili scade semnificativ în cadrul opțiunii 3, ajungând la mai puțin de 1,4 % din PIB până în 2040 și la mai puțin de 0,6 % în ultimul deceniu (față de 2,3 % în perioada 2010-2021 și 4,1 % în 2022 în timpul recentei crize energetice), ceea ce înseamnă economii de aproximativ 2,8 mii de miliarde EUR în perioada 2031-2050.</w:t>
            </w:r>
          </w:p>
          <w:p w14:paraId="4C37ED1C" w14:textId="77777777" w:rsidR="00482E88" w:rsidRPr="00C05138" w:rsidRDefault="00482E88" w:rsidP="002205E6">
            <w:pPr>
              <w:rPr>
                <w:noProof/>
                <w:lang w:val="ro-RO"/>
              </w:rPr>
            </w:pPr>
          </w:p>
          <w:p w14:paraId="189031E7" w14:textId="754C4B74" w:rsidR="00482E88" w:rsidRPr="00C05138" w:rsidRDefault="00482E88" w:rsidP="002205E6">
            <w:pPr>
              <w:rPr>
                <w:noProof/>
                <w:lang w:val="ro-RO"/>
              </w:rPr>
            </w:pPr>
            <w:r w:rsidRPr="00C05138">
              <w:rPr>
                <w:noProof/>
                <w:lang w:val="ro-RO"/>
              </w:rPr>
              <w:t>Evaluarea arată, de asemenea, că progresele înregistrate, de exemplu în ceea ce privește economia circulară, pot reduce necesarul de investiții în sistemul energetic cu aproximativ 7 % în perioada 2031-2050 (ceea ce reprezintă economii anuale de 45 de miliarde EUR) și cheltuielile din sectorul transporturilor cu aproximativ 9 % (127 de miliarde EUR). Acest lucru duce la scăderea costurilor aferente sistemului energetic, care vor reprezenta 12,6 % din PIB în perioada 2031-2040 și 10,8 % în perioada 2041-2050, cu mult sub cifrele pentru perioada 2011-2020.</w:t>
            </w:r>
          </w:p>
          <w:p w14:paraId="6ED71F84" w14:textId="77777777" w:rsidR="00482E88" w:rsidRPr="00C05138" w:rsidRDefault="00482E88" w:rsidP="002205E6">
            <w:pPr>
              <w:rPr>
                <w:noProof/>
                <w:u w:val="single"/>
                <w:lang w:val="ro-RO"/>
              </w:rPr>
            </w:pPr>
          </w:p>
          <w:p w14:paraId="4DE0F86C" w14:textId="77777777" w:rsidR="00482E88" w:rsidRPr="00C05138" w:rsidRDefault="00482E88" w:rsidP="002205E6">
            <w:pPr>
              <w:rPr>
                <w:noProof/>
                <w:u w:val="single"/>
                <w:lang w:val="ro-RO"/>
              </w:rPr>
            </w:pPr>
            <w:r w:rsidRPr="00C05138">
              <w:rPr>
                <w:noProof/>
                <w:u w:val="single"/>
                <w:lang w:val="ro-RO"/>
              </w:rPr>
              <w:t>Mediu</w:t>
            </w:r>
          </w:p>
          <w:p w14:paraId="4AA72F9C" w14:textId="77777777" w:rsidR="00482E88" w:rsidRPr="00C05138" w:rsidRDefault="00482E88" w:rsidP="002205E6">
            <w:pPr>
              <w:spacing w:after="240"/>
              <w:rPr>
                <w:noProof/>
                <w:lang w:val="ro-RO"/>
              </w:rPr>
            </w:pPr>
            <w:r w:rsidRPr="00C05138">
              <w:rPr>
                <w:noProof/>
                <w:color w:val="000000" w:themeColor="text1"/>
                <w:lang w:val="ro-RO"/>
              </w:rPr>
              <w:t>Toate cele trei opțiuni avute în vedere oferă beneficii conexe semnificative, inclusiv îmbunătățirea calității aerului, a ecosistemelor, îmbunătățirea sănătății și reducerea costurilor aferente îngrijirilor medicale.</w:t>
            </w:r>
          </w:p>
        </w:tc>
      </w:tr>
    </w:tbl>
    <w:p w14:paraId="7401CA94" w14:textId="77777777" w:rsidR="00482E88" w:rsidRPr="00C05138" w:rsidRDefault="00482E88" w:rsidP="00482E88">
      <w:pPr>
        <w:spacing w:after="240"/>
        <w:rPr>
          <w:noProof/>
          <w:lang w:val="ro-RO"/>
        </w:rPr>
      </w:pPr>
    </w:p>
    <w:p w14:paraId="03C58050" w14:textId="77777777" w:rsidR="00482E88" w:rsidRPr="00C05138" w:rsidRDefault="00482E88" w:rsidP="00482E88">
      <w:pPr>
        <w:pStyle w:val="Heading2"/>
        <w:rPr>
          <w:noProof/>
          <w:lang w:val="ro-RO"/>
        </w:rPr>
      </w:pPr>
      <w:bookmarkStart w:id="11" w:name="_Toc160178627"/>
      <w:r w:rsidRPr="00C05138">
        <w:rPr>
          <w:noProof/>
          <w:lang w:val="ro-RO"/>
        </w:rPr>
        <w:t>Costul lipsei de acțiune</w:t>
      </w:r>
      <w:bookmarkEnd w:id="11"/>
    </w:p>
    <w:p w14:paraId="4AD829F2" w14:textId="6C193189" w:rsidR="00482E88" w:rsidRPr="00C05138" w:rsidRDefault="00482E88" w:rsidP="00482E88">
      <w:pPr>
        <w:pStyle w:val="paragraph"/>
        <w:tabs>
          <w:tab w:val="left" w:pos="5103"/>
        </w:tabs>
        <w:spacing w:before="0" w:beforeAutospacing="0" w:after="240" w:afterAutospacing="0"/>
        <w:jc w:val="both"/>
        <w:textAlignment w:val="baseline"/>
        <w:rPr>
          <w:rStyle w:val="normaltextrun"/>
          <w:rFonts w:eastAsiaTheme="majorEastAsia"/>
          <w:noProof/>
          <w:lang w:val="ro-RO"/>
        </w:rPr>
      </w:pPr>
      <w:r w:rsidRPr="00C05138">
        <w:rPr>
          <w:rStyle w:val="normaltextrun"/>
          <w:noProof/>
          <w:lang w:val="ro-RO"/>
        </w:rPr>
        <w:t>Costurile schimbărilor climatice și impactul acestora asupra oamenilor sunt considerabile și continuă să crească. Evenimentele extreme legate de climă au crescut în perioada 1980-2022, provocând 220 000 de decese și pierderi economice în valoare de 650 de miliarde EUR în UE, din care aproximativ 170 de miliarde EUR doar în ultimii cinci ani (</w:t>
      </w:r>
      <w:r w:rsidRPr="00C05138">
        <w:rPr>
          <w:rStyle w:val="FootnoteReference"/>
          <w:rFonts w:eastAsiaTheme="majorEastAsia"/>
          <w:noProof/>
          <w:lang w:val="ro-RO"/>
        </w:rPr>
        <w:footnoteReference w:id="15"/>
      </w:r>
      <w:r w:rsidRPr="00C05138">
        <w:rPr>
          <w:rStyle w:val="normaltextrun"/>
          <w:noProof/>
          <w:lang w:val="ro-RO"/>
        </w:rPr>
        <w:t xml:space="preserve">). Una dintre consecințele acestei situații a fost că, în februarie 2024, s-a decis majorarea </w:t>
      </w:r>
      <w:r w:rsidRPr="00C05138">
        <w:rPr>
          <w:noProof/>
          <w:lang w:val="ro-RO"/>
        </w:rPr>
        <w:t>Rezervei UE pentru solidaritate și ajutoare de urgență cu 1,5 miliarde EUR pentru perioada 2024-2027 (adică pe lângă cele 1,2 miliarde EUR pe an din cadrul CFM inițial).</w:t>
      </w:r>
      <w:r w:rsidRPr="00C05138">
        <w:rPr>
          <w:rStyle w:val="normaltextrun"/>
          <w:noProof/>
          <w:lang w:val="ro-RO"/>
        </w:rPr>
        <w:t xml:space="preserve"> Se estimează, de asemenea, că 61 000 de persoane și-au pierdut viața din cauza căldurii în 2022, cifră depășită doar de valurile de căldură din 2003, care au cauzat 70 000 de decese (</w:t>
      </w:r>
      <w:r w:rsidRPr="00C05138">
        <w:rPr>
          <w:noProof/>
          <w:vertAlign w:val="superscript"/>
          <w:lang w:val="ro-RO"/>
        </w:rPr>
        <w:footnoteReference w:id="16"/>
      </w:r>
      <w:r w:rsidRPr="00C05138">
        <w:rPr>
          <w:rStyle w:val="normaltextrun"/>
          <w:noProof/>
          <w:lang w:val="ro-RO"/>
        </w:rPr>
        <w:t>). Aceste cifre ar putea crește rapid, deoarece efectele combinate ale schimbărilor climatice, ale utilizării terenurilor și ale degradării mediului pot afecta și sănătatea în mai multe moduri, creând noi oportunități pentru transmiterea infecțiilor virale în rândul speciilor sălbatice izolate anterior din punct de vedere geografic și pentru transmiterea bolilor de la animalele sălbatice la oameni. În plus, în combinație cu pierderea biodiversității, schimbările climatice reprezintă un factor important al insecurității alimentare.</w:t>
      </w:r>
      <w:r w:rsidR="00313DCF" w:rsidRPr="00C05138">
        <w:rPr>
          <w:rStyle w:val="normaltextrun"/>
          <w:noProof/>
          <w:lang w:val="ro-RO"/>
        </w:rPr>
        <w:t xml:space="preserve"> </w:t>
      </w:r>
      <w:r w:rsidRPr="00C05138">
        <w:rPr>
          <w:rStyle w:val="normaltextrun"/>
          <w:noProof/>
          <w:lang w:val="ro-RO"/>
        </w:rPr>
        <w:t xml:space="preserve">În prezent, ne confruntăm cu riscuri tot mai mari de a atinge puncte de basculare climatice ireversibile, cu consecințe necunoscute și potențial catastrofale pentru societăți, ecosisteme și economii. </w:t>
      </w:r>
    </w:p>
    <w:p w14:paraId="61CDFB2F" w14:textId="5CE2C17C" w:rsidR="00482E88" w:rsidRPr="00C05138" w:rsidRDefault="00482E88" w:rsidP="00482E88">
      <w:pPr>
        <w:pStyle w:val="paragraph"/>
        <w:tabs>
          <w:tab w:val="left" w:pos="5103"/>
        </w:tabs>
        <w:spacing w:before="0" w:beforeAutospacing="0" w:after="0" w:afterAutospacing="0"/>
        <w:jc w:val="both"/>
        <w:textAlignment w:val="baseline"/>
        <w:rPr>
          <w:rStyle w:val="eop"/>
          <w:rFonts w:eastAsiaTheme="majorEastAsia"/>
          <w:noProof/>
          <w:lang w:val="ro-RO"/>
        </w:rPr>
      </w:pPr>
      <w:r w:rsidRPr="00C05138">
        <w:rPr>
          <w:rStyle w:val="normaltextrun"/>
          <w:noProof/>
          <w:lang w:val="ro-RO"/>
        </w:rPr>
        <w:t>Lipsa de acțiune ar conduce la costuri mult mai mari și care ar continua să crească în deceniile următoare.</w:t>
      </w:r>
      <w:r w:rsidRPr="00C05138">
        <w:rPr>
          <w:rStyle w:val="eop"/>
          <w:noProof/>
          <w:lang w:val="ro-RO"/>
        </w:rPr>
        <w:t xml:space="preserve"> Deși estimările costurilor aferente fenomenelor meteorologice extreme sunt incerte, evaluarea impactului estimează în mod prudent, fără a lua în considerare posibilele puncte de basculare climatice, că astfel de costuri ar putea reduce PIB-ul cu aproximativ 7 % până la sfârșitul secolului. În perioada 2031-2050, costul suplimentar cumulat din PIB al unei traiectorii care ar conduce la agravarea încălzirii globale s-ar putea ridica la 2,4 mii de miliarde EUR în UE, în comparație cu costurile aferente unei traiectorii compatibile cu obiectivul privind limitarea încălzirii globale la 1,5 °C prevăzut în Acordul de la Paris (</w:t>
      </w:r>
      <w:r w:rsidRPr="00C05138">
        <w:rPr>
          <w:rStyle w:val="FootnoteReference"/>
          <w:rFonts w:eastAsiaTheme="majorEastAsia"/>
          <w:noProof/>
          <w:lang w:val="ro-RO"/>
        </w:rPr>
        <w:footnoteReference w:id="17"/>
      </w:r>
      <w:r w:rsidRPr="00C05138">
        <w:rPr>
          <w:rStyle w:val="eop"/>
          <w:noProof/>
          <w:lang w:val="ro-RO"/>
        </w:rPr>
        <w:t>).</w:t>
      </w:r>
    </w:p>
    <w:p w14:paraId="362A24D9" w14:textId="77777777" w:rsidR="00482E88" w:rsidRPr="00C05138" w:rsidRDefault="00482E88" w:rsidP="00482E88">
      <w:pPr>
        <w:pStyle w:val="paragraph"/>
        <w:tabs>
          <w:tab w:val="left" w:pos="5103"/>
        </w:tabs>
        <w:spacing w:before="0" w:beforeAutospacing="0" w:after="0" w:afterAutospacing="0"/>
        <w:jc w:val="both"/>
        <w:textAlignment w:val="baseline"/>
        <w:rPr>
          <w:rStyle w:val="eop"/>
          <w:rFonts w:eastAsiaTheme="majorEastAsia"/>
          <w:noProof/>
          <w:lang w:val="ro-RO"/>
        </w:rPr>
      </w:pPr>
    </w:p>
    <w:p w14:paraId="09D46C75" w14:textId="6B6132C5" w:rsidR="00482E88" w:rsidRPr="00C05138" w:rsidRDefault="00482E88" w:rsidP="00482E88">
      <w:pPr>
        <w:pStyle w:val="paragraph"/>
        <w:tabs>
          <w:tab w:val="left" w:pos="5103"/>
        </w:tabs>
        <w:spacing w:before="0" w:beforeAutospacing="0" w:after="0" w:afterAutospacing="0"/>
        <w:jc w:val="both"/>
        <w:textAlignment w:val="baseline"/>
        <w:rPr>
          <w:rStyle w:val="eop"/>
          <w:rFonts w:eastAsiaTheme="majorEastAsia"/>
          <w:noProof/>
          <w:lang w:val="ro-RO"/>
        </w:rPr>
      </w:pPr>
      <w:r w:rsidRPr="00C05138">
        <w:rPr>
          <w:rStyle w:val="normaltextrun"/>
          <w:noProof/>
          <w:lang w:val="ro-RO"/>
        </w:rPr>
        <w:t xml:space="preserve">Deși provocările legate de tranziția către neutralitatea climatică nu ar trebui subestimate, procesul în sine va genera noi oportunități majore și va asigura un viitor durabil pentru toți. </w:t>
      </w:r>
      <w:r w:rsidRPr="00C05138">
        <w:rPr>
          <w:rStyle w:val="eop"/>
          <w:noProof/>
          <w:lang w:val="ro-RO"/>
        </w:rPr>
        <w:t>Evaluarea impactului estimează că atingerea obiectivului de 90 % ar putea reduce decesele premature cauzate de poluarea aerului de la 466 000 pe an în 2015 la 196 000 pe an în 2040, cu o reducere aferentă a costurilor de la aproximativ 1 700 de miliarde EUR în 2015 la 670 de miliarde EUR în 2040 (</w:t>
      </w:r>
      <w:r w:rsidRPr="00C05138">
        <w:rPr>
          <w:rStyle w:val="FootnoteReference"/>
          <w:rFonts w:eastAsiaTheme="majorEastAsia"/>
          <w:noProof/>
          <w:lang w:val="ro-RO"/>
        </w:rPr>
        <w:footnoteReference w:id="18"/>
      </w:r>
      <w:r w:rsidRPr="00C05138">
        <w:rPr>
          <w:rStyle w:val="eop"/>
          <w:noProof/>
          <w:lang w:val="ro-RO"/>
        </w:rPr>
        <w:t xml:space="preserve">). </w:t>
      </w:r>
    </w:p>
    <w:p w14:paraId="35516CE4" w14:textId="77777777" w:rsidR="00482E88" w:rsidRPr="00C05138" w:rsidRDefault="00482E88" w:rsidP="00482E88">
      <w:pPr>
        <w:pStyle w:val="paragraph"/>
        <w:tabs>
          <w:tab w:val="left" w:pos="5103"/>
        </w:tabs>
        <w:spacing w:before="0" w:beforeAutospacing="0" w:after="0" w:afterAutospacing="0"/>
        <w:jc w:val="both"/>
        <w:textAlignment w:val="baseline"/>
        <w:rPr>
          <w:rStyle w:val="eop"/>
          <w:rFonts w:eastAsiaTheme="majorEastAsia"/>
          <w:noProof/>
          <w:lang w:val="ro-RO"/>
        </w:rPr>
      </w:pPr>
    </w:p>
    <w:p w14:paraId="0FCB3D00" w14:textId="77777777" w:rsidR="00482E88" w:rsidRPr="00C05138" w:rsidRDefault="00482E88" w:rsidP="00482E88">
      <w:pPr>
        <w:pStyle w:val="paragraph"/>
        <w:tabs>
          <w:tab w:val="left" w:pos="5103"/>
        </w:tabs>
        <w:spacing w:before="0" w:beforeAutospacing="0" w:after="0" w:afterAutospacing="0"/>
        <w:jc w:val="both"/>
        <w:textAlignment w:val="baseline"/>
        <w:rPr>
          <w:rStyle w:val="eop"/>
          <w:rFonts w:eastAsiaTheme="majorEastAsia"/>
          <w:noProof/>
          <w:lang w:val="ro-RO"/>
        </w:rPr>
      </w:pPr>
      <w:r w:rsidRPr="00C05138">
        <w:rPr>
          <w:rStyle w:val="eop"/>
          <w:noProof/>
          <w:lang w:val="ro-RO"/>
        </w:rPr>
        <w:t xml:space="preserve">Importurile nete de combustibili fosili ar urma scadă, în timp ce economia va crește. Evaluarea impactului estimează că, dacă ar interveni într-o economie semnificativ decarbonizată (precum cea preconizată în temeiul obiectivului climatic pentru 2040), costul șocurilor stilizate ale prețurilor combustibililor fosili din punctul de vedere al pierderilor în materie de producție și de locuri de muncă ar fi redus la jumătate. </w:t>
      </w:r>
    </w:p>
    <w:p w14:paraId="02EFD822" w14:textId="77777777" w:rsidR="00482E88" w:rsidRPr="00C05138" w:rsidRDefault="00482E88" w:rsidP="00482E88">
      <w:pPr>
        <w:pStyle w:val="paragraph"/>
        <w:tabs>
          <w:tab w:val="left" w:pos="5103"/>
        </w:tabs>
        <w:spacing w:before="0" w:beforeAutospacing="0" w:after="0" w:afterAutospacing="0"/>
        <w:jc w:val="both"/>
        <w:rPr>
          <w:rStyle w:val="eop"/>
          <w:rFonts w:eastAsiaTheme="majorEastAsia"/>
          <w:noProof/>
          <w:lang w:val="ro-RO"/>
        </w:rPr>
      </w:pPr>
    </w:p>
    <w:p w14:paraId="1F00BD02" w14:textId="77777777" w:rsidR="00482E88" w:rsidRPr="00C05138" w:rsidRDefault="00482E88" w:rsidP="00482E88">
      <w:pPr>
        <w:pStyle w:val="paragraph"/>
        <w:tabs>
          <w:tab w:val="left" w:pos="5103"/>
        </w:tabs>
        <w:spacing w:before="0" w:beforeAutospacing="0" w:after="0" w:afterAutospacing="0"/>
        <w:jc w:val="both"/>
        <w:textAlignment w:val="baseline"/>
        <w:rPr>
          <w:rStyle w:val="eop"/>
          <w:rFonts w:eastAsiaTheme="majorEastAsia"/>
          <w:noProof/>
          <w:lang w:val="ro-RO"/>
        </w:rPr>
      </w:pPr>
    </w:p>
    <w:p w14:paraId="7A5FC539" w14:textId="77777777" w:rsidR="00482E88" w:rsidRPr="00C05138" w:rsidRDefault="00482E88" w:rsidP="00482E88">
      <w:pPr>
        <w:pStyle w:val="Heading1"/>
        <w:rPr>
          <w:rStyle w:val="eop"/>
          <w:noProof/>
          <w:lang w:val="ro-RO"/>
        </w:rPr>
      </w:pPr>
      <w:bookmarkStart w:id="12" w:name="_Toc155286924"/>
      <w:bookmarkStart w:id="13" w:name="_Toc160178628"/>
      <w:r w:rsidRPr="00C05138">
        <w:rPr>
          <w:noProof/>
          <w:lang w:val="ro-RO"/>
        </w:rPr>
        <w:t>Îndeplinirea obiectivului pentru 2040</w:t>
      </w:r>
      <w:bookmarkEnd w:id="12"/>
      <w:bookmarkEnd w:id="13"/>
    </w:p>
    <w:p w14:paraId="471E1132" w14:textId="237E4959" w:rsidR="00482E88" w:rsidRPr="00C05138" w:rsidRDefault="00482E88" w:rsidP="00482E88">
      <w:pPr>
        <w:rPr>
          <w:noProof/>
          <w:lang w:val="ro-RO"/>
        </w:rPr>
      </w:pPr>
      <w:r w:rsidRPr="00C05138">
        <w:rPr>
          <w:noProof/>
          <w:lang w:val="ro-RO"/>
        </w:rPr>
        <w:t>Îndeplinirea obiectivului pentru 2040 va depinde de punerea în aplicare deplină a cadrului de politici privind clima și energia pentru 2030 și impune dezvoltarea unui cadru de politică pentru perioada ulterioară anului 2030. Acest lucru trebuie completat cu un cadru favorabil amplu pentru cele două obiective la fel de importante ale Pactului verde european, și anume tranziția justă și durabilitatea competitivă. Această dublă focalizare va declanșa deciziile de investiții necesare și va mobiliza finanțarea, va implementa tehnologii inovatoare și va asigura faptul că toți cetățenii și toate sectoarele economice din UE pot beneficia de tranziție și pot utiliza soluții accesibile ca preț.</w:t>
      </w:r>
    </w:p>
    <w:p w14:paraId="67867DCF" w14:textId="77777777" w:rsidR="00482E88" w:rsidRPr="00C05138" w:rsidRDefault="00482E88" w:rsidP="00482E88">
      <w:pPr>
        <w:pStyle w:val="Heading2"/>
        <w:rPr>
          <w:noProof/>
          <w:lang w:val="ro-RO"/>
        </w:rPr>
      </w:pPr>
      <w:bookmarkStart w:id="14" w:name="_Toc160178629"/>
      <w:r w:rsidRPr="00C05138">
        <w:rPr>
          <w:noProof/>
          <w:lang w:val="ro-RO"/>
        </w:rPr>
        <w:t>Punerea în aplicare a cadrului de politică pentru 2030</w:t>
      </w:r>
      <w:bookmarkEnd w:id="14"/>
    </w:p>
    <w:p w14:paraId="2D955574" w14:textId="77777777" w:rsidR="00482E88" w:rsidRPr="00C05138" w:rsidRDefault="00482E88" w:rsidP="00482E88">
      <w:pPr>
        <w:rPr>
          <w:noProof/>
          <w:lang w:val="ro-RO"/>
        </w:rPr>
      </w:pPr>
      <w:r w:rsidRPr="00C05138">
        <w:rPr>
          <w:noProof/>
          <w:lang w:val="ro-RO"/>
        </w:rPr>
        <w:t>Este necesar să se depună toate eforturile pentru a pune în aplicare cadrul de politici privind clima și energia pentru 2030 ca piatră de temelie pentru atingerea obiectivului pentru 2040 și a neutralității climatice în 2050, în conformitate cu Legea europeană a climei. Actualizarea în curs a planurilor naționale privind energia și clima (PNEC) reprezintă un element-cheie al monitorizării progreselor înregistrate în direcția atingerii obiectivelor pentru 2030 privind clima și energia. Evaluarea inițială a proiectelor de PNEC (</w:t>
      </w:r>
      <w:r w:rsidRPr="00C05138">
        <w:rPr>
          <w:rStyle w:val="FootnoteReference"/>
          <w:noProof/>
          <w:lang w:val="ro-RO"/>
        </w:rPr>
        <w:footnoteReference w:id="19"/>
      </w:r>
      <w:r w:rsidRPr="00C05138">
        <w:rPr>
          <w:noProof/>
          <w:lang w:val="ro-RO"/>
        </w:rPr>
        <w:t>) evidențiază necesitatea unui nivel sporit de ambiție și a unor îmbunătățiri în ceea ce privește planurile finale care trebuie prezentate de statele membre până în iunie 2024. Comisia invită statele membre să ia măsuri decisive pentru punerea în aplicare efectivă a legislației și a politicilor convenite și este pregătită să colaboreze cu statele membre, cu sectoarele și cu partenerii sociali pentru a facilita acțiunile necesare. Expertiza adaptată oferită prin intermediul Instrumentului de sprijin tehnic al Comisiei poate ajuta statele membre să întreprindă reforme care să sprijine punerea în aplicare a cadrului de politică pentru 2030.</w:t>
      </w:r>
    </w:p>
    <w:p w14:paraId="62EB8927" w14:textId="77777777" w:rsidR="00482E88" w:rsidRPr="00C05138" w:rsidRDefault="00482E88" w:rsidP="00482E88">
      <w:pPr>
        <w:pStyle w:val="Heading2"/>
        <w:rPr>
          <w:noProof/>
          <w:lang w:val="ro-RO"/>
        </w:rPr>
      </w:pPr>
      <w:bookmarkStart w:id="15" w:name="_Toc160178630"/>
      <w:r w:rsidRPr="00C05138">
        <w:rPr>
          <w:noProof/>
          <w:lang w:val="ro-RO"/>
        </w:rPr>
        <w:t>O economie în serviciul cetățenilor</w:t>
      </w:r>
      <w:bookmarkEnd w:id="15"/>
      <w:r w:rsidRPr="00C05138">
        <w:rPr>
          <w:noProof/>
          <w:lang w:val="ro-RO"/>
        </w:rPr>
        <w:t xml:space="preserve"> </w:t>
      </w:r>
    </w:p>
    <w:p w14:paraId="00F98818" w14:textId="6F8E9E42" w:rsidR="00482E88" w:rsidRPr="00C05138" w:rsidRDefault="00482E88" w:rsidP="00482E88">
      <w:pPr>
        <w:rPr>
          <w:noProof/>
          <w:lang w:val="ro-RO"/>
        </w:rPr>
      </w:pPr>
      <w:r w:rsidRPr="00C05138">
        <w:rPr>
          <w:noProof/>
          <w:lang w:val="ro-RO"/>
        </w:rPr>
        <w:t>Cetățenii UE reprezintă un element central al Pactului verde. Persoanele cele mai vulnerabile, cum ar fi cele cu venituri mai mici, persoanele cu dizabilități, comunitățile marginalizate și persoanele în vârstă</w:t>
      </w:r>
      <w:r w:rsidRPr="00C05138">
        <w:rPr>
          <w:noProof/>
          <w:shd w:val="clear" w:color="auto" w:fill="FFFFFF"/>
          <w:lang w:val="ro-RO"/>
        </w:rPr>
        <w:t xml:space="preserve">, </w:t>
      </w:r>
      <w:r w:rsidRPr="00C05138">
        <w:rPr>
          <w:noProof/>
          <w:lang w:val="ro-RO"/>
        </w:rPr>
        <w:t xml:space="preserve">sunt mult mai expuse la pericolele climatice, deoarece nu dispun de mijloacele necesare pentru a se proteja împotriva unor astfel de riscuri. Acest lucru face ca agenda UE privind clima să fie și mai importantă, alături de politicile de investiții și de sprijin capabile să genereze beneficii sociale și economice, care reduc sărăcia și inegalitățile. Aceasta include investiții în oameni prin recalificarea și perfecționarea forței de muncă, sprijin pentru tranzițiile de pe piața muncii și măsuri specifice de sprijinire a veniturilor. Un dialog social eficace, precum și o implicare puternică a părților interesate și a cetățenilor sunt esențiale pentru anticiparea și gestionarea schimbărilor, alături de măsuri care să îi ajute pe toți să participe activ la tranziția verde prin opțiuni benefice pentru mediu care să fie accesibile și la prețuri abordabile. </w:t>
      </w:r>
    </w:p>
    <w:p w14:paraId="7FE6BBE9" w14:textId="77777777" w:rsidR="00482E88" w:rsidRPr="00C05138" w:rsidRDefault="00482E88" w:rsidP="00482E88">
      <w:pPr>
        <w:rPr>
          <w:i/>
          <w:noProof/>
          <w:highlight w:val="yellow"/>
          <w:lang w:val="ro-RO"/>
        </w:rPr>
      </w:pPr>
      <w:r w:rsidRPr="00C05138">
        <w:rPr>
          <w:i/>
          <w:noProof/>
          <w:lang w:val="ro-RO"/>
        </w:rPr>
        <w:t xml:space="preserve">O tranziție justă și echitabilă pentru oameni </w:t>
      </w:r>
    </w:p>
    <w:p w14:paraId="51C3C684" w14:textId="79C2BC1F" w:rsidR="00482E88" w:rsidRPr="00C05138" w:rsidRDefault="00482E88" w:rsidP="00482E88">
      <w:pPr>
        <w:rPr>
          <w:noProof/>
          <w:lang w:val="ro-RO"/>
        </w:rPr>
      </w:pPr>
      <w:r w:rsidRPr="00C05138">
        <w:rPr>
          <w:noProof/>
          <w:lang w:val="ro-RO"/>
        </w:rPr>
        <w:t xml:space="preserve">Tranziția către neutralitatea climatică are loc în contextul dezvoltării inteligenței artificiale, al digitalizării, al îmbătrânirii și al insecurității geopolitice, printre alte tendințe. Împreună, acestea vor conduce la schimbarea modului în care producem și consumăm bunuri și servicii, cu implicații pentru gospodării și lucrători. </w:t>
      </w:r>
    </w:p>
    <w:p w14:paraId="5EA3987B" w14:textId="4D5A3353" w:rsidR="00482E88" w:rsidRPr="00C05138" w:rsidRDefault="00482E88" w:rsidP="00482E88">
      <w:pPr>
        <w:rPr>
          <w:noProof/>
          <w:lang w:val="ro-RO"/>
        </w:rPr>
      </w:pPr>
      <w:r w:rsidRPr="00C05138">
        <w:rPr>
          <w:noProof/>
          <w:lang w:val="ro-RO"/>
        </w:rPr>
        <w:t>În ceea ce privește ocuparea forței de muncă, efectele tranziției vor varia de la un sector la altul și de la o regiune la alta, în funcție de dependența acestora de elemente specifice. Sectoarele dependente de combustibilii fosili, cum ar fi transporturile și industriile energointensive, vor suferi o transformare fundamentală. De asemenea, este esențial să se garanteze faptul că opțiunile de mobilitate rămân accesibile și la prețuri abordabile pentru toată lumea, atât pentru cetățeni, cât și pentru operatorii economici, și să se asigure o mai bună conectare a regiunilor rurale și îndepărtate din întreaga UE pentru a le facilita și mai mult dezvoltarea. Lucrătorii, comunitățile și regiunile dependente de activități cu intensitate ridicată a emisiilor de dioxid de carbon vor fi cele mai afectate, ceea ce va impune necesitatea continuării sprijinului pentru o tranziție justă pe măsură ce se conturează tranziția, în paralel cu acțiuni și măsuri strâns coordonate și cuprinzătoare ale statelor membre (</w:t>
      </w:r>
      <w:r w:rsidRPr="00C05138">
        <w:rPr>
          <w:rStyle w:val="FootnoteReference"/>
          <w:noProof/>
          <w:lang w:val="ro-RO"/>
        </w:rPr>
        <w:footnoteReference w:id="20"/>
      </w:r>
      <w:r w:rsidRPr="00C05138">
        <w:rPr>
          <w:noProof/>
          <w:lang w:val="ro-RO"/>
        </w:rPr>
        <w:t>). Tranziția va oferi noi oportunități de afaceri și de creare de locuri de muncă pentru lucrătorii de la toate nivelurile de calificare, însă va aduce beneficii într-o mai mare măsură unor regiuni decât altora. Politica de coeziune a UE, cu investițiile sale și, în special, cu cele din Fondul pentru o tranziție justă, un instrument dedicat sprijinirii diversificării economice și reconversiei teritoriilor și comunităților afectate, dar și măsurile naționale vor continua să joace un rol esențial în sprijinirea regiunilor celor mai afectate de tranziție.</w:t>
      </w:r>
    </w:p>
    <w:p w14:paraId="451DA16B" w14:textId="41291E7B" w:rsidR="00482E88" w:rsidRPr="00C05138" w:rsidRDefault="00482E88" w:rsidP="00AF6F15">
      <w:pPr>
        <w:autoSpaceDE w:val="0"/>
        <w:autoSpaceDN w:val="0"/>
        <w:spacing w:before="40" w:after="40" w:line="240" w:lineRule="auto"/>
        <w:rPr>
          <w:noProof/>
          <w:sz w:val="22"/>
          <w:lang w:val="ro-RO"/>
        </w:rPr>
      </w:pPr>
      <w:r w:rsidRPr="00C05138">
        <w:rPr>
          <w:noProof/>
          <w:lang w:val="ro-RO"/>
        </w:rPr>
        <w:t>Stabilirea prețului carbonului, de exemplu în cadrul EU ETS, reduce emisiile și generează totodată venituri semnificative, care să le permită statelor membre să combată schimbările climatice și să sprijine din ce în ce mai mult inovarea industrială și gospodăriile în vederea realizării unei tranziții echitabile. Fondul social pentru climă, finanțat de EU ETS, care include contribuțiile obligatorii ale statelor membre, va mobiliza 87 de miliarde EUR pentru a sprijini gospodăriile vulnerabile, utilizatorii de transport și microîntreprinderile. În plus, statele membre sunt obligate să își cheltuiască veniturile naționale globale din EU ETS în scopuri legate de climă și energie, printre care și abordarea impactului social al tranziției.</w:t>
      </w:r>
      <w:r w:rsidRPr="00C05138">
        <w:rPr>
          <w:noProof/>
          <w:sz w:val="22"/>
          <w:lang w:val="ro-RO"/>
        </w:rPr>
        <w:t xml:space="preserve"> </w:t>
      </w:r>
      <w:r w:rsidRPr="00C05138">
        <w:rPr>
          <w:noProof/>
          <w:lang w:val="ro-RO"/>
        </w:rPr>
        <w:t xml:space="preserve">Utilizate în mod eficace, aceste fonduri pot sprijini cetățenii pe parcursul tranziției și pot avea un impact de durată asupra calității vieții lor. Sprijinul va fi în continuare necesar și după 2030, inclusiv prin măsuri ale statelor membre și printr-un cadru consolidat de politică pentru o tranziție justă. </w:t>
      </w:r>
    </w:p>
    <w:p w14:paraId="1CC64D94" w14:textId="77777777" w:rsidR="00482E88" w:rsidRPr="00C05138" w:rsidRDefault="00482E88" w:rsidP="00482E88">
      <w:pPr>
        <w:spacing w:after="240" w:line="240" w:lineRule="auto"/>
        <w:rPr>
          <w:noProof/>
          <w:highlight w:val="magenta"/>
          <w:lang w:val="ro-RO"/>
        </w:rPr>
      </w:pPr>
      <w:r w:rsidRPr="00C05138">
        <w:rPr>
          <w:noProof/>
          <w:lang w:val="ro-RO"/>
        </w:rPr>
        <w:t xml:space="preserve"> </w:t>
      </w:r>
    </w:p>
    <w:p w14:paraId="2DB17929" w14:textId="77777777" w:rsidR="00482E88" w:rsidRPr="00C05138" w:rsidRDefault="00482E88" w:rsidP="00482E88">
      <w:pPr>
        <w:pStyle w:val="Heading2"/>
        <w:rPr>
          <w:noProof/>
          <w:lang w:val="ro-RO"/>
        </w:rPr>
      </w:pPr>
      <w:bookmarkStart w:id="16" w:name="_Toc160178631"/>
      <w:r w:rsidRPr="00C05138">
        <w:rPr>
          <w:noProof/>
          <w:lang w:val="ro-RO"/>
        </w:rPr>
        <w:t>Sistemul energetic al UE</w:t>
      </w:r>
      <w:bookmarkEnd w:id="16"/>
    </w:p>
    <w:p w14:paraId="0C81F4DC" w14:textId="77777777" w:rsidR="00482E88" w:rsidRPr="00C05138" w:rsidRDefault="00482E88" w:rsidP="00482E88">
      <w:pPr>
        <w:rPr>
          <w:i/>
          <w:noProof/>
          <w:color w:val="000000" w:themeColor="text1"/>
          <w:lang w:val="ro-RO"/>
        </w:rPr>
      </w:pPr>
      <w:r w:rsidRPr="00C05138">
        <w:rPr>
          <w:i/>
          <w:noProof/>
          <w:color w:val="000000" w:themeColor="text1"/>
          <w:lang w:val="ro-RO"/>
        </w:rPr>
        <w:t>Soluții energetice din surse regenerabile, cu emisii zero și cu emisii scăzute de dioxid de carbon</w:t>
      </w:r>
    </w:p>
    <w:p w14:paraId="709B6307" w14:textId="689B691D" w:rsidR="00482E88" w:rsidRPr="00C05138" w:rsidRDefault="00482E88" w:rsidP="00482E88">
      <w:pPr>
        <w:rPr>
          <w:noProof/>
          <w:color w:val="000000" w:themeColor="text1"/>
          <w:lang w:val="ro-RO"/>
        </w:rPr>
      </w:pPr>
      <w:r w:rsidRPr="00C05138">
        <w:rPr>
          <w:noProof/>
          <w:color w:val="000000" w:themeColor="text1"/>
          <w:lang w:val="ro-RO"/>
        </w:rPr>
        <w:t xml:space="preserve">Toate soluțiile energetice cu emisii zero și cu emisii scăzute de dioxid de carbon (inclusiv sursele regenerabile de energie, energia nucleară, eficiența energetică, stocarea, CCS, CCU, eliminările de dioxid de carbon, energia geotermală și hidroenergia, precum și toate celelalte tehnologii energetice „zero net” actuale și viitoare) sunt necesare pentru decarbonizarea sistemului energetic până în 2040. Energia solară și energia eoliană vor reprezenta marea majoritate a soluțiilor energetice din surse regenerabile. Comisia își va continua politicile pentru a asigura implementarea rapidă a tuturor tipurilor de energie din surse regenerabile, precum și a soluțiilor cu emisii zero și cu emisii scăzute de dioxid de carbon, o dezvoltare suplimentară a eficienței energetice. Comisia a instituit </w:t>
      </w:r>
      <w:r w:rsidRPr="00C05138">
        <w:rPr>
          <w:noProof/>
          <w:lang w:val="ro-RO"/>
        </w:rPr>
        <w:t>o serie de inițiative pentru a accelera utilizarea surselor regenerabile de energie, cu scopul de a crea condiții favorabile pentru industria energiei din surse regenerabile din UE și de a stimula competitivitatea acestora, cum ar fi Alianța industriei energiei solare fotovoltaice din UE și Carta UE privind energia eoliană.</w:t>
      </w:r>
      <w:r w:rsidRPr="00C05138">
        <w:rPr>
          <w:noProof/>
          <w:color w:val="000000" w:themeColor="text1"/>
          <w:lang w:val="ro-RO"/>
        </w:rPr>
        <w:t xml:space="preserve"> Electrificarea ambițioasă este esențială, iar Comisia va continua să colaboreze cu statele membre pentru a dezvolta în continuare rețele mai inteligente, integrarea sistemelor, flexibilitatea cererii și soluții de stocare. </w:t>
      </w:r>
      <w:r w:rsidRPr="00C05138">
        <w:rPr>
          <w:noProof/>
          <w:lang w:val="ro-RO"/>
        </w:rPr>
        <w:t>Accelerarea procesului de autorizare și partajarea transfrontalieră a costurilor vor grăbi dezvoltarea proiectelor eoliene offshore, în conformitate cu planurile de acțiune recente privind energia eoliană și rețelele.</w:t>
      </w:r>
    </w:p>
    <w:p w14:paraId="1432EBD9" w14:textId="7B16B631" w:rsidR="00482E88" w:rsidRPr="00C05138" w:rsidRDefault="00482E88" w:rsidP="00482E88">
      <w:pPr>
        <w:rPr>
          <w:noProof/>
          <w:color w:val="000000" w:themeColor="text1"/>
          <w:lang w:val="ro-RO"/>
        </w:rPr>
      </w:pPr>
      <w:r w:rsidRPr="00C05138">
        <w:rPr>
          <w:noProof/>
          <w:color w:val="000000" w:themeColor="text1"/>
          <w:lang w:val="ro-RO"/>
        </w:rPr>
        <w:t>Comunicarea privind gestionarea industrială a carbonului stabilește o foaie de parcurs pentru implementarea tehnologiilor CCS și CCU necesare pentru sectoarele greu de decarbonizat</w:t>
      </w:r>
      <w:bookmarkStart w:id="17" w:name="_Hlk157186668"/>
      <w:r w:rsidRPr="00C05138">
        <w:rPr>
          <w:noProof/>
          <w:color w:val="000000" w:themeColor="text1"/>
          <w:lang w:val="ro-RO"/>
        </w:rPr>
        <w:t>, subliniind necesitatea unui cadru de reglementare în domenii precum injectarea și transportul de CO</w:t>
      </w:r>
      <w:r w:rsidRPr="00C05138">
        <w:rPr>
          <w:noProof/>
          <w:color w:val="000000" w:themeColor="text1"/>
          <w:vertAlign w:val="subscript"/>
          <w:lang w:val="ro-RO"/>
        </w:rPr>
        <w:t>2</w:t>
      </w:r>
      <w:r w:rsidRPr="00C05138">
        <w:rPr>
          <w:noProof/>
          <w:color w:val="000000" w:themeColor="text1"/>
          <w:lang w:val="ro-RO"/>
        </w:rPr>
        <w:t>, ca o condiție prealabilă pentru crearea unei piețe unice pentru CO</w:t>
      </w:r>
      <w:r w:rsidRPr="00C05138">
        <w:rPr>
          <w:noProof/>
          <w:color w:val="000000" w:themeColor="text1"/>
          <w:vertAlign w:val="subscript"/>
          <w:lang w:val="ro-RO"/>
        </w:rPr>
        <w:t>2</w:t>
      </w:r>
      <w:r w:rsidRPr="00C05138">
        <w:rPr>
          <w:noProof/>
          <w:lang w:val="ro-RO"/>
        </w:rPr>
        <w:t>.</w:t>
      </w:r>
      <w:r w:rsidRPr="00C05138">
        <w:rPr>
          <w:noProof/>
          <w:color w:val="000000" w:themeColor="text1"/>
          <w:lang w:val="ro-RO"/>
        </w:rPr>
        <w:t xml:space="preserve"> De asemenea, Comisia lansează o alianță industrială pentru a facilita cooperarea părților interesate la nivelul UE și pentru a accelera implementarea reactoarelor modulare mici și pentru a asigura un lanț de aprovizionare puternic al UE, inclusiv o forță de muncă formată din lucrători calificați. </w:t>
      </w:r>
      <w:bookmarkStart w:id="18" w:name="_Hlk157159368"/>
      <w:r w:rsidRPr="00C05138">
        <w:rPr>
          <w:noProof/>
          <w:color w:val="000000" w:themeColor="text1"/>
          <w:lang w:val="ro-RO"/>
        </w:rPr>
        <w:t>Acest lucru va mobiliza capacitățile de producție și de inovare ale UE pentru a accelera implementarea primelor proiecte care implică utilizarea de reactoare modulare mici în UE până la începutul anului 2030, în conformitate cu cele mai înalte standarde de securitate nucleară, de sustenabilitate a mediului și de competitivitate industrială.</w:t>
      </w:r>
    </w:p>
    <w:bookmarkEnd w:id="17"/>
    <w:bookmarkEnd w:id="18"/>
    <w:p w14:paraId="008E9151" w14:textId="24BA7709" w:rsidR="00482E88" w:rsidRPr="00C05138" w:rsidRDefault="00482E88" w:rsidP="00482E88">
      <w:pPr>
        <w:rPr>
          <w:noProof/>
          <w:color w:val="000000" w:themeColor="text1"/>
          <w:lang w:val="ro-RO"/>
        </w:rPr>
      </w:pPr>
      <w:r w:rsidRPr="00C05138">
        <w:rPr>
          <w:noProof/>
          <w:color w:val="000000" w:themeColor="text1"/>
          <w:lang w:val="ro-RO"/>
        </w:rPr>
        <w:t xml:space="preserve">Accesibilitatea prețurilor la energie este esențială pentru a se asigura că întreaga economie beneficiază de pe urma decarbonizării. Prețurile combustibililor fosili sunt volatile și sunt stabilite de piețele mondiale. Costurile de producție a energiei electrice din surse regenerabile au fost în mod constant mai mici decât cele generate de combustibilii fosili timp de peste un deceniu. </w:t>
      </w:r>
      <w:r w:rsidRPr="00C05138">
        <w:rPr>
          <w:noProof/>
          <w:lang w:val="ro-RO"/>
        </w:rPr>
        <w:t xml:space="preserve">Înlocuirea progresivă a combustibililor fosili cu surse regenerabile de energie, completată de </w:t>
      </w:r>
      <w:r w:rsidRPr="00C05138">
        <w:rPr>
          <w:noProof/>
          <w:color w:val="000000" w:themeColor="text1"/>
          <w:lang w:val="ro-RO"/>
        </w:rPr>
        <w:t xml:space="preserve">adoptarea eficientă a surselor de flexibilitate curate, cum ar fi energia nucleară, și </w:t>
      </w:r>
      <w:r w:rsidRPr="00C05138">
        <w:rPr>
          <w:noProof/>
          <w:lang w:val="ro-RO"/>
        </w:rPr>
        <w:t xml:space="preserve">sprijinită de </w:t>
      </w:r>
      <w:r w:rsidRPr="00C05138">
        <w:rPr>
          <w:noProof/>
          <w:color w:val="000000" w:themeColor="text1"/>
          <w:lang w:val="ro-RO"/>
        </w:rPr>
        <w:t>implementarea integrală a unei organizări actualizate a pieței energiei electrice, integrarea în continuare a sistemelor energetice transfrontaliere din UE (și din afara UE) și adoptarea eficientă a surselor de flexibilitate curate pot contribui la scăderea prețurilor angro ale energiei electrice</w:t>
      </w:r>
      <w:r w:rsidRPr="00C05138">
        <w:rPr>
          <w:noProof/>
          <w:lang w:val="ro-RO"/>
        </w:rPr>
        <w:t xml:space="preserve">. </w:t>
      </w:r>
      <w:bookmarkStart w:id="19" w:name="_Hlk157159513"/>
      <w:r w:rsidRPr="00C05138">
        <w:rPr>
          <w:noProof/>
          <w:lang w:val="ro-RO"/>
        </w:rPr>
        <w:t xml:space="preserve">Odată ce combustibilii fosili sunt excluși permanent din mixul energetic în următoarele două decenii și se fac investițiile necesare în rețele, capacități de stocare și baterii, prețurile energiei electrice ar putea începe să scadă în mod semnificativ în UE. Sunt necesare investiții pentru a se evita blocajele în ceea ce privește electrificarea economiei. Este esențial să se asigure instrumente de finanțare adecvate pentru a se evita ca investițiile necesare să conducă la creșterea prețurilor finale pentru consumatori și industrie. Între timp, </w:t>
      </w:r>
      <w:r w:rsidRPr="00C05138">
        <w:rPr>
          <w:noProof/>
          <w:color w:val="000000" w:themeColor="text1"/>
          <w:lang w:val="ro-RO"/>
        </w:rPr>
        <w:t>promovarea și extinderea utilizării contractelor de achiziție de energie electrică vor contribui la stabilizarea prețurilor și la protejarea întreprinderilor împotriva creșterii și volatilității prețurilor, determinate de combustibilii fosili</w:t>
      </w:r>
      <w:r w:rsidRPr="00C05138">
        <w:rPr>
          <w:noProof/>
          <w:lang w:val="ro-RO"/>
        </w:rPr>
        <w:t>.</w:t>
      </w:r>
    </w:p>
    <w:bookmarkEnd w:id="19"/>
    <w:p w14:paraId="78698DB7" w14:textId="31586239" w:rsidR="00482E88" w:rsidRPr="00C05138" w:rsidRDefault="00482E88" w:rsidP="00482E88">
      <w:pPr>
        <w:rPr>
          <w:noProof/>
          <w:color w:val="000000" w:themeColor="text1"/>
          <w:lang w:val="ro-RO"/>
        </w:rPr>
      </w:pPr>
      <w:r w:rsidRPr="00C05138">
        <w:rPr>
          <w:noProof/>
          <w:color w:val="000000" w:themeColor="text1"/>
          <w:lang w:val="ro-RO"/>
        </w:rPr>
        <w:t xml:space="preserve">Vor fi necesare politici sociale și industriale complementare pentru a se asigura o tranziție fără probleme de la nivelurile actuale ale prețurilor energiei la prețurile abordabile ale energiei curate. UE și statele membre pot proteja gospodăriile cu venituri mai mici și medii împotriva creșterilor abrupte ale prețurilor la energie. Va fi nevoie de sprijin adaptat pentru ca industriile energointensive să facă față perioadei de tranziție, având în vedere faptul că acestea se confruntă cu dubla provocare de a investi în metode de producție curate, atunci când acestea sunt disponibile, și de a face față prețurilor ridicate la energie. Ca un prim pas, Fondul pentru inovare corelează sprijinul pentru inovare cu soluții precum contractele pentru diferență în materie de carbon. </w:t>
      </w:r>
      <w:bookmarkStart w:id="20" w:name="_Hlk157159773"/>
      <w:r w:rsidRPr="00C05138">
        <w:rPr>
          <w:noProof/>
          <w:color w:val="000000" w:themeColor="text1"/>
          <w:lang w:val="ro-RO"/>
        </w:rPr>
        <w:t>Tranziția va genera noi provocări, de pildă în ceea ce privește utilizarea terenurilor și a apei. Trebuie să se acorde prioritate soluțiilor reciproc avantajoase (acoperișuri solare, produse agrofotovoltaice, biogaz și biometan din deșeuri și reziduuri organice), implicând cetățenii în deciziile aferente.</w:t>
      </w:r>
    </w:p>
    <w:bookmarkEnd w:id="20"/>
    <w:p w14:paraId="046E95A7" w14:textId="77777777" w:rsidR="00482E88" w:rsidRPr="00C05138" w:rsidRDefault="00482E88" w:rsidP="00482E88">
      <w:pPr>
        <w:rPr>
          <w:i/>
          <w:noProof/>
          <w:color w:val="000000" w:themeColor="text1"/>
          <w:lang w:val="ro-RO"/>
        </w:rPr>
      </w:pPr>
      <w:r w:rsidRPr="00C05138">
        <w:rPr>
          <w:i/>
          <w:noProof/>
          <w:color w:val="000000" w:themeColor="text1"/>
          <w:lang w:val="ro-RO"/>
        </w:rPr>
        <w:t>Eficiența energetică și clădirile</w:t>
      </w:r>
    </w:p>
    <w:p w14:paraId="216FE38A" w14:textId="3A8C9D65" w:rsidR="00482E88" w:rsidRPr="00C05138" w:rsidRDefault="00482E88" w:rsidP="00482E88">
      <w:pPr>
        <w:rPr>
          <w:noProof/>
          <w:color w:val="000000" w:themeColor="text1"/>
          <w:lang w:val="ro-RO"/>
        </w:rPr>
      </w:pPr>
      <w:r w:rsidRPr="00C05138">
        <w:rPr>
          <w:noProof/>
          <w:color w:val="000000" w:themeColor="text1"/>
          <w:lang w:val="ro-RO"/>
        </w:rPr>
        <w:t xml:space="preserve">Principiul „eficiența energetică înainte de toate” rămâne un principiu central al politicilor, iar impactul obiectivului de eficiență energetică pentru 2030 se extinde până în 2040. Acest lucru va mobiliza finanțare privată în toate sectoarele și poate debloca o piață europeană a investițiilor în eficiența energetică. Modelele de afaceri circulare reduc consumul de energie și de resurse. Sectorul public, la toate nivelurile, ar trebui să conducă prin puterea exemplului, inclusiv prin achiziții publice verzi care iau în considerare criteriile de durabilitate, și să ofere un plan de facilitare a tranziției. </w:t>
      </w:r>
    </w:p>
    <w:p w14:paraId="5C78DDA1" w14:textId="77777777" w:rsidR="00482E88" w:rsidRPr="00C05138" w:rsidRDefault="00482E88" w:rsidP="00482E88">
      <w:pPr>
        <w:rPr>
          <w:noProof/>
          <w:color w:val="000000" w:themeColor="text1"/>
          <w:lang w:val="ro-RO"/>
        </w:rPr>
      </w:pPr>
      <w:r w:rsidRPr="00C05138">
        <w:rPr>
          <w:noProof/>
          <w:color w:val="000000" w:themeColor="text1"/>
          <w:lang w:val="ro-RO"/>
        </w:rPr>
        <w:t>Parcul imobiliar al UE este responsabil pentru 42 % din consumul final de energie, mai mult de jumătate din consumul intern brut de gaze naturale și aproximativ 35 % din emisiile de gaze cu efect de seră legate de energie. Aproximativ 80 % din consumul de energie al clădirilor provine din nevoile de încălzire și răcire. Stabilirea prețului carbonului în cazul tuturor combustibililor, prevăzută pentru 2027, va crea condiții de concurență echitabile pentru energia electrică și va genera venituri, inclusiv pentru Fondul social pentru climă, care ar putea fi utilizate pentru investiții și finanțarea reformelor structurale. Un concept actualizat de impozitare a energiei poate accelera și mai mult electrificarea verde a parcului imobiliar și a sistemului energetic.</w:t>
      </w:r>
    </w:p>
    <w:p w14:paraId="23DB41AE" w14:textId="77777777" w:rsidR="00482E88" w:rsidRPr="00C05138" w:rsidRDefault="00482E88" w:rsidP="00482E88">
      <w:pPr>
        <w:rPr>
          <w:i/>
          <w:noProof/>
          <w:color w:val="000000" w:themeColor="text1"/>
          <w:lang w:val="ro-RO"/>
        </w:rPr>
      </w:pPr>
      <w:r w:rsidRPr="00C05138">
        <w:rPr>
          <w:i/>
          <w:noProof/>
          <w:color w:val="000000" w:themeColor="text1"/>
          <w:lang w:val="ro-RO"/>
        </w:rPr>
        <w:t>Electrificare, rețele și infrastructură, integrarea sistemelor, stocare, digitalizare și flexibilitate</w:t>
      </w:r>
    </w:p>
    <w:p w14:paraId="2D738209" w14:textId="3500CBD0" w:rsidR="00482E88" w:rsidRPr="00C05138" w:rsidRDefault="00482E88" w:rsidP="00482E88">
      <w:pPr>
        <w:rPr>
          <w:noProof/>
          <w:color w:val="000000" w:themeColor="text1"/>
          <w:lang w:val="ro-RO"/>
        </w:rPr>
      </w:pPr>
      <w:r w:rsidRPr="00C05138">
        <w:rPr>
          <w:noProof/>
          <w:color w:val="000000" w:themeColor="text1"/>
          <w:lang w:val="ro-RO"/>
        </w:rPr>
        <w:t>Electrificarea cu un sistem energetic complet decarbonizat până în 2040 este principalul motor al tranziției energetice. Ponderea energiei electrice în consumul final de energie se va dubla de la 25 % în prezent la aproximativ 50 % în 2040. Evaluarea impactului arată că energia din surse regenerabile, a cărei pondere va fi majoritară</w:t>
      </w:r>
      <w:r w:rsidR="00C71E06" w:rsidRPr="00C05138">
        <w:rPr>
          <w:noProof/>
          <w:color w:val="000000" w:themeColor="text1"/>
          <w:lang w:val="ro-RO"/>
        </w:rPr>
        <w:t> </w:t>
      </w:r>
      <w:r w:rsidRPr="00C05138">
        <w:rPr>
          <w:noProof/>
          <w:color w:val="000000" w:themeColor="text1"/>
          <w:lang w:val="ro-RO"/>
        </w:rPr>
        <w:t>(</w:t>
      </w:r>
      <w:r w:rsidRPr="00C05138">
        <w:rPr>
          <w:rStyle w:val="FootnoteReference"/>
          <w:noProof/>
          <w:color w:val="000000" w:themeColor="text1"/>
          <w:lang w:val="ro-RO"/>
        </w:rPr>
        <w:footnoteReference w:id="21"/>
      </w:r>
      <w:r w:rsidRPr="00C05138">
        <w:rPr>
          <w:noProof/>
          <w:color w:val="000000" w:themeColor="text1"/>
          <w:lang w:val="ro-RO"/>
        </w:rPr>
        <w:t>), completată de energia nucleară</w:t>
      </w:r>
      <w:r w:rsidR="00C71E06" w:rsidRPr="00C05138">
        <w:rPr>
          <w:noProof/>
          <w:color w:val="000000" w:themeColor="text1"/>
          <w:lang w:val="ro-RO"/>
        </w:rPr>
        <w:t> </w:t>
      </w:r>
      <w:r w:rsidRPr="00C05138">
        <w:rPr>
          <w:noProof/>
          <w:color w:val="000000" w:themeColor="text1"/>
          <w:lang w:val="ro-RO"/>
        </w:rPr>
        <w:t>(</w:t>
      </w:r>
      <w:r w:rsidRPr="00C05138">
        <w:rPr>
          <w:rStyle w:val="FootnoteReference"/>
          <w:noProof/>
          <w:color w:val="000000" w:themeColor="text1"/>
          <w:lang w:val="ro-RO"/>
        </w:rPr>
        <w:footnoteReference w:id="22"/>
      </w:r>
      <w:r w:rsidRPr="00C05138">
        <w:rPr>
          <w:noProof/>
          <w:color w:val="000000" w:themeColor="text1"/>
          <w:lang w:val="ro-RO"/>
        </w:rPr>
        <w:t>), va genera peste 90 % din consumul de energie electrică din UE în 2040 (</w:t>
      </w:r>
      <w:r w:rsidRPr="00C05138">
        <w:rPr>
          <w:rStyle w:val="FootnoteReference"/>
          <w:noProof/>
          <w:color w:val="000000" w:themeColor="text1"/>
          <w:lang w:val="ro-RO"/>
        </w:rPr>
        <w:footnoteReference w:id="23"/>
      </w:r>
      <w:r w:rsidRPr="00C05138">
        <w:rPr>
          <w:noProof/>
          <w:color w:val="000000" w:themeColor="text1"/>
          <w:lang w:val="ro-RO"/>
        </w:rPr>
        <w:t xml:space="preserve">). </w:t>
      </w:r>
    </w:p>
    <w:p w14:paraId="4350543C" w14:textId="77777777" w:rsidR="00482E88" w:rsidRPr="00C05138" w:rsidRDefault="00482E88" w:rsidP="00482E88">
      <w:pPr>
        <w:rPr>
          <w:noProof/>
          <w:color w:val="000000" w:themeColor="text1"/>
          <w:highlight w:val="green"/>
          <w:lang w:val="ro-RO"/>
        </w:rPr>
      </w:pPr>
      <w:r w:rsidRPr="00C05138">
        <w:rPr>
          <w:noProof/>
          <w:color w:val="000000" w:themeColor="text1"/>
          <w:lang w:val="ro-RO"/>
        </w:rPr>
        <w:t>În prezent, câștigul mediu anual obținut de pe piața integrată a energiei electrice pentru consumatorii europeni este de aproximativ 34 de miliarde EUR pe an (</w:t>
      </w:r>
      <w:r w:rsidRPr="00C05138">
        <w:rPr>
          <w:rStyle w:val="FootnoteReference"/>
          <w:noProof/>
          <w:color w:val="000000" w:themeColor="text1"/>
          <w:lang w:val="ro-RO"/>
        </w:rPr>
        <w:footnoteReference w:id="24"/>
      </w:r>
      <w:r w:rsidRPr="00C05138">
        <w:rPr>
          <w:noProof/>
          <w:color w:val="000000" w:themeColor="text1"/>
          <w:lang w:val="ro-RO"/>
        </w:rPr>
        <w:t>). Creșterea ponderii energiei din surse regenerabile și a nivelului de electrificare vor necesita investiții substanțiale în extinderea rețelelor electrice ale UE la nivel de distribuție și transport, precum și în modernizarea lor pentru a obține rețele mai inteligente și mai flexibile. Pentru a se asigura flexibilitatea și securitatea aprovizionării, vor fi necesare noi capacități de interconexiune, rețele extinse de distribuție, instalații de stocare a energiei, aprovizionare cu energie dispecerizabilă, soluții de flexibilitate ale pieței și cuplarea sectoarelor. Recentul plan de acțiune al UE privind rețelele reprezintă un prim pas, iar punerea sa rapidă în aplicare ar trebui să rămână o prioritate pentru Comisie, statele membre și industrie, în vederea îndeplinirii obiectivelor stabilite pentru 2030 și 2040. Această experiență ar putea conduce la un plan general cuprinzător pentru accelerarea dezvoltării infrastructurii energetice europene integrate. Securitatea și reziliența infrastructurii energetice critice reprezintă o prioritate-cheie pentru o aprovizionare sigură și stabilă cu energie.</w:t>
      </w:r>
      <w:r w:rsidRPr="00C05138">
        <w:rPr>
          <w:noProof/>
          <w:color w:val="000000" w:themeColor="text1"/>
          <w:highlight w:val="green"/>
          <w:lang w:val="ro-RO"/>
        </w:rPr>
        <w:t xml:space="preserve"> </w:t>
      </w:r>
    </w:p>
    <w:p w14:paraId="7BBC47C7" w14:textId="77777777" w:rsidR="00482E88" w:rsidRPr="00C05138" w:rsidRDefault="00482E88" w:rsidP="00482E88">
      <w:pPr>
        <w:rPr>
          <w:noProof/>
          <w:color w:val="000000" w:themeColor="text1"/>
          <w:lang w:val="ro-RO"/>
        </w:rPr>
      </w:pPr>
      <w:r w:rsidRPr="00C05138">
        <w:rPr>
          <w:noProof/>
          <w:color w:val="000000" w:themeColor="text1"/>
          <w:lang w:val="ro-RO"/>
        </w:rPr>
        <w:t>Consumatorii ar trebui să își poată adapta consumul la condițiile pieței. Digitalizarea sistemului energetic, inclusiv prin intermediul IA, este esențială pentru o mai mare flexibilitate a surselor de energie (</w:t>
      </w:r>
      <w:r w:rsidRPr="00C05138">
        <w:rPr>
          <w:rStyle w:val="FootnoteReference"/>
          <w:noProof/>
          <w:lang w:val="ro-RO"/>
        </w:rPr>
        <w:footnoteReference w:id="25"/>
      </w:r>
      <w:r w:rsidRPr="00C05138">
        <w:rPr>
          <w:noProof/>
          <w:color w:val="000000" w:themeColor="text1"/>
          <w:lang w:val="ro-RO"/>
        </w:rPr>
        <w:t>)</w:t>
      </w:r>
      <w:r w:rsidRPr="00C05138">
        <w:rPr>
          <w:noProof/>
          <w:lang w:val="ro-RO"/>
        </w:rPr>
        <w:t>.</w:t>
      </w:r>
    </w:p>
    <w:p w14:paraId="011A902A" w14:textId="75745522" w:rsidR="00482E88" w:rsidRPr="00C05138" w:rsidRDefault="00482E88" w:rsidP="00482E88">
      <w:pPr>
        <w:rPr>
          <w:noProof/>
          <w:color w:val="000000" w:themeColor="text1"/>
          <w:lang w:val="ro-RO"/>
        </w:rPr>
      </w:pPr>
      <w:r w:rsidRPr="00C05138">
        <w:rPr>
          <w:noProof/>
          <w:color w:val="000000" w:themeColor="text1"/>
          <w:lang w:val="ro-RO"/>
        </w:rPr>
        <w:t>Având în vedere toate aceste fluxuri de lucru, evitarea tarifelor de rețea excesive pentru utilizatorii finali ca urmare a recuperării investițiilor inițiale în rețea și a electrificării va fi un obiectiv de reglementare esențial la nivelul UE și la nivel național.</w:t>
      </w:r>
    </w:p>
    <w:p w14:paraId="731939E7" w14:textId="77777777" w:rsidR="00482E88" w:rsidRPr="00C05138" w:rsidRDefault="00482E88" w:rsidP="00482E88">
      <w:pPr>
        <w:rPr>
          <w:i/>
          <w:noProof/>
          <w:color w:val="000000" w:themeColor="text1"/>
          <w:lang w:val="ro-RO"/>
        </w:rPr>
      </w:pPr>
      <w:r w:rsidRPr="00C05138">
        <w:rPr>
          <w:i/>
          <w:noProof/>
          <w:color w:val="000000" w:themeColor="text1"/>
          <w:lang w:val="ro-RO"/>
        </w:rPr>
        <w:t xml:space="preserve">Combustibilii fosili </w:t>
      </w:r>
    </w:p>
    <w:p w14:paraId="29CF37ED" w14:textId="77777777" w:rsidR="00482E88" w:rsidRPr="00C05138" w:rsidRDefault="00482E88" w:rsidP="00482E88">
      <w:pPr>
        <w:rPr>
          <w:noProof/>
          <w:color w:val="000000" w:themeColor="text1"/>
          <w:lang w:val="ro-RO"/>
        </w:rPr>
      </w:pPr>
      <w:r w:rsidRPr="00C05138">
        <w:rPr>
          <w:noProof/>
          <w:lang w:val="ro-RO"/>
        </w:rPr>
        <w:t xml:space="preserve">În 2040, consumul de combustibili fosili pentru energie ar urma să se reducă cu aproximativ 80 % față de 2021. Cărbunele va fi eliminat treptat, în timp ce petrolul folosit în sectorul transportului (rutier, maritim și aerian) ar urma să reprezinte aproximativ 60 % din restul utilizărilor energetice ale combustibililor fosili. Utilizarea reziduală a gazelor naturale ar urma să fie împărțită între industrie, clădiri și sistemul energetic. În conformitate cu angajamentul internațional de a renunța la combustibilii fosili, politicile ar trebui să asigure faptul că orice ardere a combustibililor fosili rămasă va fi cuplată cât mai curând posibil cu </w:t>
      </w:r>
      <w:r w:rsidRPr="00C05138">
        <w:rPr>
          <w:noProof/>
          <w:color w:val="000000" w:themeColor="text1"/>
          <w:lang w:val="ro-RO"/>
        </w:rPr>
        <w:t>captarea (utilizarea) și stocarea dioxidului de carbon</w:t>
      </w:r>
      <w:r w:rsidRPr="00C05138">
        <w:rPr>
          <w:noProof/>
          <w:lang w:val="ro-RO"/>
        </w:rPr>
        <w:t>.</w:t>
      </w:r>
      <w:r w:rsidRPr="00C05138">
        <w:rPr>
          <w:noProof/>
          <w:color w:val="000000" w:themeColor="text1"/>
          <w:lang w:val="ro-RO"/>
        </w:rPr>
        <w:t xml:space="preserve"> Structura pieței gazelor se va schimba în mod semnificativ, combustibilii lichizi și gazele cu emisii scăzute de dioxid de carbon și din surse regenerabile urmând să aibă un rol din ce în ce mai important. Infrastructura de gaze va trebui să se adapteze la producția descentralizată, iar o parte semnificativă a rețelei de petrol și gaze ar putea fi reafectată treptat pentru e-combustibili, biocarburanți avansați și hidrogen din surse regenerabile și cu emisii scăzute de dioxid de carbon. Utilizările neenergetice, cum ar fi utilizarea ca materie primă pentru producție, ar urma să reprezinte aproximativ o treime din consumul rămas de combustibili fosili. Subvențiile ineficiente pentru combustibilii fosili </w:t>
      </w:r>
      <w:r w:rsidRPr="00C05138">
        <w:rPr>
          <w:noProof/>
          <w:lang w:val="ro-RO"/>
        </w:rPr>
        <w:t xml:space="preserve">care nu abordează sărăcia energetică sau tranziția justă </w:t>
      </w:r>
      <w:r w:rsidRPr="00C05138">
        <w:rPr>
          <w:noProof/>
          <w:color w:val="000000" w:themeColor="text1"/>
          <w:lang w:val="ro-RO"/>
        </w:rPr>
        <w:t>ar trebui să fie eliminate treptat până atunci</w:t>
      </w:r>
      <w:r w:rsidRPr="00C05138">
        <w:rPr>
          <w:noProof/>
          <w:lang w:val="ro-RO"/>
        </w:rPr>
        <w:t>.</w:t>
      </w:r>
      <w:r w:rsidRPr="00C05138">
        <w:rPr>
          <w:noProof/>
          <w:color w:val="000000" w:themeColor="text1"/>
          <w:lang w:val="ro-RO"/>
        </w:rPr>
        <w:t xml:space="preserve"> </w:t>
      </w:r>
    </w:p>
    <w:p w14:paraId="0DA1386C" w14:textId="77777777" w:rsidR="00482E88" w:rsidRPr="00C05138" w:rsidRDefault="00482E88" w:rsidP="00482E88">
      <w:pPr>
        <w:pStyle w:val="Heading2"/>
        <w:tabs>
          <w:tab w:val="clear" w:pos="360"/>
        </w:tabs>
        <w:ind w:left="0" w:firstLine="0"/>
        <w:rPr>
          <w:noProof/>
          <w:lang w:val="ro-RO"/>
        </w:rPr>
      </w:pPr>
      <w:bookmarkStart w:id="21" w:name="_Toc157365430"/>
      <w:bookmarkStart w:id="22" w:name="_Toc157365431"/>
      <w:bookmarkStart w:id="23" w:name="_Toc157365432"/>
      <w:bookmarkStart w:id="24" w:name="_Toc157365433"/>
      <w:bookmarkStart w:id="25" w:name="_Toc157365434"/>
      <w:bookmarkStart w:id="26" w:name="_Toc157365435"/>
      <w:bookmarkStart w:id="27" w:name="_Toc157365436"/>
      <w:bookmarkStart w:id="28" w:name="_Toc157365437"/>
      <w:bookmarkStart w:id="29" w:name="_Toc157365438"/>
      <w:bookmarkStart w:id="30" w:name="_Toc157365439"/>
      <w:bookmarkStart w:id="31" w:name="_Toc157365440"/>
      <w:bookmarkStart w:id="32" w:name="_Toc157365441"/>
      <w:bookmarkStart w:id="33" w:name="_Toc157365442"/>
      <w:bookmarkStart w:id="34" w:name="_Toc157365443"/>
      <w:bookmarkStart w:id="35" w:name="_Toc157365444"/>
      <w:bookmarkStart w:id="36" w:name="_Toc157365445"/>
      <w:bookmarkStart w:id="37" w:name="_Toc157365446"/>
      <w:bookmarkStart w:id="38" w:name="_Toc157365447"/>
      <w:bookmarkStart w:id="39" w:name="_Toc157365448"/>
      <w:bookmarkStart w:id="40" w:name="_Toc157365449"/>
      <w:bookmarkStart w:id="41" w:name="_Toc157365450"/>
      <w:bookmarkStart w:id="42" w:name="_Toc157365451"/>
      <w:bookmarkStart w:id="43" w:name="_Toc160178632"/>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C05138">
        <w:rPr>
          <w:noProof/>
          <w:lang w:val="ro-RO"/>
        </w:rPr>
        <w:t>Pactul privind decarbonizarea industriei</w:t>
      </w:r>
      <w:bookmarkEnd w:id="43"/>
      <w:r w:rsidRPr="00C05138">
        <w:rPr>
          <w:noProof/>
          <w:lang w:val="ro-RO"/>
        </w:rPr>
        <w:t xml:space="preserve"> </w:t>
      </w:r>
    </w:p>
    <w:p w14:paraId="7CFE38FC" w14:textId="2637D039" w:rsidR="00482E88" w:rsidRPr="00C05138" w:rsidRDefault="00482E88" w:rsidP="00482E88">
      <w:pPr>
        <w:rPr>
          <w:noProof/>
          <w:sz w:val="22"/>
          <w:lang w:val="ro-RO"/>
        </w:rPr>
      </w:pPr>
      <w:r w:rsidRPr="00C05138">
        <w:rPr>
          <w:noProof/>
          <w:lang w:val="ro-RO"/>
        </w:rPr>
        <w:t xml:space="preserve">Pentru ca Pactul verde european să aibă succes în următorul deceniu, acum și în următorii ani, acesta trebuie completat de o </w:t>
      </w:r>
      <w:bookmarkStart w:id="44" w:name="_Toc155286926"/>
      <w:r w:rsidRPr="00C05138">
        <w:rPr>
          <w:noProof/>
          <w:lang w:val="ro-RO"/>
        </w:rPr>
        <w:t>agendă</w:t>
      </w:r>
      <w:bookmarkEnd w:id="44"/>
      <w:r w:rsidRPr="00C05138">
        <w:rPr>
          <w:noProof/>
          <w:lang w:val="ro-RO"/>
        </w:rPr>
        <w:t xml:space="preserve"> europeană mai fermă și reînnoită pentru industrie și competitivitate durabilă. Acest cadru favorabil pentru decarbonizarea industriei se va baza pe Planul industrial al Pactului verde (</w:t>
      </w:r>
      <w:r w:rsidRPr="00C05138">
        <w:rPr>
          <w:rStyle w:val="FootnoteReference"/>
          <w:noProof/>
          <w:lang w:val="ro-RO"/>
        </w:rPr>
        <w:footnoteReference w:id="26"/>
      </w:r>
      <w:r w:rsidRPr="00C05138">
        <w:rPr>
          <w:noProof/>
          <w:lang w:val="ro-RO"/>
        </w:rPr>
        <w:t>). Crearea condițiilor-cadru adecvate pentru toate sectoarele economiei (inclusiv accesul la finanțare, competențele, energia la prețuri abordabile) reprezintă o condiție prealabilă pentru succesul tranziției. În același timp, există sectoare economice care, având în vedere investițiile inițiale în tehnologii curate și mediul de piață dificil, necesită o atenție deosebită pentru a-și adapta procesele de producție în vederea punerii în aplicare a cadrului prevăzut de Pactul verde. Același lucru este valabil și pentru IMM-uri, care vor avea nevoie de sprijin specific pentru a avea acces la finanțarea investițiilor durabile și pentru a se conforma reglementărilor relevante ale UE.</w:t>
      </w:r>
    </w:p>
    <w:p w14:paraId="1E3F805D" w14:textId="17BBD6A0" w:rsidR="00482E88" w:rsidRPr="00C05138" w:rsidRDefault="00482E88" w:rsidP="00482E88">
      <w:pPr>
        <w:rPr>
          <w:noProof/>
          <w:lang w:val="ro-RO"/>
        </w:rPr>
      </w:pPr>
      <w:r w:rsidRPr="00C05138">
        <w:rPr>
          <w:noProof/>
          <w:lang w:val="ro-RO"/>
        </w:rPr>
        <w:t>Succesul transformării îi va permite UE să își mențină puterea industrială în sectoare precum energia eoliană, hidroenergia și electrolizoarele, în care are deja un excedent comercial, și să continue sporirea capacității de producție internă în sectoare aflate în creștere, cum ar fi sectorul bateriilor, al vehiculelor electrice, al pompelor de căldură, al energiei solare fotovoltaice, al CCU/CCS, al tehnologiei pentru biogazul și biometanul durabil, precum și al economiei circulare. Dezvoltarea unor industrii verzi și circulare puternice, atât pe plan intern, cât și în țările partenere care împărtășesc aceeași viziune, va consolida durabilitatea competitivă a UE, va multiplica oportunitățile de afaceri pentru întreprinderi, va conduce la economii de scară și va aduce beneficii mai ample economiei europene, generând locuri de muncă cu înaltă calificare pentru a contribui la tranziția climatică și pentru a se asigura că aceasta este justă din punct de vedere social și favorabilă incluziunii.</w:t>
      </w:r>
    </w:p>
    <w:p w14:paraId="0D1487B1" w14:textId="4BEFEFC8" w:rsidR="00482E88" w:rsidRPr="00C05138" w:rsidRDefault="00482E88" w:rsidP="00482E88">
      <w:pPr>
        <w:rPr>
          <w:noProof/>
          <w:lang w:val="ro-RO"/>
        </w:rPr>
      </w:pPr>
      <w:bookmarkStart w:id="45" w:name="_Hlk157180276"/>
      <w:bookmarkEnd w:id="45"/>
      <w:r w:rsidRPr="00C05138">
        <w:rPr>
          <w:noProof/>
          <w:lang w:val="ro-RO"/>
        </w:rPr>
        <w:t>Concurența la nivel mondial în ceea ce privește tehnologiile cu emisii zero și cu emisii scăzute va fi intensă. Recurgerea pe scară largă la subvenții publice și la inițiative de politică din partea principalilor noștri concurenți denaturează comerțul echitabil și liber. Tehnologiile „zero net” se află în centrul unor interese geostrategice puternice și al unei curse tehnologice mondiale. În China, planificarea pe termen lung, integrarea verticală a unor sectoare întregi și subvențiile publice au redus costurile, conducând la obținerea unei poziții dominante de către China în multe lanțuri de aprovizionare cu tehnologii curate, de la materii prime la componente și produse finite. În SUA, Legea privind reducerea inflației oferă stimulente fiscale pentru investiții și producție în domeniul tehnologiilor curate. Europa ia măsuri pentru a-și asigura propriul rol de lider în această cursă, prevalându-se de punctele sale forte și asigurând parteneriate reciproc avantajoase cu parteneri care împărtășesc aceeași viziune. . Ea va continua să aplice instrumentele de apărare comercială de care dispune pentru a proteja industria împotriva importurilor comerciale neloiale și, prin urmare, pentru a asigura lanțuri de aprovizionare reziliente. Puterea Europei constă, printre altele, în stabilitatea sa, în politicile sale previzibile și în îndelungata sa tradiție de introducere pe piețe a unor soluții industriale inovatoare și de înaltă calitate.</w:t>
      </w:r>
    </w:p>
    <w:p w14:paraId="67A644D9" w14:textId="77777777" w:rsidR="00482E88" w:rsidRPr="00C05138" w:rsidRDefault="00482E88" w:rsidP="00482E88">
      <w:pPr>
        <w:rPr>
          <w:i/>
          <w:noProof/>
          <w:lang w:val="ro-RO"/>
        </w:rPr>
      </w:pPr>
      <w:r w:rsidRPr="00C05138">
        <w:rPr>
          <w:i/>
          <w:noProof/>
          <w:lang w:val="ro-RO"/>
        </w:rPr>
        <w:t>Un cadru favorabil pentru investiții și competitivitate în Europa ...</w:t>
      </w:r>
    </w:p>
    <w:p w14:paraId="70AC37D5" w14:textId="693D0DDB" w:rsidR="00482E88" w:rsidRPr="00C05138" w:rsidRDefault="00482E88" w:rsidP="00482E88">
      <w:pPr>
        <w:rPr>
          <w:noProof/>
          <w:lang w:val="ro-RO"/>
        </w:rPr>
      </w:pPr>
      <w:r w:rsidRPr="00C05138">
        <w:rPr>
          <w:noProof/>
          <w:lang w:val="ro-RO"/>
        </w:rPr>
        <w:t xml:space="preserve">Asigurarea unui mediu de reglementare și de finanțare favorabil va atrage investiții și dezvoltarea de capacități de producție în Europa. Actul privind materiile prime critice, Regulamentul privind proiectarea ecologică a produselor sustenabile și Regulamentul privind industria „zero net” sunt instrumente esențiale pentru asigurarea unei autonomii strategice deschise, inclusiv prin extinderea producției interne, stabilirea de parteneriate-cheie cu parteneri care împărtășesc aceeași viziune, aplicarea abordărilor economiei circulare de-a lungul lanțului valoric, diversificare, proiecte strategice și facilitarea procesului de autorizare a tehnologiilor și a infrastructurii. Regulamentul privind industria „zero net” reprezintă un pas concret în crearea unui argument industrial pentru tranziția europeană către neutralitatea emisiilor de dioxid de carbon. Acesta abordează subiectele potrivite prin accelerarea substanțială a procesului de autorizare, a concentrării investițiilor în cercetare și dezvoltare, precum și a accesului la schemele de finanțare existente ale UE. </w:t>
      </w:r>
    </w:p>
    <w:p w14:paraId="19E6E203" w14:textId="14B2C4AF" w:rsidR="00482E88" w:rsidRPr="00C05138" w:rsidRDefault="00482E88" w:rsidP="00482E88">
      <w:pPr>
        <w:rPr>
          <w:noProof/>
          <w:lang w:val="ro-RO"/>
        </w:rPr>
      </w:pPr>
      <w:bookmarkStart w:id="46" w:name="_Hlk156292416"/>
      <w:r w:rsidRPr="00C05138">
        <w:rPr>
          <w:noProof/>
          <w:lang w:val="ro-RO"/>
        </w:rPr>
        <w:t>Politica industrială ar trebui să consolideze sectoarele care sunt necesare pentru tranziția verde, dar care pot fi supuse unor provocări în contextul acestei tranziții, deoarece sunt mai greu de decarbonizat și, prin urmare, nu reușesc să atingă acest obiectiv fără a beneficia de atenție și de sprijin specific și condiționat. Printre exemple s-ar putea număra alianțele industriale și clusterele industriale simbiotice, cum ar fi văile de hidrogen (</w:t>
      </w:r>
      <w:r w:rsidRPr="00C05138">
        <w:rPr>
          <w:rStyle w:val="FootnoteReference"/>
          <w:noProof/>
          <w:lang w:val="ro-RO"/>
        </w:rPr>
        <w:footnoteReference w:id="27"/>
      </w:r>
      <w:r w:rsidRPr="00C05138">
        <w:rPr>
          <w:noProof/>
          <w:lang w:val="ro-RO"/>
        </w:rPr>
        <w:t>), din UE și din vecinătatea sa. Astfel de clustere ajută furnizorii de tehnologii curate să își extindă operațiunile și să își îmbunătățească viabilitatea comercială prin aprovizionarea mai multor achizitori industriali din cadrul unui cluster, în timp ce industria prelucrătoare și-ar putea decarboniza operațiunile într-un mod mai eficace și la costuri mai mici prin asigurarea accesului la tehnologii curate și prin partajarea costurilor. Ar trebui să se acorde o atenție deosebită creării unor piețe-lider pentru tehnologii și produse curate în Europa, adoptând, printre altele, circularitatea și bioprodusele obținute în mod durabil.</w:t>
      </w:r>
    </w:p>
    <w:bookmarkEnd w:id="46"/>
    <w:p w14:paraId="49795BD7" w14:textId="664984EF" w:rsidR="00482E88" w:rsidRPr="00C05138" w:rsidRDefault="00482E88" w:rsidP="00482E88">
      <w:pPr>
        <w:rPr>
          <w:noProof/>
          <w:lang w:val="ro-RO"/>
        </w:rPr>
      </w:pPr>
      <w:r w:rsidRPr="00C05138">
        <w:rPr>
          <w:noProof/>
          <w:lang w:val="ro-RO"/>
        </w:rPr>
        <w:t xml:space="preserve">În plus, sunt necesare instrumente-punte pentru a sprijini industriile înainte de a deveni viabile din punct de vedere comercial. Acest lucru necesită o reflecție cuprinzătoare asupra tuturor elementelor care conduc la investiții private: de la impozitare la accesul la finanțare, de la competențe la sarcini de reglementare și costuri cu energia pentru activitățile comerciale de zi cu zi. În acest context, este necesar să se acorde o atenție mult mai mare și continuă pentru asigurarea unui mediu de reglementare simplificat pentru întreprinderi și a unui nou impuls în cadrul unei piețe unice puternice, care să elimine barierele naționale nejustificate în materie de reglementare, în special în ceea ce privește tehnologiile-cheie. Acest lucru le permite întreprinderilor să intensifice soluțiile standard în întreaga Europă, sporindu-și astfel atractivitatea economică pentru investitori, și reprezintă un element esențial pentru succesul viitor al agendei UE. </w:t>
      </w:r>
    </w:p>
    <w:p w14:paraId="4FC51D46" w14:textId="499E1603" w:rsidR="00482E88" w:rsidRPr="00C05138" w:rsidRDefault="00482E88" w:rsidP="00482E88">
      <w:pPr>
        <w:rPr>
          <w:noProof/>
          <w:lang w:val="ro-RO"/>
        </w:rPr>
      </w:pPr>
      <w:r w:rsidRPr="00C05138">
        <w:rPr>
          <w:noProof/>
          <w:lang w:val="ro-RO"/>
        </w:rPr>
        <w:t>De asemenea, ar trebui să se acorde o atenție deosebită rolului IMM-urilor. Acestea sunt vectori ai tranziției, sunt vitale într-o serie de lanțuri de aprovizionare și, foarte adesea, sunt, de asemenea, afectate la nivel general de schimbările survenite în cadrul de politică și de reglementare. Având în vedere dimensiunea lor mai limitată și, prin extensie, resursele mai limitate ale acestora, IMM-urile ar putea avea nevoie de sprijin suplimentar pentru a-și adapta, de exemplu, procesele de producție în vederea punerii în aplicare a cadrului prevăzut de Pactul verde.</w:t>
      </w:r>
    </w:p>
    <w:p w14:paraId="5800DBEC" w14:textId="56E68FE8" w:rsidR="00482E88" w:rsidRPr="00C05138" w:rsidRDefault="00482E88" w:rsidP="00482E88">
      <w:pPr>
        <w:rPr>
          <w:noProof/>
          <w:lang w:val="ro-RO"/>
        </w:rPr>
      </w:pPr>
      <w:r w:rsidRPr="00C05138">
        <w:rPr>
          <w:noProof/>
          <w:lang w:val="ro-RO"/>
        </w:rPr>
        <w:t xml:space="preserve">Investițiile publice trebuie să fie bine orientate, să combine și să pună în comun granturile, împrumuturile, capitalurile proprii, garanțiile, consilierea și alte tipuri de sprijin public la scară largă, care să fie accesibile în modul cel mai rapid și mai simplu. Mecanismul de redresare și reziliență (MRR), instrumentul aflat în centrul NextGenerationEU, va continua să contribuie la tranziția verde. Fondul pentru inovare, cu o valoare estimată de 40 de miliarde EUR până în 2030, poate juca un rol important, inclusiv prin intermediul instrumentelor de ofertare competitive la nivelul UE și al „licitațiilor ca serviciu” împreună cu statele membre. Se preconizează că garanția bugetară InvestEU va mobiliza peste 110 miliarde de investiții verzi pe baza bugetului Uniunii, alături de resursele Grupului BEI și ale altor parteneri de implementare. </w:t>
      </w:r>
    </w:p>
    <w:p w14:paraId="449E9664" w14:textId="77777777" w:rsidR="00482E88" w:rsidRPr="00C05138" w:rsidRDefault="00482E88" w:rsidP="00482E88">
      <w:pPr>
        <w:rPr>
          <w:noProof/>
          <w:lang w:val="ro-RO"/>
        </w:rPr>
      </w:pPr>
      <w:r w:rsidRPr="00C05138">
        <w:rPr>
          <w:i/>
          <w:noProof/>
          <w:lang w:val="ro-RO"/>
        </w:rPr>
        <w:t>... cu acordarea atenției cuvenite industriei prelucrătoare decarbonizate și competitive...</w:t>
      </w:r>
      <w:r w:rsidRPr="00C05138">
        <w:rPr>
          <w:noProof/>
          <w:lang w:val="ro-RO"/>
        </w:rPr>
        <w:t xml:space="preserve"> </w:t>
      </w:r>
    </w:p>
    <w:p w14:paraId="12FC5931" w14:textId="29303BF3" w:rsidR="00482E88" w:rsidRPr="00C05138" w:rsidRDefault="00482E88" w:rsidP="00482E88">
      <w:pPr>
        <w:rPr>
          <w:noProof/>
          <w:lang w:val="ro-RO"/>
        </w:rPr>
      </w:pPr>
      <w:r w:rsidRPr="00C05138">
        <w:rPr>
          <w:noProof/>
          <w:lang w:val="ro-RO"/>
        </w:rPr>
        <w:t>Electrificarea, procesele de producție adaptate, combustibilii cu emisii scăzute de dioxid de carbon și introducerea completă a captării emisiilor de proces îi vor permite industriei prelucrătoare să reducă în mod semnificativ emisiile de CO</w:t>
      </w:r>
      <w:r w:rsidRPr="00C05138">
        <w:rPr>
          <w:noProof/>
          <w:sz w:val="22"/>
          <w:vertAlign w:val="subscript"/>
          <w:lang w:val="ro-RO"/>
        </w:rPr>
        <w:t>2</w:t>
      </w:r>
      <w:r w:rsidRPr="00C05138">
        <w:rPr>
          <w:noProof/>
          <w:lang w:val="ro-RO"/>
        </w:rPr>
        <w:t xml:space="preserve"> până în 2040. EU ETS, cu prețul său comun al carbonului, oferă un instrument de inovare bazat pe piață, cu previzibilitate pe termen lung pentru principalii emițători din Europa.</w:t>
      </w:r>
      <w:r w:rsidRPr="00C05138">
        <w:rPr>
          <w:rFonts w:ascii="Segoe UI" w:hAnsi="Segoe UI"/>
          <w:noProof/>
          <w:sz w:val="18"/>
          <w:lang w:val="ro-RO"/>
        </w:rPr>
        <w:t xml:space="preserve"> </w:t>
      </w:r>
      <w:r w:rsidRPr="00C05138">
        <w:rPr>
          <w:noProof/>
          <w:lang w:val="ro-RO"/>
        </w:rPr>
        <w:t>Pentru unele industrii, acest lucru implică investiții într-o transformare profundă a procesului de producție (</w:t>
      </w:r>
      <w:r w:rsidRPr="00C05138">
        <w:rPr>
          <w:rStyle w:val="FootnoteReference"/>
          <w:noProof/>
          <w:lang w:val="ro-RO"/>
        </w:rPr>
        <w:footnoteReference w:id="28"/>
      </w:r>
      <w:r w:rsidRPr="00C05138">
        <w:rPr>
          <w:noProof/>
          <w:lang w:val="ro-RO"/>
        </w:rPr>
        <w:t xml:space="preserve">). Captarea, utilizarea și stocarea dioxidului de carbon reprezintă o soluție în sectoarele greu de decarbonizat, în absența altor soluții. </w:t>
      </w:r>
    </w:p>
    <w:p w14:paraId="75F65EA0" w14:textId="77777777" w:rsidR="00482E88" w:rsidRPr="00C05138" w:rsidRDefault="00482E88" w:rsidP="00482E88">
      <w:pPr>
        <w:rPr>
          <w:noProof/>
          <w:lang w:val="ro-RO"/>
        </w:rPr>
      </w:pPr>
      <w:r w:rsidRPr="00C05138">
        <w:rPr>
          <w:noProof/>
          <w:lang w:val="ro-RO"/>
        </w:rPr>
        <w:t>Costurile cu energia sunt esențiale pentru competitivitatea industriei și, în special, a industriilor energointensive din Europa (</w:t>
      </w:r>
      <w:r w:rsidRPr="00C05138">
        <w:rPr>
          <w:rStyle w:val="FootnoteReference"/>
          <w:noProof/>
          <w:lang w:val="ro-RO"/>
        </w:rPr>
        <w:footnoteReference w:id="29"/>
      </w:r>
      <w:r w:rsidRPr="00C05138">
        <w:rPr>
          <w:noProof/>
          <w:lang w:val="ro-RO"/>
        </w:rPr>
        <w:t>), fiind necesar să li se acorde o atenție deosebită prin politici specifice care să le permită celor care încep să utilizeze energia curată să beneficieze de o tranziție lină în ceea ce privește prețurile la energie. Pentru început, reforma adoptată a organizării pieței energiei electrice face ca facturile la energie ale întreprinderilor să fie mai independente de prețul de piață pe termen scurt al energiei electrice. Extinderea în continuare a principiului durabilității competitive prin recompensarea întreprinderilor europene care investesc în tehnologii cu emisii scăzute de dioxid de carbon, inclusiv prin procese de achiziții publice sau prin reforme specifice ale reglementărilor privind accesul la rețelele de energie electrică, va fi esențială atât pentru crearea unei baze de producție interne prospere, cât și pentru atingerea obiectivelor ambițioase în materie de climă.</w:t>
      </w:r>
    </w:p>
    <w:p w14:paraId="07991850" w14:textId="77777777" w:rsidR="00482E88" w:rsidRPr="00C05138" w:rsidRDefault="00482E88" w:rsidP="00482E88">
      <w:pPr>
        <w:rPr>
          <w:noProof/>
          <w:lang w:val="ro-RO"/>
        </w:rPr>
      </w:pPr>
      <w:r w:rsidRPr="00C05138">
        <w:rPr>
          <w:i/>
          <w:noProof/>
          <w:lang w:val="ro-RO"/>
        </w:rPr>
        <w:t>... pe baza unei economii mai circulare și a unei bioeconomii durabile...</w:t>
      </w:r>
    </w:p>
    <w:p w14:paraId="17467607" w14:textId="77777777" w:rsidR="00482E88" w:rsidRPr="00C05138" w:rsidRDefault="00482E88" w:rsidP="00482E88">
      <w:pPr>
        <w:rPr>
          <w:noProof/>
          <w:lang w:val="ro-RO"/>
        </w:rPr>
      </w:pPr>
      <w:r w:rsidRPr="00C05138">
        <w:rPr>
          <w:noProof/>
          <w:lang w:val="ro-RO"/>
        </w:rPr>
        <w:t xml:space="preserve">Evaluarea impactului arată că, până în 2040, economia circulară va deveni din ce în ce mai importantă pentru atingerea atât a obiectivelor ambițioase în materie de climă, cât și a unui nou model de prosperitate pentru Europa. Este esențial să se coreleze măsurile împotriva schimbărilor climatice și a utilizării excesive a resurselor cu noi oportunități economice și o mai mare autonomie a UE. Acest lucru face ca punerea în aplicare a Planului de acțiune privind economia circulară să devină o necesitate și impune reînnoirea parteneriatului cu industria pentru stabilirea unei agende privind economia circulară în viitor. </w:t>
      </w:r>
    </w:p>
    <w:p w14:paraId="052AB088" w14:textId="3168188E" w:rsidR="00482E88" w:rsidRPr="00C05138" w:rsidRDefault="00482E88" w:rsidP="00482E88">
      <w:pPr>
        <w:rPr>
          <w:noProof/>
          <w:lang w:val="ro-RO"/>
        </w:rPr>
      </w:pPr>
      <w:r w:rsidRPr="00C05138">
        <w:rPr>
          <w:noProof/>
          <w:lang w:val="ro-RO"/>
        </w:rPr>
        <w:t xml:space="preserve">O agendă reînnoită pentru economia circulară aduce beneficii clare. Prin repararea, recondiționarea, reutilizarea și reciclarea produselor existente și, prin urmare, prin prelungirea duratei lor de viață funcționale, resursele sunt utilizate mai eficient în producție. Materiile prime principale pot fi înlocuite cu materii prime secundare cu o intensitate mai mică a emisiilor de dioxid de carbon. Materialele fosile pot fi înlocuite, de asemenea, cu biomateriale regenerabile obținute în mod durabil sau cu alte materiale inovatoare care respectă mediul. Acest lucru este valabil în special în sectoare precum construcțiile, industria chimică sau industria textilă. Investițiile în inovarea materialelor trebuie consolidate, inclusiv cele care vizează perfecționarea competențelor în sectorul bioeconomic. </w:t>
      </w:r>
    </w:p>
    <w:p w14:paraId="51C2F78B" w14:textId="77777777" w:rsidR="00482E88" w:rsidRPr="00C05138" w:rsidRDefault="00482E88" w:rsidP="00482E88">
      <w:pPr>
        <w:rPr>
          <w:noProof/>
          <w:lang w:val="ro-RO"/>
        </w:rPr>
      </w:pPr>
      <w:r w:rsidRPr="00C05138">
        <w:rPr>
          <w:noProof/>
          <w:lang w:val="ro-RO"/>
        </w:rPr>
        <w:t>O economie circulară mai puternică oferă modele de afaceri inovatoare care răspund preferințelor în continuă evoluție ale consumatorilor și apelează la soluții digitale. De exemplu, modelele de afaceri circulare, cum ar fi „produsul ca serviciu”, proiectarea circulară a produselor pentru a le asigura o durată de viață mai lungă, reutilizarea și repararea, economia partajată sau producția la cerere, pot reduce costul economic al utilizării energiei și a materialelor și pot aduce deșeurile înapoi în economie ca resursă cu valoare economică. Întreprinderile circulare pot genera reduceri semnificative ale emisiilor de gaze cu efect de seră în sectoarele greu de decarbonizat. Printre exemple se numără mediul construit – printr-o mai bună gestionare a deșeurilor din construcții și demolări, industria grea – prin soluții de gestionare a materialelor, gruparea activităților industriale complementare cu utilizare intensivă a resurselor, transportul – prin mobilitate partajată și logistică inversă, precum și sectorul alimentar. În 2021, existau 4,3 milioane de locuri de muncă în sectoarele economice direct legate de economia circulară, ceea ce reprezintă o creștere de 11 % față de 2015 (</w:t>
      </w:r>
      <w:r w:rsidRPr="00C05138">
        <w:rPr>
          <w:noProof/>
          <w:vertAlign w:val="superscript"/>
          <w:lang w:val="ro-RO"/>
        </w:rPr>
        <w:footnoteReference w:id="30"/>
      </w:r>
      <w:r w:rsidRPr="00C05138">
        <w:rPr>
          <w:noProof/>
          <w:lang w:val="ro-RO"/>
        </w:rPr>
        <w:t>). Reducerea aportului de materiale prin reutilizare și reciclare are potențialul de a stimula creșterea economică și de a crea un număr semnificativ de locuri de muncă în UE, cu cunoștințe și competențe îmbunătățite.</w:t>
      </w:r>
    </w:p>
    <w:p w14:paraId="3F9F7ACB" w14:textId="6DB853DD" w:rsidR="00482E88" w:rsidRPr="00C05138" w:rsidRDefault="00482E88" w:rsidP="00482E88">
      <w:pPr>
        <w:rPr>
          <w:noProof/>
          <w:lang w:val="ro-RO"/>
        </w:rPr>
      </w:pPr>
      <w:r w:rsidRPr="00C05138">
        <w:rPr>
          <w:noProof/>
          <w:lang w:val="ro-RO"/>
        </w:rPr>
        <w:t xml:space="preserve">Prin reducerea dependenței de importurile de materii prime critice și prin reducerea presiunii asupra mediului și a riscurilor asociate extracției și consumului de resurse naturale, circularitatea poate stimula securitatea și autonomia strategică deschisă ale UE. </w:t>
      </w:r>
    </w:p>
    <w:p w14:paraId="1E031FED" w14:textId="77777777" w:rsidR="00482E88" w:rsidRPr="00C05138" w:rsidRDefault="00482E88" w:rsidP="00482E88">
      <w:pPr>
        <w:rPr>
          <w:noProof/>
          <w:lang w:val="ro-RO"/>
        </w:rPr>
      </w:pPr>
      <w:r w:rsidRPr="00C05138">
        <w:rPr>
          <w:i/>
          <w:noProof/>
          <w:lang w:val="ro-RO"/>
        </w:rPr>
        <w:t>...cu o nevoie tot mai mare de gestionare industrială a carbonului și de eliminare a dioxidului de carbon...</w:t>
      </w:r>
      <w:r w:rsidRPr="00C05138">
        <w:rPr>
          <w:noProof/>
          <w:lang w:val="ro-RO"/>
        </w:rPr>
        <w:t xml:space="preserve"> </w:t>
      </w:r>
    </w:p>
    <w:p w14:paraId="78EC7985" w14:textId="77777777" w:rsidR="00482E88" w:rsidRPr="00C05138" w:rsidRDefault="00482E88" w:rsidP="00482E88">
      <w:pPr>
        <w:rPr>
          <w:noProof/>
          <w:lang w:val="ro-RO"/>
        </w:rPr>
      </w:pPr>
      <w:r w:rsidRPr="00C05138">
        <w:rPr>
          <w:noProof/>
          <w:lang w:val="ro-RO"/>
        </w:rPr>
        <w:t>Decarbonizarea industrială va trebui, de asemenea, să abordeze „emisiile de proces” care nu au legătură cu arderea combustibililor. Pentru acestea, captarea dioxidului de carbon poate fi o soluție.</w:t>
      </w:r>
    </w:p>
    <w:p w14:paraId="22FEECE3" w14:textId="78C92DE3" w:rsidR="00482E88" w:rsidRPr="00C05138" w:rsidRDefault="00482E88" w:rsidP="00482E88">
      <w:pPr>
        <w:rPr>
          <w:noProof/>
          <w:lang w:val="ro-RO"/>
        </w:rPr>
      </w:pPr>
      <w:bookmarkStart w:id="47" w:name="_Hlk157086573"/>
      <w:r w:rsidRPr="00C05138">
        <w:rPr>
          <w:noProof/>
          <w:lang w:val="ro-RO"/>
        </w:rPr>
        <w:t>Obiectivul pentru 2040 implică o implementare mai timpurie a captării dioxidului de carbon (</w:t>
      </w:r>
      <w:r w:rsidRPr="00C05138">
        <w:rPr>
          <w:rStyle w:val="FootnoteReference"/>
          <w:noProof/>
          <w:lang w:val="ro-RO"/>
        </w:rPr>
        <w:footnoteReference w:id="31"/>
      </w:r>
      <w:r w:rsidRPr="00C05138">
        <w:rPr>
          <w:noProof/>
          <w:lang w:val="ro-RO"/>
        </w:rPr>
        <w:t>)</w:t>
      </w:r>
      <w:bookmarkEnd w:id="47"/>
      <w:r w:rsidRPr="00C05138">
        <w:rPr>
          <w:noProof/>
          <w:lang w:val="ro-RO"/>
        </w:rPr>
        <w:t xml:space="preserve">. O parte a acestuia va permite să se genereze eliminări industriale de dioxid de carbon care ar completa eliminările de dioxid de carbon cu ajutorul terenurilor, care sechestrează carbonul în biomasă și în soluri, pentru a contribui la reducerea cu 90 % a emisiilor nete de GES. </w:t>
      </w:r>
    </w:p>
    <w:p w14:paraId="28D286D3" w14:textId="3A78B2F8" w:rsidR="00482E88" w:rsidRPr="00C05138" w:rsidRDefault="00482E88" w:rsidP="00482E88">
      <w:pPr>
        <w:spacing w:after="240"/>
        <w:rPr>
          <w:noProof/>
          <w:color w:val="000000" w:themeColor="text1"/>
          <w:lang w:val="ro-RO"/>
        </w:rPr>
      </w:pPr>
      <w:r w:rsidRPr="00C05138">
        <w:rPr>
          <w:noProof/>
          <w:lang w:val="ro-RO"/>
        </w:rPr>
        <w:t>Acest lucru va necesita un portofoliu amplu de opțiuni, cum ar fi BioCCS (</w:t>
      </w:r>
      <w:r w:rsidRPr="00C05138">
        <w:rPr>
          <w:rStyle w:val="FootnoteReference"/>
          <w:noProof/>
          <w:lang w:val="ro-RO"/>
        </w:rPr>
        <w:footnoteReference w:id="32"/>
      </w:r>
      <w:r w:rsidRPr="00C05138">
        <w:rPr>
          <w:noProof/>
          <w:lang w:val="ro-RO"/>
        </w:rPr>
        <w:t>),</w:t>
      </w:r>
      <w:r w:rsidRPr="00C05138">
        <w:rPr>
          <w:noProof/>
          <w:sz w:val="16"/>
          <w:lang w:val="ro-RO"/>
        </w:rPr>
        <w:t xml:space="preserve"> </w:t>
      </w:r>
      <w:r w:rsidRPr="00C05138">
        <w:rPr>
          <w:noProof/>
          <w:lang w:val="ro-RO"/>
        </w:rPr>
        <w:t xml:space="preserve">DACCS (captarea directă a aerului cu stocarea dioxidului de carbon) și, eventual, alte abordări noi. </w:t>
      </w:r>
      <w:r w:rsidRPr="00C05138">
        <w:rPr>
          <w:noProof/>
          <w:color w:val="000000" w:themeColor="text1"/>
          <w:lang w:val="ro-RO"/>
        </w:rPr>
        <w:t xml:space="preserve">Tehnologiile de captare, utilizare și stocare a dioxidului de carbon (CUSC) permit decarbonizarea sectoarelor industriale fără soluții alternative de decarbonizare prin stocarea permanentă a dioxidului de carbon în subsol sau în produse și prin înlocuirea carbonului fosil utilizat în prezent ca materie primă în diferite industrii cu carbon nefosil. De asemenea, </w:t>
      </w:r>
      <w:r w:rsidRPr="00C05138">
        <w:rPr>
          <w:noProof/>
          <w:lang w:val="ro-RO"/>
        </w:rPr>
        <w:t>dezvoltarea lanțurilor valorice ale CO</w:t>
      </w:r>
      <w:r w:rsidRPr="00C05138">
        <w:rPr>
          <w:noProof/>
          <w:vertAlign w:val="subscript"/>
          <w:lang w:val="ro-RO"/>
        </w:rPr>
        <w:t>2</w:t>
      </w:r>
      <w:r w:rsidRPr="00C05138">
        <w:rPr>
          <w:noProof/>
          <w:lang w:val="ro-RO"/>
        </w:rPr>
        <w:t xml:space="preserve"> prin captarea și utilizarea dioxidului de carbon (</w:t>
      </w:r>
      <w:r w:rsidRPr="00C05138">
        <w:rPr>
          <w:i/>
          <w:iCs/>
          <w:noProof/>
          <w:lang w:val="ro-RO"/>
        </w:rPr>
        <w:t>carbon capture and use</w:t>
      </w:r>
      <w:r w:rsidRPr="00C05138">
        <w:rPr>
          <w:noProof/>
          <w:lang w:val="ro-RO"/>
        </w:rPr>
        <w:t xml:space="preserve">, CCU), biomaterialele favorabile naturii și reciclarea mecanică și chimică pot stimula dezvoltarea de materii prime nefosile pentru a înlocui combustibilii fosili din produsele pe bază de carbon. Captarea dioxidului de carbon va rămâne, de asemenea, importantă pentru realizarea obiectivului de zero emisii nete până în 2050 și, ulterior, a emisiilor negative absolute. Acest lucru necesită, printre altele, o evaluare continuă a celor mai bune modalități de a prevedea stimulente pentru eliminările de dioxid de carbon industriale în legislația UE existentă sau prin noi instrumente, fie că este vorba de Directiva EU ETS, care urmează să fie revizuită în 2026, sau de instrumente specifice. Pentru a valorifica oportunitățile economice ale acestor tehnologii, este în continuare esențial să se dezvolte lanțuri valorice economice complete pentru ele. Acesta este motivul pentru care Comisia prezintă, împreună cu prezenta comunicare, o comunicare specifică privind gestionarea industrială a carbonului, cu o strategie pentru </w:t>
      </w:r>
      <w:r w:rsidRPr="00C05138">
        <w:rPr>
          <w:noProof/>
          <w:color w:val="000000" w:themeColor="text1"/>
          <w:lang w:val="ro-RO"/>
        </w:rPr>
        <w:t>cadrul de politică, mai multe inovații și investiții pentru a debloca acest potențial</w:t>
      </w:r>
      <w:r w:rsidRPr="00C05138">
        <w:rPr>
          <w:noProof/>
          <w:lang w:val="ro-RO"/>
        </w:rPr>
        <w:t>.</w:t>
      </w:r>
      <w:r w:rsidRPr="00C05138">
        <w:rPr>
          <w:noProof/>
          <w:color w:val="000000" w:themeColor="text1"/>
          <w:lang w:val="ro-RO"/>
        </w:rPr>
        <w:t xml:space="preserve"> </w:t>
      </w:r>
      <w:r w:rsidRPr="00C05138">
        <w:rPr>
          <w:noProof/>
          <w:lang w:val="ro-RO"/>
        </w:rPr>
        <w:t xml:space="preserve">Vor fi necesare mai multe investiții publice pentru a intensifica inovarea și cercetarea pentru această industrie emergentă. </w:t>
      </w:r>
      <w:r w:rsidRPr="00C05138">
        <w:rPr>
          <w:noProof/>
          <w:color w:val="000000" w:themeColor="text1"/>
          <w:lang w:val="ro-RO"/>
        </w:rPr>
        <w:t>Eliminările de dioxid de carbon industriale nu înlocuiesc, ci completează eliminările naturale de dioxid de carbon, care rămân esențiale pentru atingerea obiectivului climatic.</w:t>
      </w:r>
    </w:p>
    <w:p w14:paraId="2F8B15A2" w14:textId="77777777" w:rsidR="00482E88" w:rsidRPr="00C05138" w:rsidRDefault="00482E88" w:rsidP="00482E88">
      <w:pPr>
        <w:rPr>
          <w:i/>
          <w:noProof/>
          <w:lang w:val="ro-RO"/>
        </w:rPr>
      </w:pPr>
      <w:r w:rsidRPr="00C05138">
        <w:rPr>
          <w:i/>
          <w:noProof/>
          <w:lang w:val="ro-RO"/>
        </w:rPr>
        <w:t>... în condiții de concurență echitabile la nivel mondial</w:t>
      </w:r>
    </w:p>
    <w:p w14:paraId="05C9BE8C" w14:textId="7BD81851" w:rsidR="00482E88" w:rsidRPr="00C05138" w:rsidRDefault="00482E88" w:rsidP="00482E88">
      <w:pPr>
        <w:rPr>
          <w:noProof/>
          <w:lang w:val="ro-RO"/>
        </w:rPr>
      </w:pPr>
      <w:r w:rsidRPr="00C05138">
        <w:rPr>
          <w:noProof/>
          <w:lang w:val="ro-RO"/>
        </w:rPr>
        <w:t>Tranziția va avea succes numai dacă economia Europei rămâne o economie suverană și rezilientă, care își diversifică sursele de aprovizionare și care dă dovadă de reziliență la întreruperile aprovizionării, la volatilitatea prețurilor și la alte șocuri. Pe măsură ce UE își reduce dependența de combustibilii fosili importați, trebuie luate decizii strategice pentru a nu crea noi vulnerabilități prin importurile sale de tehnologii „zero net” sau de produse de bază energetice cu emisii scăzute.</w:t>
      </w:r>
    </w:p>
    <w:p w14:paraId="279FBA68" w14:textId="09C46380" w:rsidR="00482E88" w:rsidRPr="00C05138" w:rsidRDefault="00482E88" w:rsidP="00482E88">
      <w:pPr>
        <w:rPr>
          <w:noProof/>
          <w:lang w:val="ro-RO"/>
        </w:rPr>
      </w:pPr>
      <w:r w:rsidRPr="00C05138">
        <w:rPr>
          <w:noProof/>
          <w:lang w:val="ro-RO"/>
        </w:rPr>
        <w:t xml:space="preserve">Pe lângă eforturile de a crea lanțuri valorice pentru tehnologii-cheie pe propriul nostru continent, UE trebuie să abordeze în mod strategic piețele mondiale, pentru a asigura accesul la produse de bază strategice, inclusiv la materii prime critice, la prețuri accesibile. UE ar trebui, de asemenea, să își valorifice cea mai mare forță, și anume piața unică, prin instrumente de achiziționare în comun și permițând actorilor industriali să se implice în diferite modele de cooperare pentru a negocia în comun condiții mai bune, inclusiv prețurile de la producătorii mondiali, cu garanții importante pentru încurajarea transferului de beneficii către utilizatorii finali și implicarea întreprinderilor mai mici. În paralel, UE ar trebui să asigure cooperarea și comerțul la nivel mondial pentru a sprijini durabilitatea. UE ar trebui să încurajeze elaborarea de standarde internaționale pe scena mondială, pe baza standardelor UE utilizate ca sursă de bune practici. </w:t>
      </w:r>
    </w:p>
    <w:p w14:paraId="35BEEE71" w14:textId="376BFB46" w:rsidR="00482E88" w:rsidRPr="00C05138" w:rsidRDefault="00482E88" w:rsidP="00482E88">
      <w:pPr>
        <w:rPr>
          <w:noProof/>
          <w:lang w:val="ro-RO"/>
        </w:rPr>
      </w:pPr>
      <w:r w:rsidRPr="00C05138">
        <w:rPr>
          <w:noProof/>
          <w:lang w:val="ro-RO"/>
        </w:rPr>
        <w:t xml:space="preserve">Întrucât UE este lider în decarbonizarea industriei sale, sunt necesare măsuri suplimentare pentru a asigura competitivitatea exporturilor europene pe piețele mondiale. Se creează condiții de concurență cu adevărat echitabile pentru întreprinderile din Europa și de la nivel mondial atunci când alte țări își adoptă propriile tarife pentru emisiile de carbon, ceea ce ar contribui, de asemenea, la creșterea nivelului de ambiție în materie de climă la nivel mondial. </w:t>
      </w:r>
    </w:p>
    <w:p w14:paraId="78CE238A" w14:textId="77777777" w:rsidR="00482E88" w:rsidRPr="00C05138" w:rsidRDefault="00482E88" w:rsidP="00482E88">
      <w:pPr>
        <w:pStyle w:val="Heading2"/>
        <w:ind w:left="578" w:hanging="578"/>
        <w:rPr>
          <w:noProof/>
          <w:lang w:val="ro-RO"/>
        </w:rPr>
      </w:pPr>
      <w:bookmarkStart w:id="48" w:name="_Toc160178633"/>
      <w:bookmarkStart w:id="49" w:name="_Toc155286927"/>
      <w:r w:rsidRPr="00C05138">
        <w:rPr>
          <w:noProof/>
          <w:lang w:val="ro-RO"/>
        </w:rPr>
        <w:t>Decarbonizarea transporturilor și îmbunătățirea mobilității</w:t>
      </w:r>
      <w:bookmarkEnd w:id="48"/>
    </w:p>
    <w:p w14:paraId="173651B5" w14:textId="264B660A" w:rsidR="00482E88" w:rsidRPr="00C05138" w:rsidRDefault="00482E88" w:rsidP="00482E88">
      <w:pPr>
        <w:rPr>
          <w:noProof/>
          <w:lang w:val="ro-RO"/>
        </w:rPr>
      </w:pPr>
      <w:r w:rsidRPr="00C05138">
        <w:rPr>
          <w:noProof/>
          <w:lang w:val="ro-RO"/>
        </w:rPr>
        <w:t xml:space="preserve">În sectorul transporturilor, punerea în aplicare a </w:t>
      </w:r>
      <w:r w:rsidRPr="00C05138">
        <w:rPr>
          <w:noProof/>
          <w:color w:val="000000" w:themeColor="text1"/>
          <w:lang w:val="ro-RO"/>
        </w:rPr>
        <w:t>măsurilor pachetului legislativ „Pregătiți pentru 55”, care combină soluții tehnologice cu stabilirea prețului carbonului, alături de un sistem de transport multimodal eficient și interconectat, atât pentru pasageri, cât și pentru mărfuri, va permite</w:t>
      </w:r>
      <w:r w:rsidRPr="00C05138">
        <w:rPr>
          <w:noProof/>
          <w:lang w:val="ro-RO"/>
        </w:rPr>
        <w:t xml:space="preserve"> </w:t>
      </w:r>
      <w:r w:rsidRPr="00C05138">
        <w:rPr>
          <w:noProof/>
          <w:color w:val="000000" w:themeColor="text1"/>
          <w:lang w:val="ro-RO"/>
        </w:rPr>
        <w:t>o scădere a emisiilor cu aproape 80 % în 2040 față de 2015</w:t>
      </w:r>
      <w:r w:rsidRPr="00C05138">
        <w:rPr>
          <w:noProof/>
          <w:lang w:val="ro-RO"/>
        </w:rPr>
        <w:t>.</w:t>
      </w:r>
    </w:p>
    <w:p w14:paraId="4EB2992D" w14:textId="045FFBDF" w:rsidR="00B1019F" w:rsidRPr="00C05138" w:rsidRDefault="00B1019F" w:rsidP="003424A8">
      <w:pPr>
        <w:rPr>
          <w:noProof/>
          <w:lang w:val="ro-RO"/>
        </w:rPr>
      </w:pPr>
      <w:r w:rsidRPr="00C05138">
        <w:rPr>
          <w:noProof/>
          <w:lang w:val="ro-RO"/>
        </w:rPr>
        <w:t>Decarbonizarea transporturilor într-un mod care să asigure în continuare accesibilitate și prețuri abordabile va necesita investiții semnificative atât în active noi (vehicule, aeronave, nave și echipamente feroviare cu emisii zero și cu emisii scăzute), cât și în infrastructura de realimentare și reîncărcare. În același timp, costurile combustibililor din surse regenerabile și cu emisii scăzute de dioxid de carbon nu ar trebui subestimate și ar trebui să rămână un factor-cheie pentru competitivitatea operatorilor de transport, în special în sectorul maritim și în cel al aviației. Asigurarea faptului că o cantitate suficientă de combustibili alternativi durabili este pusă la dispoziție prin măsuri specifice, inclusiv prin măsuri de reglementare, acolo unde este necesar, este esențială pentru atingerea obiectivului ambițios stabilit într-un mod eficient din punctul de vedere al costurilor. În ceea ce privește alte sectoare, nevoile de investiții asociate în domeniul transporturilor merită a fi discutate cu statele membre, cu Banca Europeană de Investiții și cu instituțiile financiare din perspectiva modului în care instrumentele de finanțare inovatoare ale UE pot reduce nivelul de risc al investițiilor strategice decisive într-un mod neutru din punct de vedere tehnologic pentru economia europeană.</w:t>
      </w:r>
    </w:p>
    <w:p w14:paraId="19E947E0" w14:textId="68994FA9" w:rsidR="00482E88" w:rsidRPr="00C05138" w:rsidRDefault="00482E88" w:rsidP="00482E88">
      <w:pPr>
        <w:rPr>
          <w:noProof/>
          <w:lang w:val="ro-RO"/>
        </w:rPr>
      </w:pPr>
      <w:r w:rsidRPr="00C05138">
        <w:rPr>
          <w:noProof/>
          <w:color w:val="000000" w:themeColor="text1"/>
          <w:lang w:val="ro-RO"/>
        </w:rPr>
        <w:t>Emisiile estimate variază foarte mult de la un mod de transport la altul. Reducerea emisiilor de CO</w:t>
      </w:r>
      <w:r w:rsidRPr="00C05138">
        <w:rPr>
          <w:noProof/>
          <w:color w:val="000000" w:themeColor="text1"/>
          <w:vertAlign w:val="subscript"/>
          <w:lang w:val="ro-RO"/>
        </w:rPr>
        <w:t>2</w:t>
      </w:r>
      <w:r w:rsidRPr="00C05138">
        <w:rPr>
          <w:noProof/>
          <w:color w:val="000000" w:themeColor="text1"/>
          <w:lang w:val="ro-RO"/>
        </w:rPr>
        <w:t xml:space="preserve"> generate de transportul rutier se va accelera în timp și va avea ca rezultat îmbunătățirea semnificativă</w:t>
      </w:r>
      <w:r w:rsidRPr="00C05138">
        <w:rPr>
          <w:noProof/>
          <w:lang w:val="ro-RO"/>
        </w:rPr>
        <w:t xml:space="preserve"> a calității aerului în orașe prin </w:t>
      </w:r>
      <w:r w:rsidRPr="00C05138">
        <w:rPr>
          <w:noProof/>
          <w:color w:val="000000" w:themeColor="text1"/>
          <w:lang w:val="ro-RO"/>
        </w:rPr>
        <w:t>introducerea de vehicule cu emisii zero, determinată de standardele privind emisiile de CO</w:t>
      </w:r>
      <w:r w:rsidRPr="00C05138">
        <w:rPr>
          <w:noProof/>
          <w:color w:val="000000" w:themeColor="text1"/>
          <w:vertAlign w:val="subscript"/>
          <w:lang w:val="ro-RO"/>
        </w:rPr>
        <w:t>2</w:t>
      </w:r>
      <w:r w:rsidRPr="00C05138">
        <w:rPr>
          <w:noProof/>
          <w:color w:val="000000" w:themeColor="text1"/>
          <w:lang w:val="ro-RO"/>
        </w:rPr>
        <w:t>, care va determina mai creșterea electrificării sectorului de peste patru ori în perioada 2031-2040</w:t>
      </w:r>
      <w:r w:rsidRPr="00C05138">
        <w:rPr>
          <w:noProof/>
          <w:lang w:val="ro-RO"/>
        </w:rPr>
        <w:t>.</w:t>
      </w:r>
      <w:r w:rsidRPr="00C05138">
        <w:rPr>
          <w:noProof/>
          <w:color w:val="000000" w:themeColor="text1"/>
          <w:lang w:val="ro-RO"/>
        </w:rPr>
        <w:t xml:space="preserve"> Se preconizează că ponderea vehiculelor electrice pe bază de baterii și a altor vehicule cu emisii zero va crește la peste 60 % pentru autoturisme, la peste 40 % pentru camionete și la aproape 40 % pentru vehiculele grele (</w:t>
      </w:r>
      <w:r w:rsidRPr="00C05138">
        <w:rPr>
          <w:rStyle w:val="FootnoteReference"/>
          <w:noProof/>
          <w:color w:val="000000" w:themeColor="text1"/>
          <w:lang w:val="ro-RO"/>
        </w:rPr>
        <w:footnoteReference w:id="33"/>
      </w:r>
      <w:r w:rsidRPr="00C05138">
        <w:rPr>
          <w:noProof/>
          <w:color w:val="000000" w:themeColor="text1"/>
          <w:lang w:val="ro-RO"/>
        </w:rPr>
        <w:t xml:space="preserve">) până în 2040. Această transformare reprezintă o </w:t>
      </w:r>
      <w:r w:rsidRPr="00C05138">
        <w:rPr>
          <w:noProof/>
          <w:lang w:val="ro-RO"/>
        </w:rPr>
        <w:t>oportunitate de politică industrială de sine stătătoare pentru un sector vital pentru economia UE, prin investiții în infrastructură și prin integrarea deplină a sectorului în rețeaua de energie electrică, dezvoltarea lanțurilor de aprovizionare cu materii prime critice și dezvoltarea unei forțe de muncă formate din lucrători calificați. Pe lângă standardele privind emisiile de CO</w:t>
      </w:r>
      <w:r w:rsidRPr="00C05138">
        <w:rPr>
          <w:noProof/>
          <w:vertAlign w:val="subscript"/>
          <w:lang w:val="ro-RO"/>
        </w:rPr>
        <w:t>2</w:t>
      </w:r>
      <w:r w:rsidRPr="00C05138">
        <w:rPr>
          <w:noProof/>
          <w:lang w:val="ro-RO"/>
        </w:rPr>
        <w:t>, stabilirea prețului carbonului și politicile actualizate privind combustibilii vor permite decarbonizarea stocului de vehicule existente aflate în circulație care constituie parcul de vehicule vechi.</w:t>
      </w:r>
    </w:p>
    <w:p w14:paraId="69D750F7" w14:textId="16240C68" w:rsidR="001B6F27" w:rsidRPr="00C05138" w:rsidRDefault="00482E88" w:rsidP="001B6F27">
      <w:pPr>
        <w:rPr>
          <w:noProof/>
          <w:color w:val="000000" w:themeColor="text1"/>
          <w:lang w:val="ro-RO"/>
        </w:rPr>
      </w:pPr>
      <w:r w:rsidRPr="00C05138">
        <w:rPr>
          <w:noProof/>
          <w:color w:val="000000" w:themeColor="text1"/>
          <w:lang w:val="ro-RO"/>
        </w:rPr>
        <w:t>Emisiile generate de transportul maritim și de transportul aerian vor fi reduse prin efectele combinate ale măsurilor pachetului legislativ „Pregătiți pentru 55”. Aceasta include realizarea obiectivelor stabilite în FuelEU în domeniul maritim (</w:t>
      </w:r>
      <w:r w:rsidRPr="00C05138">
        <w:rPr>
          <w:rStyle w:val="FootnoteReference"/>
          <w:noProof/>
          <w:color w:val="000000" w:themeColor="text1"/>
          <w:lang w:val="ro-RO"/>
        </w:rPr>
        <w:footnoteReference w:id="34"/>
      </w:r>
      <w:r w:rsidRPr="00C05138">
        <w:rPr>
          <w:noProof/>
          <w:color w:val="000000" w:themeColor="text1"/>
          <w:lang w:val="ro-RO"/>
        </w:rPr>
        <w:t>) și ReFuelEU în domeniul aviației (</w:t>
      </w:r>
      <w:r w:rsidRPr="00C05138">
        <w:rPr>
          <w:rStyle w:val="FootnoteReference"/>
          <w:rFonts w:cstheme="minorBidi"/>
          <w:noProof/>
          <w:lang w:val="ro-RO"/>
        </w:rPr>
        <w:footnoteReference w:id="35"/>
      </w:r>
      <w:r w:rsidRPr="00C05138">
        <w:rPr>
          <w:noProof/>
          <w:color w:val="000000" w:themeColor="text1"/>
          <w:lang w:val="ro-RO"/>
        </w:rPr>
        <w:t>), stimulând utilizarea combustibililor din surse regenerabile și cu emisii scăzute de dioxid de carbon și a aeronavelor și navelor cu emisii zero</w:t>
      </w:r>
      <w:r w:rsidRPr="00C05138">
        <w:rPr>
          <w:noProof/>
          <w:lang w:val="ro-RO"/>
        </w:rPr>
        <w:t>. Prin intermediul EU ETS, UE este prima jurisdicție care stabilește un preț explicit al carbonului pentru emisiile din aceste sectoare. Acest lucru va stimula și va genera venituri pentru accelerarea adoptării la scară largă a tehnologiilor cu emisii zero, a combustibililor din surse regenerabile și cu emisii scăzute de dioxid de carbon și a soluțiilor de eficiență energetică în sectorul aviației și al transportului maritim.</w:t>
      </w:r>
      <w:r w:rsidRPr="00C05138">
        <w:rPr>
          <w:noProof/>
          <w:color w:val="000000" w:themeColor="text1"/>
          <w:lang w:val="ro-RO"/>
        </w:rPr>
        <w:t xml:space="preserve"> De exemplu, </w:t>
      </w:r>
      <w:r w:rsidRPr="00C05138">
        <w:rPr>
          <w:noProof/>
          <w:lang w:val="ro-RO"/>
        </w:rPr>
        <w:t>Comisia va organiza cereri de propuneri care vizează subiecte specifice pentru sectorul maritim în cadrul Fondului pentru inovare, astfel cum s-a anunțat deja.</w:t>
      </w:r>
    </w:p>
    <w:p w14:paraId="16F28970" w14:textId="77777777" w:rsidR="00482E88" w:rsidRPr="00C05138" w:rsidRDefault="00482E88" w:rsidP="00482E88">
      <w:pPr>
        <w:rPr>
          <w:noProof/>
          <w:lang w:val="ro-RO"/>
        </w:rPr>
      </w:pPr>
      <w:r w:rsidRPr="00C05138">
        <w:rPr>
          <w:noProof/>
          <w:lang w:val="ro-RO"/>
        </w:rPr>
        <w:t>Astfel cum s-a convenit în 2023, în 2026, Comisia va evalua o extindere a stabilirii prețului carbonului pentru sectorul aviației și cel maritim (</w:t>
      </w:r>
      <w:r w:rsidRPr="00C05138">
        <w:rPr>
          <w:rStyle w:val="FootnoteReference"/>
          <w:noProof/>
          <w:lang w:val="ro-RO"/>
        </w:rPr>
        <w:footnoteReference w:id="36"/>
      </w:r>
      <w:r w:rsidRPr="00C05138">
        <w:rPr>
          <w:noProof/>
          <w:lang w:val="ro-RO"/>
        </w:rPr>
        <w:t>). Abordarea barierelor din calea utilizării combustibililor alternativi cu emisii scăzute și cu emisii zero (inclusiv a e-combustibililor și a biocarburanților avansați) în sectorul aviației și în cel maritim și acordarea accesului prioritar la acești combustibili în raport cu sectoarele care au acces la alte soluții de decarbonizare, cum ar fi electrificarea directă, va permite acestor sectoare să contribuie la obiectivele climatice ale UE și la agenda privind clima la nivel mondial (</w:t>
      </w:r>
      <w:r w:rsidRPr="00C05138">
        <w:rPr>
          <w:rStyle w:val="FootnoteReference"/>
          <w:noProof/>
          <w:lang w:val="ro-RO"/>
        </w:rPr>
        <w:footnoteReference w:id="37"/>
      </w:r>
      <w:r w:rsidRPr="00C05138">
        <w:rPr>
          <w:noProof/>
          <w:lang w:val="ro-RO"/>
        </w:rPr>
        <w:t>). În acest sens, ar trebui luate în considerare în mod corespunzător toate efectele aviației asupra climei în conformitate cu cele mai recente descoperiri științifice, urmând să se instituie un sistem prin care companiile aeriene să monitorizeze, să raporteze și să verifice alte emisii decât cele de CO</w:t>
      </w:r>
      <w:r w:rsidRPr="00C05138">
        <w:rPr>
          <w:noProof/>
          <w:vertAlign w:val="subscript"/>
          <w:lang w:val="ro-RO"/>
        </w:rPr>
        <w:t>2</w:t>
      </w:r>
      <w:r w:rsidRPr="00C05138">
        <w:rPr>
          <w:noProof/>
          <w:lang w:val="ro-RO"/>
        </w:rPr>
        <w:t xml:space="preserve"> și efectele aviației asupra climei. </w:t>
      </w:r>
    </w:p>
    <w:p w14:paraId="718F4B80" w14:textId="7FFCB2D1" w:rsidR="00482E88" w:rsidRPr="00C05138" w:rsidRDefault="00482E88" w:rsidP="00482E88">
      <w:pPr>
        <w:rPr>
          <w:noProof/>
          <w:lang w:val="ro-RO"/>
        </w:rPr>
      </w:pPr>
      <w:r w:rsidRPr="00C05138">
        <w:rPr>
          <w:noProof/>
          <w:color w:val="000000" w:themeColor="text1"/>
          <w:lang w:val="ro-RO"/>
        </w:rPr>
        <w:t>Vor fi necesare investiții semnificative în sistemul energetic pentru a înlocui combustibilii fosili cu combustibili din surse regenerabile și cu emisii scăzute de dioxid de carbon necesari pentru alimentarea sectorului transporturilor. Asigurarea faptului că o materie primă suficientă de combustibili alternativi durabili este pusă la dispoziție prin măsuri specifice este esențială pentru atingerea obiectivului ambițios stabilit.</w:t>
      </w:r>
    </w:p>
    <w:p w14:paraId="21506816" w14:textId="673C8276" w:rsidR="00482E88" w:rsidRPr="00C05138" w:rsidRDefault="00482E88" w:rsidP="00482E88">
      <w:pPr>
        <w:rPr>
          <w:noProof/>
          <w:lang w:val="ro-RO"/>
        </w:rPr>
      </w:pPr>
      <w:r w:rsidRPr="00C05138">
        <w:rPr>
          <w:noProof/>
          <w:color w:val="000000" w:themeColor="text1"/>
          <w:lang w:val="ro-RO"/>
        </w:rPr>
        <w:t xml:space="preserve">Prin urmare, utilizarea sporită a transportului feroviar datorită utilizării sporite a capacității infrastructurii feroviare și existența unui sistem de transport multimodal eficient și interconectat, atât pentru pasageri, cât și pentru mărfuri, sprijinit de rețeaua transeuropeană de transport multimodală pot contribui în mod semnificativ la reducerea emisiilor globale. Implementarea </w:t>
      </w:r>
      <w:r w:rsidRPr="00C05138">
        <w:rPr>
          <w:noProof/>
          <w:lang w:val="ro-RO"/>
        </w:rPr>
        <w:t xml:space="preserve">diferitelor modele bazate pe mobilitatea ca serviciu, multimodalitate, soluții digitale și logistică verde optimizată (de exemplu, pentru transportul de marfă) va moderniza și decarboniza sectorul transporturilor. Promovarea </w:t>
      </w:r>
      <w:r w:rsidRPr="00C05138">
        <w:rPr>
          <w:noProof/>
          <w:color w:val="000000" w:themeColor="text1"/>
          <w:lang w:val="ro-RO"/>
        </w:rPr>
        <w:t xml:space="preserve">mobilității urbane durabile și la prețuri accesibile, inclusiv printr-o planificare urbană adecvată, va fi importantă pentru </w:t>
      </w:r>
      <w:r w:rsidRPr="00C05138">
        <w:rPr>
          <w:noProof/>
          <w:lang w:val="ro-RO"/>
        </w:rPr>
        <w:t>a permite mai mult transportul public și mobilitatea activă (de exemplu, mersul pe jos și mersul cu bicicleta) pentru călătoriile pe distanțe scurte, cu beneficii atât pentru climă, cât și pentru sănătatea oamenilor.</w:t>
      </w:r>
    </w:p>
    <w:p w14:paraId="24B5CDC4" w14:textId="77777777" w:rsidR="00482E88" w:rsidRPr="00C05138" w:rsidRDefault="00482E88" w:rsidP="00482E88">
      <w:pPr>
        <w:pStyle w:val="Heading2"/>
        <w:rPr>
          <w:noProof/>
          <w:lang w:val="ro-RO"/>
        </w:rPr>
      </w:pPr>
      <w:bookmarkStart w:id="50" w:name="_Toc160178634"/>
      <w:r w:rsidRPr="00C05138">
        <w:rPr>
          <w:noProof/>
          <w:lang w:val="ro-RO"/>
        </w:rPr>
        <w:t>Terenuri, alimente și bioeconomie</w:t>
      </w:r>
      <w:bookmarkEnd w:id="50"/>
    </w:p>
    <w:p w14:paraId="6DA38D66" w14:textId="77777777" w:rsidR="00482E88" w:rsidRPr="00C05138" w:rsidRDefault="00482E88" w:rsidP="00482E88">
      <w:pPr>
        <w:rPr>
          <w:i/>
          <w:noProof/>
          <w:lang w:val="ro-RO"/>
        </w:rPr>
      </w:pPr>
      <w:r w:rsidRPr="00C05138">
        <w:rPr>
          <w:i/>
          <w:noProof/>
          <w:lang w:val="ro-RO"/>
        </w:rPr>
        <w:t>Asigurarea unei producții alimentare neutre din punct de vedere climatic și consolidarea sectoarelor bioeconomiei</w:t>
      </w:r>
    </w:p>
    <w:p w14:paraId="367480E9" w14:textId="60A6503F" w:rsidR="00482E88" w:rsidRPr="00C05138" w:rsidRDefault="00482E88" w:rsidP="00482E88">
      <w:pPr>
        <w:rPr>
          <w:noProof/>
          <w:lang w:val="ro-RO"/>
        </w:rPr>
      </w:pPr>
      <w:r w:rsidRPr="00C05138">
        <w:rPr>
          <w:noProof/>
          <w:lang w:val="ro-RO"/>
        </w:rPr>
        <w:t xml:space="preserve">Asigurarea unei producții alimentare suficiente, la prețuri accesibile și de calitate în Europa este de importanță strategică. În același timp, fermierii și silvicultorii europeni oferă multiple servicii vitale pentru societatea, mediul și economia UE. Aceștia asigură producția de alimente și biomateriale primare, se află în centrul bioeconomiei și al lanțurilor valorice ale sistemului alimentar și au un rol vital în garantarea securității alimentare. În calitate de gestionari ai terenurilor, ei sunt, de asemenea, esențiali pentru a asigura servicii ecosistemice, cum ar fi protecția și refacerea biodiversității, eliminarea dioxidului de carbon sau adaptarea la schimbările climatice. </w:t>
      </w:r>
      <w:bookmarkStart w:id="51" w:name="_Hlk157118445"/>
    </w:p>
    <w:p w14:paraId="2E82320D" w14:textId="7A97B88F" w:rsidR="00482E88" w:rsidRPr="00C05138" w:rsidRDefault="00482E88" w:rsidP="00482E88">
      <w:pPr>
        <w:spacing w:before="100" w:beforeAutospacing="1" w:after="100" w:afterAutospacing="1"/>
        <w:rPr>
          <w:noProof/>
          <w:sz w:val="22"/>
          <w:lang w:val="ro-RO"/>
        </w:rPr>
      </w:pPr>
      <w:r w:rsidRPr="00C05138">
        <w:rPr>
          <w:noProof/>
          <w:lang w:val="ro-RO"/>
        </w:rPr>
        <w:t>La fel ca toate celelalte sectoare, activitățile agricole joacă un rol important în realizarea obiectivului climatic ambițios al UE pentru 2040,</w:t>
      </w:r>
      <w:r w:rsidRPr="00C05138">
        <w:rPr>
          <w:noProof/>
          <w:color w:val="FF0000"/>
          <w:lang w:val="ro-RO"/>
        </w:rPr>
        <w:t xml:space="preserve"> </w:t>
      </w:r>
      <w:r w:rsidRPr="00C05138">
        <w:rPr>
          <w:noProof/>
          <w:lang w:val="ro-RO"/>
        </w:rPr>
        <w:t>contribuind în același timp la suveranitatea alimentară a UE. Politicile adecvate, cum ar fi creșterea disponibilității alternativelor cu emisii scăzute de dioxid de carbon (</w:t>
      </w:r>
      <w:r w:rsidRPr="00C05138">
        <w:rPr>
          <w:rStyle w:val="FootnoteReference"/>
          <w:noProof/>
          <w:lang w:val="ro-RO"/>
        </w:rPr>
        <w:footnoteReference w:id="38"/>
      </w:r>
      <w:r w:rsidRPr="00C05138">
        <w:rPr>
          <w:noProof/>
          <w:lang w:val="ro-RO"/>
        </w:rPr>
        <w:t>) și a aplicațiilor circulare, cum ar fi RENURE (</w:t>
      </w:r>
      <w:r w:rsidRPr="00C05138">
        <w:rPr>
          <w:rStyle w:val="FootnoteReference"/>
          <w:noProof/>
          <w:lang w:val="ro-RO"/>
        </w:rPr>
        <w:footnoteReference w:id="39"/>
      </w:r>
      <w:r w:rsidRPr="00C05138">
        <w:rPr>
          <w:noProof/>
          <w:lang w:val="ro-RO"/>
        </w:rPr>
        <w:t>), cu sprijinul adecvat pentru a aborda compromisurile și a reduce costurile, demonstrează potențialul de a contribui la soluții. Acesta este motivul pentru care Comisia a ales să instituie un dialog strategic privind viitorul agriculturii UE, printre altele, pentru a modela în comun tranziția și s-a angajat să intensifice dialogul și cu proprietarii de păduri și cu alte părți interesate din domeniul forestier. Acest dialog va aborda aspecte precum mijloacele de subzistență viabile, reducerea sarcinilor și asigurarea unei producții alimentare competitive și durabile în viitor. Având în vedere că se numără printre cei mai eficienți producători de alimente la nivel mondial în ceea ce privește emisiile de gaze cu efect de seră (GES), UE ar trebui, de asemenea, să depună eforturi pentru a preveni concurența neloială și pentru a asigura condiții de concurență echitabile cu producătorii din afara UE, în special prin acorduri comerciale.</w:t>
      </w:r>
    </w:p>
    <w:p w14:paraId="53C6FA88" w14:textId="77777777" w:rsidR="00482E88" w:rsidRPr="00C05138" w:rsidRDefault="00482E88" w:rsidP="00482E88">
      <w:pPr>
        <w:rPr>
          <w:noProof/>
          <w:lang w:val="ro-RO"/>
        </w:rPr>
      </w:pPr>
      <w:r w:rsidRPr="00C05138">
        <w:rPr>
          <w:noProof/>
          <w:lang w:val="ro-RO"/>
        </w:rPr>
        <w:t>Biomaterialele obținute în mod durabil pot nu numai să stocheze dioxid de carbon pe perioade lungi de timp (de exemplu, dacă lemnul este utilizat ca material de construcție), ci și să înlocuiască materialele pe bază de combustibili fosili și, astfel, sectoarele combinate ale terenurilor contribuie la decarbonizarea altor sectoare. O gestionare mai eficientă din punctul de vedere al utilizării resurselor și mai favorabilă biodiversității în sectorul combinat al terenurilor va spori, de asemenea, reziliența acestuia la impactul schimbărilor climatice, va îmbunătăți fertilitatea solului și va proteja și reface natura, aducând soluții reciproc avantajoase pentru securitatea alimentară și productivitatea terenurilor.</w:t>
      </w:r>
      <w:r w:rsidRPr="00C05138">
        <w:rPr>
          <w:noProof/>
          <w:sz w:val="23"/>
          <w:lang w:val="ro-RO"/>
        </w:rPr>
        <w:t xml:space="preserve"> </w:t>
      </w:r>
      <w:r w:rsidRPr="00C05138">
        <w:rPr>
          <w:noProof/>
          <w:lang w:val="ro-RO"/>
        </w:rPr>
        <w:t>De asemenea, pentru sectorul pescuitului și acvaculturii, în februarie 2023, Comisia a propus măsuri privind realizarea neutralității climatice a acestuia până în 2050 prin îmbunătățirea eficienței consumului de combustibil și trecerea la surse regenerabile de energie, cu emisii scăzute de dioxid de carbon (</w:t>
      </w:r>
      <w:r w:rsidRPr="00C05138">
        <w:rPr>
          <w:rStyle w:val="FootnoteReference"/>
          <w:noProof/>
          <w:lang w:val="ro-RO"/>
        </w:rPr>
        <w:footnoteReference w:id="40"/>
      </w:r>
      <w:r w:rsidRPr="00C05138">
        <w:rPr>
          <w:noProof/>
          <w:lang w:val="ro-RO"/>
        </w:rPr>
        <w:t>).</w:t>
      </w:r>
    </w:p>
    <w:bookmarkEnd w:id="51"/>
    <w:p w14:paraId="13861D22" w14:textId="77777777" w:rsidR="00482E88" w:rsidRPr="00C05138" w:rsidRDefault="00482E88" w:rsidP="00482E88">
      <w:pPr>
        <w:rPr>
          <w:noProof/>
          <w:sz w:val="23"/>
          <w:lang w:val="ro-RO"/>
        </w:rPr>
      </w:pPr>
      <w:r w:rsidRPr="00C05138">
        <w:rPr>
          <w:noProof/>
          <w:lang w:val="ro-RO"/>
        </w:rPr>
        <w:t>Acestea fiind spuse, politicile care abordează sectorul alimentar într-o manieră holistică sunt mai eficiente decât analizarea izolată a sectoarelor agriculturii și pescuitului, deoarece multe decizii cu un mare potențial de atenuare sunt luate în afara „porții fermei”: compoziția chimică a îngrășămintelor, utilizarea circulară a deșeurilor alimentare (reziduuri de culturi, dejecții animaliere, subproduse pescărești), reducerea deșeurilor alimentare în etapele de producție și de vânzare cu amănuntul, alegerea ingredientelor pentru produsele alimentare fabricate și alegerile alimentare ale consumatorilor. O abordare la nivelul întregului sector alimentar este, de asemenea, cea mai bună modalitate de a oferi fermierilor perspectiva unor venituri solide și echitabile din produsele lor.</w:t>
      </w:r>
      <w:r w:rsidRPr="00C05138">
        <w:rPr>
          <w:noProof/>
          <w:color w:val="000000" w:themeColor="text1"/>
          <w:sz w:val="27"/>
          <w:lang w:val="ro-RO"/>
        </w:rPr>
        <w:t xml:space="preserve"> </w:t>
      </w:r>
    </w:p>
    <w:p w14:paraId="1B186025" w14:textId="2D5D90A6" w:rsidR="00482E88" w:rsidRPr="00C05138" w:rsidRDefault="00482E88" w:rsidP="00AF6F15">
      <w:pPr>
        <w:spacing w:before="100" w:beforeAutospacing="1" w:after="100" w:afterAutospacing="1"/>
        <w:rPr>
          <w:noProof/>
          <w:sz w:val="22"/>
          <w:lang w:val="ro-RO"/>
        </w:rPr>
      </w:pPr>
      <w:r w:rsidRPr="00C05138">
        <w:rPr>
          <w:noProof/>
          <w:lang w:val="ro-RO"/>
        </w:rPr>
        <w:t>Industria alimentară joacă un rol important în stimularea deciziilor producătorilor și consumatorilor. Aceasta ar trebui să primească stimulentele adecvate pentru a achiziționa ingrediente alimentare mai durabile și pentru a contribui la un mediu alimentar care să facă din regimurile alimentare mai sănătoase o alegere accesibilă și la prețuri abordabile pentru consumatori (</w:t>
      </w:r>
      <w:r w:rsidRPr="00C05138">
        <w:rPr>
          <w:rStyle w:val="FootnoteReference"/>
          <w:noProof/>
          <w:lang w:val="ro-RO"/>
        </w:rPr>
        <w:footnoteReference w:id="41"/>
      </w:r>
      <w:r w:rsidRPr="00C05138">
        <w:rPr>
          <w:noProof/>
          <w:lang w:val="ro-RO"/>
        </w:rPr>
        <w:t>). Politica agricolă comună oferă instrumente esențiale pentru a sprijini tranziția sectorului agricol către noi practici și modele de afaceri durabile. În special, diferitele ferme și fermele familiale, precum și cele care combină producția vegetală și animală reprezintă coloana vertebrală a agriculturii UE și ar trebui să fie însoțite în tranziția către un sector combinat al terenurilor neutru din punct de vedere climatic, ținând seama de dimensiunea sa socială, de mediu și economică.</w:t>
      </w:r>
    </w:p>
    <w:p w14:paraId="112D272A" w14:textId="53F07F93" w:rsidR="00482E88" w:rsidRPr="00C05138" w:rsidRDefault="00482E88" w:rsidP="00482E88">
      <w:pPr>
        <w:spacing w:line="257" w:lineRule="auto"/>
        <w:rPr>
          <w:rFonts w:eastAsiaTheme="minorEastAsia"/>
          <w:noProof/>
          <w:lang w:val="ro-RO"/>
        </w:rPr>
      </w:pPr>
      <w:r w:rsidRPr="00C05138">
        <w:rPr>
          <w:noProof/>
          <w:lang w:val="ro-RO"/>
        </w:rPr>
        <w:t xml:space="preserve">În plus, este esențial să se creeze noi oportunități de afaceri pentru un lanț valoric agroalimentar durabil și să se mobilizeze fonduri private în sinergie cu finanțarea publică. Acest lucru ar putea fi realizat cu noi mecanisme bazate pe piață pentru a stimula producția de alimente durabile, deoarece acest lucru ar putea avea ca rezultat atât un preț mai bun al alimentelor pentru a reflecta durabilitatea, cât și o recompensă echitabilă pentru fermieri și o nouă sursă de finanțare pentru investiții. Numai coordonarea fermă cu toți actorii industriali din întregul lanț valoric alimentar și concentrarea pe practici comerciale echitabile de-a lungul lanțului respectiv pot debloca stimulentele adecvate pentru practici agricole durabile, pot asigura un venit decent și durabil pentru fermieri și pot genera venituri pentru a sprijini tranziția. </w:t>
      </w:r>
    </w:p>
    <w:p w14:paraId="0C4420D2" w14:textId="77777777" w:rsidR="00482E88" w:rsidRPr="00C05138" w:rsidRDefault="00482E88" w:rsidP="00482E88">
      <w:pPr>
        <w:rPr>
          <w:noProof/>
          <w:lang w:val="ro-RO"/>
        </w:rPr>
      </w:pPr>
      <w:r w:rsidRPr="00C05138">
        <w:rPr>
          <w:noProof/>
          <w:lang w:val="ro-RO"/>
        </w:rPr>
        <w:t>Datorită progreselor înregistrate în domeniul tehnologiilor de monitorizare digitală și al serviciilor de consiliere, fermierii și silvicultorii vor putea să își cuantifice bilanțul gazelor cu efect de seră utilizând metodologii de certificare fiabile și armonizate (</w:t>
      </w:r>
      <w:r w:rsidRPr="00C05138">
        <w:rPr>
          <w:rStyle w:val="FootnoteReference"/>
          <w:noProof/>
          <w:lang w:val="ro-RO"/>
        </w:rPr>
        <w:footnoteReference w:id="42"/>
      </w:r>
      <w:r w:rsidRPr="00C05138">
        <w:rPr>
          <w:noProof/>
          <w:lang w:val="ro-RO"/>
        </w:rPr>
        <w:t>). Abordări precum agricultura carbonului permit recompensarea adecvată a acțiunilor climatice certificate prin contracte bazate pe rezultate cu alți actori din lanțul valoric sau prin sprijin public. Agricultura de precizie este unul dintre instrumentele importante pentru valorificarea acestor realizări, permițând fermierilor să utilizeze mai bine solul și alte active naturale, în beneficiul climei și al mediului.</w:t>
      </w:r>
    </w:p>
    <w:p w14:paraId="2CABD25C" w14:textId="77777777" w:rsidR="00482E88" w:rsidRPr="00C05138" w:rsidRDefault="00482E88" w:rsidP="00482E88">
      <w:pPr>
        <w:rPr>
          <w:noProof/>
          <w:lang w:val="ro-RO"/>
        </w:rPr>
      </w:pPr>
      <w:bookmarkStart w:id="52" w:name="_Hlk157073228"/>
      <w:r w:rsidRPr="00C05138">
        <w:rPr>
          <w:noProof/>
          <w:lang w:val="ro-RO"/>
        </w:rPr>
        <w:t xml:space="preserve">În sfârșit, întrucât dioxidul de carbon fosil este eliminat treptat din economia UE, fermierii, silvicultorii și pescarii vor avea noi oportunități de afaceri pentru a furniza biomasă și biomateriale într-un mod durabil pentru diferite utilizări în bioeconomie, inclusiv în industrie, precum și în domeniul construcțiilor, al substanțelor chimice, al energiei sau al mobilității. Utilizarea sporită a reziduurilor și deșeurilor de biomasă, a biocarburanților avansați, a tehnologiilor BECCS și a bioproduselor ar trebui să fie însoțită de norme clare, care să promoveze durabilitatea și să ia în considerare impactul asupra dimensiunii absorbantului natural de carbon în sectorul LULUCF. </w:t>
      </w:r>
    </w:p>
    <w:bookmarkEnd w:id="52"/>
    <w:p w14:paraId="56B1E47E" w14:textId="39668356" w:rsidR="00482E88" w:rsidRPr="00C05138" w:rsidRDefault="00482E88" w:rsidP="00482E88">
      <w:pPr>
        <w:rPr>
          <w:i/>
          <w:noProof/>
          <w:lang w:val="ro-RO"/>
        </w:rPr>
      </w:pPr>
      <w:r w:rsidRPr="00C05138">
        <w:rPr>
          <w:i/>
          <w:noProof/>
          <w:lang w:val="ro-RO"/>
        </w:rPr>
        <w:t>Ecosisteme sănătoase, utilizarea durabilă a terenurilor, natură și biodiversitate</w:t>
      </w:r>
    </w:p>
    <w:p w14:paraId="0197A426" w14:textId="5EF9E7A8" w:rsidR="00482E88" w:rsidRPr="00C05138" w:rsidRDefault="00482E88" w:rsidP="00482E88">
      <w:pPr>
        <w:rPr>
          <w:noProof/>
          <w:lang w:val="ro-RO"/>
        </w:rPr>
      </w:pPr>
      <w:r w:rsidRPr="00C05138">
        <w:rPr>
          <w:noProof/>
          <w:lang w:val="ro-RO"/>
        </w:rPr>
        <w:t xml:space="preserve">Un obiectiv pentru 2040 și o traiectorie clară între 2030 și 2050 ar trebui să exploateze și să încurajeze sinergiile dintre neutralitatea climatică, biodiversitate și alte obiective de mediu. </w:t>
      </w:r>
    </w:p>
    <w:p w14:paraId="3180E846" w14:textId="77777777" w:rsidR="00482E88" w:rsidRPr="00C05138" w:rsidRDefault="00482E88" w:rsidP="00482E88">
      <w:pPr>
        <w:rPr>
          <w:noProof/>
          <w:lang w:val="ro-RO"/>
        </w:rPr>
      </w:pPr>
      <w:r w:rsidRPr="00C05138">
        <w:rPr>
          <w:noProof/>
          <w:lang w:val="ro-RO"/>
        </w:rPr>
        <w:t xml:space="preserve">Reducerea emisiilor de gaze cu efect de seră și creșterea eliminărilor de dioxid de carbon pot îmbunătăți reziliența și biodiversitatea, sănătatea naturii și biodiversitatea fiind esențiale pentru atenuarea schimbărilor climatice și reziliența la acestea. Se preconizează că zonele predispuse la incendii se vor extinde în întreaga Europă din cauza schimbărilor climatice, amenințând absorbanții de carbon și biodiversitatea. Ecosistemele acvatice sunt extrem de vulnerabile la schimbările climatice. Nivelurile ridicate de ozon și poluarea aerului dăunează pădurilor, ecosistemelor și culturilor, reducând potențialul de eliminare a dioxidului de carbon și de adaptare. </w:t>
      </w:r>
    </w:p>
    <w:p w14:paraId="395B8E30" w14:textId="77777777" w:rsidR="00482E88" w:rsidRPr="00C05138" w:rsidRDefault="00482E88" w:rsidP="00482E88">
      <w:pPr>
        <w:rPr>
          <w:noProof/>
          <w:lang w:val="ro-RO"/>
        </w:rPr>
      </w:pPr>
      <w:r w:rsidRPr="00C05138">
        <w:rPr>
          <w:noProof/>
          <w:lang w:val="ro-RO"/>
        </w:rPr>
        <w:t xml:space="preserve">Având în vedere intensificarea concurenței pentru terenuri și apă, pot fi concepute politici pentru a asigura producția și consumul de alimente, materiale și bioenergie durabile și eficiente din punctul de vedere al utilizării apei. Bioenergia ar trebui să aibă prioritate în sectoarele în care potențialul de electrificare este limitat, cum ar fi transportul aerian sau maritim. </w:t>
      </w:r>
    </w:p>
    <w:p w14:paraId="086A94BB" w14:textId="77777777" w:rsidR="00482E88" w:rsidRPr="00C05138" w:rsidRDefault="00482E88" w:rsidP="00482E88">
      <w:pPr>
        <w:pStyle w:val="Heading2"/>
        <w:rPr>
          <w:noProof/>
          <w:lang w:val="ro-RO"/>
        </w:rPr>
      </w:pPr>
      <w:bookmarkStart w:id="53" w:name="_Toc160178635"/>
      <w:r w:rsidRPr="00C05138">
        <w:rPr>
          <w:noProof/>
          <w:lang w:val="ro-RO"/>
        </w:rPr>
        <w:t>Investiții pentru viitorul nostru</w:t>
      </w:r>
      <w:bookmarkEnd w:id="53"/>
      <w:r w:rsidRPr="00C05138">
        <w:rPr>
          <w:noProof/>
          <w:lang w:val="ro-RO"/>
        </w:rPr>
        <w:t xml:space="preserve"> </w:t>
      </w:r>
    </w:p>
    <w:p w14:paraId="7BD87816" w14:textId="77777777" w:rsidR="00482E88" w:rsidRPr="00C05138" w:rsidRDefault="00482E88" w:rsidP="00482E88">
      <w:pPr>
        <w:rPr>
          <w:noProof/>
          <w:lang w:val="ro-RO"/>
        </w:rPr>
      </w:pPr>
      <w:r w:rsidRPr="00C05138">
        <w:rPr>
          <w:i/>
          <w:noProof/>
          <w:lang w:val="ro-RO"/>
        </w:rPr>
        <w:t>O agendă cuprinzătoare privind investițiile</w:t>
      </w:r>
    </w:p>
    <w:p w14:paraId="3A83E000" w14:textId="77777777" w:rsidR="00482E88" w:rsidRPr="00C05138" w:rsidRDefault="00482E88" w:rsidP="00482E88">
      <w:pPr>
        <w:rPr>
          <w:noProof/>
          <w:lang w:val="ro-RO"/>
        </w:rPr>
      </w:pPr>
      <w:r w:rsidRPr="00C05138">
        <w:rPr>
          <w:noProof/>
          <w:lang w:val="ro-RO"/>
        </w:rPr>
        <w:t>În contextul unei concurențe mondiale foarte intense pentru atragerea de investiții, UE are nevoie de o politică și o inițiativă financiară semnificativă pentru a atrage și a mobiliza investiții private în interiorul frontierelor sale și de un mediu propice pentru ca sectorul privat să investească în afara granițelor UE.</w:t>
      </w:r>
    </w:p>
    <w:p w14:paraId="70352B27" w14:textId="0D910C4C" w:rsidR="00482E88" w:rsidRPr="00C05138" w:rsidRDefault="00482E88" w:rsidP="00482E88">
      <w:pPr>
        <w:rPr>
          <w:noProof/>
          <w:lang w:val="ro-RO"/>
        </w:rPr>
      </w:pPr>
      <w:r w:rsidRPr="00C05138">
        <w:rPr>
          <w:noProof/>
          <w:lang w:val="ro-RO"/>
        </w:rPr>
        <w:t>UE dispune de o bază solidă de pornire. Cadrul UE privind finanțarea durabilă a contribuit deja la creșterea transparenței deciziilor comerciale ale întreprinderilor și la creșterea contribuției sectorului financiar la tranziție. Acest cadru va continua să fie perfecționat și dezvoltat pentru a răspunde nevoilor mai multor actori, inclusiv ale celor aflați în etapele inițiale ale tranziției, pentru a-i valorifica la maximum impactul. Cu toate acestea, tranziția nu se va realiza doar prin predictibilitate și reglementare; Europa trebuie să devină mai atractivă pentru investițiile private. În primul rând, uniunea piețelor de capital din UE trebuie aprofundată pentru a debloca potențialul de finanțare privată anuală de 470 de miliarde EUR pentru întreprinderi în toate etapele dezvoltării lor, inclusiv capitalul de risc care vizează îndeplinirea obiectivelor UE în materie de durabilitate și investițiile durabile pe termen lung pentru tranziția climatică (</w:t>
      </w:r>
      <w:r w:rsidRPr="00C05138">
        <w:rPr>
          <w:rStyle w:val="FootnoteReference"/>
          <w:noProof/>
          <w:lang w:val="ro-RO"/>
        </w:rPr>
        <w:footnoteReference w:id="43"/>
      </w:r>
      <w:r w:rsidRPr="00C05138">
        <w:rPr>
          <w:noProof/>
          <w:lang w:val="ro-RO"/>
        </w:rPr>
        <w:t xml:space="preserve">). </w:t>
      </w:r>
    </w:p>
    <w:p w14:paraId="42C55820" w14:textId="5AAD50F8" w:rsidR="00482E88" w:rsidRPr="00C05138" w:rsidRDefault="00482E88" w:rsidP="00482E88">
      <w:pPr>
        <w:rPr>
          <w:noProof/>
          <w:lang w:val="ro-RO"/>
        </w:rPr>
      </w:pPr>
      <w:r w:rsidRPr="00C05138">
        <w:rPr>
          <w:noProof/>
          <w:lang w:val="ro-RO"/>
        </w:rPr>
        <w:t>Extinderea impactului necesită o capacitate strategică și consolidată pentru a identifica și a facilita noi oportunități de investiții și proiecte în sectoarele cu cel mai mare impact. Comisia, statele membre și industria trebuie să colaboreze pentru a crea argumente economice pentru noile modele de afaceri în sectoare-cheie ale economiei, necesare pentru tranziție și, în special, în sectoarele tehnologiilor curate, în industriile energointensive decarbonizate și în agricultură. Eforturile privind un mediu de reglementare simplificat și o piață unică puternică pentru întreprinderi contribuie în acest sens.</w:t>
      </w:r>
    </w:p>
    <w:p w14:paraId="27D29F44" w14:textId="46082C36" w:rsidR="00482E88" w:rsidRPr="00C05138" w:rsidRDefault="00482E88" w:rsidP="00482E88">
      <w:pPr>
        <w:rPr>
          <w:noProof/>
          <w:lang w:val="ro-RO"/>
        </w:rPr>
      </w:pPr>
      <w:r w:rsidRPr="00C05138">
        <w:rPr>
          <w:noProof/>
          <w:lang w:val="ro-RO"/>
        </w:rPr>
        <w:t>Sprijinul din partea sectorului public și investițiile directe ar trebui să fie implementate strategic, inclusiv prin concentrarea lor la începutul perioadei și valorificarea la maximum a resurselor existente prin punerea în comun la scară largă a finanțării, făcându-le accesibile în cel mai rapid și mai simplu mod posibil și facilitând sinergiile dintre diferitele instrumente. Coordonarea dintre acțiunile de la nivelul UE și acțiunile statelor membre este esențială pentru valorificarea la maximum a impactului inițiativelor de finanțare, acțiunile la nivelul UE oferind un cadru pentru optimizarea politicilor și mobilizarea resurselor financiare, în timp ce statele membre adaptează inițiativele la nevoile regionale și naționale specifice, în conformitate cu cadrul privind ajutoarele de stat. Platforma „Tehnologii strategice pentru Europa” (STEP) propusă, de exemplu, urmărește să îmbunătățească finanțarea din perspectiva coordonării pentru a mobiliza în continuare investiții strategice în tehnologii curate și biotehnologie.</w:t>
      </w:r>
    </w:p>
    <w:p w14:paraId="3DD5F7AF" w14:textId="77777777" w:rsidR="00482E88" w:rsidRPr="00C05138" w:rsidRDefault="00482E88" w:rsidP="00482E88">
      <w:pPr>
        <w:rPr>
          <w:noProof/>
          <w:lang w:val="ro-RO"/>
        </w:rPr>
      </w:pPr>
      <w:r w:rsidRPr="00C05138">
        <w:rPr>
          <w:noProof/>
          <w:lang w:val="ro-RO"/>
        </w:rPr>
        <w:t xml:space="preserve">Din perspectiva sectorului public, diversificarea peisajului financiar prin utilizarea unor instrumente financiare inovatoare și a unor granturi specifice este esențială pentru atragerea de capital privat și pentru îndeplinirea obiectivelor de investiții. Există o nevoie clară de utilizare mai eficientă și mai adaptată a resurselor financiare publice, precum și de utilizare a produselor financiare și de combinare a surselor financiare pentru a cataliza investițiile private și a reduce nivelul de risc al acestora. </w:t>
      </w:r>
    </w:p>
    <w:p w14:paraId="548BCBCA" w14:textId="11418587" w:rsidR="00482E88" w:rsidRPr="00C05138" w:rsidRDefault="00482E88" w:rsidP="00482E88">
      <w:pPr>
        <w:rPr>
          <w:noProof/>
          <w:lang w:val="ro-RO"/>
        </w:rPr>
      </w:pPr>
      <w:r w:rsidRPr="00C05138">
        <w:rPr>
          <w:noProof/>
          <w:lang w:val="ro-RO"/>
        </w:rPr>
        <w:t xml:space="preserve">Granturile ar trebui să fie implementate în mod strategic numai pentru a sprijini </w:t>
      </w:r>
      <w:r w:rsidRPr="00C05138">
        <w:rPr>
          <w:noProof/>
          <w:color w:val="000000" w:themeColor="text1"/>
          <w:lang w:val="ro-RO"/>
        </w:rPr>
        <w:t xml:space="preserve">proiectele cu emisii scăzute de dioxid de carbon aflate în fază incipientă, cum ar fi proiectele care vizează </w:t>
      </w:r>
      <w:r w:rsidRPr="00C05138">
        <w:rPr>
          <w:noProof/>
          <w:lang w:val="ro-RO"/>
        </w:rPr>
        <w:t>energia din surse regenerabile</w:t>
      </w:r>
      <w:r w:rsidRPr="00C05138">
        <w:rPr>
          <w:noProof/>
          <w:color w:val="000000" w:themeColor="text1"/>
          <w:lang w:val="ro-RO"/>
        </w:rPr>
        <w:t xml:space="preserve">, proiectele din sectorul industrial și alte </w:t>
      </w:r>
      <w:r w:rsidRPr="00C05138">
        <w:rPr>
          <w:noProof/>
          <w:lang w:val="ro-RO"/>
        </w:rPr>
        <w:t xml:space="preserve">proiecte, în situațiile în care proiectele nu sunt viabile din punct de vedere comercial, investițiile private sunt încă în fază incipientă, iar investițiile sunt dificil de realizat pe piață. Pentru proiectele mature cu fluxuri de venituri dovedite, instrumentele financiare orientate spre piață, cum ar fi finanțarea prin îndatorare și prin capitaluri proprii, pot juca un rol esențial. Aceste instrumente pot fi utilizate, de asemenea, pentru proiecte de pionierat sau proiecte revoluționare cu risc ridicat, sub formă de finanțare cu impact sau finanțare de risc. Rolul Grupului BEI și al altor instituții financiare internaționale și publice este esențial pentru mobilizarea investițiilor private, în special pentru a reduce nivelul de risc al proiectelor, cum ar fi cele legate de materiile prime critice, și pentru a debloca investițiile în infrastructură, pentru a oferi scadențe mai lungi și valori mai mari ale capitalului, precum și pentru a asigura efectul de semnalizare pentru alte participări pe piață. </w:t>
      </w:r>
    </w:p>
    <w:p w14:paraId="3A6474CD" w14:textId="44938871" w:rsidR="00187BF3" w:rsidRPr="00C05138" w:rsidRDefault="00482E88" w:rsidP="00482E88">
      <w:pPr>
        <w:rPr>
          <w:noProof/>
          <w:lang w:val="ro-RO"/>
        </w:rPr>
      </w:pPr>
      <w:r w:rsidRPr="00C05138">
        <w:rPr>
          <w:noProof/>
          <w:lang w:val="ro-RO"/>
        </w:rPr>
        <w:t>În general, în următorii ani, va fi necesară o</w:t>
      </w:r>
      <w:r w:rsidRPr="00C05138">
        <w:rPr>
          <w:noProof/>
          <w:color w:val="00B050"/>
          <w:lang w:val="ro-RO"/>
        </w:rPr>
        <w:t xml:space="preserve"> </w:t>
      </w:r>
      <w:r w:rsidRPr="00C05138">
        <w:rPr>
          <w:noProof/>
          <w:lang w:val="ro-RO"/>
        </w:rPr>
        <w:t>abordare europeană în materie de finanțare, în strânsă coordonare cu statele membre</w:t>
      </w:r>
      <w:r w:rsidRPr="00C05138">
        <w:rPr>
          <w:noProof/>
          <w:color w:val="00B050"/>
          <w:lang w:val="ro-RO"/>
        </w:rPr>
        <w:t>,</w:t>
      </w:r>
      <w:r w:rsidRPr="00C05138">
        <w:rPr>
          <w:noProof/>
          <w:lang w:val="ro-RO"/>
        </w:rPr>
        <w:t xml:space="preserve"> Banca Europeană de Investiții și instituțiile financiare, pentru a asigura condiții de concurență echitabile în cadrul pieței unice. Având în vedere provocările legate de accelerarea implementării tehnologiilor „zero net”, intervenția la nivelul Uniunii susține coordonarea răspunsurilor la nivelul statelor membre. </w:t>
      </w:r>
    </w:p>
    <w:p w14:paraId="1215EEB6" w14:textId="65907302" w:rsidR="00482E88" w:rsidRPr="00C05138" w:rsidRDefault="00482E88" w:rsidP="00482E88">
      <w:pPr>
        <w:rPr>
          <w:noProof/>
          <w:lang w:val="ro-RO"/>
        </w:rPr>
      </w:pPr>
      <w:r w:rsidRPr="00C05138">
        <w:rPr>
          <w:noProof/>
          <w:lang w:val="ro-RO"/>
        </w:rPr>
        <w:t>De exemplu, se preconizează că recenta contragaranție a Băncii Europene de Investiții în valoare de 5 miliarde EUR pentru proiecte de energie eoliană va genera investiții în valoare de 80 de miliarde EUR. Acest lucru demonstrează valoarea unei discuții cu statele membre cu privire la modul în care astfel de instrumente de finanțare inovatoare ale UE pot reduce nivelul de risc al investițiilor strategice decisive într-un mod neutru din punct de vedere tehnologic în economia noastră.</w:t>
      </w:r>
    </w:p>
    <w:p w14:paraId="6E7365ED" w14:textId="4294DF98" w:rsidR="00482E88" w:rsidRPr="00C05138" w:rsidRDefault="00482E88" w:rsidP="00482E88">
      <w:pPr>
        <w:rPr>
          <w:noProof/>
          <w:lang w:val="ro-RO"/>
        </w:rPr>
      </w:pPr>
      <w:r w:rsidRPr="00C05138">
        <w:rPr>
          <w:noProof/>
          <w:lang w:val="ro-RO"/>
        </w:rPr>
        <w:t>Pe baza experienței dobândite de Comisie prin intermediul InvestEU, utilizarea instrumentelor financiare ar trebui să fie simplificată și mai mult pentru a le face mai atractive pentru investitori și dezvoltatorii de proiecte, inclusiv prin adaptarea instrumentelor la anumite tipuri de investiții, prin furnizarea unor condiții clare, prin simplificarea proceselor de depunere a cererilor și prin dezvoltarea unor platforme ușor de utilizat și a unor orientări, precum și prin reducerea sarcinilor administrative. Este necesară o simplificare suplimentară la nivelul programelor UE și al Regulamentului financiar al UE pentru a oferi adevărate ghișee unice pentru oportunități de finanțare, care să permită punerea în comun a resurselor, un acces accelerat și ușor la finanțare, combinate în cele din urmă cu granturi, cu limitarea numărului de forme de acces la sprijin. Aceste măsuri sunt necesare pentru a asigura condiții de concurență echitabile pentru accesul la finanțare, ceea ce este deosebit de relevant pentru intermediarii financiari și întreprinderile de dimensiuni mai mici, cu o capacitate organizațională limitată.</w:t>
      </w:r>
    </w:p>
    <w:p w14:paraId="5C1A1C92" w14:textId="4DE2515F" w:rsidR="00482E88" w:rsidRPr="00C05138" w:rsidRDefault="00482E88" w:rsidP="00482E88">
      <w:pPr>
        <w:rPr>
          <w:noProof/>
          <w:lang w:val="ro-RO"/>
        </w:rPr>
      </w:pPr>
      <w:r w:rsidRPr="00C05138">
        <w:rPr>
          <w:noProof/>
          <w:lang w:val="ro-RO"/>
        </w:rPr>
        <w:t>Este important să se mențină o flexibilitate fiscală suficientă în statele membre în ceea ce privește investițiile, în cadrul sustenabilității datoriei pe termen mediu și lung. Fondul pentru inovare, precum și veniturile naționale din cadrul EU ETS oferă statelor membre un volum important de fonduri care pot fi utilizate pentru investiții adaptate exigențelor viitorului. Acestea ar trebui să fie completate de reforme structurale pentru a accelera tranziția către neutralitatea climatică. În mod similar, bugetul UE ar trebui să fie orientat către promovarea, facilitarea și încurajarea investițiilor care au ca rezultat un nivel mai scăzut al emisiilor, continuând, în același timp, să pună în aplicare, după caz, criteriile aferente principiului de „a nu aduce prejudicii semnificative”, astfel cum au convenit deja colegiuitorii pentru următorul CFM. Acesta ar trebui consolidat pentru a asigura investiții de mai bună calitate și, în acest context, Comisia îndeamnă la realizarea de progrese rapide în ceea ce privește resursa proprie EU ETS propusă.</w:t>
      </w:r>
    </w:p>
    <w:p w14:paraId="70C70765" w14:textId="77777777" w:rsidR="00482E88" w:rsidRPr="00C05138" w:rsidRDefault="00482E88" w:rsidP="00482E88">
      <w:pPr>
        <w:rPr>
          <w:noProof/>
          <w:lang w:val="ro-RO"/>
        </w:rPr>
      </w:pPr>
      <w:r w:rsidRPr="00C05138">
        <w:rPr>
          <w:noProof/>
          <w:lang w:val="ro-RO"/>
        </w:rPr>
        <w:t xml:space="preserve">Obiectivul pentru 2040 ar trebui, de asemenea, să ghideze sectorul financiar și autoritățile de supraveghere atunci când evaluează riscurile de tranziție climatică ale investițiilor, conducând la condiții favorabile atunci când riscurile sunt reduse la minimum și la măsuri adecvate de atenuare a riscurilor în caz contrar. </w:t>
      </w:r>
    </w:p>
    <w:p w14:paraId="1E739F49" w14:textId="77777777" w:rsidR="00482E88" w:rsidRPr="00C05138" w:rsidRDefault="00482E88" w:rsidP="00482E88">
      <w:pPr>
        <w:rPr>
          <w:i/>
          <w:noProof/>
          <w:lang w:val="ro-RO"/>
        </w:rPr>
      </w:pPr>
      <w:r w:rsidRPr="00C05138">
        <w:rPr>
          <w:i/>
          <w:noProof/>
          <w:lang w:val="ro-RO"/>
        </w:rPr>
        <w:t xml:space="preserve">Cercetare, inovare, competitivitate și competențe </w:t>
      </w:r>
    </w:p>
    <w:p w14:paraId="54B27515" w14:textId="77777777" w:rsidR="00482E88" w:rsidRPr="00C05138" w:rsidRDefault="00482E88" w:rsidP="00482E88">
      <w:pPr>
        <w:rPr>
          <w:noProof/>
          <w:lang w:val="ro-RO"/>
        </w:rPr>
      </w:pPr>
      <w:r w:rsidRPr="00C05138">
        <w:rPr>
          <w:noProof/>
          <w:lang w:val="ro-RO"/>
        </w:rPr>
        <w:t xml:space="preserve">Printre tehnologiile care urmează să fie implementate pentru a îndeplini obiectivul UE pentru 2040 se numără unele care sunt pregătite pentru piață, cum ar fi energia solară, precum și o serie de tehnologii care trebuie încă îmbunătățite și extinse. </w:t>
      </w:r>
    </w:p>
    <w:p w14:paraId="5D427DFE" w14:textId="0B0C7FD5" w:rsidR="00482E88" w:rsidRPr="00C05138" w:rsidRDefault="00482E88" w:rsidP="00482E88">
      <w:pPr>
        <w:rPr>
          <w:noProof/>
          <w:lang w:val="ro-RO"/>
        </w:rPr>
      </w:pPr>
      <w:r w:rsidRPr="00C05138">
        <w:rPr>
          <w:noProof/>
          <w:lang w:val="ro-RO"/>
        </w:rPr>
        <w:t>Prin urmare, este extrem de important să se continue investițiile în cercetarea și demonstrarea tehnologiilor „zero net” inovatoare, să se coordoneze eforturile UE și naționale de cercetare și inovare și să se consolideze eforturile de introducere pe piață a inovațiilor și de extindere a acestora. La nivelul UE, la nivel național și la nivel regional în întreaga UE, se desfășoară activități de cercetare de vârf de nivel mondial în domeniul tehnologiilor industriale cu emisii zero și cu emisii scăzute de dioxid de carbon, programele Orizont 2020 și Orizont Europa finanțând cercetarea și inovarea, inclusiv prin parteneriate cu industria și cu statele membre pentru a contribui la trecerea de la cercetarea de bază la implementare în ceea ce privește tehnologiile cu emisii scăzute de dioxid de carbon pentru industriile energointensive (</w:t>
      </w:r>
      <w:r w:rsidRPr="00C05138">
        <w:rPr>
          <w:rStyle w:val="FootnoteReference"/>
          <w:noProof/>
          <w:lang w:val="ro-RO"/>
        </w:rPr>
        <w:footnoteReference w:id="44"/>
      </w:r>
      <w:r w:rsidRPr="00C05138">
        <w:rPr>
          <w:noProof/>
          <w:lang w:val="ro-RO"/>
        </w:rPr>
        <w:t xml:space="preserve">). Numai Orizont Europa va aloca peste 30 de miliarde EUR (cel puțin 35 % din bugetul său) pentru acțiuni climatice. </w:t>
      </w:r>
    </w:p>
    <w:p w14:paraId="5AE87188" w14:textId="19981F93" w:rsidR="00482E88" w:rsidRPr="00C05138" w:rsidRDefault="00482E88" w:rsidP="00482E88">
      <w:pPr>
        <w:rPr>
          <w:noProof/>
          <w:lang w:val="ro-RO"/>
        </w:rPr>
      </w:pPr>
      <w:r w:rsidRPr="00C05138">
        <w:rPr>
          <w:noProof/>
          <w:lang w:val="ro-RO"/>
        </w:rPr>
        <w:t xml:space="preserve">Veniturile obținute ca urmare a stabilirii prețului carbonului reprezintă o sursă clară de finanțare pentru implementarea unor tehnologii și soluții inovatoare cu emisii scăzute de dioxid de carbon. De la crearea sa în 2005, EU ETS a generat peste 180 de miliarde EUR, cea mai mare parte din această valoare revenind statelor membre. Statele membre ar trebui să fie stimulate să investească aceste venituri în reforme structurale orientate spre viitor, care să accelereze în mod semnificativ producția de echipamente inovatoare din domeniul tehnologiilor curate și să demonstreze și să sprijine implementarea timpurie a soluțiilor industriale care prevăd emisii apropiate de zero. </w:t>
      </w:r>
    </w:p>
    <w:p w14:paraId="22585CB4" w14:textId="0F9BA1E7" w:rsidR="00482E88" w:rsidRPr="00C05138" w:rsidDel="005F5DB1" w:rsidRDefault="00482E88" w:rsidP="00482E88">
      <w:pPr>
        <w:rPr>
          <w:noProof/>
          <w:lang w:val="ro-RO"/>
        </w:rPr>
      </w:pPr>
      <w:r w:rsidRPr="00C05138">
        <w:rPr>
          <w:noProof/>
          <w:lang w:val="ro-RO"/>
        </w:rPr>
        <w:t>La nivelul UE, Fondul pentru inovare EU ETS oferă un instrument strategic pentru sprijinirea și extinderea inovării în domeniul tehnologiilor „zero net” în vederea atingerii unei maturități tehnologice și comerciale depline. Acesta devine un instrument-cheie pentru punerea în aplicare a strategiei industriale a Pactului verde european. În primele sale trei runde, Fondul pentru inovare a alocat 6,5 miliarde EUR pentru aproximativ 100 de proiecte-pilot și instalații demonstrative pentru tehnologii inovatoare cu emisii scăzute de dioxid de carbon. Valoarea și distribuția sectorială a cererilor către Fondul pentru inovare demonstrează un angajament puternic al actorilor industriali în această transformare și o rezervă de proiecte promițătoare și abundentă. Numărul foarte mare al tuturor cererilor de propuneri la scară largă impune creșterea finanțării disponibile. De exemplu, în primele două runde de cereri, s-a solicitat finanțare pentru proiecte în valoare de 33,8 miliarde EUR în raport cu un buget total de 1,1 miliarde EUR. Industria UE deține în mod clar know-how-ul pentru a investi în noua revoluție industrială, dar se confruntă deopotrivă cu o provocare în această privință, pentru care Fondul pentru inovare poate fi un motor al UE aliniat la piața unică pentru investiții eficiente din punctul de vedere al costurilor. Prin urmare, Comisia va încerca să maximizeze bugetul din cadrul Fondului pentru inovare până în 2028 prin concentrarea la începutul perioadei a angajării fondurilor disponibile. De asemenea, Comisia va consolida sinergiile cu alte instrumente și va dezvolta Fondul pentru inovare ca platformă, prin licitații, pentru a ajuta statele membre să selecteze și să sprijine proiectele cele mai promițătoare cu fonduri naționale într-un mod eficient din punctul de vedere al costurilor. Abordările inovatoare, cum ar fi „licitațiile ca serviciu”, reprezintă o modalitate promițătoare de a selecta proiectele cele mai competitive și mai eficiente din punctul de vedere al mediului în cadrul pieței unice, fără denaturări ale concurenței și cu respectarea normelor privind ajutoarele de stat.</w:t>
      </w:r>
    </w:p>
    <w:p w14:paraId="32E92741" w14:textId="77777777" w:rsidR="00482E88" w:rsidRPr="00C05138" w:rsidRDefault="00482E88" w:rsidP="00482E88">
      <w:pPr>
        <w:rPr>
          <w:noProof/>
          <w:lang w:val="ro-RO"/>
        </w:rPr>
      </w:pPr>
      <w:r w:rsidRPr="00C05138">
        <w:rPr>
          <w:noProof/>
          <w:lang w:val="ro-RO"/>
        </w:rPr>
        <w:t xml:space="preserve">Noile oportunități de afaceri „zero net” conduc la crearea de locuri de muncă și la cererea de competențe noi. Cererea suplimentară de lucrători calificați va fi însoțită de investiții realizate înainte de 2030 pentru a atinge obiectivul pentru 2040 în domeniul tehnologiilor „zero net”, al renovărilor clădirilor, al materialelor inovatoare și al întreținerii echipamentelor „zero net”. Seturile de competențe ale lucrătorilor care desfășoară activități care presupun utilizarea combustibililor fosili sau cu un nivel ridicat de emisii, aflate în declin, nu pot fi întotdeauna transferate cu ușurință către noi activități. Ar trebui elaborată o agendă ambițioasă de dezvoltare a formării și recalificării, coordonată la nivelul UE și al statelor membre, pentru a răspunde nevoilor de noi competențe și locuri de muncă, pe baza Agendei pentru competențe, a Anului european al competențelor și a inițiativelor existente ale UE. Aceasta ar trebui să asigure oportunități de angajare noi și îmbunătățite pentru persoanele angajate în prezent în sectoare care parcurg procesul de eliminare treptată și faptul că tranziția nu este împiedicată de necorelarea competențelor și de deficitul de competențe. </w:t>
      </w:r>
    </w:p>
    <w:p w14:paraId="3E7D6ADA" w14:textId="5B9BDF11" w:rsidR="00482E88" w:rsidRPr="00C05138" w:rsidRDefault="00482E88" w:rsidP="00482E88">
      <w:pPr>
        <w:rPr>
          <w:noProof/>
          <w:lang w:val="ro-RO"/>
        </w:rPr>
      </w:pPr>
      <w:r w:rsidRPr="00C05138">
        <w:rPr>
          <w:noProof/>
          <w:lang w:val="ro-RO"/>
        </w:rPr>
        <w:t>Digitalizarea în continuare a economiei va oferi instrumente, de exemplu, pentru a gestiona integrarea sistemului energetic și pentru a contribui la o gestionare durabilă a terenurilor noastre (</w:t>
      </w:r>
      <w:r w:rsidRPr="00C05138">
        <w:rPr>
          <w:rStyle w:val="FootnoteReference"/>
          <w:noProof/>
          <w:lang w:val="ro-RO"/>
        </w:rPr>
        <w:footnoteReference w:id="45"/>
      </w:r>
      <w:r w:rsidRPr="00C05138">
        <w:rPr>
          <w:noProof/>
          <w:lang w:val="ro-RO"/>
        </w:rPr>
        <w:t>).</w:t>
      </w:r>
      <w:bookmarkEnd w:id="49"/>
    </w:p>
    <w:p w14:paraId="7B04C22A" w14:textId="7BA91031" w:rsidR="00482E88" w:rsidRPr="00C05138" w:rsidRDefault="00482E88" w:rsidP="00482E88">
      <w:pPr>
        <w:rPr>
          <w:noProof/>
          <w:lang w:val="ro-RO"/>
        </w:rPr>
      </w:pPr>
    </w:p>
    <w:p w14:paraId="0099C9E3" w14:textId="77777777" w:rsidR="00482E88" w:rsidRPr="00C05138" w:rsidRDefault="00482E88" w:rsidP="00482E88">
      <w:pPr>
        <w:pStyle w:val="Heading1"/>
        <w:rPr>
          <w:noProof/>
          <w:lang w:val="ro-RO"/>
        </w:rPr>
      </w:pPr>
      <w:bookmarkStart w:id="54" w:name="_Toc155286929"/>
      <w:bookmarkStart w:id="55" w:name="_Toc160178636"/>
      <w:r w:rsidRPr="00C05138">
        <w:rPr>
          <w:noProof/>
          <w:lang w:val="ro-RO"/>
        </w:rPr>
        <w:t>Concluzii și etapele următoare</w:t>
      </w:r>
      <w:bookmarkEnd w:id="54"/>
      <w:bookmarkEnd w:id="55"/>
    </w:p>
    <w:p w14:paraId="26E2AA0F" w14:textId="77777777" w:rsidR="00482E88" w:rsidRPr="00C05138" w:rsidRDefault="00482E88" w:rsidP="00482E88">
      <w:pPr>
        <w:rPr>
          <w:noProof/>
          <w:lang w:val="ro-RO"/>
        </w:rPr>
      </w:pPr>
      <w:r w:rsidRPr="00C05138">
        <w:rPr>
          <w:noProof/>
          <w:lang w:val="ro-RO"/>
        </w:rPr>
        <w:t xml:space="preserve">Asigurarea prosperității și a bunăstării generațiilor actuale și viitoare impune ca UE să își continue transformarea către neutralitatea climatică și o economie durabilă și competitivă, rezilientă la pericolele climatice și la riscurile geopolitice și fără dependențe critice. </w:t>
      </w:r>
    </w:p>
    <w:p w14:paraId="60A2DBD0" w14:textId="1FDF1D5E" w:rsidR="00482E88" w:rsidRPr="00C05138" w:rsidRDefault="00482E88" w:rsidP="00482E88">
      <w:pPr>
        <w:rPr>
          <w:noProof/>
          <w:lang w:val="ro-RO"/>
        </w:rPr>
      </w:pPr>
      <w:r w:rsidRPr="00C05138">
        <w:rPr>
          <w:noProof/>
          <w:lang w:val="ro-RO"/>
        </w:rPr>
        <w:t xml:space="preserve">Din analiza Comisiei (anexa la prezenta comunicare), se pot trage concluzii și se pot stabili perspective de politică esențiale pentru tranziție, care să stea la baza unei dezbateri ample cu privire la acțiunile necesar a fi întreprinse în cadrul UE și în cooperare cu partenerii noștri din întreaga lume. </w:t>
      </w:r>
    </w:p>
    <w:p w14:paraId="62D7A226" w14:textId="77777777" w:rsidR="00482E88" w:rsidRPr="00C05138" w:rsidRDefault="00482E88" w:rsidP="00482E88">
      <w:pPr>
        <w:rPr>
          <w:noProof/>
          <w:lang w:val="ro-RO"/>
        </w:rPr>
      </w:pPr>
      <w:r w:rsidRPr="00C05138">
        <w:rPr>
          <w:noProof/>
          <w:lang w:val="ro-RO"/>
        </w:rPr>
        <w:t xml:space="preserve">Prezenta comunicare pregătește terenul pentru o dezbatere politică și pentru alegeri din partea cetățenilor și a guvernelor europene cu privire la calea de urmat. Acest lucru va sta la baza înaintării de către următoarea Comisie a propunerii legislative de a include obiectivul pentru 2040 în Legea europeană a climei, precum și a elaborării de către aceasta a unui cadru de politică adecvat pentru perioada ulterioară anului 2030. Activitatea desfășurată în perioada 2024-2029 va modela calea Europei către 2040 și, ulterior, către 2050. Cadrul de politică va trebui să asigure o contribuție echilibrată și eficientă din punctul de vedere al costurilor a tuturor sectoarelor la reducerea emisiilor de gaze cu efect de seră și la eliminarea dioxidului de carbon. </w:t>
      </w:r>
    </w:p>
    <w:p w14:paraId="05747D66" w14:textId="77777777" w:rsidR="00482E88" w:rsidRPr="00C05138" w:rsidRDefault="00482E88" w:rsidP="00482E88">
      <w:pPr>
        <w:rPr>
          <w:noProof/>
          <w:lang w:val="ro-RO"/>
        </w:rPr>
      </w:pPr>
      <w:r w:rsidRPr="00C05138">
        <w:rPr>
          <w:noProof/>
          <w:lang w:val="ro-RO"/>
        </w:rPr>
        <w:t>În același timp, pentru a realiza reducerile emisiilor de gaze cu efect de seră și eliminările de dioxid de carbon necesare, trebuie să existe condiții favorabile în acest sens. Printre acestea se numără punerea în aplicare integrală a cadrului pentru 2030, asigurarea competitivității industriei și agriculturii europene, măsuri de asigurare a unei tranziții juste, condiții de concurență echitabile la nivel mondial și un dialog strategic cu părțile interesate cu privire la cadrul pentru perioada ulterioară anului 2030, printre altele, pentru a permite sectorului agricol să își mențină rolul de garant al securității alimentare pe parcursul decarbonizării.</w:t>
      </w:r>
    </w:p>
    <w:p w14:paraId="60FB739E" w14:textId="77777777" w:rsidR="00482E88" w:rsidRPr="00C05138" w:rsidRDefault="00482E88" w:rsidP="00482E88">
      <w:pPr>
        <w:rPr>
          <w:noProof/>
          <w:lang w:val="ro-RO"/>
        </w:rPr>
      </w:pPr>
    </w:p>
    <w:p w14:paraId="298F4BC4" w14:textId="77777777" w:rsidR="00482E88" w:rsidRPr="00C05138" w:rsidRDefault="00482E88" w:rsidP="00482E88">
      <w:pPr>
        <w:rPr>
          <w:noProof/>
          <w:lang w:val="ro-RO"/>
        </w:rPr>
      </w:pPr>
      <w:r w:rsidRPr="00C05138">
        <w:rPr>
          <w:noProof/>
          <w:lang w:val="ro-RO"/>
        </w:rPr>
        <w:t>Stabilirea obiectivului UE pentru 2040 va demonstra hotărârea UE de a rămâne în avangarda dinamicii globale de extindere a producției de tehnologii curate și de valorificare a oportunităților de creștere economică și de creare de locuri de muncă. Aceasta va transmite un semnal clar restului lumii că Europa își menține angajamentul deplin față de Acordul de la Paris și față de acțiunile multilaterale, oferind exemplul în acest sens și mijloacele prin care ceilalți să acționeze.</w:t>
      </w:r>
    </w:p>
    <w:p w14:paraId="795A7019" w14:textId="77777777" w:rsidR="00482E88" w:rsidRPr="00C05138" w:rsidRDefault="00482E88" w:rsidP="00482E88">
      <w:pPr>
        <w:rPr>
          <w:noProof/>
          <w:lang w:val="ro-RO"/>
        </w:rPr>
      </w:pPr>
    </w:p>
    <w:tbl>
      <w:tblPr>
        <w:tblStyle w:val="TableGrid"/>
        <w:tblW w:w="0" w:type="auto"/>
        <w:tblLook w:val="04A0" w:firstRow="1" w:lastRow="0" w:firstColumn="1" w:lastColumn="0" w:noHBand="0" w:noVBand="1"/>
      </w:tblPr>
      <w:tblGrid>
        <w:gridCol w:w="9242"/>
      </w:tblGrid>
      <w:tr w:rsidR="00482E88" w:rsidRPr="00C05138" w14:paraId="6D0C77F7" w14:textId="77777777" w:rsidTr="002205E6">
        <w:trPr>
          <w:trHeight w:val="300"/>
        </w:trPr>
        <w:tc>
          <w:tcPr>
            <w:tcW w:w="924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D8B5D61" w14:textId="77777777" w:rsidR="00482E88" w:rsidRPr="00C05138" w:rsidRDefault="00482E88" w:rsidP="002205E6">
            <w:pPr>
              <w:ind w:left="3600"/>
              <w:rPr>
                <w:b/>
                <w:noProof/>
                <w:lang w:val="ro-RO"/>
              </w:rPr>
            </w:pPr>
            <w:r w:rsidRPr="00C05138">
              <w:rPr>
                <w:b/>
                <w:noProof/>
                <w:lang w:val="ro-RO"/>
              </w:rPr>
              <w:t xml:space="preserve">ANEXĂ </w:t>
            </w:r>
          </w:p>
          <w:p w14:paraId="068A141B" w14:textId="77777777" w:rsidR="00482E88" w:rsidRPr="00C05138" w:rsidRDefault="00482E88" w:rsidP="002205E6">
            <w:pPr>
              <w:rPr>
                <w:b/>
                <w:noProof/>
                <w:lang w:val="ro-RO"/>
              </w:rPr>
            </w:pPr>
          </w:p>
          <w:p w14:paraId="7A31F652" w14:textId="6812928E" w:rsidR="00482E88" w:rsidRPr="00C05138" w:rsidRDefault="00482E88" w:rsidP="00954C50">
            <w:pPr>
              <w:pStyle w:val="Heading1"/>
              <w:numPr>
                <w:ilvl w:val="0"/>
                <w:numId w:val="131"/>
              </w:numPr>
              <w:spacing w:after="0"/>
              <w:outlineLvl w:val="0"/>
              <w:rPr>
                <w:noProof/>
                <w:lang w:val="ro-RO"/>
              </w:rPr>
            </w:pPr>
            <w:bookmarkStart w:id="56" w:name="_Toc160178637"/>
            <w:r w:rsidRPr="00C05138">
              <w:rPr>
                <w:noProof/>
                <w:lang w:val="ro-RO"/>
              </w:rPr>
              <w:t>Elemente de bază pentru îndeplinirea obiectivului pentru 2040</w:t>
            </w:r>
            <w:bookmarkEnd w:id="56"/>
          </w:p>
          <w:p w14:paraId="69C38F90" w14:textId="77777777" w:rsidR="00482E88" w:rsidRPr="00C05138" w:rsidRDefault="00482E88" w:rsidP="002205E6">
            <w:pPr>
              <w:rPr>
                <w:b/>
                <w:noProof/>
                <w:lang w:val="ro-RO"/>
              </w:rPr>
            </w:pPr>
          </w:p>
          <w:p w14:paraId="0E67772F" w14:textId="3A8F37C7" w:rsidR="00482E88" w:rsidRPr="00C05138" w:rsidRDefault="00482E88" w:rsidP="005060FD">
            <w:pPr>
              <w:pStyle w:val="ListParagraph"/>
              <w:numPr>
                <w:ilvl w:val="0"/>
                <w:numId w:val="49"/>
              </w:numPr>
              <w:rPr>
                <w:noProof/>
                <w:lang w:val="ro-RO"/>
              </w:rPr>
            </w:pPr>
            <w:r w:rsidRPr="00C05138">
              <w:rPr>
                <w:b/>
                <w:noProof/>
                <w:lang w:val="ro-RO"/>
              </w:rPr>
              <w:t>Un sistem energetic rezilient și decarbonizat pentru clădirile, transporturile și industria noastră</w:t>
            </w:r>
          </w:p>
          <w:p w14:paraId="325400D2" w14:textId="77777777" w:rsidR="00482E88" w:rsidRPr="00C05138" w:rsidRDefault="00482E88" w:rsidP="00954C50">
            <w:pPr>
              <w:numPr>
                <w:ilvl w:val="0"/>
                <w:numId w:val="133"/>
              </w:numPr>
              <w:rPr>
                <w:noProof/>
                <w:lang w:val="ro-RO"/>
              </w:rPr>
            </w:pPr>
            <w:r w:rsidRPr="00C05138">
              <w:rPr>
                <w:noProof/>
                <w:lang w:val="ro-RO"/>
              </w:rPr>
              <w:t xml:space="preserve">Vor fi necesare toate soluțiile energetice cu emisii zero și cu emisii scăzute de dioxid de carbon (surse regenerabile de energie, energia nucleară, eficiența energetică, mai multă bioenergie durabilă, stocarea, CCU, eliminările de dioxid de carbon, precum și toate celelalte tehnologii energetice „zero net” actuale și viitoare). </w:t>
            </w:r>
          </w:p>
          <w:p w14:paraId="5BB03B59" w14:textId="5CCAD4C7" w:rsidR="00482E88" w:rsidRPr="00C05138" w:rsidRDefault="00482E88" w:rsidP="00954C50">
            <w:pPr>
              <w:numPr>
                <w:ilvl w:val="0"/>
                <w:numId w:val="133"/>
              </w:numPr>
              <w:rPr>
                <w:noProof/>
                <w:lang w:val="ro-RO"/>
              </w:rPr>
            </w:pPr>
            <w:r w:rsidRPr="00C05138">
              <w:rPr>
                <w:noProof/>
                <w:lang w:val="ro-RO"/>
              </w:rPr>
              <w:t>Tranziția de la combustibilii fosili va spori independența și autonomia strategică deschisă a UE și va reduce riscul de șocuri ale prețurilor. Combustibilii fosili solizi ar trebui eliminați treptat. În conformitate cu REPowerEU, utilizarea gazelor și a petrolului ar trebui să scadă în timp într-un mod care să garanteze securitatea aprovizionării UE. Un lanț de aprovizionare cu hidrogen din surse regenerabile și cu emisii scăzute de dioxid de carbon ar trebui să contribuie la stocarea sezonieră și la decarbonizarea sectoarelor greu de decarbonizat.</w:t>
            </w:r>
          </w:p>
          <w:p w14:paraId="12E1B4FA" w14:textId="77777777" w:rsidR="00482E88" w:rsidRPr="00C05138" w:rsidRDefault="00482E88" w:rsidP="00954C50">
            <w:pPr>
              <w:numPr>
                <w:ilvl w:val="0"/>
                <w:numId w:val="133"/>
              </w:numPr>
              <w:rPr>
                <w:noProof/>
                <w:lang w:val="ro-RO"/>
              </w:rPr>
            </w:pPr>
            <w:r w:rsidRPr="00C05138">
              <w:rPr>
                <w:noProof/>
                <w:lang w:val="ro-RO"/>
              </w:rPr>
              <w:t xml:space="preserve">Electrificarea se va afla în centrul tranziției prin instalarea infrastructurii de reîncărcare, utilizarea pompelor de căldură și izolarea clădirilor. </w:t>
            </w:r>
            <w:r w:rsidRPr="00C05138">
              <w:rPr>
                <w:noProof/>
                <w:color w:val="000000" w:themeColor="text1"/>
                <w:lang w:val="ro-RO"/>
              </w:rPr>
              <w:t>Sectorul energiei electrice ar trebui să se apropie de decarbonizarea completă în a doua jumătate a anilor 2030,</w:t>
            </w:r>
            <w:r w:rsidRPr="00C05138">
              <w:rPr>
                <w:noProof/>
                <w:lang w:val="ro-RO"/>
              </w:rPr>
              <w:t xml:space="preserve"> beneficiind de o flexibilitate sporită prin intermediul rețelelor inteligente, al stocării energiei, al răspunsului părții de consum și al stocării energiei electrice dispecerizabile cu emisii scăzute de dioxid de carbon. Acest lucru va necesita un efort important de recalificare în sectoarele de producție și de întreținere.</w:t>
            </w:r>
          </w:p>
          <w:p w14:paraId="77E8A705" w14:textId="27DB2559" w:rsidR="00482E88" w:rsidRPr="00C05138" w:rsidRDefault="00B1019F" w:rsidP="00954C50">
            <w:pPr>
              <w:numPr>
                <w:ilvl w:val="0"/>
                <w:numId w:val="133"/>
              </w:numPr>
              <w:spacing w:before="100" w:beforeAutospacing="1" w:after="160" w:line="221" w:lineRule="atLeast"/>
              <w:rPr>
                <w:noProof/>
                <w:lang w:val="ro-RO"/>
              </w:rPr>
            </w:pPr>
            <w:r w:rsidRPr="00C05138">
              <w:rPr>
                <w:noProof/>
                <w:lang w:val="ro-RO"/>
              </w:rPr>
              <w:t>Obiectivul climatic pentru 2040 va necesita extinderea și modernizarea substanțială a rețelelor electrice și a capacităților de stocare ale UE. Modificările aduse mixului energetic vor necesita investiții semnificative în următorii 10-15 ani și vor depinde de capacitatea de a stabili cadrul de reglementare adecvat, planificarea integrată a infrastructurii, producția competitivă și stimulentele pentru lanțuri de aprovizionare reziliente.</w:t>
            </w:r>
            <w:r w:rsidRPr="00C05138">
              <w:rPr>
                <w:noProof/>
                <w:color w:val="000000" w:themeColor="text1"/>
                <w:lang w:val="ro-RO"/>
              </w:rPr>
              <w:t xml:space="preserve"> </w:t>
            </w:r>
          </w:p>
          <w:p w14:paraId="335C609B" w14:textId="77777777" w:rsidR="00482E88" w:rsidRPr="00C05138" w:rsidRDefault="00482E88" w:rsidP="002205E6">
            <w:pPr>
              <w:rPr>
                <w:noProof/>
                <w:lang w:val="ro-RO"/>
              </w:rPr>
            </w:pPr>
          </w:p>
          <w:p w14:paraId="79F2E276" w14:textId="77777777" w:rsidR="00482E88" w:rsidRPr="00C05138" w:rsidRDefault="00482E88" w:rsidP="00B1019F">
            <w:pPr>
              <w:pStyle w:val="ListParagraph"/>
              <w:numPr>
                <w:ilvl w:val="0"/>
                <w:numId w:val="49"/>
              </w:numPr>
              <w:spacing w:after="120"/>
              <w:rPr>
                <w:noProof/>
                <w:color w:val="000000" w:themeColor="text1"/>
                <w:lang w:val="ro-RO"/>
              </w:rPr>
            </w:pPr>
            <w:r w:rsidRPr="00C05138">
              <w:rPr>
                <w:b/>
                <w:noProof/>
                <w:color w:val="000000" w:themeColor="text1"/>
                <w:lang w:val="ro-RO"/>
              </w:rPr>
              <w:t>O revoluție industrială axată pe competitivitate bazată pe cercetare și inovare, circularitate, utilizarea eficientă a resurselor, decarbonizare industrială și producția de tehnologii curate</w:t>
            </w:r>
            <w:r w:rsidRPr="00C05138">
              <w:rPr>
                <w:noProof/>
                <w:color w:val="000000" w:themeColor="text1"/>
                <w:lang w:val="ro-RO"/>
              </w:rPr>
              <w:t xml:space="preserve"> </w:t>
            </w:r>
          </w:p>
          <w:p w14:paraId="75E6C5FF" w14:textId="77777777" w:rsidR="00482E88" w:rsidRPr="00C05138" w:rsidRDefault="00482E88" w:rsidP="00954C50">
            <w:pPr>
              <w:numPr>
                <w:ilvl w:val="0"/>
                <w:numId w:val="133"/>
              </w:numPr>
              <w:rPr>
                <w:noProof/>
                <w:lang w:val="ro-RO"/>
              </w:rPr>
            </w:pPr>
            <w:r w:rsidRPr="00C05138">
              <w:rPr>
                <w:noProof/>
                <w:lang w:val="ro-RO"/>
              </w:rPr>
              <w:t>Este necesară o agendă de investiții cuprinzătoare pentru a atrage capital privat și pentru a se asigura că UE rămâne o destinație atractivă pentru investiții în cercetare, inovare, implementarea de noi tehnologii, soluții circulare și infrastructură. De asemenea, este nevoie de o utilizare inteligentă și concentrată la începutul perioadei a sprijinului public pentru această tranziție, împreună cu reducerea nivelului de risc al investițiilor private la scară largă.</w:t>
            </w:r>
          </w:p>
          <w:p w14:paraId="3146AEAA" w14:textId="77777777" w:rsidR="00482E88" w:rsidRPr="00C05138" w:rsidRDefault="00482E88" w:rsidP="00954C50">
            <w:pPr>
              <w:numPr>
                <w:ilvl w:val="0"/>
                <w:numId w:val="133"/>
              </w:numPr>
              <w:rPr>
                <w:noProof/>
                <w:lang w:val="ro-RO"/>
              </w:rPr>
            </w:pPr>
            <w:r w:rsidRPr="00C05138">
              <w:rPr>
                <w:noProof/>
                <w:lang w:val="ro-RO"/>
              </w:rPr>
              <w:t xml:space="preserve">Întrucât Pactul verde trebuie să fie, de asemenea, un pact privind decarbonizarea industrială, un cadru favorabil pentru industria decarbonizată ar trebui să completeze o politică industrială consolidată a UE, cu lanțuri valorice reziliente, în special pentru materiile prime critice primare și secundare, și cu o capacitate mai mare de producție internă în sectoarele strategice, alături de încorporarea deplină a principiului durabilității competitive în achizițiile publice. Acest lucru ar impune necesitatea unor mecanisme de finanțare cu resurse adecvate la nivelul UE și crearea unor piețe-lider, inclusiv prin norme privind achizițiile publice, stimulente bazate pe piață, standarde și etichete pentru a orienta consumul către materiale și bunuri durabile, cu emisii de carbon apropiate de zero. </w:t>
            </w:r>
          </w:p>
          <w:p w14:paraId="7FA7804D" w14:textId="1D24753A" w:rsidR="00482E88" w:rsidRPr="00C05138" w:rsidRDefault="00482E88" w:rsidP="00954C50">
            <w:pPr>
              <w:numPr>
                <w:ilvl w:val="0"/>
                <w:numId w:val="133"/>
              </w:numPr>
              <w:rPr>
                <w:noProof/>
                <w:lang w:val="ro-RO"/>
              </w:rPr>
            </w:pPr>
            <w:r w:rsidRPr="00C05138">
              <w:rPr>
                <w:noProof/>
                <w:lang w:val="ro-RO"/>
              </w:rPr>
              <w:t>De asemenea, în acest scop, va fi necesară o abordare mai strategică pentru a asigura produse de bază strategice pe piața mondială prin mecanisme de achiziționare în comun, precum și măsuri care să abordeze competitivitatea exporturilor europene pe piețele mondiale.</w:t>
            </w:r>
          </w:p>
          <w:p w14:paraId="57F2144A" w14:textId="04324807" w:rsidR="00482E88" w:rsidRPr="00C05138" w:rsidRDefault="00482E88" w:rsidP="00954C50">
            <w:pPr>
              <w:numPr>
                <w:ilvl w:val="0"/>
                <w:numId w:val="133"/>
              </w:numPr>
              <w:rPr>
                <w:noProof/>
                <w:lang w:val="ro-RO"/>
              </w:rPr>
            </w:pPr>
            <w:r w:rsidRPr="00C05138">
              <w:rPr>
                <w:noProof/>
                <w:lang w:val="ro-RO"/>
              </w:rPr>
              <w:t xml:space="preserve">Pe lângă sprijinul specific pentru investiții, stabilirea prețului carbonului va rămâne un factor principal al schimbării. Actualele scheme de comercializare a certificatelor de emisii vor trebui completate cu utilizarea eficientă a impozitării energiei și eliminarea treptată a subvențiilor pentru combustibilii fosili care nu abordează sărăcia energetică sau tranziția justă. </w:t>
            </w:r>
          </w:p>
          <w:p w14:paraId="7D0140B5" w14:textId="77777777" w:rsidR="00482E88" w:rsidRPr="00C05138" w:rsidRDefault="00482E88" w:rsidP="002205E6">
            <w:pPr>
              <w:pStyle w:val="ListParagraph"/>
              <w:numPr>
                <w:ilvl w:val="0"/>
                <w:numId w:val="0"/>
              </w:numPr>
              <w:spacing w:after="120"/>
              <w:ind w:left="720"/>
              <w:rPr>
                <w:noProof/>
                <w:color w:val="000000" w:themeColor="text1"/>
                <w:lang w:val="ro-RO"/>
              </w:rPr>
            </w:pPr>
          </w:p>
          <w:p w14:paraId="341C5A30" w14:textId="397492DB" w:rsidR="00482E88" w:rsidRPr="00C05138" w:rsidRDefault="00482E88" w:rsidP="00B1019F">
            <w:pPr>
              <w:pStyle w:val="ListParagraph"/>
              <w:numPr>
                <w:ilvl w:val="0"/>
                <w:numId w:val="49"/>
              </w:numPr>
              <w:spacing w:after="120"/>
              <w:rPr>
                <w:noProof/>
                <w:color w:val="000000" w:themeColor="text1"/>
                <w:lang w:val="ro-RO"/>
              </w:rPr>
            </w:pPr>
            <w:bookmarkStart w:id="57" w:name="_Hlk158032416"/>
            <w:r w:rsidRPr="00C05138">
              <w:rPr>
                <w:b/>
                <w:noProof/>
                <w:color w:val="000000" w:themeColor="text1"/>
                <w:lang w:val="ro-RO"/>
              </w:rPr>
              <w:t>Infrastructură pentru livrarea, transportul și stocarea hidrogenului și ale CO</w:t>
            </w:r>
            <w:r w:rsidRPr="00C05138">
              <w:rPr>
                <w:b/>
                <w:noProof/>
                <w:color w:val="000000" w:themeColor="text1"/>
                <w:vertAlign w:val="subscript"/>
                <w:lang w:val="ro-RO"/>
              </w:rPr>
              <w:t>2</w:t>
            </w:r>
          </w:p>
          <w:p w14:paraId="3EBCB5C9" w14:textId="13139D25" w:rsidR="00482E88" w:rsidRPr="00C05138" w:rsidRDefault="00482E88" w:rsidP="00954C50">
            <w:pPr>
              <w:numPr>
                <w:ilvl w:val="0"/>
                <w:numId w:val="133"/>
              </w:numPr>
              <w:rPr>
                <w:noProof/>
                <w:lang w:val="ro-RO"/>
              </w:rPr>
            </w:pPr>
            <w:r w:rsidRPr="00C05138">
              <w:rPr>
                <w:noProof/>
                <w:lang w:val="ro-RO"/>
              </w:rPr>
              <w:t>Intervenția publică specifică poate acționa ca un catalizator pentru accelerarea investițiilor, inclusiv la nivel european. Ar trebui să se acorde o atenție deosebită dezvoltării unei infrastructuri energetice integrate inteligente la nivel de distribuție, inclusiv pentru reîncărcarea și realimentarea vehiculelor, precum și pentru clusterele industriale, inclusiv pentru asigurarea hidrogenului și a materiilor prime cu emisii scăzute de dioxid de carbon pentru a înlocui factorii de producție pe bază de combustibili fosili.</w:t>
            </w:r>
          </w:p>
          <w:p w14:paraId="6896AB65" w14:textId="77777777" w:rsidR="00482E88" w:rsidRPr="00C05138" w:rsidRDefault="00482E88" w:rsidP="00954C50">
            <w:pPr>
              <w:numPr>
                <w:ilvl w:val="0"/>
                <w:numId w:val="133"/>
              </w:numPr>
              <w:rPr>
                <w:noProof/>
                <w:lang w:val="ro-RO"/>
              </w:rPr>
            </w:pPr>
            <w:r w:rsidRPr="00C05138">
              <w:rPr>
                <w:noProof/>
                <w:lang w:val="ro-RO"/>
              </w:rPr>
              <w:t>Planificarea urbană va permite cetățenilor și întreprinderilor să își decarbonizeze mediul, fie prin intermediul infrastructurii de reîncărcare, fie prin termoficare.</w:t>
            </w:r>
          </w:p>
          <w:bookmarkEnd w:id="57"/>
          <w:p w14:paraId="773A378D" w14:textId="77777777" w:rsidR="00482E88" w:rsidRPr="00C05138" w:rsidRDefault="00482E88" w:rsidP="002205E6">
            <w:pPr>
              <w:ind w:left="720" w:hanging="360"/>
              <w:rPr>
                <w:noProof/>
                <w:color w:val="000000" w:themeColor="text1"/>
                <w:lang w:val="ro-RO"/>
              </w:rPr>
            </w:pPr>
          </w:p>
          <w:p w14:paraId="0F7211B7" w14:textId="77777777" w:rsidR="00482E88" w:rsidRPr="00C05138" w:rsidRDefault="00482E88" w:rsidP="00B1019F">
            <w:pPr>
              <w:pStyle w:val="ListParagraph"/>
              <w:numPr>
                <w:ilvl w:val="0"/>
                <w:numId w:val="49"/>
              </w:numPr>
              <w:spacing w:after="120"/>
              <w:rPr>
                <w:noProof/>
                <w:lang w:val="ro-RO"/>
              </w:rPr>
            </w:pPr>
            <w:r w:rsidRPr="00C05138">
              <w:rPr>
                <w:b/>
                <w:noProof/>
                <w:lang w:val="ro-RO"/>
              </w:rPr>
              <w:t xml:space="preserve">Intensificarea reducerii emisiilor în agricultură </w:t>
            </w:r>
          </w:p>
          <w:p w14:paraId="261E45C4" w14:textId="1CF160B2" w:rsidR="00482E88" w:rsidRPr="00C05138" w:rsidRDefault="00482E88" w:rsidP="00954C50">
            <w:pPr>
              <w:numPr>
                <w:ilvl w:val="0"/>
                <w:numId w:val="133"/>
              </w:numPr>
              <w:rPr>
                <w:noProof/>
                <w:lang w:val="ro-RO"/>
              </w:rPr>
            </w:pPr>
            <w:r w:rsidRPr="00C05138">
              <w:rPr>
                <w:noProof/>
                <w:lang w:val="ro-RO"/>
              </w:rPr>
              <w:t>Agricultura joacă un rol vital în garantarea securității alimentare. La fel ca alte sectoare, agricultura joacă, de asemenea, un rol în tranziția verde. Prin instituirea de politici eficace prin care se recompensează bunele practici, există posibilitatea de a reduce mai rapid emisiile din acest sector, sporind în același timp eliminările de dioxid de carbon în sectorul combinat al terenurilor, precum și prin intermediul solurilor și al pădurilor. Lanțul valoric agroalimentar ar trebui implicat pentru a crea sinergii și a exploata potențialul maxim de atenuare.</w:t>
            </w:r>
          </w:p>
          <w:p w14:paraId="72673117" w14:textId="77777777" w:rsidR="00482E88" w:rsidRPr="00C05138" w:rsidRDefault="00482E88" w:rsidP="00954C50">
            <w:pPr>
              <w:numPr>
                <w:ilvl w:val="0"/>
                <w:numId w:val="133"/>
              </w:numPr>
              <w:rPr>
                <w:noProof/>
                <w:lang w:val="ro-RO"/>
              </w:rPr>
            </w:pPr>
            <w:r w:rsidRPr="00C05138">
              <w:rPr>
                <w:noProof/>
                <w:lang w:val="ro-RO"/>
              </w:rPr>
              <w:t>Ar trebui instituite politici și stimulente clare pentru a valorifica potențialul de inovare din sistemul alimentar și din bioeconomie în general, precum și pentru a oferi alimente sănătoase și durabile cetățenilor UE.</w:t>
            </w:r>
          </w:p>
          <w:p w14:paraId="7BD324BB" w14:textId="77777777" w:rsidR="00482E88" w:rsidRPr="00C05138" w:rsidRDefault="00482E88" w:rsidP="002205E6">
            <w:pPr>
              <w:pStyle w:val="ListParagraph"/>
              <w:numPr>
                <w:ilvl w:val="0"/>
                <w:numId w:val="0"/>
              </w:numPr>
              <w:spacing w:after="160"/>
              <w:ind w:left="720"/>
              <w:rPr>
                <w:noProof/>
                <w:lang w:val="ro-RO"/>
              </w:rPr>
            </w:pPr>
          </w:p>
          <w:p w14:paraId="6E3510FE" w14:textId="77777777" w:rsidR="00482E88" w:rsidRPr="00C05138" w:rsidRDefault="00482E88" w:rsidP="00B1019F">
            <w:pPr>
              <w:pStyle w:val="ListParagraph"/>
              <w:numPr>
                <w:ilvl w:val="0"/>
                <w:numId w:val="49"/>
              </w:numPr>
              <w:spacing w:after="120"/>
              <w:rPr>
                <w:noProof/>
                <w:color w:val="000000" w:themeColor="text1"/>
                <w:lang w:val="ro-RO"/>
              </w:rPr>
            </w:pPr>
            <w:bookmarkStart w:id="58" w:name="_Hlk157346777"/>
            <w:r w:rsidRPr="00C05138">
              <w:rPr>
                <w:b/>
                <w:noProof/>
                <w:color w:val="000000" w:themeColor="text1"/>
                <w:lang w:val="ro-RO"/>
              </w:rPr>
              <w:t>Politica privind clima ca politică de investiții</w:t>
            </w:r>
            <w:r w:rsidRPr="00C05138">
              <w:rPr>
                <w:noProof/>
                <w:color w:val="000000" w:themeColor="text1"/>
                <w:lang w:val="ro-RO"/>
              </w:rPr>
              <w:t xml:space="preserve"> </w:t>
            </w:r>
          </w:p>
          <w:p w14:paraId="04D9D23E" w14:textId="77777777" w:rsidR="00482E88" w:rsidRPr="00C05138" w:rsidRDefault="00482E88" w:rsidP="00954C50">
            <w:pPr>
              <w:numPr>
                <w:ilvl w:val="0"/>
                <w:numId w:val="133"/>
              </w:numPr>
              <w:rPr>
                <w:noProof/>
                <w:lang w:val="ro-RO"/>
              </w:rPr>
            </w:pPr>
            <w:r w:rsidRPr="00C05138">
              <w:rPr>
                <w:noProof/>
                <w:lang w:val="ro-RO"/>
              </w:rPr>
              <w:t xml:space="preserve">Un procent suplimentar de 1,5 % din PIB față de deceniul 2011-2020 ar trebui investit anual în tranziție, transferându-se resurse dinspre utilizări mai puțin durabile, cum ar fi subvențiile pentru combustibilii fosili. O mobilizare puternică a sectorului privat va fi o condiție prealabilă pentru a face posibil acest lucru. Sectorul privat va realiza cea mai mare parte a acestor investiții în situația în care cadrul de politică stimulează investițiile cu emisii scăzute de dioxid de carbon și descurajează investițiile cu emisii ridicate de dioxid de carbon, cu condiția să existe argumente economice solide pentru aceste investiții. </w:t>
            </w:r>
          </w:p>
          <w:bookmarkEnd w:id="58"/>
          <w:p w14:paraId="336352A4" w14:textId="77777777" w:rsidR="00482E88" w:rsidRPr="00C05138" w:rsidRDefault="00482E88" w:rsidP="00954C50">
            <w:pPr>
              <w:numPr>
                <w:ilvl w:val="0"/>
                <w:numId w:val="133"/>
              </w:numPr>
              <w:rPr>
                <w:noProof/>
                <w:lang w:val="ro-RO"/>
              </w:rPr>
            </w:pPr>
            <w:r w:rsidRPr="00C05138">
              <w:rPr>
                <w:noProof/>
                <w:lang w:val="ro-RO"/>
              </w:rPr>
              <w:t xml:space="preserve">Sunt necesare politici specifice pentru a promova UE ca destinație principală pentru investiții durabile. Acest lucru necesită o reflecție cuprinzătoare asupra tuturor elementelor următoare: de la impozitare la accesul la finanțare, de la competențe la sarcini de reglementare și de la aprofundarea pieței unice la costurile cu energia. Acesta este un element esențial pentru succesul viitor al agendei UE, care ar trebui coordonat cu acțiunile statelor membre. </w:t>
            </w:r>
            <w:bookmarkStart w:id="59" w:name="_Hlk157014566"/>
          </w:p>
          <w:p w14:paraId="04662750" w14:textId="4E4A0CE0" w:rsidR="00482E88" w:rsidRPr="00C05138" w:rsidRDefault="00482E88" w:rsidP="00954C50">
            <w:pPr>
              <w:numPr>
                <w:ilvl w:val="0"/>
                <w:numId w:val="133"/>
              </w:numPr>
              <w:rPr>
                <w:noProof/>
                <w:lang w:val="ro-RO"/>
              </w:rPr>
            </w:pPr>
            <w:r w:rsidRPr="00C05138">
              <w:rPr>
                <w:noProof/>
                <w:lang w:val="ro-RO"/>
              </w:rPr>
              <w:t>Tranziția necesită, de asemenea, utilizarea inteligentă a sprijinului public și a schemelor financiare pentru a mobiliza investițiile private la scară largă. Sprijinul public la scară largă în sectoarele care se confruntă cu riscuri ridicate de afaceri și pentru gospodării, în care capitalul propriu reprezintă un motiv de îngrijorare, va fi esențial. Acest lucru va necesita o implicare mai activă și o aversiune mai mică față de risc din partea actorilor financiari instituționali și, în special, a BEI. În același timp, sprijinul public rămâne esențial, iar utilizarea eficace a resurselor adecvate, inclusiv prin finanțare din partea UE, ar trebui să facă parte dintr-un proces de reflecție, pentru ca proiectele industriale cu emisii zero și cu emisii scăzute de dioxid de carbon să devină viabile din punct de vedere comercial.</w:t>
            </w:r>
            <w:bookmarkEnd w:id="59"/>
          </w:p>
          <w:p w14:paraId="5DFED159" w14:textId="77777777" w:rsidR="00482E88" w:rsidRPr="00C05138" w:rsidRDefault="00482E88" w:rsidP="002205E6">
            <w:pPr>
              <w:pStyle w:val="ListParagraph"/>
              <w:numPr>
                <w:ilvl w:val="0"/>
                <w:numId w:val="0"/>
              </w:numPr>
              <w:spacing w:after="160"/>
              <w:ind w:left="720"/>
              <w:rPr>
                <w:noProof/>
                <w:color w:val="000000" w:themeColor="text1"/>
                <w:lang w:val="ro-RO"/>
              </w:rPr>
            </w:pPr>
          </w:p>
          <w:p w14:paraId="13B22065" w14:textId="77777777" w:rsidR="00482E88" w:rsidRPr="00C05138" w:rsidRDefault="00482E88" w:rsidP="00B1019F">
            <w:pPr>
              <w:pStyle w:val="ListParagraph"/>
              <w:numPr>
                <w:ilvl w:val="0"/>
                <w:numId w:val="49"/>
              </w:numPr>
              <w:rPr>
                <w:noProof/>
                <w:color w:val="000000" w:themeColor="text1"/>
                <w:lang w:val="ro-RO"/>
              </w:rPr>
            </w:pPr>
            <w:r w:rsidRPr="00C05138">
              <w:rPr>
                <w:b/>
                <w:noProof/>
                <w:lang w:val="ro-RO"/>
              </w:rPr>
              <w:t>Echitatea, solidaritatea și politicile sociale în centrul tranziției</w:t>
            </w:r>
            <w:r w:rsidRPr="00C05138">
              <w:rPr>
                <w:noProof/>
                <w:lang w:val="ro-RO"/>
              </w:rPr>
              <w:t xml:space="preserve"> </w:t>
            </w:r>
          </w:p>
          <w:p w14:paraId="33918D19" w14:textId="2956BABA" w:rsidR="00482E88" w:rsidRPr="00C05138" w:rsidRDefault="00482E88" w:rsidP="00954C50">
            <w:pPr>
              <w:numPr>
                <w:ilvl w:val="0"/>
                <w:numId w:val="133"/>
              </w:numPr>
              <w:rPr>
                <w:noProof/>
                <w:lang w:val="ro-RO"/>
              </w:rPr>
            </w:pPr>
            <w:r w:rsidRPr="00C05138">
              <w:rPr>
                <w:noProof/>
                <w:lang w:val="ro-RO"/>
              </w:rPr>
              <w:t xml:space="preserve">O economie neutră din punct de vedere climatic, favorabilă incluziunii și rezilientă va asigura prosperitatea și bunăstarea pe termen lung a cetățenilor UE. Cu toate acestea, politicile și fondurile publice, precum și dialogul social vor trebui să abordeze provocările cu care se confruntă anumite grupuri și regiuni, sprijinind investițiile în decarbonizare ale gospodăriilor. </w:t>
            </w:r>
          </w:p>
          <w:p w14:paraId="71DEB9B7" w14:textId="77777777" w:rsidR="00482E88" w:rsidRPr="00C05138" w:rsidRDefault="00482E88" w:rsidP="00954C50">
            <w:pPr>
              <w:numPr>
                <w:ilvl w:val="0"/>
                <w:numId w:val="133"/>
              </w:numPr>
              <w:rPr>
                <w:noProof/>
                <w:lang w:val="ro-RO"/>
              </w:rPr>
            </w:pPr>
            <w:r w:rsidRPr="00C05138">
              <w:rPr>
                <w:noProof/>
                <w:lang w:val="ro-RO"/>
              </w:rPr>
              <w:t>Abordarea preocupărilor sociale va necesita un accent clar al politicilor pe echitate, solidaritate și politici sociale, care nu numai că atenuează impactul direct al stabilirii prețului carbonului acolo unde este necesar, ci și permit gospodăriilor cu venituri mici să realizeze o tranziție eficace către eliminarea emisiilor de dioxid de carbon.</w:t>
            </w:r>
          </w:p>
          <w:p w14:paraId="0887A62F" w14:textId="77777777" w:rsidR="00482E88" w:rsidRPr="00C05138" w:rsidRDefault="00482E88" w:rsidP="00954C50">
            <w:pPr>
              <w:ind w:left="720"/>
              <w:rPr>
                <w:noProof/>
                <w:lang w:val="ro-RO"/>
              </w:rPr>
            </w:pPr>
          </w:p>
          <w:p w14:paraId="3033ADC6" w14:textId="77777777" w:rsidR="00482E88" w:rsidRPr="00C05138" w:rsidRDefault="00482E88" w:rsidP="00B1019F">
            <w:pPr>
              <w:pStyle w:val="ListParagraph"/>
              <w:numPr>
                <w:ilvl w:val="0"/>
                <w:numId w:val="49"/>
              </w:numPr>
              <w:spacing w:after="120"/>
              <w:rPr>
                <w:noProof/>
                <w:color w:val="000000" w:themeColor="text1"/>
                <w:lang w:val="ro-RO"/>
              </w:rPr>
            </w:pPr>
            <w:r w:rsidRPr="00C05138">
              <w:rPr>
                <w:b/>
                <w:noProof/>
                <w:color w:val="000000" w:themeColor="text1"/>
                <w:lang w:val="ro-RO"/>
              </w:rPr>
              <w:t>Diplomația și parteneriatele UE în domeniul climei vor încuraja decarbonizarea la nivel mondial</w:t>
            </w:r>
            <w:r w:rsidRPr="00C05138">
              <w:rPr>
                <w:noProof/>
                <w:color w:val="000000" w:themeColor="text1"/>
                <w:lang w:val="ro-RO"/>
              </w:rPr>
              <w:t xml:space="preserve"> </w:t>
            </w:r>
          </w:p>
          <w:p w14:paraId="1DF7756D" w14:textId="77777777" w:rsidR="00B322B5" w:rsidRPr="00C05138" w:rsidRDefault="00482E88" w:rsidP="00B322B5">
            <w:pPr>
              <w:numPr>
                <w:ilvl w:val="0"/>
                <w:numId w:val="133"/>
              </w:numPr>
              <w:rPr>
                <w:noProof/>
                <w:lang w:val="ro-RO"/>
              </w:rPr>
            </w:pPr>
            <w:r w:rsidRPr="00C05138">
              <w:rPr>
                <w:noProof/>
                <w:lang w:val="ro-RO"/>
              </w:rPr>
              <w:t>UE ar trebui să continue să conducă prin puterea exemplului și să ofere o contribuție amplă la realizarea obiectivelor Acordului de la Paris, precum și să își extindă și aprofundeze parteneriatele internaționale.</w:t>
            </w:r>
          </w:p>
          <w:p w14:paraId="5CE9C1F0" w14:textId="59BF7A3F" w:rsidR="001774FA" w:rsidRPr="00C05138" w:rsidRDefault="00482E88" w:rsidP="00C9413A">
            <w:pPr>
              <w:pStyle w:val="ListParagraph"/>
              <w:numPr>
                <w:ilvl w:val="0"/>
                <w:numId w:val="133"/>
              </w:numPr>
              <w:rPr>
                <w:noProof/>
                <w:lang w:val="ro-RO"/>
              </w:rPr>
            </w:pPr>
            <w:r w:rsidRPr="00C05138">
              <w:rPr>
                <w:noProof/>
                <w:lang w:val="ro-RO"/>
              </w:rPr>
              <w:t>Aceasta ar trebui să desfășoare o diplomație activă la nivel mondial în ceea ce privește stabilirea prețului carbonului, în sinergie cu alte instrumente de politică ale UE în domeniul climei, cum ar fi CBAM.</w:t>
            </w:r>
          </w:p>
          <w:p w14:paraId="3AC4A557" w14:textId="77777777" w:rsidR="001774FA" w:rsidRPr="00C05138" w:rsidRDefault="001774FA" w:rsidP="003424A8">
            <w:pPr>
              <w:ind w:left="720"/>
              <w:rPr>
                <w:noProof/>
                <w:lang w:val="ro-RO"/>
              </w:rPr>
            </w:pPr>
          </w:p>
          <w:p w14:paraId="0CFE0173" w14:textId="785D6161" w:rsidR="00482E88" w:rsidRPr="00C05138" w:rsidRDefault="00482E88" w:rsidP="003424A8">
            <w:pPr>
              <w:pStyle w:val="ListParagraph"/>
              <w:numPr>
                <w:ilvl w:val="0"/>
                <w:numId w:val="49"/>
              </w:numPr>
              <w:rPr>
                <w:noProof/>
                <w:lang w:val="ro-RO"/>
              </w:rPr>
            </w:pPr>
            <w:r w:rsidRPr="00C05138">
              <w:rPr>
                <w:b/>
                <w:noProof/>
                <w:lang w:val="ro-RO"/>
              </w:rPr>
              <w:t>Gestionarea riscurilor și reziliența</w:t>
            </w:r>
            <w:r w:rsidRPr="00C05138">
              <w:rPr>
                <w:noProof/>
                <w:lang w:val="ro-RO"/>
              </w:rPr>
              <w:t xml:space="preserve"> </w:t>
            </w:r>
          </w:p>
          <w:p w14:paraId="078A6176" w14:textId="77777777" w:rsidR="00482E88" w:rsidRPr="00C05138" w:rsidRDefault="00482E88" w:rsidP="00954C50">
            <w:pPr>
              <w:numPr>
                <w:ilvl w:val="0"/>
                <w:numId w:val="133"/>
              </w:numPr>
              <w:rPr>
                <w:noProof/>
                <w:lang w:val="ro-RO"/>
              </w:rPr>
            </w:pPr>
            <w:r w:rsidRPr="00C05138">
              <w:rPr>
                <w:noProof/>
                <w:lang w:val="ro-RO"/>
              </w:rPr>
              <w:t>Resursele naturale ale UE sunt esențiale pentru furnizarea deplină a serviciilor ecosistemice aferente, în special în ceea ce privește controlul schimbărilor climatice și îmbunătățirea sechestrării carbonului.</w:t>
            </w:r>
          </w:p>
          <w:p w14:paraId="2292FFC1" w14:textId="63B5663C" w:rsidR="001A05EB" w:rsidRPr="00C05138" w:rsidRDefault="001A05EB" w:rsidP="00954C50">
            <w:pPr>
              <w:numPr>
                <w:ilvl w:val="0"/>
                <w:numId w:val="133"/>
              </w:numPr>
              <w:rPr>
                <w:noProof/>
                <w:lang w:val="ro-RO"/>
              </w:rPr>
            </w:pPr>
            <w:r w:rsidRPr="00C05138">
              <w:rPr>
                <w:noProof/>
                <w:lang w:val="ro-RO"/>
              </w:rPr>
              <w:t>Punerea în aplicare a Cadrului mondial pentru biodiversitate de la Kunming-Montreal și a Strategiei UE în domeniul biodiversității va fi esențială pentru atingerea obiectivelor climatice ale UE, inclusiv a obiectivului pentru 2040.</w:t>
            </w:r>
          </w:p>
          <w:p w14:paraId="62C9A6AF" w14:textId="77777777" w:rsidR="00482E88" w:rsidRPr="00C05138" w:rsidRDefault="00482E88" w:rsidP="00954C50">
            <w:pPr>
              <w:numPr>
                <w:ilvl w:val="0"/>
                <w:numId w:val="133"/>
              </w:numPr>
              <w:rPr>
                <w:b/>
                <w:noProof/>
                <w:lang w:val="ro-RO"/>
              </w:rPr>
            </w:pPr>
            <w:r w:rsidRPr="00C05138">
              <w:rPr>
                <w:noProof/>
                <w:lang w:val="ro-RO"/>
              </w:rPr>
              <w:t>Cu toate acestea, schimbările climatice vor avea un impact asupra societăților noastre în anii următori, ceea ce înseamnă că trebuie să ne pregătim și să ne adaptăm în paralel. Intensificarea măsurilor de prevenire a riscurilor și de pregătire și punerea în aplicare în mod coordonat a unor politici care vizează soluții cu utilizarea eficientă a apei sau soluții bazate pe natură vor îmbunătăți reziliența întregii noastre economii și vor reduce costurile.</w:t>
            </w:r>
            <w:r w:rsidRPr="00C05138">
              <w:rPr>
                <w:noProof/>
                <w:color w:val="000000" w:themeColor="text1"/>
                <w:lang w:val="ro-RO"/>
              </w:rPr>
              <w:t xml:space="preserve"> </w:t>
            </w:r>
          </w:p>
        </w:tc>
      </w:tr>
    </w:tbl>
    <w:p w14:paraId="12632A41" w14:textId="77777777" w:rsidR="00482E88" w:rsidRPr="00C05138" w:rsidRDefault="00482E88" w:rsidP="00482E88">
      <w:pPr>
        <w:rPr>
          <w:noProof/>
          <w:lang w:val="ro-RO"/>
        </w:rPr>
      </w:pPr>
    </w:p>
    <w:p w14:paraId="0158CC45" w14:textId="77777777" w:rsidR="00482E88" w:rsidRPr="00C05138" w:rsidRDefault="00482E88" w:rsidP="00482E88">
      <w:pPr>
        <w:rPr>
          <w:noProof/>
          <w:lang w:val="ro-RO"/>
        </w:rPr>
      </w:pPr>
    </w:p>
    <w:p w14:paraId="46A11F93" w14:textId="77777777" w:rsidR="00482E88" w:rsidRPr="00C05138" w:rsidRDefault="00482E88" w:rsidP="00482E88">
      <w:pPr>
        <w:rPr>
          <w:noProof/>
          <w:lang w:val="ro-RO"/>
        </w:rPr>
      </w:pPr>
    </w:p>
    <w:p w14:paraId="2E452033" w14:textId="77777777" w:rsidR="00482E88" w:rsidRPr="00C05138" w:rsidRDefault="00482E88" w:rsidP="00482E88">
      <w:pPr>
        <w:rPr>
          <w:b/>
          <w:noProof/>
          <w:lang w:val="ro-RO"/>
        </w:rPr>
      </w:pPr>
    </w:p>
    <w:p w14:paraId="51EA15A7" w14:textId="20D956A8" w:rsidR="0608D6B6" w:rsidRPr="00C05138" w:rsidRDefault="0608D6B6" w:rsidP="002A12CF">
      <w:pPr>
        <w:rPr>
          <w:noProof/>
          <w:lang w:val="ro-RO"/>
        </w:rPr>
      </w:pPr>
    </w:p>
    <w:p w14:paraId="332764E3" w14:textId="77777777" w:rsidR="00135922" w:rsidRPr="00C05138" w:rsidRDefault="00135922" w:rsidP="002A12CF">
      <w:pPr>
        <w:rPr>
          <w:b/>
          <w:noProof/>
          <w:lang w:val="ro-RO"/>
        </w:rPr>
      </w:pPr>
    </w:p>
    <w:p w14:paraId="15D38AAC" w14:textId="77777777" w:rsidR="00C5215C" w:rsidRPr="00C05138" w:rsidRDefault="00C5215C" w:rsidP="002A12CF">
      <w:pPr>
        <w:rPr>
          <w:noProof/>
          <w:lang w:val="ro-RO"/>
        </w:rPr>
      </w:pPr>
    </w:p>
    <w:sectPr w:rsidR="00C5215C" w:rsidRPr="00C05138" w:rsidSect="000A37A5">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03FA1E" w14:textId="77777777" w:rsidR="00877072" w:rsidRDefault="00877072" w:rsidP="00D14FE4">
      <w:r>
        <w:separator/>
      </w:r>
    </w:p>
  </w:endnote>
  <w:endnote w:type="continuationSeparator" w:id="0">
    <w:p w14:paraId="1C295E00" w14:textId="77777777" w:rsidR="00877072" w:rsidRDefault="00877072" w:rsidP="00D14FE4">
      <w:r>
        <w:continuationSeparator/>
      </w:r>
    </w:p>
  </w:endnote>
  <w:endnote w:type="continuationNotice" w:id="1">
    <w:p w14:paraId="1DE66430" w14:textId="77777777" w:rsidR="00877072" w:rsidRDefault="00877072" w:rsidP="00D14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75A83" w14:textId="089D037B" w:rsidR="00C644BA" w:rsidRPr="00C644BA" w:rsidRDefault="00C644BA" w:rsidP="00C644BA">
    <w:pPr>
      <w:pStyle w:val="FooterCoverPage"/>
      <w:rPr>
        <w:rFonts w:ascii="Arial" w:hAnsi="Arial" w:cs="Arial"/>
        <w:b/>
        <w:sz w:val="48"/>
      </w:rPr>
    </w:pPr>
    <w:r w:rsidRPr="00C644BA">
      <w:rPr>
        <w:rFonts w:ascii="Arial" w:hAnsi="Arial" w:cs="Arial"/>
        <w:b/>
        <w:sz w:val="48"/>
      </w:rPr>
      <w:t>RO</w:t>
    </w:r>
    <w:r w:rsidRPr="00C644BA">
      <w:rPr>
        <w:rFonts w:ascii="Arial" w:hAnsi="Arial" w:cs="Arial"/>
        <w:b/>
        <w:sz w:val="48"/>
      </w:rPr>
      <w:tab/>
    </w:r>
    <w:r w:rsidRPr="00C644BA">
      <w:rPr>
        <w:rFonts w:ascii="Arial" w:hAnsi="Arial" w:cs="Arial"/>
        <w:b/>
        <w:sz w:val="48"/>
      </w:rPr>
      <w:tab/>
    </w:r>
    <w:r w:rsidRPr="00C644BA">
      <w:tab/>
    </w:r>
    <w:r w:rsidRPr="00C644B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B87CD" w14:textId="729228C7" w:rsidR="00C644BA" w:rsidRPr="00C644BA" w:rsidRDefault="00C644BA" w:rsidP="00C644BA">
    <w:pPr>
      <w:pStyle w:val="FooterCoverPage"/>
      <w:rPr>
        <w:rFonts w:ascii="Arial" w:hAnsi="Arial" w:cs="Arial"/>
        <w:b/>
        <w:sz w:val="48"/>
      </w:rPr>
    </w:pPr>
    <w:r w:rsidRPr="00C644BA">
      <w:rPr>
        <w:rFonts w:ascii="Arial" w:hAnsi="Arial" w:cs="Arial"/>
        <w:b/>
        <w:sz w:val="48"/>
      </w:rPr>
      <w:t>RO</w:t>
    </w:r>
    <w:r w:rsidRPr="00C644BA">
      <w:rPr>
        <w:rFonts w:ascii="Arial" w:hAnsi="Arial" w:cs="Arial"/>
        <w:b/>
        <w:sz w:val="48"/>
      </w:rPr>
      <w:tab/>
    </w:r>
    <w:r w:rsidRPr="00C644BA">
      <w:rPr>
        <w:rFonts w:ascii="Arial" w:hAnsi="Arial" w:cs="Arial"/>
        <w:b/>
        <w:sz w:val="48"/>
      </w:rPr>
      <w:tab/>
    </w:r>
    <w:r w:rsidRPr="00C644BA">
      <w:tab/>
    </w:r>
    <w:r w:rsidRPr="00C644B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9C204" w14:textId="77777777" w:rsidR="00C644BA" w:rsidRPr="00C644BA" w:rsidRDefault="00C644BA" w:rsidP="00C644B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48B2" w14:textId="77777777" w:rsidR="000A37A5" w:rsidRDefault="000A37A5">
    <w:pPr>
      <w:pStyle w:val="Footer"/>
    </w:pPr>
  </w:p>
  <w:p w14:paraId="52BA6BF9" w14:textId="77777777" w:rsidR="00DB3C5C" w:rsidRDefault="00DB3C5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674122"/>
      <w:docPartObj>
        <w:docPartGallery w:val="Page Numbers (Bottom of Page)"/>
        <w:docPartUnique/>
      </w:docPartObj>
    </w:sdtPr>
    <w:sdtEndPr/>
    <w:sdtContent>
      <w:p w14:paraId="07579E01" w14:textId="3C3448F1" w:rsidR="000A37A5" w:rsidRDefault="000A37A5" w:rsidP="00D14FE4">
        <w:pPr>
          <w:pStyle w:val="Footer"/>
        </w:pPr>
        <w:r>
          <w:fldChar w:fldCharType="begin"/>
        </w:r>
        <w:r>
          <w:instrText xml:space="preserve"> PAGE   \* MERGEFORMAT </w:instrText>
        </w:r>
        <w:r>
          <w:fldChar w:fldCharType="separate"/>
        </w:r>
        <w:r w:rsidR="00C644BA">
          <w:rPr>
            <w:noProof/>
          </w:rPr>
          <w:t>2</w:t>
        </w:r>
        <w:r>
          <w:fldChar w:fldCharType="end"/>
        </w:r>
      </w:p>
    </w:sdtContent>
  </w:sdt>
  <w:p w14:paraId="475547EE" w14:textId="77777777" w:rsidR="000A37A5" w:rsidRDefault="000A37A5" w:rsidP="00D14FE4">
    <w:pPr>
      <w:pStyle w:val="Footer"/>
    </w:pPr>
  </w:p>
  <w:p w14:paraId="194163D4" w14:textId="77777777" w:rsidR="00DB3C5C" w:rsidRDefault="00DB3C5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3015" w14:textId="77777777" w:rsidR="000A37A5" w:rsidRDefault="000A3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C912C" w14:textId="77777777" w:rsidR="00877072" w:rsidRDefault="00877072" w:rsidP="00D14FE4">
      <w:r>
        <w:separator/>
      </w:r>
    </w:p>
  </w:footnote>
  <w:footnote w:type="continuationSeparator" w:id="0">
    <w:p w14:paraId="7AF4BCDC" w14:textId="77777777" w:rsidR="00877072" w:rsidRDefault="00877072" w:rsidP="00D14FE4">
      <w:r>
        <w:continuationSeparator/>
      </w:r>
    </w:p>
  </w:footnote>
  <w:footnote w:type="continuationNotice" w:id="1">
    <w:p w14:paraId="4A88515F" w14:textId="77777777" w:rsidR="00877072" w:rsidRDefault="00877072" w:rsidP="00D14FE4"/>
  </w:footnote>
  <w:footnote w:id="2">
    <w:p w14:paraId="2CF102A5"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Grupul interguvernamental privind schimbările climatice (IPCC), </w:t>
      </w:r>
      <w:r w:rsidRPr="00C05138">
        <w:rPr>
          <w:i/>
          <w:iCs/>
          <w:lang w:val="ro-RO"/>
        </w:rPr>
        <w:t>AR6 Synthesis Report:</w:t>
      </w:r>
      <w:r w:rsidRPr="00C05138">
        <w:rPr>
          <w:lang w:val="ro-RO"/>
        </w:rPr>
        <w:t xml:space="preserve"> </w:t>
      </w:r>
      <w:r w:rsidRPr="00C05138">
        <w:rPr>
          <w:i/>
          <w:iCs/>
          <w:lang w:val="ro-RO"/>
        </w:rPr>
        <w:t>Climate Change 2023</w:t>
      </w:r>
      <w:r w:rsidRPr="00C05138">
        <w:rPr>
          <w:lang w:val="ro-RO"/>
        </w:rPr>
        <w:t xml:space="preserve"> (Al șaselea raport de evaluare – Raport de sinteză: schimbările climatice 2023).</w:t>
      </w:r>
    </w:p>
  </w:footnote>
  <w:footnote w:id="3">
    <w:p w14:paraId="3EEDBF22"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Pe baza datelor comerciale pentru primele 10 luni și a PIB-ului estimat. </w:t>
      </w:r>
    </w:p>
  </w:footnote>
  <w:footnote w:id="4">
    <w:p w14:paraId="41CA586A"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Raportul intermediar pentru anul 2023 privind politicile climatice. </w:t>
      </w:r>
    </w:p>
  </w:footnote>
  <w:footnote w:id="5">
    <w:p w14:paraId="0AAEA4EA"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Estimare din baza de date AMECO (Comisia Europeană, DG ECFIN), PIB real.</w:t>
      </w:r>
    </w:p>
  </w:footnote>
  <w:footnote w:id="6">
    <w:p w14:paraId="68F966A5" w14:textId="1943CED0" w:rsidR="00482E88" w:rsidRPr="00C05138" w:rsidRDefault="00E63A28" w:rsidP="00482E88">
      <w:pPr>
        <w:rPr>
          <w:lang w:val="ro-RO"/>
        </w:rPr>
      </w:pPr>
      <w:r w:rsidRPr="00C05138">
        <w:rPr>
          <w:lang w:val="ro-RO"/>
        </w:rPr>
        <w:t>(</w:t>
      </w:r>
      <w:r w:rsidRPr="00C05138">
        <w:rPr>
          <w:sz w:val="20"/>
          <w:vertAlign w:val="superscript"/>
          <w:lang w:val="ro-RO"/>
        </w:rPr>
        <w:footnoteRef/>
      </w:r>
      <w:r w:rsidRPr="00C05138">
        <w:rPr>
          <w:lang w:val="ro-RO"/>
        </w:rPr>
        <w:t>)</w:t>
      </w:r>
      <w:r w:rsidRPr="00C05138">
        <w:rPr>
          <w:sz w:val="20"/>
          <w:lang w:val="ro-RO"/>
        </w:rPr>
        <w:t xml:space="preserve"> Eurostat, Cadrul de monitorizare pentru economia circulară</w:t>
      </w:r>
      <w:r w:rsidRPr="00C05138">
        <w:rPr>
          <w:lang w:val="ro-RO"/>
        </w:rPr>
        <w:t>.</w:t>
      </w:r>
    </w:p>
  </w:footnote>
  <w:footnote w:id="7">
    <w:p w14:paraId="44EF5B79" w14:textId="53A732D2" w:rsidR="001B6F27" w:rsidRPr="00C05138" w:rsidRDefault="0024520B">
      <w:pPr>
        <w:pStyle w:val="FootnoteText"/>
        <w:rPr>
          <w:lang w:val="ro-RO"/>
        </w:rPr>
      </w:pPr>
      <w:r w:rsidRPr="00C05138">
        <w:rPr>
          <w:lang w:val="ro-RO"/>
        </w:rPr>
        <w:t>(</w:t>
      </w:r>
      <w:r w:rsidRPr="00C05138">
        <w:rPr>
          <w:rStyle w:val="FootnoteReference"/>
          <w:lang w:val="ro-RO"/>
        </w:rPr>
        <w:footnoteRef/>
      </w:r>
      <w:r w:rsidRPr="00C05138">
        <w:rPr>
          <w:lang w:val="ro-RO"/>
        </w:rPr>
        <w:t>) Această activitate ar trebui să țină seama în mod corespunzător de eforturile UE în vederea adoptării unor măsuri de stabilire a prețului carbonului la nivel global pentru transportul aerian și maritim internațional, prin intermediul OACI și, respectiv, al OMI.</w:t>
      </w:r>
    </w:p>
  </w:footnote>
  <w:footnote w:id="8">
    <w:p w14:paraId="42E3A647"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Cu excluderea emisiilor din sectorul LULUCF.</w:t>
      </w:r>
    </w:p>
  </w:footnote>
  <w:footnote w:id="9">
    <w:p w14:paraId="326EBF92"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Analiza se bazează pe scenarii care reflectă politici și măsuri până în martie 2023. Statele membre își vor prezenta planurile naționale finale privind energia și clima în 2024, iar aceste planuri ar putea include măsuri suplimentare.</w:t>
      </w:r>
    </w:p>
  </w:footnote>
  <w:footnote w:id="10">
    <w:p w14:paraId="5DB80C58"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În concordanță cu traiectoria menționată la articolul 8 din Legea europeană a climei, o traiectorie liniară între obiectivul convenit pentru 2030 și realizarea neutralității climatice în 2050, care să ajungă la aproximativ 78 % în 2040. </w:t>
      </w:r>
    </w:p>
  </w:footnote>
  <w:footnote w:id="11">
    <w:p w14:paraId="78BE70AB"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ESABCC (2023), </w:t>
      </w:r>
      <w:r w:rsidRPr="00C05138">
        <w:rPr>
          <w:i/>
          <w:iCs/>
          <w:lang w:val="ro-RO"/>
        </w:rPr>
        <w:t>Scientific advice for the determination of an EU-wide 2040 climate target and a greenhouse gas budget for 2030–2050</w:t>
      </w:r>
      <w:r w:rsidRPr="00C05138">
        <w:rPr>
          <w:lang w:val="ro-RO"/>
        </w:rPr>
        <w:t xml:space="preserve"> (Aviz științific pentru stabilirea unui obiectiv climatic la nivelul UE pentru 2040 și a unui buget privind gazele cu efect de seră pentru perioada 2030-2050), DOI: 10.2800/609405.</w:t>
      </w:r>
    </w:p>
  </w:footnote>
  <w:footnote w:id="12">
    <w:p w14:paraId="3CF5551F"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Pentru informații suplimentare, a se vedea anexa 14 la evaluarea impactului.</w:t>
      </w:r>
    </w:p>
  </w:footnote>
  <w:footnote w:id="13">
    <w:p w14:paraId="2ACF49A0"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Investițiile din sectorul transporturilor reflectă cheltuielile cu vehiculele, materialul rulant, aeronavele și navele, precum și cu infrastructura de reîncărcare și de realimentare. Acestea nu acoperă investițiile în infrastructură realizate cu scopul de a sprijini mobilitatea multimodală și transportul urban durabil. În special, costurile de achiziție a vehiculelor private reprezintă aproximativ 60 % din valoarea totală.</w:t>
      </w:r>
    </w:p>
  </w:footnote>
  <w:footnote w:id="14">
    <w:p w14:paraId="6D483DEA"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Costurile aferente sistemului energetic sunt mai mari decât investițiile și sunt compuse din costul de capital (costul investițiilor anualizate) și cheltuielile cu energia pentru activitățile economice. Pentru mai multe detalii, a se vedea evaluarea impactului.</w:t>
      </w:r>
    </w:p>
  </w:footnote>
  <w:footnote w:id="15">
    <w:p w14:paraId="3F4E6F5A"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Agenția Europeană de Mediu (2023), </w:t>
      </w:r>
      <w:r w:rsidRPr="00C05138">
        <w:rPr>
          <w:i/>
          <w:iCs/>
          <w:lang w:val="ro-RO"/>
        </w:rPr>
        <w:t>Economic losses from weather- and climate-related extremes in Europe</w:t>
      </w:r>
      <w:r w:rsidRPr="00C05138">
        <w:rPr>
          <w:lang w:val="ro-RO"/>
        </w:rPr>
        <w:t xml:space="preserve"> (Pierderile economice cauzate de fenomenele meteorologice și climatice extreme din Europa).</w:t>
      </w:r>
    </w:p>
  </w:footnote>
  <w:footnote w:id="16">
    <w:p w14:paraId="3F12B719"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Ballester, J., Quijal-Zamorano, M., Méndez Turrubiates, R.F. et al., </w:t>
      </w:r>
      <w:r w:rsidRPr="00C05138">
        <w:rPr>
          <w:i/>
          <w:iCs/>
          <w:lang w:val="ro-RO"/>
        </w:rPr>
        <w:t>Heat-related mortality in Europe during the summer of 2022</w:t>
      </w:r>
      <w:r w:rsidRPr="00C05138">
        <w:rPr>
          <w:lang w:val="ro-RO"/>
        </w:rPr>
        <w:t xml:space="preserve"> (Mortalitatea cauzată de căldură în Europa în vara anului 2022), Nat Med 29, 1857–1866 (2023). </w:t>
      </w:r>
      <w:hyperlink r:id="rId1" w:history="1">
        <w:r w:rsidRPr="00C05138">
          <w:rPr>
            <w:lang w:val="ro-RO"/>
          </w:rPr>
          <w:t>https://doi.org/10.1038/s41591-023-02419-z</w:t>
        </w:r>
      </w:hyperlink>
      <w:r w:rsidRPr="00C05138">
        <w:rPr>
          <w:lang w:val="ro-RO"/>
        </w:rPr>
        <w:t xml:space="preserve">, </w:t>
      </w:r>
      <w:hyperlink r:id="rId2" w:history="1">
        <w:r w:rsidRPr="00C05138">
          <w:rPr>
            <w:rStyle w:val="Hyperlink"/>
            <w:lang w:val="ro-RO"/>
          </w:rPr>
          <w:t>https://www.nature.com/articles/s41591-023-02419-z</w:t>
        </w:r>
      </w:hyperlink>
      <w:r w:rsidRPr="00C05138">
        <w:rPr>
          <w:lang w:val="ro-RO"/>
        </w:rPr>
        <w:t xml:space="preserve">. </w:t>
      </w:r>
    </w:p>
  </w:footnote>
  <w:footnote w:id="17">
    <w:p w14:paraId="44A5ACA6" w14:textId="55E9081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Comparație între impactul traiectoriei reprezentative a evoluției concentrației RCP7.0 a IPCC, care corespunde unui scenariu de „încălzire mai ridicată” [„cea mai bună estimare” în ceea ce privește încălzirea fiind de 2,1 °C pe termen mediu (2041-2060) și de 3,6 °C pe termen lung (2081-2100)] și impactul traiectoriei RCP1.9 compatibile cu obiectivul privind limitarea încălzirii globale la 1,5 °C („cea mai bună estimare” în materie de temperaturi fiind de 1,6 °C și de 1,4 °C).</w:t>
      </w:r>
    </w:p>
  </w:footnote>
  <w:footnote w:id="18">
    <w:p w14:paraId="22DD47FB"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Pe baza valorii duratei de viață statistice (metoda evaluării ridicate). Aceste estimări sunt orientative și sunt obținute prin utilizarea metodologiei care stă la baza analizei specifice a Comisiei privind aerul curat, precum în cea de a treia evaluare prospectivă privind aerul curat.</w:t>
      </w:r>
    </w:p>
  </w:footnote>
  <w:footnote w:id="19">
    <w:p w14:paraId="1E1F1C56"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COM(2023) 796 final.</w:t>
      </w:r>
    </w:p>
  </w:footnote>
  <w:footnote w:id="20">
    <w:p w14:paraId="2A8ED2E7"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În conformitate cu Recomandarea Consiliului privind „asigurarea unei tranziții echitabile către neutralitatea climatică” și pe baza acesteia (C/2022/243).</w:t>
      </w:r>
    </w:p>
  </w:footnote>
  <w:footnote w:id="21">
    <w:p w14:paraId="105E9FBB"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Cu includerea tehnologiilor de conversie a bioenergiei (de exemplu, biogazul), împreună cu o aprovizionare durabilă cu biomasă.</w:t>
      </w:r>
    </w:p>
  </w:footnote>
  <w:footnote w:id="22">
    <w:p w14:paraId="1B05D408" w14:textId="395D017B" w:rsidR="005060FD" w:rsidRPr="00C05138" w:rsidRDefault="005060FD">
      <w:pPr>
        <w:pStyle w:val="FootnoteText"/>
        <w:rPr>
          <w:lang w:val="ro-RO"/>
        </w:rPr>
      </w:pPr>
      <w:r w:rsidRPr="00C05138">
        <w:rPr>
          <w:lang w:val="ro-RO"/>
        </w:rPr>
        <w:t>(</w:t>
      </w:r>
      <w:r w:rsidRPr="00C05138">
        <w:rPr>
          <w:rStyle w:val="FootnoteReference"/>
          <w:lang w:val="ro-RO"/>
        </w:rPr>
        <w:footnoteRef/>
      </w:r>
      <w:r w:rsidRPr="00C05138">
        <w:rPr>
          <w:lang w:val="ro-RO"/>
        </w:rPr>
        <w:t>) Analiza se bazează pe scenarii care reflectă politici și măsuri până în martie 2023. Statele membre își vor prezenta în 2024 planurile naționale finale privind energia și clima, care ar putea include măsuri suplimentare, reflectând în special cele mai recente anunțuri ale unor state membre cu privire la intensificarea utilizării energiei nucleare.</w:t>
      </w:r>
    </w:p>
  </w:footnote>
  <w:footnote w:id="23">
    <w:p w14:paraId="59EF069E"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Restul de 10 % se compensează prin emisii negative sau se asigură cu ajutorul soluțiilor cu emisii scăzute de dioxid de carbon, inclusiv prin utilizarea captării și stocării dioxidului de carbon.</w:t>
      </w:r>
    </w:p>
  </w:footnote>
  <w:footnote w:id="24">
    <w:p w14:paraId="41DDCD24"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ACER (2022), </w:t>
      </w:r>
      <w:r w:rsidRPr="00C05138">
        <w:rPr>
          <w:i/>
          <w:iCs/>
          <w:lang w:val="ro-RO"/>
        </w:rPr>
        <w:t>Final Assessment of the EU Wholesale Electricity Market Design</w:t>
      </w:r>
      <w:r w:rsidRPr="00C05138">
        <w:rPr>
          <w:lang w:val="ro-RO"/>
        </w:rPr>
        <w:t xml:space="preserve"> (Evaluare finală privind organizarea pieței angro a energiei electrice din UE). </w:t>
      </w:r>
    </w:p>
  </w:footnote>
  <w:footnote w:id="25">
    <w:p w14:paraId="7513AD93"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w:t>
      </w:r>
      <w:r w:rsidRPr="00C05138">
        <w:rPr>
          <w:color w:val="000000" w:themeColor="text1"/>
          <w:lang w:val="ro-RO"/>
        </w:rPr>
        <w:t>Planul de acțiune al Comisiei pentru digitalizarea sistemului energetic</w:t>
      </w:r>
      <w:r w:rsidRPr="00C05138">
        <w:rPr>
          <w:lang w:val="ro-RO"/>
        </w:rPr>
        <w:t>.</w:t>
      </w:r>
    </w:p>
  </w:footnote>
  <w:footnote w:id="26">
    <w:p w14:paraId="0EF6D5E5" w14:textId="62D2B847" w:rsidR="00482E88" w:rsidRPr="00C05138" w:rsidRDefault="00E63A28" w:rsidP="00482E88">
      <w:pPr>
        <w:pStyle w:val="FootnoteText"/>
        <w:rPr>
          <w:lang w:val="ro-RO"/>
        </w:rPr>
      </w:pPr>
      <w:r w:rsidRPr="00C05138">
        <w:rPr>
          <w:lang w:val="ro-RO"/>
        </w:rPr>
        <w:t>(</w:t>
      </w:r>
      <w:r w:rsidRPr="00C05138">
        <w:rPr>
          <w:rStyle w:val="FootnoteReference"/>
          <w:lang w:val="ro-RO"/>
        </w:rPr>
        <w:footnoteRef/>
      </w:r>
      <w:r w:rsidRPr="00C05138">
        <w:rPr>
          <w:lang w:val="ro-RO"/>
        </w:rPr>
        <w:t>) COM(2023) 62.</w:t>
      </w:r>
    </w:p>
  </w:footnote>
  <w:footnote w:id="27">
    <w:p w14:paraId="2E785E7A"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https://s3platform.jrc.ec.europa.eu/hydrogen-valleys.  </w:t>
      </w:r>
    </w:p>
  </w:footnote>
  <w:footnote w:id="28">
    <w:p w14:paraId="5ACD2F35"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Aceasta include electrificarea și trecerea la combustibili alternativi (de exemplu, hidrogen din surse regenerabile și cu emisii scăzute de dioxid de carbon, e-combustibili sau bioenergie), clustere industriale simbiotice, inovarea în domeniul proceselor cu emisii scăzute de dioxid de carbon, eficiența energetică și a utilizării resurselor, înlocuirea materialelor și modele de afaceri circulare.</w:t>
      </w:r>
    </w:p>
    <w:p w14:paraId="0C98E9A3" w14:textId="77777777" w:rsidR="00482E88" w:rsidRPr="00C05138" w:rsidRDefault="00482E88" w:rsidP="00482E88">
      <w:pPr>
        <w:pStyle w:val="FootnoteText"/>
        <w:rPr>
          <w:lang w:val="ro-RO"/>
        </w:rPr>
      </w:pPr>
    </w:p>
  </w:footnote>
  <w:footnote w:id="29">
    <w:p w14:paraId="6147BC79"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Potrivit Agenției Internaționale a Energiei, dependența puternică de combustibilii fosili a UE expune industriile energointensive europene la o pondere mai mare a cheltuielilor cu energia în costul total de producție decât în cazul concurenților din SUA sau China. În urma șocului energetic din perioada 2021-2022 cauzat de dependența UE de importurile de combustibili fosili, datele recente sugerează că o parte din reducerea consumului de gaze naturale a fost determinată de o scădere a producției industriale, în special la nivelul industriilor energointensive.</w:t>
      </w:r>
    </w:p>
  </w:footnote>
  <w:footnote w:id="30">
    <w:p w14:paraId="181658E2" w14:textId="41CBCEA4" w:rsidR="00482E88" w:rsidRPr="00C05138" w:rsidRDefault="00E63A28" w:rsidP="00482E88">
      <w:pPr>
        <w:pStyle w:val="FootnoteText"/>
        <w:rPr>
          <w:lang w:val="ro-RO"/>
        </w:rPr>
      </w:pPr>
      <w:r w:rsidRPr="00C05138">
        <w:rPr>
          <w:lang w:val="ro-RO"/>
        </w:rPr>
        <w:t>(</w:t>
      </w:r>
      <w:r w:rsidRPr="00C05138">
        <w:rPr>
          <w:rStyle w:val="FootnoteReference"/>
          <w:lang w:val="ro-RO"/>
        </w:rPr>
        <w:footnoteRef/>
      </w:r>
      <w:r w:rsidRPr="00C05138">
        <w:rPr>
          <w:lang w:val="ro-RO"/>
        </w:rPr>
        <w:t>) Eurostat (2023), Cadrul de monitorizare al UE pentru economia circulară, mai 2023. Locuri de muncă directe. Aceste cifre nu includ locurile de muncă din economia circulară atunci când sunt integrate în alte sectoare.</w:t>
      </w:r>
    </w:p>
  </w:footnote>
  <w:footnote w:id="31">
    <w:p w14:paraId="2C5C914C"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„Captarea dioxidului de carbon” include dioxidul de carbon captat din procesele industriale, producția de energie electrică și termică, optimizarea biogazului și captarea directă a aerului. </w:t>
      </w:r>
    </w:p>
  </w:footnote>
  <w:footnote w:id="32">
    <w:p w14:paraId="763ED71D"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Captarea și stocarea dioxidului de carbon în legătură cu emisiile de CO</w:t>
      </w:r>
      <w:r w:rsidRPr="00C05138">
        <w:rPr>
          <w:vertAlign w:val="subscript"/>
          <w:lang w:val="ro-RO"/>
        </w:rPr>
        <w:t>2</w:t>
      </w:r>
      <w:r w:rsidRPr="00C05138">
        <w:rPr>
          <w:lang w:val="ro-RO"/>
        </w:rPr>
        <w:t xml:space="preserve"> biogenic provenite din arderea biomasei pentru producerea de energie (BECCS) sau din prelucrarea biomasei în aplicații industriale.</w:t>
      </w:r>
    </w:p>
  </w:footnote>
  <w:footnote w:id="33">
    <w:p w14:paraId="63CF70D0"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Inclusiv camioane, autobuze și autocare.</w:t>
      </w:r>
    </w:p>
  </w:footnote>
  <w:footnote w:id="34">
    <w:p w14:paraId="2827D061"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Regulamentul (UE) 2023/1805 al Parlamentului European și al Consiliului din 13 septembrie 2023 privind utilizarea combustibililor din surse regenerabile și cu emisii scăzute de carbon în transportul maritim și de modificare a Directivei 2009/16/CE.</w:t>
      </w:r>
    </w:p>
  </w:footnote>
  <w:footnote w:id="35">
    <w:p w14:paraId="1A71D389" w14:textId="77777777" w:rsidR="00482E88" w:rsidRPr="00C05138" w:rsidRDefault="00482E88" w:rsidP="00482E88">
      <w:pPr>
        <w:pStyle w:val="FootnoteText"/>
        <w:rPr>
          <w:rFonts w:cstheme="minorHAnsi"/>
          <w:lang w:val="ro-RO"/>
        </w:rPr>
      </w:pPr>
      <w:r w:rsidRPr="00C05138">
        <w:rPr>
          <w:lang w:val="ro-RO"/>
        </w:rPr>
        <w:t>(</w:t>
      </w:r>
      <w:r w:rsidRPr="00C05138">
        <w:rPr>
          <w:rStyle w:val="FootnoteReference"/>
          <w:rFonts w:cstheme="minorHAnsi"/>
          <w:lang w:val="ro-RO"/>
        </w:rPr>
        <w:footnoteRef/>
      </w:r>
      <w:r w:rsidRPr="00C05138">
        <w:rPr>
          <w:lang w:val="ro-RO"/>
        </w:rPr>
        <w:t>) Regulamentul (UE) 2023/2405 al Parlamentului European și al Consiliului din 18 octombrie 2023 privind asigurarea unor condiții de concurență echitabile pentru un transport aerian durabil (ReFuelEU în domeniul aviației).</w:t>
      </w:r>
    </w:p>
  </w:footnote>
  <w:footnote w:id="36">
    <w:p w14:paraId="1BCCEE63"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De exemplu, pentru a acoperi aviația de afaceri și navele cu un tonaj mai mic de 5 000 GT, care au fost excluse.</w:t>
      </w:r>
    </w:p>
  </w:footnote>
  <w:footnote w:id="37">
    <w:p w14:paraId="1FE2079C"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Inclusiv pentru respectarea Strategiei OMI referitoare la reducerea emisiilor de GES (zero emisii nete de GES până în 2050 sau în jurul acestui an sau aproape de acest an, cu puncte de control orientative de cel puțin 70 % și depunându-se eforturi pentru a se ajunge la 80 %, comparativ cu 2008, până în 2040).</w:t>
      </w:r>
    </w:p>
  </w:footnote>
  <w:footnote w:id="38">
    <w:p w14:paraId="3D4AB5A0"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Tehnologii de atenuare, cum ar fi ameliorarea genetică, eficiența optimizată a hranei pentru animale și o mai bună gestionare a dejecțiilor animaliere pot reduce emisiile de metan provenite de la animale. Agricultura de precizie și creșterea eficienței îngrășămintelor pot reduce emisiile de protoxid de azot.</w:t>
      </w:r>
    </w:p>
  </w:footnote>
  <w:footnote w:id="39">
    <w:p w14:paraId="76269FAD"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Azot recuperat din dejecțiile animaliere.</w:t>
      </w:r>
    </w:p>
  </w:footnote>
  <w:footnote w:id="40">
    <w:p w14:paraId="42C8A6E9"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w:t>
      </w:r>
      <w:hyperlink r:id="rId3" w:history="1">
        <w:r w:rsidRPr="00C05138">
          <w:rPr>
            <w:rStyle w:val="Hyperlink"/>
            <w:lang w:val="ro-RO"/>
          </w:rPr>
          <w:t>Politica comună în domeniul pescuitului în prezent și în viitor:</w:t>
        </w:r>
      </w:hyperlink>
      <w:hyperlink r:id="rId4" w:history="1">
        <w:r w:rsidRPr="00C05138">
          <w:rPr>
            <w:rStyle w:val="Hyperlink"/>
            <w:lang w:val="ro-RO"/>
          </w:rPr>
          <w:t xml:space="preserve"> un pact privind pescuitul și oceanele pentru o gestionare a pescuitului sustenabilă, bazată pe date științifice, inovatoare și favorabilă incluziunii – Comisia Europeană (europa.eu)</w:t>
        </w:r>
      </w:hyperlink>
      <w:r w:rsidRPr="00C05138">
        <w:rPr>
          <w:lang w:val="ro-RO"/>
        </w:rPr>
        <w:t>.</w:t>
      </w:r>
    </w:p>
  </w:footnote>
  <w:footnote w:id="41">
    <w:p w14:paraId="26B80440"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COM(2020) 381 final.</w:t>
      </w:r>
    </w:p>
  </w:footnote>
  <w:footnote w:id="42">
    <w:p w14:paraId="00420503" w14:textId="77777777"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COM(2021) 800 final. Comunicarea privind ciclurile durabile ale carbonului a anunțat obiectivul ca, până în 2028, fiecare gestionar de terenuri să aibă acces la date verificate privind emisiile și eliminările pentru a permite o adoptare pe scară largă a agriculturii carbonului. În 2022, Comisia a adoptat o propunere de regulament de instituire a unui cadru de certificare al Uniunii pentru eliminările de dioxid de carbon, care face în prezent obiectul procedurii colegislative.</w:t>
      </w:r>
    </w:p>
  </w:footnote>
  <w:footnote w:id="43">
    <w:p w14:paraId="7FC6F191" w14:textId="559841A7" w:rsidR="00482E88" w:rsidRPr="00C05138" w:rsidRDefault="00E63A2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Un raport recent al unui grup de reflecție a sugerat că întreprinderile din UE ar putea mobiliza fonduri suplimentare în valoare de 470 de miliarde EUR în fiecare an de pe piețele de capital. A se vedea </w:t>
      </w:r>
      <w:hyperlink r:id="rId5" w:history="1">
        <w:r w:rsidRPr="00C05138">
          <w:rPr>
            <w:rStyle w:val="Hyperlink"/>
            <w:i/>
            <w:iCs/>
            <w:lang w:val="ro-RO"/>
          </w:rPr>
          <w:t>A renewed vision for EU capital markets</w:t>
        </w:r>
        <w:r w:rsidRPr="00C05138">
          <w:rPr>
            <w:rStyle w:val="Hyperlink"/>
            <w:lang w:val="ro-RO"/>
          </w:rPr>
          <w:t xml:space="preserve"> (O viziune reînnoită pentru piețele de capital din UE) (New Financial)</w:t>
        </w:r>
      </w:hyperlink>
      <w:r w:rsidRPr="00C05138">
        <w:rPr>
          <w:lang w:val="ro-RO"/>
        </w:rPr>
        <w:t>, ianuarie 2024.</w:t>
      </w:r>
    </w:p>
  </w:footnote>
  <w:footnote w:id="44">
    <w:p w14:paraId="0E2E51B3" w14:textId="3CBECFD0" w:rsidR="00482E88" w:rsidRPr="00C05138" w:rsidRDefault="00482E88" w:rsidP="00482E88">
      <w:pPr>
        <w:pStyle w:val="FootnoteText"/>
        <w:rPr>
          <w:lang w:val="ro-RO"/>
        </w:rPr>
      </w:pPr>
      <w:r w:rsidRPr="00C05138">
        <w:rPr>
          <w:lang w:val="ro-RO"/>
        </w:rPr>
        <w:t>(</w:t>
      </w:r>
      <w:r w:rsidRPr="00C05138">
        <w:rPr>
          <w:rStyle w:val="FootnoteReference"/>
          <w:lang w:val="ro-RO"/>
        </w:rPr>
        <w:footnoteRef/>
      </w:r>
      <w:r w:rsidRPr="00C05138">
        <w:rPr>
          <w:lang w:val="ro-RO"/>
        </w:rPr>
        <w:t xml:space="preserve">) Comisia Europeană (2023), </w:t>
      </w:r>
      <w:hyperlink r:id="rId6" w:tgtFrame="_blank" w:history="1">
        <w:r w:rsidRPr="00C05138">
          <w:rPr>
            <w:rStyle w:val="Hyperlink"/>
            <w:i/>
            <w:iCs/>
            <w:lang w:val="ro-RO"/>
          </w:rPr>
          <w:t>Scaling up innovative technologies for climate neutrality</w:t>
        </w:r>
      </w:hyperlink>
      <w:r w:rsidRPr="00C05138">
        <w:rPr>
          <w:lang w:val="ro-RO"/>
        </w:rPr>
        <w:t xml:space="preserve"> (Dezvoltarea tehnologiilor inovatoare pentru neutralitate climatică).</w:t>
      </w:r>
    </w:p>
  </w:footnote>
  <w:footnote w:id="45">
    <w:p w14:paraId="194B3062" w14:textId="73DB15F0" w:rsidR="00482E88" w:rsidRPr="00C05138" w:rsidRDefault="00E63A28" w:rsidP="00482E88">
      <w:pPr>
        <w:pStyle w:val="FootnoteText"/>
        <w:rPr>
          <w:lang w:val="ro-RO"/>
        </w:rPr>
      </w:pPr>
      <w:r w:rsidRPr="00C05138">
        <w:rPr>
          <w:lang w:val="ro-RO"/>
        </w:rPr>
        <w:t>(</w:t>
      </w:r>
      <w:r w:rsidRPr="00C05138">
        <w:rPr>
          <w:rStyle w:val="FootnoteReference"/>
          <w:lang w:val="ro-RO"/>
        </w:rPr>
        <w:footnoteRef/>
      </w:r>
      <w:r w:rsidRPr="00C05138">
        <w:rPr>
          <w:lang w:val="ro-RO"/>
        </w:rPr>
        <w:t>) Cum ar fi „Destinația Pământ”, o inițiativă emblematică a Comisiei Europene pentru un viitor durabil.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66D60" w14:textId="77777777" w:rsidR="00C644BA" w:rsidRPr="00C644BA" w:rsidRDefault="00C644BA" w:rsidP="00C644B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C388E" w14:textId="77777777" w:rsidR="00C644BA" w:rsidRPr="00C644BA" w:rsidRDefault="00C644BA" w:rsidP="00C644B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77547" w14:textId="77777777" w:rsidR="00C644BA" w:rsidRPr="00C644BA" w:rsidRDefault="00C644BA" w:rsidP="00C644B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5F198" w14:textId="77777777" w:rsidR="000A37A5" w:rsidRDefault="000A37A5">
    <w:pPr>
      <w:pStyle w:val="Header"/>
    </w:pPr>
  </w:p>
  <w:p w14:paraId="2F47BACC" w14:textId="77777777" w:rsidR="00DB3C5C" w:rsidRDefault="00DB3C5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B74FD" w14:textId="77777777" w:rsidR="000A37A5" w:rsidRDefault="000A37A5">
    <w:pPr>
      <w:pStyle w:val="Header"/>
    </w:pPr>
  </w:p>
  <w:p w14:paraId="61BD997E" w14:textId="77777777" w:rsidR="00DB3C5C" w:rsidRDefault="00DB3C5C"/>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0EE6" w14:textId="77777777" w:rsidR="000A37A5" w:rsidRDefault="000A3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267"/>
    <w:multiLevelType w:val="hybridMultilevel"/>
    <w:tmpl w:val="A11C54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C74B48"/>
    <w:multiLevelType w:val="hybridMultilevel"/>
    <w:tmpl w:val="C4323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872B3F"/>
    <w:multiLevelType w:val="hybridMultilevel"/>
    <w:tmpl w:val="21C0489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FE598A"/>
    <w:multiLevelType w:val="hybridMultilevel"/>
    <w:tmpl w:val="A2ECA0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EA3F69"/>
    <w:multiLevelType w:val="hybridMultilevel"/>
    <w:tmpl w:val="B38EE5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5C58C6"/>
    <w:multiLevelType w:val="hybridMultilevel"/>
    <w:tmpl w:val="EB802622"/>
    <w:lvl w:ilvl="0" w:tplc="3B66045A">
      <w:start w:val="1"/>
      <w:numFmt w:val="bullet"/>
      <w:lvlText w:val=""/>
      <w:lvlJc w:val="left"/>
      <w:pPr>
        <w:ind w:left="720" w:hanging="360"/>
      </w:pPr>
      <w:rPr>
        <w:rFonts w:ascii="Symbol" w:hAnsi="Symbol"/>
      </w:rPr>
    </w:lvl>
    <w:lvl w:ilvl="1" w:tplc="6F60165C">
      <w:start w:val="1"/>
      <w:numFmt w:val="bullet"/>
      <w:lvlText w:val=""/>
      <w:lvlJc w:val="left"/>
      <w:pPr>
        <w:ind w:left="720" w:hanging="360"/>
      </w:pPr>
      <w:rPr>
        <w:rFonts w:ascii="Symbol" w:hAnsi="Symbol"/>
      </w:rPr>
    </w:lvl>
    <w:lvl w:ilvl="2" w:tplc="1D34A41C">
      <w:start w:val="1"/>
      <w:numFmt w:val="bullet"/>
      <w:lvlText w:val=""/>
      <w:lvlJc w:val="left"/>
      <w:pPr>
        <w:ind w:left="720" w:hanging="360"/>
      </w:pPr>
      <w:rPr>
        <w:rFonts w:ascii="Symbol" w:hAnsi="Symbol"/>
      </w:rPr>
    </w:lvl>
    <w:lvl w:ilvl="3" w:tplc="34FC30DC">
      <w:start w:val="1"/>
      <w:numFmt w:val="bullet"/>
      <w:lvlText w:val=""/>
      <w:lvlJc w:val="left"/>
      <w:pPr>
        <w:ind w:left="720" w:hanging="360"/>
      </w:pPr>
      <w:rPr>
        <w:rFonts w:ascii="Symbol" w:hAnsi="Symbol"/>
      </w:rPr>
    </w:lvl>
    <w:lvl w:ilvl="4" w:tplc="F3A0F2D0">
      <w:start w:val="1"/>
      <w:numFmt w:val="bullet"/>
      <w:lvlText w:val=""/>
      <w:lvlJc w:val="left"/>
      <w:pPr>
        <w:ind w:left="720" w:hanging="360"/>
      </w:pPr>
      <w:rPr>
        <w:rFonts w:ascii="Symbol" w:hAnsi="Symbol"/>
      </w:rPr>
    </w:lvl>
    <w:lvl w:ilvl="5" w:tplc="A9CA3E86">
      <w:start w:val="1"/>
      <w:numFmt w:val="bullet"/>
      <w:lvlText w:val=""/>
      <w:lvlJc w:val="left"/>
      <w:pPr>
        <w:ind w:left="720" w:hanging="360"/>
      </w:pPr>
      <w:rPr>
        <w:rFonts w:ascii="Symbol" w:hAnsi="Symbol"/>
      </w:rPr>
    </w:lvl>
    <w:lvl w:ilvl="6" w:tplc="F3C43DC0">
      <w:start w:val="1"/>
      <w:numFmt w:val="bullet"/>
      <w:lvlText w:val=""/>
      <w:lvlJc w:val="left"/>
      <w:pPr>
        <w:ind w:left="720" w:hanging="360"/>
      </w:pPr>
      <w:rPr>
        <w:rFonts w:ascii="Symbol" w:hAnsi="Symbol"/>
      </w:rPr>
    </w:lvl>
    <w:lvl w:ilvl="7" w:tplc="3B00E092">
      <w:start w:val="1"/>
      <w:numFmt w:val="bullet"/>
      <w:lvlText w:val=""/>
      <w:lvlJc w:val="left"/>
      <w:pPr>
        <w:ind w:left="720" w:hanging="360"/>
      </w:pPr>
      <w:rPr>
        <w:rFonts w:ascii="Symbol" w:hAnsi="Symbol"/>
      </w:rPr>
    </w:lvl>
    <w:lvl w:ilvl="8" w:tplc="F036030C">
      <w:start w:val="1"/>
      <w:numFmt w:val="bullet"/>
      <w:lvlText w:val=""/>
      <w:lvlJc w:val="left"/>
      <w:pPr>
        <w:ind w:left="720" w:hanging="360"/>
      </w:pPr>
      <w:rPr>
        <w:rFonts w:ascii="Symbol" w:hAnsi="Symbol"/>
      </w:rPr>
    </w:lvl>
  </w:abstractNum>
  <w:abstractNum w:abstractNumId="6" w15:restartNumberingAfterBreak="0">
    <w:nsid w:val="087D4D9F"/>
    <w:multiLevelType w:val="multilevel"/>
    <w:tmpl w:val="05FCE1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124BD9"/>
    <w:multiLevelType w:val="multilevel"/>
    <w:tmpl w:val="07C0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27761"/>
    <w:multiLevelType w:val="hybridMultilevel"/>
    <w:tmpl w:val="A980135E"/>
    <w:lvl w:ilvl="0" w:tplc="FFFFFFFF">
      <w:start w:val="1"/>
      <w:numFmt w:val="decimal"/>
      <w:lvlText w:val="%1."/>
      <w:lvlJc w:val="left"/>
      <w:pPr>
        <w:ind w:left="720" w:hanging="360"/>
      </w:pPr>
      <w:rPr>
        <w:rFonts w:ascii="Times New Roman" w:eastAsiaTheme="minorHAnsi" w:hAnsi="Times New Roman" w:cs="Times New Roman"/>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F277F3D"/>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5E1D14"/>
    <w:multiLevelType w:val="hybridMultilevel"/>
    <w:tmpl w:val="9EAEEE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036119"/>
    <w:multiLevelType w:val="hybridMultilevel"/>
    <w:tmpl w:val="2E5E17AA"/>
    <w:lvl w:ilvl="0" w:tplc="54C2EC56">
      <w:start w:val="2"/>
      <w:numFmt w:val="bullet"/>
      <w:lvlText w:val=""/>
      <w:lvlJc w:val="left"/>
      <w:pPr>
        <w:ind w:left="720" w:hanging="360"/>
      </w:pPr>
      <w:rPr>
        <w:rFonts w:ascii="Wingdings" w:eastAsia="Calibri"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15237D4"/>
    <w:multiLevelType w:val="multilevel"/>
    <w:tmpl w:val="4A423A3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1251AA18"/>
    <w:multiLevelType w:val="hybridMultilevel"/>
    <w:tmpl w:val="C7105770"/>
    <w:lvl w:ilvl="0" w:tplc="C73AAB62">
      <w:start w:val="1"/>
      <w:numFmt w:val="bullet"/>
      <w:lvlText w:val=""/>
      <w:lvlJc w:val="left"/>
      <w:pPr>
        <w:ind w:left="720" w:hanging="360"/>
      </w:pPr>
      <w:rPr>
        <w:rFonts w:ascii="Symbol" w:hAnsi="Symbol" w:hint="default"/>
      </w:rPr>
    </w:lvl>
    <w:lvl w:ilvl="1" w:tplc="81287134">
      <w:start w:val="1"/>
      <w:numFmt w:val="bullet"/>
      <w:lvlText w:val="o"/>
      <w:lvlJc w:val="left"/>
      <w:pPr>
        <w:ind w:left="1440" w:hanging="360"/>
      </w:pPr>
      <w:rPr>
        <w:rFonts w:ascii="Courier New" w:hAnsi="Courier New" w:hint="default"/>
      </w:rPr>
    </w:lvl>
    <w:lvl w:ilvl="2" w:tplc="6C8A8A80">
      <w:start w:val="1"/>
      <w:numFmt w:val="bullet"/>
      <w:lvlText w:val=""/>
      <w:lvlJc w:val="left"/>
      <w:pPr>
        <w:ind w:left="2160" w:hanging="360"/>
      </w:pPr>
      <w:rPr>
        <w:rFonts w:ascii="Wingdings" w:hAnsi="Wingdings" w:hint="default"/>
      </w:rPr>
    </w:lvl>
    <w:lvl w:ilvl="3" w:tplc="C7F6A3D6">
      <w:start w:val="1"/>
      <w:numFmt w:val="bullet"/>
      <w:lvlText w:val=""/>
      <w:lvlJc w:val="left"/>
      <w:pPr>
        <w:ind w:left="2880" w:hanging="360"/>
      </w:pPr>
      <w:rPr>
        <w:rFonts w:ascii="Symbol" w:hAnsi="Symbol" w:hint="default"/>
      </w:rPr>
    </w:lvl>
    <w:lvl w:ilvl="4" w:tplc="B86A736E">
      <w:start w:val="1"/>
      <w:numFmt w:val="bullet"/>
      <w:lvlText w:val="o"/>
      <w:lvlJc w:val="left"/>
      <w:pPr>
        <w:ind w:left="3600" w:hanging="360"/>
      </w:pPr>
      <w:rPr>
        <w:rFonts w:ascii="Courier New" w:hAnsi="Courier New" w:hint="default"/>
      </w:rPr>
    </w:lvl>
    <w:lvl w:ilvl="5" w:tplc="C0D2DE28">
      <w:start w:val="1"/>
      <w:numFmt w:val="bullet"/>
      <w:lvlText w:val=""/>
      <w:lvlJc w:val="left"/>
      <w:pPr>
        <w:ind w:left="4320" w:hanging="360"/>
      </w:pPr>
      <w:rPr>
        <w:rFonts w:ascii="Wingdings" w:hAnsi="Wingdings" w:hint="default"/>
      </w:rPr>
    </w:lvl>
    <w:lvl w:ilvl="6" w:tplc="5D8E7314">
      <w:start w:val="1"/>
      <w:numFmt w:val="bullet"/>
      <w:lvlText w:val=""/>
      <w:lvlJc w:val="left"/>
      <w:pPr>
        <w:ind w:left="5040" w:hanging="360"/>
      </w:pPr>
      <w:rPr>
        <w:rFonts w:ascii="Symbol" w:hAnsi="Symbol" w:hint="default"/>
      </w:rPr>
    </w:lvl>
    <w:lvl w:ilvl="7" w:tplc="49DE60B8">
      <w:start w:val="1"/>
      <w:numFmt w:val="bullet"/>
      <w:lvlText w:val="o"/>
      <w:lvlJc w:val="left"/>
      <w:pPr>
        <w:ind w:left="5760" w:hanging="360"/>
      </w:pPr>
      <w:rPr>
        <w:rFonts w:ascii="Courier New" w:hAnsi="Courier New" w:hint="default"/>
      </w:rPr>
    </w:lvl>
    <w:lvl w:ilvl="8" w:tplc="DD5492B4">
      <w:start w:val="1"/>
      <w:numFmt w:val="bullet"/>
      <w:lvlText w:val=""/>
      <w:lvlJc w:val="left"/>
      <w:pPr>
        <w:ind w:left="6480" w:hanging="360"/>
      </w:pPr>
      <w:rPr>
        <w:rFonts w:ascii="Wingdings" w:hAnsi="Wingdings" w:hint="default"/>
      </w:rPr>
    </w:lvl>
  </w:abstractNum>
  <w:abstractNum w:abstractNumId="14" w15:restartNumberingAfterBreak="0">
    <w:nsid w:val="12DE9BEA"/>
    <w:multiLevelType w:val="hybridMultilevel"/>
    <w:tmpl w:val="0C9E45D2"/>
    <w:lvl w:ilvl="0" w:tplc="F95C02B8">
      <w:start w:val="1"/>
      <w:numFmt w:val="bullet"/>
      <w:lvlText w:val="-"/>
      <w:lvlJc w:val="left"/>
      <w:pPr>
        <w:ind w:left="720" w:hanging="360"/>
      </w:pPr>
      <w:rPr>
        <w:rFonts w:ascii="Aptos" w:hAnsi="Aptos" w:hint="default"/>
      </w:rPr>
    </w:lvl>
    <w:lvl w:ilvl="1" w:tplc="AB824242">
      <w:start w:val="1"/>
      <w:numFmt w:val="bullet"/>
      <w:lvlText w:val="o"/>
      <w:lvlJc w:val="left"/>
      <w:pPr>
        <w:ind w:left="1440" w:hanging="360"/>
      </w:pPr>
      <w:rPr>
        <w:rFonts w:ascii="Courier New" w:hAnsi="Courier New" w:hint="default"/>
      </w:rPr>
    </w:lvl>
    <w:lvl w:ilvl="2" w:tplc="6EC6026E">
      <w:start w:val="1"/>
      <w:numFmt w:val="bullet"/>
      <w:lvlText w:val=""/>
      <w:lvlJc w:val="left"/>
      <w:pPr>
        <w:ind w:left="2160" w:hanging="360"/>
      </w:pPr>
      <w:rPr>
        <w:rFonts w:ascii="Wingdings" w:hAnsi="Wingdings" w:hint="default"/>
      </w:rPr>
    </w:lvl>
    <w:lvl w:ilvl="3" w:tplc="A21A28FE">
      <w:start w:val="1"/>
      <w:numFmt w:val="bullet"/>
      <w:lvlText w:val=""/>
      <w:lvlJc w:val="left"/>
      <w:pPr>
        <w:ind w:left="2880" w:hanging="360"/>
      </w:pPr>
      <w:rPr>
        <w:rFonts w:ascii="Symbol" w:hAnsi="Symbol" w:hint="default"/>
      </w:rPr>
    </w:lvl>
    <w:lvl w:ilvl="4" w:tplc="FE000E68">
      <w:start w:val="1"/>
      <w:numFmt w:val="bullet"/>
      <w:lvlText w:val="o"/>
      <w:lvlJc w:val="left"/>
      <w:pPr>
        <w:ind w:left="3600" w:hanging="360"/>
      </w:pPr>
      <w:rPr>
        <w:rFonts w:ascii="Courier New" w:hAnsi="Courier New" w:hint="default"/>
      </w:rPr>
    </w:lvl>
    <w:lvl w:ilvl="5" w:tplc="EDB4CF5E">
      <w:start w:val="1"/>
      <w:numFmt w:val="bullet"/>
      <w:lvlText w:val=""/>
      <w:lvlJc w:val="left"/>
      <w:pPr>
        <w:ind w:left="4320" w:hanging="360"/>
      </w:pPr>
      <w:rPr>
        <w:rFonts w:ascii="Wingdings" w:hAnsi="Wingdings" w:hint="default"/>
      </w:rPr>
    </w:lvl>
    <w:lvl w:ilvl="6" w:tplc="D74C352E">
      <w:start w:val="1"/>
      <w:numFmt w:val="bullet"/>
      <w:lvlText w:val=""/>
      <w:lvlJc w:val="left"/>
      <w:pPr>
        <w:ind w:left="5040" w:hanging="360"/>
      </w:pPr>
      <w:rPr>
        <w:rFonts w:ascii="Symbol" w:hAnsi="Symbol" w:hint="default"/>
      </w:rPr>
    </w:lvl>
    <w:lvl w:ilvl="7" w:tplc="6F6C0760">
      <w:start w:val="1"/>
      <w:numFmt w:val="bullet"/>
      <w:lvlText w:val="o"/>
      <w:lvlJc w:val="left"/>
      <w:pPr>
        <w:ind w:left="5760" w:hanging="360"/>
      </w:pPr>
      <w:rPr>
        <w:rFonts w:ascii="Courier New" w:hAnsi="Courier New" w:hint="default"/>
      </w:rPr>
    </w:lvl>
    <w:lvl w:ilvl="8" w:tplc="50FAD64E">
      <w:start w:val="1"/>
      <w:numFmt w:val="bullet"/>
      <w:lvlText w:val=""/>
      <w:lvlJc w:val="left"/>
      <w:pPr>
        <w:ind w:left="6480" w:hanging="360"/>
      </w:pPr>
      <w:rPr>
        <w:rFonts w:ascii="Wingdings" w:hAnsi="Wingdings" w:hint="default"/>
      </w:rPr>
    </w:lvl>
  </w:abstractNum>
  <w:abstractNum w:abstractNumId="15" w15:restartNumberingAfterBreak="0">
    <w:nsid w:val="13CB3204"/>
    <w:multiLevelType w:val="hybridMultilevel"/>
    <w:tmpl w:val="05B8D54C"/>
    <w:lvl w:ilvl="0" w:tplc="3F0AC406">
      <w:start w:val="1"/>
      <w:numFmt w:val="bullet"/>
      <w:lvlText w:val="-"/>
      <w:lvlJc w:val="left"/>
      <w:pPr>
        <w:ind w:left="720" w:hanging="360"/>
      </w:pPr>
      <w:rPr>
        <w:rFonts w:ascii="Aptos" w:hAnsi="Aptos" w:hint="default"/>
      </w:rPr>
    </w:lvl>
    <w:lvl w:ilvl="1" w:tplc="AA54E2C6">
      <w:start w:val="1"/>
      <w:numFmt w:val="bullet"/>
      <w:lvlText w:val="o"/>
      <w:lvlJc w:val="left"/>
      <w:pPr>
        <w:ind w:left="1440" w:hanging="360"/>
      </w:pPr>
      <w:rPr>
        <w:rFonts w:ascii="Courier New" w:hAnsi="Courier New" w:hint="default"/>
      </w:rPr>
    </w:lvl>
    <w:lvl w:ilvl="2" w:tplc="84041A6A">
      <w:start w:val="1"/>
      <w:numFmt w:val="bullet"/>
      <w:lvlText w:val=""/>
      <w:lvlJc w:val="left"/>
      <w:pPr>
        <w:ind w:left="2160" w:hanging="360"/>
      </w:pPr>
      <w:rPr>
        <w:rFonts w:ascii="Wingdings" w:hAnsi="Wingdings" w:hint="default"/>
      </w:rPr>
    </w:lvl>
    <w:lvl w:ilvl="3" w:tplc="B96622F6">
      <w:start w:val="1"/>
      <w:numFmt w:val="bullet"/>
      <w:lvlText w:val=""/>
      <w:lvlJc w:val="left"/>
      <w:pPr>
        <w:ind w:left="2880" w:hanging="360"/>
      </w:pPr>
      <w:rPr>
        <w:rFonts w:ascii="Symbol" w:hAnsi="Symbol" w:hint="default"/>
      </w:rPr>
    </w:lvl>
    <w:lvl w:ilvl="4" w:tplc="815C0C60">
      <w:start w:val="1"/>
      <w:numFmt w:val="bullet"/>
      <w:lvlText w:val="o"/>
      <w:lvlJc w:val="left"/>
      <w:pPr>
        <w:ind w:left="3600" w:hanging="360"/>
      </w:pPr>
      <w:rPr>
        <w:rFonts w:ascii="Courier New" w:hAnsi="Courier New" w:hint="default"/>
      </w:rPr>
    </w:lvl>
    <w:lvl w:ilvl="5" w:tplc="43C8DB94">
      <w:start w:val="1"/>
      <w:numFmt w:val="bullet"/>
      <w:lvlText w:val=""/>
      <w:lvlJc w:val="left"/>
      <w:pPr>
        <w:ind w:left="4320" w:hanging="360"/>
      </w:pPr>
      <w:rPr>
        <w:rFonts w:ascii="Wingdings" w:hAnsi="Wingdings" w:hint="default"/>
      </w:rPr>
    </w:lvl>
    <w:lvl w:ilvl="6" w:tplc="4E581BB2">
      <w:start w:val="1"/>
      <w:numFmt w:val="bullet"/>
      <w:lvlText w:val=""/>
      <w:lvlJc w:val="left"/>
      <w:pPr>
        <w:ind w:left="5040" w:hanging="360"/>
      </w:pPr>
      <w:rPr>
        <w:rFonts w:ascii="Symbol" w:hAnsi="Symbol" w:hint="default"/>
      </w:rPr>
    </w:lvl>
    <w:lvl w:ilvl="7" w:tplc="BDD8BCCA">
      <w:start w:val="1"/>
      <w:numFmt w:val="bullet"/>
      <w:lvlText w:val="o"/>
      <w:lvlJc w:val="left"/>
      <w:pPr>
        <w:ind w:left="5760" w:hanging="360"/>
      </w:pPr>
      <w:rPr>
        <w:rFonts w:ascii="Courier New" w:hAnsi="Courier New" w:hint="default"/>
      </w:rPr>
    </w:lvl>
    <w:lvl w:ilvl="8" w:tplc="39922754">
      <w:start w:val="1"/>
      <w:numFmt w:val="bullet"/>
      <w:lvlText w:val=""/>
      <w:lvlJc w:val="left"/>
      <w:pPr>
        <w:ind w:left="6480" w:hanging="360"/>
      </w:pPr>
      <w:rPr>
        <w:rFonts w:ascii="Wingdings" w:hAnsi="Wingdings" w:hint="default"/>
      </w:rPr>
    </w:lvl>
  </w:abstractNum>
  <w:abstractNum w:abstractNumId="16" w15:restartNumberingAfterBreak="0">
    <w:nsid w:val="152D0522"/>
    <w:multiLevelType w:val="hybridMultilevel"/>
    <w:tmpl w:val="4E7A351C"/>
    <w:lvl w:ilvl="0" w:tplc="ED48729E">
      <w:start w:val="1"/>
      <w:numFmt w:val="decimal"/>
      <w:lvlText w:val="%1."/>
      <w:lvlJc w:val="left"/>
      <w:pPr>
        <w:ind w:left="720" w:hanging="360"/>
      </w:pPr>
    </w:lvl>
    <w:lvl w:ilvl="1" w:tplc="BBD8CC2C">
      <w:start w:val="1"/>
      <w:numFmt w:val="decimal"/>
      <w:lvlText w:val="%2."/>
      <w:lvlJc w:val="left"/>
      <w:pPr>
        <w:ind w:left="720" w:hanging="360"/>
      </w:pPr>
    </w:lvl>
    <w:lvl w:ilvl="2" w:tplc="4BA684DC">
      <w:start w:val="1"/>
      <w:numFmt w:val="decimal"/>
      <w:lvlText w:val="%3."/>
      <w:lvlJc w:val="left"/>
      <w:pPr>
        <w:ind w:left="720" w:hanging="360"/>
      </w:pPr>
    </w:lvl>
    <w:lvl w:ilvl="3" w:tplc="86F62306">
      <w:start w:val="1"/>
      <w:numFmt w:val="decimal"/>
      <w:lvlText w:val="%4."/>
      <w:lvlJc w:val="left"/>
      <w:pPr>
        <w:ind w:left="720" w:hanging="360"/>
      </w:pPr>
    </w:lvl>
    <w:lvl w:ilvl="4" w:tplc="EAF8AB2E">
      <w:start w:val="1"/>
      <w:numFmt w:val="decimal"/>
      <w:lvlText w:val="%5."/>
      <w:lvlJc w:val="left"/>
      <w:pPr>
        <w:ind w:left="720" w:hanging="360"/>
      </w:pPr>
    </w:lvl>
    <w:lvl w:ilvl="5" w:tplc="99F274DC">
      <w:start w:val="1"/>
      <w:numFmt w:val="decimal"/>
      <w:lvlText w:val="%6."/>
      <w:lvlJc w:val="left"/>
      <w:pPr>
        <w:ind w:left="720" w:hanging="360"/>
      </w:pPr>
    </w:lvl>
    <w:lvl w:ilvl="6" w:tplc="9ADA4840">
      <w:start w:val="1"/>
      <w:numFmt w:val="decimal"/>
      <w:lvlText w:val="%7."/>
      <w:lvlJc w:val="left"/>
      <w:pPr>
        <w:ind w:left="720" w:hanging="360"/>
      </w:pPr>
    </w:lvl>
    <w:lvl w:ilvl="7" w:tplc="42566832">
      <w:start w:val="1"/>
      <w:numFmt w:val="decimal"/>
      <w:lvlText w:val="%8."/>
      <w:lvlJc w:val="left"/>
      <w:pPr>
        <w:ind w:left="720" w:hanging="360"/>
      </w:pPr>
    </w:lvl>
    <w:lvl w:ilvl="8" w:tplc="DBDC341A">
      <w:start w:val="1"/>
      <w:numFmt w:val="decimal"/>
      <w:lvlText w:val="%9."/>
      <w:lvlJc w:val="left"/>
      <w:pPr>
        <w:ind w:left="720" w:hanging="360"/>
      </w:pPr>
    </w:lvl>
  </w:abstractNum>
  <w:abstractNum w:abstractNumId="17" w15:restartNumberingAfterBreak="0">
    <w:nsid w:val="161277C7"/>
    <w:multiLevelType w:val="hybridMultilevel"/>
    <w:tmpl w:val="7098D430"/>
    <w:lvl w:ilvl="0" w:tplc="C380A81A">
      <w:numFmt w:val="bullet"/>
      <w:lvlText w:val="-"/>
      <w:lvlJc w:val="left"/>
      <w:pPr>
        <w:ind w:left="720" w:hanging="360"/>
      </w:pPr>
      <w:rPr>
        <w:rFonts w:ascii="Times New Roman" w:eastAsia="Calibr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70E3A21"/>
    <w:multiLevelType w:val="hybridMultilevel"/>
    <w:tmpl w:val="DFE278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9A21E2B"/>
    <w:multiLevelType w:val="hybridMultilevel"/>
    <w:tmpl w:val="3E06C0AA"/>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BDD185E"/>
    <w:multiLevelType w:val="hybridMultilevel"/>
    <w:tmpl w:val="E7288B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C8D7E7C"/>
    <w:multiLevelType w:val="hybridMultilevel"/>
    <w:tmpl w:val="D1C86EA2"/>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CA515B9"/>
    <w:multiLevelType w:val="hybridMultilevel"/>
    <w:tmpl w:val="669A9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E863C11"/>
    <w:multiLevelType w:val="hybridMultilevel"/>
    <w:tmpl w:val="3314104A"/>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1F3B5A8E"/>
    <w:multiLevelType w:val="multilevel"/>
    <w:tmpl w:val="983CB2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12C53EA"/>
    <w:multiLevelType w:val="hybridMultilevel"/>
    <w:tmpl w:val="60B0A452"/>
    <w:lvl w:ilvl="0" w:tplc="5BBA772E">
      <w:start w:val="1"/>
      <w:numFmt w:val="decimal"/>
      <w:lvlText w:val="%1."/>
      <w:lvlJc w:val="left"/>
      <w:pPr>
        <w:ind w:left="720" w:hanging="360"/>
      </w:pPr>
      <w:rPr>
        <w:rFonts w:asciiTheme="minorHAnsi" w:eastAsiaTheme="minorHAnsi" w:hAnsiTheme="minorHAnsi" w:cstheme="minorBidi"/>
      </w:rPr>
    </w:lvl>
    <w:lvl w:ilvl="1" w:tplc="ADC4CBAC">
      <w:start w:val="1"/>
      <w:numFmt w:val="bullet"/>
      <w:lvlText w:val="o"/>
      <w:lvlJc w:val="left"/>
      <w:pPr>
        <w:ind w:left="1440" w:hanging="360"/>
      </w:pPr>
      <w:rPr>
        <w:rFonts w:ascii="Courier New" w:hAnsi="Courier New" w:hint="default"/>
      </w:rPr>
    </w:lvl>
    <w:lvl w:ilvl="2" w:tplc="35CAF58A">
      <w:start w:val="1"/>
      <w:numFmt w:val="bullet"/>
      <w:lvlText w:val=""/>
      <w:lvlJc w:val="left"/>
      <w:pPr>
        <w:ind w:left="2160" w:hanging="360"/>
      </w:pPr>
      <w:rPr>
        <w:rFonts w:ascii="Wingdings" w:hAnsi="Wingdings" w:hint="default"/>
      </w:rPr>
    </w:lvl>
    <w:lvl w:ilvl="3" w:tplc="4030D754">
      <w:start w:val="1"/>
      <w:numFmt w:val="bullet"/>
      <w:lvlText w:val=""/>
      <w:lvlJc w:val="left"/>
      <w:pPr>
        <w:ind w:left="2880" w:hanging="360"/>
      </w:pPr>
      <w:rPr>
        <w:rFonts w:ascii="Symbol" w:hAnsi="Symbol" w:hint="default"/>
      </w:rPr>
    </w:lvl>
    <w:lvl w:ilvl="4" w:tplc="3DFE830C">
      <w:start w:val="1"/>
      <w:numFmt w:val="bullet"/>
      <w:lvlText w:val="o"/>
      <w:lvlJc w:val="left"/>
      <w:pPr>
        <w:ind w:left="3600" w:hanging="360"/>
      </w:pPr>
      <w:rPr>
        <w:rFonts w:ascii="Courier New" w:hAnsi="Courier New" w:hint="default"/>
      </w:rPr>
    </w:lvl>
    <w:lvl w:ilvl="5" w:tplc="CE843CA0">
      <w:start w:val="1"/>
      <w:numFmt w:val="bullet"/>
      <w:lvlText w:val=""/>
      <w:lvlJc w:val="left"/>
      <w:pPr>
        <w:ind w:left="4320" w:hanging="360"/>
      </w:pPr>
      <w:rPr>
        <w:rFonts w:ascii="Wingdings" w:hAnsi="Wingdings" w:hint="default"/>
      </w:rPr>
    </w:lvl>
    <w:lvl w:ilvl="6" w:tplc="2E305A44">
      <w:start w:val="1"/>
      <w:numFmt w:val="bullet"/>
      <w:lvlText w:val=""/>
      <w:lvlJc w:val="left"/>
      <w:pPr>
        <w:ind w:left="5040" w:hanging="360"/>
      </w:pPr>
      <w:rPr>
        <w:rFonts w:ascii="Symbol" w:hAnsi="Symbol" w:hint="default"/>
      </w:rPr>
    </w:lvl>
    <w:lvl w:ilvl="7" w:tplc="5C72D878">
      <w:start w:val="1"/>
      <w:numFmt w:val="bullet"/>
      <w:lvlText w:val="o"/>
      <w:lvlJc w:val="left"/>
      <w:pPr>
        <w:ind w:left="5760" w:hanging="360"/>
      </w:pPr>
      <w:rPr>
        <w:rFonts w:ascii="Courier New" w:hAnsi="Courier New" w:hint="default"/>
      </w:rPr>
    </w:lvl>
    <w:lvl w:ilvl="8" w:tplc="0FA8EEC0">
      <w:start w:val="1"/>
      <w:numFmt w:val="bullet"/>
      <w:lvlText w:val=""/>
      <w:lvlJc w:val="left"/>
      <w:pPr>
        <w:ind w:left="6480" w:hanging="360"/>
      </w:pPr>
      <w:rPr>
        <w:rFonts w:ascii="Wingdings" w:hAnsi="Wingdings" w:hint="default"/>
      </w:rPr>
    </w:lvl>
  </w:abstractNum>
  <w:abstractNum w:abstractNumId="26" w15:restartNumberingAfterBreak="0">
    <w:nsid w:val="21698721"/>
    <w:multiLevelType w:val="hybridMultilevel"/>
    <w:tmpl w:val="13A0565C"/>
    <w:lvl w:ilvl="0" w:tplc="7B141AD6">
      <w:start w:val="1"/>
      <w:numFmt w:val="decimal"/>
      <w:lvlText w:val="%1."/>
      <w:lvlJc w:val="left"/>
      <w:pPr>
        <w:ind w:left="720" w:hanging="360"/>
      </w:pPr>
    </w:lvl>
    <w:lvl w:ilvl="1" w:tplc="C4FEFE86">
      <w:start w:val="1"/>
      <w:numFmt w:val="lowerLetter"/>
      <w:lvlText w:val="%2."/>
      <w:lvlJc w:val="left"/>
      <w:pPr>
        <w:ind w:left="1440" w:hanging="360"/>
      </w:pPr>
    </w:lvl>
    <w:lvl w:ilvl="2" w:tplc="F2309B40">
      <w:start w:val="1"/>
      <w:numFmt w:val="lowerRoman"/>
      <w:lvlText w:val="%3."/>
      <w:lvlJc w:val="right"/>
      <w:pPr>
        <w:ind w:left="2160" w:hanging="180"/>
      </w:pPr>
    </w:lvl>
    <w:lvl w:ilvl="3" w:tplc="4BEAE818">
      <w:start w:val="1"/>
      <w:numFmt w:val="decimal"/>
      <w:lvlText w:val="%4."/>
      <w:lvlJc w:val="left"/>
      <w:pPr>
        <w:ind w:left="2880" w:hanging="360"/>
      </w:pPr>
    </w:lvl>
    <w:lvl w:ilvl="4" w:tplc="8DA8F2EA">
      <w:start w:val="1"/>
      <w:numFmt w:val="lowerLetter"/>
      <w:lvlText w:val="%5."/>
      <w:lvlJc w:val="left"/>
      <w:pPr>
        <w:ind w:left="3600" w:hanging="360"/>
      </w:pPr>
    </w:lvl>
    <w:lvl w:ilvl="5" w:tplc="948A09AC">
      <w:start w:val="1"/>
      <w:numFmt w:val="lowerRoman"/>
      <w:lvlText w:val="%6."/>
      <w:lvlJc w:val="right"/>
      <w:pPr>
        <w:ind w:left="4320" w:hanging="180"/>
      </w:pPr>
    </w:lvl>
    <w:lvl w:ilvl="6" w:tplc="6C0C8E8E">
      <w:start w:val="1"/>
      <w:numFmt w:val="decimal"/>
      <w:lvlText w:val="%7."/>
      <w:lvlJc w:val="left"/>
      <w:pPr>
        <w:ind w:left="5040" w:hanging="360"/>
      </w:pPr>
    </w:lvl>
    <w:lvl w:ilvl="7" w:tplc="45AC273E">
      <w:start w:val="1"/>
      <w:numFmt w:val="lowerLetter"/>
      <w:lvlText w:val="%8."/>
      <w:lvlJc w:val="left"/>
      <w:pPr>
        <w:ind w:left="5760" w:hanging="360"/>
      </w:pPr>
    </w:lvl>
    <w:lvl w:ilvl="8" w:tplc="D16A598A">
      <w:start w:val="1"/>
      <w:numFmt w:val="lowerRoman"/>
      <w:lvlText w:val="%9."/>
      <w:lvlJc w:val="right"/>
      <w:pPr>
        <w:ind w:left="6480" w:hanging="180"/>
      </w:pPr>
    </w:lvl>
  </w:abstractNum>
  <w:abstractNum w:abstractNumId="27" w15:restartNumberingAfterBreak="0">
    <w:nsid w:val="247C5D9D"/>
    <w:multiLevelType w:val="hybridMultilevel"/>
    <w:tmpl w:val="CF0C8E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50BD6B"/>
    <w:multiLevelType w:val="hybridMultilevel"/>
    <w:tmpl w:val="DBEEDBC6"/>
    <w:lvl w:ilvl="0" w:tplc="CEC4ADF0">
      <w:start w:val="1"/>
      <w:numFmt w:val="bullet"/>
      <w:lvlText w:val="-"/>
      <w:lvlJc w:val="left"/>
      <w:pPr>
        <w:ind w:left="720" w:hanging="360"/>
      </w:pPr>
      <w:rPr>
        <w:rFonts w:ascii="Aptos" w:hAnsi="Aptos" w:hint="default"/>
      </w:rPr>
    </w:lvl>
    <w:lvl w:ilvl="1" w:tplc="82BE4CCA">
      <w:start w:val="1"/>
      <w:numFmt w:val="bullet"/>
      <w:lvlText w:val="o"/>
      <w:lvlJc w:val="left"/>
      <w:pPr>
        <w:ind w:left="1440" w:hanging="360"/>
      </w:pPr>
      <w:rPr>
        <w:rFonts w:ascii="Courier New" w:hAnsi="Courier New" w:hint="default"/>
      </w:rPr>
    </w:lvl>
    <w:lvl w:ilvl="2" w:tplc="357072F0">
      <w:start w:val="1"/>
      <w:numFmt w:val="bullet"/>
      <w:lvlText w:val=""/>
      <w:lvlJc w:val="left"/>
      <w:pPr>
        <w:ind w:left="2160" w:hanging="360"/>
      </w:pPr>
      <w:rPr>
        <w:rFonts w:ascii="Wingdings" w:hAnsi="Wingdings" w:hint="default"/>
      </w:rPr>
    </w:lvl>
    <w:lvl w:ilvl="3" w:tplc="DA1E351C">
      <w:start w:val="1"/>
      <w:numFmt w:val="bullet"/>
      <w:lvlText w:val=""/>
      <w:lvlJc w:val="left"/>
      <w:pPr>
        <w:ind w:left="2880" w:hanging="360"/>
      </w:pPr>
      <w:rPr>
        <w:rFonts w:ascii="Symbol" w:hAnsi="Symbol" w:hint="default"/>
      </w:rPr>
    </w:lvl>
    <w:lvl w:ilvl="4" w:tplc="C192990C">
      <w:start w:val="1"/>
      <w:numFmt w:val="bullet"/>
      <w:lvlText w:val="o"/>
      <w:lvlJc w:val="left"/>
      <w:pPr>
        <w:ind w:left="3600" w:hanging="360"/>
      </w:pPr>
      <w:rPr>
        <w:rFonts w:ascii="Courier New" w:hAnsi="Courier New" w:hint="default"/>
      </w:rPr>
    </w:lvl>
    <w:lvl w:ilvl="5" w:tplc="D0CCB786">
      <w:start w:val="1"/>
      <w:numFmt w:val="bullet"/>
      <w:lvlText w:val=""/>
      <w:lvlJc w:val="left"/>
      <w:pPr>
        <w:ind w:left="4320" w:hanging="360"/>
      </w:pPr>
      <w:rPr>
        <w:rFonts w:ascii="Wingdings" w:hAnsi="Wingdings" w:hint="default"/>
      </w:rPr>
    </w:lvl>
    <w:lvl w:ilvl="6" w:tplc="30580B9A">
      <w:start w:val="1"/>
      <w:numFmt w:val="bullet"/>
      <w:lvlText w:val=""/>
      <w:lvlJc w:val="left"/>
      <w:pPr>
        <w:ind w:left="5040" w:hanging="360"/>
      </w:pPr>
      <w:rPr>
        <w:rFonts w:ascii="Symbol" w:hAnsi="Symbol" w:hint="default"/>
      </w:rPr>
    </w:lvl>
    <w:lvl w:ilvl="7" w:tplc="75BC06E4">
      <w:start w:val="1"/>
      <w:numFmt w:val="bullet"/>
      <w:lvlText w:val="o"/>
      <w:lvlJc w:val="left"/>
      <w:pPr>
        <w:ind w:left="5760" w:hanging="360"/>
      </w:pPr>
      <w:rPr>
        <w:rFonts w:ascii="Courier New" w:hAnsi="Courier New" w:hint="default"/>
      </w:rPr>
    </w:lvl>
    <w:lvl w:ilvl="8" w:tplc="BE94DA92">
      <w:start w:val="1"/>
      <w:numFmt w:val="bullet"/>
      <w:lvlText w:val=""/>
      <w:lvlJc w:val="left"/>
      <w:pPr>
        <w:ind w:left="6480" w:hanging="360"/>
      </w:pPr>
      <w:rPr>
        <w:rFonts w:ascii="Wingdings" w:hAnsi="Wingdings" w:hint="default"/>
      </w:rPr>
    </w:lvl>
  </w:abstractNum>
  <w:abstractNum w:abstractNumId="29" w15:restartNumberingAfterBreak="0">
    <w:nsid w:val="283230AB"/>
    <w:multiLevelType w:val="hybridMultilevel"/>
    <w:tmpl w:val="32228B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8A50405"/>
    <w:multiLevelType w:val="hybridMultilevel"/>
    <w:tmpl w:val="F500B994"/>
    <w:lvl w:ilvl="0" w:tplc="1CB01296">
      <w:start w:val="1"/>
      <w:numFmt w:val="decimal"/>
      <w:lvlText w:val="%1."/>
      <w:lvlJc w:val="left"/>
      <w:pPr>
        <w:ind w:left="360" w:hanging="360"/>
      </w:pPr>
      <w:rPr>
        <w:rFonts w:ascii="Times New Roman" w:eastAsiaTheme="minorHAnsi" w:hAnsi="Times New Roman" w:cs="Times New Roman"/>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28D07A70"/>
    <w:multiLevelType w:val="hybridMultilevel"/>
    <w:tmpl w:val="F5AC5B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2A000AC2"/>
    <w:multiLevelType w:val="hybridMultilevel"/>
    <w:tmpl w:val="D8DAA1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A73284E"/>
    <w:multiLevelType w:val="hybridMultilevel"/>
    <w:tmpl w:val="0C125B70"/>
    <w:lvl w:ilvl="0" w:tplc="CC38399A">
      <w:start w:val="1"/>
      <w:numFmt w:val="bullet"/>
      <w:pStyle w:val="ListParagraph"/>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2AB2F67E"/>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D11D73F"/>
    <w:multiLevelType w:val="hybridMultilevel"/>
    <w:tmpl w:val="8CC841C0"/>
    <w:lvl w:ilvl="0" w:tplc="D17AB2FE">
      <w:start w:val="4"/>
      <w:numFmt w:val="decimal"/>
      <w:lvlText w:val="%1"/>
      <w:lvlJc w:val="left"/>
      <w:pPr>
        <w:ind w:left="432" w:hanging="360"/>
      </w:pPr>
    </w:lvl>
    <w:lvl w:ilvl="1" w:tplc="3C3AE7FA">
      <w:start w:val="1"/>
      <w:numFmt w:val="lowerLetter"/>
      <w:lvlText w:val="%2."/>
      <w:lvlJc w:val="left"/>
      <w:pPr>
        <w:ind w:left="1440" w:hanging="360"/>
      </w:pPr>
    </w:lvl>
    <w:lvl w:ilvl="2" w:tplc="09F42BFC">
      <w:start w:val="1"/>
      <w:numFmt w:val="lowerRoman"/>
      <w:lvlText w:val="%3."/>
      <w:lvlJc w:val="right"/>
      <w:pPr>
        <w:ind w:left="2160" w:hanging="180"/>
      </w:pPr>
    </w:lvl>
    <w:lvl w:ilvl="3" w:tplc="D2F6B342">
      <w:start w:val="1"/>
      <w:numFmt w:val="decimal"/>
      <w:lvlText w:val="%4."/>
      <w:lvlJc w:val="left"/>
      <w:pPr>
        <w:ind w:left="2880" w:hanging="360"/>
      </w:pPr>
    </w:lvl>
    <w:lvl w:ilvl="4" w:tplc="9288D3D6">
      <w:start w:val="1"/>
      <w:numFmt w:val="lowerLetter"/>
      <w:lvlText w:val="%5."/>
      <w:lvlJc w:val="left"/>
      <w:pPr>
        <w:ind w:left="3600" w:hanging="360"/>
      </w:pPr>
    </w:lvl>
    <w:lvl w:ilvl="5" w:tplc="37DA0AFE">
      <w:start w:val="1"/>
      <w:numFmt w:val="lowerRoman"/>
      <w:lvlText w:val="%6."/>
      <w:lvlJc w:val="right"/>
      <w:pPr>
        <w:ind w:left="4320" w:hanging="180"/>
      </w:pPr>
    </w:lvl>
    <w:lvl w:ilvl="6" w:tplc="FC68AF32">
      <w:start w:val="1"/>
      <w:numFmt w:val="decimal"/>
      <w:lvlText w:val="%7."/>
      <w:lvlJc w:val="left"/>
      <w:pPr>
        <w:ind w:left="5040" w:hanging="360"/>
      </w:pPr>
    </w:lvl>
    <w:lvl w:ilvl="7" w:tplc="997A6336">
      <w:start w:val="1"/>
      <w:numFmt w:val="lowerLetter"/>
      <w:lvlText w:val="%8."/>
      <w:lvlJc w:val="left"/>
      <w:pPr>
        <w:ind w:left="5760" w:hanging="360"/>
      </w:pPr>
    </w:lvl>
    <w:lvl w:ilvl="8" w:tplc="780E335A">
      <w:start w:val="1"/>
      <w:numFmt w:val="lowerRoman"/>
      <w:lvlText w:val="%9."/>
      <w:lvlJc w:val="right"/>
      <w:pPr>
        <w:ind w:left="6480" w:hanging="180"/>
      </w:pPr>
    </w:lvl>
  </w:abstractNum>
  <w:abstractNum w:abstractNumId="3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2DDF0199"/>
    <w:multiLevelType w:val="hybridMultilevel"/>
    <w:tmpl w:val="EDA8FDBE"/>
    <w:lvl w:ilvl="0" w:tplc="00E806EE">
      <w:start w:val="1"/>
      <w:numFmt w:val="bullet"/>
      <w:lvlText w:val=""/>
      <w:lvlJc w:val="left"/>
      <w:pPr>
        <w:ind w:left="720" w:hanging="360"/>
      </w:pPr>
      <w:rPr>
        <w:rFonts w:ascii="Symbol" w:hAnsi="Symbol"/>
      </w:rPr>
    </w:lvl>
    <w:lvl w:ilvl="1" w:tplc="242C161E">
      <w:start w:val="1"/>
      <w:numFmt w:val="bullet"/>
      <w:lvlText w:val=""/>
      <w:lvlJc w:val="left"/>
      <w:pPr>
        <w:ind w:left="720" w:hanging="360"/>
      </w:pPr>
      <w:rPr>
        <w:rFonts w:ascii="Symbol" w:hAnsi="Symbol"/>
      </w:rPr>
    </w:lvl>
    <w:lvl w:ilvl="2" w:tplc="DA1019B8">
      <w:start w:val="1"/>
      <w:numFmt w:val="bullet"/>
      <w:lvlText w:val=""/>
      <w:lvlJc w:val="left"/>
      <w:pPr>
        <w:ind w:left="720" w:hanging="360"/>
      </w:pPr>
      <w:rPr>
        <w:rFonts w:ascii="Symbol" w:hAnsi="Symbol"/>
      </w:rPr>
    </w:lvl>
    <w:lvl w:ilvl="3" w:tplc="F7D0716E">
      <w:start w:val="1"/>
      <w:numFmt w:val="bullet"/>
      <w:lvlText w:val=""/>
      <w:lvlJc w:val="left"/>
      <w:pPr>
        <w:ind w:left="720" w:hanging="360"/>
      </w:pPr>
      <w:rPr>
        <w:rFonts w:ascii="Symbol" w:hAnsi="Symbol"/>
      </w:rPr>
    </w:lvl>
    <w:lvl w:ilvl="4" w:tplc="06D45536">
      <w:start w:val="1"/>
      <w:numFmt w:val="bullet"/>
      <w:lvlText w:val=""/>
      <w:lvlJc w:val="left"/>
      <w:pPr>
        <w:ind w:left="720" w:hanging="360"/>
      </w:pPr>
      <w:rPr>
        <w:rFonts w:ascii="Symbol" w:hAnsi="Symbol"/>
      </w:rPr>
    </w:lvl>
    <w:lvl w:ilvl="5" w:tplc="853E335A">
      <w:start w:val="1"/>
      <w:numFmt w:val="bullet"/>
      <w:lvlText w:val=""/>
      <w:lvlJc w:val="left"/>
      <w:pPr>
        <w:ind w:left="720" w:hanging="360"/>
      </w:pPr>
      <w:rPr>
        <w:rFonts w:ascii="Symbol" w:hAnsi="Symbol"/>
      </w:rPr>
    </w:lvl>
    <w:lvl w:ilvl="6" w:tplc="4E3A6794">
      <w:start w:val="1"/>
      <w:numFmt w:val="bullet"/>
      <w:lvlText w:val=""/>
      <w:lvlJc w:val="left"/>
      <w:pPr>
        <w:ind w:left="720" w:hanging="360"/>
      </w:pPr>
      <w:rPr>
        <w:rFonts w:ascii="Symbol" w:hAnsi="Symbol"/>
      </w:rPr>
    </w:lvl>
    <w:lvl w:ilvl="7" w:tplc="297A898A">
      <w:start w:val="1"/>
      <w:numFmt w:val="bullet"/>
      <w:lvlText w:val=""/>
      <w:lvlJc w:val="left"/>
      <w:pPr>
        <w:ind w:left="720" w:hanging="360"/>
      </w:pPr>
      <w:rPr>
        <w:rFonts w:ascii="Symbol" w:hAnsi="Symbol"/>
      </w:rPr>
    </w:lvl>
    <w:lvl w:ilvl="8" w:tplc="158858C4">
      <w:start w:val="1"/>
      <w:numFmt w:val="bullet"/>
      <w:lvlText w:val=""/>
      <w:lvlJc w:val="left"/>
      <w:pPr>
        <w:ind w:left="720" w:hanging="360"/>
      </w:pPr>
      <w:rPr>
        <w:rFonts w:ascii="Symbol" w:hAnsi="Symbol"/>
      </w:rPr>
    </w:lvl>
  </w:abstractNum>
  <w:abstractNum w:abstractNumId="38" w15:restartNumberingAfterBreak="0">
    <w:nsid w:val="2F992E6A"/>
    <w:multiLevelType w:val="hybridMultilevel"/>
    <w:tmpl w:val="326E25E2"/>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11A78B3"/>
    <w:multiLevelType w:val="hybridMultilevel"/>
    <w:tmpl w:val="86DE5966"/>
    <w:lvl w:ilvl="0" w:tplc="255EE338">
      <w:numFmt w:val="bullet"/>
      <w:lvlText w:val="•"/>
      <w:lvlJc w:val="left"/>
      <w:pPr>
        <w:ind w:left="1146" w:hanging="720"/>
      </w:pPr>
      <w:rPr>
        <w:rFonts w:ascii="Times New Roman" w:eastAsiaTheme="minorHAnsi"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0" w15:restartNumberingAfterBreak="0">
    <w:nsid w:val="31444648"/>
    <w:multiLevelType w:val="hybridMultilevel"/>
    <w:tmpl w:val="959868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14CB68F"/>
    <w:multiLevelType w:val="hybridMultilevel"/>
    <w:tmpl w:val="5E86AC76"/>
    <w:lvl w:ilvl="0" w:tplc="C868F30C">
      <w:start w:val="1"/>
      <w:numFmt w:val="bullet"/>
      <w:lvlText w:val="-"/>
      <w:lvlJc w:val="left"/>
      <w:pPr>
        <w:ind w:left="720" w:hanging="360"/>
      </w:pPr>
      <w:rPr>
        <w:rFonts w:ascii="Aptos" w:hAnsi="Aptos" w:hint="default"/>
      </w:rPr>
    </w:lvl>
    <w:lvl w:ilvl="1" w:tplc="B8A2A846">
      <w:start w:val="1"/>
      <w:numFmt w:val="bullet"/>
      <w:lvlText w:val="o"/>
      <w:lvlJc w:val="left"/>
      <w:pPr>
        <w:ind w:left="1440" w:hanging="360"/>
      </w:pPr>
      <w:rPr>
        <w:rFonts w:ascii="Courier New" w:hAnsi="Courier New" w:hint="default"/>
      </w:rPr>
    </w:lvl>
    <w:lvl w:ilvl="2" w:tplc="2AD23314">
      <w:start w:val="1"/>
      <w:numFmt w:val="bullet"/>
      <w:lvlText w:val=""/>
      <w:lvlJc w:val="left"/>
      <w:pPr>
        <w:ind w:left="2160" w:hanging="360"/>
      </w:pPr>
      <w:rPr>
        <w:rFonts w:ascii="Wingdings" w:hAnsi="Wingdings" w:hint="default"/>
      </w:rPr>
    </w:lvl>
    <w:lvl w:ilvl="3" w:tplc="DDB02D14">
      <w:start w:val="1"/>
      <w:numFmt w:val="bullet"/>
      <w:lvlText w:val=""/>
      <w:lvlJc w:val="left"/>
      <w:pPr>
        <w:ind w:left="2880" w:hanging="360"/>
      </w:pPr>
      <w:rPr>
        <w:rFonts w:ascii="Symbol" w:hAnsi="Symbol" w:hint="default"/>
      </w:rPr>
    </w:lvl>
    <w:lvl w:ilvl="4" w:tplc="AA2844F0">
      <w:start w:val="1"/>
      <w:numFmt w:val="bullet"/>
      <w:lvlText w:val="o"/>
      <w:lvlJc w:val="left"/>
      <w:pPr>
        <w:ind w:left="3600" w:hanging="360"/>
      </w:pPr>
      <w:rPr>
        <w:rFonts w:ascii="Courier New" w:hAnsi="Courier New" w:hint="default"/>
      </w:rPr>
    </w:lvl>
    <w:lvl w:ilvl="5" w:tplc="2CEEFA1C">
      <w:start w:val="1"/>
      <w:numFmt w:val="bullet"/>
      <w:lvlText w:val=""/>
      <w:lvlJc w:val="left"/>
      <w:pPr>
        <w:ind w:left="4320" w:hanging="360"/>
      </w:pPr>
      <w:rPr>
        <w:rFonts w:ascii="Wingdings" w:hAnsi="Wingdings" w:hint="default"/>
      </w:rPr>
    </w:lvl>
    <w:lvl w:ilvl="6" w:tplc="8F8A18DC">
      <w:start w:val="1"/>
      <w:numFmt w:val="bullet"/>
      <w:lvlText w:val=""/>
      <w:lvlJc w:val="left"/>
      <w:pPr>
        <w:ind w:left="5040" w:hanging="360"/>
      </w:pPr>
      <w:rPr>
        <w:rFonts w:ascii="Symbol" w:hAnsi="Symbol" w:hint="default"/>
      </w:rPr>
    </w:lvl>
    <w:lvl w:ilvl="7" w:tplc="15E435BE">
      <w:start w:val="1"/>
      <w:numFmt w:val="bullet"/>
      <w:lvlText w:val="o"/>
      <w:lvlJc w:val="left"/>
      <w:pPr>
        <w:ind w:left="5760" w:hanging="360"/>
      </w:pPr>
      <w:rPr>
        <w:rFonts w:ascii="Courier New" w:hAnsi="Courier New" w:hint="default"/>
      </w:rPr>
    </w:lvl>
    <w:lvl w:ilvl="8" w:tplc="0EBC9508">
      <w:start w:val="1"/>
      <w:numFmt w:val="bullet"/>
      <w:lvlText w:val=""/>
      <w:lvlJc w:val="left"/>
      <w:pPr>
        <w:ind w:left="6480" w:hanging="360"/>
      </w:pPr>
      <w:rPr>
        <w:rFonts w:ascii="Wingdings" w:hAnsi="Wingdings" w:hint="default"/>
      </w:rPr>
    </w:lvl>
  </w:abstractNum>
  <w:abstractNum w:abstractNumId="42" w15:restartNumberingAfterBreak="0">
    <w:nsid w:val="320117E5"/>
    <w:multiLevelType w:val="hybridMultilevel"/>
    <w:tmpl w:val="CF0C8E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27B272E"/>
    <w:multiLevelType w:val="hybridMultilevel"/>
    <w:tmpl w:val="EE2CB418"/>
    <w:lvl w:ilvl="0" w:tplc="90162BDE">
      <w:start w:val="1"/>
      <w:numFmt w:val="bullet"/>
      <w:lvlText w:val="-"/>
      <w:lvlJc w:val="left"/>
      <w:pPr>
        <w:ind w:left="720" w:hanging="360"/>
      </w:pPr>
      <w:rPr>
        <w:rFonts w:ascii="Aptos" w:hAnsi="Aptos" w:hint="default"/>
      </w:rPr>
    </w:lvl>
    <w:lvl w:ilvl="1" w:tplc="394C9124">
      <w:start w:val="1"/>
      <w:numFmt w:val="bullet"/>
      <w:lvlText w:val="o"/>
      <w:lvlJc w:val="left"/>
      <w:pPr>
        <w:ind w:left="1440" w:hanging="360"/>
      </w:pPr>
      <w:rPr>
        <w:rFonts w:ascii="Courier New" w:hAnsi="Courier New" w:hint="default"/>
      </w:rPr>
    </w:lvl>
    <w:lvl w:ilvl="2" w:tplc="98AEBDD2">
      <w:start w:val="1"/>
      <w:numFmt w:val="bullet"/>
      <w:lvlText w:val=""/>
      <w:lvlJc w:val="left"/>
      <w:pPr>
        <w:ind w:left="2160" w:hanging="360"/>
      </w:pPr>
      <w:rPr>
        <w:rFonts w:ascii="Wingdings" w:hAnsi="Wingdings" w:hint="default"/>
      </w:rPr>
    </w:lvl>
    <w:lvl w:ilvl="3" w:tplc="984893E0">
      <w:start w:val="1"/>
      <w:numFmt w:val="bullet"/>
      <w:lvlText w:val=""/>
      <w:lvlJc w:val="left"/>
      <w:pPr>
        <w:ind w:left="2880" w:hanging="360"/>
      </w:pPr>
      <w:rPr>
        <w:rFonts w:ascii="Symbol" w:hAnsi="Symbol" w:hint="default"/>
      </w:rPr>
    </w:lvl>
    <w:lvl w:ilvl="4" w:tplc="9C8ADE14">
      <w:start w:val="1"/>
      <w:numFmt w:val="bullet"/>
      <w:lvlText w:val="o"/>
      <w:lvlJc w:val="left"/>
      <w:pPr>
        <w:ind w:left="3600" w:hanging="360"/>
      </w:pPr>
      <w:rPr>
        <w:rFonts w:ascii="Courier New" w:hAnsi="Courier New" w:hint="default"/>
      </w:rPr>
    </w:lvl>
    <w:lvl w:ilvl="5" w:tplc="64A80A26">
      <w:start w:val="1"/>
      <w:numFmt w:val="bullet"/>
      <w:lvlText w:val=""/>
      <w:lvlJc w:val="left"/>
      <w:pPr>
        <w:ind w:left="4320" w:hanging="360"/>
      </w:pPr>
      <w:rPr>
        <w:rFonts w:ascii="Wingdings" w:hAnsi="Wingdings" w:hint="default"/>
      </w:rPr>
    </w:lvl>
    <w:lvl w:ilvl="6" w:tplc="A33600CA">
      <w:start w:val="1"/>
      <w:numFmt w:val="bullet"/>
      <w:lvlText w:val=""/>
      <w:lvlJc w:val="left"/>
      <w:pPr>
        <w:ind w:left="5040" w:hanging="360"/>
      </w:pPr>
      <w:rPr>
        <w:rFonts w:ascii="Symbol" w:hAnsi="Symbol" w:hint="default"/>
      </w:rPr>
    </w:lvl>
    <w:lvl w:ilvl="7" w:tplc="C43490B0">
      <w:start w:val="1"/>
      <w:numFmt w:val="bullet"/>
      <w:lvlText w:val="o"/>
      <w:lvlJc w:val="left"/>
      <w:pPr>
        <w:ind w:left="5760" w:hanging="360"/>
      </w:pPr>
      <w:rPr>
        <w:rFonts w:ascii="Courier New" w:hAnsi="Courier New" w:hint="default"/>
      </w:rPr>
    </w:lvl>
    <w:lvl w:ilvl="8" w:tplc="4E6CF9C4">
      <w:start w:val="1"/>
      <w:numFmt w:val="bullet"/>
      <w:lvlText w:val=""/>
      <w:lvlJc w:val="left"/>
      <w:pPr>
        <w:ind w:left="6480" w:hanging="360"/>
      </w:pPr>
      <w:rPr>
        <w:rFonts w:ascii="Wingdings" w:hAnsi="Wingdings" w:hint="default"/>
      </w:rPr>
    </w:lvl>
  </w:abstractNum>
  <w:abstractNum w:abstractNumId="44" w15:restartNumberingAfterBreak="0">
    <w:nsid w:val="32B34638"/>
    <w:multiLevelType w:val="multilevel"/>
    <w:tmpl w:val="39001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3AA3C16"/>
    <w:multiLevelType w:val="multilevel"/>
    <w:tmpl w:val="77C2E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3B90F06"/>
    <w:multiLevelType w:val="hybridMultilevel"/>
    <w:tmpl w:val="1BCA7FAA"/>
    <w:lvl w:ilvl="0" w:tplc="162A88D8">
      <w:numFmt w:val="bullet"/>
      <w:lvlText w:val=""/>
      <w:lvlJc w:val="left"/>
      <w:pPr>
        <w:ind w:left="360" w:hanging="360"/>
      </w:pPr>
      <w:rPr>
        <w:rFonts w:ascii="Symbol" w:eastAsia="Symbol" w:hAnsi="Symbol" w:cs="Symbol" w:hint="default"/>
        <w:b w:val="0"/>
        <w:bCs w:val="0"/>
        <w:i w:val="0"/>
        <w:iCs w:val="0"/>
        <w:spacing w:val="0"/>
        <w:w w:val="100"/>
        <w:sz w:val="24"/>
      </w:rPr>
    </w:lvl>
    <w:lvl w:ilvl="1" w:tplc="456E223A">
      <w:numFmt w:val="bullet"/>
      <w:lvlText w:val="o"/>
      <w:lvlJc w:val="left"/>
      <w:pPr>
        <w:ind w:left="1080" w:hanging="360"/>
      </w:pPr>
      <w:rPr>
        <w:rFonts w:ascii="Courier New" w:eastAsia="Courier New" w:hAnsi="Courier New" w:cs="Courier New" w:hint="default"/>
        <w:b w:val="0"/>
        <w:bCs w:val="0"/>
        <w:i w:val="0"/>
        <w:iCs w:val="0"/>
        <w:spacing w:val="0"/>
        <w:w w:val="100"/>
        <w:sz w:val="24"/>
      </w:rPr>
    </w:lvl>
    <w:lvl w:ilvl="2" w:tplc="6E6A3E42">
      <w:numFmt w:val="bullet"/>
      <w:lvlText w:val="•"/>
      <w:lvlJc w:val="left"/>
      <w:pPr>
        <w:ind w:left="1936" w:hanging="360"/>
      </w:pPr>
      <w:rPr>
        <w:rFonts w:hint="default"/>
      </w:rPr>
    </w:lvl>
    <w:lvl w:ilvl="3" w:tplc="DD9A06C4">
      <w:numFmt w:val="bullet"/>
      <w:lvlText w:val="•"/>
      <w:lvlJc w:val="left"/>
      <w:pPr>
        <w:ind w:left="2792" w:hanging="360"/>
      </w:pPr>
      <w:rPr>
        <w:rFonts w:hint="default"/>
      </w:rPr>
    </w:lvl>
    <w:lvl w:ilvl="4" w:tplc="C6E0FF7E">
      <w:numFmt w:val="bullet"/>
      <w:lvlText w:val="•"/>
      <w:lvlJc w:val="left"/>
      <w:pPr>
        <w:ind w:left="3648" w:hanging="360"/>
      </w:pPr>
      <w:rPr>
        <w:rFonts w:hint="default"/>
      </w:rPr>
    </w:lvl>
    <w:lvl w:ilvl="5" w:tplc="147ACD5A">
      <w:numFmt w:val="bullet"/>
      <w:lvlText w:val="•"/>
      <w:lvlJc w:val="left"/>
      <w:pPr>
        <w:ind w:left="4505" w:hanging="360"/>
      </w:pPr>
      <w:rPr>
        <w:rFonts w:hint="default"/>
      </w:rPr>
    </w:lvl>
    <w:lvl w:ilvl="6" w:tplc="AC70DEA2">
      <w:numFmt w:val="bullet"/>
      <w:lvlText w:val="•"/>
      <w:lvlJc w:val="left"/>
      <w:pPr>
        <w:ind w:left="5361" w:hanging="360"/>
      </w:pPr>
      <w:rPr>
        <w:rFonts w:hint="default"/>
      </w:rPr>
    </w:lvl>
    <w:lvl w:ilvl="7" w:tplc="6FE4E6B4">
      <w:numFmt w:val="bullet"/>
      <w:lvlText w:val="•"/>
      <w:lvlJc w:val="left"/>
      <w:pPr>
        <w:ind w:left="6217" w:hanging="360"/>
      </w:pPr>
      <w:rPr>
        <w:rFonts w:hint="default"/>
      </w:rPr>
    </w:lvl>
    <w:lvl w:ilvl="8" w:tplc="3022D4BA">
      <w:numFmt w:val="bullet"/>
      <w:lvlText w:val="•"/>
      <w:lvlJc w:val="left"/>
      <w:pPr>
        <w:ind w:left="7073" w:hanging="360"/>
      </w:pPr>
      <w:rPr>
        <w:rFonts w:hint="default"/>
      </w:rPr>
    </w:lvl>
  </w:abstractNum>
  <w:abstractNum w:abstractNumId="47" w15:restartNumberingAfterBreak="0">
    <w:nsid w:val="34F60747"/>
    <w:multiLevelType w:val="hybridMultilevel"/>
    <w:tmpl w:val="CF0C8E36"/>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373F1EDD"/>
    <w:multiLevelType w:val="multilevel"/>
    <w:tmpl w:val="4100F2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38194B9C"/>
    <w:multiLevelType w:val="hybridMultilevel"/>
    <w:tmpl w:val="77A6AE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3B393891"/>
    <w:multiLevelType w:val="hybridMultilevel"/>
    <w:tmpl w:val="32228B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D3A10D2"/>
    <w:multiLevelType w:val="multilevel"/>
    <w:tmpl w:val="E2B83E6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3E016F0B"/>
    <w:multiLevelType w:val="multilevel"/>
    <w:tmpl w:val="8A7AC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0496C2D"/>
    <w:multiLevelType w:val="hybridMultilevel"/>
    <w:tmpl w:val="8FD0A7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42365509"/>
    <w:multiLevelType w:val="hybridMultilevel"/>
    <w:tmpl w:val="82B248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25D375E"/>
    <w:multiLevelType w:val="hybridMultilevel"/>
    <w:tmpl w:val="E2940920"/>
    <w:lvl w:ilvl="0" w:tplc="82047716">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45366605"/>
    <w:multiLevelType w:val="hybridMultilevel"/>
    <w:tmpl w:val="3C727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DC4614"/>
    <w:multiLevelType w:val="hybridMultilevel"/>
    <w:tmpl w:val="78DE827E"/>
    <w:lvl w:ilvl="0" w:tplc="7AD476C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462243F4"/>
    <w:multiLevelType w:val="hybridMultilevel"/>
    <w:tmpl w:val="38EE6A66"/>
    <w:lvl w:ilvl="0" w:tplc="576E93DC">
      <w:start w:val="1"/>
      <w:numFmt w:val="bullet"/>
      <w:lvlText w:val=""/>
      <w:lvlJc w:val="left"/>
      <w:pPr>
        <w:ind w:left="720" w:hanging="360"/>
      </w:pPr>
      <w:rPr>
        <w:rFonts w:ascii="Symbol" w:hAnsi="Symbol"/>
      </w:rPr>
    </w:lvl>
    <w:lvl w:ilvl="1" w:tplc="FCE20E0C">
      <w:start w:val="1"/>
      <w:numFmt w:val="bullet"/>
      <w:lvlText w:val=""/>
      <w:lvlJc w:val="left"/>
      <w:pPr>
        <w:ind w:left="720" w:hanging="360"/>
      </w:pPr>
      <w:rPr>
        <w:rFonts w:ascii="Symbol" w:hAnsi="Symbol"/>
      </w:rPr>
    </w:lvl>
    <w:lvl w:ilvl="2" w:tplc="65F28AF4">
      <w:start w:val="1"/>
      <w:numFmt w:val="bullet"/>
      <w:lvlText w:val=""/>
      <w:lvlJc w:val="left"/>
      <w:pPr>
        <w:ind w:left="720" w:hanging="360"/>
      </w:pPr>
      <w:rPr>
        <w:rFonts w:ascii="Symbol" w:hAnsi="Symbol"/>
      </w:rPr>
    </w:lvl>
    <w:lvl w:ilvl="3" w:tplc="38009FEE">
      <w:start w:val="1"/>
      <w:numFmt w:val="bullet"/>
      <w:lvlText w:val=""/>
      <w:lvlJc w:val="left"/>
      <w:pPr>
        <w:ind w:left="720" w:hanging="360"/>
      </w:pPr>
      <w:rPr>
        <w:rFonts w:ascii="Symbol" w:hAnsi="Symbol"/>
      </w:rPr>
    </w:lvl>
    <w:lvl w:ilvl="4" w:tplc="DC46EB88">
      <w:start w:val="1"/>
      <w:numFmt w:val="bullet"/>
      <w:lvlText w:val=""/>
      <w:lvlJc w:val="left"/>
      <w:pPr>
        <w:ind w:left="720" w:hanging="360"/>
      </w:pPr>
      <w:rPr>
        <w:rFonts w:ascii="Symbol" w:hAnsi="Symbol"/>
      </w:rPr>
    </w:lvl>
    <w:lvl w:ilvl="5" w:tplc="6226C1EC">
      <w:start w:val="1"/>
      <w:numFmt w:val="bullet"/>
      <w:lvlText w:val=""/>
      <w:lvlJc w:val="left"/>
      <w:pPr>
        <w:ind w:left="720" w:hanging="360"/>
      </w:pPr>
      <w:rPr>
        <w:rFonts w:ascii="Symbol" w:hAnsi="Symbol"/>
      </w:rPr>
    </w:lvl>
    <w:lvl w:ilvl="6" w:tplc="1CF8CF4A">
      <w:start w:val="1"/>
      <w:numFmt w:val="bullet"/>
      <w:lvlText w:val=""/>
      <w:lvlJc w:val="left"/>
      <w:pPr>
        <w:ind w:left="720" w:hanging="360"/>
      </w:pPr>
      <w:rPr>
        <w:rFonts w:ascii="Symbol" w:hAnsi="Symbol"/>
      </w:rPr>
    </w:lvl>
    <w:lvl w:ilvl="7" w:tplc="0480DB36">
      <w:start w:val="1"/>
      <w:numFmt w:val="bullet"/>
      <w:lvlText w:val=""/>
      <w:lvlJc w:val="left"/>
      <w:pPr>
        <w:ind w:left="720" w:hanging="360"/>
      </w:pPr>
      <w:rPr>
        <w:rFonts w:ascii="Symbol" w:hAnsi="Symbol"/>
      </w:rPr>
    </w:lvl>
    <w:lvl w:ilvl="8" w:tplc="30D816D4">
      <w:start w:val="1"/>
      <w:numFmt w:val="bullet"/>
      <w:lvlText w:val=""/>
      <w:lvlJc w:val="left"/>
      <w:pPr>
        <w:ind w:left="720" w:hanging="360"/>
      </w:pPr>
      <w:rPr>
        <w:rFonts w:ascii="Symbol" w:hAnsi="Symbol"/>
      </w:rPr>
    </w:lvl>
  </w:abstractNum>
  <w:abstractNum w:abstractNumId="59" w15:restartNumberingAfterBreak="0">
    <w:nsid w:val="474781D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91746ED"/>
    <w:multiLevelType w:val="multilevel"/>
    <w:tmpl w:val="4928E7C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imes New Roman Bold" w:hAnsi="Times New Roman Bold" w:hint="default"/>
        <w:b/>
        <w:i w:val="0"/>
        <w:caps w:val="0"/>
        <w:strike w:val="0"/>
        <w:dstrike w:val="0"/>
        <w:shadow w:val="0"/>
        <w:emboss w:val="0"/>
        <w:imprint w:val="0"/>
        <w:vanish w:val="0"/>
        <w:color w:val="000000" w:themeColor="text1"/>
        <w:sz w:val="24"/>
        <w:vertAlign w:val="base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15:restartNumberingAfterBreak="0">
    <w:nsid w:val="49DA6487"/>
    <w:multiLevelType w:val="hybridMultilevel"/>
    <w:tmpl w:val="CF62868E"/>
    <w:lvl w:ilvl="0" w:tplc="18090001">
      <w:start w:val="1"/>
      <w:numFmt w:val="bullet"/>
      <w:lvlText w:val=""/>
      <w:lvlJc w:val="left"/>
      <w:pPr>
        <w:ind w:left="720" w:hanging="360"/>
      </w:pPr>
      <w:rPr>
        <w:rFonts w:ascii="Symbol" w:hAnsi="Symbol" w:hint="default"/>
      </w:rPr>
    </w:lvl>
    <w:lvl w:ilvl="1" w:tplc="9CC0228A">
      <w:numFmt w:val="bullet"/>
      <w:lvlText w:val="•"/>
      <w:lvlJc w:val="left"/>
      <w:pPr>
        <w:ind w:left="1800" w:hanging="720"/>
      </w:pPr>
      <w:rPr>
        <w:rFonts w:ascii="Times New Roman" w:eastAsiaTheme="minorHAnsi"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BEF5FBA"/>
    <w:multiLevelType w:val="hybridMultilevel"/>
    <w:tmpl w:val="7AAEC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E166DB0"/>
    <w:multiLevelType w:val="hybridMultilevel"/>
    <w:tmpl w:val="242C1210"/>
    <w:lvl w:ilvl="0" w:tplc="3A60FDCC">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EEF65BC"/>
    <w:multiLevelType w:val="hybridMultilevel"/>
    <w:tmpl w:val="5582EF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4FD73E1B"/>
    <w:multiLevelType w:val="hybridMultilevel"/>
    <w:tmpl w:val="CBF4FC4A"/>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FF94F8E"/>
    <w:multiLevelType w:val="hybridMultilevel"/>
    <w:tmpl w:val="65A606E2"/>
    <w:lvl w:ilvl="0" w:tplc="7F685A36">
      <w:start w:val="1"/>
      <w:numFmt w:val="bullet"/>
      <w:lvlText w:val=""/>
      <w:lvlJc w:val="left"/>
      <w:pPr>
        <w:ind w:left="720" w:hanging="360"/>
      </w:pPr>
      <w:rPr>
        <w:rFonts w:ascii="Symbol" w:hAnsi="Symbol"/>
      </w:rPr>
    </w:lvl>
    <w:lvl w:ilvl="1" w:tplc="39562BC8">
      <w:start w:val="1"/>
      <w:numFmt w:val="bullet"/>
      <w:lvlText w:val=""/>
      <w:lvlJc w:val="left"/>
      <w:pPr>
        <w:ind w:left="720" w:hanging="360"/>
      </w:pPr>
      <w:rPr>
        <w:rFonts w:ascii="Symbol" w:hAnsi="Symbol"/>
      </w:rPr>
    </w:lvl>
    <w:lvl w:ilvl="2" w:tplc="1DF6B1EA">
      <w:start w:val="1"/>
      <w:numFmt w:val="bullet"/>
      <w:lvlText w:val=""/>
      <w:lvlJc w:val="left"/>
      <w:pPr>
        <w:ind w:left="720" w:hanging="360"/>
      </w:pPr>
      <w:rPr>
        <w:rFonts w:ascii="Symbol" w:hAnsi="Symbol"/>
      </w:rPr>
    </w:lvl>
    <w:lvl w:ilvl="3" w:tplc="0BFABA0C">
      <w:start w:val="1"/>
      <w:numFmt w:val="bullet"/>
      <w:lvlText w:val=""/>
      <w:lvlJc w:val="left"/>
      <w:pPr>
        <w:ind w:left="720" w:hanging="360"/>
      </w:pPr>
      <w:rPr>
        <w:rFonts w:ascii="Symbol" w:hAnsi="Symbol"/>
      </w:rPr>
    </w:lvl>
    <w:lvl w:ilvl="4" w:tplc="0F207E9E">
      <w:start w:val="1"/>
      <w:numFmt w:val="bullet"/>
      <w:lvlText w:val=""/>
      <w:lvlJc w:val="left"/>
      <w:pPr>
        <w:ind w:left="720" w:hanging="360"/>
      </w:pPr>
      <w:rPr>
        <w:rFonts w:ascii="Symbol" w:hAnsi="Symbol"/>
      </w:rPr>
    </w:lvl>
    <w:lvl w:ilvl="5" w:tplc="D2C2EE9A">
      <w:start w:val="1"/>
      <w:numFmt w:val="bullet"/>
      <w:lvlText w:val=""/>
      <w:lvlJc w:val="left"/>
      <w:pPr>
        <w:ind w:left="720" w:hanging="360"/>
      </w:pPr>
      <w:rPr>
        <w:rFonts w:ascii="Symbol" w:hAnsi="Symbol"/>
      </w:rPr>
    </w:lvl>
    <w:lvl w:ilvl="6" w:tplc="24A88872">
      <w:start w:val="1"/>
      <w:numFmt w:val="bullet"/>
      <w:lvlText w:val=""/>
      <w:lvlJc w:val="left"/>
      <w:pPr>
        <w:ind w:left="720" w:hanging="360"/>
      </w:pPr>
      <w:rPr>
        <w:rFonts w:ascii="Symbol" w:hAnsi="Symbol"/>
      </w:rPr>
    </w:lvl>
    <w:lvl w:ilvl="7" w:tplc="1B8AD710">
      <w:start w:val="1"/>
      <w:numFmt w:val="bullet"/>
      <w:lvlText w:val=""/>
      <w:lvlJc w:val="left"/>
      <w:pPr>
        <w:ind w:left="720" w:hanging="360"/>
      </w:pPr>
      <w:rPr>
        <w:rFonts w:ascii="Symbol" w:hAnsi="Symbol"/>
      </w:rPr>
    </w:lvl>
    <w:lvl w:ilvl="8" w:tplc="41525CEE">
      <w:start w:val="1"/>
      <w:numFmt w:val="bullet"/>
      <w:lvlText w:val=""/>
      <w:lvlJc w:val="left"/>
      <w:pPr>
        <w:ind w:left="720" w:hanging="360"/>
      </w:pPr>
      <w:rPr>
        <w:rFonts w:ascii="Symbol" w:hAnsi="Symbol"/>
      </w:rPr>
    </w:lvl>
  </w:abstractNum>
  <w:abstractNum w:abstractNumId="67" w15:restartNumberingAfterBreak="0">
    <w:nsid w:val="5073158B"/>
    <w:multiLevelType w:val="multilevel"/>
    <w:tmpl w:val="6C24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0C1463E"/>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0DB1F27"/>
    <w:multiLevelType w:val="hybridMultilevel"/>
    <w:tmpl w:val="85FC7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1A86165"/>
    <w:multiLevelType w:val="hybridMultilevel"/>
    <w:tmpl w:val="7C009A02"/>
    <w:lvl w:ilvl="0" w:tplc="DA50D2E8">
      <w:start w:val="1"/>
      <w:numFmt w:val="bullet"/>
      <w:lvlText w:val=""/>
      <w:lvlJc w:val="left"/>
      <w:pPr>
        <w:ind w:left="720" w:hanging="360"/>
      </w:pPr>
      <w:rPr>
        <w:rFonts w:ascii="Symbol" w:hAnsi="Symbol"/>
      </w:rPr>
    </w:lvl>
    <w:lvl w:ilvl="1" w:tplc="97FE8EC6">
      <w:start w:val="1"/>
      <w:numFmt w:val="bullet"/>
      <w:lvlText w:val=""/>
      <w:lvlJc w:val="left"/>
      <w:pPr>
        <w:ind w:left="720" w:hanging="360"/>
      </w:pPr>
      <w:rPr>
        <w:rFonts w:ascii="Symbol" w:hAnsi="Symbol"/>
      </w:rPr>
    </w:lvl>
    <w:lvl w:ilvl="2" w:tplc="B5668C7A">
      <w:start w:val="1"/>
      <w:numFmt w:val="bullet"/>
      <w:lvlText w:val=""/>
      <w:lvlJc w:val="left"/>
      <w:pPr>
        <w:ind w:left="720" w:hanging="360"/>
      </w:pPr>
      <w:rPr>
        <w:rFonts w:ascii="Symbol" w:hAnsi="Symbol"/>
      </w:rPr>
    </w:lvl>
    <w:lvl w:ilvl="3" w:tplc="B6B0FA26">
      <w:start w:val="1"/>
      <w:numFmt w:val="bullet"/>
      <w:lvlText w:val=""/>
      <w:lvlJc w:val="left"/>
      <w:pPr>
        <w:ind w:left="720" w:hanging="360"/>
      </w:pPr>
      <w:rPr>
        <w:rFonts w:ascii="Symbol" w:hAnsi="Symbol"/>
      </w:rPr>
    </w:lvl>
    <w:lvl w:ilvl="4" w:tplc="4288D15C">
      <w:start w:val="1"/>
      <w:numFmt w:val="bullet"/>
      <w:lvlText w:val=""/>
      <w:lvlJc w:val="left"/>
      <w:pPr>
        <w:ind w:left="720" w:hanging="360"/>
      </w:pPr>
      <w:rPr>
        <w:rFonts w:ascii="Symbol" w:hAnsi="Symbol"/>
      </w:rPr>
    </w:lvl>
    <w:lvl w:ilvl="5" w:tplc="5D585696">
      <w:start w:val="1"/>
      <w:numFmt w:val="bullet"/>
      <w:lvlText w:val=""/>
      <w:lvlJc w:val="left"/>
      <w:pPr>
        <w:ind w:left="720" w:hanging="360"/>
      </w:pPr>
      <w:rPr>
        <w:rFonts w:ascii="Symbol" w:hAnsi="Symbol"/>
      </w:rPr>
    </w:lvl>
    <w:lvl w:ilvl="6" w:tplc="4E86F6BC">
      <w:start w:val="1"/>
      <w:numFmt w:val="bullet"/>
      <w:lvlText w:val=""/>
      <w:lvlJc w:val="left"/>
      <w:pPr>
        <w:ind w:left="720" w:hanging="360"/>
      </w:pPr>
      <w:rPr>
        <w:rFonts w:ascii="Symbol" w:hAnsi="Symbol"/>
      </w:rPr>
    </w:lvl>
    <w:lvl w:ilvl="7" w:tplc="37E6F738">
      <w:start w:val="1"/>
      <w:numFmt w:val="bullet"/>
      <w:lvlText w:val=""/>
      <w:lvlJc w:val="left"/>
      <w:pPr>
        <w:ind w:left="720" w:hanging="360"/>
      </w:pPr>
      <w:rPr>
        <w:rFonts w:ascii="Symbol" w:hAnsi="Symbol"/>
      </w:rPr>
    </w:lvl>
    <w:lvl w:ilvl="8" w:tplc="AD6A403E">
      <w:start w:val="1"/>
      <w:numFmt w:val="bullet"/>
      <w:lvlText w:val=""/>
      <w:lvlJc w:val="left"/>
      <w:pPr>
        <w:ind w:left="720" w:hanging="360"/>
      </w:pPr>
      <w:rPr>
        <w:rFonts w:ascii="Symbol" w:hAnsi="Symbol"/>
      </w:rPr>
    </w:lvl>
  </w:abstractNum>
  <w:abstractNum w:abstractNumId="71" w15:restartNumberingAfterBreak="0">
    <w:nsid w:val="54063258"/>
    <w:multiLevelType w:val="multilevel"/>
    <w:tmpl w:val="2376D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51F73FF"/>
    <w:multiLevelType w:val="hybridMultilevel"/>
    <w:tmpl w:val="C43001AC"/>
    <w:lvl w:ilvl="0" w:tplc="676CFF7E">
      <w:start w:val="1"/>
      <w:numFmt w:val="bullet"/>
      <w:lvlText w:val="-"/>
      <w:lvlJc w:val="left"/>
      <w:pPr>
        <w:ind w:left="720" w:hanging="360"/>
      </w:pPr>
      <w:rPr>
        <w:rFonts w:ascii="Aptos" w:hAnsi="Aptos" w:hint="default"/>
      </w:rPr>
    </w:lvl>
    <w:lvl w:ilvl="1" w:tplc="3C782E64">
      <w:start w:val="1"/>
      <w:numFmt w:val="bullet"/>
      <w:lvlText w:val="o"/>
      <w:lvlJc w:val="left"/>
      <w:pPr>
        <w:ind w:left="1440" w:hanging="360"/>
      </w:pPr>
      <w:rPr>
        <w:rFonts w:ascii="Courier New" w:hAnsi="Courier New" w:hint="default"/>
      </w:rPr>
    </w:lvl>
    <w:lvl w:ilvl="2" w:tplc="19E4A598">
      <w:start w:val="1"/>
      <w:numFmt w:val="bullet"/>
      <w:lvlText w:val=""/>
      <w:lvlJc w:val="left"/>
      <w:pPr>
        <w:ind w:left="2160" w:hanging="360"/>
      </w:pPr>
      <w:rPr>
        <w:rFonts w:ascii="Wingdings" w:hAnsi="Wingdings" w:hint="default"/>
      </w:rPr>
    </w:lvl>
    <w:lvl w:ilvl="3" w:tplc="45B8F4BC">
      <w:start w:val="1"/>
      <w:numFmt w:val="bullet"/>
      <w:lvlText w:val=""/>
      <w:lvlJc w:val="left"/>
      <w:pPr>
        <w:ind w:left="2880" w:hanging="360"/>
      </w:pPr>
      <w:rPr>
        <w:rFonts w:ascii="Symbol" w:hAnsi="Symbol" w:hint="default"/>
      </w:rPr>
    </w:lvl>
    <w:lvl w:ilvl="4" w:tplc="9A1CD52A">
      <w:start w:val="1"/>
      <w:numFmt w:val="bullet"/>
      <w:lvlText w:val="o"/>
      <w:lvlJc w:val="left"/>
      <w:pPr>
        <w:ind w:left="3600" w:hanging="360"/>
      </w:pPr>
      <w:rPr>
        <w:rFonts w:ascii="Courier New" w:hAnsi="Courier New" w:hint="default"/>
      </w:rPr>
    </w:lvl>
    <w:lvl w:ilvl="5" w:tplc="6EBCA8D8">
      <w:start w:val="1"/>
      <w:numFmt w:val="bullet"/>
      <w:lvlText w:val=""/>
      <w:lvlJc w:val="left"/>
      <w:pPr>
        <w:ind w:left="4320" w:hanging="360"/>
      </w:pPr>
      <w:rPr>
        <w:rFonts w:ascii="Wingdings" w:hAnsi="Wingdings" w:hint="default"/>
      </w:rPr>
    </w:lvl>
    <w:lvl w:ilvl="6" w:tplc="FC06FFDE">
      <w:start w:val="1"/>
      <w:numFmt w:val="bullet"/>
      <w:lvlText w:val=""/>
      <w:lvlJc w:val="left"/>
      <w:pPr>
        <w:ind w:left="5040" w:hanging="360"/>
      </w:pPr>
      <w:rPr>
        <w:rFonts w:ascii="Symbol" w:hAnsi="Symbol" w:hint="default"/>
      </w:rPr>
    </w:lvl>
    <w:lvl w:ilvl="7" w:tplc="81FE8152">
      <w:start w:val="1"/>
      <w:numFmt w:val="bullet"/>
      <w:lvlText w:val="o"/>
      <w:lvlJc w:val="left"/>
      <w:pPr>
        <w:ind w:left="5760" w:hanging="360"/>
      </w:pPr>
      <w:rPr>
        <w:rFonts w:ascii="Courier New" w:hAnsi="Courier New" w:hint="default"/>
      </w:rPr>
    </w:lvl>
    <w:lvl w:ilvl="8" w:tplc="96B8A466">
      <w:start w:val="1"/>
      <w:numFmt w:val="bullet"/>
      <w:lvlText w:val=""/>
      <w:lvlJc w:val="left"/>
      <w:pPr>
        <w:ind w:left="6480" w:hanging="360"/>
      </w:pPr>
      <w:rPr>
        <w:rFonts w:ascii="Wingdings" w:hAnsi="Wingdings" w:hint="default"/>
      </w:rPr>
    </w:lvl>
  </w:abstractNum>
  <w:abstractNum w:abstractNumId="73" w15:restartNumberingAfterBreak="0">
    <w:nsid w:val="55E5711A"/>
    <w:multiLevelType w:val="hybridMultilevel"/>
    <w:tmpl w:val="A21EE9FC"/>
    <w:lvl w:ilvl="0" w:tplc="1B6443CE">
      <w:start w:val="1"/>
      <w:numFmt w:val="bullet"/>
      <w:lvlText w:val=""/>
      <w:lvlJc w:val="left"/>
      <w:pPr>
        <w:ind w:left="720" w:hanging="360"/>
      </w:pPr>
      <w:rPr>
        <w:rFonts w:ascii="Symbol" w:hAnsi="Symbol"/>
      </w:rPr>
    </w:lvl>
    <w:lvl w:ilvl="1" w:tplc="A7A011FE">
      <w:start w:val="1"/>
      <w:numFmt w:val="bullet"/>
      <w:lvlText w:val=""/>
      <w:lvlJc w:val="left"/>
      <w:pPr>
        <w:ind w:left="720" w:hanging="360"/>
      </w:pPr>
      <w:rPr>
        <w:rFonts w:ascii="Symbol" w:hAnsi="Symbol"/>
      </w:rPr>
    </w:lvl>
    <w:lvl w:ilvl="2" w:tplc="B88A0F12">
      <w:start w:val="1"/>
      <w:numFmt w:val="bullet"/>
      <w:lvlText w:val=""/>
      <w:lvlJc w:val="left"/>
      <w:pPr>
        <w:ind w:left="720" w:hanging="360"/>
      </w:pPr>
      <w:rPr>
        <w:rFonts w:ascii="Symbol" w:hAnsi="Symbol"/>
      </w:rPr>
    </w:lvl>
    <w:lvl w:ilvl="3" w:tplc="796484A8">
      <w:start w:val="1"/>
      <w:numFmt w:val="bullet"/>
      <w:lvlText w:val=""/>
      <w:lvlJc w:val="left"/>
      <w:pPr>
        <w:ind w:left="720" w:hanging="360"/>
      </w:pPr>
      <w:rPr>
        <w:rFonts w:ascii="Symbol" w:hAnsi="Symbol"/>
      </w:rPr>
    </w:lvl>
    <w:lvl w:ilvl="4" w:tplc="815C31BC">
      <w:start w:val="1"/>
      <w:numFmt w:val="bullet"/>
      <w:lvlText w:val=""/>
      <w:lvlJc w:val="left"/>
      <w:pPr>
        <w:ind w:left="720" w:hanging="360"/>
      </w:pPr>
      <w:rPr>
        <w:rFonts w:ascii="Symbol" w:hAnsi="Symbol"/>
      </w:rPr>
    </w:lvl>
    <w:lvl w:ilvl="5" w:tplc="8132D1D8">
      <w:start w:val="1"/>
      <w:numFmt w:val="bullet"/>
      <w:lvlText w:val=""/>
      <w:lvlJc w:val="left"/>
      <w:pPr>
        <w:ind w:left="720" w:hanging="360"/>
      </w:pPr>
      <w:rPr>
        <w:rFonts w:ascii="Symbol" w:hAnsi="Symbol"/>
      </w:rPr>
    </w:lvl>
    <w:lvl w:ilvl="6" w:tplc="D70A12EE">
      <w:start w:val="1"/>
      <w:numFmt w:val="bullet"/>
      <w:lvlText w:val=""/>
      <w:lvlJc w:val="left"/>
      <w:pPr>
        <w:ind w:left="720" w:hanging="360"/>
      </w:pPr>
      <w:rPr>
        <w:rFonts w:ascii="Symbol" w:hAnsi="Symbol"/>
      </w:rPr>
    </w:lvl>
    <w:lvl w:ilvl="7" w:tplc="995AA406">
      <w:start w:val="1"/>
      <w:numFmt w:val="bullet"/>
      <w:lvlText w:val=""/>
      <w:lvlJc w:val="left"/>
      <w:pPr>
        <w:ind w:left="720" w:hanging="360"/>
      </w:pPr>
      <w:rPr>
        <w:rFonts w:ascii="Symbol" w:hAnsi="Symbol"/>
      </w:rPr>
    </w:lvl>
    <w:lvl w:ilvl="8" w:tplc="0100BD16">
      <w:start w:val="1"/>
      <w:numFmt w:val="bullet"/>
      <w:lvlText w:val=""/>
      <w:lvlJc w:val="left"/>
      <w:pPr>
        <w:ind w:left="720" w:hanging="360"/>
      </w:pPr>
      <w:rPr>
        <w:rFonts w:ascii="Symbol" w:hAnsi="Symbol"/>
      </w:rPr>
    </w:lvl>
  </w:abstractNum>
  <w:abstractNum w:abstractNumId="74" w15:restartNumberingAfterBreak="0">
    <w:nsid w:val="560F3486"/>
    <w:multiLevelType w:val="hybridMultilevel"/>
    <w:tmpl w:val="5E5C4900"/>
    <w:lvl w:ilvl="0" w:tplc="F44CC09E">
      <w:start w:val="1"/>
      <w:numFmt w:val="decimal"/>
      <w:lvlText w:val="%1."/>
      <w:lvlJc w:val="left"/>
      <w:pPr>
        <w:ind w:left="720" w:hanging="360"/>
      </w:pPr>
    </w:lvl>
    <w:lvl w:ilvl="1" w:tplc="E9061938">
      <w:start w:val="1"/>
      <w:numFmt w:val="decimal"/>
      <w:lvlText w:val="%2."/>
      <w:lvlJc w:val="left"/>
      <w:pPr>
        <w:ind w:left="720" w:hanging="360"/>
      </w:pPr>
    </w:lvl>
    <w:lvl w:ilvl="2" w:tplc="FC54DB74">
      <w:start w:val="1"/>
      <w:numFmt w:val="decimal"/>
      <w:lvlText w:val="%3."/>
      <w:lvlJc w:val="left"/>
      <w:pPr>
        <w:ind w:left="720" w:hanging="360"/>
      </w:pPr>
    </w:lvl>
    <w:lvl w:ilvl="3" w:tplc="A5CCEAEA">
      <w:start w:val="1"/>
      <w:numFmt w:val="decimal"/>
      <w:lvlText w:val="%4."/>
      <w:lvlJc w:val="left"/>
      <w:pPr>
        <w:ind w:left="720" w:hanging="360"/>
      </w:pPr>
    </w:lvl>
    <w:lvl w:ilvl="4" w:tplc="9D4044A8">
      <w:start w:val="1"/>
      <w:numFmt w:val="decimal"/>
      <w:lvlText w:val="%5."/>
      <w:lvlJc w:val="left"/>
      <w:pPr>
        <w:ind w:left="720" w:hanging="360"/>
      </w:pPr>
    </w:lvl>
    <w:lvl w:ilvl="5" w:tplc="2D30FD0C">
      <w:start w:val="1"/>
      <w:numFmt w:val="decimal"/>
      <w:lvlText w:val="%6."/>
      <w:lvlJc w:val="left"/>
      <w:pPr>
        <w:ind w:left="720" w:hanging="360"/>
      </w:pPr>
    </w:lvl>
    <w:lvl w:ilvl="6" w:tplc="563CC85E">
      <w:start w:val="1"/>
      <w:numFmt w:val="decimal"/>
      <w:lvlText w:val="%7."/>
      <w:lvlJc w:val="left"/>
      <w:pPr>
        <w:ind w:left="720" w:hanging="360"/>
      </w:pPr>
    </w:lvl>
    <w:lvl w:ilvl="7" w:tplc="369665F2">
      <w:start w:val="1"/>
      <w:numFmt w:val="decimal"/>
      <w:lvlText w:val="%8."/>
      <w:lvlJc w:val="left"/>
      <w:pPr>
        <w:ind w:left="720" w:hanging="360"/>
      </w:pPr>
    </w:lvl>
    <w:lvl w:ilvl="8" w:tplc="6756AB26">
      <w:start w:val="1"/>
      <w:numFmt w:val="decimal"/>
      <w:lvlText w:val="%9."/>
      <w:lvlJc w:val="left"/>
      <w:pPr>
        <w:ind w:left="720" w:hanging="360"/>
      </w:pPr>
    </w:lvl>
  </w:abstractNum>
  <w:abstractNum w:abstractNumId="75" w15:restartNumberingAfterBreak="0">
    <w:nsid w:val="56A71B90"/>
    <w:multiLevelType w:val="multilevel"/>
    <w:tmpl w:val="43F0D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71D3430"/>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591D6491"/>
    <w:multiLevelType w:val="hybridMultilevel"/>
    <w:tmpl w:val="A72829C4"/>
    <w:lvl w:ilvl="0" w:tplc="1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9FDB445"/>
    <w:multiLevelType w:val="multilevel"/>
    <w:tmpl w:val="10805E84"/>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A0F2F6E"/>
    <w:multiLevelType w:val="hybridMultilevel"/>
    <w:tmpl w:val="A59CD880"/>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80" w15:restartNumberingAfterBreak="0">
    <w:nsid w:val="5CA62051"/>
    <w:multiLevelType w:val="multilevel"/>
    <w:tmpl w:val="DFCE80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FDA7207"/>
    <w:multiLevelType w:val="hybridMultilevel"/>
    <w:tmpl w:val="C0E6B3A8"/>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0516023"/>
    <w:multiLevelType w:val="hybridMultilevel"/>
    <w:tmpl w:val="F230BBA8"/>
    <w:lvl w:ilvl="0" w:tplc="BCBADFF2">
      <w:start w:val="1"/>
      <w:numFmt w:val="bullet"/>
      <w:lvlText w:val=""/>
      <w:lvlJc w:val="left"/>
      <w:pPr>
        <w:ind w:left="720" w:hanging="360"/>
      </w:pPr>
      <w:rPr>
        <w:rFonts w:ascii="Symbol" w:hAnsi="Symbol"/>
      </w:rPr>
    </w:lvl>
    <w:lvl w:ilvl="1" w:tplc="0680AFF6">
      <w:start w:val="1"/>
      <w:numFmt w:val="bullet"/>
      <w:lvlText w:val=""/>
      <w:lvlJc w:val="left"/>
      <w:pPr>
        <w:ind w:left="720" w:hanging="360"/>
      </w:pPr>
      <w:rPr>
        <w:rFonts w:ascii="Symbol" w:hAnsi="Symbol"/>
      </w:rPr>
    </w:lvl>
    <w:lvl w:ilvl="2" w:tplc="FDB220F0">
      <w:start w:val="1"/>
      <w:numFmt w:val="bullet"/>
      <w:lvlText w:val=""/>
      <w:lvlJc w:val="left"/>
      <w:pPr>
        <w:ind w:left="720" w:hanging="360"/>
      </w:pPr>
      <w:rPr>
        <w:rFonts w:ascii="Symbol" w:hAnsi="Symbol"/>
      </w:rPr>
    </w:lvl>
    <w:lvl w:ilvl="3" w:tplc="EDD0D72A">
      <w:start w:val="1"/>
      <w:numFmt w:val="bullet"/>
      <w:lvlText w:val=""/>
      <w:lvlJc w:val="left"/>
      <w:pPr>
        <w:ind w:left="720" w:hanging="360"/>
      </w:pPr>
      <w:rPr>
        <w:rFonts w:ascii="Symbol" w:hAnsi="Symbol"/>
      </w:rPr>
    </w:lvl>
    <w:lvl w:ilvl="4" w:tplc="F97228D6">
      <w:start w:val="1"/>
      <w:numFmt w:val="bullet"/>
      <w:lvlText w:val=""/>
      <w:lvlJc w:val="left"/>
      <w:pPr>
        <w:ind w:left="720" w:hanging="360"/>
      </w:pPr>
      <w:rPr>
        <w:rFonts w:ascii="Symbol" w:hAnsi="Symbol"/>
      </w:rPr>
    </w:lvl>
    <w:lvl w:ilvl="5" w:tplc="F8AA395A">
      <w:start w:val="1"/>
      <w:numFmt w:val="bullet"/>
      <w:lvlText w:val=""/>
      <w:lvlJc w:val="left"/>
      <w:pPr>
        <w:ind w:left="720" w:hanging="360"/>
      </w:pPr>
      <w:rPr>
        <w:rFonts w:ascii="Symbol" w:hAnsi="Symbol"/>
      </w:rPr>
    </w:lvl>
    <w:lvl w:ilvl="6" w:tplc="79C4C7B0">
      <w:start w:val="1"/>
      <w:numFmt w:val="bullet"/>
      <w:lvlText w:val=""/>
      <w:lvlJc w:val="left"/>
      <w:pPr>
        <w:ind w:left="720" w:hanging="360"/>
      </w:pPr>
      <w:rPr>
        <w:rFonts w:ascii="Symbol" w:hAnsi="Symbol"/>
      </w:rPr>
    </w:lvl>
    <w:lvl w:ilvl="7" w:tplc="4FB8AA30">
      <w:start w:val="1"/>
      <w:numFmt w:val="bullet"/>
      <w:lvlText w:val=""/>
      <w:lvlJc w:val="left"/>
      <w:pPr>
        <w:ind w:left="720" w:hanging="360"/>
      </w:pPr>
      <w:rPr>
        <w:rFonts w:ascii="Symbol" w:hAnsi="Symbol"/>
      </w:rPr>
    </w:lvl>
    <w:lvl w:ilvl="8" w:tplc="81866866">
      <w:start w:val="1"/>
      <w:numFmt w:val="bullet"/>
      <w:lvlText w:val=""/>
      <w:lvlJc w:val="left"/>
      <w:pPr>
        <w:ind w:left="720" w:hanging="360"/>
      </w:pPr>
      <w:rPr>
        <w:rFonts w:ascii="Symbol" w:hAnsi="Symbol"/>
      </w:rPr>
    </w:lvl>
  </w:abstractNum>
  <w:abstractNum w:abstractNumId="83" w15:restartNumberingAfterBreak="0">
    <w:nsid w:val="60804A06"/>
    <w:multiLevelType w:val="hybridMultilevel"/>
    <w:tmpl w:val="05886B52"/>
    <w:lvl w:ilvl="0" w:tplc="5FBADDBC">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4" w15:restartNumberingAfterBreak="0">
    <w:nsid w:val="611D55D3"/>
    <w:multiLevelType w:val="hybridMultilevel"/>
    <w:tmpl w:val="8794D680"/>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64252A76"/>
    <w:multiLevelType w:val="hybridMultilevel"/>
    <w:tmpl w:val="36A49500"/>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4641D24"/>
    <w:multiLevelType w:val="hybridMultilevel"/>
    <w:tmpl w:val="8B5A616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87" w15:restartNumberingAfterBreak="0">
    <w:nsid w:val="66267F4A"/>
    <w:multiLevelType w:val="hybridMultilevel"/>
    <w:tmpl w:val="59FEECEC"/>
    <w:lvl w:ilvl="0" w:tplc="C3CC1746">
      <w:start w:val="1"/>
      <w:numFmt w:val="decimal"/>
      <w:lvlText w:val="%1."/>
      <w:lvlJc w:val="left"/>
      <w:pPr>
        <w:ind w:left="720" w:hanging="360"/>
      </w:pPr>
      <w:rPr>
        <w:rFonts w:ascii="Times New Roman" w:eastAsiaTheme="minorHAnsi" w:hAnsi="Times New Roman" w:cs="Times New Roman"/>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8" w15:restartNumberingAfterBreak="0">
    <w:nsid w:val="67516070"/>
    <w:multiLevelType w:val="multilevel"/>
    <w:tmpl w:val="DEDE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84E48B5"/>
    <w:multiLevelType w:val="hybridMultilevel"/>
    <w:tmpl w:val="F3A812EA"/>
    <w:lvl w:ilvl="0" w:tplc="162A88D8">
      <w:numFmt w:val="bullet"/>
      <w:lvlText w:val=""/>
      <w:lvlJc w:val="left"/>
      <w:pPr>
        <w:ind w:left="820" w:hanging="360"/>
      </w:pPr>
      <w:rPr>
        <w:rFonts w:ascii="Symbol" w:eastAsia="Symbol" w:hAnsi="Symbol" w:cs="Symbol" w:hint="default"/>
        <w:b w:val="0"/>
        <w:bCs w:val="0"/>
        <w:i w:val="0"/>
        <w:iCs w:val="0"/>
        <w:spacing w:val="0"/>
        <w:w w:val="100"/>
        <w:sz w:val="24"/>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0" w15:restartNumberingAfterBreak="0">
    <w:nsid w:val="68710EB7"/>
    <w:multiLevelType w:val="hybridMultilevel"/>
    <w:tmpl w:val="90582C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69C8744C"/>
    <w:multiLevelType w:val="hybridMultilevel"/>
    <w:tmpl w:val="B54A4F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CA6792D"/>
    <w:multiLevelType w:val="hybridMultilevel"/>
    <w:tmpl w:val="A6A6E0C6"/>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6F63CCF8"/>
    <w:multiLevelType w:val="hybridMultilevel"/>
    <w:tmpl w:val="45289CB2"/>
    <w:lvl w:ilvl="0" w:tplc="C42658E8">
      <w:start w:val="1"/>
      <w:numFmt w:val="bullet"/>
      <w:lvlText w:val="-"/>
      <w:lvlJc w:val="left"/>
      <w:pPr>
        <w:ind w:left="720" w:hanging="360"/>
      </w:pPr>
      <w:rPr>
        <w:rFonts w:ascii="Aptos" w:hAnsi="Aptos" w:hint="default"/>
      </w:rPr>
    </w:lvl>
    <w:lvl w:ilvl="1" w:tplc="19DC7EBC">
      <w:start w:val="1"/>
      <w:numFmt w:val="bullet"/>
      <w:lvlText w:val="o"/>
      <w:lvlJc w:val="left"/>
      <w:pPr>
        <w:ind w:left="1440" w:hanging="360"/>
      </w:pPr>
      <w:rPr>
        <w:rFonts w:ascii="Courier New" w:hAnsi="Courier New" w:hint="default"/>
      </w:rPr>
    </w:lvl>
    <w:lvl w:ilvl="2" w:tplc="53C2CDF2">
      <w:start w:val="1"/>
      <w:numFmt w:val="bullet"/>
      <w:lvlText w:val=""/>
      <w:lvlJc w:val="left"/>
      <w:pPr>
        <w:ind w:left="2160" w:hanging="360"/>
      </w:pPr>
      <w:rPr>
        <w:rFonts w:ascii="Wingdings" w:hAnsi="Wingdings" w:hint="default"/>
      </w:rPr>
    </w:lvl>
    <w:lvl w:ilvl="3" w:tplc="76A865E2">
      <w:start w:val="1"/>
      <w:numFmt w:val="bullet"/>
      <w:lvlText w:val=""/>
      <w:lvlJc w:val="left"/>
      <w:pPr>
        <w:ind w:left="2880" w:hanging="360"/>
      </w:pPr>
      <w:rPr>
        <w:rFonts w:ascii="Symbol" w:hAnsi="Symbol" w:hint="default"/>
      </w:rPr>
    </w:lvl>
    <w:lvl w:ilvl="4" w:tplc="131201D4">
      <w:start w:val="1"/>
      <w:numFmt w:val="bullet"/>
      <w:lvlText w:val="o"/>
      <w:lvlJc w:val="left"/>
      <w:pPr>
        <w:ind w:left="3600" w:hanging="360"/>
      </w:pPr>
      <w:rPr>
        <w:rFonts w:ascii="Courier New" w:hAnsi="Courier New" w:hint="default"/>
      </w:rPr>
    </w:lvl>
    <w:lvl w:ilvl="5" w:tplc="7D98946A">
      <w:start w:val="1"/>
      <w:numFmt w:val="bullet"/>
      <w:lvlText w:val=""/>
      <w:lvlJc w:val="left"/>
      <w:pPr>
        <w:ind w:left="4320" w:hanging="360"/>
      </w:pPr>
      <w:rPr>
        <w:rFonts w:ascii="Wingdings" w:hAnsi="Wingdings" w:hint="default"/>
      </w:rPr>
    </w:lvl>
    <w:lvl w:ilvl="6" w:tplc="14567C8A">
      <w:start w:val="1"/>
      <w:numFmt w:val="bullet"/>
      <w:lvlText w:val=""/>
      <w:lvlJc w:val="left"/>
      <w:pPr>
        <w:ind w:left="5040" w:hanging="360"/>
      </w:pPr>
      <w:rPr>
        <w:rFonts w:ascii="Symbol" w:hAnsi="Symbol" w:hint="default"/>
      </w:rPr>
    </w:lvl>
    <w:lvl w:ilvl="7" w:tplc="2AA69D68">
      <w:start w:val="1"/>
      <w:numFmt w:val="bullet"/>
      <w:lvlText w:val="o"/>
      <w:lvlJc w:val="left"/>
      <w:pPr>
        <w:ind w:left="5760" w:hanging="360"/>
      </w:pPr>
      <w:rPr>
        <w:rFonts w:ascii="Courier New" w:hAnsi="Courier New" w:hint="default"/>
      </w:rPr>
    </w:lvl>
    <w:lvl w:ilvl="8" w:tplc="1B5CE484">
      <w:start w:val="1"/>
      <w:numFmt w:val="bullet"/>
      <w:lvlText w:val=""/>
      <w:lvlJc w:val="left"/>
      <w:pPr>
        <w:ind w:left="6480" w:hanging="360"/>
      </w:pPr>
      <w:rPr>
        <w:rFonts w:ascii="Wingdings" w:hAnsi="Wingdings" w:hint="default"/>
      </w:rPr>
    </w:lvl>
  </w:abstractNum>
  <w:abstractNum w:abstractNumId="94" w15:restartNumberingAfterBreak="0">
    <w:nsid w:val="6F780EB4"/>
    <w:multiLevelType w:val="multilevel"/>
    <w:tmpl w:val="69847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FD37928"/>
    <w:multiLevelType w:val="hybridMultilevel"/>
    <w:tmpl w:val="A9801B42"/>
    <w:lvl w:ilvl="0" w:tplc="09183D36">
      <w:start w:val="1"/>
      <w:numFmt w:val="decimal"/>
      <w:lvlText w:val="%1)"/>
      <w:lvlJc w:val="left"/>
      <w:pPr>
        <w:ind w:left="720" w:hanging="360"/>
      </w:pPr>
    </w:lvl>
    <w:lvl w:ilvl="1" w:tplc="BDE6B1D2">
      <w:start w:val="1"/>
      <w:numFmt w:val="lowerLetter"/>
      <w:lvlText w:val="%2."/>
      <w:lvlJc w:val="left"/>
      <w:pPr>
        <w:ind w:left="1440" w:hanging="360"/>
      </w:pPr>
    </w:lvl>
    <w:lvl w:ilvl="2" w:tplc="5320889A">
      <w:start w:val="1"/>
      <w:numFmt w:val="lowerRoman"/>
      <w:lvlText w:val="%3."/>
      <w:lvlJc w:val="right"/>
      <w:pPr>
        <w:ind w:left="2160" w:hanging="180"/>
      </w:pPr>
    </w:lvl>
    <w:lvl w:ilvl="3" w:tplc="1DBADA32">
      <w:start w:val="1"/>
      <w:numFmt w:val="decimal"/>
      <w:lvlText w:val="%4."/>
      <w:lvlJc w:val="left"/>
      <w:pPr>
        <w:ind w:left="2880" w:hanging="360"/>
      </w:pPr>
    </w:lvl>
    <w:lvl w:ilvl="4" w:tplc="59C0700C">
      <w:start w:val="1"/>
      <w:numFmt w:val="lowerLetter"/>
      <w:lvlText w:val="%5."/>
      <w:lvlJc w:val="left"/>
      <w:pPr>
        <w:ind w:left="3600" w:hanging="360"/>
      </w:pPr>
    </w:lvl>
    <w:lvl w:ilvl="5" w:tplc="E24624D4">
      <w:start w:val="1"/>
      <w:numFmt w:val="lowerRoman"/>
      <w:lvlText w:val="%6."/>
      <w:lvlJc w:val="right"/>
      <w:pPr>
        <w:ind w:left="4320" w:hanging="180"/>
      </w:pPr>
    </w:lvl>
    <w:lvl w:ilvl="6" w:tplc="437E8E94">
      <w:start w:val="1"/>
      <w:numFmt w:val="decimal"/>
      <w:lvlText w:val="%7."/>
      <w:lvlJc w:val="left"/>
      <w:pPr>
        <w:ind w:left="5040" w:hanging="360"/>
      </w:pPr>
    </w:lvl>
    <w:lvl w:ilvl="7" w:tplc="262261BA">
      <w:start w:val="1"/>
      <w:numFmt w:val="lowerLetter"/>
      <w:lvlText w:val="%8."/>
      <w:lvlJc w:val="left"/>
      <w:pPr>
        <w:ind w:left="5760" w:hanging="360"/>
      </w:pPr>
    </w:lvl>
    <w:lvl w:ilvl="8" w:tplc="A45E534A">
      <w:start w:val="1"/>
      <w:numFmt w:val="lowerRoman"/>
      <w:lvlText w:val="%9."/>
      <w:lvlJc w:val="right"/>
      <w:pPr>
        <w:ind w:left="6480" w:hanging="180"/>
      </w:pPr>
    </w:lvl>
  </w:abstractNum>
  <w:abstractNum w:abstractNumId="96" w15:restartNumberingAfterBreak="0">
    <w:nsid w:val="718F4B7F"/>
    <w:multiLevelType w:val="hybridMultilevel"/>
    <w:tmpl w:val="F6B0653A"/>
    <w:lvl w:ilvl="0" w:tplc="18090001">
      <w:start w:val="1"/>
      <w:numFmt w:val="bullet"/>
      <w:lvlText w:val=""/>
      <w:lvlJc w:val="left"/>
      <w:pPr>
        <w:ind w:left="1174" w:hanging="360"/>
      </w:pPr>
      <w:rPr>
        <w:rFonts w:ascii="Symbol" w:hAnsi="Symbol" w:hint="default"/>
      </w:rPr>
    </w:lvl>
    <w:lvl w:ilvl="1" w:tplc="18090003" w:tentative="1">
      <w:start w:val="1"/>
      <w:numFmt w:val="bullet"/>
      <w:lvlText w:val="o"/>
      <w:lvlJc w:val="left"/>
      <w:pPr>
        <w:ind w:left="1894" w:hanging="360"/>
      </w:pPr>
      <w:rPr>
        <w:rFonts w:ascii="Courier New" w:hAnsi="Courier New" w:cs="Courier New" w:hint="default"/>
      </w:rPr>
    </w:lvl>
    <w:lvl w:ilvl="2" w:tplc="18090005" w:tentative="1">
      <w:start w:val="1"/>
      <w:numFmt w:val="bullet"/>
      <w:lvlText w:val=""/>
      <w:lvlJc w:val="left"/>
      <w:pPr>
        <w:ind w:left="2614" w:hanging="360"/>
      </w:pPr>
      <w:rPr>
        <w:rFonts w:ascii="Wingdings" w:hAnsi="Wingdings" w:hint="default"/>
      </w:rPr>
    </w:lvl>
    <w:lvl w:ilvl="3" w:tplc="18090001" w:tentative="1">
      <w:start w:val="1"/>
      <w:numFmt w:val="bullet"/>
      <w:lvlText w:val=""/>
      <w:lvlJc w:val="left"/>
      <w:pPr>
        <w:ind w:left="3334" w:hanging="360"/>
      </w:pPr>
      <w:rPr>
        <w:rFonts w:ascii="Symbol" w:hAnsi="Symbol" w:hint="default"/>
      </w:rPr>
    </w:lvl>
    <w:lvl w:ilvl="4" w:tplc="18090003" w:tentative="1">
      <w:start w:val="1"/>
      <w:numFmt w:val="bullet"/>
      <w:lvlText w:val="o"/>
      <w:lvlJc w:val="left"/>
      <w:pPr>
        <w:ind w:left="4054" w:hanging="360"/>
      </w:pPr>
      <w:rPr>
        <w:rFonts w:ascii="Courier New" w:hAnsi="Courier New" w:cs="Courier New" w:hint="default"/>
      </w:rPr>
    </w:lvl>
    <w:lvl w:ilvl="5" w:tplc="18090005" w:tentative="1">
      <w:start w:val="1"/>
      <w:numFmt w:val="bullet"/>
      <w:lvlText w:val=""/>
      <w:lvlJc w:val="left"/>
      <w:pPr>
        <w:ind w:left="4774" w:hanging="360"/>
      </w:pPr>
      <w:rPr>
        <w:rFonts w:ascii="Wingdings" w:hAnsi="Wingdings" w:hint="default"/>
      </w:rPr>
    </w:lvl>
    <w:lvl w:ilvl="6" w:tplc="18090001" w:tentative="1">
      <w:start w:val="1"/>
      <w:numFmt w:val="bullet"/>
      <w:lvlText w:val=""/>
      <w:lvlJc w:val="left"/>
      <w:pPr>
        <w:ind w:left="5494" w:hanging="360"/>
      </w:pPr>
      <w:rPr>
        <w:rFonts w:ascii="Symbol" w:hAnsi="Symbol" w:hint="default"/>
      </w:rPr>
    </w:lvl>
    <w:lvl w:ilvl="7" w:tplc="18090003" w:tentative="1">
      <w:start w:val="1"/>
      <w:numFmt w:val="bullet"/>
      <w:lvlText w:val="o"/>
      <w:lvlJc w:val="left"/>
      <w:pPr>
        <w:ind w:left="6214" w:hanging="360"/>
      </w:pPr>
      <w:rPr>
        <w:rFonts w:ascii="Courier New" w:hAnsi="Courier New" w:cs="Courier New" w:hint="default"/>
      </w:rPr>
    </w:lvl>
    <w:lvl w:ilvl="8" w:tplc="18090005" w:tentative="1">
      <w:start w:val="1"/>
      <w:numFmt w:val="bullet"/>
      <w:lvlText w:val=""/>
      <w:lvlJc w:val="left"/>
      <w:pPr>
        <w:ind w:left="6934" w:hanging="360"/>
      </w:pPr>
      <w:rPr>
        <w:rFonts w:ascii="Wingdings" w:hAnsi="Wingdings" w:hint="default"/>
      </w:rPr>
    </w:lvl>
  </w:abstractNum>
  <w:abstractNum w:abstractNumId="97" w15:restartNumberingAfterBreak="0">
    <w:nsid w:val="71DA7A2B"/>
    <w:multiLevelType w:val="hybridMultilevel"/>
    <w:tmpl w:val="024804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8" w15:restartNumberingAfterBreak="0">
    <w:nsid w:val="737D4875"/>
    <w:multiLevelType w:val="hybridMultilevel"/>
    <w:tmpl w:val="048E048E"/>
    <w:lvl w:ilvl="0" w:tplc="28EC52D0">
      <w:start w:val="1"/>
      <w:numFmt w:val="bullet"/>
      <w:lvlText w:val=""/>
      <w:lvlJc w:val="left"/>
      <w:pPr>
        <w:ind w:left="720" w:hanging="360"/>
      </w:pPr>
      <w:rPr>
        <w:rFonts w:ascii="Symbol" w:hAnsi="Symbol"/>
      </w:rPr>
    </w:lvl>
    <w:lvl w:ilvl="1" w:tplc="4C944220">
      <w:start w:val="1"/>
      <w:numFmt w:val="bullet"/>
      <w:lvlText w:val=""/>
      <w:lvlJc w:val="left"/>
      <w:pPr>
        <w:ind w:left="720" w:hanging="360"/>
      </w:pPr>
      <w:rPr>
        <w:rFonts w:ascii="Symbol" w:hAnsi="Symbol"/>
      </w:rPr>
    </w:lvl>
    <w:lvl w:ilvl="2" w:tplc="299498A8">
      <w:start w:val="1"/>
      <w:numFmt w:val="bullet"/>
      <w:lvlText w:val=""/>
      <w:lvlJc w:val="left"/>
      <w:pPr>
        <w:ind w:left="720" w:hanging="360"/>
      </w:pPr>
      <w:rPr>
        <w:rFonts w:ascii="Symbol" w:hAnsi="Symbol"/>
      </w:rPr>
    </w:lvl>
    <w:lvl w:ilvl="3" w:tplc="D0F01860">
      <w:start w:val="1"/>
      <w:numFmt w:val="bullet"/>
      <w:lvlText w:val=""/>
      <w:lvlJc w:val="left"/>
      <w:pPr>
        <w:ind w:left="720" w:hanging="360"/>
      </w:pPr>
      <w:rPr>
        <w:rFonts w:ascii="Symbol" w:hAnsi="Symbol"/>
      </w:rPr>
    </w:lvl>
    <w:lvl w:ilvl="4" w:tplc="5B427F8C">
      <w:start w:val="1"/>
      <w:numFmt w:val="bullet"/>
      <w:lvlText w:val=""/>
      <w:lvlJc w:val="left"/>
      <w:pPr>
        <w:ind w:left="720" w:hanging="360"/>
      </w:pPr>
      <w:rPr>
        <w:rFonts w:ascii="Symbol" w:hAnsi="Symbol"/>
      </w:rPr>
    </w:lvl>
    <w:lvl w:ilvl="5" w:tplc="7AEAFC7A">
      <w:start w:val="1"/>
      <w:numFmt w:val="bullet"/>
      <w:lvlText w:val=""/>
      <w:lvlJc w:val="left"/>
      <w:pPr>
        <w:ind w:left="720" w:hanging="360"/>
      </w:pPr>
      <w:rPr>
        <w:rFonts w:ascii="Symbol" w:hAnsi="Symbol"/>
      </w:rPr>
    </w:lvl>
    <w:lvl w:ilvl="6" w:tplc="827899F2">
      <w:start w:val="1"/>
      <w:numFmt w:val="bullet"/>
      <w:lvlText w:val=""/>
      <w:lvlJc w:val="left"/>
      <w:pPr>
        <w:ind w:left="720" w:hanging="360"/>
      </w:pPr>
      <w:rPr>
        <w:rFonts w:ascii="Symbol" w:hAnsi="Symbol"/>
      </w:rPr>
    </w:lvl>
    <w:lvl w:ilvl="7" w:tplc="4314C9B0">
      <w:start w:val="1"/>
      <w:numFmt w:val="bullet"/>
      <w:lvlText w:val=""/>
      <w:lvlJc w:val="left"/>
      <w:pPr>
        <w:ind w:left="720" w:hanging="360"/>
      </w:pPr>
      <w:rPr>
        <w:rFonts w:ascii="Symbol" w:hAnsi="Symbol"/>
      </w:rPr>
    </w:lvl>
    <w:lvl w:ilvl="8" w:tplc="ED8CB6DA">
      <w:start w:val="1"/>
      <w:numFmt w:val="bullet"/>
      <w:lvlText w:val=""/>
      <w:lvlJc w:val="left"/>
      <w:pPr>
        <w:ind w:left="720" w:hanging="360"/>
      </w:pPr>
      <w:rPr>
        <w:rFonts w:ascii="Symbol" w:hAnsi="Symbol"/>
      </w:rPr>
    </w:lvl>
  </w:abstractNum>
  <w:abstractNum w:abstractNumId="99" w15:restartNumberingAfterBreak="0">
    <w:nsid w:val="738465C3"/>
    <w:multiLevelType w:val="hybridMultilevel"/>
    <w:tmpl w:val="DE5E5DC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75076BF7"/>
    <w:multiLevelType w:val="hybridMultilevel"/>
    <w:tmpl w:val="E256AED2"/>
    <w:lvl w:ilvl="0" w:tplc="56D220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8982897"/>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A0D12AC"/>
    <w:multiLevelType w:val="hybridMultilevel"/>
    <w:tmpl w:val="9F5E73C6"/>
    <w:lvl w:ilvl="0" w:tplc="9A623C32">
      <w:start w:val="1"/>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3" w15:restartNumberingAfterBreak="0">
    <w:nsid w:val="7A236399"/>
    <w:multiLevelType w:val="multilevel"/>
    <w:tmpl w:val="481C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A76A106"/>
    <w:multiLevelType w:val="hybridMultilevel"/>
    <w:tmpl w:val="B330B2F0"/>
    <w:lvl w:ilvl="0" w:tplc="58C87BF8">
      <w:start w:val="1"/>
      <w:numFmt w:val="bullet"/>
      <w:lvlText w:val="-"/>
      <w:lvlJc w:val="left"/>
      <w:pPr>
        <w:ind w:left="720" w:hanging="360"/>
      </w:pPr>
      <w:rPr>
        <w:rFonts w:ascii="Aptos" w:hAnsi="Aptos" w:hint="default"/>
      </w:rPr>
    </w:lvl>
    <w:lvl w:ilvl="1" w:tplc="7E528D64">
      <w:start w:val="1"/>
      <w:numFmt w:val="bullet"/>
      <w:lvlText w:val="o"/>
      <w:lvlJc w:val="left"/>
      <w:pPr>
        <w:ind w:left="1440" w:hanging="360"/>
      </w:pPr>
      <w:rPr>
        <w:rFonts w:ascii="Courier New" w:hAnsi="Courier New" w:hint="default"/>
      </w:rPr>
    </w:lvl>
    <w:lvl w:ilvl="2" w:tplc="D0D872FE">
      <w:start w:val="1"/>
      <w:numFmt w:val="bullet"/>
      <w:lvlText w:val=""/>
      <w:lvlJc w:val="left"/>
      <w:pPr>
        <w:ind w:left="2160" w:hanging="360"/>
      </w:pPr>
      <w:rPr>
        <w:rFonts w:ascii="Wingdings" w:hAnsi="Wingdings" w:hint="default"/>
      </w:rPr>
    </w:lvl>
    <w:lvl w:ilvl="3" w:tplc="164A7396">
      <w:start w:val="1"/>
      <w:numFmt w:val="bullet"/>
      <w:lvlText w:val=""/>
      <w:lvlJc w:val="left"/>
      <w:pPr>
        <w:ind w:left="2880" w:hanging="360"/>
      </w:pPr>
      <w:rPr>
        <w:rFonts w:ascii="Symbol" w:hAnsi="Symbol" w:hint="default"/>
      </w:rPr>
    </w:lvl>
    <w:lvl w:ilvl="4" w:tplc="9B4E9A12">
      <w:start w:val="1"/>
      <w:numFmt w:val="bullet"/>
      <w:lvlText w:val="o"/>
      <w:lvlJc w:val="left"/>
      <w:pPr>
        <w:ind w:left="3600" w:hanging="360"/>
      </w:pPr>
      <w:rPr>
        <w:rFonts w:ascii="Courier New" w:hAnsi="Courier New" w:hint="default"/>
      </w:rPr>
    </w:lvl>
    <w:lvl w:ilvl="5" w:tplc="237A697C">
      <w:start w:val="1"/>
      <w:numFmt w:val="bullet"/>
      <w:lvlText w:val=""/>
      <w:lvlJc w:val="left"/>
      <w:pPr>
        <w:ind w:left="4320" w:hanging="360"/>
      </w:pPr>
      <w:rPr>
        <w:rFonts w:ascii="Wingdings" w:hAnsi="Wingdings" w:hint="default"/>
      </w:rPr>
    </w:lvl>
    <w:lvl w:ilvl="6" w:tplc="324C177C">
      <w:start w:val="1"/>
      <w:numFmt w:val="bullet"/>
      <w:lvlText w:val=""/>
      <w:lvlJc w:val="left"/>
      <w:pPr>
        <w:ind w:left="5040" w:hanging="360"/>
      </w:pPr>
      <w:rPr>
        <w:rFonts w:ascii="Symbol" w:hAnsi="Symbol" w:hint="default"/>
      </w:rPr>
    </w:lvl>
    <w:lvl w:ilvl="7" w:tplc="4112CB66">
      <w:start w:val="1"/>
      <w:numFmt w:val="bullet"/>
      <w:lvlText w:val="o"/>
      <w:lvlJc w:val="left"/>
      <w:pPr>
        <w:ind w:left="5760" w:hanging="360"/>
      </w:pPr>
      <w:rPr>
        <w:rFonts w:ascii="Courier New" w:hAnsi="Courier New" w:hint="default"/>
      </w:rPr>
    </w:lvl>
    <w:lvl w:ilvl="8" w:tplc="BBDEACB2">
      <w:start w:val="1"/>
      <w:numFmt w:val="bullet"/>
      <w:lvlText w:val=""/>
      <w:lvlJc w:val="left"/>
      <w:pPr>
        <w:ind w:left="6480" w:hanging="360"/>
      </w:pPr>
      <w:rPr>
        <w:rFonts w:ascii="Wingdings" w:hAnsi="Wingdings" w:hint="default"/>
      </w:rPr>
    </w:lvl>
  </w:abstractNum>
  <w:abstractNum w:abstractNumId="105" w15:restartNumberingAfterBreak="0">
    <w:nsid w:val="7ADB67B4"/>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B291BD0"/>
    <w:multiLevelType w:val="hybridMultilevel"/>
    <w:tmpl w:val="678AA392"/>
    <w:lvl w:ilvl="0" w:tplc="C3A63834">
      <w:start w:val="1"/>
      <w:numFmt w:val="decimal"/>
      <w:lvlText w:val="%1."/>
      <w:lvlJc w:val="left"/>
      <w:pPr>
        <w:ind w:left="720" w:hanging="360"/>
      </w:pPr>
    </w:lvl>
    <w:lvl w:ilvl="1" w:tplc="7E2CDEAC">
      <w:start w:val="1"/>
      <w:numFmt w:val="decimal"/>
      <w:lvlText w:val="%2."/>
      <w:lvlJc w:val="left"/>
      <w:pPr>
        <w:ind w:left="720" w:hanging="360"/>
      </w:pPr>
    </w:lvl>
    <w:lvl w:ilvl="2" w:tplc="E968E91E">
      <w:start w:val="1"/>
      <w:numFmt w:val="decimal"/>
      <w:lvlText w:val="%3."/>
      <w:lvlJc w:val="left"/>
      <w:pPr>
        <w:ind w:left="720" w:hanging="360"/>
      </w:pPr>
    </w:lvl>
    <w:lvl w:ilvl="3" w:tplc="CDE681CA">
      <w:start w:val="1"/>
      <w:numFmt w:val="decimal"/>
      <w:lvlText w:val="%4."/>
      <w:lvlJc w:val="left"/>
      <w:pPr>
        <w:ind w:left="720" w:hanging="360"/>
      </w:pPr>
    </w:lvl>
    <w:lvl w:ilvl="4" w:tplc="B26EB0C2">
      <w:start w:val="1"/>
      <w:numFmt w:val="decimal"/>
      <w:lvlText w:val="%5."/>
      <w:lvlJc w:val="left"/>
      <w:pPr>
        <w:ind w:left="720" w:hanging="360"/>
      </w:pPr>
    </w:lvl>
    <w:lvl w:ilvl="5" w:tplc="94841106">
      <w:start w:val="1"/>
      <w:numFmt w:val="decimal"/>
      <w:lvlText w:val="%6."/>
      <w:lvlJc w:val="left"/>
      <w:pPr>
        <w:ind w:left="720" w:hanging="360"/>
      </w:pPr>
    </w:lvl>
    <w:lvl w:ilvl="6" w:tplc="920A287C">
      <w:start w:val="1"/>
      <w:numFmt w:val="decimal"/>
      <w:lvlText w:val="%7."/>
      <w:lvlJc w:val="left"/>
      <w:pPr>
        <w:ind w:left="720" w:hanging="360"/>
      </w:pPr>
    </w:lvl>
    <w:lvl w:ilvl="7" w:tplc="74AC7DAC">
      <w:start w:val="1"/>
      <w:numFmt w:val="decimal"/>
      <w:lvlText w:val="%8."/>
      <w:lvlJc w:val="left"/>
      <w:pPr>
        <w:ind w:left="720" w:hanging="360"/>
      </w:pPr>
    </w:lvl>
    <w:lvl w:ilvl="8" w:tplc="D0D29BB2">
      <w:start w:val="1"/>
      <w:numFmt w:val="decimal"/>
      <w:lvlText w:val="%9."/>
      <w:lvlJc w:val="left"/>
      <w:pPr>
        <w:ind w:left="720" w:hanging="360"/>
      </w:pPr>
    </w:lvl>
  </w:abstractNum>
  <w:abstractNum w:abstractNumId="107" w15:restartNumberingAfterBreak="0">
    <w:nsid w:val="7BA3630E"/>
    <w:multiLevelType w:val="hybridMultilevel"/>
    <w:tmpl w:val="ABF451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8" w15:restartNumberingAfterBreak="0">
    <w:nsid w:val="7D5E9A6A"/>
    <w:multiLevelType w:val="hybridMultilevel"/>
    <w:tmpl w:val="D23E0C0A"/>
    <w:lvl w:ilvl="0" w:tplc="611C00D4">
      <w:start w:val="1"/>
      <w:numFmt w:val="bullet"/>
      <w:lvlText w:val="-"/>
      <w:lvlJc w:val="left"/>
      <w:pPr>
        <w:ind w:left="720" w:hanging="360"/>
      </w:pPr>
      <w:rPr>
        <w:rFonts w:ascii="Aptos" w:hAnsi="Aptos" w:hint="default"/>
      </w:rPr>
    </w:lvl>
    <w:lvl w:ilvl="1" w:tplc="301E4058">
      <w:start w:val="1"/>
      <w:numFmt w:val="bullet"/>
      <w:lvlText w:val="o"/>
      <w:lvlJc w:val="left"/>
      <w:pPr>
        <w:ind w:left="1440" w:hanging="360"/>
      </w:pPr>
      <w:rPr>
        <w:rFonts w:ascii="Courier New" w:hAnsi="Courier New" w:hint="default"/>
      </w:rPr>
    </w:lvl>
    <w:lvl w:ilvl="2" w:tplc="E6ECAF02">
      <w:start w:val="1"/>
      <w:numFmt w:val="bullet"/>
      <w:lvlText w:val=""/>
      <w:lvlJc w:val="left"/>
      <w:pPr>
        <w:ind w:left="2160" w:hanging="360"/>
      </w:pPr>
      <w:rPr>
        <w:rFonts w:ascii="Wingdings" w:hAnsi="Wingdings" w:hint="default"/>
      </w:rPr>
    </w:lvl>
    <w:lvl w:ilvl="3" w:tplc="6380872A">
      <w:start w:val="1"/>
      <w:numFmt w:val="bullet"/>
      <w:lvlText w:val=""/>
      <w:lvlJc w:val="left"/>
      <w:pPr>
        <w:ind w:left="2880" w:hanging="360"/>
      </w:pPr>
      <w:rPr>
        <w:rFonts w:ascii="Symbol" w:hAnsi="Symbol" w:hint="default"/>
      </w:rPr>
    </w:lvl>
    <w:lvl w:ilvl="4" w:tplc="B596B770">
      <w:start w:val="1"/>
      <w:numFmt w:val="bullet"/>
      <w:lvlText w:val="o"/>
      <w:lvlJc w:val="left"/>
      <w:pPr>
        <w:ind w:left="3600" w:hanging="360"/>
      </w:pPr>
      <w:rPr>
        <w:rFonts w:ascii="Courier New" w:hAnsi="Courier New" w:hint="default"/>
      </w:rPr>
    </w:lvl>
    <w:lvl w:ilvl="5" w:tplc="EA1E4212">
      <w:start w:val="1"/>
      <w:numFmt w:val="bullet"/>
      <w:lvlText w:val=""/>
      <w:lvlJc w:val="left"/>
      <w:pPr>
        <w:ind w:left="4320" w:hanging="360"/>
      </w:pPr>
      <w:rPr>
        <w:rFonts w:ascii="Wingdings" w:hAnsi="Wingdings" w:hint="default"/>
      </w:rPr>
    </w:lvl>
    <w:lvl w:ilvl="6" w:tplc="FF4EF4DC">
      <w:start w:val="1"/>
      <w:numFmt w:val="bullet"/>
      <w:lvlText w:val=""/>
      <w:lvlJc w:val="left"/>
      <w:pPr>
        <w:ind w:left="5040" w:hanging="360"/>
      </w:pPr>
      <w:rPr>
        <w:rFonts w:ascii="Symbol" w:hAnsi="Symbol" w:hint="default"/>
      </w:rPr>
    </w:lvl>
    <w:lvl w:ilvl="7" w:tplc="4696792A">
      <w:start w:val="1"/>
      <w:numFmt w:val="bullet"/>
      <w:lvlText w:val="o"/>
      <w:lvlJc w:val="left"/>
      <w:pPr>
        <w:ind w:left="5760" w:hanging="360"/>
      </w:pPr>
      <w:rPr>
        <w:rFonts w:ascii="Courier New" w:hAnsi="Courier New" w:hint="default"/>
      </w:rPr>
    </w:lvl>
    <w:lvl w:ilvl="8" w:tplc="D460EC4E">
      <w:start w:val="1"/>
      <w:numFmt w:val="bullet"/>
      <w:lvlText w:val=""/>
      <w:lvlJc w:val="left"/>
      <w:pPr>
        <w:ind w:left="6480" w:hanging="360"/>
      </w:pPr>
      <w:rPr>
        <w:rFonts w:ascii="Wingdings" w:hAnsi="Wingdings" w:hint="default"/>
      </w:rPr>
    </w:lvl>
  </w:abstractNum>
  <w:abstractNum w:abstractNumId="109" w15:restartNumberingAfterBreak="0">
    <w:nsid w:val="7EAC5F6B"/>
    <w:multiLevelType w:val="hybridMultilevel"/>
    <w:tmpl w:val="B590038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0" w15:restartNumberingAfterBreak="0">
    <w:nsid w:val="7FCE65A8"/>
    <w:multiLevelType w:val="multilevel"/>
    <w:tmpl w:val="60925B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5"/>
  </w:num>
  <w:num w:numId="2">
    <w:abstractNumId w:val="78"/>
  </w:num>
  <w:num w:numId="3">
    <w:abstractNumId w:val="95"/>
  </w:num>
  <w:num w:numId="4">
    <w:abstractNumId w:val="60"/>
  </w:num>
  <w:num w:numId="5">
    <w:abstractNumId w:val="33"/>
  </w:num>
  <w:num w:numId="6">
    <w:abstractNumId w:val="20"/>
  </w:num>
  <w:num w:numId="7">
    <w:abstractNumId w:val="2"/>
  </w:num>
  <w:num w:numId="8">
    <w:abstractNumId w:val="0"/>
  </w:num>
  <w:num w:numId="9">
    <w:abstractNumId w:val="4"/>
  </w:num>
  <w:num w:numId="10">
    <w:abstractNumId w:val="36"/>
  </w:num>
  <w:num w:numId="11">
    <w:abstractNumId w:val="36"/>
  </w:num>
  <w:num w:numId="12">
    <w:abstractNumId w:val="109"/>
  </w:num>
  <w:num w:numId="13">
    <w:abstractNumId w:val="97"/>
  </w:num>
  <w:num w:numId="14">
    <w:abstractNumId w:val="107"/>
  </w:num>
  <w:num w:numId="15">
    <w:abstractNumId w:val="32"/>
  </w:num>
  <w:num w:numId="16">
    <w:abstractNumId w:val="65"/>
  </w:num>
  <w:num w:numId="1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6"/>
  </w:num>
  <w:num w:numId="19">
    <w:abstractNumId w:val="60"/>
  </w:num>
  <w:num w:numId="20">
    <w:abstractNumId w:val="13"/>
  </w:num>
  <w:num w:numId="21">
    <w:abstractNumId w:val="26"/>
  </w:num>
  <w:num w:numId="22">
    <w:abstractNumId w:val="60"/>
  </w:num>
  <w:num w:numId="23">
    <w:abstractNumId w:val="60"/>
  </w:num>
  <w:num w:numId="24">
    <w:abstractNumId w:val="37"/>
  </w:num>
  <w:num w:numId="25">
    <w:abstractNumId w:val="106"/>
  </w:num>
  <w:num w:numId="26">
    <w:abstractNumId w:val="5"/>
  </w:num>
  <w:num w:numId="27">
    <w:abstractNumId w:val="60"/>
  </w:num>
  <w:num w:numId="28">
    <w:abstractNumId w:val="16"/>
  </w:num>
  <w:num w:numId="29">
    <w:abstractNumId w:val="66"/>
  </w:num>
  <w:num w:numId="30">
    <w:abstractNumId w:val="60"/>
  </w:num>
  <w:num w:numId="31">
    <w:abstractNumId w:val="60"/>
  </w:num>
  <w:num w:numId="32">
    <w:abstractNumId w:val="60"/>
  </w:num>
  <w:num w:numId="33">
    <w:abstractNumId w:val="82"/>
  </w:num>
  <w:num w:numId="34">
    <w:abstractNumId w:val="60"/>
  </w:num>
  <w:num w:numId="35">
    <w:abstractNumId w:val="74"/>
  </w:num>
  <w:num w:numId="36">
    <w:abstractNumId w:val="70"/>
  </w:num>
  <w:num w:numId="37">
    <w:abstractNumId w:val="98"/>
  </w:num>
  <w:num w:numId="3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6"/>
  </w:num>
  <w:num w:numId="40">
    <w:abstractNumId w:val="63"/>
  </w:num>
  <w:num w:numId="41">
    <w:abstractNumId w:val="62"/>
  </w:num>
  <w:num w:numId="42">
    <w:abstractNumId w:val="39"/>
  </w:num>
  <w:num w:numId="43">
    <w:abstractNumId w:val="58"/>
  </w:num>
  <w:num w:numId="44">
    <w:abstractNumId w:val="83"/>
  </w:num>
  <w:num w:numId="45">
    <w:abstractNumId w:val="7"/>
  </w:num>
  <w:num w:numId="4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4"/>
  </w:num>
  <w:num w:numId="48">
    <w:abstractNumId w:val="23"/>
  </w:num>
  <w:num w:numId="49">
    <w:abstractNumId w:val="30"/>
  </w:num>
  <w:num w:numId="50">
    <w:abstractNumId w:val="40"/>
  </w:num>
  <w:num w:numId="51">
    <w:abstractNumId w:val="10"/>
  </w:num>
  <w:num w:numId="52">
    <w:abstractNumId w:val="31"/>
  </w:num>
  <w:num w:numId="53">
    <w:abstractNumId w:val="79"/>
  </w:num>
  <w:num w:numId="54">
    <w:abstractNumId w:val="60"/>
  </w:num>
  <w:num w:numId="55">
    <w:abstractNumId w:val="17"/>
  </w:num>
  <w:num w:numId="56">
    <w:abstractNumId w:val="11"/>
  </w:num>
  <w:num w:numId="57">
    <w:abstractNumId w:val="73"/>
  </w:num>
  <w:num w:numId="58">
    <w:abstractNumId w:val="69"/>
  </w:num>
  <w:num w:numId="59">
    <w:abstractNumId w:val="22"/>
  </w:num>
  <w:num w:numId="60">
    <w:abstractNumId w:val="81"/>
  </w:num>
  <w:num w:numId="61">
    <w:abstractNumId w:val="21"/>
  </w:num>
  <w:num w:numId="62">
    <w:abstractNumId w:val="99"/>
  </w:num>
  <w:num w:numId="63">
    <w:abstractNumId w:val="85"/>
  </w:num>
  <w:num w:numId="64">
    <w:abstractNumId w:val="38"/>
  </w:num>
  <w:num w:numId="65">
    <w:abstractNumId w:val="19"/>
  </w:num>
  <w:num w:numId="66">
    <w:abstractNumId w:val="33"/>
  </w:num>
  <w:num w:numId="67">
    <w:abstractNumId w:val="92"/>
  </w:num>
  <w:num w:numId="68">
    <w:abstractNumId w:val="33"/>
  </w:num>
  <w:num w:numId="69">
    <w:abstractNumId w:val="33"/>
  </w:num>
  <w:num w:numId="70">
    <w:abstractNumId w:val="59"/>
  </w:num>
  <w:num w:numId="71">
    <w:abstractNumId w:val="34"/>
  </w:num>
  <w:num w:numId="72">
    <w:abstractNumId w:val="33"/>
  </w:num>
  <w:num w:numId="73">
    <w:abstractNumId w:val="51"/>
  </w:num>
  <w:num w:numId="74">
    <w:abstractNumId w:val="48"/>
  </w:num>
  <w:num w:numId="7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num>
  <w:num w:numId="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4"/>
  </w:num>
  <w:num w:numId="79">
    <w:abstractNumId w:val="71"/>
  </w:num>
  <w:num w:numId="80">
    <w:abstractNumId w:val="80"/>
  </w:num>
  <w:num w:numId="81">
    <w:abstractNumId w:val="29"/>
  </w:num>
  <w:num w:numId="82">
    <w:abstractNumId w:val="50"/>
  </w:num>
  <w:num w:numId="83">
    <w:abstractNumId w:val="3"/>
  </w:num>
  <w:num w:numId="84">
    <w:abstractNumId w:val="18"/>
  </w:num>
  <w:num w:numId="85">
    <w:abstractNumId w:val="47"/>
  </w:num>
  <w:num w:numId="86">
    <w:abstractNumId w:val="52"/>
  </w:num>
  <w:num w:numId="87">
    <w:abstractNumId w:val="24"/>
  </w:num>
  <w:num w:numId="88">
    <w:abstractNumId w:val="6"/>
  </w:num>
  <w:num w:numId="89">
    <w:abstractNumId w:val="76"/>
  </w:num>
  <w:num w:numId="90">
    <w:abstractNumId w:val="101"/>
  </w:num>
  <w:num w:numId="91">
    <w:abstractNumId w:val="25"/>
  </w:num>
  <w:num w:numId="92">
    <w:abstractNumId w:val="102"/>
  </w:num>
  <w:num w:numId="93">
    <w:abstractNumId w:val="88"/>
  </w:num>
  <w:num w:numId="94">
    <w:abstractNumId w:val="54"/>
  </w:num>
  <w:num w:numId="95">
    <w:abstractNumId w:val="87"/>
  </w:num>
  <w:num w:numId="96">
    <w:abstractNumId w:val="53"/>
  </w:num>
  <w:num w:numId="97">
    <w:abstractNumId w:val="49"/>
  </w:num>
  <w:num w:numId="98">
    <w:abstractNumId w:val="72"/>
  </w:num>
  <w:num w:numId="99">
    <w:abstractNumId w:val="28"/>
  </w:num>
  <w:num w:numId="100">
    <w:abstractNumId w:val="14"/>
  </w:num>
  <w:num w:numId="101">
    <w:abstractNumId w:val="93"/>
  </w:num>
  <w:num w:numId="102">
    <w:abstractNumId w:val="41"/>
  </w:num>
  <w:num w:numId="103">
    <w:abstractNumId w:val="108"/>
  </w:num>
  <w:num w:numId="104">
    <w:abstractNumId w:val="43"/>
  </w:num>
  <w:num w:numId="105">
    <w:abstractNumId w:val="15"/>
  </w:num>
  <w:num w:numId="106">
    <w:abstractNumId w:val="104"/>
  </w:num>
  <w:num w:numId="107">
    <w:abstractNumId w:val="91"/>
  </w:num>
  <w:num w:numId="108">
    <w:abstractNumId w:val="86"/>
  </w:num>
  <w:num w:numId="109">
    <w:abstractNumId w:val="75"/>
  </w:num>
  <w:num w:numId="110">
    <w:abstractNumId w:val="67"/>
  </w:num>
  <w:num w:numId="111">
    <w:abstractNumId w:val="103"/>
  </w:num>
  <w:num w:numId="112">
    <w:abstractNumId w:val="44"/>
  </w:num>
  <w:num w:numId="113">
    <w:abstractNumId w:val="57"/>
  </w:num>
  <w:num w:numId="114">
    <w:abstractNumId w:val="1"/>
  </w:num>
  <w:num w:numId="115">
    <w:abstractNumId w:val="55"/>
  </w:num>
  <w:num w:numId="116">
    <w:abstractNumId w:val="94"/>
  </w:num>
  <w:num w:numId="117">
    <w:abstractNumId w:val="45"/>
  </w:num>
  <w:num w:numId="118">
    <w:abstractNumId w:val="90"/>
  </w:num>
  <w:num w:numId="119">
    <w:abstractNumId w:val="105"/>
  </w:num>
  <w:num w:numId="120">
    <w:abstractNumId w:val="9"/>
  </w:num>
  <w:num w:numId="121">
    <w:abstractNumId w:val="68"/>
  </w:num>
  <w:num w:numId="122">
    <w:abstractNumId w:val="61"/>
  </w:num>
  <w:num w:numId="123">
    <w:abstractNumId w:val="46"/>
  </w:num>
  <w:num w:numId="124">
    <w:abstractNumId w:val="89"/>
  </w:num>
  <w:num w:numId="125">
    <w:abstractNumId w:val="100"/>
  </w:num>
  <w:num w:numId="126">
    <w:abstractNumId w:val="27"/>
  </w:num>
  <w:num w:numId="127">
    <w:abstractNumId w:val="42"/>
  </w:num>
  <w:num w:numId="128">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0"/>
  </w:num>
  <w:num w:numId="131">
    <w:abstractNumId w:val="12"/>
    <w:lvlOverride w:ilvl="0">
      <w:startOverride w:val="8"/>
    </w:lvlOverride>
  </w:num>
  <w:num w:numId="132">
    <w:abstractNumId w:val="8"/>
  </w:num>
  <w:num w:numId="133">
    <w:abstractNumId w:val="77"/>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69931172-646B-423A-8A40-B2E3274659E6"/>
    <w:docVar w:name="LW_COVERPAGE_TYPE" w:val="1"/>
    <w:docVar w:name="LW_CROSSREFERENCE" w:val="{SEC(2024) 64 final} - {SWD(2024) 63 final} - {SWD(2024) 64 final}"/>
    <w:docVar w:name="LW_DocType" w:val="NORMAL"/>
    <w:docVar w:name="LW_EMISSION" w:val="6.2.2024"/>
    <w:docVar w:name="LW_EMISSION_ISODATE" w:val="2024-02-06"/>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sigurarea viitorului nostru_x000d__x000d__x000b__x000d__x000d__x000d__x000b_Obiectivul climatic al Europei pentru 2040 \u537?i calea c\u259?tre neutralitatea climatic\u259? pân\u259? în 2050 pentru o societate durabil\u259?, just\u259? \u537?i prosper\u259?"/>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F22527"/>
    <w:rsid w:val="00000136"/>
    <w:rsid w:val="0000020D"/>
    <w:rsid w:val="0000032A"/>
    <w:rsid w:val="000003B3"/>
    <w:rsid w:val="000003EA"/>
    <w:rsid w:val="00000476"/>
    <w:rsid w:val="0000053B"/>
    <w:rsid w:val="000006AA"/>
    <w:rsid w:val="000008A9"/>
    <w:rsid w:val="00000AD2"/>
    <w:rsid w:val="00000AFE"/>
    <w:rsid w:val="00000C3E"/>
    <w:rsid w:val="000010D6"/>
    <w:rsid w:val="00001118"/>
    <w:rsid w:val="000011B3"/>
    <w:rsid w:val="00001241"/>
    <w:rsid w:val="0000126A"/>
    <w:rsid w:val="000012C9"/>
    <w:rsid w:val="0000142A"/>
    <w:rsid w:val="000014F0"/>
    <w:rsid w:val="0000178A"/>
    <w:rsid w:val="000017FA"/>
    <w:rsid w:val="00001990"/>
    <w:rsid w:val="00001AE0"/>
    <w:rsid w:val="00001CBF"/>
    <w:rsid w:val="00001F36"/>
    <w:rsid w:val="000021AC"/>
    <w:rsid w:val="000021C5"/>
    <w:rsid w:val="00002251"/>
    <w:rsid w:val="000022B9"/>
    <w:rsid w:val="000022C6"/>
    <w:rsid w:val="0000230D"/>
    <w:rsid w:val="000027E1"/>
    <w:rsid w:val="000028A0"/>
    <w:rsid w:val="0000290A"/>
    <w:rsid w:val="00002985"/>
    <w:rsid w:val="00002A6F"/>
    <w:rsid w:val="00002A72"/>
    <w:rsid w:val="00002B1E"/>
    <w:rsid w:val="00002C97"/>
    <w:rsid w:val="00002FF3"/>
    <w:rsid w:val="0000312F"/>
    <w:rsid w:val="000031BE"/>
    <w:rsid w:val="0000329B"/>
    <w:rsid w:val="000033B3"/>
    <w:rsid w:val="0000345B"/>
    <w:rsid w:val="000034DF"/>
    <w:rsid w:val="000034F1"/>
    <w:rsid w:val="00003562"/>
    <w:rsid w:val="00003755"/>
    <w:rsid w:val="00003960"/>
    <w:rsid w:val="00003A06"/>
    <w:rsid w:val="00003A67"/>
    <w:rsid w:val="00003B03"/>
    <w:rsid w:val="00003C61"/>
    <w:rsid w:val="00003CBD"/>
    <w:rsid w:val="00003DDD"/>
    <w:rsid w:val="00003EBE"/>
    <w:rsid w:val="00003F77"/>
    <w:rsid w:val="00003FDB"/>
    <w:rsid w:val="0000452D"/>
    <w:rsid w:val="00004537"/>
    <w:rsid w:val="000045B2"/>
    <w:rsid w:val="0000460D"/>
    <w:rsid w:val="000047E3"/>
    <w:rsid w:val="000047F3"/>
    <w:rsid w:val="00004A21"/>
    <w:rsid w:val="00004A5C"/>
    <w:rsid w:val="00004ABC"/>
    <w:rsid w:val="00004B3F"/>
    <w:rsid w:val="00004CED"/>
    <w:rsid w:val="000050A5"/>
    <w:rsid w:val="000054D3"/>
    <w:rsid w:val="000054E0"/>
    <w:rsid w:val="000054F8"/>
    <w:rsid w:val="00005720"/>
    <w:rsid w:val="0000572E"/>
    <w:rsid w:val="0000575D"/>
    <w:rsid w:val="0000596A"/>
    <w:rsid w:val="00005D06"/>
    <w:rsid w:val="00005E5B"/>
    <w:rsid w:val="00005EE3"/>
    <w:rsid w:val="00006301"/>
    <w:rsid w:val="000064F0"/>
    <w:rsid w:val="0000668D"/>
    <w:rsid w:val="0000681F"/>
    <w:rsid w:val="00006F92"/>
    <w:rsid w:val="0000702B"/>
    <w:rsid w:val="00007352"/>
    <w:rsid w:val="00007392"/>
    <w:rsid w:val="000074B4"/>
    <w:rsid w:val="000075AB"/>
    <w:rsid w:val="000075C1"/>
    <w:rsid w:val="000076CD"/>
    <w:rsid w:val="000078B3"/>
    <w:rsid w:val="00007949"/>
    <w:rsid w:val="00007B61"/>
    <w:rsid w:val="00007D75"/>
    <w:rsid w:val="00007E25"/>
    <w:rsid w:val="00007FCB"/>
    <w:rsid w:val="000100A7"/>
    <w:rsid w:val="000100E3"/>
    <w:rsid w:val="00010168"/>
    <w:rsid w:val="0001023F"/>
    <w:rsid w:val="00010356"/>
    <w:rsid w:val="00010523"/>
    <w:rsid w:val="0001054E"/>
    <w:rsid w:val="00010637"/>
    <w:rsid w:val="00010759"/>
    <w:rsid w:val="00010921"/>
    <w:rsid w:val="00010952"/>
    <w:rsid w:val="000109F7"/>
    <w:rsid w:val="00010A9D"/>
    <w:rsid w:val="00010ADB"/>
    <w:rsid w:val="00010B0B"/>
    <w:rsid w:val="00010BB3"/>
    <w:rsid w:val="00010CF2"/>
    <w:rsid w:val="00010FA7"/>
    <w:rsid w:val="00011060"/>
    <w:rsid w:val="00011167"/>
    <w:rsid w:val="00011365"/>
    <w:rsid w:val="000113D0"/>
    <w:rsid w:val="0001152C"/>
    <w:rsid w:val="0001156A"/>
    <w:rsid w:val="0001160D"/>
    <w:rsid w:val="00011724"/>
    <w:rsid w:val="00011805"/>
    <w:rsid w:val="0001182F"/>
    <w:rsid w:val="00011920"/>
    <w:rsid w:val="00011AFC"/>
    <w:rsid w:val="00011B58"/>
    <w:rsid w:val="00011C1C"/>
    <w:rsid w:val="00011C79"/>
    <w:rsid w:val="00011C92"/>
    <w:rsid w:val="00011E0F"/>
    <w:rsid w:val="00012162"/>
    <w:rsid w:val="000121C8"/>
    <w:rsid w:val="000121D4"/>
    <w:rsid w:val="000122D8"/>
    <w:rsid w:val="0001240A"/>
    <w:rsid w:val="0001240B"/>
    <w:rsid w:val="000125EA"/>
    <w:rsid w:val="00012749"/>
    <w:rsid w:val="00012781"/>
    <w:rsid w:val="0001284E"/>
    <w:rsid w:val="0001289E"/>
    <w:rsid w:val="000129D7"/>
    <w:rsid w:val="00012A0B"/>
    <w:rsid w:val="00012AF9"/>
    <w:rsid w:val="00012B1A"/>
    <w:rsid w:val="00012B36"/>
    <w:rsid w:val="00012FA0"/>
    <w:rsid w:val="00012FB1"/>
    <w:rsid w:val="00013016"/>
    <w:rsid w:val="000131DD"/>
    <w:rsid w:val="000131E9"/>
    <w:rsid w:val="00013259"/>
    <w:rsid w:val="000132DE"/>
    <w:rsid w:val="000135F4"/>
    <w:rsid w:val="0001364C"/>
    <w:rsid w:val="0001365F"/>
    <w:rsid w:val="000137A1"/>
    <w:rsid w:val="00013A57"/>
    <w:rsid w:val="00013A87"/>
    <w:rsid w:val="00013B86"/>
    <w:rsid w:val="00013DEC"/>
    <w:rsid w:val="00013E67"/>
    <w:rsid w:val="00013FED"/>
    <w:rsid w:val="00014176"/>
    <w:rsid w:val="0001448D"/>
    <w:rsid w:val="00014852"/>
    <w:rsid w:val="0001488A"/>
    <w:rsid w:val="00014908"/>
    <w:rsid w:val="00014993"/>
    <w:rsid w:val="00014AF5"/>
    <w:rsid w:val="00014B47"/>
    <w:rsid w:val="00014D6E"/>
    <w:rsid w:val="00014EBC"/>
    <w:rsid w:val="00014FA2"/>
    <w:rsid w:val="00014FF4"/>
    <w:rsid w:val="00015385"/>
    <w:rsid w:val="0001543C"/>
    <w:rsid w:val="000154B2"/>
    <w:rsid w:val="000154DB"/>
    <w:rsid w:val="0001565F"/>
    <w:rsid w:val="00015742"/>
    <w:rsid w:val="000158C5"/>
    <w:rsid w:val="0001595A"/>
    <w:rsid w:val="000159B0"/>
    <w:rsid w:val="00015A73"/>
    <w:rsid w:val="00015A83"/>
    <w:rsid w:val="00015A9E"/>
    <w:rsid w:val="00015B02"/>
    <w:rsid w:val="00015B2D"/>
    <w:rsid w:val="00015C00"/>
    <w:rsid w:val="00015C23"/>
    <w:rsid w:val="00015C8F"/>
    <w:rsid w:val="00015CD9"/>
    <w:rsid w:val="00015DD6"/>
    <w:rsid w:val="00015FDC"/>
    <w:rsid w:val="00016010"/>
    <w:rsid w:val="00016025"/>
    <w:rsid w:val="000161AA"/>
    <w:rsid w:val="000162AD"/>
    <w:rsid w:val="00016337"/>
    <w:rsid w:val="00016499"/>
    <w:rsid w:val="00016863"/>
    <w:rsid w:val="000168A6"/>
    <w:rsid w:val="00016A18"/>
    <w:rsid w:val="00016A40"/>
    <w:rsid w:val="00016B1B"/>
    <w:rsid w:val="00016BAE"/>
    <w:rsid w:val="00016FAD"/>
    <w:rsid w:val="00017034"/>
    <w:rsid w:val="00017490"/>
    <w:rsid w:val="00017492"/>
    <w:rsid w:val="00017835"/>
    <w:rsid w:val="0001790A"/>
    <w:rsid w:val="0001796B"/>
    <w:rsid w:val="00017A49"/>
    <w:rsid w:val="00017C16"/>
    <w:rsid w:val="00017C76"/>
    <w:rsid w:val="00017CF8"/>
    <w:rsid w:val="00017EAA"/>
    <w:rsid w:val="00017F16"/>
    <w:rsid w:val="0002007E"/>
    <w:rsid w:val="0002029F"/>
    <w:rsid w:val="0002030A"/>
    <w:rsid w:val="000204D2"/>
    <w:rsid w:val="0002056C"/>
    <w:rsid w:val="000207D6"/>
    <w:rsid w:val="00020A10"/>
    <w:rsid w:val="00020A47"/>
    <w:rsid w:val="00020BA5"/>
    <w:rsid w:val="00020EB9"/>
    <w:rsid w:val="000215CB"/>
    <w:rsid w:val="00021698"/>
    <w:rsid w:val="00021738"/>
    <w:rsid w:val="00021837"/>
    <w:rsid w:val="00021A8E"/>
    <w:rsid w:val="00021AFE"/>
    <w:rsid w:val="00021B1D"/>
    <w:rsid w:val="00021CF3"/>
    <w:rsid w:val="00021D0B"/>
    <w:rsid w:val="00021D36"/>
    <w:rsid w:val="00021DBF"/>
    <w:rsid w:val="0002205B"/>
    <w:rsid w:val="000221CA"/>
    <w:rsid w:val="000221ED"/>
    <w:rsid w:val="0002222F"/>
    <w:rsid w:val="00022396"/>
    <w:rsid w:val="000227D9"/>
    <w:rsid w:val="00022B9A"/>
    <w:rsid w:val="00022BEE"/>
    <w:rsid w:val="00022C44"/>
    <w:rsid w:val="00022D30"/>
    <w:rsid w:val="00022D35"/>
    <w:rsid w:val="00022D52"/>
    <w:rsid w:val="00022E1F"/>
    <w:rsid w:val="00022FE9"/>
    <w:rsid w:val="00022FF0"/>
    <w:rsid w:val="00023045"/>
    <w:rsid w:val="0002305B"/>
    <w:rsid w:val="0002315C"/>
    <w:rsid w:val="0002322B"/>
    <w:rsid w:val="0002331E"/>
    <w:rsid w:val="0002339F"/>
    <w:rsid w:val="00023418"/>
    <w:rsid w:val="00023521"/>
    <w:rsid w:val="000237A9"/>
    <w:rsid w:val="000237B7"/>
    <w:rsid w:val="0002381A"/>
    <w:rsid w:val="0002384F"/>
    <w:rsid w:val="000238A8"/>
    <w:rsid w:val="000238D8"/>
    <w:rsid w:val="000239FF"/>
    <w:rsid w:val="00023BDC"/>
    <w:rsid w:val="00023C30"/>
    <w:rsid w:val="00023CCA"/>
    <w:rsid w:val="00023E15"/>
    <w:rsid w:val="00023F12"/>
    <w:rsid w:val="00023F68"/>
    <w:rsid w:val="000241C7"/>
    <w:rsid w:val="00024200"/>
    <w:rsid w:val="000245F5"/>
    <w:rsid w:val="0002474D"/>
    <w:rsid w:val="000247A3"/>
    <w:rsid w:val="00024A38"/>
    <w:rsid w:val="00024B36"/>
    <w:rsid w:val="00024E5C"/>
    <w:rsid w:val="00024E9B"/>
    <w:rsid w:val="00024F92"/>
    <w:rsid w:val="00025006"/>
    <w:rsid w:val="00025120"/>
    <w:rsid w:val="00025318"/>
    <w:rsid w:val="0002539C"/>
    <w:rsid w:val="0002540B"/>
    <w:rsid w:val="000254A3"/>
    <w:rsid w:val="000254CF"/>
    <w:rsid w:val="00025589"/>
    <w:rsid w:val="00025652"/>
    <w:rsid w:val="00025711"/>
    <w:rsid w:val="00025773"/>
    <w:rsid w:val="00025A39"/>
    <w:rsid w:val="00025BA0"/>
    <w:rsid w:val="00025C0D"/>
    <w:rsid w:val="00025C3D"/>
    <w:rsid w:val="00025D48"/>
    <w:rsid w:val="00025E67"/>
    <w:rsid w:val="0002617B"/>
    <w:rsid w:val="00026220"/>
    <w:rsid w:val="000263D5"/>
    <w:rsid w:val="000268D0"/>
    <w:rsid w:val="00026B44"/>
    <w:rsid w:val="00026BE1"/>
    <w:rsid w:val="00026F4E"/>
    <w:rsid w:val="00026F99"/>
    <w:rsid w:val="000270B0"/>
    <w:rsid w:val="00027145"/>
    <w:rsid w:val="00027514"/>
    <w:rsid w:val="0002778F"/>
    <w:rsid w:val="0002790D"/>
    <w:rsid w:val="00027C7D"/>
    <w:rsid w:val="00030024"/>
    <w:rsid w:val="00030178"/>
    <w:rsid w:val="0003020E"/>
    <w:rsid w:val="000302E8"/>
    <w:rsid w:val="000302EE"/>
    <w:rsid w:val="00030351"/>
    <w:rsid w:val="000303A2"/>
    <w:rsid w:val="00030487"/>
    <w:rsid w:val="000305C5"/>
    <w:rsid w:val="000305CD"/>
    <w:rsid w:val="00030717"/>
    <w:rsid w:val="00030747"/>
    <w:rsid w:val="000308F7"/>
    <w:rsid w:val="000309CC"/>
    <w:rsid w:val="00030AD8"/>
    <w:rsid w:val="00030B07"/>
    <w:rsid w:val="00030B73"/>
    <w:rsid w:val="00030BA1"/>
    <w:rsid w:val="00030BE7"/>
    <w:rsid w:val="00030C95"/>
    <w:rsid w:val="00030E0C"/>
    <w:rsid w:val="00030FBB"/>
    <w:rsid w:val="0003105E"/>
    <w:rsid w:val="000310F6"/>
    <w:rsid w:val="000311FF"/>
    <w:rsid w:val="000313CF"/>
    <w:rsid w:val="00031465"/>
    <w:rsid w:val="000314EB"/>
    <w:rsid w:val="00031605"/>
    <w:rsid w:val="0003164C"/>
    <w:rsid w:val="00031665"/>
    <w:rsid w:val="00031710"/>
    <w:rsid w:val="0003178A"/>
    <w:rsid w:val="00031796"/>
    <w:rsid w:val="00031829"/>
    <w:rsid w:val="000319F5"/>
    <w:rsid w:val="00031AF9"/>
    <w:rsid w:val="00031C1C"/>
    <w:rsid w:val="00031C86"/>
    <w:rsid w:val="00031DD5"/>
    <w:rsid w:val="00031E2E"/>
    <w:rsid w:val="00032088"/>
    <w:rsid w:val="0003217E"/>
    <w:rsid w:val="0003226B"/>
    <w:rsid w:val="0003240F"/>
    <w:rsid w:val="0003259F"/>
    <w:rsid w:val="000326F2"/>
    <w:rsid w:val="00032713"/>
    <w:rsid w:val="0003272E"/>
    <w:rsid w:val="00032753"/>
    <w:rsid w:val="00032872"/>
    <w:rsid w:val="00032AA8"/>
    <w:rsid w:val="00032C61"/>
    <w:rsid w:val="00032CC3"/>
    <w:rsid w:val="00032D10"/>
    <w:rsid w:val="00032E32"/>
    <w:rsid w:val="00032F17"/>
    <w:rsid w:val="0003309C"/>
    <w:rsid w:val="000330A9"/>
    <w:rsid w:val="00033292"/>
    <w:rsid w:val="000332A0"/>
    <w:rsid w:val="0003340C"/>
    <w:rsid w:val="000335C7"/>
    <w:rsid w:val="000336B1"/>
    <w:rsid w:val="0003378B"/>
    <w:rsid w:val="000338CA"/>
    <w:rsid w:val="00033AB6"/>
    <w:rsid w:val="00033B86"/>
    <w:rsid w:val="00033BAD"/>
    <w:rsid w:val="00033C53"/>
    <w:rsid w:val="00033CF5"/>
    <w:rsid w:val="00033D10"/>
    <w:rsid w:val="00033F31"/>
    <w:rsid w:val="00033F42"/>
    <w:rsid w:val="00034014"/>
    <w:rsid w:val="00034072"/>
    <w:rsid w:val="00034123"/>
    <w:rsid w:val="00034621"/>
    <w:rsid w:val="000346FE"/>
    <w:rsid w:val="00034812"/>
    <w:rsid w:val="00034983"/>
    <w:rsid w:val="000349CA"/>
    <w:rsid w:val="00034B33"/>
    <w:rsid w:val="00034CAC"/>
    <w:rsid w:val="00034D07"/>
    <w:rsid w:val="00034DA3"/>
    <w:rsid w:val="00034E1C"/>
    <w:rsid w:val="00034E31"/>
    <w:rsid w:val="00034E9F"/>
    <w:rsid w:val="00034F33"/>
    <w:rsid w:val="000350AB"/>
    <w:rsid w:val="00035112"/>
    <w:rsid w:val="00035153"/>
    <w:rsid w:val="000352FF"/>
    <w:rsid w:val="00035376"/>
    <w:rsid w:val="0003554D"/>
    <w:rsid w:val="000355F4"/>
    <w:rsid w:val="00035653"/>
    <w:rsid w:val="00035A1F"/>
    <w:rsid w:val="00035C22"/>
    <w:rsid w:val="00035C35"/>
    <w:rsid w:val="00035CE3"/>
    <w:rsid w:val="00035F0C"/>
    <w:rsid w:val="00035F84"/>
    <w:rsid w:val="000360D1"/>
    <w:rsid w:val="00036100"/>
    <w:rsid w:val="0003657F"/>
    <w:rsid w:val="000366BB"/>
    <w:rsid w:val="00036799"/>
    <w:rsid w:val="000367A6"/>
    <w:rsid w:val="000367AF"/>
    <w:rsid w:val="000367BA"/>
    <w:rsid w:val="00036892"/>
    <w:rsid w:val="00036949"/>
    <w:rsid w:val="00036957"/>
    <w:rsid w:val="000369FE"/>
    <w:rsid w:val="00036A3D"/>
    <w:rsid w:val="00036AA2"/>
    <w:rsid w:val="00036C4C"/>
    <w:rsid w:val="00036D7B"/>
    <w:rsid w:val="00036E7D"/>
    <w:rsid w:val="00036FAC"/>
    <w:rsid w:val="0003700C"/>
    <w:rsid w:val="00037184"/>
    <w:rsid w:val="00037195"/>
    <w:rsid w:val="000372FE"/>
    <w:rsid w:val="0003739E"/>
    <w:rsid w:val="00037435"/>
    <w:rsid w:val="0003753A"/>
    <w:rsid w:val="000375A5"/>
    <w:rsid w:val="000377C5"/>
    <w:rsid w:val="000378D5"/>
    <w:rsid w:val="00037A23"/>
    <w:rsid w:val="00037D5A"/>
    <w:rsid w:val="00037ED6"/>
    <w:rsid w:val="00037FBE"/>
    <w:rsid w:val="00040026"/>
    <w:rsid w:val="0004002D"/>
    <w:rsid w:val="00040091"/>
    <w:rsid w:val="00040167"/>
    <w:rsid w:val="000401E9"/>
    <w:rsid w:val="00040458"/>
    <w:rsid w:val="00040480"/>
    <w:rsid w:val="00040508"/>
    <w:rsid w:val="00040731"/>
    <w:rsid w:val="00040796"/>
    <w:rsid w:val="00040802"/>
    <w:rsid w:val="00040868"/>
    <w:rsid w:val="00040968"/>
    <w:rsid w:val="00040991"/>
    <w:rsid w:val="00040B28"/>
    <w:rsid w:val="00040E0D"/>
    <w:rsid w:val="00040E16"/>
    <w:rsid w:val="00040FAE"/>
    <w:rsid w:val="00040FFE"/>
    <w:rsid w:val="000410CE"/>
    <w:rsid w:val="000410E0"/>
    <w:rsid w:val="00041187"/>
    <w:rsid w:val="000411D6"/>
    <w:rsid w:val="0004125E"/>
    <w:rsid w:val="0004146F"/>
    <w:rsid w:val="0004151C"/>
    <w:rsid w:val="0004154D"/>
    <w:rsid w:val="00041595"/>
    <w:rsid w:val="00041603"/>
    <w:rsid w:val="00041734"/>
    <w:rsid w:val="00041770"/>
    <w:rsid w:val="000417C7"/>
    <w:rsid w:val="00041831"/>
    <w:rsid w:val="00041946"/>
    <w:rsid w:val="00041A5B"/>
    <w:rsid w:val="00041CD9"/>
    <w:rsid w:val="00041D22"/>
    <w:rsid w:val="00041D9F"/>
    <w:rsid w:val="00041EED"/>
    <w:rsid w:val="00042112"/>
    <w:rsid w:val="0004219E"/>
    <w:rsid w:val="000421E0"/>
    <w:rsid w:val="000424FC"/>
    <w:rsid w:val="00042570"/>
    <w:rsid w:val="00042686"/>
    <w:rsid w:val="000426C3"/>
    <w:rsid w:val="000426D0"/>
    <w:rsid w:val="00042735"/>
    <w:rsid w:val="00042C86"/>
    <w:rsid w:val="0004307D"/>
    <w:rsid w:val="000431B8"/>
    <w:rsid w:val="00043252"/>
    <w:rsid w:val="000433D2"/>
    <w:rsid w:val="000434CF"/>
    <w:rsid w:val="000434D2"/>
    <w:rsid w:val="0004370C"/>
    <w:rsid w:val="000437A6"/>
    <w:rsid w:val="000437A8"/>
    <w:rsid w:val="00043863"/>
    <w:rsid w:val="00043967"/>
    <w:rsid w:val="000439A8"/>
    <w:rsid w:val="00043ACB"/>
    <w:rsid w:val="00043C8E"/>
    <w:rsid w:val="00043D22"/>
    <w:rsid w:val="00043D2B"/>
    <w:rsid w:val="00043D62"/>
    <w:rsid w:val="0004419B"/>
    <w:rsid w:val="00044241"/>
    <w:rsid w:val="000442F1"/>
    <w:rsid w:val="000442F8"/>
    <w:rsid w:val="000443D4"/>
    <w:rsid w:val="000443E3"/>
    <w:rsid w:val="00044547"/>
    <w:rsid w:val="0004470A"/>
    <w:rsid w:val="0004489F"/>
    <w:rsid w:val="00044909"/>
    <w:rsid w:val="00044938"/>
    <w:rsid w:val="00044B34"/>
    <w:rsid w:val="00044FAE"/>
    <w:rsid w:val="00044FBB"/>
    <w:rsid w:val="00045169"/>
    <w:rsid w:val="000451CD"/>
    <w:rsid w:val="00045291"/>
    <w:rsid w:val="00045372"/>
    <w:rsid w:val="000453A3"/>
    <w:rsid w:val="000453F3"/>
    <w:rsid w:val="00045431"/>
    <w:rsid w:val="0004566F"/>
    <w:rsid w:val="000457E0"/>
    <w:rsid w:val="00045887"/>
    <w:rsid w:val="000458BF"/>
    <w:rsid w:val="00045A15"/>
    <w:rsid w:val="00045A88"/>
    <w:rsid w:val="00045C1A"/>
    <w:rsid w:val="00045FBA"/>
    <w:rsid w:val="000461D8"/>
    <w:rsid w:val="000461E0"/>
    <w:rsid w:val="000461F5"/>
    <w:rsid w:val="000462E8"/>
    <w:rsid w:val="00046425"/>
    <w:rsid w:val="00046445"/>
    <w:rsid w:val="000465B4"/>
    <w:rsid w:val="0004666D"/>
    <w:rsid w:val="0004667A"/>
    <w:rsid w:val="00046755"/>
    <w:rsid w:val="00046794"/>
    <w:rsid w:val="00046A8C"/>
    <w:rsid w:val="00046C12"/>
    <w:rsid w:val="00046E74"/>
    <w:rsid w:val="00046F12"/>
    <w:rsid w:val="00046F9C"/>
    <w:rsid w:val="0004704F"/>
    <w:rsid w:val="00047087"/>
    <w:rsid w:val="000470BF"/>
    <w:rsid w:val="000473A1"/>
    <w:rsid w:val="00047452"/>
    <w:rsid w:val="000475E8"/>
    <w:rsid w:val="00047786"/>
    <w:rsid w:val="00047B4F"/>
    <w:rsid w:val="00047CEC"/>
    <w:rsid w:val="00047E7B"/>
    <w:rsid w:val="00047EF5"/>
    <w:rsid w:val="00050080"/>
    <w:rsid w:val="00050149"/>
    <w:rsid w:val="00050301"/>
    <w:rsid w:val="000505A8"/>
    <w:rsid w:val="000506C2"/>
    <w:rsid w:val="00050ACC"/>
    <w:rsid w:val="00050B31"/>
    <w:rsid w:val="00050B63"/>
    <w:rsid w:val="00050CCC"/>
    <w:rsid w:val="00050D06"/>
    <w:rsid w:val="00050D14"/>
    <w:rsid w:val="00050F34"/>
    <w:rsid w:val="000511FF"/>
    <w:rsid w:val="00051303"/>
    <w:rsid w:val="000514CD"/>
    <w:rsid w:val="000514DE"/>
    <w:rsid w:val="00051662"/>
    <w:rsid w:val="00051713"/>
    <w:rsid w:val="00051850"/>
    <w:rsid w:val="00051855"/>
    <w:rsid w:val="00051944"/>
    <w:rsid w:val="000519B6"/>
    <w:rsid w:val="00051AE3"/>
    <w:rsid w:val="00051B5E"/>
    <w:rsid w:val="00051DB3"/>
    <w:rsid w:val="00051DC8"/>
    <w:rsid w:val="00051FFE"/>
    <w:rsid w:val="00052156"/>
    <w:rsid w:val="000521F8"/>
    <w:rsid w:val="00052235"/>
    <w:rsid w:val="00052454"/>
    <w:rsid w:val="00052506"/>
    <w:rsid w:val="00052770"/>
    <w:rsid w:val="00052ABF"/>
    <w:rsid w:val="00052B3E"/>
    <w:rsid w:val="00052B45"/>
    <w:rsid w:val="00052B8A"/>
    <w:rsid w:val="00052F4F"/>
    <w:rsid w:val="00052F8A"/>
    <w:rsid w:val="00053186"/>
    <w:rsid w:val="000533F6"/>
    <w:rsid w:val="00053505"/>
    <w:rsid w:val="0005377E"/>
    <w:rsid w:val="000537DA"/>
    <w:rsid w:val="0005392F"/>
    <w:rsid w:val="00053D4B"/>
    <w:rsid w:val="00053F69"/>
    <w:rsid w:val="00053FEB"/>
    <w:rsid w:val="000540E7"/>
    <w:rsid w:val="00054200"/>
    <w:rsid w:val="00054205"/>
    <w:rsid w:val="0005427A"/>
    <w:rsid w:val="000545B6"/>
    <w:rsid w:val="00054646"/>
    <w:rsid w:val="000546D5"/>
    <w:rsid w:val="000547F7"/>
    <w:rsid w:val="00054949"/>
    <w:rsid w:val="00054C0F"/>
    <w:rsid w:val="00054C25"/>
    <w:rsid w:val="00054D1D"/>
    <w:rsid w:val="00054E22"/>
    <w:rsid w:val="00054EF5"/>
    <w:rsid w:val="00054F6E"/>
    <w:rsid w:val="00055236"/>
    <w:rsid w:val="00055541"/>
    <w:rsid w:val="000555EB"/>
    <w:rsid w:val="00055637"/>
    <w:rsid w:val="000558B9"/>
    <w:rsid w:val="00055D1E"/>
    <w:rsid w:val="00055D26"/>
    <w:rsid w:val="00055D8C"/>
    <w:rsid w:val="00055F44"/>
    <w:rsid w:val="00055F61"/>
    <w:rsid w:val="00055F71"/>
    <w:rsid w:val="0005621A"/>
    <w:rsid w:val="00056265"/>
    <w:rsid w:val="000563A3"/>
    <w:rsid w:val="0005647E"/>
    <w:rsid w:val="0005660A"/>
    <w:rsid w:val="00056688"/>
    <w:rsid w:val="000569A6"/>
    <w:rsid w:val="00056B4E"/>
    <w:rsid w:val="00056B75"/>
    <w:rsid w:val="00056E09"/>
    <w:rsid w:val="00056EAC"/>
    <w:rsid w:val="00056F1E"/>
    <w:rsid w:val="00057208"/>
    <w:rsid w:val="000572BE"/>
    <w:rsid w:val="00057320"/>
    <w:rsid w:val="0005747C"/>
    <w:rsid w:val="0005756C"/>
    <w:rsid w:val="0005762D"/>
    <w:rsid w:val="00057630"/>
    <w:rsid w:val="000576C9"/>
    <w:rsid w:val="00057798"/>
    <w:rsid w:val="00057905"/>
    <w:rsid w:val="00057A82"/>
    <w:rsid w:val="00057C26"/>
    <w:rsid w:val="00057CF8"/>
    <w:rsid w:val="00060080"/>
    <w:rsid w:val="0006036C"/>
    <w:rsid w:val="000603EC"/>
    <w:rsid w:val="00060540"/>
    <w:rsid w:val="000605D6"/>
    <w:rsid w:val="000605E0"/>
    <w:rsid w:val="00060616"/>
    <w:rsid w:val="0006061F"/>
    <w:rsid w:val="000606C2"/>
    <w:rsid w:val="000607DA"/>
    <w:rsid w:val="000608C7"/>
    <w:rsid w:val="000608CE"/>
    <w:rsid w:val="000608EA"/>
    <w:rsid w:val="000608F0"/>
    <w:rsid w:val="00060B83"/>
    <w:rsid w:val="00060BE8"/>
    <w:rsid w:val="00060C09"/>
    <w:rsid w:val="00060CFB"/>
    <w:rsid w:val="00060D0C"/>
    <w:rsid w:val="00060FE6"/>
    <w:rsid w:val="00061099"/>
    <w:rsid w:val="0006127A"/>
    <w:rsid w:val="0006129D"/>
    <w:rsid w:val="000612CF"/>
    <w:rsid w:val="000613D6"/>
    <w:rsid w:val="0006151C"/>
    <w:rsid w:val="000615F7"/>
    <w:rsid w:val="000617EA"/>
    <w:rsid w:val="00061B16"/>
    <w:rsid w:val="00061B26"/>
    <w:rsid w:val="00061B82"/>
    <w:rsid w:val="00061DCB"/>
    <w:rsid w:val="00061ECB"/>
    <w:rsid w:val="00061EE0"/>
    <w:rsid w:val="0006201B"/>
    <w:rsid w:val="000622E3"/>
    <w:rsid w:val="0006237C"/>
    <w:rsid w:val="00062467"/>
    <w:rsid w:val="000625BC"/>
    <w:rsid w:val="000626AD"/>
    <w:rsid w:val="000629F7"/>
    <w:rsid w:val="00062A16"/>
    <w:rsid w:val="00062B4C"/>
    <w:rsid w:val="00062C90"/>
    <w:rsid w:val="00062E01"/>
    <w:rsid w:val="00062F25"/>
    <w:rsid w:val="00062F33"/>
    <w:rsid w:val="0006303D"/>
    <w:rsid w:val="00063132"/>
    <w:rsid w:val="00063239"/>
    <w:rsid w:val="000632C5"/>
    <w:rsid w:val="00063342"/>
    <w:rsid w:val="0006353E"/>
    <w:rsid w:val="0006354C"/>
    <w:rsid w:val="000635E7"/>
    <w:rsid w:val="0006366E"/>
    <w:rsid w:val="00063978"/>
    <w:rsid w:val="000639ED"/>
    <w:rsid w:val="00063D30"/>
    <w:rsid w:val="00063DC7"/>
    <w:rsid w:val="00063F9F"/>
    <w:rsid w:val="0006408E"/>
    <w:rsid w:val="0006409C"/>
    <w:rsid w:val="0006457D"/>
    <w:rsid w:val="00064621"/>
    <w:rsid w:val="00064670"/>
    <w:rsid w:val="000649EB"/>
    <w:rsid w:val="00064A5C"/>
    <w:rsid w:val="00064ACC"/>
    <w:rsid w:val="00064AD2"/>
    <w:rsid w:val="00064B6C"/>
    <w:rsid w:val="00064B7B"/>
    <w:rsid w:val="00064CC0"/>
    <w:rsid w:val="00064D5C"/>
    <w:rsid w:val="00064FB5"/>
    <w:rsid w:val="0006549A"/>
    <w:rsid w:val="000654C2"/>
    <w:rsid w:val="000654CA"/>
    <w:rsid w:val="00065691"/>
    <w:rsid w:val="000657BB"/>
    <w:rsid w:val="000659F2"/>
    <w:rsid w:val="00065AF7"/>
    <w:rsid w:val="00065EAF"/>
    <w:rsid w:val="00065F4A"/>
    <w:rsid w:val="00066173"/>
    <w:rsid w:val="000662F1"/>
    <w:rsid w:val="00066449"/>
    <w:rsid w:val="00066625"/>
    <w:rsid w:val="00066774"/>
    <w:rsid w:val="0006681C"/>
    <w:rsid w:val="0006689B"/>
    <w:rsid w:val="000668D3"/>
    <w:rsid w:val="000669CD"/>
    <w:rsid w:val="00066EE2"/>
    <w:rsid w:val="00067205"/>
    <w:rsid w:val="00067483"/>
    <w:rsid w:val="00067527"/>
    <w:rsid w:val="00067B0A"/>
    <w:rsid w:val="00067BED"/>
    <w:rsid w:val="00067C6B"/>
    <w:rsid w:val="00067DA8"/>
    <w:rsid w:val="00067DE0"/>
    <w:rsid w:val="00067F74"/>
    <w:rsid w:val="00067FDF"/>
    <w:rsid w:val="0007002B"/>
    <w:rsid w:val="0007005E"/>
    <w:rsid w:val="00070159"/>
    <w:rsid w:val="000701FD"/>
    <w:rsid w:val="000703A1"/>
    <w:rsid w:val="00070576"/>
    <w:rsid w:val="000705B8"/>
    <w:rsid w:val="000706E6"/>
    <w:rsid w:val="000706F2"/>
    <w:rsid w:val="00070746"/>
    <w:rsid w:val="00070776"/>
    <w:rsid w:val="0007081E"/>
    <w:rsid w:val="000709A2"/>
    <w:rsid w:val="000709E7"/>
    <w:rsid w:val="00070D0B"/>
    <w:rsid w:val="00070DC9"/>
    <w:rsid w:val="00070FB4"/>
    <w:rsid w:val="00070FBB"/>
    <w:rsid w:val="00071124"/>
    <w:rsid w:val="000711C1"/>
    <w:rsid w:val="00071278"/>
    <w:rsid w:val="000714C4"/>
    <w:rsid w:val="000715AA"/>
    <w:rsid w:val="0007164F"/>
    <w:rsid w:val="00071658"/>
    <w:rsid w:val="00071824"/>
    <w:rsid w:val="000718CF"/>
    <w:rsid w:val="00072091"/>
    <w:rsid w:val="00072093"/>
    <w:rsid w:val="0007214E"/>
    <w:rsid w:val="00072197"/>
    <w:rsid w:val="000721FD"/>
    <w:rsid w:val="00072604"/>
    <w:rsid w:val="000727C4"/>
    <w:rsid w:val="00072971"/>
    <w:rsid w:val="00072995"/>
    <w:rsid w:val="00072AA3"/>
    <w:rsid w:val="00072BC1"/>
    <w:rsid w:val="00072D09"/>
    <w:rsid w:val="00072DD0"/>
    <w:rsid w:val="00072EBB"/>
    <w:rsid w:val="00072EE5"/>
    <w:rsid w:val="00072F7C"/>
    <w:rsid w:val="0007308F"/>
    <w:rsid w:val="000730FA"/>
    <w:rsid w:val="00073312"/>
    <w:rsid w:val="0007338F"/>
    <w:rsid w:val="000733FC"/>
    <w:rsid w:val="000734E1"/>
    <w:rsid w:val="00073911"/>
    <w:rsid w:val="000739F4"/>
    <w:rsid w:val="00073B89"/>
    <w:rsid w:val="00073BA4"/>
    <w:rsid w:val="00073BE3"/>
    <w:rsid w:val="00073C7D"/>
    <w:rsid w:val="00073D54"/>
    <w:rsid w:val="00073DBD"/>
    <w:rsid w:val="00073E54"/>
    <w:rsid w:val="00073F5F"/>
    <w:rsid w:val="0007403A"/>
    <w:rsid w:val="000740A2"/>
    <w:rsid w:val="00074268"/>
    <w:rsid w:val="00074322"/>
    <w:rsid w:val="0007453A"/>
    <w:rsid w:val="000746AA"/>
    <w:rsid w:val="000746D0"/>
    <w:rsid w:val="00074843"/>
    <w:rsid w:val="000748A8"/>
    <w:rsid w:val="00074937"/>
    <w:rsid w:val="00074A47"/>
    <w:rsid w:val="00074A7C"/>
    <w:rsid w:val="00074B75"/>
    <w:rsid w:val="00074C61"/>
    <w:rsid w:val="00074F36"/>
    <w:rsid w:val="00074FCD"/>
    <w:rsid w:val="00074FFE"/>
    <w:rsid w:val="0007504B"/>
    <w:rsid w:val="00075265"/>
    <w:rsid w:val="00075286"/>
    <w:rsid w:val="00075302"/>
    <w:rsid w:val="0007530B"/>
    <w:rsid w:val="000754C6"/>
    <w:rsid w:val="00075527"/>
    <w:rsid w:val="000755C4"/>
    <w:rsid w:val="0007567E"/>
    <w:rsid w:val="00075A55"/>
    <w:rsid w:val="00075BAC"/>
    <w:rsid w:val="00075BCD"/>
    <w:rsid w:val="00075BD1"/>
    <w:rsid w:val="00075C4D"/>
    <w:rsid w:val="00075CF2"/>
    <w:rsid w:val="00075E75"/>
    <w:rsid w:val="00075E9F"/>
    <w:rsid w:val="00075F9E"/>
    <w:rsid w:val="000760D6"/>
    <w:rsid w:val="0007610F"/>
    <w:rsid w:val="00076150"/>
    <w:rsid w:val="00076168"/>
    <w:rsid w:val="00076192"/>
    <w:rsid w:val="000761D4"/>
    <w:rsid w:val="000762A4"/>
    <w:rsid w:val="0007652B"/>
    <w:rsid w:val="000766B4"/>
    <w:rsid w:val="00076730"/>
    <w:rsid w:val="000767ED"/>
    <w:rsid w:val="00076869"/>
    <w:rsid w:val="00076B87"/>
    <w:rsid w:val="00076BF7"/>
    <w:rsid w:val="00076CA6"/>
    <w:rsid w:val="00077307"/>
    <w:rsid w:val="00077484"/>
    <w:rsid w:val="000776FE"/>
    <w:rsid w:val="00077828"/>
    <w:rsid w:val="0007784E"/>
    <w:rsid w:val="0007798B"/>
    <w:rsid w:val="000779D5"/>
    <w:rsid w:val="00077ADA"/>
    <w:rsid w:val="00077C37"/>
    <w:rsid w:val="00077D52"/>
    <w:rsid w:val="00077ED2"/>
    <w:rsid w:val="00077F51"/>
    <w:rsid w:val="00080162"/>
    <w:rsid w:val="000801E1"/>
    <w:rsid w:val="000802CB"/>
    <w:rsid w:val="000804E1"/>
    <w:rsid w:val="0008071C"/>
    <w:rsid w:val="0008091B"/>
    <w:rsid w:val="00080999"/>
    <w:rsid w:val="00080A04"/>
    <w:rsid w:val="00080AE9"/>
    <w:rsid w:val="00080B9D"/>
    <w:rsid w:val="00080BEF"/>
    <w:rsid w:val="00080BF8"/>
    <w:rsid w:val="00080BFF"/>
    <w:rsid w:val="00080EB5"/>
    <w:rsid w:val="00080EB8"/>
    <w:rsid w:val="00080F1E"/>
    <w:rsid w:val="00080FC3"/>
    <w:rsid w:val="000810B5"/>
    <w:rsid w:val="000811A9"/>
    <w:rsid w:val="000814BC"/>
    <w:rsid w:val="00081519"/>
    <w:rsid w:val="00081552"/>
    <w:rsid w:val="00081555"/>
    <w:rsid w:val="00081573"/>
    <w:rsid w:val="000817D1"/>
    <w:rsid w:val="00081AAE"/>
    <w:rsid w:val="00081BAE"/>
    <w:rsid w:val="00081C77"/>
    <w:rsid w:val="00081ED6"/>
    <w:rsid w:val="00081F78"/>
    <w:rsid w:val="000820B1"/>
    <w:rsid w:val="00082118"/>
    <w:rsid w:val="000821CB"/>
    <w:rsid w:val="00082201"/>
    <w:rsid w:val="000822BF"/>
    <w:rsid w:val="00082310"/>
    <w:rsid w:val="00082511"/>
    <w:rsid w:val="000825B0"/>
    <w:rsid w:val="00082662"/>
    <w:rsid w:val="00082906"/>
    <w:rsid w:val="00082A80"/>
    <w:rsid w:val="00082B1F"/>
    <w:rsid w:val="00082BF9"/>
    <w:rsid w:val="00082C92"/>
    <w:rsid w:val="00082E09"/>
    <w:rsid w:val="00082EFF"/>
    <w:rsid w:val="00082F47"/>
    <w:rsid w:val="0008325B"/>
    <w:rsid w:val="000832CD"/>
    <w:rsid w:val="00083321"/>
    <w:rsid w:val="00083353"/>
    <w:rsid w:val="0008374C"/>
    <w:rsid w:val="000837BE"/>
    <w:rsid w:val="0008393D"/>
    <w:rsid w:val="0008394F"/>
    <w:rsid w:val="00083A26"/>
    <w:rsid w:val="00083BA9"/>
    <w:rsid w:val="00083E3D"/>
    <w:rsid w:val="00083EA8"/>
    <w:rsid w:val="00083F2C"/>
    <w:rsid w:val="00083F48"/>
    <w:rsid w:val="00084133"/>
    <w:rsid w:val="0008413C"/>
    <w:rsid w:val="00084163"/>
    <w:rsid w:val="00084325"/>
    <w:rsid w:val="00084398"/>
    <w:rsid w:val="000844F1"/>
    <w:rsid w:val="000844FC"/>
    <w:rsid w:val="0008458C"/>
    <w:rsid w:val="0008461A"/>
    <w:rsid w:val="0008463B"/>
    <w:rsid w:val="000847F1"/>
    <w:rsid w:val="00084C51"/>
    <w:rsid w:val="00084E21"/>
    <w:rsid w:val="00084F4A"/>
    <w:rsid w:val="00084FC0"/>
    <w:rsid w:val="000850D9"/>
    <w:rsid w:val="000853C9"/>
    <w:rsid w:val="000856FC"/>
    <w:rsid w:val="00085733"/>
    <w:rsid w:val="000857C3"/>
    <w:rsid w:val="0008598E"/>
    <w:rsid w:val="000859BF"/>
    <w:rsid w:val="00085B10"/>
    <w:rsid w:val="00085B69"/>
    <w:rsid w:val="00085D6C"/>
    <w:rsid w:val="00085D6F"/>
    <w:rsid w:val="00085E84"/>
    <w:rsid w:val="0008625C"/>
    <w:rsid w:val="000865A2"/>
    <w:rsid w:val="00086671"/>
    <w:rsid w:val="00086710"/>
    <w:rsid w:val="000868BC"/>
    <w:rsid w:val="00086CF4"/>
    <w:rsid w:val="00086D4E"/>
    <w:rsid w:val="00086D7D"/>
    <w:rsid w:val="00086F9D"/>
    <w:rsid w:val="0008707B"/>
    <w:rsid w:val="000871ED"/>
    <w:rsid w:val="00087583"/>
    <w:rsid w:val="000875BC"/>
    <w:rsid w:val="00087714"/>
    <w:rsid w:val="000877CB"/>
    <w:rsid w:val="00087D1A"/>
    <w:rsid w:val="00087E80"/>
    <w:rsid w:val="00087ED3"/>
    <w:rsid w:val="00087EFD"/>
    <w:rsid w:val="00087FEC"/>
    <w:rsid w:val="00090166"/>
    <w:rsid w:val="000901ED"/>
    <w:rsid w:val="00090378"/>
    <w:rsid w:val="00090782"/>
    <w:rsid w:val="00090825"/>
    <w:rsid w:val="00090861"/>
    <w:rsid w:val="00090AC8"/>
    <w:rsid w:val="00090BE0"/>
    <w:rsid w:val="00090D0C"/>
    <w:rsid w:val="00090DEC"/>
    <w:rsid w:val="00090F52"/>
    <w:rsid w:val="00090F73"/>
    <w:rsid w:val="00090FEA"/>
    <w:rsid w:val="000910D4"/>
    <w:rsid w:val="00091349"/>
    <w:rsid w:val="00091504"/>
    <w:rsid w:val="0009168E"/>
    <w:rsid w:val="000916A8"/>
    <w:rsid w:val="00091735"/>
    <w:rsid w:val="00091843"/>
    <w:rsid w:val="0009188D"/>
    <w:rsid w:val="0009188E"/>
    <w:rsid w:val="000918DC"/>
    <w:rsid w:val="000918E7"/>
    <w:rsid w:val="00091B45"/>
    <w:rsid w:val="00091B48"/>
    <w:rsid w:val="00091BBC"/>
    <w:rsid w:val="00091D04"/>
    <w:rsid w:val="00091D61"/>
    <w:rsid w:val="00091EA9"/>
    <w:rsid w:val="0009217D"/>
    <w:rsid w:val="000923AF"/>
    <w:rsid w:val="000923CC"/>
    <w:rsid w:val="0009249C"/>
    <w:rsid w:val="00092684"/>
    <w:rsid w:val="00092792"/>
    <w:rsid w:val="0009285B"/>
    <w:rsid w:val="00092925"/>
    <w:rsid w:val="000929C7"/>
    <w:rsid w:val="00092AE1"/>
    <w:rsid w:val="00092B9B"/>
    <w:rsid w:val="00092D09"/>
    <w:rsid w:val="00092D2D"/>
    <w:rsid w:val="00092D61"/>
    <w:rsid w:val="00092F45"/>
    <w:rsid w:val="00093042"/>
    <w:rsid w:val="00093060"/>
    <w:rsid w:val="00093196"/>
    <w:rsid w:val="0009348F"/>
    <w:rsid w:val="000934FD"/>
    <w:rsid w:val="000935DC"/>
    <w:rsid w:val="00093993"/>
    <w:rsid w:val="00093A25"/>
    <w:rsid w:val="00093C80"/>
    <w:rsid w:val="00093EC9"/>
    <w:rsid w:val="000941D3"/>
    <w:rsid w:val="0009434B"/>
    <w:rsid w:val="000943F8"/>
    <w:rsid w:val="00094486"/>
    <w:rsid w:val="000944DB"/>
    <w:rsid w:val="0009461F"/>
    <w:rsid w:val="0009465B"/>
    <w:rsid w:val="0009473E"/>
    <w:rsid w:val="00094871"/>
    <w:rsid w:val="0009498F"/>
    <w:rsid w:val="000949D8"/>
    <w:rsid w:val="000949EC"/>
    <w:rsid w:val="00094A44"/>
    <w:rsid w:val="00094A72"/>
    <w:rsid w:val="00094D1F"/>
    <w:rsid w:val="00095031"/>
    <w:rsid w:val="000956DA"/>
    <w:rsid w:val="0009576A"/>
    <w:rsid w:val="0009591D"/>
    <w:rsid w:val="00095D66"/>
    <w:rsid w:val="00095EE9"/>
    <w:rsid w:val="0009619A"/>
    <w:rsid w:val="000961EF"/>
    <w:rsid w:val="00096225"/>
    <w:rsid w:val="00096238"/>
    <w:rsid w:val="00096623"/>
    <w:rsid w:val="00096691"/>
    <w:rsid w:val="000969DA"/>
    <w:rsid w:val="00096A17"/>
    <w:rsid w:val="00096B16"/>
    <w:rsid w:val="00096D97"/>
    <w:rsid w:val="0009702F"/>
    <w:rsid w:val="000970B0"/>
    <w:rsid w:val="000970D8"/>
    <w:rsid w:val="00097295"/>
    <w:rsid w:val="00097354"/>
    <w:rsid w:val="000973C8"/>
    <w:rsid w:val="000975B4"/>
    <w:rsid w:val="00097684"/>
    <w:rsid w:val="00097D92"/>
    <w:rsid w:val="00097DA0"/>
    <w:rsid w:val="00097DB8"/>
    <w:rsid w:val="00097DF3"/>
    <w:rsid w:val="00097E2B"/>
    <w:rsid w:val="00097EA2"/>
    <w:rsid w:val="00097ECA"/>
    <w:rsid w:val="000A03D1"/>
    <w:rsid w:val="000A0484"/>
    <w:rsid w:val="000A05E2"/>
    <w:rsid w:val="000A0774"/>
    <w:rsid w:val="000A083B"/>
    <w:rsid w:val="000A08AC"/>
    <w:rsid w:val="000A098D"/>
    <w:rsid w:val="000A0A3A"/>
    <w:rsid w:val="000A0BA7"/>
    <w:rsid w:val="000A0BE8"/>
    <w:rsid w:val="000A0CC8"/>
    <w:rsid w:val="000A0E3E"/>
    <w:rsid w:val="000A109E"/>
    <w:rsid w:val="000A12BE"/>
    <w:rsid w:val="000A13BC"/>
    <w:rsid w:val="000A1508"/>
    <w:rsid w:val="000A1563"/>
    <w:rsid w:val="000A158B"/>
    <w:rsid w:val="000A161F"/>
    <w:rsid w:val="000A162E"/>
    <w:rsid w:val="000A18F2"/>
    <w:rsid w:val="000A1BF7"/>
    <w:rsid w:val="000A1C06"/>
    <w:rsid w:val="000A1C3A"/>
    <w:rsid w:val="000A1C52"/>
    <w:rsid w:val="000A1EA8"/>
    <w:rsid w:val="000A1F22"/>
    <w:rsid w:val="000A201E"/>
    <w:rsid w:val="000A254A"/>
    <w:rsid w:val="000A26B8"/>
    <w:rsid w:val="000A26E4"/>
    <w:rsid w:val="000A292E"/>
    <w:rsid w:val="000A297A"/>
    <w:rsid w:val="000A2CFE"/>
    <w:rsid w:val="000A2EB5"/>
    <w:rsid w:val="000A2F90"/>
    <w:rsid w:val="000A32DE"/>
    <w:rsid w:val="000A332F"/>
    <w:rsid w:val="000A333E"/>
    <w:rsid w:val="000A3379"/>
    <w:rsid w:val="000A34A6"/>
    <w:rsid w:val="000A3533"/>
    <w:rsid w:val="000A3575"/>
    <w:rsid w:val="000A35E1"/>
    <w:rsid w:val="000A360F"/>
    <w:rsid w:val="000A36F7"/>
    <w:rsid w:val="000A37A5"/>
    <w:rsid w:val="000A3937"/>
    <w:rsid w:val="000A3A5F"/>
    <w:rsid w:val="000A3DCF"/>
    <w:rsid w:val="000A3FAD"/>
    <w:rsid w:val="000A3FBC"/>
    <w:rsid w:val="000A4080"/>
    <w:rsid w:val="000A419F"/>
    <w:rsid w:val="000A4480"/>
    <w:rsid w:val="000A448A"/>
    <w:rsid w:val="000A44E4"/>
    <w:rsid w:val="000A4708"/>
    <w:rsid w:val="000A4C76"/>
    <w:rsid w:val="000A4D3E"/>
    <w:rsid w:val="000A4E1B"/>
    <w:rsid w:val="000A4E7E"/>
    <w:rsid w:val="000A4EBB"/>
    <w:rsid w:val="000A4EDA"/>
    <w:rsid w:val="000A4EDD"/>
    <w:rsid w:val="000A50F9"/>
    <w:rsid w:val="000A518D"/>
    <w:rsid w:val="000A5212"/>
    <w:rsid w:val="000A54CB"/>
    <w:rsid w:val="000A56E8"/>
    <w:rsid w:val="000A5723"/>
    <w:rsid w:val="000A57AF"/>
    <w:rsid w:val="000A5837"/>
    <w:rsid w:val="000A5899"/>
    <w:rsid w:val="000A58EA"/>
    <w:rsid w:val="000A5A3D"/>
    <w:rsid w:val="000A5A5E"/>
    <w:rsid w:val="000A5B6B"/>
    <w:rsid w:val="000A5D58"/>
    <w:rsid w:val="000A5D98"/>
    <w:rsid w:val="000A6111"/>
    <w:rsid w:val="000A6123"/>
    <w:rsid w:val="000A61FB"/>
    <w:rsid w:val="000A62D7"/>
    <w:rsid w:val="000A6375"/>
    <w:rsid w:val="000A643F"/>
    <w:rsid w:val="000A64A7"/>
    <w:rsid w:val="000A653B"/>
    <w:rsid w:val="000A6556"/>
    <w:rsid w:val="000A6635"/>
    <w:rsid w:val="000A670A"/>
    <w:rsid w:val="000A6767"/>
    <w:rsid w:val="000A67DF"/>
    <w:rsid w:val="000A6877"/>
    <w:rsid w:val="000A68E9"/>
    <w:rsid w:val="000A693B"/>
    <w:rsid w:val="000A69D1"/>
    <w:rsid w:val="000A6A41"/>
    <w:rsid w:val="000A6AB8"/>
    <w:rsid w:val="000A6AE9"/>
    <w:rsid w:val="000A6B10"/>
    <w:rsid w:val="000A6B94"/>
    <w:rsid w:val="000A6BC5"/>
    <w:rsid w:val="000A6C29"/>
    <w:rsid w:val="000A6D10"/>
    <w:rsid w:val="000A7224"/>
    <w:rsid w:val="000A7226"/>
    <w:rsid w:val="000A7302"/>
    <w:rsid w:val="000A733E"/>
    <w:rsid w:val="000A73BE"/>
    <w:rsid w:val="000A744C"/>
    <w:rsid w:val="000A7464"/>
    <w:rsid w:val="000A750F"/>
    <w:rsid w:val="000A75E5"/>
    <w:rsid w:val="000A767C"/>
    <w:rsid w:val="000A78D5"/>
    <w:rsid w:val="000A79C3"/>
    <w:rsid w:val="000A7A4C"/>
    <w:rsid w:val="000A7A54"/>
    <w:rsid w:val="000A7A99"/>
    <w:rsid w:val="000A7AC4"/>
    <w:rsid w:val="000A7B07"/>
    <w:rsid w:val="000A7B7B"/>
    <w:rsid w:val="000A7C3E"/>
    <w:rsid w:val="000A7C50"/>
    <w:rsid w:val="000A7C80"/>
    <w:rsid w:val="000B025C"/>
    <w:rsid w:val="000B027E"/>
    <w:rsid w:val="000B07A1"/>
    <w:rsid w:val="000B095E"/>
    <w:rsid w:val="000B0C75"/>
    <w:rsid w:val="000B0CF4"/>
    <w:rsid w:val="000B0E45"/>
    <w:rsid w:val="000B0E76"/>
    <w:rsid w:val="000B0F9E"/>
    <w:rsid w:val="000B1119"/>
    <w:rsid w:val="000B117C"/>
    <w:rsid w:val="000B11C5"/>
    <w:rsid w:val="000B120B"/>
    <w:rsid w:val="000B1253"/>
    <w:rsid w:val="000B14E8"/>
    <w:rsid w:val="000B15DB"/>
    <w:rsid w:val="000B168E"/>
    <w:rsid w:val="000B16B6"/>
    <w:rsid w:val="000B1729"/>
    <w:rsid w:val="000B1757"/>
    <w:rsid w:val="000B1765"/>
    <w:rsid w:val="000B18AC"/>
    <w:rsid w:val="000B18FD"/>
    <w:rsid w:val="000B195A"/>
    <w:rsid w:val="000B1BB0"/>
    <w:rsid w:val="000B1BD1"/>
    <w:rsid w:val="000B1C2D"/>
    <w:rsid w:val="000B1EC9"/>
    <w:rsid w:val="000B1EDA"/>
    <w:rsid w:val="000B1FB4"/>
    <w:rsid w:val="000B202A"/>
    <w:rsid w:val="000B206A"/>
    <w:rsid w:val="000B208B"/>
    <w:rsid w:val="000B210B"/>
    <w:rsid w:val="000B2201"/>
    <w:rsid w:val="000B22CC"/>
    <w:rsid w:val="000B23A9"/>
    <w:rsid w:val="000B2596"/>
    <w:rsid w:val="000B25FC"/>
    <w:rsid w:val="000B26BB"/>
    <w:rsid w:val="000B27AD"/>
    <w:rsid w:val="000B2BB0"/>
    <w:rsid w:val="000B2BBC"/>
    <w:rsid w:val="000B2F22"/>
    <w:rsid w:val="000B3164"/>
    <w:rsid w:val="000B3287"/>
    <w:rsid w:val="000B32FC"/>
    <w:rsid w:val="000B3383"/>
    <w:rsid w:val="000B341D"/>
    <w:rsid w:val="000B3594"/>
    <w:rsid w:val="000B36B3"/>
    <w:rsid w:val="000B36E2"/>
    <w:rsid w:val="000B36F5"/>
    <w:rsid w:val="000B3784"/>
    <w:rsid w:val="000B38C1"/>
    <w:rsid w:val="000B3AD6"/>
    <w:rsid w:val="000B3B21"/>
    <w:rsid w:val="000B3C34"/>
    <w:rsid w:val="000B3EB9"/>
    <w:rsid w:val="000B4154"/>
    <w:rsid w:val="000B4179"/>
    <w:rsid w:val="000B41EE"/>
    <w:rsid w:val="000B426C"/>
    <w:rsid w:val="000B43CA"/>
    <w:rsid w:val="000B4820"/>
    <w:rsid w:val="000B482C"/>
    <w:rsid w:val="000B492C"/>
    <w:rsid w:val="000B4B3B"/>
    <w:rsid w:val="000B4FAC"/>
    <w:rsid w:val="000B5064"/>
    <w:rsid w:val="000B50B1"/>
    <w:rsid w:val="000B5384"/>
    <w:rsid w:val="000B54B5"/>
    <w:rsid w:val="000B54BD"/>
    <w:rsid w:val="000B54F6"/>
    <w:rsid w:val="000B5618"/>
    <w:rsid w:val="000B56F5"/>
    <w:rsid w:val="000B5933"/>
    <w:rsid w:val="000B5962"/>
    <w:rsid w:val="000B5995"/>
    <w:rsid w:val="000B5C81"/>
    <w:rsid w:val="000B5D1E"/>
    <w:rsid w:val="000B5D2D"/>
    <w:rsid w:val="000B6025"/>
    <w:rsid w:val="000B6374"/>
    <w:rsid w:val="000B65F3"/>
    <w:rsid w:val="000B66E9"/>
    <w:rsid w:val="000B6751"/>
    <w:rsid w:val="000B6782"/>
    <w:rsid w:val="000B67A3"/>
    <w:rsid w:val="000B67E1"/>
    <w:rsid w:val="000B67E8"/>
    <w:rsid w:val="000B69DB"/>
    <w:rsid w:val="000B6A8F"/>
    <w:rsid w:val="000B6AC7"/>
    <w:rsid w:val="000B6BB6"/>
    <w:rsid w:val="000B6BBE"/>
    <w:rsid w:val="000B6C7E"/>
    <w:rsid w:val="000B6D58"/>
    <w:rsid w:val="000B6D77"/>
    <w:rsid w:val="000B6F75"/>
    <w:rsid w:val="000B6FA9"/>
    <w:rsid w:val="000B712F"/>
    <w:rsid w:val="000B71C1"/>
    <w:rsid w:val="000B749B"/>
    <w:rsid w:val="000B74B9"/>
    <w:rsid w:val="000B77EC"/>
    <w:rsid w:val="000B7809"/>
    <w:rsid w:val="000B7925"/>
    <w:rsid w:val="000B79A3"/>
    <w:rsid w:val="000B7B46"/>
    <w:rsid w:val="000B7E29"/>
    <w:rsid w:val="000B7F4B"/>
    <w:rsid w:val="000C0199"/>
    <w:rsid w:val="000C01A2"/>
    <w:rsid w:val="000C04C8"/>
    <w:rsid w:val="000C0508"/>
    <w:rsid w:val="000C075B"/>
    <w:rsid w:val="000C0802"/>
    <w:rsid w:val="000C0807"/>
    <w:rsid w:val="000C0811"/>
    <w:rsid w:val="000C09AB"/>
    <w:rsid w:val="000C09FD"/>
    <w:rsid w:val="000C0AE9"/>
    <w:rsid w:val="000C0AFF"/>
    <w:rsid w:val="000C0BDC"/>
    <w:rsid w:val="000C0BF9"/>
    <w:rsid w:val="000C0D5F"/>
    <w:rsid w:val="000C0F81"/>
    <w:rsid w:val="000C0F97"/>
    <w:rsid w:val="000C115B"/>
    <w:rsid w:val="000C11AC"/>
    <w:rsid w:val="000C126C"/>
    <w:rsid w:val="000C1595"/>
    <w:rsid w:val="000C181B"/>
    <w:rsid w:val="000C1880"/>
    <w:rsid w:val="000C192C"/>
    <w:rsid w:val="000C19B0"/>
    <w:rsid w:val="000C1AF8"/>
    <w:rsid w:val="000C1BBD"/>
    <w:rsid w:val="000C1BC9"/>
    <w:rsid w:val="000C1CC4"/>
    <w:rsid w:val="000C1CC8"/>
    <w:rsid w:val="000C1F57"/>
    <w:rsid w:val="000C1F96"/>
    <w:rsid w:val="000C208A"/>
    <w:rsid w:val="000C218E"/>
    <w:rsid w:val="000C21B7"/>
    <w:rsid w:val="000C21FE"/>
    <w:rsid w:val="000C2537"/>
    <w:rsid w:val="000C25D2"/>
    <w:rsid w:val="000C26A3"/>
    <w:rsid w:val="000C27CB"/>
    <w:rsid w:val="000C2A1C"/>
    <w:rsid w:val="000C2B9F"/>
    <w:rsid w:val="000C2BB4"/>
    <w:rsid w:val="000C2BE4"/>
    <w:rsid w:val="000C2BFD"/>
    <w:rsid w:val="000C2C02"/>
    <w:rsid w:val="000C2C74"/>
    <w:rsid w:val="000C2C9F"/>
    <w:rsid w:val="000C2DC6"/>
    <w:rsid w:val="000C2DED"/>
    <w:rsid w:val="000C2FD6"/>
    <w:rsid w:val="000C326C"/>
    <w:rsid w:val="000C3345"/>
    <w:rsid w:val="000C370E"/>
    <w:rsid w:val="000C373D"/>
    <w:rsid w:val="000C37BC"/>
    <w:rsid w:val="000C3810"/>
    <w:rsid w:val="000C385F"/>
    <w:rsid w:val="000C3A22"/>
    <w:rsid w:val="000C3C16"/>
    <w:rsid w:val="000C3C6B"/>
    <w:rsid w:val="000C3DB1"/>
    <w:rsid w:val="000C3DCB"/>
    <w:rsid w:val="000C3E29"/>
    <w:rsid w:val="000C3EC6"/>
    <w:rsid w:val="000C3F30"/>
    <w:rsid w:val="000C3FF2"/>
    <w:rsid w:val="000C4037"/>
    <w:rsid w:val="000C40F2"/>
    <w:rsid w:val="000C4188"/>
    <w:rsid w:val="000C42B7"/>
    <w:rsid w:val="000C435F"/>
    <w:rsid w:val="000C4441"/>
    <w:rsid w:val="000C453E"/>
    <w:rsid w:val="000C4609"/>
    <w:rsid w:val="000C462C"/>
    <w:rsid w:val="000C4A1F"/>
    <w:rsid w:val="000C4A80"/>
    <w:rsid w:val="000C4E5D"/>
    <w:rsid w:val="000C4F75"/>
    <w:rsid w:val="000C4F8F"/>
    <w:rsid w:val="000C4FBC"/>
    <w:rsid w:val="000C5013"/>
    <w:rsid w:val="000C50AE"/>
    <w:rsid w:val="000C51A6"/>
    <w:rsid w:val="000C51E3"/>
    <w:rsid w:val="000C5431"/>
    <w:rsid w:val="000C5443"/>
    <w:rsid w:val="000C5482"/>
    <w:rsid w:val="000C5531"/>
    <w:rsid w:val="000C5661"/>
    <w:rsid w:val="000C56D4"/>
    <w:rsid w:val="000C57E4"/>
    <w:rsid w:val="000C5A97"/>
    <w:rsid w:val="000C5DE3"/>
    <w:rsid w:val="000C5EE9"/>
    <w:rsid w:val="000C624E"/>
    <w:rsid w:val="000C626B"/>
    <w:rsid w:val="000C655A"/>
    <w:rsid w:val="000C66AD"/>
    <w:rsid w:val="000C6937"/>
    <w:rsid w:val="000C6984"/>
    <w:rsid w:val="000C6A0C"/>
    <w:rsid w:val="000C6C0C"/>
    <w:rsid w:val="000C6F2F"/>
    <w:rsid w:val="000C6F77"/>
    <w:rsid w:val="000C6FD1"/>
    <w:rsid w:val="000C7442"/>
    <w:rsid w:val="000C7483"/>
    <w:rsid w:val="000C7625"/>
    <w:rsid w:val="000C77A0"/>
    <w:rsid w:val="000C78F6"/>
    <w:rsid w:val="000C79D3"/>
    <w:rsid w:val="000C7A6A"/>
    <w:rsid w:val="000C7A8F"/>
    <w:rsid w:val="000C7C38"/>
    <w:rsid w:val="000C7C58"/>
    <w:rsid w:val="000C7E8A"/>
    <w:rsid w:val="000C7ED7"/>
    <w:rsid w:val="000D0118"/>
    <w:rsid w:val="000D011A"/>
    <w:rsid w:val="000D01C5"/>
    <w:rsid w:val="000D02EA"/>
    <w:rsid w:val="000D0467"/>
    <w:rsid w:val="000D0504"/>
    <w:rsid w:val="000D0582"/>
    <w:rsid w:val="000D071C"/>
    <w:rsid w:val="000D08E0"/>
    <w:rsid w:val="000D090E"/>
    <w:rsid w:val="000D09FF"/>
    <w:rsid w:val="000D0A8F"/>
    <w:rsid w:val="000D0B52"/>
    <w:rsid w:val="000D0B90"/>
    <w:rsid w:val="000D0C16"/>
    <w:rsid w:val="000D0C35"/>
    <w:rsid w:val="000D0D64"/>
    <w:rsid w:val="000D13E4"/>
    <w:rsid w:val="000D15FE"/>
    <w:rsid w:val="000D17F9"/>
    <w:rsid w:val="000D186F"/>
    <w:rsid w:val="000D1960"/>
    <w:rsid w:val="000D1A62"/>
    <w:rsid w:val="000D1C59"/>
    <w:rsid w:val="000D1DA8"/>
    <w:rsid w:val="000D1FB9"/>
    <w:rsid w:val="000D2003"/>
    <w:rsid w:val="000D2062"/>
    <w:rsid w:val="000D2064"/>
    <w:rsid w:val="000D214D"/>
    <w:rsid w:val="000D2168"/>
    <w:rsid w:val="000D22AB"/>
    <w:rsid w:val="000D22E8"/>
    <w:rsid w:val="000D2697"/>
    <w:rsid w:val="000D2737"/>
    <w:rsid w:val="000D27D0"/>
    <w:rsid w:val="000D27D6"/>
    <w:rsid w:val="000D2B03"/>
    <w:rsid w:val="000D2BD5"/>
    <w:rsid w:val="000D2BFB"/>
    <w:rsid w:val="000D2C4C"/>
    <w:rsid w:val="000D2F5B"/>
    <w:rsid w:val="000D3018"/>
    <w:rsid w:val="000D3084"/>
    <w:rsid w:val="000D361E"/>
    <w:rsid w:val="000D365B"/>
    <w:rsid w:val="000D3778"/>
    <w:rsid w:val="000D38A3"/>
    <w:rsid w:val="000D39A3"/>
    <w:rsid w:val="000D3D02"/>
    <w:rsid w:val="000D3E89"/>
    <w:rsid w:val="000D3F83"/>
    <w:rsid w:val="000D406A"/>
    <w:rsid w:val="000D40A0"/>
    <w:rsid w:val="000D40D6"/>
    <w:rsid w:val="000D40EA"/>
    <w:rsid w:val="000D40F0"/>
    <w:rsid w:val="000D4100"/>
    <w:rsid w:val="000D412B"/>
    <w:rsid w:val="000D426A"/>
    <w:rsid w:val="000D42EA"/>
    <w:rsid w:val="000D4749"/>
    <w:rsid w:val="000D4852"/>
    <w:rsid w:val="000D48F9"/>
    <w:rsid w:val="000D49BE"/>
    <w:rsid w:val="000D4CE5"/>
    <w:rsid w:val="000D4D82"/>
    <w:rsid w:val="000D539A"/>
    <w:rsid w:val="000D53F7"/>
    <w:rsid w:val="000D5467"/>
    <w:rsid w:val="000D54FD"/>
    <w:rsid w:val="000D55DC"/>
    <w:rsid w:val="000D5749"/>
    <w:rsid w:val="000D5757"/>
    <w:rsid w:val="000D57DB"/>
    <w:rsid w:val="000D5848"/>
    <w:rsid w:val="000D58A1"/>
    <w:rsid w:val="000D5AA7"/>
    <w:rsid w:val="000D5EB6"/>
    <w:rsid w:val="000D5FE5"/>
    <w:rsid w:val="000D6039"/>
    <w:rsid w:val="000D611F"/>
    <w:rsid w:val="000D61A6"/>
    <w:rsid w:val="000D6404"/>
    <w:rsid w:val="000D6493"/>
    <w:rsid w:val="000D64BC"/>
    <w:rsid w:val="000D6592"/>
    <w:rsid w:val="000D65B4"/>
    <w:rsid w:val="000D65F8"/>
    <w:rsid w:val="000D66CF"/>
    <w:rsid w:val="000D6748"/>
    <w:rsid w:val="000D6850"/>
    <w:rsid w:val="000D6A33"/>
    <w:rsid w:val="000D6B1E"/>
    <w:rsid w:val="000D6BE9"/>
    <w:rsid w:val="000D6CEB"/>
    <w:rsid w:val="000D6E4E"/>
    <w:rsid w:val="000D6F23"/>
    <w:rsid w:val="000D6F74"/>
    <w:rsid w:val="000D705D"/>
    <w:rsid w:val="000D708E"/>
    <w:rsid w:val="000D7111"/>
    <w:rsid w:val="000D7269"/>
    <w:rsid w:val="000D731D"/>
    <w:rsid w:val="000D741F"/>
    <w:rsid w:val="000D7583"/>
    <w:rsid w:val="000D77EE"/>
    <w:rsid w:val="000D7830"/>
    <w:rsid w:val="000D789B"/>
    <w:rsid w:val="000D7BE2"/>
    <w:rsid w:val="000D7BF4"/>
    <w:rsid w:val="000D7EAE"/>
    <w:rsid w:val="000E007B"/>
    <w:rsid w:val="000E00A5"/>
    <w:rsid w:val="000E06DF"/>
    <w:rsid w:val="000E0A22"/>
    <w:rsid w:val="000E0D3E"/>
    <w:rsid w:val="000E0DA4"/>
    <w:rsid w:val="000E0E96"/>
    <w:rsid w:val="000E0EA6"/>
    <w:rsid w:val="000E0F2D"/>
    <w:rsid w:val="000E0F56"/>
    <w:rsid w:val="000E1009"/>
    <w:rsid w:val="000E1046"/>
    <w:rsid w:val="000E1067"/>
    <w:rsid w:val="000E1277"/>
    <w:rsid w:val="000E1375"/>
    <w:rsid w:val="000E1486"/>
    <w:rsid w:val="000E1592"/>
    <w:rsid w:val="000E16D3"/>
    <w:rsid w:val="000E1C27"/>
    <w:rsid w:val="000E1E07"/>
    <w:rsid w:val="000E1FBF"/>
    <w:rsid w:val="000E2162"/>
    <w:rsid w:val="000E21D4"/>
    <w:rsid w:val="000E21E3"/>
    <w:rsid w:val="000E23A1"/>
    <w:rsid w:val="000E2756"/>
    <w:rsid w:val="000E27E1"/>
    <w:rsid w:val="000E280E"/>
    <w:rsid w:val="000E2824"/>
    <w:rsid w:val="000E28A2"/>
    <w:rsid w:val="000E298C"/>
    <w:rsid w:val="000E2C55"/>
    <w:rsid w:val="000E2C86"/>
    <w:rsid w:val="000E31A9"/>
    <w:rsid w:val="000E32BF"/>
    <w:rsid w:val="000E3393"/>
    <w:rsid w:val="000E33D5"/>
    <w:rsid w:val="000E340C"/>
    <w:rsid w:val="000E352C"/>
    <w:rsid w:val="000E361D"/>
    <w:rsid w:val="000E36B4"/>
    <w:rsid w:val="000E3A53"/>
    <w:rsid w:val="000E3A66"/>
    <w:rsid w:val="000E3D32"/>
    <w:rsid w:val="000E3E9F"/>
    <w:rsid w:val="000E4184"/>
    <w:rsid w:val="000E41B0"/>
    <w:rsid w:val="000E4347"/>
    <w:rsid w:val="000E4366"/>
    <w:rsid w:val="000E4628"/>
    <w:rsid w:val="000E465A"/>
    <w:rsid w:val="000E4894"/>
    <w:rsid w:val="000E4985"/>
    <w:rsid w:val="000E4ACF"/>
    <w:rsid w:val="000E4B12"/>
    <w:rsid w:val="000E4BCB"/>
    <w:rsid w:val="000E4D4F"/>
    <w:rsid w:val="000E4D8E"/>
    <w:rsid w:val="000E4E8C"/>
    <w:rsid w:val="000E4F54"/>
    <w:rsid w:val="000E5053"/>
    <w:rsid w:val="000E539E"/>
    <w:rsid w:val="000E5566"/>
    <w:rsid w:val="000E567B"/>
    <w:rsid w:val="000E577A"/>
    <w:rsid w:val="000E57D1"/>
    <w:rsid w:val="000E5A20"/>
    <w:rsid w:val="000E5A61"/>
    <w:rsid w:val="000E5B05"/>
    <w:rsid w:val="000E5BA7"/>
    <w:rsid w:val="000E5C67"/>
    <w:rsid w:val="000E5F14"/>
    <w:rsid w:val="000E5F4A"/>
    <w:rsid w:val="000E60D1"/>
    <w:rsid w:val="000E60F5"/>
    <w:rsid w:val="000E611D"/>
    <w:rsid w:val="000E6385"/>
    <w:rsid w:val="000E6476"/>
    <w:rsid w:val="000E64AE"/>
    <w:rsid w:val="000E664F"/>
    <w:rsid w:val="000E6882"/>
    <w:rsid w:val="000E6955"/>
    <w:rsid w:val="000E6A62"/>
    <w:rsid w:val="000E6B23"/>
    <w:rsid w:val="000E6B49"/>
    <w:rsid w:val="000E6C49"/>
    <w:rsid w:val="000E6FBD"/>
    <w:rsid w:val="000E7286"/>
    <w:rsid w:val="000E72BB"/>
    <w:rsid w:val="000E732F"/>
    <w:rsid w:val="000E73B6"/>
    <w:rsid w:val="000E740D"/>
    <w:rsid w:val="000E742E"/>
    <w:rsid w:val="000E753F"/>
    <w:rsid w:val="000E7839"/>
    <w:rsid w:val="000E7868"/>
    <w:rsid w:val="000E7ACB"/>
    <w:rsid w:val="000E7ACC"/>
    <w:rsid w:val="000E7CB1"/>
    <w:rsid w:val="000E7CC8"/>
    <w:rsid w:val="000E7E1F"/>
    <w:rsid w:val="000E7E5D"/>
    <w:rsid w:val="000E7F5D"/>
    <w:rsid w:val="000F013B"/>
    <w:rsid w:val="000F02B8"/>
    <w:rsid w:val="000F033A"/>
    <w:rsid w:val="000F03EB"/>
    <w:rsid w:val="000F04CF"/>
    <w:rsid w:val="000F0657"/>
    <w:rsid w:val="000F06CF"/>
    <w:rsid w:val="000F0751"/>
    <w:rsid w:val="000F076A"/>
    <w:rsid w:val="000F082B"/>
    <w:rsid w:val="000F0A9F"/>
    <w:rsid w:val="000F0B8E"/>
    <w:rsid w:val="000F0C95"/>
    <w:rsid w:val="000F0FA6"/>
    <w:rsid w:val="000F1179"/>
    <w:rsid w:val="000F11C4"/>
    <w:rsid w:val="000F11E3"/>
    <w:rsid w:val="000F11F1"/>
    <w:rsid w:val="000F1422"/>
    <w:rsid w:val="000F1470"/>
    <w:rsid w:val="000F178D"/>
    <w:rsid w:val="000F1ABC"/>
    <w:rsid w:val="000F1C81"/>
    <w:rsid w:val="000F1EAC"/>
    <w:rsid w:val="000F1F77"/>
    <w:rsid w:val="000F202F"/>
    <w:rsid w:val="000F219B"/>
    <w:rsid w:val="000F22EF"/>
    <w:rsid w:val="000F2594"/>
    <w:rsid w:val="000F25D4"/>
    <w:rsid w:val="000F26E1"/>
    <w:rsid w:val="000F29AA"/>
    <w:rsid w:val="000F2BE8"/>
    <w:rsid w:val="000F2C26"/>
    <w:rsid w:val="000F2CE6"/>
    <w:rsid w:val="000F2DEE"/>
    <w:rsid w:val="000F30B0"/>
    <w:rsid w:val="000F31C0"/>
    <w:rsid w:val="000F3255"/>
    <w:rsid w:val="000F32E0"/>
    <w:rsid w:val="000F33EA"/>
    <w:rsid w:val="000F3442"/>
    <w:rsid w:val="000F34B7"/>
    <w:rsid w:val="000F3515"/>
    <w:rsid w:val="000F3622"/>
    <w:rsid w:val="000F3643"/>
    <w:rsid w:val="000F375D"/>
    <w:rsid w:val="000F3771"/>
    <w:rsid w:val="000F38BE"/>
    <w:rsid w:val="000F3927"/>
    <w:rsid w:val="000F399E"/>
    <w:rsid w:val="000F39AF"/>
    <w:rsid w:val="000F3AB4"/>
    <w:rsid w:val="000F3B82"/>
    <w:rsid w:val="000F3BB1"/>
    <w:rsid w:val="000F3CC9"/>
    <w:rsid w:val="000F3D5E"/>
    <w:rsid w:val="000F3E46"/>
    <w:rsid w:val="000F3FC4"/>
    <w:rsid w:val="000F40A3"/>
    <w:rsid w:val="000F40B3"/>
    <w:rsid w:val="000F40F8"/>
    <w:rsid w:val="000F41A8"/>
    <w:rsid w:val="000F42CA"/>
    <w:rsid w:val="000F42E9"/>
    <w:rsid w:val="000F45EE"/>
    <w:rsid w:val="000F45FC"/>
    <w:rsid w:val="000F4621"/>
    <w:rsid w:val="000F474D"/>
    <w:rsid w:val="000F4870"/>
    <w:rsid w:val="000F48F8"/>
    <w:rsid w:val="000F491E"/>
    <w:rsid w:val="000F4A86"/>
    <w:rsid w:val="000F4ABD"/>
    <w:rsid w:val="000F4AE2"/>
    <w:rsid w:val="000F4C15"/>
    <w:rsid w:val="000F4D9B"/>
    <w:rsid w:val="000F4E9A"/>
    <w:rsid w:val="000F50BD"/>
    <w:rsid w:val="000F515C"/>
    <w:rsid w:val="000F5268"/>
    <w:rsid w:val="000F54B3"/>
    <w:rsid w:val="000F555C"/>
    <w:rsid w:val="000F55AF"/>
    <w:rsid w:val="000F5733"/>
    <w:rsid w:val="000F59F9"/>
    <w:rsid w:val="000F5A0B"/>
    <w:rsid w:val="000F5C62"/>
    <w:rsid w:val="000F5C70"/>
    <w:rsid w:val="000F5D19"/>
    <w:rsid w:val="000F5E0E"/>
    <w:rsid w:val="000F5E28"/>
    <w:rsid w:val="000F5E36"/>
    <w:rsid w:val="000F6036"/>
    <w:rsid w:val="000F605E"/>
    <w:rsid w:val="000F6201"/>
    <w:rsid w:val="000F621D"/>
    <w:rsid w:val="000F6383"/>
    <w:rsid w:val="000F6790"/>
    <w:rsid w:val="000F6904"/>
    <w:rsid w:val="000F69A7"/>
    <w:rsid w:val="000F6C72"/>
    <w:rsid w:val="000F6D09"/>
    <w:rsid w:val="000F71CC"/>
    <w:rsid w:val="000F75CE"/>
    <w:rsid w:val="000F77E4"/>
    <w:rsid w:val="000F78E2"/>
    <w:rsid w:val="000F7ACF"/>
    <w:rsid w:val="000F7AFE"/>
    <w:rsid w:val="000F7C4C"/>
    <w:rsid w:val="000F7D3E"/>
    <w:rsid w:val="000F7F03"/>
    <w:rsid w:val="000F7FC0"/>
    <w:rsid w:val="000F7FF1"/>
    <w:rsid w:val="001000F1"/>
    <w:rsid w:val="0010012B"/>
    <w:rsid w:val="0010013C"/>
    <w:rsid w:val="00100237"/>
    <w:rsid w:val="001003A1"/>
    <w:rsid w:val="00100472"/>
    <w:rsid w:val="001004CA"/>
    <w:rsid w:val="001004FB"/>
    <w:rsid w:val="001006AF"/>
    <w:rsid w:val="00100709"/>
    <w:rsid w:val="001007AC"/>
    <w:rsid w:val="0010082B"/>
    <w:rsid w:val="00100836"/>
    <w:rsid w:val="00100843"/>
    <w:rsid w:val="0010087B"/>
    <w:rsid w:val="00100AC3"/>
    <w:rsid w:val="00100AF5"/>
    <w:rsid w:val="00100D2F"/>
    <w:rsid w:val="00100D5B"/>
    <w:rsid w:val="00100D6D"/>
    <w:rsid w:val="00100D78"/>
    <w:rsid w:val="001012D4"/>
    <w:rsid w:val="001014D1"/>
    <w:rsid w:val="0010161D"/>
    <w:rsid w:val="0010197C"/>
    <w:rsid w:val="00101989"/>
    <w:rsid w:val="0010199F"/>
    <w:rsid w:val="00102062"/>
    <w:rsid w:val="0010207D"/>
    <w:rsid w:val="0010216E"/>
    <w:rsid w:val="001024FC"/>
    <w:rsid w:val="0010250C"/>
    <w:rsid w:val="00102510"/>
    <w:rsid w:val="0010268D"/>
    <w:rsid w:val="001026DB"/>
    <w:rsid w:val="001026F4"/>
    <w:rsid w:val="00102BAB"/>
    <w:rsid w:val="00102C08"/>
    <w:rsid w:val="00102ED8"/>
    <w:rsid w:val="001030F3"/>
    <w:rsid w:val="001032E5"/>
    <w:rsid w:val="00103353"/>
    <w:rsid w:val="00103384"/>
    <w:rsid w:val="001033C1"/>
    <w:rsid w:val="001033C2"/>
    <w:rsid w:val="00103508"/>
    <w:rsid w:val="00103775"/>
    <w:rsid w:val="0010386C"/>
    <w:rsid w:val="00103954"/>
    <w:rsid w:val="00103AA1"/>
    <w:rsid w:val="00103B41"/>
    <w:rsid w:val="00103B72"/>
    <w:rsid w:val="00103D5D"/>
    <w:rsid w:val="001041B0"/>
    <w:rsid w:val="00104817"/>
    <w:rsid w:val="00104C84"/>
    <w:rsid w:val="00104CBE"/>
    <w:rsid w:val="00104D31"/>
    <w:rsid w:val="00104E53"/>
    <w:rsid w:val="00104F24"/>
    <w:rsid w:val="00104F53"/>
    <w:rsid w:val="00105019"/>
    <w:rsid w:val="0010519D"/>
    <w:rsid w:val="001052A9"/>
    <w:rsid w:val="001052D4"/>
    <w:rsid w:val="00105303"/>
    <w:rsid w:val="001054AD"/>
    <w:rsid w:val="001056F9"/>
    <w:rsid w:val="00105756"/>
    <w:rsid w:val="001057B0"/>
    <w:rsid w:val="00105891"/>
    <w:rsid w:val="00105C51"/>
    <w:rsid w:val="00105DD1"/>
    <w:rsid w:val="00105E83"/>
    <w:rsid w:val="00106128"/>
    <w:rsid w:val="001061D4"/>
    <w:rsid w:val="00106293"/>
    <w:rsid w:val="001062B4"/>
    <w:rsid w:val="001062B8"/>
    <w:rsid w:val="00106758"/>
    <w:rsid w:val="00106900"/>
    <w:rsid w:val="0010693B"/>
    <w:rsid w:val="001069AD"/>
    <w:rsid w:val="00106B76"/>
    <w:rsid w:val="00106C4B"/>
    <w:rsid w:val="00106C8B"/>
    <w:rsid w:val="00106D27"/>
    <w:rsid w:val="00106D49"/>
    <w:rsid w:val="00106D58"/>
    <w:rsid w:val="00106FEE"/>
    <w:rsid w:val="001075B5"/>
    <w:rsid w:val="00107621"/>
    <w:rsid w:val="0010776D"/>
    <w:rsid w:val="001077EC"/>
    <w:rsid w:val="001079B3"/>
    <w:rsid w:val="00107B43"/>
    <w:rsid w:val="00107CA7"/>
    <w:rsid w:val="00110247"/>
    <w:rsid w:val="00110280"/>
    <w:rsid w:val="00110374"/>
    <w:rsid w:val="00110425"/>
    <w:rsid w:val="001104F6"/>
    <w:rsid w:val="001104FA"/>
    <w:rsid w:val="00110669"/>
    <w:rsid w:val="001108D0"/>
    <w:rsid w:val="001109F0"/>
    <w:rsid w:val="00110A9D"/>
    <w:rsid w:val="00110CE3"/>
    <w:rsid w:val="00111068"/>
    <w:rsid w:val="00111116"/>
    <w:rsid w:val="001112B5"/>
    <w:rsid w:val="00111326"/>
    <w:rsid w:val="0011141A"/>
    <w:rsid w:val="0011150E"/>
    <w:rsid w:val="00111558"/>
    <w:rsid w:val="0011158C"/>
    <w:rsid w:val="00111806"/>
    <w:rsid w:val="00111929"/>
    <w:rsid w:val="00111A36"/>
    <w:rsid w:val="00111AE6"/>
    <w:rsid w:val="00111B24"/>
    <w:rsid w:val="00111EA3"/>
    <w:rsid w:val="00111EA9"/>
    <w:rsid w:val="00111EEA"/>
    <w:rsid w:val="00112214"/>
    <w:rsid w:val="0011223D"/>
    <w:rsid w:val="00112513"/>
    <w:rsid w:val="00112545"/>
    <w:rsid w:val="001125AD"/>
    <w:rsid w:val="001126F7"/>
    <w:rsid w:val="0011291E"/>
    <w:rsid w:val="00112DD4"/>
    <w:rsid w:val="00112E03"/>
    <w:rsid w:val="00112FCF"/>
    <w:rsid w:val="0011300D"/>
    <w:rsid w:val="00113034"/>
    <w:rsid w:val="001130A1"/>
    <w:rsid w:val="001130C0"/>
    <w:rsid w:val="0011316B"/>
    <w:rsid w:val="001131AB"/>
    <w:rsid w:val="001131CC"/>
    <w:rsid w:val="00113398"/>
    <w:rsid w:val="0011345A"/>
    <w:rsid w:val="001134C8"/>
    <w:rsid w:val="001135FD"/>
    <w:rsid w:val="00113866"/>
    <w:rsid w:val="00113878"/>
    <w:rsid w:val="0011395F"/>
    <w:rsid w:val="00113A2A"/>
    <w:rsid w:val="00113A58"/>
    <w:rsid w:val="00113AA8"/>
    <w:rsid w:val="00113C5D"/>
    <w:rsid w:val="00113DFD"/>
    <w:rsid w:val="00113E5B"/>
    <w:rsid w:val="00114012"/>
    <w:rsid w:val="00114174"/>
    <w:rsid w:val="00114184"/>
    <w:rsid w:val="0011428E"/>
    <w:rsid w:val="00114462"/>
    <w:rsid w:val="001145E9"/>
    <w:rsid w:val="00114701"/>
    <w:rsid w:val="00114743"/>
    <w:rsid w:val="001149D6"/>
    <w:rsid w:val="00114A2A"/>
    <w:rsid w:val="00114B4B"/>
    <w:rsid w:val="00114B70"/>
    <w:rsid w:val="00114BF2"/>
    <w:rsid w:val="00114BFB"/>
    <w:rsid w:val="00114F3B"/>
    <w:rsid w:val="00114F67"/>
    <w:rsid w:val="00114FFA"/>
    <w:rsid w:val="001150B4"/>
    <w:rsid w:val="00115127"/>
    <w:rsid w:val="0011556B"/>
    <w:rsid w:val="00115655"/>
    <w:rsid w:val="00115730"/>
    <w:rsid w:val="001159EB"/>
    <w:rsid w:val="00115AB5"/>
    <w:rsid w:val="00115B14"/>
    <w:rsid w:val="00115BA1"/>
    <w:rsid w:val="00115CC9"/>
    <w:rsid w:val="00115D2D"/>
    <w:rsid w:val="00115D31"/>
    <w:rsid w:val="00115E1D"/>
    <w:rsid w:val="00115EA8"/>
    <w:rsid w:val="00116378"/>
    <w:rsid w:val="001165B4"/>
    <w:rsid w:val="001166D7"/>
    <w:rsid w:val="0011674C"/>
    <w:rsid w:val="001167B5"/>
    <w:rsid w:val="001167FD"/>
    <w:rsid w:val="0011685E"/>
    <w:rsid w:val="00116AAD"/>
    <w:rsid w:val="00116AE9"/>
    <w:rsid w:val="00116C4B"/>
    <w:rsid w:val="00116D2A"/>
    <w:rsid w:val="001170DA"/>
    <w:rsid w:val="00117226"/>
    <w:rsid w:val="001175B9"/>
    <w:rsid w:val="001177AF"/>
    <w:rsid w:val="00117A2B"/>
    <w:rsid w:val="00117B93"/>
    <w:rsid w:val="00117C12"/>
    <w:rsid w:val="00117C2F"/>
    <w:rsid w:val="00117DA2"/>
    <w:rsid w:val="00117EF4"/>
    <w:rsid w:val="00117F01"/>
    <w:rsid w:val="00117FAE"/>
    <w:rsid w:val="0012005F"/>
    <w:rsid w:val="001201D8"/>
    <w:rsid w:val="00120249"/>
    <w:rsid w:val="00120264"/>
    <w:rsid w:val="00120341"/>
    <w:rsid w:val="001203FA"/>
    <w:rsid w:val="001204B6"/>
    <w:rsid w:val="00120557"/>
    <w:rsid w:val="001205E8"/>
    <w:rsid w:val="001206D0"/>
    <w:rsid w:val="0012086E"/>
    <w:rsid w:val="00120891"/>
    <w:rsid w:val="001208A9"/>
    <w:rsid w:val="00120EEA"/>
    <w:rsid w:val="00120FD1"/>
    <w:rsid w:val="0012121E"/>
    <w:rsid w:val="001212A3"/>
    <w:rsid w:val="0012149C"/>
    <w:rsid w:val="0012171D"/>
    <w:rsid w:val="001217D0"/>
    <w:rsid w:val="00121880"/>
    <w:rsid w:val="00121D55"/>
    <w:rsid w:val="00121E23"/>
    <w:rsid w:val="00122392"/>
    <w:rsid w:val="00122431"/>
    <w:rsid w:val="00122479"/>
    <w:rsid w:val="0012253E"/>
    <w:rsid w:val="00122609"/>
    <w:rsid w:val="00122634"/>
    <w:rsid w:val="0012271A"/>
    <w:rsid w:val="00122792"/>
    <w:rsid w:val="0012286D"/>
    <w:rsid w:val="00122914"/>
    <w:rsid w:val="00122964"/>
    <w:rsid w:val="00122A3F"/>
    <w:rsid w:val="00122C0B"/>
    <w:rsid w:val="00122D46"/>
    <w:rsid w:val="00122E74"/>
    <w:rsid w:val="00123384"/>
    <w:rsid w:val="001233FD"/>
    <w:rsid w:val="001236B2"/>
    <w:rsid w:val="001236DE"/>
    <w:rsid w:val="00123728"/>
    <w:rsid w:val="00123729"/>
    <w:rsid w:val="0012375A"/>
    <w:rsid w:val="0012379F"/>
    <w:rsid w:val="00123CCE"/>
    <w:rsid w:val="00123CFB"/>
    <w:rsid w:val="00123DB6"/>
    <w:rsid w:val="0012406E"/>
    <w:rsid w:val="00124158"/>
    <w:rsid w:val="00124184"/>
    <w:rsid w:val="00124185"/>
    <w:rsid w:val="001241DD"/>
    <w:rsid w:val="001241EE"/>
    <w:rsid w:val="001246A2"/>
    <w:rsid w:val="001246B5"/>
    <w:rsid w:val="0012471F"/>
    <w:rsid w:val="00124B16"/>
    <w:rsid w:val="00124B6C"/>
    <w:rsid w:val="00124ECE"/>
    <w:rsid w:val="0012514E"/>
    <w:rsid w:val="001252B9"/>
    <w:rsid w:val="001253C7"/>
    <w:rsid w:val="00125572"/>
    <w:rsid w:val="001256C2"/>
    <w:rsid w:val="001257D4"/>
    <w:rsid w:val="0012588E"/>
    <w:rsid w:val="001259C9"/>
    <w:rsid w:val="00125C64"/>
    <w:rsid w:val="00125D60"/>
    <w:rsid w:val="00125D6D"/>
    <w:rsid w:val="00125ED5"/>
    <w:rsid w:val="0012630E"/>
    <w:rsid w:val="0012636E"/>
    <w:rsid w:val="00126391"/>
    <w:rsid w:val="00126763"/>
    <w:rsid w:val="00126804"/>
    <w:rsid w:val="00126827"/>
    <w:rsid w:val="0012697C"/>
    <w:rsid w:val="00126D90"/>
    <w:rsid w:val="00126EF9"/>
    <w:rsid w:val="00126F89"/>
    <w:rsid w:val="00127096"/>
    <w:rsid w:val="001271F1"/>
    <w:rsid w:val="001273A8"/>
    <w:rsid w:val="001273AA"/>
    <w:rsid w:val="00127677"/>
    <w:rsid w:val="0012773B"/>
    <w:rsid w:val="001277BA"/>
    <w:rsid w:val="00127967"/>
    <w:rsid w:val="00127C13"/>
    <w:rsid w:val="00127E55"/>
    <w:rsid w:val="00127FB1"/>
    <w:rsid w:val="00130025"/>
    <w:rsid w:val="00130052"/>
    <w:rsid w:val="001301AF"/>
    <w:rsid w:val="00130295"/>
    <w:rsid w:val="001302D1"/>
    <w:rsid w:val="001303ED"/>
    <w:rsid w:val="00130414"/>
    <w:rsid w:val="001304A2"/>
    <w:rsid w:val="001307D8"/>
    <w:rsid w:val="0013089C"/>
    <w:rsid w:val="00130C2D"/>
    <w:rsid w:val="00130CC8"/>
    <w:rsid w:val="00130E45"/>
    <w:rsid w:val="00131049"/>
    <w:rsid w:val="001311EA"/>
    <w:rsid w:val="001312DA"/>
    <w:rsid w:val="00131407"/>
    <w:rsid w:val="0013145A"/>
    <w:rsid w:val="001318DA"/>
    <w:rsid w:val="00131967"/>
    <w:rsid w:val="00131E79"/>
    <w:rsid w:val="001321FB"/>
    <w:rsid w:val="00132390"/>
    <w:rsid w:val="00132434"/>
    <w:rsid w:val="0013249F"/>
    <w:rsid w:val="001324B2"/>
    <w:rsid w:val="00132806"/>
    <w:rsid w:val="00132A7C"/>
    <w:rsid w:val="00132B03"/>
    <w:rsid w:val="00132B07"/>
    <w:rsid w:val="00132C9A"/>
    <w:rsid w:val="00132CFE"/>
    <w:rsid w:val="00132CFF"/>
    <w:rsid w:val="00132D29"/>
    <w:rsid w:val="00132DE7"/>
    <w:rsid w:val="00132E05"/>
    <w:rsid w:val="00132FCB"/>
    <w:rsid w:val="0013306D"/>
    <w:rsid w:val="0013308D"/>
    <w:rsid w:val="0013323A"/>
    <w:rsid w:val="0013325C"/>
    <w:rsid w:val="00133470"/>
    <w:rsid w:val="00133544"/>
    <w:rsid w:val="00133695"/>
    <w:rsid w:val="0013397E"/>
    <w:rsid w:val="00133AE8"/>
    <w:rsid w:val="00133AF1"/>
    <w:rsid w:val="00133BCF"/>
    <w:rsid w:val="00133BFC"/>
    <w:rsid w:val="00133D7A"/>
    <w:rsid w:val="00133DCA"/>
    <w:rsid w:val="00133E40"/>
    <w:rsid w:val="0013404A"/>
    <w:rsid w:val="001340FF"/>
    <w:rsid w:val="00134213"/>
    <w:rsid w:val="00134240"/>
    <w:rsid w:val="0013473D"/>
    <w:rsid w:val="00134B6C"/>
    <w:rsid w:val="00134CDB"/>
    <w:rsid w:val="00134E64"/>
    <w:rsid w:val="00135108"/>
    <w:rsid w:val="00135230"/>
    <w:rsid w:val="00135354"/>
    <w:rsid w:val="001353F0"/>
    <w:rsid w:val="00135922"/>
    <w:rsid w:val="00135950"/>
    <w:rsid w:val="0013598A"/>
    <w:rsid w:val="00135990"/>
    <w:rsid w:val="001359DB"/>
    <w:rsid w:val="00135A6B"/>
    <w:rsid w:val="00135DEB"/>
    <w:rsid w:val="00135E15"/>
    <w:rsid w:val="00136010"/>
    <w:rsid w:val="00136063"/>
    <w:rsid w:val="001360BC"/>
    <w:rsid w:val="001360F7"/>
    <w:rsid w:val="001361C0"/>
    <w:rsid w:val="00136243"/>
    <w:rsid w:val="0013624D"/>
    <w:rsid w:val="00136678"/>
    <w:rsid w:val="0013669F"/>
    <w:rsid w:val="00136A65"/>
    <w:rsid w:val="00136AB6"/>
    <w:rsid w:val="00136B3F"/>
    <w:rsid w:val="00136DE7"/>
    <w:rsid w:val="00136E9D"/>
    <w:rsid w:val="00136F6E"/>
    <w:rsid w:val="0013709E"/>
    <w:rsid w:val="0013719E"/>
    <w:rsid w:val="001371A5"/>
    <w:rsid w:val="001371D0"/>
    <w:rsid w:val="001371D2"/>
    <w:rsid w:val="001372DC"/>
    <w:rsid w:val="001373C7"/>
    <w:rsid w:val="00137474"/>
    <w:rsid w:val="001375CD"/>
    <w:rsid w:val="001375D5"/>
    <w:rsid w:val="001375F1"/>
    <w:rsid w:val="00137944"/>
    <w:rsid w:val="0013796C"/>
    <w:rsid w:val="001379BB"/>
    <w:rsid w:val="00137A02"/>
    <w:rsid w:val="00137D38"/>
    <w:rsid w:val="00137E7E"/>
    <w:rsid w:val="00137F1D"/>
    <w:rsid w:val="00137F66"/>
    <w:rsid w:val="00137F9B"/>
    <w:rsid w:val="00140009"/>
    <w:rsid w:val="00140033"/>
    <w:rsid w:val="001401D1"/>
    <w:rsid w:val="001403B4"/>
    <w:rsid w:val="0014060F"/>
    <w:rsid w:val="00140615"/>
    <w:rsid w:val="001407DC"/>
    <w:rsid w:val="00140B99"/>
    <w:rsid w:val="00141207"/>
    <w:rsid w:val="0014124B"/>
    <w:rsid w:val="0014137A"/>
    <w:rsid w:val="001414F2"/>
    <w:rsid w:val="0014162C"/>
    <w:rsid w:val="00141862"/>
    <w:rsid w:val="001418A6"/>
    <w:rsid w:val="001418E2"/>
    <w:rsid w:val="00141A16"/>
    <w:rsid w:val="00141B08"/>
    <w:rsid w:val="00141BA9"/>
    <w:rsid w:val="00141CEF"/>
    <w:rsid w:val="00141D78"/>
    <w:rsid w:val="00141E6B"/>
    <w:rsid w:val="00141ED8"/>
    <w:rsid w:val="00141F44"/>
    <w:rsid w:val="00141F78"/>
    <w:rsid w:val="00142095"/>
    <w:rsid w:val="0014221A"/>
    <w:rsid w:val="00142540"/>
    <w:rsid w:val="00142592"/>
    <w:rsid w:val="001426B5"/>
    <w:rsid w:val="00142BD9"/>
    <w:rsid w:val="00142ED6"/>
    <w:rsid w:val="00142FD0"/>
    <w:rsid w:val="0014317E"/>
    <w:rsid w:val="001432A9"/>
    <w:rsid w:val="00143346"/>
    <w:rsid w:val="0014345E"/>
    <w:rsid w:val="00143491"/>
    <w:rsid w:val="001434BE"/>
    <w:rsid w:val="001434E4"/>
    <w:rsid w:val="0014359B"/>
    <w:rsid w:val="0014368E"/>
    <w:rsid w:val="0014369E"/>
    <w:rsid w:val="001436A7"/>
    <w:rsid w:val="00143806"/>
    <w:rsid w:val="00143885"/>
    <w:rsid w:val="00143922"/>
    <w:rsid w:val="00143B01"/>
    <w:rsid w:val="00143B5E"/>
    <w:rsid w:val="00143C84"/>
    <w:rsid w:val="00143D6E"/>
    <w:rsid w:val="00143F1C"/>
    <w:rsid w:val="00143F63"/>
    <w:rsid w:val="00144001"/>
    <w:rsid w:val="001441CF"/>
    <w:rsid w:val="001442A3"/>
    <w:rsid w:val="0014456F"/>
    <w:rsid w:val="00144710"/>
    <w:rsid w:val="001448AE"/>
    <w:rsid w:val="001449A2"/>
    <w:rsid w:val="001449E2"/>
    <w:rsid w:val="00144A8B"/>
    <w:rsid w:val="00144C55"/>
    <w:rsid w:val="0014509C"/>
    <w:rsid w:val="00145204"/>
    <w:rsid w:val="0014523D"/>
    <w:rsid w:val="001452F5"/>
    <w:rsid w:val="00145432"/>
    <w:rsid w:val="00145455"/>
    <w:rsid w:val="0014549A"/>
    <w:rsid w:val="00145605"/>
    <w:rsid w:val="0014586A"/>
    <w:rsid w:val="00145BFC"/>
    <w:rsid w:val="00145C7E"/>
    <w:rsid w:val="00145CFC"/>
    <w:rsid w:val="00145E37"/>
    <w:rsid w:val="00145ED8"/>
    <w:rsid w:val="00145F8E"/>
    <w:rsid w:val="001463F5"/>
    <w:rsid w:val="001464F5"/>
    <w:rsid w:val="00146760"/>
    <w:rsid w:val="00146869"/>
    <w:rsid w:val="00146904"/>
    <w:rsid w:val="001469E7"/>
    <w:rsid w:val="00146C64"/>
    <w:rsid w:val="00146CA3"/>
    <w:rsid w:val="00146D07"/>
    <w:rsid w:val="00146D1D"/>
    <w:rsid w:val="00146E36"/>
    <w:rsid w:val="00146FB8"/>
    <w:rsid w:val="00147190"/>
    <w:rsid w:val="0014722E"/>
    <w:rsid w:val="00147421"/>
    <w:rsid w:val="001474A2"/>
    <w:rsid w:val="00147553"/>
    <w:rsid w:val="00147656"/>
    <w:rsid w:val="00147709"/>
    <w:rsid w:val="00147923"/>
    <w:rsid w:val="00147AE6"/>
    <w:rsid w:val="00147B00"/>
    <w:rsid w:val="00147C14"/>
    <w:rsid w:val="00147D4A"/>
    <w:rsid w:val="00147E03"/>
    <w:rsid w:val="00147F54"/>
    <w:rsid w:val="001501D3"/>
    <w:rsid w:val="0015029C"/>
    <w:rsid w:val="001503BB"/>
    <w:rsid w:val="001504B5"/>
    <w:rsid w:val="00150807"/>
    <w:rsid w:val="00150ACC"/>
    <w:rsid w:val="00150AF1"/>
    <w:rsid w:val="00150AF9"/>
    <w:rsid w:val="00150CF3"/>
    <w:rsid w:val="00150D17"/>
    <w:rsid w:val="00150DF6"/>
    <w:rsid w:val="00150F4C"/>
    <w:rsid w:val="001510FE"/>
    <w:rsid w:val="0015119E"/>
    <w:rsid w:val="00151539"/>
    <w:rsid w:val="00151648"/>
    <w:rsid w:val="001516D7"/>
    <w:rsid w:val="00151721"/>
    <w:rsid w:val="0015185F"/>
    <w:rsid w:val="001519A4"/>
    <w:rsid w:val="00151E0B"/>
    <w:rsid w:val="00151EEF"/>
    <w:rsid w:val="00151F9C"/>
    <w:rsid w:val="00152039"/>
    <w:rsid w:val="001520EA"/>
    <w:rsid w:val="0015231C"/>
    <w:rsid w:val="0015259B"/>
    <w:rsid w:val="001525E8"/>
    <w:rsid w:val="00152699"/>
    <w:rsid w:val="001527C6"/>
    <w:rsid w:val="0015281F"/>
    <w:rsid w:val="00152879"/>
    <w:rsid w:val="001529D8"/>
    <w:rsid w:val="00152A2E"/>
    <w:rsid w:val="00152A6C"/>
    <w:rsid w:val="00152ADD"/>
    <w:rsid w:val="00152D93"/>
    <w:rsid w:val="001531AC"/>
    <w:rsid w:val="00153467"/>
    <w:rsid w:val="0015346D"/>
    <w:rsid w:val="001536E4"/>
    <w:rsid w:val="00153935"/>
    <w:rsid w:val="00153968"/>
    <w:rsid w:val="00153A10"/>
    <w:rsid w:val="00153B2C"/>
    <w:rsid w:val="00153B54"/>
    <w:rsid w:val="00153C40"/>
    <w:rsid w:val="00154364"/>
    <w:rsid w:val="0015439A"/>
    <w:rsid w:val="001543E9"/>
    <w:rsid w:val="00154635"/>
    <w:rsid w:val="0015469C"/>
    <w:rsid w:val="00154843"/>
    <w:rsid w:val="00154906"/>
    <w:rsid w:val="00154A59"/>
    <w:rsid w:val="00154AAF"/>
    <w:rsid w:val="00154C5E"/>
    <w:rsid w:val="00154D4D"/>
    <w:rsid w:val="00154D8C"/>
    <w:rsid w:val="00154E1D"/>
    <w:rsid w:val="00154EC4"/>
    <w:rsid w:val="00154F6A"/>
    <w:rsid w:val="00154F76"/>
    <w:rsid w:val="00155075"/>
    <w:rsid w:val="0015509A"/>
    <w:rsid w:val="00155129"/>
    <w:rsid w:val="0015518E"/>
    <w:rsid w:val="00155195"/>
    <w:rsid w:val="00155361"/>
    <w:rsid w:val="0015558F"/>
    <w:rsid w:val="001556FB"/>
    <w:rsid w:val="0015589C"/>
    <w:rsid w:val="00155A32"/>
    <w:rsid w:val="00155B5F"/>
    <w:rsid w:val="00155CDA"/>
    <w:rsid w:val="00155DC9"/>
    <w:rsid w:val="00155E78"/>
    <w:rsid w:val="00155F15"/>
    <w:rsid w:val="00155FF9"/>
    <w:rsid w:val="0015612A"/>
    <w:rsid w:val="00156269"/>
    <w:rsid w:val="00156321"/>
    <w:rsid w:val="00156324"/>
    <w:rsid w:val="001563B2"/>
    <w:rsid w:val="0015655C"/>
    <w:rsid w:val="0015655F"/>
    <w:rsid w:val="001565C8"/>
    <w:rsid w:val="00156988"/>
    <w:rsid w:val="00156BA4"/>
    <w:rsid w:val="00156BBD"/>
    <w:rsid w:val="00156D5E"/>
    <w:rsid w:val="00156D8C"/>
    <w:rsid w:val="00156E0C"/>
    <w:rsid w:val="00156EC7"/>
    <w:rsid w:val="00156F53"/>
    <w:rsid w:val="00157011"/>
    <w:rsid w:val="00157099"/>
    <w:rsid w:val="001570D5"/>
    <w:rsid w:val="00157129"/>
    <w:rsid w:val="00157148"/>
    <w:rsid w:val="0015744E"/>
    <w:rsid w:val="001574CD"/>
    <w:rsid w:val="0015786C"/>
    <w:rsid w:val="00157D7D"/>
    <w:rsid w:val="00157D98"/>
    <w:rsid w:val="00157E1F"/>
    <w:rsid w:val="00157E7D"/>
    <w:rsid w:val="00157EB2"/>
    <w:rsid w:val="00157FAC"/>
    <w:rsid w:val="00160019"/>
    <w:rsid w:val="001600AC"/>
    <w:rsid w:val="001600E4"/>
    <w:rsid w:val="0016011E"/>
    <w:rsid w:val="00160180"/>
    <w:rsid w:val="001601E1"/>
    <w:rsid w:val="00160739"/>
    <w:rsid w:val="001607DE"/>
    <w:rsid w:val="00160844"/>
    <w:rsid w:val="00160A54"/>
    <w:rsid w:val="00160AF3"/>
    <w:rsid w:val="00160CD1"/>
    <w:rsid w:val="0016108C"/>
    <w:rsid w:val="001612E2"/>
    <w:rsid w:val="00161499"/>
    <w:rsid w:val="001614D3"/>
    <w:rsid w:val="00161526"/>
    <w:rsid w:val="00161762"/>
    <w:rsid w:val="00161854"/>
    <w:rsid w:val="001619B4"/>
    <w:rsid w:val="00161B4C"/>
    <w:rsid w:val="00161C10"/>
    <w:rsid w:val="00161EAE"/>
    <w:rsid w:val="00161F4B"/>
    <w:rsid w:val="00161FD9"/>
    <w:rsid w:val="00161FEB"/>
    <w:rsid w:val="0016200C"/>
    <w:rsid w:val="0016213D"/>
    <w:rsid w:val="0016226B"/>
    <w:rsid w:val="001628FA"/>
    <w:rsid w:val="0016293D"/>
    <w:rsid w:val="0016297F"/>
    <w:rsid w:val="00162A6C"/>
    <w:rsid w:val="00162B0E"/>
    <w:rsid w:val="00162B32"/>
    <w:rsid w:val="00162D44"/>
    <w:rsid w:val="0016304D"/>
    <w:rsid w:val="0016314C"/>
    <w:rsid w:val="0016315F"/>
    <w:rsid w:val="00163236"/>
    <w:rsid w:val="00163406"/>
    <w:rsid w:val="00163A6C"/>
    <w:rsid w:val="00163A7F"/>
    <w:rsid w:val="00163B07"/>
    <w:rsid w:val="00163D5A"/>
    <w:rsid w:val="00164191"/>
    <w:rsid w:val="001642EF"/>
    <w:rsid w:val="00164430"/>
    <w:rsid w:val="0016460E"/>
    <w:rsid w:val="001646C5"/>
    <w:rsid w:val="001648F4"/>
    <w:rsid w:val="0016491D"/>
    <w:rsid w:val="0016498E"/>
    <w:rsid w:val="00164A11"/>
    <w:rsid w:val="00164A2E"/>
    <w:rsid w:val="00164EC5"/>
    <w:rsid w:val="00164F18"/>
    <w:rsid w:val="00165088"/>
    <w:rsid w:val="0016508A"/>
    <w:rsid w:val="001653F7"/>
    <w:rsid w:val="00165660"/>
    <w:rsid w:val="00165664"/>
    <w:rsid w:val="0016566D"/>
    <w:rsid w:val="0016579B"/>
    <w:rsid w:val="001658CF"/>
    <w:rsid w:val="001659BE"/>
    <w:rsid w:val="00165C22"/>
    <w:rsid w:val="00165CA4"/>
    <w:rsid w:val="00165DDC"/>
    <w:rsid w:val="00165FB2"/>
    <w:rsid w:val="001660C8"/>
    <w:rsid w:val="00166248"/>
    <w:rsid w:val="001663DB"/>
    <w:rsid w:val="00166453"/>
    <w:rsid w:val="001669DD"/>
    <w:rsid w:val="00166A59"/>
    <w:rsid w:val="00166C54"/>
    <w:rsid w:val="00166C9F"/>
    <w:rsid w:val="00166D17"/>
    <w:rsid w:val="00166D93"/>
    <w:rsid w:val="00166DB6"/>
    <w:rsid w:val="00166F30"/>
    <w:rsid w:val="00166FB9"/>
    <w:rsid w:val="00167552"/>
    <w:rsid w:val="0016759B"/>
    <w:rsid w:val="0016759E"/>
    <w:rsid w:val="001676A4"/>
    <w:rsid w:val="001677F5"/>
    <w:rsid w:val="0016783D"/>
    <w:rsid w:val="00167AE9"/>
    <w:rsid w:val="00167CDF"/>
    <w:rsid w:val="00167E15"/>
    <w:rsid w:val="00167F28"/>
    <w:rsid w:val="00167F77"/>
    <w:rsid w:val="00167FDC"/>
    <w:rsid w:val="00170024"/>
    <w:rsid w:val="00170106"/>
    <w:rsid w:val="001701D7"/>
    <w:rsid w:val="00170577"/>
    <w:rsid w:val="001706D4"/>
    <w:rsid w:val="0017089E"/>
    <w:rsid w:val="00170962"/>
    <w:rsid w:val="00170ABF"/>
    <w:rsid w:val="00170BD5"/>
    <w:rsid w:val="00170F0F"/>
    <w:rsid w:val="00170FC6"/>
    <w:rsid w:val="00171002"/>
    <w:rsid w:val="00171069"/>
    <w:rsid w:val="00171235"/>
    <w:rsid w:val="0017152A"/>
    <w:rsid w:val="0017185E"/>
    <w:rsid w:val="00171955"/>
    <w:rsid w:val="00171993"/>
    <w:rsid w:val="00171A0F"/>
    <w:rsid w:val="00171A25"/>
    <w:rsid w:val="00171BD7"/>
    <w:rsid w:val="00171CA4"/>
    <w:rsid w:val="00171E28"/>
    <w:rsid w:val="0017226C"/>
    <w:rsid w:val="001723C7"/>
    <w:rsid w:val="00172480"/>
    <w:rsid w:val="001724BC"/>
    <w:rsid w:val="00172846"/>
    <w:rsid w:val="001729C2"/>
    <w:rsid w:val="00172C63"/>
    <w:rsid w:val="00172CEE"/>
    <w:rsid w:val="00172F4D"/>
    <w:rsid w:val="00172FD6"/>
    <w:rsid w:val="00173083"/>
    <w:rsid w:val="001730AA"/>
    <w:rsid w:val="001730D9"/>
    <w:rsid w:val="001731DF"/>
    <w:rsid w:val="001732C3"/>
    <w:rsid w:val="00173548"/>
    <w:rsid w:val="0017365C"/>
    <w:rsid w:val="00173670"/>
    <w:rsid w:val="001736C8"/>
    <w:rsid w:val="00173711"/>
    <w:rsid w:val="00173732"/>
    <w:rsid w:val="00173BD5"/>
    <w:rsid w:val="00173E84"/>
    <w:rsid w:val="00173F0C"/>
    <w:rsid w:val="001740AD"/>
    <w:rsid w:val="001740FD"/>
    <w:rsid w:val="00174155"/>
    <w:rsid w:val="00174179"/>
    <w:rsid w:val="00174441"/>
    <w:rsid w:val="00174478"/>
    <w:rsid w:val="001745E5"/>
    <w:rsid w:val="00174701"/>
    <w:rsid w:val="001747CC"/>
    <w:rsid w:val="001749CA"/>
    <w:rsid w:val="00174ABF"/>
    <w:rsid w:val="00174B53"/>
    <w:rsid w:val="00174BA3"/>
    <w:rsid w:val="00174C04"/>
    <w:rsid w:val="00174E0C"/>
    <w:rsid w:val="00174F72"/>
    <w:rsid w:val="001752DF"/>
    <w:rsid w:val="001752EA"/>
    <w:rsid w:val="00175371"/>
    <w:rsid w:val="001754BF"/>
    <w:rsid w:val="001754D1"/>
    <w:rsid w:val="0017566F"/>
    <w:rsid w:val="0017578D"/>
    <w:rsid w:val="00175816"/>
    <w:rsid w:val="00175930"/>
    <w:rsid w:val="00175956"/>
    <w:rsid w:val="00175A1D"/>
    <w:rsid w:val="00175AE9"/>
    <w:rsid w:val="00175BBC"/>
    <w:rsid w:val="00175BC4"/>
    <w:rsid w:val="00175D0C"/>
    <w:rsid w:val="00175DD5"/>
    <w:rsid w:val="00175E99"/>
    <w:rsid w:val="00175EE9"/>
    <w:rsid w:val="0017614B"/>
    <w:rsid w:val="001762F8"/>
    <w:rsid w:val="001765E7"/>
    <w:rsid w:val="001766B3"/>
    <w:rsid w:val="00176738"/>
    <w:rsid w:val="0017678D"/>
    <w:rsid w:val="00176AF8"/>
    <w:rsid w:val="00176B3C"/>
    <w:rsid w:val="00176C85"/>
    <w:rsid w:val="00176CA3"/>
    <w:rsid w:val="00176E2A"/>
    <w:rsid w:val="00176E4C"/>
    <w:rsid w:val="0017731E"/>
    <w:rsid w:val="0017736C"/>
    <w:rsid w:val="001773CA"/>
    <w:rsid w:val="00177492"/>
    <w:rsid w:val="001774FA"/>
    <w:rsid w:val="001775FD"/>
    <w:rsid w:val="00177726"/>
    <w:rsid w:val="00177A96"/>
    <w:rsid w:val="00177C8A"/>
    <w:rsid w:val="00177DB6"/>
    <w:rsid w:val="001802FD"/>
    <w:rsid w:val="001806E7"/>
    <w:rsid w:val="001808AB"/>
    <w:rsid w:val="00180DCB"/>
    <w:rsid w:val="00180EDF"/>
    <w:rsid w:val="00180FC7"/>
    <w:rsid w:val="0018132E"/>
    <w:rsid w:val="001813D0"/>
    <w:rsid w:val="00181612"/>
    <w:rsid w:val="00181835"/>
    <w:rsid w:val="0018188E"/>
    <w:rsid w:val="001818D9"/>
    <w:rsid w:val="001818F3"/>
    <w:rsid w:val="00181A5E"/>
    <w:rsid w:val="00181C38"/>
    <w:rsid w:val="00181C73"/>
    <w:rsid w:val="00181ED6"/>
    <w:rsid w:val="00181F77"/>
    <w:rsid w:val="00181FAC"/>
    <w:rsid w:val="0018204D"/>
    <w:rsid w:val="001822EE"/>
    <w:rsid w:val="001824C9"/>
    <w:rsid w:val="00182871"/>
    <w:rsid w:val="00182877"/>
    <w:rsid w:val="00182AF3"/>
    <w:rsid w:val="0018302D"/>
    <w:rsid w:val="00183077"/>
    <w:rsid w:val="0018349B"/>
    <w:rsid w:val="001834C0"/>
    <w:rsid w:val="0018357C"/>
    <w:rsid w:val="001836A3"/>
    <w:rsid w:val="00183724"/>
    <w:rsid w:val="0018378D"/>
    <w:rsid w:val="001837ED"/>
    <w:rsid w:val="001838D8"/>
    <w:rsid w:val="00183967"/>
    <w:rsid w:val="00183B81"/>
    <w:rsid w:val="00183C1A"/>
    <w:rsid w:val="00183DF9"/>
    <w:rsid w:val="00183ED0"/>
    <w:rsid w:val="00184004"/>
    <w:rsid w:val="00184030"/>
    <w:rsid w:val="0018408F"/>
    <w:rsid w:val="00184140"/>
    <w:rsid w:val="00184445"/>
    <w:rsid w:val="0018477E"/>
    <w:rsid w:val="00184883"/>
    <w:rsid w:val="001848E9"/>
    <w:rsid w:val="00184ADC"/>
    <w:rsid w:val="00184AFF"/>
    <w:rsid w:val="00184C98"/>
    <w:rsid w:val="00184D34"/>
    <w:rsid w:val="00184DB9"/>
    <w:rsid w:val="00184DF7"/>
    <w:rsid w:val="00184FFA"/>
    <w:rsid w:val="001850E1"/>
    <w:rsid w:val="001850EA"/>
    <w:rsid w:val="001851F3"/>
    <w:rsid w:val="0018523F"/>
    <w:rsid w:val="0018529B"/>
    <w:rsid w:val="001852EF"/>
    <w:rsid w:val="00185574"/>
    <w:rsid w:val="001855C4"/>
    <w:rsid w:val="00185839"/>
    <w:rsid w:val="00185942"/>
    <w:rsid w:val="001859E1"/>
    <w:rsid w:val="00185A82"/>
    <w:rsid w:val="00185BD5"/>
    <w:rsid w:val="00185D16"/>
    <w:rsid w:val="00185DA5"/>
    <w:rsid w:val="00185DD2"/>
    <w:rsid w:val="00185E25"/>
    <w:rsid w:val="00185E3A"/>
    <w:rsid w:val="00185FDC"/>
    <w:rsid w:val="00185FF3"/>
    <w:rsid w:val="00186057"/>
    <w:rsid w:val="0018631E"/>
    <w:rsid w:val="001863E7"/>
    <w:rsid w:val="001865C0"/>
    <w:rsid w:val="00186738"/>
    <w:rsid w:val="001868E9"/>
    <w:rsid w:val="00186902"/>
    <w:rsid w:val="00186B6F"/>
    <w:rsid w:val="00186CE0"/>
    <w:rsid w:val="00186D1F"/>
    <w:rsid w:val="00186D2E"/>
    <w:rsid w:val="00186E77"/>
    <w:rsid w:val="00186F13"/>
    <w:rsid w:val="00186F8C"/>
    <w:rsid w:val="00186FEB"/>
    <w:rsid w:val="0018707E"/>
    <w:rsid w:val="0018718C"/>
    <w:rsid w:val="001871AF"/>
    <w:rsid w:val="00187361"/>
    <w:rsid w:val="00187422"/>
    <w:rsid w:val="00187552"/>
    <w:rsid w:val="00187580"/>
    <w:rsid w:val="001877DE"/>
    <w:rsid w:val="00187800"/>
    <w:rsid w:val="001878B2"/>
    <w:rsid w:val="001878D3"/>
    <w:rsid w:val="00187BC2"/>
    <w:rsid w:val="00187BF3"/>
    <w:rsid w:val="00187C5B"/>
    <w:rsid w:val="00187FBA"/>
    <w:rsid w:val="00187FC4"/>
    <w:rsid w:val="00190029"/>
    <w:rsid w:val="001901AB"/>
    <w:rsid w:val="001901FF"/>
    <w:rsid w:val="0019023A"/>
    <w:rsid w:val="0019023D"/>
    <w:rsid w:val="0019027E"/>
    <w:rsid w:val="001902C9"/>
    <w:rsid w:val="00190481"/>
    <w:rsid w:val="00190748"/>
    <w:rsid w:val="001907BB"/>
    <w:rsid w:val="00190B65"/>
    <w:rsid w:val="00190F63"/>
    <w:rsid w:val="00190FF6"/>
    <w:rsid w:val="0019106F"/>
    <w:rsid w:val="001910F8"/>
    <w:rsid w:val="0019118E"/>
    <w:rsid w:val="001912BF"/>
    <w:rsid w:val="001912FD"/>
    <w:rsid w:val="001913FA"/>
    <w:rsid w:val="001915EA"/>
    <w:rsid w:val="0019160E"/>
    <w:rsid w:val="00191706"/>
    <w:rsid w:val="00191792"/>
    <w:rsid w:val="00191C27"/>
    <w:rsid w:val="001920E8"/>
    <w:rsid w:val="001920F8"/>
    <w:rsid w:val="001921D6"/>
    <w:rsid w:val="00192344"/>
    <w:rsid w:val="001924C1"/>
    <w:rsid w:val="00192508"/>
    <w:rsid w:val="001925A5"/>
    <w:rsid w:val="001926F2"/>
    <w:rsid w:val="00192837"/>
    <w:rsid w:val="00192907"/>
    <w:rsid w:val="00192915"/>
    <w:rsid w:val="00192BD2"/>
    <w:rsid w:val="00192BDC"/>
    <w:rsid w:val="00192DC7"/>
    <w:rsid w:val="00192E44"/>
    <w:rsid w:val="00192F69"/>
    <w:rsid w:val="00192FF9"/>
    <w:rsid w:val="00193198"/>
    <w:rsid w:val="00193303"/>
    <w:rsid w:val="00193835"/>
    <w:rsid w:val="00193D52"/>
    <w:rsid w:val="00193EB6"/>
    <w:rsid w:val="00193F1D"/>
    <w:rsid w:val="00193FD3"/>
    <w:rsid w:val="001941ED"/>
    <w:rsid w:val="0019432E"/>
    <w:rsid w:val="001943C2"/>
    <w:rsid w:val="0019448A"/>
    <w:rsid w:val="001945A2"/>
    <w:rsid w:val="00194774"/>
    <w:rsid w:val="001949BC"/>
    <w:rsid w:val="00194AA7"/>
    <w:rsid w:val="00194B80"/>
    <w:rsid w:val="00194EA8"/>
    <w:rsid w:val="00194EAB"/>
    <w:rsid w:val="00194F01"/>
    <w:rsid w:val="00194F42"/>
    <w:rsid w:val="00194F4E"/>
    <w:rsid w:val="00194FD1"/>
    <w:rsid w:val="0019509D"/>
    <w:rsid w:val="001950A1"/>
    <w:rsid w:val="0019521B"/>
    <w:rsid w:val="00195521"/>
    <w:rsid w:val="0019558B"/>
    <w:rsid w:val="00195591"/>
    <w:rsid w:val="001955C6"/>
    <w:rsid w:val="0019561B"/>
    <w:rsid w:val="00195636"/>
    <w:rsid w:val="00195666"/>
    <w:rsid w:val="0019566C"/>
    <w:rsid w:val="00195772"/>
    <w:rsid w:val="0019587C"/>
    <w:rsid w:val="001958FD"/>
    <w:rsid w:val="001959ED"/>
    <w:rsid w:val="00195D64"/>
    <w:rsid w:val="00195E5C"/>
    <w:rsid w:val="00195E65"/>
    <w:rsid w:val="00195FD5"/>
    <w:rsid w:val="00195FF8"/>
    <w:rsid w:val="0019603A"/>
    <w:rsid w:val="0019626D"/>
    <w:rsid w:val="001962FE"/>
    <w:rsid w:val="001963AF"/>
    <w:rsid w:val="0019642B"/>
    <w:rsid w:val="00196451"/>
    <w:rsid w:val="00196534"/>
    <w:rsid w:val="001965B7"/>
    <w:rsid w:val="001966CC"/>
    <w:rsid w:val="00196818"/>
    <w:rsid w:val="00196A02"/>
    <w:rsid w:val="00196AB7"/>
    <w:rsid w:val="00196BF2"/>
    <w:rsid w:val="00196C56"/>
    <w:rsid w:val="00196CF9"/>
    <w:rsid w:val="00196DB9"/>
    <w:rsid w:val="00196EA4"/>
    <w:rsid w:val="00196F82"/>
    <w:rsid w:val="0019747F"/>
    <w:rsid w:val="0019756B"/>
    <w:rsid w:val="00197610"/>
    <w:rsid w:val="00197757"/>
    <w:rsid w:val="00197762"/>
    <w:rsid w:val="001977F7"/>
    <w:rsid w:val="001979A5"/>
    <w:rsid w:val="00197B77"/>
    <w:rsid w:val="00197D49"/>
    <w:rsid w:val="00197DAC"/>
    <w:rsid w:val="00197DB2"/>
    <w:rsid w:val="001A01CA"/>
    <w:rsid w:val="001A02DD"/>
    <w:rsid w:val="001A0315"/>
    <w:rsid w:val="001A0364"/>
    <w:rsid w:val="001A03C1"/>
    <w:rsid w:val="001A0433"/>
    <w:rsid w:val="001A05EB"/>
    <w:rsid w:val="001A060F"/>
    <w:rsid w:val="001A0625"/>
    <w:rsid w:val="001A0673"/>
    <w:rsid w:val="001A0912"/>
    <w:rsid w:val="001A0927"/>
    <w:rsid w:val="001A0A84"/>
    <w:rsid w:val="001A0ABE"/>
    <w:rsid w:val="001A0BBA"/>
    <w:rsid w:val="001A0C93"/>
    <w:rsid w:val="001A0CAB"/>
    <w:rsid w:val="001A0F4F"/>
    <w:rsid w:val="001A1375"/>
    <w:rsid w:val="001A165D"/>
    <w:rsid w:val="001A17F2"/>
    <w:rsid w:val="001A18B6"/>
    <w:rsid w:val="001A18D6"/>
    <w:rsid w:val="001A18F4"/>
    <w:rsid w:val="001A1B32"/>
    <w:rsid w:val="001A1B77"/>
    <w:rsid w:val="001A1CF0"/>
    <w:rsid w:val="001A1D7B"/>
    <w:rsid w:val="001A1FE3"/>
    <w:rsid w:val="001A2113"/>
    <w:rsid w:val="001A21C4"/>
    <w:rsid w:val="001A221C"/>
    <w:rsid w:val="001A24D4"/>
    <w:rsid w:val="001A26B5"/>
    <w:rsid w:val="001A2EEF"/>
    <w:rsid w:val="001A2FC1"/>
    <w:rsid w:val="001A3064"/>
    <w:rsid w:val="001A30D7"/>
    <w:rsid w:val="001A31CE"/>
    <w:rsid w:val="001A31D7"/>
    <w:rsid w:val="001A323E"/>
    <w:rsid w:val="001A3688"/>
    <w:rsid w:val="001A36DE"/>
    <w:rsid w:val="001A37C6"/>
    <w:rsid w:val="001A39CD"/>
    <w:rsid w:val="001A39F6"/>
    <w:rsid w:val="001A3A3E"/>
    <w:rsid w:val="001A3B61"/>
    <w:rsid w:val="001A3CF3"/>
    <w:rsid w:val="001A3EB6"/>
    <w:rsid w:val="001A403A"/>
    <w:rsid w:val="001A4235"/>
    <w:rsid w:val="001A4483"/>
    <w:rsid w:val="001A469F"/>
    <w:rsid w:val="001A46FD"/>
    <w:rsid w:val="001A484E"/>
    <w:rsid w:val="001A496B"/>
    <w:rsid w:val="001A4974"/>
    <w:rsid w:val="001A49E0"/>
    <w:rsid w:val="001A4A28"/>
    <w:rsid w:val="001A4D07"/>
    <w:rsid w:val="001A5003"/>
    <w:rsid w:val="001A50E0"/>
    <w:rsid w:val="001A5106"/>
    <w:rsid w:val="001A531E"/>
    <w:rsid w:val="001A5595"/>
    <w:rsid w:val="001A56E3"/>
    <w:rsid w:val="001A5A34"/>
    <w:rsid w:val="001A5AF5"/>
    <w:rsid w:val="001A5CC7"/>
    <w:rsid w:val="001A5D2C"/>
    <w:rsid w:val="001A62C2"/>
    <w:rsid w:val="001A63A0"/>
    <w:rsid w:val="001A6451"/>
    <w:rsid w:val="001A64AF"/>
    <w:rsid w:val="001A6805"/>
    <w:rsid w:val="001A6832"/>
    <w:rsid w:val="001A6846"/>
    <w:rsid w:val="001A6884"/>
    <w:rsid w:val="001A6A4A"/>
    <w:rsid w:val="001A6A81"/>
    <w:rsid w:val="001A6B5C"/>
    <w:rsid w:val="001A6BCC"/>
    <w:rsid w:val="001A6C15"/>
    <w:rsid w:val="001A6C93"/>
    <w:rsid w:val="001A6CBE"/>
    <w:rsid w:val="001A6D30"/>
    <w:rsid w:val="001A6DB3"/>
    <w:rsid w:val="001A6EF3"/>
    <w:rsid w:val="001A708F"/>
    <w:rsid w:val="001A7091"/>
    <w:rsid w:val="001A7125"/>
    <w:rsid w:val="001A7225"/>
    <w:rsid w:val="001A737B"/>
    <w:rsid w:val="001A73C4"/>
    <w:rsid w:val="001A7491"/>
    <w:rsid w:val="001A752D"/>
    <w:rsid w:val="001A7844"/>
    <w:rsid w:val="001A794A"/>
    <w:rsid w:val="001A79F1"/>
    <w:rsid w:val="001A7B52"/>
    <w:rsid w:val="001A7BF1"/>
    <w:rsid w:val="001A7CBD"/>
    <w:rsid w:val="001A7D51"/>
    <w:rsid w:val="001A7DDB"/>
    <w:rsid w:val="001A7E61"/>
    <w:rsid w:val="001A7F05"/>
    <w:rsid w:val="001A7F1E"/>
    <w:rsid w:val="001B014C"/>
    <w:rsid w:val="001B017B"/>
    <w:rsid w:val="001B01A5"/>
    <w:rsid w:val="001B021F"/>
    <w:rsid w:val="001B02FC"/>
    <w:rsid w:val="001B039C"/>
    <w:rsid w:val="001B0661"/>
    <w:rsid w:val="001B069A"/>
    <w:rsid w:val="001B080F"/>
    <w:rsid w:val="001B09F9"/>
    <w:rsid w:val="001B0B00"/>
    <w:rsid w:val="001B0B0E"/>
    <w:rsid w:val="001B0CCE"/>
    <w:rsid w:val="001B0FD2"/>
    <w:rsid w:val="001B0FE0"/>
    <w:rsid w:val="001B0FEC"/>
    <w:rsid w:val="001B1099"/>
    <w:rsid w:val="001B1293"/>
    <w:rsid w:val="001B12CB"/>
    <w:rsid w:val="001B13BD"/>
    <w:rsid w:val="001B140C"/>
    <w:rsid w:val="001B14B9"/>
    <w:rsid w:val="001B1593"/>
    <w:rsid w:val="001B16DB"/>
    <w:rsid w:val="001B18AD"/>
    <w:rsid w:val="001B1A3E"/>
    <w:rsid w:val="001B1BE8"/>
    <w:rsid w:val="001B1D00"/>
    <w:rsid w:val="001B1F92"/>
    <w:rsid w:val="001B1FDD"/>
    <w:rsid w:val="001B204B"/>
    <w:rsid w:val="001B2094"/>
    <w:rsid w:val="001B2193"/>
    <w:rsid w:val="001B21D3"/>
    <w:rsid w:val="001B2211"/>
    <w:rsid w:val="001B22D5"/>
    <w:rsid w:val="001B2387"/>
    <w:rsid w:val="001B24F6"/>
    <w:rsid w:val="001B2506"/>
    <w:rsid w:val="001B2B30"/>
    <w:rsid w:val="001B2B8F"/>
    <w:rsid w:val="001B2C22"/>
    <w:rsid w:val="001B30D7"/>
    <w:rsid w:val="001B310D"/>
    <w:rsid w:val="001B326F"/>
    <w:rsid w:val="001B32D0"/>
    <w:rsid w:val="001B332D"/>
    <w:rsid w:val="001B34D4"/>
    <w:rsid w:val="001B3629"/>
    <w:rsid w:val="001B36C4"/>
    <w:rsid w:val="001B3867"/>
    <w:rsid w:val="001B3918"/>
    <w:rsid w:val="001B39E7"/>
    <w:rsid w:val="001B3AAA"/>
    <w:rsid w:val="001B3BD6"/>
    <w:rsid w:val="001B3C8C"/>
    <w:rsid w:val="001B423B"/>
    <w:rsid w:val="001B4308"/>
    <w:rsid w:val="001B457E"/>
    <w:rsid w:val="001B45C7"/>
    <w:rsid w:val="001B46F8"/>
    <w:rsid w:val="001B4868"/>
    <w:rsid w:val="001B4872"/>
    <w:rsid w:val="001B4BC0"/>
    <w:rsid w:val="001B4C61"/>
    <w:rsid w:val="001B4CC2"/>
    <w:rsid w:val="001B4E6D"/>
    <w:rsid w:val="001B4EA4"/>
    <w:rsid w:val="001B4F2B"/>
    <w:rsid w:val="001B4F73"/>
    <w:rsid w:val="001B50DD"/>
    <w:rsid w:val="001B5161"/>
    <w:rsid w:val="001B520C"/>
    <w:rsid w:val="001B520F"/>
    <w:rsid w:val="001B53F2"/>
    <w:rsid w:val="001B570C"/>
    <w:rsid w:val="001B57F3"/>
    <w:rsid w:val="001B588F"/>
    <w:rsid w:val="001B5895"/>
    <w:rsid w:val="001B5938"/>
    <w:rsid w:val="001B597C"/>
    <w:rsid w:val="001B5C2E"/>
    <w:rsid w:val="001B5C4C"/>
    <w:rsid w:val="001B5D0A"/>
    <w:rsid w:val="001B5D2B"/>
    <w:rsid w:val="001B5EC6"/>
    <w:rsid w:val="001B5F69"/>
    <w:rsid w:val="001B6125"/>
    <w:rsid w:val="001B612E"/>
    <w:rsid w:val="001B65DA"/>
    <w:rsid w:val="001B6616"/>
    <w:rsid w:val="001B6620"/>
    <w:rsid w:val="001B6A53"/>
    <w:rsid w:val="001B6C7C"/>
    <w:rsid w:val="001B6F27"/>
    <w:rsid w:val="001B6FA4"/>
    <w:rsid w:val="001B7084"/>
    <w:rsid w:val="001B7099"/>
    <w:rsid w:val="001B7106"/>
    <w:rsid w:val="001B7143"/>
    <w:rsid w:val="001B7289"/>
    <w:rsid w:val="001B728B"/>
    <w:rsid w:val="001B72E4"/>
    <w:rsid w:val="001B7397"/>
    <w:rsid w:val="001B7493"/>
    <w:rsid w:val="001B78A2"/>
    <w:rsid w:val="001B7907"/>
    <w:rsid w:val="001B7984"/>
    <w:rsid w:val="001B7A01"/>
    <w:rsid w:val="001B7A43"/>
    <w:rsid w:val="001B7ACD"/>
    <w:rsid w:val="001B7C6E"/>
    <w:rsid w:val="001B7CEE"/>
    <w:rsid w:val="001B7F3E"/>
    <w:rsid w:val="001C02D8"/>
    <w:rsid w:val="001C034B"/>
    <w:rsid w:val="001C03DB"/>
    <w:rsid w:val="001C05EF"/>
    <w:rsid w:val="001C0686"/>
    <w:rsid w:val="001C0792"/>
    <w:rsid w:val="001C08D8"/>
    <w:rsid w:val="001C08F5"/>
    <w:rsid w:val="001C0BB1"/>
    <w:rsid w:val="001C0D11"/>
    <w:rsid w:val="001C0D93"/>
    <w:rsid w:val="001C0DF3"/>
    <w:rsid w:val="001C0EBD"/>
    <w:rsid w:val="001C0F05"/>
    <w:rsid w:val="001C0F65"/>
    <w:rsid w:val="001C1013"/>
    <w:rsid w:val="001C10D2"/>
    <w:rsid w:val="001C11FA"/>
    <w:rsid w:val="001C1209"/>
    <w:rsid w:val="001C1248"/>
    <w:rsid w:val="001C134C"/>
    <w:rsid w:val="001C136C"/>
    <w:rsid w:val="001C1646"/>
    <w:rsid w:val="001C16F4"/>
    <w:rsid w:val="001C17C7"/>
    <w:rsid w:val="001C17DC"/>
    <w:rsid w:val="001C187F"/>
    <w:rsid w:val="001C188A"/>
    <w:rsid w:val="001C18ED"/>
    <w:rsid w:val="001C1B64"/>
    <w:rsid w:val="001C1B7D"/>
    <w:rsid w:val="001C1B93"/>
    <w:rsid w:val="001C1DEF"/>
    <w:rsid w:val="001C1E50"/>
    <w:rsid w:val="001C1E8E"/>
    <w:rsid w:val="001C216B"/>
    <w:rsid w:val="001C2276"/>
    <w:rsid w:val="001C22AB"/>
    <w:rsid w:val="001C22BD"/>
    <w:rsid w:val="001C22F7"/>
    <w:rsid w:val="001C23D7"/>
    <w:rsid w:val="001C257E"/>
    <w:rsid w:val="001C26D0"/>
    <w:rsid w:val="001C26D4"/>
    <w:rsid w:val="001C28F5"/>
    <w:rsid w:val="001C290D"/>
    <w:rsid w:val="001C2936"/>
    <w:rsid w:val="001C2A07"/>
    <w:rsid w:val="001C2B96"/>
    <w:rsid w:val="001C2BDC"/>
    <w:rsid w:val="001C2C79"/>
    <w:rsid w:val="001C2CF5"/>
    <w:rsid w:val="001C348B"/>
    <w:rsid w:val="001C36F4"/>
    <w:rsid w:val="001C374C"/>
    <w:rsid w:val="001C3776"/>
    <w:rsid w:val="001C3939"/>
    <w:rsid w:val="001C398C"/>
    <w:rsid w:val="001C3A68"/>
    <w:rsid w:val="001C3B25"/>
    <w:rsid w:val="001C3C62"/>
    <w:rsid w:val="001C3C69"/>
    <w:rsid w:val="001C3E0B"/>
    <w:rsid w:val="001C401D"/>
    <w:rsid w:val="001C4031"/>
    <w:rsid w:val="001C4338"/>
    <w:rsid w:val="001C43A1"/>
    <w:rsid w:val="001C44BB"/>
    <w:rsid w:val="001C456A"/>
    <w:rsid w:val="001C45B2"/>
    <w:rsid w:val="001C46CB"/>
    <w:rsid w:val="001C494F"/>
    <w:rsid w:val="001C4969"/>
    <w:rsid w:val="001C49DE"/>
    <w:rsid w:val="001C4A4C"/>
    <w:rsid w:val="001C4BFD"/>
    <w:rsid w:val="001C4C69"/>
    <w:rsid w:val="001C4E81"/>
    <w:rsid w:val="001C4F74"/>
    <w:rsid w:val="001C4FB4"/>
    <w:rsid w:val="001C4FF5"/>
    <w:rsid w:val="001C5159"/>
    <w:rsid w:val="001C55D6"/>
    <w:rsid w:val="001C570F"/>
    <w:rsid w:val="001C5735"/>
    <w:rsid w:val="001C5864"/>
    <w:rsid w:val="001C587C"/>
    <w:rsid w:val="001C5907"/>
    <w:rsid w:val="001C5C72"/>
    <w:rsid w:val="001C5CC6"/>
    <w:rsid w:val="001C5D3B"/>
    <w:rsid w:val="001C5FEB"/>
    <w:rsid w:val="001C6012"/>
    <w:rsid w:val="001C62A0"/>
    <w:rsid w:val="001C62EF"/>
    <w:rsid w:val="001C640D"/>
    <w:rsid w:val="001C64A2"/>
    <w:rsid w:val="001C64FE"/>
    <w:rsid w:val="001C652D"/>
    <w:rsid w:val="001C66B1"/>
    <w:rsid w:val="001C6700"/>
    <w:rsid w:val="001C6B45"/>
    <w:rsid w:val="001C6B4D"/>
    <w:rsid w:val="001C6D16"/>
    <w:rsid w:val="001C6F01"/>
    <w:rsid w:val="001C6F0A"/>
    <w:rsid w:val="001C6F15"/>
    <w:rsid w:val="001C6F91"/>
    <w:rsid w:val="001C6F95"/>
    <w:rsid w:val="001C701E"/>
    <w:rsid w:val="001C7047"/>
    <w:rsid w:val="001C7054"/>
    <w:rsid w:val="001C714E"/>
    <w:rsid w:val="001C717C"/>
    <w:rsid w:val="001C7297"/>
    <w:rsid w:val="001C77BE"/>
    <w:rsid w:val="001C7997"/>
    <w:rsid w:val="001C7C02"/>
    <w:rsid w:val="001C7C08"/>
    <w:rsid w:val="001C7C19"/>
    <w:rsid w:val="001D0365"/>
    <w:rsid w:val="001D038A"/>
    <w:rsid w:val="001D04BD"/>
    <w:rsid w:val="001D051F"/>
    <w:rsid w:val="001D0526"/>
    <w:rsid w:val="001D06CB"/>
    <w:rsid w:val="001D0750"/>
    <w:rsid w:val="001D0881"/>
    <w:rsid w:val="001D08AA"/>
    <w:rsid w:val="001D0A15"/>
    <w:rsid w:val="001D0A59"/>
    <w:rsid w:val="001D0A6A"/>
    <w:rsid w:val="001D0A7F"/>
    <w:rsid w:val="001D0D70"/>
    <w:rsid w:val="001D0D9E"/>
    <w:rsid w:val="001D0E36"/>
    <w:rsid w:val="001D0F2F"/>
    <w:rsid w:val="001D0F48"/>
    <w:rsid w:val="001D0F60"/>
    <w:rsid w:val="001D10EB"/>
    <w:rsid w:val="001D10FF"/>
    <w:rsid w:val="001D114F"/>
    <w:rsid w:val="001D1242"/>
    <w:rsid w:val="001D1262"/>
    <w:rsid w:val="001D1298"/>
    <w:rsid w:val="001D130F"/>
    <w:rsid w:val="001D1383"/>
    <w:rsid w:val="001D146F"/>
    <w:rsid w:val="001D148C"/>
    <w:rsid w:val="001D180D"/>
    <w:rsid w:val="001D1939"/>
    <w:rsid w:val="001D1A5A"/>
    <w:rsid w:val="001D1AF2"/>
    <w:rsid w:val="001D200F"/>
    <w:rsid w:val="001D2027"/>
    <w:rsid w:val="001D2248"/>
    <w:rsid w:val="001D2304"/>
    <w:rsid w:val="001D236E"/>
    <w:rsid w:val="001D23F3"/>
    <w:rsid w:val="001D2640"/>
    <w:rsid w:val="001D27C5"/>
    <w:rsid w:val="001D2803"/>
    <w:rsid w:val="001D29BF"/>
    <w:rsid w:val="001D2A27"/>
    <w:rsid w:val="001D2CF8"/>
    <w:rsid w:val="001D2D26"/>
    <w:rsid w:val="001D2D2C"/>
    <w:rsid w:val="001D2FF8"/>
    <w:rsid w:val="001D313A"/>
    <w:rsid w:val="001D316F"/>
    <w:rsid w:val="001D32A8"/>
    <w:rsid w:val="001D333A"/>
    <w:rsid w:val="001D36BD"/>
    <w:rsid w:val="001D3769"/>
    <w:rsid w:val="001D3924"/>
    <w:rsid w:val="001D39D0"/>
    <w:rsid w:val="001D3A7D"/>
    <w:rsid w:val="001D3CCE"/>
    <w:rsid w:val="001D3E45"/>
    <w:rsid w:val="001D3E78"/>
    <w:rsid w:val="001D4039"/>
    <w:rsid w:val="001D40BF"/>
    <w:rsid w:val="001D410E"/>
    <w:rsid w:val="001D41CE"/>
    <w:rsid w:val="001D4337"/>
    <w:rsid w:val="001D43DA"/>
    <w:rsid w:val="001D4561"/>
    <w:rsid w:val="001D4643"/>
    <w:rsid w:val="001D465B"/>
    <w:rsid w:val="001D479F"/>
    <w:rsid w:val="001D4877"/>
    <w:rsid w:val="001D4C7B"/>
    <w:rsid w:val="001D4D14"/>
    <w:rsid w:val="001D4E4C"/>
    <w:rsid w:val="001D4EB1"/>
    <w:rsid w:val="001D4F1A"/>
    <w:rsid w:val="001D4FCA"/>
    <w:rsid w:val="001D503B"/>
    <w:rsid w:val="001D518F"/>
    <w:rsid w:val="001D521C"/>
    <w:rsid w:val="001D527D"/>
    <w:rsid w:val="001D547F"/>
    <w:rsid w:val="001D5573"/>
    <w:rsid w:val="001D56B3"/>
    <w:rsid w:val="001D59EE"/>
    <w:rsid w:val="001D5B39"/>
    <w:rsid w:val="001D5BF7"/>
    <w:rsid w:val="001D5DE7"/>
    <w:rsid w:val="001D5EED"/>
    <w:rsid w:val="001D5F12"/>
    <w:rsid w:val="001D6014"/>
    <w:rsid w:val="001D62EB"/>
    <w:rsid w:val="001D65B0"/>
    <w:rsid w:val="001D662F"/>
    <w:rsid w:val="001D68D8"/>
    <w:rsid w:val="001D6A53"/>
    <w:rsid w:val="001D6AC8"/>
    <w:rsid w:val="001D6B25"/>
    <w:rsid w:val="001D6C0E"/>
    <w:rsid w:val="001D6CBE"/>
    <w:rsid w:val="001D6CC7"/>
    <w:rsid w:val="001D7251"/>
    <w:rsid w:val="001D7271"/>
    <w:rsid w:val="001D72DF"/>
    <w:rsid w:val="001D730B"/>
    <w:rsid w:val="001D730E"/>
    <w:rsid w:val="001D7436"/>
    <w:rsid w:val="001D74CC"/>
    <w:rsid w:val="001D76CD"/>
    <w:rsid w:val="001D76D1"/>
    <w:rsid w:val="001D76E9"/>
    <w:rsid w:val="001D77CE"/>
    <w:rsid w:val="001D7864"/>
    <w:rsid w:val="001D78F8"/>
    <w:rsid w:val="001D7981"/>
    <w:rsid w:val="001D7A8D"/>
    <w:rsid w:val="001D7C93"/>
    <w:rsid w:val="001D7C98"/>
    <w:rsid w:val="001D7CE1"/>
    <w:rsid w:val="001D7D17"/>
    <w:rsid w:val="001E041A"/>
    <w:rsid w:val="001E058B"/>
    <w:rsid w:val="001E0647"/>
    <w:rsid w:val="001E065C"/>
    <w:rsid w:val="001E075F"/>
    <w:rsid w:val="001E0765"/>
    <w:rsid w:val="001E0815"/>
    <w:rsid w:val="001E084F"/>
    <w:rsid w:val="001E0910"/>
    <w:rsid w:val="001E092F"/>
    <w:rsid w:val="001E0D7A"/>
    <w:rsid w:val="001E0F0F"/>
    <w:rsid w:val="001E1174"/>
    <w:rsid w:val="001E118A"/>
    <w:rsid w:val="001E1210"/>
    <w:rsid w:val="001E1242"/>
    <w:rsid w:val="001E1422"/>
    <w:rsid w:val="001E14ED"/>
    <w:rsid w:val="001E15BC"/>
    <w:rsid w:val="001E16D3"/>
    <w:rsid w:val="001E1773"/>
    <w:rsid w:val="001E1842"/>
    <w:rsid w:val="001E1876"/>
    <w:rsid w:val="001E1B75"/>
    <w:rsid w:val="001E1C08"/>
    <w:rsid w:val="001E1CE9"/>
    <w:rsid w:val="001E1D49"/>
    <w:rsid w:val="001E2015"/>
    <w:rsid w:val="001E208C"/>
    <w:rsid w:val="001E208E"/>
    <w:rsid w:val="001E20BB"/>
    <w:rsid w:val="001E25EF"/>
    <w:rsid w:val="001E26F7"/>
    <w:rsid w:val="001E294C"/>
    <w:rsid w:val="001E2E1C"/>
    <w:rsid w:val="001E2EB0"/>
    <w:rsid w:val="001E2F2C"/>
    <w:rsid w:val="001E31CF"/>
    <w:rsid w:val="001E31F7"/>
    <w:rsid w:val="001E3219"/>
    <w:rsid w:val="001E3445"/>
    <w:rsid w:val="001E34AB"/>
    <w:rsid w:val="001E34AF"/>
    <w:rsid w:val="001E35F2"/>
    <w:rsid w:val="001E37B8"/>
    <w:rsid w:val="001E38FC"/>
    <w:rsid w:val="001E3993"/>
    <w:rsid w:val="001E3A9E"/>
    <w:rsid w:val="001E3B3B"/>
    <w:rsid w:val="001E3B9B"/>
    <w:rsid w:val="001E3C12"/>
    <w:rsid w:val="001E3D3D"/>
    <w:rsid w:val="001E3E47"/>
    <w:rsid w:val="001E3F9C"/>
    <w:rsid w:val="001E40BC"/>
    <w:rsid w:val="001E40F3"/>
    <w:rsid w:val="001E412F"/>
    <w:rsid w:val="001E4243"/>
    <w:rsid w:val="001E42C0"/>
    <w:rsid w:val="001E436E"/>
    <w:rsid w:val="001E44F1"/>
    <w:rsid w:val="001E4A99"/>
    <w:rsid w:val="001E4AB7"/>
    <w:rsid w:val="001E4B92"/>
    <w:rsid w:val="001E4BB2"/>
    <w:rsid w:val="001E4BB4"/>
    <w:rsid w:val="001E4BD2"/>
    <w:rsid w:val="001E4BFB"/>
    <w:rsid w:val="001E4D31"/>
    <w:rsid w:val="001E4E97"/>
    <w:rsid w:val="001E4EE3"/>
    <w:rsid w:val="001E4EEB"/>
    <w:rsid w:val="001E4FD4"/>
    <w:rsid w:val="001E50EE"/>
    <w:rsid w:val="001E52F5"/>
    <w:rsid w:val="001E543F"/>
    <w:rsid w:val="001E545E"/>
    <w:rsid w:val="001E5466"/>
    <w:rsid w:val="001E54CF"/>
    <w:rsid w:val="001E54FD"/>
    <w:rsid w:val="001E5532"/>
    <w:rsid w:val="001E55C0"/>
    <w:rsid w:val="001E55C6"/>
    <w:rsid w:val="001E5A4F"/>
    <w:rsid w:val="001E5B19"/>
    <w:rsid w:val="001E5B48"/>
    <w:rsid w:val="001E5BCB"/>
    <w:rsid w:val="001E5CB4"/>
    <w:rsid w:val="001E5D75"/>
    <w:rsid w:val="001E5E81"/>
    <w:rsid w:val="001E6048"/>
    <w:rsid w:val="001E60A3"/>
    <w:rsid w:val="001E617C"/>
    <w:rsid w:val="001E632F"/>
    <w:rsid w:val="001E63E7"/>
    <w:rsid w:val="001E644B"/>
    <w:rsid w:val="001E64A2"/>
    <w:rsid w:val="001E64E4"/>
    <w:rsid w:val="001E64E7"/>
    <w:rsid w:val="001E65FE"/>
    <w:rsid w:val="001E671C"/>
    <w:rsid w:val="001E6BE9"/>
    <w:rsid w:val="001E6CBD"/>
    <w:rsid w:val="001E6D39"/>
    <w:rsid w:val="001E7081"/>
    <w:rsid w:val="001E713C"/>
    <w:rsid w:val="001E722F"/>
    <w:rsid w:val="001E72C2"/>
    <w:rsid w:val="001E7440"/>
    <w:rsid w:val="001E74B0"/>
    <w:rsid w:val="001E75B0"/>
    <w:rsid w:val="001E7725"/>
    <w:rsid w:val="001E7B0D"/>
    <w:rsid w:val="001E7C05"/>
    <w:rsid w:val="001E7EA5"/>
    <w:rsid w:val="001E7EE9"/>
    <w:rsid w:val="001F014E"/>
    <w:rsid w:val="001F08AB"/>
    <w:rsid w:val="001F08F8"/>
    <w:rsid w:val="001F09A3"/>
    <w:rsid w:val="001F0A57"/>
    <w:rsid w:val="001F0D9B"/>
    <w:rsid w:val="001F0E0B"/>
    <w:rsid w:val="001F0E3C"/>
    <w:rsid w:val="001F0E4A"/>
    <w:rsid w:val="001F0F1B"/>
    <w:rsid w:val="001F1408"/>
    <w:rsid w:val="001F1518"/>
    <w:rsid w:val="001F151F"/>
    <w:rsid w:val="001F1859"/>
    <w:rsid w:val="001F1BA9"/>
    <w:rsid w:val="001F1FD7"/>
    <w:rsid w:val="001F20E1"/>
    <w:rsid w:val="001F21D9"/>
    <w:rsid w:val="001F222D"/>
    <w:rsid w:val="001F25A9"/>
    <w:rsid w:val="001F25F0"/>
    <w:rsid w:val="001F26E7"/>
    <w:rsid w:val="001F2750"/>
    <w:rsid w:val="001F27B6"/>
    <w:rsid w:val="001F2A10"/>
    <w:rsid w:val="001F2A64"/>
    <w:rsid w:val="001F2B36"/>
    <w:rsid w:val="001F2C9A"/>
    <w:rsid w:val="001F2D4C"/>
    <w:rsid w:val="001F2E77"/>
    <w:rsid w:val="001F2F8C"/>
    <w:rsid w:val="001F3072"/>
    <w:rsid w:val="001F30C4"/>
    <w:rsid w:val="001F356A"/>
    <w:rsid w:val="001F3651"/>
    <w:rsid w:val="001F36DD"/>
    <w:rsid w:val="001F3CB0"/>
    <w:rsid w:val="001F3D50"/>
    <w:rsid w:val="001F3E34"/>
    <w:rsid w:val="001F400D"/>
    <w:rsid w:val="001F4045"/>
    <w:rsid w:val="001F4158"/>
    <w:rsid w:val="001F4161"/>
    <w:rsid w:val="001F42AE"/>
    <w:rsid w:val="001F435D"/>
    <w:rsid w:val="001F44C4"/>
    <w:rsid w:val="001F45AB"/>
    <w:rsid w:val="001F473A"/>
    <w:rsid w:val="001F4840"/>
    <w:rsid w:val="001F4A3A"/>
    <w:rsid w:val="001F4C17"/>
    <w:rsid w:val="001F4D00"/>
    <w:rsid w:val="001F4F20"/>
    <w:rsid w:val="001F4FF2"/>
    <w:rsid w:val="001F5071"/>
    <w:rsid w:val="001F509E"/>
    <w:rsid w:val="001F52D3"/>
    <w:rsid w:val="001F53A3"/>
    <w:rsid w:val="001F54E6"/>
    <w:rsid w:val="001F55C7"/>
    <w:rsid w:val="001F55F4"/>
    <w:rsid w:val="001F56F3"/>
    <w:rsid w:val="001F577A"/>
    <w:rsid w:val="001F57B5"/>
    <w:rsid w:val="001F57FE"/>
    <w:rsid w:val="001F5AF4"/>
    <w:rsid w:val="001F5D0A"/>
    <w:rsid w:val="001F5E14"/>
    <w:rsid w:val="001F5FFD"/>
    <w:rsid w:val="001F61B2"/>
    <w:rsid w:val="001F61D1"/>
    <w:rsid w:val="001F6261"/>
    <w:rsid w:val="001F6268"/>
    <w:rsid w:val="001F63DE"/>
    <w:rsid w:val="001F63E0"/>
    <w:rsid w:val="001F64C6"/>
    <w:rsid w:val="001F6508"/>
    <w:rsid w:val="001F6533"/>
    <w:rsid w:val="001F653E"/>
    <w:rsid w:val="001F658A"/>
    <w:rsid w:val="001F68F6"/>
    <w:rsid w:val="001F6986"/>
    <w:rsid w:val="001F6B6C"/>
    <w:rsid w:val="001F6C95"/>
    <w:rsid w:val="001F716D"/>
    <w:rsid w:val="001F7390"/>
    <w:rsid w:val="001F73FB"/>
    <w:rsid w:val="001F7645"/>
    <w:rsid w:val="001F772D"/>
    <w:rsid w:val="001F774B"/>
    <w:rsid w:val="001F77B2"/>
    <w:rsid w:val="001F77E6"/>
    <w:rsid w:val="001F7A46"/>
    <w:rsid w:val="001F7A4D"/>
    <w:rsid w:val="001F7ABD"/>
    <w:rsid w:val="001F7AD9"/>
    <w:rsid w:val="001F7C37"/>
    <w:rsid w:val="001F7C70"/>
    <w:rsid w:val="001F7D38"/>
    <w:rsid w:val="001F7D5B"/>
    <w:rsid w:val="001F7D90"/>
    <w:rsid w:val="001F7FD0"/>
    <w:rsid w:val="001F7FEA"/>
    <w:rsid w:val="00200060"/>
    <w:rsid w:val="00200126"/>
    <w:rsid w:val="00200199"/>
    <w:rsid w:val="002001D7"/>
    <w:rsid w:val="0020044E"/>
    <w:rsid w:val="0020046B"/>
    <w:rsid w:val="0020052F"/>
    <w:rsid w:val="00200890"/>
    <w:rsid w:val="00200928"/>
    <w:rsid w:val="00200BCF"/>
    <w:rsid w:val="00200CEC"/>
    <w:rsid w:val="00200F4E"/>
    <w:rsid w:val="0020112B"/>
    <w:rsid w:val="0020141A"/>
    <w:rsid w:val="0020152F"/>
    <w:rsid w:val="00201665"/>
    <w:rsid w:val="00201694"/>
    <w:rsid w:val="0020188C"/>
    <w:rsid w:val="00201983"/>
    <w:rsid w:val="002019A3"/>
    <w:rsid w:val="00201C36"/>
    <w:rsid w:val="00201CBD"/>
    <w:rsid w:val="00201E34"/>
    <w:rsid w:val="00202015"/>
    <w:rsid w:val="002020E6"/>
    <w:rsid w:val="002022CC"/>
    <w:rsid w:val="002023B8"/>
    <w:rsid w:val="0020288E"/>
    <w:rsid w:val="0020291A"/>
    <w:rsid w:val="00202A48"/>
    <w:rsid w:val="00202AED"/>
    <w:rsid w:val="00202BDB"/>
    <w:rsid w:val="00202BEA"/>
    <w:rsid w:val="00202FB9"/>
    <w:rsid w:val="0020302E"/>
    <w:rsid w:val="0020303A"/>
    <w:rsid w:val="002030AA"/>
    <w:rsid w:val="002030B4"/>
    <w:rsid w:val="002032BE"/>
    <w:rsid w:val="00203374"/>
    <w:rsid w:val="0020344B"/>
    <w:rsid w:val="00203632"/>
    <w:rsid w:val="00203738"/>
    <w:rsid w:val="00203823"/>
    <w:rsid w:val="00203A93"/>
    <w:rsid w:val="00203C62"/>
    <w:rsid w:val="00203C94"/>
    <w:rsid w:val="00203CAF"/>
    <w:rsid w:val="00203CCE"/>
    <w:rsid w:val="00203F08"/>
    <w:rsid w:val="00203F9B"/>
    <w:rsid w:val="00204045"/>
    <w:rsid w:val="00204263"/>
    <w:rsid w:val="00204270"/>
    <w:rsid w:val="002042DF"/>
    <w:rsid w:val="0020461E"/>
    <w:rsid w:val="00204679"/>
    <w:rsid w:val="00204774"/>
    <w:rsid w:val="0020478A"/>
    <w:rsid w:val="00204BA6"/>
    <w:rsid w:val="00204BCA"/>
    <w:rsid w:val="00204C09"/>
    <w:rsid w:val="00204CF3"/>
    <w:rsid w:val="0020502B"/>
    <w:rsid w:val="0020504A"/>
    <w:rsid w:val="002050F7"/>
    <w:rsid w:val="002052D3"/>
    <w:rsid w:val="002052E7"/>
    <w:rsid w:val="00205333"/>
    <w:rsid w:val="0020539A"/>
    <w:rsid w:val="00205473"/>
    <w:rsid w:val="002055E1"/>
    <w:rsid w:val="002056FF"/>
    <w:rsid w:val="00205796"/>
    <w:rsid w:val="0020579D"/>
    <w:rsid w:val="002057FD"/>
    <w:rsid w:val="00205A0D"/>
    <w:rsid w:val="00205C64"/>
    <w:rsid w:val="00205CA4"/>
    <w:rsid w:val="00205CA8"/>
    <w:rsid w:val="00205E73"/>
    <w:rsid w:val="002060F9"/>
    <w:rsid w:val="002061E8"/>
    <w:rsid w:val="00206260"/>
    <w:rsid w:val="002063AC"/>
    <w:rsid w:val="00206447"/>
    <w:rsid w:val="00206483"/>
    <w:rsid w:val="002065DD"/>
    <w:rsid w:val="002065DE"/>
    <w:rsid w:val="002067B5"/>
    <w:rsid w:val="00206815"/>
    <w:rsid w:val="00206838"/>
    <w:rsid w:val="002068FE"/>
    <w:rsid w:val="00206BAB"/>
    <w:rsid w:val="00206C64"/>
    <w:rsid w:val="00206C6A"/>
    <w:rsid w:val="00206C6C"/>
    <w:rsid w:val="00206D40"/>
    <w:rsid w:val="00206D77"/>
    <w:rsid w:val="00206F52"/>
    <w:rsid w:val="002070B8"/>
    <w:rsid w:val="00207285"/>
    <w:rsid w:val="002072CB"/>
    <w:rsid w:val="002073D9"/>
    <w:rsid w:val="0020742C"/>
    <w:rsid w:val="0020756D"/>
    <w:rsid w:val="00207674"/>
    <w:rsid w:val="002076AA"/>
    <w:rsid w:val="00207775"/>
    <w:rsid w:val="0020788E"/>
    <w:rsid w:val="0020789B"/>
    <w:rsid w:val="002078A9"/>
    <w:rsid w:val="0020795A"/>
    <w:rsid w:val="00207A01"/>
    <w:rsid w:val="00207A08"/>
    <w:rsid w:val="00207D25"/>
    <w:rsid w:val="00207F63"/>
    <w:rsid w:val="00210002"/>
    <w:rsid w:val="0021033A"/>
    <w:rsid w:val="002103E8"/>
    <w:rsid w:val="002105B1"/>
    <w:rsid w:val="002106CB"/>
    <w:rsid w:val="002106DD"/>
    <w:rsid w:val="00210715"/>
    <w:rsid w:val="00210729"/>
    <w:rsid w:val="002107B6"/>
    <w:rsid w:val="002109E4"/>
    <w:rsid w:val="00210BFE"/>
    <w:rsid w:val="00210C18"/>
    <w:rsid w:val="00210C53"/>
    <w:rsid w:val="00210F65"/>
    <w:rsid w:val="00211171"/>
    <w:rsid w:val="002111C3"/>
    <w:rsid w:val="00211582"/>
    <w:rsid w:val="002116B9"/>
    <w:rsid w:val="002117C0"/>
    <w:rsid w:val="002117E8"/>
    <w:rsid w:val="0021181A"/>
    <w:rsid w:val="00211861"/>
    <w:rsid w:val="002118AE"/>
    <w:rsid w:val="00211AD5"/>
    <w:rsid w:val="00211C90"/>
    <w:rsid w:val="002122AA"/>
    <w:rsid w:val="002122DE"/>
    <w:rsid w:val="00212515"/>
    <w:rsid w:val="0021251A"/>
    <w:rsid w:val="002125FE"/>
    <w:rsid w:val="0021263C"/>
    <w:rsid w:val="00212C0A"/>
    <w:rsid w:val="00212D0F"/>
    <w:rsid w:val="00212D96"/>
    <w:rsid w:val="00212E1B"/>
    <w:rsid w:val="002130C1"/>
    <w:rsid w:val="00213218"/>
    <w:rsid w:val="00213260"/>
    <w:rsid w:val="00213389"/>
    <w:rsid w:val="00213426"/>
    <w:rsid w:val="0021344F"/>
    <w:rsid w:val="0021353F"/>
    <w:rsid w:val="0021386E"/>
    <w:rsid w:val="0021392A"/>
    <w:rsid w:val="0021398F"/>
    <w:rsid w:val="00213AA8"/>
    <w:rsid w:val="00213CA3"/>
    <w:rsid w:val="00213E36"/>
    <w:rsid w:val="00213F7F"/>
    <w:rsid w:val="00213FD5"/>
    <w:rsid w:val="002140B4"/>
    <w:rsid w:val="00214619"/>
    <w:rsid w:val="00214664"/>
    <w:rsid w:val="002148A5"/>
    <w:rsid w:val="00214B19"/>
    <w:rsid w:val="00214B4B"/>
    <w:rsid w:val="00214C11"/>
    <w:rsid w:val="00214DF9"/>
    <w:rsid w:val="0021500A"/>
    <w:rsid w:val="002153A6"/>
    <w:rsid w:val="002153CA"/>
    <w:rsid w:val="002156AD"/>
    <w:rsid w:val="00215727"/>
    <w:rsid w:val="00215740"/>
    <w:rsid w:val="0021579C"/>
    <w:rsid w:val="00215B27"/>
    <w:rsid w:val="00215C92"/>
    <w:rsid w:val="00215D08"/>
    <w:rsid w:val="00215DFB"/>
    <w:rsid w:val="00215E3A"/>
    <w:rsid w:val="00215E65"/>
    <w:rsid w:val="002160C1"/>
    <w:rsid w:val="002161FD"/>
    <w:rsid w:val="00216224"/>
    <w:rsid w:val="00216245"/>
    <w:rsid w:val="002165E8"/>
    <w:rsid w:val="00216617"/>
    <w:rsid w:val="002167C4"/>
    <w:rsid w:val="0021690F"/>
    <w:rsid w:val="00216CE9"/>
    <w:rsid w:val="00216D04"/>
    <w:rsid w:val="00216FB4"/>
    <w:rsid w:val="00217083"/>
    <w:rsid w:val="00217090"/>
    <w:rsid w:val="002171D3"/>
    <w:rsid w:val="0021730E"/>
    <w:rsid w:val="0021733E"/>
    <w:rsid w:val="002174C5"/>
    <w:rsid w:val="0021750E"/>
    <w:rsid w:val="0021765A"/>
    <w:rsid w:val="002176A5"/>
    <w:rsid w:val="00217704"/>
    <w:rsid w:val="002178A8"/>
    <w:rsid w:val="002179DE"/>
    <w:rsid w:val="002179F9"/>
    <w:rsid w:val="00217B88"/>
    <w:rsid w:val="00217BBF"/>
    <w:rsid w:val="00217BCD"/>
    <w:rsid w:val="00217C08"/>
    <w:rsid w:val="00217D46"/>
    <w:rsid w:val="00217D8D"/>
    <w:rsid w:val="00217DFF"/>
    <w:rsid w:val="00217EDB"/>
    <w:rsid w:val="00220176"/>
    <w:rsid w:val="002201CC"/>
    <w:rsid w:val="00220212"/>
    <w:rsid w:val="0022027A"/>
    <w:rsid w:val="00220396"/>
    <w:rsid w:val="002206E9"/>
    <w:rsid w:val="0022075C"/>
    <w:rsid w:val="002207E1"/>
    <w:rsid w:val="00220A35"/>
    <w:rsid w:val="00220B0E"/>
    <w:rsid w:val="00220BAE"/>
    <w:rsid w:val="00220D57"/>
    <w:rsid w:val="0022106B"/>
    <w:rsid w:val="002216D9"/>
    <w:rsid w:val="002218CD"/>
    <w:rsid w:val="00221995"/>
    <w:rsid w:val="00221EE3"/>
    <w:rsid w:val="00221EF1"/>
    <w:rsid w:val="00221F94"/>
    <w:rsid w:val="00221FFB"/>
    <w:rsid w:val="002221E0"/>
    <w:rsid w:val="002222A0"/>
    <w:rsid w:val="0022251A"/>
    <w:rsid w:val="0022265C"/>
    <w:rsid w:val="0022285A"/>
    <w:rsid w:val="0022296C"/>
    <w:rsid w:val="00222B12"/>
    <w:rsid w:val="00222CA8"/>
    <w:rsid w:val="00222DE3"/>
    <w:rsid w:val="002230E9"/>
    <w:rsid w:val="002231C0"/>
    <w:rsid w:val="00223487"/>
    <w:rsid w:val="0022353B"/>
    <w:rsid w:val="002236B6"/>
    <w:rsid w:val="00223853"/>
    <w:rsid w:val="002238A3"/>
    <w:rsid w:val="00223A38"/>
    <w:rsid w:val="00223A8B"/>
    <w:rsid w:val="00223AE7"/>
    <w:rsid w:val="00223C33"/>
    <w:rsid w:val="00223C41"/>
    <w:rsid w:val="00223CF6"/>
    <w:rsid w:val="00223EC4"/>
    <w:rsid w:val="00223FA4"/>
    <w:rsid w:val="00223FC8"/>
    <w:rsid w:val="00223FD1"/>
    <w:rsid w:val="0022402F"/>
    <w:rsid w:val="00224177"/>
    <w:rsid w:val="002241C0"/>
    <w:rsid w:val="00224225"/>
    <w:rsid w:val="002242B6"/>
    <w:rsid w:val="002245D2"/>
    <w:rsid w:val="00224811"/>
    <w:rsid w:val="0022481F"/>
    <w:rsid w:val="002248E7"/>
    <w:rsid w:val="00224B6B"/>
    <w:rsid w:val="00224BA8"/>
    <w:rsid w:val="00224C3F"/>
    <w:rsid w:val="00224DC6"/>
    <w:rsid w:val="00224E26"/>
    <w:rsid w:val="0022507F"/>
    <w:rsid w:val="002253C0"/>
    <w:rsid w:val="002253DF"/>
    <w:rsid w:val="00225425"/>
    <w:rsid w:val="0022543B"/>
    <w:rsid w:val="00225451"/>
    <w:rsid w:val="002254B7"/>
    <w:rsid w:val="00225A66"/>
    <w:rsid w:val="00225A82"/>
    <w:rsid w:val="00225ACB"/>
    <w:rsid w:val="00225D11"/>
    <w:rsid w:val="00225D42"/>
    <w:rsid w:val="00225DD6"/>
    <w:rsid w:val="00226105"/>
    <w:rsid w:val="0022613B"/>
    <w:rsid w:val="00226351"/>
    <w:rsid w:val="002264E5"/>
    <w:rsid w:val="0022677B"/>
    <w:rsid w:val="002267B1"/>
    <w:rsid w:val="002267FB"/>
    <w:rsid w:val="002268EB"/>
    <w:rsid w:val="00226A79"/>
    <w:rsid w:val="00226AB0"/>
    <w:rsid w:val="00226CA0"/>
    <w:rsid w:val="00226E27"/>
    <w:rsid w:val="00227033"/>
    <w:rsid w:val="002270E7"/>
    <w:rsid w:val="002271A1"/>
    <w:rsid w:val="0022772E"/>
    <w:rsid w:val="00227C94"/>
    <w:rsid w:val="00227CA9"/>
    <w:rsid w:val="00227CB6"/>
    <w:rsid w:val="00227DFA"/>
    <w:rsid w:val="00227F80"/>
    <w:rsid w:val="0023002F"/>
    <w:rsid w:val="00230262"/>
    <w:rsid w:val="002303F6"/>
    <w:rsid w:val="002304C1"/>
    <w:rsid w:val="00230845"/>
    <w:rsid w:val="002308CC"/>
    <w:rsid w:val="002308FD"/>
    <w:rsid w:val="00230950"/>
    <w:rsid w:val="002309B4"/>
    <w:rsid w:val="002309BF"/>
    <w:rsid w:val="002309F4"/>
    <w:rsid w:val="00230A75"/>
    <w:rsid w:val="00230B6D"/>
    <w:rsid w:val="00230C86"/>
    <w:rsid w:val="00230DEC"/>
    <w:rsid w:val="002310D9"/>
    <w:rsid w:val="0023140F"/>
    <w:rsid w:val="002314C6"/>
    <w:rsid w:val="002316EC"/>
    <w:rsid w:val="00231870"/>
    <w:rsid w:val="00231B45"/>
    <w:rsid w:val="00231B76"/>
    <w:rsid w:val="00231CB5"/>
    <w:rsid w:val="00231CDB"/>
    <w:rsid w:val="00231CF5"/>
    <w:rsid w:val="00231F06"/>
    <w:rsid w:val="00232129"/>
    <w:rsid w:val="0023224C"/>
    <w:rsid w:val="0023225B"/>
    <w:rsid w:val="00232439"/>
    <w:rsid w:val="0023247D"/>
    <w:rsid w:val="002327A9"/>
    <w:rsid w:val="002327CA"/>
    <w:rsid w:val="002327F6"/>
    <w:rsid w:val="002328C7"/>
    <w:rsid w:val="002328F3"/>
    <w:rsid w:val="002329AA"/>
    <w:rsid w:val="00232A73"/>
    <w:rsid w:val="00232AA2"/>
    <w:rsid w:val="00232B85"/>
    <w:rsid w:val="00232CAA"/>
    <w:rsid w:val="00232CF6"/>
    <w:rsid w:val="002334DB"/>
    <w:rsid w:val="002334FE"/>
    <w:rsid w:val="00233730"/>
    <w:rsid w:val="0023380A"/>
    <w:rsid w:val="00233856"/>
    <w:rsid w:val="002338B9"/>
    <w:rsid w:val="00233C6B"/>
    <w:rsid w:val="00233EFE"/>
    <w:rsid w:val="00233FA7"/>
    <w:rsid w:val="00233FFC"/>
    <w:rsid w:val="00234001"/>
    <w:rsid w:val="00234127"/>
    <w:rsid w:val="0023413B"/>
    <w:rsid w:val="0023422C"/>
    <w:rsid w:val="00234237"/>
    <w:rsid w:val="002342FE"/>
    <w:rsid w:val="0023439E"/>
    <w:rsid w:val="002343DD"/>
    <w:rsid w:val="002344C0"/>
    <w:rsid w:val="0023453C"/>
    <w:rsid w:val="00234632"/>
    <w:rsid w:val="00234734"/>
    <w:rsid w:val="002348D3"/>
    <w:rsid w:val="00234A77"/>
    <w:rsid w:val="00234CB1"/>
    <w:rsid w:val="00234D28"/>
    <w:rsid w:val="00235001"/>
    <w:rsid w:val="00235143"/>
    <w:rsid w:val="00235247"/>
    <w:rsid w:val="002354F3"/>
    <w:rsid w:val="00235661"/>
    <w:rsid w:val="00235BE9"/>
    <w:rsid w:val="00235C14"/>
    <w:rsid w:val="00235C47"/>
    <w:rsid w:val="00235D6E"/>
    <w:rsid w:val="00235E0F"/>
    <w:rsid w:val="00235FD0"/>
    <w:rsid w:val="00236196"/>
    <w:rsid w:val="002361A3"/>
    <w:rsid w:val="00236262"/>
    <w:rsid w:val="0023634D"/>
    <w:rsid w:val="002363E9"/>
    <w:rsid w:val="002364BF"/>
    <w:rsid w:val="002365F7"/>
    <w:rsid w:val="002367E5"/>
    <w:rsid w:val="002368C1"/>
    <w:rsid w:val="00236988"/>
    <w:rsid w:val="002369B6"/>
    <w:rsid w:val="00236C9A"/>
    <w:rsid w:val="00236D74"/>
    <w:rsid w:val="00236D83"/>
    <w:rsid w:val="00236DB5"/>
    <w:rsid w:val="0023706A"/>
    <w:rsid w:val="0023707E"/>
    <w:rsid w:val="00237120"/>
    <w:rsid w:val="002371C3"/>
    <w:rsid w:val="002374BE"/>
    <w:rsid w:val="00237743"/>
    <w:rsid w:val="0023777F"/>
    <w:rsid w:val="00237A2A"/>
    <w:rsid w:val="00237A47"/>
    <w:rsid w:val="00237B1C"/>
    <w:rsid w:val="00237F08"/>
    <w:rsid w:val="00240194"/>
    <w:rsid w:val="00240344"/>
    <w:rsid w:val="002403F0"/>
    <w:rsid w:val="002405A2"/>
    <w:rsid w:val="00240656"/>
    <w:rsid w:val="00240708"/>
    <w:rsid w:val="002408BE"/>
    <w:rsid w:val="00240A61"/>
    <w:rsid w:val="002410A8"/>
    <w:rsid w:val="00241127"/>
    <w:rsid w:val="00241207"/>
    <w:rsid w:val="00241291"/>
    <w:rsid w:val="002412BC"/>
    <w:rsid w:val="00241391"/>
    <w:rsid w:val="002413D6"/>
    <w:rsid w:val="0024151C"/>
    <w:rsid w:val="0024161F"/>
    <w:rsid w:val="002416B5"/>
    <w:rsid w:val="0024193F"/>
    <w:rsid w:val="00241C6E"/>
    <w:rsid w:val="00241D56"/>
    <w:rsid w:val="00241E51"/>
    <w:rsid w:val="00241F65"/>
    <w:rsid w:val="00241FDB"/>
    <w:rsid w:val="002420E3"/>
    <w:rsid w:val="00242230"/>
    <w:rsid w:val="00242232"/>
    <w:rsid w:val="0024228F"/>
    <w:rsid w:val="002422B6"/>
    <w:rsid w:val="00242337"/>
    <w:rsid w:val="002423B3"/>
    <w:rsid w:val="0024244B"/>
    <w:rsid w:val="002424C0"/>
    <w:rsid w:val="002425B6"/>
    <w:rsid w:val="002426C7"/>
    <w:rsid w:val="0024276C"/>
    <w:rsid w:val="002428EE"/>
    <w:rsid w:val="002429D9"/>
    <w:rsid w:val="002429E8"/>
    <w:rsid w:val="00242A21"/>
    <w:rsid w:val="00242A36"/>
    <w:rsid w:val="00242B79"/>
    <w:rsid w:val="00242CDF"/>
    <w:rsid w:val="00242CF5"/>
    <w:rsid w:val="00242DA0"/>
    <w:rsid w:val="00242E81"/>
    <w:rsid w:val="00242F16"/>
    <w:rsid w:val="00242F27"/>
    <w:rsid w:val="00242F46"/>
    <w:rsid w:val="00242FC2"/>
    <w:rsid w:val="00243285"/>
    <w:rsid w:val="0024328D"/>
    <w:rsid w:val="0024331B"/>
    <w:rsid w:val="00243440"/>
    <w:rsid w:val="002434D1"/>
    <w:rsid w:val="002435E7"/>
    <w:rsid w:val="002435EC"/>
    <w:rsid w:val="0024366F"/>
    <w:rsid w:val="0024375F"/>
    <w:rsid w:val="002437F1"/>
    <w:rsid w:val="00243B04"/>
    <w:rsid w:val="00243B4C"/>
    <w:rsid w:val="00243B5B"/>
    <w:rsid w:val="00243BEC"/>
    <w:rsid w:val="00243DB5"/>
    <w:rsid w:val="00243DE7"/>
    <w:rsid w:val="00243FA5"/>
    <w:rsid w:val="00243FD1"/>
    <w:rsid w:val="00244039"/>
    <w:rsid w:val="002440A9"/>
    <w:rsid w:val="002440D1"/>
    <w:rsid w:val="00244291"/>
    <w:rsid w:val="00244552"/>
    <w:rsid w:val="00244571"/>
    <w:rsid w:val="002446CF"/>
    <w:rsid w:val="002447B1"/>
    <w:rsid w:val="002448D1"/>
    <w:rsid w:val="002449E7"/>
    <w:rsid w:val="00244A75"/>
    <w:rsid w:val="00244C14"/>
    <w:rsid w:val="00244DC8"/>
    <w:rsid w:val="00244DFF"/>
    <w:rsid w:val="00244EBF"/>
    <w:rsid w:val="002450B4"/>
    <w:rsid w:val="002450B8"/>
    <w:rsid w:val="0024520B"/>
    <w:rsid w:val="0024530E"/>
    <w:rsid w:val="002454BA"/>
    <w:rsid w:val="00245703"/>
    <w:rsid w:val="00245897"/>
    <w:rsid w:val="002459B3"/>
    <w:rsid w:val="00245C01"/>
    <w:rsid w:val="00245C53"/>
    <w:rsid w:val="00245DEF"/>
    <w:rsid w:val="00245E76"/>
    <w:rsid w:val="00245FDA"/>
    <w:rsid w:val="00246002"/>
    <w:rsid w:val="00246326"/>
    <w:rsid w:val="002464D0"/>
    <w:rsid w:val="002464E0"/>
    <w:rsid w:val="00246947"/>
    <w:rsid w:val="00246A44"/>
    <w:rsid w:val="00246A75"/>
    <w:rsid w:val="00246AEE"/>
    <w:rsid w:val="00246B50"/>
    <w:rsid w:val="00246BC4"/>
    <w:rsid w:val="00246CAC"/>
    <w:rsid w:val="00246DF4"/>
    <w:rsid w:val="0024704F"/>
    <w:rsid w:val="00247068"/>
    <w:rsid w:val="002470AA"/>
    <w:rsid w:val="00247120"/>
    <w:rsid w:val="002474F5"/>
    <w:rsid w:val="0024750D"/>
    <w:rsid w:val="002475A3"/>
    <w:rsid w:val="00247635"/>
    <w:rsid w:val="00247656"/>
    <w:rsid w:val="002476FF"/>
    <w:rsid w:val="002477A0"/>
    <w:rsid w:val="002478DB"/>
    <w:rsid w:val="00247A7F"/>
    <w:rsid w:val="00247E25"/>
    <w:rsid w:val="00247E78"/>
    <w:rsid w:val="002500A4"/>
    <w:rsid w:val="002500A5"/>
    <w:rsid w:val="0025025F"/>
    <w:rsid w:val="0025028C"/>
    <w:rsid w:val="002504E6"/>
    <w:rsid w:val="002505DA"/>
    <w:rsid w:val="002505EB"/>
    <w:rsid w:val="00250685"/>
    <w:rsid w:val="00250729"/>
    <w:rsid w:val="00250A13"/>
    <w:rsid w:val="00250D4A"/>
    <w:rsid w:val="00250DC3"/>
    <w:rsid w:val="0025115E"/>
    <w:rsid w:val="002511AC"/>
    <w:rsid w:val="0025129B"/>
    <w:rsid w:val="0025145B"/>
    <w:rsid w:val="00251474"/>
    <w:rsid w:val="002514EE"/>
    <w:rsid w:val="00251544"/>
    <w:rsid w:val="00251725"/>
    <w:rsid w:val="00251889"/>
    <w:rsid w:val="00251965"/>
    <w:rsid w:val="002519BF"/>
    <w:rsid w:val="00251AB5"/>
    <w:rsid w:val="00251B5C"/>
    <w:rsid w:val="00251CF1"/>
    <w:rsid w:val="00251F48"/>
    <w:rsid w:val="00251FFE"/>
    <w:rsid w:val="002523E4"/>
    <w:rsid w:val="002526DD"/>
    <w:rsid w:val="00252A42"/>
    <w:rsid w:val="00252BAE"/>
    <w:rsid w:val="00252BF5"/>
    <w:rsid w:val="00252ED2"/>
    <w:rsid w:val="00252EE9"/>
    <w:rsid w:val="00252F5C"/>
    <w:rsid w:val="0025315E"/>
    <w:rsid w:val="0025345F"/>
    <w:rsid w:val="00253710"/>
    <w:rsid w:val="0025381F"/>
    <w:rsid w:val="00253A87"/>
    <w:rsid w:val="00253EDF"/>
    <w:rsid w:val="00253F72"/>
    <w:rsid w:val="0025401F"/>
    <w:rsid w:val="0025406B"/>
    <w:rsid w:val="0025408C"/>
    <w:rsid w:val="0025411A"/>
    <w:rsid w:val="002541FE"/>
    <w:rsid w:val="002543AE"/>
    <w:rsid w:val="00254693"/>
    <w:rsid w:val="0025483D"/>
    <w:rsid w:val="002548C1"/>
    <w:rsid w:val="002549C1"/>
    <w:rsid w:val="00254AC2"/>
    <w:rsid w:val="00254C19"/>
    <w:rsid w:val="00254CF3"/>
    <w:rsid w:val="002550EC"/>
    <w:rsid w:val="0025512D"/>
    <w:rsid w:val="00255148"/>
    <w:rsid w:val="002552C5"/>
    <w:rsid w:val="0025531F"/>
    <w:rsid w:val="0025556E"/>
    <w:rsid w:val="00255610"/>
    <w:rsid w:val="002556C2"/>
    <w:rsid w:val="00255862"/>
    <w:rsid w:val="002558F0"/>
    <w:rsid w:val="00255D26"/>
    <w:rsid w:val="0025650D"/>
    <w:rsid w:val="00256960"/>
    <w:rsid w:val="00256B3D"/>
    <w:rsid w:val="00256C02"/>
    <w:rsid w:val="00256C51"/>
    <w:rsid w:val="00256E0E"/>
    <w:rsid w:val="00256F00"/>
    <w:rsid w:val="002570A9"/>
    <w:rsid w:val="002571D1"/>
    <w:rsid w:val="002572AF"/>
    <w:rsid w:val="002574A5"/>
    <w:rsid w:val="00257857"/>
    <w:rsid w:val="002578E5"/>
    <w:rsid w:val="00257920"/>
    <w:rsid w:val="00257A01"/>
    <w:rsid w:val="00257A77"/>
    <w:rsid w:val="00257C20"/>
    <w:rsid w:val="00257D3D"/>
    <w:rsid w:val="00257D76"/>
    <w:rsid w:val="00257E48"/>
    <w:rsid w:val="00257EE3"/>
    <w:rsid w:val="00257F9F"/>
    <w:rsid w:val="002600B9"/>
    <w:rsid w:val="002601BE"/>
    <w:rsid w:val="00260299"/>
    <w:rsid w:val="00260370"/>
    <w:rsid w:val="002604B4"/>
    <w:rsid w:val="002606B9"/>
    <w:rsid w:val="00260709"/>
    <w:rsid w:val="00260799"/>
    <w:rsid w:val="0026092D"/>
    <w:rsid w:val="00260D12"/>
    <w:rsid w:val="00260DD6"/>
    <w:rsid w:val="00260E73"/>
    <w:rsid w:val="00260EDC"/>
    <w:rsid w:val="00261305"/>
    <w:rsid w:val="00261506"/>
    <w:rsid w:val="0026168C"/>
    <w:rsid w:val="002619E2"/>
    <w:rsid w:val="00261B5D"/>
    <w:rsid w:val="00261B65"/>
    <w:rsid w:val="00261C07"/>
    <w:rsid w:val="00261C10"/>
    <w:rsid w:val="00261C25"/>
    <w:rsid w:val="00261CE9"/>
    <w:rsid w:val="00261E54"/>
    <w:rsid w:val="00261EEC"/>
    <w:rsid w:val="002622D7"/>
    <w:rsid w:val="002622E9"/>
    <w:rsid w:val="002625F6"/>
    <w:rsid w:val="0026260C"/>
    <w:rsid w:val="002626D1"/>
    <w:rsid w:val="002627A6"/>
    <w:rsid w:val="002627DA"/>
    <w:rsid w:val="002627DC"/>
    <w:rsid w:val="0026288E"/>
    <w:rsid w:val="0026291F"/>
    <w:rsid w:val="00262B80"/>
    <w:rsid w:val="00262C55"/>
    <w:rsid w:val="00262CA4"/>
    <w:rsid w:val="00262F0D"/>
    <w:rsid w:val="00262F0E"/>
    <w:rsid w:val="00262F94"/>
    <w:rsid w:val="00263068"/>
    <w:rsid w:val="002633E8"/>
    <w:rsid w:val="002635CA"/>
    <w:rsid w:val="00263648"/>
    <w:rsid w:val="002636E4"/>
    <w:rsid w:val="00263717"/>
    <w:rsid w:val="00263981"/>
    <w:rsid w:val="002639B4"/>
    <w:rsid w:val="002639B6"/>
    <w:rsid w:val="00263AA5"/>
    <w:rsid w:val="00263D58"/>
    <w:rsid w:val="002641FB"/>
    <w:rsid w:val="00264209"/>
    <w:rsid w:val="00264271"/>
    <w:rsid w:val="00264471"/>
    <w:rsid w:val="0026455C"/>
    <w:rsid w:val="0026471A"/>
    <w:rsid w:val="002647E4"/>
    <w:rsid w:val="0026496A"/>
    <w:rsid w:val="00264B48"/>
    <w:rsid w:val="00264B66"/>
    <w:rsid w:val="00264B91"/>
    <w:rsid w:val="00264CC4"/>
    <w:rsid w:val="00264D69"/>
    <w:rsid w:val="00264E1B"/>
    <w:rsid w:val="00264E9B"/>
    <w:rsid w:val="0026516C"/>
    <w:rsid w:val="002652E5"/>
    <w:rsid w:val="002653C0"/>
    <w:rsid w:val="00265450"/>
    <w:rsid w:val="00265475"/>
    <w:rsid w:val="00265501"/>
    <w:rsid w:val="0026556D"/>
    <w:rsid w:val="0026560E"/>
    <w:rsid w:val="002657EF"/>
    <w:rsid w:val="0026582E"/>
    <w:rsid w:val="00265B50"/>
    <w:rsid w:val="00265B58"/>
    <w:rsid w:val="00265C39"/>
    <w:rsid w:val="00265CB6"/>
    <w:rsid w:val="00265DB5"/>
    <w:rsid w:val="00265E6B"/>
    <w:rsid w:val="00265F1F"/>
    <w:rsid w:val="002661C4"/>
    <w:rsid w:val="0026627C"/>
    <w:rsid w:val="0026634B"/>
    <w:rsid w:val="0026639E"/>
    <w:rsid w:val="0026640F"/>
    <w:rsid w:val="002665A0"/>
    <w:rsid w:val="00266692"/>
    <w:rsid w:val="002666EE"/>
    <w:rsid w:val="0026674E"/>
    <w:rsid w:val="00266811"/>
    <w:rsid w:val="00266854"/>
    <w:rsid w:val="0026686C"/>
    <w:rsid w:val="002668A4"/>
    <w:rsid w:val="002668CF"/>
    <w:rsid w:val="0026695A"/>
    <w:rsid w:val="00266A56"/>
    <w:rsid w:val="00266AA2"/>
    <w:rsid w:val="00266B30"/>
    <w:rsid w:val="00266EB4"/>
    <w:rsid w:val="00266EB9"/>
    <w:rsid w:val="00266EC0"/>
    <w:rsid w:val="0026732C"/>
    <w:rsid w:val="0026770B"/>
    <w:rsid w:val="00267742"/>
    <w:rsid w:val="002678E7"/>
    <w:rsid w:val="00267A43"/>
    <w:rsid w:val="00267B91"/>
    <w:rsid w:val="00267CFC"/>
    <w:rsid w:val="00267F33"/>
    <w:rsid w:val="00267F70"/>
    <w:rsid w:val="0027004C"/>
    <w:rsid w:val="00270163"/>
    <w:rsid w:val="00270399"/>
    <w:rsid w:val="0027063E"/>
    <w:rsid w:val="00270778"/>
    <w:rsid w:val="00270979"/>
    <w:rsid w:val="00270B6C"/>
    <w:rsid w:val="00270CA8"/>
    <w:rsid w:val="00270DD5"/>
    <w:rsid w:val="00270E50"/>
    <w:rsid w:val="00271510"/>
    <w:rsid w:val="0027187B"/>
    <w:rsid w:val="00271911"/>
    <w:rsid w:val="00271B0F"/>
    <w:rsid w:val="00271CB6"/>
    <w:rsid w:val="00272097"/>
    <w:rsid w:val="002720C0"/>
    <w:rsid w:val="0027219D"/>
    <w:rsid w:val="002726D6"/>
    <w:rsid w:val="00272834"/>
    <w:rsid w:val="00272882"/>
    <w:rsid w:val="00272892"/>
    <w:rsid w:val="00272973"/>
    <w:rsid w:val="00272A34"/>
    <w:rsid w:val="00272A50"/>
    <w:rsid w:val="00272A67"/>
    <w:rsid w:val="00272A75"/>
    <w:rsid w:val="00272E8E"/>
    <w:rsid w:val="00272F68"/>
    <w:rsid w:val="00272FBA"/>
    <w:rsid w:val="00272FF7"/>
    <w:rsid w:val="002730A6"/>
    <w:rsid w:val="00273283"/>
    <w:rsid w:val="00273320"/>
    <w:rsid w:val="0027338E"/>
    <w:rsid w:val="002733E1"/>
    <w:rsid w:val="0027348F"/>
    <w:rsid w:val="002734BD"/>
    <w:rsid w:val="002735F6"/>
    <w:rsid w:val="0027366C"/>
    <w:rsid w:val="002736D7"/>
    <w:rsid w:val="00273773"/>
    <w:rsid w:val="002738DA"/>
    <w:rsid w:val="00273A4A"/>
    <w:rsid w:val="00273D75"/>
    <w:rsid w:val="00273EC6"/>
    <w:rsid w:val="00273F1E"/>
    <w:rsid w:val="0027410C"/>
    <w:rsid w:val="002743AA"/>
    <w:rsid w:val="002745BB"/>
    <w:rsid w:val="00274602"/>
    <w:rsid w:val="00274836"/>
    <w:rsid w:val="002749B1"/>
    <w:rsid w:val="00274B37"/>
    <w:rsid w:val="00274B4C"/>
    <w:rsid w:val="00274C0A"/>
    <w:rsid w:val="00274C92"/>
    <w:rsid w:val="00274E8C"/>
    <w:rsid w:val="00274ECD"/>
    <w:rsid w:val="00274ED7"/>
    <w:rsid w:val="00274F27"/>
    <w:rsid w:val="0027500E"/>
    <w:rsid w:val="002750CE"/>
    <w:rsid w:val="002752D4"/>
    <w:rsid w:val="0027539E"/>
    <w:rsid w:val="0027550D"/>
    <w:rsid w:val="0027557F"/>
    <w:rsid w:val="00275699"/>
    <w:rsid w:val="002759E1"/>
    <w:rsid w:val="00275B95"/>
    <w:rsid w:val="00275BAE"/>
    <w:rsid w:val="00275BB7"/>
    <w:rsid w:val="00275CD5"/>
    <w:rsid w:val="00275DC1"/>
    <w:rsid w:val="00275FBB"/>
    <w:rsid w:val="002760E4"/>
    <w:rsid w:val="00276163"/>
    <w:rsid w:val="00276259"/>
    <w:rsid w:val="002763A0"/>
    <w:rsid w:val="0027677D"/>
    <w:rsid w:val="0027689F"/>
    <w:rsid w:val="00276907"/>
    <w:rsid w:val="00276AD6"/>
    <w:rsid w:val="00276CD1"/>
    <w:rsid w:val="00276D46"/>
    <w:rsid w:val="00276E3E"/>
    <w:rsid w:val="00276FA4"/>
    <w:rsid w:val="00277219"/>
    <w:rsid w:val="00277222"/>
    <w:rsid w:val="0027728A"/>
    <w:rsid w:val="002772AA"/>
    <w:rsid w:val="00277350"/>
    <w:rsid w:val="0027758E"/>
    <w:rsid w:val="00277662"/>
    <w:rsid w:val="00277A34"/>
    <w:rsid w:val="00277F7D"/>
    <w:rsid w:val="002803A1"/>
    <w:rsid w:val="0028047E"/>
    <w:rsid w:val="002804D5"/>
    <w:rsid w:val="002804DB"/>
    <w:rsid w:val="002806C3"/>
    <w:rsid w:val="00280763"/>
    <w:rsid w:val="002807BA"/>
    <w:rsid w:val="00280A05"/>
    <w:rsid w:val="00280A24"/>
    <w:rsid w:val="00280A7B"/>
    <w:rsid w:val="00280A93"/>
    <w:rsid w:val="00280AC9"/>
    <w:rsid w:val="00280AD7"/>
    <w:rsid w:val="00280B0B"/>
    <w:rsid w:val="00280B72"/>
    <w:rsid w:val="00280D7F"/>
    <w:rsid w:val="00280FEE"/>
    <w:rsid w:val="002810A3"/>
    <w:rsid w:val="00281259"/>
    <w:rsid w:val="0028148C"/>
    <w:rsid w:val="00281563"/>
    <w:rsid w:val="00281641"/>
    <w:rsid w:val="002818AD"/>
    <w:rsid w:val="0028194B"/>
    <w:rsid w:val="00281950"/>
    <w:rsid w:val="00281CC2"/>
    <w:rsid w:val="00281D28"/>
    <w:rsid w:val="00281DB9"/>
    <w:rsid w:val="002820CA"/>
    <w:rsid w:val="002821BC"/>
    <w:rsid w:val="002822A7"/>
    <w:rsid w:val="002823A3"/>
    <w:rsid w:val="002823B9"/>
    <w:rsid w:val="00282566"/>
    <w:rsid w:val="002826DB"/>
    <w:rsid w:val="00282719"/>
    <w:rsid w:val="0028274C"/>
    <w:rsid w:val="00282963"/>
    <w:rsid w:val="00282A88"/>
    <w:rsid w:val="00282BED"/>
    <w:rsid w:val="00282C19"/>
    <w:rsid w:val="00282E3D"/>
    <w:rsid w:val="00282F9D"/>
    <w:rsid w:val="002830BE"/>
    <w:rsid w:val="0028326B"/>
    <w:rsid w:val="00283418"/>
    <w:rsid w:val="002838F7"/>
    <w:rsid w:val="002839B5"/>
    <w:rsid w:val="00283A4F"/>
    <w:rsid w:val="00283CBA"/>
    <w:rsid w:val="00283D99"/>
    <w:rsid w:val="00283EC7"/>
    <w:rsid w:val="00284066"/>
    <w:rsid w:val="002842F8"/>
    <w:rsid w:val="00284314"/>
    <w:rsid w:val="002844B9"/>
    <w:rsid w:val="00284574"/>
    <w:rsid w:val="00284823"/>
    <w:rsid w:val="002848DA"/>
    <w:rsid w:val="00284E78"/>
    <w:rsid w:val="00284F46"/>
    <w:rsid w:val="00284F54"/>
    <w:rsid w:val="00284FB1"/>
    <w:rsid w:val="00285103"/>
    <w:rsid w:val="0028522F"/>
    <w:rsid w:val="0028539F"/>
    <w:rsid w:val="00285444"/>
    <w:rsid w:val="00285747"/>
    <w:rsid w:val="00285C16"/>
    <w:rsid w:val="00285C48"/>
    <w:rsid w:val="00285D6B"/>
    <w:rsid w:val="00285EE8"/>
    <w:rsid w:val="00285F37"/>
    <w:rsid w:val="00285F87"/>
    <w:rsid w:val="0028603B"/>
    <w:rsid w:val="00286262"/>
    <w:rsid w:val="00286595"/>
    <w:rsid w:val="002865C6"/>
    <w:rsid w:val="002865DD"/>
    <w:rsid w:val="002866A3"/>
    <w:rsid w:val="002867B3"/>
    <w:rsid w:val="002868EA"/>
    <w:rsid w:val="00286AAE"/>
    <w:rsid w:val="00286B13"/>
    <w:rsid w:val="00286B9F"/>
    <w:rsid w:val="00286C66"/>
    <w:rsid w:val="00286D37"/>
    <w:rsid w:val="00286FA4"/>
    <w:rsid w:val="00287098"/>
    <w:rsid w:val="00287103"/>
    <w:rsid w:val="0028727B"/>
    <w:rsid w:val="00287416"/>
    <w:rsid w:val="00287628"/>
    <w:rsid w:val="0028776E"/>
    <w:rsid w:val="002878E9"/>
    <w:rsid w:val="00287991"/>
    <w:rsid w:val="002879E7"/>
    <w:rsid w:val="00287F92"/>
    <w:rsid w:val="0029048E"/>
    <w:rsid w:val="0029049C"/>
    <w:rsid w:val="0029060D"/>
    <w:rsid w:val="0029072D"/>
    <w:rsid w:val="00290886"/>
    <w:rsid w:val="002908F4"/>
    <w:rsid w:val="002909F8"/>
    <w:rsid w:val="00290A62"/>
    <w:rsid w:val="00290A8E"/>
    <w:rsid w:val="00290A8F"/>
    <w:rsid w:val="00290DFC"/>
    <w:rsid w:val="00290EC6"/>
    <w:rsid w:val="00291036"/>
    <w:rsid w:val="00291077"/>
    <w:rsid w:val="002911D4"/>
    <w:rsid w:val="0029122C"/>
    <w:rsid w:val="0029135D"/>
    <w:rsid w:val="002914AA"/>
    <w:rsid w:val="002916DF"/>
    <w:rsid w:val="002916E6"/>
    <w:rsid w:val="0029182E"/>
    <w:rsid w:val="00291873"/>
    <w:rsid w:val="00291916"/>
    <w:rsid w:val="00291C51"/>
    <w:rsid w:val="00291C56"/>
    <w:rsid w:val="00291CD8"/>
    <w:rsid w:val="00291E52"/>
    <w:rsid w:val="00291F7D"/>
    <w:rsid w:val="00291F95"/>
    <w:rsid w:val="00292143"/>
    <w:rsid w:val="00292342"/>
    <w:rsid w:val="002923EF"/>
    <w:rsid w:val="00292451"/>
    <w:rsid w:val="00292485"/>
    <w:rsid w:val="0029253B"/>
    <w:rsid w:val="002925AA"/>
    <w:rsid w:val="002925FF"/>
    <w:rsid w:val="002928D4"/>
    <w:rsid w:val="00292A4F"/>
    <w:rsid w:val="00292A81"/>
    <w:rsid w:val="00292AE5"/>
    <w:rsid w:val="00292B3F"/>
    <w:rsid w:val="00292B42"/>
    <w:rsid w:val="00292B9C"/>
    <w:rsid w:val="00292CE1"/>
    <w:rsid w:val="00292D98"/>
    <w:rsid w:val="00293025"/>
    <w:rsid w:val="00293054"/>
    <w:rsid w:val="002931B9"/>
    <w:rsid w:val="00293203"/>
    <w:rsid w:val="002932D5"/>
    <w:rsid w:val="002933E3"/>
    <w:rsid w:val="0029342B"/>
    <w:rsid w:val="00293470"/>
    <w:rsid w:val="00293556"/>
    <w:rsid w:val="0029362F"/>
    <w:rsid w:val="0029371E"/>
    <w:rsid w:val="0029377D"/>
    <w:rsid w:val="00293A02"/>
    <w:rsid w:val="00293B60"/>
    <w:rsid w:val="00293C65"/>
    <w:rsid w:val="00293DBB"/>
    <w:rsid w:val="00293DE9"/>
    <w:rsid w:val="00293EB0"/>
    <w:rsid w:val="002943C0"/>
    <w:rsid w:val="00294683"/>
    <w:rsid w:val="0029478C"/>
    <w:rsid w:val="00294798"/>
    <w:rsid w:val="002948E2"/>
    <w:rsid w:val="00294DDA"/>
    <w:rsid w:val="00295086"/>
    <w:rsid w:val="0029531B"/>
    <w:rsid w:val="0029536D"/>
    <w:rsid w:val="002953AD"/>
    <w:rsid w:val="00295428"/>
    <w:rsid w:val="00295458"/>
    <w:rsid w:val="002954C9"/>
    <w:rsid w:val="002954E0"/>
    <w:rsid w:val="00295A81"/>
    <w:rsid w:val="00295B04"/>
    <w:rsid w:val="00295B11"/>
    <w:rsid w:val="00295B17"/>
    <w:rsid w:val="00295B85"/>
    <w:rsid w:val="00295C50"/>
    <w:rsid w:val="00295DD7"/>
    <w:rsid w:val="002960AA"/>
    <w:rsid w:val="00296255"/>
    <w:rsid w:val="0029625C"/>
    <w:rsid w:val="00296355"/>
    <w:rsid w:val="00296794"/>
    <w:rsid w:val="0029695C"/>
    <w:rsid w:val="00296A62"/>
    <w:rsid w:val="00296AC5"/>
    <w:rsid w:val="00296AF9"/>
    <w:rsid w:val="0029707B"/>
    <w:rsid w:val="0029707C"/>
    <w:rsid w:val="002970B6"/>
    <w:rsid w:val="002970C1"/>
    <w:rsid w:val="002971D2"/>
    <w:rsid w:val="0029724F"/>
    <w:rsid w:val="0029735F"/>
    <w:rsid w:val="00297380"/>
    <w:rsid w:val="002973CD"/>
    <w:rsid w:val="002974AC"/>
    <w:rsid w:val="0029757F"/>
    <w:rsid w:val="0029761A"/>
    <w:rsid w:val="002976EE"/>
    <w:rsid w:val="002977F8"/>
    <w:rsid w:val="00297891"/>
    <w:rsid w:val="00297AD3"/>
    <w:rsid w:val="00297DC6"/>
    <w:rsid w:val="00297ECD"/>
    <w:rsid w:val="00297F4D"/>
    <w:rsid w:val="002A0316"/>
    <w:rsid w:val="002A0498"/>
    <w:rsid w:val="002A053B"/>
    <w:rsid w:val="002A0A57"/>
    <w:rsid w:val="002A0CE1"/>
    <w:rsid w:val="002A0DCF"/>
    <w:rsid w:val="002A0EF5"/>
    <w:rsid w:val="002A0F99"/>
    <w:rsid w:val="002A0FCD"/>
    <w:rsid w:val="002A0FE0"/>
    <w:rsid w:val="002A12CF"/>
    <w:rsid w:val="002A12E3"/>
    <w:rsid w:val="002A140F"/>
    <w:rsid w:val="002A1584"/>
    <w:rsid w:val="002A1804"/>
    <w:rsid w:val="002A18B5"/>
    <w:rsid w:val="002A18DE"/>
    <w:rsid w:val="002A1CD3"/>
    <w:rsid w:val="002A20E9"/>
    <w:rsid w:val="002A2238"/>
    <w:rsid w:val="002A24A5"/>
    <w:rsid w:val="002A2532"/>
    <w:rsid w:val="002A259D"/>
    <w:rsid w:val="002A25A0"/>
    <w:rsid w:val="002A27AB"/>
    <w:rsid w:val="002A2838"/>
    <w:rsid w:val="002A2963"/>
    <w:rsid w:val="002A2A24"/>
    <w:rsid w:val="002A2AF5"/>
    <w:rsid w:val="002A2BE4"/>
    <w:rsid w:val="002A2C4B"/>
    <w:rsid w:val="002A30AE"/>
    <w:rsid w:val="002A3146"/>
    <w:rsid w:val="002A3190"/>
    <w:rsid w:val="002A336F"/>
    <w:rsid w:val="002A3402"/>
    <w:rsid w:val="002A342E"/>
    <w:rsid w:val="002A3459"/>
    <w:rsid w:val="002A34F9"/>
    <w:rsid w:val="002A3692"/>
    <w:rsid w:val="002A3712"/>
    <w:rsid w:val="002A38CD"/>
    <w:rsid w:val="002A3CAB"/>
    <w:rsid w:val="002A3E33"/>
    <w:rsid w:val="002A3EC8"/>
    <w:rsid w:val="002A4082"/>
    <w:rsid w:val="002A4227"/>
    <w:rsid w:val="002A429F"/>
    <w:rsid w:val="002A42EA"/>
    <w:rsid w:val="002A44C0"/>
    <w:rsid w:val="002A45A0"/>
    <w:rsid w:val="002A45B0"/>
    <w:rsid w:val="002A468D"/>
    <w:rsid w:val="002A4B72"/>
    <w:rsid w:val="002A4BAC"/>
    <w:rsid w:val="002A5086"/>
    <w:rsid w:val="002A5114"/>
    <w:rsid w:val="002A53AD"/>
    <w:rsid w:val="002A5444"/>
    <w:rsid w:val="002A54CB"/>
    <w:rsid w:val="002A55CF"/>
    <w:rsid w:val="002A56C1"/>
    <w:rsid w:val="002A5806"/>
    <w:rsid w:val="002A5878"/>
    <w:rsid w:val="002A5948"/>
    <w:rsid w:val="002A5AB8"/>
    <w:rsid w:val="002A5B2E"/>
    <w:rsid w:val="002A5BAA"/>
    <w:rsid w:val="002A5C75"/>
    <w:rsid w:val="002A5D77"/>
    <w:rsid w:val="002A6182"/>
    <w:rsid w:val="002A61D7"/>
    <w:rsid w:val="002A634C"/>
    <w:rsid w:val="002A63B5"/>
    <w:rsid w:val="002A64C0"/>
    <w:rsid w:val="002A6521"/>
    <w:rsid w:val="002A65DC"/>
    <w:rsid w:val="002A65DE"/>
    <w:rsid w:val="002A66EB"/>
    <w:rsid w:val="002A66F8"/>
    <w:rsid w:val="002A6A02"/>
    <w:rsid w:val="002A6C19"/>
    <w:rsid w:val="002A6CCB"/>
    <w:rsid w:val="002A6E3C"/>
    <w:rsid w:val="002A6EC2"/>
    <w:rsid w:val="002A6F46"/>
    <w:rsid w:val="002A6F93"/>
    <w:rsid w:val="002A7012"/>
    <w:rsid w:val="002A71ED"/>
    <w:rsid w:val="002A73B2"/>
    <w:rsid w:val="002A74A2"/>
    <w:rsid w:val="002A7545"/>
    <w:rsid w:val="002A755C"/>
    <w:rsid w:val="002A75C8"/>
    <w:rsid w:val="002A7714"/>
    <w:rsid w:val="002A7803"/>
    <w:rsid w:val="002A7882"/>
    <w:rsid w:val="002A7AAF"/>
    <w:rsid w:val="002A7BAB"/>
    <w:rsid w:val="002A7BFE"/>
    <w:rsid w:val="002A7FDE"/>
    <w:rsid w:val="002B0069"/>
    <w:rsid w:val="002B0161"/>
    <w:rsid w:val="002B0288"/>
    <w:rsid w:val="002B02E0"/>
    <w:rsid w:val="002B034A"/>
    <w:rsid w:val="002B03A2"/>
    <w:rsid w:val="002B04E4"/>
    <w:rsid w:val="002B05EA"/>
    <w:rsid w:val="002B06BD"/>
    <w:rsid w:val="002B0936"/>
    <w:rsid w:val="002B0A1B"/>
    <w:rsid w:val="002B0C1F"/>
    <w:rsid w:val="002B0C95"/>
    <w:rsid w:val="002B0D97"/>
    <w:rsid w:val="002B0DA7"/>
    <w:rsid w:val="002B0EA2"/>
    <w:rsid w:val="002B0F02"/>
    <w:rsid w:val="002B0F1B"/>
    <w:rsid w:val="002B117A"/>
    <w:rsid w:val="002B1185"/>
    <w:rsid w:val="002B12B4"/>
    <w:rsid w:val="002B1467"/>
    <w:rsid w:val="002B14FA"/>
    <w:rsid w:val="002B165E"/>
    <w:rsid w:val="002B16AC"/>
    <w:rsid w:val="002B1732"/>
    <w:rsid w:val="002B173C"/>
    <w:rsid w:val="002B18C0"/>
    <w:rsid w:val="002B1AEF"/>
    <w:rsid w:val="002B211D"/>
    <w:rsid w:val="002B22D5"/>
    <w:rsid w:val="002B22F1"/>
    <w:rsid w:val="002B259E"/>
    <w:rsid w:val="002B25CA"/>
    <w:rsid w:val="002B25EB"/>
    <w:rsid w:val="002B2639"/>
    <w:rsid w:val="002B27B8"/>
    <w:rsid w:val="002B284A"/>
    <w:rsid w:val="002B2AA7"/>
    <w:rsid w:val="002B2AC9"/>
    <w:rsid w:val="002B2AD6"/>
    <w:rsid w:val="002B2C64"/>
    <w:rsid w:val="002B2CB1"/>
    <w:rsid w:val="002B2DD5"/>
    <w:rsid w:val="002B2E63"/>
    <w:rsid w:val="002B3361"/>
    <w:rsid w:val="002B344F"/>
    <w:rsid w:val="002B3873"/>
    <w:rsid w:val="002B3907"/>
    <w:rsid w:val="002B3950"/>
    <w:rsid w:val="002B3973"/>
    <w:rsid w:val="002B39A7"/>
    <w:rsid w:val="002B39AA"/>
    <w:rsid w:val="002B3BCA"/>
    <w:rsid w:val="002B3C4C"/>
    <w:rsid w:val="002B41F8"/>
    <w:rsid w:val="002B41FC"/>
    <w:rsid w:val="002B4303"/>
    <w:rsid w:val="002B443E"/>
    <w:rsid w:val="002B4519"/>
    <w:rsid w:val="002B4526"/>
    <w:rsid w:val="002B45BF"/>
    <w:rsid w:val="002B4637"/>
    <w:rsid w:val="002B481F"/>
    <w:rsid w:val="002B4872"/>
    <w:rsid w:val="002B491B"/>
    <w:rsid w:val="002B494F"/>
    <w:rsid w:val="002B4AD1"/>
    <w:rsid w:val="002B4C5E"/>
    <w:rsid w:val="002B51B6"/>
    <w:rsid w:val="002B523F"/>
    <w:rsid w:val="002B53B0"/>
    <w:rsid w:val="002B549A"/>
    <w:rsid w:val="002B55FD"/>
    <w:rsid w:val="002B572D"/>
    <w:rsid w:val="002B577F"/>
    <w:rsid w:val="002B57C8"/>
    <w:rsid w:val="002B5CB9"/>
    <w:rsid w:val="002B5EB8"/>
    <w:rsid w:val="002B5F30"/>
    <w:rsid w:val="002B5F65"/>
    <w:rsid w:val="002B5F85"/>
    <w:rsid w:val="002B5FF6"/>
    <w:rsid w:val="002B6339"/>
    <w:rsid w:val="002B6368"/>
    <w:rsid w:val="002B6634"/>
    <w:rsid w:val="002B6642"/>
    <w:rsid w:val="002B685C"/>
    <w:rsid w:val="002B68EE"/>
    <w:rsid w:val="002B69DB"/>
    <w:rsid w:val="002B6C9F"/>
    <w:rsid w:val="002B7226"/>
    <w:rsid w:val="002B7242"/>
    <w:rsid w:val="002B7279"/>
    <w:rsid w:val="002B746A"/>
    <w:rsid w:val="002B74DF"/>
    <w:rsid w:val="002B750E"/>
    <w:rsid w:val="002B7519"/>
    <w:rsid w:val="002B75ED"/>
    <w:rsid w:val="002B785A"/>
    <w:rsid w:val="002B78B5"/>
    <w:rsid w:val="002B798B"/>
    <w:rsid w:val="002B7A8C"/>
    <w:rsid w:val="002B7A93"/>
    <w:rsid w:val="002B7B29"/>
    <w:rsid w:val="002B7E73"/>
    <w:rsid w:val="002C0040"/>
    <w:rsid w:val="002C0121"/>
    <w:rsid w:val="002C016C"/>
    <w:rsid w:val="002C0658"/>
    <w:rsid w:val="002C0A3B"/>
    <w:rsid w:val="002C0AEB"/>
    <w:rsid w:val="002C0B56"/>
    <w:rsid w:val="002C0BA6"/>
    <w:rsid w:val="002C0C4F"/>
    <w:rsid w:val="002C0CFD"/>
    <w:rsid w:val="002C0D57"/>
    <w:rsid w:val="002C0D69"/>
    <w:rsid w:val="002C0DCB"/>
    <w:rsid w:val="002C1274"/>
    <w:rsid w:val="002C12CB"/>
    <w:rsid w:val="002C137D"/>
    <w:rsid w:val="002C14B7"/>
    <w:rsid w:val="002C158F"/>
    <w:rsid w:val="002C16D4"/>
    <w:rsid w:val="002C18DF"/>
    <w:rsid w:val="002C19E8"/>
    <w:rsid w:val="002C1AFB"/>
    <w:rsid w:val="002C1B82"/>
    <w:rsid w:val="002C1D52"/>
    <w:rsid w:val="002C1E03"/>
    <w:rsid w:val="002C1E95"/>
    <w:rsid w:val="002C1EE6"/>
    <w:rsid w:val="002C202D"/>
    <w:rsid w:val="002C218B"/>
    <w:rsid w:val="002C2294"/>
    <w:rsid w:val="002C26A4"/>
    <w:rsid w:val="002C2705"/>
    <w:rsid w:val="002C27B7"/>
    <w:rsid w:val="002C283E"/>
    <w:rsid w:val="002C2990"/>
    <w:rsid w:val="002C29BD"/>
    <w:rsid w:val="002C2B8C"/>
    <w:rsid w:val="002C2D5D"/>
    <w:rsid w:val="002C2D73"/>
    <w:rsid w:val="002C2DFD"/>
    <w:rsid w:val="002C2E12"/>
    <w:rsid w:val="002C2FA5"/>
    <w:rsid w:val="002C3067"/>
    <w:rsid w:val="002C3171"/>
    <w:rsid w:val="002C36BA"/>
    <w:rsid w:val="002C3811"/>
    <w:rsid w:val="002C38CF"/>
    <w:rsid w:val="002C3907"/>
    <w:rsid w:val="002C3A3F"/>
    <w:rsid w:val="002C3B64"/>
    <w:rsid w:val="002C3BD6"/>
    <w:rsid w:val="002C3FD3"/>
    <w:rsid w:val="002C423B"/>
    <w:rsid w:val="002C44F7"/>
    <w:rsid w:val="002C45FB"/>
    <w:rsid w:val="002C479A"/>
    <w:rsid w:val="002C4952"/>
    <w:rsid w:val="002C4AAF"/>
    <w:rsid w:val="002C4B3D"/>
    <w:rsid w:val="002C4B9F"/>
    <w:rsid w:val="002C4D70"/>
    <w:rsid w:val="002C4D97"/>
    <w:rsid w:val="002C4E1F"/>
    <w:rsid w:val="002C4ED3"/>
    <w:rsid w:val="002C4FE5"/>
    <w:rsid w:val="002C5015"/>
    <w:rsid w:val="002C506D"/>
    <w:rsid w:val="002C5198"/>
    <w:rsid w:val="002C538C"/>
    <w:rsid w:val="002C5442"/>
    <w:rsid w:val="002C54DF"/>
    <w:rsid w:val="002C5514"/>
    <w:rsid w:val="002C5851"/>
    <w:rsid w:val="002C59A5"/>
    <w:rsid w:val="002C5AE1"/>
    <w:rsid w:val="002C5C9F"/>
    <w:rsid w:val="002C5FDA"/>
    <w:rsid w:val="002C6018"/>
    <w:rsid w:val="002C6062"/>
    <w:rsid w:val="002C6122"/>
    <w:rsid w:val="002C63CF"/>
    <w:rsid w:val="002C671E"/>
    <w:rsid w:val="002C6852"/>
    <w:rsid w:val="002C6973"/>
    <w:rsid w:val="002C6AA9"/>
    <w:rsid w:val="002C6C18"/>
    <w:rsid w:val="002C6C84"/>
    <w:rsid w:val="002C6CAD"/>
    <w:rsid w:val="002C6DDD"/>
    <w:rsid w:val="002C6DFA"/>
    <w:rsid w:val="002C6F66"/>
    <w:rsid w:val="002C6FED"/>
    <w:rsid w:val="002C7551"/>
    <w:rsid w:val="002C757B"/>
    <w:rsid w:val="002C7632"/>
    <w:rsid w:val="002C77F1"/>
    <w:rsid w:val="002C7823"/>
    <w:rsid w:val="002C787D"/>
    <w:rsid w:val="002C796E"/>
    <w:rsid w:val="002C7A51"/>
    <w:rsid w:val="002C7B89"/>
    <w:rsid w:val="002C7E14"/>
    <w:rsid w:val="002D00CD"/>
    <w:rsid w:val="002D0282"/>
    <w:rsid w:val="002D03F3"/>
    <w:rsid w:val="002D03FE"/>
    <w:rsid w:val="002D042D"/>
    <w:rsid w:val="002D04A0"/>
    <w:rsid w:val="002D05DB"/>
    <w:rsid w:val="002D08C0"/>
    <w:rsid w:val="002D093D"/>
    <w:rsid w:val="002D0A78"/>
    <w:rsid w:val="002D0AB1"/>
    <w:rsid w:val="002D0F5F"/>
    <w:rsid w:val="002D0F8D"/>
    <w:rsid w:val="002D0FF4"/>
    <w:rsid w:val="002D1052"/>
    <w:rsid w:val="002D106C"/>
    <w:rsid w:val="002D10B2"/>
    <w:rsid w:val="002D10E1"/>
    <w:rsid w:val="002D1289"/>
    <w:rsid w:val="002D1320"/>
    <w:rsid w:val="002D1371"/>
    <w:rsid w:val="002D1688"/>
    <w:rsid w:val="002D17FC"/>
    <w:rsid w:val="002D1C2C"/>
    <w:rsid w:val="002D21D1"/>
    <w:rsid w:val="002D2537"/>
    <w:rsid w:val="002D279C"/>
    <w:rsid w:val="002D28F4"/>
    <w:rsid w:val="002D293A"/>
    <w:rsid w:val="002D2CC7"/>
    <w:rsid w:val="002D2DFB"/>
    <w:rsid w:val="002D2EC0"/>
    <w:rsid w:val="002D3159"/>
    <w:rsid w:val="002D31F1"/>
    <w:rsid w:val="002D3200"/>
    <w:rsid w:val="002D324C"/>
    <w:rsid w:val="002D3283"/>
    <w:rsid w:val="002D331B"/>
    <w:rsid w:val="002D3560"/>
    <w:rsid w:val="002D35C2"/>
    <w:rsid w:val="002D3670"/>
    <w:rsid w:val="002D38EB"/>
    <w:rsid w:val="002D3A05"/>
    <w:rsid w:val="002D3ACB"/>
    <w:rsid w:val="002D3B9B"/>
    <w:rsid w:val="002D3C3A"/>
    <w:rsid w:val="002D3C99"/>
    <w:rsid w:val="002D3D4E"/>
    <w:rsid w:val="002D3D7F"/>
    <w:rsid w:val="002D3EE2"/>
    <w:rsid w:val="002D3F42"/>
    <w:rsid w:val="002D40DF"/>
    <w:rsid w:val="002D417B"/>
    <w:rsid w:val="002D4293"/>
    <w:rsid w:val="002D42F2"/>
    <w:rsid w:val="002D468A"/>
    <w:rsid w:val="002D4707"/>
    <w:rsid w:val="002D4773"/>
    <w:rsid w:val="002D48B0"/>
    <w:rsid w:val="002D4A7D"/>
    <w:rsid w:val="002D4AC1"/>
    <w:rsid w:val="002D4B20"/>
    <w:rsid w:val="002D4C01"/>
    <w:rsid w:val="002D4C16"/>
    <w:rsid w:val="002D4C3F"/>
    <w:rsid w:val="002D4D38"/>
    <w:rsid w:val="002D4DC1"/>
    <w:rsid w:val="002D4E19"/>
    <w:rsid w:val="002D4E75"/>
    <w:rsid w:val="002D5040"/>
    <w:rsid w:val="002D50DB"/>
    <w:rsid w:val="002D50F1"/>
    <w:rsid w:val="002D50FA"/>
    <w:rsid w:val="002D51D9"/>
    <w:rsid w:val="002D526E"/>
    <w:rsid w:val="002D53DE"/>
    <w:rsid w:val="002D5620"/>
    <w:rsid w:val="002D56FA"/>
    <w:rsid w:val="002D5777"/>
    <w:rsid w:val="002D5818"/>
    <w:rsid w:val="002D58D3"/>
    <w:rsid w:val="002D5A5A"/>
    <w:rsid w:val="002D5CA5"/>
    <w:rsid w:val="002D5DEA"/>
    <w:rsid w:val="002D5E08"/>
    <w:rsid w:val="002D5E16"/>
    <w:rsid w:val="002D6056"/>
    <w:rsid w:val="002D6297"/>
    <w:rsid w:val="002D6481"/>
    <w:rsid w:val="002D65F2"/>
    <w:rsid w:val="002D6957"/>
    <w:rsid w:val="002D6C97"/>
    <w:rsid w:val="002D6E38"/>
    <w:rsid w:val="002D722A"/>
    <w:rsid w:val="002D72A8"/>
    <w:rsid w:val="002D72B9"/>
    <w:rsid w:val="002D7412"/>
    <w:rsid w:val="002D75C9"/>
    <w:rsid w:val="002D76AA"/>
    <w:rsid w:val="002D7766"/>
    <w:rsid w:val="002D78C3"/>
    <w:rsid w:val="002D7C36"/>
    <w:rsid w:val="002D7FBF"/>
    <w:rsid w:val="002E00D3"/>
    <w:rsid w:val="002E0476"/>
    <w:rsid w:val="002E0492"/>
    <w:rsid w:val="002E0605"/>
    <w:rsid w:val="002E0675"/>
    <w:rsid w:val="002E07EF"/>
    <w:rsid w:val="002E09C9"/>
    <w:rsid w:val="002E0D69"/>
    <w:rsid w:val="002E10F0"/>
    <w:rsid w:val="002E119E"/>
    <w:rsid w:val="002E11F2"/>
    <w:rsid w:val="002E1297"/>
    <w:rsid w:val="002E12CE"/>
    <w:rsid w:val="002E14EF"/>
    <w:rsid w:val="002E158E"/>
    <w:rsid w:val="002E1742"/>
    <w:rsid w:val="002E17CF"/>
    <w:rsid w:val="002E1957"/>
    <w:rsid w:val="002E1A7D"/>
    <w:rsid w:val="002E1BAD"/>
    <w:rsid w:val="002E1CB6"/>
    <w:rsid w:val="002E1FED"/>
    <w:rsid w:val="002E2732"/>
    <w:rsid w:val="002E29E7"/>
    <w:rsid w:val="002E2A14"/>
    <w:rsid w:val="002E2F1E"/>
    <w:rsid w:val="002E3023"/>
    <w:rsid w:val="002E3040"/>
    <w:rsid w:val="002E30CA"/>
    <w:rsid w:val="002E30FE"/>
    <w:rsid w:val="002E32EC"/>
    <w:rsid w:val="002E3465"/>
    <w:rsid w:val="002E36DB"/>
    <w:rsid w:val="002E36F4"/>
    <w:rsid w:val="002E3990"/>
    <w:rsid w:val="002E3D52"/>
    <w:rsid w:val="002E3DBF"/>
    <w:rsid w:val="002E3E4F"/>
    <w:rsid w:val="002E3E76"/>
    <w:rsid w:val="002E3F74"/>
    <w:rsid w:val="002E4188"/>
    <w:rsid w:val="002E4399"/>
    <w:rsid w:val="002E43CD"/>
    <w:rsid w:val="002E44DC"/>
    <w:rsid w:val="002E4706"/>
    <w:rsid w:val="002E4846"/>
    <w:rsid w:val="002E4951"/>
    <w:rsid w:val="002E4B42"/>
    <w:rsid w:val="002E4C5B"/>
    <w:rsid w:val="002E4F9A"/>
    <w:rsid w:val="002E4FA2"/>
    <w:rsid w:val="002E4FAB"/>
    <w:rsid w:val="002E51E5"/>
    <w:rsid w:val="002E5334"/>
    <w:rsid w:val="002E537E"/>
    <w:rsid w:val="002E5383"/>
    <w:rsid w:val="002E5468"/>
    <w:rsid w:val="002E550D"/>
    <w:rsid w:val="002E563C"/>
    <w:rsid w:val="002E56D4"/>
    <w:rsid w:val="002E598D"/>
    <w:rsid w:val="002E5A75"/>
    <w:rsid w:val="002E5AA3"/>
    <w:rsid w:val="002E5AD1"/>
    <w:rsid w:val="002E5B36"/>
    <w:rsid w:val="002E5C31"/>
    <w:rsid w:val="002E5DA4"/>
    <w:rsid w:val="002E5DEC"/>
    <w:rsid w:val="002E5E41"/>
    <w:rsid w:val="002E5E45"/>
    <w:rsid w:val="002E5ECF"/>
    <w:rsid w:val="002E5F44"/>
    <w:rsid w:val="002E5FA6"/>
    <w:rsid w:val="002E5FF3"/>
    <w:rsid w:val="002E610A"/>
    <w:rsid w:val="002E62F8"/>
    <w:rsid w:val="002E6385"/>
    <w:rsid w:val="002E63DC"/>
    <w:rsid w:val="002E644D"/>
    <w:rsid w:val="002E650B"/>
    <w:rsid w:val="002E66FA"/>
    <w:rsid w:val="002E68D3"/>
    <w:rsid w:val="002E68D6"/>
    <w:rsid w:val="002E6ACE"/>
    <w:rsid w:val="002E6ACF"/>
    <w:rsid w:val="002E6CFD"/>
    <w:rsid w:val="002E6EA0"/>
    <w:rsid w:val="002E71C2"/>
    <w:rsid w:val="002E74E6"/>
    <w:rsid w:val="002E75C4"/>
    <w:rsid w:val="002E76A1"/>
    <w:rsid w:val="002E772F"/>
    <w:rsid w:val="002E7C34"/>
    <w:rsid w:val="002E7C79"/>
    <w:rsid w:val="002E7C96"/>
    <w:rsid w:val="002E7D52"/>
    <w:rsid w:val="002E7EB8"/>
    <w:rsid w:val="002E7FAF"/>
    <w:rsid w:val="002E7FE2"/>
    <w:rsid w:val="002F0031"/>
    <w:rsid w:val="002F0153"/>
    <w:rsid w:val="002F01DB"/>
    <w:rsid w:val="002F039D"/>
    <w:rsid w:val="002F0461"/>
    <w:rsid w:val="002F046B"/>
    <w:rsid w:val="002F056E"/>
    <w:rsid w:val="002F0938"/>
    <w:rsid w:val="002F0AD7"/>
    <w:rsid w:val="002F0B0E"/>
    <w:rsid w:val="002F0B8F"/>
    <w:rsid w:val="002F0BAD"/>
    <w:rsid w:val="002F0D6B"/>
    <w:rsid w:val="002F0E26"/>
    <w:rsid w:val="002F0E3F"/>
    <w:rsid w:val="002F131C"/>
    <w:rsid w:val="002F1480"/>
    <w:rsid w:val="002F14EC"/>
    <w:rsid w:val="002F15DA"/>
    <w:rsid w:val="002F15E4"/>
    <w:rsid w:val="002F1658"/>
    <w:rsid w:val="002F178C"/>
    <w:rsid w:val="002F184D"/>
    <w:rsid w:val="002F18E1"/>
    <w:rsid w:val="002F19D0"/>
    <w:rsid w:val="002F1BB3"/>
    <w:rsid w:val="002F1D4E"/>
    <w:rsid w:val="002F1DB8"/>
    <w:rsid w:val="002F1E39"/>
    <w:rsid w:val="002F1EED"/>
    <w:rsid w:val="002F2044"/>
    <w:rsid w:val="002F2080"/>
    <w:rsid w:val="002F2083"/>
    <w:rsid w:val="002F20AB"/>
    <w:rsid w:val="002F2272"/>
    <w:rsid w:val="002F22A1"/>
    <w:rsid w:val="002F2418"/>
    <w:rsid w:val="002F275D"/>
    <w:rsid w:val="002F28A5"/>
    <w:rsid w:val="002F29A8"/>
    <w:rsid w:val="002F2F16"/>
    <w:rsid w:val="002F3186"/>
    <w:rsid w:val="002F319A"/>
    <w:rsid w:val="002F3210"/>
    <w:rsid w:val="002F34FB"/>
    <w:rsid w:val="002F374E"/>
    <w:rsid w:val="002F377D"/>
    <w:rsid w:val="002F383E"/>
    <w:rsid w:val="002F38A5"/>
    <w:rsid w:val="002F393B"/>
    <w:rsid w:val="002F395A"/>
    <w:rsid w:val="002F3A6C"/>
    <w:rsid w:val="002F3A77"/>
    <w:rsid w:val="002F3CFE"/>
    <w:rsid w:val="002F413D"/>
    <w:rsid w:val="002F4149"/>
    <w:rsid w:val="002F4227"/>
    <w:rsid w:val="002F4232"/>
    <w:rsid w:val="002F445C"/>
    <w:rsid w:val="002F4489"/>
    <w:rsid w:val="002F44C6"/>
    <w:rsid w:val="002F47B3"/>
    <w:rsid w:val="002F49B4"/>
    <w:rsid w:val="002F49C5"/>
    <w:rsid w:val="002F49F4"/>
    <w:rsid w:val="002F4A17"/>
    <w:rsid w:val="002F4AC8"/>
    <w:rsid w:val="002F4AF0"/>
    <w:rsid w:val="002F4B0A"/>
    <w:rsid w:val="002F4C55"/>
    <w:rsid w:val="002F4C6B"/>
    <w:rsid w:val="002F4C79"/>
    <w:rsid w:val="002F4CA4"/>
    <w:rsid w:val="002F4DCD"/>
    <w:rsid w:val="002F4F2B"/>
    <w:rsid w:val="002F4F31"/>
    <w:rsid w:val="002F5014"/>
    <w:rsid w:val="002F5091"/>
    <w:rsid w:val="002F50E7"/>
    <w:rsid w:val="002F5228"/>
    <w:rsid w:val="002F54CD"/>
    <w:rsid w:val="002F58F8"/>
    <w:rsid w:val="002F5925"/>
    <w:rsid w:val="002F5951"/>
    <w:rsid w:val="002F5A5F"/>
    <w:rsid w:val="002F5A71"/>
    <w:rsid w:val="002F5B14"/>
    <w:rsid w:val="002F5B44"/>
    <w:rsid w:val="002F5BB5"/>
    <w:rsid w:val="002F5BB9"/>
    <w:rsid w:val="002F5BD1"/>
    <w:rsid w:val="002F5DC8"/>
    <w:rsid w:val="002F5EEC"/>
    <w:rsid w:val="002F6137"/>
    <w:rsid w:val="002F613A"/>
    <w:rsid w:val="002F62B2"/>
    <w:rsid w:val="002F638A"/>
    <w:rsid w:val="002F6731"/>
    <w:rsid w:val="002F6865"/>
    <w:rsid w:val="002F6B41"/>
    <w:rsid w:val="002F6BA4"/>
    <w:rsid w:val="002F6F54"/>
    <w:rsid w:val="002F735B"/>
    <w:rsid w:val="002F780D"/>
    <w:rsid w:val="002F7838"/>
    <w:rsid w:val="002F79FF"/>
    <w:rsid w:val="002F7A83"/>
    <w:rsid w:val="002F7C35"/>
    <w:rsid w:val="002F7C9C"/>
    <w:rsid w:val="002F7DA7"/>
    <w:rsid w:val="002F7DF3"/>
    <w:rsid w:val="002F7E37"/>
    <w:rsid w:val="002F7E93"/>
    <w:rsid w:val="003000E8"/>
    <w:rsid w:val="0030017B"/>
    <w:rsid w:val="00300189"/>
    <w:rsid w:val="003002A3"/>
    <w:rsid w:val="003002F7"/>
    <w:rsid w:val="00300328"/>
    <w:rsid w:val="0030041D"/>
    <w:rsid w:val="00300847"/>
    <w:rsid w:val="00300B76"/>
    <w:rsid w:val="00300BAC"/>
    <w:rsid w:val="00300BE1"/>
    <w:rsid w:val="00300CC5"/>
    <w:rsid w:val="00300D63"/>
    <w:rsid w:val="00300D75"/>
    <w:rsid w:val="00300E14"/>
    <w:rsid w:val="00300F4A"/>
    <w:rsid w:val="00300FD2"/>
    <w:rsid w:val="003010C5"/>
    <w:rsid w:val="003011DD"/>
    <w:rsid w:val="003013D7"/>
    <w:rsid w:val="003014EE"/>
    <w:rsid w:val="0030150E"/>
    <w:rsid w:val="00301568"/>
    <w:rsid w:val="0030171E"/>
    <w:rsid w:val="00301837"/>
    <w:rsid w:val="00301B8B"/>
    <w:rsid w:val="00301C65"/>
    <w:rsid w:val="00301C6D"/>
    <w:rsid w:val="00301C90"/>
    <w:rsid w:val="00301CFC"/>
    <w:rsid w:val="00301D0E"/>
    <w:rsid w:val="00301D93"/>
    <w:rsid w:val="00301F46"/>
    <w:rsid w:val="00302056"/>
    <w:rsid w:val="003020A9"/>
    <w:rsid w:val="003020B6"/>
    <w:rsid w:val="00302151"/>
    <w:rsid w:val="0030229F"/>
    <w:rsid w:val="003022B4"/>
    <w:rsid w:val="003024D1"/>
    <w:rsid w:val="0030252A"/>
    <w:rsid w:val="0030258E"/>
    <w:rsid w:val="0030289C"/>
    <w:rsid w:val="003029FD"/>
    <w:rsid w:val="00302A00"/>
    <w:rsid w:val="00302CA2"/>
    <w:rsid w:val="00302D48"/>
    <w:rsid w:val="00302D6D"/>
    <w:rsid w:val="00302F42"/>
    <w:rsid w:val="00302FBB"/>
    <w:rsid w:val="00303099"/>
    <w:rsid w:val="0030325B"/>
    <w:rsid w:val="00303266"/>
    <w:rsid w:val="00303318"/>
    <w:rsid w:val="00303361"/>
    <w:rsid w:val="003037A4"/>
    <w:rsid w:val="00303829"/>
    <w:rsid w:val="00303893"/>
    <w:rsid w:val="00303BAB"/>
    <w:rsid w:val="00303EF3"/>
    <w:rsid w:val="00303FFD"/>
    <w:rsid w:val="00304087"/>
    <w:rsid w:val="003040AD"/>
    <w:rsid w:val="00304198"/>
    <w:rsid w:val="00304341"/>
    <w:rsid w:val="003043FD"/>
    <w:rsid w:val="00304416"/>
    <w:rsid w:val="003045AE"/>
    <w:rsid w:val="0030463B"/>
    <w:rsid w:val="00304718"/>
    <w:rsid w:val="0030479D"/>
    <w:rsid w:val="00304813"/>
    <w:rsid w:val="00304838"/>
    <w:rsid w:val="00304AB7"/>
    <w:rsid w:val="00304FE5"/>
    <w:rsid w:val="0030500A"/>
    <w:rsid w:val="00305042"/>
    <w:rsid w:val="003050ED"/>
    <w:rsid w:val="0030532C"/>
    <w:rsid w:val="00305555"/>
    <w:rsid w:val="003055CB"/>
    <w:rsid w:val="00305799"/>
    <w:rsid w:val="00305920"/>
    <w:rsid w:val="00305ACD"/>
    <w:rsid w:val="00305B4B"/>
    <w:rsid w:val="00305C5C"/>
    <w:rsid w:val="00305D5A"/>
    <w:rsid w:val="00305E12"/>
    <w:rsid w:val="003064AD"/>
    <w:rsid w:val="00306656"/>
    <w:rsid w:val="00306670"/>
    <w:rsid w:val="003066F9"/>
    <w:rsid w:val="0030678B"/>
    <w:rsid w:val="003067DB"/>
    <w:rsid w:val="0030699F"/>
    <w:rsid w:val="00306BE6"/>
    <w:rsid w:val="00306C49"/>
    <w:rsid w:val="00306C6A"/>
    <w:rsid w:val="00306DAC"/>
    <w:rsid w:val="00306E42"/>
    <w:rsid w:val="00306FD0"/>
    <w:rsid w:val="003071DC"/>
    <w:rsid w:val="0030725C"/>
    <w:rsid w:val="003072CE"/>
    <w:rsid w:val="0030744B"/>
    <w:rsid w:val="003074CE"/>
    <w:rsid w:val="003074F3"/>
    <w:rsid w:val="003075CF"/>
    <w:rsid w:val="00307614"/>
    <w:rsid w:val="0030780A"/>
    <w:rsid w:val="00307853"/>
    <w:rsid w:val="003078EF"/>
    <w:rsid w:val="00307971"/>
    <w:rsid w:val="00307A2A"/>
    <w:rsid w:val="00307CDD"/>
    <w:rsid w:val="00307CE8"/>
    <w:rsid w:val="00307F68"/>
    <w:rsid w:val="00307F93"/>
    <w:rsid w:val="00310377"/>
    <w:rsid w:val="003103F5"/>
    <w:rsid w:val="00310502"/>
    <w:rsid w:val="0031059D"/>
    <w:rsid w:val="00310702"/>
    <w:rsid w:val="003108AA"/>
    <w:rsid w:val="003108BE"/>
    <w:rsid w:val="0031096E"/>
    <w:rsid w:val="0031096F"/>
    <w:rsid w:val="00310A67"/>
    <w:rsid w:val="00310B36"/>
    <w:rsid w:val="00310C5A"/>
    <w:rsid w:val="0031109F"/>
    <w:rsid w:val="003110DD"/>
    <w:rsid w:val="0031124B"/>
    <w:rsid w:val="003112FB"/>
    <w:rsid w:val="0031140F"/>
    <w:rsid w:val="0031165E"/>
    <w:rsid w:val="00311799"/>
    <w:rsid w:val="00311903"/>
    <w:rsid w:val="0031196B"/>
    <w:rsid w:val="00311B20"/>
    <w:rsid w:val="00311BD4"/>
    <w:rsid w:val="00311C4A"/>
    <w:rsid w:val="00311CE4"/>
    <w:rsid w:val="00311D67"/>
    <w:rsid w:val="00311DB9"/>
    <w:rsid w:val="00311EF5"/>
    <w:rsid w:val="00311FF4"/>
    <w:rsid w:val="00312002"/>
    <w:rsid w:val="0031218D"/>
    <w:rsid w:val="003123C9"/>
    <w:rsid w:val="0031250C"/>
    <w:rsid w:val="003126D2"/>
    <w:rsid w:val="003127BF"/>
    <w:rsid w:val="0031287B"/>
    <w:rsid w:val="00312BF1"/>
    <w:rsid w:val="00312C7C"/>
    <w:rsid w:val="0031315D"/>
    <w:rsid w:val="00313174"/>
    <w:rsid w:val="003134B4"/>
    <w:rsid w:val="003138D2"/>
    <w:rsid w:val="0031395E"/>
    <w:rsid w:val="00313962"/>
    <w:rsid w:val="003139FB"/>
    <w:rsid w:val="00313A92"/>
    <w:rsid w:val="00313ADB"/>
    <w:rsid w:val="00313B38"/>
    <w:rsid w:val="00313C14"/>
    <w:rsid w:val="00313DCF"/>
    <w:rsid w:val="0031416A"/>
    <w:rsid w:val="0031447F"/>
    <w:rsid w:val="00314518"/>
    <w:rsid w:val="00314559"/>
    <w:rsid w:val="003145EC"/>
    <w:rsid w:val="003146DA"/>
    <w:rsid w:val="0031471E"/>
    <w:rsid w:val="003148AB"/>
    <w:rsid w:val="003149B5"/>
    <w:rsid w:val="00314B86"/>
    <w:rsid w:val="00314C31"/>
    <w:rsid w:val="00314CC0"/>
    <w:rsid w:val="00314CE3"/>
    <w:rsid w:val="00314D3E"/>
    <w:rsid w:val="00314E6D"/>
    <w:rsid w:val="00315354"/>
    <w:rsid w:val="0031538F"/>
    <w:rsid w:val="003153BD"/>
    <w:rsid w:val="003153FA"/>
    <w:rsid w:val="003154D4"/>
    <w:rsid w:val="0031555B"/>
    <w:rsid w:val="003155A7"/>
    <w:rsid w:val="0031573D"/>
    <w:rsid w:val="0031582B"/>
    <w:rsid w:val="00315871"/>
    <w:rsid w:val="0031594F"/>
    <w:rsid w:val="00315987"/>
    <w:rsid w:val="00315AD7"/>
    <w:rsid w:val="00315B29"/>
    <w:rsid w:val="00315C2F"/>
    <w:rsid w:val="00315D6B"/>
    <w:rsid w:val="00315F60"/>
    <w:rsid w:val="00316228"/>
    <w:rsid w:val="00316384"/>
    <w:rsid w:val="003165B1"/>
    <w:rsid w:val="0031699E"/>
    <w:rsid w:val="003169A1"/>
    <w:rsid w:val="00316A13"/>
    <w:rsid w:val="00316A65"/>
    <w:rsid w:val="00316B57"/>
    <w:rsid w:val="00316BE1"/>
    <w:rsid w:val="00316FA4"/>
    <w:rsid w:val="003170B8"/>
    <w:rsid w:val="00317186"/>
    <w:rsid w:val="0031766D"/>
    <w:rsid w:val="00317824"/>
    <w:rsid w:val="003178C7"/>
    <w:rsid w:val="00317927"/>
    <w:rsid w:val="00317A6F"/>
    <w:rsid w:val="00317C46"/>
    <w:rsid w:val="00317CAB"/>
    <w:rsid w:val="00317D00"/>
    <w:rsid w:val="00317EA3"/>
    <w:rsid w:val="00320150"/>
    <w:rsid w:val="003201FB"/>
    <w:rsid w:val="0032024C"/>
    <w:rsid w:val="003202D3"/>
    <w:rsid w:val="0032035A"/>
    <w:rsid w:val="003205BE"/>
    <w:rsid w:val="0032065B"/>
    <w:rsid w:val="003209F5"/>
    <w:rsid w:val="00320A8C"/>
    <w:rsid w:val="00320A9B"/>
    <w:rsid w:val="00320AEE"/>
    <w:rsid w:val="00320B60"/>
    <w:rsid w:val="00320BBD"/>
    <w:rsid w:val="00320C23"/>
    <w:rsid w:val="00320D46"/>
    <w:rsid w:val="00320D8D"/>
    <w:rsid w:val="00320EA1"/>
    <w:rsid w:val="003210AE"/>
    <w:rsid w:val="0032114A"/>
    <w:rsid w:val="003212EF"/>
    <w:rsid w:val="00321478"/>
    <w:rsid w:val="003214AB"/>
    <w:rsid w:val="00321621"/>
    <w:rsid w:val="00321695"/>
    <w:rsid w:val="00321743"/>
    <w:rsid w:val="0032175F"/>
    <w:rsid w:val="00321768"/>
    <w:rsid w:val="00321959"/>
    <w:rsid w:val="00321A3E"/>
    <w:rsid w:val="00321C3B"/>
    <w:rsid w:val="00321CEF"/>
    <w:rsid w:val="00321DB3"/>
    <w:rsid w:val="00321E68"/>
    <w:rsid w:val="00322019"/>
    <w:rsid w:val="00322035"/>
    <w:rsid w:val="003220B2"/>
    <w:rsid w:val="00322163"/>
    <w:rsid w:val="003222E8"/>
    <w:rsid w:val="0032231A"/>
    <w:rsid w:val="003223E9"/>
    <w:rsid w:val="00322615"/>
    <w:rsid w:val="00322680"/>
    <w:rsid w:val="0032284C"/>
    <w:rsid w:val="003228BF"/>
    <w:rsid w:val="003228C2"/>
    <w:rsid w:val="00322A1B"/>
    <w:rsid w:val="00322A6B"/>
    <w:rsid w:val="00322CD9"/>
    <w:rsid w:val="00322EF7"/>
    <w:rsid w:val="00323223"/>
    <w:rsid w:val="003232BF"/>
    <w:rsid w:val="003232FF"/>
    <w:rsid w:val="00323336"/>
    <w:rsid w:val="00323398"/>
    <w:rsid w:val="00323488"/>
    <w:rsid w:val="0032354E"/>
    <w:rsid w:val="003235B3"/>
    <w:rsid w:val="0032381B"/>
    <w:rsid w:val="00323862"/>
    <w:rsid w:val="003238EF"/>
    <w:rsid w:val="00323953"/>
    <w:rsid w:val="00323BEA"/>
    <w:rsid w:val="00323C59"/>
    <w:rsid w:val="00323D93"/>
    <w:rsid w:val="00323EA4"/>
    <w:rsid w:val="00323EF3"/>
    <w:rsid w:val="00323F3C"/>
    <w:rsid w:val="00323F81"/>
    <w:rsid w:val="00324066"/>
    <w:rsid w:val="00324075"/>
    <w:rsid w:val="00324076"/>
    <w:rsid w:val="003240FB"/>
    <w:rsid w:val="003242D8"/>
    <w:rsid w:val="003246CB"/>
    <w:rsid w:val="00324790"/>
    <w:rsid w:val="003248AC"/>
    <w:rsid w:val="00324A2A"/>
    <w:rsid w:val="00324B51"/>
    <w:rsid w:val="00324DA7"/>
    <w:rsid w:val="00324E0D"/>
    <w:rsid w:val="00324E2A"/>
    <w:rsid w:val="00324FBE"/>
    <w:rsid w:val="00325178"/>
    <w:rsid w:val="00325279"/>
    <w:rsid w:val="00325332"/>
    <w:rsid w:val="00325497"/>
    <w:rsid w:val="00325531"/>
    <w:rsid w:val="00325590"/>
    <w:rsid w:val="00325871"/>
    <w:rsid w:val="00325885"/>
    <w:rsid w:val="00325950"/>
    <w:rsid w:val="003259C5"/>
    <w:rsid w:val="00325B88"/>
    <w:rsid w:val="00325CBB"/>
    <w:rsid w:val="00325E91"/>
    <w:rsid w:val="00325F91"/>
    <w:rsid w:val="00325FE4"/>
    <w:rsid w:val="00326131"/>
    <w:rsid w:val="0032621D"/>
    <w:rsid w:val="0032623B"/>
    <w:rsid w:val="00326291"/>
    <w:rsid w:val="00326379"/>
    <w:rsid w:val="00326410"/>
    <w:rsid w:val="0032664F"/>
    <w:rsid w:val="003266D0"/>
    <w:rsid w:val="0032672C"/>
    <w:rsid w:val="003268EE"/>
    <w:rsid w:val="003268F2"/>
    <w:rsid w:val="003268F9"/>
    <w:rsid w:val="00326A92"/>
    <w:rsid w:val="00326A94"/>
    <w:rsid w:val="00326C8E"/>
    <w:rsid w:val="00326DB7"/>
    <w:rsid w:val="00326EA3"/>
    <w:rsid w:val="0032702E"/>
    <w:rsid w:val="00327068"/>
    <w:rsid w:val="00327360"/>
    <w:rsid w:val="003274B2"/>
    <w:rsid w:val="003276F0"/>
    <w:rsid w:val="003278C0"/>
    <w:rsid w:val="003278EE"/>
    <w:rsid w:val="003279C6"/>
    <w:rsid w:val="00327DBC"/>
    <w:rsid w:val="00327E1D"/>
    <w:rsid w:val="00327EB0"/>
    <w:rsid w:val="00330000"/>
    <w:rsid w:val="003301C9"/>
    <w:rsid w:val="00330297"/>
    <w:rsid w:val="0033051C"/>
    <w:rsid w:val="00330562"/>
    <w:rsid w:val="00330594"/>
    <w:rsid w:val="003305F4"/>
    <w:rsid w:val="0033071D"/>
    <w:rsid w:val="00330972"/>
    <w:rsid w:val="00330AE9"/>
    <w:rsid w:val="00330B4D"/>
    <w:rsid w:val="00330BE3"/>
    <w:rsid w:val="00330C53"/>
    <w:rsid w:val="00330F30"/>
    <w:rsid w:val="00330FDC"/>
    <w:rsid w:val="00331062"/>
    <w:rsid w:val="003310AE"/>
    <w:rsid w:val="003311A4"/>
    <w:rsid w:val="00331226"/>
    <w:rsid w:val="003312AD"/>
    <w:rsid w:val="003312EB"/>
    <w:rsid w:val="003313DA"/>
    <w:rsid w:val="003317A3"/>
    <w:rsid w:val="00331A72"/>
    <w:rsid w:val="00331B43"/>
    <w:rsid w:val="00331B6D"/>
    <w:rsid w:val="00331BAB"/>
    <w:rsid w:val="00331C49"/>
    <w:rsid w:val="00331C8A"/>
    <w:rsid w:val="00331E76"/>
    <w:rsid w:val="00331E7B"/>
    <w:rsid w:val="00331EC3"/>
    <w:rsid w:val="00331EC6"/>
    <w:rsid w:val="00331EDD"/>
    <w:rsid w:val="00332057"/>
    <w:rsid w:val="00332165"/>
    <w:rsid w:val="003322DD"/>
    <w:rsid w:val="003323E9"/>
    <w:rsid w:val="00332774"/>
    <w:rsid w:val="003328D8"/>
    <w:rsid w:val="00332922"/>
    <w:rsid w:val="00332B8D"/>
    <w:rsid w:val="00332B92"/>
    <w:rsid w:val="00332C4D"/>
    <w:rsid w:val="00332D66"/>
    <w:rsid w:val="00332E61"/>
    <w:rsid w:val="00332E8D"/>
    <w:rsid w:val="00332EF1"/>
    <w:rsid w:val="003330F5"/>
    <w:rsid w:val="003332CC"/>
    <w:rsid w:val="00333339"/>
    <w:rsid w:val="003333CB"/>
    <w:rsid w:val="00333579"/>
    <w:rsid w:val="003338B1"/>
    <w:rsid w:val="00333C17"/>
    <w:rsid w:val="00333D84"/>
    <w:rsid w:val="00333E05"/>
    <w:rsid w:val="00333EA6"/>
    <w:rsid w:val="00334050"/>
    <w:rsid w:val="0033408A"/>
    <w:rsid w:val="0033416B"/>
    <w:rsid w:val="0033421C"/>
    <w:rsid w:val="003343C1"/>
    <w:rsid w:val="003343D1"/>
    <w:rsid w:val="003344B4"/>
    <w:rsid w:val="003344DC"/>
    <w:rsid w:val="003346D1"/>
    <w:rsid w:val="003346DC"/>
    <w:rsid w:val="00334717"/>
    <w:rsid w:val="00334735"/>
    <w:rsid w:val="0033479F"/>
    <w:rsid w:val="00334841"/>
    <w:rsid w:val="00334862"/>
    <w:rsid w:val="00334939"/>
    <w:rsid w:val="00334C9A"/>
    <w:rsid w:val="00334EFD"/>
    <w:rsid w:val="00334F94"/>
    <w:rsid w:val="003350CA"/>
    <w:rsid w:val="003351B4"/>
    <w:rsid w:val="00335282"/>
    <w:rsid w:val="0033551E"/>
    <w:rsid w:val="00335565"/>
    <w:rsid w:val="00335572"/>
    <w:rsid w:val="00335761"/>
    <w:rsid w:val="003357DF"/>
    <w:rsid w:val="00335813"/>
    <w:rsid w:val="003359A0"/>
    <w:rsid w:val="00335E1B"/>
    <w:rsid w:val="0033611F"/>
    <w:rsid w:val="00336120"/>
    <w:rsid w:val="00336135"/>
    <w:rsid w:val="0033615E"/>
    <w:rsid w:val="003361E0"/>
    <w:rsid w:val="003362BE"/>
    <w:rsid w:val="003365D6"/>
    <w:rsid w:val="00336870"/>
    <w:rsid w:val="00336977"/>
    <w:rsid w:val="003369DA"/>
    <w:rsid w:val="00336A93"/>
    <w:rsid w:val="00336B1F"/>
    <w:rsid w:val="00336C46"/>
    <w:rsid w:val="00336E41"/>
    <w:rsid w:val="00336ECE"/>
    <w:rsid w:val="00336FFB"/>
    <w:rsid w:val="0033719B"/>
    <w:rsid w:val="0033731E"/>
    <w:rsid w:val="0033736A"/>
    <w:rsid w:val="00337490"/>
    <w:rsid w:val="0033754A"/>
    <w:rsid w:val="0033757C"/>
    <w:rsid w:val="00337828"/>
    <w:rsid w:val="0033786F"/>
    <w:rsid w:val="00337B94"/>
    <w:rsid w:val="00337BCD"/>
    <w:rsid w:val="00337C3A"/>
    <w:rsid w:val="00337CBC"/>
    <w:rsid w:val="00337DC1"/>
    <w:rsid w:val="00337F32"/>
    <w:rsid w:val="00337F5B"/>
    <w:rsid w:val="00337F7D"/>
    <w:rsid w:val="003402AA"/>
    <w:rsid w:val="00340362"/>
    <w:rsid w:val="0034036D"/>
    <w:rsid w:val="003405D0"/>
    <w:rsid w:val="003405F9"/>
    <w:rsid w:val="00340697"/>
    <w:rsid w:val="003406C3"/>
    <w:rsid w:val="00340833"/>
    <w:rsid w:val="00340944"/>
    <w:rsid w:val="00340AC6"/>
    <w:rsid w:val="00340F57"/>
    <w:rsid w:val="00340FAB"/>
    <w:rsid w:val="0034111E"/>
    <w:rsid w:val="003412A5"/>
    <w:rsid w:val="003412C3"/>
    <w:rsid w:val="00341336"/>
    <w:rsid w:val="0034145A"/>
    <w:rsid w:val="00341A6E"/>
    <w:rsid w:val="00341CAC"/>
    <w:rsid w:val="00341D39"/>
    <w:rsid w:val="00341F6F"/>
    <w:rsid w:val="00341FE8"/>
    <w:rsid w:val="00341FF8"/>
    <w:rsid w:val="003421B1"/>
    <w:rsid w:val="00342368"/>
    <w:rsid w:val="00342473"/>
    <w:rsid w:val="003424A8"/>
    <w:rsid w:val="003424BB"/>
    <w:rsid w:val="003426C0"/>
    <w:rsid w:val="00342799"/>
    <w:rsid w:val="0034291B"/>
    <w:rsid w:val="00342C55"/>
    <w:rsid w:val="00342CD9"/>
    <w:rsid w:val="00342D7D"/>
    <w:rsid w:val="00342FCC"/>
    <w:rsid w:val="00343476"/>
    <w:rsid w:val="00343519"/>
    <w:rsid w:val="003439C2"/>
    <w:rsid w:val="00343C2C"/>
    <w:rsid w:val="00343C93"/>
    <w:rsid w:val="00343D0A"/>
    <w:rsid w:val="00343D79"/>
    <w:rsid w:val="00343F06"/>
    <w:rsid w:val="00343F4A"/>
    <w:rsid w:val="00343FD4"/>
    <w:rsid w:val="0034406A"/>
    <w:rsid w:val="0034429B"/>
    <w:rsid w:val="00344564"/>
    <w:rsid w:val="00344669"/>
    <w:rsid w:val="0034479D"/>
    <w:rsid w:val="003447E6"/>
    <w:rsid w:val="00344985"/>
    <w:rsid w:val="00344B87"/>
    <w:rsid w:val="00344C03"/>
    <w:rsid w:val="00344CBB"/>
    <w:rsid w:val="00345033"/>
    <w:rsid w:val="003450BA"/>
    <w:rsid w:val="0034531A"/>
    <w:rsid w:val="0034536D"/>
    <w:rsid w:val="0034540B"/>
    <w:rsid w:val="0034548A"/>
    <w:rsid w:val="003454CE"/>
    <w:rsid w:val="00345695"/>
    <w:rsid w:val="00345697"/>
    <w:rsid w:val="00345755"/>
    <w:rsid w:val="003457CF"/>
    <w:rsid w:val="003459F8"/>
    <w:rsid w:val="00345ADA"/>
    <w:rsid w:val="00345B8E"/>
    <w:rsid w:val="00345CD9"/>
    <w:rsid w:val="00345DFE"/>
    <w:rsid w:val="00345F27"/>
    <w:rsid w:val="00345FC4"/>
    <w:rsid w:val="00346269"/>
    <w:rsid w:val="00346549"/>
    <w:rsid w:val="0034656C"/>
    <w:rsid w:val="003465DA"/>
    <w:rsid w:val="003465FF"/>
    <w:rsid w:val="00346883"/>
    <w:rsid w:val="00346884"/>
    <w:rsid w:val="003468D7"/>
    <w:rsid w:val="00346C28"/>
    <w:rsid w:val="00347208"/>
    <w:rsid w:val="0034729D"/>
    <w:rsid w:val="003473D5"/>
    <w:rsid w:val="003473DC"/>
    <w:rsid w:val="0034744C"/>
    <w:rsid w:val="003474C6"/>
    <w:rsid w:val="0034760F"/>
    <w:rsid w:val="003476B0"/>
    <w:rsid w:val="003478F9"/>
    <w:rsid w:val="0034794B"/>
    <w:rsid w:val="00347B74"/>
    <w:rsid w:val="00347C05"/>
    <w:rsid w:val="00347C0A"/>
    <w:rsid w:val="00347CE6"/>
    <w:rsid w:val="00347D6E"/>
    <w:rsid w:val="00350004"/>
    <w:rsid w:val="00350135"/>
    <w:rsid w:val="003501D4"/>
    <w:rsid w:val="0035038B"/>
    <w:rsid w:val="0035051A"/>
    <w:rsid w:val="00350832"/>
    <w:rsid w:val="00350895"/>
    <w:rsid w:val="003509C5"/>
    <w:rsid w:val="00350CF7"/>
    <w:rsid w:val="003512DB"/>
    <w:rsid w:val="00351567"/>
    <w:rsid w:val="00351765"/>
    <w:rsid w:val="00351918"/>
    <w:rsid w:val="00351A52"/>
    <w:rsid w:val="00351AC6"/>
    <w:rsid w:val="00351B17"/>
    <w:rsid w:val="00351D04"/>
    <w:rsid w:val="00351E6A"/>
    <w:rsid w:val="00351F7F"/>
    <w:rsid w:val="00352070"/>
    <w:rsid w:val="00352115"/>
    <w:rsid w:val="003521AD"/>
    <w:rsid w:val="003523DE"/>
    <w:rsid w:val="003524AC"/>
    <w:rsid w:val="003525A7"/>
    <w:rsid w:val="00352671"/>
    <w:rsid w:val="00352A56"/>
    <w:rsid w:val="00352BF8"/>
    <w:rsid w:val="00352C08"/>
    <w:rsid w:val="00352CB5"/>
    <w:rsid w:val="00352F27"/>
    <w:rsid w:val="00353040"/>
    <w:rsid w:val="003530A1"/>
    <w:rsid w:val="003531A7"/>
    <w:rsid w:val="0035326D"/>
    <w:rsid w:val="003532F8"/>
    <w:rsid w:val="0035335A"/>
    <w:rsid w:val="003534E6"/>
    <w:rsid w:val="003536F9"/>
    <w:rsid w:val="00353846"/>
    <w:rsid w:val="00353924"/>
    <w:rsid w:val="00353A43"/>
    <w:rsid w:val="00353C30"/>
    <w:rsid w:val="00353C6D"/>
    <w:rsid w:val="00353E58"/>
    <w:rsid w:val="00354104"/>
    <w:rsid w:val="003543EF"/>
    <w:rsid w:val="00354591"/>
    <w:rsid w:val="003545B0"/>
    <w:rsid w:val="00354785"/>
    <w:rsid w:val="003547F9"/>
    <w:rsid w:val="00354909"/>
    <w:rsid w:val="0035492B"/>
    <w:rsid w:val="00354B2E"/>
    <w:rsid w:val="00354D8C"/>
    <w:rsid w:val="00354F14"/>
    <w:rsid w:val="00355337"/>
    <w:rsid w:val="0035549C"/>
    <w:rsid w:val="003554EC"/>
    <w:rsid w:val="003554FB"/>
    <w:rsid w:val="0035550D"/>
    <w:rsid w:val="0035551F"/>
    <w:rsid w:val="003555C0"/>
    <w:rsid w:val="00355606"/>
    <w:rsid w:val="00355685"/>
    <w:rsid w:val="0035570B"/>
    <w:rsid w:val="00355811"/>
    <w:rsid w:val="003558FF"/>
    <w:rsid w:val="00355CDB"/>
    <w:rsid w:val="00355D16"/>
    <w:rsid w:val="00355E34"/>
    <w:rsid w:val="00356089"/>
    <w:rsid w:val="003561B5"/>
    <w:rsid w:val="003561FA"/>
    <w:rsid w:val="00356384"/>
    <w:rsid w:val="00356678"/>
    <w:rsid w:val="00356795"/>
    <w:rsid w:val="003567BA"/>
    <w:rsid w:val="00356810"/>
    <w:rsid w:val="003568EE"/>
    <w:rsid w:val="0035690E"/>
    <w:rsid w:val="00356AE9"/>
    <w:rsid w:val="00356D8E"/>
    <w:rsid w:val="00356D90"/>
    <w:rsid w:val="00356DD9"/>
    <w:rsid w:val="00356DF9"/>
    <w:rsid w:val="00356FA0"/>
    <w:rsid w:val="00356FB0"/>
    <w:rsid w:val="0035739D"/>
    <w:rsid w:val="003573B9"/>
    <w:rsid w:val="003574E3"/>
    <w:rsid w:val="003576DE"/>
    <w:rsid w:val="00357730"/>
    <w:rsid w:val="0035787E"/>
    <w:rsid w:val="00357911"/>
    <w:rsid w:val="00357914"/>
    <w:rsid w:val="00357A78"/>
    <w:rsid w:val="00357D3B"/>
    <w:rsid w:val="00357E1B"/>
    <w:rsid w:val="00360037"/>
    <w:rsid w:val="003606D7"/>
    <w:rsid w:val="00360738"/>
    <w:rsid w:val="00360824"/>
    <w:rsid w:val="00360890"/>
    <w:rsid w:val="003609EC"/>
    <w:rsid w:val="00360A5F"/>
    <w:rsid w:val="00360B31"/>
    <w:rsid w:val="00360CDE"/>
    <w:rsid w:val="00360E27"/>
    <w:rsid w:val="00360E7A"/>
    <w:rsid w:val="003610A5"/>
    <w:rsid w:val="003610F1"/>
    <w:rsid w:val="003610F4"/>
    <w:rsid w:val="003610F8"/>
    <w:rsid w:val="00361125"/>
    <w:rsid w:val="0036112F"/>
    <w:rsid w:val="0036117B"/>
    <w:rsid w:val="0036128D"/>
    <w:rsid w:val="00361333"/>
    <w:rsid w:val="003613A3"/>
    <w:rsid w:val="00361536"/>
    <w:rsid w:val="00361556"/>
    <w:rsid w:val="003616DB"/>
    <w:rsid w:val="003618B3"/>
    <w:rsid w:val="003619CF"/>
    <w:rsid w:val="00361A69"/>
    <w:rsid w:val="00361C7B"/>
    <w:rsid w:val="00361CCC"/>
    <w:rsid w:val="00361CD2"/>
    <w:rsid w:val="00361D9E"/>
    <w:rsid w:val="00362059"/>
    <w:rsid w:val="00362108"/>
    <w:rsid w:val="003622AD"/>
    <w:rsid w:val="0036231F"/>
    <w:rsid w:val="003624E4"/>
    <w:rsid w:val="0036277A"/>
    <w:rsid w:val="00362816"/>
    <w:rsid w:val="00362852"/>
    <w:rsid w:val="00362881"/>
    <w:rsid w:val="00362BC8"/>
    <w:rsid w:val="00362C2F"/>
    <w:rsid w:val="00362DCE"/>
    <w:rsid w:val="00362E8E"/>
    <w:rsid w:val="00362EFE"/>
    <w:rsid w:val="00362F14"/>
    <w:rsid w:val="00362F76"/>
    <w:rsid w:val="00362F77"/>
    <w:rsid w:val="003632EE"/>
    <w:rsid w:val="003634C0"/>
    <w:rsid w:val="003634D1"/>
    <w:rsid w:val="0036353D"/>
    <w:rsid w:val="00363649"/>
    <w:rsid w:val="00363A0C"/>
    <w:rsid w:val="00363A51"/>
    <w:rsid w:val="00363C4D"/>
    <w:rsid w:val="00363C72"/>
    <w:rsid w:val="00363D93"/>
    <w:rsid w:val="00363EEA"/>
    <w:rsid w:val="00364033"/>
    <w:rsid w:val="0036409C"/>
    <w:rsid w:val="003640AC"/>
    <w:rsid w:val="003643E5"/>
    <w:rsid w:val="00364611"/>
    <w:rsid w:val="00364811"/>
    <w:rsid w:val="003649C6"/>
    <w:rsid w:val="003649E7"/>
    <w:rsid w:val="00364AE7"/>
    <w:rsid w:val="00364B00"/>
    <w:rsid w:val="00364B2A"/>
    <w:rsid w:val="00364B33"/>
    <w:rsid w:val="00364B8D"/>
    <w:rsid w:val="00364BEF"/>
    <w:rsid w:val="00364DE7"/>
    <w:rsid w:val="00364DF4"/>
    <w:rsid w:val="00364EEC"/>
    <w:rsid w:val="00364F16"/>
    <w:rsid w:val="0036501E"/>
    <w:rsid w:val="003651C2"/>
    <w:rsid w:val="0036562F"/>
    <w:rsid w:val="003657CE"/>
    <w:rsid w:val="003657F7"/>
    <w:rsid w:val="00365B1E"/>
    <w:rsid w:val="00365C5E"/>
    <w:rsid w:val="00365CE1"/>
    <w:rsid w:val="00366002"/>
    <w:rsid w:val="003662A6"/>
    <w:rsid w:val="0036659B"/>
    <w:rsid w:val="00366795"/>
    <w:rsid w:val="003667E4"/>
    <w:rsid w:val="0036684F"/>
    <w:rsid w:val="003669D2"/>
    <w:rsid w:val="00366A9F"/>
    <w:rsid w:val="00366CC7"/>
    <w:rsid w:val="00366D50"/>
    <w:rsid w:val="00366D86"/>
    <w:rsid w:val="00366D92"/>
    <w:rsid w:val="00366EE7"/>
    <w:rsid w:val="00366FB4"/>
    <w:rsid w:val="00367187"/>
    <w:rsid w:val="003671BB"/>
    <w:rsid w:val="003672CB"/>
    <w:rsid w:val="00367304"/>
    <w:rsid w:val="00367356"/>
    <w:rsid w:val="003673EF"/>
    <w:rsid w:val="00367420"/>
    <w:rsid w:val="00367507"/>
    <w:rsid w:val="0036755A"/>
    <w:rsid w:val="003675EC"/>
    <w:rsid w:val="003679FC"/>
    <w:rsid w:val="00367C39"/>
    <w:rsid w:val="00367F0C"/>
    <w:rsid w:val="00367FE8"/>
    <w:rsid w:val="003700C7"/>
    <w:rsid w:val="00370718"/>
    <w:rsid w:val="0037086A"/>
    <w:rsid w:val="00370906"/>
    <w:rsid w:val="0037093D"/>
    <w:rsid w:val="0037098A"/>
    <w:rsid w:val="00370A46"/>
    <w:rsid w:val="00370BB3"/>
    <w:rsid w:val="00370CA3"/>
    <w:rsid w:val="00370DF2"/>
    <w:rsid w:val="00370E6B"/>
    <w:rsid w:val="00370E84"/>
    <w:rsid w:val="003710CA"/>
    <w:rsid w:val="003711AF"/>
    <w:rsid w:val="00371204"/>
    <w:rsid w:val="00371263"/>
    <w:rsid w:val="003712FE"/>
    <w:rsid w:val="00371498"/>
    <w:rsid w:val="003714E5"/>
    <w:rsid w:val="00371625"/>
    <w:rsid w:val="0037176D"/>
    <w:rsid w:val="003718CD"/>
    <w:rsid w:val="0037191C"/>
    <w:rsid w:val="00371A33"/>
    <w:rsid w:val="00371BF1"/>
    <w:rsid w:val="00371CC3"/>
    <w:rsid w:val="00371DB0"/>
    <w:rsid w:val="00371E1F"/>
    <w:rsid w:val="00371FA4"/>
    <w:rsid w:val="00371FB7"/>
    <w:rsid w:val="0037203F"/>
    <w:rsid w:val="0037206F"/>
    <w:rsid w:val="00372267"/>
    <w:rsid w:val="00372326"/>
    <w:rsid w:val="00372574"/>
    <w:rsid w:val="00372710"/>
    <w:rsid w:val="003728A9"/>
    <w:rsid w:val="0037290C"/>
    <w:rsid w:val="00372BDC"/>
    <w:rsid w:val="00372C60"/>
    <w:rsid w:val="00372C63"/>
    <w:rsid w:val="00372CB2"/>
    <w:rsid w:val="00372DD0"/>
    <w:rsid w:val="00372E53"/>
    <w:rsid w:val="00373062"/>
    <w:rsid w:val="00373142"/>
    <w:rsid w:val="003731E7"/>
    <w:rsid w:val="003731EB"/>
    <w:rsid w:val="0037357F"/>
    <w:rsid w:val="00373995"/>
    <w:rsid w:val="003739CB"/>
    <w:rsid w:val="00373A21"/>
    <w:rsid w:val="00373A72"/>
    <w:rsid w:val="00373FD9"/>
    <w:rsid w:val="0037406D"/>
    <w:rsid w:val="00374086"/>
    <w:rsid w:val="00374138"/>
    <w:rsid w:val="003741C6"/>
    <w:rsid w:val="003741E7"/>
    <w:rsid w:val="00374245"/>
    <w:rsid w:val="0037426B"/>
    <w:rsid w:val="0037451C"/>
    <w:rsid w:val="00374726"/>
    <w:rsid w:val="00374780"/>
    <w:rsid w:val="00374801"/>
    <w:rsid w:val="003748A3"/>
    <w:rsid w:val="003748D0"/>
    <w:rsid w:val="00374942"/>
    <w:rsid w:val="003749F7"/>
    <w:rsid w:val="00374C11"/>
    <w:rsid w:val="00374C7D"/>
    <w:rsid w:val="00374D47"/>
    <w:rsid w:val="00374D9E"/>
    <w:rsid w:val="00374DB7"/>
    <w:rsid w:val="00374F8F"/>
    <w:rsid w:val="00375044"/>
    <w:rsid w:val="003751E1"/>
    <w:rsid w:val="003752ED"/>
    <w:rsid w:val="003753A4"/>
    <w:rsid w:val="0037551B"/>
    <w:rsid w:val="003755AA"/>
    <w:rsid w:val="003756DD"/>
    <w:rsid w:val="00375733"/>
    <w:rsid w:val="003758A6"/>
    <w:rsid w:val="00375938"/>
    <w:rsid w:val="0037599C"/>
    <w:rsid w:val="00375A92"/>
    <w:rsid w:val="00375B97"/>
    <w:rsid w:val="00375C33"/>
    <w:rsid w:val="00375E89"/>
    <w:rsid w:val="00375F4B"/>
    <w:rsid w:val="00375FA7"/>
    <w:rsid w:val="003761C6"/>
    <w:rsid w:val="0037620F"/>
    <w:rsid w:val="003764B4"/>
    <w:rsid w:val="003765DB"/>
    <w:rsid w:val="00376776"/>
    <w:rsid w:val="003767B4"/>
    <w:rsid w:val="003769A9"/>
    <w:rsid w:val="00376A76"/>
    <w:rsid w:val="00376B15"/>
    <w:rsid w:val="00376C1A"/>
    <w:rsid w:val="00376C86"/>
    <w:rsid w:val="00376C92"/>
    <w:rsid w:val="00376DFB"/>
    <w:rsid w:val="00376FCF"/>
    <w:rsid w:val="00377065"/>
    <w:rsid w:val="00377070"/>
    <w:rsid w:val="00377242"/>
    <w:rsid w:val="0037728C"/>
    <w:rsid w:val="00377298"/>
    <w:rsid w:val="003772E9"/>
    <w:rsid w:val="003773A3"/>
    <w:rsid w:val="003773FF"/>
    <w:rsid w:val="0037741D"/>
    <w:rsid w:val="003774C5"/>
    <w:rsid w:val="003774D7"/>
    <w:rsid w:val="0037756F"/>
    <w:rsid w:val="00377576"/>
    <w:rsid w:val="0037759F"/>
    <w:rsid w:val="003779BC"/>
    <w:rsid w:val="00377BF9"/>
    <w:rsid w:val="00377DB0"/>
    <w:rsid w:val="00377DE4"/>
    <w:rsid w:val="00377F72"/>
    <w:rsid w:val="00380230"/>
    <w:rsid w:val="00380276"/>
    <w:rsid w:val="003802D8"/>
    <w:rsid w:val="003804AC"/>
    <w:rsid w:val="0038056F"/>
    <w:rsid w:val="003806BB"/>
    <w:rsid w:val="0038089C"/>
    <w:rsid w:val="00380BB5"/>
    <w:rsid w:val="00380BC9"/>
    <w:rsid w:val="00380ED1"/>
    <w:rsid w:val="003810F9"/>
    <w:rsid w:val="00381332"/>
    <w:rsid w:val="00381419"/>
    <w:rsid w:val="00381454"/>
    <w:rsid w:val="0038165E"/>
    <w:rsid w:val="003816A5"/>
    <w:rsid w:val="00381875"/>
    <w:rsid w:val="003818D4"/>
    <w:rsid w:val="00381C1D"/>
    <w:rsid w:val="00381C45"/>
    <w:rsid w:val="00381DAB"/>
    <w:rsid w:val="00381EF2"/>
    <w:rsid w:val="00381F4B"/>
    <w:rsid w:val="003821F2"/>
    <w:rsid w:val="003822F0"/>
    <w:rsid w:val="0038235E"/>
    <w:rsid w:val="0038242B"/>
    <w:rsid w:val="00382436"/>
    <w:rsid w:val="003824B4"/>
    <w:rsid w:val="003824FE"/>
    <w:rsid w:val="00382573"/>
    <w:rsid w:val="003826A3"/>
    <w:rsid w:val="00382877"/>
    <w:rsid w:val="00382A45"/>
    <w:rsid w:val="00382C31"/>
    <w:rsid w:val="00382E12"/>
    <w:rsid w:val="00382F39"/>
    <w:rsid w:val="0038338C"/>
    <w:rsid w:val="003834EC"/>
    <w:rsid w:val="00383520"/>
    <w:rsid w:val="00383521"/>
    <w:rsid w:val="00383571"/>
    <w:rsid w:val="0038367B"/>
    <w:rsid w:val="00383755"/>
    <w:rsid w:val="003838B5"/>
    <w:rsid w:val="00383D40"/>
    <w:rsid w:val="00383E12"/>
    <w:rsid w:val="00383E7E"/>
    <w:rsid w:val="00383FBE"/>
    <w:rsid w:val="00383FD7"/>
    <w:rsid w:val="00384099"/>
    <w:rsid w:val="0038415A"/>
    <w:rsid w:val="00384362"/>
    <w:rsid w:val="00384376"/>
    <w:rsid w:val="00384403"/>
    <w:rsid w:val="00384568"/>
    <w:rsid w:val="0038484A"/>
    <w:rsid w:val="00384A1B"/>
    <w:rsid w:val="00384B26"/>
    <w:rsid w:val="00384B79"/>
    <w:rsid w:val="00384DDA"/>
    <w:rsid w:val="00384FB7"/>
    <w:rsid w:val="00385018"/>
    <w:rsid w:val="003852B9"/>
    <w:rsid w:val="003852CF"/>
    <w:rsid w:val="00385362"/>
    <w:rsid w:val="00385464"/>
    <w:rsid w:val="003854E7"/>
    <w:rsid w:val="003854E9"/>
    <w:rsid w:val="003856C1"/>
    <w:rsid w:val="00385912"/>
    <w:rsid w:val="0038592D"/>
    <w:rsid w:val="0038594C"/>
    <w:rsid w:val="00385AE5"/>
    <w:rsid w:val="00385BE2"/>
    <w:rsid w:val="00385ECA"/>
    <w:rsid w:val="00385F1B"/>
    <w:rsid w:val="00386208"/>
    <w:rsid w:val="0038633A"/>
    <w:rsid w:val="00386368"/>
    <w:rsid w:val="003864C0"/>
    <w:rsid w:val="003864D7"/>
    <w:rsid w:val="003864E1"/>
    <w:rsid w:val="0038650F"/>
    <w:rsid w:val="0038657B"/>
    <w:rsid w:val="00386952"/>
    <w:rsid w:val="00386B63"/>
    <w:rsid w:val="00386BF3"/>
    <w:rsid w:val="00386C01"/>
    <w:rsid w:val="00386F65"/>
    <w:rsid w:val="003870ED"/>
    <w:rsid w:val="00387199"/>
    <w:rsid w:val="003873D9"/>
    <w:rsid w:val="00387453"/>
    <w:rsid w:val="0038766D"/>
    <w:rsid w:val="0038777F"/>
    <w:rsid w:val="00387A21"/>
    <w:rsid w:val="00387BBE"/>
    <w:rsid w:val="00387CC4"/>
    <w:rsid w:val="00387D10"/>
    <w:rsid w:val="00387EF7"/>
    <w:rsid w:val="00390425"/>
    <w:rsid w:val="00390458"/>
    <w:rsid w:val="0039053F"/>
    <w:rsid w:val="00390722"/>
    <w:rsid w:val="003907F9"/>
    <w:rsid w:val="00390809"/>
    <w:rsid w:val="00390897"/>
    <w:rsid w:val="00390A3E"/>
    <w:rsid w:val="00390AAC"/>
    <w:rsid w:val="00390EEB"/>
    <w:rsid w:val="00390FC6"/>
    <w:rsid w:val="00391110"/>
    <w:rsid w:val="00391239"/>
    <w:rsid w:val="00391272"/>
    <w:rsid w:val="003913C1"/>
    <w:rsid w:val="003913EC"/>
    <w:rsid w:val="00391436"/>
    <w:rsid w:val="00391454"/>
    <w:rsid w:val="00391497"/>
    <w:rsid w:val="00391636"/>
    <w:rsid w:val="00391826"/>
    <w:rsid w:val="00391898"/>
    <w:rsid w:val="0039196A"/>
    <w:rsid w:val="00391B87"/>
    <w:rsid w:val="00391BA8"/>
    <w:rsid w:val="00392117"/>
    <w:rsid w:val="0039211C"/>
    <w:rsid w:val="0039229F"/>
    <w:rsid w:val="003929D8"/>
    <w:rsid w:val="00392B61"/>
    <w:rsid w:val="00392FC4"/>
    <w:rsid w:val="00393043"/>
    <w:rsid w:val="003930D2"/>
    <w:rsid w:val="003935D4"/>
    <w:rsid w:val="00393870"/>
    <w:rsid w:val="00393BA8"/>
    <w:rsid w:val="00393CE2"/>
    <w:rsid w:val="00393CE5"/>
    <w:rsid w:val="00393D75"/>
    <w:rsid w:val="00393DF7"/>
    <w:rsid w:val="00393EEB"/>
    <w:rsid w:val="00393F71"/>
    <w:rsid w:val="00393FBC"/>
    <w:rsid w:val="00394039"/>
    <w:rsid w:val="00394055"/>
    <w:rsid w:val="00394118"/>
    <w:rsid w:val="00394138"/>
    <w:rsid w:val="0039423A"/>
    <w:rsid w:val="003942A4"/>
    <w:rsid w:val="00394305"/>
    <w:rsid w:val="00394403"/>
    <w:rsid w:val="003945EB"/>
    <w:rsid w:val="003946A6"/>
    <w:rsid w:val="00394709"/>
    <w:rsid w:val="00394881"/>
    <w:rsid w:val="003948C3"/>
    <w:rsid w:val="00394915"/>
    <w:rsid w:val="00394AFB"/>
    <w:rsid w:val="0039501F"/>
    <w:rsid w:val="00395032"/>
    <w:rsid w:val="0039519B"/>
    <w:rsid w:val="00395277"/>
    <w:rsid w:val="00395428"/>
    <w:rsid w:val="00395464"/>
    <w:rsid w:val="003954B7"/>
    <w:rsid w:val="00395728"/>
    <w:rsid w:val="00395AF8"/>
    <w:rsid w:val="00395CEE"/>
    <w:rsid w:val="00395E1D"/>
    <w:rsid w:val="00395EA0"/>
    <w:rsid w:val="003960E7"/>
    <w:rsid w:val="00396701"/>
    <w:rsid w:val="00396961"/>
    <w:rsid w:val="00396970"/>
    <w:rsid w:val="00396B11"/>
    <w:rsid w:val="00396CB2"/>
    <w:rsid w:val="00396DED"/>
    <w:rsid w:val="00396E52"/>
    <w:rsid w:val="00397042"/>
    <w:rsid w:val="0039713D"/>
    <w:rsid w:val="00397259"/>
    <w:rsid w:val="00397335"/>
    <w:rsid w:val="00397536"/>
    <w:rsid w:val="003975DB"/>
    <w:rsid w:val="003979D4"/>
    <w:rsid w:val="00397A54"/>
    <w:rsid w:val="00397A7F"/>
    <w:rsid w:val="00397B25"/>
    <w:rsid w:val="00397B70"/>
    <w:rsid w:val="003A00C9"/>
    <w:rsid w:val="003A01E7"/>
    <w:rsid w:val="003A05E6"/>
    <w:rsid w:val="003A062B"/>
    <w:rsid w:val="003A0727"/>
    <w:rsid w:val="003A07D7"/>
    <w:rsid w:val="003A09C3"/>
    <w:rsid w:val="003A0A8E"/>
    <w:rsid w:val="003A0D3F"/>
    <w:rsid w:val="003A0D6D"/>
    <w:rsid w:val="003A0DD7"/>
    <w:rsid w:val="003A0E20"/>
    <w:rsid w:val="003A110C"/>
    <w:rsid w:val="003A1181"/>
    <w:rsid w:val="003A11F9"/>
    <w:rsid w:val="003A13D7"/>
    <w:rsid w:val="003A141F"/>
    <w:rsid w:val="003A1641"/>
    <w:rsid w:val="003A16E8"/>
    <w:rsid w:val="003A1783"/>
    <w:rsid w:val="003A189A"/>
    <w:rsid w:val="003A1900"/>
    <w:rsid w:val="003A1971"/>
    <w:rsid w:val="003A198B"/>
    <w:rsid w:val="003A19AC"/>
    <w:rsid w:val="003A1AA0"/>
    <w:rsid w:val="003A1B28"/>
    <w:rsid w:val="003A1B64"/>
    <w:rsid w:val="003A1BAD"/>
    <w:rsid w:val="003A1BF2"/>
    <w:rsid w:val="003A1CA5"/>
    <w:rsid w:val="003A1D1A"/>
    <w:rsid w:val="003A2040"/>
    <w:rsid w:val="003A2618"/>
    <w:rsid w:val="003A26AC"/>
    <w:rsid w:val="003A28A4"/>
    <w:rsid w:val="003A2A7E"/>
    <w:rsid w:val="003A2B90"/>
    <w:rsid w:val="003A2E2D"/>
    <w:rsid w:val="003A2E89"/>
    <w:rsid w:val="003A30DA"/>
    <w:rsid w:val="003A3171"/>
    <w:rsid w:val="003A32C6"/>
    <w:rsid w:val="003A32D4"/>
    <w:rsid w:val="003A335E"/>
    <w:rsid w:val="003A344F"/>
    <w:rsid w:val="003A350D"/>
    <w:rsid w:val="003A3557"/>
    <w:rsid w:val="003A3599"/>
    <w:rsid w:val="003A3756"/>
    <w:rsid w:val="003A37B3"/>
    <w:rsid w:val="003A37D8"/>
    <w:rsid w:val="003A385F"/>
    <w:rsid w:val="003A3945"/>
    <w:rsid w:val="003A3A67"/>
    <w:rsid w:val="003A3D7D"/>
    <w:rsid w:val="003A3DF0"/>
    <w:rsid w:val="003A3FDA"/>
    <w:rsid w:val="003A4026"/>
    <w:rsid w:val="003A413D"/>
    <w:rsid w:val="003A41FC"/>
    <w:rsid w:val="003A42BE"/>
    <w:rsid w:val="003A434D"/>
    <w:rsid w:val="003A436A"/>
    <w:rsid w:val="003A439E"/>
    <w:rsid w:val="003A4591"/>
    <w:rsid w:val="003A4765"/>
    <w:rsid w:val="003A4800"/>
    <w:rsid w:val="003A48D4"/>
    <w:rsid w:val="003A493F"/>
    <w:rsid w:val="003A4979"/>
    <w:rsid w:val="003A4AD6"/>
    <w:rsid w:val="003A4B8E"/>
    <w:rsid w:val="003A4CAB"/>
    <w:rsid w:val="003A4CBA"/>
    <w:rsid w:val="003A4D82"/>
    <w:rsid w:val="003A4EB0"/>
    <w:rsid w:val="003A4FC7"/>
    <w:rsid w:val="003A5017"/>
    <w:rsid w:val="003A50D0"/>
    <w:rsid w:val="003A538C"/>
    <w:rsid w:val="003A5391"/>
    <w:rsid w:val="003A5406"/>
    <w:rsid w:val="003A545B"/>
    <w:rsid w:val="003A54BB"/>
    <w:rsid w:val="003A56CA"/>
    <w:rsid w:val="003A56D8"/>
    <w:rsid w:val="003A57A1"/>
    <w:rsid w:val="003A57E8"/>
    <w:rsid w:val="003A57F1"/>
    <w:rsid w:val="003A58FC"/>
    <w:rsid w:val="003A5A58"/>
    <w:rsid w:val="003A5A7E"/>
    <w:rsid w:val="003A5B85"/>
    <w:rsid w:val="003A5D47"/>
    <w:rsid w:val="003A5DFC"/>
    <w:rsid w:val="003A608A"/>
    <w:rsid w:val="003A60EC"/>
    <w:rsid w:val="003A6341"/>
    <w:rsid w:val="003A63B0"/>
    <w:rsid w:val="003A6401"/>
    <w:rsid w:val="003A652C"/>
    <w:rsid w:val="003A654A"/>
    <w:rsid w:val="003A6577"/>
    <w:rsid w:val="003A66A8"/>
    <w:rsid w:val="003A6741"/>
    <w:rsid w:val="003A6A97"/>
    <w:rsid w:val="003A6AB8"/>
    <w:rsid w:val="003A6B19"/>
    <w:rsid w:val="003A6B37"/>
    <w:rsid w:val="003A6CD1"/>
    <w:rsid w:val="003A6D96"/>
    <w:rsid w:val="003A6E9B"/>
    <w:rsid w:val="003A6F06"/>
    <w:rsid w:val="003A6F13"/>
    <w:rsid w:val="003A6F21"/>
    <w:rsid w:val="003A7077"/>
    <w:rsid w:val="003A75E6"/>
    <w:rsid w:val="003A7636"/>
    <w:rsid w:val="003A7726"/>
    <w:rsid w:val="003A77D1"/>
    <w:rsid w:val="003A77F0"/>
    <w:rsid w:val="003A7A19"/>
    <w:rsid w:val="003A7A9C"/>
    <w:rsid w:val="003A7AB6"/>
    <w:rsid w:val="003A7B92"/>
    <w:rsid w:val="003A7C73"/>
    <w:rsid w:val="003A7E14"/>
    <w:rsid w:val="003A7E80"/>
    <w:rsid w:val="003A7ED8"/>
    <w:rsid w:val="003A7EF0"/>
    <w:rsid w:val="003A7F7F"/>
    <w:rsid w:val="003B0082"/>
    <w:rsid w:val="003B0321"/>
    <w:rsid w:val="003B037B"/>
    <w:rsid w:val="003B039D"/>
    <w:rsid w:val="003B03E0"/>
    <w:rsid w:val="003B0422"/>
    <w:rsid w:val="003B04B7"/>
    <w:rsid w:val="003B060E"/>
    <w:rsid w:val="003B06D0"/>
    <w:rsid w:val="003B06FF"/>
    <w:rsid w:val="003B0872"/>
    <w:rsid w:val="003B0D90"/>
    <w:rsid w:val="003B0FA5"/>
    <w:rsid w:val="003B0FC4"/>
    <w:rsid w:val="003B101A"/>
    <w:rsid w:val="003B105F"/>
    <w:rsid w:val="003B1325"/>
    <w:rsid w:val="003B13B9"/>
    <w:rsid w:val="003B13EF"/>
    <w:rsid w:val="003B1584"/>
    <w:rsid w:val="003B1646"/>
    <w:rsid w:val="003B16B4"/>
    <w:rsid w:val="003B1708"/>
    <w:rsid w:val="003B1712"/>
    <w:rsid w:val="003B1767"/>
    <w:rsid w:val="003B196E"/>
    <w:rsid w:val="003B1BCB"/>
    <w:rsid w:val="003B1C2D"/>
    <w:rsid w:val="003B1F64"/>
    <w:rsid w:val="003B1FFA"/>
    <w:rsid w:val="003B211C"/>
    <w:rsid w:val="003B22D7"/>
    <w:rsid w:val="003B2431"/>
    <w:rsid w:val="003B25FD"/>
    <w:rsid w:val="003B261D"/>
    <w:rsid w:val="003B26BF"/>
    <w:rsid w:val="003B271D"/>
    <w:rsid w:val="003B2894"/>
    <w:rsid w:val="003B2BF1"/>
    <w:rsid w:val="003B2CE8"/>
    <w:rsid w:val="003B301E"/>
    <w:rsid w:val="003B31E7"/>
    <w:rsid w:val="003B331B"/>
    <w:rsid w:val="003B346B"/>
    <w:rsid w:val="003B362D"/>
    <w:rsid w:val="003B37C3"/>
    <w:rsid w:val="003B3A73"/>
    <w:rsid w:val="003B3C24"/>
    <w:rsid w:val="003B3C3B"/>
    <w:rsid w:val="003B3D19"/>
    <w:rsid w:val="003B3F62"/>
    <w:rsid w:val="003B3F90"/>
    <w:rsid w:val="003B4061"/>
    <w:rsid w:val="003B4113"/>
    <w:rsid w:val="003B427B"/>
    <w:rsid w:val="003B4309"/>
    <w:rsid w:val="003B43D9"/>
    <w:rsid w:val="003B491F"/>
    <w:rsid w:val="003B4981"/>
    <w:rsid w:val="003B4A8E"/>
    <w:rsid w:val="003B4D62"/>
    <w:rsid w:val="003B4DF8"/>
    <w:rsid w:val="003B4DFD"/>
    <w:rsid w:val="003B4F72"/>
    <w:rsid w:val="003B50B7"/>
    <w:rsid w:val="003B55A6"/>
    <w:rsid w:val="003B5700"/>
    <w:rsid w:val="003B57B8"/>
    <w:rsid w:val="003B57C7"/>
    <w:rsid w:val="003B597D"/>
    <w:rsid w:val="003B5A39"/>
    <w:rsid w:val="003B5BAC"/>
    <w:rsid w:val="003B5BBD"/>
    <w:rsid w:val="003B5BE9"/>
    <w:rsid w:val="003B5CAE"/>
    <w:rsid w:val="003B5D93"/>
    <w:rsid w:val="003B5E2C"/>
    <w:rsid w:val="003B5EBF"/>
    <w:rsid w:val="003B5F80"/>
    <w:rsid w:val="003B6035"/>
    <w:rsid w:val="003B6108"/>
    <w:rsid w:val="003B610A"/>
    <w:rsid w:val="003B61DF"/>
    <w:rsid w:val="003B627C"/>
    <w:rsid w:val="003B63CA"/>
    <w:rsid w:val="003B64B1"/>
    <w:rsid w:val="003B6515"/>
    <w:rsid w:val="003B65A0"/>
    <w:rsid w:val="003B65BE"/>
    <w:rsid w:val="003B6641"/>
    <w:rsid w:val="003B6924"/>
    <w:rsid w:val="003B6B8B"/>
    <w:rsid w:val="003B6C1D"/>
    <w:rsid w:val="003B6FD0"/>
    <w:rsid w:val="003B713F"/>
    <w:rsid w:val="003B71A7"/>
    <w:rsid w:val="003B71DE"/>
    <w:rsid w:val="003B72B3"/>
    <w:rsid w:val="003B731C"/>
    <w:rsid w:val="003B7475"/>
    <w:rsid w:val="003B74E8"/>
    <w:rsid w:val="003B75BE"/>
    <w:rsid w:val="003B77A1"/>
    <w:rsid w:val="003B77B9"/>
    <w:rsid w:val="003B7891"/>
    <w:rsid w:val="003B7930"/>
    <w:rsid w:val="003B79D9"/>
    <w:rsid w:val="003B7C3C"/>
    <w:rsid w:val="003B7C3E"/>
    <w:rsid w:val="003B7C80"/>
    <w:rsid w:val="003B7D51"/>
    <w:rsid w:val="003B7D98"/>
    <w:rsid w:val="003B7E69"/>
    <w:rsid w:val="003B7E76"/>
    <w:rsid w:val="003C0216"/>
    <w:rsid w:val="003C0356"/>
    <w:rsid w:val="003C03EB"/>
    <w:rsid w:val="003C03F7"/>
    <w:rsid w:val="003C0514"/>
    <w:rsid w:val="003C0539"/>
    <w:rsid w:val="003C05AD"/>
    <w:rsid w:val="003C0720"/>
    <w:rsid w:val="003C0786"/>
    <w:rsid w:val="003C078A"/>
    <w:rsid w:val="003C079A"/>
    <w:rsid w:val="003C0899"/>
    <w:rsid w:val="003C0911"/>
    <w:rsid w:val="003C0A91"/>
    <w:rsid w:val="003C0B5D"/>
    <w:rsid w:val="003C0BEF"/>
    <w:rsid w:val="003C0C12"/>
    <w:rsid w:val="003C0C7A"/>
    <w:rsid w:val="003C0D02"/>
    <w:rsid w:val="003C0E34"/>
    <w:rsid w:val="003C1020"/>
    <w:rsid w:val="003C1226"/>
    <w:rsid w:val="003C15B4"/>
    <w:rsid w:val="003C17A0"/>
    <w:rsid w:val="003C1A7D"/>
    <w:rsid w:val="003C1D27"/>
    <w:rsid w:val="003C1D67"/>
    <w:rsid w:val="003C1DF7"/>
    <w:rsid w:val="003C1E32"/>
    <w:rsid w:val="003C1F81"/>
    <w:rsid w:val="003C2094"/>
    <w:rsid w:val="003C20E7"/>
    <w:rsid w:val="003C2220"/>
    <w:rsid w:val="003C235B"/>
    <w:rsid w:val="003C260E"/>
    <w:rsid w:val="003C261C"/>
    <w:rsid w:val="003C2840"/>
    <w:rsid w:val="003C28E5"/>
    <w:rsid w:val="003C298E"/>
    <w:rsid w:val="003C29DC"/>
    <w:rsid w:val="003C2BA9"/>
    <w:rsid w:val="003C2C21"/>
    <w:rsid w:val="003C2C6D"/>
    <w:rsid w:val="003C2CDE"/>
    <w:rsid w:val="003C2DEA"/>
    <w:rsid w:val="003C2EB7"/>
    <w:rsid w:val="003C30E5"/>
    <w:rsid w:val="003C312C"/>
    <w:rsid w:val="003C3171"/>
    <w:rsid w:val="003C31AF"/>
    <w:rsid w:val="003C355B"/>
    <w:rsid w:val="003C3622"/>
    <w:rsid w:val="003C3923"/>
    <w:rsid w:val="003C392E"/>
    <w:rsid w:val="003C3BB7"/>
    <w:rsid w:val="003C3D96"/>
    <w:rsid w:val="003C3E15"/>
    <w:rsid w:val="003C3F3D"/>
    <w:rsid w:val="003C3FD9"/>
    <w:rsid w:val="003C41BF"/>
    <w:rsid w:val="003C42FA"/>
    <w:rsid w:val="003C43F1"/>
    <w:rsid w:val="003C43F3"/>
    <w:rsid w:val="003C440C"/>
    <w:rsid w:val="003C44AA"/>
    <w:rsid w:val="003C4504"/>
    <w:rsid w:val="003C4746"/>
    <w:rsid w:val="003C48B3"/>
    <w:rsid w:val="003C497C"/>
    <w:rsid w:val="003C49AB"/>
    <w:rsid w:val="003C4A5B"/>
    <w:rsid w:val="003C4C4F"/>
    <w:rsid w:val="003C4C53"/>
    <w:rsid w:val="003C4D2F"/>
    <w:rsid w:val="003C4F2A"/>
    <w:rsid w:val="003C4F61"/>
    <w:rsid w:val="003C4F67"/>
    <w:rsid w:val="003C50A3"/>
    <w:rsid w:val="003C5133"/>
    <w:rsid w:val="003C5149"/>
    <w:rsid w:val="003C51F3"/>
    <w:rsid w:val="003C52A9"/>
    <w:rsid w:val="003C531E"/>
    <w:rsid w:val="003C5494"/>
    <w:rsid w:val="003C5495"/>
    <w:rsid w:val="003C54D8"/>
    <w:rsid w:val="003C5685"/>
    <w:rsid w:val="003C57CE"/>
    <w:rsid w:val="003C5862"/>
    <w:rsid w:val="003C5A6B"/>
    <w:rsid w:val="003C5A85"/>
    <w:rsid w:val="003C5AD3"/>
    <w:rsid w:val="003C5BAB"/>
    <w:rsid w:val="003C5C31"/>
    <w:rsid w:val="003C5C75"/>
    <w:rsid w:val="003C5E56"/>
    <w:rsid w:val="003C5F34"/>
    <w:rsid w:val="003C642E"/>
    <w:rsid w:val="003C64EB"/>
    <w:rsid w:val="003C6640"/>
    <w:rsid w:val="003C6709"/>
    <w:rsid w:val="003C69CE"/>
    <w:rsid w:val="003C69D0"/>
    <w:rsid w:val="003C6A28"/>
    <w:rsid w:val="003C6AB2"/>
    <w:rsid w:val="003C6ABB"/>
    <w:rsid w:val="003C6E53"/>
    <w:rsid w:val="003C6E59"/>
    <w:rsid w:val="003C70AE"/>
    <w:rsid w:val="003C70F6"/>
    <w:rsid w:val="003C711A"/>
    <w:rsid w:val="003C718D"/>
    <w:rsid w:val="003C73A5"/>
    <w:rsid w:val="003C73A9"/>
    <w:rsid w:val="003C750E"/>
    <w:rsid w:val="003C75BC"/>
    <w:rsid w:val="003C7617"/>
    <w:rsid w:val="003C76AF"/>
    <w:rsid w:val="003C76DF"/>
    <w:rsid w:val="003C78BF"/>
    <w:rsid w:val="003C7942"/>
    <w:rsid w:val="003C7A17"/>
    <w:rsid w:val="003C7A55"/>
    <w:rsid w:val="003C7A7D"/>
    <w:rsid w:val="003C7AA3"/>
    <w:rsid w:val="003C7B0B"/>
    <w:rsid w:val="003C7CC6"/>
    <w:rsid w:val="003C7CCD"/>
    <w:rsid w:val="003C7CE1"/>
    <w:rsid w:val="003D0038"/>
    <w:rsid w:val="003D00B5"/>
    <w:rsid w:val="003D01E1"/>
    <w:rsid w:val="003D0370"/>
    <w:rsid w:val="003D0375"/>
    <w:rsid w:val="003D044D"/>
    <w:rsid w:val="003D0603"/>
    <w:rsid w:val="003D07F0"/>
    <w:rsid w:val="003D0883"/>
    <w:rsid w:val="003D092A"/>
    <w:rsid w:val="003D0940"/>
    <w:rsid w:val="003D09F3"/>
    <w:rsid w:val="003D0AF4"/>
    <w:rsid w:val="003D0C82"/>
    <w:rsid w:val="003D0E60"/>
    <w:rsid w:val="003D0E64"/>
    <w:rsid w:val="003D0F69"/>
    <w:rsid w:val="003D0FD4"/>
    <w:rsid w:val="003D10D5"/>
    <w:rsid w:val="003D11DC"/>
    <w:rsid w:val="003D11E9"/>
    <w:rsid w:val="003D1580"/>
    <w:rsid w:val="003D15EE"/>
    <w:rsid w:val="003D166D"/>
    <w:rsid w:val="003D1683"/>
    <w:rsid w:val="003D16B1"/>
    <w:rsid w:val="003D1879"/>
    <w:rsid w:val="003D189E"/>
    <w:rsid w:val="003D18E9"/>
    <w:rsid w:val="003D1A58"/>
    <w:rsid w:val="003D1B5E"/>
    <w:rsid w:val="003D1B86"/>
    <w:rsid w:val="003D1D53"/>
    <w:rsid w:val="003D1EC5"/>
    <w:rsid w:val="003D1ECD"/>
    <w:rsid w:val="003D1F8B"/>
    <w:rsid w:val="003D2027"/>
    <w:rsid w:val="003D210C"/>
    <w:rsid w:val="003D23BE"/>
    <w:rsid w:val="003D2584"/>
    <w:rsid w:val="003D25EF"/>
    <w:rsid w:val="003D2672"/>
    <w:rsid w:val="003D267C"/>
    <w:rsid w:val="003D2693"/>
    <w:rsid w:val="003D2AEF"/>
    <w:rsid w:val="003D2B88"/>
    <w:rsid w:val="003D2BB0"/>
    <w:rsid w:val="003D2D8A"/>
    <w:rsid w:val="003D2DFA"/>
    <w:rsid w:val="003D2E86"/>
    <w:rsid w:val="003D2EB9"/>
    <w:rsid w:val="003D2F24"/>
    <w:rsid w:val="003D2F81"/>
    <w:rsid w:val="003D33EA"/>
    <w:rsid w:val="003D3447"/>
    <w:rsid w:val="003D349C"/>
    <w:rsid w:val="003D34FD"/>
    <w:rsid w:val="003D3531"/>
    <w:rsid w:val="003D35D5"/>
    <w:rsid w:val="003D36EC"/>
    <w:rsid w:val="003D375F"/>
    <w:rsid w:val="003D3760"/>
    <w:rsid w:val="003D3788"/>
    <w:rsid w:val="003D37B7"/>
    <w:rsid w:val="003D3A8B"/>
    <w:rsid w:val="003D3AEF"/>
    <w:rsid w:val="003D3B08"/>
    <w:rsid w:val="003D3C08"/>
    <w:rsid w:val="003D3C37"/>
    <w:rsid w:val="003D3C53"/>
    <w:rsid w:val="003D3D87"/>
    <w:rsid w:val="003D3F21"/>
    <w:rsid w:val="003D437C"/>
    <w:rsid w:val="003D4814"/>
    <w:rsid w:val="003D4961"/>
    <w:rsid w:val="003D4B43"/>
    <w:rsid w:val="003D4D3F"/>
    <w:rsid w:val="003D4DEE"/>
    <w:rsid w:val="003D4E92"/>
    <w:rsid w:val="003D4FBA"/>
    <w:rsid w:val="003D50A2"/>
    <w:rsid w:val="003D5101"/>
    <w:rsid w:val="003D5186"/>
    <w:rsid w:val="003D53F2"/>
    <w:rsid w:val="003D555E"/>
    <w:rsid w:val="003D55D7"/>
    <w:rsid w:val="003D5761"/>
    <w:rsid w:val="003D582A"/>
    <w:rsid w:val="003D5E7C"/>
    <w:rsid w:val="003D5F5B"/>
    <w:rsid w:val="003D6083"/>
    <w:rsid w:val="003D62F1"/>
    <w:rsid w:val="003D655F"/>
    <w:rsid w:val="003D659C"/>
    <w:rsid w:val="003D65B6"/>
    <w:rsid w:val="003D66DD"/>
    <w:rsid w:val="003D66F9"/>
    <w:rsid w:val="003D6943"/>
    <w:rsid w:val="003D69F0"/>
    <w:rsid w:val="003D6A0D"/>
    <w:rsid w:val="003D6B8E"/>
    <w:rsid w:val="003D6DB0"/>
    <w:rsid w:val="003D6F62"/>
    <w:rsid w:val="003D7036"/>
    <w:rsid w:val="003D70AC"/>
    <w:rsid w:val="003D71BA"/>
    <w:rsid w:val="003D748A"/>
    <w:rsid w:val="003D7553"/>
    <w:rsid w:val="003D7701"/>
    <w:rsid w:val="003D7731"/>
    <w:rsid w:val="003D788B"/>
    <w:rsid w:val="003D795A"/>
    <w:rsid w:val="003D79B1"/>
    <w:rsid w:val="003D7C1E"/>
    <w:rsid w:val="003D7C73"/>
    <w:rsid w:val="003D7E03"/>
    <w:rsid w:val="003D7E05"/>
    <w:rsid w:val="003E0091"/>
    <w:rsid w:val="003E010C"/>
    <w:rsid w:val="003E021F"/>
    <w:rsid w:val="003E02B6"/>
    <w:rsid w:val="003E065F"/>
    <w:rsid w:val="003E07E2"/>
    <w:rsid w:val="003E0881"/>
    <w:rsid w:val="003E098A"/>
    <w:rsid w:val="003E09A0"/>
    <w:rsid w:val="003E0A10"/>
    <w:rsid w:val="003E0C17"/>
    <w:rsid w:val="003E0D79"/>
    <w:rsid w:val="003E1086"/>
    <w:rsid w:val="003E11D7"/>
    <w:rsid w:val="003E11F5"/>
    <w:rsid w:val="003E12F3"/>
    <w:rsid w:val="003E1404"/>
    <w:rsid w:val="003E1429"/>
    <w:rsid w:val="003E1542"/>
    <w:rsid w:val="003E163D"/>
    <w:rsid w:val="003E16B4"/>
    <w:rsid w:val="003E1833"/>
    <w:rsid w:val="003E1A05"/>
    <w:rsid w:val="003E1A30"/>
    <w:rsid w:val="003E1AF2"/>
    <w:rsid w:val="003E1B9F"/>
    <w:rsid w:val="003E1BC8"/>
    <w:rsid w:val="003E1D23"/>
    <w:rsid w:val="003E1DD5"/>
    <w:rsid w:val="003E20DB"/>
    <w:rsid w:val="003E21C3"/>
    <w:rsid w:val="003E21E0"/>
    <w:rsid w:val="003E23B1"/>
    <w:rsid w:val="003E24C7"/>
    <w:rsid w:val="003E2561"/>
    <w:rsid w:val="003E2780"/>
    <w:rsid w:val="003E2805"/>
    <w:rsid w:val="003E2962"/>
    <w:rsid w:val="003E2A12"/>
    <w:rsid w:val="003E2B1A"/>
    <w:rsid w:val="003E2BB2"/>
    <w:rsid w:val="003E2D2F"/>
    <w:rsid w:val="003E307F"/>
    <w:rsid w:val="003E31DA"/>
    <w:rsid w:val="003E346B"/>
    <w:rsid w:val="003E35B8"/>
    <w:rsid w:val="003E363B"/>
    <w:rsid w:val="003E364F"/>
    <w:rsid w:val="003E37CD"/>
    <w:rsid w:val="003E3849"/>
    <w:rsid w:val="003E3931"/>
    <w:rsid w:val="003E39B5"/>
    <w:rsid w:val="003E3B2E"/>
    <w:rsid w:val="003E3C64"/>
    <w:rsid w:val="003E3DA9"/>
    <w:rsid w:val="003E3EF0"/>
    <w:rsid w:val="003E3FA4"/>
    <w:rsid w:val="003E3FDB"/>
    <w:rsid w:val="003E4007"/>
    <w:rsid w:val="003E41E3"/>
    <w:rsid w:val="003E43E8"/>
    <w:rsid w:val="003E475B"/>
    <w:rsid w:val="003E488D"/>
    <w:rsid w:val="003E4A78"/>
    <w:rsid w:val="003E4B5D"/>
    <w:rsid w:val="003E4DBF"/>
    <w:rsid w:val="003E4F0D"/>
    <w:rsid w:val="003E4F4D"/>
    <w:rsid w:val="003E5139"/>
    <w:rsid w:val="003E53D3"/>
    <w:rsid w:val="003E5499"/>
    <w:rsid w:val="003E579B"/>
    <w:rsid w:val="003E5A18"/>
    <w:rsid w:val="003E5D2C"/>
    <w:rsid w:val="003E5D38"/>
    <w:rsid w:val="003E5D44"/>
    <w:rsid w:val="003E60B2"/>
    <w:rsid w:val="003E60CD"/>
    <w:rsid w:val="003E619A"/>
    <w:rsid w:val="003E61B5"/>
    <w:rsid w:val="003E6526"/>
    <w:rsid w:val="003E6598"/>
    <w:rsid w:val="003E663C"/>
    <w:rsid w:val="003E66A0"/>
    <w:rsid w:val="003E66CF"/>
    <w:rsid w:val="003E6819"/>
    <w:rsid w:val="003E6A83"/>
    <w:rsid w:val="003E6B07"/>
    <w:rsid w:val="003E6D2A"/>
    <w:rsid w:val="003E6D3A"/>
    <w:rsid w:val="003E6D66"/>
    <w:rsid w:val="003E6E61"/>
    <w:rsid w:val="003E7265"/>
    <w:rsid w:val="003E73E4"/>
    <w:rsid w:val="003E741C"/>
    <w:rsid w:val="003E7433"/>
    <w:rsid w:val="003E7660"/>
    <w:rsid w:val="003E7743"/>
    <w:rsid w:val="003E7870"/>
    <w:rsid w:val="003E7A4C"/>
    <w:rsid w:val="003E7A9F"/>
    <w:rsid w:val="003E7AC2"/>
    <w:rsid w:val="003E7C1F"/>
    <w:rsid w:val="003E7E13"/>
    <w:rsid w:val="003E7F32"/>
    <w:rsid w:val="003E7FF9"/>
    <w:rsid w:val="003F029F"/>
    <w:rsid w:val="003F041F"/>
    <w:rsid w:val="003F0839"/>
    <w:rsid w:val="003F08AF"/>
    <w:rsid w:val="003F0A97"/>
    <w:rsid w:val="003F0DC9"/>
    <w:rsid w:val="003F10A2"/>
    <w:rsid w:val="003F1158"/>
    <w:rsid w:val="003F1451"/>
    <w:rsid w:val="003F152E"/>
    <w:rsid w:val="003F1702"/>
    <w:rsid w:val="003F17B2"/>
    <w:rsid w:val="003F1BE1"/>
    <w:rsid w:val="003F1C52"/>
    <w:rsid w:val="003F1D18"/>
    <w:rsid w:val="003F1D2A"/>
    <w:rsid w:val="003F1D74"/>
    <w:rsid w:val="003F1E51"/>
    <w:rsid w:val="003F207E"/>
    <w:rsid w:val="003F2101"/>
    <w:rsid w:val="003F217C"/>
    <w:rsid w:val="003F22FA"/>
    <w:rsid w:val="003F233F"/>
    <w:rsid w:val="003F25F5"/>
    <w:rsid w:val="003F26B9"/>
    <w:rsid w:val="003F28CD"/>
    <w:rsid w:val="003F294F"/>
    <w:rsid w:val="003F2988"/>
    <w:rsid w:val="003F2A90"/>
    <w:rsid w:val="003F2B5E"/>
    <w:rsid w:val="003F2B74"/>
    <w:rsid w:val="003F2BF1"/>
    <w:rsid w:val="003F2D69"/>
    <w:rsid w:val="003F2E9D"/>
    <w:rsid w:val="003F2E9E"/>
    <w:rsid w:val="003F310F"/>
    <w:rsid w:val="003F3193"/>
    <w:rsid w:val="003F31EC"/>
    <w:rsid w:val="003F3299"/>
    <w:rsid w:val="003F32DC"/>
    <w:rsid w:val="003F35B5"/>
    <w:rsid w:val="003F3875"/>
    <w:rsid w:val="003F38F6"/>
    <w:rsid w:val="003F390E"/>
    <w:rsid w:val="003F3951"/>
    <w:rsid w:val="003F3999"/>
    <w:rsid w:val="003F3A17"/>
    <w:rsid w:val="003F3AA6"/>
    <w:rsid w:val="003F3D24"/>
    <w:rsid w:val="003F3EC8"/>
    <w:rsid w:val="003F3FD1"/>
    <w:rsid w:val="003F412C"/>
    <w:rsid w:val="003F4503"/>
    <w:rsid w:val="003F466C"/>
    <w:rsid w:val="003F47C6"/>
    <w:rsid w:val="003F4952"/>
    <w:rsid w:val="003F4D60"/>
    <w:rsid w:val="003F4DED"/>
    <w:rsid w:val="003F4ED1"/>
    <w:rsid w:val="003F52A1"/>
    <w:rsid w:val="003F537C"/>
    <w:rsid w:val="003F5390"/>
    <w:rsid w:val="003F549F"/>
    <w:rsid w:val="003F570B"/>
    <w:rsid w:val="003F5818"/>
    <w:rsid w:val="003F5BC8"/>
    <w:rsid w:val="003F5E76"/>
    <w:rsid w:val="003F5EDF"/>
    <w:rsid w:val="003F5EE2"/>
    <w:rsid w:val="003F6169"/>
    <w:rsid w:val="003F6199"/>
    <w:rsid w:val="003F621B"/>
    <w:rsid w:val="003F632C"/>
    <w:rsid w:val="003F6330"/>
    <w:rsid w:val="003F635D"/>
    <w:rsid w:val="003F63BB"/>
    <w:rsid w:val="003F6408"/>
    <w:rsid w:val="003F65C6"/>
    <w:rsid w:val="003F665B"/>
    <w:rsid w:val="003F675C"/>
    <w:rsid w:val="003F69A8"/>
    <w:rsid w:val="003F6E45"/>
    <w:rsid w:val="003F6E5E"/>
    <w:rsid w:val="003F6F12"/>
    <w:rsid w:val="003F6F7B"/>
    <w:rsid w:val="003F6FBB"/>
    <w:rsid w:val="003F7102"/>
    <w:rsid w:val="003F7150"/>
    <w:rsid w:val="003F7187"/>
    <w:rsid w:val="003F72DB"/>
    <w:rsid w:val="003F737D"/>
    <w:rsid w:val="003F7612"/>
    <w:rsid w:val="003F785C"/>
    <w:rsid w:val="003F79C1"/>
    <w:rsid w:val="003F7CA5"/>
    <w:rsid w:val="003F7FDD"/>
    <w:rsid w:val="0040000D"/>
    <w:rsid w:val="004001F7"/>
    <w:rsid w:val="004002C8"/>
    <w:rsid w:val="004002FB"/>
    <w:rsid w:val="00400478"/>
    <w:rsid w:val="00400591"/>
    <w:rsid w:val="00400774"/>
    <w:rsid w:val="004007D3"/>
    <w:rsid w:val="00400B75"/>
    <w:rsid w:val="00400E0A"/>
    <w:rsid w:val="004010E4"/>
    <w:rsid w:val="00401210"/>
    <w:rsid w:val="00401372"/>
    <w:rsid w:val="004014C5"/>
    <w:rsid w:val="004016DA"/>
    <w:rsid w:val="004018F9"/>
    <w:rsid w:val="004019D0"/>
    <w:rsid w:val="00401AED"/>
    <w:rsid w:val="00401B14"/>
    <w:rsid w:val="00401B59"/>
    <w:rsid w:val="00401C7D"/>
    <w:rsid w:val="00401C86"/>
    <w:rsid w:val="00401CF2"/>
    <w:rsid w:val="00401F6B"/>
    <w:rsid w:val="00401FB1"/>
    <w:rsid w:val="00401FF8"/>
    <w:rsid w:val="00402015"/>
    <w:rsid w:val="00402398"/>
    <w:rsid w:val="00402534"/>
    <w:rsid w:val="004026ED"/>
    <w:rsid w:val="004026FB"/>
    <w:rsid w:val="00402732"/>
    <w:rsid w:val="00402756"/>
    <w:rsid w:val="00402800"/>
    <w:rsid w:val="004028A5"/>
    <w:rsid w:val="004028E3"/>
    <w:rsid w:val="0040295A"/>
    <w:rsid w:val="00402BE9"/>
    <w:rsid w:val="00402DFE"/>
    <w:rsid w:val="00402ED3"/>
    <w:rsid w:val="0040321F"/>
    <w:rsid w:val="004034CB"/>
    <w:rsid w:val="00403757"/>
    <w:rsid w:val="004037DE"/>
    <w:rsid w:val="00403884"/>
    <w:rsid w:val="00403AD4"/>
    <w:rsid w:val="00403EBF"/>
    <w:rsid w:val="00403F32"/>
    <w:rsid w:val="00403FFC"/>
    <w:rsid w:val="004040B7"/>
    <w:rsid w:val="004040C7"/>
    <w:rsid w:val="00404103"/>
    <w:rsid w:val="00404527"/>
    <w:rsid w:val="00404742"/>
    <w:rsid w:val="004048A4"/>
    <w:rsid w:val="00405178"/>
    <w:rsid w:val="00405298"/>
    <w:rsid w:val="00405302"/>
    <w:rsid w:val="0040536B"/>
    <w:rsid w:val="004053D9"/>
    <w:rsid w:val="00405466"/>
    <w:rsid w:val="00405560"/>
    <w:rsid w:val="004055D8"/>
    <w:rsid w:val="0040581F"/>
    <w:rsid w:val="00405C60"/>
    <w:rsid w:val="00405CC5"/>
    <w:rsid w:val="00405EB4"/>
    <w:rsid w:val="00406475"/>
    <w:rsid w:val="004064CA"/>
    <w:rsid w:val="004064EE"/>
    <w:rsid w:val="0040653F"/>
    <w:rsid w:val="00406701"/>
    <w:rsid w:val="004068F7"/>
    <w:rsid w:val="00406972"/>
    <w:rsid w:val="00406A3F"/>
    <w:rsid w:val="00406B0E"/>
    <w:rsid w:val="00406DFF"/>
    <w:rsid w:val="00406FAF"/>
    <w:rsid w:val="00406FCC"/>
    <w:rsid w:val="00407028"/>
    <w:rsid w:val="0040708C"/>
    <w:rsid w:val="004071AB"/>
    <w:rsid w:val="00407325"/>
    <w:rsid w:val="0040732F"/>
    <w:rsid w:val="00407421"/>
    <w:rsid w:val="00407496"/>
    <w:rsid w:val="004074C0"/>
    <w:rsid w:val="0040757C"/>
    <w:rsid w:val="004075DD"/>
    <w:rsid w:val="00407767"/>
    <w:rsid w:val="004077A3"/>
    <w:rsid w:val="004077C2"/>
    <w:rsid w:val="00407B31"/>
    <w:rsid w:val="00407CE4"/>
    <w:rsid w:val="00407CFD"/>
    <w:rsid w:val="00407F28"/>
    <w:rsid w:val="00407F6C"/>
    <w:rsid w:val="00410204"/>
    <w:rsid w:val="00410666"/>
    <w:rsid w:val="00410825"/>
    <w:rsid w:val="0041082B"/>
    <w:rsid w:val="00410969"/>
    <w:rsid w:val="00410B34"/>
    <w:rsid w:val="00410C84"/>
    <w:rsid w:val="00410D14"/>
    <w:rsid w:val="00410E55"/>
    <w:rsid w:val="00410F2E"/>
    <w:rsid w:val="00411415"/>
    <w:rsid w:val="004114AB"/>
    <w:rsid w:val="004114B7"/>
    <w:rsid w:val="0041154A"/>
    <w:rsid w:val="00411644"/>
    <w:rsid w:val="004119B9"/>
    <w:rsid w:val="00411A8D"/>
    <w:rsid w:val="00411C48"/>
    <w:rsid w:val="00411D9F"/>
    <w:rsid w:val="00411E29"/>
    <w:rsid w:val="00411EA8"/>
    <w:rsid w:val="00411F6F"/>
    <w:rsid w:val="00411F85"/>
    <w:rsid w:val="00412259"/>
    <w:rsid w:val="00412264"/>
    <w:rsid w:val="00412300"/>
    <w:rsid w:val="004125A8"/>
    <w:rsid w:val="004126F3"/>
    <w:rsid w:val="00412C50"/>
    <w:rsid w:val="00412DFD"/>
    <w:rsid w:val="00412E14"/>
    <w:rsid w:val="00412E47"/>
    <w:rsid w:val="0041317A"/>
    <w:rsid w:val="0041339E"/>
    <w:rsid w:val="004134A6"/>
    <w:rsid w:val="0041354B"/>
    <w:rsid w:val="004135A3"/>
    <w:rsid w:val="00413617"/>
    <w:rsid w:val="00413621"/>
    <w:rsid w:val="0041363B"/>
    <w:rsid w:val="00413694"/>
    <w:rsid w:val="00413999"/>
    <w:rsid w:val="00413AE6"/>
    <w:rsid w:val="00413DF2"/>
    <w:rsid w:val="00413E22"/>
    <w:rsid w:val="00413F9C"/>
    <w:rsid w:val="0041400F"/>
    <w:rsid w:val="00414069"/>
    <w:rsid w:val="004141EC"/>
    <w:rsid w:val="00414414"/>
    <w:rsid w:val="0041447F"/>
    <w:rsid w:val="004144C5"/>
    <w:rsid w:val="00414685"/>
    <w:rsid w:val="00414796"/>
    <w:rsid w:val="00414AF7"/>
    <w:rsid w:val="00414B0B"/>
    <w:rsid w:val="00414B36"/>
    <w:rsid w:val="00414C44"/>
    <w:rsid w:val="00414DB7"/>
    <w:rsid w:val="00414FB4"/>
    <w:rsid w:val="00415083"/>
    <w:rsid w:val="00415280"/>
    <w:rsid w:val="004152D9"/>
    <w:rsid w:val="00415313"/>
    <w:rsid w:val="004153B8"/>
    <w:rsid w:val="00415454"/>
    <w:rsid w:val="004154E9"/>
    <w:rsid w:val="004157BC"/>
    <w:rsid w:val="004158A1"/>
    <w:rsid w:val="004158B0"/>
    <w:rsid w:val="00415C6F"/>
    <w:rsid w:val="00415E30"/>
    <w:rsid w:val="00415E3C"/>
    <w:rsid w:val="00415ED7"/>
    <w:rsid w:val="0041628A"/>
    <w:rsid w:val="004163BE"/>
    <w:rsid w:val="00416589"/>
    <w:rsid w:val="004167E2"/>
    <w:rsid w:val="00416908"/>
    <w:rsid w:val="0041697A"/>
    <w:rsid w:val="004169EB"/>
    <w:rsid w:val="00416CC9"/>
    <w:rsid w:val="00416E11"/>
    <w:rsid w:val="00416EFE"/>
    <w:rsid w:val="00416F0B"/>
    <w:rsid w:val="00416F60"/>
    <w:rsid w:val="00416FC9"/>
    <w:rsid w:val="0041700D"/>
    <w:rsid w:val="00417179"/>
    <w:rsid w:val="00417247"/>
    <w:rsid w:val="004172CD"/>
    <w:rsid w:val="004172E5"/>
    <w:rsid w:val="0041730C"/>
    <w:rsid w:val="0041740C"/>
    <w:rsid w:val="0041758F"/>
    <w:rsid w:val="0041787B"/>
    <w:rsid w:val="004178D6"/>
    <w:rsid w:val="00417A86"/>
    <w:rsid w:val="00417B71"/>
    <w:rsid w:val="00417C65"/>
    <w:rsid w:val="00417FE8"/>
    <w:rsid w:val="004202A5"/>
    <w:rsid w:val="00420341"/>
    <w:rsid w:val="004203EC"/>
    <w:rsid w:val="00420511"/>
    <w:rsid w:val="00420513"/>
    <w:rsid w:val="004205F4"/>
    <w:rsid w:val="00420635"/>
    <w:rsid w:val="004206CA"/>
    <w:rsid w:val="004206FF"/>
    <w:rsid w:val="004208C6"/>
    <w:rsid w:val="00420930"/>
    <w:rsid w:val="0042093E"/>
    <w:rsid w:val="004209DE"/>
    <w:rsid w:val="00420C0D"/>
    <w:rsid w:val="00420CC9"/>
    <w:rsid w:val="00420D02"/>
    <w:rsid w:val="00420DCF"/>
    <w:rsid w:val="00421266"/>
    <w:rsid w:val="00421289"/>
    <w:rsid w:val="0042129A"/>
    <w:rsid w:val="0042130F"/>
    <w:rsid w:val="004213A9"/>
    <w:rsid w:val="00421416"/>
    <w:rsid w:val="0042141D"/>
    <w:rsid w:val="004214C2"/>
    <w:rsid w:val="0042152C"/>
    <w:rsid w:val="004215B0"/>
    <w:rsid w:val="004218AE"/>
    <w:rsid w:val="00421990"/>
    <w:rsid w:val="004219C4"/>
    <w:rsid w:val="00421A84"/>
    <w:rsid w:val="00421AC6"/>
    <w:rsid w:val="00421AF0"/>
    <w:rsid w:val="00421C6F"/>
    <w:rsid w:val="0042201E"/>
    <w:rsid w:val="0042205E"/>
    <w:rsid w:val="0042211D"/>
    <w:rsid w:val="00422282"/>
    <w:rsid w:val="00422353"/>
    <w:rsid w:val="00422355"/>
    <w:rsid w:val="004223D3"/>
    <w:rsid w:val="004226B3"/>
    <w:rsid w:val="004226EA"/>
    <w:rsid w:val="00422803"/>
    <w:rsid w:val="00422B46"/>
    <w:rsid w:val="00422C11"/>
    <w:rsid w:val="00422D00"/>
    <w:rsid w:val="00422D3E"/>
    <w:rsid w:val="00422EB6"/>
    <w:rsid w:val="0042307D"/>
    <w:rsid w:val="004231FA"/>
    <w:rsid w:val="00423231"/>
    <w:rsid w:val="00423396"/>
    <w:rsid w:val="004234F7"/>
    <w:rsid w:val="00423584"/>
    <w:rsid w:val="0042366F"/>
    <w:rsid w:val="0042373B"/>
    <w:rsid w:val="0042378B"/>
    <w:rsid w:val="00423908"/>
    <w:rsid w:val="00423916"/>
    <w:rsid w:val="00423A95"/>
    <w:rsid w:val="00423E65"/>
    <w:rsid w:val="00423F19"/>
    <w:rsid w:val="00424324"/>
    <w:rsid w:val="00424476"/>
    <w:rsid w:val="004245CF"/>
    <w:rsid w:val="004245F6"/>
    <w:rsid w:val="004247FF"/>
    <w:rsid w:val="00424853"/>
    <w:rsid w:val="00424A01"/>
    <w:rsid w:val="00424A41"/>
    <w:rsid w:val="00424A65"/>
    <w:rsid w:val="00424B3D"/>
    <w:rsid w:val="00424B91"/>
    <w:rsid w:val="00424C40"/>
    <w:rsid w:val="00424C8B"/>
    <w:rsid w:val="00424D8F"/>
    <w:rsid w:val="00424EEA"/>
    <w:rsid w:val="00424F25"/>
    <w:rsid w:val="00424F6E"/>
    <w:rsid w:val="00425030"/>
    <w:rsid w:val="00425321"/>
    <w:rsid w:val="00425345"/>
    <w:rsid w:val="0042539A"/>
    <w:rsid w:val="004253BC"/>
    <w:rsid w:val="004257AF"/>
    <w:rsid w:val="00425894"/>
    <w:rsid w:val="00425B59"/>
    <w:rsid w:val="00425C9A"/>
    <w:rsid w:val="00425CF2"/>
    <w:rsid w:val="00425DB6"/>
    <w:rsid w:val="00425DD0"/>
    <w:rsid w:val="00425E0B"/>
    <w:rsid w:val="00425EAF"/>
    <w:rsid w:val="00425F6F"/>
    <w:rsid w:val="0042626B"/>
    <w:rsid w:val="0042629C"/>
    <w:rsid w:val="004262A3"/>
    <w:rsid w:val="00426326"/>
    <w:rsid w:val="004263E2"/>
    <w:rsid w:val="00426423"/>
    <w:rsid w:val="004264B9"/>
    <w:rsid w:val="00426537"/>
    <w:rsid w:val="00426656"/>
    <w:rsid w:val="00426992"/>
    <w:rsid w:val="00426997"/>
    <w:rsid w:val="00426A28"/>
    <w:rsid w:val="00426A9D"/>
    <w:rsid w:val="00426AA7"/>
    <w:rsid w:val="00426B5D"/>
    <w:rsid w:val="00426B65"/>
    <w:rsid w:val="00426D43"/>
    <w:rsid w:val="00427167"/>
    <w:rsid w:val="004271AD"/>
    <w:rsid w:val="0042733D"/>
    <w:rsid w:val="00427354"/>
    <w:rsid w:val="00427381"/>
    <w:rsid w:val="00427538"/>
    <w:rsid w:val="00427579"/>
    <w:rsid w:val="00427A40"/>
    <w:rsid w:val="00427B29"/>
    <w:rsid w:val="00427B2C"/>
    <w:rsid w:val="00427C64"/>
    <w:rsid w:val="00427E1F"/>
    <w:rsid w:val="00427FE1"/>
    <w:rsid w:val="00430022"/>
    <w:rsid w:val="00430030"/>
    <w:rsid w:val="0043041A"/>
    <w:rsid w:val="004304DA"/>
    <w:rsid w:val="00430559"/>
    <w:rsid w:val="00430587"/>
    <w:rsid w:val="00430769"/>
    <w:rsid w:val="0043082A"/>
    <w:rsid w:val="00430897"/>
    <w:rsid w:val="004308D7"/>
    <w:rsid w:val="00430915"/>
    <w:rsid w:val="00430920"/>
    <w:rsid w:val="0043095F"/>
    <w:rsid w:val="00430A8F"/>
    <w:rsid w:val="00430ACB"/>
    <w:rsid w:val="00430B03"/>
    <w:rsid w:val="00430B64"/>
    <w:rsid w:val="00430BBF"/>
    <w:rsid w:val="00430D58"/>
    <w:rsid w:val="00430E34"/>
    <w:rsid w:val="00430EC8"/>
    <w:rsid w:val="0043104C"/>
    <w:rsid w:val="0043105C"/>
    <w:rsid w:val="00431191"/>
    <w:rsid w:val="00431455"/>
    <w:rsid w:val="004315BB"/>
    <w:rsid w:val="0043196F"/>
    <w:rsid w:val="00431B67"/>
    <w:rsid w:val="00431BA6"/>
    <w:rsid w:val="00431D49"/>
    <w:rsid w:val="00431D4D"/>
    <w:rsid w:val="00431D6B"/>
    <w:rsid w:val="00431D75"/>
    <w:rsid w:val="00431EB4"/>
    <w:rsid w:val="0043202A"/>
    <w:rsid w:val="0043236D"/>
    <w:rsid w:val="004324DF"/>
    <w:rsid w:val="004326C6"/>
    <w:rsid w:val="004326E2"/>
    <w:rsid w:val="004326E7"/>
    <w:rsid w:val="004326FD"/>
    <w:rsid w:val="00432799"/>
    <w:rsid w:val="00432955"/>
    <w:rsid w:val="00432964"/>
    <w:rsid w:val="004329A8"/>
    <w:rsid w:val="00432A95"/>
    <w:rsid w:val="00432C03"/>
    <w:rsid w:val="00432CE1"/>
    <w:rsid w:val="00432E20"/>
    <w:rsid w:val="00432EF0"/>
    <w:rsid w:val="00432F15"/>
    <w:rsid w:val="0043301F"/>
    <w:rsid w:val="0043306B"/>
    <w:rsid w:val="004331B4"/>
    <w:rsid w:val="00433222"/>
    <w:rsid w:val="004332AD"/>
    <w:rsid w:val="004333A3"/>
    <w:rsid w:val="004333ED"/>
    <w:rsid w:val="0043341D"/>
    <w:rsid w:val="00433664"/>
    <w:rsid w:val="00433B5C"/>
    <w:rsid w:val="00433C0A"/>
    <w:rsid w:val="00433ED0"/>
    <w:rsid w:val="0043421E"/>
    <w:rsid w:val="0043435C"/>
    <w:rsid w:val="00434517"/>
    <w:rsid w:val="00434558"/>
    <w:rsid w:val="00434583"/>
    <w:rsid w:val="0043470B"/>
    <w:rsid w:val="004349B1"/>
    <w:rsid w:val="004349F4"/>
    <w:rsid w:val="00434CA5"/>
    <w:rsid w:val="0043513C"/>
    <w:rsid w:val="00435159"/>
    <w:rsid w:val="00435193"/>
    <w:rsid w:val="004351F8"/>
    <w:rsid w:val="004352ED"/>
    <w:rsid w:val="0043531F"/>
    <w:rsid w:val="00435430"/>
    <w:rsid w:val="004354BD"/>
    <w:rsid w:val="00435920"/>
    <w:rsid w:val="00435973"/>
    <w:rsid w:val="00435998"/>
    <w:rsid w:val="004359CC"/>
    <w:rsid w:val="004359F7"/>
    <w:rsid w:val="00435B38"/>
    <w:rsid w:val="00435C55"/>
    <w:rsid w:val="00435CAB"/>
    <w:rsid w:val="00435F0D"/>
    <w:rsid w:val="00436057"/>
    <w:rsid w:val="00436547"/>
    <w:rsid w:val="00436571"/>
    <w:rsid w:val="004365E4"/>
    <w:rsid w:val="0043662B"/>
    <w:rsid w:val="00436759"/>
    <w:rsid w:val="00436A6D"/>
    <w:rsid w:val="00436B21"/>
    <w:rsid w:val="00436BCD"/>
    <w:rsid w:val="00436D70"/>
    <w:rsid w:val="00436EED"/>
    <w:rsid w:val="00437054"/>
    <w:rsid w:val="00437060"/>
    <w:rsid w:val="0043710F"/>
    <w:rsid w:val="004374A9"/>
    <w:rsid w:val="004374CD"/>
    <w:rsid w:val="004374EA"/>
    <w:rsid w:val="004374F3"/>
    <w:rsid w:val="0043754A"/>
    <w:rsid w:val="0043756D"/>
    <w:rsid w:val="004377A8"/>
    <w:rsid w:val="004377E0"/>
    <w:rsid w:val="00437971"/>
    <w:rsid w:val="00437993"/>
    <w:rsid w:val="00437AEA"/>
    <w:rsid w:val="00437BC6"/>
    <w:rsid w:val="00437BC9"/>
    <w:rsid w:val="00437DFD"/>
    <w:rsid w:val="00437EF8"/>
    <w:rsid w:val="00437F66"/>
    <w:rsid w:val="00437FC7"/>
    <w:rsid w:val="00440128"/>
    <w:rsid w:val="00440189"/>
    <w:rsid w:val="004402E9"/>
    <w:rsid w:val="0044033E"/>
    <w:rsid w:val="004404E2"/>
    <w:rsid w:val="004406FE"/>
    <w:rsid w:val="00440BCE"/>
    <w:rsid w:val="00440F59"/>
    <w:rsid w:val="0044119C"/>
    <w:rsid w:val="004416A3"/>
    <w:rsid w:val="004418CB"/>
    <w:rsid w:val="00441A22"/>
    <w:rsid w:val="00441BDE"/>
    <w:rsid w:val="00441BF1"/>
    <w:rsid w:val="00441F77"/>
    <w:rsid w:val="00442018"/>
    <w:rsid w:val="00442150"/>
    <w:rsid w:val="004421F5"/>
    <w:rsid w:val="00442734"/>
    <w:rsid w:val="0044285C"/>
    <w:rsid w:val="00442961"/>
    <w:rsid w:val="00442B5B"/>
    <w:rsid w:val="00442B7C"/>
    <w:rsid w:val="00442CE0"/>
    <w:rsid w:val="0044313F"/>
    <w:rsid w:val="00443193"/>
    <w:rsid w:val="004433F2"/>
    <w:rsid w:val="004434CD"/>
    <w:rsid w:val="0044375F"/>
    <w:rsid w:val="0044395E"/>
    <w:rsid w:val="004439A4"/>
    <w:rsid w:val="00443B02"/>
    <w:rsid w:val="00443CFC"/>
    <w:rsid w:val="00443DD5"/>
    <w:rsid w:val="00443F92"/>
    <w:rsid w:val="004440FD"/>
    <w:rsid w:val="004442EE"/>
    <w:rsid w:val="00444342"/>
    <w:rsid w:val="0044470B"/>
    <w:rsid w:val="004448B6"/>
    <w:rsid w:val="004448D9"/>
    <w:rsid w:val="004448DA"/>
    <w:rsid w:val="00444C4C"/>
    <w:rsid w:val="00444C68"/>
    <w:rsid w:val="00444D6C"/>
    <w:rsid w:val="00444DCF"/>
    <w:rsid w:val="00444F0A"/>
    <w:rsid w:val="00445073"/>
    <w:rsid w:val="00445349"/>
    <w:rsid w:val="00445432"/>
    <w:rsid w:val="0044555F"/>
    <w:rsid w:val="0044596F"/>
    <w:rsid w:val="0044598B"/>
    <w:rsid w:val="0044599D"/>
    <w:rsid w:val="00445AAD"/>
    <w:rsid w:val="00445AD6"/>
    <w:rsid w:val="00445FCD"/>
    <w:rsid w:val="00446175"/>
    <w:rsid w:val="004463E0"/>
    <w:rsid w:val="004464EA"/>
    <w:rsid w:val="00446527"/>
    <w:rsid w:val="0044663B"/>
    <w:rsid w:val="004466B8"/>
    <w:rsid w:val="004467B8"/>
    <w:rsid w:val="004467D5"/>
    <w:rsid w:val="004469C9"/>
    <w:rsid w:val="00446B16"/>
    <w:rsid w:val="00446B35"/>
    <w:rsid w:val="00446CAA"/>
    <w:rsid w:val="00446ED0"/>
    <w:rsid w:val="00446F06"/>
    <w:rsid w:val="00447076"/>
    <w:rsid w:val="004471DB"/>
    <w:rsid w:val="00447416"/>
    <w:rsid w:val="00447604"/>
    <w:rsid w:val="004476EE"/>
    <w:rsid w:val="004477D4"/>
    <w:rsid w:val="004478DE"/>
    <w:rsid w:val="00447A18"/>
    <w:rsid w:val="00447B7F"/>
    <w:rsid w:val="00447BDD"/>
    <w:rsid w:val="00447C37"/>
    <w:rsid w:val="00447C71"/>
    <w:rsid w:val="00447C73"/>
    <w:rsid w:val="00447C80"/>
    <w:rsid w:val="0045008D"/>
    <w:rsid w:val="0045013A"/>
    <w:rsid w:val="00450157"/>
    <w:rsid w:val="00450283"/>
    <w:rsid w:val="0045045A"/>
    <w:rsid w:val="00450492"/>
    <w:rsid w:val="004505BD"/>
    <w:rsid w:val="00450825"/>
    <w:rsid w:val="00450916"/>
    <w:rsid w:val="00450C76"/>
    <w:rsid w:val="00450DBD"/>
    <w:rsid w:val="00450DFA"/>
    <w:rsid w:val="00450FAA"/>
    <w:rsid w:val="0045102B"/>
    <w:rsid w:val="004512BF"/>
    <w:rsid w:val="00451334"/>
    <w:rsid w:val="00451386"/>
    <w:rsid w:val="0045146B"/>
    <w:rsid w:val="004514EC"/>
    <w:rsid w:val="00451575"/>
    <w:rsid w:val="00451659"/>
    <w:rsid w:val="00451754"/>
    <w:rsid w:val="00451833"/>
    <w:rsid w:val="004518DB"/>
    <w:rsid w:val="004518FA"/>
    <w:rsid w:val="00451A08"/>
    <w:rsid w:val="00451B14"/>
    <w:rsid w:val="00451B48"/>
    <w:rsid w:val="00451B50"/>
    <w:rsid w:val="00451B5F"/>
    <w:rsid w:val="00451B65"/>
    <w:rsid w:val="00451BC3"/>
    <w:rsid w:val="00451D30"/>
    <w:rsid w:val="00451DC5"/>
    <w:rsid w:val="00451FA9"/>
    <w:rsid w:val="00451FE4"/>
    <w:rsid w:val="0045208E"/>
    <w:rsid w:val="004522EE"/>
    <w:rsid w:val="004524EF"/>
    <w:rsid w:val="00452526"/>
    <w:rsid w:val="004526AE"/>
    <w:rsid w:val="004526EC"/>
    <w:rsid w:val="0045271F"/>
    <w:rsid w:val="00452736"/>
    <w:rsid w:val="004527BD"/>
    <w:rsid w:val="004527C4"/>
    <w:rsid w:val="00452814"/>
    <w:rsid w:val="004529BA"/>
    <w:rsid w:val="00452C77"/>
    <w:rsid w:val="00452DD9"/>
    <w:rsid w:val="00452FD3"/>
    <w:rsid w:val="00452FE3"/>
    <w:rsid w:val="0045363A"/>
    <w:rsid w:val="00453669"/>
    <w:rsid w:val="00453823"/>
    <w:rsid w:val="00453A9B"/>
    <w:rsid w:val="00453BB2"/>
    <w:rsid w:val="00453CA7"/>
    <w:rsid w:val="00453CFD"/>
    <w:rsid w:val="00454166"/>
    <w:rsid w:val="00454176"/>
    <w:rsid w:val="004541FC"/>
    <w:rsid w:val="004541FF"/>
    <w:rsid w:val="0045423A"/>
    <w:rsid w:val="00454252"/>
    <w:rsid w:val="004543BF"/>
    <w:rsid w:val="00454505"/>
    <w:rsid w:val="0045458E"/>
    <w:rsid w:val="004545F2"/>
    <w:rsid w:val="00454658"/>
    <w:rsid w:val="0045467C"/>
    <w:rsid w:val="004546C5"/>
    <w:rsid w:val="004546D3"/>
    <w:rsid w:val="004546DF"/>
    <w:rsid w:val="00454713"/>
    <w:rsid w:val="00454A9C"/>
    <w:rsid w:val="00454C8F"/>
    <w:rsid w:val="00454D8C"/>
    <w:rsid w:val="00454E7B"/>
    <w:rsid w:val="00454EE2"/>
    <w:rsid w:val="0045505B"/>
    <w:rsid w:val="0045508F"/>
    <w:rsid w:val="00455360"/>
    <w:rsid w:val="004553A8"/>
    <w:rsid w:val="004553BA"/>
    <w:rsid w:val="0045588D"/>
    <w:rsid w:val="0045593B"/>
    <w:rsid w:val="00455A4D"/>
    <w:rsid w:val="00455ADE"/>
    <w:rsid w:val="00455B3D"/>
    <w:rsid w:val="00455BDB"/>
    <w:rsid w:val="00455CEE"/>
    <w:rsid w:val="00455F0A"/>
    <w:rsid w:val="004560D7"/>
    <w:rsid w:val="0045625E"/>
    <w:rsid w:val="004562ED"/>
    <w:rsid w:val="004563A6"/>
    <w:rsid w:val="004564B8"/>
    <w:rsid w:val="00456526"/>
    <w:rsid w:val="00456597"/>
    <w:rsid w:val="00456695"/>
    <w:rsid w:val="004566FC"/>
    <w:rsid w:val="004567D6"/>
    <w:rsid w:val="004567EB"/>
    <w:rsid w:val="00456844"/>
    <w:rsid w:val="0045691D"/>
    <w:rsid w:val="00456B91"/>
    <w:rsid w:val="00456D16"/>
    <w:rsid w:val="00456DFC"/>
    <w:rsid w:val="00456E20"/>
    <w:rsid w:val="00456F38"/>
    <w:rsid w:val="00457136"/>
    <w:rsid w:val="004571B8"/>
    <w:rsid w:val="0045756D"/>
    <w:rsid w:val="00457646"/>
    <w:rsid w:val="00457683"/>
    <w:rsid w:val="00457745"/>
    <w:rsid w:val="004577A6"/>
    <w:rsid w:val="00457ABD"/>
    <w:rsid w:val="00457B0C"/>
    <w:rsid w:val="00457C06"/>
    <w:rsid w:val="00457CB0"/>
    <w:rsid w:val="00457D0A"/>
    <w:rsid w:val="00457F38"/>
    <w:rsid w:val="00460258"/>
    <w:rsid w:val="00460430"/>
    <w:rsid w:val="0046044F"/>
    <w:rsid w:val="004604ED"/>
    <w:rsid w:val="004608D9"/>
    <w:rsid w:val="004609C6"/>
    <w:rsid w:val="00460B29"/>
    <w:rsid w:val="00460D5A"/>
    <w:rsid w:val="00460E18"/>
    <w:rsid w:val="00460E57"/>
    <w:rsid w:val="00460EF3"/>
    <w:rsid w:val="00460F8F"/>
    <w:rsid w:val="00460F99"/>
    <w:rsid w:val="00460FC3"/>
    <w:rsid w:val="004610D1"/>
    <w:rsid w:val="004611A3"/>
    <w:rsid w:val="004611BC"/>
    <w:rsid w:val="004611DF"/>
    <w:rsid w:val="00461240"/>
    <w:rsid w:val="00461394"/>
    <w:rsid w:val="004613B4"/>
    <w:rsid w:val="00461401"/>
    <w:rsid w:val="00461623"/>
    <w:rsid w:val="00461981"/>
    <w:rsid w:val="00461B9B"/>
    <w:rsid w:val="00461BE5"/>
    <w:rsid w:val="00461C50"/>
    <w:rsid w:val="00461C85"/>
    <w:rsid w:val="00461CDB"/>
    <w:rsid w:val="00461F46"/>
    <w:rsid w:val="004620C3"/>
    <w:rsid w:val="00462355"/>
    <w:rsid w:val="0046239D"/>
    <w:rsid w:val="0046244B"/>
    <w:rsid w:val="0046253C"/>
    <w:rsid w:val="004625CE"/>
    <w:rsid w:val="004626FA"/>
    <w:rsid w:val="0046275A"/>
    <w:rsid w:val="00462766"/>
    <w:rsid w:val="004627E0"/>
    <w:rsid w:val="00462838"/>
    <w:rsid w:val="00462866"/>
    <w:rsid w:val="00462990"/>
    <w:rsid w:val="00462A24"/>
    <w:rsid w:val="00462A7E"/>
    <w:rsid w:val="00462A8B"/>
    <w:rsid w:val="00462BE9"/>
    <w:rsid w:val="00462CD6"/>
    <w:rsid w:val="0046305E"/>
    <w:rsid w:val="004630C4"/>
    <w:rsid w:val="004631FB"/>
    <w:rsid w:val="00463553"/>
    <w:rsid w:val="004637BF"/>
    <w:rsid w:val="00463A19"/>
    <w:rsid w:val="00463B90"/>
    <w:rsid w:val="00463BB9"/>
    <w:rsid w:val="00463CBD"/>
    <w:rsid w:val="00463D32"/>
    <w:rsid w:val="00463D60"/>
    <w:rsid w:val="00463D83"/>
    <w:rsid w:val="00463E26"/>
    <w:rsid w:val="00464008"/>
    <w:rsid w:val="0046413A"/>
    <w:rsid w:val="00464301"/>
    <w:rsid w:val="0046433E"/>
    <w:rsid w:val="00464415"/>
    <w:rsid w:val="00464614"/>
    <w:rsid w:val="00464663"/>
    <w:rsid w:val="00464752"/>
    <w:rsid w:val="00464870"/>
    <w:rsid w:val="004649BA"/>
    <w:rsid w:val="00464A62"/>
    <w:rsid w:val="00464B3D"/>
    <w:rsid w:val="00464CBA"/>
    <w:rsid w:val="0046527F"/>
    <w:rsid w:val="004652CE"/>
    <w:rsid w:val="00465514"/>
    <w:rsid w:val="004656C7"/>
    <w:rsid w:val="00465853"/>
    <w:rsid w:val="00465866"/>
    <w:rsid w:val="00465938"/>
    <w:rsid w:val="00465950"/>
    <w:rsid w:val="00465BAF"/>
    <w:rsid w:val="00465BEE"/>
    <w:rsid w:val="00465C7D"/>
    <w:rsid w:val="00465C9F"/>
    <w:rsid w:val="0046607B"/>
    <w:rsid w:val="004660C6"/>
    <w:rsid w:val="004660FE"/>
    <w:rsid w:val="00466579"/>
    <w:rsid w:val="0046689B"/>
    <w:rsid w:val="004669B2"/>
    <w:rsid w:val="004670A2"/>
    <w:rsid w:val="004672FA"/>
    <w:rsid w:val="00467465"/>
    <w:rsid w:val="004675CF"/>
    <w:rsid w:val="00467617"/>
    <w:rsid w:val="004677A7"/>
    <w:rsid w:val="00467824"/>
    <w:rsid w:val="00467858"/>
    <w:rsid w:val="00467BD9"/>
    <w:rsid w:val="00467BE3"/>
    <w:rsid w:val="00467C53"/>
    <w:rsid w:val="00467D32"/>
    <w:rsid w:val="00467DA8"/>
    <w:rsid w:val="00467DAE"/>
    <w:rsid w:val="00467E5E"/>
    <w:rsid w:val="004700D1"/>
    <w:rsid w:val="004700F7"/>
    <w:rsid w:val="00470448"/>
    <w:rsid w:val="004704CE"/>
    <w:rsid w:val="0047072B"/>
    <w:rsid w:val="00470906"/>
    <w:rsid w:val="00470915"/>
    <w:rsid w:val="00470BB2"/>
    <w:rsid w:val="00470DAE"/>
    <w:rsid w:val="00470F19"/>
    <w:rsid w:val="00470FE2"/>
    <w:rsid w:val="00471086"/>
    <w:rsid w:val="00471111"/>
    <w:rsid w:val="00471163"/>
    <w:rsid w:val="00471187"/>
    <w:rsid w:val="00471277"/>
    <w:rsid w:val="004712CD"/>
    <w:rsid w:val="0047138D"/>
    <w:rsid w:val="004713B5"/>
    <w:rsid w:val="0047146C"/>
    <w:rsid w:val="004714BC"/>
    <w:rsid w:val="0047150E"/>
    <w:rsid w:val="004716C4"/>
    <w:rsid w:val="00471740"/>
    <w:rsid w:val="00471E14"/>
    <w:rsid w:val="00471E4D"/>
    <w:rsid w:val="00471E8D"/>
    <w:rsid w:val="0047218A"/>
    <w:rsid w:val="004721AB"/>
    <w:rsid w:val="00472224"/>
    <w:rsid w:val="0047225C"/>
    <w:rsid w:val="00472282"/>
    <w:rsid w:val="004723DB"/>
    <w:rsid w:val="004723E6"/>
    <w:rsid w:val="0047241E"/>
    <w:rsid w:val="00472420"/>
    <w:rsid w:val="0047252E"/>
    <w:rsid w:val="004726F2"/>
    <w:rsid w:val="00472AC0"/>
    <w:rsid w:val="00472AC8"/>
    <w:rsid w:val="00472BA2"/>
    <w:rsid w:val="00472C43"/>
    <w:rsid w:val="00472D04"/>
    <w:rsid w:val="00472E8A"/>
    <w:rsid w:val="00472FAE"/>
    <w:rsid w:val="0047304F"/>
    <w:rsid w:val="00473470"/>
    <w:rsid w:val="00473546"/>
    <w:rsid w:val="00473627"/>
    <w:rsid w:val="004737BB"/>
    <w:rsid w:val="0047394C"/>
    <w:rsid w:val="00473B07"/>
    <w:rsid w:val="00473D01"/>
    <w:rsid w:val="00473D47"/>
    <w:rsid w:val="00473DB5"/>
    <w:rsid w:val="00473F6A"/>
    <w:rsid w:val="00474102"/>
    <w:rsid w:val="0047441E"/>
    <w:rsid w:val="0047444D"/>
    <w:rsid w:val="004744B3"/>
    <w:rsid w:val="004745CE"/>
    <w:rsid w:val="0047471B"/>
    <w:rsid w:val="004748D5"/>
    <w:rsid w:val="00474970"/>
    <w:rsid w:val="00474BC9"/>
    <w:rsid w:val="00474C40"/>
    <w:rsid w:val="00474E50"/>
    <w:rsid w:val="004752E1"/>
    <w:rsid w:val="0047542F"/>
    <w:rsid w:val="004757C7"/>
    <w:rsid w:val="00475834"/>
    <w:rsid w:val="00475921"/>
    <w:rsid w:val="00475A85"/>
    <w:rsid w:val="00475B2B"/>
    <w:rsid w:val="00475C2D"/>
    <w:rsid w:val="00475CAF"/>
    <w:rsid w:val="00475F1D"/>
    <w:rsid w:val="004762F5"/>
    <w:rsid w:val="00476449"/>
    <w:rsid w:val="00476637"/>
    <w:rsid w:val="00476662"/>
    <w:rsid w:val="00476700"/>
    <w:rsid w:val="004767FA"/>
    <w:rsid w:val="00476948"/>
    <w:rsid w:val="00476BFB"/>
    <w:rsid w:val="00476D3F"/>
    <w:rsid w:val="00476D55"/>
    <w:rsid w:val="00477130"/>
    <w:rsid w:val="004771B4"/>
    <w:rsid w:val="0047722A"/>
    <w:rsid w:val="004772D4"/>
    <w:rsid w:val="0047742A"/>
    <w:rsid w:val="004777C3"/>
    <w:rsid w:val="004778B7"/>
    <w:rsid w:val="0047798C"/>
    <w:rsid w:val="00477D42"/>
    <w:rsid w:val="00477E8E"/>
    <w:rsid w:val="00477EAE"/>
    <w:rsid w:val="00477F17"/>
    <w:rsid w:val="00477F53"/>
    <w:rsid w:val="0048006A"/>
    <w:rsid w:val="0048012C"/>
    <w:rsid w:val="00480417"/>
    <w:rsid w:val="004804B9"/>
    <w:rsid w:val="00480B59"/>
    <w:rsid w:val="00480C3B"/>
    <w:rsid w:val="00480E90"/>
    <w:rsid w:val="00480F31"/>
    <w:rsid w:val="00481084"/>
    <w:rsid w:val="0048109C"/>
    <w:rsid w:val="004812A5"/>
    <w:rsid w:val="0048131D"/>
    <w:rsid w:val="0048139F"/>
    <w:rsid w:val="004814C0"/>
    <w:rsid w:val="0048160A"/>
    <w:rsid w:val="00481BAB"/>
    <w:rsid w:val="00481CE6"/>
    <w:rsid w:val="00481D33"/>
    <w:rsid w:val="00481D8F"/>
    <w:rsid w:val="00481FD9"/>
    <w:rsid w:val="0048209C"/>
    <w:rsid w:val="004821CA"/>
    <w:rsid w:val="004824B4"/>
    <w:rsid w:val="0048279C"/>
    <w:rsid w:val="004827B5"/>
    <w:rsid w:val="00482972"/>
    <w:rsid w:val="00482E88"/>
    <w:rsid w:val="00482EE3"/>
    <w:rsid w:val="004833E6"/>
    <w:rsid w:val="00483420"/>
    <w:rsid w:val="004837E8"/>
    <w:rsid w:val="00483881"/>
    <w:rsid w:val="0048399E"/>
    <w:rsid w:val="004839FC"/>
    <w:rsid w:val="00483A53"/>
    <w:rsid w:val="00483C2D"/>
    <w:rsid w:val="0048416C"/>
    <w:rsid w:val="004841A4"/>
    <w:rsid w:val="00484231"/>
    <w:rsid w:val="0048462F"/>
    <w:rsid w:val="004847B9"/>
    <w:rsid w:val="004849B3"/>
    <w:rsid w:val="00484A3F"/>
    <w:rsid w:val="00484A7A"/>
    <w:rsid w:val="00484BFD"/>
    <w:rsid w:val="00484C93"/>
    <w:rsid w:val="00484D36"/>
    <w:rsid w:val="00484F35"/>
    <w:rsid w:val="004850FD"/>
    <w:rsid w:val="00485171"/>
    <w:rsid w:val="004853D8"/>
    <w:rsid w:val="00485488"/>
    <w:rsid w:val="00485534"/>
    <w:rsid w:val="004856D9"/>
    <w:rsid w:val="004857E2"/>
    <w:rsid w:val="00485828"/>
    <w:rsid w:val="00485896"/>
    <w:rsid w:val="00485956"/>
    <w:rsid w:val="00485A62"/>
    <w:rsid w:val="00485CF1"/>
    <w:rsid w:val="00485E53"/>
    <w:rsid w:val="00485E99"/>
    <w:rsid w:val="00485EAE"/>
    <w:rsid w:val="00486044"/>
    <w:rsid w:val="00486337"/>
    <w:rsid w:val="00486589"/>
    <w:rsid w:val="0048669B"/>
    <w:rsid w:val="00486738"/>
    <w:rsid w:val="004867A6"/>
    <w:rsid w:val="00486A58"/>
    <w:rsid w:val="00486A6F"/>
    <w:rsid w:val="00486C33"/>
    <w:rsid w:val="00486CF1"/>
    <w:rsid w:val="0048714C"/>
    <w:rsid w:val="00487311"/>
    <w:rsid w:val="004873B0"/>
    <w:rsid w:val="004873E3"/>
    <w:rsid w:val="004875D4"/>
    <w:rsid w:val="004875E8"/>
    <w:rsid w:val="00487686"/>
    <w:rsid w:val="00487A3A"/>
    <w:rsid w:val="00487B5E"/>
    <w:rsid w:val="00487D25"/>
    <w:rsid w:val="00490095"/>
    <w:rsid w:val="00490257"/>
    <w:rsid w:val="0049032A"/>
    <w:rsid w:val="00490425"/>
    <w:rsid w:val="004905AF"/>
    <w:rsid w:val="0049065A"/>
    <w:rsid w:val="00490667"/>
    <w:rsid w:val="00490677"/>
    <w:rsid w:val="004908F9"/>
    <w:rsid w:val="0049098B"/>
    <w:rsid w:val="0049099A"/>
    <w:rsid w:val="004909B0"/>
    <w:rsid w:val="00490B03"/>
    <w:rsid w:val="00490CAF"/>
    <w:rsid w:val="00490CD8"/>
    <w:rsid w:val="00490CF7"/>
    <w:rsid w:val="00490D64"/>
    <w:rsid w:val="00490E8D"/>
    <w:rsid w:val="0049105C"/>
    <w:rsid w:val="0049111D"/>
    <w:rsid w:val="00491201"/>
    <w:rsid w:val="00491390"/>
    <w:rsid w:val="00491472"/>
    <w:rsid w:val="004917C9"/>
    <w:rsid w:val="004919A2"/>
    <w:rsid w:val="00491AF4"/>
    <w:rsid w:val="00491C05"/>
    <w:rsid w:val="00491C32"/>
    <w:rsid w:val="00491EAC"/>
    <w:rsid w:val="00491EC6"/>
    <w:rsid w:val="00491ED0"/>
    <w:rsid w:val="0049200C"/>
    <w:rsid w:val="004920AF"/>
    <w:rsid w:val="004923A1"/>
    <w:rsid w:val="004924D6"/>
    <w:rsid w:val="004926A4"/>
    <w:rsid w:val="0049299A"/>
    <w:rsid w:val="0049299C"/>
    <w:rsid w:val="0049299D"/>
    <w:rsid w:val="00492ABD"/>
    <w:rsid w:val="00492C43"/>
    <w:rsid w:val="00492CDE"/>
    <w:rsid w:val="00492D9F"/>
    <w:rsid w:val="00492E32"/>
    <w:rsid w:val="00492E74"/>
    <w:rsid w:val="00492FE5"/>
    <w:rsid w:val="00493041"/>
    <w:rsid w:val="004931B3"/>
    <w:rsid w:val="004931C0"/>
    <w:rsid w:val="004931D8"/>
    <w:rsid w:val="004931F5"/>
    <w:rsid w:val="0049344B"/>
    <w:rsid w:val="00493552"/>
    <w:rsid w:val="00493771"/>
    <w:rsid w:val="00493A18"/>
    <w:rsid w:val="00493A64"/>
    <w:rsid w:val="00493BE9"/>
    <w:rsid w:val="00493C25"/>
    <w:rsid w:val="00493E32"/>
    <w:rsid w:val="00494315"/>
    <w:rsid w:val="004943B4"/>
    <w:rsid w:val="004944B0"/>
    <w:rsid w:val="0049468C"/>
    <w:rsid w:val="00494805"/>
    <w:rsid w:val="004948CA"/>
    <w:rsid w:val="00494A45"/>
    <w:rsid w:val="00494E78"/>
    <w:rsid w:val="00494EB2"/>
    <w:rsid w:val="00494EF2"/>
    <w:rsid w:val="00494F5A"/>
    <w:rsid w:val="0049518A"/>
    <w:rsid w:val="004954BB"/>
    <w:rsid w:val="00495702"/>
    <w:rsid w:val="004957EC"/>
    <w:rsid w:val="004958C5"/>
    <w:rsid w:val="00495AF3"/>
    <w:rsid w:val="0049626D"/>
    <w:rsid w:val="00496309"/>
    <w:rsid w:val="00496390"/>
    <w:rsid w:val="004966BF"/>
    <w:rsid w:val="0049676E"/>
    <w:rsid w:val="0049696C"/>
    <w:rsid w:val="00496CA0"/>
    <w:rsid w:val="00496CA4"/>
    <w:rsid w:val="00496CC7"/>
    <w:rsid w:val="00496E23"/>
    <w:rsid w:val="00496ED7"/>
    <w:rsid w:val="00496FCE"/>
    <w:rsid w:val="0049704B"/>
    <w:rsid w:val="00497074"/>
    <w:rsid w:val="004971B4"/>
    <w:rsid w:val="00497759"/>
    <w:rsid w:val="004978BB"/>
    <w:rsid w:val="004978BF"/>
    <w:rsid w:val="00497AA2"/>
    <w:rsid w:val="00497B82"/>
    <w:rsid w:val="00497BA7"/>
    <w:rsid w:val="00497C0B"/>
    <w:rsid w:val="004A0042"/>
    <w:rsid w:val="004A016A"/>
    <w:rsid w:val="004A0224"/>
    <w:rsid w:val="004A02E2"/>
    <w:rsid w:val="004A032A"/>
    <w:rsid w:val="004A039A"/>
    <w:rsid w:val="004A0429"/>
    <w:rsid w:val="004A04F0"/>
    <w:rsid w:val="004A055D"/>
    <w:rsid w:val="004A063F"/>
    <w:rsid w:val="004A07CB"/>
    <w:rsid w:val="004A0BC8"/>
    <w:rsid w:val="004A0C1C"/>
    <w:rsid w:val="004A0C81"/>
    <w:rsid w:val="004A0E78"/>
    <w:rsid w:val="004A0F1F"/>
    <w:rsid w:val="004A113D"/>
    <w:rsid w:val="004A1394"/>
    <w:rsid w:val="004A14D4"/>
    <w:rsid w:val="004A1540"/>
    <w:rsid w:val="004A1692"/>
    <w:rsid w:val="004A1878"/>
    <w:rsid w:val="004A18A5"/>
    <w:rsid w:val="004A1937"/>
    <w:rsid w:val="004A195E"/>
    <w:rsid w:val="004A1A97"/>
    <w:rsid w:val="004A1C11"/>
    <w:rsid w:val="004A1C79"/>
    <w:rsid w:val="004A1CE3"/>
    <w:rsid w:val="004A1EAC"/>
    <w:rsid w:val="004A20B4"/>
    <w:rsid w:val="004A20F9"/>
    <w:rsid w:val="004A219A"/>
    <w:rsid w:val="004A241B"/>
    <w:rsid w:val="004A2897"/>
    <w:rsid w:val="004A289A"/>
    <w:rsid w:val="004A2941"/>
    <w:rsid w:val="004A298B"/>
    <w:rsid w:val="004A2A0B"/>
    <w:rsid w:val="004A2BA6"/>
    <w:rsid w:val="004A2CD1"/>
    <w:rsid w:val="004A2D25"/>
    <w:rsid w:val="004A2DA8"/>
    <w:rsid w:val="004A2DD4"/>
    <w:rsid w:val="004A2F4D"/>
    <w:rsid w:val="004A2FF6"/>
    <w:rsid w:val="004A2FF8"/>
    <w:rsid w:val="004A3021"/>
    <w:rsid w:val="004A310F"/>
    <w:rsid w:val="004A3114"/>
    <w:rsid w:val="004A34C7"/>
    <w:rsid w:val="004A388E"/>
    <w:rsid w:val="004A38C0"/>
    <w:rsid w:val="004A38E4"/>
    <w:rsid w:val="004A3904"/>
    <w:rsid w:val="004A39F2"/>
    <w:rsid w:val="004A3A38"/>
    <w:rsid w:val="004A3B79"/>
    <w:rsid w:val="004A3D09"/>
    <w:rsid w:val="004A3D36"/>
    <w:rsid w:val="004A3E18"/>
    <w:rsid w:val="004A4055"/>
    <w:rsid w:val="004A406B"/>
    <w:rsid w:val="004A4218"/>
    <w:rsid w:val="004A45A0"/>
    <w:rsid w:val="004A45CA"/>
    <w:rsid w:val="004A4620"/>
    <w:rsid w:val="004A47D5"/>
    <w:rsid w:val="004A4836"/>
    <w:rsid w:val="004A4D41"/>
    <w:rsid w:val="004A4DBF"/>
    <w:rsid w:val="004A4EC9"/>
    <w:rsid w:val="004A4F90"/>
    <w:rsid w:val="004A4FC5"/>
    <w:rsid w:val="004A501B"/>
    <w:rsid w:val="004A514E"/>
    <w:rsid w:val="004A51CD"/>
    <w:rsid w:val="004A5491"/>
    <w:rsid w:val="004A57AA"/>
    <w:rsid w:val="004A596E"/>
    <w:rsid w:val="004A5980"/>
    <w:rsid w:val="004A5E06"/>
    <w:rsid w:val="004A5EA1"/>
    <w:rsid w:val="004A5F52"/>
    <w:rsid w:val="004A5FC0"/>
    <w:rsid w:val="004A5FC9"/>
    <w:rsid w:val="004A61F0"/>
    <w:rsid w:val="004A632B"/>
    <w:rsid w:val="004A64DE"/>
    <w:rsid w:val="004A6616"/>
    <w:rsid w:val="004A6659"/>
    <w:rsid w:val="004A6717"/>
    <w:rsid w:val="004A6903"/>
    <w:rsid w:val="004A6C08"/>
    <w:rsid w:val="004A7005"/>
    <w:rsid w:val="004A70B8"/>
    <w:rsid w:val="004A7146"/>
    <w:rsid w:val="004A7186"/>
    <w:rsid w:val="004A7239"/>
    <w:rsid w:val="004A72E1"/>
    <w:rsid w:val="004A746A"/>
    <w:rsid w:val="004A747F"/>
    <w:rsid w:val="004A74C9"/>
    <w:rsid w:val="004A785A"/>
    <w:rsid w:val="004A7915"/>
    <w:rsid w:val="004A797B"/>
    <w:rsid w:val="004A7992"/>
    <w:rsid w:val="004A7A9D"/>
    <w:rsid w:val="004A7C45"/>
    <w:rsid w:val="004A7E34"/>
    <w:rsid w:val="004B015B"/>
    <w:rsid w:val="004B01C3"/>
    <w:rsid w:val="004B025E"/>
    <w:rsid w:val="004B04F7"/>
    <w:rsid w:val="004B05FD"/>
    <w:rsid w:val="004B062F"/>
    <w:rsid w:val="004B0677"/>
    <w:rsid w:val="004B086F"/>
    <w:rsid w:val="004B0BBD"/>
    <w:rsid w:val="004B0D95"/>
    <w:rsid w:val="004B0EE8"/>
    <w:rsid w:val="004B0F9E"/>
    <w:rsid w:val="004B1068"/>
    <w:rsid w:val="004B10BE"/>
    <w:rsid w:val="004B10FF"/>
    <w:rsid w:val="004B11CA"/>
    <w:rsid w:val="004B154D"/>
    <w:rsid w:val="004B156C"/>
    <w:rsid w:val="004B17BF"/>
    <w:rsid w:val="004B185A"/>
    <w:rsid w:val="004B18A1"/>
    <w:rsid w:val="004B1AAB"/>
    <w:rsid w:val="004B1AAC"/>
    <w:rsid w:val="004B1B94"/>
    <w:rsid w:val="004B1BA8"/>
    <w:rsid w:val="004B1CA2"/>
    <w:rsid w:val="004B2029"/>
    <w:rsid w:val="004B231A"/>
    <w:rsid w:val="004B2456"/>
    <w:rsid w:val="004B24F5"/>
    <w:rsid w:val="004B258A"/>
    <w:rsid w:val="004B2779"/>
    <w:rsid w:val="004B294D"/>
    <w:rsid w:val="004B2B3C"/>
    <w:rsid w:val="004B2CCB"/>
    <w:rsid w:val="004B2D1C"/>
    <w:rsid w:val="004B2D2C"/>
    <w:rsid w:val="004B2E69"/>
    <w:rsid w:val="004B2F7B"/>
    <w:rsid w:val="004B328F"/>
    <w:rsid w:val="004B32D2"/>
    <w:rsid w:val="004B33F1"/>
    <w:rsid w:val="004B34CC"/>
    <w:rsid w:val="004B366C"/>
    <w:rsid w:val="004B36C6"/>
    <w:rsid w:val="004B3B4C"/>
    <w:rsid w:val="004B3B89"/>
    <w:rsid w:val="004B3D18"/>
    <w:rsid w:val="004B3D9D"/>
    <w:rsid w:val="004B3E30"/>
    <w:rsid w:val="004B4138"/>
    <w:rsid w:val="004B4165"/>
    <w:rsid w:val="004B4356"/>
    <w:rsid w:val="004B4360"/>
    <w:rsid w:val="004B43B5"/>
    <w:rsid w:val="004B4471"/>
    <w:rsid w:val="004B44F5"/>
    <w:rsid w:val="004B46D2"/>
    <w:rsid w:val="004B4B2A"/>
    <w:rsid w:val="004B4B5F"/>
    <w:rsid w:val="004B4B67"/>
    <w:rsid w:val="004B4C0F"/>
    <w:rsid w:val="004B4E04"/>
    <w:rsid w:val="004B4EF7"/>
    <w:rsid w:val="004B4F64"/>
    <w:rsid w:val="004B4FB1"/>
    <w:rsid w:val="004B5122"/>
    <w:rsid w:val="004B55D8"/>
    <w:rsid w:val="004B55EA"/>
    <w:rsid w:val="004B5762"/>
    <w:rsid w:val="004B5A9D"/>
    <w:rsid w:val="004B5CB8"/>
    <w:rsid w:val="004B60B1"/>
    <w:rsid w:val="004B611A"/>
    <w:rsid w:val="004B61BC"/>
    <w:rsid w:val="004B61E2"/>
    <w:rsid w:val="004B63C0"/>
    <w:rsid w:val="004B662E"/>
    <w:rsid w:val="004B66F6"/>
    <w:rsid w:val="004B685B"/>
    <w:rsid w:val="004B68F4"/>
    <w:rsid w:val="004B691E"/>
    <w:rsid w:val="004B6AD8"/>
    <w:rsid w:val="004B6C6A"/>
    <w:rsid w:val="004B6C79"/>
    <w:rsid w:val="004B6E8D"/>
    <w:rsid w:val="004B6EFE"/>
    <w:rsid w:val="004B6F6A"/>
    <w:rsid w:val="004B6FCB"/>
    <w:rsid w:val="004B70F1"/>
    <w:rsid w:val="004B7181"/>
    <w:rsid w:val="004B71FF"/>
    <w:rsid w:val="004B72AB"/>
    <w:rsid w:val="004B73BC"/>
    <w:rsid w:val="004B76A8"/>
    <w:rsid w:val="004B7916"/>
    <w:rsid w:val="004B79FB"/>
    <w:rsid w:val="004B7A02"/>
    <w:rsid w:val="004B7A49"/>
    <w:rsid w:val="004B7A61"/>
    <w:rsid w:val="004B7B87"/>
    <w:rsid w:val="004B7BC7"/>
    <w:rsid w:val="004B7FFB"/>
    <w:rsid w:val="004C0154"/>
    <w:rsid w:val="004C01A4"/>
    <w:rsid w:val="004C01C2"/>
    <w:rsid w:val="004C03FD"/>
    <w:rsid w:val="004C055D"/>
    <w:rsid w:val="004C05F6"/>
    <w:rsid w:val="004C078E"/>
    <w:rsid w:val="004C0822"/>
    <w:rsid w:val="004C0851"/>
    <w:rsid w:val="004C099F"/>
    <w:rsid w:val="004C0AF8"/>
    <w:rsid w:val="004C0BE3"/>
    <w:rsid w:val="004C0BF8"/>
    <w:rsid w:val="004C0C49"/>
    <w:rsid w:val="004C0D44"/>
    <w:rsid w:val="004C0D81"/>
    <w:rsid w:val="004C0DEC"/>
    <w:rsid w:val="004C0E96"/>
    <w:rsid w:val="004C0F67"/>
    <w:rsid w:val="004C0F97"/>
    <w:rsid w:val="004C1427"/>
    <w:rsid w:val="004C14BB"/>
    <w:rsid w:val="004C1501"/>
    <w:rsid w:val="004C16BC"/>
    <w:rsid w:val="004C1853"/>
    <w:rsid w:val="004C18EC"/>
    <w:rsid w:val="004C1915"/>
    <w:rsid w:val="004C1C8A"/>
    <w:rsid w:val="004C1D6B"/>
    <w:rsid w:val="004C1D74"/>
    <w:rsid w:val="004C2258"/>
    <w:rsid w:val="004C2262"/>
    <w:rsid w:val="004C240E"/>
    <w:rsid w:val="004C2424"/>
    <w:rsid w:val="004C24D5"/>
    <w:rsid w:val="004C2507"/>
    <w:rsid w:val="004C256B"/>
    <w:rsid w:val="004C261B"/>
    <w:rsid w:val="004C269E"/>
    <w:rsid w:val="004C293A"/>
    <w:rsid w:val="004C2DBA"/>
    <w:rsid w:val="004C2F59"/>
    <w:rsid w:val="004C3282"/>
    <w:rsid w:val="004C34EE"/>
    <w:rsid w:val="004C3599"/>
    <w:rsid w:val="004C384D"/>
    <w:rsid w:val="004C38BE"/>
    <w:rsid w:val="004C38E4"/>
    <w:rsid w:val="004C3B35"/>
    <w:rsid w:val="004C3D32"/>
    <w:rsid w:val="004C3DDB"/>
    <w:rsid w:val="004C3E3A"/>
    <w:rsid w:val="004C3E88"/>
    <w:rsid w:val="004C3F2B"/>
    <w:rsid w:val="004C3F6D"/>
    <w:rsid w:val="004C4022"/>
    <w:rsid w:val="004C417F"/>
    <w:rsid w:val="004C42CC"/>
    <w:rsid w:val="004C42CE"/>
    <w:rsid w:val="004C43CE"/>
    <w:rsid w:val="004C441C"/>
    <w:rsid w:val="004C4595"/>
    <w:rsid w:val="004C4943"/>
    <w:rsid w:val="004C4B41"/>
    <w:rsid w:val="004C4B5E"/>
    <w:rsid w:val="004C51A0"/>
    <w:rsid w:val="004C51BA"/>
    <w:rsid w:val="004C52D9"/>
    <w:rsid w:val="004C5414"/>
    <w:rsid w:val="004C5543"/>
    <w:rsid w:val="004C55DC"/>
    <w:rsid w:val="004C5932"/>
    <w:rsid w:val="004C59F3"/>
    <w:rsid w:val="004C5B70"/>
    <w:rsid w:val="004C5C6F"/>
    <w:rsid w:val="004C5D4A"/>
    <w:rsid w:val="004C6302"/>
    <w:rsid w:val="004C6353"/>
    <w:rsid w:val="004C6473"/>
    <w:rsid w:val="004C6562"/>
    <w:rsid w:val="004C66A1"/>
    <w:rsid w:val="004C670D"/>
    <w:rsid w:val="004C67E0"/>
    <w:rsid w:val="004C6858"/>
    <w:rsid w:val="004C6942"/>
    <w:rsid w:val="004C694C"/>
    <w:rsid w:val="004C69F3"/>
    <w:rsid w:val="004C6A38"/>
    <w:rsid w:val="004C6B4F"/>
    <w:rsid w:val="004C6F60"/>
    <w:rsid w:val="004C7005"/>
    <w:rsid w:val="004C7207"/>
    <w:rsid w:val="004C7215"/>
    <w:rsid w:val="004C7351"/>
    <w:rsid w:val="004C73A2"/>
    <w:rsid w:val="004C74DA"/>
    <w:rsid w:val="004C7689"/>
    <w:rsid w:val="004C7ADF"/>
    <w:rsid w:val="004D010C"/>
    <w:rsid w:val="004D01FE"/>
    <w:rsid w:val="004D02B3"/>
    <w:rsid w:val="004D02F9"/>
    <w:rsid w:val="004D036C"/>
    <w:rsid w:val="004D0549"/>
    <w:rsid w:val="004D0734"/>
    <w:rsid w:val="004D0A08"/>
    <w:rsid w:val="004D0A68"/>
    <w:rsid w:val="004D0B7C"/>
    <w:rsid w:val="004D0B9D"/>
    <w:rsid w:val="004D0BB4"/>
    <w:rsid w:val="004D0DD9"/>
    <w:rsid w:val="004D0E1B"/>
    <w:rsid w:val="004D0E97"/>
    <w:rsid w:val="004D0F3B"/>
    <w:rsid w:val="004D1133"/>
    <w:rsid w:val="004D12B5"/>
    <w:rsid w:val="004D13B1"/>
    <w:rsid w:val="004D16AA"/>
    <w:rsid w:val="004D17E1"/>
    <w:rsid w:val="004D19A9"/>
    <w:rsid w:val="004D1A5F"/>
    <w:rsid w:val="004D1C5B"/>
    <w:rsid w:val="004D1CE8"/>
    <w:rsid w:val="004D1DA2"/>
    <w:rsid w:val="004D1EAE"/>
    <w:rsid w:val="004D230A"/>
    <w:rsid w:val="004D234C"/>
    <w:rsid w:val="004D23E4"/>
    <w:rsid w:val="004D2488"/>
    <w:rsid w:val="004D24AA"/>
    <w:rsid w:val="004D27ED"/>
    <w:rsid w:val="004D2CA7"/>
    <w:rsid w:val="004D2D4C"/>
    <w:rsid w:val="004D2D93"/>
    <w:rsid w:val="004D2E54"/>
    <w:rsid w:val="004D2E84"/>
    <w:rsid w:val="004D303D"/>
    <w:rsid w:val="004D3082"/>
    <w:rsid w:val="004D31E6"/>
    <w:rsid w:val="004D3225"/>
    <w:rsid w:val="004D333A"/>
    <w:rsid w:val="004D3557"/>
    <w:rsid w:val="004D359C"/>
    <w:rsid w:val="004D372E"/>
    <w:rsid w:val="004D37E9"/>
    <w:rsid w:val="004D3848"/>
    <w:rsid w:val="004D3874"/>
    <w:rsid w:val="004D3896"/>
    <w:rsid w:val="004D38C5"/>
    <w:rsid w:val="004D39BA"/>
    <w:rsid w:val="004D39F6"/>
    <w:rsid w:val="004D3BE8"/>
    <w:rsid w:val="004D3C4B"/>
    <w:rsid w:val="004D3C58"/>
    <w:rsid w:val="004D3C6D"/>
    <w:rsid w:val="004D3C95"/>
    <w:rsid w:val="004D3D3F"/>
    <w:rsid w:val="004D4090"/>
    <w:rsid w:val="004D40A7"/>
    <w:rsid w:val="004D41CF"/>
    <w:rsid w:val="004D42F4"/>
    <w:rsid w:val="004D449F"/>
    <w:rsid w:val="004D4604"/>
    <w:rsid w:val="004D4758"/>
    <w:rsid w:val="004D4942"/>
    <w:rsid w:val="004D4946"/>
    <w:rsid w:val="004D4C39"/>
    <w:rsid w:val="004D4DA9"/>
    <w:rsid w:val="004D4DF8"/>
    <w:rsid w:val="004D4E3D"/>
    <w:rsid w:val="004D4E8F"/>
    <w:rsid w:val="004D5171"/>
    <w:rsid w:val="004D51CA"/>
    <w:rsid w:val="004D52AA"/>
    <w:rsid w:val="004D52B0"/>
    <w:rsid w:val="004D52FB"/>
    <w:rsid w:val="004D540C"/>
    <w:rsid w:val="004D5474"/>
    <w:rsid w:val="004D54DE"/>
    <w:rsid w:val="004D5B37"/>
    <w:rsid w:val="004D5C60"/>
    <w:rsid w:val="004D5CE2"/>
    <w:rsid w:val="004D5FF8"/>
    <w:rsid w:val="004D6195"/>
    <w:rsid w:val="004D6334"/>
    <w:rsid w:val="004D64AA"/>
    <w:rsid w:val="004D67B8"/>
    <w:rsid w:val="004D68F2"/>
    <w:rsid w:val="004D6A34"/>
    <w:rsid w:val="004D6B42"/>
    <w:rsid w:val="004D6DBC"/>
    <w:rsid w:val="004D6F46"/>
    <w:rsid w:val="004D7065"/>
    <w:rsid w:val="004D719C"/>
    <w:rsid w:val="004D7470"/>
    <w:rsid w:val="004D74E8"/>
    <w:rsid w:val="004D7524"/>
    <w:rsid w:val="004D75FF"/>
    <w:rsid w:val="004D771E"/>
    <w:rsid w:val="004D7746"/>
    <w:rsid w:val="004D7772"/>
    <w:rsid w:val="004D7827"/>
    <w:rsid w:val="004D78FE"/>
    <w:rsid w:val="004D7B91"/>
    <w:rsid w:val="004D7CF9"/>
    <w:rsid w:val="004D7D39"/>
    <w:rsid w:val="004D7D63"/>
    <w:rsid w:val="004D7EDD"/>
    <w:rsid w:val="004E001C"/>
    <w:rsid w:val="004E00AF"/>
    <w:rsid w:val="004E00D7"/>
    <w:rsid w:val="004E0250"/>
    <w:rsid w:val="004E0319"/>
    <w:rsid w:val="004E085A"/>
    <w:rsid w:val="004E0C96"/>
    <w:rsid w:val="004E0E63"/>
    <w:rsid w:val="004E119A"/>
    <w:rsid w:val="004E1253"/>
    <w:rsid w:val="004E1398"/>
    <w:rsid w:val="004E13CE"/>
    <w:rsid w:val="004E14EB"/>
    <w:rsid w:val="004E1548"/>
    <w:rsid w:val="004E18E5"/>
    <w:rsid w:val="004E190D"/>
    <w:rsid w:val="004E1A27"/>
    <w:rsid w:val="004E1D04"/>
    <w:rsid w:val="004E1EB0"/>
    <w:rsid w:val="004E1EC4"/>
    <w:rsid w:val="004E1EC9"/>
    <w:rsid w:val="004E2122"/>
    <w:rsid w:val="004E2176"/>
    <w:rsid w:val="004E21C7"/>
    <w:rsid w:val="004E2365"/>
    <w:rsid w:val="004E23E8"/>
    <w:rsid w:val="004E2758"/>
    <w:rsid w:val="004E2A0F"/>
    <w:rsid w:val="004E2C08"/>
    <w:rsid w:val="004E2C36"/>
    <w:rsid w:val="004E2D4C"/>
    <w:rsid w:val="004E2E8F"/>
    <w:rsid w:val="004E2FA0"/>
    <w:rsid w:val="004E30D9"/>
    <w:rsid w:val="004E30DE"/>
    <w:rsid w:val="004E31C1"/>
    <w:rsid w:val="004E3275"/>
    <w:rsid w:val="004E330E"/>
    <w:rsid w:val="004E335A"/>
    <w:rsid w:val="004E33BE"/>
    <w:rsid w:val="004E3400"/>
    <w:rsid w:val="004E34C3"/>
    <w:rsid w:val="004E35EA"/>
    <w:rsid w:val="004E380F"/>
    <w:rsid w:val="004E3A62"/>
    <w:rsid w:val="004E3BF0"/>
    <w:rsid w:val="004E3C92"/>
    <w:rsid w:val="004E3D62"/>
    <w:rsid w:val="004E3E72"/>
    <w:rsid w:val="004E3F5C"/>
    <w:rsid w:val="004E3F78"/>
    <w:rsid w:val="004E3FB9"/>
    <w:rsid w:val="004E407F"/>
    <w:rsid w:val="004E40A8"/>
    <w:rsid w:val="004E4110"/>
    <w:rsid w:val="004E4608"/>
    <w:rsid w:val="004E4695"/>
    <w:rsid w:val="004E4811"/>
    <w:rsid w:val="004E4ACB"/>
    <w:rsid w:val="004E4C10"/>
    <w:rsid w:val="004E4E27"/>
    <w:rsid w:val="004E4EFA"/>
    <w:rsid w:val="004E50DC"/>
    <w:rsid w:val="004E520E"/>
    <w:rsid w:val="004E54A0"/>
    <w:rsid w:val="004E5520"/>
    <w:rsid w:val="004E5A17"/>
    <w:rsid w:val="004E5AE2"/>
    <w:rsid w:val="004E5B5E"/>
    <w:rsid w:val="004E5FDD"/>
    <w:rsid w:val="004E6038"/>
    <w:rsid w:val="004E60CB"/>
    <w:rsid w:val="004E634C"/>
    <w:rsid w:val="004E6390"/>
    <w:rsid w:val="004E66A2"/>
    <w:rsid w:val="004E674C"/>
    <w:rsid w:val="004E67C4"/>
    <w:rsid w:val="004E682F"/>
    <w:rsid w:val="004E688F"/>
    <w:rsid w:val="004E69F1"/>
    <w:rsid w:val="004E6AD8"/>
    <w:rsid w:val="004E6B90"/>
    <w:rsid w:val="004E6D00"/>
    <w:rsid w:val="004E6D76"/>
    <w:rsid w:val="004E6DBF"/>
    <w:rsid w:val="004E6F00"/>
    <w:rsid w:val="004E6F29"/>
    <w:rsid w:val="004E7040"/>
    <w:rsid w:val="004E718E"/>
    <w:rsid w:val="004E71E4"/>
    <w:rsid w:val="004E7493"/>
    <w:rsid w:val="004E75E9"/>
    <w:rsid w:val="004E7600"/>
    <w:rsid w:val="004E7B2F"/>
    <w:rsid w:val="004E7BC4"/>
    <w:rsid w:val="004E7C0E"/>
    <w:rsid w:val="004E7CD6"/>
    <w:rsid w:val="004E7F13"/>
    <w:rsid w:val="004F017E"/>
    <w:rsid w:val="004F02B1"/>
    <w:rsid w:val="004F02DB"/>
    <w:rsid w:val="004F0444"/>
    <w:rsid w:val="004F081A"/>
    <w:rsid w:val="004F0C04"/>
    <w:rsid w:val="004F0CAA"/>
    <w:rsid w:val="004F0D76"/>
    <w:rsid w:val="004F0EFA"/>
    <w:rsid w:val="004F108D"/>
    <w:rsid w:val="004F13A7"/>
    <w:rsid w:val="004F14AD"/>
    <w:rsid w:val="004F1675"/>
    <w:rsid w:val="004F176F"/>
    <w:rsid w:val="004F17EF"/>
    <w:rsid w:val="004F183A"/>
    <w:rsid w:val="004F1B25"/>
    <w:rsid w:val="004F2069"/>
    <w:rsid w:val="004F214E"/>
    <w:rsid w:val="004F216D"/>
    <w:rsid w:val="004F25F6"/>
    <w:rsid w:val="004F2617"/>
    <w:rsid w:val="004F265F"/>
    <w:rsid w:val="004F26F0"/>
    <w:rsid w:val="004F273A"/>
    <w:rsid w:val="004F286B"/>
    <w:rsid w:val="004F28C0"/>
    <w:rsid w:val="004F2A26"/>
    <w:rsid w:val="004F2BDC"/>
    <w:rsid w:val="004F2C33"/>
    <w:rsid w:val="004F30C4"/>
    <w:rsid w:val="004F30DA"/>
    <w:rsid w:val="004F3120"/>
    <w:rsid w:val="004F3181"/>
    <w:rsid w:val="004F3213"/>
    <w:rsid w:val="004F347A"/>
    <w:rsid w:val="004F363C"/>
    <w:rsid w:val="004F381B"/>
    <w:rsid w:val="004F3826"/>
    <w:rsid w:val="004F3AC8"/>
    <w:rsid w:val="004F3DCD"/>
    <w:rsid w:val="004F3E39"/>
    <w:rsid w:val="004F3F0A"/>
    <w:rsid w:val="004F3FEA"/>
    <w:rsid w:val="004F40E0"/>
    <w:rsid w:val="004F43E7"/>
    <w:rsid w:val="004F43FA"/>
    <w:rsid w:val="004F4529"/>
    <w:rsid w:val="004F4614"/>
    <w:rsid w:val="004F47C7"/>
    <w:rsid w:val="004F48CE"/>
    <w:rsid w:val="004F493D"/>
    <w:rsid w:val="004F4958"/>
    <w:rsid w:val="004F4DEC"/>
    <w:rsid w:val="004F4E4B"/>
    <w:rsid w:val="004F5097"/>
    <w:rsid w:val="004F50C4"/>
    <w:rsid w:val="004F51C7"/>
    <w:rsid w:val="004F52BC"/>
    <w:rsid w:val="004F562B"/>
    <w:rsid w:val="004F5695"/>
    <w:rsid w:val="004F56C2"/>
    <w:rsid w:val="004F5812"/>
    <w:rsid w:val="004F582D"/>
    <w:rsid w:val="004F58CA"/>
    <w:rsid w:val="004F58E7"/>
    <w:rsid w:val="004F5923"/>
    <w:rsid w:val="004F59FA"/>
    <w:rsid w:val="004F5A17"/>
    <w:rsid w:val="004F5A9D"/>
    <w:rsid w:val="004F5AEB"/>
    <w:rsid w:val="004F5B7E"/>
    <w:rsid w:val="004F5D97"/>
    <w:rsid w:val="004F5DBC"/>
    <w:rsid w:val="004F5DEA"/>
    <w:rsid w:val="004F5F87"/>
    <w:rsid w:val="004F6038"/>
    <w:rsid w:val="004F63CF"/>
    <w:rsid w:val="004F663F"/>
    <w:rsid w:val="004F6717"/>
    <w:rsid w:val="004F69F2"/>
    <w:rsid w:val="004F6A0D"/>
    <w:rsid w:val="004F6A7F"/>
    <w:rsid w:val="004F6AA2"/>
    <w:rsid w:val="004F6AAF"/>
    <w:rsid w:val="004F6B67"/>
    <w:rsid w:val="004F6E71"/>
    <w:rsid w:val="004F6E89"/>
    <w:rsid w:val="004F6F00"/>
    <w:rsid w:val="004F6FF0"/>
    <w:rsid w:val="004F6FF2"/>
    <w:rsid w:val="004F70D5"/>
    <w:rsid w:val="004F7159"/>
    <w:rsid w:val="004F75DC"/>
    <w:rsid w:val="004F7C19"/>
    <w:rsid w:val="004F7C7E"/>
    <w:rsid w:val="004F7CFB"/>
    <w:rsid w:val="004F7D09"/>
    <w:rsid w:val="0050001B"/>
    <w:rsid w:val="00500212"/>
    <w:rsid w:val="0050045E"/>
    <w:rsid w:val="00500481"/>
    <w:rsid w:val="0050070E"/>
    <w:rsid w:val="005008E5"/>
    <w:rsid w:val="00500C04"/>
    <w:rsid w:val="00500C18"/>
    <w:rsid w:val="00500CB2"/>
    <w:rsid w:val="00500DE7"/>
    <w:rsid w:val="0050119B"/>
    <w:rsid w:val="005011C3"/>
    <w:rsid w:val="0050140F"/>
    <w:rsid w:val="005015BB"/>
    <w:rsid w:val="005015C5"/>
    <w:rsid w:val="0050183F"/>
    <w:rsid w:val="005018CE"/>
    <w:rsid w:val="0050196B"/>
    <w:rsid w:val="00501D0C"/>
    <w:rsid w:val="00501E25"/>
    <w:rsid w:val="00501EF8"/>
    <w:rsid w:val="00501EFC"/>
    <w:rsid w:val="00501FB8"/>
    <w:rsid w:val="00502006"/>
    <w:rsid w:val="005023A8"/>
    <w:rsid w:val="00502417"/>
    <w:rsid w:val="0050259E"/>
    <w:rsid w:val="0050266B"/>
    <w:rsid w:val="0050275D"/>
    <w:rsid w:val="0050288C"/>
    <w:rsid w:val="005028D6"/>
    <w:rsid w:val="005029D2"/>
    <w:rsid w:val="00502A32"/>
    <w:rsid w:val="00502C96"/>
    <w:rsid w:val="00502D7B"/>
    <w:rsid w:val="00502F06"/>
    <w:rsid w:val="00502FC7"/>
    <w:rsid w:val="00503083"/>
    <w:rsid w:val="00503244"/>
    <w:rsid w:val="005032B0"/>
    <w:rsid w:val="005032CD"/>
    <w:rsid w:val="005032CE"/>
    <w:rsid w:val="005033D3"/>
    <w:rsid w:val="00503413"/>
    <w:rsid w:val="005034AA"/>
    <w:rsid w:val="00503750"/>
    <w:rsid w:val="005037BB"/>
    <w:rsid w:val="005037F1"/>
    <w:rsid w:val="005038E2"/>
    <w:rsid w:val="00503961"/>
    <w:rsid w:val="00503BA8"/>
    <w:rsid w:val="00503D2B"/>
    <w:rsid w:val="00503E86"/>
    <w:rsid w:val="005041C0"/>
    <w:rsid w:val="0050425E"/>
    <w:rsid w:val="0050433B"/>
    <w:rsid w:val="005043B5"/>
    <w:rsid w:val="005043B9"/>
    <w:rsid w:val="00504537"/>
    <w:rsid w:val="005045FB"/>
    <w:rsid w:val="005046A3"/>
    <w:rsid w:val="005048BE"/>
    <w:rsid w:val="00504908"/>
    <w:rsid w:val="00504DCB"/>
    <w:rsid w:val="00504EF0"/>
    <w:rsid w:val="00504FDE"/>
    <w:rsid w:val="0050527C"/>
    <w:rsid w:val="0050528B"/>
    <w:rsid w:val="0050598D"/>
    <w:rsid w:val="00505BE8"/>
    <w:rsid w:val="00505C18"/>
    <w:rsid w:val="00505C5E"/>
    <w:rsid w:val="00505CF0"/>
    <w:rsid w:val="00505E28"/>
    <w:rsid w:val="00505E54"/>
    <w:rsid w:val="005060F8"/>
    <w:rsid w:val="005060FD"/>
    <w:rsid w:val="00506196"/>
    <w:rsid w:val="005061F0"/>
    <w:rsid w:val="005062F8"/>
    <w:rsid w:val="005063C0"/>
    <w:rsid w:val="00506497"/>
    <w:rsid w:val="00506820"/>
    <w:rsid w:val="00506B4E"/>
    <w:rsid w:val="00506BD2"/>
    <w:rsid w:val="00506C99"/>
    <w:rsid w:val="00506CB1"/>
    <w:rsid w:val="00506DB5"/>
    <w:rsid w:val="00506E19"/>
    <w:rsid w:val="00507107"/>
    <w:rsid w:val="00507167"/>
    <w:rsid w:val="00507255"/>
    <w:rsid w:val="0050735A"/>
    <w:rsid w:val="0050739B"/>
    <w:rsid w:val="005073D4"/>
    <w:rsid w:val="005073D8"/>
    <w:rsid w:val="00507436"/>
    <w:rsid w:val="005075A8"/>
    <w:rsid w:val="00507742"/>
    <w:rsid w:val="00507764"/>
    <w:rsid w:val="005078D4"/>
    <w:rsid w:val="005079E5"/>
    <w:rsid w:val="00507A0A"/>
    <w:rsid w:val="00507E72"/>
    <w:rsid w:val="00507EFC"/>
    <w:rsid w:val="00507F59"/>
    <w:rsid w:val="00507FA1"/>
    <w:rsid w:val="00507FAA"/>
    <w:rsid w:val="00507FE2"/>
    <w:rsid w:val="00510014"/>
    <w:rsid w:val="00510049"/>
    <w:rsid w:val="005100A0"/>
    <w:rsid w:val="0051036F"/>
    <w:rsid w:val="00510442"/>
    <w:rsid w:val="005104BA"/>
    <w:rsid w:val="0051050B"/>
    <w:rsid w:val="00510554"/>
    <w:rsid w:val="0051074D"/>
    <w:rsid w:val="0051085F"/>
    <w:rsid w:val="005108A8"/>
    <w:rsid w:val="005108BA"/>
    <w:rsid w:val="005109D2"/>
    <w:rsid w:val="00510A4F"/>
    <w:rsid w:val="00510A6A"/>
    <w:rsid w:val="00510B4D"/>
    <w:rsid w:val="00510C2A"/>
    <w:rsid w:val="00510CA0"/>
    <w:rsid w:val="00510E3D"/>
    <w:rsid w:val="00510F2F"/>
    <w:rsid w:val="00511619"/>
    <w:rsid w:val="005117E5"/>
    <w:rsid w:val="005119CB"/>
    <w:rsid w:val="00511BEE"/>
    <w:rsid w:val="00511CD2"/>
    <w:rsid w:val="00511D52"/>
    <w:rsid w:val="00511EE6"/>
    <w:rsid w:val="00511F49"/>
    <w:rsid w:val="00511FBF"/>
    <w:rsid w:val="00511FEB"/>
    <w:rsid w:val="005120F1"/>
    <w:rsid w:val="005122A1"/>
    <w:rsid w:val="005122B3"/>
    <w:rsid w:val="00512393"/>
    <w:rsid w:val="00512491"/>
    <w:rsid w:val="005124F8"/>
    <w:rsid w:val="005125DA"/>
    <w:rsid w:val="0051271F"/>
    <w:rsid w:val="00512727"/>
    <w:rsid w:val="0051289E"/>
    <w:rsid w:val="005129C1"/>
    <w:rsid w:val="005129DE"/>
    <w:rsid w:val="005129FA"/>
    <w:rsid w:val="00512A09"/>
    <w:rsid w:val="00512A28"/>
    <w:rsid w:val="00512A48"/>
    <w:rsid w:val="00512BE8"/>
    <w:rsid w:val="00512C91"/>
    <w:rsid w:val="00512C9D"/>
    <w:rsid w:val="00512EA0"/>
    <w:rsid w:val="00512F59"/>
    <w:rsid w:val="00512FDE"/>
    <w:rsid w:val="0051305B"/>
    <w:rsid w:val="00513091"/>
    <w:rsid w:val="00513122"/>
    <w:rsid w:val="00513327"/>
    <w:rsid w:val="0051347F"/>
    <w:rsid w:val="0051368D"/>
    <w:rsid w:val="00513695"/>
    <w:rsid w:val="00513735"/>
    <w:rsid w:val="005137CA"/>
    <w:rsid w:val="005138E3"/>
    <w:rsid w:val="00513AA5"/>
    <w:rsid w:val="00513B4E"/>
    <w:rsid w:val="00513FF7"/>
    <w:rsid w:val="00514049"/>
    <w:rsid w:val="0051404F"/>
    <w:rsid w:val="005140AF"/>
    <w:rsid w:val="00514241"/>
    <w:rsid w:val="00514483"/>
    <w:rsid w:val="005145DA"/>
    <w:rsid w:val="00514A29"/>
    <w:rsid w:val="00514ABE"/>
    <w:rsid w:val="00514B5D"/>
    <w:rsid w:val="00514C97"/>
    <w:rsid w:val="00514CB4"/>
    <w:rsid w:val="00514D3E"/>
    <w:rsid w:val="00514F17"/>
    <w:rsid w:val="00514FA8"/>
    <w:rsid w:val="0051505B"/>
    <w:rsid w:val="00515175"/>
    <w:rsid w:val="00515199"/>
    <w:rsid w:val="005151DF"/>
    <w:rsid w:val="005154A1"/>
    <w:rsid w:val="005156D2"/>
    <w:rsid w:val="0051594E"/>
    <w:rsid w:val="00515A31"/>
    <w:rsid w:val="00515C4E"/>
    <w:rsid w:val="00515D91"/>
    <w:rsid w:val="00515EB5"/>
    <w:rsid w:val="005161F2"/>
    <w:rsid w:val="00516276"/>
    <w:rsid w:val="00516339"/>
    <w:rsid w:val="005163E9"/>
    <w:rsid w:val="0051642F"/>
    <w:rsid w:val="00516737"/>
    <w:rsid w:val="005168D4"/>
    <w:rsid w:val="0051694E"/>
    <w:rsid w:val="005169B1"/>
    <w:rsid w:val="00516A70"/>
    <w:rsid w:val="00516B66"/>
    <w:rsid w:val="00516B6F"/>
    <w:rsid w:val="00516C05"/>
    <w:rsid w:val="00516CB4"/>
    <w:rsid w:val="00516DE4"/>
    <w:rsid w:val="00516EDA"/>
    <w:rsid w:val="00516F38"/>
    <w:rsid w:val="005170AA"/>
    <w:rsid w:val="005170D8"/>
    <w:rsid w:val="0051711A"/>
    <w:rsid w:val="005171FB"/>
    <w:rsid w:val="0051730D"/>
    <w:rsid w:val="005173A3"/>
    <w:rsid w:val="005175C0"/>
    <w:rsid w:val="00517674"/>
    <w:rsid w:val="005176AB"/>
    <w:rsid w:val="0051770C"/>
    <w:rsid w:val="0051781B"/>
    <w:rsid w:val="005178D9"/>
    <w:rsid w:val="00517A5D"/>
    <w:rsid w:val="00517D10"/>
    <w:rsid w:val="00517D43"/>
    <w:rsid w:val="00517E86"/>
    <w:rsid w:val="00517EFF"/>
    <w:rsid w:val="005204C4"/>
    <w:rsid w:val="005204FE"/>
    <w:rsid w:val="0052064C"/>
    <w:rsid w:val="005207B8"/>
    <w:rsid w:val="00520820"/>
    <w:rsid w:val="00520843"/>
    <w:rsid w:val="005208C4"/>
    <w:rsid w:val="005209BA"/>
    <w:rsid w:val="00520A53"/>
    <w:rsid w:val="00520C30"/>
    <w:rsid w:val="00520D35"/>
    <w:rsid w:val="00520DEA"/>
    <w:rsid w:val="00520E3D"/>
    <w:rsid w:val="00520E9C"/>
    <w:rsid w:val="00520ECA"/>
    <w:rsid w:val="00520EE3"/>
    <w:rsid w:val="00521012"/>
    <w:rsid w:val="00521159"/>
    <w:rsid w:val="00521329"/>
    <w:rsid w:val="005214CA"/>
    <w:rsid w:val="005216BD"/>
    <w:rsid w:val="00521960"/>
    <w:rsid w:val="00521A20"/>
    <w:rsid w:val="00521C66"/>
    <w:rsid w:val="00521D1F"/>
    <w:rsid w:val="00521F1B"/>
    <w:rsid w:val="00522202"/>
    <w:rsid w:val="0052228A"/>
    <w:rsid w:val="005222FB"/>
    <w:rsid w:val="005227AF"/>
    <w:rsid w:val="00522864"/>
    <w:rsid w:val="00522878"/>
    <w:rsid w:val="0052299D"/>
    <w:rsid w:val="005229C8"/>
    <w:rsid w:val="00523136"/>
    <w:rsid w:val="00523630"/>
    <w:rsid w:val="0052365E"/>
    <w:rsid w:val="005237D7"/>
    <w:rsid w:val="005237EC"/>
    <w:rsid w:val="00523819"/>
    <w:rsid w:val="00523BF7"/>
    <w:rsid w:val="00523C51"/>
    <w:rsid w:val="00523D49"/>
    <w:rsid w:val="005241C6"/>
    <w:rsid w:val="005249F8"/>
    <w:rsid w:val="00524AB3"/>
    <w:rsid w:val="00524BBD"/>
    <w:rsid w:val="00524BD1"/>
    <w:rsid w:val="00524C1E"/>
    <w:rsid w:val="00524E75"/>
    <w:rsid w:val="00524F56"/>
    <w:rsid w:val="00524FC2"/>
    <w:rsid w:val="005250E7"/>
    <w:rsid w:val="00525131"/>
    <w:rsid w:val="00525184"/>
    <w:rsid w:val="00525347"/>
    <w:rsid w:val="00525438"/>
    <w:rsid w:val="005254CA"/>
    <w:rsid w:val="00525652"/>
    <w:rsid w:val="00525806"/>
    <w:rsid w:val="00525830"/>
    <w:rsid w:val="00525F6E"/>
    <w:rsid w:val="005261B5"/>
    <w:rsid w:val="005261D6"/>
    <w:rsid w:val="005263FF"/>
    <w:rsid w:val="005264D8"/>
    <w:rsid w:val="00526640"/>
    <w:rsid w:val="0052668E"/>
    <w:rsid w:val="005266A2"/>
    <w:rsid w:val="005266D8"/>
    <w:rsid w:val="0052682A"/>
    <w:rsid w:val="005268F5"/>
    <w:rsid w:val="00526971"/>
    <w:rsid w:val="00526AB1"/>
    <w:rsid w:val="00526C04"/>
    <w:rsid w:val="00526CA0"/>
    <w:rsid w:val="00526CD3"/>
    <w:rsid w:val="00526CFE"/>
    <w:rsid w:val="00526FEA"/>
    <w:rsid w:val="00527026"/>
    <w:rsid w:val="0052717C"/>
    <w:rsid w:val="00527349"/>
    <w:rsid w:val="005274ED"/>
    <w:rsid w:val="005276EA"/>
    <w:rsid w:val="0052788D"/>
    <w:rsid w:val="00527ADC"/>
    <w:rsid w:val="00527C6D"/>
    <w:rsid w:val="00527C85"/>
    <w:rsid w:val="00527E07"/>
    <w:rsid w:val="00530076"/>
    <w:rsid w:val="005300AB"/>
    <w:rsid w:val="00530156"/>
    <w:rsid w:val="005303BD"/>
    <w:rsid w:val="005303FD"/>
    <w:rsid w:val="005305AF"/>
    <w:rsid w:val="0053086D"/>
    <w:rsid w:val="00530A4C"/>
    <w:rsid w:val="00530A85"/>
    <w:rsid w:val="00530E43"/>
    <w:rsid w:val="00530F3C"/>
    <w:rsid w:val="00530F4C"/>
    <w:rsid w:val="00530F50"/>
    <w:rsid w:val="00530F79"/>
    <w:rsid w:val="00531089"/>
    <w:rsid w:val="00531450"/>
    <w:rsid w:val="005315A5"/>
    <w:rsid w:val="00531884"/>
    <w:rsid w:val="005318D1"/>
    <w:rsid w:val="00531985"/>
    <w:rsid w:val="00531E9E"/>
    <w:rsid w:val="00531EA9"/>
    <w:rsid w:val="0053203C"/>
    <w:rsid w:val="0053204E"/>
    <w:rsid w:val="00532087"/>
    <w:rsid w:val="00532159"/>
    <w:rsid w:val="00532233"/>
    <w:rsid w:val="00532347"/>
    <w:rsid w:val="0053239B"/>
    <w:rsid w:val="00532702"/>
    <w:rsid w:val="00532C37"/>
    <w:rsid w:val="00532F1F"/>
    <w:rsid w:val="00532F32"/>
    <w:rsid w:val="00532F97"/>
    <w:rsid w:val="0053314E"/>
    <w:rsid w:val="005334F6"/>
    <w:rsid w:val="00533643"/>
    <w:rsid w:val="00533649"/>
    <w:rsid w:val="005336E9"/>
    <w:rsid w:val="0053381A"/>
    <w:rsid w:val="00533895"/>
    <w:rsid w:val="00533B51"/>
    <w:rsid w:val="00533D6B"/>
    <w:rsid w:val="005340C7"/>
    <w:rsid w:val="00534123"/>
    <w:rsid w:val="005342EB"/>
    <w:rsid w:val="005343EF"/>
    <w:rsid w:val="00534496"/>
    <w:rsid w:val="005348AF"/>
    <w:rsid w:val="005348F1"/>
    <w:rsid w:val="0053496D"/>
    <w:rsid w:val="00534B76"/>
    <w:rsid w:val="00534B78"/>
    <w:rsid w:val="00534BFE"/>
    <w:rsid w:val="00534C02"/>
    <w:rsid w:val="00534D8C"/>
    <w:rsid w:val="00534F32"/>
    <w:rsid w:val="00534F39"/>
    <w:rsid w:val="00534FB9"/>
    <w:rsid w:val="00535378"/>
    <w:rsid w:val="005353C4"/>
    <w:rsid w:val="00535481"/>
    <w:rsid w:val="00535629"/>
    <w:rsid w:val="0053572E"/>
    <w:rsid w:val="005357EC"/>
    <w:rsid w:val="00535D47"/>
    <w:rsid w:val="00535D9C"/>
    <w:rsid w:val="00535DBB"/>
    <w:rsid w:val="00535F1F"/>
    <w:rsid w:val="00536018"/>
    <w:rsid w:val="00536140"/>
    <w:rsid w:val="0053621E"/>
    <w:rsid w:val="00536422"/>
    <w:rsid w:val="005364D8"/>
    <w:rsid w:val="005364DC"/>
    <w:rsid w:val="00536515"/>
    <w:rsid w:val="005366A7"/>
    <w:rsid w:val="0053679E"/>
    <w:rsid w:val="005367BE"/>
    <w:rsid w:val="005367CA"/>
    <w:rsid w:val="005369EB"/>
    <w:rsid w:val="00536A45"/>
    <w:rsid w:val="00536C6C"/>
    <w:rsid w:val="005371D0"/>
    <w:rsid w:val="00537212"/>
    <w:rsid w:val="00537223"/>
    <w:rsid w:val="00537280"/>
    <w:rsid w:val="005372F2"/>
    <w:rsid w:val="0053746B"/>
    <w:rsid w:val="0053748F"/>
    <w:rsid w:val="005375BD"/>
    <w:rsid w:val="005375F5"/>
    <w:rsid w:val="0053766F"/>
    <w:rsid w:val="0053787E"/>
    <w:rsid w:val="0053798F"/>
    <w:rsid w:val="0053799E"/>
    <w:rsid w:val="005379DD"/>
    <w:rsid w:val="00537A67"/>
    <w:rsid w:val="00537AE6"/>
    <w:rsid w:val="00537AFE"/>
    <w:rsid w:val="00537B73"/>
    <w:rsid w:val="00537BCD"/>
    <w:rsid w:val="00537C01"/>
    <w:rsid w:val="00537D12"/>
    <w:rsid w:val="00537D6F"/>
    <w:rsid w:val="0054006C"/>
    <w:rsid w:val="005401AD"/>
    <w:rsid w:val="0054036C"/>
    <w:rsid w:val="00540390"/>
    <w:rsid w:val="005403D6"/>
    <w:rsid w:val="0054042A"/>
    <w:rsid w:val="0054087F"/>
    <w:rsid w:val="00540895"/>
    <w:rsid w:val="00540954"/>
    <w:rsid w:val="00540A65"/>
    <w:rsid w:val="00540AC3"/>
    <w:rsid w:val="00540D51"/>
    <w:rsid w:val="00540E1D"/>
    <w:rsid w:val="00540E4A"/>
    <w:rsid w:val="0054103F"/>
    <w:rsid w:val="0054109B"/>
    <w:rsid w:val="00541277"/>
    <w:rsid w:val="0054141E"/>
    <w:rsid w:val="00541450"/>
    <w:rsid w:val="005418FA"/>
    <w:rsid w:val="0054190F"/>
    <w:rsid w:val="005419D2"/>
    <w:rsid w:val="00541A01"/>
    <w:rsid w:val="00541BC7"/>
    <w:rsid w:val="00541C0D"/>
    <w:rsid w:val="00541EBE"/>
    <w:rsid w:val="00541EE2"/>
    <w:rsid w:val="00541FC9"/>
    <w:rsid w:val="005420EA"/>
    <w:rsid w:val="00542556"/>
    <w:rsid w:val="0054259B"/>
    <w:rsid w:val="0054261E"/>
    <w:rsid w:val="0054270A"/>
    <w:rsid w:val="00542787"/>
    <w:rsid w:val="00542808"/>
    <w:rsid w:val="005428BC"/>
    <w:rsid w:val="005429D9"/>
    <w:rsid w:val="00542AF7"/>
    <w:rsid w:val="00542C3D"/>
    <w:rsid w:val="00542D0C"/>
    <w:rsid w:val="00542F5F"/>
    <w:rsid w:val="00542F80"/>
    <w:rsid w:val="00542FDB"/>
    <w:rsid w:val="0054305D"/>
    <w:rsid w:val="005430D9"/>
    <w:rsid w:val="005431F8"/>
    <w:rsid w:val="00543358"/>
    <w:rsid w:val="00543496"/>
    <w:rsid w:val="0054353F"/>
    <w:rsid w:val="0054376A"/>
    <w:rsid w:val="00543808"/>
    <w:rsid w:val="00543A11"/>
    <w:rsid w:val="00543BE1"/>
    <w:rsid w:val="00543C0F"/>
    <w:rsid w:val="00543C86"/>
    <w:rsid w:val="00543D63"/>
    <w:rsid w:val="00543E8A"/>
    <w:rsid w:val="00543EF0"/>
    <w:rsid w:val="00543F79"/>
    <w:rsid w:val="005440E6"/>
    <w:rsid w:val="005441EC"/>
    <w:rsid w:val="00544360"/>
    <w:rsid w:val="005443D4"/>
    <w:rsid w:val="00544408"/>
    <w:rsid w:val="005448A1"/>
    <w:rsid w:val="005448F7"/>
    <w:rsid w:val="005448F8"/>
    <w:rsid w:val="00544905"/>
    <w:rsid w:val="00544A77"/>
    <w:rsid w:val="00544B52"/>
    <w:rsid w:val="00544B68"/>
    <w:rsid w:val="00544E8C"/>
    <w:rsid w:val="00544F17"/>
    <w:rsid w:val="00545073"/>
    <w:rsid w:val="00545198"/>
    <w:rsid w:val="005453B9"/>
    <w:rsid w:val="005453D8"/>
    <w:rsid w:val="005455AD"/>
    <w:rsid w:val="005455C1"/>
    <w:rsid w:val="005456A1"/>
    <w:rsid w:val="005456B0"/>
    <w:rsid w:val="005456BD"/>
    <w:rsid w:val="005459C1"/>
    <w:rsid w:val="00545AAC"/>
    <w:rsid w:val="00545B55"/>
    <w:rsid w:val="00545DAB"/>
    <w:rsid w:val="00545F7F"/>
    <w:rsid w:val="0054609E"/>
    <w:rsid w:val="00546150"/>
    <w:rsid w:val="0054631A"/>
    <w:rsid w:val="00546325"/>
    <w:rsid w:val="005464CB"/>
    <w:rsid w:val="00546511"/>
    <w:rsid w:val="0054680A"/>
    <w:rsid w:val="005468BE"/>
    <w:rsid w:val="005468E9"/>
    <w:rsid w:val="00546954"/>
    <w:rsid w:val="00546999"/>
    <w:rsid w:val="00546C87"/>
    <w:rsid w:val="00546F45"/>
    <w:rsid w:val="00546FF8"/>
    <w:rsid w:val="00547025"/>
    <w:rsid w:val="005470F7"/>
    <w:rsid w:val="00547281"/>
    <w:rsid w:val="00547313"/>
    <w:rsid w:val="00547464"/>
    <w:rsid w:val="00547639"/>
    <w:rsid w:val="00547696"/>
    <w:rsid w:val="00547C03"/>
    <w:rsid w:val="00547EB6"/>
    <w:rsid w:val="0055013B"/>
    <w:rsid w:val="005501D9"/>
    <w:rsid w:val="00550240"/>
    <w:rsid w:val="005504AB"/>
    <w:rsid w:val="0055053C"/>
    <w:rsid w:val="00550568"/>
    <w:rsid w:val="00550659"/>
    <w:rsid w:val="00550B3B"/>
    <w:rsid w:val="00550BC0"/>
    <w:rsid w:val="00550C88"/>
    <w:rsid w:val="00550CD8"/>
    <w:rsid w:val="00550FC3"/>
    <w:rsid w:val="00551117"/>
    <w:rsid w:val="0055119D"/>
    <w:rsid w:val="00551304"/>
    <w:rsid w:val="00551458"/>
    <w:rsid w:val="0055157B"/>
    <w:rsid w:val="0055158D"/>
    <w:rsid w:val="0055192C"/>
    <w:rsid w:val="00551CB9"/>
    <w:rsid w:val="00551EB0"/>
    <w:rsid w:val="00551F1E"/>
    <w:rsid w:val="00551F70"/>
    <w:rsid w:val="00552103"/>
    <w:rsid w:val="005523D9"/>
    <w:rsid w:val="00552463"/>
    <w:rsid w:val="005527A2"/>
    <w:rsid w:val="0055285C"/>
    <w:rsid w:val="0055289B"/>
    <w:rsid w:val="0055299D"/>
    <w:rsid w:val="00552D58"/>
    <w:rsid w:val="00552D8C"/>
    <w:rsid w:val="00552E91"/>
    <w:rsid w:val="00552EFD"/>
    <w:rsid w:val="00552FE4"/>
    <w:rsid w:val="00552FF7"/>
    <w:rsid w:val="005530A9"/>
    <w:rsid w:val="005530F1"/>
    <w:rsid w:val="005531B7"/>
    <w:rsid w:val="005532FB"/>
    <w:rsid w:val="00553712"/>
    <w:rsid w:val="005537E4"/>
    <w:rsid w:val="00553887"/>
    <w:rsid w:val="00553AB8"/>
    <w:rsid w:val="00553AFD"/>
    <w:rsid w:val="00553BE7"/>
    <w:rsid w:val="00553DBB"/>
    <w:rsid w:val="00553F41"/>
    <w:rsid w:val="00553FC6"/>
    <w:rsid w:val="0055419E"/>
    <w:rsid w:val="00554421"/>
    <w:rsid w:val="00554525"/>
    <w:rsid w:val="005545F9"/>
    <w:rsid w:val="0055467A"/>
    <w:rsid w:val="0055471C"/>
    <w:rsid w:val="00554817"/>
    <w:rsid w:val="005548DD"/>
    <w:rsid w:val="005548EB"/>
    <w:rsid w:val="005549CA"/>
    <w:rsid w:val="00554AF3"/>
    <w:rsid w:val="00554B11"/>
    <w:rsid w:val="00554BD5"/>
    <w:rsid w:val="00554C62"/>
    <w:rsid w:val="00554D00"/>
    <w:rsid w:val="00554D3F"/>
    <w:rsid w:val="00554EB2"/>
    <w:rsid w:val="00554F0A"/>
    <w:rsid w:val="00554F65"/>
    <w:rsid w:val="0055500D"/>
    <w:rsid w:val="005550FC"/>
    <w:rsid w:val="0055521C"/>
    <w:rsid w:val="00555564"/>
    <w:rsid w:val="0055565B"/>
    <w:rsid w:val="00555726"/>
    <w:rsid w:val="005559F6"/>
    <w:rsid w:val="00555A24"/>
    <w:rsid w:val="00555A9F"/>
    <w:rsid w:val="00555CBB"/>
    <w:rsid w:val="00555D54"/>
    <w:rsid w:val="0055602D"/>
    <w:rsid w:val="00556386"/>
    <w:rsid w:val="0055641E"/>
    <w:rsid w:val="0055673D"/>
    <w:rsid w:val="005567F6"/>
    <w:rsid w:val="00556C89"/>
    <w:rsid w:val="00556DF8"/>
    <w:rsid w:val="0055727D"/>
    <w:rsid w:val="005572F6"/>
    <w:rsid w:val="005573DC"/>
    <w:rsid w:val="00557526"/>
    <w:rsid w:val="0055774A"/>
    <w:rsid w:val="0055781C"/>
    <w:rsid w:val="00557930"/>
    <w:rsid w:val="0055793B"/>
    <w:rsid w:val="00557960"/>
    <w:rsid w:val="00557988"/>
    <w:rsid w:val="00557A71"/>
    <w:rsid w:val="00557B96"/>
    <w:rsid w:val="00557BA8"/>
    <w:rsid w:val="00557D3D"/>
    <w:rsid w:val="00557F4A"/>
    <w:rsid w:val="005600C7"/>
    <w:rsid w:val="0056017C"/>
    <w:rsid w:val="0056034E"/>
    <w:rsid w:val="00560425"/>
    <w:rsid w:val="00560488"/>
    <w:rsid w:val="00560647"/>
    <w:rsid w:val="00560922"/>
    <w:rsid w:val="00560B5E"/>
    <w:rsid w:val="00560BE0"/>
    <w:rsid w:val="00560BE5"/>
    <w:rsid w:val="00560CF0"/>
    <w:rsid w:val="00560DCC"/>
    <w:rsid w:val="00560DEC"/>
    <w:rsid w:val="00560FBD"/>
    <w:rsid w:val="005611D5"/>
    <w:rsid w:val="0056130E"/>
    <w:rsid w:val="005614D3"/>
    <w:rsid w:val="00561558"/>
    <w:rsid w:val="0056158F"/>
    <w:rsid w:val="005616B1"/>
    <w:rsid w:val="005616FE"/>
    <w:rsid w:val="00561784"/>
    <w:rsid w:val="00561845"/>
    <w:rsid w:val="0056192E"/>
    <w:rsid w:val="00561AE8"/>
    <w:rsid w:val="00561B50"/>
    <w:rsid w:val="00561C1A"/>
    <w:rsid w:val="00561C1C"/>
    <w:rsid w:val="00561D80"/>
    <w:rsid w:val="00561E68"/>
    <w:rsid w:val="00561FBB"/>
    <w:rsid w:val="005620D0"/>
    <w:rsid w:val="00562135"/>
    <w:rsid w:val="0056218E"/>
    <w:rsid w:val="00562273"/>
    <w:rsid w:val="00562310"/>
    <w:rsid w:val="005629BF"/>
    <w:rsid w:val="005629FE"/>
    <w:rsid w:val="00562B10"/>
    <w:rsid w:val="00562B1A"/>
    <w:rsid w:val="00562BBF"/>
    <w:rsid w:val="00562D48"/>
    <w:rsid w:val="00562F26"/>
    <w:rsid w:val="005632EE"/>
    <w:rsid w:val="0056346A"/>
    <w:rsid w:val="0056347C"/>
    <w:rsid w:val="00563583"/>
    <w:rsid w:val="005636B7"/>
    <w:rsid w:val="0056384F"/>
    <w:rsid w:val="00563A94"/>
    <w:rsid w:val="00563B13"/>
    <w:rsid w:val="00563B32"/>
    <w:rsid w:val="00563C07"/>
    <w:rsid w:val="00563C32"/>
    <w:rsid w:val="0056407D"/>
    <w:rsid w:val="00564149"/>
    <w:rsid w:val="00564238"/>
    <w:rsid w:val="0056438F"/>
    <w:rsid w:val="0056447E"/>
    <w:rsid w:val="005645BD"/>
    <w:rsid w:val="0056463E"/>
    <w:rsid w:val="0056477C"/>
    <w:rsid w:val="005647FE"/>
    <w:rsid w:val="005649DD"/>
    <w:rsid w:val="00564AE1"/>
    <w:rsid w:val="00564B06"/>
    <w:rsid w:val="00564CA7"/>
    <w:rsid w:val="00564D0C"/>
    <w:rsid w:val="00564D4C"/>
    <w:rsid w:val="00564DFC"/>
    <w:rsid w:val="00564E48"/>
    <w:rsid w:val="00564ECD"/>
    <w:rsid w:val="00564F4E"/>
    <w:rsid w:val="00565023"/>
    <w:rsid w:val="0056515D"/>
    <w:rsid w:val="0056540B"/>
    <w:rsid w:val="005654CD"/>
    <w:rsid w:val="005654E5"/>
    <w:rsid w:val="00565FE0"/>
    <w:rsid w:val="00566311"/>
    <w:rsid w:val="00566356"/>
    <w:rsid w:val="00566368"/>
    <w:rsid w:val="00566373"/>
    <w:rsid w:val="0056652A"/>
    <w:rsid w:val="005666D2"/>
    <w:rsid w:val="0056676F"/>
    <w:rsid w:val="005667B9"/>
    <w:rsid w:val="005667FC"/>
    <w:rsid w:val="005668E8"/>
    <w:rsid w:val="00566B67"/>
    <w:rsid w:val="00566B7E"/>
    <w:rsid w:val="00566BEA"/>
    <w:rsid w:val="00566C5F"/>
    <w:rsid w:val="00566D65"/>
    <w:rsid w:val="00566E05"/>
    <w:rsid w:val="00566E51"/>
    <w:rsid w:val="00566E98"/>
    <w:rsid w:val="00567052"/>
    <w:rsid w:val="0056708E"/>
    <w:rsid w:val="00567132"/>
    <w:rsid w:val="005671A8"/>
    <w:rsid w:val="0056738B"/>
    <w:rsid w:val="0056755E"/>
    <w:rsid w:val="00567721"/>
    <w:rsid w:val="005677ED"/>
    <w:rsid w:val="00567955"/>
    <w:rsid w:val="005679C8"/>
    <w:rsid w:val="00567C8A"/>
    <w:rsid w:val="00567CD7"/>
    <w:rsid w:val="005700C4"/>
    <w:rsid w:val="005702C0"/>
    <w:rsid w:val="005702D3"/>
    <w:rsid w:val="005703E5"/>
    <w:rsid w:val="00570403"/>
    <w:rsid w:val="00570557"/>
    <w:rsid w:val="00570594"/>
    <w:rsid w:val="00570ACB"/>
    <w:rsid w:val="00570AE6"/>
    <w:rsid w:val="00570BEF"/>
    <w:rsid w:val="00570DC4"/>
    <w:rsid w:val="00570E9C"/>
    <w:rsid w:val="00571088"/>
    <w:rsid w:val="0057109F"/>
    <w:rsid w:val="005710E0"/>
    <w:rsid w:val="00571252"/>
    <w:rsid w:val="005712CC"/>
    <w:rsid w:val="0057139B"/>
    <w:rsid w:val="00571424"/>
    <w:rsid w:val="0057148F"/>
    <w:rsid w:val="005714C0"/>
    <w:rsid w:val="0057157A"/>
    <w:rsid w:val="0057159E"/>
    <w:rsid w:val="005716A0"/>
    <w:rsid w:val="00571873"/>
    <w:rsid w:val="00571882"/>
    <w:rsid w:val="0057190B"/>
    <w:rsid w:val="0057197E"/>
    <w:rsid w:val="00571A99"/>
    <w:rsid w:val="00571AF6"/>
    <w:rsid w:val="00571C26"/>
    <w:rsid w:val="00571C70"/>
    <w:rsid w:val="00571C7C"/>
    <w:rsid w:val="00571D44"/>
    <w:rsid w:val="00571E73"/>
    <w:rsid w:val="00571F0F"/>
    <w:rsid w:val="00572185"/>
    <w:rsid w:val="00572189"/>
    <w:rsid w:val="00572406"/>
    <w:rsid w:val="0057242D"/>
    <w:rsid w:val="005724BF"/>
    <w:rsid w:val="00572587"/>
    <w:rsid w:val="005725FC"/>
    <w:rsid w:val="0057260F"/>
    <w:rsid w:val="005727BB"/>
    <w:rsid w:val="005728D0"/>
    <w:rsid w:val="005729AC"/>
    <w:rsid w:val="00572B52"/>
    <w:rsid w:val="00572B78"/>
    <w:rsid w:val="00572C80"/>
    <w:rsid w:val="00572DAD"/>
    <w:rsid w:val="00572F19"/>
    <w:rsid w:val="00572FFC"/>
    <w:rsid w:val="005732D9"/>
    <w:rsid w:val="00573307"/>
    <w:rsid w:val="00573388"/>
    <w:rsid w:val="00573399"/>
    <w:rsid w:val="005733B9"/>
    <w:rsid w:val="005733CD"/>
    <w:rsid w:val="0057356D"/>
    <w:rsid w:val="005736A3"/>
    <w:rsid w:val="005738C5"/>
    <w:rsid w:val="00573904"/>
    <w:rsid w:val="005739E0"/>
    <w:rsid w:val="005739F8"/>
    <w:rsid w:val="00573B35"/>
    <w:rsid w:val="00573BA8"/>
    <w:rsid w:val="00573BF5"/>
    <w:rsid w:val="00573D2A"/>
    <w:rsid w:val="00573E15"/>
    <w:rsid w:val="00573EEC"/>
    <w:rsid w:val="00573F3E"/>
    <w:rsid w:val="00573F5F"/>
    <w:rsid w:val="00573F7C"/>
    <w:rsid w:val="00573FDC"/>
    <w:rsid w:val="005742A2"/>
    <w:rsid w:val="005744F2"/>
    <w:rsid w:val="0057483F"/>
    <w:rsid w:val="005748B5"/>
    <w:rsid w:val="00574C03"/>
    <w:rsid w:val="00574C55"/>
    <w:rsid w:val="00574E8F"/>
    <w:rsid w:val="005751DC"/>
    <w:rsid w:val="005751DE"/>
    <w:rsid w:val="005757E3"/>
    <w:rsid w:val="00575827"/>
    <w:rsid w:val="005759A8"/>
    <w:rsid w:val="00575A8E"/>
    <w:rsid w:val="00575B1E"/>
    <w:rsid w:val="00575BDF"/>
    <w:rsid w:val="00575C37"/>
    <w:rsid w:val="00575C40"/>
    <w:rsid w:val="00575C77"/>
    <w:rsid w:val="0057601B"/>
    <w:rsid w:val="00576176"/>
    <w:rsid w:val="005762F1"/>
    <w:rsid w:val="0057632D"/>
    <w:rsid w:val="005763D2"/>
    <w:rsid w:val="005764FF"/>
    <w:rsid w:val="005766A6"/>
    <w:rsid w:val="00576931"/>
    <w:rsid w:val="00576AFB"/>
    <w:rsid w:val="00576BC9"/>
    <w:rsid w:val="00576DB3"/>
    <w:rsid w:val="00576E24"/>
    <w:rsid w:val="00576E2C"/>
    <w:rsid w:val="00576E33"/>
    <w:rsid w:val="00576ED9"/>
    <w:rsid w:val="005770E2"/>
    <w:rsid w:val="005771AB"/>
    <w:rsid w:val="00577261"/>
    <w:rsid w:val="00577301"/>
    <w:rsid w:val="005773B7"/>
    <w:rsid w:val="00577491"/>
    <w:rsid w:val="005774CD"/>
    <w:rsid w:val="00577670"/>
    <w:rsid w:val="005776E6"/>
    <w:rsid w:val="00577722"/>
    <w:rsid w:val="00577778"/>
    <w:rsid w:val="005777DD"/>
    <w:rsid w:val="00577841"/>
    <w:rsid w:val="005779B1"/>
    <w:rsid w:val="00577A6B"/>
    <w:rsid w:val="00577EFE"/>
    <w:rsid w:val="00580027"/>
    <w:rsid w:val="00580093"/>
    <w:rsid w:val="00580104"/>
    <w:rsid w:val="00580160"/>
    <w:rsid w:val="00580161"/>
    <w:rsid w:val="0058017D"/>
    <w:rsid w:val="005803AE"/>
    <w:rsid w:val="00580479"/>
    <w:rsid w:val="005806B1"/>
    <w:rsid w:val="0058074E"/>
    <w:rsid w:val="00580778"/>
    <w:rsid w:val="00580B6C"/>
    <w:rsid w:val="00580BBC"/>
    <w:rsid w:val="00580BFE"/>
    <w:rsid w:val="00580C99"/>
    <w:rsid w:val="00580D44"/>
    <w:rsid w:val="00580DFB"/>
    <w:rsid w:val="0058126F"/>
    <w:rsid w:val="005812F4"/>
    <w:rsid w:val="005816B7"/>
    <w:rsid w:val="0058172E"/>
    <w:rsid w:val="005817C1"/>
    <w:rsid w:val="00581A30"/>
    <w:rsid w:val="00581A8B"/>
    <w:rsid w:val="00581B49"/>
    <w:rsid w:val="00581D46"/>
    <w:rsid w:val="00581D93"/>
    <w:rsid w:val="00581DA6"/>
    <w:rsid w:val="00581DE0"/>
    <w:rsid w:val="00581DEA"/>
    <w:rsid w:val="00581E7E"/>
    <w:rsid w:val="00581F09"/>
    <w:rsid w:val="00581FC8"/>
    <w:rsid w:val="005823FF"/>
    <w:rsid w:val="00582538"/>
    <w:rsid w:val="005825F2"/>
    <w:rsid w:val="005826E9"/>
    <w:rsid w:val="005827C8"/>
    <w:rsid w:val="005827E8"/>
    <w:rsid w:val="005828AF"/>
    <w:rsid w:val="00582B36"/>
    <w:rsid w:val="00582D43"/>
    <w:rsid w:val="00582D65"/>
    <w:rsid w:val="00582E88"/>
    <w:rsid w:val="0058303B"/>
    <w:rsid w:val="00583045"/>
    <w:rsid w:val="00583120"/>
    <w:rsid w:val="005832A1"/>
    <w:rsid w:val="005832DA"/>
    <w:rsid w:val="005833C4"/>
    <w:rsid w:val="0058341B"/>
    <w:rsid w:val="005836E7"/>
    <w:rsid w:val="00583718"/>
    <w:rsid w:val="0058372D"/>
    <w:rsid w:val="005838BC"/>
    <w:rsid w:val="00583A6F"/>
    <w:rsid w:val="00583B20"/>
    <w:rsid w:val="00583B8B"/>
    <w:rsid w:val="00583BEA"/>
    <w:rsid w:val="00583C31"/>
    <w:rsid w:val="00583CA9"/>
    <w:rsid w:val="00583E2B"/>
    <w:rsid w:val="00583E4A"/>
    <w:rsid w:val="00583EA9"/>
    <w:rsid w:val="00583F2E"/>
    <w:rsid w:val="00583F74"/>
    <w:rsid w:val="00584145"/>
    <w:rsid w:val="00584164"/>
    <w:rsid w:val="00584262"/>
    <w:rsid w:val="00584320"/>
    <w:rsid w:val="0058432A"/>
    <w:rsid w:val="00584437"/>
    <w:rsid w:val="005844B7"/>
    <w:rsid w:val="005846EB"/>
    <w:rsid w:val="00584875"/>
    <w:rsid w:val="005848B3"/>
    <w:rsid w:val="00584932"/>
    <w:rsid w:val="00584A23"/>
    <w:rsid w:val="00584B70"/>
    <w:rsid w:val="00584BA5"/>
    <w:rsid w:val="00584C9E"/>
    <w:rsid w:val="00584E04"/>
    <w:rsid w:val="00584E28"/>
    <w:rsid w:val="00584F8F"/>
    <w:rsid w:val="00585292"/>
    <w:rsid w:val="005853DA"/>
    <w:rsid w:val="00585467"/>
    <w:rsid w:val="005854B5"/>
    <w:rsid w:val="00585545"/>
    <w:rsid w:val="005857C6"/>
    <w:rsid w:val="0058584A"/>
    <w:rsid w:val="00585952"/>
    <w:rsid w:val="00585ABE"/>
    <w:rsid w:val="00585AE6"/>
    <w:rsid w:val="00585BA9"/>
    <w:rsid w:val="00585BEC"/>
    <w:rsid w:val="00585C29"/>
    <w:rsid w:val="00585CD1"/>
    <w:rsid w:val="00585E4F"/>
    <w:rsid w:val="00585F27"/>
    <w:rsid w:val="00585F62"/>
    <w:rsid w:val="00586335"/>
    <w:rsid w:val="00586519"/>
    <w:rsid w:val="00586589"/>
    <w:rsid w:val="00586813"/>
    <w:rsid w:val="00586A64"/>
    <w:rsid w:val="00586AB3"/>
    <w:rsid w:val="00586B70"/>
    <w:rsid w:val="00586CB5"/>
    <w:rsid w:val="00586D9F"/>
    <w:rsid w:val="00586F86"/>
    <w:rsid w:val="00587016"/>
    <w:rsid w:val="0058715C"/>
    <w:rsid w:val="0058726F"/>
    <w:rsid w:val="005873A8"/>
    <w:rsid w:val="00587935"/>
    <w:rsid w:val="005879DB"/>
    <w:rsid w:val="00587AEA"/>
    <w:rsid w:val="00587C8E"/>
    <w:rsid w:val="00587D60"/>
    <w:rsid w:val="00587EC0"/>
    <w:rsid w:val="00587EDC"/>
    <w:rsid w:val="00587F07"/>
    <w:rsid w:val="00587FA7"/>
    <w:rsid w:val="00587FDF"/>
    <w:rsid w:val="00590078"/>
    <w:rsid w:val="0059008D"/>
    <w:rsid w:val="0059008F"/>
    <w:rsid w:val="005901C9"/>
    <w:rsid w:val="005901DD"/>
    <w:rsid w:val="005905C7"/>
    <w:rsid w:val="00590A50"/>
    <w:rsid w:val="00590C43"/>
    <w:rsid w:val="00590F9A"/>
    <w:rsid w:val="00591030"/>
    <w:rsid w:val="00591168"/>
    <w:rsid w:val="00591197"/>
    <w:rsid w:val="0059126C"/>
    <w:rsid w:val="0059127B"/>
    <w:rsid w:val="0059130A"/>
    <w:rsid w:val="00591336"/>
    <w:rsid w:val="005913FE"/>
    <w:rsid w:val="00591445"/>
    <w:rsid w:val="00591459"/>
    <w:rsid w:val="00591491"/>
    <w:rsid w:val="0059149A"/>
    <w:rsid w:val="00591592"/>
    <w:rsid w:val="0059163C"/>
    <w:rsid w:val="00591676"/>
    <w:rsid w:val="005917E4"/>
    <w:rsid w:val="00591844"/>
    <w:rsid w:val="0059191E"/>
    <w:rsid w:val="00591B4D"/>
    <w:rsid w:val="00591C14"/>
    <w:rsid w:val="00591DD8"/>
    <w:rsid w:val="00591E34"/>
    <w:rsid w:val="00592111"/>
    <w:rsid w:val="00592158"/>
    <w:rsid w:val="0059226A"/>
    <w:rsid w:val="00592296"/>
    <w:rsid w:val="0059258B"/>
    <w:rsid w:val="005925DA"/>
    <w:rsid w:val="005929D7"/>
    <w:rsid w:val="00592AD9"/>
    <w:rsid w:val="00592CCD"/>
    <w:rsid w:val="00592DD3"/>
    <w:rsid w:val="00592E14"/>
    <w:rsid w:val="00592F54"/>
    <w:rsid w:val="00593138"/>
    <w:rsid w:val="005933DB"/>
    <w:rsid w:val="00593669"/>
    <w:rsid w:val="0059379D"/>
    <w:rsid w:val="00593971"/>
    <w:rsid w:val="005939A8"/>
    <w:rsid w:val="00593A6C"/>
    <w:rsid w:val="00593B8F"/>
    <w:rsid w:val="00593D67"/>
    <w:rsid w:val="00593F06"/>
    <w:rsid w:val="00593F31"/>
    <w:rsid w:val="00593FC3"/>
    <w:rsid w:val="0059404D"/>
    <w:rsid w:val="005941B5"/>
    <w:rsid w:val="005942FB"/>
    <w:rsid w:val="00594307"/>
    <w:rsid w:val="0059431C"/>
    <w:rsid w:val="00594469"/>
    <w:rsid w:val="005944AC"/>
    <w:rsid w:val="00594507"/>
    <w:rsid w:val="005945CE"/>
    <w:rsid w:val="005946CA"/>
    <w:rsid w:val="00594813"/>
    <w:rsid w:val="00594815"/>
    <w:rsid w:val="00594903"/>
    <w:rsid w:val="0059494D"/>
    <w:rsid w:val="00594A95"/>
    <w:rsid w:val="00594AA3"/>
    <w:rsid w:val="00594AAE"/>
    <w:rsid w:val="00594AB0"/>
    <w:rsid w:val="00594ABC"/>
    <w:rsid w:val="00594C9D"/>
    <w:rsid w:val="00594CFE"/>
    <w:rsid w:val="00594E52"/>
    <w:rsid w:val="00594F60"/>
    <w:rsid w:val="00595099"/>
    <w:rsid w:val="00595223"/>
    <w:rsid w:val="00595341"/>
    <w:rsid w:val="0059536A"/>
    <w:rsid w:val="0059551E"/>
    <w:rsid w:val="0059553E"/>
    <w:rsid w:val="005955D3"/>
    <w:rsid w:val="005956D0"/>
    <w:rsid w:val="0059573F"/>
    <w:rsid w:val="00595C38"/>
    <w:rsid w:val="00595ECB"/>
    <w:rsid w:val="00595F05"/>
    <w:rsid w:val="00595F21"/>
    <w:rsid w:val="00595FC8"/>
    <w:rsid w:val="005960D7"/>
    <w:rsid w:val="0059612C"/>
    <w:rsid w:val="0059628A"/>
    <w:rsid w:val="00596669"/>
    <w:rsid w:val="005968FF"/>
    <w:rsid w:val="005969C3"/>
    <w:rsid w:val="00596A85"/>
    <w:rsid w:val="00596B25"/>
    <w:rsid w:val="00596E1D"/>
    <w:rsid w:val="00596EAB"/>
    <w:rsid w:val="00597025"/>
    <w:rsid w:val="0059722B"/>
    <w:rsid w:val="00597351"/>
    <w:rsid w:val="005975BC"/>
    <w:rsid w:val="005976AB"/>
    <w:rsid w:val="005976DD"/>
    <w:rsid w:val="00597757"/>
    <w:rsid w:val="0059779C"/>
    <w:rsid w:val="005977BC"/>
    <w:rsid w:val="00597891"/>
    <w:rsid w:val="005978B6"/>
    <w:rsid w:val="00597934"/>
    <w:rsid w:val="005979B3"/>
    <w:rsid w:val="00597A42"/>
    <w:rsid w:val="00597A87"/>
    <w:rsid w:val="00597B28"/>
    <w:rsid w:val="00597B40"/>
    <w:rsid w:val="00597E52"/>
    <w:rsid w:val="005A00C6"/>
    <w:rsid w:val="005A0198"/>
    <w:rsid w:val="005A0266"/>
    <w:rsid w:val="005A03B2"/>
    <w:rsid w:val="005A05DC"/>
    <w:rsid w:val="005A0686"/>
    <w:rsid w:val="005A079E"/>
    <w:rsid w:val="005A0B2D"/>
    <w:rsid w:val="005A0B56"/>
    <w:rsid w:val="005A0BE1"/>
    <w:rsid w:val="005A0C5A"/>
    <w:rsid w:val="005A0F76"/>
    <w:rsid w:val="005A10B5"/>
    <w:rsid w:val="005A10D0"/>
    <w:rsid w:val="005A1340"/>
    <w:rsid w:val="005A1418"/>
    <w:rsid w:val="005A15F9"/>
    <w:rsid w:val="005A1698"/>
    <w:rsid w:val="005A1819"/>
    <w:rsid w:val="005A19EB"/>
    <w:rsid w:val="005A1A5C"/>
    <w:rsid w:val="005A1A68"/>
    <w:rsid w:val="005A1ACA"/>
    <w:rsid w:val="005A1B1B"/>
    <w:rsid w:val="005A1BCB"/>
    <w:rsid w:val="005A1F4E"/>
    <w:rsid w:val="005A1F51"/>
    <w:rsid w:val="005A2005"/>
    <w:rsid w:val="005A216E"/>
    <w:rsid w:val="005A21E3"/>
    <w:rsid w:val="005A235C"/>
    <w:rsid w:val="005A2643"/>
    <w:rsid w:val="005A2774"/>
    <w:rsid w:val="005A27B4"/>
    <w:rsid w:val="005A2852"/>
    <w:rsid w:val="005A2C10"/>
    <w:rsid w:val="005A3061"/>
    <w:rsid w:val="005A3109"/>
    <w:rsid w:val="005A391C"/>
    <w:rsid w:val="005A3971"/>
    <w:rsid w:val="005A3D9D"/>
    <w:rsid w:val="005A3DE9"/>
    <w:rsid w:val="005A4334"/>
    <w:rsid w:val="005A44BC"/>
    <w:rsid w:val="005A4527"/>
    <w:rsid w:val="005A468E"/>
    <w:rsid w:val="005A46C6"/>
    <w:rsid w:val="005A4714"/>
    <w:rsid w:val="005A47AA"/>
    <w:rsid w:val="005A47AF"/>
    <w:rsid w:val="005A492B"/>
    <w:rsid w:val="005A4950"/>
    <w:rsid w:val="005A49BA"/>
    <w:rsid w:val="005A4B72"/>
    <w:rsid w:val="005A4C7C"/>
    <w:rsid w:val="005A4FEA"/>
    <w:rsid w:val="005A505F"/>
    <w:rsid w:val="005A52D2"/>
    <w:rsid w:val="005A5572"/>
    <w:rsid w:val="005A55B7"/>
    <w:rsid w:val="005A56F4"/>
    <w:rsid w:val="005A572D"/>
    <w:rsid w:val="005A57EB"/>
    <w:rsid w:val="005A582C"/>
    <w:rsid w:val="005A591D"/>
    <w:rsid w:val="005A5A53"/>
    <w:rsid w:val="005A5ABD"/>
    <w:rsid w:val="005A5B03"/>
    <w:rsid w:val="005A5C28"/>
    <w:rsid w:val="005A5D42"/>
    <w:rsid w:val="005A609A"/>
    <w:rsid w:val="005A62D1"/>
    <w:rsid w:val="005A63E2"/>
    <w:rsid w:val="005A6642"/>
    <w:rsid w:val="005A66DC"/>
    <w:rsid w:val="005A6899"/>
    <w:rsid w:val="005A68B9"/>
    <w:rsid w:val="005A6954"/>
    <w:rsid w:val="005A69F2"/>
    <w:rsid w:val="005A6BC5"/>
    <w:rsid w:val="005A6C6A"/>
    <w:rsid w:val="005A6C6B"/>
    <w:rsid w:val="005A6DA8"/>
    <w:rsid w:val="005A6E7D"/>
    <w:rsid w:val="005A6E98"/>
    <w:rsid w:val="005A6EBC"/>
    <w:rsid w:val="005A7010"/>
    <w:rsid w:val="005A71BC"/>
    <w:rsid w:val="005A7400"/>
    <w:rsid w:val="005A769D"/>
    <w:rsid w:val="005A76C0"/>
    <w:rsid w:val="005A7886"/>
    <w:rsid w:val="005A78F8"/>
    <w:rsid w:val="005A7905"/>
    <w:rsid w:val="005A79FC"/>
    <w:rsid w:val="005A7B10"/>
    <w:rsid w:val="005A7B42"/>
    <w:rsid w:val="005A7BA5"/>
    <w:rsid w:val="005A7C28"/>
    <w:rsid w:val="005A7CB5"/>
    <w:rsid w:val="005A7F30"/>
    <w:rsid w:val="005B01B9"/>
    <w:rsid w:val="005B0570"/>
    <w:rsid w:val="005B0888"/>
    <w:rsid w:val="005B0926"/>
    <w:rsid w:val="005B0952"/>
    <w:rsid w:val="005B09E2"/>
    <w:rsid w:val="005B0A08"/>
    <w:rsid w:val="005B0AF8"/>
    <w:rsid w:val="005B0CA2"/>
    <w:rsid w:val="005B0E04"/>
    <w:rsid w:val="005B0E3C"/>
    <w:rsid w:val="005B1030"/>
    <w:rsid w:val="005B1169"/>
    <w:rsid w:val="005B11D3"/>
    <w:rsid w:val="005B1213"/>
    <w:rsid w:val="005B134E"/>
    <w:rsid w:val="005B13BF"/>
    <w:rsid w:val="005B1448"/>
    <w:rsid w:val="005B1500"/>
    <w:rsid w:val="005B15BE"/>
    <w:rsid w:val="005B1622"/>
    <w:rsid w:val="005B183F"/>
    <w:rsid w:val="005B1947"/>
    <w:rsid w:val="005B1A13"/>
    <w:rsid w:val="005B1A9C"/>
    <w:rsid w:val="005B1CE4"/>
    <w:rsid w:val="005B1DC3"/>
    <w:rsid w:val="005B1E46"/>
    <w:rsid w:val="005B1EEB"/>
    <w:rsid w:val="005B2001"/>
    <w:rsid w:val="005B207F"/>
    <w:rsid w:val="005B2358"/>
    <w:rsid w:val="005B24E1"/>
    <w:rsid w:val="005B2510"/>
    <w:rsid w:val="005B288A"/>
    <w:rsid w:val="005B2A98"/>
    <w:rsid w:val="005B2B14"/>
    <w:rsid w:val="005B2B49"/>
    <w:rsid w:val="005B2BAB"/>
    <w:rsid w:val="005B2BFE"/>
    <w:rsid w:val="005B2FDB"/>
    <w:rsid w:val="005B319B"/>
    <w:rsid w:val="005B32A6"/>
    <w:rsid w:val="005B32E0"/>
    <w:rsid w:val="005B3317"/>
    <w:rsid w:val="005B3456"/>
    <w:rsid w:val="005B3479"/>
    <w:rsid w:val="005B34B5"/>
    <w:rsid w:val="005B3540"/>
    <w:rsid w:val="005B360C"/>
    <w:rsid w:val="005B360E"/>
    <w:rsid w:val="005B36E1"/>
    <w:rsid w:val="005B388F"/>
    <w:rsid w:val="005B390E"/>
    <w:rsid w:val="005B399F"/>
    <w:rsid w:val="005B3AAC"/>
    <w:rsid w:val="005B3AB9"/>
    <w:rsid w:val="005B3BEB"/>
    <w:rsid w:val="005B3C33"/>
    <w:rsid w:val="005B3E0A"/>
    <w:rsid w:val="005B3E86"/>
    <w:rsid w:val="005B3EBD"/>
    <w:rsid w:val="005B3F65"/>
    <w:rsid w:val="005B406A"/>
    <w:rsid w:val="005B40DD"/>
    <w:rsid w:val="005B411C"/>
    <w:rsid w:val="005B41BB"/>
    <w:rsid w:val="005B441E"/>
    <w:rsid w:val="005B4664"/>
    <w:rsid w:val="005B4769"/>
    <w:rsid w:val="005B4835"/>
    <w:rsid w:val="005B4B48"/>
    <w:rsid w:val="005B4CFD"/>
    <w:rsid w:val="005B515B"/>
    <w:rsid w:val="005B5195"/>
    <w:rsid w:val="005B5317"/>
    <w:rsid w:val="005B55F6"/>
    <w:rsid w:val="005B5757"/>
    <w:rsid w:val="005B57C9"/>
    <w:rsid w:val="005B58F9"/>
    <w:rsid w:val="005B5A56"/>
    <w:rsid w:val="005B5DD3"/>
    <w:rsid w:val="005B5E99"/>
    <w:rsid w:val="005B603C"/>
    <w:rsid w:val="005B6264"/>
    <w:rsid w:val="005B6517"/>
    <w:rsid w:val="005B6669"/>
    <w:rsid w:val="005B6797"/>
    <w:rsid w:val="005B67B1"/>
    <w:rsid w:val="005B68FA"/>
    <w:rsid w:val="005B6CB8"/>
    <w:rsid w:val="005B6CE9"/>
    <w:rsid w:val="005B6F18"/>
    <w:rsid w:val="005B6F7F"/>
    <w:rsid w:val="005B700D"/>
    <w:rsid w:val="005B7088"/>
    <w:rsid w:val="005B723C"/>
    <w:rsid w:val="005B72A9"/>
    <w:rsid w:val="005B7345"/>
    <w:rsid w:val="005B7653"/>
    <w:rsid w:val="005B7681"/>
    <w:rsid w:val="005B7756"/>
    <w:rsid w:val="005B776A"/>
    <w:rsid w:val="005B78E1"/>
    <w:rsid w:val="005B7919"/>
    <w:rsid w:val="005B7C77"/>
    <w:rsid w:val="005B7CBF"/>
    <w:rsid w:val="005B7D8F"/>
    <w:rsid w:val="005B7EC2"/>
    <w:rsid w:val="005C02C7"/>
    <w:rsid w:val="005C02E7"/>
    <w:rsid w:val="005C0586"/>
    <w:rsid w:val="005C061E"/>
    <w:rsid w:val="005C0704"/>
    <w:rsid w:val="005C08FE"/>
    <w:rsid w:val="005C0919"/>
    <w:rsid w:val="005C0AA1"/>
    <w:rsid w:val="005C0AD1"/>
    <w:rsid w:val="005C0B28"/>
    <w:rsid w:val="005C0C1D"/>
    <w:rsid w:val="005C0FA9"/>
    <w:rsid w:val="005C12BB"/>
    <w:rsid w:val="005C16C9"/>
    <w:rsid w:val="005C1741"/>
    <w:rsid w:val="005C1747"/>
    <w:rsid w:val="005C176E"/>
    <w:rsid w:val="005C1A58"/>
    <w:rsid w:val="005C1C1E"/>
    <w:rsid w:val="005C1C84"/>
    <w:rsid w:val="005C1CF0"/>
    <w:rsid w:val="005C1DD8"/>
    <w:rsid w:val="005C2013"/>
    <w:rsid w:val="005C203F"/>
    <w:rsid w:val="005C21B1"/>
    <w:rsid w:val="005C2372"/>
    <w:rsid w:val="005C2459"/>
    <w:rsid w:val="005C245B"/>
    <w:rsid w:val="005C2493"/>
    <w:rsid w:val="005C24AD"/>
    <w:rsid w:val="005C25D3"/>
    <w:rsid w:val="005C2749"/>
    <w:rsid w:val="005C2751"/>
    <w:rsid w:val="005C276A"/>
    <w:rsid w:val="005C27DE"/>
    <w:rsid w:val="005C296D"/>
    <w:rsid w:val="005C2A65"/>
    <w:rsid w:val="005C2A6F"/>
    <w:rsid w:val="005C2A79"/>
    <w:rsid w:val="005C2AA1"/>
    <w:rsid w:val="005C2AB2"/>
    <w:rsid w:val="005C2AD4"/>
    <w:rsid w:val="005C2B09"/>
    <w:rsid w:val="005C2B7D"/>
    <w:rsid w:val="005C2BF5"/>
    <w:rsid w:val="005C2DEC"/>
    <w:rsid w:val="005C2E13"/>
    <w:rsid w:val="005C2E62"/>
    <w:rsid w:val="005C2EBF"/>
    <w:rsid w:val="005C30CD"/>
    <w:rsid w:val="005C31E7"/>
    <w:rsid w:val="005C3269"/>
    <w:rsid w:val="005C3276"/>
    <w:rsid w:val="005C33DA"/>
    <w:rsid w:val="005C35A6"/>
    <w:rsid w:val="005C3696"/>
    <w:rsid w:val="005C36A2"/>
    <w:rsid w:val="005C3A5B"/>
    <w:rsid w:val="005C3A95"/>
    <w:rsid w:val="005C3B69"/>
    <w:rsid w:val="005C3CDF"/>
    <w:rsid w:val="005C3D6D"/>
    <w:rsid w:val="005C3DFF"/>
    <w:rsid w:val="005C3E07"/>
    <w:rsid w:val="005C3F67"/>
    <w:rsid w:val="005C4486"/>
    <w:rsid w:val="005C44D1"/>
    <w:rsid w:val="005C458B"/>
    <w:rsid w:val="005C4619"/>
    <w:rsid w:val="005C4717"/>
    <w:rsid w:val="005C4789"/>
    <w:rsid w:val="005C48F0"/>
    <w:rsid w:val="005C4999"/>
    <w:rsid w:val="005C4C41"/>
    <w:rsid w:val="005C4C51"/>
    <w:rsid w:val="005C4CF8"/>
    <w:rsid w:val="005C4D7B"/>
    <w:rsid w:val="005C4ED3"/>
    <w:rsid w:val="005C4ED7"/>
    <w:rsid w:val="005C4F92"/>
    <w:rsid w:val="005C5008"/>
    <w:rsid w:val="005C5242"/>
    <w:rsid w:val="005C53C7"/>
    <w:rsid w:val="005C546E"/>
    <w:rsid w:val="005C5483"/>
    <w:rsid w:val="005C5504"/>
    <w:rsid w:val="005C55BC"/>
    <w:rsid w:val="005C55C0"/>
    <w:rsid w:val="005C5747"/>
    <w:rsid w:val="005C593A"/>
    <w:rsid w:val="005C594B"/>
    <w:rsid w:val="005C5B2E"/>
    <w:rsid w:val="005C5EDE"/>
    <w:rsid w:val="005C605A"/>
    <w:rsid w:val="005C619F"/>
    <w:rsid w:val="005C62BF"/>
    <w:rsid w:val="005C6353"/>
    <w:rsid w:val="005C64E9"/>
    <w:rsid w:val="005C6637"/>
    <w:rsid w:val="005C687F"/>
    <w:rsid w:val="005C6882"/>
    <w:rsid w:val="005C68EA"/>
    <w:rsid w:val="005C6CD4"/>
    <w:rsid w:val="005C6D4C"/>
    <w:rsid w:val="005C6EAC"/>
    <w:rsid w:val="005C6F3C"/>
    <w:rsid w:val="005C6FE1"/>
    <w:rsid w:val="005C70F3"/>
    <w:rsid w:val="005C730D"/>
    <w:rsid w:val="005C739B"/>
    <w:rsid w:val="005C73D7"/>
    <w:rsid w:val="005C73DB"/>
    <w:rsid w:val="005C741C"/>
    <w:rsid w:val="005C7A75"/>
    <w:rsid w:val="005C7BA7"/>
    <w:rsid w:val="005C7D6A"/>
    <w:rsid w:val="005C7F7F"/>
    <w:rsid w:val="005C7FA6"/>
    <w:rsid w:val="005D0047"/>
    <w:rsid w:val="005D00D9"/>
    <w:rsid w:val="005D020E"/>
    <w:rsid w:val="005D031A"/>
    <w:rsid w:val="005D0367"/>
    <w:rsid w:val="005D044E"/>
    <w:rsid w:val="005D0451"/>
    <w:rsid w:val="005D04D6"/>
    <w:rsid w:val="005D04E2"/>
    <w:rsid w:val="005D06ED"/>
    <w:rsid w:val="005D0736"/>
    <w:rsid w:val="005D085B"/>
    <w:rsid w:val="005D0888"/>
    <w:rsid w:val="005D09AA"/>
    <w:rsid w:val="005D0A0B"/>
    <w:rsid w:val="005D0A32"/>
    <w:rsid w:val="005D0AF9"/>
    <w:rsid w:val="005D0B56"/>
    <w:rsid w:val="005D0BDD"/>
    <w:rsid w:val="005D0CD1"/>
    <w:rsid w:val="005D0E37"/>
    <w:rsid w:val="005D0E6A"/>
    <w:rsid w:val="005D0EDB"/>
    <w:rsid w:val="005D0FB7"/>
    <w:rsid w:val="005D0FB8"/>
    <w:rsid w:val="005D11B3"/>
    <w:rsid w:val="005D1589"/>
    <w:rsid w:val="005D15F7"/>
    <w:rsid w:val="005D177B"/>
    <w:rsid w:val="005D1876"/>
    <w:rsid w:val="005D187B"/>
    <w:rsid w:val="005D1907"/>
    <w:rsid w:val="005D1924"/>
    <w:rsid w:val="005D1AA9"/>
    <w:rsid w:val="005D1DE4"/>
    <w:rsid w:val="005D20E6"/>
    <w:rsid w:val="005D2388"/>
    <w:rsid w:val="005D2450"/>
    <w:rsid w:val="005D2498"/>
    <w:rsid w:val="005D24EB"/>
    <w:rsid w:val="005D2595"/>
    <w:rsid w:val="005D26B5"/>
    <w:rsid w:val="005D273D"/>
    <w:rsid w:val="005D2BD5"/>
    <w:rsid w:val="005D2C72"/>
    <w:rsid w:val="005D2C80"/>
    <w:rsid w:val="005D2CF3"/>
    <w:rsid w:val="005D2EEA"/>
    <w:rsid w:val="005D312F"/>
    <w:rsid w:val="005D31EB"/>
    <w:rsid w:val="005D3273"/>
    <w:rsid w:val="005D32EB"/>
    <w:rsid w:val="005D33EA"/>
    <w:rsid w:val="005D34EA"/>
    <w:rsid w:val="005D3617"/>
    <w:rsid w:val="005D3625"/>
    <w:rsid w:val="005D3699"/>
    <w:rsid w:val="005D3793"/>
    <w:rsid w:val="005D3B24"/>
    <w:rsid w:val="005D3BF5"/>
    <w:rsid w:val="005D41D2"/>
    <w:rsid w:val="005D4261"/>
    <w:rsid w:val="005D4338"/>
    <w:rsid w:val="005D44BB"/>
    <w:rsid w:val="005D467E"/>
    <w:rsid w:val="005D4B0E"/>
    <w:rsid w:val="005D4B34"/>
    <w:rsid w:val="005D4BCA"/>
    <w:rsid w:val="005D4EF6"/>
    <w:rsid w:val="005D5014"/>
    <w:rsid w:val="005D5134"/>
    <w:rsid w:val="005D5309"/>
    <w:rsid w:val="005D546B"/>
    <w:rsid w:val="005D56E8"/>
    <w:rsid w:val="005D5801"/>
    <w:rsid w:val="005D5A47"/>
    <w:rsid w:val="005D5E93"/>
    <w:rsid w:val="005D608B"/>
    <w:rsid w:val="005D613F"/>
    <w:rsid w:val="005D6373"/>
    <w:rsid w:val="005D65DA"/>
    <w:rsid w:val="005D6613"/>
    <w:rsid w:val="005D66E1"/>
    <w:rsid w:val="005D66EC"/>
    <w:rsid w:val="005D67D1"/>
    <w:rsid w:val="005D67DF"/>
    <w:rsid w:val="005D6A6A"/>
    <w:rsid w:val="005D6B39"/>
    <w:rsid w:val="005D6BDD"/>
    <w:rsid w:val="005D6C03"/>
    <w:rsid w:val="005D6C0B"/>
    <w:rsid w:val="005D6C7D"/>
    <w:rsid w:val="005D6D50"/>
    <w:rsid w:val="005D6DC2"/>
    <w:rsid w:val="005D6E10"/>
    <w:rsid w:val="005D7024"/>
    <w:rsid w:val="005D720B"/>
    <w:rsid w:val="005D7299"/>
    <w:rsid w:val="005D732C"/>
    <w:rsid w:val="005D7450"/>
    <w:rsid w:val="005D7783"/>
    <w:rsid w:val="005D77BD"/>
    <w:rsid w:val="005D783C"/>
    <w:rsid w:val="005D7AE8"/>
    <w:rsid w:val="005D7C17"/>
    <w:rsid w:val="005D7C92"/>
    <w:rsid w:val="005D7CBF"/>
    <w:rsid w:val="005D7E85"/>
    <w:rsid w:val="005E013E"/>
    <w:rsid w:val="005E0316"/>
    <w:rsid w:val="005E03AE"/>
    <w:rsid w:val="005E0466"/>
    <w:rsid w:val="005E082D"/>
    <w:rsid w:val="005E08D6"/>
    <w:rsid w:val="005E0938"/>
    <w:rsid w:val="005E0952"/>
    <w:rsid w:val="005E0A87"/>
    <w:rsid w:val="005E0B04"/>
    <w:rsid w:val="005E0BB0"/>
    <w:rsid w:val="005E0C28"/>
    <w:rsid w:val="005E0CC2"/>
    <w:rsid w:val="005E0E2C"/>
    <w:rsid w:val="005E0E9B"/>
    <w:rsid w:val="005E0F28"/>
    <w:rsid w:val="005E0F5C"/>
    <w:rsid w:val="005E0F8E"/>
    <w:rsid w:val="005E112D"/>
    <w:rsid w:val="005E116F"/>
    <w:rsid w:val="005E133E"/>
    <w:rsid w:val="005E143B"/>
    <w:rsid w:val="005E16C2"/>
    <w:rsid w:val="005E1889"/>
    <w:rsid w:val="005E1AB8"/>
    <w:rsid w:val="005E1D4A"/>
    <w:rsid w:val="005E1E4C"/>
    <w:rsid w:val="005E20A4"/>
    <w:rsid w:val="005E2190"/>
    <w:rsid w:val="005E21C3"/>
    <w:rsid w:val="005E2289"/>
    <w:rsid w:val="005E2302"/>
    <w:rsid w:val="005E25FD"/>
    <w:rsid w:val="005E2670"/>
    <w:rsid w:val="005E26E2"/>
    <w:rsid w:val="005E27C9"/>
    <w:rsid w:val="005E296C"/>
    <w:rsid w:val="005E29F4"/>
    <w:rsid w:val="005E2DA4"/>
    <w:rsid w:val="005E2F4B"/>
    <w:rsid w:val="005E2FB1"/>
    <w:rsid w:val="005E31DC"/>
    <w:rsid w:val="005E3407"/>
    <w:rsid w:val="005E341A"/>
    <w:rsid w:val="005E343E"/>
    <w:rsid w:val="005E3677"/>
    <w:rsid w:val="005E36FD"/>
    <w:rsid w:val="005E385C"/>
    <w:rsid w:val="005E3A0D"/>
    <w:rsid w:val="005E3AB1"/>
    <w:rsid w:val="005E3ADD"/>
    <w:rsid w:val="005E3B97"/>
    <w:rsid w:val="005E3C38"/>
    <w:rsid w:val="005E403A"/>
    <w:rsid w:val="005E429C"/>
    <w:rsid w:val="005E4364"/>
    <w:rsid w:val="005E441E"/>
    <w:rsid w:val="005E449C"/>
    <w:rsid w:val="005E44AF"/>
    <w:rsid w:val="005E4566"/>
    <w:rsid w:val="005E45B3"/>
    <w:rsid w:val="005E45D9"/>
    <w:rsid w:val="005E46A9"/>
    <w:rsid w:val="005E49E8"/>
    <w:rsid w:val="005E4B93"/>
    <w:rsid w:val="005E4C30"/>
    <w:rsid w:val="005E4D54"/>
    <w:rsid w:val="005E4EEA"/>
    <w:rsid w:val="005E4FC0"/>
    <w:rsid w:val="005E5011"/>
    <w:rsid w:val="005E50E1"/>
    <w:rsid w:val="005E54FF"/>
    <w:rsid w:val="005E5631"/>
    <w:rsid w:val="005E5684"/>
    <w:rsid w:val="005E574B"/>
    <w:rsid w:val="005E57A1"/>
    <w:rsid w:val="005E5958"/>
    <w:rsid w:val="005E5B13"/>
    <w:rsid w:val="005E5C00"/>
    <w:rsid w:val="005E5D86"/>
    <w:rsid w:val="005E5DF0"/>
    <w:rsid w:val="005E5ED8"/>
    <w:rsid w:val="005E6080"/>
    <w:rsid w:val="005E6101"/>
    <w:rsid w:val="005E6115"/>
    <w:rsid w:val="005E6139"/>
    <w:rsid w:val="005E61D4"/>
    <w:rsid w:val="005E63C5"/>
    <w:rsid w:val="005E6679"/>
    <w:rsid w:val="005E67BA"/>
    <w:rsid w:val="005E68B3"/>
    <w:rsid w:val="005E6B2C"/>
    <w:rsid w:val="005E6D18"/>
    <w:rsid w:val="005E6DF6"/>
    <w:rsid w:val="005E7119"/>
    <w:rsid w:val="005E7441"/>
    <w:rsid w:val="005E7555"/>
    <w:rsid w:val="005E75A0"/>
    <w:rsid w:val="005E75F4"/>
    <w:rsid w:val="005E77DB"/>
    <w:rsid w:val="005E78FF"/>
    <w:rsid w:val="005E7985"/>
    <w:rsid w:val="005E7A9D"/>
    <w:rsid w:val="005E7DE4"/>
    <w:rsid w:val="005E7F77"/>
    <w:rsid w:val="005F01CA"/>
    <w:rsid w:val="005F026E"/>
    <w:rsid w:val="005F02DA"/>
    <w:rsid w:val="005F032E"/>
    <w:rsid w:val="005F08F1"/>
    <w:rsid w:val="005F09E8"/>
    <w:rsid w:val="005F09FA"/>
    <w:rsid w:val="005F0AB6"/>
    <w:rsid w:val="005F0B02"/>
    <w:rsid w:val="005F0C12"/>
    <w:rsid w:val="005F0C22"/>
    <w:rsid w:val="005F0DD0"/>
    <w:rsid w:val="005F0F7D"/>
    <w:rsid w:val="005F10C9"/>
    <w:rsid w:val="005F1105"/>
    <w:rsid w:val="005F1263"/>
    <w:rsid w:val="005F129C"/>
    <w:rsid w:val="005F12D0"/>
    <w:rsid w:val="005F139B"/>
    <w:rsid w:val="005F15BA"/>
    <w:rsid w:val="005F1619"/>
    <w:rsid w:val="005F1845"/>
    <w:rsid w:val="005F1B79"/>
    <w:rsid w:val="005F1BCF"/>
    <w:rsid w:val="005F1CE1"/>
    <w:rsid w:val="005F1DD8"/>
    <w:rsid w:val="005F1E67"/>
    <w:rsid w:val="005F1F5C"/>
    <w:rsid w:val="005F1FCD"/>
    <w:rsid w:val="005F2016"/>
    <w:rsid w:val="005F2256"/>
    <w:rsid w:val="005F2464"/>
    <w:rsid w:val="005F25DF"/>
    <w:rsid w:val="005F25FB"/>
    <w:rsid w:val="005F26CB"/>
    <w:rsid w:val="005F27CB"/>
    <w:rsid w:val="005F2A15"/>
    <w:rsid w:val="005F2CC0"/>
    <w:rsid w:val="005F2E03"/>
    <w:rsid w:val="005F2FFE"/>
    <w:rsid w:val="005F3024"/>
    <w:rsid w:val="005F32A0"/>
    <w:rsid w:val="005F3394"/>
    <w:rsid w:val="005F344E"/>
    <w:rsid w:val="005F355C"/>
    <w:rsid w:val="005F3589"/>
    <w:rsid w:val="005F35C8"/>
    <w:rsid w:val="005F380C"/>
    <w:rsid w:val="005F3A03"/>
    <w:rsid w:val="005F3B9E"/>
    <w:rsid w:val="005F3BA5"/>
    <w:rsid w:val="005F3CE4"/>
    <w:rsid w:val="005F3D99"/>
    <w:rsid w:val="005F3E14"/>
    <w:rsid w:val="005F3E45"/>
    <w:rsid w:val="005F3E48"/>
    <w:rsid w:val="005F3EFB"/>
    <w:rsid w:val="005F3F7A"/>
    <w:rsid w:val="005F3FC2"/>
    <w:rsid w:val="005F40D0"/>
    <w:rsid w:val="005F43B8"/>
    <w:rsid w:val="005F445A"/>
    <w:rsid w:val="005F4486"/>
    <w:rsid w:val="005F456D"/>
    <w:rsid w:val="005F48EE"/>
    <w:rsid w:val="005F4B4E"/>
    <w:rsid w:val="005F4C2B"/>
    <w:rsid w:val="005F4D28"/>
    <w:rsid w:val="005F4ECE"/>
    <w:rsid w:val="005F4FEE"/>
    <w:rsid w:val="005F5032"/>
    <w:rsid w:val="005F5150"/>
    <w:rsid w:val="005F519E"/>
    <w:rsid w:val="005F52B2"/>
    <w:rsid w:val="005F5481"/>
    <w:rsid w:val="005F5495"/>
    <w:rsid w:val="005F555A"/>
    <w:rsid w:val="005F55D5"/>
    <w:rsid w:val="005F5647"/>
    <w:rsid w:val="005F56CC"/>
    <w:rsid w:val="005F5706"/>
    <w:rsid w:val="005F5A85"/>
    <w:rsid w:val="005F5B69"/>
    <w:rsid w:val="005F5D13"/>
    <w:rsid w:val="005F5D50"/>
    <w:rsid w:val="005F5DB1"/>
    <w:rsid w:val="005F5E9A"/>
    <w:rsid w:val="005F5FB5"/>
    <w:rsid w:val="005F6124"/>
    <w:rsid w:val="005F61E8"/>
    <w:rsid w:val="005F6315"/>
    <w:rsid w:val="005F6369"/>
    <w:rsid w:val="005F6490"/>
    <w:rsid w:val="005F6633"/>
    <w:rsid w:val="005F6692"/>
    <w:rsid w:val="005F6C00"/>
    <w:rsid w:val="005F6C31"/>
    <w:rsid w:val="005F6ED4"/>
    <w:rsid w:val="005F7135"/>
    <w:rsid w:val="005F732A"/>
    <w:rsid w:val="005F73AE"/>
    <w:rsid w:val="005F742E"/>
    <w:rsid w:val="005F748F"/>
    <w:rsid w:val="005F7610"/>
    <w:rsid w:val="005F78F2"/>
    <w:rsid w:val="005F7A52"/>
    <w:rsid w:val="005F7AA4"/>
    <w:rsid w:val="005F7AAD"/>
    <w:rsid w:val="005F7AF1"/>
    <w:rsid w:val="005F7C0C"/>
    <w:rsid w:val="005F7EB6"/>
    <w:rsid w:val="005F7F5E"/>
    <w:rsid w:val="005F7FB6"/>
    <w:rsid w:val="00600069"/>
    <w:rsid w:val="0060013E"/>
    <w:rsid w:val="0060017B"/>
    <w:rsid w:val="006001FD"/>
    <w:rsid w:val="00600212"/>
    <w:rsid w:val="0060023C"/>
    <w:rsid w:val="00600354"/>
    <w:rsid w:val="0060037F"/>
    <w:rsid w:val="006006F8"/>
    <w:rsid w:val="006007DC"/>
    <w:rsid w:val="006009D3"/>
    <w:rsid w:val="00600C0F"/>
    <w:rsid w:val="00600DD2"/>
    <w:rsid w:val="00600DED"/>
    <w:rsid w:val="00600FB9"/>
    <w:rsid w:val="006015FA"/>
    <w:rsid w:val="006016C0"/>
    <w:rsid w:val="0060185E"/>
    <w:rsid w:val="0060188A"/>
    <w:rsid w:val="0060198D"/>
    <w:rsid w:val="00601A18"/>
    <w:rsid w:val="00601A62"/>
    <w:rsid w:val="00601BF3"/>
    <w:rsid w:val="00601C22"/>
    <w:rsid w:val="00601C99"/>
    <w:rsid w:val="00601CE3"/>
    <w:rsid w:val="00601D1D"/>
    <w:rsid w:val="00601D3A"/>
    <w:rsid w:val="00601ED9"/>
    <w:rsid w:val="00601EDE"/>
    <w:rsid w:val="00601F53"/>
    <w:rsid w:val="00602081"/>
    <w:rsid w:val="0060214C"/>
    <w:rsid w:val="0060214F"/>
    <w:rsid w:val="00602773"/>
    <w:rsid w:val="00602782"/>
    <w:rsid w:val="0060282A"/>
    <w:rsid w:val="006028C2"/>
    <w:rsid w:val="006028C6"/>
    <w:rsid w:val="00602988"/>
    <w:rsid w:val="00602A29"/>
    <w:rsid w:val="00602AAB"/>
    <w:rsid w:val="00602CAD"/>
    <w:rsid w:val="00602E60"/>
    <w:rsid w:val="00602E9A"/>
    <w:rsid w:val="00602FA2"/>
    <w:rsid w:val="00602FF5"/>
    <w:rsid w:val="0060340B"/>
    <w:rsid w:val="00603451"/>
    <w:rsid w:val="0060367D"/>
    <w:rsid w:val="006036CF"/>
    <w:rsid w:val="006037D2"/>
    <w:rsid w:val="00603865"/>
    <w:rsid w:val="00603947"/>
    <w:rsid w:val="00603A16"/>
    <w:rsid w:val="00603C47"/>
    <w:rsid w:val="00603D85"/>
    <w:rsid w:val="00603E8F"/>
    <w:rsid w:val="00603F88"/>
    <w:rsid w:val="006041C2"/>
    <w:rsid w:val="00604441"/>
    <w:rsid w:val="0060456C"/>
    <w:rsid w:val="00604675"/>
    <w:rsid w:val="0060488C"/>
    <w:rsid w:val="006049B9"/>
    <w:rsid w:val="00604C81"/>
    <w:rsid w:val="00604D47"/>
    <w:rsid w:val="00604D4F"/>
    <w:rsid w:val="00604EA8"/>
    <w:rsid w:val="00604F86"/>
    <w:rsid w:val="00604F89"/>
    <w:rsid w:val="00605199"/>
    <w:rsid w:val="006051F0"/>
    <w:rsid w:val="006053B6"/>
    <w:rsid w:val="00605676"/>
    <w:rsid w:val="006056E5"/>
    <w:rsid w:val="00605710"/>
    <w:rsid w:val="00605717"/>
    <w:rsid w:val="00605762"/>
    <w:rsid w:val="006057EA"/>
    <w:rsid w:val="0060587C"/>
    <w:rsid w:val="006058C5"/>
    <w:rsid w:val="006059E5"/>
    <w:rsid w:val="00605A86"/>
    <w:rsid w:val="00605AA8"/>
    <w:rsid w:val="00605AC9"/>
    <w:rsid w:val="00605AE5"/>
    <w:rsid w:val="00605B90"/>
    <w:rsid w:val="00605E4F"/>
    <w:rsid w:val="006060DE"/>
    <w:rsid w:val="0060618C"/>
    <w:rsid w:val="00606249"/>
    <w:rsid w:val="0060627A"/>
    <w:rsid w:val="0060632D"/>
    <w:rsid w:val="006063C9"/>
    <w:rsid w:val="0060651A"/>
    <w:rsid w:val="00606666"/>
    <w:rsid w:val="006067B1"/>
    <w:rsid w:val="006067DB"/>
    <w:rsid w:val="00606829"/>
    <w:rsid w:val="00606839"/>
    <w:rsid w:val="00606989"/>
    <w:rsid w:val="006069F1"/>
    <w:rsid w:val="00606D4A"/>
    <w:rsid w:val="00606DB0"/>
    <w:rsid w:val="00606DD5"/>
    <w:rsid w:val="00606F84"/>
    <w:rsid w:val="00606FDB"/>
    <w:rsid w:val="00606FE5"/>
    <w:rsid w:val="0060703C"/>
    <w:rsid w:val="00607073"/>
    <w:rsid w:val="0060708F"/>
    <w:rsid w:val="00607107"/>
    <w:rsid w:val="006071D7"/>
    <w:rsid w:val="006071E8"/>
    <w:rsid w:val="0060756E"/>
    <w:rsid w:val="006075E1"/>
    <w:rsid w:val="00607632"/>
    <w:rsid w:val="0060769C"/>
    <w:rsid w:val="0060785B"/>
    <w:rsid w:val="00607977"/>
    <w:rsid w:val="00607AC9"/>
    <w:rsid w:val="00607BDC"/>
    <w:rsid w:val="00607C6C"/>
    <w:rsid w:val="00607E2D"/>
    <w:rsid w:val="006100E9"/>
    <w:rsid w:val="0061022D"/>
    <w:rsid w:val="006102A0"/>
    <w:rsid w:val="00610327"/>
    <w:rsid w:val="006104AD"/>
    <w:rsid w:val="00610574"/>
    <w:rsid w:val="00610577"/>
    <w:rsid w:val="0061062A"/>
    <w:rsid w:val="00610662"/>
    <w:rsid w:val="00610771"/>
    <w:rsid w:val="0061079F"/>
    <w:rsid w:val="00610ADB"/>
    <w:rsid w:val="00610B82"/>
    <w:rsid w:val="00610B87"/>
    <w:rsid w:val="00610F1E"/>
    <w:rsid w:val="00610FE4"/>
    <w:rsid w:val="006111B0"/>
    <w:rsid w:val="00611293"/>
    <w:rsid w:val="006112B0"/>
    <w:rsid w:val="00611374"/>
    <w:rsid w:val="0061143D"/>
    <w:rsid w:val="0061147F"/>
    <w:rsid w:val="00611587"/>
    <w:rsid w:val="0061158C"/>
    <w:rsid w:val="006116BB"/>
    <w:rsid w:val="00611717"/>
    <w:rsid w:val="00611745"/>
    <w:rsid w:val="00611B6C"/>
    <w:rsid w:val="00611CA7"/>
    <w:rsid w:val="00611CD4"/>
    <w:rsid w:val="00611E05"/>
    <w:rsid w:val="00611E86"/>
    <w:rsid w:val="00611F29"/>
    <w:rsid w:val="00611FA9"/>
    <w:rsid w:val="00612152"/>
    <w:rsid w:val="00612171"/>
    <w:rsid w:val="00612178"/>
    <w:rsid w:val="0061234F"/>
    <w:rsid w:val="0061235D"/>
    <w:rsid w:val="0061237B"/>
    <w:rsid w:val="006124D8"/>
    <w:rsid w:val="006124DE"/>
    <w:rsid w:val="00612524"/>
    <w:rsid w:val="00612780"/>
    <w:rsid w:val="00612A33"/>
    <w:rsid w:val="00612BC1"/>
    <w:rsid w:val="00612BCD"/>
    <w:rsid w:val="00612E7C"/>
    <w:rsid w:val="006130C0"/>
    <w:rsid w:val="00613120"/>
    <w:rsid w:val="00613394"/>
    <w:rsid w:val="0061363C"/>
    <w:rsid w:val="00613892"/>
    <w:rsid w:val="0061390D"/>
    <w:rsid w:val="00613A3E"/>
    <w:rsid w:val="00613B12"/>
    <w:rsid w:val="00613B9F"/>
    <w:rsid w:val="00613DA1"/>
    <w:rsid w:val="00613FBF"/>
    <w:rsid w:val="006141BF"/>
    <w:rsid w:val="006141E4"/>
    <w:rsid w:val="00614211"/>
    <w:rsid w:val="0061428A"/>
    <w:rsid w:val="00614290"/>
    <w:rsid w:val="006142DE"/>
    <w:rsid w:val="006142E8"/>
    <w:rsid w:val="00614342"/>
    <w:rsid w:val="006145C7"/>
    <w:rsid w:val="0061460F"/>
    <w:rsid w:val="00614727"/>
    <w:rsid w:val="00614AB0"/>
    <w:rsid w:val="00614EBE"/>
    <w:rsid w:val="00614FEE"/>
    <w:rsid w:val="0061513F"/>
    <w:rsid w:val="00615145"/>
    <w:rsid w:val="006152DE"/>
    <w:rsid w:val="0061530F"/>
    <w:rsid w:val="00615385"/>
    <w:rsid w:val="006153A1"/>
    <w:rsid w:val="006154F3"/>
    <w:rsid w:val="00615624"/>
    <w:rsid w:val="00615706"/>
    <w:rsid w:val="00615743"/>
    <w:rsid w:val="0061574D"/>
    <w:rsid w:val="0061592C"/>
    <w:rsid w:val="00615957"/>
    <w:rsid w:val="0061599D"/>
    <w:rsid w:val="00615B9A"/>
    <w:rsid w:val="00615BB7"/>
    <w:rsid w:val="00615D31"/>
    <w:rsid w:val="00615E3E"/>
    <w:rsid w:val="00615ECA"/>
    <w:rsid w:val="00615ED4"/>
    <w:rsid w:val="00615F17"/>
    <w:rsid w:val="00615F91"/>
    <w:rsid w:val="00615FB6"/>
    <w:rsid w:val="006160BF"/>
    <w:rsid w:val="006160EA"/>
    <w:rsid w:val="006160FF"/>
    <w:rsid w:val="006162DD"/>
    <w:rsid w:val="0061639F"/>
    <w:rsid w:val="00616507"/>
    <w:rsid w:val="00616658"/>
    <w:rsid w:val="006166CE"/>
    <w:rsid w:val="00616915"/>
    <w:rsid w:val="00616932"/>
    <w:rsid w:val="00616998"/>
    <w:rsid w:val="00616A01"/>
    <w:rsid w:val="00616BB6"/>
    <w:rsid w:val="00616CB1"/>
    <w:rsid w:val="00616E5F"/>
    <w:rsid w:val="00616FE2"/>
    <w:rsid w:val="00616FFF"/>
    <w:rsid w:val="0061713F"/>
    <w:rsid w:val="0061732F"/>
    <w:rsid w:val="006173EA"/>
    <w:rsid w:val="006176E8"/>
    <w:rsid w:val="00617794"/>
    <w:rsid w:val="006178A7"/>
    <w:rsid w:val="006178B6"/>
    <w:rsid w:val="006178FB"/>
    <w:rsid w:val="00617996"/>
    <w:rsid w:val="00617998"/>
    <w:rsid w:val="006179BA"/>
    <w:rsid w:val="00617A9E"/>
    <w:rsid w:val="00617AFA"/>
    <w:rsid w:val="00617BAE"/>
    <w:rsid w:val="00617EDB"/>
    <w:rsid w:val="00617F34"/>
    <w:rsid w:val="0062028E"/>
    <w:rsid w:val="00620352"/>
    <w:rsid w:val="006203E4"/>
    <w:rsid w:val="006204B8"/>
    <w:rsid w:val="00620607"/>
    <w:rsid w:val="00620A56"/>
    <w:rsid w:val="00620A7E"/>
    <w:rsid w:val="00620B86"/>
    <w:rsid w:val="00620D87"/>
    <w:rsid w:val="00621010"/>
    <w:rsid w:val="00621055"/>
    <w:rsid w:val="00621202"/>
    <w:rsid w:val="00621329"/>
    <w:rsid w:val="006214BC"/>
    <w:rsid w:val="00621511"/>
    <w:rsid w:val="006215CB"/>
    <w:rsid w:val="0062161A"/>
    <w:rsid w:val="00621647"/>
    <w:rsid w:val="006217D9"/>
    <w:rsid w:val="006217E7"/>
    <w:rsid w:val="00621886"/>
    <w:rsid w:val="006218B9"/>
    <w:rsid w:val="006219A4"/>
    <w:rsid w:val="00621A0B"/>
    <w:rsid w:val="00621C25"/>
    <w:rsid w:val="00621E14"/>
    <w:rsid w:val="00622236"/>
    <w:rsid w:val="006226F3"/>
    <w:rsid w:val="006227EA"/>
    <w:rsid w:val="00622851"/>
    <w:rsid w:val="006229AD"/>
    <w:rsid w:val="00622B69"/>
    <w:rsid w:val="00622C43"/>
    <w:rsid w:val="00622E97"/>
    <w:rsid w:val="00622F7C"/>
    <w:rsid w:val="00623365"/>
    <w:rsid w:val="00623426"/>
    <w:rsid w:val="00623429"/>
    <w:rsid w:val="006236B7"/>
    <w:rsid w:val="00623706"/>
    <w:rsid w:val="00623738"/>
    <w:rsid w:val="006237FD"/>
    <w:rsid w:val="0062395B"/>
    <w:rsid w:val="006239D2"/>
    <w:rsid w:val="006239F2"/>
    <w:rsid w:val="00623AD9"/>
    <w:rsid w:val="00623C99"/>
    <w:rsid w:val="00623E30"/>
    <w:rsid w:val="00623E36"/>
    <w:rsid w:val="00623EBD"/>
    <w:rsid w:val="00623F41"/>
    <w:rsid w:val="00624067"/>
    <w:rsid w:val="00624080"/>
    <w:rsid w:val="006240D0"/>
    <w:rsid w:val="0062422D"/>
    <w:rsid w:val="00624435"/>
    <w:rsid w:val="0062457A"/>
    <w:rsid w:val="006249C7"/>
    <w:rsid w:val="00624A5D"/>
    <w:rsid w:val="00624B2B"/>
    <w:rsid w:val="00624CE6"/>
    <w:rsid w:val="00624EC6"/>
    <w:rsid w:val="006252E0"/>
    <w:rsid w:val="006253C2"/>
    <w:rsid w:val="006255D5"/>
    <w:rsid w:val="0062583A"/>
    <w:rsid w:val="006258E3"/>
    <w:rsid w:val="00625926"/>
    <w:rsid w:val="00625A15"/>
    <w:rsid w:val="00625B40"/>
    <w:rsid w:val="00625BE7"/>
    <w:rsid w:val="00625D6A"/>
    <w:rsid w:val="00625F1C"/>
    <w:rsid w:val="00625F2E"/>
    <w:rsid w:val="00625FD3"/>
    <w:rsid w:val="006260AD"/>
    <w:rsid w:val="00626233"/>
    <w:rsid w:val="006264C6"/>
    <w:rsid w:val="0062655B"/>
    <w:rsid w:val="0062657C"/>
    <w:rsid w:val="006265E8"/>
    <w:rsid w:val="006267A1"/>
    <w:rsid w:val="006267A6"/>
    <w:rsid w:val="00626A4B"/>
    <w:rsid w:val="00626B09"/>
    <w:rsid w:val="00626BD5"/>
    <w:rsid w:val="00626C1E"/>
    <w:rsid w:val="00626CF9"/>
    <w:rsid w:val="00626D15"/>
    <w:rsid w:val="00626D88"/>
    <w:rsid w:val="00626E6E"/>
    <w:rsid w:val="00626EA7"/>
    <w:rsid w:val="00626F0C"/>
    <w:rsid w:val="00626FA2"/>
    <w:rsid w:val="00626FBA"/>
    <w:rsid w:val="00626FC8"/>
    <w:rsid w:val="0062702C"/>
    <w:rsid w:val="00627239"/>
    <w:rsid w:val="00627366"/>
    <w:rsid w:val="00627378"/>
    <w:rsid w:val="006275BD"/>
    <w:rsid w:val="0062762F"/>
    <w:rsid w:val="0062767F"/>
    <w:rsid w:val="0062775F"/>
    <w:rsid w:val="0062789B"/>
    <w:rsid w:val="00627E47"/>
    <w:rsid w:val="00627F9E"/>
    <w:rsid w:val="006300A1"/>
    <w:rsid w:val="0063010F"/>
    <w:rsid w:val="00630420"/>
    <w:rsid w:val="0063053A"/>
    <w:rsid w:val="00630731"/>
    <w:rsid w:val="00630996"/>
    <w:rsid w:val="006309BF"/>
    <w:rsid w:val="00630A1A"/>
    <w:rsid w:val="00630B4E"/>
    <w:rsid w:val="00630B7D"/>
    <w:rsid w:val="00630D05"/>
    <w:rsid w:val="00630E02"/>
    <w:rsid w:val="00630EBE"/>
    <w:rsid w:val="00630ED4"/>
    <w:rsid w:val="00630F9D"/>
    <w:rsid w:val="00631083"/>
    <w:rsid w:val="00631150"/>
    <w:rsid w:val="00631475"/>
    <w:rsid w:val="00631585"/>
    <w:rsid w:val="006316CA"/>
    <w:rsid w:val="00631751"/>
    <w:rsid w:val="0063195D"/>
    <w:rsid w:val="00631A7D"/>
    <w:rsid w:val="00631AA9"/>
    <w:rsid w:val="00631D11"/>
    <w:rsid w:val="00631D1A"/>
    <w:rsid w:val="006321F8"/>
    <w:rsid w:val="00632319"/>
    <w:rsid w:val="006323F0"/>
    <w:rsid w:val="00632505"/>
    <w:rsid w:val="006325B1"/>
    <w:rsid w:val="00632778"/>
    <w:rsid w:val="00632791"/>
    <w:rsid w:val="006328DD"/>
    <w:rsid w:val="006328DE"/>
    <w:rsid w:val="00632928"/>
    <w:rsid w:val="00632994"/>
    <w:rsid w:val="006329EF"/>
    <w:rsid w:val="00632A48"/>
    <w:rsid w:val="00632A62"/>
    <w:rsid w:val="00632B10"/>
    <w:rsid w:val="00632B3A"/>
    <w:rsid w:val="00632BE8"/>
    <w:rsid w:val="00632C82"/>
    <w:rsid w:val="00632D3E"/>
    <w:rsid w:val="00632ECE"/>
    <w:rsid w:val="0063311D"/>
    <w:rsid w:val="00633139"/>
    <w:rsid w:val="00633337"/>
    <w:rsid w:val="00633553"/>
    <w:rsid w:val="0063363A"/>
    <w:rsid w:val="00633766"/>
    <w:rsid w:val="00633827"/>
    <w:rsid w:val="00633911"/>
    <w:rsid w:val="006339F6"/>
    <w:rsid w:val="00633A1E"/>
    <w:rsid w:val="00633D15"/>
    <w:rsid w:val="006341C5"/>
    <w:rsid w:val="006341E9"/>
    <w:rsid w:val="00634263"/>
    <w:rsid w:val="006342F8"/>
    <w:rsid w:val="0063433F"/>
    <w:rsid w:val="0063448E"/>
    <w:rsid w:val="006345FC"/>
    <w:rsid w:val="0063460A"/>
    <w:rsid w:val="00634631"/>
    <w:rsid w:val="00634662"/>
    <w:rsid w:val="006347C8"/>
    <w:rsid w:val="006347E5"/>
    <w:rsid w:val="006347F7"/>
    <w:rsid w:val="00634AE5"/>
    <w:rsid w:val="00634BFD"/>
    <w:rsid w:val="00634C11"/>
    <w:rsid w:val="00634C49"/>
    <w:rsid w:val="00634CE8"/>
    <w:rsid w:val="00634D76"/>
    <w:rsid w:val="00634DC9"/>
    <w:rsid w:val="00634E22"/>
    <w:rsid w:val="00634E94"/>
    <w:rsid w:val="006351E6"/>
    <w:rsid w:val="00635241"/>
    <w:rsid w:val="006357A0"/>
    <w:rsid w:val="0063591A"/>
    <w:rsid w:val="00635B38"/>
    <w:rsid w:val="00635BC5"/>
    <w:rsid w:val="00636272"/>
    <w:rsid w:val="006365E1"/>
    <w:rsid w:val="0063681C"/>
    <w:rsid w:val="0063683E"/>
    <w:rsid w:val="00636C6E"/>
    <w:rsid w:val="00636CE2"/>
    <w:rsid w:val="00636ED2"/>
    <w:rsid w:val="00636F8E"/>
    <w:rsid w:val="00636FEE"/>
    <w:rsid w:val="00636FFB"/>
    <w:rsid w:val="00637071"/>
    <w:rsid w:val="00637131"/>
    <w:rsid w:val="00637410"/>
    <w:rsid w:val="0063744F"/>
    <w:rsid w:val="006374E1"/>
    <w:rsid w:val="00637678"/>
    <w:rsid w:val="0063789A"/>
    <w:rsid w:val="0063796A"/>
    <w:rsid w:val="00637B49"/>
    <w:rsid w:val="00637DF6"/>
    <w:rsid w:val="00640110"/>
    <w:rsid w:val="0064040A"/>
    <w:rsid w:val="0064043F"/>
    <w:rsid w:val="006404B6"/>
    <w:rsid w:val="00640505"/>
    <w:rsid w:val="006405ED"/>
    <w:rsid w:val="0064061E"/>
    <w:rsid w:val="006406F5"/>
    <w:rsid w:val="00640702"/>
    <w:rsid w:val="006407A1"/>
    <w:rsid w:val="0064089B"/>
    <w:rsid w:val="00640979"/>
    <w:rsid w:val="00640A50"/>
    <w:rsid w:val="00640E6D"/>
    <w:rsid w:val="00640E9E"/>
    <w:rsid w:val="00640F2F"/>
    <w:rsid w:val="006411C5"/>
    <w:rsid w:val="00641273"/>
    <w:rsid w:val="006412F8"/>
    <w:rsid w:val="0064179F"/>
    <w:rsid w:val="00641899"/>
    <w:rsid w:val="00641CD3"/>
    <w:rsid w:val="00641F91"/>
    <w:rsid w:val="00642087"/>
    <w:rsid w:val="0064211F"/>
    <w:rsid w:val="00642149"/>
    <w:rsid w:val="00642447"/>
    <w:rsid w:val="00642488"/>
    <w:rsid w:val="00642651"/>
    <w:rsid w:val="006426DC"/>
    <w:rsid w:val="00642780"/>
    <w:rsid w:val="006427D6"/>
    <w:rsid w:val="00642811"/>
    <w:rsid w:val="00642978"/>
    <w:rsid w:val="00642A68"/>
    <w:rsid w:val="00642C0B"/>
    <w:rsid w:val="00642D01"/>
    <w:rsid w:val="00642D0D"/>
    <w:rsid w:val="00642DDB"/>
    <w:rsid w:val="00642F3A"/>
    <w:rsid w:val="00643276"/>
    <w:rsid w:val="006433D8"/>
    <w:rsid w:val="006435D8"/>
    <w:rsid w:val="0064366A"/>
    <w:rsid w:val="0064379E"/>
    <w:rsid w:val="006437AE"/>
    <w:rsid w:val="0064383C"/>
    <w:rsid w:val="00643BE9"/>
    <w:rsid w:val="00643D26"/>
    <w:rsid w:val="00643E88"/>
    <w:rsid w:val="00643FC9"/>
    <w:rsid w:val="00644239"/>
    <w:rsid w:val="0064424A"/>
    <w:rsid w:val="006443BB"/>
    <w:rsid w:val="006445E4"/>
    <w:rsid w:val="00644850"/>
    <w:rsid w:val="006448BE"/>
    <w:rsid w:val="00644918"/>
    <w:rsid w:val="00644932"/>
    <w:rsid w:val="00644A76"/>
    <w:rsid w:val="00644B6F"/>
    <w:rsid w:val="00644CAE"/>
    <w:rsid w:val="00644E05"/>
    <w:rsid w:val="00644E88"/>
    <w:rsid w:val="006451B4"/>
    <w:rsid w:val="006452C3"/>
    <w:rsid w:val="00645331"/>
    <w:rsid w:val="006454E5"/>
    <w:rsid w:val="0064576D"/>
    <w:rsid w:val="00645976"/>
    <w:rsid w:val="00645D2F"/>
    <w:rsid w:val="00645E47"/>
    <w:rsid w:val="00646071"/>
    <w:rsid w:val="006462F4"/>
    <w:rsid w:val="00646567"/>
    <w:rsid w:val="006467C6"/>
    <w:rsid w:val="006467D4"/>
    <w:rsid w:val="00646E73"/>
    <w:rsid w:val="0064707B"/>
    <w:rsid w:val="00647281"/>
    <w:rsid w:val="00647556"/>
    <w:rsid w:val="0064778F"/>
    <w:rsid w:val="006478E1"/>
    <w:rsid w:val="006479FC"/>
    <w:rsid w:val="00647B84"/>
    <w:rsid w:val="00647F1C"/>
    <w:rsid w:val="00647F66"/>
    <w:rsid w:val="006502B5"/>
    <w:rsid w:val="006505D8"/>
    <w:rsid w:val="006505F1"/>
    <w:rsid w:val="006507BC"/>
    <w:rsid w:val="006507D3"/>
    <w:rsid w:val="006508B3"/>
    <w:rsid w:val="0065097B"/>
    <w:rsid w:val="00650ED3"/>
    <w:rsid w:val="00650F32"/>
    <w:rsid w:val="00651062"/>
    <w:rsid w:val="006510A1"/>
    <w:rsid w:val="0065120F"/>
    <w:rsid w:val="0065125F"/>
    <w:rsid w:val="00651294"/>
    <w:rsid w:val="006512B4"/>
    <w:rsid w:val="006512C5"/>
    <w:rsid w:val="006513F4"/>
    <w:rsid w:val="0065147F"/>
    <w:rsid w:val="00651549"/>
    <w:rsid w:val="00651702"/>
    <w:rsid w:val="00651810"/>
    <w:rsid w:val="00651AC6"/>
    <w:rsid w:val="00651BC7"/>
    <w:rsid w:val="00651CEE"/>
    <w:rsid w:val="00651D16"/>
    <w:rsid w:val="00651E93"/>
    <w:rsid w:val="006520FE"/>
    <w:rsid w:val="00652331"/>
    <w:rsid w:val="00652391"/>
    <w:rsid w:val="006524E4"/>
    <w:rsid w:val="006525FA"/>
    <w:rsid w:val="006526C3"/>
    <w:rsid w:val="00652727"/>
    <w:rsid w:val="00652806"/>
    <w:rsid w:val="00652929"/>
    <w:rsid w:val="00652AC1"/>
    <w:rsid w:val="00652B6C"/>
    <w:rsid w:val="00652B6D"/>
    <w:rsid w:val="00652B96"/>
    <w:rsid w:val="00652D86"/>
    <w:rsid w:val="00652E87"/>
    <w:rsid w:val="00652F41"/>
    <w:rsid w:val="00652FEA"/>
    <w:rsid w:val="0065307E"/>
    <w:rsid w:val="0065314C"/>
    <w:rsid w:val="006532A4"/>
    <w:rsid w:val="006532CA"/>
    <w:rsid w:val="00653456"/>
    <w:rsid w:val="00653663"/>
    <w:rsid w:val="0065374B"/>
    <w:rsid w:val="0065384D"/>
    <w:rsid w:val="006538CE"/>
    <w:rsid w:val="00653A3B"/>
    <w:rsid w:val="00653B07"/>
    <w:rsid w:val="00653C59"/>
    <w:rsid w:val="00653D16"/>
    <w:rsid w:val="00653E6B"/>
    <w:rsid w:val="00653F39"/>
    <w:rsid w:val="00654126"/>
    <w:rsid w:val="00654237"/>
    <w:rsid w:val="006542CF"/>
    <w:rsid w:val="0065433D"/>
    <w:rsid w:val="006546D4"/>
    <w:rsid w:val="006548B2"/>
    <w:rsid w:val="006549EE"/>
    <w:rsid w:val="00654B01"/>
    <w:rsid w:val="00654C9A"/>
    <w:rsid w:val="00654E3A"/>
    <w:rsid w:val="00654EB5"/>
    <w:rsid w:val="0065521F"/>
    <w:rsid w:val="00655525"/>
    <w:rsid w:val="0065568C"/>
    <w:rsid w:val="00655691"/>
    <w:rsid w:val="00655816"/>
    <w:rsid w:val="00655C72"/>
    <w:rsid w:val="00655CB3"/>
    <w:rsid w:val="00655CC9"/>
    <w:rsid w:val="00655FD0"/>
    <w:rsid w:val="00656052"/>
    <w:rsid w:val="006560EB"/>
    <w:rsid w:val="00656468"/>
    <w:rsid w:val="006564DB"/>
    <w:rsid w:val="006564DE"/>
    <w:rsid w:val="006564E0"/>
    <w:rsid w:val="006565EC"/>
    <w:rsid w:val="00656686"/>
    <w:rsid w:val="0065669A"/>
    <w:rsid w:val="00656859"/>
    <w:rsid w:val="0065686B"/>
    <w:rsid w:val="006568B2"/>
    <w:rsid w:val="00656B44"/>
    <w:rsid w:val="00656C04"/>
    <w:rsid w:val="00656C3B"/>
    <w:rsid w:val="00656FD2"/>
    <w:rsid w:val="00657034"/>
    <w:rsid w:val="006571F3"/>
    <w:rsid w:val="006572D5"/>
    <w:rsid w:val="006572EE"/>
    <w:rsid w:val="006574E1"/>
    <w:rsid w:val="0065757A"/>
    <w:rsid w:val="006575FB"/>
    <w:rsid w:val="006576AB"/>
    <w:rsid w:val="0065791E"/>
    <w:rsid w:val="00657A8C"/>
    <w:rsid w:val="00657ACE"/>
    <w:rsid w:val="00657FDA"/>
    <w:rsid w:val="0066005C"/>
    <w:rsid w:val="0066012B"/>
    <w:rsid w:val="00660181"/>
    <w:rsid w:val="00660187"/>
    <w:rsid w:val="006601AA"/>
    <w:rsid w:val="00660467"/>
    <w:rsid w:val="00660672"/>
    <w:rsid w:val="00660786"/>
    <w:rsid w:val="006607E5"/>
    <w:rsid w:val="00660860"/>
    <w:rsid w:val="00660902"/>
    <w:rsid w:val="00660A52"/>
    <w:rsid w:val="00660A7B"/>
    <w:rsid w:val="006610BB"/>
    <w:rsid w:val="006610E6"/>
    <w:rsid w:val="00661148"/>
    <w:rsid w:val="006612B5"/>
    <w:rsid w:val="0066166E"/>
    <w:rsid w:val="006616D6"/>
    <w:rsid w:val="0066172B"/>
    <w:rsid w:val="0066178E"/>
    <w:rsid w:val="00661998"/>
    <w:rsid w:val="006619CF"/>
    <w:rsid w:val="00661AE7"/>
    <w:rsid w:val="00661B25"/>
    <w:rsid w:val="00661B9C"/>
    <w:rsid w:val="00661BD6"/>
    <w:rsid w:val="00661CD5"/>
    <w:rsid w:val="00661DDA"/>
    <w:rsid w:val="00661EFF"/>
    <w:rsid w:val="0066208E"/>
    <w:rsid w:val="006620AF"/>
    <w:rsid w:val="006620B2"/>
    <w:rsid w:val="00662132"/>
    <w:rsid w:val="0066218A"/>
    <w:rsid w:val="006622FA"/>
    <w:rsid w:val="006626C5"/>
    <w:rsid w:val="006626D1"/>
    <w:rsid w:val="006628B3"/>
    <w:rsid w:val="006628D1"/>
    <w:rsid w:val="006629A6"/>
    <w:rsid w:val="006629F7"/>
    <w:rsid w:val="00662AFC"/>
    <w:rsid w:val="00662C05"/>
    <w:rsid w:val="00662D1B"/>
    <w:rsid w:val="00662D5B"/>
    <w:rsid w:val="00662DD8"/>
    <w:rsid w:val="00662DFC"/>
    <w:rsid w:val="00663138"/>
    <w:rsid w:val="006632C5"/>
    <w:rsid w:val="00663489"/>
    <w:rsid w:val="0066359F"/>
    <w:rsid w:val="006635B7"/>
    <w:rsid w:val="006635E0"/>
    <w:rsid w:val="0066372C"/>
    <w:rsid w:val="00663810"/>
    <w:rsid w:val="00663A49"/>
    <w:rsid w:val="00663B70"/>
    <w:rsid w:val="00663C8E"/>
    <w:rsid w:val="00663DC9"/>
    <w:rsid w:val="00663E83"/>
    <w:rsid w:val="006640B8"/>
    <w:rsid w:val="006643CE"/>
    <w:rsid w:val="0066447D"/>
    <w:rsid w:val="00664593"/>
    <w:rsid w:val="006646FA"/>
    <w:rsid w:val="0066471F"/>
    <w:rsid w:val="006647F6"/>
    <w:rsid w:val="00664896"/>
    <w:rsid w:val="0066493D"/>
    <w:rsid w:val="00664AB9"/>
    <w:rsid w:val="00664BE7"/>
    <w:rsid w:val="00664C58"/>
    <w:rsid w:val="00664C75"/>
    <w:rsid w:val="00664D45"/>
    <w:rsid w:val="00664D59"/>
    <w:rsid w:val="00664E3D"/>
    <w:rsid w:val="00664E44"/>
    <w:rsid w:val="00664E46"/>
    <w:rsid w:val="00664F93"/>
    <w:rsid w:val="0066506E"/>
    <w:rsid w:val="00665591"/>
    <w:rsid w:val="006657AE"/>
    <w:rsid w:val="0066593B"/>
    <w:rsid w:val="00665A3A"/>
    <w:rsid w:val="00665A94"/>
    <w:rsid w:val="00665B77"/>
    <w:rsid w:val="00665C9A"/>
    <w:rsid w:val="00665D1A"/>
    <w:rsid w:val="00665E4F"/>
    <w:rsid w:val="00665E5B"/>
    <w:rsid w:val="00665E5D"/>
    <w:rsid w:val="00666132"/>
    <w:rsid w:val="0066616F"/>
    <w:rsid w:val="006661FF"/>
    <w:rsid w:val="00666269"/>
    <w:rsid w:val="006662B4"/>
    <w:rsid w:val="006662B8"/>
    <w:rsid w:val="00666486"/>
    <w:rsid w:val="006664EB"/>
    <w:rsid w:val="00666897"/>
    <w:rsid w:val="006668EE"/>
    <w:rsid w:val="00666BC6"/>
    <w:rsid w:val="00666C69"/>
    <w:rsid w:val="00666EFA"/>
    <w:rsid w:val="00666FF5"/>
    <w:rsid w:val="00667358"/>
    <w:rsid w:val="00667362"/>
    <w:rsid w:val="00667376"/>
    <w:rsid w:val="0066768F"/>
    <w:rsid w:val="0066784C"/>
    <w:rsid w:val="006679A0"/>
    <w:rsid w:val="00667A09"/>
    <w:rsid w:val="00667ABB"/>
    <w:rsid w:val="00667B29"/>
    <w:rsid w:val="00667C02"/>
    <w:rsid w:val="00667CE7"/>
    <w:rsid w:val="00667EEE"/>
    <w:rsid w:val="00667F51"/>
    <w:rsid w:val="006701F9"/>
    <w:rsid w:val="0067038C"/>
    <w:rsid w:val="00670486"/>
    <w:rsid w:val="006705CB"/>
    <w:rsid w:val="006705EF"/>
    <w:rsid w:val="0067062E"/>
    <w:rsid w:val="0067076A"/>
    <w:rsid w:val="00670802"/>
    <w:rsid w:val="006709ED"/>
    <w:rsid w:val="00670AF8"/>
    <w:rsid w:val="00670B49"/>
    <w:rsid w:val="00670D65"/>
    <w:rsid w:val="00670E7F"/>
    <w:rsid w:val="00670F71"/>
    <w:rsid w:val="00670FE1"/>
    <w:rsid w:val="00671089"/>
    <w:rsid w:val="0067118B"/>
    <w:rsid w:val="00671233"/>
    <w:rsid w:val="0067132B"/>
    <w:rsid w:val="0067187C"/>
    <w:rsid w:val="0067188B"/>
    <w:rsid w:val="00671913"/>
    <w:rsid w:val="00671A30"/>
    <w:rsid w:val="00671C16"/>
    <w:rsid w:val="00671DD1"/>
    <w:rsid w:val="00671E65"/>
    <w:rsid w:val="00671F8C"/>
    <w:rsid w:val="00672039"/>
    <w:rsid w:val="00672175"/>
    <w:rsid w:val="00672209"/>
    <w:rsid w:val="00672290"/>
    <w:rsid w:val="0067238C"/>
    <w:rsid w:val="0067257E"/>
    <w:rsid w:val="00672599"/>
    <w:rsid w:val="006725F5"/>
    <w:rsid w:val="0067266C"/>
    <w:rsid w:val="0067296F"/>
    <w:rsid w:val="00672AE8"/>
    <w:rsid w:val="00672BA3"/>
    <w:rsid w:val="00672BBB"/>
    <w:rsid w:val="00672C21"/>
    <w:rsid w:val="00672D32"/>
    <w:rsid w:val="00672D53"/>
    <w:rsid w:val="00672DCF"/>
    <w:rsid w:val="00672E01"/>
    <w:rsid w:val="00672ED0"/>
    <w:rsid w:val="00672F18"/>
    <w:rsid w:val="00672F61"/>
    <w:rsid w:val="006730E5"/>
    <w:rsid w:val="0067310D"/>
    <w:rsid w:val="0067317B"/>
    <w:rsid w:val="006734F2"/>
    <w:rsid w:val="0067360B"/>
    <w:rsid w:val="0067362B"/>
    <w:rsid w:val="00673668"/>
    <w:rsid w:val="00673715"/>
    <w:rsid w:val="00673721"/>
    <w:rsid w:val="00673797"/>
    <w:rsid w:val="006737C2"/>
    <w:rsid w:val="006737D6"/>
    <w:rsid w:val="0067387F"/>
    <w:rsid w:val="00673A85"/>
    <w:rsid w:val="00673A89"/>
    <w:rsid w:val="00673B11"/>
    <w:rsid w:val="00673D3B"/>
    <w:rsid w:val="00673E05"/>
    <w:rsid w:val="00673E16"/>
    <w:rsid w:val="00673E35"/>
    <w:rsid w:val="00674074"/>
    <w:rsid w:val="0067426E"/>
    <w:rsid w:val="00674452"/>
    <w:rsid w:val="00674536"/>
    <w:rsid w:val="006746BA"/>
    <w:rsid w:val="0067489A"/>
    <w:rsid w:val="00674BC4"/>
    <w:rsid w:val="0067507C"/>
    <w:rsid w:val="006750AC"/>
    <w:rsid w:val="00675250"/>
    <w:rsid w:val="006752CB"/>
    <w:rsid w:val="006753B6"/>
    <w:rsid w:val="00675646"/>
    <w:rsid w:val="006756F0"/>
    <w:rsid w:val="00675747"/>
    <w:rsid w:val="00675852"/>
    <w:rsid w:val="00675856"/>
    <w:rsid w:val="006758FE"/>
    <w:rsid w:val="00675AC4"/>
    <w:rsid w:val="00675C00"/>
    <w:rsid w:val="00675D4E"/>
    <w:rsid w:val="00675D7D"/>
    <w:rsid w:val="00675DB5"/>
    <w:rsid w:val="00675EF3"/>
    <w:rsid w:val="00675F56"/>
    <w:rsid w:val="0067617F"/>
    <w:rsid w:val="006762EA"/>
    <w:rsid w:val="0067630B"/>
    <w:rsid w:val="00676334"/>
    <w:rsid w:val="006763F1"/>
    <w:rsid w:val="00676443"/>
    <w:rsid w:val="0067659B"/>
    <w:rsid w:val="0067695D"/>
    <w:rsid w:val="00676991"/>
    <w:rsid w:val="00676A08"/>
    <w:rsid w:val="00676A5A"/>
    <w:rsid w:val="00676B73"/>
    <w:rsid w:val="00676BCA"/>
    <w:rsid w:val="0067706F"/>
    <w:rsid w:val="006774AD"/>
    <w:rsid w:val="00677524"/>
    <w:rsid w:val="00677590"/>
    <w:rsid w:val="006775D6"/>
    <w:rsid w:val="006775FE"/>
    <w:rsid w:val="0067773E"/>
    <w:rsid w:val="0067780A"/>
    <w:rsid w:val="006779CE"/>
    <w:rsid w:val="00677B5E"/>
    <w:rsid w:val="00677E49"/>
    <w:rsid w:val="00677E8A"/>
    <w:rsid w:val="00677F98"/>
    <w:rsid w:val="00677FF1"/>
    <w:rsid w:val="0068003C"/>
    <w:rsid w:val="006800A5"/>
    <w:rsid w:val="006802DB"/>
    <w:rsid w:val="00680434"/>
    <w:rsid w:val="00680452"/>
    <w:rsid w:val="00680476"/>
    <w:rsid w:val="00680480"/>
    <w:rsid w:val="006805E3"/>
    <w:rsid w:val="00680601"/>
    <w:rsid w:val="0068091C"/>
    <w:rsid w:val="00680993"/>
    <w:rsid w:val="00680B2E"/>
    <w:rsid w:val="00680BC5"/>
    <w:rsid w:val="00680C26"/>
    <w:rsid w:val="00680C3A"/>
    <w:rsid w:val="006810A1"/>
    <w:rsid w:val="006810AA"/>
    <w:rsid w:val="006811C6"/>
    <w:rsid w:val="00681455"/>
    <w:rsid w:val="00681822"/>
    <w:rsid w:val="00681A31"/>
    <w:rsid w:val="00681BFC"/>
    <w:rsid w:val="00681C59"/>
    <w:rsid w:val="00681CBE"/>
    <w:rsid w:val="00681E77"/>
    <w:rsid w:val="00681EE6"/>
    <w:rsid w:val="00681FBC"/>
    <w:rsid w:val="0068213C"/>
    <w:rsid w:val="0068214A"/>
    <w:rsid w:val="006821B8"/>
    <w:rsid w:val="00682245"/>
    <w:rsid w:val="006822FA"/>
    <w:rsid w:val="0068232D"/>
    <w:rsid w:val="0068273F"/>
    <w:rsid w:val="00682881"/>
    <w:rsid w:val="006828FE"/>
    <w:rsid w:val="00682B26"/>
    <w:rsid w:val="00682B5B"/>
    <w:rsid w:val="00682B90"/>
    <w:rsid w:val="00682D17"/>
    <w:rsid w:val="00682D71"/>
    <w:rsid w:val="00682EE8"/>
    <w:rsid w:val="00682FC1"/>
    <w:rsid w:val="0068308B"/>
    <w:rsid w:val="006831BB"/>
    <w:rsid w:val="0068321C"/>
    <w:rsid w:val="00683419"/>
    <w:rsid w:val="00683426"/>
    <w:rsid w:val="006834C1"/>
    <w:rsid w:val="0068358F"/>
    <w:rsid w:val="0068359C"/>
    <w:rsid w:val="006835DC"/>
    <w:rsid w:val="00683676"/>
    <w:rsid w:val="00683986"/>
    <w:rsid w:val="00683AD1"/>
    <w:rsid w:val="00684145"/>
    <w:rsid w:val="006841CB"/>
    <w:rsid w:val="0068434F"/>
    <w:rsid w:val="006844DE"/>
    <w:rsid w:val="0068464C"/>
    <w:rsid w:val="0068465A"/>
    <w:rsid w:val="00684689"/>
    <w:rsid w:val="00684727"/>
    <w:rsid w:val="006849F3"/>
    <w:rsid w:val="00684BD9"/>
    <w:rsid w:val="00684D1F"/>
    <w:rsid w:val="00684DC4"/>
    <w:rsid w:val="00684E4B"/>
    <w:rsid w:val="00684FB2"/>
    <w:rsid w:val="00684FD1"/>
    <w:rsid w:val="006850BE"/>
    <w:rsid w:val="00685182"/>
    <w:rsid w:val="0068534E"/>
    <w:rsid w:val="006854A9"/>
    <w:rsid w:val="0068559B"/>
    <w:rsid w:val="006855AE"/>
    <w:rsid w:val="006855CA"/>
    <w:rsid w:val="006856B6"/>
    <w:rsid w:val="006856C8"/>
    <w:rsid w:val="0068590F"/>
    <w:rsid w:val="00685A1D"/>
    <w:rsid w:val="00685AA0"/>
    <w:rsid w:val="00685E07"/>
    <w:rsid w:val="00685EC1"/>
    <w:rsid w:val="0068608D"/>
    <w:rsid w:val="006860E4"/>
    <w:rsid w:val="0068621D"/>
    <w:rsid w:val="00686264"/>
    <w:rsid w:val="006862A9"/>
    <w:rsid w:val="006862B0"/>
    <w:rsid w:val="00686435"/>
    <w:rsid w:val="00686618"/>
    <w:rsid w:val="00686823"/>
    <w:rsid w:val="006868A1"/>
    <w:rsid w:val="00686A34"/>
    <w:rsid w:val="00686BB5"/>
    <w:rsid w:val="00686DF7"/>
    <w:rsid w:val="00686FAB"/>
    <w:rsid w:val="00686FCA"/>
    <w:rsid w:val="006870BC"/>
    <w:rsid w:val="0068710C"/>
    <w:rsid w:val="00687120"/>
    <w:rsid w:val="00687183"/>
    <w:rsid w:val="00687333"/>
    <w:rsid w:val="006873BA"/>
    <w:rsid w:val="00687417"/>
    <w:rsid w:val="006874D7"/>
    <w:rsid w:val="006875A6"/>
    <w:rsid w:val="00687658"/>
    <w:rsid w:val="006876AA"/>
    <w:rsid w:val="006877D4"/>
    <w:rsid w:val="006878EC"/>
    <w:rsid w:val="006879E3"/>
    <w:rsid w:val="00687CD6"/>
    <w:rsid w:val="00687CFC"/>
    <w:rsid w:val="00687DBD"/>
    <w:rsid w:val="0069011F"/>
    <w:rsid w:val="00690136"/>
    <w:rsid w:val="006901F9"/>
    <w:rsid w:val="006902C4"/>
    <w:rsid w:val="0069039C"/>
    <w:rsid w:val="0069057F"/>
    <w:rsid w:val="006907E6"/>
    <w:rsid w:val="0069080C"/>
    <w:rsid w:val="00690880"/>
    <w:rsid w:val="00690971"/>
    <w:rsid w:val="006909B1"/>
    <w:rsid w:val="006909DF"/>
    <w:rsid w:val="00690CB9"/>
    <w:rsid w:val="00690D2B"/>
    <w:rsid w:val="00690D6E"/>
    <w:rsid w:val="006912DD"/>
    <w:rsid w:val="0069133E"/>
    <w:rsid w:val="0069143F"/>
    <w:rsid w:val="00691533"/>
    <w:rsid w:val="0069155B"/>
    <w:rsid w:val="0069162F"/>
    <w:rsid w:val="006916A4"/>
    <w:rsid w:val="00691734"/>
    <w:rsid w:val="0069176C"/>
    <w:rsid w:val="00691985"/>
    <w:rsid w:val="00691B4D"/>
    <w:rsid w:val="00691BAB"/>
    <w:rsid w:val="00691C05"/>
    <w:rsid w:val="00691C2E"/>
    <w:rsid w:val="00691F52"/>
    <w:rsid w:val="0069223B"/>
    <w:rsid w:val="00692269"/>
    <w:rsid w:val="006923D9"/>
    <w:rsid w:val="00692528"/>
    <w:rsid w:val="00692681"/>
    <w:rsid w:val="0069292D"/>
    <w:rsid w:val="00692999"/>
    <w:rsid w:val="00692CC5"/>
    <w:rsid w:val="00692D98"/>
    <w:rsid w:val="00692DBD"/>
    <w:rsid w:val="00692EA8"/>
    <w:rsid w:val="00693148"/>
    <w:rsid w:val="006931DC"/>
    <w:rsid w:val="006932A0"/>
    <w:rsid w:val="0069344F"/>
    <w:rsid w:val="00693510"/>
    <w:rsid w:val="006937F7"/>
    <w:rsid w:val="00693845"/>
    <w:rsid w:val="00693920"/>
    <w:rsid w:val="00693A08"/>
    <w:rsid w:val="00693A18"/>
    <w:rsid w:val="00693B86"/>
    <w:rsid w:val="00693D0C"/>
    <w:rsid w:val="00693D75"/>
    <w:rsid w:val="00693DCD"/>
    <w:rsid w:val="00693E50"/>
    <w:rsid w:val="00694281"/>
    <w:rsid w:val="006942E1"/>
    <w:rsid w:val="00694575"/>
    <w:rsid w:val="0069458E"/>
    <w:rsid w:val="00694BB7"/>
    <w:rsid w:val="00694C04"/>
    <w:rsid w:val="00694C2F"/>
    <w:rsid w:val="0069505D"/>
    <w:rsid w:val="006950CB"/>
    <w:rsid w:val="0069531C"/>
    <w:rsid w:val="00695423"/>
    <w:rsid w:val="00695541"/>
    <w:rsid w:val="00695746"/>
    <w:rsid w:val="00695A34"/>
    <w:rsid w:val="00695D7E"/>
    <w:rsid w:val="00695D8B"/>
    <w:rsid w:val="00695D90"/>
    <w:rsid w:val="00695F20"/>
    <w:rsid w:val="006960CC"/>
    <w:rsid w:val="0069624F"/>
    <w:rsid w:val="00696479"/>
    <w:rsid w:val="0069649F"/>
    <w:rsid w:val="006965A0"/>
    <w:rsid w:val="006966E1"/>
    <w:rsid w:val="00696A71"/>
    <w:rsid w:val="00696B47"/>
    <w:rsid w:val="00696BC4"/>
    <w:rsid w:val="00696C97"/>
    <w:rsid w:val="00696D8B"/>
    <w:rsid w:val="00696EF7"/>
    <w:rsid w:val="00697199"/>
    <w:rsid w:val="006971C3"/>
    <w:rsid w:val="006971C6"/>
    <w:rsid w:val="0069731B"/>
    <w:rsid w:val="00697348"/>
    <w:rsid w:val="00697422"/>
    <w:rsid w:val="006978D2"/>
    <w:rsid w:val="006978EE"/>
    <w:rsid w:val="006979A6"/>
    <w:rsid w:val="00697BFC"/>
    <w:rsid w:val="00697C3F"/>
    <w:rsid w:val="00697EB6"/>
    <w:rsid w:val="00697ED9"/>
    <w:rsid w:val="006A01BB"/>
    <w:rsid w:val="006A01FB"/>
    <w:rsid w:val="006A02FC"/>
    <w:rsid w:val="006A030E"/>
    <w:rsid w:val="006A0356"/>
    <w:rsid w:val="006A0385"/>
    <w:rsid w:val="006A0395"/>
    <w:rsid w:val="006A0399"/>
    <w:rsid w:val="006A04AD"/>
    <w:rsid w:val="006A0551"/>
    <w:rsid w:val="006A05CC"/>
    <w:rsid w:val="006A0BB2"/>
    <w:rsid w:val="006A0C08"/>
    <w:rsid w:val="006A0C0E"/>
    <w:rsid w:val="006A0D2B"/>
    <w:rsid w:val="006A0D45"/>
    <w:rsid w:val="006A0EA6"/>
    <w:rsid w:val="006A0EE9"/>
    <w:rsid w:val="006A10B8"/>
    <w:rsid w:val="006A11BE"/>
    <w:rsid w:val="006A1231"/>
    <w:rsid w:val="006A1331"/>
    <w:rsid w:val="006A15AE"/>
    <w:rsid w:val="006A1785"/>
    <w:rsid w:val="006A17DB"/>
    <w:rsid w:val="006A190E"/>
    <w:rsid w:val="006A19F0"/>
    <w:rsid w:val="006A1C3E"/>
    <w:rsid w:val="006A1CC5"/>
    <w:rsid w:val="006A1CC9"/>
    <w:rsid w:val="006A1CEF"/>
    <w:rsid w:val="006A1D28"/>
    <w:rsid w:val="006A1E9A"/>
    <w:rsid w:val="006A1F4F"/>
    <w:rsid w:val="006A1F64"/>
    <w:rsid w:val="006A2278"/>
    <w:rsid w:val="006A22B0"/>
    <w:rsid w:val="006A22C9"/>
    <w:rsid w:val="006A23F8"/>
    <w:rsid w:val="006A2716"/>
    <w:rsid w:val="006A28C5"/>
    <w:rsid w:val="006A2906"/>
    <w:rsid w:val="006A293F"/>
    <w:rsid w:val="006A2A54"/>
    <w:rsid w:val="006A2BDD"/>
    <w:rsid w:val="006A2D79"/>
    <w:rsid w:val="006A2E08"/>
    <w:rsid w:val="006A3054"/>
    <w:rsid w:val="006A317F"/>
    <w:rsid w:val="006A3198"/>
    <w:rsid w:val="006A358E"/>
    <w:rsid w:val="006A3685"/>
    <w:rsid w:val="006A3776"/>
    <w:rsid w:val="006A383B"/>
    <w:rsid w:val="006A395F"/>
    <w:rsid w:val="006A39DB"/>
    <w:rsid w:val="006A3A80"/>
    <w:rsid w:val="006A3B74"/>
    <w:rsid w:val="006A3DC5"/>
    <w:rsid w:val="006A4186"/>
    <w:rsid w:val="006A428A"/>
    <w:rsid w:val="006A42F8"/>
    <w:rsid w:val="006A4475"/>
    <w:rsid w:val="006A4535"/>
    <w:rsid w:val="006A458E"/>
    <w:rsid w:val="006A48B7"/>
    <w:rsid w:val="006A49FD"/>
    <w:rsid w:val="006A4A49"/>
    <w:rsid w:val="006A4CF0"/>
    <w:rsid w:val="006A4D28"/>
    <w:rsid w:val="006A4E1F"/>
    <w:rsid w:val="006A5028"/>
    <w:rsid w:val="006A5040"/>
    <w:rsid w:val="006A52DD"/>
    <w:rsid w:val="006A5371"/>
    <w:rsid w:val="006A5432"/>
    <w:rsid w:val="006A5440"/>
    <w:rsid w:val="006A54E1"/>
    <w:rsid w:val="006A550F"/>
    <w:rsid w:val="006A554E"/>
    <w:rsid w:val="006A5792"/>
    <w:rsid w:val="006A58BE"/>
    <w:rsid w:val="006A59B7"/>
    <w:rsid w:val="006A5A7E"/>
    <w:rsid w:val="006A5A9B"/>
    <w:rsid w:val="006A5BB6"/>
    <w:rsid w:val="006A5CF6"/>
    <w:rsid w:val="006A5D4E"/>
    <w:rsid w:val="006A606C"/>
    <w:rsid w:val="006A60BE"/>
    <w:rsid w:val="006A60D2"/>
    <w:rsid w:val="006A62CD"/>
    <w:rsid w:val="006A66A0"/>
    <w:rsid w:val="006A69A3"/>
    <w:rsid w:val="006A69B7"/>
    <w:rsid w:val="006A6B3B"/>
    <w:rsid w:val="006A6B47"/>
    <w:rsid w:val="006A6BA8"/>
    <w:rsid w:val="006A6C2F"/>
    <w:rsid w:val="006A6C96"/>
    <w:rsid w:val="006A6EF2"/>
    <w:rsid w:val="006A6FAD"/>
    <w:rsid w:val="006A7162"/>
    <w:rsid w:val="006A723C"/>
    <w:rsid w:val="006A7276"/>
    <w:rsid w:val="006A7560"/>
    <w:rsid w:val="006A768D"/>
    <w:rsid w:val="006A77D5"/>
    <w:rsid w:val="006A785C"/>
    <w:rsid w:val="006A796B"/>
    <w:rsid w:val="006A796C"/>
    <w:rsid w:val="006A7C7D"/>
    <w:rsid w:val="006A7CB6"/>
    <w:rsid w:val="006A7D6D"/>
    <w:rsid w:val="006A7E5C"/>
    <w:rsid w:val="006A7F0B"/>
    <w:rsid w:val="006A7F7A"/>
    <w:rsid w:val="006B0033"/>
    <w:rsid w:val="006B0772"/>
    <w:rsid w:val="006B08E7"/>
    <w:rsid w:val="006B0AC7"/>
    <w:rsid w:val="006B0C0D"/>
    <w:rsid w:val="006B0D46"/>
    <w:rsid w:val="006B0EBC"/>
    <w:rsid w:val="006B102A"/>
    <w:rsid w:val="006B1273"/>
    <w:rsid w:val="006B132E"/>
    <w:rsid w:val="006B13E1"/>
    <w:rsid w:val="006B1482"/>
    <w:rsid w:val="006B165B"/>
    <w:rsid w:val="006B166C"/>
    <w:rsid w:val="006B1737"/>
    <w:rsid w:val="006B1787"/>
    <w:rsid w:val="006B190B"/>
    <w:rsid w:val="006B1946"/>
    <w:rsid w:val="006B19FF"/>
    <w:rsid w:val="006B1D0A"/>
    <w:rsid w:val="006B1F19"/>
    <w:rsid w:val="006B20DA"/>
    <w:rsid w:val="006B2202"/>
    <w:rsid w:val="006B2339"/>
    <w:rsid w:val="006B27C4"/>
    <w:rsid w:val="006B280D"/>
    <w:rsid w:val="006B2AB5"/>
    <w:rsid w:val="006B2B08"/>
    <w:rsid w:val="006B2B44"/>
    <w:rsid w:val="006B2BA1"/>
    <w:rsid w:val="006B2BF1"/>
    <w:rsid w:val="006B2CC0"/>
    <w:rsid w:val="006B2DAA"/>
    <w:rsid w:val="006B2DE6"/>
    <w:rsid w:val="006B2E5E"/>
    <w:rsid w:val="006B2F3B"/>
    <w:rsid w:val="006B305B"/>
    <w:rsid w:val="006B3136"/>
    <w:rsid w:val="006B3166"/>
    <w:rsid w:val="006B3293"/>
    <w:rsid w:val="006B32E0"/>
    <w:rsid w:val="006B338E"/>
    <w:rsid w:val="006B34F0"/>
    <w:rsid w:val="006B3629"/>
    <w:rsid w:val="006B39FB"/>
    <w:rsid w:val="006B3BAD"/>
    <w:rsid w:val="006B3FB5"/>
    <w:rsid w:val="006B418D"/>
    <w:rsid w:val="006B42F6"/>
    <w:rsid w:val="006B4338"/>
    <w:rsid w:val="006B43B5"/>
    <w:rsid w:val="006B44B3"/>
    <w:rsid w:val="006B4627"/>
    <w:rsid w:val="006B4685"/>
    <w:rsid w:val="006B475B"/>
    <w:rsid w:val="006B490F"/>
    <w:rsid w:val="006B49BA"/>
    <w:rsid w:val="006B49F4"/>
    <w:rsid w:val="006B4A80"/>
    <w:rsid w:val="006B4AB1"/>
    <w:rsid w:val="006B4BDC"/>
    <w:rsid w:val="006B4E75"/>
    <w:rsid w:val="006B4EB2"/>
    <w:rsid w:val="006B5306"/>
    <w:rsid w:val="006B53B2"/>
    <w:rsid w:val="006B5777"/>
    <w:rsid w:val="006B59C3"/>
    <w:rsid w:val="006B5A7C"/>
    <w:rsid w:val="006B5F6A"/>
    <w:rsid w:val="006B606F"/>
    <w:rsid w:val="006B607B"/>
    <w:rsid w:val="006B621E"/>
    <w:rsid w:val="006B62F5"/>
    <w:rsid w:val="006B64D3"/>
    <w:rsid w:val="006B65BF"/>
    <w:rsid w:val="006B66B9"/>
    <w:rsid w:val="006B6751"/>
    <w:rsid w:val="006B6831"/>
    <w:rsid w:val="006B68B2"/>
    <w:rsid w:val="006B6930"/>
    <w:rsid w:val="006B69E2"/>
    <w:rsid w:val="006B6AAD"/>
    <w:rsid w:val="006B6B89"/>
    <w:rsid w:val="006B6B8C"/>
    <w:rsid w:val="006B6CBE"/>
    <w:rsid w:val="006B6D9A"/>
    <w:rsid w:val="006B6E1B"/>
    <w:rsid w:val="006B6F27"/>
    <w:rsid w:val="006B7011"/>
    <w:rsid w:val="006B70D8"/>
    <w:rsid w:val="006B7640"/>
    <w:rsid w:val="006B7665"/>
    <w:rsid w:val="006B78B2"/>
    <w:rsid w:val="006B7A4D"/>
    <w:rsid w:val="006B7AA5"/>
    <w:rsid w:val="006B7CFD"/>
    <w:rsid w:val="006B7D43"/>
    <w:rsid w:val="006B7FA5"/>
    <w:rsid w:val="006BD94E"/>
    <w:rsid w:val="006C0268"/>
    <w:rsid w:val="006C029A"/>
    <w:rsid w:val="006C0372"/>
    <w:rsid w:val="006C0551"/>
    <w:rsid w:val="006C058E"/>
    <w:rsid w:val="006C087C"/>
    <w:rsid w:val="006C0903"/>
    <w:rsid w:val="006C0ADC"/>
    <w:rsid w:val="006C0AF0"/>
    <w:rsid w:val="006C0B45"/>
    <w:rsid w:val="006C0C33"/>
    <w:rsid w:val="006C0C65"/>
    <w:rsid w:val="006C0C73"/>
    <w:rsid w:val="006C1003"/>
    <w:rsid w:val="006C13EC"/>
    <w:rsid w:val="006C1552"/>
    <w:rsid w:val="006C187C"/>
    <w:rsid w:val="006C1970"/>
    <w:rsid w:val="006C1977"/>
    <w:rsid w:val="006C1996"/>
    <w:rsid w:val="006C19D0"/>
    <w:rsid w:val="006C1B40"/>
    <w:rsid w:val="006C1CEA"/>
    <w:rsid w:val="006C1D52"/>
    <w:rsid w:val="006C1E0B"/>
    <w:rsid w:val="006C212A"/>
    <w:rsid w:val="006C2259"/>
    <w:rsid w:val="006C2365"/>
    <w:rsid w:val="006C2536"/>
    <w:rsid w:val="006C274A"/>
    <w:rsid w:val="006C2762"/>
    <w:rsid w:val="006C29F1"/>
    <w:rsid w:val="006C29F3"/>
    <w:rsid w:val="006C2A26"/>
    <w:rsid w:val="006C2B3F"/>
    <w:rsid w:val="006C2B65"/>
    <w:rsid w:val="006C2CCB"/>
    <w:rsid w:val="006C2CD5"/>
    <w:rsid w:val="006C30C6"/>
    <w:rsid w:val="006C31AF"/>
    <w:rsid w:val="006C3277"/>
    <w:rsid w:val="006C35E2"/>
    <w:rsid w:val="006C3695"/>
    <w:rsid w:val="006C36C4"/>
    <w:rsid w:val="006C3793"/>
    <w:rsid w:val="006C38D9"/>
    <w:rsid w:val="006C393F"/>
    <w:rsid w:val="006C39C2"/>
    <w:rsid w:val="006C3B0D"/>
    <w:rsid w:val="006C3E3D"/>
    <w:rsid w:val="006C3F44"/>
    <w:rsid w:val="006C3FFC"/>
    <w:rsid w:val="006C42F5"/>
    <w:rsid w:val="006C4325"/>
    <w:rsid w:val="006C4414"/>
    <w:rsid w:val="006C44FB"/>
    <w:rsid w:val="006C48D2"/>
    <w:rsid w:val="006C4B09"/>
    <w:rsid w:val="006C4C42"/>
    <w:rsid w:val="006C4D04"/>
    <w:rsid w:val="006C4D85"/>
    <w:rsid w:val="006C4D8E"/>
    <w:rsid w:val="006C4E5F"/>
    <w:rsid w:val="006C4F3E"/>
    <w:rsid w:val="006C4FCA"/>
    <w:rsid w:val="006C54B8"/>
    <w:rsid w:val="006C5556"/>
    <w:rsid w:val="006C5666"/>
    <w:rsid w:val="006C56B2"/>
    <w:rsid w:val="006C5825"/>
    <w:rsid w:val="006C5878"/>
    <w:rsid w:val="006C59D1"/>
    <w:rsid w:val="006C5CF7"/>
    <w:rsid w:val="006C5D5B"/>
    <w:rsid w:val="006C5D9E"/>
    <w:rsid w:val="006C5EE2"/>
    <w:rsid w:val="006C5F3C"/>
    <w:rsid w:val="006C5F90"/>
    <w:rsid w:val="006C601B"/>
    <w:rsid w:val="006C614F"/>
    <w:rsid w:val="006C658E"/>
    <w:rsid w:val="006C65DF"/>
    <w:rsid w:val="006C665C"/>
    <w:rsid w:val="006C6854"/>
    <w:rsid w:val="006C6860"/>
    <w:rsid w:val="006C68C7"/>
    <w:rsid w:val="006C695F"/>
    <w:rsid w:val="006C6AD5"/>
    <w:rsid w:val="006C6B40"/>
    <w:rsid w:val="006C6D3C"/>
    <w:rsid w:val="006C6E92"/>
    <w:rsid w:val="006C6F34"/>
    <w:rsid w:val="006C7073"/>
    <w:rsid w:val="006C7197"/>
    <w:rsid w:val="006C72B4"/>
    <w:rsid w:val="006C72DA"/>
    <w:rsid w:val="006C7352"/>
    <w:rsid w:val="006C73FF"/>
    <w:rsid w:val="006C7734"/>
    <w:rsid w:val="006C7B65"/>
    <w:rsid w:val="006C7C57"/>
    <w:rsid w:val="006C7DFA"/>
    <w:rsid w:val="006D00F6"/>
    <w:rsid w:val="006D0330"/>
    <w:rsid w:val="006D03AF"/>
    <w:rsid w:val="006D03E4"/>
    <w:rsid w:val="006D0766"/>
    <w:rsid w:val="006D07EF"/>
    <w:rsid w:val="006D0AFF"/>
    <w:rsid w:val="006D0B5A"/>
    <w:rsid w:val="006D0BDB"/>
    <w:rsid w:val="006D0C3D"/>
    <w:rsid w:val="006D0CB1"/>
    <w:rsid w:val="006D0DF4"/>
    <w:rsid w:val="006D1093"/>
    <w:rsid w:val="006D1193"/>
    <w:rsid w:val="006D130C"/>
    <w:rsid w:val="006D133E"/>
    <w:rsid w:val="006D146E"/>
    <w:rsid w:val="006D16D3"/>
    <w:rsid w:val="006D1AFC"/>
    <w:rsid w:val="006D201D"/>
    <w:rsid w:val="006D20CB"/>
    <w:rsid w:val="006D2493"/>
    <w:rsid w:val="006D24DF"/>
    <w:rsid w:val="006D24FB"/>
    <w:rsid w:val="006D286C"/>
    <w:rsid w:val="006D28E5"/>
    <w:rsid w:val="006D295D"/>
    <w:rsid w:val="006D2ABA"/>
    <w:rsid w:val="006D2ABC"/>
    <w:rsid w:val="006D2B24"/>
    <w:rsid w:val="006D2B75"/>
    <w:rsid w:val="006D2BDB"/>
    <w:rsid w:val="006D2C17"/>
    <w:rsid w:val="006D2E63"/>
    <w:rsid w:val="006D2FD2"/>
    <w:rsid w:val="006D3078"/>
    <w:rsid w:val="006D340A"/>
    <w:rsid w:val="006D362B"/>
    <w:rsid w:val="006D3634"/>
    <w:rsid w:val="006D36D6"/>
    <w:rsid w:val="006D36E6"/>
    <w:rsid w:val="006D37DB"/>
    <w:rsid w:val="006D37F8"/>
    <w:rsid w:val="006D3823"/>
    <w:rsid w:val="006D3933"/>
    <w:rsid w:val="006D398E"/>
    <w:rsid w:val="006D3D27"/>
    <w:rsid w:val="006D3EDC"/>
    <w:rsid w:val="006D3F24"/>
    <w:rsid w:val="006D3FA0"/>
    <w:rsid w:val="006D3FA2"/>
    <w:rsid w:val="006D4066"/>
    <w:rsid w:val="006D417A"/>
    <w:rsid w:val="006D436C"/>
    <w:rsid w:val="006D43A3"/>
    <w:rsid w:val="006D441E"/>
    <w:rsid w:val="006D4715"/>
    <w:rsid w:val="006D49F9"/>
    <w:rsid w:val="006D4AEE"/>
    <w:rsid w:val="006D4CD4"/>
    <w:rsid w:val="006D504B"/>
    <w:rsid w:val="006D520D"/>
    <w:rsid w:val="006D5628"/>
    <w:rsid w:val="006D574E"/>
    <w:rsid w:val="006D5921"/>
    <w:rsid w:val="006D5942"/>
    <w:rsid w:val="006D5A82"/>
    <w:rsid w:val="006D5AC7"/>
    <w:rsid w:val="006D5DEE"/>
    <w:rsid w:val="006D5EE0"/>
    <w:rsid w:val="006D6064"/>
    <w:rsid w:val="006D60A1"/>
    <w:rsid w:val="006D61B4"/>
    <w:rsid w:val="006D61DA"/>
    <w:rsid w:val="006D61E2"/>
    <w:rsid w:val="006D61E5"/>
    <w:rsid w:val="006D6252"/>
    <w:rsid w:val="006D6325"/>
    <w:rsid w:val="006D6562"/>
    <w:rsid w:val="006D65FE"/>
    <w:rsid w:val="006D67DC"/>
    <w:rsid w:val="006D69EF"/>
    <w:rsid w:val="006D6AC3"/>
    <w:rsid w:val="006D6F15"/>
    <w:rsid w:val="006D7118"/>
    <w:rsid w:val="006D71B6"/>
    <w:rsid w:val="006D71DB"/>
    <w:rsid w:val="006D7215"/>
    <w:rsid w:val="006D73AE"/>
    <w:rsid w:val="006D73F2"/>
    <w:rsid w:val="006D74F3"/>
    <w:rsid w:val="006D7679"/>
    <w:rsid w:val="006D76DE"/>
    <w:rsid w:val="006D7717"/>
    <w:rsid w:val="006D7786"/>
    <w:rsid w:val="006D7859"/>
    <w:rsid w:val="006D787A"/>
    <w:rsid w:val="006D7938"/>
    <w:rsid w:val="006D7BC5"/>
    <w:rsid w:val="006D7C10"/>
    <w:rsid w:val="006D7C94"/>
    <w:rsid w:val="006D7C96"/>
    <w:rsid w:val="006D7CCF"/>
    <w:rsid w:val="006D7D04"/>
    <w:rsid w:val="006D7EB7"/>
    <w:rsid w:val="006D7ED4"/>
    <w:rsid w:val="006D7F6A"/>
    <w:rsid w:val="006E0133"/>
    <w:rsid w:val="006E01DD"/>
    <w:rsid w:val="006E039C"/>
    <w:rsid w:val="006E0496"/>
    <w:rsid w:val="006E079B"/>
    <w:rsid w:val="006E0A2D"/>
    <w:rsid w:val="006E0BB7"/>
    <w:rsid w:val="006E0BF6"/>
    <w:rsid w:val="006E0D58"/>
    <w:rsid w:val="006E0D62"/>
    <w:rsid w:val="006E0D76"/>
    <w:rsid w:val="006E11F3"/>
    <w:rsid w:val="006E1476"/>
    <w:rsid w:val="006E18D0"/>
    <w:rsid w:val="006E1A24"/>
    <w:rsid w:val="006E1A76"/>
    <w:rsid w:val="006E1C34"/>
    <w:rsid w:val="006E214D"/>
    <w:rsid w:val="006E22DB"/>
    <w:rsid w:val="006E2446"/>
    <w:rsid w:val="006E24A7"/>
    <w:rsid w:val="006E2723"/>
    <w:rsid w:val="006E27B9"/>
    <w:rsid w:val="006E2886"/>
    <w:rsid w:val="006E2BA6"/>
    <w:rsid w:val="006E2E6A"/>
    <w:rsid w:val="006E2F14"/>
    <w:rsid w:val="006E2F5C"/>
    <w:rsid w:val="006E3721"/>
    <w:rsid w:val="006E374E"/>
    <w:rsid w:val="006E3840"/>
    <w:rsid w:val="006E38D8"/>
    <w:rsid w:val="006E3B32"/>
    <w:rsid w:val="006E3D0D"/>
    <w:rsid w:val="006E3F2C"/>
    <w:rsid w:val="006E4059"/>
    <w:rsid w:val="006E407B"/>
    <w:rsid w:val="006E40D4"/>
    <w:rsid w:val="006E4108"/>
    <w:rsid w:val="006E42DD"/>
    <w:rsid w:val="006E4402"/>
    <w:rsid w:val="006E4701"/>
    <w:rsid w:val="006E47E4"/>
    <w:rsid w:val="006E4901"/>
    <w:rsid w:val="006E4C33"/>
    <w:rsid w:val="006E4EF3"/>
    <w:rsid w:val="006E4F3D"/>
    <w:rsid w:val="006E4F88"/>
    <w:rsid w:val="006E5462"/>
    <w:rsid w:val="006E557C"/>
    <w:rsid w:val="006E5590"/>
    <w:rsid w:val="006E5603"/>
    <w:rsid w:val="006E59F8"/>
    <w:rsid w:val="006E5CDA"/>
    <w:rsid w:val="006E5D18"/>
    <w:rsid w:val="006E5E97"/>
    <w:rsid w:val="006E5F45"/>
    <w:rsid w:val="006E5F6B"/>
    <w:rsid w:val="006E60BC"/>
    <w:rsid w:val="006E60EC"/>
    <w:rsid w:val="006E6178"/>
    <w:rsid w:val="006E623E"/>
    <w:rsid w:val="006E6584"/>
    <w:rsid w:val="006E65AE"/>
    <w:rsid w:val="006E65E2"/>
    <w:rsid w:val="006E669D"/>
    <w:rsid w:val="006E6784"/>
    <w:rsid w:val="006E68E0"/>
    <w:rsid w:val="006E6C8D"/>
    <w:rsid w:val="006E6E45"/>
    <w:rsid w:val="006E6EAD"/>
    <w:rsid w:val="006E7047"/>
    <w:rsid w:val="006E70AB"/>
    <w:rsid w:val="006E731B"/>
    <w:rsid w:val="006E732D"/>
    <w:rsid w:val="006E740A"/>
    <w:rsid w:val="006E76A9"/>
    <w:rsid w:val="006E76AA"/>
    <w:rsid w:val="006E7880"/>
    <w:rsid w:val="006E789E"/>
    <w:rsid w:val="006E7986"/>
    <w:rsid w:val="006E7A37"/>
    <w:rsid w:val="006E7CCD"/>
    <w:rsid w:val="006E7E29"/>
    <w:rsid w:val="006E7EF1"/>
    <w:rsid w:val="006E7F0A"/>
    <w:rsid w:val="006F00F7"/>
    <w:rsid w:val="006F0400"/>
    <w:rsid w:val="006F04F2"/>
    <w:rsid w:val="006F06A4"/>
    <w:rsid w:val="006F0740"/>
    <w:rsid w:val="006F082D"/>
    <w:rsid w:val="006F0879"/>
    <w:rsid w:val="006F0A7B"/>
    <w:rsid w:val="006F0B9B"/>
    <w:rsid w:val="006F0E3B"/>
    <w:rsid w:val="006F0F5C"/>
    <w:rsid w:val="006F0FFC"/>
    <w:rsid w:val="006F1207"/>
    <w:rsid w:val="006F1276"/>
    <w:rsid w:val="006F12A1"/>
    <w:rsid w:val="006F12ED"/>
    <w:rsid w:val="006F12FB"/>
    <w:rsid w:val="006F13F3"/>
    <w:rsid w:val="006F1667"/>
    <w:rsid w:val="006F179E"/>
    <w:rsid w:val="006F17E5"/>
    <w:rsid w:val="006F1908"/>
    <w:rsid w:val="006F1D64"/>
    <w:rsid w:val="006F1E17"/>
    <w:rsid w:val="006F1E57"/>
    <w:rsid w:val="006F1EF3"/>
    <w:rsid w:val="006F224E"/>
    <w:rsid w:val="006F2410"/>
    <w:rsid w:val="006F24C0"/>
    <w:rsid w:val="006F2605"/>
    <w:rsid w:val="006F265C"/>
    <w:rsid w:val="006F27C7"/>
    <w:rsid w:val="006F29F8"/>
    <w:rsid w:val="006F2B10"/>
    <w:rsid w:val="006F2B25"/>
    <w:rsid w:val="006F3014"/>
    <w:rsid w:val="006F31CF"/>
    <w:rsid w:val="006F3205"/>
    <w:rsid w:val="006F34DA"/>
    <w:rsid w:val="006F39CC"/>
    <w:rsid w:val="006F3AEC"/>
    <w:rsid w:val="006F3E26"/>
    <w:rsid w:val="006F3E61"/>
    <w:rsid w:val="006F3EF5"/>
    <w:rsid w:val="006F3F05"/>
    <w:rsid w:val="006F3F2D"/>
    <w:rsid w:val="006F4093"/>
    <w:rsid w:val="006F4099"/>
    <w:rsid w:val="006F4257"/>
    <w:rsid w:val="006F4342"/>
    <w:rsid w:val="006F4382"/>
    <w:rsid w:val="006F448E"/>
    <w:rsid w:val="006F4538"/>
    <w:rsid w:val="006F45E6"/>
    <w:rsid w:val="006F4627"/>
    <w:rsid w:val="006F4770"/>
    <w:rsid w:val="006F487E"/>
    <w:rsid w:val="006F4882"/>
    <w:rsid w:val="006F48A6"/>
    <w:rsid w:val="006F490A"/>
    <w:rsid w:val="006F4A39"/>
    <w:rsid w:val="006F4A6B"/>
    <w:rsid w:val="006F4B6F"/>
    <w:rsid w:val="006F4BC6"/>
    <w:rsid w:val="006F4E31"/>
    <w:rsid w:val="006F4E42"/>
    <w:rsid w:val="006F51A6"/>
    <w:rsid w:val="006F51EA"/>
    <w:rsid w:val="006F526A"/>
    <w:rsid w:val="006F532C"/>
    <w:rsid w:val="006F5403"/>
    <w:rsid w:val="006F5424"/>
    <w:rsid w:val="006F5430"/>
    <w:rsid w:val="006F56E4"/>
    <w:rsid w:val="006F5794"/>
    <w:rsid w:val="006F5953"/>
    <w:rsid w:val="006F5A32"/>
    <w:rsid w:val="006F5A70"/>
    <w:rsid w:val="006F5ABC"/>
    <w:rsid w:val="006F5AD9"/>
    <w:rsid w:val="006F5C52"/>
    <w:rsid w:val="006F5E65"/>
    <w:rsid w:val="006F5E9B"/>
    <w:rsid w:val="006F605A"/>
    <w:rsid w:val="006F620D"/>
    <w:rsid w:val="006F621D"/>
    <w:rsid w:val="006F646F"/>
    <w:rsid w:val="006F65FB"/>
    <w:rsid w:val="006F67BB"/>
    <w:rsid w:val="006F6879"/>
    <w:rsid w:val="006F6A73"/>
    <w:rsid w:val="006F6B6A"/>
    <w:rsid w:val="006F6BA7"/>
    <w:rsid w:val="006F6D35"/>
    <w:rsid w:val="006F6E8D"/>
    <w:rsid w:val="006F6FCE"/>
    <w:rsid w:val="006F6FD8"/>
    <w:rsid w:val="006F7055"/>
    <w:rsid w:val="006F7250"/>
    <w:rsid w:val="006F7633"/>
    <w:rsid w:val="006F76CB"/>
    <w:rsid w:val="006F7829"/>
    <w:rsid w:val="006F7C64"/>
    <w:rsid w:val="006F7FC4"/>
    <w:rsid w:val="006F7FF6"/>
    <w:rsid w:val="00700029"/>
    <w:rsid w:val="00700051"/>
    <w:rsid w:val="007000EB"/>
    <w:rsid w:val="007000EC"/>
    <w:rsid w:val="00700160"/>
    <w:rsid w:val="007001C2"/>
    <w:rsid w:val="0070025A"/>
    <w:rsid w:val="0070042F"/>
    <w:rsid w:val="0070050A"/>
    <w:rsid w:val="007005A6"/>
    <w:rsid w:val="00700658"/>
    <w:rsid w:val="0070066C"/>
    <w:rsid w:val="0070067E"/>
    <w:rsid w:val="00700699"/>
    <w:rsid w:val="00700722"/>
    <w:rsid w:val="00700779"/>
    <w:rsid w:val="007007B4"/>
    <w:rsid w:val="00700895"/>
    <w:rsid w:val="00700C0B"/>
    <w:rsid w:val="00700C2D"/>
    <w:rsid w:val="00700D03"/>
    <w:rsid w:val="00700D47"/>
    <w:rsid w:val="00700D94"/>
    <w:rsid w:val="00700E1A"/>
    <w:rsid w:val="007010B2"/>
    <w:rsid w:val="007010BF"/>
    <w:rsid w:val="00701269"/>
    <w:rsid w:val="00701310"/>
    <w:rsid w:val="00701331"/>
    <w:rsid w:val="007013D4"/>
    <w:rsid w:val="007013E1"/>
    <w:rsid w:val="007015AB"/>
    <w:rsid w:val="007016E4"/>
    <w:rsid w:val="00701723"/>
    <w:rsid w:val="00701724"/>
    <w:rsid w:val="00701991"/>
    <w:rsid w:val="00701A03"/>
    <w:rsid w:val="00701BAC"/>
    <w:rsid w:val="00701BC7"/>
    <w:rsid w:val="00701E2D"/>
    <w:rsid w:val="00701F62"/>
    <w:rsid w:val="0070214E"/>
    <w:rsid w:val="0070225A"/>
    <w:rsid w:val="007022AC"/>
    <w:rsid w:val="007022BF"/>
    <w:rsid w:val="0070258F"/>
    <w:rsid w:val="00702964"/>
    <w:rsid w:val="007029F3"/>
    <w:rsid w:val="00702B2F"/>
    <w:rsid w:val="00702BDD"/>
    <w:rsid w:val="00702C57"/>
    <w:rsid w:val="00702DFC"/>
    <w:rsid w:val="00702E39"/>
    <w:rsid w:val="00702E6D"/>
    <w:rsid w:val="00702E84"/>
    <w:rsid w:val="00702F8D"/>
    <w:rsid w:val="00702FC9"/>
    <w:rsid w:val="00703174"/>
    <w:rsid w:val="00703299"/>
    <w:rsid w:val="007033BB"/>
    <w:rsid w:val="0070347C"/>
    <w:rsid w:val="0070357C"/>
    <w:rsid w:val="00703931"/>
    <w:rsid w:val="00703957"/>
    <w:rsid w:val="007039EF"/>
    <w:rsid w:val="00703A26"/>
    <w:rsid w:val="00703FE0"/>
    <w:rsid w:val="0070403C"/>
    <w:rsid w:val="00704069"/>
    <w:rsid w:val="007040DB"/>
    <w:rsid w:val="0070413F"/>
    <w:rsid w:val="00704241"/>
    <w:rsid w:val="0070433F"/>
    <w:rsid w:val="007045E3"/>
    <w:rsid w:val="0070465B"/>
    <w:rsid w:val="00704948"/>
    <w:rsid w:val="00704970"/>
    <w:rsid w:val="00704B19"/>
    <w:rsid w:val="00704C12"/>
    <w:rsid w:val="00704D0A"/>
    <w:rsid w:val="00704D8F"/>
    <w:rsid w:val="00704D9A"/>
    <w:rsid w:val="00704F82"/>
    <w:rsid w:val="007050F1"/>
    <w:rsid w:val="00705363"/>
    <w:rsid w:val="007054C7"/>
    <w:rsid w:val="00705539"/>
    <w:rsid w:val="007057A1"/>
    <w:rsid w:val="00705915"/>
    <w:rsid w:val="00705995"/>
    <w:rsid w:val="00705C4F"/>
    <w:rsid w:val="00705CED"/>
    <w:rsid w:val="00705D22"/>
    <w:rsid w:val="00705DF5"/>
    <w:rsid w:val="00705F00"/>
    <w:rsid w:val="00705F88"/>
    <w:rsid w:val="007065BE"/>
    <w:rsid w:val="00706734"/>
    <w:rsid w:val="0070690C"/>
    <w:rsid w:val="00706BAF"/>
    <w:rsid w:val="00706C40"/>
    <w:rsid w:val="00706C92"/>
    <w:rsid w:val="00706D28"/>
    <w:rsid w:val="00706D4A"/>
    <w:rsid w:val="00706E04"/>
    <w:rsid w:val="00706F13"/>
    <w:rsid w:val="00706FEB"/>
    <w:rsid w:val="00707056"/>
    <w:rsid w:val="007070CA"/>
    <w:rsid w:val="007070E8"/>
    <w:rsid w:val="0070714D"/>
    <w:rsid w:val="00707174"/>
    <w:rsid w:val="0070719D"/>
    <w:rsid w:val="0070747E"/>
    <w:rsid w:val="00707502"/>
    <w:rsid w:val="00707516"/>
    <w:rsid w:val="00707B74"/>
    <w:rsid w:val="00707BBD"/>
    <w:rsid w:val="00707C22"/>
    <w:rsid w:val="00707C44"/>
    <w:rsid w:val="00707C74"/>
    <w:rsid w:val="00707D6B"/>
    <w:rsid w:val="00707EEE"/>
    <w:rsid w:val="0071001D"/>
    <w:rsid w:val="00710069"/>
    <w:rsid w:val="00710136"/>
    <w:rsid w:val="007101B4"/>
    <w:rsid w:val="0071026C"/>
    <w:rsid w:val="00710305"/>
    <w:rsid w:val="007104AD"/>
    <w:rsid w:val="00710521"/>
    <w:rsid w:val="007107F1"/>
    <w:rsid w:val="0071084D"/>
    <w:rsid w:val="007108CB"/>
    <w:rsid w:val="00710934"/>
    <w:rsid w:val="0071094C"/>
    <w:rsid w:val="007109F4"/>
    <w:rsid w:val="00710B34"/>
    <w:rsid w:val="00710D76"/>
    <w:rsid w:val="0071102E"/>
    <w:rsid w:val="0071103A"/>
    <w:rsid w:val="007110B9"/>
    <w:rsid w:val="007113FA"/>
    <w:rsid w:val="007114C3"/>
    <w:rsid w:val="00711557"/>
    <w:rsid w:val="00711602"/>
    <w:rsid w:val="00711693"/>
    <w:rsid w:val="00711992"/>
    <w:rsid w:val="00711B6B"/>
    <w:rsid w:val="00711B8D"/>
    <w:rsid w:val="0071246B"/>
    <w:rsid w:val="007124A1"/>
    <w:rsid w:val="0071262E"/>
    <w:rsid w:val="007127F0"/>
    <w:rsid w:val="00712B14"/>
    <w:rsid w:val="00712B34"/>
    <w:rsid w:val="00712C93"/>
    <w:rsid w:val="00712D00"/>
    <w:rsid w:val="00712E01"/>
    <w:rsid w:val="00712E6E"/>
    <w:rsid w:val="00712E88"/>
    <w:rsid w:val="00712FBD"/>
    <w:rsid w:val="00712FEA"/>
    <w:rsid w:val="007130FE"/>
    <w:rsid w:val="007131E5"/>
    <w:rsid w:val="007131F9"/>
    <w:rsid w:val="0071321F"/>
    <w:rsid w:val="0071322C"/>
    <w:rsid w:val="00713316"/>
    <w:rsid w:val="00713454"/>
    <w:rsid w:val="007134A4"/>
    <w:rsid w:val="007135CA"/>
    <w:rsid w:val="007135CE"/>
    <w:rsid w:val="0071360F"/>
    <w:rsid w:val="00713775"/>
    <w:rsid w:val="007137AD"/>
    <w:rsid w:val="00713894"/>
    <w:rsid w:val="00713970"/>
    <w:rsid w:val="007139B9"/>
    <w:rsid w:val="00713A91"/>
    <w:rsid w:val="00713CEA"/>
    <w:rsid w:val="007141F0"/>
    <w:rsid w:val="007143F9"/>
    <w:rsid w:val="00714406"/>
    <w:rsid w:val="00714624"/>
    <w:rsid w:val="00714950"/>
    <w:rsid w:val="00714AA8"/>
    <w:rsid w:val="00714FC7"/>
    <w:rsid w:val="007151F9"/>
    <w:rsid w:val="0071525B"/>
    <w:rsid w:val="00715393"/>
    <w:rsid w:val="0071545F"/>
    <w:rsid w:val="00715475"/>
    <w:rsid w:val="0071549A"/>
    <w:rsid w:val="00715591"/>
    <w:rsid w:val="00715711"/>
    <w:rsid w:val="0071571E"/>
    <w:rsid w:val="0071585E"/>
    <w:rsid w:val="00715ADF"/>
    <w:rsid w:val="00715CF8"/>
    <w:rsid w:val="00715DF5"/>
    <w:rsid w:val="00715EB6"/>
    <w:rsid w:val="00715F64"/>
    <w:rsid w:val="00715FD0"/>
    <w:rsid w:val="007160EC"/>
    <w:rsid w:val="00716145"/>
    <w:rsid w:val="007162BC"/>
    <w:rsid w:val="0071631A"/>
    <w:rsid w:val="00716326"/>
    <w:rsid w:val="00716568"/>
    <w:rsid w:val="007166A5"/>
    <w:rsid w:val="007167D4"/>
    <w:rsid w:val="007168B4"/>
    <w:rsid w:val="00716AE2"/>
    <w:rsid w:val="00716B72"/>
    <w:rsid w:val="00716BB8"/>
    <w:rsid w:val="00716D79"/>
    <w:rsid w:val="00716DEC"/>
    <w:rsid w:val="00716F63"/>
    <w:rsid w:val="00716F8B"/>
    <w:rsid w:val="00716FC8"/>
    <w:rsid w:val="00716FDF"/>
    <w:rsid w:val="0071709F"/>
    <w:rsid w:val="00717179"/>
    <w:rsid w:val="00717184"/>
    <w:rsid w:val="007173B7"/>
    <w:rsid w:val="00717515"/>
    <w:rsid w:val="0071762F"/>
    <w:rsid w:val="00717703"/>
    <w:rsid w:val="0071779E"/>
    <w:rsid w:val="007179F0"/>
    <w:rsid w:val="00717A3C"/>
    <w:rsid w:val="00717BB9"/>
    <w:rsid w:val="00717BE2"/>
    <w:rsid w:val="00717CCA"/>
    <w:rsid w:val="007201BB"/>
    <w:rsid w:val="00720214"/>
    <w:rsid w:val="00720226"/>
    <w:rsid w:val="00720337"/>
    <w:rsid w:val="00720477"/>
    <w:rsid w:val="007204CF"/>
    <w:rsid w:val="00720512"/>
    <w:rsid w:val="0072062D"/>
    <w:rsid w:val="00720648"/>
    <w:rsid w:val="0072068E"/>
    <w:rsid w:val="007206E3"/>
    <w:rsid w:val="00720708"/>
    <w:rsid w:val="00720768"/>
    <w:rsid w:val="00720D96"/>
    <w:rsid w:val="00720DF5"/>
    <w:rsid w:val="00720ED5"/>
    <w:rsid w:val="00720EEB"/>
    <w:rsid w:val="00721354"/>
    <w:rsid w:val="00721395"/>
    <w:rsid w:val="007213D0"/>
    <w:rsid w:val="007213E1"/>
    <w:rsid w:val="0072162E"/>
    <w:rsid w:val="0072169A"/>
    <w:rsid w:val="007218E7"/>
    <w:rsid w:val="00721B96"/>
    <w:rsid w:val="00721D80"/>
    <w:rsid w:val="00721DDF"/>
    <w:rsid w:val="00721F81"/>
    <w:rsid w:val="0072214F"/>
    <w:rsid w:val="00722187"/>
    <w:rsid w:val="007226B1"/>
    <w:rsid w:val="0072276D"/>
    <w:rsid w:val="007229A7"/>
    <w:rsid w:val="00722B68"/>
    <w:rsid w:val="00722E36"/>
    <w:rsid w:val="00722E54"/>
    <w:rsid w:val="00722E9F"/>
    <w:rsid w:val="00722FBF"/>
    <w:rsid w:val="00723096"/>
    <w:rsid w:val="007230B2"/>
    <w:rsid w:val="007233DA"/>
    <w:rsid w:val="007234A5"/>
    <w:rsid w:val="00723680"/>
    <w:rsid w:val="0072368C"/>
    <w:rsid w:val="00723928"/>
    <w:rsid w:val="00723978"/>
    <w:rsid w:val="007239ED"/>
    <w:rsid w:val="00723AF4"/>
    <w:rsid w:val="00723DD6"/>
    <w:rsid w:val="00723E32"/>
    <w:rsid w:val="00723ECE"/>
    <w:rsid w:val="00723F9D"/>
    <w:rsid w:val="00723F9E"/>
    <w:rsid w:val="00723FF5"/>
    <w:rsid w:val="007242B8"/>
    <w:rsid w:val="00724563"/>
    <w:rsid w:val="00724831"/>
    <w:rsid w:val="00724983"/>
    <w:rsid w:val="00724A84"/>
    <w:rsid w:val="00724AC6"/>
    <w:rsid w:val="00724B1D"/>
    <w:rsid w:val="00724B24"/>
    <w:rsid w:val="00724B64"/>
    <w:rsid w:val="00724BB4"/>
    <w:rsid w:val="00724D32"/>
    <w:rsid w:val="00724E9F"/>
    <w:rsid w:val="00724F5B"/>
    <w:rsid w:val="00725100"/>
    <w:rsid w:val="0072515F"/>
    <w:rsid w:val="007252A9"/>
    <w:rsid w:val="0072548D"/>
    <w:rsid w:val="00725531"/>
    <w:rsid w:val="0072567F"/>
    <w:rsid w:val="007258BA"/>
    <w:rsid w:val="00725995"/>
    <w:rsid w:val="00725A05"/>
    <w:rsid w:val="00725B60"/>
    <w:rsid w:val="00725D1E"/>
    <w:rsid w:val="00725D93"/>
    <w:rsid w:val="00725E36"/>
    <w:rsid w:val="00725EA4"/>
    <w:rsid w:val="00725F53"/>
    <w:rsid w:val="00725FE3"/>
    <w:rsid w:val="00726322"/>
    <w:rsid w:val="0072639A"/>
    <w:rsid w:val="007263FA"/>
    <w:rsid w:val="00726425"/>
    <w:rsid w:val="00726692"/>
    <w:rsid w:val="00726751"/>
    <w:rsid w:val="00726A68"/>
    <w:rsid w:val="00726A96"/>
    <w:rsid w:val="00726B6A"/>
    <w:rsid w:val="00726D25"/>
    <w:rsid w:val="00726D55"/>
    <w:rsid w:val="00726DA9"/>
    <w:rsid w:val="00727089"/>
    <w:rsid w:val="00727350"/>
    <w:rsid w:val="007275CE"/>
    <w:rsid w:val="00727613"/>
    <w:rsid w:val="00727654"/>
    <w:rsid w:val="007276C8"/>
    <w:rsid w:val="007279F7"/>
    <w:rsid w:val="00727A69"/>
    <w:rsid w:val="00727BAF"/>
    <w:rsid w:val="00727D3F"/>
    <w:rsid w:val="00727FAA"/>
    <w:rsid w:val="0073005C"/>
    <w:rsid w:val="00730353"/>
    <w:rsid w:val="007303D9"/>
    <w:rsid w:val="00730537"/>
    <w:rsid w:val="0073068D"/>
    <w:rsid w:val="00730721"/>
    <w:rsid w:val="007308F8"/>
    <w:rsid w:val="0073091A"/>
    <w:rsid w:val="00730B9D"/>
    <w:rsid w:val="00730BA1"/>
    <w:rsid w:val="00730CB2"/>
    <w:rsid w:val="00730E72"/>
    <w:rsid w:val="00730EEF"/>
    <w:rsid w:val="00730F5B"/>
    <w:rsid w:val="007310CF"/>
    <w:rsid w:val="007310D3"/>
    <w:rsid w:val="00731293"/>
    <w:rsid w:val="00731518"/>
    <w:rsid w:val="00731630"/>
    <w:rsid w:val="00731637"/>
    <w:rsid w:val="007317A6"/>
    <w:rsid w:val="0073188A"/>
    <w:rsid w:val="007319D5"/>
    <w:rsid w:val="00731A6E"/>
    <w:rsid w:val="00731B64"/>
    <w:rsid w:val="00731B79"/>
    <w:rsid w:val="00731C2B"/>
    <w:rsid w:val="00731DE0"/>
    <w:rsid w:val="00731DE8"/>
    <w:rsid w:val="00731DEE"/>
    <w:rsid w:val="00731E1E"/>
    <w:rsid w:val="00731F78"/>
    <w:rsid w:val="00732030"/>
    <w:rsid w:val="00732114"/>
    <w:rsid w:val="00732426"/>
    <w:rsid w:val="0073251A"/>
    <w:rsid w:val="00732864"/>
    <w:rsid w:val="007328C5"/>
    <w:rsid w:val="00732AD5"/>
    <w:rsid w:val="00732C13"/>
    <w:rsid w:val="00732D2A"/>
    <w:rsid w:val="007334E3"/>
    <w:rsid w:val="00733701"/>
    <w:rsid w:val="00733A61"/>
    <w:rsid w:val="00733ADC"/>
    <w:rsid w:val="00733BC9"/>
    <w:rsid w:val="00733D27"/>
    <w:rsid w:val="00733E6C"/>
    <w:rsid w:val="00733FB4"/>
    <w:rsid w:val="00734002"/>
    <w:rsid w:val="007340E1"/>
    <w:rsid w:val="00734543"/>
    <w:rsid w:val="0073454E"/>
    <w:rsid w:val="00734583"/>
    <w:rsid w:val="007346D0"/>
    <w:rsid w:val="00734701"/>
    <w:rsid w:val="00734734"/>
    <w:rsid w:val="0073488C"/>
    <w:rsid w:val="007348AB"/>
    <w:rsid w:val="00734936"/>
    <w:rsid w:val="0073499E"/>
    <w:rsid w:val="00734AA8"/>
    <w:rsid w:val="00734BAC"/>
    <w:rsid w:val="00734C2B"/>
    <w:rsid w:val="00734DC2"/>
    <w:rsid w:val="00734EE3"/>
    <w:rsid w:val="00734FAD"/>
    <w:rsid w:val="007353A6"/>
    <w:rsid w:val="0073546B"/>
    <w:rsid w:val="00735477"/>
    <w:rsid w:val="007354D0"/>
    <w:rsid w:val="007354FC"/>
    <w:rsid w:val="007356F4"/>
    <w:rsid w:val="00735740"/>
    <w:rsid w:val="007357EE"/>
    <w:rsid w:val="00735821"/>
    <w:rsid w:val="007358C1"/>
    <w:rsid w:val="007358EC"/>
    <w:rsid w:val="00735942"/>
    <w:rsid w:val="007359D2"/>
    <w:rsid w:val="00735AA3"/>
    <w:rsid w:val="00735C6D"/>
    <w:rsid w:val="00735EF8"/>
    <w:rsid w:val="00735FD4"/>
    <w:rsid w:val="0073600F"/>
    <w:rsid w:val="00736290"/>
    <w:rsid w:val="007364A4"/>
    <w:rsid w:val="00736661"/>
    <w:rsid w:val="00736718"/>
    <w:rsid w:val="00736782"/>
    <w:rsid w:val="007367A1"/>
    <w:rsid w:val="00736A25"/>
    <w:rsid w:val="00736A35"/>
    <w:rsid w:val="00736A3F"/>
    <w:rsid w:val="00736CF3"/>
    <w:rsid w:val="00737171"/>
    <w:rsid w:val="007371E5"/>
    <w:rsid w:val="00737304"/>
    <w:rsid w:val="0073745F"/>
    <w:rsid w:val="00737534"/>
    <w:rsid w:val="00737A46"/>
    <w:rsid w:val="00737D87"/>
    <w:rsid w:val="007400E0"/>
    <w:rsid w:val="00740124"/>
    <w:rsid w:val="00740158"/>
    <w:rsid w:val="00740179"/>
    <w:rsid w:val="007404E2"/>
    <w:rsid w:val="00740778"/>
    <w:rsid w:val="00740961"/>
    <w:rsid w:val="00740BB0"/>
    <w:rsid w:val="00740C43"/>
    <w:rsid w:val="00740C54"/>
    <w:rsid w:val="00740CB6"/>
    <w:rsid w:val="00740E19"/>
    <w:rsid w:val="00740E45"/>
    <w:rsid w:val="00740EAB"/>
    <w:rsid w:val="00740F22"/>
    <w:rsid w:val="007410F0"/>
    <w:rsid w:val="0074116A"/>
    <w:rsid w:val="0074126E"/>
    <w:rsid w:val="0074157D"/>
    <w:rsid w:val="007415D2"/>
    <w:rsid w:val="0074164B"/>
    <w:rsid w:val="00741684"/>
    <w:rsid w:val="0074172D"/>
    <w:rsid w:val="007417DB"/>
    <w:rsid w:val="00741889"/>
    <w:rsid w:val="00741AD9"/>
    <w:rsid w:val="00741DF1"/>
    <w:rsid w:val="00741E38"/>
    <w:rsid w:val="00741EEA"/>
    <w:rsid w:val="00741F54"/>
    <w:rsid w:val="00742171"/>
    <w:rsid w:val="0074241F"/>
    <w:rsid w:val="00742430"/>
    <w:rsid w:val="007425BB"/>
    <w:rsid w:val="00742663"/>
    <w:rsid w:val="00742889"/>
    <w:rsid w:val="007428E9"/>
    <w:rsid w:val="00742ABC"/>
    <w:rsid w:val="00742B4A"/>
    <w:rsid w:val="00742CFE"/>
    <w:rsid w:val="00742E18"/>
    <w:rsid w:val="00742E44"/>
    <w:rsid w:val="00742E83"/>
    <w:rsid w:val="0074310A"/>
    <w:rsid w:val="007431BE"/>
    <w:rsid w:val="007432E1"/>
    <w:rsid w:val="00743421"/>
    <w:rsid w:val="00743578"/>
    <w:rsid w:val="007436FD"/>
    <w:rsid w:val="00743792"/>
    <w:rsid w:val="00743795"/>
    <w:rsid w:val="007437F6"/>
    <w:rsid w:val="0074384B"/>
    <w:rsid w:val="00743884"/>
    <w:rsid w:val="007438AD"/>
    <w:rsid w:val="00743B03"/>
    <w:rsid w:val="00743B6D"/>
    <w:rsid w:val="00743C87"/>
    <w:rsid w:val="00743CE2"/>
    <w:rsid w:val="00743CFC"/>
    <w:rsid w:val="00743D1B"/>
    <w:rsid w:val="00743EF6"/>
    <w:rsid w:val="007443F2"/>
    <w:rsid w:val="0074447F"/>
    <w:rsid w:val="007444CD"/>
    <w:rsid w:val="007445B0"/>
    <w:rsid w:val="00744A22"/>
    <w:rsid w:val="00744B71"/>
    <w:rsid w:val="00744D50"/>
    <w:rsid w:val="00744DA3"/>
    <w:rsid w:val="00744DAB"/>
    <w:rsid w:val="00744E35"/>
    <w:rsid w:val="00745090"/>
    <w:rsid w:val="0074523B"/>
    <w:rsid w:val="00745290"/>
    <w:rsid w:val="007453ED"/>
    <w:rsid w:val="00745814"/>
    <w:rsid w:val="00745851"/>
    <w:rsid w:val="00745882"/>
    <w:rsid w:val="0074592E"/>
    <w:rsid w:val="00745A59"/>
    <w:rsid w:val="00745B67"/>
    <w:rsid w:val="00745CD3"/>
    <w:rsid w:val="00746062"/>
    <w:rsid w:val="00746345"/>
    <w:rsid w:val="00746380"/>
    <w:rsid w:val="00746402"/>
    <w:rsid w:val="007465A2"/>
    <w:rsid w:val="007465BA"/>
    <w:rsid w:val="007466A0"/>
    <w:rsid w:val="00746818"/>
    <w:rsid w:val="00746840"/>
    <w:rsid w:val="0074697C"/>
    <w:rsid w:val="00746CF4"/>
    <w:rsid w:val="00747010"/>
    <w:rsid w:val="00747017"/>
    <w:rsid w:val="007470EF"/>
    <w:rsid w:val="007472EB"/>
    <w:rsid w:val="007473B8"/>
    <w:rsid w:val="007474CD"/>
    <w:rsid w:val="0074765E"/>
    <w:rsid w:val="007476B3"/>
    <w:rsid w:val="007476CE"/>
    <w:rsid w:val="00747729"/>
    <w:rsid w:val="007477C1"/>
    <w:rsid w:val="00747829"/>
    <w:rsid w:val="0074783F"/>
    <w:rsid w:val="007478BC"/>
    <w:rsid w:val="00747A80"/>
    <w:rsid w:val="00747B48"/>
    <w:rsid w:val="00747D63"/>
    <w:rsid w:val="00747F06"/>
    <w:rsid w:val="00750224"/>
    <w:rsid w:val="007502B1"/>
    <w:rsid w:val="007502C4"/>
    <w:rsid w:val="0075035E"/>
    <w:rsid w:val="0075050A"/>
    <w:rsid w:val="007508F9"/>
    <w:rsid w:val="007508FA"/>
    <w:rsid w:val="00750B25"/>
    <w:rsid w:val="00750D7F"/>
    <w:rsid w:val="00750DC1"/>
    <w:rsid w:val="00750DDB"/>
    <w:rsid w:val="00750DE9"/>
    <w:rsid w:val="00750E2A"/>
    <w:rsid w:val="00750EC8"/>
    <w:rsid w:val="00751034"/>
    <w:rsid w:val="007511AE"/>
    <w:rsid w:val="00751230"/>
    <w:rsid w:val="00751321"/>
    <w:rsid w:val="00751572"/>
    <w:rsid w:val="0075170B"/>
    <w:rsid w:val="007517BA"/>
    <w:rsid w:val="00751A58"/>
    <w:rsid w:val="00751AF8"/>
    <w:rsid w:val="00751E82"/>
    <w:rsid w:val="00751E98"/>
    <w:rsid w:val="00751EDB"/>
    <w:rsid w:val="00751F3B"/>
    <w:rsid w:val="00752733"/>
    <w:rsid w:val="00752788"/>
    <w:rsid w:val="0075297C"/>
    <w:rsid w:val="00752BC1"/>
    <w:rsid w:val="00752D06"/>
    <w:rsid w:val="00752D8F"/>
    <w:rsid w:val="00752E7F"/>
    <w:rsid w:val="00752E9E"/>
    <w:rsid w:val="0075319E"/>
    <w:rsid w:val="00753208"/>
    <w:rsid w:val="0075333A"/>
    <w:rsid w:val="00753424"/>
    <w:rsid w:val="007534F7"/>
    <w:rsid w:val="00753557"/>
    <w:rsid w:val="00753871"/>
    <w:rsid w:val="007538D0"/>
    <w:rsid w:val="00753AFC"/>
    <w:rsid w:val="00753B46"/>
    <w:rsid w:val="00753BF1"/>
    <w:rsid w:val="00753C46"/>
    <w:rsid w:val="00753C5A"/>
    <w:rsid w:val="00753DD0"/>
    <w:rsid w:val="00753E88"/>
    <w:rsid w:val="00753E8F"/>
    <w:rsid w:val="00753F18"/>
    <w:rsid w:val="00753F57"/>
    <w:rsid w:val="00753FE7"/>
    <w:rsid w:val="007542DE"/>
    <w:rsid w:val="0075436B"/>
    <w:rsid w:val="007543CB"/>
    <w:rsid w:val="00754460"/>
    <w:rsid w:val="007544F8"/>
    <w:rsid w:val="00754895"/>
    <w:rsid w:val="007548C2"/>
    <w:rsid w:val="00754B7B"/>
    <w:rsid w:val="00754D52"/>
    <w:rsid w:val="00754D81"/>
    <w:rsid w:val="00754E7B"/>
    <w:rsid w:val="00754F64"/>
    <w:rsid w:val="0075506F"/>
    <w:rsid w:val="007550F6"/>
    <w:rsid w:val="0075517C"/>
    <w:rsid w:val="00755213"/>
    <w:rsid w:val="0075550A"/>
    <w:rsid w:val="0075559C"/>
    <w:rsid w:val="0075578F"/>
    <w:rsid w:val="00755840"/>
    <w:rsid w:val="007558E5"/>
    <w:rsid w:val="00755A44"/>
    <w:rsid w:val="00755A95"/>
    <w:rsid w:val="00755ACF"/>
    <w:rsid w:val="00755B64"/>
    <w:rsid w:val="00755C7C"/>
    <w:rsid w:val="00755EC1"/>
    <w:rsid w:val="00755EF8"/>
    <w:rsid w:val="00756021"/>
    <w:rsid w:val="0075609E"/>
    <w:rsid w:val="007560E4"/>
    <w:rsid w:val="00756349"/>
    <w:rsid w:val="007564F8"/>
    <w:rsid w:val="007565AB"/>
    <w:rsid w:val="00756811"/>
    <w:rsid w:val="00756871"/>
    <w:rsid w:val="0075690E"/>
    <w:rsid w:val="00756B44"/>
    <w:rsid w:val="00756B57"/>
    <w:rsid w:val="00756BC9"/>
    <w:rsid w:val="00756C58"/>
    <w:rsid w:val="00756DA5"/>
    <w:rsid w:val="00756DCF"/>
    <w:rsid w:val="00756DFE"/>
    <w:rsid w:val="00756E36"/>
    <w:rsid w:val="00757081"/>
    <w:rsid w:val="007571D6"/>
    <w:rsid w:val="007572E3"/>
    <w:rsid w:val="00757461"/>
    <w:rsid w:val="0075753D"/>
    <w:rsid w:val="007577A6"/>
    <w:rsid w:val="007577E0"/>
    <w:rsid w:val="00757833"/>
    <w:rsid w:val="00757840"/>
    <w:rsid w:val="007578B8"/>
    <w:rsid w:val="007578CD"/>
    <w:rsid w:val="0075795F"/>
    <w:rsid w:val="00757A0D"/>
    <w:rsid w:val="00757B5A"/>
    <w:rsid w:val="00757DE9"/>
    <w:rsid w:val="00757F30"/>
    <w:rsid w:val="00757F31"/>
    <w:rsid w:val="007600CD"/>
    <w:rsid w:val="007601B6"/>
    <w:rsid w:val="0076021D"/>
    <w:rsid w:val="007602B0"/>
    <w:rsid w:val="007604FC"/>
    <w:rsid w:val="007609EB"/>
    <w:rsid w:val="00760B90"/>
    <w:rsid w:val="00760C5B"/>
    <w:rsid w:val="00760F62"/>
    <w:rsid w:val="007610B2"/>
    <w:rsid w:val="007611D7"/>
    <w:rsid w:val="007614C8"/>
    <w:rsid w:val="00761739"/>
    <w:rsid w:val="0076174D"/>
    <w:rsid w:val="007618BB"/>
    <w:rsid w:val="0076197F"/>
    <w:rsid w:val="00761AC4"/>
    <w:rsid w:val="00761C7A"/>
    <w:rsid w:val="00761DA4"/>
    <w:rsid w:val="00761E9A"/>
    <w:rsid w:val="00761F17"/>
    <w:rsid w:val="00762238"/>
    <w:rsid w:val="00762693"/>
    <w:rsid w:val="007626C9"/>
    <w:rsid w:val="007626EA"/>
    <w:rsid w:val="00762740"/>
    <w:rsid w:val="00762924"/>
    <w:rsid w:val="007629BF"/>
    <w:rsid w:val="00762C0B"/>
    <w:rsid w:val="00762C43"/>
    <w:rsid w:val="00762CBA"/>
    <w:rsid w:val="00762D19"/>
    <w:rsid w:val="00762D27"/>
    <w:rsid w:val="00762D89"/>
    <w:rsid w:val="00762EAB"/>
    <w:rsid w:val="00763038"/>
    <w:rsid w:val="00763128"/>
    <w:rsid w:val="00763140"/>
    <w:rsid w:val="0076317A"/>
    <w:rsid w:val="007631C8"/>
    <w:rsid w:val="0076353E"/>
    <w:rsid w:val="0076357C"/>
    <w:rsid w:val="0076395D"/>
    <w:rsid w:val="00763A0B"/>
    <w:rsid w:val="00763B4C"/>
    <w:rsid w:val="00763C29"/>
    <w:rsid w:val="00763DF8"/>
    <w:rsid w:val="00763ED8"/>
    <w:rsid w:val="00763EE2"/>
    <w:rsid w:val="00763F3F"/>
    <w:rsid w:val="0076404C"/>
    <w:rsid w:val="00764052"/>
    <w:rsid w:val="0076433E"/>
    <w:rsid w:val="007644B8"/>
    <w:rsid w:val="00764545"/>
    <w:rsid w:val="0076466C"/>
    <w:rsid w:val="0076482D"/>
    <w:rsid w:val="00764924"/>
    <w:rsid w:val="00764CFB"/>
    <w:rsid w:val="00764DBB"/>
    <w:rsid w:val="00764DE5"/>
    <w:rsid w:val="007650CC"/>
    <w:rsid w:val="0076552F"/>
    <w:rsid w:val="0076561C"/>
    <w:rsid w:val="007657F4"/>
    <w:rsid w:val="00765B10"/>
    <w:rsid w:val="00765C09"/>
    <w:rsid w:val="00765CB1"/>
    <w:rsid w:val="00765EB5"/>
    <w:rsid w:val="0076615B"/>
    <w:rsid w:val="00766268"/>
    <w:rsid w:val="00766375"/>
    <w:rsid w:val="007663CA"/>
    <w:rsid w:val="00766420"/>
    <w:rsid w:val="00766470"/>
    <w:rsid w:val="007664B6"/>
    <w:rsid w:val="00766762"/>
    <w:rsid w:val="007667A3"/>
    <w:rsid w:val="00766831"/>
    <w:rsid w:val="00766865"/>
    <w:rsid w:val="00766D78"/>
    <w:rsid w:val="0076702A"/>
    <w:rsid w:val="0076715D"/>
    <w:rsid w:val="007673F6"/>
    <w:rsid w:val="0076745B"/>
    <w:rsid w:val="007674E5"/>
    <w:rsid w:val="0076778F"/>
    <w:rsid w:val="00767B5A"/>
    <w:rsid w:val="00767D28"/>
    <w:rsid w:val="00767F56"/>
    <w:rsid w:val="00770175"/>
    <w:rsid w:val="007701FD"/>
    <w:rsid w:val="00770263"/>
    <w:rsid w:val="007702E6"/>
    <w:rsid w:val="00770303"/>
    <w:rsid w:val="00770354"/>
    <w:rsid w:val="00770485"/>
    <w:rsid w:val="007704EE"/>
    <w:rsid w:val="007705CE"/>
    <w:rsid w:val="00770935"/>
    <w:rsid w:val="00770937"/>
    <w:rsid w:val="0077097C"/>
    <w:rsid w:val="00770AA6"/>
    <w:rsid w:val="00770E63"/>
    <w:rsid w:val="00770EC8"/>
    <w:rsid w:val="00770FCE"/>
    <w:rsid w:val="00770FFC"/>
    <w:rsid w:val="00771156"/>
    <w:rsid w:val="00771236"/>
    <w:rsid w:val="0077126C"/>
    <w:rsid w:val="00771350"/>
    <w:rsid w:val="007713E0"/>
    <w:rsid w:val="0077161D"/>
    <w:rsid w:val="00771747"/>
    <w:rsid w:val="007717E0"/>
    <w:rsid w:val="00771A5B"/>
    <w:rsid w:val="00771A71"/>
    <w:rsid w:val="00771B25"/>
    <w:rsid w:val="00771C7E"/>
    <w:rsid w:val="00771D4D"/>
    <w:rsid w:val="00771F7C"/>
    <w:rsid w:val="00771FBC"/>
    <w:rsid w:val="007720EF"/>
    <w:rsid w:val="007721E4"/>
    <w:rsid w:val="007722BB"/>
    <w:rsid w:val="007724F7"/>
    <w:rsid w:val="00772541"/>
    <w:rsid w:val="0077256F"/>
    <w:rsid w:val="0077290B"/>
    <w:rsid w:val="0077298E"/>
    <w:rsid w:val="007729A6"/>
    <w:rsid w:val="00772AC3"/>
    <w:rsid w:val="00772AE1"/>
    <w:rsid w:val="00772BF5"/>
    <w:rsid w:val="00772D23"/>
    <w:rsid w:val="00772D89"/>
    <w:rsid w:val="00772E3C"/>
    <w:rsid w:val="00772E48"/>
    <w:rsid w:val="0077328C"/>
    <w:rsid w:val="007732A3"/>
    <w:rsid w:val="007734E6"/>
    <w:rsid w:val="00773500"/>
    <w:rsid w:val="007736D8"/>
    <w:rsid w:val="0077397D"/>
    <w:rsid w:val="007739DF"/>
    <w:rsid w:val="0077424B"/>
    <w:rsid w:val="007742C1"/>
    <w:rsid w:val="007743CE"/>
    <w:rsid w:val="00774576"/>
    <w:rsid w:val="00774804"/>
    <w:rsid w:val="00774C78"/>
    <w:rsid w:val="00774E9F"/>
    <w:rsid w:val="00774EF1"/>
    <w:rsid w:val="00774F44"/>
    <w:rsid w:val="00774F85"/>
    <w:rsid w:val="00774F99"/>
    <w:rsid w:val="00774FBA"/>
    <w:rsid w:val="007751A4"/>
    <w:rsid w:val="007754DC"/>
    <w:rsid w:val="007756F1"/>
    <w:rsid w:val="00775816"/>
    <w:rsid w:val="00775982"/>
    <w:rsid w:val="00775B74"/>
    <w:rsid w:val="00775BA4"/>
    <w:rsid w:val="00775BB0"/>
    <w:rsid w:val="00775C17"/>
    <w:rsid w:val="00775D8C"/>
    <w:rsid w:val="00775E43"/>
    <w:rsid w:val="0077615E"/>
    <w:rsid w:val="007762ED"/>
    <w:rsid w:val="00776346"/>
    <w:rsid w:val="0077635B"/>
    <w:rsid w:val="00776503"/>
    <w:rsid w:val="00776658"/>
    <w:rsid w:val="0077679C"/>
    <w:rsid w:val="007767A8"/>
    <w:rsid w:val="00776971"/>
    <w:rsid w:val="00776B2A"/>
    <w:rsid w:val="00776BF7"/>
    <w:rsid w:val="00776CD3"/>
    <w:rsid w:val="00776EE1"/>
    <w:rsid w:val="007770C9"/>
    <w:rsid w:val="00777161"/>
    <w:rsid w:val="007775BF"/>
    <w:rsid w:val="00777679"/>
    <w:rsid w:val="00777744"/>
    <w:rsid w:val="00777750"/>
    <w:rsid w:val="00777911"/>
    <w:rsid w:val="00777B79"/>
    <w:rsid w:val="00777C24"/>
    <w:rsid w:val="00777DC9"/>
    <w:rsid w:val="0078021B"/>
    <w:rsid w:val="0078023E"/>
    <w:rsid w:val="0078029A"/>
    <w:rsid w:val="00780394"/>
    <w:rsid w:val="007803F0"/>
    <w:rsid w:val="007805BD"/>
    <w:rsid w:val="007806FE"/>
    <w:rsid w:val="00780734"/>
    <w:rsid w:val="007807FC"/>
    <w:rsid w:val="00780AA6"/>
    <w:rsid w:val="00780BC2"/>
    <w:rsid w:val="00780BE1"/>
    <w:rsid w:val="00780EBE"/>
    <w:rsid w:val="00780F02"/>
    <w:rsid w:val="00780FA9"/>
    <w:rsid w:val="0078113E"/>
    <w:rsid w:val="00781351"/>
    <w:rsid w:val="007813DB"/>
    <w:rsid w:val="007813F3"/>
    <w:rsid w:val="0078164D"/>
    <w:rsid w:val="00781963"/>
    <w:rsid w:val="00781AB3"/>
    <w:rsid w:val="00781B0A"/>
    <w:rsid w:val="00781B2C"/>
    <w:rsid w:val="00781CA9"/>
    <w:rsid w:val="00781DCB"/>
    <w:rsid w:val="00781F7C"/>
    <w:rsid w:val="00782320"/>
    <w:rsid w:val="00782350"/>
    <w:rsid w:val="00782451"/>
    <w:rsid w:val="00782465"/>
    <w:rsid w:val="0078248F"/>
    <w:rsid w:val="007824E9"/>
    <w:rsid w:val="0078254D"/>
    <w:rsid w:val="007826EB"/>
    <w:rsid w:val="007827D5"/>
    <w:rsid w:val="00782842"/>
    <w:rsid w:val="007829D0"/>
    <w:rsid w:val="00782CEC"/>
    <w:rsid w:val="00782DC5"/>
    <w:rsid w:val="00782EF5"/>
    <w:rsid w:val="00782FF4"/>
    <w:rsid w:val="00783005"/>
    <w:rsid w:val="00783120"/>
    <w:rsid w:val="00783588"/>
    <w:rsid w:val="00783599"/>
    <w:rsid w:val="007835EC"/>
    <w:rsid w:val="00783783"/>
    <w:rsid w:val="00783834"/>
    <w:rsid w:val="0078390B"/>
    <w:rsid w:val="007839A8"/>
    <w:rsid w:val="00783ADF"/>
    <w:rsid w:val="00783AEE"/>
    <w:rsid w:val="00783B8E"/>
    <w:rsid w:val="00783C06"/>
    <w:rsid w:val="00783DA4"/>
    <w:rsid w:val="007840A4"/>
    <w:rsid w:val="00784141"/>
    <w:rsid w:val="0078415E"/>
    <w:rsid w:val="00784180"/>
    <w:rsid w:val="0078438A"/>
    <w:rsid w:val="007843FC"/>
    <w:rsid w:val="007844F8"/>
    <w:rsid w:val="007845D4"/>
    <w:rsid w:val="007846AD"/>
    <w:rsid w:val="007846B6"/>
    <w:rsid w:val="007849CB"/>
    <w:rsid w:val="00784A13"/>
    <w:rsid w:val="00784C2E"/>
    <w:rsid w:val="00784D03"/>
    <w:rsid w:val="00784EB2"/>
    <w:rsid w:val="00784FCD"/>
    <w:rsid w:val="00785053"/>
    <w:rsid w:val="007850B8"/>
    <w:rsid w:val="007851A7"/>
    <w:rsid w:val="007851D6"/>
    <w:rsid w:val="007852BF"/>
    <w:rsid w:val="00785430"/>
    <w:rsid w:val="007854E3"/>
    <w:rsid w:val="00785592"/>
    <w:rsid w:val="00785849"/>
    <w:rsid w:val="00785952"/>
    <w:rsid w:val="00785C54"/>
    <w:rsid w:val="00785CE6"/>
    <w:rsid w:val="00785F57"/>
    <w:rsid w:val="00786140"/>
    <w:rsid w:val="007861FA"/>
    <w:rsid w:val="0078644A"/>
    <w:rsid w:val="007865CC"/>
    <w:rsid w:val="007866AD"/>
    <w:rsid w:val="0078674B"/>
    <w:rsid w:val="0078682F"/>
    <w:rsid w:val="00786AA9"/>
    <w:rsid w:val="00786EC0"/>
    <w:rsid w:val="00786FED"/>
    <w:rsid w:val="00787163"/>
    <w:rsid w:val="007871E0"/>
    <w:rsid w:val="00787422"/>
    <w:rsid w:val="007875FF"/>
    <w:rsid w:val="0078765E"/>
    <w:rsid w:val="00787678"/>
    <w:rsid w:val="007876F0"/>
    <w:rsid w:val="0078779A"/>
    <w:rsid w:val="00787AD1"/>
    <w:rsid w:val="00787D3D"/>
    <w:rsid w:val="00787E71"/>
    <w:rsid w:val="00787FF0"/>
    <w:rsid w:val="0079019E"/>
    <w:rsid w:val="00790525"/>
    <w:rsid w:val="0079064B"/>
    <w:rsid w:val="00790661"/>
    <w:rsid w:val="00790718"/>
    <w:rsid w:val="00790858"/>
    <w:rsid w:val="00790E37"/>
    <w:rsid w:val="00791065"/>
    <w:rsid w:val="007910D1"/>
    <w:rsid w:val="00791131"/>
    <w:rsid w:val="007912FF"/>
    <w:rsid w:val="00791427"/>
    <w:rsid w:val="0079143D"/>
    <w:rsid w:val="007914E1"/>
    <w:rsid w:val="007915CF"/>
    <w:rsid w:val="007919F5"/>
    <w:rsid w:val="00791AB4"/>
    <w:rsid w:val="00791BA1"/>
    <w:rsid w:val="00791BB7"/>
    <w:rsid w:val="00791C15"/>
    <w:rsid w:val="00791C22"/>
    <w:rsid w:val="00791C6C"/>
    <w:rsid w:val="00791D2C"/>
    <w:rsid w:val="007920E0"/>
    <w:rsid w:val="007921C8"/>
    <w:rsid w:val="007921D0"/>
    <w:rsid w:val="0079223D"/>
    <w:rsid w:val="00792268"/>
    <w:rsid w:val="00792386"/>
    <w:rsid w:val="007923F6"/>
    <w:rsid w:val="00792663"/>
    <w:rsid w:val="0079269E"/>
    <w:rsid w:val="00792765"/>
    <w:rsid w:val="007927FD"/>
    <w:rsid w:val="00792A69"/>
    <w:rsid w:val="00792A83"/>
    <w:rsid w:val="00792ACF"/>
    <w:rsid w:val="00792C27"/>
    <w:rsid w:val="00792C62"/>
    <w:rsid w:val="00792C99"/>
    <w:rsid w:val="00792F56"/>
    <w:rsid w:val="007930C1"/>
    <w:rsid w:val="007931F0"/>
    <w:rsid w:val="0079330A"/>
    <w:rsid w:val="0079333F"/>
    <w:rsid w:val="0079336E"/>
    <w:rsid w:val="00793437"/>
    <w:rsid w:val="007936F9"/>
    <w:rsid w:val="007937F8"/>
    <w:rsid w:val="00793839"/>
    <w:rsid w:val="00793846"/>
    <w:rsid w:val="007938B8"/>
    <w:rsid w:val="0079393E"/>
    <w:rsid w:val="00793947"/>
    <w:rsid w:val="00793948"/>
    <w:rsid w:val="007939C2"/>
    <w:rsid w:val="00793A7B"/>
    <w:rsid w:val="00793A9D"/>
    <w:rsid w:val="00793B59"/>
    <w:rsid w:val="00793E23"/>
    <w:rsid w:val="00793F8D"/>
    <w:rsid w:val="00794210"/>
    <w:rsid w:val="0079427D"/>
    <w:rsid w:val="007943F9"/>
    <w:rsid w:val="007947F1"/>
    <w:rsid w:val="00794987"/>
    <w:rsid w:val="0079499D"/>
    <w:rsid w:val="00794AA0"/>
    <w:rsid w:val="00794B9F"/>
    <w:rsid w:val="00794CDA"/>
    <w:rsid w:val="00794D1B"/>
    <w:rsid w:val="00794D1C"/>
    <w:rsid w:val="00794D93"/>
    <w:rsid w:val="00794E8D"/>
    <w:rsid w:val="007950D7"/>
    <w:rsid w:val="0079513A"/>
    <w:rsid w:val="0079534C"/>
    <w:rsid w:val="00795396"/>
    <w:rsid w:val="0079589E"/>
    <w:rsid w:val="00795991"/>
    <w:rsid w:val="00795A58"/>
    <w:rsid w:val="00795C5E"/>
    <w:rsid w:val="00795CE9"/>
    <w:rsid w:val="00795D37"/>
    <w:rsid w:val="00795EF0"/>
    <w:rsid w:val="007960BF"/>
    <w:rsid w:val="00796215"/>
    <w:rsid w:val="007962D9"/>
    <w:rsid w:val="00796426"/>
    <w:rsid w:val="0079645E"/>
    <w:rsid w:val="00796473"/>
    <w:rsid w:val="007964A0"/>
    <w:rsid w:val="00796604"/>
    <w:rsid w:val="00796740"/>
    <w:rsid w:val="0079684A"/>
    <w:rsid w:val="00796899"/>
    <w:rsid w:val="0079692B"/>
    <w:rsid w:val="00796A0D"/>
    <w:rsid w:val="00796C25"/>
    <w:rsid w:val="00796C35"/>
    <w:rsid w:val="00796F86"/>
    <w:rsid w:val="00796FB2"/>
    <w:rsid w:val="007970D9"/>
    <w:rsid w:val="00797227"/>
    <w:rsid w:val="00797264"/>
    <w:rsid w:val="007974D1"/>
    <w:rsid w:val="007975ED"/>
    <w:rsid w:val="007977B2"/>
    <w:rsid w:val="007978F2"/>
    <w:rsid w:val="007978FF"/>
    <w:rsid w:val="00797972"/>
    <w:rsid w:val="007979BB"/>
    <w:rsid w:val="00797D73"/>
    <w:rsid w:val="00797F83"/>
    <w:rsid w:val="007A0046"/>
    <w:rsid w:val="007A0121"/>
    <w:rsid w:val="007A029F"/>
    <w:rsid w:val="007A0345"/>
    <w:rsid w:val="007A03AF"/>
    <w:rsid w:val="007A03BA"/>
    <w:rsid w:val="007A03D8"/>
    <w:rsid w:val="007A0676"/>
    <w:rsid w:val="007A067F"/>
    <w:rsid w:val="007A071C"/>
    <w:rsid w:val="007A07B3"/>
    <w:rsid w:val="007A07ED"/>
    <w:rsid w:val="007A0834"/>
    <w:rsid w:val="007A0860"/>
    <w:rsid w:val="007A08D0"/>
    <w:rsid w:val="007A0972"/>
    <w:rsid w:val="007A0A07"/>
    <w:rsid w:val="007A0B18"/>
    <w:rsid w:val="007A0CDF"/>
    <w:rsid w:val="007A0F5B"/>
    <w:rsid w:val="007A0FE3"/>
    <w:rsid w:val="007A10E4"/>
    <w:rsid w:val="007A1182"/>
    <w:rsid w:val="007A1204"/>
    <w:rsid w:val="007A12F1"/>
    <w:rsid w:val="007A12FB"/>
    <w:rsid w:val="007A13CB"/>
    <w:rsid w:val="007A14C9"/>
    <w:rsid w:val="007A14E1"/>
    <w:rsid w:val="007A153D"/>
    <w:rsid w:val="007A1715"/>
    <w:rsid w:val="007A190B"/>
    <w:rsid w:val="007A1924"/>
    <w:rsid w:val="007A19C3"/>
    <w:rsid w:val="007A1A38"/>
    <w:rsid w:val="007A1FEE"/>
    <w:rsid w:val="007A244D"/>
    <w:rsid w:val="007A2526"/>
    <w:rsid w:val="007A2550"/>
    <w:rsid w:val="007A255D"/>
    <w:rsid w:val="007A257F"/>
    <w:rsid w:val="007A2C00"/>
    <w:rsid w:val="007A2D24"/>
    <w:rsid w:val="007A2DC3"/>
    <w:rsid w:val="007A304D"/>
    <w:rsid w:val="007A3057"/>
    <w:rsid w:val="007A3116"/>
    <w:rsid w:val="007A32E2"/>
    <w:rsid w:val="007A3365"/>
    <w:rsid w:val="007A34A6"/>
    <w:rsid w:val="007A34BD"/>
    <w:rsid w:val="007A35D4"/>
    <w:rsid w:val="007A3640"/>
    <w:rsid w:val="007A379D"/>
    <w:rsid w:val="007A3913"/>
    <w:rsid w:val="007A3CAA"/>
    <w:rsid w:val="007A3DF7"/>
    <w:rsid w:val="007A3EDA"/>
    <w:rsid w:val="007A3F6E"/>
    <w:rsid w:val="007A41B8"/>
    <w:rsid w:val="007A422F"/>
    <w:rsid w:val="007A4332"/>
    <w:rsid w:val="007A43C5"/>
    <w:rsid w:val="007A44FE"/>
    <w:rsid w:val="007A4592"/>
    <w:rsid w:val="007A4695"/>
    <w:rsid w:val="007A47B5"/>
    <w:rsid w:val="007A48B0"/>
    <w:rsid w:val="007A49B5"/>
    <w:rsid w:val="007A4B6D"/>
    <w:rsid w:val="007A4DC3"/>
    <w:rsid w:val="007A4E18"/>
    <w:rsid w:val="007A4E29"/>
    <w:rsid w:val="007A4E5A"/>
    <w:rsid w:val="007A501E"/>
    <w:rsid w:val="007A5090"/>
    <w:rsid w:val="007A53BF"/>
    <w:rsid w:val="007A55B9"/>
    <w:rsid w:val="007A59AB"/>
    <w:rsid w:val="007A5A49"/>
    <w:rsid w:val="007A5A82"/>
    <w:rsid w:val="007A5E8F"/>
    <w:rsid w:val="007A5F67"/>
    <w:rsid w:val="007A61EF"/>
    <w:rsid w:val="007A624F"/>
    <w:rsid w:val="007A638C"/>
    <w:rsid w:val="007A64FC"/>
    <w:rsid w:val="007A65F5"/>
    <w:rsid w:val="007A6617"/>
    <w:rsid w:val="007A6638"/>
    <w:rsid w:val="007A68AB"/>
    <w:rsid w:val="007A6A05"/>
    <w:rsid w:val="007A6C67"/>
    <w:rsid w:val="007A6D08"/>
    <w:rsid w:val="007A6E80"/>
    <w:rsid w:val="007A6EA2"/>
    <w:rsid w:val="007A6F1F"/>
    <w:rsid w:val="007A6FEB"/>
    <w:rsid w:val="007A7052"/>
    <w:rsid w:val="007A7074"/>
    <w:rsid w:val="007A70E2"/>
    <w:rsid w:val="007A7148"/>
    <w:rsid w:val="007A732E"/>
    <w:rsid w:val="007A7365"/>
    <w:rsid w:val="007A74C3"/>
    <w:rsid w:val="007A757B"/>
    <w:rsid w:val="007A758C"/>
    <w:rsid w:val="007A78B6"/>
    <w:rsid w:val="007A7A5F"/>
    <w:rsid w:val="007A7AF3"/>
    <w:rsid w:val="007A7B0A"/>
    <w:rsid w:val="007A7B4C"/>
    <w:rsid w:val="007A7C1A"/>
    <w:rsid w:val="007A7C23"/>
    <w:rsid w:val="007A7C47"/>
    <w:rsid w:val="007A7C98"/>
    <w:rsid w:val="007A7E0D"/>
    <w:rsid w:val="007A7E8D"/>
    <w:rsid w:val="007A7F10"/>
    <w:rsid w:val="007A7FA3"/>
    <w:rsid w:val="007A7FA5"/>
    <w:rsid w:val="007B00E1"/>
    <w:rsid w:val="007B00FE"/>
    <w:rsid w:val="007B01CB"/>
    <w:rsid w:val="007B029E"/>
    <w:rsid w:val="007B02C7"/>
    <w:rsid w:val="007B03AB"/>
    <w:rsid w:val="007B0412"/>
    <w:rsid w:val="007B0494"/>
    <w:rsid w:val="007B04A1"/>
    <w:rsid w:val="007B06F9"/>
    <w:rsid w:val="007B0742"/>
    <w:rsid w:val="007B07CC"/>
    <w:rsid w:val="007B098D"/>
    <w:rsid w:val="007B0AA6"/>
    <w:rsid w:val="007B0AF9"/>
    <w:rsid w:val="007B0BF8"/>
    <w:rsid w:val="007B0FC6"/>
    <w:rsid w:val="007B11B3"/>
    <w:rsid w:val="007B124A"/>
    <w:rsid w:val="007B14E3"/>
    <w:rsid w:val="007B155E"/>
    <w:rsid w:val="007B16FA"/>
    <w:rsid w:val="007B1726"/>
    <w:rsid w:val="007B17DF"/>
    <w:rsid w:val="007B184F"/>
    <w:rsid w:val="007B18D8"/>
    <w:rsid w:val="007B19AD"/>
    <w:rsid w:val="007B1A3B"/>
    <w:rsid w:val="007B1AEA"/>
    <w:rsid w:val="007B1BAA"/>
    <w:rsid w:val="007B1E07"/>
    <w:rsid w:val="007B1EAE"/>
    <w:rsid w:val="007B2023"/>
    <w:rsid w:val="007B22FB"/>
    <w:rsid w:val="007B230E"/>
    <w:rsid w:val="007B2316"/>
    <w:rsid w:val="007B2362"/>
    <w:rsid w:val="007B250E"/>
    <w:rsid w:val="007B260E"/>
    <w:rsid w:val="007B28D1"/>
    <w:rsid w:val="007B299B"/>
    <w:rsid w:val="007B29C0"/>
    <w:rsid w:val="007B2B2E"/>
    <w:rsid w:val="007B2BB4"/>
    <w:rsid w:val="007B2C11"/>
    <w:rsid w:val="007B3044"/>
    <w:rsid w:val="007B306A"/>
    <w:rsid w:val="007B3244"/>
    <w:rsid w:val="007B3269"/>
    <w:rsid w:val="007B3859"/>
    <w:rsid w:val="007B39D2"/>
    <w:rsid w:val="007B3AD4"/>
    <w:rsid w:val="007B3AF8"/>
    <w:rsid w:val="007B3D34"/>
    <w:rsid w:val="007B3E84"/>
    <w:rsid w:val="007B3EC0"/>
    <w:rsid w:val="007B3FC1"/>
    <w:rsid w:val="007B40EB"/>
    <w:rsid w:val="007B4124"/>
    <w:rsid w:val="007B414F"/>
    <w:rsid w:val="007B4291"/>
    <w:rsid w:val="007B42CF"/>
    <w:rsid w:val="007B4332"/>
    <w:rsid w:val="007B4777"/>
    <w:rsid w:val="007B48D6"/>
    <w:rsid w:val="007B4BEA"/>
    <w:rsid w:val="007B4C74"/>
    <w:rsid w:val="007B4D03"/>
    <w:rsid w:val="007B4DEA"/>
    <w:rsid w:val="007B4E5E"/>
    <w:rsid w:val="007B4E92"/>
    <w:rsid w:val="007B4EF1"/>
    <w:rsid w:val="007B51E4"/>
    <w:rsid w:val="007B536B"/>
    <w:rsid w:val="007B5428"/>
    <w:rsid w:val="007B55EA"/>
    <w:rsid w:val="007B579A"/>
    <w:rsid w:val="007B595A"/>
    <w:rsid w:val="007B596E"/>
    <w:rsid w:val="007B598C"/>
    <w:rsid w:val="007B5A6B"/>
    <w:rsid w:val="007B5B9B"/>
    <w:rsid w:val="007B5BFF"/>
    <w:rsid w:val="007B5CAD"/>
    <w:rsid w:val="007B5D11"/>
    <w:rsid w:val="007B5D3E"/>
    <w:rsid w:val="007B5F6B"/>
    <w:rsid w:val="007B6715"/>
    <w:rsid w:val="007B6718"/>
    <w:rsid w:val="007B6780"/>
    <w:rsid w:val="007B67D9"/>
    <w:rsid w:val="007B6874"/>
    <w:rsid w:val="007B68FD"/>
    <w:rsid w:val="007B694A"/>
    <w:rsid w:val="007B6AD6"/>
    <w:rsid w:val="007B6BDB"/>
    <w:rsid w:val="007B6C07"/>
    <w:rsid w:val="007B6C13"/>
    <w:rsid w:val="007B6C31"/>
    <w:rsid w:val="007B6C33"/>
    <w:rsid w:val="007B6E35"/>
    <w:rsid w:val="007B6FDE"/>
    <w:rsid w:val="007B72F6"/>
    <w:rsid w:val="007B72FD"/>
    <w:rsid w:val="007B7373"/>
    <w:rsid w:val="007B754E"/>
    <w:rsid w:val="007B7630"/>
    <w:rsid w:val="007B7674"/>
    <w:rsid w:val="007B788C"/>
    <w:rsid w:val="007B7899"/>
    <w:rsid w:val="007B7951"/>
    <w:rsid w:val="007B79FA"/>
    <w:rsid w:val="007B7A24"/>
    <w:rsid w:val="007B7BE0"/>
    <w:rsid w:val="007B7C86"/>
    <w:rsid w:val="007B7CAB"/>
    <w:rsid w:val="007B7CF1"/>
    <w:rsid w:val="007B7D23"/>
    <w:rsid w:val="007B7D95"/>
    <w:rsid w:val="007B7FCA"/>
    <w:rsid w:val="007C00C8"/>
    <w:rsid w:val="007C00D2"/>
    <w:rsid w:val="007C020C"/>
    <w:rsid w:val="007C0428"/>
    <w:rsid w:val="007C04D2"/>
    <w:rsid w:val="007C04F0"/>
    <w:rsid w:val="007C04FA"/>
    <w:rsid w:val="007C05AE"/>
    <w:rsid w:val="007C05FD"/>
    <w:rsid w:val="007C061F"/>
    <w:rsid w:val="007C0872"/>
    <w:rsid w:val="007C08D3"/>
    <w:rsid w:val="007C0994"/>
    <w:rsid w:val="007C0A8A"/>
    <w:rsid w:val="007C0ABA"/>
    <w:rsid w:val="007C0BD5"/>
    <w:rsid w:val="007C0C43"/>
    <w:rsid w:val="007C0C53"/>
    <w:rsid w:val="007C0D36"/>
    <w:rsid w:val="007C0D8B"/>
    <w:rsid w:val="007C0DCE"/>
    <w:rsid w:val="007C0E65"/>
    <w:rsid w:val="007C0FD5"/>
    <w:rsid w:val="007C0FF4"/>
    <w:rsid w:val="007C1055"/>
    <w:rsid w:val="007C10E2"/>
    <w:rsid w:val="007C11CF"/>
    <w:rsid w:val="007C1228"/>
    <w:rsid w:val="007C12AE"/>
    <w:rsid w:val="007C12DD"/>
    <w:rsid w:val="007C131E"/>
    <w:rsid w:val="007C1357"/>
    <w:rsid w:val="007C146D"/>
    <w:rsid w:val="007C1570"/>
    <w:rsid w:val="007C15BC"/>
    <w:rsid w:val="007C1678"/>
    <w:rsid w:val="007C16E9"/>
    <w:rsid w:val="007C16EA"/>
    <w:rsid w:val="007C180A"/>
    <w:rsid w:val="007C18B7"/>
    <w:rsid w:val="007C1A83"/>
    <w:rsid w:val="007C1A99"/>
    <w:rsid w:val="007C1B99"/>
    <w:rsid w:val="007C1BC8"/>
    <w:rsid w:val="007C1FC5"/>
    <w:rsid w:val="007C1FFE"/>
    <w:rsid w:val="007C20C7"/>
    <w:rsid w:val="007C218D"/>
    <w:rsid w:val="007C22BF"/>
    <w:rsid w:val="007C2368"/>
    <w:rsid w:val="007C2450"/>
    <w:rsid w:val="007C2741"/>
    <w:rsid w:val="007C2747"/>
    <w:rsid w:val="007C2953"/>
    <w:rsid w:val="007C2AAF"/>
    <w:rsid w:val="007C2B9E"/>
    <w:rsid w:val="007C2C24"/>
    <w:rsid w:val="007C2DE9"/>
    <w:rsid w:val="007C30E5"/>
    <w:rsid w:val="007C3483"/>
    <w:rsid w:val="007C34C3"/>
    <w:rsid w:val="007C34C7"/>
    <w:rsid w:val="007C34EF"/>
    <w:rsid w:val="007C34F8"/>
    <w:rsid w:val="007C3516"/>
    <w:rsid w:val="007C37E7"/>
    <w:rsid w:val="007C3896"/>
    <w:rsid w:val="007C3CD8"/>
    <w:rsid w:val="007C3D84"/>
    <w:rsid w:val="007C417A"/>
    <w:rsid w:val="007C4630"/>
    <w:rsid w:val="007C46B7"/>
    <w:rsid w:val="007C4701"/>
    <w:rsid w:val="007C4777"/>
    <w:rsid w:val="007C48F8"/>
    <w:rsid w:val="007C4B3C"/>
    <w:rsid w:val="007C4B6B"/>
    <w:rsid w:val="007C4BB0"/>
    <w:rsid w:val="007C4BD6"/>
    <w:rsid w:val="007C4D3B"/>
    <w:rsid w:val="007C4DCD"/>
    <w:rsid w:val="007C516B"/>
    <w:rsid w:val="007C5194"/>
    <w:rsid w:val="007C5199"/>
    <w:rsid w:val="007C51FA"/>
    <w:rsid w:val="007C52D2"/>
    <w:rsid w:val="007C5315"/>
    <w:rsid w:val="007C5388"/>
    <w:rsid w:val="007C5524"/>
    <w:rsid w:val="007C5612"/>
    <w:rsid w:val="007C570C"/>
    <w:rsid w:val="007C580C"/>
    <w:rsid w:val="007C5986"/>
    <w:rsid w:val="007C5AA2"/>
    <w:rsid w:val="007C5BDC"/>
    <w:rsid w:val="007C5C0D"/>
    <w:rsid w:val="007C5C40"/>
    <w:rsid w:val="007C5CD2"/>
    <w:rsid w:val="007C5F4C"/>
    <w:rsid w:val="007C6248"/>
    <w:rsid w:val="007C62C2"/>
    <w:rsid w:val="007C6433"/>
    <w:rsid w:val="007C6462"/>
    <w:rsid w:val="007C6504"/>
    <w:rsid w:val="007C67F4"/>
    <w:rsid w:val="007C6A6B"/>
    <w:rsid w:val="007C6B40"/>
    <w:rsid w:val="007C6D07"/>
    <w:rsid w:val="007C6D4E"/>
    <w:rsid w:val="007C6E12"/>
    <w:rsid w:val="007C730F"/>
    <w:rsid w:val="007C74D4"/>
    <w:rsid w:val="007C7564"/>
    <w:rsid w:val="007C77EF"/>
    <w:rsid w:val="007C7908"/>
    <w:rsid w:val="007C795C"/>
    <w:rsid w:val="007C7A8D"/>
    <w:rsid w:val="007C7CF6"/>
    <w:rsid w:val="007C7D01"/>
    <w:rsid w:val="007C7D5F"/>
    <w:rsid w:val="007C7E3A"/>
    <w:rsid w:val="007D0007"/>
    <w:rsid w:val="007D01CC"/>
    <w:rsid w:val="007D040D"/>
    <w:rsid w:val="007D0427"/>
    <w:rsid w:val="007D0558"/>
    <w:rsid w:val="007D059F"/>
    <w:rsid w:val="007D07C8"/>
    <w:rsid w:val="007D0990"/>
    <w:rsid w:val="007D0A7D"/>
    <w:rsid w:val="007D0BF5"/>
    <w:rsid w:val="007D0C7A"/>
    <w:rsid w:val="007D0E1A"/>
    <w:rsid w:val="007D0F7A"/>
    <w:rsid w:val="007D12C6"/>
    <w:rsid w:val="007D1410"/>
    <w:rsid w:val="007D1572"/>
    <w:rsid w:val="007D1603"/>
    <w:rsid w:val="007D16C2"/>
    <w:rsid w:val="007D1798"/>
    <w:rsid w:val="007D180D"/>
    <w:rsid w:val="007D188D"/>
    <w:rsid w:val="007D188F"/>
    <w:rsid w:val="007D1942"/>
    <w:rsid w:val="007D1946"/>
    <w:rsid w:val="007D19FC"/>
    <w:rsid w:val="007D1AA6"/>
    <w:rsid w:val="007D1C0A"/>
    <w:rsid w:val="007D1C44"/>
    <w:rsid w:val="007D1C8F"/>
    <w:rsid w:val="007D1F22"/>
    <w:rsid w:val="007D2043"/>
    <w:rsid w:val="007D221C"/>
    <w:rsid w:val="007D23C8"/>
    <w:rsid w:val="007D23E7"/>
    <w:rsid w:val="007D23EA"/>
    <w:rsid w:val="007D240F"/>
    <w:rsid w:val="007D25C5"/>
    <w:rsid w:val="007D294E"/>
    <w:rsid w:val="007D2C27"/>
    <w:rsid w:val="007D2D44"/>
    <w:rsid w:val="007D2EB0"/>
    <w:rsid w:val="007D2F30"/>
    <w:rsid w:val="007D3027"/>
    <w:rsid w:val="007D3057"/>
    <w:rsid w:val="007D3174"/>
    <w:rsid w:val="007D3393"/>
    <w:rsid w:val="007D34E3"/>
    <w:rsid w:val="007D3548"/>
    <w:rsid w:val="007D35E9"/>
    <w:rsid w:val="007D37B6"/>
    <w:rsid w:val="007D39F7"/>
    <w:rsid w:val="007D3AFB"/>
    <w:rsid w:val="007D3B69"/>
    <w:rsid w:val="007D3DC6"/>
    <w:rsid w:val="007D3EAD"/>
    <w:rsid w:val="007D3F2C"/>
    <w:rsid w:val="007D4013"/>
    <w:rsid w:val="007D4064"/>
    <w:rsid w:val="007D4209"/>
    <w:rsid w:val="007D428B"/>
    <w:rsid w:val="007D4413"/>
    <w:rsid w:val="007D4561"/>
    <w:rsid w:val="007D46CB"/>
    <w:rsid w:val="007D4889"/>
    <w:rsid w:val="007D49B9"/>
    <w:rsid w:val="007D4A16"/>
    <w:rsid w:val="007D4B1D"/>
    <w:rsid w:val="007D4B7A"/>
    <w:rsid w:val="007D4BC9"/>
    <w:rsid w:val="007D4C81"/>
    <w:rsid w:val="007D4C85"/>
    <w:rsid w:val="007D4D12"/>
    <w:rsid w:val="007D4DB4"/>
    <w:rsid w:val="007D4DEC"/>
    <w:rsid w:val="007D4E91"/>
    <w:rsid w:val="007D4EF4"/>
    <w:rsid w:val="007D5019"/>
    <w:rsid w:val="007D5280"/>
    <w:rsid w:val="007D5336"/>
    <w:rsid w:val="007D564E"/>
    <w:rsid w:val="007D58A0"/>
    <w:rsid w:val="007D5D4C"/>
    <w:rsid w:val="007D5F53"/>
    <w:rsid w:val="007D5F92"/>
    <w:rsid w:val="007D6734"/>
    <w:rsid w:val="007D676A"/>
    <w:rsid w:val="007D6796"/>
    <w:rsid w:val="007D67E4"/>
    <w:rsid w:val="007D6867"/>
    <w:rsid w:val="007D6ACF"/>
    <w:rsid w:val="007D6C0E"/>
    <w:rsid w:val="007D6F7C"/>
    <w:rsid w:val="007D70DE"/>
    <w:rsid w:val="007D7156"/>
    <w:rsid w:val="007D71A6"/>
    <w:rsid w:val="007D721A"/>
    <w:rsid w:val="007D74C0"/>
    <w:rsid w:val="007D7588"/>
    <w:rsid w:val="007D773C"/>
    <w:rsid w:val="007D7745"/>
    <w:rsid w:val="007D7897"/>
    <w:rsid w:val="007D7AC1"/>
    <w:rsid w:val="007D7B0A"/>
    <w:rsid w:val="007D7BE7"/>
    <w:rsid w:val="007D7BF7"/>
    <w:rsid w:val="007D7D19"/>
    <w:rsid w:val="007D7D8A"/>
    <w:rsid w:val="007E007C"/>
    <w:rsid w:val="007E00D9"/>
    <w:rsid w:val="007E00E8"/>
    <w:rsid w:val="007E02A7"/>
    <w:rsid w:val="007E02D4"/>
    <w:rsid w:val="007E05AD"/>
    <w:rsid w:val="007E067F"/>
    <w:rsid w:val="007E0856"/>
    <w:rsid w:val="007E0C94"/>
    <w:rsid w:val="007E0E25"/>
    <w:rsid w:val="007E0FAC"/>
    <w:rsid w:val="007E1075"/>
    <w:rsid w:val="007E11A1"/>
    <w:rsid w:val="007E126F"/>
    <w:rsid w:val="007E1566"/>
    <w:rsid w:val="007E158B"/>
    <w:rsid w:val="007E186B"/>
    <w:rsid w:val="007E18C7"/>
    <w:rsid w:val="007E1A91"/>
    <w:rsid w:val="007E1CAA"/>
    <w:rsid w:val="007E1D97"/>
    <w:rsid w:val="007E1EF1"/>
    <w:rsid w:val="007E1FCF"/>
    <w:rsid w:val="007E2230"/>
    <w:rsid w:val="007E240B"/>
    <w:rsid w:val="007E24F6"/>
    <w:rsid w:val="007E2625"/>
    <w:rsid w:val="007E2736"/>
    <w:rsid w:val="007E2914"/>
    <w:rsid w:val="007E291D"/>
    <w:rsid w:val="007E2A63"/>
    <w:rsid w:val="007E2CA4"/>
    <w:rsid w:val="007E2D3A"/>
    <w:rsid w:val="007E2DC3"/>
    <w:rsid w:val="007E2E43"/>
    <w:rsid w:val="007E2F24"/>
    <w:rsid w:val="007E2F2D"/>
    <w:rsid w:val="007E2FA7"/>
    <w:rsid w:val="007E303E"/>
    <w:rsid w:val="007E3128"/>
    <w:rsid w:val="007E319A"/>
    <w:rsid w:val="007E323F"/>
    <w:rsid w:val="007E3639"/>
    <w:rsid w:val="007E36B2"/>
    <w:rsid w:val="007E37F8"/>
    <w:rsid w:val="007E38E0"/>
    <w:rsid w:val="007E3AEF"/>
    <w:rsid w:val="007E3B4D"/>
    <w:rsid w:val="007E3D47"/>
    <w:rsid w:val="007E3E0E"/>
    <w:rsid w:val="007E3E8E"/>
    <w:rsid w:val="007E3FCC"/>
    <w:rsid w:val="007E4151"/>
    <w:rsid w:val="007E422B"/>
    <w:rsid w:val="007E455B"/>
    <w:rsid w:val="007E46A4"/>
    <w:rsid w:val="007E4A47"/>
    <w:rsid w:val="007E4A8C"/>
    <w:rsid w:val="007E4BC7"/>
    <w:rsid w:val="007E4C48"/>
    <w:rsid w:val="007E4E08"/>
    <w:rsid w:val="007E5042"/>
    <w:rsid w:val="007E5115"/>
    <w:rsid w:val="007E51FA"/>
    <w:rsid w:val="007E54AA"/>
    <w:rsid w:val="007E54AD"/>
    <w:rsid w:val="007E5535"/>
    <w:rsid w:val="007E554B"/>
    <w:rsid w:val="007E569F"/>
    <w:rsid w:val="007E5A02"/>
    <w:rsid w:val="007E5BEE"/>
    <w:rsid w:val="007E5C44"/>
    <w:rsid w:val="007E5D94"/>
    <w:rsid w:val="007E5EDB"/>
    <w:rsid w:val="007E5F9A"/>
    <w:rsid w:val="007E5FB9"/>
    <w:rsid w:val="007E5FE1"/>
    <w:rsid w:val="007E600C"/>
    <w:rsid w:val="007E61EC"/>
    <w:rsid w:val="007E6384"/>
    <w:rsid w:val="007E6435"/>
    <w:rsid w:val="007E6511"/>
    <w:rsid w:val="007E65FC"/>
    <w:rsid w:val="007E6766"/>
    <w:rsid w:val="007E68AB"/>
    <w:rsid w:val="007E6A45"/>
    <w:rsid w:val="007E6B52"/>
    <w:rsid w:val="007E6BA8"/>
    <w:rsid w:val="007E6D09"/>
    <w:rsid w:val="007E6D4D"/>
    <w:rsid w:val="007E6F2F"/>
    <w:rsid w:val="007E703D"/>
    <w:rsid w:val="007E7068"/>
    <w:rsid w:val="007E70F5"/>
    <w:rsid w:val="007E7110"/>
    <w:rsid w:val="007E72BD"/>
    <w:rsid w:val="007E7368"/>
    <w:rsid w:val="007E7528"/>
    <w:rsid w:val="007E766B"/>
    <w:rsid w:val="007E77C3"/>
    <w:rsid w:val="007E78F1"/>
    <w:rsid w:val="007E79E4"/>
    <w:rsid w:val="007E7B17"/>
    <w:rsid w:val="007E7B67"/>
    <w:rsid w:val="007E7BA8"/>
    <w:rsid w:val="007E7BB3"/>
    <w:rsid w:val="007E7CD4"/>
    <w:rsid w:val="007E7F9F"/>
    <w:rsid w:val="007E7FBA"/>
    <w:rsid w:val="007F0220"/>
    <w:rsid w:val="007F04AA"/>
    <w:rsid w:val="007F05A9"/>
    <w:rsid w:val="007F0798"/>
    <w:rsid w:val="007F0880"/>
    <w:rsid w:val="007F09EA"/>
    <w:rsid w:val="007F09F0"/>
    <w:rsid w:val="007F0A70"/>
    <w:rsid w:val="007F0BBD"/>
    <w:rsid w:val="007F0BE1"/>
    <w:rsid w:val="007F0C19"/>
    <w:rsid w:val="007F0D6E"/>
    <w:rsid w:val="007F0E2C"/>
    <w:rsid w:val="007F0F09"/>
    <w:rsid w:val="007F0F39"/>
    <w:rsid w:val="007F1322"/>
    <w:rsid w:val="007F13D1"/>
    <w:rsid w:val="007F14EB"/>
    <w:rsid w:val="007F1561"/>
    <w:rsid w:val="007F1AD5"/>
    <w:rsid w:val="007F1B9E"/>
    <w:rsid w:val="007F1C65"/>
    <w:rsid w:val="007F1D21"/>
    <w:rsid w:val="007F1E21"/>
    <w:rsid w:val="007F2261"/>
    <w:rsid w:val="007F2441"/>
    <w:rsid w:val="007F24B1"/>
    <w:rsid w:val="007F275E"/>
    <w:rsid w:val="007F27F0"/>
    <w:rsid w:val="007F287F"/>
    <w:rsid w:val="007F2902"/>
    <w:rsid w:val="007F2A8E"/>
    <w:rsid w:val="007F2B86"/>
    <w:rsid w:val="007F2BFC"/>
    <w:rsid w:val="007F2C70"/>
    <w:rsid w:val="007F2C99"/>
    <w:rsid w:val="007F2D59"/>
    <w:rsid w:val="007F30A1"/>
    <w:rsid w:val="007F3112"/>
    <w:rsid w:val="007F3162"/>
    <w:rsid w:val="007F32EA"/>
    <w:rsid w:val="007F32FF"/>
    <w:rsid w:val="007F363B"/>
    <w:rsid w:val="007F38AA"/>
    <w:rsid w:val="007F3910"/>
    <w:rsid w:val="007F3A11"/>
    <w:rsid w:val="007F3A7E"/>
    <w:rsid w:val="007F3B3E"/>
    <w:rsid w:val="007F3D72"/>
    <w:rsid w:val="007F3E07"/>
    <w:rsid w:val="007F3F1D"/>
    <w:rsid w:val="007F40AD"/>
    <w:rsid w:val="007F413E"/>
    <w:rsid w:val="007F41DF"/>
    <w:rsid w:val="007F44B6"/>
    <w:rsid w:val="007F4889"/>
    <w:rsid w:val="007F494A"/>
    <w:rsid w:val="007F4A35"/>
    <w:rsid w:val="007F4AD3"/>
    <w:rsid w:val="007F4E0F"/>
    <w:rsid w:val="007F4EB2"/>
    <w:rsid w:val="007F4FA9"/>
    <w:rsid w:val="007F5092"/>
    <w:rsid w:val="007F510E"/>
    <w:rsid w:val="007F5550"/>
    <w:rsid w:val="007F5572"/>
    <w:rsid w:val="007F5804"/>
    <w:rsid w:val="007F58F8"/>
    <w:rsid w:val="007F5A2D"/>
    <w:rsid w:val="007F5ADD"/>
    <w:rsid w:val="007F5E59"/>
    <w:rsid w:val="007F5FD3"/>
    <w:rsid w:val="007F6281"/>
    <w:rsid w:val="007F6362"/>
    <w:rsid w:val="007F6488"/>
    <w:rsid w:val="007F649F"/>
    <w:rsid w:val="007F6723"/>
    <w:rsid w:val="007F67C4"/>
    <w:rsid w:val="007F67C6"/>
    <w:rsid w:val="007F67D4"/>
    <w:rsid w:val="007F690D"/>
    <w:rsid w:val="007F6D55"/>
    <w:rsid w:val="007F70D5"/>
    <w:rsid w:val="007F721D"/>
    <w:rsid w:val="007F7680"/>
    <w:rsid w:val="007F77CB"/>
    <w:rsid w:val="007F77DD"/>
    <w:rsid w:val="007F78C7"/>
    <w:rsid w:val="007F7960"/>
    <w:rsid w:val="007F7A1B"/>
    <w:rsid w:val="007F7A52"/>
    <w:rsid w:val="007F7AED"/>
    <w:rsid w:val="007F7B59"/>
    <w:rsid w:val="007F7BCD"/>
    <w:rsid w:val="007F7DBD"/>
    <w:rsid w:val="007F7EC6"/>
    <w:rsid w:val="007F7FAC"/>
    <w:rsid w:val="00800029"/>
    <w:rsid w:val="00800129"/>
    <w:rsid w:val="00800193"/>
    <w:rsid w:val="008005FE"/>
    <w:rsid w:val="00800885"/>
    <w:rsid w:val="0080097B"/>
    <w:rsid w:val="00800BCD"/>
    <w:rsid w:val="00800C01"/>
    <w:rsid w:val="00800D6F"/>
    <w:rsid w:val="008010ED"/>
    <w:rsid w:val="00801209"/>
    <w:rsid w:val="00801246"/>
    <w:rsid w:val="00801358"/>
    <w:rsid w:val="00801387"/>
    <w:rsid w:val="0080149A"/>
    <w:rsid w:val="008014C9"/>
    <w:rsid w:val="00801521"/>
    <w:rsid w:val="00801677"/>
    <w:rsid w:val="00801819"/>
    <w:rsid w:val="008018AD"/>
    <w:rsid w:val="00801AB6"/>
    <w:rsid w:val="00801B74"/>
    <w:rsid w:val="00801B8C"/>
    <w:rsid w:val="00801D77"/>
    <w:rsid w:val="008020CC"/>
    <w:rsid w:val="008020F3"/>
    <w:rsid w:val="00802157"/>
    <w:rsid w:val="008021ED"/>
    <w:rsid w:val="00802226"/>
    <w:rsid w:val="00802315"/>
    <w:rsid w:val="008024EF"/>
    <w:rsid w:val="0080259B"/>
    <w:rsid w:val="008025C3"/>
    <w:rsid w:val="008026A2"/>
    <w:rsid w:val="0080270C"/>
    <w:rsid w:val="008028E1"/>
    <w:rsid w:val="00802E17"/>
    <w:rsid w:val="00802FF5"/>
    <w:rsid w:val="0080368C"/>
    <w:rsid w:val="008036A2"/>
    <w:rsid w:val="008037B6"/>
    <w:rsid w:val="00803828"/>
    <w:rsid w:val="008039B4"/>
    <w:rsid w:val="00803A34"/>
    <w:rsid w:val="00803CC1"/>
    <w:rsid w:val="00803CD0"/>
    <w:rsid w:val="00803DCC"/>
    <w:rsid w:val="00803E48"/>
    <w:rsid w:val="0080408E"/>
    <w:rsid w:val="008040A8"/>
    <w:rsid w:val="00804381"/>
    <w:rsid w:val="00804652"/>
    <w:rsid w:val="00804692"/>
    <w:rsid w:val="0080492C"/>
    <w:rsid w:val="00804A86"/>
    <w:rsid w:val="00804C33"/>
    <w:rsid w:val="00804C66"/>
    <w:rsid w:val="00804C8A"/>
    <w:rsid w:val="00804ED3"/>
    <w:rsid w:val="00804F5B"/>
    <w:rsid w:val="00804FE0"/>
    <w:rsid w:val="008050A5"/>
    <w:rsid w:val="008050DD"/>
    <w:rsid w:val="00805437"/>
    <w:rsid w:val="008055A0"/>
    <w:rsid w:val="008055CC"/>
    <w:rsid w:val="0080560B"/>
    <w:rsid w:val="008056D7"/>
    <w:rsid w:val="0080579C"/>
    <w:rsid w:val="008057F3"/>
    <w:rsid w:val="0080588D"/>
    <w:rsid w:val="008058A8"/>
    <w:rsid w:val="008058C1"/>
    <w:rsid w:val="00805B98"/>
    <w:rsid w:val="00805CEE"/>
    <w:rsid w:val="00805D6C"/>
    <w:rsid w:val="00805FE1"/>
    <w:rsid w:val="00806046"/>
    <w:rsid w:val="008061DF"/>
    <w:rsid w:val="00806260"/>
    <w:rsid w:val="008066C6"/>
    <w:rsid w:val="0080672B"/>
    <w:rsid w:val="0080675F"/>
    <w:rsid w:val="008067E9"/>
    <w:rsid w:val="00806836"/>
    <w:rsid w:val="00806876"/>
    <w:rsid w:val="00806EF5"/>
    <w:rsid w:val="00807129"/>
    <w:rsid w:val="008071E0"/>
    <w:rsid w:val="0080728A"/>
    <w:rsid w:val="008073D6"/>
    <w:rsid w:val="008074A9"/>
    <w:rsid w:val="00807555"/>
    <w:rsid w:val="008075D4"/>
    <w:rsid w:val="008079C6"/>
    <w:rsid w:val="008079DC"/>
    <w:rsid w:val="00807B17"/>
    <w:rsid w:val="00807BCF"/>
    <w:rsid w:val="00807C0C"/>
    <w:rsid w:val="00807C71"/>
    <w:rsid w:val="00807E41"/>
    <w:rsid w:val="008101AA"/>
    <w:rsid w:val="00810214"/>
    <w:rsid w:val="00810483"/>
    <w:rsid w:val="008106DF"/>
    <w:rsid w:val="008108C8"/>
    <w:rsid w:val="0081096D"/>
    <w:rsid w:val="00810A08"/>
    <w:rsid w:val="00810AC8"/>
    <w:rsid w:val="00810B65"/>
    <w:rsid w:val="00810DBA"/>
    <w:rsid w:val="008110F3"/>
    <w:rsid w:val="0081119A"/>
    <w:rsid w:val="008111BB"/>
    <w:rsid w:val="00811203"/>
    <w:rsid w:val="0081121E"/>
    <w:rsid w:val="00811249"/>
    <w:rsid w:val="00811331"/>
    <w:rsid w:val="008113C5"/>
    <w:rsid w:val="008114F2"/>
    <w:rsid w:val="0081178C"/>
    <w:rsid w:val="00811AA7"/>
    <w:rsid w:val="00811B2B"/>
    <w:rsid w:val="00811DA4"/>
    <w:rsid w:val="00812081"/>
    <w:rsid w:val="008120C0"/>
    <w:rsid w:val="00812106"/>
    <w:rsid w:val="00812276"/>
    <w:rsid w:val="0081243D"/>
    <w:rsid w:val="0081252A"/>
    <w:rsid w:val="0081262F"/>
    <w:rsid w:val="008126BE"/>
    <w:rsid w:val="008126F6"/>
    <w:rsid w:val="008129A1"/>
    <w:rsid w:val="00812ACA"/>
    <w:rsid w:val="00812CF9"/>
    <w:rsid w:val="00812D9B"/>
    <w:rsid w:val="00812DF5"/>
    <w:rsid w:val="00812F5D"/>
    <w:rsid w:val="0081317D"/>
    <w:rsid w:val="008131DC"/>
    <w:rsid w:val="00813205"/>
    <w:rsid w:val="008133FB"/>
    <w:rsid w:val="00813679"/>
    <w:rsid w:val="00813786"/>
    <w:rsid w:val="00813857"/>
    <w:rsid w:val="00813982"/>
    <w:rsid w:val="00813A4C"/>
    <w:rsid w:val="00813ADA"/>
    <w:rsid w:val="00813C13"/>
    <w:rsid w:val="00813EDD"/>
    <w:rsid w:val="00813F7C"/>
    <w:rsid w:val="0081405B"/>
    <w:rsid w:val="00814347"/>
    <w:rsid w:val="0081440C"/>
    <w:rsid w:val="00814597"/>
    <w:rsid w:val="0081459D"/>
    <w:rsid w:val="0081462F"/>
    <w:rsid w:val="0081466A"/>
    <w:rsid w:val="00814691"/>
    <w:rsid w:val="0081494A"/>
    <w:rsid w:val="00814A5A"/>
    <w:rsid w:val="00814A9C"/>
    <w:rsid w:val="00814B32"/>
    <w:rsid w:val="00814BEC"/>
    <w:rsid w:val="00814E36"/>
    <w:rsid w:val="00814ED0"/>
    <w:rsid w:val="00814EDD"/>
    <w:rsid w:val="00814EFA"/>
    <w:rsid w:val="00814F29"/>
    <w:rsid w:val="00814FAA"/>
    <w:rsid w:val="00814FF1"/>
    <w:rsid w:val="00815069"/>
    <w:rsid w:val="0081506D"/>
    <w:rsid w:val="0081523B"/>
    <w:rsid w:val="00815297"/>
    <w:rsid w:val="008152D4"/>
    <w:rsid w:val="00815419"/>
    <w:rsid w:val="0081544E"/>
    <w:rsid w:val="00815592"/>
    <w:rsid w:val="00815739"/>
    <w:rsid w:val="008158A6"/>
    <w:rsid w:val="00815AEA"/>
    <w:rsid w:val="00815BC4"/>
    <w:rsid w:val="00815C47"/>
    <w:rsid w:val="00815FF3"/>
    <w:rsid w:val="008160C4"/>
    <w:rsid w:val="0081623F"/>
    <w:rsid w:val="00816241"/>
    <w:rsid w:val="008162F3"/>
    <w:rsid w:val="0081646C"/>
    <w:rsid w:val="008165A2"/>
    <w:rsid w:val="00816617"/>
    <w:rsid w:val="0081681E"/>
    <w:rsid w:val="008168F7"/>
    <w:rsid w:val="00816902"/>
    <w:rsid w:val="008169F4"/>
    <w:rsid w:val="00816A56"/>
    <w:rsid w:val="00816A95"/>
    <w:rsid w:val="00816BF2"/>
    <w:rsid w:val="00816C23"/>
    <w:rsid w:val="00816C48"/>
    <w:rsid w:val="00817231"/>
    <w:rsid w:val="008172CF"/>
    <w:rsid w:val="008176E2"/>
    <w:rsid w:val="00817742"/>
    <w:rsid w:val="00817751"/>
    <w:rsid w:val="008178DB"/>
    <w:rsid w:val="008178E4"/>
    <w:rsid w:val="00817A93"/>
    <w:rsid w:val="00817A9C"/>
    <w:rsid w:val="00817B8F"/>
    <w:rsid w:val="00817CDC"/>
    <w:rsid w:val="00817DB7"/>
    <w:rsid w:val="00817FBD"/>
    <w:rsid w:val="0082002B"/>
    <w:rsid w:val="008200C6"/>
    <w:rsid w:val="008200D1"/>
    <w:rsid w:val="00820181"/>
    <w:rsid w:val="00820274"/>
    <w:rsid w:val="0082029E"/>
    <w:rsid w:val="008202BC"/>
    <w:rsid w:val="008202E8"/>
    <w:rsid w:val="008203A8"/>
    <w:rsid w:val="00820616"/>
    <w:rsid w:val="00820632"/>
    <w:rsid w:val="008207A9"/>
    <w:rsid w:val="00820B39"/>
    <w:rsid w:val="00820D29"/>
    <w:rsid w:val="00820DE8"/>
    <w:rsid w:val="00820E05"/>
    <w:rsid w:val="00820F1E"/>
    <w:rsid w:val="008211DF"/>
    <w:rsid w:val="008211EE"/>
    <w:rsid w:val="00821589"/>
    <w:rsid w:val="008216FB"/>
    <w:rsid w:val="0082184E"/>
    <w:rsid w:val="00821879"/>
    <w:rsid w:val="00821927"/>
    <w:rsid w:val="008219BC"/>
    <w:rsid w:val="008219E8"/>
    <w:rsid w:val="00821A62"/>
    <w:rsid w:val="00821BDB"/>
    <w:rsid w:val="00821C21"/>
    <w:rsid w:val="00821DDA"/>
    <w:rsid w:val="00821E9D"/>
    <w:rsid w:val="00821FCC"/>
    <w:rsid w:val="0082202C"/>
    <w:rsid w:val="008220B8"/>
    <w:rsid w:val="00822154"/>
    <w:rsid w:val="008222A0"/>
    <w:rsid w:val="00822366"/>
    <w:rsid w:val="008223F2"/>
    <w:rsid w:val="008224D9"/>
    <w:rsid w:val="00822517"/>
    <w:rsid w:val="008225C3"/>
    <w:rsid w:val="00822621"/>
    <w:rsid w:val="00822680"/>
    <w:rsid w:val="00822795"/>
    <w:rsid w:val="008228BC"/>
    <w:rsid w:val="008228FE"/>
    <w:rsid w:val="00822999"/>
    <w:rsid w:val="00822C48"/>
    <w:rsid w:val="00822CC1"/>
    <w:rsid w:val="00822EDA"/>
    <w:rsid w:val="00822F15"/>
    <w:rsid w:val="00822F66"/>
    <w:rsid w:val="00823073"/>
    <w:rsid w:val="00823084"/>
    <w:rsid w:val="00823452"/>
    <w:rsid w:val="0082361F"/>
    <w:rsid w:val="008239E3"/>
    <w:rsid w:val="00823A11"/>
    <w:rsid w:val="00823A71"/>
    <w:rsid w:val="00823B03"/>
    <w:rsid w:val="00823CBE"/>
    <w:rsid w:val="00823E4D"/>
    <w:rsid w:val="00823EFD"/>
    <w:rsid w:val="00824316"/>
    <w:rsid w:val="0082458C"/>
    <w:rsid w:val="0082470E"/>
    <w:rsid w:val="00824765"/>
    <w:rsid w:val="008248F9"/>
    <w:rsid w:val="00824909"/>
    <w:rsid w:val="008249B0"/>
    <w:rsid w:val="00824A5B"/>
    <w:rsid w:val="00824AE2"/>
    <w:rsid w:val="00824B9A"/>
    <w:rsid w:val="00824BE9"/>
    <w:rsid w:val="00824C35"/>
    <w:rsid w:val="00824C7E"/>
    <w:rsid w:val="00825010"/>
    <w:rsid w:val="00825074"/>
    <w:rsid w:val="00825164"/>
    <w:rsid w:val="008252E3"/>
    <w:rsid w:val="00825345"/>
    <w:rsid w:val="00825364"/>
    <w:rsid w:val="0082537C"/>
    <w:rsid w:val="00825382"/>
    <w:rsid w:val="008253AF"/>
    <w:rsid w:val="008253B4"/>
    <w:rsid w:val="008253D9"/>
    <w:rsid w:val="00825435"/>
    <w:rsid w:val="008255B0"/>
    <w:rsid w:val="0082560B"/>
    <w:rsid w:val="00825B50"/>
    <w:rsid w:val="00825DAC"/>
    <w:rsid w:val="00826020"/>
    <w:rsid w:val="00826110"/>
    <w:rsid w:val="008261F1"/>
    <w:rsid w:val="0082636C"/>
    <w:rsid w:val="008263CE"/>
    <w:rsid w:val="008264B5"/>
    <w:rsid w:val="008264DA"/>
    <w:rsid w:val="008264E4"/>
    <w:rsid w:val="00826817"/>
    <w:rsid w:val="00826883"/>
    <w:rsid w:val="00826914"/>
    <w:rsid w:val="00826C04"/>
    <w:rsid w:val="00826DC2"/>
    <w:rsid w:val="00827184"/>
    <w:rsid w:val="008271F3"/>
    <w:rsid w:val="00827819"/>
    <w:rsid w:val="0082787F"/>
    <w:rsid w:val="008278F4"/>
    <w:rsid w:val="0082797E"/>
    <w:rsid w:val="00827AAD"/>
    <w:rsid w:val="00827AFE"/>
    <w:rsid w:val="00827B69"/>
    <w:rsid w:val="00827C1A"/>
    <w:rsid w:val="00827D94"/>
    <w:rsid w:val="00827DA9"/>
    <w:rsid w:val="00827E9D"/>
    <w:rsid w:val="0083003E"/>
    <w:rsid w:val="0083005F"/>
    <w:rsid w:val="0083015C"/>
    <w:rsid w:val="00830450"/>
    <w:rsid w:val="0083045C"/>
    <w:rsid w:val="00830580"/>
    <w:rsid w:val="00830B06"/>
    <w:rsid w:val="00830CEB"/>
    <w:rsid w:val="00831061"/>
    <w:rsid w:val="00831063"/>
    <w:rsid w:val="00831098"/>
    <w:rsid w:val="00831151"/>
    <w:rsid w:val="008311AE"/>
    <w:rsid w:val="008311D0"/>
    <w:rsid w:val="00831295"/>
    <w:rsid w:val="008312F4"/>
    <w:rsid w:val="00831557"/>
    <w:rsid w:val="0083155D"/>
    <w:rsid w:val="00831597"/>
    <w:rsid w:val="008315A5"/>
    <w:rsid w:val="008315F4"/>
    <w:rsid w:val="008316B4"/>
    <w:rsid w:val="008317CA"/>
    <w:rsid w:val="00831899"/>
    <w:rsid w:val="008318E6"/>
    <w:rsid w:val="0083192F"/>
    <w:rsid w:val="00831AB2"/>
    <w:rsid w:val="00831B9B"/>
    <w:rsid w:val="00831CB2"/>
    <w:rsid w:val="00831DCE"/>
    <w:rsid w:val="00832032"/>
    <w:rsid w:val="008320DD"/>
    <w:rsid w:val="0083232D"/>
    <w:rsid w:val="008324B4"/>
    <w:rsid w:val="008325C7"/>
    <w:rsid w:val="0083267E"/>
    <w:rsid w:val="00832801"/>
    <w:rsid w:val="0083291B"/>
    <w:rsid w:val="00832B8F"/>
    <w:rsid w:val="00832C4C"/>
    <w:rsid w:val="00832CCB"/>
    <w:rsid w:val="00832D0A"/>
    <w:rsid w:val="00832D9E"/>
    <w:rsid w:val="008330E2"/>
    <w:rsid w:val="008331BA"/>
    <w:rsid w:val="008334CC"/>
    <w:rsid w:val="008337D8"/>
    <w:rsid w:val="0083384E"/>
    <w:rsid w:val="008338BB"/>
    <w:rsid w:val="00833938"/>
    <w:rsid w:val="00833986"/>
    <w:rsid w:val="008339ED"/>
    <w:rsid w:val="00833A74"/>
    <w:rsid w:val="00833AB9"/>
    <w:rsid w:val="00833AE7"/>
    <w:rsid w:val="00833BE3"/>
    <w:rsid w:val="00833E42"/>
    <w:rsid w:val="00833E88"/>
    <w:rsid w:val="00833ED9"/>
    <w:rsid w:val="00833EF8"/>
    <w:rsid w:val="00833F34"/>
    <w:rsid w:val="0083427E"/>
    <w:rsid w:val="008343A3"/>
    <w:rsid w:val="00834566"/>
    <w:rsid w:val="0083487F"/>
    <w:rsid w:val="00834B33"/>
    <w:rsid w:val="00834B4E"/>
    <w:rsid w:val="00834D70"/>
    <w:rsid w:val="00834DB2"/>
    <w:rsid w:val="00834DFB"/>
    <w:rsid w:val="00834E2D"/>
    <w:rsid w:val="00834E9B"/>
    <w:rsid w:val="00834F40"/>
    <w:rsid w:val="00834F53"/>
    <w:rsid w:val="00835012"/>
    <w:rsid w:val="008350AF"/>
    <w:rsid w:val="00835169"/>
    <w:rsid w:val="0083534D"/>
    <w:rsid w:val="008354C5"/>
    <w:rsid w:val="0083551C"/>
    <w:rsid w:val="00835635"/>
    <w:rsid w:val="00835695"/>
    <w:rsid w:val="00835BFB"/>
    <w:rsid w:val="00835C16"/>
    <w:rsid w:val="00835D7F"/>
    <w:rsid w:val="00835E0D"/>
    <w:rsid w:val="00835E4A"/>
    <w:rsid w:val="00835F70"/>
    <w:rsid w:val="00835F83"/>
    <w:rsid w:val="0083600F"/>
    <w:rsid w:val="0083607F"/>
    <w:rsid w:val="00836081"/>
    <w:rsid w:val="00836114"/>
    <w:rsid w:val="00836472"/>
    <w:rsid w:val="008366E4"/>
    <w:rsid w:val="008367A5"/>
    <w:rsid w:val="00836861"/>
    <w:rsid w:val="00836909"/>
    <w:rsid w:val="0083698F"/>
    <w:rsid w:val="008369D9"/>
    <w:rsid w:val="008369EE"/>
    <w:rsid w:val="00836A61"/>
    <w:rsid w:val="00836BF3"/>
    <w:rsid w:val="00836CFA"/>
    <w:rsid w:val="00836DFD"/>
    <w:rsid w:val="00836E02"/>
    <w:rsid w:val="00836E36"/>
    <w:rsid w:val="00836EA8"/>
    <w:rsid w:val="00836EF1"/>
    <w:rsid w:val="00836F28"/>
    <w:rsid w:val="00837017"/>
    <w:rsid w:val="008370BD"/>
    <w:rsid w:val="00837145"/>
    <w:rsid w:val="00837251"/>
    <w:rsid w:val="00837424"/>
    <w:rsid w:val="0083746E"/>
    <w:rsid w:val="0083768A"/>
    <w:rsid w:val="008376D3"/>
    <w:rsid w:val="0083779A"/>
    <w:rsid w:val="008377EC"/>
    <w:rsid w:val="008379EC"/>
    <w:rsid w:val="00837A0C"/>
    <w:rsid w:val="00837B9B"/>
    <w:rsid w:val="00837C15"/>
    <w:rsid w:val="00837D3E"/>
    <w:rsid w:val="00837DE0"/>
    <w:rsid w:val="00837EE4"/>
    <w:rsid w:val="00837F93"/>
    <w:rsid w:val="00840068"/>
    <w:rsid w:val="008401B6"/>
    <w:rsid w:val="00840358"/>
    <w:rsid w:val="00840417"/>
    <w:rsid w:val="00840579"/>
    <w:rsid w:val="0084061A"/>
    <w:rsid w:val="00840B03"/>
    <w:rsid w:val="00840B7B"/>
    <w:rsid w:val="00840D14"/>
    <w:rsid w:val="00840D88"/>
    <w:rsid w:val="0084114B"/>
    <w:rsid w:val="00841193"/>
    <w:rsid w:val="00841263"/>
    <w:rsid w:val="0084128F"/>
    <w:rsid w:val="008413D0"/>
    <w:rsid w:val="00841441"/>
    <w:rsid w:val="008414EC"/>
    <w:rsid w:val="008415EC"/>
    <w:rsid w:val="00841774"/>
    <w:rsid w:val="00841843"/>
    <w:rsid w:val="00841861"/>
    <w:rsid w:val="00841972"/>
    <w:rsid w:val="00841A5B"/>
    <w:rsid w:val="00841D79"/>
    <w:rsid w:val="00841DFD"/>
    <w:rsid w:val="00841E12"/>
    <w:rsid w:val="00841EA5"/>
    <w:rsid w:val="00841FD0"/>
    <w:rsid w:val="0084239A"/>
    <w:rsid w:val="00842491"/>
    <w:rsid w:val="008424CB"/>
    <w:rsid w:val="008425FF"/>
    <w:rsid w:val="00842661"/>
    <w:rsid w:val="00842A58"/>
    <w:rsid w:val="00842B4C"/>
    <w:rsid w:val="00843021"/>
    <w:rsid w:val="008432E5"/>
    <w:rsid w:val="00843472"/>
    <w:rsid w:val="008437A5"/>
    <w:rsid w:val="00843B60"/>
    <w:rsid w:val="00843BD2"/>
    <w:rsid w:val="00843C07"/>
    <w:rsid w:val="00843E7A"/>
    <w:rsid w:val="00843ECE"/>
    <w:rsid w:val="00844023"/>
    <w:rsid w:val="00844038"/>
    <w:rsid w:val="008441CF"/>
    <w:rsid w:val="0084423F"/>
    <w:rsid w:val="008444F9"/>
    <w:rsid w:val="0084482B"/>
    <w:rsid w:val="00844AEB"/>
    <w:rsid w:val="00844AFB"/>
    <w:rsid w:val="00844BF3"/>
    <w:rsid w:val="00844C7E"/>
    <w:rsid w:val="00844CC3"/>
    <w:rsid w:val="00844D99"/>
    <w:rsid w:val="00844D9F"/>
    <w:rsid w:val="00844E66"/>
    <w:rsid w:val="00844FC1"/>
    <w:rsid w:val="008450F9"/>
    <w:rsid w:val="008451E0"/>
    <w:rsid w:val="0084534C"/>
    <w:rsid w:val="00845424"/>
    <w:rsid w:val="00845447"/>
    <w:rsid w:val="0084550A"/>
    <w:rsid w:val="008456E4"/>
    <w:rsid w:val="008456E7"/>
    <w:rsid w:val="008458D0"/>
    <w:rsid w:val="00845947"/>
    <w:rsid w:val="00845B54"/>
    <w:rsid w:val="00845C8D"/>
    <w:rsid w:val="00845D41"/>
    <w:rsid w:val="00845FC5"/>
    <w:rsid w:val="008461CE"/>
    <w:rsid w:val="008463DC"/>
    <w:rsid w:val="0084673E"/>
    <w:rsid w:val="00846763"/>
    <w:rsid w:val="008468D0"/>
    <w:rsid w:val="00846A28"/>
    <w:rsid w:val="00846C41"/>
    <w:rsid w:val="00846D06"/>
    <w:rsid w:val="0084716E"/>
    <w:rsid w:val="00847255"/>
    <w:rsid w:val="00847377"/>
    <w:rsid w:val="0084778B"/>
    <w:rsid w:val="008477DA"/>
    <w:rsid w:val="00847814"/>
    <w:rsid w:val="00847902"/>
    <w:rsid w:val="00847E9A"/>
    <w:rsid w:val="00847ED6"/>
    <w:rsid w:val="00847F18"/>
    <w:rsid w:val="00847F92"/>
    <w:rsid w:val="00850049"/>
    <w:rsid w:val="0085009C"/>
    <w:rsid w:val="00850132"/>
    <w:rsid w:val="00850296"/>
    <w:rsid w:val="008505FE"/>
    <w:rsid w:val="0085064F"/>
    <w:rsid w:val="008506A3"/>
    <w:rsid w:val="00850771"/>
    <w:rsid w:val="008507EE"/>
    <w:rsid w:val="00850872"/>
    <w:rsid w:val="00850907"/>
    <w:rsid w:val="008509A5"/>
    <w:rsid w:val="008509F7"/>
    <w:rsid w:val="00850D58"/>
    <w:rsid w:val="00850D8A"/>
    <w:rsid w:val="00850E52"/>
    <w:rsid w:val="00850F99"/>
    <w:rsid w:val="00850FB7"/>
    <w:rsid w:val="0085102B"/>
    <w:rsid w:val="0085128F"/>
    <w:rsid w:val="00851335"/>
    <w:rsid w:val="00851445"/>
    <w:rsid w:val="00851510"/>
    <w:rsid w:val="008516D2"/>
    <w:rsid w:val="00851820"/>
    <w:rsid w:val="0085185E"/>
    <w:rsid w:val="00851864"/>
    <w:rsid w:val="00851BD6"/>
    <w:rsid w:val="00851CD4"/>
    <w:rsid w:val="00851E16"/>
    <w:rsid w:val="008520F7"/>
    <w:rsid w:val="0085224F"/>
    <w:rsid w:val="0085242A"/>
    <w:rsid w:val="0085247D"/>
    <w:rsid w:val="008524AD"/>
    <w:rsid w:val="008524C3"/>
    <w:rsid w:val="00852565"/>
    <w:rsid w:val="008525FE"/>
    <w:rsid w:val="008526F2"/>
    <w:rsid w:val="0085290A"/>
    <w:rsid w:val="008529B1"/>
    <w:rsid w:val="00852A31"/>
    <w:rsid w:val="00852B35"/>
    <w:rsid w:val="00852B63"/>
    <w:rsid w:val="00852B8E"/>
    <w:rsid w:val="00852C1F"/>
    <w:rsid w:val="00852CDB"/>
    <w:rsid w:val="008530B0"/>
    <w:rsid w:val="0085319A"/>
    <w:rsid w:val="008533DF"/>
    <w:rsid w:val="008534FC"/>
    <w:rsid w:val="0085356C"/>
    <w:rsid w:val="008537E5"/>
    <w:rsid w:val="00853BA7"/>
    <w:rsid w:val="00853C24"/>
    <w:rsid w:val="00853D88"/>
    <w:rsid w:val="00853F07"/>
    <w:rsid w:val="00853F59"/>
    <w:rsid w:val="00854033"/>
    <w:rsid w:val="00854075"/>
    <w:rsid w:val="00854123"/>
    <w:rsid w:val="0085432E"/>
    <w:rsid w:val="0085441A"/>
    <w:rsid w:val="0085461B"/>
    <w:rsid w:val="0085471E"/>
    <w:rsid w:val="008547EA"/>
    <w:rsid w:val="008548BC"/>
    <w:rsid w:val="00854904"/>
    <w:rsid w:val="00854B5B"/>
    <w:rsid w:val="00854EFF"/>
    <w:rsid w:val="00855078"/>
    <w:rsid w:val="0085513A"/>
    <w:rsid w:val="008554DD"/>
    <w:rsid w:val="008555CE"/>
    <w:rsid w:val="008557F7"/>
    <w:rsid w:val="00855AD3"/>
    <w:rsid w:val="00855C4B"/>
    <w:rsid w:val="00855C8B"/>
    <w:rsid w:val="00855D08"/>
    <w:rsid w:val="00855FE1"/>
    <w:rsid w:val="00856180"/>
    <w:rsid w:val="00856205"/>
    <w:rsid w:val="00856211"/>
    <w:rsid w:val="0085623E"/>
    <w:rsid w:val="0085623F"/>
    <w:rsid w:val="008563DE"/>
    <w:rsid w:val="008563FA"/>
    <w:rsid w:val="00856422"/>
    <w:rsid w:val="008564B3"/>
    <w:rsid w:val="00856504"/>
    <w:rsid w:val="008565AE"/>
    <w:rsid w:val="0085669F"/>
    <w:rsid w:val="008566A9"/>
    <w:rsid w:val="00856AF0"/>
    <w:rsid w:val="00856C7F"/>
    <w:rsid w:val="00856FE3"/>
    <w:rsid w:val="008570E9"/>
    <w:rsid w:val="008571A3"/>
    <w:rsid w:val="008571EF"/>
    <w:rsid w:val="008573D4"/>
    <w:rsid w:val="00857672"/>
    <w:rsid w:val="0085782F"/>
    <w:rsid w:val="008578D8"/>
    <w:rsid w:val="0085795F"/>
    <w:rsid w:val="00857A0A"/>
    <w:rsid w:val="00857CEB"/>
    <w:rsid w:val="00857D86"/>
    <w:rsid w:val="00857F12"/>
    <w:rsid w:val="00857FF8"/>
    <w:rsid w:val="00860141"/>
    <w:rsid w:val="00860144"/>
    <w:rsid w:val="008601DF"/>
    <w:rsid w:val="00860506"/>
    <w:rsid w:val="0086057F"/>
    <w:rsid w:val="00860B69"/>
    <w:rsid w:val="00860D8B"/>
    <w:rsid w:val="00860F00"/>
    <w:rsid w:val="00860F55"/>
    <w:rsid w:val="00860FA7"/>
    <w:rsid w:val="0086116B"/>
    <w:rsid w:val="008611B3"/>
    <w:rsid w:val="008612F3"/>
    <w:rsid w:val="00861378"/>
    <w:rsid w:val="008615BB"/>
    <w:rsid w:val="00861633"/>
    <w:rsid w:val="008617C9"/>
    <w:rsid w:val="008617CF"/>
    <w:rsid w:val="00861845"/>
    <w:rsid w:val="00861A32"/>
    <w:rsid w:val="00861A7F"/>
    <w:rsid w:val="00861AC1"/>
    <w:rsid w:val="00861AF8"/>
    <w:rsid w:val="00861B75"/>
    <w:rsid w:val="00861C87"/>
    <w:rsid w:val="00861CE1"/>
    <w:rsid w:val="00861DE6"/>
    <w:rsid w:val="00861E17"/>
    <w:rsid w:val="00861E5F"/>
    <w:rsid w:val="00861EE3"/>
    <w:rsid w:val="008620CD"/>
    <w:rsid w:val="0086216A"/>
    <w:rsid w:val="00862176"/>
    <w:rsid w:val="008621AE"/>
    <w:rsid w:val="008621F2"/>
    <w:rsid w:val="00862252"/>
    <w:rsid w:val="008622E2"/>
    <w:rsid w:val="008622EE"/>
    <w:rsid w:val="008624CE"/>
    <w:rsid w:val="008624D1"/>
    <w:rsid w:val="0086265E"/>
    <w:rsid w:val="0086275E"/>
    <w:rsid w:val="008628AE"/>
    <w:rsid w:val="008628CB"/>
    <w:rsid w:val="008628FF"/>
    <w:rsid w:val="008629BB"/>
    <w:rsid w:val="008629FC"/>
    <w:rsid w:val="0086306B"/>
    <w:rsid w:val="00863088"/>
    <w:rsid w:val="008630D8"/>
    <w:rsid w:val="00863271"/>
    <w:rsid w:val="008633A3"/>
    <w:rsid w:val="008634C3"/>
    <w:rsid w:val="008635CE"/>
    <w:rsid w:val="0086387B"/>
    <w:rsid w:val="0086396F"/>
    <w:rsid w:val="00863A35"/>
    <w:rsid w:val="00863B2F"/>
    <w:rsid w:val="00863DB4"/>
    <w:rsid w:val="00863DBE"/>
    <w:rsid w:val="00863EAB"/>
    <w:rsid w:val="00863EEB"/>
    <w:rsid w:val="00863FBA"/>
    <w:rsid w:val="008644A5"/>
    <w:rsid w:val="008644D5"/>
    <w:rsid w:val="00864558"/>
    <w:rsid w:val="00864630"/>
    <w:rsid w:val="00864652"/>
    <w:rsid w:val="008647FE"/>
    <w:rsid w:val="008648F3"/>
    <w:rsid w:val="00864981"/>
    <w:rsid w:val="00864A9F"/>
    <w:rsid w:val="00864BFE"/>
    <w:rsid w:val="00864D11"/>
    <w:rsid w:val="00864D2E"/>
    <w:rsid w:val="00864DFE"/>
    <w:rsid w:val="00864E37"/>
    <w:rsid w:val="0086508E"/>
    <w:rsid w:val="008653F3"/>
    <w:rsid w:val="00865562"/>
    <w:rsid w:val="0086560E"/>
    <w:rsid w:val="00865654"/>
    <w:rsid w:val="0086568A"/>
    <w:rsid w:val="00865835"/>
    <w:rsid w:val="00865855"/>
    <w:rsid w:val="00865A80"/>
    <w:rsid w:val="00865DA1"/>
    <w:rsid w:val="00865EF5"/>
    <w:rsid w:val="00866083"/>
    <w:rsid w:val="0086616F"/>
    <w:rsid w:val="008662BD"/>
    <w:rsid w:val="00866492"/>
    <w:rsid w:val="008665EB"/>
    <w:rsid w:val="0086666A"/>
    <w:rsid w:val="008666B7"/>
    <w:rsid w:val="0086697E"/>
    <w:rsid w:val="00866C3A"/>
    <w:rsid w:val="00866D0A"/>
    <w:rsid w:val="00866D4D"/>
    <w:rsid w:val="00866DDB"/>
    <w:rsid w:val="00866DEB"/>
    <w:rsid w:val="00866E32"/>
    <w:rsid w:val="00866E44"/>
    <w:rsid w:val="00866E49"/>
    <w:rsid w:val="00866E63"/>
    <w:rsid w:val="00866EC0"/>
    <w:rsid w:val="00866ECE"/>
    <w:rsid w:val="00866EED"/>
    <w:rsid w:val="00866F62"/>
    <w:rsid w:val="00866F8B"/>
    <w:rsid w:val="008672E2"/>
    <w:rsid w:val="008672E5"/>
    <w:rsid w:val="0086730E"/>
    <w:rsid w:val="00867759"/>
    <w:rsid w:val="00867874"/>
    <w:rsid w:val="008678A9"/>
    <w:rsid w:val="0086794A"/>
    <w:rsid w:val="00867A7F"/>
    <w:rsid w:val="00867B86"/>
    <w:rsid w:val="00867CFA"/>
    <w:rsid w:val="00867DAF"/>
    <w:rsid w:val="00867E10"/>
    <w:rsid w:val="00867E95"/>
    <w:rsid w:val="0087000E"/>
    <w:rsid w:val="0087010B"/>
    <w:rsid w:val="0087015B"/>
    <w:rsid w:val="008701BA"/>
    <w:rsid w:val="0087025D"/>
    <w:rsid w:val="00870268"/>
    <w:rsid w:val="008704B3"/>
    <w:rsid w:val="008704FA"/>
    <w:rsid w:val="008709AF"/>
    <w:rsid w:val="008709B7"/>
    <w:rsid w:val="00870B82"/>
    <w:rsid w:val="00870D4F"/>
    <w:rsid w:val="00870DC6"/>
    <w:rsid w:val="00870DE3"/>
    <w:rsid w:val="00870F4F"/>
    <w:rsid w:val="00871128"/>
    <w:rsid w:val="0087138F"/>
    <w:rsid w:val="00871511"/>
    <w:rsid w:val="0087151D"/>
    <w:rsid w:val="008715E6"/>
    <w:rsid w:val="008715EC"/>
    <w:rsid w:val="00871742"/>
    <w:rsid w:val="0087188A"/>
    <w:rsid w:val="008718DC"/>
    <w:rsid w:val="00871A2A"/>
    <w:rsid w:val="00871D6D"/>
    <w:rsid w:val="00871E8B"/>
    <w:rsid w:val="00871F30"/>
    <w:rsid w:val="00871FEF"/>
    <w:rsid w:val="008720C0"/>
    <w:rsid w:val="008720DA"/>
    <w:rsid w:val="0087218C"/>
    <w:rsid w:val="008722D6"/>
    <w:rsid w:val="008723F8"/>
    <w:rsid w:val="00872684"/>
    <w:rsid w:val="008726A8"/>
    <w:rsid w:val="0087276C"/>
    <w:rsid w:val="0087280F"/>
    <w:rsid w:val="00872988"/>
    <w:rsid w:val="00872A93"/>
    <w:rsid w:val="0087300E"/>
    <w:rsid w:val="00873385"/>
    <w:rsid w:val="008734C0"/>
    <w:rsid w:val="008735D4"/>
    <w:rsid w:val="008737F7"/>
    <w:rsid w:val="00873843"/>
    <w:rsid w:val="0087399C"/>
    <w:rsid w:val="008739DC"/>
    <w:rsid w:val="00873A34"/>
    <w:rsid w:val="00873A78"/>
    <w:rsid w:val="00873AAA"/>
    <w:rsid w:val="00873F36"/>
    <w:rsid w:val="00873FBA"/>
    <w:rsid w:val="0087400E"/>
    <w:rsid w:val="00874124"/>
    <w:rsid w:val="008742F7"/>
    <w:rsid w:val="00874318"/>
    <w:rsid w:val="008743DB"/>
    <w:rsid w:val="008745C2"/>
    <w:rsid w:val="00874669"/>
    <w:rsid w:val="00874688"/>
    <w:rsid w:val="0087471F"/>
    <w:rsid w:val="00874844"/>
    <w:rsid w:val="00874856"/>
    <w:rsid w:val="00874930"/>
    <w:rsid w:val="00874978"/>
    <w:rsid w:val="00874B18"/>
    <w:rsid w:val="00874E00"/>
    <w:rsid w:val="00874E33"/>
    <w:rsid w:val="00874E34"/>
    <w:rsid w:val="00874EA4"/>
    <w:rsid w:val="00874F27"/>
    <w:rsid w:val="008750F3"/>
    <w:rsid w:val="00875125"/>
    <w:rsid w:val="0087518B"/>
    <w:rsid w:val="008753F0"/>
    <w:rsid w:val="008754F9"/>
    <w:rsid w:val="0087558B"/>
    <w:rsid w:val="0087565D"/>
    <w:rsid w:val="008758F7"/>
    <w:rsid w:val="008759D0"/>
    <w:rsid w:val="00875CB8"/>
    <w:rsid w:val="00875E19"/>
    <w:rsid w:val="00875E2B"/>
    <w:rsid w:val="00875F6E"/>
    <w:rsid w:val="0087635E"/>
    <w:rsid w:val="00876459"/>
    <w:rsid w:val="0087647C"/>
    <w:rsid w:val="0087654F"/>
    <w:rsid w:val="00876664"/>
    <w:rsid w:val="00876886"/>
    <w:rsid w:val="00876AEE"/>
    <w:rsid w:val="00876BFA"/>
    <w:rsid w:val="00876D91"/>
    <w:rsid w:val="00877072"/>
    <w:rsid w:val="008772E4"/>
    <w:rsid w:val="0087733D"/>
    <w:rsid w:val="00877404"/>
    <w:rsid w:val="0087768F"/>
    <w:rsid w:val="0087769C"/>
    <w:rsid w:val="008776B5"/>
    <w:rsid w:val="00877AC6"/>
    <w:rsid w:val="00877C46"/>
    <w:rsid w:val="00877D98"/>
    <w:rsid w:val="00877F69"/>
    <w:rsid w:val="0088008A"/>
    <w:rsid w:val="00880307"/>
    <w:rsid w:val="008803F4"/>
    <w:rsid w:val="00880546"/>
    <w:rsid w:val="008805FE"/>
    <w:rsid w:val="0088082B"/>
    <w:rsid w:val="0088082E"/>
    <w:rsid w:val="008809EF"/>
    <w:rsid w:val="00880AB9"/>
    <w:rsid w:val="00880BE4"/>
    <w:rsid w:val="00880CED"/>
    <w:rsid w:val="00880DE4"/>
    <w:rsid w:val="00880E22"/>
    <w:rsid w:val="00880FDF"/>
    <w:rsid w:val="0088102B"/>
    <w:rsid w:val="008817B8"/>
    <w:rsid w:val="008819A7"/>
    <w:rsid w:val="00881B80"/>
    <w:rsid w:val="00881CB9"/>
    <w:rsid w:val="00881D17"/>
    <w:rsid w:val="00881D8F"/>
    <w:rsid w:val="00882012"/>
    <w:rsid w:val="0088203E"/>
    <w:rsid w:val="00882097"/>
    <w:rsid w:val="008822FB"/>
    <w:rsid w:val="0088242B"/>
    <w:rsid w:val="008825DF"/>
    <w:rsid w:val="008826C0"/>
    <w:rsid w:val="0088272B"/>
    <w:rsid w:val="008828B1"/>
    <w:rsid w:val="0088290A"/>
    <w:rsid w:val="008829EE"/>
    <w:rsid w:val="008829F6"/>
    <w:rsid w:val="00882B54"/>
    <w:rsid w:val="00882B57"/>
    <w:rsid w:val="00882CF9"/>
    <w:rsid w:val="008833E2"/>
    <w:rsid w:val="00883479"/>
    <w:rsid w:val="0088354D"/>
    <w:rsid w:val="00883632"/>
    <w:rsid w:val="00883652"/>
    <w:rsid w:val="00883683"/>
    <w:rsid w:val="00883722"/>
    <w:rsid w:val="00883762"/>
    <w:rsid w:val="0088381B"/>
    <w:rsid w:val="00883982"/>
    <w:rsid w:val="008839D5"/>
    <w:rsid w:val="00883CF3"/>
    <w:rsid w:val="00884096"/>
    <w:rsid w:val="0088409A"/>
    <w:rsid w:val="008840AF"/>
    <w:rsid w:val="00884312"/>
    <w:rsid w:val="00884364"/>
    <w:rsid w:val="008843E1"/>
    <w:rsid w:val="008843FD"/>
    <w:rsid w:val="0088445C"/>
    <w:rsid w:val="0088447E"/>
    <w:rsid w:val="008846E1"/>
    <w:rsid w:val="00884781"/>
    <w:rsid w:val="00884B0E"/>
    <w:rsid w:val="00884B21"/>
    <w:rsid w:val="00884B64"/>
    <w:rsid w:val="00884CD0"/>
    <w:rsid w:val="00884D48"/>
    <w:rsid w:val="00884E76"/>
    <w:rsid w:val="00884E79"/>
    <w:rsid w:val="00884E84"/>
    <w:rsid w:val="00884E91"/>
    <w:rsid w:val="00884EBA"/>
    <w:rsid w:val="00884F31"/>
    <w:rsid w:val="00884F36"/>
    <w:rsid w:val="00885056"/>
    <w:rsid w:val="00885131"/>
    <w:rsid w:val="0088543B"/>
    <w:rsid w:val="008854AB"/>
    <w:rsid w:val="00885529"/>
    <w:rsid w:val="0088563D"/>
    <w:rsid w:val="00885772"/>
    <w:rsid w:val="00885811"/>
    <w:rsid w:val="00885875"/>
    <w:rsid w:val="00885921"/>
    <w:rsid w:val="00885A97"/>
    <w:rsid w:val="00885B2F"/>
    <w:rsid w:val="00885C39"/>
    <w:rsid w:val="00885C59"/>
    <w:rsid w:val="00885CBA"/>
    <w:rsid w:val="008860DC"/>
    <w:rsid w:val="00886267"/>
    <w:rsid w:val="0088657E"/>
    <w:rsid w:val="008865D5"/>
    <w:rsid w:val="0088664C"/>
    <w:rsid w:val="0088667A"/>
    <w:rsid w:val="00886687"/>
    <w:rsid w:val="00886695"/>
    <w:rsid w:val="0088678D"/>
    <w:rsid w:val="00886854"/>
    <w:rsid w:val="00886A6F"/>
    <w:rsid w:val="00886A98"/>
    <w:rsid w:val="00886BAF"/>
    <w:rsid w:val="00886C25"/>
    <w:rsid w:val="00886D88"/>
    <w:rsid w:val="00886DCD"/>
    <w:rsid w:val="00886EEE"/>
    <w:rsid w:val="008870FD"/>
    <w:rsid w:val="0088710D"/>
    <w:rsid w:val="008872EC"/>
    <w:rsid w:val="00887317"/>
    <w:rsid w:val="008873EE"/>
    <w:rsid w:val="008874F0"/>
    <w:rsid w:val="0088764E"/>
    <w:rsid w:val="008876C7"/>
    <w:rsid w:val="00887792"/>
    <w:rsid w:val="00887CD7"/>
    <w:rsid w:val="00887DEF"/>
    <w:rsid w:val="00887DF6"/>
    <w:rsid w:val="00887E13"/>
    <w:rsid w:val="00887E44"/>
    <w:rsid w:val="00887FD1"/>
    <w:rsid w:val="008894C7"/>
    <w:rsid w:val="00890063"/>
    <w:rsid w:val="008900B7"/>
    <w:rsid w:val="008901B6"/>
    <w:rsid w:val="00890241"/>
    <w:rsid w:val="008902DC"/>
    <w:rsid w:val="008905A0"/>
    <w:rsid w:val="008905A1"/>
    <w:rsid w:val="008908A5"/>
    <w:rsid w:val="008908AE"/>
    <w:rsid w:val="00890BF1"/>
    <w:rsid w:val="00890BF4"/>
    <w:rsid w:val="00890D2C"/>
    <w:rsid w:val="00890DE0"/>
    <w:rsid w:val="00890E13"/>
    <w:rsid w:val="00890E19"/>
    <w:rsid w:val="00890EDF"/>
    <w:rsid w:val="00890FB6"/>
    <w:rsid w:val="00891095"/>
    <w:rsid w:val="00891160"/>
    <w:rsid w:val="008911B0"/>
    <w:rsid w:val="00891282"/>
    <w:rsid w:val="0089133C"/>
    <w:rsid w:val="00891390"/>
    <w:rsid w:val="008913D3"/>
    <w:rsid w:val="00891602"/>
    <w:rsid w:val="0089164D"/>
    <w:rsid w:val="0089171E"/>
    <w:rsid w:val="00891808"/>
    <w:rsid w:val="00891819"/>
    <w:rsid w:val="008918AD"/>
    <w:rsid w:val="0089191A"/>
    <w:rsid w:val="008919B5"/>
    <w:rsid w:val="00891B1A"/>
    <w:rsid w:val="00891BD4"/>
    <w:rsid w:val="00891D25"/>
    <w:rsid w:val="00891DEB"/>
    <w:rsid w:val="00891E76"/>
    <w:rsid w:val="00891E80"/>
    <w:rsid w:val="00891F11"/>
    <w:rsid w:val="00891FEB"/>
    <w:rsid w:val="0089213C"/>
    <w:rsid w:val="00892203"/>
    <w:rsid w:val="00892288"/>
    <w:rsid w:val="008922E5"/>
    <w:rsid w:val="008923D8"/>
    <w:rsid w:val="00892434"/>
    <w:rsid w:val="00892480"/>
    <w:rsid w:val="00892620"/>
    <w:rsid w:val="0089264A"/>
    <w:rsid w:val="0089271A"/>
    <w:rsid w:val="008927C2"/>
    <w:rsid w:val="00892800"/>
    <w:rsid w:val="0089285A"/>
    <w:rsid w:val="0089292E"/>
    <w:rsid w:val="00892984"/>
    <w:rsid w:val="0089298B"/>
    <w:rsid w:val="00892AA9"/>
    <w:rsid w:val="00892BAA"/>
    <w:rsid w:val="00892BC7"/>
    <w:rsid w:val="00892BCD"/>
    <w:rsid w:val="00892BE3"/>
    <w:rsid w:val="0089304C"/>
    <w:rsid w:val="0089309A"/>
    <w:rsid w:val="00893246"/>
    <w:rsid w:val="00893303"/>
    <w:rsid w:val="00893471"/>
    <w:rsid w:val="00893474"/>
    <w:rsid w:val="0089348D"/>
    <w:rsid w:val="008934BF"/>
    <w:rsid w:val="0089367E"/>
    <w:rsid w:val="0089373E"/>
    <w:rsid w:val="0089387D"/>
    <w:rsid w:val="00893B52"/>
    <w:rsid w:val="00893BDB"/>
    <w:rsid w:val="00893F14"/>
    <w:rsid w:val="008940E5"/>
    <w:rsid w:val="0089415F"/>
    <w:rsid w:val="00894545"/>
    <w:rsid w:val="00894593"/>
    <w:rsid w:val="008945B3"/>
    <w:rsid w:val="008948A7"/>
    <w:rsid w:val="00894906"/>
    <w:rsid w:val="0089499B"/>
    <w:rsid w:val="00894AE5"/>
    <w:rsid w:val="00894B09"/>
    <w:rsid w:val="00894D14"/>
    <w:rsid w:val="00894D43"/>
    <w:rsid w:val="00894FCD"/>
    <w:rsid w:val="0089500B"/>
    <w:rsid w:val="008950E7"/>
    <w:rsid w:val="0089512B"/>
    <w:rsid w:val="0089517F"/>
    <w:rsid w:val="00895185"/>
    <w:rsid w:val="008952C8"/>
    <w:rsid w:val="0089531F"/>
    <w:rsid w:val="00895320"/>
    <w:rsid w:val="00895464"/>
    <w:rsid w:val="0089549B"/>
    <w:rsid w:val="00895582"/>
    <w:rsid w:val="008956D9"/>
    <w:rsid w:val="008956DE"/>
    <w:rsid w:val="00895832"/>
    <w:rsid w:val="00895990"/>
    <w:rsid w:val="00895A73"/>
    <w:rsid w:val="00895AB7"/>
    <w:rsid w:val="008960EC"/>
    <w:rsid w:val="0089616C"/>
    <w:rsid w:val="0089633C"/>
    <w:rsid w:val="008963AF"/>
    <w:rsid w:val="0089640E"/>
    <w:rsid w:val="0089648B"/>
    <w:rsid w:val="00896577"/>
    <w:rsid w:val="008965F9"/>
    <w:rsid w:val="008966C2"/>
    <w:rsid w:val="008968A9"/>
    <w:rsid w:val="00896A32"/>
    <w:rsid w:val="00896AEC"/>
    <w:rsid w:val="00896BAC"/>
    <w:rsid w:val="00896DD5"/>
    <w:rsid w:val="00896F13"/>
    <w:rsid w:val="008970A5"/>
    <w:rsid w:val="0089731B"/>
    <w:rsid w:val="00897418"/>
    <w:rsid w:val="00897615"/>
    <w:rsid w:val="00897805"/>
    <w:rsid w:val="008978BD"/>
    <w:rsid w:val="008978DB"/>
    <w:rsid w:val="00897BAD"/>
    <w:rsid w:val="00897CB3"/>
    <w:rsid w:val="00897E06"/>
    <w:rsid w:val="00897E7D"/>
    <w:rsid w:val="00897E81"/>
    <w:rsid w:val="008A0051"/>
    <w:rsid w:val="008A010D"/>
    <w:rsid w:val="008A01F4"/>
    <w:rsid w:val="008A021C"/>
    <w:rsid w:val="008A02A5"/>
    <w:rsid w:val="008A02CC"/>
    <w:rsid w:val="008A031A"/>
    <w:rsid w:val="008A0334"/>
    <w:rsid w:val="008A0352"/>
    <w:rsid w:val="008A0652"/>
    <w:rsid w:val="008A0885"/>
    <w:rsid w:val="008A0956"/>
    <w:rsid w:val="008A0B51"/>
    <w:rsid w:val="008A0C48"/>
    <w:rsid w:val="008A0CA2"/>
    <w:rsid w:val="008A0D7F"/>
    <w:rsid w:val="008A0E26"/>
    <w:rsid w:val="008A1029"/>
    <w:rsid w:val="008A11EE"/>
    <w:rsid w:val="008A1257"/>
    <w:rsid w:val="008A1461"/>
    <w:rsid w:val="008A14A3"/>
    <w:rsid w:val="008A14E5"/>
    <w:rsid w:val="008A158A"/>
    <w:rsid w:val="008A1844"/>
    <w:rsid w:val="008A186D"/>
    <w:rsid w:val="008A197B"/>
    <w:rsid w:val="008A19F8"/>
    <w:rsid w:val="008A1A7C"/>
    <w:rsid w:val="008A1B89"/>
    <w:rsid w:val="008A1D04"/>
    <w:rsid w:val="008A1D66"/>
    <w:rsid w:val="008A1D86"/>
    <w:rsid w:val="008A1E35"/>
    <w:rsid w:val="008A1EC3"/>
    <w:rsid w:val="008A1F54"/>
    <w:rsid w:val="008A2568"/>
    <w:rsid w:val="008A290F"/>
    <w:rsid w:val="008A299F"/>
    <w:rsid w:val="008A2A14"/>
    <w:rsid w:val="008A2B0E"/>
    <w:rsid w:val="008A2B30"/>
    <w:rsid w:val="008A2BAE"/>
    <w:rsid w:val="008A2D49"/>
    <w:rsid w:val="008A300F"/>
    <w:rsid w:val="008A3073"/>
    <w:rsid w:val="008A3165"/>
    <w:rsid w:val="008A33F4"/>
    <w:rsid w:val="008A34FE"/>
    <w:rsid w:val="008A35F7"/>
    <w:rsid w:val="008A370A"/>
    <w:rsid w:val="008A37DF"/>
    <w:rsid w:val="008A3944"/>
    <w:rsid w:val="008A3AC6"/>
    <w:rsid w:val="008A3AEE"/>
    <w:rsid w:val="008A3C50"/>
    <w:rsid w:val="008A3C5B"/>
    <w:rsid w:val="008A3F8D"/>
    <w:rsid w:val="008A40AB"/>
    <w:rsid w:val="008A4206"/>
    <w:rsid w:val="008A4306"/>
    <w:rsid w:val="008A43FC"/>
    <w:rsid w:val="008A457E"/>
    <w:rsid w:val="008A45DB"/>
    <w:rsid w:val="008A4629"/>
    <w:rsid w:val="008A474F"/>
    <w:rsid w:val="008A478A"/>
    <w:rsid w:val="008A47F0"/>
    <w:rsid w:val="008A487E"/>
    <w:rsid w:val="008A4AFC"/>
    <w:rsid w:val="008A50A8"/>
    <w:rsid w:val="008A50D8"/>
    <w:rsid w:val="008A51DE"/>
    <w:rsid w:val="008A521E"/>
    <w:rsid w:val="008A5460"/>
    <w:rsid w:val="008A5530"/>
    <w:rsid w:val="008A5575"/>
    <w:rsid w:val="008A57DD"/>
    <w:rsid w:val="008A58C4"/>
    <w:rsid w:val="008A5912"/>
    <w:rsid w:val="008A5965"/>
    <w:rsid w:val="008A5ABB"/>
    <w:rsid w:val="008A5AE6"/>
    <w:rsid w:val="008A5D35"/>
    <w:rsid w:val="008A5D44"/>
    <w:rsid w:val="008A5D84"/>
    <w:rsid w:val="008A5F8C"/>
    <w:rsid w:val="008A6079"/>
    <w:rsid w:val="008A6094"/>
    <w:rsid w:val="008A60E0"/>
    <w:rsid w:val="008A627F"/>
    <w:rsid w:val="008A62BC"/>
    <w:rsid w:val="008A62E2"/>
    <w:rsid w:val="008A6399"/>
    <w:rsid w:val="008A646B"/>
    <w:rsid w:val="008A676D"/>
    <w:rsid w:val="008A6C6C"/>
    <w:rsid w:val="008A6D61"/>
    <w:rsid w:val="008A6E23"/>
    <w:rsid w:val="008A6EDE"/>
    <w:rsid w:val="008A71FD"/>
    <w:rsid w:val="008A7432"/>
    <w:rsid w:val="008A745A"/>
    <w:rsid w:val="008A7655"/>
    <w:rsid w:val="008A7948"/>
    <w:rsid w:val="008A7C1B"/>
    <w:rsid w:val="008A7C89"/>
    <w:rsid w:val="008A7D5C"/>
    <w:rsid w:val="008A7FDF"/>
    <w:rsid w:val="008B0142"/>
    <w:rsid w:val="008B0231"/>
    <w:rsid w:val="008B0451"/>
    <w:rsid w:val="008B058C"/>
    <w:rsid w:val="008B079C"/>
    <w:rsid w:val="008B083F"/>
    <w:rsid w:val="008B088A"/>
    <w:rsid w:val="008B08DF"/>
    <w:rsid w:val="008B09E0"/>
    <w:rsid w:val="008B0C13"/>
    <w:rsid w:val="008B0D07"/>
    <w:rsid w:val="008B0D1C"/>
    <w:rsid w:val="008B0D9E"/>
    <w:rsid w:val="008B0FE4"/>
    <w:rsid w:val="008B1013"/>
    <w:rsid w:val="008B12F1"/>
    <w:rsid w:val="008B13BC"/>
    <w:rsid w:val="008B14F4"/>
    <w:rsid w:val="008B17B1"/>
    <w:rsid w:val="008B1803"/>
    <w:rsid w:val="008B18A9"/>
    <w:rsid w:val="008B1A64"/>
    <w:rsid w:val="008B1CF3"/>
    <w:rsid w:val="008B1E89"/>
    <w:rsid w:val="008B1F2B"/>
    <w:rsid w:val="008B1FAF"/>
    <w:rsid w:val="008B2001"/>
    <w:rsid w:val="008B206A"/>
    <w:rsid w:val="008B24AE"/>
    <w:rsid w:val="008B258F"/>
    <w:rsid w:val="008B2A93"/>
    <w:rsid w:val="008B2C34"/>
    <w:rsid w:val="008B2C71"/>
    <w:rsid w:val="008B2D37"/>
    <w:rsid w:val="008B2DD1"/>
    <w:rsid w:val="008B2DE1"/>
    <w:rsid w:val="008B2F77"/>
    <w:rsid w:val="008B2FB6"/>
    <w:rsid w:val="008B2FFE"/>
    <w:rsid w:val="008B30D4"/>
    <w:rsid w:val="008B3384"/>
    <w:rsid w:val="008B353F"/>
    <w:rsid w:val="008B36B7"/>
    <w:rsid w:val="008B36FF"/>
    <w:rsid w:val="008B3772"/>
    <w:rsid w:val="008B3800"/>
    <w:rsid w:val="008B395B"/>
    <w:rsid w:val="008B3A01"/>
    <w:rsid w:val="008B3AAC"/>
    <w:rsid w:val="008B3C56"/>
    <w:rsid w:val="008B40A3"/>
    <w:rsid w:val="008B4174"/>
    <w:rsid w:val="008B4234"/>
    <w:rsid w:val="008B423D"/>
    <w:rsid w:val="008B44CE"/>
    <w:rsid w:val="008B464D"/>
    <w:rsid w:val="008B4A29"/>
    <w:rsid w:val="008B4AB1"/>
    <w:rsid w:val="008B4B56"/>
    <w:rsid w:val="008B4B6E"/>
    <w:rsid w:val="008B4DF9"/>
    <w:rsid w:val="008B509D"/>
    <w:rsid w:val="008B50E9"/>
    <w:rsid w:val="008B5107"/>
    <w:rsid w:val="008B568B"/>
    <w:rsid w:val="008B5871"/>
    <w:rsid w:val="008B5909"/>
    <w:rsid w:val="008B5A0C"/>
    <w:rsid w:val="008B5A18"/>
    <w:rsid w:val="008B5AA8"/>
    <w:rsid w:val="008B5C18"/>
    <w:rsid w:val="008B5C51"/>
    <w:rsid w:val="008B5CE7"/>
    <w:rsid w:val="008B5D78"/>
    <w:rsid w:val="008B5E0F"/>
    <w:rsid w:val="008B60A8"/>
    <w:rsid w:val="008B610B"/>
    <w:rsid w:val="008B6118"/>
    <w:rsid w:val="008B623D"/>
    <w:rsid w:val="008B630C"/>
    <w:rsid w:val="008B642B"/>
    <w:rsid w:val="008B64DA"/>
    <w:rsid w:val="008B664D"/>
    <w:rsid w:val="008B66F8"/>
    <w:rsid w:val="008B6A3D"/>
    <w:rsid w:val="008B6B0A"/>
    <w:rsid w:val="008B6B21"/>
    <w:rsid w:val="008B6BE8"/>
    <w:rsid w:val="008B6C8C"/>
    <w:rsid w:val="008B6DF8"/>
    <w:rsid w:val="008B6E6A"/>
    <w:rsid w:val="008B6E94"/>
    <w:rsid w:val="008B70BB"/>
    <w:rsid w:val="008B711F"/>
    <w:rsid w:val="008B7138"/>
    <w:rsid w:val="008B7189"/>
    <w:rsid w:val="008B731E"/>
    <w:rsid w:val="008B7378"/>
    <w:rsid w:val="008B73C5"/>
    <w:rsid w:val="008B774A"/>
    <w:rsid w:val="008B7925"/>
    <w:rsid w:val="008B7A18"/>
    <w:rsid w:val="008B7B2B"/>
    <w:rsid w:val="008B7B68"/>
    <w:rsid w:val="008B7F10"/>
    <w:rsid w:val="008C003B"/>
    <w:rsid w:val="008C005F"/>
    <w:rsid w:val="008C02DE"/>
    <w:rsid w:val="008C02E4"/>
    <w:rsid w:val="008C0413"/>
    <w:rsid w:val="008C051D"/>
    <w:rsid w:val="008C0617"/>
    <w:rsid w:val="008C0B37"/>
    <w:rsid w:val="008C0DA5"/>
    <w:rsid w:val="008C0E0E"/>
    <w:rsid w:val="008C0E54"/>
    <w:rsid w:val="008C0FE7"/>
    <w:rsid w:val="008C150D"/>
    <w:rsid w:val="008C167C"/>
    <w:rsid w:val="008C1778"/>
    <w:rsid w:val="008C17ED"/>
    <w:rsid w:val="008C1820"/>
    <w:rsid w:val="008C190F"/>
    <w:rsid w:val="008C1A0D"/>
    <w:rsid w:val="008C1A7D"/>
    <w:rsid w:val="008C1A82"/>
    <w:rsid w:val="008C1D16"/>
    <w:rsid w:val="008C2009"/>
    <w:rsid w:val="008C210F"/>
    <w:rsid w:val="008C21C2"/>
    <w:rsid w:val="008C220E"/>
    <w:rsid w:val="008C223A"/>
    <w:rsid w:val="008C2467"/>
    <w:rsid w:val="008C2777"/>
    <w:rsid w:val="008C2798"/>
    <w:rsid w:val="008C28D4"/>
    <w:rsid w:val="008C28EF"/>
    <w:rsid w:val="008C2B1C"/>
    <w:rsid w:val="008C2C0D"/>
    <w:rsid w:val="008C2C45"/>
    <w:rsid w:val="008C2C9C"/>
    <w:rsid w:val="008C2CD2"/>
    <w:rsid w:val="008C2D0B"/>
    <w:rsid w:val="008C2E14"/>
    <w:rsid w:val="008C2E16"/>
    <w:rsid w:val="008C2E9C"/>
    <w:rsid w:val="008C2FE3"/>
    <w:rsid w:val="008C3067"/>
    <w:rsid w:val="008C3125"/>
    <w:rsid w:val="008C31E6"/>
    <w:rsid w:val="008C31FC"/>
    <w:rsid w:val="008C383C"/>
    <w:rsid w:val="008C3A1E"/>
    <w:rsid w:val="008C3B4C"/>
    <w:rsid w:val="008C3DA0"/>
    <w:rsid w:val="008C3ED7"/>
    <w:rsid w:val="008C3EF6"/>
    <w:rsid w:val="008C3F36"/>
    <w:rsid w:val="008C3F84"/>
    <w:rsid w:val="008C3FBD"/>
    <w:rsid w:val="008C3FD0"/>
    <w:rsid w:val="008C3FD1"/>
    <w:rsid w:val="008C4209"/>
    <w:rsid w:val="008C426E"/>
    <w:rsid w:val="008C4A14"/>
    <w:rsid w:val="008C4AE1"/>
    <w:rsid w:val="008C4B65"/>
    <w:rsid w:val="008C4C4D"/>
    <w:rsid w:val="008C5180"/>
    <w:rsid w:val="008C5254"/>
    <w:rsid w:val="008C52AF"/>
    <w:rsid w:val="008C52FC"/>
    <w:rsid w:val="008C555C"/>
    <w:rsid w:val="008C5578"/>
    <w:rsid w:val="008C56B4"/>
    <w:rsid w:val="008C574E"/>
    <w:rsid w:val="008C57EE"/>
    <w:rsid w:val="008C5880"/>
    <w:rsid w:val="008C5B5A"/>
    <w:rsid w:val="008C5CA9"/>
    <w:rsid w:val="008C5D8A"/>
    <w:rsid w:val="008C5D8C"/>
    <w:rsid w:val="008C5E60"/>
    <w:rsid w:val="008C5F66"/>
    <w:rsid w:val="008C610B"/>
    <w:rsid w:val="008C62BE"/>
    <w:rsid w:val="008C62DA"/>
    <w:rsid w:val="008C6564"/>
    <w:rsid w:val="008C66C4"/>
    <w:rsid w:val="008C676A"/>
    <w:rsid w:val="008C6835"/>
    <w:rsid w:val="008C6A40"/>
    <w:rsid w:val="008C6CDD"/>
    <w:rsid w:val="008C6D05"/>
    <w:rsid w:val="008C71A6"/>
    <w:rsid w:val="008C71C0"/>
    <w:rsid w:val="008C72F4"/>
    <w:rsid w:val="008C7370"/>
    <w:rsid w:val="008C74A0"/>
    <w:rsid w:val="008C7762"/>
    <w:rsid w:val="008C7920"/>
    <w:rsid w:val="008C7937"/>
    <w:rsid w:val="008C794A"/>
    <w:rsid w:val="008C7981"/>
    <w:rsid w:val="008C79A1"/>
    <w:rsid w:val="008C7AEE"/>
    <w:rsid w:val="008C7BAC"/>
    <w:rsid w:val="008C7DC9"/>
    <w:rsid w:val="008C7F13"/>
    <w:rsid w:val="008D00E4"/>
    <w:rsid w:val="008D017E"/>
    <w:rsid w:val="008D01E2"/>
    <w:rsid w:val="008D02F3"/>
    <w:rsid w:val="008D0314"/>
    <w:rsid w:val="008D0457"/>
    <w:rsid w:val="008D045E"/>
    <w:rsid w:val="008D04CC"/>
    <w:rsid w:val="008D05C0"/>
    <w:rsid w:val="008D05F8"/>
    <w:rsid w:val="008D06A6"/>
    <w:rsid w:val="008D0955"/>
    <w:rsid w:val="008D09BC"/>
    <w:rsid w:val="008D0A24"/>
    <w:rsid w:val="008D0BF5"/>
    <w:rsid w:val="008D0CB0"/>
    <w:rsid w:val="008D0CE7"/>
    <w:rsid w:val="008D0D97"/>
    <w:rsid w:val="008D1182"/>
    <w:rsid w:val="008D1209"/>
    <w:rsid w:val="008D1487"/>
    <w:rsid w:val="008D14E9"/>
    <w:rsid w:val="008D177E"/>
    <w:rsid w:val="008D18A3"/>
    <w:rsid w:val="008D1B0E"/>
    <w:rsid w:val="008D1C61"/>
    <w:rsid w:val="008D1CA4"/>
    <w:rsid w:val="008D1D5A"/>
    <w:rsid w:val="008D1D65"/>
    <w:rsid w:val="008D1DBA"/>
    <w:rsid w:val="008D1E99"/>
    <w:rsid w:val="008D1EE0"/>
    <w:rsid w:val="008D2068"/>
    <w:rsid w:val="008D2097"/>
    <w:rsid w:val="008D22F9"/>
    <w:rsid w:val="008D252E"/>
    <w:rsid w:val="008D252F"/>
    <w:rsid w:val="008D2811"/>
    <w:rsid w:val="008D2B40"/>
    <w:rsid w:val="008D2CE0"/>
    <w:rsid w:val="008D2F13"/>
    <w:rsid w:val="008D30A0"/>
    <w:rsid w:val="008D3228"/>
    <w:rsid w:val="008D333A"/>
    <w:rsid w:val="008D33DD"/>
    <w:rsid w:val="008D33F5"/>
    <w:rsid w:val="008D348E"/>
    <w:rsid w:val="008D3726"/>
    <w:rsid w:val="008D37D2"/>
    <w:rsid w:val="008D38ED"/>
    <w:rsid w:val="008D390A"/>
    <w:rsid w:val="008D3B51"/>
    <w:rsid w:val="008D3CCA"/>
    <w:rsid w:val="008D4253"/>
    <w:rsid w:val="008D4500"/>
    <w:rsid w:val="008D459C"/>
    <w:rsid w:val="008D45B0"/>
    <w:rsid w:val="008D49F6"/>
    <w:rsid w:val="008D4AF7"/>
    <w:rsid w:val="008D4B30"/>
    <w:rsid w:val="008D4B40"/>
    <w:rsid w:val="008D4BC6"/>
    <w:rsid w:val="008D4C6C"/>
    <w:rsid w:val="008D5018"/>
    <w:rsid w:val="008D5191"/>
    <w:rsid w:val="008D523D"/>
    <w:rsid w:val="008D5249"/>
    <w:rsid w:val="008D52E1"/>
    <w:rsid w:val="008D53BC"/>
    <w:rsid w:val="008D5449"/>
    <w:rsid w:val="008D5461"/>
    <w:rsid w:val="008D5540"/>
    <w:rsid w:val="008D5565"/>
    <w:rsid w:val="008D5831"/>
    <w:rsid w:val="008D5A12"/>
    <w:rsid w:val="008D5CE7"/>
    <w:rsid w:val="008D5DE2"/>
    <w:rsid w:val="008D5E47"/>
    <w:rsid w:val="008D5EEE"/>
    <w:rsid w:val="008D61A8"/>
    <w:rsid w:val="008D6327"/>
    <w:rsid w:val="008D63C8"/>
    <w:rsid w:val="008D670D"/>
    <w:rsid w:val="008D6806"/>
    <w:rsid w:val="008D68AF"/>
    <w:rsid w:val="008D692A"/>
    <w:rsid w:val="008D6C22"/>
    <w:rsid w:val="008D6C99"/>
    <w:rsid w:val="008D6CA7"/>
    <w:rsid w:val="008D6CAF"/>
    <w:rsid w:val="008D6D10"/>
    <w:rsid w:val="008D6D51"/>
    <w:rsid w:val="008D6DDC"/>
    <w:rsid w:val="008D6DE1"/>
    <w:rsid w:val="008D772C"/>
    <w:rsid w:val="008D7A5C"/>
    <w:rsid w:val="008D7B76"/>
    <w:rsid w:val="008D7C4E"/>
    <w:rsid w:val="008D7CB1"/>
    <w:rsid w:val="008D7D4B"/>
    <w:rsid w:val="008D7DB8"/>
    <w:rsid w:val="008D7ED2"/>
    <w:rsid w:val="008D7F6F"/>
    <w:rsid w:val="008E003D"/>
    <w:rsid w:val="008E02AC"/>
    <w:rsid w:val="008E04BF"/>
    <w:rsid w:val="008E04E9"/>
    <w:rsid w:val="008E05A5"/>
    <w:rsid w:val="008E0685"/>
    <w:rsid w:val="008E06A7"/>
    <w:rsid w:val="008E0993"/>
    <w:rsid w:val="008E0ABE"/>
    <w:rsid w:val="008E0F0A"/>
    <w:rsid w:val="008E10EB"/>
    <w:rsid w:val="008E1101"/>
    <w:rsid w:val="008E126F"/>
    <w:rsid w:val="008E13E8"/>
    <w:rsid w:val="008E1639"/>
    <w:rsid w:val="008E1C58"/>
    <w:rsid w:val="008E22C4"/>
    <w:rsid w:val="008E22CE"/>
    <w:rsid w:val="008E2704"/>
    <w:rsid w:val="008E2812"/>
    <w:rsid w:val="008E28D4"/>
    <w:rsid w:val="008E2911"/>
    <w:rsid w:val="008E2A12"/>
    <w:rsid w:val="008E2BA8"/>
    <w:rsid w:val="008E2CEF"/>
    <w:rsid w:val="008E2E0A"/>
    <w:rsid w:val="008E2FDC"/>
    <w:rsid w:val="008E30CD"/>
    <w:rsid w:val="008E352C"/>
    <w:rsid w:val="008E36AD"/>
    <w:rsid w:val="008E38C1"/>
    <w:rsid w:val="008E39ED"/>
    <w:rsid w:val="008E3D4C"/>
    <w:rsid w:val="008E3EF4"/>
    <w:rsid w:val="008E3F6B"/>
    <w:rsid w:val="008E3FE2"/>
    <w:rsid w:val="008E40AC"/>
    <w:rsid w:val="008E411D"/>
    <w:rsid w:val="008E41B1"/>
    <w:rsid w:val="008E424D"/>
    <w:rsid w:val="008E4259"/>
    <w:rsid w:val="008E4301"/>
    <w:rsid w:val="008E4304"/>
    <w:rsid w:val="008E4347"/>
    <w:rsid w:val="008E4363"/>
    <w:rsid w:val="008E447B"/>
    <w:rsid w:val="008E44A7"/>
    <w:rsid w:val="008E4534"/>
    <w:rsid w:val="008E4B85"/>
    <w:rsid w:val="008E4C0F"/>
    <w:rsid w:val="008E51D2"/>
    <w:rsid w:val="008E5287"/>
    <w:rsid w:val="008E52A3"/>
    <w:rsid w:val="008E5618"/>
    <w:rsid w:val="008E5624"/>
    <w:rsid w:val="008E585B"/>
    <w:rsid w:val="008E5909"/>
    <w:rsid w:val="008E5945"/>
    <w:rsid w:val="008E5966"/>
    <w:rsid w:val="008E5F9E"/>
    <w:rsid w:val="008E601F"/>
    <w:rsid w:val="008E6069"/>
    <w:rsid w:val="008E634C"/>
    <w:rsid w:val="008E6366"/>
    <w:rsid w:val="008E636D"/>
    <w:rsid w:val="008E64CA"/>
    <w:rsid w:val="008E663E"/>
    <w:rsid w:val="008E6720"/>
    <w:rsid w:val="008E6791"/>
    <w:rsid w:val="008E6A3C"/>
    <w:rsid w:val="008E6C20"/>
    <w:rsid w:val="008E6C5A"/>
    <w:rsid w:val="008E6F1E"/>
    <w:rsid w:val="008E701F"/>
    <w:rsid w:val="008E71E6"/>
    <w:rsid w:val="008E72DC"/>
    <w:rsid w:val="008E7423"/>
    <w:rsid w:val="008E74B2"/>
    <w:rsid w:val="008E74DD"/>
    <w:rsid w:val="008E74EC"/>
    <w:rsid w:val="008E7727"/>
    <w:rsid w:val="008E7745"/>
    <w:rsid w:val="008E7A15"/>
    <w:rsid w:val="008E7B41"/>
    <w:rsid w:val="008E7D24"/>
    <w:rsid w:val="008F001B"/>
    <w:rsid w:val="008F004D"/>
    <w:rsid w:val="008F0110"/>
    <w:rsid w:val="008F02F9"/>
    <w:rsid w:val="008F050C"/>
    <w:rsid w:val="008F063F"/>
    <w:rsid w:val="008F0659"/>
    <w:rsid w:val="008F0685"/>
    <w:rsid w:val="008F06D8"/>
    <w:rsid w:val="008F07FE"/>
    <w:rsid w:val="008F08C3"/>
    <w:rsid w:val="008F0994"/>
    <w:rsid w:val="008F0B3A"/>
    <w:rsid w:val="008F0B82"/>
    <w:rsid w:val="008F0BBD"/>
    <w:rsid w:val="008F0C71"/>
    <w:rsid w:val="008F0DF4"/>
    <w:rsid w:val="008F10E7"/>
    <w:rsid w:val="008F11CD"/>
    <w:rsid w:val="008F1314"/>
    <w:rsid w:val="008F1333"/>
    <w:rsid w:val="008F13DC"/>
    <w:rsid w:val="008F14AB"/>
    <w:rsid w:val="008F14B0"/>
    <w:rsid w:val="008F16A9"/>
    <w:rsid w:val="008F1774"/>
    <w:rsid w:val="008F1A40"/>
    <w:rsid w:val="008F1B7D"/>
    <w:rsid w:val="008F1E60"/>
    <w:rsid w:val="008F1EDD"/>
    <w:rsid w:val="008F1FDC"/>
    <w:rsid w:val="008F2134"/>
    <w:rsid w:val="008F2198"/>
    <w:rsid w:val="008F2515"/>
    <w:rsid w:val="008F26B5"/>
    <w:rsid w:val="008F2962"/>
    <w:rsid w:val="008F2A71"/>
    <w:rsid w:val="008F2B68"/>
    <w:rsid w:val="008F2BA3"/>
    <w:rsid w:val="008F2C1E"/>
    <w:rsid w:val="008F2CEA"/>
    <w:rsid w:val="008F2D21"/>
    <w:rsid w:val="008F2D45"/>
    <w:rsid w:val="008F2F67"/>
    <w:rsid w:val="008F3072"/>
    <w:rsid w:val="008F3140"/>
    <w:rsid w:val="008F337D"/>
    <w:rsid w:val="008F340F"/>
    <w:rsid w:val="008F3849"/>
    <w:rsid w:val="008F399E"/>
    <w:rsid w:val="008F3B65"/>
    <w:rsid w:val="008F3BB2"/>
    <w:rsid w:val="008F3C8E"/>
    <w:rsid w:val="008F3D1E"/>
    <w:rsid w:val="008F3DBE"/>
    <w:rsid w:val="008F3E3F"/>
    <w:rsid w:val="008F3E48"/>
    <w:rsid w:val="008F3EBB"/>
    <w:rsid w:val="008F3FF4"/>
    <w:rsid w:val="008F4409"/>
    <w:rsid w:val="008F460B"/>
    <w:rsid w:val="008F47F5"/>
    <w:rsid w:val="008F4948"/>
    <w:rsid w:val="008F4B2D"/>
    <w:rsid w:val="008F4B35"/>
    <w:rsid w:val="008F4BD7"/>
    <w:rsid w:val="008F4C3B"/>
    <w:rsid w:val="008F4C86"/>
    <w:rsid w:val="008F4D0F"/>
    <w:rsid w:val="008F4D55"/>
    <w:rsid w:val="008F4FFF"/>
    <w:rsid w:val="008F5239"/>
    <w:rsid w:val="008F5540"/>
    <w:rsid w:val="008F5703"/>
    <w:rsid w:val="008F572A"/>
    <w:rsid w:val="008F579E"/>
    <w:rsid w:val="008F57C4"/>
    <w:rsid w:val="008F587F"/>
    <w:rsid w:val="008F5996"/>
    <w:rsid w:val="008F5C14"/>
    <w:rsid w:val="008F5C28"/>
    <w:rsid w:val="008F5E32"/>
    <w:rsid w:val="008F5EDA"/>
    <w:rsid w:val="008F5F10"/>
    <w:rsid w:val="008F6328"/>
    <w:rsid w:val="008F641F"/>
    <w:rsid w:val="008F6587"/>
    <w:rsid w:val="008F693B"/>
    <w:rsid w:val="008F69D3"/>
    <w:rsid w:val="008F6AC4"/>
    <w:rsid w:val="008F6B58"/>
    <w:rsid w:val="008F6B77"/>
    <w:rsid w:val="008F6BB6"/>
    <w:rsid w:val="008F6D3F"/>
    <w:rsid w:val="008F6F7B"/>
    <w:rsid w:val="008F702C"/>
    <w:rsid w:val="008F708F"/>
    <w:rsid w:val="008F7213"/>
    <w:rsid w:val="008F722C"/>
    <w:rsid w:val="008F72E7"/>
    <w:rsid w:val="008F73C9"/>
    <w:rsid w:val="008F778F"/>
    <w:rsid w:val="008F77B6"/>
    <w:rsid w:val="008F7AC8"/>
    <w:rsid w:val="008F7BE4"/>
    <w:rsid w:val="008F7C1F"/>
    <w:rsid w:val="008F7C9C"/>
    <w:rsid w:val="008F7EB4"/>
    <w:rsid w:val="008FA181"/>
    <w:rsid w:val="0090017D"/>
    <w:rsid w:val="009001D1"/>
    <w:rsid w:val="009002CF"/>
    <w:rsid w:val="00900502"/>
    <w:rsid w:val="00900681"/>
    <w:rsid w:val="0090079C"/>
    <w:rsid w:val="009007F1"/>
    <w:rsid w:val="00900B07"/>
    <w:rsid w:val="00900BB2"/>
    <w:rsid w:val="00900EDA"/>
    <w:rsid w:val="00900FDA"/>
    <w:rsid w:val="0090144F"/>
    <w:rsid w:val="00901469"/>
    <w:rsid w:val="009017D0"/>
    <w:rsid w:val="009017DD"/>
    <w:rsid w:val="0090180B"/>
    <w:rsid w:val="00901830"/>
    <w:rsid w:val="0090189E"/>
    <w:rsid w:val="00901930"/>
    <w:rsid w:val="00901A71"/>
    <w:rsid w:val="00901A75"/>
    <w:rsid w:val="00901B1B"/>
    <w:rsid w:val="00901C07"/>
    <w:rsid w:val="00901CF6"/>
    <w:rsid w:val="00901F20"/>
    <w:rsid w:val="00901F35"/>
    <w:rsid w:val="009020C6"/>
    <w:rsid w:val="00902174"/>
    <w:rsid w:val="00902230"/>
    <w:rsid w:val="00902320"/>
    <w:rsid w:val="009023E6"/>
    <w:rsid w:val="0090250E"/>
    <w:rsid w:val="00902589"/>
    <w:rsid w:val="00902605"/>
    <w:rsid w:val="00902901"/>
    <w:rsid w:val="009029EC"/>
    <w:rsid w:val="00902A58"/>
    <w:rsid w:val="00902ABB"/>
    <w:rsid w:val="00902B08"/>
    <w:rsid w:val="00902D40"/>
    <w:rsid w:val="00902D98"/>
    <w:rsid w:val="00902FD6"/>
    <w:rsid w:val="00903126"/>
    <w:rsid w:val="009032C8"/>
    <w:rsid w:val="00903359"/>
    <w:rsid w:val="00903367"/>
    <w:rsid w:val="00903751"/>
    <w:rsid w:val="00903860"/>
    <w:rsid w:val="009038CE"/>
    <w:rsid w:val="0090394F"/>
    <w:rsid w:val="00903CAA"/>
    <w:rsid w:val="00903FE1"/>
    <w:rsid w:val="00904020"/>
    <w:rsid w:val="009041AB"/>
    <w:rsid w:val="009041B2"/>
    <w:rsid w:val="009041DD"/>
    <w:rsid w:val="00904205"/>
    <w:rsid w:val="00904251"/>
    <w:rsid w:val="009043D1"/>
    <w:rsid w:val="00904518"/>
    <w:rsid w:val="00904615"/>
    <w:rsid w:val="0090463D"/>
    <w:rsid w:val="009048C0"/>
    <w:rsid w:val="009049A3"/>
    <w:rsid w:val="009049D0"/>
    <w:rsid w:val="00904AAC"/>
    <w:rsid w:val="00904B47"/>
    <w:rsid w:val="00904BA2"/>
    <w:rsid w:val="00904C95"/>
    <w:rsid w:val="00904DA0"/>
    <w:rsid w:val="00904DB8"/>
    <w:rsid w:val="00904E8F"/>
    <w:rsid w:val="0090505F"/>
    <w:rsid w:val="00905111"/>
    <w:rsid w:val="0090539E"/>
    <w:rsid w:val="0090545C"/>
    <w:rsid w:val="009057F6"/>
    <w:rsid w:val="00905911"/>
    <w:rsid w:val="00905A5E"/>
    <w:rsid w:val="00905A8A"/>
    <w:rsid w:val="00905B10"/>
    <w:rsid w:val="00905B35"/>
    <w:rsid w:val="0090601A"/>
    <w:rsid w:val="009060A8"/>
    <w:rsid w:val="009061A1"/>
    <w:rsid w:val="009062D7"/>
    <w:rsid w:val="00906381"/>
    <w:rsid w:val="0090667D"/>
    <w:rsid w:val="00906770"/>
    <w:rsid w:val="009067B2"/>
    <w:rsid w:val="009069A5"/>
    <w:rsid w:val="00906C24"/>
    <w:rsid w:val="00906DC4"/>
    <w:rsid w:val="00907158"/>
    <w:rsid w:val="0090716E"/>
    <w:rsid w:val="009071CA"/>
    <w:rsid w:val="00907316"/>
    <w:rsid w:val="00907352"/>
    <w:rsid w:val="0090737C"/>
    <w:rsid w:val="00907464"/>
    <w:rsid w:val="00907515"/>
    <w:rsid w:val="009076F0"/>
    <w:rsid w:val="00907743"/>
    <w:rsid w:val="0090784B"/>
    <w:rsid w:val="009079F4"/>
    <w:rsid w:val="00907BA9"/>
    <w:rsid w:val="00907C19"/>
    <w:rsid w:val="00907D3B"/>
    <w:rsid w:val="00907DCF"/>
    <w:rsid w:val="00907E2D"/>
    <w:rsid w:val="00907E6F"/>
    <w:rsid w:val="009104E5"/>
    <w:rsid w:val="00910519"/>
    <w:rsid w:val="009105E7"/>
    <w:rsid w:val="0091071C"/>
    <w:rsid w:val="00910B26"/>
    <w:rsid w:val="00910BC3"/>
    <w:rsid w:val="00910BCB"/>
    <w:rsid w:val="00910C2A"/>
    <w:rsid w:val="00910CE2"/>
    <w:rsid w:val="00910D68"/>
    <w:rsid w:val="00910DA5"/>
    <w:rsid w:val="00910FAF"/>
    <w:rsid w:val="0091122E"/>
    <w:rsid w:val="0091128E"/>
    <w:rsid w:val="00911A3D"/>
    <w:rsid w:val="00911C72"/>
    <w:rsid w:val="00911D13"/>
    <w:rsid w:val="00911D98"/>
    <w:rsid w:val="00911ED7"/>
    <w:rsid w:val="00911F48"/>
    <w:rsid w:val="00912132"/>
    <w:rsid w:val="0091230E"/>
    <w:rsid w:val="009124C0"/>
    <w:rsid w:val="009126AE"/>
    <w:rsid w:val="009126FC"/>
    <w:rsid w:val="009128A4"/>
    <w:rsid w:val="009128AF"/>
    <w:rsid w:val="00912967"/>
    <w:rsid w:val="00912C91"/>
    <w:rsid w:val="00912CD8"/>
    <w:rsid w:val="00912D69"/>
    <w:rsid w:val="00912E01"/>
    <w:rsid w:val="0091301A"/>
    <w:rsid w:val="00913113"/>
    <w:rsid w:val="0091316C"/>
    <w:rsid w:val="00913199"/>
    <w:rsid w:val="00913285"/>
    <w:rsid w:val="0091347E"/>
    <w:rsid w:val="00913547"/>
    <w:rsid w:val="00913656"/>
    <w:rsid w:val="00913712"/>
    <w:rsid w:val="00913867"/>
    <w:rsid w:val="009138B7"/>
    <w:rsid w:val="00913926"/>
    <w:rsid w:val="00913A12"/>
    <w:rsid w:val="00913A29"/>
    <w:rsid w:val="00913B4C"/>
    <w:rsid w:val="00913D58"/>
    <w:rsid w:val="00913E08"/>
    <w:rsid w:val="00913F2B"/>
    <w:rsid w:val="009140DB"/>
    <w:rsid w:val="00914173"/>
    <w:rsid w:val="00914186"/>
    <w:rsid w:val="00914295"/>
    <w:rsid w:val="00914356"/>
    <w:rsid w:val="0091499F"/>
    <w:rsid w:val="00914BC7"/>
    <w:rsid w:val="00914C94"/>
    <w:rsid w:val="00914DE5"/>
    <w:rsid w:val="00914EDC"/>
    <w:rsid w:val="00914FA3"/>
    <w:rsid w:val="00914FB1"/>
    <w:rsid w:val="009153CD"/>
    <w:rsid w:val="00915411"/>
    <w:rsid w:val="009155B9"/>
    <w:rsid w:val="00915634"/>
    <w:rsid w:val="0091598E"/>
    <w:rsid w:val="0091599F"/>
    <w:rsid w:val="00915A5D"/>
    <w:rsid w:val="00915C0B"/>
    <w:rsid w:val="00915C1B"/>
    <w:rsid w:val="00915D64"/>
    <w:rsid w:val="00915F72"/>
    <w:rsid w:val="009161C4"/>
    <w:rsid w:val="009162FE"/>
    <w:rsid w:val="00916320"/>
    <w:rsid w:val="0091639B"/>
    <w:rsid w:val="009163C9"/>
    <w:rsid w:val="009163F2"/>
    <w:rsid w:val="0091649E"/>
    <w:rsid w:val="0091670F"/>
    <w:rsid w:val="00916774"/>
    <w:rsid w:val="009168D3"/>
    <w:rsid w:val="00916980"/>
    <w:rsid w:val="00916ACE"/>
    <w:rsid w:val="00916E26"/>
    <w:rsid w:val="00916F12"/>
    <w:rsid w:val="00917031"/>
    <w:rsid w:val="0091719C"/>
    <w:rsid w:val="009171C6"/>
    <w:rsid w:val="009172F1"/>
    <w:rsid w:val="009177EC"/>
    <w:rsid w:val="009179EB"/>
    <w:rsid w:val="00917A00"/>
    <w:rsid w:val="00917A82"/>
    <w:rsid w:val="00917BFF"/>
    <w:rsid w:val="00917C2A"/>
    <w:rsid w:val="00917DB4"/>
    <w:rsid w:val="00917DF6"/>
    <w:rsid w:val="00917E1E"/>
    <w:rsid w:val="00917FA3"/>
    <w:rsid w:val="0092000F"/>
    <w:rsid w:val="00920036"/>
    <w:rsid w:val="00920052"/>
    <w:rsid w:val="0092011C"/>
    <w:rsid w:val="00920323"/>
    <w:rsid w:val="0092034F"/>
    <w:rsid w:val="0092066F"/>
    <w:rsid w:val="00920781"/>
    <w:rsid w:val="0092089E"/>
    <w:rsid w:val="00920E2B"/>
    <w:rsid w:val="00920FB4"/>
    <w:rsid w:val="0092122E"/>
    <w:rsid w:val="009212DA"/>
    <w:rsid w:val="009212FA"/>
    <w:rsid w:val="009215B3"/>
    <w:rsid w:val="009215BE"/>
    <w:rsid w:val="00921724"/>
    <w:rsid w:val="009217D2"/>
    <w:rsid w:val="0092182E"/>
    <w:rsid w:val="00921920"/>
    <w:rsid w:val="00921B9A"/>
    <w:rsid w:val="00921E87"/>
    <w:rsid w:val="00922089"/>
    <w:rsid w:val="009221C8"/>
    <w:rsid w:val="00922217"/>
    <w:rsid w:val="0092228D"/>
    <w:rsid w:val="00922529"/>
    <w:rsid w:val="00922627"/>
    <w:rsid w:val="009226BB"/>
    <w:rsid w:val="009227C4"/>
    <w:rsid w:val="00922837"/>
    <w:rsid w:val="0092285A"/>
    <w:rsid w:val="00922997"/>
    <w:rsid w:val="00922ABD"/>
    <w:rsid w:val="00922D50"/>
    <w:rsid w:val="00922D9A"/>
    <w:rsid w:val="00922DB2"/>
    <w:rsid w:val="00922E37"/>
    <w:rsid w:val="00922FE4"/>
    <w:rsid w:val="009230F0"/>
    <w:rsid w:val="0092313F"/>
    <w:rsid w:val="00923284"/>
    <w:rsid w:val="0092336A"/>
    <w:rsid w:val="009234B0"/>
    <w:rsid w:val="00923625"/>
    <w:rsid w:val="0092376A"/>
    <w:rsid w:val="00923EAB"/>
    <w:rsid w:val="00923F9B"/>
    <w:rsid w:val="00924283"/>
    <w:rsid w:val="00924335"/>
    <w:rsid w:val="009243F6"/>
    <w:rsid w:val="0092456C"/>
    <w:rsid w:val="00924612"/>
    <w:rsid w:val="009246E6"/>
    <w:rsid w:val="00924A9F"/>
    <w:rsid w:val="00924C60"/>
    <w:rsid w:val="00924CCC"/>
    <w:rsid w:val="00924D2B"/>
    <w:rsid w:val="00924E17"/>
    <w:rsid w:val="00924E5B"/>
    <w:rsid w:val="00924EC5"/>
    <w:rsid w:val="00924F77"/>
    <w:rsid w:val="00924F8C"/>
    <w:rsid w:val="009250CC"/>
    <w:rsid w:val="0092510C"/>
    <w:rsid w:val="00925154"/>
    <w:rsid w:val="009251BD"/>
    <w:rsid w:val="0092521D"/>
    <w:rsid w:val="00925279"/>
    <w:rsid w:val="0092529E"/>
    <w:rsid w:val="009253A9"/>
    <w:rsid w:val="009257AD"/>
    <w:rsid w:val="009257CC"/>
    <w:rsid w:val="0092587D"/>
    <w:rsid w:val="0092596D"/>
    <w:rsid w:val="00925A9E"/>
    <w:rsid w:val="00925C68"/>
    <w:rsid w:val="00925D42"/>
    <w:rsid w:val="00925DDE"/>
    <w:rsid w:val="00925FF4"/>
    <w:rsid w:val="0092602D"/>
    <w:rsid w:val="009260D8"/>
    <w:rsid w:val="009261A9"/>
    <w:rsid w:val="009262A6"/>
    <w:rsid w:val="009264E9"/>
    <w:rsid w:val="009265B6"/>
    <w:rsid w:val="00926623"/>
    <w:rsid w:val="009266E3"/>
    <w:rsid w:val="0092674D"/>
    <w:rsid w:val="009269F3"/>
    <w:rsid w:val="00926AA0"/>
    <w:rsid w:val="00926B0F"/>
    <w:rsid w:val="00926B7A"/>
    <w:rsid w:val="00926BB2"/>
    <w:rsid w:val="00926BCF"/>
    <w:rsid w:val="00926DB0"/>
    <w:rsid w:val="00926DB8"/>
    <w:rsid w:val="00926DD6"/>
    <w:rsid w:val="00926E21"/>
    <w:rsid w:val="00926E8C"/>
    <w:rsid w:val="00926F64"/>
    <w:rsid w:val="00926FF2"/>
    <w:rsid w:val="00927013"/>
    <w:rsid w:val="0092709C"/>
    <w:rsid w:val="009270E4"/>
    <w:rsid w:val="0092710D"/>
    <w:rsid w:val="00927295"/>
    <w:rsid w:val="00927331"/>
    <w:rsid w:val="00927519"/>
    <w:rsid w:val="00927585"/>
    <w:rsid w:val="0092762F"/>
    <w:rsid w:val="009277A5"/>
    <w:rsid w:val="00927942"/>
    <w:rsid w:val="00927962"/>
    <w:rsid w:val="00927B33"/>
    <w:rsid w:val="00927B55"/>
    <w:rsid w:val="00927B59"/>
    <w:rsid w:val="00927C4D"/>
    <w:rsid w:val="00927C7C"/>
    <w:rsid w:val="00927DB9"/>
    <w:rsid w:val="00927E86"/>
    <w:rsid w:val="00927F5F"/>
    <w:rsid w:val="0093003E"/>
    <w:rsid w:val="00930090"/>
    <w:rsid w:val="009300A8"/>
    <w:rsid w:val="00930145"/>
    <w:rsid w:val="0093015C"/>
    <w:rsid w:val="00930164"/>
    <w:rsid w:val="009302D0"/>
    <w:rsid w:val="0093033E"/>
    <w:rsid w:val="0093078B"/>
    <w:rsid w:val="00930798"/>
    <w:rsid w:val="0093091A"/>
    <w:rsid w:val="00930AB2"/>
    <w:rsid w:val="00930C27"/>
    <w:rsid w:val="00930D9E"/>
    <w:rsid w:val="00930E6B"/>
    <w:rsid w:val="00930EAB"/>
    <w:rsid w:val="009311A0"/>
    <w:rsid w:val="009313F2"/>
    <w:rsid w:val="00931400"/>
    <w:rsid w:val="00931670"/>
    <w:rsid w:val="0093170E"/>
    <w:rsid w:val="009317CD"/>
    <w:rsid w:val="009317F7"/>
    <w:rsid w:val="009318A8"/>
    <w:rsid w:val="00931915"/>
    <w:rsid w:val="00931978"/>
    <w:rsid w:val="00931BAB"/>
    <w:rsid w:val="00931BB7"/>
    <w:rsid w:val="00931D1A"/>
    <w:rsid w:val="00931FEB"/>
    <w:rsid w:val="009320E5"/>
    <w:rsid w:val="0093225A"/>
    <w:rsid w:val="00932350"/>
    <w:rsid w:val="00932685"/>
    <w:rsid w:val="009326A4"/>
    <w:rsid w:val="00932732"/>
    <w:rsid w:val="009327E8"/>
    <w:rsid w:val="00932850"/>
    <w:rsid w:val="00932AAD"/>
    <w:rsid w:val="00932B45"/>
    <w:rsid w:val="00932CFB"/>
    <w:rsid w:val="00932E75"/>
    <w:rsid w:val="00932ECF"/>
    <w:rsid w:val="00932F6A"/>
    <w:rsid w:val="00932F72"/>
    <w:rsid w:val="00932FC0"/>
    <w:rsid w:val="0093311B"/>
    <w:rsid w:val="0093323E"/>
    <w:rsid w:val="00933310"/>
    <w:rsid w:val="00933435"/>
    <w:rsid w:val="00933583"/>
    <w:rsid w:val="009335B3"/>
    <w:rsid w:val="0093366B"/>
    <w:rsid w:val="0093377B"/>
    <w:rsid w:val="009337EE"/>
    <w:rsid w:val="009338F0"/>
    <w:rsid w:val="009338F7"/>
    <w:rsid w:val="00933D06"/>
    <w:rsid w:val="00933D2F"/>
    <w:rsid w:val="00933D3F"/>
    <w:rsid w:val="00934026"/>
    <w:rsid w:val="00934118"/>
    <w:rsid w:val="00934152"/>
    <w:rsid w:val="009341E2"/>
    <w:rsid w:val="0093427B"/>
    <w:rsid w:val="00934396"/>
    <w:rsid w:val="0093456D"/>
    <w:rsid w:val="009345F3"/>
    <w:rsid w:val="00934646"/>
    <w:rsid w:val="00934650"/>
    <w:rsid w:val="009346C3"/>
    <w:rsid w:val="009347F7"/>
    <w:rsid w:val="0093485D"/>
    <w:rsid w:val="009349DD"/>
    <w:rsid w:val="00934B3B"/>
    <w:rsid w:val="00934B76"/>
    <w:rsid w:val="00934C26"/>
    <w:rsid w:val="00934C41"/>
    <w:rsid w:val="00934C70"/>
    <w:rsid w:val="00934D8C"/>
    <w:rsid w:val="00934E80"/>
    <w:rsid w:val="00934F4B"/>
    <w:rsid w:val="00934FD5"/>
    <w:rsid w:val="00935049"/>
    <w:rsid w:val="0093505B"/>
    <w:rsid w:val="0093506C"/>
    <w:rsid w:val="009350A4"/>
    <w:rsid w:val="00935288"/>
    <w:rsid w:val="009353F0"/>
    <w:rsid w:val="0093550F"/>
    <w:rsid w:val="009357E3"/>
    <w:rsid w:val="009358EE"/>
    <w:rsid w:val="009358F9"/>
    <w:rsid w:val="00935970"/>
    <w:rsid w:val="009359E7"/>
    <w:rsid w:val="00935B1C"/>
    <w:rsid w:val="00935BC8"/>
    <w:rsid w:val="00935C0E"/>
    <w:rsid w:val="00935C26"/>
    <w:rsid w:val="00935C94"/>
    <w:rsid w:val="00935D49"/>
    <w:rsid w:val="00935F1E"/>
    <w:rsid w:val="00935FD4"/>
    <w:rsid w:val="00936265"/>
    <w:rsid w:val="00936536"/>
    <w:rsid w:val="0093669E"/>
    <w:rsid w:val="009366FA"/>
    <w:rsid w:val="00936792"/>
    <w:rsid w:val="00936854"/>
    <w:rsid w:val="00936A7C"/>
    <w:rsid w:val="00936BD8"/>
    <w:rsid w:val="00936E01"/>
    <w:rsid w:val="00936F0C"/>
    <w:rsid w:val="009372F2"/>
    <w:rsid w:val="00937543"/>
    <w:rsid w:val="0093755A"/>
    <w:rsid w:val="0093778B"/>
    <w:rsid w:val="009379BE"/>
    <w:rsid w:val="00937A8B"/>
    <w:rsid w:val="00937A93"/>
    <w:rsid w:val="00937E5D"/>
    <w:rsid w:val="00937EBD"/>
    <w:rsid w:val="00937FF5"/>
    <w:rsid w:val="0094002C"/>
    <w:rsid w:val="00940309"/>
    <w:rsid w:val="0094037A"/>
    <w:rsid w:val="00940393"/>
    <w:rsid w:val="009404F4"/>
    <w:rsid w:val="0094073D"/>
    <w:rsid w:val="00940793"/>
    <w:rsid w:val="009407DD"/>
    <w:rsid w:val="009408DB"/>
    <w:rsid w:val="00940B0D"/>
    <w:rsid w:val="00940B98"/>
    <w:rsid w:val="00940E70"/>
    <w:rsid w:val="00940EF9"/>
    <w:rsid w:val="00940F4B"/>
    <w:rsid w:val="00941198"/>
    <w:rsid w:val="0094122B"/>
    <w:rsid w:val="009412CD"/>
    <w:rsid w:val="0094130B"/>
    <w:rsid w:val="0094134A"/>
    <w:rsid w:val="0094146D"/>
    <w:rsid w:val="009417CF"/>
    <w:rsid w:val="009417D1"/>
    <w:rsid w:val="009418EC"/>
    <w:rsid w:val="00941931"/>
    <w:rsid w:val="009419C0"/>
    <w:rsid w:val="009419C9"/>
    <w:rsid w:val="00941A9B"/>
    <w:rsid w:val="00941B47"/>
    <w:rsid w:val="00941C8B"/>
    <w:rsid w:val="00941D0D"/>
    <w:rsid w:val="0094201B"/>
    <w:rsid w:val="0094211F"/>
    <w:rsid w:val="009426B8"/>
    <w:rsid w:val="009426E6"/>
    <w:rsid w:val="00942712"/>
    <w:rsid w:val="009427C6"/>
    <w:rsid w:val="0094294E"/>
    <w:rsid w:val="00942A27"/>
    <w:rsid w:val="00942B1D"/>
    <w:rsid w:val="00942B37"/>
    <w:rsid w:val="00942B6F"/>
    <w:rsid w:val="00942BEF"/>
    <w:rsid w:val="00942C4C"/>
    <w:rsid w:val="00942C5F"/>
    <w:rsid w:val="0094311C"/>
    <w:rsid w:val="009432EB"/>
    <w:rsid w:val="009433F1"/>
    <w:rsid w:val="0094347A"/>
    <w:rsid w:val="0094348C"/>
    <w:rsid w:val="009434BB"/>
    <w:rsid w:val="009436D9"/>
    <w:rsid w:val="0094378C"/>
    <w:rsid w:val="009437E6"/>
    <w:rsid w:val="0094382E"/>
    <w:rsid w:val="00943A3F"/>
    <w:rsid w:val="00943B04"/>
    <w:rsid w:val="00943B28"/>
    <w:rsid w:val="00943BD2"/>
    <w:rsid w:val="00943C8F"/>
    <w:rsid w:val="00943E1F"/>
    <w:rsid w:val="00944099"/>
    <w:rsid w:val="00944162"/>
    <w:rsid w:val="00944507"/>
    <w:rsid w:val="00944544"/>
    <w:rsid w:val="0094462E"/>
    <w:rsid w:val="009447DC"/>
    <w:rsid w:val="009447E7"/>
    <w:rsid w:val="00944899"/>
    <w:rsid w:val="009448E4"/>
    <w:rsid w:val="00944F53"/>
    <w:rsid w:val="009450C2"/>
    <w:rsid w:val="0094510C"/>
    <w:rsid w:val="0094527B"/>
    <w:rsid w:val="0094545A"/>
    <w:rsid w:val="009454B0"/>
    <w:rsid w:val="009456A3"/>
    <w:rsid w:val="0094577A"/>
    <w:rsid w:val="0094581C"/>
    <w:rsid w:val="0094584E"/>
    <w:rsid w:val="00945942"/>
    <w:rsid w:val="00945952"/>
    <w:rsid w:val="009459B8"/>
    <w:rsid w:val="00945C52"/>
    <w:rsid w:val="00945C85"/>
    <w:rsid w:val="00945D1D"/>
    <w:rsid w:val="00945DD7"/>
    <w:rsid w:val="009460B8"/>
    <w:rsid w:val="0094614C"/>
    <w:rsid w:val="009461E5"/>
    <w:rsid w:val="009463B6"/>
    <w:rsid w:val="00946440"/>
    <w:rsid w:val="0094653F"/>
    <w:rsid w:val="00946607"/>
    <w:rsid w:val="0094667A"/>
    <w:rsid w:val="00946949"/>
    <w:rsid w:val="00946B6E"/>
    <w:rsid w:val="00946BE3"/>
    <w:rsid w:val="00946C3E"/>
    <w:rsid w:val="00946E6A"/>
    <w:rsid w:val="00946F81"/>
    <w:rsid w:val="00946FA5"/>
    <w:rsid w:val="00947201"/>
    <w:rsid w:val="009472E6"/>
    <w:rsid w:val="00947C80"/>
    <w:rsid w:val="00950265"/>
    <w:rsid w:val="0095029B"/>
    <w:rsid w:val="0095030B"/>
    <w:rsid w:val="009504B3"/>
    <w:rsid w:val="00950694"/>
    <w:rsid w:val="00950828"/>
    <w:rsid w:val="00950A6D"/>
    <w:rsid w:val="00950B8D"/>
    <w:rsid w:val="00950D80"/>
    <w:rsid w:val="00951077"/>
    <w:rsid w:val="00951194"/>
    <w:rsid w:val="009512A3"/>
    <w:rsid w:val="0095139B"/>
    <w:rsid w:val="00951434"/>
    <w:rsid w:val="0095182D"/>
    <w:rsid w:val="0095198D"/>
    <w:rsid w:val="00951993"/>
    <w:rsid w:val="00951B20"/>
    <w:rsid w:val="00951BFB"/>
    <w:rsid w:val="00951FD6"/>
    <w:rsid w:val="009521AB"/>
    <w:rsid w:val="009521BF"/>
    <w:rsid w:val="009523DF"/>
    <w:rsid w:val="00952474"/>
    <w:rsid w:val="0095259A"/>
    <w:rsid w:val="0095270C"/>
    <w:rsid w:val="0095288A"/>
    <w:rsid w:val="009529A3"/>
    <w:rsid w:val="00952B7F"/>
    <w:rsid w:val="00952C5D"/>
    <w:rsid w:val="00952D51"/>
    <w:rsid w:val="00952FE6"/>
    <w:rsid w:val="00953088"/>
    <w:rsid w:val="009534E0"/>
    <w:rsid w:val="0095354A"/>
    <w:rsid w:val="009535EC"/>
    <w:rsid w:val="00953673"/>
    <w:rsid w:val="00953722"/>
    <w:rsid w:val="00953748"/>
    <w:rsid w:val="009537D2"/>
    <w:rsid w:val="00953922"/>
    <w:rsid w:val="00953DE3"/>
    <w:rsid w:val="00953F44"/>
    <w:rsid w:val="00954072"/>
    <w:rsid w:val="009540D0"/>
    <w:rsid w:val="00954122"/>
    <w:rsid w:val="0095417D"/>
    <w:rsid w:val="0095437F"/>
    <w:rsid w:val="009543B8"/>
    <w:rsid w:val="00954709"/>
    <w:rsid w:val="009548C3"/>
    <w:rsid w:val="00954A41"/>
    <w:rsid w:val="00954A75"/>
    <w:rsid w:val="00954C50"/>
    <w:rsid w:val="00954C51"/>
    <w:rsid w:val="00954E18"/>
    <w:rsid w:val="00954EAB"/>
    <w:rsid w:val="00954F3E"/>
    <w:rsid w:val="009550D9"/>
    <w:rsid w:val="00955150"/>
    <w:rsid w:val="0095518E"/>
    <w:rsid w:val="00955341"/>
    <w:rsid w:val="00955472"/>
    <w:rsid w:val="009556D0"/>
    <w:rsid w:val="0095572A"/>
    <w:rsid w:val="009557A7"/>
    <w:rsid w:val="009557D6"/>
    <w:rsid w:val="0095593E"/>
    <w:rsid w:val="0095593F"/>
    <w:rsid w:val="00955950"/>
    <w:rsid w:val="009559C3"/>
    <w:rsid w:val="009559D9"/>
    <w:rsid w:val="00955A0B"/>
    <w:rsid w:val="00955A1E"/>
    <w:rsid w:val="00955A6D"/>
    <w:rsid w:val="00955A7F"/>
    <w:rsid w:val="00955B5A"/>
    <w:rsid w:val="00955B64"/>
    <w:rsid w:val="00955C86"/>
    <w:rsid w:val="00955D13"/>
    <w:rsid w:val="00955EC5"/>
    <w:rsid w:val="00955ECD"/>
    <w:rsid w:val="00956061"/>
    <w:rsid w:val="009560E1"/>
    <w:rsid w:val="00956254"/>
    <w:rsid w:val="0095626A"/>
    <w:rsid w:val="00956281"/>
    <w:rsid w:val="009562F3"/>
    <w:rsid w:val="009563E7"/>
    <w:rsid w:val="0095655A"/>
    <w:rsid w:val="009565A9"/>
    <w:rsid w:val="0095662F"/>
    <w:rsid w:val="009566A4"/>
    <w:rsid w:val="009566EE"/>
    <w:rsid w:val="0095693E"/>
    <w:rsid w:val="00956A11"/>
    <w:rsid w:val="00956CDA"/>
    <w:rsid w:val="00956DC2"/>
    <w:rsid w:val="00956DEE"/>
    <w:rsid w:val="0095712E"/>
    <w:rsid w:val="009571A8"/>
    <w:rsid w:val="0095737F"/>
    <w:rsid w:val="0095765C"/>
    <w:rsid w:val="00957722"/>
    <w:rsid w:val="00957A92"/>
    <w:rsid w:val="00957D25"/>
    <w:rsid w:val="00957D7E"/>
    <w:rsid w:val="00957F47"/>
    <w:rsid w:val="009600BA"/>
    <w:rsid w:val="0096012C"/>
    <w:rsid w:val="00960249"/>
    <w:rsid w:val="009602E1"/>
    <w:rsid w:val="009602FA"/>
    <w:rsid w:val="00960379"/>
    <w:rsid w:val="009603C8"/>
    <w:rsid w:val="009604E3"/>
    <w:rsid w:val="00960558"/>
    <w:rsid w:val="0096056D"/>
    <w:rsid w:val="00960983"/>
    <w:rsid w:val="00960A7A"/>
    <w:rsid w:val="00960B16"/>
    <w:rsid w:val="00960BF9"/>
    <w:rsid w:val="00960E20"/>
    <w:rsid w:val="00961131"/>
    <w:rsid w:val="00961209"/>
    <w:rsid w:val="00961442"/>
    <w:rsid w:val="009614F5"/>
    <w:rsid w:val="00961641"/>
    <w:rsid w:val="00961745"/>
    <w:rsid w:val="009618C5"/>
    <w:rsid w:val="00961A3F"/>
    <w:rsid w:val="00961A7B"/>
    <w:rsid w:val="00961ED5"/>
    <w:rsid w:val="00961FF7"/>
    <w:rsid w:val="00962033"/>
    <w:rsid w:val="0096213D"/>
    <w:rsid w:val="00962236"/>
    <w:rsid w:val="00962443"/>
    <w:rsid w:val="0096247E"/>
    <w:rsid w:val="00962549"/>
    <w:rsid w:val="009625A4"/>
    <w:rsid w:val="00962689"/>
    <w:rsid w:val="0096294F"/>
    <w:rsid w:val="00962C31"/>
    <w:rsid w:val="00962D4B"/>
    <w:rsid w:val="00962E4F"/>
    <w:rsid w:val="00962F42"/>
    <w:rsid w:val="0096318E"/>
    <w:rsid w:val="009631ED"/>
    <w:rsid w:val="00963216"/>
    <w:rsid w:val="00963907"/>
    <w:rsid w:val="00963A73"/>
    <w:rsid w:val="00963A80"/>
    <w:rsid w:val="00963AC2"/>
    <w:rsid w:val="00963B0A"/>
    <w:rsid w:val="00963B7C"/>
    <w:rsid w:val="00963C09"/>
    <w:rsid w:val="00963C1F"/>
    <w:rsid w:val="00963CC9"/>
    <w:rsid w:val="00963DD7"/>
    <w:rsid w:val="00964147"/>
    <w:rsid w:val="00964290"/>
    <w:rsid w:val="0096445D"/>
    <w:rsid w:val="009645D3"/>
    <w:rsid w:val="00964968"/>
    <w:rsid w:val="00964AE0"/>
    <w:rsid w:val="00964BA8"/>
    <w:rsid w:val="00964BC2"/>
    <w:rsid w:val="00964DC0"/>
    <w:rsid w:val="00964E3D"/>
    <w:rsid w:val="009651BF"/>
    <w:rsid w:val="00965257"/>
    <w:rsid w:val="00965334"/>
    <w:rsid w:val="00965383"/>
    <w:rsid w:val="00965403"/>
    <w:rsid w:val="0096542E"/>
    <w:rsid w:val="00965629"/>
    <w:rsid w:val="00965968"/>
    <w:rsid w:val="00965AC6"/>
    <w:rsid w:val="00965DB1"/>
    <w:rsid w:val="00966034"/>
    <w:rsid w:val="00966105"/>
    <w:rsid w:val="009665F8"/>
    <w:rsid w:val="00966609"/>
    <w:rsid w:val="009669C2"/>
    <w:rsid w:val="00966A48"/>
    <w:rsid w:val="00966BCC"/>
    <w:rsid w:val="00966E61"/>
    <w:rsid w:val="00966F11"/>
    <w:rsid w:val="00966FC1"/>
    <w:rsid w:val="0096718E"/>
    <w:rsid w:val="0096720E"/>
    <w:rsid w:val="00967231"/>
    <w:rsid w:val="009673A7"/>
    <w:rsid w:val="00967523"/>
    <w:rsid w:val="00967888"/>
    <w:rsid w:val="00967950"/>
    <w:rsid w:val="00967A7D"/>
    <w:rsid w:val="00967CC6"/>
    <w:rsid w:val="00967EF8"/>
    <w:rsid w:val="00967FF8"/>
    <w:rsid w:val="00970069"/>
    <w:rsid w:val="0097010F"/>
    <w:rsid w:val="00970158"/>
    <w:rsid w:val="0097038A"/>
    <w:rsid w:val="009703E3"/>
    <w:rsid w:val="009705D0"/>
    <w:rsid w:val="00970659"/>
    <w:rsid w:val="00970760"/>
    <w:rsid w:val="00970995"/>
    <w:rsid w:val="00970A54"/>
    <w:rsid w:val="00970B0E"/>
    <w:rsid w:val="00970BBC"/>
    <w:rsid w:val="00970D3F"/>
    <w:rsid w:val="00970E8B"/>
    <w:rsid w:val="0097155C"/>
    <w:rsid w:val="0097170B"/>
    <w:rsid w:val="0097184C"/>
    <w:rsid w:val="009718B3"/>
    <w:rsid w:val="00971A4A"/>
    <w:rsid w:val="00971BA3"/>
    <w:rsid w:val="00971C49"/>
    <w:rsid w:val="0097242A"/>
    <w:rsid w:val="0097273C"/>
    <w:rsid w:val="00972991"/>
    <w:rsid w:val="00972B91"/>
    <w:rsid w:val="00972CB9"/>
    <w:rsid w:val="00972E19"/>
    <w:rsid w:val="00972F0C"/>
    <w:rsid w:val="00973167"/>
    <w:rsid w:val="009731F6"/>
    <w:rsid w:val="00973244"/>
    <w:rsid w:val="00973445"/>
    <w:rsid w:val="00973479"/>
    <w:rsid w:val="00973728"/>
    <w:rsid w:val="0097375B"/>
    <w:rsid w:val="009737C3"/>
    <w:rsid w:val="0097388C"/>
    <w:rsid w:val="00973901"/>
    <w:rsid w:val="00973989"/>
    <w:rsid w:val="00973B9F"/>
    <w:rsid w:val="00973BA2"/>
    <w:rsid w:val="00973BB8"/>
    <w:rsid w:val="00973C4D"/>
    <w:rsid w:val="00973C5F"/>
    <w:rsid w:val="00973C68"/>
    <w:rsid w:val="00973CB2"/>
    <w:rsid w:val="00973CF7"/>
    <w:rsid w:val="00973D50"/>
    <w:rsid w:val="00973D73"/>
    <w:rsid w:val="00973DA4"/>
    <w:rsid w:val="00973EDF"/>
    <w:rsid w:val="00974212"/>
    <w:rsid w:val="00974393"/>
    <w:rsid w:val="00974640"/>
    <w:rsid w:val="00974643"/>
    <w:rsid w:val="00974698"/>
    <w:rsid w:val="0097482A"/>
    <w:rsid w:val="00974BA2"/>
    <w:rsid w:val="00974DBB"/>
    <w:rsid w:val="00974E6A"/>
    <w:rsid w:val="00974F27"/>
    <w:rsid w:val="009750EE"/>
    <w:rsid w:val="00975291"/>
    <w:rsid w:val="009752EA"/>
    <w:rsid w:val="00975388"/>
    <w:rsid w:val="0097553C"/>
    <w:rsid w:val="00975AC5"/>
    <w:rsid w:val="00975B2B"/>
    <w:rsid w:val="00975C87"/>
    <w:rsid w:val="00975F0A"/>
    <w:rsid w:val="00975F7B"/>
    <w:rsid w:val="00975F96"/>
    <w:rsid w:val="00975FB6"/>
    <w:rsid w:val="00975FB9"/>
    <w:rsid w:val="0097607C"/>
    <w:rsid w:val="009760E4"/>
    <w:rsid w:val="009760FC"/>
    <w:rsid w:val="00976300"/>
    <w:rsid w:val="0097637F"/>
    <w:rsid w:val="00976682"/>
    <w:rsid w:val="00976689"/>
    <w:rsid w:val="009767A5"/>
    <w:rsid w:val="009767BA"/>
    <w:rsid w:val="00976965"/>
    <w:rsid w:val="00976C6E"/>
    <w:rsid w:val="00976F69"/>
    <w:rsid w:val="00976F6D"/>
    <w:rsid w:val="00977020"/>
    <w:rsid w:val="00977065"/>
    <w:rsid w:val="00977092"/>
    <w:rsid w:val="009770E3"/>
    <w:rsid w:val="009774D7"/>
    <w:rsid w:val="009775BC"/>
    <w:rsid w:val="009776A3"/>
    <w:rsid w:val="0097770D"/>
    <w:rsid w:val="0097789A"/>
    <w:rsid w:val="00977CB4"/>
    <w:rsid w:val="00977D86"/>
    <w:rsid w:val="00977D88"/>
    <w:rsid w:val="00977F4F"/>
    <w:rsid w:val="00977F6E"/>
    <w:rsid w:val="009800B6"/>
    <w:rsid w:val="00980166"/>
    <w:rsid w:val="009801AD"/>
    <w:rsid w:val="009802DD"/>
    <w:rsid w:val="0098044A"/>
    <w:rsid w:val="009808AB"/>
    <w:rsid w:val="00980ADA"/>
    <w:rsid w:val="00980B68"/>
    <w:rsid w:val="00980BE3"/>
    <w:rsid w:val="00980C5D"/>
    <w:rsid w:val="00980DE9"/>
    <w:rsid w:val="00981148"/>
    <w:rsid w:val="0098127B"/>
    <w:rsid w:val="00981678"/>
    <w:rsid w:val="0098176D"/>
    <w:rsid w:val="00981864"/>
    <w:rsid w:val="009818CE"/>
    <w:rsid w:val="00981985"/>
    <w:rsid w:val="009819E1"/>
    <w:rsid w:val="00981C17"/>
    <w:rsid w:val="00981D16"/>
    <w:rsid w:val="00981D64"/>
    <w:rsid w:val="00981EE5"/>
    <w:rsid w:val="00982075"/>
    <w:rsid w:val="0098218A"/>
    <w:rsid w:val="0098229A"/>
    <w:rsid w:val="009823AC"/>
    <w:rsid w:val="009823C9"/>
    <w:rsid w:val="0098254E"/>
    <w:rsid w:val="009825A7"/>
    <w:rsid w:val="009825B6"/>
    <w:rsid w:val="009826FF"/>
    <w:rsid w:val="00982771"/>
    <w:rsid w:val="0098298F"/>
    <w:rsid w:val="00982A23"/>
    <w:rsid w:val="00982B3A"/>
    <w:rsid w:val="00982B78"/>
    <w:rsid w:val="00982D23"/>
    <w:rsid w:val="00982D42"/>
    <w:rsid w:val="00982DDF"/>
    <w:rsid w:val="00982EA8"/>
    <w:rsid w:val="00982FE7"/>
    <w:rsid w:val="009834B3"/>
    <w:rsid w:val="0098355C"/>
    <w:rsid w:val="009836C7"/>
    <w:rsid w:val="00983CEE"/>
    <w:rsid w:val="00983F02"/>
    <w:rsid w:val="00983F07"/>
    <w:rsid w:val="00983FBD"/>
    <w:rsid w:val="009840F5"/>
    <w:rsid w:val="00984267"/>
    <w:rsid w:val="009842A4"/>
    <w:rsid w:val="0098431B"/>
    <w:rsid w:val="00984353"/>
    <w:rsid w:val="0098447C"/>
    <w:rsid w:val="009844A9"/>
    <w:rsid w:val="00984513"/>
    <w:rsid w:val="0098487C"/>
    <w:rsid w:val="0098489F"/>
    <w:rsid w:val="00984910"/>
    <w:rsid w:val="00984B6A"/>
    <w:rsid w:val="00984C4C"/>
    <w:rsid w:val="00984DC5"/>
    <w:rsid w:val="00984F64"/>
    <w:rsid w:val="00984F9B"/>
    <w:rsid w:val="009850A8"/>
    <w:rsid w:val="0098516E"/>
    <w:rsid w:val="009853A0"/>
    <w:rsid w:val="009855A6"/>
    <w:rsid w:val="0098563C"/>
    <w:rsid w:val="0098579C"/>
    <w:rsid w:val="009858B4"/>
    <w:rsid w:val="0098592E"/>
    <w:rsid w:val="00985951"/>
    <w:rsid w:val="0098597F"/>
    <w:rsid w:val="00985ABA"/>
    <w:rsid w:val="00986005"/>
    <w:rsid w:val="0098613B"/>
    <w:rsid w:val="0098627A"/>
    <w:rsid w:val="0098629B"/>
    <w:rsid w:val="009862B8"/>
    <w:rsid w:val="00986335"/>
    <w:rsid w:val="009867B3"/>
    <w:rsid w:val="009867C8"/>
    <w:rsid w:val="009868C4"/>
    <w:rsid w:val="0098693B"/>
    <w:rsid w:val="00986A3B"/>
    <w:rsid w:val="00986B08"/>
    <w:rsid w:val="00986B2B"/>
    <w:rsid w:val="00986B3C"/>
    <w:rsid w:val="00986B5F"/>
    <w:rsid w:val="00986C2F"/>
    <w:rsid w:val="00986FD4"/>
    <w:rsid w:val="00987014"/>
    <w:rsid w:val="00987086"/>
    <w:rsid w:val="00987092"/>
    <w:rsid w:val="0098727D"/>
    <w:rsid w:val="00987418"/>
    <w:rsid w:val="00987455"/>
    <w:rsid w:val="0098766D"/>
    <w:rsid w:val="0098774A"/>
    <w:rsid w:val="009877F6"/>
    <w:rsid w:val="00987C82"/>
    <w:rsid w:val="00987D0C"/>
    <w:rsid w:val="00987D7E"/>
    <w:rsid w:val="009900BA"/>
    <w:rsid w:val="00990226"/>
    <w:rsid w:val="009902DC"/>
    <w:rsid w:val="00990337"/>
    <w:rsid w:val="0099061D"/>
    <w:rsid w:val="009906CB"/>
    <w:rsid w:val="009906DE"/>
    <w:rsid w:val="00990773"/>
    <w:rsid w:val="009907EB"/>
    <w:rsid w:val="009908EA"/>
    <w:rsid w:val="00990992"/>
    <w:rsid w:val="00990A36"/>
    <w:rsid w:val="00990A79"/>
    <w:rsid w:val="00990B87"/>
    <w:rsid w:val="00990D13"/>
    <w:rsid w:val="00990DB6"/>
    <w:rsid w:val="00990DF7"/>
    <w:rsid w:val="0099101B"/>
    <w:rsid w:val="00991061"/>
    <w:rsid w:val="0099114F"/>
    <w:rsid w:val="0099148C"/>
    <w:rsid w:val="009914EE"/>
    <w:rsid w:val="00991562"/>
    <w:rsid w:val="009916C0"/>
    <w:rsid w:val="00991776"/>
    <w:rsid w:val="0099177A"/>
    <w:rsid w:val="0099179A"/>
    <w:rsid w:val="009917CD"/>
    <w:rsid w:val="00991803"/>
    <w:rsid w:val="0099184B"/>
    <w:rsid w:val="00991A8A"/>
    <w:rsid w:val="00991A94"/>
    <w:rsid w:val="00991A9B"/>
    <w:rsid w:val="00991C7E"/>
    <w:rsid w:val="00991E89"/>
    <w:rsid w:val="00991F4A"/>
    <w:rsid w:val="0099207B"/>
    <w:rsid w:val="00992285"/>
    <w:rsid w:val="009923FF"/>
    <w:rsid w:val="0099240F"/>
    <w:rsid w:val="00992AD2"/>
    <w:rsid w:val="00992C4A"/>
    <w:rsid w:val="00992D91"/>
    <w:rsid w:val="00993056"/>
    <w:rsid w:val="00993120"/>
    <w:rsid w:val="00993466"/>
    <w:rsid w:val="009934D3"/>
    <w:rsid w:val="009934E7"/>
    <w:rsid w:val="0099389E"/>
    <w:rsid w:val="0099389F"/>
    <w:rsid w:val="00993B53"/>
    <w:rsid w:val="00993D82"/>
    <w:rsid w:val="00993FA6"/>
    <w:rsid w:val="0099404B"/>
    <w:rsid w:val="00994293"/>
    <w:rsid w:val="0099455D"/>
    <w:rsid w:val="00994644"/>
    <w:rsid w:val="009947B0"/>
    <w:rsid w:val="0099486C"/>
    <w:rsid w:val="009949C7"/>
    <w:rsid w:val="00994A26"/>
    <w:rsid w:val="00994A2D"/>
    <w:rsid w:val="00994D6A"/>
    <w:rsid w:val="0099510A"/>
    <w:rsid w:val="0099512E"/>
    <w:rsid w:val="009952A8"/>
    <w:rsid w:val="00995612"/>
    <w:rsid w:val="00995727"/>
    <w:rsid w:val="009959D9"/>
    <w:rsid w:val="00995BA0"/>
    <w:rsid w:val="00995C07"/>
    <w:rsid w:val="00995E72"/>
    <w:rsid w:val="00996058"/>
    <w:rsid w:val="009962FF"/>
    <w:rsid w:val="009966CD"/>
    <w:rsid w:val="009967FC"/>
    <w:rsid w:val="0099696F"/>
    <w:rsid w:val="009969CE"/>
    <w:rsid w:val="00996BDE"/>
    <w:rsid w:val="00996CE7"/>
    <w:rsid w:val="00996DC8"/>
    <w:rsid w:val="00996DE0"/>
    <w:rsid w:val="0099700A"/>
    <w:rsid w:val="009970A4"/>
    <w:rsid w:val="0099737B"/>
    <w:rsid w:val="00997406"/>
    <w:rsid w:val="009975A0"/>
    <w:rsid w:val="00997645"/>
    <w:rsid w:val="009976F3"/>
    <w:rsid w:val="0099781D"/>
    <w:rsid w:val="00997896"/>
    <w:rsid w:val="00997B57"/>
    <w:rsid w:val="00997B8E"/>
    <w:rsid w:val="00997CCF"/>
    <w:rsid w:val="00997D7D"/>
    <w:rsid w:val="009A00B3"/>
    <w:rsid w:val="009A01C1"/>
    <w:rsid w:val="009A022B"/>
    <w:rsid w:val="009A0262"/>
    <w:rsid w:val="009A02B4"/>
    <w:rsid w:val="009A0383"/>
    <w:rsid w:val="009A0429"/>
    <w:rsid w:val="009A0518"/>
    <w:rsid w:val="009A0756"/>
    <w:rsid w:val="009A090E"/>
    <w:rsid w:val="009A095B"/>
    <w:rsid w:val="009A0BB1"/>
    <w:rsid w:val="009A0C55"/>
    <w:rsid w:val="009A0C78"/>
    <w:rsid w:val="009A0D8D"/>
    <w:rsid w:val="009A0E16"/>
    <w:rsid w:val="009A0F14"/>
    <w:rsid w:val="009A115C"/>
    <w:rsid w:val="009A11BE"/>
    <w:rsid w:val="009A12C8"/>
    <w:rsid w:val="009A12F0"/>
    <w:rsid w:val="009A13D4"/>
    <w:rsid w:val="009A1659"/>
    <w:rsid w:val="009A16AA"/>
    <w:rsid w:val="009A178C"/>
    <w:rsid w:val="009A188D"/>
    <w:rsid w:val="009A198C"/>
    <w:rsid w:val="009A1A3D"/>
    <w:rsid w:val="009A1B27"/>
    <w:rsid w:val="009A1CEF"/>
    <w:rsid w:val="009A212B"/>
    <w:rsid w:val="009A216F"/>
    <w:rsid w:val="009A21F0"/>
    <w:rsid w:val="009A2431"/>
    <w:rsid w:val="009A2776"/>
    <w:rsid w:val="009A27F8"/>
    <w:rsid w:val="009A2814"/>
    <w:rsid w:val="009A2815"/>
    <w:rsid w:val="009A283C"/>
    <w:rsid w:val="009A296B"/>
    <w:rsid w:val="009A2971"/>
    <w:rsid w:val="009A2A25"/>
    <w:rsid w:val="009A2C24"/>
    <w:rsid w:val="009A2CE5"/>
    <w:rsid w:val="009A2E24"/>
    <w:rsid w:val="009A2E2B"/>
    <w:rsid w:val="009A3109"/>
    <w:rsid w:val="009A310A"/>
    <w:rsid w:val="009A3217"/>
    <w:rsid w:val="009A33A2"/>
    <w:rsid w:val="009A341E"/>
    <w:rsid w:val="009A35B7"/>
    <w:rsid w:val="009A36B6"/>
    <w:rsid w:val="009A37A2"/>
    <w:rsid w:val="009A3A2E"/>
    <w:rsid w:val="009A3BBB"/>
    <w:rsid w:val="009A3D43"/>
    <w:rsid w:val="009A3E16"/>
    <w:rsid w:val="009A3E1C"/>
    <w:rsid w:val="009A3E49"/>
    <w:rsid w:val="009A3F25"/>
    <w:rsid w:val="009A3F6D"/>
    <w:rsid w:val="009A3FEE"/>
    <w:rsid w:val="009A40D6"/>
    <w:rsid w:val="009A427A"/>
    <w:rsid w:val="009A42B7"/>
    <w:rsid w:val="009A42D7"/>
    <w:rsid w:val="009A4325"/>
    <w:rsid w:val="009A4384"/>
    <w:rsid w:val="009A43EC"/>
    <w:rsid w:val="009A4407"/>
    <w:rsid w:val="009A4447"/>
    <w:rsid w:val="009A4650"/>
    <w:rsid w:val="009A4693"/>
    <w:rsid w:val="009A4801"/>
    <w:rsid w:val="009A4B4D"/>
    <w:rsid w:val="009A4B8C"/>
    <w:rsid w:val="009A4C87"/>
    <w:rsid w:val="009A4C88"/>
    <w:rsid w:val="009A4ED1"/>
    <w:rsid w:val="009A4FB6"/>
    <w:rsid w:val="009A5008"/>
    <w:rsid w:val="009A50BE"/>
    <w:rsid w:val="009A5156"/>
    <w:rsid w:val="009A52DD"/>
    <w:rsid w:val="009A5313"/>
    <w:rsid w:val="009A53D0"/>
    <w:rsid w:val="009A5401"/>
    <w:rsid w:val="009A55C2"/>
    <w:rsid w:val="009A56DF"/>
    <w:rsid w:val="009A5908"/>
    <w:rsid w:val="009A59AE"/>
    <w:rsid w:val="009A5A82"/>
    <w:rsid w:val="009A5B1D"/>
    <w:rsid w:val="009A5BB2"/>
    <w:rsid w:val="009A5BD8"/>
    <w:rsid w:val="009A5CF6"/>
    <w:rsid w:val="009A5D59"/>
    <w:rsid w:val="009A5D76"/>
    <w:rsid w:val="009A5DF5"/>
    <w:rsid w:val="009A5E2E"/>
    <w:rsid w:val="009A5E8B"/>
    <w:rsid w:val="009A5F73"/>
    <w:rsid w:val="009A5FA5"/>
    <w:rsid w:val="009A6048"/>
    <w:rsid w:val="009A606E"/>
    <w:rsid w:val="009A63E6"/>
    <w:rsid w:val="009A6467"/>
    <w:rsid w:val="009A64EB"/>
    <w:rsid w:val="009A656C"/>
    <w:rsid w:val="009A6693"/>
    <w:rsid w:val="009A69BF"/>
    <w:rsid w:val="009A6A10"/>
    <w:rsid w:val="009A6A9E"/>
    <w:rsid w:val="009A6B70"/>
    <w:rsid w:val="009A6C37"/>
    <w:rsid w:val="009A6EC8"/>
    <w:rsid w:val="009A7138"/>
    <w:rsid w:val="009A716C"/>
    <w:rsid w:val="009A71E0"/>
    <w:rsid w:val="009A7306"/>
    <w:rsid w:val="009A7417"/>
    <w:rsid w:val="009A7451"/>
    <w:rsid w:val="009A74C5"/>
    <w:rsid w:val="009A7927"/>
    <w:rsid w:val="009A7928"/>
    <w:rsid w:val="009A79B2"/>
    <w:rsid w:val="009A7BC7"/>
    <w:rsid w:val="009A7BFF"/>
    <w:rsid w:val="009A7DC7"/>
    <w:rsid w:val="009A7E51"/>
    <w:rsid w:val="009A7F6E"/>
    <w:rsid w:val="009B00B9"/>
    <w:rsid w:val="009B0166"/>
    <w:rsid w:val="009B01A9"/>
    <w:rsid w:val="009B021C"/>
    <w:rsid w:val="009B02BA"/>
    <w:rsid w:val="009B04F6"/>
    <w:rsid w:val="009B050B"/>
    <w:rsid w:val="009B0705"/>
    <w:rsid w:val="009B0749"/>
    <w:rsid w:val="009B09ED"/>
    <w:rsid w:val="009B0A07"/>
    <w:rsid w:val="009B0A16"/>
    <w:rsid w:val="009B0BB7"/>
    <w:rsid w:val="009B0CDF"/>
    <w:rsid w:val="009B0E15"/>
    <w:rsid w:val="009B0ED9"/>
    <w:rsid w:val="009B0FBB"/>
    <w:rsid w:val="009B0FE2"/>
    <w:rsid w:val="009B1115"/>
    <w:rsid w:val="009B131D"/>
    <w:rsid w:val="009B15DF"/>
    <w:rsid w:val="009B16A3"/>
    <w:rsid w:val="009B17FF"/>
    <w:rsid w:val="009B1941"/>
    <w:rsid w:val="009B1946"/>
    <w:rsid w:val="009B1BD4"/>
    <w:rsid w:val="009B1CC8"/>
    <w:rsid w:val="009B1EE5"/>
    <w:rsid w:val="009B1F1C"/>
    <w:rsid w:val="009B1F50"/>
    <w:rsid w:val="009B1F5D"/>
    <w:rsid w:val="009B2031"/>
    <w:rsid w:val="009B22ED"/>
    <w:rsid w:val="009B2371"/>
    <w:rsid w:val="009B26BD"/>
    <w:rsid w:val="009B26DD"/>
    <w:rsid w:val="009B275F"/>
    <w:rsid w:val="009B27E9"/>
    <w:rsid w:val="009B280D"/>
    <w:rsid w:val="009B2A38"/>
    <w:rsid w:val="009B2A77"/>
    <w:rsid w:val="009B2AF4"/>
    <w:rsid w:val="009B2C03"/>
    <w:rsid w:val="009B2DAA"/>
    <w:rsid w:val="009B2DAB"/>
    <w:rsid w:val="009B2E7A"/>
    <w:rsid w:val="009B3095"/>
    <w:rsid w:val="009B319B"/>
    <w:rsid w:val="009B31D2"/>
    <w:rsid w:val="009B3227"/>
    <w:rsid w:val="009B32B3"/>
    <w:rsid w:val="009B3375"/>
    <w:rsid w:val="009B339E"/>
    <w:rsid w:val="009B34EB"/>
    <w:rsid w:val="009B35E0"/>
    <w:rsid w:val="009B360C"/>
    <w:rsid w:val="009B3670"/>
    <w:rsid w:val="009B37FB"/>
    <w:rsid w:val="009B38A9"/>
    <w:rsid w:val="009B39B3"/>
    <w:rsid w:val="009B39E7"/>
    <w:rsid w:val="009B3AA9"/>
    <w:rsid w:val="009B3C04"/>
    <w:rsid w:val="009B3F38"/>
    <w:rsid w:val="009B4120"/>
    <w:rsid w:val="009B4244"/>
    <w:rsid w:val="009B4466"/>
    <w:rsid w:val="009B44A0"/>
    <w:rsid w:val="009B45F1"/>
    <w:rsid w:val="009B489F"/>
    <w:rsid w:val="009B49DB"/>
    <w:rsid w:val="009B4B21"/>
    <w:rsid w:val="009B4F97"/>
    <w:rsid w:val="009B5073"/>
    <w:rsid w:val="009B524A"/>
    <w:rsid w:val="009B5368"/>
    <w:rsid w:val="009B554F"/>
    <w:rsid w:val="009B55CD"/>
    <w:rsid w:val="009B5644"/>
    <w:rsid w:val="009B565E"/>
    <w:rsid w:val="009B5776"/>
    <w:rsid w:val="009B57C5"/>
    <w:rsid w:val="009B5A1C"/>
    <w:rsid w:val="009B5A9B"/>
    <w:rsid w:val="009B5A9F"/>
    <w:rsid w:val="009B5CC0"/>
    <w:rsid w:val="009B5D44"/>
    <w:rsid w:val="009B5DB8"/>
    <w:rsid w:val="009B601C"/>
    <w:rsid w:val="009B601F"/>
    <w:rsid w:val="009B621F"/>
    <w:rsid w:val="009B646C"/>
    <w:rsid w:val="009B65ED"/>
    <w:rsid w:val="009B6FB2"/>
    <w:rsid w:val="009B721A"/>
    <w:rsid w:val="009B7270"/>
    <w:rsid w:val="009B72B0"/>
    <w:rsid w:val="009B74AE"/>
    <w:rsid w:val="009B766F"/>
    <w:rsid w:val="009B7730"/>
    <w:rsid w:val="009B7752"/>
    <w:rsid w:val="009B77EB"/>
    <w:rsid w:val="009B796C"/>
    <w:rsid w:val="009B7C1F"/>
    <w:rsid w:val="009B7F47"/>
    <w:rsid w:val="009C07C3"/>
    <w:rsid w:val="009C0A09"/>
    <w:rsid w:val="009C0AD2"/>
    <w:rsid w:val="009C0B9D"/>
    <w:rsid w:val="009C0F0C"/>
    <w:rsid w:val="009C1024"/>
    <w:rsid w:val="009C12A2"/>
    <w:rsid w:val="009C12E5"/>
    <w:rsid w:val="009C13C5"/>
    <w:rsid w:val="009C1416"/>
    <w:rsid w:val="009C147B"/>
    <w:rsid w:val="009C1522"/>
    <w:rsid w:val="009C1599"/>
    <w:rsid w:val="009C1778"/>
    <w:rsid w:val="009C18FD"/>
    <w:rsid w:val="009C1924"/>
    <w:rsid w:val="009C1A88"/>
    <w:rsid w:val="009C1AD6"/>
    <w:rsid w:val="009C1C0A"/>
    <w:rsid w:val="009C1D9F"/>
    <w:rsid w:val="009C1FD9"/>
    <w:rsid w:val="009C20BB"/>
    <w:rsid w:val="009C228A"/>
    <w:rsid w:val="009C22E5"/>
    <w:rsid w:val="009C2487"/>
    <w:rsid w:val="009C24FE"/>
    <w:rsid w:val="009C2742"/>
    <w:rsid w:val="009C28EE"/>
    <w:rsid w:val="009C2930"/>
    <w:rsid w:val="009C2ACB"/>
    <w:rsid w:val="009C2D6F"/>
    <w:rsid w:val="009C2FA3"/>
    <w:rsid w:val="009C31F4"/>
    <w:rsid w:val="009C31F5"/>
    <w:rsid w:val="009C35DD"/>
    <w:rsid w:val="009C3622"/>
    <w:rsid w:val="009C367D"/>
    <w:rsid w:val="009C3813"/>
    <w:rsid w:val="009C3847"/>
    <w:rsid w:val="009C388F"/>
    <w:rsid w:val="009C393D"/>
    <w:rsid w:val="009C3C02"/>
    <w:rsid w:val="009C3D63"/>
    <w:rsid w:val="009C3D74"/>
    <w:rsid w:val="009C3DA6"/>
    <w:rsid w:val="009C3EE3"/>
    <w:rsid w:val="009C40BE"/>
    <w:rsid w:val="009C430D"/>
    <w:rsid w:val="009C44B4"/>
    <w:rsid w:val="009C44E0"/>
    <w:rsid w:val="009C4611"/>
    <w:rsid w:val="009C461B"/>
    <w:rsid w:val="009C47B8"/>
    <w:rsid w:val="009C493D"/>
    <w:rsid w:val="009C4CA3"/>
    <w:rsid w:val="009C4DEC"/>
    <w:rsid w:val="009C50E2"/>
    <w:rsid w:val="009C53BC"/>
    <w:rsid w:val="009C5604"/>
    <w:rsid w:val="009C588F"/>
    <w:rsid w:val="009C58C9"/>
    <w:rsid w:val="009C5901"/>
    <w:rsid w:val="009C593E"/>
    <w:rsid w:val="009C59F0"/>
    <w:rsid w:val="009C5AEB"/>
    <w:rsid w:val="009C5B26"/>
    <w:rsid w:val="009C5D5B"/>
    <w:rsid w:val="009C5E8D"/>
    <w:rsid w:val="009C5F78"/>
    <w:rsid w:val="009C5FE9"/>
    <w:rsid w:val="009C60D6"/>
    <w:rsid w:val="009C62E1"/>
    <w:rsid w:val="009C63C6"/>
    <w:rsid w:val="009C648B"/>
    <w:rsid w:val="009C655C"/>
    <w:rsid w:val="009C66AA"/>
    <w:rsid w:val="009C67E0"/>
    <w:rsid w:val="009C67FB"/>
    <w:rsid w:val="009C6960"/>
    <w:rsid w:val="009C6A61"/>
    <w:rsid w:val="009C6CE3"/>
    <w:rsid w:val="009C6D32"/>
    <w:rsid w:val="009C6DD0"/>
    <w:rsid w:val="009C6FC0"/>
    <w:rsid w:val="009C7108"/>
    <w:rsid w:val="009C7312"/>
    <w:rsid w:val="009C73C8"/>
    <w:rsid w:val="009C78DB"/>
    <w:rsid w:val="009C792F"/>
    <w:rsid w:val="009C7D10"/>
    <w:rsid w:val="009C7D4E"/>
    <w:rsid w:val="009C7D88"/>
    <w:rsid w:val="009C7E45"/>
    <w:rsid w:val="009C7E49"/>
    <w:rsid w:val="009C7F87"/>
    <w:rsid w:val="009D0225"/>
    <w:rsid w:val="009D0581"/>
    <w:rsid w:val="009D079D"/>
    <w:rsid w:val="009D0845"/>
    <w:rsid w:val="009D0AE7"/>
    <w:rsid w:val="009D0E10"/>
    <w:rsid w:val="009D0EAB"/>
    <w:rsid w:val="009D0ED1"/>
    <w:rsid w:val="009D1213"/>
    <w:rsid w:val="009D143C"/>
    <w:rsid w:val="009D14B1"/>
    <w:rsid w:val="009D14B8"/>
    <w:rsid w:val="009D163E"/>
    <w:rsid w:val="009D183D"/>
    <w:rsid w:val="009D190B"/>
    <w:rsid w:val="009D1931"/>
    <w:rsid w:val="009D196D"/>
    <w:rsid w:val="009D1988"/>
    <w:rsid w:val="009D19F2"/>
    <w:rsid w:val="009D1A53"/>
    <w:rsid w:val="009D1BC3"/>
    <w:rsid w:val="009D1D3B"/>
    <w:rsid w:val="009D1FEB"/>
    <w:rsid w:val="009D2280"/>
    <w:rsid w:val="009D2368"/>
    <w:rsid w:val="009D24AA"/>
    <w:rsid w:val="009D24D2"/>
    <w:rsid w:val="009D274E"/>
    <w:rsid w:val="009D281E"/>
    <w:rsid w:val="009D2877"/>
    <w:rsid w:val="009D289D"/>
    <w:rsid w:val="009D2A42"/>
    <w:rsid w:val="009D2CB8"/>
    <w:rsid w:val="009D2F64"/>
    <w:rsid w:val="009D2F83"/>
    <w:rsid w:val="009D2FDC"/>
    <w:rsid w:val="009D3138"/>
    <w:rsid w:val="009D3187"/>
    <w:rsid w:val="009D34CA"/>
    <w:rsid w:val="009D34E6"/>
    <w:rsid w:val="009D351B"/>
    <w:rsid w:val="009D36B5"/>
    <w:rsid w:val="009D3A1D"/>
    <w:rsid w:val="009D3A44"/>
    <w:rsid w:val="009D3AB4"/>
    <w:rsid w:val="009D3AE9"/>
    <w:rsid w:val="009D3B9B"/>
    <w:rsid w:val="009D3D31"/>
    <w:rsid w:val="009D3D43"/>
    <w:rsid w:val="009D3D66"/>
    <w:rsid w:val="009D3D9D"/>
    <w:rsid w:val="009D3EE5"/>
    <w:rsid w:val="009D3FA2"/>
    <w:rsid w:val="009D4043"/>
    <w:rsid w:val="009D412F"/>
    <w:rsid w:val="009D41A7"/>
    <w:rsid w:val="009D41F8"/>
    <w:rsid w:val="009D4494"/>
    <w:rsid w:val="009D4520"/>
    <w:rsid w:val="009D486C"/>
    <w:rsid w:val="009D493A"/>
    <w:rsid w:val="009D498A"/>
    <w:rsid w:val="009D4CEF"/>
    <w:rsid w:val="009D525C"/>
    <w:rsid w:val="009D52E6"/>
    <w:rsid w:val="009D552C"/>
    <w:rsid w:val="009D5583"/>
    <w:rsid w:val="009D55E1"/>
    <w:rsid w:val="009D5657"/>
    <w:rsid w:val="009D59EB"/>
    <w:rsid w:val="009D5A16"/>
    <w:rsid w:val="009D5AB9"/>
    <w:rsid w:val="009D5B0E"/>
    <w:rsid w:val="009D5BC9"/>
    <w:rsid w:val="009D5BCC"/>
    <w:rsid w:val="009D5F6C"/>
    <w:rsid w:val="009D5F90"/>
    <w:rsid w:val="009D5FD6"/>
    <w:rsid w:val="009D60A5"/>
    <w:rsid w:val="009D6263"/>
    <w:rsid w:val="009D6345"/>
    <w:rsid w:val="009D6671"/>
    <w:rsid w:val="009D66CC"/>
    <w:rsid w:val="009D6878"/>
    <w:rsid w:val="009D6993"/>
    <w:rsid w:val="009D6A3B"/>
    <w:rsid w:val="009D6AF4"/>
    <w:rsid w:val="009D6B04"/>
    <w:rsid w:val="009D6B65"/>
    <w:rsid w:val="009D6CD1"/>
    <w:rsid w:val="009D6FAB"/>
    <w:rsid w:val="009D72AA"/>
    <w:rsid w:val="009D745B"/>
    <w:rsid w:val="009D7582"/>
    <w:rsid w:val="009D7633"/>
    <w:rsid w:val="009D763C"/>
    <w:rsid w:val="009D775A"/>
    <w:rsid w:val="009D791C"/>
    <w:rsid w:val="009D7C24"/>
    <w:rsid w:val="009D7C44"/>
    <w:rsid w:val="009D7CDA"/>
    <w:rsid w:val="009D7DC7"/>
    <w:rsid w:val="009D7FB5"/>
    <w:rsid w:val="009E00EA"/>
    <w:rsid w:val="009E01F3"/>
    <w:rsid w:val="009E025E"/>
    <w:rsid w:val="009E036B"/>
    <w:rsid w:val="009E038C"/>
    <w:rsid w:val="009E03AD"/>
    <w:rsid w:val="009E0404"/>
    <w:rsid w:val="009E05DC"/>
    <w:rsid w:val="009E0623"/>
    <w:rsid w:val="009E0684"/>
    <w:rsid w:val="009E0881"/>
    <w:rsid w:val="009E0904"/>
    <w:rsid w:val="009E09F3"/>
    <w:rsid w:val="009E0A86"/>
    <w:rsid w:val="009E0CA7"/>
    <w:rsid w:val="009E0CDF"/>
    <w:rsid w:val="009E0DCC"/>
    <w:rsid w:val="009E0EE0"/>
    <w:rsid w:val="009E0F50"/>
    <w:rsid w:val="009E1271"/>
    <w:rsid w:val="009E131F"/>
    <w:rsid w:val="009E147A"/>
    <w:rsid w:val="009E19C6"/>
    <w:rsid w:val="009E1A4C"/>
    <w:rsid w:val="009E1BDE"/>
    <w:rsid w:val="009E1BE8"/>
    <w:rsid w:val="009E1C29"/>
    <w:rsid w:val="009E1D94"/>
    <w:rsid w:val="009E1FB9"/>
    <w:rsid w:val="009E2284"/>
    <w:rsid w:val="009E235E"/>
    <w:rsid w:val="009E23D6"/>
    <w:rsid w:val="009E256B"/>
    <w:rsid w:val="009E278C"/>
    <w:rsid w:val="009E27EA"/>
    <w:rsid w:val="009E298C"/>
    <w:rsid w:val="009E29B4"/>
    <w:rsid w:val="009E2B53"/>
    <w:rsid w:val="009E2B54"/>
    <w:rsid w:val="009E2B7C"/>
    <w:rsid w:val="009E2BC3"/>
    <w:rsid w:val="009E2BF4"/>
    <w:rsid w:val="009E2CAE"/>
    <w:rsid w:val="009E2D09"/>
    <w:rsid w:val="009E2DE7"/>
    <w:rsid w:val="009E2DF3"/>
    <w:rsid w:val="009E303E"/>
    <w:rsid w:val="009E3066"/>
    <w:rsid w:val="009E31DD"/>
    <w:rsid w:val="009E35F5"/>
    <w:rsid w:val="009E36AA"/>
    <w:rsid w:val="009E3796"/>
    <w:rsid w:val="009E3A2C"/>
    <w:rsid w:val="009E3A62"/>
    <w:rsid w:val="009E3CC5"/>
    <w:rsid w:val="009E3D52"/>
    <w:rsid w:val="009E3DD2"/>
    <w:rsid w:val="009E3F25"/>
    <w:rsid w:val="009E409E"/>
    <w:rsid w:val="009E42D9"/>
    <w:rsid w:val="009E4748"/>
    <w:rsid w:val="009E488D"/>
    <w:rsid w:val="009E48C4"/>
    <w:rsid w:val="009E4950"/>
    <w:rsid w:val="009E4B08"/>
    <w:rsid w:val="009E4B74"/>
    <w:rsid w:val="009E4CE0"/>
    <w:rsid w:val="009E4D0F"/>
    <w:rsid w:val="009E4DBF"/>
    <w:rsid w:val="009E4DC2"/>
    <w:rsid w:val="009E4F01"/>
    <w:rsid w:val="009E504B"/>
    <w:rsid w:val="009E5180"/>
    <w:rsid w:val="009E51F2"/>
    <w:rsid w:val="009E533B"/>
    <w:rsid w:val="009E5501"/>
    <w:rsid w:val="009E55DB"/>
    <w:rsid w:val="009E56B0"/>
    <w:rsid w:val="009E5713"/>
    <w:rsid w:val="009E5931"/>
    <w:rsid w:val="009E5B4E"/>
    <w:rsid w:val="009E5C00"/>
    <w:rsid w:val="009E5FF1"/>
    <w:rsid w:val="009E5FF6"/>
    <w:rsid w:val="009E611B"/>
    <w:rsid w:val="009E6447"/>
    <w:rsid w:val="009E666A"/>
    <w:rsid w:val="009E68F5"/>
    <w:rsid w:val="009E6911"/>
    <w:rsid w:val="009E6A3D"/>
    <w:rsid w:val="009E6AA6"/>
    <w:rsid w:val="009E6B85"/>
    <w:rsid w:val="009E6C31"/>
    <w:rsid w:val="009E7172"/>
    <w:rsid w:val="009E73F9"/>
    <w:rsid w:val="009E746A"/>
    <w:rsid w:val="009E74AE"/>
    <w:rsid w:val="009E76DF"/>
    <w:rsid w:val="009E78E9"/>
    <w:rsid w:val="009E793B"/>
    <w:rsid w:val="009E79E6"/>
    <w:rsid w:val="009E7B43"/>
    <w:rsid w:val="009E7CE2"/>
    <w:rsid w:val="009E7D13"/>
    <w:rsid w:val="009E7D73"/>
    <w:rsid w:val="009E7FB7"/>
    <w:rsid w:val="009F005E"/>
    <w:rsid w:val="009F00E9"/>
    <w:rsid w:val="009F012E"/>
    <w:rsid w:val="009F01DF"/>
    <w:rsid w:val="009F01E8"/>
    <w:rsid w:val="009F027A"/>
    <w:rsid w:val="009F035D"/>
    <w:rsid w:val="009F04F4"/>
    <w:rsid w:val="009F0652"/>
    <w:rsid w:val="009F06FF"/>
    <w:rsid w:val="009F0705"/>
    <w:rsid w:val="009F08C6"/>
    <w:rsid w:val="009F09C5"/>
    <w:rsid w:val="009F0AA9"/>
    <w:rsid w:val="009F0AAA"/>
    <w:rsid w:val="009F0BFA"/>
    <w:rsid w:val="009F0C01"/>
    <w:rsid w:val="009F0C4B"/>
    <w:rsid w:val="009F0C5A"/>
    <w:rsid w:val="009F0CE5"/>
    <w:rsid w:val="009F0D76"/>
    <w:rsid w:val="009F0DDD"/>
    <w:rsid w:val="009F0EAF"/>
    <w:rsid w:val="009F0FE2"/>
    <w:rsid w:val="009F10D6"/>
    <w:rsid w:val="009F14B6"/>
    <w:rsid w:val="009F14F1"/>
    <w:rsid w:val="009F150C"/>
    <w:rsid w:val="009F15D3"/>
    <w:rsid w:val="009F1622"/>
    <w:rsid w:val="009F1646"/>
    <w:rsid w:val="009F181D"/>
    <w:rsid w:val="009F1A49"/>
    <w:rsid w:val="009F1A58"/>
    <w:rsid w:val="009F1CAE"/>
    <w:rsid w:val="009F1CD5"/>
    <w:rsid w:val="009F1EB3"/>
    <w:rsid w:val="009F1F98"/>
    <w:rsid w:val="009F20BD"/>
    <w:rsid w:val="009F2344"/>
    <w:rsid w:val="009F25B7"/>
    <w:rsid w:val="009F28E5"/>
    <w:rsid w:val="009F2992"/>
    <w:rsid w:val="009F2ABD"/>
    <w:rsid w:val="009F2AEF"/>
    <w:rsid w:val="009F2BCB"/>
    <w:rsid w:val="009F2BDD"/>
    <w:rsid w:val="009F2BE2"/>
    <w:rsid w:val="009F3158"/>
    <w:rsid w:val="009F31DF"/>
    <w:rsid w:val="009F3287"/>
    <w:rsid w:val="009F331A"/>
    <w:rsid w:val="009F341D"/>
    <w:rsid w:val="009F3454"/>
    <w:rsid w:val="009F34A0"/>
    <w:rsid w:val="009F3571"/>
    <w:rsid w:val="009F3B41"/>
    <w:rsid w:val="009F3C61"/>
    <w:rsid w:val="009F3C90"/>
    <w:rsid w:val="009F3CDC"/>
    <w:rsid w:val="009F3DAC"/>
    <w:rsid w:val="009F3DAF"/>
    <w:rsid w:val="009F3DD8"/>
    <w:rsid w:val="009F3E2B"/>
    <w:rsid w:val="009F3EB6"/>
    <w:rsid w:val="009F3EF3"/>
    <w:rsid w:val="009F4010"/>
    <w:rsid w:val="009F4034"/>
    <w:rsid w:val="009F409F"/>
    <w:rsid w:val="009F40B5"/>
    <w:rsid w:val="009F4170"/>
    <w:rsid w:val="009F4228"/>
    <w:rsid w:val="009F424E"/>
    <w:rsid w:val="009F4290"/>
    <w:rsid w:val="009F42DB"/>
    <w:rsid w:val="009F4319"/>
    <w:rsid w:val="009F4379"/>
    <w:rsid w:val="009F43E2"/>
    <w:rsid w:val="009F4742"/>
    <w:rsid w:val="009F4775"/>
    <w:rsid w:val="009F47F2"/>
    <w:rsid w:val="009F4935"/>
    <w:rsid w:val="009F4ABF"/>
    <w:rsid w:val="009F4BCF"/>
    <w:rsid w:val="009F4CDB"/>
    <w:rsid w:val="009F4F70"/>
    <w:rsid w:val="009F50CE"/>
    <w:rsid w:val="009F517C"/>
    <w:rsid w:val="009F51AC"/>
    <w:rsid w:val="009F525C"/>
    <w:rsid w:val="009F52D8"/>
    <w:rsid w:val="009F55F5"/>
    <w:rsid w:val="009F575F"/>
    <w:rsid w:val="009F5A58"/>
    <w:rsid w:val="009F5B66"/>
    <w:rsid w:val="009F5C16"/>
    <w:rsid w:val="009F5C83"/>
    <w:rsid w:val="009F5E51"/>
    <w:rsid w:val="009F5E9F"/>
    <w:rsid w:val="009F60CF"/>
    <w:rsid w:val="009F6200"/>
    <w:rsid w:val="009F63CA"/>
    <w:rsid w:val="009F6437"/>
    <w:rsid w:val="009F6702"/>
    <w:rsid w:val="009F6735"/>
    <w:rsid w:val="009F694E"/>
    <w:rsid w:val="009F6A5D"/>
    <w:rsid w:val="009F6B3D"/>
    <w:rsid w:val="009F6C4B"/>
    <w:rsid w:val="009F6D4C"/>
    <w:rsid w:val="009F6DFC"/>
    <w:rsid w:val="009F707C"/>
    <w:rsid w:val="009F7109"/>
    <w:rsid w:val="009F7294"/>
    <w:rsid w:val="009F737E"/>
    <w:rsid w:val="009F7389"/>
    <w:rsid w:val="009F7544"/>
    <w:rsid w:val="009F7814"/>
    <w:rsid w:val="009F783F"/>
    <w:rsid w:val="009F7873"/>
    <w:rsid w:val="009F798D"/>
    <w:rsid w:val="009F7BC8"/>
    <w:rsid w:val="009F7BD9"/>
    <w:rsid w:val="009F7FB2"/>
    <w:rsid w:val="00A0015D"/>
    <w:rsid w:val="00A00363"/>
    <w:rsid w:val="00A004C2"/>
    <w:rsid w:val="00A0050B"/>
    <w:rsid w:val="00A00697"/>
    <w:rsid w:val="00A00935"/>
    <w:rsid w:val="00A0096E"/>
    <w:rsid w:val="00A009E7"/>
    <w:rsid w:val="00A00A78"/>
    <w:rsid w:val="00A00B85"/>
    <w:rsid w:val="00A00C32"/>
    <w:rsid w:val="00A00D7A"/>
    <w:rsid w:val="00A00DD2"/>
    <w:rsid w:val="00A00E90"/>
    <w:rsid w:val="00A00F55"/>
    <w:rsid w:val="00A00F94"/>
    <w:rsid w:val="00A00FDC"/>
    <w:rsid w:val="00A01080"/>
    <w:rsid w:val="00A010C6"/>
    <w:rsid w:val="00A01196"/>
    <w:rsid w:val="00A014AA"/>
    <w:rsid w:val="00A015AA"/>
    <w:rsid w:val="00A016D1"/>
    <w:rsid w:val="00A0189B"/>
    <w:rsid w:val="00A01B41"/>
    <w:rsid w:val="00A01FE6"/>
    <w:rsid w:val="00A02149"/>
    <w:rsid w:val="00A0229E"/>
    <w:rsid w:val="00A02309"/>
    <w:rsid w:val="00A02337"/>
    <w:rsid w:val="00A023B5"/>
    <w:rsid w:val="00A023E7"/>
    <w:rsid w:val="00A024DD"/>
    <w:rsid w:val="00A02516"/>
    <w:rsid w:val="00A0279C"/>
    <w:rsid w:val="00A02947"/>
    <w:rsid w:val="00A029A7"/>
    <w:rsid w:val="00A02BA5"/>
    <w:rsid w:val="00A02CAD"/>
    <w:rsid w:val="00A02D69"/>
    <w:rsid w:val="00A02DA3"/>
    <w:rsid w:val="00A02E07"/>
    <w:rsid w:val="00A02F05"/>
    <w:rsid w:val="00A02F8E"/>
    <w:rsid w:val="00A0342A"/>
    <w:rsid w:val="00A03474"/>
    <w:rsid w:val="00A037CD"/>
    <w:rsid w:val="00A03880"/>
    <w:rsid w:val="00A0389A"/>
    <w:rsid w:val="00A038E0"/>
    <w:rsid w:val="00A03A46"/>
    <w:rsid w:val="00A03BD9"/>
    <w:rsid w:val="00A0405F"/>
    <w:rsid w:val="00A04325"/>
    <w:rsid w:val="00A045C7"/>
    <w:rsid w:val="00A045E3"/>
    <w:rsid w:val="00A04744"/>
    <w:rsid w:val="00A04B59"/>
    <w:rsid w:val="00A04B76"/>
    <w:rsid w:val="00A04C4A"/>
    <w:rsid w:val="00A0511E"/>
    <w:rsid w:val="00A051AF"/>
    <w:rsid w:val="00A051FC"/>
    <w:rsid w:val="00A05208"/>
    <w:rsid w:val="00A05211"/>
    <w:rsid w:val="00A05327"/>
    <w:rsid w:val="00A05406"/>
    <w:rsid w:val="00A05611"/>
    <w:rsid w:val="00A05644"/>
    <w:rsid w:val="00A05825"/>
    <w:rsid w:val="00A0583E"/>
    <w:rsid w:val="00A05AB4"/>
    <w:rsid w:val="00A05DF5"/>
    <w:rsid w:val="00A05FA6"/>
    <w:rsid w:val="00A05FC5"/>
    <w:rsid w:val="00A06047"/>
    <w:rsid w:val="00A06115"/>
    <w:rsid w:val="00A062AA"/>
    <w:rsid w:val="00A06352"/>
    <w:rsid w:val="00A06382"/>
    <w:rsid w:val="00A063C8"/>
    <w:rsid w:val="00A06529"/>
    <w:rsid w:val="00A06799"/>
    <w:rsid w:val="00A06846"/>
    <w:rsid w:val="00A06B5A"/>
    <w:rsid w:val="00A06D5C"/>
    <w:rsid w:val="00A07055"/>
    <w:rsid w:val="00A0713B"/>
    <w:rsid w:val="00A072D8"/>
    <w:rsid w:val="00A07428"/>
    <w:rsid w:val="00A0753C"/>
    <w:rsid w:val="00A0770B"/>
    <w:rsid w:val="00A077F3"/>
    <w:rsid w:val="00A07B09"/>
    <w:rsid w:val="00A07B53"/>
    <w:rsid w:val="00A07C66"/>
    <w:rsid w:val="00A07CED"/>
    <w:rsid w:val="00A07DD7"/>
    <w:rsid w:val="00A07DF9"/>
    <w:rsid w:val="00A07E99"/>
    <w:rsid w:val="00A07EA5"/>
    <w:rsid w:val="00A10336"/>
    <w:rsid w:val="00A1035E"/>
    <w:rsid w:val="00A104DA"/>
    <w:rsid w:val="00A10634"/>
    <w:rsid w:val="00A10664"/>
    <w:rsid w:val="00A107B8"/>
    <w:rsid w:val="00A10963"/>
    <w:rsid w:val="00A10B93"/>
    <w:rsid w:val="00A10DB1"/>
    <w:rsid w:val="00A10E2B"/>
    <w:rsid w:val="00A10F2F"/>
    <w:rsid w:val="00A1104A"/>
    <w:rsid w:val="00A11061"/>
    <w:rsid w:val="00A11313"/>
    <w:rsid w:val="00A113F2"/>
    <w:rsid w:val="00A11521"/>
    <w:rsid w:val="00A1167F"/>
    <w:rsid w:val="00A11823"/>
    <w:rsid w:val="00A118AF"/>
    <w:rsid w:val="00A118EF"/>
    <w:rsid w:val="00A11A4D"/>
    <w:rsid w:val="00A11B6B"/>
    <w:rsid w:val="00A11B75"/>
    <w:rsid w:val="00A11C0D"/>
    <w:rsid w:val="00A11C3F"/>
    <w:rsid w:val="00A11DDF"/>
    <w:rsid w:val="00A11E1F"/>
    <w:rsid w:val="00A11F8E"/>
    <w:rsid w:val="00A1210D"/>
    <w:rsid w:val="00A1215D"/>
    <w:rsid w:val="00A12232"/>
    <w:rsid w:val="00A1288E"/>
    <w:rsid w:val="00A1290F"/>
    <w:rsid w:val="00A1291B"/>
    <w:rsid w:val="00A12C07"/>
    <w:rsid w:val="00A12C7C"/>
    <w:rsid w:val="00A12EB9"/>
    <w:rsid w:val="00A12EFD"/>
    <w:rsid w:val="00A1303A"/>
    <w:rsid w:val="00A13223"/>
    <w:rsid w:val="00A132C3"/>
    <w:rsid w:val="00A1339D"/>
    <w:rsid w:val="00A13567"/>
    <w:rsid w:val="00A135FC"/>
    <w:rsid w:val="00A138C6"/>
    <w:rsid w:val="00A138FD"/>
    <w:rsid w:val="00A13941"/>
    <w:rsid w:val="00A13998"/>
    <w:rsid w:val="00A13A01"/>
    <w:rsid w:val="00A13A33"/>
    <w:rsid w:val="00A13AD2"/>
    <w:rsid w:val="00A13B5B"/>
    <w:rsid w:val="00A13BF5"/>
    <w:rsid w:val="00A13CE9"/>
    <w:rsid w:val="00A13E32"/>
    <w:rsid w:val="00A13FD7"/>
    <w:rsid w:val="00A142A0"/>
    <w:rsid w:val="00A14372"/>
    <w:rsid w:val="00A14488"/>
    <w:rsid w:val="00A146C3"/>
    <w:rsid w:val="00A14706"/>
    <w:rsid w:val="00A14804"/>
    <w:rsid w:val="00A14873"/>
    <w:rsid w:val="00A148AF"/>
    <w:rsid w:val="00A14B4A"/>
    <w:rsid w:val="00A14C8C"/>
    <w:rsid w:val="00A14E0A"/>
    <w:rsid w:val="00A14E26"/>
    <w:rsid w:val="00A14F16"/>
    <w:rsid w:val="00A14F18"/>
    <w:rsid w:val="00A14F94"/>
    <w:rsid w:val="00A15151"/>
    <w:rsid w:val="00A1518C"/>
    <w:rsid w:val="00A15363"/>
    <w:rsid w:val="00A1544D"/>
    <w:rsid w:val="00A1545A"/>
    <w:rsid w:val="00A1555C"/>
    <w:rsid w:val="00A15633"/>
    <w:rsid w:val="00A15A86"/>
    <w:rsid w:val="00A15B0F"/>
    <w:rsid w:val="00A15B18"/>
    <w:rsid w:val="00A15B4D"/>
    <w:rsid w:val="00A15BF0"/>
    <w:rsid w:val="00A15D6F"/>
    <w:rsid w:val="00A15EB3"/>
    <w:rsid w:val="00A15FC4"/>
    <w:rsid w:val="00A160C2"/>
    <w:rsid w:val="00A16340"/>
    <w:rsid w:val="00A16376"/>
    <w:rsid w:val="00A1662A"/>
    <w:rsid w:val="00A16665"/>
    <w:rsid w:val="00A168C7"/>
    <w:rsid w:val="00A169BA"/>
    <w:rsid w:val="00A16A01"/>
    <w:rsid w:val="00A16A2C"/>
    <w:rsid w:val="00A16A68"/>
    <w:rsid w:val="00A16C2F"/>
    <w:rsid w:val="00A16C4C"/>
    <w:rsid w:val="00A16D2C"/>
    <w:rsid w:val="00A16F27"/>
    <w:rsid w:val="00A1700E"/>
    <w:rsid w:val="00A17093"/>
    <w:rsid w:val="00A173AA"/>
    <w:rsid w:val="00A17589"/>
    <w:rsid w:val="00A175AF"/>
    <w:rsid w:val="00A1774D"/>
    <w:rsid w:val="00A177B5"/>
    <w:rsid w:val="00A178B6"/>
    <w:rsid w:val="00A17C3D"/>
    <w:rsid w:val="00A17C7B"/>
    <w:rsid w:val="00A17CF4"/>
    <w:rsid w:val="00A17DD6"/>
    <w:rsid w:val="00A17E0A"/>
    <w:rsid w:val="00A20013"/>
    <w:rsid w:val="00A200EE"/>
    <w:rsid w:val="00A20293"/>
    <w:rsid w:val="00A204DE"/>
    <w:rsid w:val="00A204E1"/>
    <w:rsid w:val="00A20526"/>
    <w:rsid w:val="00A20790"/>
    <w:rsid w:val="00A20C64"/>
    <w:rsid w:val="00A20D46"/>
    <w:rsid w:val="00A20EBD"/>
    <w:rsid w:val="00A20F6A"/>
    <w:rsid w:val="00A211FE"/>
    <w:rsid w:val="00A21540"/>
    <w:rsid w:val="00A21868"/>
    <w:rsid w:val="00A21AE4"/>
    <w:rsid w:val="00A21C01"/>
    <w:rsid w:val="00A21D7C"/>
    <w:rsid w:val="00A21DE6"/>
    <w:rsid w:val="00A21E00"/>
    <w:rsid w:val="00A21FA8"/>
    <w:rsid w:val="00A2201E"/>
    <w:rsid w:val="00A22054"/>
    <w:rsid w:val="00A2207A"/>
    <w:rsid w:val="00A22228"/>
    <w:rsid w:val="00A2228E"/>
    <w:rsid w:val="00A224FE"/>
    <w:rsid w:val="00A22502"/>
    <w:rsid w:val="00A225D9"/>
    <w:rsid w:val="00A2262B"/>
    <w:rsid w:val="00A226EE"/>
    <w:rsid w:val="00A2282A"/>
    <w:rsid w:val="00A228F1"/>
    <w:rsid w:val="00A22AE1"/>
    <w:rsid w:val="00A22CA5"/>
    <w:rsid w:val="00A22D50"/>
    <w:rsid w:val="00A2307E"/>
    <w:rsid w:val="00A231D9"/>
    <w:rsid w:val="00A233D9"/>
    <w:rsid w:val="00A234AD"/>
    <w:rsid w:val="00A2369C"/>
    <w:rsid w:val="00A23906"/>
    <w:rsid w:val="00A239EF"/>
    <w:rsid w:val="00A23B1D"/>
    <w:rsid w:val="00A23C06"/>
    <w:rsid w:val="00A23C7C"/>
    <w:rsid w:val="00A23D04"/>
    <w:rsid w:val="00A23D88"/>
    <w:rsid w:val="00A23E44"/>
    <w:rsid w:val="00A23F67"/>
    <w:rsid w:val="00A24002"/>
    <w:rsid w:val="00A241F2"/>
    <w:rsid w:val="00A2450D"/>
    <w:rsid w:val="00A2457F"/>
    <w:rsid w:val="00A2471A"/>
    <w:rsid w:val="00A24809"/>
    <w:rsid w:val="00A24A23"/>
    <w:rsid w:val="00A24BD5"/>
    <w:rsid w:val="00A24CB8"/>
    <w:rsid w:val="00A25179"/>
    <w:rsid w:val="00A251B0"/>
    <w:rsid w:val="00A252A6"/>
    <w:rsid w:val="00A2533A"/>
    <w:rsid w:val="00A25485"/>
    <w:rsid w:val="00A25774"/>
    <w:rsid w:val="00A25AAB"/>
    <w:rsid w:val="00A25C74"/>
    <w:rsid w:val="00A25DCB"/>
    <w:rsid w:val="00A25EFA"/>
    <w:rsid w:val="00A25F27"/>
    <w:rsid w:val="00A2612D"/>
    <w:rsid w:val="00A262CA"/>
    <w:rsid w:val="00A26343"/>
    <w:rsid w:val="00A2637E"/>
    <w:rsid w:val="00A265AE"/>
    <w:rsid w:val="00A265D1"/>
    <w:rsid w:val="00A268C7"/>
    <w:rsid w:val="00A26ADD"/>
    <w:rsid w:val="00A26B97"/>
    <w:rsid w:val="00A26CD7"/>
    <w:rsid w:val="00A26E8F"/>
    <w:rsid w:val="00A26F57"/>
    <w:rsid w:val="00A26FF4"/>
    <w:rsid w:val="00A27144"/>
    <w:rsid w:val="00A2719B"/>
    <w:rsid w:val="00A272CD"/>
    <w:rsid w:val="00A27327"/>
    <w:rsid w:val="00A27365"/>
    <w:rsid w:val="00A273A5"/>
    <w:rsid w:val="00A2746B"/>
    <w:rsid w:val="00A2747E"/>
    <w:rsid w:val="00A27570"/>
    <w:rsid w:val="00A2760C"/>
    <w:rsid w:val="00A27728"/>
    <w:rsid w:val="00A27740"/>
    <w:rsid w:val="00A277D5"/>
    <w:rsid w:val="00A278CC"/>
    <w:rsid w:val="00A279C6"/>
    <w:rsid w:val="00A279F9"/>
    <w:rsid w:val="00A27B45"/>
    <w:rsid w:val="00A27C3F"/>
    <w:rsid w:val="00A27D43"/>
    <w:rsid w:val="00A27DF4"/>
    <w:rsid w:val="00A27E49"/>
    <w:rsid w:val="00A30094"/>
    <w:rsid w:val="00A303FC"/>
    <w:rsid w:val="00A30550"/>
    <w:rsid w:val="00A30C8D"/>
    <w:rsid w:val="00A30CB1"/>
    <w:rsid w:val="00A30D57"/>
    <w:rsid w:val="00A30DB9"/>
    <w:rsid w:val="00A30E6A"/>
    <w:rsid w:val="00A310A4"/>
    <w:rsid w:val="00A31328"/>
    <w:rsid w:val="00A313FB"/>
    <w:rsid w:val="00A31509"/>
    <w:rsid w:val="00A315A0"/>
    <w:rsid w:val="00A31721"/>
    <w:rsid w:val="00A31801"/>
    <w:rsid w:val="00A31864"/>
    <w:rsid w:val="00A3186A"/>
    <w:rsid w:val="00A31A71"/>
    <w:rsid w:val="00A31B7C"/>
    <w:rsid w:val="00A31CF3"/>
    <w:rsid w:val="00A31DBD"/>
    <w:rsid w:val="00A31DCE"/>
    <w:rsid w:val="00A32148"/>
    <w:rsid w:val="00A321AD"/>
    <w:rsid w:val="00A322DA"/>
    <w:rsid w:val="00A323F0"/>
    <w:rsid w:val="00A32547"/>
    <w:rsid w:val="00A32636"/>
    <w:rsid w:val="00A3272B"/>
    <w:rsid w:val="00A32868"/>
    <w:rsid w:val="00A3289C"/>
    <w:rsid w:val="00A328C9"/>
    <w:rsid w:val="00A32937"/>
    <w:rsid w:val="00A32949"/>
    <w:rsid w:val="00A32961"/>
    <w:rsid w:val="00A329EC"/>
    <w:rsid w:val="00A32DC7"/>
    <w:rsid w:val="00A32FDD"/>
    <w:rsid w:val="00A33144"/>
    <w:rsid w:val="00A33238"/>
    <w:rsid w:val="00A33254"/>
    <w:rsid w:val="00A33315"/>
    <w:rsid w:val="00A3352B"/>
    <w:rsid w:val="00A33603"/>
    <w:rsid w:val="00A338C4"/>
    <w:rsid w:val="00A338FA"/>
    <w:rsid w:val="00A33B1D"/>
    <w:rsid w:val="00A33C4D"/>
    <w:rsid w:val="00A33E0F"/>
    <w:rsid w:val="00A33F5B"/>
    <w:rsid w:val="00A33F7E"/>
    <w:rsid w:val="00A3407E"/>
    <w:rsid w:val="00A340F4"/>
    <w:rsid w:val="00A341AB"/>
    <w:rsid w:val="00A34311"/>
    <w:rsid w:val="00A3446A"/>
    <w:rsid w:val="00A3455F"/>
    <w:rsid w:val="00A3461E"/>
    <w:rsid w:val="00A34620"/>
    <w:rsid w:val="00A34724"/>
    <w:rsid w:val="00A3472E"/>
    <w:rsid w:val="00A3480D"/>
    <w:rsid w:val="00A348D9"/>
    <w:rsid w:val="00A34931"/>
    <w:rsid w:val="00A34C78"/>
    <w:rsid w:val="00A34C9C"/>
    <w:rsid w:val="00A34D30"/>
    <w:rsid w:val="00A34FDF"/>
    <w:rsid w:val="00A35158"/>
    <w:rsid w:val="00A35462"/>
    <w:rsid w:val="00A35463"/>
    <w:rsid w:val="00A355EC"/>
    <w:rsid w:val="00A3584C"/>
    <w:rsid w:val="00A3593F"/>
    <w:rsid w:val="00A35955"/>
    <w:rsid w:val="00A35CB6"/>
    <w:rsid w:val="00A35D05"/>
    <w:rsid w:val="00A35E87"/>
    <w:rsid w:val="00A36075"/>
    <w:rsid w:val="00A3609F"/>
    <w:rsid w:val="00A361C2"/>
    <w:rsid w:val="00A361FD"/>
    <w:rsid w:val="00A3634C"/>
    <w:rsid w:val="00A365DF"/>
    <w:rsid w:val="00A367D9"/>
    <w:rsid w:val="00A368D4"/>
    <w:rsid w:val="00A36943"/>
    <w:rsid w:val="00A36BF0"/>
    <w:rsid w:val="00A37267"/>
    <w:rsid w:val="00A372DA"/>
    <w:rsid w:val="00A37385"/>
    <w:rsid w:val="00A373E9"/>
    <w:rsid w:val="00A374CF"/>
    <w:rsid w:val="00A375AD"/>
    <w:rsid w:val="00A3765E"/>
    <w:rsid w:val="00A37AB5"/>
    <w:rsid w:val="00A37FC8"/>
    <w:rsid w:val="00A4021C"/>
    <w:rsid w:val="00A4044A"/>
    <w:rsid w:val="00A40584"/>
    <w:rsid w:val="00A40877"/>
    <w:rsid w:val="00A408CF"/>
    <w:rsid w:val="00A409B0"/>
    <w:rsid w:val="00A409D7"/>
    <w:rsid w:val="00A40AD1"/>
    <w:rsid w:val="00A40BB9"/>
    <w:rsid w:val="00A40C59"/>
    <w:rsid w:val="00A40CD7"/>
    <w:rsid w:val="00A40D68"/>
    <w:rsid w:val="00A40E06"/>
    <w:rsid w:val="00A40F27"/>
    <w:rsid w:val="00A4103F"/>
    <w:rsid w:val="00A41045"/>
    <w:rsid w:val="00A41094"/>
    <w:rsid w:val="00A411D3"/>
    <w:rsid w:val="00A412F9"/>
    <w:rsid w:val="00A41306"/>
    <w:rsid w:val="00A4149D"/>
    <w:rsid w:val="00A414D5"/>
    <w:rsid w:val="00A41522"/>
    <w:rsid w:val="00A41544"/>
    <w:rsid w:val="00A416F1"/>
    <w:rsid w:val="00A41713"/>
    <w:rsid w:val="00A4178F"/>
    <w:rsid w:val="00A41799"/>
    <w:rsid w:val="00A417D2"/>
    <w:rsid w:val="00A41AEC"/>
    <w:rsid w:val="00A41B0E"/>
    <w:rsid w:val="00A41BE0"/>
    <w:rsid w:val="00A41E2B"/>
    <w:rsid w:val="00A41ECF"/>
    <w:rsid w:val="00A41EE8"/>
    <w:rsid w:val="00A41F64"/>
    <w:rsid w:val="00A41FF1"/>
    <w:rsid w:val="00A41FF2"/>
    <w:rsid w:val="00A421CC"/>
    <w:rsid w:val="00A4229C"/>
    <w:rsid w:val="00A4250C"/>
    <w:rsid w:val="00A4254E"/>
    <w:rsid w:val="00A42710"/>
    <w:rsid w:val="00A428BE"/>
    <w:rsid w:val="00A42CAE"/>
    <w:rsid w:val="00A42D02"/>
    <w:rsid w:val="00A42F91"/>
    <w:rsid w:val="00A43047"/>
    <w:rsid w:val="00A431AC"/>
    <w:rsid w:val="00A43305"/>
    <w:rsid w:val="00A4359B"/>
    <w:rsid w:val="00A43618"/>
    <w:rsid w:val="00A43727"/>
    <w:rsid w:val="00A4392A"/>
    <w:rsid w:val="00A4396E"/>
    <w:rsid w:val="00A43A32"/>
    <w:rsid w:val="00A43A76"/>
    <w:rsid w:val="00A43AEF"/>
    <w:rsid w:val="00A43B2E"/>
    <w:rsid w:val="00A43B5A"/>
    <w:rsid w:val="00A43BD2"/>
    <w:rsid w:val="00A43D06"/>
    <w:rsid w:val="00A43F2D"/>
    <w:rsid w:val="00A43FB7"/>
    <w:rsid w:val="00A43FFD"/>
    <w:rsid w:val="00A4408D"/>
    <w:rsid w:val="00A44218"/>
    <w:rsid w:val="00A4430D"/>
    <w:rsid w:val="00A443B9"/>
    <w:rsid w:val="00A444D7"/>
    <w:rsid w:val="00A44770"/>
    <w:rsid w:val="00A447AA"/>
    <w:rsid w:val="00A447D6"/>
    <w:rsid w:val="00A447F1"/>
    <w:rsid w:val="00A4495C"/>
    <w:rsid w:val="00A449AA"/>
    <w:rsid w:val="00A44CC2"/>
    <w:rsid w:val="00A44E89"/>
    <w:rsid w:val="00A44F10"/>
    <w:rsid w:val="00A44F73"/>
    <w:rsid w:val="00A45086"/>
    <w:rsid w:val="00A45341"/>
    <w:rsid w:val="00A45390"/>
    <w:rsid w:val="00A45704"/>
    <w:rsid w:val="00A4580A"/>
    <w:rsid w:val="00A45A9B"/>
    <w:rsid w:val="00A45B35"/>
    <w:rsid w:val="00A45B4A"/>
    <w:rsid w:val="00A4604A"/>
    <w:rsid w:val="00A46132"/>
    <w:rsid w:val="00A46177"/>
    <w:rsid w:val="00A46381"/>
    <w:rsid w:val="00A46579"/>
    <w:rsid w:val="00A465EF"/>
    <w:rsid w:val="00A466E8"/>
    <w:rsid w:val="00A46A67"/>
    <w:rsid w:val="00A46BDE"/>
    <w:rsid w:val="00A46C4C"/>
    <w:rsid w:val="00A46E10"/>
    <w:rsid w:val="00A46E3E"/>
    <w:rsid w:val="00A4722B"/>
    <w:rsid w:val="00A47269"/>
    <w:rsid w:val="00A473CD"/>
    <w:rsid w:val="00A47430"/>
    <w:rsid w:val="00A4743B"/>
    <w:rsid w:val="00A474AF"/>
    <w:rsid w:val="00A475EF"/>
    <w:rsid w:val="00A47645"/>
    <w:rsid w:val="00A476DC"/>
    <w:rsid w:val="00A4777C"/>
    <w:rsid w:val="00A4795C"/>
    <w:rsid w:val="00A479FD"/>
    <w:rsid w:val="00A47B96"/>
    <w:rsid w:val="00A47B9F"/>
    <w:rsid w:val="00A47C68"/>
    <w:rsid w:val="00A47E2E"/>
    <w:rsid w:val="00A47F5D"/>
    <w:rsid w:val="00A500F6"/>
    <w:rsid w:val="00A501AA"/>
    <w:rsid w:val="00A50204"/>
    <w:rsid w:val="00A50266"/>
    <w:rsid w:val="00A50620"/>
    <w:rsid w:val="00A50806"/>
    <w:rsid w:val="00A508E3"/>
    <w:rsid w:val="00A50984"/>
    <w:rsid w:val="00A50A66"/>
    <w:rsid w:val="00A50AAA"/>
    <w:rsid w:val="00A50D3D"/>
    <w:rsid w:val="00A50E9A"/>
    <w:rsid w:val="00A50F02"/>
    <w:rsid w:val="00A5118D"/>
    <w:rsid w:val="00A511A6"/>
    <w:rsid w:val="00A512F5"/>
    <w:rsid w:val="00A51544"/>
    <w:rsid w:val="00A5158C"/>
    <w:rsid w:val="00A515F6"/>
    <w:rsid w:val="00A51648"/>
    <w:rsid w:val="00A51728"/>
    <w:rsid w:val="00A51976"/>
    <w:rsid w:val="00A519D1"/>
    <w:rsid w:val="00A51A57"/>
    <w:rsid w:val="00A51F58"/>
    <w:rsid w:val="00A52063"/>
    <w:rsid w:val="00A5209A"/>
    <w:rsid w:val="00A5212E"/>
    <w:rsid w:val="00A52215"/>
    <w:rsid w:val="00A522A6"/>
    <w:rsid w:val="00A52300"/>
    <w:rsid w:val="00A523EE"/>
    <w:rsid w:val="00A524F7"/>
    <w:rsid w:val="00A52613"/>
    <w:rsid w:val="00A52D97"/>
    <w:rsid w:val="00A52DEC"/>
    <w:rsid w:val="00A531C4"/>
    <w:rsid w:val="00A5347A"/>
    <w:rsid w:val="00A53921"/>
    <w:rsid w:val="00A53A28"/>
    <w:rsid w:val="00A53ACD"/>
    <w:rsid w:val="00A53DF3"/>
    <w:rsid w:val="00A53EE0"/>
    <w:rsid w:val="00A53F82"/>
    <w:rsid w:val="00A54076"/>
    <w:rsid w:val="00A54107"/>
    <w:rsid w:val="00A542CA"/>
    <w:rsid w:val="00A5439A"/>
    <w:rsid w:val="00A5444E"/>
    <w:rsid w:val="00A5448C"/>
    <w:rsid w:val="00A544FD"/>
    <w:rsid w:val="00A5453A"/>
    <w:rsid w:val="00A545E6"/>
    <w:rsid w:val="00A54715"/>
    <w:rsid w:val="00A5472F"/>
    <w:rsid w:val="00A5480C"/>
    <w:rsid w:val="00A5490D"/>
    <w:rsid w:val="00A5496B"/>
    <w:rsid w:val="00A549C6"/>
    <w:rsid w:val="00A54B44"/>
    <w:rsid w:val="00A54BE0"/>
    <w:rsid w:val="00A54C51"/>
    <w:rsid w:val="00A54D08"/>
    <w:rsid w:val="00A54DB7"/>
    <w:rsid w:val="00A54E8E"/>
    <w:rsid w:val="00A551CB"/>
    <w:rsid w:val="00A5535E"/>
    <w:rsid w:val="00A5542A"/>
    <w:rsid w:val="00A555D4"/>
    <w:rsid w:val="00A5560A"/>
    <w:rsid w:val="00A55724"/>
    <w:rsid w:val="00A55830"/>
    <w:rsid w:val="00A55CF4"/>
    <w:rsid w:val="00A55CFD"/>
    <w:rsid w:val="00A55F8C"/>
    <w:rsid w:val="00A560CE"/>
    <w:rsid w:val="00A560E1"/>
    <w:rsid w:val="00A56278"/>
    <w:rsid w:val="00A5627F"/>
    <w:rsid w:val="00A563D2"/>
    <w:rsid w:val="00A5640F"/>
    <w:rsid w:val="00A56426"/>
    <w:rsid w:val="00A56707"/>
    <w:rsid w:val="00A5670F"/>
    <w:rsid w:val="00A56AF1"/>
    <w:rsid w:val="00A56BD7"/>
    <w:rsid w:val="00A56C24"/>
    <w:rsid w:val="00A56D44"/>
    <w:rsid w:val="00A56EAF"/>
    <w:rsid w:val="00A56FB2"/>
    <w:rsid w:val="00A57249"/>
    <w:rsid w:val="00A574F3"/>
    <w:rsid w:val="00A577D9"/>
    <w:rsid w:val="00A57B3F"/>
    <w:rsid w:val="00A57C43"/>
    <w:rsid w:val="00A57EA1"/>
    <w:rsid w:val="00A57F2A"/>
    <w:rsid w:val="00A60036"/>
    <w:rsid w:val="00A600B0"/>
    <w:rsid w:val="00A60373"/>
    <w:rsid w:val="00A603BE"/>
    <w:rsid w:val="00A60550"/>
    <w:rsid w:val="00A609BD"/>
    <w:rsid w:val="00A60C5A"/>
    <w:rsid w:val="00A60E8C"/>
    <w:rsid w:val="00A6112A"/>
    <w:rsid w:val="00A6113B"/>
    <w:rsid w:val="00A6116A"/>
    <w:rsid w:val="00A614A6"/>
    <w:rsid w:val="00A615CA"/>
    <w:rsid w:val="00A617AC"/>
    <w:rsid w:val="00A618A4"/>
    <w:rsid w:val="00A61A57"/>
    <w:rsid w:val="00A61AC3"/>
    <w:rsid w:val="00A61BB6"/>
    <w:rsid w:val="00A61D06"/>
    <w:rsid w:val="00A61FAA"/>
    <w:rsid w:val="00A61FD9"/>
    <w:rsid w:val="00A62045"/>
    <w:rsid w:val="00A62211"/>
    <w:rsid w:val="00A622D1"/>
    <w:rsid w:val="00A6237E"/>
    <w:rsid w:val="00A623E0"/>
    <w:rsid w:val="00A624B6"/>
    <w:rsid w:val="00A6265C"/>
    <w:rsid w:val="00A62712"/>
    <w:rsid w:val="00A627C2"/>
    <w:rsid w:val="00A627C4"/>
    <w:rsid w:val="00A628EF"/>
    <w:rsid w:val="00A62919"/>
    <w:rsid w:val="00A62975"/>
    <w:rsid w:val="00A629EB"/>
    <w:rsid w:val="00A62A57"/>
    <w:rsid w:val="00A62ABD"/>
    <w:rsid w:val="00A62B93"/>
    <w:rsid w:val="00A62BE5"/>
    <w:rsid w:val="00A62DE4"/>
    <w:rsid w:val="00A6307B"/>
    <w:rsid w:val="00A631F1"/>
    <w:rsid w:val="00A632A2"/>
    <w:rsid w:val="00A632CA"/>
    <w:rsid w:val="00A63763"/>
    <w:rsid w:val="00A6398B"/>
    <w:rsid w:val="00A639B9"/>
    <w:rsid w:val="00A63A5E"/>
    <w:rsid w:val="00A63BBD"/>
    <w:rsid w:val="00A63C17"/>
    <w:rsid w:val="00A63C7F"/>
    <w:rsid w:val="00A63D2E"/>
    <w:rsid w:val="00A63E90"/>
    <w:rsid w:val="00A63ED0"/>
    <w:rsid w:val="00A64031"/>
    <w:rsid w:val="00A641D5"/>
    <w:rsid w:val="00A641D6"/>
    <w:rsid w:val="00A645AD"/>
    <w:rsid w:val="00A6489D"/>
    <w:rsid w:val="00A64A48"/>
    <w:rsid w:val="00A64B3B"/>
    <w:rsid w:val="00A64E89"/>
    <w:rsid w:val="00A64F53"/>
    <w:rsid w:val="00A650FB"/>
    <w:rsid w:val="00A6529A"/>
    <w:rsid w:val="00A652DC"/>
    <w:rsid w:val="00A6541E"/>
    <w:rsid w:val="00A654CA"/>
    <w:rsid w:val="00A6555D"/>
    <w:rsid w:val="00A65890"/>
    <w:rsid w:val="00A658A5"/>
    <w:rsid w:val="00A65A2E"/>
    <w:rsid w:val="00A65AB1"/>
    <w:rsid w:val="00A65AF4"/>
    <w:rsid w:val="00A65E49"/>
    <w:rsid w:val="00A65ECA"/>
    <w:rsid w:val="00A65F92"/>
    <w:rsid w:val="00A66027"/>
    <w:rsid w:val="00A663C5"/>
    <w:rsid w:val="00A664A2"/>
    <w:rsid w:val="00A664D7"/>
    <w:rsid w:val="00A6659A"/>
    <w:rsid w:val="00A665FD"/>
    <w:rsid w:val="00A66664"/>
    <w:rsid w:val="00A666EB"/>
    <w:rsid w:val="00A66801"/>
    <w:rsid w:val="00A6681E"/>
    <w:rsid w:val="00A66ADD"/>
    <w:rsid w:val="00A66CAD"/>
    <w:rsid w:val="00A66D99"/>
    <w:rsid w:val="00A66DF7"/>
    <w:rsid w:val="00A66F35"/>
    <w:rsid w:val="00A66FC3"/>
    <w:rsid w:val="00A6711F"/>
    <w:rsid w:val="00A671AC"/>
    <w:rsid w:val="00A67525"/>
    <w:rsid w:val="00A67557"/>
    <w:rsid w:val="00A676E3"/>
    <w:rsid w:val="00A6796F"/>
    <w:rsid w:val="00A679F3"/>
    <w:rsid w:val="00A67A4C"/>
    <w:rsid w:val="00A67CBD"/>
    <w:rsid w:val="00A67D3A"/>
    <w:rsid w:val="00A67DAF"/>
    <w:rsid w:val="00A67F3E"/>
    <w:rsid w:val="00A67FF5"/>
    <w:rsid w:val="00A70021"/>
    <w:rsid w:val="00A7014F"/>
    <w:rsid w:val="00A7035A"/>
    <w:rsid w:val="00A703CE"/>
    <w:rsid w:val="00A704B7"/>
    <w:rsid w:val="00A70699"/>
    <w:rsid w:val="00A7070E"/>
    <w:rsid w:val="00A708BB"/>
    <w:rsid w:val="00A709EE"/>
    <w:rsid w:val="00A70D0D"/>
    <w:rsid w:val="00A70E37"/>
    <w:rsid w:val="00A70F03"/>
    <w:rsid w:val="00A71071"/>
    <w:rsid w:val="00A71554"/>
    <w:rsid w:val="00A7155C"/>
    <w:rsid w:val="00A71602"/>
    <w:rsid w:val="00A7162C"/>
    <w:rsid w:val="00A71667"/>
    <w:rsid w:val="00A71678"/>
    <w:rsid w:val="00A7193D"/>
    <w:rsid w:val="00A71A87"/>
    <w:rsid w:val="00A71C19"/>
    <w:rsid w:val="00A71DBF"/>
    <w:rsid w:val="00A71E50"/>
    <w:rsid w:val="00A71F51"/>
    <w:rsid w:val="00A71F76"/>
    <w:rsid w:val="00A720A0"/>
    <w:rsid w:val="00A721C3"/>
    <w:rsid w:val="00A7227E"/>
    <w:rsid w:val="00A7263F"/>
    <w:rsid w:val="00A726B1"/>
    <w:rsid w:val="00A726E5"/>
    <w:rsid w:val="00A72876"/>
    <w:rsid w:val="00A7293D"/>
    <w:rsid w:val="00A72C3D"/>
    <w:rsid w:val="00A72CE8"/>
    <w:rsid w:val="00A72E22"/>
    <w:rsid w:val="00A72F75"/>
    <w:rsid w:val="00A730D6"/>
    <w:rsid w:val="00A732AC"/>
    <w:rsid w:val="00A733BB"/>
    <w:rsid w:val="00A73791"/>
    <w:rsid w:val="00A737F5"/>
    <w:rsid w:val="00A7380C"/>
    <w:rsid w:val="00A739B5"/>
    <w:rsid w:val="00A73AA9"/>
    <w:rsid w:val="00A73B51"/>
    <w:rsid w:val="00A73D65"/>
    <w:rsid w:val="00A73E29"/>
    <w:rsid w:val="00A73EEE"/>
    <w:rsid w:val="00A7409F"/>
    <w:rsid w:val="00A7420C"/>
    <w:rsid w:val="00A74263"/>
    <w:rsid w:val="00A742F0"/>
    <w:rsid w:val="00A7464B"/>
    <w:rsid w:val="00A74708"/>
    <w:rsid w:val="00A74962"/>
    <w:rsid w:val="00A74991"/>
    <w:rsid w:val="00A74AC3"/>
    <w:rsid w:val="00A74C7D"/>
    <w:rsid w:val="00A74E00"/>
    <w:rsid w:val="00A74E0A"/>
    <w:rsid w:val="00A74F04"/>
    <w:rsid w:val="00A75098"/>
    <w:rsid w:val="00A752A1"/>
    <w:rsid w:val="00A7533D"/>
    <w:rsid w:val="00A753D0"/>
    <w:rsid w:val="00A756BF"/>
    <w:rsid w:val="00A7571D"/>
    <w:rsid w:val="00A75912"/>
    <w:rsid w:val="00A75944"/>
    <w:rsid w:val="00A75A88"/>
    <w:rsid w:val="00A75B2C"/>
    <w:rsid w:val="00A75B42"/>
    <w:rsid w:val="00A75B80"/>
    <w:rsid w:val="00A75B8A"/>
    <w:rsid w:val="00A75C6F"/>
    <w:rsid w:val="00A75DA0"/>
    <w:rsid w:val="00A75E1E"/>
    <w:rsid w:val="00A75F3B"/>
    <w:rsid w:val="00A75F77"/>
    <w:rsid w:val="00A7613D"/>
    <w:rsid w:val="00A76160"/>
    <w:rsid w:val="00A76188"/>
    <w:rsid w:val="00A76218"/>
    <w:rsid w:val="00A76278"/>
    <w:rsid w:val="00A762EC"/>
    <w:rsid w:val="00A76596"/>
    <w:rsid w:val="00A7659C"/>
    <w:rsid w:val="00A7664D"/>
    <w:rsid w:val="00A767BC"/>
    <w:rsid w:val="00A76A95"/>
    <w:rsid w:val="00A76BF9"/>
    <w:rsid w:val="00A76CC1"/>
    <w:rsid w:val="00A77190"/>
    <w:rsid w:val="00A771C1"/>
    <w:rsid w:val="00A7761B"/>
    <w:rsid w:val="00A777CC"/>
    <w:rsid w:val="00A77B7F"/>
    <w:rsid w:val="00A77C42"/>
    <w:rsid w:val="00A77F99"/>
    <w:rsid w:val="00A77F9B"/>
    <w:rsid w:val="00A801C3"/>
    <w:rsid w:val="00A801D6"/>
    <w:rsid w:val="00A802D3"/>
    <w:rsid w:val="00A8049B"/>
    <w:rsid w:val="00A80634"/>
    <w:rsid w:val="00A80726"/>
    <w:rsid w:val="00A8074E"/>
    <w:rsid w:val="00A80841"/>
    <w:rsid w:val="00A80A96"/>
    <w:rsid w:val="00A80B27"/>
    <w:rsid w:val="00A811D4"/>
    <w:rsid w:val="00A8158A"/>
    <w:rsid w:val="00A8159B"/>
    <w:rsid w:val="00A81791"/>
    <w:rsid w:val="00A81A30"/>
    <w:rsid w:val="00A81BB4"/>
    <w:rsid w:val="00A81CC2"/>
    <w:rsid w:val="00A81D50"/>
    <w:rsid w:val="00A81DCF"/>
    <w:rsid w:val="00A81DF7"/>
    <w:rsid w:val="00A81E9D"/>
    <w:rsid w:val="00A82048"/>
    <w:rsid w:val="00A820B8"/>
    <w:rsid w:val="00A820D6"/>
    <w:rsid w:val="00A82115"/>
    <w:rsid w:val="00A82269"/>
    <w:rsid w:val="00A823EE"/>
    <w:rsid w:val="00A82445"/>
    <w:rsid w:val="00A824CD"/>
    <w:rsid w:val="00A82730"/>
    <w:rsid w:val="00A82916"/>
    <w:rsid w:val="00A829EB"/>
    <w:rsid w:val="00A82D0B"/>
    <w:rsid w:val="00A82DCC"/>
    <w:rsid w:val="00A82E40"/>
    <w:rsid w:val="00A82EA3"/>
    <w:rsid w:val="00A82EB7"/>
    <w:rsid w:val="00A82FE9"/>
    <w:rsid w:val="00A83003"/>
    <w:rsid w:val="00A83090"/>
    <w:rsid w:val="00A8331A"/>
    <w:rsid w:val="00A83489"/>
    <w:rsid w:val="00A8352B"/>
    <w:rsid w:val="00A8357E"/>
    <w:rsid w:val="00A838F1"/>
    <w:rsid w:val="00A839D0"/>
    <w:rsid w:val="00A83A06"/>
    <w:rsid w:val="00A83A5E"/>
    <w:rsid w:val="00A83B0B"/>
    <w:rsid w:val="00A83B1B"/>
    <w:rsid w:val="00A83CE3"/>
    <w:rsid w:val="00A83D93"/>
    <w:rsid w:val="00A84104"/>
    <w:rsid w:val="00A842BC"/>
    <w:rsid w:val="00A8433A"/>
    <w:rsid w:val="00A844E2"/>
    <w:rsid w:val="00A84553"/>
    <w:rsid w:val="00A845B9"/>
    <w:rsid w:val="00A8463A"/>
    <w:rsid w:val="00A8475B"/>
    <w:rsid w:val="00A847AE"/>
    <w:rsid w:val="00A84A9D"/>
    <w:rsid w:val="00A84B64"/>
    <w:rsid w:val="00A84D57"/>
    <w:rsid w:val="00A84F11"/>
    <w:rsid w:val="00A8538C"/>
    <w:rsid w:val="00A8540C"/>
    <w:rsid w:val="00A85431"/>
    <w:rsid w:val="00A85452"/>
    <w:rsid w:val="00A854A6"/>
    <w:rsid w:val="00A8555D"/>
    <w:rsid w:val="00A85576"/>
    <w:rsid w:val="00A8576D"/>
    <w:rsid w:val="00A85A57"/>
    <w:rsid w:val="00A85A5E"/>
    <w:rsid w:val="00A85F87"/>
    <w:rsid w:val="00A85FBA"/>
    <w:rsid w:val="00A86009"/>
    <w:rsid w:val="00A8605D"/>
    <w:rsid w:val="00A86189"/>
    <w:rsid w:val="00A861F6"/>
    <w:rsid w:val="00A86219"/>
    <w:rsid w:val="00A8623D"/>
    <w:rsid w:val="00A863E5"/>
    <w:rsid w:val="00A8650E"/>
    <w:rsid w:val="00A8653D"/>
    <w:rsid w:val="00A86786"/>
    <w:rsid w:val="00A8699B"/>
    <w:rsid w:val="00A86D17"/>
    <w:rsid w:val="00A86DAF"/>
    <w:rsid w:val="00A87025"/>
    <w:rsid w:val="00A870E7"/>
    <w:rsid w:val="00A874A3"/>
    <w:rsid w:val="00A875A5"/>
    <w:rsid w:val="00A8760A"/>
    <w:rsid w:val="00A87647"/>
    <w:rsid w:val="00A878AF"/>
    <w:rsid w:val="00A8795A"/>
    <w:rsid w:val="00A87D9D"/>
    <w:rsid w:val="00A9010B"/>
    <w:rsid w:val="00A901F3"/>
    <w:rsid w:val="00A90236"/>
    <w:rsid w:val="00A90296"/>
    <w:rsid w:val="00A90582"/>
    <w:rsid w:val="00A907BE"/>
    <w:rsid w:val="00A90847"/>
    <w:rsid w:val="00A90A21"/>
    <w:rsid w:val="00A90CF2"/>
    <w:rsid w:val="00A90D10"/>
    <w:rsid w:val="00A90FE8"/>
    <w:rsid w:val="00A91073"/>
    <w:rsid w:val="00A9129E"/>
    <w:rsid w:val="00A912D7"/>
    <w:rsid w:val="00A9138C"/>
    <w:rsid w:val="00A913E1"/>
    <w:rsid w:val="00A913F7"/>
    <w:rsid w:val="00A9157E"/>
    <w:rsid w:val="00A915DD"/>
    <w:rsid w:val="00A91A56"/>
    <w:rsid w:val="00A91AAB"/>
    <w:rsid w:val="00A91CE0"/>
    <w:rsid w:val="00A91D1D"/>
    <w:rsid w:val="00A91D7C"/>
    <w:rsid w:val="00A91E1D"/>
    <w:rsid w:val="00A91F55"/>
    <w:rsid w:val="00A91FE5"/>
    <w:rsid w:val="00A9207C"/>
    <w:rsid w:val="00A9222D"/>
    <w:rsid w:val="00A9240E"/>
    <w:rsid w:val="00A924C4"/>
    <w:rsid w:val="00A92582"/>
    <w:rsid w:val="00A925CA"/>
    <w:rsid w:val="00A9263A"/>
    <w:rsid w:val="00A927CB"/>
    <w:rsid w:val="00A92913"/>
    <w:rsid w:val="00A92A49"/>
    <w:rsid w:val="00A92AB2"/>
    <w:rsid w:val="00A92B46"/>
    <w:rsid w:val="00A92C60"/>
    <w:rsid w:val="00A92CEE"/>
    <w:rsid w:val="00A92DB5"/>
    <w:rsid w:val="00A93128"/>
    <w:rsid w:val="00A93749"/>
    <w:rsid w:val="00A93750"/>
    <w:rsid w:val="00A9376D"/>
    <w:rsid w:val="00A937FE"/>
    <w:rsid w:val="00A93AEA"/>
    <w:rsid w:val="00A93BED"/>
    <w:rsid w:val="00A940A3"/>
    <w:rsid w:val="00A9410A"/>
    <w:rsid w:val="00A94147"/>
    <w:rsid w:val="00A94186"/>
    <w:rsid w:val="00A94320"/>
    <w:rsid w:val="00A94414"/>
    <w:rsid w:val="00A94435"/>
    <w:rsid w:val="00A944BE"/>
    <w:rsid w:val="00A944E6"/>
    <w:rsid w:val="00A945F7"/>
    <w:rsid w:val="00A946A3"/>
    <w:rsid w:val="00A947D0"/>
    <w:rsid w:val="00A94911"/>
    <w:rsid w:val="00A94C55"/>
    <w:rsid w:val="00A94D42"/>
    <w:rsid w:val="00A94D75"/>
    <w:rsid w:val="00A94EA5"/>
    <w:rsid w:val="00A94F25"/>
    <w:rsid w:val="00A9510A"/>
    <w:rsid w:val="00A952BC"/>
    <w:rsid w:val="00A95369"/>
    <w:rsid w:val="00A9536F"/>
    <w:rsid w:val="00A954A9"/>
    <w:rsid w:val="00A95723"/>
    <w:rsid w:val="00A9593B"/>
    <w:rsid w:val="00A95AD5"/>
    <w:rsid w:val="00A95E11"/>
    <w:rsid w:val="00A95E2F"/>
    <w:rsid w:val="00A95FB2"/>
    <w:rsid w:val="00A96286"/>
    <w:rsid w:val="00A9634B"/>
    <w:rsid w:val="00A96363"/>
    <w:rsid w:val="00A963A2"/>
    <w:rsid w:val="00A96568"/>
    <w:rsid w:val="00A9656D"/>
    <w:rsid w:val="00A965A5"/>
    <w:rsid w:val="00A9667F"/>
    <w:rsid w:val="00A966D6"/>
    <w:rsid w:val="00A966E6"/>
    <w:rsid w:val="00A969F9"/>
    <w:rsid w:val="00A96CDD"/>
    <w:rsid w:val="00A96D3F"/>
    <w:rsid w:val="00A96D50"/>
    <w:rsid w:val="00A96D53"/>
    <w:rsid w:val="00A9711D"/>
    <w:rsid w:val="00A97145"/>
    <w:rsid w:val="00A97320"/>
    <w:rsid w:val="00A9741C"/>
    <w:rsid w:val="00A97593"/>
    <w:rsid w:val="00A975DD"/>
    <w:rsid w:val="00A9773C"/>
    <w:rsid w:val="00A979E6"/>
    <w:rsid w:val="00A97A5F"/>
    <w:rsid w:val="00A97C8B"/>
    <w:rsid w:val="00A97DDC"/>
    <w:rsid w:val="00A97F87"/>
    <w:rsid w:val="00AA000D"/>
    <w:rsid w:val="00AA003C"/>
    <w:rsid w:val="00AA008F"/>
    <w:rsid w:val="00AA02B9"/>
    <w:rsid w:val="00AA0501"/>
    <w:rsid w:val="00AA0535"/>
    <w:rsid w:val="00AA06BD"/>
    <w:rsid w:val="00AA06F5"/>
    <w:rsid w:val="00AA0A37"/>
    <w:rsid w:val="00AA0B49"/>
    <w:rsid w:val="00AA0C24"/>
    <w:rsid w:val="00AA0C9E"/>
    <w:rsid w:val="00AA0D59"/>
    <w:rsid w:val="00AA0E6D"/>
    <w:rsid w:val="00AA0F0C"/>
    <w:rsid w:val="00AA0FCF"/>
    <w:rsid w:val="00AA102A"/>
    <w:rsid w:val="00AA10F0"/>
    <w:rsid w:val="00AA13E7"/>
    <w:rsid w:val="00AA151F"/>
    <w:rsid w:val="00AA1650"/>
    <w:rsid w:val="00AA1866"/>
    <w:rsid w:val="00AA1951"/>
    <w:rsid w:val="00AA1F2D"/>
    <w:rsid w:val="00AA1F9F"/>
    <w:rsid w:val="00AA2329"/>
    <w:rsid w:val="00AA24B0"/>
    <w:rsid w:val="00AA256A"/>
    <w:rsid w:val="00AA26AB"/>
    <w:rsid w:val="00AA2735"/>
    <w:rsid w:val="00AA27F6"/>
    <w:rsid w:val="00AA280C"/>
    <w:rsid w:val="00AA2965"/>
    <w:rsid w:val="00AA2FE2"/>
    <w:rsid w:val="00AA302F"/>
    <w:rsid w:val="00AA3135"/>
    <w:rsid w:val="00AA32DE"/>
    <w:rsid w:val="00AA3450"/>
    <w:rsid w:val="00AA347C"/>
    <w:rsid w:val="00AA34E6"/>
    <w:rsid w:val="00AA36A5"/>
    <w:rsid w:val="00AA3A4B"/>
    <w:rsid w:val="00AA3B83"/>
    <w:rsid w:val="00AA3D6A"/>
    <w:rsid w:val="00AA3DE9"/>
    <w:rsid w:val="00AA3E7E"/>
    <w:rsid w:val="00AA3FCE"/>
    <w:rsid w:val="00AA4157"/>
    <w:rsid w:val="00AA45BB"/>
    <w:rsid w:val="00AA4681"/>
    <w:rsid w:val="00AA473D"/>
    <w:rsid w:val="00AA47D6"/>
    <w:rsid w:val="00AA48AB"/>
    <w:rsid w:val="00AA4958"/>
    <w:rsid w:val="00AA49A9"/>
    <w:rsid w:val="00AA49F7"/>
    <w:rsid w:val="00AA4A9A"/>
    <w:rsid w:val="00AA4B4B"/>
    <w:rsid w:val="00AA4CC2"/>
    <w:rsid w:val="00AA4D2B"/>
    <w:rsid w:val="00AA4D57"/>
    <w:rsid w:val="00AA4D5E"/>
    <w:rsid w:val="00AA5218"/>
    <w:rsid w:val="00AA528C"/>
    <w:rsid w:val="00AA52C8"/>
    <w:rsid w:val="00AA5378"/>
    <w:rsid w:val="00AA5474"/>
    <w:rsid w:val="00AA54E7"/>
    <w:rsid w:val="00AA56BC"/>
    <w:rsid w:val="00AA5746"/>
    <w:rsid w:val="00AA5849"/>
    <w:rsid w:val="00AA5C3F"/>
    <w:rsid w:val="00AA5CB7"/>
    <w:rsid w:val="00AA5F3D"/>
    <w:rsid w:val="00AA6016"/>
    <w:rsid w:val="00AA6040"/>
    <w:rsid w:val="00AA60AD"/>
    <w:rsid w:val="00AA618E"/>
    <w:rsid w:val="00AA61D1"/>
    <w:rsid w:val="00AA625B"/>
    <w:rsid w:val="00AA653C"/>
    <w:rsid w:val="00AA65F0"/>
    <w:rsid w:val="00AA6634"/>
    <w:rsid w:val="00AA6731"/>
    <w:rsid w:val="00AA67ED"/>
    <w:rsid w:val="00AA688B"/>
    <w:rsid w:val="00AA6936"/>
    <w:rsid w:val="00AA6A6C"/>
    <w:rsid w:val="00AA6A7F"/>
    <w:rsid w:val="00AA6E3F"/>
    <w:rsid w:val="00AA6EF0"/>
    <w:rsid w:val="00AA7010"/>
    <w:rsid w:val="00AA7096"/>
    <w:rsid w:val="00AA70AA"/>
    <w:rsid w:val="00AA7144"/>
    <w:rsid w:val="00AA7274"/>
    <w:rsid w:val="00AA7333"/>
    <w:rsid w:val="00AA73E9"/>
    <w:rsid w:val="00AA7458"/>
    <w:rsid w:val="00AA762A"/>
    <w:rsid w:val="00AA7662"/>
    <w:rsid w:val="00AA78B8"/>
    <w:rsid w:val="00AA7B22"/>
    <w:rsid w:val="00AA7B3F"/>
    <w:rsid w:val="00AA7B46"/>
    <w:rsid w:val="00AA7D4C"/>
    <w:rsid w:val="00AA7E05"/>
    <w:rsid w:val="00AB0072"/>
    <w:rsid w:val="00AB00F0"/>
    <w:rsid w:val="00AB0187"/>
    <w:rsid w:val="00AB024B"/>
    <w:rsid w:val="00AB060C"/>
    <w:rsid w:val="00AB0732"/>
    <w:rsid w:val="00AB07B7"/>
    <w:rsid w:val="00AB07C1"/>
    <w:rsid w:val="00AB081C"/>
    <w:rsid w:val="00AB0898"/>
    <w:rsid w:val="00AB0C8D"/>
    <w:rsid w:val="00AB0D69"/>
    <w:rsid w:val="00AB1295"/>
    <w:rsid w:val="00AB12A4"/>
    <w:rsid w:val="00AB140B"/>
    <w:rsid w:val="00AB1828"/>
    <w:rsid w:val="00AB1854"/>
    <w:rsid w:val="00AB1857"/>
    <w:rsid w:val="00AB18D5"/>
    <w:rsid w:val="00AB18F0"/>
    <w:rsid w:val="00AB20B2"/>
    <w:rsid w:val="00AB2148"/>
    <w:rsid w:val="00AB21A8"/>
    <w:rsid w:val="00AB22A1"/>
    <w:rsid w:val="00AB247A"/>
    <w:rsid w:val="00AB24D2"/>
    <w:rsid w:val="00AB257D"/>
    <w:rsid w:val="00AB257F"/>
    <w:rsid w:val="00AB2582"/>
    <w:rsid w:val="00AB26E5"/>
    <w:rsid w:val="00AB2757"/>
    <w:rsid w:val="00AB2770"/>
    <w:rsid w:val="00AB27B7"/>
    <w:rsid w:val="00AB2990"/>
    <w:rsid w:val="00AB29D4"/>
    <w:rsid w:val="00AB2A7B"/>
    <w:rsid w:val="00AB2AB1"/>
    <w:rsid w:val="00AB2C06"/>
    <w:rsid w:val="00AB2D91"/>
    <w:rsid w:val="00AB32A5"/>
    <w:rsid w:val="00AB3357"/>
    <w:rsid w:val="00AB3441"/>
    <w:rsid w:val="00AB357D"/>
    <w:rsid w:val="00AB35DE"/>
    <w:rsid w:val="00AB3649"/>
    <w:rsid w:val="00AB3747"/>
    <w:rsid w:val="00AB3834"/>
    <w:rsid w:val="00AB3894"/>
    <w:rsid w:val="00AB3962"/>
    <w:rsid w:val="00AB39A0"/>
    <w:rsid w:val="00AB3A49"/>
    <w:rsid w:val="00AB3A4E"/>
    <w:rsid w:val="00AB3B1C"/>
    <w:rsid w:val="00AB3FC7"/>
    <w:rsid w:val="00AB40B9"/>
    <w:rsid w:val="00AB424D"/>
    <w:rsid w:val="00AB4274"/>
    <w:rsid w:val="00AB44D4"/>
    <w:rsid w:val="00AB44FB"/>
    <w:rsid w:val="00AB46E8"/>
    <w:rsid w:val="00AB48B4"/>
    <w:rsid w:val="00AB48D2"/>
    <w:rsid w:val="00AB49B7"/>
    <w:rsid w:val="00AB4AEF"/>
    <w:rsid w:val="00AB4C8B"/>
    <w:rsid w:val="00AB4CB8"/>
    <w:rsid w:val="00AB4CCD"/>
    <w:rsid w:val="00AB4D4A"/>
    <w:rsid w:val="00AB4DDD"/>
    <w:rsid w:val="00AB4F02"/>
    <w:rsid w:val="00AB4FC0"/>
    <w:rsid w:val="00AB50E5"/>
    <w:rsid w:val="00AB5185"/>
    <w:rsid w:val="00AB53AB"/>
    <w:rsid w:val="00AB5791"/>
    <w:rsid w:val="00AB5849"/>
    <w:rsid w:val="00AB5870"/>
    <w:rsid w:val="00AB592F"/>
    <w:rsid w:val="00AB59BC"/>
    <w:rsid w:val="00AB59D7"/>
    <w:rsid w:val="00AB5C92"/>
    <w:rsid w:val="00AB5E99"/>
    <w:rsid w:val="00AB5F48"/>
    <w:rsid w:val="00AB61E9"/>
    <w:rsid w:val="00AB62D6"/>
    <w:rsid w:val="00AB6A7D"/>
    <w:rsid w:val="00AB6EEF"/>
    <w:rsid w:val="00AB6F5D"/>
    <w:rsid w:val="00AB7097"/>
    <w:rsid w:val="00AB743C"/>
    <w:rsid w:val="00AB75E4"/>
    <w:rsid w:val="00AB76B2"/>
    <w:rsid w:val="00AB77E2"/>
    <w:rsid w:val="00AB78C7"/>
    <w:rsid w:val="00AB791D"/>
    <w:rsid w:val="00AB7CC5"/>
    <w:rsid w:val="00AB7EB6"/>
    <w:rsid w:val="00AC0291"/>
    <w:rsid w:val="00AC03C6"/>
    <w:rsid w:val="00AC04F1"/>
    <w:rsid w:val="00AC0574"/>
    <w:rsid w:val="00AC05D7"/>
    <w:rsid w:val="00AC0679"/>
    <w:rsid w:val="00AC0741"/>
    <w:rsid w:val="00AC079E"/>
    <w:rsid w:val="00AC07C6"/>
    <w:rsid w:val="00AC0898"/>
    <w:rsid w:val="00AC0970"/>
    <w:rsid w:val="00AC0A77"/>
    <w:rsid w:val="00AC0B12"/>
    <w:rsid w:val="00AC0B16"/>
    <w:rsid w:val="00AC0DD4"/>
    <w:rsid w:val="00AC0F11"/>
    <w:rsid w:val="00AC110F"/>
    <w:rsid w:val="00AC1183"/>
    <w:rsid w:val="00AC13F4"/>
    <w:rsid w:val="00AC1682"/>
    <w:rsid w:val="00AC17A6"/>
    <w:rsid w:val="00AC1802"/>
    <w:rsid w:val="00AC1A2D"/>
    <w:rsid w:val="00AC1C27"/>
    <w:rsid w:val="00AC1C92"/>
    <w:rsid w:val="00AC1D51"/>
    <w:rsid w:val="00AC1D6A"/>
    <w:rsid w:val="00AC1DEE"/>
    <w:rsid w:val="00AC1EBC"/>
    <w:rsid w:val="00AC1F48"/>
    <w:rsid w:val="00AC1FA0"/>
    <w:rsid w:val="00AC2043"/>
    <w:rsid w:val="00AC217B"/>
    <w:rsid w:val="00AC22F0"/>
    <w:rsid w:val="00AC2430"/>
    <w:rsid w:val="00AC25EC"/>
    <w:rsid w:val="00AC2662"/>
    <w:rsid w:val="00AC2B49"/>
    <w:rsid w:val="00AC2CCB"/>
    <w:rsid w:val="00AC2D45"/>
    <w:rsid w:val="00AC2FF7"/>
    <w:rsid w:val="00AC323F"/>
    <w:rsid w:val="00AC3366"/>
    <w:rsid w:val="00AC34D8"/>
    <w:rsid w:val="00AC35BE"/>
    <w:rsid w:val="00AC37E1"/>
    <w:rsid w:val="00AC38D0"/>
    <w:rsid w:val="00AC3C06"/>
    <w:rsid w:val="00AC3D94"/>
    <w:rsid w:val="00AC4135"/>
    <w:rsid w:val="00AC41D1"/>
    <w:rsid w:val="00AC4503"/>
    <w:rsid w:val="00AC4713"/>
    <w:rsid w:val="00AC4734"/>
    <w:rsid w:val="00AC47E8"/>
    <w:rsid w:val="00AC49F2"/>
    <w:rsid w:val="00AC4A97"/>
    <w:rsid w:val="00AC4B3C"/>
    <w:rsid w:val="00AC4CC4"/>
    <w:rsid w:val="00AC4F58"/>
    <w:rsid w:val="00AC515B"/>
    <w:rsid w:val="00AC5164"/>
    <w:rsid w:val="00AC524B"/>
    <w:rsid w:val="00AC53BE"/>
    <w:rsid w:val="00AC54B9"/>
    <w:rsid w:val="00AC56E8"/>
    <w:rsid w:val="00AC57D9"/>
    <w:rsid w:val="00AC5841"/>
    <w:rsid w:val="00AC5B23"/>
    <w:rsid w:val="00AC5BFB"/>
    <w:rsid w:val="00AC5C9F"/>
    <w:rsid w:val="00AC5CBF"/>
    <w:rsid w:val="00AC5D00"/>
    <w:rsid w:val="00AC5F11"/>
    <w:rsid w:val="00AC5F1E"/>
    <w:rsid w:val="00AC5FCD"/>
    <w:rsid w:val="00AC6027"/>
    <w:rsid w:val="00AC60F2"/>
    <w:rsid w:val="00AC63AD"/>
    <w:rsid w:val="00AC63B0"/>
    <w:rsid w:val="00AC653A"/>
    <w:rsid w:val="00AC666D"/>
    <w:rsid w:val="00AC6705"/>
    <w:rsid w:val="00AC6773"/>
    <w:rsid w:val="00AC67B8"/>
    <w:rsid w:val="00AC6907"/>
    <w:rsid w:val="00AC690C"/>
    <w:rsid w:val="00AC69F3"/>
    <w:rsid w:val="00AC6B75"/>
    <w:rsid w:val="00AC6DC5"/>
    <w:rsid w:val="00AC6F77"/>
    <w:rsid w:val="00AC6F8C"/>
    <w:rsid w:val="00AC711C"/>
    <w:rsid w:val="00AC7216"/>
    <w:rsid w:val="00AC7254"/>
    <w:rsid w:val="00AC72B2"/>
    <w:rsid w:val="00AC7438"/>
    <w:rsid w:val="00AC7587"/>
    <w:rsid w:val="00AC75F1"/>
    <w:rsid w:val="00AC7613"/>
    <w:rsid w:val="00AC7709"/>
    <w:rsid w:val="00AC77E6"/>
    <w:rsid w:val="00AC78BD"/>
    <w:rsid w:val="00AC78C3"/>
    <w:rsid w:val="00AC78E3"/>
    <w:rsid w:val="00AC798A"/>
    <w:rsid w:val="00AC7A79"/>
    <w:rsid w:val="00AC7BB0"/>
    <w:rsid w:val="00AC7D43"/>
    <w:rsid w:val="00AC7D84"/>
    <w:rsid w:val="00AC7DF5"/>
    <w:rsid w:val="00AC7E3E"/>
    <w:rsid w:val="00AC7E3F"/>
    <w:rsid w:val="00AC7FE8"/>
    <w:rsid w:val="00AD00B5"/>
    <w:rsid w:val="00AD011F"/>
    <w:rsid w:val="00AD0134"/>
    <w:rsid w:val="00AD015D"/>
    <w:rsid w:val="00AD0440"/>
    <w:rsid w:val="00AD05EF"/>
    <w:rsid w:val="00AD0608"/>
    <w:rsid w:val="00AD068C"/>
    <w:rsid w:val="00AD06B0"/>
    <w:rsid w:val="00AD0739"/>
    <w:rsid w:val="00AD085B"/>
    <w:rsid w:val="00AD0871"/>
    <w:rsid w:val="00AD08B4"/>
    <w:rsid w:val="00AD0923"/>
    <w:rsid w:val="00AD092A"/>
    <w:rsid w:val="00AD0A55"/>
    <w:rsid w:val="00AD0B01"/>
    <w:rsid w:val="00AD0C73"/>
    <w:rsid w:val="00AD0CD8"/>
    <w:rsid w:val="00AD0D83"/>
    <w:rsid w:val="00AD0E79"/>
    <w:rsid w:val="00AD0EFE"/>
    <w:rsid w:val="00AD0F9E"/>
    <w:rsid w:val="00AD1146"/>
    <w:rsid w:val="00AD115C"/>
    <w:rsid w:val="00AD1387"/>
    <w:rsid w:val="00AD14DF"/>
    <w:rsid w:val="00AD1706"/>
    <w:rsid w:val="00AD176C"/>
    <w:rsid w:val="00AD19A1"/>
    <w:rsid w:val="00AD19A2"/>
    <w:rsid w:val="00AD19E6"/>
    <w:rsid w:val="00AD1AE1"/>
    <w:rsid w:val="00AD1AEC"/>
    <w:rsid w:val="00AD1CB8"/>
    <w:rsid w:val="00AD1D38"/>
    <w:rsid w:val="00AD1E20"/>
    <w:rsid w:val="00AD1E9E"/>
    <w:rsid w:val="00AD1F7E"/>
    <w:rsid w:val="00AD2049"/>
    <w:rsid w:val="00AD23FA"/>
    <w:rsid w:val="00AD24AB"/>
    <w:rsid w:val="00AD24FE"/>
    <w:rsid w:val="00AD255A"/>
    <w:rsid w:val="00AD2568"/>
    <w:rsid w:val="00AD25A1"/>
    <w:rsid w:val="00AD2703"/>
    <w:rsid w:val="00AD294F"/>
    <w:rsid w:val="00AD2AD5"/>
    <w:rsid w:val="00AD2BF4"/>
    <w:rsid w:val="00AD2DB6"/>
    <w:rsid w:val="00AD2DB8"/>
    <w:rsid w:val="00AD2F7C"/>
    <w:rsid w:val="00AD35BA"/>
    <w:rsid w:val="00AD3944"/>
    <w:rsid w:val="00AD394E"/>
    <w:rsid w:val="00AD39BA"/>
    <w:rsid w:val="00AD3A4F"/>
    <w:rsid w:val="00AD3C7E"/>
    <w:rsid w:val="00AD3D5D"/>
    <w:rsid w:val="00AD3DFC"/>
    <w:rsid w:val="00AD3F2C"/>
    <w:rsid w:val="00AD3F35"/>
    <w:rsid w:val="00AD40C9"/>
    <w:rsid w:val="00AD40CB"/>
    <w:rsid w:val="00AD41F8"/>
    <w:rsid w:val="00AD473C"/>
    <w:rsid w:val="00AD484F"/>
    <w:rsid w:val="00AD4A39"/>
    <w:rsid w:val="00AD4AA0"/>
    <w:rsid w:val="00AD4AC9"/>
    <w:rsid w:val="00AD4D58"/>
    <w:rsid w:val="00AD5039"/>
    <w:rsid w:val="00AD5098"/>
    <w:rsid w:val="00AD53E9"/>
    <w:rsid w:val="00AD5593"/>
    <w:rsid w:val="00AD56A7"/>
    <w:rsid w:val="00AD56D4"/>
    <w:rsid w:val="00AD56FC"/>
    <w:rsid w:val="00AD57BC"/>
    <w:rsid w:val="00AD5831"/>
    <w:rsid w:val="00AD5955"/>
    <w:rsid w:val="00AD5957"/>
    <w:rsid w:val="00AD595D"/>
    <w:rsid w:val="00AD599A"/>
    <w:rsid w:val="00AD5B59"/>
    <w:rsid w:val="00AD5BC3"/>
    <w:rsid w:val="00AD5C29"/>
    <w:rsid w:val="00AD6024"/>
    <w:rsid w:val="00AD6069"/>
    <w:rsid w:val="00AD6093"/>
    <w:rsid w:val="00AD60BE"/>
    <w:rsid w:val="00AD643A"/>
    <w:rsid w:val="00AD6457"/>
    <w:rsid w:val="00AD64E6"/>
    <w:rsid w:val="00AD6534"/>
    <w:rsid w:val="00AD65D9"/>
    <w:rsid w:val="00AD695A"/>
    <w:rsid w:val="00AD695E"/>
    <w:rsid w:val="00AD69B9"/>
    <w:rsid w:val="00AD6B11"/>
    <w:rsid w:val="00AD6B16"/>
    <w:rsid w:val="00AD6C8D"/>
    <w:rsid w:val="00AD6D39"/>
    <w:rsid w:val="00AD6E0D"/>
    <w:rsid w:val="00AD6E9D"/>
    <w:rsid w:val="00AD6EF8"/>
    <w:rsid w:val="00AD6F50"/>
    <w:rsid w:val="00AD6FEE"/>
    <w:rsid w:val="00AD7152"/>
    <w:rsid w:val="00AD720E"/>
    <w:rsid w:val="00AD7403"/>
    <w:rsid w:val="00AD744F"/>
    <w:rsid w:val="00AD74F3"/>
    <w:rsid w:val="00AD75CA"/>
    <w:rsid w:val="00AD7614"/>
    <w:rsid w:val="00AD7778"/>
    <w:rsid w:val="00AD7863"/>
    <w:rsid w:val="00AD7960"/>
    <w:rsid w:val="00AD79D1"/>
    <w:rsid w:val="00AD7A19"/>
    <w:rsid w:val="00AD7CD5"/>
    <w:rsid w:val="00AD7DA8"/>
    <w:rsid w:val="00AD7E98"/>
    <w:rsid w:val="00AE0120"/>
    <w:rsid w:val="00AE0192"/>
    <w:rsid w:val="00AE024C"/>
    <w:rsid w:val="00AE0254"/>
    <w:rsid w:val="00AE0261"/>
    <w:rsid w:val="00AE035D"/>
    <w:rsid w:val="00AE0515"/>
    <w:rsid w:val="00AE0784"/>
    <w:rsid w:val="00AE07B5"/>
    <w:rsid w:val="00AE0838"/>
    <w:rsid w:val="00AE08C6"/>
    <w:rsid w:val="00AE09DD"/>
    <w:rsid w:val="00AE0B61"/>
    <w:rsid w:val="00AE0B63"/>
    <w:rsid w:val="00AE0B6C"/>
    <w:rsid w:val="00AE0D1E"/>
    <w:rsid w:val="00AE0E2C"/>
    <w:rsid w:val="00AE0E4A"/>
    <w:rsid w:val="00AE1198"/>
    <w:rsid w:val="00AE14B4"/>
    <w:rsid w:val="00AE1570"/>
    <w:rsid w:val="00AE15D3"/>
    <w:rsid w:val="00AE16E9"/>
    <w:rsid w:val="00AE17A0"/>
    <w:rsid w:val="00AE18DD"/>
    <w:rsid w:val="00AE1991"/>
    <w:rsid w:val="00AE1D69"/>
    <w:rsid w:val="00AE1F24"/>
    <w:rsid w:val="00AE2013"/>
    <w:rsid w:val="00AE20F9"/>
    <w:rsid w:val="00AE21C3"/>
    <w:rsid w:val="00AE231F"/>
    <w:rsid w:val="00AE23FB"/>
    <w:rsid w:val="00AE25B0"/>
    <w:rsid w:val="00AE2816"/>
    <w:rsid w:val="00AE2969"/>
    <w:rsid w:val="00AE2974"/>
    <w:rsid w:val="00AE2A82"/>
    <w:rsid w:val="00AE2BFB"/>
    <w:rsid w:val="00AE2CC2"/>
    <w:rsid w:val="00AE2EAB"/>
    <w:rsid w:val="00AE2EC5"/>
    <w:rsid w:val="00AE2F18"/>
    <w:rsid w:val="00AE30B7"/>
    <w:rsid w:val="00AE30CB"/>
    <w:rsid w:val="00AE3102"/>
    <w:rsid w:val="00AE31BC"/>
    <w:rsid w:val="00AE324E"/>
    <w:rsid w:val="00AE3840"/>
    <w:rsid w:val="00AE385F"/>
    <w:rsid w:val="00AE3AC8"/>
    <w:rsid w:val="00AE3D1F"/>
    <w:rsid w:val="00AE3F63"/>
    <w:rsid w:val="00AE3F81"/>
    <w:rsid w:val="00AE4095"/>
    <w:rsid w:val="00AE4126"/>
    <w:rsid w:val="00AE4138"/>
    <w:rsid w:val="00AE43D8"/>
    <w:rsid w:val="00AE4471"/>
    <w:rsid w:val="00AE44DB"/>
    <w:rsid w:val="00AE458C"/>
    <w:rsid w:val="00AE46BC"/>
    <w:rsid w:val="00AE4895"/>
    <w:rsid w:val="00AE4A5B"/>
    <w:rsid w:val="00AE4B39"/>
    <w:rsid w:val="00AE4B45"/>
    <w:rsid w:val="00AE4B61"/>
    <w:rsid w:val="00AE4B72"/>
    <w:rsid w:val="00AE4C20"/>
    <w:rsid w:val="00AE4D8A"/>
    <w:rsid w:val="00AE4E82"/>
    <w:rsid w:val="00AE51FF"/>
    <w:rsid w:val="00AE525D"/>
    <w:rsid w:val="00AE532C"/>
    <w:rsid w:val="00AE536B"/>
    <w:rsid w:val="00AE537D"/>
    <w:rsid w:val="00AE54D4"/>
    <w:rsid w:val="00AE57EB"/>
    <w:rsid w:val="00AE59E8"/>
    <w:rsid w:val="00AE5A96"/>
    <w:rsid w:val="00AE5B6F"/>
    <w:rsid w:val="00AE5BC2"/>
    <w:rsid w:val="00AE5C5A"/>
    <w:rsid w:val="00AE5C99"/>
    <w:rsid w:val="00AE5D2E"/>
    <w:rsid w:val="00AE5DAC"/>
    <w:rsid w:val="00AE6109"/>
    <w:rsid w:val="00AE6157"/>
    <w:rsid w:val="00AE61BA"/>
    <w:rsid w:val="00AE6388"/>
    <w:rsid w:val="00AE6445"/>
    <w:rsid w:val="00AE6457"/>
    <w:rsid w:val="00AE64AA"/>
    <w:rsid w:val="00AE65B3"/>
    <w:rsid w:val="00AE66C9"/>
    <w:rsid w:val="00AE66FD"/>
    <w:rsid w:val="00AE673D"/>
    <w:rsid w:val="00AE6871"/>
    <w:rsid w:val="00AE68DF"/>
    <w:rsid w:val="00AE68E5"/>
    <w:rsid w:val="00AE69FB"/>
    <w:rsid w:val="00AE6A1C"/>
    <w:rsid w:val="00AE6C6E"/>
    <w:rsid w:val="00AE6C94"/>
    <w:rsid w:val="00AE6E67"/>
    <w:rsid w:val="00AE6FF6"/>
    <w:rsid w:val="00AE725F"/>
    <w:rsid w:val="00AE7272"/>
    <w:rsid w:val="00AE73EA"/>
    <w:rsid w:val="00AE73F6"/>
    <w:rsid w:val="00AE73FC"/>
    <w:rsid w:val="00AE760B"/>
    <w:rsid w:val="00AE7779"/>
    <w:rsid w:val="00AE783B"/>
    <w:rsid w:val="00AE7C7A"/>
    <w:rsid w:val="00AE7CE2"/>
    <w:rsid w:val="00AE7D17"/>
    <w:rsid w:val="00AE7E11"/>
    <w:rsid w:val="00AE7E7E"/>
    <w:rsid w:val="00AF00A5"/>
    <w:rsid w:val="00AF0440"/>
    <w:rsid w:val="00AF0632"/>
    <w:rsid w:val="00AF079B"/>
    <w:rsid w:val="00AF094A"/>
    <w:rsid w:val="00AF0B31"/>
    <w:rsid w:val="00AF0ED0"/>
    <w:rsid w:val="00AF101E"/>
    <w:rsid w:val="00AF10AB"/>
    <w:rsid w:val="00AF10AF"/>
    <w:rsid w:val="00AF1333"/>
    <w:rsid w:val="00AF13D4"/>
    <w:rsid w:val="00AF1909"/>
    <w:rsid w:val="00AF19BC"/>
    <w:rsid w:val="00AF1A1A"/>
    <w:rsid w:val="00AF1EDE"/>
    <w:rsid w:val="00AF1F8E"/>
    <w:rsid w:val="00AF210E"/>
    <w:rsid w:val="00AF21E1"/>
    <w:rsid w:val="00AF22A7"/>
    <w:rsid w:val="00AF22FD"/>
    <w:rsid w:val="00AF2431"/>
    <w:rsid w:val="00AF2458"/>
    <w:rsid w:val="00AF2A62"/>
    <w:rsid w:val="00AF2B23"/>
    <w:rsid w:val="00AF2BED"/>
    <w:rsid w:val="00AF2C35"/>
    <w:rsid w:val="00AF2E65"/>
    <w:rsid w:val="00AF2E69"/>
    <w:rsid w:val="00AF2EBD"/>
    <w:rsid w:val="00AF2F37"/>
    <w:rsid w:val="00AF3084"/>
    <w:rsid w:val="00AF309D"/>
    <w:rsid w:val="00AF3329"/>
    <w:rsid w:val="00AF3376"/>
    <w:rsid w:val="00AF345C"/>
    <w:rsid w:val="00AF3982"/>
    <w:rsid w:val="00AF3A77"/>
    <w:rsid w:val="00AF3BBC"/>
    <w:rsid w:val="00AF3CB8"/>
    <w:rsid w:val="00AF3E7C"/>
    <w:rsid w:val="00AF4073"/>
    <w:rsid w:val="00AF452B"/>
    <w:rsid w:val="00AF4736"/>
    <w:rsid w:val="00AF4842"/>
    <w:rsid w:val="00AF489A"/>
    <w:rsid w:val="00AF4AB9"/>
    <w:rsid w:val="00AF4B78"/>
    <w:rsid w:val="00AF4BBC"/>
    <w:rsid w:val="00AF4CD2"/>
    <w:rsid w:val="00AF4DA1"/>
    <w:rsid w:val="00AF4DBA"/>
    <w:rsid w:val="00AF4EAD"/>
    <w:rsid w:val="00AF4F5D"/>
    <w:rsid w:val="00AF5178"/>
    <w:rsid w:val="00AF517D"/>
    <w:rsid w:val="00AF5365"/>
    <w:rsid w:val="00AF5512"/>
    <w:rsid w:val="00AF5602"/>
    <w:rsid w:val="00AF5624"/>
    <w:rsid w:val="00AF57F1"/>
    <w:rsid w:val="00AF5A2C"/>
    <w:rsid w:val="00AF5BDE"/>
    <w:rsid w:val="00AF5E4E"/>
    <w:rsid w:val="00AF5E5E"/>
    <w:rsid w:val="00AF5EA0"/>
    <w:rsid w:val="00AF5EA5"/>
    <w:rsid w:val="00AF5EEE"/>
    <w:rsid w:val="00AF5FDA"/>
    <w:rsid w:val="00AF6063"/>
    <w:rsid w:val="00AF609E"/>
    <w:rsid w:val="00AF61F2"/>
    <w:rsid w:val="00AF6455"/>
    <w:rsid w:val="00AF648E"/>
    <w:rsid w:val="00AF65BB"/>
    <w:rsid w:val="00AF66A0"/>
    <w:rsid w:val="00AF688B"/>
    <w:rsid w:val="00AF68F7"/>
    <w:rsid w:val="00AF6C9B"/>
    <w:rsid w:val="00AF6CF4"/>
    <w:rsid w:val="00AF6E0A"/>
    <w:rsid w:val="00AF6E84"/>
    <w:rsid w:val="00AF6F15"/>
    <w:rsid w:val="00AF6FBC"/>
    <w:rsid w:val="00AF7093"/>
    <w:rsid w:val="00AF70A2"/>
    <w:rsid w:val="00AF72B0"/>
    <w:rsid w:val="00AF737D"/>
    <w:rsid w:val="00AF7A0F"/>
    <w:rsid w:val="00AF7A1F"/>
    <w:rsid w:val="00AF7B93"/>
    <w:rsid w:val="00AF7BA0"/>
    <w:rsid w:val="00B000FA"/>
    <w:rsid w:val="00B00345"/>
    <w:rsid w:val="00B0036E"/>
    <w:rsid w:val="00B0039A"/>
    <w:rsid w:val="00B003A6"/>
    <w:rsid w:val="00B00410"/>
    <w:rsid w:val="00B005F4"/>
    <w:rsid w:val="00B006A2"/>
    <w:rsid w:val="00B006B9"/>
    <w:rsid w:val="00B006E8"/>
    <w:rsid w:val="00B007E9"/>
    <w:rsid w:val="00B008CC"/>
    <w:rsid w:val="00B00912"/>
    <w:rsid w:val="00B00A9C"/>
    <w:rsid w:val="00B00B88"/>
    <w:rsid w:val="00B00C9D"/>
    <w:rsid w:val="00B00DB0"/>
    <w:rsid w:val="00B01038"/>
    <w:rsid w:val="00B010DB"/>
    <w:rsid w:val="00B0147D"/>
    <w:rsid w:val="00B014AE"/>
    <w:rsid w:val="00B01508"/>
    <w:rsid w:val="00B016A4"/>
    <w:rsid w:val="00B01700"/>
    <w:rsid w:val="00B017AF"/>
    <w:rsid w:val="00B018E1"/>
    <w:rsid w:val="00B01B9F"/>
    <w:rsid w:val="00B01D97"/>
    <w:rsid w:val="00B01EE0"/>
    <w:rsid w:val="00B01F0F"/>
    <w:rsid w:val="00B01F52"/>
    <w:rsid w:val="00B01F94"/>
    <w:rsid w:val="00B0247B"/>
    <w:rsid w:val="00B02552"/>
    <w:rsid w:val="00B02880"/>
    <w:rsid w:val="00B02DFE"/>
    <w:rsid w:val="00B02E11"/>
    <w:rsid w:val="00B031BA"/>
    <w:rsid w:val="00B031D6"/>
    <w:rsid w:val="00B03516"/>
    <w:rsid w:val="00B03649"/>
    <w:rsid w:val="00B03709"/>
    <w:rsid w:val="00B038B8"/>
    <w:rsid w:val="00B03941"/>
    <w:rsid w:val="00B03A2E"/>
    <w:rsid w:val="00B03D47"/>
    <w:rsid w:val="00B03F64"/>
    <w:rsid w:val="00B03F83"/>
    <w:rsid w:val="00B0402B"/>
    <w:rsid w:val="00B0403C"/>
    <w:rsid w:val="00B0408D"/>
    <w:rsid w:val="00B040DE"/>
    <w:rsid w:val="00B04412"/>
    <w:rsid w:val="00B044B2"/>
    <w:rsid w:val="00B044DD"/>
    <w:rsid w:val="00B04681"/>
    <w:rsid w:val="00B0490D"/>
    <w:rsid w:val="00B0490F"/>
    <w:rsid w:val="00B0498D"/>
    <w:rsid w:val="00B049B7"/>
    <w:rsid w:val="00B04B31"/>
    <w:rsid w:val="00B04E07"/>
    <w:rsid w:val="00B04F55"/>
    <w:rsid w:val="00B05250"/>
    <w:rsid w:val="00B053F3"/>
    <w:rsid w:val="00B057F4"/>
    <w:rsid w:val="00B059F0"/>
    <w:rsid w:val="00B05C11"/>
    <w:rsid w:val="00B05C89"/>
    <w:rsid w:val="00B05F62"/>
    <w:rsid w:val="00B0601B"/>
    <w:rsid w:val="00B06052"/>
    <w:rsid w:val="00B0610A"/>
    <w:rsid w:val="00B061C1"/>
    <w:rsid w:val="00B061CE"/>
    <w:rsid w:val="00B06216"/>
    <w:rsid w:val="00B06523"/>
    <w:rsid w:val="00B06603"/>
    <w:rsid w:val="00B067AB"/>
    <w:rsid w:val="00B06B41"/>
    <w:rsid w:val="00B06C08"/>
    <w:rsid w:val="00B06CC0"/>
    <w:rsid w:val="00B06D0C"/>
    <w:rsid w:val="00B07212"/>
    <w:rsid w:val="00B07223"/>
    <w:rsid w:val="00B07276"/>
    <w:rsid w:val="00B073FA"/>
    <w:rsid w:val="00B07653"/>
    <w:rsid w:val="00B079DB"/>
    <w:rsid w:val="00B07A1F"/>
    <w:rsid w:val="00B07D5A"/>
    <w:rsid w:val="00B07D95"/>
    <w:rsid w:val="00B07DAD"/>
    <w:rsid w:val="00B07ED5"/>
    <w:rsid w:val="00B07ED6"/>
    <w:rsid w:val="00B07FA1"/>
    <w:rsid w:val="00B07FD8"/>
    <w:rsid w:val="00B1015A"/>
    <w:rsid w:val="00B1019F"/>
    <w:rsid w:val="00B1022E"/>
    <w:rsid w:val="00B103BC"/>
    <w:rsid w:val="00B104E3"/>
    <w:rsid w:val="00B1064F"/>
    <w:rsid w:val="00B10983"/>
    <w:rsid w:val="00B10A8A"/>
    <w:rsid w:val="00B10CED"/>
    <w:rsid w:val="00B11220"/>
    <w:rsid w:val="00B114DC"/>
    <w:rsid w:val="00B116BC"/>
    <w:rsid w:val="00B1174F"/>
    <w:rsid w:val="00B118A8"/>
    <w:rsid w:val="00B11AA3"/>
    <w:rsid w:val="00B11B1E"/>
    <w:rsid w:val="00B11B75"/>
    <w:rsid w:val="00B11BE4"/>
    <w:rsid w:val="00B11D4E"/>
    <w:rsid w:val="00B11E96"/>
    <w:rsid w:val="00B11FFF"/>
    <w:rsid w:val="00B120C3"/>
    <w:rsid w:val="00B12123"/>
    <w:rsid w:val="00B121C8"/>
    <w:rsid w:val="00B12287"/>
    <w:rsid w:val="00B12311"/>
    <w:rsid w:val="00B12513"/>
    <w:rsid w:val="00B1253B"/>
    <w:rsid w:val="00B12561"/>
    <w:rsid w:val="00B125EB"/>
    <w:rsid w:val="00B12654"/>
    <w:rsid w:val="00B12779"/>
    <w:rsid w:val="00B1277D"/>
    <w:rsid w:val="00B12854"/>
    <w:rsid w:val="00B128B9"/>
    <w:rsid w:val="00B129A2"/>
    <w:rsid w:val="00B129A6"/>
    <w:rsid w:val="00B12A6C"/>
    <w:rsid w:val="00B12AE6"/>
    <w:rsid w:val="00B12C71"/>
    <w:rsid w:val="00B12FA1"/>
    <w:rsid w:val="00B1310F"/>
    <w:rsid w:val="00B1316B"/>
    <w:rsid w:val="00B1329D"/>
    <w:rsid w:val="00B132B5"/>
    <w:rsid w:val="00B132C0"/>
    <w:rsid w:val="00B1344B"/>
    <w:rsid w:val="00B1354B"/>
    <w:rsid w:val="00B1360F"/>
    <w:rsid w:val="00B13780"/>
    <w:rsid w:val="00B1383E"/>
    <w:rsid w:val="00B13B55"/>
    <w:rsid w:val="00B13C4D"/>
    <w:rsid w:val="00B13DF5"/>
    <w:rsid w:val="00B13E81"/>
    <w:rsid w:val="00B13EFD"/>
    <w:rsid w:val="00B14111"/>
    <w:rsid w:val="00B141CF"/>
    <w:rsid w:val="00B142A8"/>
    <w:rsid w:val="00B142D1"/>
    <w:rsid w:val="00B143D5"/>
    <w:rsid w:val="00B145B9"/>
    <w:rsid w:val="00B14641"/>
    <w:rsid w:val="00B14664"/>
    <w:rsid w:val="00B14757"/>
    <w:rsid w:val="00B148EA"/>
    <w:rsid w:val="00B14EE2"/>
    <w:rsid w:val="00B14F30"/>
    <w:rsid w:val="00B14F71"/>
    <w:rsid w:val="00B151D8"/>
    <w:rsid w:val="00B152F6"/>
    <w:rsid w:val="00B155BE"/>
    <w:rsid w:val="00B15609"/>
    <w:rsid w:val="00B1568A"/>
    <w:rsid w:val="00B15821"/>
    <w:rsid w:val="00B158AD"/>
    <w:rsid w:val="00B158F7"/>
    <w:rsid w:val="00B1599B"/>
    <w:rsid w:val="00B15A4A"/>
    <w:rsid w:val="00B15D32"/>
    <w:rsid w:val="00B15E34"/>
    <w:rsid w:val="00B15E70"/>
    <w:rsid w:val="00B15FD1"/>
    <w:rsid w:val="00B160B2"/>
    <w:rsid w:val="00B160EC"/>
    <w:rsid w:val="00B163BC"/>
    <w:rsid w:val="00B165BD"/>
    <w:rsid w:val="00B166BC"/>
    <w:rsid w:val="00B166C4"/>
    <w:rsid w:val="00B16736"/>
    <w:rsid w:val="00B16793"/>
    <w:rsid w:val="00B168A9"/>
    <w:rsid w:val="00B169CC"/>
    <w:rsid w:val="00B16CF8"/>
    <w:rsid w:val="00B16E60"/>
    <w:rsid w:val="00B16E6E"/>
    <w:rsid w:val="00B16EC4"/>
    <w:rsid w:val="00B16EEC"/>
    <w:rsid w:val="00B16F0C"/>
    <w:rsid w:val="00B17317"/>
    <w:rsid w:val="00B1743A"/>
    <w:rsid w:val="00B17457"/>
    <w:rsid w:val="00B174F9"/>
    <w:rsid w:val="00B17540"/>
    <w:rsid w:val="00B176DE"/>
    <w:rsid w:val="00B17769"/>
    <w:rsid w:val="00B1799C"/>
    <w:rsid w:val="00B17A04"/>
    <w:rsid w:val="00B17A85"/>
    <w:rsid w:val="00B17CD9"/>
    <w:rsid w:val="00B17D9A"/>
    <w:rsid w:val="00B17E75"/>
    <w:rsid w:val="00B20276"/>
    <w:rsid w:val="00B20386"/>
    <w:rsid w:val="00B2039B"/>
    <w:rsid w:val="00B20471"/>
    <w:rsid w:val="00B2049A"/>
    <w:rsid w:val="00B20521"/>
    <w:rsid w:val="00B20708"/>
    <w:rsid w:val="00B20798"/>
    <w:rsid w:val="00B207F3"/>
    <w:rsid w:val="00B20B05"/>
    <w:rsid w:val="00B20B93"/>
    <w:rsid w:val="00B20BB0"/>
    <w:rsid w:val="00B20BBF"/>
    <w:rsid w:val="00B20C58"/>
    <w:rsid w:val="00B20DC1"/>
    <w:rsid w:val="00B20EEC"/>
    <w:rsid w:val="00B2100B"/>
    <w:rsid w:val="00B210EA"/>
    <w:rsid w:val="00B2123A"/>
    <w:rsid w:val="00B21299"/>
    <w:rsid w:val="00B21363"/>
    <w:rsid w:val="00B214AA"/>
    <w:rsid w:val="00B21532"/>
    <w:rsid w:val="00B21651"/>
    <w:rsid w:val="00B21AB6"/>
    <w:rsid w:val="00B21AE9"/>
    <w:rsid w:val="00B21B4A"/>
    <w:rsid w:val="00B21D11"/>
    <w:rsid w:val="00B21F3D"/>
    <w:rsid w:val="00B21F8D"/>
    <w:rsid w:val="00B22220"/>
    <w:rsid w:val="00B22231"/>
    <w:rsid w:val="00B22478"/>
    <w:rsid w:val="00B22559"/>
    <w:rsid w:val="00B225A8"/>
    <w:rsid w:val="00B2273C"/>
    <w:rsid w:val="00B22AFF"/>
    <w:rsid w:val="00B22C2C"/>
    <w:rsid w:val="00B22C57"/>
    <w:rsid w:val="00B22C7F"/>
    <w:rsid w:val="00B22DC8"/>
    <w:rsid w:val="00B22F43"/>
    <w:rsid w:val="00B23059"/>
    <w:rsid w:val="00B23115"/>
    <w:rsid w:val="00B233C0"/>
    <w:rsid w:val="00B23416"/>
    <w:rsid w:val="00B23423"/>
    <w:rsid w:val="00B23443"/>
    <w:rsid w:val="00B235B7"/>
    <w:rsid w:val="00B235DD"/>
    <w:rsid w:val="00B2369A"/>
    <w:rsid w:val="00B236A4"/>
    <w:rsid w:val="00B23709"/>
    <w:rsid w:val="00B2396F"/>
    <w:rsid w:val="00B23997"/>
    <w:rsid w:val="00B23A30"/>
    <w:rsid w:val="00B23A7B"/>
    <w:rsid w:val="00B23BFC"/>
    <w:rsid w:val="00B23D2E"/>
    <w:rsid w:val="00B23D43"/>
    <w:rsid w:val="00B23DD4"/>
    <w:rsid w:val="00B23E4F"/>
    <w:rsid w:val="00B23E57"/>
    <w:rsid w:val="00B24113"/>
    <w:rsid w:val="00B242CC"/>
    <w:rsid w:val="00B245AC"/>
    <w:rsid w:val="00B24807"/>
    <w:rsid w:val="00B24B82"/>
    <w:rsid w:val="00B24CC8"/>
    <w:rsid w:val="00B24D36"/>
    <w:rsid w:val="00B24DE4"/>
    <w:rsid w:val="00B24DE8"/>
    <w:rsid w:val="00B24ED7"/>
    <w:rsid w:val="00B24F08"/>
    <w:rsid w:val="00B250C4"/>
    <w:rsid w:val="00B250D5"/>
    <w:rsid w:val="00B25182"/>
    <w:rsid w:val="00B25249"/>
    <w:rsid w:val="00B252F7"/>
    <w:rsid w:val="00B25366"/>
    <w:rsid w:val="00B25397"/>
    <w:rsid w:val="00B253E2"/>
    <w:rsid w:val="00B25728"/>
    <w:rsid w:val="00B2573E"/>
    <w:rsid w:val="00B258AD"/>
    <w:rsid w:val="00B259DD"/>
    <w:rsid w:val="00B25A76"/>
    <w:rsid w:val="00B25C0B"/>
    <w:rsid w:val="00B25CA7"/>
    <w:rsid w:val="00B25E85"/>
    <w:rsid w:val="00B25FA8"/>
    <w:rsid w:val="00B26083"/>
    <w:rsid w:val="00B26110"/>
    <w:rsid w:val="00B26337"/>
    <w:rsid w:val="00B26380"/>
    <w:rsid w:val="00B264C2"/>
    <w:rsid w:val="00B26533"/>
    <w:rsid w:val="00B2656F"/>
    <w:rsid w:val="00B267F3"/>
    <w:rsid w:val="00B26890"/>
    <w:rsid w:val="00B269B7"/>
    <w:rsid w:val="00B26BF9"/>
    <w:rsid w:val="00B27242"/>
    <w:rsid w:val="00B274F1"/>
    <w:rsid w:val="00B27552"/>
    <w:rsid w:val="00B27679"/>
    <w:rsid w:val="00B2770C"/>
    <w:rsid w:val="00B27922"/>
    <w:rsid w:val="00B27D46"/>
    <w:rsid w:val="00B27E9D"/>
    <w:rsid w:val="00B27F92"/>
    <w:rsid w:val="00B300DB"/>
    <w:rsid w:val="00B300FE"/>
    <w:rsid w:val="00B30241"/>
    <w:rsid w:val="00B302A2"/>
    <w:rsid w:val="00B30406"/>
    <w:rsid w:val="00B3045D"/>
    <w:rsid w:val="00B30673"/>
    <w:rsid w:val="00B30682"/>
    <w:rsid w:val="00B306A7"/>
    <w:rsid w:val="00B30823"/>
    <w:rsid w:val="00B3083A"/>
    <w:rsid w:val="00B30918"/>
    <w:rsid w:val="00B30A95"/>
    <w:rsid w:val="00B30AF8"/>
    <w:rsid w:val="00B30B3E"/>
    <w:rsid w:val="00B30F4A"/>
    <w:rsid w:val="00B30FC3"/>
    <w:rsid w:val="00B3102F"/>
    <w:rsid w:val="00B310C8"/>
    <w:rsid w:val="00B312BF"/>
    <w:rsid w:val="00B31393"/>
    <w:rsid w:val="00B314A5"/>
    <w:rsid w:val="00B316C1"/>
    <w:rsid w:val="00B3182B"/>
    <w:rsid w:val="00B31893"/>
    <w:rsid w:val="00B318A4"/>
    <w:rsid w:val="00B31CC3"/>
    <w:rsid w:val="00B31CC9"/>
    <w:rsid w:val="00B31D82"/>
    <w:rsid w:val="00B31E7D"/>
    <w:rsid w:val="00B31FAF"/>
    <w:rsid w:val="00B322B5"/>
    <w:rsid w:val="00B32594"/>
    <w:rsid w:val="00B327E7"/>
    <w:rsid w:val="00B329A1"/>
    <w:rsid w:val="00B32BA2"/>
    <w:rsid w:val="00B32DCC"/>
    <w:rsid w:val="00B32DE3"/>
    <w:rsid w:val="00B32E56"/>
    <w:rsid w:val="00B33655"/>
    <w:rsid w:val="00B3367E"/>
    <w:rsid w:val="00B33747"/>
    <w:rsid w:val="00B3378C"/>
    <w:rsid w:val="00B33928"/>
    <w:rsid w:val="00B33A68"/>
    <w:rsid w:val="00B33A7D"/>
    <w:rsid w:val="00B33B3B"/>
    <w:rsid w:val="00B33DE5"/>
    <w:rsid w:val="00B33F0D"/>
    <w:rsid w:val="00B3404F"/>
    <w:rsid w:val="00B340F8"/>
    <w:rsid w:val="00B34154"/>
    <w:rsid w:val="00B3419E"/>
    <w:rsid w:val="00B34350"/>
    <w:rsid w:val="00B3441F"/>
    <w:rsid w:val="00B34493"/>
    <w:rsid w:val="00B3451F"/>
    <w:rsid w:val="00B34610"/>
    <w:rsid w:val="00B3467C"/>
    <w:rsid w:val="00B3481C"/>
    <w:rsid w:val="00B349CF"/>
    <w:rsid w:val="00B34D4A"/>
    <w:rsid w:val="00B34E90"/>
    <w:rsid w:val="00B34F28"/>
    <w:rsid w:val="00B34FE0"/>
    <w:rsid w:val="00B3504B"/>
    <w:rsid w:val="00B35091"/>
    <w:rsid w:val="00B351F8"/>
    <w:rsid w:val="00B35436"/>
    <w:rsid w:val="00B35585"/>
    <w:rsid w:val="00B357EE"/>
    <w:rsid w:val="00B3588B"/>
    <w:rsid w:val="00B358AB"/>
    <w:rsid w:val="00B35BC1"/>
    <w:rsid w:val="00B35C72"/>
    <w:rsid w:val="00B35CF7"/>
    <w:rsid w:val="00B35E41"/>
    <w:rsid w:val="00B35F52"/>
    <w:rsid w:val="00B36019"/>
    <w:rsid w:val="00B36211"/>
    <w:rsid w:val="00B364D6"/>
    <w:rsid w:val="00B367AF"/>
    <w:rsid w:val="00B36A79"/>
    <w:rsid w:val="00B36B36"/>
    <w:rsid w:val="00B36B41"/>
    <w:rsid w:val="00B36D41"/>
    <w:rsid w:val="00B36DC1"/>
    <w:rsid w:val="00B36E43"/>
    <w:rsid w:val="00B36E8D"/>
    <w:rsid w:val="00B36FF3"/>
    <w:rsid w:val="00B37086"/>
    <w:rsid w:val="00B3717D"/>
    <w:rsid w:val="00B3748E"/>
    <w:rsid w:val="00B374AC"/>
    <w:rsid w:val="00B37506"/>
    <w:rsid w:val="00B375F2"/>
    <w:rsid w:val="00B37868"/>
    <w:rsid w:val="00B37BE1"/>
    <w:rsid w:val="00B37BE3"/>
    <w:rsid w:val="00B37C5C"/>
    <w:rsid w:val="00B37C72"/>
    <w:rsid w:val="00B37E3B"/>
    <w:rsid w:val="00B37FA1"/>
    <w:rsid w:val="00B401F7"/>
    <w:rsid w:val="00B403AF"/>
    <w:rsid w:val="00B40720"/>
    <w:rsid w:val="00B40738"/>
    <w:rsid w:val="00B408FA"/>
    <w:rsid w:val="00B4092F"/>
    <w:rsid w:val="00B409E5"/>
    <w:rsid w:val="00B40A96"/>
    <w:rsid w:val="00B40B64"/>
    <w:rsid w:val="00B40BB0"/>
    <w:rsid w:val="00B40C2D"/>
    <w:rsid w:val="00B40C2E"/>
    <w:rsid w:val="00B40DDE"/>
    <w:rsid w:val="00B40E1E"/>
    <w:rsid w:val="00B40E50"/>
    <w:rsid w:val="00B40E80"/>
    <w:rsid w:val="00B40ED3"/>
    <w:rsid w:val="00B40F16"/>
    <w:rsid w:val="00B40FEF"/>
    <w:rsid w:val="00B41143"/>
    <w:rsid w:val="00B4127A"/>
    <w:rsid w:val="00B4137A"/>
    <w:rsid w:val="00B413B9"/>
    <w:rsid w:val="00B41419"/>
    <w:rsid w:val="00B4181D"/>
    <w:rsid w:val="00B418F6"/>
    <w:rsid w:val="00B418FC"/>
    <w:rsid w:val="00B419C8"/>
    <w:rsid w:val="00B41A8F"/>
    <w:rsid w:val="00B41DE0"/>
    <w:rsid w:val="00B41E8B"/>
    <w:rsid w:val="00B41EF3"/>
    <w:rsid w:val="00B41F3A"/>
    <w:rsid w:val="00B4208F"/>
    <w:rsid w:val="00B422A3"/>
    <w:rsid w:val="00B4238D"/>
    <w:rsid w:val="00B42433"/>
    <w:rsid w:val="00B42442"/>
    <w:rsid w:val="00B42612"/>
    <w:rsid w:val="00B42714"/>
    <w:rsid w:val="00B42771"/>
    <w:rsid w:val="00B427FF"/>
    <w:rsid w:val="00B429D7"/>
    <w:rsid w:val="00B42A3A"/>
    <w:rsid w:val="00B42B88"/>
    <w:rsid w:val="00B42C2E"/>
    <w:rsid w:val="00B42DB3"/>
    <w:rsid w:val="00B42DD2"/>
    <w:rsid w:val="00B4314E"/>
    <w:rsid w:val="00B43342"/>
    <w:rsid w:val="00B434B2"/>
    <w:rsid w:val="00B434CE"/>
    <w:rsid w:val="00B435CF"/>
    <w:rsid w:val="00B435E0"/>
    <w:rsid w:val="00B4360D"/>
    <w:rsid w:val="00B43614"/>
    <w:rsid w:val="00B4361D"/>
    <w:rsid w:val="00B43671"/>
    <w:rsid w:val="00B437C7"/>
    <w:rsid w:val="00B438F7"/>
    <w:rsid w:val="00B43B36"/>
    <w:rsid w:val="00B43D0A"/>
    <w:rsid w:val="00B43D50"/>
    <w:rsid w:val="00B43E87"/>
    <w:rsid w:val="00B43E8F"/>
    <w:rsid w:val="00B440C5"/>
    <w:rsid w:val="00B44175"/>
    <w:rsid w:val="00B443CB"/>
    <w:rsid w:val="00B443F0"/>
    <w:rsid w:val="00B4441B"/>
    <w:rsid w:val="00B4479C"/>
    <w:rsid w:val="00B449BE"/>
    <w:rsid w:val="00B44A03"/>
    <w:rsid w:val="00B44A82"/>
    <w:rsid w:val="00B44ADC"/>
    <w:rsid w:val="00B44B6D"/>
    <w:rsid w:val="00B44CE8"/>
    <w:rsid w:val="00B44D49"/>
    <w:rsid w:val="00B44F90"/>
    <w:rsid w:val="00B4505D"/>
    <w:rsid w:val="00B451F1"/>
    <w:rsid w:val="00B45991"/>
    <w:rsid w:val="00B45CAA"/>
    <w:rsid w:val="00B45D72"/>
    <w:rsid w:val="00B45E62"/>
    <w:rsid w:val="00B463F7"/>
    <w:rsid w:val="00B46507"/>
    <w:rsid w:val="00B46529"/>
    <w:rsid w:val="00B465B9"/>
    <w:rsid w:val="00B46692"/>
    <w:rsid w:val="00B46780"/>
    <w:rsid w:val="00B469D0"/>
    <w:rsid w:val="00B46A9A"/>
    <w:rsid w:val="00B46AF4"/>
    <w:rsid w:val="00B46AFD"/>
    <w:rsid w:val="00B46E60"/>
    <w:rsid w:val="00B4771A"/>
    <w:rsid w:val="00B47832"/>
    <w:rsid w:val="00B47B27"/>
    <w:rsid w:val="00B47B58"/>
    <w:rsid w:val="00B5020F"/>
    <w:rsid w:val="00B502B6"/>
    <w:rsid w:val="00B50446"/>
    <w:rsid w:val="00B50486"/>
    <w:rsid w:val="00B50547"/>
    <w:rsid w:val="00B505B7"/>
    <w:rsid w:val="00B5060B"/>
    <w:rsid w:val="00B507C2"/>
    <w:rsid w:val="00B50895"/>
    <w:rsid w:val="00B509C7"/>
    <w:rsid w:val="00B50A79"/>
    <w:rsid w:val="00B50AAE"/>
    <w:rsid w:val="00B50C33"/>
    <w:rsid w:val="00B50CA9"/>
    <w:rsid w:val="00B50E53"/>
    <w:rsid w:val="00B50E57"/>
    <w:rsid w:val="00B50F4C"/>
    <w:rsid w:val="00B51157"/>
    <w:rsid w:val="00B51663"/>
    <w:rsid w:val="00B516DF"/>
    <w:rsid w:val="00B518B6"/>
    <w:rsid w:val="00B51954"/>
    <w:rsid w:val="00B51CB0"/>
    <w:rsid w:val="00B51D95"/>
    <w:rsid w:val="00B51DCB"/>
    <w:rsid w:val="00B51E5A"/>
    <w:rsid w:val="00B52049"/>
    <w:rsid w:val="00B52082"/>
    <w:rsid w:val="00B5217F"/>
    <w:rsid w:val="00B521D9"/>
    <w:rsid w:val="00B52387"/>
    <w:rsid w:val="00B52410"/>
    <w:rsid w:val="00B525E8"/>
    <w:rsid w:val="00B52674"/>
    <w:rsid w:val="00B5271B"/>
    <w:rsid w:val="00B5280B"/>
    <w:rsid w:val="00B5292E"/>
    <w:rsid w:val="00B5293D"/>
    <w:rsid w:val="00B529A8"/>
    <w:rsid w:val="00B52C7B"/>
    <w:rsid w:val="00B52EC0"/>
    <w:rsid w:val="00B52F03"/>
    <w:rsid w:val="00B530F6"/>
    <w:rsid w:val="00B5310E"/>
    <w:rsid w:val="00B53169"/>
    <w:rsid w:val="00B531FA"/>
    <w:rsid w:val="00B5322F"/>
    <w:rsid w:val="00B5323D"/>
    <w:rsid w:val="00B534BA"/>
    <w:rsid w:val="00B5357B"/>
    <w:rsid w:val="00B53755"/>
    <w:rsid w:val="00B537A8"/>
    <w:rsid w:val="00B5381C"/>
    <w:rsid w:val="00B5387F"/>
    <w:rsid w:val="00B53A3C"/>
    <w:rsid w:val="00B53A41"/>
    <w:rsid w:val="00B53AEB"/>
    <w:rsid w:val="00B53D7A"/>
    <w:rsid w:val="00B540B9"/>
    <w:rsid w:val="00B540E5"/>
    <w:rsid w:val="00B54108"/>
    <w:rsid w:val="00B541B9"/>
    <w:rsid w:val="00B541ED"/>
    <w:rsid w:val="00B5428D"/>
    <w:rsid w:val="00B542B4"/>
    <w:rsid w:val="00B54332"/>
    <w:rsid w:val="00B543AD"/>
    <w:rsid w:val="00B543BF"/>
    <w:rsid w:val="00B5446D"/>
    <w:rsid w:val="00B545B4"/>
    <w:rsid w:val="00B54B43"/>
    <w:rsid w:val="00B54C4E"/>
    <w:rsid w:val="00B54D52"/>
    <w:rsid w:val="00B54DA1"/>
    <w:rsid w:val="00B54F3F"/>
    <w:rsid w:val="00B5506D"/>
    <w:rsid w:val="00B55376"/>
    <w:rsid w:val="00B553C8"/>
    <w:rsid w:val="00B5557A"/>
    <w:rsid w:val="00B555C9"/>
    <w:rsid w:val="00B55795"/>
    <w:rsid w:val="00B55797"/>
    <w:rsid w:val="00B557DA"/>
    <w:rsid w:val="00B5586F"/>
    <w:rsid w:val="00B558F4"/>
    <w:rsid w:val="00B55A42"/>
    <w:rsid w:val="00B55B3E"/>
    <w:rsid w:val="00B55B6C"/>
    <w:rsid w:val="00B55B86"/>
    <w:rsid w:val="00B55D4F"/>
    <w:rsid w:val="00B5604D"/>
    <w:rsid w:val="00B56102"/>
    <w:rsid w:val="00B56146"/>
    <w:rsid w:val="00B561C6"/>
    <w:rsid w:val="00B56217"/>
    <w:rsid w:val="00B56414"/>
    <w:rsid w:val="00B56493"/>
    <w:rsid w:val="00B564FD"/>
    <w:rsid w:val="00B565FF"/>
    <w:rsid w:val="00B569F5"/>
    <w:rsid w:val="00B56CAE"/>
    <w:rsid w:val="00B56D32"/>
    <w:rsid w:val="00B56DD7"/>
    <w:rsid w:val="00B56EF8"/>
    <w:rsid w:val="00B5702A"/>
    <w:rsid w:val="00B57059"/>
    <w:rsid w:val="00B57170"/>
    <w:rsid w:val="00B571BF"/>
    <w:rsid w:val="00B57279"/>
    <w:rsid w:val="00B57362"/>
    <w:rsid w:val="00B576B3"/>
    <w:rsid w:val="00B5795C"/>
    <w:rsid w:val="00B5799A"/>
    <w:rsid w:val="00B579F4"/>
    <w:rsid w:val="00B57A4F"/>
    <w:rsid w:val="00B57A99"/>
    <w:rsid w:val="00B57E23"/>
    <w:rsid w:val="00B57E5B"/>
    <w:rsid w:val="00B57E8D"/>
    <w:rsid w:val="00B57ED6"/>
    <w:rsid w:val="00B5FB82"/>
    <w:rsid w:val="00B60043"/>
    <w:rsid w:val="00B60176"/>
    <w:rsid w:val="00B60206"/>
    <w:rsid w:val="00B60320"/>
    <w:rsid w:val="00B60377"/>
    <w:rsid w:val="00B603AB"/>
    <w:rsid w:val="00B604A1"/>
    <w:rsid w:val="00B60555"/>
    <w:rsid w:val="00B6055B"/>
    <w:rsid w:val="00B605BA"/>
    <w:rsid w:val="00B605BB"/>
    <w:rsid w:val="00B605E2"/>
    <w:rsid w:val="00B606E1"/>
    <w:rsid w:val="00B60A53"/>
    <w:rsid w:val="00B60B54"/>
    <w:rsid w:val="00B60C29"/>
    <w:rsid w:val="00B60E57"/>
    <w:rsid w:val="00B60E96"/>
    <w:rsid w:val="00B60F35"/>
    <w:rsid w:val="00B60FDD"/>
    <w:rsid w:val="00B610E9"/>
    <w:rsid w:val="00B61263"/>
    <w:rsid w:val="00B612A3"/>
    <w:rsid w:val="00B61398"/>
    <w:rsid w:val="00B61472"/>
    <w:rsid w:val="00B615E9"/>
    <w:rsid w:val="00B61789"/>
    <w:rsid w:val="00B6185F"/>
    <w:rsid w:val="00B61A7E"/>
    <w:rsid w:val="00B61AA1"/>
    <w:rsid w:val="00B61C71"/>
    <w:rsid w:val="00B61D3B"/>
    <w:rsid w:val="00B61F6A"/>
    <w:rsid w:val="00B61F85"/>
    <w:rsid w:val="00B61FD6"/>
    <w:rsid w:val="00B62026"/>
    <w:rsid w:val="00B621C9"/>
    <w:rsid w:val="00B6222A"/>
    <w:rsid w:val="00B62264"/>
    <w:rsid w:val="00B62357"/>
    <w:rsid w:val="00B62384"/>
    <w:rsid w:val="00B62680"/>
    <w:rsid w:val="00B626F1"/>
    <w:rsid w:val="00B6277C"/>
    <w:rsid w:val="00B6277D"/>
    <w:rsid w:val="00B62A63"/>
    <w:rsid w:val="00B62AC7"/>
    <w:rsid w:val="00B62BCE"/>
    <w:rsid w:val="00B62E56"/>
    <w:rsid w:val="00B62EAC"/>
    <w:rsid w:val="00B62EB4"/>
    <w:rsid w:val="00B62EC5"/>
    <w:rsid w:val="00B63169"/>
    <w:rsid w:val="00B633AE"/>
    <w:rsid w:val="00B63538"/>
    <w:rsid w:val="00B63580"/>
    <w:rsid w:val="00B635DD"/>
    <w:rsid w:val="00B63633"/>
    <w:rsid w:val="00B63656"/>
    <w:rsid w:val="00B637A8"/>
    <w:rsid w:val="00B638DE"/>
    <w:rsid w:val="00B63B2F"/>
    <w:rsid w:val="00B63E2D"/>
    <w:rsid w:val="00B63F37"/>
    <w:rsid w:val="00B63F4B"/>
    <w:rsid w:val="00B64112"/>
    <w:rsid w:val="00B64144"/>
    <w:rsid w:val="00B64237"/>
    <w:rsid w:val="00B64241"/>
    <w:rsid w:val="00B64337"/>
    <w:rsid w:val="00B6437F"/>
    <w:rsid w:val="00B64427"/>
    <w:rsid w:val="00B644B6"/>
    <w:rsid w:val="00B6477B"/>
    <w:rsid w:val="00B649A9"/>
    <w:rsid w:val="00B649EE"/>
    <w:rsid w:val="00B64A0D"/>
    <w:rsid w:val="00B64B3C"/>
    <w:rsid w:val="00B64C22"/>
    <w:rsid w:val="00B64CF2"/>
    <w:rsid w:val="00B64DAB"/>
    <w:rsid w:val="00B651E2"/>
    <w:rsid w:val="00B65221"/>
    <w:rsid w:val="00B65285"/>
    <w:rsid w:val="00B65291"/>
    <w:rsid w:val="00B65352"/>
    <w:rsid w:val="00B65356"/>
    <w:rsid w:val="00B6543A"/>
    <w:rsid w:val="00B6543D"/>
    <w:rsid w:val="00B654E4"/>
    <w:rsid w:val="00B6572D"/>
    <w:rsid w:val="00B658DB"/>
    <w:rsid w:val="00B65AA0"/>
    <w:rsid w:val="00B65AB2"/>
    <w:rsid w:val="00B65B29"/>
    <w:rsid w:val="00B65CEC"/>
    <w:rsid w:val="00B65EE5"/>
    <w:rsid w:val="00B65F2D"/>
    <w:rsid w:val="00B661B8"/>
    <w:rsid w:val="00B66323"/>
    <w:rsid w:val="00B664BF"/>
    <w:rsid w:val="00B667DE"/>
    <w:rsid w:val="00B66894"/>
    <w:rsid w:val="00B668F3"/>
    <w:rsid w:val="00B669F0"/>
    <w:rsid w:val="00B66AED"/>
    <w:rsid w:val="00B66D6F"/>
    <w:rsid w:val="00B66D72"/>
    <w:rsid w:val="00B66DCF"/>
    <w:rsid w:val="00B66EA4"/>
    <w:rsid w:val="00B67056"/>
    <w:rsid w:val="00B673A5"/>
    <w:rsid w:val="00B673CA"/>
    <w:rsid w:val="00B67A93"/>
    <w:rsid w:val="00B67EBE"/>
    <w:rsid w:val="00B700F8"/>
    <w:rsid w:val="00B7013E"/>
    <w:rsid w:val="00B702AD"/>
    <w:rsid w:val="00B702AF"/>
    <w:rsid w:val="00B70327"/>
    <w:rsid w:val="00B70387"/>
    <w:rsid w:val="00B70491"/>
    <w:rsid w:val="00B705D8"/>
    <w:rsid w:val="00B706FC"/>
    <w:rsid w:val="00B70884"/>
    <w:rsid w:val="00B70910"/>
    <w:rsid w:val="00B70CA2"/>
    <w:rsid w:val="00B70E21"/>
    <w:rsid w:val="00B70E7A"/>
    <w:rsid w:val="00B70EF0"/>
    <w:rsid w:val="00B7119F"/>
    <w:rsid w:val="00B712C2"/>
    <w:rsid w:val="00B714C4"/>
    <w:rsid w:val="00B714F2"/>
    <w:rsid w:val="00B714FD"/>
    <w:rsid w:val="00B71772"/>
    <w:rsid w:val="00B71794"/>
    <w:rsid w:val="00B71798"/>
    <w:rsid w:val="00B7180B"/>
    <w:rsid w:val="00B71891"/>
    <w:rsid w:val="00B71911"/>
    <w:rsid w:val="00B71952"/>
    <w:rsid w:val="00B71996"/>
    <w:rsid w:val="00B71A94"/>
    <w:rsid w:val="00B71B06"/>
    <w:rsid w:val="00B71DED"/>
    <w:rsid w:val="00B71E0D"/>
    <w:rsid w:val="00B71E88"/>
    <w:rsid w:val="00B71F25"/>
    <w:rsid w:val="00B72058"/>
    <w:rsid w:val="00B7236F"/>
    <w:rsid w:val="00B7253A"/>
    <w:rsid w:val="00B726E9"/>
    <w:rsid w:val="00B72725"/>
    <w:rsid w:val="00B727AF"/>
    <w:rsid w:val="00B72B4B"/>
    <w:rsid w:val="00B72B69"/>
    <w:rsid w:val="00B72C60"/>
    <w:rsid w:val="00B72C66"/>
    <w:rsid w:val="00B72E1F"/>
    <w:rsid w:val="00B72EA7"/>
    <w:rsid w:val="00B72F0B"/>
    <w:rsid w:val="00B7306C"/>
    <w:rsid w:val="00B730C4"/>
    <w:rsid w:val="00B730D6"/>
    <w:rsid w:val="00B73376"/>
    <w:rsid w:val="00B7344D"/>
    <w:rsid w:val="00B73516"/>
    <w:rsid w:val="00B7351C"/>
    <w:rsid w:val="00B7356C"/>
    <w:rsid w:val="00B73791"/>
    <w:rsid w:val="00B7380C"/>
    <w:rsid w:val="00B73889"/>
    <w:rsid w:val="00B7388B"/>
    <w:rsid w:val="00B738AE"/>
    <w:rsid w:val="00B73953"/>
    <w:rsid w:val="00B739EF"/>
    <w:rsid w:val="00B73AC4"/>
    <w:rsid w:val="00B73BD7"/>
    <w:rsid w:val="00B73DF8"/>
    <w:rsid w:val="00B73EDE"/>
    <w:rsid w:val="00B74042"/>
    <w:rsid w:val="00B741F7"/>
    <w:rsid w:val="00B74410"/>
    <w:rsid w:val="00B7449A"/>
    <w:rsid w:val="00B744F1"/>
    <w:rsid w:val="00B748F8"/>
    <w:rsid w:val="00B74965"/>
    <w:rsid w:val="00B74C3F"/>
    <w:rsid w:val="00B74C5A"/>
    <w:rsid w:val="00B74CB8"/>
    <w:rsid w:val="00B74D2E"/>
    <w:rsid w:val="00B74D30"/>
    <w:rsid w:val="00B74DC8"/>
    <w:rsid w:val="00B74EE5"/>
    <w:rsid w:val="00B74F3C"/>
    <w:rsid w:val="00B7541B"/>
    <w:rsid w:val="00B754A4"/>
    <w:rsid w:val="00B754D5"/>
    <w:rsid w:val="00B75538"/>
    <w:rsid w:val="00B755D7"/>
    <w:rsid w:val="00B7563C"/>
    <w:rsid w:val="00B75779"/>
    <w:rsid w:val="00B758B0"/>
    <w:rsid w:val="00B7596E"/>
    <w:rsid w:val="00B75AE0"/>
    <w:rsid w:val="00B75C6B"/>
    <w:rsid w:val="00B75CBF"/>
    <w:rsid w:val="00B75D26"/>
    <w:rsid w:val="00B75EDA"/>
    <w:rsid w:val="00B75F15"/>
    <w:rsid w:val="00B760A7"/>
    <w:rsid w:val="00B76176"/>
    <w:rsid w:val="00B76202"/>
    <w:rsid w:val="00B76268"/>
    <w:rsid w:val="00B76407"/>
    <w:rsid w:val="00B76543"/>
    <w:rsid w:val="00B765E6"/>
    <w:rsid w:val="00B76B9E"/>
    <w:rsid w:val="00B76C81"/>
    <w:rsid w:val="00B76EFA"/>
    <w:rsid w:val="00B76FF6"/>
    <w:rsid w:val="00B7701C"/>
    <w:rsid w:val="00B7748E"/>
    <w:rsid w:val="00B776C9"/>
    <w:rsid w:val="00B77857"/>
    <w:rsid w:val="00B779D3"/>
    <w:rsid w:val="00B77A7C"/>
    <w:rsid w:val="00B77B52"/>
    <w:rsid w:val="00B77D23"/>
    <w:rsid w:val="00B77D5A"/>
    <w:rsid w:val="00B77FB4"/>
    <w:rsid w:val="00B78000"/>
    <w:rsid w:val="00B801CB"/>
    <w:rsid w:val="00B8020C"/>
    <w:rsid w:val="00B803B1"/>
    <w:rsid w:val="00B80406"/>
    <w:rsid w:val="00B80624"/>
    <w:rsid w:val="00B807A3"/>
    <w:rsid w:val="00B808D7"/>
    <w:rsid w:val="00B80922"/>
    <w:rsid w:val="00B80ACA"/>
    <w:rsid w:val="00B80C4F"/>
    <w:rsid w:val="00B80C66"/>
    <w:rsid w:val="00B80EF1"/>
    <w:rsid w:val="00B8111F"/>
    <w:rsid w:val="00B81365"/>
    <w:rsid w:val="00B81450"/>
    <w:rsid w:val="00B815FB"/>
    <w:rsid w:val="00B81713"/>
    <w:rsid w:val="00B81813"/>
    <w:rsid w:val="00B81B03"/>
    <w:rsid w:val="00B81D27"/>
    <w:rsid w:val="00B81D37"/>
    <w:rsid w:val="00B81D5A"/>
    <w:rsid w:val="00B81DA5"/>
    <w:rsid w:val="00B8205F"/>
    <w:rsid w:val="00B820F2"/>
    <w:rsid w:val="00B821FB"/>
    <w:rsid w:val="00B8230C"/>
    <w:rsid w:val="00B82389"/>
    <w:rsid w:val="00B823C4"/>
    <w:rsid w:val="00B82485"/>
    <w:rsid w:val="00B82550"/>
    <w:rsid w:val="00B8261B"/>
    <w:rsid w:val="00B826D7"/>
    <w:rsid w:val="00B82767"/>
    <w:rsid w:val="00B82A94"/>
    <w:rsid w:val="00B82B0A"/>
    <w:rsid w:val="00B82B3D"/>
    <w:rsid w:val="00B82B89"/>
    <w:rsid w:val="00B82BEF"/>
    <w:rsid w:val="00B8356C"/>
    <w:rsid w:val="00B8368A"/>
    <w:rsid w:val="00B8369B"/>
    <w:rsid w:val="00B837FE"/>
    <w:rsid w:val="00B8397A"/>
    <w:rsid w:val="00B83E39"/>
    <w:rsid w:val="00B83EEE"/>
    <w:rsid w:val="00B8400C"/>
    <w:rsid w:val="00B841A0"/>
    <w:rsid w:val="00B84374"/>
    <w:rsid w:val="00B844A8"/>
    <w:rsid w:val="00B84553"/>
    <w:rsid w:val="00B846EB"/>
    <w:rsid w:val="00B8477D"/>
    <w:rsid w:val="00B84803"/>
    <w:rsid w:val="00B84889"/>
    <w:rsid w:val="00B84898"/>
    <w:rsid w:val="00B849CC"/>
    <w:rsid w:val="00B84BBC"/>
    <w:rsid w:val="00B84BE4"/>
    <w:rsid w:val="00B84D68"/>
    <w:rsid w:val="00B84E82"/>
    <w:rsid w:val="00B84EF9"/>
    <w:rsid w:val="00B85066"/>
    <w:rsid w:val="00B85373"/>
    <w:rsid w:val="00B854A7"/>
    <w:rsid w:val="00B8576F"/>
    <w:rsid w:val="00B857D3"/>
    <w:rsid w:val="00B8586A"/>
    <w:rsid w:val="00B859C4"/>
    <w:rsid w:val="00B85AE9"/>
    <w:rsid w:val="00B85BB2"/>
    <w:rsid w:val="00B85C49"/>
    <w:rsid w:val="00B85C64"/>
    <w:rsid w:val="00B85E72"/>
    <w:rsid w:val="00B85E8F"/>
    <w:rsid w:val="00B85EF3"/>
    <w:rsid w:val="00B861DC"/>
    <w:rsid w:val="00B86210"/>
    <w:rsid w:val="00B862D3"/>
    <w:rsid w:val="00B8634F"/>
    <w:rsid w:val="00B86418"/>
    <w:rsid w:val="00B86454"/>
    <w:rsid w:val="00B86528"/>
    <w:rsid w:val="00B8662D"/>
    <w:rsid w:val="00B866AE"/>
    <w:rsid w:val="00B866C1"/>
    <w:rsid w:val="00B86807"/>
    <w:rsid w:val="00B86844"/>
    <w:rsid w:val="00B86A34"/>
    <w:rsid w:val="00B86AC2"/>
    <w:rsid w:val="00B86ADB"/>
    <w:rsid w:val="00B86C6B"/>
    <w:rsid w:val="00B86DED"/>
    <w:rsid w:val="00B86F28"/>
    <w:rsid w:val="00B87059"/>
    <w:rsid w:val="00B8717E"/>
    <w:rsid w:val="00B87391"/>
    <w:rsid w:val="00B87473"/>
    <w:rsid w:val="00B87547"/>
    <w:rsid w:val="00B8779A"/>
    <w:rsid w:val="00B87905"/>
    <w:rsid w:val="00B8797E"/>
    <w:rsid w:val="00B87C87"/>
    <w:rsid w:val="00B87CBE"/>
    <w:rsid w:val="00B87D58"/>
    <w:rsid w:val="00B87DB6"/>
    <w:rsid w:val="00B87EE0"/>
    <w:rsid w:val="00B902CC"/>
    <w:rsid w:val="00B90405"/>
    <w:rsid w:val="00B90407"/>
    <w:rsid w:val="00B90475"/>
    <w:rsid w:val="00B9062E"/>
    <w:rsid w:val="00B90647"/>
    <w:rsid w:val="00B90A43"/>
    <w:rsid w:val="00B90DFC"/>
    <w:rsid w:val="00B90E7C"/>
    <w:rsid w:val="00B90EB2"/>
    <w:rsid w:val="00B90EFA"/>
    <w:rsid w:val="00B910C2"/>
    <w:rsid w:val="00B91132"/>
    <w:rsid w:val="00B9114B"/>
    <w:rsid w:val="00B911AA"/>
    <w:rsid w:val="00B91313"/>
    <w:rsid w:val="00B91390"/>
    <w:rsid w:val="00B9159F"/>
    <w:rsid w:val="00B915BA"/>
    <w:rsid w:val="00B91688"/>
    <w:rsid w:val="00B91900"/>
    <w:rsid w:val="00B9194D"/>
    <w:rsid w:val="00B91B7F"/>
    <w:rsid w:val="00B91B88"/>
    <w:rsid w:val="00B91DEB"/>
    <w:rsid w:val="00B91F4F"/>
    <w:rsid w:val="00B92243"/>
    <w:rsid w:val="00B92459"/>
    <w:rsid w:val="00B925FC"/>
    <w:rsid w:val="00B926BF"/>
    <w:rsid w:val="00B928B2"/>
    <w:rsid w:val="00B92910"/>
    <w:rsid w:val="00B9296E"/>
    <w:rsid w:val="00B92995"/>
    <w:rsid w:val="00B92B09"/>
    <w:rsid w:val="00B92B30"/>
    <w:rsid w:val="00B92B3B"/>
    <w:rsid w:val="00B92CCE"/>
    <w:rsid w:val="00B92D5B"/>
    <w:rsid w:val="00B92D62"/>
    <w:rsid w:val="00B92D87"/>
    <w:rsid w:val="00B92DFF"/>
    <w:rsid w:val="00B92EB8"/>
    <w:rsid w:val="00B92EFA"/>
    <w:rsid w:val="00B93002"/>
    <w:rsid w:val="00B93066"/>
    <w:rsid w:val="00B93157"/>
    <w:rsid w:val="00B9316C"/>
    <w:rsid w:val="00B93179"/>
    <w:rsid w:val="00B932F6"/>
    <w:rsid w:val="00B93348"/>
    <w:rsid w:val="00B93366"/>
    <w:rsid w:val="00B9340C"/>
    <w:rsid w:val="00B935C3"/>
    <w:rsid w:val="00B935EB"/>
    <w:rsid w:val="00B9363B"/>
    <w:rsid w:val="00B9389C"/>
    <w:rsid w:val="00B93986"/>
    <w:rsid w:val="00B93A15"/>
    <w:rsid w:val="00B93A59"/>
    <w:rsid w:val="00B93B23"/>
    <w:rsid w:val="00B93BA0"/>
    <w:rsid w:val="00B93BE4"/>
    <w:rsid w:val="00B93D5E"/>
    <w:rsid w:val="00B93D7F"/>
    <w:rsid w:val="00B93E6E"/>
    <w:rsid w:val="00B941D8"/>
    <w:rsid w:val="00B94255"/>
    <w:rsid w:val="00B943BD"/>
    <w:rsid w:val="00B94443"/>
    <w:rsid w:val="00B94485"/>
    <w:rsid w:val="00B944A7"/>
    <w:rsid w:val="00B94523"/>
    <w:rsid w:val="00B9459E"/>
    <w:rsid w:val="00B945B1"/>
    <w:rsid w:val="00B9488D"/>
    <w:rsid w:val="00B948A8"/>
    <w:rsid w:val="00B94935"/>
    <w:rsid w:val="00B94A46"/>
    <w:rsid w:val="00B94CD5"/>
    <w:rsid w:val="00B94D48"/>
    <w:rsid w:val="00B94E93"/>
    <w:rsid w:val="00B94F28"/>
    <w:rsid w:val="00B95044"/>
    <w:rsid w:val="00B951EE"/>
    <w:rsid w:val="00B95379"/>
    <w:rsid w:val="00B953CF"/>
    <w:rsid w:val="00B95474"/>
    <w:rsid w:val="00B95626"/>
    <w:rsid w:val="00B95804"/>
    <w:rsid w:val="00B95817"/>
    <w:rsid w:val="00B9583C"/>
    <w:rsid w:val="00B95A09"/>
    <w:rsid w:val="00B95AE0"/>
    <w:rsid w:val="00B95C03"/>
    <w:rsid w:val="00B95C69"/>
    <w:rsid w:val="00B95E5F"/>
    <w:rsid w:val="00B9610C"/>
    <w:rsid w:val="00B961D7"/>
    <w:rsid w:val="00B964D8"/>
    <w:rsid w:val="00B965FC"/>
    <w:rsid w:val="00B9690A"/>
    <w:rsid w:val="00B96A40"/>
    <w:rsid w:val="00B96A8F"/>
    <w:rsid w:val="00B96D64"/>
    <w:rsid w:val="00B96DB9"/>
    <w:rsid w:val="00B96EC0"/>
    <w:rsid w:val="00B96F38"/>
    <w:rsid w:val="00B97183"/>
    <w:rsid w:val="00B97205"/>
    <w:rsid w:val="00B97264"/>
    <w:rsid w:val="00B972AB"/>
    <w:rsid w:val="00B973A1"/>
    <w:rsid w:val="00B973B1"/>
    <w:rsid w:val="00B97492"/>
    <w:rsid w:val="00B9762A"/>
    <w:rsid w:val="00B97710"/>
    <w:rsid w:val="00B9778F"/>
    <w:rsid w:val="00B97845"/>
    <w:rsid w:val="00B97966"/>
    <w:rsid w:val="00B97976"/>
    <w:rsid w:val="00B9798B"/>
    <w:rsid w:val="00B97BD5"/>
    <w:rsid w:val="00B97CBE"/>
    <w:rsid w:val="00B97CC9"/>
    <w:rsid w:val="00B97E3C"/>
    <w:rsid w:val="00B97F62"/>
    <w:rsid w:val="00B97F75"/>
    <w:rsid w:val="00BA0106"/>
    <w:rsid w:val="00BA042F"/>
    <w:rsid w:val="00BA0813"/>
    <w:rsid w:val="00BA084E"/>
    <w:rsid w:val="00BA08BA"/>
    <w:rsid w:val="00BA0ABE"/>
    <w:rsid w:val="00BA0B72"/>
    <w:rsid w:val="00BA0D58"/>
    <w:rsid w:val="00BA0E47"/>
    <w:rsid w:val="00BA0ED9"/>
    <w:rsid w:val="00BA0F31"/>
    <w:rsid w:val="00BA1029"/>
    <w:rsid w:val="00BA105C"/>
    <w:rsid w:val="00BA11DB"/>
    <w:rsid w:val="00BA1244"/>
    <w:rsid w:val="00BA1467"/>
    <w:rsid w:val="00BA14DA"/>
    <w:rsid w:val="00BA1693"/>
    <w:rsid w:val="00BA1A46"/>
    <w:rsid w:val="00BA1A6A"/>
    <w:rsid w:val="00BA1AFA"/>
    <w:rsid w:val="00BA1B0B"/>
    <w:rsid w:val="00BA1B79"/>
    <w:rsid w:val="00BA1B9B"/>
    <w:rsid w:val="00BA1BF8"/>
    <w:rsid w:val="00BA1BF9"/>
    <w:rsid w:val="00BA1E01"/>
    <w:rsid w:val="00BA1F09"/>
    <w:rsid w:val="00BA20F0"/>
    <w:rsid w:val="00BA22BD"/>
    <w:rsid w:val="00BA2351"/>
    <w:rsid w:val="00BA23AA"/>
    <w:rsid w:val="00BA23AC"/>
    <w:rsid w:val="00BA2418"/>
    <w:rsid w:val="00BA245C"/>
    <w:rsid w:val="00BA2670"/>
    <w:rsid w:val="00BA2697"/>
    <w:rsid w:val="00BA269A"/>
    <w:rsid w:val="00BA26D8"/>
    <w:rsid w:val="00BA2AC6"/>
    <w:rsid w:val="00BA2C42"/>
    <w:rsid w:val="00BA2CF6"/>
    <w:rsid w:val="00BA2DF5"/>
    <w:rsid w:val="00BA2E24"/>
    <w:rsid w:val="00BA2F3B"/>
    <w:rsid w:val="00BA2F9B"/>
    <w:rsid w:val="00BA3033"/>
    <w:rsid w:val="00BA304E"/>
    <w:rsid w:val="00BA3159"/>
    <w:rsid w:val="00BA31FA"/>
    <w:rsid w:val="00BA334F"/>
    <w:rsid w:val="00BA35D7"/>
    <w:rsid w:val="00BA37A2"/>
    <w:rsid w:val="00BA3882"/>
    <w:rsid w:val="00BA390C"/>
    <w:rsid w:val="00BA3B75"/>
    <w:rsid w:val="00BA3C26"/>
    <w:rsid w:val="00BA3D00"/>
    <w:rsid w:val="00BA3E33"/>
    <w:rsid w:val="00BA3FA2"/>
    <w:rsid w:val="00BA41F2"/>
    <w:rsid w:val="00BA4202"/>
    <w:rsid w:val="00BA441A"/>
    <w:rsid w:val="00BA4552"/>
    <w:rsid w:val="00BA4668"/>
    <w:rsid w:val="00BA4697"/>
    <w:rsid w:val="00BA4894"/>
    <w:rsid w:val="00BA48E1"/>
    <w:rsid w:val="00BA48F5"/>
    <w:rsid w:val="00BA4D31"/>
    <w:rsid w:val="00BA4F1F"/>
    <w:rsid w:val="00BA4F74"/>
    <w:rsid w:val="00BA50A1"/>
    <w:rsid w:val="00BA5194"/>
    <w:rsid w:val="00BA52A2"/>
    <w:rsid w:val="00BA5337"/>
    <w:rsid w:val="00BA536B"/>
    <w:rsid w:val="00BA5518"/>
    <w:rsid w:val="00BA5572"/>
    <w:rsid w:val="00BA5644"/>
    <w:rsid w:val="00BA56B9"/>
    <w:rsid w:val="00BA5854"/>
    <w:rsid w:val="00BA5E9F"/>
    <w:rsid w:val="00BA6046"/>
    <w:rsid w:val="00BA6259"/>
    <w:rsid w:val="00BA638D"/>
    <w:rsid w:val="00BA63AF"/>
    <w:rsid w:val="00BA63D3"/>
    <w:rsid w:val="00BA6455"/>
    <w:rsid w:val="00BA64DD"/>
    <w:rsid w:val="00BA64E1"/>
    <w:rsid w:val="00BA65D8"/>
    <w:rsid w:val="00BA65DB"/>
    <w:rsid w:val="00BA661B"/>
    <w:rsid w:val="00BA66D5"/>
    <w:rsid w:val="00BA6806"/>
    <w:rsid w:val="00BA6AA0"/>
    <w:rsid w:val="00BA6B19"/>
    <w:rsid w:val="00BA740B"/>
    <w:rsid w:val="00BA77BB"/>
    <w:rsid w:val="00BA7848"/>
    <w:rsid w:val="00BA7871"/>
    <w:rsid w:val="00BA79C5"/>
    <w:rsid w:val="00BA7AED"/>
    <w:rsid w:val="00BA7C22"/>
    <w:rsid w:val="00BA7E6C"/>
    <w:rsid w:val="00BA7FAB"/>
    <w:rsid w:val="00BB036E"/>
    <w:rsid w:val="00BB03B3"/>
    <w:rsid w:val="00BB04C6"/>
    <w:rsid w:val="00BB058C"/>
    <w:rsid w:val="00BB06A5"/>
    <w:rsid w:val="00BB072A"/>
    <w:rsid w:val="00BB089A"/>
    <w:rsid w:val="00BB0953"/>
    <w:rsid w:val="00BB09A5"/>
    <w:rsid w:val="00BB0BDE"/>
    <w:rsid w:val="00BB11EE"/>
    <w:rsid w:val="00BB1388"/>
    <w:rsid w:val="00BB13FC"/>
    <w:rsid w:val="00BB168A"/>
    <w:rsid w:val="00BB1952"/>
    <w:rsid w:val="00BB1A88"/>
    <w:rsid w:val="00BB1B2D"/>
    <w:rsid w:val="00BB1B84"/>
    <w:rsid w:val="00BB1C45"/>
    <w:rsid w:val="00BB1DE2"/>
    <w:rsid w:val="00BB1F33"/>
    <w:rsid w:val="00BB20DF"/>
    <w:rsid w:val="00BB2154"/>
    <w:rsid w:val="00BB2239"/>
    <w:rsid w:val="00BB2258"/>
    <w:rsid w:val="00BB23D4"/>
    <w:rsid w:val="00BB2588"/>
    <w:rsid w:val="00BB25CB"/>
    <w:rsid w:val="00BB2657"/>
    <w:rsid w:val="00BB2821"/>
    <w:rsid w:val="00BB2B0F"/>
    <w:rsid w:val="00BB2B4F"/>
    <w:rsid w:val="00BB2B89"/>
    <w:rsid w:val="00BB2D57"/>
    <w:rsid w:val="00BB2D5C"/>
    <w:rsid w:val="00BB2D93"/>
    <w:rsid w:val="00BB2F25"/>
    <w:rsid w:val="00BB3022"/>
    <w:rsid w:val="00BB3042"/>
    <w:rsid w:val="00BB3093"/>
    <w:rsid w:val="00BB31E8"/>
    <w:rsid w:val="00BB3313"/>
    <w:rsid w:val="00BB340A"/>
    <w:rsid w:val="00BB34A1"/>
    <w:rsid w:val="00BB3788"/>
    <w:rsid w:val="00BB399B"/>
    <w:rsid w:val="00BB3A79"/>
    <w:rsid w:val="00BB3B81"/>
    <w:rsid w:val="00BB3D05"/>
    <w:rsid w:val="00BB3F90"/>
    <w:rsid w:val="00BB3FAC"/>
    <w:rsid w:val="00BB409D"/>
    <w:rsid w:val="00BB426E"/>
    <w:rsid w:val="00BB4621"/>
    <w:rsid w:val="00BB4699"/>
    <w:rsid w:val="00BB497C"/>
    <w:rsid w:val="00BB499B"/>
    <w:rsid w:val="00BB49B9"/>
    <w:rsid w:val="00BB4A86"/>
    <w:rsid w:val="00BB4AAC"/>
    <w:rsid w:val="00BB4BE0"/>
    <w:rsid w:val="00BB4C15"/>
    <w:rsid w:val="00BB4CC8"/>
    <w:rsid w:val="00BB4EAC"/>
    <w:rsid w:val="00BB507A"/>
    <w:rsid w:val="00BB5234"/>
    <w:rsid w:val="00BB5641"/>
    <w:rsid w:val="00BB59EC"/>
    <w:rsid w:val="00BB5AAB"/>
    <w:rsid w:val="00BB601A"/>
    <w:rsid w:val="00BB6325"/>
    <w:rsid w:val="00BB63EF"/>
    <w:rsid w:val="00BB64B1"/>
    <w:rsid w:val="00BB64E8"/>
    <w:rsid w:val="00BB6687"/>
    <w:rsid w:val="00BB68C2"/>
    <w:rsid w:val="00BB696B"/>
    <w:rsid w:val="00BB69D1"/>
    <w:rsid w:val="00BB6A97"/>
    <w:rsid w:val="00BB6B7F"/>
    <w:rsid w:val="00BB6CD1"/>
    <w:rsid w:val="00BB705A"/>
    <w:rsid w:val="00BB7078"/>
    <w:rsid w:val="00BB732F"/>
    <w:rsid w:val="00BB778A"/>
    <w:rsid w:val="00BB794F"/>
    <w:rsid w:val="00BB796C"/>
    <w:rsid w:val="00BB7BFD"/>
    <w:rsid w:val="00BB7C8D"/>
    <w:rsid w:val="00BB7D29"/>
    <w:rsid w:val="00BB7EF4"/>
    <w:rsid w:val="00BB7F3E"/>
    <w:rsid w:val="00BB7FE3"/>
    <w:rsid w:val="00BC0045"/>
    <w:rsid w:val="00BC01BF"/>
    <w:rsid w:val="00BC030D"/>
    <w:rsid w:val="00BC0396"/>
    <w:rsid w:val="00BC055D"/>
    <w:rsid w:val="00BC067B"/>
    <w:rsid w:val="00BC06F2"/>
    <w:rsid w:val="00BC0954"/>
    <w:rsid w:val="00BC098B"/>
    <w:rsid w:val="00BC0CA6"/>
    <w:rsid w:val="00BC0D28"/>
    <w:rsid w:val="00BC0E12"/>
    <w:rsid w:val="00BC1220"/>
    <w:rsid w:val="00BC1353"/>
    <w:rsid w:val="00BC1513"/>
    <w:rsid w:val="00BC1B93"/>
    <w:rsid w:val="00BC1DB3"/>
    <w:rsid w:val="00BC1E96"/>
    <w:rsid w:val="00BC1EFC"/>
    <w:rsid w:val="00BC1FB8"/>
    <w:rsid w:val="00BC2165"/>
    <w:rsid w:val="00BC24B2"/>
    <w:rsid w:val="00BC2575"/>
    <w:rsid w:val="00BC26EA"/>
    <w:rsid w:val="00BC2716"/>
    <w:rsid w:val="00BC27AF"/>
    <w:rsid w:val="00BC280A"/>
    <w:rsid w:val="00BC2893"/>
    <w:rsid w:val="00BC296B"/>
    <w:rsid w:val="00BC29AF"/>
    <w:rsid w:val="00BC2AB3"/>
    <w:rsid w:val="00BC2C11"/>
    <w:rsid w:val="00BC2CE3"/>
    <w:rsid w:val="00BC2E21"/>
    <w:rsid w:val="00BC2F54"/>
    <w:rsid w:val="00BC3102"/>
    <w:rsid w:val="00BC320A"/>
    <w:rsid w:val="00BC330F"/>
    <w:rsid w:val="00BC3365"/>
    <w:rsid w:val="00BC33AC"/>
    <w:rsid w:val="00BC33D5"/>
    <w:rsid w:val="00BC35E7"/>
    <w:rsid w:val="00BC36B7"/>
    <w:rsid w:val="00BC38CD"/>
    <w:rsid w:val="00BC39C9"/>
    <w:rsid w:val="00BC3A94"/>
    <w:rsid w:val="00BC3B3A"/>
    <w:rsid w:val="00BC3CAA"/>
    <w:rsid w:val="00BC3F28"/>
    <w:rsid w:val="00BC406C"/>
    <w:rsid w:val="00BC4255"/>
    <w:rsid w:val="00BC436C"/>
    <w:rsid w:val="00BC43CB"/>
    <w:rsid w:val="00BC459A"/>
    <w:rsid w:val="00BC4886"/>
    <w:rsid w:val="00BC48CB"/>
    <w:rsid w:val="00BC49D6"/>
    <w:rsid w:val="00BC4A36"/>
    <w:rsid w:val="00BC4EA0"/>
    <w:rsid w:val="00BC4F04"/>
    <w:rsid w:val="00BC4F49"/>
    <w:rsid w:val="00BC50A7"/>
    <w:rsid w:val="00BC534F"/>
    <w:rsid w:val="00BC5560"/>
    <w:rsid w:val="00BC55A3"/>
    <w:rsid w:val="00BC55CC"/>
    <w:rsid w:val="00BC5A92"/>
    <w:rsid w:val="00BC5C67"/>
    <w:rsid w:val="00BC5EBE"/>
    <w:rsid w:val="00BC5F17"/>
    <w:rsid w:val="00BC5FED"/>
    <w:rsid w:val="00BC6138"/>
    <w:rsid w:val="00BC627D"/>
    <w:rsid w:val="00BC62DE"/>
    <w:rsid w:val="00BC63B3"/>
    <w:rsid w:val="00BC64E8"/>
    <w:rsid w:val="00BC64F3"/>
    <w:rsid w:val="00BC69EB"/>
    <w:rsid w:val="00BC6CEA"/>
    <w:rsid w:val="00BC6D9A"/>
    <w:rsid w:val="00BC6DAF"/>
    <w:rsid w:val="00BC6DBF"/>
    <w:rsid w:val="00BC6E09"/>
    <w:rsid w:val="00BC6FE0"/>
    <w:rsid w:val="00BC757B"/>
    <w:rsid w:val="00BC7810"/>
    <w:rsid w:val="00BC7A5A"/>
    <w:rsid w:val="00BC7AFD"/>
    <w:rsid w:val="00BC7B4C"/>
    <w:rsid w:val="00BC7C8B"/>
    <w:rsid w:val="00BC7DEA"/>
    <w:rsid w:val="00BC7E91"/>
    <w:rsid w:val="00BC7F46"/>
    <w:rsid w:val="00BC7F4F"/>
    <w:rsid w:val="00BC7FE6"/>
    <w:rsid w:val="00BD04AB"/>
    <w:rsid w:val="00BD0532"/>
    <w:rsid w:val="00BD056B"/>
    <w:rsid w:val="00BD05D1"/>
    <w:rsid w:val="00BD06D0"/>
    <w:rsid w:val="00BD0847"/>
    <w:rsid w:val="00BD0881"/>
    <w:rsid w:val="00BD0AF3"/>
    <w:rsid w:val="00BD0BF9"/>
    <w:rsid w:val="00BD0DA5"/>
    <w:rsid w:val="00BD0E5E"/>
    <w:rsid w:val="00BD0FDF"/>
    <w:rsid w:val="00BD10A9"/>
    <w:rsid w:val="00BD141E"/>
    <w:rsid w:val="00BD152F"/>
    <w:rsid w:val="00BD1611"/>
    <w:rsid w:val="00BD171A"/>
    <w:rsid w:val="00BD1964"/>
    <w:rsid w:val="00BD1ADB"/>
    <w:rsid w:val="00BD1C33"/>
    <w:rsid w:val="00BD1C3A"/>
    <w:rsid w:val="00BD1ED9"/>
    <w:rsid w:val="00BD1F5A"/>
    <w:rsid w:val="00BD1FE9"/>
    <w:rsid w:val="00BD235B"/>
    <w:rsid w:val="00BD239F"/>
    <w:rsid w:val="00BD247F"/>
    <w:rsid w:val="00BD2A19"/>
    <w:rsid w:val="00BD2AB9"/>
    <w:rsid w:val="00BD2BBF"/>
    <w:rsid w:val="00BD2D43"/>
    <w:rsid w:val="00BD2F64"/>
    <w:rsid w:val="00BD301A"/>
    <w:rsid w:val="00BD30DF"/>
    <w:rsid w:val="00BD3168"/>
    <w:rsid w:val="00BD318C"/>
    <w:rsid w:val="00BD32D1"/>
    <w:rsid w:val="00BD35DF"/>
    <w:rsid w:val="00BD35EC"/>
    <w:rsid w:val="00BD363E"/>
    <w:rsid w:val="00BD36E9"/>
    <w:rsid w:val="00BD3714"/>
    <w:rsid w:val="00BD3838"/>
    <w:rsid w:val="00BD3878"/>
    <w:rsid w:val="00BD399B"/>
    <w:rsid w:val="00BD39A3"/>
    <w:rsid w:val="00BD3A85"/>
    <w:rsid w:val="00BD3A8C"/>
    <w:rsid w:val="00BD3BFC"/>
    <w:rsid w:val="00BD3C4A"/>
    <w:rsid w:val="00BD3CCE"/>
    <w:rsid w:val="00BD3D08"/>
    <w:rsid w:val="00BD3F16"/>
    <w:rsid w:val="00BD3FD0"/>
    <w:rsid w:val="00BD4097"/>
    <w:rsid w:val="00BD437D"/>
    <w:rsid w:val="00BD43E8"/>
    <w:rsid w:val="00BD4624"/>
    <w:rsid w:val="00BD46F0"/>
    <w:rsid w:val="00BD4856"/>
    <w:rsid w:val="00BD4931"/>
    <w:rsid w:val="00BD4958"/>
    <w:rsid w:val="00BD4A39"/>
    <w:rsid w:val="00BD4A3C"/>
    <w:rsid w:val="00BD4C1D"/>
    <w:rsid w:val="00BD4E13"/>
    <w:rsid w:val="00BD4EDA"/>
    <w:rsid w:val="00BD4EE3"/>
    <w:rsid w:val="00BD4F56"/>
    <w:rsid w:val="00BD5364"/>
    <w:rsid w:val="00BD54B7"/>
    <w:rsid w:val="00BD551F"/>
    <w:rsid w:val="00BD5551"/>
    <w:rsid w:val="00BD5588"/>
    <w:rsid w:val="00BD55A9"/>
    <w:rsid w:val="00BD55B4"/>
    <w:rsid w:val="00BD5BB7"/>
    <w:rsid w:val="00BD5BF4"/>
    <w:rsid w:val="00BD5CD1"/>
    <w:rsid w:val="00BD5D20"/>
    <w:rsid w:val="00BD5DDE"/>
    <w:rsid w:val="00BD5E94"/>
    <w:rsid w:val="00BD5FB6"/>
    <w:rsid w:val="00BD6237"/>
    <w:rsid w:val="00BD63EF"/>
    <w:rsid w:val="00BD63F9"/>
    <w:rsid w:val="00BD653E"/>
    <w:rsid w:val="00BD69FB"/>
    <w:rsid w:val="00BD69FD"/>
    <w:rsid w:val="00BD6B19"/>
    <w:rsid w:val="00BD6C15"/>
    <w:rsid w:val="00BD6CF2"/>
    <w:rsid w:val="00BD6CF5"/>
    <w:rsid w:val="00BD72B3"/>
    <w:rsid w:val="00BD733F"/>
    <w:rsid w:val="00BD73E6"/>
    <w:rsid w:val="00BD74A6"/>
    <w:rsid w:val="00BD774B"/>
    <w:rsid w:val="00BD7782"/>
    <w:rsid w:val="00BD7984"/>
    <w:rsid w:val="00BD7C04"/>
    <w:rsid w:val="00BD7C62"/>
    <w:rsid w:val="00BD7CC3"/>
    <w:rsid w:val="00BD7D9E"/>
    <w:rsid w:val="00BD7EF3"/>
    <w:rsid w:val="00BE007A"/>
    <w:rsid w:val="00BE00FD"/>
    <w:rsid w:val="00BE03AF"/>
    <w:rsid w:val="00BE04A4"/>
    <w:rsid w:val="00BE06B6"/>
    <w:rsid w:val="00BE06E0"/>
    <w:rsid w:val="00BE07E3"/>
    <w:rsid w:val="00BE0966"/>
    <w:rsid w:val="00BE0E68"/>
    <w:rsid w:val="00BE0EE8"/>
    <w:rsid w:val="00BE0FB6"/>
    <w:rsid w:val="00BE10E4"/>
    <w:rsid w:val="00BE1168"/>
    <w:rsid w:val="00BE1203"/>
    <w:rsid w:val="00BE138E"/>
    <w:rsid w:val="00BE1452"/>
    <w:rsid w:val="00BE14A9"/>
    <w:rsid w:val="00BE1542"/>
    <w:rsid w:val="00BE16D9"/>
    <w:rsid w:val="00BE177B"/>
    <w:rsid w:val="00BE186C"/>
    <w:rsid w:val="00BE1887"/>
    <w:rsid w:val="00BE1B45"/>
    <w:rsid w:val="00BE1BCC"/>
    <w:rsid w:val="00BE1CF9"/>
    <w:rsid w:val="00BE1E08"/>
    <w:rsid w:val="00BE1E5B"/>
    <w:rsid w:val="00BE1E9E"/>
    <w:rsid w:val="00BE225F"/>
    <w:rsid w:val="00BE22CC"/>
    <w:rsid w:val="00BE24BD"/>
    <w:rsid w:val="00BE259D"/>
    <w:rsid w:val="00BE262E"/>
    <w:rsid w:val="00BE278F"/>
    <w:rsid w:val="00BE27AB"/>
    <w:rsid w:val="00BE286B"/>
    <w:rsid w:val="00BE2890"/>
    <w:rsid w:val="00BE2965"/>
    <w:rsid w:val="00BE29EC"/>
    <w:rsid w:val="00BE2BEB"/>
    <w:rsid w:val="00BE2C00"/>
    <w:rsid w:val="00BE2C4F"/>
    <w:rsid w:val="00BE2E58"/>
    <w:rsid w:val="00BE2F60"/>
    <w:rsid w:val="00BE3262"/>
    <w:rsid w:val="00BE3366"/>
    <w:rsid w:val="00BE3481"/>
    <w:rsid w:val="00BE362E"/>
    <w:rsid w:val="00BE394C"/>
    <w:rsid w:val="00BE3AD2"/>
    <w:rsid w:val="00BE3B33"/>
    <w:rsid w:val="00BE3BF4"/>
    <w:rsid w:val="00BE3C32"/>
    <w:rsid w:val="00BE3C67"/>
    <w:rsid w:val="00BE3D7F"/>
    <w:rsid w:val="00BE3F94"/>
    <w:rsid w:val="00BE4117"/>
    <w:rsid w:val="00BE41D0"/>
    <w:rsid w:val="00BE4260"/>
    <w:rsid w:val="00BE42D0"/>
    <w:rsid w:val="00BE4396"/>
    <w:rsid w:val="00BE441F"/>
    <w:rsid w:val="00BE44EA"/>
    <w:rsid w:val="00BE47E5"/>
    <w:rsid w:val="00BE4825"/>
    <w:rsid w:val="00BE4A54"/>
    <w:rsid w:val="00BE4BF7"/>
    <w:rsid w:val="00BE503B"/>
    <w:rsid w:val="00BE5090"/>
    <w:rsid w:val="00BE51C4"/>
    <w:rsid w:val="00BE52CE"/>
    <w:rsid w:val="00BE554E"/>
    <w:rsid w:val="00BE5896"/>
    <w:rsid w:val="00BE58A8"/>
    <w:rsid w:val="00BE59E2"/>
    <w:rsid w:val="00BE5AA3"/>
    <w:rsid w:val="00BE5CCB"/>
    <w:rsid w:val="00BE5E84"/>
    <w:rsid w:val="00BE5F16"/>
    <w:rsid w:val="00BE6055"/>
    <w:rsid w:val="00BE6086"/>
    <w:rsid w:val="00BE61FF"/>
    <w:rsid w:val="00BE63AB"/>
    <w:rsid w:val="00BE63EE"/>
    <w:rsid w:val="00BE6742"/>
    <w:rsid w:val="00BE69AE"/>
    <w:rsid w:val="00BE69D1"/>
    <w:rsid w:val="00BE6C1E"/>
    <w:rsid w:val="00BE6CCB"/>
    <w:rsid w:val="00BE6DE9"/>
    <w:rsid w:val="00BE6E5E"/>
    <w:rsid w:val="00BE70B0"/>
    <w:rsid w:val="00BE712D"/>
    <w:rsid w:val="00BE7177"/>
    <w:rsid w:val="00BE7391"/>
    <w:rsid w:val="00BE7554"/>
    <w:rsid w:val="00BE758E"/>
    <w:rsid w:val="00BE770B"/>
    <w:rsid w:val="00BE7A98"/>
    <w:rsid w:val="00BE7BE8"/>
    <w:rsid w:val="00BE7C99"/>
    <w:rsid w:val="00BF00BE"/>
    <w:rsid w:val="00BF01B8"/>
    <w:rsid w:val="00BF043C"/>
    <w:rsid w:val="00BF05CD"/>
    <w:rsid w:val="00BF06C1"/>
    <w:rsid w:val="00BF06E5"/>
    <w:rsid w:val="00BF0B14"/>
    <w:rsid w:val="00BF0B6F"/>
    <w:rsid w:val="00BF0CF3"/>
    <w:rsid w:val="00BF0D75"/>
    <w:rsid w:val="00BF0D9F"/>
    <w:rsid w:val="00BF0DD3"/>
    <w:rsid w:val="00BF0E12"/>
    <w:rsid w:val="00BF0E13"/>
    <w:rsid w:val="00BF0FA8"/>
    <w:rsid w:val="00BF112E"/>
    <w:rsid w:val="00BF12BA"/>
    <w:rsid w:val="00BF12F6"/>
    <w:rsid w:val="00BF13B2"/>
    <w:rsid w:val="00BF13C5"/>
    <w:rsid w:val="00BF13D1"/>
    <w:rsid w:val="00BF13DA"/>
    <w:rsid w:val="00BF14BB"/>
    <w:rsid w:val="00BF1650"/>
    <w:rsid w:val="00BF170D"/>
    <w:rsid w:val="00BF17BA"/>
    <w:rsid w:val="00BF17DB"/>
    <w:rsid w:val="00BF1842"/>
    <w:rsid w:val="00BF191B"/>
    <w:rsid w:val="00BF1A9E"/>
    <w:rsid w:val="00BF1F7F"/>
    <w:rsid w:val="00BF2087"/>
    <w:rsid w:val="00BF21E9"/>
    <w:rsid w:val="00BF2218"/>
    <w:rsid w:val="00BF2259"/>
    <w:rsid w:val="00BF22D1"/>
    <w:rsid w:val="00BF2348"/>
    <w:rsid w:val="00BF249D"/>
    <w:rsid w:val="00BF250A"/>
    <w:rsid w:val="00BF25CF"/>
    <w:rsid w:val="00BF25FE"/>
    <w:rsid w:val="00BF268A"/>
    <w:rsid w:val="00BF2707"/>
    <w:rsid w:val="00BF290D"/>
    <w:rsid w:val="00BF294B"/>
    <w:rsid w:val="00BF29F5"/>
    <w:rsid w:val="00BF2AF0"/>
    <w:rsid w:val="00BF2C86"/>
    <w:rsid w:val="00BF2D1F"/>
    <w:rsid w:val="00BF2D50"/>
    <w:rsid w:val="00BF3142"/>
    <w:rsid w:val="00BF3212"/>
    <w:rsid w:val="00BF3225"/>
    <w:rsid w:val="00BF3248"/>
    <w:rsid w:val="00BF3549"/>
    <w:rsid w:val="00BF359E"/>
    <w:rsid w:val="00BF388A"/>
    <w:rsid w:val="00BF3B42"/>
    <w:rsid w:val="00BF3B7C"/>
    <w:rsid w:val="00BF3BD8"/>
    <w:rsid w:val="00BF3BFB"/>
    <w:rsid w:val="00BF3CC0"/>
    <w:rsid w:val="00BF41F8"/>
    <w:rsid w:val="00BF4270"/>
    <w:rsid w:val="00BF4494"/>
    <w:rsid w:val="00BF4544"/>
    <w:rsid w:val="00BF479B"/>
    <w:rsid w:val="00BF482D"/>
    <w:rsid w:val="00BF48C0"/>
    <w:rsid w:val="00BF48C8"/>
    <w:rsid w:val="00BF494F"/>
    <w:rsid w:val="00BF4980"/>
    <w:rsid w:val="00BF498F"/>
    <w:rsid w:val="00BF4A50"/>
    <w:rsid w:val="00BF4ADF"/>
    <w:rsid w:val="00BF4AE9"/>
    <w:rsid w:val="00BF4B11"/>
    <w:rsid w:val="00BF4B8F"/>
    <w:rsid w:val="00BF510E"/>
    <w:rsid w:val="00BF51A9"/>
    <w:rsid w:val="00BF5355"/>
    <w:rsid w:val="00BF5AC7"/>
    <w:rsid w:val="00BF5AF4"/>
    <w:rsid w:val="00BF5BFF"/>
    <w:rsid w:val="00BF5F82"/>
    <w:rsid w:val="00BF603B"/>
    <w:rsid w:val="00BF60C7"/>
    <w:rsid w:val="00BF60F1"/>
    <w:rsid w:val="00BF6158"/>
    <w:rsid w:val="00BF619C"/>
    <w:rsid w:val="00BF6218"/>
    <w:rsid w:val="00BF624B"/>
    <w:rsid w:val="00BF665D"/>
    <w:rsid w:val="00BF685A"/>
    <w:rsid w:val="00BF69D9"/>
    <w:rsid w:val="00BF6B98"/>
    <w:rsid w:val="00BF6C46"/>
    <w:rsid w:val="00BF6D39"/>
    <w:rsid w:val="00BF6E00"/>
    <w:rsid w:val="00BF6E1C"/>
    <w:rsid w:val="00BF6EF4"/>
    <w:rsid w:val="00BF71ED"/>
    <w:rsid w:val="00BF729B"/>
    <w:rsid w:val="00BF72AE"/>
    <w:rsid w:val="00BF72C2"/>
    <w:rsid w:val="00BF7362"/>
    <w:rsid w:val="00BF751E"/>
    <w:rsid w:val="00BF77D1"/>
    <w:rsid w:val="00BF77FE"/>
    <w:rsid w:val="00BF7B73"/>
    <w:rsid w:val="00BF7C51"/>
    <w:rsid w:val="00BF7D97"/>
    <w:rsid w:val="00BF7E4E"/>
    <w:rsid w:val="00C0021F"/>
    <w:rsid w:val="00C002A0"/>
    <w:rsid w:val="00C0048B"/>
    <w:rsid w:val="00C005C9"/>
    <w:rsid w:val="00C00699"/>
    <w:rsid w:val="00C0074F"/>
    <w:rsid w:val="00C00974"/>
    <w:rsid w:val="00C00A65"/>
    <w:rsid w:val="00C00E16"/>
    <w:rsid w:val="00C00F51"/>
    <w:rsid w:val="00C01028"/>
    <w:rsid w:val="00C010B3"/>
    <w:rsid w:val="00C0131B"/>
    <w:rsid w:val="00C01528"/>
    <w:rsid w:val="00C01600"/>
    <w:rsid w:val="00C01758"/>
    <w:rsid w:val="00C017D6"/>
    <w:rsid w:val="00C01ADC"/>
    <w:rsid w:val="00C01B3A"/>
    <w:rsid w:val="00C01C6B"/>
    <w:rsid w:val="00C01CEC"/>
    <w:rsid w:val="00C01E82"/>
    <w:rsid w:val="00C020C9"/>
    <w:rsid w:val="00C020D6"/>
    <w:rsid w:val="00C021F5"/>
    <w:rsid w:val="00C023E5"/>
    <w:rsid w:val="00C02630"/>
    <w:rsid w:val="00C02673"/>
    <w:rsid w:val="00C02683"/>
    <w:rsid w:val="00C027AC"/>
    <w:rsid w:val="00C02D52"/>
    <w:rsid w:val="00C02D9E"/>
    <w:rsid w:val="00C02FCA"/>
    <w:rsid w:val="00C03021"/>
    <w:rsid w:val="00C03077"/>
    <w:rsid w:val="00C033AC"/>
    <w:rsid w:val="00C034C5"/>
    <w:rsid w:val="00C037D1"/>
    <w:rsid w:val="00C037E1"/>
    <w:rsid w:val="00C038BE"/>
    <w:rsid w:val="00C03983"/>
    <w:rsid w:val="00C03A9F"/>
    <w:rsid w:val="00C03AB0"/>
    <w:rsid w:val="00C03B89"/>
    <w:rsid w:val="00C03CAB"/>
    <w:rsid w:val="00C03CFB"/>
    <w:rsid w:val="00C03D61"/>
    <w:rsid w:val="00C03D75"/>
    <w:rsid w:val="00C03E28"/>
    <w:rsid w:val="00C04265"/>
    <w:rsid w:val="00C04306"/>
    <w:rsid w:val="00C043E4"/>
    <w:rsid w:val="00C04619"/>
    <w:rsid w:val="00C04684"/>
    <w:rsid w:val="00C04B36"/>
    <w:rsid w:val="00C04B56"/>
    <w:rsid w:val="00C04F0F"/>
    <w:rsid w:val="00C05037"/>
    <w:rsid w:val="00C050E2"/>
    <w:rsid w:val="00C05138"/>
    <w:rsid w:val="00C0541C"/>
    <w:rsid w:val="00C0542F"/>
    <w:rsid w:val="00C0552B"/>
    <w:rsid w:val="00C05589"/>
    <w:rsid w:val="00C055CB"/>
    <w:rsid w:val="00C056C8"/>
    <w:rsid w:val="00C058FD"/>
    <w:rsid w:val="00C059D0"/>
    <w:rsid w:val="00C05C1A"/>
    <w:rsid w:val="00C05CF7"/>
    <w:rsid w:val="00C05E9C"/>
    <w:rsid w:val="00C05F44"/>
    <w:rsid w:val="00C06339"/>
    <w:rsid w:val="00C0645E"/>
    <w:rsid w:val="00C064F0"/>
    <w:rsid w:val="00C064F4"/>
    <w:rsid w:val="00C065B6"/>
    <w:rsid w:val="00C066BA"/>
    <w:rsid w:val="00C06771"/>
    <w:rsid w:val="00C06833"/>
    <w:rsid w:val="00C068A5"/>
    <w:rsid w:val="00C06967"/>
    <w:rsid w:val="00C06A45"/>
    <w:rsid w:val="00C06A5A"/>
    <w:rsid w:val="00C06AC9"/>
    <w:rsid w:val="00C06B60"/>
    <w:rsid w:val="00C06CEB"/>
    <w:rsid w:val="00C0702B"/>
    <w:rsid w:val="00C07539"/>
    <w:rsid w:val="00C0777D"/>
    <w:rsid w:val="00C0778C"/>
    <w:rsid w:val="00C07872"/>
    <w:rsid w:val="00C07901"/>
    <w:rsid w:val="00C07940"/>
    <w:rsid w:val="00C07A70"/>
    <w:rsid w:val="00C07D7B"/>
    <w:rsid w:val="00C07D87"/>
    <w:rsid w:val="00C07DE1"/>
    <w:rsid w:val="00C07EBB"/>
    <w:rsid w:val="00C07F67"/>
    <w:rsid w:val="00C07F75"/>
    <w:rsid w:val="00C0C6F2"/>
    <w:rsid w:val="00C101D3"/>
    <w:rsid w:val="00C102AC"/>
    <w:rsid w:val="00C10373"/>
    <w:rsid w:val="00C103A0"/>
    <w:rsid w:val="00C103A2"/>
    <w:rsid w:val="00C10521"/>
    <w:rsid w:val="00C1080D"/>
    <w:rsid w:val="00C108AE"/>
    <w:rsid w:val="00C109D6"/>
    <w:rsid w:val="00C10A83"/>
    <w:rsid w:val="00C10F18"/>
    <w:rsid w:val="00C10FEA"/>
    <w:rsid w:val="00C110C7"/>
    <w:rsid w:val="00C111FE"/>
    <w:rsid w:val="00C11310"/>
    <w:rsid w:val="00C114CA"/>
    <w:rsid w:val="00C11557"/>
    <w:rsid w:val="00C11682"/>
    <w:rsid w:val="00C1176D"/>
    <w:rsid w:val="00C117C5"/>
    <w:rsid w:val="00C11846"/>
    <w:rsid w:val="00C118A6"/>
    <w:rsid w:val="00C118D0"/>
    <w:rsid w:val="00C118EA"/>
    <w:rsid w:val="00C11A59"/>
    <w:rsid w:val="00C11ACB"/>
    <w:rsid w:val="00C11C7E"/>
    <w:rsid w:val="00C11CF6"/>
    <w:rsid w:val="00C11D7A"/>
    <w:rsid w:val="00C11EED"/>
    <w:rsid w:val="00C11FC9"/>
    <w:rsid w:val="00C1201E"/>
    <w:rsid w:val="00C12267"/>
    <w:rsid w:val="00C122F9"/>
    <w:rsid w:val="00C1248C"/>
    <w:rsid w:val="00C12654"/>
    <w:rsid w:val="00C12767"/>
    <w:rsid w:val="00C1298B"/>
    <w:rsid w:val="00C12C23"/>
    <w:rsid w:val="00C12D9D"/>
    <w:rsid w:val="00C12E52"/>
    <w:rsid w:val="00C12FD4"/>
    <w:rsid w:val="00C1304E"/>
    <w:rsid w:val="00C13146"/>
    <w:rsid w:val="00C132AA"/>
    <w:rsid w:val="00C13321"/>
    <w:rsid w:val="00C13435"/>
    <w:rsid w:val="00C1360F"/>
    <w:rsid w:val="00C13798"/>
    <w:rsid w:val="00C137D5"/>
    <w:rsid w:val="00C138CA"/>
    <w:rsid w:val="00C1397E"/>
    <w:rsid w:val="00C13B8E"/>
    <w:rsid w:val="00C13C6C"/>
    <w:rsid w:val="00C14008"/>
    <w:rsid w:val="00C14073"/>
    <w:rsid w:val="00C1425E"/>
    <w:rsid w:val="00C142A9"/>
    <w:rsid w:val="00C142CF"/>
    <w:rsid w:val="00C1431F"/>
    <w:rsid w:val="00C1445F"/>
    <w:rsid w:val="00C1459F"/>
    <w:rsid w:val="00C145AE"/>
    <w:rsid w:val="00C1460F"/>
    <w:rsid w:val="00C1470C"/>
    <w:rsid w:val="00C14721"/>
    <w:rsid w:val="00C1473A"/>
    <w:rsid w:val="00C14752"/>
    <w:rsid w:val="00C147DB"/>
    <w:rsid w:val="00C1481C"/>
    <w:rsid w:val="00C1489F"/>
    <w:rsid w:val="00C1490D"/>
    <w:rsid w:val="00C14927"/>
    <w:rsid w:val="00C14975"/>
    <w:rsid w:val="00C14A7F"/>
    <w:rsid w:val="00C14B87"/>
    <w:rsid w:val="00C14BB6"/>
    <w:rsid w:val="00C14C1D"/>
    <w:rsid w:val="00C14D0B"/>
    <w:rsid w:val="00C14D11"/>
    <w:rsid w:val="00C14E15"/>
    <w:rsid w:val="00C14EFD"/>
    <w:rsid w:val="00C14F62"/>
    <w:rsid w:val="00C1508C"/>
    <w:rsid w:val="00C15137"/>
    <w:rsid w:val="00C1528F"/>
    <w:rsid w:val="00C153D2"/>
    <w:rsid w:val="00C154AD"/>
    <w:rsid w:val="00C15703"/>
    <w:rsid w:val="00C157BF"/>
    <w:rsid w:val="00C15990"/>
    <w:rsid w:val="00C15999"/>
    <w:rsid w:val="00C159FD"/>
    <w:rsid w:val="00C15A6A"/>
    <w:rsid w:val="00C15D80"/>
    <w:rsid w:val="00C15F03"/>
    <w:rsid w:val="00C1600D"/>
    <w:rsid w:val="00C16014"/>
    <w:rsid w:val="00C161AA"/>
    <w:rsid w:val="00C161E3"/>
    <w:rsid w:val="00C16397"/>
    <w:rsid w:val="00C1642B"/>
    <w:rsid w:val="00C1662D"/>
    <w:rsid w:val="00C168D5"/>
    <w:rsid w:val="00C16B65"/>
    <w:rsid w:val="00C16B83"/>
    <w:rsid w:val="00C16B86"/>
    <w:rsid w:val="00C16B9F"/>
    <w:rsid w:val="00C16D47"/>
    <w:rsid w:val="00C16DB9"/>
    <w:rsid w:val="00C16ECC"/>
    <w:rsid w:val="00C1702D"/>
    <w:rsid w:val="00C17091"/>
    <w:rsid w:val="00C170A2"/>
    <w:rsid w:val="00C170D1"/>
    <w:rsid w:val="00C171BD"/>
    <w:rsid w:val="00C171F3"/>
    <w:rsid w:val="00C17384"/>
    <w:rsid w:val="00C17746"/>
    <w:rsid w:val="00C17848"/>
    <w:rsid w:val="00C17895"/>
    <w:rsid w:val="00C178F7"/>
    <w:rsid w:val="00C17990"/>
    <w:rsid w:val="00C17A6B"/>
    <w:rsid w:val="00C17D54"/>
    <w:rsid w:val="00C17E3A"/>
    <w:rsid w:val="00C17F00"/>
    <w:rsid w:val="00C17F11"/>
    <w:rsid w:val="00C20000"/>
    <w:rsid w:val="00C201D5"/>
    <w:rsid w:val="00C201F8"/>
    <w:rsid w:val="00C20351"/>
    <w:rsid w:val="00C2043A"/>
    <w:rsid w:val="00C20736"/>
    <w:rsid w:val="00C2076A"/>
    <w:rsid w:val="00C2090B"/>
    <w:rsid w:val="00C20AC3"/>
    <w:rsid w:val="00C20C6D"/>
    <w:rsid w:val="00C20CF4"/>
    <w:rsid w:val="00C20D5B"/>
    <w:rsid w:val="00C20E43"/>
    <w:rsid w:val="00C20EE9"/>
    <w:rsid w:val="00C2101F"/>
    <w:rsid w:val="00C210A0"/>
    <w:rsid w:val="00C213EE"/>
    <w:rsid w:val="00C21447"/>
    <w:rsid w:val="00C215ED"/>
    <w:rsid w:val="00C21632"/>
    <w:rsid w:val="00C216A3"/>
    <w:rsid w:val="00C21B6E"/>
    <w:rsid w:val="00C21BBF"/>
    <w:rsid w:val="00C21D4F"/>
    <w:rsid w:val="00C21E3C"/>
    <w:rsid w:val="00C21EA7"/>
    <w:rsid w:val="00C22009"/>
    <w:rsid w:val="00C222C1"/>
    <w:rsid w:val="00C222FD"/>
    <w:rsid w:val="00C2238D"/>
    <w:rsid w:val="00C225CE"/>
    <w:rsid w:val="00C227AD"/>
    <w:rsid w:val="00C2289B"/>
    <w:rsid w:val="00C22A07"/>
    <w:rsid w:val="00C22AA2"/>
    <w:rsid w:val="00C22BAC"/>
    <w:rsid w:val="00C22D8D"/>
    <w:rsid w:val="00C22DA9"/>
    <w:rsid w:val="00C22E38"/>
    <w:rsid w:val="00C22E55"/>
    <w:rsid w:val="00C22EB6"/>
    <w:rsid w:val="00C23069"/>
    <w:rsid w:val="00C231C4"/>
    <w:rsid w:val="00C2329A"/>
    <w:rsid w:val="00C232D6"/>
    <w:rsid w:val="00C23337"/>
    <w:rsid w:val="00C233BA"/>
    <w:rsid w:val="00C2356B"/>
    <w:rsid w:val="00C23658"/>
    <w:rsid w:val="00C239B0"/>
    <w:rsid w:val="00C23A54"/>
    <w:rsid w:val="00C23C73"/>
    <w:rsid w:val="00C23F5C"/>
    <w:rsid w:val="00C240E0"/>
    <w:rsid w:val="00C242A5"/>
    <w:rsid w:val="00C242B7"/>
    <w:rsid w:val="00C2438F"/>
    <w:rsid w:val="00C245DD"/>
    <w:rsid w:val="00C24609"/>
    <w:rsid w:val="00C24777"/>
    <w:rsid w:val="00C24839"/>
    <w:rsid w:val="00C24ADB"/>
    <w:rsid w:val="00C252F1"/>
    <w:rsid w:val="00C253AB"/>
    <w:rsid w:val="00C254F7"/>
    <w:rsid w:val="00C25819"/>
    <w:rsid w:val="00C25883"/>
    <w:rsid w:val="00C258B2"/>
    <w:rsid w:val="00C25B3A"/>
    <w:rsid w:val="00C25CED"/>
    <w:rsid w:val="00C25E81"/>
    <w:rsid w:val="00C26031"/>
    <w:rsid w:val="00C260CE"/>
    <w:rsid w:val="00C26144"/>
    <w:rsid w:val="00C26263"/>
    <w:rsid w:val="00C26529"/>
    <w:rsid w:val="00C26530"/>
    <w:rsid w:val="00C26554"/>
    <w:rsid w:val="00C266E2"/>
    <w:rsid w:val="00C266F9"/>
    <w:rsid w:val="00C2676F"/>
    <w:rsid w:val="00C268CE"/>
    <w:rsid w:val="00C26965"/>
    <w:rsid w:val="00C26967"/>
    <w:rsid w:val="00C26A7D"/>
    <w:rsid w:val="00C26B88"/>
    <w:rsid w:val="00C26FCC"/>
    <w:rsid w:val="00C26FD9"/>
    <w:rsid w:val="00C27142"/>
    <w:rsid w:val="00C272A4"/>
    <w:rsid w:val="00C272E1"/>
    <w:rsid w:val="00C27382"/>
    <w:rsid w:val="00C27391"/>
    <w:rsid w:val="00C27460"/>
    <w:rsid w:val="00C274AE"/>
    <w:rsid w:val="00C275B3"/>
    <w:rsid w:val="00C275D7"/>
    <w:rsid w:val="00C27621"/>
    <w:rsid w:val="00C27696"/>
    <w:rsid w:val="00C276E0"/>
    <w:rsid w:val="00C276FB"/>
    <w:rsid w:val="00C27790"/>
    <w:rsid w:val="00C277DB"/>
    <w:rsid w:val="00C278DD"/>
    <w:rsid w:val="00C278E7"/>
    <w:rsid w:val="00C27971"/>
    <w:rsid w:val="00C27A1A"/>
    <w:rsid w:val="00C27D57"/>
    <w:rsid w:val="00C27E8B"/>
    <w:rsid w:val="00C27E96"/>
    <w:rsid w:val="00C30353"/>
    <w:rsid w:val="00C306C5"/>
    <w:rsid w:val="00C3096C"/>
    <w:rsid w:val="00C309D7"/>
    <w:rsid w:val="00C30A0B"/>
    <w:rsid w:val="00C30B86"/>
    <w:rsid w:val="00C30DA0"/>
    <w:rsid w:val="00C31095"/>
    <w:rsid w:val="00C31411"/>
    <w:rsid w:val="00C3142B"/>
    <w:rsid w:val="00C31453"/>
    <w:rsid w:val="00C314AF"/>
    <w:rsid w:val="00C31526"/>
    <w:rsid w:val="00C31620"/>
    <w:rsid w:val="00C31659"/>
    <w:rsid w:val="00C316DD"/>
    <w:rsid w:val="00C31879"/>
    <w:rsid w:val="00C31990"/>
    <w:rsid w:val="00C31BA1"/>
    <w:rsid w:val="00C31C20"/>
    <w:rsid w:val="00C31D06"/>
    <w:rsid w:val="00C31ED1"/>
    <w:rsid w:val="00C31ED9"/>
    <w:rsid w:val="00C32006"/>
    <w:rsid w:val="00C320F3"/>
    <w:rsid w:val="00C32114"/>
    <w:rsid w:val="00C321F9"/>
    <w:rsid w:val="00C32279"/>
    <w:rsid w:val="00C3234E"/>
    <w:rsid w:val="00C32368"/>
    <w:rsid w:val="00C323EB"/>
    <w:rsid w:val="00C3242B"/>
    <w:rsid w:val="00C32467"/>
    <w:rsid w:val="00C324D0"/>
    <w:rsid w:val="00C3265D"/>
    <w:rsid w:val="00C327F2"/>
    <w:rsid w:val="00C328DB"/>
    <w:rsid w:val="00C32960"/>
    <w:rsid w:val="00C32A2E"/>
    <w:rsid w:val="00C32A2F"/>
    <w:rsid w:val="00C32A42"/>
    <w:rsid w:val="00C32A50"/>
    <w:rsid w:val="00C32A56"/>
    <w:rsid w:val="00C32B0F"/>
    <w:rsid w:val="00C32EEA"/>
    <w:rsid w:val="00C3313A"/>
    <w:rsid w:val="00C3317F"/>
    <w:rsid w:val="00C331A9"/>
    <w:rsid w:val="00C3321C"/>
    <w:rsid w:val="00C33430"/>
    <w:rsid w:val="00C335D2"/>
    <w:rsid w:val="00C3365D"/>
    <w:rsid w:val="00C336B5"/>
    <w:rsid w:val="00C336B7"/>
    <w:rsid w:val="00C33C06"/>
    <w:rsid w:val="00C33DC4"/>
    <w:rsid w:val="00C33FB8"/>
    <w:rsid w:val="00C34041"/>
    <w:rsid w:val="00C340B4"/>
    <w:rsid w:val="00C340DB"/>
    <w:rsid w:val="00C341A0"/>
    <w:rsid w:val="00C342C0"/>
    <w:rsid w:val="00C34384"/>
    <w:rsid w:val="00C34469"/>
    <w:rsid w:val="00C34538"/>
    <w:rsid w:val="00C34574"/>
    <w:rsid w:val="00C3463E"/>
    <w:rsid w:val="00C346D2"/>
    <w:rsid w:val="00C346F2"/>
    <w:rsid w:val="00C347CC"/>
    <w:rsid w:val="00C34893"/>
    <w:rsid w:val="00C34972"/>
    <w:rsid w:val="00C34A6E"/>
    <w:rsid w:val="00C34ACC"/>
    <w:rsid w:val="00C34BEA"/>
    <w:rsid w:val="00C34C3C"/>
    <w:rsid w:val="00C34E92"/>
    <w:rsid w:val="00C34F92"/>
    <w:rsid w:val="00C350C5"/>
    <w:rsid w:val="00C35152"/>
    <w:rsid w:val="00C353E1"/>
    <w:rsid w:val="00C353ED"/>
    <w:rsid w:val="00C3546D"/>
    <w:rsid w:val="00C3548F"/>
    <w:rsid w:val="00C3549B"/>
    <w:rsid w:val="00C354C7"/>
    <w:rsid w:val="00C354D3"/>
    <w:rsid w:val="00C35568"/>
    <w:rsid w:val="00C35701"/>
    <w:rsid w:val="00C35823"/>
    <w:rsid w:val="00C358C3"/>
    <w:rsid w:val="00C3591B"/>
    <w:rsid w:val="00C3591F"/>
    <w:rsid w:val="00C3592B"/>
    <w:rsid w:val="00C359E4"/>
    <w:rsid w:val="00C35A18"/>
    <w:rsid w:val="00C35A52"/>
    <w:rsid w:val="00C35B0F"/>
    <w:rsid w:val="00C35DD5"/>
    <w:rsid w:val="00C35DFC"/>
    <w:rsid w:val="00C35E1E"/>
    <w:rsid w:val="00C35E24"/>
    <w:rsid w:val="00C36392"/>
    <w:rsid w:val="00C363F3"/>
    <w:rsid w:val="00C36457"/>
    <w:rsid w:val="00C36523"/>
    <w:rsid w:val="00C36598"/>
    <w:rsid w:val="00C36671"/>
    <w:rsid w:val="00C369B3"/>
    <w:rsid w:val="00C36BDF"/>
    <w:rsid w:val="00C36C52"/>
    <w:rsid w:val="00C36C73"/>
    <w:rsid w:val="00C36D8A"/>
    <w:rsid w:val="00C36DCD"/>
    <w:rsid w:val="00C36F1B"/>
    <w:rsid w:val="00C3754F"/>
    <w:rsid w:val="00C375BB"/>
    <w:rsid w:val="00C37828"/>
    <w:rsid w:val="00C3786E"/>
    <w:rsid w:val="00C37BD7"/>
    <w:rsid w:val="00C37CA4"/>
    <w:rsid w:val="00C37CF0"/>
    <w:rsid w:val="00C37D1A"/>
    <w:rsid w:val="00C37D41"/>
    <w:rsid w:val="00C37F6C"/>
    <w:rsid w:val="00C37F70"/>
    <w:rsid w:val="00C37FAD"/>
    <w:rsid w:val="00C4075B"/>
    <w:rsid w:val="00C40805"/>
    <w:rsid w:val="00C40874"/>
    <w:rsid w:val="00C408FC"/>
    <w:rsid w:val="00C40916"/>
    <w:rsid w:val="00C40996"/>
    <w:rsid w:val="00C40B2C"/>
    <w:rsid w:val="00C40D3E"/>
    <w:rsid w:val="00C40D5A"/>
    <w:rsid w:val="00C41139"/>
    <w:rsid w:val="00C4163C"/>
    <w:rsid w:val="00C4168E"/>
    <w:rsid w:val="00C4194F"/>
    <w:rsid w:val="00C41994"/>
    <w:rsid w:val="00C41B61"/>
    <w:rsid w:val="00C41C9F"/>
    <w:rsid w:val="00C41D62"/>
    <w:rsid w:val="00C41DB8"/>
    <w:rsid w:val="00C41E9F"/>
    <w:rsid w:val="00C42024"/>
    <w:rsid w:val="00C42061"/>
    <w:rsid w:val="00C42124"/>
    <w:rsid w:val="00C42341"/>
    <w:rsid w:val="00C42448"/>
    <w:rsid w:val="00C4250E"/>
    <w:rsid w:val="00C425DB"/>
    <w:rsid w:val="00C426BD"/>
    <w:rsid w:val="00C4286C"/>
    <w:rsid w:val="00C42A51"/>
    <w:rsid w:val="00C42A8C"/>
    <w:rsid w:val="00C42E12"/>
    <w:rsid w:val="00C42F22"/>
    <w:rsid w:val="00C4306F"/>
    <w:rsid w:val="00C43142"/>
    <w:rsid w:val="00C431D4"/>
    <w:rsid w:val="00C43507"/>
    <w:rsid w:val="00C43557"/>
    <w:rsid w:val="00C43648"/>
    <w:rsid w:val="00C43792"/>
    <w:rsid w:val="00C437C1"/>
    <w:rsid w:val="00C437F8"/>
    <w:rsid w:val="00C43B39"/>
    <w:rsid w:val="00C43B95"/>
    <w:rsid w:val="00C43C4F"/>
    <w:rsid w:val="00C43CBA"/>
    <w:rsid w:val="00C43D00"/>
    <w:rsid w:val="00C43F01"/>
    <w:rsid w:val="00C43FCC"/>
    <w:rsid w:val="00C43FE1"/>
    <w:rsid w:val="00C44119"/>
    <w:rsid w:val="00C4414A"/>
    <w:rsid w:val="00C441DD"/>
    <w:rsid w:val="00C441EB"/>
    <w:rsid w:val="00C4427E"/>
    <w:rsid w:val="00C44311"/>
    <w:rsid w:val="00C4454C"/>
    <w:rsid w:val="00C44604"/>
    <w:rsid w:val="00C446AF"/>
    <w:rsid w:val="00C449B9"/>
    <w:rsid w:val="00C44B94"/>
    <w:rsid w:val="00C44CCD"/>
    <w:rsid w:val="00C44EF5"/>
    <w:rsid w:val="00C45285"/>
    <w:rsid w:val="00C45421"/>
    <w:rsid w:val="00C456EF"/>
    <w:rsid w:val="00C45811"/>
    <w:rsid w:val="00C45A48"/>
    <w:rsid w:val="00C45B29"/>
    <w:rsid w:val="00C45B4B"/>
    <w:rsid w:val="00C45E1A"/>
    <w:rsid w:val="00C45EEA"/>
    <w:rsid w:val="00C46201"/>
    <w:rsid w:val="00C464BF"/>
    <w:rsid w:val="00C465BA"/>
    <w:rsid w:val="00C46636"/>
    <w:rsid w:val="00C466AA"/>
    <w:rsid w:val="00C4686F"/>
    <w:rsid w:val="00C46BE8"/>
    <w:rsid w:val="00C46CB6"/>
    <w:rsid w:val="00C46CC6"/>
    <w:rsid w:val="00C46D11"/>
    <w:rsid w:val="00C46DA3"/>
    <w:rsid w:val="00C46E15"/>
    <w:rsid w:val="00C470A2"/>
    <w:rsid w:val="00C474B7"/>
    <w:rsid w:val="00C47680"/>
    <w:rsid w:val="00C4777E"/>
    <w:rsid w:val="00C4783E"/>
    <w:rsid w:val="00C47841"/>
    <w:rsid w:val="00C478D4"/>
    <w:rsid w:val="00C478F4"/>
    <w:rsid w:val="00C479B6"/>
    <w:rsid w:val="00C47B57"/>
    <w:rsid w:val="00C47BD5"/>
    <w:rsid w:val="00C47C0B"/>
    <w:rsid w:val="00C47C2D"/>
    <w:rsid w:val="00C47CA7"/>
    <w:rsid w:val="00C47D09"/>
    <w:rsid w:val="00C47DF9"/>
    <w:rsid w:val="00C47F14"/>
    <w:rsid w:val="00C50146"/>
    <w:rsid w:val="00C501D4"/>
    <w:rsid w:val="00C5026A"/>
    <w:rsid w:val="00C50360"/>
    <w:rsid w:val="00C50480"/>
    <w:rsid w:val="00C5049C"/>
    <w:rsid w:val="00C50BF9"/>
    <w:rsid w:val="00C50C8E"/>
    <w:rsid w:val="00C50E0D"/>
    <w:rsid w:val="00C50E19"/>
    <w:rsid w:val="00C50E42"/>
    <w:rsid w:val="00C50E5A"/>
    <w:rsid w:val="00C51057"/>
    <w:rsid w:val="00C511BB"/>
    <w:rsid w:val="00C5133C"/>
    <w:rsid w:val="00C51456"/>
    <w:rsid w:val="00C5150B"/>
    <w:rsid w:val="00C515CA"/>
    <w:rsid w:val="00C516DD"/>
    <w:rsid w:val="00C51708"/>
    <w:rsid w:val="00C51810"/>
    <w:rsid w:val="00C51952"/>
    <w:rsid w:val="00C51A1B"/>
    <w:rsid w:val="00C51AEB"/>
    <w:rsid w:val="00C52032"/>
    <w:rsid w:val="00C52098"/>
    <w:rsid w:val="00C5215C"/>
    <w:rsid w:val="00C5236F"/>
    <w:rsid w:val="00C5253F"/>
    <w:rsid w:val="00C52580"/>
    <w:rsid w:val="00C52644"/>
    <w:rsid w:val="00C526C2"/>
    <w:rsid w:val="00C52779"/>
    <w:rsid w:val="00C527AF"/>
    <w:rsid w:val="00C527E8"/>
    <w:rsid w:val="00C52A25"/>
    <w:rsid w:val="00C52A98"/>
    <w:rsid w:val="00C52AA7"/>
    <w:rsid w:val="00C52AA8"/>
    <w:rsid w:val="00C52B1E"/>
    <w:rsid w:val="00C52B84"/>
    <w:rsid w:val="00C52BB1"/>
    <w:rsid w:val="00C52D54"/>
    <w:rsid w:val="00C52DC5"/>
    <w:rsid w:val="00C52F74"/>
    <w:rsid w:val="00C531B7"/>
    <w:rsid w:val="00C532C2"/>
    <w:rsid w:val="00C53321"/>
    <w:rsid w:val="00C533BD"/>
    <w:rsid w:val="00C53412"/>
    <w:rsid w:val="00C53429"/>
    <w:rsid w:val="00C5346E"/>
    <w:rsid w:val="00C53496"/>
    <w:rsid w:val="00C5355E"/>
    <w:rsid w:val="00C535A6"/>
    <w:rsid w:val="00C5362A"/>
    <w:rsid w:val="00C5363D"/>
    <w:rsid w:val="00C5396D"/>
    <w:rsid w:val="00C53AF8"/>
    <w:rsid w:val="00C53C7F"/>
    <w:rsid w:val="00C53D98"/>
    <w:rsid w:val="00C53DDA"/>
    <w:rsid w:val="00C53FE5"/>
    <w:rsid w:val="00C5400C"/>
    <w:rsid w:val="00C540A4"/>
    <w:rsid w:val="00C54187"/>
    <w:rsid w:val="00C5420E"/>
    <w:rsid w:val="00C5432A"/>
    <w:rsid w:val="00C5436C"/>
    <w:rsid w:val="00C543C2"/>
    <w:rsid w:val="00C544AC"/>
    <w:rsid w:val="00C544DE"/>
    <w:rsid w:val="00C546A8"/>
    <w:rsid w:val="00C547B9"/>
    <w:rsid w:val="00C547FC"/>
    <w:rsid w:val="00C549B3"/>
    <w:rsid w:val="00C54B64"/>
    <w:rsid w:val="00C54C6D"/>
    <w:rsid w:val="00C54D56"/>
    <w:rsid w:val="00C54D64"/>
    <w:rsid w:val="00C54D80"/>
    <w:rsid w:val="00C54DF4"/>
    <w:rsid w:val="00C54DF9"/>
    <w:rsid w:val="00C54FFA"/>
    <w:rsid w:val="00C55081"/>
    <w:rsid w:val="00C553E7"/>
    <w:rsid w:val="00C55495"/>
    <w:rsid w:val="00C558BC"/>
    <w:rsid w:val="00C5594A"/>
    <w:rsid w:val="00C55C7A"/>
    <w:rsid w:val="00C55E7F"/>
    <w:rsid w:val="00C55FC2"/>
    <w:rsid w:val="00C55FC8"/>
    <w:rsid w:val="00C560AA"/>
    <w:rsid w:val="00C5610B"/>
    <w:rsid w:val="00C56255"/>
    <w:rsid w:val="00C5625D"/>
    <w:rsid w:val="00C56266"/>
    <w:rsid w:val="00C563C1"/>
    <w:rsid w:val="00C5650D"/>
    <w:rsid w:val="00C56785"/>
    <w:rsid w:val="00C567F4"/>
    <w:rsid w:val="00C56835"/>
    <w:rsid w:val="00C56B16"/>
    <w:rsid w:val="00C56B1E"/>
    <w:rsid w:val="00C56BCD"/>
    <w:rsid w:val="00C56CC8"/>
    <w:rsid w:val="00C56FF5"/>
    <w:rsid w:val="00C57259"/>
    <w:rsid w:val="00C57451"/>
    <w:rsid w:val="00C579A1"/>
    <w:rsid w:val="00C57AD6"/>
    <w:rsid w:val="00C57D9F"/>
    <w:rsid w:val="00C57F34"/>
    <w:rsid w:val="00C60218"/>
    <w:rsid w:val="00C602D0"/>
    <w:rsid w:val="00C603F5"/>
    <w:rsid w:val="00C6052A"/>
    <w:rsid w:val="00C6061A"/>
    <w:rsid w:val="00C60A9C"/>
    <w:rsid w:val="00C60BF7"/>
    <w:rsid w:val="00C6123C"/>
    <w:rsid w:val="00C61272"/>
    <w:rsid w:val="00C615F9"/>
    <w:rsid w:val="00C616A9"/>
    <w:rsid w:val="00C616E6"/>
    <w:rsid w:val="00C61850"/>
    <w:rsid w:val="00C61952"/>
    <w:rsid w:val="00C6198F"/>
    <w:rsid w:val="00C61A93"/>
    <w:rsid w:val="00C61B68"/>
    <w:rsid w:val="00C61B8F"/>
    <w:rsid w:val="00C61CE9"/>
    <w:rsid w:val="00C61D81"/>
    <w:rsid w:val="00C61D91"/>
    <w:rsid w:val="00C61E7C"/>
    <w:rsid w:val="00C61EBF"/>
    <w:rsid w:val="00C61F9F"/>
    <w:rsid w:val="00C61FE0"/>
    <w:rsid w:val="00C6200B"/>
    <w:rsid w:val="00C62174"/>
    <w:rsid w:val="00C6240D"/>
    <w:rsid w:val="00C62705"/>
    <w:rsid w:val="00C6282D"/>
    <w:rsid w:val="00C628FB"/>
    <w:rsid w:val="00C62999"/>
    <w:rsid w:val="00C629D8"/>
    <w:rsid w:val="00C62A1D"/>
    <w:rsid w:val="00C62AB5"/>
    <w:rsid w:val="00C62AE5"/>
    <w:rsid w:val="00C62CE7"/>
    <w:rsid w:val="00C62D75"/>
    <w:rsid w:val="00C62E08"/>
    <w:rsid w:val="00C6312E"/>
    <w:rsid w:val="00C631B9"/>
    <w:rsid w:val="00C632DF"/>
    <w:rsid w:val="00C63414"/>
    <w:rsid w:val="00C6355A"/>
    <w:rsid w:val="00C635EB"/>
    <w:rsid w:val="00C63700"/>
    <w:rsid w:val="00C6370B"/>
    <w:rsid w:val="00C63731"/>
    <w:rsid w:val="00C638C2"/>
    <w:rsid w:val="00C63A02"/>
    <w:rsid w:val="00C63A34"/>
    <w:rsid w:val="00C63B73"/>
    <w:rsid w:val="00C63BE1"/>
    <w:rsid w:val="00C63DF0"/>
    <w:rsid w:val="00C63EF0"/>
    <w:rsid w:val="00C64162"/>
    <w:rsid w:val="00C64345"/>
    <w:rsid w:val="00C644BA"/>
    <w:rsid w:val="00C645B9"/>
    <w:rsid w:val="00C645BF"/>
    <w:rsid w:val="00C645F3"/>
    <w:rsid w:val="00C64618"/>
    <w:rsid w:val="00C649BA"/>
    <w:rsid w:val="00C64C80"/>
    <w:rsid w:val="00C65027"/>
    <w:rsid w:val="00C6536C"/>
    <w:rsid w:val="00C654C7"/>
    <w:rsid w:val="00C65718"/>
    <w:rsid w:val="00C657D3"/>
    <w:rsid w:val="00C65A4B"/>
    <w:rsid w:val="00C65AA9"/>
    <w:rsid w:val="00C65BFC"/>
    <w:rsid w:val="00C65D7C"/>
    <w:rsid w:val="00C65E4F"/>
    <w:rsid w:val="00C65E8D"/>
    <w:rsid w:val="00C65F49"/>
    <w:rsid w:val="00C6604E"/>
    <w:rsid w:val="00C6628B"/>
    <w:rsid w:val="00C663FB"/>
    <w:rsid w:val="00C6653D"/>
    <w:rsid w:val="00C6665F"/>
    <w:rsid w:val="00C666A0"/>
    <w:rsid w:val="00C66884"/>
    <w:rsid w:val="00C6691C"/>
    <w:rsid w:val="00C6696C"/>
    <w:rsid w:val="00C66A1F"/>
    <w:rsid w:val="00C66A49"/>
    <w:rsid w:val="00C66A8C"/>
    <w:rsid w:val="00C66D62"/>
    <w:rsid w:val="00C66F3A"/>
    <w:rsid w:val="00C671EC"/>
    <w:rsid w:val="00C672F3"/>
    <w:rsid w:val="00C673B8"/>
    <w:rsid w:val="00C674D0"/>
    <w:rsid w:val="00C67575"/>
    <w:rsid w:val="00C67767"/>
    <w:rsid w:val="00C678E4"/>
    <w:rsid w:val="00C67960"/>
    <w:rsid w:val="00C67DC4"/>
    <w:rsid w:val="00C67E24"/>
    <w:rsid w:val="00C70058"/>
    <w:rsid w:val="00C70084"/>
    <w:rsid w:val="00C70125"/>
    <w:rsid w:val="00C70325"/>
    <w:rsid w:val="00C70550"/>
    <w:rsid w:val="00C70643"/>
    <w:rsid w:val="00C706AD"/>
    <w:rsid w:val="00C706E4"/>
    <w:rsid w:val="00C7079F"/>
    <w:rsid w:val="00C707C2"/>
    <w:rsid w:val="00C7093E"/>
    <w:rsid w:val="00C709E8"/>
    <w:rsid w:val="00C70D8A"/>
    <w:rsid w:val="00C70FAE"/>
    <w:rsid w:val="00C70FBA"/>
    <w:rsid w:val="00C71078"/>
    <w:rsid w:val="00C7138D"/>
    <w:rsid w:val="00C71486"/>
    <w:rsid w:val="00C7165A"/>
    <w:rsid w:val="00C7171A"/>
    <w:rsid w:val="00C717CA"/>
    <w:rsid w:val="00C71939"/>
    <w:rsid w:val="00C71B1D"/>
    <w:rsid w:val="00C71D70"/>
    <w:rsid w:val="00C71D86"/>
    <w:rsid w:val="00C71E06"/>
    <w:rsid w:val="00C71E1F"/>
    <w:rsid w:val="00C71F46"/>
    <w:rsid w:val="00C71FC3"/>
    <w:rsid w:val="00C71FDF"/>
    <w:rsid w:val="00C720BA"/>
    <w:rsid w:val="00C7233D"/>
    <w:rsid w:val="00C72408"/>
    <w:rsid w:val="00C72469"/>
    <w:rsid w:val="00C7258B"/>
    <w:rsid w:val="00C726D5"/>
    <w:rsid w:val="00C72BCA"/>
    <w:rsid w:val="00C72C47"/>
    <w:rsid w:val="00C72C56"/>
    <w:rsid w:val="00C72DA2"/>
    <w:rsid w:val="00C73010"/>
    <w:rsid w:val="00C732FF"/>
    <w:rsid w:val="00C73421"/>
    <w:rsid w:val="00C73463"/>
    <w:rsid w:val="00C734EE"/>
    <w:rsid w:val="00C73673"/>
    <w:rsid w:val="00C73782"/>
    <w:rsid w:val="00C73C32"/>
    <w:rsid w:val="00C73D41"/>
    <w:rsid w:val="00C73D62"/>
    <w:rsid w:val="00C73E26"/>
    <w:rsid w:val="00C73F2C"/>
    <w:rsid w:val="00C741E2"/>
    <w:rsid w:val="00C746DE"/>
    <w:rsid w:val="00C746DF"/>
    <w:rsid w:val="00C746E4"/>
    <w:rsid w:val="00C748A5"/>
    <w:rsid w:val="00C749B7"/>
    <w:rsid w:val="00C74B03"/>
    <w:rsid w:val="00C74D8F"/>
    <w:rsid w:val="00C74E71"/>
    <w:rsid w:val="00C74EB2"/>
    <w:rsid w:val="00C7508A"/>
    <w:rsid w:val="00C7513C"/>
    <w:rsid w:val="00C751BA"/>
    <w:rsid w:val="00C75297"/>
    <w:rsid w:val="00C75349"/>
    <w:rsid w:val="00C753B1"/>
    <w:rsid w:val="00C755A8"/>
    <w:rsid w:val="00C755E2"/>
    <w:rsid w:val="00C75823"/>
    <w:rsid w:val="00C759B4"/>
    <w:rsid w:val="00C759E2"/>
    <w:rsid w:val="00C75ACE"/>
    <w:rsid w:val="00C75ADA"/>
    <w:rsid w:val="00C75BA1"/>
    <w:rsid w:val="00C75C38"/>
    <w:rsid w:val="00C75E02"/>
    <w:rsid w:val="00C75E4F"/>
    <w:rsid w:val="00C75E5A"/>
    <w:rsid w:val="00C75F96"/>
    <w:rsid w:val="00C75FD3"/>
    <w:rsid w:val="00C75FFC"/>
    <w:rsid w:val="00C76194"/>
    <w:rsid w:val="00C762D7"/>
    <w:rsid w:val="00C7637C"/>
    <w:rsid w:val="00C7638D"/>
    <w:rsid w:val="00C7640D"/>
    <w:rsid w:val="00C765C6"/>
    <w:rsid w:val="00C7670C"/>
    <w:rsid w:val="00C76796"/>
    <w:rsid w:val="00C767AD"/>
    <w:rsid w:val="00C769EA"/>
    <w:rsid w:val="00C76A2D"/>
    <w:rsid w:val="00C76A42"/>
    <w:rsid w:val="00C76B2D"/>
    <w:rsid w:val="00C76BCF"/>
    <w:rsid w:val="00C76D36"/>
    <w:rsid w:val="00C76DFB"/>
    <w:rsid w:val="00C771C6"/>
    <w:rsid w:val="00C77235"/>
    <w:rsid w:val="00C772CF"/>
    <w:rsid w:val="00C77351"/>
    <w:rsid w:val="00C77448"/>
    <w:rsid w:val="00C774FF"/>
    <w:rsid w:val="00C7756F"/>
    <w:rsid w:val="00C776E8"/>
    <w:rsid w:val="00C7777B"/>
    <w:rsid w:val="00C777F2"/>
    <w:rsid w:val="00C778F2"/>
    <w:rsid w:val="00C779D4"/>
    <w:rsid w:val="00C77AAA"/>
    <w:rsid w:val="00C77B41"/>
    <w:rsid w:val="00C77B7F"/>
    <w:rsid w:val="00C77C55"/>
    <w:rsid w:val="00C77CB5"/>
    <w:rsid w:val="00C77CD2"/>
    <w:rsid w:val="00C77EE0"/>
    <w:rsid w:val="00C80014"/>
    <w:rsid w:val="00C80237"/>
    <w:rsid w:val="00C8026E"/>
    <w:rsid w:val="00C8032B"/>
    <w:rsid w:val="00C8033E"/>
    <w:rsid w:val="00C80419"/>
    <w:rsid w:val="00C804F2"/>
    <w:rsid w:val="00C8083A"/>
    <w:rsid w:val="00C80869"/>
    <w:rsid w:val="00C80B3B"/>
    <w:rsid w:val="00C80B52"/>
    <w:rsid w:val="00C80BC0"/>
    <w:rsid w:val="00C80E02"/>
    <w:rsid w:val="00C80F2B"/>
    <w:rsid w:val="00C80F72"/>
    <w:rsid w:val="00C81120"/>
    <w:rsid w:val="00C8122D"/>
    <w:rsid w:val="00C81319"/>
    <w:rsid w:val="00C813A6"/>
    <w:rsid w:val="00C816BB"/>
    <w:rsid w:val="00C8176B"/>
    <w:rsid w:val="00C818C2"/>
    <w:rsid w:val="00C819C4"/>
    <w:rsid w:val="00C819C6"/>
    <w:rsid w:val="00C81CCF"/>
    <w:rsid w:val="00C81DD2"/>
    <w:rsid w:val="00C81F68"/>
    <w:rsid w:val="00C81F9B"/>
    <w:rsid w:val="00C82037"/>
    <w:rsid w:val="00C82084"/>
    <w:rsid w:val="00C82381"/>
    <w:rsid w:val="00C82440"/>
    <w:rsid w:val="00C824DD"/>
    <w:rsid w:val="00C825F9"/>
    <w:rsid w:val="00C826A5"/>
    <w:rsid w:val="00C827F8"/>
    <w:rsid w:val="00C82989"/>
    <w:rsid w:val="00C82C77"/>
    <w:rsid w:val="00C82D5F"/>
    <w:rsid w:val="00C82D8C"/>
    <w:rsid w:val="00C82EE0"/>
    <w:rsid w:val="00C82FC8"/>
    <w:rsid w:val="00C82FD2"/>
    <w:rsid w:val="00C8305C"/>
    <w:rsid w:val="00C83436"/>
    <w:rsid w:val="00C83447"/>
    <w:rsid w:val="00C83514"/>
    <w:rsid w:val="00C83775"/>
    <w:rsid w:val="00C83C12"/>
    <w:rsid w:val="00C83C4D"/>
    <w:rsid w:val="00C83E53"/>
    <w:rsid w:val="00C83EC9"/>
    <w:rsid w:val="00C840FC"/>
    <w:rsid w:val="00C84256"/>
    <w:rsid w:val="00C84385"/>
    <w:rsid w:val="00C84518"/>
    <w:rsid w:val="00C8451D"/>
    <w:rsid w:val="00C84749"/>
    <w:rsid w:val="00C84812"/>
    <w:rsid w:val="00C8481F"/>
    <w:rsid w:val="00C84A30"/>
    <w:rsid w:val="00C84BDD"/>
    <w:rsid w:val="00C84BE1"/>
    <w:rsid w:val="00C84F20"/>
    <w:rsid w:val="00C84F3E"/>
    <w:rsid w:val="00C84FAB"/>
    <w:rsid w:val="00C85081"/>
    <w:rsid w:val="00C8518A"/>
    <w:rsid w:val="00C853DD"/>
    <w:rsid w:val="00C85456"/>
    <w:rsid w:val="00C8557A"/>
    <w:rsid w:val="00C856A0"/>
    <w:rsid w:val="00C85847"/>
    <w:rsid w:val="00C85892"/>
    <w:rsid w:val="00C858BA"/>
    <w:rsid w:val="00C85A46"/>
    <w:rsid w:val="00C85C0E"/>
    <w:rsid w:val="00C85E5E"/>
    <w:rsid w:val="00C86047"/>
    <w:rsid w:val="00C861DC"/>
    <w:rsid w:val="00C86247"/>
    <w:rsid w:val="00C862C9"/>
    <w:rsid w:val="00C86336"/>
    <w:rsid w:val="00C86356"/>
    <w:rsid w:val="00C864C5"/>
    <w:rsid w:val="00C865EE"/>
    <w:rsid w:val="00C867BF"/>
    <w:rsid w:val="00C8689D"/>
    <w:rsid w:val="00C86A9F"/>
    <w:rsid w:val="00C86B30"/>
    <w:rsid w:val="00C86DDA"/>
    <w:rsid w:val="00C86E2A"/>
    <w:rsid w:val="00C86E69"/>
    <w:rsid w:val="00C86FA5"/>
    <w:rsid w:val="00C86FD0"/>
    <w:rsid w:val="00C870B2"/>
    <w:rsid w:val="00C870DD"/>
    <w:rsid w:val="00C87256"/>
    <w:rsid w:val="00C872DB"/>
    <w:rsid w:val="00C872E6"/>
    <w:rsid w:val="00C87314"/>
    <w:rsid w:val="00C874EF"/>
    <w:rsid w:val="00C8754B"/>
    <w:rsid w:val="00C875B5"/>
    <w:rsid w:val="00C875E3"/>
    <w:rsid w:val="00C87696"/>
    <w:rsid w:val="00C878A0"/>
    <w:rsid w:val="00C8790D"/>
    <w:rsid w:val="00C87AEC"/>
    <w:rsid w:val="00C87CB1"/>
    <w:rsid w:val="00C87DC8"/>
    <w:rsid w:val="00C87FBF"/>
    <w:rsid w:val="00C900AD"/>
    <w:rsid w:val="00C90240"/>
    <w:rsid w:val="00C90396"/>
    <w:rsid w:val="00C9060E"/>
    <w:rsid w:val="00C9074A"/>
    <w:rsid w:val="00C907D1"/>
    <w:rsid w:val="00C90818"/>
    <w:rsid w:val="00C908F4"/>
    <w:rsid w:val="00C90966"/>
    <w:rsid w:val="00C90999"/>
    <w:rsid w:val="00C909CB"/>
    <w:rsid w:val="00C909D8"/>
    <w:rsid w:val="00C90DF1"/>
    <w:rsid w:val="00C90F02"/>
    <w:rsid w:val="00C90F6D"/>
    <w:rsid w:val="00C91053"/>
    <w:rsid w:val="00C910DC"/>
    <w:rsid w:val="00C911A1"/>
    <w:rsid w:val="00C911A3"/>
    <w:rsid w:val="00C912BE"/>
    <w:rsid w:val="00C913CE"/>
    <w:rsid w:val="00C913D4"/>
    <w:rsid w:val="00C91478"/>
    <w:rsid w:val="00C91495"/>
    <w:rsid w:val="00C91568"/>
    <w:rsid w:val="00C91972"/>
    <w:rsid w:val="00C91A65"/>
    <w:rsid w:val="00C91CC4"/>
    <w:rsid w:val="00C91F88"/>
    <w:rsid w:val="00C9212F"/>
    <w:rsid w:val="00C92299"/>
    <w:rsid w:val="00C922A0"/>
    <w:rsid w:val="00C923E5"/>
    <w:rsid w:val="00C9271B"/>
    <w:rsid w:val="00C92825"/>
    <w:rsid w:val="00C92A21"/>
    <w:rsid w:val="00C92A2E"/>
    <w:rsid w:val="00C92A8B"/>
    <w:rsid w:val="00C92B41"/>
    <w:rsid w:val="00C92BDA"/>
    <w:rsid w:val="00C92F10"/>
    <w:rsid w:val="00C9306F"/>
    <w:rsid w:val="00C93103"/>
    <w:rsid w:val="00C932B3"/>
    <w:rsid w:val="00C932F3"/>
    <w:rsid w:val="00C938BB"/>
    <w:rsid w:val="00C93A11"/>
    <w:rsid w:val="00C93B0B"/>
    <w:rsid w:val="00C93BBF"/>
    <w:rsid w:val="00C93C8B"/>
    <w:rsid w:val="00C93DDD"/>
    <w:rsid w:val="00C93E25"/>
    <w:rsid w:val="00C93F84"/>
    <w:rsid w:val="00C93FCF"/>
    <w:rsid w:val="00C9413A"/>
    <w:rsid w:val="00C9414C"/>
    <w:rsid w:val="00C944EF"/>
    <w:rsid w:val="00C9459E"/>
    <w:rsid w:val="00C94635"/>
    <w:rsid w:val="00C9483B"/>
    <w:rsid w:val="00C94CD5"/>
    <w:rsid w:val="00C94D67"/>
    <w:rsid w:val="00C94FDC"/>
    <w:rsid w:val="00C94FF5"/>
    <w:rsid w:val="00C950BA"/>
    <w:rsid w:val="00C9529D"/>
    <w:rsid w:val="00C95442"/>
    <w:rsid w:val="00C9548F"/>
    <w:rsid w:val="00C95531"/>
    <w:rsid w:val="00C955E5"/>
    <w:rsid w:val="00C956E2"/>
    <w:rsid w:val="00C958E1"/>
    <w:rsid w:val="00C9596A"/>
    <w:rsid w:val="00C95975"/>
    <w:rsid w:val="00C95A0C"/>
    <w:rsid w:val="00C95ADE"/>
    <w:rsid w:val="00C95E39"/>
    <w:rsid w:val="00C960A1"/>
    <w:rsid w:val="00C962AF"/>
    <w:rsid w:val="00C963BC"/>
    <w:rsid w:val="00C96523"/>
    <w:rsid w:val="00C9662D"/>
    <w:rsid w:val="00C96A1D"/>
    <w:rsid w:val="00C96A51"/>
    <w:rsid w:val="00C96B4F"/>
    <w:rsid w:val="00C96D1E"/>
    <w:rsid w:val="00C96D50"/>
    <w:rsid w:val="00C96FA6"/>
    <w:rsid w:val="00C970F8"/>
    <w:rsid w:val="00C97297"/>
    <w:rsid w:val="00C9730A"/>
    <w:rsid w:val="00C97322"/>
    <w:rsid w:val="00C973DE"/>
    <w:rsid w:val="00C9747A"/>
    <w:rsid w:val="00C975D4"/>
    <w:rsid w:val="00C976DC"/>
    <w:rsid w:val="00C979D6"/>
    <w:rsid w:val="00C97A3B"/>
    <w:rsid w:val="00C97B33"/>
    <w:rsid w:val="00C97BA2"/>
    <w:rsid w:val="00C97BE6"/>
    <w:rsid w:val="00C97D75"/>
    <w:rsid w:val="00CA0098"/>
    <w:rsid w:val="00CA0185"/>
    <w:rsid w:val="00CA026D"/>
    <w:rsid w:val="00CA052A"/>
    <w:rsid w:val="00CA05DD"/>
    <w:rsid w:val="00CA061D"/>
    <w:rsid w:val="00CA0818"/>
    <w:rsid w:val="00CA0C3D"/>
    <w:rsid w:val="00CA0C81"/>
    <w:rsid w:val="00CA0D60"/>
    <w:rsid w:val="00CA11CC"/>
    <w:rsid w:val="00CA1328"/>
    <w:rsid w:val="00CA1362"/>
    <w:rsid w:val="00CA137C"/>
    <w:rsid w:val="00CA165E"/>
    <w:rsid w:val="00CA1847"/>
    <w:rsid w:val="00CA1A00"/>
    <w:rsid w:val="00CA1B74"/>
    <w:rsid w:val="00CA1E93"/>
    <w:rsid w:val="00CA1FA6"/>
    <w:rsid w:val="00CA2090"/>
    <w:rsid w:val="00CA2240"/>
    <w:rsid w:val="00CA2649"/>
    <w:rsid w:val="00CA2766"/>
    <w:rsid w:val="00CA29A9"/>
    <w:rsid w:val="00CA2B3E"/>
    <w:rsid w:val="00CA2DBB"/>
    <w:rsid w:val="00CA2DEE"/>
    <w:rsid w:val="00CA2E4D"/>
    <w:rsid w:val="00CA32BB"/>
    <w:rsid w:val="00CA34D3"/>
    <w:rsid w:val="00CA3513"/>
    <w:rsid w:val="00CA371A"/>
    <w:rsid w:val="00CA38B9"/>
    <w:rsid w:val="00CA3C7A"/>
    <w:rsid w:val="00CA41C3"/>
    <w:rsid w:val="00CA4332"/>
    <w:rsid w:val="00CA4429"/>
    <w:rsid w:val="00CA48D4"/>
    <w:rsid w:val="00CA4A63"/>
    <w:rsid w:val="00CA4B12"/>
    <w:rsid w:val="00CA4C02"/>
    <w:rsid w:val="00CA4D37"/>
    <w:rsid w:val="00CA4D76"/>
    <w:rsid w:val="00CA4F40"/>
    <w:rsid w:val="00CA5079"/>
    <w:rsid w:val="00CA5273"/>
    <w:rsid w:val="00CA5374"/>
    <w:rsid w:val="00CA5448"/>
    <w:rsid w:val="00CA55A3"/>
    <w:rsid w:val="00CA5607"/>
    <w:rsid w:val="00CA5828"/>
    <w:rsid w:val="00CA5B52"/>
    <w:rsid w:val="00CA5C9D"/>
    <w:rsid w:val="00CA5D31"/>
    <w:rsid w:val="00CA5D4C"/>
    <w:rsid w:val="00CA5DAC"/>
    <w:rsid w:val="00CA612C"/>
    <w:rsid w:val="00CA6291"/>
    <w:rsid w:val="00CA66CE"/>
    <w:rsid w:val="00CA688B"/>
    <w:rsid w:val="00CA68F2"/>
    <w:rsid w:val="00CA69BC"/>
    <w:rsid w:val="00CA6B79"/>
    <w:rsid w:val="00CA6BC5"/>
    <w:rsid w:val="00CA6E63"/>
    <w:rsid w:val="00CA6FA0"/>
    <w:rsid w:val="00CA6FCB"/>
    <w:rsid w:val="00CA7069"/>
    <w:rsid w:val="00CA7316"/>
    <w:rsid w:val="00CA73E4"/>
    <w:rsid w:val="00CA73FF"/>
    <w:rsid w:val="00CA754B"/>
    <w:rsid w:val="00CA767C"/>
    <w:rsid w:val="00CA767E"/>
    <w:rsid w:val="00CA7704"/>
    <w:rsid w:val="00CA7765"/>
    <w:rsid w:val="00CA786D"/>
    <w:rsid w:val="00CA7AA8"/>
    <w:rsid w:val="00CA7ACD"/>
    <w:rsid w:val="00CA7D66"/>
    <w:rsid w:val="00CA7F35"/>
    <w:rsid w:val="00CA7F7D"/>
    <w:rsid w:val="00CA7FEF"/>
    <w:rsid w:val="00CB0095"/>
    <w:rsid w:val="00CB0229"/>
    <w:rsid w:val="00CB0549"/>
    <w:rsid w:val="00CB0561"/>
    <w:rsid w:val="00CB06E7"/>
    <w:rsid w:val="00CB07F0"/>
    <w:rsid w:val="00CB08B3"/>
    <w:rsid w:val="00CB096B"/>
    <w:rsid w:val="00CB0C60"/>
    <w:rsid w:val="00CB0E3D"/>
    <w:rsid w:val="00CB0EDF"/>
    <w:rsid w:val="00CB1057"/>
    <w:rsid w:val="00CB10BF"/>
    <w:rsid w:val="00CB129D"/>
    <w:rsid w:val="00CB1362"/>
    <w:rsid w:val="00CB147C"/>
    <w:rsid w:val="00CB196E"/>
    <w:rsid w:val="00CB1A5B"/>
    <w:rsid w:val="00CB1A89"/>
    <w:rsid w:val="00CB1BDA"/>
    <w:rsid w:val="00CB1C8E"/>
    <w:rsid w:val="00CB1D15"/>
    <w:rsid w:val="00CB1F60"/>
    <w:rsid w:val="00CB2039"/>
    <w:rsid w:val="00CB20B3"/>
    <w:rsid w:val="00CB2145"/>
    <w:rsid w:val="00CB226C"/>
    <w:rsid w:val="00CB2292"/>
    <w:rsid w:val="00CB2304"/>
    <w:rsid w:val="00CB239C"/>
    <w:rsid w:val="00CB2482"/>
    <w:rsid w:val="00CB24EC"/>
    <w:rsid w:val="00CB25B0"/>
    <w:rsid w:val="00CB25E6"/>
    <w:rsid w:val="00CB262E"/>
    <w:rsid w:val="00CB273F"/>
    <w:rsid w:val="00CB276A"/>
    <w:rsid w:val="00CB27A8"/>
    <w:rsid w:val="00CB28CE"/>
    <w:rsid w:val="00CB2967"/>
    <w:rsid w:val="00CB2CAF"/>
    <w:rsid w:val="00CB2E23"/>
    <w:rsid w:val="00CB2F89"/>
    <w:rsid w:val="00CB2F9F"/>
    <w:rsid w:val="00CB31F7"/>
    <w:rsid w:val="00CB330C"/>
    <w:rsid w:val="00CB3366"/>
    <w:rsid w:val="00CB341B"/>
    <w:rsid w:val="00CB343F"/>
    <w:rsid w:val="00CB35D7"/>
    <w:rsid w:val="00CB37DF"/>
    <w:rsid w:val="00CB3841"/>
    <w:rsid w:val="00CB3921"/>
    <w:rsid w:val="00CB39C2"/>
    <w:rsid w:val="00CB3C03"/>
    <w:rsid w:val="00CB3CE9"/>
    <w:rsid w:val="00CB3F21"/>
    <w:rsid w:val="00CB401A"/>
    <w:rsid w:val="00CB4033"/>
    <w:rsid w:val="00CB413A"/>
    <w:rsid w:val="00CB429E"/>
    <w:rsid w:val="00CB4509"/>
    <w:rsid w:val="00CB4625"/>
    <w:rsid w:val="00CB462C"/>
    <w:rsid w:val="00CB4848"/>
    <w:rsid w:val="00CB48C1"/>
    <w:rsid w:val="00CB48EB"/>
    <w:rsid w:val="00CB4954"/>
    <w:rsid w:val="00CB4BD7"/>
    <w:rsid w:val="00CB4C4D"/>
    <w:rsid w:val="00CB4D63"/>
    <w:rsid w:val="00CB4E91"/>
    <w:rsid w:val="00CB5296"/>
    <w:rsid w:val="00CB52B7"/>
    <w:rsid w:val="00CB5501"/>
    <w:rsid w:val="00CB5633"/>
    <w:rsid w:val="00CB575F"/>
    <w:rsid w:val="00CB5777"/>
    <w:rsid w:val="00CB5845"/>
    <w:rsid w:val="00CB5A27"/>
    <w:rsid w:val="00CB5C31"/>
    <w:rsid w:val="00CB5C61"/>
    <w:rsid w:val="00CB5CE2"/>
    <w:rsid w:val="00CB5D0A"/>
    <w:rsid w:val="00CB5DFE"/>
    <w:rsid w:val="00CB5EA6"/>
    <w:rsid w:val="00CB5ED9"/>
    <w:rsid w:val="00CB6230"/>
    <w:rsid w:val="00CB6367"/>
    <w:rsid w:val="00CB6475"/>
    <w:rsid w:val="00CB6557"/>
    <w:rsid w:val="00CB6765"/>
    <w:rsid w:val="00CB69EB"/>
    <w:rsid w:val="00CB6D5B"/>
    <w:rsid w:val="00CB6DE9"/>
    <w:rsid w:val="00CB6FC1"/>
    <w:rsid w:val="00CB7108"/>
    <w:rsid w:val="00CB710B"/>
    <w:rsid w:val="00CB7153"/>
    <w:rsid w:val="00CB72D7"/>
    <w:rsid w:val="00CB747D"/>
    <w:rsid w:val="00CB74EB"/>
    <w:rsid w:val="00CB7521"/>
    <w:rsid w:val="00CB757A"/>
    <w:rsid w:val="00CB79AC"/>
    <w:rsid w:val="00CB79CB"/>
    <w:rsid w:val="00CB7B67"/>
    <w:rsid w:val="00CB7C85"/>
    <w:rsid w:val="00CB7CAE"/>
    <w:rsid w:val="00CB7F0A"/>
    <w:rsid w:val="00CB7F97"/>
    <w:rsid w:val="00CC0381"/>
    <w:rsid w:val="00CC061D"/>
    <w:rsid w:val="00CC0704"/>
    <w:rsid w:val="00CC07CB"/>
    <w:rsid w:val="00CC090B"/>
    <w:rsid w:val="00CC09E7"/>
    <w:rsid w:val="00CC0B89"/>
    <w:rsid w:val="00CC0B90"/>
    <w:rsid w:val="00CC0CD1"/>
    <w:rsid w:val="00CC0D1D"/>
    <w:rsid w:val="00CC0E12"/>
    <w:rsid w:val="00CC0EF1"/>
    <w:rsid w:val="00CC100B"/>
    <w:rsid w:val="00CC116D"/>
    <w:rsid w:val="00CC12B2"/>
    <w:rsid w:val="00CC14C5"/>
    <w:rsid w:val="00CC14FF"/>
    <w:rsid w:val="00CC1720"/>
    <w:rsid w:val="00CC179A"/>
    <w:rsid w:val="00CC1800"/>
    <w:rsid w:val="00CC1BD0"/>
    <w:rsid w:val="00CC1C01"/>
    <w:rsid w:val="00CC1C28"/>
    <w:rsid w:val="00CC1C3B"/>
    <w:rsid w:val="00CC1ED5"/>
    <w:rsid w:val="00CC1FB8"/>
    <w:rsid w:val="00CC1FD4"/>
    <w:rsid w:val="00CC1FFC"/>
    <w:rsid w:val="00CC2029"/>
    <w:rsid w:val="00CC23C1"/>
    <w:rsid w:val="00CC23C6"/>
    <w:rsid w:val="00CC243D"/>
    <w:rsid w:val="00CC24BD"/>
    <w:rsid w:val="00CC2613"/>
    <w:rsid w:val="00CC261E"/>
    <w:rsid w:val="00CC27A7"/>
    <w:rsid w:val="00CC2821"/>
    <w:rsid w:val="00CC2A3B"/>
    <w:rsid w:val="00CC2B1A"/>
    <w:rsid w:val="00CC2B3F"/>
    <w:rsid w:val="00CC2B9B"/>
    <w:rsid w:val="00CC2F52"/>
    <w:rsid w:val="00CC305B"/>
    <w:rsid w:val="00CC3221"/>
    <w:rsid w:val="00CC324C"/>
    <w:rsid w:val="00CC3278"/>
    <w:rsid w:val="00CC32A0"/>
    <w:rsid w:val="00CC34DD"/>
    <w:rsid w:val="00CC37A8"/>
    <w:rsid w:val="00CC3886"/>
    <w:rsid w:val="00CC3A93"/>
    <w:rsid w:val="00CC3B31"/>
    <w:rsid w:val="00CC3B7C"/>
    <w:rsid w:val="00CC3BBB"/>
    <w:rsid w:val="00CC3D14"/>
    <w:rsid w:val="00CC3D3D"/>
    <w:rsid w:val="00CC3DCA"/>
    <w:rsid w:val="00CC3F7D"/>
    <w:rsid w:val="00CC3FD5"/>
    <w:rsid w:val="00CC4008"/>
    <w:rsid w:val="00CC4099"/>
    <w:rsid w:val="00CC44A0"/>
    <w:rsid w:val="00CC453F"/>
    <w:rsid w:val="00CC46D1"/>
    <w:rsid w:val="00CC4881"/>
    <w:rsid w:val="00CC48B9"/>
    <w:rsid w:val="00CC48FB"/>
    <w:rsid w:val="00CC4984"/>
    <w:rsid w:val="00CC4997"/>
    <w:rsid w:val="00CC49F9"/>
    <w:rsid w:val="00CC4A14"/>
    <w:rsid w:val="00CC4FD0"/>
    <w:rsid w:val="00CC4FD3"/>
    <w:rsid w:val="00CC507C"/>
    <w:rsid w:val="00CC50A1"/>
    <w:rsid w:val="00CC524C"/>
    <w:rsid w:val="00CC5485"/>
    <w:rsid w:val="00CC58E1"/>
    <w:rsid w:val="00CC5961"/>
    <w:rsid w:val="00CC599E"/>
    <w:rsid w:val="00CC5AD8"/>
    <w:rsid w:val="00CC600B"/>
    <w:rsid w:val="00CC6108"/>
    <w:rsid w:val="00CC621F"/>
    <w:rsid w:val="00CC6225"/>
    <w:rsid w:val="00CC6494"/>
    <w:rsid w:val="00CC649E"/>
    <w:rsid w:val="00CC665A"/>
    <w:rsid w:val="00CC66A9"/>
    <w:rsid w:val="00CC68AC"/>
    <w:rsid w:val="00CC6930"/>
    <w:rsid w:val="00CC6965"/>
    <w:rsid w:val="00CC69FD"/>
    <w:rsid w:val="00CC6BE3"/>
    <w:rsid w:val="00CC6C0C"/>
    <w:rsid w:val="00CC6D41"/>
    <w:rsid w:val="00CC6ED2"/>
    <w:rsid w:val="00CC7010"/>
    <w:rsid w:val="00CC70E4"/>
    <w:rsid w:val="00CC729E"/>
    <w:rsid w:val="00CC74AF"/>
    <w:rsid w:val="00CC75D2"/>
    <w:rsid w:val="00CC7982"/>
    <w:rsid w:val="00CC7A10"/>
    <w:rsid w:val="00CC7B70"/>
    <w:rsid w:val="00CC7BF7"/>
    <w:rsid w:val="00CC7D09"/>
    <w:rsid w:val="00CC7D0C"/>
    <w:rsid w:val="00CD0141"/>
    <w:rsid w:val="00CD0488"/>
    <w:rsid w:val="00CD07D4"/>
    <w:rsid w:val="00CD09CA"/>
    <w:rsid w:val="00CD0C3C"/>
    <w:rsid w:val="00CD0C9D"/>
    <w:rsid w:val="00CD0DBA"/>
    <w:rsid w:val="00CD0E1B"/>
    <w:rsid w:val="00CD0FF3"/>
    <w:rsid w:val="00CD1157"/>
    <w:rsid w:val="00CD120C"/>
    <w:rsid w:val="00CD1319"/>
    <w:rsid w:val="00CD16C2"/>
    <w:rsid w:val="00CD16F5"/>
    <w:rsid w:val="00CD1773"/>
    <w:rsid w:val="00CD1784"/>
    <w:rsid w:val="00CD1855"/>
    <w:rsid w:val="00CD1926"/>
    <w:rsid w:val="00CD19CD"/>
    <w:rsid w:val="00CD1B7E"/>
    <w:rsid w:val="00CD1C4A"/>
    <w:rsid w:val="00CD1D9F"/>
    <w:rsid w:val="00CD1E47"/>
    <w:rsid w:val="00CD1F44"/>
    <w:rsid w:val="00CD21D6"/>
    <w:rsid w:val="00CD224F"/>
    <w:rsid w:val="00CD2277"/>
    <w:rsid w:val="00CD2500"/>
    <w:rsid w:val="00CD279C"/>
    <w:rsid w:val="00CD289B"/>
    <w:rsid w:val="00CD28BA"/>
    <w:rsid w:val="00CD295A"/>
    <w:rsid w:val="00CD29F5"/>
    <w:rsid w:val="00CD2B0A"/>
    <w:rsid w:val="00CD2B28"/>
    <w:rsid w:val="00CD2D9D"/>
    <w:rsid w:val="00CD2DC3"/>
    <w:rsid w:val="00CD30AB"/>
    <w:rsid w:val="00CD3272"/>
    <w:rsid w:val="00CD369C"/>
    <w:rsid w:val="00CD373F"/>
    <w:rsid w:val="00CD379D"/>
    <w:rsid w:val="00CD3851"/>
    <w:rsid w:val="00CD3936"/>
    <w:rsid w:val="00CD3976"/>
    <w:rsid w:val="00CD3CCF"/>
    <w:rsid w:val="00CD3D0F"/>
    <w:rsid w:val="00CD3D4B"/>
    <w:rsid w:val="00CD3F46"/>
    <w:rsid w:val="00CD3FFD"/>
    <w:rsid w:val="00CD415E"/>
    <w:rsid w:val="00CD4179"/>
    <w:rsid w:val="00CD4397"/>
    <w:rsid w:val="00CD44A8"/>
    <w:rsid w:val="00CD4514"/>
    <w:rsid w:val="00CD473D"/>
    <w:rsid w:val="00CD483C"/>
    <w:rsid w:val="00CD4884"/>
    <w:rsid w:val="00CD4DDD"/>
    <w:rsid w:val="00CD4E92"/>
    <w:rsid w:val="00CD4F76"/>
    <w:rsid w:val="00CD5055"/>
    <w:rsid w:val="00CD5119"/>
    <w:rsid w:val="00CD5191"/>
    <w:rsid w:val="00CD5390"/>
    <w:rsid w:val="00CD53B7"/>
    <w:rsid w:val="00CD5488"/>
    <w:rsid w:val="00CD56FE"/>
    <w:rsid w:val="00CD5910"/>
    <w:rsid w:val="00CD59EA"/>
    <w:rsid w:val="00CD5AA1"/>
    <w:rsid w:val="00CD5BB6"/>
    <w:rsid w:val="00CD5C93"/>
    <w:rsid w:val="00CD5DC1"/>
    <w:rsid w:val="00CD5F90"/>
    <w:rsid w:val="00CD5FA6"/>
    <w:rsid w:val="00CD5FB8"/>
    <w:rsid w:val="00CD6363"/>
    <w:rsid w:val="00CD6532"/>
    <w:rsid w:val="00CD66E7"/>
    <w:rsid w:val="00CD6743"/>
    <w:rsid w:val="00CD6760"/>
    <w:rsid w:val="00CD6830"/>
    <w:rsid w:val="00CD691F"/>
    <w:rsid w:val="00CD6B16"/>
    <w:rsid w:val="00CD6B51"/>
    <w:rsid w:val="00CD6C3B"/>
    <w:rsid w:val="00CD6CC7"/>
    <w:rsid w:val="00CD6CD6"/>
    <w:rsid w:val="00CD6EBE"/>
    <w:rsid w:val="00CD7060"/>
    <w:rsid w:val="00CD7064"/>
    <w:rsid w:val="00CD7101"/>
    <w:rsid w:val="00CD71F7"/>
    <w:rsid w:val="00CD733B"/>
    <w:rsid w:val="00CD7506"/>
    <w:rsid w:val="00CD754A"/>
    <w:rsid w:val="00CD7640"/>
    <w:rsid w:val="00CD7718"/>
    <w:rsid w:val="00CD78F5"/>
    <w:rsid w:val="00CD79CC"/>
    <w:rsid w:val="00CD7A6A"/>
    <w:rsid w:val="00CD7D0E"/>
    <w:rsid w:val="00CD7E09"/>
    <w:rsid w:val="00CD7EA9"/>
    <w:rsid w:val="00CD7EC3"/>
    <w:rsid w:val="00CE01EF"/>
    <w:rsid w:val="00CE0615"/>
    <w:rsid w:val="00CE06D0"/>
    <w:rsid w:val="00CE06E8"/>
    <w:rsid w:val="00CE08FA"/>
    <w:rsid w:val="00CE106C"/>
    <w:rsid w:val="00CE11F1"/>
    <w:rsid w:val="00CE13C3"/>
    <w:rsid w:val="00CE1529"/>
    <w:rsid w:val="00CE1A0D"/>
    <w:rsid w:val="00CE1D94"/>
    <w:rsid w:val="00CE1E0C"/>
    <w:rsid w:val="00CE200E"/>
    <w:rsid w:val="00CE20A6"/>
    <w:rsid w:val="00CE2332"/>
    <w:rsid w:val="00CE2509"/>
    <w:rsid w:val="00CE255E"/>
    <w:rsid w:val="00CE257F"/>
    <w:rsid w:val="00CE2675"/>
    <w:rsid w:val="00CE2781"/>
    <w:rsid w:val="00CE28BB"/>
    <w:rsid w:val="00CE2B29"/>
    <w:rsid w:val="00CE2EB3"/>
    <w:rsid w:val="00CE2EFA"/>
    <w:rsid w:val="00CE2F6F"/>
    <w:rsid w:val="00CE2FCA"/>
    <w:rsid w:val="00CE306D"/>
    <w:rsid w:val="00CE3125"/>
    <w:rsid w:val="00CE322C"/>
    <w:rsid w:val="00CE328B"/>
    <w:rsid w:val="00CE3323"/>
    <w:rsid w:val="00CE3324"/>
    <w:rsid w:val="00CE3422"/>
    <w:rsid w:val="00CE342B"/>
    <w:rsid w:val="00CE3507"/>
    <w:rsid w:val="00CE36E4"/>
    <w:rsid w:val="00CE3796"/>
    <w:rsid w:val="00CE3930"/>
    <w:rsid w:val="00CE39CB"/>
    <w:rsid w:val="00CE3A2D"/>
    <w:rsid w:val="00CE3A73"/>
    <w:rsid w:val="00CE3C33"/>
    <w:rsid w:val="00CE3C5F"/>
    <w:rsid w:val="00CE3D6C"/>
    <w:rsid w:val="00CE3ED0"/>
    <w:rsid w:val="00CE3ED5"/>
    <w:rsid w:val="00CE3F87"/>
    <w:rsid w:val="00CE428B"/>
    <w:rsid w:val="00CE430A"/>
    <w:rsid w:val="00CE44DE"/>
    <w:rsid w:val="00CE4650"/>
    <w:rsid w:val="00CE4885"/>
    <w:rsid w:val="00CE4947"/>
    <w:rsid w:val="00CE4A69"/>
    <w:rsid w:val="00CE4CFC"/>
    <w:rsid w:val="00CE4E80"/>
    <w:rsid w:val="00CE4EF7"/>
    <w:rsid w:val="00CE4FAE"/>
    <w:rsid w:val="00CE5016"/>
    <w:rsid w:val="00CE51DF"/>
    <w:rsid w:val="00CE51EF"/>
    <w:rsid w:val="00CE52A6"/>
    <w:rsid w:val="00CE530B"/>
    <w:rsid w:val="00CE5391"/>
    <w:rsid w:val="00CE53C4"/>
    <w:rsid w:val="00CE53E0"/>
    <w:rsid w:val="00CE5410"/>
    <w:rsid w:val="00CE58EE"/>
    <w:rsid w:val="00CE59F3"/>
    <w:rsid w:val="00CE5AD6"/>
    <w:rsid w:val="00CE5C25"/>
    <w:rsid w:val="00CE5D8F"/>
    <w:rsid w:val="00CE5DEB"/>
    <w:rsid w:val="00CE5E62"/>
    <w:rsid w:val="00CE5E9B"/>
    <w:rsid w:val="00CE5F22"/>
    <w:rsid w:val="00CE5F3B"/>
    <w:rsid w:val="00CE623C"/>
    <w:rsid w:val="00CE62A8"/>
    <w:rsid w:val="00CE6424"/>
    <w:rsid w:val="00CE6503"/>
    <w:rsid w:val="00CE6532"/>
    <w:rsid w:val="00CE65C1"/>
    <w:rsid w:val="00CE6A3B"/>
    <w:rsid w:val="00CE6AAD"/>
    <w:rsid w:val="00CE6BAD"/>
    <w:rsid w:val="00CE6CB9"/>
    <w:rsid w:val="00CE6CFD"/>
    <w:rsid w:val="00CE6F36"/>
    <w:rsid w:val="00CE7028"/>
    <w:rsid w:val="00CE7096"/>
    <w:rsid w:val="00CE72C3"/>
    <w:rsid w:val="00CE73F0"/>
    <w:rsid w:val="00CE7563"/>
    <w:rsid w:val="00CE75AD"/>
    <w:rsid w:val="00CE7773"/>
    <w:rsid w:val="00CE77D8"/>
    <w:rsid w:val="00CE7800"/>
    <w:rsid w:val="00CE786E"/>
    <w:rsid w:val="00CE7890"/>
    <w:rsid w:val="00CE78BC"/>
    <w:rsid w:val="00CE7A00"/>
    <w:rsid w:val="00CE7C14"/>
    <w:rsid w:val="00CE7C21"/>
    <w:rsid w:val="00CE7CCA"/>
    <w:rsid w:val="00CE7D9E"/>
    <w:rsid w:val="00CE7FAC"/>
    <w:rsid w:val="00CF009A"/>
    <w:rsid w:val="00CF011F"/>
    <w:rsid w:val="00CF0124"/>
    <w:rsid w:val="00CF0141"/>
    <w:rsid w:val="00CF01BF"/>
    <w:rsid w:val="00CF03CA"/>
    <w:rsid w:val="00CF048C"/>
    <w:rsid w:val="00CF04D9"/>
    <w:rsid w:val="00CF0547"/>
    <w:rsid w:val="00CF05B9"/>
    <w:rsid w:val="00CF0749"/>
    <w:rsid w:val="00CF07D0"/>
    <w:rsid w:val="00CF0927"/>
    <w:rsid w:val="00CF09BC"/>
    <w:rsid w:val="00CF09ED"/>
    <w:rsid w:val="00CF0B5C"/>
    <w:rsid w:val="00CF0B6A"/>
    <w:rsid w:val="00CF0C98"/>
    <w:rsid w:val="00CF0D8A"/>
    <w:rsid w:val="00CF0DEC"/>
    <w:rsid w:val="00CF0EB8"/>
    <w:rsid w:val="00CF0F7B"/>
    <w:rsid w:val="00CF0FB8"/>
    <w:rsid w:val="00CF0FD8"/>
    <w:rsid w:val="00CF1070"/>
    <w:rsid w:val="00CF1103"/>
    <w:rsid w:val="00CF12C4"/>
    <w:rsid w:val="00CF13A7"/>
    <w:rsid w:val="00CF1650"/>
    <w:rsid w:val="00CF17DA"/>
    <w:rsid w:val="00CF1928"/>
    <w:rsid w:val="00CF196D"/>
    <w:rsid w:val="00CF1CCF"/>
    <w:rsid w:val="00CF1D70"/>
    <w:rsid w:val="00CF1DDD"/>
    <w:rsid w:val="00CF1EEE"/>
    <w:rsid w:val="00CF239E"/>
    <w:rsid w:val="00CF239F"/>
    <w:rsid w:val="00CF2475"/>
    <w:rsid w:val="00CF270F"/>
    <w:rsid w:val="00CF2840"/>
    <w:rsid w:val="00CF2992"/>
    <w:rsid w:val="00CF29DE"/>
    <w:rsid w:val="00CF2A90"/>
    <w:rsid w:val="00CF2AEF"/>
    <w:rsid w:val="00CF2B0C"/>
    <w:rsid w:val="00CF2C6F"/>
    <w:rsid w:val="00CF2C8B"/>
    <w:rsid w:val="00CF2CAD"/>
    <w:rsid w:val="00CF2CD0"/>
    <w:rsid w:val="00CF2D07"/>
    <w:rsid w:val="00CF2D81"/>
    <w:rsid w:val="00CF2E87"/>
    <w:rsid w:val="00CF3045"/>
    <w:rsid w:val="00CF3168"/>
    <w:rsid w:val="00CF3272"/>
    <w:rsid w:val="00CF360E"/>
    <w:rsid w:val="00CF37B6"/>
    <w:rsid w:val="00CF384E"/>
    <w:rsid w:val="00CF3974"/>
    <w:rsid w:val="00CF39A8"/>
    <w:rsid w:val="00CF3C46"/>
    <w:rsid w:val="00CF3E8A"/>
    <w:rsid w:val="00CF3E8F"/>
    <w:rsid w:val="00CF3F01"/>
    <w:rsid w:val="00CF4215"/>
    <w:rsid w:val="00CF4345"/>
    <w:rsid w:val="00CF436C"/>
    <w:rsid w:val="00CF4390"/>
    <w:rsid w:val="00CF44BF"/>
    <w:rsid w:val="00CF44E2"/>
    <w:rsid w:val="00CF46EE"/>
    <w:rsid w:val="00CF4781"/>
    <w:rsid w:val="00CF47C2"/>
    <w:rsid w:val="00CF4996"/>
    <w:rsid w:val="00CF4C1E"/>
    <w:rsid w:val="00CF4C85"/>
    <w:rsid w:val="00CF4D47"/>
    <w:rsid w:val="00CF4EC0"/>
    <w:rsid w:val="00CF500D"/>
    <w:rsid w:val="00CF5125"/>
    <w:rsid w:val="00CF51AA"/>
    <w:rsid w:val="00CF51BE"/>
    <w:rsid w:val="00CF5368"/>
    <w:rsid w:val="00CF5405"/>
    <w:rsid w:val="00CF5538"/>
    <w:rsid w:val="00CF55B2"/>
    <w:rsid w:val="00CF55E0"/>
    <w:rsid w:val="00CF56E2"/>
    <w:rsid w:val="00CF5706"/>
    <w:rsid w:val="00CF5A38"/>
    <w:rsid w:val="00CF5B09"/>
    <w:rsid w:val="00CF5B1F"/>
    <w:rsid w:val="00CF5BAC"/>
    <w:rsid w:val="00CF5D2A"/>
    <w:rsid w:val="00CF6062"/>
    <w:rsid w:val="00CF6075"/>
    <w:rsid w:val="00CF60D6"/>
    <w:rsid w:val="00CF61C6"/>
    <w:rsid w:val="00CF63E6"/>
    <w:rsid w:val="00CF6473"/>
    <w:rsid w:val="00CF65BA"/>
    <w:rsid w:val="00CF662F"/>
    <w:rsid w:val="00CF6775"/>
    <w:rsid w:val="00CF68BC"/>
    <w:rsid w:val="00CF68E8"/>
    <w:rsid w:val="00CF6985"/>
    <w:rsid w:val="00CF6C26"/>
    <w:rsid w:val="00CF6C75"/>
    <w:rsid w:val="00CF6E93"/>
    <w:rsid w:val="00CF73F6"/>
    <w:rsid w:val="00CF7830"/>
    <w:rsid w:val="00CF7934"/>
    <w:rsid w:val="00CF7939"/>
    <w:rsid w:val="00CF79EB"/>
    <w:rsid w:val="00CF7A39"/>
    <w:rsid w:val="00CF7A61"/>
    <w:rsid w:val="00CF7D48"/>
    <w:rsid w:val="00CF7F76"/>
    <w:rsid w:val="00CF7FB2"/>
    <w:rsid w:val="00D0001E"/>
    <w:rsid w:val="00D0017C"/>
    <w:rsid w:val="00D0033D"/>
    <w:rsid w:val="00D003D5"/>
    <w:rsid w:val="00D004B1"/>
    <w:rsid w:val="00D004C3"/>
    <w:rsid w:val="00D005CD"/>
    <w:rsid w:val="00D0060F"/>
    <w:rsid w:val="00D0061C"/>
    <w:rsid w:val="00D008D3"/>
    <w:rsid w:val="00D00B3B"/>
    <w:rsid w:val="00D00D47"/>
    <w:rsid w:val="00D00F91"/>
    <w:rsid w:val="00D01048"/>
    <w:rsid w:val="00D0118E"/>
    <w:rsid w:val="00D0165A"/>
    <w:rsid w:val="00D01695"/>
    <w:rsid w:val="00D01705"/>
    <w:rsid w:val="00D0175A"/>
    <w:rsid w:val="00D019D3"/>
    <w:rsid w:val="00D01B50"/>
    <w:rsid w:val="00D01BEE"/>
    <w:rsid w:val="00D01CB5"/>
    <w:rsid w:val="00D020B2"/>
    <w:rsid w:val="00D02148"/>
    <w:rsid w:val="00D0221D"/>
    <w:rsid w:val="00D022D9"/>
    <w:rsid w:val="00D0232E"/>
    <w:rsid w:val="00D02378"/>
    <w:rsid w:val="00D02418"/>
    <w:rsid w:val="00D02501"/>
    <w:rsid w:val="00D02582"/>
    <w:rsid w:val="00D025BB"/>
    <w:rsid w:val="00D025ED"/>
    <w:rsid w:val="00D02839"/>
    <w:rsid w:val="00D02B0C"/>
    <w:rsid w:val="00D02C49"/>
    <w:rsid w:val="00D02CC6"/>
    <w:rsid w:val="00D031FD"/>
    <w:rsid w:val="00D03299"/>
    <w:rsid w:val="00D03339"/>
    <w:rsid w:val="00D033B2"/>
    <w:rsid w:val="00D033B3"/>
    <w:rsid w:val="00D0344B"/>
    <w:rsid w:val="00D03481"/>
    <w:rsid w:val="00D03485"/>
    <w:rsid w:val="00D034B5"/>
    <w:rsid w:val="00D038AF"/>
    <w:rsid w:val="00D038DF"/>
    <w:rsid w:val="00D039D0"/>
    <w:rsid w:val="00D03A11"/>
    <w:rsid w:val="00D03A9C"/>
    <w:rsid w:val="00D03AEC"/>
    <w:rsid w:val="00D03C6B"/>
    <w:rsid w:val="00D03D55"/>
    <w:rsid w:val="00D041B7"/>
    <w:rsid w:val="00D041FA"/>
    <w:rsid w:val="00D042AD"/>
    <w:rsid w:val="00D04375"/>
    <w:rsid w:val="00D04403"/>
    <w:rsid w:val="00D044B2"/>
    <w:rsid w:val="00D04925"/>
    <w:rsid w:val="00D04C38"/>
    <w:rsid w:val="00D051CA"/>
    <w:rsid w:val="00D054C6"/>
    <w:rsid w:val="00D055B6"/>
    <w:rsid w:val="00D05643"/>
    <w:rsid w:val="00D05776"/>
    <w:rsid w:val="00D0595C"/>
    <w:rsid w:val="00D05C30"/>
    <w:rsid w:val="00D05C7C"/>
    <w:rsid w:val="00D05CC0"/>
    <w:rsid w:val="00D05D2B"/>
    <w:rsid w:val="00D05DCB"/>
    <w:rsid w:val="00D05E02"/>
    <w:rsid w:val="00D05E25"/>
    <w:rsid w:val="00D05EA0"/>
    <w:rsid w:val="00D06106"/>
    <w:rsid w:val="00D06260"/>
    <w:rsid w:val="00D06378"/>
    <w:rsid w:val="00D0645D"/>
    <w:rsid w:val="00D0650F"/>
    <w:rsid w:val="00D06577"/>
    <w:rsid w:val="00D0669D"/>
    <w:rsid w:val="00D067AB"/>
    <w:rsid w:val="00D06921"/>
    <w:rsid w:val="00D06946"/>
    <w:rsid w:val="00D06A11"/>
    <w:rsid w:val="00D06A5E"/>
    <w:rsid w:val="00D06BF2"/>
    <w:rsid w:val="00D06DB7"/>
    <w:rsid w:val="00D06DD4"/>
    <w:rsid w:val="00D06EE8"/>
    <w:rsid w:val="00D07043"/>
    <w:rsid w:val="00D071DD"/>
    <w:rsid w:val="00D0743D"/>
    <w:rsid w:val="00D074B9"/>
    <w:rsid w:val="00D0774D"/>
    <w:rsid w:val="00D07784"/>
    <w:rsid w:val="00D07880"/>
    <w:rsid w:val="00D07882"/>
    <w:rsid w:val="00D078BF"/>
    <w:rsid w:val="00D07A14"/>
    <w:rsid w:val="00D07A5E"/>
    <w:rsid w:val="00D07BDD"/>
    <w:rsid w:val="00D07D19"/>
    <w:rsid w:val="00D07D49"/>
    <w:rsid w:val="00D101D1"/>
    <w:rsid w:val="00D10346"/>
    <w:rsid w:val="00D103D7"/>
    <w:rsid w:val="00D10594"/>
    <w:rsid w:val="00D1080A"/>
    <w:rsid w:val="00D10857"/>
    <w:rsid w:val="00D108C3"/>
    <w:rsid w:val="00D10A1D"/>
    <w:rsid w:val="00D10C2F"/>
    <w:rsid w:val="00D10C64"/>
    <w:rsid w:val="00D10E4E"/>
    <w:rsid w:val="00D1102C"/>
    <w:rsid w:val="00D111EB"/>
    <w:rsid w:val="00D11228"/>
    <w:rsid w:val="00D11297"/>
    <w:rsid w:val="00D1136B"/>
    <w:rsid w:val="00D11479"/>
    <w:rsid w:val="00D116B7"/>
    <w:rsid w:val="00D116ED"/>
    <w:rsid w:val="00D118D9"/>
    <w:rsid w:val="00D11A96"/>
    <w:rsid w:val="00D11AC7"/>
    <w:rsid w:val="00D11CA6"/>
    <w:rsid w:val="00D11CC0"/>
    <w:rsid w:val="00D11D24"/>
    <w:rsid w:val="00D11E17"/>
    <w:rsid w:val="00D11F3E"/>
    <w:rsid w:val="00D11F70"/>
    <w:rsid w:val="00D12488"/>
    <w:rsid w:val="00D124D1"/>
    <w:rsid w:val="00D126D3"/>
    <w:rsid w:val="00D1276C"/>
    <w:rsid w:val="00D12860"/>
    <w:rsid w:val="00D12990"/>
    <w:rsid w:val="00D129AF"/>
    <w:rsid w:val="00D12A79"/>
    <w:rsid w:val="00D12AA4"/>
    <w:rsid w:val="00D12E0A"/>
    <w:rsid w:val="00D13007"/>
    <w:rsid w:val="00D1308E"/>
    <w:rsid w:val="00D13152"/>
    <w:rsid w:val="00D131BB"/>
    <w:rsid w:val="00D13284"/>
    <w:rsid w:val="00D133B9"/>
    <w:rsid w:val="00D133F4"/>
    <w:rsid w:val="00D13432"/>
    <w:rsid w:val="00D1358A"/>
    <w:rsid w:val="00D13642"/>
    <w:rsid w:val="00D13712"/>
    <w:rsid w:val="00D13AA7"/>
    <w:rsid w:val="00D13D41"/>
    <w:rsid w:val="00D13D5A"/>
    <w:rsid w:val="00D13F7A"/>
    <w:rsid w:val="00D13FBA"/>
    <w:rsid w:val="00D141CA"/>
    <w:rsid w:val="00D1484D"/>
    <w:rsid w:val="00D1496C"/>
    <w:rsid w:val="00D149E1"/>
    <w:rsid w:val="00D14AED"/>
    <w:rsid w:val="00D14AF9"/>
    <w:rsid w:val="00D14DF0"/>
    <w:rsid w:val="00D14E70"/>
    <w:rsid w:val="00D14E98"/>
    <w:rsid w:val="00D14F4B"/>
    <w:rsid w:val="00D14FE4"/>
    <w:rsid w:val="00D150BF"/>
    <w:rsid w:val="00D15219"/>
    <w:rsid w:val="00D1533E"/>
    <w:rsid w:val="00D1543B"/>
    <w:rsid w:val="00D15568"/>
    <w:rsid w:val="00D15796"/>
    <w:rsid w:val="00D1589F"/>
    <w:rsid w:val="00D158B6"/>
    <w:rsid w:val="00D15A10"/>
    <w:rsid w:val="00D15BC2"/>
    <w:rsid w:val="00D15D21"/>
    <w:rsid w:val="00D15D9B"/>
    <w:rsid w:val="00D15DE7"/>
    <w:rsid w:val="00D15F38"/>
    <w:rsid w:val="00D1607F"/>
    <w:rsid w:val="00D16219"/>
    <w:rsid w:val="00D1627B"/>
    <w:rsid w:val="00D16367"/>
    <w:rsid w:val="00D163ED"/>
    <w:rsid w:val="00D1652C"/>
    <w:rsid w:val="00D1653A"/>
    <w:rsid w:val="00D16556"/>
    <w:rsid w:val="00D167FC"/>
    <w:rsid w:val="00D1684C"/>
    <w:rsid w:val="00D16852"/>
    <w:rsid w:val="00D1687E"/>
    <w:rsid w:val="00D16890"/>
    <w:rsid w:val="00D16932"/>
    <w:rsid w:val="00D169A8"/>
    <w:rsid w:val="00D169E3"/>
    <w:rsid w:val="00D16A3F"/>
    <w:rsid w:val="00D16B42"/>
    <w:rsid w:val="00D16B4C"/>
    <w:rsid w:val="00D16BDA"/>
    <w:rsid w:val="00D16C29"/>
    <w:rsid w:val="00D16CDA"/>
    <w:rsid w:val="00D16D3D"/>
    <w:rsid w:val="00D16EAC"/>
    <w:rsid w:val="00D16F5B"/>
    <w:rsid w:val="00D17043"/>
    <w:rsid w:val="00D1705C"/>
    <w:rsid w:val="00D17289"/>
    <w:rsid w:val="00D172D8"/>
    <w:rsid w:val="00D172ED"/>
    <w:rsid w:val="00D173C6"/>
    <w:rsid w:val="00D173DA"/>
    <w:rsid w:val="00D17555"/>
    <w:rsid w:val="00D176C5"/>
    <w:rsid w:val="00D177C5"/>
    <w:rsid w:val="00D17A5B"/>
    <w:rsid w:val="00D17C26"/>
    <w:rsid w:val="00D17F95"/>
    <w:rsid w:val="00D17FFB"/>
    <w:rsid w:val="00D20072"/>
    <w:rsid w:val="00D2049F"/>
    <w:rsid w:val="00D2050D"/>
    <w:rsid w:val="00D20567"/>
    <w:rsid w:val="00D2080B"/>
    <w:rsid w:val="00D208E1"/>
    <w:rsid w:val="00D20BF9"/>
    <w:rsid w:val="00D20DA5"/>
    <w:rsid w:val="00D21172"/>
    <w:rsid w:val="00D212BB"/>
    <w:rsid w:val="00D2133A"/>
    <w:rsid w:val="00D21582"/>
    <w:rsid w:val="00D21B6E"/>
    <w:rsid w:val="00D21BAB"/>
    <w:rsid w:val="00D21C8B"/>
    <w:rsid w:val="00D21C93"/>
    <w:rsid w:val="00D21D94"/>
    <w:rsid w:val="00D22027"/>
    <w:rsid w:val="00D220DC"/>
    <w:rsid w:val="00D220EB"/>
    <w:rsid w:val="00D22321"/>
    <w:rsid w:val="00D223DD"/>
    <w:rsid w:val="00D2240C"/>
    <w:rsid w:val="00D22414"/>
    <w:rsid w:val="00D226DA"/>
    <w:rsid w:val="00D2277F"/>
    <w:rsid w:val="00D227B5"/>
    <w:rsid w:val="00D22828"/>
    <w:rsid w:val="00D22848"/>
    <w:rsid w:val="00D22884"/>
    <w:rsid w:val="00D22930"/>
    <w:rsid w:val="00D22933"/>
    <w:rsid w:val="00D22B25"/>
    <w:rsid w:val="00D22C2D"/>
    <w:rsid w:val="00D22C83"/>
    <w:rsid w:val="00D22D7F"/>
    <w:rsid w:val="00D22E34"/>
    <w:rsid w:val="00D23282"/>
    <w:rsid w:val="00D23472"/>
    <w:rsid w:val="00D2353F"/>
    <w:rsid w:val="00D235FB"/>
    <w:rsid w:val="00D23674"/>
    <w:rsid w:val="00D236A1"/>
    <w:rsid w:val="00D237FF"/>
    <w:rsid w:val="00D239E3"/>
    <w:rsid w:val="00D23A8F"/>
    <w:rsid w:val="00D23D20"/>
    <w:rsid w:val="00D23F0A"/>
    <w:rsid w:val="00D23F39"/>
    <w:rsid w:val="00D241E2"/>
    <w:rsid w:val="00D24391"/>
    <w:rsid w:val="00D24462"/>
    <w:rsid w:val="00D244C7"/>
    <w:rsid w:val="00D2462F"/>
    <w:rsid w:val="00D2467B"/>
    <w:rsid w:val="00D24685"/>
    <w:rsid w:val="00D247D2"/>
    <w:rsid w:val="00D248C0"/>
    <w:rsid w:val="00D249BB"/>
    <w:rsid w:val="00D24B63"/>
    <w:rsid w:val="00D24BC8"/>
    <w:rsid w:val="00D24DC4"/>
    <w:rsid w:val="00D24DF1"/>
    <w:rsid w:val="00D24E3C"/>
    <w:rsid w:val="00D24EBB"/>
    <w:rsid w:val="00D24EF2"/>
    <w:rsid w:val="00D24F74"/>
    <w:rsid w:val="00D2507D"/>
    <w:rsid w:val="00D250C2"/>
    <w:rsid w:val="00D25126"/>
    <w:rsid w:val="00D2536C"/>
    <w:rsid w:val="00D25438"/>
    <w:rsid w:val="00D256EC"/>
    <w:rsid w:val="00D257BF"/>
    <w:rsid w:val="00D257D7"/>
    <w:rsid w:val="00D25D3C"/>
    <w:rsid w:val="00D25F51"/>
    <w:rsid w:val="00D262ED"/>
    <w:rsid w:val="00D26650"/>
    <w:rsid w:val="00D266A4"/>
    <w:rsid w:val="00D2679D"/>
    <w:rsid w:val="00D2691E"/>
    <w:rsid w:val="00D26ACD"/>
    <w:rsid w:val="00D26D6A"/>
    <w:rsid w:val="00D26D8D"/>
    <w:rsid w:val="00D26F39"/>
    <w:rsid w:val="00D2703D"/>
    <w:rsid w:val="00D2733F"/>
    <w:rsid w:val="00D27396"/>
    <w:rsid w:val="00D2775F"/>
    <w:rsid w:val="00D277F1"/>
    <w:rsid w:val="00D278D3"/>
    <w:rsid w:val="00D27A46"/>
    <w:rsid w:val="00D27A50"/>
    <w:rsid w:val="00D27ADA"/>
    <w:rsid w:val="00D27B3D"/>
    <w:rsid w:val="00D27C4F"/>
    <w:rsid w:val="00D27CBE"/>
    <w:rsid w:val="00D27CF4"/>
    <w:rsid w:val="00D27DAD"/>
    <w:rsid w:val="00D27EAB"/>
    <w:rsid w:val="00D300F1"/>
    <w:rsid w:val="00D30375"/>
    <w:rsid w:val="00D3052A"/>
    <w:rsid w:val="00D30565"/>
    <w:rsid w:val="00D30681"/>
    <w:rsid w:val="00D3082D"/>
    <w:rsid w:val="00D3094E"/>
    <w:rsid w:val="00D309D5"/>
    <w:rsid w:val="00D30D76"/>
    <w:rsid w:val="00D30EF1"/>
    <w:rsid w:val="00D30FB0"/>
    <w:rsid w:val="00D30FF7"/>
    <w:rsid w:val="00D310F1"/>
    <w:rsid w:val="00D312F3"/>
    <w:rsid w:val="00D31383"/>
    <w:rsid w:val="00D313D5"/>
    <w:rsid w:val="00D31579"/>
    <w:rsid w:val="00D3169F"/>
    <w:rsid w:val="00D31784"/>
    <w:rsid w:val="00D317A2"/>
    <w:rsid w:val="00D3185F"/>
    <w:rsid w:val="00D31942"/>
    <w:rsid w:val="00D319F2"/>
    <w:rsid w:val="00D31A55"/>
    <w:rsid w:val="00D31A8B"/>
    <w:rsid w:val="00D31BC4"/>
    <w:rsid w:val="00D31C8E"/>
    <w:rsid w:val="00D31CA1"/>
    <w:rsid w:val="00D31CE4"/>
    <w:rsid w:val="00D31E98"/>
    <w:rsid w:val="00D31EEC"/>
    <w:rsid w:val="00D31FE3"/>
    <w:rsid w:val="00D32172"/>
    <w:rsid w:val="00D3221B"/>
    <w:rsid w:val="00D324A7"/>
    <w:rsid w:val="00D324B1"/>
    <w:rsid w:val="00D324BA"/>
    <w:rsid w:val="00D3262A"/>
    <w:rsid w:val="00D32789"/>
    <w:rsid w:val="00D32877"/>
    <w:rsid w:val="00D32A9D"/>
    <w:rsid w:val="00D32DE2"/>
    <w:rsid w:val="00D32EA4"/>
    <w:rsid w:val="00D32F90"/>
    <w:rsid w:val="00D32FAE"/>
    <w:rsid w:val="00D330AD"/>
    <w:rsid w:val="00D33399"/>
    <w:rsid w:val="00D33486"/>
    <w:rsid w:val="00D334EC"/>
    <w:rsid w:val="00D335AE"/>
    <w:rsid w:val="00D336C3"/>
    <w:rsid w:val="00D336C4"/>
    <w:rsid w:val="00D33736"/>
    <w:rsid w:val="00D33739"/>
    <w:rsid w:val="00D33856"/>
    <w:rsid w:val="00D33D6C"/>
    <w:rsid w:val="00D33DDA"/>
    <w:rsid w:val="00D33E03"/>
    <w:rsid w:val="00D33E77"/>
    <w:rsid w:val="00D33EC8"/>
    <w:rsid w:val="00D33F0B"/>
    <w:rsid w:val="00D33F5E"/>
    <w:rsid w:val="00D33F75"/>
    <w:rsid w:val="00D33F97"/>
    <w:rsid w:val="00D3401A"/>
    <w:rsid w:val="00D34026"/>
    <w:rsid w:val="00D34097"/>
    <w:rsid w:val="00D34524"/>
    <w:rsid w:val="00D3459B"/>
    <w:rsid w:val="00D345DB"/>
    <w:rsid w:val="00D34611"/>
    <w:rsid w:val="00D3476C"/>
    <w:rsid w:val="00D348A1"/>
    <w:rsid w:val="00D34A4E"/>
    <w:rsid w:val="00D34B19"/>
    <w:rsid w:val="00D34BE0"/>
    <w:rsid w:val="00D34C74"/>
    <w:rsid w:val="00D34D5E"/>
    <w:rsid w:val="00D34D77"/>
    <w:rsid w:val="00D34E76"/>
    <w:rsid w:val="00D34FDA"/>
    <w:rsid w:val="00D351C0"/>
    <w:rsid w:val="00D352FC"/>
    <w:rsid w:val="00D35341"/>
    <w:rsid w:val="00D355CD"/>
    <w:rsid w:val="00D3581E"/>
    <w:rsid w:val="00D3588B"/>
    <w:rsid w:val="00D359B4"/>
    <w:rsid w:val="00D35C60"/>
    <w:rsid w:val="00D35E2D"/>
    <w:rsid w:val="00D35EB7"/>
    <w:rsid w:val="00D35F66"/>
    <w:rsid w:val="00D3601C"/>
    <w:rsid w:val="00D36089"/>
    <w:rsid w:val="00D3611C"/>
    <w:rsid w:val="00D36480"/>
    <w:rsid w:val="00D365A7"/>
    <w:rsid w:val="00D3660E"/>
    <w:rsid w:val="00D36632"/>
    <w:rsid w:val="00D3665E"/>
    <w:rsid w:val="00D36836"/>
    <w:rsid w:val="00D368A6"/>
    <w:rsid w:val="00D36AAC"/>
    <w:rsid w:val="00D36DE5"/>
    <w:rsid w:val="00D36E78"/>
    <w:rsid w:val="00D36E7B"/>
    <w:rsid w:val="00D3701A"/>
    <w:rsid w:val="00D3716B"/>
    <w:rsid w:val="00D372AD"/>
    <w:rsid w:val="00D37578"/>
    <w:rsid w:val="00D37703"/>
    <w:rsid w:val="00D37A85"/>
    <w:rsid w:val="00D40089"/>
    <w:rsid w:val="00D4010C"/>
    <w:rsid w:val="00D404B8"/>
    <w:rsid w:val="00D4057C"/>
    <w:rsid w:val="00D40595"/>
    <w:rsid w:val="00D40640"/>
    <w:rsid w:val="00D4073E"/>
    <w:rsid w:val="00D4087D"/>
    <w:rsid w:val="00D40960"/>
    <w:rsid w:val="00D40CF3"/>
    <w:rsid w:val="00D40D2D"/>
    <w:rsid w:val="00D40D33"/>
    <w:rsid w:val="00D40E25"/>
    <w:rsid w:val="00D40EC9"/>
    <w:rsid w:val="00D40F7E"/>
    <w:rsid w:val="00D4102C"/>
    <w:rsid w:val="00D41109"/>
    <w:rsid w:val="00D41201"/>
    <w:rsid w:val="00D41308"/>
    <w:rsid w:val="00D4133A"/>
    <w:rsid w:val="00D4158D"/>
    <w:rsid w:val="00D41594"/>
    <w:rsid w:val="00D415BC"/>
    <w:rsid w:val="00D415D1"/>
    <w:rsid w:val="00D4169D"/>
    <w:rsid w:val="00D4196F"/>
    <w:rsid w:val="00D41AA1"/>
    <w:rsid w:val="00D41BB1"/>
    <w:rsid w:val="00D41CE6"/>
    <w:rsid w:val="00D41E43"/>
    <w:rsid w:val="00D41EA7"/>
    <w:rsid w:val="00D41EDF"/>
    <w:rsid w:val="00D42443"/>
    <w:rsid w:val="00D4252E"/>
    <w:rsid w:val="00D42720"/>
    <w:rsid w:val="00D4298F"/>
    <w:rsid w:val="00D42A32"/>
    <w:rsid w:val="00D42AE0"/>
    <w:rsid w:val="00D42C8A"/>
    <w:rsid w:val="00D42CA5"/>
    <w:rsid w:val="00D42E23"/>
    <w:rsid w:val="00D43038"/>
    <w:rsid w:val="00D433CF"/>
    <w:rsid w:val="00D4348F"/>
    <w:rsid w:val="00D4353E"/>
    <w:rsid w:val="00D43572"/>
    <w:rsid w:val="00D4365F"/>
    <w:rsid w:val="00D43937"/>
    <w:rsid w:val="00D43A7E"/>
    <w:rsid w:val="00D43AD3"/>
    <w:rsid w:val="00D43D6B"/>
    <w:rsid w:val="00D44224"/>
    <w:rsid w:val="00D4435F"/>
    <w:rsid w:val="00D44368"/>
    <w:rsid w:val="00D444D7"/>
    <w:rsid w:val="00D4455B"/>
    <w:rsid w:val="00D4466A"/>
    <w:rsid w:val="00D44715"/>
    <w:rsid w:val="00D4475D"/>
    <w:rsid w:val="00D447BC"/>
    <w:rsid w:val="00D44901"/>
    <w:rsid w:val="00D44921"/>
    <w:rsid w:val="00D449F2"/>
    <w:rsid w:val="00D44A12"/>
    <w:rsid w:val="00D44A6C"/>
    <w:rsid w:val="00D44A6D"/>
    <w:rsid w:val="00D44B35"/>
    <w:rsid w:val="00D44B7E"/>
    <w:rsid w:val="00D44CE3"/>
    <w:rsid w:val="00D44D80"/>
    <w:rsid w:val="00D450AE"/>
    <w:rsid w:val="00D451ED"/>
    <w:rsid w:val="00D45234"/>
    <w:rsid w:val="00D4530E"/>
    <w:rsid w:val="00D4534D"/>
    <w:rsid w:val="00D45440"/>
    <w:rsid w:val="00D45551"/>
    <w:rsid w:val="00D4564A"/>
    <w:rsid w:val="00D45726"/>
    <w:rsid w:val="00D457BE"/>
    <w:rsid w:val="00D4588E"/>
    <w:rsid w:val="00D458B4"/>
    <w:rsid w:val="00D458B8"/>
    <w:rsid w:val="00D458D6"/>
    <w:rsid w:val="00D459AA"/>
    <w:rsid w:val="00D45AB7"/>
    <w:rsid w:val="00D45C79"/>
    <w:rsid w:val="00D45D74"/>
    <w:rsid w:val="00D45E6F"/>
    <w:rsid w:val="00D45FC1"/>
    <w:rsid w:val="00D45FDA"/>
    <w:rsid w:val="00D460B9"/>
    <w:rsid w:val="00D460E7"/>
    <w:rsid w:val="00D461BC"/>
    <w:rsid w:val="00D46539"/>
    <w:rsid w:val="00D4680A"/>
    <w:rsid w:val="00D46C92"/>
    <w:rsid w:val="00D46D7B"/>
    <w:rsid w:val="00D47031"/>
    <w:rsid w:val="00D4732D"/>
    <w:rsid w:val="00D47631"/>
    <w:rsid w:val="00D47633"/>
    <w:rsid w:val="00D47659"/>
    <w:rsid w:val="00D4773B"/>
    <w:rsid w:val="00D4776A"/>
    <w:rsid w:val="00D479F8"/>
    <w:rsid w:val="00D47A96"/>
    <w:rsid w:val="00D47B23"/>
    <w:rsid w:val="00D47BC7"/>
    <w:rsid w:val="00D47C1A"/>
    <w:rsid w:val="00D47FD9"/>
    <w:rsid w:val="00D50299"/>
    <w:rsid w:val="00D502C1"/>
    <w:rsid w:val="00D503FA"/>
    <w:rsid w:val="00D50554"/>
    <w:rsid w:val="00D506DD"/>
    <w:rsid w:val="00D50767"/>
    <w:rsid w:val="00D50861"/>
    <w:rsid w:val="00D50863"/>
    <w:rsid w:val="00D50B69"/>
    <w:rsid w:val="00D50B9D"/>
    <w:rsid w:val="00D50DC7"/>
    <w:rsid w:val="00D50EA4"/>
    <w:rsid w:val="00D5104F"/>
    <w:rsid w:val="00D5119D"/>
    <w:rsid w:val="00D513DE"/>
    <w:rsid w:val="00D515A1"/>
    <w:rsid w:val="00D51761"/>
    <w:rsid w:val="00D51A29"/>
    <w:rsid w:val="00D51B28"/>
    <w:rsid w:val="00D51C3A"/>
    <w:rsid w:val="00D51CC8"/>
    <w:rsid w:val="00D51DAE"/>
    <w:rsid w:val="00D51DD0"/>
    <w:rsid w:val="00D52090"/>
    <w:rsid w:val="00D52273"/>
    <w:rsid w:val="00D5245F"/>
    <w:rsid w:val="00D52671"/>
    <w:rsid w:val="00D526A5"/>
    <w:rsid w:val="00D52734"/>
    <w:rsid w:val="00D527B1"/>
    <w:rsid w:val="00D5280D"/>
    <w:rsid w:val="00D52888"/>
    <w:rsid w:val="00D52C76"/>
    <w:rsid w:val="00D52DEC"/>
    <w:rsid w:val="00D52EDB"/>
    <w:rsid w:val="00D52FDC"/>
    <w:rsid w:val="00D53054"/>
    <w:rsid w:val="00D53060"/>
    <w:rsid w:val="00D53385"/>
    <w:rsid w:val="00D5370D"/>
    <w:rsid w:val="00D53712"/>
    <w:rsid w:val="00D537A2"/>
    <w:rsid w:val="00D5386B"/>
    <w:rsid w:val="00D5389B"/>
    <w:rsid w:val="00D538C5"/>
    <w:rsid w:val="00D53911"/>
    <w:rsid w:val="00D53999"/>
    <w:rsid w:val="00D53A2B"/>
    <w:rsid w:val="00D53B20"/>
    <w:rsid w:val="00D53B58"/>
    <w:rsid w:val="00D53BB8"/>
    <w:rsid w:val="00D53E41"/>
    <w:rsid w:val="00D53EB4"/>
    <w:rsid w:val="00D54061"/>
    <w:rsid w:val="00D540CC"/>
    <w:rsid w:val="00D540F3"/>
    <w:rsid w:val="00D5424E"/>
    <w:rsid w:val="00D54394"/>
    <w:rsid w:val="00D5451A"/>
    <w:rsid w:val="00D5467F"/>
    <w:rsid w:val="00D5472C"/>
    <w:rsid w:val="00D548F2"/>
    <w:rsid w:val="00D54C4A"/>
    <w:rsid w:val="00D54E71"/>
    <w:rsid w:val="00D54FB1"/>
    <w:rsid w:val="00D55546"/>
    <w:rsid w:val="00D55957"/>
    <w:rsid w:val="00D55AAB"/>
    <w:rsid w:val="00D55B20"/>
    <w:rsid w:val="00D55B58"/>
    <w:rsid w:val="00D55D16"/>
    <w:rsid w:val="00D55DA4"/>
    <w:rsid w:val="00D55DBF"/>
    <w:rsid w:val="00D55ED2"/>
    <w:rsid w:val="00D560F9"/>
    <w:rsid w:val="00D56274"/>
    <w:rsid w:val="00D564C2"/>
    <w:rsid w:val="00D56563"/>
    <w:rsid w:val="00D565CD"/>
    <w:rsid w:val="00D567B5"/>
    <w:rsid w:val="00D56854"/>
    <w:rsid w:val="00D568D9"/>
    <w:rsid w:val="00D56B5D"/>
    <w:rsid w:val="00D56B8A"/>
    <w:rsid w:val="00D56D6C"/>
    <w:rsid w:val="00D56FE0"/>
    <w:rsid w:val="00D57014"/>
    <w:rsid w:val="00D5702F"/>
    <w:rsid w:val="00D57074"/>
    <w:rsid w:val="00D57286"/>
    <w:rsid w:val="00D573E1"/>
    <w:rsid w:val="00D5741E"/>
    <w:rsid w:val="00D5744A"/>
    <w:rsid w:val="00D57484"/>
    <w:rsid w:val="00D574D2"/>
    <w:rsid w:val="00D574FD"/>
    <w:rsid w:val="00D575E8"/>
    <w:rsid w:val="00D57663"/>
    <w:rsid w:val="00D5782A"/>
    <w:rsid w:val="00D5784B"/>
    <w:rsid w:val="00D57930"/>
    <w:rsid w:val="00D57989"/>
    <w:rsid w:val="00D57993"/>
    <w:rsid w:val="00D57AA0"/>
    <w:rsid w:val="00D57C41"/>
    <w:rsid w:val="00D57C55"/>
    <w:rsid w:val="00D57C57"/>
    <w:rsid w:val="00D57D82"/>
    <w:rsid w:val="00D57E1B"/>
    <w:rsid w:val="00D57E83"/>
    <w:rsid w:val="00D57EDF"/>
    <w:rsid w:val="00D57F1B"/>
    <w:rsid w:val="00D600C4"/>
    <w:rsid w:val="00D60118"/>
    <w:rsid w:val="00D60141"/>
    <w:rsid w:val="00D602CD"/>
    <w:rsid w:val="00D603C8"/>
    <w:rsid w:val="00D60476"/>
    <w:rsid w:val="00D605CC"/>
    <w:rsid w:val="00D6061B"/>
    <w:rsid w:val="00D60978"/>
    <w:rsid w:val="00D60BE8"/>
    <w:rsid w:val="00D60DF8"/>
    <w:rsid w:val="00D60E7D"/>
    <w:rsid w:val="00D61162"/>
    <w:rsid w:val="00D61317"/>
    <w:rsid w:val="00D61352"/>
    <w:rsid w:val="00D61450"/>
    <w:rsid w:val="00D6151F"/>
    <w:rsid w:val="00D61932"/>
    <w:rsid w:val="00D61B35"/>
    <w:rsid w:val="00D61EA0"/>
    <w:rsid w:val="00D621E9"/>
    <w:rsid w:val="00D621F4"/>
    <w:rsid w:val="00D62439"/>
    <w:rsid w:val="00D62455"/>
    <w:rsid w:val="00D625AF"/>
    <w:rsid w:val="00D625B5"/>
    <w:rsid w:val="00D626E0"/>
    <w:rsid w:val="00D626FC"/>
    <w:rsid w:val="00D62865"/>
    <w:rsid w:val="00D62875"/>
    <w:rsid w:val="00D628FA"/>
    <w:rsid w:val="00D62CBE"/>
    <w:rsid w:val="00D62CF0"/>
    <w:rsid w:val="00D62D40"/>
    <w:rsid w:val="00D62EB4"/>
    <w:rsid w:val="00D630D3"/>
    <w:rsid w:val="00D631BB"/>
    <w:rsid w:val="00D63223"/>
    <w:rsid w:val="00D63519"/>
    <w:rsid w:val="00D63548"/>
    <w:rsid w:val="00D636CB"/>
    <w:rsid w:val="00D6376B"/>
    <w:rsid w:val="00D6386E"/>
    <w:rsid w:val="00D63884"/>
    <w:rsid w:val="00D638AA"/>
    <w:rsid w:val="00D63908"/>
    <w:rsid w:val="00D63A8B"/>
    <w:rsid w:val="00D63A9D"/>
    <w:rsid w:val="00D63C18"/>
    <w:rsid w:val="00D63DF8"/>
    <w:rsid w:val="00D64181"/>
    <w:rsid w:val="00D64321"/>
    <w:rsid w:val="00D64335"/>
    <w:rsid w:val="00D64373"/>
    <w:rsid w:val="00D6443E"/>
    <w:rsid w:val="00D64468"/>
    <w:rsid w:val="00D64533"/>
    <w:rsid w:val="00D64606"/>
    <w:rsid w:val="00D646B9"/>
    <w:rsid w:val="00D6483A"/>
    <w:rsid w:val="00D648B0"/>
    <w:rsid w:val="00D6496D"/>
    <w:rsid w:val="00D64A13"/>
    <w:rsid w:val="00D64A93"/>
    <w:rsid w:val="00D64B76"/>
    <w:rsid w:val="00D64D73"/>
    <w:rsid w:val="00D64F23"/>
    <w:rsid w:val="00D64F77"/>
    <w:rsid w:val="00D6503F"/>
    <w:rsid w:val="00D6512C"/>
    <w:rsid w:val="00D651AB"/>
    <w:rsid w:val="00D65285"/>
    <w:rsid w:val="00D65309"/>
    <w:rsid w:val="00D654D3"/>
    <w:rsid w:val="00D654EF"/>
    <w:rsid w:val="00D65544"/>
    <w:rsid w:val="00D6555F"/>
    <w:rsid w:val="00D65675"/>
    <w:rsid w:val="00D65968"/>
    <w:rsid w:val="00D65C55"/>
    <w:rsid w:val="00D65C88"/>
    <w:rsid w:val="00D65CBA"/>
    <w:rsid w:val="00D65E3B"/>
    <w:rsid w:val="00D6601F"/>
    <w:rsid w:val="00D6608C"/>
    <w:rsid w:val="00D66240"/>
    <w:rsid w:val="00D662E0"/>
    <w:rsid w:val="00D66392"/>
    <w:rsid w:val="00D66694"/>
    <w:rsid w:val="00D66782"/>
    <w:rsid w:val="00D66881"/>
    <w:rsid w:val="00D6695C"/>
    <w:rsid w:val="00D669A4"/>
    <w:rsid w:val="00D66A74"/>
    <w:rsid w:val="00D66BA1"/>
    <w:rsid w:val="00D66C01"/>
    <w:rsid w:val="00D66DE8"/>
    <w:rsid w:val="00D66FA5"/>
    <w:rsid w:val="00D66FB9"/>
    <w:rsid w:val="00D6703D"/>
    <w:rsid w:val="00D67108"/>
    <w:rsid w:val="00D67189"/>
    <w:rsid w:val="00D673E1"/>
    <w:rsid w:val="00D6741A"/>
    <w:rsid w:val="00D674C1"/>
    <w:rsid w:val="00D6761A"/>
    <w:rsid w:val="00D67722"/>
    <w:rsid w:val="00D677B2"/>
    <w:rsid w:val="00D677E5"/>
    <w:rsid w:val="00D679C0"/>
    <w:rsid w:val="00D67BA1"/>
    <w:rsid w:val="00D67EFA"/>
    <w:rsid w:val="00D67F58"/>
    <w:rsid w:val="00D67FBB"/>
    <w:rsid w:val="00D67FFA"/>
    <w:rsid w:val="00D7012B"/>
    <w:rsid w:val="00D702EB"/>
    <w:rsid w:val="00D7046E"/>
    <w:rsid w:val="00D70481"/>
    <w:rsid w:val="00D70487"/>
    <w:rsid w:val="00D7053F"/>
    <w:rsid w:val="00D70569"/>
    <w:rsid w:val="00D70879"/>
    <w:rsid w:val="00D708FD"/>
    <w:rsid w:val="00D70C67"/>
    <w:rsid w:val="00D70E6F"/>
    <w:rsid w:val="00D70EDB"/>
    <w:rsid w:val="00D70F8F"/>
    <w:rsid w:val="00D7119C"/>
    <w:rsid w:val="00D71247"/>
    <w:rsid w:val="00D712D2"/>
    <w:rsid w:val="00D71371"/>
    <w:rsid w:val="00D715F1"/>
    <w:rsid w:val="00D717BD"/>
    <w:rsid w:val="00D718F0"/>
    <w:rsid w:val="00D7190F"/>
    <w:rsid w:val="00D71B6A"/>
    <w:rsid w:val="00D71C68"/>
    <w:rsid w:val="00D71D28"/>
    <w:rsid w:val="00D7203D"/>
    <w:rsid w:val="00D7206C"/>
    <w:rsid w:val="00D720E6"/>
    <w:rsid w:val="00D722D9"/>
    <w:rsid w:val="00D7230C"/>
    <w:rsid w:val="00D72384"/>
    <w:rsid w:val="00D72406"/>
    <w:rsid w:val="00D72877"/>
    <w:rsid w:val="00D72B41"/>
    <w:rsid w:val="00D72E53"/>
    <w:rsid w:val="00D73045"/>
    <w:rsid w:val="00D73091"/>
    <w:rsid w:val="00D73192"/>
    <w:rsid w:val="00D731F5"/>
    <w:rsid w:val="00D734A1"/>
    <w:rsid w:val="00D73567"/>
    <w:rsid w:val="00D7358D"/>
    <w:rsid w:val="00D7364F"/>
    <w:rsid w:val="00D73653"/>
    <w:rsid w:val="00D737EB"/>
    <w:rsid w:val="00D7383E"/>
    <w:rsid w:val="00D73855"/>
    <w:rsid w:val="00D7393F"/>
    <w:rsid w:val="00D73AD4"/>
    <w:rsid w:val="00D73B87"/>
    <w:rsid w:val="00D73B8E"/>
    <w:rsid w:val="00D73BB5"/>
    <w:rsid w:val="00D73C0B"/>
    <w:rsid w:val="00D73CC0"/>
    <w:rsid w:val="00D73EDD"/>
    <w:rsid w:val="00D74250"/>
    <w:rsid w:val="00D74523"/>
    <w:rsid w:val="00D746DB"/>
    <w:rsid w:val="00D74955"/>
    <w:rsid w:val="00D74C9E"/>
    <w:rsid w:val="00D74D0A"/>
    <w:rsid w:val="00D74EFF"/>
    <w:rsid w:val="00D74F41"/>
    <w:rsid w:val="00D75008"/>
    <w:rsid w:val="00D7503B"/>
    <w:rsid w:val="00D750B1"/>
    <w:rsid w:val="00D75185"/>
    <w:rsid w:val="00D75209"/>
    <w:rsid w:val="00D752CA"/>
    <w:rsid w:val="00D75360"/>
    <w:rsid w:val="00D7558C"/>
    <w:rsid w:val="00D75733"/>
    <w:rsid w:val="00D75AE4"/>
    <w:rsid w:val="00D75BF9"/>
    <w:rsid w:val="00D75D18"/>
    <w:rsid w:val="00D7601E"/>
    <w:rsid w:val="00D76172"/>
    <w:rsid w:val="00D761A8"/>
    <w:rsid w:val="00D76339"/>
    <w:rsid w:val="00D76341"/>
    <w:rsid w:val="00D765C9"/>
    <w:rsid w:val="00D76685"/>
    <w:rsid w:val="00D766BC"/>
    <w:rsid w:val="00D766EE"/>
    <w:rsid w:val="00D76733"/>
    <w:rsid w:val="00D768D5"/>
    <w:rsid w:val="00D768DC"/>
    <w:rsid w:val="00D769D3"/>
    <w:rsid w:val="00D76F03"/>
    <w:rsid w:val="00D76FCD"/>
    <w:rsid w:val="00D77019"/>
    <w:rsid w:val="00D77312"/>
    <w:rsid w:val="00D77589"/>
    <w:rsid w:val="00D775F6"/>
    <w:rsid w:val="00D776A8"/>
    <w:rsid w:val="00D7782C"/>
    <w:rsid w:val="00D77B21"/>
    <w:rsid w:val="00D77E5C"/>
    <w:rsid w:val="00D77EB4"/>
    <w:rsid w:val="00D8032C"/>
    <w:rsid w:val="00D8039E"/>
    <w:rsid w:val="00D803A5"/>
    <w:rsid w:val="00D803E2"/>
    <w:rsid w:val="00D804BC"/>
    <w:rsid w:val="00D805F2"/>
    <w:rsid w:val="00D806E5"/>
    <w:rsid w:val="00D8078A"/>
    <w:rsid w:val="00D807C1"/>
    <w:rsid w:val="00D807E4"/>
    <w:rsid w:val="00D808D4"/>
    <w:rsid w:val="00D80A75"/>
    <w:rsid w:val="00D80C8C"/>
    <w:rsid w:val="00D80E25"/>
    <w:rsid w:val="00D80FC6"/>
    <w:rsid w:val="00D80FD9"/>
    <w:rsid w:val="00D8118C"/>
    <w:rsid w:val="00D811EE"/>
    <w:rsid w:val="00D81213"/>
    <w:rsid w:val="00D8129C"/>
    <w:rsid w:val="00D814AA"/>
    <w:rsid w:val="00D81537"/>
    <w:rsid w:val="00D81729"/>
    <w:rsid w:val="00D81917"/>
    <w:rsid w:val="00D81A87"/>
    <w:rsid w:val="00D81AC5"/>
    <w:rsid w:val="00D81B18"/>
    <w:rsid w:val="00D81BCC"/>
    <w:rsid w:val="00D81C4B"/>
    <w:rsid w:val="00D81F09"/>
    <w:rsid w:val="00D82249"/>
    <w:rsid w:val="00D822E1"/>
    <w:rsid w:val="00D82579"/>
    <w:rsid w:val="00D825A4"/>
    <w:rsid w:val="00D8276E"/>
    <w:rsid w:val="00D82968"/>
    <w:rsid w:val="00D82B4C"/>
    <w:rsid w:val="00D82C43"/>
    <w:rsid w:val="00D82EEE"/>
    <w:rsid w:val="00D82FDA"/>
    <w:rsid w:val="00D8321A"/>
    <w:rsid w:val="00D832D3"/>
    <w:rsid w:val="00D833DC"/>
    <w:rsid w:val="00D834D2"/>
    <w:rsid w:val="00D837E8"/>
    <w:rsid w:val="00D838AE"/>
    <w:rsid w:val="00D83AAB"/>
    <w:rsid w:val="00D83B34"/>
    <w:rsid w:val="00D83BCD"/>
    <w:rsid w:val="00D83EC6"/>
    <w:rsid w:val="00D841F2"/>
    <w:rsid w:val="00D84205"/>
    <w:rsid w:val="00D84240"/>
    <w:rsid w:val="00D8428E"/>
    <w:rsid w:val="00D84299"/>
    <w:rsid w:val="00D8430E"/>
    <w:rsid w:val="00D84435"/>
    <w:rsid w:val="00D844A8"/>
    <w:rsid w:val="00D8473B"/>
    <w:rsid w:val="00D8474C"/>
    <w:rsid w:val="00D84877"/>
    <w:rsid w:val="00D8493B"/>
    <w:rsid w:val="00D849DE"/>
    <w:rsid w:val="00D84B44"/>
    <w:rsid w:val="00D84CCD"/>
    <w:rsid w:val="00D84EDF"/>
    <w:rsid w:val="00D84FBC"/>
    <w:rsid w:val="00D84FBF"/>
    <w:rsid w:val="00D85005"/>
    <w:rsid w:val="00D85154"/>
    <w:rsid w:val="00D851D0"/>
    <w:rsid w:val="00D85378"/>
    <w:rsid w:val="00D85462"/>
    <w:rsid w:val="00D85643"/>
    <w:rsid w:val="00D85846"/>
    <w:rsid w:val="00D858BF"/>
    <w:rsid w:val="00D85BFF"/>
    <w:rsid w:val="00D85C3D"/>
    <w:rsid w:val="00D85F5C"/>
    <w:rsid w:val="00D8600E"/>
    <w:rsid w:val="00D8601F"/>
    <w:rsid w:val="00D860A9"/>
    <w:rsid w:val="00D861BD"/>
    <w:rsid w:val="00D86293"/>
    <w:rsid w:val="00D863D0"/>
    <w:rsid w:val="00D8643A"/>
    <w:rsid w:val="00D86504"/>
    <w:rsid w:val="00D865C5"/>
    <w:rsid w:val="00D865D1"/>
    <w:rsid w:val="00D867FF"/>
    <w:rsid w:val="00D86B0C"/>
    <w:rsid w:val="00D86B45"/>
    <w:rsid w:val="00D86DB4"/>
    <w:rsid w:val="00D86FCE"/>
    <w:rsid w:val="00D873C6"/>
    <w:rsid w:val="00D87461"/>
    <w:rsid w:val="00D8755E"/>
    <w:rsid w:val="00D875D4"/>
    <w:rsid w:val="00D8772E"/>
    <w:rsid w:val="00D87864"/>
    <w:rsid w:val="00D87B35"/>
    <w:rsid w:val="00D87B3F"/>
    <w:rsid w:val="00D87D7B"/>
    <w:rsid w:val="00D900FF"/>
    <w:rsid w:val="00D901C7"/>
    <w:rsid w:val="00D901D6"/>
    <w:rsid w:val="00D902A4"/>
    <w:rsid w:val="00D9049A"/>
    <w:rsid w:val="00D9059D"/>
    <w:rsid w:val="00D90714"/>
    <w:rsid w:val="00D9083A"/>
    <w:rsid w:val="00D9086D"/>
    <w:rsid w:val="00D90926"/>
    <w:rsid w:val="00D90A1A"/>
    <w:rsid w:val="00D90C53"/>
    <w:rsid w:val="00D90D2D"/>
    <w:rsid w:val="00D90E41"/>
    <w:rsid w:val="00D91115"/>
    <w:rsid w:val="00D91215"/>
    <w:rsid w:val="00D9152C"/>
    <w:rsid w:val="00D9156D"/>
    <w:rsid w:val="00D916A4"/>
    <w:rsid w:val="00D916F8"/>
    <w:rsid w:val="00D91941"/>
    <w:rsid w:val="00D9195F"/>
    <w:rsid w:val="00D91B25"/>
    <w:rsid w:val="00D91B9F"/>
    <w:rsid w:val="00D91BE3"/>
    <w:rsid w:val="00D9232A"/>
    <w:rsid w:val="00D92387"/>
    <w:rsid w:val="00D924AC"/>
    <w:rsid w:val="00D92767"/>
    <w:rsid w:val="00D9277A"/>
    <w:rsid w:val="00D9289B"/>
    <w:rsid w:val="00D9291F"/>
    <w:rsid w:val="00D9295C"/>
    <w:rsid w:val="00D92A0A"/>
    <w:rsid w:val="00D92A1F"/>
    <w:rsid w:val="00D92B11"/>
    <w:rsid w:val="00D92B2B"/>
    <w:rsid w:val="00D92C47"/>
    <w:rsid w:val="00D92D44"/>
    <w:rsid w:val="00D92D7F"/>
    <w:rsid w:val="00D92F06"/>
    <w:rsid w:val="00D92F10"/>
    <w:rsid w:val="00D92FEF"/>
    <w:rsid w:val="00D9307E"/>
    <w:rsid w:val="00D9356A"/>
    <w:rsid w:val="00D935F7"/>
    <w:rsid w:val="00D9371D"/>
    <w:rsid w:val="00D93936"/>
    <w:rsid w:val="00D93A07"/>
    <w:rsid w:val="00D93AC1"/>
    <w:rsid w:val="00D93BD7"/>
    <w:rsid w:val="00D93FEC"/>
    <w:rsid w:val="00D94048"/>
    <w:rsid w:val="00D940A2"/>
    <w:rsid w:val="00D94438"/>
    <w:rsid w:val="00D944AB"/>
    <w:rsid w:val="00D9460C"/>
    <w:rsid w:val="00D94715"/>
    <w:rsid w:val="00D947FB"/>
    <w:rsid w:val="00D9480A"/>
    <w:rsid w:val="00D948A0"/>
    <w:rsid w:val="00D9490C"/>
    <w:rsid w:val="00D94ACF"/>
    <w:rsid w:val="00D94E22"/>
    <w:rsid w:val="00D94EFB"/>
    <w:rsid w:val="00D95025"/>
    <w:rsid w:val="00D95372"/>
    <w:rsid w:val="00D95447"/>
    <w:rsid w:val="00D95661"/>
    <w:rsid w:val="00D956DC"/>
    <w:rsid w:val="00D957F1"/>
    <w:rsid w:val="00D95A2C"/>
    <w:rsid w:val="00D95A86"/>
    <w:rsid w:val="00D95D33"/>
    <w:rsid w:val="00D95E1F"/>
    <w:rsid w:val="00D95E39"/>
    <w:rsid w:val="00D95E9C"/>
    <w:rsid w:val="00D95EAD"/>
    <w:rsid w:val="00D95ED0"/>
    <w:rsid w:val="00D95FFC"/>
    <w:rsid w:val="00D961A0"/>
    <w:rsid w:val="00D961A4"/>
    <w:rsid w:val="00D96319"/>
    <w:rsid w:val="00D96439"/>
    <w:rsid w:val="00D96526"/>
    <w:rsid w:val="00D9688E"/>
    <w:rsid w:val="00D96AC6"/>
    <w:rsid w:val="00D96B4E"/>
    <w:rsid w:val="00D96D4B"/>
    <w:rsid w:val="00D96D64"/>
    <w:rsid w:val="00D96D6A"/>
    <w:rsid w:val="00D96D83"/>
    <w:rsid w:val="00D96E56"/>
    <w:rsid w:val="00D97157"/>
    <w:rsid w:val="00D971A5"/>
    <w:rsid w:val="00D972B7"/>
    <w:rsid w:val="00D9741F"/>
    <w:rsid w:val="00D97444"/>
    <w:rsid w:val="00D97575"/>
    <w:rsid w:val="00D97647"/>
    <w:rsid w:val="00D977E2"/>
    <w:rsid w:val="00D977F8"/>
    <w:rsid w:val="00D97845"/>
    <w:rsid w:val="00D97853"/>
    <w:rsid w:val="00D97884"/>
    <w:rsid w:val="00D97A67"/>
    <w:rsid w:val="00D97A9B"/>
    <w:rsid w:val="00D97AB3"/>
    <w:rsid w:val="00D97C25"/>
    <w:rsid w:val="00DA0029"/>
    <w:rsid w:val="00DA02C7"/>
    <w:rsid w:val="00DA0644"/>
    <w:rsid w:val="00DA077C"/>
    <w:rsid w:val="00DA08C4"/>
    <w:rsid w:val="00DA0B77"/>
    <w:rsid w:val="00DA0BDF"/>
    <w:rsid w:val="00DA0D5A"/>
    <w:rsid w:val="00DA0D68"/>
    <w:rsid w:val="00DA0E2A"/>
    <w:rsid w:val="00DA0EFD"/>
    <w:rsid w:val="00DA116F"/>
    <w:rsid w:val="00DA13BC"/>
    <w:rsid w:val="00DA1400"/>
    <w:rsid w:val="00DA1474"/>
    <w:rsid w:val="00DA154F"/>
    <w:rsid w:val="00DA159D"/>
    <w:rsid w:val="00DA1705"/>
    <w:rsid w:val="00DA1945"/>
    <w:rsid w:val="00DA196A"/>
    <w:rsid w:val="00DA1A07"/>
    <w:rsid w:val="00DA1B64"/>
    <w:rsid w:val="00DA1C7D"/>
    <w:rsid w:val="00DA1DD4"/>
    <w:rsid w:val="00DA1E75"/>
    <w:rsid w:val="00DA20E5"/>
    <w:rsid w:val="00DA21B1"/>
    <w:rsid w:val="00DA2320"/>
    <w:rsid w:val="00DA2451"/>
    <w:rsid w:val="00DA25D2"/>
    <w:rsid w:val="00DA26E3"/>
    <w:rsid w:val="00DA27EE"/>
    <w:rsid w:val="00DA284A"/>
    <w:rsid w:val="00DA32F2"/>
    <w:rsid w:val="00DA33BA"/>
    <w:rsid w:val="00DA354A"/>
    <w:rsid w:val="00DA35A3"/>
    <w:rsid w:val="00DA3613"/>
    <w:rsid w:val="00DA3636"/>
    <w:rsid w:val="00DA36F7"/>
    <w:rsid w:val="00DA37A6"/>
    <w:rsid w:val="00DA3B53"/>
    <w:rsid w:val="00DA3FC0"/>
    <w:rsid w:val="00DA40FB"/>
    <w:rsid w:val="00DA4337"/>
    <w:rsid w:val="00DA4376"/>
    <w:rsid w:val="00DA4428"/>
    <w:rsid w:val="00DA442B"/>
    <w:rsid w:val="00DA44B1"/>
    <w:rsid w:val="00DA453A"/>
    <w:rsid w:val="00DA4597"/>
    <w:rsid w:val="00DA477F"/>
    <w:rsid w:val="00DA480B"/>
    <w:rsid w:val="00DA49ED"/>
    <w:rsid w:val="00DA4C8E"/>
    <w:rsid w:val="00DA4E58"/>
    <w:rsid w:val="00DA4F5B"/>
    <w:rsid w:val="00DA514C"/>
    <w:rsid w:val="00DA5156"/>
    <w:rsid w:val="00DA516E"/>
    <w:rsid w:val="00DA54C9"/>
    <w:rsid w:val="00DA5540"/>
    <w:rsid w:val="00DA55CE"/>
    <w:rsid w:val="00DA567E"/>
    <w:rsid w:val="00DA576F"/>
    <w:rsid w:val="00DA57E3"/>
    <w:rsid w:val="00DA5A67"/>
    <w:rsid w:val="00DA5A86"/>
    <w:rsid w:val="00DA5BC8"/>
    <w:rsid w:val="00DA5C09"/>
    <w:rsid w:val="00DA5DC8"/>
    <w:rsid w:val="00DA5EDF"/>
    <w:rsid w:val="00DA608A"/>
    <w:rsid w:val="00DA614D"/>
    <w:rsid w:val="00DA61E1"/>
    <w:rsid w:val="00DA62DC"/>
    <w:rsid w:val="00DA6499"/>
    <w:rsid w:val="00DA6555"/>
    <w:rsid w:val="00DA6644"/>
    <w:rsid w:val="00DA670E"/>
    <w:rsid w:val="00DA67C9"/>
    <w:rsid w:val="00DA6D67"/>
    <w:rsid w:val="00DA6E4E"/>
    <w:rsid w:val="00DA6EA2"/>
    <w:rsid w:val="00DA6F1D"/>
    <w:rsid w:val="00DA746D"/>
    <w:rsid w:val="00DA75A8"/>
    <w:rsid w:val="00DA770C"/>
    <w:rsid w:val="00DA7715"/>
    <w:rsid w:val="00DA79B5"/>
    <w:rsid w:val="00DA7C29"/>
    <w:rsid w:val="00DA7C31"/>
    <w:rsid w:val="00DA7D0A"/>
    <w:rsid w:val="00DA7D5C"/>
    <w:rsid w:val="00DA7D9A"/>
    <w:rsid w:val="00DA7F61"/>
    <w:rsid w:val="00DB0136"/>
    <w:rsid w:val="00DB0197"/>
    <w:rsid w:val="00DB03C3"/>
    <w:rsid w:val="00DB0440"/>
    <w:rsid w:val="00DB0494"/>
    <w:rsid w:val="00DB049E"/>
    <w:rsid w:val="00DB04BC"/>
    <w:rsid w:val="00DB0570"/>
    <w:rsid w:val="00DB0708"/>
    <w:rsid w:val="00DB078A"/>
    <w:rsid w:val="00DB0937"/>
    <w:rsid w:val="00DB0B4A"/>
    <w:rsid w:val="00DB0B91"/>
    <w:rsid w:val="00DB0B92"/>
    <w:rsid w:val="00DB0E8D"/>
    <w:rsid w:val="00DB112D"/>
    <w:rsid w:val="00DB122D"/>
    <w:rsid w:val="00DB1345"/>
    <w:rsid w:val="00DB13FD"/>
    <w:rsid w:val="00DB1494"/>
    <w:rsid w:val="00DB1774"/>
    <w:rsid w:val="00DB1801"/>
    <w:rsid w:val="00DB18B5"/>
    <w:rsid w:val="00DB1980"/>
    <w:rsid w:val="00DB19FD"/>
    <w:rsid w:val="00DB1D11"/>
    <w:rsid w:val="00DB1F0D"/>
    <w:rsid w:val="00DB2105"/>
    <w:rsid w:val="00DB2329"/>
    <w:rsid w:val="00DB23A9"/>
    <w:rsid w:val="00DB243B"/>
    <w:rsid w:val="00DB27A1"/>
    <w:rsid w:val="00DB2BC1"/>
    <w:rsid w:val="00DB2C2D"/>
    <w:rsid w:val="00DB2D88"/>
    <w:rsid w:val="00DB2ECA"/>
    <w:rsid w:val="00DB2F43"/>
    <w:rsid w:val="00DB30E9"/>
    <w:rsid w:val="00DB3134"/>
    <w:rsid w:val="00DB33E6"/>
    <w:rsid w:val="00DB3644"/>
    <w:rsid w:val="00DB3680"/>
    <w:rsid w:val="00DB372B"/>
    <w:rsid w:val="00DB37F5"/>
    <w:rsid w:val="00DB39B9"/>
    <w:rsid w:val="00DB3A40"/>
    <w:rsid w:val="00DB3C5C"/>
    <w:rsid w:val="00DB3CB8"/>
    <w:rsid w:val="00DB3DBA"/>
    <w:rsid w:val="00DB3E02"/>
    <w:rsid w:val="00DB3E7B"/>
    <w:rsid w:val="00DB42E5"/>
    <w:rsid w:val="00DB43C2"/>
    <w:rsid w:val="00DB4627"/>
    <w:rsid w:val="00DB4807"/>
    <w:rsid w:val="00DB48B6"/>
    <w:rsid w:val="00DB48E6"/>
    <w:rsid w:val="00DB49F9"/>
    <w:rsid w:val="00DB4A36"/>
    <w:rsid w:val="00DB4F1A"/>
    <w:rsid w:val="00DB501F"/>
    <w:rsid w:val="00DB52ED"/>
    <w:rsid w:val="00DB560A"/>
    <w:rsid w:val="00DB564B"/>
    <w:rsid w:val="00DB5676"/>
    <w:rsid w:val="00DB5783"/>
    <w:rsid w:val="00DB5809"/>
    <w:rsid w:val="00DB5868"/>
    <w:rsid w:val="00DB594F"/>
    <w:rsid w:val="00DB5A61"/>
    <w:rsid w:val="00DB5CD3"/>
    <w:rsid w:val="00DB6510"/>
    <w:rsid w:val="00DB6A21"/>
    <w:rsid w:val="00DB6A5B"/>
    <w:rsid w:val="00DB6A69"/>
    <w:rsid w:val="00DB6CF3"/>
    <w:rsid w:val="00DB6D2B"/>
    <w:rsid w:val="00DB6F94"/>
    <w:rsid w:val="00DB710A"/>
    <w:rsid w:val="00DB71E0"/>
    <w:rsid w:val="00DB73B8"/>
    <w:rsid w:val="00DB74CA"/>
    <w:rsid w:val="00DB77C9"/>
    <w:rsid w:val="00DB78F8"/>
    <w:rsid w:val="00DB7916"/>
    <w:rsid w:val="00DB7B8B"/>
    <w:rsid w:val="00DC00D1"/>
    <w:rsid w:val="00DC0303"/>
    <w:rsid w:val="00DC039F"/>
    <w:rsid w:val="00DC040E"/>
    <w:rsid w:val="00DC041E"/>
    <w:rsid w:val="00DC06AA"/>
    <w:rsid w:val="00DC06EE"/>
    <w:rsid w:val="00DC075F"/>
    <w:rsid w:val="00DC0799"/>
    <w:rsid w:val="00DC08D0"/>
    <w:rsid w:val="00DC0B12"/>
    <w:rsid w:val="00DC0B37"/>
    <w:rsid w:val="00DC0BA0"/>
    <w:rsid w:val="00DC0D8C"/>
    <w:rsid w:val="00DC1023"/>
    <w:rsid w:val="00DC1141"/>
    <w:rsid w:val="00DC1241"/>
    <w:rsid w:val="00DC1435"/>
    <w:rsid w:val="00DC14CB"/>
    <w:rsid w:val="00DC19CD"/>
    <w:rsid w:val="00DC1A3A"/>
    <w:rsid w:val="00DC1A3B"/>
    <w:rsid w:val="00DC1CBE"/>
    <w:rsid w:val="00DC1CFD"/>
    <w:rsid w:val="00DC1E00"/>
    <w:rsid w:val="00DC1E57"/>
    <w:rsid w:val="00DC1ED9"/>
    <w:rsid w:val="00DC203C"/>
    <w:rsid w:val="00DC209C"/>
    <w:rsid w:val="00DC20DF"/>
    <w:rsid w:val="00DC2726"/>
    <w:rsid w:val="00DC2747"/>
    <w:rsid w:val="00DC2780"/>
    <w:rsid w:val="00DC28A4"/>
    <w:rsid w:val="00DC28D0"/>
    <w:rsid w:val="00DC2917"/>
    <w:rsid w:val="00DC2959"/>
    <w:rsid w:val="00DC2993"/>
    <w:rsid w:val="00DC29BF"/>
    <w:rsid w:val="00DC2ABB"/>
    <w:rsid w:val="00DC2C1C"/>
    <w:rsid w:val="00DC2E44"/>
    <w:rsid w:val="00DC2E74"/>
    <w:rsid w:val="00DC2F1A"/>
    <w:rsid w:val="00DC2F6F"/>
    <w:rsid w:val="00DC2F83"/>
    <w:rsid w:val="00DC302A"/>
    <w:rsid w:val="00DC30A8"/>
    <w:rsid w:val="00DC3147"/>
    <w:rsid w:val="00DC31BB"/>
    <w:rsid w:val="00DC31C7"/>
    <w:rsid w:val="00DC3205"/>
    <w:rsid w:val="00DC3466"/>
    <w:rsid w:val="00DC34A8"/>
    <w:rsid w:val="00DC3679"/>
    <w:rsid w:val="00DC3691"/>
    <w:rsid w:val="00DC3A15"/>
    <w:rsid w:val="00DC3A65"/>
    <w:rsid w:val="00DC3BAD"/>
    <w:rsid w:val="00DC40F1"/>
    <w:rsid w:val="00DC42C7"/>
    <w:rsid w:val="00DC43DA"/>
    <w:rsid w:val="00DC45A5"/>
    <w:rsid w:val="00DC4643"/>
    <w:rsid w:val="00DC471F"/>
    <w:rsid w:val="00DC490F"/>
    <w:rsid w:val="00DC4A92"/>
    <w:rsid w:val="00DC4D27"/>
    <w:rsid w:val="00DC4DAB"/>
    <w:rsid w:val="00DC4E2D"/>
    <w:rsid w:val="00DC4EFF"/>
    <w:rsid w:val="00DC5054"/>
    <w:rsid w:val="00DC5103"/>
    <w:rsid w:val="00DC556F"/>
    <w:rsid w:val="00DC56A8"/>
    <w:rsid w:val="00DC5907"/>
    <w:rsid w:val="00DC592A"/>
    <w:rsid w:val="00DC5AFE"/>
    <w:rsid w:val="00DC5BC1"/>
    <w:rsid w:val="00DC5FBB"/>
    <w:rsid w:val="00DC6142"/>
    <w:rsid w:val="00DC625A"/>
    <w:rsid w:val="00DC63AA"/>
    <w:rsid w:val="00DC6565"/>
    <w:rsid w:val="00DC664F"/>
    <w:rsid w:val="00DC670C"/>
    <w:rsid w:val="00DC6AA2"/>
    <w:rsid w:val="00DC6AC1"/>
    <w:rsid w:val="00DC6AE8"/>
    <w:rsid w:val="00DC71C6"/>
    <w:rsid w:val="00DC74A1"/>
    <w:rsid w:val="00DC7621"/>
    <w:rsid w:val="00DC76CB"/>
    <w:rsid w:val="00DC7837"/>
    <w:rsid w:val="00DC78C1"/>
    <w:rsid w:val="00DC78E2"/>
    <w:rsid w:val="00DC7B3D"/>
    <w:rsid w:val="00DC7EA7"/>
    <w:rsid w:val="00DC7EEC"/>
    <w:rsid w:val="00DC7F66"/>
    <w:rsid w:val="00DD0108"/>
    <w:rsid w:val="00DD02C7"/>
    <w:rsid w:val="00DD0380"/>
    <w:rsid w:val="00DD03F6"/>
    <w:rsid w:val="00DD08AE"/>
    <w:rsid w:val="00DD0B8F"/>
    <w:rsid w:val="00DD0D36"/>
    <w:rsid w:val="00DD0E36"/>
    <w:rsid w:val="00DD0EAF"/>
    <w:rsid w:val="00DD0FCA"/>
    <w:rsid w:val="00DD11AA"/>
    <w:rsid w:val="00DD1230"/>
    <w:rsid w:val="00DD129B"/>
    <w:rsid w:val="00DD130E"/>
    <w:rsid w:val="00DD132D"/>
    <w:rsid w:val="00DD13C9"/>
    <w:rsid w:val="00DD13E5"/>
    <w:rsid w:val="00DD17E1"/>
    <w:rsid w:val="00DD1947"/>
    <w:rsid w:val="00DD194F"/>
    <w:rsid w:val="00DD1955"/>
    <w:rsid w:val="00DD19AB"/>
    <w:rsid w:val="00DD19EC"/>
    <w:rsid w:val="00DD1A60"/>
    <w:rsid w:val="00DD1B39"/>
    <w:rsid w:val="00DD1C13"/>
    <w:rsid w:val="00DD1C3A"/>
    <w:rsid w:val="00DD1DB8"/>
    <w:rsid w:val="00DD1E11"/>
    <w:rsid w:val="00DD1E3D"/>
    <w:rsid w:val="00DD2099"/>
    <w:rsid w:val="00DD2107"/>
    <w:rsid w:val="00DD24F9"/>
    <w:rsid w:val="00DD25D0"/>
    <w:rsid w:val="00DD263D"/>
    <w:rsid w:val="00DD27C2"/>
    <w:rsid w:val="00DD28A5"/>
    <w:rsid w:val="00DD2944"/>
    <w:rsid w:val="00DD2A31"/>
    <w:rsid w:val="00DD2BD3"/>
    <w:rsid w:val="00DD2C64"/>
    <w:rsid w:val="00DD2E7A"/>
    <w:rsid w:val="00DD2EAD"/>
    <w:rsid w:val="00DD2F47"/>
    <w:rsid w:val="00DD31AA"/>
    <w:rsid w:val="00DD32D3"/>
    <w:rsid w:val="00DD3341"/>
    <w:rsid w:val="00DD345A"/>
    <w:rsid w:val="00DD39EB"/>
    <w:rsid w:val="00DD3A0A"/>
    <w:rsid w:val="00DD3BDC"/>
    <w:rsid w:val="00DD4383"/>
    <w:rsid w:val="00DD4442"/>
    <w:rsid w:val="00DD44BB"/>
    <w:rsid w:val="00DD4529"/>
    <w:rsid w:val="00DD45A3"/>
    <w:rsid w:val="00DD46C2"/>
    <w:rsid w:val="00DD4734"/>
    <w:rsid w:val="00DD489F"/>
    <w:rsid w:val="00DD494B"/>
    <w:rsid w:val="00DD496B"/>
    <w:rsid w:val="00DD498A"/>
    <w:rsid w:val="00DD49D8"/>
    <w:rsid w:val="00DD4A7C"/>
    <w:rsid w:val="00DD4BF0"/>
    <w:rsid w:val="00DD4C5A"/>
    <w:rsid w:val="00DD4DD0"/>
    <w:rsid w:val="00DD51A3"/>
    <w:rsid w:val="00DD51F0"/>
    <w:rsid w:val="00DD5213"/>
    <w:rsid w:val="00DD5314"/>
    <w:rsid w:val="00DD532B"/>
    <w:rsid w:val="00DD533A"/>
    <w:rsid w:val="00DD543B"/>
    <w:rsid w:val="00DD5486"/>
    <w:rsid w:val="00DD54F5"/>
    <w:rsid w:val="00DD5592"/>
    <w:rsid w:val="00DD55FE"/>
    <w:rsid w:val="00DD5625"/>
    <w:rsid w:val="00DD573C"/>
    <w:rsid w:val="00DD57C6"/>
    <w:rsid w:val="00DD5930"/>
    <w:rsid w:val="00DD59B7"/>
    <w:rsid w:val="00DD5BFD"/>
    <w:rsid w:val="00DD5C03"/>
    <w:rsid w:val="00DD5C0E"/>
    <w:rsid w:val="00DD5C71"/>
    <w:rsid w:val="00DD5CC9"/>
    <w:rsid w:val="00DD60EC"/>
    <w:rsid w:val="00DD6258"/>
    <w:rsid w:val="00DD628E"/>
    <w:rsid w:val="00DD62E7"/>
    <w:rsid w:val="00DD63AD"/>
    <w:rsid w:val="00DD64B8"/>
    <w:rsid w:val="00DD6699"/>
    <w:rsid w:val="00DD66D5"/>
    <w:rsid w:val="00DD68AA"/>
    <w:rsid w:val="00DD7059"/>
    <w:rsid w:val="00DD70F6"/>
    <w:rsid w:val="00DD7110"/>
    <w:rsid w:val="00DD7229"/>
    <w:rsid w:val="00DD722E"/>
    <w:rsid w:val="00DD739B"/>
    <w:rsid w:val="00DD740C"/>
    <w:rsid w:val="00DD749E"/>
    <w:rsid w:val="00DD7652"/>
    <w:rsid w:val="00DD791D"/>
    <w:rsid w:val="00DD796E"/>
    <w:rsid w:val="00DD79E3"/>
    <w:rsid w:val="00DD7A29"/>
    <w:rsid w:val="00DD7CAF"/>
    <w:rsid w:val="00DD7D17"/>
    <w:rsid w:val="00DD7E18"/>
    <w:rsid w:val="00DD7E1A"/>
    <w:rsid w:val="00DE0103"/>
    <w:rsid w:val="00DE01D9"/>
    <w:rsid w:val="00DE04BE"/>
    <w:rsid w:val="00DE0612"/>
    <w:rsid w:val="00DE06EE"/>
    <w:rsid w:val="00DE0717"/>
    <w:rsid w:val="00DE0791"/>
    <w:rsid w:val="00DE092A"/>
    <w:rsid w:val="00DE0954"/>
    <w:rsid w:val="00DE09B1"/>
    <w:rsid w:val="00DE0C99"/>
    <w:rsid w:val="00DE0E46"/>
    <w:rsid w:val="00DE0E57"/>
    <w:rsid w:val="00DE0E8F"/>
    <w:rsid w:val="00DE1284"/>
    <w:rsid w:val="00DE12A4"/>
    <w:rsid w:val="00DE12A5"/>
    <w:rsid w:val="00DE134F"/>
    <w:rsid w:val="00DE150B"/>
    <w:rsid w:val="00DE1660"/>
    <w:rsid w:val="00DE1872"/>
    <w:rsid w:val="00DE189D"/>
    <w:rsid w:val="00DE190C"/>
    <w:rsid w:val="00DE1BD1"/>
    <w:rsid w:val="00DE1CF4"/>
    <w:rsid w:val="00DE1DDB"/>
    <w:rsid w:val="00DE2027"/>
    <w:rsid w:val="00DE2180"/>
    <w:rsid w:val="00DE22E3"/>
    <w:rsid w:val="00DE2420"/>
    <w:rsid w:val="00DE2690"/>
    <w:rsid w:val="00DE26A1"/>
    <w:rsid w:val="00DE26DB"/>
    <w:rsid w:val="00DE2850"/>
    <w:rsid w:val="00DE28F4"/>
    <w:rsid w:val="00DE2B3A"/>
    <w:rsid w:val="00DE2B8F"/>
    <w:rsid w:val="00DE2D4D"/>
    <w:rsid w:val="00DE2D5A"/>
    <w:rsid w:val="00DE2DFB"/>
    <w:rsid w:val="00DE2E57"/>
    <w:rsid w:val="00DE303F"/>
    <w:rsid w:val="00DE31B6"/>
    <w:rsid w:val="00DE31E4"/>
    <w:rsid w:val="00DE32A9"/>
    <w:rsid w:val="00DE3329"/>
    <w:rsid w:val="00DE336C"/>
    <w:rsid w:val="00DE33B0"/>
    <w:rsid w:val="00DE35CC"/>
    <w:rsid w:val="00DE3638"/>
    <w:rsid w:val="00DE3702"/>
    <w:rsid w:val="00DE392A"/>
    <w:rsid w:val="00DE39CB"/>
    <w:rsid w:val="00DE3A8B"/>
    <w:rsid w:val="00DE3BAD"/>
    <w:rsid w:val="00DE3BC0"/>
    <w:rsid w:val="00DE3C0B"/>
    <w:rsid w:val="00DE3DD4"/>
    <w:rsid w:val="00DE3E06"/>
    <w:rsid w:val="00DE4057"/>
    <w:rsid w:val="00DE4207"/>
    <w:rsid w:val="00DE43E4"/>
    <w:rsid w:val="00DE4446"/>
    <w:rsid w:val="00DE4464"/>
    <w:rsid w:val="00DE45D9"/>
    <w:rsid w:val="00DE46B2"/>
    <w:rsid w:val="00DE46FD"/>
    <w:rsid w:val="00DE47E1"/>
    <w:rsid w:val="00DE4845"/>
    <w:rsid w:val="00DE499B"/>
    <w:rsid w:val="00DE4A6C"/>
    <w:rsid w:val="00DE4E2C"/>
    <w:rsid w:val="00DE4F2C"/>
    <w:rsid w:val="00DE4FF0"/>
    <w:rsid w:val="00DE505A"/>
    <w:rsid w:val="00DE5172"/>
    <w:rsid w:val="00DE51F0"/>
    <w:rsid w:val="00DE53E8"/>
    <w:rsid w:val="00DE53FA"/>
    <w:rsid w:val="00DE54B7"/>
    <w:rsid w:val="00DE58C7"/>
    <w:rsid w:val="00DE5982"/>
    <w:rsid w:val="00DE5DCE"/>
    <w:rsid w:val="00DE62C9"/>
    <w:rsid w:val="00DE6565"/>
    <w:rsid w:val="00DE68E2"/>
    <w:rsid w:val="00DE69D2"/>
    <w:rsid w:val="00DE6A23"/>
    <w:rsid w:val="00DE6C07"/>
    <w:rsid w:val="00DE6F24"/>
    <w:rsid w:val="00DE7027"/>
    <w:rsid w:val="00DE7071"/>
    <w:rsid w:val="00DE71B3"/>
    <w:rsid w:val="00DE729A"/>
    <w:rsid w:val="00DE72DD"/>
    <w:rsid w:val="00DE731D"/>
    <w:rsid w:val="00DE734A"/>
    <w:rsid w:val="00DE777A"/>
    <w:rsid w:val="00DE7791"/>
    <w:rsid w:val="00DE7965"/>
    <w:rsid w:val="00DE7A71"/>
    <w:rsid w:val="00DE7BA5"/>
    <w:rsid w:val="00DE7C09"/>
    <w:rsid w:val="00DE7C83"/>
    <w:rsid w:val="00DE7CD3"/>
    <w:rsid w:val="00DF00E7"/>
    <w:rsid w:val="00DF011E"/>
    <w:rsid w:val="00DF0168"/>
    <w:rsid w:val="00DF0206"/>
    <w:rsid w:val="00DF047B"/>
    <w:rsid w:val="00DF0822"/>
    <w:rsid w:val="00DF08F4"/>
    <w:rsid w:val="00DF0A3D"/>
    <w:rsid w:val="00DF0A96"/>
    <w:rsid w:val="00DF0BDB"/>
    <w:rsid w:val="00DF0D6E"/>
    <w:rsid w:val="00DF0EC4"/>
    <w:rsid w:val="00DF0F49"/>
    <w:rsid w:val="00DF0FE7"/>
    <w:rsid w:val="00DF1016"/>
    <w:rsid w:val="00DF1159"/>
    <w:rsid w:val="00DF16B6"/>
    <w:rsid w:val="00DF175E"/>
    <w:rsid w:val="00DF1A6E"/>
    <w:rsid w:val="00DF1AAE"/>
    <w:rsid w:val="00DF1BB2"/>
    <w:rsid w:val="00DF1BD3"/>
    <w:rsid w:val="00DF1C4B"/>
    <w:rsid w:val="00DF1EEB"/>
    <w:rsid w:val="00DF200D"/>
    <w:rsid w:val="00DF23B8"/>
    <w:rsid w:val="00DF24D0"/>
    <w:rsid w:val="00DF258D"/>
    <w:rsid w:val="00DF25E7"/>
    <w:rsid w:val="00DF26AD"/>
    <w:rsid w:val="00DF2B67"/>
    <w:rsid w:val="00DF2E63"/>
    <w:rsid w:val="00DF2E6B"/>
    <w:rsid w:val="00DF2F5C"/>
    <w:rsid w:val="00DF318E"/>
    <w:rsid w:val="00DF31B0"/>
    <w:rsid w:val="00DF335A"/>
    <w:rsid w:val="00DF34D9"/>
    <w:rsid w:val="00DF362C"/>
    <w:rsid w:val="00DF36E9"/>
    <w:rsid w:val="00DF3907"/>
    <w:rsid w:val="00DF3983"/>
    <w:rsid w:val="00DF39A2"/>
    <w:rsid w:val="00DF39DD"/>
    <w:rsid w:val="00DF3A26"/>
    <w:rsid w:val="00DF3A32"/>
    <w:rsid w:val="00DF3B14"/>
    <w:rsid w:val="00DF3B3A"/>
    <w:rsid w:val="00DF3B45"/>
    <w:rsid w:val="00DF3C19"/>
    <w:rsid w:val="00DF411F"/>
    <w:rsid w:val="00DF4313"/>
    <w:rsid w:val="00DF4350"/>
    <w:rsid w:val="00DF4700"/>
    <w:rsid w:val="00DF4A67"/>
    <w:rsid w:val="00DF4A9C"/>
    <w:rsid w:val="00DF4BBC"/>
    <w:rsid w:val="00DF4EC9"/>
    <w:rsid w:val="00DF5095"/>
    <w:rsid w:val="00DF5256"/>
    <w:rsid w:val="00DF54C0"/>
    <w:rsid w:val="00DF552D"/>
    <w:rsid w:val="00DF573B"/>
    <w:rsid w:val="00DF57A0"/>
    <w:rsid w:val="00DF58C0"/>
    <w:rsid w:val="00DF5943"/>
    <w:rsid w:val="00DF5B5B"/>
    <w:rsid w:val="00DF5B90"/>
    <w:rsid w:val="00DF5E0F"/>
    <w:rsid w:val="00DF5F79"/>
    <w:rsid w:val="00DF5FFE"/>
    <w:rsid w:val="00DF601E"/>
    <w:rsid w:val="00DF60A9"/>
    <w:rsid w:val="00DF61B9"/>
    <w:rsid w:val="00DF648E"/>
    <w:rsid w:val="00DF6502"/>
    <w:rsid w:val="00DF669B"/>
    <w:rsid w:val="00DF66C1"/>
    <w:rsid w:val="00DF66CB"/>
    <w:rsid w:val="00DF69C9"/>
    <w:rsid w:val="00DF6B49"/>
    <w:rsid w:val="00DF6BB5"/>
    <w:rsid w:val="00DF6D88"/>
    <w:rsid w:val="00DF6D98"/>
    <w:rsid w:val="00DF6FA9"/>
    <w:rsid w:val="00DF71ED"/>
    <w:rsid w:val="00DF726C"/>
    <w:rsid w:val="00DF7287"/>
    <w:rsid w:val="00DF72AF"/>
    <w:rsid w:val="00DF7539"/>
    <w:rsid w:val="00DF7621"/>
    <w:rsid w:val="00DF76EE"/>
    <w:rsid w:val="00DF77C2"/>
    <w:rsid w:val="00DF7834"/>
    <w:rsid w:val="00DF7846"/>
    <w:rsid w:val="00DF78A4"/>
    <w:rsid w:val="00DF7C3E"/>
    <w:rsid w:val="00DF7FBE"/>
    <w:rsid w:val="00E0011E"/>
    <w:rsid w:val="00E00163"/>
    <w:rsid w:val="00E0016A"/>
    <w:rsid w:val="00E00575"/>
    <w:rsid w:val="00E005E4"/>
    <w:rsid w:val="00E00B19"/>
    <w:rsid w:val="00E00BE4"/>
    <w:rsid w:val="00E00BEF"/>
    <w:rsid w:val="00E00F61"/>
    <w:rsid w:val="00E00FD0"/>
    <w:rsid w:val="00E01009"/>
    <w:rsid w:val="00E010CD"/>
    <w:rsid w:val="00E0128E"/>
    <w:rsid w:val="00E012F1"/>
    <w:rsid w:val="00E0135A"/>
    <w:rsid w:val="00E013C6"/>
    <w:rsid w:val="00E01584"/>
    <w:rsid w:val="00E01590"/>
    <w:rsid w:val="00E015AC"/>
    <w:rsid w:val="00E01725"/>
    <w:rsid w:val="00E0172A"/>
    <w:rsid w:val="00E017F4"/>
    <w:rsid w:val="00E0181A"/>
    <w:rsid w:val="00E01833"/>
    <w:rsid w:val="00E01980"/>
    <w:rsid w:val="00E019B4"/>
    <w:rsid w:val="00E01B0D"/>
    <w:rsid w:val="00E01B48"/>
    <w:rsid w:val="00E01C57"/>
    <w:rsid w:val="00E01CCB"/>
    <w:rsid w:val="00E01CEE"/>
    <w:rsid w:val="00E01D09"/>
    <w:rsid w:val="00E01D64"/>
    <w:rsid w:val="00E01D86"/>
    <w:rsid w:val="00E01DD7"/>
    <w:rsid w:val="00E01E3D"/>
    <w:rsid w:val="00E021C7"/>
    <w:rsid w:val="00E021D7"/>
    <w:rsid w:val="00E02276"/>
    <w:rsid w:val="00E022F6"/>
    <w:rsid w:val="00E02584"/>
    <w:rsid w:val="00E0287B"/>
    <w:rsid w:val="00E02A77"/>
    <w:rsid w:val="00E02AA1"/>
    <w:rsid w:val="00E02AF8"/>
    <w:rsid w:val="00E02E69"/>
    <w:rsid w:val="00E02F6E"/>
    <w:rsid w:val="00E0312C"/>
    <w:rsid w:val="00E03137"/>
    <w:rsid w:val="00E031B8"/>
    <w:rsid w:val="00E031D7"/>
    <w:rsid w:val="00E03259"/>
    <w:rsid w:val="00E03287"/>
    <w:rsid w:val="00E03337"/>
    <w:rsid w:val="00E0337F"/>
    <w:rsid w:val="00E0345B"/>
    <w:rsid w:val="00E034FA"/>
    <w:rsid w:val="00E035CE"/>
    <w:rsid w:val="00E03715"/>
    <w:rsid w:val="00E03822"/>
    <w:rsid w:val="00E038CE"/>
    <w:rsid w:val="00E03962"/>
    <w:rsid w:val="00E03D01"/>
    <w:rsid w:val="00E03DE1"/>
    <w:rsid w:val="00E0416F"/>
    <w:rsid w:val="00E041E2"/>
    <w:rsid w:val="00E041EF"/>
    <w:rsid w:val="00E041F1"/>
    <w:rsid w:val="00E042AC"/>
    <w:rsid w:val="00E04315"/>
    <w:rsid w:val="00E04617"/>
    <w:rsid w:val="00E04657"/>
    <w:rsid w:val="00E0468D"/>
    <w:rsid w:val="00E047FE"/>
    <w:rsid w:val="00E04865"/>
    <w:rsid w:val="00E04960"/>
    <w:rsid w:val="00E04A15"/>
    <w:rsid w:val="00E04B7F"/>
    <w:rsid w:val="00E04BA3"/>
    <w:rsid w:val="00E04F86"/>
    <w:rsid w:val="00E04F92"/>
    <w:rsid w:val="00E05084"/>
    <w:rsid w:val="00E05301"/>
    <w:rsid w:val="00E05342"/>
    <w:rsid w:val="00E0535D"/>
    <w:rsid w:val="00E055B5"/>
    <w:rsid w:val="00E05941"/>
    <w:rsid w:val="00E059AD"/>
    <w:rsid w:val="00E059E3"/>
    <w:rsid w:val="00E05AA8"/>
    <w:rsid w:val="00E05AEA"/>
    <w:rsid w:val="00E05B20"/>
    <w:rsid w:val="00E05B55"/>
    <w:rsid w:val="00E05CB5"/>
    <w:rsid w:val="00E05CB7"/>
    <w:rsid w:val="00E05D59"/>
    <w:rsid w:val="00E05D8E"/>
    <w:rsid w:val="00E06035"/>
    <w:rsid w:val="00E0606A"/>
    <w:rsid w:val="00E060A6"/>
    <w:rsid w:val="00E060B0"/>
    <w:rsid w:val="00E0621F"/>
    <w:rsid w:val="00E0626A"/>
    <w:rsid w:val="00E06400"/>
    <w:rsid w:val="00E06701"/>
    <w:rsid w:val="00E067B6"/>
    <w:rsid w:val="00E06861"/>
    <w:rsid w:val="00E06915"/>
    <w:rsid w:val="00E06AD6"/>
    <w:rsid w:val="00E06C6E"/>
    <w:rsid w:val="00E06CE5"/>
    <w:rsid w:val="00E07382"/>
    <w:rsid w:val="00E075E1"/>
    <w:rsid w:val="00E076DF"/>
    <w:rsid w:val="00E078A1"/>
    <w:rsid w:val="00E079C4"/>
    <w:rsid w:val="00E07A3B"/>
    <w:rsid w:val="00E07AA3"/>
    <w:rsid w:val="00E07D27"/>
    <w:rsid w:val="00E07E3D"/>
    <w:rsid w:val="00E07E40"/>
    <w:rsid w:val="00E07EA9"/>
    <w:rsid w:val="00E1002B"/>
    <w:rsid w:val="00E10057"/>
    <w:rsid w:val="00E102EB"/>
    <w:rsid w:val="00E1031E"/>
    <w:rsid w:val="00E10405"/>
    <w:rsid w:val="00E104FA"/>
    <w:rsid w:val="00E10553"/>
    <w:rsid w:val="00E105CC"/>
    <w:rsid w:val="00E106D9"/>
    <w:rsid w:val="00E1073C"/>
    <w:rsid w:val="00E107C2"/>
    <w:rsid w:val="00E10835"/>
    <w:rsid w:val="00E10955"/>
    <w:rsid w:val="00E10B11"/>
    <w:rsid w:val="00E10D76"/>
    <w:rsid w:val="00E10EB0"/>
    <w:rsid w:val="00E10F63"/>
    <w:rsid w:val="00E111B5"/>
    <w:rsid w:val="00E112B9"/>
    <w:rsid w:val="00E11359"/>
    <w:rsid w:val="00E113A6"/>
    <w:rsid w:val="00E1146E"/>
    <w:rsid w:val="00E115A1"/>
    <w:rsid w:val="00E11649"/>
    <w:rsid w:val="00E116D8"/>
    <w:rsid w:val="00E1174F"/>
    <w:rsid w:val="00E1176C"/>
    <w:rsid w:val="00E118EC"/>
    <w:rsid w:val="00E11D91"/>
    <w:rsid w:val="00E11DE1"/>
    <w:rsid w:val="00E11F23"/>
    <w:rsid w:val="00E11F71"/>
    <w:rsid w:val="00E12033"/>
    <w:rsid w:val="00E1206B"/>
    <w:rsid w:val="00E1210A"/>
    <w:rsid w:val="00E1216F"/>
    <w:rsid w:val="00E12185"/>
    <w:rsid w:val="00E1218C"/>
    <w:rsid w:val="00E1233E"/>
    <w:rsid w:val="00E125B8"/>
    <w:rsid w:val="00E12754"/>
    <w:rsid w:val="00E12A62"/>
    <w:rsid w:val="00E12D2D"/>
    <w:rsid w:val="00E12DD1"/>
    <w:rsid w:val="00E12F7F"/>
    <w:rsid w:val="00E12FDB"/>
    <w:rsid w:val="00E12FE2"/>
    <w:rsid w:val="00E1306F"/>
    <w:rsid w:val="00E1308A"/>
    <w:rsid w:val="00E130AD"/>
    <w:rsid w:val="00E130F0"/>
    <w:rsid w:val="00E1355A"/>
    <w:rsid w:val="00E135FD"/>
    <w:rsid w:val="00E1362E"/>
    <w:rsid w:val="00E136A3"/>
    <w:rsid w:val="00E136C7"/>
    <w:rsid w:val="00E13807"/>
    <w:rsid w:val="00E13853"/>
    <w:rsid w:val="00E13B8B"/>
    <w:rsid w:val="00E13D0B"/>
    <w:rsid w:val="00E13DDA"/>
    <w:rsid w:val="00E141E3"/>
    <w:rsid w:val="00E14430"/>
    <w:rsid w:val="00E144AF"/>
    <w:rsid w:val="00E144EA"/>
    <w:rsid w:val="00E145F8"/>
    <w:rsid w:val="00E14662"/>
    <w:rsid w:val="00E1473A"/>
    <w:rsid w:val="00E147D9"/>
    <w:rsid w:val="00E1482E"/>
    <w:rsid w:val="00E14C2D"/>
    <w:rsid w:val="00E14C33"/>
    <w:rsid w:val="00E14DFE"/>
    <w:rsid w:val="00E14F94"/>
    <w:rsid w:val="00E1503F"/>
    <w:rsid w:val="00E1516D"/>
    <w:rsid w:val="00E15200"/>
    <w:rsid w:val="00E152BE"/>
    <w:rsid w:val="00E15374"/>
    <w:rsid w:val="00E1555E"/>
    <w:rsid w:val="00E1561A"/>
    <w:rsid w:val="00E15647"/>
    <w:rsid w:val="00E15891"/>
    <w:rsid w:val="00E15990"/>
    <w:rsid w:val="00E15AF7"/>
    <w:rsid w:val="00E15C29"/>
    <w:rsid w:val="00E15C3F"/>
    <w:rsid w:val="00E16062"/>
    <w:rsid w:val="00E16068"/>
    <w:rsid w:val="00E16094"/>
    <w:rsid w:val="00E161F2"/>
    <w:rsid w:val="00E16437"/>
    <w:rsid w:val="00E1643A"/>
    <w:rsid w:val="00E1654D"/>
    <w:rsid w:val="00E16581"/>
    <w:rsid w:val="00E16590"/>
    <w:rsid w:val="00E16A3E"/>
    <w:rsid w:val="00E16C1F"/>
    <w:rsid w:val="00E16D6D"/>
    <w:rsid w:val="00E16D99"/>
    <w:rsid w:val="00E16E29"/>
    <w:rsid w:val="00E17044"/>
    <w:rsid w:val="00E17274"/>
    <w:rsid w:val="00E1730A"/>
    <w:rsid w:val="00E173AC"/>
    <w:rsid w:val="00E174D5"/>
    <w:rsid w:val="00E1753E"/>
    <w:rsid w:val="00E1759B"/>
    <w:rsid w:val="00E175B5"/>
    <w:rsid w:val="00E1773B"/>
    <w:rsid w:val="00E177D1"/>
    <w:rsid w:val="00E17823"/>
    <w:rsid w:val="00E17BF6"/>
    <w:rsid w:val="00E17D76"/>
    <w:rsid w:val="00E17E0F"/>
    <w:rsid w:val="00E20159"/>
    <w:rsid w:val="00E201B4"/>
    <w:rsid w:val="00E20552"/>
    <w:rsid w:val="00E20879"/>
    <w:rsid w:val="00E20A47"/>
    <w:rsid w:val="00E20A77"/>
    <w:rsid w:val="00E20BE7"/>
    <w:rsid w:val="00E20E0B"/>
    <w:rsid w:val="00E20FB4"/>
    <w:rsid w:val="00E210DF"/>
    <w:rsid w:val="00E210F3"/>
    <w:rsid w:val="00E2124F"/>
    <w:rsid w:val="00E2195D"/>
    <w:rsid w:val="00E21ADE"/>
    <w:rsid w:val="00E21AFE"/>
    <w:rsid w:val="00E21B1E"/>
    <w:rsid w:val="00E21B9F"/>
    <w:rsid w:val="00E21E29"/>
    <w:rsid w:val="00E221A5"/>
    <w:rsid w:val="00E22330"/>
    <w:rsid w:val="00E22334"/>
    <w:rsid w:val="00E223B3"/>
    <w:rsid w:val="00E22435"/>
    <w:rsid w:val="00E2259C"/>
    <w:rsid w:val="00E22667"/>
    <w:rsid w:val="00E2283C"/>
    <w:rsid w:val="00E228AF"/>
    <w:rsid w:val="00E229FA"/>
    <w:rsid w:val="00E22AAE"/>
    <w:rsid w:val="00E22B23"/>
    <w:rsid w:val="00E22B91"/>
    <w:rsid w:val="00E22C1A"/>
    <w:rsid w:val="00E22D9C"/>
    <w:rsid w:val="00E22DEE"/>
    <w:rsid w:val="00E22E9D"/>
    <w:rsid w:val="00E23061"/>
    <w:rsid w:val="00E2310D"/>
    <w:rsid w:val="00E23171"/>
    <w:rsid w:val="00E23415"/>
    <w:rsid w:val="00E234E2"/>
    <w:rsid w:val="00E237BE"/>
    <w:rsid w:val="00E23B46"/>
    <w:rsid w:val="00E23B5D"/>
    <w:rsid w:val="00E23BC1"/>
    <w:rsid w:val="00E23BCE"/>
    <w:rsid w:val="00E23CCE"/>
    <w:rsid w:val="00E23D9A"/>
    <w:rsid w:val="00E23DA4"/>
    <w:rsid w:val="00E24001"/>
    <w:rsid w:val="00E2419D"/>
    <w:rsid w:val="00E241BF"/>
    <w:rsid w:val="00E241E2"/>
    <w:rsid w:val="00E242C6"/>
    <w:rsid w:val="00E24367"/>
    <w:rsid w:val="00E24387"/>
    <w:rsid w:val="00E244CE"/>
    <w:rsid w:val="00E244F0"/>
    <w:rsid w:val="00E2450E"/>
    <w:rsid w:val="00E2455A"/>
    <w:rsid w:val="00E2459B"/>
    <w:rsid w:val="00E2461D"/>
    <w:rsid w:val="00E2477A"/>
    <w:rsid w:val="00E247A6"/>
    <w:rsid w:val="00E24B23"/>
    <w:rsid w:val="00E24DBA"/>
    <w:rsid w:val="00E24E73"/>
    <w:rsid w:val="00E24EC8"/>
    <w:rsid w:val="00E24ECB"/>
    <w:rsid w:val="00E24F8D"/>
    <w:rsid w:val="00E25146"/>
    <w:rsid w:val="00E251DE"/>
    <w:rsid w:val="00E25263"/>
    <w:rsid w:val="00E252C7"/>
    <w:rsid w:val="00E2532D"/>
    <w:rsid w:val="00E25485"/>
    <w:rsid w:val="00E257BC"/>
    <w:rsid w:val="00E259AF"/>
    <w:rsid w:val="00E25A3C"/>
    <w:rsid w:val="00E25A3F"/>
    <w:rsid w:val="00E25B4D"/>
    <w:rsid w:val="00E25B8C"/>
    <w:rsid w:val="00E25BD2"/>
    <w:rsid w:val="00E25EEE"/>
    <w:rsid w:val="00E2617A"/>
    <w:rsid w:val="00E261B7"/>
    <w:rsid w:val="00E26303"/>
    <w:rsid w:val="00E2630B"/>
    <w:rsid w:val="00E2636A"/>
    <w:rsid w:val="00E2641A"/>
    <w:rsid w:val="00E266A0"/>
    <w:rsid w:val="00E266A6"/>
    <w:rsid w:val="00E26A88"/>
    <w:rsid w:val="00E26D3A"/>
    <w:rsid w:val="00E270C7"/>
    <w:rsid w:val="00E272BA"/>
    <w:rsid w:val="00E272BE"/>
    <w:rsid w:val="00E273C0"/>
    <w:rsid w:val="00E275CE"/>
    <w:rsid w:val="00E278AE"/>
    <w:rsid w:val="00E27A5F"/>
    <w:rsid w:val="00E27D35"/>
    <w:rsid w:val="00E27DEA"/>
    <w:rsid w:val="00E27FCF"/>
    <w:rsid w:val="00E302BF"/>
    <w:rsid w:val="00E3031D"/>
    <w:rsid w:val="00E30366"/>
    <w:rsid w:val="00E306FE"/>
    <w:rsid w:val="00E309BD"/>
    <w:rsid w:val="00E309D5"/>
    <w:rsid w:val="00E30A0D"/>
    <w:rsid w:val="00E30BA0"/>
    <w:rsid w:val="00E30C6E"/>
    <w:rsid w:val="00E30CB2"/>
    <w:rsid w:val="00E30E44"/>
    <w:rsid w:val="00E30F03"/>
    <w:rsid w:val="00E30FEB"/>
    <w:rsid w:val="00E31052"/>
    <w:rsid w:val="00E31337"/>
    <w:rsid w:val="00E314E7"/>
    <w:rsid w:val="00E31B67"/>
    <w:rsid w:val="00E31C10"/>
    <w:rsid w:val="00E31C7A"/>
    <w:rsid w:val="00E31D1E"/>
    <w:rsid w:val="00E31F29"/>
    <w:rsid w:val="00E31FDC"/>
    <w:rsid w:val="00E31FDF"/>
    <w:rsid w:val="00E31FEC"/>
    <w:rsid w:val="00E32039"/>
    <w:rsid w:val="00E320AF"/>
    <w:rsid w:val="00E320F6"/>
    <w:rsid w:val="00E32105"/>
    <w:rsid w:val="00E321E8"/>
    <w:rsid w:val="00E322A4"/>
    <w:rsid w:val="00E32465"/>
    <w:rsid w:val="00E3268A"/>
    <w:rsid w:val="00E327F8"/>
    <w:rsid w:val="00E3283A"/>
    <w:rsid w:val="00E328A3"/>
    <w:rsid w:val="00E3298A"/>
    <w:rsid w:val="00E329FD"/>
    <w:rsid w:val="00E32AA7"/>
    <w:rsid w:val="00E32D85"/>
    <w:rsid w:val="00E32DAA"/>
    <w:rsid w:val="00E32E75"/>
    <w:rsid w:val="00E32F85"/>
    <w:rsid w:val="00E3322A"/>
    <w:rsid w:val="00E33278"/>
    <w:rsid w:val="00E33AE4"/>
    <w:rsid w:val="00E33C89"/>
    <w:rsid w:val="00E33D78"/>
    <w:rsid w:val="00E33EF7"/>
    <w:rsid w:val="00E33F61"/>
    <w:rsid w:val="00E33FA5"/>
    <w:rsid w:val="00E34004"/>
    <w:rsid w:val="00E34106"/>
    <w:rsid w:val="00E34146"/>
    <w:rsid w:val="00E34185"/>
    <w:rsid w:val="00E3426B"/>
    <w:rsid w:val="00E34412"/>
    <w:rsid w:val="00E3485D"/>
    <w:rsid w:val="00E34899"/>
    <w:rsid w:val="00E34A60"/>
    <w:rsid w:val="00E34BCF"/>
    <w:rsid w:val="00E34E46"/>
    <w:rsid w:val="00E34E5E"/>
    <w:rsid w:val="00E34EE4"/>
    <w:rsid w:val="00E351F0"/>
    <w:rsid w:val="00E3525E"/>
    <w:rsid w:val="00E353BD"/>
    <w:rsid w:val="00E354FC"/>
    <w:rsid w:val="00E356D3"/>
    <w:rsid w:val="00E3591C"/>
    <w:rsid w:val="00E35995"/>
    <w:rsid w:val="00E35A89"/>
    <w:rsid w:val="00E35FB1"/>
    <w:rsid w:val="00E36109"/>
    <w:rsid w:val="00E363C1"/>
    <w:rsid w:val="00E364C4"/>
    <w:rsid w:val="00E36502"/>
    <w:rsid w:val="00E3659A"/>
    <w:rsid w:val="00E366DF"/>
    <w:rsid w:val="00E36895"/>
    <w:rsid w:val="00E36BF4"/>
    <w:rsid w:val="00E36D48"/>
    <w:rsid w:val="00E36D72"/>
    <w:rsid w:val="00E36E35"/>
    <w:rsid w:val="00E36F8A"/>
    <w:rsid w:val="00E3702A"/>
    <w:rsid w:val="00E37030"/>
    <w:rsid w:val="00E37044"/>
    <w:rsid w:val="00E37140"/>
    <w:rsid w:val="00E371CB"/>
    <w:rsid w:val="00E3736B"/>
    <w:rsid w:val="00E37464"/>
    <w:rsid w:val="00E375F9"/>
    <w:rsid w:val="00E37602"/>
    <w:rsid w:val="00E37714"/>
    <w:rsid w:val="00E378F6"/>
    <w:rsid w:val="00E379D9"/>
    <w:rsid w:val="00E37AA3"/>
    <w:rsid w:val="00E37CF5"/>
    <w:rsid w:val="00E37DD6"/>
    <w:rsid w:val="00E37E04"/>
    <w:rsid w:val="00E37E1B"/>
    <w:rsid w:val="00E37E41"/>
    <w:rsid w:val="00E401CD"/>
    <w:rsid w:val="00E402E6"/>
    <w:rsid w:val="00E40338"/>
    <w:rsid w:val="00E4034E"/>
    <w:rsid w:val="00E40495"/>
    <w:rsid w:val="00E409EA"/>
    <w:rsid w:val="00E40DF0"/>
    <w:rsid w:val="00E40E25"/>
    <w:rsid w:val="00E40E3C"/>
    <w:rsid w:val="00E41145"/>
    <w:rsid w:val="00E41220"/>
    <w:rsid w:val="00E4126F"/>
    <w:rsid w:val="00E41278"/>
    <w:rsid w:val="00E412DC"/>
    <w:rsid w:val="00E4132A"/>
    <w:rsid w:val="00E413C7"/>
    <w:rsid w:val="00E414FE"/>
    <w:rsid w:val="00E41643"/>
    <w:rsid w:val="00E4177D"/>
    <w:rsid w:val="00E417B9"/>
    <w:rsid w:val="00E41927"/>
    <w:rsid w:val="00E419F1"/>
    <w:rsid w:val="00E41C08"/>
    <w:rsid w:val="00E41F5B"/>
    <w:rsid w:val="00E41FB5"/>
    <w:rsid w:val="00E421E5"/>
    <w:rsid w:val="00E4223F"/>
    <w:rsid w:val="00E422B5"/>
    <w:rsid w:val="00E42357"/>
    <w:rsid w:val="00E42460"/>
    <w:rsid w:val="00E424F4"/>
    <w:rsid w:val="00E42505"/>
    <w:rsid w:val="00E428BE"/>
    <w:rsid w:val="00E428F8"/>
    <w:rsid w:val="00E42981"/>
    <w:rsid w:val="00E42A62"/>
    <w:rsid w:val="00E42B2F"/>
    <w:rsid w:val="00E42B31"/>
    <w:rsid w:val="00E42F7D"/>
    <w:rsid w:val="00E43002"/>
    <w:rsid w:val="00E430E6"/>
    <w:rsid w:val="00E430FE"/>
    <w:rsid w:val="00E4314B"/>
    <w:rsid w:val="00E43173"/>
    <w:rsid w:val="00E431BC"/>
    <w:rsid w:val="00E43316"/>
    <w:rsid w:val="00E4337D"/>
    <w:rsid w:val="00E434FA"/>
    <w:rsid w:val="00E43A3F"/>
    <w:rsid w:val="00E43ABC"/>
    <w:rsid w:val="00E43B0B"/>
    <w:rsid w:val="00E43B4D"/>
    <w:rsid w:val="00E43C10"/>
    <w:rsid w:val="00E43C4D"/>
    <w:rsid w:val="00E43CC2"/>
    <w:rsid w:val="00E43E19"/>
    <w:rsid w:val="00E44124"/>
    <w:rsid w:val="00E443EE"/>
    <w:rsid w:val="00E4450C"/>
    <w:rsid w:val="00E44520"/>
    <w:rsid w:val="00E4459E"/>
    <w:rsid w:val="00E44931"/>
    <w:rsid w:val="00E44A8E"/>
    <w:rsid w:val="00E44B2A"/>
    <w:rsid w:val="00E44BCD"/>
    <w:rsid w:val="00E44CB1"/>
    <w:rsid w:val="00E44D50"/>
    <w:rsid w:val="00E44DBC"/>
    <w:rsid w:val="00E44F70"/>
    <w:rsid w:val="00E450AA"/>
    <w:rsid w:val="00E4517C"/>
    <w:rsid w:val="00E451C7"/>
    <w:rsid w:val="00E452CA"/>
    <w:rsid w:val="00E45341"/>
    <w:rsid w:val="00E453F9"/>
    <w:rsid w:val="00E45424"/>
    <w:rsid w:val="00E45667"/>
    <w:rsid w:val="00E45740"/>
    <w:rsid w:val="00E4597A"/>
    <w:rsid w:val="00E45A29"/>
    <w:rsid w:val="00E45C50"/>
    <w:rsid w:val="00E45C65"/>
    <w:rsid w:val="00E45CA5"/>
    <w:rsid w:val="00E45CBF"/>
    <w:rsid w:val="00E45CE9"/>
    <w:rsid w:val="00E45D1A"/>
    <w:rsid w:val="00E45EB0"/>
    <w:rsid w:val="00E45FDD"/>
    <w:rsid w:val="00E463CA"/>
    <w:rsid w:val="00E465BF"/>
    <w:rsid w:val="00E465F7"/>
    <w:rsid w:val="00E4663E"/>
    <w:rsid w:val="00E46707"/>
    <w:rsid w:val="00E467AE"/>
    <w:rsid w:val="00E46A19"/>
    <w:rsid w:val="00E46B2D"/>
    <w:rsid w:val="00E46CA4"/>
    <w:rsid w:val="00E46D99"/>
    <w:rsid w:val="00E46DF0"/>
    <w:rsid w:val="00E46F57"/>
    <w:rsid w:val="00E47101"/>
    <w:rsid w:val="00E4730B"/>
    <w:rsid w:val="00E473F1"/>
    <w:rsid w:val="00E47408"/>
    <w:rsid w:val="00E474B1"/>
    <w:rsid w:val="00E47563"/>
    <w:rsid w:val="00E47611"/>
    <w:rsid w:val="00E477AF"/>
    <w:rsid w:val="00E47910"/>
    <w:rsid w:val="00E47979"/>
    <w:rsid w:val="00E47982"/>
    <w:rsid w:val="00E47996"/>
    <w:rsid w:val="00E479B3"/>
    <w:rsid w:val="00E47CFE"/>
    <w:rsid w:val="00E47DC3"/>
    <w:rsid w:val="00E47E09"/>
    <w:rsid w:val="00E47F30"/>
    <w:rsid w:val="00E50068"/>
    <w:rsid w:val="00E5007C"/>
    <w:rsid w:val="00E50216"/>
    <w:rsid w:val="00E502DF"/>
    <w:rsid w:val="00E503AD"/>
    <w:rsid w:val="00E50426"/>
    <w:rsid w:val="00E50545"/>
    <w:rsid w:val="00E50574"/>
    <w:rsid w:val="00E50588"/>
    <w:rsid w:val="00E50604"/>
    <w:rsid w:val="00E50732"/>
    <w:rsid w:val="00E5087A"/>
    <w:rsid w:val="00E50CC8"/>
    <w:rsid w:val="00E50E3B"/>
    <w:rsid w:val="00E50E96"/>
    <w:rsid w:val="00E50ED0"/>
    <w:rsid w:val="00E50FF7"/>
    <w:rsid w:val="00E511DB"/>
    <w:rsid w:val="00E511EE"/>
    <w:rsid w:val="00E51521"/>
    <w:rsid w:val="00E51548"/>
    <w:rsid w:val="00E515DC"/>
    <w:rsid w:val="00E5184C"/>
    <w:rsid w:val="00E51A4C"/>
    <w:rsid w:val="00E51BA4"/>
    <w:rsid w:val="00E51C2C"/>
    <w:rsid w:val="00E51CBE"/>
    <w:rsid w:val="00E51DB2"/>
    <w:rsid w:val="00E51E57"/>
    <w:rsid w:val="00E51F8F"/>
    <w:rsid w:val="00E52072"/>
    <w:rsid w:val="00E520ED"/>
    <w:rsid w:val="00E52321"/>
    <w:rsid w:val="00E52324"/>
    <w:rsid w:val="00E523EE"/>
    <w:rsid w:val="00E5257B"/>
    <w:rsid w:val="00E52689"/>
    <w:rsid w:val="00E5273B"/>
    <w:rsid w:val="00E527AA"/>
    <w:rsid w:val="00E52AFB"/>
    <w:rsid w:val="00E52B6B"/>
    <w:rsid w:val="00E52C4E"/>
    <w:rsid w:val="00E52D91"/>
    <w:rsid w:val="00E52DAB"/>
    <w:rsid w:val="00E530E4"/>
    <w:rsid w:val="00E53349"/>
    <w:rsid w:val="00E5342E"/>
    <w:rsid w:val="00E535A8"/>
    <w:rsid w:val="00E5364C"/>
    <w:rsid w:val="00E53988"/>
    <w:rsid w:val="00E53B3D"/>
    <w:rsid w:val="00E53C66"/>
    <w:rsid w:val="00E53EE9"/>
    <w:rsid w:val="00E53F27"/>
    <w:rsid w:val="00E54049"/>
    <w:rsid w:val="00E54250"/>
    <w:rsid w:val="00E5431F"/>
    <w:rsid w:val="00E543BA"/>
    <w:rsid w:val="00E5446B"/>
    <w:rsid w:val="00E54552"/>
    <w:rsid w:val="00E54623"/>
    <w:rsid w:val="00E54678"/>
    <w:rsid w:val="00E54924"/>
    <w:rsid w:val="00E54AF3"/>
    <w:rsid w:val="00E54BBE"/>
    <w:rsid w:val="00E54BCE"/>
    <w:rsid w:val="00E54C8B"/>
    <w:rsid w:val="00E54CD4"/>
    <w:rsid w:val="00E54D0B"/>
    <w:rsid w:val="00E54EB9"/>
    <w:rsid w:val="00E54F77"/>
    <w:rsid w:val="00E55027"/>
    <w:rsid w:val="00E552A5"/>
    <w:rsid w:val="00E553BC"/>
    <w:rsid w:val="00E555FB"/>
    <w:rsid w:val="00E556B0"/>
    <w:rsid w:val="00E557AB"/>
    <w:rsid w:val="00E55832"/>
    <w:rsid w:val="00E55A57"/>
    <w:rsid w:val="00E55BDA"/>
    <w:rsid w:val="00E55D09"/>
    <w:rsid w:val="00E55EF9"/>
    <w:rsid w:val="00E55F4C"/>
    <w:rsid w:val="00E56271"/>
    <w:rsid w:val="00E562F8"/>
    <w:rsid w:val="00E563EE"/>
    <w:rsid w:val="00E56431"/>
    <w:rsid w:val="00E56568"/>
    <w:rsid w:val="00E56722"/>
    <w:rsid w:val="00E56903"/>
    <w:rsid w:val="00E56B02"/>
    <w:rsid w:val="00E56C65"/>
    <w:rsid w:val="00E56CDB"/>
    <w:rsid w:val="00E56D06"/>
    <w:rsid w:val="00E56DA8"/>
    <w:rsid w:val="00E56E28"/>
    <w:rsid w:val="00E56E3C"/>
    <w:rsid w:val="00E56EFA"/>
    <w:rsid w:val="00E56F3B"/>
    <w:rsid w:val="00E571D6"/>
    <w:rsid w:val="00E57212"/>
    <w:rsid w:val="00E57633"/>
    <w:rsid w:val="00E5764C"/>
    <w:rsid w:val="00E57814"/>
    <w:rsid w:val="00E578B7"/>
    <w:rsid w:val="00E579C6"/>
    <w:rsid w:val="00E57B01"/>
    <w:rsid w:val="00E57DD7"/>
    <w:rsid w:val="00E57F25"/>
    <w:rsid w:val="00E57F6F"/>
    <w:rsid w:val="00E60068"/>
    <w:rsid w:val="00E600DD"/>
    <w:rsid w:val="00E601AA"/>
    <w:rsid w:val="00E601B5"/>
    <w:rsid w:val="00E6053B"/>
    <w:rsid w:val="00E60846"/>
    <w:rsid w:val="00E60931"/>
    <w:rsid w:val="00E609BF"/>
    <w:rsid w:val="00E609C9"/>
    <w:rsid w:val="00E60A19"/>
    <w:rsid w:val="00E60B1D"/>
    <w:rsid w:val="00E60E40"/>
    <w:rsid w:val="00E61593"/>
    <w:rsid w:val="00E6170E"/>
    <w:rsid w:val="00E61898"/>
    <w:rsid w:val="00E61A54"/>
    <w:rsid w:val="00E61C80"/>
    <w:rsid w:val="00E61E6E"/>
    <w:rsid w:val="00E6203B"/>
    <w:rsid w:val="00E62074"/>
    <w:rsid w:val="00E62308"/>
    <w:rsid w:val="00E623BF"/>
    <w:rsid w:val="00E623E9"/>
    <w:rsid w:val="00E62414"/>
    <w:rsid w:val="00E6266D"/>
    <w:rsid w:val="00E62BC5"/>
    <w:rsid w:val="00E62D63"/>
    <w:rsid w:val="00E62ED6"/>
    <w:rsid w:val="00E62F43"/>
    <w:rsid w:val="00E631CA"/>
    <w:rsid w:val="00E631D0"/>
    <w:rsid w:val="00E63239"/>
    <w:rsid w:val="00E6347C"/>
    <w:rsid w:val="00E634B5"/>
    <w:rsid w:val="00E63549"/>
    <w:rsid w:val="00E6354B"/>
    <w:rsid w:val="00E63597"/>
    <w:rsid w:val="00E635B7"/>
    <w:rsid w:val="00E63603"/>
    <w:rsid w:val="00E63A28"/>
    <w:rsid w:val="00E63B75"/>
    <w:rsid w:val="00E63C61"/>
    <w:rsid w:val="00E63D8F"/>
    <w:rsid w:val="00E63D90"/>
    <w:rsid w:val="00E64063"/>
    <w:rsid w:val="00E64135"/>
    <w:rsid w:val="00E6415B"/>
    <w:rsid w:val="00E643A2"/>
    <w:rsid w:val="00E643ED"/>
    <w:rsid w:val="00E64422"/>
    <w:rsid w:val="00E6464D"/>
    <w:rsid w:val="00E646C9"/>
    <w:rsid w:val="00E64ACD"/>
    <w:rsid w:val="00E64AF7"/>
    <w:rsid w:val="00E64B4D"/>
    <w:rsid w:val="00E64B54"/>
    <w:rsid w:val="00E64C81"/>
    <w:rsid w:val="00E64D04"/>
    <w:rsid w:val="00E64F94"/>
    <w:rsid w:val="00E6518A"/>
    <w:rsid w:val="00E6530B"/>
    <w:rsid w:val="00E653B4"/>
    <w:rsid w:val="00E65416"/>
    <w:rsid w:val="00E657E3"/>
    <w:rsid w:val="00E657FE"/>
    <w:rsid w:val="00E65849"/>
    <w:rsid w:val="00E658F9"/>
    <w:rsid w:val="00E65A06"/>
    <w:rsid w:val="00E65CB6"/>
    <w:rsid w:val="00E65D6A"/>
    <w:rsid w:val="00E65D8A"/>
    <w:rsid w:val="00E65F48"/>
    <w:rsid w:val="00E66083"/>
    <w:rsid w:val="00E661C0"/>
    <w:rsid w:val="00E66250"/>
    <w:rsid w:val="00E66586"/>
    <w:rsid w:val="00E6661D"/>
    <w:rsid w:val="00E66661"/>
    <w:rsid w:val="00E669D4"/>
    <w:rsid w:val="00E66A97"/>
    <w:rsid w:val="00E66B10"/>
    <w:rsid w:val="00E66B4E"/>
    <w:rsid w:val="00E66CCF"/>
    <w:rsid w:val="00E66DC2"/>
    <w:rsid w:val="00E670C4"/>
    <w:rsid w:val="00E670D4"/>
    <w:rsid w:val="00E67328"/>
    <w:rsid w:val="00E677BA"/>
    <w:rsid w:val="00E67819"/>
    <w:rsid w:val="00E67982"/>
    <w:rsid w:val="00E67A4A"/>
    <w:rsid w:val="00E67AD6"/>
    <w:rsid w:val="00E67B72"/>
    <w:rsid w:val="00E67D51"/>
    <w:rsid w:val="00E7007E"/>
    <w:rsid w:val="00E70257"/>
    <w:rsid w:val="00E7042C"/>
    <w:rsid w:val="00E705F3"/>
    <w:rsid w:val="00E705FA"/>
    <w:rsid w:val="00E706BB"/>
    <w:rsid w:val="00E7086F"/>
    <w:rsid w:val="00E70CDC"/>
    <w:rsid w:val="00E70FCE"/>
    <w:rsid w:val="00E7106A"/>
    <w:rsid w:val="00E71450"/>
    <w:rsid w:val="00E71699"/>
    <w:rsid w:val="00E71760"/>
    <w:rsid w:val="00E718D7"/>
    <w:rsid w:val="00E71900"/>
    <w:rsid w:val="00E71904"/>
    <w:rsid w:val="00E71AC9"/>
    <w:rsid w:val="00E71CF8"/>
    <w:rsid w:val="00E72029"/>
    <w:rsid w:val="00E7205C"/>
    <w:rsid w:val="00E720CB"/>
    <w:rsid w:val="00E72149"/>
    <w:rsid w:val="00E72259"/>
    <w:rsid w:val="00E7233D"/>
    <w:rsid w:val="00E7240D"/>
    <w:rsid w:val="00E724FA"/>
    <w:rsid w:val="00E7265A"/>
    <w:rsid w:val="00E72717"/>
    <w:rsid w:val="00E72755"/>
    <w:rsid w:val="00E72919"/>
    <w:rsid w:val="00E72A9E"/>
    <w:rsid w:val="00E72B76"/>
    <w:rsid w:val="00E72C29"/>
    <w:rsid w:val="00E72C69"/>
    <w:rsid w:val="00E72DC2"/>
    <w:rsid w:val="00E72E4A"/>
    <w:rsid w:val="00E72E4D"/>
    <w:rsid w:val="00E72E86"/>
    <w:rsid w:val="00E72FEF"/>
    <w:rsid w:val="00E73088"/>
    <w:rsid w:val="00E730F6"/>
    <w:rsid w:val="00E733FF"/>
    <w:rsid w:val="00E735FD"/>
    <w:rsid w:val="00E73702"/>
    <w:rsid w:val="00E73897"/>
    <w:rsid w:val="00E738D1"/>
    <w:rsid w:val="00E73D4B"/>
    <w:rsid w:val="00E73E73"/>
    <w:rsid w:val="00E73E95"/>
    <w:rsid w:val="00E73F36"/>
    <w:rsid w:val="00E73FA7"/>
    <w:rsid w:val="00E74005"/>
    <w:rsid w:val="00E7407E"/>
    <w:rsid w:val="00E74596"/>
    <w:rsid w:val="00E746CF"/>
    <w:rsid w:val="00E74703"/>
    <w:rsid w:val="00E74708"/>
    <w:rsid w:val="00E748E9"/>
    <w:rsid w:val="00E7495D"/>
    <w:rsid w:val="00E7496D"/>
    <w:rsid w:val="00E749CF"/>
    <w:rsid w:val="00E74ACB"/>
    <w:rsid w:val="00E74D13"/>
    <w:rsid w:val="00E74D16"/>
    <w:rsid w:val="00E74DCB"/>
    <w:rsid w:val="00E74E5C"/>
    <w:rsid w:val="00E74EDD"/>
    <w:rsid w:val="00E74FAC"/>
    <w:rsid w:val="00E74FEE"/>
    <w:rsid w:val="00E750AF"/>
    <w:rsid w:val="00E75251"/>
    <w:rsid w:val="00E7549A"/>
    <w:rsid w:val="00E7554F"/>
    <w:rsid w:val="00E7563B"/>
    <w:rsid w:val="00E756C4"/>
    <w:rsid w:val="00E75803"/>
    <w:rsid w:val="00E7581D"/>
    <w:rsid w:val="00E758D1"/>
    <w:rsid w:val="00E758E4"/>
    <w:rsid w:val="00E7593A"/>
    <w:rsid w:val="00E7594E"/>
    <w:rsid w:val="00E75AA5"/>
    <w:rsid w:val="00E75B72"/>
    <w:rsid w:val="00E75D6C"/>
    <w:rsid w:val="00E75D6E"/>
    <w:rsid w:val="00E75E00"/>
    <w:rsid w:val="00E75F07"/>
    <w:rsid w:val="00E75F83"/>
    <w:rsid w:val="00E75F96"/>
    <w:rsid w:val="00E76104"/>
    <w:rsid w:val="00E761F5"/>
    <w:rsid w:val="00E76339"/>
    <w:rsid w:val="00E7639E"/>
    <w:rsid w:val="00E76410"/>
    <w:rsid w:val="00E76511"/>
    <w:rsid w:val="00E76599"/>
    <w:rsid w:val="00E7663A"/>
    <w:rsid w:val="00E7663D"/>
    <w:rsid w:val="00E76764"/>
    <w:rsid w:val="00E7679C"/>
    <w:rsid w:val="00E767D0"/>
    <w:rsid w:val="00E76882"/>
    <w:rsid w:val="00E76896"/>
    <w:rsid w:val="00E76994"/>
    <w:rsid w:val="00E769C9"/>
    <w:rsid w:val="00E769E1"/>
    <w:rsid w:val="00E76C7B"/>
    <w:rsid w:val="00E76D36"/>
    <w:rsid w:val="00E76FA7"/>
    <w:rsid w:val="00E7710F"/>
    <w:rsid w:val="00E773FD"/>
    <w:rsid w:val="00E774F0"/>
    <w:rsid w:val="00E775E5"/>
    <w:rsid w:val="00E77696"/>
    <w:rsid w:val="00E77731"/>
    <w:rsid w:val="00E77789"/>
    <w:rsid w:val="00E778DF"/>
    <w:rsid w:val="00E778FD"/>
    <w:rsid w:val="00E7791D"/>
    <w:rsid w:val="00E779A3"/>
    <w:rsid w:val="00E77A03"/>
    <w:rsid w:val="00E77A13"/>
    <w:rsid w:val="00E77BF4"/>
    <w:rsid w:val="00E77C94"/>
    <w:rsid w:val="00E77CC5"/>
    <w:rsid w:val="00E77D1A"/>
    <w:rsid w:val="00E8024E"/>
    <w:rsid w:val="00E80268"/>
    <w:rsid w:val="00E806CD"/>
    <w:rsid w:val="00E80712"/>
    <w:rsid w:val="00E80889"/>
    <w:rsid w:val="00E80913"/>
    <w:rsid w:val="00E80BF8"/>
    <w:rsid w:val="00E80D6D"/>
    <w:rsid w:val="00E80D77"/>
    <w:rsid w:val="00E80D9A"/>
    <w:rsid w:val="00E810D3"/>
    <w:rsid w:val="00E8117D"/>
    <w:rsid w:val="00E811A8"/>
    <w:rsid w:val="00E81266"/>
    <w:rsid w:val="00E81352"/>
    <w:rsid w:val="00E81457"/>
    <w:rsid w:val="00E815A9"/>
    <w:rsid w:val="00E815E4"/>
    <w:rsid w:val="00E8164E"/>
    <w:rsid w:val="00E81B2C"/>
    <w:rsid w:val="00E81CE4"/>
    <w:rsid w:val="00E81D11"/>
    <w:rsid w:val="00E81D2E"/>
    <w:rsid w:val="00E81D9B"/>
    <w:rsid w:val="00E821F8"/>
    <w:rsid w:val="00E82243"/>
    <w:rsid w:val="00E823B0"/>
    <w:rsid w:val="00E823D0"/>
    <w:rsid w:val="00E82466"/>
    <w:rsid w:val="00E824A2"/>
    <w:rsid w:val="00E825AB"/>
    <w:rsid w:val="00E826CC"/>
    <w:rsid w:val="00E8292D"/>
    <w:rsid w:val="00E82933"/>
    <w:rsid w:val="00E82AC3"/>
    <w:rsid w:val="00E82B91"/>
    <w:rsid w:val="00E82DBA"/>
    <w:rsid w:val="00E82EB7"/>
    <w:rsid w:val="00E82F32"/>
    <w:rsid w:val="00E82F96"/>
    <w:rsid w:val="00E82FEC"/>
    <w:rsid w:val="00E8303C"/>
    <w:rsid w:val="00E830BC"/>
    <w:rsid w:val="00E8314D"/>
    <w:rsid w:val="00E831CD"/>
    <w:rsid w:val="00E83784"/>
    <w:rsid w:val="00E83B03"/>
    <w:rsid w:val="00E83B57"/>
    <w:rsid w:val="00E83C5A"/>
    <w:rsid w:val="00E83CFF"/>
    <w:rsid w:val="00E83E1E"/>
    <w:rsid w:val="00E83F1B"/>
    <w:rsid w:val="00E84014"/>
    <w:rsid w:val="00E84169"/>
    <w:rsid w:val="00E841A2"/>
    <w:rsid w:val="00E841A8"/>
    <w:rsid w:val="00E842D1"/>
    <w:rsid w:val="00E8432A"/>
    <w:rsid w:val="00E84344"/>
    <w:rsid w:val="00E8472A"/>
    <w:rsid w:val="00E848EC"/>
    <w:rsid w:val="00E8497E"/>
    <w:rsid w:val="00E84AC1"/>
    <w:rsid w:val="00E84BDC"/>
    <w:rsid w:val="00E84CF2"/>
    <w:rsid w:val="00E84E93"/>
    <w:rsid w:val="00E84E94"/>
    <w:rsid w:val="00E84E9A"/>
    <w:rsid w:val="00E84F61"/>
    <w:rsid w:val="00E84FA0"/>
    <w:rsid w:val="00E84FD6"/>
    <w:rsid w:val="00E85146"/>
    <w:rsid w:val="00E8527D"/>
    <w:rsid w:val="00E85616"/>
    <w:rsid w:val="00E856E2"/>
    <w:rsid w:val="00E8572A"/>
    <w:rsid w:val="00E858E7"/>
    <w:rsid w:val="00E859A3"/>
    <w:rsid w:val="00E85B23"/>
    <w:rsid w:val="00E85B50"/>
    <w:rsid w:val="00E85CD4"/>
    <w:rsid w:val="00E85DB9"/>
    <w:rsid w:val="00E85EA1"/>
    <w:rsid w:val="00E85F63"/>
    <w:rsid w:val="00E86155"/>
    <w:rsid w:val="00E8619B"/>
    <w:rsid w:val="00E86252"/>
    <w:rsid w:val="00E86376"/>
    <w:rsid w:val="00E86484"/>
    <w:rsid w:val="00E86518"/>
    <w:rsid w:val="00E8681F"/>
    <w:rsid w:val="00E86C84"/>
    <w:rsid w:val="00E86D82"/>
    <w:rsid w:val="00E86DA3"/>
    <w:rsid w:val="00E86E3C"/>
    <w:rsid w:val="00E86FAA"/>
    <w:rsid w:val="00E870F5"/>
    <w:rsid w:val="00E87164"/>
    <w:rsid w:val="00E872B5"/>
    <w:rsid w:val="00E87322"/>
    <w:rsid w:val="00E87327"/>
    <w:rsid w:val="00E87334"/>
    <w:rsid w:val="00E87465"/>
    <w:rsid w:val="00E87517"/>
    <w:rsid w:val="00E875F1"/>
    <w:rsid w:val="00E876FB"/>
    <w:rsid w:val="00E878FA"/>
    <w:rsid w:val="00E87909"/>
    <w:rsid w:val="00E8798D"/>
    <w:rsid w:val="00E87A7F"/>
    <w:rsid w:val="00E87F3F"/>
    <w:rsid w:val="00E9007F"/>
    <w:rsid w:val="00E90388"/>
    <w:rsid w:val="00E903CD"/>
    <w:rsid w:val="00E905FD"/>
    <w:rsid w:val="00E9067E"/>
    <w:rsid w:val="00E90695"/>
    <w:rsid w:val="00E9070E"/>
    <w:rsid w:val="00E90878"/>
    <w:rsid w:val="00E9096A"/>
    <w:rsid w:val="00E90C5F"/>
    <w:rsid w:val="00E90C7C"/>
    <w:rsid w:val="00E90CAD"/>
    <w:rsid w:val="00E90CD7"/>
    <w:rsid w:val="00E90D13"/>
    <w:rsid w:val="00E90EE3"/>
    <w:rsid w:val="00E90F82"/>
    <w:rsid w:val="00E90FEA"/>
    <w:rsid w:val="00E91273"/>
    <w:rsid w:val="00E91309"/>
    <w:rsid w:val="00E91310"/>
    <w:rsid w:val="00E91323"/>
    <w:rsid w:val="00E91345"/>
    <w:rsid w:val="00E915BF"/>
    <w:rsid w:val="00E91790"/>
    <w:rsid w:val="00E91875"/>
    <w:rsid w:val="00E91AAD"/>
    <w:rsid w:val="00E91C2E"/>
    <w:rsid w:val="00E91CF1"/>
    <w:rsid w:val="00E921F8"/>
    <w:rsid w:val="00E921FA"/>
    <w:rsid w:val="00E9221E"/>
    <w:rsid w:val="00E922DB"/>
    <w:rsid w:val="00E92667"/>
    <w:rsid w:val="00E9267F"/>
    <w:rsid w:val="00E92852"/>
    <w:rsid w:val="00E928B1"/>
    <w:rsid w:val="00E92980"/>
    <w:rsid w:val="00E929D8"/>
    <w:rsid w:val="00E92A6F"/>
    <w:rsid w:val="00E92AD6"/>
    <w:rsid w:val="00E92B72"/>
    <w:rsid w:val="00E92C4F"/>
    <w:rsid w:val="00E92C57"/>
    <w:rsid w:val="00E92DB2"/>
    <w:rsid w:val="00E92DB7"/>
    <w:rsid w:val="00E92DE5"/>
    <w:rsid w:val="00E92FEA"/>
    <w:rsid w:val="00E930BA"/>
    <w:rsid w:val="00E93103"/>
    <w:rsid w:val="00E9316B"/>
    <w:rsid w:val="00E932EA"/>
    <w:rsid w:val="00E93542"/>
    <w:rsid w:val="00E93767"/>
    <w:rsid w:val="00E93861"/>
    <w:rsid w:val="00E93880"/>
    <w:rsid w:val="00E93902"/>
    <w:rsid w:val="00E939BD"/>
    <w:rsid w:val="00E93A32"/>
    <w:rsid w:val="00E93AEA"/>
    <w:rsid w:val="00E93CDF"/>
    <w:rsid w:val="00E93F46"/>
    <w:rsid w:val="00E93F55"/>
    <w:rsid w:val="00E94109"/>
    <w:rsid w:val="00E941E2"/>
    <w:rsid w:val="00E94327"/>
    <w:rsid w:val="00E943E2"/>
    <w:rsid w:val="00E94495"/>
    <w:rsid w:val="00E945AA"/>
    <w:rsid w:val="00E9461A"/>
    <w:rsid w:val="00E947B5"/>
    <w:rsid w:val="00E94A25"/>
    <w:rsid w:val="00E94A2E"/>
    <w:rsid w:val="00E94B2D"/>
    <w:rsid w:val="00E94B92"/>
    <w:rsid w:val="00E94BE7"/>
    <w:rsid w:val="00E94E24"/>
    <w:rsid w:val="00E94E59"/>
    <w:rsid w:val="00E9500D"/>
    <w:rsid w:val="00E95230"/>
    <w:rsid w:val="00E95581"/>
    <w:rsid w:val="00E956B0"/>
    <w:rsid w:val="00E95803"/>
    <w:rsid w:val="00E95916"/>
    <w:rsid w:val="00E959DA"/>
    <w:rsid w:val="00E95A79"/>
    <w:rsid w:val="00E95B71"/>
    <w:rsid w:val="00E95B82"/>
    <w:rsid w:val="00E95BBA"/>
    <w:rsid w:val="00E95CA4"/>
    <w:rsid w:val="00E95DE5"/>
    <w:rsid w:val="00E95E38"/>
    <w:rsid w:val="00E95F87"/>
    <w:rsid w:val="00E9611C"/>
    <w:rsid w:val="00E961AB"/>
    <w:rsid w:val="00E962CD"/>
    <w:rsid w:val="00E96631"/>
    <w:rsid w:val="00E9663C"/>
    <w:rsid w:val="00E96648"/>
    <w:rsid w:val="00E9670E"/>
    <w:rsid w:val="00E9694F"/>
    <w:rsid w:val="00E96C3F"/>
    <w:rsid w:val="00E96DD5"/>
    <w:rsid w:val="00E96DFB"/>
    <w:rsid w:val="00E96E11"/>
    <w:rsid w:val="00E96E35"/>
    <w:rsid w:val="00E96EC2"/>
    <w:rsid w:val="00E96FB4"/>
    <w:rsid w:val="00E9715E"/>
    <w:rsid w:val="00E972C0"/>
    <w:rsid w:val="00E973DB"/>
    <w:rsid w:val="00E97673"/>
    <w:rsid w:val="00E97767"/>
    <w:rsid w:val="00E9778F"/>
    <w:rsid w:val="00E97A4C"/>
    <w:rsid w:val="00E97BB5"/>
    <w:rsid w:val="00E97BCF"/>
    <w:rsid w:val="00E97C5B"/>
    <w:rsid w:val="00E97CBE"/>
    <w:rsid w:val="00E97FD2"/>
    <w:rsid w:val="00E97FDF"/>
    <w:rsid w:val="00EA0078"/>
    <w:rsid w:val="00EA01D4"/>
    <w:rsid w:val="00EA030C"/>
    <w:rsid w:val="00EA0397"/>
    <w:rsid w:val="00EA050B"/>
    <w:rsid w:val="00EA0987"/>
    <w:rsid w:val="00EA09D8"/>
    <w:rsid w:val="00EA09E3"/>
    <w:rsid w:val="00EA0A1A"/>
    <w:rsid w:val="00EA0AFC"/>
    <w:rsid w:val="00EA0EAF"/>
    <w:rsid w:val="00EA0F90"/>
    <w:rsid w:val="00EA1176"/>
    <w:rsid w:val="00EA11F6"/>
    <w:rsid w:val="00EA12CC"/>
    <w:rsid w:val="00EA13EA"/>
    <w:rsid w:val="00EA1447"/>
    <w:rsid w:val="00EA1594"/>
    <w:rsid w:val="00EA15C0"/>
    <w:rsid w:val="00EA16FC"/>
    <w:rsid w:val="00EA184E"/>
    <w:rsid w:val="00EA1952"/>
    <w:rsid w:val="00EA195C"/>
    <w:rsid w:val="00EA1A64"/>
    <w:rsid w:val="00EA1A82"/>
    <w:rsid w:val="00EA1B67"/>
    <w:rsid w:val="00EA1BAF"/>
    <w:rsid w:val="00EA1CC9"/>
    <w:rsid w:val="00EA1D12"/>
    <w:rsid w:val="00EA1F62"/>
    <w:rsid w:val="00EA210A"/>
    <w:rsid w:val="00EA2131"/>
    <w:rsid w:val="00EA2161"/>
    <w:rsid w:val="00EA2436"/>
    <w:rsid w:val="00EA2464"/>
    <w:rsid w:val="00EA251E"/>
    <w:rsid w:val="00EA2541"/>
    <w:rsid w:val="00EA2775"/>
    <w:rsid w:val="00EA29AA"/>
    <w:rsid w:val="00EA2C60"/>
    <w:rsid w:val="00EA2D0B"/>
    <w:rsid w:val="00EA306D"/>
    <w:rsid w:val="00EA3237"/>
    <w:rsid w:val="00EA32ED"/>
    <w:rsid w:val="00EA3508"/>
    <w:rsid w:val="00EA353E"/>
    <w:rsid w:val="00EA35EC"/>
    <w:rsid w:val="00EA3777"/>
    <w:rsid w:val="00EA37C6"/>
    <w:rsid w:val="00EA3A9A"/>
    <w:rsid w:val="00EA3AD8"/>
    <w:rsid w:val="00EA3D6C"/>
    <w:rsid w:val="00EA41EA"/>
    <w:rsid w:val="00EA4229"/>
    <w:rsid w:val="00EA432D"/>
    <w:rsid w:val="00EA457B"/>
    <w:rsid w:val="00EA45D7"/>
    <w:rsid w:val="00EA491E"/>
    <w:rsid w:val="00EA4A88"/>
    <w:rsid w:val="00EA4C16"/>
    <w:rsid w:val="00EA4EFA"/>
    <w:rsid w:val="00EA508C"/>
    <w:rsid w:val="00EA50D3"/>
    <w:rsid w:val="00EA542E"/>
    <w:rsid w:val="00EA54D7"/>
    <w:rsid w:val="00EA55C3"/>
    <w:rsid w:val="00EA58AB"/>
    <w:rsid w:val="00EA5B3F"/>
    <w:rsid w:val="00EA5BB2"/>
    <w:rsid w:val="00EA5C7F"/>
    <w:rsid w:val="00EA5CD7"/>
    <w:rsid w:val="00EA5D5C"/>
    <w:rsid w:val="00EA5DFA"/>
    <w:rsid w:val="00EA5F49"/>
    <w:rsid w:val="00EA60FB"/>
    <w:rsid w:val="00EA62D9"/>
    <w:rsid w:val="00EA6358"/>
    <w:rsid w:val="00EA63AB"/>
    <w:rsid w:val="00EA6498"/>
    <w:rsid w:val="00EA66CA"/>
    <w:rsid w:val="00EA6723"/>
    <w:rsid w:val="00EA67C4"/>
    <w:rsid w:val="00EA680B"/>
    <w:rsid w:val="00EA6BB7"/>
    <w:rsid w:val="00EA6C07"/>
    <w:rsid w:val="00EA6F2F"/>
    <w:rsid w:val="00EA703A"/>
    <w:rsid w:val="00EA7101"/>
    <w:rsid w:val="00EA7C16"/>
    <w:rsid w:val="00EA7CB9"/>
    <w:rsid w:val="00EA7CBD"/>
    <w:rsid w:val="00EB008A"/>
    <w:rsid w:val="00EB0222"/>
    <w:rsid w:val="00EB0243"/>
    <w:rsid w:val="00EB02F6"/>
    <w:rsid w:val="00EB071C"/>
    <w:rsid w:val="00EB0892"/>
    <w:rsid w:val="00EB0944"/>
    <w:rsid w:val="00EB0AE8"/>
    <w:rsid w:val="00EB0B68"/>
    <w:rsid w:val="00EB0BE3"/>
    <w:rsid w:val="00EB0C7F"/>
    <w:rsid w:val="00EB0D41"/>
    <w:rsid w:val="00EB0DD9"/>
    <w:rsid w:val="00EB0E36"/>
    <w:rsid w:val="00EB1002"/>
    <w:rsid w:val="00EB13BB"/>
    <w:rsid w:val="00EB1482"/>
    <w:rsid w:val="00EB1692"/>
    <w:rsid w:val="00EB1893"/>
    <w:rsid w:val="00EB1B33"/>
    <w:rsid w:val="00EB1CEE"/>
    <w:rsid w:val="00EB1EA7"/>
    <w:rsid w:val="00EB2001"/>
    <w:rsid w:val="00EB2066"/>
    <w:rsid w:val="00EB207D"/>
    <w:rsid w:val="00EB21B8"/>
    <w:rsid w:val="00EB21CD"/>
    <w:rsid w:val="00EB2338"/>
    <w:rsid w:val="00EB23CC"/>
    <w:rsid w:val="00EB269B"/>
    <w:rsid w:val="00EB2713"/>
    <w:rsid w:val="00EB280D"/>
    <w:rsid w:val="00EB293F"/>
    <w:rsid w:val="00EB2AA8"/>
    <w:rsid w:val="00EB2ADF"/>
    <w:rsid w:val="00EB2B19"/>
    <w:rsid w:val="00EB2C29"/>
    <w:rsid w:val="00EB2CF6"/>
    <w:rsid w:val="00EB2E74"/>
    <w:rsid w:val="00EB2F87"/>
    <w:rsid w:val="00EB3138"/>
    <w:rsid w:val="00EB3243"/>
    <w:rsid w:val="00EB39AB"/>
    <w:rsid w:val="00EB3B36"/>
    <w:rsid w:val="00EB3B37"/>
    <w:rsid w:val="00EB3B84"/>
    <w:rsid w:val="00EB3BD8"/>
    <w:rsid w:val="00EB3C5F"/>
    <w:rsid w:val="00EB3E47"/>
    <w:rsid w:val="00EB3F89"/>
    <w:rsid w:val="00EB40BB"/>
    <w:rsid w:val="00EB418E"/>
    <w:rsid w:val="00EB425F"/>
    <w:rsid w:val="00EB44E1"/>
    <w:rsid w:val="00EB45A3"/>
    <w:rsid w:val="00EB46E8"/>
    <w:rsid w:val="00EB478F"/>
    <w:rsid w:val="00EB47EF"/>
    <w:rsid w:val="00EB48A3"/>
    <w:rsid w:val="00EB48E6"/>
    <w:rsid w:val="00EB4906"/>
    <w:rsid w:val="00EB4978"/>
    <w:rsid w:val="00EB498A"/>
    <w:rsid w:val="00EB4D89"/>
    <w:rsid w:val="00EB4E0B"/>
    <w:rsid w:val="00EB4E29"/>
    <w:rsid w:val="00EB4E6F"/>
    <w:rsid w:val="00EB4F56"/>
    <w:rsid w:val="00EB5020"/>
    <w:rsid w:val="00EB5123"/>
    <w:rsid w:val="00EB51CF"/>
    <w:rsid w:val="00EB5235"/>
    <w:rsid w:val="00EB53C7"/>
    <w:rsid w:val="00EB555E"/>
    <w:rsid w:val="00EB55BB"/>
    <w:rsid w:val="00EB568E"/>
    <w:rsid w:val="00EB57C0"/>
    <w:rsid w:val="00EB58C9"/>
    <w:rsid w:val="00EB599B"/>
    <w:rsid w:val="00EB5AFE"/>
    <w:rsid w:val="00EB5CF2"/>
    <w:rsid w:val="00EB5FA3"/>
    <w:rsid w:val="00EB6065"/>
    <w:rsid w:val="00EB60B1"/>
    <w:rsid w:val="00EB60FC"/>
    <w:rsid w:val="00EB629B"/>
    <w:rsid w:val="00EB633F"/>
    <w:rsid w:val="00EB6383"/>
    <w:rsid w:val="00EB63BF"/>
    <w:rsid w:val="00EB64DA"/>
    <w:rsid w:val="00EB64EF"/>
    <w:rsid w:val="00EB66AC"/>
    <w:rsid w:val="00EB68D9"/>
    <w:rsid w:val="00EB6A8C"/>
    <w:rsid w:val="00EB6B92"/>
    <w:rsid w:val="00EB6D7A"/>
    <w:rsid w:val="00EB6EC9"/>
    <w:rsid w:val="00EB6F16"/>
    <w:rsid w:val="00EB6F23"/>
    <w:rsid w:val="00EB7237"/>
    <w:rsid w:val="00EB7464"/>
    <w:rsid w:val="00EB7495"/>
    <w:rsid w:val="00EB74C8"/>
    <w:rsid w:val="00EB75F1"/>
    <w:rsid w:val="00EB7606"/>
    <w:rsid w:val="00EB778C"/>
    <w:rsid w:val="00EB7A79"/>
    <w:rsid w:val="00EB7B71"/>
    <w:rsid w:val="00EB7E85"/>
    <w:rsid w:val="00EB7F1A"/>
    <w:rsid w:val="00EC0008"/>
    <w:rsid w:val="00EC034E"/>
    <w:rsid w:val="00EC043E"/>
    <w:rsid w:val="00EC07CA"/>
    <w:rsid w:val="00EC08E7"/>
    <w:rsid w:val="00EC098C"/>
    <w:rsid w:val="00EC0CCA"/>
    <w:rsid w:val="00EC0CDA"/>
    <w:rsid w:val="00EC0E3B"/>
    <w:rsid w:val="00EC0E6E"/>
    <w:rsid w:val="00EC0EC7"/>
    <w:rsid w:val="00EC0F7A"/>
    <w:rsid w:val="00EC0F8E"/>
    <w:rsid w:val="00EC104F"/>
    <w:rsid w:val="00EC10EB"/>
    <w:rsid w:val="00EC10F4"/>
    <w:rsid w:val="00EC12B8"/>
    <w:rsid w:val="00EC136D"/>
    <w:rsid w:val="00EC13A7"/>
    <w:rsid w:val="00EC13D3"/>
    <w:rsid w:val="00EC163B"/>
    <w:rsid w:val="00EC16C7"/>
    <w:rsid w:val="00EC18A2"/>
    <w:rsid w:val="00EC1944"/>
    <w:rsid w:val="00EC1945"/>
    <w:rsid w:val="00EC1A03"/>
    <w:rsid w:val="00EC1A66"/>
    <w:rsid w:val="00EC1A8A"/>
    <w:rsid w:val="00EC1EC5"/>
    <w:rsid w:val="00EC2021"/>
    <w:rsid w:val="00EC22CB"/>
    <w:rsid w:val="00EC22DD"/>
    <w:rsid w:val="00EC2579"/>
    <w:rsid w:val="00EC2589"/>
    <w:rsid w:val="00EC297E"/>
    <w:rsid w:val="00EC2A33"/>
    <w:rsid w:val="00EC2B9D"/>
    <w:rsid w:val="00EC2CB8"/>
    <w:rsid w:val="00EC30CB"/>
    <w:rsid w:val="00EC30EE"/>
    <w:rsid w:val="00EC3182"/>
    <w:rsid w:val="00EC325A"/>
    <w:rsid w:val="00EC331F"/>
    <w:rsid w:val="00EC360B"/>
    <w:rsid w:val="00EC36B6"/>
    <w:rsid w:val="00EC3931"/>
    <w:rsid w:val="00EC3959"/>
    <w:rsid w:val="00EC398E"/>
    <w:rsid w:val="00EC3B43"/>
    <w:rsid w:val="00EC3D85"/>
    <w:rsid w:val="00EC3DEA"/>
    <w:rsid w:val="00EC3DF8"/>
    <w:rsid w:val="00EC3E67"/>
    <w:rsid w:val="00EC3EEE"/>
    <w:rsid w:val="00EC3F04"/>
    <w:rsid w:val="00EC40B5"/>
    <w:rsid w:val="00EC423C"/>
    <w:rsid w:val="00EC4304"/>
    <w:rsid w:val="00EC4409"/>
    <w:rsid w:val="00EC458D"/>
    <w:rsid w:val="00EC459C"/>
    <w:rsid w:val="00EC4693"/>
    <w:rsid w:val="00EC479B"/>
    <w:rsid w:val="00EC4B5C"/>
    <w:rsid w:val="00EC4DB1"/>
    <w:rsid w:val="00EC4F40"/>
    <w:rsid w:val="00EC4F5D"/>
    <w:rsid w:val="00EC4FF8"/>
    <w:rsid w:val="00EC509F"/>
    <w:rsid w:val="00EC510B"/>
    <w:rsid w:val="00EC51C8"/>
    <w:rsid w:val="00EC5223"/>
    <w:rsid w:val="00EC5284"/>
    <w:rsid w:val="00EC52B7"/>
    <w:rsid w:val="00EC5687"/>
    <w:rsid w:val="00EC5809"/>
    <w:rsid w:val="00EC58CC"/>
    <w:rsid w:val="00EC591F"/>
    <w:rsid w:val="00EC5989"/>
    <w:rsid w:val="00EC59C2"/>
    <w:rsid w:val="00EC5A79"/>
    <w:rsid w:val="00EC5A89"/>
    <w:rsid w:val="00EC5B86"/>
    <w:rsid w:val="00EC5BF1"/>
    <w:rsid w:val="00EC5C19"/>
    <w:rsid w:val="00EC5C9F"/>
    <w:rsid w:val="00EC5D99"/>
    <w:rsid w:val="00EC5F0C"/>
    <w:rsid w:val="00EC5F52"/>
    <w:rsid w:val="00EC5F67"/>
    <w:rsid w:val="00EC60B1"/>
    <w:rsid w:val="00EC628B"/>
    <w:rsid w:val="00EC6292"/>
    <w:rsid w:val="00EC6495"/>
    <w:rsid w:val="00EC6619"/>
    <w:rsid w:val="00EC677E"/>
    <w:rsid w:val="00EC67AF"/>
    <w:rsid w:val="00EC67B6"/>
    <w:rsid w:val="00EC6828"/>
    <w:rsid w:val="00EC68E8"/>
    <w:rsid w:val="00EC6C95"/>
    <w:rsid w:val="00EC6CDF"/>
    <w:rsid w:val="00EC6D98"/>
    <w:rsid w:val="00EC6ECE"/>
    <w:rsid w:val="00EC705F"/>
    <w:rsid w:val="00EC70F4"/>
    <w:rsid w:val="00EC7192"/>
    <w:rsid w:val="00EC723E"/>
    <w:rsid w:val="00EC758B"/>
    <w:rsid w:val="00EC75A2"/>
    <w:rsid w:val="00EC75B8"/>
    <w:rsid w:val="00EC75CC"/>
    <w:rsid w:val="00EC7680"/>
    <w:rsid w:val="00EC7717"/>
    <w:rsid w:val="00EC7951"/>
    <w:rsid w:val="00EC797B"/>
    <w:rsid w:val="00EC7982"/>
    <w:rsid w:val="00EC79DF"/>
    <w:rsid w:val="00EC7EE1"/>
    <w:rsid w:val="00EC7F12"/>
    <w:rsid w:val="00ED020E"/>
    <w:rsid w:val="00ED03AA"/>
    <w:rsid w:val="00ED03D1"/>
    <w:rsid w:val="00ED08CB"/>
    <w:rsid w:val="00ED0E1F"/>
    <w:rsid w:val="00ED0E6E"/>
    <w:rsid w:val="00ED0F27"/>
    <w:rsid w:val="00ED10D6"/>
    <w:rsid w:val="00ED12D9"/>
    <w:rsid w:val="00ED1301"/>
    <w:rsid w:val="00ED139B"/>
    <w:rsid w:val="00ED13D0"/>
    <w:rsid w:val="00ED13D6"/>
    <w:rsid w:val="00ED1484"/>
    <w:rsid w:val="00ED15CB"/>
    <w:rsid w:val="00ED16F2"/>
    <w:rsid w:val="00ED177B"/>
    <w:rsid w:val="00ED18BD"/>
    <w:rsid w:val="00ED18F3"/>
    <w:rsid w:val="00ED193D"/>
    <w:rsid w:val="00ED19A7"/>
    <w:rsid w:val="00ED1BF4"/>
    <w:rsid w:val="00ED1E46"/>
    <w:rsid w:val="00ED1FD0"/>
    <w:rsid w:val="00ED2012"/>
    <w:rsid w:val="00ED203C"/>
    <w:rsid w:val="00ED20E6"/>
    <w:rsid w:val="00ED245E"/>
    <w:rsid w:val="00ED250B"/>
    <w:rsid w:val="00ED29AA"/>
    <w:rsid w:val="00ED2A6B"/>
    <w:rsid w:val="00ED2B80"/>
    <w:rsid w:val="00ED2DD5"/>
    <w:rsid w:val="00ED2E1C"/>
    <w:rsid w:val="00ED2E3A"/>
    <w:rsid w:val="00ED2E47"/>
    <w:rsid w:val="00ED2E9E"/>
    <w:rsid w:val="00ED2EC5"/>
    <w:rsid w:val="00ED2EEA"/>
    <w:rsid w:val="00ED2F9B"/>
    <w:rsid w:val="00ED3080"/>
    <w:rsid w:val="00ED30F0"/>
    <w:rsid w:val="00ED31EC"/>
    <w:rsid w:val="00ED3337"/>
    <w:rsid w:val="00ED338B"/>
    <w:rsid w:val="00ED34E2"/>
    <w:rsid w:val="00ED3580"/>
    <w:rsid w:val="00ED35DD"/>
    <w:rsid w:val="00ED3733"/>
    <w:rsid w:val="00ED38C5"/>
    <w:rsid w:val="00ED3A36"/>
    <w:rsid w:val="00ED3AAC"/>
    <w:rsid w:val="00ED3AB5"/>
    <w:rsid w:val="00ED401D"/>
    <w:rsid w:val="00ED420F"/>
    <w:rsid w:val="00ED43A3"/>
    <w:rsid w:val="00ED451A"/>
    <w:rsid w:val="00ED471E"/>
    <w:rsid w:val="00ED4A68"/>
    <w:rsid w:val="00ED4BBE"/>
    <w:rsid w:val="00ED4C7C"/>
    <w:rsid w:val="00ED4D42"/>
    <w:rsid w:val="00ED4DC4"/>
    <w:rsid w:val="00ED50C7"/>
    <w:rsid w:val="00ED5158"/>
    <w:rsid w:val="00ED5223"/>
    <w:rsid w:val="00ED52EB"/>
    <w:rsid w:val="00ED54E4"/>
    <w:rsid w:val="00ED5667"/>
    <w:rsid w:val="00ED569B"/>
    <w:rsid w:val="00ED57E9"/>
    <w:rsid w:val="00ED585C"/>
    <w:rsid w:val="00ED58BA"/>
    <w:rsid w:val="00ED5953"/>
    <w:rsid w:val="00ED5B75"/>
    <w:rsid w:val="00ED5B82"/>
    <w:rsid w:val="00ED5BED"/>
    <w:rsid w:val="00ED5CA2"/>
    <w:rsid w:val="00ED5E1B"/>
    <w:rsid w:val="00ED5FCB"/>
    <w:rsid w:val="00ED60F6"/>
    <w:rsid w:val="00ED62C9"/>
    <w:rsid w:val="00ED661E"/>
    <w:rsid w:val="00ED6A47"/>
    <w:rsid w:val="00ED6B9C"/>
    <w:rsid w:val="00ED6E4D"/>
    <w:rsid w:val="00ED6F17"/>
    <w:rsid w:val="00ED7004"/>
    <w:rsid w:val="00ED7294"/>
    <w:rsid w:val="00ED7445"/>
    <w:rsid w:val="00ED749A"/>
    <w:rsid w:val="00ED7537"/>
    <w:rsid w:val="00ED759B"/>
    <w:rsid w:val="00ED7708"/>
    <w:rsid w:val="00ED77B7"/>
    <w:rsid w:val="00ED799D"/>
    <w:rsid w:val="00ED7A27"/>
    <w:rsid w:val="00ED7B19"/>
    <w:rsid w:val="00ED7FCE"/>
    <w:rsid w:val="00ED7FFB"/>
    <w:rsid w:val="00EE03DC"/>
    <w:rsid w:val="00EE0428"/>
    <w:rsid w:val="00EE0429"/>
    <w:rsid w:val="00EE0464"/>
    <w:rsid w:val="00EE055A"/>
    <w:rsid w:val="00EE0664"/>
    <w:rsid w:val="00EE066B"/>
    <w:rsid w:val="00EE0919"/>
    <w:rsid w:val="00EE0A4D"/>
    <w:rsid w:val="00EE0B7C"/>
    <w:rsid w:val="00EE0BDC"/>
    <w:rsid w:val="00EE0C84"/>
    <w:rsid w:val="00EE0D58"/>
    <w:rsid w:val="00EE1080"/>
    <w:rsid w:val="00EE1177"/>
    <w:rsid w:val="00EE12E2"/>
    <w:rsid w:val="00EE1307"/>
    <w:rsid w:val="00EE130D"/>
    <w:rsid w:val="00EE1356"/>
    <w:rsid w:val="00EE1450"/>
    <w:rsid w:val="00EE145F"/>
    <w:rsid w:val="00EE151D"/>
    <w:rsid w:val="00EE16D1"/>
    <w:rsid w:val="00EE1766"/>
    <w:rsid w:val="00EE186E"/>
    <w:rsid w:val="00EE18E0"/>
    <w:rsid w:val="00EE1A04"/>
    <w:rsid w:val="00EE1A15"/>
    <w:rsid w:val="00EE1C2B"/>
    <w:rsid w:val="00EE1C2F"/>
    <w:rsid w:val="00EE1C74"/>
    <w:rsid w:val="00EE1C97"/>
    <w:rsid w:val="00EE1D27"/>
    <w:rsid w:val="00EE1FEF"/>
    <w:rsid w:val="00EE2159"/>
    <w:rsid w:val="00EE21B0"/>
    <w:rsid w:val="00EE22F6"/>
    <w:rsid w:val="00EE2421"/>
    <w:rsid w:val="00EE2515"/>
    <w:rsid w:val="00EE27A2"/>
    <w:rsid w:val="00EE281B"/>
    <w:rsid w:val="00EE2931"/>
    <w:rsid w:val="00EE2984"/>
    <w:rsid w:val="00EE2CE8"/>
    <w:rsid w:val="00EE2DFC"/>
    <w:rsid w:val="00EE2E94"/>
    <w:rsid w:val="00EE2FCF"/>
    <w:rsid w:val="00EE30BB"/>
    <w:rsid w:val="00EE32EE"/>
    <w:rsid w:val="00EE389F"/>
    <w:rsid w:val="00EE39A7"/>
    <w:rsid w:val="00EE3A0D"/>
    <w:rsid w:val="00EE3A2E"/>
    <w:rsid w:val="00EE3B75"/>
    <w:rsid w:val="00EE3CEB"/>
    <w:rsid w:val="00EE3D17"/>
    <w:rsid w:val="00EE3EA1"/>
    <w:rsid w:val="00EE4114"/>
    <w:rsid w:val="00EE415C"/>
    <w:rsid w:val="00EE4230"/>
    <w:rsid w:val="00EE4359"/>
    <w:rsid w:val="00EE44AC"/>
    <w:rsid w:val="00EE4559"/>
    <w:rsid w:val="00EE4730"/>
    <w:rsid w:val="00EE4853"/>
    <w:rsid w:val="00EE4CC3"/>
    <w:rsid w:val="00EE4CE4"/>
    <w:rsid w:val="00EE4E61"/>
    <w:rsid w:val="00EE4E6A"/>
    <w:rsid w:val="00EE4FF8"/>
    <w:rsid w:val="00EE5145"/>
    <w:rsid w:val="00EE5153"/>
    <w:rsid w:val="00EE53C9"/>
    <w:rsid w:val="00EE5512"/>
    <w:rsid w:val="00EE552F"/>
    <w:rsid w:val="00EE55A2"/>
    <w:rsid w:val="00EE5693"/>
    <w:rsid w:val="00EE56FC"/>
    <w:rsid w:val="00EE5774"/>
    <w:rsid w:val="00EE5B69"/>
    <w:rsid w:val="00EE5C58"/>
    <w:rsid w:val="00EE5ECB"/>
    <w:rsid w:val="00EE6032"/>
    <w:rsid w:val="00EE6094"/>
    <w:rsid w:val="00EE6238"/>
    <w:rsid w:val="00EE6325"/>
    <w:rsid w:val="00EE64C2"/>
    <w:rsid w:val="00EE6555"/>
    <w:rsid w:val="00EE65B1"/>
    <w:rsid w:val="00EE673B"/>
    <w:rsid w:val="00EE6849"/>
    <w:rsid w:val="00EE684B"/>
    <w:rsid w:val="00EE685B"/>
    <w:rsid w:val="00EE69DB"/>
    <w:rsid w:val="00EE6A22"/>
    <w:rsid w:val="00EE6B6F"/>
    <w:rsid w:val="00EE6BED"/>
    <w:rsid w:val="00EE6E2F"/>
    <w:rsid w:val="00EE6F36"/>
    <w:rsid w:val="00EE7047"/>
    <w:rsid w:val="00EE70B7"/>
    <w:rsid w:val="00EE7116"/>
    <w:rsid w:val="00EE71B0"/>
    <w:rsid w:val="00EE74E7"/>
    <w:rsid w:val="00EE757F"/>
    <w:rsid w:val="00EE760A"/>
    <w:rsid w:val="00EE7647"/>
    <w:rsid w:val="00EE768A"/>
    <w:rsid w:val="00EE76A0"/>
    <w:rsid w:val="00EE76C3"/>
    <w:rsid w:val="00EE7A81"/>
    <w:rsid w:val="00EE7B1A"/>
    <w:rsid w:val="00EE7B46"/>
    <w:rsid w:val="00EF0012"/>
    <w:rsid w:val="00EF02C9"/>
    <w:rsid w:val="00EF02DF"/>
    <w:rsid w:val="00EF0524"/>
    <w:rsid w:val="00EF0590"/>
    <w:rsid w:val="00EF064D"/>
    <w:rsid w:val="00EF07CF"/>
    <w:rsid w:val="00EF0817"/>
    <w:rsid w:val="00EF0986"/>
    <w:rsid w:val="00EF0A63"/>
    <w:rsid w:val="00EF0B2C"/>
    <w:rsid w:val="00EF0C2E"/>
    <w:rsid w:val="00EF0DC5"/>
    <w:rsid w:val="00EF0E3A"/>
    <w:rsid w:val="00EF0F46"/>
    <w:rsid w:val="00EF13B3"/>
    <w:rsid w:val="00EF1406"/>
    <w:rsid w:val="00EF1410"/>
    <w:rsid w:val="00EF162B"/>
    <w:rsid w:val="00EF165B"/>
    <w:rsid w:val="00EF16D2"/>
    <w:rsid w:val="00EF17B8"/>
    <w:rsid w:val="00EF1873"/>
    <w:rsid w:val="00EF1A05"/>
    <w:rsid w:val="00EF1A60"/>
    <w:rsid w:val="00EF1AB9"/>
    <w:rsid w:val="00EF1BB4"/>
    <w:rsid w:val="00EF20D1"/>
    <w:rsid w:val="00EF212B"/>
    <w:rsid w:val="00EF2256"/>
    <w:rsid w:val="00EF2A0B"/>
    <w:rsid w:val="00EF2D20"/>
    <w:rsid w:val="00EF2D57"/>
    <w:rsid w:val="00EF303B"/>
    <w:rsid w:val="00EF304B"/>
    <w:rsid w:val="00EF304E"/>
    <w:rsid w:val="00EF30A8"/>
    <w:rsid w:val="00EF3321"/>
    <w:rsid w:val="00EF36DF"/>
    <w:rsid w:val="00EF373D"/>
    <w:rsid w:val="00EF385C"/>
    <w:rsid w:val="00EF3889"/>
    <w:rsid w:val="00EF39F0"/>
    <w:rsid w:val="00EF3A94"/>
    <w:rsid w:val="00EF3D90"/>
    <w:rsid w:val="00EF3DBD"/>
    <w:rsid w:val="00EF3F30"/>
    <w:rsid w:val="00EF3F3D"/>
    <w:rsid w:val="00EF406C"/>
    <w:rsid w:val="00EF4091"/>
    <w:rsid w:val="00EF421D"/>
    <w:rsid w:val="00EF435B"/>
    <w:rsid w:val="00EF4368"/>
    <w:rsid w:val="00EF4427"/>
    <w:rsid w:val="00EF463C"/>
    <w:rsid w:val="00EF46A4"/>
    <w:rsid w:val="00EF46DA"/>
    <w:rsid w:val="00EF47C4"/>
    <w:rsid w:val="00EF489A"/>
    <w:rsid w:val="00EF489E"/>
    <w:rsid w:val="00EF49BF"/>
    <w:rsid w:val="00EF4AB4"/>
    <w:rsid w:val="00EF4BDB"/>
    <w:rsid w:val="00EF5239"/>
    <w:rsid w:val="00EF58B9"/>
    <w:rsid w:val="00EF5BD8"/>
    <w:rsid w:val="00EF5C84"/>
    <w:rsid w:val="00EF5D8B"/>
    <w:rsid w:val="00EF5F4D"/>
    <w:rsid w:val="00EF61EB"/>
    <w:rsid w:val="00EF63BE"/>
    <w:rsid w:val="00EF63F4"/>
    <w:rsid w:val="00EF6403"/>
    <w:rsid w:val="00EF64FA"/>
    <w:rsid w:val="00EF652E"/>
    <w:rsid w:val="00EF67AC"/>
    <w:rsid w:val="00EF6867"/>
    <w:rsid w:val="00EF6C78"/>
    <w:rsid w:val="00EF6E4E"/>
    <w:rsid w:val="00EF6E50"/>
    <w:rsid w:val="00EF6EC2"/>
    <w:rsid w:val="00EF6FBA"/>
    <w:rsid w:val="00EF7067"/>
    <w:rsid w:val="00EF70B9"/>
    <w:rsid w:val="00EF71E1"/>
    <w:rsid w:val="00EF7274"/>
    <w:rsid w:val="00EF72C1"/>
    <w:rsid w:val="00EF72E9"/>
    <w:rsid w:val="00EF747D"/>
    <w:rsid w:val="00EF7572"/>
    <w:rsid w:val="00EF7597"/>
    <w:rsid w:val="00EF76B0"/>
    <w:rsid w:val="00EF7726"/>
    <w:rsid w:val="00EF773A"/>
    <w:rsid w:val="00EF78E8"/>
    <w:rsid w:val="00EF7A4C"/>
    <w:rsid w:val="00EF7B78"/>
    <w:rsid w:val="00EF7CBE"/>
    <w:rsid w:val="00EF7E39"/>
    <w:rsid w:val="00EF7F7F"/>
    <w:rsid w:val="00F0057D"/>
    <w:rsid w:val="00F00653"/>
    <w:rsid w:val="00F00674"/>
    <w:rsid w:val="00F00733"/>
    <w:rsid w:val="00F00883"/>
    <w:rsid w:val="00F008BD"/>
    <w:rsid w:val="00F0095C"/>
    <w:rsid w:val="00F00BB0"/>
    <w:rsid w:val="00F00BDE"/>
    <w:rsid w:val="00F00DA1"/>
    <w:rsid w:val="00F00FCB"/>
    <w:rsid w:val="00F00FDD"/>
    <w:rsid w:val="00F011F2"/>
    <w:rsid w:val="00F013B1"/>
    <w:rsid w:val="00F01402"/>
    <w:rsid w:val="00F01700"/>
    <w:rsid w:val="00F01811"/>
    <w:rsid w:val="00F01823"/>
    <w:rsid w:val="00F01B33"/>
    <w:rsid w:val="00F01BA3"/>
    <w:rsid w:val="00F01EE4"/>
    <w:rsid w:val="00F01FB5"/>
    <w:rsid w:val="00F0207B"/>
    <w:rsid w:val="00F02429"/>
    <w:rsid w:val="00F024B2"/>
    <w:rsid w:val="00F024F0"/>
    <w:rsid w:val="00F02521"/>
    <w:rsid w:val="00F026F4"/>
    <w:rsid w:val="00F02B75"/>
    <w:rsid w:val="00F02B8A"/>
    <w:rsid w:val="00F02E12"/>
    <w:rsid w:val="00F02E57"/>
    <w:rsid w:val="00F02E70"/>
    <w:rsid w:val="00F02E75"/>
    <w:rsid w:val="00F02F8E"/>
    <w:rsid w:val="00F03022"/>
    <w:rsid w:val="00F031C4"/>
    <w:rsid w:val="00F03217"/>
    <w:rsid w:val="00F0327E"/>
    <w:rsid w:val="00F032BA"/>
    <w:rsid w:val="00F0339E"/>
    <w:rsid w:val="00F034A0"/>
    <w:rsid w:val="00F035A3"/>
    <w:rsid w:val="00F03A02"/>
    <w:rsid w:val="00F03A9C"/>
    <w:rsid w:val="00F03BA7"/>
    <w:rsid w:val="00F04038"/>
    <w:rsid w:val="00F04291"/>
    <w:rsid w:val="00F042F3"/>
    <w:rsid w:val="00F04303"/>
    <w:rsid w:val="00F04454"/>
    <w:rsid w:val="00F044A2"/>
    <w:rsid w:val="00F0457E"/>
    <w:rsid w:val="00F04812"/>
    <w:rsid w:val="00F04934"/>
    <w:rsid w:val="00F0499A"/>
    <w:rsid w:val="00F04AE1"/>
    <w:rsid w:val="00F04B6A"/>
    <w:rsid w:val="00F04CCC"/>
    <w:rsid w:val="00F04EE1"/>
    <w:rsid w:val="00F04EF2"/>
    <w:rsid w:val="00F05029"/>
    <w:rsid w:val="00F05205"/>
    <w:rsid w:val="00F055A8"/>
    <w:rsid w:val="00F0560B"/>
    <w:rsid w:val="00F05648"/>
    <w:rsid w:val="00F0569A"/>
    <w:rsid w:val="00F05AA1"/>
    <w:rsid w:val="00F05B72"/>
    <w:rsid w:val="00F05CC0"/>
    <w:rsid w:val="00F05F78"/>
    <w:rsid w:val="00F0606D"/>
    <w:rsid w:val="00F0610F"/>
    <w:rsid w:val="00F0627E"/>
    <w:rsid w:val="00F062E3"/>
    <w:rsid w:val="00F06384"/>
    <w:rsid w:val="00F06490"/>
    <w:rsid w:val="00F0667B"/>
    <w:rsid w:val="00F06689"/>
    <w:rsid w:val="00F06736"/>
    <w:rsid w:val="00F067AB"/>
    <w:rsid w:val="00F06827"/>
    <w:rsid w:val="00F06899"/>
    <w:rsid w:val="00F0690A"/>
    <w:rsid w:val="00F06B6C"/>
    <w:rsid w:val="00F0716A"/>
    <w:rsid w:val="00F07186"/>
    <w:rsid w:val="00F073DE"/>
    <w:rsid w:val="00F07448"/>
    <w:rsid w:val="00F07680"/>
    <w:rsid w:val="00F07709"/>
    <w:rsid w:val="00F0775E"/>
    <w:rsid w:val="00F07891"/>
    <w:rsid w:val="00F07BA5"/>
    <w:rsid w:val="00F07C73"/>
    <w:rsid w:val="00F07CFB"/>
    <w:rsid w:val="00F07DD8"/>
    <w:rsid w:val="00F07E23"/>
    <w:rsid w:val="00F07F1F"/>
    <w:rsid w:val="00F07FDA"/>
    <w:rsid w:val="00F07FE8"/>
    <w:rsid w:val="00F10036"/>
    <w:rsid w:val="00F100F8"/>
    <w:rsid w:val="00F10118"/>
    <w:rsid w:val="00F1015F"/>
    <w:rsid w:val="00F1016E"/>
    <w:rsid w:val="00F101B2"/>
    <w:rsid w:val="00F1030A"/>
    <w:rsid w:val="00F1057F"/>
    <w:rsid w:val="00F10583"/>
    <w:rsid w:val="00F105B7"/>
    <w:rsid w:val="00F10779"/>
    <w:rsid w:val="00F107FF"/>
    <w:rsid w:val="00F10A4E"/>
    <w:rsid w:val="00F10C29"/>
    <w:rsid w:val="00F10C8F"/>
    <w:rsid w:val="00F10D65"/>
    <w:rsid w:val="00F10D79"/>
    <w:rsid w:val="00F10D80"/>
    <w:rsid w:val="00F10F12"/>
    <w:rsid w:val="00F1103E"/>
    <w:rsid w:val="00F1118C"/>
    <w:rsid w:val="00F1130E"/>
    <w:rsid w:val="00F11394"/>
    <w:rsid w:val="00F114DA"/>
    <w:rsid w:val="00F11688"/>
    <w:rsid w:val="00F116A1"/>
    <w:rsid w:val="00F1190D"/>
    <w:rsid w:val="00F11B8D"/>
    <w:rsid w:val="00F11BC9"/>
    <w:rsid w:val="00F11BF0"/>
    <w:rsid w:val="00F11BF6"/>
    <w:rsid w:val="00F11C36"/>
    <w:rsid w:val="00F11CD2"/>
    <w:rsid w:val="00F11F17"/>
    <w:rsid w:val="00F11F52"/>
    <w:rsid w:val="00F121D5"/>
    <w:rsid w:val="00F12491"/>
    <w:rsid w:val="00F124D7"/>
    <w:rsid w:val="00F1261E"/>
    <w:rsid w:val="00F127A4"/>
    <w:rsid w:val="00F129A7"/>
    <w:rsid w:val="00F12BA6"/>
    <w:rsid w:val="00F12F68"/>
    <w:rsid w:val="00F12FD9"/>
    <w:rsid w:val="00F1308A"/>
    <w:rsid w:val="00F130B7"/>
    <w:rsid w:val="00F132D9"/>
    <w:rsid w:val="00F132F4"/>
    <w:rsid w:val="00F133F6"/>
    <w:rsid w:val="00F13429"/>
    <w:rsid w:val="00F13714"/>
    <w:rsid w:val="00F13716"/>
    <w:rsid w:val="00F138BB"/>
    <w:rsid w:val="00F13A3F"/>
    <w:rsid w:val="00F13A7A"/>
    <w:rsid w:val="00F13AD9"/>
    <w:rsid w:val="00F13AEE"/>
    <w:rsid w:val="00F13B17"/>
    <w:rsid w:val="00F13BCC"/>
    <w:rsid w:val="00F13C33"/>
    <w:rsid w:val="00F13D02"/>
    <w:rsid w:val="00F13D21"/>
    <w:rsid w:val="00F13D2A"/>
    <w:rsid w:val="00F14248"/>
    <w:rsid w:val="00F142E9"/>
    <w:rsid w:val="00F1440C"/>
    <w:rsid w:val="00F14666"/>
    <w:rsid w:val="00F146BF"/>
    <w:rsid w:val="00F14778"/>
    <w:rsid w:val="00F149F7"/>
    <w:rsid w:val="00F14B54"/>
    <w:rsid w:val="00F14BDF"/>
    <w:rsid w:val="00F14C18"/>
    <w:rsid w:val="00F14C70"/>
    <w:rsid w:val="00F14D5C"/>
    <w:rsid w:val="00F14DC9"/>
    <w:rsid w:val="00F14DEE"/>
    <w:rsid w:val="00F14E55"/>
    <w:rsid w:val="00F14F0B"/>
    <w:rsid w:val="00F14F9F"/>
    <w:rsid w:val="00F15256"/>
    <w:rsid w:val="00F1529C"/>
    <w:rsid w:val="00F153DD"/>
    <w:rsid w:val="00F1559A"/>
    <w:rsid w:val="00F15639"/>
    <w:rsid w:val="00F156FA"/>
    <w:rsid w:val="00F15725"/>
    <w:rsid w:val="00F157C7"/>
    <w:rsid w:val="00F15841"/>
    <w:rsid w:val="00F15905"/>
    <w:rsid w:val="00F15F04"/>
    <w:rsid w:val="00F16151"/>
    <w:rsid w:val="00F16197"/>
    <w:rsid w:val="00F161DE"/>
    <w:rsid w:val="00F1625D"/>
    <w:rsid w:val="00F163BB"/>
    <w:rsid w:val="00F16422"/>
    <w:rsid w:val="00F16691"/>
    <w:rsid w:val="00F16702"/>
    <w:rsid w:val="00F167C7"/>
    <w:rsid w:val="00F169C3"/>
    <w:rsid w:val="00F16B7F"/>
    <w:rsid w:val="00F16C42"/>
    <w:rsid w:val="00F16C5C"/>
    <w:rsid w:val="00F16ED9"/>
    <w:rsid w:val="00F16F7B"/>
    <w:rsid w:val="00F1704A"/>
    <w:rsid w:val="00F1716E"/>
    <w:rsid w:val="00F17207"/>
    <w:rsid w:val="00F1739B"/>
    <w:rsid w:val="00F1745E"/>
    <w:rsid w:val="00F174BF"/>
    <w:rsid w:val="00F17629"/>
    <w:rsid w:val="00F1791B"/>
    <w:rsid w:val="00F179DA"/>
    <w:rsid w:val="00F17A0A"/>
    <w:rsid w:val="00F17B88"/>
    <w:rsid w:val="00F17BF5"/>
    <w:rsid w:val="00F17DC0"/>
    <w:rsid w:val="00F17EBD"/>
    <w:rsid w:val="00F17FAB"/>
    <w:rsid w:val="00F2054B"/>
    <w:rsid w:val="00F2067F"/>
    <w:rsid w:val="00F206B8"/>
    <w:rsid w:val="00F206FA"/>
    <w:rsid w:val="00F207A6"/>
    <w:rsid w:val="00F2088F"/>
    <w:rsid w:val="00F20A7A"/>
    <w:rsid w:val="00F20AB0"/>
    <w:rsid w:val="00F20AC0"/>
    <w:rsid w:val="00F20CDB"/>
    <w:rsid w:val="00F20D32"/>
    <w:rsid w:val="00F21058"/>
    <w:rsid w:val="00F210B7"/>
    <w:rsid w:val="00F211FE"/>
    <w:rsid w:val="00F21311"/>
    <w:rsid w:val="00F214CE"/>
    <w:rsid w:val="00F215CF"/>
    <w:rsid w:val="00F2172E"/>
    <w:rsid w:val="00F21921"/>
    <w:rsid w:val="00F2199D"/>
    <w:rsid w:val="00F219AC"/>
    <w:rsid w:val="00F21AE0"/>
    <w:rsid w:val="00F21BF3"/>
    <w:rsid w:val="00F21CD6"/>
    <w:rsid w:val="00F21D3B"/>
    <w:rsid w:val="00F2200B"/>
    <w:rsid w:val="00F221F1"/>
    <w:rsid w:val="00F2229A"/>
    <w:rsid w:val="00F222BB"/>
    <w:rsid w:val="00F22323"/>
    <w:rsid w:val="00F223A1"/>
    <w:rsid w:val="00F223AC"/>
    <w:rsid w:val="00F22493"/>
    <w:rsid w:val="00F22515"/>
    <w:rsid w:val="00F22527"/>
    <w:rsid w:val="00F22537"/>
    <w:rsid w:val="00F225B1"/>
    <w:rsid w:val="00F22660"/>
    <w:rsid w:val="00F22966"/>
    <w:rsid w:val="00F22AAE"/>
    <w:rsid w:val="00F22ADB"/>
    <w:rsid w:val="00F22B75"/>
    <w:rsid w:val="00F22C3C"/>
    <w:rsid w:val="00F22D9C"/>
    <w:rsid w:val="00F22E5F"/>
    <w:rsid w:val="00F22E95"/>
    <w:rsid w:val="00F22F16"/>
    <w:rsid w:val="00F22FB1"/>
    <w:rsid w:val="00F230E9"/>
    <w:rsid w:val="00F23180"/>
    <w:rsid w:val="00F231FA"/>
    <w:rsid w:val="00F2325A"/>
    <w:rsid w:val="00F23680"/>
    <w:rsid w:val="00F2392C"/>
    <w:rsid w:val="00F23AA9"/>
    <w:rsid w:val="00F23C53"/>
    <w:rsid w:val="00F23D56"/>
    <w:rsid w:val="00F23E2E"/>
    <w:rsid w:val="00F240E8"/>
    <w:rsid w:val="00F24145"/>
    <w:rsid w:val="00F241D8"/>
    <w:rsid w:val="00F24424"/>
    <w:rsid w:val="00F24483"/>
    <w:rsid w:val="00F24734"/>
    <w:rsid w:val="00F247B7"/>
    <w:rsid w:val="00F247D8"/>
    <w:rsid w:val="00F24975"/>
    <w:rsid w:val="00F24C36"/>
    <w:rsid w:val="00F24C4C"/>
    <w:rsid w:val="00F24DD6"/>
    <w:rsid w:val="00F24E50"/>
    <w:rsid w:val="00F250C3"/>
    <w:rsid w:val="00F25188"/>
    <w:rsid w:val="00F25467"/>
    <w:rsid w:val="00F25626"/>
    <w:rsid w:val="00F258E7"/>
    <w:rsid w:val="00F25925"/>
    <w:rsid w:val="00F25AD8"/>
    <w:rsid w:val="00F25E23"/>
    <w:rsid w:val="00F25F1A"/>
    <w:rsid w:val="00F2606F"/>
    <w:rsid w:val="00F2619A"/>
    <w:rsid w:val="00F261E4"/>
    <w:rsid w:val="00F26435"/>
    <w:rsid w:val="00F26469"/>
    <w:rsid w:val="00F264A5"/>
    <w:rsid w:val="00F264D6"/>
    <w:rsid w:val="00F268AC"/>
    <w:rsid w:val="00F26952"/>
    <w:rsid w:val="00F26A81"/>
    <w:rsid w:val="00F26AD4"/>
    <w:rsid w:val="00F26B45"/>
    <w:rsid w:val="00F26D6E"/>
    <w:rsid w:val="00F26E65"/>
    <w:rsid w:val="00F26F30"/>
    <w:rsid w:val="00F2719C"/>
    <w:rsid w:val="00F272BC"/>
    <w:rsid w:val="00F27352"/>
    <w:rsid w:val="00F27482"/>
    <w:rsid w:val="00F276D5"/>
    <w:rsid w:val="00F276E2"/>
    <w:rsid w:val="00F27728"/>
    <w:rsid w:val="00F2799E"/>
    <w:rsid w:val="00F27C4D"/>
    <w:rsid w:val="00F27EFC"/>
    <w:rsid w:val="00F27F43"/>
    <w:rsid w:val="00F27FEC"/>
    <w:rsid w:val="00F3013F"/>
    <w:rsid w:val="00F30166"/>
    <w:rsid w:val="00F3026B"/>
    <w:rsid w:val="00F30388"/>
    <w:rsid w:val="00F305BC"/>
    <w:rsid w:val="00F307B7"/>
    <w:rsid w:val="00F309C9"/>
    <w:rsid w:val="00F30AAB"/>
    <w:rsid w:val="00F30AB1"/>
    <w:rsid w:val="00F30AF2"/>
    <w:rsid w:val="00F30CE4"/>
    <w:rsid w:val="00F30E03"/>
    <w:rsid w:val="00F30EBD"/>
    <w:rsid w:val="00F30EE6"/>
    <w:rsid w:val="00F30F28"/>
    <w:rsid w:val="00F30F9F"/>
    <w:rsid w:val="00F30FA5"/>
    <w:rsid w:val="00F3108B"/>
    <w:rsid w:val="00F310CA"/>
    <w:rsid w:val="00F311A0"/>
    <w:rsid w:val="00F3124E"/>
    <w:rsid w:val="00F3130B"/>
    <w:rsid w:val="00F3147D"/>
    <w:rsid w:val="00F31747"/>
    <w:rsid w:val="00F3181E"/>
    <w:rsid w:val="00F3186C"/>
    <w:rsid w:val="00F31996"/>
    <w:rsid w:val="00F31BAC"/>
    <w:rsid w:val="00F31BD4"/>
    <w:rsid w:val="00F31BED"/>
    <w:rsid w:val="00F31C3E"/>
    <w:rsid w:val="00F31D20"/>
    <w:rsid w:val="00F31F75"/>
    <w:rsid w:val="00F32135"/>
    <w:rsid w:val="00F321C5"/>
    <w:rsid w:val="00F325FB"/>
    <w:rsid w:val="00F32658"/>
    <w:rsid w:val="00F32948"/>
    <w:rsid w:val="00F32A17"/>
    <w:rsid w:val="00F32B1F"/>
    <w:rsid w:val="00F32E28"/>
    <w:rsid w:val="00F32ED1"/>
    <w:rsid w:val="00F32ED4"/>
    <w:rsid w:val="00F3308F"/>
    <w:rsid w:val="00F3338F"/>
    <w:rsid w:val="00F33408"/>
    <w:rsid w:val="00F3349C"/>
    <w:rsid w:val="00F337FE"/>
    <w:rsid w:val="00F33837"/>
    <w:rsid w:val="00F33935"/>
    <w:rsid w:val="00F33987"/>
    <w:rsid w:val="00F33A89"/>
    <w:rsid w:val="00F33C12"/>
    <w:rsid w:val="00F341A4"/>
    <w:rsid w:val="00F343D5"/>
    <w:rsid w:val="00F343E0"/>
    <w:rsid w:val="00F34664"/>
    <w:rsid w:val="00F3509D"/>
    <w:rsid w:val="00F350B0"/>
    <w:rsid w:val="00F35184"/>
    <w:rsid w:val="00F3520A"/>
    <w:rsid w:val="00F353F9"/>
    <w:rsid w:val="00F359DB"/>
    <w:rsid w:val="00F35B1E"/>
    <w:rsid w:val="00F35B35"/>
    <w:rsid w:val="00F35BBD"/>
    <w:rsid w:val="00F35D2D"/>
    <w:rsid w:val="00F35F10"/>
    <w:rsid w:val="00F35FB0"/>
    <w:rsid w:val="00F3604A"/>
    <w:rsid w:val="00F361E7"/>
    <w:rsid w:val="00F361F0"/>
    <w:rsid w:val="00F3625A"/>
    <w:rsid w:val="00F36306"/>
    <w:rsid w:val="00F3647B"/>
    <w:rsid w:val="00F364BA"/>
    <w:rsid w:val="00F36764"/>
    <w:rsid w:val="00F36816"/>
    <w:rsid w:val="00F36837"/>
    <w:rsid w:val="00F369F7"/>
    <w:rsid w:val="00F36AC1"/>
    <w:rsid w:val="00F36B35"/>
    <w:rsid w:val="00F36B81"/>
    <w:rsid w:val="00F36BFE"/>
    <w:rsid w:val="00F36F27"/>
    <w:rsid w:val="00F36F71"/>
    <w:rsid w:val="00F36FB1"/>
    <w:rsid w:val="00F36FE7"/>
    <w:rsid w:val="00F37101"/>
    <w:rsid w:val="00F372BF"/>
    <w:rsid w:val="00F374EE"/>
    <w:rsid w:val="00F3756E"/>
    <w:rsid w:val="00F37611"/>
    <w:rsid w:val="00F3765A"/>
    <w:rsid w:val="00F37826"/>
    <w:rsid w:val="00F3788A"/>
    <w:rsid w:val="00F378FD"/>
    <w:rsid w:val="00F37B0F"/>
    <w:rsid w:val="00F37E5B"/>
    <w:rsid w:val="00F37FE6"/>
    <w:rsid w:val="00F40047"/>
    <w:rsid w:val="00F40135"/>
    <w:rsid w:val="00F40291"/>
    <w:rsid w:val="00F4051A"/>
    <w:rsid w:val="00F4091D"/>
    <w:rsid w:val="00F40978"/>
    <w:rsid w:val="00F40B79"/>
    <w:rsid w:val="00F40C2E"/>
    <w:rsid w:val="00F40D21"/>
    <w:rsid w:val="00F40F6C"/>
    <w:rsid w:val="00F41124"/>
    <w:rsid w:val="00F41340"/>
    <w:rsid w:val="00F4135E"/>
    <w:rsid w:val="00F41486"/>
    <w:rsid w:val="00F414AD"/>
    <w:rsid w:val="00F416A1"/>
    <w:rsid w:val="00F4177B"/>
    <w:rsid w:val="00F417FF"/>
    <w:rsid w:val="00F41926"/>
    <w:rsid w:val="00F41933"/>
    <w:rsid w:val="00F41BB1"/>
    <w:rsid w:val="00F41C6E"/>
    <w:rsid w:val="00F41D32"/>
    <w:rsid w:val="00F41E7E"/>
    <w:rsid w:val="00F41E90"/>
    <w:rsid w:val="00F41F90"/>
    <w:rsid w:val="00F42039"/>
    <w:rsid w:val="00F42300"/>
    <w:rsid w:val="00F423A8"/>
    <w:rsid w:val="00F42487"/>
    <w:rsid w:val="00F427E9"/>
    <w:rsid w:val="00F4282F"/>
    <w:rsid w:val="00F429A0"/>
    <w:rsid w:val="00F42A8C"/>
    <w:rsid w:val="00F42CA2"/>
    <w:rsid w:val="00F42CF7"/>
    <w:rsid w:val="00F42D3B"/>
    <w:rsid w:val="00F42DBF"/>
    <w:rsid w:val="00F42E5B"/>
    <w:rsid w:val="00F42F53"/>
    <w:rsid w:val="00F43004"/>
    <w:rsid w:val="00F43015"/>
    <w:rsid w:val="00F431E7"/>
    <w:rsid w:val="00F43221"/>
    <w:rsid w:val="00F432AC"/>
    <w:rsid w:val="00F4336C"/>
    <w:rsid w:val="00F43390"/>
    <w:rsid w:val="00F43482"/>
    <w:rsid w:val="00F4349D"/>
    <w:rsid w:val="00F4363E"/>
    <w:rsid w:val="00F439B0"/>
    <w:rsid w:val="00F43A94"/>
    <w:rsid w:val="00F43C74"/>
    <w:rsid w:val="00F43CA2"/>
    <w:rsid w:val="00F43ED9"/>
    <w:rsid w:val="00F43F11"/>
    <w:rsid w:val="00F44046"/>
    <w:rsid w:val="00F4406E"/>
    <w:rsid w:val="00F442A8"/>
    <w:rsid w:val="00F442CF"/>
    <w:rsid w:val="00F443DB"/>
    <w:rsid w:val="00F4451A"/>
    <w:rsid w:val="00F44532"/>
    <w:rsid w:val="00F44553"/>
    <w:rsid w:val="00F445FA"/>
    <w:rsid w:val="00F44822"/>
    <w:rsid w:val="00F44898"/>
    <w:rsid w:val="00F449CC"/>
    <w:rsid w:val="00F44A7D"/>
    <w:rsid w:val="00F44BFE"/>
    <w:rsid w:val="00F44C32"/>
    <w:rsid w:val="00F44C58"/>
    <w:rsid w:val="00F44CB0"/>
    <w:rsid w:val="00F44E86"/>
    <w:rsid w:val="00F44F0E"/>
    <w:rsid w:val="00F44F5C"/>
    <w:rsid w:val="00F44F81"/>
    <w:rsid w:val="00F44F84"/>
    <w:rsid w:val="00F45033"/>
    <w:rsid w:val="00F45319"/>
    <w:rsid w:val="00F4533E"/>
    <w:rsid w:val="00F45590"/>
    <w:rsid w:val="00F455A9"/>
    <w:rsid w:val="00F456D2"/>
    <w:rsid w:val="00F45727"/>
    <w:rsid w:val="00F45847"/>
    <w:rsid w:val="00F45E6C"/>
    <w:rsid w:val="00F45F78"/>
    <w:rsid w:val="00F46132"/>
    <w:rsid w:val="00F46134"/>
    <w:rsid w:val="00F46179"/>
    <w:rsid w:val="00F461C5"/>
    <w:rsid w:val="00F461CF"/>
    <w:rsid w:val="00F4624D"/>
    <w:rsid w:val="00F463B2"/>
    <w:rsid w:val="00F46444"/>
    <w:rsid w:val="00F46537"/>
    <w:rsid w:val="00F465B2"/>
    <w:rsid w:val="00F465E9"/>
    <w:rsid w:val="00F4661B"/>
    <w:rsid w:val="00F46787"/>
    <w:rsid w:val="00F467AB"/>
    <w:rsid w:val="00F4686B"/>
    <w:rsid w:val="00F4694C"/>
    <w:rsid w:val="00F469FF"/>
    <w:rsid w:val="00F46ABC"/>
    <w:rsid w:val="00F46AE9"/>
    <w:rsid w:val="00F46B97"/>
    <w:rsid w:val="00F46C59"/>
    <w:rsid w:val="00F46E1F"/>
    <w:rsid w:val="00F46FC5"/>
    <w:rsid w:val="00F47010"/>
    <w:rsid w:val="00F47215"/>
    <w:rsid w:val="00F47442"/>
    <w:rsid w:val="00F47635"/>
    <w:rsid w:val="00F47743"/>
    <w:rsid w:val="00F47C4F"/>
    <w:rsid w:val="00F47C99"/>
    <w:rsid w:val="00F5008B"/>
    <w:rsid w:val="00F5029B"/>
    <w:rsid w:val="00F5038B"/>
    <w:rsid w:val="00F5086D"/>
    <w:rsid w:val="00F50972"/>
    <w:rsid w:val="00F50D65"/>
    <w:rsid w:val="00F50F07"/>
    <w:rsid w:val="00F51061"/>
    <w:rsid w:val="00F51243"/>
    <w:rsid w:val="00F51254"/>
    <w:rsid w:val="00F51451"/>
    <w:rsid w:val="00F514A7"/>
    <w:rsid w:val="00F514F4"/>
    <w:rsid w:val="00F51541"/>
    <w:rsid w:val="00F515CD"/>
    <w:rsid w:val="00F51763"/>
    <w:rsid w:val="00F518C1"/>
    <w:rsid w:val="00F51AED"/>
    <w:rsid w:val="00F51B95"/>
    <w:rsid w:val="00F51BB1"/>
    <w:rsid w:val="00F51C27"/>
    <w:rsid w:val="00F51D21"/>
    <w:rsid w:val="00F51DA8"/>
    <w:rsid w:val="00F51EC2"/>
    <w:rsid w:val="00F51F39"/>
    <w:rsid w:val="00F51FD7"/>
    <w:rsid w:val="00F525B4"/>
    <w:rsid w:val="00F525D3"/>
    <w:rsid w:val="00F5270E"/>
    <w:rsid w:val="00F52918"/>
    <w:rsid w:val="00F52DA0"/>
    <w:rsid w:val="00F52E27"/>
    <w:rsid w:val="00F5310E"/>
    <w:rsid w:val="00F53280"/>
    <w:rsid w:val="00F53351"/>
    <w:rsid w:val="00F5344F"/>
    <w:rsid w:val="00F5368D"/>
    <w:rsid w:val="00F53B2F"/>
    <w:rsid w:val="00F53C35"/>
    <w:rsid w:val="00F53C53"/>
    <w:rsid w:val="00F53CBB"/>
    <w:rsid w:val="00F53CBC"/>
    <w:rsid w:val="00F53CDC"/>
    <w:rsid w:val="00F53D2F"/>
    <w:rsid w:val="00F54132"/>
    <w:rsid w:val="00F54199"/>
    <w:rsid w:val="00F54289"/>
    <w:rsid w:val="00F54303"/>
    <w:rsid w:val="00F54434"/>
    <w:rsid w:val="00F54520"/>
    <w:rsid w:val="00F5461D"/>
    <w:rsid w:val="00F54641"/>
    <w:rsid w:val="00F5477C"/>
    <w:rsid w:val="00F5494E"/>
    <w:rsid w:val="00F54A4E"/>
    <w:rsid w:val="00F54AFC"/>
    <w:rsid w:val="00F54AFF"/>
    <w:rsid w:val="00F54CD3"/>
    <w:rsid w:val="00F54E42"/>
    <w:rsid w:val="00F54FBC"/>
    <w:rsid w:val="00F551C9"/>
    <w:rsid w:val="00F5530C"/>
    <w:rsid w:val="00F553EF"/>
    <w:rsid w:val="00F55749"/>
    <w:rsid w:val="00F557BC"/>
    <w:rsid w:val="00F5581D"/>
    <w:rsid w:val="00F55948"/>
    <w:rsid w:val="00F55C6E"/>
    <w:rsid w:val="00F55D44"/>
    <w:rsid w:val="00F55F19"/>
    <w:rsid w:val="00F56139"/>
    <w:rsid w:val="00F5619D"/>
    <w:rsid w:val="00F5623A"/>
    <w:rsid w:val="00F56272"/>
    <w:rsid w:val="00F56416"/>
    <w:rsid w:val="00F56558"/>
    <w:rsid w:val="00F56605"/>
    <w:rsid w:val="00F5666E"/>
    <w:rsid w:val="00F568F1"/>
    <w:rsid w:val="00F56BC5"/>
    <w:rsid w:val="00F56CD7"/>
    <w:rsid w:val="00F56D09"/>
    <w:rsid w:val="00F56D2C"/>
    <w:rsid w:val="00F56E13"/>
    <w:rsid w:val="00F56FFC"/>
    <w:rsid w:val="00F57017"/>
    <w:rsid w:val="00F571BA"/>
    <w:rsid w:val="00F57246"/>
    <w:rsid w:val="00F5743C"/>
    <w:rsid w:val="00F574FB"/>
    <w:rsid w:val="00F574FF"/>
    <w:rsid w:val="00F575CA"/>
    <w:rsid w:val="00F57A41"/>
    <w:rsid w:val="00F57AA9"/>
    <w:rsid w:val="00F57B1A"/>
    <w:rsid w:val="00F57D36"/>
    <w:rsid w:val="00F57D41"/>
    <w:rsid w:val="00F57EFF"/>
    <w:rsid w:val="00F60074"/>
    <w:rsid w:val="00F601C7"/>
    <w:rsid w:val="00F602A4"/>
    <w:rsid w:val="00F60439"/>
    <w:rsid w:val="00F60517"/>
    <w:rsid w:val="00F605AC"/>
    <w:rsid w:val="00F60728"/>
    <w:rsid w:val="00F60736"/>
    <w:rsid w:val="00F607C2"/>
    <w:rsid w:val="00F607DA"/>
    <w:rsid w:val="00F6086B"/>
    <w:rsid w:val="00F60938"/>
    <w:rsid w:val="00F60C22"/>
    <w:rsid w:val="00F60CFB"/>
    <w:rsid w:val="00F60E46"/>
    <w:rsid w:val="00F60F1B"/>
    <w:rsid w:val="00F60FE3"/>
    <w:rsid w:val="00F611CA"/>
    <w:rsid w:val="00F611D1"/>
    <w:rsid w:val="00F613A3"/>
    <w:rsid w:val="00F613BD"/>
    <w:rsid w:val="00F615A3"/>
    <w:rsid w:val="00F61677"/>
    <w:rsid w:val="00F617DD"/>
    <w:rsid w:val="00F6180F"/>
    <w:rsid w:val="00F61827"/>
    <w:rsid w:val="00F61A3C"/>
    <w:rsid w:val="00F61C31"/>
    <w:rsid w:val="00F61CFC"/>
    <w:rsid w:val="00F61FA6"/>
    <w:rsid w:val="00F62018"/>
    <w:rsid w:val="00F62235"/>
    <w:rsid w:val="00F625A3"/>
    <w:rsid w:val="00F62B30"/>
    <w:rsid w:val="00F62B66"/>
    <w:rsid w:val="00F62B89"/>
    <w:rsid w:val="00F62BD0"/>
    <w:rsid w:val="00F62DD7"/>
    <w:rsid w:val="00F62ED2"/>
    <w:rsid w:val="00F63240"/>
    <w:rsid w:val="00F632E3"/>
    <w:rsid w:val="00F6348F"/>
    <w:rsid w:val="00F6365E"/>
    <w:rsid w:val="00F636F7"/>
    <w:rsid w:val="00F63746"/>
    <w:rsid w:val="00F6377C"/>
    <w:rsid w:val="00F63789"/>
    <w:rsid w:val="00F6399F"/>
    <w:rsid w:val="00F63A13"/>
    <w:rsid w:val="00F63C7C"/>
    <w:rsid w:val="00F63C8D"/>
    <w:rsid w:val="00F63C95"/>
    <w:rsid w:val="00F63D3C"/>
    <w:rsid w:val="00F6401A"/>
    <w:rsid w:val="00F6405A"/>
    <w:rsid w:val="00F641B4"/>
    <w:rsid w:val="00F64236"/>
    <w:rsid w:val="00F6424D"/>
    <w:rsid w:val="00F64339"/>
    <w:rsid w:val="00F64358"/>
    <w:rsid w:val="00F6440E"/>
    <w:rsid w:val="00F64521"/>
    <w:rsid w:val="00F646C9"/>
    <w:rsid w:val="00F646DD"/>
    <w:rsid w:val="00F647A7"/>
    <w:rsid w:val="00F647C1"/>
    <w:rsid w:val="00F64881"/>
    <w:rsid w:val="00F64955"/>
    <w:rsid w:val="00F64A26"/>
    <w:rsid w:val="00F64B73"/>
    <w:rsid w:val="00F64DB9"/>
    <w:rsid w:val="00F64DCC"/>
    <w:rsid w:val="00F64E59"/>
    <w:rsid w:val="00F64E66"/>
    <w:rsid w:val="00F64ED5"/>
    <w:rsid w:val="00F64F49"/>
    <w:rsid w:val="00F64F62"/>
    <w:rsid w:val="00F65000"/>
    <w:rsid w:val="00F650D0"/>
    <w:rsid w:val="00F65129"/>
    <w:rsid w:val="00F65306"/>
    <w:rsid w:val="00F6540D"/>
    <w:rsid w:val="00F657C3"/>
    <w:rsid w:val="00F65849"/>
    <w:rsid w:val="00F6597E"/>
    <w:rsid w:val="00F65EF2"/>
    <w:rsid w:val="00F65F39"/>
    <w:rsid w:val="00F65FA6"/>
    <w:rsid w:val="00F6601E"/>
    <w:rsid w:val="00F660CB"/>
    <w:rsid w:val="00F6611B"/>
    <w:rsid w:val="00F662AD"/>
    <w:rsid w:val="00F66A4A"/>
    <w:rsid w:val="00F66B76"/>
    <w:rsid w:val="00F66BCC"/>
    <w:rsid w:val="00F66C5A"/>
    <w:rsid w:val="00F66D2D"/>
    <w:rsid w:val="00F66F7F"/>
    <w:rsid w:val="00F66FAB"/>
    <w:rsid w:val="00F67064"/>
    <w:rsid w:val="00F67071"/>
    <w:rsid w:val="00F670F6"/>
    <w:rsid w:val="00F67192"/>
    <w:rsid w:val="00F67394"/>
    <w:rsid w:val="00F67501"/>
    <w:rsid w:val="00F6768B"/>
    <w:rsid w:val="00F67724"/>
    <w:rsid w:val="00F6782D"/>
    <w:rsid w:val="00F678B7"/>
    <w:rsid w:val="00F679F9"/>
    <w:rsid w:val="00F67C12"/>
    <w:rsid w:val="00F67C3D"/>
    <w:rsid w:val="00F67E08"/>
    <w:rsid w:val="00F67FAD"/>
    <w:rsid w:val="00F67FE5"/>
    <w:rsid w:val="00F7004A"/>
    <w:rsid w:val="00F70097"/>
    <w:rsid w:val="00F70300"/>
    <w:rsid w:val="00F703D0"/>
    <w:rsid w:val="00F7047F"/>
    <w:rsid w:val="00F704B5"/>
    <w:rsid w:val="00F7052D"/>
    <w:rsid w:val="00F70C18"/>
    <w:rsid w:val="00F70C8C"/>
    <w:rsid w:val="00F70D6E"/>
    <w:rsid w:val="00F70E14"/>
    <w:rsid w:val="00F70E36"/>
    <w:rsid w:val="00F7151D"/>
    <w:rsid w:val="00F71618"/>
    <w:rsid w:val="00F71636"/>
    <w:rsid w:val="00F717BB"/>
    <w:rsid w:val="00F717F5"/>
    <w:rsid w:val="00F71AA3"/>
    <w:rsid w:val="00F71B02"/>
    <w:rsid w:val="00F71C8D"/>
    <w:rsid w:val="00F71CB4"/>
    <w:rsid w:val="00F71E66"/>
    <w:rsid w:val="00F71E98"/>
    <w:rsid w:val="00F7202C"/>
    <w:rsid w:val="00F7213F"/>
    <w:rsid w:val="00F7223D"/>
    <w:rsid w:val="00F724C2"/>
    <w:rsid w:val="00F725E9"/>
    <w:rsid w:val="00F72830"/>
    <w:rsid w:val="00F728E3"/>
    <w:rsid w:val="00F729CF"/>
    <w:rsid w:val="00F72C91"/>
    <w:rsid w:val="00F72C95"/>
    <w:rsid w:val="00F72D10"/>
    <w:rsid w:val="00F72D5D"/>
    <w:rsid w:val="00F72E00"/>
    <w:rsid w:val="00F72EB5"/>
    <w:rsid w:val="00F72FC6"/>
    <w:rsid w:val="00F73045"/>
    <w:rsid w:val="00F73103"/>
    <w:rsid w:val="00F734BF"/>
    <w:rsid w:val="00F737FD"/>
    <w:rsid w:val="00F7382B"/>
    <w:rsid w:val="00F73969"/>
    <w:rsid w:val="00F739AD"/>
    <w:rsid w:val="00F73A2E"/>
    <w:rsid w:val="00F73B42"/>
    <w:rsid w:val="00F73B61"/>
    <w:rsid w:val="00F73CF3"/>
    <w:rsid w:val="00F73EA0"/>
    <w:rsid w:val="00F74223"/>
    <w:rsid w:val="00F74344"/>
    <w:rsid w:val="00F743D9"/>
    <w:rsid w:val="00F7459B"/>
    <w:rsid w:val="00F74732"/>
    <w:rsid w:val="00F747B7"/>
    <w:rsid w:val="00F748F8"/>
    <w:rsid w:val="00F74910"/>
    <w:rsid w:val="00F74B50"/>
    <w:rsid w:val="00F74CF3"/>
    <w:rsid w:val="00F74D2A"/>
    <w:rsid w:val="00F74DC9"/>
    <w:rsid w:val="00F74E51"/>
    <w:rsid w:val="00F74EA7"/>
    <w:rsid w:val="00F75113"/>
    <w:rsid w:val="00F752A0"/>
    <w:rsid w:val="00F75383"/>
    <w:rsid w:val="00F75396"/>
    <w:rsid w:val="00F753C1"/>
    <w:rsid w:val="00F75430"/>
    <w:rsid w:val="00F7543E"/>
    <w:rsid w:val="00F754AB"/>
    <w:rsid w:val="00F7555F"/>
    <w:rsid w:val="00F756E3"/>
    <w:rsid w:val="00F75722"/>
    <w:rsid w:val="00F75D52"/>
    <w:rsid w:val="00F75D54"/>
    <w:rsid w:val="00F75DFC"/>
    <w:rsid w:val="00F75EA4"/>
    <w:rsid w:val="00F75F7D"/>
    <w:rsid w:val="00F76036"/>
    <w:rsid w:val="00F7629C"/>
    <w:rsid w:val="00F76372"/>
    <w:rsid w:val="00F763DA"/>
    <w:rsid w:val="00F764E1"/>
    <w:rsid w:val="00F7655D"/>
    <w:rsid w:val="00F7656A"/>
    <w:rsid w:val="00F76648"/>
    <w:rsid w:val="00F76657"/>
    <w:rsid w:val="00F76674"/>
    <w:rsid w:val="00F766DC"/>
    <w:rsid w:val="00F76B08"/>
    <w:rsid w:val="00F76C26"/>
    <w:rsid w:val="00F76C66"/>
    <w:rsid w:val="00F76C74"/>
    <w:rsid w:val="00F76C76"/>
    <w:rsid w:val="00F76DBD"/>
    <w:rsid w:val="00F770E3"/>
    <w:rsid w:val="00F77599"/>
    <w:rsid w:val="00F775E7"/>
    <w:rsid w:val="00F7765A"/>
    <w:rsid w:val="00F77680"/>
    <w:rsid w:val="00F77687"/>
    <w:rsid w:val="00F776EE"/>
    <w:rsid w:val="00F77788"/>
    <w:rsid w:val="00F777DE"/>
    <w:rsid w:val="00F777DF"/>
    <w:rsid w:val="00F7789B"/>
    <w:rsid w:val="00F77AE0"/>
    <w:rsid w:val="00F77B56"/>
    <w:rsid w:val="00F77B8E"/>
    <w:rsid w:val="00F77E57"/>
    <w:rsid w:val="00F77F2F"/>
    <w:rsid w:val="00F800DA"/>
    <w:rsid w:val="00F80166"/>
    <w:rsid w:val="00F80213"/>
    <w:rsid w:val="00F802EB"/>
    <w:rsid w:val="00F8040A"/>
    <w:rsid w:val="00F8051C"/>
    <w:rsid w:val="00F8052E"/>
    <w:rsid w:val="00F80564"/>
    <w:rsid w:val="00F805D1"/>
    <w:rsid w:val="00F8063C"/>
    <w:rsid w:val="00F80711"/>
    <w:rsid w:val="00F80877"/>
    <w:rsid w:val="00F8089E"/>
    <w:rsid w:val="00F809C0"/>
    <w:rsid w:val="00F80BB7"/>
    <w:rsid w:val="00F80C05"/>
    <w:rsid w:val="00F80CAD"/>
    <w:rsid w:val="00F80CEB"/>
    <w:rsid w:val="00F80D4A"/>
    <w:rsid w:val="00F80D4C"/>
    <w:rsid w:val="00F80F35"/>
    <w:rsid w:val="00F80F83"/>
    <w:rsid w:val="00F81242"/>
    <w:rsid w:val="00F8128E"/>
    <w:rsid w:val="00F81355"/>
    <w:rsid w:val="00F81470"/>
    <w:rsid w:val="00F814ED"/>
    <w:rsid w:val="00F81647"/>
    <w:rsid w:val="00F81769"/>
    <w:rsid w:val="00F8180E"/>
    <w:rsid w:val="00F8184E"/>
    <w:rsid w:val="00F8188B"/>
    <w:rsid w:val="00F8196C"/>
    <w:rsid w:val="00F81A5B"/>
    <w:rsid w:val="00F81B08"/>
    <w:rsid w:val="00F81B28"/>
    <w:rsid w:val="00F81B59"/>
    <w:rsid w:val="00F81C46"/>
    <w:rsid w:val="00F81C7F"/>
    <w:rsid w:val="00F81D3B"/>
    <w:rsid w:val="00F81DDF"/>
    <w:rsid w:val="00F81DE7"/>
    <w:rsid w:val="00F81EB9"/>
    <w:rsid w:val="00F81EC8"/>
    <w:rsid w:val="00F82125"/>
    <w:rsid w:val="00F82157"/>
    <w:rsid w:val="00F82263"/>
    <w:rsid w:val="00F822A5"/>
    <w:rsid w:val="00F82360"/>
    <w:rsid w:val="00F824C6"/>
    <w:rsid w:val="00F82561"/>
    <w:rsid w:val="00F82766"/>
    <w:rsid w:val="00F8279C"/>
    <w:rsid w:val="00F82974"/>
    <w:rsid w:val="00F82B59"/>
    <w:rsid w:val="00F82B70"/>
    <w:rsid w:val="00F82BCF"/>
    <w:rsid w:val="00F82BE4"/>
    <w:rsid w:val="00F82D0D"/>
    <w:rsid w:val="00F82D3E"/>
    <w:rsid w:val="00F82D7E"/>
    <w:rsid w:val="00F82E0B"/>
    <w:rsid w:val="00F82F3D"/>
    <w:rsid w:val="00F82F70"/>
    <w:rsid w:val="00F82F72"/>
    <w:rsid w:val="00F83048"/>
    <w:rsid w:val="00F830BE"/>
    <w:rsid w:val="00F830C2"/>
    <w:rsid w:val="00F830CA"/>
    <w:rsid w:val="00F83129"/>
    <w:rsid w:val="00F831CB"/>
    <w:rsid w:val="00F8326C"/>
    <w:rsid w:val="00F83506"/>
    <w:rsid w:val="00F837A6"/>
    <w:rsid w:val="00F837D8"/>
    <w:rsid w:val="00F837D9"/>
    <w:rsid w:val="00F83B62"/>
    <w:rsid w:val="00F83C3F"/>
    <w:rsid w:val="00F83E67"/>
    <w:rsid w:val="00F83F09"/>
    <w:rsid w:val="00F83F72"/>
    <w:rsid w:val="00F83FE4"/>
    <w:rsid w:val="00F84188"/>
    <w:rsid w:val="00F84357"/>
    <w:rsid w:val="00F8435A"/>
    <w:rsid w:val="00F8445A"/>
    <w:rsid w:val="00F84743"/>
    <w:rsid w:val="00F84795"/>
    <w:rsid w:val="00F8490B"/>
    <w:rsid w:val="00F8491B"/>
    <w:rsid w:val="00F8497C"/>
    <w:rsid w:val="00F84BAA"/>
    <w:rsid w:val="00F84DD7"/>
    <w:rsid w:val="00F8520F"/>
    <w:rsid w:val="00F853C6"/>
    <w:rsid w:val="00F854BE"/>
    <w:rsid w:val="00F85538"/>
    <w:rsid w:val="00F8579A"/>
    <w:rsid w:val="00F8583A"/>
    <w:rsid w:val="00F858AE"/>
    <w:rsid w:val="00F858FF"/>
    <w:rsid w:val="00F85B38"/>
    <w:rsid w:val="00F85BAF"/>
    <w:rsid w:val="00F85F22"/>
    <w:rsid w:val="00F85F64"/>
    <w:rsid w:val="00F85F8C"/>
    <w:rsid w:val="00F8615B"/>
    <w:rsid w:val="00F86190"/>
    <w:rsid w:val="00F861BA"/>
    <w:rsid w:val="00F861F1"/>
    <w:rsid w:val="00F86272"/>
    <w:rsid w:val="00F8629F"/>
    <w:rsid w:val="00F862C4"/>
    <w:rsid w:val="00F8670A"/>
    <w:rsid w:val="00F86937"/>
    <w:rsid w:val="00F86B16"/>
    <w:rsid w:val="00F86B27"/>
    <w:rsid w:val="00F86BA5"/>
    <w:rsid w:val="00F86BC3"/>
    <w:rsid w:val="00F86D20"/>
    <w:rsid w:val="00F86EB5"/>
    <w:rsid w:val="00F87008"/>
    <w:rsid w:val="00F8708A"/>
    <w:rsid w:val="00F87387"/>
    <w:rsid w:val="00F873A8"/>
    <w:rsid w:val="00F87718"/>
    <w:rsid w:val="00F877B5"/>
    <w:rsid w:val="00F877C1"/>
    <w:rsid w:val="00F877DF"/>
    <w:rsid w:val="00F87870"/>
    <w:rsid w:val="00F879D6"/>
    <w:rsid w:val="00F87A5B"/>
    <w:rsid w:val="00F87EA3"/>
    <w:rsid w:val="00F87F9A"/>
    <w:rsid w:val="00F900E8"/>
    <w:rsid w:val="00F90203"/>
    <w:rsid w:val="00F903A2"/>
    <w:rsid w:val="00F903E4"/>
    <w:rsid w:val="00F90478"/>
    <w:rsid w:val="00F90591"/>
    <w:rsid w:val="00F90724"/>
    <w:rsid w:val="00F90BA1"/>
    <w:rsid w:val="00F90C65"/>
    <w:rsid w:val="00F90CCA"/>
    <w:rsid w:val="00F90D6E"/>
    <w:rsid w:val="00F90DFF"/>
    <w:rsid w:val="00F90E38"/>
    <w:rsid w:val="00F90E63"/>
    <w:rsid w:val="00F90FBC"/>
    <w:rsid w:val="00F910EB"/>
    <w:rsid w:val="00F912E8"/>
    <w:rsid w:val="00F9156A"/>
    <w:rsid w:val="00F91581"/>
    <w:rsid w:val="00F91E0D"/>
    <w:rsid w:val="00F91E5B"/>
    <w:rsid w:val="00F921F7"/>
    <w:rsid w:val="00F92285"/>
    <w:rsid w:val="00F922C5"/>
    <w:rsid w:val="00F92501"/>
    <w:rsid w:val="00F92792"/>
    <w:rsid w:val="00F929B7"/>
    <w:rsid w:val="00F92B2B"/>
    <w:rsid w:val="00F92BB7"/>
    <w:rsid w:val="00F92D81"/>
    <w:rsid w:val="00F92EC6"/>
    <w:rsid w:val="00F92F90"/>
    <w:rsid w:val="00F92FAC"/>
    <w:rsid w:val="00F93133"/>
    <w:rsid w:val="00F931BA"/>
    <w:rsid w:val="00F933B5"/>
    <w:rsid w:val="00F934DC"/>
    <w:rsid w:val="00F93659"/>
    <w:rsid w:val="00F93742"/>
    <w:rsid w:val="00F937E5"/>
    <w:rsid w:val="00F939EC"/>
    <w:rsid w:val="00F93C5F"/>
    <w:rsid w:val="00F93CA0"/>
    <w:rsid w:val="00F93DD1"/>
    <w:rsid w:val="00F93ED5"/>
    <w:rsid w:val="00F94116"/>
    <w:rsid w:val="00F94386"/>
    <w:rsid w:val="00F94575"/>
    <w:rsid w:val="00F9468A"/>
    <w:rsid w:val="00F946E1"/>
    <w:rsid w:val="00F946F4"/>
    <w:rsid w:val="00F94794"/>
    <w:rsid w:val="00F948CB"/>
    <w:rsid w:val="00F949D8"/>
    <w:rsid w:val="00F94A8C"/>
    <w:rsid w:val="00F94D00"/>
    <w:rsid w:val="00F94E67"/>
    <w:rsid w:val="00F94EE4"/>
    <w:rsid w:val="00F95118"/>
    <w:rsid w:val="00F95124"/>
    <w:rsid w:val="00F951A4"/>
    <w:rsid w:val="00F951B8"/>
    <w:rsid w:val="00F9531F"/>
    <w:rsid w:val="00F9570B"/>
    <w:rsid w:val="00F957B7"/>
    <w:rsid w:val="00F957D2"/>
    <w:rsid w:val="00F95878"/>
    <w:rsid w:val="00F95B1D"/>
    <w:rsid w:val="00F95B6C"/>
    <w:rsid w:val="00F95DCB"/>
    <w:rsid w:val="00F95E35"/>
    <w:rsid w:val="00F95ED4"/>
    <w:rsid w:val="00F95F59"/>
    <w:rsid w:val="00F95F71"/>
    <w:rsid w:val="00F96256"/>
    <w:rsid w:val="00F9627D"/>
    <w:rsid w:val="00F96477"/>
    <w:rsid w:val="00F9658F"/>
    <w:rsid w:val="00F96608"/>
    <w:rsid w:val="00F96849"/>
    <w:rsid w:val="00F96879"/>
    <w:rsid w:val="00F969BA"/>
    <w:rsid w:val="00F96A37"/>
    <w:rsid w:val="00F96CA9"/>
    <w:rsid w:val="00F96E9A"/>
    <w:rsid w:val="00F96F34"/>
    <w:rsid w:val="00F9700F"/>
    <w:rsid w:val="00F970A4"/>
    <w:rsid w:val="00F9720E"/>
    <w:rsid w:val="00F973AC"/>
    <w:rsid w:val="00F97432"/>
    <w:rsid w:val="00F97588"/>
    <w:rsid w:val="00F9766E"/>
    <w:rsid w:val="00F9776A"/>
    <w:rsid w:val="00F97881"/>
    <w:rsid w:val="00F9788A"/>
    <w:rsid w:val="00F97931"/>
    <w:rsid w:val="00F97972"/>
    <w:rsid w:val="00F97AA4"/>
    <w:rsid w:val="00F97CBE"/>
    <w:rsid w:val="00F97E1F"/>
    <w:rsid w:val="00F97EC6"/>
    <w:rsid w:val="00F97ED5"/>
    <w:rsid w:val="00FA03AC"/>
    <w:rsid w:val="00FA04CA"/>
    <w:rsid w:val="00FA05D9"/>
    <w:rsid w:val="00FA077D"/>
    <w:rsid w:val="00FA0A2E"/>
    <w:rsid w:val="00FA0A46"/>
    <w:rsid w:val="00FA0AC6"/>
    <w:rsid w:val="00FA0BDF"/>
    <w:rsid w:val="00FA0CAF"/>
    <w:rsid w:val="00FA0D98"/>
    <w:rsid w:val="00FA0DF1"/>
    <w:rsid w:val="00FA0E30"/>
    <w:rsid w:val="00FA0EA3"/>
    <w:rsid w:val="00FA0FD7"/>
    <w:rsid w:val="00FA10B1"/>
    <w:rsid w:val="00FA11B0"/>
    <w:rsid w:val="00FA127C"/>
    <w:rsid w:val="00FA12F0"/>
    <w:rsid w:val="00FA1331"/>
    <w:rsid w:val="00FA1625"/>
    <w:rsid w:val="00FA1644"/>
    <w:rsid w:val="00FA16F9"/>
    <w:rsid w:val="00FA1849"/>
    <w:rsid w:val="00FA1A15"/>
    <w:rsid w:val="00FA1A92"/>
    <w:rsid w:val="00FA1CDB"/>
    <w:rsid w:val="00FA1E05"/>
    <w:rsid w:val="00FA1FF1"/>
    <w:rsid w:val="00FA203A"/>
    <w:rsid w:val="00FA2223"/>
    <w:rsid w:val="00FA2264"/>
    <w:rsid w:val="00FA2296"/>
    <w:rsid w:val="00FA2318"/>
    <w:rsid w:val="00FA2367"/>
    <w:rsid w:val="00FA237A"/>
    <w:rsid w:val="00FA23CC"/>
    <w:rsid w:val="00FA2580"/>
    <w:rsid w:val="00FA29C4"/>
    <w:rsid w:val="00FA2BB0"/>
    <w:rsid w:val="00FA2C19"/>
    <w:rsid w:val="00FA2C72"/>
    <w:rsid w:val="00FA2C78"/>
    <w:rsid w:val="00FA2DA1"/>
    <w:rsid w:val="00FA2E3B"/>
    <w:rsid w:val="00FA2FA1"/>
    <w:rsid w:val="00FA31BD"/>
    <w:rsid w:val="00FA32B2"/>
    <w:rsid w:val="00FA33D6"/>
    <w:rsid w:val="00FA33FC"/>
    <w:rsid w:val="00FA3584"/>
    <w:rsid w:val="00FA3602"/>
    <w:rsid w:val="00FA384B"/>
    <w:rsid w:val="00FA388F"/>
    <w:rsid w:val="00FA39D4"/>
    <w:rsid w:val="00FA39F6"/>
    <w:rsid w:val="00FA3AF6"/>
    <w:rsid w:val="00FA3C08"/>
    <w:rsid w:val="00FA3CE8"/>
    <w:rsid w:val="00FA3E76"/>
    <w:rsid w:val="00FA3F3E"/>
    <w:rsid w:val="00FA4092"/>
    <w:rsid w:val="00FA4118"/>
    <w:rsid w:val="00FA415C"/>
    <w:rsid w:val="00FA418D"/>
    <w:rsid w:val="00FA42BA"/>
    <w:rsid w:val="00FA44F0"/>
    <w:rsid w:val="00FA465A"/>
    <w:rsid w:val="00FA4832"/>
    <w:rsid w:val="00FA492E"/>
    <w:rsid w:val="00FA4936"/>
    <w:rsid w:val="00FA4987"/>
    <w:rsid w:val="00FA4EA9"/>
    <w:rsid w:val="00FA5107"/>
    <w:rsid w:val="00FA5232"/>
    <w:rsid w:val="00FA52EE"/>
    <w:rsid w:val="00FA533C"/>
    <w:rsid w:val="00FA5379"/>
    <w:rsid w:val="00FA554C"/>
    <w:rsid w:val="00FA55EB"/>
    <w:rsid w:val="00FA5615"/>
    <w:rsid w:val="00FA5664"/>
    <w:rsid w:val="00FA5733"/>
    <w:rsid w:val="00FA5B31"/>
    <w:rsid w:val="00FA5B3E"/>
    <w:rsid w:val="00FA5C6D"/>
    <w:rsid w:val="00FA5CAB"/>
    <w:rsid w:val="00FA6055"/>
    <w:rsid w:val="00FA608F"/>
    <w:rsid w:val="00FA62E8"/>
    <w:rsid w:val="00FA6388"/>
    <w:rsid w:val="00FA6592"/>
    <w:rsid w:val="00FA6687"/>
    <w:rsid w:val="00FA66AE"/>
    <w:rsid w:val="00FA6794"/>
    <w:rsid w:val="00FA689F"/>
    <w:rsid w:val="00FA6949"/>
    <w:rsid w:val="00FA695D"/>
    <w:rsid w:val="00FA6965"/>
    <w:rsid w:val="00FA6A4B"/>
    <w:rsid w:val="00FA6AE9"/>
    <w:rsid w:val="00FA6BD0"/>
    <w:rsid w:val="00FA6BF1"/>
    <w:rsid w:val="00FA6D0F"/>
    <w:rsid w:val="00FA6D92"/>
    <w:rsid w:val="00FA6DE8"/>
    <w:rsid w:val="00FA713B"/>
    <w:rsid w:val="00FA71C4"/>
    <w:rsid w:val="00FA72C3"/>
    <w:rsid w:val="00FA7551"/>
    <w:rsid w:val="00FA7619"/>
    <w:rsid w:val="00FA7698"/>
    <w:rsid w:val="00FA77B5"/>
    <w:rsid w:val="00FA7895"/>
    <w:rsid w:val="00FA7AF6"/>
    <w:rsid w:val="00FA7B01"/>
    <w:rsid w:val="00FA7C59"/>
    <w:rsid w:val="00FA7D10"/>
    <w:rsid w:val="00FA7D21"/>
    <w:rsid w:val="00FA7D52"/>
    <w:rsid w:val="00FA7F05"/>
    <w:rsid w:val="00FA7F6C"/>
    <w:rsid w:val="00FB0085"/>
    <w:rsid w:val="00FB016E"/>
    <w:rsid w:val="00FB0228"/>
    <w:rsid w:val="00FB0291"/>
    <w:rsid w:val="00FB02C6"/>
    <w:rsid w:val="00FB0402"/>
    <w:rsid w:val="00FB051F"/>
    <w:rsid w:val="00FB0569"/>
    <w:rsid w:val="00FB09D3"/>
    <w:rsid w:val="00FB0A1D"/>
    <w:rsid w:val="00FB0D62"/>
    <w:rsid w:val="00FB0EEE"/>
    <w:rsid w:val="00FB0F02"/>
    <w:rsid w:val="00FB0F1E"/>
    <w:rsid w:val="00FB10C5"/>
    <w:rsid w:val="00FB1191"/>
    <w:rsid w:val="00FB160F"/>
    <w:rsid w:val="00FB1615"/>
    <w:rsid w:val="00FB1809"/>
    <w:rsid w:val="00FB184C"/>
    <w:rsid w:val="00FB189C"/>
    <w:rsid w:val="00FB1951"/>
    <w:rsid w:val="00FB1977"/>
    <w:rsid w:val="00FB1B4B"/>
    <w:rsid w:val="00FB1BCE"/>
    <w:rsid w:val="00FB1CBE"/>
    <w:rsid w:val="00FB1E62"/>
    <w:rsid w:val="00FB1F20"/>
    <w:rsid w:val="00FB1F8F"/>
    <w:rsid w:val="00FB22A9"/>
    <w:rsid w:val="00FB22BA"/>
    <w:rsid w:val="00FB2373"/>
    <w:rsid w:val="00FB24CF"/>
    <w:rsid w:val="00FB26B4"/>
    <w:rsid w:val="00FB29E7"/>
    <w:rsid w:val="00FB2CAE"/>
    <w:rsid w:val="00FB31D0"/>
    <w:rsid w:val="00FB3384"/>
    <w:rsid w:val="00FB346D"/>
    <w:rsid w:val="00FB36B4"/>
    <w:rsid w:val="00FB3799"/>
    <w:rsid w:val="00FB380E"/>
    <w:rsid w:val="00FB3821"/>
    <w:rsid w:val="00FB39C5"/>
    <w:rsid w:val="00FB3D32"/>
    <w:rsid w:val="00FB3F8C"/>
    <w:rsid w:val="00FB3FC4"/>
    <w:rsid w:val="00FB4139"/>
    <w:rsid w:val="00FB4323"/>
    <w:rsid w:val="00FB4394"/>
    <w:rsid w:val="00FB454E"/>
    <w:rsid w:val="00FB45F0"/>
    <w:rsid w:val="00FB4809"/>
    <w:rsid w:val="00FB494F"/>
    <w:rsid w:val="00FB4D4A"/>
    <w:rsid w:val="00FB4DC2"/>
    <w:rsid w:val="00FB4EFF"/>
    <w:rsid w:val="00FB4FCB"/>
    <w:rsid w:val="00FB4FE2"/>
    <w:rsid w:val="00FB50CE"/>
    <w:rsid w:val="00FB5137"/>
    <w:rsid w:val="00FB5387"/>
    <w:rsid w:val="00FB5570"/>
    <w:rsid w:val="00FB588B"/>
    <w:rsid w:val="00FB598A"/>
    <w:rsid w:val="00FB5A6A"/>
    <w:rsid w:val="00FB5C4A"/>
    <w:rsid w:val="00FB5DF0"/>
    <w:rsid w:val="00FB5FE6"/>
    <w:rsid w:val="00FB603A"/>
    <w:rsid w:val="00FB6090"/>
    <w:rsid w:val="00FB6124"/>
    <w:rsid w:val="00FB6130"/>
    <w:rsid w:val="00FB628B"/>
    <w:rsid w:val="00FB6321"/>
    <w:rsid w:val="00FB64A8"/>
    <w:rsid w:val="00FB650E"/>
    <w:rsid w:val="00FB6616"/>
    <w:rsid w:val="00FB6822"/>
    <w:rsid w:val="00FB6861"/>
    <w:rsid w:val="00FB68DD"/>
    <w:rsid w:val="00FB6A07"/>
    <w:rsid w:val="00FB6CDA"/>
    <w:rsid w:val="00FB6D8F"/>
    <w:rsid w:val="00FB7084"/>
    <w:rsid w:val="00FB7283"/>
    <w:rsid w:val="00FB7308"/>
    <w:rsid w:val="00FB739F"/>
    <w:rsid w:val="00FB7449"/>
    <w:rsid w:val="00FB74FC"/>
    <w:rsid w:val="00FB75B9"/>
    <w:rsid w:val="00FB75C8"/>
    <w:rsid w:val="00FB76B4"/>
    <w:rsid w:val="00FB775D"/>
    <w:rsid w:val="00FB77B4"/>
    <w:rsid w:val="00FB793E"/>
    <w:rsid w:val="00FB7A1E"/>
    <w:rsid w:val="00FB7A51"/>
    <w:rsid w:val="00FB7A9B"/>
    <w:rsid w:val="00FB7DFD"/>
    <w:rsid w:val="00FB7E26"/>
    <w:rsid w:val="00FB7F96"/>
    <w:rsid w:val="00FB7FCF"/>
    <w:rsid w:val="00FC007A"/>
    <w:rsid w:val="00FC00F0"/>
    <w:rsid w:val="00FC0263"/>
    <w:rsid w:val="00FC02B4"/>
    <w:rsid w:val="00FC0395"/>
    <w:rsid w:val="00FC0511"/>
    <w:rsid w:val="00FC0548"/>
    <w:rsid w:val="00FC0620"/>
    <w:rsid w:val="00FC063C"/>
    <w:rsid w:val="00FC0A30"/>
    <w:rsid w:val="00FC0A52"/>
    <w:rsid w:val="00FC0A6E"/>
    <w:rsid w:val="00FC0F93"/>
    <w:rsid w:val="00FC100C"/>
    <w:rsid w:val="00FC11A8"/>
    <w:rsid w:val="00FC11DC"/>
    <w:rsid w:val="00FC124F"/>
    <w:rsid w:val="00FC15AE"/>
    <w:rsid w:val="00FC16D6"/>
    <w:rsid w:val="00FC16EE"/>
    <w:rsid w:val="00FC1900"/>
    <w:rsid w:val="00FC1A69"/>
    <w:rsid w:val="00FC1C9C"/>
    <w:rsid w:val="00FC1CAD"/>
    <w:rsid w:val="00FC1D78"/>
    <w:rsid w:val="00FC1DC6"/>
    <w:rsid w:val="00FC2004"/>
    <w:rsid w:val="00FC20BF"/>
    <w:rsid w:val="00FC21A6"/>
    <w:rsid w:val="00FC2609"/>
    <w:rsid w:val="00FC2670"/>
    <w:rsid w:val="00FC282B"/>
    <w:rsid w:val="00FC2839"/>
    <w:rsid w:val="00FC2934"/>
    <w:rsid w:val="00FC29A8"/>
    <w:rsid w:val="00FC2A91"/>
    <w:rsid w:val="00FC2EF8"/>
    <w:rsid w:val="00FC2F34"/>
    <w:rsid w:val="00FC3003"/>
    <w:rsid w:val="00FC3010"/>
    <w:rsid w:val="00FC30C4"/>
    <w:rsid w:val="00FC310F"/>
    <w:rsid w:val="00FC31F5"/>
    <w:rsid w:val="00FC3273"/>
    <w:rsid w:val="00FC32C8"/>
    <w:rsid w:val="00FC32E8"/>
    <w:rsid w:val="00FC332F"/>
    <w:rsid w:val="00FC337B"/>
    <w:rsid w:val="00FC339B"/>
    <w:rsid w:val="00FC34E2"/>
    <w:rsid w:val="00FC3561"/>
    <w:rsid w:val="00FC358C"/>
    <w:rsid w:val="00FC3611"/>
    <w:rsid w:val="00FC36B9"/>
    <w:rsid w:val="00FC3902"/>
    <w:rsid w:val="00FC39B8"/>
    <w:rsid w:val="00FC3B69"/>
    <w:rsid w:val="00FC3CBD"/>
    <w:rsid w:val="00FC3D1F"/>
    <w:rsid w:val="00FC3D27"/>
    <w:rsid w:val="00FC3DB4"/>
    <w:rsid w:val="00FC3F6B"/>
    <w:rsid w:val="00FC4154"/>
    <w:rsid w:val="00FC4163"/>
    <w:rsid w:val="00FC41C6"/>
    <w:rsid w:val="00FC420B"/>
    <w:rsid w:val="00FC4301"/>
    <w:rsid w:val="00FC4335"/>
    <w:rsid w:val="00FC4560"/>
    <w:rsid w:val="00FC45C2"/>
    <w:rsid w:val="00FC46D3"/>
    <w:rsid w:val="00FC4875"/>
    <w:rsid w:val="00FC4A65"/>
    <w:rsid w:val="00FC4D34"/>
    <w:rsid w:val="00FC4D97"/>
    <w:rsid w:val="00FC4EBB"/>
    <w:rsid w:val="00FC4F56"/>
    <w:rsid w:val="00FC5213"/>
    <w:rsid w:val="00FC5319"/>
    <w:rsid w:val="00FC5336"/>
    <w:rsid w:val="00FC5439"/>
    <w:rsid w:val="00FC5502"/>
    <w:rsid w:val="00FC55F3"/>
    <w:rsid w:val="00FC5689"/>
    <w:rsid w:val="00FC5690"/>
    <w:rsid w:val="00FC569A"/>
    <w:rsid w:val="00FC56D9"/>
    <w:rsid w:val="00FC58C3"/>
    <w:rsid w:val="00FC5A15"/>
    <w:rsid w:val="00FC5A36"/>
    <w:rsid w:val="00FC5AFD"/>
    <w:rsid w:val="00FC5B1C"/>
    <w:rsid w:val="00FC5CAE"/>
    <w:rsid w:val="00FC5D7D"/>
    <w:rsid w:val="00FC5E60"/>
    <w:rsid w:val="00FC5F30"/>
    <w:rsid w:val="00FC628E"/>
    <w:rsid w:val="00FC6454"/>
    <w:rsid w:val="00FC655F"/>
    <w:rsid w:val="00FC6569"/>
    <w:rsid w:val="00FC65F1"/>
    <w:rsid w:val="00FC67C7"/>
    <w:rsid w:val="00FC6B19"/>
    <w:rsid w:val="00FC6B2C"/>
    <w:rsid w:val="00FC6BB2"/>
    <w:rsid w:val="00FC6BDE"/>
    <w:rsid w:val="00FC6D48"/>
    <w:rsid w:val="00FC70B3"/>
    <w:rsid w:val="00FC70DD"/>
    <w:rsid w:val="00FC72E2"/>
    <w:rsid w:val="00FC739A"/>
    <w:rsid w:val="00FC7469"/>
    <w:rsid w:val="00FC75CE"/>
    <w:rsid w:val="00FC7647"/>
    <w:rsid w:val="00FC76DD"/>
    <w:rsid w:val="00FC7861"/>
    <w:rsid w:val="00FC7876"/>
    <w:rsid w:val="00FC7959"/>
    <w:rsid w:val="00FC7CB0"/>
    <w:rsid w:val="00FC7CD0"/>
    <w:rsid w:val="00FC7D05"/>
    <w:rsid w:val="00FC7D10"/>
    <w:rsid w:val="00FC7D2C"/>
    <w:rsid w:val="00FD0047"/>
    <w:rsid w:val="00FD0191"/>
    <w:rsid w:val="00FD045F"/>
    <w:rsid w:val="00FD0594"/>
    <w:rsid w:val="00FD0625"/>
    <w:rsid w:val="00FD0693"/>
    <w:rsid w:val="00FD0720"/>
    <w:rsid w:val="00FD0B44"/>
    <w:rsid w:val="00FD0C11"/>
    <w:rsid w:val="00FD0C63"/>
    <w:rsid w:val="00FD0C73"/>
    <w:rsid w:val="00FD0C96"/>
    <w:rsid w:val="00FD1199"/>
    <w:rsid w:val="00FD148F"/>
    <w:rsid w:val="00FD1544"/>
    <w:rsid w:val="00FD16C2"/>
    <w:rsid w:val="00FD17C1"/>
    <w:rsid w:val="00FD1939"/>
    <w:rsid w:val="00FD1951"/>
    <w:rsid w:val="00FD19F2"/>
    <w:rsid w:val="00FD1A98"/>
    <w:rsid w:val="00FD1C11"/>
    <w:rsid w:val="00FD1D05"/>
    <w:rsid w:val="00FD1F10"/>
    <w:rsid w:val="00FD1FA3"/>
    <w:rsid w:val="00FD1FB5"/>
    <w:rsid w:val="00FD217B"/>
    <w:rsid w:val="00FD2233"/>
    <w:rsid w:val="00FD22FD"/>
    <w:rsid w:val="00FD2393"/>
    <w:rsid w:val="00FD2557"/>
    <w:rsid w:val="00FD25EF"/>
    <w:rsid w:val="00FD274E"/>
    <w:rsid w:val="00FD2AE3"/>
    <w:rsid w:val="00FD2B02"/>
    <w:rsid w:val="00FD2E24"/>
    <w:rsid w:val="00FD2FA2"/>
    <w:rsid w:val="00FD3244"/>
    <w:rsid w:val="00FD34DE"/>
    <w:rsid w:val="00FD356E"/>
    <w:rsid w:val="00FD35CF"/>
    <w:rsid w:val="00FD3809"/>
    <w:rsid w:val="00FD3B51"/>
    <w:rsid w:val="00FD3BA0"/>
    <w:rsid w:val="00FD3DDA"/>
    <w:rsid w:val="00FD3E90"/>
    <w:rsid w:val="00FD3F84"/>
    <w:rsid w:val="00FD41B2"/>
    <w:rsid w:val="00FD4300"/>
    <w:rsid w:val="00FD433D"/>
    <w:rsid w:val="00FD43A5"/>
    <w:rsid w:val="00FD44E6"/>
    <w:rsid w:val="00FD45B9"/>
    <w:rsid w:val="00FD47B1"/>
    <w:rsid w:val="00FD48A3"/>
    <w:rsid w:val="00FD48C3"/>
    <w:rsid w:val="00FD4AF7"/>
    <w:rsid w:val="00FD4BF2"/>
    <w:rsid w:val="00FD4F0A"/>
    <w:rsid w:val="00FD50B7"/>
    <w:rsid w:val="00FD51D2"/>
    <w:rsid w:val="00FD51F6"/>
    <w:rsid w:val="00FD5458"/>
    <w:rsid w:val="00FD56BB"/>
    <w:rsid w:val="00FD5878"/>
    <w:rsid w:val="00FD5931"/>
    <w:rsid w:val="00FD59B4"/>
    <w:rsid w:val="00FD5A0F"/>
    <w:rsid w:val="00FD5B9C"/>
    <w:rsid w:val="00FD5D01"/>
    <w:rsid w:val="00FD5DC4"/>
    <w:rsid w:val="00FD6011"/>
    <w:rsid w:val="00FD6040"/>
    <w:rsid w:val="00FD642A"/>
    <w:rsid w:val="00FD64F7"/>
    <w:rsid w:val="00FD6BED"/>
    <w:rsid w:val="00FD6D84"/>
    <w:rsid w:val="00FD6DD3"/>
    <w:rsid w:val="00FD6E42"/>
    <w:rsid w:val="00FD716D"/>
    <w:rsid w:val="00FD75AE"/>
    <w:rsid w:val="00FD7615"/>
    <w:rsid w:val="00FD76F4"/>
    <w:rsid w:val="00FD779C"/>
    <w:rsid w:val="00FD7A41"/>
    <w:rsid w:val="00FD7C5C"/>
    <w:rsid w:val="00FD7F41"/>
    <w:rsid w:val="00FD7FCB"/>
    <w:rsid w:val="00FE0186"/>
    <w:rsid w:val="00FE032B"/>
    <w:rsid w:val="00FE0509"/>
    <w:rsid w:val="00FE05DB"/>
    <w:rsid w:val="00FE0655"/>
    <w:rsid w:val="00FE0697"/>
    <w:rsid w:val="00FE081A"/>
    <w:rsid w:val="00FE0A8F"/>
    <w:rsid w:val="00FE0BB4"/>
    <w:rsid w:val="00FE0D2E"/>
    <w:rsid w:val="00FE0D98"/>
    <w:rsid w:val="00FE0E35"/>
    <w:rsid w:val="00FE0EBE"/>
    <w:rsid w:val="00FE0FB4"/>
    <w:rsid w:val="00FE1195"/>
    <w:rsid w:val="00FE11A9"/>
    <w:rsid w:val="00FE138E"/>
    <w:rsid w:val="00FE1463"/>
    <w:rsid w:val="00FE14D6"/>
    <w:rsid w:val="00FE150D"/>
    <w:rsid w:val="00FE175D"/>
    <w:rsid w:val="00FE18F9"/>
    <w:rsid w:val="00FE1A46"/>
    <w:rsid w:val="00FE1BD8"/>
    <w:rsid w:val="00FE1C83"/>
    <w:rsid w:val="00FE1D40"/>
    <w:rsid w:val="00FE1DE4"/>
    <w:rsid w:val="00FE1F0E"/>
    <w:rsid w:val="00FE1FAF"/>
    <w:rsid w:val="00FE2078"/>
    <w:rsid w:val="00FE2742"/>
    <w:rsid w:val="00FE2773"/>
    <w:rsid w:val="00FE27A9"/>
    <w:rsid w:val="00FE282B"/>
    <w:rsid w:val="00FE2A2D"/>
    <w:rsid w:val="00FE2B58"/>
    <w:rsid w:val="00FE2BE0"/>
    <w:rsid w:val="00FE2C51"/>
    <w:rsid w:val="00FE2CF1"/>
    <w:rsid w:val="00FE2D1C"/>
    <w:rsid w:val="00FE2D35"/>
    <w:rsid w:val="00FE2D57"/>
    <w:rsid w:val="00FE2E6B"/>
    <w:rsid w:val="00FE2EAE"/>
    <w:rsid w:val="00FE33DA"/>
    <w:rsid w:val="00FE3536"/>
    <w:rsid w:val="00FE35C0"/>
    <w:rsid w:val="00FE38CD"/>
    <w:rsid w:val="00FE3A9C"/>
    <w:rsid w:val="00FE3B0F"/>
    <w:rsid w:val="00FE3B81"/>
    <w:rsid w:val="00FE3EC5"/>
    <w:rsid w:val="00FE3FA4"/>
    <w:rsid w:val="00FE403F"/>
    <w:rsid w:val="00FE405D"/>
    <w:rsid w:val="00FE40D2"/>
    <w:rsid w:val="00FE42F2"/>
    <w:rsid w:val="00FE431F"/>
    <w:rsid w:val="00FE43C1"/>
    <w:rsid w:val="00FE4531"/>
    <w:rsid w:val="00FE454D"/>
    <w:rsid w:val="00FE4691"/>
    <w:rsid w:val="00FE473E"/>
    <w:rsid w:val="00FE49C6"/>
    <w:rsid w:val="00FE4AB2"/>
    <w:rsid w:val="00FE4B02"/>
    <w:rsid w:val="00FE4B75"/>
    <w:rsid w:val="00FE4C1B"/>
    <w:rsid w:val="00FE4C1F"/>
    <w:rsid w:val="00FE4C2F"/>
    <w:rsid w:val="00FE4D64"/>
    <w:rsid w:val="00FE4D6D"/>
    <w:rsid w:val="00FE4F39"/>
    <w:rsid w:val="00FE4FE4"/>
    <w:rsid w:val="00FE5113"/>
    <w:rsid w:val="00FE511B"/>
    <w:rsid w:val="00FE538B"/>
    <w:rsid w:val="00FE53B0"/>
    <w:rsid w:val="00FE5511"/>
    <w:rsid w:val="00FE5648"/>
    <w:rsid w:val="00FE59C1"/>
    <w:rsid w:val="00FE5D05"/>
    <w:rsid w:val="00FE5D8B"/>
    <w:rsid w:val="00FE5EA7"/>
    <w:rsid w:val="00FE5FAB"/>
    <w:rsid w:val="00FE602A"/>
    <w:rsid w:val="00FE6196"/>
    <w:rsid w:val="00FE62E8"/>
    <w:rsid w:val="00FE6819"/>
    <w:rsid w:val="00FE6A63"/>
    <w:rsid w:val="00FE6B0F"/>
    <w:rsid w:val="00FE6C4D"/>
    <w:rsid w:val="00FE6C50"/>
    <w:rsid w:val="00FE6DBC"/>
    <w:rsid w:val="00FE6DFB"/>
    <w:rsid w:val="00FE6E96"/>
    <w:rsid w:val="00FE763C"/>
    <w:rsid w:val="00FE7689"/>
    <w:rsid w:val="00FE769D"/>
    <w:rsid w:val="00FE772A"/>
    <w:rsid w:val="00FE785F"/>
    <w:rsid w:val="00FE78A5"/>
    <w:rsid w:val="00FE7961"/>
    <w:rsid w:val="00FE7AB2"/>
    <w:rsid w:val="00FE7ADD"/>
    <w:rsid w:val="00FE7AEA"/>
    <w:rsid w:val="00FE7BCC"/>
    <w:rsid w:val="00FE7C83"/>
    <w:rsid w:val="00FE7F98"/>
    <w:rsid w:val="00FE7FBC"/>
    <w:rsid w:val="00FF015E"/>
    <w:rsid w:val="00FF020E"/>
    <w:rsid w:val="00FF02C2"/>
    <w:rsid w:val="00FF0515"/>
    <w:rsid w:val="00FF05C8"/>
    <w:rsid w:val="00FF0604"/>
    <w:rsid w:val="00FF0758"/>
    <w:rsid w:val="00FF08F0"/>
    <w:rsid w:val="00FF091E"/>
    <w:rsid w:val="00FF0C10"/>
    <w:rsid w:val="00FF0C42"/>
    <w:rsid w:val="00FF0CA8"/>
    <w:rsid w:val="00FF0D2C"/>
    <w:rsid w:val="00FF0D4B"/>
    <w:rsid w:val="00FF0F0B"/>
    <w:rsid w:val="00FF1257"/>
    <w:rsid w:val="00FF1355"/>
    <w:rsid w:val="00FF1465"/>
    <w:rsid w:val="00FF14EC"/>
    <w:rsid w:val="00FF1512"/>
    <w:rsid w:val="00FF15CC"/>
    <w:rsid w:val="00FF165D"/>
    <w:rsid w:val="00FF172B"/>
    <w:rsid w:val="00FF177F"/>
    <w:rsid w:val="00FF17E5"/>
    <w:rsid w:val="00FF1A55"/>
    <w:rsid w:val="00FF1ABF"/>
    <w:rsid w:val="00FF1CC5"/>
    <w:rsid w:val="00FF1DDD"/>
    <w:rsid w:val="00FF1FEA"/>
    <w:rsid w:val="00FF224D"/>
    <w:rsid w:val="00FF22F1"/>
    <w:rsid w:val="00FF23DE"/>
    <w:rsid w:val="00FF2564"/>
    <w:rsid w:val="00FF262B"/>
    <w:rsid w:val="00FF2717"/>
    <w:rsid w:val="00FF275D"/>
    <w:rsid w:val="00FF2B69"/>
    <w:rsid w:val="00FF2B76"/>
    <w:rsid w:val="00FF2BBE"/>
    <w:rsid w:val="00FF2EA2"/>
    <w:rsid w:val="00FF2F7C"/>
    <w:rsid w:val="00FF3050"/>
    <w:rsid w:val="00FF3054"/>
    <w:rsid w:val="00FF3127"/>
    <w:rsid w:val="00FF33E6"/>
    <w:rsid w:val="00FF33EE"/>
    <w:rsid w:val="00FF341F"/>
    <w:rsid w:val="00FF3621"/>
    <w:rsid w:val="00FF37C8"/>
    <w:rsid w:val="00FF3940"/>
    <w:rsid w:val="00FF3AD1"/>
    <w:rsid w:val="00FF3B61"/>
    <w:rsid w:val="00FF3C16"/>
    <w:rsid w:val="00FF3DEC"/>
    <w:rsid w:val="00FF3DF0"/>
    <w:rsid w:val="00FF3E66"/>
    <w:rsid w:val="00FF3ED2"/>
    <w:rsid w:val="00FF3EE5"/>
    <w:rsid w:val="00FF3FF0"/>
    <w:rsid w:val="00FF4261"/>
    <w:rsid w:val="00FF4290"/>
    <w:rsid w:val="00FF430B"/>
    <w:rsid w:val="00FF43B7"/>
    <w:rsid w:val="00FF457B"/>
    <w:rsid w:val="00FF46B7"/>
    <w:rsid w:val="00FF4970"/>
    <w:rsid w:val="00FF4A70"/>
    <w:rsid w:val="00FF4C38"/>
    <w:rsid w:val="00FF4D1A"/>
    <w:rsid w:val="00FF4EDF"/>
    <w:rsid w:val="00FF4F36"/>
    <w:rsid w:val="00FF4F3B"/>
    <w:rsid w:val="00FF4FA2"/>
    <w:rsid w:val="00FF4FE8"/>
    <w:rsid w:val="00FF5089"/>
    <w:rsid w:val="00FF51B0"/>
    <w:rsid w:val="00FF521D"/>
    <w:rsid w:val="00FF5270"/>
    <w:rsid w:val="00FF5298"/>
    <w:rsid w:val="00FF52C5"/>
    <w:rsid w:val="00FF52E6"/>
    <w:rsid w:val="00FF54D6"/>
    <w:rsid w:val="00FF5655"/>
    <w:rsid w:val="00FF5801"/>
    <w:rsid w:val="00FF581E"/>
    <w:rsid w:val="00FF5933"/>
    <w:rsid w:val="00FF5A86"/>
    <w:rsid w:val="00FF5B56"/>
    <w:rsid w:val="00FF6109"/>
    <w:rsid w:val="00FF626C"/>
    <w:rsid w:val="00FF63B7"/>
    <w:rsid w:val="00FF642B"/>
    <w:rsid w:val="00FF6512"/>
    <w:rsid w:val="00FF6534"/>
    <w:rsid w:val="00FF6798"/>
    <w:rsid w:val="00FF67B4"/>
    <w:rsid w:val="00FF68C9"/>
    <w:rsid w:val="00FF68F2"/>
    <w:rsid w:val="00FF6951"/>
    <w:rsid w:val="00FF6B7E"/>
    <w:rsid w:val="00FF6B8A"/>
    <w:rsid w:val="00FF6BEE"/>
    <w:rsid w:val="00FF6CA9"/>
    <w:rsid w:val="00FF6CB6"/>
    <w:rsid w:val="00FF6D3E"/>
    <w:rsid w:val="00FF7041"/>
    <w:rsid w:val="00FF709A"/>
    <w:rsid w:val="00FF70ED"/>
    <w:rsid w:val="00FF7439"/>
    <w:rsid w:val="00FF7454"/>
    <w:rsid w:val="00FF75D1"/>
    <w:rsid w:val="00FF76C8"/>
    <w:rsid w:val="00FF7890"/>
    <w:rsid w:val="00FF7B38"/>
    <w:rsid w:val="00FF7C63"/>
    <w:rsid w:val="00FF7F60"/>
    <w:rsid w:val="010C91A9"/>
    <w:rsid w:val="010E6A38"/>
    <w:rsid w:val="010F91F8"/>
    <w:rsid w:val="012E3504"/>
    <w:rsid w:val="01314796"/>
    <w:rsid w:val="01541688"/>
    <w:rsid w:val="0155CAA3"/>
    <w:rsid w:val="015BD94F"/>
    <w:rsid w:val="0160FD2C"/>
    <w:rsid w:val="0163678A"/>
    <w:rsid w:val="017A59C8"/>
    <w:rsid w:val="017CF987"/>
    <w:rsid w:val="017DF130"/>
    <w:rsid w:val="01879890"/>
    <w:rsid w:val="018826F3"/>
    <w:rsid w:val="01AC8C01"/>
    <w:rsid w:val="01B049FE"/>
    <w:rsid w:val="01B0B9C9"/>
    <w:rsid w:val="01CEF7F7"/>
    <w:rsid w:val="01CFDCB7"/>
    <w:rsid w:val="01E32BDD"/>
    <w:rsid w:val="01F3454C"/>
    <w:rsid w:val="01F69B42"/>
    <w:rsid w:val="01F7B840"/>
    <w:rsid w:val="01F9FB0C"/>
    <w:rsid w:val="01FB1269"/>
    <w:rsid w:val="0233FD84"/>
    <w:rsid w:val="02427567"/>
    <w:rsid w:val="02432985"/>
    <w:rsid w:val="024B0E56"/>
    <w:rsid w:val="024FF98F"/>
    <w:rsid w:val="02534907"/>
    <w:rsid w:val="025B2856"/>
    <w:rsid w:val="0261AF4B"/>
    <w:rsid w:val="02761EB4"/>
    <w:rsid w:val="028F964A"/>
    <w:rsid w:val="02918E88"/>
    <w:rsid w:val="02C85AB0"/>
    <w:rsid w:val="02CDEE1D"/>
    <w:rsid w:val="02CE7E8F"/>
    <w:rsid w:val="02D057C7"/>
    <w:rsid w:val="02D7B08E"/>
    <w:rsid w:val="02E3F878"/>
    <w:rsid w:val="02E712D7"/>
    <w:rsid w:val="02EEA28B"/>
    <w:rsid w:val="02F14C03"/>
    <w:rsid w:val="02FFB6D7"/>
    <w:rsid w:val="030A13C2"/>
    <w:rsid w:val="03198428"/>
    <w:rsid w:val="031EFA0C"/>
    <w:rsid w:val="03288B32"/>
    <w:rsid w:val="033CB6C7"/>
    <w:rsid w:val="033E0610"/>
    <w:rsid w:val="0340432D"/>
    <w:rsid w:val="0353500F"/>
    <w:rsid w:val="03553763"/>
    <w:rsid w:val="03572E6D"/>
    <w:rsid w:val="038B540D"/>
    <w:rsid w:val="0395CB6D"/>
    <w:rsid w:val="0397BB42"/>
    <w:rsid w:val="03A33B7B"/>
    <w:rsid w:val="03A72E0F"/>
    <w:rsid w:val="03AD9512"/>
    <w:rsid w:val="03BC3005"/>
    <w:rsid w:val="03C53618"/>
    <w:rsid w:val="03C9720F"/>
    <w:rsid w:val="03C9EE5B"/>
    <w:rsid w:val="03CD5024"/>
    <w:rsid w:val="03D651B0"/>
    <w:rsid w:val="03F1076F"/>
    <w:rsid w:val="03FE9067"/>
    <w:rsid w:val="04096336"/>
    <w:rsid w:val="040E2CA5"/>
    <w:rsid w:val="0420EA13"/>
    <w:rsid w:val="042A6005"/>
    <w:rsid w:val="042D37AB"/>
    <w:rsid w:val="0446147C"/>
    <w:rsid w:val="04481BCF"/>
    <w:rsid w:val="04522A38"/>
    <w:rsid w:val="045333D2"/>
    <w:rsid w:val="0457EB91"/>
    <w:rsid w:val="045DDAC4"/>
    <w:rsid w:val="046B948F"/>
    <w:rsid w:val="047042DF"/>
    <w:rsid w:val="047377A0"/>
    <w:rsid w:val="04A6EE2B"/>
    <w:rsid w:val="04AB8F71"/>
    <w:rsid w:val="04AE95F3"/>
    <w:rsid w:val="04BD61C0"/>
    <w:rsid w:val="04DF7C42"/>
    <w:rsid w:val="04E5609B"/>
    <w:rsid w:val="04F0E4AE"/>
    <w:rsid w:val="04F7C006"/>
    <w:rsid w:val="05033CB7"/>
    <w:rsid w:val="050822C4"/>
    <w:rsid w:val="0509B1B8"/>
    <w:rsid w:val="05162637"/>
    <w:rsid w:val="051A3C08"/>
    <w:rsid w:val="052282A2"/>
    <w:rsid w:val="052A35A3"/>
    <w:rsid w:val="052B9F18"/>
    <w:rsid w:val="053B0B4D"/>
    <w:rsid w:val="053CE687"/>
    <w:rsid w:val="054DBAB7"/>
    <w:rsid w:val="054EC16E"/>
    <w:rsid w:val="05546B2A"/>
    <w:rsid w:val="056078CD"/>
    <w:rsid w:val="058CD7D0"/>
    <w:rsid w:val="05938CA4"/>
    <w:rsid w:val="0596CD66"/>
    <w:rsid w:val="0599B057"/>
    <w:rsid w:val="059DABB3"/>
    <w:rsid w:val="05BFD666"/>
    <w:rsid w:val="05CE7009"/>
    <w:rsid w:val="05CFEDE0"/>
    <w:rsid w:val="05D15A39"/>
    <w:rsid w:val="05DD67FB"/>
    <w:rsid w:val="05E08512"/>
    <w:rsid w:val="05E5DBEF"/>
    <w:rsid w:val="05E702FC"/>
    <w:rsid w:val="05F24C10"/>
    <w:rsid w:val="05F8309D"/>
    <w:rsid w:val="06024837"/>
    <w:rsid w:val="0602CAC1"/>
    <w:rsid w:val="06041CE4"/>
    <w:rsid w:val="0608D6B6"/>
    <w:rsid w:val="0609F398"/>
    <w:rsid w:val="060D17F5"/>
    <w:rsid w:val="0624D558"/>
    <w:rsid w:val="06374069"/>
    <w:rsid w:val="06396AA5"/>
    <w:rsid w:val="064D1BB3"/>
    <w:rsid w:val="0653321F"/>
    <w:rsid w:val="065B03CF"/>
    <w:rsid w:val="065EC859"/>
    <w:rsid w:val="066FA385"/>
    <w:rsid w:val="067612B4"/>
    <w:rsid w:val="067CCA0F"/>
    <w:rsid w:val="06B3942A"/>
    <w:rsid w:val="06C4CBB1"/>
    <w:rsid w:val="06C98094"/>
    <w:rsid w:val="06F37A13"/>
    <w:rsid w:val="06F62021"/>
    <w:rsid w:val="0704143B"/>
    <w:rsid w:val="07094AF7"/>
    <w:rsid w:val="0713C5B9"/>
    <w:rsid w:val="07234738"/>
    <w:rsid w:val="0751F3D4"/>
    <w:rsid w:val="075ED4C7"/>
    <w:rsid w:val="07640809"/>
    <w:rsid w:val="077C400E"/>
    <w:rsid w:val="0785CA97"/>
    <w:rsid w:val="0798ABA0"/>
    <w:rsid w:val="079EA1E1"/>
    <w:rsid w:val="079EB85B"/>
    <w:rsid w:val="07A7BBC4"/>
    <w:rsid w:val="07A9B121"/>
    <w:rsid w:val="07AA3E87"/>
    <w:rsid w:val="07B1DB97"/>
    <w:rsid w:val="07C4B32A"/>
    <w:rsid w:val="07C79390"/>
    <w:rsid w:val="07C935C6"/>
    <w:rsid w:val="07E9B562"/>
    <w:rsid w:val="07F0EC7D"/>
    <w:rsid w:val="08138BB6"/>
    <w:rsid w:val="081BA912"/>
    <w:rsid w:val="081D18CC"/>
    <w:rsid w:val="082BB4F9"/>
    <w:rsid w:val="0830076B"/>
    <w:rsid w:val="08393186"/>
    <w:rsid w:val="084873C3"/>
    <w:rsid w:val="0849C241"/>
    <w:rsid w:val="084DD2F6"/>
    <w:rsid w:val="085557DF"/>
    <w:rsid w:val="0862CBE2"/>
    <w:rsid w:val="0866F9C4"/>
    <w:rsid w:val="086837C2"/>
    <w:rsid w:val="086AC12F"/>
    <w:rsid w:val="087CFD38"/>
    <w:rsid w:val="08848408"/>
    <w:rsid w:val="0884BE65"/>
    <w:rsid w:val="088993BD"/>
    <w:rsid w:val="088C435E"/>
    <w:rsid w:val="088C4FEE"/>
    <w:rsid w:val="08AC0007"/>
    <w:rsid w:val="08AFD09F"/>
    <w:rsid w:val="08BDF704"/>
    <w:rsid w:val="08CD842E"/>
    <w:rsid w:val="08D0B898"/>
    <w:rsid w:val="08D12E0B"/>
    <w:rsid w:val="08D4F064"/>
    <w:rsid w:val="08DD412E"/>
    <w:rsid w:val="090AEF69"/>
    <w:rsid w:val="090BA2C5"/>
    <w:rsid w:val="09331799"/>
    <w:rsid w:val="093EFB3D"/>
    <w:rsid w:val="09987D19"/>
    <w:rsid w:val="099B5CF7"/>
    <w:rsid w:val="099C4F79"/>
    <w:rsid w:val="099C725F"/>
    <w:rsid w:val="09AFF38F"/>
    <w:rsid w:val="09BDD267"/>
    <w:rsid w:val="09C59D3F"/>
    <w:rsid w:val="09D4F27A"/>
    <w:rsid w:val="09D73C77"/>
    <w:rsid w:val="09DBF4F2"/>
    <w:rsid w:val="09DF82FC"/>
    <w:rsid w:val="09E00216"/>
    <w:rsid w:val="09E933B6"/>
    <w:rsid w:val="09F0CD43"/>
    <w:rsid w:val="09FAFF90"/>
    <w:rsid w:val="0A17CB2C"/>
    <w:rsid w:val="0A1E354E"/>
    <w:rsid w:val="0A2F84F6"/>
    <w:rsid w:val="0A3CEE85"/>
    <w:rsid w:val="0A479202"/>
    <w:rsid w:val="0A528383"/>
    <w:rsid w:val="0A59D48D"/>
    <w:rsid w:val="0A67F93A"/>
    <w:rsid w:val="0A6B4235"/>
    <w:rsid w:val="0A7090DB"/>
    <w:rsid w:val="0A79118F"/>
    <w:rsid w:val="0A84494E"/>
    <w:rsid w:val="0A8608C1"/>
    <w:rsid w:val="0A878F37"/>
    <w:rsid w:val="0AA222EB"/>
    <w:rsid w:val="0AAE4F6B"/>
    <w:rsid w:val="0ABE4240"/>
    <w:rsid w:val="0ACA421F"/>
    <w:rsid w:val="0ACCF061"/>
    <w:rsid w:val="0AD472AA"/>
    <w:rsid w:val="0AD83E78"/>
    <w:rsid w:val="0AE545DF"/>
    <w:rsid w:val="0AE91725"/>
    <w:rsid w:val="0AEE4821"/>
    <w:rsid w:val="0AF37DA7"/>
    <w:rsid w:val="0AF77A79"/>
    <w:rsid w:val="0B14AB30"/>
    <w:rsid w:val="0B1525A7"/>
    <w:rsid w:val="0B2C7800"/>
    <w:rsid w:val="0B4945AE"/>
    <w:rsid w:val="0B4C8C0D"/>
    <w:rsid w:val="0B69DF7E"/>
    <w:rsid w:val="0B6B282D"/>
    <w:rsid w:val="0B6B7610"/>
    <w:rsid w:val="0B6C349C"/>
    <w:rsid w:val="0B75F0E6"/>
    <w:rsid w:val="0B795D68"/>
    <w:rsid w:val="0B7F426A"/>
    <w:rsid w:val="0B800C9D"/>
    <w:rsid w:val="0B89214E"/>
    <w:rsid w:val="0B9BB1E2"/>
    <w:rsid w:val="0B9E9A86"/>
    <w:rsid w:val="0BA815A9"/>
    <w:rsid w:val="0BAA84AF"/>
    <w:rsid w:val="0BB06D54"/>
    <w:rsid w:val="0BD2195F"/>
    <w:rsid w:val="0BD568D4"/>
    <w:rsid w:val="0BDA45A5"/>
    <w:rsid w:val="0BDDAC7C"/>
    <w:rsid w:val="0BDE4E8C"/>
    <w:rsid w:val="0BE4281E"/>
    <w:rsid w:val="0BFC58EC"/>
    <w:rsid w:val="0C013EA1"/>
    <w:rsid w:val="0C02E65E"/>
    <w:rsid w:val="0C0B9CCC"/>
    <w:rsid w:val="0C0D69F5"/>
    <w:rsid w:val="0C0F7474"/>
    <w:rsid w:val="0C106A65"/>
    <w:rsid w:val="0C19B263"/>
    <w:rsid w:val="0C1FE8EE"/>
    <w:rsid w:val="0C301274"/>
    <w:rsid w:val="0C347128"/>
    <w:rsid w:val="0C36FFE5"/>
    <w:rsid w:val="0C54BACE"/>
    <w:rsid w:val="0C877981"/>
    <w:rsid w:val="0C8A52A8"/>
    <w:rsid w:val="0C8F37DD"/>
    <w:rsid w:val="0C9168C8"/>
    <w:rsid w:val="0C960173"/>
    <w:rsid w:val="0C9E7518"/>
    <w:rsid w:val="0C9F512C"/>
    <w:rsid w:val="0CAC928A"/>
    <w:rsid w:val="0CB9FC00"/>
    <w:rsid w:val="0CBE0DA6"/>
    <w:rsid w:val="0CC9099F"/>
    <w:rsid w:val="0CC95E1E"/>
    <w:rsid w:val="0CD0E83B"/>
    <w:rsid w:val="0CD2226E"/>
    <w:rsid w:val="0CE05AEB"/>
    <w:rsid w:val="0CE5B42F"/>
    <w:rsid w:val="0CECF3B6"/>
    <w:rsid w:val="0CF7ED6C"/>
    <w:rsid w:val="0D177315"/>
    <w:rsid w:val="0D1A8123"/>
    <w:rsid w:val="0D2CCB39"/>
    <w:rsid w:val="0D33FECA"/>
    <w:rsid w:val="0D3A6AE7"/>
    <w:rsid w:val="0D4063F0"/>
    <w:rsid w:val="0D534258"/>
    <w:rsid w:val="0D5A38F5"/>
    <w:rsid w:val="0D5C54DA"/>
    <w:rsid w:val="0D63124B"/>
    <w:rsid w:val="0D651AD6"/>
    <w:rsid w:val="0D7C3AA8"/>
    <w:rsid w:val="0D7ED9B2"/>
    <w:rsid w:val="0D81F486"/>
    <w:rsid w:val="0D8ABB1F"/>
    <w:rsid w:val="0D8D79D2"/>
    <w:rsid w:val="0D8FA0B8"/>
    <w:rsid w:val="0D9069DC"/>
    <w:rsid w:val="0D9182F9"/>
    <w:rsid w:val="0DAE91EF"/>
    <w:rsid w:val="0DBB0231"/>
    <w:rsid w:val="0DCFAD20"/>
    <w:rsid w:val="0DD56FD9"/>
    <w:rsid w:val="0DDAE0D8"/>
    <w:rsid w:val="0DE39080"/>
    <w:rsid w:val="0DEEDF49"/>
    <w:rsid w:val="0DFBCECD"/>
    <w:rsid w:val="0E126C5B"/>
    <w:rsid w:val="0E2B5915"/>
    <w:rsid w:val="0E2D9685"/>
    <w:rsid w:val="0E2E6F04"/>
    <w:rsid w:val="0E3083B0"/>
    <w:rsid w:val="0E30CCE4"/>
    <w:rsid w:val="0E3821F7"/>
    <w:rsid w:val="0E3DFED7"/>
    <w:rsid w:val="0E3E1E81"/>
    <w:rsid w:val="0E5350E9"/>
    <w:rsid w:val="0E5D43F5"/>
    <w:rsid w:val="0E63B604"/>
    <w:rsid w:val="0E83AF30"/>
    <w:rsid w:val="0E8AC7E8"/>
    <w:rsid w:val="0E8CFE72"/>
    <w:rsid w:val="0E917405"/>
    <w:rsid w:val="0EB00A6F"/>
    <w:rsid w:val="0EEA2B54"/>
    <w:rsid w:val="0F033857"/>
    <w:rsid w:val="0F095C1C"/>
    <w:rsid w:val="0F2478DD"/>
    <w:rsid w:val="0F2AA352"/>
    <w:rsid w:val="0F2C5AD0"/>
    <w:rsid w:val="0F305265"/>
    <w:rsid w:val="0F3B41FA"/>
    <w:rsid w:val="0F3E96B2"/>
    <w:rsid w:val="0F3FD3F0"/>
    <w:rsid w:val="0F409D67"/>
    <w:rsid w:val="0F71403A"/>
    <w:rsid w:val="0F71D7F8"/>
    <w:rsid w:val="0F7413DA"/>
    <w:rsid w:val="0F75524F"/>
    <w:rsid w:val="0F779BA1"/>
    <w:rsid w:val="0F80495B"/>
    <w:rsid w:val="0F8066A4"/>
    <w:rsid w:val="0F9A101D"/>
    <w:rsid w:val="0FABB4F6"/>
    <w:rsid w:val="0FBD27DB"/>
    <w:rsid w:val="0FC6A8F8"/>
    <w:rsid w:val="0FC7CABE"/>
    <w:rsid w:val="0FC999BE"/>
    <w:rsid w:val="0FCF6E6D"/>
    <w:rsid w:val="0FD2295F"/>
    <w:rsid w:val="0FD38502"/>
    <w:rsid w:val="0FD64310"/>
    <w:rsid w:val="0FDD3E75"/>
    <w:rsid w:val="0FEFB652"/>
    <w:rsid w:val="0FF3C0C2"/>
    <w:rsid w:val="1006B549"/>
    <w:rsid w:val="10203B1C"/>
    <w:rsid w:val="102CE6A5"/>
    <w:rsid w:val="10345E66"/>
    <w:rsid w:val="103C013A"/>
    <w:rsid w:val="104349EB"/>
    <w:rsid w:val="104A3D14"/>
    <w:rsid w:val="104C8E65"/>
    <w:rsid w:val="105AC3A0"/>
    <w:rsid w:val="105E0665"/>
    <w:rsid w:val="105E3D50"/>
    <w:rsid w:val="106E6461"/>
    <w:rsid w:val="1077F2E4"/>
    <w:rsid w:val="10BB55CF"/>
    <w:rsid w:val="10D5D779"/>
    <w:rsid w:val="10D7125B"/>
    <w:rsid w:val="10D751F3"/>
    <w:rsid w:val="10DB60A4"/>
    <w:rsid w:val="10E21730"/>
    <w:rsid w:val="10F27599"/>
    <w:rsid w:val="111122B0"/>
    <w:rsid w:val="1112B85A"/>
    <w:rsid w:val="11162C54"/>
    <w:rsid w:val="1121C44B"/>
    <w:rsid w:val="11282EEC"/>
    <w:rsid w:val="112FD29B"/>
    <w:rsid w:val="113C1019"/>
    <w:rsid w:val="113E3D43"/>
    <w:rsid w:val="113EF862"/>
    <w:rsid w:val="1140EC27"/>
    <w:rsid w:val="116E47DA"/>
    <w:rsid w:val="116EEBA9"/>
    <w:rsid w:val="11780592"/>
    <w:rsid w:val="117BBAD3"/>
    <w:rsid w:val="117F8DA0"/>
    <w:rsid w:val="11850D3C"/>
    <w:rsid w:val="1190200A"/>
    <w:rsid w:val="119EBE85"/>
    <w:rsid w:val="11A7256F"/>
    <w:rsid w:val="11A8315B"/>
    <w:rsid w:val="11AA7C8F"/>
    <w:rsid w:val="11CD6321"/>
    <w:rsid w:val="11CF8E79"/>
    <w:rsid w:val="11D62276"/>
    <w:rsid w:val="11D8AF4C"/>
    <w:rsid w:val="11E346B1"/>
    <w:rsid w:val="11F862D2"/>
    <w:rsid w:val="11FEEB8A"/>
    <w:rsid w:val="1200AC96"/>
    <w:rsid w:val="12063391"/>
    <w:rsid w:val="120AB721"/>
    <w:rsid w:val="120EE77D"/>
    <w:rsid w:val="12168B38"/>
    <w:rsid w:val="121BF1DF"/>
    <w:rsid w:val="1247AB14"/>
    <w:rsid w:val="124E6994"/>
    <w:rsid w:val="125F3798"/>
    <w:rsid w:val="1263AF48"/>
    <w:rsid w:val="126DAF9C"/>
    <w:rsid w:val="1272BB1D"/>
    <w:rsid w:val="1272E2BC"/>
    <w:rsid w:val="128032F8"/>
    <w:rsid w:val="129FD54B"/>
    <w:rsid w:val="12A78163"/>
    <w:rsid w:val="12A84190"/>
    <w:rsid w:val="12ACF311"/>
    <w:rsid w:val="12B06199"/>
    <w:rsid w:val="12C251A0"/>
    <w:rsid w:val="12DE7F07"/>
    <w:rsid w:val="12E4367D"/>
    <w:rsid w:val="12EC9699"/>
    <w:rsid w:val="12F26BB8"/>
    <w:rsid w:val="12FC69C7"/>
    <w:rsid w:val="130D5F47"/>
    <w:rsid w:val="131BD350"/>
    <w:rsid w:val="13249599"/>
    <w:rsid w:val="133C2CBD"/>
    <w:rsid w:val="13402674"/>
    <w:rsid w:val="1345F56E"/>
    <w:rsid w:val="13498A73"/>
    <w:rsid w:val="134DBCEA"/>
    <w:rsid w:val="135C1760"/>
    <w:rsid w:val="135F22BD"/>
    <w:rsid w:val="136B3271"/>
    <w:rsid w:val="1371DC5A"/>
    <w:rsid w:val="137598E7"/>
    <w:rsid w:val="137783CF"/>
    <w:rsid w:val="137EA751"/>
    <w:rsid w:val="139D5397"/>
    <w:rsid w:val="13A054B9"/>
    <w:rsid w:val="13A9AE97"/>
    <w:rsid w:val="13AB88AE"/>
    <w:rsid w:val="13ADEAF3"/>
    <w:rsid w:val="13B825E0"/>
    <w:rsid w:val="13CD60FD"/>
    <w:rsid w:val="13D6F01B"/>
    <w:rsid w:val="13D86075"/>
    <w:rsid w:val="13DC907D"/>
    <w:rsid w:val="13DCBD21"/>
    <w:rsid w:val="13E027E5"/>
    <w:rsid w:val="13E2B9F1"/>
    <w:rsid w:val="13EF8FE4"/>
    <w:rsid w:val="1402A75D"/>
    <w:rsid w:val="141E5AE7"/>
    <w:rsid w:val="1423BD67"/>
    <w:rsid w:val="143CD13B"/>
    <w:rsid w:val="143D9DE6"/>
    <w:rsid w:val="1444B15D"/>
    <w:rsid w:val="144D929E"/>
    <w:rsid w:val="14508C0E"/>
    <w:rsid w:val="14542108"/>
    <w:rsid w:val="145B1779"/>
    <w:rsid w:val="145C6B78"/>
    <w:rsid w:val="14636514"/>
    <w:rsid w:val="14700220"/>
    <w:rsid w:val="14844701"/>
    <w:rsid w:val="149A128E"/>
    <w:rsid w:val="149C0E6B"/>
    <w:rsid w:val="14AE339A"/>
    <w:rsid w:val="14B03FF8"/>
    <w:rsid w:val="14B3101F"/>
    <w:rsid w:val="14D416C8"/>
    <w:rsid w:val="14EA4594"/>
    <w:rsid w:val="14F353D7"/>
    <w:rsid w:val="14F7A53A"/>
    <w:rsid w:val="1506E38D"/>
    <w:rsid w:val="151461D2"/>
    <w:rsid w:val="15149376"/>
    <w:rsid w:val="15271A8B"/>
    <w:rsid w:val="15354D68"/>
    <w:rsid w:val="1536D088"/>
    <w:rsid w:val="15394D80"/>
    <w:rsid w:val="15453336"/>
    <w:rsid w:val="1549DD1E"/>
    <w:rsid w:val="154BFC3A"/>
    <w:rsid w:val="154C3F23"/>
    <w:rsid w:val="156BFDDD"/>
    <w:rsid w:val="1579931D"/>
    <w:rsid w:val="15958CED"/>
    <w:rsid w:val="159D8EE6"/>
    <w:rsid w:val="15B777E2"/>
    <w:rsid w:val="15C917BC"/>
    <w:rsid w:val="15D408D1"/>
    <w:rsid w:val="15D981C0"/>
    <w:rsid w:val="15DB946E"/>
    <w:rsid w:val="15E7D380"/>
    <w:rsid w:val="15EA15C3"/>
    <w:rsid w:val="15ECED7A"/>
    <w:rsid w:val="15F119A6"/>
    <w:rsid w:val="15FA0F08"/>
    <w:rsid w:val="15FF7DFE"/>
    <w:rsid w:val="16002861"/>
    <w:rsid w:val="1618C380"/>
    <w:rsid w:val="161BD11A"/>
    <w:rsid w:val="161E97D8"/>
    <w:rsid w:val="1623C687"/>
    <w:rsid w:val="1633F647"/>
    <w:rsid w:val="16412C74"/>
    <w:rsid w:val="16665ADA"/>
    <w:rsid w:val="1672FF1E"/>
    <w:rsid w:val="167D9630"/>
    <w:rsid w:val="168963F9"/>
    <w:rsid w:val="16927FCE"/>
    <w:rsid w:val="169E90A1"/>
    <w:rsid w:val="16A53B94"/>
    <w:rsid w:val="16A55BF1"/>
    <w:rsid w:val="16A86D8A"/>
    <w:rsid w:val="16AA2736"/>
    <w:rsid w:val="16B4269A"/>
    <w:rsid w:val="16B7C396"/>
    <w:rsid w:val="16BC0991"/>
    <w:rsid w:val="16C13690"/>
    <w:rsid w:val="16C252B0"/>
    <w:rsid w:val="16D08FC2"/>
    <w:rsid w:val="16F332E4"/>
    <w:rsid w:val="16F9C293"/>
    <w:rsid w:val="16FA24EE"/>
    <w:rsid w:val="170F426E"/>
    <w:rsid w:val="171B5E19"/>
    <w:rsid w:val="1739B1C9"/>
    <w:rsid w:val="17462945"/>
    <w:rsid w:val="174D5F68"/>
    <w:rsid w:val="1761BC1A"/>
    <w:rsid w:val="1764E8BC"/>
    <w:rsid w:val="176D0FCC"/>
    <w:rsid w:val="177D8703"/>
    <w:rsid w:val="17853360"/>
    <w:rsid w:val="178D53D9"/>
    <w:rsid w:val="178EC48C"/>
    <w:rsid w:val="1790CA95"/>
    <w:rsid w:val="17B7E2D0"/>
    <w:rsid w:val="17BBE7C3"/>
    <w:rsid w:val="17D0C3E0"/>
    <w:rsid w:val="17DF3EEF"/>
    <w:rsid w:val="17E81768"/>
    <w:rsid w:val="17F85C3E"/>
    <w:rsid w:val="18012F0F"/>
    <w:rsid w:val="18300DE8"/>
    <w:rsid w:val="184A09A8"/>
    <w:rsid w:val="185486D8"/>
    <w:rsid w:val="18594BD9"/>
    <w:rsid w:val="186219D0"/>
    <w:rsid w:val="186581EE"/>
    <w:rsid w:val="186CE102"/>
    <w:rsid w:val="186F91DC"/>
    <w:rsid w:val="1891B28E"/>
    <w:rsid w:val="189CA4FE"/>
    <w:rsid w:val="18B12095"/>
    <w:rsid w:val="18B84C52"/>
    <w:rsid w:val="18B8B7CD"/>
    <w:rsid w:val="18C07F6B"/>
    <w:rsid w:val="18D45A8F"/>
    <w:rsid w:val="18DE5CA1"/>
    <w:rsid w:val="18E26660"/>
    <w:rsid w:val="18E9F654"/>
    <w:rsid w:val="18F3599F"/>
    <w:rsid w:val="19030C38"/>
    <w:rsid w:val="1923E7CF"/>
    <w:rsid w:val="1948DD72"/>
    <w:rsid w:val="19560A15"/>
    <w:rsid w:val="195C2E8D"/>
    <w:rsid w:val="195D0009"/>
    <w:rsid w:val="196BE784"/>
    <w:rsid w:val="198393A8"/>
    <w:rsid w:val="1985F3EA"/>
    <w:rsid w:val="1994DC74"/>
    <w:rsid w:val="19958E02"/>
    <w:rsid w:val="19AFBB14"/>
    <w:rsid w:val="19B1628E"/>
    <w:rsid w:val="19BAD09F"/>
    <w:rsid w:val="19BD344A"/>
    <w:rsid w:val="19C2DE1F"/>
    <w:rsid w:val="19C5718F"/>
    <w:rsid w:val="19E09B5D"/>
    <w:rsid w:val="19F1F40E"/>
    <w:rsid w:val="19F3AC53"/>
    <w:rsid w:val="19FA408B"/>
    <w:rsid w:val="1A427988"/>
    <w:rsid w:val="1A4F2E6A"/>
    <w:rsid w:val="1A78C2C8"/>
    <w:rsid w:val="1A8AFD12"/>
    <w:rsid w:val="1A9B7B35"/>
    <w:rsid w:val="1A9DC022"/>
    <w:rsid w:val="1ACB47F4"/>
    <w:rsid w:val="1ACD2E85"/>
    <w:rsid w:val="1AED2C9D"/>
    <w:rsid w:val="1B0A8994"/>
    <w:rsid w:val="1B178478"/>
    <w:rsid w:val="1B1BDB5C"/>
    <w:rsid w:val="1B1EE7D8"/>
    <w:rsid w:val="1B232734"/>
    <w:rsid w:val="1B271F48"/>
    <w:rsid w:val="1B3DA005"/>
    <w:rsid w:val="1B44C449"/>
    <w:rsid w:val="1B48A801"/>
    <w:rsid w:val="1B510753"/>
    <w:rsid w:val="1B5FB10C"/>
    <w:rsid w:val="1B7940E6"/>
    <w:rsid w:val="1B7E2986"/>
    <w:rsid w:val="1B82D70F"/>
    <w:rsid w:val="1B902CE7"/>
    <w:rsid w:val="1B9EF01C"/>
    <w:rsid w:val="1B9FD726"/>
    <w:rsid w:val="1BA04627"/>
    <w:rsid w:val="1BA4E891"/>
    <w:rsid w:val="1BA7329E"/>
    <w:rsid w:val="1BAE47A4"/>
    <w:rsid w:val="1BB181EA"/>
    <w:rsid w:val="1BB7011C"/>
    <w:rsid w:val="1BC43E7C"/>
    <w:rsid w:val="1BD4BF61"/>
    <w:rsid w:val="1BD57CEA"/>
    <w:rsid w:val="1BECD72B"/>
    <w:rsid w:val="1BF14C4D"/>
    <w:rsid w:val="1BFC6B59"/>
    <w:rsid w:val="1BFF9B28"/>
    <w:rsid w:val="1C03685C"/>
    <w:rsid w:val="1C173DB6"/>
    <w:rsid w:val="1C19F703"/>
    <w:rsid w:val="1C341F26"/>
    <w:rsid w:val="1C3F7C26"/>
    <w:rsid w:val="1C42BB89"/>
    <w:rsid w:val="1C4D8856"/>
    <w:rsid w:val="1C521740"/>
    <w:rsid w:val="1C57B0C8"/>
    <w:rsid w:val="1C5D8D01"/>
    <w:rsid w:val="1C6354B2"/>
    <w:rsid w:val="1C6A19DA"/>
    <w:rsid w:val="1C86D9A1"/>
    <w:rsid w:val="1C87BAD7"/>
    <w:rsid w:val="1C8D7A94"/>
    <w:rsid w:val="1C92A2F7"/>
    <w:rsid w:val="1C93141A"/>
    <w:rsid w:val="1CA31621"/>
    <w:rsid w:val="1CA6062C"/>
    <w:rsid w:val="1CB43BC8"/>
    <w:rsid w:val="1CB666D7"/>
    <w:rsid w:val="1CC5187C"/>
    <w:rsid w:val="1CD2ADA4"/>
    <w:rsid w:val="1CD404EF"/>
    <w:rsid w:val="1CDBE85C"/>
    <w:rsid w:val="1CDEB969"/>
    <w:rsid w:val="1CE8A881"/>
    <w:rsid w:val="1CEE54DD"/>
    <w:rsid w:val="1CF6C7AF"/>
    <w:rsid w:val="1CFB11FC"/>
    <w:rsid w:val="1D02F9A6"/>
    <w:rsid w:val="1D05A050"/>
    <w:rsid w:val="1D1B6A2D"/>
    <w:rsid w:val="1D23017E"/>
    <w:rsid w:val="1D2B06FF"/>
    <w:rsid w:val="1D3B44B8"/>
    <w:rsid w:val="1D48B628"/>
    <w:rsid w:val="1D50F584"/>
    <w:rsid w:val="1D52D17D"/>
    <w:rsid w:val="1D536591"/>
    <w:rsid w:val="1D55F042"/>
    <w:rsid w:val="1D6652A1"/>
    <w:rsid w:val="1D6BEDE6"/>
    <w:rsid w:val="1D7BD6B7"/>
    <w:rsid w:val="1D802389"/>
    <w:rsid w:val="1D82B863"/>
    <w:rsid w:val="1D854441"/>
    <w:rsid w:val="1D87609B"/>
    <w:rsid w:val="1D8D7FB1"/>
    <w:rsid w:val="1D9DE626"/>
    <w:rsid w:val="1DA94DE1"/>
    <w:rsid w:val="1DB124CE"/>
    <w:rsid w:val="1DBFD093"/>
    <w:rsid w:val="1DDF0E4C"/>
    <w:rsid w:val="1DE57B32"/>
    <w:rsid w:val="1DE7D543"/>
    <w:rsid w:val="1DF4DAA8"/>
    <w:rsid w:val="1DFA3472"/>
    <w:rsid w:val="1E1F1486"/>
    <w:rsid w:val="1E2F7683"/>
    <w:rsid w:val="1E36BA9A"/>
    <w:rsid w:val="1E371531"/>
    <w:rsid w:val="1E3AD2B3"/>
    <w:rsid w:val="1E487862"/>
    <w:rsid w:val="1E4AB13D"/>
    <w:rsid w:val="1E4EFE8F"/>
    <w:rsid w:val="1E5ABBD0"/>
    <w:rsid w:val="1E6177A9"/>
    <w:rsid w:val="1E620EB9"/>
    <w:rsid w:val="1E7DAE54"/>
    <w:rsid w:val="1E886092"/>
    <w:rsid w:val="1EA25379"/>
    <w:rsid w:val="1EA98687"/>
    <w:rsid w:val="1EBD2F60"/>
    <w:rsid w:val="1EBE5591"/>
    <w:rsid w:val="1EC5CAC4"/>
    <w:rsid w:val="1EDED360"/>
    <w:rsid w:val="1EDF7192"/>
    <w:rsid w:val="1EEEA1DE"/>
    <w:rsid w:val="1F0C3C38"/>
    <w:rsid w:val="1F232124"/>
    <w:rsid w:val="1F2AF1BA"/>
    <w:rsid w:val="1F2BB25E"/>
    <w:rsid w:val="1F419B5E"/>
    <w:rsid w:val="1F60B7AC"/>
    <w:rsid w:val="1F662824"/>
    <w:rsid w:val="1F771D82"/>
    <w:rsid w:val="1F977B43"/>
    <w:rsid w:val="1FA3BE69"/>
    <w:rsid w:val="1FB64631"/>
    <w:rsid w:val="1FC6F9A8"/>
    <w:rsid w:val="1FC93C74"/>
    <w:rsid w:val="1FCA4AA1"/>
    <w:rsid w:val="1FD3936D"/>
    <w:rsid w:val="1FD5F186"/>
    <w:rsid w:val="1FE3D52B"/>
    <w:rsid w:val="20101BAB"/>
    <w:rsid w:val="201BF521"/>
    <w:rsid w:val="2027E247"/>
    <w:rsid w:val="202DAC4B"/>
    <w:rsid w:val="2039F98C"/>
    <w:rsid w:val="203CAEEB"/>
    <w:rsid w:val="204BA49D"/>
    <w:rsid w:val="205E0D08"/>
    <w:rsid w:val="20625503"/>
    <w:rsid w:val="20677EBF"/>
    <w:rsid w:val="2067FC51"/>
    <w:rsid w:val="206CEDF9"/>
    <w:rsid w:val="2082F9DC"/>
    <w:rsid w:val="20837412"/>
    <w:rsid w:val="2083D911"/>
    <w:rsid w:val="2087E1A5"/>
    <w:rsid w:val="2090612E"/>
    <w:rsid w:val="20A55BA9"/>
    <w:rsid w:val="20A58290"/>
    <w:rsid w:val="20A78C99"/>
    <w:rsid w:val="20B202F6"/>
    <w:rsid w:val="20B36B49"/>
    <w:rsid w:val="20B4402A"/>
    <w:rsid w:val="20B92CC5"/>
    <w:rsid w:val="20BF015D"/>
    <w:rsid w:val="20C6FF6E"/>
    <w:rsid w:val="20CA28FC"/>
    <w:rsid w:val="20F59B58"/>
    <w:rsid w:val="2102495F"/>
    <w:rsid w:val="212B21EB"/>
    <w:rsid w:val="21319407"/>
    <w:rsid w:val="2138FF46"/>
    <w:rsid w:val="213FB5AA"/>
    <w:rsid w:val="2144D3C8"/>
    <w:rsid w:val="21454B0A"/>
    <w:rsid w:val="21480220"/>
    <w:rsid w:val="214AC62E"/>
    <w:rsid w:val="2155569D"/>
    <w:rsid w:val="215EDB2D"/>
    <w:rsid w:val="21650CD5"/>
    <w:rsid w:val="217E0C5A"/>
    <w:rsid w:val="217E39C3"/>
    <w:rsid w:val="21824DEF"/>
    <w:rsid w:val="218453A3"/>
    <w:rsid w:val="2184A194"/>
    <w:rsid w:val="218B716D"/>
    <w:rsid w:val="218E9E6B"/>
    <w:rsid w:val="2196304E"/>
    <w:rsid w:val="21B4DD3E"/>
    <w:rsid w:val="21C9E153"/>
    <w:rsid w:val="21DCBBA8"/>
    <w:rsid w:val="21E5625F"/>
    <w:rsid w:val="21FDCEFB"/>
    <w:rsid w:val="220121F6"/>
    <w:rsid w:val="2204F3CD"/>
    <w:rsid w:val="2206B03C"/>
    <w:rsid w:val="220E88D1"/>
    <w:rsid w:val="22223A91"/>
    <w:rsid w:val="222E3026"/>
    <w:rsid w:val="2241EFBA"/>
    <w:rsid w:val="22574E76"/>
    <w:rsid w:val="225C2AD2"/>
    <w:rsid w:val="225D94C6"/>
    <w:rsid w:val="22742028"/>
    <w:rsid w:val="2277D4DF"/>
    <w:rsid w:val="228FD251"/>
    <w:rsid w:val="22A3C697"/>
    <w:rsid w:val="22A54632"/>
    <w:rsid w:val="22B1E5F5"/>
    <w:rsid w:val="22C0BF72"/>
    <w:rsid w:val="22D3F222"/>
    <w:rsid w:val="22D6DB28"/>
    <w:rsid w:val="22E5EB0C"/>
    <w:rsid w:val="2304A1D2"/>
    <w:rsid w:val="2309B04F"/>
    <w:rsid w:val="230BC43D"/>
    <w:rsid w:val="231299F4"/>
    <w:rsid w:val="231BBC21"/>
    <w:rsid w:val="2322E5D4"/>
    <w:rsid w:val="232CAEF2"/>
    <w:rsid w:val="2338286D"/>
    <w:rsid w:val="233C2683"/>
    <w:rsid w:val="233E1742"/>
    <w:rsid w:val="2347B66B"/>
    <w:rsid w:val="234C7B28"/>
    <w:rsid w:val="23607F28"/>
    <w:rsid w:val="2379DF53"/>
    <w:rsid w:val="237AAE3C"/>
    <w:rsid w:val="237E7885"/>
    <w:rsid w:val="2380F5F6"/>
    <w:rsid w:val="2382C904"/>
    <w:rsid w:val="239DB171"/>
    <w:rsid w:val="23A4458D"/>
    <w:rsid w:val="23AF9103"/>
    <w:rsid w:val="23B8E1C7"/>
    <w:rsid w:val="23BE384F"/>
    <w:rsid w:val="23EA810A"/>
    <w:rsid w:val="23FC7F5F"/>
    <w:rsid w:val="23FF1B02"/>
    <w:rsid w:val="2412DCF9"/>
    <w:rsid w:val="2415386C"/>
    <w:rsid w:val="242ADCA4"/>
    <w:rsid w:val="2444E83A"/>
    <w:rsid w:val="2445B413"/>
    <w:rsid w:val="245283F5"/>
    <w:rsid w:val="24637E9C"/>
    <w:rsid w:val="24696A63"/>
    <w:rsid w:val="247FB2C9"/>
    <w:rsid w:val="2481426E"/>
    <w:rsid w:val="2498BF4A"/>
    <w:rsid w:val="249CAD97"/>
    <w:rsid w:val="24A4052E"/>
    <w:rsid w:val="24A97CBF"/>
    <w:rsid w:val="24AE86CE"/>
    <w:rsid w:val="24B21D2A"/>
    <w:rsid w:val="24C6D1BF"/>
    <w:rsid w:val="24CD0C00"/>
    <w:rsid w:val="24CE4B2E"/>
    <w:rsid w:val="24D26EE8"/>
    <w:rsid w:val="24E0CC40"/>
    <w:rsid w:val="24EAD1DD"/>
    <w:rsid w:val="24FF5855"/>
    <w:rsid w:val="25067194"/>
    <w:rsid w:val="250E5C36"/>
    <w:rsid w:val="25136A8F"/>
    <w:rsid w:val="251973F5"/>
    <w:rsid w:val="253C04CD"/>
    <w:rsid w:val="253EE4CB"/>
    <w:rsid w:val="2546C780"/>
    <w:rsid w:val="254A8358"/>
    <w:rsid w:val="25538D09"/>
    <w:rsid w:val="255BED53"/>
    <w:rsid w:val="25600608"/>
    <w:rsid w:val="258D9B02"/>
    <w:rsid w:val="259C5F40"/>
    <w:rsid w:val="259FF559"/>
    <w:rsid w:val="25A064B4"/>
    <w:rsid w:val="25A10B51"/>
    <w:rsid w:val="25A15767"/>
    <w:rsid w:val="25C1679E"/>
    <w:rsid w:val="25CCB845"/>
    <w:rsid w:val="25CE0902"/>
    <w:rsid w:val="25E0B9DA"/>
    <w:rsid w:val="25E0EC67"/>
    <w:rsid w:val="25EA232C"/>
    <w:rsid w:val="25F26C51"/>
    <w:rsid w:val="25F89726"/>
    <w:rsid w:val="261AA82D"/>
    <w:rsid w:val="2623D191"/>
    <w:rsid w:val="262C6B3F"/>
    <w:rsid w:val="264693D0"/>
    <w:rsid w:val="2647F53C"/>
    <w:rsid w:val="264FDAB2"/>
    <w:rsid w:val="264FDAC0"/>
    <w:rsid w:val="265F584E"/>
    <w:rsid w:val="266959A3"/>
    <w:rsid w:val="26915153"/>
    <w:rsid w:val="2694805B"/>
    <w:rsid w:val="2698A2B8"/>
    <w:rsid w:val="269B41DE"/>
    <w:rsid w:val="269FF857"/>
    <w:rsid w:val="26A41BA4"/>
    <w:rsid w:val="26B1CA43"/>
    <w:rsid w:val="26B99A74"/>
    <w:rsid w:val="26BB0D5F"/>
    <w:rsid w:val="26BC7C54"/>
    <w:rsid w:val="26C0F902"/>
    <w:rsid w:val="26D34435"/>
    <w:rsid w:val="26D7FEFA"/>
    <w:rsid w:val="26D92A50"/>
    <w:rsid w:val="26E0E7A4"/>
    <w:rsid w:val="26E5B1CE"/>
    <w:rsid w:val="26F74BAA"/>
    <w:rsid w:val="26FD94AF"/>
    <w:rsid w:val="2701A149"/>
    <w:rsid w:val="2703EDD7"/>
    <w:rsid w:val="270E6D86"/>
    <w:rsid w:val="2727215D"/>
    <w:rsid w:val="272D3513"/>
    <w:rsid w:val="272FD8AE"/>
    <w:rsid w:val="273C51BB"/>
    <w:rsid w:val="276FC265"/>
    <w:rsid w:val="2778593A"/>
    <w:rsid w:val="277D54D5"/>
    <w:rsid w:val="278A2402"/>
    <w:rsid w:val="278FC719"/>
    <w:rsid w:val="27978269"/>
    <w:rsid w:val="27A3A96B"/>
    <w:rsid w:val="27B11601"/>
    <w:rsid w:val="27B53777"/>
    <w:rsid w:val="27BB4041"/>
    <w:rsid w:val="27BD6B50"/>
    <w:rsid w:val="27D20B8D"/>
    <w:rsid w:val="27D97E2C"/>
    <w:rsid w:val="27E410AC"/>
    <w:rsid w:val="27E44DB2"/>
    <w:rsid w:val="27E9BDEC"/>
    <w:rsid w:val="27F3E9EF"/>
    <w:rsid w:val="27F4B0E7"/>
    <w:rsid w:val="27F633FB"/>
    <w:rsid w:val="27FAB2F1"/>
    <w:rsid w:val="2802CA3D"/>
    <w:rsid w:val="28088707"/>
    <w:rsid w:val="281982B1"/>
    <w:rsid w:val="28282ADA"/>
    <w:rsid w:val="282F9A06"/>
    <w:rsid w:val="28480292"/>
    <w:rsid w:val="284F9B0F"/>
    <w:rsid w:val="28538DFB"/>
    <w:rsid w:val="28680A68"/>
    <w:rsid w:val="2875F1C0"/>
    <w:rsid w:val="287669A9"/>
    <w:rsid w:val="28969D04"/>
    <w:rsid w:val="28A044E5"/>
    <w:rsid w:val="28B4BA08"/>
    <w:rsid w:val="28BE5DFA"/>
    <w:rsid w:val="28D7A340"/>
    <w:rsid w:val="28D80576"/>
    <w:rsid w:val="28DF53DE"/>
    <w:rsid w:val="28E36876"/>
    <w:rsid w:val="28F202F4"/>
    <w:rsid w:val="28F73E35"/>
    <w:rsid w:val="28F7634A"/>
    <w:rsid w:val="28FD84D4"/>
    <w:rsid w:val="29099B3B"/>
    <w:rsid w:val="29144B0E"/>
    <w:rsid w:val="29152077"/>
    <w:rsid w:val="2918595D"/>
    <w:rsid w:val="29273184"/>
    <w:rsid w:val="292D4A71"/>
    <w:rsid w:val="293F9792"/>
    <w:rsid w:val="294283C8"/>
    <w:rsid w:val="29484D32"/>
    <w:rsid w:val="294A05A4"/>
    <w:rsid w:val="294FF5FB"/>
    <w:rsid w:val="2958557A"/>
    <w:rsid w:val="295FCFBF"/>
    <w:rsid w:val="2976EA28"/>
    <w:rsid w:val="297B3543"/>
    <w:rsid w:val="297FF281"/>
    <w:rsid w:val="29861FE9"/>
    <w:rsid w:val="2992ACCB"/>
    <w:rsid w:val="2992E177"/>
    <w:rsid w:val="299B1F9E"/>
    <w:rsid w:val="299E9A9E"/>
    <w:rsid w:val="29A42016"/>
    <w:rsid w:val="29A4ADD8"/>
    <w:rsid w:val="29AFABAF"/>
    <w:rsid w:val="29B4B73A"/>
    <w:rsid w:val="29B9D29D"/>
    <w:rsid w:val="29BDD635"/>
    <w:rsid w:val="29BF27A0"/>
    <w:rsid w:val="29D08009"/>
    <w:rsid w:val="29E62B9B"/>
    <w:rsid w:val="29EB5F33"/>
    <w:rsid w:val="2A13DF12"/>
    <w:rsid w:val="2A156138"/>
    <w:rsid w:val="2A1AA6AE"/>
    <w:rsid w:val="2A1D1BED"/>
    <w:rsid w:val="2A218607"/>
    <w:rsid w:val="2A24CDF3"/>
    <w:rsid w:val="2A335D0C"/>
    <w:rsid w:val="2A475C27"/>
    <w:rsid w:val="2A5B0BB4"/>
    <w:rsid w:val="2A6CB756"/>
    <w:rsid w:val="2A833DE7"/>
    <w:rsid w:val="2A8AC0E7"/>
    <w:rsid w:val="2A9B5307"/>
    <w:rsid w:val="2A9D3E7E"/>
    <w:rsid w:val="2AA116CD"/>
    <w:rsid w:val="2AA61A62"/>
    <w:rsid w:val="2AA634EA"/>
    <w:rsid w:val="2AB63DAC"/>
    <w:rsid w:val="2AC153E5"/>
    <w:rsid w:val="2AD94648"/>
    <w:rsid w:val="2ADAC7ED"/>
    <w:rsid w:val="2AE5A1A8"/>
    <w:rsid w:val="2AF326E8"/>
    <w:rsid w:val="2AF65CE3"/>
    <w:rsid w:val="2B030A5F"/>
    <w:rsid w:val="2B04474D"/>
    <w:rsid w:val="2B05233E"/>
    <w:rsid w:val="2B08D8C8"/>
    <w:rsid w:val="2B14C02F"/>
    <w:rsid w:val="2B15AE9C"/>
    <w:rsid w:val="2B303CE0"/>
    <w:rsid w:val="2B37D5F0"/>
    <w:rsid w:val="2B3AA50A"/>
    <w:rsid w:val="2B3E0F33"/>
    <w:rsid w:val="2B407E39"/>
    <w:rsid w:val="2B42AC1E"/>
    <w:rsid w:val="2B4373A1"/>
    <w:rsid w:val="2B53AA66"/>
    <w:rsid w:val="2B561F3E"/>
    <w:rsid w:val="2B59AF5D"/>
    <w:rsid w:val="2B6B0CB1"/>
    <w:rsid w:val="2B6D2A9C"/>
    <w:rsid w:val="2B6D8F43"/>
    <w:rsid w:val="2B713BDD"/>
    <w:rsid w:val="2B87BFC6"/>
    <w:rsid w:val="2B8F9AF9"/>
    <w:rsid w:val="2BA1BD2A"/>
    <w:rsid w:val="2BA28F7D"/>
    <w:rsid w:val="2BA5A513"/>
    <w:rsid w:val="2BC7EB16"/>
    <w:rsid w:val="2BFEEAC0"/>
    <w:rsid w:val="2C0795EA"/>
    <w:rsid w:val="2C081D2C"/>
    <w:rsid w:val="2C1F8073"/>
    <w:rsid w:val="2C53D79A"/>
    <w:rsid w:val="2C5719AC"/>
    <w:rsid w:val="2C5D51B9"/>
    <w:rsid w:val="2C624E55"/>
    <w:rsid w:val="2C75BA00"/>
    <w:rsid w:val="2C77E4E5"/>
    <w:rsid w:val="2C7941D1"/>
    <w:rsid w:val="2C7EA3C6"/>
    <w:rsid w:val="2C95D79C"/>
    <w:rsid w:val="2CA1B285"/>
    <w:rsid w:val="2CB1EB4C"/>
    <w:rsid w:val="2CB546E1"/>
    <w:rsid w:val="2CCE2414"/>
    <w:rsid w:val="2CD1B273"/>
    <w:rsid w:val="2CD43DC9"/>
    <w:rsid w:val="2CD9D401"/>
    <w:rsid w:val="2CDC4E9A"/>
    <w:rsid w:val="2CFDCC32"/>
    <w:rsid w:val="2D0A8362"/>
    <w:rsid w:val="2D0E84AB"/>
    <w:rsid w:val="2D1667A6"/>
    <w:rsid w:val="2D1BEEAD"/>
    <w:rsid w:val="2D279E0A"/>
    <w:rsid w:val="2D3091D8"/>
    <w:rsid w:val="2D30C42F"/>
    <w:rsid w:val="2D33F1B3"/>
    <w:rsid w:val="2D356F57"/>
    <w:rsid w:val="2D427FD2"/>
    <w:rsid w:val="2D4E5693"/>
    <w:rsid w:val="2D588182"/>
    <w:rsid w:val="2D595423"/>
    <w:rsid w:val="2D5D7B93"/>
    <w:rsid w:val="2D69FE58"/>
    <w:rsid w:val="2D710C3A"/>
    <w:rsid w:val="2D7BE59E"/>
    <w:rsid w:val="2D7F8F22"/>
    <w:rsid w:val="2D861B5B"/>
    <w:rsid w:val="2D9CCBA2"/>
    <w:rsid w:val="2DA49FCE"/>
    <w:rsid w:val="2DA4F29B"/>
    <w:rsid w:val="2DA57AD3"/>
    <w:rsid w:val="2DAE7964"/>
    <w:rsid w:val="2DB461CD"/>
    <w:rsid w:val="2DB688BA"/>
    <w:rsid w:val="2DC94C69"/>
    <w:rsid w:val="2DDA8375"/>
    <w:rsid w:val="2DDBB5D6"/>
    <w:rsid w:val="2DE985F2"/>
    <w:rsid w:val="2DF861DA"/>
    <w:rsid w:val="2E118A61"/>
    <w:rsid w:val="2E11ADC7"/>
    <w:rsid w:val="2E1224AA"/>
    <w:rsid w:val="2E16379A"/>
    <w:rsid w:val="2E1CF709"/>
    <w:rsid w:val="2E22E097"/>
    <w:rsid w:val="2E2824B4"/>
    <w:rsid w:val="2E32563F"/>
    <w:rsid w:val="2E3EDA01"/>
    <w:rsid w:val="2E53C2EC"/>
    <w:rsid w:val="2E543666"/>
    <w:rsid w:val="2E566C0D"/>
    <w:rsid w:val="2E5867F8"/>
    <w:rsid w:val="2E622CBB"/>
    <w:rsid w:val="2E75CFA6"/>
    <w:rsid w:val="2E781EFB"/>
    <w:rsid w:val="2E81A621"/>
    <w:rsid w:val="2E821DE2"/>
    <w:rsid w:val="2E857663"/>
    <w:rsid w:val="2E8C1545"/>
    <w:rsid w:val="2E8E178F"/>
    <w:rsid w:val="2E92112D"/>
    <w:rsid w:val="2E9859C3"/>
    <w:rsid w:val="2E9CBBC8"/>
    <w:rsid w:val="2E9E5759"/>
    <w:rsid w:val="2EA6D0C4"/>
    <w:rsid w:val="2EB3DB26"/>
    <w:rsid w:val="2EE53344"/>
    <w:rsid w:val="2EEF2CBE"/>
    <w:rsid w:val="2EFF2846"/>
    <w:rsid w:val="2F15B385"/>
    <w:rsid w:val="2F2AA45E"/>
    <w:rsid w:val="2F4746FA"/>
    <w:rsid w:val="2F50E203"/>
    <w:rsid w:val="2F73CE28"/>
    <w:rsid w:val="2F7B3514"/>
    <w:rsid w:val="2F7E82E4"/>
    <w:rsid w:val="2F8866BA"/>
    <w:rsid w:val="2F8CC164"/>
    <w:rsid w:val="2F8EC43A"/>
    <w:rsid w:val="2FA76DD8"/>
    <w:rsid w:val="2FB58D68"/>
    <w:rsid w:val="2FBB01FD"/>
    <w:rsid w:val="2FC977F9"/>
    <w:rsid w:val="2FCCEE0E"/>
    <w:rsid w:val="2FCF8957"/>
    <w:rsid w:val="2FD15BDF"/>
    <w:rsid w:val="2FDED887"/>
    <w:rsid w:val="2FE2899B"/>
    <w:rsid w:val="2FE5160C"/>
    <w:rsid w:val="2FF8C604"/>
    <w:rsid w:val="300EF239"/>
    <w:rsid w:val="3011D302"/>
    <w:rsid w:val="301306C5"/>
    <w:rsid w:val="3025C386"/>
    <w:rsid w:val="303BB208"/>
    <w:rsid w:val="303E8870"/>
    <w:rsid w:val="305B5262"/>
    <w:rsid w:val="30630C1C"/>
    <w:rsid w:val="306C972A"/>
    <w:rsid w:val="307C8360"/>
    <w:rsid w:val="307CCF40"/>
    <w:rsid w:val="308574E1"/>
    <w:rsid w:val="3099B51E"/>
    <w:rsid w:val="30BFA58E"/>
    <w:rsid w:val="30C3A967"/>
    <w:rsid w:val="30CD7549"/>
    <w:rsid w:val="30D0A897"/>
    <w:rsid w:val="30D9997A"/>
    <w:rsid w:val="30E3175B"/>
    <w:rsid w:val="30E93E20"/>
    <w:rsid w:val="30FDDE11"/>
    <w:rsid w:val="3100F6B4"/>
    <w:rsid w:val="3101353C"/>
    <w:rsid w:val="3120F3BE"/>
    <w:rsid w:val="313B8E1C"/>
    <w:rsid w:val="3146F2FA"/>
    <w:rsid w:val="315848D8"/>
    <w:rsid w:val="3160C2BA"/>
    <w:rsid w:val="3164D39F"/>
    <w:rsid w:val="316FA0AC"/>
    <w:rsid w:val="317B1B6F"/>
    <w:rsid w:val="317D1184"/>
    <w:rsid w:val="317D369F"/>
    <w:rsid w:val="31846B24"/>
    <w:rsid w:val="319C24C1"/>
    <w:rsid w:val="31A0853D"/>
    <w:rsid w:val="31A47F3F"/>
    <w:rsid w:val="31B00E34"/>
    <w:rsid w:val="31DA1B68"/>
    <w:rsid w:val="31E9B810"/>
    <w:rsid w:val="31F22F49"/>
    <w:rsid w:val="31F73441"/>
    <w:rsid w:val="31FD9E77"/>
    <w:rsid w:val="320B7701"/>
    <w:rsid w:val="322147FE"/>
    <w:rsid w:val="323F2DBE"/>
    <w:rsid w:val="3246F5F0"/>
    <w:rsid w:val="32725523"/>
    <w:rsid w:val="3272D63A"/>
    <w:rsid w:val="327A66EE"/>
    <w:rsid w:val="328AB5FD"/>
    <w:rsid w:val="328DF9B0"/>
    <w:rsid w:val="3295EB65"/>
    <w:rsid w:val="32A79045"/>
    <w:rsid w:val="32AEE558"/>
    <w:rsid w:val="32B8264E"/>
    <w:rsid w:val="32BF826F"/>
    <w:rsid w:val="32CE4015"/>
    <w:rsid w:val="32DC1716"/>
    <w:rsid w:val="32FB4C17"/>
    <w:rsid w:val="32FCC1F6"/>
    <w:rsid w:val="33061E2E"/>
    <w:rsid w:val="330F68CB"/>
    <w:rsid w:val="33137F64"/>
    <w:rsid w:val="33289D19"/>
    <w:rsid w:val="332A0CE7"/>
    <w:rsid w:val="332D2D88"/>
    <w:rsid w:val="3337BB7A"/>
    <w:rsid w:val="3337FE42"/>
    <w:rsid w:val="3338B799"/>
    <w:rsid w:val="333D6598"/>
    <w:rsid w:val="334C56E7"/>
    <w:rsid w:val="3354CC49"/>
    <w:rsid w:val="33683594"/>
    <w:rsid w:val="3372B652"/>
    <w:rsid w:val="3381A432"/>
    <w:rsid w:val="338A3063"/>
    <w:rsid w:val="3395F46F"/>
    <w:rsid w:val="339B5833"/>
    <w:rsid w:val="33ACA7D1"/>
    <w:rsid w:val="33ACAF44"/>
    <w:rsid w:val="33ACD9A7"/>
    <w:rsid w:val="33C390DD"/>
    <w:rsid w:val="33D6A96C"/>
    <w:rsid w:val="33F54A46"/>
    <w:rsid w:val="33FB4A29"/>
    <w:rsid w:val="340D5F3C"/>
    <w:rsid w:val="34175F43"/>
    <w:rsid w:val="34185C69"/>
    <w:rsid w:val="342859F7"/>
    <w:rsid w:val="342D7D11"/>
    <w:rsid w:val="343F5CC7"/>
    <w:rsid w:val="343F682E"/>
    <w:rsid w:val="3440F935"/>
    <w:rsid w:val="34420377"/>
    <w:rsid w:val="344DA341"/>
    <w:rsid w:val="347202DF"/>
    <w:rsid w:val="3484A71E"/>
    <w:rsid w:val="348A36C4"/>
    <w:rsid w:val="34907A88"/>
    <w:rsid w:val="34985C0B"/>
    <w:rsid w:val="34AA078C"/>
    <w:rsid w:val="34B4287D"/>
    <w:rsid w:val="34CB6F0D"/>
    <w:rsid w:val="34D57C0F"/>
    <w:rsid w:val="34DC5F53"/>
    <w:rsid w:val="34E9CA2F"/>
    <w:rsid w:val="351676EF"/>
    <w:rsid w:val="3517C51A"/>
    <w:rsid w:val="3519E618"/>
    <w:rsid w:val="35205CB3"/>
    <w:rsid w:val="35270D87"/>
    <w:rsid w:val="35312FB3"/>
    <w:rsid w:val="353D3AE2"/>
    <w:rsid w:val="3564C6C2"/>
    <w:rsid w:val="35665C67"/>
    <w:rsid w:val="3568A13F"/>
    <w:rsid w:val="356F962C"/>
    <w:rsid w:val="3586F5C6"/>
    <w:rsid w:val="3593636E"/>
    <w:rsid w:val="35A02A6F"/>
    <w:rsid w:val="35A60FC3"/>
    <w:rsid w:val="35A984C0"/>
    <w:rsid w:val="35B73E06"/>
    <w:rsid w:val="35BF7F48"/>
    <w:rsid w:val="35BF94DA"/>
    <w:rsid w:val="35C0D313"/>
    <w:rsid w:val="35C3218A"/>
    <w:rsid w:val="35D30EB0"/>
    <w:rsid w:val="35DF7C9F"/>
    <w:rsid w:val="35E4253F"/>
    <w:rsid w:val="35E728F4"/>
    <w:rsid w:val="35E835BA"/>
    <w:rsid w:val="35E9B4E5"/>
    <w:rsid w:val="3600B966"/>
    <w:rsid w:val="360CC708"/>
    <w:rsid w:val="3616A876"/>
    <w:rsid w:val="361E1002"/>
    <w:rsid w:val="36238EE6"/>
    <w:rsid w:val="36292DF9"/>
    <w:rsid w:val="363E14B2"/>
    <w:rsid w:val="365A07CA"/>
    <w:rsid w:val="36600701"/>
    <w:rsid w:val="3661A5A7"/>
    <w:rsid w:val="3664998D"/>
    <w:rsid w:val="3675065A"/>
    <w:rsid w:val="3694434A"/>
    <w:rsid w:val="36D15B07"/>
    <w:rsid w:val="36E8C2C2"/>
    <w:rsid w:val="36FD6638"/>
    <w:rsid w:val="370B668D"/>
    <w:rsid w:val="370FFECB"/>
    <w:rsid w:val="371138F0"/>
    <w:rsid w:val="37151991"/>
    <w:rsid w:val="3719FF62"/>
    <w:rsid w:val="372275FA"/>
    <w:rsid w:val="37454E19"/>
    <w:rsid w:val="375E2D3C"/>
    <w:rsid w:val="377D26CA"/>
    <w:rsid w:val="37837009"/>
    <w:rsid w:val="378BA85E"/>
    <w:rsid w:val="378BFAD8"/>
    <w:rsid w:val="3793BE95"/>
    <w:rsid w:val="3794CF6C"/>
    <w:rsid w:val="379B281A"/>
    <w:rsid w:val="379B70F1"/>
    <w:rsid w:val="37B2E1D4"/>
    <w:rsid w:val="37BA8432"/>
    <w:rsid w:val="37BB4D49"/>
    <w:rsid w:val="37D434E4"/>
    <w:rsid w:val="37EEC519"/>
    <w:rsid w:val="37F67FEB"/>
    <w:rsid w:val="37FBA164"/>
    <w:rsid w:val="37FE1774"/>
    <w:rsid w:val="37FE72FF"/>
    <w:rsid w:val="3804D637"/>
    <w:rsid w:val="38054FF7"/>
    <w:rsid w:val="3818C441"/>
    <w:rsid w:val="381FB1DC"/>
    <w:rsid w:val="382D1209"/>
    <w:rsid w:val="38383D82"/>
    <w:rsid w:val="385E893A"/>
    <w:rsid w:val="386DC960"/>
    <w:rsid w:val="3870749F"/>
    <w:rsid w:val="3870A38A"/>
    <w:rsid w:val="3875669A"/>
    <w:rsid w:val="38761D05"/>
    <w:rsid w:val="3877895E"/>
    <w:rsid w:val="387E5147"/>
    <w:rsid w:val="3880E589"/>
    <w:rsid w:val="388B21CF"/>
    <w:rsid w:val="388EF7F6"/>
    <w:rsid w:val="389239EF"/>
    <w:rsid w:val="38A736EE"/>
    <w:rsid w:val="38B27ACA"/>
    <w:rsid w:val="38B93F5D"/>
    <w:rsid w:val="38BE1B6E"/>
    <w:rsid w:val="38CCC3B6"/>
    <w:rsid w:val="38E617FE"/>
    <w:rsid w:val="38F7200A"/>
    <w:rsid w:val="390226FD"/>
    <w:rsid w:val="392048BB"/>
    <w:rsid w:val="3926836E"/>
    <w:rsid w:val="392E70C5"/>
    <w:rsid w:val="393C2BCA"/>
    <w:rsid w:val="3946E340"/>
    <w:rsid w:val="39475EB7"/>
    <w:rsid w:val="39520A8B"/>
    <w:rsid w:val="396C937D"/>
    <w:rsid w:val="3976D044"/>
    <w:rsid w:val="398516BE"/>
    <w:rsid w:val="398773A3"/>
    <w:rsid w:val="398E3C9C"/>
    <w:rsid w:val="3991C811"/>
    <w:rsid w:val="39A391F3"/>
    <w:rsid w:val="39A63D67"/>
    <w:rsid w:val="39AC1F0E"/>
    <w:rsid w:val="39B494A2"/>
    <w:rsid w:val="39C27E3F"/>
    <w:rsid w:val="39C8ED54"/>
    <w:rsid w:val="39D034FF"/>
    <w:rsid w:val="39D14C95"/>
    <w:rsid w:val="39D477C9"/>
    <w:rsid w:val="39FD1697"/>
    <w:rsid w:val="3A09A381"/>
    <w:rsid w:val="3A251BEB"/>
    <w:rsid w:val="3A26B818"/>
    <w:rsid w:val="3A348A7E"/>
    <w:rsid w:val="3A3A00F6"/>
    <w:rsid w:val="3A445EB0"/>
    <w:rsid w:val="3A5261D0"/>
    <w:rsid w:val="3A5DEDA6"/>
    <w:rsid w:val="3A6687D4"/>
    <w:rsid w:val="3A869C4E"/>
    <w:rsid w:val="3A8BFD9C"/>
    <w:rsid w:val="3A92F06B"/>
    <w:rsid w:val="3A9DD666"/>
    <w:rsid w:val="3AACDCB8"/>
    <w:rsid w:val="3AC4453F"/>
    <w:rsid w:val="3ADE5774"/>
    <w:rsid w:val="3ADF9FAC"/>
    <w:rsid w:val="3AF42B23"/>
    <w:rsid w:val="3B08EABA"/>
    <w:rsid w:val="3B0E2CE3"/>
    <w:rsid w:val="3B124467"/>
    <w:rsid w:val="3B1ABEE1"/>
    <w:rsid w:val="3B201FFF"/>
    <w:rsid w:val="3B2CA323"/>
    <w:rsid w:val="3B5B3F1E"/>
    <w:rsid w:val="3B5EC82B"/>
    <w:rsid w:val="3B602AE8"/>
    <w:rsid w:val="3B723390"/>
    <w:rsid w:val="3B752DDD"/>
    <w:rsid w:val="3B85862C"/>
    <w:rsid w:val="3B887E58"/>
    <w:rsid w:val="3B8A5692"/>
    <w:rsid w:val="3B91E130"/>
    <w:rsid w:val="3B9944AD"/>
    <w:rsid w:val="3BAF06CF"/>
    <w:rsid w:val="3BC0FFAE"/>
    <w:rsid w:val="3BE423AD"/>
    <w:rsid w:val="3C035CB8"/>
    <w:rsid w:val="3C06AA2A"/>
    <w:rsid w:val="3C06D648"/>
    <w:rsid w:val="3C187350"/>
    <w:rsid w:val="3C2438F3"/>
    <w:rsid w:val="3C340595"/>
    <w:rsid w:val="3C40ABEF"/>
    <w:rsid w:val="3C47A964"/>
    <w:rsid w:val="3C5D9C15"/>
    <w:rsid w:val="3C5FD703"/>
    <w:rsid w:val="3C6DF4E3"/>
    <w:rsid w:val="3C9336A9"/>
    <w:rsid w:val="3C99074F"/>
    <w:rsid w:val="3C99F6E5"/>
    <w:rsid w:val="3C9F3BFF"/>
    <w:rsid w:val="3CA86103"/>
    <w:rsid w:val="3CA87C5F"/>
    <w:rsid w:val="3CAE14C8"/>
    <w:rsid w:val="3CBD38CD"/>
    <w:rsid w:val="3CBE20AF"/>
    <w:rsid w:val="3CDB1040"/>
    <w:rsid w:val="3CE31DAA"/>
    <w:rsid w:val="3CEC3293"/>
    <w:rsid w:val="3CF822BA"/>
    <w:rsid w:val="3CFEE693"/>
    <w:rsid w:val="3D018BFC"/>
    <w:rsid w:val="3D107C95"/>
    <w:rsid w:val="3D131A06"/>
    <w:rsid w:val="3D26321B"/>
    <w:rsid w:val="3D2C414F"/>
    <w:rsid w:val="3D33753B"/>
    <w:rsid w:val="3D338DF4"/>
    <w:rsid w:val="3D3856E1"/>
    <w:rsid w:val="3D3894D2"/>
    <w:rsid w:val="3D3F47C3"/>
    <w:rsid w:val="3D494D28"/>
    <w:rsid w:val="3D4E4BD6"/>
    <w:rsid w:val="3D602EBA"/>
    <w:rsid w:val="3D67F6B4"/>
    <w:rsid w:val="3D6CBD9C"/>
    <w:rsid w:val="3D8297C1"/>
    <w:rsid w:val="3D878D1E"/>
    <w:rsid w:val="3D894EB1"/>
    <w:rsid w:val="3DA14471"/>
    <w:rsid w:val="3DA71689"/>
    <w:rsid w:val="3DAED0B1"/>
    <w:rsid w:val="3DC46449"/>
    <w:rsid w:val="3DC57BFA"/>
    <w:rsid w:val="3DD3DEE2"/>
    <w:rsid w:val="3DE10D2E"/>
    <w:rsid w:val="3DE63557"/>
    <w:rsid w:val="3DE6A57D"/>
    <w:rsid w:val="3DF45255"/>
    <w:rsid w:val="3DFCD52A"/>
    <w:rsid w:val="3DFE76B2"/>
    <w:rsid w:val="3E0277E7"/>
    <w:rsid w:val="3E055F2A"/>
    <w:rsid w:val="3E1D0F91"/>
    <w:rsid w:val="3E29090D"/>
    <w:rsid w:val="3E29641E"/>
    <w:rsid w:val="3E2C60FF"/>
    <w:rsid w:val="3E2F8920"/>
    <w:rsid w:val="3E3067A6"/>
    <w:rsid w:val="3E392D88"/>
    <w:rsid w:val="3E3A5B88"/>
    <w:rsid w:val="3E3F1DBD"/>
    <w:rsid w:val="3E463604"/>
    <w:rsid w:val="3E49E529"/>
    <w:rsid w:val="3E4C2E4D"/>
    <w:rsid w:val="3E5C670F"/>
    <w:rsid w:val="3E6E4AAC"/>
    <w:rsid w:val="3E751787"/>
    <w:rsid w:val="3E903716"/>
    <w:rsid w:val="3E95E3E3"/>
    <w:rsid w:val="3E9A86EA"/>
    <w:rsid w:val="3EAE0410"/>
    <w:rsid w:val="3EB6CE7C"/>
    <w:rsid w:val="3EC7EE5B"/>
    <w:rsid w:val="3ED58DE9"/>
    <w:rsid w:val="3ED5D38C"/>
    <w:rsid w:val="3EEB0F79"/>
    <w:rsid w:val="3EF8E129"/>
    <w:rsid w:val="3EFBFD9A"/>
    <w:rsid w:val="3F1B92C3"/>
    <w:rsid w:val="3F1F3E28"/>
    <w:rsid w:val="3F247005"/>
    <w:rsid w:val="3F3DD002"/>
    <w:rsid w:val="3F4CEEA3"/>
    <w:rsid w:val="3F66618E"/>
    <w:rsid w:val="3F6D5429"/>
    <w:rsid w:val="3F7F54B7"/>
    <w:rsid w:val="3F83DC5A"/>
    <w:rsid w:val="3F850D76"/>
    <w:rsid w:val="3F8EB715"/>
    <w:rsid w:val="3F9777C5"/>
    <w:rsid w:val="3F97D231"/>
    <w:rsid w:val="3FA1377F"/>
    <w:rsid w:val="3FA52433"/>
    <w:rsid w:val="3FA6780A"/>
    <w:rsid w:val="3FB30CD9"/>
    <w:rsid w:val="3FB83F65"/>
    <w:rsid w:val="3FBBE132"/>
    <w:rsid w:val="3FC8B084"/>
    <w:rsid w:val="3FCC64EA"/>
    <w:rsid w:val="3FD2ABE2"/>
    <w:rsid w:val="3FDFF542"/>
    <w:rsid w:val="3FE31048"/>
    <w:rsid w:val="3FEE3BBC"/>
    <w:rsid w:val="40030529"/>
    <w:rsid w:val="400513B5"/>
    <w:rsid w:val="400D3311"/>
    <w:rsid w:val="401EA856"/>
    <w:rsid w:val="4031BFC3"/>
    <w:rsid w:val="4038055A"/>
    <w:rsid w:val="403FFAA7"/>
    <w:rsid w:val="405BD5E1"/>
    <w:rsid w:val="406DDAF6"/>
    <w:rsid w:val="4072E41E"/>
    <w:rsid w:val="408B3B1D"/>
    <w:rsid w:val="40A6F91D"/>
    <w:rsid w:val="40AD726F"/>
    <w:rsid w:val="40D3452E"/>
    <w:rsid w:val="40DDEC75"/>
    <w:rsid w:val="40E8B46C"/>
    <w:rsid w:val="40EA36F0"/>
    <w:rsid w:val="40F15DEE"/>
    <w:rsid w:val="40F503DB"/>
    <w:rsid w:val="40FE0A16"/>
    <w:rsid w:val="41033AD5"/>
    <w:rsid w:val="410424CF"/>
    <w:rsid w:val="410B480C"/>
    <w:rsid w:val="411D9692"/>
    <w:rsid w:val="412D7E89"/>
    <w:rsid w:val="41595B1D"/>
    <w:rsid w:val="415D9179"/>
    <w:rsid w:val="4170CE4A"/>
    <w:rsid w:val="417981CD"/>
    <w:rsid w:val="4191E332"/>
    <w:rsid w:val="41A0E46F"/>
    <w:rsid w:val="41A7CBE9"/>
    <w:rsid w:val="41ABB230"/>
    <w:rsid w:val="41AD8C1B"/>
    <w:rsid w:val="41B2C4A9"/>
    <w:rsid w:val="41B93434"/>
    <w:rsid w:val="41B9570C"/>
    <w:rsid w:val="41DA79D9"/>
    <w:rsid w:val="41EABC4F"/>
    <w:rsid w:val="41F7EA8A"/>
    <w:rsid w:val="41F9336F"/>
    <w:rsid w:val="420BC474"/>
    <w:rsid w:val="42107BA2"/>
    <w:rsid w:val="42123A3A"/>
    <w:rsid w:val="422811D0"/>
    <w:rsid w:val="422FDB56"/>
    <w:rsid w:val="422FF640"/>
    <w:rsid w:val="42324EF0"/>
    <w:rsid w:val="42376618"/>
    <w:rsid w:val="423CC998"/>
    <w:rsid w:val="4245BDCB"/>
    <w:rsid w:val="424BC0A5"/>
    <w:rsid w:val="424FB21C"/>
    <w:rsid w:val="42524C6A"/>
    <w:rsid w:val="4268489C"/>
    <w:rsid w:val="426F30E6"/>
    <w:rsid w:val="42753F20"/>
    <w:rsid w:val="427D9B0B"/>
    <w:rsid w:val="4283CFE0"/>
    <w:rsid w:val="4285FDEA"/>
    <w:rsid w:val="428F1D0B"/>
    <w:rsid w:val="429D9B46"/>
    <w:rsid w:val="42B92EB0"/>
    <w:rsid w:val="42C42AB2"/>
    <w:rsid w:val="42D34BA6"/>
    <w:rsid w:val="42DAF479"/>
    <w:rsid w:val="42F3B841"/>
    <w:rsid w:val="42F4A6D3"/>
    <w:rsid w:val="430B506B"/>
    <w:rsid w:val="43146E00"/>
    <w:rsid w:val="4319C3CD"/>
    <w:rsid w:val="43275358"/>
    <w:rsid w:val="432E68B7"/>
    <w:rsid w:val="433E46AB"/>
    <w:rsid w:val="434290B0"/>
    <w:rsid w:val="43618BC8"/>
    <w:rsid w:val="438DE02C"/>
    <w:rsid w:val="438E9729"/>
    <w:rsid w:val="4393101D"/>
    <w:rsid w:val="4396BC14"/>
    <w:rsid w:val="43A8050F"/>
    <w:rsid w:val="43AA4E2F"/>
    <w:rsid w:val="43C11A4C"/>
    <w:rsid w:val="43E497AC"/>
    <w:rsid w:val="43E7A9C1"/>
    <w:rsid w:val="43F0D2DA"/>
    <w:rsid w:val="43F94D48"/>
    <w:rsid w:val="43FB9964"/>
    <w:rsid w:val="440820A2"/>
    <w:rsid w:val="440A28D3"/>
    <w:rsid w:val="4411F9D5"/>
    <w:rsid w:val="441779E9"/>
    <w:rsid w:val="4423D3B1"/>
    <w:rsid w:val="442BD438"/>
    <w:rsid w:val="442FAF84"/>
    <w:rsid w:val="4449AF5E"/>
    <w:rsid w:val="444F0BC6"/>
    <w:rsid w:val="4451C08B"/>
    <w:rsid w:val="4471687B"/>
    <w:rsid w:val="44730202"/>
    <w:rsid w:val="447CE81B"/>
    <w:rsid w:val="447E46D1"/>
    <w:rsid w:val="448AE9BF"/>
    <w:rsid w:val="44924EAF"/>
    <w:rsid w:val="449EEE67"/>
    <w:rsid w:val="44A47E08"/>
    <w:rsid w:val="44A86F0C"/>
    <w:rsid w:val="44B04EB5"/>
    <w:rsid w:val="44B6B586"/>
    <w:rsid w:val="44BC0B7E"/>
    <w:rsid w:val="44C0A01C"/>
    <w:rsid w:val="44C3BE2C"/>
    <w:rsid w:val="44D0E2B1"/>
    <w:rsid w:val="44D616AE"/>
    <w:rsid w:val="44D86A0B"/>
    <w:rsid w:val="44E7505B"/>
    <w:rsid w:val="44EAE157"/>
    <w:rsid w:val="44F74749"/>
    <w:rsid w:val="44FD0059"/>
    <w:rsid w:val="45025FBE"/>
    <w:rsid w:val="451133A5"/>
    <w:rsid w:val="45121196"/>
    <w:rsid w:val="451709C4"/>
    <w:rsid w:val="45237BBC"/>
    <w:rsid w:val="4529E3C5"/>
    <w:rsid w:val="452D158B"/>
    <w:rsid w:val="45438ADF"/>
    <w:rsid w:val="45492B45"/>
    <w:rsid w:val="4561B3AB"/>
    <w:rsid w:val="4562FCB2"/>
    <w:rsid w:val="45685B46"/>
    <w:rsid w:val="459D6BCD"/>
    <w:rsid w:val="459F39FF"/>
    <w:rsid w:val="45A986DE"/>
    <w:rsid w:val="45B35624"/>
    <w:rsid w:val="45B87706"/>
    <w:rsid w:val="45C48AF0"/>
    <w:rsid w:val="45DA6A9E"/>
    <w:rsid w:val="45DCBE80"/>
    <w:rsid w:val="45E2E6ED"/>
    <w:rsid w:val="45E50832"/>
    <w:rsid w:val="45FC863D"/>
    <w:rsid w:val="46010264"/>
    <w:rsid w:val="4602A1F6"/>
    <w:rsid w:val="4606B949"/>
    <w:rsid w:val="461638EA"/>
    <w:rsid w:val="4618E104"/>
    <w:rsid w:val="462514FF"/>
    <w:rsid w:val="46350FB1"/>
    <w:rsid w:val="463E159C"/>
    <w:rsid w:val="46443F6D"/>
    <w:rsid w:val="464B6EE9"/>
    <w:rsid w:val="4650017F"/>
    <w:rsid w:val="4658DE1B"/>
    <w:rsid w:val="4665B942"/>
    <w:rsid w:val="46694382"/>
    <w:rsid w:val="466CB312"/>
    <w:rsid w:val="46800DFF"/>
    <w:rsid w:val="46804570"/>
    <w:rsid w:val="4682A813"/>
    <w:rsid w:val="469D9BB2"/>
    <w:rsid w:val="469F4EC0"/>
    <w:rsid w:val="46A674EB"/>
    <w:rsid w:val="46B182C3"/>
    <w:rsid w:val="46B510C7"/>
    <w:rsid w:val="46B72119"/>
    <w:rsid w:val="46BCADC4"/>
    <w:rsid w:val="46C43E1E"/>
    <w:rsid w:val="46D8C2DA"/>
    <w:rsid w:val="46E17A84"/>
    <w:rsid w:val="46E3BE86"/>
    <w:rsid w:val="46EA9044"/>
    <w:rsid w:val="46EF884B"/>
    <w:rsid w:val="46F75926"/>
    <w:rsid w:val="46F7857C"/>
    <w:rsid w:val="46F81687"/>
    <w:rsid w:val="470846D7"/>
    <w:rsid w:val="4710F971"/>
    <w:rsid w:val="472D7842"/>
    <w:rsid w:val="4733D136"/>
    <w:rsid w:val="475337FD"/>
    <w:rsid w:val="475448F3"/>
    <w:rsid w:val="47598673"/>
    <w:rsid w:val="4767D8FB"/>
    <w:rsid w:val="477D6B8E"/>
    <w:rsid w:val="4780D893"/>
    <w:rsid w:val="47861F4E"/>
    <w:rsid w:val="479FCEBB"/>
    <w:rsid w:val="47AFD49A"/>
    <w:rsid w:val="47B11277"/>
    <w:rsid w:val="47B4D468"/>
    <w:rsid w:val="47B8A387"/>
    <w:rsid w:val="47B9A18B"/>
    <w:rsid w:val="47BAF485"/>
    <w:rsid w:val="47C78B68"/>
    <w:rsid w:val="47C86F9B"/>
    <w:rsid w:val="47CCC4A5"/>
    <w:rsid w:val="47D0139D"/>
    <w:rsid w:val="47D8666A"/>
    <w:rsid w:val="47E51969"/>
    <w:rsid w:val="47EC71D6"/>
    <w:rsid w:val="47EE5648"/>
    <w:rsid w:val="47F2C5C9"/>
    <w:rsid w:val="47F9CFEB"/>
    <w:rsid w:val="47FD9549"/>
    <w:rsid w:val="48033752"/>
    <w:rsid w:val="4819E588"/>
    <w:rsid w:val="481A5BFA"/>
    <w:rsid w:val="482AF3E2"/>
    <w:rsid w:val="4839873D"/>
    <w:rsid w:val="483A093D"/>
    <w:rsid w:val="4857327A"/>
    <w:rsid w:val="48594AE1"/>
    <w:rsid w:val="4859E5FF"/>
    <w:rsid w:val="485CA76A"/>
    <w:rsid w:val="48736CEF"/>
    <w:rsid w:val="4878D335"/>
    <w:rsid w:val="4881C48E"/>
    <w:rsid w:val="48840CF1"/>
    <w:rsid w:val="4886C0E7"/>
    <w:rsid w:val="4886CAFE"/>
    <w:rsid w:val="488EDD67"/>
    <w:rsid w:val="4894585C"/>
    <w:rsid w:val="489B2959"/>
    <w:rsid w:val="489C8DB8"/>
    <w:rsid w:val="48B5433D"/>
    <w:rsid w:val="48C3B7F6"/>
    <w:rsid w:val="48C3FEB3"/>
    <w:rsid w:val="48C7B2E0"/>
    <w:rsid w:val="48C85C86"/>
    <w:rsid w:val="48DFFB8C"/>
    <w:rsid w:val="48E48B5D"/>
    <w:rsid w:val="48E91644"/>
    <w:rsid w:val="48F4E030"/>
    <w:rsid w:val="48F95FA0"/>
    <w:rsid w:val="49286DE9"/>
    <w:rsid w:val="49300CD2"/>
    <w:rsid w:val="4939F3C1"/>
    <w:rsid w:val="494C43D2"/>
    <w:rsid w:val="4957DBDF"/>
    <w:rsid w:val="4965574E"/>
    <w:rsid w:val="4978339A"/>
    <w:rsid w:val="4980D8A3"/>
    <w:rsid w:val="49822EA1"/>
    <w:rsid w:val="4988535F"/>
    <w:rsid w:val="498EA68F"/>
    <w:rsid w:val="49B1CB8C"/>
    <w:rsid w:val="49B5B5E9"/>
    <w:rsid w:val="49BACC25"/>
    <w:rsid w:val="49BC0BDD"/>
    <w:rsid w:val="49C10100"/>
    <w:rsid w:val="49C23F2B"/>
    <w:rsid w:val="49CDE35B"/>
    <w:rsid w:val="49D6C698"/>
    <w:rsid w:val="49D6C775"/>
    <w:rsid w:val="49E7F33B"/>
    <w:rsid w:val="4A12CC00"/>
    <w:rsid w:val="4A1312E9"/>
    <w:rsid w:val="4A23A9D2"/>
    <w:rsid w:val="4A3BA7B8"/>
    <w:rsid w:val="4A3D0918"/>
    <w:rsid w:val="4A40F31B"/>
    <w:rsid w:val="4A512F45"/>
    <w:rsid w:val="4A56519E"/>
    <w:rsid w:val="4A638341"/>
    <w:rsid w:val="4A6620DF"/>
    <w:rsid w:val="4A6E053F"/>
    <w:rsid w:val="4A74CA0C"/>
    <w:rsid w:val="4A7B1BC8"/>
    <w:rsid w:val="4A7CAB9E"/>
    <w:rsid w:val="4A7D46D7"/>
    <w:rsid w:val="4A869293"/>
    <w:rsid w:val="4A8DA63B"/>
    <w:rsid w:val="4A8E1A77"/>
    <w:rsid w:val="4A93A520"/>
    <w:rsid w:val="4A9CAB82"/>
    <w:rsid w:val="4ABACE4D"/>
    <w:rsid w:val="4ABEFDE8"/>
    <w:rsid w:val="4B0AEAFB"/>
    <w:rsid w:val="4B0E0DEC"/>
    <w:rsid w:val="4B17B090"/>
    <w:rsid w:val="4B1EE90A"/>
    <w:rsid w:val="4B25FE90"/>
    <w:rsid w:val="4B442D31"/>
    <w:rsid w:val="4B4CEE0C"/>
    <w:rsid w:val="4B53920F"/>
    <w:rsid w:val="4B564303"/>
    <w:rsid w:val="4B5A1D72"/>
    <w:rsid w:val="4B5A6A91"/>
    <w:rsid w:val="4B5FB40C"/>
    <w:rsid w:val="4B60B676"/>
    <w:rsid w:val="4B7AB801"/>
    <w:rsid w:val="4B7ABCBD"/>
    <w:rsid w:val="4B930585"/>
    <w:rsid w:val="4B98542C"/>
    <w:rsid w:val="4BA3EA4A"/>
    <w:rsid w:val="4BC2D743"/>
    <w:rsid w:val="4BC87FB0"/>
    <w:rsid w:val="4BCC49E9"/>
    <w:rsid w:val="4BD14492"/>
    <w:rsid w:val="4BD1DB3F"/>
    <w:rsid w:val="4BD6E08A"/>
    <w:rsid w:val="4BD8E3FB"/>
    <w:rsid w:val="4BDE1CA2"/>
    <w:rsid w:val="4BFE87CC"/>
    <w:rsid w:val="4C00A19F"/>
    <w:rsid w:val="4C02C445"/>
    <w:rsid w:val="4C08A17B"/>
    <w:rsid w:val="4C0F6445"/>
    <w:rsid w:val="4C107401"/>
    <w:rsid w:val="4C10F54C"/>
    <w:rsid w:val="4C1ABECB"/>
    <w:rsid w:val="4C2099A1"/>
    <w:rsid w:val="4C289CFF"/>
    <w:rsid w:val="4C388D22"/>
    <w:rsid w:val="4C3A2F09"/>
    <w:rsid w:val="4C46204D"/>
    <w:rsid w:val="4C4D37F7"/>
    <w:rsid w:val="4C4F471F"/>
    <w:rsid w:val="4C5AE58D"/>
    <w:rsid w:val="4C626750"/>
    <w:rsid w:val="4C64CCBD"/>
    <w:rsid w:val="4C734176"/>
    <w:rsid w:val="4C773450"/>
    <w:rsid w:val="4C8EC369"/>
    <w:rsid w:val="4C94648D"/>
    <w:rsid w:val="4CB29B59"/>
    <w:rsid w:val="4CB2FDBB"/>
    <w:rsid w:val="4CB369AC"/>
    <w:rsid w:val="4CE53794"/>
    <w:rsid w:val="4CF5DB48"/>
    <w:rsid w:val="4CFF3795"/>
    <w:rsid w:val="4D116DB2"/>
    <w:rsid w:val="4D1E75E8"/>
    <w:rsid w:val="4D1F7F2C"/>
    <w:rsid w:val="4D289461"/>
    <w:rsid w:val="4D42904D"/>
    <w:rsid w:val="4D49345E"/>
    <w:rsid w:val="4D4AEC95"/>
    <w:rsid w:val="4D5B0A77"/>
    <w:rsid w:val="4D5EC9CF"/>
    <w:rsid w:val="4D5EFECF"/>
    <w:rsid w:val="4D6D4B9E"/>
    <w:rsid w:val="4D84186A"/>
    <w:rsid w:val="4D8523F9"/>
    <w:rsid w:val="4D89E026"/>
    <w:rsid w:val="4DA03AD6"/>
    <w:rsid w:val="4DA71562"/>
    <w:rsid w:val="4DA870C1"/>
    <w:rsid w:val="4DB72CC0"/>
    <w:rsid w:val="4DC9038B"/>
    <w:rsid w:val="4DD11F37"/>
    <w:rsid w:val="4DDE6639"/>
    <w:rsid w:val="4DEBD3B6"/>
    <w:rsid w:val="4E0436AB"/>
    <w:rsid w:val="4E0C1B38"/>
    <w:rsid w:val="4E166AFE"/>
    <w:rsid w:val="4E1893FB"/>
    <w:rsid w:val="4E21B2E1"/>
    <w:rsid w:val="4E220E9D"/>
    <w:rsid w:val="4E2B77FA"/>
    <w:rsid w:val="4E31A147"/>
    <w:rsid w:val="4E42B903"/>
    <w:rsid w:val="4E4E1354"/>
    <w:rsid w:val="4E5D3FC6"/>
    <w:rsid w:val="4E752145"/>
    <w:rsid w:val="4E756DDE"/>
    <w:rsid w:val="4E7C478D"/>
    <w:rsid w:val="4E8CD96E"/>
    <w:rsid w:val="4E99C80A"/>
    <w:rsid w:val="4E9D6E9A"/>
    <w:rsid w:val="4EA60C05"/>
    <w:rsid w:val="4EA8E7F5"/>
    <w:rsid w:val="4EAD3686"/>
    <w:rsid w:val="4EBB8CF6"/>
    <w:rsid w:val="4EC65746"/>
    <w:rsid w:val="4EFD8BCC"/>
    <w:rsid w:val="4EFE0E48"/>
    <w:rsid w:val="4F03240F"/>
    <w:rsid w:val="4F15582E"/>
    <w:rsid w:val="4F36F464"/>
    <w:rsid w:val="4F376D63"/>
    <w:rsid w:val="4F56A8B0"/>
    <w:rsid w:val="4F57BE91"/>
    <w:rsid w:val="4F6AB58A"/>
    <w:rsid w:val="4F6BA7CC"/>
    <w:rsid w:val="4F9319A8"/>
    <w:rsid w:val="4F9D8588"/>
    <w:rsid w:val="4FA6A4A8"/>
    <w:rsid w:val="4FA6CE57"/>
    <w:rsid w:val="4FAC71F4"/>
    <w:rsid w:val="4FB0D20C"/>
    <w:rsid w:val="4FB3FEBA"/>
    <w:rsid w:val="4FC7B836"/>
    <w:rsid w:val="4FE2CFCC"/>
    <w:rsid w:val="4FFB5619"/>
    <w:rsid w:val="50101A4D"/>
    <w:rsid w:val="5015AEF3"/>
    <w:rsid w:val="501B79D1"/>
    <w:rsid w:val="503147D8"/>
    <w:rsid w:val="503583A2"/>
    <w:rsid w:val="50482476"/>
    <w:rsid w:val="5055BF88"/>
    <w:rsid w:val="5057B208"/>
    <w:rsid w:val="505A7BD6"/>
    <w:rsid w:val="5073F474"/>
    <w:rsid w:val="5075747E"/>
    <w:rsid w:val="50810309"/>
    <w:rsid w:val="508AC36D"/>
    <w:rsid w:val="50965695"/>
    <w:rsid w:val="50AFC6F3"/>
    <w:rsid w:val="50BA9533"/>
    <w:rsid w:val="50BB3FF4"/>
    <w:rsid w:val="50BF1793"/>
    <w:rsid w:val="50BFF681"/>
    <w:rsid w:val="50C6B004"/>
    <w:rsid w:val="50C8DC30"/>
    <w:rsid w:val="50CB419D"/>
    <w:rsid w:val="50CCA09B"/>
    <w:rsid w:val="50CE31A7"/>
    <w:rsid w:val="50D4487C"/>
    <w:rsid w:val="50E75BC7"/>
    <w:rsid w:val="50EEF0D3"/>
    <w:rsid w:val="50FA5D64"/>
    <w:rsid w:val="510F0A09"/>
    <w:rsid w:val="5112022E"/>
    <w:rsid w:val="511BE89D"/>
    <w:rsid w:val="51219149"/>
    <w:rsid w:val="512446AE"/>
    <w:rsid w:val="5134E0E5"/>
    <w:rsid w:val="5137D3AE"/>
    <w:rsid w:val="513E322D"/>
    <w:rsid w:val="5146F847"/>
    <w:rsid w:val="518F765D"/>
    <w:rsid w:val="51A1F80E"/>
    <w:rsid w:val="51A931A0"/>
    <w:rsid w:val="51B7DCC1"/>
    <w:rsid w:val="51C8B020"/>
    <w:rsid w:val="51C96335"/>
    <w:rsid w:val="51CACDE7"/>
    <w:rsid w:val="51CC5888"/>
    <w:rsid w:val="51E588A1"/>
    <w:rsid w:val="51E72E6D"/>
    <w:rsid w:val="51E83644"/>
    <w:rsid w:val="51FD56E6"/>
    <w:rsid w:val="520779C5"/>
    <w:rsid w:val="521DC14B"/>
    <w:rsid w:val="5227E38C"/>
    <w:rsid w:val="52324378"/>
    <w:rsid w:val="52444ED8"/>
    <w:rsid w:val="5246B99D"/>
    <w:rsid w:val="524BB063"/>
    <w:rsid w:val="524BD1B7"/>
    <w:rsid w:val="524DE663"/>
    <w:rsid w:val="52513479"/>
    <w:rsid w:val="5257662C"/>
    <w:rsid w:val="528C879C"/>
    <w:rsid w:val="52903FF6"/>
    <w:rsid w:val="52952243"/>
    <w:rsid w:val="5295570C"/>
    <w:rsid w:val="52A59512"/>
    <w:rsid w:val="52A67947"/>
    <w:rsid w:val="52AEF3B8"/>
    <w:rsid w:val="52CA742B"/>
    <w:rsid w:val="52CC13F4"/>
    <w:rsid w:val="52D9CD2D"/>
    <w:rsid w:val="52E13D4E"/>
    <w:rsid w:val="52E4B1A0"/>
    <w:rsid w:val="52E4DC90"/>
    <w:rsid w:val="52E5D270"/>
    <w:rsid w:val="52E95923"/>
    <w:rsid w:val="52EB7F6A"/>
    <w:rsid w:val="52ECC435"/>
    <w:rsid w:val="52F935B3"/>
    <w:rsid w:val="530D1804"/>
    <w:rsid w:val="531C4647"/>
    <w:rsid w:val="53219EA6"/>
    <w:rsid w:val="533201BD"/>
    <w:rsid w:val="5337A218"/>
    <w:rsid w:val="536EB709"/>
    <w:rsid w:val="538AE535"/>
    <w:rsid w:val="53A48415"/>
    <w:rsid w:val="53A76B5B"/>
    <w:rsid w:val="53A868C0"/>
    <w:rsid w:val="53B67D05"/>
    <w:rsid w:val="53B72013"/>
    <w:rsid w:val="53B927FC"/>
    <w:rsid w:val="53C2A919"/>
    <w:rsid w:val="53CDD574"/>
    <w:rsid w:val="53CEFF09"/>
    <w:rsid w:val="53DEB0E1"/>
    <w:rsid w:val="53EE4CA6"/>
    <w:rsid w:val="53F49729"/>
    <w:rsid w:val="5402B5AF"/>
    <w:rsid w:val="5421CC38"/>
    <w:rsid w:val="5436A90F"/>
    <w:rsid w:val="543935F7"/>
    <w:rsid w:val="54442D0A"/>
    <w:rsid w:val="5467560D"/>
    <w:rsid w:val="5469A929"/>
    <w:rsid w:val="546B1C50"/>
    <w:rsid w:val="546C5D65"/>
    <w:rsid w:val="54721EE1"/>
    <w:rsid w:val="548631FF"/>
    <w:rsid w:val="548FBCFE"/>
    <w:rsid w:val="54A833E9"/>
    <w:rsid w:val="54B0B149"/>
    <w:rsid w:val="54C0975E"/>
    <w:rsid w:val="54D7F7E7"/>
    <w:rsid w:val="54D991B0"/>
    <w:rsid w:val="54EC860F"/>
    <w:rsid w:val="54F74C1B"/>
    <w:rsid w:val="54FEF155"/>
    <w:rsid w:val="55073591"/>
    <w:rsid w:val="5520035C"/>
    <w:rsid w:val="55285B09"/>
    <w:rsid w:val="552CFBB8"/>
    <w:rsid w:val="5531E09F"/>
    <w:rsid w:val="5537D7EF"/>
    <w:rsid w:val="5545BE73"/>
    <w:rsid w:val="554BF3D6"/>
    <w:rsid w:val="555523E6"/>
    <w:rsid w:val="5560F12F"/>
    <w:rsid w:val="557AEEEE"/>
    <w:rsid w:val="557F7391"/>
    <w:rsid w:val="55808FA5"/>
    <w:rsid w:val="5584EAB1"/>
    <w:rsid w:val="5590678A"/>
    <w:rsid w:val="559AB31A"/>
    <w:rsid w:val="55A73CCE"/>
    <w:rsid w:val="55A76502"/>
    <w:rsid w:val="55CA05B1"/>
    <w:rsid w:val="55CFB148"/>
    <w:rsid w:val="55CFB5A0"/>
    <w:rsid w:val="55EE8700"/>
    <w:rsid w:val="55F17D5F"/>
    <w:rsid w:val="55FCE8FB"/>
    <w:rsid w:val="560EC43C"/>
    <w:rsid w:val="560FFAD5"/>
    <w:rsid w:val="561890F9"/>
    <w:rsid w:val="561D03BD"/>
    <w:rsid w:val="562B7855"/>
    <w:rsid w:val="5633A9BD"/>
    <w:rsid w:val="5638D703"/>
    <w:rsid w:val="563B5266"/>
    <w:rsid w:val="56405989"/>
    <w:rsid w:val="5646DEC8"/>
    <w:rsid w:val="5659A4C7"/>
    <w:rsid w:val="5668A148"/>
    <w:rsid w:val="5680D07E"/>
    <w:rsid w:val="568991B9"/>
    <w:rsid w:val="56C3D9B0"/>
    <w:rsid w:val="56E3CBD5"/>
    <w:rsid w:val="56F835C0"/>
    <w:rsid w:val="56F84971"/>
    <w:rsid w:val="56F907E8"/>
    <w:rsid w:val="57015484"/>
    <w:rsid w:val="5706E994"/>
    <w:rsid w:val="57085AA0"/>
    <w:rsid w:val="572F63D5"/>
    <w:rsid w:val="573A8F09"/>
    <w:rsid w:val="573B327E"/>
    <w:rsid w:val="573E198E"/>
    <w:rsid w:val="575979ED"/>
    <w:rsid w:val="575D7172"/>
    <w:rsid w:val="575FF690"/>
    <w:rsid w:val="576345C2"/>
    <w:rsid w:val="576589B4"/>
    <w:rsid w:val="576A391A"/>
    <w:rsid w:val="576FE8BE"/>
    <w:rsid w:val="57701D5B"/>
    <w:rsid w:val="57789892"/>
    <w:rsid w:val="5779AF89"/>
    <w:rsid w:val="578A8DC9"/>
    <w:rsid w:val="5796CAE6"/>
    <w:rsid w:val="57B3E48F"/>
    <w:rsid w:val="57B96D8A"/>
    <w:rsid w:val="57BA2694"/>
    <w:rsid w:val="57E865A8"/>
    <w:rsid w:val="57F63398"/>
    <w:rsid w:val="58084C50"/>
    <w:rsid w:val="58157AD1"/>
    <w:rsid w:val="5835EABD"/>
    <w:rsid w:val="583B7787"/>
    <w:rsid w:val="58400C01"/>
    <w:rsid w:val="584C4528"/>
    <w:rsid w:val="585B4396"/>
    <w:rsid w:val="5873230F"/>
    <w:rsid w:val="58A350E1"/>
    <w:rsid w:val="58AAF57E"/>
    <w:rsid w:val="58B41D1E"/>
    <w:rsid w:val="58B62B8F"/>
    <w:rsid w:val="58B677C8"/>
    <w:rsid w:val="58C651D9"/>
    <w:rsid w:val="58C8084C"/>
    <w:rsid w:val="58DC8A9D"/>
    <w:rsid w:val="58DF14A8"/>
    <w:rsid w:val="58FBC6F1"/>
    <w:rsid w:val="59074D13"/>
    <w:rsid w:val="590FDB54"/>
    <w:rsid w:val="5914F082"/>
    <w:rsid w:val="591FA66B"/>
    <w:rsid w:val="59227AE4"/>
    <w:rsid w:val="592357DE"/>
    <w:rsid w:val="592F2F16"/>
    <w:rsid w:val="59366A3D"/>
    <w:rsid w:val="593AF2E1"/>
    <w:rsid w:val="593FC756"/>
    <w:rsid w:val="59430C64"/>
    <w:rsid w:val="595129CC"/>
    <w:rsid w:val="595605F5"/>
    <w:rsid w:val="59576CB2"/>
    <w:rsid w:val="5961D3FC"/>
    <w:rsid w:val="5969A4DC"/>
    <w:rsid w:val="598534B6"/>
    <w:rsid w:val="59998C23"/>
    <w:rsid w:val="59A54D95"/>
    <w:rsid w:val="59B87140"/>
    <w:rsid w:val="59C20F03"/>
    <w:rsid w:val="59DD89D3"/>
    <w:rsid w:val="59E7774F"/>
    <w:rsid w:val="59F3DF07"/>
    <w:rsid w:val="59F448C1"/>
    <w:rsid w:val="5A07F71A"/>
    <w:rsid w:val="5A178A04"/>
    <w:rsid w:val="5A1F0ACD"/>
    <w:rsid w:val="5A24FE59"/>
    <w:rsid w:val="5A28D690"/>
    <w:rsid w:val="5A3E18B0"/>
    <w:rsid w:val="5A43C26E"/>
    <w:rsid w:val="5A4702BA"/>
    <w:rsid w:val="5A614626"/>
    <w:rsid w:val="5A6706F5"/>
    <w:rsid w:val="5A672F58"/>
    <w:rsid w:val="5A7B6F9F"/>
    <w:rsid w:val="5A7D261E"/>
    <w:rsid w:val="5A84859A"/>
    <w:rsid w:val="5A951234"/>
    <w:rsid w:val="5A9ADEE4"/>
    <w:rsid w:val="5A9F365C"/>
    <w:rsid w:val="5AA075FE"/>
    <w:rsid w:val="5AAE2F6D"/>
    <w:rsid w:val="5AB0D833"/>
    <w:rsid w:val="5ABB7EAE"/>
    <w:rsid w:val="5ABDD86D"/>
    <w:rsid w:val="5ABF9DD3"/>
    <w:rsid w:val="5AC0037C"/>
    <w:rsid w:val="5AD82242"/>
    <w:rsid w:val="5ADE0761"/>
    <w:rsid w:val="5AEAFA9F"/>
    <w:rsid w:val="5AEF40AB"/>
    <w:rsid w:val="5AF38536"/>
    <w:rsid w:val="5AF3A6DB"/>
    <w:rsid w:val="5AF5122B"/>
    <w:rsid w:val="5B021F2B"/>
    <w:rsid w:val="5B095ADB"/>
    <w:rsid w:val="5B18BE12"/>
    <w:rsid w:val="5B32B5D4"/>
    <w:rsid w:val="5B3C8A42"/>
    <w:rsid w:val="5B424CD0"/>
    <w:rsid w:val="5B5B1D1D"/>
    <w:rsid w:val="5B5FEC13"/>
    <w:rsid w:val="5B620476"/>
    <w:rsid w:val="5B6E3578"/>
    <w:rsid w:val="5B71E628"/>
    <w:rsid w:val="5B7AA1AC"/>
    <w:rsid w:val="5B875855"/>
    <w:rsid w:val="5B8FAF68"/>
    <w:rsid w:val="5B985254"/>
    <w:rsid w:val="5BA3E7A2"/>
    <w:rsid w:val="5BA60073"/>
    <w:rsid w:val="5BA9D7C1"/>
    <w:rsid w:val="5BB09F41"/>
    <w:rsid w:val="5BB50E7C"/>
    <w:rsid w:val="5BCC892A"/>
    <w:rsid w:val="5BD78942"/>
    <w:rsid w:val="5BF29060"/>
    <w:rsid w:val="5C04B0F0"/>
    <w:rsid w:val="5C17D778"/>
    <w:rsid w:val="5C3367B3"/>
    <w:rsid w:val="5C3DBEE5"/>
    <w:rsid w:val="5C486DF7"/>
    <w:rsid w:val="5C4BF2E6"/>
    <w:rsid w:val="5C5203E8"/>
    <w:rsid w:val="5C57472D"/>
    <w:rsid w:val="5C580D53"/>
    <w:rsid w:val="5C5CF740"/>
    <w:rsid w:val="5C657322"/>
    <w:rsid w:val="5C65F70A"/>
    <w:rsid w:val="5C76660D"/>
    <w:rsid w:val="5C781B87"/>
    <w:rsid w:val="5C7A7E1E"/>
    <w:rsid w:val="5C7E9525"/>
    <w:rsid w:val="5C7FFB57"/>
    <w:rsid w:val="5C851819"/>
    <w:rsid w:val="5C908404"/>
    <w:rsid w:val="5CB1EBB7"/>
    <w:rsid w:val="5CCC605D"/>
    <w:rsid w:val="5CD60182"/>
    <w:rsid w:val="5CDE2455"/>
    <w:rsid w:val="5CEB1C00"/>
    <w:rsid w:val="5D0BDD28"/>
    <w:rsid w:val="5D0D81F7"/>
    <w:rsid w:val="5D0F87FD"/>
    <w:rsid w:val="5D172B2C"/>
    <w:rsid w:val="5D1A7E5B"/>
    <w:rsid w:val="5D247165"/>
    <w:rsid w:val="5D2C4C41"/>
    <w:rsid w:val="5D54BD3D"/>
    <w:rsid w:val="5D6376D9"/>
    <w:rsid w:val="5D65629E"/>
    <w:rsid w:val="5D6CB2B4"/>
    <w:rsid w:val="5D78CE1F"/>
    <w:rsid w:val="5DDB7FF7"/>
    <w:rsid w:val="5DFB136D"/>
    <w:rsid w:val="5E177ECF"/>
    <w:rsid w:val="5E278F37"/>
    <w:rsid w:val="5E2E1BE6"/>
    <w:rsid w:val="5E3F8036"/>
    <w:rsid w:val="5E3F93B2"/>
    <w:rsid w:val="5E5B5519"/>
    <w:rsid w:val="5E5EA0A8"/>
    <w:rsid w:val="5E65AEF0"/>
    <w:rsid w:val="5E697C65"/>
    <w:rsid w:val="5E7D2F37"/>
    <w:rsid w:val="5E7E9CC4"/>
    <w:rsid w:val="5E816C49"/>
    <w:rsid w:val="5E84715C"/>
    <w:rsid w:val="5E8482E2"/>
    <w:rsid w:val="5ECF1A75"/>
    <w:rsid w:val="5ECFC708"/>
    <w:rsid w:val="5ED54AEC"/>
    <w:rsid w:val="5EFC0A90"/>
    <w:rsid w:val="5F01E96C"/>
    <w:rsid w:val="5F0BA88C"/>
    <w:rsid w:val="5F15D166"/>
    <w:rsid w:val="5F19F03A"/>
    <w:rsid w:val="5F1CB841"/>
    <w:rsid w:val="5F31A6F9"/>
    <w:rsid w:val="5F4E562C"/>
    <w:rsid w:val="5F5075BE"/>
    <w:rsid w:val="5F5C2783"/>
    <w:rsid w:val="5F677EB6"/>
    <w:rsid w:val="5F8393A8"/>
    <w:rsid w:val="5F8580B8"/>
    <w:rsid w:val="5F85B689"/>
    <w:rsid w:val="5F86DFB1"/>
    <w:rsid w:val="5F87E158"/>
    <w:rsid w:val="5F8FB5F9"/>
    <w:rsid w:val="5F9D1275"/>
    <w:rsid w:val="5FA860DB"/>
    <w:rsid w:val="5FAFE4ED"/>
    <w:rsid w:val="5FB68918"/>
    <w:rsid w:val="5FB6A807"/>
    <w:rsid w:val="5FBF2208"/>
    <w:rsid w:val="5FC2D2E5"/>
    <w:rsid w:val="5FC35F98"/>
    <w:rsid w:val="5FD3ADE0"/>
    <w:rsid w:val="5FDFFD54"/>
    <w:rsid w:val="5FF00AA6"/>
    <w:rsid w:val="600C27CB"/>
    <w:rsid w:val="601B20F7"/>
    <w:rsid w:val="602041BD"/>
    <w:rsid w:val="60234451"/>
    <w:rsid w:val="60234F3D"/>
    <w:rsid w:val="60378469"/>
    <w:rsid w:val="60408787"/>
    <w:rsid w:val="604C2972"/>
    <w:rsid w:val="6068EFC9"/>
    <w:rsid w:val="606BE426"/>
    <w:rsid w:val="606F3698"/>
    <w:rsid w:val="6072D1BB"/>
    <w:rsid w:val="60765BBF"/>
    <w:rsid w:val="607AB846"/>
    <w:rsid w:val="609D205B"/>
    <w:rsid w:val="60C65CB6"/>
    <w:rsid w:val="60E8B7EA"/>
    <w:rsid w:val="60FC909A"/>
    <w:rsid w:val="61051F35"/>
    <w:rsid w:val="610628A6"/>
    <w:rsid w:val="610A3072"/>
    <w:rsid w:val="61134596"/>
    <w:rsid w:val="61294287"/>
    <w:rsid w:val="6138E2D6"/>
    <w:rsid w:val="61497AF4"/>
    <w:rsid w:val="614B7C9E"/>
    <w:rsid w:val="61579FA7"/>
    <w:rsid w:val="61717671"/>
    <w:rsid w:val="6182B2AA"/>
    <w:rsid w:val="618BA4EE"/>
    <w:rsid w:val="619AA2F5"/>
    <w:rsid w:val="619D7F48"/>
    <w:rsid w:val="61AF9B3A"/>
    <w:rsid w:val="61B7DCB0"/>
    <w:rsid w:val="61B7EE44"/>
    <w:rsid w:val="61CF3816"/>
    <w:rsid w:val="61CFB90C"/>
    <w:rsid w:val="61DC7ADD"/>
    <w:rsid w:val="61EB73B5"/>
    <w:rsid w:val="61FB30DE"/>
    <w:rsid w:val="620FB34C"/>
    <w:rsid w:val="62155661"/>
    <w:rsid w:val="622101F3"/>
    <w:rsid w:val="623497F5"/>
    <w:rsid w:val="623D2BA3"/>
    <w:rsid w:val="624714EA"/>
    <w:rsid w:val="624E1DAF"/>
    <w:rsid w:val="625ED344"/>
    <w:rsid w:val="6260E78C"/>
    <w:rsid w:val="62653C5B"/>
    <w:rsid w:val="627E78D6"/>
    <w:rsid w:val="6281E4C8"/>
    <w:rsid w:val="6283E831"/>
    <w:rsid w:val="62A1E526"/>
    <w:rsid w:val="62AB6423"/>
    <w:rsid w:val="62BA94B0"/>
    <w:rsid w:val="62BDB8BF"/>
    <w:rsid w:val="62BEA3B7"/>
    <w:rsid w:val="62DD83A7"/>
    <w:rsid w:val="62DF4A2C"/>
    <w:rsid w:val="62E2A56B"/>
    <w:rsid w:val="62E80171"/>
    <w:rsid w:val="62F67A1D"/>
    <w:rsid w:val="62FC6562"/>
    <w:rsid w:val="62FD89D0"/>
    <w:rsid w:val="630FDC63"/>
    <w:rsid w:val="6310E3CE"/>
    <w:rsid w:val="631EC209"/>
    <w:rsid w:val="6321B761"/>
    <w:rsid w:val="632B8714"/>
    <w:rsid w:val="6348AC14"/>
    <w:rsid w:val="634CB0F9"/>
    <w:rsid w:val="635F8B6D"/>
    <w:rsid w:val="637C4B2C"/>
    <w:rsid w:val="638A8A99"/>
    <w:rsid w:val="638AB3FE"/>
    <w:rsid w:val="638DD938"/>
    <w:rsid w:val="63A4B148"/>
    <w:rsid w:val="63B6BDB8"/>
    <w:rsid w:val="63BEFEC3"/>
    <w:rsid w:val="63D10ABA"/>
    <w:rsid w:val="63E3E047"/>
    <w:rsid w:val="63E9F2C8"/>
    <w:rsid w:val="63F3B539"/>
    <w:rsid w:val="63F5D384"/>
    <w:rsid w:val="63FB15DF"/>
    <w:rsid w:val="640B519C"/>
    <w:rsid w:val="640B6850"/>
    <w:rsid w:val="64142A55"/>
    <w:rsid w:val="642AB9A3"/>
    <w:rsid w:val="64382809"/>
    <w:rsid w:val="643DB587"/>
    <w:rsid w:val="644DCD01"/>
    <w:rsid w:val="64564578"/>
    <w:rsid w:val="64A060B2"/>
    <w:rsid w:val="64AE4529"/>
    <w:rsid w:val="64DB42AB"/>
    <w:rsid w:val="64FA1E17"/>
    <w:rsid w:val="64FB23E7"/>
    <w:rsid w:val="6503C043"/>
    <w:rsid w:val="6504441E"/>
    <w:rsid w:val="650C80E1"/>
    <w:rsid w:val="65198FFB"/>
    <w:rsid w:val="651C858C"/>
    <w:rsid w:val="6529CE2C"/>
    <w:rsid w:val="65469198"/>
    <w:rsid w:val="65494044"/>
    <w:rsid w:val="655B85D4"/>
    <w:rsid w:val="6565C535"/>
    <w:rsid w:val="656CF593"/>
    <w:rsid w:val="6575B097"/>
    <w:rsid w:val="65777217"/>
    <w:rsid w:val="6578209C"/>
    <w:rsid w:val="65935D3A"/>
    <w:rsid w:val="65BE996A"/>
    <w:rsid w:val="65BFA52B"/>
    <w:rsid w:val="65DE6F75"/>
    <w:rsid w:val="65E67B10"/>
    <w:rsid w:val="65E911BD"/>
    <w:rsid w:val="65F97B74"/>
    <w:rsid w:val="65FBC75A"/>
    <w:rsid w:val="65FC79B9"/>
    <w:rsid w:val="6608D65B"/>
    <w:rsid w:val="661A128D"/>
    <w:rsid w:val="66413D24"/>
    <w:rsid w:val="6645ECAB"/>
    <w:rsid w:val="664FE458"/>
    <w:rsid w:val="6656D1F3"/>
    <w:rsid w:val="6658CD9C"/>
    <w:rsid w:val="66663DC5"/>
    <w:rsid w:val="667003CB"/>
    <w:rsid w:val="6671743C"/>
    <w:rsid w:val="667E7104"/>
    <w:rsid w:val="6683ED2D"/>
    <w:rsid w:val="6683FBD6"/>
    <w:rsid w:val="66905099"/>
    <w:rsid w:val="6694A6B7"/>
    <w:rsid w:val="66961F93"/>
    <w:rsid w:val="669AF513"/>
    <w:rsid w:val="66A24D06"/>
    <w:rsid w:val="66A80C9D"/>
    <w:rsid w:val="66AAD32D"/>
    <w:rsid w:val="66BC9B65"/>
    <w:rsid w:val="66D72309"/>
    <w:rsid w:val="66E23307"/>
    <w:rsid w:val="66E6DC6E"/>
    <w:rsid w:val="66F47316"/>
    <w:rsid w:val="66F7E6BE"/>
    <w:rsid w:val="67076991"/>
    <w:rsid w:val="670F793A"/>
    <w:rsid w:val="6716F2EF"/>
    <w:rsid w:val="671C8CCB"/>
    <w:rsid w:val="6726640F"/>
    <w:rsid w:val="672CF22A"/>
    <w:rsid w:val="6735E42E"/>
    <w:rsid w:val="673F23BE"/>
    <w:rsid w:val="67485EF1"/>
    <w:rsid w:val="674A9E61"/>
    <w:rsid w:val="675F5DF3"/>
    <w:rsid w:val="67625A65"/>
    <w:rsid w:val="6762C945"/>
    <w:rsid w:val="67713B1F"/>
    <w:rsid w:val="677E6461"/>
    <w:rsid w:val="677F4230"/>
    <w:rsid w:val="67878C1A"/>
    <w:rsid w:val="6787F643"/>
    <w:rsid w:val="6798CFA0"/>
    <w:rsid w:val="67A121CD"/>
    <w:rsid w:val="67B48321"/>
    <w:rsid w:val="67D470B6"/>
    <w:rsid w:val="67D63A19"/>
    <w:rsid w:val="67D6E0BB"/>
    <w:rsid w:val="67E2E7E9"/>
    <w:rsid w:val="67F7411A"/>
    <w:rsid w:val="67FAA130"/>
    <w:rsid w:val="680069DF"/>
    <w:rsid w:val="68305A07"/>
    <w:rsid w:val="68404DB9"/>
    <w:rsid w:val="6848A902"/>
    <w:rsid w:val="68524DE7"/>
    <w:rsid w:val="685FBC7C"/>
    <w:rsid w:val="6868567D"/>
    <w:rsid w:val="68A66569"/>
    <w:rsid w:val="68B06570"/>
    <w:rsid w:val="68B2907F"/>
    <w:rsid w:val="68C17FB5"/>
    <w:rsid w:val="68C40446"/>
    <w:rsid w:val="68C8DFBF"/>
    <w:rsid w:val="68CA42C5"/>
    <w:rsid w:val="68E40C26"/>
    <w:rsid w:val="68E7777B"/>
    <w:rsid w:val="68EAC80F"/>
    <w:rsid w:val="68EDDCE2"/>
    <w:rsid w:val="68EEDF7E"/>
    <w:rsid w:val="69032D2D"/>
    <w:rsid w:val="691C5DC4"/>
    <w:rsid w:val="69273321"/>
    <w:rsid w:val="69323CAF"/>
    <w:rsid w:val="6945FE7F"/>
    <w:rsid w:val="694723C4"/>
    <w:rsid w:val="694F8DCB"/>
    <w:rsid w:val="6958E73C"/>
    <w:rsid w:val="696B414C"/>
    <w:rsid w:val="697B4F96"/>
    <w:rsid w:val="697E25E5"/>
    <w:rsid w:val="6988A6B8"/>
    <w:rsid w:val="698C90A2"/>
    <w:rsid w:val="698FF35D"/>
    <w:rsid w:val="69923AD6"/>
    <w:rsid w:val="69A6C892"/>
    <w:rsid w:val="69AE0CA6"/>
    <w:rsid w:val="69C74EF4"/>
    <w:rsid w:val="69CC2A68"/>
    <w:rsid w:val="69D03BC5"/>
    <w:rsid w:val="69D65F13"/>
    <w:rsid w:val="69E56443"/>
    <w:rsid w:val="69EA0033"/>
    <w:rsid w:val="69EC6DD8"/>
    <w:rsid w:val="69ED070B"/>
    <w:rsid w:val="69F3AEC6"/>
    <w:rsid w:val="69F9B734"/>
    <w:rsid w:val="6A1B5CE4"/>
    <w:rsid w:val="6A1E11FA"/>
    <w:rsid w:val="6A2136ED"/>
    <w:rsid w:val="6A495907"/>
    <w:rsid w:val="6A6E1699"/>
    <w:rsid w:val="6A75EB55"/>
    <w:rsid w:val="6A7DEE18"/>
    <w:rsid w:val="6A839B89"/>
    <w:rsid w:val="6A8B84AF"/>
    <w:rsid w:val="6A8FB05D"/>
    <w:rsid w:val="6A932581"/>
    <w:rsid w:val="6A93F5C2"/>
    <w:rsid w:val="6A9A7C13"/>
    <w:rsid w:val="6A9D2568"/>
    <w:rsid w:val="6AA35BD5"/>
    <w:rsid w:val="6AA3B7A3"/>
    <w:rsid w:val="6AC3B5F2"/>
    <w:rsid w:val="6AC49CF8"/>
    <w:rsid w:val="6AC6BD15"/>
    <w:rsid w:val="6ACCFC5B"/>
    <w:rsid w:val="6AD631DE"/>
    <w:rsid w:val="6ADA2355"/>
    <w:rsid w:val="6ADF61DA"/>
    <w:rsid w:val="6AEBAA8F"/>
    <w:rsid w:val="6AEDB750"/>
    <w:rsid w:val="6B0AEB64"/>
    <w:rsid w:val="6B171FF7"/>
    <w:rsid w:val="6B1A88AB"/>
    <w:rsid w:val="6B1FEC2B"/>
    <w:rsid w:val="6B2EE1DC"/>
    <w:rsid w:val="6B30E395"/>
    <w:rsid w:val="6B3EA62D"/>
    <w:rsid w:val="6B44D204"/>
    <w:rsid w:val="6B4C95A0"/>
    <w:rsid w:val="6B5E084A"/>
    <w:rsid w:val="6B5F3AC6"/>
    <w:rsid w:val="6B6D0570"/>
    <w:rsid w:val="6B6EF9E0"/>
    <w:rsid w:val="6B75C17C"/>
    <w:rsid w:val="6B771A78"/>
    <w:rsid w:val="6B7979EF"/>
    <w:rsid w:val="6B82C0AE"/>
    <w:rsid w:val="6B959312"/>
    <w:rsid w:val="6BADC0B8"/>
    <w:rsid w:val="6BAE5D6A"/>
    <w:rsid w:val="6BBA0942"/>
    <w:rsid w:val="6BCA3627"/>
    <w:rsid w:val="6BD41925"/>
    <w:rsid w:val="6BD70C5B"/>
    <w:rsid w:val="6BE0095F"/>
    <w:rsid w:val="6BE479E5"/>
    <w:rsid w:val="6BF198FE"/>
    <w:rsid w:val="6BFFA19A"/>
    <w:rsid w:val="6C014C0F"/>
    <w:rsid w:val="6C0227F2"/>
    <w:rsid w:val="6C0D2EBC"/>
    <w:rsid w:val="6C0E4B9E"/>
    <w:rsid w:val="6C0EC253"/>
    <w:rsid w:val="6C3EABC9"/>
    <w:rsid w:val="6C446591"/>
    <w:rsid w:val="6C44A9AD"/>
    <w:rsid w:val="6C4A6004"/>
    <w:rsid w:val="6C587925"/>
    <w:rsid w:val="6C77352B"/>
    <w:rsid w:val="6C7B600B"/>
    <w:rsid w:val="6C7B9583"/>
    <w:rsid w:val="6C7C256C"/>
    <w:rsid w:val="6C9BF8BC"/>
    <w:rsid w:val="6CC1F008"/>
    <w:rsid w:val="6CC9DB98"/>
    <w:rsid w:val="6CCCDBFB"/>
    <w:rsid w:val="6CCE8DAE"/>
    <w:rsid w:val="6CD8B754"/>
    <w:rsid w:val="6CF64FCB"/>
    <w:rsid w:val="6CF75B1A"/>
    <w:rsid w:val="6D0AAB15"/>
    <w:rsid w:val="6D173EF7"/>
    <w:rsid w:val="6D265113"/>
    <w:rsid w:val="6D267E41"/>
    <w:rsid w:val="6D2B4B7F"/>
    <w:rsid w:val="6D2DBE8F"/>
    <w:rsid w:val="6D363D0A"/>
    <w:rsid w:val="6D420383"/>
    <w:rsid w:val="6D4EA493"/>
    <w:rsid w:val="6D54A36A"/>
    <w:rsid w:val="6D78ECAD"/>
    <w:rsid w:val="6D9B851B"/>
    <w:rsid w:val="6DB2069C"/>
    <w:rsid w:val="6DB2B9EB"/>
    <w:rsid w:val="6DB9FEBA"/>
    <w:rsid w:val="6DBAAE5C"/>
    <w:rsid w:val="6DBC4E86"/>
    <w:rsid w:val="6DC240C4"/>
    <w:rsid w:val="6DCE47C6"/>
    <w:rsid w:val="6DEA9B6E"/>
    <w:rsid w:val="6DF87BD6"/>
    <w:rsid w:val="6DFA7C10"/>
    <w:rsid w:val="6E0A0720"/>
    <w:rsid w:val="6E0ACF19"/>
    <w:rsid w:val="6E0B0BF3"/>
    <w:rsid w:val="6E119D7D"/>
    <w:rsid w:val="6E2FFDBF"/>
    <w:rsid w:val="6E331668"/>
    <w:rsid w:val="6E3F5911"/>
    <w:rsid w:val="6E437D24"/>
    <w:rsid w:val="6E5CB9EB"/>
    <w:rsid w:val="6E6476C0"/>
    <w:rsid w:val="6E7C637F"/>
    <w:rsid w:val="6E8FF6AC"/>
    <w:rsid w:val="6EB2BF06"/>
    <w:rsid w:val="6EBD7156"/>
    <w:rsid w:val="6ED0375B"/>
    <w:rsid w:val="6ED8C1A3"/>
    <w:rsid w:val="6EDAE3DD"/>
    <w:rsid w:val="6F08E2F2"/>
    <w:rsid w:val="6F1954A2"/>
    <w:rsid w:val="6F1CB4A5"/>
    <w:rsid w:val="6F1D6590"/>
    <w:rsid w:val="6F2300F3"/>
    <w:rsid w:val="6F2C5ADE"/>
    <w:rsid w:val="6F2E05AD"/>
    <w:rsid w:val="6F39A03C"/>
    <w:rsid w:val="6F53E522"/>
    <w:rsid w:val="6F548E7C"/>
    <w:rsid w:val="6F6F294E"/>
    <w:rsid w:val="6F7C9AE7"/>
    <w:rsid w:val="6F9FC29E"/>
    <w:rsid w:val="6FA54747"/>
    <w:rsid w:val="6FC8AC83"/>
    <w:rsid w:val="6FD0248C"/>
    <w:rsid w:val="6FDC1E04"/>
    <w:rsid w:val="6FE1055D"/>
    <w:rsid w:val="6FE2ADBF"/>
    <w:rsid w:val="6FEA911A"/>
    <w:rsid w:val="6FFADB2B"/>
    <w:rsid w:val="700059F8"/>
    <w:rsid w:val="70024833"/>
    <w:rsid w:val="700707A0"/>
    <w:rsid w:val="7009066D"/>
    <w:rsid w:val="700CF7E4"/>
    <w:rsid w:val="7025B007"/>
    <w:rsid w:val="702BF653"/>
    <w:rsid w:val="7035C1E4"/>
    <w:rsid w:val="703C4593"/>
    <w:rsid w:val="70423EE2"/>
    <w:rsid w:val="7045C414"/>
    <w:rsid w:val="7046ACBF"/>
    <w:rsid w:val="705CAC6A"/>
    <w:rsid w:val="7066F2E8"/>
    <w:rsid w:val="7069E85A"/>
    <w:rsid w:val="70782EB7"/>
    <w:rsid w:val="707FA64F"/>
    <w:rsid w:val="70A44738"/>
    <w:rsid w:val="70AB36B9"/>
    <w:rsid w:val="70AE4F2D"/>
    <w:rsid w:val="70C4A603"/>
    <w:rsid w:val="70D99DAE"/>
    <w:rsid w:val="70DFF791"/>
    <w:rsid w:val="70ECE17C"/>
    <w:rsid w:val="70F9F163"/>
    <w:rsid w:val="70FD79E7"/>
    <w:rsid w:val="71092B0D"/>
    <w:rsid w:val="710AC6DE"/>
    <w:rsid w:val="7116EA9C"/>
    <w:rsid w:val="711AD37A"/>
    <w:rsid w:val="711B064B"/>
    <w:rsid w:val="712D018D"/>
    <w:rsid w:val="712DF334"/>
    <w:rsid w:val="7130D3F4"/>
    <w:rsid w:val="713776B2"/>
    <w:rsid w:val="713850D4"/>
    <w:rsid w:val="7138EE75"/>
    <w:rsid w:val="713A2CD8"/>
    <w:rsid w:val="714D06D9"/>
    <w:rsid w:val="714E3291"/>
    <w:rsid w:val="7158636E"/>
    <w:rsid w:val="7162BB75"/>
    <w:rsid w:val="71633E9D"/>
    <w:rsid w:val="716E6E43"/>
    <w:rsid w:val="7176084C"/>
    <w:rsid w:val="7182E26D"/>
    <w:rsid w:val="7183B74E"/>
    <w:rsid w:val="7188A4E4"/>
    <w:rsid w:val="7189AF84"/>
    <w:rsid w:val="71A63365"/>
    <w:rsid w:val="71B4CD85"/>
    <w:rsid w:val="71D82850"/>
    <w:rsid w:val="71D9B643"/>
    <w:rsid w:val="71E19475"/>
    <w:rsid w:val="71E7EA98"/>
    <w:rsid w:val="71EA16BE"/>
    <w:rsid w:val="71F4E955"/>
    <w:rsid w:val="72135483"/>
    <w:rsid w:val="722991DD"/>
    <w:rsid w:val="723EADA1"/>
    <w:rsid w:val="723F4B4E"/>
    <w:rsid w:val="72472913"/>
    <w:rsid w:val="726561DA"/>
    <w:rsid w:val="726C48D0"/>
    <w:rsid w:val="726FAD67"/>
    <w:rsid w:val="7276C1BB"/>
    <w:rsid w:val="72910FAE"/>
    <w:rsid w:val="72A16E72"/>
    <w:rsid w:val="72A67965"/>
    <w:rsid w:val="72BF32BC"/>
    <w:rsid w:val="72CBF648"/>
    <w:rsid w:val="72F8BDA2"/>
    <w:rsid w:val="73099432"/>
    <w:rsid w:val="7329F6C8"/>
    <w:rsid w:val="73418E1E"/>
    <w:rsid w:val="734C535B"/>
    <w:rsid w:val="7358112E"/>
    <w:rsid w:val="736E6462"/>
    <w:rsid w:val="737348C3"/>
    <w:rsid w:val="7374B2BE"/>
    <w:rsid w:val="737610F4"/>
    <w:rsid w:val="737EE083"/>
    <w:rsid w:val="738489A2"/>
    <w:rsid w:val="73865CD4"/>
    <w:rsid w:val="738BA11D"/>
    <w:rsid w:val="7397D208"/>
    <w:rsid w:val="73A9E786"/>
    <w:rsid w:val="73C3273F"/>
    <w:rsid w:val="73DA7E02"/>
    <w:rsid w:val="73DAE3A4"/>
    <w:rsid w:val="73EB5C69"/>
    <w:rsid w:val="73EC69BF"/>
    <w:rsid w:val="73F38339"/>
    <w:rsid w:val="73FFD21D"/>
    <w:rsid w:val="7404C3BD"/>
    <w:rsid w:val="74170C53"/>
    <w:rsid w:val="7442C5B5"/>
    <w:rsid w:val="744A8BAF"/>
    <w:rsid w:val="7453D951"/>
    <w:rsid w:val="747B7139"/>
    <w:rsid w:val="748BC5E1"/>
    <w:rsid w:val="74A61692"/>
    <w:rsid w:val="74B1CBD5"/>
    <w:rsid w:val="74B35C5B"/>
    <w:rsid w:val="74D5B956"/>
    <w:rsid w:val="74D6D02A"/>
    <w:rsid w:val="74D912E2"/>
    <w:rsid w:val="74E16CC8"/>
    <w:rsid w:val="74F4A3CE"/>
    <w:rsid w:val="75020220"/>
    <w:rsid w:val="7502E153"/>
    <w:rsid w:val="750545CC"/>
    <w:rsid w:val="751285AF"/>
    <w:rsid w:val="75193537"/>
    <w:rsid w:val="751A4305"/>
    <w:rsid w:val="751DDDBE"/>
    <w:rsid w:val="75202805"/>
    <w:rsid w:val="75274B25"/>
    <w:rsid w:val="75297419"/>
    <w:rsid w:val="7536F04A"/>
    <w:rsid w:val="753AB4E5"/>
    <w:rsid w:val="754545EE"/>
    <w:rsid w:val="75459DCE"/>
    <w:rsid w:val="754B3C0A"/>
    <w:rsid w:val="756B96CB"/>
    <w:rsid w:val="75945477"/>
    <w:rsid w:val="759C34A7"/>
    <w:rsid w:val="75AD6EB1"/>
    <w:rsid w:val="75C12ED8"/>
    <w:rsid w:val="75CD1DAD"/>
    <w:rsid w:val="75CE7C1A"/>
    <w:rsid w:val="75E708ED"/>
    <w:rsid w:val="75EEE94E"/>
    <w:rsid w:val="75F65DC9"/>
    <w:rsid w:val="7600DEEB"/>
    <w:rsid w:val="7604E00E"/>
    <w:rsid w:val="760584A9"/>
    <w:rsid w:val="76099E55"/>
    <w:rsid w:val="760F2436"/>
    <w:rsid w:val="76143285"/>
    <w:rsid w:val="76242D70"/>
    <w:rsid w:val="76259D35"/>
    <w:rsid w:val="7626DBF0"/>
    <w:rsid w:val="7628E23D"/>
    <w:rsid w:val="762D209B"/>
    <w:rsid w:val="7630ED72"/>
    <w:rsid w:val="76516EFA"/>
    <w:rsid w:val="76594FE9"/>
    <w:rsid w:val="7661F03E"/>
    <w:rsid w:val="7664283B"/>
    <w:rsid w:val="766B1E42"/>
    <w:rsid w:val="7673097A"/>
    <w:rsid w:val="76736C69"/>
    <w:rsid w:val="767F232D"/>
    <w:rsid w:val="76822DB5"/>
    <w:rsid w:val="76B81485"/>
    <w:rsid w:val="76BA0187"/>
    <w:rsid w:val="76C53561"/>
    <w:rsid w:val="76C8EA11"/>
    <w:rsid w:val="76D19F1B"/>
    <w:rsid w:val="76D764B7"/>
    <w:rsid w:val="76E215D1"/>
    <w:rsid w:val="76E2DD0B"/>
    <w:rsid w:val="76E6993C"/>
    <w:rsid w:val="76EC0677"/>
    <w:rsid w:val="76F2EDC9"/>
    <w:rsid w:val="76F71683"/>
    <w:rsid w:val="76FA04B4"/>
    <w:rsid w:val="76FFCF8E"/>
    <w:rsid w:val="7709D899"/>
    <w:rsid w:val="771AAFA8"/>
    <w:rsid w:val="771B15FE"/>
    <w:rsid w:val="772275D6"/>
    <w:rsid w:val="7724F864"/>
    <w:rsid w:val="775139C0"/>
    <w:rsid w:val="77659935"/>
    <w:rsid w:val="776932E7"/>
    <w:rsid w:val="7787213D"/>
    <w:rsid w:val="77881BE3"/>
    <w:rsid w:val="77AC7239"/>
    <w:rsid w:val="77B005B4"/>
    <w:rsid w:val="77B623DA"/>
    <w:rsid w:val="77BD3257"/>
    <w:rsid w:val="77BF92A4"/>
    <w:rsid w:val="77C67C51"/>
    <w:rsid w:val="77D26A87"/>
    <w:rsid w:val="77E61EB1"/>
    <w:rsid w:val="77EE981C"/>
    <w:rsid w:val="77F67A0F"/>
    <w:rsid w:val="77F691F9"/>
    <w:rsid w:val="7800CF12"/>
    <w:rsid w:val="7808BD13"/>
    <w:rsid w:val="780D5A18"/>
    <w:rsid w:val="781B1292"/>
    <w:rsid w:val="782A029D"/>
    <w:rsid w:val="7835284F"/>
    <w:rsid w:val="7835949B"/>
    <w:rsid w:val="784D2A94"/>
    <w:rsid w:val="78561CA3"/>
    <w:rsid w:val="7863C073"/>
    <w:rsid w:val="78664EAD"/>
    <w:rsid w:val="786925A9"/>
    <w:rsid w:val="787A7110"/>
    <w:rsid w:val="78B0FBDC"/>
    <w:rsid w:val="78B7CF69"/>
    <w:rsid w:val="78CE1EC7"/>
    <w:rsid w:val="78E467BF"/>
    <w:rsid w:val="78EBB5B2"/>
    <w:rsid w:val="78F1F13D"/>
    <w:rsid w:val="78F8ADC5"/>
    <w:rsid w:val="79018A5B"/>
    <w:rsid w:val="79068F98"/>
    <w:rsid w:val="7912542F"/>
    <w:rsid w:val="7917CB82"/>
    <w:rsid w:val="792EE827"/>
    <w:rsid w:val="794D344D"/>
    <w:rsid w:val="794D8652"/>
    <w:rsid w:val="794F02B4"/>
    <w:rsid w:val="795B7263"/>
    <w:rsid w:val="795E62E1"/>
    <w:rsid w:val="795EECF3"/>
    <w:rsid w:val="796225C0"/>
    <w:rsid w:val="79687700"/>
    <w:rsid w:val="796D5825"/>
    <w:rsid w:val="7977C6C3"/>
    <w:rsid w:val="798313BE"/>
    <w:rsid w:val="798921CD"/>
    <w:rsid w:val="79974104"/>
    <w:rsid w:val="799F0E82"/>
    <w:rsid w:val="79A31E71"/>
    <w:rsid w:val="79ACEDAB"/>
    <w:rsid w:val="79AD10B6"/>
    <w:rsid w:val="79BC24CF"/>
    <w:rsid w:val="79C08B05"/>
    <w:rsid w:val="79C4CAD1"/>
    <w:rsid w:val="79C668A1"/>
    <w:rsid w:val="79C79A1F"/>
    <w:rsid w:val="79CE7A68"/>
    <w:rsid w:val="79D96C15"/>
    <w:rsid w:val="79F49511"/>
    <w:rsid w:val="79F7105D"/>
    <w:rsid w:val="79FA6913"/>
    <w:rsid w:val="79FD017F"/>
    <w:rsid w:val="7A037205"/>
    <w:rsid w:val="7A0D7A7F"/>
    <w:rsid w:val="7A17E716"/>
    <w:rsid w:val="7A2128EF"/>
    <w:rsid w:val="7A28B814"/>
    <w:rsid w:val="7A2E761B"/>
    <w:rsid w:val="7A382542"/>
    <w:rsid w:val="7A39E887"/>
    <w:rsid w:val="7A406256"/>
    <w:rsid w:val="7A4277D3"/>
    <w:rsid w:val="7A5F9916"/>
    <w:rsid w:val="7A622B5C"/>
    <w:rsid w:val="7A63FC5C"/>
    <w:rsid w:val="7A690EF6"/>
    <w:rsid w:val="7A7F0051"/>
    <w:rsid w:val="7A8CABC8"/>
    <w:rsid w:val="7AB5E556"/>
    <w:rsid w:val="7ABC969A"/>
    <w:rsid w:val="7AC0EA9D"/>
    <w:rsid w:val="7ACBB37E"/>
    <w:rsid w:val="7AD8C814"/>
    <w:rsid w:val="7AF93B5C"/>
    <w:rsid w:val="7AFE2165"/>
    <w:rsid w:val="7B05C606"/>
    <w:rsid w:val="7B089FE1"/>
    <w:rsid w:val="7B209185"/>
    <w:rsid w:val="7B2BCC01"/>
    <w:rsid w:val="7B53B090"/>
    <w:rsid w:val="7B56F616"/>
    <w:rsid w:val="7B639178"/>
    <w:rsid w:val="7B6A585C"/>
    <w:rsid w:val="7B6B2CE6"/>
    <w:rsid w:val="7B7F6E81"/>
    <w:rsid w:val="7B8F33CB"/>
    <w:rsid w:val="7B93F527"/>
    <w:rsid w:val="7B9C4604"/>
    <w:rsid w:val="7B9FC84F"/>
    <w:rsid w:val="7BA2507C"/>
    <w:rsid w:val="7BB704AF"/>
    <w:rsid w:val="7BB9D2F9"/>
    <w:rsid w:val="7BCA467C"/>
    <w:rsid w:val="7BCE20CD"/>
    <w:rsid w:val="7BD7245E"/>
    <w:rsid w:val="7BDB03C7"/>
    <w:rsid w:val="7BE5158F"/>
    <w:rsid w:val="7BF29026"/>
    <w:rsid w:val="7BF4CDC9"/>
    <w:rsid w:val="7BF9A59F"/>
    <w:rsid w:val="7BFCCF65"/>
    <w:rsid w:val="7C0C0880"/>
    <w:rsid w:val="7C1B0176"/>
    <w:rsid w:val="7C20D35C"/>
    <w:rsid w:val="7C3F8411"/>
    <w:rsid w:val="7C5D19B0"/>
    <w:rsid w:val="7C5D5167"/>
    <w:rsid w:val="7C644402"/>
    <w:rsid w:val="7C68D789"/>
    <w:rsid w:val="7C6F02B0"/>
    <w:rsid w:val="7C7013F1"/>
    <w:rsid w:val="7C75FAA6"/>
    <w:rsid w:val="7C76C0A2"/>
    <w:rsid w:val="7C7CB5B3"/>
    <w:rsid w:val="7C867593"/>
    <w:rsid w:val="7C8A5DD0"/>
    <w:rsid w:val="7C8C65C3"/>
    <w:rsid w:val="7C92529A"/>
    <w:rsid w:val="7CB027C6"/>
    <w:rsid w:val="7CBBBAE3"/>
    <w:rsid w:val="7CBE05A3"/>
    <w:rsid w:val="7CBE71D7"/>
    <w:rsid w:val="7CC4DDC5"/>
    <w:rsid w:val="7CCEBBF6"/>
    <w:rsid w:val="7CCF1E7A"/>
    <w:rsid w:val="7CD5133F"/>
    <w:rsid w:val="7CDF40B9"/>
    <w:rsid w:val="7CE29BF4"/>
    <w:rsid w:val="7CE7A284"/>
    <w:rsid w:val="7CE7E384"/>
    <w:rsid w:val="7CE9C365"/>
    <w:rsid w:val="7CF6C77F"/>
    <w:rsid w:val="7CFC6B93"/>
    <w:rsid w:val="7D04330F"/>
    <w:rsid w:val="7D073204"/>
    <w:rsid w:val="7D0ECDE4"/>
    <w:rsid w:val="7D32BB82"/>
    <w:rsid w:val="7D349D91"/>
    <w:rsid w:val="7D365359"/>
    <w:rsid w:val="7D399032"/>
    <w:rsid w:val="7D48EFA0"/>
    <w:rsid w:val="7D5324C6"/>
    <w:rsid w:val="7D55C23A"/>
    <w:rsid w:val="7D5DDB99"/>
    <w:rsid w:val="7D6014D3"/>
    <w:rsid w:val="7D722CBD"/>
    <w:rsid w:val="7D853A24"/>
    <w:rsid w:val="7D897070"/>
    <w:rsid w:val="7D8DB8BB"/>
    <w:rsid w:val="7D94F4B3"/>
    <w:rsid w:val="7D97F60E"/>
    <w:rsid w:val="7DAEE74E"/>
    <w:rsid w:val="7DB8EECE"/>
    <w:rsid w:val="7DC76819"/>
    <w:rsid w:val="7DC86480"/>
    <w:rsid w:val="7DCB8B66"/>
    <w:rsid w:val="7DD7F135"/>
    <w:rsid w:val="7DE36BC4"/>
    <w:rsid w:val="7DE66D73"/>
    <w:rsid w:val="7DE71845"/>
    <w:rsid w:val="7DEA5C30"/>
    <w:rsid w:val="7E01117D"/>
    <w:rsid w:val="7E0DA292"/>
    <w:rsid w:val="7E23F66A"/>
    <w:rsid w:val="7E314F4A"/>
    <w:rsid w:val="7E33CCE4"/>
    <w:rsid w:val="7E4472A6"/>
    <w:rsid w:val="7E47048B"/>
    <w:rsid w:val="7E4FA078"/>
    <w:rsid w:val="7E700ABA"/>
    <w:rsid w:val="7E95DCAC"/>
    <w:rsid w:val="7EC25A49"/>
    <w:rsid w:val="7EC25E8E"/>
    <w:rsid w:val="7EC9CA9A"/>
    <w:rsid w:val="7ECB4F4F"/>
    <w:rsid w:val="7EDB476C"/>
    <w:rsid w:val="7EE6D68E"/>
    <w:rsid w:val="7EF845C6"/>
    <w:rsid w:val="7EFF397C"/>
    <w:rsid w:val="7F08243E"/>
    <w:rsid w:val="7F0CFA28"/>
    <w:rsid w:val="7F1F7D4E"/>
    <w:rsid w:val="7F37CA99"/>
    <w:rsid w:val="7F3A4592"/>
    <w:rsid w:val="7F40B739"/>
    <w:rsid w:val="7F46C98E"/>
    <w:rsid w:val="7F47D146"/>
    <w:rsid w:val="7F487C8D"/>
    <w:rsid w:val="7F4999F7"/>
    <w:rsid w:val="7F782A5F"/>
    <w:rsid w:val="7F834D4D"/>
    <w:rsid w:val="7F882DD4"/>
    <w:rsid w:val="7F9132AF"/>
    <w:rsid w:val="7F94F229"/>
    <w:rsid w:val="7F96D8F5"/>
    <w:rsid w:val="7F9A83FE"/>
    <w:rsid w:val="7FA435CD"/>
    <w:rsid w:val="7FAE972F"/>
    <w:rsid w:val="7FB3D6A4"/>
    <w:rsid w:val="7FC4B0CA"/>
    <w:rsid w:val="7FD00583"/>
    <w:rsid w:val="7FD3ADD5"/>
    <w:rsid w:val="7FDF39E0"/>
    <w:rsid w:val="7FEEBD86"/>
    <w:rsid w:val="7FF4FDB9"/>
    <w:rsid w:val="7FFD525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9C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FE4"/>
    <w:pPr>
      <w:jc w:val="both"/>
    </w:pPr>
    <w:rPr>
      <w:rFonts w:ascii="Times New Roman" w:hAnsi="Times New Roman" w:cs="Times New Roman"/>
      <w:sz w:val="24"/>
    </w:rPr>
  </w:style>
  <w:style w:type="paragraph" w:styleId="Heading1">
    <w:name w:val="heading 1"/>
    <w:basedOn w:val="ListParagraph"/>
    <w:next w:val="Normal"/>
    <w:link w:val="Heading1Char"/>
    <w:uiPriority w:val="9"/>
    <w:qFormat/>
    <w:rsid w:val="00002B1E"/>
    <w:pPr>
      <w:numPr>
        <w:numId w:val="76"/>
      </w:numPr>
      <w:spacing w:before="240" w:after="120"/>
      <w:outlineLvl w:val="0"/>
    </w:pPr>
    <w:rPr>
      <w:b/>
    </w:rPr>
  </w:style>
  <w:style w:type="paragraph" w:styleId="Heading2">
    <w:name w:val="heading 2"/>
    <w:basedOn w:val="Heading1"/>
    <w:next w:val="Normal"/>
    <w:link w:val="Heading2Char"/>
    <w:uiPriority w:val="9"/>
    <w:unhideWhenUsed/>
    <w:qFormat/>
    <w:rsid w:val="00002B1E"/>
    <w:pPr>
      <w:numPr>
        <w:ilvl w:val="1"/>
      </w:numPr>
      <w:tabs>
        <w:tab w:val="num" w:pos="360"/>
      </w:tabs>
      <w:outlineLvl w:val="1"/>
    </w:pPr>
  </w:style>
  <w:style w:type="paragraph" w:styleId="Heading3">
    <w:name w:val="heading 3"/>
    <w:basedOn w:val="Normal"/>
    <w:next w:val="Normal"/>
    <w:link w:val="Heading3Char"/>
    <w:uiPriority w:val="9"/>
    <w:unhideWhenUsed/>
    <w:qFormat/>
    <w:rsid w:val="001C05EF"/>
    <w:pPr>
      <w:keepNext/>
      <w:keepLines/>
      <w:numPr>
        <w:ilvl w:val="2"/>
        <w:numId w:val="76"/>
      </w:numPr>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C05EF"/>
    <w:pPr>
      <w:keepNext/>
      <w:keepLines/>
      <w:numPr>
        <w:ilvl w:val="3"/>
        <w:numId w:val="76"/>
      </w:numPr>
      <w:spacing w:before="40" w:after="0"/>
      <w:outlineLvl w:val="3"/>
    </w:pPr>
    <w:rPr>
      <w:rFonts w:asciiTheme="majorHAnsi" w:eastAsiaTheme="majorEastAsia" w:hAnsiTheme="majorHAnsi" w:cstheme="majorBidi"/>
      <w:i/>
      <w:color w:val="2F5496" w:themeColor="accent1" w:themeShade="BF"/>
    </w:rPr>
  </w:style>
  <w:style w:type="paragraph" w:styleId="Heading5">
    <w:name w:val="heading 5"/>
    <w:basedOn w:val="Normal"/>
    <w:next w:val="Normal"/>
    <w:link w:val="Heading5Char"/>
    <w:uiPriority w:val="9"/>
    <w:unhideWhenUsed/>
    <w:qFormat/>
    <w:rsid w:val="001C05EF"/>
    <w:pPr>
      <w:keepNext/>
      <w:keepLines/>
      <w:numPr>
        <w:ilvl w:val="4"/>
        <w:numId w:val="7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1C05EF"/>
    <w:pPr>
      <w:keepNext/>
      <w:keepLines/>
      <w:numPr>
        <w:ilvl w:val="5"/>
        <w:numId w:val="7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C05EF"/>
    <w:pPr>
      <w:keepNext/>
      <w:keepLines/>
      <w:numPr>
        <w:ilvl w:val="6"/>
        <w:numId w:val="76"/>
      </w:numPr>
      <w:spacing w:before="40" w:after="0"/>
      <w:outlineLvl w:val="6"/>
    </w:pPr>
    <w:rPr>
      <w:rFonts w:asciiTheme="majorHAnsi" w:eastAsiaTheme="majorEastAsia" w:hAnsiTheme="majorHAnsi" w:cstheme="majorBidi"/>
      <w:i/>
      <w:color w:val="1F3763" w:themeColor="accent1" w:themeShade="7F"/>
    </w:rPr>
  </w:style>
  <w:style w:type="paragraph" w:styleId="Heading8">
    <w:name w:val="heading 8"/>
    <w:basedOn w:val="Normal"/>
    <w:next w:val="Normal"/>
    <w:link w:val="Heading8Char"/>
    <w:uiPriority w:val="9"/>
    <w:semiHidden/>
    <w:unhideWhenUsed/>
    <w:qFormat/>
    <w:rsid w:val="001C05EF"/>
    <w:pPr>
      <w:keepNext/>
      <w:keepLines/>
      <w:numPr>
        <w:ilvl w:val="7"/>
        <w:numId w:val="76"/>
      </w:numPr>
      <w:spacing w:before="40" w:after="0"/>
      <w:outlineLvl w:val="7"/>
    </w:pPr>
    <w:rPr>
      <w:rFonts w:asciiTheme="majorHAnsi" w:eastAsiaTheme="majorEastAsia" w:hAnsiTheme="majorHAnsi" w:cstheme="majorBidi"/>
      <w:color w:val="272727" w:themeColor="text1" w:themeTint="D8"/>
      <w:sz w:val="21"/>
    </w:rPr>
  </w:style>
  <w:style w:type="paragraph" w:styleId="Heading9">
    <w:name w:val="heading 9"/>
    <w:basedOn w:val="Normal"/>
    <w:next w:val="Normal"/>
    <w:link w:val="Heading9Char"/>
    <w:uiPriority w:val="9"/>
    <w:semiHidden/>
    <w:unhideWhenUsed/>
    <w:qFormat/>
    <w:rsid w:val="001C05EF"/>
    <w:pPr>
      <w:keepNext/>
      <w:keepLines/>
      <w:numPr>
        <w:ilvl w:val="8"/>
        <w:numId w:val="76"/>
      </w:numPr>
      <w:spacing w:before="40" w:after="0"/>
      <w:outlineLvl w:val="8"/>
    </w:pPr>
    <w:rPr>
      <w:rFonts w:asciiTheme="majorHAnsi" w:eastAsiaTheme="majorEastAsia" w:hAnsiTheme="majorHAnsi" w:cstheme="majorBidi"/>
      <w:i/>
      <w:color w:val="272727" w:themeColor="text1" w:themeTint="D8"/>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10702"/>
    <w:pPr>
      <w:numPr>
        <w:numId w:val="5"/>
      </w:numPr>
      <w:contextualSpacing/>
    </w:pPr>
  </w:style>
  <w:style w:type="character" w:customStyle="1" w:styleId="Heading1Char">
    <w:name w:val="Heading 1 Char"/>
    <w:basedOn w:val="DefaultParagraphFont"/>
    <w:link w:val="Heading1"/>
    <w:uiPriority w:val="9"/>
    <w:rsid w:val="00E35FB1"/>
    <w:rPr>
      <w:rFonts w:ascii="Times New Roman" w:hAnsi="Times New Roman" w:cs="Times New Roman"/>
      <w:b/>
      <w:sz w:val="24"/>
    </w:rPr>
  </w:style>
  <w:style w:type="character" w:customStyle="1" w:styleId="Heading2Char">
    <w:name w:val="Heading 2 Char"/>
    <w:basedOn w:val="DefaultParagraphFont"/>
    <w:link w:val="Heading2"/>
    <w:uiPriority w:val="9"/>
    <w:rsid w:val="001C05EF"/>
    <w:rPr>
      <w:rFonts w:ascii="Times New Roman" w:hAnsi="Times New Roman" w:cs="Times New Roman"/>
      <w:b/>
      <w:sz w:val="24"/>
    </w:rPr>
  </w:style>
  <w:style w:type="character" w:customStyle="1" w:styleId="Heading3Char">
    <w:name w:val="Heading 3 Char"/>
    <w:basedOn w:val="DefaultParagraphFont"/>
    <w:link w:val="Heading3"/>
    <w:uiPriority w:val="9"/>
    <w:rsid w:val="001C05EF"/>
    <w:rPr>
      <w:rFonts w:asciiTheme="majorHAnsi" w:eastAsiaTheme="majorEastAsia" w:hAnsiTheme="majorHAnsi" w:cstheme="majorBidi"/>
      <w:color w:val="1F3763" w:themeColor="accent1" w:themeShade="7F"/>
      <w:sz w:val="24"/>
    </w:rPr>
  </w:style>
  <w:style w:type="character" w:customStyle="1" w:styleId="Heading4Char">
    <w:name w:val="Heading 4 Char"/>
    <w:basedOn w:val="DefaultParagraphFont"/>
    <w:link w:val="Heading4"/>
    <w:uiPriority w:val="9"/>
    <w:rsid w:val="001C05EF"/>
    <w:rPr>
      <w:rFonts w:asciiTheme="majorHAnsi" w:eastAsiaTheme="majorEastAsia" w:hAnsiTheme="majorHAnsi" w:cstheme="majorBidi"/>
      <w:i/>
      <w:color w:val="2F5496" w:themeColor="accent1" w:themeShade="BF"/>
      <w:sz w:val="24"/>
    </w:rPr>
  </w:style>
  <w:style w:type="character" w:customStyle="1" w:styleId="Heading5Char">
    <w:name w:val="Heading 5 Char"/>
    <w:basedOn w:val="DefaultParagraphFont"/>
    <w:link w:val="Heading5"/>
    <w:uiPriority w:val="9"/>
    <w:rsid w:val="001C05EF"/>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rsid w:val="001C05EF"/>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1C05EF"/>
    <w:rPr>
      <w:rFonts w:asciiTheme="majorHAnsi" w:eastAsiaTheme="majorEastAsia" w:hAnsiTheme="majorHAnsi" w:cstheme="majorBidi"/>
      <w:i/>
      <w:color w:val="1F3763" w:themeColor="accent1" w:themeShade="7F"/>
      <w:sz w:val="24"/>
    </w:rPr>
  </w:style>
  <w:style w:type="character" w:customStyle="1" w:styleId="Heading8Char">
    <w:name w:val="Heading 8 Char"/>
    <w:basedOn w:val="DefaultParagraphFont"/>
    <w:link w:val="Heading8"/>
    <w:uiPriority w:val="9"/>
    <w:semiHidden/>
    <w:rsid w:val="001C05EF"/>
    <w:rPr>
      <w:rFonts w:asciiTheme="majorHAnsi" w:eastAsiaTheme="majorEastAsia" w:hAnsiTheme="majorHAnsi" w:cstheme="majorBidi"/>
      <w:color w:val="272727" w:themeColor="text1" w:themeTint="D8"/>
      <w:sz w:val="21"/>
    </w:rPr>
  </w:style>
  <w:style w:type="character" w:customStyle="1" w:styleId="Heading9Char">
    <w:name w:val="Heading 9 Char"/>
    <w:basedOn w:val="DefaultParagraphFont"/>
    <w:link w:val="Heading9"/>
    <w:uiPriority w:val="9"/>
    <w:semiHidden/>
    <w:rsid w:val="001C05EF"/>
    <w:rPr>
      <w:rFonts w:asciiTheme="majorHAnsi" w:eastAsiaTheme="majorEastAsia" w:hAnsiTheme="majorHAnsi" w:cstheme="majorBidi"/>
      <w:i/>
      <w:color w:val="272727" w:themeColor="text1" w:themeTint="D8"/>
      <w:sz w:val="21"/>
    </w:rPr>
  </w:style>
  <w:style w:type="paragraph" w:customStyle="1" w:styleId="LegalNumPar">
    <w:name w:val="LegalNumPar"/>
    <w:basedOn w:val="Normal"/>
    <w:rsid w:val="001501D3"/>
    <w:pPr>
      <w:numPr>
        <w:numId w:val="10"/>
      </w:numPr>
      <w:spacing w:line="360" w:lineRule="auto"/>
    </w:pPr>
  </w:style>
  <w:style w:type="paragraph" w:customStyle="1" w:styleId="LegalNumPar2">
    <w:name w:val="LegalNumPar2"/>
    <w:basedOn w:val="Normal"/>
    <w:rsid w:val="001501D3"/>
    <w:pPr>
      <w:numPr>
        <w:ilvl w:val="1"/>
        <w:numId w:val="11"/>
      </w:numPr>
      <w:spacing w:line="360" w:lineRule="auto"/>
    </w:pPr>
  </w:style>
  <w:style w:type="paragraph" w:customStyle="1" w:styleId="LegalNumPar3">
    <w:name w:val="LegalNumPar3"/>
    <w:basedOn w:val="Normal"/>
    <w:rsid w:val="001501D3"/>
    <w:pPr>
      <w:numPr>
        <w:ilvl w:val="2"/>
        <w:numId w:val="11"/>
      </w:numPr>
      <w:spacing w:line="360" w:lineRule="auto"/>
    </w:pPr>
  </w:style>
  <w:style w:type="paragraph" w:styleId="Revision">
    <w:name w:val="Revision"/>
    <w:hidden/>
    <w:uiPriority w:val="99"/>
    <w:semiHidden/>
    <w:rsid w:val="00793846"/>
    <w:pPr>
      <w:spacing w:after="0" w:line="240" w:lineRule="auto"/>
    </w:pPr>
  </w:style>
  <w:style w:type="character" w:styleId="CommentReference">
    <w:name w:val="annotation reference"/>
    <w:basedOn w:val="DefaultParagraphFont"/>
    <w:uiPriority w:val="99"/>
    <w:semiHidden/>
    <w:unhideWhenUsed/>
    <w:rsid w:val="00793846"/>
    <w:rPr>
      <w:sz w:val="16"/>
    </w:rPr>
  </w:style>
  <w:style w:type="paragraph" w:styleId="CommentText">
    <w:name w:val="annotation text"/>
    <w:basedOn w:val="Normal"/>
    <w:link w:val="CommentTextChar"/>
    <w:uiPriority w:val="99"/>
    <w:unhideWhenUsed/>
    <w:rsid w:val="00793846"/>
    <w:pPr>
      <w:spacing w:line="240" w:lineRule="auto"/>
    </w:pPr>
    <w:rPr>
      <w:sz w:val="20"/>
    </w:rPr>
  </w:style>
  <w:style w:type="character" w:customStyle="1" w:styleId="CommentTextChar">
    <w:name w:val="Comment Text Char"/>
    <w:basedOn w:val="DefaultParagraphFont"/>
    <w:link w:val="CommentText"/>
    <w:uiPriority w:val="99"/>
    <w:rsid w:val="00793846"/>
    <w:rPr>
      <w:sz w:val="20"/>
    </w:rPr>
  </w:style>
  <w:style w:type="paragraph" w:styleId="CommentSubject">
    <w:name w:val="annotation subject"/>
    <w:basedOn w:val="CommentText"/>
    <w:next w:val="CommentText"/>
    <w:link w:val="CommentSubjectChar"/>
    <w:uiPriority w:val="99"/>
    <w:semiHidden/>
    <w:unhideWhenUsed/>
    <w:rsid w:val="00793846"/>
    <w:rPr>
      <w:b/>
    </w:rPr>
  </w:style>
  <w:style w:type="character" w:customStyle="1" w:styleId="CommentSubjectChar">
    <w:name w:val="Comment Subject Char"/>
    <w:basedOn w:val="CommentTextChar"/>
    <w:link w:val="CommentSubject"/>
    <w:uiPriority w:val="99"/>
    <w:semiHidden/>
    <w:rsid w:val="00793846"/>
    <w:rPr>
      <w:b/>
      <w:sz w:val="20"/>
    </w:rPr>
  </w:style>
  <w:style w:type="paragraph" w:styleId="Header">
    <w:name w:val="header"/>
    <w:basedOn w:val="Normal"/>
    <w:link w:val="HeaderChar"/>
    <w:uiPriority w:val="99"/>
    <w:unhideWhenUsed/>
    <w:rsid w:val="001D479F"/>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1D479F"/>
  </w:style>
  <w:style w:type="paragraph" w:styleId="Footer">
    <w:name w:val="footer"/>
    <w:basedOn w:val="Normal"/>
    <w:link w:val="FooterChar"/>
    <w:uiPriority w:val="99"/>
    <w:unhideWhenUsed/>
    <w:rsid w:val="001D47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479F"/>
  </w:style>
  <w:style w:type="character" w:customStyle="1" w:styleId="normaltextrun">
    <w:name w:val="normaltextrun"/>
    <w:basedOn w:val="DefaultParagraphFont"/>
    <w:rsid w:val="00D3476C"/>
  </w:style>
  <w:style w:type="character" w:customStyle="1" w:styleId="cf01">
    <w:name w:val="cf01"/>
    <w:basedOn w:val="DefaultParagraphFont"/>
    <w:rsid w:val="00701724"/>
    <w:rPr>
      <w:rFonts w:ascii="Segoe UI" w:hAnsi="Segoe UI" w:cs="Segoe UI" w:hint="default"/>
      <w:sz w:val="18"/>
    </w:rPr>
  </w:style>
  <w:style w:type="paragraph" w:styleId="TOCHeading">
    <w:name w:val="TOC Heading"/>
    <w:basedOn w:val="Heading1"/>
    <w:next w:val="Normal"/>
    <w:uiPriority w:val="39"/>
    <w:unhideWhenUsed/>
    <w:qFormat/>
    <w:rsid w:val="00452DD9"/>
    <w:pPr>
      <w:keepNext/>
      <w:keepLines/>
      <w:spacing w:after="0"/>
      <w:ind w:left="0" w:firstLine="0"/>
      <w:contextualSpacing w:val="0"/>
      <w:jc w:val="left"/>
      <w:outlineLvl w:val="9"/>
    </w:pPr>
    <w:rPr>
      <w:rFonts w:asciiTheme="majorHAnsi" w:eastAsiaTheme="majorEastAsia" w:hAnsiTheme="majorHAnsi" w:cstheme="majorBidi"/>
      <w:b w:val="0"/>
      <w:color w:val="2F5496" w:themeColor="accent1" w:themeShade="BF"/>
      <w:sz w:val="32"/>
    </w:rPr>
  </w:style>
  <w:style w:type="paragraph" w:styleId="TOC1">
    <w:name w:val="toc 1"/>
    <w:basedOn w:val="Normal"/>
    <w:next w:val="Normal"/>
    <w:autoRedefine/>
    <w:uiPriority w:val="39"/>
    <w:unhideWhenUsed/>
    <w:rsid w:val="003C4F67"/>
    <w:pPr>
      <w:tabs>
        <w:tab w:val="left" w:pos="440"/>
        <w:tab w:val="left" w:pos="480"/>
        <w:tab w:val="right" w:leader="dot" w:pos="9015"/>
      </w:tabs>
      <w:spacing w:after="100"/>
    </w:pPr>
  </w:style>
  <w:style w:type="paragraph" w:styleId="TOC2">
    <w:name w:val="toc 2"/>
    <w:basedOn w:val="Normal"/>
    <w:next w:val="Normal"/>
    <w:autoRedefine/>
    <w:uiPriority w:val="39"/>
    <w:unhideWhenUsed/>
    <w:rsid w:val="001A05EB"/>
    <w:pPr>
      <w:tabs>
        <w:tab w:val="left" w:pos="880"/>
        <w:tab w:val="right" w:leader="dot" w:pos="9016"/>
      </w:tabs>
      <w:spacing w:after="100"/>
      <w:ind w:left="220"/>
    </w:pPr>
  </w:style>
  <w:style w:type="character" w:styleId="Hyperlink">
    <w:name w:val="Hyperlink"/>
    <w:basedOn w:val="DefaultParagraphFont"/>
    <w:uiPriority w:val="99"/>
    <w:unhideWhenUsed/>
    <w:qFormat/>
    <w:rsid w:val="00452DD9"/>
    <w:rPr>
      <w:color w:val="0563C1" w:themeColor="hyperlink"/>
      <w:u w:val="single"/>
    </w:rPr>
  </w:style>
  <w:style w:type="paragraph" w:styleId="FootnoteText">
    <w:name w:val="footnote text"/>
    <w:basedOn w:val="Normal"/>
    <w:link w:val="FootnoteTextChar"/>
    <w:uiPriority w:val="99"/>
    <w:unhideWhenUsed/>
    <w:qFormat/>
    <w:rsid w:val="00452DD9"/>
    <w:pPr>
      <w:spacing w:after="0" w:line="240" w:lineRule="auto"/>
    </w:pPr>
    <w:rPr>
      <w:sz w:val="20"/>
    </w:rPr>
  </w:style>
  <w:style w:type="character" w:customStyle="1" w:styleId="FootnoteTextChar">
    <w:name w:val="Footnote Text Char"/>
    <w:basedOn w:val="DefaultParagraphFont"/>
    <w:link w:val="FootnoteText"/>
    <w:uiPriority w:val="99"/>
    <w:qFormat/>
    <w:rsid w:val="00452DD9"/>
    <w:rPr>
      <w:sz w:val="20"/>
    </w:rPr>
  </w:style>
  <w:style w:type="character" w:styleId="FootnoteReference">
    <w:name w:val="footnote reference"/>
    <w:basedOn w:val="DefaultParagraphFont"/>
    <w:link w:val="FootnoteReferenceCharCarCharCharCarCharCarCharCarCharCarCharCharCarCarCharCharCharCharCharCarCharCarCharCharCarCharCar"/>
    <w:uiPriority w:val="99"/>
    <w:unhideWhenUsed/>
    <w:qFormat/>
    <w:rsid w:val="00452DD9"/>
    <w:rPr>
      <w:vertAlign w:val="superscript"/>
    </w:rPr>
  </w:style>
  <w:style w:type="character" w:customStyle="1" w:styleId="UnresolvedMention1">
    <w:name w:val="Unresolved Mention1"/>
    <w:basedOn w:val="DefaultParagraphFont"/>
    <w:uiPriority w:val="99"/>
    <w:semiHidden/>
    <w:unhideWhenUsed/>
    <w:rsid w:val="00452DD9"/>
    <w:rPr>
      <w:color w:val="605E5C"/>
      <w:shd w:val="clear" w:color="auto" w:fill="E1DFDD"/>
    </w:rPr>
  </w:style>
  <w:style w:type="character" w:customStyle="1" w:styleId="eop">
    <w:name w:val="eop"/>
    <w:basedOn w:val="DefaultParagraphFont"/>
    <w:rsid w:val="002F5BD1"/>
  </w:style>
  <w:style w:type="character" w:customStyle="1" w:styleId="Mention1">
    <w:name w:val="Mention1"/>
    <w:basedOn w:val="DefaultParagraphFont"/>
    <w:uiPriority w:val="99"/>
    <w:unhideWhenUsed/>
    <w:rsid w:val="002072CB"/>
    <w:rPr>
      <w:color w:val="2B579A"/>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link w:val="FootnoteReference"/>
    <w:uiPriority w:val="99"/>
    <w:unhideWhenUsed/>
    <w:rsid w:val="00D2050D"/>
    <w:pPr>
      <w:spacing w:line="240" w:lineRule="exact"/>
    </w:pPr>
    <w:rPr>
      <w:rFonts w:asciiTheme="minorHAnsi" w:hAnsiTheme="minorHAnsi" w:cstheme="minorBidi"/>
      <w:sz w:val="22"/>
      <w:vertAlign w:val="superscript"/>
    </w:rPr>
  </w:style>
  <w:style w:type="paragraph" w:styleId="NormalWeb">
    <w:name w:val="Normal (Web)"/>
    <w:basedOn w:val="Normal"/>
    <w:uiPriority w:val="99"/>
    <w:unhideWhenUsed/>
    <w:rsid w:val="009B77EB"/>
    <w:pPr>
      <w:spacing w:before="100" w:beforeAutospacing="1" w:after="100" w:afterAutospacing="1" w:line="240" w:lineRule="auto"/>
      <w:jc w:val="left"/>
    </w:pPr>
  </w:style>
  <w:style w:type="paragraph" w:customStyle="1" w:styleId="pf0">
    <w:name w:val="pf0"/>
    <w:basedOn w:val="Normal"/>
    <w:rsid w:val="002130C1"/>
    <w:pPr>
      <w:spacing w:before="100" w:beforeAutospacing="1" w:after="100" w:afterAutospacing="1" w:line="240" w:lineRule="auto"/>
      <w:jc w:val="left"/>
    </w:pPr>
  </w:style>
  <w:style w:type="paragraph" w:styleId="TOC3">
    <w:name w:val="toc 3"/>
    <w:basedOn w:val="Normal"/>
    <w:next w:val="Normal"/>
    <w:autoRedefine/>
    <w:uiPriority w:val="39"/>
    <w:unhideWhenUsed/>
    <w:rsid w:val="00D05E02"/>
    <w:pPr>
      <w:tabs>
        <w:tab w:val="left" w:pos="1320"/>
        <w:tab w:val="right" w:leader="dot" w:pos="9016"/>
      </w:tabs>
      <w:spacing w:after="100"/>
      <w:ind w:left="480"/>
    </w:pPr>
  </w:style>
  <w:style w:type="character" w:styleId="FollowedHyperlink">
    <w:name w:val="FollowedHyperlink"/>
    <w:basedOn w:val="DefaultParagraphFont"/>
    <w:uiPriority w:val="99"/>
    <w:semiHidden/>
    <w:unhideWhenUsed/>
    <w:rsid w:val="00C03A9F"/>
    <w:rPr>
      <w:color w:val="954F72" w:themeColor="followedHyperlink"/>
      <w:u w:val="single"/>
    </w:rPr>
  </w:style>
  <w:style w:type="paragraph" w:styleId="Caption">
    <w:name w:val="caption"/>
    <w:basedOn w:val="Normal"/>
    <w:next w:val="Normal"/>
    <w:uiPriority w:val="35"/>
    <w:unhideWhenUsed/>
    <w:qFormat/>
    <w:rsid w:val="004A0042"/>
    <w:pPr>
      <w:spacing w:after="200" w:line="240" w:lineRule="auto"/>
    </w:pPr>
    <w:rPr>
      <w:i/>
      <w:color w:val="44546A" w:themeColor="text2"/>
      <w:sz w:val="18"/>
    </w:rPr>
  </w:style>
  <w:style w:type="table" w:styleId="TableGrid">
    <w:name w:val="Table Grid"/>
    <w:basedOn w:val="TableNormal"/>
    <w:uiPriority w:val="39"/>
    <w:rsid w:val="00014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810A3"/>
    <w:rPr>
      <w:b/>
    </w:rPr>
  </w:style>
  <w:style w:type="paragraph" w:customStyle="1" w:styleId="p1">
    <w:name w:val="p1"/>
    <w:basedOn w:val="Normal"/>
    <w:rsid w:val="00A32FDD"/>
    <w:pPr>
      <w:spacing w:before="100" w:beforeAutospacing="1" w:after="100" w:afterAutospacing="1" w:line="240" w:lineRule="auto"/>
      <w:jc w:val="left"/>
    </w:pPr>
    <w:rPr>
      <w:rFonts w:ascii="Calibri" w:hAnsi="Calibri" w:cs="Calibri"/>
      <w:sz w:val="22"/>
    </w:rPr>
  </w:style>
  <w:style w:type="character" w:customStyle="1" w:styleId="s1">
    <w:name w:val="s1"/>
    <w:basedOn w:val="DefaultParagraphFont"/>
    <w:rsid w:val="00A32FDD"/>
  </w:style>
  <w:style w:type="paragraph" w:customStyle="1" w:styleId="CharCharChar1">
    <w:name w:val="Char Char Char1"/>
    <w:basedOn w:val="Normal"/>
    <w:uiPriority w:val="99"/>
    <w:rsid w:val="00C1397E"/>
    <w:pPr>
      <w:spacing w:line="240" w:lineRule="exact"/>
    </w:pPr>
    <w:rPr>
      <w:vertAlign w:val="superscript"/>
    </w:rPr>
  </w:style>
  <w:style w:type="paragraph" w:customStyle="1" w:styleId="paragraph">
    <w:name w:val="paragraph"/>
    <w:basedOn w:val="Normal"/>
    <w:rsid w:val="009F6DFC"/>
    <w:pPr>
      <w:spacing w:before="100" w:beforeAutospacing="1" w:after="100" w:afterAutospacing="1" w:line="240" w:lineRule="auto"/>
      <w:jc w:val="left"/>
    </w:pPr>
  </w:style>
  <w:style w:type="character" w:customStyle="1" w:styleId="superscript">
    <w:name w:val="superscript"/>
    <w:basedOn w:val="DefaultParagraphFont"/>
    <w:rsid w:val="009F6DFC"/>
  </w:style>
  <w:style w:type="character" w:customStyle="1" w:styleId="Marker">
    <w:name w:val="Marker"/>
    <w:basedOn w:val="DefaultParagraphFont"/>
    <w:rsid w:val="000A37A5"/>
    <w:rPr>
      <w:color w:val="0000FF"/>
      <w:shd w:val="clear" w:color="auto" w:fill="auto"/>
    </w:rPr>
  </w:style>
  <w:style w:type="paragraph" w:customStyle="1" w:styleId="Pagedecouverture">
    <w:name w:val="Page de couverture"/>
    <w:basedOn w:val="Normal"/>
    <w:next w:val="Normal"/>
    <w:rsid w:val="000A37A5"/>
    <w:pPr>
      <w:spacing w:after="0" w:line="240" w:lineRule="auto"/>
    </w:pPr>
  </w:style>
  <w:style w:type="paragraph" w:customStyle="1" w:styleId="FooterCoverPage">
    <w:name w:val="Footer Cover Page"/>
    <w:basedOn w:val="Normal"/>
    <w:link w:val="FooterCoverPageChar"/>
    <w:rsid w:val="000A37A5"/>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0A37A5"/>
    <w:rPr>
      <w:rFonts w:ascii="Times New Roman" w:hAnsi="Times New Roman" w:cs="Times New Roman"/>
      <w:sz w:val="24"/>
    </w:rPr>
  </w:style>
  <w:style w:type="paragraph" w:customStyle="1" w:styleId="FooterSensitivity">
    <w:name w:val="Footer Sensitivity"/>
    <w:basedOn w:val="Normal"/>
    <w:link w:val="FooterSensitivityChar"/>
    <w:rsid w:val="000A37A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0A37A5"/>
    <w:rPr>
      <w:rFonts w:ascii="Times New Roman" w:hAnsi="Times New Roman" w:cs="Times New Roman"/>
      <w:b/>
      <w:sz w:val="32"/>
    </w:rPr>
  </w:style>
  <w:style w:type="paragraph" w:customStyle="1" w:styleId="HeaderCoverPage">
    <w:name w:val="Header Cover Page"/>
    <w:basedOn w:val="Normal"/>
    <w:link w:val="HeaderCoverPageChar"/>
    <w:rsid w:val="000A37A5"/>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0A37A5"/>
    <w:rPr>
      <w:rFonts w:ascii="Times New Roman" w:hAnsi="Times New Roman" w:cs="Times New Roman"/>
      <w:sz w:val="24"/>
    </w:rPr>
  </w:style>
  <w:style w:type="paragraph" w:customStyle="1" w:styleId="HeaderSensitivity">
    <w:name w:val="Header Sensitivity"/>
    <w:basedOn w:val="Normal"/>
    <w:link w:val="HeaderSensitivityChar"/>
    <w:rsid w:val="000A37A5"/>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0A37A5"/>
    <w:rPr>
      <w:rFonts w:ascii="Times New Roman" w:hAnsi="Times New Roman" w:cs="Times New Roman"/>
      <w:b/>
      <w:sz w:val="32"/>
    </w:rPr>
  </w:style>
  <w:style w:type="paragraph" w:customStyle="1" w:styleId="HeaderSensitivityRight">
    <w:name w:val="Header Sensitivity Right"/>
    <w:basedOn w:val="Normal"/>
    <w:link w:val="HeaderSensitivityRightChar"/>
    <w:rsid w:val="00EC4B5C"/>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0A37A5"/>
    <w:rPr>
      <w:rFonts w:ascii="Times New Roman" w:hAnsi="Times New Roman" w:cs="Times New Roman"/>
      <w:sz w:val="28"/>
    </w:rPr>
  </w:style>
  <w:style w:type="paragraph" w:customStyle="1" w:styleId="Disclaimer">
    <w:name w:val="Disclaimer"/>
    <w:basedOn w:val="Normal"/>
    <w:rsid w:val="00702E6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style>
  <w:style w:type="paragraph" w:customStyle="1" w:styleId="SecurityMarking">
    <w:name w:val="SecurityMarking"/>
    <w:basedOn w:val="Normal"/>
    <w:rsid w:val="00EC4B5C"/>
    <w:pPr>
      <w:spacing w:after="0" w:line="276" w:lineRule="auto"/>
      <w:ind w:left="5103"/>
      <w:jc w:val="left"/>
    </w:pPr>
    <w:rPr>
      <w:sz w:val="28"/>
    </w:rPr>
  </w:style>
  <w:style w:type="paragraph" w:customStyle="1" w:styleId="DateMarking">
    <w:name w:val="DateMarking"/>
    <w:basedOn w:val="Normal"/>
    <w:rsid w:val="00EC4B5C"/>
    <w:pPr>
      <w:spacing w:after="0" w:line="276" w:lineRule="auto"/>
      <w:ind w:left="5103"/>
      <w:jc w:val="left"/>
    </w:pPr>
    <w:rPr>
      <w:i/>
      <w:sz w:val="28"/>
    </w:rPr>
  </w:style>
  <w:style w:type="paragraph" w:customStyle="1" w:styleId="ReleasableTo">
    <w:name w:val="ReleasableTo"/>
    <w:basedOn w:val="Normal"/>
    <w:rsid w:val="00EC4B5C"/>
    <w:pPr>
      <w:spacing w:after="0" w:line="276" w:lineRule="auto"/>
      <w:ind w:left="5103"/>
      <w:jc w:val="left"/>
    </w:pPr>
    <w:rPr>
      <w:i/>
      <w:sz w:val="28"/>
    </w:rPr>
  </w:style>
  <w:style w:type="character" w:customStyle="1" w:styleId="ListParagraphChar">
    <w:name w:val="List Paragraph Char"/>
    <w:link w:val="ListParagraph"/>
    <w:uiPriority w:val="34"/>
    <w:qFormat/>
    <w:rsid w:val="006A7C7D"/>
    <w:rPr>
      <w:rFonts w:ascii="Times New Roman" w:hAnsi="Times New Roman" w:cs="Times New Roman"/>
      <w:sz w:val="24"/>
    </w:rPr>
  </w:style>
  <w:style w:type="character" w:customStyle="1" w:styleId="tabchar">
    <w:name w:val="tabchar"/>
    <w:basedOn w:val="DefaultParagraphFont"/>
    <w:rsid w:val="00281CC2"/>
  </w:style>
  <w:style w:type="paragraph" w:styleId="BodyText">
    <w:name w:val="Body Text"/>
    <w:basedOn w:val="Normal"/>
    <w:link w:val="BodyTextChar"/>
    <w:uiPriority w:val="1"/>
    <w:qFormat/>
    <w:rsid w:val="00DF200D"/>
    <w:pPr>
      <w:widowControl w:val="0"/>
      <w:autoSpaceDE w:val="0"/>
      <w:autoSpaceDN w:val="0"/>
      <w:spacing w:after="0" w:line="240" w:lineRule="auto"/>
      <w:ind w:left="820" w:hanging="360"/>
    </w:pPr>
  </w:style>
  <w:style w:type="character" w:customStyle="1" w:styleId="BodyTextChar">
    <w:name w:val="Body Text Char"/>
    <w:basedOn w:val="DefaultParagraphFont"/>
    <w:link w:val="BodyText"/>
    <w:uiPriority w:val="1"/>
    <w:rsid w:val="00DF200D"/>
    <w:rPr>
      <w:rFonts w:ascii="Times New Roman" w:eastAsia="Times New Roman" w:hAnsi="Times New Roman" w:cs="Times New Roman"/>
      <w:sz w:val="24"/>
    </w:rPr>
  </w:style>
  <w:style w:type="character" w:customStyle="1" w:styleId="ui-provider">
    <w:name w:val="ui-provider"/>
    <w:basedOn w:val="DefaultParagraphFont"/>
    <w:rsid w:val="00074C61"/>
  </w:style>
  <w:style w:type="paragraph" w:customStyle="1" w:styleId="Default">
    <w:name w:val="Default"/>
    <w:rsid w:val="00D92D7F"/>
    <w:pPr>
      <w:autoSpaceDE w:val="0"/>
      <w:autoSpaceDN w:val="0"/>
      <w:adjustRightInd w:val="0"/>
      <w:spacing w:after="0" w:line="240" w:lineRule="auto"/>
    </w:pPr>
    <w:rPr>
      <w:rFonts w:ascii="Times New Roman" w:eastAsia="Times New Roman" w:hAnsi="Times New Roman" w:cs="Times New Roman"/>
      <w:sz w:val="24"/>
    </w:rPr>
  </w:style>
  <w:style w:type="character" w:customStyle="1" w:styleId="UnresolvedMention2">
    <w:name w:val="Unresolved Mention2"/>
    <w:basedOn w:val="DefaultParagraphFont"/>
    <w:uiPriority w:val="99"/>
    <w:semiHidden/>
    <w:unhideWhenUsed/>
    <w:rsid w:val="00482E88"/>
    <w:rPr>
      <w:color w:val="605E5C"/>
      <w:shd w:val="clear" w:color="auto" w:fill="E1DFDD"/>
    </w:rPr>
  </w:style>
  <w:style w:type="character" w:customStyle="1" w:styleId="Mention2">
    <w:name w:val="Mention2"/>
    <w:basedOn w:val="DefaultParagraphFont"/>
    <w:uiPriority w:val="99"/>
    <w:unhideWhenUsed/>
    <w:rsid w:val="00482E88"/>
    <w:rPr>
      <w:color w:val="2B579A"/>
      <w:shd w:val="clear" w:color="auto" w:fill="E1DFDD"/>
    </w:rPr>
  </w:style>
  <w:style w:type="paragraph" w:styleId="BalloonText">
    <w:name w:val="Balloon Text"/>
    <w:basedOn w:val="Normal"/>
    <w:link w:val="BalloonTextChar"/>
    <w:uiPriority w:val="99"/>
    <w:semiHidden/>
    <w:unhideWhenUsed/>
    <w:rsid w:val="003424A8"/>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3424A8"/>
    <w:rPr>
      <w:rFonts w:ascii="Segoe UI" w:hAnsi="Segoe UI" w:cs="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9599">
      <w:bodyDiv w:val="1"/>
      <w:marLeft w:val="0"/>
      <w:marRight w:val="0"/>
      <w:marTop w:val="0"/>
      <w:marBottom w:val="0"/>
      <w:divBdr>
        <w:top w:val="none" w:sz="0" w:space="0" w:color="auto"/>
        <w:left w:val="none" w:sz="0" w:space="0" w:color="auto"/>
        <w:bottom w:val="none" w:sz="0" w:space="0" w:color="auto"/>
        <w:right w:val="none" w:sz="0" w:space="0" w:color="auto"/>
      </w:divBdr>
    </w:div>
    <w:div w:id="88503858">
      <w:bodyDiv w:val="1"/>
      <w:marLeft w:val="0"/>
      <w:marRight w:val="0"/>
      <w:marTop w:val="0"/>
      <w:marBottom w:val="0"/>
      <w:divBdr>
        <w:top w:val="none" w:sz="0" w:space="0" w:color="auto"/>
        <w:left w:val="none" w:sz="0" w:space="0" w:color="auto"/>
        <w:bottom w:val="none" w:sz="0" w:space="0" w:color="auto"/>
        <w:right w:val="none" w:sz="0" w:space="0" w:color="auto"/>
      </w:divBdr>
    </w:div>
    <w:div w:id="114982903">
      <w:bodyDiv w:val="1"/>
      <w:marLeft w:val="0"/>
      <w:marRight w:val="0"/>
      <w:marTop w:val="0"/>
      <w:marBottom w:val="0"/>
      <w:divBdr>
        <w:top w:val="none" w:sz="0" w:space="0" w:color="auto"/>
        <w:left w:val="none" w:sz="0" w:space="0" w:color="auto"/>
        <w:bottom w:val="none" w:sz="0" w:space="0" w:color="auto"/>
        <w:right w:val="none" w:sz="0" w:space="0" w:color="auto"/>
      </w:divBdr>
    </w:div>
    <w:div w:id="203837576">
      <w:bodyDiv w:val="1"/>
      <w:marLeft w:val="0"/>
      <w:marRight w:val="0"/>
      <w:marTop w:val="0"/>
      <w:marBottom w:val="0"/>
      <w:divBdr>
        <w:top w:val="none" w:sz="0" w:space="0" w:color="auto"/>
        <w:left w:val="none" w:sz="0" w:space="0" w:color="auto"/>
        <w:bottom w:val="none" w:sz="0" w:space="0" w:color="auto"/>
        <w:right w:val="none" w:sz="0" w:space="0" w:color="auto"/>
      </w:divBdr>
    </w:div>
    <w:div w:id="227110763">
      <w:bodyDiv w:val="1"/>
      <w:marLeft w:val="0"/>
      <w:marRight w:val="0"/>
      <w:marTop w:val="0"/>
      <w:marBottom w:val="0"/>
      <w:divBdr>
        <w:top w:val="none" w:sz="0" w:space="0" w:color="auto"/>
        <w:left w:val="none" w:sz="0" w:space="0" w:color="auto"/>
        <w:bottom w:val="none" w:sz="0" w:space="0" w:color="auto"/>
        <w:right w:val="none" w:sz="0" w:space="0" w:color="auto"/>
      </w:divBdr>
    </w:div>
    <w:div w:id="274487956">
      <w:bodyDiv w:val="1"/>
      <w:marLeft w:val="0"/>
      <w:marRight w:val="0"/>
      <w:marTop w:val="0"/>
      <w:marBottom w:val="0"/>
      <w:divBdr>
        <w:top w:val="none" w:sz="0" w:space="0" w:color="auto"/>
        <w:left w:val="none" w:sz="0" w:space="0" w:color="auto"/>
        <w:bottom w:val="none" w:sz="0" w:space="0" w:color="auto"/>
        <w:right w:val="none" w:sz="0" w:space="0" w:color="auto"/>
      </w:divBdr>
    </w:div>
    <w:div w:id="401375083">
      <w:bodyDiv w:val="1"/>
      <w:marLeft w:val="0"/>
      <w:marRight w:val="0"/>
      <w:marTop w:val="0"/>
      <w:marBottom w:val="0"/>
      <w:divBdr>
        <w:top w:val="none" w:sz="0" w:space="0" w:color="auto"/>
        <w:left w:val="none" w:sz="0" w:space="0" w:color="auto"/>
        <w:bottom w:val="none" w:sz="0" w:space="0" w:color="auto"/>
        <w:right w:val="none" w:sz="0" w:space="0" w:color="auto"/>
      </w:divBdr>
    </w:div>
    <w:div w:id="448284730">
      <w:bodyDiv w:val="1"/>
      <w:marLeft w:val="0"/>
      <w:marRight w:val="0"/>
      <w:marTop w:val="0"/>
      <w:marBottom w:val="0"/>
      <w:divBdr>
        <w:top w:val="none" w:sz="0" w:space="0" w:color="auto"/>
        <w:left w:val="none" w:sz="0" w:space="0" w:color="auto"/>
        <w:bottom w:val="none" w:sz="0" w:space="0" w:color="auto"/>
        <w:right w:val="none" w:sz="0" w:space="0" w:color="auto"/>
      </w:divBdr>
    </w:div>
    <w:div w:id="617445385">
      <w:bodyDiv w:val="1"/>
      <w:marLeft w:val="0"/>
      <w:marRight w:val="0"/>
      <w:marTop w:val="0"/>
      <w:marBottom w:val="0"/>
      <w:divBdr>
        <w:top w:val="none" w:sz="0" w:space="0" w:color="auto"/>
        <w:left w:val="none" w:sz="0" w:space="0" w:color="auto"/>
        <w:bottom w:val="none" w:sz="0" w:space="0" w:color="auto"/>
        <w:right w:val="none" w:sz="0" w:space="0" w:color="auto"/>
      </w:divBdr>
    </w:div>
    <w:div w:id="640887034">
      <w:bodyDiv w:val="1"/>
      <w:marLeft w:val="0"/>
      <w:marRight w:val="0"/>
      <w:marTop w:val="0"/>
      <w:marBottom w:val="0"/>
      <w:divBdr>
        <w:top w:val="none" w:sz="0" w:space="0" w:color="auto"/>
        <w:left w:val="none" w:sz="0" w:space="0" w:color="auto"/>
        <w:bottom w:val="none" w:sz="0" w:space="0" w:color="auto"/>
        <w:right w:val="none" w:sz="0" w:space="0" w:color="auto"/>
      </w:divBdr>
    </w:div>
    <w:div w:id="656998788">
      <w:bodyDiv w:val="1"/>
      <w:marLeft w:val="0"/>
      <w:marRight w:val="0"/>
      <w:marTop w:val="0"/>
      <w:marBottom w:val="0"/>
      <w:divBdr>
        <w:top w:val="none" w:sz="0" w:space="0" w:color="auto"/>
        <w:left w:val="none" w:sz="0" w:space="0" w:color="auto"/>
        <w:bottom w:val="none" w:sz="0" w:space="0" w:color="auto"/>
        <w:right w:val="none" w:sz="0" w:space="0" w:color="auto"/>
      </w:divBdr>
    </w:div>
    <w:div w:id="740712100">
      <w:bodyDiv w:val="1"/>
      <w:marLeft w:val="0"/>
      <w:marRight w:val="0"/>
      <w:marTop w:val="0"/>
      <w:marBottom w:val="0"/>
      <w:divBdr>
        <w:top w:val="none" w:sz="0" w:space="0" w:color="auto"/>
        <w:left w:val="none" w:sz="0" w:space="0" w:color="auto"/>
        <w:bottom w:val="none" w:sz="0" w:space="0" w:color="auto"/>
        <w:right w:val="none" w:sz="0" w:space="0" w:color="auto"/>
      </w:divBdr>
      <w:divsChild>
        <w:div w:id="27920665">
          <w:marLeft w:val="0"/>
          <w:marRight w:val="0"/>
          <w:marTop w:val="0"/>
          <w:marBottom w:val="0"/>
          <w:divBdr>
            <w:top w:val="none" w:sz="0" w:space="0" w:color="auto"/>
            <w:left w:val="none" w:sz="0" w:space="0" w:color="auto"/>
            <w:bottom w:val="none" w:sz="0" w:space="0" w:color="auto"/>
            <w:right w:val="none" w:sz="0" w:space="0" w:color="auto"/>
          </w:divBdr>
        </w:div>
        <w:div w:id="558903834">
          <w:marLeft w:val="0"/>
          <w:marRight w:val="0"/>
          <w:marTop w:val="0"/>
          <w:marBottom w:val="0"/>
          <w:divBdr>
            <w:top w:val="none" w:sz="0" w:space="0" w:color="auto"/>
            <w:left w:val="none" w:sz="0" w:space="0" w:color="auto"/>
            <w:bottom w:val="none" w:sz="0" w:space="0" w:color="auto"/>
            <w:right w:val="none" w:sz="0" w:space="0" w:color="auto"/>
          </w:divBdr>
        </w:div>
        <w:div w:id="714543409">
          <w:marLeft w:val="0"/>
          <w:marRight w:val="0"/>
          <w:marTop w:val="0"/>
          <w:marBottom w:val="0"/>
          <w:divBdr>
            <w:top w:val="none" w:sz="0" w:space="0" w:color="auto"/>
            <w:left w:val="none" w:sz="0" w:space="0" w:color="auto"/>
            <w:bottom w:val="none" w:sz="0" w:space="0" w:color="auto"/>
            <w:right w:val="none" w:sz="0" w:space="0" w:color="auto"/>
          </w:divBdr>
        </w:div>
        <w:div w:id="794953329">
          <w:marLeft w:val="0"/>
          <w:marRight w:val="0"/>
          <w:marTop w:val="0"/>
          <w:marBottom w:val="0"/>
          <w:divBdr>
            <w:top w:val="none" w:sz="0" w:space="0" w:color="auto"/>
            <w:left w:val="none" w:sz="0" w:space="0" w:color="auto"/>
            <w:bottom w:val="none" w:sz="0" w:space="0" w:color="auto"/>
            <w:right w:val="none" w:sz="0" w:space="0" w:color="auto"/>
          </w:divBdr>
        </w:div>
        <w:div w:id="1868565426">
          <w:marLeft w:val="0"/>
          <w:marRight w:val="0"/>
          <w:marTop w:val="0"/>
          <w:marBottom w:val="0"/>
          <w:divBdr>
            <w:top w:val="none" w:sz="0" w:space="0" w:color="auto"/>
            <w:left w:val="none" w:sz="0" w:space="0" w:color="auto"/>
            <w:bottom w:val="none" w:sz="0" w:space="0" w:color="auto"/>
            <w:right w:val="none" w:sz="0" w:space="0" w:color="auto"/>
          </w:divBdr>
        </w:div>
      </w:divsChild>
    </w:div>
    <w:div w:id="756024956">
      <w:bodyDiv w:val="1"/>
      <w:marLeft w:val="0"/>
      <w:marRight w:val="0"/>
      <w:marTop w:val="0"/>
      <w:marBottom w:val="0"/>
      <w:divBdr>
        <w:top w:val="none" w:sz="0" w:space="0" w:color="auto"/>
        <w:left w:val="none" w:sz="0" w:space="0" w:color="auto"/>
        <w:bottom w:val="none" w:sz="0" w:space="0" w:color="auto"/>
        <w:right w:val="none" w:sz="0" w:space="0" w:color="auto"/>
      </w:divBdr>
    </w:div>
    <w:div w:id="756098631">
      <w:bodyDiv w:val="1"/>
      <w:marLeft w:val="0"/>
      <w:marRight w:val="0"/>
      <w:marTop w:val="0"/>
      <w:marBottom w:val="0"/>
      <w:divBdr>
        <w:top w:val="none" w:sz="0" w:space="0" w:color="auto"/>
        <w:left w:val="none" w:sz="0" w:space="0" w:color="auto"/>
        <w:bottom w:val="none" w:sz="0" w:space="0" w:color="auto"/>
        <w:right w:val="none" w:sz="0" w:space="0" w:color="auto"/>
      </w:divBdr>
    </w:div>
    <w:div w:id="820577510">
      <w:bodyDiv w:val="1"/>
      <w:marLeft w:val="0"/>
      <w:marRight w:val="0"/>
      <w:marTop w:val="0"/>
      <w:marBottom w:val="0"/>
      <w:divBdr>
        <w:top w:val="none" w:sz="0" w:space="0" w:color="auto"/>
        <w:left w:val="none" w:sz="0" w:space="0" w:color="auto"/>
        <w:bottom w:val="none" w:sz="0" w:space="0" w:color="auto"/>
        <w:right w:val="none" w:sz="0" w:space="0" w:color="auto"/>
      </w:divBdr>
      <w:divsChild>
        <w:div w:id="1422606976">
          <w:marLeft w:val="0"/>
          <w:marRight w:val="0"/>
          <w:marTop w:val="0"/>
          <w:marBottom w:val="0"/>
          <w:divBdr>
            <w:top w:val="none" w:sz="0" w:space="0" w:color="auto"/>
            <w:left w:val="none" w:sz="0" w:space="0" w:color="auto"/>
            <w:bottom w:val="none" w:sz="0" w:space="0" w:color="auto"/>
            <w:right w:val="none" w:sz="0" w:space="0" w:color="auto"/>
          </w:divBdr>
        </w:div>
        <w:div w:id="1974093103">
          <w:marLeft w:val="0"/>
          <w:marRight w:val="0"/>
          <w:marTop w:val="0"/>
          <w:marBottom w:val="0"/>
          <w:divBdr>
            <w:top w:val="none" w:sz="0" w:space="0" w:color="auto"/>
            <w:left w:val="none" w:sz="0" w:space="0" w:color="auto"/>
            <w:bottom w:val="none" w:sz="0" w:space="0" w:color="auto"/>
            <w:right w:val="none" w:sz="0" w:space="0" w:color="auto"/>
          </w:divBdr>
        </w:div>
        <w:div w:id="1994286170">
          <w:marLeft w:val="0"/>
          <w:marRight w:val="0"/>
          <w:marTop w:val="0"/>
          <w:marBottom w:val="0"/>
          <w:divBdr>
            <w:top w:val="none" w:sz="0" w:space="0" w:color="auto"/>
            <w:left w:val="none" w:sz="0" w:space="0" w:color="auto"/>
            <w:bottom w:val="none" w:sz="0" w:space="0" w:color="auto"/>
            <w:right w:val="none" w:sz="0" w:space="0" w:color="auto"/>
          </w:divBdr>
        </w:div>
        <w:div w:id="2031031343">
          <w:marLeft w:val="0"/>
          <w:marRight w:val="0"/>
          <w:marTop w:val="0"/>
          <w:marBottom w:val="0"/>
          <w:divBdr>
            <w:top w:val="none" w:sz="0" w:space="0" w:color="auto"/>
            <w:left w:val="none" w:sz="0" w:space="0" w:color="auto"/>
            <w:bottom w:val="none" w:sz="0" w:space="0" w:color="auto"/>
            <w:right w:val="none" w:sz="0" w:space="0" w:color="auto"/>
          </w:divBdr>
        </w:div>
      </w:divsChild>
    </w:div>
    <w:div w:id="823206018">
      <w:bodyDiv w:val="1"/>
      <w:marLeft w:val="0"/>
      <w:marRight w:val="0"/>
      <w:marTop w:val="0"/>
      <w:marBottom w:val="0"/>
      <w:divBdr>
        <w:top w:val="none" w:sz="0" w:space="0" w:color="auto"/>
        <w:left w:val="none" w:sz="0" w:space="0" w:color="auto"/>
        <w:bottom w:val="none" w:sz="0" w:space="0" w:color="auto"/>
        <w:right w:val="none" w:sz="0" w:space="0" w:color="auto"/>
      </w:divBdr>
    </w:div>
    <w:div w:id="864097076">
      <w:bodyDiv w:val="1"/>
      <w:marLeft w:val="0"/>
      <w:marRight w:val="0"/>
      <w:marTop w:val="0"/>
      <w:marBottom w:val="0"/>
      <w:divBdr>
        <w:top w:val="none" w:sz="0" w:space="0" w:color="auto"/>
        <w:left w:val="none" w:sz="0" w:space="0" w:color="auto"/>
        <w:bottom w:val="none" w:sz="0" w:space="0" w:color="auto"/>
        <w:right w:val="none" w:sz="0" w:space="0" w:color="auto"/>
      </w:divBdr>
    </w:div>
    <w:div w:id="880046658">
      <w:bodyDiv w:val="1"/>
      <w:marLeft w:val="0"/>
      <w:marRight w:val="0"/>
      <w:marTop w:val="0"/>
      <w:marBottom w:val="0"/>
      <w:divBdr>
        <w:top w:val="none" w:sz="0" w:space="0" w:color="auto"/>
        <w:left w:val="none" w:sz="0" w:space="0" w:color="auto"/>
        <w:bottom w:val="none" w:sz="0" w:space="0" w:color="auto"/>
        <w:right w:val="none" w:sz="0" w:space="0" w:color="auto"/>
      </w:divBdr>
      <w:divsChild>
        <w:div w:id="1189029105">
          <w:marLeft w:val="0"/>
          <w:marRight w:val="0"/>
          <w:marTop w:val="0"/>
          <w:marBottom w:val="0"/>
          <w:divBdr>
            <w:top w:val="none" w:sz="0" w:space="0" w:color="auto"/>
            <w:left w:val="none" w:sz="0" w:space="0" w:color="auto"/>
            <w:bottom w:val="none" w:sz="0" w:space="0" w:color="auto"/>
            <w:right w:val="none" w:sz="0" w:space="0" w:color="auto"/>
          </w:divBdr>
        </w:div>
        <w:div w:id="1914195832">
          <w:marLeft w:val="0"/>
          <w:marRight w:val="0"/>
          <w:marTop w:val="0"/>
          <w:marBottom w:val="0"/>
          <w:divBdr>
            <w:top w:val="none" w:sz="0" w:space="0" w:color="auto"/>
            <w:left w:val="none" w:sz="0" w:space="0" w:color="auto"/>
            <w:bottom w:val="none" w:sz="0" w:space="0" w:color="auto"/>
            <w:right w:val="none" w:sz="0" w:space="0" w:color="auto"/>
          </w:divBdr>
          <w:divsChild>
            <w:div w:id="10855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9361">
      <w:bodyDiv w:val="1"/>
      <w:marLeft w:val="0"/>
      <w:marRight w:val="0"/>
      <w:marTop w:val="0"/>
      <w:marBottom w:val="0"/>
      <w:divBdr>
        <w:top w:val="none" w:sz="0" w:space="0" w:color="auto"/>
        <w:left w:val="none" w:sz="0" w:space="0" w:color="auto"/>
        <w:bottom w:val="none" w:sz="0" w:space="0" w:color="auto"/>
        <w:right w:val="none" w:sz="0" w:space="0" w:color="auto"/>
      </w:divBdr>
    </w:div>
    <w:div w:id="917593531">
      <w:bodyDiv w:val="1"/>
      <w:marLeft w:val="0"/>
      <w:marRight w:val="0"/>
      <w:marTop w:val="0"/>
      <w:marBottom w:val="0"/>
      <w:divBdr>
        <w:top w:val="none" w:sz="0" w:space="0" w:color="auto"/>
        <w:left w:val="none" w:sz="0" w:space="0" w:color="auto"/>
        <w:bottom w:val="none" w:sz="0" w:space="0" w:color="auto"/>
        <w:right w:val="none" w:sz="0" w:space="0" w:color="auto"/>
      </w:divBdr>
    </w:div>
    <w:div w:id="1162503284">
      <w:bodyDiv w:val="1"/>
      <w:marLeft w:val="0"/>
      <w:marRight w:val="0"/>
      <w:marTop w:val="0"/>
      <w:marBottom w:val="0"/>
      <w:divBdr>
        <w:top w:val="none" w:sz="0" w:space="0" w:color="auto"/>
        <w:left w:val="none" w:sz="0" w:space="0" w:color="auto"/>
        <w:bottom w:val="none" w:sz="0" w:space="0" w:color="auto"/>
        <w:right w:val="none" w:sz="0" w:space="0" w:color="auto"/>
      </w:divBdr>
    </w:div>
    <w:div w:id="1235118725">
      <w:bodyDiv w:val="1"/>
      <w:marLeft w:val="0"/>
      <w:marRight w:val="0"/>
      <w:marTop w:val="0"/>
      <w:marBottom w:val="0"/>
      <w:divBdr>
        <w:top w:val="none" w:sz="0" w:space="0" w:color="auto"/>
        <w:left w:val="none" w:sz="0" w:space="0" w:color="auto"/>
        <w:bottom w:val="none" w:sz="0" w:space="0" w:color="auto"/>
        <w:right w:val="none" w:sz="0" w:space="0" w:color="auto"/>
      </w:divBdr>
      <w:divsChild>
        <w:div w:id="1009405279">
          <w:marLeft w:val="0"/>
          <w:marRight w:val="0"/>
          <w:marTop w:val="0"/>
          <w:marBottom w:val="0"/>
          <w:divBdr>
            <w:top w:val="none" w:sz="0" w:space="0" w:color="auto"/>
            <w:left w:val="none" w:sz="0" w:space="0" w:color="auto"/>
            <w:bottom w:val="none" w:sz="0" w:space="0" w:color="auto"/>
            <w:right w:val="none" w:sz="0" w:space="0" w:color="auto"/>
          </w:divBdr>
        </w:div>
        <w:div w:id="1370105828">
          <w:marLeft w:val="0"/>
          <w:marRight w:val="0"/>
          <w:marTop w:val="0"/>
          <w:marBottom w:val="0"/>
          <w:divBdr>
            <w:top w:val="none" w:sz="0" w:space="0" w:color="auto"/>
            <w:left w:val="none" w:sz="0" w:space="0" w:color="auto"/>
            <w:bottom w:val="none" w:sz="0" w:space="0" w:color="auto"/>
            <w:right w:val="none" w:sz="0" w:space="0" w:color="auto"/>
          </w:divBdr>
        </w:div>
        <w:div w:id="1519805642">
          <w:marLeft w:val="0"/>
          <w:marRight w:val="0"/>
          <w:marTop w:val="0"/>
          <w:marBottom w:val="0"/>
          <w:divBdr>
            <w:top w:val="none" w:sz="0" w:space="0" w:color="auto"/>
            <w:left w:val="none" w:sz="0" w:space="0" w:color="auto"/>
            <w:bottom w:val="none" w:sz="0" w:space="0" w:color="auto"/>
            <w:right w:val="none" w:sz="0" w:space="0" w:color="auto"/>
          </w:divBdr>
        </w:div>
        <w:div w:id="1898973436">
          <w:marLeft w:val="0"/>
          <w:marRight w:val="0"/>
          <w:marTop w:val="0"/>
          <w:marBottom w:val="0"/>
          <w:divBdr>
            <w:top w:val="none" w:sz="0" w:space="0" w:color="auto"/>
            <w:left w:val="none" w:sz="0" w:space="0" w:color="auto"/>
            <w:bottom w:val="none" w:sz="0" w:space="0" w:color="auto"/>
            <w:right w:val="none" w:sz="0" w:space="0" w:color="auto"/>
          </w:divBdr>
        </w:div>
      </w:divsChild>
    </w:div>
    <w:div w:id="1246189665">
      <w:bodyDiv w:val="1"/>
      <w:marLeft w:val="0"/>
      <w:marRight w:val="0"/>
      <w:marTop w:val="0"/>
      <w:marBottom w:val="0"/>
      <w:divBdr>
        <w:top w:val="none" w:sz="0" w:space="0" w:color="auto"/>
        <w:left w:val="none" w:sz="0" w:space="0" w:color="auto"/>
        <w:bottom w:val="none" w:sz="0" w:space="0" w:color="auto"/>
        <w:right w:val="none" w:sz="0" w:space="0" w:color="auto"/>
      </w:divBdr>
    </w:div>
    <w:div w:id="1255087144">
      <w:bodyDiv w:val="1"/>
      <w:marLeft w:val="0"/>
      <w:marRight w:val="0"/>
      <w:marTop w:val="0"/>
      <w:marBottom w:val="0"/>
      <w:divBdr>
        <w:top w:val="none" w:sz="0" w:space="0" w:color="auto"/>
        <w:left w:val="none" w:sz="0" w:space="0" w:color="auto"/>
        <w:bottom w:val="none" w:sz="0" w:space="0" w:color="auto"/>
        <w:right w:val="none" w:sz="0" w:space="0" w:color="auto"/>
      </w:divBdr>
    </w:div>
    <w:div w:id="1294559940">
      <w:bodyDiv w:val="1"/>
      <w:marLeft w:val="0"/>
      <w:marRight w:val="0"/>
      <w:marTop w:val="0"/>
      <w:marBottom w:val="0"/>
      <w:divBdr>
        <w:top w:val="none" w:sz="0" w:space="0" w:color="auto"/>
        <w:left w:val="none" w:sz="0" w:space="0" w:color="auto"/>
        <w:bottom w:val="none" w:sz="0" w:space="0" w:color="auto"/>
        <w:right w:val="none" w:sz="0" w:space="0" w:color="auto"/>
      </w:divBdr>
      <w:divsChild>
        <w:div w:id="789593277">
          <w:marLeft w:val="0"/>
          <w:marRight w:val="0"/>
          <w:marTop w:val="0"/>
          <w:marBottom w:val="0"/>
          <w:divBdr>
            <w:top w:val="none" w:sz="0" w:space="0" w:color="auto"/>
            <w:left w:val="none" w:sz="0" w:space="0" w:color="auto"/>
            <w:bottom w:val="none" w:sz="0" w:space="0" w:color="auto"/>
            <w:right w:val="none" w:sz="0" w:space="0" w:color="auto"/>
          </w:divBdr>
        </w:div>
        <w:div w:id="912398777">
          <w:marLeft w:val="0"/>
          <w:marRight w:val="0"/>
          <w:marTop w:val="0"/>
          <w:marBottom w:val="0"/>
          <w:divBdr>
            <w:top w:val="none" w:sz="0" w:space="0" w:color="auto"/>
            <w:left w:val="none" w:sz="0" w:space="0" w:color="auto"/>
            <w:bottom w:val="none" w:sz="0" w:space="0" w:color="auto"/>
            <w:right w:val="none" w:sz="0" w:space="0" w:color="auto"/>
          </w:divBdr>
        </w:div>
        <w:div w:id="1101073163">
          <w:marLeft w:val="0"/>
          <w:marRight w:val="0"/>
          <w:marTop w:val="0"/>
          <w:marBottom w:val="0"/>
          <w:divBdr>
            <w:top w:val="none" w:sz="0" w:space="0" w:color="auto"/>
            <w:left w:val="none" w:sz="0" w:space="0" w:color="auto"/>
            <w:bottom w:val="none" w:sz="0" w:space="0" w:color="auto"/>
            <w:right w:val="none" w:sz="0" w:space="0" w:color="auto"/>
          </w:divBdr>
        </w:div>
      </w:divsChild>
    </w:div>
    <w:div w:id="1325477769">
      <w:bodyDiv w:val="1"/>
      <w:marLeft w:val="0"/>
      <w:marRight w:val="0"/>
      <w:marTop w:val="0"/>
      <w:marBottom w:val="0"/>
      <w:divBdr>
        <w:top w:val="none" w:sz="0" w:space="0" w:color="auto"/>
        <w:left w:val="none" w:sz="0" w:space="0" w:color="auto"/>
        <w:bottom w:val="none" w:sz="0" w:space="0" w:color="auto"/>
        <w:right w:val="none" w:sz="0" w:space="0" w:color="auto"/>
      </w:divBdr>
    </w:div>
    <w:div w:id="1350713367">
      <w:bodyDiv w:val="1"/>
      <w:marLeft w:val="0"/>
      <w:marRight w:val="0"/>
      <w:marTop w:val="0"/>
      <w:marBottom w:val="0"/>
      <w:divBdr>
        <w:top w:val="none" w:sz="0" w:space="0" w:color="auto"/>
        <w:left w:val="none" w:sz="0" w:space="0" w:color="auto"/>
        <w:bottom w:val="none" w:sz="0" w:space="0" w:color="auto"/>
        <w:right w:val="none" w:sz="0" w:space="0" w:color="auto"/>
      </w:divBdr>
      <w:divsChild>
        <w:div w:id="869957613">
          <w:marLeft w:val="0"/>
          <w:marRight w:val="0"/>
          <w:marTop w:val="0"/>
          <w:marBottom w:val="0"/>
          <w:divBdr>
            <w:top w:val="none" w:sz="0" w:space="0" w:color="auto"/>
            <w:left w:val="none" w:sz="0" w:space="0" w:color="auto"/>
            <w:bottom w:val="none" w:sz="0" w:space="0" w:color="auto"/>
            <w:right w:val="none" w:sz="0" w:space="0" w:color="auto"/>
          </w:divBdr>
        </w:div>
        <w:div w:id="1402025696">
          <w:marLeft w:val="0"/>
          <w:marRight w:val="0"/>
          <w:marTop w:val="0"/>
          <w:marBottom w:val="0"/>
          <w:divBdr>
            <w:top w:val="none" w:sz="0" w:space="0" w:color="auto"/>
            <w:left w:val="none" w:sz="0" w:space="0" w:color="auto"/>
            <w:bottom w:val="none" w:sz="0" w:space="0" w:color="auto"/>
            <w:right w:val="none" w:sz="0" w:space="0" w:color="auto"/>
          </w:divBdr>
        </w:div>
      </w:divsChild>
    </w:div>
    <w:div w:id="1381514646">
      <w:bodyDiv w:val="1"/>
      <w:marLeft w:val="0"/>
      <w:marRight w:val="0"/>
      <w:marTop w:val="0"/>
      <w:marBottom w:val="0"/>
      <w:divBdr>
        <w:top w:val="none" w:sz="0" w:space="0" w:color="auto"/>
        <w:left w:val="none" w:sz="0" w:space="0" w:color="auto"/>
        <w:bottom w:val="none" w:sz="0" w:space="0" w:color="auto"/>
        <w:right w:val="none" w:sz="0" w:space="0" w:color="auto"/>
      </w:divBdr>
    </w:div>
    <w:div w:id="1427380906">
      <w:bodyDiv w:val="1"/>
      <w:marLeft w:val="0"/>
      <w:marRight w:val="0"/>
      <w:marTop w:val="0"/>
      <w:marBottom w:val="0"/>
      <w:divBdr>
        <w:top w:val="none" w:sz="0" w:space="0" w:color="auto"/>
        <w:left w:val="none" w:sz="0" w:space="0" w:color="auto"/>
        <w:bottom w:val="none" w:sz="0" w:space="0" w:color="auto"/>
        <w:right w:val="none" w:sz="0" w:space="0" w:color="auto"/>
      </w:divBdr>
      <w:divsChild>
        <w:div w:id="94403300">
          <w:marLeft w:val="0"/>
          <w:marRight w:val="0"/>
          <w:marTop w:val="0"/>
          <w:marBottom w:val="0"/>
          <w:divBdr>
            <w:top w:val="none" w:sz="0" w:space="0" w:color="auto"/>
            <w:left w:val="none" w:sz="0" w:space="0" w:color="auto"/>
            <w:bottom w:val="none" w:sz="0" w:space="0" w:color="auto"/>
            <w:right w:val="none" w:sz="0" w:space="0" w:color="auto"/>
          </w:divBdr>
        </w:div>
        <w:div w:id="447285884">
          <w:marLeft w:val="0"/>
          <w:marRight w:val="0"/>
          <w:marTop w:val="0"/>
          <w:marBottom w:val="0"/>
          <w:divBdr>
            <w:top w:val="none" w:sz="0" w:space="0" w:color="auto"/>
            <w:left w:val="none" w:sz="0" w:space="0" w:color="auto"/>
            <w:bottom w:val="none" w:sz="0" w:space="0" w:color="auto"/>
            <w:right w:val="none" w:sz="0" w:space="0" w:color="auto"/>
          </w:divBdr>
        </w:div>
      </w:divsChild>
    </w:div>
    <w:div w:id="1481922481">
      <w:bodyDiv w:val="1"/>
      <w:marLeft w:val="0"/>
      <w:marRight w:val="0"/>
      <w:marTop w:val="0"/>
      <w:marBottom w:val="0"/>
      <w:divBdr>
        <w:top w:val="none" w:sz="0" w:space="0" w:color="auto"/>
        <w:left w:val="none" w:sz="0" w:space="0" w:color="auto"/>
        <w:bottom w:val="none" w:sz="0" w:space="0" w:color="auto"/>
        <w:right w:val="none" w:sz="0" w:space="0" w:color="auto"/>
      </w:divBdr>
    </w:div>
    <w:div w:id="1492865524">
      <w:bodyDiv w:val="1"/>
      <w:marLeft w:val="0"/>
      <w:marRight w:val="0"/>
      <w:marTop w:val="0"/>
      <w:marBottom w:val="0"/>
      <w:divBdr>
        <w:top w:val="none" w:sz="0" w:space="0" w:color="auto"/>
        <w:left w:val="none" w:sz="0" w:space="0" w:color="auto"/>
        <w:bottom w:val="none" w:sz="0" w:space="0" w:color="auto"/>
        <w:right w:val="none" w:sz="0" w:space="0" w:color="auto"/>
      </w:divBdr>
      <w:divsChild>
        <w:div w:id="331185220">
          <w:marLeft w:val="0"/>
          <w:marRight w:val="0"/>
          <w:marTop w:val="0"/>
          <w:marBottom w:val="0"/>
          <w:divBdr>
            <w:top w:val="none" w:sz="0" w:space="0" w:color="auto"/>
            <w:left w:val="none" w:sz="0" w:space="0" w:color="auto"/>
            <w:bottom w:val="none" w:sz="0" w:space="0" w:color="auto"/>
            <w:right w:val="none" w:sz="0" w:space="0" w:color="auto"/>
          </w:divBdr>
        </w:div>
        <w:div w:id="576205998">
          <w:marLeft w:val="0"/>
          <w:marRight w:val="0"/>
          <w:marTop w:val="0"/>
          <w:marBottom w:val="0"/>
          <w:divBdr>
            <w:top w:val="none" w:sz="0" w:space="0" w:color="auto"/>
            <w:left w:val="none" w:sz="0" w:space="0" w:color="auto"/>
            <w:bottom w:val="none" w:sz="0" w:space="0" w:color="auto"/>
            <w:right w:val="none" w:sz="0" w:space="0" w:color="auto"/>
          </w:divBdr>
        </w:div>
        <w:div w:id="867983516">
          <w:marLeft w:val="0"/>
          <w:marRight w:val="0"/>
          <w:marTop w:val="0"/>
          <w:marBottom w:val="0"/>
          <w:divBdr>
            <w:top w:val="none" w:sz="0" w:space="0" w:color="auto"/>
            <w:left w:val="none" w:sz="0" w:space="0" w:color="auto"/>
            <w:bottom w:val="none" w:sz="0" w:space="0" w:color="auto"/>
            <w:right w:val="none" w:sz="0" w:space="0" w:color="auto"/>
          </w:divBdr>
        </w:div>
        <w:div w:id="1418818456">
          <w:marLeft w:val="0"/>
          <w:marRight w:val="0"/>
          <w:marTop w:val="0"/>
          <w:marBottom w:val="0"/>
          <w:divBdr>
            <w:top w:val="none" w:sz="0" w:space="0" w:color="auto"/>
            <w:left w:val="none" w:sz="0" w:space="0" w:color="auto"/>
            <w:bottom w:val="none" w:sz="0" w:space="0" w:color="auto"/>
            <w:right w:val="none" w:sz="0" w:space="0" w:color="auto"/>
          </w:divBdr>
        </w:div>
        <w:div w:id="1442339247">
          <w:marLeft w:val="0"/>
          <w:marRight w:val="0"/>
          <w:marTop w:val="0"/>
          <w:marBottom w:val="0"/>
          <w:divBdr>
            <w:top w:val="none" w:sz="0" w:space="0" w:color="auto"/>
            <w:left w:val="none" w:sz="0" w:space="0" w:color="auto"/>
            <w:bottom w:val="none" w:sz="0" w:space="0" w:color="auto"/>
            <w:right w:val="none" w:sz="0" w:space="0" w:color="auto"/>
          </w:divBdr>
        </w:div>
      </w:divsChild>
    </w:div>
    <w:div w:id="1522469827">
      <w:bodyDiv w:val="1"/>
      <w:marLeft w:val="0"/>
      <w:marRight w:val="0"/>
      <w:marTop w:val="0"/>
      <w:marBottom w:val="0"/>
      <w:divBdr>
        <w:top w:val="none" w:sz="0" w:space="0" w:color="auto"/>
        <w:left w:val="none" w:sz="0" w:space="0" w:color="auto"/>
        <w:bottom w:val="none" w:sz="0" w:space="0" w:color="auto"/>
        <w:right w:val="none" w:sz="0" w:space="0" w:color="auto"/>
      </w:divBdr>
      <w:divsChild>
        <w:div w:id="754670130">
          <w:marLeft w:val="0"/>
          <w:marRight w:val="0"/>
          <w:marTop w:val="0"/>
          <w:marBottom w:val="0"/>
          <w:divBdr>
            <w:top w:val="none" w:sz="0" w:space="0" w:color="auto"/>
            <w:left w:val="none" w:sz="0" w:space="0" w:color="auto"/>
            <w:bottom w:val="none" w:sz="0" w:space="0" w:color="auto"/>
            <w:right w:val="none" w:sz="0" w:space="0" w:color="auto"/>
          </w:divBdr>
        </w:div>
        <w:div w:id="2021197956">
          <w:marLeft w:val="0"/>
          <w:marRight w:val="0"/>
          <w:marTop w:val="0"/>
          <w:marBottom w:val="0"/>
          <w:divBdr>
            <w:top w:val="none" w:sz="0" w:space="0" w:color="auto"/>
            <w:left w:val="none" w:sz="0" w:space="0" w:color="auto"/>
            <w:bottom w:val="none" w:sz="0" w:space="0" w:color="auto"/>
            <w:right w:val="none" w:sz="0" w:space="0" w:color="auto"/>
          </w:divBdr>
        </w:div>
      </w:divsChild>
    </w:div>
    <w:div w:id="1529639587">
      <w:bodyDiv w:val="1"/>
      <w:marLeft w:val="0"/>
      <w:marRight w:val="0"/>
      <w:marTop w:val="0"/>
      <w:marBottom w:val="0"/>
      <w:divBdr>
        <w:top w:val="none" w:sz="0" w:space="0" w:color="auto"/>
        <w:left w:val="none" w:sz="0" w:space="0" w:color="auto"/>
        <w:bottom w:val="none" w:sz="0" w:space="0" w:color="auto"/>
        <w:right w:val="none" w:sz="0" w:space="0" w:color="auto"/>
      </w:divBdr>
    </w:div>
    <w:div w:id="1559391249">
      <w:bodyDiv w:val="1"/>
      <w:marLeft w:val="0"/>
      <w:marRight w:val="0"/>
      <w:marTop w:val="0"/>
      <w:marBottom w:val="0"/>
      <w:divBdr>
        <w:top w:val="none" w:sz="0" w:space="0" w:color="auto"/>
        <w:left w:val="none" w:sz="0" w:space="0" w:color="auto"/>
        <w:bottom w:val="none" w:sz="0" w:space="0" w:color="auto"/>
        <w:right w:val="none" w:sz="0" w:space="0" w:color="auto"/>
      </w:divBdr>
    </w:div>
    <w:div w:id="1580752619">
      <w:bodyDiv w:val="1"/>
      <w:marLeft w:val="0"/>
      <w:marRight w:val="0"/>
      <w:marTop w:val="0"/>
      <w:marBottom w:val="0"/>
      <w:divBdr>
        <w:top w:val="none" w:sz="0" w:space="0" w:color="auto"/>
        <w:left w:val="none" w:sz="0" w:space="0" w:color="auto"/>
        <w:bottom w:val="none" w:sz="0" w:space="0" w:color="auto"/>
        <w:right w:val="none" w:sz="0" w:space="0" w:color="auto"/>
      </w:divBdr>
      <w:divsChild>
        <w:div w:id="1102411627">
          <w:marLeft w:val="0"/>
          <w:marRight w:val="0"/>
          <w:marTop w:val="0"/>
          <w:marBottom w:val="0"/>
          <w:divBdr>
            <w:top w:val="none" w:sz="0" w:space="0" w:color="auto"/>
            <w:left w:val="none" w:sz="0" w:space="0" w:color="auto"/>
            <w:bottom w:val="none" w:sz="0" w:space="0" w:color="auto"/>
            <w:right w:val="none" w:sz="0" w:space="0" w:color="auto"/>
          </w:divBdr>
        </w:div>
        <w:div w:id="1166240761">
          <w:marLeft w:val="0"/>
          <w:marRight w:val="0"/>
          <w:marTop w:val="0"/>
          <w:marBottom w:val="0"/>
          <w:divBdr>
            <w:top w:val="none" w:sz="0" w:space="0" w:color="auto"/>
            <w:left w:val="none" w:sz="0" w:space="0" w:color="auto"/>
            <w:bottom w:val="none" w:sz="0" w:space="0" w:color="auto"/>
            <w:right w:val="none" w:sz="0" w:space="0" w:color="auto"/>
          </w:divBdr>
        </w:div>
        <w:div w:id="1167092432">
          <w:marLeft w:val="0"/>
          <w:marRight w:val="0"/>
          <w:marTop w:val="0"/>
          <w:marBottom w:val="0"/>
          <w:divBdr>
            <w:top w:val="none" w:sz="0" w:space="0" w:color="auto"/>
            <w:left w:val="none" w:sz="0" w:space="0" w:color="auto"/>
            <w:bottom w:val="none" w:sz="0" w:space="0" w:color="auto"/>
            <w:right w:val="none" w:sz="0" w:space="0" w:color="auto"/>
          </w:divBdr>
        </w:div>
      </w:divsChild>
    </w:div>
    <w:div w:id="1660497652">
      <w:bodyDiv w:val="1"/>
      <w:marLeft w:val="0"/>
      <w:marRight w:val="0"/>
      <w:marTop w:val="0"/>
      <w:marBottom w:val="0"/>
      <w:divBdr>
        <w:top w:val="none" w:sz="0" w:space="0" w:color="auto"/>
        <w:left w:val="none" w:sz="0" w:space="0" w:color="auto"/>
        <w:bottom w:val="none" w:sz="0" w:space="0" w:color="auto"/>
        <w:right w:val="none" w:sz="0" w:space="0" w:color="auto"/>
      </w:divBdr>
    </w:div>
    <w:div w:id="1744642395">
      <w:bodyDiv w:val="1"/>
      <w:marLeft w:val="0"/>
      <w:marRight w:val="0"/>
      <w:marTop w:val="0"/>
      <w:marBottom w:val="0"/>
      <w:divBdr>
        <w:top w:val="none" w:sz="0" w:space="0" w:color="auto"/>
        <w:left w:val="none" w:sz="0" w:space="0" w:color="auto"/>
        <w:bottom w:val="none" w:sz="0" w:space="0" w:color="auto"/>
        <w:right w:val="none" w:sz="0" w:space="0" w:color="auto"/>
      </w:divBdr>
      <w:divsChild>
        <w:div w:id="96365048">
          <w:marLeft w:val="0"/>
          <w:marRight w:val="0"/>
          <w:marTop w:val="0"/>
          <w:marBottom w:val="0"/>
          <w:divBdr>
            <w:top w:val="none" w:sz="0" w:space="0" w:color="auto"/>
            <w:left w:val="none" w:sz="0" w:space="0" w:color="auto"/>
            <w:bottom w:val="none" w:sz="0" w:space="0" w:color="auto"/>
            <w:right w:val="none" w:sz="0" w:space="0" w:color="auto"/>
          </w:divBdr>
        </w:div>
        <w:div w:id="895819817">
          <w:marLeft w:val="0"/>
          <w:marRight w:val="0"/>
          <w:marTop w:val="0"/>
          <w:marBottom w:val="0"/>
          <w:divBdr>
            <w:top w:val="none" w:sz="0" w:space="0" w:color="auto"/>
            <w:left w:val="none" w:sz="0" w:space="0" w:color="auto"/>
            <w:bottom w:val="none" w:sz="0" w:space="0" w:color="auto"/>
            <w:right w:val="none" w:sz="0" w:space="0" w:color="auto"/>
          </w:divBdr>
        </w:div>
        <w:div w:id="1280455897">
          <w:marLeft w:val="0"/>
          <w:marRight w:val="0"/>
          <w:marTop w:val="0"/>
          <w:marBottom w:val="0"/>
          <w:divBdr>
            <w:top w:val="none" w:sz="0" w:space="0" w:color="auto"/>
            <w:left w:val="none" w:sz="0" w:space="0" w:color="auto"/>
            <w:bottom w:val="none" w:sz="0" w:space="0" w:color="auto"/>
            <w:right w:val="none" w:sz="0" w:space="0" w:color="auto"/>
          </w:divBdr>
        </w:div>
        <w:div w:id="1575965226">
          <w:marLeft w:val="0"/>
          <w:marRight w:val="0"/>
          <w:marTop w:val="0"/>
          <w:marBottom w:val="0"/>
          <w:divBdr>
            <w:top w:val="none" w:sz="0" w:space="0" w:color="auto"/>
            <w:left w:val="none" w:sz="0" w:space="0" w:color="auto"/>
            <w:bottom w:val="none" w:sz="0" w:space="0" w:color="auto"/>
            <w:right w:val="none" w:sz="0" w:space="0" w:color="auto"/>
          </w:divBdr>
        </w:div>
      </w:divsChild>
    </w:div>
    <w:div w:id="1749418819">
      <w:bodyDiv w:val="1"/>
      <w:marLeft w:val="0"/>
      <w:marRight w:val="0"/>
      <w:marTop w:val="0"/>
      <w:marBottom w:val="0"/>
      <w:divBdr>
        <w:top w:val="none" w:sz="0" w:space="0" w:color="auto"/>
        <w:left w:val="none" w:sz="0" w:space="0" w:color="auto"/>
        <w:bottom w:val="none" w:sz="0" w:space="0" w:color="auto"/>
        <w:right w:val="none" w:sz="0" w:space="0" w:color="auto"/>
      </w:divBdr>
    </w:div>
    <w:div w:id="1787387162">
      <w:bodyDiv w:val="1"/>
      <w:marLeft w:val="0"/>
      <w:marRight w:val="0"/>
      <w:marTop w:val="0"/>
      <w:marBottom w:val="0"/>
      <w:divBdr>
        <w:top w:val="none" w:sz="0" w:space="0" w:color="auto"/>
        <w:left w:val="none" w:sz="0" w:space="0" w:color="auto"/>
        <w:bottom w:val="none" w:sz="0" w:space="0" w:color="auto"/>
        <w:right w:val="none" w:sz="0" w:space="0" w:color="auto"/>
      </w:divBdr>
      <w:divsChild>
        <w:div w:id="656230468">
          <w:marLeft w:val="0"/>
          <w:marRight w:val="0"/>
          <w:marTop w:val="0"/>
          <w:marBottom w:val="0"/>
          <w:divBdr>
            <w:top w:val="none" w:sz="0" w:space="0" w:color="auto"/>
            <w:left w:val="none" w:sz="0" w:space="0" w:color="auto"/>
            <w:bottom w:val="none" w:sz="0" w:space="0" w:color="auto"/>
            <w:right w:val="none" w:sz="0" w:space="0" w:color="auto"/>
          </w:divBdr>
        </w:div>
        <w:div w:id="1787045610">
          <w:marLeft w:val="0"/>
          <w:marRight w:val="0"/>
          <w:marTop w:val="0"/>
          <w:marBottom w:val="0"/>
          <w:divBdr>
            <w:top w:val="none" w:sz="0" w:space="0" w:color="auto"/>
            <w:left w:val="none" w:sz="0" w:space="0" w:color="auto"/>
            <w:bottom w:val="none" w:sz="0" w:space="0" w:color="auto"/>
            <w:right w:val="none" w:sz="0" w:space="0" w:color="auto"/>
          </w:divBdr>
        </w:div>
      </w:divsChild>
    </w:div>
    <w:div w:id="1880773954">
      <w:bodyDiv w:val="1"/>
      <w:marLeft w:val="0"/>
      <w:marRight w:val="0"/>
      <w:marTop w:val="0"/>
      <w:marBottom w:val="0"/>
      <w:divBdr>
        <w:top w:val="none" w:sz="0" w:space="0" w:color="auto"/>
        <w:left w:val="none" w:sz="0" w:space="0" w:color="auto"/>
        <w:bottom w:val="none" w:sz="0" w:space="0" w:color="auto"/>
        <w:right w:val="none" w:sz="0" w:space="0" w:color="auto"/>
      </w:divBdr>
    </w:div>
    <w:div w:id="2002658044">
      <w:bodyDiv w:val="1"/>
      <w:marLeft w:val="0"/>
      <w:marRight w:val="0"/>
      <w:marTop w:val="0"/>
      <w:marBottom w:val="0"/>
      <w:divBdr>
        <w:top w:val="none" w:sz="0" w:space="0" w:color="auto"/>
        <w:left w:val="none" w:sz="0" w:space="0" w:color="auto"/>
        <w:bottom w:val="none" w:sz="0" w:space="0" w:color="auto"/>
        <w:right w:val="none" w:sz="0" w:space="0" w:color="auto"/>
      </w:divBdr>
    </w:div>
    <w:div w:id="2126458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oceans-and-fisheries.ec.europa.eu/publications/common-fisheries-policy-today-and-tomorrow-fisheries-and-oceans-pact-towards-sustainable-science_en" TargetMode="External"/><Relationship Id="rId2" Type="http://schemas.openxmlformats.org/officeDocument/2006/relationships/hyperlink" Target="https://www.nature.com/articles/s41591-023-02419-z" TargetMode="External"/><Relationship Id="rId1" Type="http://schemas.openxmlformats.org/officeDocument/2006/relationships/hyperlink" Target="https://doi.org/10.1038/s41591-023-02419-z" TargetMode="External"/><Relationship Id="rId6" Type="http://schemas.openxmlformats.org/officeDocument/2006/relationships/hyperlink" Target="https://op.europa.eu/en/web/eu-law-and-publications/publication-detail/-/publication/2f1ec1d2-1173-11ee-b12e-01aa75ed71a1" TargetMode="External"/><Relationship Id="rId5" Type="http://schemas.openxmlformats.org/officeDocument/2006/relationships/hyperlink" Target="https://newfinancial.org/wp-content/uploads/2024.01-A-renewed-vision-for-EU-capital-markets-New-Financial.pdf" TargetMode="External"/><Relationship Id="rId4" Type="http://schemas.openxmlformats.org/officeDocument/2006/relationships/hyperlink" Target="https://oceans-and-fisheries.ec.europa.eu/publications/common-fisheries-policy-today-and-tomorrow-fisheries-and-oceans-pact-towards-sustainable-scienc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1987089B2DDC4EA3C5EEDA50AEC7B2" ma:contentTypeVersion="18" ma:contentTypeDescription="Create a new document." ma:contentTypeScope="" ma:versionID="515fdc0f9a7d11954d94cb1103835bdf">
  <xsd:schema xmlns:xsd="http://www.w3.org/2001/XMLSchema" xmlns:xs="http://www.w3.org/2001/XMLSchema" xmlns:p="http://schemas.microsoft.com/office/2006/metadata/properties" xmlns:ns2="122f29e7-6632-4cfe-826d-d0aa7d34b0a3" xmlns:ns3="0963436b-35f1-4197-85e1-d8d1686f5aa4" targetNamespace="http://schemas.microsoft.com/office/2006/metadata/properties" ma:root="true" ma:fieldsID="693a45ec431d16f66d3b0ff7a4b65068" ns2:_="" ns3:_="">
    <xsd:import namespace="122f29e7-6632-4cfe-826d-d0aa7d34b0a3"/>
    <xsd:import namespace="0963436b-35f1-4197-85e1-d8d1686f5a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ForcontributionsbyCLIMAunits"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f29e7-6632-4cfe-826d-d0aa7d34b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ForcontributionsbyCLIMAunits" ma:index="21" nillable="true" ma:displayName="For contributions by CLIMA units" ma:format="Dropdown" ma:list="UserInfo" ma:SharePointGroup="0" ma:internalName="ForcontributionsbyCLIMAuni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3436b-35f1-4197-85e1-d8d1686f5aa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865d83c-5963-4a75-819a-ef9fffe75ef7}" ma:internalName="TaxCatchAll" ma:showField="CatchAllData" ma:web="0963436b-35f1-4197-85e1-d8d1686f5a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f29e7-6632-4cfe-826d-d0aa7d34b0a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0963436b-35f1-4197-85e1-d8d1686f5aa4" xsi:nil="true"/>
    <ForcontributionsbyCLIMAunits xmlns="122f29e7-6632-4cfe-826d-d0aa7d34b0a3">
      <UserInfo>
        <DisplayName/>
        <AccountId xsi:nil="true"/>
        <AccountType/>
      </UserInfo>
    </ForcontributionsbyCLIMAunit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A81BF-82D1-4C32-A926-B3C6C2E89C67}">
  <ds:schemaRefs>
    <ds:schemaRef ds:uri="http://schemas.microsoft.com/sharepoint/v3/contenttype/forms"/>
  </ds:schemaRefs>
</ds:datastoreItem>
</file>

<file path=customXml/itemProps2.xml><?xml version="1.0" encoding="utf-8"?>
<ds:datastoreItem xmlns:ds="http://schemas.openxmlformats.org/officeDocument/2006/customXml" ds:itemID="{4F504B15-1029-4867-9848-DEB1526D0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f29e7-6632-4cfe-826d-d0aa7d34b0a3"/>
    <ds:schemaRef ds:uri="0963436b-35f1-4197-85e1-d8d1686f5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E16424-AB9B-40C9-BE5F-71EEAD55F6A7}">
  <ds:schemaRefs>
    <ds:schemaRef ds:uri="http://schemas.microsoft.com/office/2006/metadata/properties"/>
    <ds:schemaRef ds:uri="http://schemas.microsoft.com/office/infopath/2007/PartnerControls"/>
    <ds:schemaRef ds:uri="122f29e7-6632-4cfe-826d-d0aa7d34b0a3"/>
    <ds:schemaRef ds:uri="0963436b-35f1-4197-85e1-d8d1686f5aa4"/>
  </ds:schemaRefs>
</ds:datastoreItem>
</file>

<file path=customXml/itemProps4.xml><?xml version="1.0" encoding="utf-8"?>
<ds:datastoreItem xmlns:ds="http://schemas.openxmlformats.org/officeDocument/2006/customXml" ds:itemID="{CF9C0371-0411-4133-BC26-DDCA62588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15924</Words>
  <Characters>90768</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106480</CharactersWithSpaces>
  <SharedDoc>false</SharedDoc>
  <HLinks>
    <vt:vector size="114" baseType="variant">
      <vt:variant>
        <vt:i4>1114164</vt:i4>
      </vt:variant>
      <vt:variant>
        <vt:i4>80</vt:i4>
      </vt:variant>
      <vt:variant>
        <vt:i4>0</vt:i4>
      </vt:variant>
      <vt:variant>
        <vt:i4>5</vt:i4>
      </vt:variant>
      <vt:variant>
        <vt:lpwstr/>
      </vt:variant>
      <vt:variant>
        <vt:lpwstr>_Toc157365457</vt:lpwstr>
      </vt:variant>
      <vt:variant>
        <vt:i4>1114164</vt:i4>
      </vt:variant>
      <vt:variant>
        <vt:i4>74</vt:i4>
      </vt:variant>
      <vt:variant>
        <vt:i4>0</vt:i4>
      </vt:variant>
      <vt:variant>
        <vt:i4>5</vt:i4>
      </vt:variant>
      <vt:variant>
        <vt:lpwstr/>
      </vt:variant>
      <vt:variant>
        <vt:lpwstr>_Toc157365456</vt:lpwstr>
      </vt:variant>
      <vt:variant>
        <vt:i4>1114164</vt:i4>
      </vt:variant>
      <vt:variant>
        <vt:i4>68</vt:i4>
      </vt:variant>
      <vt:variant>
        <vt:i4>0</vt:i4>
      </vt:variant>
      <vt:variant>
        <vt:i4>5</vt:i4>
      </vt:variant>
      <vt:variant>
        <vt:lpwstr/>
      </vt:variant>
      <vt:variant>
        <vt:lpwstr>_Toc157365455</vt:lpwstr>
      </vt:variant>
      <vt:variant>
        <vt:i4>1114164</vt:i4>
      </vt:variant>
      <vt:variant>
        <vt:i4>62</vt:i4>
      </vt:variant>
      <vt:variant>
        <vt:i4>0</vt:i4>
      </vt:variant>
      <vt:variant>
        <vt:i4>5</vt:i4>
      </vt:variant>
      <vt:variant>
        <vt:lpwstr/>
      </vt:variant>
      <vt:variant>
        <vt:lpwstr>_Toc157365454</vt:lpwstr>
      </vt:variant>
      <vt:variant>
        <vt:i4>1114164</vt:i4>
      </vt:variant>
      <vt:variant>
        <vt:i4>56</vt:i4>
      </vt:variant>
      <vt:variant>
        <vt:i4>0</vt:i4>
      </vt:variant>
      <vt:variant>
        <vt:i4>5</vt:i4>
      </vt:variant>
      <vt:variant>
        <vt:lpwstr/>
      </vt:variant>
      <vt:variant>
        <vt:lpwstr>_Toc157365453</vt:lpwstr>
      </vt:variant>
      <vt:variant>
        <vt:i4>1114164</vt:i4>
      </vt:variant>
      <vt:variant>
        <vt:i4>50</vt:i4>
      </vt:variant>
      <vt:variant>
        <vt:i4>0</vt:i4>
      </vt:variant>
      <vt:variant>
        <vt:i4>5</vt:i4>
      </vt:variant>
      <vt:variant>
        <vt:lpwstr/>
      </vt:variant>
      <vt:variant>
        <vt:lpwstr>_Toc157365452</vt:lpwstr>
      </vt:variant>
      <vt:variant>
        <vt:i4>1441844</vt:i4>
      </vt:variant>
      <vt:variant>
        <vt:i4>44</vt:i4>
      </vt:variant>
      <vt:variant>
        <vt:i4>0</vt:i4>
      </vt:variant>
      <vt:variant>
        <vt:i4>5</vt:i4>
      </vt:variant>
      <vt:variant>
        <vt:lpwstr/>
      </vt:variant>
      <vt:variant>
        <vt:lpwstr>_Toc157365429</vt:lpwstr>
      </vt:variant>
      <vt:variant>
        <vt:i4>1441844</vt:i4>
      </vt:variant>
      <vt:variant>
        <vt:i4>38</vt:i4>
      </vt:variant>
      <vt:variant>
        <vt:i4>0</vt:i4>
      </vt:variant>
      <vt:variant>
        <vt:i4>5</vt:i4>
      </vt:variant>
      <vt:variant>
        <vt:lpwstr/>
      </vt:variant>
      <vt:variant>
        <vt:lpwstr>_Toc157365428</vt:lpwstr>
      </vt:variant>
      <vt:variant>
        <vt:i4>1441844</vt:i4>
      </vt:variant>
      <vt:variant>
        <vt:i4>32</vt:i4>
      </vt:variant>
      <vt:variant>
        <vt:i4>0</vt:i4>
      </vt:variant>
      <vt:variant>
        <vt:i4>5</vt:i4>
      </vt:variant>
      <vt:variant>
        <vt:lpwstr/>
      </vt:variant>
      <vt:variant>
        <vt:lpwstr>_Toc157365427</vt:lpwstr>
      </vt:variant>
      <vt:variant>
        <vt:i4>1441844</vt:i4>
      </vt:variant>
      <vt:variant>
        <vt:i4>26</vt:i4>
      </vt:variant>
      <vt:variant>
        <vt:i4>0</vt:i4>
      </vt:variant>
      <vt:variant>
        <vt:i4>5</vt:i4>
      </vt:variant>
      <vt:variant>
        <vt:lpwstr/>
      </vt:variant>
      <vt:variant>
        <vt:lpwstr>_Toc157365426</vt:lpwstr>
      </vt:variant>
      <vt:variant>
        <vt:i4>1441844</vt:i4>
      </vt:variant>
      <vt:variant>
        <vt:i4>20</vt:i4>
      </vt:variant>
      <vt:variant>
        <vt:i4>0</vt:i4>
      </vt:variant>
      <vt:variant>
        <vt:i4>5</vt:i4>
      </vt:variant>
      <vt:variant>
        <vt:lpwstr/>
      </vt:variant>
      <vt:variant>
        <vt:lpwstr>_Toc157365425</vt:lpwstr>
      </vt:variant>
      <vt:variant>
        <vt:i4>1441844</vt:i4>
      </vt:variant>
      <vt:variant>
        <vt:i4>14</vt:i4>
      </vt:variant>
      <vt:variant>
        <vt:i4>0</vt:i4>
      </vt:variant>
      <vt:variant>
        <vt:i4>5</vt:i4>
      </vt:variant>
      <vt:variant>
        <vt:lpwstr/>
      </vt:variant>
      <vt:variant>
        <vt:lpwstr>_Toc157365424</vt:lpwstr>
      </vt:variant>
      <vt:variant>
        <vt:i4>1441844</vt:i4>
      </vt:variant>
      <vt:variant>
        <vt:i4>8</vt:i4>
      </vt:variant>
      <vt:variant>
        <vt:i4>0</vt:i4>
      </vt:variant>
      <vt:variant>
        <vt:i4>5</vt:i4>
      </vt:variant>
      <vt:variant>
        <vt:lpwstr/>
      </vt:variant>
      <vt:variant>
        <vt:lpwstr>_Toc157365423</vt:lpwstr>
      </vt:variant>
      <vt:variant>
        <vt:i4>1441844</vt:i4>
      </vt:variant>
      <vt:variant>
        <vt:i4>2</vt:i4>
      </vt:variant>
      <vt:variant>
        <vt:i4>0</vt:i4>
      </vt:variant>
      <vt:variant>
        <vt:i4>5</vt:i4>
      </vt:variant>
      <vt:variant>
        <vt:lpwstr/>
      </vt:variant>
      <vt:variant>
        <vt:lpwstr>_Toc157365421</vt:lpwstr>
      </vt:variant>
      <vt:variant>
        <vt:i4>4390918</vt:i4>
      </vt:variant>
      <vt:variant>
        <vt:i4>12</vt:i4>
      </vt:variant>
      <vt:variant>
        <vt:i4>0</vt:i4>
      </vt:variant>
      <vt:variant>
        <vt:i4>5</vt:i4>
      </vt:variant>
      <vt:variant>
        <vt:lpwstr>https://op.europa.eu/en/web/eu-law-and-publications/publication-detail/-/publication/2f1ec1d2-1173-11ee-b12e-01aa75ed71a1</vt:lpwstr>
      </vt:variant>
      <vt:variant>
        <vt:lpwstr/>
      </vt:variant>
      <vt:variant>
        <vt:i4>852020</vt:i4>
      </vt:variant>
      <vt:variant>
        <vt:i4>9</vt:i4>
      </vt:variant>
      <vt:variant>
        <vt:i4>0</vt:i4>
      </vt:variant>
      <vt:variant>
        <vt:i4>5</vt:i4>
      </vt:variant>
      <vt:variant>
        <vt:lpwstr>https://climate.ec.europa.eu/document/996c24d8-9004-4c4e-b637-60b384ae4814_en</vt:lpwstr>
      </vt:variant>
      <vt:variant>
        <vt:lpwstr/>
      </vt:variant>
      <vt:variant>
        <vt:i4>4587619</vt:i4>
      </vt:variant>
      <vt:variant>
        <vt:i4>6</vt:i4>
      </vt:variant>
      <vt:variant>
        <vt:i4>0</vt:i4>
      </vt:variant>
      <vt:variant>
        <vt:i4>5</vt:i4>
      </vt:variant>
      <vt:variant>
        <vt:lpwstr>https://oceans-and-fisheries.ec.europa.eu/publications/common-fisheries-policy-today-and-tomorrow-fisheries-and-oceans-pact-towards-sustainable-science_en</vt:lpwstr>
      </vt:variant>
      <vt:variant>
        <vt:lpwstr/>
      </vt:variant>
      <vt:variant>
        <vt:i4>8323109</vt:i4>
      </vt:variant>
      <vt:variant>
        <vt:i4>3</vt:i4>
      </vt:variant>
      <vt:variant>
        <vt:i4>0</vt:i4>
      </vt:variant>
      <vt:variant>
        <vt:i4>5</vt:i4>
      </vt:variant>
      <vt:variant>
        <vt:lpwstr>https://www.nature.com/articles/s41591-023-02419-z</vt:lpwstr>
      </vt:variant>
      <vt:variant>
        <vt:lpwstr/>
      </vt:variant>
      <vt:variant>
        <vt:i4>6553653</vt:i4>
      </vt:variant>
      <vt:variant>
        <vt:i4>0</vt:i4>
      </vt:variant>
      <vt:variant>
        <vt:i4>0</vt:i4>
      </vt:variant>
      <vt:variant>
        <vt:i4>5</vt:i4>
      </vt:variant>
      <vt:variant>
        <vt:lpwstr>https://doi.org/10.1038/s41591-023-02419-z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2024-02-06T15:20:00Z</dcterms:created>
  <dcterms:modified xsi:type="dcterms:W3CDTF">2024-03-06T09:09:00Z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2024-01-30T14:09:49Z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19018972-1768-4038-a815-099e5be69273</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ContentTypeId">
    <vt:lpwstr>0x010100AE1987089B2DDC4EA3C5EEDA50AEC7B2</vt:lpwstr>
  </property>
  <property fmtid="{D5CDD505-2E9C-101B-9397-08002B2CF9AE}" pid="11" name="Level of sensitivity">
    <vt:lpwstr>Standard treatment</vt:lpwstr>
  </property>
  <property fmtid="{D5CDD505-2E9C-101B-9397-08002B2CF9AE}" pid="12" name="Last edi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CP-014</vt:lpwstr>
  </property>
</Properties>
</file>