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1AE32E" w14:textId="5694E27D" w:rsidR="00C23CB1" w:rsidRDefault="00956164" w:rsidP="00956164">
      <w:pPr>
        <w:pStyle w:val="Pagedecouverture"/>
        <w:rPr>
          <w:noProof/>
        </w:rPr>
      </w:pPr>
      <w:bookmarkStart w:id="0" w:name="LW_BM_COVERPAGE"/>
      <w:r>
        <w:rPr>
          <w:noProof/>
        </w:rPr>
        <w:pict w14:anchorId="52ACC9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598D33F-B22B-4BDB-9BBD-A254E7B3B67D" style="width:455.25pt;height:336.75pt">
            <v:imagedata r:id="rId8" o:title=""/>
          </v:shape>
        </w:pict>
      </w:r>
    </w:p>
    <w:bookmarkEnd w:id="0"/>
    <w:p w14:paraId="0A2F444A" w14:textId="77777777" w:rsidR="00C23CB1" w:rsidRDefault="00C23CB1" w:rsidP="00C23CB1">
      <w:pPr>
        <w:rPr>
          <w:noProof/>
          <w:lang w:val="en-IE"/>
        </w:rPr>
        <w:sectPr w:rsidR="00C23CB1" w:rsidSect="00956164">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FD38D5C" w14:textId="3139450D" w:rsidR="00C23CB1" w:rsidRPr="00ED1C75" w:rsidRDefault="00C23CB1" w:rsidP="00C23CB1">
      <w:pPr>
        <w:rPr>
          <w:rFonts w:ascii="Times New Roman" w:hAnsi="Times New Roman" w:cs="Times New Roman"/>
          <w:b/>
          <w:bCs/>
          <w:noProof/>
          <w:sz w:val="24"/>
          <w:szCs w:val="24"/>
          <w:u w:val="single"/>
        </w:rPr>
      </w:pPr>
      <w:bookmarkStart w:id="1" w:name="_GoBack"/>
      <w:bookmarkEnd w:id="1"/>
      <w:r>
        <w:rPr>
          <w:rFonts w:ascii="Times New Roman" w:hAnsi="Times New Roman"/>
          <w:b/>
          <w:noProof/>
          <w:sz w:val="24"/>
          <w:u w:val="single"/>
        </w:rPr>
        <w:lastRenderedPageBreak/>
        <w:t>Introduction</w:t>
      </w:r>
    </w:p>
    <w:p w14:paraId="71E2FCB4" w14:textId="7806C162" w:rsidR="00C23CB1" w:rsidRPr="00AA2510" w:rsidRDefault="00C23CB1" w:rsidP="00C23CB1">
      <w:pPr>
        <w:jc w:val="both"/>
        <w:rPr>
          <w:rFonts w:ascii="Times New Roman" w:hAnsi="Times New Roman" w:cs="Times New Roman"/>
          <w:noProof/>
          <w:color w:val="000000"/>
          <w:sz w:val="24"/>
          <w:szCs w:val="24"/>
          <w:shd w:val="clear" w:color="auto" w:fill="FFFFFF"/>
        </w:rPr>
      </w:pPr>
      <w:bookmarkStart w:id="2" w:name="_Hlk158296309"/>
      <w:bookmarkStart w:id="3" w:name="_Hlk151386416"/>
      <w:r>
        <w:rPr>
          <w:rFonts w:ascii="Times New Roman" w:hAnsi="Times New Roman"/>
          <w:noProof/>
          <w:sz w:val="24"/>
        </w:rPr>
        <w:t xml:space="preserve">Le marché unique de l’UE, l’un des plus grands marchés intégrés au monde, est le maître-mot de notre compétitivité. Fort de plus de </w:t>
      </w:r>
      <w:r w:rsidRPr="00F3116B">
        <w:rPr>
          <w:rFonts w:ascii="Times New Roman" w:hAnsi="Times New Roman"/>
          <w:noProof/>
          <w:sz w:val="24"/>
        </w:rPr>
        <w:t>440</w:t>
      </w:r>
      <w:r>
        <w:rPr>
          <w:rFonts w:ascii="Times New Roman" w:hAnsi="Times New Roman"/>
          <w:noProof/>
          <w:sz w:val="24"/>
        </w:rPr>
        <w:t xml:space="preserve"> millions de consommateurs et de grandes économies d’échelle, il a permis à l’UE de devenir le plus grand bloc commercial au monde — </w:t>
      </w:r>
      <w:r>
        <w:rPr>
          <w:rFonts w:ascii="Times New Roman" w:hAnsi="Times New Roman"/>
          <w:noProof/>
          <w:color w:val="000000"/>
          <w:sz w:val="24"/>
          <w:shd w:val="clear" w:color="auto" w:fill="FFFFFF"/>
        </w:rPr>
        <w:t>ses entreprises comptent pour un quart des exportations mondiales dans le secteur des services et pour un cinquième dans celui des biens de haute technologie</w:t>
      </w:r>
      <w:r>
        <w:rPr>
          <w:rStyle w:val="FootnoteReference"/>
          <w:rFonts w:ascii="Times New Roman" w:hAnsi="Times New Roman" w:cs="Times New Roman"/>
          <w:noProof/>
          <w:color w:val="000000"/>
          <w:sz w:val="24"/>
          <w:szCs w:val="24"/>
          <w:shd w:val="clear" w:color="auto" w:fill="FFFFFF"/>
          <w:lang w:val="en-IE"/>
        </w:rPr>
        <w:footnoteReference w:id="2"/>
      </w:r>
      <w:r>
        <w:rPr>
          <w:rFonts w:ascii="Times New Roman" w:hAnsi="Times New Roman"/>
          <w:noProof/>
          <w:sz w:val="24"/>
        </w:rPr>
        <w:t xml:space="preserve"> — et de s’imposer comme une destination attractive pour les investissements étrangers. </w:t>
      </w:r>
      <w:r w:rsidRPr="00621345">
        <w:rPr>
          <w:rFonts w:ascii="Times New Roman" w:hAnsi="Times New Roman" w:cs="Times New Roman"/>
          <w:noProof/>
          <w:sz w:val="24"/>
          <w:szCs w:val="24"/>
        </w:rPr>
        <w:t>Son cadre macroéconomique stable et ses infrastructures de haute qualité en font un environnement propice aux investissements et sont ancrés dans un solide modèle d’économie sociale de marché, dont ils sont le ciment.</w:t>
      </w:r>
      <w:bookmarkEnd w:id="2"/>
      <w:r>
        <w:rPr>
          <w:rFonts w:ascii="Times New Roman" w:hAnsi="Times New Roman"/>
          <w:noProof/>
          <w:sz w:val="24"/>
        </w:rPr>
        <w:t xml:space="preserve"> </w:t>
      </w:r>
    </w:p>
    <w:p w14:paraId="2C057004" w14:textId="236D52E4" w:rsidR="00C23CB1" w:rsidRDefault="00C23CB1" w:rsidP="00C23CB1">
      <w:pPr>
        <w:jc w:val="both"/>
        <w:rPr>
          <w:rFonts w:ascii="Times New Roman" w:hAnsi="Times New Roman" w:cs="Times New Roman"/>
          <w:noProof/>
          <w:color w:val="000000"/>
          <w:sz w:val="24"/>
          <w:szCs w:val="24"/>
          <w:shd w:val="clear" w:color="auto" w:fill="FFFFFF"/>
        </w:rPr>
      </w:pPr>
      <w:bookmarkStart w:id="4" w:name="_Hlk158296362"/>
      <w:r>
        <w:rPr>
          <w:rFonts w:ascii="Times New Roman" w:hAnsi="Times New Roman"/>
          <w:noProof/>
          <w:color w:val="000000" w:themeColor="text1"/>
          <w:sz w:val="24"/>
        </w:rPr>
        <w:t xml:space="preserve">L’enchaînement de crises successives, tout récemment, a montré combien il était important de renforcer la résilience du marché unique. </w:t>
      </w:r>
      <w:r>
        <w:rPr>
          <w:rFonts w:ascii="Times New Roman" w:hAnsi="Times New Roman"/>
          <w:noProof/>
          <w:color w:val="000000"/>
          <w:sz w:val="24"/>
          <w:shd w:val="clear" w:color="auto" w:fill="FFFFFF"/>
        </w:rPr>
        <w:t>La Commission a pris des initiatives majeures pour préserver l’intégrité du marché unique et renforcer la base industrielle de l’UE tant an moment de la pandémie de COVID-</w:t>
      </w:r>
      <w:r w:rsidRPr="00F3116B">
        <w:rPr>
          <w:rFonts w:ascii="Times New Roman" w:hAnsi="Times New Roman"/>
          <w:noProof/>
          <w:color w:val="000000"/>
          <w:sz w:val="24"/>
          <w:shd w:val="clear" w:color="auto" w:fill="FFFFFF"/>
        </w:rPr>
        <w:t>19</w:t>
      </w:r>
      <w:r>
        <w:rPr>
          <w:rFonts w:ascii="Times New Roman" w:hAnsi="Times New Roman"/>
          <w:noProof/>
          <w:color w:val="000000"/>
          <w:sz w:val="24"/>
          <w:shd w:val="clear" w:color="auto" w:fill="FFFFFF"/>
        </w:rPr>
        <w:t xml:space="preserve"> qu’après la guerre d’agression de la Russie contre l’Ukraine. Dans ce contexte difficile et au vu d’une concurrence mondiale croissante, la Commission s’efforce de combiner la double transition verte et numérique avec un marché unique compétitif et durable qui ne laisse personne de côté. Un marché unique qui fonctionne présente des avantages pour les consommateurs qui peuvent bénéficier de prix plus bas, d’une offre plus diversifiée et d’une meilleure protection de leurs droits communs.</w:t>
      </w:r>
    </w:p>
    <w:p w14:paraId="67A70F36" w14:textId="77777777" w:rsidR="00C23CB1" w:rsidRPr="009E470B" w:rsidRDefault="00C23CB1" w:rsidP="00C23CB1">
      <w:pPr>
        <w:jc w:val="both"/>
        <w:rPr>
          <w:rFonts w:ascii="Times New Roman" w:hAnsi="Times New Roman" w:cs="Times New Roman"/>
          <w:noProof/>
          <w:color w:val="000000"/>
          <w:sz w:val="24"/>
          <w:szCs w:val="24"/>
          <w:shd w:val="clear" w:color="auto" w:fill="FFFFFF"/>
        </w:rPr>
      </w:pPr>
      <w:bookmarkStart w:id="5" w:name="_Hlk158296425"/>
      <w:bookmarkEnd w:id="4"/>
      <w:r>
        <w:rPr>
          <w:rFonts w:ascii="Times New Roman" w:hAnsi="Times New Roman"/>
          <w:noProof/>
          <w:color w:val="000000"/>
          <w:sz w:val="24"/>
          <w:shd w:val="clear" w:color="auto" w:fill="FFFFFF"/>
        </w:rPr>
        <w:t>L’UE peut compter sur des atouts</w:t>
      </w:r>
      <w:bookmarkStart w:id="6" w:name="_Int_aWrTItlK"/>
      <w:r>
        <w:rPr>
          <w:rFonts w:ascii="Times New Roman" w:hAnsi="Times New Roman"/>
          <w:noProof/>
          <w:color w:val="000000"/>
          <w:sz w:val="24"/>
          <w:shd w:val="clear" w:color="auto" w:fill="FFFFFF"/>
        </w:rPr>
        <w:t xml:space="preserve"> considérables</w:t>
      </w:r>
      <w:bookmarkEnd w:id="6"/>
      <w:r>
        <w:rPr>
          <w:rFonts w:ascii="Times New Roman" w:hAnsi="Times New Roman"/>
          <w:noProof/>
          <w:color w:val="000000"/>
          <w:sz w:val="24"/>
          <w:shd w:val="clear" w:color="auto" w:fill="FFFFFF"/>
        </w:rPr>
        <w:t xml:space="preserve">: </w:t>
      </w:r>
      <w:r>
        <w:rPr>
          <w:rFonts w:ascii="Times New Roman" w:hAnsi="Times New Roman"/>
          <w:noProof/>
          <w:sz w:val="24"/>
        </w:rPr>
        <w:t>des ingénieurs hautement qualifiés, l’excellence dans la recherche, des infrastructures de qualité, une base manufacturière solide, un secteur des services robuste, un avantage concurrentiel dans le développement de technologies propres, d’ordinateurs à haute performance, de technologies quantiques et numériques porteuses de transformation — et, bien entendu, son marché unique qui sert de tremplin.</w:t>
      </w:r>
      <w:r>
        <w:rPr>
          <w:rFonts w:ascii="Times New Roman" w:hAnsi="Times New Roman"/>
          <w:noProof/>
          <w:color w:val="000000"/>
          <w:sz w:val="24"/>
          <w:shd w:val="clear" w:color="auto" w:fill="FFFFFF"/>
        </w:rPr>
        <w:t xml:space="preserve"> </w:t>
      </w:r>
    </w:p>
    <w:p w14:paraId="0EFF6895" w14:textId="5FB0E6CE" w:rsidR="00C23CB1" w:rsidRDefault="00C23CB1" w:rsidP="00C23CB1">
      <w:pPr>
        <w:jc w:val="both"/>
        <w:rPr>
          <w:rFonts w:ascii="Times New Roman" w:hAnsi="Times New Roman" w:cs="Times New Roman"/>
          <w:noProof/>
          <w:color w:val="000000"/>
          <w:sz w:val="24"/>
          <w:szCs w:val="24"/>
          <w:shd w:val="clear" w:color="auto" w:fill="FFFFFF"/>
        </w:rPr>
      </w:pPr>
      <w:bookmarkStart w:id="7" w:name="_Hlk158296454"/>
      <w:bookmarkEnd w:id="5"/>
      <w:r>
        <w:rPr>
          <w:rFonts w:ascii="Times New Roman" w:hAnsi="Times New Roman"/>
          <w:noProof/>
          <w:color w:val="000000"/>
          <w:sz w:val="24"/>
          <w:shd w:val="clear" w:color="auto" w:fill="FFFFFF"/>
        </w:rPr>
        <w:t>Néanmoins, l’économie européenne est confrontée à des défis — anciens ou plus récents — liés au changement climatique, aux mutations géopolitiques, à l’accélération technologique, aux prix élevés de l’énergie, aux déficits démographiques et aux pénuries de main-d’œuvre et de compétences, aux dépendances stratégiques et à la concurrence internationale déloyale.</w:t>
      </w:r>
      <w:bookmarkEnd w:id="7"/>
      <w:r>
        <w:rPr>
          <w:rFonts w:ascii="Times New Roman" w:hAnsi="Times New Roman"/>
          <w:noProof/>
          <w:color w:val="000000"/>
          <w:sz w:val="24"/>
          <w:shd w:val="clear" w:color="auto" w:fill="FFFFFF"/>
        </w:rPr>
        <w:t xml:space="preserve"> </w:t>
      </w:r>
    </w:p>
    <w:p w14:paraId="775BC70F" w14:textId="77777777" w:rsidR="00C23CB1" w:rsidRDefault="00C23CB1" w:rsidP="00C23CB1">
      <w:pPr>
        <w:jc w:val="both"/>
        <w:rPr>
          <w:rFonts w:ascii="Times New Roman" w:hAnsi="Times New Roman" w:cs="Times New Roman"/>
          <w:noProof/>
          <w:color w:val="000000"/>
          <w:sz w:val="24"/>
          <w:szCs w:val="24"/>
          <w:shd w:val="clear" w:color="auto" w:fill="FFFFFF"/>
        </w:rPr>
      </w:pPr>
      <w:bookmarkStart w:id="8" w:name="_Hlk158296499"/>
      <w:r>
        <w:rPr>
          <w:rFonts w:ascii="Times New Roman" w:hAnsi="Times New Roman"/>
          <w:noProof/>
          <w:color w:val="000000"/>
          <w:sz w:val="24"/>
          <w:shd w:val="clear" w:color="auto" w:fill="FFFFFF"/>
        </w:rPr>
        <w:t xml:space="preserve">En </w:t>
      </w:r>
      <w:r w:rsidRPr="00F3116B">
        <w:rPr>
          <w:rFonts w:ascii="Times New Roman" w:hAnsi="Times New Roman"/>
          <w:noProof/>
          <w:color w:val="000000"/>
          <w:sz w:val="24"/>
          <w:shd w:val="clear" w:color="auto" w:fill="FFFFFF"/>
        </w:rPr>
        <w:t>2023</w:t>
      </w:r>
      <w:r>
        <w:rPr>
          <w:rFonts w:ascii="Times New Roman" w:hAnsi="Times New Roman"/>
          <w:noProof/>
          <w:color w:val="000000"/>
          <w:sz w:val="24"/>
          <w:shd w:val="clear" w:color="auto" w:fill="FFFFFF"/>
        </w:rPr>
        <w:t xml:space="preserve">, la </w:t>
      </w:r>
      <w:r>
        <w:rPr>
          <w:rFonts w:ascii="Times New Roman" w:hAnsi="Times New Roman"/>
          <w:b/>
          <w:bCs/>
          <w:noProof/>
          <w:color w:val="000000"/>
          <w:sz w:val="24"/>
          <w:shd w:val="clear" w:color="auto" w:fill="FFFFFF"/>
        </w:rPr>
        <w:t xml:space="preserve">communication «Le marché unique a </w:t>
      </w:r>
      <w:r w:rsidRPr="00F3116B">
        <w:rPr>
          <w:rFonts w:ascii="Times New Roman" w:hAnsi="Times New Roman"/>
          <w:b/>
          <w:bCs/>
          <w:noProof/>
          <w:color w:val="000000"/>
          <w:sz w:val="24"/>
          <w:shd w:val="clear" w:color="auto" w:fill="FFFFFF"/>
        </w:rPr>
        <w:t>30</w:t>
      </w:r>
      <w:r>
        <w:rPr>
          <w:rFonts w:ascii="Times New Roman" w:hAnsi="Times New Roman"/>
          <w:b/>
          <w:bCs/>
          <w:noProof/>
          <w:color w:val="000000"/>
          <w:sz w:val="24"/>
          <w:shd w:val="clear" w:color="auto" w:fill="FFFFFF"/>
        </w:rPr>
        <w:t xml:space="preserve"> ans»</w:t>
      </w:r>
      <w:r w:rsidRPr="00DF2D3C">
        <w:rPr>
          <w:rStyle w:val="FootnoteReference"/>
          <w:rFonts w:ascii="Times New Roman" w:hAnsi="Times New Roman" w:cs="Times New Roman"/>
          <w:noProof/>
          <w:color w:val="000000"/>
          <w:sz w:val="24"/>
          <w:szCs w:val="24"/>
          <w:shd w:val="clear" w:color="auto" w:fill="FFFFFF"/>
          <w:lang w:val="en-IE"/>
        </w:rPr>
        <w:footnoteReference w:id="3"/>
      </w:r>
      <w:r>
        <w:rPr>
          <w:rFonts w:ascii="Times New Roman" w:hAnsi="Times New Roman"/>
          <w:noProof/>
          <w:color w:val="000000"/>
          <w:sz w:val="24"/>
          <w:shd w:val="clear" w:color="auto" w:fill="FFFFFF"/>
        </w:rPr>
        <w:t xml:space="preserve"> a examiné la voie à suivre pour approfondir le marché unique afin d’exploiter pleinement son potentiel.</w:t>
      </w:r>
      <w:r>
        <w:rPr>
          <w:rFonts w:ascii="Arial" w:hAnsi="Arial"/>
          <w:noProof/>
          <w:color w:val="000000"/>
          <w:sz w:val="27"/>
        </w:rPr>
        <w:t xml:space="preserve"> </w:t>
      </w:r>
      <w:r w:rsidRPr="00C333D6">
        <w:rPr>
          <w:rFonts w:ascii="Times New Roman" w:hAnsi="Times New Roman" w:cs="Times New Roman"/>
          <w:noProof/>
          <w:color w:val="000000"/>
          <w:sz w:val="24"/>
          <w:szCs w:val="24"/>
        </w:rPr>
        <w:t xml:space="preserve">En parallèle, la </w:t>
      </w:r>
      <w:r w:rsidRPr="00C333D6">
        <w:rPr>
          <w:rFonts w:ascii="Times New Roman" w:hAnsi="Times New Roman" w:cs="Times New Roman"/>
          <w:b/>
          <w:bCs/>
          <w:noProof/>
          <w:color w:val="000000"/>
          <w:sz w:val="24"/>
          <w:szCs w:val="24"/>
        </w:rPr>
        <w:t>communication sur la compétitivité à long terme</w:t>
      </w:r>
      <w:r w:rsidRPr="00C333D6">
        <w:rPr>
          <w:rStyle w:val="FootnoteReference"/>
          <w:rFonts w:ascii="Times New Roman" w:hAnsi="Times New Roman" w:cs="Times New Roman"/>
          <w:noProof/>
          <w:color w:val="000000"/>
          <w:sz w:val="24"/>
          <w:szCs w:val="24"/>
          <w:shd w:val="clear" w:color="auto" w:fill="FFFFFF"/>
          <w:lang w:val="en-IE"/>
        </w:rPr>
        <w:footnoteReference w:id="4"/>
      </w:r>
      <w:r w:rsidRPr="00C333D6">
        <w:rPr>
          <w:rFonts w:ascii="Times New Roman" w:hAnsi="Times New Roman" w:cs="Times New Roman"/>
          <w:noProof/>
          <w:color w:val="000000"/>
          <w:sz w:val="24"/>
          <w:szCs w:val="24"/>
        </w:rPr>
        <w:t xml:space="preserve"> a fourni une vue d’ensemble des défis en matière de compétitivité et les a évalués à l’aune de neuf facteurs de compétitivité (voir figure </w:t>
      </w:r>
      <w:r w:rsidRPr="00F3116B">
        <w:rPr>
          <w:rFonts w:ascii="Times New Roman" w:hAnsi="Times New Roman" w:cs="Times New Roman"/>
          <w:noProof/>
          <w:color w:val="000000"/>
          <w:sz w:val="24"/>
          <w:szCs w:val="24"/>
        </w:rPr>
        <w:t>1</w:t>
      </w:r>
      <w:r w:rsidRPr="00C333D6">
        <w:rPr>
          <w:rFonts w:ascii="Times New Roman" w:hAnsi="Times New Roman" w:cs="Times New Roman"/>
          <w:noProof/>
          <w:color w:val="000000"/>
          <w:sz w:val="24"/>
          <w:szCs w:val="24"/>
        </w:rPr>
        <w:t>).</w:t>
      </w:r>
      <w:r w:rsidRPr="00C333D6">
        <w:rPr>
          <w:rFonts w:ascii="Times New Roman" w:hAnsi="Times New Roman" w:cs="Times New Roman"/>
          <w:noProof/>
          <w:color w:val="000000"/>
          <w:sz w:val="24"/>
          <w:szCs w:val="24"/>
          <w:shd w:val="clear" w:color="auto" w:fill="FFFFFF"/>
        </w:rPr>
        <w:t xml:space="preserve"> </w:t>
      </w:r>
      <w:r w:rsidRPr="00C333D6">
        <w:rPr>
          <w:rFonts w:ascii="Times New Roman" w:hAnsi="Times New Roman" w:cs="Times New Roman"/>
          <w:noProof/>
          <w:sz w:val="24"/>
          <w:szCs w:val="24"/>
        </w:rPr>
        <w:t xml:space="preserve">La présente </w:t>
      </w:r>
      <w:r w:rsidRPr="00C333D6">
        <w:rPr>
          <w:rFonts w:ascii="Times New Roman" w:hAnsi="Times New Roman" w:cs="Times New Roman"/>
          <w:b/>
          <w:bCs/>
          <w:noProof/>
          <w:sz w:val="24"/>
          <w:szCs w:val="24"/>
        </w:rPr>
        <w:t>communication propose une analyse du marché unique et de sa compétitivité</w:t>
      </w:r>
      <w:r w:rsidRPr="00C333D6">
        <w:rPr>
          <w:rFonts w:ascii="Times New Roman" w:hAnsi="Times New Roman" w:cs="Times New Roman"/>
          <w:noProof/>
          <w:sz w:val="24"/>
          <w:szCs w:val="24"/>
        </w:rPr>
        <w:t xml:space="preserve">, </w:t>
      </w:r>
      <w:r w:rsidRPr="00C333D6">
        <w:rPr>
          <w:rFonts w:ascii="Times New Roman" w:hAnsi="Times New Roman" w:cs="Times New Roman"/>
          <w:b/>
          <w:bCs/>
          <w:noProof/>
          <w:sz w:val="24"/>
          <w:szCs w:val="24"/>
        </w:rPr>
        <w:t>articulée autour de ces neuf facteurs de compétitivité</w:t>
      </w:r>
      <w:r w:rsidRPr="00C333D6">
        <w:rPr>
          <w:rFonts w:ascii="Times New Roman" w:hAnsi="Times New Roman" w:cs="Times New Roman"/>
          <w:noProof/>
          <w:sz w:val="24"/>
          <w:szCs w:val="24"/>
        </w:rPr>
        <w:t xml:space="preserve"> et des indicateurs clés de performance (ICP) qui sont associés.</w:t>
      </w:r>
      <w:r w:rsidRPr="00C333D6">
        <w:rPr>
          <w:rFonts w:ascii="Times New Roman" w:hAnsi="Times New Roman" w:cs="Times New Roman"/>
          <w:noProof/>
          <w:color w:val="000000"/>
          <w:sz w:val="24"/>
          <w:szCs w:val="24"/>
          <w:shd w:val="clear" w:color="auto" w:fill="FFFFFF"/>
        </w:rPr>
        <w:t xml:space="preserve"> Elle identifie également les priorités futures et recommande des actions s’il y a lieu.</w:t>
      </w:r>
    </w:p>
    <w:bookmarkEnd w:id="8"/>
    <w:p w14:paraId="16F08DBA" w14:textId="77777777" w:rsidR="00C23CB1" w:rsidRPr="00A8634D" w:rsidRDefault="00C23CB1" w:rsidP="00C23CB1">
      <w:pPr>
        <w:jc w:val="both"/>
        <w:rPr>
          <w:noProof/>
        </w:rPr>
      </w:pPr>
      <w:r>
        <w:rPr>
          <w:rFonts w:ascii="Times New Roman" w:hAnsi="Times New Roman"/>
          <w:noProof/>
          <w:sz w:val="24"/>
        </w:rPr>
        <w:t>La Commission contribue ainsi à un premier cycle annuel de discussions entre le Conseil, le Conseil européen et le Parlement européen au sujet des progrès accomplis et des mesures nécessaires en ce qui concerne l’avenir du marché unique et la compétitivité.</w:t>
      </w:r>
    </w:p>
    <w:p w14:paraId="2579D50A" w14:textId="77777777" w:rsidR="00C23CB1" w:rsidRPr="004847C3" w:rsidRDefault="00C23CB1" w:rsidP="00C23CB1">
      <w:pPr>
        <w:rPr>
          <w:noProof/>
          <w:lang w:val="fr-BE"/>
        </w:rPr>
      </w:pPr>
    </w:p>
    <w:p w14:paraId="02A1302C" w14:textId="4599DAC3" w:rsidR="00C23CB1" w:rsidRDefault="00C23CB1" w:rsidP="00C23CB1">
      <w:pPr>
        <w:pStyle w:val="Caption"/>
        <w:rPr>
          <w:rFonts w:ascii="Times New Roman" w:hAnsi="Times New Roman"/>
          <w:noProof/>
          <w:color w:val="auto"/>
          <w:sz w:val="22"/>
        </w:rPr>
      </w:pPr>
      <w:r>
        <w:rPr>
          <w:rFonts w:ascii="Times New Roman" w:hAnsi="Times New Roman"/>
          <w:noProof/>
          <w:color w:val="auto"/>
          <w:sz w:val="22"/>
        </w:rPr>
        <w:t xml:space="preserve">Figure </w:t>
      </w:r>
      <w:r w:rsidRPr="00A8634D">
        <w:rPr>
          <w:rFonts w:ascii="Times New Roman" w:hAnsi="Times New Roman" w:cs="Times New Roman"/>
          <w:noProof/>
          <w:color w:val="auto"/>
          <w:sz w:val="22"/>
        </w:rPr>
        <w:fldChar w:fldCharType="begin" w:fldLock="1"/>
      </w:r>
      <w:r w:rsidRPr="00A8634D">
        <w:rPr>
          <w:rFonts w:ascii="Times New Roman" w:hAnsi="Times New Roman" w:cs="Times New Roman"/>
          <w:noProof/>
          <w:color w:val="auto"/>
          <w:sz w:val="22"/>
        </w:rPr>
        <w:instrText xml:space="preserve"> SEQ Figure \* ARABIC </w:instrText>
      </w:r>
      <w:r w:rsidRPr="00A8634D">
        <w:rPr>
          <w:rFonts w:ascii="Times New Roman" w:hAnsi="Times New Roman" w:cs="Times New Roman"/>
          <w:noProof/>
          <w:color w:val="auto"/>
          <w:sz w:val="22"/>
        </w:rPr>
        <w:fldChar w:fldCharType="separate"/>
      </w:r>
      <w:r w:rsidR="00C775B5" w:rsidRPr="00F3116B">
        <w:rPr>
          <w:rFonts w:ascii="Times New Roman" w:hAnsi="Times New Roman" w:cs="Times New Roman"/>
          <w:noProof/>
          <w:color w:val="auto"/>
          <w:sz w:val="22"/>
        </w:rPr>
        <w:t>1</w:t>
      </w:r>
      <w:r w:rsidRPr="00A8634D">
        <w:rPr>
          <w:rFonts w:ascii="Times New Roman" w:hAnsi="Times New Roman" w:cs="Times New Roman"/>
          <w:noProof/>
          <w:color w:val="auto"/>
          <w:sz w:val="22"/>
        </w:rPr>
        <w:fldChar w:fldCharType="end"/>
      </w:r>
      <w:r>
        <w:rPr>
          <w:rFonts w:ascii="Times New Roman" w:hAnsi="Times New Roman"/>
          <w:noProof/>
          <w:color w:val="auto"/>
          <w:sz w:val="22"/>
        </w:rPr>
        <w:t>: Définition de la compétitivité fondée sur neuf facteurs</w:t>
      </w:r>
    </w:p>
    <w:p w14:paraId="373EFEA3" w14:textId="73F734FD" w:rsidR="009312EA" w:rsidRPr="009312EA" w:rsidRDefault="009312EA" w:rsidP="009312EA">
      <w:pPr>
        <w:rPr>
          <w:noProof/>
        </w:rPr>
      </w:pPr>
      <w:r>
        <w:rPr>
          <w:noProof/>
          <w:lang w:val="en-GB" w:eastAsia="en-GB"/>
        </w:rPr>
        <w:drawing>
          <wp:inline distT="0" distB="0" distL="0" distR="0" wp14:anchorId="6DB8D275" wp14:editId="6C640462">
            <wp:extent cx="6573079" cy="3697357"/>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 r:embed="rId16"/>
                        </a:ext>
                      </a:extLst>
                    </a:blip>
                    <a:stretch>
                      <a:fillRect/>
                    </a:stretch>
                  </pic:blipFill>
                  <pic:spPr>
                    <a:xfrm>
                      <a:off x="0" y="0"/>
                      <a:ext cx="6573079" cy="3697357"/>
                    </a:xfrm>
                    <a:prstGeom prst="rect">
                      <a:avLst/>
                    </a:prstGeom>
                  </pic:spPr>
                </pic:pic>
              </a:graphicData>
            </a:graphic>
          </wp:inline>
        </w:drawing>
      </w:r>
    </w:p>
    <w:p w14:paraId="45DDCF23" w14:textId="47F52B80" w:rsidR="009312EA" w:rsidRPr="005E29D7" w:rsidRDefault="009312EA" w:rsidP="00C23CB1">
      <w:pPr>
        <w:keepNext/>
        <w:jc w:val="both"/>
        <w:rPr>
          <w:rFonts w:ascii="Times New Roman" w:hAnsi="Times New Roman" w:cs="Times New Roman"/>
          <w:noProof/>
        </w:rPr>
      </w:pPr>
    </w:p>
    <w:p w14:paraId="2D0E08E4" w14:textId="77777777" w:rsidR="00C23CB1" w:rsidRPr="00605A1A" w:rsidRDefault="00C23CB1" w:rsidP="00C23CB1">
      <w:pPr>
        <w:keepNext/>
        <w:jc w:val="both"/>
        <w:rPr>
          <w:rFonts w:ascii="EC Square Sans Cond Pro" w:hAnsi="EC Square Sans Cond Pro"/>
          <w:noProof/>
          <w:color w:val="4472C4" w:themeColor="accent1"/>
          <w:sz w:val="20"/>
          <w:szCs w:val="20"/>
        </w:rPr>
      </w:pPr>
      <w:r>
        <w:rPr>
          <w:rFonts w:ascii="EC Square Sans Cond Pro" w:hAnsi="EC Square Sans Cond Pro"/>
          <w:noProof/>
          <w:color w:val="4472C4" w:themeColor="accent1"/>
          <w:sz w:val="20"/>
        </w:rPr>
        <w:t xml:space="preserve">Source: </w:t>
      </w:r>
      <w:r>
        <w:rPr>
          <w:noProof/>
        </w:rPr>
        <w:t xml:space="preserve">Communication sur la compétitivité à long terme </w:t>
      </w:r>
      <w:bookmarkStart w:id="10" w:name="_Int_QfvyO5PV"/>
      <w:r>
        <w:rPr>
          <w:noProof/>
        </w:rPr>
        <w:t xml:space="preserve">(COM </w:t>
      </w:r>
      <w:bookmarkEnd w:id="10"/>
      <w:r>
        <w:rPr>
          <w:noProof/>
        </w:rPr>
        <w:t>(</w:t>
      </w:r>
      <w:r w:rsidRPr="00F3116B">
        <w:rPr>
          <w:noProof/>
        </w:rPr>
        <w:t>2023</w:t>
      </w:r>
      <w:r>
        <w:rPr>
          <w:noProof/>
        </w:rPr>
        <w:t>) </w:t>
      </w:r>
      <w:r w:rsidRPr="00F3116B">
        <w:rPr>
          <w:noProof/>
        </w:rPr>
        <w:t>168</w:t>
      </w:r>
      <w:r>
        <w:rPr>
          <w:noProof/>
        </w:rPr>
        <w:t>).</w:t>
      </w:r>
    </w:p>
    <w:p w14:paraId="0E77DF09" w14:textId="77777777" w:rsidR="00C23CB1" w:rsidRPr="00605A1A" w:rsidRDefault="00C23CB1" w:rsidP="00C23CB1">
      <w:pPr>
        <w:keepNext/>
        <w:jc w:val="both"/>
        <w:rPr>
          <w:rFonts w:ascii="EC Square Sans Cond Pro" w:hAnsi="EC Square Sans Cond Pro"/>
          <w:noProof/>
          <w:color w:val="4472C4" w:themeColor="accent1"/>
          <w:sz w:val="20"/>
          <w:szCs w:val="16"/>
        </w:rPr>
      </w:pPr>
    </w:p>
    <w:p w14:paraId="27B40555" w14:textId="77777777" w:rsidR="00C23CB1" w:rsidRPr="006A5513" w:rsidRDefault="00C23CB1" w:rsidP="00C23CB1">
      <w:pPr>
        <w:pStyle w:val="ListParagraph"/>
        <w:keepNext/>
        <w:numPr>
          <w:ilvl w:val="0"/>
          <w:numId w:val="36"/>
        </w:numPr>
        <w:spacing w:after="0" w:line="240" w:lineRule="auto"/>
        <w:ind w:left="714" w:hanging="357"/>
        <w:contextualSpacing w:val="0"/>
        <w:jc w:val="both"/>
        <w:rPr>
          <w:rFonts w:ascii="Times New Roman" w:hAnsi="Times New Roman" w:cs="Times New Roman"/>
          <w:noProof/>
          <w:color w:val="000000"/>
          <w:sz w:val="24"/>
          <w:szCs w:val="24"/>
          <w:shd w:val="clear" w:color="auto" w:fill="FFFFFF"/>
        </w:rPr>
      </w:pPr>
      <w:r>
        <w:rPr>
          <w:rFonts w:ascii="Times New Roman" w:hAnsi="Times New Roman"/>
          <w:b/>
          <w:noProof/>
          <w:sz w:val="24"/>
          <w:u w:val="single"/>
        </w:rPr>
        <w:t>Un marché unique performant</w:t>
      </w:r>
    </w:p>
    <w:p w14:paraId="403D5609" w14:textId="77777777" w:rsidR="00C23CB1" w:rsidRPr="00A8634D" w:rsidRDefault="00C23CB1" w:rsidP="00C23CB1">
      <w:pPr>
        <w:widowControl w:val="0"/>
        <w:autoSpaceDE w:val="0"/>
        <w:autoSpaceDN w:val="0"/>
        <w:spacing w:before="60" w:after="60" w:line="240" w:lineRule="auto"/>
        <w:ind w:left="108" w:right="136"/>
        <w:rPr>
          <w:rFonts w:ascii="Times New Roman" w:eastAsia="Times New Roman" w:hAnsi="Times New Roman" w:cs="Times New Roman"/>
          <w:noProof/>
          <w:color w:val="111111"/>
          <w:sz w:val="18"/>
          <w:szCs w:val="18"/>
          <w:lang w:val="en-US"/>
        </w:rPr>
      </w:pPr>
    </w:p>
    <w:tbl>
      <w:tblPr>
        <w:tblpPr w:leftFromText="180" w:rightFromText="180" w:vertAnchor="text" w:horzAnchor="margin" w:tblpY="-7"/>
        <w:tblW w:w="10009" w:type="dxa"/>
        <w:tblCellMar>
          <w:left w:w="0" w:type="dxa"/>
          <w:right w:w="0" w:type="dxa"/>
        </w:tblCellMar>
        <w:tblLook w:val="01E0" w:firstRow="1" w:lastRow="1" w:firstColumn="1" w:lastColumn="1" w:noHBand="0" w:noVBand="0"/>
      </w:tblPr>
      <w:tblGrid>
        <w:gridCol w:w="2625"/>
        <w:gridCol w:w="4342"/>
        <w:gridCol w:w="1083"/>
        <w:gridCol w:w="1959"/>
      </w:tblGrid>
      <w:tr w:rsidR="00C23CB1" w:rsidRPr="00F34019" w14:paraId="672A6C6D" w14:textId="77777777" w:rsidTr="00F34019">
        <w:trPr>
          <w:trHeight w:hRule="exact" w:val="727"/>
        </w:trPr>
        <w:tc>
          <w:tcPr>
            <w:tcW w:w="2625" w:type="dxa"/>
            <w:tcBorders>
              <w:top w:val="single" w:sz="4" w:space="0" w:color="auto"/>
              <w:bottom w:val="single" w:sz="4" w:space="0" w:color="auto"/>
            </w:tcBorders>
            <w:shd w:val="clear" w:color="auto" w:fill="B8CCE4"/>
            <w:vAlign w:val="center"/>
          </w:tcPr>
          <w:p w14:paraId="0C1A6E0A" w14:textId="77777777" w:rsidR="00C23CB1" w:rsidRPr="00F34019" w:rsidRDefault="00C23CB1" w:rsidP="00DA1CDE">
            <w:pPr>
              <w:widowControl w:val="0"/>
              <w:autoSpaceDE w:val="0"/>
              <w:autoSpaceDN w:val="0"/>
              <w:spacing w:after="60" w:line="275" w:lineRule="exact"/>
              <w:ind w:right="136"/>
              <w:jc w:val="both"/>
              <w:rPr>
                <w:rFonts w:ascii="Times New Roman" w:eastAsia="Palatino Linotype" w:hAnsi="Times New Roman" w:cs="Times New Roman"/>
                <w:b/>
                <w:noProof/>
                <w:color w:val="003063"/>
                <w:spacing w:val="26"/>
                <w:w w:val="90"/>
                <w:sz w:val="18"/>
                <w:szCs w:val="18"/>
              </w:rPr>
            </w:pPr>
            <w:r w:rsidRPr="00F34019">
              <w:rPr>
                <w:rFonts w:ascii="Times New Roman" w:hAnsi="Times New Roman"/>
                <w:b/>
                <w:noProof/>
                <w:color w:val="003063"/>
                <w:sz w:val="18"/>
                <w:szCs w:val="18"/>
              </w:rPr>
              <w:t>ICP</w:t>
            </w:r>
          </w:p>
        </w:tc>
        <w:tc>
          <w:tcPr>
            <w:tcW w:w="4342" w:type="dxa"/>
            <w:tcBorders>
              <w:top w:val="single" w:sz="4" w:space="0" w:color="auto"/>
              <w:bottom w:val="single" w:sz="4" w:space="0" w:color="auto"/>
            </w:tcBorders>
            <w:shd w:val="clear" w:color="auto" w:fill="B8CCE4"/>
            <w:vAlign w:val="center"/>
          </w:tcPr>
          <w:p w14:paraId="6CFC3625" w14:textId="77777777" w:rsidR="00C23CB1" w:rsidRPr="00F34019" w:rsidRDefault="00C23CB1" w:rsidP="00DA1CDE">
            <w:pPr>
              <w:widowControl w:val="0"/>
              <w:autoSpaceDE w:val="0"/>
              <w:autoSpaceDN w:val="0"/>
              <w:spacing w:after="60" w:line="275" w:lineRule="exact"/>
              <w:ind w:left="108" w:right="136"/>
              <w:jc w:val="both"/>
              <w:rPr>
                <w:rFonts w:ascii="Times New Roman" w:eastAsia="Palatino Linotype" w:hAnsi="Times New Roman" w:cs="Times New Roman"/>
                <w:b/>
                <w:noProof/>
                <w:color w:val="003063"/>
                <w:spacing w:val="26"/>
                <w:w w:val="90"/>
                <w:sz w:val="18"/>
                <w:szCs w:val="18"/>
              </w:rPr>
            </w:pPr>
            <w:r w:rsidRPr="00F34019">
              <w:rPr>
                <w:rFonts w:ascii="Times New Roman" w:hAnsi="Times New Roman"/>
                <w:b/>
                <w:noProof/>
                <w:color w:val="003063"/>
                <w:sz w:val="18"/>
                <w:szCs w:val="18"/>
              </w:rPr>
              <w:t>Description</w:t>
            </w:r>
          </w:p>
        </w:tc>
        <w:tc>
          <w:tcPr>
            <w:tcW w:w="1083" w:type="dxa"/>
            <w:tcBorders>
              <w:top w:val="single" w:sz="4" w:space="0" w:color="auto"/>
              <w:bottom w:val="single" w:sz="4" w:space="0" w:color="auto"/>
            </w:tcBorders>
            <w:shd w:val="clear" w:color="auto" w:fill="B8CCE4"/>
            <w:vAlign w:val="center"/>
          </w:tcPr>
          <w:p w14:paraId="22B61258" w14:textId="77777777" w:rsidR="00C23CB1" w:rsidRPr="00F34019" w:rsidRDefault="00C23CB1" w:rsidP="00DA1CDE">
            <w:pPr>
              <w:widowControl w:val="0"/>
              <w:autoSpaceDE w:val="0"/>
              <w:autoSpaceDN w:val="0"/>
              <w:spacing w:after="60" w:line="275" w:lineRule="exact"/>
              <w:ind w:left="108" w:right="136"/>
              <w:jc w:val="both"/>
              <w:rPr>
                <w:rFonts w:ascii="Times New Roman" w:eastAsia="Palatino Linotype" w:hAnsi="Times New Roman" w:cs="Times New Roman"/>
                <w:b/>
                <w:noProof/>
                <w:color w:val="003063"/>
                <w:spacing w:val="26"/>
                <w:w w:val="90"/>
                <w:sz w:val="18"/>
                <w:szCs w:val="18"/>
              </w:rPr>
            </w:pPr>
            <w:r w:rsidRPr="00F34019">
              <w:rPr>
                <w:rFonts w:ascii="Times New Roman" w:hAnsi="Times New Roman"/>
                <w:b/>
                <w:noProof/>
                <w:color w:val="003063"/>
                <w:sz w:val="18"/>
                <w:szCs w:val="18"/>
              </w:rPr>
              <w:t>Objectif</w:t>
            </w:r>
          </w:p>
        </w:tc>
        <w:tc>
          <w:tcPr>
            <w:tcW w:w="1959" w:type="dxa"/>
            <w:tcBorders>
              <w:top w:val="single" w:sz="4" w:space="0" w:color="auto"/>
              <w:bottom w:val="single" w:sz="4" w:space="0" w:color="auto"/>
            </w:tcBorders>
            <w:shd w:val="clear" w:color="auto" w:fill="B8CCE4"/>
            <w:vAlign w:val="center"/>
          </w:tcPr>
          <w:p w14:paraId="3DEA78D6" w14:textId="5D33180D" w:rsidR="00C23CB1" w:rsidRPr="00F34019" w:rsidRDefault="00C23CB1" w:rsidP="00DA1CDE">
            <w:pPr>
              <w:widowControl w:val="0"/>
              <w:autoSpaceDE w:val="0"/>
              <w:autoSpaceDN w:val="0"/>
              <w:spacing w:after="60" w:line="275" w:lineRule="exact"/>
              <w:ind w:left="108" w:right="136"/>
              <w:rPr>
                <w:rFonts w:ascii="Times New Roman" w:eastAsia="Palatino Linotype" w:hAnsi="Times New Roman" w:cs="Times New Roman"/>
                <w:b/>
                <w:noProof/>
                <w:color w:val="003063"/>
                <w:spacing w:val="26"/>
                <w:w w:val="90"/>
                <w:sz w:val="18"/>
                <w:szCs w:val="18"/>
              </w:rPr>
            </w:pPr>
            <w:r w:rsidRPr="00F34019">
              <w:rPr>
                <w:rFonts w:ascii="Times New Roman" w:hAnsi="Times New Roman"/>
                <w:b/>
                <w:noProof/>
                <w:sz w:val="18"/>
                <w:szCs w:val="18"/>
              </w:rPr>
              <w:t xml:space="preserve">Valeurs UE les </w:t>
            </w:r>
            <w:r w:rsidR="00F1263E" w:rsidRPr="00F34019">
              <w:rPr>
                <w:rFonts w:ascii="Times New Roman" w:hAnsi="Times New Roman"/>
                <w:b/>
                <w:noProof/>
                <w:sz w:val="18"/>
                <w:szCs w:val="18"/>
              </w:rPr>
              <w:t>plus récentes</w:t>
            </w:r>
            <w:r w:rsidRPr="00F34019">
              <w:rPr>
                <w:rFonts w:ascii="Times New Roman" w:eastAsia="Palatino Linotype" w:hAnsi="Times New Roman" w:cs="Times New Roman"/>
                <w:b/>
                <w:noProof/>
                <w:color w:val="003063"/>
                <w:spacing w:val="26"/>
                <w:w w:val="90"/>
                <w:sz w:val="18"/>
                <w:szCs w:val="18"/>
                <w:vertAlign w:val="superscript"/>
                <w:lang w:val="en-US"/>
              </w:rPr>
              <w:footnoteReference w:id="5"/>
            </w:r>
          </w:p>
        </w:tc>
      </w:tr>
      <w:tr w:rsidR="00C23CB1" w:rsidRPr="00F34019" w:rsidDel="00543597" w14:paraId="1078DD9B" w14:textId="77777777" w:rsidTr="00F34019">
        <w:trPr>
          <w:trHeight w:val="3248"/>
        </w:trPr>
        <w:tc>
          <w:tcPr>
            <w:tcW w:w="2625" w:type="dxa"/>
            <w:tcBorders>
              <w:top w:val="single" w:sz="4" w:space="0" w:color="auto"/>
              <w:bottom w:val="single" w:sz="4" w:space="0" w:color="808080" w:themeColor="background1" w:themeShade="80"/>
            </w:tcBorders>
            <w:shd w:val="clear" w:color="auto" w:fill="C2D69B"/>
          </w:tcPr>
          <w:p w14:paraId="618E84C3" w14:textId="77777777" w:rsidR="00C23CB1" w:rsidRPr="00F34019" w:rsidDel="00543597" w:rsidRDefault="00C23CB1" w:rsidP="00DA1CDE">
            <w:pPr>
              <w:widowControl w:val="0"/>
              <w:autoSpaceDE w:val="0"/>
              <w:autoSpaceDN w:val="0"/>
              <w:spacing w:before="60" w:after="60" w:line="240" w:lineRule="auto"/>
              <w:ind w:left="108" w:right="136"/>
              <w:rPr>
                <w:rFonts w:ascii="Times New Roman" w:eastAsia="Times New Roman" w:hAnsi="Times New Roman" w:cs="Times New Roman"/>
                <w:noProof/>
                <w:sz w:val="18"/>
                <w:szCs w:val="18"/>
              </w:rPr>
            </w:pPr>
            <w:r w:rsidRPr="00F34019">
              <w:rPr>
                <w:rFonts w:ascii="Times New Roman" w:hAnsi="Times New Roman"/>
                <w:noProof/>
                <w:color w:val="111111"/>
                <w:sz w:val="18"/>
                <w:szCs w:val="18"/>
              </w:rPr>
              <w:t xml:space="preserve">ICP 1: Intégration dans le marché unique </w:t>
            </w:r>
          </w:p>
        </w:tc>
        <w:tc>
          <w:tcPr>
            <w:tcW w:w="4342" w:type="dxa"/>
            <w:tcBorders>
              <w:top w:val="single" w:sz="4" w:space="0" w:color="auto"/>
              <w:bottom w:val="single" w:sz="4" w:space="0" w:color="808080" w:themeColor="background1" w:themeShade="80"/>
            </w:tcBorders>
            <w:shd w:val="clear" w:color="auto" w:fill="C2D69B"/>
          </w:tcPr>
          <w:p w14:paraId="33880DA6" w14:textId="77777777" w:rsidR="00C23CB1" w:rsidRPr="00F34019" w:rsidDel="00543597" w:rsidRDefault="00C23CB1" w:rsidP="00DA1CDE">
            <w:pPr>
              <w:widowControl w:val="0"/>
              <w:autoSpaceDE w:val="0"/>
              <w:autoSpaceDN w:val="0"/>
              <w:spacing w:before="60" w:after="60" w:line="240" w:lineRule="auto"/>
              <w:ind w:left="108" w:right="136"/>
              <w:jc w:val="both"/>
              <w:rPr>
                <w:rFonts w:ascii="Times New Roman" w:eastAsia="Times New Roman" w:hAnsi="Times New Roman" w:cs="Times New Roman"/>
                <w:noProof/>
                <w:sz w:val="18"/>
                <w:szCs w:val="18"/>
              </w:rPr>
            </w:pPr>
            <w:r w:rsidRPr="00F34019">
              <w:rPr>
                <w:rFonts w:ascii="Times New Roman" w:hAnsi="Times New Roman"/>
                <w:noProof/>
                <w:sz w:val="18"/>
                <w:szCs w:val="18"/>
              </w:rPr>
              <w:t>Intégration dans le marché unique: commerce par rapport au PIB</w:t>
            </w:r>
          </w:p>
        </w:tc>
        <w:tc>
          <w:tcPr>
            <w:tcW w:w="1083" w:type="dxa"/>
            <w:tcBorders>
              <w:top w:val="single" w:sz="4" w:space="0" w:color="auto"/>
              <w:bottom w:val="single" w:sz="4" w:space="0" w:color="808080" w:themeColor="background1" w:themeShade="80"/>
            </w:tcBorders>
            <w:shd w:val="clear" w:color="auto" w:fill="C2D69B"/>
          </w:tcPr>
          <w:p w14:paraId="058066DC" w14:textId="77777777" w:rsidR="00C23CB1" w:rsidRPr="00F34019" w:rsidDel="00543597" w:rsidRDefault="00C23CB1" w:rsidP="00DA1CDE">
            <w:pPr>
              <w:widowControl w:val="0"/>
              <w:autoSpaceDE w:val="0"/>
              <w:autoSpaceDN w:val="0"/>
              <w:spacing w:before="60" w:after="60" w:line="275" w:lineRule="exact"/>
              <w:ind w:left="108" w:right="136"/>
              <w:rPr>
                <w:rFonts w:ascii="Times New Roman" w:eastAsia="Times New Roman" w:hAnsi="Times New Roman" w:cs="Times New Roman"/>
                <w:noProof/>
                <w:sz w:val="18"/>
                <w:szCs w:val="18"/>
              </w:rPr>
            </w:pPr>
            <w:r w:rsidRPr="00F34019">
              <w:rPr>
                <w:rFonts w:ascii="Times New Roman" w:hAnsi="Times New Roman"/>
                <w:noProof/>
                <w:sz w:val="18"/>
                <w:szCs w:val="18"/>
              </w:rPr>
              <w:t>Hausse</w:t>
            </w:r>
          </w:p>
        </w:tc>
        <w:tc>
          <w:tcPr>
            <w:tcW w:w="1959" w:type="dxa"/>
            <w:tcBorders>
              <w:top w:val="single" w:sz="4" w:space="0" w:color="auto"/>
              <w:bottom w:val="single" w:sz="4" w:space="0" w:color="808080" w:themeColor="background1" w:themeShade="80"/>
            </w:tcBorders>
            <w:shd w:val="clear" w:color="auto" w:fill="C2D69B"/>
          </w:tcPr>
          <w:p w14:paraId="29F6B953" w14:textId="77777777" w:rsidR="00C23CB1" w:rsidRPr="00F34019" w:rsidDel="00543597" w:rsidRDefault="00C23CB1" w:rsidP="00DA1CDE">
            <w:pPr>
              <w:widowControl w:val="0"/>
              <w:autoSpaceDE w:val="0"/>
              <w:autoSpaceDN w:val="0"/>
              <w:spacing w:before="60" w:after="60" w:line="275" w:lineRule="exact"/>
              <w:ind w:left="108" w:right="136"/>
              <w:rPr>
                <w:rFonts w:ascii="Times New Roman" w:eastAsia="Times New Roman" w:hAnsi="Times New Roman" w:cs="Times New Roman"/>
                <w:noProof/>
                <w:sz w:val="18"/>
                <w:szCs w:val="18"/>
              </w:rPr>
            </w:pPr>
            <w:r w:rsidRPr="00F34019">
              <w:rPr>
                <w:rFonts w:ascii="Times New Roman" w:hAnsi="Times New Roman"/>
                <w:noProof/>
                <w:sz w:val="18"/>
                <w:szCs w:val="18"/>
              </w:rPr>
              <w:t>26,3 % pour les biens (2022)</w:t>
            </w:r>
          </w:p>
          <w:p w14:paraId="79306FDA" w14:textId="77777777" w:rsidR="00C23CB1" w:rsidRPr="00F34019" w:rsidDel="00543597" w:rsidRDefault="00C23CB1" w:rsidP="00DA1CDE">
            <w:pPr>
              <w:widowControl w:val="0"/>
              <w:autoSpaceDE w:val="0"/>
              <w:autoSpaceDN w:val="0"/>
              <w:spacing w:before="60" w:after="60" w:line="275" w:lineRule="exact"/>
              <w:ind w:left="108" w:right="136"/>
              <w:rPr>
                <w:rFonts w:ascii="Times New Roman" w:eastAsia="Times New Roman" w:hAnsi="Times New Roman" w:cs="Times New Roman"/>
                <w:noProof/>
                <w:sz w:val="18"/>
                <w:szCs w:val="18"/>
              </w:rPr>
            </w:pPr>
            <w:r w:rsidRPr="00F34019">
              <w:rPr>
                <w:rFonts w:ascii="Times New Roman" w:hAnsi="Times New Roman"/>
                <w:noProof/>
                <w:sz w:val="18"/>
                <w:szCs w:val="18"/>
              </w:rPr>
              <w:t>23,5 % pour les biens (2021)</w:t>
            </w:r>
          </w:p>
          <w:p w14:paraId="52400211" w14:textId="77777777" w:rsidR="00C23CB1" w:rsidRPr="00F34019" w:rsidDel="00543597" w:rsidRDefault="00C23CB1" w:rsidP="00DA1CDE">
            <w:pPr>
              <w:widowControl w:val="0"/>
              <w:autoSpaceDE w:val="0"/>
              <w:autoSpaceDN w:val="0"/>
              <w:spacing w:before="60" w:after="60" w:line="240" w:lineRule="auto"/>
              <w:ind w:left="108" w:right="136"/>
              <w:rPr>
                <w:rFonts w:ascii="Times New Roman" w:eastAsia="Times New Roman" w:hAnsi="Times New Roman" w:cs="Times New Roman"/>
                <w:noProof/>
                <w:sz w:val="18"/>
                <w:szCs w:val="18"/>
              </w:rPr>
            </w:pPr>
            <w:r w:rsidRPr="00F34019">
              <w:rPr>
                <w:rFonts w:ascii="Times New Roman" w:hAnsi="Times New Roman"/>
                <w:noProof/>
                <w:sz w:val="18"/>
                <w:szCs w:val="18"/>
              </w:rPr>
              <w:t>7,5 % pour les services (2022)</w:t>
            </w:r>
          </w:p>
          <w:p w14:paraId="7C9C3A63" w14:textId="77777777" w:rsidR="00C23CB1" w:rsidRPr="00F34019" w:rsidDel="00543597" w:rsidRDefault="00C23CB1" w:rsidP="00DA1CDE">
            <w:pPr>
              <w:widowControl w:val="0"/>
              <w:autoSpaceDE w:val="0"/>
              <w:autoSpaceDN w:val="0"/>
              <w:spacing w:before="60" w:after="60" w:line="240" w:lineRule="auto"/>
              <w:ind w:left="108" w:right="136"/>
              <w:rPr>
                <w:rFonts w:ascii="Times New Roman" w:eastAsia="Times New Roman" w:hAnsi="Times New Roman" w:cs="Times New Roman"/>
                <w:noProof/>
                <w:sz w:val="18"/>
                <w:szCs w:val="18"/>
              </w:rPr>
            </w:pPr>
            <w:r w:rsidRPr="00F34019">
              <w:rPr>
                <w:rFonts w:ascii="Times New Roman" w:hAnsi="Times New Roman"/>
                <w:noProof/>
                <w:sz w:val="18"/>
                <w:szCs w:val="18"/>
              </w:rPr>
              <w:t>6,6 % pour les services (2021)</w:t>
            </w:r>
          </w:p>
        </w:tc>
      </w:tr>
      <w:tr w:rsidR="00C23CB1" w:rsidRPr="00F34019" w:rsidDel="00543597" w14:paraId="2CFA547B" w14:textId="77777777" w:rsidTr="00F34019">
        <w:trPr>
          <w:trHeight w:val="2385"/>
        </w:trPr>
        <w:tc>
          <w:tcPr>
            <w:tcW w:w="2625" w:type="dxa"/>
            <w:tcBorders>
              <w:top w:val="single" w:sz="4" w:space="0" w:color="808080" w:themeColor="background1" w:themeShade="80"/>
              <w:bottom w:val="single" w:sz="4" w:space="0" w:color="auto"/>
            </w:tcBorders>
            <w:shd w:val="clear" w:color="auto" w:fill="C2D69B"/>
          </w:tcPr>
          <w:p w14:paraId="07DA3DAE" w14:textId="77777777" w:rsidR="00C23CB1" w:rsidRPr="00F34019" w:rsidDel="00543597" w:rsidRDefault="00C23CB1" w:rsidP="00DA1CDE">
            <w:pPr>
              <w:widowControl w:val="0"/>
              <w:autoSpaceDE w:val="0"/>
              <w:autoSpaceDN w:val="0"/>
              <w:spacing w:before="60" w:after="60" w:line="240" w:lineRule="auto"/>
              <w:ind w:left="108" w:right="136"/>
              <w:rPr>
                <w:rFonts w:ascii="Times New Roman" w:eastAsia="Times New Roman" w:hAnsi="Times New Roman" w:cs="Times New Roman"/>
                <w:noProof/>
                <w:sz w:val="18"/>
                <w:szCs w:val="18"/>
              </w:rPr>
            </w:pPr>
            <w:r w:rsidRPr="00F34019">
              <w:rPr>
                <w:rFonts w:ascii="Times New Roman" w:hAnsi="Times New Roman"/>
                <w:noProof/>
                <w:color w:val="111111"/>
                <w:sz w:val="18"/>
                <w:szCs w:val="18"/>
              </w:rPr>
              <w:t>ICP 2: Déficit de conformité (directives incorrectement transposées)</w:t>
            </w:r>
          </w:p>
        </w:tc>
        <w:tc>
          <w:tcPr>
            <w:tcW w:w="4342" w:type="dxa"/>
            <w:tcBorders>
              <w:top w:val="single" w:sz="4" w:space="0" w:color="808080" w:themeColor="background1" w:themeShade="80"/>
              <w:bottom w:val="single" w:sz="4" w:space="0" w:color="auto"/>
            </w:tcBorders>
            <w:shd w:val="clear" w:color="auto" w:fill="C2D69B"/>
          </w:tcPr>
          <w:p w14:paraId="5A7D02CB" w14:textId="77777777" w:rsidR="00C23CB1" w:rsidRPr="00F34019" w:rsidDel="00543597" w:rsidRDefault="00C23CB1" w:rsidP="00DA1CDE">
            <w:pPr>
              <w:widowControl w:val="0"/>
              <w:autoSpaceDE w:val="0"/>
              <w:autoSpaceDN w:val="0"/>
              <w:spacing w:before="60" w:after="60" w:line="240" w:lineRule="auto"/>
              <w:ind w:left="108" w:right="136"/>
              <w:jc w:val="both"/>
              <w:rPr>
                <w:rFonts w:ascii="Times New Roman" w:eastAsia="Times New Roman" w:hAnsi="Times New Roman" w:cs="Times New Roman"/>
                <w:noProof/>
                <w:sz w:val="18"/>
                <w:szCs w:val="18"/>
              </w:rPr>
            </w:pPr>
            <w:r w:rsidRPr="00F34019">
              <w:rPr>
                <w:rFonts w:ascii="Times New Roman" w:hAnsi="Times New Roman"/>
                <w:noProof/>
                <w:sz w:val="18"/>
                <w:szCs w:val="18"/>
              </w:rPr>
              <w:t>Cet ICP indique le nombre de directives transposées pour lesquelles des procédures d'infraction pour transposition incorrecte ont été engagées par la Commission.</w:t>
            </w:r>
          </w:p>
        </w:tc>
        <w:tc>
          <w:tcPr>
            <w:tcW w:w="1083" w:type="dxa"/>
            <w:tcBorders>
              <w:top w:val="single" w:sz="4" w:space="0" w:color="808080" w:themeColor="background1" w:themeShade="80"/>
              <w:bottom w:val="single" w:sz="4" w:space="0" w:color="auto"/>
            </w:tcBorders>
            <w:shd w:val="clear" w:color="auto" w:fill="C2D69B"/>
          </w:tcPr>
          <w:p w14:paraId="08E103A3" w14:textId="77777777" w:rsidR="00C23CB1" w:rsidRPr="00F34019" w:rsidDel="00543597" w:rsidRDefault="00C23CB1" w:rsidP="00DA1CDE">
            <w:pPr>
              <w:widowControl w:val="0"/>
              <w:autoSpaceDE w:val="0"/>
              <w:autoSpaceDN w:val="0"/>
              <w:spacing w:before="60" w:after="60" w:line="275" w:lineRule="exact"/>
              <w:ind w:left="108" w:right="136"/>
              <w:rPr>
                <w:rFonts w:ascii="Times New Roman" w:eastAsia="Times New Roman" w:hAnsi="Times New Roman" w:cs="Times New Roman"/>
                <w:noProof/>
                <w:sz w:val="18"/>
                <w:szCs w:val="18"/>
              </w:rPr>
            </w:pPr>
            <w:r w:rsidRPr="00F34019">
              <w:rPr>
                <w:rFonts w:ascii="Times New Roman" w:hAnsi="Times New Roman"/>
                <w:noProof/>
                <w:sz w:val="18"/>
                <w:szCs w:val="18"/>
              </w:rPr>
              <w:t>0,5 %</w:t>
            </w:r>
          </w:p>
        </w:tc>
        <w:tc>
          <w:tcPr>
            <w:tcW w:w="1959" w:type="dxa"/>
            <w:tcBorders>
              <w:top w:val="single" w:sz="4" w:space="0" w:color="808080" w:themeColor="background1" w:themeShade="80"/>
              <w:bottom w:val="single" w:sz="4" w:space="0" w:color="auto"/>
            </w:tcBorders>
            <w:shd w:val="clear" w:color="auto" w:fill="C2D69B"/>
          </w:tcPr>
          <w:p w14:paraId="3B55282E" w14:textId="77777777" w:rsidR="00C23CB1" w:rsidRPr="00F34019" w:rsidRDefault="00C23CB1" w:rsidP="00DA1CDE">
            <w:pPr>
              <w:widowControl w:val="0"/>
              <w:autoSpaceDE w:val="0"/>
              <w:autoSpaceDN w:val="0"/>
              <w:spacing w:before="60" w:after="60" w:line="275" w:lineRule="exact"/>
              <w:ind w:left="108" w:right="136"/>
              <w:rPr>
                <w:rFonts w:ascii="Times New Roman" w:eastAsia="Times New Roman" w:hAnsi="Times New Roman" w:cs="Times New Roman"/>
                <w:noProof/>
                <w:sz w:val="18"/>
                <w:szCs w:val="18"/>
              </w:rPr>
            </w:pPr>
            <w:r w:rsidRPr="00F34019">
              <w:rPr>
                <w:rFonts w:ascii="Times New Roman" w:hAnsi="Times New Roman"/>
                <w:noProof/>
                <w:sz w:val="18"/>
                <w:szCs w:val="18"/>
              </w:rPr>
              <w:t>1,2% (2023)</w:t>
            </w:r>
          </w:p>
          <w:p w14:paraId="4CF34DBE" w14:textId="77777777" w:rsidR="00C23CB1" w:rsidRPr="00F34019" w:rsidDel="00543597" w:rsidRDefault="00C23CB1" w:rsidP="00DA1CDE">
            <w:pPr>
              <w:widowControl w:val="0"/>
              <w:autoSpaceDE w:val="0"/>
              <w:autoSpaceDN w:val="0"/>
              <w:spacing w:before="60" w:after="60" w:line="275" w:lineRule="exact"/>
              <w:ind w:left="108" w:right="136"/>
              <w:rPr>
                <w:rFonts w:ascii="Times New Roman" w:eastAsia="Times New Roman" w:hAnsi="Times New Roman" w:cs="Times New Roman"/>
                <w:noProof/>
                <w:sz w:val="18"/>
                <w:szCs w:val="18"/>
              </w:rPr>
            </w:pPr>
            <w:r w:rsidRPr="00F34019">
              <w:rPr>
                <w:rFonts w:ascii="Times New Roman" w:hAnsi="Times New Roman"/>
                <w:noProof/>
                <w:sz w:val="18"/>
                <w:szCs w:val="18"/>
              </w:rPr>
              <w:t>1,3% (2022)</w:t>
            </w:r>
          </w:p>
        </w:tc>
      </w:tr>
    </w:tbl>
    <w:p w14:paraId="081317CF" w14:textId="77777777" w:rsidR="005E3EA8" w:rsidRDefault="005E3EA8" w:rsidP="00C23CB1">
      <w:pPr>
        <w:pStyle w:val="ListParagraph"/>
        <w:ind w:left="0"/>
        <w:rPr>
          <w:rFonts w:ascii="Times New Roman" w:hAnsi="Times New Roman" w:cs="Times New Roman"/>
          <w:noProof/>
          <w:color w:val="000000"/>
          <w:sz w:val="24"/>
          <w:szCs w:val="24"/>
          <w:shd w:val="clear" w:color="auto" w:fill="FFFFFF"/>
        </w:rPr>
      </w:pPr>
    </w:p>
    <w:p w14:paraId="1A87C016" w14:textId="302149A5" w:rsidR="00C23CB1" w:rsidRPr="009E4BA4" w:rsidRDefault="005E3EA8" w:rsidP="00C23CB1">
      <w:pPr>
        <w:pStyle w:val="ListParagraph"/>
        <w:ind w:left="0"/>
        <w:rPr>
          <w:rFonts w:ascii="Times New Roman" w:hAnsi="Times New Roman" w:cs="Times New Roman"/>
          <w:noProof/>
          <w:color w:val="000000"/>
          <w:sz w:val="24"/>
          <w:szCs w:val="24"/>
          <w:shd w:val="clear" w:color="auto" w:fill="FFFFFF"/>
        </w:rPr>
      </w:pPr>
      <w:r>
        <w:rPr>
          <w:noProof/>
          <w:lang w:val="en-GB" w:eastAsia="en-GB"/>
        </w:rPr>
        <w:drawing>
          <wp:inline distT="0" distB="0" distL="0" distR="0" wp14:anchorId="7933F8A4" wp14:editId="59D6A749">
            <wp:extent cx="1952625" cy="7620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952625" cy="762000"/>
                    </a:xfrm>
                    <a:prstGeom prst="rect">
                      <a:avLst/>
                    </a:prstGeom>
                  </pic:spPr>
                </pic:pic>
              </a:graphicData>
            </a:graphic>
          </wp:inline>
        </w:drawing>
      </w:r>
    </w:p>
    <w:p w14:paraId="579DAC6E" w14:textId="77777777" w:rsidR="00F559A1" w:rsidRDefault="00F559A1">
      <w:pPr>
        <w:rPr>
          <w:rFonts w:ascii="Times New Roman" w:hAnsi="Times New Roman" w:cs="Times New Roman"/>
          <w:b/>
          <w:noProof/>
          <w:color w:val="000000" w:themeColor="text1"/>
          <w:sz w:val="24"/>
          <w:szCs w:val="24"/>
        </w:rPr>
      </w:pPr>
      <w:r>
        <w:rPr>
          <w:noProof/>
        </w:rPr>
        <w:br w:type="page"/>
      </w:r>
    </w:p>
    <w:p w14:paraId="64E0D7D1" w14:textId="12DD8756" w:rsidR="00C23CB1" w:rsidRPr="00DF2D3C" w:rsidRDefault="00C23CB1" w:rsidP="00C23CB1">
      <w:pPr>
        <w:jc w:val="both"/>
        <w:rPr>
          <w:rFonts w:ascii="Times New Roman" w:hAnsi="Times New Roman" w:cs="Times New Roman"/>
          <w:b/>
          <w:i/>
          <w:noProof/>
          <w:sz w:val="24"/>
          <w:szCs w:val="24"/>
        </w:rPr>
      </w:pPr>
      <w:r>
        <w:rPr>
          <w:rFonts w:ascii="Times New Roman" w:hAnsi="Times New Roman"/>
          <w:b/>
          <w:noProof/>
          <w:color w:val="000000" w:themeColor="text1"/>
          <w:sz w:val="24"/>
        </w:rPr>
        <w:t>Le marché unique est une condition préalable à la compétitivité à long terme.</w:t>
      </w:r>
      <w:r>
        <w:rPr>
          <w:noProof/>
        </w:rPr>
        <w:t xml:space="preserve"> </w:t>
      </w:r>
      <w:r>
        <w:rPr>
          <w:rFonts w:ascii="Times New Roman" w:hAnsi="Times New Roman"/>
          <w:b/>
          <w:noProof/>
          <w:color w:val="000000" w:themeColor="text1"/>
          <w:sz w:val="24"/>
        </w:rPr>
        <w:t xml:space="preserve">C’est grâce à son bon fonctionnement que l’UE a pu compter sur une base économique solide au cours des </w:t>
      </w:r>
      <w:r w:rsidRPr="00F3116B">
        <w:rPr>
          <w:rFonts w:ascii="Times New Roman" w:hAnsi="Times New Roman"/>
          <w:b/>
          <w:noProof/>
          <w:color w:val="000000" w:themeColor="text1"/>
          <w:sz w:val="24"/>
        </w:rPr>
        <w:t>30</w:t>
      </w:r>
      <w:r>
        <w:rPr>
          <w:rFonts w:ascii="Times New Roman" w:hAnsi="Times New Roman"/>
          <w:b/>
          <w:noProof/>
          <w:color w:val="000000" w:themeColor="text1"/>
          <w:sz w:val="24"/>
        </w:rPr>
        <w:t xml:space="preserve"> dernières années: il représente un vaste réservoir de demande, des sources d'approvisionnement diversifiées et des possibilités d'innovation et d'expension, et permet parallèlement de soutenir des droits sociaux solides et des conditions de travail équitables. </w:t>
      </w:r>
      <w:r>
        <w:rPr>
          <w:rFonts w:ascii="Times New Roman" w:hAnsi="Times New Roman"/>
          <w:b/>
          <w:noProof/>
          <w:sz w:val="24"/>
        </w:rPr>
        <w:t xml:space="preserve">Il s’est avéré être un outil puissant pour édifier des chaînes d’approvisionnement résilientes, tout en servant de levier géopolitique lorsque c’était nécessaire.  </w:t>
      </w:r>
    </w:p>
    <w:p w14:paraId="20C4663D" w14:textId="38B1D3B5" w:rsidR="00C23CB1" w:rsidRPr="00FD198C" w:rsidRDefault="00C23CB1" w:rsidP="00C23CB1">
      <w:pPr>
        <w:jc w:val="both"/>
        <w:rPr>
          <w:rFonts w:ascii="Times New Roman" w:hAnsi="Times New Roman" w:cs="Times New Roman"/>
          <w:noProof/>
          <w:sz w:val="24"/>
          <w:szCs w:val="24"/>
        </w:rPr>
      </w:pPr>
      <w:r>
        <w:rPr>
          <w:rFonts w:ascii="Times New Roman" w:hAnsi="Times New Roman"/>
          <w:noProof/>
          <w:sz w:val="24"/>
        </w:rPr>
        <w:t xml:space="preserve">La Commission et les États membres se sont penchés sur les obstacles au fonctionnement du marché unique. En </w:t>
      </w:r>
      <w:r w:rsidRPr="00F3116B">
        <w:rPr>
          <w:rFonts w:ascii="Times New Roman" w:hAnsi="Times New Roman"/>
          <w:noProof/>
          <w:sz w:val="24"/>
        </w:rPr>
        <w:t>2023</w:t>
      </w:r>
      <w:r>
        <w:rPr>
          <w:rFonts w:ascii="Times New Roman" w:hAnsi="Times New Roman"/>
          <w:noProof/>
          <w:sz w:val="24"/>
        </w:rPr>
        <w:t xml:space="preserve">, dans le cadre du groupe de travail sur le respect de l’application des règles du marché unique (SMET), les États membres se sont engagés à supprimer </w:t>
      </w:r>
      <w:r w:rsidRPr="00F3116B">
        <w:rPr>
          <w:rFonts w:ascii="Times New Roman" w:hAnsi="Times New Roman"/>
          <w:noProof/>
          <w:sz w:val="24"/>
        </w:rPr>
        <w:t>301</w:t>
      </w:r>
      <w:r>
        <w:rPr>
          <w:rFonts w:ascii="Times New Roman" w:hAnsi="Times New Roman"/>
          <w:noProof/>
          <w:sz w:val="24"/>
        </w:rPr>
        <w:t xml:space="preserve"> contrôles préalables pour les professions lorsque ces mesures ne sont pas proportionnées. </w:t>
      </w:r>
      <w:r>
        <w:rPr>
          <w:rFonts w:ascii="Times New Roman" w:hAnsi="Times New Roman"/>
          <w:noProof/>
          <w:color w:val="000000" w:themeColor="text1"/>
          <w:sz w:val="24"/>
        </w:rPr>
        <w:t xml:space="preserve">Le groupe de travail a également examiné plus de </w:t>
      </w:r>
      <w:r w:rsidRPr="00F3116B">
        <w:rPr>
          <w:rFonts w:ascii="Times New Roman" w:hAnsi="Times New Roman"/>
          <w:noProof/>
          <w:color w:val="000000" w:themeColor="text1"/>
          <w:sz w:val="24"/>
        </w:rPr>
        <w:t>170</w:t>
      </w:r>
      <w:r>
        <w:rPr>
          <w:rFonts w:ascii="Times New Roman" w:hAnsi="Times New Roman"/>
          <w:noProof/>
          <w:color w:val="000000" w:themeColor="text1"/>
          <w:sz w:val="24"/>
        </w:rPr>
        <w:t xml:space="preserve"> obstacles procéduriers pour les sources d’énergie renouvelables, en s’engageant à en supprimer la moitié. Cet objectif a été dépassé, puisque </w:t>
      </w:r>
      <w:r w:rsidRPr="00F3116B">
        <w:rPr>
          <w:rFonts w:ascii="Times New Roman" w:hAnsi="Times New Roman"/>
          <w:noProof/>
          <w:color w:val="000000" w:themeColor="text1"/>
          <w:sz w:val="24"/>
        </w:rPr>
        <w:t>60</w:t>
      </w:r>
      <w:r>
        <w:rPr>
          <w:rFonts w:ascii="Times New Roman" w:hAnsi="Times New Roman"/>
          <w:noProof/>
          <w:color w:val="000000" w:themeColor="text1"/>
          <w:sz w:val="24"/>
        </w:rPr>
        <w:t xml:space="preserve"> % des obstacles confirmés ont déjà été levés. Sur la base des éléments probants du </w:t>
      </w:r>
      <w:r>
        <w:rPr>
          <w:rFonts w:ascii="Times New Roman" w:hAnsi="Times New Roman"/>
          <w:b/>
          <w:bCs/>
          <w:noProof/>
          <w:color w:val="000000" w:themeColor="text1"/>
          <w:sz w:val="24"/>
        </w:rPr>
        <w:t>réseau SOLVIT</w:t>
      </w:r>
      <w:r>
        <w:rPr>
          <w:rFonts w:ascii="Times New Roman" w:hAnsi="Times New Roman"/>
          <w:noProof/>
          <w:color w:val="000000" w:themeColor="text1"/>
          <w:sz w:val="24"/>
        </w:rPr>
        <w:t xml:space="preserve">, un projet de lutte contre la discrimination à l’IBAN dans les secteurs publics et les télécommunications dans le marché unique a été lancé en </w:t>
      </w:r>
      <w:r w:rsidRPr="00F3116B">
        <w:rPr>
          <w:rFonts w:ascii="Times New Roman" w:hAnsi="Times New Roman"/>
          <w:noProof/>
          <w:color w:val="000000" w:themeColor="text1"/>
          <w:sz w:val="24"/>
        </w:rPr>
        <w:t>2023</w:t>
      </w:r>
      <w:r>
        <w:rPr>
          <w:rFonts w:ascii="Times New Roman" w:hAnsi="Times New Roman"/>
          <w:noProof/>
          <w:color w:val="000000" w:themeColor="text1"/>
          <w:sz w:val="24"/>
        </w:rPr>
        <w:t>.</w:t>
      </w:r>
    </w:p>
    <w:p w14:paraId="2992E88F" w14:textId="77777777" w:rsidR="00C23CB1" w:rsidRPr="00FD198C" w:rsidRDefault="00C23CB1" w:rsidP="00C23CB1">
      <w:p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Dans le cadre de ce mandat, la Commission a pris rapidement des mesures coercitives lorsque les principes fondamentaux du libre accès aux marchés étaient en jeu ou que des pratiques discriminatoires à l’encontre d’opérateurs non nationaux étaient appliquées. </w:t>
      </w:r>
      <w:bookmarkStart w:id="11" w:name="_Hlk158103411"/>
      <w:r>
        <w:rPr>
          <w:rFonts w:ascii="Times New Roman" w:hAnsi="Times New Roman"/>
          <w:noProof/>
          <w:color w:val="000000" w:themeColor="text1"/>
          <w:sz w:val="24"/>
        </w:rPr>
        <w:t>La Commission s’est employée en particulier à lutter contre les violations des règles de l’UE en matière de marchés publics et de retards de paiement, à garantir la transparence et l’efficacité des marchés soutenus par les marchés publics et à défendre les intérêts des PME. Les outils de prévention tels que la directive sur la transparence du marché unique et l’évaluation ex ante des nouvelles restrictions dans la réglementation nationale des services professionnels ont été renforcés.</w:t>
      </w:r>
    </w:p>
    <w:bookmarkEnd w:id="11"/>
    <w:p w14:paraId="03F08AD9" w14:textId="77777777" w:rsidR="00C23CB1" w:rsidRDefault="00C23CB1" w:rsidP="00C23CB1">
      <w:pPr>
        <w:jc w:val="both"/>
        <w:rPr>
          <w:rFonts w:ascii="Times New Roman" w:hAnsi="Times New Roman" w:cs="Times New Roman"/>
          <w:b/>
          <w:bCs/>
          <w:noProof/>
          <w:color w:val="000000" w:themeColor="text1"/>
          <w:sz w:val="24"/>
          <w:szCs w:val="24"/>
        </w:rPr>
      </w:pPr>
      <w:r>
        <w:rPr>
          <w:rFonts w:ascii="Times New Roman" w:hAnsi="Times New Roman"/>
          <w:noProof/>
          <w:sz w:val="24"/>
        </w:rPr>
        <w:t xml:space="preserve">La communication «Le marché unique a </w:t>
      </w:r>
      <w:r w:rsidRPr="00F3116B">
        <w:rPr>
          <w:rFonts w:ascii="Times New Roman" w:hAnsi="Times New Roman"/>
          <w:noProof/>
          <w:sz w:val="24"/>
        </w:rPr>
        <w:t>30</w:t>
      </w:r>
      <w:r>
        <w:rPr>
          <w:rFonts w:ascii="Times New Roman" w:hAnsi="Times New Roman"/>
          <w:noProof/>
          <w:sz w:val="24"/>
        </w:rPr>
        <w:t xml:space="preserve"> ans» définit des initiatives et les objectifs concrets en matière de coopération entre la Commission et les États membres en vue de faire respecter les règles existantes et d’éliminer les obstacles nationaux, notamment dans le secteur des services. La Commission s’est fixé pour objectif de ramener à </w:t>
      </w:r>
      <w:r w:rsidRPr="00F3116B">
        <w:rPr>
          <w:rFonts w:ascii="Times New Roman" w:hAnsi="Times New Roman"/>
          <w:noProof/>
          <w:sz w:val="24"/>
        </w:rPr>
        <w:t>0</w:t>
      </w:r>
      <w:r>
        <w:rPr>
          <w:rFonts w:ascii="Times New Roman" w:hAnsi="Times New Roman"/>
          <w:noProof/>
          <w:sz w:val="24"/>
        </w:rPr>
        <w:t>,</w:t>
      </w:r>
      <w:r w:rsidRPr="00F3116B">
        <w:rPr>
          <w:rFonts w:ascii="Times New Roman" w:hAnsi="Times New Roman"/>
          <w:noProof/>
          <w:sz w:val="24"/>
        </w:rPr>
        <w:t>5</w:t>
      </w:r>
      <w:r>
        <w:rPr>
          <w:rFonts w:ascii="Times New Roman" w:hAnsi="Times New Roman"/>
          <w:noProof/>
          <w:sz w:val="24"/>
        </w:rPr>
        <w:t xml:space="preserve"> % le déficit de conformité (c’est-à-dire le pourcentage maximal de directives incorrectement transposées). Le taux réel s'est amélioré en </w:t>
      </w:r>
      <w:r w:rsidRPr="00F3116B">
        <w:rPr>
          <w:rFonts w:ascii="Times New Roman" w:hAnsi="Times New Roman"/>
          <w:noProof/>
          <w:sz w:val="24"/>
        </w:rPr>
        <w:t>2023</w:t>
      </w:r>
      <w:r>
        <w:rPr>
          <w:rFonts w:ascii="Times New Roman" w:hAnsi="Times New Roman"/>
          <w:noProof/>
          <w:sz w:val="24"/>
        </w:rPr>
        <w:t xml:space="preserve"> pour se chiffrer à </w:t>
      </w:r>
      <w:r w:rsidRPr="00F3116B">
        <w:rPr>
          <w:rFonts w:ascii="Times New Roman" w:hAnsi="Times New Roman"/>
          <w:noProof/>
          <w:sz w:val="24"/>
        </w:rPr>
        <w:t>1</w:t>
      </w:r>
      <w:r>
        <w:rPr>
          <w:rFonts w:ascii="Times New Roman" w:hAnsi="Times New Roman"/>
          <w:noProof/>
          <w:sz w:val="24"/>
        </w:rPr>
        <w:t>,</w:t>
      </w:r>
      <w:r w:rsidRPr="00F3116B">
        <w:rPr>
          <w:rFonts w:ascii="Times New Roman" w:hAnsi="Times New Roman"/>
          <w:noProof/>
          <w:sz w:val="24"/>
        </w:rPr>
        <w:t>2</w:t>
      </w:r>
      <w:r>
        <w:rPr>
          <w:rFonts w:ascii="Times New Roman" w:hAnsi="Times New Roman"/>
          <w:noProof/>
          <w:sz w:val="24"/>
        </w:rPr>
        <w:t xml:space="preserve"> % (voir ICP </w:t>
      </w:r>
      <w:r w:rsidRPr="00F3116B">
        <w:rPr>
          <w:rFonts w:ascii="Times New Roman" w:hAnsi="Times New Roman"/>
          <w:noProof/>
          <w:sz w:val="24"/>
        </w:rPr>
        <w:t>2</w:t>
      </w:r>
      <w:r>
        <w:rPr>
          <w:rFonts w:ascii="Times New Roman" w:hAnsi="Times New Roman"/>
          <w:noProof/>
          <w:sz w:val="24"/>
        </w:rPr>
        <w:t xml:space="preserve">), et la Commission continuera à travailler avec les États membres pour atteindre l’objectif fixé, dans la mesure où l’élimination des obstacles nationaux, notamment grâce à une </w:t>
      </w:r>
      <w:r>
        <w:rPr>
          <w:rFonts w:ascii="Times New Roman" w:hAnsi="Times New Roman"/>
          <w:b/>
          <w:bCs/>
          <w:noProof/>
          <w:sz w:val="24"/>
        </w:rPr>
        <w:t>meilleure mise en œuvre des règles convenues</w:t>
      </w:r>
      <w:r>
        <w:rPr>
          <w:rFonts w:ascii="Times New Roman" w:hAnsi="Times New Roman"/>
          <w:noProof/>
          <w:sz w:val="24"/>
        </w:rPr>
        <w:t xml:space="preserve"> pourrait se traduire par une </w:t>
      </w:r>
      <w:r>
        <w:rPr>
          <w:rFonts w:ascii="Times New Roman" w:hAnsi="Times New Roman"/>
          <w:b/>
          <w:bCs/>
          <w:noProof/>
          <w:sz w:val="24"/>
        </w:rPr>
        <w:t>croissance supplémentaire substantielle.</w:t>
      </w:r>
      <w:r w:rsidRPr="00FD198C">
        <w:rPr>
          <w:rStyle w:val="FootnoteReference"/>
          <w:rFonts w:ascii="Times New Roman" w:hAnsi="Times New Roman" w:cs="Times New Roman"/>
          <w:noProof/>
          <w:color w:val="000000"/>
          <w:sz w:val="24"/>
          <w:szCs w:val="24"/>
          <w:shd w:val="clear" w:color="auto" w:fill="FFFFFF"/>
          <w:lang w:val="en-IE"/>
        </w:rPr>
        <w:footnoteReference w:id="6"/>
      </w:r>
      <w:r>
        <w:rPr>
          <w:rFonts w:ascii="Times New Roman" w:hAnsi="Times New Roman"/>
          <w:noProof/>
          <w:sz w:val="24"/>
        </w:rPr>
        <w:t xml:space="preserve"> </w:t>
      </w:r>
    </w:p>
    <w:p w14:paraId="3E0B5297" w14:textId="77777777" w:rsidR="00C23CB1" w:rsidRDefault="00C23CB1" w:rsidP="00C23CB1">
      <w:pPr>
        <w:rPr>
          <w:rFonts w:ascii="Times New Roman" w:hAnsi="Times New Roman" w:cs="Times New Roman"/>
          <w:b/>
          <w:bCs/>
          <w:noProof/>
          <w:color w:val="000000" w:themeColor="text1"/>
          <w:sz w:val="24"/>
          <w:szCs w:val="24"/>
        </w:rPr>
      </w:pPr>
      <w:r>
        <w:rPr>
          <w:noProof/>
        </w:rPr>
        <w:br w:type="page"/>
      </w:r>
    </w:p>
    <w:p w14:paraId="536C47B1" w14:textId="77777777" w:rsidR="00C23CB1" w:rsidRDefault="00C23CB1" w:rsidP="00C23CB1">
      <w:pPr>
        <w:jc w:val="both"/>
        <w:rPr>
          <w:rFonts w:ascii="Times New Roman" w:hAnsi="Times New Roman" w:cs="Times New Roman"/>
          <w:i/>
          <w:iCs/>
          <w:noProof/>
          <w:sz w:val="24"/>
          <w:szCs w:val="24"/>
        </w:rPr>
      </w:pPr>
      <w:r>
        <w:rPr>
          <w:rFonts w:ascii="Times New Roman" w:hAnsi="Times New Roman"/>
          <w:i/>
          <w:noProof/>
          <w:sz w:val="24"/>
        </w:rPr>
        <w:t>Charge réglementaire et simplification</w:t>
      </w:r>
    </w:p>
    <w:tbl>
      <w:tblPr>
        <w:tblW w:w="9630" w:type="dxa"/>
        <w:tblInd w:w="-142" w:type="dxa"/>
        <w:tblLayout w:type="fixed"/>
        <w:tblCellMar>
          <w:left w:w="0" w:type="dxa"/>
          <w:right w:w="0" w:type="dxa"/>
        </w:tblCellMar>
        <w:tblLook w:val="01E0" w:firstRow="1" w:lastRow="1" w:firstColumn="1" w:lastColumn="1" w:noHBand="0" w:noVBand="0"/>
      </w:tblPr>
      <w:tblGrid>
        <w:gridCol w:w="2300"/>
        <w:gridCol w:w="4026"/>
        <w:gridCol w:w="1005"/>
        <w:gridCol w:w="2299"/>
      </w:tblGrid>
      <w:tr w:rsidR="00C23CB1" w:rsidRPr="003341AA" w14:paraId="3C4723F1" w14:textId="77777777" w:rsidTr="00F34019">
        <w:trPr>
          <w:trHeight w:hRule="exact" w:val="505"/>
        </w:trPr>
        <w:tc>
          <w:tcPr>
            <w:tcW w:w="2300" w:type="dxa"/>
            <w:tcBorders>
              <w:top w:val="single" w:sz="4" w:space="0" w:color="auto"/>
              <w:bottom w:val="single" w:sz="4" w:space="0" w:color="auto"/>
            </w:tcBorders>
            <w:shd w:val="clear" w:color="auto" w:fill="B8CCE4"/>
          </w:tcPr>
          <w:p w14:paraId="7C072D29" w14:textId="77777777" w:rsidR="00C23CB1" w:rsidRPr="00CF0ECD" w:rsidRDefault="00C23CB1" w:rsidP="00DA1CDE">
            <w:pPr>
              <w:widowControl w:val="0"/>
              <w:autoSpaceDE w:val="0"/>
              <w:autoSpaceDN w:val="0"/>
              <w:spacing w:before="60" w:after="60" w:line="240" w:lineRule="auto"/>
              <w:ind w:left="108" w:right="142"/>
              <w:rPr>
                <w:rFonts w:ascii="Times New Roman" w:eastAsia="Times New Roman" w:hAnsi="Times New Roman" w:cs="Times New Roman"/>
                <w:b/>
                <w:iCs/>
                <w:noProof/>
                <w:sz w:val="18"/>
                <w:szCs w:val="18"/>
              </w:rPr>
            </w:pPr>
            <w:r>
              <w:rPr>
                <w:rFonts w:ascii="Times New Roman" w:hAnsi="Times New Roman"/>
                <w:b/>
                <w:noProof/>
                <w:color w:val="003063"/>
                <w:sz w:val="18"/>
              </w:rPr>
              <w:t>ICP</w:t>
            </w:r>
          </w:p>
        </w:tc>
        <w:tc>
          <w:tcPr>
            <w:tcW w:w="4026" w:type="dxa"/>
            <w:tcBorders>
              <w:top w:val="single" w:sz="4" w:space="0" w:color="auto"/>
              <w:bottom w:val="single" w:sz="4" w:space="0" w:color="auto"/>
            </w:tcBorders>
            <w:shd w:val="clear" w:color="auto" w:fill="B8CCE4"/>
          </w:tcPr>
          <w:p w14:paraId="3A5C7242" w14:textId="77777777" w:rsidR="00C23CB1" w:rsidRPr="003341AA" w:rsidRDefault="00C23CB1" w:rsidP="00DA1CDE">
            <w:pPr>
              <w:widowControl w:val="0"/>
              <w:autoSpaceDE w:val="0"/>
              <w:autoSpaceDN w:val="0"/>
              <w:spacing w:before="60" w:after="60" w:line="240" w:lineRule="auto"/>
              <w:ind w:left="108" w:right="142"/>
              <w:rPr>
                <w:rFonts w:ascii="Times New Roman" w:eastAsia="Times New Roman" w:hAnsi="Times New Roman" w:cs="Times New Roman"/>
                <w:b/>
                <w:i/>
                <w:noProof/>
                <w:sz w:val="18"/>
                <w:szCs w:val="18"/>
              </w:rPr>
            </w:pPr>
            <w:r>
              <w:rPr>
                <w:rFonts w:ascii="Times New Roman" w:hAnsi="Times New Roman"/>
                <w:b/>
                <w:noProof/>
                <w:color w:val="003063"/>
                <w:sz w:val="18"/>
              </w:rPr>
              <w:t>Description</w:t>
            </w:r>
          </w:p>
        </w:tc>
        <w:tc>
          <w:tcPr>
            <w:tcW w:w="1005" w:type="dxa"/>
            <w:tcBorders>
              <w:top w:val="single" w:sz="4" w:space="0" w:color="auto"/>
              <w:bottom w:val="single" w:sz="4" w:space="0" w:color="auto"/>
            </w:tcBorders>
            <w:shd w:val="clear" w:color="auto" w:fill="B8CCE4"/>
          </w:tcPr>
          <w:p w14:paraId="07982B44" w14:textId="77777777" w:rsidR="00C23CB1" w:rsidRPr="00CF0ECD" w:rsidRDefault="00C23CB1" w:rsidP="00DA1CDE">
            <w:pPr>
              <w:widowControl w:val="0"/>
              <w:autoSpaceDE w:val="0"/>
              <w:autoSpaceDN w:val="0"/>
              <w:spacing w:before="60" w:after="60" w:line="240" w:lineRule="auto"/>
              <w:ind w:left="108" w:right="142"/>
              <w:rPr>
                <w:rFonts w:ascii="Times New Roman" w:eastAsia="Times New Roman" w:hAnsi="Times New Roman" w:cs="Times New Roman"/>
                <w:b/>
                <w:i/>
                <w:noProof/>
                <w:sz w:val="18"/>
                <w:szCs w:val="18"/>
              </w:rPr>
            </w:pPr>
            <w:r>
              <w:rPr>
                <w:rFonts w:ascii="Times New Roman" w:hAnsi="Times New Roman"/>
                <w:b/>
                <w:noProof/>
                <w:color w:val="003063"/>
                <w:sz w:val="18"/>
              </w:rPr>
              <w:t>Objectif</w:t>
            </w:r>
          </w:p>
        </w:tc>
        <w:tc>
          <w:tcPr>
            <w:tcW w:w="2299" w:type="dxa"/>
            <w:tcBorders>
              <w:top w:val="single" w:sz="4" w:space="0" w:color="auto"/>
              <w:bottom w:val="single" w:sz="4" w:space="0" w:color="auto"/>
            </w:tcBorders>
            <w:shd w:val="clear" w:color="auto" w:fill="B8CCE4"/>
          </w:tcPr>
          <w:p w14:paraId="73C088A5" w14:textId="77777777" w:rsidR="00C23CB1" w:rsidRPr="003341AA" w:rsidRDefault="00C23CB1" w:rsidP="00DA1CDE">
            <w:pPr>
              <w:widowControl w:val="0"/>
              <w:autoSpaceDE w:val="0"/>
              <w:autoSpaceDN w:val="0"/>
              <w:spacing w:before="60" w:after="60" w:line="240" w:lineRule="auto"/>
              <w:ind w:left="108" w:right="142"/>
              <w:rPr>
                <w:rFonts w:ascii="Times New Roman" w:eastAsia="Times New Roman" w:hAnsi="Times New Roman" w:cs="Times New Roman"/>
                <w:b/>
                <w:i/>
                <w:noProof/>
                <w:sz w:val="18"/>
                <w:szCs w:val="18"/>
              </w:rPr>
            </w:pPr>
            <w:r>
              <w:rPr>
                <w:rFonts w:ascii="Times New Roman" w:hAnsi="Times New Roman"/>
                <w:b/>
                <w:noProof/>
                <w:color w:val="003063"/>
                <w:sz w:val="18"/>
              </w:rPr>
              <w:t>Valeurs UE les plus récentes</w:t>
            </w:r>
            <w:r w:rsidRPr="006F1ABD">
              <w:rPr>
                <w:rFonts w:ascii="Times New Roman" w:eastAsia="Palatino Linotype" w:hAnsi="Times New Roman" w:cs="Times New Roman"/>
                <w:b/>
                <w:noProof/>
                <w:color w:val="003063"/>
                <w:spacing w:val="26"/>
                <w:w w:val="90"/>
                <w:sz w:val="18"/>
                <w:szCs w:val="18"/>
                <w:vertAlign w:val="superscript"/>
                <w:lang w:val="en-US"/>
              </w:rPr>
              <w:footnoteReference w:id="7"/>
            </w:r>
          </w:p>
        </w:tc>
      </w:tr>
      <w:tr w:rsidR="00C23CB1" w:rsidRPr="003341AA" w14:paraId="6614B478" w14:textId="77777777" w:rsidTr="00F34019">
        <w:trPr>
          <w:trHeight w:val="1953"/>
        </w:trPr>
        <w:tc>
          <w:tcPr>
            <w:tcW w:w="2300" w:type="dxa"/>
            <w:tcBorders>
              <w:top w:val="single" w:sz="4" w:space="0" w:color="auto"/>
              <w:bottom w:val="single" w:sz="4" w:space="0" w:color="auto"/>
            </w:tcBorders>
            <w:shd w:val="clear" w:color="auto" w:fill="C2D69B"/>
          </w:tcPr>
          <w:p w14:paraId="103AB416" w14:textId="77777777" w:rsidR="00C23CB1" w:rsidRPr="003341AA" w:rsidRDefault="00C23CB1" w:rsidP="00DA1CDE">
            <w:pPr>
              <w:keepNext/>
              <w:autoSpaceDE w:val="0"/>
              <w:autoSpaceDN w:val="0"/>
              <w:spacing w:before="60" w:after="60" w:line="240" w:lineRule="auto"/>
              <w:ind w:left="108" w:right="136"/>
              <w:rPr>
                <w:rFonts w:ascii="Times New Roman" w:eastAsia="Times New Roman" w:hAnsi="Times New Roman" w:cs="Times New Roman"/>
                <w:noProof/>
                <w:sz w:val="18"/>
                <w:szCs w:val="18"/>
              </w:rPr>
            </w:pPr>
            <w:r>
              <w:rPr>
                <w:rFonts w:ascii="Times New Roman" w:hAnsi="Times New Roman"/>
                <w:noProof/>
                <w:sz w:val="18"/>
              </w:rPr>
              <w:t>ICP </w:t>
            </w:r>
            <w:r w:rsidRPr="00F3116B">
              <w:rPr>
                <w:rFonts w:ascii="Times New Roman" w:hAnsi="Times New Roman"/>
                <w:noProof/>
                <w:sz w:val="18"/>
              </w:rPr>
              <w:t>17</w:t>
            </w:r>
            <w:r>
              <w:rPr>
                <w:rFonts w:ascii="Times New Roman" w:hAnsi="Times New Roman"/>
                <w:noProof/>
                <w:sz w:val="18"/>
              </w:rPr>
              <w:t>: Facilité du respect des dispositions réglementaires (charge de la réglementation gouvernementale)</w:t>
            </w:r>
          </w:p>
        </w:tc>
        <w:tc>
          <w:tcPr>
            <w:tcW w:w="4026" w:type="dxa"/>
            <w:tcBorders>
              <w:top w:val="single" w:sz="4" w:space="0" w:color="auto"/>
              <w:bottom w:val="single" w:sz="4" w:space="0" w:color="auto"/>
            </w:tcBorders>
            <w:shd w:val="clear" w:color="auto" w:fill="C2D69B"/>
          </w:tcPr>
          <w:p w14:paraId="371B7A2C" w14:textId="2118D7FD" w:rsidR="00C23CB1" w:rsidRPr="003341AA" w:rsidRDefault="00C23CB1" w:rsidP="00DA1CDE">
            <w:pPr>
              <w:widowControl w:val="0"/>
              <w:autoSpaceDE w:val="0"/>
              <w:autoSpaceDN w:val="0"/>
              <w:spacing w:before="60" w:after="60" w:line="240" w:lineRule="auto"/>
              <w:ind w:left="108" w:right="142"/>
              <w:jc w:val="both"/>
              <w:rPr>
                <w:rFonts w:ascii="Times New Roman" w:eastAsia="Times New Roman" w:hAnsi="Times New Roman" w:cs="Times New Roman"/>
                <w:noProof/>
                <w:sz w:val="18"/>
                <w:szCs w:val="18"/>
              </w:rPr>
            </w:pPr>
            <w:r>
              <w:rPr>
                <w:rFonts w:ascii="Times New Roman" w:hAnsi="Times New Roman"/>
                <w:noProof/>
                <w:sz w:val="18"/>
              </w:rPr>
              <w:t>Perception des entreprises, exprimée dans la réponse à la question «Dans votre pays, dans quelle mesure est-il facile, pour les entreprises, de se conformer aux exigences réglementaires et administratives des pouvoirs publics (par exemple, permis, communication d’informations, législation)?» (</w:t>
            </w:r>
            <w:r w:rsidRPr="00F3116B">
              <w:rPr>
                <w:rFonts w:ascii="Times New Roman" w:hAnsi="Times New Roman"/>
                <w:noProof/>
                <w:sz w:val="18"/>
              </w:rPr>
              <w:t>1</w:t>
            </w:r>
            <w:r>
              <w:rPr>
                <w:rFonts w:ascii="Times New Roman" w:hAnsi="Times New Roman"/>
                <w:noProof/>
                <w:sz w:val="18"/>
              </w:rPr>
              <w:t xml:space="preserve"> = trop complexe; </w:t>
            </w:r>
            <w:r w:rsidRPr="00F3116B">
              <w:rPr>
                <w:rFonts w:ascii="Times New Roman" w:hAnsi="Times New Roman"/>
                <w:noProof/>
                <w:sz w:val="18"/>
              </w:rPr>
              <w:t>7</w:t>
            </w:r>
            <w:r>
              <w:rPr>
                <w:rFonts w:ascii="Times New Roman" w:hAnsi="Times New Roman"/>
                <w:noProof/>
                <w:sz w:val="18"/>
              </w:rPr>
              <w:t xml:space="preserve"> = extrêmement facile)» figurant dans l’enquête pour l’indice de compétitivité mondiale du Forum économique mondial.</w:t>
            </w:r>
          </w:p>
        </w:tc>
        <w:tc>
          <w:tcPr>
            <w:tcW w:w="1005" w:type="dxa"/>
            <w:tcBorders>
              <w:top w:val="single" w:sz="4" w:space="0" w:color="auto"/>
              <w:bottom w:val="single" w:sz="4" w:space="0" w:color="auto"/>
            </w:tcBorders>
            <w:shd w:val="clear" w:color="auto" w:fill="C2D69B"/>
          </w:tcPr>
          <w:p w14:paraId="342ABD15" w14:textId="77777777" w:rsidR="00C23CB1" w:rsidRPr="003341AA"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szCs w:val="18"/>
              </w:rPr>
            </w:pPr>
            <w:r>
              <w:rPr>
                <w:rFonts w:ascii="Times New Roman" w:hAnsi="Times New Roman"/>
                <w:noProof/>
                <w:sz w:val="18"/>
              </w:rPr>
              <w:t>Hausse</w:t>
            </w:r>
          </w:p>
        </w:tc>
        <w:tc>
          <w:tcPr>
            <w:tcW w:w="2299" w:type="dxa"/>
            <w:tcBorders>
              <w:top w:val="single" w:sz="4" w:space="0" w:color="auto"/>
              <w:bottom w:val="single" w:sz="4" w:space="0" w:color="auto"/>
            </w:tcBorders>
            <w:shd w:val="clear" w:color="auto" w:fill="C2D69B"/>
          </w:tcPr>
          <w:p w14:paraId="66A492F6" w14:textId="77777777" w:rsidR="00C23CB1" w:rsidRPr="003341AA"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szCs w:val="18"/>
              </w:rPr>
            </w:pPr>
            <w:r w:rsidRPr="00F3116B">
              <w:rPr>
                <w:rFonts w:ascii="Times New Roman" w:hAnsi="Times New Roman"/>
                <w:noProof/>
                <w:sz w:val="18"/>
              </w:rPr>
              <w:t>3</w:t>
            </w:r>
            <w:r>
              <w:rPr>
                <w:rFonts w:ascii="Times New Roman" w:hAnsi="Times New Roman"/>
                <w:noProof/>
                <w:sz w:val="18"/>
              </w:rPr>
              <w:t>,</w:t>
            </w:r>
            <w:r w:rsidRPr="00F3116B">
              <w:rPr>
                <w:rFonts w:ascii="Times New Roman" w:hAnsi="Times New Roman"/>
                <w:noProof/>
                <w:sz w:val="18"/>
              </w:rPr>
              <w:t>80</w:t>
            </w:r>
            <w:r>
              <w:rPr>
                <w:rFonts w:ascii="Times New Roman" w:hAnsi="Times New Roman"/>
                <w:noProof/>
                <w:sz w:val="18"/>
              </w:rPr>
              <w:t xml:space="preserve"> (</w:t>
            </w:r>
            <w:r w:rsidRPr="00F3116B">
              <w:rPr>
                <w:rFonts w:ascii="Times New Roman" w:hAnsi="Times New Roman"/>
                <w:noProof/>
                <w:sz w:val="18"/>
              </w:rPr>
              <w:t>2022</w:t>
            </w:r>
            <w:r>
              <w:rPr>
                <w:rFonts w:ascii="Times New Roman" w:hAnsi="Times New Roman"/>
                <w:noProof/>
                <w:sz w:val="18"/>
              </w:rPr>
              <w:t>)</w:t>
            </w:r>
          </w:p>
          <w:p w14:paraId="52A6DA62" w14:textId="77777777" w:rsidR="00C23CB1" w:rsidRPr="002D4DA4" w:rsidRDefault="00C23CB1" w:rsidP="00C23CB1">
            <w:pPr>
              <w:pStyle w:val="ListParagraph"/>
              <w:widowControl w:val="0"/>
              <w:numPr>
                <w:ilvl w:val="1"/>
                <w:numId w:val="45"/>
              </w:numPr>
              <w:autoSpaceDE w:val="0"/>
              <w:autoSpaceDN w:val="0"/>
              <w:spacing w:before="60" w:after="60" w:line="275" w:lineRule="exact"/>
              <w:rPr>
                <w:rFonts w:ascii="Times New Roman" w:eastAsia="Times New Roman" w:hAnsi="Times New Roman" w:cs="Times New Roman"/>
                <w:noProof/>
                <w:sz w:val="18"/>
                <w:szCs w:val="18"/>
              </w:rPr>
            </w:pPr>
            <w:r>
              <w:rPr>
                <w:rFonts w:ascii="Times New Roman" w:hAnsi="Times New Roman"/>
                <w:noProof/>
                <w:sz w:val="18"/>
              </w:rPr>
              <w:t>(</w:t>
            </w:r>
            <w:r w:rsidRPr="00F3116B">
              <w:rPr>
                <w:rFonts w:ascii="Times New Roman" w:hAnsi="Times New Roman"/>
                <w:noProof/>
                <w:sz w:val="18"/>
              </w:rPr>
              <w:t>2021</w:t>
            </w:r>
            <w:r>
              <w:rPr>
                <w:rFonts w:ascii="Times New Roman" w:hAnsi="Times New Roman"/>
                <w:noProof/>
                <w:sz w:val="18"/>
              </w:rPr>
              <w:t>)</w:t>
            </w:r>
          </w:p>
        </w:tc>
      </w:tr>
    </w:tbl>
    <w:p w14:paraId="435C5BC0" w14:textId="77777777" w:rsidR="00C23CB1" w:rsidRPr="0004491C" w:rsidRDefault="00C23CB1" w:rsidP="00C23CB1">
      <w:pPr>
        <w:keepNext/>
        <w:jc w:val="both"/>
        <w:rPr>
          <w:rFonts w:ascii="Times New Roman" w:eastAsia="Times New Roman" w:hAnsi="Times New Roman" w:cs="Times New Roman"/>
          <w:noProof/>
          <w:sz w:val="12"/>
          <w:szCs w:val="12"/>
          <w:lang w:val="en-US"/>
        </w:rPr>
      </w:pPr>
    </w:p>
    <w:p w14:paraId="75C537E9" w14:textId="5122C174" w:rsidR="00472F46" w:rsidRDefault="00C23CB1" w:rsidP="000F57A3">
      <w:pPr>
        <w:jc w:val="both"/>
        <w:rPr>
          <w:rFonts w:ascii="Times New Roman" w:hAnsi="Times New Roman" w:cs="Times New Roman"/>
          <w:noProof/>
          <w:color w:val="000000" w:themeColor="text1"/>
          <w:sz w:val="24"/>
          <w:szCs w:val="24"/>
        </w:rPr>
      </w:pPr>
      <w:r>
        <w:rPr>
          <w:rFonts w:ascii="Times New Roman" w:hAnsi="Times New Roman"/>
          <w:noProof/>
          <w:sz w:val="24"/>
        </w:rPr>
        <w:t xml:space="preserve">Les charges réglementaires ont commencé à diminuer dans l’UE (voir ICP </w:t>
      </w:r>
      <w:r w:rsidRPr="00F3116B">
        <w:rPr>
          <w:rFonts w:ascii="Times New Roman" w:hAnsi="Times New Roman"/>
          <w:noProof/>
          <w:sz w:val="24"/>
        </w:rPr>
        <w:t>17</w:t>
      </w:r>
      <w:r>
        <w:rPr>
          <w:rFonts w:ascii="Times New Roman" w:hAnsi="Times New Roman"/>
          <w:noProof/>
          <w:sz w:val="24"/>
        </w:rPr>
        <w:t>), grâce notamment aux efforts déployés au niveau de l’UE.</w:t>
      </w:r>
      <w:r>
        <w:rPr>
          <w:rStyle w:val="Strong"/>
          <w:rFonts w:ascii="Times New Roman" w:hAnsi="Times New Roman"/>
          <w:b w:val="0"/>
          <w:noProof/>
          <w:color w:val="000000" w:themeColor="text1"/>
          <w:sz w:val="24"/>
        </w:rPr>
        <w:t xml:space="preserve"> </w:t>
      </w:r>
      <w:r>
        <w:rPr>
          <w:rFonts w:ascii="Times New Roman" w:hAnsi="Times New Roman"/>
          <w:noProof/>
          <w:sz w:val="24"/>
        </w:rPr>
        <w:t xml:space="preserve">En </w:t>
      </w:r>
      <w:r w:rsidRPr="00F3116B">
        <w:rPr>
          <w:rFonts w:ascii="Times New Roman" w:hAnsi="Times New Roman"/>
          <w:noProof/>
          <w:sz w:val="24"/>
        </w:rPr>
        <w:t>2022</w:t>
      </w:r>
      <w:r>
        <w:rPr>
          <w:rFonts w:ascii="Times New Roman" w:hAnsi="Times New Roman"/>
          <w:noProof/>
          <w:sz w:val="24"/>
        </w:rPr>
        <w:t xml:space="preserve">, les propositions de la Commission ont permis de réaliser des économies administratives pour un montant supérieur de </w:t>
      </w:r>
      <w:r w:rsidRPr="00F3116B">
        <w:rPr>
          <w:rFonts w:ascii="Times New Roman" w:hAnsi="Times New Roman"/>
          <w:noProof/>
          <w:sz w:val="24"/>
        </w:rPr>
        <w:t>7</w:t>
      </w:r>
      <w:r>
        <w:rPr>
          <w:rFonts w:ascii="Times New Roman" w:hAnsi="Times New Roman"/>
          <w:noProof/>
          <w:sz w:val="24"/>
        </w:rPr>
        <w:t>,</w:t>
      </w:r>
      <w:r w:rsidRPr="00F3116B">
        <w:rPr>
          <w:rFonts w:ascii="Times New Roman" w:hAnsi="Times New Roman"/>
          <w:noProof/>
          <w:sz w:val="24"/>
        </w:rPr>
        <w:t>3</w:t>
      </w:r>
      <w:r>
        <w:rPr>
          <w:rFonts w:ascii="Times New Roman" w:hAnsi="Times New Roman"/>
          <w:noProof/>
          <w:sz w:val="24"/>
        </w:rPr>
        <w:t> milliards d’euros à celui des coûts générés</w:t>
      </w:r>
      <w:r w:rsidRPr="00ED1C75">
        <w:rPr>
          <w:rStyle w:val="FootnoteReference"/>
          <w:rFonts w:ascii="Times New Roman" w:hAnsi="Times New Roman" w:cs="Times New Roman"/>
          <w:noProof/>
          <w:sz w:val="24"/>
          <w:szCs w:val="24"/>
          <w:lang w:val="en-IE"/>
        </w:rPr>
        <w:footnoteReference w:id="8"/>
      </w:r>
      <w:r>
        <w:rPr>
          <w:rFonts w:ascii="Times New Roman" w:hAnsi="Times New Roman"/>
          <w:noProof/>
          <w:sz w:val="24"/>
        </w:rPr>
        <w:t xml:space="preserve">. </w:t>
      </w:r>
      <w:r>
        <w:rPr>
          <w:rFonts w:ascii="Times New Roman" w:hAnsi="Times New Roman"/>
          <w:noProof/>
          <w:color w:val="000000" w:themeColor="text1"/>
          <w:sz w:val="24"/>
        </w:rPr>
        <w:t>En mars </w:t>
      </w:r>
      <w:r w:rsidRPr="00F3116B">
        <w:rPr>
          <w:rFonts w:ascii="Times New Roman" w:hAnsi="Times New Roman"/>
          <w:noProof/>
          <w:color w:val="000000" w:themeColor="text1"/>
          <w:sz w:val="24"/>
        </w:rPr>
        <w:t>2023</w:t>
      </w:r>
      <w:r>
        <w:rPr>
          <w:rFonts w:ascii="Times New Roman" w:hAnsi="Times New Roman"/>
          <w:noProof/>
          <w:color w:val="000000" w:themeColor="text1"/>
          <w:sz w:val="24"/>
        </w:rPr>
        <w:t xml:space="preserve">, la Commission a proposé de simplifier les formalités pour les entreprises exerçant leurs activités dans plusieurs États membres ainsi que d’étendre et de renforcer encore l’utilisation des outils et des processus numériques dans le domaine du </w:t>
      </w:r>
      <w:r>
        <w:rPr>
          <w:rFonts w:ascii="Times New Roman" w:hAnsi="Times New Roman"/>
          <w:b/>
          <w:bCs/>
          <w:noProof/>
          <w:color w:val="000000" w:themeColor="text1"/>
          <w:sz w:val="24"/>
        </w:rPr>
        <w:t>droit des sociétés</w:t>
      </w:r>
      <w:r w:rsidRPr="00ED1C75">
        <w:rPr>
          <w:rStyle w:val="FootnoteReference"/>
          <w:rFonts w:ascii="Times New Roman" w:hAnsi="Times New Roman" w:cs="Times New Roman"/>
          <w:noProof/>
          <w:color w:val="000000"/>
          <w:sz w:val="24"/>
          <w:szCs w:val="24"/>
          <w:shd w:val="clear" w:color="auto" w:fill="FFFFFF"/>
          <w:lang w:val="en-IE"/>
        </w:rPr>
        <w:footnoteReference w:id="9"/>
      </w:r>
      <w:r>
        <w:rPr>
          <w:rFonts w:ascii="Times New Roman" w:hAnsi="Times New Roman"/>
          <w:noProof/>
          <w:color w:val="000000" w:themeColor="text1"/>
          <w:sz w:val="24"/>
        </w:rPr>
        <w:t>.</w:t>
      </w:r>
    </w:p>
    <w:p w14:paraId="1E6F09F4" w14:textId="3D644FFD" w:rsidR="00C23CB1" w:rsidRDefault="00C23CB1" w:rsidP="00C23CB1">
      <w:pPr>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La Commission a également étendu la mise en œuvre</w:t>
      </w:r>
      <w:r w:rsidRPr="00ED1C75">
        <w:rPr>
          <w:rStyle w:val="FootnoteReference"/>
          <w:rFonts w:ascii="Times New Roman" w:hAnsi="Times New Roman" w:cs="Times New Roman"/>
          <w:noProof/>
          <w:color w:val="000000"/>
          <w:sz w:val="24"/>
          <w:szCs w:val="24"/>
          <w:shd w:val="clear" w:color="auto" w:fill="FFFFFF"/>
          <w:lang w:val="en-IE"/>
        </w:rPr>
        <w:footnoteReference w:id="10"/>
      </w:r>
      <w:r>
        <w:rPr>
          <w:rFonts w:ascii="Times New Roman" w:hAnsi="Times New Roman"/>
          <w:noProof/>
          <w:color w:val="000000" w:themeColor="text1"/>
          <w:sz w:val="24"/>
        </w:rPr>
        <w:t xml:space="preserve"> du </w:t>
      </w:r>
      <w:r>
        <w:rPr>
          <w:rFonts w:ascii="Times New Roman" w:hAnsi="Times New Roman"/>
          <w:b/>
          <w:bCs/>
          <w:noProof/>
          <w:color w:val="000000" w:themeColor="text1"/>
          <w:sz w:val="24"/>
        </w:rPr>
        <w:t>portail numérique unique</w:t>
      </w:r>
      <w:r w:rsidRPr="00ED1C75">
        <w:rPr>
          <w:rStyle w:val="FootnoteReference"/>
          <w:rFonts w:ascii="Times New Roman" w:hAnsi="Times New Roman" w:cs="Times New Roman"/>
          <w:noProof/>
          <w:color w:val="000000"/>
          <w:sz w:val="24"/>
          <w:szCs w:val="24"/>
          <w:shd w:val="clear" w:color="auto" w:fill="FFFFFF"/>
          <w:lang w:val="en-IE"/>
        </w:rPr>
        <w:footnoteReference w:id="11"/>
      </w:r>
      <w:r>
        <w:rPr>
          <w:rFonts w:ascii="Times New Roman" w:hAnsi="Times New Roman"/>
          <w:noProof/>
          <w:color w:val="000000" w:themeColor="text1"/>
          <w:sz w:val="24"/>
        </w:rPr>
        <w:t>, l’initiative phare de l’UE pour l’administration en ligne.</w:t>
      </w:r>
      <w:r>
        <w:rPr>
          <w:rFonts w:ascii="Times New Roman" w:hAnsi="Times New Roman"/>
          <w:noProof/>
          <w:sz w:val="24"/>
        </w:rPr>
        <w:t xml:space="preserve"> Plus précisément, depuis décembre </w:t>
      </w:r>
      <w:r w:rsidRPr="00F3116B">
        <w:rPr>
          <w:rFonts w:ascii="Times New Roman" w:hAnsi="Times New Roman"/>
          <w:noProof/>
          <w:sz w:val="24"/>
        </w:rPr>
        <w:t>2023</w:t>
      </w:r>
      <w:r>
        <w:rPr>
          <w:rFonts w:ascii="Times New Roman" w:hAnsi="Times New Roman"/>
          <w:noProof/>
          <w:sz w:val="24"/>
        </w:rPr>
        <w:t xml:space="preserve">, les États membres sont tenus de fournir aux utilisateurs nationaux et transfrontières un accès en ligne à </w:t>
      </w:r>
      <w:r w:rsidRPr="00F3116B">
        <w:rPr>
          <w:rFonts w:ascii="Times New Roman" w:hAnsi="Times New Roman"/>
          <w:noProof/>
          <w:sz w:val="24"/>
        </w:rPr>
        <w:t>21</w:t>
      </w:r>
      <w:r>
        <w:rPr>
          <w:rFonts w:ascii="Times New Roman" w:hAnsi="Times New Roman"/>
          <w:noProof/>
          <w:sz w:val="24"/>
        </w:rPr>
        <w:t xml:space="preserve"> types de procédures importantes</w:t>
      </w:r>
      <w:r w:rsidRPr="00FD198C">
        <w:rPr>
          <w:rStyle w:val="FootnoteReference"/>
          <w:rFonts w:ascii="Times New Roman" w:hAnsi="Times New Roman" w:cs="Times New Roman"/>
          <w:noProof/>
          <w:color w:val="000000"/>
          <w:sz w:val="24"/>
          <w:szCs w:val="24"/>
          <w:shd w:val="clear" w:color="auto" w:fill="FFFFFF"/>
          <w:lang w:val="en-IE"/>
        </w:rPr>
        <w:footnoteReference w:id="12"/>
      </w:r>
      <w:r>
        <w:rPr>
          <w:rFonts w:ascii="Times New Roman" w:hAnsi="Times New Roman"/>
          <w:noProof/>
          <w:sz w:val="24"/>
        </w:rPr>
        <w:t>.</w:t>
      </w:r>
      <w:r>
        <w:rPr>
          <w:rFonts w:ascii="Times New Roman" w:hAnsi="Times New Roman"/>
          <w:noProof/>
          <w:color w:val="000000" w:themeColor="text1"/>
          <w:sz w:val="24"/>
        </w:rPr>
        <w:t xml:space="preserve"> </w:t>
      </w:r>
      <w:r>
        <w:rPr>
          <w:rFonts w:ascii="Times New Roman" w:hAnsi="Times New Roman"/>
          <w:noProof/>
          <w:sz w:val="24"/>
        </w:rPr>
        <w:t xml:space="preserve">Le </w:t>
      </w:r>
      <w:r>
        <w:rPr>
          <w:rFonts w:ascii="Times New Roman" w:hAnsi="Times New Roman"/>
          <w:b/>
          <w:bCs/>
          <w:noProof/>
          <w:sz w:val="24"/>
        </w:rPr>
        <w:t>système d’information du marché intérieur (IMI)</w:t>
      </w:r>
      <w:r>
        <w:rPr>
          <w:rFonts w:ascii="Times New Roman" w:hAnsi="Times New Roman"/>
          <w:noProof/>
          <w:sz w:val="24"/>
        </w:rPr>
        <w:t xml:space="preserve"> met en lien </w:t>
      </w:r>
      <w:r w:rsidRPr="00F3116B">
        <w:rPr>
          <w:rFonts w:ascii="Times New Roman" w:hAnsi="Times New Roman"/>
          <w:noProof/>
          <w:sz w:val="24"/>
        </w:rPr>
        <w:t>12</w:t>
      </w:r>
      <w:r>
        <w:rPr>
          <w:rFonts w:ascii="Times New Roman" w:hAnsi="Times New Roman"/>
          <w:noProof/>
          <w:sz w:val="24"/>
        </w:rPr>
        <w:t> </w:t>
      </w:r>
      <w:r w:rsidRPr="00F3116B">
        <w:rPr>
          <w:rFonts w:ascii="Times New Roman" w:hAnsi="Times New Roman"/>
          <w:noProof/>
          <w:sz w:val="24"/>
        </w:rPr>
        <w:t>000</w:t>
      </w:r>
      <w:r>
        <w:rPr>
          <w:rFonts w:ascii="Times New Roman" w:hAnsi="Times New Roman"/>
          <w:noProof/>
          <w:sz w:val="24"/>
        </w:rPr>
        <w:t xml:space="preserve"> autorités et facilite les échanges pour </w:t>
      </w:r>
      <w:r w:rsidRPr="00F3116B">
        <w:rPr>
          <w:rFonts w:ascii="Times New Roman" w:hAnsi="Times New Roman"/>
          <w:noProof/>
          <w:sz w:val="24"/>
        </w:rPr>
        <w:t>35</w:t>
      </w:r>
      <w:r>
        <w:rPr>
          <w:rFonts w:ascii="Times New Roman" w:hAnsi="Times New Roman"/>
          <w:noProof/>
          <w:sz w:val="24"/>
        </w:rPr>
        <w:t> </w:t>
      </w:r>
      <w:r w:rsidRPr="00F3116B">
        <w:rPr>
          <w:rFonts w:ascii="Times New Roman" w:hAnsi="Times New Roman"/>
          <w:noProof/>
          <w:sz w:val="24"/>
        </w:rPr>
        <w:t>000</w:t>
      </w:r>
      <w:r>
        <w:rPr>
          <w:rFonts w:ascii="Times New Roman" w:hAnsi="Times New Roman"/>
          <w:noProof/>
          <w:sz w:val="24"/>
        </w:rPr>
        <w:t xml:space="preserve"> utilisateurs enregistrés, dans </w:t>
      </w:r>
      <w:r w:rsidRPr="00F3116B">
        <w:rPr>
          <w:rFonts w:ascii="Times New Roman" w:hAnsi="Times New Roman"/>
          <w:noProof/>
          <w:sz w:val="24"/>
        </w:rPr>
        <w:t>20</w:t>
      </w:r>
      <w:r>
        <w:rPr>
          <w:rFonts w:ascii="Times New Roman" w:hAnsi="Times New Roman"/>
          <w:noProof/>
          <w:sz w:val="24"/>
        </w:rPr>
        <w:t xml:space="preserve"> domaines d’action et dans toutes les langues de l’UE. Le portail des déclarations de détachement dans le domaine du transport par route</w:t>
      </w:r>
      <w:r w:rsidRPr="09C57C7C">
        <w:rPr>
          <w:rStyle w:val="FootnoteReference"/>
          <w:rFonts w:eastAsiaTheme="minorEastAsia"/>
          <w:noProof/>
          <w:sz w:val="20"/>
          <w:szCs w:val="20"/>
          <w:lang w:eastAsia="en-IE"/>
        </w:rPr>
        <w:footnoteReference w:id="13"/>
      </w:r>
      <w:r>
        <w:rPr>
          <w:rFonts w:ascii="Times New Roman" w:hAnsi="Times New Roman"/>
          <w:noProof/>
          <w:sz w:val="24"/>
        </w:rPr>
        <w:t xml:space="preserve"> relié au système IMI, permet au secteur du transport routier de soumettre numériquement une déclaration unique et uniforme de détachement de conducteur. Entre février </w:t>
      </w:r>
      <w:r w:rsidRPr="00F3116B">
        <w:rPr>
          <w:rFonts w:ascii="Times New Roman" w:hAnsi="Times New Roman"/>
          <w:noProof/>
          <w:sz w:val="24"/>
        </w:rPr>
        <w:t>2022</w:t>
      </w:r>
      <w:r>
        <w:rPr>
          <w:rFonts w:ascii="Times New Roman" w:hAnsi="Times New Roman"/>
          <w:noProof/>
          <w:sz w:val="24"/>
        </w:rPr>
        <w:t xml:space="preserve"> et décembre </w:t>
      </w:r>
      <w:r w:rsidRPr="00F3116B">
        <w:rPr>
          <w:rFonts w:ascii="Times New Roman" w:hAnsi="Times New Roman"/>
          <w:noProof/>
          <w:sz w:val="24"/>
        </w:rPr>
        <w:t>2023</w:t>
      </w:r>
      <w:r>
        <w:rPr>
          <w:rFonts w:ascii="Times New Roman" w:hAnsi="Times New Roman"/>
          <w:noProof/>
          <w:sz w:val="24"/>
        </w:rPr>
        <w:t xml:space="preserve">, </w:t>
      </w:r>
      <w:r w:rsidRPr="00F3116B">
        <w:rPr>
          <w:rFonts w:ascii="Times New Roman" w:hAnsi="Times New Roman"/>
          <w:noProof/>
          <w:sz w:val="24"/>
        </w:rPr>
        <w:t>33</w:t>
      </w:r>
      <w:r>
        <w:rPr>
          <w:rFonts w:ascii="Times New Roman" w:hAnsi="Times New Roman"/>
          <w:noProof/>
          <w:sz w:val="24"/>
        </w:rPr>
        <w:t xml:space="preserve"> millions de déclarations de détachement ont été introduites via le portail. La Commission a convenu récemment d’un modèle électronique facultatif pour les déclarations de détachement de travailleurs dans de multiples États membres et travaille actuellement à l’élaboration d’un portail multilingue pour ces déclarations. Le </w:t>
      </w:r>
      <w:r>
        <w:rPr>
          <w:rFonts w:ascii="Times New Roman" w:hAnsi="Times New Roman"/>
          <w:b/>
          <w:bCs/>
          <w:noProof/>
          <w:sz w:val="24"/>
        </w:rPr>
        <w:t>règlement pour une Europe interopérable</w:t>
      </w:r>
      <w:r w:rsidR="00CC26F7" w:rsidRPr="003D5F3F">
        <w:rPr>
          <w:rStyle w:val="FootnoteReference"/>
          <w:rFonts w:ascii="Times New Roman" w:eastAsia="Times New Roman" w:hAnsi="Times New Roman" w:cs="Times New Roman"/>
          <w:noProof/>
          <w:sz w:val="24"/>
          <w:szCs w:val="24"/>
          <w:lang w:val="en-IE"/>
        </w:rPr>
        <w:footnoteReference w:id="14"/>
      </w:r>
      <w:r>
        <w:rPr>
          <w:rFonts w:ascii="Times New Roman" w:hAnsi="Times New Roman"/>
          <w:noProof/>
          <w:sz w:val="24"/>
        </w:rPr>
        <w:t xml:space="preserve"> établit un mécanisme structuré de coopération entre les États membres et les institutions de l’UE qui réduit les obstacles aux services publics numériques, tant transfrontières que transsectoriels</w:t>
      </w:r>
      <w:r w:rsidR="00CC26F7" w:rsidRPr="003D5F3F">
        <w:rPr>
          <w:rStyle w:val="FootnoteReference"/>
          <w:rFonts w:ascii="Times New Roman" w:eastAsia="Times New Roman" w:hAnsi="Times New Roman" w:cs="Times New Roman"/>
          <w:noProof/>
          <w:sz w:val="24"/>
          <w:szCs w:val="24"/>
          <w:lang w:val="en-IE"/>
        </w:rPr>
        <w:footnoteReference w:id="15"/>
      </w:r>
      <w:r>
        <w:rPr>
          <w:rFonts w:ascii="Times New Roman" w:hAnsi="Times New Roman"/>
          <w:noProof/>
          <w:sz w:val="24"/>
        </w:rPr>
        <w:t>.</w:t>
      </w:r>
    </w:p>
    <w:p w14:paraId="341911F5" w14:textId="3F9B7618" w:rsidR="00BB26A7" w:rsidRDefault="003D5518" w:rsidP="00C23CB1">
      <w:pPr>
        <w:jc w:val="both"/>
        <w:rPr>
          <w:rFonts w:ascii="Times New Roman" w:hAnsi="Times New Roman" w:cs="Times New Roman"/>
          <w:noProof/>
          <w:sz w:val="24"/>
          <w:szCs w:val="24"/>
        </w:rPr>
      </w:pPr>
      <w:r>
        <w:rPr>
          <w:rFonts w:ascii="Times New Roman" w:hAnsi="Times New Roman"/>
          <w:noProof/>
          <w:sz w:val="24"/>
        </w:rPr>
        <w:t xml:space="preserve">La Commission a mis en œuvre l’approche «un ajout, un retrait»,   a introduit un contrôle de compétitivité obligatoire et a renforcé le «test PME» dans l’examen des nouvelles propositions. Elle progresse également vers l’objectif de </w:t>
      </w:r>
      <w:r>
        <w:rPr>
          <w:rFonts w:ascii="Times New Roman" w:hAnsi="Times New Roman"/>
          <w:b/>
          <w:bCs/>
          <w:noProof/>
          <w:sz w:val="24"/>
        </w:rPr>
        <w:t xml:space="preserve">réduction de </w:t>
      </w:r>
      <w:r w:rsidRPr="00F3116B">
        <w:rPr>
          <w:rFonts w:ascii="Times New Roman" w:hAnsi="Times New Roman"/>
          <w:b/>
          <w:bCs/>
          <w:noProof/>
          <w:sz w:val="24"/>
        </w:rPr>
        <w:t>25</w:t>
      </w:r>
      <w:r>
        <w:rPr>
          <w:rFonts w:ascii="Times New Roman" w:hAnsi="Times New Roman"/>
          <w:b/>
          <w:bCs/>
          <w:noProof/>
          <w:sz w:val="24"/>
        </w:rPr>
        <w:t> % de la charge liée aux obligations de déclaration</w:t>
      </w:r>
      <w:r>
        <w:rPr>
          <w:rFonts w:ascii="Times New Roman" w:hAnsi="Times New Roman"/>
          <w:noProof/>
          <w:sz w:val="24"/>
        </w:rPr>
        <w:t xml:space="preserve">. Une première série de </w:t>
      </w:r>
      <w:r w:rsidRPr="00F3116B">
        <w:rPr>
          <w:rFonts w:ascii="Times New Roman" w:hAnsi="Times New Roman"/>
          <w:noProof/>
          <w:sz w:val="24"/>
        </w:rPr>
        <w:t>41</w:t>
      </w:r>
      <w:r>
        <w:rPr>
          <w:rFonts w:ascii="Times New Roman" w:hAnsi="Times New Roman"/>
          <w:noProof/>
          <w:sz w:val="24"/>
        </w:rPr>
        <w:t xml:space="preserve"> initiatives visant à réduire ces charges a été présentée dans le cadre du programme de travail de la Commission pour </w:t>
      </w:r>
      <w:r w:rsidRPr="00F3116B">
        <w:rPr>
          <w:rFonts w:ascii="Times New Roman" w:hAnsi="Times New Roman"/>
          <w:noProof/>
          <w:sz w:val="24"/>
        </w:rPr>
        <w:t>2024</w:t>
      </w:r>
      <w:r w:rsidR="00C23CB1">
        <w:rPr>
          <w:rStyle w:val="FootnoteReference"/>
          <w:rFonts w:ascii="Times New Roman" w:hAnsi="Times New Roman" w:cs="Times New Roman"/>
          <w:noProof/>
          <w:sz w:val="24"/>
          <w:szCs w:val="24"/>
        </w:rPr>
        <w:footnoteReference w:id="16"/>
      </w:r>
      <w:r>
        <w:rPr>
          <w:rFonts w:ascii="Times New Roman" w:hAnsi="Times New Roman"/>
          <w:noProof/>
          <w:sz w:val="24"/>
        </w:rPr>
        <w:t xml:space="preserve">. Par exemple, la réforme du code des douanes de l’Union devrait permettre d’économiser environ </w:t>
      </w:r>
      <w:r w:rsidRPr="00F3116B">
        <w:rPr>
          <w:rFonts w:ascii="Times New Roman" w:hAnsi="Times New Roman"/>
          <w:noProof/>
          <w:sz w:val="24"/>
        </w:rPr>
        <w:t>2</w:t>
      </w:r>
      <w:r>
        <w:rPr>
          <w:rFonts w:ascii="Times New Roman" w:hAnsi="Times New Roman"/>
          <w:noProof/>
          <w:sz w:val="24"/>
        </w:rPr>
        <w:t xml:space="preserve"> milliards d’euros. La révision du règlement relatif aux statistiques européennes permettra d’économiser </w:t>
      </w:r>
      <w:r w:rsidRPr="00F3116B">
        <w:rPr>
          <w:rFonts w:ascii="Times New Roman" w:hAnsi="Times New Roman"/>
          <w:noProof/>
          <w:sz w:val="24"/>
        </w:rPr>
        <w:t>450</w:t>
      </w:r>
      <w:r>
        <w:rPr>
          <w:rFonts w:ascii="Times New Roman" w:hAnsi="Times New Roman"/>
          <w:noProof/>
          <w:sz w:val="24"/>
        </w:rPr>
        <w:t> millions d’euros supplémentaires</w:t>
      </w:r>
      <w:r w:rsidR="007E1DAE">
        <w:rPr>
          <w:rStyle w:val="FootnoteReference"/>
          <w:rFonts w:ascii="Times New Roman" w:hAnsi="Times New Roman" w:cs="Times New Roman"/>
          <w:noProof/>
          <w:sz w:val="24"/>
          <w:szCs w:val="24"/>
        </w:rPr>
        <w:footnoteReference w:id="17"/>
      </w:r>
      <w:r>
        <w:rPr>
          <w:rFonts w:ascii="Times New Roman" w:hAnsi="Times New Roman"/>
          <w:noProof/>
          <w:sz w:val="24"/>
        </w:rPr>
        <w:t xml:space="preserve">. </w:t>
      </w:r>
    </w:p>
    <w:p w14:paraId="24DD8FA3" w14:textId="4A0E4A1D" w:rsidR="00C23CB1" w:rsidRDefault="00BB26A7" w:rsidP="00C23CB1">
      <w:pPr>
        <w:jc w:val="both"/>
        <w:rPr>
          <w:rFonts w:ascii="Times New Roman" w:hAnsi="Times New Roman" w:cs="Times New Roman"/>
          <w:noProof/>
          <w:sz w:val="24"/>
          <w:szCs w:val="24"/>
        </w:rPr>
      </w:pPr>
      <w:r>
        <w:rPr>
          <w:rFonts w:ascii="Times New Roman" w:hAnsi="Times New Roman"/>
          <w:noProof/>
          <w:sz w:val="24"/>
        </w:rPr>
        <w:t xml:space="preserve">En outre, un appel à contributions a été lancé le </w:t>
      </w:r>
      <w:r w:rsidRPr="00F3116B">
        <w:rPr>
          <w:rFonts w:ascii="Times New Roman" w:hAnsi="Times New Roman"/>
          <w:noProof/>
          <w:sz w:val="24"/>
        </w:rPr>
        <w:t>17</w:t>
      </w:r>
      <w:r>
        <w:rPr>
          <w:rFonts w:ascii="Times New Roman" w:hAnsi="Times New Roman"/>
          <w:noProof/>
          <w:sz w:val="24"/>
        </w:rPr>
        <w:t xml:space="preserve"> octobre </w:t>
      </w:r>
      <w:r w:rsidRPr="00F3116B">
        <w:rPr>
          <w:rFonts w:ascii="Times New Roman" w:hAnsi="Times New Roman"/>
          <w:noProof/>
          <w:sz w:val="24"/>
        </w:rPr>
        <w:t>2023</w:t>
      </w:r>
      <w:r>
        <w:rPr>
          <w:rFonts w:ascii="Times New Roman" w:hAnsi="Times New Roman"/>
          <w:noProof/>
          <w:sz w:val="24"/>
        </w:rPr>
        <w:t xml:space="preserve"> et les réponses des parties prenantes seront prises en compte dans l’élaboration de plans de rationalisation par tous les services de la Commission. D’autres contributions à partir de la plateforme «Prêts pour l’avenir» seront apportées en </w:t>
      </w:r>
      <w:r w:rsidRPr="00F3116B">
        <w:rPr>
          <w:rFonts w:ascii="Times New Roman" w:hAnsi="Times New Roman"/>
          <w:noProof/>
          <w:sz w:val="24"/>
        </w:rPr>
        <w:t>2024</w:t>
      </w:r>
      <w:r>
        <w:rPr>
          <w:rFonts w:ascii="Times New Roman" w:hAnsi="Times New Roman"/>
          <w:noProof/>
          <w:sz w:val="24"/>
        </w:rPr>
        <w:t>, avec des recommandations des États membres et des parties prenantes pour la simplification et la réduction de la charge, y compris en ce qui concerne les obligations de déclaration</w:t>
      </w:r>
      <w:r w:rsidR="00357257">
        <w:rPr>
          <w:rStyle w:val="FootnoteReference"/>
          <w:rFonts w:ascii="Times New Roman" w:hAnsi="Times New Roman" w:cs="Times New Roman"/>
          <w:noProof/>
          <w:sz w:val="24"/>
          <w:szCs w:val="24"/>
        </w:rPr>
        <w:footnoteReference w:id="18"/>
      </w:r>
      <w:r>
        <w:rPr>
          <w:rFonts w:ascii="Times New Roman" w:hAnsi="Times New Roman"/>
          <w:noProof/>
          <w:sz w:val="24"/>
        </w:rPr>
        <w:t>. Le prochain examen annuel de la charge rendra compte des progrès accomplis.</w:t>
      </w:r>
    </w:p>
    <w:p w14:paraId="0BEB75BE" w14:textId="161A7879" w:rsidR="00282CFD" w:rsidRPr="00FD198C" w:rsidRDefault="00C23CB1" w:rsidP="00282CFD">
      <w:pPr>
        <w:jc w:val="both"/>
        <w:rPr>
          <w:rFonts w:ascii="Times New Roman" w:hAnsi="Times New Roman" w:cs="Times New Roman"/>
          <w:noProof/>
          <w:color w:val="000000" w:themeColor="text1"/>
          <w:sz w:val="24"/>
          <w:szCs w:val="24"/>
        </w:rPr>
      </w:pPr>
      <w:r>
        <w:rPr>
          <w:rFonts w:ascii="Times New Roman" w:hAnsi="Times New Roman"/>
          <w:noProof/>
          <w:sz w:val="24"/>
        </w:rPr>
        <w:t xml:space="preserve">Plus généralement, des efforts doivent être consentis au niveau de l’UE et des États membres pour simplifier davantage la mise en œuvre des règles convenues, en accordant une attention particulière à la surréglementation et en tenant compte des incidences cumulées ainsi que du calendrier de mise en œuvre de la législation. Cela contribuerait à réduire les coûts de mise en conformité et à assurer une plus grande visibilité des décisions d’investissement. </w:t>
      </w:r>
    </w:p>
    <w:p w14:paraId="335057EB" w14:textId="77777777" w:rsidR="00C23CB1" w:rsidRDefault="00C23CB1" w:rsidP="00C23CB1">
      <w:pPr>
        <w:jc w:val="both"/>
        <w:rPr>
          <w:rFonts w:ascii="Times New Roman" w:hAnsi="Times New Roman" w:cs="Times New Roman"/>
          <w:i/>
          <w:iCs/>
          <w:noProof/>
          <w:sz w:val="24"/>
          <w:szCs w:val="24"/>
        </w:rPr>
      </w:pPr>
      <w:bookmarkStart w:id="12" w:name="_Hlk156241135"/>
      <w:r>
        <w:rPr>
          <w:rFonts w:ascii="Times New Roman" w:hAnsi="Times New Roman"/>
          <w:i/>
          <w:noProof/>
          <w:sz w:val="24"/>
        </w:rPr>
        <w:t>Un marché unique modernisé</w:t>
      </w:r>
    </w:p>
    <w:p w14:paraId="2C499AD4" w14:textId="77777777" w:rsidR="00C23CB1" w:rsidRDefault="00C23CB1" w:rsidP="00C23CB1">
      <w:p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L’UE a adopté plusieurs mesures pour aider les consommateurs à mieux tirer parti du marché unique. Par exemple, l’initiative relative au chargeur universel simplifie déjà la vie de millions d’Européens. Les efforts visant à lutter contre les allégations écologiques illégitimes ou les initiatives concernant le droit à la réparation contribuent également à alléger les contraintes pesant sur les citoyens et à promouvoir une économie plus verte. </w:t>
      </w:r>
    </w:p>
    <w:p w14:paraId="1EC5834C" w14:textId="70DDAA61" w:rsidR="00C23CB1" w:rsidRDefault="00C23CB1" w:rsidP="00C23CB1">
      <w:p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Des mesures réglementaires essentielles ont été prises pour développer un marché unique dans le secteur numérique, offrant aux entreprises un ensemble uniforme de règles pour exercer leurs activités dans l’ensemble de l’UE: le </w:t>
      </w:r>
      <w:r>
        <w:rPr>
          <w:rFonts w:ascii="Times New Roman" w:hAnsi="Times New Roman"/>
          <w:b/>
          <w:bCs/>
          <w:noProof/>
          <w:color w:val="000000" w:themeColor="text1"/>
          <w:sz w:val="24"/>
        </w:rPr>
        <w:t>règlement sur les marchés numériques</w:t>
      </w:r>
      <w:r>
        <w:rPr>
          <w:rStyle w:val="FootnoteReference"/>
          <w:rFonts w:ascii="Times New Roman" w:eastAsia="Times New Roman" w:hAnsi="Times New Roman" w:cs="Times New Roman"/>
          <w:noProof/>
          <w:color w:val="000000" w:themeColor="text1"/>
          <w:sz w:val="24"/>
          <w:szCs w:val="24"/>
          <w:lang w:val="en-IE"/>
        </w:rPr>
        <w:footnoteReference w:id="19"/>
      </w:r>
      <w:r>
        <w:rPr>
          <w:rFonts w:ascii="Times New Roman" w:hAnsi="Times New Roman"/>
          <w:noProof/>
          <w:color w:val="000000" w:themeColor="text1"/>
          <w:sz w:val="24"/>
        </w:rPr>
        <w:t xml:space="preserve">, dont l’objectif est d’empêcher les plateformes agissant en tant que contrôleurs d’accès d’imposer des conditions inéquitables aux entreprises et aux consommateurs; le </w:t>
      </w:r>
      <w:r>
        <w:rPr>
          <w:rFonts w:ascii="Times New Roman" w:hAnsi="Times New Roman"/>
          <w:b/>
          <w:bCs/>
          <w:noProof/>
          <w:color w:val="000000" w:themeColor="text1"/>
          <w:sz w:val="24"/>
        </w:rPr>
        <w:t>règlement sur les services numériques</w:t>
      </w:r>
      <w:r>
        <w:rPr>
          <w:rStyle w:val="FootnoteReference"/>
          <w:rFonts w:ascii="Times New Roman" w:eastAsia="Times New Roman" w:hAnsi="Times New Roman" w:cs="Times New Roman"/>
          <w:noProof/>
          <w:color w:val="000000" w:themeColor="text1"/>
          <w:sz w:val="24"/>
          <w:szCs w:val="24"/>
          <w:lang w:val="en-IE"/>
        </w:rPr>
        <w:footnoteReference w:id="20"/>
      </w:r>
      <w:r>
        <w:rPr>
          <w:rFonts w:ascii="Times New Roman" w:hAnsi="Times New Roman"/>
          <w:noProof/>
          <w:color w:val="000000" w:themeColor="text1"/>
          <w:sz w:val="24"/>
        </w:rPr>
        <w:t xml:space="preserve">, dont l’objectif est de garantir que ce qui est illégal hors ligne l’est également en ligne; le </w:t>
      </w:r>
      <w:r>
        <w:rPr>
          <w:rFonts w:ascii="Times New Roman" w:hAnsi="Times New Roman"/>
          <w:b/>
          <w:bCs/>
          <w:noProof/>
          <w:color w:val="000000" w:themeColor="text1"/>
          <w:sz w:val="24"/>
        </w:rPr>
        <w:t>règlement sur la gouvernance des données</w:t>
      </w:r>
      <w:r w:rsidRPr="00A27108">
        <w:rPr>
          <w:rStyle w:val="FootnoteReference"/>
          <w:rFonts w:ascii="Times New Roman" w:eastAsia="Times New Roman" w:hAnsi="Times New Roman" w:cs="Times New Roman"/>
          <w:noProof/>
          <w:color w:val="000000" w:themeColor="text1"/>
          <w:sz w:val="24"/>
          <w:szCs w:val="24"/>
          <w:lang w:val="en-IE"/>
        </w:rPr>
        <w:footnoteReference w:id="21"/>
      </w:r>
      <w:r>
        <w:rPr>
          <w:rFonts w:ascii="Times New Roman" w:hAnsi="Times New Roman"/>
          <w:noProof/>
          <w:color w:val="000000" w:themeColor="text1"/>
          <w:sz w:val="24"/>
        </w:rPr>
        <w:t xml:space="preserve">, dont l’objectif est d’accroître la disponibilité des données, de renforcer la confiance dans le partage des données et de surmonter les obstacles techniques à la réutilisation des données; le </w:t>
      </w:r>
      <w:r>
        <w:rPr>
          <w:rFonts w:ascii="Times New Roman" w:hAnsi="Times New Roman"/>
          <w:b/>
          <w:bCs/>
          <w:noProof/>
          <w:color w:val="000000" w:themeColor="text1"/>
          <w:sz w:val="24"/>
        </w:rPr>
        <w:t>règlement sur les données</w:t>
      </w:r>
      <w:r>
        <w:rPr>
          <w:rStyle w:val="FootnoteReference"/>
          <w:rFonts w:ascii="Times New Roman" w:eastAsia="Times New Roman" w:hAnsi="Times New Roman" w:cs="Times New Roman"/>
          <w:b/>
          <w:bCs/>
          <w:noProof/>
          <w:color w:val="000000" w:themeColor="text1"/>
          <w:sz w:val="24"/>
          <w:szCs w:val="24"/>
          <w:lang w:val="en-IE"/>
        </w:rPr>
        <w:footnoteReference w:id="22"/>
      </w:r>
      <w:r>
        <w:rPr>
          <w:rFonts w:ascii="Times New Roman" w:hAnsi="Times New Roman"/>
          <w:noProof/>
          <w:color w:val="000000" w:themeColor="text1"/>
          <w:sz w:val="24"/>
        </w:rPr>
        <w:t xml:space="preserve">, dont l’objectif est d’harmoniser les règles relatives à l’accès équitable aux données; et le </w:t>
      </w:r>
      <w:r>
        <w:rPr>
          <w:rFonts w:ascii="Times New Roman" w:hAnsi="Times New Roman"/>
          <w:b/>
          <w:bCs/>
          <w:noProof/>
          <w:color w:val="000000" w:themeColor="text1"/>
          <w:sz w:val="24"/>
        </w:rPr>
        <w:t>règlement sur l’IA</w:t>
      </w:r>
      <w:r>
        <w:rPr>
          <w:rFonts w:ascii="Times New Roman" w:hAnsi="Times New Roman"/>
          <w:noProof/>
          <w:color w:val="000000" w:themeColor="text1"/>
          <w:sz w:val="24"/>
        </w:rPr>
        <w:t>, dont l’objectif est de garantir la sécurité juridique et d’ouvrir la voie à l’innovation dans une IA digne de confiance</w:t>
      </w:r>
      <w:r>
        <w:rPr>
          <w:rStyle w:val="FootnoteReference"/>
          <w:rFonts w:ascii="Times New Roman" w:eastAsia="Times New Roman" w:hAnsi="Times New Roman" w:cs="Times New Roman"/>
          <w:noProof/>
          <w:color w:val="000000" w:themeColor="text1"/>
          <w:sz w:val="24"/>
          <w:szCs w:val="24"/>
          <w:lang w:val="en-IE"/>
        </w:rPr>
        <w:footnoteReference w:id="23"/>
      </w:r>
      <w:r>
        <w:rPr>
          <w:rFonts w:ascii="Times New Roman" w:hAnsi="Times New Roman"/>
          <w:noProof/>
          <w:color w:val="000000" w:themeColor="text1"/>
          <w:sz w:val="24"/>
        </w:rPr>
        <w:t>.</w:t>
      </w:r>
    </w:p>
    <w:p w14:paraId="1A4AAAA4" w14:textId="77777777" w:rsidR="00C23CB1" w:rsidRDefault="00C23CB1" w:rsidP="00C23CB1">
      <w:pPr>
        <w:jc w:val="both"/>
        <w:rPr>
          <w:rFonts w:ascii="Times New Roman" w:hAnsi="Times New Roman" w:cs="Times New Roman"/>
          <w:noProof/>
          <w:sz w:val="24"/>
          <w:szCs w:val="24"/>
        </w:rPr>
      </w:pPr>
      <w:r>
        <w:rPr>
          <w:rFonts w:ascii="Times New Roman" w:hAnsi="Times New Roman"/>
          <w:noProof/>
          <w:sz w:val="24"/>
        </w:rPr>
        <w:t>En outre, l'instrument du marché unique pour les situations d’urgence (SMEI)</w:t>
      </w:r>
      <w:r>
        <w:rPr>
          <w:rStyle w:val="FootnoteReference"/>
          <w:rFonts w:ascii="Times New Roman" w:hAnsi="Times New Roman" w:cs="Times New Roman"/>
          <w:noProof/>
          <w:sz w:val="24"/>
          <w:szCs w:val="24"/>
        </w:rPr>
        <w:footnoteReference w:id="24"/>
      </w:r>
      <w:r>
        <w:rPr>
          <w:rFonts w:ascii="Times New Roman" w:hAnsi="Times New Roman"/>
          <w:noProof/>
          <w:sz w:val="24"/>
        </w:rPr>
        <w:t>, rebaptisé «</w:t>
      </w:r>
      <w:r>
        <w:rPr>
          <w:rFonts w:ascii="Times New Roman" w:hAnsi="Times New Roman"/>
          <w:b/>
          <w:bCs/>
          <w:noProof/>
          <w:sz w:val="24"/>
        </w:rPr>
        <w:t>règlement sur les situations d’urgence et la résilience du marché intérieur» (SURMI)</w:t>
      </w:r>
      <w:r w:rsidRPr="00DF2D3C">
        <w:rPr>
          <w:rFonts w:ascii="Times New Roman" w:hAnsi="Times New Roman" w:cs="Times New Roman"/>
          <w:noProof/>
          <w:sz w:val="24"/>
          <w:szCs w:val="24"/>
          <w:vertAlign w:val="superscript"/>
        </w:rPr>
        <w:footnoteReference w:id="25"/>
      </w:r>
      <w:r>
        <w:rPr>
          <w:rFonts w:ascii="Times New Roman" w:hAnsi="Times New Roman"/>
          <w:noProof/>
          <w:sz w:val="24"/>
        </w:rPr>
        <w:t xml:space="preserve">, élaboré en réaction à la perturbation du marché unique causée par les mesures de lutte contre la COVID </w:t>
      </w:r>
      <w:r w:rsidRPr="00F3116B">
        <w:rPr>
          <w:rFonts w:ascii="Times New Roman" w:hAnsi="Times New Roman"/>
          <w:noProof/>
          <w:sz w:val="24"/>
        </w:rPr>
        <w:t>19</w:t>
      </w:r>
      <w:r>
        <w:rPr>
          <w:rFonts w:ascii="Times New Roman" w:hAnsi="Times New Roman"/>
          <w:noProof/>
          <w:sz w:val="24"/>
        </w:rPr>
        <w:t xml:space="preserve">, garantira le fonctionnement continu du marché unique et soutiendra les citoyens et les entreprises dans les situations critiques. </w:t>
      </w:r>
    </w:p>
    <w:p w14:paraId="6F55CB97" w14:textId="77777777" w:rsidR="00BB23F8" w:rsidRDefault="00BB23F8">
      <w:pPr>
        <w:rPr>
          <w:rFonts w:ascii="Times New Roman" w:hAnsi="Times New Roman" w:cs="Times New Roman"/>
          <w:i/>
          <w:iCs/>
          <w:noProof/>
          <w:color w:val="000000" w:themeColor="text1"/>
          <w:sz w:val="24"/>
          <w:szCs w:val="24"/>
        </w:rPr>
      </w:pPr>
      <w:r>
        <w:rPr>
          <w:noProof/>
        </w:rPr>
        <w:br w:type="page"/>
      </w:r>
    </w:p>
    <w:p w14:paraId="3D81199D" w14:textId="794536D7" w:rsidR="00C23CB1" w:rsidRDefault="00C23CB1" w:rsidP="00C23CB1">
      <w:pPr>
        <w:jc w:val="both"/>
        <w:rPr>
          <w:rFonts w:ascii="Times New Roman" w:hAnsi="Times New Roman" w:cs="Times New Roman"/>
          <w:i/>
          <w:iCs/>
          <w:noProof/>
          <w:color w:val="000000" w:themeColor="text1"/>
          <w:sz w:val="24"/>
          <w:szCs w:val="24"/>
        </w:rPr>
      </w:pPr>
      <w:r>
        <w:rPr>
          <w:rFonts w:ascii="Times New Roman" w:hAnsi="Times New Roman"/>
          <w:i/>
          <w:noProof/>
          <w:color w:val="000000" w:themeColor="text1"/>
          <w:sz w:val="24"/>
        </w:rPr>
        <w:t>PME et petites entreprises à moyenne capitalisation</w:t>
      </w:r>
    </w:p>
    <w:p w14:paraId="1CC0732E" w14:textId="244F2CF4" w:rsidR="00C23CB1" w:rsidRPr="002D766E" w:rsidRDefault="00C23CB1" w:rsidP="00C23CB1">
      <w:pPr>
        <w:jc w:val="both"/>
        <w:rPr>
          <w:rFonts w:ascii="Times New Roman" w:eastAsia="Times New Roman" w:hAnsi="Times New Roman" w:cs="Times New Roman"/>
          <w:noProof/>
          <w:sz w:val="24"/>
          <w:szCs w:val="24"/>
        </w:rPr>
      </w:pPr>
      <w:r>
        <w:rPr>
          <w:rFonts w:ascii="Times New Roman" w:hAnsi="Times New Roman"/>
          <w:noProof/>
          <w:sz w:val="24"/>
        </w:rPr>
        <w:t>L’objectif du train de mesures de soutien aux PME</w:t>
      </w:r>
      <w:r w:rsidRPr="00410893">
        <w:rPr>
          <w:rStyle w:val="FootnoteReference"/>
          <w:rFonts w:ascii="Times New Roman" w:hAnsi="Times New Roman" w:cs="Times New Roman"/>
          <w:noProof/>
          <w:sz w:val="24"/>
          <w:szCs w:val="24"/>
        </w:rPr>
        <w:footnoteReference w:id="26"/>
      </w:r>
      <w:r>
        <w:rPr>
          <w:rFonts w:ascii="Times New Roman" w:hAnsi="Times New Roman"/>
          <w:noProof/>
          <w:sz w:val="24"/>
        </w:rPr>
        <w:t xml:space="preserve"> est de leur permettre d’être compétitives et de se développer. Comme le montre une récente étude de la Commission</w:t>
      </w:r>
      <w:r w:rsidRPr="00C76880">
        <w:rPr>
          <w:rStyle w:val="FootnoteReference"/>
          <w:rFonts w:ascii="Times New Roman" w:hAnsi="Times New Roman" w:cs="Times New Roman"/>
          <w:noProof/>
          <w:sz w:val="24"/>
          <w:szCs w:val="24"/>
        </w:rPr>
        <w:footnoteReference w:id="27"/>
      </w:r>
      <w:r>
        <w:rPr>
          <w:rFonts w:ascii="Times New Roman" w:hAnsi="Times New Roman"/>
          <w:noProof/>
          <w:sz w:val="24"/>
        </w:rPr>
        <w:t xml:space="preserve">, les «petites entreprises à moyenne capitalisation», qui n’entrent plus dans la définition des PME, jouent un rôle essentiel dans l’économie de l’UE, représentant </w:t>
      </w:r>
      <w:r w:rsidRPr="00F3116B">
        <w:rPr>
          <w:rFonts w:ascii="Times New Roman" w:hAnsi="Times New Roman"/>
          <w:noProof/>
          <w:sz w:val="24"/>
        </w:rPr>
        <w:t>6</w:t>
      </w:r>
      <w:r>
        <w:rPr>
          <w:rFonts w:ascii="Times New Roman" w:hAnsi="Times New Roman"/>
          <w:noProof/>
          <w:sz w:val="24"/>
        </w:rPr>
        <w:t xml:space="preserve"> % de l’emploi total. </w:t>
      </w:r>
      <w:r>
        <w:rPr>
          <w:rFonts w:ascii="Times New Roman" w:hAnsi="Times New Roman"/>
          <w:noProof/>
          <w:color w:val="000000"/>
          <w:sz w:val="24"/>
          <w:shd w:val="clear" w:color="auto" w:fill="FFFFFF"/>
        </w:rPr>
        <w:t xml:space="preserve">Elles sont très présentes dans des écosystèmes industriels essentiels à la compétitivité et à la souveraineté technologique de l’UE, comme l’électronique, l’aérospatiale et la défense, l’énergie, les industries à forte intensité énergétique et la santé. Environ </w:t>
      </w:r>
      <w:r w:rsidRPr="00F3116B">
        <w:rPr>
          <w:rFonts w:ascii="Times New Roman" w:hAnsi="Times New Roman"/>
          <w:noProof/>
          <w:color w:val="000000"/>
          <w:sz w:val="24"/>
          <w:shd w:val="clear" w:color="auto" w:fill="FFFFFF"/>
        </w:rPr>
        <w:t>20</w:t>
      </w:r>
      <w:r>
        <w:rPr>
          <w:rFonts w:ascii="Times New Roman" w:hAnsi="Times New Roman"/>
          <w:noProof/>
          <w:color w:val="000000"/>
          <w:sz w:val="24"/>
          <w:shd w:val="clear" w:color="auto" w:fill="FFFFFF"/>
        </w:rPr>
        <w:t> % de ces petites entreprises à moyenne capitalisation étaient des PME trois ans plus tôt</w:t>
      </w:r>
      <w:r>
        <w:rPr>
          <w:rStyle w:val="FootnoteReference"/>
          <w:rFonts w:ascii="Times New Roman" w:hAnsi="Times New Roman" w:cs="Times New Roman"/>
          <w:noProof/>
          <w:sz w:val="24"/>
          <w:szCs w:val="24"/>
        </w:rPr>
        <w:footnoteReference w:id="28"/>
      </w:r>
      <w:r>
        <w:rPr>
          <w:rFonts w:ascii="Times New Roman" w:hAnsi="Times New Roman"/>
          <w:noProof/>
          <w:color w:val="000000"/>
          <w:sz w:val="24"/>
          <w:shd w:val="clear" w:color="auto" w:fill="FFFFFF"/>
        </w:rPr>
        <w:t xml:space="preserve">. </w:t>
      </w:r>
      <w:r>
        <w:rPr>
          <w:rFonts w:ascii="Times New Roman" w:hAnsi="Times New Roman"/>
          <w:noProof/>
          <w:sz w:val="24"/>
        </w:rPr>
        <w:t>Par rapport aux PME, ces entreprises ont tendance à faire preuve d’un rythme de croissance plus soutenu et d’une plus forte intensité d’innovation et de numérisation, mais elles restent confrontées à un certain nombre de défis similaires, comme la charge administrative, le besoin d’une plus grande proportionnalité dans la nouvelle législation et celui d’un soutien ciblé. Pour permettre le passage en douceur du statut de PME à celui d’une petite entreprise à moyenne capitalisation, il importe de relever ces défis de manière cohérente.</w:t>
      </w:r>
    </w:p>
    <w:p w14:paraId="1E0F68B4" w14:textId="77777777" w:rsidR="00C23CB1" w:rsidRPr="00A8634D" w:rsidRDefault="00C23CB1" w:rsidP="00C23CB1">
      <w:pPr>
        <w:pStyle w:val="ListParagraph"/>
        <w:spacing w:line="240" w:lineRule="auto"/>
        <w:ind w:left="0"/>
        <w:jc w:val="both"/>
        <w:rPr>
          <w:rFonts w:ascii="Times New Roman" w:hAnsi="Times New Roman"/>
          <w:noProof/>
          <w:sz w:val="24"/>
        </w:rPr>
      </w:pPr>
      <w:r>
        <w:rPr>
          <w:rFonts w:ascii="Times New Roman" w:hAnsi="Times New Roman"/>
          <w:noProof/>
          <w:sz w:val="24"/>
        </w:rPr>
        <w:t>Une définition des petites entreprises à moyenne capitalisation est déjà utilisée dans le règlement général d’exemption par catégorie</w:t>
      </w:r>
      <w:r w:rsidRPr="008321DD">
        <w:rPr>
          <w:rStyle w:val="FootnoteReference"/>
          <w:rFonts w:ascii="Times New Roman" w:hAnsi="Times New Roman" w:cs="Times New Roman"/>
          <w:noProof/>
          <w:sz w:val="24"/>
          <w:szCs w:val="24"/>
        </w:rPr>
        <w:footnoteReference w:id="29"/>
      </w:r>
      <w:r>
        <w:rPr>
          <w:rFonts w:ascii="Times New Roman" w:hAnsi="Times New Roman"/>
          <w:noProof/>
          <w:sz w:val="24"/>
        </w:rPr>
        <w:t xml:space="preserve"> et dans les orientations sur le financement des risques</w:t>
      </w:r>
      <w:r w:rsidRPr="008321DD">
        <w:rPr>
          <w:rStyle w:val="FootnoteReference"/>
          <w:rFonts w:ascii="Times New Roman" w:hAnsi="Times New Roman" w:cs="Times New Roman"/>
          <w:noProof/>
          <w:sz w:val="24"/>
          <w:szCs w:val="24"/>
        </w:rPr>
        <w:footnoteReference w:id="30"/>
      </w:r>
      <w:r>
        <w:rPr>
          <w:rFonts w:ascii="Times New Roman" w:hAnsi="Times New Roman"/>
          <w:noProof/>
          <w:sz w:val="24"/>
        </w:rPr>
        <w:t xml:space="preserve">. Sur la base de cette définition, la Commission suivra les résultats obtenus, tant pour les PME que pour les petites entreprises à moyenne capitalisation, dans le cadre des programmes financiers pertinents et prendra des mesures pour renforcer la participation de ces entreprises, s’il y a lieu. En outre, elle élaborera un ensemble plus complet de données sur les petites entreprises à moyenne capitalisation et analysera de plus près les obstacles entravant la croissance des entreprises moyennes et leur transition vers le statut de «petite entreprise à moyenne capitalisation», en tenant compte des points de vue du réseau des PME et d’autres parties prenantes. Cela permettra d'éclairer les futures décisions sur la meilleure manière d’établir une définition harmonisée des petites entreprises à moyenne capitalisation, à des fins horizontales, et de recenser les domaines dans lesquels il est pertinent de prévoir des mesures proportionnées en matière de réglementation, de financement ou de politique publique .  </w:t>
      </w:r>
    </w:p>
    <w:bookmarkEnd w:id="12"/>
    <w:p w14:paraId="503095AF" w14:textId="77777777" w:rsidR="00C23CB1" w:rsidRDefault="00C23CB1" w:rsidP="00C23CB1">
      <w:pPr>
        <w:spacing w:after="240"/>
        <w:jc w:val="both"/>
        <w:rPr>
          <w:rFonts w:ascii="Times New Roman" w:hAnsi="Times New Roman" w:cs="Times New Roman"/>
          <w:noProof/>
          <w:sz w:val="24"/>
          <w:szCs w:val="24"/>
        </w:rPr>
      </w:pPr>
      <w:r>
        <w:rPr>
          <w:rFonts w:ascii="Times New Roman" w:hAnsi="Times New Roman"/>
          <w:i/>
          <w:noProof/>
          <w:sz w:val="24"/>
        </w:rPr>
        <w:t>Élargissement</w:t>
      </w:r>
    </w:p>
    <w:p w14:paraId="72EB41AC" w14:textId="77777777" w:rsidR="00C23CB1" w:rsidRPr="00FD198C" w:rsidRDefault="00C23CB1" w:rsidP="00C23CB1">
      <w:pPr>
        <w:jc w:val="both"/>
        <w:rPr>
          <w:rFonts w:ascii="Times New Roman" w:hAnsi="Times New Roman" w:cs="Times New Roman"/>
          <w:noProof/>
          <w:sz w:val="24"/>
          <w:szCs w:val="24"/>
        </w:rPr>
      </w:pPr>
      <w:r>
        <w:rPr>
          <w:rFonts w:ascii="Times New Roman" w:hAnsi="Times New Roman"/>
          <w:noProof/>
          <w:sz w:val="24"/>
        </w:rPr>
        <w:t>En décembre </w:t>
      </w:r>
      <w:r w:rsidRPr="00F3116B">
        <w:rPr>
          <w:rFonts w:ascii="Times New Roman" w:hAnsi="Times New Roman"/>
          <w:noProof/>
          <w:sz w:val="24"/>
        </w:rPr>
        <w:t>2023</w:t>
      </w:r>
      <w:r>
        <w:rPr>
          <w:rFonts w:ascii="Times New Roman" w:hAnsi="Times New Roman"/>
          <w:noProof/>
          <w:sz w:val="24"/>
        </w:rPr>
        <w:t xml:space="preserve">, le Conseil européen a ouvert la voie à un </w:t>
      </w:r>
      <w:r>
        <w:rPr>
          <w:rFonts w:ascii="Times New Roman" w:hAnsi="Times New Roman"/>
          <w:b/>
          <w:bCs/>
          <w:noProof/>
          <w:sz w:val="24"/>
        </w:rPr>
        <w:t>élargissement de l’Union européenne et donc du marché unique</w:t>
      </w:r>
      <w:r>
        <w:rPr>
          <w:rStyle w:val="FootnoteReference"/>
          <w:rFonts w:ascii="Times New Roman" w:hAnsi="Times New Roman" w:cs="Times New Roman"/>
          <w:b/>
          <w:bCs/>
          <w:noProof/>
          <w:sz w:val="24"/>
          <w:szCs w:val="24"/>
          <w:lang w:val="en-IE"/>
        </w:rPr>
        <w:footnoteReference w:id="31"/>
      </w:r>
      <w:r>
        <w:rPr>
          <w:rFonts w:ascii="Times New Roman" w:hAnsi="Times New Roman"/>
          <w:noProof/>
          <w:sz w:val="24"/>
        </w:rPr>
        <w:t xml:space="preserve">. La Commission s’emploie déjà à intégrer les pays candidats dans le marché unique, en contrôlant leurs progrès pour s’aligner sur le droit de l’UE, en les aidant à mener les réformes politiques et économiques nécessaires (et souvent substantielles), et en les préparant aux droits et obligations découlant de l’adhésion à l’UE. La plupart des pays candidats sont maintenant associés au programme pour le marché unique et au programme pour une Europe numérique. Des feuilles de route pour la mise en œuvre renforcée des zones de libre-échange approfondi et complet avec l’Ukraine et la Moldavie ont été adoptées pour la période </w:t>
      </w:r>
      <w:r w:rsidRPr="00F3116B">
        <w:rPr>
          <w:rFonts w:ascii="Times New Roman" w:hAnsi="Times New Roman"/>
          <w:noProof/>
          <w:sz w:val="24"/>
        </w:rPr>
        <w:t>2023</w:t>
      </w:r>
      <w:r>
        <w:rPr>
          <w:rFonts w:ascii="Times New Roman" w:hAnsi="Times New Roman"/>
          <w:noProof/>
          <w:sz w:val="24"/>
        </w:rPr>
        <w:t>-</w:t>
      </w:r>
      <w:r w:rsidRPr="00F3116B">
        <w:rPr>
          <w:rFonts w:ascii="Times New Roman" w:hAnsi="Times New Roman"/>
          <w:noProof/>
          <w:sz w:val="24"/>
        </w:rPr>
        <w:t>2024</w:t>
      </w:r>
      <w:r>
        <w:rPr>
          <w:rFonts w:ascii="Times New Roman" w:hAnsi="Times New Roman"/>
          <w:noProof/>
          <w:sz w:val="24"/>
        </w:rPr>
        <w:t xml:space="preserve"> afin de permettre à ces pays d’accéder plus facilement au marché unique de l’UE. </w:t>
      </w:r>
    </w:p>
    <w:tbl>
      <w:tblPr>
        <w:tblStyle w:val="TableGrid"/>
        <w:tblW w:w="9312" w:type="dxa"/>
        <w:tblInd w:w="108" w:type="dxa"/>
        <w:tblLook w:val="04A0" w:firstRow="1" w:lastRow="0" w:firstColumn="1" w:lastColumn="0" w:noHBand="0" w:noVBand="1"/>
      </w:tblPr>
      <w:tblGrid>
        <w:gridCol w:w="9312"/>
      </w:tblGrid>
      <w:tr w:rsidR="00C23CB1" w:rsidRPr="0039281C" w14:paraId="526CF94E" w14:textId="77777777" w:rsidTr="00DA1CDE">
        <w:tc>
          <w:tcPr>
            <w:tcW w:w="9312" w:type="dxa"/>
          </w:tcPr>
          <w:p w14:paraId="4643614A" w14:textId="77777777" w:rsidR="00C23CB1" w:rsidRPr="0039281C" w:rsidRDefault="00C23CB1" w:rsidP="00DA1CDE">
            <w:pPr>
              <w:keepNext/>
              <w:spacing w:after="120"/>
              <w:jc w:val="both"/>
              <w:rPr>
                <w:rFonts w:ascii="Times New Roman" w:hAnsi="Times New Roman" w:cs="Times New Roman"/>
                <w:noProof/>
                <w:sz w:val="24"/>
                <w:szCs w:val="24"/>
              </w:rPr>
            </w:pPr>
            <w:r>
              <w:rPr>
                <w:rFonts w:ascii="Times New Roman" w:hAnsi="Times New Roman"/>
                <w:noProof/>
                <w:sz w:val="24"/>
              </w:rPr>
              <w:t xml:space="preserve">Le marché unique requiert une appropriation politique et devrait constituer une œuvre commune, menée conjointement avec toutes les parties prenantes et dans tous les domaines d’action. </w:t>
            </w:r>
          </w:p>
          <w:p w14:paraId="21F82CD3" w14:textId="77777777" w:rsidR="00C23CB1" w:rsidRDefault="00C23CB1" w:rsidP="00DA1CDE">
            <w:pPr>
              <w:spacing w:after="120"/>
              <w:jc w:val="both"/>
              <w:rPr>
                <w:rFonts w:ascii="Times New Roman" w:hAnsi="Times New Roman" w:cs="Times New Roman"/>
                <w:noProof/>
                <w:sz w:val="24"/>
                <w:szCs w:val="24"/>
              </w:rPr>
            </w:pPr>
            <w:r>
              <w:rPr>
                <w:rFonts w:ascii="Times New Roman" w:hAnsi="Times New Roman"/>
                <w:noProof/>
                <w:sz w:val="24"/>
              </w:rPr>
              <w:t xml:space="preserve">Sur la base des progrès accomplis dans le cadre de ce mandat, la Commission et les États membres devraient continuer à parachever et à moderniser le marché unique, notamment en mettant l’accent sur la mise en œuvre correcte et l’application rigoureuse du droit de l’Union au niveau national, y compris en ce qui concerne les questions liées à la surréglementation. Pour atteindre ces objectifs, la Commission continue de plaider en faveur de la création d’offices nationaux du marché unique, sous la direction des États membres qui les doteraient des ressources nécessaires. Ces offices spécialisés, qui viendraient compléter d’autres outils collaboratifs, pourraient notamment contribuer à lever les obstacles qui subsistent pour les services. </w:t>
            </w:r>
          </w:p>
          <w:p w14:paraId="48DC656E" w14:textId="79061C9F" w:rsidR="00C23CB1" w:rsidRDefault="00C23CB1" w:rsidP="00DA1CDE">
            <w:pPr>
              <w:spacing w:after="120"/>
              <w:jc w:val="both"/>
              <w:rPr>
                <w:rFonts w:ascii="Times New Roman" w:hAnsi="Times New Roman" w:cs="Times New Roman"/>
                <w:noProof/>
                <w:sz w:val="24"/>
                <w:szCs w:val="24"/>
              </w:rPr>
            </w:pPr>
            <w:r>
              <w:rPr>
                <w:rFonts w:ascii="Times New Roman" w:hAnsi="Times New Roman"/>
                <w:noProof/>
                <w:sz w:val="24"/>
              </w:rPr>
              <w:t xml:space="preserve">La mise en œuvre des règles du marché unique devrait être rationalisée, en combinant des outils préventifs, collaboratifs et correctifs. Les États membres devraient atteindre les objectifs concrets fixés en matière de conformité et de transposition des directives. Le réseau SOLVIT, le SMET et les offices nationaux du marché unique, peuvent contribuer à lever les obstacles subsistant sur le marché unique, y compris pour les services. Pour ce faire, des ressources suffisantes devraient être allouées à ces travaux. </w:t>
            </w:r>
          </w:p>
          <w:p w14:paraId="4A2C1171" w14:textId="77777777" w:rsidR="00C23CB1" w:rsidRPr="004D30A3" w:rsidRDefault="00C23CB1" w:rsidP="00DA1CDE">
            <w:pPr>
              <w:spacing w:after="120"/>
              <w:jc w:val="both"/>
              <w:rPr>
                <w:rFonts w:ascii="Times New Roman" w:hAnsi="Times New Roman" w:cs="Times New Roman"/>
                <w:noProof/>
                <w:sz w:val="24"/>
                <w:szCs w:val="24"/>
              </w:rPr>
            </w:pPr>
            <w:r>
              <w:rPr>
                <w:rFonts w:ascii="Times New Roman" w:hAnsi="Times New Roman"/>
                <w:noProof/>
                <w:sz w:val="24"/>
              </w:rPr>
              <w:t>La réduction de la charge réglementaire devrait rester une priorité à tous les niveaux. Les réformes réglementaires et les instruments de soutien devraient cibler en particulier les PME et les petites entreprises à moyenne capitalisation.</w:t>
            </w:r>
          </w:p>
          <w:p w14:paraId="17A5E5C8" w14:textId="77777777" w:rsidR="00C23CB1" w:rsidRPr="0039281C" w:rsidRDefault="00C23CB1" w:rsidP="00DA1CDE">
            <w:pPr>
              <w:spacing w:after="120"/>
              <w:jc w:val="both"/>
              <w:rPr>
                <w:b/>
                <w:bCs/>
                <w:noProof/>
              </w:rPr>
            </w:pPr>
            <w:r>
              <w:rPr>
                <w:rFonts w:ascii="Times New Roman" w:hAnsi="Times New Roman"/>
                <w:noProof/>
                <w:sz w:val="24"/>
              </w:rPr>
              <w:t xml:space="preserve">Parallèlement, les travaux préparatoires et les réformes nécessaires à l’élargissement devraient continuer à garantir l’intégration mutuellement bénéfique des pays visés par l’élargissement dans les chaînes d’approvisionnement européennes. </w:t>
            </w:r>
          </w:p>
        </w:tc>
      </w:tr>
    </w:tbl>
    <w:p w14:paraId="39A50266" w14:textId="77777777" w:rsidR="00C23CB1" w:rsidRPr="0039281C" w:rsidRDefault="00C23CB1" w:rsidP="00C23CB1">
      <w:pPr>
        <w:pStyle w:val="ListParagraph"/>
        <w:numPr>
          <w:ilvl w:val="0"/>
          <w:numId w:val="2"/>
        </w:numPr>
        <w:spacing w:before="240"/>
        <w:ind w:left="357" w:hanging="357"/>
        <w:jc w:val="both"/>
        <w:rPr>
          <w:rFonts w:ascii="Times New Roman" w:hAnsi="Times New Roman" w:cs="Times New Roman"/>
          <w:b/>
          <w:bCs/>
          <w:noProof/>
          <w:sz w:val="24"/>
          <w:szCs w:val="24"/>
          <w:u w:val="single"/>
        </w:rPr>
      </w:pPr>
      <w:bookmarkStart w:id="13" w:name="_Hlk153285841"/>
      <w:bookmarkStart w:id="14" w:name="_Hlk151314010"/>
      <w:bookmarkEnd w:id="3"/>
      <w:r>
        <w:rPr>
          <w:rFonts w:ascii="Times New Roman" w:hAnsi="Times New Roman"/>
          <w:b/>
          <w:noProof/>
          <w:sz w:val="24"/>
          <w:u w:val="single"/>
        </w:rPr>
        <w:t>Accès aux capitaux et investissements privés</w:t>
      </w:r>
    </w:p>
    <w:tbl>
      <w:tblPr>
        <w:tblpPr w:leftFromText="180" w:rightFromText="180" w:vertAnchor="text" w:horzAnchor="margin" w:tblpY="198"/>
        <w:tblW w:w="4998" w:type="pct"/>
        <w:tblCellMar>
          <w:left w:w="0" w:type="dxa"/>
          <w:right w:w="0" w:type="dxa"/>
        </w:tblCellMar>
        <w:tblLook w:val="01E0" w:firstRow="1" w:lastRow="1" w:firstColumn="1" w:lastColumn="1" w:noHBand="0" w:noVBand="0"/>
      </w:tblPr>
      <w:tblGrid>
        <w:gridCol w:w="2292"/>
        <w:gridCol w:w="3999"/>
        <w:gridCol w:w="979"/>
        <w:gridCol w:w="2086"/>
      </w:tblGrid>
      <w:tr w:rsidR="00C23CB1" w:rsidRPr="00E83DB5" w14:paraId="6D447AA4" w14:textId="77777777" w:rsidTr="00DA1CDE">
        <w:trPr>
          <w:trHeight w:val="274"/>
        </w:trPr>
        <w:tc>
          <w:tcPr>
            <w:tcW w:w="1225" w:type="pct"/>
            <w:tcBorders>
              <w:top w:val="single" w:sz="4" w:space="0" w:color="auto"/>
              <w:bottom w:val="single" w:sz="4" w:space="0" w:color="auto"/>
            </w:tcBorders>
            <w:shd w:val="clear" w:color="auto" w:fill="B8CCE4"/>
            <w:vAlign w:val="center"/>
          </w:tcPr>
          <w:p w14:paraId="0A59CD76" w14:textId="77777777" w:rsidR="00C23CB1" w:rsidRPr="000A23DA" w:rsidRDefault="00C23CB1" w:rsidP="00DA1CDE">
            <w:pPr>
              <w:widowControl w:val="0"/>
              <w:autoSpaceDE w:val="0"/>
              <w:autoSpaceDN w:val="0"/>
              <w:spacing w:after="0" w:line="275" w:lineRule="exact"/>
              <w:ind w:left="107" w:right="138"/>
              <w:rPr>
                <w:rFonts w:ascii="Times New Roman" w:eastAsia="Palatino Linotype" w:hAnsi="Times New Roman" w:cs="Times New Roman"/>
                <w:b/>
                <w:noProof/>
                <w:color w:val="003063"/>
                <w:spacing w:val="26"/>
                <w:w w:val="90"/>
                <w:sz w:val="18"/>
                <w:szCs w:val="18"/>
              </w:rPr>
            </w:pPr>
            <w:r>
              <w:rPr>
                <w:rFonts w:ascii="Times New Roman" w:hAnsi="Times New Roman"/>
                <w:b/>
                <w:noProof/>
                <w:color w:val="003063"/>
                <w:sz w:val="18"/>
              </w:rPr>
              <w:t>ICP</w:t>
            </w:r>
          </w:p>
        </w:tc>
        <w:tc>
          <w:tcPr>
            <w:tcW w:w="2137" w:type="pct"/>
            <w:tcBorders>
              <w:top w:val="single" w:sz="4" w:space="0" w:color="auto"/>
              <w:bottom w:val="single" w:sz="4" w:space="0" w:color="auto"/>
            </w:tcBorders>
            <w:shd w:val="clear" w:color="auto" w:fill="B8CCE4"/>
            <w:vAlign w:val="center"/>
          </w:tcPr>
          <w:p w14:paraId="322BE981" w14:textId="77777777" w:rsidR="00C23CB1" w:rsidRPr="000A23DA" w:rsidRDefault="00C23CB1" w:rsidP="00DA1CDE">
            <w:pPr>
              <w:widowControl w:val="0"/>
              <w:autoSpaceDE w:val="0"/>
              <w:autoSpaceDN w:val="0"/>
              <w:spacing w:after="0" w:line="275" w:lineRule="exact"/>
              <w:ind w:left="107" w:right="139"/>
              <w:rPr>
                <w:rFonts w:ascii="Times New Roman" w:eastAsia="Palatino Linotype" w:hAnsi="Times New Roman" w:cs="Times New Roman"/>
                <w:b/>
                <w:noProof/>
                <w:color w:val="003063"/>
                <w:spacing w:val="26"/>
                <w:w w:val="90"/>
                <w:sz w:val="18"/>
                <w:szCs w:val="18"/>
              </w:rPr>
            </w:pPr>
            <w:r>
              <w:rPr>
                <w:rFonts w:ascii="Times New Roman" w:hAnsi="Times New Roman"/>
                <w:b/>
                <w:noProof/>
                <w:color w:val="003063"/>
                <w:sz w:val="18"/>
              </w:rPr>
              <w:t>Description</w:t>
            </w:r>
          </w:p>
        </w:tc>
        <w:tc>
          <w:tcPr>
            <w:tcW w:w="523" w:type="pct"/>
            <w:tcBorders>
              <w:top w:val="single" w:sz="4" w:space="0" w:color="auto"/>
              <w:bottom w:val="single" w:sz="4" w:space="0" w:color="auto"/>
            </w:tcBorders>
            <w:shd w:val="clear" w:color="auto" w:fill="B8CCE4"/>
            <w:vAlign w:val="center"/>
          </w:tcPr>
          <w:p w14:paraId="59A9D832" w14:textId="77777777" w:rsidR="00C23CB1" w:rsidRPr="000A23DA" w:rsidRDefault="00C23CB1" w:rsidP="00DA1CDE">
            <w:pPr>
              <w:widowControl w:val="0"/>
              <w:autoSpaceDE w:val="0"/>
              <w:autoSpaceDN w:val="0"/>
              <w:spacing w:after="0" w:line="275" w:lineRule="exact"/>
              <w:ind w:left="107"/>
              <w:rPr>
                <w:rFonts w:ascii="Times New Roman" w:eastAsia="Palatino Linotype" w:hAnsi="Times New Roman" w:cs="Times New Roman"/>
                <w:b/>
                <w:noProof/>
                <w:color w:val="003063"/>
                <w:spacing w:val="26"/>
                <w:w w:val="90"/>
                <w:sz w:val="18"/>
                <w:szCs w:val="18"/>
              </w:rPr>
            </w:pPr>
            <w:r>
              <w:rPr>
                <w:rFonts w:ascii="Times New Roman" w:hAnsi="Times New Roman"/>
                <w:b/>
                <w:noProof/>
                <w:color w:val="003063"/>
                <w:sz w:val="18"/>
              </w:rPr>
              <w:t>Objectif</w:t>
            </w:r>
          </w:p>
        </w:tc>
        <w:tc>
          <w:tcPr>
            <w:tcW w:w="1115" w:type="pct"/>
            <w:tcBorders>
              <w:top w:val="single" w:sz="4" w:space="0" w:color="auto"/>
              <w:bottom w:val="single" w:sz="4" w:space="0" w:color="auto"/>
            </w:tcBorders>
            <w:shd w:val="clear" w:color="auto" w:fill="B8CCE4"/>
            <w:vAlign w:val="center"/>
          </w:tcPr>
          <w:p w14:paraId="63D7EA4D" w14:textId="77777777" w:rsidR="00C23CB1" w:rsidRPr="000A23DA" w:rsidRDefault="00C23CB1" w:rsidP="00DA1CDE">
            <w:pPr>
              <w:widowControl w:val="0"/>
              <w:autoSpaceDE w:val="0"/>
              <w:autoSpaceDN w:val="0"/>
              <w:spacing w:after="0" w:line="275" w:lineRule="exact"/>
              <w:ind w:left="107"/>
              <w:rPr>
                <w:rFonts w:ascii="Times New Roman" w:eastAsia="Palatino Linotype" w:hAnsi="Times New Roman" w:cs="Times New Roman"/>
                <w:b/>
                <w:noProof/>
                <w:color w:val="003063"/>
                <w:spacing w:val="26"/>
                <w:w w:val="90"/>
                <w:sz w:val="18"/>
                <w:szCs w:val="18"/>
              </w:rPr>
            </w:pPr>
            <w:r>
              <w:rPr>
                <w:rFonts w:ascii="Times New Roman" w:hAnsi="Times New Roman"/>
                <w:b/>
                <w:noProof/>
                <w:sz w:val="18"/>
              </w:rPr>
              <w:t>Valeurs UE les plus récentes</w:t>
            </w:r>
            <w:r w:rsidRPr="002764DE">
              <w:rPr>
                <w:rFonts w:ascii="Times New Roman" w:eastAsia="Palatino Linotype" w:hAnsi="Times New Roman" w:cs="Times New Roman"/>
                <w:b/>
                <w:noProof/>
                <w:color w:val="003063"/>
                <w:spacing w:val="26"/>
                <w:w w:val="90"/>
                <w:sz w:val="18"/>
                <w:szCs w:val="18"/>
                <w:vertAlign w:val="superscript"/>
                <w:lang w:val="en-US"/>
              </w:rPr>
              <w:footnoteReference w:id="32"/>
            </w:r>
          </w:p>
        </w:tc>
      </w:tr>
      <w:tr w:rsidR="00C23CB1" w:rsidRPr="009859BA" w14:paraId="3B1EF4B3" w14:textId="77777777" w:rsidTr="00DA1CDE">
        <w:trPr>
          <w:trHeight w:val="699"/>
        </w:trPr>
        <w:tc>
          <w:tcPr>
            <w:tcW w:w="1225" w:type="pct"/>
            <w:tcBorders>
              <w:top w:val="single" w:sz="4" w:space="0" w:color="auto"/>
              <w:bottom w:val="single" w:sz="4" w:space="0" w:color="808080" w:themeColor="background1" w:themeShade="80"/>
            </w:tcBorders>
            <w:shd w:val="clear" w:color="auto" w:fill="C2D69B"/>
          </w:tcPr>
          <w:p w14:paraId="7721CA47" w14:textId="77777777" w:rsidR="00C23CB1" w:rsidRPr="000A23DA" w:rsidRDefault="00C23CB1" w:rsidP="00DA1CDE">
            <w:pPr>
              <w:widowControl w:val="0"/>
              <w:autoSpaceDE w:val="0"/>
              <w:autoSpaceDN w:val="0"/>
              <w:spacing w:before="60" w:after="60" w:line="240" w:lineRule="auto"/>
              <w:ind w:left="107" w:right="138"/>
              <w:rPr>
                <w:rFonts w:ascii="Times New Roman" w:eastAsia="Times New Roman" w:hAnsi="Times New Roman" w:cs="Times New Roman"/>
                <w:noProof/>
                <w:sz w:val="18"/>
                <w:szCs w:val="18"/>
              </w:rPr>
            </w:pPr>
            <w:r>
              <w:rPr>
                <w:rFonts w:ascii="Times New Roman" w:hAnsi="Times New Roman"/>
                <w:noProof/>
                <w:sz w:val="18"/>
              </w:rPr>
              <w:t>ICP </w:t>
            </w:r>
            <w:r w:rsidRPr="00F3116B">
              <w:rPr>
                <w:rFonts w:ascii="Times New Roman" w:hAnsi="Times New Roman"/>
                <w:noProof/>
                <w:sz w:val="18"/>
              </w:rPr>
              <w:t>3</w:t>
            </w:r>
            <w:r>
              <w:rPr>
                <w:rFonts w:ascii="Times New Roman" w:hAnsi="Times New Roman"/>
                <w:noProof/>
                <w:sz w:val="18"/>
              </w:rPr>
              <w:t>: Investissement privé en pourcentage du PIB</w:t>
            </w:r>
          </w:p>
        </w:tc>
        <w:tc>
          <w:tcPr>
            <w:tcW w:w="2137" w:type="pct"/>
            <w:tcBorders>
              <w:top w:val="single" w:sz="4" w:space="0" w:color="auto"/>
              <w:bottom w:val="single" w:sz="4" w:space="0" w:color="808080" w:themeColor="background1" w:themeShade="80"/>
            </w:tcBorders>
            <w:shd w:val="clear" w:color="auto" w:fill="C2D69B"/>
          </w:tcPr>
          <w:p w14:paraId="665A0ACA" w14:textId="77777777" w:rsidR="00C23CB1" w:rsidRPr="000A23DA" w:rsidRDefault="00C23CB1" w:rsidP="00DA1CDE">
            <w:pPr>
              <w:widowControl w:val="0"/>
              <w:autoSpaceDE w:val="0"/>
              <w:autoSpaceDN w:val="0"/>
              <w:spacing w:before="60" w:after="60" w:line="240" w:lineRule="auto"/>
              <w:ind w:left="108" w:right="136"/>
              <w:jc w:val="both"/>
              <w:rPr>
                <w:rFonts w:ascii="Times New Roman" w:eastAsia="Times New Roman" w:hAnsi="Times New Roman" w:cs="Times New Roman"/>
                <w:noProof/>
                <w:sz w:val="18"/>
                <w:szCs w:val="18"/>
              </w:rPr>
            </w:pPr>
            <w:r>
              <w:rPr>
                <w:rFonts w:ascii="Times New Roman" w:hAnsi="Times New Roman"/>
                <w:noProof/>
                <w:sz w:val="18"/>
              </w:rPr>
              <w:t>L’investissement privé est directement lié à la facilité d’accès aux capitaux privés.</w:t>
            </w:r>
          </w:p>
        </w:tc>
        <w:tc>
          <w:tcPr>
            <w:tcW w:w="523" w:type="pct"/>
            <w:tcBorders>
              <w:top w:val="single" w:sz="4" w:space="0" w:color="auto"/>
              <w:bottom w:val="single" w:sz="4" w:space="0" w:color="808080" w:themeColor="background1" w:themeShade="80"/>
            </w:tcBorders>
            <w:shd w:val="clear" w:color="auto" w:fill="C2D69B"/>
          </w:tcPr>
          <w:p w14:paraId="275CD11C" w14:textId="77777777" w:rsidR="00C23CB1" w:rsidRPr="000A23DA"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szCs w:val="18"/>
              </w:rPr>
            </w:pPr>
            <w:r>
              <w:rPr>
                <w:rFonts w:ascii="Times New Roman" w:hAnsi="Times New Roman"/>
                <w:noProof/>
                <w:sz w:val="18"/>
              </w:rPr>
              <w:t>Hausse</w:t>
            </w:r>
          </w:p>
        </w:tc>
        <w:tc>
          <w:tcPr>
            <w:tcW w:w="1115" w:type="pct"/>
            <w:tcBorders>
              <w:top w:val="single" w:sz="4" w:space="0" w:color="auto"/>
              <w:bottom w:val="single" w:sz="4" w:space="0" w:color="808080" w:themeColor="background1" w:themeShade="80"/>
            </w:tcBorders>
            <w:shd w:val="clear" w:color="auto" w:fill="C2D69B"/>
          </w:tcPr>
          <w:p w14:paraId="2ECEDDF7" w14:textId="77777777" w:rsidR="00C23CB1" w:rsidRPr="000A23DA"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szCs w:val="18"/>
              </w:rPr>
            </w:pPr>
            <w:r w:rsidRPr="00F3116B">
              <w:rPr>
                <w:rFonts w:ascii="Times New Roman" w:hAnsi="Times New Roman"/>
                <w:noProof/>
                <w:sz w:val="18"/>
              </w:rPr>
              <w:t>19</w:t>
            </w:r>
            <w:r>
              <w:rPr>
                <w:rFonts w:ascii="Times New Roman" w:hAnsi="Times New Roman"/>
                <w:noProof/>
                <w:sz w:val="18"/>
              </w:rPr>
              <w:t>,</w:t>
            </w:r>
            <w:r w:rsidRPr="00F3116B">
              <w:rPr>
                <w:rFonts w:ascii="Times New Roman" w:hAnsi="Times New Roman"/>
                <w:noProof/>
                <w:sz w:val="18"/>
              </w:rPr>
              <w:t>3</w:t>
            </w:r>
            <w:r>
              <w:rPr>
                <w:rFonts w:ascii="Times New Roman" w:hAnsi="Times New Roman"/>
                <w:noProof/>
                <w:sz w:val="18"/>
              </w:rPr>
              <w:t>% (</w:t>
            </w:r>
            <w:r w:rsidRPr="00F3116B">
              <w:rPr>
                <w:rFonts w:ascii="Times New Roman" w:hAnsi="Times New Roman"/>
                <w:noProof/>
                <w:sz w:val="18"/>
              </w:rPr>
              <w:t>2022</w:t>
            </w:r>
            <w:r>
              <w:rPr>
                <w:rFonts w:ascii="Times New Roman" w:hAnsi="Times New Roman"/>
                <w:noProof/>
                <w:sz w:val="18"/>
              </w:rPr>
              <w:t>)</w:t>
            </w:r>
          </w:p>
          <w:p w14:paraId="51260873" w14:textId="77777777" w:rsidR="00C23CB1" w:rsidRPr="000A23DA"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szCs w:val="18"/>
              </w:rPr>
            </w:pPr>
            <w:r w:rsidRPr="00F3116B">
              <w:rPr>
                <w:rFonts w:ascii="Times New Roman" w:hAnsi="Times New Roman"/>
                <w:noProof/>
                <w:sz w:val="18"/>
              </w:rPr>
              <w:t>18</w:t>
            </w:r>
            <w:r>
              <w:rPr>
                <w:rFonts w:ascii="Times New Roman" w:hAnsi="Times New Roman"/>
                <w:noProof/>
                <w:sz w:val="18"/>
              </w:rPr>
              <w:t>,</w:t>
            </w:r>
            <w:r w:rsidRPr="00F3116B">
              <w:rPr>
                <w:rFonts w:ascii="Times New Roman" w:hAnsi="Times New Roman"/>
                <w:noProof/>
                <w:sz w:val="18"/>
              </w:rPr>
              <w:t>7</w:t>
            </w:r>
            <w:r>
              <w:rPr>
                <w:rFonts w:ascii="Times New Roman" w:hAnsi="Times New Roman"/>
                <w:noProof/>
                <w:sz w:val="18"/>
              </w:rPr>
              <w:t>% (</w:t>
            </w:r>
            <w:r w:rsidRPr="00F3116B">
              <w:rPr>
                <w:rFonts w:ascii="Times New Roman" w:hAnsi="Times New Roman"/>
                <w:noProof/>
                <w:sz w:val="18"/>
              </w:rPr>
              <w:t>2021</w:t>
            </w:r>
            <w:r>
              <w:rPr>
                <w:rFonts w:ascii="Times New Roman" w:hAnsi="Times New Roman"/>
                <w:noProof/>
                <w:sz w:val="18"/>
              </w:rPr>
              <w:t>)</w:t>
            </w:r>
          </w:p>
        </w:tc>
      </w:tr>
      <w:tr w:rsidR="00C23CB1" w:rsidRPr="009859BA" w14:paraId="145ADA4C" w14:textId="77777777" w:rsidTr="00DA1CDE">
        <w:trPr>
          <w:trHeight w:val="729"/>
        </w:trPr>
        <w:tc>
          <w:tcPr>
            <w:tcW w:w="1225" w:type="pct"/>
            <w:tcBorders>
              <w:top w:val="single" w:sz="4" w:space="0" w:color="808080" w:themeColor="background1" w:themeShade="80"/>
              <w:bottom w:val="single" w:sz="4" w:space="0" w:color="auto"/>
            </w:tcBorders>
            <w:shd w:val="clear" w:color="auto" w:fill="D99594"/>
          </w:tcPr>
          <w:p w14:paraId="2D9E5776" w14:textId="77777777" w:rsidR="00C23CB1" w:rsidRPr="000A23DA" w:rsidRDefault="00C23CB1" w:rsidP="00DA1CDE">
            <w:pPr>
              <w:widowControl w:val="0"/>
              <w:autoSpaceDE w:val="0"/>
              <w:autoSpaceDN w:val="0"/>
              <w:spacing w:before="60" w:after="60" w:line="240" w:lineRule="auto"/>
              <w:ind w:left="107" w:right="138"/>
              <w:rPr>
                <w:rFonts w:ascii="Times New Roman" w:eastAsia="Times New Roman" w:hAnsi="Times New Roman" w:cs="Times New Roman"/>
                <w:noProof/>
                <w:sz w:val="18"/>
                <w:szCs w:val="18"/>
              </w:rPr>
            </w:pPr>
            <w:r>
              <w:rPr>
                <w:rFonts w:ascii="Times New Roman" w:hAnsi="Times New Roman"/>
                <w:noProof/>
                <w:sz w:val="18"/>
              </w:rPr>
              <w:t>ICP </w:t>
            </w:r>
            <w:r w:rsidRPr="00F3116B">
              <w:rPr>
                <w:rFonts w:ascii="Times New Roman" w:hAnsi="Times New Roman"/>
                <w:noProof/>
                <w:sz w:val="18"/>
              </w:rPr>
              <w:t>4</w:t>
            </w:r>
            <w:r>
              <w:rPr>
                <w:rFonts w:ascii="Times New Roman" w:hAnsi="Times New Roman"/>
                <w:noProof/>
                <w:sz w:val="18"/>
              </w:rPr>
              <w:t>:</w:t>
            </w:r>
            <w:r>
              <w:rPr>
                <w:rFonts w:ascii="Times New Roman" w:hAnsi="Times New Roman"/>
                <w:noProof/>
                <w:color w:val="111111"/>
                <w:sz w:val="18"/>
              </w:rPr>
              <w:t xml:space="preserve"> Investissement en capital-risque en pourcentage du PIB</w:t>
            </w:r>
          </w:p>
        </w:tc>
        <w:tc>
          <w:tcPr>
            <w:tcW w:w="2137" w:type="pct"/>
            <w:tcBorders>
              <w:top w:val="single" w:sz="4" w:space="0" w:color="808080" w:themeColor="background1" w:themeShade="80"/>
              <w:bottom w:val="single" w:sz="4" w:space="0" w:color="auto"/>
            </w:tcBorders>
            <w:shd w:val="clear" w:color="auto" w:fill="D99594"/>
          </w:tcPr>
          <w:p w14:paraId="2E8E1AF1" w14:textId="77777777" w:rsidR="00C23CB1" w:rsidRPr="000A23DA" w:rsidRDefault="00C23CB1" w:rsidP="00DA1CDE">
            <w:pPr>
              <w:keepNext/>
              <w:autoSpaceDE w:val="0"/>
              <w:autoSpaceDN w:val="0"/>
              <w:spacing w:before="60" w:after="60" w:line="240" w:lineRule="auto"/>
              <w:ind w:left="108" w:right="136"/>
              <w:jc w:val="both"/>
              <w:rPr>
                <w:rFonts w:ascii="Times New Roman" w:eastAsia="Times New Roman" w:hAnsi="Times New Roman" w:cs="Times New Roman"/>
                <w:noProof/>
                <w:sz w:val="18"/>
                <w:szCs w:val="18"/>
              </w:rPr>
            </w:pPr>
            <w:r>
              <w:rPr>
                <w:rFonts w:ascii="Times New Roman" w:hAnsi="Times New Roman"/>
                <w:noProof/>
                <w:sz w:val="18"/>
              </w:rPr>
              <w:t>Les progrès dans ce domaine sont un bon indicateur des progrès réalisés dans l’accès aux capitaux privés en général.</w:t>
            </w:r>
          </w:p>
        </w:tc>
        <w:tc>
          <w:tcPr>
            <w:tcW w:w="523" w:type="pct"/>
            <w:tcBorders>
              <w:top w:val="single" w:sz="4" w:space="0" w:color="808080" w:themeColor="background1" w:themeShade="80"/>
              <w:bottom w:val="single" w:sz="4" w:space="0" w:color="auto"/>
            </w:tcBorders>
            <w:shd w:val="clear" w:color="auto" w:fill="D99594"/>
          </w:tcPr>
          <w:p w14:paraId="1CAC578F" w14:textId="77777777" w:rsidR="00C23CB1" w:rsidRPr="000A23DA"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szCs w:val="18"/>
              </w:rPr>
            </w:pPr>
            <w:r>
              <w:rPr>
                <w:rFonts w:ascii="Times New Roman" w:hAnsi="Times New Roman"/>
                <w:noProof/>
                <w:sz w:val="18"/>
              </w:rPr>
              <w:t>Hausse</w:t>
            </w:r>
          </w:p>
        </w:tc>
        <w:tc>
          <w:tcPr>
            <w:tcW w:w="1115" w:type="pct"/>
            <w:tcBorders>
              <w:top w:val="single" w:sz="4" w:space="0" w:color="808080" w:themeColor="background1" w:themeShade="80"/>
              <w:bottom w:val="single" w:sz="4" w:space="0" w:color="auto"/>
            </w:tcBorders>
            <w:shd w:val="clear" w:color="auto" w:fill="D99594"/>
          </w:tcPr>
          <w:p w14:paraId="1AA7D1C8" w14:textId="77777777" w:rsidR="00C23CB1" w:rsidRPr="000A23DA"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szCs w:val="18"/>
              </w:rPr>
            </w:pPr>
            <w:r w:rsidRPr="00F3116B">
              <w:rPr>
                <w:rFonts w:ascii="Times New Roman" w:hAnsi="Times New Roman"/>
                <w:noProof/>
                <w:sz w:val="18"/>
              </w:rPr>
              <w:t>0</w:t>
            </w:r>
            <w:r>
              <w:rPr>
                <w:rFonts w:ascii="Times New Roman" w:hAnsi="Times New Roman"/>
                <w:noProof/>
                <w:sz w:val="18"/>
              </w:rPr>
              <w:t>,</w:t>
            </w:r>
            <w:r w:rsidRPr="00F3116B">
              <w:rPr>
                <w:rFonts w:ascii="Times New Roman" w:hAnsi="Times New Roman"/>
                <w:noProof/>
                <w:sz w:val="18"/>
              </w:rPr>
              <w:t>09</w:t>
            </w:r>
            <w:r>
              <w:rPr>
                <w:rFonts w:ascii="Times New Roman" w:hAnsi="Times New Roman"/>
                <w:noProof/>
                <w:sz w:val="18"/>
              </w:rPr>
              <w:t>% (</w:t>
            </w:r>
            <w:r w:rsidRPr="00F3116B">
              <w:rPr>
                <w:rFonts w:ascii="Times New Roman" w:hAnsi="Times New Roman"/>
                <w:noProof/>
                <w:sz w:val="18"/>
              </w:rPr>
              <w:t>2022</w:t>
            </w:r>
            <w:r>
              <w:rPr>
                <w:rFonts w:ascii="Times New Roman" w:hAnsi="Times New Roman"/>
                <w:noProof/>
                <w:sz w:val="18"/>
              </w:rPr>
              <w:t>)</w:t>
            </w:r>
          </w:p>
          <w:p w14:paraId="3327AE6A" w14:textId="77777777" w:rsidR="00C23CB1" w:rsidRPr="000A23DA"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szCs w:val="18"/>
              </w:rPr>
            </w:pPr>
            <w:r w:rsidRPr="00F3116B">
              <w:rPr>
                <w:rFonts w:ascii="Times New Roman" w:hAnsi="Times New Roman"/>
                <w:noProof/>
                <w:sz w:val="18"/>
              </w:rPr>
              <w:t>0</w:t>
            </w:r>
            <w:r>
              <w:rPr>
                <w:rFonts w:ascii="Times New Roman" w:hAnsi="Times New Roman"/>
                <w:noProof/>
                <w:sz w:val="18"/>
              </w:rPr>
              <w:t>,</w:t>
            </w:r>
            <w:r w:rsidRPr="00F3116B">
              <w:rPr>
                <w:rFonts w:ascii="Times New Roman" w:hAnsi="Times New Roman"/>
                <w:noProof/>
                <w:sz w:val="18"/>
              </w:rPr>
              <w:t>11</w:t>
            </w:r>
            <w:r>
              <w:rPr>
                <w:rFonts w:ascii="Times New Roman" w:hAnsi="Times New Roman"/>
                <w:noProof/>
                <w:sz w:val="18"/>
              </w:rPr>
              <w:t>% (</w:t>
            </w:r>
            <w:r w:rsidRPr="00F3116B">
              <w:rPr>
                <w:rFonts w:ascii="Times New Roman" w:hAnsi="Times New Roman"/>
                <w:noProof/>
                <w:sz w:val="18"/>
              </w:rPr>
              <w:t>2021</w:t>
            </w:r>
            <w:r>
              <w:rPr>
                <w:rFonts w:ascii="Times New Roman" w:hAnsi="Times New Roman"/>
                <w:noProof/>
                <w:sz w:val="18"/>
              </w:rPr>
              <w:t>)</w:t>
            </w:r>
          </w:p>
        </w:tc>
      </w:tr>
    </w:tbl>
    <w:p w14:paraId="7C755B84" w14:textId="77777777" w:rsidR="00C23CB1" w:rsidRDefault="00C23CB1" w:rsidP="00C23CB1">
      <w:pPr>
        <w:spacing w:after="0"/>
        <w:rPr>
          <w:noProof/>
          <w:shd w:val="clear" w:color="auto" w:fill="FFFFFF"/>
          <w:lang w:val="en-IE"/>
        </w:rPr>
      </w:pPr>
    </w:p>
    <w:p w14:paraId="64516421" w14:textId="3056BC33" w:rsidR="00902395" w:rsidRDefault="00C23CB1" w:rsidP="00C23CB1">
      <w:pPr>
        <w:spacing w:after="120"/>
        <w:jc w:val="both"/>
        <w:rPr>
          <w:rFonts w:ascii="Times New Roman" w:eastAsia="Times New Roman" w:hAnsi="Times New Roman" w:cs="Times New Roman"/>
          <w:b/>
          <w:bCs/>
          <w:noProof/>
          <w:sz w:val="24"/>
          <w:szCs w:val="24"/>
        </w:rPr>
      </w:pPr>
      <w:r>
        <w:rPr>
          <w:rFonts w:ascii="Times New Roman" w:hAnsi="Times New Roman"/>
          <w:b/>
          <w:noProof/>
          <w:color w:val="000000"/>
          <w:sz w:val="24"/>
          <w:shd w:val="clear" w:color="auto" w:fill="FFFFFF"/>
        </w:rPr>
        <w:t xml:space="preserve">L’investissement privé dans l’UE a bien résisté depuis la crise financière, comparé à la situation d’autres acteurs internationaux. L’approfondissement de l’union des marchés des capitaux (UMC) est essentiel pour débloquer les investissements privés et accroître la compétitivité de l’UE. </w:t>
      </w:r>
      <w:r>
        <w:rPr>
          <w:rFonts w:ascii="Times New Roman" w:hAnsi="Times New Roman"/>
          <w:b/>
          <w:noProof/>
          <w:sz w:val="24"/>
        </w:rPr>
        <w:t xml:space="preserve">Les investissements nécessaires pour accélérer la double transition écologique et numérique, renforcer la résilience et stimuler la compétitivité de l’Union devront provenir principalement du secteur privé. </w:t>
      </w:r>
    </w:p>
    <w:p w14:paraId="546F24B7" w14:textId="6DC3CC3B" w:rsidR="00902395" w:rsidRDefault="00E52238" w:rsidP="00C23CB1">
      <w:pPr>
        <w:spacing w:after="120"/>
        <w:jc w:val="both"/>
        <w:rPr>
          <w:rFonts w:ascii="Times New Roman" w:hAnsi="Times New Roman"/>
          <w:noProof/>
          <w:color w:val="000000"/>
          <w:sz w:val="24"/>
          <w:shd w:val="clear" w:color="auto" w:fill="FFFFFF"/>
        </w:rPr>
      </w:pPr>
      <w:r>
        <w:rPr>
          <w:rFonts w:ascii="Times New Roman" w:hAnsi="Times New Roman"/>
          <w:noProof/>
          <w:sz w:val="24"/>
        </w:rPr>
        <w:t xml:space="preserve">Dans le cadre de ce mandat, sur les </w:t>
      </w:r>
      <w:r w:rsidRPr="00F3116B">
        <w:rPr>
          <w:rFonts w:ascii="Times New Roman" w:hAnsi="Times New Roman"/>
          <w:noProof/>
          <w:sz w:val="24"/>
        </w:rPr>
        <w:t>16</w:t>
      </w:r>
      <w:r>
        <w:rPr>
          <w:rFonts w:ascii="Times New Roman" w:hAnsi="Times New Roman"/>
          <w:noProof/>
          <w:sz w:val="24"/>
        </w:rPr>
        <w:t xml:space="preserve"> actions du plan d’action </w:t>
      </w:r>
      <w:r w:rsidRPr="00F3116B">
        <w:rPr>
          <w:rFonts w:ascii="Times New Roman" w:hAnsi="Times New Roman"/>
          <w:noProof/>
          <w:sz w:val="24"/>
        </w:rPr>
        <w:t>2020</w:t>
      </w:r>
      <w:r>
        <w:rPr>
          <w:rFonts w:ascii="Times New Roman" w:hAnsi="Times New Roman"/>
          <w:noProof/>
          <w:sz w:val="24"/>
        </w:rPr>
        <w:t xml:space="preserve"> pour l’union des marchés des capitaux proposé par la Commission, presque toutes ont été adoptées ou approuvées au niveau politique.</w:t>
      </w:r>
      <w:r>
        <w:rPr>
          <w:rFonts w:ascii="Times New Roman" w:hAnsi="Times New Roman"/>
          <w:noProof/>
          <w:color w:val="000000"/>
          <w:sz w:val="24"/>
          <w:shd w:val="clear" w:color="auto" w:fill="FFFFFF"/>
        </w:rPr>
        <w:t xml:space="preserve"> Toutefois, malgré l’amélioration des conditions sur les marchés des capitaux de l’UE, ces mesures ne permettront pas à elles seules d’achever l’union des marchés des capitaux et la disponibilité du capital-risque reste insuffisante pour développer les entreprises innovantes et financer la croissance future. </w:t>
      </w:r>
    </w:p>
    <w:p w14:paraId="3D44C2DA" w14:textId="264C33E2" w:rsidR="00C23CB1" w:rsidRPr="005C3892" w:rsidRDefault="00C23CB1" w:rsidP="00C23CB1">
      <w:pPr>
        <w:spacing w:after="120"/>
        <w:jc w:val="both"/>
        <w:rPr>
          <w:rFonts w:ascii="Times New Roman" w:hAnsi="Times New Roman"/>
          <w:noProof/>
          <w:color w:val="000000"/>
          <w:sz w:val="24"/>
          <w:shd w:val="clear" w:color="auto" w:fill="FFFFFF"/>
        </w:rPr>
      </w:pPr>
      <w:r>
        <w:rPr>
          <w:rFonts w:ascii="Times New Roman" w:hAnsi="Times New Roman"/>
          <w:noProof/>
          <w:color w:val="000000"/>
          <w:sz w:val="24"/>
          <w:shd w:val="clear" w:color="auto" w:fill="FFFFFF"/>
        </w:rPr>
        <w:t>Le règlement de l’UE sur la taxinomie renforcera le financement des activités économiques durables sur le plan environnemental et stimulera la transition écologique.</w:t>
      </w:r>
    </w:p>
    <w:p w14:paraId="11F3EE41" w14:textId="77777777" w:rsidR="00C23CB1" w:rsidRPr="003F07DE" w:rsidRDefault="00C23CB1" w:rsidP="00C23CB1">
      <w:pPr>
        <w:spacing w:before="120" w:after="120"/>
        <w:jc w:val="both"/>
        <w:rPr>
          <w:rFonts w:ascii="Times New Roman" w:hAnsi="Times New Roman" w:cs="Times New Roman"/>
          <w:noProof/>
          <w:color w:val="000000"/>
          <w:sz w:val="24"/>
          <w:szCs w:val="24"/>
          <w:shd w:val="clear" w:color="auto" w:fill="FFFFFF"/>
        </w:rPr>
      </w:pPr>
      <w:bookmarkStart w:id="15" w:name="_Hlk152174996"/>
      <w:r>
        <w:rPr>
          <w:rFonts w:ascii="Times New Roman" w:hAnsi="Times New Roman"/>
          <w:noProof/>
          <w:sz w:val="24"/>
        </w:rPr>
        <w:t xml:space="preserve">Les </w:t>
      </w:r>
      <w:r>
        <w:rPr>
          <w:rFonts w:ascii="Times New Roman" w:hAnsi="Times New Roman"/>
          <w:b/>
          <w:bCs/>
          <w:noProof/>
          <w:sz w:val="24"/>
        </w:rPr>
        <w:t>conditions de financement</w:t>
      </w:r>
      <w:r>
        <w:rPr>
          <w:rFonts w:ascii="Times New Roman" w:hAnsi="Times New Roman"/>
          <w:noProof/>
          <w:sz w:val="24"/>
        </w:rPr>
        <w:t xml:space="preserve"> se sont considérablement durcies en </w:t>
      </w:r>
      <w:r w:rsidRPr="00F3116B">
        <w:rPr>
          <w:rFonts w:ascii="Times New Roman" w:hAnsi="Times New Roman"/>
          <w:noProof/>
          <w:sz w:val="24"/>
        </w:rPr>
        <w:t>2023</w:t>
      </w:r>
      <w:r>
        <w:rPr>
          <w:rFonts w:ascii="Times New Roman" w:hAnsi="Times New Roman"/>
          <w:noProof/>
          <w:sz w:val="24"/>
        </w:rPr>
        <w:t xml:space="preserve">, créant un environnement d’investissement plus difficile. </w:t>
      </w:r>
      <w:r>
        <w:rPr>
          <w:noProof/>
        </w:rPr>
        <w:t>Les taux d’intérêt dans la zone euro ont fortement augmenté, tandis que les critères d’octroi de nouveaux prêts ou lignes de crédit sont devenus plus stricts et divergent d’un pays à l’autre</w:t>
      </w:r>
      <w:bookmarkStart w:id="16" w:name="_Ref157102664"/>
      <w:r w:rsidRPr="003F07DE">
        <w:rPr>
          <w:rStyle w:val="FootnoteReference"/>
          <w:rFonts w:ascii="Times New Roman" w:hAnsi="Times New Roman" w:cs="Times New Roman"/>
          <w:noProof/>
          <w:color w:val="000000"/>
          <w:sz w:val="24"/>
          <w:szCs w:val="24"/>
          <w:shd w:val="clear" w:color="auto" w:fill="FFFFFF"/>
          <w:lang w:val="en-IE"/>
        </w:rPr>
        <w:footnoteReference w:id="33"/>
      </w:r>
      <w:bookmarkEnd w:id="16"/>
      <w:r>
        <w:rPr>
          <w:rFonts w:ascii="Times New Roman" w:hAnsi="Times New Roman"/>
          <w:noProof/>
          <w:color w:val="000000"/>
          <w:sz w:val="24"/>
          <w:shd w:val="clear" w:color="auto" w:fill="FFFFFF"/>
        </w:rPr>
        <w:t xml:space="preserve">. </w:t>
      </w:r>
      <w:r>
        <w:rPr>
          <w:rFonts w:ascii="Times New Roman" w:hAnsi="Times New Roman"/>
          <w:noProof/>
          <w:sz w:val="24"/>
        </w:rPr>
        <w:t>La BEI</w:t>
      </w:r>
      <w:r>
        <w:rPr>
          <w:rStyle w:val="FootnoteReference"/>
          <w:rFonts w:ascii="Times New Roman" w:hAnsi="Times New Roman" w:cs="Times New Roman"/>
          <w:noProof/>
          <w:color w:val="000000" w:themeColor="text1"/>
          <w:sz w:val="24"/>
          <w:szCs w:val="24"/>
          <w:lang w:val="en-IE"/>
        </w:rPr>
        <w:footnoteReference w:id="34"/>
      </w:r>
      <w:r>
        <w:rPr>
          <w:rFonts w:ascii="Times New Roman" w:hAnsi="Times New Roman"/>
          <w:noProof/>
          <w:sz w:val="24"/>
        </w:rPr>
        <w:t xml:space="preserve"> indique que la disponibilité des financements constitue un obstacle à l’investissement pour </w:t>
      </w:r>
      <w:r w:rsidRPr="00F3116B">
        <w:rPr>
          <w:rFonts w:ascii="Times New Roman" w:hAnsi="Times New Roman"/>
          <w:noProof/>
          <w:sz w:val="24"/>
        </w:rPr>
        <w:t>44</w:t>
      </w:r>
      <w:r>
        <w:rPr>
          <w:rFonts w:ascii="Times New Roman" w:hAnsi="Times New Roman"/>
          <w:noProof/>
          <w:sz w:val="24"/>
        </w:rPr>
        <w:t> % des entreprises de l’UE.</w:t>
      </w:r>
      <w:r>
        <w:rPr>
          <w:rFonts w:ascii="Times New Roman" w:hAnsi="Times New Roman"/>
          <w:noProof/>
          <w:color w:val="000000" w:themeColor="text1"/>
          <w:sz w:val="24"/>
        </w:rPr>
        <w:t xml:space="preserve"> </w:t>
      </w:r>
    </w:p>
    <w:p w14:paraId="5607EAE9" w14:textId="7EE6543F" w:rsidR="00C23CB1" w:rsidRDefault="00C23CB1" w:rsidP="00C23CB1">
      <w:pPr>
        <w:pStyle w:val="ListParagraph"/>
        <w:spacing w:before="120" w:after="120"/>
        <w:ind w:left="0"/>
        <w:contextualSpacing w:val="0"/>
        <w:jc w:val="both"/>
        <w:rPr>
          <w:rFonts w:ascii="Times New Roman" w:hAnsi="Times New Roman" w:cs="Times New Roman"/>
          <w:bCs/>
          <w:noProof/>
          <w:color w:val="000000"/>
          <w:sz w:val="24"/>
          <w:szCs w:val="24"/>
          <w:shd w:val="clear" w:color="auto" w:fill="FFFFFF"/>
        </w:rPr>
      </w:pPr>
      <w:r>
        <w:rPr>
          <w:rFonts w:ascii="Times New Roman" w:hAnsi="Times New Roman"/>
          <w:noProof/>
          <w:color w:val="000000"/>
          <w:sz w:val="24"/>
          <w:shd w:val="clear" w:color="auto" w:fill="FFFFFF"/>
        </w:rPr>
        <w:t xml:space="preserve">La taille et la profondeur actuelles des </w:t>
      </w:r>
      <w:r>
        <w:rPr>
          <w:rFonts w:ascii="Times New Roman" w:hAnsi="Times New Roman"/>
          <w:b/>
          <w:bCs/>
          <w:noProof/>
          <w:color w:val="000000"/>
          <w:sz w:val="24"/>
          <w:shd w:val="clear" w:color="auto" w:fill="FFFFFF"/>
        </w:rPr>
        <w:t>marchés des capitaux de l’UE</w:t>
      </w:r>
      <w:r>
        <w:rPr>
          <w:rFonts w:ascii="Times New Roman" w:hAnsi="Times New Roman"/>
          <w:noProof/>
          <w:color w:val="000000"/>
          <w:sz w:val="24"/>
          <w:shd w:val="clear" w:color="auto" w:fill="FFFFFF"/>
        </w:rPr>
        <w:t xml:space="preserve"> restent insuffisantes pour soutenir la croissance future de l’UE. Une union plus aboutie des marchés des capitaux contribuera à mobiliser davantage d’épargne et de capacités d’investissement pour financer l’économie réelle, réduire les coûts d’emprunt et faciliter les investissements dans le marché unique, autant d’éléments indispensables au succès de la double transition. </w:t>
      </w:r>
    </w:p>
    <w:p w14:paraId="08CBC86F" w14:textId="77777777" w:rsidR="00C23CB1" w:rsidRDefault="00C23CB1" w:rsidP="005C3892">
      <w:pPr>
        <w:pStyle w:val="ListParagraph"/>
        <w:spacing w:before="120" w:after="120"/>
        <w:ind w:left="0"/>
        <w:contextualSpacing w:val="0"/>
        <w:jc w:val="both"/>
        <w:rPr>
          <w:rFonts w:ascii="Times New Roman" w:hAnsi="Times New Roman" w:cs="Times New Roman"/>
          <w:noProof/>
          <w:color w:val="000000"/>
          <w:sz w:val="24"/>
          <w:szCs w:val="24"/>
          <w:shd w:val="clear" w:color="auto" w:fill="FFFFFF"/>
        </w:rPr>
      </w:pPr>
      <w:r>
        <w:rPr>
          <w:rFonts w:ascii="Times New Roman" w:hAnsi="Times New Roman"/>
          <w:noProof/>
          <w:color w:val="000000"/>
          <w:sz w:val="24"/>
          <w:shd w:val="clear" w:color="auto" w:fill="FFFFFF"/>
        </w:rPr>
        <w:t xml:space="preserve">La disponibilité du capital-risque (en particulier pour le développement des entreprises) reste limitée. </w:t>
      </w:r>
      <w:r>
        <w:rPr>
          <w:rFonts w:ascii="Times New Roman" w:hAnsi="Times New Roman"/>
          <w:noProof/>
          <w:sz w:val="24"/>
        </w:rPr>
        <w:t xml:space="preserve">La capitalisation boursière de l’UE, en pourcentage du PIB, atteint </w:t>
      </w:r>
      <w:r>
        <w:rPr>
          <w:rFonts w:ascii="Times New Roman" w:hAnsi="Times New Roman"/>
          <w:b/>
          <w:bCs/>
          <w:noProof/>
          <w:sz w:val="24"/>
        </w:rPr>
        <w:t>moins de la moitié</w:t>
      </w:r>
      <w:r>
        <w:rPr>
          <w:rFonts w:ascii="Times New Roman" w:hAnsi="Times New Roman"/>
          <w:noProof/>
          <w:sz w:val="24"/>
        </w:rPr>
        <w:t xml:space="preserve"> de celle des États-Unis (malgré une épargne plus élevée dans l’UE) et est inférieure à celle du Japon, de la Chine ou du Royaume-Uni. </w:t>
      </w:r>
      <w:r>
        <w:rPr>
          <w:noProof/>
        </w:rPr>
        <w:t xml:space="preserve">L’investissement en fonds propres et en capital-risque dans les entreprises numériques et les entreprises des technologies vertes </w:t>
      </w:r>
      <w:bookmarkStart w:id="17" w:name="_Ref155696702"/>
      <w:r>
        <w:rPr>
          <w:noProof/>
        </w:rPr>
        <w:t xml:space="preserve">a progressé de façon continue depuis </w:t>
      </w:r>
      <w:r w:rsidRPr="00F3116B">
        <w:rPr>
          <w:noProof/>
        </w:rPr>
        <w:t>2016</w:t>
      </w:r>
      <w:r>
        <w:rPr>
          <w:rStyle w:val="FootnoteReference"/>
          <w:rFonts w:ascii="Times New Roman" w:hAnsi="Times New Roman" w:cs="Times New Roman"/>
          <w:noProof/>
          <w:color w:val="000000" w:themeColor="text1"/>
          <w:sz w:val="24"/>
          <w:szCs w:val="24"/>
          <w:lang w:val="en-IE"/>
        </w:rPr>
        <w:footnoteReference w:id="35"/>
      </w:r>
      <w:bookmarkEnd w:id="17"/>
      <w:r>
        <w:rPr>
          <w:noProof/>
        </w:rPr>
        <w:t>.</w:t>
      </w:r>
      <w:r>
        <w:rPr>
          <w:rFonts w:ascii="Times New Roman" w:hAnsi="Times New Roman"/>
          <w:noProof/>
          <w:color w:val="000000" w:themeColor="text1"/>
          <w:sz w:val="24"/>
        </w:rPr>
        <w:t xml:space="preserve"> </w:t>
      </w:r>
      <w:r>
        <w:rPr>
          <w:rFonts w:ascii="Times New Roman" w:hAnsi="Times New Roman"/>
          <w:noProof/>
          <w:color w:val="000000"/>
          <w:sz w:val="24"/>
          <w:shd w:val="clear" w:color="auto" w:fill="FFFFFF"/>
        </w:rPr>
        <w:t xml:space="preserve">Le </w:t>
      </w:r>
      <w:r>
        <w:rPr>
          <w:rFonts w:ascii="Times New Roman" w:hAnsi="Times New Roman"/>
          <w:b/>
          <w:bCs/>
          <w:noProof/>
          <w:color w:val="000000"/>
          <w:sz w:val="24"/>
          <w:shd w:val="clear" w:color="auto" w:fill="FFFFFF"/>
        </w:rPr>
        <w:t>capital-risque</w:t>
      </w:r>
      <w:r>
        <w:rPr>
          <w:rFonts w:ascii="Times New Roman" w:hAnsi="Times New Roman"/>
          <w:noProof/>
          <w:color w:val="000000"/>
          <w:sz w:val="24"/>
          <w:shd w:val="clear" w:color="auto" w:fill="FFFFFF"/>
        </w:rPr>
        <w:t xml:space="preserve"> s’élevait à </w:t>
      </w:r>
      <w:r w:rsidRPr="00F3116B">
        <w:rPr>
          <w:rFonts w:ascii="Times New Roman" w:hAnsi="Times New Roman"/>
          <w:noProof/>
          <w:color w:val="000000"/>
          <w:sz w:val="24"/>
          <w:shd w:val="clear" w:color="auto" w:fill="FFFFFF"/>
        </w:rPr>
        <w:t>0</w:t>
      </w:r>
      <w:r>
        <w:rPr>
          <w:rFonts w:ascii="Times New Roman" w:hAnsi="Times New Roman"/>
          <w:noProof/>
          <w:color w:val="000000"/>
          <w:sz w:val="24"/>
          <w:shd w:val="clear" w:color="auto" w:fill="FFFFFF"/>
        </w:rPr>
        <w:t>,</w:t>
      </w:r>
      <w:r w:rsidRPr="00F3116B">
        <w:rPr>
          <w:rFonts w:ascii="Times New Roman" w:hAnsi="Times New Roman"/>
          <w:noProof/>
          <w:color w:val="000000"/>
          <w:sz w:val="24"/>
          <w:shd w:val="clear" w:color="auto" w:fill="FFFFFF"/>
        </w:rPr>
        <w:t>09</w:t>
      </w:r>
      <w:r>
        <w:rPr>
          <w:rFonts w:ascii="Times New Roman" w:hAnsi="Times New Roman"/>
          <w:noProof/>
          <w:color w:val="000000"/>
          <w:sz w:val="24"/>
          <w:shd w:val="clear" w:color="auto" w:fill="FFFFFF"/>
        </w:rPr>
        <w:t xml:space="preserve"> % du PIB en </w:t>
      </w:r>
      <w:r w:rsidRPr="00F3116B">
        <w:rPr>
          <w:rFonts w:ascii="Times New Roman" w:hAnsi="Times New Roman"/>
          <w:noProof/>
          <w:color w:val="000000"/>
          <w:sz w:val="24"/>
          <w:shd w:val="clear" w:color="auto" w:fill="FFFFFF"/>
        </w:rPr>
        <w:t>2022</w:t>
      </w:r>
      <w:r>
        <w:rPr>
          <w:rFonts w:ascii="Times New Roman" w:hAnsi="Times New Roman"/>
          <w:noProof/>
          <w:color w:val="000000"/>
          <w:sz w:val="24"/>
          <w:shd w:val="clear" w:color="auto" w:fill="FFFFFF"/>
        </w:rPr>
        <w:t xml:space="preserve"> (voir ICP </w:t>
      </w:r>
      <w:r w:rsidRPr="00F3116B">
        <w:rPr>
          <w:rFonts w:ascii="Times New Roman" w:hAnsi="Times New Roman"/>
          <w:noProof/>
          <w:color w:val="000000"/>
          <w:sz w:val="24"/>
          <w:shd w:val="clear" w:color="auto" w:fill="FFFFFF"/>
        </w:rPr>
        <w:t>4</w:t>
      </w:r>
      <w:r>
        <w:rPr>
          <w:rFonts w:ascii="Times New Roman" w:hAnsi="Times New Roman"/>
          <w:noProof/>
          <w:color w:val="000000"/>
          <w:sz w:val="24"/>
          <w:shd w:val="clear" w:color="auto" w:fill="FFFFFF"/>
        </w:rPr>
        <w:t xml:space="preserve">), soit le double du niveau de </w:t>
      </w:r>
      <w:r w:rsidRPr="00F3116B">
        <w:rPr>
          <w:rFonts w:ascii="Times New Roman" w:hAnsi="Times New Roman"/>
          <w:noProof/>
          <w:color w:val="000000"/>
          <w:sz w:val="24"/>
          <w:shd w:val="clear" w:color="auto" w:fill="FFFFFF"/>
        </w:rPr>
        <w:t>2018</w:t>
      </w:r>
      <w:r>
        <w:rPr>
          <w:rFonts w:ascii="Times New Roman" w:hAnsi="Times New Roman"/>
          <w:noProof/>
          <w:color w:val="000000"/>
          <w:sz w:val="24"/>
          <w:shd w:val="clear" w:color="auto" w:fill="FFFFFF"/>
        </w:rPr>
        <w:t xml:space="preserve"> (</w:t>
      </w:r>
      <w:r w:rsidRPr="00F3116B">
        <w:rPr>
          <w:rFonts w:ascii="Times New Roman" w:hAnsi="Times New Roman"/>
          <w:noProof/>
          <w:color w:val="000000"/>
          <w:sz w:val="24"/>
          <w:shd w:val="clear" w:color="auto" w:fill="FFFFFF"/>
        </w:rPr>
        <w:t>0</w:t>
      </w:r>
      <w:r>
        <w:rPr>
          <w:rFonts w:ascii="Times New Roman" w:hAnsi="Times New Roman"/>
          <w:noProof/>
          <w:color w:val="000000"/>
          <w:sz w:val="24"/>
          <w:shd w:val="clear" w:color="auto" w:fill="FFFFFF"/>
        </w:rPr>
        <w:t>,</w:t>
      </w:r>
      <w:r w:rsidRPr="00F3116B">
        <w:rPr>
          <w:rFonts w:ascii="Times New Roman" w:hAnsi="Times New Roman"/>
          <w:noProof/>
          <w:color w:val="000000"/>
          <w:sz w:val="24"/>
          <w:shd w:val="clear" w:color="auto" w:fill="FFFFFF"/>
        </w:rPr>
        <w:t>04</w:t>
      </w:r>
      <w:r>
        <w:rPr>
          <w:rFonts w:ascii="Times New Roman" w:hAnsi="Times New Roman"/>
          <w:noProof/>
          <w:color w:val="000000"/>
          <w:sz w:val="24"/>
          <w:shd w:val="clear" w:color="auto" w:fill="FFFFFF"/>
        </w:rPr>
        <w:t> %), mais il baisse en glissement annuel et ne représente encore qu’une fraction du niveau constaté aux États-Unis (</w:t>
      </w:r>
      <w:r w:rsidRPr="00F3116B">
        <w:rPr>
          <w:rFonts w:ascii="Times New Roman" w:hAnsi="Times New Roman"/>
          <w:noProof/>
          <w:color w:val="000000"/>
          <w:sz w:val="24"/>
          <w:shd w:val="clear" w:color="auto" w:fill="FFFFFF"/>
        </w:rPr>
        <w:t>0</w:t>
      </w:r>
      <w:r>
        <w:rPr>
          <w:rFonts w:ascii="Times New Roman" w:hAnsi="Times New Roman"/>
          <w:noProof/>
          <w:color w:val="000000"/>
          <w:sz w:val="24"/>
          <w:shd w:val="clear" w:color="auto" w:fill="FFFFFF"/>
        </w:rPr>
        <w:t>,</w:t>
      </w:r>
      <w:r w:rsidRPr="00F3116B">
        <w:rPr>
          <w:rFonts w:ascii="Times New Roman" w:hAnsi="Times New Roman"/>
          <w:noProof/>
          <w:color w:val="000000"/>
          <w:sz w:val="24"/>
          <w:shd w:val="clear" w:color="auto" w:fill="FFFFFF"/>
        </w:rPr>
        <w:t>75</w:t>
      </w:r>
      <w:r>
        <w:rPr>
          <w:rFonts w:ascii="Times New Roman" w:hAnsi="Times New Roman"/>
          <w:noProof/>
          <w:color w:val="000000"/>
          <w:sz w:val="24"/>
          <w:shd w:val="clear" w:color="auto" w:fill="FFFFFF"/>
        </w:rPr>
        <w:t> %) et en Chine (</w:t>
      </w:r>
      <w:r w:rsidRPr="00F3116B">
        <w:rPr>
          <w:rFonts w:ascii="Times New Roman" w:hAnsi="Times New Roman"/>
          <w:noProof/>
          <w:color w:val="000000"/>
          <w:sz w:val="24"/>
          <w:shd w:val="clear" w:color="auto" w:fill="FFFFFF"/>
        </w:rPr>
        <w:t>0</w:t>
      </w:r>
      <w:r>
        <w:rPr>
          <w:rFonts w:ascii="Times New Roman" w:hAnsi="Times New Roman"/>
          <w:noProof/>
          <w:color w:val="000000"/>
          <w:sz w:val="24"/>
          <w:shd w:val="clear" w:color="auto" w:fill="FFFFFF"/>
        </w:rPr>
        <w:t>,</w:t>
      </w:r>
      <w:r w:rsidRPr="00F3116B">
        <w:rPr>
          <w:rFonts w:ascii="Times New Roman" w:hAnsi="Times New Roman"/>
          <w:noProof/>
          <w:color w:val="000000"/>
          <w:sz w:val="24"/>
          <w:shd w:val="clear" w:color="auto" w:fill="FFFFFF"/>
        </w:rPr>
        <w:t>58</w:t>
      </w:r>
      <w:r>
        <w:rPr>
          <w:rFonts w:ascii="Times New Roman" w:hAnsi="Times New Roman"/>
          <w:noProof/>
          <w:color w:val="000000"/>
          <w:sz w:val="24"/>
          <w:shd w:val="clear" w:color="auto" w:fill="FFFFFF"/>
        </w:rPr>
        <w:t xml:space="preserve"> %). </w:t>
      </w:r>
    </w:p>
    <w:p w14:paraId="0CD5115C" w14:textId="77777777" w:rsidR="00C23CB1" w:rsidRDefault="00C23CB1" w:rsidP="00C23CB1">
      <w:pPr>
        <w:pStyle w:val="ListParagraph"/>
        <w:spacing w:before="120" w:after="120"/>
        <w:ind w:left="0"/>
        <w:jc w:val="both"/>
        <w:rPr>
          <w:rFonts w:ascii="Times New Roman" w:hAnsi="Times New Roman" w:cs="Times New Roman"/>
          <w:noProof/>
          <w:color w:val="000000"/>
          <w:sz w:val="24"/>
          <w:szCs w:val="24"/>
          <w:shd w:val="clear" w:color="auto" w:fill="FFFFFF"/>
        </w:rPr>
      </w:pPr>
      <w:r>
        <w:rPr>
          <w:rFonts w:ascii="Times New Roman" w:hAnsi="Times New Roman"/>
          <w:noProof/>
          <w:sz w:val="24"/>
        </w:rPr>
        <w:t>Le nombre d’</w:t>
      </w:r>
      <w:r>
        <w:rPr>
          <w:rFonts w:ascii="Times New Roman" w:hAnsi="Times New Roman"/>
          <w:b/>
          <w:bCs/>
          <w:noProof/>
          <w:sz w:val="24"/>
        </w:rPr>
        <w:t>entreprises en expansion</w:t>
      </w:r>
      <w:r>
        <w:rPr>
          <w:rFonts w:ascii="Times New Roman" w:hAnsi="Times New Roman"/>
          <w:noProof/>
          <w:sz w:val="24"/>
        </w:rPr>
        <w:t xml:space="preserve"> dans l’UE ne représente que </w:t>
      </w:r>
      <w:r w:rsidRPr="00F3116B">
        <w:rPr>
          <w:rFonts w:ascii="Times New Roman" w:hAnsi="Times New Roman"/>
          <w:noProof/>
          <w:sz w:val="24"/>
        </w:rPr>
        <w:t>38</w:t>
      </w:r>
      <w:r>
        <w:rPr>
          <w:rFonts w:ascii="Times New Roman" w:hAnsi="Times New Roman"/>
          <w:noProof/>
          <w:sz w:val="24"/>
        </w:rPr>
        <w:t xml:space="preserve"> % de celui des États-Unis, même si cet écart se réduit. Afin de poursuivre l’évolution positive, le groupe BEI et cinq États membres ont lancé l'initiative des champions technologiques européens (ETCI)</w:t>
      </w:r>
      <w:r>
        <w:rPr>
          <w:rStyle w:val="FootnoteReference"/>
          <w:rFonts w:ascii="Times New Roman" w:hAnsi="Times New Roman" w:cs="Times New Roman"/>
          <w:noProof/>
          <w:color w:val="000000"/>
          <w:sz w:val="24"/>
          <w:szCs w:val="24"/>
          <w:shd w:val="clear" w:color="auto" w:fill="FFFFFF"/>
          <w:lang w:val="en-IE"/>
        </w:rPr>
        <w:footnoteReference w:id="36"/>
      </w:r>
      <w:r>
        <w:rPr>
          <w:rFonts w:ascii="Times New Roman" w:hAnsi="Times New Roman"/>
          <w:noProof/>
          <w:sz w:val="24"/>
        </w:rPr>
        <w:t>, une structure de fonds investissant dans des fonds de capital-risque à grande échelle destinés aux entreprises innovantes de l'UE.</w:t>
      </w:r>
      <w:r>
        <w:rPr>
          <w:rFonts w:ascii="Times New Roman" w:hAnsi="Times New Roman"/>
          <w:noProof/>
          <w:color w:val="000000"/>
          <w:sz w:val="24"/>
          <w:shd w:val="clear" w:color="auto" w:fill="FFFFFF"/>
        </w:rPr>
        <w:t xml:space="preserve"> Cette action complète les possibilités de financement disponibles au titre d’InvestEU pour les gestionnaires de fonds de capital-risque ciblé sur le stade avancé de la vie d’une entreprise, telles que l’action européenne de levier pour le capital-risque en faveur des entreprises en expansion ou l’initiative du fonds pour les PME de l’EUIPO.</w:t>
      </w:r>
    </w:p>
    <w:tbl>
      <w:tblPr>
        <w:tblStyle w:val="TableGrid"/>
        <w:tblW w:w="9356" w:type="dxa"/>
        <w:tblInd w:w="108" w:type="dxa"/>
        <w:tblLook w:val="04A0" w:firstRow="1" w:lastRow="0" w:firstColumn="1" w:lastColumn="0" w:noHBand="0" w:noVBand="1"/>
      </w:tblPr>
      <w:tblGrid>
        <w:gridCol w:w="9356"/>
      </w:tblGrid>
      <w:tr w:rsidR="00C23CB1" w14:paraId="07888E3F" w14:textId="77777777" w:rsidTr="00DA1CDE">
        <w:tc>
          <w:tcPr>
            <w:tcW w:w="9356" w:type="dxa"/>
          </w:tcPr>
          <w:bookmarkEnd w:id="13"/>
          <w:bookmarkEnd w:id="15"/>
          <w:p w14:paraId="7427E712" w14:textId="6E94094E" w:rsidR="00BC4D98" w:rsidRPr="003D5F3F" w:rsidRDefault="00BC4D98" w:rsidP="003D5F3F">
            <w:pPr>
              <w:keepNext/>
              <w:spacing w:before="120" w:after="120"/>
              <w:jc w:val="both"/>
              <w:rPr>
                <w:rFonts w:ascii="Times New Roman" w:hAnsi="Times New Roman" w:cs="Times New Roman"/>
                <w:noProof/>
                <w:sz w:val="24"/>
                <w:szCs w:val="24"/>
                <w:shd w:val="clear" w:color="auto" w:fill="FFFFFF"/>
              </w:rPr>
            </w:pPr>
            <w:r>
              <w:rPr>
                <w:rFonts w:ascii="Times New Roman" w:hAnsi="Times New Roman"/>
                <w:noProof/>
                <w:color w:val="000000"/>
                <w:sz w:val="24"/>
                <w:shd w:val="clear" w:color="auto" w:fill="FFFFFF"/>
              </w:rPr>
              <w:t>Des marchés des capitaux plus profonds et plus intégrés sont essentiels pour financer les entreprises de l’UE et soutenir la transition vers une économie numérique et durable.</w:t>
            </w:r>
            <w:r>
              <w:rPr>
                <w:rFonts w:ascii="Times New Roman" w:hAnsi="Times New Roman"/>
                <w:noProof/>
                <w:sz w:val="28"/>
              </w:rPr>
              <w:t xml:space="preserve"> </w:t>
            </w:r>
            <w:r>
              <w:rPr>
                <w:rFonts w:ascii="Times New Roman" w:hAnsi="Times New Roman"/>
                <w:noProof/>
                <w:sz w:val="24"/>
                <w:shd w:val="clear" w:color="auto" w:fill="FFFFFF"/>
              </w:rPr>
              <w:t xml:space="preserve">La mise en œuvre des mesures du plan d’action pour l’union des marchés des capitaux de </w:t>
            </w:r>
            <w:r w:rsidRPr="00F3116B">
              <w:rPr>
                <w:rFonts w:ascii="Times New Roman" w:hAnsi="Times New Roman"/>
                <w:noProof/>
                <w:sz w:val="24"/>
                <w:shd w:val="clear" w:color="auto" w:fill="FFFFFF"/>
              </w:rPr>
              <w:t>2020</w:t>
            </w:r>
            <w:r>
              <w:rPr>
                <w:rFonts w:ascii="Times New Roman" w:hAnsi="Times New Roman"/>
                <w:noProof/>
                <w:sz w:val="24"/>
                <w:shd w:val="clear" w:color="auto" w:fill="FFFFFF"/>
              </w:rPr>
              <w:t xml:space="preserve"> aura une incidence positive sur la croissance des marchés des capitaux de l’UE, améliorera l’accès des entreprises européennes aux sources de financement fondées sur le marché et rendra l'investissement dans les entreprises européennes plus facile et plus attrayant.</w:t>
            </w:r>
          </w:p>
          <w:p w14:paraId="66709171" w14:textId="39D7887D" w:rsidR="00BC4D98" w:rsidRPr="00E222C2" w:rsidRDefault="00BC4D98" w:rsidP="00D56C3B">
            <w:pPr>
              <w:keepNext/>
              <w:spacing w:before="120" w:after="120"/>
              <w:jc w:val="both"/>
              <w:rPr>
                <w:rFonts w:ascii="Times New Roman" w:hAnsi="Times New Roman" w:cs="Times New Roman"/>
                <w:bCs/>
                <w:noProof/>
                <w:color w:val="000000"/>
                <w:sz w:val="24"/>
                <w:szCs w:val="24"/>
                <w:shd w:val="clear" w:color="auto" w:fill="FFFFFF"/>
              </w:rPr>
            </w:pPr>
            <w:r>
              <w:rPr>
                <w:rFonts w:ascii="Times New Roman" w:hAnsi="Times New Roman"/>
                <w:noProof/>
                <w:color w:val="000000"/>
                <w:sz w:val="24"/>
                <w:shd w:val="clear" w:color="auto" w:fill="FFFFFF"/>
              </w:rPr>
              <w:t>Il est essentiel que les États membres, les parties prenantes privées et les institutions de l’UE continuent de consolider ensemble l’union des marchés des capitaux, notamment en garantissant des réserves plus importantes de capitaux privés, tels que les fonds de pension. En particulier, la Commission et les États membres devraient encourager la poursuite des efforts visant à accroître l’accès direct des entreprises aux marchés des capitaux, en facilitant la fourniture de capital-risque dans l’UE, afin de soutenir les start-up et de favoriser l’expansion des entreprises en Europe.</w:t>
            </w:r>
          </w:p>
        </w:tc>
      </w:tr>
    </w:tbl>
    <w:p w14:paraId="1CC5B379" w14:textId="77777777" w:rsidR="00C23CB1" w:rsidRPr="004847C3" w:rsidRDefault="00C23CB1" w:rsidP="00C23CB1">
      <w:pPr>
        <w:pStyle w:val="ListParagraph"/>
        <w:keepNext/>
        <w:ind w:left="360"/>
        <w:jc w:val="both"/>
        <w:rPr>
          <w:rFonts w:ascii="Times New Roman" w:hAnsi="Times New Roman" w:cs="Times New Roman"/>
          <w:noProof/>
          <w:sz w:val="24"/>
          <w:szCs w:val="24"/>
          <w:lang w:val="fr-BE"/>
        </w:rPr>
      </w:pPr>
    </w:p>
    <w:p w14:paraId="6782DF5A" w14:textId="77777777" w:rsidR="00C23CB1" w:rsidRPr="00A8634D" w:rsidRDefault="00C23CB1" w:rsidP="00C23CB1">
      <w:pPr>
        <w:pStyle w:val="ListParagraph"/>
        <w:keepNext/>
        <w:numPr>
          <w:ilvl w:val="0"/>
          <w:numId w:val="2"/>
        </w:numPr>
        <w:jc w:val="both"/>
        <w:rPr>
          <w:rFonts w:ascii="Times New Roman" w:hAnsi="Times New Roman" w:cs="Times New Roman"/>
          <w:b/>
          <w:noProof/>
          <w:sz w:val="24"/>
          <w:szCs w:val="24"/>
        </w:rPr>
      </w:pPr>
      <w:r>
        <w:rPr>
          <w:rFonts w:ascii="Times New Roman" w:hAnsi="Times New Roman"/>
          <w:b/>
          <w:noProof/>
          <w:sz w:val="24"/>
          <w:u w:val="single"/>
        </w:rPr>
        <w:t>Investissements et infrastructures publics</w:t>
      </w:r>
      <w:bookmarkStart w:id="18" w:name="_Hlk153390088"/>
      <w:bookmarkStart w:id="19" w:name="_Hlk151328299"/>
    </w:p>
    <w:tbl>
      <w:tblPr>
        <w:tblpPr w:leftFromText="180" w:rightFromText="180" w:vertAnchor="text" w:horzAnchor="margin" w:tblpY="120"/>
        <w:tblW w:w="4998" w:type="pct"/>
        <w:tblCellMar>
          <w:left w:w="0" w:type="dxa"/>
          <w:right w:w="0" w:type="dxa"/>
        </w:tblCellMar>
        <w:tblLook w:val="01E0" w:firstRow="1" w:lastRow="1" w:firstColumn="1" w:lastColumn="1" w:noHBand="0" w:noVBand="0"/>
      </w:tblPr>
      <w:tblGrid>
        <w:gridCol w:w="2438"/>
        <w:gridCol w:w="4096"/>
        <w:gridCol w:w="1072"/>
        <w:gridCol w:w="1750"/>
      </w:tblGrid>
      <w:tr w:rsidR="00C23CB1" w:rsidRPr="00E83DB5" w14:paraId="5569BD44" w14:textId="77777777" w:rsidTr="00F34019">
        <w:trPr>
          <w:trHeight w:hRule="exact" w:val="577"/>
        </w:trPr>
        <w:tc>
          <w:tcPr>
            <w:tcW w:w="1303" w:type="pct"/>
            <w:tcBorders>
              <w:top w:val="single" w:sz="4" w:space="0" w:color="auto"/>
              <w:bottom w:val="single" w:sz="4" w:space="0" w:color="auto"/>
            </w:tcBorders>
            <w:shd w:val="clear" w:color="auto" w:fill="B8CCE4"/>
            <w:vAlign w:val="center"/>
          </w:tcPr>
          <w:p w14:paraId="22BF7AF4" w14:textId="77777777" w:rsidR="00C23CB1" w:rsidRPr="000A23DA" w:rsidRDefault="00C23CB1" w:rsidP="00DA1CDE">
            <w:pPr>
              <w:widowControl w:val="0"/>
              <w:autoSpaceDE w:val="0"/>
              <w:autoSpaceDN w:val="0"/>
              <w:spacing w:after="60" w:line="275" w:lineRule="exact"/>
              <w:ind w:left="107" w:right="138"/>
              <w:jc w:val="both"/>
              <w:rPr>
                <w:rFonts w:ascii="Times New Roman" w:eastAsia="Palatino Linotype" w:hAnsi="Times New Roman" w:cs="Times New Roman"/>
                <w:b/>
                <w:noProof/>
                <w:color w:val="003063"/>
                <w:spacing w:val="26"/>
                <w:w w:val="90"/>
                <w:sz w:val="18"/>
                <w:szCs w:val="18"/>
              </w:rPr>
            </w:pPr>
            <w:r>
              <w:rPr>
                <w:rFonts w:ascii="Times New Roman" w:hAnsi="Times New Roman"/>
                <w:b/>
                <w:noProof/>
                <w:color w:val="003063"/>
                <w:sz w:val="18"/>
              </w:rPr>
              <w:t>ICP</w:t>
            </w:r>
          </w:p>
        </w:tc>
        <w:tc>
          <w:tcPr>
            <w:tcW w:w="2189" w:type="pct"/>
            <w:tcBorders>
              <w:top w:val="single" w:sz="4" w:space="0" w:color="auto"/>
              <w:bottom w:val="single" w:sz="4" w:space="0" w:color="auto"/>
            </w:tcBorders>
            <w:shd w:val="clear" w:color="auto" w:fill="B8CCE4"/>
            <w:vAlign w:val="center"/>
          </w:tcPr>
          <w:p w14:paraId="26DCB4C4" w14:textId="77777777" w:rsidR="00C23CB1" w:rsidRPr="000A23DA" w:rsidRDefault="00C23CB1" w:rsidP="00DA1CDE">
            <w:pPr>
              <w:widowControl w:val="0"/>
              <w:autoSpaceDE w:val="0"/>
              <w:autoSpaceDN w:val="0"/>
              <w:spacing w:after="60" w:line="275" w:lineRule="exact"/>
              <w:ind w:left="107" w:right="139"/>
              <w:jc w:val="both"/>
              <w:rPr>
                <w:rFonts w:ascii="Times New Roman" w:eastAsia="Palatino Linotype" w:hAnsi="Times New Roman" w:cs="Times New Roman"/>
                <w:b/>
                <w:noProof/>
                <w:color w:val="003063"/>
                <w:spacing w:val="26"/>
                <w:w w:val="90"/>
                <w:sz w:val="18"/>
                <w:szCs w:val="18"/>
              </w:rPr>
            </w:pPr>
            <w:r>
              <w:rPr>
                <w:rFonts w:ascii="Times New Roman" w:hAnsi="Times New Roman"/>
                <w:b/>
                <w:noProof/>
                <w:color w:val="003063"/>
                <w:sz w:val="18"/>
              </w:rPr>
              <w:t>Description</w:t>
            </w:r>
          </w:p>
        </w:tc>
        <w:tc>
          <w:tcPr>
            <w:tcW w:w="573" w:type="pct"/>
            <w:tcBorders>
              <w:top w:val="single" w:sz="4" w:space="0" w:color="auto"/>
              <w:bottom w:val="single" w:sz="4" w:space="0" w:color="auto"/>
            </w:tcBorders>
            <w:shd w:val="clear" w:color="auto" w:fill="B8CCE4"/>
            <w:vAlign w:val="center"/>
          </w:tcPr>
          <w:p w14:paraId="7C0F79AC" w14:textId="77777777" w:rsidR="00C23CB1" w:rsidRPr="000A23DA" w:rsidRDefault="00C23CB1" w:rsidP="00DA1CDE">
            <w:pPr>
              <w:widowControl w:val="0"/>
              <w:autoSpaceDE w:val="0"/>
              <w:autoSpaceDN w:val="0"/>
              <w:spacing w:after="60" w:line="275" w:lineRule="exact"/>
              <w:ind w:left="107"/>
              <w:jc w:val="both"/>
              <w:rPr>
                <w:rFonts w:ascii="Times New Roman" w:eastAsia="Palatino Linotype" w:hAnsi="Times New Roman" w:cs="Times New Roman"/>
                <w:b/>
                <w:noProof/>
                <w:color w:val="003063"/>
                <w:spacing w:val="26"/>
                <w:w w:val="90"/>
                <w:sz w:val="18"/>
                <w:szCs w:val="18"/>
              </w:rPr>
            </w:pPr>
            <w:r>
              <w:rPr>
                <w:rFonts w:ascii="Times New Roman" w:hAnsi="Times New Roman"/>
                <w:b/>
                <w:noProof/>
                <w:color w:val="003063"/>
                <w:sz w:val="18"/>
              </w:rPr>
              <w:t>Objectif</w:t>
            </w:r>
          </w:p>
        </w:tc>
        <w:tc>
          <w:tcPr>
            <w:tcW w:w="935" w:type="pct"/>
            <w:tcBorders>
              <w:top w:val="single" w:sz="4" w:space="0" w:color="auto"/>
              <w:bottom w:val="single" w:sz="4" w:space="0" w:color="auto"/>
            </w:tcBorders>
            <w:shd w:val="clear" w:color="auto" w:fill="B8CCE4"/>
            <w:vAlign w:val="center"/>
          </w:tcPr>
          <w:p w14:paraId="78BBBDB5" w14:textId="77777777" w:rsidR="00C23CB1" w:rsidRPr="000A23DA" w:rsidRDefault="00C23CB1" w:rsidP="00DA1CDE">
            <w:pPr>
              <w:widowControl w:val="0"/>
              <w:autoSpaceDE w:val="0"/>
              <w:autoSpaceDN w:val="0"/>
              <w:spacing w:after="60" w:line="275" w:lineRule="exact"/>
              <w:ind w:left="107"/>
              <w:rPr>
                <w:rFonts w:ascii="Times New Roman" w:eastAsia="Palatino Linotype" w:hAnsi="Times New Roman" w:cs="Times New Roman"/>
                <w:b/>
                <w:noProof/>
                <w:color w:val="003063"/>
                <w:spacing w:val="26"/>
                <w:w w:val="90"/>
                <w:sz w:val="18"/>
                <w:szCs w:val="18"/>
              </w:rPr>
            </w:pPr>
            <w:r>
              <w:rPr>
                <w:rFonts w:ascii="Times New Roman" w:hAnsi="Times New Roman"/>
                <w:b/>
                <w:noProof/>
                <w:sz w:val="18"/>
              </w:rPr>
              <w:t>Valeurs UE les plus récentes</w:t>
            </w:r>
            <w:r w:rsidRPr="000A23DA">
              <w:rPr>
                <w:rFonts w:ascii="Times New Roman" w:eastAsia="Palatino Linotype" w:hAnsi="Times New Roman" w:cs="Times New Roman"/>
                <w:b/>
                <w:bCs/>
                <w:noProof/>
                <w:color w:val="003063"/>
                <w:spacing w:val="26"/>
                <w:w w:val="90"/>
                <w:sz w:val="18"/>
                <w:szCs w:val="18"/>
                <w:vertAlign w:val="superscript"/>
                <w:lang w:val="en-US"/>
              </w:rPr>
              <w:footnoteReference w:id="37"/>
            </w:r>
          </w:p>
        </w:tc>
      </w:tr>
      <w:tr w:rsidR="00C23CB1" w:rsidRPr="009859BA" w14:paraId="6178E30E" w14:textId="77777777" w:rsidTr="00DA1CDE">
        <w:trPr>
          <w:trHeight w:val="805"/>
        </w:trPr>
        <w:tc>
          <w:tcPr>
            <w:tcW w:w="1303" w:type="pct"/>
            <w:tcBorders>
              <w:top w:val="single" w:sz="4" w:space="0" w:color="auto"/>
              <w:bottom w:val="single" w:sz="4" w:space="0" w:color="auto"/>
            </w:tcBorders>
            <w:shd w:val="clear" w:color="auto" w:fill="F7F9B7"/>
          </w:tcPr>
          <w:p w14:paraId="548EC4ED" w14:textId="77777777" w:rsidR="00C23CB1" w:rsidRPr="000A23DA" w:rsidRDefault="00C23CB1" w:rsidP="00DA1CDE">
            <w:pPr>
              <w:widowControl w:val="0"/>
              <w:autoSpaceDE w:val="0"/>
              <w:autoSpaceDN w:val="0"/>
              <w:spacing w:before="60" w:after="60" w:line="240" w:lineRule="auto"/>
              <w:ind w:left="107" w:right="138"/>
              <w:rPr>
                <w:rFonts w:ascii="Times New Roman" w:eastAsia="Times New Roman" w:hAnsi="Times New Roman" w:cs="Times New Roman"/>
                <w:noProof/>
                <w:sz w:val="18"/>
                <w:szCs w:val="18"/>
              </w:rPr>
            </w:pPr>
            <w:r>
              <w:rPr>
                <w:rFonts w:ascii="Times New Roman" w:hAnsi="Times New Roman"/>
                <w:noProof/>
                <w:sz w:val="18"/>
              </w:rPr>
              <w:t>ICP </w:t>
            </w:r>
            <w:r w:rsidRPr="00F3116B">
              <w:rPr>
                <w:rFonts w:ascii="Times New Roman" w:hAnsi="Times New Roman"/>
                <w:noProof/>
                <w:sz w:val="18"/>
              </w:rPr>
              <w:t>5</w:t>
            </w:r>
            <w:r>
              <w:rPr>
                <w:rFonts w:ascii="Times New Roman" w:hAnsi="Times New Roman"/>
                <w:noProof/>
                <w:sz w:val="18"/>
              </w:rPr>
              <w:t>: Part de l’investissement public (en pourcentage du PIB)</w:t>
            </w:r>
          </w:p>
        </w:tc>
        <w:tc>
          <w:tcPr>
            <w:tcW w:w="2189" w:type="pct"/>
            <w:tcBorders>
              <w:top w:val="single" w:sz="4" w:space="0" w:color="auto"/>
              <w:bottom w:val="single" w:sz="4" w:space="0" w:color="auto"/>
            </w:tcBorders>
            <w:shd w:val="clear" w:color="auto" w:fill="F7F9B7"/>
          </w:tcPr>
          <w:p w14:paraId="04258F2B" w14:textId="77777777" w:rsidR="00C23CB1" w:rsidRPr="000A23DA" w:rsidRDefault="00C23CB1" w:rsidP="00DA1CDE">
            <w:pPr>
              <w:widowControl w:val="0"/>
              <w:autoSpaceDE w:val="0"/>
              <w:autoSpaceDN w:val="0"/>
              <w:spacing w:before="60" w:after="60" w:line="240" w:lineRule="auto"/>
              <w:ind w:left="108" w:right="136"/>
              <w:jc w:val="both"/>
              <w:rPr>
                <w:rFonts w:ascii="Times New Roman" w:eastAsia="Times New Roman" w:hAnsi="Times New Roman" w:cs="Times New Roman"/>
                <w:noProof/>
                <w:sz w:val="18"/>
                <w:szCs w:val="18"/>
              </w:rPr>
            </w:pPr>
            <w:r>
              <w:rPr>
                <w:rFonts w:ascii="Times New Roman" w:hAnsi="Times New Roman"/>
                <w:noProof/>
                <w:sz w:val="18"/>
              </w:rPr>
              <w:t>L'investissement public joue un rôle essentiel dans la construction et l’entretien des infrastructures sur lesquelles les entreprises peuvent s’appuyer, telles que les infrastructures dans les domaines de l’énergie, des transports ou de la connectivité numérique.</w:t>
            </w:r>
          </w:p>
        </w:tc>
        <w:tc>
          <w:tcPr>
            <w:tcW w:w="573" w:type="pct"/>
            <w:tcBorders>
              <w:top w:val="single" w:sz="4" w:space="0" w:color="auto"/>
              <w:bottom w:val="single" w:sz="4" w:space="0" w:color="auto"/>
            </w:tcBorders>
            <w:shd w:val="clear" w:color="auto" w:fill="F7F9B7"/>
          </w:tcPr>
          <w:p w14:paraId="2FF21AA5" w14:textId="77777777" w:rsidR="00C23CB1" w:rsidRPr="000A23DA"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szCs w:val="18"/>
              </w:rPr>
            </w:pPr>
            <w:r>
              <w:rPr>
                <w:rFonts w:ascii="Times New Roman" w:hAnsi="Times New Roman"/>
                <w:noProof/>
                <w:sz w:val="18"/>
              </w:rPr>
              <w:t>Hausse</w:t>
            </w:r>
          </w:p>
        </w:tc>
        <w:tc>
          <w:tcPr>
            <w:tcW w:w="935" w:type="pct"/>
            <w:tcBorders>
              <w:top w:val="single" w:sz="4" w:space="0" w:color="auto"/>
              <w:bottom w:val="single" w:sz="4" w:space="0" w:color="auto"/>
            </w:tcBorders>
            <w:shd w:val="clear" w:color="auto" w:fill="F7F9B7"/>
          </w:tcPr>
          <w:p w14:paraId="75F5045B" w14:textId="77777777" w:rsidR="00C23CB1" w:rsidRPr="000A23DA" w:rsidRDefault="00C23CB1" w:rsidP="00DA1CDE">
            <w:pPr>
              <w:widowControl w:val="0"/>
              <w:autoSpaceDE w:val="0"/>
              <w:autoSpaceDN w:val="0"/>
              <w:spacing w:before="60" w:after="60" w:line="275" w:lineRule="exact"/>
              <w:ind w:left="107"/>
              <w:rPr>
                <w:rFonts w:ascii="Times New Roman" w:eastAsia="Times New Roman" w:hAnsi="Times New Roman" w:cs="Times New Roman"/>
                <w:noProof/>
                <w:spacing w:val="-2"/>
                <w:sz w:val="18"/>
                <w:szCs w:val="18"/>
              </w:rPr>
            </w:pPr>
            <w:r w:rsidRPr="00F3116B">
              <w:rPr>
                <w:rFonts w:ascii="Times New Roman" w:hAnsi="Times New Roman"/>
                <w:noProof/>
                <w:sz w:val="18"/>
              </w:rPr>
              <w:t>3</w:t>
            </w:r>
            <w:r>
              <w:rPr>
                <w:rFonts w:ascii="Times New Roman" w:hAnsi="Times New Roman"/>
                <w:noProof/>
                <w:sz w:val="18"/>
              </w:rPr>
              <w:t>,</w:t>
            </w:r>
            <w:r w:rsidRPr="00F3116B">
              <w:rPr>
                <w:rFonts w:ascii="Times New Roman" w:hAnsi="Times New Roman"/>
                <w:noProof/>
                <w:sz w:val="18"/>
              </w:rPr>
              <w:t>2</w:t>
            </w:r>
            <w:r>
              <w:rPr>
                <w:rFonts w:ascii="Times New Roman" w:hAnsi="Times New Roman"/>
                <w:noProof/>
                <w:sz w:val="18"/>
              </w:rPr>
              <w:t>% (</w:t>
            </w:r>
            <w:r w:rsidRPr="00F3116B">
              <w:rPr>
                <w:rFonts w:ascii="Times New Roman" w:hAnsi="Times New Roman"/>
                <w:noProof/>
                <w:sz w:val="18"/>
              </w:rPr>
              <w:t>2022</w:t>
            </w:r>
            <w:r>
              <w:rPr>
                <w:rFonts w:ascii="Times New Roman" w:hAnsi="Times New Roman"/>
                <w:noProof/>
                <w:sz w:val="18"/>
              </w:rPr>
              <w:t>)</w:t>
            </w:r>
          </w:p>
          <w:p w14:paraId="53B4FDC9" w14:textId="77777777" w:rsidR="00C23CB1" w:rsidRPr="000A23DA"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szCs w:val="18"/>
              </w:rPr>
            </w:pPr>
            <w:r w:rsidRPr="00F3116B">
              <w:rPr>
                <w:rFonts w:ascii="Times New Roman" w:hAnsi="Times New Roman"/>
                <w:noProof/>
                <w:sz w:val="18"/>
              </w:rPr>
              <w:t>3</w:t>
            </w:r>
            <w:r>
              <w:rPr>
                <w:rFonts w:ascii="Times New Roman" w:hAnsi="Times New Roman"/>
                <w:noProof/>
                <w:sz w:val="18"/>
              </w:rPr>
              <w:t>,</w:t>
            </w:r>
            <w:r w:rsidRPr="00F3116B">
              <w:rPr>
                <w:rFonts w:ascii="Times New Roman" w:hAnsi="Times New Roman"/>
                <w:noProof/>
                <w:sz w:val="18"/>
              </w:rPr>
              <w:t>2</w:t>
            </w:r>
            <w:r>
              <w:rPr>
                <w:rFonts w:ascii="Times New Roman" w:hAnsi="Times New Roman"/>
                <w:noProof/>
                <w:sz w:val="18"/>
              </w:rPr>
              <w:t>% (</w:t>
            </w:r>
            <w:r w:rsidRPr="00F3116B">
              <w:rPr>
                <w:rFonts w:ascii="Times New Roman" w:hAnsi="Times New Roman"/>
                <w:noProof/>
                <w:sz w:val="18"/>
              </w:rPr>
              <w:t>2021</w:t>
            </w:r>
            <w:r>
              <w:rPr>
                <w:rFonts w:ascii="Times New Roman" w:hAnsi="Times New Roman"/>
                <w:noProof/>
                <w:sz w:val="18"/>
              </w:rPr>
              <w:t>)</w:t>
            </w:r>
          </w:p>
        </w:tc>
      </w:tr>
    </w:tbl>
    <w:p w14:paraId="75AB8486" w14:textId="77777777" w:rsidR="00C23CB1" w:rsidRDefault="00C23CB1" w:rsidP="00C23CB1">
      <w:pPr>
        <w:spacing w:after="0"/>
        <w:jc w:val="both"/>
        <w:rPr>
          <w:rFonts w:ascii="Times New Roman" w:hAnsi="Times New Roman" w:cs="Times New Roman"/>
          <w:b/>
          <w:noProof/>
          <w:color w:val="000000"/>
          <w:sz w:val="24"/>
          <w:szCs w:val="24"/>
          <w:shd w:val="clear" w:color="auto" w:fill="FFFFFF"/>
        </w:rPr>
      </w:pPr>
    </w:p>
    <w:p w14:paraId="5007ECDC" w14:textId="1C9BFE60" w:rsidR="00C23CB1" w:rsidRPr="003D5518" w:rsidRDefault="00C23CB1" w:rsidP="00C23CB1">
      <w:pPr>
        <w:jc w:val="both"/>
        <w:rPr>
          <w:rFonts w:ascii="Times New Roman" w:hAnsi="Times New Roman" w:cs="Times New Roman"/>
          <w:b/>
          <w:bCs/>
          <w:noProof/>
          <w:color w:val="000000"/>
          <w:sz w:val="24"/>
          <w:szCs w:val="24"/>
          <w:shd w:val="clear" w:color="auto" w:fill="FFFFFF"/>
        </w:rPr>
      </w:pPr>
      <w:r>
        <w:rPr>
          <w:rFonts w:ascii="Times New Roman" w:hAnsi="Times New Roman"/>
          <w:b/>
          <w:noProof/>
          <w:color w:val="000000"/>
          <w:sz w:val="24"/>
          <w:shd w:val="clear" w:color="auto" w:fill="FFFFFF"/>
        </w:rPr>
        <w:t xml:space="preserve">Les investissements publics se sont rétablis après les faibles niveaux enregistrés après la crise financière. </w:t>
      </w:r>
      <w:r>
        <w:rPr>
          <w:rFonts w:ascii="Times New Roman" w:hAnsi="Times New Roman"/>
          <w:b/>
          <w:noProof/>
          <w:sz w:val="24"/>
        </w:rPr>
        <w:t xml:space="preserve">Les fonds de la politique de cohésion de l’UE, la facilité pour la reprise et la résilience (FRR) et d’autres programmes ont contribué à financer la transition écologique et numérique tout en maintenant des conditions de concurrence équitables et en promouvant la convergence au sein du marché unique. Toutefois, des investissements publics accrus et plus stratégiques, y compris au moyen d’instruments plus innovants contribuant à réduire les risques liés aux investissements privés, sont nécessaires pour mobiliser des fonds privés et apporter les </w:t>
      </w:r>
      <w:r w:rsidRPr="00F3116B">
        <w:rPr>
          <w:rFonts w:ascii="Times New Roman" w:hAnsi="Times New Roman"/>
          <w:b/>
          <w:noProof/>
          <w:sz w:val="24"/>
        </w:rPr>
        <w:t>650</w:t>
      </w:r>
      <w:r>
        <w:rPr>
          <w:rFonts w:ascii="Times New Roman" w:hAnsi="Times New Roman"/>
          <w:b/>
          <w:noProof/>
          <w:sz w:val="24"/>
        </w:rPr>
        <w:t> milliards d’euros</w:t>
      </w:r>
      <w:r w:rsidRPr="003D5518">
        <w:rPr>
          <w:rStyle w:val="FootnoteReference"/>
          <w:rFonts w:ascii="Times New Roman" w:hAnsi="Times New Roman" w:cs="Times New Roman"/>
          <w:b/>
          <w:bCs/>
          <w:noProof/>
          <w:color w:val="000000"/>
          <w:sz w:val="24"/>
          <w:szCs w:val="24"/>
          <w:shd w:val="clear" w:color="auto" w:fill="FFFFFF"/>
          <w:lang w:val="en-IE"/>
        </w:rPr>
        <w:footnoteReference w:id="38"/>
      </w:r>
      <w:r>
        <w:rPr>
          <w:rFonts w:ascii="Times New Roman" w:hAnsi="Times New Roman"/>
          <w:b/>
          <w:noProof/>
          <w:sz w:val="24"/>
        </w:rPr>
        <w:t xml:space="preserve"> requis chaque année pour la double transition et la résilience économique de l’Europe.</w:t>
      </w:r>
      <w:r>
        <w:rPr>
          <w:rFonts w:ascii="Times New Roman" w:hAnsi="Times New Roman"/>
          <w:b/>
          <w:noProof/>
          <w:color w:val="000000"/>
          <w:sz w:val="24"/>
          <w:shd w:val="clear" w:color="auto" w:fill="FFFFFF"/>
        </w:rPr>
        <w:t xml:space="preserve"> </w:t>
      </w:r>
    </w:p>
    <w:p w14:paraId="0A748D16" w14:textId="624DBF3E" w:rsidR="00C23CB1" w:rsidRDefault="00C23CB1" w:rsidP="00587BDB">
      <w:pPr>
        <w:jc w:val="both"/>
        <w:rPr>
          <w:rFonts w:ascii="Times New Roman" w:hAnsi="Times New Roman" w:cs="Times New Roman"/>
          <w:noProof/>
          <w:color w:val="000000"/>
          <w:sz w:val="24"/>
          <w:szCs w:val="24"/>
          <w:shd w:val="clear" w:color="auto" w:fill="FFFFFF"/>
        </w:rPr>
      </w:pPr>
      <w:r>
        <w:rPr>
          <w:rFonts w:ascii="Times New Roman" w:hAnsi="Times New Roman"/>
          <w:noProof/>
          <w:color w:val="000000"/>
          <w:sz w:val="24"/>
          <w:shd w:val="clear" w:color="auto" w:fill="FFFFFF"/>
        </w:rPr>
        <w:t xml:space="preserve">Les investissements publics, qui représentent </w:t>
      </w:r>
      <w:r w:rsidRPr="00F3116B">
        <w:rPr>
          <w:rFonts w:ascii="Times New Roman" w:hAnsi="Times New Roman"/>
          <w:noProof/>
          <w:color w:val="000000"/>
          <w:sz w:val="24"/>
          <w:shd w:val="clear" w:color="auto" w:fill="FFFFFF"/>
        </w:rPr>
        <w:t>3</w:t>
      </w:r>
      <w:r>
        <w:rPr>
          <w:rFonts w:ascii="Times New Roman" w:hAnsi="Times New Roman"/>
          <w:noProof/>
          <w:color w:val="000000"/>
          <w:sz w:val="24"/>
          <w:shd w:val="clear" w:color="auto" w:fill="FFFFFF"/>
        </w:rPr>
        <w:t>,</w:t>
      </w:r>
      <w:r w:rsidRPr="00F3116B">
        <w:rPr>
          <w:rFonts w:ascii="Times New Roman" w:hAnsi="Times New Roman"/>
          <w:noProof/>
          <w:color w:val="000000"/>
          <w:sz w:val="24"/>
          <w:shd w:val="clear" w:color="auto" w:fill="FFFFFF"/>
        </w:rPr>
        <w:t>3</w:t>
      </w:r>
      <w:r>
        <w:rPr>
          <w:rFonts w:ascii="Times New Roman" w:hAnsi="Times New Roman"/>
          <w:noProof/>
          <w:color w:val="000000"/>
          <w:sz w:val="24"/>
          <w:shd w:val="clear" w:color="auto" w:fill="FFFFFF"/>
        </w:rPr>
        <w:t> % du PIB, sont à peine supérieurs à ceux du Royaume-Uni (</w:t>
      </w:r>
      <w:r w:rsidRPr="00F3116B">
        <w:rPr>
          <w:rFonts w:ascii="Times New Roman" w:hAnsi="Times New Roman"/>
          <w:noProof/>
          <w:color w:val="000000"/>
          <w:sz w:val="24"/>
          <w:shd w:val="clear" w:color="auto" w:fill="FFFFFF"/>
        </w:rPr>
        <w:t>3</w:t>
      </w:r>
      <w:r>
        <w:rPr>
          <w:rFonts w:ascii="Times New Roman" w:hAnsi="Times New Roman"/>
          <w:noProof/>
          <w:color w:val="000000"/>
          <w:sz w:val="24"/>
          <w:shd w:val="clear" w:color="auto" w:fill="FFFFFF"/>
        </w:rPr>
        <w:t>,</w:t>
      </w:r>
      <w:r w:rsidRPr="00F3116B">
        <w:rPr>
          <w:rFonts w:ascii="Times New Roman" w:hAnsi="Times New Roman"/>
          <w:noProof/>
          <w:color w:val="000000"/>
          <w:sz w:val="24"/>
          <w:shd w:val="clear" w:color="auto" w:fill="FFFFFF"/>
        </w:rPr>
        <w:t>3</w:t>
      </w:r>
      <w:r>
        <w:rPr>
          <w:rFonts w:ascii="Times New Roman" w:hAnsi="Times New Roman"/>
          <w:noProof/>
          <w:color w:val="000000"/>
          <w:sz w:val="24"/>
          <w:shd w:val="clear" w:color="auto" w:fill="FFFFFF"/>
        </w:rPr>
        <w:t> %) et légèrement inférieurs à ceux des États-Unis (</w:t>
      </w:r>
      <w:r w:rsidRPr="00F3116B">
        <w:rPr>
          <w:rFonts w:ascii="Times New Roman" w:hAnsi="Times New Roman"/>
          <w:noProof/>
          <w:color w:val="000000"/>
          <w:sz w:val="24"/>
          <w:shd w:val="clear" w:color="auto" w:fill="FFFFFF"/>
        </w:rPr>
        <w:t>3</w:t>
      </w:r>
      <w:r>
        <w:rPr>
          <w:rFonts w:ascii="Times New Roman" w:hAnsi="Times New Roman"/>
          <w:noProof/>
          <w:color w:val="000000"/>
          <w:sz w:val="24"/>
          <w:shd w:val="clear" w:color="auto" w:fill="FFFFFF"/>
        </w:rPr>
        <w:t>,</w:t>
      </w:r>
      <w:r w:rsidRPr="00F3116B">
        <w:rPr>
          <w:rFonts w:ascii="Times New Roman" w:hAnsi="Times New Roman"/>
          <w:noProof/>
          <w:color w:val="000000"/>
          <w:sz w:val="24"/>
          <w:shd w:val="clear" w:color="auto" w:fill="FFFFFF"/>
        </w:rPr>
        <w:t>6</w:t>
      </w:r>
      <w:r>
        <w:rPr>
          <w:rFonts w:ascii="Times New Roman" w:hAnsi="Times New Roman"/>
          <w:noProof/>
          <w:color w:val="000000"/>
          <w:sz w:val="24"/>
          <w:shd w:val="clear" w:color="auto" w:fill="FFFFFF"/>
        </w:rPr>
        <w:t> %). Si la plupart des besoins d’investissement dans le cadre de la double transition seront financés par des fonds privés, le rôle des investissements publics reste central, par exemple avec l’utilisation ciblée de produits financiers et la combinaison de sources de financement pour catalyser et réduire les risques liés aux investissements privés, débloquer les investissements dans les infrastructures et soutenir des projets dans des domaines présentant des intérêts en matière de sécurité économique, où les investissements privés pourraient faire défaut. Le financement de l’UE reste nécessaire pour répondre aux besoins de financement tout en évitant la fragmentation du marché unique due aux différences de niveaux de soutien national (temporaire) sous forme d’aides d’État, ainsi que pour réduire les disparités régionales.</w:t>
      </w:r>
    </w:p>
    <w:p w14:paraId="34553612" w14:textId="1A6C6F38" w:rsidR="00C23CB1" w:rsidRPr="00677051" w:rsidRDefault="00C23CB1" w:rsidP="00C23CB1">
      <w:pPr>
        <w:pStyle w:val="Caption"/>
        <w:keepNext/>
        <w:rPr>
          <w:rFonts w:ascii="Times New Roman" w:hAnsi="Times New Roman" w:cs="Times New Roman"/>
          <w:iCs w:val="0"/>
          <w:noProof/>
          <w:color w:val="000000"/>
          <w:sz w:val="22"/>
          <w:szCs w:val="22"/>
          <w:shd w:val="clear" w:color="auto" w:fill="FFFFFF"/>
        </w:rPr>
      </w:pPr>
      <w:r>
        <w:rPr>
          <w:rFonts w:ascii="Times New Roman" w:hAnsi="Times New Roman"/>
          <w:noProof/>
          <w:color w:val="000000"/>
          <w:sz w:val="22"/>
          <w:shd w:val="clear" w:color="auto" w:fill="FFFFFF"/>
        </w:rPr>
        <w:t xml:space="preserve">Figure </w:t>
      </w:r>
      <w:r w:rsidRPr="00677051">
        <w:rPr>
          <w:rFonts w:ascii="Times New Roman" w:hAnsi="Times New Roman" w:cs="Times New Roman"/>
          <w:noProof/>
          <w:color w:val="000000"/>
          <w:sz w:val="22"/>
          <w:shd w:val="clear" w:color="auto" w:fill="FFFFFF"/>
        </w:rPr>
        <w:fldChar w:fldCharType="begin" w:fldLock="1"/>
      </w:r>
      <w:r w:rsidRPr="00677051">
        <w:rPr>
          <w:rFonts w:ascii="Times New Roman" w:hAnsi="Times New Roman" w:cs="Times New Roman"/>
          <w:noProof/>
          <w:color w:val="000000"/>
          <w:sz w:val="22"/>
          <w:shd w:val="clear" w:color="auto" w:fill="FFFFFF"/>
        </w:rPr>
        <w:instrText xml:space="preserve"> SEQ Figure \* ARABIC </w:instrText>
      </w:r>
      <w:r w:rsidRPr="00677051">
        <w:rPr>
          <w:rFonts w:ascii="Times New Roman" w:hAnsi="Times New Roman" w:cs="Times New Roman"/>
          <w:noProof/>
          <w:color w:val="000000"/>
          <w:sz w:val="22"/>
          <w:shd w:val="clear" w:color="auto" w:fill="FFFFFF"/>
        </w:rPr>
        <w:fldChar w:fldCharType="separate"/>
      </w:r>
      <w:r w:rsidR="00C775B5" w:rsidRPr="00F3116B">
        <w:rPr>
          <w:rFonts w:ascii="Times New Roman" w:hAnsi="Times New Roman" w:cs="Times New Roman"/>
          <w:noProof/>
          <w:color w:val="000000"/>
          <w:sz w:val="22"/>
          <w:shd w:val="clear" w:color="auto" w:fill="FFFFFF"/>
        </w:rPr>
        <w:t>2</w:t>
      </w:r>
      <w:r w:rsidRPr="00677051">
        <w:rPr>
          <w:rFonts w:ascii="Times New Roman" w:hAnsi="Times New Roman" w:cs="Times New Roman"/>
          <w:noProof/>
          <w:color w:val="000000"/>
          <w:sz w:val="22"/>
          <w:shd w:val="clear" w:color="auto" w:fill="FFFFFF"/>
        </w:rPr>
        <w:fldChar w:fldCharType="end"/>
      </w:r>
      <w:r>
        <w:rPr>
          <w:rFonts w:ascii="Times New Roman" w:hAnsi="Times New Roman"/>
          <w:noProof/>
          <w:color w:val="000000"/>
          <w:sz w:val="22"/>
          <w:shd w:val="clear" w:color="auto" w:fill="FFFFFF"/>
        </w:rPr>
        <w:t>: Investissements publics</w:t>
      </w:r>
    </w:p>
    <w:p w14:paraId="44082967" w14:textId="49F6DE81" w:rsidR="00C23CB1" w:rsidRDefault="00E61EC3" w:rsidP="00C23CB1">
      <w:pPr>
        <w:jc w:val="both"/>
        <w:rPr>
          <w:rFonts w:ascii="Times New Roman" w:hAnsi="Times New Roman" w:cs="Times New Roman"/>
          <w:bCs/>
          <w:noProof/>
          <w:color w:val="000000"/>
          <w:sz w:val="24"/>
          <w:szCs w:val="24"/>
          <w:shd w:val="clear" w:color="auto" w:fill="FFFFFF"/>
        </w:rPr>
      </w:pPr>
      <w:r w:rsidRPr="00E61EC3">
        <w:rPr>
          <w:noProof/>
          <w:lang w:val="en-GB" w:eastAsia="en-GB"/>
        </w:rPr>
        <w:drawing>
          <wp:inline distT="0" distB="0" distL="0" distR="0" wp14:anchorId="40A1743E" wp14:editId="67E321F6">
            <wp:extent cx="5979381" cy="3045350"/>
            <wp:effectExtent l="0" t="0" r="0" b="0"/>
            <wp:docPr id="2" name="Chart 2">
              <a:extLst xmlns:a="http://schemas.openxmlformats.org/drawingml/2006/main">
                <a:ext uri="{FF2B5EF4-FFF2-40B4-BE49-F238E27FC236}">
                  <a16:creationId xmlns:a16="http://schemas.microsoft.com/office/drawing/2014/main" id="{6E9C2FAA-B1DB-48AD-912B-B5D0380018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8293E98" w14:textId="77777777" w:rsidR="00C23CB1" w:rsidRPr="00A27108" w:rsidRDefault="00C23CB1" w:rsidP="00C23CB1">
      <w:pPr>
        <w:jc w:val="both"/>
        <w:rPr>
          <w:rFonts w:ascii="EC Square Sans Cond Pro" w:hAnsi="EC Square Sans Cond Pro"/>
          <w:noProof/>
          <w:color w:val="4472C4" w:themeColor="accent1"/>
          <w:sz w:val="20"/>
          <w:szCs w:val="16"/>
        </w:rPr>
      </w:pPr>
      <w:r>
        <w:rPr>
          <w:rFonts w:ascii="EC Square Sans Cond Pro" w:hAnsi="EC Square Sans Cond Pro"/>
          <w:noProof/>
          <w:color w:val="4472C4" w:themeColor="accent1"/>
          <w:sz w:val="20"/>
        </w:rPr>
        <w:t>Source: Commission européenne, base de données macroéconomique annuelle (AMECO)</w:t>
      </w:r>
    </w:p>
    <w:p w14:paraId="31530F75" w14:textId="77777777" w:rsidR="00C23CB1" w:rsidRPr="00A27108" w:rsidRDefault="00C23CB1" w:rsidP="00C23CB1">
      <w:pPr>
        <w:jc w:val="both"/>
        <w:rPr>
          <w:rFonts w:ascii="Times New Roman" w:hAnsi="Times New Roman" w:cs="Times New Roman"/>
          <w:noProof/>
          <w:sz w:val="24"/>
          <w:szCs w:val="24"/>
        </w:rPr>
      </w:pPr>
      <w:bookmarkStart w:id="20" w:name="_Hlk155285100"/>
      <w:r>
        <w:rPr>
          <w:rFonts w:ascii="Times New Roman" w:hAnsi="Times New Roman"/>
          <w:noProof/>
          <w:sz w:val="24"/>
        </w:rPr>
        <w:t xml:space="preserve">Depuis </w:t>
      </w:r>
      <w:r w:rsidRPr="00F3116B">
        <w:rPr>
          <w:rFonts w:ascii="Times New Roman" w:hAnsi="Times New Roman"/>
          <w:noProof/>
          <w:sz w:val="24"/>
        </w:rPr>
        <w:t>2021</w:t>
      </w:r>
      <w:r>
        <w:rPr>
          <w:rFonts w:ascii="Times New Roman" w:hAnsi="Times New Roman"/>
          <w:noProof/>
          <w:sz w:val="24"/>
        </w:rPr>
        <w:t xml:space="preserve">, la FRR a versé plus de </w:t>
      </w:r>
      <w:r w:rsidRPr="00F3116B">
        <w:rPr>
          <w:rFonts w:ascii="Times New Roman" w:hAnsi="Times New Roman"/>
          <w:noProof/>
          <w:sz w:val="24"/>
        </w:rPr>
        <w:t>222</w:t>
      </w:r>
      <w:r>
        <w:rPr>
          <w:rFonts w:ascii="Times New Roman" w:hAnsi="Times New Roman"/>
          <w:noProof/>
          <w:sz w:val="24"/>
        </w:rPr>
        <w:t xml:space="preserve"> milliards d’euros et les fonds de la politique de cohésion ont débloqué </w:t>
      </w:r>
      <w:r w:rsidRPr="00F3116B">
        <w:rPr>
          <w:rFonts w:ascii="Times New Roman" w:hAnsi="Times New Roman"/>
          <w:noProof/>
          <w:sz w:val="24"/>
        </w:rPr>
        <w:t>192</w:t>
      </w:r>
      <w:r>
        <w:rPr>
          <w:rFonts w:ascii="Times New Roman" w:hAnsi="Times New Roman"/>
          <w:noProof/>
          <w:sz w:val="24"/>
        </w:rPr>
        <w:t xml:space="preserve"> milliards d’euros au cours de la période </w:t>
      </w:r>
      <w:r w:rsidRPr="00F3116B">
        <w:rPr>
          <w:rFonts w:ascii="Times New Roman" w:hAnsi="Times New Roman"/>
          <w:noProof/>
          <w:sz w:val="24"/>
        </w:rPr>
        <w:t>2021</w:t>
      </w:r>
      <w:r>
        <w:rPr>
          <w:rFonts w:ascii="Times New Roman" w:hAnsi="Times New Roman"/>
          <w:noProof/>
          <w:sz w:val="24"/>
        </w:rPr>
        <w:t>-</w:t>
      </w:r>
      <w:r w:rsidRPr="00F3116B">
        <w:rPr>
          <w:rFonts w:ascii="Times New Roman" w:hAnsi="Times New Roman"/>
          <w:noProof/>
          <w:sz w:val="24"/>
        </w:rPr>
        <w:t>2024</w:t>
      </w:r>
      <w:r>
        <w:rPr>
          <w:rStyle w:val="FootnoteReference"/>
          <w:rFonts w:ascii="Times New Roman" w:hAnsi="Times New Roman" w:cs="Times New Roman"/>
          <w:noProof/>
          <w:sz w:val="24"/>
          <w:szCs w:val="24"/>
          <w:lang w:val="en-IE"/>
        </w:rPr>
        <w:footnoteReference w:id="39"/>
      </w:r>
      <w:r>
        <w:rPr>
          <w:rFonts w:ascii="Times New Roman" w:hAnsi="Times New Roman"/>
          <w:noProof/>
          <w:sz w:val="24"/>
        </w:rPr>
        <w:t xml:space="preserve">. InvestEU a fourni </w:t>
      </w:r>
      <w:r w:rsidRPr="00F3116B">
        <w:rPr>
          <w:rFonts w:ascii="Times New Roman" w:hAnsi="Times New Roman"/>
          <w:noProof/>
          <w:sz w:val="24"/>
        </w:rPr>
        <w:t>13</w:t>
      </w:r>
      <w:r>
        <w:rPr>
          <w:rFonts w:ascii="Times New Roman" w:hAnsi="Times New Roman"/>
          <w:noProof/>
          <w:sz w:val="24"/>
        </w:rPr>
        <w:t>,</w:t>
      </w:r>
      <w:r w:rsidRPr="00F3116B">
        <w:rPr>
          <w:rFonts w:ascii="Times New Roman" w:hAnsi="Times New Roman"/>
          <w:noProof/>
          <w:sz w:val="24"/>
        </w:rPr>
        <w:t>44</w:t>
      </w:r>
      <w:r>
        <w:rPr>
          <w:rFonts w:ascii="Times New Roman" w:hAnsi="Times New Roman"/>
          <w:noProof/>
          <w:sz w:val="24"/>
        </w:rPr>
        <w:t xml:space="preserve"> milliards d’euros de garanties de l’UE et Horizon Europe a mobilisé plus de </w:t>
      </w:r>
      <w:r w:rsidRPr="00F3116B">
        <w:rPr>
          <w:rFonts w:ascii="Times New Roman" w:hAnsi="Times New Roman"/>
          <w:noProof/>
          <w:sz w:val="24"/>
        </w:rPr>
        <w:t>24</w:t>
      </w:r>
      <w:r>
        <w:rPr>
          <w:rFonts w:ascii="Times New Roman" w:hAnsi="Times New Roman"/>
          <w:noProof/>
          <w:sz w:val="24"/>
        </w:rPr>
        <w:t> milliards d’euros pour la science et l’innovation.</w:t>
      </w:r>
      <w:bookmarkEnd w:id="20"/>
      <w:r>
        <w:rPr>
          <w:rFonts w:ascii="Times New Roman" w:hAnsi="Times New Roman"/>
          <w:noProof/>
          <w:sz w:val="24"/>
        </w:rPr>
        <w:t xml:space="preserve">   </w:t>
      </w:r>
    </w:p>
    <w:p w14:paraId="5A84C4DB" w14:textId="073E54DB" w:rsidR="00C23CB1" w:rsidRDefault="00C23CB1" w:rsidP="00C23CB1">
      <w:pPr>
        <w:jc w:val="both"/>
        <w:rPr>
          <w:rFonts w:ascii="Times New Roman" w:eastAsia="Times New Roman" w:hAnsi="Times New Roman" w:cs="Times New Roman"/>
          <w:noProof/>
          <w:color w:val="404040"/>
          <w:sz w:val="24"/>
          <w:szCs w:val="24"/>
        </w:rPr>
      </w:pPr>
      <w:r>
        <w:rPr>
          <w:rFonts w:ascii="Times New Roman" w:hAnsi="Times New Roman"/>
          <w:noProof/>
          <w:color w:val="000000"/>
          <w:sz w:val="24"/>
          <w:shd w:val="clear" w:color="auto" w:fill="FFFFFF"/>
        </w:rPr>
        <w:t xml:space="preserve">Des instruments plus ciblés jouent également un rôle essentiel pour les secteurs clés grâce à une combinaison de mesures réglementaires et, le cas échéant, à l’utilisation de fonds de l’UE ou de fonds nationaux. </w:t>
      </w:r>
      <w:r>
        <w:rPr>
          <w:rFonts w:ascii="Times New Roman" w:hAnsi="Times New Roman"/>
          <w:noProof/>
          <w:sz w:val="24"/>
        </w:rPr>
        <w:t xml:space="preserve">Le </w:t>
      </w:r>
      <w:r>
        <w:rPr>
          <w:rFonts w:ascii="Times New Roman" w:hAnsi="Times New Roman"/>
          <w:b/>
          <w:bCs/>
          <w:noProof/>
          <w:sz w:val="24"/>
        </w:rPr>
        <w:t>règlement pour une industrie «zéro net»</w:t>
      </w:r>
      <w:r w:rsidRPr="00ED1C75">
        <w:rPr>
          <w:rStyle w:val="FootnoteReference"/>
          <w:rFonts w:ascii="Times New Roman" w:hAnsi="Times New Roman" w:cs="Times New Roman"/>
          <w:noProof/>
          <w:color w:val="000000"/>
          <w:sz w:val="24"/>
          <w:szCs w:val="24"/>
          <w:shd w:val="clear" w:color="auto" w:fill="FFFFFF"/>
          <w:lang w:val="en-IE"/>
        </w:rPr>
        <w:footnoteReference w:id="40"/>
      </w:r>
      <w:r>
        <w:rPr>
          <w:rFonts w:ascii="Times New Roman" w:hAnsi="Times New Roman"/>
          <w:noProof/>
          <w:sz w:val="24"/>
        </w:rPr>
        <w:t xml:space="preserve">, le </w:t>
      </w:r>
      <w:r>
        <w:rPr>
          <w:rFonts w:ascii="Times New Roman" w:hAnsi="Times New Roman"/>
          <w:b/>
          <w:bCs/>
          <w:noProof/>
          <w:sz w:val="24"/>
        </w:rPr>
        <w:t>règlement sur les semi-conducteurs</w:t>
      </w:r>
      <w:r>
        <w:rPr>
          <w:rFonts w:ascii="Times New Roman" w:hAnsi="Times New Roman"/>
          <w:noProof/>
          <w:sz w:val="24"/>
        </w:rPr>
        <w:t xml:space="preserve"> et le </w:t>
      </w:r>
      <w:r>
        <w:rPr>
          <w:rFonts w:ascii="Times New Roman" w:hAnsi="Times New Roman"/>
          <w:b/>
          <w:bCs/>
          <w:noProof/>
          <w:sz w:val="24"/>
        </w:rPr>
        <w:t>règlement sur les matières premières critiques</w:t>
      </w:r>
      <w:r>
        <w:rPr>
          <w:rFonts w:ascii="Times New Roman" w:hAnsi="Times New Roman"/>
          <w:noProof/>
          <w:sz w:val="24"/>
        </w:rPr>
        <w:t xml:space="preserve"> renforcent la capacité de production nationale de l’UE et encouragent les entreprises à exploiter le potentiel du marché unique. </w:t>
      </w:r>
      <w:r>
        <w:rPr>
          <w:rFonts w:ascii="Times New Roman" w:hAnsi="Times New Roman"/>
          <w:noProof/>
          <w:color w:val="000000"/>
          <w:sz w:val="24"/>
          <w:shd w:val="clear" w:color="auto" w:fill="FFFFFF"/>
        </w:rPr>
        <w:t xml:space="preserve">Le règlement européen sur les semi-conducteurs soutiendra, au moyen de </w:t>
      </w:r>
      <w:r w:rsidRPr="00F3116B">
        <w:rPr>
          <w:rFonts w:ascii="Times New Roman" w:hAnsi="Times New Roman"/>
          <w:noProof/>
          <w:color w:val="000000"/>
          <w:sz w:val="24"/>
          <w:shd w:val="clear" w:color="auto" w:fill="FFFFFF"/>
        </w:rPr>
        <w:t>3</w:t>
      </w:r>
      <w:r>
        <w:rPr>
          <w:rFonts w:ascii="Times New Roman" w:hAnsi="Times New Roman"/>
          <w:noProof/>
          <w:color w:val="000000"/>
          <w:sz w:val="24"/>
          <w:shd w:val="clear" w:color="auto" w:fill="FFFFFF"/>
        </w:rPr>
        <w:t>,</w:t>
      </w:r>
      <w:r w:rsidRPr="00F3116B">
        <w:rPr>
          <w:rFonts w:ascii="Times New Roman" w:hAnsi="Times New Roman"/>
          <w:noProof/>
          <w:color w:val="000000"/>
          <w:sz w:val="24"/>
          <w:shd w:val="clear" w:color="auto" w:fill="FFFFFF"/>
        </w:rPr>
        <w:t>3</w:t>
      </w:r>
      <w:r>
        <w:rPr>
          <w:rFonts w:ascii="Times New Roman" w:hAnsi="Times New Roman"/>
          <w:noProof/>
          <w:color w:val="000000"/>
          <w:sz w:val="24"/>
          <w:shd w:val="clear" w:color="auto" w:fill="FFFFFF"/>
        </w:rPr>
        <w:t xml:space="preserve"> milliards d’euros provenant du budget de l’UE, près de </w:t>
      </w:r>
      <w:r w:rsidRPr="00F3116B">
        <w:rPr>
          <w:rFonts w:ascii="Times New Roman" w:hAnsi="Times New Roman"/>
          <w:noProof/>
          <w:color w:val="000000"/>
          <w:sz w:val="24"/>
          <w:shd w:val="clear" w:color="auto" w:fill="FFFFFF"/>
        </w:rPr>
        <w:t>43</w:t>
      </w:r>
      <w:r>
        <w:rPr>
          <w:rFonts w:ascii="Times New Roman" w:hAnsi="Times New Roman"/>
          <w:noProof/>
          <w:color w:val="000000"/>
          <w:sz w:val="24"/>
          <w:shd w:val="clear" w:color="auto" w:fill="FFFFFF"/>
        </w:rPr>
        <w:t xml:space="preserve"> milliards d’euros d’investissements. </w:t>
      </w:r>
      <w:r>
        <w:rPr>
          <w:rFonts w:ascii="Times New Roman" w:hAnsi="Times New Roman"/>
          <w:noProof/>
          <w:sz w:val="24"/>
        </w:rPr>
        <w:t xml:space="preserve">Plus de </w:t>
      </w:r>
      <w:r w:rsidRPr="00F3116B">
        <w:rPr>
          <w:rFonts w:ascii="Times New Roman" w:hAnsi="Times New Roman"/>
          <w:noProof/>
          <w:sz w:val="24"/>
        </w:rPr>
        <w:t>100</w:t>
      </w:r>
      <w:r>
        <w:rPr>
          <w:rFonts w:ascii="Times New Roman" w:hAnsi="Times New Roman"/>
          <w:noProof/>
          <w:sz w:val="24"/>
        </w:rPr>
        <w:t> milliards d’euros d’investissements publics et privés ont été annoncés pour les chaînes d’approvisionnement en semi-conducteurs.</w:t>
      </w:r>
      <w:r>
        <w:rPr>
          <w:rFonts w:ascii="Times New Roman" w:hAnsi="Times New Roman"/>
          <w:noProof/>
          <w:color w:val="000000"/>
          <w:sz w:val="24"/>
          <w:shd w:val="clear" w:color="auto" w:fill="FFFFFF"/>
        </w:rPr>
        <w:t xml:space="preserve"> Les alliances industrielles</w:t>
      </w:r>
      <w:r w:rsidR="00DF65CC">
        <w:rPr>
          <w:rStyle w:val="FootnoteReference"/>
          <w:rFonts w:ascii="Times New Roman" w:hAnsi="Times New Roman" w:cs="Times New Roman"/>
          <w:bCs/>
          <w:noProof/>
          <w:color w:val="000000"/>
          <w:sz w:val="24"/>
          <w:szCs w:val="24"/>
          <w:shd w:val="clear" w:color="auto" w:fill="FFFFFF"/>
          <w:lang w:val="en-IE"/>
        </w:rPr>
        <w:footnoteReference w:id="41"/>
      </w:r>
      <w:r>
        <w:rPr>
          <w:rFonts w:ascii="Times New Roman" w:hAnsi="Times New Roman"/>
          <w:noProof/>
          <w:color w:val="000000"/>
          <w:sz w:val="24"/>
          <w:shd w:val="clear" w:color="auto" w:fill="FFFFFF"/>
        </w:rPr>
        <w:t>, telles que l’alliance pour les médicaments critiques récemment lancée, facilitent le renforcement de la coopération tout au long des chaînes d’approvisionnement dans les technologies clés, contribuant ainsi à la compétitivité de l’UE.</w:t>
      </w:r>
    </w:p>
    <w:p w14:paraId="3280FF18" w14:textId="77777777" w:rsidR="00C23CB1" w:rsidRDefault="00C23CB1" w:rsidP="00C23CB1">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Le nouveau programme européen d’innovation (NEIA)</w:t>
      </w:r>
      <w:r>
        <w:rPr>
          <w:rStyle w:val="FootnoteReference"/>
          <w:rFonts w:ascii="Times New Roman" w:eastAsia="Times New Roman" w:hAnsi="Times New Roman" w:cs="Times New Roman"/>
          <w:noProof/>
          <w:color w:val="000000" w:themeColor="text1"/>
          <w:sz w:val="24"/>
          <w:szCs w:val="24"/>
        </w:rPr>
        <w:footnoteReference w:id="42"/>
      </w:r>
      <w:r>
        <w:rPr>
          <w:rFonts w:ascii="Times New Roman" w:hAnsi="Times New Roman"/>
          <w:noProof/>
          <w:sz w:val="24"/>
        </w:rPr>
        <w:t xml:space="preserve"> fournit des orientations et des mesures de soutien essentielles pour faciliter l’accès au financement, promouvoir l’innovation au moyen de bancs d’essai et de bacs à sable réglementaires, de marchés publics innovants et du développement des talents. </w:t>
      </w:r>
    </w:p>
    <w:p w14:paraId="19C70706" w14:textId="77777777" w:rsidR="00C23CB1" w:rsidRPr="004D5B4D" w:rsidRDefault="00C23CB1" w:rsidP="00C23CB1">
      <w:pPr>
        <w:spacing w:line="254" w:lineRule="auto"/>
        <w:jc w:val="both"/>
        <w:rPr>
          <w:rFonts w:ascii="Times New Roman" w:hAnsi="Times New Roman" w:cs="Times New Roman"/>
          <w:noProof/>
          <w:color w:val="000000"/>
          <w:sz w:val="24"/>
          <w:szCs w:val="24"/>
          <w:shd w:val="clear" w:color="auto" w:fill="FFFFFF"/>
        </w:rPr>
      </w:pPr>
      <w:r>
        <w:rPr>
          <w:rFonts w:ascii="Times New Roman" w:hAnsi="Times New Roman"/>
          <w:noProof/>
          <w:color w:val="000000"/>
          <w:sz w:val="24"/>
          <w:shd w:val="clear" w:color="auto" w:fill="FFFFFF"/>
        </w:rPr>
        <w:t xml:space="preserve">Les </w:t>
      </w:r>
      <w:r>
        <w:rPr>
          <w:rFonts w:ascii="Times New Roman" w:hAnsi="Times New Roman"/>
          <w:b/>
          <w:bCs/>
          <w:noProof/>
          <w:color w:val="000000"/>
          <w:sz w:val="24"/>
          <w:shd w:val="clear" w:color="auto" w:fill="FFFFFF"/>
        </w:rPr>
        <w:t>projets importants d’intérêt européen commun</w:t>
      </w:r>
      <w:r>
        <w:rPr>
          <w:rFonts w:ascii="Times New Roman" w:hAnsi="Times New Roman"/>
          <w:noProof/>
          <w:color w:val="000000"/>
          <w:sz w:val="24"/>
          <w:shd w:val="clear" w:color="auto" w:fill="FFFFFF"/>
        </w:rPr>
        <w:t xml:space="preserve"> (PIIEC) soutiennent des innovations radicales ou des projets d’infrastructure dans des domaines technologiques critiques. À ce jour, sept PIIEC intégrés ont été approuvés</w:t>
      </w:r>
      <w:r>
        <w:rPr>
          <w:rStyle w:val="FootnoteReference"/>
          <w:rFonts w:ascii="Times New Roman" w:hAnsi="Times New Roman" w:cs="Times New Roman"/>
          <w:noProof/>
          <w:color w:val="000000"/>
          <w:sz w:val="24"/>
          <w:szCs w:val="24"/>
          <w:shd w:val="clear" w:color="auto" w:fill="FFFFFF"/>
          <w:lang w:val="en-IE"/>
        </w:rPr>
        <w:footnoteReference w:id="43"/>
      </w:r>
      <w:r>
        <w:rPr>
          <w:rFonts w:ascii="Times New Roman" w:hAnsi="Times New Roman"/>
          <w:noProof/>
          <w:color w:val="000000"/>
          <w:sz w:val="24"/>
          <w:shd w:val="clear" w:color="auto" w:fill="FFFFFF"/>
        </w:rPr>
        <w:t xml:space="preserve">, pour un montant de </w:t>
      </w:r>
      <w:r w:rsidRPr="00F3116B">
        <w:rPr>
          <w:rFonts w:ascii="Times New Roman" w:hAnsi="Times New Roman"/>
          <w:noProof/>
          <w:color w:val="000000"/>
          <w:sz w:val="24"/>
          <w:shd w:val="clear" w:color="auto" w:fill="FFFFFF"/>
        </w:rPr>
        <w:t>27</w:t>
      </w:r>
      <w:r>
        <w:rPr>
          <w:rFonts w:ascii="Times New Roman" w:hAnsi="Times New Roman"/>
          <w:noProof/>
          <w:color w:val="000000"/>
          <w:sz w:val="24"/>
          <w:shd w:val="clear" w:color="auto" w:fill="FFFFFF"/>
        </w:rPr>
        <w:t>,</w:t>
      </w:r>
      <w:r w:rsidRPr="00F3116B">
        <w:rPr>
          <w:rFonts w:ascii="Times New Roman" w:hAnsi="Times New Roman"/>
          <w:noProof/>
          <w:color w:val="000000"/>
          <w:sz w:val="24"/>
          <w:shd w:val="clear" w:color="auto" w:fill="FFFFFF"/>
        </w:rPr>
        <w:t>9</w:t>
      </w:r>
      <w:r>
        <w:rPr>
          <w:rFonts w:ascii="Times New Roman" w:hAnsi="Times New Roman"/>
          <w:noProof/>
          <w:color w:val="000000"/>
          <w:sz w:val="24"/>
          <w:shd w:val="clear" w:color="auto" w:fill="FFFFFF"/>
        </w:rPr>
        <w:t xml:space="preserve"> milliards d’euros d’aide publique nationale, débloquant ainsi plus de </w:t>
      </w:r>
      <w:r w:rsidRPr="00F3116B">
        <w:rPr>
          <w:rFonts w:ascii="Times New Roman" w:hAnsi="Times New Roman"/>
          <w:noProof/>
          <w:color w:val="000000"/>
          <w:sz w:val="24"/>
          <w:shd w:val="clear" w:color="auto" w:fill="FFFFFF"/>
        </w:rPr>
        <w:t>50</w:t>
      </w:r>
      <w:r>
        <w:rPr>
          <w:rFonts w:ascii="Times New Roman" w:hAnsi="Times New Roman"/>
          <w:noProof/>
          <w:color w:val="000000"/>
          <w:sz w:val="24"/>
          <w:shd w:val="clear" w:color="auto" w:fill="FFFFFF"/>
        </w:rPr>
        <w:t> </w:t>
      </w:r>
      <w:bookmarkStart w:id="21" w:name="_Int_i3UoJnja"/>
      <w:r>
        <w:rPr>
          <w:rFonts w:ascii="Times New Roman" w:hAnsi="Times New Roman"/>
          <w:noProof/>
          <w:color w:val="000000"/>
          <w:sz w:val="24"/>
          <w:shd w:val="clear" w:color="auto" w:fill="FFFFFF"/>
        </w:rPr>
        <w:t>milliards d’euros</w:t>
      </w:r>
      <w:bookmarkEnd w:id="21"/>
      <w:r>
        <w:rPr>
          <w:rFonts w:ascii="Times New Roman" w:hAnsi="Times New Roman"/>
          <w:noProof/>
          <w:color w:val="000000"/>
          <w:sz w:val="24"/>
          <w:shd w:val="clear" w:color="auto" w:fill="FFFFFF"/>
        </w:rPr>
        <w:t xml:space="preserve"> d’investissements privés</w:t>
      </w:r>
      <w:r>
        <w:rPr>
          <w:noProof/>
        </w:rPr>
        <w:t>.</w:t>
      </w:r>
      <w:r>
        <w:rPr>
          <w:rFonts w:ascii="Times New Roman" w:hAnsi="Times New Roman"/>
          <w:noProof/>
          <w:color w:val="000000"/>
          <w:sz w:val="24"/>
          <w:shd w:val="clear" w:color="auto" w:fill="FFFFFF"/>
        </w:rPr>
        <w:t xml:space="preserve"> </w:t>
      </w:r>
    </w:p>
    <w:p w14:paraId="70B40ADC" w14:textId="2D9CAC15" w:rsidR="005A08AF" w:rsidRDefault="00C23CB1" w:rsidP="00C23CB1">
      <w:pPr>
        <w:jc w:val="both"/>
        <w:rPr>
          <w:rFonts w:ascii="Times New Roman" w:hAnsi="Times New Roman" w:cs="Times New Roman"/>
          <w:noProof/>
          <w:color w:val="000000"/>
          <w:sz w:val="24"/>
          <w:szCs w:val="24"/>
          <w:shd w:val="clear" w:color="auto" w:fill="FFFFFF"/>
        </w:rPr>
      </w:pPr>
      <w:r>
        <w:rPr>
          <w:rFonts w:ascii="Times New Roman" w:hAnsi="Times New Roman"/>
          <w:noProof/>
          <w:color w:val="000000"/>
          <w:sz w:val="24"/>
          <w:shd w:val="clear" w:color="auto" w:fill="FFFFFF"/>
        </w:rPr>
        <w:t xml:space="preserve">Le </w:t>
      </w:r>
      <w:r>
        <w:rPr>
          <w:rFonts w:ascii="Times New Roman" w:hAnsi="Times New Roman"/>
          <w:b/>
          <w:bCs/>
          <w:noProof/>
          <w:color w:val="000000"/>
          <w:sz w:val="24"/>
          <w:shd w:val="clear" w:color="auto" w:fill="FFFFFF"/>
        </w:rPr>
        <w:t>«Fonds pour l’innovation», financé par les recettes du système d’échange de quotas d’émission de l’UE</w:t>
      </w:r>
      <w:r>
        <w:rPr>
          <w:rFonts w:ascii="Times New Roman" w:hAnsi="Times New Roman"/>
          <w:noProof/>
          <w:color w:val="000000"/>
          <w:sz w:val="24"/>
          <w:shd w:val="clear" w:color="auto" w:fill="FFFFFF"/>
        </w:rPr>
        <w:t>, soutient et intensifie l’innovation dans le domaine des technologies «zéro net» pour l’amener à pleine maturité technologique et commerciale et devient un instrument public essentiel pour déployer la stratégie industrielle du pacte vert pour l’Europe. Compte tenu de son succès et de la sursouscription des appels à propositions à grande échelle, la Commission s’efforcera de maximiser le budget du Fonds pour l’innovation en anticipant l’engagement des fonds disponibles.</w:t>
      </w:r>
    </w:p>
    <w:p w14:paraId="129D2174" w14:textId="0DB00CDF" w:rsidR="00230BBE" w:rsidRDefault="00230BBE" w:rsidP="00230BBE">
      <w:pPr>
        <w:jc w:val="both"/>
        <w:rPr>
          <w:rFonts w:ascii="Times New Roman" w:hAnsi="Times New Roman" w:cs="Times New Roman"/>
          <w:noProof/>
          <w:color w:val="000000"/>
          <w:sz w:val="24"/>
          <w:szCs w:val="24"/>
          <w:shd w:val="clear" w:color="auto" w:fill="FFFFFF"/>
        </w:rPr>
      </w:pPr>
      <w:r>
        <w:rPr>
          <w:rFonts w:ascii="Times New Roman" w:hAnsi="Times New Roman"/>
          <w:noProof/>
          <w:color w:val="000000"/>
          <w:sz w:val="24"/>
          <w:shd w:val="clear" w:color="auto" w:fill="FFFFFF"/>
        </w:rPr>
        <w:t xml:space="preserve">La «plateforme </w:t>
      </w:r>
      <w:r>
        <w:rPr>
          <w:rFonts w:ascii="Times New Roman" w:hAnsi="Times New Roman"/>
          <w:b/>
          <w:bCs/>
          <w:noProof/>
          <w:color w:val="000000"/>
          <w:sz w:val="24"/>
          <w:shd w:val="clear" w:color="auto" w:fill="FFFFFF"/>
        </w:rPr>
        <w:t>Technologies stratégiques pour l’Europe</w:t>
      </w:r>
      <w:r>
        <w:rPr>
          <w:rFonts w:ascii="Times New Roman" w:hAnsi="Times New Roman"/>
          <w:noProof/>
          <w:color w:val="000000"/>
          <w:sz w:val="24"/>
          <w:shd w:val="clear" w:color="auto" w:fill="FFFFFF"/>
        </w:rPr>
        <w:t>» (STEP)</w:t>
      </w:r>
      <w:r w:rsidRPr="00D427C4">
        <w:rPr>
          <w:rFonts w:ascii="Times New Roman" w:hAnsi="Times New Roman" w:cs="Times New Roman"/>
          <w:noProof/>
          <w:sz w:val="24"/>
          <w:szCs w:val="24"/>
          <w:vertAlign w:val="superscript"/>
          <w:lang w:val="en-IE"/>
        </w:rPr>
        <w:footnoteReference w:id="44"/>
      </w:r>
      <w:r>
        <w:rPr>
          <w:rFonts w:ascii="Times New Roman" w:hAnsi="Times New Roman"/>
          <w:noProof/>
          <w:color w:val="000000"/>
          <w:sz w:val="24"/>
          <w:shd w:val="clear" w:color="auto" w:fill="FFFFFF"/>
        </w:rPr>
        <w:t xml:space="preserve"> soutiendra les investissements en faveur du développement et de la fabrication de technologies critiques dans les secteurs des technologies propres, des technologies numériques, de l’innovation à fort contenu technologique et des biotechnologies. La plateforme STEP permettra de canaliser les financements dans le cadre des programmes existants et de soutenir les promoteurs de projets au moyen d’un futur portail de la souveraineté. Le potentiel d’investissement de cette initiative pourrait atteindre plusieurs dizaines de milliards d’euros, en fonction des décisions de reprogrammation des États membres.</w:t>
      </w:r>
    </w:p>
    <w:p w14:paraId="5D63CE5C" w14:textId="255C6537" w:rsidR="00C23CB1" w:rsidRPr="005C3892" w:rsidRDefault="00C23CB1" w:rsidP="005C3892">
      <w:pPr>
        <w:jc w:val="both"/>
        <w:rPr>
          <w:rFonts w:ascii="Times New Roman" w:hAnsi="Times New Roman"/>
          <w:noProof/>
          <w:color w:val="000000"/>
          <w:sz w:val="24"/>
        </w:rPr>
      </w:pPr>
      <w:bookmarkStart w:id="22" w:name="_Hlk151709659"/>
      <w:r>
        <w:rPr>
          <w:rFonts w:ascii="Times New Roman" w:hAnsi="Times New Roman"/>
          <w:noProof/>
          <w:color w:val="000000"/>
          <w:sz w:val="24"/>
        </w:rPr>
        <w:t xml:space="preserve">Il est également possible d’en faire davantage au moyen de </w:t>
      </w:r>
      <w:r>
        <w:rPr>
          <w:rFonts w:ascii="Times New Roman" w:hAnsi="Times New Roman"/>
          <w:b/>
          <w:bCs/>
          <w:noProof/>
          <w:color w:val="000000"/>
          <w:sz w:val="24"/>
        </w:rPr>
        <w:t>marchés publics</w:t>
      </w:r>
      <w:r>
        <w:rPr>
          <w:rFonts w:ascii="Times New Roman" w:hAnsi="Times New Roman"/>
          <w:noProof/>
          <w:color w:val="000000"/>
          <w:sz w:val="24"/>
        </w:rPr>
        <w:t xml:space="preserve"> stratégiques, représentant environ </w:t>
      </w:r>
      <w:r w:rsidRPr="00F3116B">
        <w:rPr>
          <w:rFonts w:ascii="Times New Roman" w:hAnsi="Times New Roman"/>
          <w:noProof/>
          <w:color w:val="000000"/>
          <w:sz w:val="24"/>
        </w:rPr>
        <w:t>14</w:t>
      </w:r>
      <w:r>
        <w:rPr>
          <w:rFonts w:ascii="Times New Roman" w:hAnsi="Times New Roman"/>
          <w:noProof/>
          <w:color w:val="000000"/>
          <w:sz w:val="24"/>
        </w:rPr>
        <w:t> % du PIB de l’UE.</w:t>
      </w:r>
      <w:r>
        <w:rPr>
          <w:noProof/>
        </w:rPr>
        <w:t xml:space="preserve"> Actuellement, les aspects environnementaux, sociaux et innovants ne sont pas suffisamment pris en considération dans les appels d’offres publics</w:t>
      </w:r>
      <w:bookmarkStart w:id="23" w:name="_ftnref3"/>
      <w:r>
        <w:rPr>
          <w:rStyle w:val="FootnoteReference"/>
          <w:rFonts w:ascii="Times New Roman" w:hAnsi="Times New Roman" w:cs="Times New Roman"/>
          <w:noProof/>
          <w:color w:val="000000"/>
          <w:sz w:val="24"/>
          <w:szCs w:val="24"/>
        </w:rPr>
        <w:footnoteReference w:id="45"/>
      </w:r>
      <w:bookmarkEnd w:id="23"/>
      <w:r>
        <w:rPr>
          <w:noProof/>
        </w:rPr>
        <w:t>.</w:t>
      </w:r>
      <w:r>
        <w:rPr>
          <w:rFonts w:ascii="Times New Roman" w:hAnsi="Times New Roman"/>
          <w:noProof/>
          <w:color w:val="000000"/>
          <w:sz w:val="24"/>
        </w:rPr>
        <w:t xml:space="preserve">  De nouvelles initiatives, telles que le règlement pour une industrie «zéro net»</w:t>
      </w:r>
      <w:r>
        <w:rPr>
          <w:rStyle w:val="FootnoteReference"/>
          <w:rFonts w:ascii="Times New Roman" w:hAnsi="Times New Roman" w:cs="Times New Roman"/>
          <w:noProof/>
          <w:color w:val="000000"/>
          <w:sz w:val="24"/>
          <w:szCs w:val="24"/>
        </w:rPr>
        <w:footnoteReference w:id="46"/>
      </w:r>
      <w:r>
        <w:rPr>
          <w:rFonts w:ascii="Times New Roman" w:hAnsi="Times New Roman"/>
          <w:noProof/>
          <w:color w:val="000000"/>
          <w:sz w:val="24"/>
        </w:rPr>
        <w:t>, introduisent des critères de durabilité environnementale et sociale ainsi que des critères de résilience dans les marchés publics. Cela devrait inciter les autorités à se fonder davantage sur des aspects autres que le prix dans les marchés publics de biens et de services en général.</w:t>
      </w:r>
    </w:p>
    <w:tbl>
      <w:tblPr>
        <w:tblStyle w:val="TableGrid"/>
        <w:tblW w:w="9356" w:type="dxa"/>
        <w:tblInd w:w="108" w:type="dxa"/>
        <w:tblLook w:val="04A0" w:firstRow="1" w:lastRow="0" w:firstColumn="1" w:lastColumn="0" w:noHBand="0" w:noVBand="1"/>
      </w:tblPr>
      <w:tblGrid>
        <w:gridCol w:w="9356"/>
      </w:tblGrid>
      <w:tr w:rsidR="00C23CB1" w14:paraId="21063BDC" w14:textId="77777777" w:rsidTr="00DA1CDE">
        <w:tc>
          <w:tcPr>
            <w:tcW w:w="9356" w:type="dxa"/>
          </w:tcPr>
          <w:p w14:paraId="2873FA38" w14:textId="6FCBD5BB" w:rsidR="00D5345B" w:rsidRDefault="00D5345B" w:rsidP="00D5345B">
            <w:pPr>
              <w:spacing w:before="120" w:after="120"/>
              <w:jc w:val="both"/>
              <w:rPr>
                <w:rFonts w:ascii="Times New Roman" w:hAnsi="Times New Roman" w:cs="Times New Roman"/>
                <w:noProof/>
                <w:color w:val="000000"/>
                <w:sz w:val="24"/>
                <w:szCs w:val="24"/>
                <w:shd w:val="clear" w:color="auto" w:fill="FFFFFF"/>
              </w:rPr>
            </w:pPr>
            <w:bookmarkStart w:id="24" w:name="_Hlk158378534"/>
            <w:bookmarkEnd w:id="18"/>
            <w:bookmarkEnd w:id="19"/>
            <w:bookmarkEnd w:id="22"/>
            <w:r>
              <w:rPr>
                <w:rFonts w:ascii="Times New Roman" w:hAnsi="Times New Roman"/>
                <w:noProof/>
                <w:color w:val="000000"/>
                <w:sz w:val="24"/>
                <w:shd w:val="clear" w:color="auto" w:fill="FFFFFF"/>
              </w:rPr>
              <w:t>L’approfondissement du marché unique devrait s’accompagner d’investissements publics continus dans des domaines prioritaires clés dans tous les États membres, y compris au niveau régional dans le cadre de la politique de cohésion, afin de garantir une croissance, une compétitivité et une résilience cohésives, tout en évitant la fragmentation du marché unique.</w:t>
            </w:r>
          </w:p>
          <w:bookmarkEnd w:id="24"/>
          <w:p w14:paraId="58F0980E" w14:textId="6E825B65" w:rsidR="00C23CB1" w:rsidRPr="00E222C2" w:rsidRDefault="00C23CB1" w:rsidP="00DA1CDE">
            <w:pPr>
              <w:spacing w:before="120" w:after="120"/>
              <w:jc w:val="both"/>
              <w:rPr>
                <w:rFonts w:ascii="Times New Roman" w:hAnsi="Times New Roman" w:cs="Times New Roman"/>
                <w:noProof/>
                <w:color w:val="000000"/>
                <w:sz w:val="24"/>
                <w:szCs w:val="24"/>
                <w:shd w:val="clear" w:color="auto" w:fill="FFFFFF"/>
              </w:rPr>
            </w:pPr>
            <w:r>
              <w:rPr>
                <w:rFonts w:ascii="Times New Roman" w:hAnsi="Times New Roman"/>
                <w:noProof/>
                <w:color w:val="000000"/>
                <w:sz w:val="24"/>
                <w:shd w:val="clear" w:color="auto" w:fill="FFFFFF"/>
              </w:rPr>
              <w:t>Le financement de la transition écologique et numérique nécessite une combinaison stratégique d’outils. Cela nécessite une utilisation accrue et plus innovante des sources de financement au niveau européen, afin de catalyser les investissements privés et réduire les risques qui y sont liés. Les marchés publics devraient être utilisés pour encourager et récompenser la durabilité, la résilience, l’innovation et les pratiques socialement responsables.</w:t>
            </w:r>
          </w:p>
        </w:tc>
      </w:tr>
    </w:tbl>
    <w:p w14:paraId="07333A8C" w14:textId="77777777" w:rsidR="00C23CB1" w:rsidRPr="004847C3" w:rsidRDefault="00C23CB1" w:rsidP="00C23CB1">
      <w:pPr>
        <w:pStyle w:val="ListParagraph"/>
        <w:keepNext/>
        <w:jc w:val="both"/>
        <w:rPr>
          <w:rFonts w:ascii="Times New Roman" w:hAnsi="Times New Roman" w:cs="Times New Roman"/>
          <w:b/>
          <w:bCs/>
          <w:noProof/>
          <w:sz w:val="24"/>
          <w:szCs w:val="24"/>
          <w:u w:val="single"/>
          <w:lang w:val="fr-BE"/>
        </w:rPr>
      </w:pPr>
    </w:p>
    <w:p w14:paraId="5359B53F" w14:textId="77777777" w:rsidR="00C23CB1" w:rsidRPr="00C3529F" w:rsidRDefault="00C23CB1" w:rsidP="00C23CB1">
      <w:pPr>
        <w:pStyle w:val="ListParagraph"/>
        <w:keepNext/>
        <w:numPr>
          <w:ilvl w:val="0"/>
          <w:numId w:val="2"/>
        </w:numPr>
        <w:jc w:val="both"/>
        <w:rPr>
          <w:rFonts w:ascii="Times New Roman" w:hAnsi="Times New Roman" w:cs="Times New Roman"/>
          <w:b/>
          <w:noProof/>
          <w:sz w:val="24"/>
          <w:szCs w:val="24"/>
        </w:rPr>
      </w:pPr>
      <w:bookmarkStart w:id="25" w:name="_Ref152839106"/>
      <w:r>
        <w:rPr>
          <w:rFonts w:ascii="Times New Roman" w:hAnsi="Times New Roman"/>
          <w:b/>
          <w:noProof/>
          <w:sz w:val="24"/>
          <w:u w:val="single"/>
        </w:rPr>
        <w:t>Recherche et innovation</w:t>
      </w:r>
    </w:p>
    <w:tbl>
      <w:tblPr>
        <w:tblW w:w="5025" w:type="pct"/>
        <w:tblLayout w:type="fixed"/>
        <w:tblCellMar>
          <w:left w:w="0" w:type="dxa"/>
          <w:right w:w="0" w:type="dxa"/>
        </w:tblCellMar>
        <w:tblLook w:val="01E0" w:firstRow="1" w:lastRow="1" w:firstColumn="1" w:lastColumn="1" w:noHBand="0" w:noVBand="0"/>
      </w:tblPr>
      <w:tblGrid>
        <w:gridCol w:w="2267"/>
        <w:gridCol w:w="47"/>
        <w:gridCol w:w="4154"/>
        <w:gridCol w:w="1029"/>
        <w:gridCol w:w="1910"/>
      </w:tblGrid>
      <w:tr w:rsidR="000A1C2B" w:rsidRPr="009859BA" w14:paraId="7100220E" w14:textId="77777777" w:rsidTr="00F34019">
        <w:trPr>
          <w:trHeight w:hRule="exact" w:val="603"/>
        </w:trPr>
        <w:tc>
          <w:tcPr>
            <w:tcW w:w="1205" w:type="pct"/>
            <w:tcBorders>
              <w:top w:val="single" w:sz="4" w:space="0" w:color="auto"/>
              <w:bottom w:val="single" w:sz="4" w:space="0" w:color="auto"/>
            </w:tcBorders>
            <w:shd w:val="clear" w:color="auto" w:fill="B8CCE4"/>
            <w:vAlign w:val="center"/>
          </w:tcPr>
          <w:bookmarkEnd w:id="25"/>
          <w:p w14:paraId="1FCA657D" w14:textId="77777777" w:rsidR="000A1C2B" w:rsidRPr="000A23DA" w:rsidRDefault="000A1C2B" w:rsidP="00CF77B2">
            <w:pPr>
              <w:widowControl w:val="0"/>
              <w:autoSpaceDE w:val="0"/>
              <w:autoSpaceDN w:val="0"/>
              <w:spacing w:after="60" w:line="275" w:lineRule="exact"/>
              <w:ind w:left="108" w:right="142"/>
              <w:rPr>
                <w:rFonts w:ascii="Times New Roman" w:eastAsia="Times New Roman" w:hAnsi="Times New Roman" w:cs="Times New Roman"/>
                <w:b/>
                <w:i/>
                <w:noProof/>
                <w:sz w:val="18"/>
                <w:szCs w:val="18"/>
              </w:rPr>
            </w:pPr>
            <w:r>
              <w:rPr>
                <w:rFonts w:ascii="Times New Roman" w:hAnsi="Times New Roman"/>
                <w:b/>
                <w:noProof/>
                <w:color w:val="003063"/>
                <w:sz w:val="18"/>
              </w:rPr>
              <w:t>ICP</w:t>
            </w:r>
          </w:p>
        </w:tc>
        <w:tc>
          <w:tcPr>
            <w:tcW w:w="2233" w:type="pct"/>
            <w:gridSpan w:val="2"/>
            <w:tcBorders>
              <w:top w:val="single" w:sz="4" w:space="0" w:color="auto"/>
              <w:bottom w:val="single" w:sz="4" w:space="0" w:color="auto"/>
            </w:tcBorders>
            <w:shd w:val="clear" w:color="auto" w:fill="B8CCE4"/>
            <w:vAlign w:val="center"/>
          </w:tcPr>
          <w:p w14:paraId="32A42B5A" w14:textId="77777777" w:rsidR="000A1C2B" w:rsidRPr="000A23DA" w:rsidRDefault="000A1C2B" w:rsidP="00CF77B2">
            <w:pPr>
              <w:widowControl w:val="0"/>
              <w:autoSpaceDE w:val="0"/>
              <w:autoSpaceDN w:val="0"/>
              <w:spacing w:after="60" w:line="275" w:lineRule="exact"/>
              <w:ind w:left="108" w:right="142"/>
              <w:rPr>
                <w:rFonts w:ascii="Times New Roman" w:eastAsia="Times New Roman" w:hAnsi="Times New Roman" w:cs="Times New Roman"/>
                <w:b/>
                <w:i/>
                <w:noProof/>
                <w:sz w:val="18"/>
                <w:szCs w:val="18"/>
              </w:rPr>
            </w:pPr>
            <w:r>
              <w:rPr>
                <w:rFonts w:ascii="Times New Roman" w:hAnsi="Times New Roman"/>
                <w:b/>
                <w:noProof/>
                <w:color w:val="003063"/>
                <w:sz w:val="18"/>
              </w:rPr>
              <w:t>Description</w:t>
            </w:r>
          </w:p>
        </w:tc>
        <w:tc>
          <w:tcPr>
            <w:tcW w:w="547" w:type="pct"/>
            <w:tcBorders>
              <w:top w:val="single" w:sz="4" w:space="0" w:color="auto"/>
              <w:bottom w:val="single" w:sz="4" w:space="0" w:color="auto"/>
            </w:tcBorders>
            <w:shd w:val="clear" w:color="auto" w:fill="B8CCE4"/>
            <w:vAlign w:val="center"/>
          </w:tcPr>
          <w:p w14:paraId="5F1FE559" w14:textId="77777777" w:rsidR="000A1C2B" w:rsidRPr="000A23DA" w:rsidRDefault="000A1C2B" w:rsidP="00CF77B2">
            <w:pPr>
              <w:widowControl w:val="0"/>
              <w:autoSpaceDE w:val="0"/>
              <w:autoSpaceDN w:val="0"/>
              <w:spacing w:after="60" w:line="275" w:lineRule="exact"/>
              <w:ind w:left="108" w:right="142"/>
              <w:rPr>
                <w:rFonts w:ascii="Times New Roman" w:eastAsia="Times New Roman" w:hAnsi="Times New Roman" w:cs="Times New Roman"/>
                <w:b/>
                <w:i/>
                <w:noProof/>
                <w:sz w:val="18"/>
                <w:szCs w:val="18"/>
              </w:rPr>
            </w:pPr>
            <w:r>
              <w:rPr>
                <w:rFonts w:ascii="Times New Roman" w:hAnsi="Times New Roman"/>
                <w:b/>
                <w:noProof/>
                <w:color w:val="003063"/>
                <w:sz w:val="18"/>
              </w:rPr>
              <w:t>Objectif</w:t>
            </w:r>
          </w:p>
        </w:tc>
        <w:tc>
          <w:tcPr>
            <w:tcW w:w="1015" w:type="pct"/>
            <w:tcBorders>
              <w:top w:val="single" w:sz="4" w:space="0" w:color="auto"/>
              <w:bottom w:val="single" w:sz="4" w:space="0" w:color="auto"/>
            </w:tcBorders>
            <w:shd w:val="clear" w:color="auto" w:fill="B8CCE4"/>
            <w:vAlign w:val="center"/>
          </w:tcPr>
          <w:p w14:paraId="65AE7660" w14:textId="1D1EF152" w:rsidR="000A1C2B" w:rsidRPr="000A23DA" w:rsidRDefault="000A1C2B" w:rsidP="00CF77B2">
            <w:pPr>
              <w:widowControl w:val="0"/>
              <w:autoSpaceDE w:val="0"/>
              <w:autoSpaceDN w:val="0"/>
              <w:spacing w:after="60" w:line="275" w:lineRule="exact"/>
              <w:ind w:left="108" w:right="142"/>
              <w:rPr>
                <w:rFonts w:ascii="Times New Roman" w:eastAsia="Times New Roman" w:hAnsi="Times New Roman" w:cs="Times New Roman"/>
                <w:b/>
                <w:i/>
                <w:noProof/>
                <w:sz w:val="18"/>
                <w:szCs w:val="18"/>
              </w:rPr>
            </w:pPr>
            <w:r>
              <w:rPr>
                <w:rFonts w:ascii="Times New Roman" w:hAnsi="Times New Roman"/>
                <w:b/>
                <w:noProof/>
                <w:sz w:val="18"/>
              </w:rPr>
              <w:t>Valeurs UE les plus récentes</w:t>
            </w:r>
            <w:r w:rsidR="000847DC">
              <w:rPr>
                <w:rStyle w:val="FootnoteReference"/>
                <w:rFonts w:ascii="Times New Roman" w:eastAsia="Palatino Linotype" w:hAnsi="Times New Roman" w:cs="Times New Roman"/>
                <w:b/>
                <w:bCs/>
                <w:noProof/>
                <w:color w:val="003063"/>
                <w:spacing w:val="26"/>
                <w:w w:val="90"/>
                <w:sz w:val="18"/>
                <w:szCs w:val="18"/>
                <w:lang w:val="en-US"/>
              </w:rPr>
              <w:footnoteReference w:id="47"/>
            </w:r>
          </w:p>
        </w:tc>
      </w:tr>
      <w:tr w:rsidR="000A1C2B" w:rsidRPr="009859BA" w14:paraId="7BF773C5" w14:textId="77777777" w:rsidTr="00CF77B2">
        <w:trPr>
          <w:trHeight w:val="732"/>
        </w:trPr>
        <w:tc>
          <w:tcPr>
            <w:tcW w:w="1230" w:type="pct"/>
            <w:gridSpan w:val="2"/>
            <w:tcBorders>
              <w:bottom w:val="single" w:sz="4" w:space="0" w:color="808080" w:themeColor="background1" w:themeShade="80"/>
            </w:tcBorders>
            <w:shd w:val="clear" w:color="auto" w:fill="D99594"/>
          </w:tcPr>
          <w:p w14:paraId="2D27637B" w14:textId="77777777" w:rsidR="000A1C2B" w:rsidRPr="000A23DA" w:rsidRDefault="000A1C2B" w:rsidP="00CF77B2">
            <w:pPr>
              <w:widowControl w:val="0"/>
              <w:autoSpaceDE w:val="0"/>
              <w:autoSpaceDN w:val="0"/>
              <w:spacing w:before="60" w:after="60" w:line="240" w:lineRule="auto"/>
              <w:ind w:left="108" w:right="136"/>
              <w:rPr>
                <w:rFonts w:ascii="Times New Roman" w:eastAsia="Times New Roman" w:hAnsi="Times New Roman" w:cs="Times New Roman"/>
                <w:noProof/>
                <w:sz w:val="18"/>
                <w:szCs w:val="18"/>
              </w:rPr>
            </w:pPr>
            <w:r>
              <w:rPr>
                <w:rFonts w:ascii="Times New Roman" w:hAnsi="Times New Roman"/>
                <w:noProof/>
                <w:sz w:val="18"/>
              </w:rPr>
              <w:t>ICP </w:t>
            </w:r>
            <w:r w:rsidRPr="00F3116B">
              <w:rPr>
                <w:rFonts w:ascii="Times New Roman" w:hAnsi="Times New Roman"/>
                <w:noProof/>
                <w:sz w:val="18"/>
              </w:rPr>
              <w:t>6</w:t>
            </w:r>
            <w:r>
              <w:rPr>
                <w:rFonts w:ascii="Times New Roman" w:hAnsi="Times New Roman"/>
                <w:noProof/>
                <w:sz w:val="18"/>
              </w:rPr>
              <w:t>: Dépenses de R&amp;D en pourcentage du PIB</w:t>
            </w:r>
          </w:p>
        </w:tc>
        <w:tc>
          <w:tcPr>
            <w:tcW w:w="2208" w:type="pct"/>
            <w:tcBorders>
              <w:bottom w:val="single" w:sz="4" w:space="0" w:color="808080" w:themeColor="background1" w:themeShade="80"/>
            </w:tcBorders>
            <w:shd w:val="clear" w:color="auto" w:fill="D99594"/>
          </w:tcPr>
          <w:p w14:paraId="5B202AD7" w14:textId="77777777" w:rsidR="000A1C2B" w:rsidRPr="000A23DA" w:rsidRDefault="000A1C2B" w:rsidP="00CF77B2">
            <w:pPr>
              <w:widowControl w:val="0"/>
              <w:autoSpaceDE w:val="0"/>
              <w:autoSpaceDN w:val="0"/>
              <w:spacing w:before="60" w:after="60" w:line="240" w:lineRule="auto"/>
              <w:ind w:left="107" w:right="139"/>
              <w:rPr>
                <w:rFonts w:ascii="Times New Roman" w:eastAsia="Times New Roman" w:hAnsi="Times New Roman" w:cs="Times New Roman"/>
                <w:noProof/>
                <w:sz w:val="18"/>
                <w:szCs w:val="18"/>
              </w:rPr>
            </w:pPr>
            <w:r>
              <w:rPr>
                <w:rFonts w:ascii="Times New Roman" w:hAnsi="Times New Roman"/>
                <w:noProof/>
                <w:sz w:val="18"/>
              </w:rPr>
              <w:t>Dépenses totales de R&amp;D (publiques et privées).</w:t>
            </w:r>
          </w:p>
        </w:tc>
        <w:tc>
          <w:tcPr>
            <w:tcW w:w="547" w:type="pct"/>
            <w:tcBorders>
              <w:bottom w:val="single" w:sz="4" w:space="0" w:color="808080" w:themeColor="background1" w:themeShade="80"/>
            </w:tcBorders>
            <w:shd w:val="clear" w:color="auto" w:fill="D99594"/>
          </w:tcPr>
          <w:p w14:paraId="7C186D0B" w14:textId="77777777" w:rsidR="000A1C2B" w:rsidRPr="000A23DA" w:rsidRDefault="000A1C2B" w:rsidP="00CF77B2">
            <w:pPr>
              <w:widowControl w:val="0"/>
              <w:autoSpaceDE w:val="0"/>
              <w:autoSpaceDN w:val="0"/>
              <w:spacing w:before="60" w:after="60" w:line="275" w:lineRule="exact"/>
              <w:ind w:left="107"/>
              <w:rPr>
                <w:rFonts w:ascii="Times New Roman" w:eastAsia="Times New Roman" w:hAnsi="Times New Roman" w:cs="Times New Roman"/>
                <w:noProof/>
                <w:sz w:val="18"/>
                <w:szCs w:val="18"/>
              </w:rPr>
            </w:pPr>
            <w:r>
              <w:rPr>
                <w:rFonts w:ascii="Times New Roman" w:hAnsi="Times New Roman"/>
                <w:noProof/>
                <w:sz w:val="18"/>
              </w:rPr>
              <w:t>&gt;</w:t>
            </w:r>
            <w:r w:rsidRPr="00F3116B">
              <w:rPr>
                <w:rFonts w:ascii="Times New Roman" w:hAnsi="Times New Roman"/>
                <w:noProof/>
                <w:sz w:val="18"/>
              </w:rPr>
              <w:t>3</w:t>
            </w:r>
            <w:r>
              <w:rPr>
                <w:rFonts w:ascii="Times New Roman" w:hAnsi="Times New Roman"/>
                <w:noProof/>
                <w:sz w:val="18"/>
              </w:rPr>
              <w:t>%</w:t>
            </w:r>
          </w:p>
          <w:p w14:paraId="501C3143" w14:textId="77777777" w:rsidR="000A1C2B" w:rsidRPr="000A23DA" w:rsidRDefault="000A1C2B" w:rsidP="00CF77B2">
            <w:pPr>
              <w:widowControl w:val="0"/>
              <w:autoSpaceDE w:val="0"/>
              <w:autoSpaceDN w:val="0"/>
              <w:spacing w:before="60" w:after="60" w:line="270" w:lineRule="atLeast"/>
              <w:ind w:left="107"/>
              <w:rPr>
                <w:rFonts w:ascii="Times New Roman" w:eastAsia="Times New Roman" w:hAnsi="Times New Roman" w:cs="Times New Roman"/>
                <w:noProof/>
                <w:sz w:val="18"/>
                <w:szCs w:val="18"/>
              </w:rPr>
            </w:pPr>
            <w:r>
              <w:rPr>
                <w:rFonts w:ascii="Times New Roman" w:hAnsi="Times New Roman"/>
                <w:noProof/>
                <w:sz w:val="18"/>
              </w:rPr>
              <w:t xml:space="preserve">après </w:t>
            </w:r>
            <w:r w:rsidRPr="00F3116B">
              <w:rPr>
                <w:rFonts w:ascii="Times New Roman" w:hAnsi="Times New Roman"/>
                <w:noProof/>
                <w:sz w:val="18"/>
              </w:rPr>
              <w:t>2030</w:t>
            </w:r>
          </w:p>
        </w:tc>
        <w:tc>
          <w:tcPr>
            <w:tcW w:w="1015" w:type="pct"/>
            <w:tcBorders>
              <w:bottom w:val="single" w:sz="4" w:space="0" w:color="808080" w:themeColor="background1" w:themeShade="80"/>
            </w:tcBorders>
            <w:shd w:val="clear" w:color="auto" w:fill="D99594"/>
          </w:tcPr>
          <w:p w14:paraId="649AB154" w14:textId="77777777" w:rsidR="000A1C2B" w:rsidRPr="000A23DA" w:rsidRDefault="000A1C2B" w:rsidP="00CF77B2">
            <w:pPr>
              <w:widowControl w:val="0"/>
              <w:autoSpaceDE w:val="0"/>
              <w:autoSpaceDN w:val="0"/>
              <w:spacing w:before="60" w:after="60" w:line="275" w:lineRule="exact"/>
              <w:ind w:left="107"/>
              <w:rPr>
                <w:rFonts w:ascii="Times New Roman" w:eastAsia="Times New Roman" w:hAnsi="Times New Roman" w:cs="Times New Roman"/>
                <w:noProof/>
                <w:sz w:val="18"/>
                <w:szCs w:val="18"/>
              </w:rPr>
            </w:pPr>
            <w:r w:rsidRPr="00F3116B">
              <w:rPr>
                <w:rFonts w:ascii="Times New Roman" w:hAnsi="Times New Roman"/>
                <w:noProof/>
                <w:sz w:val="18"/>
              </w:rPr>
              <w:t>2</w:t>
            </w:r>
            <w:r>
              <w:rPr>
                <w:rFonts w:ascii="Times New Roman" w:hAnsi="Times New Roman"/>
                <w:noProof/>
                <w:sz w:val="18"/>
              </w:rPr>
              <w:t>,</w:t>
            </w:r>
            <w:r w:rsidRPr="00F3116B">
              <w:rPr>
                <w:rFonts w:ascii="Times New Roman" w:hAnsi="Times New Roman"/>
                <w:noProof/>
                <w:sz w:val="18"/>
              </w:rPr>
              <w:t>2</w:t>
            </w:r>
            <w:r>
              <w:rPr>
                <w:rFonts w:ascii="Times New Roman" w:hAnsi="Times New Roman"/>
                <w:noProof/>
                <w:sz w:val="18"/>
              </w:rPr>
              <w:t>% (</w:t>
            </w:r>
            <w:r w:rsidRPr="00F3116B">
              <w:rPr>
                <w:rFonts w:ascii="Times New Roman" w:hAnsi="Times New Roman"/>
                <w:noProof/>
                <w:sz w:val="18"/>
              </w:rPr>
              <w:t>2021</w:t>
            </w:r>
            <w:r>
              <w:rPr>
                <w:rFonts w:ascii="Times New Roman" w:hAnsi="Times New Roman"/>
                <w:noProof/>
                <w:sz w:val="18"/>
              </w:rPr>
              <w:t>)</w:t>
            </w:r>
          </w:p>
          <w:p w14:paraId="1D91C320" w14:textId="77777777" w:rsidR="000A1C2B" w:rsidRPr="000A23DA" w:rsidRDefault="000A1C2B" w:rsidP="00CF77B2">
            <w:pPr>
              <w:widowControl w:val="0"/>
              <w:autoSpaceDE w:val="0"/>
              <w:autoSpaceDN w:val="0"/>
              <w:spacing w:before="60" w:after="60" w:line="240" w:lineRule="auto"/>
              <w:ind w:left="107"/>
              <w:rPr>
                <w:rFonts w:ascii="Times New Roman" w:eastAsia="Times New Roman" w:hAnsi="Times New Roman" w:cs="Times New Roman"/>
                <w:noProof/>
                <w:sz w:val="18"/>
                <w:szCs w:val="18"/>
              </w:rPr>
            </w:pPr>
            <w:r w:rsidRPr="00F3116B">
              <w:rPr>
                <w:rFonts w:ascii="Times New Roman" w:hAnsi="Times New Roman"/>
                <w:noProof/>
                <w:sz w:val="18"/>
              </w:rPr>
              <w:t>2</w:t>
            </w:r>
            <w:r>
              <w:rPr>
                <w:rFonts w:ascii="Times New Roman" w:hAnsi="Times New Roman"/>
                <w:noProof/>
                <w:sz w:val="18"/>
              </w:rPr>
              <w:t>,</w:t>
            </w:r>
            <w:r w:rsidRPr="00F3116B">
              <w:rPr>
                <w:rFonts w:ascii="Times New Roman" w:hAnsi="Times New Roman"/>
                <w:noProof/>
                <w:sz w:val="18"/>
              </w:rPr>
              <w:t>3</w:t>
            </w:r>
            <w:r>
              <w:rPr>
                <w:rFonts w:ascii="Times New Roman" w:hAnsi="Times New Roman"/>
                <w:noProof/>
                <w:sz w:val="18"/>
              </w:rPr>
              <w:t>% (</w:t>
            </w:r>
            <w:r w:rsidRPr="00F3116B">
              <w:rPr>
                <w:rFonts w:ascii="Times New Roman" w:hAnsi="Times New Roman"/>
                <w:noProof/>
                <w:sz w:val="18"/>
              </w:rPr>
              <w:t>2020</w:t>
            </w:r>
            <w:r>
              <w:rPr>
                <w:rFonts w:ascii="Times New Roman" w:hAnsi="Times New Roman"/>
                <w:noProof/>
                <w:sz w:val="18"/>
              </w:rPr>
              <w:t>)</w:t>
            </w:r>
          </w:p>
        </w:tc>
      </w:tr>
      <w:tr w:rsidR="000A1C2B" w:rsidRPr="009859BA" w14:paraId="3CD846E7" w14:textId="77777777" w:rsidTr="00CF77B2">
        <w:trPr>
          <w:trHeight w:val="802"/>
        </w:trPr>
        <w:tc>
          <w:tcPr>
            <w:tcW w:w="1230" w:type="pct"/>
            <w:gridSpan w:val="2"/>
            <w:tcBorders>
              <w:top w:val="single" w:sz="4" w:space="0" w:color="808080" w:themeColor="background1" w:themeShade="80"/>
              <w:bottom w:val="single" w:sz="4" w:space="0" w:color="auto"/>
            </w:tcBorders>
            <w:shd w:val="clear" w:color="auto" w:fill="F7F9B7"/>
          </w:tcPr>
          <w:p w14:paraId="5F2141E7" w14:textId="77777777" w:rsidR="000A1C2B" w:rsidRPr="000A23DA" w:rsidRDefault="000A1C2B" w:rsidP="00CF77B2">
            <w:pPr>
              <w:widowControl w:val="0"/>
              <w:autoSpaceDE w:val="0"/>
              <w:autoSpaceDN w:val="0"/>
              <w:spacing w:before="60" w:after="60" w:line="240" w:lineRule="auto"/>
              <w:ind w:left="107" w:right="138"/>
              <w:rPr>
                <w:rFonts w:ascii="Times New Roman" w:eastAsia="Times New Roman" w:hAnsi="Times New Roman" w:cs="Times New Roman"/>
                <w:noProof/>
                <w:sz w:val="18"/>
                <w:szCs w:val="18"/>
              </w:rPr>
            </w:pPr>
            <w:r>
              <w:rPr>
                <w:rFonts w:ascii="Times New Roman" w:hAnsi="Times New Roman"/>
                <w:noProof/>
                <w:sz w:val="18"/>
              </w:rPr>
              <w:t>ICP </w:t>
            </w:r>
            <w:r w:rsidRPr="00F3116B">
              <w:rPr>
                <w:rFonts w:ascii="Times New Roman" w:hAnsi="Times New Roman"/>
                <w:noProof/>
                <w:sz w:val="18"/>
              </w:rPr>
              <w:t>7</w:t>
            </w:r>
            <w:r>
              <w:rPr>
                <w:rFonts w:ascii="Times New Roman" w:hAnsi="Times New Roman"/>
                <w:noProof/>
                <w:sz w:val="18"/>
              </w:rPr>
              <w:t>: Nombre de demandes de brevet par million d’habitants</w:t>
            </w:r>
          </w:p>
        </w:tc>
        <w:tc>
          <w:tcPr>
            <w:tcW w:w="2208" w:type="pct"/>
            <w:tcBorders>
              <w:top w:val="single" w:sz="4" w:space="0" w:color="808080" w:themeColor="background1" w:themeShade="80"/>
              <w:bottom w:val="single" w:sz="4" w:space="0" w:color="auto"/>
            </w:tcBorders>
            <w:shd w:val="clear" w:color="auto" w:fill="F7F9B7"/>
          </w:tcPr>
          <w:p w14:paraId="19EA2625" w14:textId="77777777" w:rsidR="000A1C2B" w:rsidRPr="000A23DA" w:rsidRDefault="000A1C2B" w:rsidP="00CF77B2">
            <w:pPr>
              <w:widowControl w:val="0"/>
              <w:autoSpaceDE w:val="0"/>
              <w:autoSpaceDN w:val="0"/>
              <w:spacing w:before="60" w:after="60" w:line="240" w:lineRule="auto"/>
              <w:ind w:left="108" w:right="142"/>
              <w:rPr>
                <w:rFonts w:ascii="Times New Roman" w:eastAsia="Times New Roman" w:hAnsi="Times New Roman" w:cs="Times New Roman"/>
                <w:noProof/>
                <w:sz w:val="18"/>
                <w:szCs w:val="18"/>
              </w:rPr>
            </w:pPr>
            <w:r>
              <w:rPr>
                <w:rFonts w:ascii="Times New Roman" w:hAnsi="Times New Roman"/>
                <w:noProof/>
                <w:sz w:val="18"/>
              </w:rPr>
              <w:t>Les brevets reflètent la capacité d’une économie à exploiter les connaissances et indiquent l’avantage concurrentiel qui peut être obtenu grâce à l’innovation.</w:t>
            </w:r>
          </w:p>
        </w:tc>
        <w:tc>
          <w:tcPr>
            <w:tcW w:w="547" w:type="pct"/>
            <w:tcBorders>
              <w:top w:val="single" w:sz="4" w:space="0" w:color="808080" w:themeColor="background1" w:themeShade="80"/>
              <w:bottom w:val="single" w:sz="4" w:space="0" w:color="auto"/>
            </w:tcBorders>
            <w:shd w:val="clear" w:color="auto" w:fill="F7F9B7"/>
          </w:tcPr>
          <w:p w14:paraId="46C60A25" w14:textId="77777777" w:rsidR="000A1C2B" w:rsidRPr="000A23DA" w:rsidRDefault="000A1C2B" w:rsidP="00CF77B2">
            <w:pPr>
              <w:widowControl w:val="0"/>
              <w:autoSpaceDE w:val="0"/>
              <w:autoSpaceDN w:val="0"/>
              <w:spacing w:before="60" w:after="60" w:line="240" w:lineRule="auto"/>
              <w:ind w:left="107"/>
              <w:rPr>
                <w:rFonts w:ascii="Times New Roman" w:eastAsia="Times New Roman" w:hAnsi="Times New Roman" w:cs="Times New Roman"/>
                <w:noProof/>
                <w:sz w:val="18"/>
                <w:szCs w:val="18"/>
              </w:rPr>
            </w:pPr>
            <w:r>
              <w:rPr>
                <w:rFonts w:ascii="Times New Roman" w:hAnsi="Times New Roman"/>
                <w:noProof/>
                <w:sz w:val="18"/>
              </w:rPr>
              <w:t>Hausse</w:t>
            </w:r>
          </w:p>
        </w:tc>
        <w:tc>
          <w:tcPr>
            <w:tcW w:w="1015" w:type="pct"/>
            <w:tcBorders>
              <w:top w:val="single" w:sz="4" w:space="0" w:color="808080" w:themeColor="background1" w:themeShade="80"/>
              <w:bottom w:val="single" w:sz="4" w:space="0" w:color="auto"/>
            </w:tcBorders>
            <w:shd w:val="clear" w:color="auto" w:fill="F7F9B7"/>
          </w:tcPr>
          <w:p w14:paraId="368009D4" w14:textId="77777777" w:rsidR="000A1C2B" w:rsidRPr="000A23DA" w:rsidRDefault="000A1C2B" w:rsidP="00CF77B2">
            <w:pPr>
              <w:widowControl w:val="0"/>
              <w:autoSpaceDE w:val="0"/>
              <w:autoSpaceDN w:val="0"/>
              <w:spacing w:before="60" w:after="60" w:line="240" w:lineRule="auto"/>
              <w:ind w:left="107"/>
              <w:rPr>
                <w:rFonts w:ascii="Times New Roman" w:eastAsia="Times New Roman" w:hAnsi="Times New Roman" w:cs="Times New Roman"/>
                <w:noProof/>
                <w:sz w:val="18"/>
                <w:szCs w:val="18"/>
              </w:rPr>
            </w:pPr>
            <w:r>
              <w:rPr>
                <w:rFonts w:ascii="Times New Roman" w:hAnsi="Times New Roman"/>
                <w:noProof/>
                <w:sz w:val="18"/>
              </w:rPr>
              <w:t>OEB-UE :</w:t>
            </w:r>
          </w:p>
          <w:p w14:paraId="6905E26E" w14:textId="77777777" w:rsidR="000A1C2B" w:rsidRPr="000A23DA" w:rsidRDefault="000A1C2B" w:rsidP="00CF77B2">
            <w:pPr>
              <w:widowControl w:val="0"/>
              <w:autoSpaceDE w:val="0"/>
              <w:autoSpaceDN w:val="0"/>
              <w:spacing w:before="60" w:after="60" w:line="240" w:lineRule="auto"/>
              <w:ind w:left="107"/>
              <w:rPr>
                <w:rFonts w:ascii="Times New Roman" w:eastAsia="Times New Roman" w:hAnsi="Times New Roman" w:cs="Times New Roman"/>
                <w:noProof/>
                <w:sz w:val="18"/>
                <w:szCs w:val="18"/>
              </w:rPr>
            </w:pPr>
            <w:r w:rsidRPr="00F3116B">
              <w:rPr>
                <w:rFonts w:ascii="Times New Roman" w:hAnsi="Times New Roman"/>
                <w:noProof/>
                <w:sz w:val="18"/>
              </w:rPr>
              <w:t>151</w:t>
            </w:r>
            <w:r>
              <w:rPr>
                <w:rFonts w:ascii="Times New Roman" w:hAnsi="Times New Roman"/>
                <w:noProof/>
                <w:sz w:val="18"/>
              </w:rPr>
              <w:t>,</w:t>
            </w:r>
            <w:r w:rsidRPr="00F3116B">
              <w:rPr>
                <w:rFonts w:ascii="Times New Roman" w:hAnsi="Times New Roman"/>
                <w:noProof/>
                <w:sz w:val="18"/>
              </w:rPr>
              <w:t>1</w:t>
            </w:r>
            <w:r>
              <w:rPr>
                <w:rFonts w:ascii="Times New Roman" w:hAnsi="Times New Roman"/>
                <w:noProof/>
                <w:sz w:val="18"/>
              </w:rPr>
              <w:t xml:space="preserve"> (</w:t>
            </w:r>
            <w:r w:rsidRPr="00F3116B">
              <w:rPr>
                <w:rFonts w:ascii="Times New Roman" w:hAnsi="Times New Roman"/>
                <w:noProof/>
                <w:sz w:val="18"/>
              </w:rPr>
              <w:t>2022</w:t>
            </w:r>
            <w:r>
              <w:rPr>
                <w:rFonts w:ascii="Times New Roman" w:hAnsi="Times New Roman"/>
                <w:noProof/>
                <w:sz w:val="18"/>
              </w:rPr>
              <w:t>)</w:t>
            </w:r>
          </w:p>
          <w:p w14:paraId="21CC7CB1" w14:textId="77777777" w:rsidR="000A1C2B" w:rsidRPr="000A23DA" w:rsidRDefault="000A1C2B" w:rsidP="00CF77B2">
            <w:pPr>
              <w:widowControl w:val="0"/>
              <w:autoSpaceDE w:val="0"/>
              <w:autoSpaceDN w:val="0"/>
              <w:spacing w:before="60" w:after="60" w:line="240" w:lineRule="auto"/>
              <w:ind w:left="107"/>
              <w:rPr>
                <w:rFonts w:ascii="Times New Roman" w:eastAsia="Times New Roman" w:hAnsi="Times New Roman" w:cs="Times New Roman"/>
                <w:noProof/>
                <w:sz w:val="18"/>
                <w:szCs w:val="18"/>
              </w:rPr>
            </w:pPr>
            <w:r w:rsidRPr="00F3116B">
              <w:rPr>
                <w:rFonts w:ascii="Times New Roman" w:hAnsi="Times New Roman"/>
                <w:noProof/>
                <w:sz w:val="18"/>
              </w:rPr>
              <w:t>151</w:t>
            </w:r>
            <w:r>
              <w:rPr>
                <w:rFonts w:ascii="Times New Roman" w:hAnsi="Times New Roman"/>
                <w:noProof/>
                <w:sz w:val="18"/>
              </w:rPr>
              <w:t>,</w:t>
            </w:r>
            <w:r w:rsidRPr="00F3116B">
              <w:rPr>
                <w:rFonts w:ascii="Times New Roman" w:hAnsi="Times New Roman"/>
                <w:noProof/>
                <w:sz w:val="18"/>
              </w:rPr>
              <w:t>75</w:t>
            </w:r>
            <w:r>
              <w:rPr>
                <w:rFonts w:ascii="Times New Roman" w:hAnsi="Times New Roman"/>
                <w:noProof/>
                <w:sz w:val="18"/>
              </w:rPr>
              <w:t xml:space="preserve"> (</w:t>
            </w:r>
            <w:r w:rsidRPr="00F3116B">
              <w:rPr>
                <w:rFonts w:ascii="Times New Roman" w:hAnsi="Times New Roman"/>
                <w:noProof/>
                <w:sz w:val="18"/>
              </w:rPr>
              <w:t>2021</w:t>
            </w:r>
            <w:r>
              <w:rPr>
                <w:rFonts w:ascii="Times New Roman" w:hAnsi="Times New Roman"/>
                <w:noProof/>
                <w:sz w:val="18"/>
              </w:rPr>
              <w:t>)</w:t>
            </w:r>
          </w:p>
        </w:tc>
      </w:tr>
    </w:tbl>
    <w:p w14:paraId="609DABEA" w14:textId="77777777" w:rsidR="00C23CB1" w:rsidDel="00467AEF" w:rsidRDefault="00C23CB1" w:rsidP="00C23CB1">
      <w:pPr>
        <w:jc w:val="both"/>
        <w:rPr>
          <w:rFonts w:ascii="Times New Roman" w:hAnsi="Times New Roman" w:cs="Times New Roman"/>
          <w:noProof/>
          <w:color w:val="000000"/>
          <w:sz w:val="24"/>
          <w:szCs w:val="24"/>
          <w:shd w:val="clear" w:color="auto" w:fill="FFFFFF"/>
        </w:rPr>
      </w:pPr>
      <w:bookmarkStart w:id="26" w:name="_Hlk158103733"/>
      <w:r>
        <w:rPr>
          <w:rFonts w:ascii="Times New Roman" w:hAnsi="Times New Roman"/>
          <w:b/>
          <w:noProof/>
          <w:color w:val="000000"/>
          <w:sz w:val="24"/>
          <w:shd w:val="clear" w:color="auto" w:fill="FFFFFF"/>
        </w:rPr>
        <w:t xml:space="preserve">L’Europe est un vivier scientifique dont émane un cinquième des </w:t>
      </w:r>
      <w:r w:rsidRPr="00F3116B">
        <w:rPr>
          <w:rFonts w:ascii="Times New Roman" w:hAnsi="Times New Roman"/>
          <w:b/>
          <w:noProof/>
          <w:color w:val="000000"/>
          <w:sz w:val="24"/>
          <w:shd w:val="clear" w:color="auto" w:fill="FFFFFF"/>
        </w:rPr>
        <w:t>10</w:t>
      </w:r>
      <w:r>
        <w:rPr>
          <w:rFonts w:ascii="Times New Roman" w:hAnsi="Times New Roman"/>
          <w:b/>
          <w:noProof/>
          <w:color w:val="000000"/>
          <w:sz w:val="24"/>
          <w:shd w:val="clear" w:color="auto" w:fill="FFFFFF"/>
        </w:rPr>
        <w:t xml:space="preserve"> % de publications scientifiques les plus citées. </w:t>
      </w:r>
      <w:r>
        <w:rPr>
          <w:rFonts w:ascii="Times New Roman" w:hAnsi="Times New Roman"/>
          <w:b/>
          <w:noProof/>
          <w:sz w:val="24"/>
        </w:rPr>
        <w:t xml:space="preserve">Toutefois, cette performance ne se traduit pas toujours par un leadership commercial (voir ICP </w:t>
      </w:r>
      <w:r w:rsidRPr="00F3116B">
        <w:rPr>
          <w:rFonts w:ascii="Times New Roman" w:hAnsi="Times New Roman"/>
          <w:b/>
          <w:noProof/>
          <w:sz w:val="24"/>
        </w:rPr>
        <w:t>7</w:t>
      </w:r>
      <w:r>
        <w:rPr>
          <w:rFonts w:ascii="Times New Roman" w:hAnsi="Times New Roman"/>
          <w:b/>
          <w:noProof/>
          <w:sz w:val="24"/>
        </w:rPr>
        <w:t>), souvent à cause des difficultés que rencontrent les entreprises pour développer leurs activités commerciales dans l’UE.</w:t>
      </w:r>
      <w:r>
        <w:rPr>
          <w:rFonts w:ascii="Times New Roman" w:hAnsi="Times New Roman"/>
          <w:noProof/>
          <w:color w:val="000000"/>
          <w:sz w:val="24"/>
          <w:shd w:val="clear" w:color="auto" w:fill="FFFFFF"/>
        </w:rPr>
        <w:t xml:space="preserve"> </w:t>
      </w:r>
      <w:r>
        <w:rPr>
          <w:rFonts w:ascii="Times New Roman" w:hAnsi="Times New Roman"/>
          <w:b/>
          <w:noProof/>
          <w:color w:val="000000"/>
          <w:sz w:val="24"/>
          <w:shd w:val="clear" w:color="auto" w:fill="FFFFFF"/>
        </w:rPr>
        <w:t>Des efforts supplémentaires sont nécessaires pour combler le fossé entre le laboratoire et la fabrication en Europe, à l’instar de ce que le règlement européen sur les semi-conducteurs prévoit dans le domaine des semi-conducteurs , en facilitant la collaboration en matière de recherche et en fournissant un soutien dans le cadre d’Horizon Europe ou du programme pour une Europe numérique.</w:t>
      </w:r>
      <w:r>
        <w:rPr>
          <w:rFonts w:ascii="Times New Roman" w:hAnsi="Times New Roman"/>
          <w:noProof/>
          <w:color w:val="000000"/>
          <w:sz w:val="24"/>
          <w:shd w:val="clear" w:color="auto" w:fill="FFFFFF"/>
        </w:rPr>
        <w:t xml:space="preserve"> </w:t>
      </w:r>
    </w:p>
    <w:bookmarkEnd w:id="26"/>
    <w:p w14:paraId="1BD92D37" w14:textId="77777777" w:rsidR="00C23CB1" w:rsidRPr="00DE58EB" w:rsidRDefault="00C23CB1" w:rsidP="00C23CB1">
      <w:pPr>
        <w:jc w:val="both"/>
        <w:rPr>
          <w:rFonts w:ascii="Times New Roman" w:hAnsi="Times New Roman" w:cs="Times New Roman"/>
          <w:noProof/>
          <w:color w:val="000000"/>
          <w:sz w:val="24"/>
          <w:szCs w:val="24"/>
          <w:shd w:val="clear" w:color="auto" w:fill="FFFFFF"/>
        </w:rPr>
      </w:pPr>
      <w:r>
        <w:rPr>
          <w:rFonts w:ascii="Times New Roman" w:hAnsi="Times New Roman"/>
          <w:noProof/>
          <w:color w:val="000000"/>
          <w:sz w:val="24"/>
          <w:shd w:val="clear" w:color="auto" w:fill="FFFFFF"/>
        </w:rPr>
        <w:t xml:space="preserve">L’innovation est au cœur d’une économie prospère et compétitive et le tableau de bord européen de l’innovation </w:t>
      </w:r>
      <w:r w:rsidRPr="00F3116B">
        <w:rPr>
          <w:rFonts w:ascii="Times New Roman" w:hAnsi="Times New Roman"/>
          <w:noProof/>
          <w:color w:val="000000"/>
          <w:sz w:val="24"/>
          <w:shd w:val="clear" w:color="auto" w:fill="FFFFFF"/>
        </w:rPr>
        <w:t>2023</w:t>
      </w:r>
      <w:r>
        <w:rPr>
          <w:rStyle w:val="FootnoteReference"/>
          <w:rFonts w:ascii="Times New Roman" w:hAnsi="Times New Roman" w:cs="Times New Roman"/>
          <w:noProof/>
          <w:color w:val="000000"/>
          <w:sz w:val="24"/>
          <w:szCs w:val="24"/>
          <w:shd w:val="clear" w:color="auto" w:fill="FFFFFF"/>
          <w:lang w:val="en-IE"/>
        </w:rPr>
        <w:footnoteReference w:id="48"/>
      </w:r>
      <w:r>
        <w:rPr>
          <w:rFonts w:ascii="Times New Roman" w:hAnsi="Times New Roman"/>
          <w:noProof/>
          <w:color w:val="000000"/>
          <w:sz w:val="24"/>
          <w:shd w:val="clear" w:color="auto" w:fill="FFFFFF"/>
        </w:rPr>
        <w:t xml:space="preserve"> met en évidence une amélioration des résultats de l’UE en matière d’innovation dans toute l’Europe.</w:t>
      </w:r>
    </w:p>
    <w:p w14:paraId="75A85E76" w14:textId="35EA7DB6" w:rsidR="00C23CB1" w:rsidRDefault="00C23CB1" w:rsidP="00C23CB1">
      <w:pPr>
        <w:jc w:val="both"/>
        <w:rPr>
          <w:rFonts w:ascii="Times New Roman" w:hAnsi="Times New Roman" w:cs="Times New Roman"/>
          <w:noProof/>
          <w:color w:val="000000"/>
          <w:sz w:val="24"/>
          <w:szCs w:val="24"/>
          <w:shd w:val="clear" w:color="auto" w:fill="FFFFFF"/>
        </w:rPr>
      </w:pPr>
      <w:r>
        <w:rPr>
          <w:rFonts w:ascii="Times New Roman" w:hAnsi="Times New Roman"/>
          <w:noProof/>
          <w:sz w:val="24"/>
        </w:rPr>
        <w:t xml:space="preserve">Les </w:t>
      </w:r>
      <w:r>
        <w:rPr>
          <w:rFonts w:ascii="Times New Roman" w:hAnsi="Times New Roman"/>
          <w:b/>
          <w:bCs/>
          <w:noProof/>
          <w:sz w:val="24"/>
        </w:rPr>
        <w:t>investissements de l’UE en R&amp;I</w:t>
      </w:r>
      <w:r>
        <w:rPr>
          <w:rFonts w:ascii="Times New Roman" w:hAnsi="Times New Roman"/>
          <w:noProof/>
          <w:sz w:val="24"/>
        </w:rPr>
        <w:t xml:space="preserve"> sont passés de </w:t>
      </w:r>
      <w:r w:rsidRPr="00F3116B">
        <w:rPr>
          <w:rFonts w:ascii="Times New Roman" w:hAnsi="Times New Roman"/>
          <w:noProof/>
          <w:sz w:val="24"/>
        </w:rPr>
        <w:t>1</w:t>
      </w:r>
      <w:r>
        <w:rPr>
          <w:rFonts w:ascii="Times New Roman" w:hAnsi="Times New Roman"/>
          <w:noProof/>
          <w:sz w:val="24"/>
        </w:rPr>
        <w:t>,</w:t>
      </w:r>
      <w:r w:rsidRPr="00F3116B">
        <w:rPr>
          <w:rFonts w:ascii="Times New Roman" w:hAnsi="Times New Roman"/>
          <w:noProof/>
          <w:sz w:val="24"/>
        </w:rPr>
        <w:t>8</w:t>
      </w:r>
      <w:r>
        <w:rPr>
          <w:rFonts w:ascii="Times New Roman" w:hAnsi="Times New Roman"/>
          <w:noProof/>
          <w:sz w:val="24"/>
        </w:rPr>
        <w:t xml:space="preserve"> % du PIB à </w:t>
      </w:r>
      <w:r w:rsidRPr="00F3116B">
        <w:rPr>
          <w:rFonts w:ascii="Times New Roman" w:hAnsi="Times New Roman"/>
          <w:noProof/>
          <w:sz w:val="24"/>
        </w:rPr>
        <w:t>2</w:t>
      </w:r>
      <w:r>
        <w:rPr>
          <w:rFonts w:ascii="Times New Roman" w:hAnsi="Times New Roman"/>
          <w:noProof/>
          <w:sz w:val="24"/>
        </w:rPr>
        <w:t>,</w:t>
      </w:r>
      <w:r w:rsidRPr="00F3116B">
        <w:rPr>
          <w:rFonts w:ascii="Times New Roman" w:hAnsi="Times New Roman"/>
          <w:noProof/>
          <w:sz w:val="24"/>
        </w:rPr>
        <w:t>2</w:t>
      </w:r>
      <w:r>
        <w:rPr>
          <w:rFonts w:ascii="Times New Roman" w:hAnsi="Times New Roman"/>
          <w:noProof/>
          <w:sz w:val="24"/>
        </w:rPr>
        <w:t xml:space="preserve"> % en vingt ans (voir KPI </w:t>
      </w:r>
      <w:r w:rsidRPr="00F3116B">
        <w:rPr>
          <w:rFonts w:ascii="Times New Roman" w:hAnsi="Times New Roman"/>
          <w:noProof/>
          <w:sz w:val="24"/>
        </w:rPr>
        <w:t>6</w:t>
      </w:r>
      <w:r>
        <w:rPr>
          <w:rFonts w:ascii="Times New Roman" w:hAnsi="Times New Roman"/>
          <w:noProof/>
          <w:sz w:val="24"/>
        </w:rPr>
        <w:t xml:space="preserve">) mais ont diminué en glissement annuel et restent inférieurs à l’objectif de </w:t>
      </w:r>
      <w:r w:rsidRPr="00F3116B">
        <w:rPr>
          <w:rFonts w:ascii="Times New Roman" w:hAnsi="Times New Roman"/>
          <w:noProof/>
          <w:sz w:val="24"/>
        </w:rPr>
        <w:t>3</w:t>
      </w:r>
      <w:r>
        <w:rPr>
          <w:rFonts w:ascii="Times New Roman" w:hAnsi="Times New Roman"/>
          <w:noProof/>
          <w:sz w:val="24"/>
        </w:rPr>
        <w:t xml:space="preserve"> %</w:t>
      </w:r>
      <w:r>
        <w:rPr>
          <w:rStyle w:val="FootnoteReference"/>
          <w:rFonts w:ascii="Times New Roman" w:hAnsi="Times New Roman" w:cs="Times New Roman"/>
          <w:noProof/>
          <w:color w:val="000000"/>
          <w:sz w:val="24"/>
          <w:szCs w:val="24"/>
          <w:shd w:val="clear" w:color="auto" w:fill="FFFFFF"/>
          <w:lang w:val="en-IE"/>
        </w:rPr>
        <w:footnoteReference w:id="49"/>
      </w:r>
      <w:r>
        <w:rPr>
          <w:rFonts w:ascii="Times New Roman" w:hAnsi="Times New Roman"/>
          <w:noProof/>
          <w:sz w:val="24"/>
        </w:rPr>
        <w:t>; ils sont inégalement répartis entre les régions et les États membres.</w:t>
      </w:r>
      <w:r>
        <w:rPr>
          <w:rFonts w:ascii="Times New Roman" w:hAnsi="Times New Roman"/>
          <w:noProof/>
          <w:color w:val="000000"/>
          <w:sz w:val="24"/>
          <w:shd w:val="clear" w:color="auto" w:fill="FFFFFF"/>
        </w:rPr>
        <w:t xml:space="preserve"> </w:t>
      </w:r>
      <w:r>
        <w:rPr>
          <w:rFonts w:ascii="Times New Roman" w:hAnsi="Times New Roman"/>
          <w:noProof/>
          <w:sz w:val="24"/>
        </w:rPr>
        <w:t>Les investissements en R&amp;I restent inférieurs à ceux des États-Unis (</w:t>
      </w:r>
      <w:r w:rsidRPr="00F3116B">
        <w:rPr>
          <w:rFonts w:ascii="Times New Roman" w:hAnsi="Times New Roman"/>
          <w:noProof/>
          <w:sz w:val="24"/>
        </w:rPr>
        <w:t>3</w:t>
      </w:r>
      <w:r>
        <w:rPr>
          <w:rFonts w:ascii="Times New Roman" w:hAnsi="Times New Roman"/>
          <w:noProof/>
          <w:sz w:val="24"/>
        </w:rPr>
        <w:t>,</w:t>
      </w:r>
      <w:r w:rsidRPr="00F3116B">
        <w:rPr>
          <w:rFonts w:ascii="Times New Roman" w:hAnsi="Times New Roman"/>
          <w:noProof/>
          <w:sz w:val="24"/>
        </w:rPr>
        <w:t>4</w:t>
      </w:r>
      <w:r>
        <w:rPr>
          <w:rFonts w:ascii="Times New Roman" w:hAnsi="Times New Roman"/>
          <w:noProof/>
          <w:sz w:val="24"/>
        </w:rPr>
        <w:t xml:space="preserve"> % du PIB)</w:t>
      </w:r>
      <w:r>
        <w:rPr>
          <w:rStyle w:val="FootnoteReference"/>
          <w:rFonts w:ascii="Times New Roman" w:hAnsi="Times New Roman" w:cs="Times New Roman"/>
          <w:noProof/>
          <w:color w:val="000000" w:themeColor="text1"/>
          <w:sz w:val="24"/>
          <w:szCs w:val="24"/>
          <w:lang w:val="en-IE"/>
        </w:rPr>
        <w:footnoteReference w:id="50"/>
      </w:r>
      <w:r>
        <w:rPr>
          <w:rFonts w:ascii="Times New Roman" w:hAnsi="Times New Roman"/>
          <w:noProof/>
          <w:sz w:val="24"/>
        </w:rPr>
        <w:t xml:space="preserve"> et de la Chine (</w:t>
      </w:r>
      <w:r w:rsidRPr="00F3116B">
        <w:rPr>
          <w:rFonts w:ascii="Times New Roman" w:hAnsi="Times New Roman"/>
          <w:noProof/>
          <w:sz w:val="24"/>
        </w:rPr>
        <w:t>2</w:t>
      </w:r>
      <w:r>
        <w:rPr>
          <w:rFonts w:ascii="Times New Roman" w:hAnsi="Times New Roman"/>
          <w:noProof/>
          <w:sz w:val="24"/>
        </w:rPr>
        <w:t>,</w:t>
      </w:r>
      <w:r w:rsidRPr="00F3116B">
        <w:rPr>
          <w:rFonts w:ascii="Times New Roman" w:hAnsi="Times New Roman"/>
          <w:noProof/>
          <w:sz w:val="24"/>
        </w:rPr>
        <w:t>4</w:t>
      </w:r>
      <w:r>
        <w:rPr>
          <w:rFonts w:ascii="Times New Roman" w:hAnsi="Times New Roman"/>
          <w:noProof/>
          <w:sz w:val="24"/>
        </w:rPr>
        <w:t xml:space="preserve"> %), notamment en raison du déficit de R&amp;I dans le secteur des entreprises</w:t>
      </w:r>
      <w:r>
        <w:rPr>
          <w:rStyle w:val="FootnoteReference"/>
          <w:rFonts w:ascii="Times New Roman" w:hAnsi="Times New Roman" w:cs="Times New Roman"/>
          <w:noProof/>
          <w:color w:val="000000"/>
          <w:sz w:val="24"/>
          <w:szCs w:val="24"/>
          <w:shd w:val="clear" w:color="auto" w:fill="FFFFFF"/>
          <w:lang w:val="en-IE"/>
        </w:rPr>
        <w:footnoteReference w:id="51"/>
      </w:r>
      <w:r>
        <w:rPr>
          <w:rFonts w:ascii="Times New Roman" w:hAnsi="Times New Roman"/>
          <w:noProof/>
          <w:sz w:val="24"/>
        </w:rPr>
        <w:t xml:space="preserve"> et de la stagnation des investissements publics en R&amp;D.</w:t>
      </w:r>
      <w:r>
        <w:rPr>
          <w:rFonts w:ascii="Times New Roman" w:hAnsi="Times New Roman"/>
          <w:noProof/>
          <w:color w:val="000000" w:themeColor="text1"/>
          <w:sz w:val="24"/>
        </w:rPr>
        <w:t xml:space="preserve"> En outre, l’efficacité et l’incidence de ces investissements sont entravées par des défis structurels persistants dans plusieurs systèmes de R&amp;I, tels que les liens insuffisants entre le monde de la science et celui des entreprises.   </w:t>
      </w:r>
    </w:p>
    <w:p w14:paraId="573CB9A5" w14:textId="77777777" w:rsidR="00C23CB1" w:rsidRPr="00BA5BB9" w:rsidRDefault="00C23CB1" w:rsidP="00C23CB1">
      <w:pPr>
        <w:spacing w:line="254" w:lineRule="auto"/>
        <w:jc w:val="both"/>
        <w:rPr>
          <w:rFonts w:ascii="Times New Roman" w:hAnsi="Times New Roman" w:cs="Times New Roman"/>
          <w:noProof/>
          <w:color w:val="000000"/>
          <w:sz w:val="24"/>
          <w:szCs w:val="24"/>
          <w:shd w:val="clear" w:color="auto" w:fill="FFFFFF"/>
        </w:rPr>
      </w:pPr>
      <w:r>
        <w:rPr>
          <w:rFonts w:ascii="Times New Roman" w:hAnsi="Times New Roman"/>
          <w:noProof/>
          <w:color w:val="000000" w:themeColor="text1"/>
          <w:sz w:val="24"/>
        </w:rPr>
        <w:t xml:space="preserve">L’UE est un acteur mondial de premier plan dans le </w:t>
      </w:r>
      <w:r>
        <w:rPr>
          <w:rFonts w:ascii="Times New Roman" w:hAnsi="Times New Roman"/>
          <w:b/>
          <w:bCs/>
          <w:noProof/>
          <w:color w:val="000000" w:themeColor="text1"/>
          <w:sz w:val="24"/>
        </w:rPr>
        <w:t>développement de technologies</w:t>
      </w:r>
      <w:r>
        <w:rPr>
          <w:rFonts w:ascii="Times New Roman" w:hAnsi="Times New Roman"/>
          <w:noProof/>
          <w:color w:val="000000" w:themeColor="text1"/>
          <w:sz w:val="24"/>
        </w:rPr>
        <w:t xml:space="preserve"> combinant des innovations numériques et vertes, une grande partie des activités de l’UE en matière de brevets étant consacrée aux technologies liées au changement climatique</w:t>
      </w:r>
      <w:r>
        <w:rPr>
          <w:rStyle w:val="FootnoteReference"/>
          <w:rFonts w:ascii="Times New Roman" w:eastAsia="Times New Roman" w:hAnsi="Times New Roman" w:cs="Times New Roman"/>
          <w:noProof/>
          <w:color w:val="000000" w:themeColor="text1"/>
          <w:sz w:val="24"/>
          <w:szCs w:val="24"/>
          <w:lang w:val="en-IE"/>
        </w:rPr>
        <w:footnoteReference w:id="52"/>
      </w:r>
      <w:r>
        <w:rPr>
          <w:rFonts w:ascii="Times New Roman" w:hAnsi="Times New Roman"/>
          <w:noProof/>
          <w:color w:val="000000" w:themeColor="text1"/>
          <w:sz w:val="24"/>
        </w:rPr>
        <w:t xml:space="preserve">. </w:t>
      </w:r>
      <w:r>
        <w:rPr>
          <w:rFonts w:ascii="Times New Roman" w:hAnsi="Times New Roman"/>
          <w:noProof/>
          <w:color w:val="000000"/>
          <w:sz w:val="24"/>
          <w:shd w:val="clear" w:color="auto" w:fill="FFFFFF"/>
        </w:rPr>
        <w:t xml:space="preserve">Dans le domaine numérique uniquement, la part de l’UE était de </w:t>
      </w:r>
      <w:r w:rsidRPr="00F3116B">
        <w:rPr>
          <w:rFonts w:ascii="Times New Roman" w:hAnsi="Times New Roman"/>
          <w:noProof/>
          <w:color w:val="000000"/>
          <w:sz w:val="24"/>
          <w:shd w:val="clear" w:color="auto" w:fill="FFFFFF"/>
        </w:rPr>
        <w:t>20</w:t>
      </w:r>
      <w:r>
        <w:rPr>
          <w:rFonts w:ascii="Times New Roman" w:hAnsi="Times New Roman"/>
          <w:noProof/>
          <w:color w:val="000000"/>
          <w:sz w:val="24"/>
          <w:shd w:val="clear" w:color="auto" w:fill="FFFFFF"/>
        </w:rPr>
        <w:t xml:space="preserve"> % en </w:t>
      </w:r>
      <w:r w:rsidRPr="00F3116B">
        <w:rPr>
          <w:rFonts w:ascii="Times New Roman" w:hAnsi="Times New Roman"/>
          <w:noProof/>
          <w:color w:val="000000"/>
          <w:sz w:val="24"/>
          <w:shd w:val="clear" w:color="auto" w:fill="FFFFFF"/>
        </w:rPr>
        <w:t>2020</w:t>
      </w:r>
      <w:r>
        <w:rPr>
          <w:rFonts w:ascii="Times New Roman" w:hAnsi="Times New Roman"/>
          <w:noProof/>
          <w:color w:val="000000"/>
          <w:sz w:val="24"/>
          <w:shd w:val="clear" w:color="auto" w:fill="FFFFFF"/>
        </w:rPr>
        <w:t xml:space="preserve">, similaire à celle des États-Unis. </w:t>
      </w:r>
    </w:p>
    <w:p w14:paraId="1E90BC9B" w14:textId="19F9339F" w:rsidR="00D22484" w:rsidRPr="008D6217" w:rsidRDefault="00C23CB1" w:rsidP="00D22484">
      <w:pPr>
        <w:pStyle w:val="ListParagraph"/>
        <w:spacing w:before="120" w:after="120"/>
        <w:ind w:left="0"/>
        <w:jc w:val="both"/>
        <w:rPr>
          <w:rFonts w:ascii="Times New Roman" w:hAnsi="Times New Roman" w:cs="Times New Roman"/>
          <w:noProof/>
          <w:color w:val="000000"/>
          <w:sz w:val="24"/>
          <w:szCs w:val="24"/>
          <w:shd w:val="clear" w:color="auto" w:fill="FFFFFF"/>
        </w:rPr>
      </w:pPr>
      <w:r>
        <w:rPr>
          <w:rFonts w:ascii="Times New Roman" w:hAnsi="Times New Roman"/>
          <w:noProof/>
          <w:color w:val="000000"/>
          <w:sz w:val="24"/>
          <w:shd w:val="clear" w:color="auto" w:fill="FFFFFF"/>
        </w:rPr>
        <w:t xml:space="preserve">Afin de contribuer à combler le déficit du marché européen en matière de financement des entreprises en expansion, le Conseil européen de l’innovation (CEI) combine des subventions et des fonds propres pour soutenir les start-up et les entreprises en expansion à fort contenu technologique prometteuses. Plus de </w:t>
      </w:r>
      <w:r w:rsidRPr="00F3116B">
        <w:rPr>
          <w:rFonts w:ascii="Times New Roman" w:hAnsi="Times New Roman"/>
          <w:noProof/>
          <w:color w:val="000000"/>
          <w:sz w:val="24"/>
          <w:shd w:val="clear" w:color="auto" w:fill="FFFFFF"/>
        </w:rPr>
        <w:t>1</w:t>
      </w:r>
      <w:r>
        <w:rPr>
          <w:rFonts w:ascii="Times New Roman" w:hAnsi="Times New Roman"/>
          <w:noProof/>
          <w:color w:val="000000"/>
          <w:sz w:val="24"/>
          <w:shd w:val="clear" w:color="auto" w:fill="FFFFFF"/>
        </w:rPr>
        <w:t xml:space="preserve"> milliard d’euros d’investissements dans près de </w:t>
      </w:r>
      <w:r w:rsidRPr="00F3116B">
        <w:rPr>
          <w:rFonts w:ascii="Times New Roman" w:hAnsi="Times New Roman"/>
          <w:noProof/>
          <w:color w:val="000000"/>
          <w:sz w:val="24"/>
          <w:shd w:val="clear" w:color="auto" w:fill="FFFFFF"/>
        </w:rPr>
        <w:t>200</w:t>
      </w:r>
      <w:r>
        <w:rPr>
          <w:rFonts w:ascii="Times New Roman" w:hAnsi="Times New Roman"/>
          <w:noProof/>
          <w:color w:val="000000"/>
          <w:sz w:val="24"/>
          <w:shd w:val="clear" w:color="auto" w:fill="FFFFFF"/>
        </w:rPr>
        <w:t xml:space="preserve"> entreprises en expansion à fort contenu technologique ont déjà été approuvés. En outre, l’Institut européen d’innovation et de technologie a contribué à mobiliser </w:t>
      </w:r>
      <w:r w:rsidRPr="00F3116B">
        <w:rPr>
          <w:rFonts w:ascii="Times New Roman" w:hAnsi="Times New Roman"/>
          <w:noProof/>
          <w:color w:val="000000"/>
          <w:sz w:val="24"/>
          <w:shd w:val="clear" w:color="auto" w:fill="FFFFFF"/>
        </w:rPr>
        <w:t>7</w:t>
      </w:r>
      <w:r>
        <w:rPr>
          <w:rFonts w:ascii="Times New Roman" w:hAnsi="Times New Roman"/>
          <w:noProof/>
          <w:color w:val="000000"/>
          <w:sz w:val="24"/>
          <w:shd w:val="clear" w:color="auto" w:fill="FFFFFF"/>
        </w:rPr>
        <w:t>,</w:t>
      </w:r>
      <w:r w:rsidRPr="00F3116B">
        <w:rPr>
          <w:rFonts w:ascii="Times New Roman" w:hAnsi="Times New Roman"/>
          <w:noProof/>
          <w:color w:val="000000"/>
          <w:sz w:val="24"/>
          <w:shd w:val="clear" w:color="auto" w:fill="FFFFFF"/>
        </w:rPr>
        <w:t>3</w:t>
      </w:r>
      <w:r>
        <w:rPr>
          <w:rFonts w:ascii="Times New Roman" w:hAnsi="Times New Roman"/>
          <w:noProof/>
          <w:color w:val="000000"/>
          <w:sz w:val="24"/>
          <w:shd w:val="clear" w:color="auto" w:fill="FFFFFF"/>
        </w:rPr>
        <w:t> milliards d’euros supplémentaires d’investissements privés dans des start-up dans des secteurs stratégiques tels que les batteries, l’hydrogène ou la santé.</w:t>
      </w:r>
    </w:p>
    <w:p w14:paraId="238D6A05" w14:textId="083E0D0B" w:rsidR="00007772" w:rsidRDefault="00375A19" w:rsidP="00007772">
      <w:pPr>
        <w:jc w:val="both"/>
        <w:rPr>
          <w:rFonts w:ascii="Times New Roman" w:hAnsi="Times New Roman" w:cs="Times New Roman"/>
          <w:noProof/>
          <w:color w:val="000000"/>
          <w:sz w:val="24"/>
          <w:szCs w:val="24"/>
          <w:shd w:val="clear" w:color="auto" w:fill="FFFFFF"/>
        </w:rPr>
      </w:pPr>
      <w:r>
        <w:rPr>
          <w:rFonts w:ascii="Times New Roman" w:hAnsi="Times New Roman"/>
          <w:noProof/>
          <w:color w:val="000000"/>
          <w:sz w:val="24"/>
          <w:shd w:val="clear" w:color="auto" w:fill="FFFFFF"/>
        </w:rPr>
        <w:t xml:space="preserve"> Dans le cadre de la facilité pour la reprise et la résilience, les États membres mobilisent plus de </w:t>
      </w:r>
      <w:r w:rsidRPr="00F3116B">
        <w:rPr>
          <w:rFonts w:ascii="Times New Roman" w:hAnsi="Times New Roman"/>
          <w:noProof/>
          <w:color w:val="000000"/>
          <w:sz w:val="24"/>
          <w:shd w:val="clear" w:color="auto" w:fill="FFFFFF"/>
        </w:rPr>
        <w:t>47</w:t>
      </w:r>
      <w:r>
        <w:rPr>
          <w:rFonts w:ascii="Times New Roman" w:hAnsi="Times New Roman"/>
          <w:noProof/>
          <w:color w:val="000000"/>
          <w:sz w:val="24"/>
          <w:shd w:val="clear" w:color="auto" w:fill="FFFFFF"/>
        </w:rPr>
        <w:t xml:space="preserve"> milliards d’euros d’investissements en R&amp;I et introduiront des réformes dans leurs systèmes de R&amp;I, qui viennent s'ajouter aux </w:t>
      </w:r>
      <w:r w:rsidRPr="00F3116B">
        <w:rPr>
          <w:rFonts w:ascii="Times New Roman" w:hAnsi="Times New Roman"/>
          <w:noProof/>
          <w:color w:val="000000"/>
          <w:sz w:val="24"/>
          <w:shd w:val="clear" w:color="auto" w:fill="FFFFFF"/>
        </w:rPr>
        <w:t>35</w:t>
      </w:r>
      <w:r>
        <w:rPr>
          <w:rFonts w:ascii="Times New Roman" w:hAnsi="Times New Roman"/>
          <w:noProof/>
          <w:color w:val="000000"/>
          <w:sz w:val="24"/>
          <w:shd w:val="clear" w:color="auto" w:fill="FFFFFF"/>
        </w:rPr>
        <w:t xml:space="preserve"> milliards d’euros prévus dans le cadre de la politique de cohésion. </w:t>
      </w:r>
    </w:p>
    <w:p w14:paraId="3DD534A1" w14:textId="77777777" w:rsidR="00C23CB1" w:rsidRDefault="00C23CB1" w:rsidP="00C23CB1">
      <w:pPr>
        <w:jc w:val="both"/>
        <w:rPr>
          <w:rFonts w:ascii="Times New Roman" w:hAnsi="Times New Roman" w:cs="Times New Roman"/>
          <w:noProof/>
          <w:color w:val="000000"/>
          <w:sz w:val="24"/>
          <w:szCs w:val="24"/>
          <w:shd w:val="clear" w:color="auto" w:fill="FFFFFF"/>
        </w:rPr>
      </w:pPr>
      <w:bookmarkStart w:id="28" w:name="_Hlk152764322"/>
      <w:r>
        <w:rPr>
          <w:rFonts w:ascii="Times New Roman" w:hAnsi="Times New Roman"/>
          <w:noProof/>
          <w:color w:val="000000"/>
          <w:sz w:val="24"/>
          <w:shd w:val="clear" w:color="auto" w:fill="FFFFFF"/>
        </w:rPr>
        <w:t xml:space="preserve">Malgré tout, la croissance de la productivité totale des facteurs dans l’UE a atteint moins de la moitié de celle enregistrée aux États-Unis au cours des </w:t>
      </w:r>
      <w:r w:rsidRPr="00F3116B">
        <w:rPr>
          <w:rFonts w:ascii="Times New Roman" w:hAnsi="Times New Roman"/>
          <w:noProof/>
          <w:color w:val="000000"/>
          <w:sz w:val="24"/>
          <w:shd w:val="clear" w:color="auto" w:fill="FFFFFF"/>
        </w:rPr>
        <w:t>30</w:t>
      </w:r>
      <w:r>
        <w:rPr>
          <w:rFonts w:ascii="Times New Roman" w:hAnsi="Times New Roman"/>
          <w:noProof/>
          <w:color w:val="000000"/>
          <w:sz w:val="24"/>
          <w:shd w:val="clear" w:color="auto" w:fill="FFFFFF"/>
        </w:rPr>
        <w:t xml:space="preserve"> dernières années. Cette situation entraîne la nécessité de mettre encore davantage l’accent sur les technologies stratégiques (par exemple, les technologies propres, les substitutions de matières premières critiques, les technologies numériques, les matériaux avancés, les technologies de production avancées et propres), y compris celles à double usage. </w:t>
      </w:r>
    </w:p>
    <w:tbl>
      <w:tblPr>
        <w:tblStyle w:val="TableGrid"/>
        <w:tblW w:w="0" w:type="auto"/>
        <w:tblInd w:w="108" w:type="dxa"/>
        <w:tblLook w:val="04A0" w:firstRow="1" w:lastRow="0" w:firstColumn="1" w:lastColumn="0" w:noHBand="0" w:noVBand="1"/>
      </w:tblPr>
      <w:tblGrid>
        <w:gridCol w:w="9356"/>
      </w:tblGrid>
      <w:tr w:rsidR="00C23CB1" w14:paraId="569517BC" w14:textId="77777777" w:rsidTr="00DA1CDE">
        <w:tc>
          <w:tcPr>
            <w:tcW w:w="9356" w:type="dxa"/>
          </w:tcPr>
          <w:bookmarkEnd w:id="28"/>
          <w:p w14:paraId="3750E78B" w14:textId="77777777" w:rsidR="00C23CB1" w:rsidRPr="001A1EBE" w:rsidRDefault="00C23CB1" w:rsidP="00DA1CDE">
            <w:pPr>
              <w:keepNext/>
              <w:spacing w:before="120" w:after="120"/>
              <w:jc w:val="both"/>
              <w:rPr>
                <w:rFonts w:ascii="Times New Roman" w:hAnsi="Times New Roman" w:cs="Times New Roman"/>
                <w:noProof/>
                <w:sz w:val="24"/>
                <w:szCs w:val="24"/>
              </w:rPr>
            </w:pPr>
            <w:r>
              <w:rPr>
                <w:rFonts w:ascii="Times New Roman" w:hAnsi="Times New Roman"/>
                <w:noProof/>
                <w:color w:val="000000"/>
                <w:sz w:val="24"/>
                <w:shd w:val="clear" w:color="auto" w:fill="FFFFFF"/>
              </w:rPr>
              <w:t xml:space="preserve">Outre l’augmentation des investissements de l’UE dans la recherche et l’innovation, des mesures sont nécessaires pour donner la priorité aux efforts de recherche axés sur les besoins de compétitivité à long terme de l’UE et pour que les résultats de la recherche puissent se refléter dans les applications commerciales pratiques. </w:t>
            </w:r>
          </w:p>
          <w:p w14:paraId="35CF9E48" w14:textId="06CB0399" w:rsidR="00C23CB1" w:rsidRPr="00160344" w:rsidRDefault="00C23CB1" w:rsidP="00DA1CDE">
            <w:pPr>
              <w:jc w:val="both"/>
              <w:rPr>
                <w:rFonts w:ascii="Times New Roman" w:hAnsi="Times New Roman" w:cs="Times New Roman"/>
                <w:noProof/>
                <w:color w:val="000000"/>
                <w:sz w:val="24"/>
                <w:szCs w:val="24"/>
              </w:rPr>
            </w:pPr>
            <w:r>
              <w:rPr>
                <w:rFonts w:ascii="Times New Roman" w:hAnsi="Times New Roman"/>
                <w:noProof/>
                <w:color w:val="000000"/>
                <w:sz w:val="24"/>
              </w:rPr>
              <w:t xml:space="preserve">Des réformes sont nécessaires pour moderniser les systèmes de R&amp;I afin d’accroître l’effet des investissements dans la R&amp;I. Par exemple, le renforcement des liens entre les entreprises et les entités de recherche et l’amélioration des structures de soutien pour que l'industrie adopte les résultats de la R&amp;I peuvent faire un scénario d’activité prometteur. </w:t>
            </w:r>
          </w:p>
          <w:p w14:paraId="78F80160" w14:textId="77777777" w:rsidR="00C23CB1" w:rsidRPr="004847C3" w:rsidRDefault="00C23CB1" w:rsidP="00DA1CDE">
            <w:pPr>
              <w:ind w:left="284" w:hanging="229"/>
              <w:jc w:val="both"/>
              <w:rPr>
                <w:rFonts w:ascii="Times New Roman" w:hAnsi="Times New Roman" w:cs="Times New Roman"/>
                <w:noProof/>
                <w:sz w:val="24"/>
                <w:szCs w:val="24"/>
                <w:lang w:val="fr-BE"/>
              </w:rPr>
            </w:pPr>
          </w:p>
          <w:p w14:paraId="5D59BC2E" w14:textId="77777777" w:rsidR="00C23CB1" w:rsidRPr="00160344" w:rsidRDefault="00C23CB1" w:rsidP="00DA1CDE">
            <w:pPr>
              <w:jc w:val="both"/>
              <w:rPr>
                <w:rFonts w:ascii="Times New Roman" w:hAnsi="Times New Roman" w:cs="Times New Roman"/>
                <w:bCs/>
                <w:noProof/>
                <w:color w:val="000000"/>
                <w:sz w:val="24"/>
                <w:szCs w:val="24"/>
                <w:shd w:val="clear" w:color="auto" w:fill="FFFFFF"/>
              </w:rPr>
            </w:pPr>
            <w:r>
              <w:rPr>
                <w:rFonts w:ascii="Times New Roman" w:hAnsi="Times New Roman"/>
                <w:noProof/>
                <w:color w:val="000000"/>
                <w:sz w:val="24"/>
              </w:rPr>
              <w:t>Au niveau de l’UE, la Commission continuera d’élaborer et de mettre en œuvre des politiques axées sur la promotion des start-up et des entreprises en expansion innovantes à fort contenu technologique ou qui sont actives dans le secteur des technologies vertes, notamment en renforçant les capacités du Conseil européen de l’innovation.</w:t>
            </w:r>
          </w:p>
        </w:tc>
      </w:tr>
    </w:tbl>
    <w:p w14:paraId="30BC7E22" w14:textId="77777777" w:rsidR="00C23CB1" w:rsidRPr="00DF2D3C" w:rsidRDefault="00C23CB1" w:rsidP="00C23CB1">
      <w:pPr>
        <w:pStyle w:val="ListParagraph"/>
        <w:keepNext/>
        <w:numPr>
          <w:ilvl w:val="0"/>
          <w:numId w:val="2"/>
        </w:numPr>
        <w:spacing w:before="240"/>
        <w:ind w:left="357" w:hanging="357"/>
        <w:jc w:val="both"/>
        <w:rPr>
          <w:rFonts w:ascii="Times New Roman" w:hAnsi="Times New Roman" w:cs="Times New Roman"/>
          <w:b/>
          <w:bCs/>
          <w:noProof/>
          <w:sz w:val="24"/>
          <w:szCs w:val="24"/>
          <w:u w:val="single"/>
        </w:rPr>
      </w:pPr>
      <w:r>
        <w:rPr>
          <w:rFonts w:ascii="Times New Roman" w:hAnsi="Times New Roman"/>
          <w:b/>
          <w:noProof/>
          <w:sz w:val="24"/>
          <w:u w:val="single"/>
        </w:rPr>
        <w:t>Énergie</w:t>
      </w:r>
    </w:p>
    <w:p w14:paraId="4A3FBB56" w14:textId="77777777" w:rsidR="00C23CB1" w:rsidRPr="0029636A" w:rsidRDefault="00C23CB1" w:rsidP="00C23CB1">
      <w:pPr>
        <w:spacing w:after="0" w:line="240" w:lineRule="auto"/>
        <w:jc w:val="both"/>
        <w:rPr>
          <w:rFonts w:ascii="Times New Roman" w:hAnsi="Times New Roman" w:cs="Times New Roman"/>
          <w:b/>
          <w:noProof/>
          <w:sz w:val="18"/>
          <w:szCs w:val="18"/>
        </w:rPr>
      </w:pPr>
    </w:p>
    <w:tbl>
      <w:tblPr>
        <w:tblW w:w="5000" w:type="pct"/>
        <w:tblCellMar>
          <w:left w:w="0" w:type="dxa"/>
          <w:right w:w="0" w:type="dxa"/>
        </w:tblCellMar>
        <w:tblLook w:val="01E0" w:firstRow="1" w:lastRow="1" w:firstColumn="1" w:lastColumn="1" w:noHBand="0" w:noVBand="0"/>
      </w:tblPr>
      <w:tblGrid>
        <w:gridCol w:w="2335"/>
        <w:gridCol w:w="6"/>
        <w:gridCol w:w="3965"/>
        <w:gridCol w:w="1191"/>
        <w:gridCol w:w="1863"/>
      </w:tblGrid>
      <w:tr w:rsidR="00C23CB1" w:rsidRPr="0029636A" w14:paraId="68B27070" w14:textId="77777777" w:rsidTr="00F34019">
        <w:trPr>
          <w:trHeight w:hRule="exact" w:val="651"/>
        </w:trPr>
        <w:tc>
          <w:tcPr>
            <w:tcW w:w="1248" w:type="pct"/>
            <w:tcBorders>
              <w:top w:val="single" w:sz="4" w:space="0" w:color="auto"/>
              <w:bottom w:val="single" w:sz="4" w:space="0" w:color="auto"/>
            </w:tcBorders>
            <w:shd w:val="clear" w:color="auto" w:fill="B8CCE4"/>
            <w:vAlign w:val="center"/>
          </w:tcPr>
          <w:p w14:paraId="0A02BC0B" w14:textId="77777777" w:rsidR="00C23CB1" w:rsidRPr="0029636A" w:rsidRDefault="00C23CB1" w:rsidP="00DA1CDE">
            <w:pPr>
              <w:widowControl w:val="0"/>
              <w:autoSpaceDE w:val="0"/>
              <w:autoSpaceDN w:val="0"/>
              <w:spacing w:after="60" w:line="275" w:lineRule="exact"/>
              <w:ind w:left="108" w:right="136"/>
              <w:rPr>
                <w:rFonts w:ascii="Times New Roman" w:eastAsia="Times New Roman" w:hAnsi="Times New Roman" w:cs="Times New Roman"/>
                <w:b/>
                <w:i/>
                <w:noProof/>
                <w:sz w:val="18"/>
                <w:szCs w:val="18"/>
              </w:rPr>
            </w:pPr>
            <w:r>
              <w:rPr>
                <w:rFonts w:ascii="Times New Roman" w:hAnsi="Times New Roman"/>
                <w:b/>
                <w:noProof/>
                <w:color w:val="003063"/>
                <w:sz w:val="18"/>
              </w:rPr>
              <w:t>ICP</w:t>
            </w:r>
          </w:p>
        </w:tc>
        <w:tc>
          <w:tcPr>
            <w:tcW w:w="2121" w:type="pct"/>
            <w:gridSpan w:val="2"/>
            <w:tcBorders>
              <w:top w:val="single" w:sz="4" w:space="0" w:color="auto"/>
              <w:bottom w:val="single" w:sz="4" w:space="0" w:color="auto"/>
            </w:tcBorders>
            <w:shd w:val="clear" w:color="auto" w:fill="B8CCE4"/>
            <w:vAlign w:val="center"/>
          </w:tcPr>
          <w:p w14:paraId="25F4B7C2" w14:textId="77777777" w:rsidR="00C23CB1" w:rsidRPr="0029636A" w:rsidRDefault="00C23CB1" w:rsidP="00DA1CDE">
            <w:pPr>
              <w:widowControl w:val="0"/>
              <w:autoSpaceDE w:val="0"/>
              <w:autoSpaceDN w:val="0"/>
              <w:spacing w:after="60" w:line="275" w:lineRule="exact"/>
              <w:ind w:left="108" w:right="136"/>
              <w:rPr>
                <w:rFonts w:ascii="Times New Roman" w:eastAsia="Times New Roman" w:hAnsi="Times New Roman" w:cs="Times New Roman"/>
                <w:b/>
                <w:i/>
                <w:noProof/>
                <w:sz w:val="18"/>
                <w:szCs w:val="18"/>
              </w:rPr>
            </w:pPr>
            <w:r>
              <w:rPr>
                <w:rFonts w:ascii="Times New Roman" w:hAnsi="Times New Roman"/>
                <w:b/>
                <w:noProof/>
                <w:color w:val="003063"/>
                <w:sz w:val="18"/>
              </w:rPr>
              <w:t>Description</w:t>
            </w:r>
          </w:p>
        </w:tc>
        <w:tc>
          <w:tcPr>
            <w:tcW w:w="636" w:type="pct"/>
            <w:tcBorders>
              <w:top w:val="single" w:sz="4" w:space="0" w:color="auto"/>
              <w:bottom w:val="single" w:sz="4" w:space="0" w:color="auto"/>
            </w:tcBorders>
            <w:shd w:val="clear" w:color="auto" w:fill="B8CCE4"/>
            <w:vAlign w:val="center"/>
          </w:tcPr>
          <w:p w14:paraId="383A4513" w14:textId="77777777" w:rsidR="00C23CB1" w:rsidRPr="0029636A" w:rsidRDefault="00C23CB1" w:rsidP="00DA1CDE">
            <w:pPr>
              <w:widowControl w:val="0"/>
              <w:autoSpaceDE w:val="0"/>
              <w:autoSpaceDN w:val="0"/>
              <w:spacing w:after="60" w:line="275" w:lineRule="exact"/>
              <w:ind w:left="108" w:right="136"/>
              <w:rPr>
                <w:rFonts w:ascii="Times New Roman" w:eastAsia="Times New Roman" w:hAnsi="Times New Roman" w:cs="Times New Roman"/>
                <w:b/>
                <w:i/>
                <w:noProof/>
                <w:sz w:val="18"/>
                <w:szCs w:val="18"/>
              </w:rPr>
            </w:pPr>
            <w:r>
              <w:rPr>
                <w:rFonts w:ascii="Times New Roman" w:hAnsi="Times New Roman"/>
                <w:b/>
                <w:noProof/>
                <w:color w:val="003063"/>
                <w:sz w:val="18"/>
              </w:rPr>
              <w:t>Objectif</w:t>
            </w:r>
          </w:p>
        </w:tc>
        <w:tc>
          <w:tcPr>
            <w:tcW w:w="995" w:type="pct"/>
            <w:tcBorders>
              <w:top w:val="single" w:sz="4" w:space="0" w:color="auto"/>
              <w:bottom w:val="single" w:sz="4" w:space="0" w:color="auto"/>
            </w:tcBorders>
            <w:shd w:val="clear" w:color="auto" w:fill="B8CCE4"/>
            <w:vAlign w:val="center"/>
          </w:tcPr>
          <w:p w14:paraId="2E78BB33" w14:textId="77777777" w:rsidR="00C23CB1" w:rsidRPr="0029636A" w:rsidRDefault="00C23CB1" w:rsidP="00DA1CDE">
            <w:pPr>
              <w:widowControl w:val="0"/>
              <w:autoSpaceDE w:val="0"/>
              <w:autoSpaceDN w:val="0"/>
              <w:spacing w:after="60" w:line="275" w:lineRule="exact"/>
              <w:ind w:left="108" w:right="136"/>
              <w:rPr>
                <w:rFonts w:ascii="Times New Roman" w:eastAsia="Times New Roman" w:hAnsi="Times New Roman" w:cs="Times New Roman"/>
                <w:b/>
                <w:i/>
                <w:noProof/>
                <w:sz w:val="18"/>
                <w:szCs w:val="18"/>
              </w:rPr>
            </w:pPr>
            <w:r>
              <w:rPr>
                <w:rFonts w:ascii="Times New Roman" w:hAnsi="Times New Roman"/>
                <w:b/>
                <w:noProof/>
                <w:sz w:val="18"/>
              </w:rPr>
              <w:t>Valeurs UE les plus récentes</w:t>
            </w:r>
            <w:r w:rsidRPr="09C57C7C">
              <w:rPr>
                <w:rFonts w:ascii="Times New Roman" w:eastAsia="Palatino Linotype" w:hAnsi="Times New Roman" w:cs="Times New Roman"/>
                <w:b/>
                <w:bCs/>
                <w:noProof/>
                <w:color w:val="003063"/>
                <w:spacing w:val="26"/>
                <w:w w:val="90"/>
                <w:sz w:val="18"/>
                <w:szCs w:val="18"/>
                <w:vertAlign w:val="superscript"/>
                <w:lang w:val="en-US"/>
              </w:rPr>
              <w:footnoteReference w:id="53"/>
            </w:r>
          </w:p>
        </w:tc>
      </w:tr>
      <w:tr w:rsidR="00C23CB1" w:rsidRPr="0029636A" w14:paraId="42D5D9F7" w14:textId="77777777" w:rsidTr="00DA1CDE">
        <w:trPr>
          <w:trHeight w:val="864"/>
        </w:trPr>
        <w:tc>
          <w:tcPr>
            <w:tcW w:w="1251" w:type="pct"/>
            <w:gridSpan w:val="2"/>
            <w:tcBorders>
              <w:top w:val="single" w:sz="4" w:space="0" w:color="auto"/>
              <w:bottom w:val="single" w:sz="4" w:space="0" w:color="808080" w:themeColor="background1" w:themeShade="80"/>
            </w:tcBorders>
            <w:shd w:val="clear" w:color="auto" w:fill="C2D69B"/>
          </w:tcPr>
          <w:p w14:paraId="20905B85" w14:textId="77777777" w:rsidR="00C23CB1" w:rsidRPr="0029636A" w:rsidRDefault="00C23CB1" w:rsidP="00DA1CDE">
            <w:pPr>
              <w:widowControl w:val="0"/>
              <w:autoSpaceDE w:val="0"/>
              <w:autoSpaceDN w:val="0"/>
              <w:spacing w:before="60" w:after="60" w:line="240" w:lineRule="auto"/>
              <w:ind w:left="108" w:right="136"/>
              <w:rPr>
                <w:rFonts w:ascii="Times New Roman" w:eastAsia="Times New Roman" w:hAnsi="Times New Roman" w:cs="Times New Roman"/>
                <w:noProof/>
                <w:color w:val="111111"/>
                <w:sz w:val="18"/>
                <w:szCs w:val="18"/>
              </w:rPr>
            </w:pPr>
            <w:r>
              <w:rPr>
                <w:rFonts w:ascii="Times New Roman" w:hAnsi="Times New Roman"/>
                <w:noProof/>
                <w:color w:val="111111"/>
                <w:sz w:val="18"/>
              </w:rPr>
              <w:t>ICP </w:t>
            </w:r>
            <w:r w:rsidRPr="00F3116B">
              <w:rPr>
                <w:rFonts w:ascii="Times New Roman" w:hAnsi="Times New Roman"/>
                <w:noProof/>
                <w:color w:val="111111"/>
                <w:sz w:val="18"/>
              </w:rPr>
              <w:t>8</w:t>
            </w:r>
            <w:r>
              <w:rPr>
                <w:rFonts w:ascii="Times New Roman" w:hAnsi="Times New Roman"/>
                <w:noProof/>
                <w:color w:val="111111"/>
                <w:sz w:val="18"/>
              </w:rPr>
              <w:t>: Part de l'énergie provenant de sources renouvelables</w:t>
            </w:r>
          </w:p>
        </w:tc>
        <w:tc>
          <w:tcPr>
            <w:tcW w:w="2118" w:type="pct"/>
            <w:tcBorders>
              <w:top w:val="single" w:sz="4" w:space="0" w:color="auto"/>
              <w:bottom w:val="single" w:sz="4" w:space="0" w:color="808080" w:themeColor="background1" w:themeShade="80"/>
            </w:tcBorders>
            <w:shd w:val="clear" w:color="auto" w:fill="C2D69B"/>
          </w:tcPr>
          <w:p w14:paraId="5D13C732" w14:textId="77777777" w:rsidR="00C23CB1" w:rsidRPr="0029636A" w:rsidRDefault="00C23CB1" w:rsidP="00DA1CDE">
            <w:pPr>
              <w:widowControl w:val="0"/>
              <w:autoSpaceDE w:val="0"/>
              <w:autoSpaceDN w:val="0"/>
              <w:spacing w:before="60" w:after="60" w:line="240" w:lineRule="auto"/>
              <w:ind w:left="108" w:right="136"/>
              <w:rPr>
                <w:rFonts w:ascii="Times New Roman" w:eastAsia="Times New Roman" w:hAnsi="Times New Roman" w:cs="Times New Roman"/>
                <w:noProof/>
                <w:color w:val="111111"/>
                <w:sz w:val="18"/>
                <w:szCs w:val="18"/>
              </w:rPr>
            </w:pPr>
            <w:r>
              <w:rPr>
                <w:rFonts w:ascii="Times New Roman" w:hAnsi="Times New Roman"/>
                <w:noProof/>
                <w:color w:val="111111"/>
                <w:sz w:val="18"/>
              </w:rPr>
              <w:t>Production d’énergie renouvelable (telle que proposée pour la directive sur les énergies renouvelables).</w:t>
            </w:r>
          </w:p>
        </w:tc>
        <w:tc>
          <w:tcPr>
            <w:tcW w:w="636" w:type="pct"/>
            <w:tcBorders>
              <w:top w:val="single" w:sz="4" w:space="0" w:color="auto"/>
              <w:bottom w:val="single" w:sz="4" w:space="0" w:color="808080" w:themeColor="background1" w:themeShade="80"/>
            </w:tcBorders>
            <w:shd w:val="clear" w:color="auto" w:fill="C2D69B"/>
          </w:tcPr>
          <w:p w14:paraId="5ACDA6C0" w14:textId="77777777" w:rsidR="00C23CB1" w:rsidRPr="0029636A" w:rsidRDefault="00C23CB1" w:rsidP="00DA1CDE">
            <w:pPr>
              <w:widowControl w:val="0"/>
              <w:autoSpaceDE w:val="0"/>
              <w:autoSpaceDN w:val="0"/>
              <w:spacing w:before="60" w:after="60" w:line="240" w:lineRule="auto"/>
              <w:ind w:left="108" w:right="136"/>
              <w:rPr>
                <w:rFonts w:ascii="Times New Roman" w:eastAsia="Times New Roman" w:hAnsi="Times New Roman" w:cs="Times New Roman"/>
                <w:noProof/>
                <w:color w:val="111111"/>
                <w:sz w:val="18"/>
                <w:szCs w:val="18"/>
              </w:rPr>
            </w:pPr>
            <w:r w:rsidRPr="00F3116B">
              <w:rPr>
                <w:rFonts w:ascii="Times New Roman" w:hAnsi="Times New Roman"/>
                <w:noProof/>
                <w:color w:val="111111"/>
                <w:sz w:val="18"/>
              </w:rPr>
              <w:t>45</w:t>
            </w:r>
            <w:r>
              <w:rPr>
                <w:rFonts w:ascii="Times New Roman" w:hAnsi="Times New Roman"/>
                <w:noProof/>
                <w:color w:val="111111"/>
                <w:sz w:val="18"/>
              </w:rPr>
              <w:t> % en</w:t>
            </w:r>
          </w:p>
          <w:p w14:paraId="1E82E892" w14:textId="77777777" w:rsidR="00C23CB1" w:rsidRPr="0029636A" w:rsidRDefault="00C23CB1" w:rsidP="00DA1CDE">
            <w:pPr>
              <w:widowControl w:val="0"/>
              <w:autoSpaceDE w:val="0"/>
              <w:autoSpaceDN w:val="0"/>
              <w:spacing w:before="60" w:after="60" w:line="240" w:lineRule="auto"/>
              <w:ind w:left="108" w:right="136"/>
              <w:rPr>
                <w:rFonts w:ascii="Times New Roman" w:eastAsia="Times New Roman" w:hAnsi="Times New Roman" w:cs="Times New Roman"/>
                <w:noProof/>
                <w:color w:val="111111"/>
                <w:sz w:val="18"/>
                <w:szCs w:val="18"/>
              </w:rPr>
            </w:pPr>
            <w:r w:rsidRPr="00F3116B">
              <w:rPr>
                <w:rFonts w:ascii="Times New Roman" w:hAnsi="Times New Roman"/>
                <w:noProof/>
                <w:color w:val="111111"/>
                <w:sz w:val="18"/>
              </w:rPr>
              <w:t>2030</w:t>
            </w:r>
          </w:p>
        </w:tc>
        <w:tc>
          <w:tcPr>
            <w:tcW w:w="995" w:type="pct"/>
            <w:tcBorders>
              <w:top w:val="single" w:sz="4" w:space="0" w:color="auto"/>
              <w:bottom w:val="single" w:sz="4" w:space="0" w:color="808080" w:themeColor="background1" w:themeShade="80"/>
            </w:tcBorders>
            <w:shd w:val="clear" w:color="auto" w:fill="C2D69B"/>
          </w:tcPr>
          <w:p w14:paraId="1F20F432" w14:textId="77777777" w:rsidR="00C23CB1" w:rsidRPr="0029636A" w:rsidRDefault="00C23CB1" w:rsidP="00DA1CDE">
            <w:pPr>
              <w:widowControl w:val="0"/>
              <w:autoSpaceDE w:val="0"/>
              <w:autoSpaceDN w:val="0"/>
              <w:spacing w:before="60" w:after="60" w:line="240" w:lineRule="auto"/>
              <w:ind w:left="108" w:right="136"/>
              <w:rPr>
                <w:rFonts w:ascii="Times New Roman" w:eastAsia="Times New Roman" w:hAnsi="Times New Roman" w:cs="Times New Roman"/>
                <w:noProof/>
                <w:color w:val="111111"/>
                <w:sz w:val="18"/>
                <w:szCs w:val="18"/>
              </w:rPr>
            </w:pPr>
            <w:r w:rsidRPr="00F3116B">
              <w:rPr>
                <w:rFonts w:ascii="Times New Roman" w:hAnsi="Times New Roman"/>
                <w:noProof/>
                <w:color w:val="111111"/>
                <w:sz w:val="18"/>
              </w:rPr>
              <w:t>23</w:t>
            </w:r>
            <w:r>
              <w:rPr>
                <w:rFonts w:ascii="Times New Roman" w:hAnsi="Times New Roman"/>
                <w:noProof/>
                <w:color w:val="111111"/>
                <w:sz w:val="18"/>
              </w:rPr>
              <w:t>,</w:t>
            </w:r>
            <w:r w:rsidRPr="00F3116B">
              <w:rPr>
                <w:rFonts w:ascii="Times New Roman" w:hAnsi="Times New Roman"/>
                <w:noProof/>
                <w:color w:val="111111"/>
                <w:sz w:val="18"/>
              </w:rPr>
              <w:t>02</w:t>
            </w:r>
            <w:r>
              <w:rPr>
                <w:rFonts w:ascii="Times New Roman" w:hAnsi="Times New Roman"/>
                <w:noProof/>
                <w:color w:val="111111"/>
                <w:sz w:val="18"/>
              </w:rPr>
              <w:t>  %(</w:t>
            </w:r>
            <w:r w:rsidRPr="00F3116B">
              <w:rPr>
                <w:rFonts w:ascii="Times New Roman" w:hAnsi="Times New Roman"/>
                <w:noProof/>
                <w:color w:val="111111"/>
                <w:sz w:val="18"/>
              </w:rPr>
              <w:t>2022</w:t>
            </w:r>
            <w:r>
              <w:rPr>
                <w:rFonts w:ascii="Times New Roman" w:hAnsi="Times New Roman"/>
                <w:noProof/>
                <w:color w:val="111111"/>
                <w:sz w:val="18"/>
              </w:rPr>
              <w:t>)</w:t>
            </w:r>
          </w:p>
          <w:p w14:paraId="4E44DCC2" w14:textId="77777777" w:rsidR="00C23CB1" w:rsidRPr="0029636A" w:rsidRDefault="00C23CB1" w:rsidP="00DA1CDE">
            <w:pPr>
              <w:widowControl w:val="0"/>
              <w:autoSpaceDE w:val="0"/>
              <w:autoSpaceDN w:val="0"/>
              <w:spacing w:before="60" w:after="60" w:line="240" w:lineRule="auto"/>
              <w:ind w:left="108" w:right="136"/>
              <w:rPr>
                <w:rFonts w:ascii="Times New Roman" w:eastAsia="Times New Roman" w:hAnsi="Times New Roman" w:cs="Times New Roman"/>
                <w:noProof/>
                <w:color w:val="111111"/>
                <w:sz w:val="18"/>
                <w:szCs w:val="18"/>
              </w:rPr>
            </w:pPr>
            <w:r w:rsidRPr="00F3116B">
              <w:rPr>
                <w:rFonts w:ascii="Times New Roman" w:hAnsi="Times New Roman"/>
                <w:noProof/>
                <w:color w:val="111111"/>
                <w:sz w:val="18"/>
              </w:rPr>
              <w:t>21</w:t>
            </w:r>
            <w:r>
              <w:rPr>
                <w:rFonts w:ascii="Times New Roman" w:hAnsi="Times New Roman"/>
                <w:noProof/>
                <w:color w:val="111111"/>
                <w:sz w:val="18"/>
              </w:rPr>
              <w:t>,</w:t>
            </w:r>
            <w:r w:rsidRPr="00F3116B">
              <w:rPr>
                <w:rFonts w:ascii="Times New Roman" w:hAnsi="Times New Roman"/>
                <w:noProof/>
                <w:color w:val="111111"/>
                <w:sz w:val="18"/>
              </w:rPr>
              <w:t>77</w:t>
            </w:r>
            <w:r>
              <w:rPr>
                <w:rFonts w:ascii="Times New Roman" w:hAnsi="Times New Roman"/>
                <w:noProof/>
                <w:color w:val="111111"/>
                <w:sz w:val="18"/>
              </w:rPr>
              <w:t> % (</w:t>
            </w:r>
            <w:r w:rsidRPr="00F3116B">
              <w:rPr>
                <w:rFonts w:ascii="Times New Roman" w:hAnsi="Times New Roman"/>
                <w:noProof/>
                <w:color w:val="111111"/>
                <w:sz w:val="18"/>
              </w:rPr>
              <w:t>2021</w:t>
            </w:r>
            <w:r>
              <w:rPr>
                <w:rFonts w:ascii="Times New Roman" w:hAnsi="Times New Roman"/>
                <w:noProof/>
                <w:color w:val="111111"/>
                <w:sz w:val="18"/>
              </w:rPr>
              <w:t>)</w:t>
            </w:r>
          </w:p>
        </w:tc>
      </w:tr>
      <w:tr w:rsidR="00C23CB1" w:rsidRPr="0029636A" w14:paraId="6814C75B" w14:textId="77777777" w:rsidTr="00DA1CDE">
        <w:trPr>
          <w:trHeight w:val="274"/>
        </w:trPr>
        <w:tc>
          <w:tcPr>
            <w:tcW w:w="1251" w:type="pct"/>
            <w:gridSpan w:val="2"/>
            <w:tcBorders>
              <w:top w:val="single" w:sz="4" w:space="0" w:color="808080" w:themeColor="background1" w:themeShade="80"/>
              <w:bottom w:val="single" w:sz="4" w:space="0" w:color="auto"/>
            </w:tcBorders>
            <w:shd w:val="clear" w:color="auto" w:fill="D99594"/>
          </w:tcPr>
          <w:p w14:paraId="2117AA41" w14:textId="77777777" w:rsidR="00C23CB1" w:rsidRPr="0029636A" w:rsidRDefault="00C23CB1" w:rsidP="00DA1CDE">
            <w:pPr>
              <w:widowControl w:val="0"/>
              <w:autoSpaceDE w:val="0"/>
              <w:autoSpaceDN w:val="0"/>
              <w:spacing w:before="60" w:after="60" w:line="240" w:lineRule="auto"/>
              <w:ind w:left="108" w:right="136"/>
              <w:rPr>
                <w:rFonts w:ascii="Times New Roman" w:eastAsia="Times New Roman" w:hAnsi="Times New Roman" w:cs="Times New Roman"/>
                <w:noProof/>
                <w:sz w:val="18"/>
                <w:szCs w:val="18"/>
              </w:rPr>
            </w:pPr>
            <w:r>
              <w:rPr>
                <w:rFonts w:ascii="Times New Roman" w:hAnsi="Times New Roman"/>
                <w:noProof/>
                <w:sz w:val="18"/>
              </w:rPr>
              <w:t>ICP </w:t>
            </w:r>
            <w:r w:rsidRPr="00F3116B">
              <w:rPr>
                <w:rFonts w:ascii="Times New Roman" w:hAnsi="Times New Roman"/>
                <w:noProof/>
                <w:sz w:val="18"/>
              </w:rPr>
              <w:t>9</w:t>
            </w:r>
            <w:r>
              <w:rPr>
                <w:rFonts w:ascii="Times New Roman" w:hAnsi="Times New Roman"/>
                <w:noProof/>
                <w:sz w:val="18"/>
              </w:rPr>
              <w:t>: Prix de l'électricité pour les clients non résidentiels</w:t>
            </w:r>
          </w:p>
        </w:tc>
        <w:tc>
          <w:tcPr>
            <w:tcW w:w="2118" w:type="pct"/>
            <w:tcBorders>
              <w:top w:val="single" w:sz="4" w:space="0" w:color="808080" w:themeColor="background1" w:themeShade="80"/>
              <w:bottom w:val="single" w:sz="4" w:space="0" w:color="auto"/>
            </w:tcBorders>
            <w:shd w:val="clear" w:color="auto" w:fill="D99594"/>
          </w:tcPr>
          <w:p w14:paraId="23EB4B11" w14:textId="77777777" w:rsidR="00C23CB1" w:rsidRPr="0029636A" w:rsidRDefault="00C23CB1" w:rsidP="00DA1CDE">
            <w:pPr>
              <w:widowControl w:val="0"/>
              <w:autoSpaceDE w:val="0"/>
              <w:autoSpaceDN w:val="0"/>
              <w:spacing w:before="60" w:after="60" w:line="240" w:lineRule="auto"/>
              <w:ind w:left="108" w:right="136"/>
              <w:jc w:val="both"/>
              <w:rPr>
                <w:rFonts w:ascii="Times New Roman" w:eastAsia="Times New Roman" w:hAnsi="Times New Roman" w:cs="Times New Roman"/>
                <w:noProof/>
                <w:sz w:val="18"/>
                <w:szCs w:val="18"/>
              </w:rPr>
            </w:pPr>
            <w:r>
              <w:rPr>
                <w:rFonts w:ascii="Times New Roman" w:hAnsi="Times New Roman"/>
                <w:noProof/>
                <w:sz w:val="18"/>
              </w:rPr>
              <w:t>Le prix de l’électricité pour les consommateurs industriels (CI) constitue une bonne indication du caractère abordable de l’énergie.</w:t>
            </w:r>
          </w:p>
        </w:tc>
        <w:tc>
          <w:tcPr>
            <w:tcW w:w="636" w:type="pct"/>
            <w:tcBorders>
              <w:top w:val="single" w:sz="4" w:space="0" w:color="808080" w:themeColor="background1" w:themeShade="80"/>
              <w:bottom w:val="single" w:sz="4" w:space="0" w:color="auto"/>
            </w:tcBorders>
            <w:shd w:val="clear" w:color="auto" w:fill="D99594"/>
          </w:tcPr>
          <w:p w14:paraId="14ABA1A5" w14:textId="77777777" w:rsidR="00C23CB1" w:rsidRPr="0029636A" w:rsidRDefault="00C23CB1" w:rsidP="00DA1CDE">
            <w:pPr>
              <w:widowControl w:val="0"/>
              <w:autoSpaceDE w:val="0"/>
              <w:autoSpaceDN w:val="0"/>
              <w:spacing w:before="60" w:after="60" w:line="240" w:lineRule="auto"/>
              <w:ind w:left="108" w:right="136"/>
              <w:rPr>
                <w:rFonts w:ascii="Times New Roman" w:eastAsia="Times New Roman" w:hAnsi="Times New Roman" w:cs="Times New Roman"/>
                <w:noProof/>
                <w:sz w:val="18"/>
                <w:szCs w:val="18"/>
              </w:rPr>
            </w:pPr>
            <w:r>
              <w:rPr>
                <w:rFonts w:ascii="Times New Roman" w:hAnsi="Times New Roman"/>
                <w:noProof/>
                <w:sz w:val="18"/>
              </w:rPr>
              <w:t>Baisse suivie d’une stabilisation</w:t>
            </w:r>
          </w:p>
        </w:tc>
        <w:tc>
          <w:tcPr>
            <w:tcW w:w="995" w:type="pct"/>
            <w:tcBorders>
              <w:top w:val="single" w:sz="4" w:space="0" w:color="808080" w:themeColor="background1" w:themeShade="80"/>
              <w:bottom w:val="single" w:sz="4" w:space="0" w:color="auto"/>
            </w:tcBorders>
            <w:shd w:val="clear" w:color="auto" w:fill="D99594"/>
          </w:tcPr>
          <w:p w14:paraId="176501F3" w14:textId="77777777" w:rsidR="00C23CB1" w:rsidRPr="0029636A" w:rsidRDefault="00C23CB1" w:rsidP="00DA1CDE">
            <w:pPr>
              <w:widowControl w:val="0"/>
              <w:autoSpaceDE w:val="0"/>
              <w:autoSpaceDN w:val="0"/>
              <w:spacing w:before="60" w:after="60" w:line="240" w:lineRule="auto"/>
              <w:ind w:left="108" w:right="136"/>
              <w:rPr>
                <w:rFonts w:ascii="Times New Roman" w:eastAsia="Times New Roman" w:hAnsi="Times New Roman" w:cs="Times New Roman"/>
                <w:noProof/>
                <w:sz w:val="18"/>
                <w:szCs w:val="18"/>
              </w:rPr>
            </w:pPr>
            <w:r>
              <w:rPr>
                <w:rFonts w:ascii="Times New Roman" w:hAnsi="Times New Roman"/>
                <w:noProof/>
                <w:sz w:val="18"/>
              </w:rPr>
              <w:t>Fourchette CI de l’UE:</w:t>
            </w:r>
            <w:r w:rsidRPr="0029636A">
              <w:rPr>
                <w:rFonts w:ascii="Times New Roman" w:eastAsia="Times New Roman" w:hAnsi="Times New Roman" w:cs="Times New Roman"/>
                <w:noProof/>
                <w:sz w:val="18"/>
                <w:szCs w:val="18"/>
                <w:vertAlign w:val="superscript"/>
                <w:lang w:val="en-US"/>
              </w:rPr>
              <w:footnoteReference w:id="54"/>
            </w:r>
          </w:p>
          <w:p w14:paraId="190873F0" w14:textId="77777777" w:rsidR="00C23CB1" w:rsidRPr="0029636A" w:rsidRDefault="00C23CB1" w:rsidP="00DA1CDE">
            <w:pPr>
              <w:widowControl w:val="0"/>
              <w:autoSpaceDE w:val="0"/>
              <w:autoSpaceDN w:val="0"/>
              <w:spacing w:before="60" w:after="60" w:line="240" w:lineRule="auto"/>
              <w:ind w:left="108" w:right="136"/>
              <w:rPr>
                <w:rFonts w:ascii="Times New Roman" w:eastAsia="Times New Roman" w:hAnsi="Times New Roman" w:cs="Times New Roman"/>
                <w:noProof/>
                <w:sz w:val="18"/>
                <w:szCs w:val="18"/>
              </w:rPr>
            </w:pPr>
            <w:r w:rsidRPr="00F3116B">
              <w:rPr>
                <w:rFonts w:ascii="Times New Roman" w:hAnsi="Times New Roman"/>
                <w:noProof/>
                <w:sz w:val="18"/>
              </w:rPr>
              <w:t>0</w:t>
            </w:r>
            <w:r>
              <w:rPr>
                <w:rFonts w:ascii="Times New Roman" w:hAnsi="Times New Roman"/>
                <w:noProof/>
                <w:sz w:val="18"/>
              </w:rPr>
              <w:t>,</w:t>
            </w:r>
            <w:r w:rsidRPr="00F3116B">
              <w:rPr>
                <w:rFonts w:ascii="Times New Roman" w:hAnsi="Times New Roman"/>
                <w:noProof/>
                <w:sz w:val="18"/>
              </w:rPr>
              <w:t>21</w:t>
            </w:r>
            <w:r>
              <w:rPr>
                <w:rFonts w:ascii="Times New Roman" w:hAnsi="Times New Roman"/>
                <w:noProof/>
                <w:sz w:val="18"/>
              </w:rPr>
              <w:t> EUR par kWh (</w:t>
            </w:r>
            <w:r w:rsidRPr="00F3116B">
              <w:rPr>
                <w:rFonts w:ascii="Times New Roman" w:hAnsi="Times New Roman"/>
                <w:noProof/>
                <w:sz w:val="18"/>
              </w:rPr>
              <w:t>1</w:t>
            </w:r>
            <w:r>
              <w:rPr>
                <w:rFonts w:ascii="Times New Roman" w:hAnsi="Times New Roman"/>
                <w:noProof/>
                <w:sz w:val="18"/>
                <w:vertAlign w:val="superscript"/>
              </w:rPr>
              <w:t>er</w:t>
            </w:r>
            <w:r>
              <w:rPr>
                <w:rFonts w:ascii="Times New Roman" w:hAnsi="Times New Roman"/>
                <w:noProof/>
                <w:sz w:val="18"/>
              </w:rPr>
              <w:t xml:space="preserve"> semestre </w:t>
            </w:r>
            <w:r w:rsidRPr="00F3116B">
              <w:rPr>
                <w:rFonts w:ascii="Times New Roman" w:hAnsi="Times New Roman"/>
                <w:noProof/>
                <w:sz w:val="18"/>
              </w:rPr>
              <w:t>2023</w:t>
            </w:r>
            <w:r>
              <w:rPr>
                <w:rFonts w:ascii="Times New Roman" w:hAnsi="Times New Roman"/>
                <w:noProof/>
                <w:sz w:val="18"/>
              </w:rPr>
              <w:t>)</w:t>
            </w:r>
          </w:p>
          <w:p w14:paraId="74547B8D" w14:textId="77777777" w:rsidR="00C23CB1" w:rsidRPr="0029636A" w:rsidRDefault="00C23CB1" w:rsidP="00DA1CDE">
            <w:pPr>
              <w:widowControl w:val="0"/>
              <w:autoSpaceDE w:val="0"/>
              <w:autoSpaceDN w:val="0"/>
              <w:spacing w:before="60" w:after="60" w:line="240" w:lineRule="auto"/>
              <w:ind w:left="108" w:right="136"/>
              <w:rPr>
                <w:rFonts w:ascii="Times New Roman" w:eastAsia="Times New Roman" w:hAnsi="Times New Roman" w:cs="Times New Roman"/>
                <w:noProof/>
                <w:sz w:val="18"/>
                <w:szCs w:val="18"/>
              </w:rPr>
            </w:pPr>
            <w:r w:rsidRPr="00F3116B">
              <w:rPr>
                <w:rFonts w:ascii="Times New Roman" w:hAnsi="Times New Roman"/>
                <w:noProof/>
                <w:sz w:val="18"/>
              </w:rPr>
              <w:t>0</w:t>
            </w:r>
            <w:r>
              <w:rPr>
                <w:rFonts w:ascii="Times New Roman" w:hAnsi="Times New Roman"/>
                <w:noProof/>
                <w:sz w:val="18"/>
              </w:rPr>
              <w:t>,</w:t>
            </w:r>
            <w:r w:rsidRPr="00F3116B">
              <w:rPr>
                <w:rFonts w:ascii="Times New Roman" w:hAnsi="Times New Roman"/>
                <w:noProof/>
                <w:sz w:val="18"/>
              </w:rPr>
              <w:t>18</w:t>
            </w:r>
            <w:r>
              <w:rPr>
                <w:rFonts w:ascii="Times New Roman" w:hAnsi="Times New Roman"/>
                <w:noProof/>
                <w:sz w:val="18"/>
              </w:rPr>
              <w:t> EUR par kWh (</w:t>
            </w:r>
            <w:r w:rsidRPr="00F3116B">
              <w:rPr>
                <w:rFonts w:ascii="Times New Roman" w:hAnsi="Times New Roman"/>
                <w:noProof/>
                <w:sz w:val="18"/>
              </w:rPr>
              <w:t>1</w:t>
            </w:r>
            <w:r>
              <w:rPr>
                <w:rFonts w:ascii="Times New Roman" w:hAnsi="Times New Roman"/>
                <w:noProof/>
                <w:sz w:val="18"/>
                <w:vertAlign w:val="superscript"/>
              </w:rPr>
              <w:t>er</w:t>
            </w:r>
            <w:r>
              <w:rPr>
                <w:rFonts w:ascii="Times New Roman" w:hAnsi="Times New Roman"/>
                <w:noProof/>
                <w:sz w:val="18"/>
              </w:rPr>
              <w:t xml:space="preserve"> semestre </w:t>
            </w:r>
            <w:r w:rsidRPr="00F3116B">
              <w:rPr>
                <w:rFonts w:ascii="Times New Roman" w:hAnsi="Times New Roman"/>
                <w:noProof/>
                <w:sz w:val="18"/>
              </w:rPr>
              <w:t>2022</w:t>
            </w:r>
            <w:r>
              <w:rPr>
                <w:rFonts w:ascii="Times New Roman" w:hAnsi="Times New Roman"/>
                <w:noProof/>
                <w:sz w:val="18"/>
              </w:rPr>
              <w:t>)</w:t>
            </w:r>
          </w:p>
        </w:tc>
      </w:tr>
    </w:tbl>
    <w:p w14:paraId="0030E712" w14:textId="77777777" w:rsidR="00C23CB1" w:rsidRPr="0029636A" w:rsidRDefault="00C23CB1" w:rsidP="00C23CB1">
      <w:pPr>
        <w:spacing w:after="0" w:line="240" w:lineRule="auto"/>
        <w:jc w:val="both"/>
        <w:rPr>
          <w:rFonts w:ascii="Times New Roman" w:hAnsi="Times New Roman" w:cs="Times New Roman"/>
          <w:b/>
          <w:noProof/>
          <w:sz w:val="24"/>
          <w:szCs w:val="24"/>
        </w:rPr>
      </w:pPr>
    </w:p>
    <w:p w14:paraId="6F1D5E6D" w14:textId="2E81B8DB" w:rsidR="00C23CB1" w:rsidRPr="00E65EE5" w:rsidRDefault="00C23CB1" w:rsidP="00C23CB1">
      <w:pPr>
        <w:spacing w:before="120"/>
        <w:jc w:val="both"/>
        <w:rPr>
          <w:rFonts w:ascii="Times New Roman" w:hAnsi="Times New Roman" w:cs="Times New Roman"/>
          <w:b/>
          <w:bCs/>
          <w:noProof/>
          <w:sz w:val="24"/>
          <w:szCs w:val="24"/>
        </w:rPr>
      </w:pPr>
      <w:bookmarkStart w:id="31" w:name="_Hlk152245635"/>
      <w:r>
        <w:rPr>
          <w:rFonts w:ascii="Times New Roman" w:hAnsi="Times New Roman"/>
          <w:b/>
          <w:noProof/>
          <w:sz w:val="24"/>
        </w:rPr>
        <w:t xml:space="preserve">L’UE est à l’avant-garde de la transition mondiale vers un système énergétique décarboné. En </w:t>
      </w:r>
      <w:r w:rsidRPr="00F3116B">
        <w:rPr>
          <w:rFonts w:ascii="Times New Roman" w:hAnsi="Times New Roman"/>
          <w:b/>
          <w:noProof/>
          <w:sz w:val="24"/>
        </w:rPr>
        <w:t>2022</w:t>
      </w:r>
      <w:r>
        <w:rPr>
          <w:rFonts w:ascii="Times New Roman" w:hAnsi="Times New Roman"/>
          <w:b/>
          <w:noProof/>
          <w:sz w:val="24"/>
        </w:rPr>
        <w:t xml:space="preserve">, les émissions de gaz à effet de serre étaient inférieures de </w:t>
      </w:r>
      <w:r w:rsidRPr="00F3116B">
        <w:rPr>
          <w:rFonts w:ascii="Times New Roman" w:hAnsi="Times New Roman"/>
          <w:b/>
          <w:noProof/>
          <w:sz w:val="24"/>
        </w:rPr>
        <w:t>32</w:t>
      </w:r>
      <w:r>
        <w:rPr>
          <w:rFonts w:ascii="Times New Roman" w:hAnsi="Times New Roman"/>
          <w:b/>
          <w:noProof/>
          <w:sz w:val="24"/>
        </w:rPr>
        <w:t>,</w:t>
      </w:r>
      <w:r w:rsidRPr="00F3116B">
        <w:rPr>
          <w:rFonts w:ascii="Times New Roman" w:hAnsi="Times New Roman"/>
          <w:b/>
          <w:noProof/>
          <w:sz w:val="24"/>
        </w:rPr>
        <w:t>5</w:t>
      </w:r>
      <w:r>
        <w:rPr>
          <w:rFonts w:ascii="Times New Roman" w:hAnsi="Times New Roman"/>
          <w:b/>
          <w:noProof/>
          <w:sz w:val="24"/>
        </w:rPr>
        <w:t> %</w:t>
      </w:r>
      <w:r w:rsidRPr="09C57C7C">
        <w:rPr>
          <w:rStyle w:val="FootnoteReference"/>
          <w:rFonts w:ascii="Times New Roman" w:eastAsia="Calibri" w:hAnsi="Times New Roman" w:cs="Times New Roman"/>
          <w:b/>
          <w:bCs/>
          <w:noProof/>
          <w:sz w:val="24"/>
          <w:szCs w:val="24"/>
          <w:lang w:val="en-IE"/>
        </w:rPr>
        <w:footnoteReference w:id="55"/>
      </w:r>
      <w:r>
        <w:rPr>
          <w:rFonts w:ascii="Times New Roman" w:hAnsi="Times New Roman"/>
          <w:b/>
          <w:noProof/>
          <w:sz w:val="24"/>
        </w:rPr>
        <w:t xml:space="preserve"> à celles de </w:t>
      </w:r>
      <w:r w:rsidRPr="00F3116B">
        <w:rPr>
          <w:rFonts w:ascii="Times New Roman" w:hAnsi="Times New Roman"/>
          <w:b/>
          <w:noProof/>
          <w:sz w:val="24"/>
        </w:rPr>
        <w:t>1990</w:t>
      </w:r>
      <w:r>
        <w:rPr>
          <w:rFonts w:ascii="Times New Roman" w:hAnsi="Times New Roman"/>
          <w:b/>
          <w:noProof/>
          <w:sz w:val="24"/>
        </w:rPr>
        <w:t xml:space="preserve">, tandis que le PIB de l’UE a augmenté de </w:t>
      </w:r>
      <w:r w:rsidRPr="00F3116B">
        <w:rPr>
          <w:rFonts w:ascii="Times New Roman" w:hAnsi="Times New Roman"/>
          <w:b/>
          <w:noProof/>
          <w:sz w:val="24"/>
        </w:rPr>
        <w:t>67</w:t>
      </w:r>
      <w:r>
        <w:rPr>
          <w:rFonts w:ascii="Times New Roman" w:hAnsi="Times New Roman"/>
          <w:b/>
          <w:noProof/>
          <w:sz w:val="24"/>
        </w:rPr>
        <w:t> %. Dans le même temps, la guerre menée par la Russie en Ukraine a provoqué une crise énergétique qui a touché de manière significative les ménages et la compétitivité de l’industrie européenne. Bien que les prix de l’énergie aient à présent baissé, ils restent nettement supérieurs aux tendances à long terme précédentes et sont toujours plus élevés que dans les régions concurrentes. Des marchés intérieurs de l’énergie plus interconnectés et plus intégrés contribueront à garantir l’accès à une énergie abordable, abondante, fiable et décarbonée.</w:t>
      </w:r>
      <w:r>
        <w:rPr>
          <w:rFonts w:ascii="Times New Roman" w:hAnsi="Times New Roman"/>
          <w:noProof/>
          <w:sz w:val="24"/>
        </w:rPr>
        <w:t xml:space="preserve"> </w:t>
      </w:r>
    </w:p>
    <w:p w14:paraId="54BC60FA" w14:textId="77777777" w:rsidR="00C23CB1" w:rsidRPr="00E65EE5" w:rsidRDefault="00C23CB1" w:rsidP="00C23CB1">
      <w:pPr>
        <w:spacing w:before="120"/>
        <w:jc w:val="both"/>
        <w:rPr>
          <w:rFonts w:ascii="Times New Roman" w:hAnsi="Times New Roman" w:cs="Times New Roman"/>
          <w:noProof/>
          <w:sz w:val="24"/>
          <w:szCs w:val="24"/>
        </w:rPr>
      </w:pPr>
      <w:r>
        <w:rPr>
          <w:rFonts w:ascii="Times New Roman" w:hAnsi="Times New Roman"/>
          <w:noProof/>
          <w:sz w:val="24"/>
        </w:rPr>
        <w:t>Entre </w:t>
      </w:r>
      <w:r w:rsidRPr="00F3116B">
        <w:rPr>
          <w:rFonts w:ascii="Times New Roman" w:hAnsi="Times New Roman"/>
          <w:noProof/>
          <w:sz w:val="24"/>
        </w:rPr>
        <w:t>2010</w:t>
      </w:r>
      <w:r>
        <w:rPr>
          <w:rFonts w:ascii="Times New Roman" w:hAnsi="Times New Roman"/>
          <w:noProof/>
          <w:sz w:val="24"/>
        </w:rPr>
        <w:t xml:space="preserve"> et </w:t>
      </w:r>
      <w:r w:rsidRPr="00F3116B">
        <w:rPr>
          <w:rFonts w:ascii="Times New Roman" w:hAnsi="Times New Roman"/>
          <w:noProof/>
          <w:sz w:val="24"/>
        </w:rPr>
        <w:t>2021</w:t>
      </w:r>
      <w:r>
        <w:rPr>
          <w:rFonts w:ascii="Times New Roman" w:hAnsi="Times New Roman"/>
          <w:noProof/>
          <w:sz w:val="24"/>
        </w:rPr>
        <w:t xml:space="preserve">, les </w:t>
      </w:r>
      <w:r>
        <w:rPr>
          <w:rFonts w:ascii="Times New Roman" w:hAnsi="Times New Roman"/>
          <w:b/>
          <w:bCs/>
          <w:noProof/>
          <w:sz w:val="24"/>
        </w:rPr>
        <w:t>émissions</w:t>
      </w:r>
      <w:r>
        <w:rPr>
          <w:rFonts w:ascii="Times New Roman" w:hAnsi="Times New Roman"/>
          <w:noProof/>
          <w:sz w:val="24"/>
        </w:rPr>
        <w:t xml:space="preserve"> des écosystèmes industriels de l’UE ont globalement diminué de </w:t>
      </w:r>
      <w:r w:rsidRPr="00F3116B">
        <w:rPr>
          <w:rFonts w:ascii="Times New Roman" w:hAnsi="Times New Roman"/>
          <w:noProof/>
          <w:sz w:val="24"/>
        </w:rPr>
        <w:t>3</w:t>
      </w:r>
      <w:r>
        <w:rPr>
          <w:rFonts w:ascii="Times New Roman" w:hAnsi="Times New Roman"/>
          <w:noProof/>
          <w:sz w:val="24"/>
        </w:rPr>
        <w:t xml:space="preserve"> %. Au cours de la même période, les émissions du secteur de l’approvisionnement énergétique ont diminué de </w:t>
      </w:r>
      <w:r w:rsidRPr="00F3116B">
        <w:rPr>
          <w:rFonts w:ascii="Times New Roman" w:hAnsi="Times New Roman"/>
          <w:noProof/>
          <w:sz w:val="24"/>
        </w:rPr>
        <w:t>35</w:t>
      </w:r>
      <w:r>
        <w:rPr>
          <w:rFonts w:ascii="Times New Roman" w:hAnsi="Times New Roman"/>
          <w:noProof/>
          <w:sz w:val="24"/>
        </w:rPr>
        <w:t> %</w:t>
      </w:r>
      <w:r>
        <w:rPr>
          <w:rStyle w:val="FootnoteReference"/>
          <w:rFonts w:ascii="Times New Roman" w:eastAsia="Calibri" w:hAnsi="Times New Roman" w:cs="Times New Roman"/>
          <w:noProof/>
          <w:sz w:val="24"/>
          <w:szCs w:val="24"/>
          <w:lang w:val="en-IE"/>
        </w:rPr>
        <w:footnoteReference w:id="56"/>
      </w:r>
      <w:r>
        <w:rPr>
          <w:rFonts w:ascii="Times New Roman" w:hAnsi="Times New Roman"/>
          <w:noProof/>
          <w:sz w:val="24"/>
        </w:rPr>
        <w:t>.</w:t>
      </w:r>
    </w:p>
    <w:p w14:paraId="59E135E7" w14:textId="77777777" w:rsidR="00C23CB1" w:rsidRDefault="00C23CB1" w:rsidP="00C23CB1">
      <w:pPr>
        <w:spacing w:before="120"/>
        <w:jc w:val="both"/>
        <w:rPr>
          <w:rFonts w:ascii="Times New Roman" w:eastAsia="Calibri" w:hAnsi="Times New Roman" w:cs="Times New Roman"/>
          <w:noProof/>
          <w:sz w:val="24"/>
          <w:szCs w:val="24"/>
        </w:rPr>
      </w:pPr>
      <w:r>
        <w:rPr>
          <w:rFonts w:ascii="Times New Roman" w:hAnsi="Times New Roman"/>
          <w:noProof/>
          <w:sz w:val="24"/>
        </w:rPr>
        <w:t xml:space="preserve">Jusqu’en </w:t>
      </w:r>
      <w:r w:rsidRPr="00F3116B">
        <w:rPr>
          <w:rFonts w:ascii="Times New Roman" w:hAnsi="Times New Roman"/>
          <w:noProof/>
          <w:sz w:val="24"/>
        </w:rPr>
        <w:t>2021</w:t>
      </w:r>
      <w:r>
        <w:rPr>
          <w:rFonts w:ascii="Times New Roman" w:hAnsi="Times New Roman"/>
          <w:noProof/>
          <w:sz w:val="24"/>
        </w:rPr>
        <w:t xml:space="preserve">, les </w:t>
      </w:r>
      <w:r>
        <w:rPr>
          <w:rFonts w:ascii="Times New Roman" w:hAnsi="Times New Roman"/>
          <w:b/>
          <w:bCs/>
          <w:noProof/>
          <w:sz w:val="24"/>
        </w:rPr>
        <w:t>prix de l’électricité dans l’UE</w:t>
      </w:r>
      <w:r>
        <w:rPr>
          <w:rFonts w:ascii="Times New Roman" w:hAnsi="Times New Roman"/>
          <w:noProof/>
          <w:sz w:val="24"/>
        </w:rPr>
        <w:t xml:space="preserve"> pour les grandes industries étaient légèrement inférieurs à ceux pratiqués au Japon et au Royaume-Uni, quoique deux fois plus élevés qu’aux États-Unis. Depuis </w:t>
      </w:r>
      <w:r w:rsidRPr="00F3116B">
        <w:rPr>
          <w:rFonts w:ascii="Times New Roman" w:hAnsi="Times New Roman"/>
          <w:noProof/>
          <w:sz w:val="24"/>
        </w:rPr>
        <w:t>2021</w:t>
      </w:r>
      <w:r>
        <w:rPr>
          <w:rFonts w:ascii="Times New Roman" w:hAnsi="Times New Roman"/>
          <w:noProof/>
          <w:sz w:val="24"/>
        </w:rPr>
        <w:t>, et après le choc provoqué par la guerre d’agression menée par la Russie en Ukraine, l’écart de prix avec les États-Unis s’est creusé, au détriment de la compétitivité de l’UE</w:t>
      </w:r>
      <w:r w:rsidRPr="00ED1C75">
        <w:rPr>
          <w:rStyle w:val="FootnoteReference"/>
          <w:rFonts w:ascii="Times New Roman" w:eastAsia="Calibri" w:hAnsi="Times New Roman" w:cs="Times New Roman"/>
          <w:noProof/>
          <w:sz w:val="24"/>
          <w:szCs w:val="24"/>
          <w:lang w:val="en-IE"/>
        </w:rPr>
        <w:footnoteReference w:id="57"/>
      </w:r>
      <w:r>
        <w:rPr>
          <w:rFonts w:ascii="Times New Roman" w:hAnsi="Times New Roman"/>
          <w:noProof/>
          <w:sz w:val="24"/>
        </w:rPr>
        <w:t xml:space="preserve">. </w:t>
      </w:r>
    </w:p>
    <w:p w14:paraId="22E66EE1" w14:textId="04B630C4" w:rsidR="002C51B4" w:rsidRPr="00DC5D2C" w:rsidRDefault="002C51B4" w:rsidP="002C51B4">
      <w:pPr>
        <w:pStyle w:val="Caption"/>
        <w:spacing w:before="120" w:after="160" w:line="259" w:lineRule="auto"/>
        <w:jc w:val="both"/>
        <w:rPr>
          <w:rFonts w:ascii="Times New Roman" w:hAnsi="Times New Roman" w:cs="Times New Roman"/>
          <w:noProof/>
          <w:sz w:val="24"/>
          <w:szCs w:val="24"/>
        </w:rPr>
      </w:pPr>
      <w:bookmarkStart w:id="32" w:name="Integration_in_the_Single_Market__"/>
      <w:bookmarkStart w:id="33" w:name="Trade_with_the_rest_of_the_world_(as_sha"/>
      <w:bookmarkEnd w:id="14"/>
      <w:bookmarkEnd w:id="31"/>
      <w:bookmarkEnd w:id="32"/>
      <w:bookmarkEnd w:id="33"/>
      <w:r>
        <w:rPr>
          <w:rFonts w:ascii="Times New Roman" w:hAnsi="Times New Roman"/>
          <w:i w:val="0"/>
          <w:noProof/>
          <w:color w:val="auto"/>
          <w:sz w:val="24"/>
        </w:rPr>
        <w:t>La réforme de l’</w:t>
      </w:r>
      <w:r>
        <w:rPr>
          <w:rFonts w:ascii="Times New Roman" w:hAnsi="Times New Roman"/>
          <w:b/>
          <w:i w:val="0"/>
          <w:noProof/>
          <w:color w:val="auto"/>
          <w:sz w:val="24"/>
        </w:rPr>
        <w:t>organisation du marché de l’électricité</w:t>
      </w:r>
      <w:r w:rsidRPr="09C57C7C">
        <w:rPr>
          <w:rStyle w:val="FootnoteReference"/>
          <w:rFonts w:ascii="Times New Roman" w:hAnsi="Times New Roman" w:cs="Times New Roman"/>
          <w:i w:val="0"/>
          <w:iCs w:val="0"/>
          <w:noProof/>
          <w:color w:val="auto"/>
          <w:sz w:val="24"/>
          <w:szCs w:val="24"/>
          <w:lang w:val="en-IE"/>
        </w:rPr>
        <w:footnoteReference w:id="58"/>
      </w:r>
      <w:r>
        <w:rPr>
          <w:rFonts w:ascii="Times New Roman" w:hAnsi="Times New Roman"/>
          <w:i w:val="0"/>
          <w:noProof/>
          <w:color w:val="auto"/>
          <w:sz w:val="24"/>
        </w:rPr>
        <w:t xml:space="preserve"> de l’UE devrait accélérer le déploiement des énergies propres en facilitant les contrats à long terme garants à la fois de la prévisibilité des prix et de la sécurité des investissements, ce qui contribue à contenir les coûts de production d’énergie à moyen terme. Les dépenses des PME dans les</w:t>
      </w:r>
      <w:r>
        <w:rPr>
          <w:rFonts w:ascii="Times New Roman" w:hAnsi="Times New Roman"/>
          <w:b/>
          <w:i w:val="0"/>
          <w:noProof/>
          <w:color w:val="auto"/>
          <w:sz w:val="24"/>
        </w:rPr>
        <w:t xml:space="preserve"> technologies</w:t>
      </w:r>
      <w:r>
        <w:rPr>
          <w:rFonts w:ascii="Times New Roman" w:hAnsi="Times New Roman"/>
          <w:i w:val="0"/>
          <w:noProof/>
          <w:color w:val="auto"/>
          <w:sz w:val="24"/>
        </w:rPr>
        <w:t xml:space="preserve"> </w:t>
      </w:r>
      <w:r>
        <w:rPr>
          <w:rFonts w:ascii="Times New Roman" w:hAnsi="Times New Roman"/>
          <w:b/>
          <w:i w:val="0"/>
          <w:noProof/>
          <w:color w:val="auto"/>
          <w:sz w:val="24"/>
        </w:rPr>
        <w:t>d’économie d’énergie</w:t>
      </w:r>
      <w:r>
        <w:rPr>
          <w:rFonts w:ascii="Times New Roman" w:hAnsi="Times New Roman"/>
          <w:i w:val="0"/>
          <w:noProof/>
          <w:color w:val="auto"/>
          <w:sz w:val="24"/>
        </w:rPr>
        <w:t xml:space="preserve"> ont augmenté au cours des cinq dernières années dans tous les écosystèmes industriels, en particulier dans les secteurs de l’agroalimentaire, du textile, du tourisme, de l’aérospatiale et de la défense</w:t>
      </w:r>
      <w:r>
        <w:rPr>
          <w:i w:val="0"/>
          <w:noProof/>
        </w:rPr>
        <w:t>.</w:t>
      </w:r>
      <w:r>
        <w:rPr>
          <w:rFonts w:ascii="Times New Roman" w:hAnsi="Times New Roman"/>
          <w:noProof/>
          <w:color w:val="auto"/>
          <w:sz w:val="24"/>
        </w:rPr>
        <w:t xml:space="preserve"> </w:t>
      </w:r>
      <w:r>
        <w:rPr>
          <w:rFonts w:ascii="Times New Roman" w:hAnsi="Times New Roman"/>
          <w:i w:val="0"/>
          <w:noProof/>
          <w:color w:val="auto"/>
          <w:sz w:val="24"/>
        </w:rPr>
        <w:t>Les technologies de fabrication avancées, telles que la robotique industrielle et la fabrication additive, peuvent contribuer à réaliser des économies.</w:t>
      </w:r>
    </w:p>
    <w:p w14:paraId="7D3863AF" w14:textId="12488F82" w:rsidR="002C51B4" w:rsidRDefault="002C51B4" w:rsidP="002C51B4">
      <w:pPr>
        <w:jc w:val="both"/>
        <w:rPr>
          <w:rFonts w:ascii="Times New Roman" w:hAnsi="Times New Roman" w:cs="Times New Roman"/>
          <w:noProof/>
          <w:sz w:val="24"/>
          <w:szCs w:val="24"/>
        </w:rPr>
      </w:pPr>
      <w:bookmarkStart w:id="34" w:name="_Hlk152754638"/>
      <w:r>
        <w:rPr>
          <w:rFonts w:ascii="Times New Roman" w:hAnsi="Times New Roman"/>
          <w:noProof/>
          <w:sz w:val="24"/>
        </w:rPr>
        <w:t xml:space="preserve">L’UE devra augmenter massivement la part de l'électricité dans sa demande énergétique, ce qui implique des investissements importants dans les technologies décarbonées. </w:t>
      </w:r>
      <w:r>
        <w:rPr>
          <w:rFonts w:ascii="Times New Roman" w:hAnsi="Times New Roman"/>
          <w:noProof/>
          <w:color w:val="404040" w:themeColor="text1" w:themeTint="BF"/>
          <w:sz w:val="24"/>
        </w:rPr>
        <w:t>L</w:t>
      </w:r>
      <w:r>
        <w:rPr>
          <w:rFonts w:ascii="Times New Roman" w:hAnsi="Times New Roman"/>
          <w:noProof/>
          <w:sz w:val="24"/>
        </w:rPr>
        <w:t xml:space="preserve">es investissements intra-UE dans le domaine des énergies renouvelables ont progressé de </w:t>
      </w:r>
      <w:r w:rsidRPr="00F3116B">
        <w:rPr>
          <w:rFonts w:ascii="Times New Roman" w:hAnsi="Times New Roman"/>
          <w:noProof/>
          <w:sz w:val="24"/>
        </w:rPr>
        <w:t>18</w:t>
      </w:r>
      <w:r>
        <w:rPr>
          <w:rFonts w:ascii="Times New Roman" w:hAnsi="Times New Roman"/>
          <w:noProof/>
          <w:sz w:val="24"/>
        </w:rPr>
        <w:t>,</w:t>
      </w:r>
      <w:r w:rsidRPr="00F3116B">
        <w:rPr>
          <w:rFonts w:ascii="Times New Roman" w:hAnsi="Times New Roman"/>
          <w:noProof/>
          <w:sz w:val="24"/>
        </w:rPr>
        <w:t>7</w:t>
      </w:r>
      <w:r>
        <w:rPr>
          <w:rFonts w:ascii="Times New Roman" w:hAnsi="Times New Roman"/>
          <w:noProof/>
          <w:sz w:val="24"/>
        </w:rPr>
        <w:t> % par an entre </w:t>
      </w:r>
      <w:r w:rsidRPr="00F3116B">
        <w:rPr>
          <w:rFonts w:ascii="Times New Roman" w:hAnsi="Times New Roman"/>
          <w:noProof/>
          <w:sz w:val="24"/>
        </w:rPr>
        <w:t>2015</w:t>
      </w:r>
      <w:r>
        <w:rPr>
          <w:rFonts w:ascii="Times New Roman" w:hAnsi="Times New Roman"/>
          <w:noProof/>
          <w:sz w:val="24"/>
        </w:rPr>
        <w:t xml:space="preserve"> et </w:t>
      </w:r>
      <w:r w:rsidRPr="00F3116B">
        <w:rPr>
          <w:rFonts w:ascii="Times New Roman" w:hAnsi="Times New Roman"/>
          <w:noProof/>
          <w:sz w:val="24"/>
        </w:rPr>
        <w:t>2022</w:t>
      </w:r>
      <w:r>
        <w:rPr>
          <w:rFonts w:ascii="Times New Roman" w:hAnsi="Times New Roman"/>
          <w:noProof/>
          <w:sz w:val="24"/>
        </w:rPr>
        <w:t xml:space="preserve">, pour atteindre </w:t>
      </w:r>
      <w:r w:rsidRPr="00F3116B">
        <w:rPr>
          <w:rFonts w:ascii="Times New Roman" w:hAnsi="Times New Roman"/>
          <w:noProof/>
          <w:sz w:val="24"/>
        </w:rPr>
        <w:t>38</w:t>
      </w:r>
      <w:r>
        <w:rPr>
          <w:rFonts w:ascii="Times New Roman" w:hAnsi="Times New Roman"/>
          <w:noProof/>
          <w:sz w:val="24"/>
        </w:rPr>
        <w:t> milliards d’euros par an. La part encore plus importante des investissements directs étrangers sortants (</w:t>
      </w:r>
      <w:r w:rsidRPr="00F3116B">
        <w:rPr>
          <w:rFonts w:ascii="Times New Roman" w:hAnsi="Times New Roman"/>
          <w:noProof/>
          <w:sz w:val="24"/>
        </w:rPr>
        <w:t>92</w:t>
      </w:r>
      <w:r>
        <w:rPr>
          <w:rFonts w:ascii="Times New Roman" w:hAnsi="Times New Roman"/>
          <w:noProof/>
          <w:sz w:val="24"/>
        </w:rPr>
        <w:t xml:space="preserve"> milliards d’euros) confirme le rôle moteur de l’industrie européenne dans ce domaine. L’analyse d’impact de la communication sur l’objectif climatique de l’Europe à l’horizon </w:t>
      </w:r>
      <w:r w:rsidRPr="00F3116B">
        <w:rPr>
          <w:rFonts w:ascii="Times New Roman" w:hAnsi="Times New Roman"/>
          <w:noProof/>
          <w:sz w:val="24"/>
        </w:rPr>
        <w:t>2040</w:t>
      </w:r>
      <w:r>
        <w:rPr>
          <w:rFonts w:ascii="Times New Roman" w:hAnsi="Times New Roman"/>
          <w:noProof/>
          <w:sz w:val="24"/>
        </w:rPr>
        <w:t xml:space="preserve"> montre que les énergies renouvelables, complétées par l’énergie nucléaire, généreront plus de </w:t>
      </w:r>
      <w:r w:rsidRPr="00F3116B">
        <w:rPr>
          <w:rFonts w:ascii="Times New Roman" w:hAnsi="Times New Roman"/>
          <w:noProof/>
          <w:sz w:val="24"/>
        </w:rPr>
        <w:t>90</w:t>
      </w:r>
      <w:r>
        <w:rPr>
          <w:rFonts w:ascii="Times New Roman" w:hAnsi="Times New Roman"/>
          <w:noProof/>
          <w:sz w:val="24"/>
        </w:rPr>
        <w:t xml:space="preserve"> % de l’électricité consommée dans l’UE en </w:t>
      </w:r>
      <w:r w:rsidRPr="00F3116B">
        <w:rPr>
          <w:rFonts w:ascii="Times New Roman" w:hAnsi="Times New Roman"/>
          <w:noProof/>
          <w:sz w:val="24"/>
        </w:rPr>
        <w:t>2040</w:t>
      </w:r>
      <w:r>
        <w:rPr>
          <w:rStyle w:val="FootnoteReference"/>
          <w:rFonts w:ascii="Times New Roman" w:hAnsi="Times New Roman" w:cs="Times New Roman"/>
          <w:noProof/>
          <w:sz w:val="24"/>
          <w:szCs w:val="24"/>
        </w:rPr>
        <w:footnoteReference w:id="59"/>
      </w:r>
      <w:r>
        <w:rPr>
          <w:rFonts w:ascii="Times New Roman" w:hAnsi="Times New Roman"/>
          <w:noProof/>
          <w:sz w:val="24"/>
        </w:rPr>
        <w:t>. La Commission a par ailleurs fondé l’Alliance industrielle européenne pour les petits réacteurs modulaires.</w:t>
      </w:r>
    </w:p>
    <w:p w14:paraId="77552862" w14:textId="77777777" w:rsidR="002C51B4" w:rsidRDefault="002C51B4" w:rsidP="002C51B4">
      <w:pPr>
        <w:jc w:val="both"/>
        <w:rPr>
          <w:rFonts w:ascii="Times New Roman" w:hAnsi="Times New Roman" w:cs="Times New Roman"/>
          <w:noProof/>
          <w:sz w:val="24"/>
          <w:szCs w:val="24"/>
        </w:rPr>
      </w:pPr>
      <w:r>
        <w:rPr>
          <w:rFonts w:ascii="Times New Roman" w:hAnsi="Times New Roman"/>
          <w:noProof/>
          <w:sz w:val="24"/>
        </w:rPr>
        <w:t xml:space="preserve">Il sera par ailleurs essentiel de relier de nouveaux centres de production d’énergie décarbonée aux nouveaux centres de consommation. Le plan d’action européen sur les réseaux constitue une première étape en définissant plusieurs mesures destinées à accélérer le </w:t>
      </w:r>
      <w:r>
        <w:rPr>
          <w:rFonts w:ascii="Times New Roman" w:hAnsi="Times New Roman"/>
          <w:b/>
          <w:noProof/>
          <w:sz w:val="24"/>
        </w:rPr>
        <w:t>déploiement des réseaux</w:t>
      </w:r>
      <w:r>
        <w:rPr>
          <w:rFonts w:ascii="Times New Roman" w:hAnsi="Times New Roman"/>
          <w:noProof/>
          <w:sz w:val="24"/>
        </w:rPr>
        <w:t xml:space="preserve"> ainsi que </w:t>
      </w:r>
      <w:r>
        <w:rPr>
          <w:rFonts w:ascii="Times New Roman" w:hAnsi="Times New Roman"/>
          <w:noProof/>
          <w:color w:val="404040" w:themeColor="text1" w:themeTint="BF"/>
          <w:sz w:val="24"/>
        </w:rPr>
        <w:t>l</w:t>
      </w:r>
      <w:r>
        <w:rPr>
          <w:rFonts w:ascii="Times New Roman" w:hAnsi="Times New Roman"/>
          <w:noProof/>
          <w:sz w:val="24"/>
        </w:rPr>
        <w:t>’intégration des énergies renouvelables</w:t>
      </w:r>
      <w:r>
        <w:rPr>
          <w:rStyle w:val="FootnoteReference"/>
          <w:rFonts w:ascii="Times New Roman" w:hAnsi="Times New Roman" w:cs="Times New Roman"/>
          <w:noProof/>
          <w:sz w:val="24"/>
          <w:szCs w:val="24"/>
          <w:lang w:val="en-IE"/>
        </w:rPr>
        <w:footnoteReference w:id="60"/>
      </w:r>
      <w:r>
        <w:rPr>
          <w:rFonts w:ascii="Times New Roman" w:hAnsi="Times New Roman"/>
          <w:noProof/>
          <w:sz w:val="24"/>
        </w:rPr>
        <w:t>. Il devrait servir de base à de futures actions globales visant à accélérer le développement d’infrastructures énergétiques européennes intégrées. La numérisation est également au cœur du nouveau système de réseau</w:t>
      </w:r>
      <w:r>
        <w:rPr>
          <w:rStyle w:val="FootnoteReference"/>
          <w:rFonts w:ascii="Times New Roman" w:hAnsi="Times New Roman" w:cs="Times New Roman"/>
          <w:noProof/>
          <w:sz w:val="24"/>
          <w:szCs w:val="24"/>
          <w:lang w:val="en-IE"/>
        </w:rPr>
        <w:footnoteReference w:id="61"/>
      </w:r>
      <w:r>
        <w:rPr>
          <w:rFonts w:ascii="Times New Roman" w:hAnsi="Times New Roman"/>
          <w:noProof/>
          <w:sz w:val="24"/>
        </w:rPr>
        <w:t>. La numérisation, l’accès aux données et l’automatisation sont nécessaires pour intégrer toutes les (nouvelles) sources d’énergie et stabiliser le système.</w:t>
      </w:r>
    </w:p>
    <w:p w14:paraId="18FB2287" w14:textId="77777777" w:rsidR="002C51B4" w:rsidRPr="005C3892" w:rsidRDefault="002C51B4" w:rsidP="002C51B4">
      <w:pPr>
        <w:jc w:val="both"/>
        <w:rPr>
          <w:rFonts w:ascii="Times New Roman" w:hAnsi="Times New Roman"/>
          <w:noProof/>
          <w:color w:val="404040"/>
          <w:sz w:val="24"/>
        </w:rPr>
      </w:pPr>
      <w:r>
        <w:rPr>
          <w:rFonts w:ascii="Times New Roman" w:hAnsi="Times New Roman"/>
          <w:noProof/>
          <w:sz w:val="24"/>
        </w:rPr>
        <w:t xml:space="preserve">Au-delà du déploiement des réseaux, le règlement pour une industrie «zéro net» renforcera la </w:t>
      </w:r>
      <w:r>
        <w:rPr>
          <w:rFonts w:ascii="Times New Roman" w:hAnsi="Times New Roman"/>
          <w:b/>
          <w:noProof/>
          <w:sz w:val="24"/>
        </w:rPr>
        <w:t>fabrication de technologies «zéro net»</w:t>
      </w:r>
      <w:r>
        <w:rPr>
          <w:rFonts w:ascii="Times New Roman" w:hAnsi="Times New Roman"/>
          <w:noProof/>
          <w:sz w:val="24"/>
        </w:rPr>
        <w:t xml:space="preserve"> dans l’UE. Le plan d’action européen en matière d’énergie éolienne formule des recommandations et des engagements au soutien des capacités de production d’énergie éolienne en Europe</w:t>
      </w:r>
      <w:r w:rsidRPr="00D578F9" w:rsidDel="008C54FE">
        <w:rPr>
          <w:rStyle w:val="FootnoteReference"/>
          <w:rFonts w:ascii="Times New Roman" w:hAnsi="Times New Roman" w:cs="Times New Roman"/>
          <w:noProof/>
          <w:sz w:val="24"/>
          <w:szCs w:val="24"/>
          <w:lang w:val="en-IE"/>
        </w:rPr>
        <w:footnoteReference w:id="62"/>
      </w:r>
      <w:r>
        <w:rPr>
          <w:rFonts w:ascii="Times New Roman" w:hAnsi="Times New Roman"/>
          <w:noProof/>
          <w:sz w:val="24"/>
        </w:rPr>
        <w:t>.</w:t>
      </w:r>
      <w:r>
        <w:rPr>
          <w:rFonts w:ascii="Times New Roman" w:hAnsi="Times New Roman"/>
          <w:noProof/>
          <w:color w:val="404040"/>
          <w:sz w:val="24"/>
        </w:rPr>
        <w:t xml:space="preserve"> </w:t>
      </w:r>
    </w:p>
    <w:p w14:paraId="7568504F" w14:textId="77777777" w:rsidR="002C51B4" w:rsidRDefault="002C51B4" w:rsidP="002C51B4">
      <w:pPr>
        <w:jc w:val="both"/>
        <w:rPr>
          <w:rFonts w:ascii="Times New Roman" w:hAnsi="Times New Roman" w:cs="Times New Roman"/>
          <w:noProof/>
          <w:sz w:val="24"/>
          <w:szCs w:val="24"/>
        </w:rPr>
      </w:pPr>
      <w:r>
        <w:rPr>
          <w:rFonts w:ascii="Times New Roman" w:hAnsi="Times New Roman"/>
          <w:noProof/>
          <w:sz w:val="24"/>
        </w:rPr>
        <w:t>La facilité pour la reprise et la résilience (FRR) et le plan REPowerEU jouent également un rôle clé dans le renforcement de la résilience, de la sécurité et de la durabilité du système énergétique de l’UE, notamment en soutenant des investissements dans les domaines de l’efficacité énergétique, des énergies renouvelables et des réseaux, tout en contribuant à lutter contre la précarité énergétique.</w:t>
      </w:r>
    </w:p>
    <w:p w14:paraId="3DDDDA8A" w14:textId="77777777" w:rsidR="002C51B4" w:rsidRDefault="002C51B4" w:rsidP="002C51B4">
      <w:pPr>
        <w:rPr>
          <w:rFonts w:ascii="Times New Roman" w:hAnsi="Times New Roman" w:cs="Times New Roman"/>
          <w:noProof/>
          <w:sz w:val="24"/>
          <w:szCs w:val="24"/>
        </w:rPr>
      </w:pPr>
      <w:r>
        <w:rPr>
          <w:noProof/>
        </w:rPr>
        <w:br w:type="page"/>
      </w:r>
    </w:p>
    <w:tbl>
      <w:tblPr>
        <w:tblStyle w:val="TableGrid"/>
        <w:tblW w:w="0" w:type="auto"/>
        <w:tblInd w:w="108" w:type="dxa"/>
        <w:tblLook w:val="04A0" w:firstRow="1" w:lastRow="0" w:firstColumn="1" w:lastColumn="0" w:noHBand="0" w:noVBand="1"/>
      </w:tblPr>
      <w:tblGrid>
        <w:gridCol w:w="9356"/>
      </w:tblGrid>
      <w:tr w:rsidR="002C51B4" w14:paraId="23B2A9D0" w14:textId="77777777" w:rsidTr="00BB6538">
        <w:tc>
          <w:tcPr>
            <w:tcW w:w="9356" w:type="dxa"/>
          </w:tcPr>
          <w:p w14:paraId="0315B315" w14:textId="77777777" w:rsidR="002C51B4" w:rsidRDefault="002C51B4" w:rsidP="00BB6538">
            <w:pPr>
              <w:spacing w:before="120" w:after="120"/>
              <w:jc w:val="both"/>
              <w:rPr>
                <w:rFonts w:ascii="Times New Roman" w:hAnsi="Times New Roman" w:cs="Times New Roman"/>
                <w:bCs/>
                <w:noProof/>
                <w:sz w:val="24"/>
                <w:szCs w:val="24"/>
              </w:rPr>
            </w:pPr>
            <w:r>
              <w:rPr>
                <w:rFonts w:ascii="Times New Roman" w:hAnsi="Times New Roman"/>
                <w:noProof/>
                <w:sz w:val="24"/>
              </w:rPr>
              <w:t xml:space="preserve">Au cours des cinq dernières années, l’UE a largement mis à jour  la panoplie d'instruments de sa politique énergétique afin d’atteindre les objectifs du pacte vert pour l’Europe, notamment en ce qui concerne son plan industriel. </w:t>
            </w:r>
          </w:p>
          <w:p w14:paraId="7283E306" w14:textId="77777777" w:rsidR="002C51B4" w:rsidRDefault="002C51B4" w:rsidP="00BB6538">
            <w:pPr>
              <w:spacing w:before="120" w:after="120"/>
              <w:jc w:val="both"/>
              <w:rPr>
                <w:rFonts w:ascii="Times New Roman" w:hAnsi="Times New Roman" w:cs="Times New Roman"/>
                <w:bCs/>
                <w:noProof/>
                <w:sz w:val="24"/>
                <w:szCs w:val="24"/>
              </w:rPr>
            </w:pPr>
            <w:r>
              <w:rPr>
                <w:rFonts w:ascii="Times New Roman" w:hAnsi="Times New Roman"/>
                <w:noProof/>
                <w:sz w:val="24"/>
              </w:rPr>
              <w:t>Mais il faudra aller plus loin pour faciliter le déploiement de l’électricité décarbonée, son intégration dans les réseaux énergétiques et l’augmentation de la production de technologies «zéro net». Tous ces efforts sont indispensables pour réduire les prix de l’énergie et renforcer la compétitivité de l’Europe.</w:t>
            </w:r>
          </w:p>
          <w:p w14:paraId="48A95870" w14:textId="77777777" w:rsidR="002C51B4" w:rsidRPr="00E222C2" w:rsidRDefault="002C51B4" w:rsidP="00BB6538">
            <w:pPr>
              <w:spacing w:before="120" w:after="120"/>
              <w:jc w:val="both"/>
              <w:rPr>
                <w:rFonts w:ascii="Times New Roman" w:hAnsi="Times New Roman" w:cs="Times New Roman"/>
                <w:noProof/>
                <w:color w:val="404040"/>
                <w:sz w:val="24"/>
                <w:szCs w:val="24"/>
              </w:rPr>
            </w:pPr>
            <w:r>
              <w:rPr>
                <w:rFonts w:ascii="Times New Roman" w:hAnsi="Times New Roman"/>
                <w:noProof/>
                <w:sz w:val="24"/>
              </w:rPr>
              <w:t>Les États membres devraient contribuer à cet objectif, par exemple en mettant en œuvre les plans d’action sur les réseaux et l’énergie éolienne et de la directive sur les énergies renouvelables et en s'appuyant sur les travaux de la task-force SMET sur les procédures d'autorisation et la mise en œuvre rapide du règlement pour une industrie «zéro net». Il conviendrait que les États membres utilisent l’initiative STEP pour exploiter le potentiel de tous les instruments de l’UE, y compris les fonds de la politique de cohésion de l’UE, et soutenir le développement et la fabrication de technologies stratégiques clés en matière d’énergie propre.</w:t>
            </w:r>
          </w:p>
        </w:tc>
      </w:tr>
      <w:bookmarkEnd w:id="34"/>
    </w:tbl>
    <w:p w14:paraId="18296456" w14:textId="77777777" w:rsidR="002C51B4" w:rsidRPr="00554935" w:rsidRDefault="002C51B4" w:rsidP="002C51B4">
      <w:pPr>
        <w:pStyle w:val="ListParagraph"/>
        <w:rPr>
          <w:noProof/>
          <w:lang w:val="fr-BE"/>
        </w:rPr>
      </w:pPr>
    </w:p>
    <w:p w14:paraId="06FAED92" w14:textId="77777777" w:rsidR="002C51B4" w:rsidRPr="00DF2D3C" w:rsidRDefault="002C51B4" w:rsidP="002C51B4">
      <w:pPr>
        <w:pStyle w:val="ListParagraph"/>
        <w:keepNext/>
        <w:numPr>
          <w:ilvl w:val="0"/>
          <w:numId w:val="2"/>
        </w:numPr>
        <w:spacing w:before="240"/>
        <w:ind w:left="357" w:hanging="357"/>
        <w:jc w:val="both"/>
        <w:rPr>
          <w:rFonts w:ascii="Times New Roman" w:hAnsi="Times New Roman" w:cs="Times New Roman"/>
          <w:b/>
          <w:bCs/>
          <w:noProof/>
          <w:sz w:val="24"/>
          <w:szCs w:val="24"/>
          <w:u w:val="single"/>
        </w:rPr>
      </w:pPr>
      <w:r>
        <w:rPr>
          <w:rFonts w:ascii="Times New Roman" w:hAnsi="Times New Roman"/>
          <w:b/>
          <w:noProof/>
          <w:sz w:val="24"/>
          <w:u w:val="single"/>
        </w:rPr>
        <w:t>Circularité</w:t>
      </w:r>
      <w:bookmarkStart w:id="35" w:name="_Hlk150438082"/>
    </w:p>
    <w:tbl>
      <w:tblPr>
        <w:tblW w:w="5000" w:type="pct"/>
        <w:tblCellMar>
          <w:left w:w="0" w:type="dxa"/>
          <w:right w:w="0" w:type="dxa"/>
        </w:tblCellMar>
        <w:tblLook w:val="01E0" w:firstRow="1" w:lastRow="1" w:firstColumn="1" w:lastColumn="1" w:noHBand="0" w:noVBand="0"/>
      </w:tblPr>
      <w:tblGrid>
        <w:gridCol w:w="2435"/>
        <w:gridCol w:w="4096"/>
        <w:gridCol w:w="1073"/>
        <w:gridCol w:w="1756"/>
      </w:tblGrid>
      <w:tr w:rsidR="002C51B4" w:rsidRPr="009403B5" w14:paraId="18444FCC" w14:textId="77777777" w:rsidTr="00F34019">
        <w:trPr>
          <w:trHeight w:hRule="exact" w:val="575"/>
        </w:trPr>
        <w:tc>
          <w:tcPr>
            <w:tcW w:w="1301" w:type="pct"/>
            <w:tcBorders>
              <w:top w:val="single" w:sz="4" w:space="0" w:color="auto"/>
              <w:bottom w:val="single" w:sz="4" w:space="0" w:color="auto"/>
            </w:tcBorders>
            <w:shd w:val="clear" w:color="auto" w:fill="B8CCE4"/>
            <w:vAlign w:val="center"/>
          </w:tcPr>
          <w:p w14:paraId="6378A199" w14:textId="77777777" w:rsidR="002C51B4" w:rsidRPr="000A23DA" w:rsidRDefault="002C51B4" w:rsidP="00BB6538">
            <w:pPr>
              <w:widowControl w:val="0"/>
              <w:autoSpaceDE w:val="0"/>
              <w:autoSpaceDN w:val="0"/>
              <w:spacing w:after="60" w:line="275" w:lineRule="exact"/>
              <w:ind w:left="107" w:right="138"/>
              <w:rPr>
                <w:rFonts w:ascii="Times New Roman" w:eastAsia="Times New Roman" w:hAnsi="Times New Roman" w:cs="Times New Roman"/>
                <w:noProof/>
                <w:color w:val="111111"/>
                <w:sz w:val="18"/>
                <w:szCs w:val="18"/>
              </w:rPr>
            </w:pPr>
            <w:r>
              <w:rPr>
                <w:rFonts w:ascii="Times New Roman" w:hAnsi="Times New Roman"/>
                <w:b/>
                <w:noProof/>
                <w:color w:val="003063"/>
                <w:sz w:val="18"/>
              </w:rPr>
              <w:t>ICP</w:t>
            </w:r>
          </w:p>
        </w:tc>
        <w:tc>
          <w:tcPr>
            <w:tcW w:w="2188" w:type="pct"/>
            <w:tcBorders>
              <w:top w:val="single" w:sz="4" w:space="0" w:color="auto"/>
              <w:bottom w:val="single" w:sz="4" w:space="0" w:color="auto"/>
            </w:tcBorders>
            <w:shd w:val="clear" w:color="auto" w:fill="B8CCE4"/>
            <w:vAlign w:val="center"/>
          </w:tcPr>
          <w:p w14:paraId="25DC6731" w14:textId="77777777" w:rsidR="002C51B4" w:rsidRPr="000A23DA" w:rsidRDefault="002C51B4" w:rsidP="00BB6538">
            <w:pPr>
              <w:widowControl w:val="0"/>
              <w:autoSpaceDE w:val="0"/>
              <w:autoSpaceDN w:val="0"/>
              <w:spacing w:after="60" w:line="276" w:lineRule="exact"/>
              <w:ind w:left="107" w:right="139"/>
              <w:jc w:val="both"/>
              <w:rPr>
                <w:rFonts w:ascii="Times New Roman" w:eastAsia="Times New Roman" w:hAnsi="Times New Roman" w:cs="Times New Roman"/>
                <w:noProof/>
                <w:sz w:val="18"/>
                <w:szCs w:val="18"/>
              </w:rPr>
            </w:pPr>
            <w:r>
              <w:rPr>
                <w:rFonts w:ascii="Times New Roman" w:hAnsi="Times New Roman"/>
                <w:b/>
                <w:noProof/>
                <w:color w:val="003063"/>
                <w:sz w:val="18"/>
              </w:rPr>
              <w:t>Description</w:t>
            </w:r>
          </w:p>
        </w:tc>
        <w:tc>
          <w:tcPr>
            <w:tcW w:w="573" w:type="pct"/>
            <w:tcBorders>
              <w:top w:val="single" w:sz="4" w:space="0" w:color="auto"/>
              <w:bottom w:val="single" w:sz="4" w:space="0" w:color="auto"/>
            </w:tcBorders>
            <w:shd w:val="clear" w:color="auto" w:fill="B8CCE4"/>
            <w:vAlign w:val="center"/>
          </w:tcPr>
          <w:p w14:paraId="136F78E7" w14:textId="77777777" w:rsidR="002C51B4" w:rsidRPr="000A23DA" w:rsidRDefault="002C51B4" w:rsidP="00BB6538">
            <w:pPr>
              <w:widowControl w:val="0"/>
              <w:autoSpaceDE w:val="0"/>
              <w:autoSpaceDN w:val="0"/>
              <w:spacing w:after="60" w:line="275" w:lineRule="exact"/>
              <w:ind w:left="107"/>
              <w:rPr>
                <w:rFonts w:ascii="Times New Roman" w:eastAsia="Times New Roman" w:hAnsi="Times New Roman" w:cs="Times New Roman"/>
                <w:noProof/>
                <w:sz w:val="18"/>
                <w:szCs w:val="18"/>
              </w:rPr>
            </w:pPr>
            <w:r>
              <w:rPr>
                <w:rFonts w:ascii="Times New Roman" w:hAnsi="Times New Roman"/>
                <w:b/>
                <w:noProof/>
                <w:color w:val="003063"/>
                <w:sz w:val="18"/>
              </w:rPr>
              <w:t>Objectif</w:t>
            </w:r>
          </w:p>
        </w:tc>
        <w:tc>
          <w:tcPr>
            <w:tcW w:w="938" w:type="pct"/>
            <w:tcBorders>
              <w:top w:val="single" w:sz="4" w:space="0" w:color="auto"/>
              <w:bottom w:val="single" w:sz="4" w:space="0" w:color="auto"/>
            </w:tcBorders>
            <w:shd w:val="clear" w:color="auto" w:fill="B8CCE4"/>
            <w:vAlign w:val="center"/>
          </w:tcPr>
          <w:p w14:paraId="367DEEF0" w14:textId="77777777" w:rsidR="002C51B4" w:rsidRPr="000A23DA" w:rsidRDefault="002C51B4" w:rsidP="00BB6538">
            <w:pPr>
              <w:widowControl w:val="0"/>
              <w:autoSpaceDE w:val="0"/>
              <w:autoSpaceDN w:val="0"/>
              <w:spacing w:after="60" w:line="275" w:lineRule="exact"/>
              <w:ind w:left="107"/>
              <w:rPr>
                <w:rFonts w:ascii="Times New Roman" w:eastAsia="Times New Roman" w:hAnsi="Times New Roman" w:cs="Times New Roman"/>
                <w:noProof/>
                <w:sz w:val="18"/>
                <w:szCs w:val="18"/>
              </w:rPr>
            </w:pPr>
            <w:r>
              <w:rPr>
                <w:rFonts w:ascii="Times New Roman" w:hAnsi="Times New Roman"/>
                <w:b/>
                <w:noProof/>
                <w:color w:val="003063"/>
                <w:sz w:val="18"/>
              </w:rPr>
              <w:t>Valeurs UE</w:t>
            </w:r>
            <w:r>
              <w:rPr>
                <w:rFonts w:ascii="Times New Roman" w:hAnsi="Times New Roman"/>
                <w:b/>
                <w:noProof/>
                <w:sz w:val="18"/>
              </w:rPr>
              <w:t xml:space="preserve"> </w:t>
            </w:r>
            <w:r>
              <w:rPr>
                <w:rFonts w:ascii="Times New Roman" w:hAnsi="Times New Roman"/>
                <w:b/>
                <w:noProof/>
                <w:color w:val="003063"/>
                <w:sz w:val="18"/>
              </w:rPr>
              <w:t>les plus récentes</w:t>
            </w:r>
            <w:r w:rsidRPr="002764DE">
              <w:rPr>
                <w:rFonts w:ascii="Times New Roman" w:eastAsia="Palatino Linotype" w:hAnsi="Times New Roman" w:cs="Times New Roman"/>
                <w:b/>
                <w:noProof/>
                <w:color w:val="003063"/>
                <w:spacing w:val="26"/>
                <w:w w:val="90"/>
                <w:sz w:val="18"/>
                <w:szCs w:val="18"/>
                <w:vertAlign w:val="superscript"/>
                <w:lang w:val="en-US"/>
              </w:rPr>
              <w:footnoteReference w:id="63"/>
            </w:r>
          </w:p>
        </w:tc>
      </w:tr>
      <w:tr w:rsidR="002C51B4" w:rsidRPr="009403B5" w14:paraId="6813C810" w14:textId="77777777" w:rsidTr="00BB6538">
        <w:trPr>
          <w:trHeight w:val="947"/>
        </w:trPr>
        <w:tc>
          <w:tcPr>
            <w:tcW w:w="1301" w:type="pct"/>
            <w:tcBorders>
              <w:top w:val="single" w:sz="4" w:space="0" w:color="auto"/>
              <w:bottom w:val="single" w:sz="4" w:space="0" w:color="auto"/>
            </w:tcBorders>
            <w:shd w:val="clear" w:color="auto" w:fill="F7F9B7"/>
          </w:tcPr>
          <w:p w14:paraId="0FB5FA16" w14:textId="77777777" w:rsidR="002C51B4" w:rsidRPr="000A23DA" w:rsidRDefault="002C51B4" w:rsidP="00BB6538">
            <w:pPr>
              <w:widowControl w:val="0"/>
              <w:autoSpaceDE w:val="0"/>
              <w:autoSpaceDN w:val="0"/>
              <w:spacing w:before="60" w:after="60" w:line="240" w:lineRule="auto"/>
              <w:ind w:left="108" w:right="136"/>
              <w:rPr>
                <w:rFonts w:ascii="Times New Roman" w:eastAsia="Times New Roman" w:hAnsi="Times New Roman" w:cs="Times New Roman"/>
                <w:noProof/>
                <w:sz w:val="18"/>
                <w:szCs w:val="18"/>
              </w:rPr>
            </w:pPr>
            <w:r>
              <w:rPr>
                <w:rFonts w:ascii="Times New Roman" w:hAnsi="Times New Roman"/>
                <w:noProof/>
                <w:color w:val="111111"/>
                <w:sz w:val="18"/>
              </w:rPr>
              <w:t>ICP </w:t>
            </w:r>
            <w:r w:rsidRPr="00F3116B">
              <w:rPr>
                <w:rFonts w:ascii="Times New Roman" w:hAnsi="Times New Roman"/>
                <w:noProof/>
                <w:sz w:val="18"/>
              </w:rPr>
              <w:t>10</w:t>
            </w:r>
            <w:r>
              <w:rPr>
                <w:rFonts w:ascii="Times New Roman" w:hAnsi="Times New Roman"/>
                <w:noProof/>
                <w:sz w:val="18"/>
              </w:rPr>
              <w:t>: Taux d’utilisation circulaire de matières</w:t>
            </w:r>
          </w:p>
        </w:tc>
        <w:tc>
          <w:tcPr>
            <w:tcW w:w="2188" w:type="pct"/>
            <w:tcBorders>
              <w:top w:val="single" w:sz="4" w:space="0" w:color="auto"/>
              <w:bottom w:val="single" w:sz="4" w:space="0" w:color="auto"/>
            </w:tcBorders>
            <w:shd w:val="clear" w:color="auto" w:fill="F7F9B7"/>
          </w:tcPr>
          <w:p w14:paraId="5347E194" w14:textId="77777777" w:rsidR="002C51B4" w:rsidRPr="000A23DA" w:rsidRDefault="002C51B4" w:rsidP="00BB6538">
            <w:pPr>
              <w:widowControl w:val="0"/>
              <w:autoSpaceDE w:val="0"/>
              <w:autoSpaceDN w:val="0"/>
              <w:spacing w:before="60" w:after="60" w:line="240" w:lineRule="auto"/>
              <w:ind w:left="108" w:right="142"/>
              <w:jc w:val="both"/>
              <w:rPr>
                <w:rFonts w:ascii="Times New Roman" w:eastAsia="Times New Roman" w:hAnsi="Times New Roman" w:cs="Times New Roman"/>
                <w:noProof/>
                <w:sz w:val="18"/>
                <w:szCs w:val="18"/>
              </w:rPr>
            </w:pPr>
            <w:r>
              <w:rPr>
                <w:rFonts w:ascii="Times New Roman" w:hAnsi="Times New Roman"/>
                <w:noProof/>
                <w:sz w:val="18"/>
              </w:rPr>
              <w:t xml:space="preserve">Le taux d’utilisation circulaire de matières mesure la part des matières recyclées et réintroduites dans l’économie par rapport à l’utilisation globale des matières. Objectif du plan d’action pour une économie circulaire: doublement de ce taux par rapport à </w:t>
            </w:r>
            <w:r w:rsidRPr="00F3116B">
              <w:rPr>
                <w:rFonts w:ascii="Times New Roman" w:hAnsi="Times New Roman"/>
                <w:noProof/>
                <w:sz w:val="18"/>
              </w:rPr>
              <w:t>2020</w:t>
            </w:r>
            <w:r>
              <w:rPr>
                <w:rFonts w:ascii="Times New Roman" w:hAnsi="Times New Roman"/>
                <w:noProof/>
                <w:sz w:val="18"/>
              </w:rPr>
              <w:t>.</w:t>
            </w:r>
          </w:p>
        </w:tc>
        <w:tc>
          <w:tcPr>
            <w:tcW w:w="573" w:type="pct"/>
            <w:tcBorders>
              <w:top w:val="single" w:sz="4" w:space="0" w:color="auto"/>
              <w:bottom w:val="single" w:sz="4" w:space="0" w:color="auto"/>
            </w:tcBorders>
            <w:shd w:val="clear" w:color="auto" w:fill="F7F9B7"/>
          </w:tcPr>
          <w:p w14:paraId="07A5BE77" w14:textId="77777777" w:rsidR="002C51B4" w:rsidRPr="000A23DA" w:rsidRDefault="002C51B4" w:rsidP="00BB6538">
            <w:pPr>
              <w:widowControl w:val="0"/>
              <w:autoSpaceDE w:val="0"/>
              <w:autoSpaceDN w:val="0"/>
              <w:spacing w:before="60" w:after="60" w:line="275" w:lineRule="exact"/>
              <w:ind w:left="107"/>
              <w:rPr>
                <w:rFonts w:ascii="Times New Roman" w:eastAsia="Times New Roman" w:hAnsi="Times New Roman" w:cs="Times New Roman"/>
                <w:noProof/>
                <w:sz w:val="18"/>
                <w:szCs w:val="18"/>
              </w:rPr>
            </w:pPr>
            <w:r w:rsidRPr="00F3116B">
              <w:rPr>
                <w:rFonts w:ascii="Times New Roman" w:hAnsi="Times New Roman"/>
                <w:noProof/>
                <w:sz w:val="18"/>
              </w:rPr>
              <w:t>23</w:t>
            </w:r>
            <w:r>
              <w:rPr>
                <w:rFonts w:ascii="Times New Roman" w:hAnsi="Times New Roman"/>
                <w:noProof/>
                <w:sz w:val="18"/>
              </w:rPr>
              <w:t>,</w:t>
            </w:r>
            <w:r w:rsidRPr="00F3116B">
              <w:rPr>
                <w:rFonts w:ascii="Times New Roman" w:hAnsi="Times New Roman"/>
                <w:noProof/>
                <w:sz w:val="18"/>
              </w:rPr>
              <w:t>4</w:t>
            </w:r>
            <w:r>
              <w:rPr>
                <w:rFonts w:ascii="Times New Roman" w:hAnsi="Times New Roman"/>
                <w:noProof/>
                <w:sz w:val="18"/>
              </w:rPr>
              <w:t> % d’ici</w:t>
            </w:r>
          </w:p>
          <w:p w14:paraId="7C888A95" w14:textId="77777777" w:rsidR="002C51B4" w:rsidRPr="000A23DA" w:rsidRDefault="002C51B4" w:rsidP="00BB6538">
            <w:pPr>
              <w:widowControl w:val="0"/>
              <w:autoSpaceDE w:val="0"/>
              <w:autoSpaceDN w:val="0"/>
              <w:spacing w:before="60" w:after="60" w:line="240" w:lineRule="auto"/>
              <w:ind w:left="107"/>
              <w:rPr>
                <w:rFonts w:ascii="Times New Roman" w:eastAsia="Times New Roman" w:hAnsi="Times New Roman" w:cs="Times New Roman"/>
                <w:noProof/>
                <w:sz w:val="18"/>
                <w:szCs w:val="18"/>
              </w:rPr>
            </w:pPr>
            <w:r w:rsidRPr="00F3116B">
              <w:rPr>
                <w:rFonts w:ascii="Times New Roman" w:hAnsi="Times New Roman"/>
                <w:noProof/>
                <w:sz w:val="18"/>
              </w:rPr>
              <w:t>2030</w:t>
            </w:r>
          </w:p>
        </w:tc>
        <w:tc>
          <w:tcPr>
            <w:tcW w:w="938" w:type="pct"/>
            <w:tcBorders>
              <w:top w:val="single" w:sz="4" w:space="0" w:color="auto"/>
              <w:bottom w:val="single" w:sz="4" w:space="0" w:color="auto"/>
            </w:tcBorders>
            <w:shd w:val="clear" w:color="auto" w:fill="F7F9B7"/>
          </w:tcPr>
          <w:p w14:paraId="1D396E8B" w14:textId="77777777" w:rsidR="002C51B4" w:rsidRPr="000A23DA" w:rsidRDefault="002C51B4" w:rsidP="00BB6538">
            <w:pPr>
              <w:widowControl w:val="0"/>
              <w:autoSpaceDE w:val="0"/>
              <w:autoSpaceDN w:val="0"/>
              <w:spacing w:before="60" w:after="60" w:line="275" w:lineRule="exact"/>
              <w:ind w:left="107"/>
              <w:rPr>
                <w:rFonts w:ascii="Times New Roman" w:eastAsia="Times New Roman" w:hAnsi="Times New Roman" w:cs="Times New Roman"/>
                <w:noProof/>
                <w:sz w:val="18"/>
                <w:szCs w:val="18"/>
              </w:rPr>
            </w:pPr>
            <w:r w:rsidRPr="00F3116B">
              <w:rPr>
                <w:rFonts w:ascii="Times New Roman" w:hAnsi="Times New Roman"/>
                <w:noProof/>
                <w:sz w:val="18"/>
              </w:rPr>
              <w:t>11</w:t>
            </w:r>
            <w:r>
              <w:rPr>
                <w:rFonts w:ascii="Times New Roman" w:hAnsi="Times New Roman"/>
                <w:noProof/>
                <w:sz w:val="18"/>
              </w:rPr>
              <w:t>,</w:t>
            </w:r>
            <w:r w:rsidRPr="00F3116B">
              <w:rPr>
                <w:rFonts w:ascii="Times New Roman" w:hAnsi="Times New Roman"/>
                <w:noProof/>
                <w:sz w:val="18"/>
              </w:rPr>
              <w:t>5</w:t>
            </w:r>
            <w:r>
              <w:rPr>
                <w:rFonts w:ascii="Times New Roman" w:hAnsi="Times New Roman"/>
                <w:noProof/>
                <w:sz w:val="18"/>
              </w:rPr>
              <w:t> % (</w:t>
            </w:r>
            <w:r w:rsidRPr="00F3116B">
              <w:rPr>
                <w:rFonts w:ascii="Times New Roman" w:hAnsi="Times New Roman"/>
                <w:noProof/>
                <w:sz w:val="18"/>
              </w:rPr>
              <w:t>2022</w:t>
            </w:r>
            <w:r>
              <w:rPr>
                <w:rFonts w:ascii="Times New Roman" w:hAnsi="Times New Roman"/>
                <w:noProof/>
                <w:sz w:val="18"/>
              </w:rPr>
              <w:t>)</w:t>
            </w:r>
          </w:p>
          <w:p w14:paraId="3F527A13" w14:textId="77777777" w:rsidR="002C51B4" w:rsidRPr="000A23DA" w:rsidRDefault="002C51B4" w:rsidP="00BB6538">
            <w:pPr>
              <w:widowControl w:val="0"/>
              <w:autoSpaceDE w:val="0"/>
              <w:autoSpaceDN w:val="0"/>
              <w:spacing w:before="60" w:after="60" w:line="275" w:lineRule="exact"/>
              <w:ind w:left="107"/>
              <w:rPr>
                <w:rFonts w:ascii="Times New Roman" w:eastAsia="Times New Roman" w:hAnsi="Times New Roman" w:cs="Times New Roman"/>
                <w:noProof/>
                <w:sz w:val="18"/>
                <w:szCs w:val="18"/>
              </w:rPr>
            </w:pPr>
            <w:r w:rsidRPr="00F3116B">
              <w:rPr>
                <w:rFonts w:ascii="Times New Roman" w:hAnsi="Times New Roman"/>
                <w:noProof/>
                <w:sz w:val="18"/>
              </w:rPr>
              <w:t>11</w:t>
            </w:r>
            <w:r>
              <w:rPr>
                <w:rFonts w:ascii="Times New Roman" w:hAnsi="Times New Roman"/>
                <w:noProof/>
                <w:sz w:val="18"/>
              </w:rPr>
              <w:t>,</w:t>
            </w:r>
            <w:r w:rsidRPr="00F3116B">
              <w:rPr>
                <w:rFonts w:ascii="Times New Roman" w:hAnsi="Times New Roman"/>
                <w:noProof/>
                <w:sz w:val="18"/>
              </w:rPr>
              <w:t>7</w:t>
            </w:r>
            <w:r>
              <w:rPr>
                <w:rFonts w:ascii="Times New Roman" w:hAnsi="Times New Roman"/>
                <w:noProof/>
                <w:sz w:val="18"/>
              </w:rPr>
              <w:t> % (</w:t>
            </w:r>
            <w:r w:rsidRPr="00F3116B">
              <w:rPr>
                <w:rFonts w:ascii="Times New Roman" w:hAnsi="Times New Roman"/>
                <w:noProof/>
                <w:sz w:val="18"/>
              </w:rPr>
              <w:t>2021</w:t>
            </w:r>
            <w:r>
              <w:rPr>
                <w:rFonts w:ascii="Times New Roman" w:hAnsi="Times New Roman"/>
                <w:noProof/>
                <w:sz w:val="18"/>
              </w:rPr>
              <w:t>)</w:t>
            </w:r>
          </w:p>
          <w:p w14:paraId="5A2211DA" w14:textId="77777777" w:rsidR="002C51B4" w:rsidRPr="000A23DA" w:rsidRDefault="002C51B4" w:rsidP="00BB6538">
            <w:pPr>
              <w:widowControl w:val="0"/>
              <w:autoSpaceDE w:val="0"/>
              <w:autoSpaceDN w:val="0"/>
              <w:spacing w:before="60" w:after="60" w:line="240" w:lineRule="auto"/>
              <w:rPr>
                <w:rFonts w:ascii="Times New Roman" w:eastAsia="Times New Roman" w:hAnsi="Times New Roman" w:cs="Times New Roman"/>
                <w:noProof/>
                <w:sz w:val="18"/>
                <w:szCs w:val="18"/>
                <w:lang w:val="en-US"/>
              </w:rPr>
            </w:pPr>
          </w:p>
        </w:tc>
      </w:tr>
    </w:tbl>
    <w:p w14:paraId="59EEEEEB" w14:textId="77777777" w:rsidR="002C51B4" w:rsidRPr="000A23DA" w:rsidRDefault="002C51B4" w:rsidP="002C51B4">
      <w:pPr>
        <w:spacing w:after="0"/>
        <w:jc w:val="both"/>
        <w:rPr>
          <w:rFonts w:ascii="Times New Roman" w:hAnsi="Times New Roman" w:cs="Times New Roman"/>
          <w:b/>
          <w:iCs/>
          <w:noProof/>
          <w:sz w:val="24"/>
          <w:szCs w:val="24"/>
        </w:rPr>
      </w:pPr>
    </w:p>
    <w:p w14:paraId="3E5096CC" w14:textId="77777777" w:rsidR="002C51B4" w:rsidRPr="00E65EE5" w:rsidRDefault="002C51B4" w:rsidP="002C51B4">
      <w:pPr>
        <w:jc w:val="both"/>
        <w:rPr>
          <w:b/>
          <w:noProof/>
        </w:rPr>
      </w:pPr>
      <w:r>
        <w:rPr>
          <w:rFonts w:ascii="Times New Roman" w:hAnsi="Times New Roman"/>
          <w:b/>
          <w:noProof/>
          <w:sz w:val="24"/>
        </w:rPr>
        <w:t xml:space="preserve">L’Europe progresse lentement vers une économie plus circulaire. Depuis </w:t>
      </w:r>
      <w:r w:rsidRPr="00F3116B">
        <w:rPr>
          <w:rFonts w:ascii="Times New Roman" w:hAnsi="Times New Roman"/>
          <w:b/>
          <w:noProof/>
          <w:sz w:val="24"/>
        </w:rPr>
        <w:t>2000</w:t>
      </w:r>
      <w:r>
        <w:rPr>
          <w:rFonts w:ascii="Times New Roman" w:hAnsi="Times New Roman"/>
          <w:b/>
          <w:noProof/>
          <w:sz w:val="24"/>
        </w:rPr>
        <w:t>, la productivité des ressources de l’industrie de l’UE</w:t>
      </w:r>
      <w:r>
        <w:rPr>
          <w:rStyle w:val="FootnoteReference"/>
          <w:rFonts w:ascii="Times New Roman" w:eastAsia="Calibri" w:hAnsi="Times New Roman" w:cs="Times New Roman"/>
          <w:b/>
          <w:noProof/>
          <w:sz w:val="24"/>
          <w:szCs w:val="24"/>
          <w:lang w:val="en-IE"/>
        </w:rPr>
        <w:footnoteReference w:id="64"/>
      </w:r>
      <w:r>
        <w:rPr>
          <w:rFonts w:ascii="Times New Roman" w:hAnsi="Times New Roman"/>
          <w:b/>
          <w:noProof/>
          <w:sz w:val="24"/>
        </w:rPr>
        <w:t xml:space="preserve"> a augmenté de </w:t>
      </w:r>
      <w:r w:rsidRPr="00F3116B">
        <w:rPr>
          <w:rFonts w:ascii="Times New Roman" w:hAnsi="Times New Roman"/>
          <w:b/>
          <w:noProof/>
          <w:sz w:val="24"/>
        </w:rPr>
        <w:t>37</w:t>
      </w:r>
      <w:r>
        <w:rPr>
          <w:rFonts w:ascii="Times New Roman" w:hAnsi="Times New Roman"/>
          <w:b/>
          <w:noProof/>
          <w:sz w:val="24"/>
        </w:rPr>
        <w:t> %, ce qui témoigne d’une utilisation plus efficace des matières dans la production de l’UE, mais l’empreinte en matières premières de l’UE</w:t>
      </w:r>
      <w:r w:rsidRPr="00E65EE5">
        <w:rPr>
          <w:rStyle w:val="FootnoteReference"/>
          <w:rFonts w:ascii="Times New Roman" w:eastAsia="Calibri" w:hAnsi="Times New Roman" w:cs="Times New Roman"/>
          <w:b/>
          <w:noProof/>
          <w:sz w:val="24"/>
          <w:szCs w:val="24"/>
          <w:lang w:val="en-IE"/>
        </w:rPr>
        <w:footnoteReference w:id="65"/>
      </w:r>
      <w:r>
        <w:rPr>
          <w:rFonts w:ascii="Times New Roman" w:hAnsi="Times New Roman"/>
          <w:b/>
          <w:noProof/>
          <w:sz w:val="24"/>
        </w:rPr>
        <w:t xml:space="preserve"> est restée stable au cours de la dernière décennie</w:t>
      </w:r>
      <w:r>
        <w:rPr>
          <w:rStyle w:val="FootnoteReference"/>
          <w:rFonts w:ascii="Times New Roman" w:eastAsia="Calibri" w:hAnsi="Times New Roman" w:cs="Times New Roman"/>
          <w:b/>
          <w:noProof/>
          <w:sz w:val="24"/>
          <w:szCs w:val="24"/>
          <w:lang w:val="en-IE"/>
        </w:rPr>
        <w:footnoteReference w:id="66"/>
      </w:r>
      <w:r>
        <w:rPr>
          <w:rFonts w:ascii="Times New Roman" w:hAnsi="Times New Roman"/>
          <w:b/>
          <w:noProof/>
          <w:sz w:val="24"/>
        </w:rPr>
        <w:t xml:space="preserve">. La législation récemment adoptée, une fois mise en œuvre, améliorera les arguments économiques en faveur de la circularité. </w:t>
      </w:r>
    </w:p>
    <w:p w14:paraId="34B5D964" w14:textId="77777777" w:rsidR="002C51B4" w:rsidRDefault="002C51B4" w:rsidP="002C51B4">
      <w:pPr>
        <w:jc w:val="both"/>
        <w:rPr>
          <w:rFonts w:ascii="Times New Roman" w:eastAsia="Calibri" w:hAnsi="Times New Roman" w:cs="Times New Roman"/>
          <w:noProof/>
          <w:sz w:val="24"/>
          <w:szCs w:val="24"/>
        </w:rPr>
      </w:pPr>
      <w:r>
        <w:rPr>
          <w:rFonts w:ascii="Times New Roman" w:hAnsi="Times New Roman"/>
          <w:noProof/>
          <w:sz w:val="24"/>
        </w:rPr>
        <w:t xml:space="preserve">Une plus grande circularité dans l’économie signifie une consommation moindre de matières primaires, moins de déchets et une diminution des dépendances. Elle s’accompagne également d’un important potentiel de création d’emplois de qualité, notamment dans l’économie sociale. La bioéconomie peut contribuer à une plus grande circularité, par exemple dans le domaine des matériaux pour batteries. </w:t>
      </w:r>
    </w:p>
    <w:p w14:paraId="3F619D88" w14:textId="77777777" w:rsidR="002C51B4" w:rsidRPr="005E29D7" w:rsidRDefault="002C51B4" w:rsidP="002C51B4">
      <w:pPr>
        <w:jc w:val="both"/>
        <w:rPr>
          <w:rFonts w:ascii="Times New Roman" w:eastAsia="Calibri" w:hAnsi="Times New Roman" w:cs="Times New Roman"/>
          <w:noProof/>
          <w:sz w:val="24"/>
          <w:szCs w:val="24"/>
        </w:rPr>
      </w:pPr>
      <w:r>
        <w:rPr>
          <w:rFonts w:ascii="Times New Roman" w:hAnsi="Times New Roman"/>
          <w:noProof/>
          <w:sz w:val="24"/>
        </w:rPr>
        <w:t xml:space="preserve">Le taux d’utilisation des matières premières secondaires en </w:t>
      </w:r>
      <w:r w:rsidRPr="00F3116B">
        <w:rPr>
          <w:rFonts w:ascii="Times New Roman" w:hAnsi="Times New Roman"/>
          <w:noProof/>
          <w:sz w:val="24"/>
        </w:rPr>
        <w:t>2022</w:t>
      </w:r>
      <w:r>
        <w:rPr>
          <w:rFonts w:ascii="Times New Roman" w:hAnsi="Times New Roman"/>
          <w:noProof/>
          <w:sz w:val="24"/>
        </w:rPr>
        <w:t xml:space="preserve"> s’élève à </w:t>
      </w:r>
      <w:r w:rsidRPr="00F3116B">
        <w:rPr>
          <w:rFonts w:ascii="Times New Roman" w:hAnsi="Times New Roman"/>
          <w:noProof/>
          <w:sz w:val="24"/>
        </w:rPr>
        <w:t>11</w:t>
      </w:r>
      <w:r>
        <w:rPr>
          <w:rFonts w:ascii="Times New Roman" w:hAnsi="Times New Roman"/>
          <w:noProof/>
          <w:sz w:val="24"/>
        </w:rPr>
        <w:t>,</w:t>
      </w:r>
      <w:r w:rsidRPr="00F3116B">
        <w:rPr>
          <w:rFonts w:ascii="Times New Roman" w:hAnsi="Times New Roman"/>
          <w:noProof/>
          <w:sz w:val="24"/>
        </w:rPr>
        <w:t>5</w:t>
      </w:r>
      <w:r>
        <w:rPr>
          <w:rFonts w:ascii="Times New Roman" w:hAnsi="Times New Roman"/>
          <w:noProof/>
          <w:sz w:val="24"/>
        </w:rPr>
        <w:t xml:space="preserve"> %; il n'atteint donc pas la moitié de l’objectif convenu pour </w:t>
      </w:r>
      <w:r w:rsidRPr="00F3116B">
        <w:rPr>
          <w:rFonts w:ascii="Times New Roman" w:hAnsi="Times New Roman"/>
          <w:noProof/>
          <w:sz w:val="24"/>
        </w:rPr>
        <w:t>2030</w:t>
      </w:r>
      <w:r>
        <w:rPr>
          <w:rFonts w:ascii="Times New Roman" w:hAnsi="Times New Roman"/>
          <w:noProof/>
          <w:sz w:val="24"/>
        </w:rPr>
        <w:t>, ce qui témoigne d’un potentiel inexploité important (voir figure </w:t>
      </w:r>
      <w:r w:rsidRPr="00F3116B">
        <w:rPr>
          <w:rFonts w:ascii="Times New Roman" w:hAnsi="Times New Roman"/>
          <w:noProof/>
          <w:sz w:val="24"/>
        </w:rPr>
        <w:t>3</w:t>
      </w:r>
      <w:r>
        <w:rPr>
          <w:rFonts w:ascii="Times New Roman" w:hAnsi="Times New Roman"/>
          <w:noProof/>
          <w:sz w:val="24"/>
        </w:rPr>
        <w:t xml:space="preserve"> et ICP </w:t>
      </w:r>
      <w:r w:rsidRPr="00F3116B">
        <w:rPr>
          <w:rFonts w:ascii="Times New Roman" w:hAnsi="Times New Roman"/>
          <w:noProof/>
          <w:sz w:val="24"/>
        </w:rPr>
        <w:t>10</w:t>
      </w:r>
      <w:r>
        <w:rPr>
          <w:rFonts w:ascii="Times New Roman" w:hAnsi="Times New Roman"/>
          <w:noProof/>
          <w:sz w:val="24"/>
        </w:rPr>
        <w:t xml:space="preserve">). Dans le même temps, la productivité des ressources de l’industrie de l’UE a progressé de </w:t>
      </w:r>
      <w:r w:rsidRPr="00F3116B">
        <w:rPr>
          <w:rFonts w:ascii="Times New Roman" w:hAnsi="Times New Roman"/>
          <w:noProof/>
          <w:sz w:val="24"/>
        </w:rPr>
        <w:t>37</w:t>
      </w:r>
      <w:r>
        <w:rPr>
          <w:rFonts w:ascii="Times New Roman" w:hAnsi="Times New Roman"/>
          <w:noProof/>
          <w:sz w:val="24"/>
        </w:rPr>
        <w:t> %</w:t>
      </w:r>
      <w:r w:rsidRPr="00ED1C75">
        <w:rPr>
          <w:rStyle w:val="FootnoteReference"/>
          <w:rFonts w:ascii="Times New Roman" w:hAnsi="Times New Roman" w:cs="Times New Roman"/>
          <w:noProof/>
          <w:color w:val="333333"/>
          <w:sz w:val="24"/>
          <w:szCs w:val="24"/>
          <w:shd w:val="clear" w:color="auto" w:fill="FFFFFF"/>
          <w:lang w:val="en-IE"/>
        </w:rPr>
        <w:footnoteReference w:id="67"/>
      </w:r>
      <w:r>
        <w:rPr>
          <w:rFonts w:ascii="Times New Roman" w:hAnsi="Times New Roman"/>
          <w:noProof/>
          <w:sz w:val="24"/>
        </w:rPr>
        <w:t xml:space="preserve"> en vingt ans; elle est aujourd’hui comparable à celle des États-Unis et trois fois supérieure à celle de la Chine. </w:t>
      </w:r>
    </w:p>
    <w:p w14:paraId="1EE539D5" w14:textId="77777777" w:rsidR="002C51B4" w:rsidRDefault="002C51B4" w:rsidP="002C51B4">
      <w:pPr>
        <w:jc w:val="both"/>
        <w:rPr>
          <w:rFonts w:ascii="Times New Roman" w:eastAsia="Calibri"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consommation non durable</w:t>
      </w:r>
      <w:r>
        <w:rPr>
          <w:rFonts w:ascii="Times New Roman" w:hAnsi="Times New Roman"/>
          <w:noProof/>
          <w:sz w:val="24"/>
        </w:rPr>
        <w:t xml:space="preserve"> et la production qui y est associée constituent des goulets d’étranglement majeurs pour la circularité</w:t>
      </w:r>
      <w:r>
        <w:rPr>
          <w:rStyle w:val="FootnoteReference"/>
          <w:rFonts w:ascii="Times New Roman" w:hAnsi="Times New Roman" w:cs="Times New Roman"/>
          <w:noProof/>
          <w:sz w:val="24"/>
          <w:szCs w:val="24"/>
          <w:lang w:val="en-IE"/>
        </w:rPr>
        <w:footnoteReference w:id="68"/>
      </w:r>
      <w:r>
        <w:rPr>
          <w:rFonts w:ascii="Times New Roman" w:hAnsi="Times New Roman"/>
          <w:noProof/>
          <w:sz w:val="24"/>
        </w:rPr>
        <w:t xml:space="preserve">. Seules </w:t>
      </w:r>
      <w:r w:rsidRPr="00F3116B">
        <w:rPr>
          <w:rFonts w:ascii="Times New Roman" w:hAnsi="Times New Roman"/>
          <w:noProof/>
          <w:sz w:val="24"/>
        </w:rPr>
        <w:t>20</w:t>
      </w:r>
      <w:r>
        <w:rPr>
          <w:rFonts w:ascii="Times New Roman" w:hAnsi="Times New Roman"/>
          <w:noProof/>
          <w:sz w:val="24"/>
        </w:rPr>
        <w:t xml:space="preserve"> % des PME utilisent des matières recyclées et seulement </w:t>
      </w:r>
      <w:r w:rsidRPr="00F3116B">
        <w:rPr>
          <w:rFonts w:ascii="Times New Roman" w:hAnsi="Times New Roman"/>
          <w:noProof/>
          <w:sz w:val="24"/>
        </w:rPr>
        <w:t>11</w:t>
      </w:r>
      <w:r>
        <w:rPr>
          <w:rFonts w:ascii="Times New Roman" w:hAnsi="Times New Roman"/>
          <w:noProof/>
          <w:sz w:val="24"/>
        </w:rPr>
        <w:t> % adoptent des modèles commerciaux circulaires</w:t>
      </w:r>
      <w:r w:rsidRPr="00ED1C75">
        <w:rPr>
          <w:rStyle w:val="FootnoteReference"/>
          <w:rFonts w:ascii="Times New Roman" w:eastAsia="Calibri" w:hAnsi="Times New Roman" w:cs="Times New Roman"/>
          <w:noProof/>
          <w:sz w:val="24"/>
          <w:szCs w:val="24"/>
          <w:lang w:val="en-IE"/>
        </w:rPr>
        <w:footnoteReference w:id="69"/>
      </w:r>
      <w:r>
        <w:rPr>
          <w:rFonts w:ascii="Times New Roman" w:hAnsi="Times New Roman"/>
          <w:noProof/>
          <w:sz w:val="24"/>
        </w:rPr>
        <w:t xml:space="preserve">.  </w:t>
      </w:r>
    </w:p>
    <w:p w14:paraId="5AE86889" w14:textId="77777777" w:rsidR="002C51B4" w:rsidRDefault="002C51B4" w:rsidP="002C51B4">
      <w:pPr>
        <w:jc w:val="both"/>
        <w:rPr>
          <w:rFonts w:ascii="Times New Roman" w:hAnsi="Times New Roman" w:cs="Times New Roman"/>
          <w:noProof/>
          <w:sz w:val="24"/>
          <w:szCs w:val="24"/>
        </w:rPr>
      </w:pPr>
      <w:bookmarkStart w:id="36" w:name="_Hlk150950542"/>
      <w:r w:rsidRPr="000B052C">
        <w:rPr>
          <w:rFonts w:ascii="Times New Roman" w:hAnsi="Times New Roman" w:cs="Times New Roman"/>
          <w:noProof/>
          <w:sz w:val="24"/>
          <w:szCs w:val="24"/>
        </w:rPr>
        <w:t xml:space="preserve">La législation récemment adoptée ou ayant fait l’objet d’accord politique </w:t>
      </w:r>
      <w:bookmarkEnd w:id="36"/>
      <w:r w:rsidRPr="000B052C">
        <w:rPr>
          <w:rFonts w:ascii="Times New Roman" w:hAnsi="Times New Roman" w:cs="Times New Roman"/>
          <w:b/>
          <w:noProof/>
          <w:sz w:val="24"/>
          <w:szCs w:val="24"/>
        </w:rPr>
        <w:t>plaide fortement en faveur d’une plus grande circularité</w:t>
      </w:r>
      <w:r w:rsidRPr="000B052C">
        <w:rPr>
          <w:rFonts w:ascii="Times New Roman" w:hAnsi="Times New Roman" w:cs="Times New Roman"/>
          <w:noProof/>
          <w:sz w:val="24"/>
          <w:szCs w:val="24"/>
        </w:rPr>
        <w:t xml:space="preserve"> dans l’UE. En amont, le </w:t>
      </w:r>
      <w:r w:rsidRPr="000B052C">
        <w:rPr>
          <w:rFonts w:ascii="Times New Roman" w:hAnsi="Times New Roman" w:cs="Times New Roman"/>
          <w:b/>
          <w:noProof/>
          <w:sz w:val="24"/>
          <w:szCs w:val="24"/>
        </w:rPr>
        <w:t>règlement sur les matières premières critiques</w:t>
      </w:r>
      <w:r w:rsidRPr="000B052C">
        <w:rPr>
          <w:rFonts w:ascii="Times New Roman" w:hAnsi="Times New Roman" w:cs="Times New Roman"/>
          <w:noProof/>
          <w:sz w:val="24"/>
          <w:szCs w:val="24"/>
        </w:rPr>
        <w:t xml:space="preserve"> prévoit que la capacité de recyclage de l’Union couvre </w:t>
      </w:r>
      <w:r w:rsidRPr="00F3116B">
        <w:rPr>
          <w:rFonts w:ascii="Times New Roman" w:hAnsi="Times New Roman" w:cs="Times New Roman"/>
          <w:noProof/>
          <w:sz w:val="24"/>
          <w:szCs w:val="24"/>
        </w:rPr>
        <w:t>25</w:t>
      </w:r>
      <w:r w:rsidRPr="000B052C">
        <w:rPr>
          <w:rFonts w:ascii="Times New Roman" w:hAnsi="Times New Roman" w:cs="Times New Roman"/>
          <w:noProof/>
          <w:sz w:val="24"/>
          <w:szCs w:val="24"/>
        </w:rPr>
        <w:t xml:space="preserve"> % de la consommation annuelle de matières premières stratégiques de l’Union d’ici à </w:t>
      </w:r>
      <w:r w:rsidRPr="00F3116B">
        <w:rPr>
          <w:rFonts w:ascii="Times New Roman" w:hAnsi="Times New Roman" w:cs="Times New Roman"/>
          <w:noProof/>
          <w:sz w:val="24"/>
          <w:szCs w:val="24"/>
        </w:rPr>
        <w:t>2030</w:t>
      </w:r>
      <w:r w:rsidRPr="000B052C">
        <w:rPr>
          <w:rFonts w:ascii="Times New Roman" w:hAnsi="Times New Roman" w:cs="Times New Roman"/>
          <w:noProof/>
          <w:sz w:val="24"/>
          <w:szCs w:val="24"/>
        </w:rPr>
        <w:t>.</w:t>
      </w:r>
      <w:r>
        <w:rPr>
          <w:rFonts w:ascii="Times New Roman" w:hAnsi="Times New Roman"/>
          <w:noProof/>
          <w:sz w:val="24"/>
        </w:rPr>
        <w:t xml:space="preserve"> En ce qui concerne les produits, le </w:t>
      </w:r>
      <w:r>
        <w:rPr>
          <w:rFonts w:ascii="Times New Roman" w:hAnsi="Times New Roman"/>
          <w:b/>
          <w:noProof/>
          <w:sz w:val="24"/>
        </w:rPr>
        <w:t>règlement sur l’écoconception pour des produits durables</w:t>
      </w:r>
      <w:r>
        <w:rPr>
          <w:rFonts w:ascii="Times New Roman" w:hAnsi="Times New Roman"/>
          <w:noProof/>
          <w:sz w:val="24"/>
        </w:rPr>
        <w:t xml:space="preserve"> permettra de concevoir des critères de circularité spécifiques pour les catégories de produits mises sur le marché de l’UE</w:t>
      </w:r>
      <w:r w:rsidRPr="00ED1C75">
        <w:rPr>
          <w:rStyle w:val="FootnoteReference"/>
          <w:rFonts w:ascii="Times New Roman" w:hAnsi="Times New Roman" w:cs="Times New Roman"/>
          <w:noProof/>
          <w:sz w:val="24"/>
          <w:szCs w:val="24"/>
          <w:lang w:val="en-IE"/>
        </w:rPr>
        <w:footnoteReference w:id="70"/>
      </w:r>
      <w:r>
        <w:rPr>
          <w:rFonts w:ascii="Times New Roman" w:hAnsi="Times New Roman"/>
          <w:noProof/>
          <w:sz w:val="24"/>
        </w:rPr>
        <w:t xml:space="preserve">, contribuant ainsi à remédier à la fragmentation du marché unique qui résulte des divergences entre les législations nationales en matière de durabilité des produits. Le passeport numérique de produit facilitera le partage d’informations tout au long des chaînes d’approvisionnement. La surveillance du marché sera renforcée afin de remédier aux lacunes dans la mise en œuvre des exigences d’écoconception applicables, notamment en ce qui concerne les produits importés. Aujourd’hui déjà, le </w:t>
      </w:r>
      <w:r>
        <w:rPr>
          <w:rFonts w:ascii="Times New Roman" w:hAnsi="Times New Roman"/>
          <w:b/>
          <w:noProof/>
          <w:sz w:val="24"/>
        </w:rPr>
        <w:t>cadre réglementaire de l’UE pour les batteries</w:t>
      </w:r>
      <w:r w:rsidRPr="00ED1C75">
        <w:rPr>
          <w:rStyle w:val="FootnoteReference"/>
          <w:rFonts w:ascii="Times New Roman" w:hAnsi="Times New Roman" w:cs="Times New Roman"/>
          <w:noProof/>
          <w:sz w:val="24"/>
          <w:szCs w:val="24"/>
          <w:lang w:val="en-IE"/>
        </w:rPr>
        <w:footnoteReference w:id="71"/>
      </w:r>
      <w:r>
        <w:rPr>
          <w:rFonts w:ascii="Times New Roman" w:hAnsi="Times New Roman"/>
          <w:noProof/>
          <w:sz w:val="24"/>
        </w:rPr>
        <w:t xml:space="preserve"> contribue aux chaînes de valeur circulaires dans le domaine de la production de batteries. Parallèlement, certains obstacles doivent encore être levés pour favoriser une plus grande circularité, par exemple en ce qui concerne la définition des déchets. En ce qui concerne les consommateurs, la directive «Donner aux consommateurs les moyens d’agir en faveur de la transition écologique» et la directive sur les allégations écologiques aident les consommateurs à identifier les produits fiables et durables.</w:t>
      </w:r>
    </w:p>
    <w:p w14:paraId="20FF268A" w14:textId="77777777" w:rsidR="002C51B4" w:rsidRPr="0044100B" w:rsidRDefault="002C51B4" w:rsidP="002C51B4">
      <w:pPr>
        <w:pStyle w:val="Caption"/>
        <w:keepNext/>
        <w:rPr>
          <w:rFonts w:ascii="Times New Roman" w:eastAsia="Calibri" w:hAnsi="Times New Roman" w:cs="Times New Roman"/>
          <w:i w:val="0"/>
          <w:iCs w:val="0"/>
          <w:noProof/>
          <w:color w:val="auto"/>
          <w:sz w:val="22"/>
          <w:szCs w:val="22"/>
        </w:rPr>
      </w:pPr>
      <w:bookmarkStart w:id="37" w:name="_Ref155793837"/>
      <w:bookmarkStart w:id="38" w:name="_Ref155804248"/>
      <w:r>
        <w:rPr>
          <w:rFonts w:ascii="Times New Roman" w:hAnsi="Times New Roman"/>
          <w:i w:val="0"/>
          <w:noProof/>
          <w:color w:val="auto"/>
          <w:sz w:val="22"/>
        </w:rPr>
        <w:t xml:space="preserve">Figure </w:t>
      </w:r>
      <w:r w:rsidRPr="0044100B">
        <w:rPr>
          <w:rFonts w:ascii="Times New Roman" w:eastAsia="Calibri" w:hAnsi="Times New Roman" w:cs="Times New Roman"/>
          <w:i w:val="0"/>
          <w:noProof/>
          <w:color w:val="auto"/>
          <w:sz w:val="22"/>
        </w:rPr>
        <w:fldChar w:fldCharType="begin" w:fldLock="1"/>
      </w:r>
      <w:r w:rsidRPr="0044100B">
        <w:rPr>
          <w:rFonts w:ascii="Times New Roman" w:eastAsia="Calibri" w:hAnsi="Times New Roman" w:cs="Times New Roman"/>
          <w:i w:val="0"/>
          <w:noProof/>
          <w:color w:val="auto"/>
          <w:sz w:val="22"/>
        </w:rPr>
        <w:instrText xml:space="preserve"> SEQ Figure \* ARABIC </w:instrText>
      </w:r>
      <w:r w:rsidRPr="0044100B">
        <w:rPr>
          <w:rFonts w:ascii="Times New Roman" w:eastAsia="Calibri" w:hAnsi="Times New Roman" w:cs="Times New Roman"/>
          <w:i w:val="0"/>
          <w:noProof/>
          <w:color w:val="auto"/>
          <w:sz w:val="22"/>
        </w:rPr>
        <w:fldChar w:fldCharType="separate"/>
      </w:r>
      <w:r w:rsidRPr="00F3116B">
        <w:rPr>
          <w:rFonts w:ascii="Times New Roman" w:eastAsia="Calibri" w:hAnsi="Times New Roman" w:cs="Times New Roman"/>
          <w:i w:val="0"/>
          <w:noProof/>
          <w:color w:val="auto"/>
          <w:sz w:val="22"/>
        </w:rPr>
        <w:t>3</w:t>
      </w:r>
      <w:r w:rsidRPr="0044100B">
        <w:rPr>
          <w:rFonts w:ascii="Times New Roman" w:eastAsia="Calibri" w:hAnsi="Times New Roman" w:cs="Times New Roman"/>
          <w:i w:val="0"/>
          <w:noProof/>
          <w:color w:val="auto"/>
          <w:sz w:val="22"/>
        </w:rPr>
        <w:fldChar w:fldCharType="end"/>
      </w:r>
      <w:bookmarkEnd w:id="37"/>
      <w:r>
        <w:rPr>
          <w:rFonts w:ascii="Times New Roman" w:hAnsi="Times New Roman"/>
          <w:i w:val="0"/>
          <w:noProof/>
          <w:color w:val="auto"/>
        </w:rPr>
        <w:t>.</w:t>
      </w:r>
      <w:r>
        <w:rPr>
          <w:noProof/>
          <w:sz w:val="22"/>
        </w:rPr>
        <w:t xml:space="preserve"> </w:t>
      </w:r>
      <w:r>
        <w:rPr>
          <w:rFonts w:ascii="Times New Roman" w:hAnsi="Times New Roman"/>
          <w:i w:val="0"/>
          <w:noProof/>
          <w:color w:val="auto"/>
          <w:sz w:val="22"/>
        </w:rPr>
        <w:t>Taux d’utilisation circulaire des matières</w:t>
      </w:r>
      <w:r>
        <w:rPr>
          <w:noProof/>
        </w:rPr>
        <w:t xml:space="preserve"> </w:t>
      </w:r>
      <w:bookmarkEnd w:id="38"/>
      <w:r>
        <w:rPr>
          <w:rFonts w:ascii="Times New Roman" w:hAnsi="Times New Roman"/>
          <w:i w:val="0"/>
          <w:noProof/>
          <w:color w:val="auto"/>
          <w:sz w:val="22"/>
        </w:rPr>
        <w:t>(utilisation de matières secondaires en % de l’utilisation totale des matières)</w:t>
      </w:r>
    </w:p>
    <w:p w14:paraId="77763CA5" w14:textId="0C27409D" w:rsidR="002C51B4" w:rsidRDefault="00E61EC3" w:rsidP="002C51B4">
      <w:pPr>
        <w:jc w:val="both"/>
        <w:rPr>
          <w:rFonts w:ascii="Times New Roman" w:eastAsia="Calibri" w:hAnsi="Times New Roman" w:cs="Times New Roman"/>
          <w:noProof/>
          <w:sz w:val="24"/>
          <w:szCs w:val="24"/>
        </w:rPr>
      </w:pPr>
      <w:r w:rsidRPr="00E61EC3">
        <w:rPr>
          <w:rFonts w:ascii="Times New Roman" w:eastAsia="Calibri" w:hAnsi="Times New Roman" w:cs="Times New Roman"/>
          <w:noProof/>
          <w:sz w:val="24"/>
          <w:szCs w:val="24"/>
          <w:lang w:val="en-GB" w:eastAsia="en-GB"/>
        </w:rPr>
        <w:drawing>
          <wp:inline distT="0" distB="0" distL="0" distR="0" wp14:anchorId="58E66FA5" wp14:editId="60B23880">
            <wp:extent cx="5943600" cy="2656205"/>
            <wp:effectExtent l="0" t="0" r="0" b="0"/>
            <wp:docPr id="10" name="Chart 10">
              <a:extLst xmlns:a="http://schemas.openxmlformats.org/drawingml/2006/main">
                <a:ext uri="{FF2B5EF4-FFF2-40B4-BE49-F238E27FC236}">
                  <a16:creationId xmlns:a16="http://schemas.microsoft.com/office/drawing/2014/main" id="{8A4817BE-9E72-4054-8437-9D1EC7BE72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E016ED8" w14:textId="77777777" w:rsidR="002C51B4" w:rsidRDefault="002C51B4" w:rsidP="002C51B4">
      <w:pPr>
        <w:jc w:val="both"/>
        <w:rPr>
          <w:rFonts w:ascii="EC Square Sans Cond Pro" w:hAnsi="EC Square Sans Cond Pro"/>
          <w:noProof/>
          <w:color w:val="4472C4" w:themeColor="accent1"/>
          <w:sz w:val="20"/>
          <w:szCs w:val="16"/>
        </w:rPr>
      </w:pPr>
      <w:r>
        <w:rPr>
          <w:rFonts w:ascii="EC Square Sans Cond Pro" w:hAnsi="EC Square Sans Cond Pro"/>
          <w:noProof/>
          <w:color w:val="4472C4" w:themeColor="accent1"/>
          <w:sz w:val="20"/>
        </w:rPr>
        <w:t>Source: Eurostat</w:t>
      </w:r>
    </w:p>
    <w:tbl>
      <w:tblPr>
        <w:tblStyle w:val="TableGrid"/>
        <w:tblW w:w="0" w:type="auto"/>
        <w:tblInd w:w="108" w:type="dxa"/>
        <w:tblLook w:val="04A0" w:firstRow="1" w:lastRow="0" w:firstColumn="1" w:lastColumn="0" w:noHBand="0" w:noVBand="1"/>
      </w:tblPr>
      <w:tblGrid>
        <w:gridCol w:w="9356"/>
      </w:tblGrid>
      <w:tr w:rsidR="002C51B4" w14:paraId="4C208CEE" w14:textId="77777777" w:rsidTr="00BB6538">
        <w:tc>
          <w:tcPr>
            <w:tcW w:w="9356" w:type="dxa"/>
          </w:tcPr>
          <w:p w14:paraId="68061355" w14:textId="77777777" w:rsidR="002C51B4" w:rsidRDefault="002C51B4" w:rsidP="00BB6538">
            <w:pPr>
              <w:spacing w:before="120" w:after="120"/>
              <w:jc w:val="both"/>
              <w:rPr>
                <w:rFonts w:ascii="Times New Roman" w:eastAsia="Calibri" w:hAnsi="Times New Roman" w:cs="Times New Roman"/>
                <w:b/>
                <w:bCs/>
                <w:noProof/>
                <w:sz w:val="24"/>
                <w:szCs w:val="24"/>
              </w:rPr>
            </w:pPr>
            <w:r>
              <w:rPr>
                <w:rFonts w:ascii="Times New Roman" w:hAnsi="Times New Roman"/>
                <w:noProof/>
                <w:sz w:val="24"/>
              </w:rPr>
              <w:t xml:space="preserve">La législation récemment adoptée renforcera la circularité dans l’UE. Toutefois, pour garantir son efficacité, les États membres doivent s’employer à renforcer la surveillance du marché en ce qui concerne les exigences réglementaires relatives aux produits qui sont liées à la circularité. Par ailleurs, les États membres pourraient promouvoir une consommation durable des matières en soutenant l’utilisation de matières secondaires dans l’industrie (symbiose industrielle entre les entreprises) ainsi que les plateformes d’économie du partage sur lesquelles l’offre et la demande de déchets recyclables/réutilisables pourraient se rencontrer. En outre, il importe d’intégrer l’économie circulaire en stimulant la recherche et l’innovation, le perfectionnement et la reconversion de la main-d’œuvre et en ciblant l’utilisation des instruments de financement. </w:t>
            </w:r>
          </w:p>
        </w:tc>
      </w:tr>
    </w:tbl>
    <w:p w14:paraId="17CB5344" w14:textId="77777777" w:rsidR="002C51B4" w:rsidRPr="00175CDB" w:rsidRDefault="002C51B4" w:rsidP="002C51B4">
      <w:pPr>
        <w:pStyle w:val="ListParagraph"/>
        <w:spacing w:after="0" w:line="120" w:lineRule="auto"/>
        <w:rPr>
          <w:rFonts w:ascii="Times New Roman" w:hAnsi="Times New Roman" w:cs="Times New Roman"/>
          <w:b/>
          <w:bCs/>
          <w:noProof/>
          <w:sz w:val="24"/>
          <w:szCs w:val="24"/>
        </w:rPr>
      </w:pPr>
      <w:bookmarkStart w:id="39" w:name="_Hlk156926720"/>
      <w:bookmarkEnd w:id="35"/>
    </w:p>
    <w:p w14:paraId="6E461225" w14:textId="77777777" w:rsidR="002C51B4" w:rsidRPr="00DF2D3C" w:rsidRDefault="002C51B4" w:rsidP="002C51B4">
      <w:pPr>
        <w:pStyle w:val="ListParagraph"/>
        <w:keepNext/>
        <w:numPr>
          <w:ilvl w:val="0"/>
          <w:numId w:val="2"/>
        </w:numPr>
        <w:spacing w:before="240"/>
        <w:ind w:left="357" w:hanging="357"/>
        <w:jc w:val="both"/>
        <w:rPr>
          <w:rFonts w:ascii="Times New Roman" w:hAnsi="Times New Roman" w:cs="Times New Roman"/>
          <w:b/>
          <w:bCs/>
          <w:noProof/>
          <w:sz w:val="24"/>
          <w:szCs w:val="24"/>
          <w:u w:val="single"/>
        </w:rPr>
      </w:pPr>
      <w:r>
        <w:rPr>
          <w:rFonts w:ascii="Times New Roman" w:hAnsi="Times New Roman"/>
          <w:b/>
          <w:noProof/>
          <w:sz w:val="24"/>
          <w:u w:val="single"/>
        </w:rPr>
        <w:t xml:space="preserve">Numérisation  </w:t>
      </w:r>
    </w:p>
    <w:tbl>
      <w:tblPr>
        <w:tblW w:w="5000" w:type="pct"/>
        <w:tblCellMar>
          <w:left w:w="0" w:type="dxa"/>
          <w:right w:w="0" w:type="dxa"/>
        </w:tblCellMar>
        <w:tblLook w:val="01E0" w:firstRow="1" w:lastRow="1" w:firstColumn="1" w:lastColumn="1" w:noHBand="0" w:noVBand="0"/>
      </w:tblPr>
      <w:tblGrid>
        <w:gridCol w:w="2435"/>
        <w:gridCol w:w="4096"/>
        <w:gridCol w:w="1073"/>
        <w:gridCol w:w="1756"/>
      </w:tblGrid>
      <w:tr w:rsidR="002C51B4" w:rsidRPr="00982FFF" w14:paraId="7C2674D5" w14:textId="77777777" w:rsidTr="00F34019">
        <w:trPr>
          <w:trHeight w:hRule="exact" w:val="699"/>
        </w:trPr>
        <w:tc>
          <w:tcPr>
            <w:tcW w:w="1301" w:type="pct"/>
            <w:tcBorders>
              <w:top w:val="single" w:sz="4" w:space="0" w:color="auto"/>
              <w:bottom w:val="single" w:sz="4" w:space="0" w:color="auto"/>
            </w:tcBorders>
            <w:shd w:val="clear" w:color="auto" w:fill="B8CCE4"/>
            <w:vAlign w:val="center"/>
          </w:tcPr>
          <w:bookmarkEnd w:id="39"/>
          <w:p w14:paraId="1133095C" w14:textId="77777777" w:rsidR="002C51B4" w:rsidRPr="00982FFF" w:rsidRDefault="002C51B4" w:rsidP="00BB6538">
            <w:pPr>
              <w:widowControl w:val="0"/>
              <w:autoSpaceDE w:val="0"/>
              <w:autoSpaceDN w:val="0"/>
              <w:spacing w:after="60" w:line="240" w:lineRule="auto"/>
              <w:ind w:left="107" w:right="138"/>
              <w:rPr>
                <w:rFonts w:ascii="Times New Roman" w:eastAsia="Times New Roman" w:hAnsi="Times New Roman" w:cs="Times New Roman"/>
                <w:noProof/>
                <w:color w:val="111111"/>
                <w:sz w:val="18"/>
                <w:szCs w:val="18"/>
              </w:rPr>
            </w:pPr>
            <w:r>
              <w:rPr>
                <w:rFonts w:ascii="Times New Roman" w:hAnsi="Times New Roman"/>
                <w:b/>
                <w:noProof/>
                <w:color w:val="003063"/>
                <w:sz w:val="18"/>
              </w:rPr>
              <w:t>ICP</w:t>
            </w:r>
          </w:p>
        </w:tc>
        <w:tc>
          <w:tcPr>
            <w:tcW w:w="2188" w:type="pct"/>
            <w:tcBorders>
              <w:top w:val="single" w:sz="4" w:space="0" w:color="auto"/>
              <w:bottom w:val="single" w:sz="4" w:space="0" w:color="auto"/>
            </w:tcBorders>
            <w:shd w:val="clear" w:color="auto" w:fill="B8CCE4"/>
            <w:vAlign w:val="center"/>
          </w:tcPr>
          <w:p w14:paraId="6DFAC1E5" w14:textId="77777777" w:rsidR="002C51B4" w:rsidRPr="00982FFF" w:rsidRDefault="002C51B4" w:rsidP="00BB6538">
            <w:pPr>
              <w:widowControl w:val="0"/>
              <w:autoSpaceDE w:val="0"/>
              <w:autoSpaceDN w:val="0"/>
              <w:spacing w:after="60" w:line="240" w:lineRule="auto"/>
              <w:ind w:left="108" w:right="142"/>
              <w:jc w:val="both"/>
              <w:rPr>
                <w:rFonts w:ascii="Times New Roman" w:eastAsia="Times New Roman" w:hAnsi="Times New Roman" w:cs="Times New Roman"/>
                <w:noProof/>
                <w:color w:val="111111"/>
                <w:sz w:val="18"/>
                <w:szCs w:val="18"/>
              </w:rPr>
            </w:pPr>
            <w:r>
              <w:rPr>
                <w:rFonts w:ascii="Times New Roman" w:hAnsi="Times New Roman"/>
                <w:b/>
                <w:noProof/>
                <w:color w:val="003063"/>
                <w:sz w:val="18"/>
              </w:rPr>
              <w:t>Description</w:t>
            </w:r>
          </w:p>
        </w:tc>
        <w:tc>
          <w:tcPr>
            <w:tcW w:w="573" w:type="pct"/>
            <w:tcBorders>
              <w:top w:val="single" w:sz="4" w:space="0" w:color="auto"/>
              <w:bottom w:val="single" w:sz="4" w:space="0" w:color="auto"/>
            </w:tcBorders>
            <w:shd w:val="clear" w:color="auto" w:fill="B8CCE4"/>
            <w:vAlign w:val="center"/>
          </w:tcPr>
          <w:p w14:paraId="47ED663A" w14:textId="77777777" w:rsidR="002C51B4" w:rsidRPr="00982FFF" w:rsidRDefault="002C51B4" w:rsidP="00BB6538">
            <w:pPr>
              <w:widowControl w:val="0"/>
              <w:autoSpaceDE w:val="0"/>
              <w:autoSpaceDN w:val="0"/>
              <w:spacing w:after="60" w:line="275" w:lineRule="exact"/>
              <w:ind w:left="107"/>
              <w:rPr>
                <w:rFonts w:ascii="Times New Roman" w:eastAsia="Times New Roman" w:hAnsi="Times New Roman" w:cs="Times New Roman"/>
                <w:noProof/>
                <w:sz w:val="18"/>
                <w:szCs w:val="18"/>
              </w:rPr>
            </w:pPr>
            <w:r>
              <w:rPr>
                <w:rFonts w:ascii="Times New Roman" w:hAnsi="Times New Roman"/>
                <w:b/>
                <w:noProof/>
                <w:color w:val="003063"/>
                <w:sz w:val="18"/>
              </w:rPr>
              <w:t>Objectif</w:t>
            </w:r>
          </w:p>
        </w:tc>
        <w:tc>
          <w:tcPr>
            <w:tcW w:w="938" w:type="pct"/>
            <w:tcBorders>
              <w:top w:val="single" w:sz="4" w:space="0" w:color="auto"/>
              <w:bottom w:val="single" w:sz="4" w:space="0" w:color="auto"/>
            </w:tcBorders>
            <w:shd w:val="clear" w:color="auto" w:fill="B8CCE4"/>
            <w:vAlign w:val="center"/>
          </w:tcPr>
          <w:p w14:paraId="7977989B" w14:textId="77777777" w:rsidR="002C51B4" w:rsidRPr="00982FFF" w:rsidRDefault="002C51B4" w:rsidP="00BB6538">
            <w:pPr>
              <w:widowControl w:val="0"/>
              <w:autoSpaceDE w:val="0"/>
              <w:autoSpaceDN w:val="0"/>
              <w:spacing w:after="60" w:line="275" w:lineRule="exact"/>
              <w:ind w:left="107"/>
              <w:rPr>
                <w:rFonts w:ascii="Times New Roman" w:eastAsia="Times New Roman" w:hAnsi="Times New Roman" w:cs="Times New Roman"/>
                <w:noProof/>
                <w:sz w:val="18"/>
                <w:szCs w:val="18"/>
              </w:rPr>
            </w:pPr>
            <w:r>
              <w:rPr>
                <w:rFonts w:ascii="Times New Roman" w:hAnsi="Times New Roman"/>
                <w:b/>
                <w:noProof/>
                <w:color w:val="003063"/>
                <w:sz w:val="18"/>
              </w:rPr>
              <w:t>Valeurs UE</w:t>
            </w:r>
            <w:r>
              <w:rPr>
                <w:rFonts w:ascii="Times New Roman" w:hAnsi="Times New Roman"/>
                <w:b/>
                <w:noProof/>
                <w:sz w:val="18"/>
              </w:rPr>
              <w:t xml:space="preserve"> </w:t>
            </w:r>
            <w:r>
              <w:rPr>
                <w:rFonts w:ascii="Times New Roman" w:hAnsi="Times New Roman"/>
                <w:b/>
                <w:noProof/>
                <w:color w:val="003063"/>
                <w:sz w:val="18"/>
              </w:rPr>
              <w:t>les plus récentes</w:t>
            </w:r>
            <w:r w:rsidRPr="002764DE">
              <w:rPr>
                <w:rFonts w:ascii="Times New Roman" w:eastAsia="Palatino Linotype" w:hAnsi="Times New Roman" w:cs="Times New Roman"/>
                <w:b/>
                <w:noProof/>
                <w:color w:val="003063"/>
                <w:spacing w:val="26"/>
                <w:w w:val="90"/>
                <w:sz w:val="18"/>
                <w:szCs w:val="18"/>
                <w:vertAlign w:val="superscript"/>
                <w:lang w:val="en-US"/>
              </w:rPr>
              <w:footnoteReference w:id="72"/>
            </w:r>
          </w:p>
        </w:tc>
      </w:tr>
      <w:tr w:rsidR="002C51B4" w:rsidRPr="00982FFF" w14:paraId="23D91E6B" w14:textId="77777777" w:rsidTr="00BB6538">
        <w:trPr>
          <w:trHeight w:val="1559"/>
        </w:trPr>
        <w:tc>
          <w:tcPr>
            <w:tcW w:w="1301" w:type="pct"/>
            <w:tcBorders>
              <w:top w:val="single" w:sz="4" w:space="0" w:color="auto"/>
              <w:bottom w:val="single" w:sz="4" w:space="0" w:color="808080" w:themeColor="background1" w:themeShade="80"/>
            </w:tcBorders>
            <w:shd w:val="clear" w:color="auto" w:fill="C2D69B"/>
          </w:tcPr>
          <w:p w14:paraId="6A5CF966" w14:textId="77777777" w:rsidR="002C51B4" w:rsidRPr="005C3892" w:rsidRDefault="002C51B4" w:rsidP="00BB6538">
            <w:pPr>
              <w:widowControl w:val="0"/>
              <w:autoSpaceDE w:val="0"/>
              <w:autoSpaceDN w:val="0"/>
              <w:spacing w:before="60" w:after="60" w:line="240" w:lineRule="auto"/>
              <w:ind w:left="107" w:right="138"/>
              <w:rPr>
                <w:rFonts w:ascii="Times New Roman" w:hAnsi="Times New Roman"/>
                <w:noProof/>
                <w:color w:val="111111"/>
                <w:sz w:val="18"/>
              </w:rPr>
            </w:pPr>
            <w:r>
              <w:rPr>
                <w:rFonts w:ascii="Times New Roman" w:hAnsi="Times New Roman"/>
                <w:noProof/>
                <w:color w:val="111111"/>
                <w:sz w:val="18"/>
              </w:rPr>
              <w:t>ICP </w:t>
            </w:r>
            <w:r w:rsidRPr="00F3116B">
              <w:rPr>
                <w:rFonts w:ascii="Times New Roman" w:hAnsi="Times New Roman"/>
                <w:noProof/>
                <w:color w:val="111111"/>
                <w:sz w:val="18"/>
              </w:rPr>
              <w:t>11</w:t>
            </w:r>
            <w:r>
              <w:rPr>
                <w:rFonts w:ascii="Times New Roman" w:hAnsi="Times New Roman"/>
                <w:noProof/>
                <w:color w:val="111111"/>
                <w:sz w:val="18"/>
              </w:rPr>
              <w:t>: Intensité numérique dans les PME</w:t>
            </w:r>
          </w:p>
        </w:tc>
        <w:tc>
          <w:tcPr>
            <w:tcW w:w="2188" w:type="pct"/>
            <w:tcBorders>
              <w:top w:val="single" w:sz="4" w:space="0" w:color="auto"/>
              <w:bottom w:val="single" w:sz="4" w:space="0" w:color="808080" w:themeColor="background1" w:themeShade="80"/>
            </w:tcBorders>
            <w:shd w:val="clear" w:color="auto" w:fill="C2D69B"/>
          </w:tcPr>
          <w:p w14:paraId="0BD8BF29" w14:textId="77777777" w:rsidR="002C51B4" w:rsidRPr="005C3892" w:rsidRDefault="002C51B4" w:rsidP="00BB6538">
            <w:pPr>
              <w:widowControl w:val="0"/>
              <w:autoSpaceDE w:val="0"/>
              <w:autoSpaceDN w:val="0"/>
              <w:spacing w:before="60" w:after="60" w:line="240" w:lineRule="auto"/>
              <w:ind w:left="108" w:right="142"/>
              <w:jc w:val="both"/>
              <w:rPr>
                <w:rFonts w:ascii="Times New Roman" w:hAnsi="Times New Roman"/>
                <w:noProof/>
                <w:color w:val="111111"/>
                <w:sz w:val="18"/>
              </w:rPr>
            </w:pPr>
            <w:r>
              <w:rPr>
                <w:rFonts w:ascii="Times New Roman" w:hAnsi="Times New Roman"/>
                <w:noProof/>
                <w:color w:val="111111"/>
                <w:sz w:val="18"/>
              </w:rPr>
              <w:t>Pourcentage d’entreprises de l’UE atteignant au moins un niveau élémentaire d’intensité numérique. Un niveau de base implique l’utilisation d’au moins quatre</w:t>
            </w:r>
            <w:r>
              <w:rPr>
                <w:noProof/>
              </w:rPr>
              <w:t xml:space="preserve"> </w:t>
            </w:r>
            <w:hyperlink r:id="rId20">
              <w:r>
                <w:rPr>
                  <w:rFonts w:ascii="Times New Roman" w:hAnsi="Times New Roman"/>
                  <w:noProof/>
                  <w:color w:val="111111"/>
                  <w:sz w:val="18"/>
                </w:rPr>
                <w:t>des douze</w:t>
              </w:r>
            </w:hyperlink>
            <w:r>
              <w:rPr>
                <w:rFonts w:ascii="Times New Roman" w:hAnsi="Times New Roman"/>
                <w:noProof/>
                <w:color w:val="111111"/>
                <w:sz w:val="18"/>
              </w:rPr>
              <w:t xml:space="preserve"> </w:t>
            </w:r>
            <w:hyperlink r:id="rId21">
              <w:r>
                <w:rPr>
                  <w:rFonts w:ascii="Times New Roman" w:hAnsi="Times New Roman"/>
                  <w:noProof/>
                  <w:color w:val="111111"/>
                  <w:sz w:val="18"/>
                </w:rPr>
                <w:t xml:space="preserve"> technologies numériques sélectionnées</w:t>
              </w:r>
            </w:hyperlink>
            <w:r>
              <w:rPr>
                <w:rFonts w:ascii="Times New Roman" w:hAnsi="Times New Roman"/>
                <w:noProof/>
                <w:color w:val="111111"/>
                <w:sz w:val="18"/>
              </w:rPr>
              <w:t xml:space="preserve"> (comme l’utilisation d’une technologie de l’IA; des ventes</w:t>
            </w:r>
            <w:r>
              <w:rPr>
                <w:noProof/>
              </w:rPr>
              <w:t xml:space="preserve"> </w:t>
            </w:r>
            <w:hyperlink r:id="rId22">
              <w:r>
                <w:rPr>
                  <w:rFonts w:ascii="Times New Roman" w:hAnsi="Times New Roman"/>
                  <w:noProof/>
                  <w:color w:val="111111"/>
                  <w:sz w:val="18"/>
                </w:rPr>
                <w:t>en ligne</w:t>
              </w:r>
            </w:hyperlink>
            <w:r>
              <w:rPr>
                <w:rFonts w:ascii="Times New Roman" w:hAnsi="Times New Roman"/>
                <w:noProof/>
                <w:color w:val="111111"/>
                <w:sz w:val="18"/>
              </w:rPr>
              <w:t xml:space="preserve"> représentant au moins </w:t>
            </w:r>
            <w:r w:rsidRPr="00F3116B">
              <w:rPr>
                <w:rFonts w:ascii="Times New Roman" w:hAnsi="Times New Roman"/>
                <w:noProof/>
                <w:color w:val="111111"/>
                <w:sz w:val="18"/>
              </w:rPr>
              <w:t>1</w:t>
            </w:r>
            <w:r>
              <w:rPr>
                <w:rFonts w:ascii="Times New Roman" w:hAnsi="Times New Roman"/>
                <w:noProof/>
                <w:color w:val="111111"/>
                <w:sz w:val="18"/>
              </w:rPr>
              <w:t> % du chiffre d’affaires total; etc.) telles que définies dans le programme d’action pour la décennie numérique.</w:t>
            </w:r>
          </w:p>
        </w:tc>
        <w:tc>
          <w:tcPr>
            <w:tcW w:w="573" w:type="pct"/>
            <w:tcBorders>
              <w:top w:val="single" w:sz="4" w:space="0" w:color="auto"/>
              <w:bottom w:val="single" w:sz="4" w:space="0" w:color="808080" w:themeColor="background1" w:themeShade="80"/>
            </w:tcBorders>
            <w:shd w:val="clear" w:color="auto" w:fill="C2D69B"/>
          </w:tcPr>
          <w:p w14:paraId="152A3A19" w14:textId="77777777" w:rsidR="002C51B4" w:rsidRPr="00982FFF" w:rsidRDefault="002C51B4" w:rsidP="00BB6538">
            <w:pPr>
              <w:widowControl w:val="0"/>
              <w:autoSpaceDE w:val="0"/>
              <w:autoSpaceDN w:val="0"/>
              <w:spacing w:before="60" w:after="60" w:line="275" w:lineRule="exact"/>
              <w:ind w:left="107"/>
              <w:rPr>
                <w:rFonts w:ascii="Times New Roman" w:eastAsia="Times New Roman" w:hAnsi="Times New Roman" w:cs="Times New Roman"/>
                <w:noProof/>
                <w:sz w:val="18"/>
                <w:szCs w:val="18"/>
              </w:rPr>
            </w:pPr>
            <w:r w:rsidRPr="00F3116B">
              <w:rPr>
                <w:rFonts w:ascii="Times New Roman" w:hAnsi="Times New Roman"/>
                <w:noProof/>
                <w:sz w:val="18"/>
              </w:rPr>
              <w:t>90</w:t>
            </w:r>
            <w:r>
              <w:rPr>
                <w:rFonts w:ascii="Times New Roman" w:hAnsi="Times New Roman"/>
                <w:noProof/>
                <w:sz w:val="18"/>
              </w:rPr>
              <w:t> % d’ici</w:t>
            </w:r>
          </w:p>
          <w:p w14:paraId="10039F63" w14:textId="77777777" w:rsidR="002C51B4" w:rsidRPr="00982FFF" w:rsidRDefault="002C51B4" w:rsidP="00BB6538">
            <w:pPr>
              <w:widowControl w:val="0"/>
              <w:autoSpaceDE w:val="0"/>
              <w:autoSpaceDN w:val="0"/>
              <w:spacing w:before="60" w:after="60" w:line="240" w:lineRule="auto"/>
              <w:ind w:left="107"/>
              <w:rPr>
                <w:rFonts w:ascii="Times New Roman" w:eastAsia="Times New Roman" w:hAnsi="Times New Roman" w:cs="Times New Roman"/>
                <w:noProof/>
                <w:sz w:val="18"/>
                <w:szCs w:val="18"/>
              </w:rPr>
            </w:pPr>
            <w:r w:rsidRPr="00F3116B">
              <w:rPr>
                <w:rFonts w:ascii="Times New Roman" w:hAnsi="Times New Roman"/>
                <w:noProof/>
                <w:sz w:val="18"/>
              </w:rPr>
              <w:t>2030</w:t>
            </w:r>
          </w:p>
        </w:tc>
        <w:tc>
          <w:tcPr>
            <w:tcW w:w="938" w:type="pct"/>
            <w:tcBorders>
              <w:top w:val="single" w:sz="4" w:space="0" w:color="auto"/>
              <w:bottom w:val="single" w:sz="4" w:space="0" w:color="808080" w:themeColor="background1" w:themeShade="80"/>
            </w:tcBorders>
            <w:shd w:val="clear" w:color="auto" w:fill="C2D69B"/>
          </w:tcPr>
          <w:p w14:paraId="76064552" w14:textId="77777777" w:rsidR="002C51B4" w:rsidRPr="00982FFF" w:rsidRDefault="002C51B4" w:rsidP="00BB6538">
            <w:pPr>
              <w:widowControl w:val="0"/>
              <w:autoSpaceDE w:val="0"/>
              <w:autoSpaceDN w:val="0"/>
              <w:spacing w:before="60" w:after="60" w:line="275" w:lineRule="exact"/>
              <w:ind w:left="107"/>
              <w:rPr>
                <w:rFonts w:ascii="Times New Roman" w:eastAsia="Times New Roman" w:hAnsi="Times New Roman" w:cs="Times New Roman"/>
                <w:noProof/>
                <w:spacing w:val="-2"/>
                <w:sz w:val="18"/>
                <w:szCs w:val="18"/>
              </w:rPr>
            </w:pPr>
            <w:r w:rsidRPr="00F3116B">
              <w:rPr>
                <w:rFonts w:ascii="Times New Roman" w:hAnsi="Times New Roman"/>
                <w:noProof/>
                <w:sz w:val="18"/>
              </w:rPr>
              <w:t>69</w:t>
            </w:r>
            <w:r>
              <w:rPr>
                <w:rFonts w:ascii="Times New Roman" w:hAnsi="Times New Roman"/>
                <w:noProof/>
                <w:sz w:val="18"/>
              </w:rPr>
              <w:t>,</w:t>
            </w:r>
            <w:r w:rsidRPr="00F3116B">
              <w:rPr>
                <w:rFonts w:ascii="Times New Roman" w:hAnsi="Times New Roman"/>
                <w:noProof/>
                <w:sz w:val="18"/>
              </w:rPr>
              <w:t>30</w:t>
            </w:r>
            <w:r>
              <w:rPr>
                <w:rFonts w:ascii="Times New Roman" w:hAnsi="Times New Roman"/>
                <w:noProof/>
                <w:sz w:val="18"/>
              </w:rPr>
              <w:t> % (</w:t>
            </w:r>
            <w:r w:rsidRPr="00F3116B">
              <w:rPr>
                <w:rFonts w:ascii="Times New Roman" w:hAnsi="Times New Roman"/>
                <w:noProof/>
                <w:sz w:val="18"/>
              </w:rPr>
              <w:t>2022</w:t>
            </w:r>
            <w:r>
              <w:rPr>
                <w:rFonts w:ascii="Times New Roman" w:hAnsi="Times New Roman"/>
                <w:noProof/>
                <w:sz w:val="18"/>
              </w:rPr>
              <w:t>)</w:t>
            </w:r>
          </w:p>
          <w:p w14:paraId="699E4902" w14:textId="77777777" w:rsidR="002C51B4" w:rsidRPr="00982FFF" w:rsidRDefault="002C51B4" w:rsidP="00BB6538">
            <w:pPr>
              <w:widowControl w:val="0"/>
              <w:autoSpaceDE w:val="0"/>
              <w:autoSpaceDN w:val="0"/>
              <w:spacing w:before="60" w:after="60" w:line="275" w:lineRule="exact"/>
              <w:ind w:left="107"/>
              <w:rPr>
                <w:rFonts w:ascii="Times New Roman" w:eastAsia="Times New Roman" w:hAnsi="Times New Roman" w:cs="Times New Roman"/>
                <w:noProof/>
                <w:spacing w:val="-2"/>
                <w:sz w:val="18"/>
                <w:szCs w:val="18"/>
              </w:rPr>
            </w:pPr>
            <w:r w:rsidRPr="00F3116B">
              <w:rPr>
                <w:rFonts w:ascii="Times New Roman" w:hAnsi="Times New Roman"/>
                <w:noProof/>
                <w:sz w:val="18"/>
              </w:rPr>
              <w:t>61</w:t>
            </w:r>
            <w:r>
              <w:rPr>
                <w:rFonts w:ascii="Times New Roman" w:hAnsi="Times New Roman"/>
                <w:noProof/>
                <w:sz w:val="18"/>
              </w:rPr>
              <w:t>,</w:t>
            </w:r>
            <w:r w:rsidRPr="00F3116B">
              <w:rPr>
                <w:rFonts w:ascii="Times New Roman" w:hAnsi="Times New Roman"/>
                <w:noProof/>
                <w:sz w:val="18"/>
              </w:rPr>
              <w:t>36</w:t>
            </w:r>
            <w:r>
              <w:rPr>
                <w:rFonts w:ascii="Times New Roman" w:hAnsi="Times New Roman"/>
                <w:noProof/>
                <w:sz w:val="18"/>
              </w:rPr>
              <w:t> % (</w:t>
            </w:r>
            <w:r w:rsidRPr="00F3116B">
              <w:rPr>
                <w:rFonts w:ascii="Times New Roman" w:hAnsi="Times New Roman"/>
                <w:noProof/>
                <w:sz w:val="18"/>
              </w:rPr>
              <w:t>2021</w:t>
            </w:r>
            <w:r>
              <w:rPr>
                <w:rFonts w:ascii="Times New Roman" w:hAnsi="Times New Roman"/>
                <w:noProof/>
                <w:sz w:val="18"/>
              </w:rPr>
              <w:t>)</w:t>
            </w:r>
          </w:p>
          <w:p w14:paraId="7863B30E" w14:textId="77777777" w:rsidR="002C51B4" w:rsidRPr="00982FFF" w:rsidRDefault="002C51B4" w:rsidP="00BB6538">
            <w:pPr>
              <w:widowControl w:val="0"/>
              <w:autoSpaceDE w:val="0"/>
              <w:autoSpaceDN w:val="0"/>
              <w:spacing w:before="60" w:after="60" w:line="275" w:lineRule="exact"/>
              <w:ind w:left="107"/>
              <w:rPr>
                <w:rFonts w:ascii="Times New Roman" w:eastAsia="Times New Roman" w:hAnsi="Times New Roman" w:cs="Times New Roman"/>
                <w:noProof/>
                <w:sz w:val="18"/>
                <w:szCs w:val="18"/>
                <w:lang w:val="en-US"/>
              </w:rPr>
            </w:pPr>
          </w:p>
        </w:tc>
      </w:tr>
      <w:tr w:rsidR="002C51B4" w:rsidRPr="00982FFF" w14:paraId="119D6BDE" w14:textId="77777777" w:rsidTr="00BB6538">
        <w:trPr>
          <w:trHeight w:val="1399"/>
        </w:trPr>
        <w:tc>
          <w:tcPr>
            <w:tcW w:w="1301" w:type="pct"/>
            <w:tcBorders>
              <w:top w:val="single" w:sz="4" w:space="0" w:color="808080" w:themeColor="background1" w:themeShade="80"/>
              <w:bottom w:val="single" w:sz="4" w:space="0" w:color="auto"/>
            </w:tcBorders>
            <w:shd w:val="clear" w:color="auto" w:fill="auto"/>
          </w:tcPr>
          <w:p w14:paraId="5B70ABF0" w14:textId="77777777" w:rsidR="002C51B4" w:rsidRPr="005C3892" w:rsidRDefault="002C51B4" w:rsidP="00BB6538">
            <w:pPr>
              <w:widowControl w:val="0"/>
              <w:autoSpaceDE w:val="0"/>
              <w:autoSpaceDN w:val="0"/>
              <w:spacing w:before="60" w:after="60" w:line="240" w:lineRule="auto"/>
              <w:ind w:left="107" w:right="138"/>
              <w:rPr>
                <w:rFonts w:ascii="Times New Roman" w:hAnsi="Times New Roman"/>
                <w:noProof/>
                <w:sz w:val="18"/>
              </w:rPr>
            </w:pPr>
            <w:r>
              <w:rPr>
                <w:rFonts w:ascii="Times New Roman" w:hAnsi="Times New Roman"/>
                <w:noProof/>
                <w:color w:val="111111"/>
                <w:sz w:val="18"/>
              </w:rPr>
              <w:t>ICP</w:t>
            </w:r>
            <w:r>
              <w:rPr>
                <w:rFonts w:ascii="Times New Roman" w:hAnsi="Times New Roman"/>
                <w:noProof/>
                <w:sz w:val="18"/>
              </w:rPr>
              <w:t> </w:t>
            </w:r>
            <w:r w:rsidRPr="00F3116B">
              <w:rPr>
                <w:rFonts w:ascii="Times New Roman" w:hAnsi="Times New Roman"/>
                <w:noProof/>
                <w:sz w:val="18"/>
              </w:rPr>
              <w:t>12</w:t>
            </w:r>
            <w:r>
              <w:rPr>
                <w:rFonts w:ascii="Times New Roman" w:hAnsi="Times New Roman"/>
                <w:noProof/>
                <w:sz w:val="18"/>
              </w:rPr>
              <w:t>: Adoption des technologies numériques par les entreprises</w:t>
            </w:r>
          </w:p>
        </w:tc>
        <w:tc>
          <w:tcPr>
            <w:tcW w:w="2188" w:type="pct"/>
            <w:tcBorders>
              <w:top w:val="single" w:sz="4" w:space="0" w:color="808080" w:themeColor="background1" w:themeShade="80"/>
              <w:bottom w:val="single" w:sz="4" w:space="0" w:color="auto"/>
            </w:tcBorders>
            <w:shd w:val="clear" w:color="auto" w:fill="auto"/>
          </w:tcPr>
          <w:p w14:paraId="0C80F174" w14:textId="77777777" w:rsidR="002C51B4" w:rsidRPr="005C3892" w:rsidRDefault="002C51B4" w:rsidP="00BB6538">
            <w:pPr>
              <w:widowControl w:val="0"/>
              <w:autoSpaceDE w:val="0"/>
              <w:autoSpaceDN w:val="0"/>
              <w:spacing w:before="60" w:after="60" w:line="240" w:lineRule="auto"/>
              <w:ind w:left="107" w:right="139"/>
              <w:jc w:val="both"/>
              <w:rPr>
                <w:rFonts w:ascii="Times New Roman" w:hAnsi="Times New Roman"/>
                <w:noProof/>
                <w:sz w:val="18"/>
              </w:rPr>
            </w:pPr>
            <w:r>
              <w:rPr>
                <w:rFonts w:ascii="Times New Roman" w:hAnsi="Times New Roman"/>
                <w:noProof/>
                <w:sz w:val="18"/>
              </w:rPr>
              <w:t>Part des entreprises européennes qui ont recours à des services d’informatique en nuage, aux mégadonnées et/ou à l’intelligence artificielle. Objectif fixé dans le cadre du programme d’action pour la décennie numérique.</w:t>
            </w:r>
          </w:p>
        </w:tc>
        <w:tc>
          <w:tcPr>
            <w:tcW w:w="573" w:type="pct"/>
            <w:tcBorders>
              <w:top w:val="single" w:sz="4" w:space="0" w:color="808080" w:themeColor="background1" w:themeShade="80"/>
              <w:bottom w:val="single" w:sz="4" w:space="0" w:color="auto"/>
            </w:tcBorders>
            <w:shd w:val="clear" w:color="auto" w:fill="auto"/>
          </w:tcPr>
          <w:p w14:paraId="49BBABC2" w14:textId="77777777" w:rsidR="002C51B4" w:rsidRPr="00982FFF" w:rsidRDefault="002C51B4" w:rsidP="00BB6538">
            <w:pPr>
              <w:widowControl w:val="0"/>
              <w:autoSpaceDE w:val="0"/>
              <w:autoSpaceDN w:val="0"/>
              <w:spacing w:before="60" w:after="60" w:line="275" w:lineRule="exact"/>
              <w:ind w:left="107"/>
              <w:rPr>
                <w:rFonts w:ascii="Times New Roman" w:eastAsia="Times New Roman" w:hAnsi="Times New Roman" w:cs="Times New Roman"/>
                <w:noProof/>
                <w:sz w:val="18"/>
                <w:szCs w:val="18"/>
              </w:rPr>
            </w:pPr>
            <w:r w:rsidRPr="00F3116B">
              <w:rPr>
                <w:rFonts w:ascii="Times New Roman" w:hAnsi="Times New Roman"/>
                <w:noProof/>
                <w:sz w:val="18"/>
              </w:rPr>
              <w:t>75</w:t>
            </w:r>
            <w:r>
              <w:rPr>
                <w:rFonts w:ascii="Times New Roman" w:hAnsi="Times New Roman"/>
                <w:noProof/>
                <w:sz w:val="18"/>
              </w:rPr>
              <w:t> % d’ici</w:t>
            </w:r>
          </w:p>
          <w:p w14:paraId="3FB9094B" w14:textId="77777777" w:rsidR="002C51B4" w:rsidRPr="00982FFF" w:rsidRDefault="002C51B4" w:rsidP="00BB6538">
            <w:pPr>
              <w:widowControl w:val="0"/>
              <w:autoSpaceDE w:val="0"/>
              <w:autoSpaceDN w:val="0"/>
              <w:spacing w:before="60" w:after="60" w:line="240" w:lineRule="auto"/>
              <w:ind w:left="107"/>
              <w:rPr>
                <w:rFonts w:ascii="Times New Roman" w:eastAsia="Times New Roman" w:hAnsi="Times New Roman" w:cs="Times New Roman"/>
                <w:noProof/>
                <w:sz w:val="18"/>
                <w:szCs w:val="18"/>
              </w:rPr>
            </w:pPr>
            <w:r w:rsidRPr="00F3116B">
              <w:rPr>
                <w:rFonts w:ascii="Times New Roman" w:hAnsi="Times New Roman"/>
                <w:noProof/>
                <w:sz w:val="18"/>
              </w:rPr>
              <w:t>2030</w:t>
            </w:r>
          </w:p>
        </w:tc>
        <w:tc>
          <w:tcPr>
            <w:tcW w:w="938" w:type="pct"/>
            <w:tcBorders>
              <w:top w:val="single" w:sz="4" w:space="0" w:color="808080" w:themeColor="background1" w:themeShade="80"/>
              <w:bottom w:val="single" w:sz="4" w:space="0" w:color="auto"/>
            </w:tcBorders>
            <w:shd w:val="clear" w:color="auto" w:fill="auto"/>
          </w:tcPr>
          <w:p w14:paraId="38A65797" w14:textId="77777777" w:rsidR="002C51B4" w:rsidRPr="00982FFF" w:rsidRDefault="002C51B4" w:rsidP="00BB6538">
            <w:pPr>
              <w:widowControl w:val="0"/>
              <w:autoSpaceDE w:val="0"/>
              <w:autoSpaceDN w:val="0"/>
              <w:spacing w:before="60" w:after="60" w:line="240" w:lineRule="auto"/>
              <w:ind w:left="107"/>
              <w:rPr>
                <w:rFonts w:ascii="Times New Roman" w:eastAsia="Times New Roman" w:hAnsi="Times New Roman" w:cs="Times New Roman"/>
                <w:noProof/>
                <w:sz w:val="18"/>
                <w:szCs w:val="18"/>
              </w:rPr>
            </w:pPr>
            <w:r>
              <w:rPr>
                <w:rFonts w:ascii="Times New Roman" w:hAnsi="Times New Roman"/>
                <w:noProof/>
                <w:sz w:val="18"/>
              </w:rPr>
              <w:t xml:space="preserve">Services d’informatique en nuage: </w:t>
            </w:r>
            <w:r w:rsidRPr="00F3116B">
              <w:rPr>
                <w:rFonts w:ascii="Times New Roman" w:hAnsi="Times New Roman"/>
                <w:noProof/>
                <w:sz w:val="18"/>
              </w:rPr>
              <w:t>34</w:t>
            </w:r>
            <w:r>
              <w:rPr>
                <w:rFonts w:ascii="Times New Roman" w:hAnsi="Times New Roman"/>
                <w:noProof/>
                <w:sz w:val="18"/>
              </w:rPr>
              <w:t> % (</w:t>
            </w:r>
            <w:r w:rsidRPr="00F3116B">
              <w:rPr>
                <w:rFonts w:ascii="Times New Roman" w:hAnsi="Times New Roman"/>
                <w:noProof/>
                <w:sz w:val="18"/>
              </w:rPr>
              <w:t>2021</w:t>
            </w:r>
            <w:r>
              <w:rPr>
                <w:rFonts w:ascii="Times New Roman" w:hAnsi="Times New Roman"/>
                <w:noProof/>
                <w:sz w:val="18"/>
              </w:rPr>
              <w:t xml:space="preserve">) </w:t>
            </w:r>
          </w:p>
          <w:p w14:paraId="607B116C" w14:textId="77777777" w:rsidR="002C51B4" w:rsidRPr="00982FFF" w:rsidRDefault="002C51B4" w:rsidP="00BB6538">
            <w:pPr>
              <w:widowControl w:val="0"/>
              <w:autoSpaceDE w:val="0"/>
              <w:autoSpaceDN w:val="0"/>
              <w:spacing w:before="60" w:after="60" w:line="240" w:lineRule="auto"/>
              <w:ind w:left="107"/>
              <w:rPr>
                <w:rFonts w:ascii="Times New Roman" w:eastAsia="Times New Roman" w:hAnsi="Times New Roman" w:cs="Times New Roman"/>
                <w:noProof/>
                <w:sz w:val="18"/>
                <w:szCs w:val="18"/>
              </w:rPr>
            </w:pPr>
            <w:r>
              <w:rPr>
                <w:rFonts w:ascii="Times New Roman" w:hAnsi="Times New Roman"/>
                <w:noProof/>
                <w:sz w:val="18"/>
              </w:rPr>
              <w:t xml:space="preserve">Mégadonnées: </w:t>
            </w:r>
            <w:r w:rsidRPr="00F3116B">
              <w:rPr>
                <w:rFonts w:ascii="Times New Roman" w:hAnsi="Times New Roman"/>
                <w:noProof/>
                <w:sz w:val="18"/>
              </w:rPr>
              <w:t>14</w:t>
            </w:r>
            <w:r>
              <w:rPr>
                <w:rFonts w:ascii="Times New Roman" w:hAnsi="Times New Roman"/>
                <w:noProof/>
                <w:sz w:val="18"/>
              </w:rPr>
              <w:t> % (</w:t>
            </w:r>
            <w:r w:rsidRPr="00F3116B">
              <w:rPr>
                <w:rFonts w:ascii="Times New Roman" w:hAnsi="Times New Roman"/>
                <w:noProof/>
                <w:sz w:val="18"/>
              </w:rPr>
              <w:t>2020</w:t>
            </w:r>
            <w:r>
              <w:rPr>
                <w:rFonts w:ascii="Times New Roman" w:hAnsi="Times New Roman"/>
                <w:noProof/>
                <w:sz w:val="18"/>
              </w:rPr>
              <w:t>)</w:t>
            </w:r>
          </w:p>
          <w:p w14:paraId="6C5846B5" w14:textId="77777777" w:rsidR="002C51B4" w:rsidRPr="00982FFF" w:rsidRDefault="002C51B4" w:rsidP="00BB6538">
            <w:pPr>
              <w:widowControl w:val="0"/>
              <w:autoSpaceDE w:val="0"/>
              <w:autoSpaceDN w:val="0"/>
              <w:spacing w:before="60" w:after="60" w:line="270" w:lineRule="atLeast"/>
              <w:ind w:left="107"/>
              <w:rPr>
                <w:rFonts w:ascii="Times New Roman" w:eastAsia="Times New Roman" w:hAnsi="Times New Roman" w:cs="Times New Roman"/>
                <w:noProof/>
                <w:sz w:val="18"/>
                <w:szCs w:val="18"/>
              </w:rPr>
            </w:pPr>
            <w:r>
              <w:rPr>
                <w:rFonts w:ascii="Times New Roman" w:hAnsi="Times New Roman"/>
                <w:noProof/>
                <w:sz w:val="18"/>
              </w:rPr>
              <w:t xml:space="preserve">Intelligence artificielle: </w:t>
            </w:r>
            <w:r w:rsidRPr="00F3116B">
              <w:rPr>
                <w:rFonts w:ascii="Times New Roman" w:hAnsi="Times New Roman"/>
                <w:noProof/>
                <w:sz w:val="18"/>
              </w:rPr>
              <w:t>8</w:t>
            </w:r>
            <w:r>
              <w:rPr>
                <w:rFonts w:ascii="Times New Roman" w:hAnsi="Times New Roman"/>
                <w:noProof/>
                <w:sz w:val="18"/>
              </w:rPr>
              <w:t> % (</w:t>
            </w:r>
            <w:r w:rsidRPr="00F3116B">
              <w:rPr>
                <w:rFonts w:ascii="Times New Roman" w:hAnsi="Times New Roman"/>
                <w:noProof/>
                <w:sz w:val="18"/>
              </w:rPr>
              <w:t>2021</w:t>
            </w:r>
            <w:r>
              <w:rPr>
                <w:rFonts w:ascii="Times New Roman" w:hAnsi="Times New Roman"/>
                <w:noProof/>
                <w:sz w:val="18"/>
              </w:rPr>
              <w:t xml:space="preserve">) </w:t>
            </w:r>
          </w:p>
        </w:tc>
      </w:tr>
    </w:tbl>
    <w:p w14:paraId="5F3FDC84" w14:textId="77777777" w:rsidR="002C51B4" w:rsidRDefault="002C51B4" w:rsidP="002C51B4">
      <w:pPr>
        <w:spacing w:after="0"/>
        <w:jc w:val="both"/>
        <w:rPr>
          <w:rFonts w:ascii="Times New Roman" w:hAnsi="Times New Roman" w:cs="Times New Roman"/>
          <w:b/>
          <w:bCs/>
          <w:noProof/>
          <w:color w:val="000000"/>
          <w:sz w:val="24"/>
          <w:szCs w:val="24"/>
          <w:lang w:val="en-IE"/>
        </w:rPr>
      </w:pPr>
    </w:p>
    <w:p w14:paraId="2FFBAEFD" w14:textId="77777777" w:rsidR="002C51B4" w:rsidRPr="003A2BFE" w:rsidRDefault="002C51B4" w:rsidP="002C51B4">
      <w:pPr>
        <w:jc w:val="both"/>
        <w:rPr>
          <w:rFonts w:ascii="Times New Roman" w:hAnsi="Times New Roman" w:cs="Times New Roman"/>
          <w:b/>
          <w:bCs/>
          <w:noProof/>
          <w:sz w:val="24"/>
          <w:szCs w:val="24"/>
        </w:rPr>
      </w:pPr>
      <w:r>
        <w:rPr>
          <w:rFonts w:ascii="Times New Roman" w:hAnsi="Times New Roman"/>
          <w:b/>
          <w:noProof/>
          <w:color w:val="000000" w:themeColor="text1"/>
          <w:sz w:val="24"/>
        </w:rPr>
        <w:t xml:space="preserve">Le déploiement et l’adoption des technologies numériques et la numérisation globale de l’économie sont des moteurs essentiels de la compétitivité et de la souveraineté. </w:t>
      </w:r>
      <w:r>
        <w:rPr>
          <w:rFonts w:ascii="Times New Roman" w:hAnsi="Times New Roman"/>
          <w:b/>
          <w:noProof/>
          <w:sz w:val="24"/>
        </w:rPr>
        <w:t xml:space="preserve">Plusieurs instruments de financement et initiatives législatives sont désormais en place pour renforcer la numérisation des entreprises et la compétitivité du secteur des technologies de l’information et de la communication de l’UE. Il sera nécessaire de poursuivre et de renforcer les efforts collectifs pour accélérer la transformation numérique, combler les déficits d’investissement et renforcer les capacités numériques conformément au programme d’action pour la décennie numérique. </w:t>
      </w:r>
    </w:p>
    <w:p w14:paraId="6574DD20" w14:textId="77777777" w:rsidR="002C51B4" w:rsidRPr="00095EF8" w:rsidRDefault="002C51B4" w:rsidP="002C51B4">
      <w:p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Malgré les atouts que possède l’UE dans des domaines spécifiques des technologies numériques, tels que les technologies de fabrication avancées et les équipements de fabrication de semi-conducteurs, la part de l’UE sur le marché mondial des technologies de l’information et de la communication (TIC) a considérablement diminué au cours de la dernière décennie, passant de </w:t>
      </w:r>
      <w:r w:rsidRPr="00F3116B">
        <w:rPr>
          <w:rFonts w:ascii="Times New Roman" w:hAnsi="Times New Roman"/>
          <w:noProof/>
          <w:color w:val="000000" w:themeColor="text1"/>
          <w:sz w:val="24"/>
        </w:rPr>
        <w:t>21</w:t>
      </w:r>
      <w:r>
        <w:rPr>
          <w:rFonts w:ascii="Times New Roman" w:hAnsi="Times New Roman"/>
          <w:noProof/>
          <w:color w:val="000000" w:themeColor="text1"/>
          <w:sz w:val="24"/>
        </w:rPr>
        <w:t>,</w:t>
      </w:r>
      <w:r w:rsidRPr="00F3116B">
        <w:rPr>
          <w:rFonts w:ascii="Times New Roman" w:hAnsi="Times New Roman"/>
          <w:noProof/>
          <w:color w:val="000000" w:themeColor="text1"/>
          <w:sz w:val="24"/>
        </w:rPr>
        <w:t>8</w:t>
      </w:r>
      <w:r>
        <w:rPr>
          <w:rFonts w:ascii="Times New Roman" w:hAnsi="Times New Roman"/>
          <w:noProof/>
          <w:color w:val="000000" w:themeColor="text1"/>
          <w:sz w:val="24"/>
        </w:rPr>
        <w:t> % (</w:t>
      </w:r>
      <w:r w:rsidRPr="00F3116B">
        <w:rPr>
          <w:rFonts w:ascii="Times New Roman" w:hAnsi="Times New Roman"/>
          <w:noProof/>
          <w:color w:val="000000" w:themeColor="text1"/>
          <w:sz w:val="24"/>
        </w:rPr>
        <w:t>2013</w:t>
      </w:r>
      <w:r>
        <w:rPr>
          <w:rFonts w:ascii="Times New Roman" w:hAnsi="Times New Roman"/>
          <w:noProof/>
          <w:color w:val="000000" w:themeColor="text1"/>
          <w:sz w:val="24"/>
        </w:rPr>
        <w:t xml:space="preserve">) à </w:t>
      </w:r>
      <w:r w:rsidRPr="00F3116B">
        <w:rPr>
          <w:rFonts w:ascii="Times New Roman" w:hAnsi="Times New Roman"/>
          <w:noProof/>
          <w:color w:val="000000" w:themeColor="text1"/>
          <w:sz w:val="24"/>
        </w:rPr>
        <w:t>11</w:t>
      </w:r>
      <w:r>
        <w:rPr>
          <w:rFonts w:ascii="Times New Roman" w:hAnsi="Times New Roman"/>
          <w:noProof/>
          <w:color w:val="000000" w:themeColor="text1"/>
          <w:sz w:val="24"/>
        </w:rPr>
        <w:t>,</w:t>
      </w:r>
      <w:r w:rsidRPr="00F3116B">
        <w:rPr>
          <w:rFonts w:ascii="Times New Roman" w:hAnsi="Times New Roman"/>
          <w:noProof/>
          <w:color w:val="000000" w:themeColor="text1"/>
          <w:sz w:val="24"/>
        </w:rPr>
        <w:t>3</w:t>
      </w:r>
      <w:r>
        <w:rPr>
          <w:rFonts w:ascii="Times New Roman" w:hAnsi="Times New Roman"/>
          <w:noProof/>
          <w:color w:val="000000" w:themeColor="text1"/>
          <w:sz w:val="24"/>
        </w:rPr>
        <w:t> % (</w:t>
      </w:r>
      <w:r w:rsidRPr="00F3116B">
        <w:rPr>
          <w:rFonts w:ascii="Times New Roman" w:hAnsi="Times New Roman"/>
          <w:noProof/>
          <w:color w:val="000000" w:themeColor="text1"/>
          <w:sz w:val="24"/>
        </w:rPr>
        <w:t>2022</w:t>
      </w:r>
      <w:r>
        <w:rPr>
          <w:rFonts w:ascii="Times New Roman" w:hAnsi="Times New Roman"/>
          <w:noProof/>
          <w:color w:val="000000" w:themeColor="text1"/>
          <w:sz w:val="24"/>
        </w:rPr>
        <w:t xml:space="preserve">), tandis que celle des États-Unis a augmenté, passant de </w:t>
      </w:r>
      <w:r w:rsidRPr="00F3116B">
        <w:rPr>
          <w:rFonts w:ascii="Times New Roman" w:hAnsi="Times New Roman"/>
          <w:noProof/>
          <w:color w:val="000000" w:themeColor="text1"/>
          <w:sz w:val="24"/>
        </w:rPr>
        <w:t>26</w:t>
      </w:r>
      <w:r>
        <w:rPr>
          <w:rFonts w:ascii="Times New Roman" w:hAnsi="Times New Roman"/>
          <w:noProof/>
          <w:color w:val="000000" w:themeColor="text1"/>
          <w:sz w:val="24"/>
        </w:rPr>
        <w:t>,</w:t>
      </w:r>
      <w:r w:rsidRPr="00F3116B">
        <w:rPr>
          <w:rFonts w:ascii="Times New Roman" w:hAnsi="Times New Roman"/>
          <w:noProof/>
          <w:color w:val="000000" w:themeColor="text1"/>
          <w:sz w:val="24"/>
        </w:rPr>
        <w:t>8</w:t>
      </w:r>
      <w:r>
        <w:rPr>
          <w:rFonts w:ascii="Times New Roman" w:hAnsi="Times New Roman"/>
          <w:noProof/>
          <w:color w:val="000000" w:themeColor="text1"/>
          <w:sz w:val="24"/>
        </w:rPr>
        <w:t xml:space="preserve"> % à </w:t>
      </w:r>
      <w:r w:rsidRPr="00F3116B">
        <w:rPr>
          <w:rFonts w:ascii="Times New Roman" w:hAnsi="Times New Roman"/>
          <w:noProof/>
          <w:color w:val="000000" w:themeColor="text1"/>
          <w:sz w:val="24"/>
        </w:rPr>
        <w:t>36</w:t>
      </w:r>
      <w:r>
        <w:rPr>
          <w:rFonts w:ascii="Times New Roman" w:hAnsi="Times New Roman"/>
          <w:noProof/>
          <w:color w:val="000000" w:themeColor="text1"/>
          <w:sz w:val="24"/>
        </w:rPr>
        <w:t> %</w:t>
      </w:r>
      <w:r>
        <w:rPr>
          <w:rStyle w:val="FootnoteReference"/>
          <w:rFonts w:ascii="Times New Roman" w:eastAsia="Times New Roman" w:hAnsi="Times New Roman" w:cs="Times New Roman"/>
          <w:noProof/>
          <w:color w:val="000000" w:themeColor="text1"/>
          <w:sz w:val="24"/>
          <w:szCs w:val="24"/>
          <w:lang w:val="en-IE"/>
        </w:rPr>
        <w:footnoteReference w:id="73"/>
      </w:r>
      <w:r>
        <w:rPr>
          <w:rFonts w:ascii="Times New Roman" w:hAnsi="Times New Roman"/>
          <w:noProof/>
          <w:color w:val="000000" w:themeColor="text1"/>
          <w:sz w:val="24"/>
        </w:rPr>
        <w:t xml:space="preserve">. </w:t>
      </w:r>
    </w:p>
    <w:p w14:paraId="4F53FDD3" w14:textId="77777777" w:rsidR="002C51B4" w:rsidRDefault="002C51B4" w:rsidP="002C51B4">
      <w:p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Le programme</w:t>
      </w:r>
      <w:r>
        <w:rPr>
          <w:noProof/>
        </w:rPr>
        <w:t xml:space="preserve"> </w:t>
      </w:r>
      <w:r>
        <w:rPr>
          <w:rFonts w:ascii="Times New Roman" w:hAnsi="Times New Roman"/>
          <w:noProof/>
          <w:color w:val="000000" w:themeColor="text1"/>
          <w:sz w:val="24"/>
        </w:rPr>
        <w:t>d’action pour la décennie numérique</w:t>
      </w:r>
      <w:r w:rsidRPr="00A27108">
        <w:rPr>
          <w:rStyle w:val="FootnoteReference"/>
          <w:rFonts w:ascii="Times New Roman" w:eastAsia="Times New Roman" w:hAnsi="Times New Roman" w:cs="Times New Roman"/>
          <w:noProof/>
          <w:color w:val="000000" w:themeColor="text1"/>
          <w:sz w:val="24"/>
          <w:szCs w:val="24"/>
          <w:lang w:val="en-IE"/>
        </w:rPr>
        <w:footnoteReference w:id="74"/>
      </w:r>
      <w:r>
        <w:rPr>
          <w:rFonts w:ascii="Times New Roman" w:hAnsi="Times New Roman"/>
          <w:noProof/>
          <w:color w:val="000000" w:themeColor="text1"/>
          <w:sz w:val="24"/>
        </w:rPr>
        <w:t xml:space="preserve"> est un système de gouvernance collaborative entre l’UE et les autorités nationales visant à soutenir la réalisation des objectifs et cibles concrets à l’horizon </w:t>
      </w:r>
      <w:r w:rsidRPr="00F3116B">
        <w:rPr>
          <w:rFonts w:ascii="Times New Roman" w:hAnsi="Times New Roman"/>
          <w:noProof/>
          <w:color w:val="000000" w:themeColor="text1"/>
          <w:sz w:val="24"/>
        </w:rPr>
        <w:t>2030</w:t>
      </w:r>
      <w:r>
        <w:rPr>
          <w:noProof/>
        </w:rPr>
        <w:t>.</w:t>
      </w:r>
      <w:r>
        <w:rPr>
          <w:rFonts w:ascii="Times New Roman" w:hAnsi="Times New Roman"/>
          <w:noProof/>
          <w:color w:val="000000" w:themeColor="text1"/>
          <w:sz w:val="24"/>
        </w:rPr>
        <w:t xml:space="preserve"> Ces objectifs se concentrent sur quatre domaines: les compétences numériques; les infrastructures numériques; la numérisation des entreprises, notamment par l’adoption de technologies avancées telles que l’intelligence artificielle (IA), les services en nuage et l’analyse des mégadonnées; et la numérisation des services publics. Le premier rapport sur l’état d’avancement de la décennie numérique</w:t>
      </w:r>
      <w:r>
        <w:rPr>
          <w:rStyle w:val="FootnoteReference"/>
          <w:rFonts w:ascii="Times New Roman" w:eastAsia="Times New Roman" w:hAnsi="Times New Roman" w:cs="Times New Roman"/>
          <w:noProof/>
          <w:color w:val="000000" w:themeColor="text1"/>
          <w:sz w:val="24"/>
          <w:szCs w:val="24"/>
          <w:lang w:val="en-IE"/>
        </w:rPr>
        <w:footnoteReference w:id="75"/>
      </w:r>
      <w:r>
        <w:rPr>
          <w:rFonts w:ascii="Times New Roman" w:hAnsi="Times New Roman"/>
          <w:noProof/>
          <w:color w:val="000000" w:themeColor="text1"/>
          <w:sz w:val="24"/>
        </w:rPr>
        <w:t xml:space="preserve"> souligne la </w:t>
      </w:r>
      <w:r>
        <w:rPr>
          <w:rFonts w:ascii="Times New Roman" w:hAnsi="Times New Roman"/>
          <w:b/>
          <w:noProof/>
          <w:color w:val="000000" w:themeColor="text1"/>
          <w:sz w:val="24"/>
        </w:rPr>
        <w:t>nécessité d’accélérer et d’approfondir les efforts collectifs</w:t>
      </w:r>
      <w:r>
        <w:rPr>
          <w:rFonts w:ascii="Times New Roman" w:hAnsi="Times New Roman"/>
          <w:noProof/>
          <w:color w:val="000000" w:themeColor="text1"/>
          <w:sz w:val="24"/>
        </w:rPr>
        <w:t xml:space="preserve"> afin de concrétiser nos ambitions dans le domaine des semi-conducteurs et des compétences numériques avancées et de favoriser la transformation numérique des entreprises européennes.</w:t>
      </w:r>
    </w:p>
    <w:p w14:paraId="643D6263" w14:textId="77777777" w:rsidR="002C51B4" w:rsidRDefault="002C51B4" w:rsidP="002C51B4">
      <w:p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Plusieurs instruments de financement de l’UE soutiennent le renforcement </w:t>
      </w:r>
      <w:r>
        <w:rPr>
          <w:rFonts w:ascii="Times New Roman" w:hAnsi="Times New Roman"/>
          <w:b/>
          <w:noProof/>
          <w:color w:val="000000" w:themeColor="text1"/>
          <w:sz w:val="24"/>
        </w:rPr>
        <w:t>des capacités, des infrastructures et des compétences numériques nécessaires à la transition numérique</w:t>
      </w:r>
      <w:r>
        <w:rPr>
          <w:rFonts w:ascii="Times New Roman" w:hAnsi="Times New Roman"/>
          <w:noProof/>
          <w:color w:val="000000" w:themeColor="text1"/>
          <w:sz w:val="24"/>
        </w:rPr>
        <w:t>. Par exemple, DIGITAL a contribué (avec Horizon Europe) à faire de l’UE un chef de file mondial en matière de calcul à haute performance et fournit un financement stratégique pour soutenir des projets dans les domaines de l’intelligence artificielle, des compétences numériques avancées, de la cybersécurité et du déploiement de solutions numériques pour les administrations publiques et les entreprises.</w:t>
      </w:r>
    </w:p>
    <w:p w14:paraId="21F46EE5" w14:textId="77777777" w:rsidR="002C51B4" w:rsidRDefault="002C51B4" w:rsidP="002C51B4">
      <w:pPr>
        <w:jc w:val="both"/>
        <w:rPr>
          <w:rFonts w:ascii="Times New Roman" w:hAnsi="Times New Roman" w:cs="Times New Roman"/>
          <w:noProof/>
          <w:sz w:val="24"/>
          <w:szCs w:val="24"/>
        </w:rPr>
      </w:pPr>
      <w:r>
        <w:rPr>
          <w:rFonts w:ascii="Times New Roman" w:hAnsi="Times New Roman"/>
          <w:noProof/>
          <w:sz w:val="24"/>
        </w:rPr>
        <w:t xml:space="preserve">La rupture provoquée par l’émergence de l’IA générative crée une opportunité unique sur un marché qui devrait croître de plus de </w:t>
      </w:r>
      <w:r w:rsidRPr="00F3116B">
        <w:rPr>
          <w:rFonts w:ascii="Times New Roman" w:hAnsi="Times New Roman"/>
          <w:noProof/>
          <w:sz w:val="24"/>
        </w:rPr>
        <w:t>24</w:t>
      </w:r>
      <w:r>
        <w:rPr>
          <w:rFonts w:ascii="Times New Roman" w:hAnsi="Times New Roman"/>
          <w:noProof/>
          <w:sz w:val="24"/>
        </w:rPr>
        <w:t>,</w:t>
      </w:r>
      <w:r w:rsidRPr="00F3116B">
        <w:rPr>
          <w:rFonts w:ascii="Times New Roman" w:hAnsi="Times New Roman"/>
          <w:noProof/>
          <w:sz w:val="24"/>
        </w:rPr>
        <w:t>4</w:t>
      </w:r>
      <w:r>
        <w:rPr>
          <w:rFonts w:ascii="Times New Roman" w:hAnsi="Times New Roman"/>
          <w:noProof/>
          <w:sz w:val="24"/>
        </w:rPr>
        <w:t> % par an entre </w:t>
      </w:r>
      <w:r w:rsidRPr="00F3116B">
        <w:rPr>
          <w:rFonts w:ascii="Times New Roman" w:hAnsi="Times New Roman"/>
          <w:noProof/>
          <w:sz w:val="24"/>
        </w:rPr>
        <w:t>2023</w:t>
      </w:r>
      <w:r>
        <w:rPr>
          <w:rFonts w:ascii="Times New Roman" w:hAnsi="Times New Roman"/>
          <w:noProof/>
          <w:sz w:val="24"/>
        </w:rPr>
        <w:t xml:space="preserve"> et </w:t>
      </w:r>
      <w:r w:rsidRPr="00F3116B">
        <w:rPr>
          <w:rFonts w:ascii="Times New Roman" w:hAnsi="Times New Roman"/>
          <w:noProof/>
          <w:sz w:val="24"/>
        </w:rPr>
        <w:t>2030</w:t>
      </w:r>
      <w:r>
        <w:rPr>
          <w:rStyle w:val="FootnoteReference"/>
          <w:rFonts w:ascii="Times New Roman" w:hAnsi="Times New Roman" w:cs="Times New Roman"/>
          <w:noProof/>
          <w:sz w:val="24"/>
          <w:szCs w:val="24"/>
          <w:lang w:val="en-IE"/>
        </w:rPr>
        <w:footnoteReference w:id="76"/>
      </w:r>
      <w:r>
        <w:rPr>
          <w:rFonts w:ascii="Times New Roman" w:hAnsi="Times New Roman"/>
          <w:noProof/>
          <w:sz w:val="24"/>
        </w:rPr>
        <w:t xml:space="preserve">. Afin de stimuler l’innovation dans le domaine de l’IA, le règlement sur l’IA fournit un cadre juridique stable, prévisible et proportionné pour les développeurs d’IA, favorisant la confiance des citoyens et des entreprises dans les applications de l’IA et, partant, stimule l’adoption de ces applications dans l’UE. </w:t>
      </w:r>
    </w:p>
    <w:p w14:paraId="394F157E" w14:textId="77777777" w:rsidR="002C51B4" w:rsidRPr="00B14916" w:rsidRDefault="002C51B4" w:rsidP="002C51B4">
      <w:pPr>
        <w:jc w:val="both"/>
        <w:rPr>
          <w:rFonts w:ascii="Times New Roman" w:hAnsi="Times New Roman" w:cs="Times New Roman"/>
          <w:noProof/>
          <w:sz w:val="24"/>
          <w:szCs w:val="24"/>
        </w:rPr>
      </w:pPr>
      <w:r>
        <w:rPr>
          <w:rFonts w:ascii="Times New Roman" w:hAnsi="Times New Roman"/>
          <w:noProof/>
          <w:sz w:val="24"/>
        </w:rPr>
        <w:t>Par ailleurs, en complément du cadre réglementaire, le train de mesures sur l’innovation en matière d’intelligence artificielle pour soutenir les start-up dans ce domaine</w:t>
      </w:r>
      <w:r>
        <w:rPr>
          <w:rStyle w:val="FootnoteReference"/>
          <w:rFonts w:ascii="Times New Roman" w:hAnsi="Times New Roman" w:cs="Times New Roman"/>
          <w:bCs/>
          <w:iCs/>
          <w:noProof/>
          <w:sz w:val="24"/>
          <w:szCs w:val="24"/>
        </w:rPr>
        <w:footnoteReference w:id="77"/>
      </w:r>
      <w:r>
        <w:rPr>
          <w:rFonts w:ascii="Times New Roman" w:hAnsi="Times New Roman"/>
          <w:noProof/>
          <w:sz w:val="24"/>
        </w:rPr>
        <w:t xml:space="preserve"> fera de l’Europe un moteur d’innovation pour</w:t>
      </w:r>
      <w:bookmarkStart w:id="40" w:name="_Ref152774507"/>
      <w:r>
        <w:rPr>
          <w:noProof/>
        </w:rPr>
        <w:t xml:space="preserve"> </w:t>
      </w:r>
      <w:r>
        <w:rPr>
          <w:rFonts w:ascii="Times New Roman" w:hAnsi="Times New Roman"/>
          <w:noProof/>
          <w:sz w:val="24"/>
        </w:rPr>
        <w:t>une IA digne de confiance</w:t>
      </w:r>
      <w:r>
        <w:rPr>
          <w:noProof/>
        </w:rPr>
        <w:t>.</w:t>
      </w:r>
      <w:r>
        <w:rPr>
          <w:rFonts w:ascii="Times New Roman" w:hAnsi="Times New Roman"/>
          <w:noProof/>
          <w:sz w:val="24"/>
        </w:rPr>
        <w:t xml:space="preserve"> En s’appuyant sur l’infrastructure européenne de calcul à haute performance (EuroHPC) qui est l’une des premières au niveau mondial, il crée des «usines de l’IA» qui réunissent les principaux composants de l’IA — données, calcul, algorithmes et talents — et servent de guichet unique pour les start-up de l’IA afin de former et développer de grands modèles d’IA. En outre, il met en relation les start-up et les chercheurs en IA avec les utilisateurs industriels, ce qui stimule les applications innovantes de l’IA générative dans les </w:t>
      </w:r>
      <w:r w:rsidRPr="00F3116B">
        <w:rPr>
          <w:rFonts w:ascii="Times New Roman" w:hAnsi="Times New Roman"/>
          <w:noProof/>
          <w:sz w:val="24"/>
        </w:rPr>
        <w:t>14</w:t>
      </w:r>
      <w:r>
        <w:rPr>
          <w:rFonts w:ascii="Times New Roman" w:hAnsi="Times New Roman"/>
          <w:noProof/>
          <w:sz w:val="24"/>
        </w:rPr>
        <w:t xml:space="preserve"> écosystèmes industriels européens.</w:t>
      </w:r>
    </w:p>
    <w:p w14:paraId="29F8557F" w14:textId="77777777" w:rsidR="002C51B4" w:rsidRDefault="002C51B4" w:rsidP="002C51B4">
      <w:pPr>
        <w:jc w:val="both"/>
        <w:rPr>
          <w:rFonts w:ascii="Times New Roman" w:hAnsi="Times New Roman" w:cs="Times New Roman"/>
          <w:noProof/>
          <w:sz w:val="24"/>
          <w:szCs w:val="24"/>
        </w:rPr>
      </w:pPr>
      <w:r>
        <w:rPr>
          <w:rFonts w:ascii="Times New Roman" w:hAnsi="Times New Roman"/>
          <w:noProof/>
          <w:sz w:val="24"/>
        </w:rPr>
        <w:t>D’autres mesures stratégiques de l’UE ont déjà commencé à</w:t>
      </w:r>
      <w:r>
        <w:rPr>
          <w:rFonts w:ascii="Times New Roman" w:hAnsi="Times New Roman"/>
          <w:b/>
          <w:noProof/>
          <w:sz w:val="24"/>
        </w:rPr>
        <w:t xml:space="preserve"> renforcer les capacités nationales</w:t>
      </w:r>
      <w:r>
        <w:rPr>
          <w:rFonts w:ascii="Times New Roman" w:hAnsi="Times New Roman"/>
          <w:noProof/>
          <w:sz w:val="24"/>
        </w:rPr>
        <w:t xml:space="preserve"> pour d’autres technologies numériques transversales et se sont </w:t>
      </w:r>
      <w:r>
        <w:rPr>
          <w:rFonts w:ascii="Times New Roman" w:hAnsi="Times New Roman"/>
          <w:noProof/>
          <w:color w:val="000000" w:themeColor="text1"/>
          <w:sz w:val="24"/>
        </w:rPr>
        <w:t>concentrées sur</w:t>
      </w:r>
      <w:r>
        <w:rPr>
          <w:rFonts w:ascii="Times New Roman" w:hAnsi="Times New Roman"/>
          <w:noProof/>
          <w:sz w:val="24"/>
        </w:rPr>
        <w:t xml:space="preserve"> la réduction des </w:t>
      </w:r>
      <w:r>
        <w:rPr>
          <w:rFonts w:ascii="Times New Roman" w:hAnsi="Times New Roman"/>
          <w:b/>
          <w:noProof/>
          <w:sz w:val="24"/>
        </w:rPr>
        <w:t>dépendances stratégiques</w:t>
      </w:r>
      <w:r>
        <w:rPr>
          <w:rFonts w:ascii="Times New Roman" w:hAnsi="Times New Roman"/>
          <w:noProof/>
          <w:sz w:val="24"/>
        </w:rPr>
        <w:t xml:space="preserve"> en ce qui concerne les semi-conducteurs et les services en nuage</w:t>
      </w:r>
      <w:r>
        <w:rPr>
          <w:rStyle w:val="FootnoteReference"/>
          <w:rFonts w:ascii="Times New Roman" w:hAnsi="Times New Roman" w:cs="Times New Roman"/>
          <w:noProof/>
          <w:sz w:val="24"/>
          <w:szCs w:val="24"/>
          <w:lang w:val="en-IE"/>
        </w:rPr>
        <w:footnoteReference w:id="78"/>
      </w:r>
      <w:r>
        <w:rPr>
          <w:rFonts w:ascii="Times New Roman" w:hAnsi="Times New Roman"/>
          <w:noProof/>
          <w:color w:val="000000" w:themeColor="text1"/>
          <w:sz w:val="24"/>
        </w:rPr>
        <w:t>. L</w:t>
      </w:r>
      <w:r>
        <w:rPr>
          <w:rFonts w:ascii="Times New Roman" w:hAnsi="Times New Roman"/>
          <w:noProof/>
          <w:sz w:val="24"/>
        </w:rPr>
        <w:t xml:space="preserve">e </w:t>
      </w:r>
      <w:r>
        <w:rPr>
          <w:rFonts w:ascii="Times New Roman" w:hAnsi="Times New Roman"/>
          <w:b/>
          <w:noProof/>
          <w:sz w:val="24"/>
        </w:rPr>
        <w:t>règlement sur les semi-conducteurs</w:t>
      </w:r>
      <w:r>
        <w:rPr>
          <w:rFonts w:ascii="Times New Roman" w:hAnsi="Times New Roman"/>
          <w:noProof/>
          <w:sz w:val="24"/>
        </w:rPr>
        <w:t xml:space="preserve"> augmentera la capacité de production de l’UE</w:t>
      </w:r>
      <w:r w:rsidRPr="00ED1C75">
        <w:rPr>
          <w:rStyle w:val="FootnoteReference"/>
          <w:rFonts w:ascii="Times New Roman" w:hAnsi="Times New Roman" w:cs="Times New Roman"/>
          <w:noProof/>
          <w:sz w:val="24"/>
          <w:szCs w:val="24"/>
          <w:lang w:val="en-IE"/>
        </w:rPr>
        <w:footnoteReference w:id="79"/>
      </w:r>
      <w:r>
        <w:rPr>
          <w:rFonts w:ascii="Times New Roman" w:hAnsi="Times New Roman"/>
          <w:noProof/>
          <w:sz w:val="24"/>
        </w:rPr>
        <w:t xml:space="preserve">, son objectif étant qu’au moins </w:t>
      </w:r>
      <w:r w:rsidRPr="00F3116B">
        <w:rPr>
          <w:rFonts w:ascii="Times New Roman" w:hAnsi="Times New Roman"/>
          <w:noProof/>
          <w:sz w:val="24"/>
        </w:rPr>
        <w:t>20</w:t>
      </w:r>
      <w:r>
        <w:rPr>
          <w:rFonts w:ascii="Times New Roman" w:hAnsi="Times New Roman"/>
          <w:noProof/>
          <w:sz w:val="24"/>
        </w:rPr>
        <w:t xml:space="preserve"> % de la production mondiale des semi-conducteurs de pointe soient produits en Europe d’ici à </w:t>
      </w:r>
      <w:r w:rsidRPr="00F3116B">
        <w:rPr>
          <w:rFonts w:ascii="Times New Roman" w:hAnsi="Times New Roman"/>
          <w:noProof/>
          <w:sz w:val="24"/>
        </w:rPr>
        <w:t>2030</w:t>
      </w:r>
      <w:r>
        <w:rPr>
          <w:rFonts w:ascii="Times New Roman" w:hAnsi="Times New Roman"/>
          <w:noProof/>
          <w:sz w:val="24"/>
        </w:rPr>
        <w:t xml:space="preserve">. </w:t>
      </w:r>
      <w:r>
        <w:rPr>
          <w:rFonts w:ascii="Times New Roman" w:hAnsi="Times New Roman"/>
          <w:b/>
          <w:noProof/>
          <w:sz w:val="24"/>
        </w:rPr>
        <w:t>Les PIIEC relatifs à la microélectronique et aux infrastructures</w:t>
      </w:r>
      <w:r>
        <w:rPr>
          <w:rFonts w:ascii="Times New Roman" w:hAnsi="Times New Roman"/>
          <w:noProof/>
          <w:sz w:val="24"/>
        </w:rPr>
        <w:t xml:space="preserve"> et </w:t>
      </w:r>
      <w:r>
        <w:rPr>
          <w:rFonts w:ascii="Times New Roman" w:hAnsi="Times New Roman"/>
          <w:b/>
          <w:noProof/>
          <w:sz w:val="24"/>
        </w:rPr>
        <w:t>services en nuage</w:t>
      </w:r>
      <w:r>
        <w:rPr>
          <w:rFonts w:ascii="Times New Roman" w:hAnsi="Times New Roman"/>
          <w:noProof/>
          <w:sz w:val="24"/>
        </w:rPr>
        <w:t xml:space="preserve"> </w:t>
      </w:r>
      <w:r>
        <w:rPr>
          <w:rFonts w:ascii="Times New Roman" w:hAnsi="Times New Roman"/>
          <w:b/>
          <w:noProof/>
          <w:sz w:val="24"/>
        </w:rPr>
        <w:t>de nouvelle génération mobilisent les grandes entreprises</w:t>
      </w:r>
      <w:r>
        <w:rPr>
          <w:rFonts w:ascii="Times New Roman" w:hAnsi="Times New Roman"/>
          <w:noProof/>
          <w:sz w:val="24"/>
        </w:rPr>
        <w:t xml:space="preserve"> et les start-up pour investir dans de grandes capacités industrielles innovantes</w:t>
      </w:r>
      <w:r>
        <w:rPr>
          <w:rStyle w:val="FootnoteReference"/>
          <w:rFonts w:ascii="Times New Roman" w:hAnsi="Times New Roman" w:cs="Times New Roman"/>
          <w:noProof/>
          <w:sz w:val="24"/>
          <w:szCs w:val="24"/>
          <w:lang w:val="en-IE"/>
        </w:rPr>
        <w:footnoteReference w:id="80"/>
      </w:r>
      <w:r>
        <w:rPr>
          <w:rFonts w:ascii="Times New Roman" w:hAnsi="Times New Roman"/>
          <w:noProof/>
          <w:sz w:val="24"/>
        </w:rPr>
        <w:t xml:space="preserve"> et pour développer un écosystème européen de traitement des données qui soit interopérable et librement accessible,</w:t>
      </w:r>
    </w:p>
    <w:p w14:paraId="36F4B0FE" w14:textId="621DFD65" w:rsidR="002C51B4" w:rsidRDefault="002C51B4" w:rsidP="002C51B4">
      <w:pPr>
        <w:jc w:val="both"/>
        <w:rPr>
          <w:noProof/>
          <w:szCs w:val="24"/>
        </w:rPr>
      </w:pPr>
      <w:r>
        <w:rPr>
          <w:rFonts w:ascii="Times New Roman" w:hAnsi="Times New Roman"/>
          <w:noProof/>
          <w:sz w:val="24"/>
        </w:rPr>
        <w:t>L’</w:t>
      </w:r>
      <w:r>
        <w:rPr>
          <w:rFonts w:ascii="Times New Roman" w:hAnsi="Times New Roman"/>
          <w:b/>
          <w:noProof/>
          <w:sz w:val="24"/>
        </w:rPr>
        <w:t>adoption des technologies numériques par les entreprises de l’UE</w:t>
      </w:r>
      <w:r>
        <w:rPr>
          <w:rFonts w:ascii="Times New Roman" w:hAnsi="Times New Roman"/>
          <w:noProof/>
          <w:sz w:val="24"/>
        </w:rPr>
        <w:t xml:space="preserve"> peut accroître considérablement la productivité du travail dans l’ensemble de l’économie. En </w:t>
      </w:r>
      <w:r w:rsidRPr="00F3116B">
        <w:rPr>
          <w:rFonts w:ascii="Times New Roman" w:hAnsi="Times New Roman"/>
          <w:noProof/>
          <w:sz w:val="24"/>
        </w:rPr>
        <w:t>2022</w:t>
      </w:r>
      <w:r>
        <w:rPr>
          <w:rFonts w:ascii="Times New Roman" w:hAnsi="Times New Roman"/>
          <w:noProof/>
          <w:sz w:val="24"/>
        </w:rPr>
        <w:t xml:space="preserve">, </w:t>
      </w:r>
      <w:r w:rsidRPr="00F3116B">
        <w:rPr>
          <w:rFonts w:ascii="Times New Roman" w:hAnsi="Times New Roman"/>
          <w:noProof/>
          <w:sz w:val="24"/>
        </w:rPr>
        <w:t>69</w:t>
      </w:r>
      <w:r>
        <w:rPr>
          <w:rFonts w:ascii="Times New Roman" w:hAnsi="Times New Roman"/>
          <w:noProof/>
          <w:sz w:val="24"/>
        </w:rPr>
        <w:t xml:space="preserve"> % des PME de l’UE avaient au moins un niveau élémentaire d’intensité numérique, alors que l’objectif fixé pour la décennie numérique à l’horizon </w:t>
      </w:r>
      <w:r w:rsidRPr="00F3116B">
        <w:rPr>
          <w:rFonts w:ascii="Times New Roman" w:hAnsi="Times New Roman"/>
          <w:noProof/>
          <w:sz w:val="24"/>
        </w:rPr>
        <w:t>2030</w:t>
      </w:r>
      <w:r>
        <w:rPr>
          <w:rFonts w:ascii="Times New Roman" w:hAnsi="Times New Roman"/>
          <w:noProof/>
          <w:sz w:val="24"/>
        </w:rPr>
        <w:t xml:space="preserve"> est de </w:t>
      </w:r>
      <w:r w:rsidRPr="00F3116B">
        <w:rPr>
          <w:rFonts w:ascii="Times New Roman" w:hAnsi="Times New Roman"/>
          <w:noProof/>
          <w:sz w:val="24"/>
        </w:rPr>
        <w:t>90</w:t>
      </w:r>
      <w:r>
        <w:rPr>
          <w:rFonts w:ascii="Times New Roman" w:hAnsi="Times New Roman"/>
          <w:noProof/>
          <w:sz w:val="24"/>
        </w:rPr>
        <w:t xml:space="preserve"> % (voir ICP </w:t>
      </w:r>
      <w:r w:rsidRPr="00F3116B">
        <w:rPr>
          <w:rFonts w:ascii="Times New Roman" w:hAnsi="Times New Roman"/>
          <w:noProof/>
          <w:sz w:val="24"/>
        </w:rPr>
        <w:t>11</w:t>
      </w:r>
      <w:r>
        <w:rPr>
          <w:rFonts w:ascii="Times New Roman" w:hAnsi="Times New Roman"/>
          <w:noProof/>
          <w:sz w:val="24"/>
        </w:rPr>
        <w:t xml:space="preserve">). La part des entreprises de l’UE employant </w:t>
      </w:r>
      <w:r w:rsidRPr="00F3116B">
        <w:rPr>
          <w:rFonts w:ascii="Times New Roman" w:hAnsi="Times New Roman"/>
          <w:noProof/>
          <w:sz w:val="24"/>
        </w:rPr>
        <w:t>10</w:t>
      </w:r>
      <w:r>
        <w:rPr>
          <w:rFonts w:ascii="Times New Roman" w:hAnsi="Times New Roman"/>
          <w:noProof/>
          <w:sz w:val="24"/>
        </w:rPr>
        <w:t xml:space="preserve"> salariés ou plus qui ont adopté des technologies numériques était de </w:t>
      </w:r>
      <w:r w:rsidRPr="00F3116B">
        <w:rPr>
          <w:rFonts w:ascii="Times New Roman" w:hAnsi="Times New Roman"/>
          <w:noProof/>
          <w:sz w:val="24"/>
        </w:rPr>
        <w:t>14</w:t>
      </w:r>
      <w:r>
        <w:rPr>
          <w:rFonts w:ascii="Times New Roman" w:hAnsi="Times New Roman"/>
          <w:noProof/>
          <w:sz w:val="24"/>
        </w:rPr>
        <w:t xml:space="preserve"> % pour les mégadonnées en </w:t>
      </w:r>
      <w:r w:rsidRPr="00F3116B">
        <w:rPr>
          <w:rFonts w:ascii="Times New Roman" w:hAnsi="Times New Roman"/>
          <w:noProof/>
          <w:sz w:val="24"/>
        </w:rPr>
        <w:t>2020</w:t>
      </w:r>
      <w:r>
        <w:rPr>
          <w:rFonts w:ascii="Times New Roman" w:hAnsi="Times New Roman"/>
          <w:noProof/>
          <w:sz w:val="24"/>
        </w:rPr>
        <w:t xml:space="preserve">, de </w:t>
      </w:r>
      <w:r w:rsidRPr="00F3116B">
        <w:rPr>
          <w:rFonts w:ascii="Times New Roman" w:hAnsi="Times New Roman"/>
          <w:noProof/>
          <w:sz w:val="24"/>
        </w:rPr>
        <w:t>34</w:t>
      </w:r>
      <w:r>
        <w:rPr>
          <w:rFonts w:ascii="Times New Roman" w:hAnsi="Times New Roman"/>
          <w:noProof/>
          <w:sz w:val="24"/>
        </w:rPr>
        <w:t xml:space="preserve"> % pour l’informatique en nuage et de </w:t>
      </w:r>
      <w:r w:rsidRPr="00F3116B">
        <w:rPr>
          <w:rFonts w:ascii="Times New Roman" w:hAnsi="Times New Roman"/>
          <w:noProof/>
          <w:sz w:val="24"/>
        </w:rPr>
        <w:t>8</w:t>
      </w:r>
      <w:r>
        <w:rPr>
          <w:rFonts w:ascii="Times New Roman" w:hAnsi="Times New Roman"/>
          <w:noProof/>
          <w:sz w:val="24"/>
        </w:rPr>
        <w:t xml:space="preserve"> % pour l’IA en </w:t>
      </w:r>
      <w:r w:rsidRPr="00F3116B">
        <w:rPr>
          <w:rFonts w:ascii="Times New Roman" w:hAnsi="Times New Roman"/>
          <w:noProof/>
          <w:sz w:val="24"/>
        </w:rPr>
        <w:t>2021</w:t>
      </w:r>
      <w:r>
        <w:rPr>
          <w:rFonts w:ascii="Times New Roman" w:hAnsi="Times New Roman"/>
          <w:noProof/>
          <w:sz w:val="24"/>
        </w:rPr>
        <w:t xml:space="preserve">, alors que l’objectif pour </w:t>
      </w:r>
      <w:r w:rsidRPr="00F3116B">
        <w:rPr>
          <w:rFonts w:ascii="Times New Roman" w:hAnsi="Times New Roman"/>
          <w:noProof/>
          <w:sz w:val="24"/>
        </w:rPr>
        <w:t>2030</w:t>
      </w:r>
      <w:r>
        <w:rPr>
          <w:rFonts w:ascii="Times New Roman" w:hAnsi="Times New Roman"/>
          <w:noProof/>
          <w:sz w:val="24"/>
        </w:rPr>
        <w:t xml:space="preserve"> est que </w:t>
      </w:r>
      <w:r w:rsidRPr="00F3116B">
        <w:rPr>
          <w:rFonts w:ascii="Times New Roman" w:hAnsi="Times New Roman"/>
          <w:noProof/>
          <w:sz w:val="24"/>
        </w:rPr>
        <w:t>75</w:t>
      </w:r>
      <w:r>
        <w:rPr>
          <w:rFonts w:ascii="Times New Roman" w:hAnsi="Times New Roman"/>
          <w:noProof/>
          <w:sz w:val="24"/>
        </w:rPr>
        <w:t xml:space="preserve"> % des entreprises utilisent au moins l’une de ces technologies (voir ICP </w:t>
      </w:r>
      <w:r w:rsidRPr="00F3116B">
        <w:rPr>
          <w:rFonts w:ascii="Times New Roman" w:hAnsi="Times New Roman"/>
          <w:noProof/>
          <w:sz w:val="24"/>
        </w:rPr>
        <w:t>12</w:t>
      </w:r>
      <w:r>
        <w:rPr>
          <w:rFonts w:ascii="Times New Roman" w:hAnsi="Times New Roman"/>
          <w:noProof/>
          <w:sz w:val="24"/>
        </w:rPr>
        <w:t>). Les start-up de la technologie numérique sont très actives dans la plupart des écosystèmes industriels, les secteurs de la santé, de la mobilité, de la culture et de la création attirant la part la plus importante. Bon nombre de ces start-up proposent des solutions numériques de base telles que des places de marché en ligne ou des services logiciels, qui contribuent à la transformation des écosystèmes.</w:t>
      </w:r>
      <w:r>
        <w:rPr>
          <w:noProof/>
        </w:rPr>
        <w:t xml:space="preserve"> </w:t>
      </w:r>
    </w:p>
    <w:tbl>
      <w:tblPr>
        <w:tblStyle w:val="TableGrid"/>
        <w:tblW w:w="0" w:type="auto"/>
        <w:tblInd w:w="108" w:type="dxa"/>
        <w:tblLook w:val="04A0" w:firstRow="1" w:lastRow="0" w:firstColumn="1" w:lastColumn="0" w:noHBand="0" w:noVBand="1"/>
      </w:tblPr>
      <w:tblGrid>
        <w:gridCol w:w="9356"/>
      </w:tblGrid>
      <w:tr w:rsidR="002C51B4" w14:paraId="75CB29D1" w14:textId="77777777" w:rsidTr="00BB6538">
        <w:tc>
          <w:tcPr>
            <w:tcW w:w="9356" w:type="dxa"/>
          </w:tcPr>
          <w:p w14:paraId="6436E187" w14:textId="77777777" w:rsidR="002C51B4" w:rsidRDefault="002C51B4" w:rsidP="00BB6538">
            <w:pPr>
              <w:keepNext/>
              <w:keepLines/>
              <w:spacing w:before="120" w:after="120"/>
              <w:jc w:val="both"/>
              <w:rPr>
                <w:rFonts w:ascii="Times New Roman" w:eastAsia="Times New Roman" w:hAnsi="Times New Roman" w:cs="Times New Roman"/>
                <w:bCs/>
                <w:noProof/>
                <w:color w:val="000000" w:themeColor="text1"/>
                <w:sz w:val="24"/>
                <w:szCs w:val="24"/>
              </w:rPr>
            </w:pPr>
            <w:r>
              <w:rPr>
                <w:rFonts w:ascii="Times New Roman" w:hAnsi="Times New Roman"/>
                <w:noProof/>
                <w:sz w:val="24"/>
              </w:rPr>
              <w:t>La numérisation des entreprises européennes</w:t>
            </w:r>
            <w:r>
              <w:rPr>
                <w:noProof/>
              </w:rPr>
              <w:t xml:space="preserve">, </w:t>
            </w:r>
            <w:r>
              <w:rPr>
                <w:rFonts w:ascii="Times New Roman" w:hAnsi="Times New Roman"/>
                <w:noProof/>
                <w:sz w:val="24"/>
              </w:rPr>
              <w:t xml:space="preserve">en particulier des PME, et des services publics progresse, mais reste bien en deçà des objectifs de la décennie numérique à l’horizon </w:t>
            </w:r>
            <w:r w:rsidRPr="00F3116B">
              <w:rPr>
                <w:rFonts w:ascii="Times New Roman" w:hAnsi="Times New Roman"/>
                <w:noProof/>
                <w:sz w:val="24"/>
              </w:rPr>
              <w:t>2030</w:t>
            </w:r>
            <w:r>
              <w:rPr>
                <w:rFonts w:ascii="Times New Roman" w:hAnsi="Times New Roman"/>
                <w:noProof/>
                <w:sz w:val="24"/>
              </w:rPr>
              <w:t xml:space="preserve">. L’UE et les États membres devraient mettre pleinement en œuvre le </w:t>
            </w:r>
            <w:r>
              <w:rPr>
                <w:rFonts w:ascii="Times New Roman" w:hAnsi="Times New Roman"/>
                <w:noProof/>
                <w:color w:val="000000" w:themeColor="text1"/>
                <w:sz w:val="24"/>
              </w:rPr>
              <w:t>programme d’action pour la décennie numérique pour y remédier</w:t>
            </w:r>
            <w:r>
              <w:rPr>
                <w:rFonts w:ascii="Times New Roman" w:hAnsi="Times New Roman"/>
                <w:noProof/>
                <w:sz w:val="24"/>
              </w:rPr>
              <w:t>.</w:t>
            </w:r>
          </w:p>
          <w:p w14:paraId="2876EF68" w14:textId="77777777" w:rsidR="002C51B4" w:rsidRPr="00E222C2" w:rsidRDefault="002C51B4" w:rsidP="00BB6538">
            <w:pPr>
              <w:jc w:val="both"/>
              <w:rPr>
                <w:rFonts w:ascii="Times New Roman" w:hAnsi="Times New Roman" w:cs="Times New Roman"/>
                <w:b/>
                <w:bCs/>
                <w:noProof/>
                <w:sz w:val="24"/>
                <w:szCs w:val="24"/>
              </w:rPr>
            </w:pPr>
            <w:r>
              <w:rPr>
                <w:rFonts w:ascii="Times New Roman" w:hAnsi="Times New Roman"/>
                <w:noProof/>
                <w:color w:val="000000" w:themeColor="text1"/>
                <w:sz w:val="24"/>
              </w:rPr>
              <w:t>L’UE a déjà pris diverses mesures afin de réduire les dépendances stratégiques et promouvoir</w:t>
            </w:r>
            <w:r>
              <w:rPr>
                <w:rFonts w:ascii="Times New Roman" w:hAnsi="Times New Roman"/>
                <w:noProof/>
                <w:sz w:val="24"/>
              </w:rPr>
              <w:t xml:space="preserve"> la compétitivité en intensifiant les investissements dans les technologies stratégiques, telles que les semi-conducteurs, les services en nuage, l’IA et le calcul à haute performance. Pour être plus efficaces, ces mesures exigent des États membres qu’ils alignent leurs stratégies de renforcement des capacités industrielles dans les domaines concernés. </w:t>
            </w:r>
          </w:p>
        </w:tc>
      </w:tr>
      <w:bookmarkEnd w:id="40"/>
    </w:tbl>
    <w:p w14:paraId="0E102A3E" w14:textId="77777777" w:rsidR="002C51B4" w:rsidRPr="00554935" w:rsidRDefault="002C51B4" w:rsidP="002C51B4">
      <w:pPr>
        <w:pStyle w:val="ListParagraph"/>
        <w:spacing w:after="0" w:line="240" w:lineRule="auto"/>
        <w:jc w:val="both"/>
        <w:rPr>
          <w:rFonts w:ascii="Times New Roman" w:hAnsi="Times New Roman" w:cs="Times New Roman"/>
          <w:b/>
          <w:bCs/>
          <w:noProof/>
          <w:sz w:val="24"/>
          <w:szCs w:val="24"/>
          <w:u w:val="single"/>
          <w:lang w:val="fr-BE"/>
        </w:rPr>
      </w:pPr>
    </w:p>
    <w:p w14:paraId="1D3154FB" w14:textId="77777777" w:rsidR="002C51B4" w:rsidRPr="00DF2D3C" w:rsidRDefault="002C51B4" w:rsidP="002C51B4">
      <w:pPr>
        <w:pStyle w:val="ListParagraph"/>
        <w:keepNext/>
        <w:numPr>
          <w:ilvl w:val="0"/>
          <w:numId w:val="2"/>
        </w:numPr>
        <w:spacing w:before="240"/>
        <w:ind w:left="357" w:hanging="357"/>
        <w:jc w:val="both"/>
        <w:rPr>
          <w:rFonts w:ascii="Times New Roman" w:hAnsi="Times New Roman" w:cs="Times New Roman"/>
          <w:b/>
          <w:bCs/>
          <w:noProof/>
          <w:sz w:val="24"/>
          <w:szCs w:val="24"/>
          <w:u w:val="single"/>
        </w:rPr>
      </w:pPr>
      <w:r>
        <w:rPr>
          <w:rFonts w:ascii="Times New Roman" w:hAnsi="Times New Roman"/>
          <w:b/>
          <w:noProof/>
          <w:sz w:val="24"/>
          <w:u w:val="single"/>
        </w:rPr>
        <w:t>Éducation et compétences</w:t>
      </w:r>
    </w:p>
    <w:tbl>
      <w:tblPr>
        <w:tblW w:w="5000" w:type="pct"/>
        <w:tblLayout w:type="fixed"/>
        <w:tblCellMar>
          <w:left w:w="0" w:type="dxa"/>
          <w:right w:w="0" w:type="dxa"/>
        </w:tblCellMar>
        <w:tblLook w:val="01E0" w:firstRow="1" w:lastRow="1" w:firstColumn="1" w:lastColumn="1" w:noHBand="0" w:noVBand="0"/>
      </w:tblPr>
      <w:tblGrid>
        <w:gridCol w:w="2435"/>
        <w:gridCol w:w="4096"/>
        <w:gridCol w:w="1073"/>
        <w:gridCol w:w="1756"/>
      </w:tblGrid>
      <w:tr w:rsidR="002C51B4" w:rsidRPr="009403B5" w14:paraId="3ECD62CF" w14:textId="77777777" w:rsidTr="00F34019">
        <w:trPr>
          <w:trHeight w:hRule="exact" w:val="685"/>
        </w:trPr>
        <w:tc>
          <w:tcPr>
            <w:tcW w:w="1301" w:type="pct"/>
            <w:tcBorders>
              <w:top w:val="single" w:sz="4" w:space="0" w:color="auto"/>
              <w:bottom w:val="single" w:sz="4" w:space="0" w:color="auto"/>
            </w:tcBorders>
            <w:shd w:val="clear" w:color="auto" w:fill="B8CCE4"/>
            <w:vAlign w:val="center"/>
          </w:tcPr>
          <w:p w14:paraId="0895ED77" w14:textId="77777777" w:rsidR="002C51B4" w:rsidRPr="000A23DA" w:rsidRDefault="002C51B4" w:rsidP="00BB6538">
            <w:pPr>
              <w:widowControl w:val="0"/>
              <w:autoSpaceDE w:val="0"/>
              <w:autoSpaceDN w:val="0"/>
              <w:spacing w:after="60" w:line="240" w:lineRule="auto"/>
              <w:ind w:left="107" w:right="138"/>
              <w:rPr>
                <w:rFonts w:ascii="Times New Roman" w:eastAsia="Times New Roman" w:hAnsi="Times New Roman" w:cs="Times New Roman"/>
                <w:noProof/>
                <w:color w:val="111111"/>
                <w:sz w:val="18"/>
                <w:szCs w:val="18"/>
              </w:rPr>
            </w:pPr>
            <w:bookmarkStart w:id="41" w:name="_Hlk150517025"/>
            <w:r>
              <w:rPr>
                <w:rFonts w:ascii="Times New Roman" w:hAnsi="Times New Roman"/>
                <w:b/>
                <w:noProof/>
                <w:color w:val="003063"/>
                <w:sz w:val="18"/>
              </w:rPr>
              <w:t>ICP</w:t>
            </w:r>
          </w:p>
        </w:tc>
        <w:tc>
          <w:tcPr>
            <w:tcW w:w="2188" w:type="pct"/>
            <w:tcBorders>
              <w:top w:val="single" w:sz="4" w:space="0" w:color="auto"/>
              <w:bottom w:val="single" w:sz="4" w:space="0" w:color="auto"/>
            </w:tcBorders>
            <w:shd w:val="clear" w:color="auto" w:fill="B8CCE4"/>
            <w:vAlign w:val="center"/>
          </w:tcPr>
          <w:p w14:paraId="7AC39E42" w14:textId="77777777" w:rsidR="002C51B4" w:rsidRPr="000A23DA" w:rsidRDefault="002C51B4" w:rsidP="00BB6538">
            <w:pPr>
              <w:widowControl w:val="0"/>
              <w:autoSpaceDE w:val="0"/>
              <w:autoSpaceDN w:val="0"/>
              <w:spacing w:after="60" w:line="240" w:lineRule="auto"/>
              <w:ind w:left="108" w:right="142"/>
              <w:jc w:val="both"/>
              <w:rPr>
                <w:rFonts w:ascii="Times New Roman" w:eastAsia="Times New Roman" w:hAnsi="Times New Roman" w:cs="Times New Roman"/>
                <w:noProof/>
                <w:sz w:val="18"/>
                <w:szCs w:val="18"/>
              </w:rPr>
            </w:pPr>
            <w:r>
              <w:rPr>
                <w:rFonts w:ascii="Times New Roman" w:hAnsi="Times New Roman"/>
                <w:b/>
                <w:noProof/>
                <w:color w:val="003063"/>
                <w:sz w:val="18"/>
              </w:rPr>
              <w:t>Description</w:t>
            </w:r>
          </w:p>
        </w:tc>
        <w:tc>
          <w:tcPr>
            <w:tcW w:w="573" w:type="pct"/>
            <w:tcBorders>
              <w:top w:val="single" w:sz="4" w:space="0" w:color="auto"/>
              <w:bottom w:val="single" w:sz="4" w:space="0" w:color="auto"/>
            </w:tcBorders>
            <w:shd w:val="clear" w:color="auto" w:fill="B8CCE4"/>
            <w:vAlign w:val="center"/>
          </w:tcPr>
          <w:p w14:paraId="3D9B3460" w14:textId="77777777" w:rsidR="002C51B4" w:rsidRPr="000A23DA" w:rsidRDefault="002C51B4" w:rsidP="00BB6538">
            <w:pPr>
              <w:widowControl w:val="0"/>
              <w:autoSpaceDE w:val="0"/>
              <w:autoSpaceDN w:val="0"/>
              <w:spacing w:after="60" w:line="275" w:lineRule="exact"/>
              <w:ind w:left="107"/>
              <w:rPr>
                <w:rFonts w:ascii="Times New Roman" w:eastAsia="Times New Roman" w:hAnsi="Times New Roman" w:cs="Times New Roman"/>
                <w:noProof/>
                <w:sz w:val="18"/>
                <w:szCs w:val="18"/>
              </w:rPr>
            </w:pPr>
            <w:r>
              <w:rPr>
                <w:rFonts w:ascii="Times New Roman" w:hAnsi="Times New Roman"/>
                <w:b/>
                <w:noProof/>
                <w:color w:val="003063"/>
                <w:sz w:val="18"/>
              </w:rPr>
              <w:t>Objectif</w:t>
            </w:r>
          </w:p>
        </w:tc>
        <w:tc>
          <w:tcPr>
            <w:tcW w:w="938" w:type="pct"/>
            <w:tcBorders>
              <w:top w:val="single" w:sz="4" w:space="0" w:color="auto"/>
              <w:bottom w:val="single" w:sz="4" w:space="0" w:color="auto"/>
            </w:tcBorders>
            <w:shd w:val="clear" w:color="auto" w:fill="B8CCE4"/>
            <w:vAlign w:val="center"/>
          </w:tcPr>
          <w:p w14:paraId="06351E05" w14:textId="77777777" w:rsidR="002C51B4" w:rsidRPr="000A23DA" w:rsidRDefault="002C51B4" w:rsidP="00BB6538">
            <w:pPr>
              <w:widowControl w:val="0"/>
              <w:autoSpaceDE w:val="0"/>
              <w:autoSpaceDN w:val="0"/>
              <w:spacing w:after="60" w:line="275" w:lineRule="exact"/>
              <w:ind w:left="107"/>
              <w:rPr>
                <w:rFonts w:ascii="Times New Roman" w:eastAsia="Times New Roman" w:hAnsi="Times New Roman" w:cs="Times New Roman"/>
                <w:noProof/>
                <w:sz w:val="18"/>
                <w:szCs w:val="18"/>
              </w:rPr>
            </w:pPr>
            <w:r>
              <w:rPr>
                <w:rFonts w:ascii="Times New Roman" w:hAnsi="Times New Roman"/>
                <w:b/>
                <w:noProof/>
                <w:color w:val="003063"/>
                <w:sz w:val="18"/>
              </w:rPr>
              <w:t>Valeurs UE les plus récentes</w:t>
            </w:r>
            <w:r w:rsidRPr="002764DE">
              <w:rPr>
                <w:rFonts w:ascii="Times New Roman" w:eastAsia="Palatino Linotype" w:hAnsi="Times New Roman" w:cs="Times New Roman"/>
                <w:b/>
                <w:noProof/>
                <w:color w:val="003063"/>
                <w:spacing w:val="26"/>
                <w:w w:val="90"/>
                <w:sz w:val="18"/>
                <w:szCs w:val="18"/>
                <w:vertAlign w:val="superscript"/>
                <w:lang w:val="en-US"/>
              </w:rPr>
              <w:footnoteReference w:id="81"/>
            </w:r>
          </w:p>
        </w:tc>
      </w:tr>
      <w:tr w:rsidR="002C51B4" w:rsidRPr="009403B5" w14:paraId="449D6ECB" w14:textId="77777777" w:rsidTr="00BB6538">
        <w:trPr>
          <w:trHeight w:val="416"/>
        </w:trPr>
        <w:tc>
          <w:tcPr>
            <w:tcW w:w="1301" w:type="pct"/>
            <w:tcBorders>
              <w:top w:val="single" w:sz="4" w:space="0" w:color="auto"/>
              <w:bottom w:val="single" w:sz="4" w:space="0" w:color="808080" w:themeColor="background1" w:themeShade="80"/>
            </w:tcBorders>
            <w:shd w:val="clear" w:color="auto" w:fill="auto"/>
          </w:tcPr>
          <w:p w14:paraId="6854737E" w14:textId="77777777" w:rsidR="002C51B4" w:rsidRPr="005C3892" w:rsidRDefault="002C51B4" w:rsidP="00BB6538">
            <w:pPr>
              <w:widowControl w:val="0"/>
              <w:autoSpaceDE w:val="0"/>
              <w:autoSpaceDN w:val="0"/>
              <w:spacing w:before="60" w:after="60" w:line="240" w:lineRule="auto"/>
              <w:ind w:left="107" w:right="138"/>
              <w:rPr>
                <w:rFonts w:ascii="Times New Roman" w:hAnsi="Times New Roman"/>
                <w:noProof/>
                <w:sz w:val="18"/>
              </w:rPr>
            </w:pPr>
            <w:r>
              <w:rPr>
                <w:rFonts w:ascii="Times New Roman" w:hAnsi="Times New Roman"/>
                <w:noProof/>
                <w:color w:val="111111"/>
                <w:sz w:val="18"/>
              </w:rPr>
              <w:t>ICP</w:t>
            </w:r>
            <w:r>
              <w:rPr>
                <w:rFonts w:ascii="Times New Roman" w:hAnsi="Times New Roman"/>
                <w:noProof/>
                <w:sz w:val="18"/>
              </w:rPr>
              <w:t> </w:t>
            </w:r>
            <w:r w:rsidRPr="00F3116B">
              <w:rPr>
                <w:rFonts w:ascii="Times New Roman" w:hAnsi="Times New Roman"/>
                <w:noProof/>
                <w:sz w:val="18"/>
              </w:rPr>
              <w:t>13</w:t>
            </w:r>
            <w:r>
              <w:rPr>
                <w:rFonts w:ascii="Times New Roman" w:hAnsi="Times New Roman"/>
                <w:noProof/>
                <w:sz w:val="18"/>
              </w:rPr>
              <w:t>: Pourcentage d’adultes suivant un enseignement ou une formation chaque année (moyenne des femmes et des hommes)</w:t>
            </w:r>
          </w:p>
        </w:tc>
        <w:tc>
          <w:tcPr>
            <w:tcW w:w="2188" w:type="pct"/>
            <w:tcBorders>
              <w:top w:val="single" w:sz="4" w:space="0" w:color="auto"/>
              <w:bottom w:val="single" w:sz="4" w:space="0" w:color="808080" w:themeColor="background1" w:themeShade="80"/>
            </w:tcBorders>
            <w:shd w:val="clear" w:color="auto" w:fill="auto"/>
          </w:tcPr>
          <w:p w14:paraId="0ADF8FE1" w14:textId="77777777" w:rsidR="002C51B4" w:rsidRPr="005C3892" w:rsidRDefault="002C51B4" w:rsidP="00BB6538">
            <w:pPr>
              <w:widowControl w:val="0"/>
              <w:autoSpaceDE w:val="0"/>
              <w:autoSpaceDN w:val="0"/>
              <w:spacing w:before="60" w:after="60" w:line="240" w:lineRule="auto"/>
              <w:ind w:left="108" w:right="142"/>
              <w:jc w:val="both"/>
              <w:rPr>
                <w:rFonts w:ascii="Times New Roman" w:hAnsi="Times New Roman"/>
                <w:noProof/>
                <w:sz w:val="18"/>
              </w:rPr>
            </w:pPr>
            <w:r>
              <w:rPr>
                <w:rFonts w:ascii="Times New Roman" w:hAnsi="Times New Roman"/>
                <w:noProof/>
                <w:sz w:val="18"/>
              </w:rPr>
              <w:t>Une participation accrue à la formation indiquera des progrès satisfaisants dans le développement des compétences pour une compétitivité durable (valeur cible fixée dans les objectifs du sommet de Porto, socle européen des droits sociaux).</w:t>
            </w:r>
          </w:p>
        </w:tc>
        <w:tc>
          <w:tcPr>
            <w:tcW w:w="573" w:type="pct"/>
            <w:tcBorders>
              <w:top w:val="single" w:sz="4" w:space="0" w:color="auto"/>
              <w:bottom w:val="single" w:sz="4" w:space="0" w:color="808080" w:themeColor="background1" w:themeShade="80"/>
            </w:tcBorders>
            <w:shd w:val="clear" w:color="auto" w:fill="auto"/>
          </w:tcPr>
          <w:p w14:paraId="3D9F5BD1" w14:textId="77777777" w:rsidR="002C51B4" w:rsidRPr="000A23DA" w:rsidRDefault="002C51B4" w:rsidP="00BB6538">
            <w:pPr>
              <w:widowControl w:val="0"/>
              <w:autoSpaceDE w:val="0"/>
              <w:autoSpaceDN w:val="0"/>
              <w:spacing w:before="60" w:after="60" w:line="275" w:lineRule="exact"/>
              <w:ind w:left="107"/>
              <w:rPr>
                <w:rFonts w:ascii="Times New Roman" w:eastAsia="Times New Roman" w:hAnsi="Times New Roman" w:cs="Times New Roman"/>
                <w:noProof/>
                <w:sz w:val="18"/>
                <w:szCs w:val="18"/>
              </w:rPr>
            </w:pPr>
            <w:r w:rsidRPr="00F3116B">
              <w:rPr>
                <w:rFonts w:ascii="Times New Roman" w:hAnsi="Times New Roman"/>
                <w:noProof/>
                <w:sz w:val="18"/>
              </w:rPr>
              <w:t>60</w:t>
            </w:r>
            <w:r>
              <w:rPr>
                <w:rFonts w:ascii="Times New Roman" w:hAnsi="Times New Roman"/>
                <w:noProof/>
                <w:sz w:val="18"/>
              </w:rPr>
              <w:t> % d’ici</w:t>
            </w:r>
          </w:p>
          <w:p w14:paraId="259239CB" w14:textId="77777777" w:rsidR="002C51B4" w:rsidRPr="000A23DA" w:rsidRDefault="002C51B4" w:rsidP="00BB6538">
            <w:pPr>
              <w:widowControl w:val="0"/>
              <w:autoSpaceDE w:val="0"/>
              <w:autoSpaceDN w:val="0"/>
              <w:spacing w:before="60" w:after="60" w:line="240" w:lineRule="auto"/>
              <w:ind w:left="107"/>
              <w:rPr>
                <w:rFonts w:ascii="Times New Roman" w:eastAsia="Times New Roman" w:hAnsi="Times New Roman" w:cs="Times New Roman"/>
                <w:noProof/>
                <w:sz w:val="18"/>
                <w:szCs w:val="18"/>
              </w:rPr>
            </w:pPr>
            <w:r w:rsidRPr="00F3116B">
              <w:rPr>
                <w:rFonts w:ascii="Times New Roman" w:hAnsi="Times New Roman"/>
                <w:noProof/>
                <w:sz w:val="18"/>
              </w:rPr>
              <w:t>2030</w:t>
            </w:r>
          </w:p>
        </w:tc>
        <w:tc>
          <w:tcPr>
            <w:tcW w:w="938" w:type="pct"/>
            <w:tcBorders>
              <w:top w:val="single" w:sz="4" w:space="0" w:color="auto"/>
              <w:bottom w:val="single" w:sz="4" w:space="0" w:color="808080" w:themeColor="background1" w:themeShade="80"/>
            </w:tcBorders>
            <w:shd w:val="clear" w:color="auto" w:fill="auto"/>
          </w:tcPr>
          <w:p w14:paraId="75BFE48E" w14:textId="77777777" w:rsidR="002C51B4" w:rsidRPr="000A23DA" w:rsidRDefault="002C51B4" w:rsidP="00BB6538">
            <w:pPr>
              <w:widowControl w:val="0"/>
              <w:autoSpaceDE w:val="0"/>
              <w:autoSpaceDN w:val="0"/>
              <w:spacing w:before="60" w:after="60" w:line="275" w:lineRule="exact"/>
              <w:ind w:left="107"/>
              <w:rPr>
                <w:rFonts w:ascii="Times New Roman" w:eastAsia="Times New Roman" w:hAnsi="Times New Roman" w:cs="Times New Roman"/>
                <w:noProof/>
                <w:sz w:val="18"/>
                <w:szCs w:val="18"/>
              </w:rPr>
            </w:pPr>
            <w:r w:rsidRPr="00F3116B">
              <w:rPr>
                <w:rFonts w:ascii="Times New Roman" w:hAnsi="Times New Roman"/>
                <w:noProof/>
                <w:sz w:val="18"/>
              </w:rPr>
              <w:t>37</w:t>
            </w:r>
            <w:r>
              <w:rPr>
                <w:rFonts w:ascii="Times New Roman" w:hAnsi="Times New Roman"/>
                <w:noProof/>
                <w:sz w:val="18"/>
              </w:rPr>
              <w:t>,</w:t>
            </w:r>
            <w:r w:rsidRPr="00F3116B">
              <w:rPr>
                <w:rFonts w:ascii="Times New Roman" w:hAnsi="Times New Roman"/>
                <w:noProof/>
                <w:sz w:val="18"/>
              </w:rPr>
              <w:t>4</w:t>
            </w:r>
            <w:r>
              <w:rPr>
                <w:rFonts w:ascii="Times New Roman" w:hAnsi="Times New Roman"/>
                <w:noProof/>
                <w:sz w:val="18"/>
              </w:rPr>
              <w:t> % (</w:t>
            </w:r>
            <w:r w:rsidRPr="00F3116B">
              <w:rPr>
                <w:rFonts w:ascii="Times New Roman" w:hAnsi="Times New Roman"/>
                <w:noProof/>
                <w:sz w:val="18"/>
              </w:rPr>
              <w:t>2016</w:t>
            </w:r>
            <w:r>
              <w:rPr>
                <w:rFonts w:ascii="Times New Roman" w:hAnsi="Times New Roman"/>
                <w:noProof/>
                <w:sz w:val="18"/>
              </w:rPr>
              <w:t xml:space="preserve">) </w:t>
            </w:r>
          </w:p>
          <w:p w14:paraId="5DB0042F" w14:textId="77777777" w:rsidR="002C51B4" w:rsidRPr="000A23DA" w:rsidRDefault="002C51B4" w:rsidP="00BB6538">
            <w:pPr>
              <w:widowControl w:val="0"/>
              <w:autoSpaceDE w:val="0"/>
              <w:autoSpaceDN w:val="0"/>
              <w:spacing w:before="60" w:after="60" w:line="240" w:lineRule="auto"/>
              <w:ind w:left="107"/>
              <w:rPr>
                <w:rFonts w:ascii="Times New Roman" w:eastAsia="Times New Roman" w:hAnsi="Times New Roman" w:cs="Times New Roman"/>
                <w:noProof/>
                <w:sz w:val="18"/>
                <w:szCs w:val="18"/>
              </w:rPr>
            </w:pPr>
            <w:r>
              <w:rPr>
                <w:rFonts w:ascii="Times New Roman" w:hAnsi="Times New Roman"/>
                <w:noProof/>
                <w:sz w:val="18"/>
              </w:rPr>
              <w:t>Sur la base de l’enquête sur l’éducation des adultes, qui était réalisée tous les six ans par le passé.</w:t>
            </w:r>
          </w:p>
        </w:tc>
      </w:tr>
      <w:tr w:rsidR="002C51B4" w:rsidRPr="009403B5" w14:paraId="1629EC26" w14:textId="77777777" w:rsidTr="00BB6538">
        <w:trPr>
          <w:trHeight w:val="981"/>
        </w:trPr>
        <w:tc>
          <w:tcPr>
            <w:tcW w:w="1301" w:type="pct"/>
            <w:tcBorders>
              <w:top w:val="single" w:sz="4" w:space="0" w:color="808080" w:themeColor="background1" w:themeShade="80"/>
              <w:bottom w:val="single" w:sz="4" w:space="0" w:color="808080" w:themeColor="background1" w:themeShade="80"/>
            </w:tcBorders>
            <w:shd w:val="clear" w:color="auto" w:fill="C2D69B"/>
          </w:tcPr>
          <w:p w14:paraId="66B034EA" w14:textId="77777777" w:rsidR="002C51B4" w:rsidRPr="005C3892" w:rsidRDefault="002C51B4" w:rsidP="00BB6538">
            <w:pPr>
              <w:widowControl w:val="0"/>
              <w:autoSpaceDE w:val="0"/>
              <w:autoSpaceDN w:val="0"/>
              <w:spacing w:before="60" w:after="60" w:line="275" w:lineRule="exact"/>
              <w:ind w:left="107" w:right="138"/>
              <w:rPr>
                <w:rFonts w:ascii="Times New Roman" w:hAnsi="Times New Roman"/>
                <w:noProof/>
                <w:sz w:val="18"/>
              </w:rPr>
            </w:pPr>
            <w:r>
              <w:rPr>
                <w:rFonts w:ascii="Times New Roman" w:hAnsi="Times New Roman"/>
                <w:noProof/>
                <w:color w:val="111111"/>
                <w:sz w:val="18"/>
              </w:rPr>
              <w:t>ICP</w:t>
            </w:r>
            <w:r>
              <w:rPr>
                <w:rFonts w:ascii="Times New Roman" w:hAnsi="Times New Roman"/>
                <w:noProof/>
                <w:sz w:val="18"/>
              </w:rPr>
              <w:t> </w:t>
            </w:r>
            <w:r w:rsidRPr="00F3116B">
              <w:rPr>
                <w:rFonts w:ascii="Times New Roman" w:hAnsi="Times New Roman"/>
                <w:noProof/>
                <w:sz w:val="18"/>
              </w:rPr>
              <w:t>14</w:t>
            </w:r>
            <w:r>
              <w:rPr>
                <w:rFonts w:ascii="Times New Roman" w:hAnsi="Times New Roman"/>
                <w:noProof/>
                <w:sz w:val="18"/>
              </w:rPr>
              <w:t>: Taux d’emploi des adultes</w:t>
            </w:r>
          </w:p>
        </w:tc>
        <w:tc>
          <w:tcPr>
            <w:tcW w:w="2188" w:type="pct"/>
            <w:tcBorders>
              <w:top w:val="single" w:sz="4" w:space="0" w:color="808080" w:themeColor="background1" w:themeShade="80"/>
              <w:bottom w:val="single" w:sz="4" w:space="0" w:color="808080" w:themeColor="background1" w:themeShade="80"/>
            </w:tcBorders>
            <w:shd w:val="clear" w:color="auto" w:fill="C2D69B"/>
          </w:tcPr>
          <w:p w14:paraId="10EAE6AD" w14:textId="77777777" w:rsidR="002C51B4" w:rsidRPr="005C3892" w:rsidRDefault="002C51B4" w:rsidP="00BB6538">
            <w:pPr>
              <w:widowControl w:val="0"/>
              <w:autoSpaceDE w:val="0"/>
              <w:autoSpaceDN w:val="0"/>
              <w:spacing w:before="60" w:after="60" w:line="240" w:lineRule="auto"/>
              <w:ind w:left="108" w:right="142"/>
              <w:jc w:val="both"/>
              <w:rPr>
                <w:rFonts w:ascii="Times New Roman" w:hAnsi="Times New Roman"/>
                <w:noProof/>
                <w:sz w:val="18"/>
              </w:rPr>
            </w:pPr>
            <w:r>
              <w:rPr>
                <w:rFonts w:ascii="Times New Roman" w:hAnsi="Times New Roman"/>
                <w:noProof/>
                <w:sz w:val="18"/>
              </w:rPr>
              <w:t>L’augmentation du taux d’emploi contribue à une compétitivité socialement durable (objectif fixé dans les objectifs du sommet de Porto, socle social).</w:t>
            </w:r>
          </w:p>
        </w:tc>
        <w:tc>
          <w:tcPr>
            <w:tcW w:w="573" w:type="pct"/>
            <w:tcBorders>
              <w:top w:val="single" w:sz="4" w:space="0" w:color="808080" w:themeColor="background1" w:themeShade="80"/>
              <w:bottom w:val="single" w:sz="4" w:space="0" w:color="808080" w:themeColor="background1" w:themeShade="80"/>
            </w:tcBorders>
            <w:shd w:val="clear" w:color="auto" w:fill="C2D69B"/>
          </w:tcPr>
          <w:p w14:paraId="1EA04361" w14:textId="77777777" w:rsidR="002C51B4" w:rsidRPr="000A23DA" w:rsidRDefault="002C51B4" w:rsidP="00BB6538">
            <w:pPr>
              <w:widowControl w:val="0"/>
              <w:autoSpaceDE w:val="0"/>
              <w:autoSpaceDN w:val="0"/>
              <w:spacing w:before="60" w:after="60" w:line="275" w:lineRule="exact"/>
              <w:ind w:left="107"/>
              <w:rPr>
                <w:rFonts w:ascii="Times New Roman" w:eastAsia="Times New Roman" w:hAnsi="Times New Roman" w:cs="Times New Roman"/>
                <w:noProof/>
                <w:sz w:val="18"/>
                <w:szCs w:val="18"/>
              </w:rPr>
            </w:pPr>
            <w:r w:rsidRPr="00F3116B">
              <w:rPr>
                <w:rFonts w:ascii="Times New Roman" w:hAnsi="Times New Roman"/>
                <w:noProof/>
                <w:sz w:val="18"/>
              </w:rPr>
              <w:t>78</w:t>
            </w:r>
            <w:r>
              <w:rPr>
                <w:rFonts w:ascii="Times New Roman" w:hAnsi="Times New Roman"/>
                <w:noProof/>
                <w:sz w:val="18"/>
              </w:rPr>
              <w:t> % d’ici</w:t>
            </w:r>
          </w:p>
          <w:p w14:paraId="0545B37D" w14:textId="77777777" w:rsidR="002C51B4" w:rsidRPr="000A23DA" w:rsidRDefault="002C51B4" w:rsidP="00BB6538">
            <w:pPr>
              <w:widowControl w:val="0"/>
              <w:autoSpaceDE w:val="0"/>
              <w:autoSpaceDN w:val="0"/>
              <w:spacing w:before="60" w:after="60" w:line="240" w:lineRule="auto"/>
              <w:ind w:left="107"/>
              <w:rPr>
                <w:rFonts w:ascii="Times New Roman" w:eastAsia="Times New Roman" w:hAnsi="Times New Roman" w:cs="Times New Roman"/>
                <w:noProof/>
                <w:sz w:val="18"/>
                <w:szCs w:val="18"/>
              </w:rPr>
            </w:pPr>
            <w:r w:rsidRPr="00F3116B">
              <w:rPr>
                <w:rFonts w:ascii="Times New Roman" w:hAnsi="Times New Roman"/>
                <w:noProof/>
                <w:sz w:val="18"/>
              </w:rPr>
              <w:t>2030</w:t>
            </w:r>
          </w:p>
        </w:tc>
        <w:tc>
          <w:tcPr>
            <w:tcW w:w="938" w:type="pct"/>
            <w:tcBorders>
              <w:top w:val="single" w:sz="4" w:space="0" w:color="808080" w:themeColor="background1" w:themeShade="80"/>
              <w:bottom w:val="single" w:sz="4" w:space="0" w:color="808080" w:themeColor="background1" w:themeShade="80"/>
            </w:tcBorders>
            <w:shd w:val="clear" w:color="auto" w:fill="C2D69B"/>
          </w:tcPr>
          <w:p w14:paraId="5E036E51" w14:textId="77777777" w:rsidR="002C51B4" w:rsidRPr="000A23DA" w:rsidRDefault="002C51B4" w:rsidP="00BB6538">
            <w:pPr>
              <w:widowControl w:val="0"/>
              <w:autoSpaceDE w:val="0"/>
              <w:autoSpaceDN w:val="0"/>
              <w:spacing w:before="60" w:after="60" w:line="275" w:lineRule="exact"/>
              <w:ind w:left="107"/>
              <w:rPr>
                <w:rFonts w:ascii="Times New Roman" w:eastAsia="Times New Roman" w:hAnsi="Times New Roman" w:cs="Times New Roman"/>
                <w:noProof/>
                <w:sz w:val="18"/>
                <w:szCs w:val="18"/>
              </w:rPr>
            </w:pPr>
            <w:r w:rsidRPr="00F3116B">
              <w:rPr>
                <w:rFonts w:ascii="Times New Roman" w:hAnsi="Times New Roman"/>
                <w:noProof/>
                <w:sz w:val="18"/>
              </w:rPr>
              <w:t>74</w:t>
            </w:r>
            <w:r>
              <w:rPr>
                <w:rFonts w:ascii="Times New Roman" w:hAnsi="Times New Roman"/>
                <w:noProof/>
                <w:sz w:val="18"/>
              </w:rPr>
              <w:t>,</w:t>
            </w:r>
            <w:r w:rsidRPr="00F3116B">
              <w:rPr>
                <w:rFonts w:ascii="Times New Roman" w:hAnsi="Times New Roman"/>
                <w:noProof/>
                <w:sz w:val="18"/>
              </w:rPr>
              <w:t>6</w:t>
            </w:r>
            <w:r>
              <w:rPr>
                <w:rFonts w:ascii="Times New Roman" w:hAnsi="Times New Roman"/>
                <w:noProof/>
                <w:sz w:val="18"/>
              </w:rPr>
              <w:t> % (</w:t>
            </w:r>
            <w:r w:rsidRPr="00F3116B">
              <w:rPr>
                <w:rFonts w:ascii="Times New Roman" w:hAnsi="Times New Roman"/>
                <w:noProof/>
                <w:sz w:val="18"/>
              </w:rPr>
              <w:t>2022</w:t>
            </w:r>
            <w:r>
              <w:rPr>
                <w:rFonts w:ascii="Times New Roman" w:hAnsi="Times New Roman"/>
                <w:noProof/>
                <w:sz w:val="18"/>
              </w:rPr>
              <w:t>)</w:t>
            </w:r>
          </w:p>
          <w:p w14:paraId="44AC0433" w14:textId="77777777" w:rsidR="002C51B4" w:rsidRPr="000A23DA" w:rsidRDefault="002C51B4" w:rsidP="00BB6538">
            <w:pPr>
              <w:widowControl w:val="0"/>
              <w:autoSpaceDE w:val="0"/>
              <w:autoSpaceDN w:val="0"/>
              <w:spacing w:before="60" w:after="60" w:line="275" w:lineRule="exact"/>
              <w:ind w:left="107"/>
              <w:rPr>
                <w:rFonts w:ascii="Times New Roman" w:eastAsia="Times New Roman" w:hAnsi="Times New Roman" w:cs="Times New Roman"/>
                <w:noProof/>
                <w:sz w:val="18"/>
                <w:szCs w:val="18"/>
              </w:rPr>
            </w:pPr>
            <w:r w:rsidRPr="00F3116B">
              <w:rPr>
                <w:rFonts w:ascii="Times New Roman" w:hAnsi="Times New Roman"/>
                <w:noProof/>
                <w:sz w:val="18"/>
              </w:rPr>
              <w:t>73</w:t>
            </w:r>
            <w:r>
              <w:rPr>
                <w:rFonts w:ascii="Times New Roman" w:hAnsi="Times New Roman"/>
                <w:noProof/>
                <w:sz w:val="18"/>
              </w:rPr>
              <w:t> % (</w:t>
            </w:r>
            <w:r w:rsidRPr="00F3116B">
              <w:rPr>
                <w:rFonts w:ascii="Times New Roman" w:hAnsi="Times New Roman"/>
                <w:noProof/>
                <w:sz w:val="18"/>
              </w:rPr>
              <w:t>2021</w:t>
            </w:r>
            <w:r>
              <w:rPr>
                <w:rFonts w:ascii="Times New Roman" w:hAnsi="Times New Roman"/>
                <w:noProof/>
                <w:sz w:val="18"/>
              </w:rPr>
              <w:t>)</w:t>
            </w:r>
          </w:p>
        </w:tc>
      </w:tr>
      <w:tr w:rsidR="002C51B4" w:rsidRPr="009403B5" w14:paraId="0EE7E312" w14:textId="77777777" w:rsidTr="00BB6538">
        <w:trPr>
          <w:trHeight w:val="1956"/>
        </w:trPr>
        <w:tc>
          <w:tcPr>
            <w:tcW w:w="1301" w:type="pct"/>
            <w:tcBorders>
              <w:top w:val="single" w:sz="4" w:space="0" w:color="808080" w:themeColor="background1" w:themeShade="80"/>
              <w:bottom w:val="single" w:sz="4" w:space="0" w:color="808080" w:themeColor="background1" w:themeShade="80"/>
            </w:tcBorders>
            <w:shd w:val="clear" w:color="auto" w:fill="C2D69B"/>
          </w:tcPr>
          <w:p w14:paraId="61553C8D" w14:textId="77777777" w:rsidR="002C51B4" w:rsidRPr="005C3892" w:rsidRDefault="002C51B4" w:rsidP="00BB6538">
            <w:pPr>
              <w:widowControl w:val="0"/>
              <w:autoSpaceDE w:val="0"/>
              <w:autoSpaceDN w:val="0"/>
              <w:spacing w:before="60" w:after="60" w:line="240" w:lineRule="auto"/>
              <w:ind w:left="107" w:right="138"/>
              <w:rPr>
                <w:rFonts w:ascii="Times New Roman" w:hAnsi="Times New Roman"/>
                <w:noProof/>
                <w:sz w:val="18"/>
              </w:rPr>
            </w:pPr>
            <w:r>
              <w:rPr>
                <w:rFonts w:ascii="Times New Roman" w:hAnsi="Times New Roman"/>
                <w:noProof/>
                <w:color w:val="111111"/>
                <w:sz w:val="18"/>
              </w:rPr>
              <w:t>ICP</w:t>
            </w:r>
            <w:r>
              <w:rPr>
                <w:rFonts w:ascii="Times New Roman" w:hAnsi="Times New Roman"/>
                <w:noProof/>
                <w:sz w:val="18"/>
              </w:rPr>
              <w:t> </w:t>
            </w:r>
            <w:r w:rsidRPr="00F3116B">
              <w:rPr>
                <w:rFonts w:ascii="Times New Roman" w:hAnsi="Times New Roman"/>
                <w:noProof/>
                <w:sz w:val="18"/>
              </w:rPr>
              <w:t>15</w:t>
            </w:r>
            <w:r>
              <w:rPr>
                <w:rFonts w:ascii="Times New Roman" w:hAnsi="Times New Roman"/>
                <w:noProof/>
                <w:sz w:val="18"/>
              </w:rPr>
              <w:t>: Spécialistes des TIC (moyenne des femmes et des hommes, % de l’emploi)</w:t>
            </w:r>
          </w:p>
        </w:tc>
        <w:tc>
          <w:tcPr>
            <w:tcW w:w="2188" w:type="pct"/>
            <w:tcBorders>
              <w:top w:val="single" w:sz="4" w:space="0" w:color="808080" w:themeColor="background1" w:themeShade="80"/>
              <w:bottom w:val="single" w:sz="4" w:space="0" w:color="808080" w:themeColor="background1" w:themeShade="80"/>
            </w:tcBorders>
            <w:shd w:val="clear" w:color="auto" w:fill="C2D69B"/>
          </w:tcPr>
          <w:p w14:paraId="1E00E9C2" w14:textId="77777777" w:rsidR="002C51B4" w:rsidRPr="005C3892" w:rsidRDefault="002C51B4" w:rsidP="00BB6538">
            <w:pPr>
              <w:widowControl w:val="0"/>
              <w:autoSpaceDE w:val="0"/>
              <w:autoSpaceDN w:val="0"/>
              <w:spacing w:before="60" w:after="60" w:line="240" w:lineRule="auto"/>
              <w:ind w:left="108" w:right="142"/>
              <w:jc w:val="both"/>
              <w:rPr>
                <w:rFonts w:ascii="Times New Roman" w:hAnsi="Times New Roman"/>
                <w:noProof/>
                <w:sz w:val="18"/>
              </w:rPr>
            </w:pPr>
            <w:r>
              <w:rPr>
                <w:rFonts w:ascii="Times New Roman" w:hAnsi="Times New Roman"/>
                <w:noProof/>
                <w:sz w:val="18"/>
              </w:rPr>
              <w:t>Cet indicateur, qui reflète l’un des objectifs du programme d’action pour la décennie numérique, mesure les progrès accomplis vers une main-d’œuvre en nombre suffisant, spécialisée dans le développement et le déploiement des technologies numériques.</w:t>
            </w:r>
          </w:p>
        </w:tc>
        <w:tc>
          <w:tcPr>
            <w:tcW w:w="573" w:type="pct"/>
            <w:tcBorders>
              <w:top w:val="single" w:sz="4" w:space="0" w:color="808080" w:themeColor="background1" w:themeShade="80"/>
              <w:bottom w:val="single" w:sz="4" w:space="0" w:color="808080" w:themeColor="background1" w:themeShade="80"/>
            </w:tcBorders>
            <w:shd w:val="clear" w:color="auto" w:fill="C2D69B"/>
          </w:tcPr>
          <w:p w14:paraId="2414669C" w14:textId="77777777" w:rsidR="002C51B4" w:rsidRPr="000A23DA" w:rsidRDefault="002C51B4" w:rsidP="00BB6538">
            <w:pPr>
              <w:widowControl w:val="0"/>
              <w:autoSpaceDE w:val="0"/>
              <w:autoSpaceDN w:val="0"/>
              <w:spacing w:before="60" w:after="60" w:line="240" w:lineRule="auto"/>
              <w:ind w:left="57"/>
              <w:rPr>
                <w:rFonts w:ascii="Times New Roman" w:eastAsia="Times New Roman" w:hAnsi="Times New Roman" w:cs="Times New Roman"/>
                <w:noProof/>
                <w:spacing w:val="-4"/>
                <w:sz w:val="18"/>
                <w:szCs w:val="18"/>
              </w:rPr>
            </w:pPr>
            <w:r w:rsidRPr="00F3116B">
              <w:rPr>
                <w:rFonts w:ascii="Times New Roman" w:hAnsi="Times New Roman"/>
                <w:noProof/>
                <w:sz w:val="18"/>
              </w:rPr>
              <w:t>20</w:t>
            </w:r>
            <w:r>
              <w:rPr>
                <w:noProof/>
              </w:rPr>
              <w:t> </w:t>
            </w:r>
            <w:bookmarkStart w:id="42" w:name="_Int_J3wGysN0"/>
            <w:r>
              <w:rPr>
                <w:rFonts w:ascii="Times New Roman" w:hAnsi="Times New Roman"/>
                <w:noProof/>
                <w:sz w:val="18"/>
              </w:rPr>
              <w:t>millions</w:t>
            </w:r>
            <w:bookmarkEnd w:id="42"/>
            <w:r>
              <w:rPr>
                <w:noProof/>
              </w:rPr>
              <w:t xml:space="preserve"> </w:t>
            </w:r>
            <w:r>
              <w:rPr>
                <w:rFonts w:ascii="Times New Roman" w:hAnsi="Times New Roman"/>
                <w:noProof/>
                <w:sz w:val="18"/>
              </w:rPr>
              <w:t xml:space="preserve">d’ici à </w:t>
            </w:r>
            <w:r w:rsidRPr="00F3116B">
              <w:rPr>
                <w:rFonts w:ascii="Times New Roman" w:hAnsi="Times New Roman"/>
                <w:noProof/>
                <w:sz w:val="18"/>
              </w:rPr>
              <w:t>2030</w:t>
            </w:r>
            <w:r>
              <w:rPr>
                <w:rFonts w:ascii="Times New Roman" w:hAnsi="Times New Roman"/>
                <w:noProof/>
                <w:sz w:val="18"/>
              </w:rPr>
              <w:t xml:space="preserve"> (soit environ </w:t>
            </w:r>
            <w:r w:rsidRPr="00F3116B">
              <w:rPr>
                <w:rFonts w:ascii="Times New Roman" w:hAnsi="Times New Roman"/>
                <w:noProof/>
                <w:sz w:val="18"/>
              </w:rPr>
              <w:t>10</w:t>
            </w:r>
            <w:r>
              <w:rPr>
                <w:rFonts w:ascii="Times New Roman" w:hAnsi="Times New Roman"/>
                <w:noProof/>
                <w:sz w:val="18"/>
              </w:rPr>
              <w:t> % de l’emploi total)</w:t>
            </w:r>
          </w:p>
          <w:p w14:paraId="3DB12BD0" w14:textId="77777777" w:rsidR="002C51B4" w:rsidRPr="00554935" w:rsidRDefault="002C51B4" w:rsidP="00BB6538">
            <w:pPr>
              <w:widowControl w:val="0"/>
              <w:autoSpaceDE w:val="0"/>
              <w:autoSpaceDN w:val="0"/>
              <w:spacing w:before="60" w:after="60" w:line="240" w:lineRule="auto"/>
              <w:ind w:left="107"/>
              <w:rPr>
                <w:rFonts w:ascii="Times New Roman" w:eastAsia="Times New Roman" w:hAnsi="Times New Roman" w:cs="Times New Roman"/>
                <w:noProof/>
                <w:sz w:val="18"/>
                <w:szCs w:val="18"/>
                <w:lang w:val="fr-BE"/>
              </w:rPr>
            </w:pPr>
          </w:p>
        </w:tc>
        <w:tc>
          <w:tcPr>
            <w:tcW w:w="938" w:type="pct"/>
            <w:tcBorders>
              <w:top w:val="single" w:sz="4" w:space="0" w:color="808080" w:themeColor="background1" w:themeShade="80"/>
              <w:bottom w:val="single" w:sz="4" w:space="0" w:color="808080" w:themeColor="background1" w:themeShade="80"/>
            </w:tcBorders>
            <w:shd w:val="clear" w:color="auto" w:fill="C2D69B"/>
          </w:tcPr>
          <w:p w14:paraId="50EAACCB" w14:textId="77777777" w:rsidR="002C51B4" w:rsidRPr="000A23DA" w:rsidRDefault="002C51B4" w:rsidP="00BB6538">
            <w:pPr>
              <w:widowControl w:val="0"/>
              <w:autoSpaceDE w:val="0"/>
              <w:autoSpaceDN w:val="0"/>
              <w:spacing w:before="60" w:after="60" w:line="275" w:lineRule="exact"/>
              <w:ind w:left="108"/>
              <w:rPr>
                <w:rFonts w:ascii="Times New Roman" w:eastAsia="Times New Roman" w:hAnsi="Times New Roman" w:cs="Times New Roman"/>
                <w:noProof/>
                <w:sz w:val="18"/>
                <w:szCs w:val="18"/>
              </w:rPr>
            </w:pPr>
            <w:r w:rsidRPr="00F3116B">
              <w:rPr>
                <w:rFonts w:ascii="Times New Roman" w:hAnsi="Times New Roman"/>
                <w:noProof/>
                <w:sz w:val="18"/>
              </w:rPr>
              <w:t>9</w:t>
            </w:r>
            <w:r>
              <w:rPr>
                <w:rFonts w:ascii="Times New Roman" w:hAnsi="Times New Roman"/>
                <w:noProof/>
                <w:sz w:val="18"/>
              </w:rPr>
              <w:t>,</w:t>
            </w:r>
            <w:r w:rsidRPr="00F3116B">
              <w:rPr>
                <w:rFonts w:ascii="Times New Roman" w:hAnsi="Times New Roman"/>
                <w:noProof/>
                <w:sz w:val="18"/>
              </w:rPr>
              <w:t>4</w:t>
            </w:r>
            <w:r>
              <w:rPr>
                <w:rFonts w:ascii="Times New Roman" w:hAnsi="Times New Roman"/>
                <w:noProof/>
                <w:sz w:val="18"/>
              </w:rPr>
              <w:t> millions (</w:t>
            </w:r>
            <w:r w:rsidRPr="00F3116B">
              <w:rPr>
                <w:rFonts w:ascii="Times New Roman" w:hAnsi="Times New Roman"/>
                <w:noProof/>
                <w:sz w:val="18"/>
              </w:rPr>
              <w:t>2022</w:t>
            </w:r>
            <w:r>
              <w:rPr>
                <w:rFonts w:ascii="Times New Roman" w:hAnsi="Times New Roman"/>
                <w:noProof/>
                <w:sz w:val="18"/>
              </w:rPr>
              <w:t>)</w:t>
            </w:r>
          </w:p>
          <w:p w14:paraId="55F3C69B" w14:textId="77777777" w:rsidR="002C51B4" w:rsidRPr="000A23DA" w:rsidRDefault="002C51B4" w:rsidP="00BB6538">
            <w:pPr>
              <w:widowControl w:val="0"/>
              <w:autoSpaceDE w:val="0"/>
              <w:autoSpaceDN w:val="0"/>
              <w:spacing w:before="60" w:after="60" w:line="275" w:lineRule="exact"/>
              <w:ind w:left="107"/>
              <w:rPr>
                <w:rFonts w:ascii="Times New Roman" w:eastAsia="Times New Roman" w:hAnsi="Times New Roman" w:cs="Times New Roman"/>
                <w:noProof/>
                <w:sz w:val="18"/>
                <w:szCs w:val="18"/>
              </w:rPr>
            </w:pPr>
            <w:r w:rsidRPr="00F3116B">
              <w:rPr>
                <w:rFonts w:ascii="Times New Roman" w:hAnsi="Times New Roman"/>
                <w:noProof/>
                <w:sz w:val="18"/>
              </w:rPr>
              <w:t>8</w:t>
            </w:r>
            <w:r>
              <w:rPr>
                <w:rFonts w:ascii="Times New Roman" w:hAnsi="Times New Roman"/>
                <w:noProof/>
                <w:sz w:val="18"/>
              </w:rPr>
              <w:t>,</w:t>
            </w:r>
            <w:r w:rsidRPr="00F3116B">
              <w:rPr>
                <w:rFonts w:ascii="Times New Roman" w:hAnsi="Times New Roman"/>
                <w:noProof/>
                <w:sz w:val="18"/>
              </w:rPr>
              <w:t>9</w:t>
            </w:r>
            <w:r>
              <w:rPr>
                <w:rFonts w:ascii="Times New Roman" w:hAnsi="Times New Roman"/>
                <w:noProof/>
                <w:sz w:val="18"/>
              </w:rPr>
              <w:t> millions (</w:t>
            </w:r>
            <w:r w:rsidRPr="00F3116B">
              <w:rPr>
                <w:rFonts w:ascii="Times New Roman" w:hAnsi="Times New Roman"/>
                <w:noProof/>
                <w:sz w:val="18"/>
              </w:rPr>
              <w:t>2021</w:t>
            </w:r>
            <w:r>
              <w:rPr>
                <w:rFonts w:ascii="Times New Roman" w:hAnsi="Times New Roman"/>
                <w:noProof/>
                <w:sz w:val="18"/>
              </w:rPr>
              <w:t>)</w:t>
            </w:r>
          </w:p>
          <w:p w14:paraId="04170081" w14:textId="77777777" w:rsidR="002C51B4" w:rsidRPr="00554935" w:rsidRDefault="002C51B4" w:rsidP="00BB6538">
            <w:pPr>
              <w:widowControl w:val="0"/>
              <w:autoSpaceDE w:val="0"/>
              <w:autoSpaceDN w:val="0"/>
              <w:spacing w:before="60" w:after="60" w:line="240" w:lineRule="auto"/>
              <w:rPr>
                <w:rFonts w:ascii="Times New Roman" w:eastAsia="Times New Roman" w:hAnsi="Times New Roman" w:cs="Times New Roman"/>
                <w:noProof/>
                <w:sz w:val="18"/>
                <w:szCs w:val="18"/>
                <w:lang w:val="fr-BE"/>
              </w:rPr>
            </w:pPr>
          </w:p>
          <w:p w14:paraId="017B0053" w14:textId="77777777" w:rsidR="002C51B4" w:rsidRPr="000A23DA" w:rsidRDefault="002C51B4" w:rsidP="00BB6538">
            <w:pPr>
              <w:widowControl w:val="0"/>
              <w:autoSpaceDE w:val="0"/>
              <w:autoSpaceDN w:val="0"/>
              <w:spacing w:before="60" w:after="60" w:line="240" w:lineRule="auto"/>
              <w:ind w:left="108"/>
              <w:rPr>
                <w:rFonts w:ascii="Times New Roman" w:eastAsia="Times New Roman" w:hAnsi="Times New Roman" w:cs="Times New Roman"/>
                <w:noProof/>
                <w:sz w:val="18"/>
                <w:szCs w:val="18"/>
              </w:rPr>
            </w:pPr>
            <w:r>
              <w:rPr>
                <w:rFonts w:ascii="Times New Roman" w:hAnsi="Times New Roman"/>
                <w:noProof/>
                <w:sz w:val="18"/>
              </w:rPr>
              <w:t>Pourcentage de l’emploi total :</w:t>
            </w:r>
          </w:p>
          <w:p w14:paraId="66C8311D" w14:textId="77777777" w:rsidR="002C51B4" w:rsidRPr="000A23DA" w:rsidRDefault="002C51B4" w:rsidP="00BB6538">
            <w:pPr>
              <w:widowControl w:val="0"/>
              <w:autoSpaceDE w:val="0"/>
              <w:autoSpaceDN w:val="0"/>
              <w:spacing w:before="60" w:after="60" w:line="240" w:lineRule="auto"/>
              <w:ind w:left="107"/>
              <w:rPr>
                <w:rFonts w:ascii="Times New Roman" w:eastAsia="Times New Roman" w:hAnsi="Times New Roman" w:cs="Times New Roman"/>
                <w:noProof/>
                <w:sz w:val="18"/>
                <w:szCs w:val="18"/>
              </w:rPr>
            </w:pPr>
            <w:r w:rsidRPr="00F3116B">
              <w:rPr>
                <w:rFonts w:ascii="Times New Roman" w:hAnsi="Times New Roman"/>
                <w:noProof/>
                <w:sz w:val="18"/>
              </w:rPr>
              <w:t>4</w:t>
            </w:r>
            <w:r>
              <w:rPr>
                <w:rFonts w:ascii="Times New Roman" w:hAnsi="Times New Roman"/>
                <w:noProof/>
                <w:sz w:val="18"/>
              </w:rPr>
              <w:t>,</w:t>
            </w:r>
            <w:r w:rsidRPr="00F3116B">
              <w:rPr>
                <w:rFonts w:ascii="Times New Roman" w:hAnsi="Times New Roman"/>
                <w:noProof/>
                <w:sz w:val="18"/>
              </w:rPr>
              <w:t>6</w:t>
            </w:r>
            <w:r>
              <w:rPr>
                <w:rFonts w:ascii="Times New Roman" w:hAnsi="Times New Roman"/>
                <w:noProof/>
                <w:sz w:val="18"/>
              </w:rPr>
              <w:t> % (</w:t>
            </w:r>
            <w:r w:rsidRPr="00F3116B">
              <w:rPr>
                <w:rFonts w:ascii="Times New Roman" w:hAnsi="Times New Roman"/>
                <w:noProof/>
                <w:sz w:val="18"/>
              </w:rPr>
              <w:t>2022</w:t>
            </w:r>
            <w:r>
              <w:rPr>
                <w:rFonts w:ascii="Times New Roman" w:hAnsi="Times New Roman"/>
                <w:noProof/>
                <w:sz w:val="18"/>
              </w:rPr>
              <w:t>)</w:t>
            </w:r>
          </w:p>
          <w:p w14:paraId="291111E2" w14:textId="77777777" w:rsidR="002C51B4" w:rsidRPr="000A23DA" w:rsidRDefault="002C51B4" w:rsidP="00BB6538">
            <w:pPr>
              <w:widowControl w:val="0"/>
              <w:autoSpaceDE w:val="0"/>
              <w:autoSpaceDN w:val="0"/>
              <w:spacing w:before="60" w:after="60" w:line="257" w:lineRule="exact"/>
              <w:ind w:left="107"/>
              <w:rPr>
                <w:rFonts w:ascii="Times New Roman" w:eastAsia="Times New Roman" w:hAnsi="Times New Roman" w:cs="Times New Roman"/>
                <w:noProof/>
                <w:sz w:val="18"/>
                <w:szCs w:val="18"/>
              </w:rPr>
            </w:pPr>
            <w:r w:rsidRPr="00F3116B">
              <w:rPr>
                <w:rFonts w:ascii="Times New Roman" w:hAnsi="Times New Roman"/>
                <w:noProof/>
                <w:sz w:val="18"/>
              </w:rPr>
              <w:t>4</w:t>
            </w:r>
            <w:r>
              <w:rPr>
                <w:rFonts w:ascii="Times New Roman" w:hAnsi="Times New Roman"/>
                <w:noProof/>
                <w:sz w:val="18"/>
              </w:rPr>
              <w:t>,</w:t>
            </w:r>
            <w:r w:rsidRPr="00F3116B">
              <w:rPr>
                <w:rFonts w:ascii="Times New Roman" w:hAnsi="Times New Roman"/>
                <w:noProof/>
                <w:sz w:val="18"/>
              </w:rPr>
              <w:t>5</w:t>
            </w:r>
            <w:r>
              <w:rPr>
                <w:rFonts w:ascii="Times New Roman" w:hAnsi="Times New Roman"/>
                <w:noProof/>
                <w:sz w:val="18"/>
              </w:rPr>
              <w:t> % (</w:t>
            </w:r>
            <w:r w:rsidRPr="00F3116B">
              <w:rPr>
                <w:rFonts w:ascii="Times New Roman" w:hAnsi="Times New Roman"/>
                <w:noProof/>
                <w:sz w:val="18"/>
              </w:rPr>
              <w:t>2021</w:t>
            </w:r>
            <w:r>
              <w:rPr>
                <w:rFonts w:ascii="Times New Roman" w:hAnsi="Times New Roman"/>
                <w:noProof/>
                <w:sz w:val="18"/>
              </w:rPr>
              <w:t>)</w:t>
            </w:r>
          </w:p>
        </w:tc>
      </w:tr>
      <w:tr w:rsidR="002C51B4" w:rsidRPr="009403B5" w14:paraId="71B5243E" w14:textId="77777777" w:rsidTr="00BB6538">
        <w:trPr>
          <w:trHeight w:val="890"/>
        </w:trPr>
        <w:tc>
          <w:tcPr>
            <w:tcW w:w="1301" w:type="pct"/>
            <w:tcBorders>
              <w:top w:val="single" w:sz="4" w:space="0" w:color="808080" w:themeColor="background1" w:themeShade="80"/>
              <w:bottom w:val="single" w:sz="4" w:space="0" w:color="auto"/>
            </w:tcBorders>
            <w:shd w:val="clear" w:color="auto" w:fill="D99594"/>
          </w:tcPr>
          <w:p w14:paraId="70FEE674" w14:textId="77777777" w:rsidR="002C51B4" w:rsidRPr="005C3892" w:rsidRDefault="002C51B4" w:rsidP="00BB6538">
            <w:pPr>
              <w:widowControl w:val="0"/>
              <w:autoSpaceDE w:val="0"/>
              <w:autoSpaceDN w:val="0"/>
              <w:spacing w:before="60" w:after="60" w:line="240" w:lineRule="auto"/>
              <w:ind w:left="107" w:right="138"/>
              <w:rPr>
                <w:rFonts w:ascii="Times New Roman" w:hAnsi="Times New Roman"/>
                <w:noProof/>
                <w:color w:val="111111"/>
                <w:sz w:val="18"/>
              </w:rPr>
            </w:pPr>
            <w:r>
              <w:rPr>
                <w:rFonts w:ascii="Times New Roman" w:hAnsi="Times New Roman"/>
                <w:noProof/>
                <w:color w:val="111111"/>
                <w:sz w:val="18"/>
              </w:rPr>
              <w:t xml:space="preserve">ICP proposé </w:t>
            </w:r>
            <w:r w:rsidRPr="00F3116B">
              <w:rPr>
                <w:rFonts w:ascii="Times New Roman" w:hAnsi="Times New Roman"/>
                <w:noProof/>
                <w:color w:val="111111"/>
                <w:sz w:val="18"/>
              </w:rPr>
              <w:t>15</w:t>
            </w:r>
            <w:r>
              <w:rPr>
                <w:rFonts w:ascii="Times New Roman" w:hAnsi="Times New Roman"/>
                <w:noProof/>
                <w:color w:val="111111"/>
                <w:sz w:val="18"/>
              </w:rPr>
              <w:t> </w:t>
            </w:r>
            <w:r>
              <w:rPr>
                <w:rFonts w:ascii="Times New Roman" w:hAnsi="Times New Roman"/>
                <w:i/>
                <w:iCs/>
                <w:noProof/>
                <w:color w:val="111111"/>
                <w:sz w:val="18"/>
              </w:rPr>
              <w:t>bis</w:t>
            </w:r>
            <w:r>
              <w:rPr>
                <w:rFonts w:ascii="Times New Roman" w:hAnsi="Times New Roman"/>
                <w:noProof/>
                <w:color w:val="111111"/>
                <w:sz w:val="18"/>
              </w:rPr>
              <w:t>: Score moyen des tests pour</w:t>
            </w:r>
            <w:r>
              <w:rPr>
                <w:noProof/>
              </w:rPr>
              <w:t xml:space="preserve"> </w:t>
            </w:r>
            <w:bookmarkStart w:id="43" w:name="_Int_iN44alKI"/>
            <w:r>
              <w:rPr>
                <w:rFonts w:ascii="Times New Roman" w:hAnsi="Times New Roman"/>
                <w:noProof/>
                <w:color w:val="111111"/>
                <w:sz w:val="18"/>
              </w:rPr>
              <w:t xml:space="preserve">les jeunes de </w:t>
            </w:r>
            <w:r w:rsidRPr="00F3116B">
              <w:rPr>
                <w:rFonts w:ascii="Times New Roman" w:hAnsi="Times New Roman"/>
                <w:noProof/>
                <w:color w:val="111111"/>
                <w:sz w:val="18"/>
              </w:rPr>
              <w:t>15</w:t>
            </w:r>
            <w:r>
              <w:rPr>
                <w:rFonts w:ascii="Times New Roman" w:hAnsi="Times New Roman"/>
                <w:noProof/>
                <w:color w:val="111111"/>
                <w:sz w:val="18"/>
              </w:rPr>
              <w:t> ans</w:t>
            </w:r>
            <w:bookmarkEnd w:id="43"/>
            <w:r>
              <w:rPr>
                <w:noProof/>
              </w:rPr>
              <w:t xml:space="preserve"> </w:t>
            </w:r>
            <w:r>
              <w:rPr>
                <w:rFonts w:ascii="Times New Roman" w:hAnsi="Times New Roman"/>
                <w:noProof/>
                <w:color w:val="111111"/>
                <w:sz w:val="18"/>
              </w:rPr>
              <w:t>(PISA)</w:t>
            </w:r>
          </w:p>
        </w:tc>
        <w:tc>
          <w:tcPr>
            <w:tcW w:w="2188" w:type="pct"/>
            <w:tcBorders>
              <w:top w:val="single" w:sz="4" w:space="0" w:color="808080" w:themeColor="background1" w:themeShade="80"/>
              <w:bottom w:val="single" w:sz="4" w:space="0" w:color="auto"/>
            </w:tcBorders>
            <w:shd w:val="clear" w:color="auto" w:fill="D99594"/>
          </w:tcPr>
          <w:p w14:paraId="7DDBE3D4" w14:textId="77777777" w:rsidR="002C51B4" w:rsidRPr="005C3892" w:rsidRDefault="002C51B4" w:rsidP="00BB6538">
            <w:pPr>
              <w:spacing w:beforeLines="60" w:before="144" w:afterLines="60" w:after="144" w:line="240" w:lineRule="auto"/>
              <w:ind w:left="108" w:right="136"/>
              <w:jc w:val="both"/>
              <w:rPr>
                <w:rFonts w:ascii="Times New Roman" w:hAnsi="Times New Roman"/>
                <w:noProof/>
                <w:color w:val="111111"/>
                <w:sz w:val="18"/>
              </w:rPr>
            </w:pPr>
            <w:r>
              <w:rPr>
                <w:rFonts w:ascii="Times New Roman" w:hAnsi="Times New Roman"/>
                <w:noProof/>
                <w:color w:val="111111"/>
                <w:sz w:val="18"/>
              </w:rPr>
              <w:t xml:space="preserve">PISA est le programme international de l’OCDE pour le suivi des acquis des élèves. PISA mesure la capacité des jeunes de </w:t>
            </w:r>
            <w:r w:rsidRPr="00F3116B">
              <w:rPr>
                <w:rFonts w:ascii="Times New Roman" w:hAnsi="Times New Roman"/>
                <w:noProof/>
                <w:color w:val="111111"/>
                <w:sz w:val="18"/>
              </w:rPr>
              <w:t>15</w:t>
            </w:r>
            <w:r>
              <w:rPr>
                <w:rFonts w:ascii="Times New Roman" w:hAnsi="Times New Roman"/>
                <w:noProof/>
                <w:color w:val="111111"/>
                <w:sz w:val="18"/>
              </w:rPr>
              <w:t> ans à appliquer leurs connaissances et leurs compétences en matière de lecture, de mathématiques et de sciences aux situations de la vie réelle.</w:t>
            </w:r>
          </w:p>
          <w:p w14:paraId="77C0273C" w14:textId="77777777" w:rsidR="002C51B4" w:rsidRPr="00554935" w:rsidRDefault="002C51B4" w:rsidP="00BB6538">
            <w:pPr>
              <w:widowControl w:val="0"/>
              <w:autoSpaceDE w:val="0"/>
              <w:autoSpaceDN w:val="0"/>
              <w:spacing w:beforeLines="60" w:before="144" w:afterLines="60" w:after="144" w:line="240" w:lineRule="auto"/>
              <w:ind w:left="108" w:right="136"/>
              <w:jc w:val="both"/>
              <w:rPr>
                <w:rFonts w:ascii="Times New Roman" w:hAnsi="Times New Roman"/>
                <w:noProof/>
                <w:color w:val="111111"/>
                <w:sz w:val="18"/>
                <w:lang w:val="fr-BE"/>
              </w:rPr>
            </w:pPr>
          </w:p>
        </w:tc>
        <w:tc>
          <w:tcPr>
            <w:tcW w:w="573" w:type="pct"/>
            <w:tcBorders>
              <w:top w:val="single" w:sz="4" w:space="0" w:color="808080" w:themeColor="background1" w:themeShade="80"/>
              <w:bottom w:val="single" w:sz="4" w:space="0" w:color="auto"/>
            </w:tcBorders>
            <w:shd w:val="clear" w:color="auto" w:fill="D99594"/>
          </w:tcPr>
          <w:p w14:paraId="21AE264E" w14:textId="77777777" w:rsidR="002C51B4" w:rsidRPr="000A23DA" w:rsidRDefault="002C51B4" w:rsidP="00BB6538">
            <w:pPr>
              <w:widowControl w:val="0"/>
              <w:autoSpaceDE w:val="0"/>
              <w:autoSpaceDN w:val="0"/>
              <w:spacing w:before="60" w:after="60" w:line="275" w:lineRule="exact"/>
              <w:ind w:left="107"/>
              <w:rPr>
                <w:rFonts w:ascii="Times New Roman" w:eastAsia="Times New Roman" w:hAnsi="Times New Roman" w:cs="Times New Roman"/>
                <w:noProof/>
                <w:color w:val="111111"/>
                <w:sz w:val="18"/>
                <w:szCs w:val="18"/>
              </w:rPr>
            </w:pPr>
            <w:r>
              <w:rPr>
                <w:rFonts w:ascii="Times New Roman" w:hAnsi="Times New Roman"/>
                <w:noProof/>
                <w:color w:val="111111"/>
                <w:sz w:val="18"/>
              </w:rPr>
              <w:t>Hausse</w:t>
            </w:r>
          </w:p>
        </w:tc>
        <w:tc>
          <w:tcPr>
            <w:tcW w:w="938" w:type="pct"/>
            <w:tcBorders>
              <w:top w:val="single" w:sz="4" w:space="0" w:color="808080" w:themeColor="background1" w:themeShade="80"/>
              <w:bottom w:val="single" w:sz="4" w:space="0" w:color="auto"/>
            </w:tcBorders>
            <w:shd w:val="clear" w:color="auto" w:fill="D99594"/>
          </w:tcPr>
          <w:p w14:paraId="31003B67" w14:textId="77777777" w:rsidR="002C51B4" w:rsidRPr="000A23DA" w:rsidRDefault="002C51B4" w:rsidP="00BB6538">
            <w:pPr>
              <w:widowControl w:val="0"/>
              <w:autoSpaceDE w:val="0"/>
              <w:autoSpaceDN w:val="0"/>
              <w:spacing w:before="60" w:after="60" w:line="240" w:lineRule="auto"/>
              <w:ind w:left="108"/>
              <w:rPr>
                <w:rFonts w:ascii="Times New Roman" w:eastAsia="Times New Roman" w:hAnsi="Times New Roman" w:cs="Times New Roman"/>
                <w:noProof/>
                <w:color w:val="111111"/>
                <w:sz w:val="18"/>
                <w:szCs w:val="18"/>
              </w:rPr>
            </w:pPr>
            <w:r>
              <w:rPr>
                <w:rFonts w:ascii="Times New Roman" w:hAnsi="Times New Roman"/>
                <w:i/>
                <w:noProof/>
                <w:color w:val="111111"/>
                <w:sz w:val="18"/>
              </w:rPr>
              <w:t>Mathématiques</w:t>
            </w:r>
            <w:r>
              <w:rPr>
                <w:rFonts w:ascii="Times New Roman" w:hAnsi="Times New Roman"/>
                <w:noProof/>
                <w:color w:val="111111"/>
                <w:sz w:val="18"/>
              </w:rPr>
              <w:t>:</w:t>
            </w:r>
          </w:p>
          <w:p w14:paraId="70F3B9AE" w14:textId="77777777" w:rsidR="002C51B4" w:rsidRPr="000A23DA" w:rsidRDefault="002C51B4" w:rsidP="00BB6538">
            <w:pPr>
              <w:widowControl w:val="0"/>
              <w:autoSpaceDE w:val="0"/>
              <w:autoSpaceDN w:val="0"/>
              <w:spacing w:before="60" w:after="60" w:line="240" w:lineRule="auto"/>
              <w:ind w:left="108"/>
              <w:rPr>
                <w:rFonts w:ascii="Times New Roman" w:eastAsia="Times New Roman" w:hAnsi="Times New Roman" w:cs="Times New Roman"/>
                <w:noProof/>
                <w:color w:val="111111"/>
                <w:sz w:val="18"/>
                <w:szCs w:val="18"/>
              </w:rPr>
            </w:pPr>
            <w:r w:rsidRPr="00F3116B">
              <w:rPr>
                <w:rFonts w:ascii="Times New Roman" w:hAnsi="Times New Roman"/>
                <w:noProof/>
                <w:color w:val="111111"/>
                <w:sz w:val="18"/>
              </w:rPr>
              <w:t>474</w:t>
            </w:r>
            <w:r>
              <w:rPr>
                <w:rFonts w:ascii="Times New Roman" w:hAnsi="Times New Roman"/>
                <w:noProof/>
                <w:color w:val="111111"/>
                <w:sz w:val="18"/>
              </w:rPr>
              <w:t xml:space="preserve"> (</w:t>
            </w:r>
            <w:r w:rsidRPr="00F3116B">
              <w:rPr>
                <w:rFonts w:ascii="Times New Roman" w:hAnsi="Times New Roman"/>
                <w:noProof/>
                <w:color w:val="111111"/>
                <w:sz w:val="18"/>
              </w:rPr>
              <w:t>2022</w:t>
            </w:r>
            <w:r>
              <w:rPr>
                <w:rFonts w:ascii="Times New Roman" w:hAnsi="Times New Roman"/>
                <w:noProof/>
                <w:color w:val="111111"/>
                <w:sz w:val="18"/>
              </w:rPr>
              <w:t>)</w:t>
            </w:r>
          </w:p>
          <w:p w14:paraId="51272B31" w14:textId="77777777" w:rsidR="002C51B4" w:rsidRPr="000A23DA" w:rsidRDefault="002C51B4" w:rsidP="00BB6538">
            <w:pPr>
              <w:widowControl w:val="0"/>
              <w:autoSpaceDE w:val="0"/>
              <w:autoSpaceDN w:val="0"/>
              <w:spacing w:before="60" w:after="60" w:line="240" w:lineRule="auto"/>
              <w:ind w:left="108"/>
              <w:rPr>
                <w:rFonts w:ascii="Times New Roman" w:eastAsia="Times New Roman" w:hAnsi="Times New Roman" w:cs="Times New Roman"/>
                <w:noProof/>
                <w:color w:val="111111"/>
                <w:sz w:val="18"/>
                <w:szCs w:val="18"/>
              </w:rPr>
            </w:pPr>
            <w:r w:rsidRPr="00F3116B">
              <w:rPr>
                <w:rFonts w:ascii="Times New Roman" w:hAnsi="Times New Roman"/>
                <w:noProof/>
                <w:color w:val="111111"/>
                <w:sz w:val="18"/>
              </w:rPr>
              <w:t>492</w:t>
            </w:r>
            <w:r>
              <w:rPr>
                <w:rFonts w:ascii="Times New Roman" w:hAnsi="Times New Roman"/>
                <w:noProof/>
                <w:color w:val="111111"/>
                <w:sz w:val="18"/>
              </w:rPr>
              <w:t xml:space="preserve"> (</w:t>
            </w:r>
            <w:r w:rsidRPr="00F3116B">
              <w:rPr>
                <w:rFonts w:ascii="Times New Roman" w:hAnsi="Times New Roman"/>
                <w:noProof/>
                <w:color w:val="111111"/>
                <w:sz w:val="18"/>
              </w:rPr>
              <w:t>2018</w:t>
            </w:r>
            <w:r>
              <w:rPr>
                <w:rFonts w:ascii="Times New Roman" w:hAnsi="Times New Roman"/>
                <w:noProof/>
                <w:color w:val="111111"/>
                <w:sz w:val="18"/>
              </w:rPr>
              <w:t>)</w:t>
            </w:r>
          </w:p>
          <w:p w14:paraId="66B0CEB1" w14:textId="77777777" w:rsidR="002C51B4" w:rsidRPr="00DF2D3C" w:rsidRDefault="002C51B4" w:rsidP="00BB6538">
            <w:pPr>
              <w:widowControl w:val="0"/>
              <w:autoSpaceDE w:val="0"/>
              <w:autoSpaceDN w:val="0"/>
              <w:spacing w:before="60" w:after="60" w:line="240" w:lineRule="auto"/>
              <w:ind w:left="108"/>
              <w:rPr>
                <w:rFonts w:ascii="Times New Roman" w:eastAsia="Times New Roman" w:hAnsi="Times New Roman" w:cs="Times New Roman"/>
                <w:i/>
                <w:iCs/>
                <w:noProof/>
                <w:color w:val="111111"/>
                <w:sz w:val="18"/>
                <w:szCs w:val="18"/>
              </w:rPr>
            </w:pPr>
            <w:r>
              <w:rPr>
                <w:rFonts w:ascii="Times New Roman" w:hAnsi="Times New Roman"/>
                <w:i/>
                <w:noProof/>
                <w:color w:val="111111"/>
                <w:sz w:val="18"/>
              </w:rPr>
              <w:t>Lecture:</w:t>
            </w:r>
          </w:p>
          <w:p w14:paraId="27F6389D" w14:textId="77777777" w:rsidR="002C51B4" w:rsidRPr="000A23DA" w:rsidRDefault="002C51B4" w:rsidP="00BB6538">
            <w:pPr>
              <w:widowControl w:val="0"/>
              <w:autoSpaceDE w:val="0"/>
              <w:autoSpaceDN w:val="0"/>
              <w:spacing w:before="60" w:after="60" w:line="240" w:lineRule="auto"/>
              <w:ind w:left="108"/>
              <w:rPr>
                <w:rFonts w:ascii="Times New Roman" w:eastAsia="Times New Roman" w:hAnsi="Times New Roman" w:cs="Times New Roman"/>
                <w:noProof/>
                <w:color w:val="111111"/>
                <w:sz w:val="18"/>
                <w:szCs w:val="18"/>
              </w:rPr>
            </w:pPr>
            <w:r w:rsidRPr="00F3116B">
              <w:rPr>
                <w:rFonts w:ascii="Times New Roman" w:hAnsi="Times New Roman"/>
                <w:noProof/>
                <w:color w:val="111111"/>
                <w:sz w:val="18"/>
              </w:rPr>
              <w:t>475</w:t>
            </w:r>
            <w:r>
              <w:rPr>
                <w:rFonts w:ascii="Times New Roman" w:hAnsi="Times New Roman"/>
                <w:noProof/>
                <w:color w:val="111111"/>
                <w:sz w:val="18"/>
              </w:rPr>
              <w:t xml:space="preserve"> (</w:t>
            </w:r>
            <w:r w:rsidRPr="00F3116B">
              <w:rPr>
                <w:rFonts w:ascii="Times New Roman" w:hAnsi="Times New Roman"/>
                <w:noProof/>
                <w:color w:val="111111"/>
                <w:sz w:val="18"/>
              </w:rPr>
              <w:t>2022</w:t>
            </w:r>
            <w:r>
              <w:rPr>
                <w:rFonts w:ascii="Times New Roman" w:hAnsi="Times New Roman"/>
                <w:noProof/>
                <w:color w:val="111111"/>
                <w:sz w:val="18"/>
              </w:rPr>
              <w:t>)</w:t>
            </w:r>
          </w:p>
          <w:p w14:paraId="2BE6B07C" w14:textId="77777777" w:rsidR="002C51B4" w:rsidRPr="000A23DA" w:rsidRDefault="002C51B4" w:rsidP="00BB6538">
            <w:pPr>
              <w:widowControl w:val="0"/>
              <w:autoSpaceDE w:val="0"/>
              <w:autoSpaceDN w:val="0"/>
              <w:spacing w:before="60" w:after="60" w:line="240" w:lineRule="auto"/>
              <w:ind w:left="108"/>
              <w:rPr>
                <w:rFonts w:ascii="Times New Roman" w:eastAsia="Times New Roman" w:hAnsi="Times New Roman" w:cs="Times New Roman"/>
                <w:noProof/>
                <w:color w:val="111111"/>
                <w:sz w:val="18"/>
                <w:szCs w:val="18"/>
              </w:rPr>
            </w:pPr>
            <w:r w:rsidRPr="00F3116B">
              <w:rPr>
                <w:rFonts w:ascii="Times New Roman" w:hAnsi="Times New Roman"/>
                <w:noProof/>
                <w:color w:val="111111"/>
                <w:sz w:val="18"/>
              </w:rPr>
              <w:t>488</w:t>
            </w:r>
            <w:r>
              <w:rPr>
                <w:rFonts w:ascii="Times New Roman" w:hAnsi="Times New Roman"/>
                <w:noProof/>
                <w:color w:val="111111"/>
                <w:sz w:val="18"/>
              </w:rPr>
              <w:t xml:space="preserve"> (</w:t>
            </w:r>
            <w:r w:rsidRPr="00F3116B">
              <w:rPr>
                <w:rFonts w:ascii="Times New Roman" w:hAnsi="Times New Roman"/>
                <w:noProof/>
                <w:color w:val="111111"/>
                <w:sz w:val="18"/>
              </w:rPr>
              <w:t>2018</w:t>
            </w:r>
            <w:r>
              <w:rPr>
                <w:rFonts w:ascii="Times New Roman" w:hAnsi="Times New Roman"/>
                <w:noProof/>
                <w:color w:val="111111"/>
                <w:sz w:val="18"/>
              </w:rPr>
              <w:t>)</w:t>
            </w:r>
          </w:p>
          <w:p w14:paraId="4C0D4988" w14:textId="77777777" w:rsidR="002C51B4" w:rsidRPr="00DF2D3C" w:rsidRDefault="002C51B4" w:rsidP="00BB6538">
            <w:pPr>
              <w:widowControl w:val="0"/>
              <w:autoSpaceDE w:val="0"/>
              <w:autoSpaceDN w:val="0"/>
              <w:spacing w:before="60" w:after="60" w:line="240" w:lineRule="auto"/>
              <w:ind w:left="108"/>
              <w:rPr>
                <w:rFonts w:ascii="Times New Roman" w:eastAsia="Times New Roman" w:hAnsi="Times New Roman" w:cs="Times New Roman"/>
                <w:i/>
                <w:iCs/>
                <w:noProof/>
                <w:color w:val="111111"/>
                <w:sz w:val="18"/>
                <w:szCs w:val="18"/>
              </w:rPr>
            </w:pPr>
            <w:r>
              <w:rPr>
                <w:rFonts w:ascii="Times New Roman" w:hAnsi="Times New Roman"/>
                <w:i/>
                <w:noProof/>
                <w:color w:val="111111"/>
                <w:sz w:val="18"/>
              </w:rPr>
              <w:t>Science</w:t>
            </w:r>
          </w:p>
          <w:p w14:paraId="34CAC0FF" w14:textId="77777777" w:rsidR="002C51B4" w:rsidRPr="000A23DA" w:rsidRDefault="002C51B4" w:rsidP="00BB6538">
            <w:pPr>
              <w:widowControl w:val="0"/>
              <w:autoSpaceDE w:val="0"/>
              <w:autoSpaceDN w:val="0"/>
              <w:spacing w:before="60" w:after="60" w:line="240" w:lineRule="auto"/>
              <w:ind w:left="108"/>
              <w:rPr>
                <w:rFonts w:ascii="Times New Roman" w:eastAsia="Times New Roman" w:hAnsi="Times New Roman" w:cs="Times New Roman"/>
                <w:noProof/>
                <w:color w:val="111111"/>
                <w:sz w:val="18"/>
                <w:szCs w:val="18"/>
              </w:rPr>
            </w:pPr>
            <w:r w:rsidRPr="00F3116B">
              <w:rPr>
                <w:rFonts w:ascii="Times New Roman" w:hAnsi="Times New Roman"/>
                <w:noProof/>
                <w:color w:val="111111"/>
                <w:sz w:val="18"/>
              </w:rPr>
              <w:t>484</w:t>
            </w:r>
            <w:r>
              <w:rPr>
                <w:rFonts w:ascii="Times New Roman" w:hAnsi="Times New Roman"/>
                <w:noProof/>
                <w:color w:val="111111"/>
                <w:sz w:val="18"/>
              </w:rPr>
              <w:t xml:space="preserve"> (</w:t>
            </w:r>
            <w:r w:rsidRPr="00F3116B">
              <w:rPr>
                <w:rFonts w:ascii="Times New Roman" w:hAnsi="Times New Roman"/>
                <w:noProof/>
                <w:color w:val="111111"/>
                <w:sz w:val="18"/>
              </w:rPr>
              <w:t>2022</w:t>
            </w:r>
            <w:r>
              <w:rPr>
                <w:rFonts w:ascii="Times New Roman" w:hAnsi="Times New Roman"/>
                <w:noProof/>
                <w:color w:val="111111"/>
                <w:sz w:val="18"/>
              </w:rPr>
              <w:t>)</w:t>
            </w:r>
          </w:p>
          <w:p w14:paraId="615AC143" w14:textId="77777777" w:rsidR="002C51B4" w:rsidRPr="000A23DA" w:rsidRDefault="002C51B4" w:rsidP="00BB6538">
            <w:pPr>
              <w:widowControl w:val="0"/>
              <w:autoSpaceDE w:val="0"/>
              <w:autoSpaceDN w:val="0"/>
              <w:spacing w:before="60" w:after="60" w:line="240" w:lineRule="auto"/>
              <w:ind w:left="108"/>
              <w:rPr>
                <w:rFonts w:ascii="Times New Roman" w:eastAsia="Times New Roman" w:hAnsi="Times New Roman" w:cs="Times New Roman"/>
                <w:noProof/>
                <w:color w:val="111111"/>
                <w:sz w:val="18"/>
                <w:szCs w:val="18"/>
              </w:rPr>
            </w:pPr>
            <w:r w:rsidRPr="00F3116B">
              <w:rPr>
                <w:rFonts w:ascii="Times New Roman" w:hAnsi="Times New Roman"/>
                <w:noProof/>
                <w:color w:val="111111"/>
                <w:sz w:val="18"/>
              </w:rPr>
              <w:t>488</w:t>
            </w:r>
            <w:r>
              <w:rPr>
                <w:rFonts w:ascii="Times New Roman" w:hAnsi="Times New Roman"/>
                <w:noProof/>
                <w:color w:val="111111"/>
                <w:sz w:val="18"/>
              </w:rPr>
              <w:t xml:space="preserve"> (</w:t>
            </w:r>
            <w:r w:rsidRPr="00F3116B">
              <w:rPr>
                <w:rFonts w:ascii="Times New Roman" w:hAnsi="Times New Roman"/>
                <w:noProof/>
                <w:color w:val="111111"/>
                <w:sz w:val="18"/>
              </w:rPr>
              <w:t>2018</w:t>
            </w:r>
            <w:r>
              <w:rPr>
                <w:rFonts w:ascii="Times New Roman" w:hAnsi="Times New Roman"/>
                <w:noProof/>
                <w:color w:val="111111"/>
                <w:sz w:val="18"/>
              </w:rPr>
              <w:t>)</w:t>
            </w:r>
          </w:p>
        </w:tc>
      </w:tr>
    </w:tbl>
    <w:p w14:paraId="4D3C56DC" w14:textId="77777777" w:rsidR="002C51B4" w:rsidRPr="000A23DA" w:rsidRDefault="002C51B4" w:rsidP="002C51B4">
      <w:pPr>
        <w:spacing w:after="120"/>
        <w:jc w:val="both"/>
        <w:rPr>
          <w:rFonts w:ascii="Times New Roman" w:hAnsi="Times New Roman" w:cs="Times New Roman"/>
          <w:b/>
          <w:noProof/>
          <w:sz w:val="18"/>
          <w:szCs w:val="18"/>
          <w:lang w:val="en-IE"/>
        </w:rPr>
      </w:pPr>
    </w:p>
    <w:p w14:paraId="1EDD04F9" w14:textId="77777777" w:rsidR="002C51B4" w:rsidRDefault="002C51B4" w:rsidP="002C51B4">
      <w:pPr>
        <w:spacing w:after="120"/>
        <w:jc w:val="both"/>
        <w:rPr>
          <w:rFonts w:ascii="Times New Roman" w:hAnsi="Times New Roman" w:cs="Times New Roman"/>
          <w:noProof/>
          <w:sz w:val="24"/>
          <w:szCs w:val="24"/>
        </w:rPr>
      </w:pPr>
      <w:r>
        <w:rPr>
          <w:rFonts w:ascii="Times New Roman" w:hAnsi="Times New Roman"/>
          <w:b/>
          <w:noProof/>
          <w:sz w:val="24"/>
        </w:rPr>
        <w:t xml:space="preserve">Avec un taux d’emploi de </w:t>
      </w:r>
      <w:r w:rsidRPr="00F3116B">
        <w:rPr>
          <w:rFonts w:ascii="Times New Roman" w:hAnsi="Times New Roman"/>
          <w:b/>
          <w:noProof/>
          <w:sz w:val="24"/>
        </w:rPr>
        <w:t>74</w:t>
      </w:r>
      <w:r>
        <w:rPr>
          <w:rFonts w:ascii="Times New Roman" w:hAnsi="Times New Roman"/>
          <w:b/>
          <w:noProof/>
          <w:sz w:val="24"/>
        </w:rPr>
        <w:t>,</w:t>
      </w:r>
      <w:r w:rsidRPr="00F3116B">
        <w:rPr>
          <w:rFonts w:ascii="Times New Roman" w:hAnsi="Times New Roman"/>
          <w:b/>
          <w:noProof/>
          <w:sz w:val="24"/>
        </w:rPr>
        <w:t>6</w:t>
      </w:r>
      <w:r>
        <w:rPr>
          <w:rFonts w:ascii="Times New Roman" w:hAnsi="Times New Roman"/>
          <w:b/>
          <w:noProof/>
          <w:sz w:val="24"/>
        </w:rPr>
        <w:t xml:space="preserve"> % en </w:t>
      </w:r>
      <w:r w:rsidRPr="00F3116B">
        <w:rPr>
          <w:rFonts w:ascii="Times New Roman" w:hAnsi="Times New Roman"/>
          <w:b/>
          <w:noProof/>
          <w:sz w:val="24"/>
        </w:rPr>
        <w:t>2022</w:t>
      </w:r>
      <w:r>
        <w:rPr>
          <w:rFonts w:ascii="Times New Roman" w:hAnsi="Times New Roman"/>
          <w:b/>
          <w:noProof/>
          <w:sz w:val="24"/>
        </w:rPr>
        <w:t xml:space="preserve">, l’UE est en bonne voie pour atteindre son objectif de taux d’emploi de </w:t>
      </w:r>
      <w:r w:rsidRPr="00F3116B">
        <w:rPr>
          <w:rFonts w:ascii="Times New Roman" w:hAnsi="Times New Roman"/>
          <w:b/>
          <w:noProof/>
          <w:sz w:val="24"/>
        </w:rPr>
        <w:t>78</w:t>
      </w:r>
      <w:r>
        <w:rPr>
          <w:rFonts w:ascii="Times New Roman" w:hAnsi="Times New Roman"/>
          <w:b/>
          <w:noProof/>
          <w:sz w:val="24"/>
        </w:rPr>
        <w:t xml:space="preserve"> % fixé pour </w:t>
      </w:r>
      <w:r w:rsidRPr="00F3116B">
        <w:rPr>
          <w:rFonts w:ascii="Times New Roman" w:hAnsi="Times New Roman"/>
          <w:b/>
          <w:noProof/>
          <w:sz w:val="24"/>
        </w:rPr>
        <w:t>2030</w:t>
      </w:r>
      <w:r>
        <w:rPr>
          <w:rFonts w:ascii="Times New Roman" w:hAnsi="Times New Roman"/>
          <w:b/>
          <w:noProof/>
          <w:sz w:val="24"/>
        </w:rPr>
        <w:t>. Pourtant, les trois quarts des PME sont actuellement confrontées à des pénuries de main-d’œuvre et de compétences, auxquelles le pacte pour les compétences et les mesures facilitant la mobilité de la main-d’œuvre ont commencé à s’attaquer. Pour attirer et retenir la main-d’œuvre, il est essentiel de proposer des emplois de qualité, de combler les écarts entre les hommes et les femmes et de promouvoir l’égalité des chances pour tous. Une main-d’œuvre qualifiée est un facteur clé de la compétitivité</w:t>
      </w:r>
      <w:r>
        <w:rPr>
          <w:noProof/>
        </w:rPr>
        <w:t>,</w:t>
      </w:r>
      <w:bookmarkEnd w:id="41"/>
      <w:r>
        <w:rPr>
          <w:noProof/>
        </w:rPr>
        <w:t xml:space="preserve"> </w:t>
      </w:r>
      <w:r>
        <w:rPr>
          <w:rFonts w:ascii="Times New Roman" w:hAnsi="Times New Roman"/>
          <w:b/>
          <w:noProof/>
          <w:sz w:val="24"/>
        </w:rPr>
        <w:t>dans le contexte d’évolution démographique en cours</w:t>
      </w:r>
      <w:r>
        <w:rPr>
          <w:rStyle w:val="FootnoteReference"/>
          <w:rFonts w:ascii="Times New Roman" w:hAnsi="Times New Roman" w:cs="Times New Roman"/>
          <w:b/>
          <w:bCs/>
          <w:noProof/>
          <w:sz w:val="24"/>
          <w:szCs w:val="24"/>
          <w:lang w:val="en-IE"/>
        </w:rPr>
        <w:footnoteReference w:id="82"/>
      </w:r>
      <w:r>
        <w:rPr>
          <w:rFonts w:ascii="Times New Roman" w:hAnsi="Times New Roman"/>
          <w:b/>
          <w:noProof/>
          <w:sz w:val="24"/>
        </w:rPr>
        <w:t xml:space="preserve">. </w:t>
      </w:r>
    </w:p>
    <w:p w14:paraId="20149023" w14:textId="77777777" w:rsidR="002C51B4" w:rsidRDefault="002C51B4" w:rsidP="002C51B4">
      <w:pPr>
        <w:jc w:val="both"/>
        <w:rPr>
          <w:rFonts w:ascii="Times New Roman" w:eastAsia="Calibri" w:hAnsi="Times New Roman" w:cs="Times New Roman"/>
          <w:noProof/>
          <w:sz w:val="24"/>
          <w:szCs w:val="24"/>
        </w:rPr>
      </w:pPr>
      <w:r>
        <w:rPr>
          <w:rFonts w:ascii="Times New Roman" w:hAnsi="Times New Roman"/>
          <w:noProof/>
          <w:sz w:val="24"/>
        </w:rPr>
        <w:t xml:space="preserve">Les transitions écologique et numérique créent </w:t>
      </w:r>
      <w:r>
        <w:rPr>
          <w:rFonts w:ascii="Times New Roman" w:hAnsi="Times New Roman"/>
          <w:b/>
          <w:noProof/>
          <w:sz w:val="24"/>
        </w:rPr>
        <w:t>une demande de nouvelles compétences</w:t>
      </w:r>
      <w:r>
        <w:rPr>
          <w:rFonts w:ascii="Times New Roman" w:hAnsi="Times New Roman"/>
          <w:noProof/>
          <w:sz w:val="24"/>
        </w:rPr>
        <w:t xml:space="preserve">, ce qui nécessite une mise à niveau et une reconversion de la main-d’œuvre. Par exemple, entre </w:t>
      </w:r>
      <w:r w:rsidRPr="00F3116B">
        <w:rPr>
          <w:rFonts w:ascii="Times New Roman" w:hAnsi="Times New Roman"/>
          <w:noProof/>
          <w:sz w:val="24"/>
        </w:rPr>
        <w:t>35</w:t>
      </w:r>
      <w:r>
        <w:rPr>
          <w:rFonts w:ascii="Times New Roman" w:hAnsi="Times New Roman"/>
          <w:noProof/>
          <w:sz w:val="24"/>
        </w:rPr>
        <w:t xml:space="preserve"> % et </w:t>
      </w:r>
      <w:r w:rsidRPr="00F3116B">
        <w:rPr>
          <w:rFonts w:ascii="Times New Roman" w:hAnsi="Times New Roman"/>
          <w:noProof/>
          <w:sz w:val="24"/>
        </w:rPr>
        <w:t>45</w:t>
      </w:r>
      <w:r>
        <w:rPr>
          <w:rFonts w:ascii="Times New Roman" w:hAnsi="Times New Roman"/>
          <w:noProof/>
          <w:sz w:val="24"/>
        </w:rPr>
        <w:t> % de la main-d’œuvre dans le secteur de la rénovation des bâtiments auront besoin d’une formation en matière d’efficacité énergétique</w:t>
      </w:r>
      <w:r w:rsidRPr="007A24B2">
        <w:rPr>
          <w:rStyle w:val="FootnoteReference"/>
          <w:rFonts w:ascii="Times New Roman" w:hAnsi="Times New Roman" w:cs="Times New Roman"/>
          <w:noProof/>
          <w:sz w:val="24"/>
          <w:szCs w:val="24"/>
          <w:lang w:val="en-IE"/>
        </w:rPr>
        <w:footnoteReference w:id="83"/>
      </w:r>
      <w:r>
        <w:rPr>
          <w:rFonts w:ascii="Times New Roman" w:hAnsi="Times New Roman"/>
          <w:noProof/>
          <w:sz w:val="24"/>
        </w:rPr>
        <w:t xml:space="preserve">. Les compétences dans le domaine des TIC sont très demandées, bien que les besoins spécifiques varient considérablement d’un écosystème à l’autre (voir </w:t>
      </w:r>
      <w:r>
        <w:rPr>
          <w:rFonts w:ascii="Times New Roman" w:hAnsi="Times New Roman" w:cs="Times New Roman"/>
          <w:noProof/>
          <w:sz w:val="24"/>
        </w:rPr>
        <w:fldChar w:fldCharType="begin" w:fldLock="1"/>
      </w:r>
      <w:r>
        <w:rPr>
          <w:rFonts w:ascii="Times New Roman" w:hAnsi="Times New Roman" w:cs="Times New Roman"/>
          <w:noProof/>
          <w:sz w:val="24"/>
        </w:rPr>
        <w:instrText xml:space="preserve"> REF _Ref155780879 \h  \* MERGEFORMAT </w:instrText>
      </w:r>
      <w:r>
        <w:rPr>
          <w:rFonts w:ascii="Times New Roman" w:hAnsi="Times New Roman" w:cs="Times New Roman"/>
          <w:noProof/>
          <w:sz w:val="24"/>
        </w:rPr>
      </w:r>
      <w:r>
        <w:rPr>
          <w:rFonts w:ascii="Times New Roman" w:hAnsi="Times New Roman" w:cs="Times New Roman"/>
          <w:noProof/>
          <w:sz w:val="24"/>
        </w:rPr>
        <w:fldChar w:fldCharType="separate"/>
      </w:r>
      <w:r w:rsidRPr="00110745">
        <w:rPr>
          <w:rFonts w:ascii="Times New Roman" w:hAnsi="Times New Roman" w:cs="Times New Roman"/>
          <w:noProof/>
        </w:rPr>
        <w:t xml:space="preserve">Figure </w:t>
      </w:r>
      <w:r w:rsidRPr="00F3116B">
        <w:rPr>
          <w:rFonts w:ascii="Times New Roman" w:hAnsi="Times New Roman" w:cs="Times New Roman"/>
          <w:noProof/>
        </w:rPr>
        <w:t>4</w:t>
      </w:r>
      <w:r>
        <w:rPr>
          <w:rFonts w:ascii="Times New Roman" w:hAnsi="Times New Roman" w:cs="Times New Roman"/>
          <w:noProof/>
          <w:sz w:val="24"/>
        </w:rPr>
        <w:fldChar w:fldCharType="end"/>
      </w:r>
      <w:r>
        <w:rPr>
          <w:rFonts w:ascii="Times New Roman" w:hAnsi="Times New Roman"/>
          <w:noProof/>
          <w:sz w:val="24"/>
        </w:rPr>
        <w:t xml:space="preserve">). Le nombre de spécialistes des TIC a atteint </w:t>
      </w:r>
      <w:r w:rsidRPr="00F3116B">
        <w:rPr>
          <w:rFonts w:ascii="Times New Roman" w:hAnsi="Times New Roman"/>
          <w:noProof/>
          <w:sz w:val="24"/>
        </w:rPr>
        <w:t>9</w:t>
      </w:r>
      <w:r>
        <w:rPr>
          <w:rFonts w:ascii="Times New Roman" w:hAnsi="Times New Roman"/>
          <w:noProof/>
          <w:sz w:val="24"/>
        </w:rPr>
        <w:t>,</w:t>
      </w:r>
      <w:r w:rsidRPr="00F3116B">
        <w:rPr>
          <w:rFonts w:ascii="Times New Roman" w:hAnsi="Times New Roman"/>
          <w:noProof/>
          <w:sz w:val="24"/>
        </w:rPr>
        <w:t>4</w:t>
      </w:r>
      <w:r>
        <w:rPr>
          <w:rFonts w:ascii="Times New Roman" w:hAnsi="Times New Roman"/>
          <w:noProof/>
          <w:sz w:val="24"/>
        </w:rPr>
        <w:t xml:space="preserve"> millions en </w:t>
      </w:r>
      <w:r w:rsidRPr="00F3116B">
        <w:rPr>
          <w:rFonts w:ascii="Times New Roman" w:hAnsi="Times New Roman"/>
          <w:noProof/>
          <w:sz w:val="24"/>
        </w:rPr>
        <w:t>2022</w:t>
      </w:r>
      <w:r>
        <w:rPr>
          <w:rFonts w:ascii="Times New Roman" w:hAnsi="Times New Roman"/>
          <w:noProof/>
          <w:sz w:val="24"/>
        </w:rPr>
        <w:t xml:space="preserve">, ce qui représente </w:t>
      </w:r>
      <w:r w:rsidRPr="00F3116B">
        <w:rPr>
          <w:rFonts w:ascii="Times New Roman" w:hAnsi="Times New Roman"/>
          <w:noProof/>
          <w:sz w:val="24"/>
        </w:rPr>
        <w:t>4</w:t>
      </w:r>
      <w:r>
        <w:rPr>
          <w:rFonts w:ascii="Times New Roman" w:hAnsi="Times New Roman"/>
          <w:noProof/>
          <w:sz w:val="24"/>
        </w:rPr>
        <w:t>,</w:t>
      </w:r>
      <w:r w:rsidRPr="00F3116B">
        <w:rPr>
          <w:rFonts w:ascii="Times New Roman" w:hAnsi="Times New Roman"/>
          <w:noProof/>
          <w:sz w:val="24"/>
        </w:rPr>
        <w:t>6</w:t>
      </w:r>
      <w:r>
        <w:rPr>
          <w:rFonts w:ascii="Times New Roman" w:hAnsi="Times New Roman"/>
          <w:noProof/>
          <w:sz w:val="24"/>
        </w:rPr>
        <w:t xml:space="preserve"> % de l’emploi total et permet de se rapprocher de l’objectif de </w:t>
      </w:r>
      <w:r w:rsidRPr="00F3116B">
        <w:rPr>
          <w:rFonts w:ascii="Times New Roman" w:hAnsi="Times New Roman"/>
          <w:noProof/>
          <w:sz w:val="24"/>
        </w:rPr>
        <w:t>20</w:t>
      </w:r>
      <w:r>
        <w:rPr>
          <w:rFonts w:ascii="Times New Roman" w:hAnsi="Times New Roman"/>
          <w:noProof/>
          <w:sz w:val="24"/>
        </w:rPr>
        <w:t xml:space="preserve"> millions de personnes pour </w:t>
      </w:r>
      <w:r w:rsidRPr="00F3116B">
        <w:rPr>
          <w:rFonts w:ascii="Times New Roman" w:hAnsi="Times New Roman"/>
          <w:noProof/>
          <w:sz w:val="24"/>
        </w:rPr>
        <w:t>2030</w:t>
      </w:r>
      <w:r>
        <w:rPr>
          <w:rFonts w:ascii="Times New Roman" w:hAnsi="Times New Roman"/>
          <w:noProof/>
          <w:sz w:val="24"/>
        </w:rPr>
        <w:t xml:space="preserve"> (voir ICP </w:t>
      </w:r>
      <w:r w:rsidRPr="00F3116B">
        <w:rPr>
          <w:rFonts w:ascii="Times New Roman" w:hAnsi="Times New Roman"/>
          <w:noProof/>
          <w:sz w:val="24"/>
        </w:rPr>
        <w:t>15</w:t>
      </w:r>
      <w:r>
        <w:rPr>
          <w:rFonts w:ascii="Times New Roman" w:hAnsi="Times New Roman"/>
          <w:noProof/>
          <w:sz w:val="24"/>
        </w:rPr>
        <w:t xml:space="preserve">). D’autre part, dans l’UE, seul un adulte sur trois environ participe chaque année à des activités d’apprentissage (voir ICP </w:t>
      </w:r>
      <w:r w:rsidRPr="00F3116B">
        <w:rPr>
          <w:rFonts w:ascii="Times New Roman" w:hAnsi="Times New Roman"/>
          <w:noProof/>
          <w:sz w:val="24"/>
        </w:rPr>
        <w:t>13</w:t>
      </w:r>
      <w:r>
        <w:rPr>
          <w:rFonts w:ascii="Times New Roman" w:hAnsi="Times New Roman"/>
          <w:noProof/>
          <w:sz w:val="24"/>
        </w:rPr>
        <w:t xml:space="preserve">). Par ailleurs, les notes moyennes pour les jeunes de </w:t>
      </w:r>
      <w:r w:rsidRPr="00F3116B">
        <w:rPr>
          <w:rFonts w:ascii="Times New Roman" w:hAnsi="Times New Roman"/>
          <w:noProof/>
          <w:sz w:val="24"/>
        </w:rPr>
        <w:t>15</w:t>
      </w:r>
      <w:r>
        <w:rPr>
          <w:rFonts w:ascii="Times New Roman" w:hAnsi="Times New Roman"/>
          <w:noProof/>
          <w:sz w:val="24"/>
        </w:rPr>
        <w:t xml:space="preserve"> ans ont baissé dans l’UE en </w:t>
      </w:r>
      <w:r w:rsidRPr="00F3116B">
        <w:rPr>
          <w:rFonts w:ascii="Times New Roman" w:hAnsi="Times New Roman"/>
          <w:noProof/>
          <w:sz w:val="24"/>
        </w:rPr>
        <w:t>2022</w:t>
      </w:r>
      <w:r>
        <w:rPr>
          <w:rFonts w:ascii="Times New Roman" w:hAnsi="Times New Roman"/>
          <w:noProof/>
          <w:sz w:val="24"/>
        </w:rPr>
        <w:t xml:space="preserve"> par rapport à </w:t>
      </w:r>
      <w:r w:rsidRPr="00F3116B">
        <w:rPr>
          <w:rFonts w:ascii="Times New Roman" w:hAnsi="Times New Roman"/>
          <w:noProof/>
          <w:sz w:val="24"/>
        </w:rPr>
        <w:t>2018</w:t>
      </w:r>
      <w:r>
        <w:rPr>
          <w:rFonts w:ascii="Times New Roman" w:hAnsi="Times New Roman"/>
          <w:noProof/>
          <w:sz w:val="24"/>
        </w:rPr>
        <w:t xml:space="preserve"> dans toutes les disciplines, dans lesquelles l’UE est dépassée par ses principaux concurrents. Cela donne à penser que l’Europe est confrontée à un problème lorsqu’il s’agit de doter les jeunes des compétences de base.</w:t>
      </w:r>
    </w:p>
    <w:p w14:paraId="4FEA53B9" w14:textId="77777777" w:rsidR="002C51B4" w:rsidRPr="005E29D7" w:rsidRDefault="002C51B4" w:rsidP="002C51B4">
      <w:pPr>
        <w:pStyle w:val="Caption"/>
        <w:keepNext/>
        <w:jc w:val="both"/>
        <w:rPr>
          <w:rFonts w:ascii="Times New Roman" w:hAnsi="Times New Roman" w:cs="Times New Roman"/>
          <w:noProof/>
        </w:rPr>
      </w:pPr>
      <w:bookmarkStart w:id="44" w:name="_Ref155780879"/>
      <w:r>
        <w:rPr>
          <w:rFonts w:ascii="Times New Roman" w:hAnsi="Times New Roman"/>
          <w:i w:val="0"/>
          <w:noProof/>
          <w:color w:val="auto"/>
          <w:sz w:val="22"/>
        </w:rPr>
        <w:t>Figure </w:t>
      </w:r>
      <w:r w:rsidRPr="00110745">
        <w:rPr>
          <w:rFonts w:ascii="Times New Roman" w:hAnsi="Times New Roman" w:cs="Times New Roman"/>
          <w:i w:val="0"/>
          <w:noProof/>
          <w:color w:val="auto"/>
          <w:sz w:val="22"/>
        </w:rPr>
        <w:fldChar w:fldCharType="begin" w:fldLock="1"/>
      </w:r>
      <w:r w:rsidRPr="00110745">
        <w:rPr>
          <w:rFonts w:ascii="Times New Roman" w:hAnsi="Times New Roman" w:cs="Times New Roman"/>
          <w:i w:val="0"/>
          <w:noProof/>
          <w:color w:val="auto"/>
          <w:sz w:val="22"/>
        </w:rPr>
        <w:instrText xml:space="preserve"> SEQ Figure \* ARABIC </w:instrText>
      </w:r>
      <w:r w:rsidRPr="00110745">
        <w:rPr>
          <w:rFonts w:ascii="Times New Roman" w:hAnsi="Times New Roman" w:cs="Times New Roman"/>
          <w:i w:val="0"/>
          <w:noProof/>
          <w:color w:val="auto"/>
          <w:sz w:val="22"/>
        </w:rPr>
        <w:fldChar w:fldCharType="separate"/>
      </w:r>
      <w:r w:rsidRPr="00F3116B">
        <w:rPr>
          <w:rFonts w:ascii="Times New Roman" w:hAnsi="Times New Roman" w:cs="Times New Roman"/>
          <w:i w:val="0"/>
          <w:noProof/>
          <w:color w:val="auto"/>
          <w:sz w:val="22"/>
        </w:rPr>
        <w:t>4</w:t>
      </w:r>
      <w:r w:rsidRPr="00110745">
        <w:rPr>
          <w:rFonts w:ascii="Times New Roman" w:hAnsi="Times New Roman" w:cs="Times New Roman"/>
          <w:i w:val="0"/>
          <w:noProof/>
          <w:color w:val="auto"/>
          <w:sz w:val="22"/>
        </w:rPr>
        <w:fldChar w:fldCharType="end"/>
      </w:r>
      <w:bookmarkEnd w:id="44"/>
      <w:r>
        <w:rPr>
          <w:noProof/>
        </w:rPr>
        <w:t>:</w:t>
      </w:r>
      <w:r>
        <w:rPr>
          <w:rFonts w:ascii="Times New Roman" w:hAnsi="Times New Roman"/>
          <w:i w:val="0"/>
          <w:noProof/>
          <w:color w:val="auto"/>
          <w:sz w:val="22"/>
        </w:rPr>
        <w:t xml:space="preserve"> Pourcentage des offres d’emploi en ligne nécessitant au moins des compétences numériques modérées ou avancées, EU-</w:t>
      </w:r>
      <w:r w:rsidRPr="00F3116B">
        <w:rPr>
          <w:rFonts w:ascii="Times New Roman" w:hAnsi="Times New Roman"/>
          <w:i w:val="0"/>
          <w:noProof/>
          <w:color w:val="auto"/>
          <w:sz w:val="22"/>
        </w:rPr>
        <w:t>27</w:t>
      </w:r>
      <w:r>
        <w:rPr>
          <w:rFonts w:ascii="Times New Roman" w:hAnsi="Times New Roman"/>
          <w:i w:val="0"/>
          <w:noProof/>
          <w:color w:val="auto"/>
          <w:sz w:val="22"/>
        </w:rPr>
        <w:t>.</w:t>
      </w:r>
    </w:p>
    <w:p w14:paraId="6B9AC535" w14:textId="2DD0FFA7" w:rsidR="002C51B4" w:rsidRPr="005E29D7" w:rsidRDefault="00083570" w:rsidP="002C51B4">
      <w:pPr>
        <w:jc w:val="both"/>
        <w:rPr>
          <w:rFonts w:ascii="Times New Roman" w:hAnsi="Times New Roman" w:cs="Times New Roman"/>
          <w:noProof/>
        </w:rPr>
      </w:pPr>
      <w:r>
        <w:rPr>
          <w:noProof/>
          <w:lang w:val="en-GB" w:eastAsia="en-GB"/>
        </w:rPr>
        <w:drawing>
          <wp:inline distT="0" distB="0" distL="0" distR="0" wp14:anchorId="7C6E252E" wp14:editId="3AF6EC38">
            <wp:extent cx="5943600" cy="33604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3360420"/>
                    </a:xfrm>
                    <a:prstGeom prst="rect">
                      <a:avLst/>
                    </a:prstGeom>
                  </pic:spPr>
                </pic:pic>
              </a:graphicData>
            </a:graphic>
          </wp:inline>
        </w:drawing>
      </w:r>
      <w:r w:rsidR="002C51B4">
        <w:rPr>
          <w:rFonts w:ascii="EC Square Sans Cond Pro" w:hAnsi="EC Square Sans Cond Pro"/>
          <w:noProof/>
          <w:color w:val="4472C4" w:themeColor="accent1"/>
          <w:sz w:val="20"/>
        </w:rPr>
        <w:t xml:space="preserve">Source: Analyse du groupe Technopolis fondée sur les données de Skillovate du Cedefop, pour le projet de suivi européen des écosystèmes industriels (EMI) </w:t>
      </w:r>
      <w:r w:rsidR="002C51B4" w:rsidRPr="00F3116B">
        <w:rPr>
          <w:rFonts w:ascii="EC Square Sans Cond Pro" w:hAnsi="EC Square Sans Cond Pro"/>
          <w:noProof/>
          <w:color w:val="4472C4" w:themeColor="accent1"/>
          <w:sz w:val="20"/>
        </w:rPr>
        <w:t>2023</w:t>
      </w:r>
      <w:r w:rsidR="002C51B4">
        <w:rPr>
          <w:rFonts w:ascii="EC Square Sans Cond Pro" w:hAnsi="EC Square Sans Cond Pro"/>
          <w:noProof/>
          <w:color w:val="4472C4" w:themeColor="accent1"/>
          <w:sz w:val="20"/>
        </w:rPr>
        <w:t>.</w:t>
      </w:r>
    </w:p>
    <w:p w14:paraId="2B8C7CC3" w14:textId="77777777" w:rsidR="002C51B4" w:rsidRPr="00ED1C75" w:rsidRDefault="002C51B4" w:rsidP="002C51B4">
      <w:pPr>
        <w:jc w:val="both"/>
        <w:rPr>
          <w:rFonts w:ascii="Times New Roman" w:hAnsi="Times New Roman" w:cs="Times New Roman"/>
          <w:noProof/>
          <w:sz w:val="24"/>
          <w:szCs w:val="24"/>
        </w:rPr>
      </w:pPr>
      <w:r>
        <w:rPr>
          <w:rFonts w:ascii="Times New Roman" w:hAnsi="Times New Roman"/>
          <w:noProof/>
          <w:sz w:val="24"/>
        </w:rPr>
        <w:t>L’UE dispose d’instruments stratégiques pour relever ces défis</w:t>
      </w:r>
      <w:r>
        <w:rPr>
          <w:rStyle w:val="FootnoteReference"/>
          <w:rFonts w:ascii="Times New Roman" w:eastAsia="Calibri" w:hAnsi="Times New Roman" w:cs="Times New Roman"/>
          <w:noProof/>
          <w:sz w:val="24"/>
          <w:szCs w:val="24"/>
          <w:lang w:val="en-IE"/>
        </w:rPr>
        <w:footnoteReference w:id="84"/>
      </w:r>
      <w:r>
        <w:rPr>
          <w:rFonts w:ascii="Times New Roman" w:hAnsi="Times New Roman"/>
          <w:noProof/>
          <w:sz w:val="24"/>
        </w:rPr>
        <w:t>. Les Fonds de cohésion, et en particulier le Fonds social européen plus (FSE +)</w:t>
      </w:r>
      <w:r w:rsidRPr="00ED1C75">
        <w:rPr>
          <w:rStyle w:val="FootnoteReference"/>
          <w:rFonts w:ascii="Times New Roman" w:eastAsia="Calibri" w:hAnsi="Times New Roman" w:cs="Times New Roman"/>
          <w:noProof/>
          <w:sz w:val="24"/>
          <w:szCs w:val="24"/>
          <w:lang w:val="en-IE"/>
        </w:rPr>
        <w:footnoteReference w:id="85"/>
      </w:r>
      <w:r>
        <w:rPr>
          <w:rFonts w:ascii="Times New Roman" w:hAnsi="Times New Roman"/>
          <w:noProof/>
          <w:sz w:val="24"/>
        </w:rPr>
        <w:t>, soutient les</w:t>
      </w:r>
      <w:r>
        <w:rPr>
          <w:rFonts w:ascii="Times New Roman" w:hAnsi="Times New Roman"/>
          <w:b/>
          <w:noProof/>
          <w:sz w:val="24"/>
        </w:rPr>
        <w:t xml:space="preserve"> investissements nationaux dans le capital humain</w:t>
      </w:r>
      <w:r>
        <w:rPr>
          <w:rFonts w:ascii="Times New Roman" w:hAnsi="Times New Roman"/>
          <w:noProof/>
          <w:sz w:val="24"/>
        </w:rPr>
        <w:t>. Grâce au</w:t>
      </w:r>
      <w:r>
        <w:rPr>
          <w:rFonts w:ascii="Times New Roman" w:hAnsi="Times New Roman"/>
          <w:b/>
          <w:noProof/>
          <w:sz w:val="24"/>
        </w:rPr>
        <w:t xml:space="preserve"> pacte pour les compétences</w:t>
      </w:r>
      <w:r>
        <w:rPr>
          <w:rFonts w:ascii="Times New Roman" w:hAnsi="Times New Roman"/>
          <w:noProof/>
          <w:sz w:val="24"/>
        </w:rPr>
        <w:t xml:space="preserve"> et aux partenariats spécifiques établis dans chacun des </w:t>
      </w:r>
      <w:r w:rsidRPr="00F3116B">
        <w:rPr>
          <w:rFonts w:ascii="Times New Roman" w:hAnsi="Times New Roman"/>
          <w:noProof/>
          <w:sz w:val="24"/>
        </w:rPr>
        <w:t>14</w:t>
      </w:r>
      <w:r>
        <w:rPr>
          <w:rFonts w:ascii="Times New Roman" w:hAnsi="Times New Roman"/>
          <w:noProof/>
          <w:sz w:val="24"/>
        </w:rPr>
        <w:t xml:space="preserve"> écosystèmes industriels, l’UE contribue au perfectionnement et à la reconversion nécessaires de millions de travailleurs dans l’ensemble des écosystèmes industriels. </w:t>
      </w:r>
      <w:r w:rsidRPr="00F3116B">
        <w:rPr>
          <w:rFonts w:ascii="Times New Roman" w:hAnsi="Times New Roman"/>
          <w:noProof/>
          <w:sz w:val="24"/>
        </w:rPr>
        <w:t>1</w:t>
      </w:r>
      <w:r>
        <w:rPr>
          <w:rFonts w:ascii="Times New Roman" w:hAnsi="Times New Roman"/>
          <w:noProof/>
          <w:sz w:val="24"/>
        </w:rPr>
        <w:t> </w:t>
      </w:r>
      <w:r w:rsidRPr="00F3116B">
        <w:rPr>
          <w:rFonts w:ascii="Times New Roman" w:hAnsi="Times New Roman"/>
          <w:noProof/>
          <w:sz w:val="24"/>
        </w:rPr>
        <w:t>500</w:t>
      </w:r>
      <w:r>
        <w:rPr>
          <w:rFonts w:ascii="Times New Roman" w:hAnsi="Times New Roman"/>
          <w:noProof/>
          <w:sz w:val="24"/>
        </w:rPr>
        <w:t xml:space="preserve"> partenaires économiques et sociaux se sont engagés à renforcer et à reconvertir </w:t>
      </w:r>
      <w:r w:rsidRPr="00F3116B">
        <w:rPr>
          <w:rFonts w:ascii="Times New Roman" w:hAnsi="Times New Roman"/>
          <w:noProof/>
          <w:sz w:val="24"/>
        </w:rPr>
        <w:t>10</w:t>
      </w:r>
      <w:r>
        <w:rPr>
          <w:rFonts w:ascii="Times New Roman" w:hAnsi="Times New Roman"/>
          <w:noProof/>
          <w:sz w:val="24"/>
        </w:rPr>
        <w:t xml:space="preserve"> millions de travailleurs d’ici à </w:t>
      </w:r>
      <w:r w:rsidRPr="00F3116B">
        <w:rPr>
          <w:rFonts w:ascii="Times New Roman" w:hAnsi="Times New Roman"/>
          <w:noProof/>
          <w:sz w:val="24"/>
        </w:rPr>
        <w:t>2030</w:t>
      </w:r>
      <w:r>
        <w:rPr>
          <w:rFonts w:ascii="Times New Roman" w:hAnsi="Times New Roman"/>
          <w:noProof/>
          <w:sz w:val="24"/>
        </w:rPr>
        <w:t xml:space="preserve">, et plus de </w:t>
      </w:r>
      <w:r w:rsidRPr="00F3116B">
        <w:rPr>
          <w:rFonts w:ascii="Times New Roman" w:hAnsi="Times New Roman"/>
          <w:noProof/>
          <w:sz w:val="24"/>
        </w:rPr>
        <w:t>15</w:t>
      </w:r>
      <w:r>
        <w:rPr>
          <w:rFonts w:ascii="Times New Roman" w:hAnsi="Times New Roman"/>
          <w:noProof/>
          <w:sz w:val="24"/>
        </w:rPr>
        <w:t> </w:t>
      </w:r>
      <w:r w:rsidRPr="00F3116B">
        <w:rPr>
          <w:rFonts w:ascii="Times New Roman" w:hAnsi="Times New Roman"/>
          <w:noProof/>
          <w:sz w:val="24"/>
        </w:rPr>
        <w:t>000</w:t>
      </w:r>
      <w:r>
        <w:rPr>
          <w:rFonts w:ascii="Times New Roman" w:hAnsi="Times New Roman"/>
          <w:noProof/>
          <w:sz w:val="24"/>
        </w:rPr>
        <w:t xml:space="preserve"> programmes de formation ont déjà été élaborés. Par ailleurs, dans le cadre du règlement pour une industrie «zéro net», la Commission soutient le lancement d’</w:t>
      </w:r>
      <w:r>
        <w:rPr>
          <w:rFonts w:ascii="Times New Roman" w:hAnsi="Times New Roman"/>
          <w:b/>
          <w:noProof/>
          <w:sz w:val="24"/>
        </w:rPr>
        <w:t>académies de compétences</w:t>
      </w:r>
      <w:r>
        <w:rPr>
          <w:rFonts w:ascii="Times New Roman" w:hAnsi="Times New Roman"/>
          <w:noProof/>
          <w:sz w:val="24"/>
        </w:rPr>
        <w:t xml:space="preserve"> afin de développer la fabrication et l’installation de technologies «zéro net» et des matières premières nécessaires à leur mise en œuvre</w:t>
      </w:r>
      <w:r w:rsidRPr="00ED1C75">
        <w:rPr>
          <w:rStyle w:val="FootnoteReference"/>
          <w:rFonts w:ascii="Times New Roman" w:hAnsi="Times New Roman" w:cs="Times New Roman"/>
          <w:noProof/>
          <w:sz w:val="24"/>
          <w:szCs w:val="24"/>
          <w:lang w:val="en-IE"/>
        </w:rPr>
        <w:footnoteReference w:id="86"/>
      </w:r>
      <w:r>
        <w:rPr>
          <w:rFonts w:ascii="Times New Roman" w:hAnsi="Times New Roman"/>
          <w:noProof/>
          <w:sz w:val="24"/>
        </w:rPr>
        <w:t>. L’instrument d’appui technique aide également les États membres à concevoir et à mettre en œuvre des réformes structurelles visant à promouvoir le perfectionnement et la reconversion de la population et à améliorer les compétences des jeunes. Le mécanisme de valorisation des talents</w:t>
      </w:r>
      <w:r w:rsidRPr="003D5F3F">
        <w:rPr>
          <w:rStyle w:val="FootnoteReference"/>
          <w:rFonts w:ascii="Times New Roman" w:hAnsi="Times New Roman" w:cs="Times New Roman"/>
          <w:noProof/>
          <w:sz w:val="24"/>
          <w:szCs w:val="24"/>
          <w:lang w:val="en-IE"/>
        </w:rPr>
        <w:footnoteReference w:id="87"/>
      </w:r>
      <w:r>
        <w:rPr>
          <w:rFonts w:ascii="Times New Roman" w:hAnsi="Times New Roman"/>
          <w:noProof/>
          <w:sz w:val="24"/>
        </w:rPr>
        <w:t xml:space="preserve"> soutient les régions de l’UE touchées par le déclin accéléré de leur population en âge de travailler.</w:t>
      </w:r>
    </w:p>
    <w:p w14:paraId="479B1E14" w14:textId="77777777" w:rsidR="002C51B4" w:rsidRPr="00A371AF" w:rsidRDefault="002C51B4" w:rsidP="002C51B4">
      <w:pPr>
        <w:jc w:val="both"/>
        <w:rPr>
          <w:rFonts w:ascii="Times New Roman" w:hAnsi="Times New Roman" w:cs="Times New Roman"/>
          <w:noProof/>
          <w:sz w:val="24"/>
          <w:szCs w:val="24"/>
        </w:rPr>
      </w:pPr>
      <w:r>
        <w:rPr>
          <w:rFonts w:ascii="Times New Roman" w:hAnsi="Times New Roman"/>
          <w:b/>
          <w:noProof/>
          <w:sz w:val="24"/>
        </w:rPr>
        <w:t>La mobilité des travailleurs</w:t>
      </w:r>
      <w:r>
        <w:rPr>
          <w:rFonts w:ascii="Times New Roman" w:hAnsi="Times New Roman"/>
          <w:noProof/>
          <w:sz w:val="24"/>
        </w:rPr>
        <w:t xml:space="preserve"> au sein du marché unique peut contribuer à atténuer les pénuries de compétences</w:t>
      </w:r>
      <w:r w:rsidRPr="00ED1C75">
        <w:rPr>
          <w:rStyle w:val="FootnoteReference"/>
          <w:rFonts w:ascii="Times New Roman" w:hAnsi="Times New Roman" w:cs="Times New Roman"/>
          <w:noProof/>
          <w:sz w:val="24"/>
          <w:szCs w:val="24"/>
          <w:lang w:val="en-IE"/>
        </w:rPr>
        <w:footnoteReference w:id="88"/>
      </w:r>
      <w:r>
        <w:rPr>
          <w:rFonts w:ascii="Times New Roman" w:hAnsi="Times New Roman"/>
          <w:noProof/>
          <w:sz w:val="24"/>
        </w:rPr>
        <w:t>. Toutefois, à ce jour, elle concerne relativement peu de travailleurs de l’UE (</w:t>
      </w:r>
      <w:r w:rsidRPr="00F3116B">
        <w:rPr>
          <w:rFonts w:ascii="Times New Roman" w:hAnsi="Times New Roman"/>
          <w:noProof/>
          <w:sz w:val="24"/>
        </w:rPr>
        <w:t>3</w:t>
      </w:r>
      <w:r>
        <w:rPr>
          <w:rFonts w:ascii="Times New Roman" w:hAnsi="Times New Roman"/>
          <w:noProof/>
          <w:sz w:val="24"/>
        </w:rPr>
        <w:t>,</w:t>
      </w:r>
      <w:r w:rsidRPr="00F3116B">
        <w:rPr>
          <w:rFonts w:ascii="Times New Roman" w:hAnsi="Times New Roman"/>
          <w:noProof/>
          <w:sz w:val="24"/>
        </w:rPr>
        <w:t>8</w:t>
      </w:r>
      <w:r>
        <w:rPr>
          <w:rFonts w:ascii="Times New Roman" w:hAnsi="Times New Roman"/>
          <w:noProof/>
          <w:sz w:val="24"/>
        </w:rPr>
        <w:t> %</w:t>
      </w:r>
      <w:r>
        <w:rPr>
          <w:rStyle w:val="FootnoteReference"/>
          <w:rFonts w:ascii="Times New Roman" w:hAnsi="Times New Roman" w:cs="Times New Roman"/>
          <w:noProof/>
          <w:sz w:val="24"/>
          <w:szCs w:val="24"/>
          <w:lang w:val="en-IE"/>
        </w:rPr>
        <w:footnoteReference w:id="89"/>
      </w:r>
      <w:r>
        <w:rPr>
          <w:rFonts w:ascii="Times New Roman" w:hAnsi="Times New Roman"/>
          <w:noProof/>
          <w:sz w:val="24"/>
        </w:rPr>
        <w:t xml:space="preserve">) et est beaucoup plus répandue chez les travailleurs hautement qualifiés. Seules </w:t>
      </w:r>
      <w:r w:rsidRPr="00F3116B">
        <w:rPr>
          <w:rFonts w:ascii="Times New Roman" w:hAnsi="Times New Roman"/>
          <w:noProof/>
          <w:sz w:val="24"/>
        </w:rPr>
        <w:t>14</w:t>
      </w:r>
      <w:r>
        <w:rPr>
          <w:rFonts w:ascii="Times New Roman" w:hAnsi="Times New Roman"/>
          <w:noProof/>
          <w:sz w:val="24"/>
        </w:rPr>
        <w:t xml:space="preserve"> % des PME de l’UE (contre </w:t>
      </w:r>
      <w:r w:rsidRPr="00F3116B">
        <w:rPr>
          <w:rFonts w:ascii="Times New Roman" w:hAnsi="Times New Roman"/>
          <w:noProof/>
          <w:sz w:val="24"/>
        </w:rPr>
        <w:t>30</w:t>
      </w:r>
      <w:r>
        <w:rPr>
          <w:rFonts w:ascii="Times New Roman" w:hAnsi="Times New Roman"/>
          <w:noProof/>
          <w:sz w:val="24"/>
        </w:rPr>
        <w:t> % des grandes entreprises) ont tenté de recruter du personnel dans d’autres États membres de l’UE</w:t>
      </w:r>
      <w:bookmarkStart w:id="45" w:name="_Ref151652968"/>
      <w:r w:rsidRPr="6D71762B">
        <w:rPr>
          <w:rStyle w:val="FootnoteReference"/>
          <w:rFonts w:ascii="Times New Roman" w:hAnsi="Times New Roman" w:cs="Times New Roman"/>
          <w:noProof/>
          <w:sz w:val="24"/>
          <w:szCs w:val="24"/>
          <w:lang w:val="en-IE"/>
        </w:rPr>
        <w:footnoteReference w:id="90"/>
      </w:r>
      <w:bookmarkEnd w:id="45"/>
      <w:r>
        <w:rPr>
          <w:rFonts w:ascii="Times New Roman" w:hAnsi="Times New Roman"/>
          <w:noProof/>
          <w:sz w:val="24"/>
        </w:rPr>
        <w:t>. Les exigences réglementaires ou administratives entravent souvent la mobilité</w:t>
      </w:r>
      <w:r>
        <w:rPr>
          <w:rFonts w:ascii="Times New Roman" w:hAnsi="Times New Roman"/>
          <w:noProof/>
          <w:sz w:val="24"/>
          <w:vertAlign w:val="superscript"/>
        </w:rPr>
        <w:t xml:space="preserve"> </w:t>
      </w:r>
      <w:r>
        <w:rPr>
          <w:rFonts w:ascii="Times New Roman" w:hAnsi="Times New Roman"/>
          <w:noProof/>
          <w:sz w:val="24"/>
        </w:rPr>
        <w:t>de la main-d’œuvre et une simplification est nécessaire. Lorsqu’ils s'établissent dans un autre État membre pour travailler, les citoyens de l’UE sont confrontés à des pratiques d’enregistrement différentes auprès des autorités locales et à des différences concernant l’accès aux systèmes informatiques nationaux.</w:t>
      </w:r>
      <w:bookmarkStart w:id="46" w:name="_Ref157104085"/>
      <w:r w:rsidRPr="09C57C7C">
        <w:rPr>
          <w:rStyle w:val="FootnoteReference"/>
          <w:rFonts w:ascii="Times New Roman" w:hAnsi="Times New Roman" w:cs="Times New Roman"/>
          <w:noProof/>
          <w:sz w:val="24"/>
          <w:szCs w:val="24"/>
          <w:lang w:val="en-IE"/>
        </w:rPr>
        <w:footnoteReference w:id="91"/>
      </w:r>
      <w:bookmarkEnd w:id="46"/>
      <w:r>
        <w:rPr>
          <w:rFonts w:ascii="Times New Roman" w:hAnsi="Times New Roman"/>
          <w:noProof/>
          <w:sz w:val="24"/>
        </w:rPr>
        <w:t xml:space="preserve"> Le taux de </w:t>
      </w:r>
      <w:r>
        <w:rPr>
          <w:rFonts w:ascii="Times New Roman" w:hAnsi="Times New Roman"/>
          <w:b/>
          <w:noProof/>
          <w:sz w:val="24"/>
        </w:rPr>
        <w:t>reconnaissance des qualifications professionnelles</w:t>
      </w:r>
      <w:r>
        <w:rPr>
          <w:rFonts w:ascii="Times New Roman" w:hAnsi="Times New Roman"/>
          <w:noProof/>
          <w:sz w:val="24"/>
        </w:rPr>
        <w:t xml:space="preserve"> permettant l’accès à une profession réglementée dans un autre État membre est raisonnablement élevé dans la grande majorité des États membres, mais des exigences restrictives en matière de qualifications et des procédures longues subsistent pour certaines professions et certains pays</w:t>
      </w:r>
      <w:r>
        <w:rPr>
          <w:rStyle w:val="FootnoteReference"/>
          <w:rFonts w:ascii="Times New Roman" w:hAnsi="Times New Roman" w:cs="Times New Roman"/>
          <w:noProof/>
          <w:sz w:val="24"/>
          <w:szCs w:val="24"/>
          <w:lang w:val="en-IE"/>
        </w:rPr>
        <w:footnoteReference w:id="92"/>
      </w:r>
      <w:r>
        <w:rPr>
          <w:rFonts w:ascii="Times New Roman" w:hAnsi="Times New Roman"/>
          <w:noProof/>
          <w:sz w:val="24"/>
        </w:rPr>
        <w:t xml:space="preserve">. Afin d’attirer plus facilement les </w:t>
      </w:r>
      <w:r>
        <w:rPr>
          <w:rFonts w:ascii="Times New Roman" w:hAnsi="Times New Roman"/>
          <w:b/>
          <w:noProof/>
          <w:sz w:val="24"/>
        </w:rPr>
        <w:t>travailleurs de pays tiers</w:t>
      </w:r>
      <w:r>
        <w:rPr>
          <w:rFonts w:ascii="Times New Roman" w:hAnsi="Times New Roman"/>
          <w:noProof/>
          <w:sz w:val="24"/>
        </w:rPr>
        <w:t>, le train de mesures de la Commission sur les compétences et la mobilité des talents</w:t>
      </w:r>
      <w:r>
        <w:rPr>
          <w:rStyle w:val="FootnoteReference"/>
          <w:rFonts w:ascii="Times New Roman" w:hAnsi="Times New Roman" w:cs="Times New Roman"/>
          <w:noProof/>
          <w:sz w:val="24"/>
          <w:szCs w:val="24"/>
          <w:lang w:val="en-IE"/>
        </w:rPr>
        <w:footnoteReference w:id="93"/>
      </w:r>
      <w:r>
        <w:rPr>
          <w:rFonts w:ascii="Times New Roman" w:hAnsi="Times New Roman"/>
          <w:noProof/>
          <w:sz w:val="24"/>
        </w:rPr>
        <w:t xml:space="preserve"> comporte des recommandations aux États membres sur la manière de faciliter la reconnaissance des qualifications des ressortissants de pays tiers</w:t>
      </w:r>
      <w:r>
        <w:rPr>
          <w:rStyle w:val="FootnoteReference"/>
          <w:rFonts w:ascii="Times New Roman" w:hAnsi="Times New Roman" w:cs="Times New Roman"/>
          <w:noProof/>
          <w:sz w:val="24"/>
          <w:szCs w:val="24"/>
        </w:rPr>
        <w:footnoteReference w:id="94"/>
      </w:r>
      <w:r>
        <w:rPr>
          <w:rFonts w:ascii="Times New Roman" w:hAnsi="Times New Roman"/>
          <w:noProof/>
          <w:sz w:val="24"/>
        </w:rPr>
        <w:t xml:space="preserve"> et une proposition de règlement relatif à la création d’un réservoir européen de talents</w:t>
      </w:r>
      <w:r w:rsidRPr="00A371AF">
        <w:rPr>
          <w:rStyle w:val="FootnoteReference"/>
          <w:rFonts w:ascii="Times New Roman" w:hAnsi="Times New Roman" w:cs="Times New Roman"/>
          <w:noProof/>
          <w:sz w:val="24"/>
          <w:szCs w:val="24"/>
        </w:rPr>
        <w:footnoteReference w:id="95"/>
      </w:r>
      <w:r>
        <w:rPr>
          <w:rFonts w:ascii="Times New Roman" w:hAnsi="Times New Roman"/>
          <w:noProof/>
          <w:sz w:val="24"/>
        </w:rPr>
        <w:t>.</w:t>
      </w:r>
    </w:p>
    <w:p w14:paraId="24DDCBEB" w14:textId="77777777" w:rsidR="002C51B4" w:rsidRDefault="002C51B4" w:rsidP="002C51B4">
      <w:pPr>
        <w:jc w:val="both"/>
        <w:rPr>
          <w:rFonts w:ascii="Times New Roman" w:hAnsi="Times New Roman" w:cs="Times New Roman"/>
          <w:noProof/>
          <w:sz w:val="24"/>
          <w:szCs w:val="24"/>
        </w:rPr>
      </w:pPr>
      <w:r>
        <w:rPr>
          <w:rFonts w:ascii="Times New Roman" w:hAnsi="Times New Roman"/>
          <w:noProof/>
          <w:sz w:val="24"/>
        </w:rPr>
        <w:t xml:space="preserve">Dans le prolongement du sommet des partenaires sociaux de Val Duchesse, qui s’est tenu le </w:t>
      </w:r>
      <w:r w:rsidRPr="00F3116B">
        <w:rPr>
          <w:rFonts w:ascii="Times New Roman" w:hAnsi="Times New Roman"/>
          <w:noProof/>
          <w:sz w:val="24"/>
        </w:rPr>
        <w:t>31</w:t>
      </w:r>
      <w:r>
        <w:rPr>
          <w:rFonts w:ascii="Times New Roman" w:hAnsi="Times New Roman"/>
          <w:noProof/>
          <w:sz w:val="24"/>
        </w:rPr>
        <w:t xml:space="preserve"> janvier </w:t>
      </w:r>
      <w:r w:rsidRPr="00F3116B">
        <w:rPr>
          <w:rFonts w:ascii="Times New Roman" w:hAnsi="Times New Roman"/>
          <w:noProof/>
          <w:sz w:val="24"/>
        </w:rPr>
        <w:t>2024</w:t>
      </w:r>
      <w:r>
        <w:rPr>
          <w:rFonts w:ascii="Times New Roman" w:hAnsi="Times New Roman"/>
          <w:noProof/>
          <w:sz w:val="24"/>
        </w:rPr>
        <w:t xml:space="preserve">, la Commission, en coopération avec les partenaires sociaux, présentera, d’ici au printemps </w:t>
      </w:r>
      <w:r w:rsidRPr="00F3116B">
        <w:rPr>
          <w:rFonts w:ascii="Times New Roman" w:hAnsi="Times New Roman"/>
          <w:noProof/>
          <w:sz w:val="24"/>
        </w:rPr>
        <w:t>2024</w:t>
      </w:r>
      <w:r>
        <w:rPr>
          <w:rFonts w:ascii="Times New Roman" w:hAnsi="Times New Roman"/>
          <w:noProof/>
          <w:sz w:val="24"/>
        </w:rPr>
        <w:t xml:space="preserve">, un plan d’action pour remédier aux pénuries de main-d’œuvre et de compétences. </w:t>
      </w:r>
    </w:p>
    <w:p w14:paraId="6BE4CA5D" w14:textId="77777777" w:rsidR="002C51B4" w:rsidRDefault="002C51B4" w:rsidP="002C51B4">
      <w:pPr>
        <w:rPr>
          <w:noProof/>
        </w:rPr>
      </w:pPr>
      <w:r>
        <w:rPr>
          <w:noProof/>
        </w:rPr>
        <w:br w:type="page"/>
      </w:r>
    </w:p>
    <w:tbl>
      <w:tblPr>
        <w:tblStyle w:val="TableGrid"/>
        <w:tblW w:w="0" w:type="auto"/>
        <w:tblInd w:w="108" w:type="dxa"/>
        <w:tblLook w:val="04A0" w:firstRow="1" w:lastRow="0" w:firstColumn="1" w:lastColumn="0" w:noHBand="0" w:noVBand="1"/>
      </w:tblPr>
      <w:tblGrid>
        <w:gridCol w:w="9468"/>
      </w:tblGrid>
      <w:tr w:rsidR="002C51B4" w14:paraId="57910CD7" w14:textId="77777777" w:rsidTr="00BB6538">
        <w:tc>
          <w:tcPr>
            <w:tcW w:w="9468" w:type="dxa"/>
          </w:tcPr>
          <w:p w14:paraId="43344360" w14:textId="77777777" w:rsidR="002C51B4" w:rsidRDefault="002C51B4" w:rsidP="00BB6538">
            <w:pPr>
              <w:spacing w:before="120" w:after="120"/>
              <w:jc w:val="both"/>
              <w:rPr>
                <w:rFonts w:ascii="Times New Roman" w:hAnsi="Times New Roman" w:cs="Times New Roman"/>
                <w:noProof/>
                <w:sz w:val="24"/>
                <w:szCs w:val="24"/>
              </w:rPr>
            </w:pPr>
            <w:r>
              <w:rPr>
                <w:rFonts w:ascii="Times New Roman" w:hAnsi="Times New Roman"/>
                <w:noProof/>
                <w:sz w:val="24"/>
              </w:rPr>
              <w:t xml:space="preserve">Une utilisation plus efficace et plus ciblée des fonds de l’UE pour investir dans l’éducation et les compétences à l’échelle nationale, par exemple pour soutenir des mesures relevant du pacte pour les compétences et des académies de compétences «zéro net», peut contribuer à faire progresser l’objectif d’aligner l’éducation et la formation avec les compétences recherchées. </w:t>
            </w:r>
          </w:p>
          <w:p w14:paraId="4709A1CD" w14:textId="77777777" w:rsidR="002C51B4" w:rsidRDefault="002C51B4" w:rsidP="00BB6538">
            <w:pPr>
              <w:spacing w:before="120" w:after="120"/>
              <w:jc w:val="both"/>
              <w:rPr>
                <w:rFonts w:ascii="Times New Roman" w:hAnsi="Times New Roman" w:cs="Times New Roman"/>
                <w:noProof/>
                <w:sz w:val="24"/>
                <w:szCs w:val="24"/>
              </w:rPr>
            </w:pPr>
            <w:r>
              <w:rPr>
                <w:rFonts w:ascii="Times New Roman" w:hAnsi="Times New Roman"/>
                <w:noProof/>
                <w:sz w:val="24"/>
              </w:rPr>
              <w:t>En outre, la mobilité des travailleurs et des prestataires de services pourrait être facilitée par des exigences d’accès proportionnées pour les professions réglementées, une reconnaissance plus aisée des qualifications professionnelles et des pratiques d’enregistrement plus simples et numérisées pour les citoyens qui se déplacent dans un autre État membre.</w:t>
            </w:r>
          </w:p>
        </w:tc>
      </w:tr>
    </w:tbl>
    <w:p w14:paraId="72A66600" w14:textId="77777777" w:rsidR="002C51B4" w:rsidRPr="00304BEE" w:rsidRDefault="002C51B4" w:rsidP="002C51B4">
      <w:pPr>
        <w:pStyle w:val="ListParagraph"/>
        <w:spacing w:after="0" w:line="240" w:lineRule="auto"/>
        <w:jc w:val="both"/>
        <w:rPr>
          <w:rFonts w:ascii="Times New Roman" w:hAnsi="Times New Roman" w:cs="Times New Roman"/>
          <w:noProof/>
          <w:sz w:val="24"/>
          <w:szCs w:val="24"/>
        </w:rPr>
      </w:pPr>
      <w:bookmarkStart w:id="47" w:name="_Hlk153464205"/>
      <w:bookmarkStart w:id="48" w:name="_Hlk153472218"/>
    </w:p>
    <w:p w14:paraId="74A3FC4B" w14:textId="77777777" w:rsidR="002C51B4" w:rsidRPr="00EE4D04" w:rsidRDefault="002C51B4" w:rsidP="002C51B4">
      <w:pPr>
        <w:pStyle w:val="ListParagraph"/>
        <w:numPr>
          <w:ilvl w:val="0"/>
          <w:numId w:val="43"/>
        </w:numPr>
        <w:spacing w:before="360" w:after="240" w:line="240" w:lineRule="auto"/>
        <w:jc w:val="both"/>
        <w:rPr>
          <w:rFonts w:ascii="Times New Roman" w:hAnsi="Times New Roman" w:cs="Times New Roman"/>
          <w:noProof/>
          <w:sz w:val="24"/>
          <w:szCs w:val="24"/>
        </w:rPr>
      </w:pPr>
      <w:r>
        <w:rPr>
          <w:rFonts w:ascii="Times New Roman" w:hAnsi="Times New Roman"/>
          <w:b/>
          <w:noProof/>
          <w:sz w:val="24"/>
          <w:u w:val="single"/>
        </w:rPr>
        <w:t>Commerce et autonomie stratégique ouverte</w:t>
      </w:r>
    </w:p>
    <w:tbl>
      <w:tblPr>
        <w:tblW w:w="5025" w:type="pct"/>
        <w:tblCellMar>
          <w:left w:w="0" w:type="dxa"/>
          <w:right w:w="0" w:type="dxa"/>
        </w:tblCellMar>
        <w:tblLook w:val="01E0" w:firstRow="1" w:lastRow="1" w:firstColumn="1" w:lastColumn="1" w:noHBand="0" w:noVBand="0"/>
      </w:tblPr>
      <w:tblGrid>
        <w:gridCol w:w="2437"/>
        <w:gridCol w:w="3738"/>
        <w:gridCol w:w="1176"/>
        <w:gridCol w:w="2056"/>
      </w:tblGrid>
      <w:tr w:rsidR="002C51B4" w:rsidRPr="009859BA" w14:paraId="1AD724B6" w14:textId="77777777" w:rsidTr="00F34019">
        <w:trPr>
          <w:trHeight w:hRule="exact" w:val="589"/>
        </w:trPr>
        <w:tc>
          <w:tcPr>
            <w:tcW w:w="1295" w:type="pct"/>
            <w:tcBorders>
              <w:top w:val="single" w:sz="4" w:space="0" w:color="auto"/>
              <w:bottom w:val="single" w:sz="4" w:space="0" w:color="auto"/>
            </w:tcBorders>
            <w:shd w:val="clear" w:color="auto" w:fill="B8CCE4"/>
            <w:vAlign w:val="center"/>
          </w:tcPr>
          <w:p w14:paraId="5212B178" w14:textId="77777777" w:rsidR="002C51B4" w:rsidRPr="000A23DA" w:rsidRDefault="002C51B4" w:rsidP="00BB6538">
            <w:pPr>
              <w:widowControl w:val="0"/>
              <w:autoSpaceDE w:val="0"/>
              <w:autoSpaceDN w:val="0"/>
              <w:spacing w:before="60" w:after="60" w:line="240" w:lineRule="auto"/>
              <w:ind w:left="107" w:right="138"/>
              <w:rPr>
                <w:rFonts w:ascii="Times New Roman" w:eastAsia="Times New Roman" w:hAnsi="Times New Roman" w:cs="Times New Roman"/>
                <w:noProof/>
                <w:color w:val="111111"/>
                <w:sz w:val="18"/>
                <w:szCs w:val="18"/>
              </w:rPr>
            </w:pPr>
            <w:r>
              <w:rPr>
                <w:rFonts w:ascii="Times New Roman" w:hAnsi="Times New Roman"/>
                <w:b/>
                <w:noProof/>
                <w:color w:val="003063"/>
                <w:sz w:val="18"/>
              </w:rPr>
              <w:t>ICP</w:t>
            </w:r>
          </w:p>
        </w:tc>
        <w:tc>
          <w:tcPr>
            <w:tcW w:w="1987" w:type="pct"/>
            <w:tcBorders>
              <w:top w:val="single" w:sz="4" w:space="0" w:color="auto"/>
              <w:bottom w:val="single" w:sz="4" w:space="0" w:color="auto"/>
            </w:tcBorders>
            <w:shd w:val="clear" w:color="auto" w:fill="B8CCE4"/>
            <w:vAlign w:val="center"/>
          </w:tcPr>
          <w:p w14:paraId="322F3BE9" w14:textId="77777777" w:rsidR="002C51B4" w:rsidRPr="000A23DA" w:rsidRDefault="002C51B4" w:rsidP="00BB6538">
            <w:pPr>
              <w:widowControl w:val="0"/>
              <w:autoSpaceDE w:val="0"/>
              <w:autoSpaceDN w:val="0"/>
              <w:spacing w:before="60" w:after="60" w:line="240" w:lineRule="auto"/>
              <w:ind w:left="107" w:right="139"/>
              <w:jc w:val="both"/>
              <w:rPr>
                <w:rFonts w:ascii="Times New Roman" w:eastAsia="Times New Roman" w:hAnsi="Times New Roman" w:cs="Times New Roman"/>
                <w:noProof/>
                <w:sz w:val="18"/>
                <w:szCs w:val="18"/>
              </w:rPr>
            </w:pPr>
            <w:r>
              <w:rPr>
                <w:rFonts w:ascii="Times New Roman" w:hAnsi="Times New Roman"/>
                <w:b/>
                <w:noProof/>
                <w:color w:val="003063"/>
                <w:sz w:val="18"/>
              </w:rPr>
              <w:t>Description</w:t>
            </w:r>
          </w:p>
        </w:tc>
        <w:tc>
          <w:tcPr>
            <w:tcW w:w="625" w:type="pct"/>
            <w:tcBorders>
              <w:top w:val="single" w:sz="4" w:space="0" w:color="auto"/>
              <w:bottom w:val="single" w:sz="4" w:space="0" w:color="auto"/>
            </w:tcBorders>
            <w:shd w:val="clear" w:color="auto" w:fill="B8CCE4"/>
            <w:vAlign w:val="center"/>
          </w:tcPr>
          <w:p w14:paraId="591A2206" w14:textId="77777777" w:rsidR="002C51B4" w:rsidRPr="000A23DA" w:rsidRDefault="002C51B4" w:rsidP="00BB6538">
            <w:pPr>
              <w:widowControl w:val="0"/>
              <w:autoSpaceDE w:val="0"/>
              <w:autoSpaceDN w:val="0"/>
              <w:spacing w:before="60" w:after="60" w:line="240" w:lineRule="auto"/>
              <w:ind w:left="107"/>
              <w:rPr>
                <w:rFonts w:ascii="Times New Roman" w:eastAsia="Times New Roman" w:hAnsi="Times New Roman" w:cs="Times New Roman"/>
                <w:noProof/>
                <w:spacing w:val="-5"/>
                <w:sz w:val="18"/>
                <w:szCs w:val="18"/>
              </w:rPr>
            </w:pPr>
            <w:r>
              <w:rPr>
                <w:rFonts w:ascii="Times New Roman" w:hAnsi="Times New Roman"/>
                <w:b/>
                <w:noProof/>
                <w:color w:val="003063"/>
                <w:sz w:val="18"/>
              </w:rPr>
              <w:t>Objectif</w:t>
            </w:r>
          </w:p>
        </w:tc>
        <w:tc>
          <w:tcPr>
            <w:tcW w:w="1093" w:type="pct"/>
            <w:tcBorders>
              <w:top w:val="single" w:sz="4" w:space="0" w:color="auto"/>
              <w:bottom w:val="single" w:sz="4" w:space="0" w:color="auto"/>
            </w:tcBorders>
            <w:shd w:val="clear" w:color="auto" w:fill="B8CCE4"/>
            <w:vAlign w:val="center"/>
          </w:tcPr>
          <w:p w14:paraId="5A982BDA" w14:textId="77777777" w:rsidR="002C51B4" w:rsidRPr="000A23DA" w:rsidRDefault="002C51B4" w:rsidP="00BB6538">
            <w:pPr>
              <w:widowControl w:val="0"/>
              <w:autoSpaceDE w:val="0"/>
              <w:autoSpaceDN w:val="0"/>
              <w:spacing w:before="60" w:after="60" w:line="240" w:lineRule="auto"/>
              <w:ind w:left="107"/>
              <w:rPr>
                <w:rFonts w:ascii="Times New Roman" w:eastAsia="Times New Roman" w:hAnsi="Times New Roman" w:cs="Times New Roman"/>
                <w:noProof/>
                <w:sz w:val="18"/>
                <w:szCs w:val="18"/>
              </w:rPr>
            </w:pPr>
            <w:r>
              <w:rPr>
                <w:rFonts w:ascii="Times New Roman" w:hAnsi="Times New Roman"/>
                <w:b/>
                <w:noProof/>
                <w:color w:val="003063"/>
                <w:sz w:val="18"/>
              </w:rPr>
              <w:t>Valeurs UE</w:t>
            </w:r>
            <w:r>
              <w:rPr>
                <w:rFonts w:ascii="Times New Roman" w:hAnsi="Times New Roman"/>
                <w:b/>
                <w:noProof/>
                <w:sz w:val="18"/>
              </w:rPr>
              <w:t xml:space="preserve"> </w:t>
            </w:r>
            <w:r>
              <w:rPr>
                <w:rFonts w:ascii="Times New Roman" w:hAnsi="Times New Roman"/>
                <w:b/>
                <w:noProof/>
                <w:color w:val="003063"/>
                <w:sz w:val="18"/>
              </w:rPr>
              <w:t>les plus récentes</w:t>
            </w:r>
            <w:r>
              <w:rPr>
                <w:rStyle w:val="FootnoteReference"/>
                <w:rFonts w:ascii="Times New Roman" w:eastAsia="Palatino Linotype" w:hAnsi="Times New Roman" w:cs="Times New Roman"/>
                <w:b/>
                <w:noProof/>
                <w:color w:val="003063"/>
                <w:spacing w:val="26"/>
                <w:w w:val="90"/>
                <w:sz w:val="18"/>
                <w:szCs w:val="18"/>
                <w:lang w:val="en-US"/>
              </w:rPr>
              <w:footnoteReference w:id="96"/>
            </w:r>
          </w:p>
        </w:tc>
      </w:tr>
      <w:tr w:rsidR="002C51B4" w:rsidRPr="009859BA" w14:paraId="5D6D7559" w14:textId="77777777" w:rsidTr="00BB6538">
        <w:trPr>
          <w:trHeight w:val="699"/>
        </w:trPr>
        <w:tc>
          <w:tcPr>
            <w:tcW w:w="1295" w:type="pct"/>
            <w:tcBorders>
              <w:top w:val="single" w:sz="4" w:space="0" w:color="auto"/>
              <w:bottom w:val="single" w:sz="4" w:space="0" w:color="808080" w:themeColor="background1" w:themeShade="80"/>
            </w:tcBorders>
            <w:shd w:val="clear" w:color="auto" w:fill="C2D69B"/>
          </w:tcPr>
          <w:p w14:paraId="4AA81DC7" w14:textId="77777777" w:rsidR="002C51B4" w:rsidRPr="000A23DA" w:rsidRDefault="002C51B4" w:rsidP="00BB6538">
            <w:pPr>
              <w:widowControl w:val="0"/>
              <w:autoSpaceDE w:val="0"/>
              <w:autoSpaceDN w:val="0"/>
              <w:spacing w:before="60" w:after="60" w:line="240" w:lineRule="auto"/>
              <w:ind w:left="107" w:right="138"/>
              <w:rPr>
                <w:rFonts w:ascii="Times New Roman" w:eastAsia="Times New Roman" w:hAnsi="Times New Roman" w:cs="Times New Roman"/>
                <w:noProof/>
                <w:sz w:val="18"/>
                <w:szCs w:val="18"/>
              </w:rPr>
            </w:pPr>
            <w:r>
              <w:rPr>
                <w:rFonts w:ascii="Times New Roman" w:hAnsi="Times New Roman"/>
                <w:noProof/>
                <w:color w:val="111111"/>
                <w:sz w:val="18"/>
              </w:rPr>
              <w:t>ICP</w:t>
            </w:r>
            <w:r>
              <w:rPr>
                <w:rFonts w:ascii="Times New Roman" w:hAnsi="Times New Roman"/>
                <w:noProof/>
                <w:sz w:val="18"/>
              </w:rPr>
              <w:t> </w:t>
            </w:r>
            <w:r w:rsidRPr="00F3116B">
              <w:rPr>
                <w:rFonts w:ascii="Times New Roman" w:hAnsi="Times New Roman"/>
                <w:noProof/>
                <w:sz w:val="18"/>
              </w:rPr>
              <w:t>16</w:t>
            </w:r>
            <w:r>
              <w:rPr>
                <w:rFonts w:ascii="Times New Roman" w:hAnsi="Times New Roman"/>
                <w:noProof/>
                <w:sz w:val="18"/>
              </w:rPr>
              <w:t>: Échanges commerciaux avec le reste du monde (en pourcentage du PIB)</w:t>
            </w:r>
          </w:p>
        </w:tc>
        <w:tc>
          <w:tcPr>
            <w:tcW w:w="1987" w:type="pct"/>
            <w:tcBorders>
              <w:top w:val="single" w:sz="4" w:space="0" w:color="auto"/>
              <w:bottom w:val="single" w:sz="4" w:space="0" w:color="808080" w:themeColor="background1" w:themeShade="80"/>
            </w:tcBorders>
            <w:shd w:val="clear" w:color="auto" w:fill="C2D69B"/>
          </w:tcPr>
          <w:p w14:paraId="2E8B35F5" w14:textId="77777777" w:rsidR="002C51B4" w:rsidRPr="000A23DA" w:rsidRDefault="002C51B4" w:rsidP="00BB6538">
            <w:pPr>
              <w:widowControl w:val="0"/>
              <w:autoSpaceDE w:val="0"/>
              <w:autoSpaceDN w:val="0"/>
              <w:spacing w:before="60" w:after="60" w:line="240" w:lineRule="auto"/>
              <w:ind w:left="107" w:right="139"/>
              <w:jc w:val="both"/>
              <w:rPr>
                <w:rFonts w:ascii="Times New Roman" w:eastAsia="Times New Roman" w:hAnsi="Times New Roman" w:cs="Times New Roman"/>
                <w:noProof/>
                <w:sz w:val="18"/>
                <w:szCs w:val="18"/>
              </w:rPr>
            </w:pPr>
            <w:r>
              <w:rPr>
                <w:rFonts w:ascii="Times New Roman" w:hAnsi="Times New Roman"/>
                <w:noProof/>
                <w:sz w:val="18"/>
              </w:rPr>
              <w:t>Échanges commerciaux avec le reste du monde (en pourcentage du PIB)</w:t>
            </w:r>
          </w:p>
        </w:tc>
        <w:tc>
          <w:tcPr>
            <w:tcW w:w="625" w:type="pct"/>
            <w:tcBorders>
              <w:top w:val="single" w:sz="4" w:space="0" w:color="auto"/>
              <w:bottom w:val="single" w:sz="4" w:space="0" w:color="808080" w:themeColor="background1" w:themeShade="80"/>
            </w:tcBorders>
            <w:shd w:val="clear" w:color="auto" w:fill="C2D69B"/>
          </w:tcPr>
          <w:p w14:paraId="2DA1C99A" w14:textId="77777777" w:rsidR="002C51B4" w:rsidRPr="000A23DA" w:rsidRDefault="002C51B4" w:rsidP="00BB6538">
            <w:pPr>
              <w:widowControl w:val="0"/>
              <w:autoSpaceDE w:val="0"/>
              <w:autoSpaceDN w:val="0"/>
              <w:spacing w:before="60" w:after="60" w:line="240" w:lineRule="auto"/>
              <w:ind w:left="107"/>
              <w:rPr>
                <w:rFonts w:ascii="Times New Roman" w:eastAsia="Times New Roman" w:hAnsi="Times New Roman" w:cs="Times New Roman"/>
                <w:noProof/>
                <w:sz w:val="18"/>
                <w:szCs w:val="18"/>
              </w:rPr>
            </w:pPr>
            <w:r>
              <w:rPr>
                <w:rFonts w:ascii="Times New Roman" w:hAnsi="Times New Roman"/>
                <w:noProof/>
                <w:sz w:val="18"/>
              </w:rPr>
              <w:t>Hausse</w:t>
            </w:r>
          </w:p>
        </w:tc>
        <w:tc>
          <w:tcPr>
            <w:tcW w:w="1093" w:type="pct"/>
            <w:tcBorders>
              <w:top w:val="single" w:sz="4" w:space="0" w:color="auto"/>
              <w:bottom w:val="single" w:sz="4" w:space="0" w:color="808080" w:themeColor="background1" w:themeShade="80"/>
            </w:tcBorders>
            <w:shd w:val="clear" w:color="auto" w:fill="C2D69B"/>
          </w:tcPr>
          <w:p w14:paraId="32BFEB5E" w14:textId="77777777" w:rsidR="002C51B4" w:rsidRPr="000A23DA" w:rsidRDefault="002C51B4" w:rsidP="00BB6538">
            <w:pPr>
              <w:widowControl w:val="0"/>
              <w:autoSpaceDE w:val="0"/>
              <w:autoSpaceDN w:val="0"/>
              <w:spacing w:before="60" w:after="60" w:line="240" w:lineRule="auto"/>
              <w:ind w:left="107"/>
              <w:rPr>
                <w:rFonts w:ascii="Times New Roman" w:eastAsia="Times New Roman" w:hAnsi="Times New Roman" w:cs="Times New Roman"/>
                <w:noProof/>
                <w:sz w:val="18"/>
                <w:szCs w:val="18"/>
              </w:rPr>
            </w:pPr>
            <w:r w:rsidRPr="00F3116B">
              <w:rPr>
                <w:rFonts w:ascii="Times New Roman" w:hAnsi="Times New Roman"/>
                <w:noProof/>
                <w:sz w:val="18"/>
              </w:rPr>
              <w:t>17</w:t>
            </w:r>
            <w:r>
              <w:rPr>
                <w:rFonts w:ascii="Times New Roman" w:hAnsi="Times New Roman"/>
                <w:noProof/>
                <w:sz w:val="18"/>
              </w:rPr>
              <w:t>,</w:t>
            </w:r>
            <w:r w:rsidRPr="00F3116B">
              <w:rPr>
                <w:rFonts w:ascii="Times New Roman" w:hAnsi="Times New Roman"/>
                <w:noProof/>
                <w:sz w:val="18"/>
              </w:rPr>
              <w:t>6</w:t>
            </w:r>
            <w:r>
              <w:rPr>
                <w:rFonts w:ascii="Times New Roman" w:hAnsi="Times New Roman"/>
                <w:noProof/>
                <w:sz w:val="18"/>
              </w:rPr>
              <w:t> % pour les biens (</w:t>
            </w:r>
            <w:r w:rsidRPr="00F3116B">
              <w:rPr>
                <w:rFonts w:ascii="Times New Roman" w:hAnsi="Times New Roman"/>
                <w:noProof/>
                <w:sz w:val="18"/>
              </w:rPr>
              <w:t>2022</w:t>
            </w:r>
            <w:r>
              <w:rPr>
                <w:rFonts w:ascii="Times New Roman" w:hAnsi="Times New Roman"/>
                <w:noProof/>
                <w:sz w:val="18"/>
              </w:rPr>
              <w:t>)</w:t>
            </w:r>
          </w:p>
          <w:p w14:paraId="07B54780" w14:textId="77777777" w:rsidR="002C51B4" w:rsidRDefault="002C51B4" w:rsidP="00BB6538">
            <w:pPr>
              <w:widowControl w:val="0"/>
              <w:autoSpaceDE w:val="0"/>
              <w:autoSpaceDN w:val="0"/>
              <w:spacing w:before="60" w:after="60" w:line="240" w:lineRule="auto"/>
              <w:ind w:left="107"/>
              <w:rPr>
                <w:rFonts w:ascii="Times New Roman" w:eastAsia="Times New Roman" w:hAnsi="Times New Roman" w:cs="Times New Roman"/>
                <w:noProof/>
                <w:sz w:val="18"/>
                <w:szCs w:val="18"/>
              </w:rPr>
            </w:pPr>
            <w:r w:rsidRPr="00F3116B">
              <w:rPr>
                <w:rFonts w:ascii="Times New Roman" w:hAnsi="Times New Roman"/>
                <w:noProof/>
                <w:sz w:val="18"/>
              </w:rPr>
              <w:t>14</w:t>
            </w:r>
            <w:r>
              <w:rPr>
                <w:rFonts w:ascii="Times New Roman" w:hAnsi="Times New Roman"/>
                <w:noProof/>
                <w:sz w:val="18"/>
              </w:rPr>
              <w:t>,</w:t>
            </w:r>
            <w:r w:rsidRPr="00F3116B">
              <w:rPr>
                <w:rFonts w:ascii="Times New Roman" w:hAnsi="Times New Roman"/>
                <w:noProof/>
                <w:sz w:val="18"/>
              </w:rPr>
              <w:t>8</w:t>
            </w:r>
            <w:r>
              <w:rPr>
                <w:rFonts w:ascii="Times New Roman" w:hAnsi="Times New Roman"/>
                <w:noProof/>
                <w:sz w:val="18"/>
              </w:rPr>
              <w:t> % pour les biens (</w:t>
            </w:r>
            <w:r w:rsidRPr="00F3116B">
              <w:rPr>
                <w:rFonts w:ascii="Times New Roman" w:hAnsi="Times New Roman"/>
                <w:noProof/>
                <w:sz w:val="18"/>
              </w:rPr>
              <w:t>2021</w:t>
            </w:r>
            <w:r>
              <w:rPr>
                <w:rFonts w:ascii="Times New Roman" w:hAnsi="Times New Roman"/>
                <w:noProof/>
                <w:sz w:val="18"/>
              </w:rPr>
              <w:t>)</w:t>
            </w:r>
          </w:p>
          <w:p w14:paraId="50849E84" w14:textId="77777777" w:rsidR="002C51B4" w:rsidRPr="00554935" w:rsidRDefault="002C51B4" w:rsidP="00BB6538">
            <w:pPr>
              <w:widowControl w:val="0"/>
              <w:autoSpaceDE w:val="0"/>
              <w:autoSpaceDN w:val="0"/>
              <w:spacing w:before="60" w:after="60" w:line="240" w:lineRule="auto"/>
              <w:ind w:left="107"/>
              <w:rPr>
                <w:rFonts w:ascii="Times New Roman" w:eastAsia="Times New Roman" w:hAnsi="Times New Roman" w:cs="Times New Roman"/>
                <w:noProof/>
                <w:sz w:val="18"/>
                <w:szCs w:val="18"/>
                <w:lang w:val="fr-BE"/>
              </w:rPr>
            </w:pPr>
          </w:p>
          <w:p w14:paraId="0AC1FD75" w14:textId="77777777" w:rsidR="002C51B4" w:rsidRPr="000A23DA" w:rsidRDefault="002C51B4" w:rsidP="00BB6538">
            <w:pPr>
              <w:widowControl w:val="0"/>
              <w:autoSpaceDE w:val="0"/>
              <w:autoSpaceDN w:val="0"/>
              <w:spacing w:before="60" w:after="60" w:line="240" w:lineRule="auto"/>
              <w:ind w:left="107"/>
              <w:rPr>
                <w:rFonts w:ascii="Times New Roman" w:eastAsia="Times New Roman" w:hAnsi="Times New Roman" w:cs="Times New Roman"/>
                <w:noProof/>
                <w:sz w:val="18"/>
                <w:szCs w:val="18"/>
              </w:rPr>
            </w:pPr>
            <w:r w:rsidRPr="00F3116B">
              <w:rPr>
                <w:rFonts w:ascii="Times New Roman" w:hAnsi="Times New Roman"/>
                <w:noProof/>
                <w:sz w:val="18"/>
              </w:rPr>
              <w:t>7</w:t>
            </w:r>
            <w:r>
              <w:rPr>
                <w:rFonts w:ascii="Times New Roman" w:hAnsi="Times New Roman"/>
                <w:noProof/>
                <w:sz w:val="18"/>
              </w:rPr>
              <w:t>,</w:t>
            </w:r>
            <w:r w:rsidRPr="00F3116B">
              <w:rPr>
                <w:rFonts w:ascii="Times New Roman" w:hAnsi="Times New Roman"/>
                <w:noProof/>
                <w:sz w:val="18"/>
              </w:rPr>
              <w:t>7</w:t>
            </w:r>
            <w:r>
              <w:rPr>
                <w:rFonts w:ascii="Times New Roman" w:hAnsi="Times New Roman"/>
                <w:noProof/>
                <w:sz w:val="18"/>
              </w:rPr>
              <w:t> % pour les services (</w:t>
            </w:r>
            <w:r w:rsidRPr="00F3116B">
              <w:rPr>
                <w:rFonts w:ascii="Times New Roman" w:hAnsi="Times New Roman"/>
                <w:noProof/>
                <w:sz w:val="18"/>
              </w:rPr>
              <w:t>2022</w:t>
            </w:r>
            <w:r>
              <w:rPr>
                <w:rFonts w:ascii="Times New Roman" w:hAnsi="Times New Roman"/>
                <w:noProof/>
                <w:sz w:val="18"/>
              </w:rPr>
              <w:t>)</w:t>
            </w:r>
          </w:p>
          <w:p w14:paraId="4F251A44" w14:textId="77777777" w:rsidR="002C51B4" w:rsidRPr="000A23DA" w:rsidRDefault="002C51B4" w:rsidP="00BB6538">
            <w:pPr>
              <w:widowControl w:val="0"/>
              <w:autoSpaceDE w:val="0"/>
              <w:autoSpaceDN w:val="0"/>
              <w:spacing w:before="60" w:after="60" w:line="240" w:lineRule="auto"/>
              <w:ind w:left="107"/>
              <w:rPr>
                <w:rFonts w:ascii="Times New Roman" w:eastAsia="Times New Roman" w:hAnsi="Times New Roman" w:cs="Times New Roman"/>
                <w:noProof/>
                <w:sz w:val="18"/>
                <w:szCs w:val="18"/>
              </w:rPr>
            </w:pPr>
            <w:r w:rsidRPr="00F3116B">
              <w:rPr>
                <w:rFonts w:ascii="Times New Roman" w:hAnsi="Times New Roman"/>
                <w:noProof/>
                <w:sz w:val="18"/>
              </w:rPr>
              <w:t>6</w:t>
            </w:r>
            <w:r>
              <w:rPr>
                <w:rFonts w:ascii="Times New Roman" w:hAnsi="Times New Roman"/>
                <w:noProof/>
                <w:sz w:val="18"/>
              </w:rPr>
              <w:t>,</w:t>
            </w:r>
            <w:r w:rsidRPr="00F3116B">
              <w:rPr>
                <w:rFonts w:ascii="Times New Roman" w:hAnsi="Times New Roman"/>
                <w:noProof/>
                <w:sz w:val="18"/>
              </w:rPr>
              <w:t>9</w:t>
            </w:r>
            <w:r>
              <w:rPr>
                <w:rFonts w:ascii="Times New Roman" w:hAnsi="Times New Roman"/>
                <w:noProof/>
                <w:sz w:val="18"/>
              </w:rPr>
              <w:t> % pour les services (</w:t>
            </w:r>
            <w:r w:rsidRPr="00F3116B">
              <w:rPr>
                <w:rFonts w:ascii="Times New Roman" w:hAnsi="Times New Roman"/>
                <w:noProof/>
                <w:sz w:val="18"/>
              </w:rPr>
              <w:t>2021</w:t>
            </w:r>
            <w:r>
              <w:rPr>
                <w:rFonts w:ascii="Times New Roman" w:hAnsi="Times New Roman"/>
                <w:noProof/>
                <w:sz w:val="18"/>
              </w:rPr>
              <w:t>)</w:t>
            </w:r>
          </w:p>
        </w:tc>
      </w:tr>
      <w:tr w:rsidR="002C51B4" w:rsidRPr="009859BA" w14:paraId="1152FEE9" w14:textId="77777777" w:rsidTr="00BB6538">
        <w:trPr>
          <w:trHeight w:val="1290"/>
        </w:trPr>
        <w:tc>
          <w:tcPr>
            <w:tcW w:w="1295" w:type="pct"/>
            <w:tcBorders>
              <w:top w:val="single" w:sz="4" w:space="0" w:color="808080" w:themeColor="background1" w:themeShade="80"/>
              <w:bottom w:val="single" w:sz="4" w:space="0" w:color="auto"/>
            </w:tcBorders>
            <w:shd w:val="clear" w:color="auto" w:fill="D99594"/>
          </w:tcPr>
          <w:p w14:paraId="4B3BBE95" w14:textId="77777777" w:rsidR="002C51B4" w:rsidRPr="000A23DA" w:rsidRDefault="002C51B4" w:rsidP="00BB6538">
            <w:pPr>
              <w:widowControl w:val="0"/>
              <w:autoSpaceDE w:val="0"/>
              <w:autoSpaceDN w:val="0"/>
              <w:spacing w:before="60" w:after="60" w:line="240" w:lineRule="auto"/>
              <w:ind w:left="107" w:right="138"/>
              <w:rPr>
                <w:rFonts w:ascii="Times New Roman" w:eastAsia="Times New Roman" w:hAnsi="Times New Roman" w:cs="Times New Roman"/>
                <w:noProof/>
                <w:sz w:val="18"/>
                <w:szCs w:val="18"/>
              </w:rPr>
            </w:pPr>
            <w:r>
              <w:rPr>
                <w:rFonts w:ascii="Times New Roman" w:hAnsi="Times New Roman"/>
                <w:noProof/>
                <w:color w:val="111111"/>
                <w:sz w:val="18"/>
              </w:rPr>
              <w:t xml:space="preserve">ICP proposé </w:t>
            </w:r>
            <w:r w:rsidRPr="00F3116B">
              <w:rPr>
                <w:rFonts w:ascii="Times New Roman" w:hAnsi="Times New Roman"/>
                <w:noProof/>
                <w:color w:val="111111"/>
                <w:sz w:val="18"/>
              </w:rPr>
              <w:t>16</w:t>
            </w:r>
            <w:r>
              <w:rPr>
                <w:rFonts w:ascii="Times New Roman" w:hAnsi="Times New Roman"/>
                <w:noProof/>
                <w:color w:val="111111"/>
                <w:sz w:val="18"/>
              </w:rPr>
              <w:t> </w:t>
            </w:r>
            <w:r>
              <w:rPr>
                <w:rFonts w:ascii="Times New Roman" w:hAnsi="Times New Roman"/>
                <w:i/>
                <w:iCs/>
                <w:noProof/>
                <w:color w:val="111111"/>
                <w:sz w:val="18"/>
              </w:rPr>
              <w:t>bis</w:t>
            </w:r>
            <w:r>
              <w:rPr>
                <w:rFonts w:ascii="Times New Roman" w:hAnsi="Times New Roman"/>
                <w:noProof/>
                <w:sz w:val="18"/>
              </w:rPr>
              <w:t>: Part des exportations de biens et de services dans les importations effectuées par le reste du monde</w:t>
            </w:r>
          </w:p>
        </w:tc>
        <w:tc>
          <w:tcPr>
            <w:tcW w:w="1987" w:type="pct"/>
            <w:tcBorders>
              <w:top w:val="single" w:sz="4" w:space="0" w:color="808080" w:themeColor="background1" w:themeShade="80"/>
              <w:bottom w:val="single" w:sz="4" w:space="0" w:color="auto"/>
            </w:tcBorders>
            <w:shd w:val="clear" w:color="auto" w:fill="D99594"/>
          </w:tcPr>
          <w:p w14:paraId="4E0B3F82" w14:textId="77777777" w:rsidR="002C51B4" w:rsidRPr="000A23DA" w:rsidRDefault="002C51B4" w:rsidP="00BB6538">
            <w:pPr>
              <w:widowControl w:val="0"/>
              <w:autoSpaceDE w:val="0"/>
              <w:autoSpaceDN w:val="0"/>
              <w:spacing w:before="60" w:after="60" w:line="240" w:lineRule="auto"/>
              <w:ind w:left="107" w:right="139"/>
              <w:jc w:val="both"/>
              <w:rPr>
                <w:rFonts w:ascii="Times New Roman" w:eastAsia="Times New Roman" w:hAnsi="Times New Roman" w:cs="Times New Roman"/>
                <w:noProof/>
                <w:sz w:val="18"/>
                <w:szCs w:val="18"/>
              </w:rPr>
            </w:pPr>
            <w:r>
              <w:rPr>
                <w:rFonts w:ascii="Times New Roman" w:hAnsi="Times New Roman"/>
                <w:noProof/>
                <w:sz w:val="18"/>
              </w:rPr>
              <w:t>Part des exportations de biens et de services de l’UE, du Royaume-Uni, des États-Unis, du Japon et de la Chine dans les importations effectuées par le reste du monde.</w:t>
            </w:r>
          </w:p>
        </w:tc>
        <w:tc>
          <w:tcPr>
            <w:tcW w:w="625" w:type="pct"/>
            <w:tcBorders>
              <w:top w:val="single" w:sz="4" w:space="0" w:color="808080" w:themeColor="background1" w:themeShade="80"/>
              <w:bottom w:val="single" w:sz="4" w:space="0" w:color="auto"/>
            </w:tcBorders>
            <w:shd w:val="clear" w:color="auto" w:fill="D99594"/>
          </w:tcPr>
          <w:p w14:paraId="20902EDA" w14:textId="77777777" w:rsidR="002C51B4" w:rsidRPr="000A23DA" w:rsidRDefault="002C51B4" w:rsidP="00BB6538">
            <w:pPr>
              <w:widowControl w:val="0"/>
              <w:autoSpaceDE w:val="0"/>
              <w:autoSpaceDN w:val="0"/>
              <w:spacing w:before="60" w:after="60" w:line="240" w:lineRule="auto"/>
              <w:ind w:left="107"/>
              <w:rPr>
                <w:rFonts w:ascii="Times New Roman" w:eastAsia="Times New Roman" w:hAnsi="Times New Roman" w:cs="Times New Roman"/>
                <w:noProof/>
                <w:spacing w:val="-5"/>
                <w:sz w:val="18"/>
                <w:szCs w:val="18"/>
              </w:rPr>
            </w:pPr>
            <w:r>
              <w:rPr>
                <w:rFonts w:ascii="Times New Roman" w:hAnsi="Times New Roman"/>
                <w:noProof/>
                <w:sz w:val="18"/>
              </w:rPr>
              <w:t>Stabilité ou hausse</w:t>
            </w:r>
          </w:p>
        </w:tc>
        <w:tc>
          <w:tcPr>
            <w:tcW w:w="1093" w:type="pct"/>
            <w:tcBorders>
              <w:top w:val="single" w:sz="4" w:space="0" w:color="808080" w:themeColor="background1" w:themeShade="80"/>
              <w:bottom w:val="single" w:sz="4" w:space="0" w:color="auto"/>
            </w:tcBorders>
            <w:shd w:val="clear" w:color="auto" w:fill="D99594"/>
          </w:tcPr>
          <w:p w14:paraId="566225C1" w14:textId="77777777" w:rsidR="002C51B4" w:rsidRPr="000A23DA" w:rsidRDefault="002C51B4" w:rsidP="00BB6538">
            <w:pPr>
              <w:widowControl w:val="0"/>
              <w:autoSpaceDE w:val="0"/>
              <w:autoSpaceDN w:val="0"/>
              <w:spacing w:before="60" w:after="60" w:line="240" w:lineRule="auto"/>
              <w:ind w:left="107"/>
              <w:rPr>
                <w:rFonts w:ascii="Times New Roman" w:eastAsia="Times New Roman" w:hAnsi="Times New Roman" w:cs="Times New Roman"/>
                <w:noProof/>
                <w:sz w:val="18"/>
                <w:szCs w:val="18"/>
              </w:rPr>
            </w:pPr>
            <w:r w:rsidRPr="00F3116B">
              <w:rPr>
                <w:rFonts w:ascii="Times New Roman" w:hAnsi="Times New Roman"/>
                <w:noProof/>
                <w:sz w:val="18"/>
              </w:rPr>
              <w:t>16</w:t>
            </w:r>
            <w:r>
              <w:rPr>
                <w:rFonts w:ascii="Times New Roman" w:hAnsi="Times New Roman"/>
                <w:noProof/>
                <w:sz w:val="18"/>
              </w:rPr>
              <w:t>,</w:t>
            </w:r>
            <w:r w:rsidRPr="00F3116B">
              <w:rPr>
                <w:rFonts w:ascii="Times New Roman" w:hAnsi="Times New Roman"/>
                <w:noProof/>
                <w:sz w:val="18"/>
              </w:rPr>
              <w:t>2</w:t>
            </w:r>
            <w:r>
              <w:rPr>
                <w:rFonts w:ascii="Times New Roman" w:hAnsi="Times New Roman"/>
                <w:noProof/>
                <w:sz w:val="18"/>
              </w:rPr>
              <w:t> % pour les biens (</w:t>
            </w:r>
            <w:r w:rsidRPr="00F3116B">
              <w:rPr>
                <w:rFonts w:ascii="Times New Roman" w:hAnsi="Times New Roman"/>
                <w:noProof/>
                <w:sz w:val="18"/>
              </w:rPr>
              <w:t>2022</w:t>
            </w:r>
            <w:r>
              <w:rPr>
                <w:rFonts w:ascii="Times New Roman" w:hAnsi="Times New Roman"/>
                <w:noProof/>
                <w:sz w:val="18"/>
              </w:rPr>
              <w:t>)</w:t>
            </w:r>
          </w:p>
          <w:p w14:paraId="0E4F3EAC" w14:textId="77777777" w:rsidR="002C51B4" w:rsidRPr="000A23DA" w:rsidRDefault="002C51B4" w:rsidP="00BB6538">
            <w:pPr>
              <w:widowControl w:val="0"/>
              <w:autoSpaceDE w:val="0"/>
              <w:autoSpaceDN w:val="0"/>
              <w:spacing w:before="60" w:after="60" w:line="240" w:lineRule="auto"/>
              <w:ind w:left="107"/>
              <w:rPr>
                <w:rFonts w:ascii="Times New Roman" w:eastAsia="Times New Roman" w:hAnsi="Times New Roman" w:cs="Times New Roman"/>
                <w:noProof/>
                <w:sz w:val="18"/>
                <w:szCs w:val="18"/>
              </w:rPr>
            </w:pPr>
            <w:r w:rsidRPr="00F3116B">
              <w:rPr>
                <w:rFonts w:ascii="Times New Roman" w:hAnsi="Times New Roman"/>
                <w:noProof/>
                <w:sz w:val="18"/>
              </w:rPr>
              <w:t>16</w:t>
            </w:r>
            <w:r>
              <w:rPr>
                <w:rFonts w:ascii="Times New Roman" w:hAnsi="Times New Roman"/>
                <w:noProof/>
                <w:sz w:val="18"/>
              </w:rPr>
              <w:t>,</w:t>
            </w:r>
            <w:r w:rsidRPr="00F3116B">
              <w:rPr>
                <w:rFonts w:ascii="Times New Roman" w:hAnsi="Times New Roman"/>
                <w:noProof/>
                <w:sz w:val="18"/>
              </w:rPr>
              <w:t>4</w:t>
            </w:r>
            <w:r>
              <w:rPr>
                <w:rFonts w:ascii="Times New Roman" w:hAnsi="Times New Roman"/>
                <w:noProof/>
                <w:sz w:val="18"/>
              </w:rPr>
              <w:t> % pour les biens (</w:t>
            </w:r>
            <w:r w:rsidRPr="00F3116B">
              <w:rPr>
                <w:rFonts w:ascii="Times New Roman" w:hAnsi="Times New Roman"/>
                <w:noProof/>
                <w:sz w:val="18"/>
              </w:rPr>
              <w:t>2021</w:t>
            </w:r>
            <w:r>
              <w:rPr>
                <w:rFonts w:ascii="Times New Roman" w:hAnsi="Times New Roman"/>
                <w:noProof/>
                <w:sz w:val="18"/>
              </w:rPr>
              <w:t>)</w:t>
            </w:r>
          </w:p>
          <w:p w14:paraId="112412FF" w14:textId="77777777" w:rsidR="002C51B4" w:rsidRPr="00554935" w:rsidRDefault="002C51B4" w:rsidP="00BB6538">
            <w:pPr>
              <w:widowControl w:val="0"/>
              <w:autoSpaceDE w:val="0"/>
              <w:autoSpaceDN w:val="0"/>
              <w:spacing w:before="60" w:after="60" w:line="240" w:lineRule="auto"/>
              <w:ind w:left="107"/>
              <w:rPr>
                <w:rFonts w:ascii="Times New Roman" w:eastAsia="Times New Roman" w:hAnsi="Times New Roman" w:cs="Times New Roman"/>
                <w:noProof/>
                <w:sz w:val="18"/>
                <w:szCs w:val="18"/>
                <w:lang w:val="fr-BE"/>
              </w:rPr>
            </w:pPr>
          </w:p>
          <w:p w14:paraId="2FF97131" w14:textId="77777777" w:rsidR="002C51B4" w:rsidRPr="000A23DA" w:rsidRDefault="002C51B4" w:rsidP="00BB6538">
            <w:pPr>
              <w:widowControl w:val="0"/>
              <w:autoSpaceDE w:val="0"/>
              <w:autoSpaceDN w:val="0"/>
              <w:spacing w:before="60" w:after="60" w:line="240" w:lineRule="auto"/>
              <w:ind w:left="107"/>
              <w:rPr>
                <w:rFonts w:ascii="Times New Roman" w:eastAsia="Times New Roman" w:hAnsi="Times New Roman" w:cs="Times New Roman"/>
                <w:noProof/>
                <w:sz w:val="18"/>
                <w:szCs w:val="18"/>
              </w:rPr>
            </w:pPr>
            <w:r w:rsidRPr="00F3116B">
              <w:rPr>
                <w:rFonts w:ascii="Times New Roman" w:hAnsi="Times New Roman"/>
                <w:noProof/>
                <w:sz w:val="18"/>
              </w:rPr>
              <w:t>33</w:t>
            </w:r>
            <w:r>
              <w:rPr>
                <w:rFonts w:ascii="Times New Roman" w:hAnsi="Times New Roman"/>
                <w:noProof/>
                <w:sz w:val="18"/>
              </w:rPr>
              <w:t>,</w:t>
            </w:r>
            <w:r w:rsidRPr="00F3116B">
              <w:rPr>
                <w:rFonts w:ascii="Times New Roman" w:hAnsi="Times New Roman"/>
                <w:noProof/>
                <w:sz w:val="18"/>
              </w:rPr>
              <w:t>1</w:t>
            </w:r>
            <w:r>
              <w:rPr>
                <w:rFonts w:ascii="Times New Roman" w:hAnsi="Times New Roman"/>
                <w:noProof/>
                <w:sz w:val="18"/>
              </w:rPr>
              <w:t> % pour les services (</w:t>
            </w:r>
            <w:r w:rsidRPr="00F3116B">
              <w:rPr>
                <w:rFonts w:ascii="Times New Roman" w:hAnsi="Times New Roman"/>
                <w:noProof/>
                <w:sz w:val="18"/>
              </w:rPr>
              <w:t>2022</w:t>
            </w:r>
            <w:r>
              <w:rPr>
                <w:rFonts w:ascii="Times New Roman" w:hAnsi="Times New Roman"/>
                <w:noProof/>
                <w:sz w:val="18"/>
              </w:rPr>
              <w:t>)</w:t>
            </w:r>
          </w:p>
          <w:p w14:paraId="0F783341" w14:textId="77777777" w:rsidR="002C51B4" w:rsidRPr="000A23DA" w:rsidRDefault="002C51B4" w:rsidP="00BB6538">
            <w:pPr>
              <w:widowControl w:val="0"/>
              <w:autoSpaceDE w:val="0"/>
              <w:autoSpaceDN w:val="0"/>
              <w:spacing w:before="60" w:after="60" w:line="240" w:lineRule="auto"/>
              <w:ind w:left="107"/>
              <w:rPr>
                <w:rFonts w:ascii="Times New Roman" w:eastAsia="Times New Roman" w:hAnsi="Times New Roman" w:cs="Times New Roman"/>
                <w:noProof/>
                <w:sz w:val="18"/>
                <w:szCs w:val="18"/>
              </w:rPr>
            </w:pPr>
            <w:r w:rsidRPr="00F3116B">
              <w:rPr>
                <w:rFonts w:ascii="Times New Roman" w:hAnsi="Times New Roman"/>
                <w:noProof/>
                <w:sz w:val="18"/>
              </w:rPr>
              <w:t>35</w:t>
            </w:r>
            <w:r>
              <w:rPr>
                <w:rFonts w:ascii="Times New Roman" w:hAnsi="Times New Roman"/>
                <w:noProof/>
                <w:sz w:val="18"/>
              </w:rPr>
              <w:t>,</w:t>
            </w:r>
            <w:r w:rsidRPr="00F3116B">
              <w:rPr>
                <w:rFonts w:ascii="Times New Roman" w:hAnsi="Times New Roman"/>
                <w:noProof/>
                <w:sz w:val="18"/>
              </w:rPr>
              <w:t>2</w:t>
            </w:r>
            <w:r>
              <w:rPr>
                <w:rFonts w:ascii="Times New Roman" w:hAnsi="Times New Roman"/>
                <w:noProof/>
                <w:sz w:val="18"/>
              </w:rPr>
              <w:t> % pour les services (</w:t>
            </w:r>
            <w:r w:rsidRPr="00F3116B">
              <w:rPr>
                <w:rFonts w:ascii="Times New Roman" w:hAnsi="Times New Roman"/>
                <w:noProof/>
                <w:sz w:val="18"/>
              </w:rPr>
              <w:t>2021</w:t>
            </w:r>
            <w:r>
              <w:rPr>
                <w:rFonts w:ascii="Times New Roman" w:hAnsi="Times New Roman"/>
                <w:noProof/>
                <w:sz w:val="18"/>
              </w:rPr>
              <w:t>)</w:t>
            </w:r>
          </w:p>
        </w:tc>
      </w:tr>
    </w:tbl>
    <w:p w14:paraId="3809F042" w14:textId="77777777" w:rsidR="002C51B4" w:rsidRPr="00DF2D3C" w:rsidRDefault="002C51B4" w:rsidP="002C51B4">
      <w:pPr>
        <w:jc w:val="both"/>
        <w:rPr>
          <w:rFonts w:ascii="Times New Roman" w:hAnsi="Times New Roman" w:cs="Times New Roman"/>
          <w:b/>
          <w:noProof/>
          <w:color w:val="000000"/>
          <w:sz w:val="16"/>
          <w:szCs w:val="16"/>
          <w:shd w:val="clear" w:color="auto" w:fill="FFFFFF"/>
        </w:rPr>
      </w:pPr>
    </w:p>
    <w:p w14:paraId="7052F5FB" w14:textId="77777777" w:rsidR="002C51B4" w:rsidRPr="00DA3459" w:rsidRDefault="002C51B4" w:rsidP="002C51B4">
      <w:pPr>
        <w:jc w:val="both"/>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 xml:space="preserve">Le commerce est essentiel à la compétitivité à long terme de l’UE. Il favorise l’efficacité et l’innovation et ouvre les marchés aux opérateurs de l’UE. L’UE tire sa force économique et politique de sa position de premier négociant et investisseur: forte de </w:t>
      </w:r>
      <w:r w:rsidRPr="00F3116B">
        <w:rPr>
          <w:rFonts w:ascii="Times New Roman" w:hAnsi="Times New Roman"/>
          <w:b/>
          <w:noProof/>
          <w:color w:val="000000" w:themeColor="text1"/>
          <w:sz w:val="24"/>
        </w:rPr>
        <w:t>16</w:t>
      </w:r>
      <w:r>
        <w:rPr>
          <w:rFonts w:ascii="Times New Roman" w:hAnsi="Times New Roman"/>
          <w:b/>
          <w:noProof/>
          <w:color w:val="000000" w:themeColor="text1"/>
          <w:sz w:val="24"/>
        </w:rPr>
        <w:t> % des exportations mondiales, elle est le premier exportateur mondial. Elle promeut un commerce ouvert et fondé sur des règles, dont elle tire profit. Dans le même temps, de nouveaux risques découlant de tensions géopolitiques accrues, de pratiques commerciales déloyales et de dépendances asymétriques ont conduit l’UE à prendre de nouvelles mesures, en encourageant la diversification de l’approvisionnement, en renforçant les liens commerciaux et d’investissement et en renforçant les capacités de production dans des domaines critiques. L’UE utilise également ses outils de défense commerciale et complète  sa panoplie d'instruments afin de défendre des conditions de concurrence équitables pour les entreprises européennes.</w:t>
      </w:r>
    </w:p>
    <w:p w14:paraId="39B38E80" w14:textId="77777777" w:rsidR="002C51B4" w:rsidRDefault="002C51B4" w:rsidP="002C51B4">
      <w:p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Le commerce est essentiel à la compétitivité à long terme de l’UE. Les échanges extra-UE de biens et de services représentaient respectivement </w:t>
      </w:r>
      <w:r w:rsidRPr="00F3116B">
        <w:rPr>
          <w:rFonts w:ascii="Times New Roman" w:hAnsi="Times New Roman"/>
          <w:noProof/>
          <w:color w:val="000000" w:themeColor="text1"/>
          <w:sz w:val="24"/>
        </w:rPr>
        <w:t>18</w:t>
      </w:r>
      <w:r>
        <w:rPr>
          <w:rFonts w:ascii="Times New Roman" w:hAnsi="Times New Roman"/>
          <w:noProof/>
          <w:color w:val="000000" w:themeColor="text1"/>
          <w:sz w:val="24"/>
        </w:rPr>
        <w:t xml:space="preserve"> % et </w:t>
      </w:r>
      <w:r w:rsidRPr="00F3116B">
        <w:rPr>
          <w:rFonts w:ascii="Times New Roman" w:hAnsi="Times New Roman"/>
          <w:noProof/>
          <w:color w:val="000000" w:themeColor="text1"/>
          <w:sz w:val="24"/>
        </w:rPr>
        <w:t>8</w:t>
      </w:r>
      <w:r>
        <w:rPr>
          <w:rFonts w:ascii="Times New Roman" w:hAnsi="Times New Roman"/>
          <w:noProof/>
          <w:color w:val="000000" w:themeColor="text1"/>
          <w:sz w:val="24"/>
        </w:rPr>
        <w:t xml:space="preserve"> % du PIB de l’UE en </w:t>
      </w:r>
      <w:r w:rsidRPr="00F3116B">
        <w:rPr>
          <w:rFonts w:ascii="Times New Roman" w:hAnsi="Times New Roman"/>
          <w:noProof/>
          <w:color w:val="000000" w:themeColor="text1"/>
          <w:sz w:val="24"/>
        </w:rPr>
        <w:t>2022</w:t>
      </w:r>
      <w:r>
        <w:rPr>
          <w:rFonts w:ascii="Times New Roman" w:hAnsi="Times New Roman"/>
          <w:noProof/>
          <w:color w:val="000000" w:themeColor="text1"/>
          <w:sz w:val="24"/>
        </w:rPr>
        <w:t>. L’UE est le</w:t>
      </w:r>
      <w:r>
        <w:rPr>
          <w:rFonts w:ascii="Times New Roman" w:hAnsi="Times New Roman"/>
          <w:b/>
          <w:noProof/>
          <w:color w:val="000000" w:themeColor="text1"/>
          <w:sz w:val="24"/>
        </w:rPr>
        <w:t xml:space="preserve"> premier exportateur mondial</w:t>
      </w:r>
      <w:r>
        <w:rPr>
          <w:rFonts w:ascii="Times New Roman" w:hAnsi="Times New Roman"/>
          <w:noProof/>
          <w:color w:val="000000" w:themeColor="text1"/>
          <w:sz w:val="24"/>
        </w:rPr>
        <w:t xml:space="preserve"> (elle comptabilise </w:t>
      </w:r>
      <w:r w:rsidRPr="00F3116B">
        <w:rPr>
          <w:rFonts w:ascii="Times New Roman" w:hAnsi="Times New Roman"/>
          <w:noProof/>
          <w:color w:val="000000" w:themeColor="text1"/>
          <w:sz w:val="24"/>
        </w:rPr>
        <w:t>16</w:t>
      </w:r>
      <w:r>
        <w:rPr>
          <w:rFonts w:ascii="Times New Roman" w:hAnsi="Times New Roman"/>
          <w:noProof/>
          <w:color w:val="000000" w:themeColor="text1"/>
          <w:sz w:val="24"/>
        </w:rPr>
        <w:t xml:space="preserve"> % des importations de tous les pays, soit autant que la Chine et nettement plus que les États-Unis). L’UE affiche des performances particulièrement élevées dans le domaine des services (voir </w:t>
      </w:r>
      <w:r w:rsidRPr="006D5D91">
        <w:rPr>
          <w:rFonts w:ascii="Times New Roman" w:hAnsi="Times New Roman" w:cs="Times New Roman"/>
          <w:noProof/>
          <w:color w:val="000000"/>
          <w:sz w:val="24"/>
          <w:shd w:val="clear" w:color="auto" w:fill="FFFFFF"/>
        </w:rPr>
        <w:fldChar w:fldCharType="begin" w:fldLock="1"/>
      </w:r>
      <w:r w:rsidRPr="00CF43D4">
        <w:rPr>
          <w:rFonts w:ascii="Times New Roman" w:hAnsi="Times New Roman" w:cs="Times New Roman"/>
          <w:noProof/>
          <w:color w:val="000000"/>
          <w:sz w:val="24"/>
          <w:shd w:val="clear" w:color="auto" w:fill="FFFFFF"/>
        </w:rPr>
        <w:instrText xml:space="preserve"> REF _Ref153466820 \h  \* MERGEFORMAT </w:instrText>
      </w:r>
      <w:r w:rsidRPr="006D5D91">
        <w:rPr>
          <w:rFonts w:ascii="Times New Roman" w:hAnsi="Times New Roman" w:cs="Times New Roman"/>
          <w:noProof/>
          <w:color w:val="000000"/>
          <w:sz w:val="24"/>
          <w:shd w:val="clear" w:color="auto" w:fill="FFFFFF"/>
        </w:rPr>
      </w:r>
      <w:r w:rsidRPr="006D5D91">
        <w:rPr>
          <w:rFonts w:ascii="Times New Roman" w:hAnsi="Times New Roman" w:cs="Times New Roman"/>
          <w:noProof/>
          <w:color w:val="000000"/>
          <w:sz w:val="24"/>
          <w:shd w:val="clear" w:color="auto" w:fill="FFFFFF"/>
        </w:rPr>
        <w:fldChar w:fldCharType="separate"/>
      </w:r>
      <w:r w:rsidRPr="00AE6BEB">
        <w:rPr>
          <w:rFonts w:ascii="Times New Roman" w:hAnsi="Times New Roman" w:cs="Times New Roman"/>
          <w:noProof/>
          <w:color w:val="000000"/>
          <w:sz w:val="24"/>
          <w:shd w:val="clear" w:color="auto" w:fill="FFFFFF"/>
        </w:rPr>
        <w:t xml:space="preserve">Figure </w:t>
      </w:r>
      <w:r w:rsidRPr="00F3116B">
        <w:rPr>
          <w:rFonts w:ascii="Times New Roman" w:hAnsi="Times New Roman" w:cs="Times New Roman"/>
          <w:noProof/>
          <w:color w:val="000000"/>
          <w:sz w:val="24"/>
          <w:shd w:val="clear" w:color="auto" w:fill="FFFFFF"/>
        </w:rPr>
        <w:t>5</w:t>
      </w:r>
      <w:r>
        <w:rPr>
          <w:noProof/>
        </w:rPr>
        <w:t xml:space="preserve"> </w:t>
      </w:r>
      <w:r w:rsidRPr="006D5D91">
        <w:rPr>
          <w:rFonts w:ascii="Times New Roman" w:hAnsi="Times New Roman" w:cs="Times New Roman"/>
          <w:noProof/>
          <w:color w:val="000000" w:themeColor="text1"/>
          <w:sz w:val="24"/>
        </w:rPr>
        <w:fldChar w:fldCharType="end"/>
      </w:r>
      <w:r>
        <w:rPr>
          <w:rFonts w:ascii="Times New Roman" w:hAnsi="Times New Roman"/>
          <w:noProof/>
          <w:color w:val="000000" w:themeColor="text1"/>
          <w:sz w:val="24"/>
        </w:rPr>
        <w:t>) et des exportations de haute technologie (</w:t>
      </w:r>
      <w:r w:rsidRPr="00F3116B">
        <w:rPr>
          <w:rFonts w:ascii="Times New Roman" w:hAnsi="Times New Roman"/>
          <w:noProof/>
          <w:color w:val="000000" w:themeColor="text1"/>
          <w:sz w:val="24"/>
        </w:rPr>
        <w:t>23</w:t>
      </w:r>
      <w:r>
        <w:rPr>
          <w:rFonts w:ascii="Times New Roman" w:hAnsi="Times New Roman"/>
          <w:noProof/>
          <w:color w:val="000000" w:themeColor="text1"/>
          <w:sz w:val="24"/>
        </w:rPr>
        <w:t> %), bien que cette part ait progressivement diminué au cours de la dernière décennie</w:t>
      </w:r>
      <w:r>
        <w:rPr>
          <w:rStyle w:val="FootnoteReference"/>
          <w:noProof/>
        </w:rPr>
        <w:footnoteReference w:id="97"/>
      </w:r>
      <w:r>
        <w:rPr>
          <w:rFonts w:ascii="Times New Roman" w:hAnsi="Times New Roman"/>
          <w:noProof/>
          <w:color w:val="000000" w:themeColor="text1"/>
          <w:sz w:val="24"/>
        </w:rPr>
        <w:t>. L’UE domine également les exportations mondiales dans plusieurs secteurs manufacturiers, tels que les marchés des produits chimiques et de l’automobile (voir</w:t>
      </w:r>
      <w:r>
        <w:rPr>
          <w:noProof/>
        </w:rPr>
        <w:t xml:space="preserve"> </w:t>
      </w:r>
      <w:r>
        <w:rPr>
          <w:rFonts w:ascii="Times New Roman" w:hAnsi="Times New Roman" w:cs="Times New Roman"/>
          <w:noProof/>
          <w:color w:val="000000" w:themeColor="text1"/>
          <w:sz w:val="24"/>
        </w:rPr>
        <w:fldChar w:fldCharType="begin" w:fldLock="1"/>
      </w:r>
      <w:r>
        <w:rPr>
          <w:rFonts w:ascii="Times New Roman" w:hAnsi="Times New Roman" w:cs="Times New Roman"/>
          <w:noProof/>
          <w:color w:val="000000" w:themeColor="text1"/>
          <w:sz w:val="24"/>
        </w:rPr>
        <w:instrText xml:space="preserve"> REF _Ref155781629 \h  \* MERGEFORMAT </w:instrText>
      </w:r>
      <w:r>
        <w:rPr>
          <w:rFonts w:ascii="Times New Roman" w:hAnsi="Times New Roman" w:cs="Times New Roman"/>
          <w:noProof/>
          <w:color w:val="000000" w:themeColor="text1"/>
          <w:sz w:val="24"/>
        </w:rPr>
      </w:r>
      <w:r>
        <w:rPr>
          <w:rFonts w:ascii="Times New Roman" w:hAnsi="Times New Roman" w:cs="Times New Roman"/>
          <w:noProof/>
          <w:color w:val="000000" w:themeColor="text1"/>
          <w:sz w:val="24"/>
        </w:rPr>
        <w:fldChar w:fldCharType="separate"/>
      </w:r>
      <w:r w:rsidRPr="00C34335">
        <w:rPr>
          <w:rFonts w:ascii="Times New Roman" w:hAnsi="Times New Roman" w:cs="Times New Roman"/>
          <w:noProof/>
        </w:rPr>
        <w:t xml:space="preserve">Figure </w:t>
      </w:r>
      <w:r w:rsidRPr="00F3116B">
        <w:rPr>
          <w:rFonts w:ascii="Times New Roman" w:hAnsi="Times New Roman" w:cs="Times New Roman"/>
          <w:noProof/>
        </w:rPr>
        <w:t>6</w:t>
      </w:r>
      <w:r>
        <w:rPr>
          <w:rFonts w:ascii="Times New Roman" w:hAnsi="Times New Roman" w:cs="Times New Roman"/>
          <w:noProof/>
          <w:color w:val="000000" w:themeColor="text1"/>
          <w:sz w:val="24"/>
        </w:rPr>
        <w:fldChar w:fldCharType="end"/>
      </w:r>
      <w:r>
        <w:rPr>
          <w:rFonts w:ascii="Times New Roman" w:hAnsi="Times New Roman"/>
          <w:noProof/>
          <w:color w:val="000000" w:themeColor="text1"/>
          <w:sz w:val="24"/>
        </w:rPr>
        <w:t xml:space="preserve">), où toutefois les dernières évolutions, notamment la crise énergétique et la croissance rapide des marchés chinois des technologies propres, ont entraîné des pertes de parts de marché. En fait, une combinaison de facteurs d’incitation au départ (augmentation des coûts de l’énergie dans l’UE) et d’attractivité (conditions d’investissement très attrayantes dans les pays tiers) pourrait avoir une incidence négative sur les investissements dont l'Europe a besoin pour réussir la transition écologique et numérique.  </w:t>
      </w:r>
    </w:p>
    <w:p w14:paraId="386EA921" w14:textId="759A6255" w:rsidR="002C51B4" w:rsidRPr="005E29D7" w:rsidRDefault="002C51B4" w:rsidP="002C51B4">
      <w:pPr>
        <w:pStyle w:val="Caption"/>
        <w:keepNext/>
        <w:rPr>
          <w:rFonts w:ascii="Times New Roman" w:hAnsi="Times New Roman" w:cs="Times New Roman"/>
          <w:i w:val="0"/>
          <w:iCs w:val="0"/>
          <w:noProof/>
          <w:color w:val="auto"/>
          <w:sz w:val="22"/>
          <w:szCs w:val="22"/>
        </w:rPr>
      </w:pPr>
      <w:bookmarkStart w:id="49" w:name="_Ref155781648"/>
      <w:bookmarkStart w:id="50" w:name="_Ref153466820"/>
      <w:r>
        <w:rPr>
          <w:rFonts w:ascii="Times New Roman" w:hAnsi="Times New Roman"/>
          <w:i w:val="0"/>
          <w:noProof/>
          <w:color w:val="auto"/>
          <w:sz w:val="22"/>
        </w:rPr>
        <w:t xml:space="preserve">Figure </w:t>
      </w:r>
      <w:r w:rsidRPr="00110745">
        <w:rPr>
          <w:rFonts w:ascii="Times New Roman" w:hAnsi="Times New Roman" w:cs="Times New Roman"/>
          <w:i w:val="0"/>
          <w:noProof/>
          <w:color w:val="auto"/>
          <w:sz w:val="22"/>
        </w:rPr>
        <w:fldChar w:fldCharType="begin" w:fldLock="1"/>
      </w:r>
      <w:r w:rsidRPr="00110745">
        <w:rPr>
          <w:rFonts w:ascii="Times New Roman" w:hAnsi="Times New Roman" w:cs="Times New Roman"/>
          <w:i w:val="0"/>
          <w:noProof/>
          <w:color w:val="auto"/>
          <w:sz w:val="22"/>
        </w:rPr>
        <w:instrText xml:space="preserve"> SEQ Figure \* ARABIC </w:instrText>
      </w:r>
      <w:r w:rsidRPr="00110745">
        <w:rPr>
          <w:rFonts w:ascii="Times New Roman" w:hAnsi="Times New Roman" w:cs="Times New Roman"/>
          <w:i w:val="0"/>
          <w:noProof/>
          <w:color w:val="auto"/>
          <w:sz w:val="22"/>
        </w:rPr>
        <w:fldChar w:fldCharType="separate"/>
      </w:r>
      <w:r w:rsidRPr="00F3116B">
        <w:rPr>
          <w:rFonts w:ascii="Times New Roman" w:hAnsi="Times New Roman" w:cs="Times New Roman"/>
          <w:i w:val="0"/>
          <w:noProof/>
          <w:color w:val="auto"/>
          <w:sz w:val="22"/>
        </w:rPr>
        <w:t>5</w:t>
      </w:r>
      <w:r w:rsidRPr="00110745">
        <w:rPr>
          <w:rFonts w:ascii="Times New Roman" w:hAnsi="Times New Roman" w:cs="Times New Roman"/>
          <w:i w:val="0"/>
          <w:noProof/>
          <w:color w:val="auto"/>
          <w:sz w:val="22"/>
        </w:rPr>
        <w:fldChar w:fldCharType="end"/>
      </w:r>
      <w:bookmarkEnd w:id="49"/>
      <w:r>
        <w:rPr>
          <w:noProof/>
        </w:rPr>
        <w:t xml:space="preserve"> </w:t>
      </w:r>
      <w:bookmarkEnd w:id="50"/>
      <w:r>
        <w:rPr>
          <w:rFonts w:ascii="Times New Roman" w:hAnsi="Times New Roman"/>
          <w:i w:val="0"/>
          <w:noProof/>
          <w:color w:val="auto"/>
          <w:sz w:val="22"/>
        </w:rPr>
        <w:t xml:space="preserve">: Part des exportations mondiales : total (à gauche); services (à droite) </w:t>
      </w:r>
    </w:p>
    <w:p w14:paraId="085B2EA8" w14:textId="4044A6FF" w:rsidR="002C51B4" w:rsidRPr="003D4414" w:rsidRDefault="002A0B51" w:rsidP="002C51B4">
      <w:pPr>
        <w:rPr>
          <w:i/>
          <w:iCs/>
          <w:noProof/>
        </w:rPr>
      </w:pPr>
      <w:r w:rsidRPr="002A0B51">
        <w:rPr>
          <w:noProof/>
          <w:lang w:val="en-GB" w:eastAsia="en-GB"/>
        </w:rPr>
        <w:drawing>
          <wp:inline distT="0" distB="0" distL="0" distR="0" wp14:anchorId="24C75F27" wp14:editId="32F79176">
            <wp:extent cx="5943600" cy="23964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2396490"/>
                    </a:xfrm>
                    <a:prstGeom prst="rect">
                      <a:avLst/>
                    </a:prstGeom>
                  </pic:spPr>
                </pic:pic>
              </a:graphicData>
            </a:graphic>
          </wp:inline>
        </w:drawing>
      </w:r>
    </w:p>
    <w:p w14:paraId="2D19AA70" w14:textId="77777777" w:rsidR="002C51B4" w:rsidRPr="00A27108" w:rsidRDefault="002C51B4" w:rsidP="002C51B4">
      <w:pPr>
        <w:rPr>
          <w:rFonts w:ascii="EC Square Sans Cond Pro" w:hAnsi="EC Square Sans Cond Pro"/>
          <w:noProof/>
          <w:color w:val="4472C4" w:themeColor="accent1"/>
          <w:sz w:val="20"/>
          <w:szCs w:val="16"/>
        </w:rPr>
      </w:pPr>
      <w:r>
        <w:rPr>
          <w:rFonts w:ascii="EC Square Sans Cond Pro" w:hAnsi="EC Square Sans Cond Pro"/>
          <w:noProof/>
          <w:color w:val="4472C4" w:themeColor="accent1"/>
          <w:sz w:val="20"/>
        </w:rPr>
        <w:t>Source: Commission européenne, sur la base de l’OMC (Organisation mondiale du commerce)</w:t>
      </w:r>
    </w:p>
    <w:p w14:paraId="4CAC687F" w14:textId="77777777" w:rsidR="002C51B4" w:rsidRDefault="002C51B4" w:rsidP="002C51B4">
      <w:pPr>
        <w:pStyle w:val="Caption"/>
        <w:keepNext/>
        <w:rPr>
          <w:rFonts w:ascii="Times New Roman" w:hAnsi="Times New Roman" w:cs="Times New Roman"/>
          <w:i w:val="0"/>
          <w:iCs w:val="0"/>
          <w:noProof/>
          <w:color w:val="auto"/>
          <w:sz w:val="22"/>
          <w:szCs w:val="22"/>
        </w:rPr>
      </w:pPr>
      <w:bookmarkStart w:id="51" w:name="_Ref155781629"/>
      <w:r>
        <w:rPr>
          <w:rFonts w:ascii="Times New Roman" w:hAnsi="Times New Roman"/>
          <w:i w:val="0"/>
          <w:noProof/>
          <w:color w:val="auto"/>
          <w:sz w:val="22"/>
        </w:rPr>
        <w:t xml:space="preserve">Figure </w:t>
      </w:r>
      <w:r w:rsidRPr="00C34335">
        <w:rPr>
          <w:rFonts w:ascii="Times New Roman" w:hAnsi="Times New Roman" w:cs="Times New Roman"/>
          <w:i w:val="0"/>
          <w:noProof/>
          <w:color w:val="auto"/>
          <w:sz w:val="22"/>
        </w:rPr>
        <w:fldChar w:fldCharType="begin" w:fldLock="1"/>
      </w:r>
      <w:r w:rsidRPr="00C34335">
        <w:rPr>
          <w:rFonts w:ascii="Times New Roman" w:hAnsi="Times New Roman" w:cs="Times New Roman"/>
          <w:i w:val="0"/>
          <w:noProof/>
          <w:color w:val="auto"/>
          <w:sz w:val="22"/>
        </w:rPr>
        <w:instrText xml:space="preserve"> SEQ Figure \* ARABIC </w:instrText>
      </w:r>
      <w:r w:rsidRPr="00C34335">
        <w:rPr>
          <w:rFonts w:ascii="Times New Roman" w:hAnsi="Times New Roman" w:cs="Times New Roman"/>
          <w:i w:val="0"/>
          <w:noProof/>
          <w:color w:val="auto"/>
          <w:sz w:val="22"/>
        </w:rPr>
        <w:fldChar w:fldCharType="separate"/>
      </w:r>
      <w:r w:rsidRPr="00F3116B">
        <w:rPr>
          <w:rFonts w:ascii="Times New Roman" w:hAnsi="Times New Roman" w:cs="Times New Roman"/>
          <w:i w:val="0"/>
          <w:noProof/>
          <w:color w:val="auto"/>
          <w:sz w:val="22"/>
        </w:rPr>
        <w:t>6</w:t>
      </w:r>
      <w:r w:rsidRPr="00C34335">
        <w:rPr>
          <w:rFonts w:ascii="Times New Roman" w:hAnsi="Times New Roman" w:cs="Times New Roman"/>
          <w:i w:val="0"/>
          <w:noProof/>
          <w:color w:val="auto"/>
          <w:sz w:val="22"/>
        </w:rPr>
        <w:fldChar w:fldCharType="end"/>
      </w:r>
      <w:bookmarkEnd w:id="51"/>
      <w:r>
        <w:rPr>
          <w:rFonts w:ascii="Times New Roman" w:hAnsi="Times New Roman"/>
          <w:i w:val="0"/>
          <w:noProof/>
          <w:color w:val="auto"/>
          <w:sz w:val="22"/>
        </w:rPr>
        <w:t xml:space="preserve">: Part des exportations mondiales : UE, Chine, États-Unis (%) : produits chimiques (à gauche); automobile (à droite) </w:t>
      </w:r>
    </w:p>
    <w:p w14:paraId="0D31B9DD" w14:textId="07C9F4C4" w:rsidR="002C51B4" w:rsidRDefault="00083570" w:rsidP="002C51B4">
      <w:pPr>
        <w:rPr>
          <w:noProof/>
        </w:rPr>
      </w:pPr>
      <w:r w:rsidRPr="00083570">
        <w:rPr>
          <w:noProof/>
          <w:lang w:val="en-GB" w:eastAsia="en-GB"/>
        </w:rPr>
        <w:drawing>
          <wp:inline distT="0" distB="0" distL="0" distR="0" wp14:anchorId="35A99434" wp14:editId="2C390150">
            <wp:extent cx="2894082" cy="3705252"/>
            <wp:effectExtent l="0" t="0" r="0" b="0"/>
            <wp:docPr id="8" name="Chart 8">
              <a:extLst xmlns:a="http://schemas.openxmlformats.org/drawingml/2006/main">
                <a:ext uri="{FF2B5EF4-FFF2-40B4-BE49-F238E27FC236}">
                  <a16:creationId xmlns:a16="http://schemas.microsoft.com/office/drawing/2014/main" id="{5058AE62-5E0E-4AE3-A571-49EA47F2C1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005A51DD" w:rsidRPr="005A51DD">
        <w:rPr>
          <w:noProof/>
          <w:lang w:val="en-GB" w:eastAsia="en-GB"/>
        </w:rPr>
        <w:drawing>
          <wp:inline distT="0" distB="0" distL="0" distR="0" wp14:anchorId="69BFB09C" wp14:editId="0432D117">
            <wp:extent cx="2925280" cy="3728306"/>
            <wp:effectExtent l="0" t="0" r="0" b="0"/>
            <wp:docPr id="9" name="Chart 9">
              <a:extLst xmlns:a="http://schemas.openxmlformats.org/drawingml/2006/main">
                <a:ext uri="{FF2B5EF4-FFF2-40B4-BE49-F238E27FC236}">
                  <a16:creationId xmlns:a16="http://schemas.microsoft.com/office/drawing/2014/main" id="{77BBCDBF-136A-4128-B495-709568C00A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7B41213" w14:textId="77777777" w:rsidR="002C51B4" w:rsidRPr="00A27108" w:rsidRDefault="002C51B4" w:rsidP="002C51B4">
      <w:pPr>
        <w:rPr>
          <w:rFonts w:ascii="EC Square Sans Cond Pro" w:hAnsi="EC Square Sans Cond Pro"/>
          <w:i/>
          <w:iCs/>
          <w:noProof/>
          <w:color w:val="4472C4" w:themeColor="accent1"/>
          <w:sz w:val="20"/>
          <w:szCs w:val="16"/>
        </w:rPr>
      </w:pPr>
      <w:r>
        <w:rPr>
          <w:rFonts w:ascii="EC Square Sans Cond Pro" w:hAnsi="EC Square Sans Cond Pro"/>
          <w:noProof/>
          <w:color w:val="4472C4" w:themeColor="accent1"/>
          <w:sz w:val="20"/>
        </w:rPr>
        <w:t>Source: Commission européenne, sur la base de l’OMC</w:t>
      </w:r>
    </w:p>
    <w:p w14:paraId="622644FB" w14:textId="77777777" w:rsidR="002C51B4" w:rsidRDefault="002C51B4" w:rsidP="002C51B4">
      <w:pPr>
        <w:jc w:val="both"/>
        <w:rPr>
          <w:rFonts w:ascii="Times New Roman" w:hAnsi="Times New Roman" w:cs="Times New Roman"/>
          <w:noProof/>
          <w:color w:val="000000"/>
          <w:sz w:val="24"/>
          <w:szCs w:val="24"/>
          <w:shd w:val="clear" w:color="auto" w:fill="FFFFFF"/>
        </w:rPr>
      </w:pPr>
      <w:r>
        <w:rPr>
          <w:rStyle w:val="normaltextrun"/>
          <w:rFonts w:ascii="Times New Roman" w:hAnsi="Times New Roman"/>
          <w:noProof/>
          <w:sz w:val="24"/>
        </w:rPr>
        <w:t>La</w:t>
      </w:r>
      <w:r>
        <w:rPr>
          <w:rFonts w:ascii="Times New Roman" w:hAnsi="Times New Roman"/>
          <w:noProof/>
          <w:sz w:val="24"/>
        </w:rPr>
        <w:t xml:space="preserve"> </w:t>
      </w:r>
      <w:r>
        <w:rPr>
          <w:rFonts w:ascii="Times New Roman" w:hAnsi="Times New Roman"/>
          <w:noProof/>
          <w:color w:val="000000"/>
          <w:sz w:val="24"/>
          <w:shd w:val="clear" w:color="auto" w:fill="FFFFFF"/>
        </w:rPr>
        <w:t>crise liée à la pandémie de COVID-</w:t>
      </w:r>
      <w:r w:rsidRPr="00F3116B">
        <w:rPr>
          <w:rFonts w:ascii="Times New Roman" w:hAnsi="Times New Roman"/>
          <w:noProof/>
          <w:color w:val="000000"/>
          <w:sz w:val="24"/>
          <w:shd w:val="clear" w:color="auto" w:fill="FFFFFF"/>
        </w:rPr>
        <w:t>19</w:t>
      </w:r>
      <w:r>
        <w:rPr>
          <w:rFonts w:ascii="Times New Roman" w:hAnsi="Times New Roman"/>
          <w:noProof/>
          <w:color w:val="000000"/>
          <w:sz w:val="24"/>
          <w:shd w:val="clear" w:color="auto" w:fill="FFFFFF"/>
        </w:rPr>
        <w:t xml:space="preserve"> et l’invasion de l’Ukraine par la Russie ont révélé la vulnérabilité du marché unique aux perturbations de la chaîne d’approvisionnement, d'où la nécessaire adoption de mesures audacieuses, y compris des mesures de réciprocité, des achats communs et un approvisionnement diversifié</w:t>
      </w:r>
      <w:r>
        <w:rPr>
          <w:rStyle w:val="FootnoteReference"/>
          <w:rFonts w:ascii="Times New Roman" w:hAnsi="Times New Roman" w:cs="Times New Roman"/>
          <w:noProof/>
          <w:color w:val="000000"/>
          <w:sz w:val="24"/>
          <w:szCs w:val="24"/>
          <w:shd w:val="clear" w:color="auto" w:fill="FFFFFF"/>
          <w:lang w:val="en-IE"/>
        </w:rPr>
        <w:footnoteReference w:id="98"/>
      </w:r>
      <w:r>
        <w:rPr>
          <w:rFonts w:ascii="Times New Roman" w:hAnsi="Times New Roman"/>
          <w:noProof/>
          <w:color w:val="000000"/>
          <w:sz w:val="24"/>
          <w:shd w:val="clear" w:color="auto" w:fill="FFFFFF"/>
        </w:rPr>
        <w:t xml:space="preserve">. La plateforme énergétique de l’UE a joué un rôle essentiel dans la mise en commun de la demande des acheteurs européens et dans la sécurisation de l’approvisionnement en gazpar les producteurs et fournisseurs internationaux. Elle pourrait servir de modèle pour organiser l’achat conjoint de produits de base stratégiques, notamment l’hydrogène et les matières premières critiques. </w:t>
      </w:r>
    </w:p>
    <w:p w14:paraId="71314877" w14:textId="77777777" w:rsidR="002C51B4" w:rsidRDefault="002C51B4" w:rsidP="002C51B4">
      <w:pPr>
        <w:jc w:val="both"/>
        <w:rPr>
          <w:rFonts w:ascii="Times New Roman" w:hAnsi="Times New Roman" w:cs="Times New Roman"/>
          <w:noProof/>
          <w:color w:val="000000"/>
          <w:sz w:val="24"/>
          <w:szCs w:val="24"/>
          <w:shd w:val="clear" w:color="auto" w:fill="FFFFFF"/>
        </w:rPr>
      </w:pPr>
      <w:r>
        <w:rPr>
          <w:rFonts w:ascii="Times New Roman" w:hAnsi="Times New Roman"/>
          <w:noProof/>
          <w:color w:val="000000"/>
          <w:sz w:val="24"/>
          <w:shd w:val="clear" w:color="auto" w:fill="FFFFFF"/>
        </w:rPr>
        <w:t>Les</w:t>
      </w:r>
      <w:r>
        <w:rPr>
          <w:rFonts w:ascii="Times New Roman" w:hAnsi="Times New Roman"/>
          <w:b/>
          <w:noProof/>
          <w:color w:val="000000"/>
          <w:sz w:val="24"/>
          <w:shd w:val="clear" w:color="auto" w:fill="FFFFFF"/>
        </w:rPr>
        <w:t xml:space="preserve"> risques que représente la Chine pour l’UE</w:t>
      </w:r>
      <w:r>
        <w:rPr>
          <w:rFonts w:ascii="Times New Roman" w:hAnsi="Times New Roman"/>
          <w:noProof/>
          <w:color w:val="000000"/>
          <w:sz w:val="24"/>
          <w:shd w:val="clear" w:color="auto" w:fill="FFFFFF"/>
        </w:rPr>
        <w:t xml:space="preserve"> se sont accrus au cours des deux dernières décennies. Les contrôles à l'exportation</w:t>
      </w:r>
      <w:r>
        <w:rPr>
          <w:rFonts w:ascii="Times New Roman" w:hAnsi="Times New Roman"/>
          <w:noProof/>
          <w:sz w:val="24"/>
        </w:rPr>
        <w:t>, que la Chine a introduits récemment</w:t>
      </w:r>
      <w:r>
        <w:rPr>
          <w:rFonts w:ascii="Times New Roman" w:hAnsi="Times New Roman"/>
          <w:noProof/>
          <w:color w:val="000000"/>
          <w:sz w:val="24"/>
          <w:shd w:val="clear" w:color="auto" w:fill="FFFFFF"/>
        </w:rPr>
        <w:t>pour le gallium, le germanium et les produits à base de graphite artificiel</w:t>
      </w:r>
      <w:r>
        <w:rPr>
          <w:rFonts w:ascii="Times New Roman" w:hAnsi="Times New Roman"/>
          <w:noProof/>
          <w:color w:val="000000" w:themeColor="text1"/>
          <w:sz w:val="24"/>
        </w:rPr>
        <w:t xml:space="preserve"> montrent les risques inhérents à une forte dépendance économique  vis-à-vis d’un seul fournisseur hors UE. </w:t>
      </w:r>
      <w:r>
        <w:rPr>
          <w:rFonts w:ascii="Times New Roman" w:hAnsi="Times New Roman"/>
          <w:noProof/>
          <w:color w:val="000000"/>
          <w:sz w:val="24"/>
          <w:shd w:val="clear" w:color="auto" w:fill="FFFFFF"/>
        </w:rPr>
        <w:t xml:space="preserve">Dans ce contexte, la Commission élabore et met en œuvre sa stratégie de réduction des risques à l’égard de la Chine.    </w:t>
      </w:r>
    </w:p>
    <w:p w14:paraId="0AB60408" w14:textId="77777777" w:rsidR="002C51B4" w:rsidRDefault="002C51B4" w:rsidP="002C51B4">
      <w:p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En réponse à la demande du Conseil européen d’octobre </w:t>
      </w:r>
      <w:r w:rsidRPr="00F3116B">
        <w:rPr>
          <w:rFonts w:ascii="Times New Roman" w:hAnsi="Times New Roman"/>
          <w:noProof/>
          <w:color w:val="000000" w:themeColor="text1"/>
          <w:sz w:val="24"/>
        </w:rPr>
        <w:t>2020</w:t>
      </w:r>
      <w:r>
        <w:rPr>
          <w:rFonts w:ascii="Times New Roman" w:hAnsi="Times New Roman"/>
          <w:noProof/>
          <w:color w:val="000000" w:themeColor="text1"/>
          <w:sz w:val="24"/>
        </w:rPr>
        <w:t xml:space="preserve">, la Commission a recensé les </w:t>
      </w:r>
      <w:r>
        <w:rPr>
          <w:rFonts w:ascii="Times New Roman" w:hAnsi="Times New Roman"/>
          <w:b/>
          <w:noProof/>
          <w:color w:val="000000" w:themeColor="text1"/>
          <w:sz w:val="24"/>
        </w:rPr>
        <w:t>dépendances stratégiques</w:t>
      </w:r>
      <w:r>
        <w:rPr>
          <w:rStyle w:val="FootnoteReference"/>
          <w:rFonts w:ascii="Times New Roman" w:hAnsi="Times New Roman" w:cs="Times New Roman"/>
          <w:b/>
          <w:bCs/>
          <w:noProof/>
          <w:color w:val="000000" w:themeColor="text1"/>
          <w:sz w:val="24"/>
          <w:szCs w:val="24"/>
          <w:lang w:val="en-IE"/>
        </w:rPr>
        <w:footnoteReference w:id="99"/>
      </w:r>
      <w:r>
        <w:rPr>
          <w:rFonts w:ascii="Times New Roman" w:hAnsi="Times New Roman"/>
          <w:noProof/>
          <w:color w:val="000000" w:themeColor="text1"/>
          <w:sz w:val="24"/>
        </w:rPr>
        <w:t xml:space="preserve"> de l’UE et commencé à s’y attaquer. </w:t>
      </w:r>
      <w:r>
        <w:rPr>
          <w:rFonts w:ascii="Times New Roman" w:hAnsi="Times New Roman"/>
          <w:noProof/>
          <w:color w:val="000000"/>
          <w:sz w:val="24"/>
          <w:shd w:val="clear" w:color="auto" w:fill="FFFFFF"/>
        </w:rPr>
        <w:t xml:space="preserve">Les dépendances stratégiques représentent environ </w:t>
      </w:r>
      <w:r w:rsidRPr="00F3116B">
        <w:rPr>
          <w:rFonts w:ascii="Times New Roman" w:hAnsi="Times New Roman"/>
          <w:noProof/>
          <w:color w:val="000000"/>
          <w:sz w:val="24"/>
          <w:shd w:val="clear" w:color="auto" w:fill="FFFFFF"/>
        </w:rPr>
        <w:t>9</w:t>
      </w:r>
      <w:r>
        <w:rPr>
          <w:rFonts w:ascii="Times New Roman" w:hAnsi="Times New Roman"/>
          <w:noProof/>
          <w:color w:val="000000"/>
          <w:sz w:val="24"/>
          <w:shd w:val="clear" w:color="auto" w:fill="FFFFFF"/>
        </w:rPr>
        <w:t>,</w:t>
      </w:r>
      <w:r w:rsidRPr="00F3116B">
        <w:rPr>
          <w:rFonts w:ascii="Times New Roman" w:hAnsi="Times New Roman"/>
          <w:noProof/>
          <w:color w:val="000000"/>
          <w:sz w:val="24"/>
          <w:shd w:val="clear" w:color="auto" w:fill="FFFFFF"/>
        </w:rPr>
        <w:t>2</w:t>
      </w:r>
      <w:r>
        <w:rPr>
          <w:rFonts w:ascii="Times New Roman" w:hAnsi="Times New Roman"/>
          <w:noProof/>
          <w:color w:val="000000"/>
          <w:sz w:val="24"/>
          <w:shd w:val="clear" w:color="auto" w:fill="FFFFFF"/>
        </w:rPr>
        <w:t> % du total des importations extra-UE,</w:t>
      </w:r>
      <w:r>
        <w:rPr>
          <w:rFonts w:ascii="Times New Roman" w:hAnsi="Times New Roman"/>
          <w:noProof/>
          <w:sz w:val="24"/>
        </w:rPr>
        <w:t xml:space="preserve"> avec des points de défaillance uniques</w:t>
      </w:r>
      <w:r>
        <w:rPr>
          <w:rStyle w:val="FootnoteReference"/>
          <w:rFonts w:ascii="Times New Roman" w:hAnsi="Times New Roman" w:cs="Times New Roman"/>
          <w:noProof/>
          <w:sz w:val="24"/>
          <w:szCs w:val="24"/>
        </w:rPr>
        <w:footnoteReference w:id="100"/>
      </w:r>
      <w:r>
        <w:rPr>
          <w:rFonts w:ascii="Times New Roman" w:hAnsi="Times New Roman"/>
          <w:noProof/>
          <w:sz w:val="24"/>
        </w:rPr>
        <w:t xml:space="preserve"> dans </w:t>
      </w:r>
      <w:r w:rsidRPr="00F3116B">
        <w:rPr>
          <w:rFonts w:ascii="Times New Roman" w:hAnsi="Times New Roman"/>
          <w:noProof/>
          <w:sz w:val="24"/>
        </w:rPr>
        <w:t>40</w:t>
      </w:r>
      <w:r>
        <w:rPr>
          <w:rFonts w:ascii="Times New Roman" w:hAnsi="Times New Roman"/>
          <w:noProof/>
          <w:sz w:val="24"/>
        </w:rPr>
        <w:t xml:space="preserve"> % des cas identifiés. </w:t>
      </w:r>
      <w:r>
        <w:rPr>
          <w:rFonts w:ascii="Times New Roman" w:hAnsi="Times New Roman"/>
          <w:noProof/>
          <w:color w:val="000000" w:themeColor="text1"/>
          <w:sz w:val="24"/>
        </w:rPr>
        <w:t xml:space="preserve">Des secteurs clés tels que l’espace et la défense sont également exposés aux dépendances étrangères, ce qui plaide pour une intégration accrue de ces marchés au sein de l’Union. </w:t>
      </w:r>
    </w:p>
    <w:p w14:paraId="03C551B2" w14:textId="77777777" w:rsidR="002C51B4" w:rsidDel="00E17E0C" w:rsidRDefault="002C51B4" w:rsidP="002C51B4">
      <w:pPr>
        <w:jc w:val="both"/>
        <w:rPr>
          <w:rStyle w:val="normaltextrun"/>
          <w:rFonts w:ascii="Times New Roman" w:hAnsi="Times New Roman" w:cs="Times New Roman"/>
          <w:noProof/>
          <w:sz w:val="24"/>
          <w:szCs w:val="24"/>
        </w:rPr>
      </w:pPr>
      <w:r>
        <w:rPr>
          <w:rStyle w:val="normaltextrun"/>
          <w:rFonts w:ascii="Times New Roman" w:hAnsi="Times New Roman"/>
          <w:noProof/>
          <w:sz w:val="24"/>
        </w:rPr>
        <w:t xml:space="preserve">Plusieurs </w:t>
      </w:r>
      <w:r>
        <w:rPr>
          <w:rStyle w:val="normaltextrun"/>
          <w:rFonts w:ascii="Times New Roman" w:hAnsi="Times New Roman"/>
          <w:b/>
          <w:noProof/>
          <w:sz w:val="24"/>
        </w:rPr>
        <w:t>pays tiers</w:t>
      </w:r>
      <w:r>
        <w:rPr>
          <w:rStyle w:val="normaltextrun"/>
          <w:rFonts w:ascii="Times New Roman" w:hAnsi="Times New Roman"/>
          <w:noProof/>
          <w:sz w:val="24"/>
        </w:rPr>
        <w:t xml:space="preserve"> ont pris des mesures pour réduire leurs propres dépendances et stimuler le crédit et les investissements dans des secteurs stratégiques</w:t>
      </w:r>
      <w:r>
        <w:rPr>
          <w:rStyle w:val="FootnoteReference"/>
          <w:rFonts w:ascii="Times New Roman" w:hAnsi="Times New Roman" w:cs="Times New Roman"/>
          <w:noProof/>
          <w:sz w:val="24"/>
          <w:szCs w:val="24"/>
        </w:rPr>
        <w:footnoteReference w:id="101"/>
      </w:r>
      <w:r>
        <w:rPr>
          <w:rStyle w:val="normaltextrun"/>
          <w:rFonts w:ascii="Times New Roman" w:hAnsi="Times New Roman"/>
          <w:noProof/>
          <w:sz w:val="24"/>
        </w:rPr>
        <w:t xml:space="preserve">. Grâce aux subventions publiques en faveur des entreprises publiques, aux programmes de soutien, aux fonds d’orientation des pouvoirs publics et à ses pratiques commerciales, la Chine est aujourd’hui à l’avant-garde du marché des technologies propres. Les investissements annoncés par la Chine dépassent les </w:t>
      </w:r>
      <w:r w:rsidRPr="00F3116B">
        <w:rPr>
          <w:rStyle w:val="normaltextrun"/>
          <w:rFonts w:ascii="Times New Roman" w:hAnsi="Times New Roman"/>
          <w:noProof/>
          <w:sz w:val="24"/>
        </w:rPr>
        <w:t>280</w:t>
      </w:r>
      <w:r>
        <w:rPr>
          <w:rStyle w:val="normaltextrun"/>
          <w:rFonts w:ascii="Times New Roman" w:hAnsi="Times New Roman"/>
          <w:noProof/>
          <w:sz w:val="24"/>
        </w:rPr>
        <w:t> milliards de dollars, ce qui entraîne des surcapacités et une pression sur les prix qui pourraient compromettre la rentabilité des industries d’autres pays. Par l'adoption de l’Inflation Reduction Act (IRA)(loi sur la réduction de l’inflation), les États-Unis ont intensifié leurs efforts de lutte contre le changement climatique. L’approche américaine repose sur des subventions qui visent à créer une base de production nationale de technologies «zéro net». Certains éléments de cette loi , notamment en ce qui concerne les contenus discriminatoires, les exigences en matière d’assemblage et les subventions à la production, ont suscité l’inquiétude de l’UE et d’autres partenaires internationaux</w:t>
      </w:r>
      <w:r>
        <w:rPr>
          <w:rStyle w:val="FootnoteReference"/>
          <w:rFonts w:ascii="Times New Roman" w:hAnsi="Times New Roman" w:cs="Times New Roman"/>
          <w:noProof/>
          <w:sz w:val="24"/>
          <w:szCs w:val="24"/>
        </w:rPr>
        <w:footnoteReference w:id="102"/>
      </w:r>
      <w:r>
        <w:rPr>
          <w:rStyle w:val="normaltextrun"/>
          <w:rFonts w:ascii="Times New Roman" w:hAnsi="Times New Roman"/>
          <w:noProof/>
          <w:sz w:val="24"/>
        </w:rPr>
        <w:t xml:space="preserve">.  Par exemple, les crédits d’impôt prévus augmentent l’avantage en termes de coûts pour la production nationale de batteries, et représentent de </w:t>
      </w:r>
      <w:r w:rsidRPr="00F3116B">
        <w:rPr>
          <w:rStyle w:val="normaltextrun"/>
          <w:rFonts w:ascii="Times New Roman" w:hAnsi="Times New Roman"/>
          <w:noProof/>
          <w:sz w:val="24"/>
        </w:rPr>
        <w:t>25</w:t>
      </w:r>
      <w:r>
        <w:rPr>
          <w:rStyle w:val="normaltextrun"/>
          <w:rFonts w:ascii="Times New Roman" w:hAnsi="Times New Roman"/>
          <w:noProof/>
          <w:sz w:val="24"/>
        </w:rPr>
        <w:t xml:space="preserve"> à </w:t>
      </w:r>
      <w:r w:rsidRPr="00F3116B">
        <w:rPr>
          <w:rStyle w:val="normaltextrun"/>
          <w:rFonts w:ascii="Times New Roman" w:hAnsi="Times New Roman"/>
          <w:noProof/>
          <w:sz w:val="24"/>
        </w:rPr>
        <w:t>30</w:t>
      </w:r>
      <w:r>
        <w:rPr>
          <w:rStyle w:val="normaltextrun"/>
          <w:rFonts w:ascii="Times New Roman" w:hAnsi="Times New Roman"/>
          <w:noProof/>
          <w:sz w:val="24"/>
        </w:rPr>
        <w:t> % du total des coûts de production</w:t>
      </w:r>
      <w:r w:rsidDel="00E17E0C">
        <w:rPr>
          <w:rStyle w:val="FootnoteReference"/>
          <w:rFonts w:ascii="Times New Roman" w:hAnsi="Times New Roman" w:cs="Times New Roman"/>
          <w:noProof/>
          <w:sz w:val="24"/>
          <w:szCs w:val="24"/>
        </w:rPr>
        <w:footnoteReference w:id="103"/>
      </w:r>
      <w:r>
        <w:rPr>
          <w:rStyle w:val="normaltextrun"/>
          <w:rFonts w:ascii="Times New Roman" w:hAnsi="Times New Roman"/>
          <w:noProof/>
          <w:sz w:val="24"/>
        </w:rPr>
        <w:t>.</w:t>
      </w:r>
    </w:p>
    <w:p w14:paraId="43DBC246" w14:textId="77777777" w:rsidR="002C51B4" w:rsidDel="00E17E0C" w:rsidRDefault="002C51B4" w:rsidP="002C51B4">
      <w:p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Pour relever ces défis, l’UE a élaboré sa propre panoplie d'instruments, en combinant des efforts pour diversifier l’approvisionnement et pour renforcer les capacités nationales</w:t>
      </w:r>
      <w:r>
        <w:rPr>
          <w:rStyle w:val="FootnoteReference"/>
          <w:rFonts w:ascii="Times New Roman" w:hAnsi="Times New Roman" w:cs="Times New Roman"/>
          <w:noProof/>
          <w:color w:val="000000" w:themeColor="text1"/>
          <w:sz w:val="24"/>
          <w:szCs w:val="24"/>
          <w:lang w:val="en-IE"/>
        </w:rPr>
        <w:footnoteReference w:id="104"/>
      </w:r>
      <w:r>
        <w:rPr>
          <w:rFonts w:ascii="Times New Roman" w:hAnsi="Times New Roman"/>
          <w:noProof/>
          <w:color w:val="000000" w:themeColor="text1"/>
          <w:sz w:val="24"/>
        </w:rPr>
        <w:t xml:space="preserve">. </w:t>
      </w:r>
    </w:p>
    <w:p w14:paraId="60B8E280" w14:textId="77777777" w:rsidR="002C51B4" w:rsidRDefault="002C51B4" w:rsidP="002C51B4">
      <w:pPr>
        <w:jc w:val="both"/>
        <w:rPr>
          <w:rFonts w:ascii="Times New Roman" w:hAnsi="Times New Roman" w:cs="Times New Roman"/>
          <w:noProof/>
          <w:color w:val="000000"/>
          <w:sz w:val="24"/>
          <w:szCs w:val="24"/>
          <w:shd w:val="clear" w:color="auto" w:fill="FFFFFF"/>
        </w:rPr>
      </w:pPr>
      <w:r>
        <w:rPr>
          <w:rFonts w:ascii="Times New Roman" w:hAnsi="Times New Roman"/>
          <w:noProof/>
          <w:sz w:val="24"/>
        </w:rPr>
        <w:t xml:space="preserve">La Commission continue de participer activement à la sauvegarde et à la réforme de l’OMC afin de lutter plus efficacement contre les distorsions de concurrence, la </w:t>
      </w:r>
      <w:r w:rsidRPr="00F3116B">
        <w:rPr>
          <w:rFonts w:ascii="Times New Roman" w:hAnsi="Times New Roman"/>
          <w:noProof/>
          <w:sz w:val="24"/>
        </w:rPr>
        <w:t>13</w:t>
      </w:r>
      <w:r>
        <w:rPr>
          <w:rFonts w:ascii="Times New Roman" w:hAnsi="Times New Roman"/>
          <w:noProof/>
          <w:sz w:val="24"/>
          <w:vertAlign w:val="superscript"/>
        </w:rPr>
        <w:t>e</w:t>
      </w:r>
      <w:r>
        <w:rPr>
          <w:rFonts w:ascii="Times New Roman" w:hAnsi="Times New Roman"/>
          <w:noProof/>
          <w:sz w:val="24"/>
        </w:rPr>
        <w:t xml:space="preserve"> conférence ministérielle à venir constituant une occasion importante. Elle a également conclu des accords de libre-échange et des accords de partenariat économique, notamment avec la Nouvelle-Zélande, le Kenya et le Chili, et en négocie d’autres.</w:t>
      </w:r>
      <w:r>
        <w:rPr>
          <w:rFonts w:ascii="Times New Roman" w:hAnsi="Times New Roman"/>
          <w:noProof/>
          <w:color w:val="000000"/>
          <w:sz w:val="24"/>
          <w:shd w:val="clear" w:color="auto" w:fill="FFFFFF"/>
        </w:rPr>
        <w:t xml:space="preserve"> Parallèlement, afin d’accélérer la coopération industrielle, l’UE a conclu des </w:t>
      </w:r>
      <w:r>
        <w:rPr>
          <w:rFonts w:ascii="Times New Roman" w:hAnsi="Times New Roman"/>
          <w:b/>
          <w:noProof/>
          <w:color w:val="000000"/>
          <w:sz w:val="24"/>
          <w:shd w:val="clear" w:color="auto" w:fill="FFFFFF"/>
        </w:rPr>
        <w:t>partenariats stratégiques sur les matières premières</w:t>
      </w:r>
      <w:r>
        <w:rPr>
          <w:rFonts w:ascii="Times New Roman" w:hAnsi="Times New Roman"/>
          <w:noProof/>
          <w:color w:val="000000"/>
          <w:sz w:val="24"/>
          <w:shd w:val="clear" w:color="auto" w:fill="FFFFFF"/>
        </w:rPr>
        <w:t xml:space="preserve"> avec le Canada, l’Ukraine, le Kazakhstan, la Namibie, l’Argentine, le Chili, la République démocratique du Congo, la Zambie et le Groenland. </w:t>
      </w:r>
      <w:r>
        <w:rPr>
          <w:rFonts w:ascii="Times New Roman" w:hAnsi="Times New Roman"/>
          <w:noProof/>
          <w:color w:val="000000" w:themeColor="text1"/>
          <w:sz w:val="24"/>
        </w:rPr>
        <w:t>Ces partenariats facilitent</w:t>
      </w:r>
      <w:r>
        <w:rPr>
          <w:rFonts w:ascii="Times New Roman" w:hAnsi="Times New Roman"/>
          <w:noProof/>
          <w:sz w:val="24"/>
        </w:rPr>
        <w:t xml:space="preserve"> </w:t>
      </w:r>
      <w:r>
        <w:rPr>
          <w:rFonts w:ascii="Times New Roman" w:hAnsi="Times New Roman"/>
          <w:noProof/>
          <w:color w:val="000000"/>
          <w:sz w:val="24"/>
          <w:shd w:val="clear" w:color="auto" w:fill="FFFFFF"/>
        </w:rPr>
        <w:t>les projets industriels portant sur les matières premières dans les pays tiers lorsque des acheteurs européens y participent</w:t>
      </w:r>
      <w:r>
        <w:rPr>
          <w:rStyle w:val="FootnoteReference"/>
          <w:rFonts w:ascii="Times New Roman" w:hAnsi="Times New Roman" w:cs="Times New Roman"/>
          <w:noProof/>
          <w:color w:val="000000"/>
          <w:sz w:val="24"/>
          <w:szCs w:val="24"/>
          <w:shd w:val="clear" w:color="auto" w:fill="FFFFFF"/>
          <w:lang w:val="en-IE"/>
        </w:rPr>
        <w:footnoteReference w:id="105"/>
      </w:r>
      <w:r>
        <w:rPr>
          <w:rFonts w:ascii="Times New Roman" w:hAnsi="Times New Roman"/>
          <w:noProof/>
          <w:sz w:val="24"/>
        </w:rPr>
        <w:t xml:space="preserve"> et soutiennent le développement de chaînes de valeur durables et d’emplois locaux de qualité</w:t>
      </w:r>
      <w:r>
        <w:rPr>
          <w:rStyle w:val="cf01"/>
          <w:rFonts w:ascii="Times New Roman" w:hAnsi="Times New Roman"/>
          <w:noProof/>
          <w:sz w:val="24"/>
        </w:rPr>
        <w:t xml:space="preserve">. Les partenariats avec les pays en développement s’inscrivent dans le cadre plus large de la stratégie </w:t>
      </w:r>
      <w:r>
        <w:rPr>
          <w:rStyle w:val="cf01"/>
          <w:rFonts w:ascii="Times New Roman" w:hAnsi="Times New Roman"/>
          <w:b/>
          <w:noProof/>
          <w:sz w:val="24"/>
        </w:rPr>
        <w:t>«Global Gateway»</w:t>
      </w:r>
      <w:r>
        <w:rPr>
          <w:rStyle w:val="cf01"/>
          <w:rFonts w:ascii="Times New Roman" w:hAnsi="Times New Roman"/>
          <w:noProof/>
          <w:sz w:val="24"/>
        </w:rPr>
        <w:t xml:space="preserve"> de l’UE. </w:t>
      </w:r>
      <w:r>
        <w:rPr>
          <w:rFonts w:ascii="Times New Roman" w:hAnsi="Times New Roman"/>
          <w:noProof/>
          <w:sz w:val="24"/>
        </w:rPr>
        <w:t xml:space="preserve"> </w:t>
      </w:r>
      <w:r>
        <w:rPr>
          <w:rFonts w:ascii="Times New Roman" w:hAnsi="Times New Roman"/>
          <w:noProof/>
          <w:color w:val="000000" w:themeColor="text1"/>
          <w:sz w:val="24"/>
        </w:rPr>
        <w:t xml:space="preserve">L’UE a aussi conclu quatre </w:t>
      </w:r>
      <w:r>
        <w:rPr>
          <w:rFonts w:ascii="Times New Roman" w:hAnsi="Times New Roman"/>
          <w:b/>
          <w:noProof/>
          <w:color w:val="000000" w:themeColor="text1"/>
          <w:sz w:val="24"/>
        </w:rPr>
        <w:t>partenariats numériques</w:t>
      </w:r>
      <w:r>
        <w:rPr>
          <w:rFonts w:ascii="Times New Roman" w:hAnsi="Times New Roman"/>
          <w:noProof/>
          <w:color w:val="000000" w:themeColor="text1"/>
          <w:sz w:val="24"/>
        </w:rPr>
        <w:t xml:space="preserve">, avec le Japon, la Corée, Singapour et le Canada, qui portent en particulier sur la sécurité de la </w:t>
      </w:r>
      <w:r w:rsidRPr="00F3116B">
        <w:rPr>
          <w:rFonts w:ascii="Times New Roman" w:hAnsi="Times New Roman"/>
          <w:noProof/>
          <w:color w:val="000000" w:themeColor="text1"/>
          <w:sz w:val="24"/>
        </w:rPr>
        <w:t>5</w:t>
      </w:r>
      <w:r>
        <w:rPr>
          <w:rFonts w:ascii="Times New Roman" w:hAnsi="Times New Roman"/>
          <w:noProof/>
          <w:color w:val="000000" w:themeColor="text1"/>
          <w:sz w:val="24"/>
        </w:rPr>
        <w:t>G, la cybersécurité, l’informatique quantique et la résilience de l’industrie des semi-conducteurs</w:t>
      </w:r>
      <w:r>
        <w:rPr>
          <w:rStyle w:val="FootnoteReference"/>
          <w:rFonts w:ascii="Times New Roman" w:hAnsi="Times New Roman" w:cs="Times New Roman"/>
          <w:noProof/>
          <w:color w:val="000000"/>
          <w:sz w:val="24"/>
          <w:szCs w:val="24"/>
          <w:shd w:val="clear" w:color="auto" w:fill="FFFFFF"/>
          <w:lang w:val="en-IE"/>
        </w:rPr>
        <w:footnoteReference w:id="106"/>
      </w:r>
      <w:r>
        <w:rPr>
          <w:rFonts w:ascii="Times New Roman" w:hAnsi="Times New Roman"/>
          <w:noProof/>
          <w:color w:val="000000" w:themeColor="text1"/>
          <w:sz w:val="24"/>
        </w:rPr>
        <w:t xml:space="preserve">. </w:t>
      </w:r>
      <w:r>
        <w:rPr>
          <w:rFonts w:ascii="Times New Roman" w:hAnsi="Times New Roman"/>
          <w:noProof/>
          <w:sz w:val="24"/>
        </w:rPr>
        <w:t xml:space="preserve">L’UE œuvre également à l’élaboration de </w:t>
      </w:r>
      <w:r>
        <w:rPr>
          <w:rFonts w:ascii="Times New Roman" w:hAnsi="Times New Roman"/>
          <w:b/>
          <w:noProof/>
          <w:sz w:val="24"/>
        </w:rPr>
        <w:t>règles contraignantes en matière de commerce numérique</w:t>
      </w:r>
      <w:r>
        <w:rPr>
          <w:rFonts w:ascii="Times New Roman" w:hAnsi="Times New Roman"/>
          <w:noProof/>
          <w:sz w:val="24"/>
        </w:rPr>
        <w:t xml:space="preserve"> avec ses principaux partenaires</w:t>
      </w:r>
      <w:r w:rsidRPr="00476A6C">
        <w:rPr>
          <w:rStyle w:val="FootnoteReference"/>
          <w:rFonts w:ascii="Times New Roman" w:hAnsi="Times New Roman" w:cs="Times New Roman"/>
          <w:noProof/>
          <w:sz w:val="24"/>
          <w:szCs w:val="24"/>
        </w:rPr>
        <w:footnoteReference w:id="107"/>
      </w:r>
      <w:r>
        <w:rPr>
          <w:rFonts w:ascii="Times New Roman" w:hAnsi="Times New Roman"/>
          <w:noProof/>
          <w:sz w:val="24"/>
        </w:rPr>
        <w:t xml:space="preserve">. </w:t>
      </w:r>
    </w:p>
    <w:p w14:paraId="2FD637FF" w14:textId="77777777" w:rsidR="002C51B4" w:rsidRDefault="002C51B4" w:rsidP="002C51B4">
      <w:pPr>
        <w:jc w:val="both"/>
        <w:rPr>
          <w:rFonts w:ascii="Times New Roman" w:hAnsi="Times New Roman" w:cs="Times New Roman"/>
          <w:noProof/>
          <w:sz w:val="24"/>
          <w:szCs w:val="24"/>
        </w:rPr>
      </w:pPr>
      <w:r>
        <w:rPr>
          <w:rFonts w:ascii="Times New Roman" w:hAnsi="Times New Roman"/>
          <w:noProof/>
          <w:sz w:val="24"/>
        </w:rPr>
        <w:t>L’UE</w:t>
      </w:r>
      <w:r>
        <w:rPr>
          <w:rFonts w:ascii="Times New Roman" w:hAnsi="Times New Roman"/>
          <w:noProof/>
          <w:color w:val="000000" w:themeColor="text1"/>
          <w:sz w:val="24"/>
        </w:rPr>
        <w:t xml:space="preserve"> a par ailleurs adopté</w:t>
      </w:r>
      <w:r>
        <w:rPr>
          <w:rFonts w:ascii="Times New Roman" w:hAnsi="Times New Roman"/>
          <w:noProof/>
          <w:sz w:val="24"/>
        </w:rPr>
        <w:t xml:space="preserve"> </w:t>
      </w:r>
      <w:r>
        <w:rPr>
          <w:rFonts w:ascii="Times New Roman" w:hAnsi="Times New Roman"/>
          <w:noProof/>
          <w:color w:val="000000"/>
          <w:sz w:val="24"/>
          <w:shd w:val="clear" w:color="auto" w:fill="FFFFFF"/>
        </w:rPr>
        <w:t xml:space="preserve">une série de nouveaux instruments parallèlement à ses instruments de défense commerciale afin de défendre </w:t>
      </w:r>
      <w:r>
        <w:rPr>
          <w:rFonts w:ascii="Times New Roman" w:hAnsi="Times New Roman"/>
          <w:b/>
          <w:noProof/>
          <w:color w:val="000000"/>
          <w:sz w:val="24"/>
          <w:shd w:val="clear" w:color="auto" w:fill="FFFFFF"/>
        </w:rPr>
        <w:t>la concurrence sur un pied d’égalité</w:t>
      </w:r>
      <w:r w:rsidRPr="09C57C7C">
        <w:rPr>
          <w:rStyle w:val="FootnoteReference"/>
          <w:rFonts w:ascii="Times New Roman" w:hAnsi="Times New Roman" w:cs="Times New Roman"/>
          <w:b/>
          <w:bCs/>
          <w:noProof/>
          <w:color w:val="000000"/>
          <w:sz w:val="24"/>
          <w:szCs w:val="24"/>
          <w:shd w:val="clear" w:color="auto" w:fill="FFFFFF"/>
          <w:lang w:val="en-IE"/>
        </w:rPr>
        <w:footnoteReference w:id="108"/>
      </w:r>
      <w:r>
        <w:rPr>
          <w:rFonts w:ascii="Times New Roman" w:hAnsi="Times New Roman"/>
          <w:noProof/>
          <w:sz w:val="24"/>
        </w:rPr>
        <w:t>.</w:t>
      </w:r>
      <w:r>
        <w:rPr>
          <w:rFonts w:ascii="Times New Roman" w:hAnsi="Times New Roman"/>
          <w:noProof/>
          <w:color w:val="000000"/>
          <w:sz w:val="24"/>
          <w:shd w:val="clear" w:color="auto" w:fill="FFFFFF"/>
        </w:rPr>
        <w:t xml:space="preserve"> La Commission a</w:t>
      </w:r>
      <w:r>
        <w:rPr>
          <w:rFonts w:ascii="Times New Roman" w:hAnsi="Times New Roman"/>
          <w:noProof/>
          <w:sz w:val="24"/>
        </w:rPr>
        <w:t xml:space="preserve"> </w:t>
      </w:r>
      <w:r>
        <w:rPr>
          <w:rFonts w:ascii="Times New Roman" w:hAnsi="Times New Roman"/>
          <w:noProof/>
          <w:color w:val="000000" w:themeColor="text1"/>
          <w:sz w:val="24"/>
        </w:rPr>
        <w:t>notamment ouvert une procédure formelle d’examen à l’encontre des subventions à l’origine de distorsions de concurrence dans le secteur des véhicules électriques à batterie en provenance de Chine</w:t>
      </w:r>
      <w:r w:rsidRPr="00ED1C75">
        <w:rPr>
          <w:rStyle w:val="FootnoteReference"/>
          <w:rFonts w:ascii="Times New Roman" w:hAnsi="Times New Roman" w:cs="Times New Roman"/>
          <w:noProof/>
          <w:color w:val="000000"/>
          <w:sz w:val="24"/>
          <w:szCs w:val="24"/>
          <w:shd w:val="clear" w:color="auto" w:fill="FFFFFF"/>
          <w:lang w:val="en-IE"/>
        </w:rPr>
        <w:footnoteReference w:id="109"/>
      </w:r>
      <w:r>
        <w:rPr>
          <w:rFonts w:ascii="Times New Roman" w:hAnsi="Times New Roman"/>
          <w:noProof/>
          <w:color w:val="000000" w:themeColor="text1"/>
          <w:sz w:val="24"/>
        </w:rPr>
        <w:t>.</w:t>
      </w:r>
    </w:p>
    <w:p w14:paraId="482EEFE7" w14:textId="77777777" w:rsidR="002C51B4" w:rsidRDefault="002C51B4" w:rsidP="002C51B4">
      <w:pPr>
        <w:jc w:val="both"/>
        <w:rPr>
          <w:rFonts w:ascii="Times New Roman" w:hAnsi="Times New Roman" w:cs="Times New Roman"/>
          <w:noProof/>
          <w:color w:val="000000" w:themeColor="text1"/>
          <w:sz w:val="24"/>
          <w:szCs w:val="24"/>
        </w:rPr>
      </w:pPr>
      <w:r>
        <w:rPr>
          <w:rFonts w:ascii="Times New Roman" w:hAnsi="Times New Roman"/>
          <w:noProof/>
          <w:color w:val="000000"/>
          <w:sz w:val="24"/>
          <w:shd w:val="clear" w:color="auto" w:fill="FFFFFF"/>
        </w:rPr>
        <w:t>En outre, l’UE a aussi adopté</w:t>
      </w:r>
      <w:r>
        <w:rPr>
          <w:rFonts w:ascii="Times New Roman" w:hAnsi="Times New Roman"/>
          <w:noProof/>
          <w:sz w:val="24"/>
        </w:rPr>
        <w:t xml:space="preserve"> </w:t>
      </w:r>
      <w:r>
        <w:rPr>
          <w:rFonts w:ascii="Times New Roman" w:hAnsi="Times New Roman"/>
          <w:noProof/>
          <w:color w:val="000000" w:themeColor="text1"/>
          <w:sz w:val="24"/>
        </w:rPr>
        <w:t xml:space="preserve">la stratégie européenne en matière de sécurité économique. La Commission répond aux risques recensés en proposant des mesures visant à </w:t>
      </w:r>
      <w:r>
        <w:rPr>
          <w:rFonts w:ascii="Times New Roman" w:hAnsi="Times New Roman"/>
          <w:b/>
          <w:noProof/>
          <w:color w:val="000000" w:themeColor="text1"/>
          <w:sz w:val="24"/>
        </w:rPr>
        <w:t>promouvoir</w:t>
      </w:r>
      <w:r>
        <w:rPr>
          <w:rFonts w:ascii="Times New Roman" w:hAnsi="Times New Roman"/>
          <w:noProof/>
          <w:color w:val="000000" w:themeColor="text1"/>
          <w:sz w:val="24"/>
        </w:rPr>
        <w:t xml:space="preserve"> la compétitivité de l’UE, à </w:t>
      </w:r>
      <w:r>
        <w:rPr>
          <w:rFonts w:ascii="Times New Roman" w:hAnsi="Times New Roman"/>
          <w:b/>
          <w:noProof/>
          <w:color w:val="000000" w:themeColor="text1"/>
          <w:sz w:val="24"/>
        </w:rPr>
        <w:t>protéger</w:t>
      </w:r>
      <w:r>
        <w:rPr>
          <w:rFonts w:ascii="Times New Roman" w:hAnsi="Times New Roman"/>
          <w:noProof/>
          <w:color w:val="000000" w:themeColor="text1"/>
          <w:sz w:val="24"/>
        </w:rPr>
        <w:t xml:space="preserve"> sa sécurité économique et à renforcer encore la coopération </w:t>
      </w:r>
      <w:r>
        <w:rPr>
          <w:rFonts w:ascii="Times New Roman" w:hAnsi="Times New Roman"/>
          <w:b/>
          <w:noProof/>
          <w:color w:val="000000" w:themeColor="text1"/>
          <w:sz w:val="24"/>
        </w:rPr>
        <w:t>en établissant des partenariats</w:t>
      </w:r>
      <w:r>
        <w:rPr>
          <w:rFonts w:ascii="Times New Roman" w:hAnsi="Times New Roman"/>
          <w:noProof/>
          <w:color w:val="000000" w:themeColor="text1"/>
          <w:sz w:val="24"/>
        </w:rPr>
        <w:t xml:space="preserve"> avec un large éventail de pays. En janvier </w:t>
      </w:r>
      <w:r w:rsidRPr="00F3116B">
        <w:rPr>
          <w:rFonts w:ascii="Times New Roman" w:hAnsi="Times New Roman"/>
          <w:noProof/>
          <w:color w:val="000000" w:themeColor="text1"/>
          <w:sz w:val="24"/>
        </w:rPr>
        <w:t>2024</w:t>
      </w:r>
      <w:r>
        <w:rPr>
          <w:rFonts w:ascii="Times New Roman" w:hAnsi="Times New Roman"/>
          <w:noProof/>
          <w:color w:val="000000" w:themeColor="text1"/>
          <w:sz w:val="24"/>
        </w:rPr>
        <w:t>, la Commission a adopté un ensemble de propositions visant à mettre en œuvre cette stratégie</w:t>
      </w:r>
      <w:r>
        <w:rPr>
          <w:rStyle w:val="FootnoteReference"/>
          <w:rFonts w:ascii="Times New Roman" w:hAnsi="Times New Roman" w:cs="Times New Roman"/>
          <w:noProof/>
          <w:color w:val="000000" w:themeColor="text1"/>
          <w:sz w:val="24"/>
          <w:szCs w:val="24"/>
          <w:lang w:val="en-IE"/>
        </w:rPr>
        <w:footnoteReference w:id="110"/>
      </w:r>
      <w:r>
        <w:rPr>
          <w:rFonts w:ascii="Times New Roman" w:hAnsi="Times New Roman"/>
          <w:noProof/>
          <w:color w:val="000000" w:themeColor="text1"/>
          <w:sz w:val="24"/>
        </w:rPr>
        <w:t xml:space="preserve">. </w:t>
      </w:r>
    </w:p>
    <w:tbl>
      <w:tblPr>
        <w:tblStyle w:val="TableGrid"/>
        <w:tblW w:w="0" w:type="auto"/>
        <w:tblInd w:w="108" w:type="dxa"/>
        <w:tblLook w:val="04A0" w:firstRow="1" w:lastRow="0" w:firstColumn="1" w:lastColumn="0" w:noHBand="0" w:noVBand="1"/>
      </w:tblPr>
      <w:tblGrid>
        <w:gridCol w:w="9468"/>
      </w:tblGrid>
      <w:tr w:rsidR="002C51B4" w14:paraId="11652B83" w14:textId="77777777" w:rsidTr="00BB6538">
        <w:tc>
          <w:tcPr>
            <w:tcW w:w="9468" w:type="dxa"/>
          </w:tcPr>
          <w:p w14:paraId="4BB64895" w14:textId="77777777" w:rsidR="002C51B4" w:rsidRDefault="002C51B4" w:rsidP="00BB6538">
            <w:pPr>
              <w:keepNext/>
              <w:spacing w:before="120" w:after="120"/>
              <w:jc w:val="both"/>
              <w:rPr>
                <w:rFonts w:ascii="Times New Roman" w:hAnsi="Times New Roman" w:cs="Times New Roman"/>
                <w:bCs/>
                <w:noProof/>
                <w:color w:val="000000"/>
                <w:sz w:val="24"/>
                <w:szCs w:val="24"/>
                <w:shd w:val="clear" w:color="auto" w:fill="FFFFFF"/>
              </w:rPr>
            </w:pPr>
            <w:r>
              <w:rPr>
                <w:rFonts w:ascii="Times New Roman" w:hAnsi="Times New Roman"/>
                <w:noProof/>
                <w:color w:val="000000"/>
                <w:sz w:val="24"/>
                <w:shd w:val="clear" w:color="auto" w:fill="FFFFFF"/>
              </w:rPr>
              <w:t>L’UE devrait mettre en place un réseau plus moderne d’accords commerciaux, de partenariats et d’alliances, tout en continuant à œuvrer au renforcement de la coopération multilatérale et à l’ouverture des échanges.</w:t>
            </w:r>
          </w:p>
          <w:p w14:paraId="2B0B69E7" w14:textId="77777777" w:rsidR="002C51B4" w:rsidRPr="005C3892" w:rsidRDefault="002C51B4" w:rsidP="00BB6538">
            <w:pPr>
              <w:keepNext/>
              <w:spacing w:before="120" w:after="120"/>
              <w:jc w:val="both"/>
              <w:rPr>
                <w:rFonts w:ascii="Times New Roman" w:hAnsi="Times New Roman"/>
                <w:noProof/>
                <w:color w:val="000000"/>
                <w:sz w:val="24"/>
                <w:shd w:val="clear" w:color="auto" w:fill="FFFFFF"/>
              </w:rPr>
            </w:pPr>
            <w:r>
              <w:rPr>
                <w:rFonts w:ascii="Times New Roman" w:hAnsi="Times New Roman"/>
                <w:noProof/>
                <w:color w:val="000000"/>
                <w:sz w:val="24"/>
                <w:shd w:val="clear" w:color="auto" w:fill="FFFFFF"/>
              </w:rPr>
              <w:t xml:space="preserve">Dans le même temps, l’amélioration de notre arsenal d’outils de protection commerciale peut renforcer la sécurité et la résilience économiques. L’UE devrait déployer ses instruments de défense commerciale pour protéger le marché unique lorsque cela s’avère nécessaire et s’efforcer en permanence d’évaluer et de traiter les risques pour la sécurité économique dans un environnement complexe. </w:t>
            </w:r>
          </w:p>
          <w:p w14:paraId="6FEA7A5D" w14:textId="77777777" w:rsidR="002C51B4" w:rsidRDefault="002C51B4" w:rsidP="00BB6538">
            <w:pPr>
              <w:keepNext/>
              <w:spacing w:before="120" w:after="120"/>
              <w:jc w:val="both"/>
              <w:rPr>
                <w:rFonts w:ascii="Times New Roman" w:hAnsi="Times New Roman" w:cs="Times New Roman"/>
                <w:noProof/>
                <w:color w:val="000000"/>
                <w:sz w:val="24"/>
                <w:szCs w:val="24"/>
                <w:shd w:val="clear" w:color="auto" w:fill="FFFFFF"/>
              </w:rPr>
            </w:pPr>
            <w:r>
              <w:rPr>
                <w:rFonts w:ascii="Times New Roman" w:hAnsi="Times New Roman"/>
                <w:noProof/>
                <w:sz w:val="24"/>
              </w:rPr>
              <w:t xml:space="preserve">La Commission et les États membres devraient: </w:t>
            </w:r>
            <w:r w:rsidRPr="00F3116B">
              <w:rPr>
                <w:rFonts w:ascii="Times New Roman" w:hAnsi="Times New Roman"/>
                <w:noProof/>
                <w:color w:val="000000"/>
                <w:sz w:val="24"/>
                <w:shd w:val="clear" w:color="auto" w:fill="FFFFFF"/>
              </w:rPr>
              <w:t>1</w:t>
            </w:r>
            <w:r>
              <w:rPr>
                <w:rFonts w:ascii="Times New Roman" w:hAnsi="Times New Roman"/>
                <w:noProof/>
                <w:color w:val="000000"/>
                <w:sz w:val="24"/>
                <w:shd w:val="clear" w:color="auto" w:fill="FFFFFF"/>
              </w:rPr>
              <w:t>)</w:t>
            </w:r>
            <w:r>
              <w:rPr>
                <w:rFonts w:ascii="Times New Roman" w:hAnsi="Times New Roman"/>
                <w:noProof/>
                <w:sz w:val="24"/>
              </w:rPr>
              <w:t xml:space="preserve"> surveiller activement la résilience des chaînes d’approvisionnement stratégiques et procéder aux évaluations des risques prévues dans le cadre de la stratégie en matière de sécurité économique; </w:t>
            </w:r>
            <w:r w:rsidRPr="00F3116B">
              <w:rPr>
                <w:rFonts w:ascii="Times New Roman" w:hAnsi="Times New Roman"/>
                <w:noProof/>
                <w:sz w:val="24"/>
              </w:rPr>
              <w:t>2</w:t>
            </w:r>
            <w:r>
              <w:rPr>
                <w:rFonts w:ascii="Times New Roman" w:hAnsi="Times New Roman"/>
                <w:noProof/>
                <w:sz w:val="24"/>
              </w:rPr>
              <w:t>) aligner les stratégies relatives aux chaînes d’approvisionnement et renforcer les capacités industrielles dans les domaines d’importance stratégique, en exploitant les synergies d’une action coordonnée, notamment par l’intermédiaire du conseil des semi-conducteurs,</w:t>
            </w:r>
            <w:r>
              <w:rPr>
                <w:noProof/>
              </w:rPr>
              <w:t xml:space="preserve"> </w:t>
            </w:r>
            <w:r>
              <w:rPr>
                <w:rFonts w:ascii="Times New Roman" w:hAnsi="Times New Roman"/>
                <w:noProof/>
                <w:sz w:val="24"/>
              </w:rPr>
              <w:t xml:space="preserve">du comité des matières premières critiques et de la plateforme «Europe zéro net»; et </w:t>
            </w:r>
            <w:r w:rsidRPr="00F3116B">
              <w:rPr>
                <w:rFonts w:ascii="Times New Roman" w:hAnsi="Times New Roman"/>
                <w:noProof/>
                <w:sz w:val="24"/>
              </w:rPr>
              <w:t>3</w:t>
            </w:r>
            <w:r>
              <w:rPr>
                <w:rFonts w:ascii="Times New Roman" w:hAnsi="Times New Roman"/>
                <w:noProof/>
                <w:sz w:val="24"/>
              </w:rPr>
              <w:t>) promouvoir la diversification par la coopération entre les acteurs industriels des pays européens et ceux des pays partenaires dans le cadre de projets liés aux matières premières et aux partenariats numériques établis par l’UE.</w:t>
            </w:r>
          </w:p>
        </w:tc>
      </w:tr>
      <w:bookmarkEnd w:id="47"/>
      <w:bookmarkEnd w:id="48"/>
    </w:tbl>
    <w:p w14:paraId="7142FF74" w14:textId="77777777" w:rsidR="002C51B4" w:rsidRPr="00554935" w:rsidRDefault="002C51B4" w:rsidP="002C51B4">
      <w:pPr>
        <w:rPr>
          <w:rFonts w:ascii="Times New Roman" w:hAnsi="Times New Roman" w:cs="Times New Roman"/>
          <w:b/>
          <w:bCs/>
          <w:noProof/>
          <w:sz w:val="24"/>
          <w:szCs w:val="24"/>
          <w:u w:val="single"/>
          <w:lang w:val="fr-BE"/>
        </w:rPr>
      </w:pPr>
    </w:p>
    <w:p w14:paraId="324EEE31" w14:textId="77777777" w:rsidR="002C51B4" w:rsidRDefault="002C51B4" w:rsidP="002C51B4">
      <w:pPr>
        <w:rPr>
          <w:rFonts w:ascii="Times New Roman" w:hAnsi="Times New Roman" w:cs="Times New Roman"/>
          <w:b/>
          <w:bCs/>
          <w:noProof/>
          <w:sz w:val="24"/>
          <w:szCs w:val="24"/>
          <w:u w:val="single"/>
        </w:rPr>
      </w:pPr>
      <w:r>
        <w:rPr>
          <w:rFonts w:ascii="Times New Roman" w:hAnsi="Times New Roman"/>
          <w:b/>
          <w:noProof/>
          <w:sz w:val="24"/>
          <w:u w:val="single"/>
        </w:rPr>
        <w:t>Conclusion</w:t>
      </w:r>
    </w:p>
    <w:p w14:paraId="19149AC1" w14:textId="77777777" w:rsidR="002C51B4" w:rsidRDefault="002C51B4" w:rsidP="002C51B4">
      <w:pPr>
        <w:jc w:val="both"/>
        <w:rPr>
          <w:rFonts w:ascii="Times New Roman" w:hAnsi="Times New Roman" w:cs="Times New Roman"/>
          <w:noProof/>
          <w:sz w:val="24"/>
          <w:szCs w:val="24"/>
        </w:rPr>
      </w:pPr>
      <w:bookmarkStart w:id="52" w:name="_Hlk158296572"/>
      <w:r>
        <w:rPr>
          <w:rFonts w:ascii="Times New Roman" w:hAnsi="Times New Roman"/>
          <w:noProof/>
          <w:sz w:val="24"/>
        </w:rPr>
        <w:t xml:space="preserve">Dans un contexte géopolitique mondial difficile et en mutation rapide, le marché unique reste l’atout majeur de l’UE. La présente communication nous rappelle que le marché unique n’est pas une réalisation statique. Sa santé et la compétitivité de nos économies dépendent des efforts conjoints et continus que nous déployons pour l’entretenir et veiller à ce qu’il reste aligné sur les réalités économiques. </w:t>
      </w:r>
    </w:p>
    <w:p w14:paraId="4681A67E" w14:textId="77777777" w:rsidR="002C51B4" w:rsidRDefault="002C51B4" w:rsidP="002C51B4">
      <w:pPr>
        <w:jc w:val="both"/>
        <w:rPr>
          <w:rFonts w:ascii="Times New Roman" w:hAnsi="Times New Roman" w:cs="Times New Roman"/>
          <w:noProof/>
          <w:sz w:val="24"/>
          <w:szCs w:val="24"/>
        </w:rPr>
      </w:pPr>
      <w:r>
        <w:rPr>
          <w:rFonts w:ascii="Times New Roman" w:hAnsi="Times New Roman"/>
          <w:noProof/>
          <w:sz w:val="24"/>
        </w:rPr>
        <w:t xml:space="preserve">Ces dernières années, l’UE a modernisé le </w:t>
      </w:r>
      <w:r>
        <w:rPr>
          <w:rFonts w:ascii="Times New Roman" w:hAnsi="Times New Roman"/>
          <w:noProof/>
          <w:color w:val="000000" w:themeColor="text1"/>
          <w:sz w:val="24"/>
        </w:rPr>
        <w:t>marché unique en organisant son espace numérique, en fournissant un ensemble uniforme de règles permettant aux entreprises d’exercer leurs activités en ligne dans l’ensemble de l’UE.</w:t>
      </w:r>
      <w:r>
        <w:rPr>
          <w:rFonts w:ascii="Times New Roman" w:hAnsi="Times New Roman"/>
          <w:noProof/>
          <w:sz w:val="24"/>
        </w:rPr>
        <w:t xml:space="preserve"> L’UE s’emploie également à promouvoir une économie plus circulaire, en offrant des débouchés commerciaux aux entreprises et des économies aux consommateurs.</w:t>
      </w:r>
      <w:r>
        <w:rPr>
          <w:rFonts w:ascii="Times New Roman" w:hAnsi="Times New Roman"/>
          <w:noProof/>
          <w:color w:val="000000"/>
          <w:sz w:val="24"/>
          <w:shd w:val="clear" w:color="auto" w:fill="FFFFFF"/>
        </w:rPr>
        <w:t xml:space="preserve">  </w:t>
      </w:r>
    </w:p>
    <w:p w14:paraId="76DD1B71" w14:textId="77777777" w:rsidR="002C51B4" w:rsidRPr="003E5364" w:rsidRDefault="002C51B4" w:rsidP="002C51B4">
      <w:pPr>
        <w:jc w:val="both"/>
        <w:rPr>
          <w:rFonts w:ascii="Times New Roman" w:hAnsi="Times New Roman" w:cs="Times New Roman"/>
          <w:noProof/>
          <w:sz w:val="24"/>
          <w:szCs w:val="24"/>
        </w:rPr>
      </w:pPr>
      <w:r>
        <w:rPr>
          <w:rFonts w:ascii="Times New Roman" w:hAnsi="Times New Roman"/>
          <w:noProof/>
          <w:sz w:val="24"/>
        </w:rPr>
        <w:t xml:space="preserve">En outre, l’UE s’est efforcée de lever les obstacles à l’investissement. La Commission a entrepris des actions décisives pour réduire la charge de travail liée à l’établissement des rapports. Les instruments de l’UE soutiennent les PME dans leur transition écologique et numérique. Le pacte pour les compétences et les mesures facilitant la mobilité de la main-d’œuvre visent à répondre aux pénuries de compétences. De nouvelles mesures, telles que le règlement sur les semi-conducteurs, le règlement pour une industrie «zéro net» ou le règlement sur les matières premières critiques, accéléreront les projets de production dans le domaine des technologies du futur et remédieront aux vulnérabilités de la chaîne d’approvisionnement. </w:t>
      </w:r>
    </w:p>
    <w:p w14:paraId="1B72BEEE" w14:textId="77777777" w:rsidR="002C51B4" w:rsidRDefault="002C51B4" w:rsidP="002C51B4">
      <w:pPr>
        <w:keepNext/>
        <w:spacing w:before="120" w:after="120"/>
        <w:jc w:val="both"/>
        <w:rPr>
          <w:rFonts w:ascii="Times New Roman" w:hAnsi="Times New Roman" w:cs="Times New Roman"/>
          <w:noProof/>
          <w:sz w:val="24"/>
          <w:szCs w:val="24"/>
        </w:rPr>
      </w:pPr>
      <w:bookmarkStart w:id="53" w:name="_Hlk153389917"/>
      <w:bookmarkStart w:id="54" w:name="_Hlk152745496"/>
      <w:r>
        <w:rPr>
          <w:rFonts w:ascii="Times New Roman" w:hAnsi="Times New Roman"/>
          <w:noProof/>
          <w:sz w:val="24"/>
        </w:rPr>
        <w:t xml:space="preserve">La présente communication recense les domaines dans lesquels il convient de maintenir et d’améliorer la compétitivité de l’UE à l’échelle mondiale. En particulier: </w:t>
      </w:r>
    </w:p>
    <w:p w14:paraId="1C137420" w14:textId="77777777" w:rsidR="002C51B4" w:rsidRDefault="002C51B4" w:rsidP="002C51B4">
      <w:pPr>
        <w:pStyle w:val="ListParagraph"/>
        <w:keepNext/>
        <w:numPr>
          <w:ilvl w:val="0"/>
          <w:numId w:val="44"/>
        </w:numPr>
        <w:spacing w:before="120" w:after="120"/>
        <w:jc w:val="both"/>
        <w:rPr>
          <w:rFonts w:ascii="Times New Roman" w:hAnsi="Times New Roman" w:cs="Times New Roman"/>
          <w:noProof/>
          <w:sz w:val="24"/>
          <w:szCs w:val="24"/>
        </w:rPr>
      </w:pPr>
      <w:r>
        <w:rPr>
          <w:rFonts w:ascii="Times New Roman" w:hAnsi="Times New Roman"/>
          <w:noProof/>
          <w:sz w:val="24"/>
        </w:rPr>
        <w:t xml:space="preserve">des efforts ciblés devraient être réalisés pour améliorer et simplifier la mise en œuvre des règles convenues, notamment en évitant la «surréglementation», afin de faciliter les activités commerciales et l’esprit d’entreprise en Europe; </w:t>
      </w:r>
    </w:p>
    <w:p w14:paraId="315AA3ED" w14:textId="77777777" w:rsidR="002C51B4" w:rsidRPr="00AA2510" w:rsidRDefault="002C51B4" w:rsidP="002C51B4">
      <w:pPr>
        <w:pStyle w:val="ListParagraph"/>
        <w:keepNext/>
        <w:numPr>
          <w:ilvl w:val="0"/>
          <w:numId w:val="44"/>
        </w:numPr>
        <w:spacing w:before="120" w:after="120"/>
        <w:jc w:val="both"/>
        <w:rPr>
          <w:rFonts w:ascii="Times New Roman" w:hAnsi="Times New Roman" w:cs="Times New Roman"/>
          <w:noProof/>
          <w:sz w:val="24"/>
          <w:szCs w:val="24"/>
        </w:rPr>
      </w:pPr>
      <w:r>
        <w:rPr>
          <w:rFonts w:ascii="Times New Roman" w:hAnsi="Times New Roman"/>
          <w:noProof/>
          <w:sz w:val="24"/>
        </w:rPr>
        <w:t xml:space="preserve">la Commission et les États membres devraient redoubler d’efforts pour réduire les coûts de l’énergie, en accélérant le déploiement de l’énergie décarbonée et les investissements dans les infrastructures, notamment les réseaux et les connexions transfrontalières; </w:t>
      </w:r>
    </w:p>
    <w:p w14:paraId="7D4F8CB1" w14:textId="77777777" w:rsidR="002C51B4" w:rsidRPr="00840C24" w:rsidRDefault="002C51B4" w:rsidP="002C51B4">
      <w:pPr>
        <w:pStyle w:val="ListParagraph"/>
        <w:keepNext/>
        <w:numPr>
          <w:ilvl w:val="0"/>
          <w:numId w:val="44"/>
        </w:numPr>
        <w:spacing w:before="120" w:after="120"/>
        <w:jc w:val="both"/>
        <w:rPr>
          <w:rFonts w:ascii="Times New Roman" w:hAnsi="Times New Roman" w:cs="Times New Roman"/>
          <w:noProof/>
          <w:color w:val="000000"/>
          <w:sz w:val="24"/>
          <w:szCs w:val="24"/>
          <w:shd w:val="clear" w:color="auto" w:fill="FFFFFF"/>
        </w:rPr>
      </w:pPr>
      <w:r>
        <w:rPr>
          <w:rFonts w:ascii="Times New Roman" w:hAnsi="Times New Roman"/>
          <w:noProof/>
          <w:color w:val="000000"/>
          <w:sz w:val="24"/>
          <w:shd w:val="clear" w:color="auto" w:fill="FFFFFF"/>
        </w:rPr>
        <w:t xml:space="preserve">la Commission et les États membres devraient continuer à donner la priorité au déploiement d’une union des marchés des capitaux réelle et approfondie, afin de faciliter l’accès au financement privé, notamment au capital-risque, et de permettre la montée en puissance des entreprises en Europe; </w:t>
      </w:r>
    </w:p>
    <w:p w14:paraId="6FD55B15" w14:textId="77777777" w:rsidR="002C51B4" w:rsidRPr="00BD76A0" w:rsidRDefault="002C51B4" w:rsidP="002C51B4">
      <w:pPr>
        <w:pStyle w:val="ListParagraph"/>
        <w:keepNext/>
        <w:numPr>
          <w:ilvl w:val="0"/>
          <w:numId w:val="44"/>
        </w:numPr>
        <w:spacing w:before="120" w:after="120"/>
        <w:jc w:val="both"/>
        <w:rPr>
          <w:rFonts w:ascii="Times New Roman" w:hAnsi="Times New Roman" w:cs="Times New Roman"/>
          <w:noProof/>
          <w:sz w:val="24"/>
          <w:szCs w:val="24"/>
        </w:rPr>
      </w:pPr>
      <w:r>
        <w:rPr>
          <w:rFonts w:ascii="Times New Roman" w:hAnsi="Times New Roman"/>
          <w:noProof/>
          <w:sz w:val="24"/>
        </w:rPr>
        <w:t>il est nécessaire de réaliser des investissements publics continus pour garantir l’avantage concurrentiel de l’Europe dans des domaines prioritaires clés, compte tenu du succès de Next Generation EU et de REPowerEU. La mise en œuvre en temps utile des fonds de l’Union tels que les instruments de la politique de cohésion peut contribuer à des conditions de concurrence équitables et peut renforcer la convergence régionale au sein du marché unique, notamment en augmentant les investissements dans les domaines technologiques stratégiques couverts par l'initiative STEP;</w:t>
      </w:r>
    </w:p>
    <w:p w14:paraId="67142D56" w14:textId="77777777" w:rsidR="002C51B4" w:rsidRPr="00E426CE" w:rsidRDefault="002C51B4" w:rsidP="002C51B4">
      <w:pPr>
        <w:pStyle w:val="ListParagraph"/>
        <w:keepNext/>
        <w:numPr>
          <w:ilvl w:val="0"/>
          <w:numId w:val="44"/>
        </w:numPr>
        <w:spacing w:before="120" w:after="120"/>
        <w:jc w:val="both"/>
        <w:rPr>
          <w:rFonts w:ascii="Times New Roman" w:hAnsi="Times New Roman" w:cs="Times New Roman"/>
          <w:bCs/>
          <w:noProof/>
          <w:color w:val="000000"/>
          <w:sz w:val="24"/>
          <w:szCs w:val="24"/>
          <w:shd w:val="clear" w:color="auto" w:fill="FFFFFF"/>
        </w:rPr>
      </w:pPr>
      <w:r>
        <w:rPr>
          <w:rFonts w:ascii="Times New Roman" w:hAnsi="Times New Roman"/>
          <w:noProof/>
          <w:color w:val="000000"/>
          <w:sz w:val="24"/>
          <w:shd w:val="clear" w:color="auto" w:fill="FFFFFF"/>
        </w:rPr>
        <w:t xml:space="preserve">il convient d’adopter des mesures pour hiérarchiser davantage les efforts de recherche et renforcer la traduction des résultats de la recherche en applications commerciales pratiques; </w:t>
      </w:r>
    </w:p>
    <w:p w14:paraId="0C1C2E10" w14:textId="77777777" w:rsidR="002C51B4" w:rsidRPr="00AA2510" w:rsidRDefault="002C51B4" w:rsidP="002C51B4">
      <w:pPr>
        <w:pStyle w:val="ListParagraph"/>
        <w:keepNext/>
        <w:numPr>
          <w:ilvl w:val="0"/>
          <w:numId w:val="44"/>
        </w:numPr>
        <w:spacing w:before="120" w:after="120"/>
        <w:jc w:val="both"/>
        <w:rPr>
          <w:rFonts w:ascii="Times New Roman" w:hAnsi="Times New Roman" w:cs="Times New Roman"/>
          <w:bCs/>
          <w:noProof/>
          <w:sz w:val="24"/>
          <w:szCs w:val="24"/>
        </w:rPr>
      </w:pPr>
      <w:r>
        <w:rPr>
          <w:rFonts w:ascii="Times New Roman" w:hAnsi="Times New Roman"/>
          <w:noProof/>
          <w:color w:val="000000"/>
          <w:sz w:val="24"/>
          <w:shd w:val="clear" w:color="auto" w:fill="FFFFFF"/>
        </w:rPr>
        <w:t>l’UE devrait continuer à promouvoir des échanges commerciaux équitables et ouverts et utiliser</w:t>
      </w:r>
      <w:r>
        <w:rPr>
          <w:rFonts w:ascii="Times New Roman" w:hAnsi="Times New Roman"/>
          <w:noProof/>
          <w:sz w:val="24"/>
        </w:rPr>
        <w:t xml:space="preserve"> des instruments de défense commerciale pour protéger le marché unique si nécessaire, notamment pour faire en sorte que les entreprises de l’UE puissent continuer à prospérer dans les secteurs du numérique, des technologies propres et d’autres secteurs stratégiques;</w:t>
      </w:r>
    </w:p>
    <w:p w14:paraId="301FCBEB" w14:textId="77777777" w:rsidR="002C51B4" w:rsidRPr="005E5488" w:rsidRDefault="002C51B4" w:rsidP="002C51B4">
      <w:pPr>
        <w:pStyle w:val="ListParagraph"/>
        <w:keepNext/>
        <w:numPr>
          <w:ilvl w:val="0"/>
          <w:numId w:val="44"/>
        </w:numPr>
        <w:spacing w:before="120" w:after="120"/>
        <w:jc w:val="both"/>
        <w:rPr>
          <w:rFonts w:ascii="Times New Roman" w:hAnsi="Times New Roman" w:cs="Times New Roman"/>
          <w:bCs/>
          <w:noProof/>
          <w:sz w:val="24"/>
          <w:szCs w:val="24"/>
        </w:rPr>
      </w:pPr>
      <w:r>
        <w:rPr>
          <w:rFonts w:ascii="Times New Roman" w:hAnsi="Times New Roman"/>
          <w:noProof/>
          <w:sz w:val="24"/>
        </w:rPr>
        <w:t>les déficits de compétences et de main-d’œuvre devraient faire l’objet d’une attention accrue dans le contexte des tendances démographiques plus larges, notamment au moyen d’efforts en matière d’éducation et de formation, mais aussi en facilitant la mobilité des compétences et des talents au sein de l’UE et vers celle-ci.</w:t>
      </w:r>
    </w:p>
    <w:p w14:paraId="4EDEC160" w14:textId="77777777" w:rsidR="002C51B4" w:rsidRDefault="002C51B4" w:rsidP="002C51B4">
      <w:pPr>
        <w:jc w:val="both"/>
        <w:rPr>
          <w:rFonts w:ascii="Times New Roman" w:hAnsi="Times New Roman" w:cs="Times New Roman"/>
          <w:noProof/>
          <w:sz w:val="24"/>
          <w:szCs w:val="24"/>
        </w:rPr>
      </w:pPr>
      <w:r>
        <w:rPr>
          <w:rFonts w:ascii="Times New Roman" w:hAnsi="Times New Roman"/>
          <w:noProof/>
          <w:sz w:val="24"/>
        </w:rPr>
        <w:t xml:space="preserve">Dans ce contexte, la présente communication définit les domaines et les orientations à suivre pour parvenir à constituer les facteurs convenus dans le cadre de la stratégie de compétitivité à long terme et pour atteindre les objectifs fixés dans cette stratégie et dans la communication intitulée «Le marché unique à l’horizon </w:t>
      </w:r>
      <w:r w:rsidRPr="00F3116B">
        <w:rPr>
          <w:rFonts w:ascii="Times New Roman" w:hAnsi="Times New Roman"/>
          <w:noProof/>
          <w:sz w:val="24"/>
        </w:rPr>
        <w:t>30</w:t>
      </w:r>
      <w:r>
        <w:rPr>
          <w:rFonts w:ascii="Times New Roman" w:hAnsi="Times New Roman"/>
          <w:noProof/>
          <w:sz w:val="24"/>
        </w:rPr>
        <w:t xml:space="preserve">». </w:t>
      </w:r>
    </w:p>
    <w:p w14:paraId="52AD52E5" w14:textId="77777777" w:rsidR="002C51B4" w:rsidRDefault="002C51B4" w:rsidP="002C51B4">
      <w:pPr>
        <w:jc w:val="both"/>
        <w:rPr>
          <w:rFonts w:ascii="Times New Roman" w:hAnsi="Times New Roman" w:cs="Times New Roman"/>
          <w:noProof/>
          <w:sz w:val="24"/>
          <w:szCs w:val="24"/>
        </w:rPr>
      </w:pPr>
      <w:r>
        <w:rPr>
          <w:rFonts w:ascii="Times New Roman" w:hAnsi="Times New Roman"/>
          <w:noProof/>
          <w:sz w:val="24"/>
        </w:rPr>
        <w:t>Cette discussion se poursuivra et recevra des contributions cruciales avec la publication du prochain rapport de haut niveau d’Enrico Letta sur l’avenir du marché unique et du rapport de Mario Draghi sur l’avenir de la compétitivité européenne.</w:t>
      </w:r>
    </w:p>
    <w:p w14:paraId="5E51FEEB" w14:textId="77777777" w:rsidR="002C51B4" w:rsidRPr="00C23CB1" w:rsidRDefault="002C51B4" w:rsidP="002C51B4">
      <w:pPr>
        <w:jc w:val="both"/>
        <w:rPr>
          <w:rFonts w:ascii="Times New Roman" w:hAnsi="Times New Roman" w:cs="Times New Roman"/>
          <w:noProof/>
          <w:sz w:val="24"/>
          <w:szCs w:val="24"/>
        </w:rPr>
      </w:pPr>
      <w:r>
        <w:rPr>
          <w:rFonts w:ascii="Times New Roman" w:hAnsi="Times New Roman"/>
          <w:noProof/>
          <w:sz w:val="24"/>
        </w:rPr>
        <w:t>Dans l’attente de ces contributions, la Commission invite le Conseil, le Conseil européen et le Parlement européen à examiner la situation actuelle et les perspectives de progrès dans le marché unique et en matière de compétitivité</w:t>
      </w:r>
      <w:bookmarkEnd w:id="52"/>
      <w:r>
        <w:rPr>
          <w:noProof/>
        </w:rPr>
        <w:t xml:space="preserve"> </w:t>
      </w:r>
      <w:r>
        <w:rPr>
          <w:rFonts w:ascii="Times New Roman" w:hAnsi="Times New Roman"/>
          <w:noProof/>
          <w:sz w:val="24"/>
        </w:rPr>
        <w:t>à la lumière du présent rapport.</w:t>
      </w:r>
      <w:bookmarkEnd w:id="53"/>
      <w:bookmarkEnd w:id="54"/>
    </w:p>
    <w:p w14:paraId="52F180C7" w14:textId="42110B2C" w:rsidR="00D737F0" w:rsidRPr="002C51B4" w:rsidRDefault="00D737F0" w:rsidP="002C51B4">
      <w:pPr>
        <w:pStyle w:val="Caption"/>
        <w:spacing w:before="120" w:after="160" w:line="259" w:lineRule="auto"/>
        <w:jc w:val="both"/>
        <w:rPr>
          <w:rFonts w:ascii="Times New Roman" w:hAnsi="Times New Roman" w:cs="Times New Roman"/>
          <w:noProof/>
          <w:sz w:val="24"/>
          <w:szCs w:val="24"/>
        </w:rPr>
      </w:pPr>
    </w:p>
    <w:sectPr w:rsidR="00D737F0" w:rsidRPr="002C51B4" w:rsidSect="00C23CB1">
      <w:headerReference w:type="even" r:id="rId27"/>
      <w:headerReference w:type="default" r:id="rId28"/>
      <w:footerReference w:type="even" r:id="rId29"/>
      <w:footerReference w:type="default" r:id="rId30"/>
      <w:headerReference w:type="first" r:id="rId31"/>
      <w:footerReference w:type="first" r:id="rId32"/>
      <w:pgSz w:w="12240" w:h="15840"/>
      <w:pgMar w:top="1098" w:right="1440" w:bottom="1134"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056296" w14:textId="77777777" w:rsidR="00C36D27" w:rsidRDefault="00C36D27" w:rsidP="00C23CB1">
      <w:pPr>
        <w:spacing w:after="0" w:line="240" w:lineRule="auto"/>
      </w:pPr>
      <w:r>
        <w:separator/>
      </w:r>
    </w:p>
  </w:endnote>
  <w:endnote w:type="continuationSeparator" w:id="0">
    <w:p w14:paraId="7F6228DF" w14:textId="77777777" w:rsidR="00C36D27" w:rsidRDefault="00C36D27" w:rsidP="00C23CB1">
      <w:pPr>
        <w:spacing w:after="0" w:line="240" w:lineRule="auto"/>
      </w:pPr>
      <w:r>
        <w:continuationSeparator/>
      </w:r>
    </w:p>
  </w:endnote>
  <w:endnote w:type="continuationNotice" w:id="1">
    <w:p w14:paraId="326D56BA" w14:textId="77777777" w:rsidR="00C36D27" w:rsidRDefault="00C36D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EC Square Sans Cond Pro">
    <w:altName w:val="Bahnschrift Light"/>
    <w:charset w:val="00"/>
    <w:family w:val="swiss"/>
    <w:pitch w:val="variable"/>
    <w:sig w:usb0="20000287" w:usb1="00000001"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48468" w14:textId="29D9BDAE" w:rsidR="00956164" w:rsidRPr="00956164" w:rsidRDefault="00956164" w:rsidP="00956164">
    <w:pPr>
      <w:pStyle w:val="FooterCoverPage"/>
      <w:rPr>
        <w:rFonts w:ascii="Arial" w:hAnsi="Arial" w:cs="Arial"/>
        <w:b/>
        <w:sz w:val="48"/>
      </w:rPr>
    </w:pPr>
    <w:r w:rsidRPr="00956164">
      <w:rPr>
        <w:rFonts w:ascii="Arial" w:hAnsi="Arial" w:cs="Arial"/>
        <w:b/>
        <w:sz w:val="48"/>
      </w:rPr>
      <w:t>FR</w:t>
    </w:r>
    <w:r w:rsidRPr="00956164">
      <w:rPr>
        <w:rFonts w:ascii="Arial" w:hAnsi="Arial" w:cs="Arial"/>
        <w:b/>
        <w:sz w:val="48"/>
      </w:rPr>
      <w:tab/>
    </w:r>
    <w:r w:rsidRPr="00956164">
      <w:rPr>
        <w:rFonts w:ascii="Arial" w:hAnsi="Arial" w:cs="Arial"/>
        <w:b/>
        <w:sz w:val="48"/>
      </w:rPr>
      <w:tab/>
    </w:r>
    <w:r w:rsidRPr="00956164">
      <w:tab/>
    </w:r>
    <w:r w:rsidRPr="0095616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2A8BC" w14:textId="7FD540B1" w:rsidR="00956164" w:rsidRPr="00956164" w:rsidRDefault="00956164" w:rsidP="00956164">
    <w:pPr>
      <w:pStyle w:val="FooterCoverPage"/>
      <w:rPr>
        <w:rFonts w:ascii="Arial" w:hAnsi="Arial" w:cs="Arial"/>
        <w:b/>
        <w:sz w:val="48"/>
      </w:rPr>
    </w:pPr>
    <w:r w:rsidRPr="00956164">
      <w:rPr>
        <w:rFonts w:ascii="Arial" w:hAnsi="Arial" w:cs="Arial"/>
        <w:b/>
        <w:sz w:val="48"/>
      </w:rPr>
      <w:t>FR</w:t>
    </w:r>
    <w:r w:rsidRPr="00956164">
      <w:rPr>
        <w:rFonts w:ascii="Arial" w:hAnsi="Arial" w:cs="Arial"/>
        <w:b/>
        <w:sz w:val="48"/>
      </w:rPr>
      <w:tab/>
    </w:r>
    <w:r w:rsidRPr="00956164">
      <w:rPr>
        <w:rFonts w:ascii="Arial" w:hAnsi="Arial" w:cs="Arial"/>
        <w:b/>
        <w:sz w:val="48"/>
      </w:rPr>
      <w:tab/>
    </w:r>
    <w:r w:rsidRPr="00956164">
      <w:tab/>
    </w:r>
    <w:r w:rsidRPr="0095616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8AF6E" w14:textId="77777777" w:rsidR="00956164" w:rsidRPr="00956164" w:rsidRDefault="00956164" w:rsidP="0095616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241DF" w14:textId="77777777" w:rsidR="00C23CB1" w:rsidRDefault="00C23C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9703643"/>
      <w:docPartObj>
        <w:docPartGallery w:val="Page Numbers (Bottom of Page)"/>
        <w:docPartUnique/>
      </w:docPartObj>
    </w:sdtPr>
    <w:sdtEndPr>
      <w:rPr>
        <w:noProof/>
      </w:rPr>
    </w:sdtEndPr>
    <w:sdtContent>
      <w:p w14:paraId="0117450D" w14:textId="26FF7A0F" w:rsidR="00C23CB1" w:rsidRDefault="00C23CB1">
        <w:pPr>
          <w:pStyle w:val="Footer"/>
          <w:jc w:val="center"/>
        </w:pPr>
        <w:r>
          <w:fldChar w:fldCharType="begin"/>
        </w:r>
        <w:r>
          <w:instrText xml:space="preserve"> PAGE   \* MERGEFORMAT </w:instrText>
        </w:r>
        <w:r>
          <w:fldChar w:fldCharType="separate"/>
        </w:r>
        <w:r w:rsidR="00956164">
          <w:rPr>
            <w:noProof/>
          </w:rPr>
          <w:t>1</w:t>
        </w:r>
        <w:r>
          <w:fldChar w:fldCharType="end"/>
        </w:r>
      </w:p>
    </w:sdtContent>
  </w:sdt>
  <w:p w14:paraId="74C0BC71" w14:textId="77777777" w:rsidR="00C23CB1" w:rsidRDefault="00C23CB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0A1CA" w14:textId="77777777" w:rsidR="00C23CB1" w:rsidRDefault="00C23C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4D83F4" w14:textId="77777777" w:rsidR="00C36D27" w:rsidRDefault="00C36D27" w:rsidP="00C23CB1">
      <w:pPr>
        <w:spacing w:after="0" w:line="240" w:lineRule="auto"/>
      </w:pPr>
      <w:r>
        <w:separator/>
      </w:r>
    </w:p>
  </w:footnote>
  <w:footnote w:type="continuationSeparator" w:id="0">
    <w:p w14:paraId="1F22B739" w14:textId="77777777" w:rsidR="00C36D27" w:rsidRDefault="00C36D27" w:rsidP="00C23CB1">
      <w:pPr>
        <w:spacing w:after="0" w:line="240" w:lineRule="auto"/>
      </w:pPr>
      <w:r>
        <w:continuationSeparator/>
      </w:r>
    </w:p>
  </w:footnote>
  <w:footnote w:type="continuationNotice" w:id="1">
    <w:p w14:paraId="3813B273" w14:textId="77777777" w:rsidR="00C36D27" w:rsidRDefault="00C36D27">
      <w:pPr>
        <w:spacing w:after="0" w:line="240" w:lineRule="auto"/>
      </w:pPr>
    </w:p>
  </w:footnote>
  <w:footnote w:id="2">
    <w:p w14:paraId="518C30F5" w14:textId="77777777" w:rsidR="00C23CB1" w:rsidRPr="00D314FF" w:rsidRDefault="00C23CB1" w:rsidP="00D314FF">
      <w:pPr>
        <w:pStyle w:val="FootnoteText"/>
        <w:spacing w:after="0"/>
        <w:ind w:left="0" w:firstLine="0"/>
      </w:pPr>
      <w:r>
        <w:rPr>
          <w:rStyle w:val="FootnoteReference"/>
        </w:rPr>
        <w:footnoteRef/>
      </w:r>
      <w:r>
        <w:t xml:space="preserve"> Voir le tableau d’affichage du marché unique (</w:t>
      </w:r>
      <w:hyperlink r:id="rId1" w:history="1">
        <w:hyperlink r:id="rId2" w:history="1">
          <w:r>
            <w:rPr>
              <w:rStyle w:val="Hyperlink"/>
            </w:rPr>
            <w:t>Economic resilience | Single Market Scoreboard (europa.eu)</w:t>
          </w:r>
        </w:hyperlink>
      </w:hyperlink>
      <w:r>
        <w:t>, section «Trade»].</w:t>
      </w:r>
    </w:p>
  </w:footnote>
  <w:footnote w:id="3">
    <w:p w14:paraId="0A3EF6E2" w14:textId="77777777" w:rsidR="00C23CB1" w:rsidRPr="00D314FF" w:rsidRDefault="00C23CB1" w:rsidP="005C3892">
      <w:pPr>
        <w:pStyle w:val="FootnoteText"/>
        <w:spacing w:after="0"/>
        <w:ind w:left="0" w:firstLine="0"/>
        <w:jc w:val="left"/>
      </w:pPr>
      <w:r>
        <w:rPr>
          <w:rStyle w:val="FootnoteReference"/>
        </w:rPr>
        <w:footnoteRef/>
      </w:r>
      <w:r>
        <w:t xml:space="preserve"> Le marché unique a </w:t>
      </w:r>
      <w:r w:rsidRPr="00F3116B">
        <w:t>30</w:t>
      </w:r>
      <w:r>
        <w:t xml:space="preserve"> ans, </w:t>
      </w:r>
      <w:r w:rsidRPr="00F3116B">
        <w:t>16</w:t>
      </w:r>
      <w:r>
        <w:t xml:space="preserve"> mars </w:t>
      </w:r>
      <w:r w:rsidRPr="00F3116B">
        <w:t>2023</w:t>
      </w:r>
      <w:r>
        <w:t xml:space="preserve">, </w:t>
      </w:r>
      <w:hyperlink r:id="rId3" w:history="1">
        <w:r>
          <w:rPr>
            <w:rStyle w:val="Hyperlink"/>
          </w:rPr>
          <w:t>https :// eur-lex.europa.eu/legal-content/FR/TXT/PDF/?uri=CELEX:</w:t>
        </w:r>
        <w:r w:rsidRPr="00F3116B">
          <w:rPr>
            <w:rStyle w:val="Hyperlink"/>
          </w:rPr>
          <w:t>52023</w:t>
        </w:r>
        <w:r>
          <w:rPr>
            <w:rStyle w:val="Hyperlink"/>
          </w:rPr>
          <w:t>DC</w:t>
        </w:r>
        <w:r w:rsidRPr="00F3116B">
          <w:rPr>
            <w:rStyle w:val="Hyperlink"/>
          </w:rPr>
          <w:t>0162</w:t>
        </w:r>
      </w:hyperlink>
      <w:r>
        <w:t>.</w:t>
      </w:r>
    </w:p>
  </w:footnote>
  <w:footnote w:id="4">
    <w:p w14:paraId="2C91E158" w14:textId="77777777" w:rsidR="00C23CB1" w:rsidRPr="00D314FF" w:rsidRDefault="00C23CB1" w:rsidP="00D314FF">
      <w:pPr>
        <w:pStyle w:val="FootnoteText"/>
        <w:spacing w:after="0"/>
        <w:ind w:left="0" w:firstLine="0"/>
        <w:jc w:val="left"/>
      </w:pPr>
      <w:r>
        <w:rPr>
          <w:rStyle w:val="FootnoteReference"/>
        </w:rPr>
        <w:footnoteRef/>
      </w:r>
      <w:r>
        <w:t xml:space="preserve"> La compétitivité à long terme de </w:t>
      </w:r>
      <w:bookmarkStart w:id="9" w:name="_Int_EaCQpT9E"/>
      <w:r>
        <w:t>l’UE:</w:t>
      </w:r>
      <w:bookmarkEnd w:id="9"/>
      <w:r>
        <w:t xml:space="preserve"> se projeter au-delà de </w:t>
      </w:r>
      <w:r w:rsidRPr="00F3116B">
        <w:t>2030</w:t>
      </w:r>
      <w:r>
        <w:t xml:space="preserve">, </w:t>
      </w:r>
      <w:r w:rsidRPr="00F3116B">
        <w:t>16</w:t>
      </w:r>
      <w:r>
        <w:t xml:space="preserve"> mars </w:t>
      </w:r>
      <w:r w:rsidRPr="00F3116B">
        <w:t>2023</w:t>
      </w:r>
      <w:r>
        <w:t xml:space="preserve">, </w:t>
      </w:r>
      <w:hyperlink r:id="rId4" w:history="1">
        <w:r>
          <w:rPr>
            <w:rStyle w:val="Hyperlink"/>
          </w:rPr>
          <w:t>https://eur-lex.europa.eu/legal-content/FR/TXT/PDF/?uri=CELEX:</w:t>
        </w:r>
        <w:r w:rsidRPr="00F3116B">
          <w:rPr>
            <w:rStyle w:val="Hyperlink"/>
          </w:rPr>
          <w:t>52023</w:t>
        </w:r>
        <w:r>
          <w:rPr>
            <w:rStyle w:val="Hyperlink"/>
          </w:rPr>
          <w:t>DC</w:t>
        </w:r>
        <w:r w:rsidRPr="00F3116B">
          <w:rPr>
            <w:rStyle w:val="Hyperlink"/>
          </w:rPr>
          <w:t>0168</w:t>
        </w:r>
      </w:hyperlink>
    </w:p>
  </w:footnote>
  <w:footnote w:id="5">
    <w:p w14:paraId="737EAB02" w14:textId="12F12C31" w:rsidR="00C23CB1" w:rsidRPr="00D314FF" w:rsidRDefault="00C23CB1" w:rsidP="00D314FF">
      <w:pPr>
        <w:pStyle w:val="FootnoteText"/>
        <w:spacing w:after="0"/>
        <w:ind w:left="0" w:firstLine="0"/>
      </w:pPr>
      <w:r>
        <w:rPr>
          <w:rStyle w:val="FootnoteReference"/>
        </w:rPr>
        <w:footnoteRef/>
      </w:r>
      <w:r>
        <w:t xml:space="preserve"> Les données sont celles disponibles en décembre </w:t>
      </w:r>
      <w:r w:rsidRPr="00F3116B">
        <w:t>2023</w:t>
      </w:r>
      <w:r>
        <w:t>. Des informations sur les tendances à plus long terme sont données à l’annexe </w:t>
      </w:r>
      <w:r w:rsidRPr="00F3116B">
        <w:t>1</w:t>
      </w:r>
      <w:r>
        <w:t xml:space="preserve"> du document SWD(</w:t>
      </w:r>
      <w:r w:rsidRPr="00F3116B">
        <w:t>2024</w:t>
      </w:r>
      <w:r>
        <w:t>) </w:t>
      </w:r>
      <w:r w:rsidRPr="00F3116B">
        <w:t>78</w:t>
      </w:r>
      <w:r>
        <w:t xml:space="preserve"> intitulée «Overview of Key Performance Indicators (KPIs) on long-term competitiveness».</w:t>
      </w:r>
    </w:p>
  </w:footnote>
  <w:footnote w:id="6">
    <w:p w14:paraId="5D7354D9" w14:textId="77777777" w:rsidR="00C23CB1" w:rsidRPr="00D314FF" w:rsidRDefault="00C23CB1" w:rsidP="00D314FF">
      <w:pPr>
        <w:pStyle w:val="FootnoteText"/>
        <w:spacing w:after="0"/>
        <w:ind w:left="0" w:firstLine="0"/>
      </w:pPr>
      <w:r>
        <w:rPr>
          <w:rStyle w:val="FootnoteReference"/>
        </w:rPr>
        <w:footnoteRef/>
      </w:r>
      <w:r>
        <w:t xml:space="preserve"> Évaluer le coût de la non-Europe </w:t>
      </w:r>
      <w:r w:rsidRPr="00F3116B">
        <w:t>2019</w:t>
      </w:r>
      <w:r>
        <w:t>-</w:t>
      </w:r>
      <w:r w:rsidRPr="00F3116B">
        <w:t>2024</w:t>
      </w:r>
      <w:r>
        <w:t xml:space="preserve">, étude du service de recherche du Parlement européen, </w:t>
      </w:r>
      <w:r w:rsidRPr="00F3116B">
        <w:t>2019</w:t>
      </w:r>
      <w:r>
        <w:t xml:space="preserve"> (également citée dans la communication «Le marché unique a </w:t>
      </w:r>
      <w:r w:rsidRPr="00F3116B">
        <w:t>30</w:t>
      </w:r>
      <w:r>
        <w:t xml:space="preserve"> ans». </w:t>
      </w:r>
    </w:p>
    <w:p w14:paraId="2C8B030B" w14:textId="77777777" w:rsidR="00C23CB1" w:rsidRPr="00D314FF" w:rsidRDefault="00956164" w:rsidP="00D314FF">
      <w:pPr>
        <w:pStyle w:val="FootnoteText"/>
        <w:spacing w:after="0"/>
        <w:ind w:left="0" w:firstLine="0"/>
      </w:pPr>
      <w:hyperlink r:id="rId5" w:history="1">
        <w:r w:rsidR="00462FC4">
          <w:rPr>
            <w:rStyle w:val="Hyperlink"/>
          </w:rPr>
          <w:t>https://www.europarl.europa.eu/RegData/etudes/STUD/</w:t>
        </w:r>
        <w:r w:rsidR="00462FC4" w:rsidRPr="00F3116B">
          <w:rPr>
            <w:rStyle w:val="Hyperlink"/>
          </w:rPr>
          <w:t>2019</w:t>
        </w:r>
        <w:r w:rsidR="00462FC4">
          <w:rPr>
            <w:rStyle w:val="Hyperlink"/>
          </w:rPr>
          <w:t>/</w:t>
        </w:r>
        <w:r w:rsidR="00462FC4" w:rsidRPr="00F3116B">
          <w:rPr>
            <w:rStyle w:val="Hyperlink"/>
          </w:rPr>
          <w:t>631745</w:t>
        </w:r>
        <w:r w:rsidR="00462FC4">
          <w:rPr>
            <w:rStyle w:val="Hyperlink"/>
          </w:rPr>
          <w:t>/EPRS_STU(</w:t>
        </w:r>
        <w:r w:rsidR="00462FC4" w:rsidRPr="00F3116B">
          <w:rPr>
            <w:rStyle w:val="Hyperlink"/>
          </w:rPr>
          <w:t>2019</w:t>
        </w:r>
        <w:r w:rsidR="00462FC4">
          <w:rPr>
            <w:rStyle w:val="Hyperlink"/>
          </w:rPr>
          <w:t>)</w:t>
        </w:r>
        <w:r w:rsidR="00462FC4" w:rsidRPr="00F3116B">
          <w:rPr>
            <w:rStyle w:val="Hyperlink"/>
          </w:rPr>
          <w:t>631745</w:t>
        </w:r>
        <w:r w:rsidR="00462FC4">
          <w:rPr>
            <w:rStyle w:val="Hyperlink"/>
          </w:rPr>
          <w:t>_FR.pdf</w:t>
        </w:r>
      </w:hyperlink>
    </w:p>
    <w:p w14:paraId="6C007A49" w14:textId="77777777" w:rsidR="00C23CB1" w:rsidRPr="004847C3" w:rsidRDefault="00C23CB1" w:rsidP="00D314FF">
      <w:pPr>
        <w:pStyle w:val="FootnoteText"/>
        <w:spacing w:after="0"/>
        <w:ind w:left="0" w:firstLine="0"/>
      </w:pPr>
    </w:p>
  </w:footnote>
  <w:footnote w:id="7">
    <w:p w14:paraId="696032AF" w14:textId="2DF85F07" w:rsidR="00C23CB1" w:rsidRPr="00D314FF" w:rsidRDefault="00C23CB1" w:rsidP="00D314FF">
      <w:pPr>
        <w:pStyle w:val="FootnoteText"/>
        <w:spacing w:after="0"/>
        <w:ind w:left="0" w:firstLine="0"/>
      </w:pPr>
      <w:r>
        <w:rPr>
          <w:rStyle w:val="FootnoteReference"/>
        </w:rPr>
        <w:footnoteRef/>
      </w:r>
      <w:r>
        <w:t xml:space="preserve"> Les données sont celles disponibles en décembre </w:t>
      </w:r>
      <w:r w:rsidRPr="00F3116B">
        <w:t>2023</w:t>
      </w:r>
      <w:r>
        <w:t>. Des informations sur les tendances à plus long terme sont données à l’annexe </w:t>
      </w:r>
      <w:r w:rsidRPr="00F3116B">
        <w:t>1</w:t>
      </w:r>
      <w:r>
        <w:t xml:space="preserve"> du document SWD(</w:t>
      </w:r>
      <w:r w:rsidRPr="00F3116B">
        <w:t>2024</w:t>
      </w:r>
      <w:r>
        <w:t>) </w:t>
      </w:r>
      <w:r w:rsidRPr="00F3116B">
        <w:t>78</w:t>
      </w:r>
      <w:r>
        <w:t xml:space="preserve"> intitulée «Overview of Key Performance Indicators (KPIs) on long-term competitiveness».</w:t>
      </w:r>
    </w:p>
  </w:footnote>
  <w:footnote w:id="8">
    <w:p w14:paraId="2A8560A2" w14:textId="77777777" w:rsidR="00C23CB1" w:rsidRPr="004847C3" w:rsidRDefault="00C23CB1" w:rsidP="00D314FF">
      <w:pPr>
        <w:pStyle w:val="FootnoteText"/>
        <w:spacing w:after="0"/>
        <w:rPr>
          <w:lang w:val="en-IE"/>
        </w:rPr>
      </w:pPr>
      <w:r>
        <w:rPr>
          <w:rStyle w:val="FootnoteReference"/>
          <w:lang w:val="en-IE"/>
        </w:rPr>
        <w:footnoteRef/>
      </w:r>
      <w:r w:rsidRPr="004847C3">
        <w:rPr>
          <w:lang w:val="en-IE"/>
        </w:rPr>
        <w:t xml:space="preserve"> </w:t>
      </w:r>
      <w:hyperlink r:id="rId6" w:history="1">
        <w:r w:rsidRPr="004847C3">
          <w:rPr>
            <w:lang w:val="en-IE"/>
          </w:rPr>
          <w:t>Annual Burden Survey</w:t>
        </w:r>
      </w:hyperlink>
      <w:r w:rsidRPr="004847C3">
        <w:rPr>
          <w:lang w:val="en-IE"/>
        </w:rPr>
        <w:t xml:space="preserve"> </w:t>
      </w:r>
      <w:r w:rsidRPr="00F3116B">
        <w:rPr>
          <w:lang w:val="en-IE"/>
        </w:rPr>
        <w:t>2022</w:t>
      </w:r>
      <w:r w:rsidRPr="004847C3">
        <w:rPr>
          <w:lang w:val="en-IE"/>
        </w:rPr>
        <w:t xml:space="preserve">, </w:t>
      </w:r>
      <w:hyperlink r:id="rId7" w:history="1">
        <w:r w:rsidRPr="004847C3">
          <w:rPr>
            <w:rStyle w:val="Hyperlink"/>
            <w:lang w:val="en-IE"/>
          </w:rPr>
          <w:t>https :// commission.europa.eu/system/files/</w:t>
        </w:r>
        <w:r w:rsidRPr="00F3116B">
          <w:rPr>
            <w:rStyle w:val="Hyperlink"/>
            <w:lang w:val="en-IE"/>
          </w:rPr>
          <w:t>2023</w:t>
        </w:r>
        <w:r w:rsidRPr="004847C3">
          <w:rPr>
            <w:rStyle w:val="Hyperlink"/>
            <w:lang w:val="en-IE"/>
          </w:rPr>
          <w:t>-</w:t>
        </w:r>
        <w:r w:rsidRPr="00F3116B">
          <w:rPr>
            <w:rStyle w:val="Hyperlink"/>
            <w:lang w:val="en-IE"/>
          </w:rPr>
          <w:t>09</w:t>
        </w:r>
        <w:r w:rsidRPr="004847C3">
          <w:rPr>
            <w:rStyle w:val="Hyperlink"/>
            <w:lang w:val="en-IE"/>
          </w:rPr>
          <w:t>/ABS_</w:t>
        </w:r>
        <w:r w:rsidRPr="00F3116B">
          <w:rPr>
            <w:rStyle w:val="Hyperlink"/>
            <w:lang w:val="en-IE"/>
          </w:rPr>
          <w:t>20230912</w:t>
        </w:r>
        <w:r w:rsidRPr="004847C3">
          <w:rPr>
            <w:rStyle w:val="Hyperlink"/>
            <w:lang w:val="en-IE"/>
          </w:rPr>
          <w:t>_</w:t>
        </w:r>
        <w:r w:rsidRPr="00F3116B">
          <w:rPr>
            <w:rStyle w:val="Hyperlink"/>
            <w:lang w:val="en-IE"/>
          </w:rPr>
          <w:t>0</w:t>
        </w:r>
        <w:r w:rsidRPr="004847C3">
          <w:rPr>
            <w:rStyle w:val="Hyperlink"/>
            <w:lang w:val="en-IE"/>
          </w:rPr>
          <w:t>.pdf</w:t>
        </w:r>
      </w:hyperlink>
    </w:p>
  </w:footnote>
  <w:footnote w:id="9">
    <w:p w14:paraId="59D8E065" w14:textId="5BA58F32" w:rsidR="00C23CB1" w:rsidRPr="00D314FF" w:rsidRDefault="00C23CB1" w:rsidP="00D314FF">
      <w:pPr>
        <w:pStyle w:val="FootnoteText"/>
        <w:spacing w:after="0"/>
        <w:ind w:left="0" w:firstLine="0"/>
      </w:pPr>
      <w:r>
        <w:rPr>
          <w:rStyle w:val="FootnoteReference"/>
          <w:lang w:val="en-IE"/>
        </w:rPr>
        <w:footnoteRef/>
      </w:r>
      <w:r>
        <w:t xml:space="preserve"> </w:t>
      </w:r>
      <w:hyperlink r:id="rId8" w:history="1">
        <w:r>
          <w:rPr>
            <w:rStyle w:val="Hyperlink"/>
          </w:rPr>
          <w:t>Proposition de directive relative à l’extension et à l’amélioration de l’utilisation des outils et processus numériques dans le domaine du droit des sociétés</w:t>
        </w:r>
      </w:hyperlink>
    </w:p>
  </w:footnote>
  <w:footnote w:id="10">
    <w:p w14:paraId="70256FB6" w14:textId="34FFFD4F" w:rsidR="00C23CB1" w:rsidRPr="00D314FF" w:rsidRDefault="00C23CB1" w:rsidP="00D314FF">
      <w:pPr>
        <w:pStyle w:val="FootnoteText"/>
        <w:spacing w:after="0"/>
      </w:pPr>
      <w:r>
        <w:rPr>
          <w:rStyle w:val="FootnoteReference"/>
          <w:lang w:val="en-IE"/>
        </w:rPr>
        <w:footnoteRef/>
      </w:r>
      <w:r>
        <w:t xml:space="preserve"> COM(</w:t>
      </w:r>
      <w:r w:rsidRPr="00F3116B">
        <w:t>2023</w:t>
      </w:r>
      <w:r>
        <w:t xml:space="preserve">) </w:t>
      </w:r>
      <w:r w:rsidRPr="00F3116B">
        <w:t>534</w:t>
      </w:r>
    </w:p>
  </w:footnote>
  <w:footnote w:id="11">
    <w:p w14:paraId="673B7DF8" w14:textId="54073EC5" w:rsidR="00C23CB1" w:rsidRPr="00D314FF" w:rsidRDefault="00C23CB1" w:rsidP="00D314FF">
      <w:pPr>
        <w:pStyle w:val="FootnoteText"/>
        <w:spacing w:after="0"/>
      </w:pPr>
      <w:r>
        <w:rPr>
          <w:rStyle w:val="FootnoteReference"/>
          <w:lang w:val="en-IE"/>
        </w:rPr>
        <w:footnoteRef/>
      </w:r>
      <w:r>
        <w:t xml:space="preserve"> </w:t>
      </w:r>
      <w:hyperlink r:id="rId9" w:history="1">
        <w:r>
          <w:rPr>
            <w:rStyle w:val="Hyperlink"/>
          </w:rPr>
          <w:t>https://single-market-economy.ec.europa.eu/single-market/single-digital-gateway_en</w:t>
        </w:r>
      </w:hyperlink>
    </w:p>
  </w:footnote>
  <w:footnote w:id="12">
    <w:p w14:paraId="705C7FD0" w14:textId="77777777" w:rsidR="00C23CB1" w:rsidRPr="00D314FF" w:rsidRDefault="00C23CB1" w:rsidP="00D314FF">
      <w:pPr>
        <w:pStyle w:val="FootnoteText"/>
        <w:spacing w:after="0"/>
      </w:pPr>
      <w:r>
        <w:rPr>
          <w:rStyle w:val="FootnoteReference"/>
        </w:rPr>
        <w:footnoteRef/>
      </w:r>
      <w:r>
        <w:t xml:space="preserve"> Annexe II du règlement (UE) </w:t>
      </w:r>
      <w:r w:rsidRPr="00F3116B">
        <w:t>2018</w:t>
      </w:r>
      <w:r>
        <w:t>/</w:t>
      </w:r>
      <w:r w:rsidRPr="00F3116B">
        <w:t>1724</w:t>
      </w:r>
      <w:r>
        <w:t>.</w:t>
      </w:r>
    </w:p>
  </w:footnote>
  <w:footnote w:id="13">
    <w:p w14:paraId="27A03DE8" w14:textId="77777777" w:rsidR="00C23CB1" w:rsidRPr="00D314FF" w:rsidRDefault="00C23CB1" w:rsidP="00D314FF">
      <w:pPr>
        <w:pStyle w:val="FootnoteText"/>
        <w:spacing w:after="0"/>
        <w:ind w:left="0" w:firstLine="0"/>
      </w:pPr>
      <w:r>
        <w:rPr>
          <w:rStyle w:val="FootnoteReference"/>
          <w:rFonts w:eastAsiaTheme="minorEastAsia"/>
          <w:lang w:val="en-IE"/>
        </w:rPr>
        <w:footnoteRef/>
      </w:r>
      <w:r>
        <w:rPr>
          <w:rStyle w:val="FootnoteReference"/>
        </w:rPr>
        <w:t xml:space="preserve"> </w:t>
      </w:r>
      <w:hyperlink r:id="rId10" w:history="1">
        <w:r>
          <w:rPr>
            <w:rStyle w:val="Hyperlink"/>
          </w:rPr>
          <w:t>https://www.postingdeclaration.eu/landing</w:t>
        </w:r>
      </w:hyperlink>
      <w:r>
        <w:rPr>
          <w:rStyle w:val="Hyperlink"/>
        </w:rPr>
        <w:t>.</w:t>
      </w:r>
    </w:p>
  </w:footnote>
  <w:footnote w:id="14">
    <w:p w14:paraId="5D466BCE" w14:textId="77777777" w:rsidR="00CC26F7" w:rsidRPr="00D314FF" w:rsidRDefault="00CC26F7" w:rsidP="00D314FF">
      <w:pPr>
        <w:pStyle w:val="FootnoteText"/>
        <w:spacing w:after="0"/>
      </w:pPr>
      <w:r>
        <w:rPr>
          <w:rStyle w:val="FootnoteReference"/>
        </w:rPr>
        <w:footnoteRef/>
      </w:r>
      <w:r>
        <w:t xml:space="preserve"> </w:t>
      </w:r>
      <w:hyperlink r:id="rId11" w:history="1">
        <w:r>
          <w:rPr>
            <w:rStyle w:val="Hyperlink"/>
          </w:rPr>
          <w:t>https://ec.europa.eu/commission/presscorner/detail/fr/IP_</w:t>
        </w:r>
        <w:r w:rsidRPr="00F3116B">
          <w:rPr>
            <w:rStyle w:val="Hyperlink"/>
          </w:rPr>
          <w:t>23</w:t>
        </w:r>
        <w:r>
          <w:rPr>
            <w:rStyle w:val="Hyperlink"/>
          </w:rPr>
          <w:t>_</w:t>
        </w:r>
        <w:r w:rsidRPr="00F3116B">
          <w:rPr>
            <w:rStyle w:val="Hyperlink"/>
          </w:rPr>
          <w:t>5730</w:t>
        </w:r>
      </w:hyperlink>
      <w:r>
        <w:t xml:space="preserve"> </w:t>
      </w:r>
    </w:p>
  </w:footnote>
  <w:footnote w:id="15">
    <w:p w14:paraId="71A29AAB" w14:textId="77777777" w:rsidR="00CC26F7" w:rsidRPr="00D314FF" w:rsidRDefault="00CC26F7" w:rsidP="00D314FF">
      <w:pPr>
        <w:pStyle w:val="FootnoteText"/>
        <w:spacing w:after="0"/>
        <w:ind w:left="0" w:firstLine="0"/>
        <w:jc w:val="left"/>
      </w:pPr>
      <w:r>
        <w:rPr>
          <w:rStyle w:val="FootnoteReference"/>
        </w:rPr>
        <w:footnoteRef/>
      </w:r>
      <w:r>
        <w:t xml:space="preserve"> https://eur-lex.europa.eu/legal-content/FR/TXT/?uri=COM%</w:t>
      </w:r>
      <w:r w:rsidRPr="00F3116B">
        <w:t>3</w:t>
      </w:r>
      <w:r>
        <w:t>A</w:t>
      </w:r>
      <w:r w:rsidRPr="00F3116B">
        <w:t>2022</w:t>
      </w:r>
      <w:r>
        <w:t>%</w:t>
      </w:r>
      <w:r w:rsidRPr="00F3116B">
        <w:t>3</w:t>
      </w:r>
      <w:r>
        <w:t>A</w:t>
      </w:r>
      <w:r w:rsidRPr="00F3116B">
        <w:t>710</w:t>
      </w:r>
      <w:r>
        <w:t>%</w:t>
      </w:r>
      <w:r w:rsidRPr="00F3116B">
        <w:t>3</w:t>
      </w:r>
      <w:r>
        <w:t>AFIN</w:t>
      </w:r>
    </w:p>
  </w:footnote>
  <w:footnote w:id="16">
    <w:p w14:paraId="4973C41F" w14:textId="77777777" w:rsidR="00C23CB1" w:rsidRPr="00D314FF" w:rsidRDefault="00C23CB1" w:rsidP="00D314FF">
      <w:pPr>
        <w:pStyle w:val="FootnoteText"/>
        <w:spacing w:after="0"/>
      </w:pPr>
      <w:r>
        <w:rPr>
          <w:rStyle w:val="FootnoteReference"/>
        </w:rPr>
        <w:footnoteRef/>
      </w:r>
      <w:r>
        <w:t xml:space="preserve"> </w:t>
      </w:r>
      <w:hyperlink r:id="rId12" w:history="1">
        <w:r>
          <w:rPr>
            <w:rStyle w:val="Hyperlink"/>
          </w:rPr>
          <w:t xml:space="preserve">Programme de travail de la Commission pour </w:t>
        </w:r>
        <w:r w:rsidRPr="00F3116B">
          <w:rPr>
            <w:rStyle w:val="Hyperlink"/>
          </w:rPr>
          <w:t>2024</w:t>
        </w:r>
      </w:hyperlink>
    </w:p>
  </w:footnote>
  <w:footnote w:id="17">
    <w:p w14:paraId="59617874" w14:textId="3E6F8C9A" w:rsidR="007E1DAE" w:rsidRPr="003D5F3F" w:rsidRDefault="007E1DAE" w:rsidP="003D5F3F">
      <w:pPr>
        <w:pStyle w:val="FootnoteText"/>
        <w:spacing w:after="0"/>
      </w:pPr>
      <w:r>
        <w:rPr>
          <w:rStyle w:val="FootnoteReference"/>
        </w:rPr>
        <w:footnoteRef/>
      </w:r>
      <w:r>
        <w:t xml:space="preserve"> </w:t>
      </w:r>
      <w:hyperlink r:id="rId13" w:history="1">
        <w:r>
          <w:rPr>
            <w:rStyle w:val="Hyperlink"/>
          </w:rPr>
          <w:t>https://commission.europa.eu/system/files/</w:t>
        </w:r>
        <w:r w:rsidRPr="00F3116B">
          <w:rPr>
            <w:rStyle w:val="Hyperlink"/>
          </w:rPr>
          <w:t>2023</w:t>
        </w:r>
        <w:r>
          <w:rPr>
            <w:rStyle w:val="Hyperlink"/>
          </w:rPr>
          <w:t>-</w:t>
        </w:r>
        <w:r w:rsidRPr="00F3116B">
          <w:rPr>
            <w:rStyle w:val="Hyperlink"/>
          </w:rPr>
          <w:t>10</w:t>
        </w:r>
        <w:r>
          <w:rPr>
            <w:rStyle w:val="Hyperlink"/>
          </w:rPr>
          <w:t>/Factsheet_CWP_Burdens_</w:t>
        </w:r>
        <w:r w:rsidRPr="00F3116B">
          <w:rPr>
            <w:rStyle w:val="Hyperlink"/>
          </w:rPr>
          <w:t>10</w:t>
        </w:r>
        <w:r>
          <w:rPr>
            <w:rStyle w:val="Hyperlink"/>
          </w:rPr>
          <w:t>.pdf</w:t>
        </w:r>
      </w:hyperlink>
    </w:p>
  </w:footnote>
  <w:footnote w:id="18">
    <w:p w14:paraId="1C02D2CE" w14:textId="77777777" w:rsidR="00357257" w:rsidRPr="00D314FF" w:rsidRDefault="00357257" w:rsidP="00D314FF">
      <w:pPr>
        <w:pStyle w:val="FootnoteText"/>
        <w:spacing w:after="0"/>
        <w:ind w:left="0" w:firstLine="0"/>
      </w:pPr>
      <w:r>
        <w:rPr>
          <w:rStyle w:val="FootnoteReference"/>
        </w:rPr>
        <w:footnoteRef/>
      </w:r>
      <w:r>
        <w:t xml:space="preserve"> Trois des huit avis prévus pour </w:t>
      </w:r>
      <w:r w:rsidRPr="00F3116B">
        <w:t>2024</w:t>
      </w:r>
      <w:r>
        <w:t xml:space="preserve"> portent sur les obligations de déclaration, y compris les déclarations automatisées en matière de durabilité et les actions et méthodologie visant à éviter l’introduction d’obligations inutiles en matière de déclaration; et sur le règlement sur la publication d’informations en matière de durabilité dans le secteur des services financiers. </w:t>
      </w:r>
    </w:p>
  </w:footnote>
  <w:footnote w:id="19">
    <w:p w14:paraId="7937C71A" w14:textId="77777777" w:rsidR="00C23CB1" w:rsidRPr="00D314FF" w:rsidRDefault="00C23CB1" w:rsidP="00D314FF">
      <w:pPr>
        <w:pStyle w:val="FootnoteText"/>
        <w:spacing w:after="0"/>
      </w:pPr>
      <w:r>
        <w:rPr>
          <w:rStyle w:val="FootnoteReference"/>
        </w:rPr>
        <w:footnoteRef/>
      </w:r>
      <w:r>
        <w:t xml:space="preserve"> Règlement (UE) </w:t>
      </w:r>
      <w:r w:rsidRPr="00F3116B">
        <w:t>2022</w:t>
      </w:r>
      <w:r>
        <w:t>/</w:t>
      </w:r>
      <w:r w:rsidRPr="00F3116B">
        <w:t>1925</w:t>
      </w:r>
      <w:r>
        <w:t>.</w:t>
      </w:r>
    </w:p>
  </w:footnote>
  <w:footnote w:id="20">
    <w:p w14:paraId="6BDE3B96" w14:textId="77777777" w:rsidR="00C23CB1" w:rsidRPr="00D314FF" w:rsidRDefault="00C23CB1" w:rsidP="00D314FF">
      <w:pPr>
        <w:pStyle w:val="FootnoteText"/>
        <w:spacing w:after="0"/>
      </w:pPr>
      <w:r>
        <w:rPr>
          <w:rStyle w:val="FootnoteReference"/>
        </w:rPr>
        <w:footnoteRef/>
      </w:r>
      <w:r>
        <w:t xml:space="preserve"> Règlement (UE) </w:t>
      </w:r>
      <w:r w:rsidRPr="00F3116B">
        <w:t>2022</w:t>
      </w:r>
      <w:r>
        <w:t>/</w:t>
      </w:r>
      <w:r w:rsidRPr="00F3116B">
        <w:t>2065</w:t>
      </w:r>
      <w:r>
        <w:t>.</w:t>
      </w:r>
    </w:p>
  </w:footnote>
  <w:footnote w:id="21">
    <w:p w14:paraId="47A0CF2B" w14:textId="77777777" w:rsidR="00C23CB1" w:rsidRPr="00D314FF" w:rsidRDefault="00C23CB1" w:rsidP="00D314FF">
      <w:pPr>
        <w:pStyle w:val="FootnoteText"/>
        <w:spacing w:after="0"/>
      </w:pPr>
      <w:r>
        <w:rPr>
          <w:rStyle w:val="FootnoteReference"/>
        </w:rPr>
        <w:footnoteRef/>
      </w:r>
      <w:r>
        <w:t xml:space="preserve"> Règlement (UE) </w:t>
      </w:r>
      <w:r w:rsidRPr="00F3116B">
        <w:t>2022</w:t>
      </w:r>
      <w:r>
        <w:t>/</w:t>
      </w:r>
      <w:r w:rsidRPr="00F3116B">
        <w:t>868</w:t>
      </w:r>
      <w:r>
        <w:t>.</w:t>
      </w:r>
      <w:r>
        <w:rPr>
          <w:highlight w:val="yellow"/>
        </w:rPr>
        <w:t xml:space="preserve"> </w:t>
      </w:r>
      <w:r>
        <w:t xml:space="preserve"> </w:t>
      </w:r>
    </w:p>
  </w:footnote>
  <w:footnote w:id="22">
    <w:p w14:paraId="7F389130" w14:textId="77777777" w:rsidR="00C23CB1" w:rsidRPr="00D314FF" w:rsidRDefault="00C23CB1" w:rsidP="00D314FF">
      <w:pPr>
        <w:pStyle w:val="FootnoteText"/>
        <w:spacing w:after="0"/>
      </w:pPr>
      <w:r>
        <w:rPr>
          <w:rStyle w:val="FootnoteReference"/>
        </w:rPr>
        <w:footnoteRef/>
      </w:r>
      <w:r>
        <w:t xml:space="preserve"> </w:t>
      </w:r>
      <w:hyperlink r:id="rId14" w:history="1">
        <w:r>
          <w:rPr>
            <w:rStyle w:val="Hyperlink"/>
          </w:rPr>
          <w:t>Règlement sur les données|</w:t>
        </w:r>
      </w:hyperlink>
      <w:hyperlink r:id="rId15" w:history="1">
        <w:r>
          <w:rPr>
            <w:rStyle w:val="Hyperlink"/>
          </w:rPr>
          <w:t>Façonner l’avenir numérique de l’Europe (europa.eu)</w:t>
        </w:r>
      </w:hyperlink>
    </w:p>
  </w:footnote>
  <w:footnote w:id="23">
    <w:p w14:paraId="3826E635" w14:textId="77777777" w:rsidR="00C23CB1" w:rsidRPr="00D314FF" w:rsidRDefault="00C23CB1" w:rsidP="00D314FF">
      <w:pPr>
        <w:pStyle w:val="FootnoteText"/>
        <w:spacing w:after="0"/>
      </w:pPr>
      <w:r>
        <w:rPr>
          <w:rStyle w:val="FootnoteReference"/>
        </w:rPr>
        <w:footnoteRef/>
      </w:r>
      <w:r>
        <w:t xml:space="preserve"> </w:t>
      </w:r>
      <w:hyperlink r:id="rId16" w:history="1">
        <w:r>
          <w:rPr>
            <w:rStyle w:val="Hyperlink"/>
          </w:rPr>
          <w:t>https://digital-strategy.ec.europa.eu/fr/policies/regulatory-framework-ai</w:t>
        </w:r>
      </w:hyperlink>
    </w:p>
  </w:footnote>
  <w:footnote w:id="24">
    <w:p w14:paraId="475A5E30" w14:textId="77777777" w:rsidR="00C23CB1" w:rsidRPr="00D314FF" w:rsidRDefault="00C23CB1" w:rsidP="00D314FF">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17" w:history="1">
        <w:r>
          <w:rPr>
            <w:rStyle w:val="Hyperlink"/>
            <w:rFonts w:ascii="Times New Roman" w:hAnsi="Times New Roman"/>
            <w:sz w:val="20"/>
          </w:rPr>
          <w:t>Instrument du marché unique pour les situations d’urgence — Commission européenne (europa.eu)</w:t>
        </w:r>
      </w:hyperlink>
      <w:r>
        <w:rPr>
          <w:rStyle w:val="Hyperlink"/>
          <w:rFonts w:ascii="Times New Roman" w:hAnsi="Times New Roman"/>
          <w:sz w:val="20"/>
        </w:rPr>
        <w:t xml:space="preserve"> </w:t>
      </w:r>
      <w:r>
        <w:t xml:space="preserve">Les colégislateurs sont parvenus à un accord le </w:t>
      </w:r>
      <w:r w:rsidRPr="00F3116B">
        <w:t>1</w:t>
      </w:r>
      <w:r>
        <w:rPr>
          <w:vertAlign w:val="superscript"/>
        </w:rPr>
        <w:t>er</w:t>
      </w:r>
      <w:r>
        <w:t xml:space="preserve"> février </w:t>
      </w:r>
      <w:r w:rsidRPr="00F3116B">
        <w:t>2024</w:t>
      </w:r>
      <w:r>
        <w:t>, et le SMEI devrait être adopté au cours de cette législature.</w:t>
      </w:r>
    </w:p>
  </w:footnote>
  <w:footnote w:id="25">
    <w:p w14:paraId="70DC3698" w14:textId="77777777" w:rsidR="00C23CB1" w:rsidRPr="00D314FF" w:rsidRDefault="00C23CB1" w:rsidP="005C3892">
      <w:pPr>
        <w:spacing w:after="0" w:line="240" w:lineRule="auto"/>
        <w:rPr>
          <w:rStyle w:val="Hyperlink"/>
          <w:rFonts w:ascii="Times New Roman" w:eastAsia="Times New Roman" w:hAnsi="Times New Roman" w:cs="Times New Roman"/>
          <w:sz w:val="20"/>
          <w:szCs w:val="20"/>
        </w:rPr>
      </w:pPr>
      <w:r>
        <w:rPr>
          <w:rStyle w:val="FootnoteReference"/>
          <w:sz w:val="20"/>
        </w:rPr>
        <w:footnoteRef/>
      </w:r>
      <w:r>
        <w:rPr>
          <w:rFonts w:ascii="Times New Roman" w:hAnsi="Times New Roman"/>
          <w:sz w:val="20"/>
        </w:rPr>
        <w:t xml:space="preserve"> </w:t>
      </w:r>
      <w:hyperlink r:id="rId18" w:history="1">
        <w:r>
          <w:rPr>
            <w:rStyle w:val="Hyperlink"/>
            <w:rFonts w:ascii="Times New Roman" w:hAnsi="Times New Roman"/>
            <w:sz w:val="20"/>
          </w:rPr>
          <w:t>SMEI / SURMI:</w:t>
        </w:r>
      </w:hyperlink>
      <w:hyperlink r:id="rId19" w:history="1">
        <w:r>
          <w:rPr>
            <w:rStyle w:val="Hyperlink"/>
            <w:rFonts w:ascii="Times New Roman" w:hAnsi="Times New Roman"/>
            <w:sz w:val="20"/>
          </w:rPr>
          <w:t>le Conseil et le Parlement parviennent à un accord provisoire sur la préparation aux crises — concilium (europa.eu)</w:t>
        </w:r>
      </w:hyperlink>
    </w:p>
  </w:footnote>
  <w:footnote w:id="26">
    <w:p w14:paraId="4B275948" w14:textId="77777777" w:rsidR="00C23CB1" w:rsidRPr="00D314FF" w:rsidRDefault="00C23CB1" w:rsidP="00D314FF">
      <w:pPr>
        <w:pStyle w:val="FootnoteText"/>
        <w:spacing w:after="0"/>
      </w:pPr>
      <w:r>
        <w:rPr>
          <w:rStyle w:val="FootnoteReference"/>
        </w:rPr>
        <w:footnoteRef/>
      </w:r>
      <w:r>
        <w:t xml:space="preserve"> </w:t>
      </w:r>
      <w:hyperlink r:id="rId20" w:history="1">
        <w:r>
          <w:rPr>
            <w:rStyle w:val="Hyperlink"/>
          </w:rPr>
          <w:t>SME Relief Package (europa.eu)</w:t>
        </w:r>
      </w:hyperlink>
      <w:r>
        <w:rPr>
          <w:rStyle w:val="Hyperlink"/>
        </w:rPr>
        <w:t>.</w:t>
      </w:r>
      <w:r>
        <w:t>.</w:t>
      </w:r>
      <w:r>
        <w:rPr>
          <w:rStyle w:val="Hyperlink"/>
        </w:rPr>
        <w:t xml:space="preserve"> Voir également l’annexe </w:t>
      </w:r>
      <w:r w:rsidRPr="00F3116B">
        <w:rPr>
          <w:rStyle w:val="Hyperlink"/>
        </w:rPr>
        <w:t>3</w:t>
      </w:r>
      <w:r>
        <w:rPr>
          <w:rStyle w:val="Hyperlink"/>
        </w:rPr>
        <w:t>A du SME Relief Package (europa.eu)</w:t>
      </w:r>
    </w:p>
  </w:footnote>
  <w:footnote w:id="27">
    <w:p w14:paraId="3F9906EF" w14:textId="77777777" w:rsidR="00C23CB1" w:rsidRPr="004847C3" w:rsidRDefault="00C23CB1" w:rsidP="00D314FF">
      <w:pPr>
        <w:pStyle w:val="FootnoteText"/>
        <w:spacing w:after="0"/>
        <w:ind w:left="0" w:firstLine="0"/>
        <w:jc w:val="left"/>
        <w:rPr>
          <w:lang w:val="en-IE"/>
        </w:rPr>
      </w:pPr>
      <w:r>
        <w:rPr>
          <w:rStyle w:val="FootnoteReference"/>
        </w:rPr>
        <w:footnoteRef/>
      </w:r>
      <w:r w:rsidRPr="004847C3">
        <w:rPr>
          <w:lang w:val="en-IE"/>
        </w:rPr>
        <w:t xml:space="preserve"> Study to map, measure and portray the EU mid-cap landscape - </w:t>
      </w:r>
      <w:hyperlink r:id="rId21" w:history="1">
        <w:r w:rsidRPr="004847C3">
          <w:rPr>
            <w:rStyle w:val="Hyperlink"/>
            <w:lang w:val="en-IE"/>
          </w:rPr>
          <w:t>https://op.europa.eu/en/publication-detail/-/publication/ad</w:t>
        </w:r>
        <w:r w:rsidRPr="00F3116B">
          <w:rPr>
            <w:rStyle w:val="Hyperlink"/>
            <w:lang w:val="en-IE"/>
          </w:rPr>
          <w:t>5</w:t>
        </w:r>
        <w:r w:rsidRPr="004847C3">
          <w:rPr>
            <w:rStyle w:val="Hyperlink"/>
            <w:lang w:val="en-IE"/>
          </w:rPr>
          <w:t>fdad</w:t>
        </w:r>
        <w:r w:rsidRPr="00F3116B">
          <w:rPr>
            <w:rStyle w:val="Hyperlink"/>
            <w:lang w:val="en-IE"/>
          </w:rPr>
          <w:t>5</w:t>
        </w:r>
        <w:r w:rsidRPr="004847C3">
          <w:rPr>
            <w:rStyle w:val="Hyperlink"/>
            <w:lang w:val="en-IE"/>
          </w:rPr>
          <w:t>-</w:t>
        </w:r>
        <w:r w:rsidRPr="00F3116B">
          <w:rPr>
            <w:rStyle w:val="Hyperlink"/>
            <w:lang w:val="en-IE"/>
          </w:rPr>
          <w:t>6</w:t>
        </w:r>
        <w:r w:rsidRPr="004847C3">
          <w:rPr>
            <w:rStyle w:val="Hyperlink"/>
            <w:lang w:val="en-IE"/>
          </w:rPr>
          <w:t>a</w:t>
        </w:r>
        <w:r w:rsidRPr="00F3116B">
          <w:rPr>
            <w:rStyle w:val="Hyperlink"/>
            <w:lang w:val="en-IE"/>
          </w:rPr>
          <w:t>33</w:t>
        </w:r>
        <w:r w:rsidRPr="004847C3">
          <w:rPr>
            <w:rStyle w:val="Hyperlink"/>
            <w:lang w:val="en-IE"/>
          </w:rPr>
          <w:t>-</w:t>
        </w:r>
        <w:r w:rsidRPr="00F3116B">
          <w:rPr>
            <w:rStyle w:val="Hyperlink"/>
            <w:lang w:val="en-IE"/>
          </w:rPr>
          <w:t>11</w:t>
        </w:r>
        <w:r w:rsidRPr="004847C3">
          <w:rPr>
            <w:rStyle w:val="Hyperlink"/>
            <w:lang w:val="en-IE"/>
          </w:rPr>
          <w:t>ed-b</w:t>
        </w:r>
        <w:r w:rsidRPr="00F3116B">
          <w:rPr>
            <w:rStyle w:val="Hyperlink"/>
            <w:lang w:val="en-IE"/>
          </w:rPr>
          <w:t>14</w:t>
        </w:r>
        <w:r w:rsidRPr="004847C3">
          <w:rPr>
            <w:rStyle w:val="Hyperlink"/>
            <w:lang w:val="en-IE"/>
          </w:rPr>
          <w:t>f-</w:t>
        </w:r>
        <w:r w:rsidRPr="00F3116B">
          <w:rPr>
            <w:rStyle w:val="Hyperlink"/>
            <w:lang w:val="en-IE"/>
          </w:rPr>
          <w:t>01</w:t>
        </w:r>
        <w:r w:rsidRPr="004847C3">
          <w:rPr>
            <w:rStyle w:val="Hyperlink"/>
            <w:lang w:val="en-IE"/>
          </w:rPr>
          <w:t>aa</w:t>
        </w:r>
        <w:r w:rsidRPr="00F3116B">
          <w:rPr>
            <w:rStyle w:val="Hyperlink"/>
            <w:lang w:val="en-IE"/>
          </w:rPr>
          <w:t>75</w:t>
        </w:r>
        <w:r w:rsidRPr="004847C3">
          <w:rPr>
            <w:rStyle w:val="Hyperlink"/>
            <w:lang w:val="en-IE"/>
          </w:rPr>
          <w:t>ed</w:t>
        </w:r>
        <w:r w:rsidRPr="00F3116B">
          <w:rPr>
            <w:rStyle w:val="Hyperlink"/>
            <w:lang w:val="en-IE"/>
          </w:rPr>
          <w:t>71</w:t>
        </w:r>
        <w:r w:rsidRPr="004847C3">
          <w:rPr>
            <w:rStyle w:val="Hyperlink"/>
            <w:lang w:val="en-IE"/>
          </w:rPr>
          <w:t>a</w:t>
        </w:r>
        <w:r w:rsidRPr="00F3116B">
          <w:rPr>
            <w:rStyle w:val="Hyperlink"/>
            <w:lang w:val="en-IE"/>
          </w:rPr>
          <w:t>1</w:t>
        </w:r>
        <w:r w:rsidRPr="004847C3">
          <w:rPr>
            <w:rStyle w:val="Hyperlink"/>
            <w:lang w:val="en-IE"/>
          </w:rPr>
          <w:t>/language-en/format-PDF/source-</w:t>
        </w:r>
        <w:r w:rsidRPr="00F3116B">
          <w:rPr>
            <w:rStyle w:val="Hyperlink"/>
            <w:lang w:val="en-IE"/>
          </w:rPr>
          <w:t>277396461</w:t>
        </w:r>
      </w:hyperlink>
      <w:r w:rsidRPr="004847C3">
        <w:rPr>
          <w:lang w:val="en-IE"/>
        </w:rPr>
        <w:t xml:space="preserve"> </w:t>
      </w:r>
    </w:p>
  </w:footnote>
  <w:footnote w:id="28">
    <w:p w14:paraId="6CABC840" w14:textId="77777777" w:rsidR="00C23CB1" w:rsidRPr="004847C3" w:rsidRDefault="00C23CB1" w:rsidP="00D314FF">
      <w:pPr>
        <w:pStyle w:val="FootnoteText"/>
        <w:spacing w:after="0"/>
        <w:rPr>
          <w:lang w:val="en-IE"/>
        </w:rPr>
      </w:pPr>
      <w:r>
        <w:rPr>
          <w:rStyle w:val="FootnoteReference"/>
        </w:rPr>
        <w:footnoteRef/>
      </w:r>
      <w:r w:rsidRPr="004847C3">
        <w:rPr>
          <w:lang w:val="en-IE"/>
        </w:rPr>
        <w:t xml:space="preserve"> </w:t>
      </w:r>
      <w:hyperlink r:id="rId22" w:history="1">
        <w:r w:rsidRPr="004847C3">
          <w:rPr>
            <w:rStyle w:val="Hyperlink"/>
            <w:lang w:val="en-IE"/>
          </w:rPr>
          <w:t>https://www.esri.ie/system/files/publications/BKMNEXT</w:t>
        </w:r>
        <w:r w:rsidRPr="00F3116B">
          <w:rPr>
            <w:rStyle w:val="Hyperlink"/>
            <w:lang w:val="en-IE"/>
          </w:rPr>
          <w:t>429</w:t>
        </w:r>
        <w:r w:rsidRPr="004847C3">
          <w:rPr>
            <w:rStyle w:val="Hyperlink"/>
            <w:lang w:val="en-IE"/>
          </w:rPr>
          <w:t>.pdf</w:t>
        </w:r>
      </w:hyperlink>
    </w:p>
  </w:footnote>
  <w:footnote w:id="29">
    <w:p w14:paraId="152E3FC1" w14:textId="77777777" w:rsidR="00C23CB1" w:rsidRPr="004847C3" w:rsidRDefault="00C23CB1" w:rsidP="00D314FF">
      <w:pPr>
        <w:pStyle w:val="FootnoteText"/>
        <w:spacing w:after="0"/>
        <w:ind w:left="142" w:hanging="142"/>
        <w:jc w:val="left"/>
        <w:rPr>
          <w:lang w:val="en-IE"/>
        </w:rPr>
      </w:pPr>
      <w:r>
        <w:rPr>
          <w:rStyle w:val="FootnoteReference"/>
        </w:rPr>
        <w:footnoteRef/>
      </w:r>
      <w:r w:rsidRPr="004847C3">
        <w:rPr>
          <w:lang w:val="en-IE"/>
        </w:rPr>
        <w:t xml:space="preserve"> </w:t>
      </w:r>
      <w:hyperlink r:id="rId23" w:history="1">
        <w:r w:rsidRPr="004847C3">
          <w:rPr>
            <w:rStyle w:val="Hyperlink"/>
            <w:lang w:val="en-IE"/>
          </w:rPr>
          <w:t>https://eur-lex.europa.eu/FR/legal-content/summary/general-block-exemption-regulation.html</w:t>
        </w:r>
      </w:hyperlink>
      <w:r w:rsidRPr="004847C3">
        <w:rPr>
          <w:lang w:val="en-IE"/>
        </w:rPr>
        <w:t xml:space="preserve"> </w:t>
      </w:r>
    </w:p>
  </w:footnote>
  <w:footnote w:id="30">
    <w:p w14:paraId="2A50965F" w14:textId="77777777" w:rsidR="00C23CB1" w:rsidRPr="004847C3" w:rsidRDefault="00C23CB1" w:rsidP="00D314FF">
      <w:pPr>
        <w:pStyle w:val="FootnoteText"/>
        <w:spacing w:after="0"/>
        <w:ind w:left="0" w:firstLine="0"/>
        <w:jc w:val="left"/>
        <w:rPr>
          <w:lang w:val="en-IE"/>
        </w:rPr>
      </w:pPr>
      <w:r>
        <w:rPr>
          <w:rStyle w:val="FootnoteReference"/>
        </w:rPr>
        <w:footnoteRef/>
      </w:r>
      <w:r w:rsidRPr="004847C3">
        <w:rPr>
          <w:lang w:val="en-IE"/>
        </w:rPr>
        <w:t xml:space="preserve"> </w:t>
      </w:r>
      <w:hyperlink r:id="rId24" w:history="1">
        <w:r w:rsidRPr="004847C3">
          <w:rPr>
            <w:rStyle w:val="Hyperlink"/>
            <w:lang w:val="en-IE"/>
          </w:rPr>
          <w:t>https://eur-lex.europa.eu/legal-content/FR/TXT/?uri=uriserv%</w:t>
        </w:r>
        <w:r w:rsidRPr="00F3116B">
          <w:rPr>
            <w:rStyle w:val="Hyperlink"/>
            <w:lang w:val="en-IE"/>
          </w:rPr>
          <w:t>3</w:t>
        </w:r>
        <w:r w:rsidRPr="004847C3">
          <w:rPr>
            <w:rStyle w:val="Hyperlink"/>
            <w:lang w:val="en-IE"/>
          </w:rPr>
          <w:t>AOJ.C_.</w:t>
        </w:r>
        <w:r w:rsidRPr="00F3116B">
          <w:rPr>
            <w:rStyle w:val="Hyperlink"/>
            <w:lang w:val="en-IE"/>
          </w:rPr>
          <w:t>2021</w:t>
        </w:r>
        <w:r w:rsidRPr="004847C3">
          <w:rPr>
            <w:rStyle w:val="Hyperlink"/>
            <w:lang w:val="en-IE"/>
          </w:rPr>
          <w:t>.</w:t>
        </w:r>
        <w:r w:rsidRPr="00F3116B">
          <w:rPr>
            <w:rStyle w:val="Hyperlink"/>
            <w:lang w:val="en-IE"/>
          </w:rPr>
          <w:t>508</w:t>
        </w:r>
        <w:r w:rsidRPr="004847C3">
          <w:rPr>
            <w:rStyle w:val="Hyperlink"/>
            <w:lang w:val="en-IE"/>
          </w:rPr>
          <w:t>.</w:t>
        </w:r>
        <w:r w:rsidRPr="00F3116B">
          <w:rPr>
            <w:rStyle w:val="Hyperlink"/>
            <w:lang w:val="en-IE"/>
          </w:rPr>
          <w:t>01</w:t>
        </w:r>
        <w:r w:rsidRPr="004847C3">
          <w:rPr>
            <w:rStyle w:val="Hyperlink"/>
            <w:lang w:val="en-IE"/>
          </w:rPr>
          <w:t>.</w:t>
        </w:r>
        <w:r w:rsidRPr="00F3116B">
          <w:rPr>
            <w:rStyle w:val="Hyperlink"/>
            <w:lang w:val="en-IE"/>
          </w:rPr>
          <w:t>0001</w:t>
        </w:r>
        <w:r w:rsidRPr="004847C3">
          <w:rPr>
            <w:rStyle w:val="Hyperlink"/>
            <w:lang w:val="en-IE"/>
          </w:rPr>
          <w:t>.</w:t>
        </w:r>
        <w:r w:rsidRPr="00F3116B">
          <w:rPr>
            <w:rStyle w:val="Hyperlink"/>
            <w:lang w:val="en-IE"/>
          </w:rPr>
          <w:t>01</w:t>
        </w:r>
        <w:r w:rsidRPr="004847C3">
          <w:rPr>
            <w:rStyle w:val="Hyperlink"/>
            <w:lang w:val="en-IE"/>
          </w:rPr>
          <w:t>.ENG&amp;toc=OJ%</w:t>
        </w:r>
        <w:r w:rsidRPr="00F3116B">
          <w:rPr>
            <w:rStyle w:val="Hyperlink"/>
            <w:lang w:val="en-IE"/>
          </w:rPr>
          <w:t>3</w:t>
        </w:r>
        <w:r w:rsidRPr="004847C3">
          <w:rPr>
            <w:rStyle w:val="Hyperlink"/>
            <w:lang w:val="en-IE"/>
          </w:rPr>
          <w:t>AC%</w:t>
        </w:r>
        <w:r w:rsidRPr="00F3116B">
          <w:rPr>
            <w:rStyle w:val="Hyperlink"/>
            <w:lang w:val="en-IE"/>
          </w:rPr>
          <w:t>3</w:t>
        </w:r>
        <w:r w:rsidRPr="004847C3">
          <w:rPr>
            <w:rStyle w:val="Hyperlink"/>
            <w:lang w:val="en-IE"/>
          </w:rPr>
          <w:t>A</w:t>
        </w:r>
        <w:r w:rsidRPr="00F3116B">
          <w:rPr>
            <w:rStyle w:val="Hyperlink"/>
            <w:lang w:val="en-IE"/>
          </w:rPr>
          <w:t>2021</w:t>
        </w:r>
        <w:r w:rsidRPr="004847C3">
          <w:rPr>
            <w:rStyle w:val="Hyperlink"/>
            <w:lang w:val="en-IE"/>
          </w:rPr>
          <w:t>%</w:t>
        </w:r>
        <w:r w:rsidRPr="00F3116B">
          <w:rPr>
            <w:rStyle w:val="Hyperlink"/>
            <w:lang w:val="en-IE"/>
          </w:rPr>
          <w:t>3</w:t>
        </w:r>
        <w:r w:rsidRPr="004847C3">
          <w:rPr>
            <w:rStyle w:val="Hyperlink"/>
            <w:lang w:val="en-IE"/>
          </w:rPr>
          <w:t>A</w:t>
        </w:r>
        <w:r w:rsidRPr="00F3116B">
          <w:rPr>
            <w:rStyle w:val="Hyperlink"/>
            <w:lang w:val="en-IE"/>
          </w:rPr>
          <w:t>508</w:t>
        </w:r>
        <w:r w:rsidRPr="004847C3">
          <w:rPr>
            <w:rStyle w:val="Hyperlink"/>
            <w:lang w:val="en-IE"/>
          </w:rPr>
          <w:t>%</w:t>
        </w:r>
        <w:r w:rsidRPr="00F3116B">
          <w:rPr>
            <w:rStyle w:val="Hyperlink"/>
            <w:lang w:val="en-IE"/>
          </w:rPr>
          <w:t>3</w:t>
        </w:r>
        <w:r w:rsidRPr="004847C3">
          <w:rPr>
            <w:rStyle w:val="Hyperlink"/>
            <w:lang w:val="en-IE"/>
          </w:rPr>
          <w:t>ATOC</w:t>
        </w:r>
      </w:hyperlink>
      <w:r w:rsidRPr="004847C3">
        <w:rPr>
          <w:lang w:val="en-IE"/>
        </w:rPr>
        <w:t xml:space="preserve"> </w:t>
      </w:r>
    </w:p>
  </w:footnote>
  <w:footnote w:id="31">
    <w:p w14:paraId="70A58A62" w14:textId="77777777" w:rsidR="00C23CB1" w:rsidRPr="00D314FF" w:rsidRDefault="00C23CB1" w:rsidP="005C3892">
      <w:pPr>
        <w:pStyle w:val="FootnoteText"/>
        <w:spacing w:after="0"/>
        <w:ind w:left="0" w:firstLine="0"/>
      </w:pPr>
      <w:r>
        <w:rPr>
          <w:rStyle w:val="FootnoteReference"/>
        </w:rPr>
        <w:footnoteRef/>
      </w:r>
      <w:r>
        <w:t xml:space="preserve"> Le Conseil européen a décidé d’ouvrir des négociations avec l’Ukraine et la République de Moldavie, d’ouvrir les négociations d’adhésion avec la Bosnie-Herzégovine une fois que le degré nécessaire de conformité aura été atteint et d’accorder le statut de pays candidat à la Géorgie: </w:t>
      </w:r>
      <w:hyperlink r:id="rId25" w:history="1">
        <w:r>
          <w:rPr>
            <w:rStyle w:val="Hyperlink"/>
          </w:rPr>
          <w:t>europeancouncilconclusions-</w:t>
        </w:r>
        <w:r w:rsidRPr="00F3116B">
          <w:rPr>
            <w:rStyle w:val="Hyperlink"/>
          </w:rPr>
          <w:t>14</w:t>
        </w:r>
        <w:r>
          <w:rPr>
            <w:rStyle w:val="Hyperlink"/>
          </w:rPr>
          <w:t>-</w:t>
        </w:r>
        <w:r w:rsidRPr="00F3116B">
          <w:rPr>
            <w:rStyle w:val="Hyperlink"/>
          </w:rPr>
          <w:t>15</w:t>
        </w:r>
        <w:r>
          <w:rPr>
            <w:rStyle w:val="Hyperlink"/>
          </w:rPr>
          <w:t>-</w:t>
        </w:r>
        <w:r w:rsidRPr="00F3116B">
          <w:rPr>
            <w:rStyle w:val="Hyperlink"/>
          </w:rPr>
          <w:t>12</w:t>
        </w:r>
        <w:r>
          <w:rPr>
            <w:rStyle w:val="Hyperlink"/>
          </w:rPr>
          <w:t>-</w:t>
        </w:r>
        <w:r w:rsidRPr="00F3116B">
          <w:rPr>
            <w:rStyle w:val="Hyperlink"/>
          </w:rPr>
          <w:t>2023</w:t>
        </w:r>
        <w:r>
          <w:rPr>
            <w:rStyle w:val="Hyperlink"/>
          </w:rPr>
          <w:t>-en.pdf (europa.eu)</w:t>
        </w:r>
      </w:hyperlink>
      <w:r>
        <w:rPr>
          <w:rStyle w:val="Hyperlink"/>
        </w:rPr>
        <w:t>.</w:t>
      </w:r>
    </w:p>
  </w:footnote>
  <w:footnote w:id="32">
    <w:p w14:paraId="19BAC392" w14:textId="68238155" w:rsidR="00C23CB1" w:rsidRPr="00D314FF" w:rsidRDefault="00C23CB1" w:rsidP="00D314FF">
      <w:pPr>
        <w:pStyle w:val="FootnoteText"/>
        <w:spacing w:after="0"/>
        <w:ind w:left="0" w:firstLine="0"/>
      </w:pPr>
      <w:r>
        <w:rPr>
          <w:rStyle w:val="FootnoteReference"/>
        </w:rPr>
        <w:footnoteRef/>
      </w:r>
      <w:r>
        <w:t xml:space="preserve"> Les données sont celles disponibles en décembre </w:t>
      </w:r>
      <w:r w:rsidRPr="00F3116B">
        <w:t>2023</w:t>
      </w:r>
      <w:r>
        <w:t>. Des informations sur les tendances à plus long terme sont données à l’annexe </w:t>
      </w:r>
      <w:r w:rsidRPr="00F3116B">
        <w:t>1</w:t>
      </w:r>
      <w:r>
        <w:t xml:space="preserve"> du document SWD(</w:t>
      </w:r>
      <w:r w:rsidRPr="00F3116B">
        <w:t>2024</w:t>
      </w:r>
      <w:r>
        <w:t>) </w:t>
      </w:r>
      <w:r w:rsidRPr="00F3116B">
        <w:t>78</w:t>
      </w:r>
      <w:r>
        <w:t xml:space="preserve"> intitulée «Overview of Key Performance Indicators (KPIs) on long-term competitiveness».</w:t>
      </w:r>
    </w:p>
  </w:footnote>
  <w:footnote w:id="33">
    <w:p w14:paraId="2CED7628" w14:textId="77777777" w:rsidR="00C23CB1" w:rsidRPr="00D314FF" w:rsidRDefault="00C23CB1" w:rsidP="00D314FF">
      <w:pPr>
        <w:pStyle w:val="FootnoteText"/>
        <w:spacing w:after="0"/>
        <w:ind w:left="0" w:firstLine="0"/>
      </w:pPr>
      <w:r>
        <w:rPr>
          <w:rStyle w:val="FootnoteReference"/>
        </w:rPr>
        <w:footnoteRef/>
      </w:r>
      <w:r>
        <w:t xml:space="preserve"> Voir par exemple la recommandation du Conseil concernant la politique économique de la zone euro, COM(</w:t>
      </w:r>
      <w:r w:rsidRPr="00F3116B">
        <w:t>2023</w:t>
      </w:r>
      <w:r>
        <w:t xml:space="preserve">) </w:t>
      </w:r>
      <w:r w:rsidRPr="00F3116B">
        <w:t>903</w:t>
      </w:r>
      <w:r>
        <w:t xml:space="preserve"> final.</w:t>
      </w:r>
    </w:p>
  </w:footnote>
  <w:footnote w:id="34">
    <w:p w14:paraId="2CDAA643" w14:textId="77777777" w:rsidR="00C23CB1" w:rsidRPr="004847C3" w:rsidRDefault="00C23CB1" w:rsidP="00D314FF">
      <w:pPr>
        <w:pStyle w:val="FootnoteText"/>
        <w:spacing w:after="0"/>
        <w:rPr>
          <w:lang w:val="en-IE"/>
        </w:rPr>
      </w:pPr>
      <w:r>
        <w:rPr>
          <w:rStyle w:val="FootnoteReference"/>
        </w:rPr>
        <w:footnoteRef/>
      </w:r>
      <w:r w:rsidRPr="004847C3">
        <w:rPr>
          <w:lang w:val="en-IE"/>
        </w:rPr>
        <w:t xml:space="preserve"> </w:t>
      </w:r>
      <w:hyperlink r:id="rId26" w:history="1">
        <w:r w:rsidRPr="004847C3">
          <w:rPr>
            <w:rStyle w:val="Hyperlink"/>
            <w:lang w:val="en-IE"/>
          </w:rPr>
          <w:t xml:space="preserve">EIB Investment Survey </w:t>
        </w:r>
        <w:r w:rsidRPr="00F3116B">
          <w:rPr>
            <w:rStyle w:val="Hyperlink"/>
            <w:lang w:val="en-IE"/>
          </w:rPr>
          <w:t>2023</w:t>
        </w:r>
        <w:r w:rsidRPr="004847C3">
          <w:rPr>
            <w:rStyle w:val="Hyperlink"/>
            <w:lang w:val="en-IE"/>
          </w:rPr>
          <w:t>:</w:t>
        </w:r>
      </w:hyperlink>
      <w:hyperlink r:id="rId27" w:history="1">
        <w:r w:rsidRPr="004847C3">
          <w:rPr>
            <w:rStyle w:val="Hyperlink"/>
            <w:lang w:val="en-IE"/>
          </w:rPr>
          <w:t xml:space="preserve"> European Union overview</w:t>
        </w:r>
      </w:hyperlink>
      <w:r w:rsidRPr="004847C3">
        <w:rPr>
          <w:rStyle w:val="Hyperlink"/>
          <w:lang w:val="en-IE"/>
        </w:rPr>
        <w:t>.</w:t>
      </w:r>
    </w:p>
  </w:footnote>
  <w:footnote w:id="35">
    <w:p w14:paraId="5B2927FD" w14:textId="7BD1C91D" w:rsidR="00C23CB1" w:rsidRPr="004847C3" w:rsidRDefault="00C23CB1" w:rsidP="00D314FF">
      <w:pPr>
        <w:pStyle w:val="FootnoteText"/>
        <w:spacing w:after="0"/>
        <w:rPr>
          <w:lang w:val="en-IE"/>
        </w:rPr>
      </w:pPr>
      <w:r>
        <w:rPr>
          <w:rStyle w:val="FootnoteReference"/>
        </w:rPr>
        <w:footnoteRef/>
      </w:r>
      <w:r w:rsidRPr="004847C3">
        <w:rPr>
          <w:lang w:val="en-IE"/>
        </w:rPr>
        <w:t xml:space="preserve"> European Monitor of Industrial Ecosystems (EMI) SWD(</w:t>
      </w:r>
      <w:r w:rsidRPr="00F3116B">
        <w:rPr>
          <w:lang w:val="en-IE"/>
        </w:rPr>
        <w:t>2024</w:t>
      </w:r>
      <w:r w:rsidRPr="004847C3">
        <w:rPr>
          <w:lang w:val="en-IE"/>
        </w:rPr>
        <w:t>) </w:t>
      </w:r>
      <w:r w:rsidRPr="00F3116B">
        <w:rPr>
          <w:lang w:val="en-IE"/>
        </w:rPr>
        <w:t>77</w:t>
      </w:r>
      <w:r w:rsidRPr="004847C3">
        <w:rPr>
          <w:lang w:val="en-IE"/>
        </w:rPr>
        <w:t>.</w:t>
      </w:r>
    </w:p>
  </w:footnote>
  <w:footnote w:id="36">
    <w:p w14:paraId="54EFF1F8" w14:textId="77777777" w:rsidR="00C23CB1" w:rsidRPr="00D314FF" w:rsidRDefault="00C23CB1" w:rsidP="00D314FF">
      <w:pPr>
        <w:pStyle w:val="FootnoteText"/>
        <w:spacing w:after="0"/>
        <w:ind w:left="0" w:firstLine="0"/>
      </w:pPr>
      <w:r>
        <w:rPr>
          <w:rStyle w:val="FootnoteReference"/>
        </w:rPr>
        <w:footnoteRef/>
      </w:r>
      <w:r>
        <w:t xml:space="preserve"> Le </w:t>
      </w:r>
      <w:r w:rsidRPr="00F3116B">
        <w:t>13</w:t>
      </w:r>
      <w:r>
        <w:t xml:space="preserve"> février </w:t>
      </w:r>
      <w:r w:rsidRPr="00F3116B">
        <w:t>2023</w:t>
      </w:r>
      <w:r>
        <w:t>, action menée initialement par le Groupe BEI, avec des contributions de l’Allemagne, de la France, de l’Espagne, de l’Italie et de la Belgique.</w:t>
      </w:r>
    </w:p>
  </w:footnote>
  <w:footnote w:id="37">
    <w:p w14:paraId="1422A7DD" w14:textId="10439435" w:rsidR="00C23CB1" w:rsidRPr="00D314FF" w:rsidRDefault="00C23CB1" w:rsidP="00D314FF">
      <w:pPr>
        <w:pStyle w:val="FootnoteText"/>
        <w:spacing w:after="0"/>
        <w:ind w:left="0" w:firstLine="0"/>
      </w:pPr>
      <w:r>
        <w:rPr>
          <w:rStyle w:val="FootnoteReference"/>
        </w:rPr>
        <w:footnoteRef/>
      </w:r>
      <w:r>
        <w:t xml:space="preserve"> Les données sont celles disponibles en décembre </w:t>
      </w:r>
      <w:r w:rsidRPr="00F3116B">
        <w:t>2023</w:t>
      </w:r>
      <w:r>
        <w:t>. Des informations sur les tendances à plus long terme sont données à l’annexe </w:t>
      </w:r>
      <w:r w:rsidRPr="00F3116B">
        <w:t>1</w:t>
      </w:r>
      <w:r>
        <w:t xml:space="preserve"> du document SWD(</w:t>
      </w:r>
      <w:r w:rsidRPr="00F3116B">
        <w:t>2024</w:t>
      </w:r>
      <w:r>
        <w:t>) </w:t>
      </w:r>
      <w:r w:rsidRPr="00F3116B">
        <w:t>78</w:t>
      </w:r>
      <w:r>
        <w:t xml:space="preserve"> intitulée «Overview of Key Performance Indicators (KPIs) on long-term competitiveness».</w:t>
      </w:r>
    </w:p>
  </w:footnote>
  <w:footnote w:id="38">
    <w:p w14:paraId="108E8AED" w14:textId="77777777" w:rsidR="00C23CB1" w:rsidRPr="00D314FF" w:rsidRDefault="00C23CB1" w:rsidP="00D314FF">
      <w:pPr>
        <w:pStyle w:val="FootnoteText"/>
        <w:spacing w:after="0"/>
        <w:ind w:left="0" w:firstLine="0"/>
      </w:pPr>
      <w:r>
        <w:rPr>
          <w:rStyle w:val="FootnoteReference"/>
        </w:rPr>
        <w:footnoteRef/>
      </w:r>
      <w:r>
        <w:t xml:space="preserve"> Les besoins d’investissement supplémentaires globaux pour atteindre les objectifs de la double transition ont été estimés à environ </w:t>
      </w:r>
      <w:r w:rsidRPr="00F3116B">
        <w:t>650</w:t>
      </w:r>
      <w:r>
        <w:t xml:space="preserve"> milliards d’euros par an pour la période </w:t>
      </w:r>
      <w:r w:rsidRPr="00F3116B">
        <w:t>2022</w:t>
      </w:r>
      <w:r>
        <w:t>-</w:t>
      </w:r>
      <w:r w:rsidRPr="00F3116B">
        <w:t>2030</w:t>
      </w:r>
      <w:r>
        <w:t xml:space="preserve">. </w:t>
      </w:r>
      <w:hyperlink r:id="rId28" w:anchor=":~:text=It%20is%20estimated%2C%20at%20lower,regions%20in%20Europe%20and%20beyond" w:history="1">
        <w:r>
          <w:rPr>
            <w:rStyle w:val="Hyperlink"/>
          </w:rPr>
          <w:t>https://commission.europa.eu/strategy-and-policy/strategic-planning/strategic-foresight/</w:t>
        </w:r>
        <w:r w:rsidRPr="00F3116B">
          <w:rPr>
            <w:rStyle w:val="Hyperlink"/>
          </w:rPr>
          <w:t>2022</w:t>
        </w:r>
        <w:r>
          <w:rPr>
            <w:rStyle w:val="Hyperlink"/>
          </w:rPr>
          <w:t>-strategic-foresight-report_en#:~:text=It%</w:t>
        </w:r>
        <w:r w:rsidRPr="00F3116B">
          <w:rPr>
            <w:rStyle w:val="Hyperlink"/>
          </w:rPr>
          <w:t>20</w:t>
        </w:r>
        <w:r>
          <w:rPr>
            <w:rStyle w:val="Hyperlink"/>
          </w:rPr>
          <w:t>is%</w:t>
        </w:r>
        <w:r w:rsidRPr="00F3116B">
          <w:rPr>
            <w:rStyle w:val="Hyperlink"/>
          </w:rPr>
          <w:t>20</w:t>
        </w:r>
        <w:r>
          <w:rPr>
            <w:rStyle w:val="Hyperlink"/>
          </w:rPr>
          <w:t>estimated%</w:t>
        </w:r>
        <w:r w:rsidRPr="00F3116B">
          <w:rPr>
            <w:rStyle w:val="Hyperlink"/>
          </w:rPr>
          <w:t>2</w:t>
        </w:r>
        <w:r>
          <w:rPr>
            <w:rStyle w:val="Hyperlink"/>
          </w:rPr>
          <w:t>C%</w:t>
        </w:r>
        <w:r w:rsidRPr="00F3116B">
          <w:rPr>
            <w:rStyle w:val="Hyperlink"/>
          </w:rPr>
          <w:t>20</w:t>
        </w:r>
        <w:r>
          <w:rPr>
            <w:rStyle w:val="Hyperlink"/>
          </w:rPr>
          <w:t>at%</w:t>
        </w:r>
        <w:r w:rsidRPr="00F3116B">
          <w:rPr>
            <w:rStyle w:val="Hyperlink"/>
          </w:rPr>
          <w:t>20</w:t>
        </w:r>
        <w:r>
          <w:rPr>
            <w:rStyle w:val="Hyperlink"/>
          </w:rPr>
          <w:t>lower,regions%</w:t>
        </w:r>
        <w:r w:rsidRPr="00F3116B">
          <w:rPr>
            <w:rStyle w:val="Hyperlink"/>
          </w:rPr>
          <w:t>20</w:t>
        </w:r>
        <w:r>
          <w:rPr>
            <w:rStyle w:val="Hyperlink"/>
          </w:rPr>
          <w:t>in%</w:t>
        </w:r>
        <w:r w:rsidRPr="00F3116B">
          <w:rPr>
            <w:rStyle w:val="Hyperlink"/>
          </w:rPr>
          <w:t>20</w:t>
        </w:r>
        <w:r>
          <w:rPr>
            <w:rStyle w:val="Hyperlink"/>
          </w:rPr>
          <w:t>Europe%</w:t>
        </w:r>
        <w:r w:rsidRPr="00F3116B">
          <w:rPr>
            <w:rStyle w:val="Hyperlink"/>
          </w:rPr>
          <w:t>20</w:t>
        </w:r>
        <w:r>
          <w:rPr>
            <w:rStyle w:val="Hyperlink"/>
          </w:rPr>
          <w:t>and%</w:t>
        </w:r>
        <w:r w:rsidRPr="00F3116B">
          <w:rPr>
            <w:rStyle w:val="Hyperlink"/>
          </w:rPr>
          <w:t>20</w:t>
        </w:r>
        <w:r>
          <w:rPr>
            <w:rStyle w:val="Hyperlink"/>
          </w:rPr>
          <w:t>beyond</w:t>
        </w:r>
      </w:hyperlink>
      <w:r>
        <w:t xml:space="preserve"> </w:t>
      </w:r>
      <w:hyperlink r:id="rId29" w:history="1">
        <w:r>
          <w:rPr>
            <w:rStyle w:val="Hyperlink"/>
          </w:rPr>
          <w:t>https://ec.europa.eu/commission/presscorner/detail/en/qanda_</w:t>
        </w:r>
        <w:r w:rsidRPr="00F3116B">
          <w:rPr>
            <w:rStyle w:val="Hyperlink"/>
          </w:rPr>
          <w:t>23</w:t>
        </w:r>
        <w:r>
          <w:rPr>
            <w:rStyle w:val="Hyperlink"/>
          </w:rPr>
          <w:t>_</w:t>
        </w:r>
        <w:r w:rsidRPr="00F3116B">
          <w:rPr>
            <w:rStyle w:val="Hyperlink"/>
          </w:rPr>
          <w:t>3194</w:t>
        </w:r>
      </w:hyperlink>
      <w:r>
        <w:t xml:space="preserve"> </w:t>
      </w:r>
    </w:p>
  </w:footnote>
  <w:footnote w:id="39">
    <w:p w14:paraId="47745E12" w14:textId="77777777" w:rsidR="00C23CB1" w:rsidRPr="005C3892" w:rsidRDefault="00C23CB1" w:rsidP="005C3892">
      <w:pPr>
        <w:spacing w:after="0" w:line="240" w:lineRule="auto"/>
        <w:rPr>
          <w:rFonts w:ascii="Times New Roman" w:hAnsi="Times New Roman"/>
          <w:sz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30" w:history="1">
        <w:r>
          <w:rPr>
            <w:rFonts w:ascii="Times New Roman" w:hAnsi="Times New Roman"/>
            <w:color w:val="0000FF"/>
            <w:sz w:val="20"/>
            <w:u w:val="single"/>
          </w:rPr>
          <w:t xml:space="preserve">Portail des données ouvertes pour les Fonds structurels et d’investissement européens – Commission européenne </w:t>
        </w:r>
      </w:hyperlink>
      <w:r>
        <w:t>|</w:t>
      </w:r>
      <w:hyperlink r:id="rId31" w:history="1">
        <w:r>
          <w:rPr>
            <w:rFonts w:ascii="Times New Roman" w:hAnsi="Times New Roman"/>
            <w:color w:val="0000FF"/>
            <w:sz w:val="20"/>
            <w:u w:val="single"/>
          </w:rPr>
          <w:t xml:space="preserve"> Données |</w:t>
        </w:r>
      </w:hyperlink>
      <w:hyperlink r:id="rId32" w:history="1">
        <w:r>
          <w:rPr>
            <w:rFonts w:ascii="Times New Roman" w:hAnsi="Times New Roman"/>
            <w:color w:val="0000FF"/>
            <w:sz w:val="20"/>
            <w:u w:val="single"/>
          </w:rPr>
          <w:t>Fonds structurels et d’investissement européens (europa.eu)</w:t>
        </w:r>
      </w:hyperlink>
    </w:p>
  </w:footnote>
  <w:footnote w:id="40">
    <w:p w14:paraId="5649A650" w14:textId="77777777" w:rsidR="00C23CB1" w:rsidRPr="00D314FF" w:rsidRDefault="00C23CB1" w:rsidP="005C3892">
      <w:pPr>
        <w:pStyle w:val="FootnoteText"/>
        <w:spacing w:after="0"/>
        <w:ind w:left="0" w:firstLine="0"/>
      </w:pPr>
      <w:r>
        <w:rPr>
          <w:rStyle w:val="FootnoteReference"/>
          <w:lang w:val="en-IE"/>
        </w:rPr>
        <w:footnoteRef/>
      </w:r>
      <w:r>
        <w:t xml:space="preserve"> </w:t>
      </w:r>
      <w:hyperlink r:id="rId33" w:history="1">
        <w:r>
          <w:rPr>
            <w:rStyle w:val="Hyperlink"/>
          </w:rPr>
          <w:t>Règlement pour une industrie «zéro net» (europa.eu</w:t>
        </w:r>
      </w:hyperlink>
      <w:r>
        <w:rPr>
          <w:rStyle w:val="Hyperlink"/>
        </w:rPr>
        <w:t>.</w:t>
      </w:r>
    </w:p>
  </w:footnote>
  <w:footnote w:id="41">
    <w:p w14:paraId="1A31A207" w14:textId="77777777" w:rsidR="00DF65CC" w:rsidRPr="00A66E50" w:rsidRDefault="00DF65CC" w:rsidP="00DF65CC">
      <w:pPr>
        <w:pStyle w:val="FootnoteText"/>
        <w:spacing w:after="0"/>
        <w:ind w:left="0" w:firstLine="0"/>
      </w:pPr>
      <w:r>
        <w:rPr>
          <w:rStyle w:val="FootnoteReference"/>
        </w:rPr>
        <w:footnoteRef/>
      </w:r>
      <w:r>
        <w:t xml:space="preserve"> </w:t>
      </w:r>
      <w:hyperlink r:id="rId34" w:history="1">
        <w:r>
          <w:rPr>
            <w:rStyle w:val="Hyperlink"/>
          </w:rPr>
          <w:t>Alliances industrielles — Commission européenne (europa.eu)</w:t>
        </w:r>
      </w:hyperlink>
      <w:r>
        <w:t> </w:t>
      </w:r>
    </w:p>
  </w:footnote>
  <w:footnote w:id="42">
    <w:p w14:paraId="627E39BB" w14:textId="77777777" w:rsidR="00C23CB1" w:rsidRPr="00A66E50" w:rsidRDefault="00C23CB1" w:rsidP="00D314FF">
      <w:pPr>
        <w:pStyle w:val="FootnoteText"/>
        <w:tabs>
          <w:tab w:val="left" w:pos="1700"/>
        </w:tabs>
        <w:spacing w:after="0"/>
        <w:ind w:left="0" w:firstLine="0"/>
      </w:pPr>
      <w:r>
        <w:rPr>
          <w:rStyle w:val="FootnoteReference"/>
        </w:rPr>
        <w:footnoteRef/>
      </w:r>
      <w:r>
        <w:t xml:space="preserve"> </w:t>
      </w:r>
      <w:hyperlink r:id="rId35" w:history="1">
        <w:r>
          <w:t>https://research-and-innovation.ec.europa.eu/strategy/support-policy-making/shaping-eu-research-and-innovation-policy/new-european-innovation-agenda_en</w:t>
        </w:r>
      </w:hyperlink>
    </w:p>
  </w:footnote>
  <w:footnote w:id="43">
    <w:p w14:paraId="1F799FA4" w14:textId="199B255B" w:rsidR="00C23CB1" w:rsidRPr="00D314FF" w:rsidRDefault="00C23CB1" w:rsidP="00D314FF">
      <w:pPr>
        <w:pStyle w:val="FootnoteText"/>
        <w:spacing w:after="0"/>
        <w:ind w:left="0" w:firstLine="0"/>
      </w:pPr>
      <w:r>
        <w:rPr>
          <w:rStyle w:val="FootnoteReference"/>
        </w:rPr>
        <w:footnoteRef/>
      </w:r>
      <w:r>
        <w:t xml:space="preserve"> Deux dans les batteries, deux dans les semi-conducteurs, deux dans les écosystèmes de l’hydrogène et un dans les technologies d’informatique en nuage et de périphérie. Voir également l’annexe </w:t>
      </w:r>
      <w:r w:rsidRPr="00F3116B">
        <w:t>2</w:t>
      </w:r>
      <w:r>
        <w:t xml:space="preserve"> du document SWD (</w:t>
      </w:r>
      <w:r w:rsidRPr="00F3116B">
        <w:t>2024</w:t>
      </w:r>
      <w:r>
        <w:t>) </w:t>
      </w:r>
      <w:r w:rsidRPr="00F3116B">
        <w:t>78</w:t>
      </w:r>
      <w:r>
        <w:t>.</w:t>
      </w:r>
    </w:p>
  </w:footnote>
  <w:footnote w:id="44">
    <w:p w14:paraId="29B28BA9" w14:textId="77777777" w:rsidR="00230BBE" w:rsidRPr="00D314FF" w:rsidRDefault="00230BBE" w:rsidP="00D314FF">
      <w:pPr>
        <w:pStyle w:val="FootnoteText"/>
        <w:tabs>
          <w:tab w:val="left" w:pos="1700"/>
        </w:tabs>
        <w:spacing w:after="0"/>
        <w:ind w:left="0" w:firstLine="0"/>
      </w:pPr>
      <w:r>
        <w:rPr>
          <w:rStyle w:val="FootnoteReference"/>
          <w:lang w:val="en-IE"/>
        </w:rPr>
        <w:footnoteRef/>
      </w:r>
      <w:r>
        <w:t xml:space="preserve"> COM(</w:t>
      </w:r>
      <w:r w:rsidRPr="00F3116B">
        <w:t>2023</w:t>
      </w:r>
      <w:r>
        <w:t>) </w:t>
      </w:r>
      <w:r w:rsidRPr="00F3116B">
        <w:t>335</w:t>
      </w:r>
      <w:r>
        <w:t xml:space="preserve"> final. </w:t>
      </w:r>
      <w:r>
        <w:rPr>
          <w:rStyle w:val="Hyperlink"/>
        </w:rPr>
        <w:t xml:space="preserve"> </w:t>
      </w:r>
    </w:p>
  </w:footnote>
  <w:footnote w:id="45">
    <w:p w14:paraId="22BC847C" w14:textId="28CB9BA0" w:rsidR="00C23CB1" w:rsidRPr="00D314FF" w:rsidRDefault="00C23CB1" w:rsidP="00D314FF">
      <w:pPr>
        <w:pStyle w:val="FootnoteText"/>
        <w:spacing w:after="0"/>
        <w:ind w:left="0" w:firstLine="0"/>
      </w:pPr>
      <w:r>
        <w:rPr>
          <w:rStyle w:val="FootnoteReference"/>
        </w:rPr>
        <w:footnoteRef/>
      </w:r>
      <w:r>
        <w:t xml:space="preserve"> </w:t>
      </w:r>
      <w:hyperlink r:id="rId36" w:history="1">
        <w:r>
          <w:rPr>
            <w:rStyle w:val="Hyperlink"/>
          </w:rPr>
          <w:t>https://www.eca.europa.eu/en/publications/SR-</w:t>
        </w:r>
        <w:r w:rsidRPr="00F3116B">
          <w:rPr>
            <w:rStyle w:val="Hyperlink"/>
          </w:rPr>
          <w:t>2023</w:t>
        </w:r>
        <w:r>
          <w:rPr>
            <w:rStyle w:val="Hyperlink"/>
          </w:rPr>
          <w:t>-</w:t>
        </w:r>
        <w:r w:rsidRPr="00F3116B">
          <w:rPr>
            <w:rStyle w:val="Hyperlink"/>
          </w:rPr>
          <w:t>28</w:t>
        </w:r>
      </w:hyperlink>
      <w:r>
        <w:t xml:space="preserve">. Les orientations «Acheter social» de </w:t>
      </w:r>
      <w:r w:rsidRPr="00F3116B">
        <w:t>2021</w:t>
      </w:r>
      <w:r>
        <w:t xml:space="preserve"> publiées par la Commission européenne peuvent aider les administrations publiques à appliquer ces critères, </w:t>
      </w:r>
      <w:hyperlink r:id="rId37" w:history="1">
        <w:r>
          <w:rPr>
            <w:rStyle w:val="Hyperlink"/>
          </w:rPr>
          <w:t>https :// ec.europa.eu/docsroom/documents/</w:t>
        </w:r>
        <w:r w:rsidRPr="00F3116B">
          <w:rPr>
            <w:rStyle w:val="Hyperlink"/>
          </w:rPr>
          <w:t>45767</w:t>
        </w:r>
      </w:hyperlink>
    </w:p>
  </w:footnote>
  <w:footnote w:id="46">
    <w:p w14:paraId="353340DF" w14:textId="77777777" w:rsidR="00C23CB1" w:rsidRPr="00D314FF" w:rsidRDefault="00C23CB1" w:rsidP="00D314FF">
      <w:pPr>
        <w:pStyle w:val="FootnoteText"/>
        <w:spacing w:after="0"/>
        <w:ind w:left="0" w:firstLine="0"/>
      </w:pPr>
      <w:r>
        <w:rPr>
          <w:rStyle w:val="FootnoteReference"/>
        </w:rPr>
        <w:footnoteRef/>
      </w:r>
      <w:r>
        <w:t xml:space="preserve"> </w:t>
      </w:r>
      <w:hyperlink r:id="rId38" w:history="1">
        <w:r>
          <w:rPr>
            <w:rStyle w:val="Hyperlink"/>
          </w:rPr>
          <w:t>https://single-market-economy.ec.europa.eu/industry/sustainability/net-zero-industry-act_en</w:t>
        </w:r>
      </w:hyperlink>
      <w:r>
        <w:t>.</w:t>
      </w:r>
    </w:p>
  </w:footnote>
  <w:footnote w:id="47">
    <w:p w14:paraId="471CA22B" w14:textId="25CB9C75" w:rsidR="000847DC" w:rsidRPr="000847DC" w:rsidRDefault="000847DC">
      <w:pPr>
        <w:pStyle w:val="FootnoteText"/>
      </w:pPr>
      <w:r>
        <w:rPr>
          <w:rStyle w:val="FootnoteReference"/>
        </w:rPr>
        <w:footnoteRef/>
      </w:r>
      <w:r>
        <w:t xml:space="preserve"> Les données sont celles disponibles en décembre </w:t>
      </w:r>
      <w:r w:rsidRPr="00F3116B">
        <w:t>2023</w:t>
      </w:r>
      <w:r>
        <w:t>. Des informations sur les tendances à plus long terme sont données à l’annexe </w:t>
      </w:r>
      <w:r w:rsidRPr="00F3116B">
        <w:t>1</w:t>
      </w:r>
      <w:r>
        <w:t xml:space="preserve"> du document SWD(</w:t>
      </w:r>
      <w:r w:rsidRPr="00F3116B">
        <w:t>2024</w:t>
      </w:r>
      <w:r>
        <w:t>) </w:t>
      </w:r>
      <w:r w:rsidRPr="00F3116B">
        <w:t>78</w:t>
      </w:r>
      <w:r>
        <w:t xml:space="preserve"> intitulée «Overview of Key Performance Indicators (KPIs) on long-term competitiveness».</w:t>
      </w:r>
    </w:p>
  </w:footnote>
  <w:footnote w:id="48">
    <w:p w14:paraId="39A3F7B8" w14:textId="77777777" w:rsidR="007C7570" w:rsidRDefault="00C23CB1" w:rsidP="00AE6BEB">
      <w:pPr>
        <w:pStyle w:val="FootnoteText"/>
        <w:spacing w:after="0"/>
        <w:ind w:left="0" w:firstLine="0"/>
        <w:rPr>
          <w:vertAlign w:val="superscript"/>
        </w:rPr>
      </w:pPr>
      <w:r>
        <w:rPr>
          <w:vertAlign w:val="superscript"/>
        </w:rPr>
        <w:t xml:space="preserve">   </w:t>
      </w:r>
    </w:p>
    <w:p w14:paraId="30ABFDBF" w14:textId="36C5F6B7" w:rsidR="00C23CB1" w:rsidRPr="00D314FF" w:rsidRDefault="00C23CB1" w:rsidP="00D314FF">
      <w:pPr>
        <w:pStyle w:val="FootnoteText"/>
        <w:spacing w:after="0"/>
        <w:ind w:left="0" w:hanging="142"/>
      </w:pPr>
      <w:r>
        <w:rPr>
          <w:vertAlign w:val="superscript"/>
        </w:rPr>
        <w:t xml:space="preserve"> </w:t>
      </w:r>
      <w:r>
        <w:rPr>
          <w:vertAlign w:val="superscript"/>
        </w:rPr>
        <w:tab/>
      </w:r>
      <w:r>
        <w:rPr>
          <w:rStyle w:val="FootnoteReference"/>
        </w:rPr>
        <w:footnoteRef/>
      </w:r>
      <w:r>
        <w:rPr>
          <w:vertAlign w:val="superscript"/>
        </w:rPr>
        <w:t xml:space="preserve"> </w:t>
      </w:r>
      <w:hyperlink r:id="rId39" w:history="1">
        <w:r>
          <w:rPr>
            <w:rStyle w:val="Hyperlink"/>
          </w:rPr>
          <w:t>https://op.europa.eu/en/web/eu-law-and-publications/publication-detail/-/publication/</w:t>
        </w:r>
        <w:r w:rsidRPr="00F3116B">
          <w:rPr>
            <w:rStyle w:val="Hyperlink"/>
          </w:rPr>
          <w:t>04797497</w:t>
        </w:r>
        <w:r>
          <w:rPr>
            <w:rStyle w:val="Hyperlink"/>
          </w:rPr>
          <w:t>-</w:t>
        </w:r>
        <w:r w:rsidRPr="00F3116B">
          <w:rPr>
            <w:rStyle w:val="Hyperlink"/>
          </w:rPr>
          <w:t>25</w:t>
        </w:r>
        <w:r>
          <w:rPr>
            <w:rStyle w:val="Hyperlink"/>
          </w:rPr>
          <w:t>de-</w:t>
        </w:r>
        <w:r w:rsidRPr="00F3116B">
          <w:rPr>
            <w:rStyle w:val="Hyperlink"/>
          </w:rPr>
          <w:t>11</w:t>
        </w:r>
        <w:r>
          <w:rPr>
            <w:rStyle w:val="Hyperlink"/>
          </w:rPr>
          <w:t>ee-a</w:t>
        </w:r>
        <w:r w:rsidRPr="00F3116B">
          <w:rPr>
            <w:rStyle w:val="Hyperlink"/>
          </w:rPr>
          <w:t>2</w:t>
        </w:r>
        <w:r>
          <w:rPr>
            <w:rStyle w:val="Hyperlink"/>
          </w:rPr>
          <w:t>d</w:t>
        </w:r>
        <w:r w:rsidRPr="00F3116B">
          <w:rPr>
            <w:rStyle w:val="Hyperlink"/>
          </w:rPr>
          <w:t>3</w:t>
        </w:r>
        <w:r>
          <w:rPr>
            <w:rStyle w:val="Hyperlink"/>
          </w:rPr>
          <w:t>-</w:t>
        </w:r>
        <w:r w:rsidRPr="00F3116B">
          <w:rPr>
            <w:rStyle w:val="Hyperlink"/>
          </w:rPr>
          <w:t>01</w:t>
        </w:r>
        <w:r>
          <w:rPr>
            <w:rStyle w:val="Hyperlink"/>
          </w:rPr>
          <w:t>aa</w:t>
        </w:r>
        <w:r w:rsidRPr="00F3116B">
          <w:rPr>
            <w:rStyle w:val="Hyperlink"/>
          </w:rPr>
          <w:t>75</w:t>
        </w:r>
        <w:r>
          <w:rPr>
            <w:rStyle w:val="Hyperlink"/>
          </w:rPr>
          <w:t>ed</w:t>
        </w:r>
        <w:r w:rsidRPr="00F3116B">
          <w:rPr>
            <w:rStyle w:val="Hyperlink"/>
          </w:rPr>
          <w:t>71</w:t>
        </w:r>
        <w:r>
          <w:rPr>
            <w:rStyle w:val="Hyperlink"/>
          </w:rPr>
          <w:t>a</w:t>
        </w:r>
        <w:r w:rsidRPr="00F3116B">
          <w:rPr>
            <w:rStyle w:val="Hyperlink"/>
          </w:rPr>
          <w:t>1</w:t>
        </w:r>
      </w:hyperlink>
      <w:r>
        <w:t xml:space="preserve"> </w:t>
      </w:r>
    </w:p>
  </w:footnote>
  <w:footnote w:id="49">
    <w:p w14:paraId="513245FA" w14:textId="77777777" w:rsidR="00C23CB1" w:rsidRPr="00D314FF" w:rsidRDefault="00C23CB1" w:rsidP="00D314FF">
      <w:pPr>
        <w:pStyle w:val="FootnoteText"/>
        <w:spacing w:after="0"/>
        <w:ind w:left="0"/>
      </w:pPr>
      <w:r>
        <w:t xml:space="preserve">       </w:t>
      </w:r>
      <w:r>
        <w:rPr>
          <w:rStyle w:val="FootnoteReference"/>
        </w:rPr>
        <w:footnoteRef/>
      </w:r>
      <w:r>
        <w:t xml:space="preserve"> </w:t>
      </w:r>
      <w:hyperlink r:id="rId40" w:history="1">
        <w:r>
          <w:rPr>
            <w:rStyle w:val="Hyperlink"/>
          </w:rPr>
          <w:t>La compétitivité à long terme de l’UE</w:t>
        </w:r>
      </w:hyperlink>
      <w:r>
        <w:t xml:space="preserve"> </w:t>
      </w:r>
      <w:hyperlink r:id="rId41" w:history="1">
        <w:r>
          <w:rPr>
            <w:rStyle w:val="Hyperlink"/>
          </w:rPr>
          <w:t>Commission européenne (europa.eu)</w:t>
        </w:r>
      </w:hyperlink>
    </w:p>
  </w:footnote>
  <w:footnote w:id="50">
    <w:p w14:paraId="10B36D80" w14:textId="77777777" w:rsidR="00C23CB1" w:rsidRPr="00D314FF" w:rsidRDefault="00C23CB1" w:rsidP="00D314FF">
      <w:pPr>
        <w:pStyle w:val="FootnoteText"/>
        <w:spacing w:after="0"/>
        <w:ind w:left="0" w:firstLine="0"/>
      </w:pPr>
      <w:r>
        <w:rPr>
          <w:rStyle w:val="FootnoteReference"/>
        </w:rPr>
        <w:footnoteRef/>
      </w:r>
      <w:r>
        <w:t xml:space="preserve"> Tant le total des dépenses de R&amp;D (en pourcentage du PIB) que le total des dépôts de brevets (PCT, par million d’habitants) ont été inférieurs de </w:t>
      </w:r>
      <w:r w:rsidRPr="00F3116B">
        <w:t>25</w:t>
      </w:r>
      <w:r>
        <w:t xml:space="preserve"> % à </w:t>
      </w:r>
      <w:r w:rsidRPr="00F3116B">
        <w:t>40</w:t>
      </w:r>
      <w:r>
        <w:t> % aux niveaux constatés aux États-Unis au cours des dernières décennies.</w:t>
      </w:r>
    </w:p>
  </w:footnote>
  <w:footnote w:id="51">
    <w:p w14:paraId="4E7C8DA2" w14:textId="77777777" w:rsidR="00C23CB1" w:rsidRPr="00D314FF" w:rsidRDefault="00C23CB1" w:rsidP="00D314FF">
      <w:pPr>
        <w:pStyle w:val="FootnoteText"/>
        <w:spacing w:after="0"/>
        <w:ind w:left="0" w:firstLine="0"/>
      </w:pPr>
      <w:r>
        <w:rPr>
          <w:rStyle w:val="FootnoteReference"/>
        </w:rPr>
        <w:footnoteRef/>
      </w:r>
      <w:r>
        <w:t xml:space="preserve"> L’une des raisons pour lesquelles le taux d’investissement des entreprises dans la R&amp;D est plus faible dans l’UE qu’aux États-Unis tient aux différences structurelles dans le profil du secteur d’investissement des entreprises dans la R&amp;D. Aussi bien les États-Unis que la Chine affichent des investissements en R&amp;D particulièrement élevés dans des domaines à forte croissance comme les technologies de l’information et de la communication et les services connexes, ainsi que dans les domaines liés à la santé (en particulier aux États-Unis). En comparaison, l’UE est en tête pour ce qui est des investissements en R&amp;D dans le secteur automobile et dispose d’un portefeuille industriel plus large d’investissements en R&amp;D, y compris dans les industries qui développent et appliquent des technologies vertes en vue de la décarbonation et de l’économie circulaire. Pour de plus amples informations, voir le </w:t>
      </w:r>
      <w:bookmarkStart w:id="27" w:name="_Hlk157668704"/>
      <w:r>
        <w:t xml:space="preserve">tableau de bord </w:t>
      </w:r>
      <w:r w:rsidRPr="00F3116B">
        <w:t>2023</w:t>
      </w:r>
      <w:r>
        <w:t xml:space="preserve"> de l’UE sur les investissements en R&amp;D</w:t>
      </w:r>
      <w:bookmarkEnd w:id="27"/>
      <w:r>
        <w:t xml:space="preserve">; Commission européenne, Centre commun de recherche, Office des publications de l’Union européenne, </w:t>
      </w:r>
      <w:r w:rsidRPr="00F3116B">
        <w:t>2023</w:t>
      </w:r>
      <w:r>
        <w:t>,</w:t>
      </w:r>
    </w:p>
    <w:p w14:paraId="1B525A4B" w14:textId="77777777" w:rsidR="00C23CB1" w:rsidRPr="00D314FF" w:rsidRDefault="00C23CB1" w:rsidP="00D314FF">
      <w:pPr>
        <w:pStyle w:val="FootnoteText"/>
        <w:spacing w:after="0"/>
        <w:ind w:left="0" w:firstLine="0"/>
      </w:pPr>
      <w:r>
        <w:t xml:space="preserve"> </w:t>
      </w:r>
      <w:hyperlink r:id="rId42" w:tgtFrame="_blank" w:history="1">
        <w:r>
          <w:t>https://data.europa.eu/doi/</w:t>
        </w:r>
        <w:r w:rsidRPr="00F3116B">
          <w:t>10</w:t>
        </w:r>
        <w:r>
          <w:t>.</w:t>
        </w:r>
        <w:r w:rsidRPr="00F3116B">
          <w:t>2760</w:t>
        </w:r>
        <w:r>
          <w:t>/</w:t>
        </w:r>
        <w:r w:rsidRPr="00F3116B">
          <w:t>506189</w:t>
        </w:r>
      </w:hyperlink>
      <w:r>
        <w:t>.</w:t>
      </w:r>
    </w:p>
  </w:footnote>
  <w:footnote w:id="52">
    <w:p w14:paraId="415EABF0" w14:textId="77777777" w:rsidR="00C23CB1" w:rsidRPr="004847C3" w:rsidRDefault="00C23CB1" w:rsidP="00D314FF">
      <w:pPr>
        <w:pStyle w:val="FootnoteText"/>
        <w:spacing w:after="0"/>
        <w:rPr>
          <w:lang w:val="en-IE"/>
        </w:rPr>
      </w:pPr>
      <w:r>
        <w:rPr>
          <w:rStyle w:val="FootnoteReference"/>
        </w:rPr>
        <w:footnoteRef/>
      </w:r>
      <w:r w:rsidRPr="004847C3">
        <w:rPr>
          <w:lang w:val="en-IE"/>
        </w:rPr>
        <w:t xml:space="preserve"> </w:t>
      </w:r>
      <w:hyperlink r:id="rId43" w:history="1">
        <w:r w:rsidRPr="004847C3">
          <w:rPr>
            <w:rStyle w:val="Hyperlink"/>
            <w:lang w:val="en-IE"/>
          </w:rPr>
          <w:t xml:space="preserve">EIB Investment Survey </w:t>
        </w:r>
        <w:r w:rsidRPr="00F3116B">
          <w:rPr>
            <w:rStyle w:val="Hyperlink"/>
            <w:lang w:val="en-IE"/>
          </w:rPr>
          <w:t>2023</w:t>
        </w:r>
        <w:r w:rsidRPr="004847C3">
          <w:rPr>
            <w:rStyle w:val="Hyperlink"/>
            <w:lang w:val="en-IE"/>
          </w:rPr>
          <w:t>:</w:t>
        </w:r>
      </w:hyperlink>
      <w:hyperlink r:id="rId44" w:history="1">
        <w:r w:rsidRPr="004847C3">
          <w:rPr>
            <w:rStyle w:val="Hyperlink"/>
            <w:lang w:val="en-IE"/>
          </w:rPr>
          <w:t xml:space="preserve"> European Union overview</w:t>
        </w:r>
      </w:hyperlink>
      <w:r w:rsidRPr="004847C3">
        <w:rPr>
          <w:rStyle w:val="Hyperlink"/>
          <w:lang w:val="en-IE"/>
        </w:rPr>
        <w:t>.</w:t>
      </w:r>
    </w:p>
  </w:footnote>
  <w:footnote w:id="53">
    <w:p w14:paraId="67F6F4F8" w14:textId="10317A5C" w:rsidR="00C23CB1" w:rsidRPr="00D314FF" w:rsidRDefault="00C23CB1" w:rsidP="00D314FF">
      <w:pPr>
        <w:pStyle w:val="FootnoteText"/>
        <w:spacing w:after="0"/>
        <w:ind w:left="0" w:firstLine="0"/>
      </w:pPr>
      <w:r>
        <w:rPr>
          <w:rStyle w:val="FootnoteReference"/>
        </w:rPr>
        <w:footnoteRef/>
      </w:r>
      <w:r>
        <w:t xml:space="preserve"> Les données sont celles disponibles en décembre </w:t>
      </w:r>
      <w:r w:rsidRPr="00F3116B">
        <w:t>2023</w:t>
      </w:r>
      <w:r>
        <w:t>. Des informations sur les tendances à plus long terme sont données à l’annexe </w:t>
      </w:r>
      <w:r w:rsidRPr="00F3116B">
        <w:t>1</w:t>
      </w:r>
      <w:r>
        <w:t xml:space="preserve"> du document </w:t>
      </w:r>
      <w:bookmarkStart w:id="29" w:name="_Int_mt6XJsWL"/>
      <w:r>
        <w:t>SWD(</w:t>
      </w:r>
      <w:bookmarkStart w:id="30" w:name="_Int_3CJZd5J7"/>
      <w:bookmarkEnd w:id="29"/>
      <w:r w:rsidRPr="00F3116B">
        <w:t>2024</w:t>
      </w:r>
      <w:r>
        <w:t>)</w:t>
      </w:r>
      <w:bookmarkEnd w:id="30"/>
      <w:r>
        <w:t> </w:t>
      </w:r>
      <w:r w:rsidRPr="00F3116B">
        <w:t>78</w:t>
      </w:r>
      <w:r>
        <w:t xml:space="preserve"> intitulée «Overview of Key Performance Indicators (KPIs) on long-term competitiveness».</w:t>
      </w:r>
    </w:p>
  </w:footnote>
  <w:footnote w:id="54">
    <w:p w14:paraId="0820C5AF" w14:textId="77777777" w:rsidR="00C23CB1" w:rsidRPr="00D314FF" w:rsidRDefault="00C23CB1" w:rsidP="00D314FF">
      <w:pPr>
        <w:pStyle w:val="FootnoteText"/>
        <w:spacing w:after="0"/>
        <w:ind w:left="0" w:firstLine="0"/>
      </w:pPr>
      <w:r>
        <w:rPr>
          <w:rStyle w:val="FootnoteReference"/>
        </w:rPr>
        <w:footnoteRef/>
      </w:r>
      <w:r>
        <w:t xml:space="preserve"> La fourchette de consommation des CI fait référence aux consommateurs moyens dont la consommation annuelle est comprise entre </w:t>
      </w:r>
      <w:r w:rsidRPr="00F3116B">
        <w:t>500</w:t>
      </w:r>
      <w:r>
        <w:t xml:space="preserve"> MWh et </w:t>
      </w:r>
      <w:r w:rsidRPr="00F3116B">
        <w:t>2</w:t>
      </w:r>
      <w:r>
        <w:t> </w:t>
      </w:r>
      <w:r w:rsidRPr="00F3116B">
        <w:t>000</w:t>
      </w:r>
      <w:r>
        <w:t> MWh et fournit une approximation du caractère abordable.</w:t>
      </w:r>
    </w:p>
  </w:footnote>
  <w:footnote w:id="55">
    <w:p w14:paraId="6C4C7A27" w14:textId="77777777" w:rsidR="00C23CB1" w:rsidRPr="00D314FF" w:rsidRDefault="00C23CB1" w:rsidP="00D314FF">
      <w:pPr>
        <w:pStyle w:val="FootnoteText"/>
        <w:spacing w:after="0"/>
        <w:ind w:left="0" w:firstLine="0"/>
      </w:pPr>
      <w:r>
        <w:rPr>
          <w:rStyle w:val="FootnoteReference"/>
        </w:rPr>
        <w:footnoteRef/>
      </w:r>
      <w:r>
        <w:t xml:space="preserve"> Rapport de situation de l’action pour le climat - COM(</w:t>
      </w:r>
      <w:r w:rsidRPr="00F3116B">
        <w:t>2023</w:t>
      </w:r>
      <w:r>
        <w:t>) </w:t>
      </w:r>
      <w:r w:rsidRPr="00F3116B">
        <w:t>650</w:t>
      </w:r>
      <w:r>
        <w:t xml:space="preserve"> final.</w:t>
      </w:r>
    </w:p>
  </w:footnote>
  <w:footnote w:id="56">
    <w:p w14:paraId="4CF7111E" w14:textId="77777777" w:rsidR="00C23CB1" w:rsidRPr="00D314FF" w:rsidRDefault="00C23CB1" w:rsidP="00D314FF">
      <w:pPr>
        <w:pStyle w:val="FootnoteText"/>
        <w:spacing w:after="0"/>
      </w:pPr>
      <w:r>
        <w:rPr>
          <w:rStyle w:val="FootnoteReference"/>
        </w:rPr>
        <w:footnoteRef/>
      </w:r>
      <w:r>
        <w:tab/>
        <w:t xml:space="preserve">Eurostat, comptes des émissions atmosphériques, gaz à effet de serre par activité de la NACE Rév. </w:t>
      </w:r>
      <w:r w:rsidRPr="00F3116B">
        <w:t>2</w:t>
      </w:r>
      <w:r>
        <w:t xml:space="preserve">, données trimestrielles. </w:t>
      </w:r>
    </w:p>
  </w:footnote>
  <w:footnote w:id="57">
    <w:p w14:paraId="3D589BEB" w14:textId="77777777" w:rsidR="00C23CB1" w:rsidRPr="00D314FF" w:rsidRDefault="00C23CB1" w:rsidP="00D314FF">
      <w:pPr>
        <w:pStyle w:val="FootnoteText"/>
        <w:spacing w:after="0"/>
      </w:pPr>
      <w:r>
        <w:rPr>
          <w:rStyle w:val="FootnoteReference"/>
          <w:lang w:val="en-IE"/>
        </w:rPr>
        <w:footnoteRef/>
      </w:r>
      <w:r>
        <w:tab/>
        <w:t xml:space="preserve">Voir, par exemple, les perspectives économiques de l’automne </w:t>
      </w:r>
      <w:r w:rsidRPr="00F3116B">
        <w:t>2023</w:t>
      </w:r>
      <w:r>
        <w:t xml:space="preserve"> d’Orgalim.</w:t>
      </w:r>
    </w:p>
  </w:footnote>
  <w:footnote w:id="58">
    <w:p w14:paraId="09014377" w14:textId="77777777" w:rsidR="002C51B4" w:rsidRPr="00D314FF" w:rsidRDefault="002C51B4" w:rsidP="002C51B4">
      <w:pPr>
        <w:pStyle w:val="FootnoteText"/>
        <w:spacing w:after="0"/>
      </w:pPr>
      <w:r>
        <w:rPr>
          <w:rStyle w:val="FootnoteReference"/>
          <w:lang w:val="en-IE"/>
        </w:rPr>
        <w:footnoteRef/>
      </w:r>
      <w:r>
        <w:tab/>
      </w:r>
      <w:hyperlink r:id="rId45" w:history="1">
        <w:r>
          <w:rPr>
            <w:rStyle w:val="Hyperlink"/>
          </w:rPr>
          <w:t>Réforme de l’organisation du marché de l’électricité de l’UE</w:t>
        </w:r>
      </w:hyperlink>
    </w:p>
  </w:footnote>
  <w:footnote w:id="59">
    <w:p w14:paraId="1085E315" w14:textId="77777777" w:rsidR="002C51B4" w:rsidRPr="002C51B4" w:rsidRDefault="002C51B4" w:rsidP="002C51B4">
      <w:pPr>
        <w:pStyle w:val="FootnoteText"/>
        <w:spacing w:after="0"/>
        <w:rPr>
          <w:lang w:val="fr-BE"/>
        </w:rPr>
      </w:pPr>
      <w:r>
        <w:rPr>
          <w:rStyle w:val="FootnoteReference"/>
        </w:rPr>
        <w:footnoteRef/>
      </w:r>
      <w:r w:rsidRPr="002C51B4">
        <w:rPr>
          <w:lang w:val="fr-BE"/>
        </w:rPr>
        <w:tab/>
      </w:r>
      <w:r>
        <w:t xml:space="preserve">En outre, l’alliance des États membres pour l’énergie nucléaire a annoncé son intention d’atteindre une capacité d’énergie nucléaire de </w:t>
      </w:r>
      <w:r w:rsidRPr="00F3116B">
        <w:t>150</w:t>
      </w:r>
      <w:r>
        <w:t xml:space="preserve"> GW d’ici à </w:t>
      </w:r>
      <w:r w:rsidRPr="00F3116B">
        <w:t>2050</w:t>
      </w:r>
      <w:r>
        <w:t>.</w:t>
      </w:r>
    </w:p>
  </w:footnote>
  <w:footnote w:id="60">
    <w:p w14:paraId="7B654E9A" w14:textId="77777777" w:rsidR="002C51B4" w:rsidRPr="00554935" w:rsidRDefault="002C51B4" w:rsidP="002C51B4">
      <w:pPr>
        <w:pStyle w:val="FootnoteText"/>
        <w:spacing w:after="0"/>
        <w:rPr>
          <w:lang w:val="en-US"/>
        </w:rPr>
      </w:pPr>
      <w:r>
        <w:rPr>
          <w:rStyle w:val="FootnoteReference"/>
        </w:rPr>
        <w:footnoteRef/>
      </w:r>
      <w:r w:rsidRPr="00554935">
        <w:rPr>
          <w:lang w:val="en-US"/>
        </w:rPr>
        <w:tab/>
        <w:t>COM(</w:t>
      </w:r>
      <w:r w:rsidRPr="00F3116B">
        <w:rPr>
          <w:lang w:val="en-US"/>
        </w:rPr>
        <w:t>2023</w:t>
      </w:r>
      <w:r w:rsidRPr="00554935">
        <w:rPr>
          <w:lang w:val="en-US"/>
        </w:rPr>
        <w:t>) </w:t>
      </w:r>
      <w:r w:rsidRPr="00F3116B">
        <w:rPr>
          <w:lang w:val="en-US"/>
        </w:rPr>
        <w:t>757</w:t>
      </w:r>
      <w:r w:rsidRPr="00554935">
        <w:rPr>
          <w:lang w:val="en-US"/>
        </w:rPr>
        <w:t xml:space="preserve"> final.</w:t>
      </w:r>
    </w:p>
  </w:footnote>
  <w:footnote w:id="61">
    <w:p w14:paraId="78857010" w14:textId="77777777" w:rsidR="002C51B4" w:rsidRPr="00554935" w:rsidRDefault="002C51B4" w:rsidP="002C51B4">
      <w:pPr>
        <w:pStyle w:val="FootnoteText"/>
        <w:spacing w:after="0"/>
        <w:rPr>
          <w:lang w:val="en-US"/>
        </w:rPr>
      </w:pPr>
      <w:r>
        <w:rPr>
          <w:rStyle w:val="FootnoteReference"/>
        </w:rPr>
        <w:footnoteRef/>
      </w:r>
      <w:r w:rsidRPr="00554935">
        <w:rPr>
          <w:lang w:val="en-US"/>
        </w:rPr>
        <w:tab/>
        <w:t>COM(</w:t>
      </w:r>
      <w:r w:rsidRPr="00F3116B">
        <w:rPr>
          <w:lang w:val="en-US"/>
        </w:rPr>
        <w:t>2022</w:t>
      </w:r>
      <w:r w:rsidRPr="00554935">
        <w:rPr>
          <w:lang w:val="en-US"/>
        </w:rPr>
        <w:t>) </w:t>
      </w:r>
      <w:r w:rsidRPr="00F3116B">
        <w:rPr>
          <w:lang w:val="en-US"/>
        </w:rPr>
        <w:t>552</w:t>
      </w:r>
      <w:r w:rsidRPr="00554935">
        <w:rPr>
          <w:lang w:val="en-US"/>
        </w:rPr>
        <w:t xml:space="preserve"> final.</w:t>
      </w:r>
    </w:p>
  </w:footnote>
  <w:footnote w:id="62">
    <w:p w14:paraId="32291B69" w14:textId="77777777" w:rsidR="002C51B4" w:rsidRPr="00554935" w:rsidDel="008C54FE" w:rsidRDefault="002C51B4" w:rsidP="002C51B4">
      <w:pPr>
        <w:pStyle w:val="FootnoteText"/>
        <w:spacing w:after="0"/>
        <w:rPr>
          <w:lang w:val="en-US"/>
        </w:rPr>
      </w:pPr>
      <w:r>
        <w:rPr>
          <w:rStyle w:val="FootnoteReference"/>
        </w:rPr>
        <w:footnoteRef/>
      </w:r>
      <w:r w:rsidRPr="00554935">
        <w:rPr>
          <w:lang w:val="en-US"/>
        </w:rPr>
        <w:tab/>
        <w:t>COM(</w:t>
      </w:r>
      <w:r w:rsidRPr="00F3116B">
        <w:rPr>
          <w:lang w:val="en-US"/>
        </w:rPr>
        <w:t>2023</w:t>
      </w:r>
      <w:r w:rsidRPr="00554935">
        <w:rPr>
          <w:lang w:val="en-US"/>
        </w:rPr>
        <w:t>) </w:t>
      </w:r>
      <w:r w:rsidRPr="00F3116B">
        <w:rPr>
          <w:lang w:val="en-US"/>
        </w:rPr>
        <w:t>669</w:t>
      </w:r>
      <w:r w:rsidRPr="00554935">
        <w:rPr>
          <w:lang w:val="en-US"/>
        </w:rPr>
        <w:t xml:space="preserve"> final.</w:t>
      </w:r>
    </w:p>
  </w:footnote>
  <w:footnote w:id="63">
    <w:p w14:paraId="6E0D5FE3" w14:textId="77777777" w:rsidR="002C51B4" w:rsidRPr="00D314FF" w:rsidRDefault="002C51B4" w:rsidP="002C51B4">
      <w:pPr>
        <w:pStyle w:val="FootnoteText"/>
        <w:spacing w:after="0"/>
        <w:ind w:left="0" w:firstLine="0"/>
      </w:pPr>
      <w:r>
        <w:rPr>
          <w:rStyle w:val="FootnoteReference"/>
        </w:rPr>
        <w:footnoteRef/>
      </w:r>
      <w:r>
        <w:tab/>
        <w:t xml:space="preserve">Les données sont celles disponibles en décembre </w:t>
      </w:r>
      <w:r w:rsidRPr="00F3116B">
        <w:t>2023</w:t>
      </w:r>
      <w:r>
        <w:t xml:space="preserve">. Des informations sur les tendances à plus long terme sont données à l’annexe </w:t>
      </w:r>
      <w:r w:rsidRPr="00F3116B">
        <w:t>1</w:t>
      </w:r>
      <w:r>
        <w:t xml:space="preserve"> du document SWD(</w:t>
      </w:r>
      <w:r w:rsidRPr="00F3116B">
        <w:t>2024</w:t>
      </w:r>
      <w:r>
        <w:t xml:space="preserve">) </w:t>
      </w:r>
      <w:r w:rsidRPr="00F3116B">
        <w:t>78</w:t>
      </w:r>
      <w:r>
        <w:t xml:space="preserve"> intitulée «Overview of Key Performance Indicators (KPIs) on long-term competitiveness».</w:t>
      </w:r>
    </w:p>
  </w:footnote>
  <w:footnote w:id="64">
    <w:p w14:paraId="12247204" w14:textId="77777777" w:rsidR="002C51B4" w:rsidRPr="00D314FF" w:rsidRDefault="002C51B4" w:rsidP="002C51B4">
      <w:pPr>
        <w:pStyle w:val="FootnoteText"/>
        <w:spacing w:after="0"/>
        <w:ind w:left="0" w:firstLine="0"/>
      </w:pPr>
      <w:r>
        <w:rPr>
          <w:rStyle w:val="FootnoteReference"/>
        </w:rPr>
        <w:footnoteRef/>
      </w:r>
      <w:r>
        <w:tab/>
        <w:t>Il s’agit de la relation entre la taille de l’économie nationale et l’utilisation des ressources naturelles nationales.</w:t>
      </w:r>
    </w:p>
  </w:footnote>
  <w:footnote w:id="65">
    <w:p w14:paraId="1B36C252" w14:textId="77777777" w:rsidR="002C51B4" w:rsidRPr="00D314FF" w:rsidRDefault="002C51B4" w:rsidP="002C51B4">
      <w:pPr>
        <w:pStyle w:val="FootnoteText"/>
        <w:spacing w:after="0"/>
        <w:ind w:left="0" w:firstLine="0"/>
      </w:pPr>
      <w:r>
        <w:rPr>
          <w:rStyle w:val="FootnoteReference"/>
        </w:rPr>
        <w:footnoteRef/>
      </w:r>
      <w:r>
        <w:tab/>
        <w:t>Il s’agit de la quantité totale de matières premières consommées par les résidents :  elle inclut les matières utilisées dans la production de l’UE, en ajoutant les matières intégrées dans les importations et en déduisant les matières intégrées dans les exportations.</w:t>
      </w:r>
    </w:p>
  </w:footnote>
  <w:footnote w:id="66">
    <w:p w14:paraId="1EC9867A" w14:textId="77777777" w:rsidR="002C51B4" w:rsidRPr="00D314FF" w:rsidRDefault="002C51B4" w:rsidP="002C51B4">
      <w:pPr>
        <w:pStyle w:val="FootnoteText"/>
        <w:spacing w:after="0"/>
        <w:ind w:left="0" w:firstLine="0"/>
      </w:pPr>
      <w:r>
        <w:rPr>
          <w:rStyle w:val="FootnoteReference"/>
        </w:rPr>
        <w:footnoteRef/>
      </w:r>
      <w:r>
        <w:tab/>
      </w:r>
      <w:hyperlink r:id="rId46" w:history="1">
        <w:r>
          <w:rPr>
            <w:rStyle w:val="Hyperlink"/>
          </w:rPr>
          <w:t>Empreinte en matières premières en Europe (europa.eu)</w:t>
        </w:r>
      </w:hyperlink>
      <w:r>
        <w:t>.</w:t>
      </w:r>
    </w:p>
  </w:footnote>
  <w:footnote w:id="67">
    <w:p w14:paraId="3438C31F" w14:textId="77777777" w:rsidR="002C51B4" w:rsidRPr="00554935" w:rsidRDefault="002C51B4" w:rsidP="002C51B4">
      <w:pPr>
        <w:pStyle w:val="FootnoteText"/>
        <w:spacing w:after="0"/>
        <w:ind w:left="0" w:firstLine="0"/>
        <w:rPr>
          <w:lang w:val="en-US"/>
        </w:rPr>
      </w:pPr>
      <w:r>
        <w:rPr>
          <w:rStyle w:val="FootnoteReference"/>
          <w:lang w:val="en-IE"/>
        </w:rPr>
        <w:footnoteRef/>
      </w:r>
      <w:r w:rsidRPr="00554935">
        <w:rPr>
          <w:lang w:val="en-US"/>
        </w:rPr>
        <w:tab/>
        <w:t xml:space="preserve">Eurostat: </w:t>
      </w:r>
      <w:hyperlink r:id="rId47" w:anchor="Ressources_productivité" w:history="1">
        <w:r w:rsidRPr="00554935">
          <w:rPr>
            <w:rStyle w:val="Hyperlink"/>
            <w:lang w:val="en-US"/>
          </w:rPr>
          <w:t>Material flow accounts and resource productivity – Statistic Explained (europa.eu)</w:t>
        </w:r>
      </w:hyperlink>
      <w:r w:rsidRPr="00554935">
        <w:rPr>
          <w:rStyle w:val="Hyperlink"/>
          <w:lang w:val="en-US"/>
        </w:rPr>
        <w:t>.</w:t>
      </w:r>
    </w:p>
  </w:footnote>
  <w:footnote w:id="68">
    <w:p w14:paraId="00A25D13" w14:textId="77777777" w:rsidR="002C51B4" w:rsidRPr="00554935" w:rsidRDefault="002C51B4" w:rsidP="002C51B4">
      <w:pPr>
        <w:pStyle w:val="FootnoteText"/>
        <w:spacing w:after="0"/>
        <w:ind w:left="0" w:firstLine="0"/>
        <w:rPr>
          <w:lang w:val="en-US"/>
        </w:rPr>
      </w:pPr>
      <w:r>
        <w:rPr>
          <w:rStyle w:val="FootnoteReference"/>
        </w:rPr>
        <w:footnoteRef/>
      </w:r>
      <w:r w:rsidRPr="00554935">
        <w:rPr>
          <w:lang w:val="en-US"/>
        </w:rPr>
        <w:t xml:space="preserve"> </w:t>
      </w:r>
      <w:hyperlink r:id="rId48" w:history="1">
        <w:r w:rsidRPr="00554935">
          <w:rPr>
            <w:rStyle w:val="Hyperlink"/>
            <w:lang w:val="en-US"/>
          </w:rPr>
          <w:t>Conditions and pathways for sustainable and circular consumption in Europe — European Environment Agency (europa.eu)</w:t>
        </w:r>
      </w:hyperlink>
      <w:r w:rsidRPr="00554935">
        <w:rPr>
          <w:lang w:val="en-US"/>
        </w:rPr>
        <w:t>.</w:t>
      </w:r>
    </w:p>
  </w:footnote>
  <w:footnote w:id="69">
    <w:p w14:paraId="6FD94916" w14:textId="77777777" w:rsidR="002C51B4" w:rsidRPr="00D314FF" w:rsidRDefault="002C51B4" w:rsidP="002C51B4">
      <w:pPr>
        <w:pStyle w:val="FootnoteText"/>
        <w:spacing w:after="0"/>
        <w:ind w:left="0" w:firstLine="0"/>
      </w:pPr>
      <w:r>
        <w:rPr>
          <w:rStyle w:val="FootnoteReference"/>
          <w:lang w:val="en-IE"/>
        </w:rPr>
        <w:footnoteRef/>
      </w:r>
      <w:r>
        <w:tab/>
        <w:t xml:space="preserve">Voir l’enquête sur les écosystèmes industriels à l’annexe </w:t>
      </w:r>
      <w:r w:rsidRPr="00F3116B">
        <w:t>6</w:t>
      </w:r>
      <w:r>
        <w:t>.</w:t>
      </w:r>
    </w:p>
  </w:footnote>
  <w:footnote w:id="70">
    <w:p w14:paraId="7DD5D11E" w14:textId="77777777" w:rsidR="002C51B4" w:rsidRPr="00D314FF" w:rsidRDefault="002C51B4" w:rsidP="002C51B4">
      <w:pPr>
        <w:pStyle w:val="FootnoteText"/>
        <w:spacing w:after="0"/>
      </w:pPr>
      <w:r>
        <w:rPr>
          <w:rStyle w:val="FootnoteReference"/>
          <w:lang w:val="en-IE"/>
        </w:rPr>
        <w:footnoteRef/>
      </w:r>
      <w:r>
        <w:t>Règlement sur l’écoconception pour des produits durables (COM/</w:t>
      </w:r>
      <w:r w:rsidRPr="00F3116B">
        <w:t>2022</w:t>
      </w:r>
      <w:r>
        <w:t>/</w:t>
      </w:r>
      <w:r w:rsidRPr="00F3116B">
        <w:t>142</w:t>
      </w:r>
      <w:r>
        <w:t>).</w:t>
      </w:r>
    </w:p>
  </w:footnote>
  <w:footnote w:id="71">
    <w:p w14:paraId="0EC46882" w14:textId="77777777" w:rsidR="002C51B4" w:rsidRPr="00D314FF" w:rsidRDefault="002C51B4" w:rsidP="002C51B4">
      <w:pPr>
        <w:pStyle w:val="FootnoteText"/>
        <w:spacing w:after="0"/>
      </w:pPr>
      <w:r>
        <w:rPr>
          <w:rStyle w:val="FootnoteReference"/>
          <w:lang w:val="en-IE"/>
        </w:rPr>
        <w:footnoteRef/>
      </w:r>
      <w:r>
        <w:tab/>
        <w:t>Règlement (UE) </w:t>
      </w:r>
      <w:r w:rsidRPr="00F3116B">
        <w:t>2023</w:t>
      </w:r>
      <w:r>
        <w:t>/</w:t>
      </w:r>
      <w:r w:rsidRPr="00F3116B">
        <w:t>1542</w:t>
      </w:r>
      <w:r>
        <w:t>.</w:t>
      </w:r>
    </w:p>
  </w:footnote>
  <w:footnote w:id="72">
    <w:p w14:paraId="1FE9F967" w14:textId="77777777" w:rsidR="002C51B4" w:rsidRPr="00D314FF" w:rsidRDefault="002C51B4" w:rsidP="002C51B4">
      <w:pPr>
        <w:pStyle w:val="FootnoteText"/>
        <w:spacing w:after="0"/>
        <w:ind w:left="0" w:firstLine="0"/>
      </w:pPr>
      <w:r>
        <w:rPr>
          <w:rStyle w:val="FootnoteReference"/>
        </w:rPr>
        <w:footnoteRef/>
      </w:r>
      <w:r>
        <w:t xml:space="preserve"> Les données sont celles disponibles en décembre </w:t>
      </w:r>
      <w:r w:rsidRPr="00F3116B">
        <w:t>2023</w:t>
      </w:r>
      <w:r>
        <w:t xml:space="preserve">. Des informations sur les tendances à plus long terme sont données à l’annexe </w:t>
      </w:r>
      <w:r w:rsidRPr="00F3116B">
        <w:t>1</w:t>
      </w:r>
      <w:r>
        <w:t xml:space="preserve"> du document SWD(</w:t>
      </w:r>
      <w:r w:rsidRPr="00F3116B">
        <w:t>2024</w:t>
      </w:r>
      <w:r>
        <w:t xml:space="preserve">) </w:t>
      </w:r>
      <w:r w:rsidRPr="00F3116B">
        <w:t>78</w:t>
      </w:r>
      <w:r>
        <w:t xml:space="preserve"> intitulée «Overview of Key Performance Indicators (KPIs) on long-term competitiveness».</w:t>
      </w:r>
    </w:p>
  </w:footnote>
  <w:footnote w:id="73">
    <w:p w14:paraId="6E11A467" w14:textId="77777777" w:rsidR="002C51B4" w:rsidRPr="00554935" w:rsidRDefault="002C51B4" w:rsidP="002C51B4">
      <w:pPr>
        <w:pStyle w:val="FootnoteText"/>
        <w:spacing w:after="0"/>
        <w:ind w:left="0" w:firstLine="0"/>
        <w:rPr>
          <w:lang w:val="en-US"/>
        </w:rPr>
      </w:pPr>
      <w:r>
        <w:rPr>
          <w:rStyle w:val="FootnoteReference"/>
        </w:rPr>
        <w:footnoteRef/>
      </w:r>
      <w:r w:rsidRPr="00554935">
        <w:rPr>
          <w:lang w:val="en-US"/>
        </w:rPr>
        <w:t xml:space="preserve"> </w:t>
      </w:r>
      <w:hyperlink r:id="rId49" w:history="1">
        <w:r w:rsidRPr="00554935">
          <w:rPr>
            <w:rStyle w:val="Hyperlink"/>
            <w:lang w:val="en-US"/>
          </w:rPr>
          <w:t xml:space="preserve">ICT global market share worldwide </w:t>
        </w:r>
        <w:r w:rsidRPr="00F3116B">
          <w:rPr>
            <w:rStyle w:val="Hyperlink"/>
            <w:lang w:val="en-US"/>
          </w:rPr>
          <w:t>2023</w:t>
        </w:r>
        <w:r w:rsidRPr="00554935">
          <w:rPr>
            <w:rStyle w:val="Hyperlink"/>
            <w:lang w:val="en-US"/>
          </w:rPr>
          <w:t xml:space="preserve"> |</w:t>
        </w:r>
      </w:hyperlink>
      <w:hyperlink r:id="rId50" w:history="1">
        <w:r w:rsidRPr="00554935">
          <w:rPr>
            <w:rStyle w:val="Hyperlink"/>
            <w:lang w:val="en-US"/>
          </w:rPr>
          <w:t xml:space="preserve"> Statista</w:t>
        </w:r>
      </w:hyperlink>
      <w:r w:rsidRPr="00554935">
        <w:rPr>
          <w:lang w:val="en-US"/>
        </w:rPr>
        <w:t>.</w:t>
      </w:r>
    </w:p>
  </w:footnote>
  <w:footnote w:id="74">
    <w:p w14:paraId="35DD0844" w14:textId="77777777" w:rsidR="002C51B4" w:rsidRPr="00D314FF" w:rsidRDefault="002C51B4" w:rsidP="002C51B4">
      <w:pPr>
        <w:pStyle w:val="FootnoteText"/>
        <w:spacing w:after="0"/>
        <w:ind w:left="0" w:firstLine="0"/>
      </w:pPr>
      <w:r>
        <w:rPr>
          <w:rStyle w:val="FootnoteReference"/>
        </w:rPr>
        <w:footnoteRef/>
      </w:r>
      <w:r>
        <w:tab/>
        <w:t>Décision (UE) </w:t>
      </w:r>
      <w:r w:rsidRPr="00F3116B">
        <w:t>2022</w:t>
      </w:r>
      <w:r>
        <w:t>/</w:t>
      </w:r>
      <w:r w:rsidRPr="00F3116B">
        <w:t>2481</w:t>
      </w:r>
      <w:r>
        <w:t xml:space="preserve"> du Parlement européen et du Conseil du </w:t>
      </w:r>
      <w:r w:rsidRPr="00F3116B">
        <w:t>14</w:t>
      </w:r>
      <w:r>
        <w:t xml:space="preserve"> décembre </w:t>
      </w:r>
      <w:r w:rsidRPr="00F3116B">
        <w:t>2022</w:t>
      </w:r>
    </w:p>
  </w:footnote>
  <w:footnote w:id="75">
    <w:p w14:paraId="7B92F47D" w14:textId="77777777" w:rsidR="002C51B4" w:rsidRPr="00D314FF" w:rsidRDefault="002C51B4" w:rsidP="002C51B4">
      <w:pPr>
        <w:pStyle w:val="FootnoteText"/>
        <w:spacing w:after="0"/>
        <w:ind w:left="0" w:firstLine="0"/>
      </w:pPr>
      <w:r>
        <w:rPr>
          <w:rStyle w:val="FootnoteReference"/>
        </w:rPr>
        <w:footnoteRef/>
      </w:r>
      <w:r>
        <w:t xml:space="preserve"> </w:t>
      </w:r>
      <w:hyperlink r:id="rId51" w:history="1">
        <w:r>
          <w:rPr>
            <w:rStyle w:val="Hyperlink"/>
          </w:rPr>
          <w:t>https://digital-strategy.ec.europa.eu/fr/library/</w:t>
        </w:r>
        <w:r w:rsidRPr="00F3116B">
          <w:rPr>
            <w:rStyle w:val="Hyperlink"/>
          </w:rPr>
          <w:t>2023</w:t>
        </w:r>
        <w:r>
          <w:rPr>
            <w:rStyle w:val="Hyperlink"/>
          </w:rPr>
          <w:t>-report-state-digital-decade</w:t>
        </w:r>
      </w:hyperlink>
      <w:r>
        <w:t xml:space="preserve"> Il s’agit d’un cadre global qui oriente et coordonne toutes les mesures liées au numérique dans le cadre d’une approche de politique industrielle. En particulier, il fixe les objectifs de la décennie numérique, tels que les objectifs mesurables en matière de connectivité, de compétences numériques, de commerce numérique et de services publics numériques et en contrôle la réalisation.</w:t>
      </w:r>
    </w:p>
  </w:footnote>
  <w:footnote w:id="76">
    <w:p w14:paraId="4FBA4CCE" w14:textId="77777777" w:rsidR="002C51B4" w:rsidRPr="00554935" w:rsidRDefault="002C51B4" w:rsidP="002C51B4">
      <w:pPr>
        <w:pStyle w:val="FootnoteText"/>
        <w:spacing w:after="0"/>
        <w:ind w:left="0" w:firstLine="0"/>
        <w:rPr>
          <w:lang w:val="en-US"/>
        </w:rPr>
      </w:pPr>
      <w:r>
        <w:rPr>
          <w:rStyle w:val="FootnoteReference"/>
        </w:rPr>
        <w:footnoteRef/>
      </w:r>
      <w:r w:rsidRPr="00554935">
        <w:rPr>
          <w:lang w:val="en-US"/>
        </w:rPr>
        <w:t xml:space="preserve"> Association for Computing Machinery, TechBriefs, summer </w:t>
      </w:r>
      <w:r w:rsidRPr="00F3116B">
        <w:rPr>
          <w:lang w:val="en-US"/>
        </w:rPr>
        <w:t>2023</w:t>
      </w:r>
      <w:r w:rsidRPr="00554935">
        <w:rPr>
          <w:lang w:val="en-US"/>
        </w:rPr>
        <w:t xml:space="preserve">/ issue </w:t>
      </w:r>
      <w:r w:rsidRPr="00F3116B">
        <w:rPr>
          <w:lang w:val="en-US"/>
        </w:rPr>
        <w:t>8</w:t>
      </w:r>
      <w:r w:rsidRPr="00554935">
        <w:rPr>
          <w:lang w:val="en-US"/>
        </w:rPr>
        <w:t xml:space="preserve"> -</w:t>
      </w:r>
      <w:hyperlink r:id="rId52" w:history="1">
        <w:r w:rsidRPr="00F3116B">
          <w:rPr>
            <w:rStyle w:val="Hyperlink"/>
            <w:lang w:val="en-US"/>
          </w:rPr>
          <w:t>3626110</w:t>
        </w:r>
        <w:r w:rsidRPr="00554935">
          <w:rPr>
            <w:rStyle w:val="Hyperlink"/>
            <w:lang w:val="en-US"/>
          </w:rPr>
          <w:t xml:space="preserve"> (acm.org)</w:t>
        </w:r>
      </w:hyperlink>
      <w:r w:rsidRPr="00554935">
        <w:rPr>
          <w:rStyle w:val="Hyperlink"/>
          <w:lang w:val="en-US"/>
        </w:rPr>
        <w:t>.</w:t>
      </w:r>
    </w:p>
  </w:footnote>
  <w:footnote w:id="77">
    <w:p w14:paraId="39215C2B" w14:textId="77777777" w:rsidR="002C51B4" w:rsidRPr="00554935" w:rsidRDefault="002C51B4" w:rsidP="002C51B4">
      <w:pPr>
        <w:pStyle w:val="FootnoteText"/>
        <w:spacing w:after="0"/>
        <w:ind w:left="0" w:firstLine="0"/>
        <w:rPr>
          <w:lang w:val="en-US"/>
        </w:rPr>
      </w:pPr>
      <w:r>
        <w:rPr>
          <w:rStyle w:val="FootnoteReference"/>
        </w:rPr>
        <w:footnoteRef/>
      </w:r>
      <w:r w:rsidRPr="00554935">
        <w:rPr>
          <w:lang w:val="en-US"/>
        </w:rPr>
        <w:t xml:space="preserve"> </w:t>
      </w:r>
      <w:hyperlink r:id="rId53" w:history="1">
        <w:r w:rsidRPr="00554935">
          <w:rPr>
            <w:rStyle w:val="Hyperlink"/>
            <w:lang w:val="en-US"/>
          </w:rPr>
          <w:t>Commission launches AI innovation package to support Artificial Intelligence start-ups and SMEs |</w:t>
        </w:r>
      </w:hyperlink>
      <w:hyperlink r:id="rId54" w:history="1">
        <w:r w:rsidRPr="00554935">
          <w:rPr>
            <w:rStyle w:val="Hyperlink"/>
            <w:lang w:val="en-US"/>
          </w:rPr>
          <w:t xml:space="preserve"> Shaping Europe’s digital future (europa.eu)</w:t>
        </w:r>
      </w:hyperlink>
      <w:r w:rsidRPr="00554935">
        <w:rPr>
          <w:lang w:val="en-US"/>
        </w:rPr>
        <w:t>.</w:t>
      </w:r>
    </w:p>
  </w:footnote>
  <w:footnote w:id="78">
    <w:p w14:paraId="4FD9B596" w14:textId="77777777" w:rsidR="002C51B4" w:rsidRPr="00554935" w:rsidRDefault="002C51B4" w:rsidP="002C51B4">
      <w:pPr>
        <w:pStyle w:val="FootnoteText"/>
        <w:spacing w:after="0"/>
        <w:ind w:left="0" w:firstLine="0"/>
        <w:rPr>
          <w:lang w:val="en-US"/>
        </w:rPr>
      </w:pPr>
      <w:r>
        <w:rPr>
          <w:rStyle w:val="FootnoteReference"/>
        </w:rPr>
        <w:footnoteRef/>
      </w:r>
      <w:r w:rsidRPr="00554935">
        <w:rPr>
          <w:lang w:val="en-US"/>
        </w:rPr>
        <w:tab/>
        <w:t>Document SWD (</w:t>
      </w:r>
      <w:r w:rsidRPr="00F3116B">
        <w:rPr>
          <w:lang w:val="en-US"/>
        </w:rPr>
        <w:t>2021</w:t>
      </w:r>
      <w:r w:rsidRPr="00554935">
        <w:rPr>
          <w:lang w:val="en-US"/>
        </w:rPr>
        <w:t xml:space="preserve">) </w:t>
      </w:r>
      <w:r w:rsidRPr="00F3116B">
        <w:rPr>
          <w:lang w:val="en-US"/>
        </w:rPr>
        <w:t>352</w:t>
      </w:r>
      <w:r w:rsidRPr="00554935">
        <w:rPr>
          <w:lang w:val="en-US"/>
        </w:rPr>
        <w:t xml:space="preserve"> — Strategic dependencies and capacities, accompanying the update to the </w:t>
      </w:r>
      <w:r w:rsidRPr="00F3116B">
        <w:rPr>
          <w:lang w:val="en-US"/>
        </w:rPr>
        <w:t>2020</w:t>
      </w:r>
      <w:r w:rsidRPr="00554935">
        <w:rPr>
          <w:lang w:val="en-US"/>
        </w:rPr>
        <w:t xml:space="preserve"> New Industrial Strategy: Building a stronger Single Market for Europe's recovery.</w:t>
      </w:r>
    </w:p>
  </w:footnote>
  <w:footnote w:id="79">
    <w:p w14:paraId="6E181EC5" w14:textId="77777777" w:rsidR="002C51B4" w:rsidRPr="00D314FF" w:rsidRDefault="002C51B4" w:rsidP="002C51B4">
      <w:pPr>
        <w:pStyle w:val="FootnoteText"/>
        <w:spacing w:after="0"/>
        <w:ind w:left="0" w:firstLine="0"/>
      </w:pPr>
      <w:r>
        <w:rPr>
          <w:rStyle w:val="FootnoteReference"/>
          <w:lang w:val="en-IE"/>
        </w:rPr>
        <w:footnoteRef/>
      </w:r>
      <w:r>
        <w:tab/>
        <w:t xml:space="preserve">Il est déjà prévu que </w:t>
      </w:r>
      <w:r w:rsidRPr="00F3116B">
        <w:t>14</w:t>
      </w:r>
      <w:r>
        <w:t xml:space="preserve"> nouveaux ateliers collaboratifs soient mis en ligne et soient opérationnels d’ici à </w:t>
      </w:r>
      <w:r w:rsidRPr="00F3116B">
        <w:t>2030</w:t>
      </w:r>
      <w:r>
        <w:t>.</w:t>
      </w:r>
    </w:p>
  </w:footnote>
  <w:footnote w:id="80">
    <w:p w14:paraId="2E615F42" w14:textId="77777777" w:rsidR="002C51B4" w:rsidRPr="00D314FF" w:rsidRDefault="002C51B4" w:rsidP="002C51B4">
      <w:pPr>
        <w:pStyle w:val="FootnoteText"/>
        <w:spacing w:after="0"/>
        <w:ind w:left="0" w:firstLine="0"/>
      </w:pPr>
      <w:r>
        <w:rPr>
          <w:rStyle w:val="FootnoteReference"/>
        </w:rPr>
        <w:footnoteRef/>
      </w:r>
      <w:r>
        <w:tab/>
        <w:t>Y compris dans le secteur des matières premières critiques, des équipements, des plaquettes, de la recherche, de la préproduction et de la conception.</w:t>
      </w:r>
    </w:p>
  </w:footnote>
  <w:footnote w:id="81">
    <w:p w14:paraId="68902BD5" w14:textId="77777777" w:rsidR="002C51B4" w:rsidRPr="00D314FF" w:rsidRDefault="002C51B4" w:rsidP="002C51B4">
      <w:pPr>
        <w:pStyle w:val="FootnoteText"/>
        <w:spacing w:after="0"/>
        <w:ind w:left="0" w:firstLine="0"/>
      </w:pPr>
      <w:r>
        <w:rPr>
          <w:rStyle w:val="FootnoteReference"/>
        </w:rPr>
        <w:footnoteRef/>
      </w:r>
      <w:r>
        <w:t xml:space="preserve"> Les données sont celles disponibles en décembre </w:t>
      </w:r>
      <w:r w:rsidRPr="00F3116B">
        <w:t>2023</w:t>
      </w:r>
      <w:r>
        <w:t xml:space="preserve">. L’annexe </w:t>
      </w:r>
      <w:r w:rsidRPr="00F3116B">
        <w:t>1</w:t>
      </w:r>
      <w:r>
        <w:t xml:space="preserve"> «Vue d’ensemble des indicateurs clés de performance (ICP) sur la compétitivité à long terme» figurant dans le document SWD(</w:t>
      </w:r>
      <w:r w:rsidRPr="00F3116B">
        <w:t>2024</w:t>
      </w:r>
      <w:r>
        <w:t xml:space="preserve">) </w:t>
      </w:r>
      <w:r w:rsidRPr="00F3116B">
        <w:t>78</w:t>
      </w:r>
      <w:r>
        <w:t xml:space="preserve"> fournit des informations sur les tendances à plus long terme.</w:t>
      </w:r>
    </w:p>
  </w:footnote>
  <w:footnote w:id="82">
    <w:p w14:paraId="7DEE87CE" w14:textId="77777777" w:rsidR="002C51B4" w:rsidRPr="003D5F3F" w:rsidRDefault="002C51B4" w:rsidP="002C51B4">
      <w:pPr>
        <w:pStyle w:val="FootnoteText"/>
        <w:spacing w:after="0"/>
      </w:pPr>
      <w:r>
        <w:rPr>
          <w:rStyle w:val="FootnoteReference"/>
        </w:rPr>
        <w:footnoteRef/>
      </w:r>
      <w:r>
        <w:tab/>
        <w:t>Communication «L’évolution démographique en Europe: une panoplie d’instruments d’action», COM(</w:t>
      </w:r>
      <w:r w:rsidRPr="00F3116B">
        <w:t>2023</w:t>
      </w:r>
      <w:r>
        <w:t>) </w:t>
      </w:r>
      <w:r w:rsidRPr="00F3116B">
        <w:t>577</w:t>
      </w:r>
      <w:r>
        <w:t xml:space="preserve"> final.</w:t>
      </w:r>
    </w:p>
  </w:footnote>
  <w:footnote w:id="83">
    <w:p w14:paraId="42DCEC96" w14:textId="77777777" w:rsidR="002C51B4" w:rsidRPr="00554935" w:rsidRDefault="002C51B4" w:rsidP="002C51B4">
      <w:pPr>
        <w:pStyle w:val="FootnoteText"/>
        <w:spacing w:after="0"/>
        <w:ind w:left="0" w:firstLine="0"/>
        <w:rPr>
          <w:lang w:val="en-US"/>
        </w:rPr>
      </w:pPr>
      <w:r>
        <w:rPr>
          <w:rStyle w:val="FootnoteReference"/>
        </w:rPr>
        <w:footnoteRef/>
      </w:r>
      <w:r w:rsidRPr="00554935">
        <w:rPr>
          <w:lang w:val="en-US"/>
        </w:rPr>
        <w:t xml:space="preserve"> ETUC, “Skills and Quality Jobs in Construction”: </w:t>
      </w:r>
      <w:hyperlink r:id="rId55" w:history="1">
        <w:r w:rsidRPr="00F3116B">
          <w:rPr>
            <w:rStyle w:val="Hyperlink"/>
            <w:lang w:val="en-US"/>
          </w:rPr>
          <w:t>230630</w:t>
        </w:r>
        <w:r w:rsidRPr="00554935">
          <w:rPr>
            <w:rStyle w:val="Hyperlink"/>
            <w:lang w:val="en-US"/>
          </w:rPr>
          <w:t>_-_jtc_study_report_may_</w:t>
        </w:r>
        <w:r w:rsidRPr="00F3116B">
          <w:rPr>
            <w:rStyle w:val="Hyperlink"/>
            <w:lang w:val="en-US"/>
          </w:rPr>
          <w:t>2023</w:t>
        </w:r>
        <w:r w:rsidRPr="00554935">
          <w:rPr>
            <w:rStyle w:val="Hyperlink"/>
            <w:lang w:val="en-US"/>
          </w:rPr>
          <w:t>.pdf (ituc-csi.org)</w:t>
        </w:r>
      </w:hyperlink>
      <w:r w:rsidRPr="00554935">
        <w:rPr>
          <w:rStyle w:val="Hyperlink"/>
          <w:lang w:val="en-US"/>
        </w:rPr>
        <w:t>.</w:t>
      </w:r>
    </w:p>
  </w:footnote>
  <w:footnote w:id="84">
    <w:p w14:paraId="306D0EFC" w14:textId="77777777" w:rsidR="002C51B4" w:rsidRPr="003D5F3F" w:rsidRDefault="002C51B4" w:rsidP="002C51B4">
      <w:pPr>
        <w:pStyle w:val="FootnoteText"/>
        <w:spacing w:after="0"/>
      </w:pPr>
      <w:r>
        <w:rPr>
          <w:rStyle w:val="FootnoteReference"/>
        </w:rPr>
        <w:footnoteRef/>
      </w:r>
      <w:r>
        <w:tab/>
        <w:t>Par exemple, le laboratoire d’apprentissages sur la qualité des investissements dans le domaine de l’éducation et de la formation aide les États membres à définir des politiques particulièrement efficaces pour renforcer les compétences de base et les compétences avancées.</w:t>
      </w:r>
    </w:p>
  </w:footnote>
  <w:footnote w:id="85">
    <w:p w14:paraId="62E4A0E0" w14:textId="77777777" w:rsidR="002C51B4" w:rsidRPr="00D314FF" w:rsidRDefault="002C51B4" w:rsidP="002C51B4">
      <w:pPr>
        <w:pStyle w:val="FootnoteText"/>
        <w:spacing w:after="0"/>
        <w:ind w:left="0" w:firstLine="0"/>
      </w:pPr>
      <w:r>
        <w:rPr>
          <w:rStyle w:val="FootnoteReference"/>
        </w:rPr>
        <w:footnoteRef/>
      </w:r>
      <w:r>
        <w:tab/>
        <w:t xml:space="preserve">Pour la période de programmation </w:t>
      </w:r>
      <w:r w:rsidRPr="00F3116B">
        <w:t>2021</w:t>
      </w:r>
      <w:r>
        <w:t>-</w:t>
      </w:r>
      <w:r w:rsidRPr="00F3116B">
        <w:t>2027</w:t>
      </w:r>
      <w:r>
        <w:t xml:space="preserve">, les investissements du FSE + dans l’éducation et les compétences devraient s’élever à plus de </w:t>
      </w:r>
      <w:r w:rsidRPr="00F3116B">
        <w:t>42</w:t>
      </w:r>
      <w:r>
        <w:t xml:space="preserve"> milliards d’EUR (budget total), dont plus de </w:t>
      </w:r>
      <w:r w:rsidRPr="00F3116B">
        <w:t>15</w:t>
      </w:r>
      <w:r>
        <w:t xml:space="preserve"> millions d’EUR consacrés à la formation des adultes. Les plans nationaux visant à utiliser les ressources du FSE + ou de la facilité pour la reprise et la résilience comprennent de nombreuses activités de reconversion de la main-d’œuvre; pour près de la moitié des États membres, ils prévoient également des actions visant à mettre en place des systèmes de comptes de formation individuels, en application d’une recommandation du Conseil de juin </w:t>
      </w:r>
      <w:r w:rsidRPr="00F3116B">
        <w:t>2022</w:t>
      </w:r>
      <w:r>
        <w:t>.</w:t>
      </w:r>
    </w:p>
  </w:footnote>
  <w:footnote w:id="86">
    <w:p w14:paraId="77FCAE94" w14:textId="77777777" w:rsidR="002C51B4" w:rsidRPr="00554935" w:rsidRDefault="002C51B4" w:rsidP="002C51B4">
      <w:pPr>
        <w:pStyle w:val="FootnoteText"/>
        <w:spacing w:after="0"/>
        <w:ind w:left="0" w:firstLine="0"/>
        <w:rPr>
          <w:lang w:val="en-US"/>
        </w:rPr>
      </w:pPr>
      <w:r>
        <w:rPr>
          <w:rStyle w:val="FootnoteReference"/>
          <w:lang w:val="en-IE"/>
        </w:rPr>
        <w:footnoteRef/>
      </w:r>
      <w:r>
        <w:tab/>
        <w:t xml:space="preserve">Les académies de compétences élaborent des programmes d’apprentissage proposés aux prestataires d’enseignement et de formation dans les États membres. Sur la base du modèle existant dans le secteur des batteries, les académies visent à former </w:t>
      </w:r>
      <w:r w:rsidRPr="00F3116B">
        <w:t>100</w:t>
      </w:r>
      <w:r>
        <w:t> </w:t>
      </w:r>
      <w:r w:rsidRPr="00F3116B">
        <w:t>000</w:t>
      </w:r>
      <w:r>
        <w:t xml:space="preserve"> apprenants chacune dans un délai de </w:t>
      </w:r>
      <w:r w:rsidRPr="00F3116B">
        <w:t>3</w:t>
      </w:r>
      <w:r>
        <w:t xml:space="preserve"> ans à compter de leur création. En outre, l’Académie des compétences cyber rassemblera les initiatives existantes en matière de compétences cybernétiques et améliorera leur coordination, en vue de combler le déficit de talents dans le domaine de la cybersécurité </w:t>
      </w:r>
      <w:hyperlink r:id="rId56" w:history="1">
        <w:r>
          <w:rPr>
            <w:rStyle w:val="Hyperlink"/>
          </w:rPr>
          <w:t>Cyber Skills Academy</w:t>
        </w:r>
      </w:hyperlink>
      <w:r>
        <w:t>.</w:t>
      </w:r>
      <w:hyperlink r:id="rId57" w:history="1">
        <w:r w:rsidRPr="00554935">
          <w:rPr>
            <w:rStyle w:val="Hyperlink"/>
            <w:lang w:val="en-US"/>
          </w:rPr>
          <w:t>Digital Skills and Jobs Platform</w:t>
        </w:r>
      </w:hyperlink>
      <w:r w:rsidRPr="00554935">
        <w:rPr>
          <w:lang w:val="en-US"/>
        </w:rPr>
        <w:t xml:space="preserve"> (europa.eu) </w:t>
      </w:r>
    </w:p>
  </w:footnote>
  <w:footnote w:id="87">
    <w:p w14:paraId="33C2519D" w14:textId="77777777" w:rsidR="002C51B4" w:rsidRPr="00554935" w:rsidRDefault="002C51B4" w:rsidP="002C51B4">
      <w:pPr>
        <w:pStyle w:val="FootnoteText"/>
        <w:spacing w:after="0"/>
        <w:rPr>
          <w:lang w:val="en-US"/>
        </w:rPr>
      </w:pPr>
      <w:r>
        <w:rPr>
          <w:rStyle w:val="FootnoteReference"/>
        </w:rPr>
        <w:footnoteRef/>
      </w:r>
      <w:r w:rsidRPr="00554935">
        <w:rPr>
          <w:lang w:val="en-US"/>
        </w:rPr>
        <w:tab/>
      </w:r>
      <w:hyperlink r:id="rId58" w:history="1">
        <w:r w:rsidRPr="00554935">
          <w:rPr>
            <w:rStyle w:val="Hyperlink"/>
            <w:lang w:val="en-US"/>
          </w:rPr>
          <w:t>harnessing-talents-regions _ fr.pdf (europa.eu)</w:t>
        </w:r>
      </w:hyperlink>
    </w:p>
  </w:footnote>
  <w:footnote w:id="88">
    <w:p w14:paraId="40C1B29A" w14:textId="77777777" w:rsidR="002C51B4" w:rsidRPr="00D314FF" w:rsidRDefault="002C51B4" w:rsidP="002C51B4">
      <w:pPr>
        <w:pStyle w:val="FootnoteText"/>
        <w:spacing w:after="0"/>
        <w:ind w:left="0" w:firstLine="0"/>
      </w:pPr>
      <w:r>
        <w:rPr>
          <w:rStyle w:val="FootnoteReference"/>
          <w:lang w:val="en-IE"/>
        </w:rPr>
        <w:footnoteRef/>
      </w:r>
      <w:r>
        <w:tab/>
        <w:t>Commission européenne (</w:t>
      </w:r>
      <w:r w:rsidRPr="00F3116B">
        <w:t>2023</w:t>
      </w:r>
      <w:r>
        <w:t>), rapport sur l’évolution de l’emploi et de la situation sociale en Europe.</w:t>
      </w:r>
    </w:p>
  </w:footnote>
  <w:footnote w:id="89">
    <w:p w14:paraId="61ED8B1F" w14:textId="77777777" w:rsidR="002C51B4" w:rsidRPr="00D314FF" w:rsidRDefault="002C51B4" w:rsidP="002C51B4">
      <w:pPr>
        <w:pStyle w:val="FootnoteText"/>
        <w:spacing w:after="0"/>
        <w:ind w:left="0" w:firstLine="0"/>
      </w:pPr>
      <w:r>
        <w:rPr>
          <w:rStyle w:val="FootnoteReference"/>
        </w:rPr>
        <w:footnoteRef/>
      </w:r>
      <w:r w:rsidRPr="00554935">
        <w:rPr>
          <w:lang w:val="en-US"/>
        </w:rPr>
        <w:t xml:space="preserve"> </w:t>
      </w:r>
      <w:hyperlink r:id="rId59" w:history="1">
        <w:r w:rsidRPr="00554935">
          <w:rPr>
            <w:rStyle w:val="Hyperlink"/>
            <w:lang w:val="en-US"/>
          </w:rPr>
          <w:t>Labour mobility and matching across borders |</w:t>
        </w:r>
      </w:hyperlink>
      <w:hyperlink r:id="rId60" w:history="1">
        <w:r w:rsidRPr="00554935">
          <w:rPr>
            <w:rStyle w:val="Hyperlink"/>
            <w:lang w:val="en-US"/>
          </w:rPr>
          <w:t xml:space="preserve"> Single Market Scoreboard (europa.eu)</w:t>
        </w:r>
      </w:hyperlink>
      <w:r w:rsidRPr="00554935">
        <w:rPr>
          <w:lang w:val="en-US"/>
        </w:rPr>
        <w:t xml:space="preserve">. </w:t>
      </w:r>
      <w:r>
        <w:t xml:space="preserve">En outre, seuls </w:t>
      </w:r>
      <w:r w:rsidRPr="00F3116B">
        <w:t>17</w:t>
      </w:r>
      <w:r>
        <w:t xml:space="preserve"> % des citoyens de l’Union semblent avoir vécu </w:t>
      </w:r>
      <w:r>
        <w:rPr>
          <w:rStyle w:val="Hyperlink"/>
        </w:rPr>
        <w:t>ou travaillé dans un pays autre que le leur (voir Commission européenne (</w:t>
      </w:r>
      <w:r w:rsidRPr="00F3116B">
        <w:rPr>
          <w:rStyle w:val="Hyperlink"/>
        </w:rPr>
        <w:t>2022</w:t>
      </w:r>
      <w:r>
        <w:rPr>
          <w:rStyle w:val="Hyperlink"/>
        </w:rPr>
        <w:t xml:space="preserve">), Eurobaromètre </w:t>
      </w:r>
      <w:r w:rsidRPr="00F3116B">
        <w:rPr>
          <w:rStyle w:val="Hyperlink"/>
        </w:rPr>
        <w:t>528</w:t>
      </w:r>
      <w:r>
        <w:rPr>
          <w:rStyle w:val="Hyperlink"/>
        </w:rPr>
        <w:t xml:space="preserve"> «La mobilité intra-UE après la pandémie»).</w:t>
      </w:r>
      <w:r>
        <w:t xml:space="preserve"> </w:t>
      </w:r>
    </w:p>
  </w:footnote>
  <w:footnote w:id="90">
    <w:p w14:paraId="70FF018B" w14:textId="77777777" w:rsidR="002C51B4" w:rsidRPr="00554935" w:rsidRDefault="002C51B4" w:rsidP="002C51B4">
      <w:pPr>
        <w:pStyle w:val="FootnoteText"/>
        <w:spacing w:after="0"/>
        <w:rPr>
          <w:lang w:val="en-US"/>
        </w:rPr>
      </w:pPr>
      <w:r>
        <w:rPr>
          <w:rStyle w:val="FootnoteReference"/>
          <w:lang w:val="en-IE"/>
        </w:rPr>
        <w:footnoteRef/>
      </w:r>
      <w:r w:rsidRPr="00554935">
        <w:rPr>
          <w:lang w:val="en-US"/>
        </w:rPr>
        <w:tab/>
        <w:t>Commission européenne (</w:t>
      </w:r>
      <w:r w:rsidRPr="00F3116B">
        <w:rPr>
          <w:lang w:val="en-US"/>
        </w:rPr>
        <w:t>2023</w:t>
      </w:r>
      <w:r w:rsidRPr="00554935">
        <w:rPr>
          <w:lang w:val="en-US"/>
        </w:rPr>
        <w:t xml:space="preserve">), Eurobaromètre Flash </w:t>
      </w:r>
      <w:r w:rsidRPr="00F3116B">
        <w:rPr>
          <w:lang w:val="en-US"/>
        </w:rPr>
        <w:t>537</w:t>
      </w:r>
      <w:r w:rsidRPr="00554935">
        <w:rPr>
          <w:lang w:val="en-US"/>
        </w:rPr>
        <w:t xml:space="preserve"> «SMEs and skills shortages».</w:t>
      </w:r>
    </w:p>
  </w:footnote>
  <w:footnote w:id="91">
    <w:p w14:paraId="01EB372C" w14:textId="77777777" w:rsidR="002C51B4" w:rsidRPr="00554935" w:rsidRDefault="002C51B4" w:rsidP="002C51B4">
      <w:pPr>
        <w:pStyle w:val="FootnoteText"/>
        <w:spacing w:after="0"/>
        <w:ind w:left="0" w:firstLine="0"/>
        <w:rPr>
          <w:lang w:val="en-US"/>
        </w:rPr>
      </w:pPr>
      <w:r>
        <w:rPr>
          <w:rStyle w:val="FootnoteReference"/>
        </w:rPr>
        <w:footnoteRef/>
      </w:r>
      <w:r w:rsidRPr="00554935">
        <w:rPr>
          <w:lang w:val="en-US"/>
        </w:rPr>
        <w:t xml:space="preserve"> Eurobaromètre Flash  </w:t>
      </w:r>
      <w:r w:rsidRPr="00F3116B">
        <w:rPr>
          <w:lang w:val="en-US"/>
        </w:rPr>
        <w:t>529</w:t>
      </w:r>
      <w:r w:rsidRPr="00554935">
        <w:rPr>
          <w:lang w:val="en-US"/>
        </w:rPr>
        <w:t xml:space="preserve"> European Year of Skills: Skills shortages, recruitment and retention strategies in small and medium-sized enterprises Report.</w:t>
      </w:r>
    </w:p>
  </w:footnote>
  <w:footnote w:id="92">
    <w:p w14:paraId="37B04842" w14:textId="77777777" w:rsidR="002C51B4" w:rsidRPr="00554935" w:rsidRDefault="002C51B4" w:rsidP="002C51B4">
      <w:pPr>
        <w:spacing w:after="0" w:line="240" w:lineRule="auto"/>
        <w:jc w:val="both"/>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sidRPr="00554935">
        <w:rPr>
          <w:rFonts w:ascii="Times New Roman" w:hAnsi="Times New Roman"/>
          <w:sz w:val="20"/>
          <w:lang w:val="en-US"/>
        </w:rPr>
        <w:t xml:space="preserve"> </w:t>
      </w:r>
      <w:hyperlink r:id="rId61" w:history="1">
        <w:r w:rsidRPr="00554935">
          <w:rPr>
            <w:rStyle w:val="Hyperlink"/>
            <w:rFonts w:ascii="Times New Roman" w:hAnsi="Times New Roman"/>
            <w:sz w:val="20"/>
            <w:lang w:val="en-US"/>
          </w:rPr>
          <w:t>Access to Services and Services Markets |</w:t>
        </w:r>
      </w:hyperlink>
      <w:hyperlink r:id="rId62" w:history="1">
        <w:r w:rsidRPr="00554935">
          <w:rPr>
            <w:rStyle w:val="Hyperlink"/>
            <w:rFonts w:ascii="Times New Roman" w:hAnsi="Times New Roman"/>
            <w:sz w:val="20"/>
            <w:lang w:val="en-US"/>
          </w:rPr>
          <w:t xml:space="preserve"> Single Market Scoreboard (europa.eu)</w:t>
        </w:r>
      </w:hyperlink>
      <w:r w:rsidRPr="00554935">
        <w:rPr>
          <w:rFonts w:ascii="Times New Roman" w:hAnsi="Times New Roman"/>
          <w:sz w:val="20"/>
          <w:lang w:val="en-US"/>
        </w:rPr>
        <w:t xml:space="preserve">. </w:t>
      </w:r>
    </w:p>
  </w:footnote>
  <w:footnote w:id="93">
    <w:p w14:paraId="00D0EB71" w14:textId="77777777" w:rsidR="002C51B4" w:rsidRPr="00D314FF" w:rsidRDefault="002C51B4" w:rsidP="002C51B4">
      <w:pPr>
        <w:pStyle w:val="FootnoteText"/>
        <w:spacing w:after="0"/>
      </w:pPr>
      <w:r>
        <w:rPr>
          <w:rStyle w:val="FootnoteReference"/>
        </w:rPr>
        <w:footnoteRef/>
      </w:r>
      <w:r>
        <w:tab/>
        <w:t>Communication sur les compétences et la mobilité des talents, COM (</w:t>
      </w:r>
      <w:r w:rsidRPr="00F3116B">
        <w:t>2023</w:t>
      </w:r>
      <w:r>
        <w:t xml:space="preserve">) </w:t>
      </w:r>
      <w:r w:rsidRPr="00F3116B">
        <w:t>715</w:t>
      </w:r>
      <w:r>
        <w:t>.</w:t>
      </w:r>
    </w:p>
  </w:footnote>
  <w:footnote w:id="94">
    <w:p w14:paraId="69E501E6" w14:textId="77777777" w:rsidR="002C51B4" w:rsidRPr="00D314FF" w:rsidRDefault="002C51B4" w:rsidP="002C51B4">
      <w:pPr>
        <w:pStyle w:val="FootnoteText"/>
        <w:spacing w:after="0"/>
      </w:pPr>
      <w:r>
        <w:rPr>
          <w:rStyle w:val="FootnoteReference"/>
        </w:rPr>
        <w:footnoteRef/>
      </w:r>
      <w:r>
        <w:tab/>
        <w:t>COM(</w:t>
      </w:r>
      <w:r w:rsidRPr="00F3116B">
        <w:t>2023</w:t>
      </w:r>
      <w:r>
        <w:t>) </w:t>
      </w:r>
      <w:r w:rsidRPr="00F3116B">
        <w:t>7700</w:t>
      </w:r>
      <w:r>
        <w:t xml:space="preserve"> final. </w:t>
      </w:r>
    </w:p>
  </w:footnote>
  <w:footnote w:id="95">
    <w:p w14:paraId="1186C913" w14:textId="77777777" w:rsidR="002C51B4" w:rsidRPr="00D314FF" w:rsidRDefault="002C51B4" w:rsidP="002C51B4">
      <w:pPr>
        <w:pStyle w:val="FootnoteText"/>
        <w:spacing w:after="0"/>
      </w:pPr>
      <w:r>
        <w:rPr>
          <w:rStyle w:val="FootnoteReference"/>
        </w:rPr>
        <w:footnoteRef/>
      </w:r>
      <w:r>
        <w:tab/>
        <w:t>COM(</w:t>
      </w:r>
      <w:r w:rsidRPr="00F3116B">
        <w:t>2023</w:t>
      </w:r>
      <w:r>
        <w:t>) </w:t>
      </w:r>
      <w:r w:rsidRPr="00F3116B">
        <w:t>716</w:t>
      </w:r>
      <w:r>
        <w:t xml:space="preserve"> final. </w:t>
      </w:r>
    </w:p>
  </w:footnote>
  <w:footnote w:id="96">
    <w:p w14:paraId="7ADC87C9" w14:textId="77777777" w:rsidR="002C51B4" w:rsidRPr="00D314FF" w:rsidRDefault="002C51B4" w:rsidP="002C51B4">
      <w:pPr>
        <w:pStyle w:val="FootnoteText"/>
        <w:spacing w:after="0"/>
        <w:ind w:left="0" w:firstLine="0"/>
      </w:pPr>
      <w:r>
        <w:rPr>
          <w:rStyle w:val="FootnoteReference"/>
        </w:rPr>
        <w:footnoteRef/>
      </w:r>
      <w:r>
        <w:t xml:space="preserve"> Les données sont celles disponibles en décembre </w:t>
      </w:r>
      <w:r w:rsidRPr="00F3116B">
        <w:t>2023</w:t>
      </w:r>
      <w:r>
        <w:t xml:space="preserve">. Des informations sur les tendances à plus long terme sont données à l’annexe </w:t>
      </w:r>
      <w:r w:rsidRPr="00F3116B">
        <w:t>1</w:t>
      </w:r>
      <w:r>
        <w:t xml:space="preserve"> du document SWD(</w:t>
      </w:r>
      <w:r w:rsidRPr="00F3116B">
        <w:t>2024</w:t>
      </w:r>
      <w:r>
        <w:t xml:space="preserve">) </w:t>
      </w:r>
      <w:r w:rsidRPr="00F3116B">
        <w:t>78</w:t>
      </w:r>
      <w:r>
        <w:t xml:space="preserve"> intitulée «Overview of Key Performance Indicators (KPIs) on long-term competitiveness».</w:t>
      </w:r>
    </w:p>
  </w:footnote>
  <w:footnote w:id="97">
    <w:p w14:paraId="79521876" w14:textId="77777777" w:rsidR="002C51B4" w:rsidRPr="00554935" w:rsidRDefault="002C51B4" w:rsidP="002C51B4">
      <w:pPr>
        <w:pStyle w:val="FootnoteText"/>
        <w:spacing w:after="0"/>
        <w:rPr>
          <w:lang w:val="en-US"/>
        </w:rPr>
      </w:pPr>
      <w:r>
        <w:rPr>
          <w:rStyle w:val="FootnoteReference"/>
        </w:rPr>
        <w:footnoteRef/>
      </w:r>
      <w:r w:rsidRPr="00554935">
        <w:rPr>
          <w:lang w:val="en-US"/>
        </w:rPr>
        <w:t xml:space="preserve"> </w:t>
      </w:r>
      <w:hyperlink r:id="rId63" w:history="1">
        <w:r w:rsidRPr="00554935">
          <w:rPr>
            <w:rStyle w:val="Hyperlink"/>
            <w:lang w:val="en-US"/>
          </w:rPr>
          <w:t>Economic resilience |</w:t>
        </w:r>
      </w:hyperlink>
      <w:hyperlink r:id="rId64" w:history="1">
        <w:r w:rsidRPr="00554935">
          <w:rPr>
            <w:rStyle w:val="Hyperlink"/>
            <w:lang w:val="en-US"/>
          </w:rPr>
          <w:t xml:space="preserve"> Single Market Scoreboard (europa.eu)</w:t>
        </w:r>
      </w:hyperlink>
      <w:r w:rsidRPr="00554935">
        <w:rPr>
          <w:lang w:val="en-US"/>
        </w:rPr>
        <w:t>.</w:t>
      </w:r>
    </w:p>
  </w:footnote>
  <w:footnote w:id="98">
    <w:p w14:paraId="5D815D2D" w14:textId="77777777" w:rsidR="002C51B4" w:rsidRPr="00D314FF" w:rsidRDefault="002C51B4" w:rsidP="002C51B4">
      <w:pPr>
        <w:pStyle w:val="FootnoteText"/>
        <w:spacing w:after="0"/>
        <w:ind w:left="0"/>
      </w:pPr>
      <w:r w:rsidRPr="00554935">
        <w:rPr>
          <w:lang w:val="en-US"/>
        </w:rPr>
        <w:t xml:space="preserve">       </w:t>
      </w:r>
      <w:r>
        <w:rPr>
          <w:rStyle w:val="FootnoteReference"/>
        </w:rPr>
        <w:footnoteRef/>
      </w:r>
      <w:r>
        <w:tab/>
      </w:r>
      <w:hyperlink r:id="rId65" w:history="1">
        <w:r>
          <w:rPr>
            <w:rStyle w:val="Hyperlink"/>
          </w:rPr>
          <w:t>REPowerEU (europa.eu)</w:t>
        </w:r>
      </w:hyperlink>
      <w:r>
        <w:t>.</w:t>
      </w:r>
    </w:p>
  </w:footnote>
  <w:footnote w:id="99">
    <w:p w14:paraId="46E0805B" w14:textId="77777777" w:rsidR="002C51B4" w:rsidRPr="00D314FF" w:rsidRDefault="002C51B4" w:rsidP="002C51B4">
      <w:pPr>
        <w:pStyle w:val="FootnoteText"/>
        <w:spacing w:after="0"/>
        <w:ind w:left="0" w:firstLine="0"/>
      </w:pPr>
      <w:r>
        <w:rPr>
          <w:rStyle w:val="FootnoteReference"/>
        </w:rPr>
        <w:footnoteRef/>
      </w:r>
      <w:r>
        <w:tab/>
        <w:t>Direction générale du marché intérieur, de l’industrie, de l’entrepreneuriat et des PME de la Commission européenne</w:t>
      </w:r>
    </w:p>
    <w:p w14:paraId="2DA90A50" w14:textId="77777777" w:rsidR="002C51B4" w:rsidRPr="00554935" w:rsidRDefault="002C51B4" w:rsidP="002C51B4">
      <w:pPr>
        <w:pStyle w:val="FootnoteText"/>
        <w:spacing w:after="0"/>
        <w:ind w:left="0" w:firstLine="0"/>
        <w:rPr>
          <w:lang w:val="en-US"/>
        </w:rPr>
      </w:pPr>
      <w:r w:rsidRPr="00554935">
        <w:rPr>
          <w:lang w:val="en-US"/>
        </w:rPr>
        <w:t>SWD(</w:t>
      </w:r>
      <w:r w:rsidRPr="00F3116B">
        <w:rPr>
          <w:lang w:val="en-US"/>
        </w:rPr>
        <w:t>2021</w:t>
      </w:r>
      <w:r w:rsidRPr="00554935">
        <w:rPr>
          <w:lang w:val="en-US"/>
        </w:rPr>
        <w:t>)</w:t>
      </w:r>
      <w:r w:rsidRPr="00F3116B">
        <w:rPr>
          <w:lang w:val="en-US"/>
        </w:rPr>
        <w:t>352</w:t>
      </w:r>
      <w:r w:rsidRPr="00554935">
        <w:rPr>
          <w:lang w:val="en-US"/>
        </w:rPr>
        <w:t xml:space="preserve"> «Strategic dependencies and capacities»; SWD(</w:t>
      </w:r>
      <w:r w:rsidRPr="00F3116B">
        <w:rPr>
          <w:lang w:val="en-US"/>
        </w:rPr>
        <w:t>2022</w:t>
      </w:r>
      <w:r w:rsidRPr="00554935">
        <w:rPr>
          <w:lang w:val="en-US"/>
        </w:rPr>
        <w:t xml:space="preserve">) </w:t>
      </w:r>
      <w:r w:rsidRPr="00F3116B">
        <w:rPr>
          <w:lang w:val="en-US"/>
        </w:rPr>
        <w:t>40</w:t>
      </w:r>
      <w:r w:rsidRPr="00554935">
        <w:rPr>
          <w:lang w:val="en-US"/>
        </w:rPr>
        <w:t xml:space="preserve"> final «EU strategic dependencies and capacities: second stage of in-depth review»; Single Market Economic Papers, n. </w:t>
      </w:r>
      <w:r w:rsidRPr="00F3116B">
        <w:rPr>
          <w:lang w:val="en-US"/>
        </w:rPr>
        <w:t>14</w:t>
      </w:r>
      <w:r w:rsidRPr="00554935">
        <w:rPr>
          <w:lang w:val="en-US"/>
        </w:rPr>
        <w:t xml:space="preserve"> “</w:t>
      </w:r>
      <w:hyperlink r:id="rId66" w:history="1">
        <w:r w:rsidRPr="00554935">
          <w:rPr>
            <w:rStyle w:val="Hyperlink"/>
            <w:lang w:val="en-US"/>
          </w:rPr>
          <w:t>An enhanced methodology to monitor the EU’s strategic dependencies and vulnerabilities - European Commission (europa.eu)</w:t>
        </w:r>
      </w:hyperlink>
    </w:p>
  </w:footnote>
  <w:footnote w:id="100">
    <w:p w14:paraId="48FD5E14" w14:textId="77777777" w:rsidR="002C51B4" w:rsidRPr="00D314FF" w:rsidRDefault="002C51B4" w:rsidP="002C51B4">
      <w:pPr>
        <w:pStyle w:val="FootnoteText"/>
        <w:spacing w:after="0"/>
        <w:ind w:left="0" w:firstLine="0"/>
      </w:pPr>
      <w:r>
        <w:rPr>
          <w:rStyle w:val="FootnoteReference"/>
        </w:rPr>
        <w:footnoteRef/>
      </w:r>
      <w:r>
        <w:tab/>
        <w:t xml:space="preserve">Le risque de point unique de défaillance dépend de deux caractéristiques du produit : </w:t>
      </w:r>
      <w:r w:rsidRPr="00F3116B">
        <w:t>1</w:t>
      </w:r>
      <w:r>
        <w:t xml:space="preserve">) l’existence d’un nœud central dans les réseaux commerciaux mondiaux pour ce produit, et </w:t>
      </w:r>
      <w:r w:rsidRPr="00F3116B">
        <w:t>2</w:t>
      </w:r>
      <w:r>
        <w:t>) une forte concentration des exportations mondiales dans un pays. Le risque calculé de point unique de défaillance global s’obtient en combinant ces deux indicateurs. Pour plus de détails, voir p. </w:t>
      </w:r>
      <w:r w:rsidRPr="00F3116B">
        <w:t>18</w:t>
      </w:r>
      <w:r>
        <w:t xml:space="preserve"> du Single Market Economic Papers, n. </w:t>
      </w:r>
      <w:r w:rsidRPr="00F3116B">
        <w:t>14</w:t>
      </w:r>
      <w:r>
        <w:t xml:space="preserve"> (référence ci-dessus). </w:t>
      </w:r>
    </w:p>
  </w:footnote>
  <w:footnote w:id="101">
    <w:p w14:paraId="3B0EF5E4" w14:textId="77777777" w:rsidR="002C51B4" w:rsidRPr="00D314FF" w:rsidRDefault="002C51B4" w:rsidP="002C51B4">
      <w:pPr>
        <w:pStyle w:val="FootnoteText"/>
        <w:spacing w:after="0"/>
        <w:ind w:left="0" w:firstLine="0"/>
      </w:pPr>
      <w:r>
        <w:rPr>
          <w:rStyle w:val="FootnoteReference"/>
        </w:rPr>
        <w:footnoteRef/>
      </w:r>
      <w:r>
        <w:tab/>
        <w:t xml:space="preserve">L’annexe </w:t>
      </w:r>
      <w:r w:rsidRPr="00F3116B">
        <w:t>5</w:t>
      </w:r>
      <w:r>
        <w:t xml:space="preserve"> de la présente communication donne un aperçu des mesures de résilience prises par les principaux partenaires internationaux [SWD (</w:t>
      </w:r>
      <w:r w:rsidRPr="00F3116B">
        <w:t>2024</w:t>
      </w:r>
      <w:r>
        <w:t xml:space="preserve">) </w:t>
      </w:r>
      <w:r w:rsidRPr="00F3116B">
        <w:t>78</w:t>
      </w:r>
      <w:r>
        <w:t>].</w:t>
      </w:r>
    </w:p>
  </w:footnote>
  <w:footnote w:id="102">
    <w:p w14:paraId="47FBF063" w14:textId="77777777" w:rsidR="002C51B4" w:rsidRPr="00D314FF" w:rsidRDefault="002C51B4" w:rsidP="002C51B4">
      <w:pPr>
        <w:pStyle w:val="FootnoteText"/>
        <w:spacing w:after="0"/>
        <w:ind w:left="0"/>
      </w:pPr>
      <w:r>
        <w:t xml:space="preserve">       </w:t>
      </w:r>
      <w:r>
        <w:rPr>
          <w:rStyle w:val="FootnoteReference"/>
        </w:rPr>
        <w:footnoteRef/>
      </w:r>
      <w:r>
        <w:t xml:space="preserve"> </w:t>
      </w:r>
      <w:r>
        <w:tab/>
        <w:t>https://ec.europa.eu/commission/presscorner/detail/fr/ip_</w:t>
      </w:r>
      <w:r w:rsidRPr="00F3116B">
        <w:t>23</w:t>
      </w:r>
      <w:r>
        <w:t>_</w:t>
      </w:r>
      <w:r w:rsidRPr="00F3116B">
        <w:t>5245</w:t>
      </w:r>
      <w:r>
        <w:t>.</w:t>
      </w:r>
    </w:p>
  </w:footnote>
  <w:footnote w:id="103">
    <w:p w14:paraId="2741E786" w14:textId="77777777" w:rsidR="002C51B4" w:rsidRPr="00554935" w:rsidRDefault="002C51B4" w:rsidP="002C51B4">
      <w:pPr>
        <w:pStyle w:val="FootnoteText"/>
        <w:spacing w:after="0"/>
        <w:ind w:left="0" w:firstLine="0"/>
        <w:rPr>
          <w:lang w:val="en-US"/>
        </w:rPr>
      </w:pPr>
      <w:r>
        <w:rPr>
          <w:rStyle w:val="FootnoteReference"/>
        </w:rPr>
        <w:footnoteRef/>
      </w:r>
      <w:r w:rsidRPr="00554935">
        <w:rPr>
          <w:lang w:val="en-US"/>
        </w:rPr>
        <w:tab/>
        <w:t>Deloitte (</w:t>
      </w:r>
      <w:r w:rsidRPr="00F3116B">
        <w:rPr>
          <w:lang w:val="en-US"/>
        </w:rPr>
        <w:t>2023</w:t>
      </w:r>
      <w:r w:rsidRPr="00554935">
        <w:rPr>
          <w:lang w:val="en-US"/>
        </w:rPr>
        <w:t>), «Sustainability &amp; Climate IRA and the net-zero race – How EU industrial policy should respond», p. </w:t>
      </w:r>
      <w:r w:rsidRPr="00F3116B">
        <w:rPr>
          <w:lang w:val="en-US"/>
        </w:rPr>
        <w:t>11</w:t>
      </w:r>
      <w:r w:rsidRPr="00554935">
        <w:rPr>
          <w:lang w:val="en-US"/>
        </w:rPr>
        <w:t>.</w:t>
      </w:r>
    </w:p>
  </w:footnote>
  <w:footnote w:id="104">
    <w:p w14:paraId="265BC630" w14:textId="77777777" w:rsidR="002C51B4" w:rsidRPr="00D314FF" w:rsidRDefault="002C51B4" w:rsidP="002C51B4">
      <w:pPr>
        <w:pStyle w:val="FootnoteText"/>
        <w:spacing w:after="0"/>
        <w:ind w:left="0" w:firstLine="0"/>
      </w:pPr>
      <w:r>
        <w:rPr>
          <w:rStyle w:val="FootnoteReference"/>
        </w:rPr>
        <w:footnoteRef/>
      </w:r>
      <w:r>
        <w:tab/>
        <w:t>Il s’agit, entre autres, des efforts entrepris dans le cadre du plan industriel du pacte vert, et notamment du règlement pour une industrie «zéro net» ainsi que de l’encadrement temporaire de crise et de transition.</w:t>
      </w:r>
    </w:p>
  </w:footnote>
  <w:footnote w:id="105">
    <w:p w14:paraId="29CEF65B" w14:textId="77777777" w:rsidR="002C51B4" w:rsidRPr="00D314FF" w:rsidRDefault="002C51B4" w:rsidP="002C51B4">
      <w:pPr>
        <w:pStyle w:val="FootnoteText"/>
        <w:spacing w:after="0"/>
        <w:ind w:left="0" w:firstLine="0"/>
      </w:pPr>
      <w:r>
        <w:rPr>
          <w:rStyle w:val="FootnoteReference"/>
        </w:rPr>
        <w:footnoteRef/>
      </w:r>
      <w:r>
        <w:tab/>
        <w:t>Par exemple, dans le cadre du partenariat stratégique avec le Kazakhstan, les entreprises européennes et kazakhes ont mis en place une coopération pour la récupération d’éléments de terres rares à partir de déchets miniers d’uranium, pour l’exploration géophysique aérienne et le traitement durable de deux gisements de tungstène au Kazakhstan, parfois avec le concours financier de l’UE et de la BERD.</w:t>
      </w:r>
    </w:p>
  </w:footnote>
  <w:footnote w:id="106">
    <w:p w14:paraId="03CDCF83" w14:textId="77777777" w:rsidR="002C51B4" w:rsidRPr="00554935" w:rsidRDefault="002C51B4" w:rsidP="002C51B4">
      <w:pPr>
        <w:spacing w:after="0" w:line="240" w:lineRule="auto"/>
        <w:ind w:hanging="142"/>
        <w:jc w:val="both"/>
        <w:rPr>
          <w:rFonts w:ascii="Times New Roman" w:hAnsi="Times New Roman" w:cs="Times New Roman"/>
          <w:sz w:val="20"/>
          <w:szCs w:val="20"/>
          <w:lang w:val="en-US"/>
        </w:rPr>
      </w:pPr>
      <w:r>
        <w:rPr>
          <w:rFonts w:ascii="Times New Roman" w:hAnsi="Times New Roman"/>
          <w:sz w:val="20"/>
        </w:rPr>
        <w:t xml:space="preserve">  </w:t>
      </w:r>
      <w:r>
        <w:rPr>
          <w:rStyle w:val="FootnoteReference"/>
          <w:rFonts w:ascii="Times New Roman" w:hAnsi="Times New Roman" w:cs="Times New Roman"/>
          <w:sz w:val="20"/>
          <w:szCs w:val="20"/>
        </w:rPr>
        <w:footnoteRef/>
      </w:r>
      <w:r w:rsidRPr="00554935">
        <w:rPr>
          <w:rFonts w:ascii="Times New Roman" w:hAnsi="Times New Roman"/>
          <w:sz w:val="20"/>
          <w:lang w:val="en-US"/>
        </w:rPr>
        <w:t xml:space="preserve"> </w:t>
      </w:r>
      <w:hyperlink r:id="rId67" w:anchor=":~:text=The%20EU%20currently%20has%20four,the%2028th%20EU%2DJapan%20Summit" w:history="1">
        <w:r w:rsidRPr="00554935">
          <w:rPr>
            <w:rStyle w:val="Hyperlink"/>
            <w:rFonts w:ascii="Times New Roman" w:hAnsi="Times New Roman"/>
            <w:sz w:val="20"/>
            <w:lang w:val="en-US"/>
          </w:rPr>
          <w:t>Digital Partnerships |</w:t>
        </w:r>
      </w:hyperlink>
      <w:hyperlink r:id="rId68" w:anchor=":~:text=The%20EU%20currently%20has%20four,the%2028th%20EU%2DJapan%20Summit" w:history="1">
        <w:r w:rsidRPr="00554935">
          <w:rPr>
            <w:rStyle w:val="Hyperlink"/>
            <w:rFonts w:ascii="Times New Roman" w:hAnsi="Times New Roman"/>
            <w:sz w:val="20"/>
            <w:lang w:val="en-US"/>
          </w:rPr>
          <w:t xml:space="preserve"> Shaping Europe’s digital future (europa.eu)</w:t>
        </w:r>
      </w:hyperlink>
      <w:r w:rsidRPr="00554935">
        <w:rPr>
          <w:rStyle w:val="Hyperlink"/>
          <w:rFonts w:ascii="Times New Roman" w:hAnsi="Times New Roman"/>
          <w:sz w:val="20"/>
          <w:lang w:val="en-US"/>
        </w:rPr>
        <w:t>.</w:t>
      </w:r>
    </w:p>
  </w:footnote>
  <w:footnote w:id="107">
    <w:p w14:paraId="099E8EE3" w14:textId="77777777" w:rsidR="002C51B4" w:rsidRPr="003D5F3F" w:rsidRDefault="002C51B4" w:rsidP="002C51B4">
      <w:pPr>
        <w:pStyle w:val="FootnoteText"/>
        <w:spacing w:after="0"/>
      </w:pPr>
      <w:r>
        <w:rPr>
          <w:rStyle w:val="FootnoteReference"/>
        </w:rPr>
        <w:footnoteRef/>
      </w:r>
      <w:r>
        <w:tab/>
        <w:t>Les négociations sont achevées avec le Japon et sont en cours avec la Corée du Sud et Singapour.</w:t>
      </w:r>
    </w:p>
  </w:footnote>
  <w:footnote w:id="108">
    <w:p w14:paraId="22DC5A15" w14:textId="77777777" w:rsidR="002C51B4" w:rsidRPr="00D314FF" w:rsidRDefault="002C51B4" w:rsidP="002C51B4">
      <w:pPr>
        <w:pStyle w:val="FootnoteText"/>
        <w:spacing w:after="0"/>
        <w:ind w:left="0" w:hanging="284"/>
      </w:pPr>
      <w:r>
        <w:t xml:space="preserve">     </w:t>
      </w:r>
      <w:r>
        <w:rPr>
          <w:rStyle w:val="FootnoteReference"/>
        </w:rPr>
        <w:footnoteRef/>
      </w:r>
      <w:r>
        <w:tab/>
        <w:t>Par exemple, l’UE a adopté le règlement de l’UE sur les subventions étrangères, le règlement sur le filtrage des investissements directs étrangers, l’instrument de lutte contre la coercion et l’instrument relatif aux marchés publics internationaux.</w:t>
      </w:r>
    </w:p>
  </w:footnote>
  <w:footnote w:id="109">
    <w:p w14:paraId="7A789345" w14:textId="77777777" w:rsidR="002C51B4" w:rsidRPr="00D314FF" w:rsidRDefault="002C51B4" w:rsidP="002C51B4">
      <w:pPr>
        <w:pStyle w:val="FootnoteText"/>
        <w:spacing w:after="0"/>
        <w:ind w:left="0"/>
      </w:pPr>
      <w:r>
        <w:t xml:space="preserve">      </w:t>
      </w:r>
      <w:r>
        <w:rPr>
          <w:rStyle w:val="FootnoteReference"/>
          <w:lang w:val="en-IE"/>
        </w:rPr>
        <w:footnoteRef/>
      </w:r>
      <w:r>
        <w:t xml:space="preserve"> </w:t>
      </w:r>
      <w:hyperlink r:id="rId69" w:history="1">
        <w:r>
          <w:rPr>
            <w:rStyle w:val="Hyperlink"/>
          </w:rPr>
          <w:t>https://ec.europa.eu/commission/presscorner/detail/fr/ip_</w:t>
        </w:r>
        <w:r w:rsidRPr="00F3116B">
          <w:rPr>
            <w:rStyle w:val="Hyperlink"/>
          </w:rPr>
          <w:t>23</w:t>
        </w:r>
        <w:r>
          <w:rPr>
            <w:rStyle w:val="Hyperlink"/>
          </w:rPr>
          <w:t>_</w:t>
        </w:r>
        <w:r w:rsidRPr="00F3116B">
          <w:rPr>
            <w:rStyle w:val="Hyperlink"/>
          </w:rPr>
          <w:t>4752</w:t>
        </w:r>
      </w:hyperlink>
      <w:r>
        <w:rPr>
          <w:rStyle w:val="Hyperlink"/>
        </w:rPr>
        <w:t>.</w:t>
      </w:r>
      <w:r>
        <w:t xml:space="preserve"> </w:t>
      </w:r>
    </w:p>
  </w:footnote>
  <w:footnote w:id="110">
    <w:p w14:paraId="7EB6AE61" w14:textId="77777777" w:rsidR="002C51B4" w:rsidRPr="00554935" w:rsidRDefault="002C51B4" w:rsidP="002C51B4">
      <w:pPr>
        <w:pStyle w:val="FootnoteText"/>
        <w:spacing w:after="0"/>
        <w:rPr>
          <w:lang w:val="en-US"/>
        </w:rPr>
      </w:pPr>
      <w:r>
        <w:rPr>
          <w:rStyle w:val="FootnoteReference"/>
        </w:rPr>
        <w:footnoteRef/>
      </w:r>
      <w:r w:rsidRPr="00554935">
        <w:rPr>
          <w:lang w:val="en-US"/>
        </w:rPr>
        <w:t xml:space="preserve"> </w:t>
      </w:r>
      <w:r w:rsidRPr="00554935">
        <w:rPr>
          <w:color w:val="000000" w:themeColor="text1"/>
          <w:lang w:val="en-US"/>
        </w:rPr>
        <w:t>New tools to reinforce the EU’s economic security - European Commission (europa.eu)</w:t>
      </w:r>
      <w:r w:rsidRPr="00554935">
        <w:rPr>
          <w:color w:val="000000" w:themeColor="text1"/>
          <w:highlight w:val="magenta"/>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A6CEC" w14:textId="77777777" w:rsidR="00956164" w:rsidRPr="00956164" w:rsidRDefault="00956164" w:rsidP="0095616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3FF5F" w14:textId="77777777" w:rsidR="00956164" w:rsidRPr="00956164" w:rsidRDefault="00956164" w:rsidP="0095616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F5A4A" w14:textId="77777777" w:rsidR="00956164" w:rsidRPr="00956164" w:rsidRDefault="00956164" w:rsidP="0095616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836E0" w14:textId="77777777" w:rsidR="00C23CB1" w:rsidRDefault="00C23C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91568" w14:textId="77777777" w:rsidR="00C23CB1" w:rsidRDefault="00C23CB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4D7D2" w14:textId="77777777" w:rsidR="00C23CB1" w:rsidRDefault="00C23C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258BE"/>
    <w:multiLevelType w:val="hybridMultilevel"/>
    <w:tmpl w:val="91448714"/>
    <w:lvl w:ilvl="0" w:tplc="93443406">
      <w:start w:val="7"/>
      <w:numFmt w:val="decimal"/>
      <w:lvlText w:val="%1."/>
      <w:lvlJc w:val="left"/>
      <w:pPr>
        <w:ind w:left="720" w:hanging="360"/>
      </w:pPr>
      <w:rPr>
        <w:rFonts w:hint="default"/>
        <w:b/>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519359E"/>
    <w:multiLevelType w:val="hybridMultilevel"/>
    <w:tmpl w:val="B6905F1E"/>
    <w:lvl w:ilvl="0" w:tplc="FFFFFFFF">
      <w:start w:val="2"/>
      <w:numFmt w:val="decimal"/>
      <w:lvlText w:val="%1."/>
      <w:lvlJc w:val="left"/>
      <w:pPr>
        <w:ind w:left="720" w:hanging="360"/>
      </w:pPr>
      <w:rPr>
        <w:rFonts w:hint="default"/>
        <w:b/>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ED40FE"/>
    <w:multiLevelType w:val="hybridMultilevel"/>
    <w:tmpl w:val="1CB6B1C6"/>
    <w:lvl w:ilvl="0" w:tplc="18090001">
      <w:start w:val="1"/>
      <w:numFmt w:val="bullet"/>
      <w:lvlText w:val=""/>
      <w:lvlJc w:val="left"/>
      <w:pPr>
        <w:ind w:left="6173"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CB4385"/>
    <w:multiLevelType w:val="hybridMultilevel"/>
    <w:tmpl w:val="F79CC5C2"/>
    <w:lvl w:ilvl="0" w:tplc="18090001">
      <w:start w:val="1"/>
      <w:numFmt w:val="bullet"/>
      <w:lvlText w:val=""/>
      <w:lvlJc w:val="left"/>
      <w:pPr>
        <w:ind w:left="6173"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64126E"/>
    <w:multiLevelType w:val="hybridMultilevel"/>
    <w:tmpl w:val="0DB4196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3B07143"/>
    <w:multiLevelType w:val="hybridMultilevel"/>
    <w:tmpl w:val="EA38F066"/>
    <w:lvl w:ilvl="0" w:tplc="6EC29AEC">
      <w:start w:val="9"/>
      <w:numFmt w:val="decimal"/>
      <w:lvlText w:val="%1."/>
      <w:lvlJc w:val="left"/>
      <w:pPr>
        <w:ind w:left="720" w:hanging="360"/>
      </w:pPr>
      <w:rPr>
        <w:rFonts w:hint="default"/>
        <w:b/>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4C86372"/>
    <w:multiLevelType w:val="hybridMultilevel"/>
    <w:tmpl w:val="7E982B14"/>
    <w:lvl w:ilvl="0" w:tplc="18090001">
      <w:start w:val="1"/>
      <w:numFmt w:val="bullet"/>
      <w:lvlText w:val=""/>
      <w:lvlJc w:val="left"/>
      <w:pPr>
        <w:ind w:left="6173"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462310"/>
    <w:multiLevelType w:val="hybridMultilevel"/>
    <w:tmpl w:val="E2883C6E"/>
    <w:lvl w:ilvl="0" w:tplc="18090001">
      <w:start w:val="1"/>
      <w:numFmt w:val="bullet"/>
      <w:lvlText w:val=""/>
      <w:lvlJc w:val="left"/>
      <w:pPr>
        <w:ind w:left="428" w:hanging="360"/>
      </w:pPr>
      <w:rPr>
        <w:rFonts w:ascii="Symbol" w:hAnsi="Symbol" w:hint="default"/>
      </w:rPr>
    </w:lvl>
    <w:lvl w:ilvl="1" w:tplc="FFFFFFFF" w:tentative="1">
      <w:start w:val="1"/>
      <w:numFmt w:val="lowerLetter"/>
      <w:lvlText w:val="%2."/>
      <w:lvlJc w:val="left"/>
      <w:pPr>
        <w:ind w:left="-4305" w:hanging="360"/>
      </w:pPr>
    </w:lvl>
    <w:lvl w:ilvl="2" w:tplc="FFFFFFFF" w:tentative="1">
      <w:start w:val="1"/>
      <w:numFmt w:val="lowerRoman"/>
      <w:lvlText w:val="%3."/>
      <w:lvlJc w:val="right"/>
      <w:pPr>
        <w:ind w:left="-3585" w:hanging="180"/>
      </w:pPr>
    </w:lvl>
    <w:lvl w:ilvl="3" w:tplc="FFFFFFFF" w:tentative="1">
      <w:start w:val="1"/>
      <w:numFmt w:val="decimal"/>
      <w:lvlText w:val="%4."/>
      <w:lvlJc w:val="left"/>
      <w:pPr>
        <w:ind w:left="-2865" w:hanging="360"/>
      </w:pPr>
    </w:lvl>
    <w:lvl w:ilvl="4" w:tplc="FFFFFFFF" w:tentative="1">
      <w:start w:val="1"/>
      <w:numFmt w:val="lowerLetter"/>
      <w:lvlText w:val="%5."/>
      <w:lvlJc w:val="left"/>
      <w:pPr>
        <w:ind w:left="-2145" w:hanging="360"/>
      </w:pPr>
    </w:lvl>
    <w:lvl w:ilvl="5" w:tplc="FFFFFFFF" w:tentative="1">
      <w:start w:val="1"/>
      <w:numFmt w:val="lowerRoman"/>
      <w:lvlText w:val="%6."/>
      <w:lvlJc w:val="right"/>
      <w:pPr>
        <w:ind w:left="-1425" w:hanging="180"/>
      </w:pPr>
    </w:lvl>
    <w:lvl w:ilvl="6" w:tplc="FFFFFFFF" w:tentative="1">
      <w:start w:val="1"/>
      <w:numFmt w:val="decimal"/>
      <w:lvlText w:val="%7."/>
      <w:lvlJc w:val="left"/>
      <w:pPr>
        <w:ind w:left="-705" w:hanging="360"/>
      </w:pPr>
    </w:lvl>
    <w:lvl w:ilvl="7" w:tplc="FFFFFFFF" w:tentative="1">
      <w:start w:val="1"/>
      <w:numFmt w:val="lowerLetter"/>
      <w:lvlText w:val="%8."/>
      <w:lvlJc w:val="left"/>
      <w:pPr>
        <w:ind w:left="15" w:hanging="360"/>
      </w:pPr>
    </w:lvl>
    <w:lvl w:ilvl="8" w:tplc="FFFFFFFF" w:tentative="1">
      <w:start w:val="1"/>
      <w:numFmt w:val="lowerRoman"/>
      <w:lvlText w:val="%9."/>
      <w:lvlJc w:val="right"/>
      <w:pPr>
        <w:ind w:left="735" w:hanging="180"/>
      </w:pPr>
    </w:lvl>
  </w:abstractNum>
  <w:abstractNum w:abstractNumId="8" w15:restartNumberingAfterBreak="0">
    <w:nsid w:val="1CAA6505"/>
    <w:multiLevelType w:val="multilevel"/>
    <w:tmpl w:val="5F162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0F7BD3"/>
    <w:multiLevelType w:val="hybridMultilevel"/>
    <w:tmpl w:val="CA84C078"/>
    <w:lvl w:ilvl="0" w:tplc="9D80C87A">
      <w:start w:val="2"/>
      <w:numFmt w:val="decimal"/>
      <w:lvlText w:val="%1."/>
      <w:lvlJc w:val="left"/>
      <w:pPr>
        <w:ind w:left="720" w:hanging="360"/>
      </w:pPr>
      <w:rPr>
        <w:rFonts w:hint="default"/>
        <w:b/>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123729F"/>
    <w:multiLevelType w:val="hybridMultilevel"/>
    <w:tmpl w:val="1BD622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22A4B51"/>
    <w:multiLevelType w:val="hybridMultilevel"/>
    <w:tmpl w:val="447EFA2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2531048"/>
    <w:multiLevelType w:val="hybridMultilevel"/>
    <w:tmpl w:val="B9F225B8"/>
    <w:lvl w:ilvl="0" w:tplc="18090001">
      <w:start w:val="1"/>
      <w:numFmt w:val="bullet"/>
      <w:lvlText w:val=""/>
      <w:lvlJc w:val="left"/>
      <w:pPr>
        <w:ind w:left="790" w:hanging="360"/>
      </w:pPr>
      <w:rPr>
        <w:rFonts w:ascii="Symbol" w:hAnsi="Symbol" w:hint="default"/>
      </w:rPr>
    </w:lvl>
    <w:lvl w:ilvl="1" w:tplc="18090003" w:tentative="1">
      <w:start w:val="1"/>
      <w:numFmt w:val="bullet"/>
      <w:lvlText w:val="o"/>
      <w:lvlJc w:val="left"/>
      <w:pPr>
        <w:ind w:left="1510" w:hanging="360"/>
      </w:pPr>
      <w:rPr>
        <w:rFonts w:ascii="Courier New" w:hAnsi="Courier New" w:cs="Courier New" w:hint="default"/>
      </w:rPr>
    </w:lvl>
    <w:lvl w:ilvl="2" w:tplc="18090005" w:tentative="1">
      <w:start w:val="1"/>
      <w:numFmt w:val="bullet"/>
      <w:lvlText w:val=""/>
      <w:lvlJc w:val="left"/>
      <w:pPr>
        <w:ind w:left="2230" w:hanging="360"/>
      </w:pPr>
      <w:rPr>
        <w:rFonts w:ascii="Wingdings" w:hAnsi="Wingdings" w:hint="default"/>
      </w:rPr>
    </w:lvl>
    <w:lvl w:ilvl="3" w:tplc="18090001" w:tentative="1">
      <w:start w:val="1"/>
      <w:numFmt w:val="bullet"/>
      <w:lvlText w:val=""/>
      <w:lvlJc w:val="left"/>
      <w:pPr>
        <w:ind w:left="2950" w:hanging="360"/>
      </w:pPr>
      <w:rPr>
        <w:rFonts w:ascii="Symbol" w:hAnsi="Symbol" w:hint="default"/>
      </w:rPr>
    </w:lvl>
    <w:lvl w:ilvl="4" w:tplc="18090003" w:tentative="1">
      <w:start w:val="1"/>
      <w:numFmt w:val="bullet"/>
      <w:lvlText w:val="o"/>
      <w:lvlJc w:val="left"/>
      <w:pPr>
        <w:ind w:left="3670" w:hanging="360"/>
      </w:pPr>
      <w:rPr>
        <w:rFonts w:ascii="Courier New" w:hAnsi="Courier New" w:cs="Courier New" w:hint="default"/>
      </w:rPr>
    </w:lvl>
    <w:lvl w:ilvl="5" w:tplc="18090005" w:tentative="1">
      <w:start w:val="1"/>
      <w:numFmt w:val="bullet"/>
      <w:lvlText w:val=""/>
      <w:lvlJc w:val="left"/>
      <w:pPr>
        <w:ind w:left="4390" w:hanging="360"/>
      </w:pPr>
      <w:rPr>
        <w:rFonts w:ascii="Wingdings" w:hAnsi="Wingdings" w:hint="default"/>
      </w:rPr>
    </w:lvl>
    <w:lvl w:ilvl="6" w:tplc="18090001" w:tentative="1">
      <w:start w:val="1"/>
      <w:numFmt w:val="bullet"/>
      <w:lvlText w:val=""/>
      <w:lvlJc w:val="left"/>
      <w:pPr>
        <w:ind w:left="5110" w:hanging="360"/>
      </w:pPr>
      <w:rPr>
        <w:rFonts w:ascii="Symbol" w:hAnsi="Symbol" w:hint="default"/>
      </w:rPr>
    </w:lvl>
    <w:lvl w:ilvl="7" w:tplc="18090003" w:tentative="1">
      <w:start w:val="1"/>
      <w:numFmt w:val="bullet"/>
      <w:lvlText w:val="o"/>
      <w:lvlJc w:val="left"/>
      <w:pPr>
        <w:ind w:left="5830" w:hanging="360"/>
      </w:pPr>
      <w:rPr>
        <w:rFonts w:ascii="Courier New" w:hAnsi="Courier New" w:cs="Courier New" w:hint="default"/>
      </w:rPr>
    </w:lvl>
    <w:lvl w:ilvl="8" w:tplc="18090005" w:tentative="1">
      <w:start w:val="1"/>
      <w:numFmt w:val="bullet"/>
      <w:lvlText w:val=""/>
      <w:lvlJc w:val="left"/>
      <w:pPr>
        <w:ind w:left="6550" w:hanging="360"/>
      </w:pPr>
      <w:rPr>
        <w:rFonts w:ascii="Wingdings" w:hAnsi="Wingdings" w:hint="default"/>
      </w:rPr>
    </w:lvl>
  </w:abstractNum>
  <w:abstractNum w:abstractNumId="13" w15:restartNumberingAfterBreak="0">
    <w:nsid w:val="24BD0F9E"/>
    <w:multiLevelType w:val="hybridMultilevel"/>
    <w:tmpl w:val="4EEC1E4A"/>
    <w:lvl w:ilvl="0" w:tplc="18090017">
      <w:start w:val="1"/>
      <w:numFmt w:val="lowerLetter"/>
      <w:lvlText w:val="%1)"/>
      <w:lvlJc w:val="left"/>
      <w:pPr>
        <w:ind w:left="6173"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6B51F7D"/>
    <w:multiLevelType w:val="hybridMultilevel"/>
    <w:tmpl w:val="6F3CA9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8AA3A0D"/>
    <w:multiLevelType w:val="hybridMultilevel"/>
    <w:tmpl w:val="6E54067A"/>
    <w:lvl w:ilvl="0" w:tplc="833E585A">
      <w:start w:val="4"/>
      <w:numFmt w:val="decimal"/>
      <w:lvlText w:val="%1."/>
      <w:lvlJc w:val="left"/>
      <w:pPr>
        <w:ind w:left="720" w:hanging="360"/>
      </w:pPr>
      <w:rPr>
        <w:rFonts w:hint="default"/>
        <w:b/>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A9022A"/>
    <w:multiLevelType w:val="hybridMultilevel"/>
    <w:tmpl w:val="4E4061B0"/>
    <w:lvl w:ilvl="0" w:tplc="18090001">
      <w:start w:val="1"/>
      <w:numFmt w:val="bullet"/>
      <w:lvlText w:val=""/>
      <w:lvlJc w:val="left"/>
      <w:pPr>
        <w:ind w:left="788" w:hanging="360"/>
      </w:pPr>
      <w:rPr>
        <w:rFonts w:ascii="Symbol" w:hAnsi="Symbol" w:hint="default"/>
      </w:rPr>
    </w:lvl>
    <w:lvl w:ilvl="1" w:tplc="18090003" w:tentative="1">
      <w:start w:val="1"/>
      <w:numFmt w:val="bullet"/>
      <w:lvlText w:val="o"/>
      <w:lvlJc w:val="left"/>
      <w:pPr>
        <w:ind w:left="1508" w:hanging="360"/>
      </w:pPr>
      <w:rPr>
        <w:rFonts w:ascii="Courier New" w:hAnsi="Courier New" w:cs="Courier New" w:hint="default"/>
      </w:rPr>
    </w:lvl>
    <w:lvl w:ilvl="2" w:tplc="18090005" w:tentative="1">
      <w:start w:val="1"/>
      <w:numFmt w:val="bullet"/>
      <w:lvlText w:val=""/>
      <w:lvlJc w:val="left"/>
      <w:pPr>
        <w:ind w:left="2228" w:hanging="360"/>
      </w:pPr>
      <w:rPr>
        <w:rFonts w:ascii="Wingdings" w:hAnsi="Wingdings" w:hint="default"/>
      </w:rPr>
    </w:lvl>
    <w:lvl w:ilvl="3" w:tplc="18090001" w:tentative="1">
      <w:start w:val="1"/>
      <w:numFmt w:val="bullet"/>
      <w:lvlText w:val=""/>
      <w:lvlJc w:val="left"/>
      <w:pPr>
        <w:ind w:left="2948" w:hanging="360"/>
      </w:pPr>
      <w:rPr>
        <w:rFonts w:ascii="Symbol" w:hAnsi="Symbol" w:hint="default"/>
      </w:rPr>
    </w:lvl>
    <w:lvl w:ilvl="4" w:tplc="18090003" w:tentative="1">
      <w:start w:val="1"/>
      <w:numFmt w:val="bullet"/>
      <w:lvlText w:val="o"/>
      <w:lvlJc w:val="left"/>
      <w:pPr>
        <w:ind w:left="3668" w:hanging="360"/>
      </w:pPr>
      <w:rPr>
        <w:rFonts w:ascii="Courier New" w:hAnsi="Courier New" w:cs="Courier New" w:hint="default"/>
      </w:rPr>
    </w:lvl>
    <w:lvl w:ilvl="5" w:tplc="18090005" w:tentative="1">
      <w:start w:val="1"/>
      <w:numFmt w:val="bullet"/>
      <w:lvlText w:val=""/>
      <w:lvlJc w:val="left"/>
      <w:pPr>
        <w:ind w:left="4388" w:hanging="360"/>
      </w:pPr>
      <w:rPr>
        <w:rFonts w:ascii="Wingdings" w:hAnsi="Wingdings" w:hint="default"/>
      </w:rPr>
    </w:lvl>
    <w:lvl w:ilvl="6" w:tplc="18090001" w:tentative="1">
      <w:start w:val="1"/>
      <w:numFmt w:val="bullet"/>
      <w:lvlText w:val=""/>
      <w:lvlJc w:val="left"/>
      <w:pPr>
        <w:ind w:left="5108" w:hanging="360"/>
      </w:pPr>
      <w:rPr>
        <w:rFonts w:ascii="Symbol" w:hAnsi="Symbol" w:hint="default"/>
      </w:rPr>
    </w:lvl>
    <w:lvl w:ilvl="7" w:tplc="18090003" w:tentative="1">
      <w:start w:val="1"/>
      <w:numFmt w:val="bullet"/>
      <w:lvlText w:val="o"/>
      <w:lvlJc w:val="left"/>
      <w:pPr>
        <w:ind w:left="5828" w:hanging="360"/>
      </w:pPr>
      <w:rPr>
        <w:rFonts w:ascii="Courier New" w:hAnsi="Courier New" w:cs="Courier New" w:hint="default"/>
      </w:rPr>
    </w:lvl>
    <w:lvl w:ilvl="8" w:tplc="18090005" w:tentative="1">
      <w:start w:val="1"/>
      <w:numFmt w:val="bullet"/>
      <w:lvlText w:val=""/>
      <w:lvlJc w:val="left"/>
      <w:pPr>
        <w:ind w:left="6548" w:hanging="360"/>
      </w:pPr>
      <w:rPr>
        <w:rFonts w:ascii="Wingdings" w:hAnsi="Wingdings" w:hint="default"/>
      </w:rPr>
    </w:lvl>
  </w:abstractNum>
  <w:abstractNum w:abstractNumId="17" w15:restartNumberingAfterBreak="0">
    <w:nsid w:val="2D0E251B"/>
    <w:multiLevelType w:val="hybridMultilevel"/>
    <w:tmpl w:val="868C4E60"/>
    <w:lvl w:ilvl="0" w:tplc="18090017">
      <w:start w:val="1"/>
      <w:numFmt w:val="lowerLetter"/>
      <w:lvlText w:val="%1)"/>
      <w:lvlJc w:val="left"/>
      <w:pPr>
        <w:ind w:left="786" w:hanging="36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30130245"/>
    <w:multiLevelType w:val="hybridMultilevel"/>
    <w:tmpl w:val="EE0269D8"/>
    <w:lvl w:ilvl="0" w:tplc="18090017">
      <w:start w:val="1"/>
      <w:numFmt w:val="lowerLetter"/>
      <w:lvlText w:val="%1)"/>
      <w:lvlJc w:val="left"/>
      <w:pPr>
        <w:ind w:left="720" w:hanging="360"/>
      </w:pPr>
      <w:rPr>
        <w:rFonts w:hint="default"/>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057407D"/>
    <w:multiLevelType w:val="hybridMultilevel"/>
    <w:tmpl w:val="F88E16EC"/>
    <w:lvl w:ilvl="0" w:tplc="FA2CFD92">
      <w:start w:val="2"/>
      <w:numFmt w:val="decimal"/>
      <w:lvlText w:val="%1."/>
      <w:lvlJc w:val="left"/>
      <w:pPr>
        <w:ind w:left="720" w:hanging="360"/>
      </w:pPr>
      <w:rPr>
        <w:rFonts w:hint="default"/>
        <w:b/>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8B64D25"/>
    <w:multiLevelType w:val="hybridMultilevel"/>
    <w:tmpl w:val="4610685E"/>
    <w:lvl w:ilvl="0" w:tplc="FFFFFFFF">
      <w:start w:val="2"/>
      <w:numFmt w:val="decimal"/>
      <w:lvlText w:val="%1."/>
      <w:lvlJc w:val="left"/>
      <w:pPr>
        <w:ind w:left="720" w:hanging="360"/>
      </w:pPr>
      <w:rPr>
        <w:rFonts w:hint="default"/>
        <w:b/>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A55086E"/>
    <w:multiLevelType w:val="hybridMultilevel"/>
    <w:tmpl w:val="9CC007D8"/>
    <w:lvl w:ilvl="0" w:tplc="1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DCE4F50"/>
    <w:multiLevelType w:val="hybridMultilevel"/>
    <w:tmpl w:val="C5EC70EC"/>
    <w:lvl w:ilvl="0" w:tplc="C2D26BCE">
      <w:start w:val="1"/>
      <w:numFmt w:val="decimal"/>
      <w:lvlText w:val="%1."/>
      <w:lvlJc w:val="left"/>
      <w:pPr>
        <w:ind w:left="720" w:hanging="360"/>
      </w:pPr>
      <w:rPr>
        <w:rFonts w:hint="default"/>
        <w:b/>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1AA5D45"/>
    <w:multiLevelType w:val="hybridMultilevel"/>
    <w:tmpl w:val="A638558C"/>
    <w:lvl w:ilvl="0" w:tplc="1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41DF503E"/>
    <w:multiLevelType w:val="hybridMultilevel"/>
    <w:tmpl w:val="2F0E9018"/>
    <w:lvl w:ilvl="0" w:tplc="5882E9BA">
      <w:start w:val="5"/>
      <w:numFmt w:val="decimal"/>
      <w:lvlText w:val="%1."/>
      <w:lvlJc w:val="left"/>
      <w:pPr>
        <w:ind w:left="720" w:hanging="360"/>
      </w:pPr>
      <w:rPr>
        <w:rFonts w:hint="default"/>
        <w:b/>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2D823F5"/>
    <w:multiLevelType w:val="hybridMultilevel"/>
    <w:tmpl w:val="3A728C9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7" w15:restartNumberingAfterBreak="0">
    <w:nsid w:val="43705C4B"/>
    <w:multiLevelType w:val="hybridMultilevel"/>
    <w:tmpl w:val="6A3848B4"/>
    <w:lvl w:ilvl="0" w:tplc="18090001">
      <w:start w:val="1"/>
      <w:numFmt w:val="bullet"/>
      <w:lvlText w:val=""/>
      <w:lvlJc w:val="left"/>
      <w:pPr>
        <w:ind w:left="6173"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5800E28"/>
    <w:multiLevelType w:val="hybridMultilevel"/>
    <w:tmpl w:val="ED1868BA"/>
    <w:lvl w:ilvl="0" w:tplc="19C02F68">
      <w:start w:val="2"/>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46C06BD7"/>
    <w:multiLevelType w:val="hybridMultilevel"/>
    <w:tmpl w:val="9ED868A8"/>
    <w:lvl w:ilvl="0" w:tplc="FFFFFFFF">
      <w:start w:val="2"/>
      <w:numFmt w:val="decimal"/>
      <w:lvlText w:val="%1."/>
      <w:lvlJc w:val="left"/>
      <w:pPr>
        <w:ind w:left="720" w:hanging="360"/>
      </w:pPr>
      <w:rPr>
        <w:rFonts w:hint="default"/>
        <w:b/>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FA778B3"/>
    <w:multiLevelType w:val="hybridMultilevel"/>
    <w:tmpl w:val="92CC2400"/>
    <w:lvl w:ilvl="0" w:tplc="D792815A">
      <w:start w:val="8"/>
      <w:numFmt w:val="decimal"/>
      <w:lvlText w:val="%1."/>
      <w:lvlJc w:val="left"/>
      <w:pPr>
        <w:ind w:left="720" w:hanging="360"/>
      </w:pPr>
      <w:rPr>
        <w:rFonts w:hint="default"/>
        <w:b/>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FAD563E"/>
    <w:multiLevelType w:val="hybridMultilevel"/>
    <w:tmpl w:val="C70468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43778BA"/>
    <w:multiLevelType w:val="hybridMultilevel"/>
    <w:tmpl w:val="4610685E"/>
    <w:lvl w:ilvl="0" w:tplc="FFFFFFFF">
      <w:start w:val="2"/>
      <w:numFmt w:val="decimal"/>
      <w:lvlText w:val="%1."/>
      <w:lvlJc w:val="left"/>
      <w:pPr>
        <w:ind w:left="720" w:hanging="360"/>
      </w:pPr>
      <w:rPr>
        <w:rFonts w:hint="default"/>
        <w:b/>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6985AAF"/>
    <w:multiLevelType w:val="hybridMultilevel"/>
    <w:tmpl w:val="53DA37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B301CB3"/>
    <w:multiLevelType w:val="hybridMultilevel"/>
    <w:tmpl w:val="77E4DB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1BF3116"/>
    <w:multiLevelType w:val="multilevel"/>
    <w:tmpl w:val="B6289532"/>
    <w:lvl w:ilvl="0">
      <w:start w:val="3"/>
      <w:numFmt w:val="decimal"/>
      <w:lvlText w:val="%1"/>
      <w:lvlJc w:val="left"/>
      <w:pPr>
        <w:ind w:left="360" w:hanging="360"/>
      </w:pPr>
      <w:rPr>
        <w:rFonts w:hint="default"/>
      </w:rPr>
    </w:lvl>
    <w:lvl w:ilvl="1">
      <w:start w:val="64"/>
      <w:numFmt w:val="decimal"/>
      <w:lvlText w:val="%1.%2"/>
      <w:lvlJc w:val="left"/>
      <w:pPr>
        <w:ind w:left="467" w:hanging="360"/>
      </w:pPr>
      <w:rPr>
        <w:rFonts w:hint="default"/>
      </w:rPr>
    </w:lvl>
    <w:lvl w:ilvl="2">
      <w:start w:val="1"/>
      <w:numFmt w:val="decimal"/>
      <w:lvlText w:val="%1.%2.%3"/>
      <w:lvlJc w:val="left"/>
      <w:pPr>
        <w:ind w:left="934" w:hanging="720"/>
      </w:pPr>
      <w:rPr>
        <w:rFonts w:hint="default"/>
      </w:rPr>
    </w:lvl>
    <w:lvl w:ilvl="3">
      <w:start w:val="1"/>
      <w:numFmt w:val="decimal"/>
      <w:lvlText w:val="%1.%2.%3.%4"/>
      <w:lvlJc w:val="left"/>
      <w:pPr>
        <w:ind w:left="1041" w:hanging="720"/>
      </w:pPr>
      <w:rPr>
        <w:rFonts w:hint="default"/>
      </w:rPr>
    </w:lvl>
    <w:lvl w:ilvl="4">
      <w:start w:val="1"/>
      <w:numFmt w:val="decimal"/>
      <w:lvlText w:val="%1.%2.%3.%4.%5"/>
      <w:lvlJc w:val="left"/>
      <w:pPr>
        <w:ind w:left="1508" w:hanging="1080"/>
      </w:pPr>
      <w:rPr>
        <w:rFonts w:hint="default"/>
      </w:rPr>
    </w:lvl>
    <w:lvl w:ilvl="5">
      <w:start w:val="1"/>
      <w:numFmt w:val="decimal"/>
      <w:lvlText w:val="%1.%2.%3.%4.%5.%6"/>
      <w:lvlJc w:val="left"/>
      <w:pPr>
        <w:ind w:left="1615" w:hanging="1080"/>
      </w:pPr>
      <w:rPr>
        <w:rFonts w:hint="default"/>
      </w:rPr>
    </w:lvl>
    <w:lvl w:ilvl="6">
      <w:start w:val="1"/>
      <w:numFmt w:val="decimal"/>
      <w:lvlText w:val="%1.%2.%3.%4.%5.%6.%7"/>
      <w:lvlJc w:val="left"/>
      <w:pPr>
        <w:ind w:left="2082" w:hanging="1440"/>
      </w:pPr>
      <w:rPr>
        <w:rFonts w:hint="default"/>
      </w:rPr>
    </w:lvl>
    <w:lvl w:ilvl="7">
      <w:start w:val="1"/>
      <w:numFmt w:val="decimal"/>
      <w:lvlText w:val="%1.%2.%3.%4.%5.%6.%7.%8"/>
      <w:lvlJc w:val="left"/>
      <w:pPr>
        <w:ind w:left="2189" w:hanging="1440"/>
      </w:pPr>
      <w:rPr>
        <w:rFonts w:hint="default"/>
      </w:rPr>
    </w:lvl>
    <w:lvl w:ilvl="8">
      <w:start w:val="1"/>
      <w:numFmt w:val="decimal"/>
      <w:lvlText w:val="%1.%2.%3.%4.%5.%6.%7.%8.%9"/>
      <w:lvlJc w:val="left"/>
      <w:pPr>
        <w:ind w:left="2656" w:hanging="1800"/>
      </w:pPr>
      <w:rPr>
        <w:rFonts w:hint="default"/>
      </w:rPr>
    </w:lvl>
  </w:abstractNum>
  <w:abstractNum w:abstractNumId="36" w15:restartNumberingAfterBreak="0">
    <w:nsid w:val="669E16D0"/>
    <w:multiLevelType w:val="hybridMultilevel"/>
    <w:tmpl w:val="B84E11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85C68F1"/>
    <w:multiLevelType w:val="hybridMultilevel"/>
    <w:tmpl w:val="F23CAD84"/>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1F802C1"/>
    <w:multiLevelType w:val="hybridMultilevel"/>
    <w:tmpl w:val="9196CF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35133C7"/>
    <w:multiLevelType w:val="hybridMultilevel"/>
    <w:tmpl w:val="5386C7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42A49EA"/>
    <w:multiLevelType w:val="hybridMultilevel"/>
    <w:tmpl w:val="1B840570"/>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1" w15:restartNumberingAfterBreak="0">
    <w:nsid w:val="768A552A"/>
    <w:multiLevelType w:val="hybridMultilevel"/>
    <w:tmpl w:val="C66E0BFE"/>
    <w:lvl w:ilvl="0" w:tplc="18090001">
      <w:start w:val="1"/>
      <w:numFmt w:val="bullet"/>
      <w:lvlText w:val=""/>
      <w:lvlJc w:val="left"/>
      <w:pPr>
        <w:ind w:left="720" w:hanging="360"/>
      </w:pPr>
      <w:rPr>
        <w:rFonts w:ascii="Symbol" w:hAnsi="Symbol" w:hint="default"/>
      </w:rPr>
    </w:lvl>
    <w:lvl w:ilvl="1" w:tplc="1809000B">
      <w:start w:val="1"/>
      <w:numFmt w:val="bullet"/>
      <w:lvlText w:val=""/>
      <w:lvlJc w:val="left"/>
      <w:pPr>
        <w:ind w:left="1440" w:hanging="360"/>
      </w:pPr>
      <w:rPr>
        <w:rFonts w:ascii="Wingdings" w:hAnsi="Wingding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E955EC2"/>
    <w:multiLevelType w:val="multilevel"/>
    <w:tmpl w:val="005AE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B95111"/>
    <w:multiLevelType w:val="hybridMultilevel"/>
    <w:tmpl w:val="A366221A"/>
    <w:lvl w:ilvl="0" w:tplc="96966450">
      <w:start w:val="6"/>
      <w:numFmt w:val="decimal"/>
      <w:lvlText w:val="%1."/>
      <w:lvlJc w:val="left"/>
      <w:pPr>
        <w:ind w:left="720" w:hanging="360"/>
      </w:pPr>
      <w:rPr>
        <w:rFonts w:hint="default"/>
        <w:b/>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41"/>
  </w:num>
  <w:num w:numId="2">
    <w:abstractNumId w:val="28"/>
  </w:num>
  <w:num w:numId="3">
    <w:abstractNumId w:val="37"/>
  </w:num>
  <w:num w:numId="4">
    <w:abstractNumId w:val="34"/>
  </w:num>
  <w:num w:numId="5">
    <w:abstractNumId w:val="31"/>
  </w:num>
  <w:num w:numId="6">
    <w:abstractNumId w:val="39"/>
  </w:num>
  <w:num w:numId="7">
    <w:abstractNumId w:val="33"/>
  </w:num>
  <w:num w:numId="8">
    <w:abstractNumId w:val="14"/>
  </w:num>
  <w:num w:numId="9">
    <w:abstractNumId w:val="10"/>
  </w:num>
  <w:num w:numId="10">
    <w:abstractNumId w:val="4"/>
  </w:num>
  <w:num w:numId="11">
    <w:abstractNumId w:val="13"/>
  </w:num>
  <w:num w:numId="12">
    <w:abstractNumId w:val="17"/>
  </w:num>
  <w:num w:numId="13">
    <w:abstractNumId w:val="22"/>
  </w:num>
  <w:num w:numId="14">
    <w:abstractNumId w:val="19"/>
  </w:num>
  <w:num w:numId="15">
    <w:abstractNumId w:val="7"/>
  </w:num>
  <w:num w:numId="16">
    <w:abstractNumId w:val="3"/>
  </w:num>
  <w:num w:numId="17">
    <w:abstractNumId w:val="6"/>
  </w:num>
  <w:num w:numId="18">
    <w:abstractNumId w:val="27"/>
  </w:num>
  <w:num w:numId="19">
    <w:abstractNumId w:val="2"/>
  </w:num>
  <w:num w:numId="20">
    <w:abstractNumId w:val="26"/>
  </w:num>
  <w:num w:numId="2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0"/>
  </w:num>
  <w:num w:numId="23">
    <w:abstractNumId w:val="12"/>
  </w:num>
  <w:num w:numId="24">
    <w:abstractNumId w:val="16"/>
  </w:num>
  <w:num w:numId="25">
    <w:abstractNumId w:val="36"/>
  </w:num>
  <w:num w:numId="26">
    <w:abstractNumId w:val="42"/>
  </w:num>
  <w:num w:numId="27">
    <w:abstractNumId w:val="8"/>
  </w:num>
  <w:num w:numId="28">
    <w:abstractNumId w:val="24"/>
  </w:num>
  <w:num w:numId="29">
    <w:abstractNumId w:val="9"/>
  </w:num>
  <w:num w:numId="30">
    <w:abstractNumId w:val="18"/>
  </w:num>
  <w:num w:numId="31">
    <w:abstractNumId w:val="11"/>
  </w:num>
  <w:num w:numId="32">
    <w:abstractNumId w:val="29"/>
  </w:num>
  <w:num w:numId="33">
    <w:abstractNumId w:val="21"/>
  </w:num>
  <w:num w:numId="34">
    <w:abstractNumId w:val="1"/>
  </w:num>
  <w:num w:numId="35">
    <w:abstractNumId w:val="20"/>
  </w:num>
  <w:num w:numId="36">
    <w:abstractNumId w:val="23"/>
  </w:num>
  <w:num w:numId="37">
    <w:abstractNumId w:val="15"/>
  </w:num>
  <w:num w:numId="38">
    <w:abstractNumId w:val="32"/>
  </w:num>
  <w:num w:numId="39">
    <w:abstractNumId w:val="25"/>
  </w:num>
  <w:num w:numId="40">
    <w:abstractNumId w:val="43"/>
  </w:num>
  <w:num w:numId="41">
    <w:abstractNumId w:val="0"/>
  </w:num>
  <w:num w:numId="42">
    <w:abstractNumId w:val="30"/>
  </w:num>
  <w:num w:numId="43">
    <w:abstractNumId w:val="5"/>
  </w:num>
  <w:num w:numId="44">
    <w:abstractNumId w:val="38"/>
  </w:num>
  <w:num w:numId="4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F598D33F-B22B-4BDB-9BBD-A254E7B3B67D"/>
    <w:docVar w:name="LW_COVERPAGE_TYPE" w:val="1"/>
    <w:docVar w:name="LW_CROSSREFERENCE" w:val="{SWD(2024) 77 final} - {SWD(2024) 78 final}"/>
    <w:docVar w:name="LW_DocType" w:val="NORMAL"/>
    <w:docVar w:name="LW_EMISSION" w:val="14.2.2024"/>
    <w:docVar w:name="LW_EMISSION_ISODATE" w:val="2024-02-14"/>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4) 7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Garamond&gt;Rapport annuel 2024 sur le marché unique et la compétitivité &lt;/FMT&gt;"/>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C23CB1"/>
    <w:rsid w:val="00003141"/>
    <w:rsid w:val="00007772"/>
    <w:rsid w:val="0000785A"/>
    <w:rsid w:val="00015402"/>
    <w:rsid w:val="000177DF"/>
    <w:rsid w:val="00020CF0"/>
    <w:rsid w:val="00021FA2"/>
    <w:rsid w:val="0002401B"/>
    <w:rsid w:val="000248DA"/>
    <w:rsid w:val="000251D2"/>
    <w:rsid w:val="0002591B"/>
    <w:rsid w:val="000260C1"/>
    <w:rsid w:val="00030403"/>
    <w:rsid w:val="00034243"/>
    <w:rsid w:val="00034C9F"/>
    <w:rsid w:val="000360A1"/>
    <w:rsid w:val="000423A1"/>
    <w:rsid w:val="00042663"/>
    <w:rsid w:val="00042EDC"/>
    <w:rsid w:val="00054CDD"/>
    <w:rsid w:val="00055E00"/>
    <w:rsid w:val="000565EF"/>
    <w:rsid w:val="00057E37"/>
    <w:rsid w:val="00061105"/>
    <w:rsid w:val="00062FEA"/>
    <w:rsid w:val="000778CE"/>
    <w:rsid w:val="00080C45"/>
    <w:rsid w:val="000834F5"/>
    <w:rsid w:val="00083570"/>
    <w:rsid w:val="00083924"/>
    <w:rsid w:val="000847DC"/>
    <w:rsid w:val="000853DE"/>
    <w:rsid w:val="00085472"/>
    <w:rsid w:val="00086390"/>
    <w:rsid w:val="000907BA"/>
    <w:rsid w:val="000922DB"/>
    <w:rsid w:val="00092B49"/>
    <w:rsid w:val="00093B8D"/>
    <w:rsid w:val="000A0720"/>
    <w:rsid w:val="000A1652"/>
    <w:rsid w:val="000A1C2B"/>
    <w:rsid w:val="000A58EA"/>
    <w:rsid w:val="000A679B"/>
    <w:rsid w:val="000A727C"/>
    <w:rsid w:val="000B052C"/>
    <w:rsid w:val="000B175A"/>
    <w:rsid w:val="000B1BA0"/>
    <w:rsid w:val="000B31B8"/>
    <w:rsid w:val="000B3658"/>
    <w:rsid w:val="000B389F"/>
    <w:rsid w:val="000B7516"/>
    <w:rsid w:val="000C0BD6"/>
    <w:rsid w:val="000C2ECB"/>
    <w:rsid w:val="000C2EE9"/>
    <w:rsid w:val="000C5E33"/>
    <w:rsid w:val="000C5EFF"/>
    <w:rsid w:val="000D202B"/>
    <w:rsid w:val="000D3197"/>
    <w:rsid w:val="000D383F"/>
    <w:rsid w:val="000D3A60"/>
    <w:rsid w:val="000D55E4"/>
    <w:rsid w:val="000D57B0"/>
    <w:rsid w:val="000E55E0"/>
    <w:rsid w:val="000E6EA2"/>
    <w:rsid w:val="000E7C45"/>
    <w:rsid w:val="000F041B"/>
    <w:rsid w:val="000F3E31"/>
    <w:rsid w:val="000F55AB"/>
    <w:rsid w:val="000F57A3"/>
    <w:rsid w:val="00100318"/>
    <w:rsid w:val="001042FB"/>
    <w:rsid w:val="001061F0"/>
    <w:rsid w:val="001100AA"/>
    <w:rsid w:val="00113600"/>
    <w:rsid w:val="0011460B"/>
    <w:rsid w:val="00115D01"/>
    <w:rsid w:val="0011633D"/>
    <w:rsid w:val="00121412"/>
    <w:rsid w:val="00124BF7"/>
    <w:rsid w:val="0013389E"/>
    <w:rsid w:val="0013536C"/>
    <w:rsid w:val="00141BEC"/>
    <w:rsid w:val="00142070"/>
    <w:rsid w:val="00142510"/>
    <w:rsid w:val="001447D2"/>
    <w:rsid w:val="00146C30"/>
    <w:rsid w:val="00146DBB"/>
    <w:rsid w:val="00147478"/>
    <w:rsid w:val="00147768"/>
    <w:rsid w:val="001558E8"/>
    <w:rsid w:val="00157108"/>
    <w:rsid w:val="00161045"/>
    <w:rsid w:val="00161F51"/>
    <w:rsid w:val="00163099"/>
    <w:rsid w:val="00170350"/>
    <w:rsid w:val="00170A3F"/>
    <w:rsid w:val="00176323"/>
    <w:rsid w:val="00181D8D"/>
    <w:rsid w:val="00182423"/>
    <w:rsid w:val="0018481F"/>
    <w:rsid w:val="001919AD"/>
    <w:rsid w:val="00191AC8"/>
    <w:rsid w:val="0019235C"/>
    <w:rsid w:val="00192CFD"/>
    <w:rsid w:val="001947F4"/>
    <w:rsid w:val="00194CD9"/>
    <w:rsid w:val="00194F37"/>
    <w:rsid w:val="0019568D"/>
    <w:rsid w:val="00196D06"/>
    <w:rsid w:val="00197F1C"/>
    <w:rsid w:val="001A51C3"/>
    <w:rsid w:val="001A5B01"/>
    <w:rsid w:val="001B1078"/>
    <w:rsid w:val="001B1DF0"/>
    <w:rsid w:val="001B542D"/>
    <w:rsid w:val="001B57A4"/>
    <w:rsid w:val="001B6E7A"/>
    <w:rsid w:val="001C015B"/>
    <w:rsid w:val="001C02DD"/>
    <w:rsid w:val="001C2EF7"/>
    <w:rsid w:val="001C3655"/>
    <w:rsid w:val="001C63B1"/>
    <w:rsid w:val="001C64E4"/>
    <w:rsid w:val="001D07E1"/>
    <w:rsid w:val="001D78CF"/>
    <w:rsid w:val="001E3863"/>
    <w:rsid w:val="001E5CF1"/>
    <w:rsid w:val="001E607E"/>
    <w:rsid w:val="001E77A4"/>
    <w:rsid w:val="001F1300"/>
    <w:rsid w:val="001F3331"/>
    <w:rsid w:val="001F35F8"/>
    <w:rsid w:val="001F3DC0"/>
    <w:rsid w:val="001F4224"/>
    <w:rsid w:val="001F779E"/>
    <w:rsid w:val="00204671"/>
    <w:rsid w:val="00207C15"/>
    <w:rsid w:val="002109A5"/>
    <w:rsid w:val="002120F9"/>
    <w:rsid w:val="002131A4"/>
    <w:rsid w:val="00214555"/>
    <w:rsid w:val="0021477A"/>
    <w:rsid w:val="00215B04"/>
    <w:rsid w:val="00215E97"/>
    <w:rsid w:val="00220732"/>
    <w:rsid w:val="00224668"/>
    <w:rsid w:val="00230006"/>
    <w:rsid w:val="00230BBE"/>
    <w:rsid w:val="00232457"/>
    <w:rsid w:val="00233AAD"/>
    <w:rsid w:val="00237BC3"/>
    <w:rsid w:val="00237F99"/>
    <w:rsid w:val="00243566"/>
    <w:rsid w:val="002447E0"/>
    <w:rsid w:val="00244AC2"/>
    <w:rsid w:val="00244BC2"/>
    <w:rsid w:val="00245988"/>
    <w:rsid w:val="00253736"/>
    <w:rsid w:val="00255ACE"/>
    <w:rsid w:val="0026137A"/>
    <w:rsid w:val="00272094"/>
    <w:rsid w:val="00275E62"/>
    <w:rsid w:val="00277D9F"/>
    <w:rsid w:val="002806E6"/>
    <w:rsid w:val="0028203F"/>
    <w:rsid w:val="00282CFD"/>
    <w:rsid w:val="002844CF"/>
    <w:rsid w:val="0028450A"/>
    <w:rsid w:val="00285DB9"/>
    <w:rsid w:val="00286E92"/>
    <w:rsid w:val="002963AC"/>
    <w:rsid w:val="002A0B51"/>
    <w:rsid w:val="002A1DEC"/>
    <w:rsid w:val="002B157F"/>
    <w:rsid w:val="002B45A1"/>
    <w:rsid w:val="002B4767"/>
    <w:rsid w:val="002B5156"/>
    <w:rsid w:val="002B5612"/>
    <w:rsid w:val="002B563A"/>
    <w:rsid w:val="002B5DBE"/>
    <w:rsid w:val="002B64D1"/>
    <w:rsid w:val="002C30C0"/>
    <w:rsid w:val="002C51B4"/>
    <w:rsid w:val="002C6219"/>
    <w:rsid w:val="002C67E5"/>
    <w:rsid w:val="002C7121"/>
    <w:rsid w:val="002C7745"/>
    <w:rsid w:val="002D2AB8"/>
    <w:rsid w:val="002D33AF"/>
    <w:rsid w:val="002D367D"/>
    <w:rsid w:val="002D75AB"/>
    <w:rsid w:val="002E231F"/>
    <w:rsid w:val="002E27CB"/>
    <w:rsid w:val="002E28D8"/>
    <w:rsid w:val="002E5F76"/>
    <w:rsid w:val="002F4852"/>
    <w:rsid w:val="002F4D5C"/>
    <w:rsid w:val="00303500"/>
    <w:rsid w:val="003038E5"/>
    <w:rsid w:val="003063C4"/>
    <w:rsid w:val="003122AD"/>
    <w:rsid w:val="003140A9"/>
    <w:rsid w:val="00316173"/>
    <w:rsid w:val="003265A7"/>
    <w:rsid w:val="00332949"/>
    <w:rsid w:val="00333C57"/>
    <w:rsid w:val="00334E26"/>
    <w:rsid w:val="00335357"/>
    <w:rsid w:val="0033731B"/>
    <w:rsid w:val="0034130B"/>
    <w:rsid w:val="003432BE"/>
    <w:rsid w:val="0034477D"/>
    <w:rsid w:val="003455F5"/>
    <w:rsid w:val="00351E80"/>
    <w:rsid w:val="003521D2"/>
    <w:rsid w:val="00352755"/>
    <w:rsid w:val="00352C4C"/>
    <w:rsid w:val="0035479F"/>
    <w:rsid w:val="003559AD"/>
    <w:rsid w:val="003561DA"/>
    <w:rsid w:val="00357257"/>
    <w:rsid w:val="003609B5"/>
    <w:rsid w:val="003619F4"/>
    <w:rsid w:val="00362215"/>
    <w:rsid w:val="003631FA"/>
    <w:rsid w:val="0036408C"/>
    <w:rsid w:val="003738E4"/>
    <w:rsid w:val="00373A9E"/>
    <w:rsid w:val="00374138"/>
    <w:rsid w:val="00374B8D"/>
    <w:rsid w:val="003750E2"/>
    <w:rsid w:val="00375A19"/>
    <w:rsid w:val="00377919"/>
    <w:rsid w:val="00380C7D"/>
    <w:rsid w:val="0038102E"/>
    <w:rsid w:val="00382021"/>
    <w:rsid w:val="00383BDC"/>
    <w:rsid w:val="003901D4"/>
    <w:rsid w:val="00394221"/>
    <w:rsid w:val="00395F1A"/>
    <w:rsid w:val="00396023"/>
    <w:rsid w:val="003A016C"/>
    <w:rsid w:val="003A1D1A"/>
    <w:rsid w:val="003A4189"/>
    <w:rsid w:val="003A643D"/>
    <w:rsid w:val="003B0FE0"/>
    <w:rsid w:val="003B438C"/>
    <w:rsid w:val="003B6B70"/>
    <w:rsid w:val="003B6FA9"/>
    <w:rsid w:val="003C5B9E"/>
    <w:rsid w:val="003C642A"/>
    <w:rsid w:val="003D5518"/>
    <w:rsid w:val="003D5F3F"/>
    <w:rsid w:val="003E0E5B"/>
    <w:rsid w:val="003E0FE4"/>
    <w:rsid w:val="003E5364"/>
    <w:rsid w:val="003E7714"/>
    <w:rsid w:val="003F24D7"/>
    <w:rsid w:val="003F79AD"/>
    <w:rsid w:val="003F7D4A"/>
    <w:rsid w:val="003F7F6B"/>
    <w:rsid w:val="00410BDB"/>
    <w:rsid w:val="00410EF9"/>
    <w:rsid w:val="0041495F"/>
    <w:rsid w:val="00421858"/>
    <w:rsid w:val="00425CAE"/>
    <w:rsid w:val="004264EC"/>
    <w:rsid w:val="004272D9"/>
    <w:rsid w:val="004277FC"/>
    <w:rsid w:val="00431EA2"/>
    <w:rsid w:val="00432884"/>
    <w:rsid w:val="00433740"/>
    <w:rsid w:val="00434C50"/>
    <w:rsid w:val="00434CFD"/>
    <w:rsid w:val="00436F71"/>
    <w:rsid w:val="00437E57"/>
    <w:rsid w:val="00440A07"/>
    <w:rsid w:val="00441B7B"/>
    <w:rsid w:val="004455FF"/>
    <w:rsid w:val="0044572E"/>
    <w:rsid w:val="00454340"/>
    <w:rsid w:val="004557D9"/>
    <w:rsid w:val="00457669"/>
    <w:rsid w:val="004619C6"/>
    <w:rsid w:val="0046235E"/>
    <w:rsid w:val="00462FC4"/>
    <w:rsid w:val="0047189D"/>
    <w:rsid w:val="00472F46"/>
    <w:rsid w:val="0047640B"/>
    <w:rsid w:val="00476A6C"/>
    <w:rsid w:val="00477D23"/>
    <w:rsid w:val="004809C2"/>
    <w:rsid w:val="004847C3"/>
    <w:rsid w:val="0048520E"/>
    <w:rsid w:val="004859C6"/>
    <w:rsid w:val="00486866"/>
    <w:rsid w:val="004926D0"/>
    <w:rsid w:val="0049273C"/>
    <w:rsid w:val="00493A09"/>
    <w:rsid w:val="004947DE"/>
    <w:rsid w:val="00494D6F"/>
    <w:rsid w:val="0049525A"/>
    <w:rsid w:val="00496E7B"/>
    <w:rsid w:val="004A2259"/>
    <w:rsid w:val="004A4C61"/>
    <w:rsid w:val="004A4D58"/>
    <w:rsid w:val="004B00DE"/>
    <w:rsid w:val="004B202B"/>
    <w:rsid w:val="004B75E7"/>
    <w:rsid w:val="004C134B"/>
    <w:rsid w:val="004C23C6"/>
    <w:rsid w:val="004C269D"/>
    <w:rsid w:val="004C3C19"/>
    <w:rsid w:val="004C53C3"/>
    <w:rsid w:val="004D244C"/>
    <w:rsid w:val="004D2AEF"/>
    <w:rsid w:val="004D5A1A"/>
    <w:rsid w:val="004D5A7C"/>
    <w:rsid w:val="004E1126"/>
    <w:rsid w:val="004E4800"/>
    <w:rsid w:val="004E7A6F"/>
    <w:rsid w:val="004F26AD"/>
    <w:rsid w:val="004F2C60"/>
    <w:rsid w:val="004F3B89"/>
    <w:rsid w:val="004F5949"/>
    <w:rsid w:val="004F637E"/>
    <w:rsid w:val="00500265"/>
    <w:rsid w:val="00503385"/>
    <w:rsid w:val="0050394C"/>
    <w:rsid w:val="005132D2"/>
    <w:rsid w:val="00513753"/>
    <w:rsid w:val="00515183"/>
    <w:rsid w:val="005160CD"/>
    <w:rsid w:val="00517A7C"/>
    <w:rsid w:val="00524757"/>
    <w:rsid w:val="00524F17"/>
    <w:rsid w:val="00527B56"/>
    <w:rsid w:val="00530A63"/>
    <w:rsid w:val="00537CE9"/>
    <w:rsid w:val="00544B06"/>
    <w:rsid w:val="005458F4"/>
    <w:rsid w:val="00551AF6"/>
    <w:rsid w:val="005541D8"/>
    <w:rsid w:val="00554F83"/>
    <w:rsid w:val="005556C1"/>
    <w:rsid w:val="005561BD"/>
    <w:rsid w:val="00561758"/>
    <w:rsid w:val="00565542"/>
    <w:rsid w:val="005713FF"/>
    <w:rsid w:val="00571DD4"/>
    <w:rsid w:val="00572979"/>
    <w:rsid w:val="00573199"/>
    <w:rsid w:val="00573C75"/>
    <w:rsid w:val="0057566C"/>
    <w:rsid w:val="00575DEB"/>
    <w:rsid w:val="00576108"/>
    <w:rsid w:val="00576A8B"/>
    <w:rsid w:val="00577B82"/>
    <w:rsid w:val="00580598"/>
    <w:rsid w:val="00585270"/>
    <w:rsid w:val="005860AB"/>
    <w:rsid w:val="00587BDB"/>
    <w:rsid w:val="00590387"/>
    <w:rsid w:val="00594605"/>
    <w:rsid w:val="00597913"/>
    <w:rsid w:val="005A0376"/>
    <w:rsid w:val="005A08AF"/>
    <w:rsid w:val="005A099B"/>
    <w:rsid w:val="005A3BDA"/>
    <w:rsid w:val="005A51DD"/>
    <w:rsid w:val="005B3AD5"/>
    <w:rsid w:val="005B6F82"/>
    <w:rsid w:val="005B7C59"/>
    <w:rsid w:val="005C03C7"/>
    <w:rsid w:val="005C0F20"/>
    <w:rsid w:val="005C20CA"/>
    <w:rsid w:val="005C2388"/>
    <w:rsid w:val="005C2AC0"/>
    <w:rsid w:val="005C2B99"/>
    <w:rsid w:val="005C3892"/>
    <w:rsid w:val="005C66BF"/>
    <w:rsid w:val="005C71A1"/>
    <w:rsid w:val="005C73AE"/>
    <w:rsid w:val="005D2542"/>
    <w:rsid w:val="005D2BC4"/>
    <w:rsid w:val="005D37C3"/>
    <w:rsid w:val="005D3897"/>
    <w:rsid w:val="005D5E15"/>
    <w:rsid w:val="005E3EA8"/>
    <w:rsid w:val="005E5F5E"/>
    <w:rsid w:val="005F0A7A"/>
    <w:rsid w:val="005F38C7"/>
    <w:rsid w:val="005F46DE"/>
    <w:rsid w:val="0060068F"/>
    <w:rsid w:val="00603425"/>
    <w:rsid w:val="00611383"/>
    <w:rsid w:val="00613775"/>
    <w:rsid w:val="00613A4F"/>
    <w:rsid w:val="00620F7C"/>
    <w:rsid w:val="00621345"/>
    <w:rsid w:val="00622C36"/>
    <w:rsid w:val="00624F6A"/>
    <w:rsid w:val="006259B8"/>
    <w:rsid w:val="00626C42"/>
    <w:rsid w:val="00630651"/>
    <w:rsid w:val="00632A5C"/>
    <w:rsid w:val="00632C70"/>
    <w:rsid w:val="00632D2D"/>
    <w:rsid w:val="006364BC"/>
    <w:rsid w:val="00637E07"/>
    <w:rsid w:val="006415A9"/>
    <w:rsid w:val="006437CD"/>
    <w:rsid w:val="00644E52"/>
    <w:rsid w:val="00646421"/>
    <w:rsid w:val="00650B55"/>
    <w:rsid w:val="006512EC"/>
    <w:rsid w:val="00651FA1"/>
    <w:rsid w:val="00653764"/>
    <w:rsid w:val="006550AD"/>
    <w:rsid w:val="00655A69"/>
    <w:rsid w:val="006576DB"/>
    <w:rsid w:val="0065796C"/>
    <w:rsid w:val="00664AA5"/>
    <w:rsid w:val="006667EF"/>
    <w:rsid w:val="0066735F"/>
    <w:rsid w:val="006723A4"/>
    <w:rsid w:val="00672F3F"/>
    <w:rsid w:val="006733A2"/>
    <w:rsid w:val="006750CA"/>
    <w:rsid w:val="00675BF2"/>
    <w:rsid w:val="00676389"/>
    <w:rsid w:val="0068271C"/>
    <w:rsid w:val="00684AA9"/>
    <w:rsid w:val="00684C4B"/>
    <w:rsid w:val="0068720B"/>
    <w:rsid w:val="0069056A"/>
    <w:rsid w:val="00690E36"/>
    <w:rsid w:val="0069376B"/>
    <w:rsid w:val="00693B83"/>
    <w:rsid w:val="00694831"/>
    <w:rsid w:val="00695F4E"/>
    <w:rsid w:val="00697387"/>
    <w:rsid w:val="00697C6A"/>
    <w:rsid w:val="006A002C"/>
    <w:rsid w:val="006A09A7"/>
    <w:rsid w:val="006A0A15"/>
    <w:rsid w:val="006A1820"/>
    <w:rsid w:val="006A33D2"/>
    <w:rsid w:val="006A4EBB"/>
    <w:rsid w:val="006A70A1"/>
    <w:rsid w:val="006B0D2F"/>
    <w:rsid w:val="006B1262"/>
    <w:rsid w:val="006B49F6"/>
    <w:rsid w:val="006B6B66"/>
    <w:rsid w:val="006B7B7B"/>
    <w:rsid w:val="006C05F4"/>
    <w:rsid w:val="006C0903"/>
    <w:rsid w:val="006C6987"/>
    <w:rsid w:val="006D2340"/>
    <w:rsid w:val="006D3851"/>
    <w:rsid w:val="006E40C7"/>
    <w:rsid w:val="006E49A8"/>
    <w:rsid w:val="006E5C43"/>
    <w:rsid w:val="006E6539"/>
    <w:rsid w:val="006E6CF3"/>
    <w:rsid w:val="006E7918"/>
    <w:rsid w:val="006F1958"/>
    <w:rsid w:val="006F6AA7"/>
    <w:rsid w:val="00710DC5"/>
    <w:rsid w:val="00713281"/>
    <w:rsid w:val="00720705"/>
    <w:rsid w:val="007223C1"/>
    <w:rsid w:val="00723718"/>
    <w:rsid w:val="00724FCA"/>
    <w:rsid w:val="0072656A"/>
    <w:rsid w:val="00730AD8"/>
    <w:rsid w:val="00731B78"/>
    <w:rsid w:val="007341CC"/>
    <w:rsid w:val="00740B4B"/>
    <w:rsid w:val="0074122B"/>
    <w:rsid w:val="007428DF"/>
    <w:rsid w:val="00745EFD"/>
    <w:rsid w:val="0074619C"/>
    <w:rsid w:val="00746FDB"/>
    <w:rsid w:val="00750B62"/>
    <w:rsid w:val="00755F48"/>
    <w:rsid w:val="00760D0F"/>
    <w:rsid w:val="0076543F"/>
    <w:rsid w:val="007655A8"/>
    <w:rsid w:val="007661A0"/>
    <w:rsid w:val="00767C2C"/>
    <w:rsid w:val="00770469"/>
    <w:rsid w:val="00770DB0"/>
    <w:rsid w:val="007738BD"/>
    <w:rsid w:val="00774726"/>
    <w:rsid w:val="00776791"/>
    <w:rsid w:val="007828C5"/>
    <w:rsid w:val="00782A6E"/>
    <w:rsid w:val="007833EA"/>
    <w:rsid w:val="00793773"/>
    <w:rsid w:val="007949FD"/>
    <w:rsid w:val="007A59E9"/>
    <w:rsid w:val="007B1339"/>
    <w:rsid w:val="007B2B56"/>
    <w:rsid w:val="007B360B"/>
    <w:rsid w:val="007B39B7"/>
    <w:rsid w:val="007B4555"/>
    <w:rsid w:val="007B7C32"/>
    <w:rsid w:val="007C6A3E"/>
    <w:rsid w:val="007C7570"/>
    <w:rsid w:val="007D0F3F"/>
    <w:rsid w:val="007D420C"/>
    <w:rsid w:val="007D4F9E"/>
    <w:rsid w:val="007D532D"/>
    <w:rsid w:val="007D6C23"/>
    <w:rsid w:val="007D75E4"/>
    <w:rsid w:val="007E1DAE"/>
    <w:rsid w:val="007E3231"/>
    <w:rsid w:val="007E5C05"/>
    <w:rsid w:val="007E6DF8"/>
    <w:rsid w:val="007E7792"/>
    <w:rsid w:val="007E79FA"/>
    <w:rsid w:val="007F16B2"/>
    <w:rsid w:val="007F370C"/>
    <w:rsid w:val="007F5EB6"/>
    <w:rsid w:val="007F7CDE"/>
    <w:rsid w:val="00800615"/>
    <w:rsid w:val="008027C1"/>
    <w:rsid w:val="0081057D"/>
    <w:rsid w:val="00811284"/>
    <w:rsid w:val="00814CF6"/>
    <w:rsid w:val="0081626F"/>
    <w:rsid w:val="008172E3"/>
    <w:rsid w:val="008237D8"/>
    <w:rsid w:val="00823976"/>
    <w:rsid w:val="008242D7"/>
    <w:rsid w:val="008244EB"/>
    <w:rsid w:val="0082799B"/>
    <w:rsid w:val="00830E40"/>
    <w:rsid w:val="00830FF4"/>
    <w:rsid w:val="008352F1"/>
    <w:rsid w:val="0083647A"/>
    <w:rsid w:val="00836D49"/>
    <w:rsid w:val="00840467"/>
    <w:rsid w:val="00840C24"/>
    <w:rsid w:val="00841D28"/>
    <w:rsid w:val="00842636"/>
    <w:rsid w:val="008429EB"/>
    <w:rsid w:val="008448A0"/>
    <w:rsid w:val="00846636"/>
    <w:rsid w:val="008472E9"/>
    <w:rsid w:val="00847F91"/>
    <w:rsid w:val="00850AC6"/>
    <w:rsid w:val="00851521"/>
    <w:rsid w:val="00851D96"/>
    <w:rsid w:val="00852482"/>
    <w:rsid w:val="00853725"/>
    <w:rsid w:val="00857B43"/>
    <w:rsid w:val="00860B7F"/>
    <w:rsid w:val="00861330"/>
    <w:rsid w:val="00861910"/>
    <w:rsid w:val="00863B67"/>
    <w:rsid w:val="00871985"/>
    <w:rsid w:val="0087273C"/>
    <w:rsid w:val="00875337"/>
    <w:rsid w:val="00881787"/>
    <w:rsid w:val="00881924"/>
    <w:rsid w:val="008A1ADD"/>
    <w:rsid w:val="008A243B"/>
    <w:rsid w:val="008A2A33"/>
    <w:rsid w:val="008A4275"/>
    <w:rsid w:val="008A4AA4"/>
    <w:rsid w:val="008A4F8E"/>
    <w:rsid w:val="008A5220"/>
    <w:rsid w:val="008A597D"/>
    <w:rsid w:val="008A5FEB"/>
    <w:rsid w:val="008A6455"/>
    <w:rsid w:val="008B3021"/>
    <w:rsid w:val="008B5606"/>
    <w:rsid w:val="008B6252"/>
    <w:rsid w:val="008C0394"/>
    <w:rsid w:val="008C482F"/>
    <w:rsid w:val="008D0163"/>
    <w:rsid w:val="008D0D84"/>
    <w:rsid w:val="008D3517"/>
    <w:rsid w:val="008D706D"/>
    <w:rsid w:val="008E233D"/>
    <w:rsid w:val="008E5953"/>
    <w:rsid w:val="008E7E24"/>
    <w:rsid w:val="008F1E39"/>
    <w:rsid w:val="0090036D"/>
    <w:rsid w:val="00902395"/>
    <w:rsid w:val="00902CA8"/>
    <w:rsid w:val="00902E89"/>
    <w:rsid w:val="00903EA6"/>
    <w:rsid w:val="00904E85"/>
    <w:rsid w:val="00905410"/>
    <w:rsid w:val="00905EC1"/>
    <w:rsid w:val="0090720C"/>
    <w:rsid w:val="009116B4"/>
    <w:rsid w:val="009127BC"/>
    <w:rsid w:val="00912D57"/>
    <w:rsid w:val="00913502"/>
    <w:rsid w:val="009138E3"/>
    <w:rsid w:val="00914994"/>
    <w:rsid w:val="0091593D"/>
    <w:rsid w:val="0092045B"/>
    <w:rsid w:val="00920CB9"/>
    <w:rsid w:val="009244CF"/>
    <w:rsid w:val="009250CB"/>
    <w:rsid w:val="00926B9E"/>
    <w:rsid w:val="009312C8"/>
    <w:rsid w:val="009312EA"/>
    <w:rsid w:val="00932266"/>
    <w:rsid w:val="009331EF"/>
    <w:rsid w:val="00933557"/>
    <w:rsid w:val="0093562E"/>
    <w:rsid w:val="00937513"/>
    <w:rsid w:val="00940274"/>
    <w:rsid w:val="00943BCB"/>
    <w:rsid w:val="00944F11"/>
    <w:rsid w:val="00947885"/>
    <w:rsid w:val="009503E5"/>
    <w:rsid w:val="009518D2"/>
    <w:rsid w:val="00952E10"/>
    <w:rsid w:val="00954D95"/>
    <w:rsid w:val="00956164"/>
    <w:rsid w:val="009618A1"/>
    <w:rsid w:val="00961C56"/>
    <w:rsid w:val="00963E31"/>
    <w:rsid w:val="00965FDC"/>
    <w:rsid w:val="00970E7F"/>
    <w:rsid w:val="0097197A"/>
    <w:rsid w:val="00976038"/>
    <w:rsid w:val="00976EFC"/>
    <w:rsid w:val="00981C54"/>
    <w:rsid w:val="009821A2"/>
    <w:rsid w:val="00985E46"/>
    <w:rsid w:val="0099090C"/>
    <w:rsid w:val="009939AE"/>
    <w:rsid w:val="009949F1"/>
    <w:rsid w:val="009951D3"/>
    <w:rsid w:val="009953B6"/>
    <w:rsid w:val="009A2CF8"/>
    <w:rsid w:val="009A2D4F"/>
    <w:rsid w:val="009A6EFF"/>
    <w:rsid w:val="009A764B"/>
    <w:rsid w:val="009B00A8"/>
    <w:rsid w:val="009B1145"/>
    <w:rsid w:val="009B1C4E"/>
    <w:rsid w:val="009B2F76"/>
    <w:rsid w:val="009B3B3F"/>
    <w:rsid w:val="009B56F0"/>
    <w:rsid w:val="009B7B08"/>
    <w:rsid w:val="009C1C54"/>
    <w:rsid w:val="009C29C3"/>
    <w:rsid w:val="009C4009"/>
    <w:rsid w:val="009C5D68"/>
    <w:rsid w:val="009C7615"/>
    <w:rsid w:val="009D11EB"/>
    <w:rsid w:val="009D1C8B"/>
    <w:rsid w:val="009D4C23"/>
    <w:rsid w:val="009D5590"/>
    <w:rsid w:val="009D577C"/>
    <w:rsid w:val="009D5EB2"/>
    <w:rsid w:val="009D5EF1"/>
    <w:rsid w:val="009E0992"/>
    <w:rsid w:val="009E4CB4"/>
    <w:rsid w:val="009E509D"/>
    <w:rsid w:val="009E6674"/>
    <w:rsid w:val="009E66BE"/>
    <w:rsid w:val="009F12AD"/>
    <w:rsid w:val="009F48D7"/>
    <w:rsid w:val="009F4EE2"/>
    <w:rsid w:val="009F5A5F"/>
    <w:rsid w:val="009F65C6"/>
    <w:rsid w:val="00A027F1"/>
    <w:rsid w:val="00A04974"/>
    <w:rsid w:val="00A1378A"/>
    <w:rsid w:val="00A140B9"/>
    <w:rsid w:val="00A1506A"/>
    <w:rsid w:val="00A20524"/>
    <w:rsid w:val="00A207FF"/>
    <w:rsid w:val="00A20E42"/>
    <w:rsid w:val="00A22469"/>
    <w:rsid w:val="00A251F6"/>
    <w:rsid w:val="00A25247"/>
    <w:rsid w:val="00A33B18"/>
    <w:rsid w:val="00A34CF6"/>
    <w:rsid w:val="00A35319"/>
    <w:rsid w:val="00A35372"/>
    <w:rsid w:val="00A371AF"/>
    <w:rsid w:val="00A4091A"/>
    <w:rsid w:val="00A43245"/>
    <w:rsid w:val="00A47778"/>
    <w:rsid w:val="00A53A08"/>
    <w:rsid w:val="00A54DCD"/>
    <w:rsid w:val="00A57583"/>
    <w:rsid w:val="00A64F59"/>
    <w:rsid w:val="00A64F8C"/>
    <w:rsid w:val="00A659B6"/>
    <w:rsid w:val="00A66E27"/>
    <w:rsid w:val="00A66E50"/>
    <w:rsid w:val="00A670F4"/>
    <w:rsid w:val="00A73238"/>
    <w:rsid w:val="00A73FA1"/>
    <w:rsid w:val="00A761E7"/>
    <w:rsid w:val="00A77C08"/>
    <w:rsid w:val="00A80013"/>
    <w:rsid w:val="00A8069A"/>
    <w:rsid w:val="00A87016"/>
    <w:rsid w:val="00A87921"/>
    <w:rsid w:val="00A90302"/>
    <w:rsid w:val="00A92CE2"/>
    <w:rsid w:val="00A93F62"/>
    <w:rsid w:val="00A94A0C"/>
    <w:rsid w:val="00A95B75"/>
    <w:rsid w:val="00A97650"/>
    <w:rsid w:val="00AA39C4"/>
    <w:rsid w:val="00AA4726"/>
    <w:rsid w:val="00AA49E0"/>
    <w:rsid w:val="00AB2B0C"/>
    <w:rsid w:val="00AB345F"/>
    <w:rsid w:val="00AB5AE6"/>
    <w:rsid w:val="00AC07F4"/>
    <w:rsid w:val="00AC3DF3"/>
    <w:rsid w:val="00AC5835"/>
    <w:rsid w:val="00AC68EE"/>
    <w:rsid w:val="00AC7E17"/>
    <w:rsid w:val="00AD205C"/>
    <w:rsid w:val="00AD2206"/>
    <w:rsid w:val="00AD3A8C"/>
    <w:rsid w:val="00AD6065"/>
    <w:rsid w:val="00AD6864"/>
    <w:rsid w:val="00AE2630"/>
    <w:rsid w:val="00AE3776"/>
    <w:rsid w:val="00AE4586"/>
    <w:rsid w:val="00AE5209"/>
    <w:rsid w:val="00AE561B"/>
    <w:rsid w:val="00AE6BEB"/>
    <w:rsid w:val="00AE6F3E"/>
    <w:rsid w:val="00AF03C6"/>
    <w:rsid w:val="00AF0A10"/>
    <w:rsid w:val="00AF0DA9"/>
    <w:rsid w:val="00AF123B"/>
    <w:rsid w:val="00AF3698"/>
    <w:rsid w:val="00AF6AF0"/>
    <w:rsid w:val="00B00860"/>
    <w:rsid w:val="00B00A9A"/>
    <w:rsid w:val="00B013B4"/>
    <w:rsid w:val="00B01DD3"/>
    <w:rsid w:val="00B04388"/>
    <w:rsid w:val="00B063A0"/>
    <w:rsid w:val="00B1541D"/>
    <w:rsid w:val="00B205BE"/>
    <w:rsid w:val="00B21F1C"/>
    <w:rsid w:val="00B21F74"/>
    <w:rsid w:val="00B22F67"/>
    <w:rsid w:val="00B30ADB"/>
    <w:rsid w:val="00B32D60"/>
    <w:rsid w:val="00B341F9"/>
    <w:rsid w:val="00B36405"/>
    <w:rsid w:val="00B400E8"/>
    <w:rsid w:val="00B41A45"/>
    <w:rsid w:val="00B42C13"/>
    <w:rsid w:val="00B445B2"/>
    <w:rsid w:val="00B57E77"/>
    <w:rsid w:val="00B57FC2"/>
    <w:rsid w:val="00B61A8C"/>
    <w:rsid w:val="00B63FA2"/>
    <w:rsid w:val="00B66B2E"/>
    <w:rsid w:val="00B67B27"/>
    <w:rsid w:val="00B70C5B"/>
    <w:rsid w:val="00B72791"/>
    <w:rsid w:val="00B76FB0"/>
    <w:rsid w:val="00B77646"/>
    <w:rsid w:val="00B817F5"/>
    <w:rsid w:val="00B8354D"/>
    <w:rsid w:val="00B8447E"/>
    <w:rsid w:val="00B845E1"/>
    <w:rsid w:val="00B865D6"/>
    <w:rsid w:val="00B904ED"/>
    <w:rsid w:val="00BA0730"/>
    <w:rsid w:val="00BA3325"/>
    <w:rsid w:val="00BA3F14"/>
    <w:rsid w:val="00BA7B87"/>
    <w:rsid w:val="00BA7F87"/>
    <w:rsid w:val="00BB01EB"/>
    <w:rsid w:val="00BB23F8"/>
    <w:rsid w:val="00BB26A7"/>
    <w:rsid w:val="00BB2F1D"/>
    <w:rsid w:val="00BB69A6"/>
    <w:rsid w:val="00BB72C5"/>
    <w:rsid w:val="00BC0638"/>
    <w:rsid w:val="00BC1628"/>
    <w:rsid w:val="00BC267A"/>
    <w:rsid w:val="00BC2F5B"/>
    <w:rsid w:val="00BC3858"/>
    <w:rsid w:val="00BC4D98"/>
    <w:rsid w:val="00BC67BE"/>
    <w:rsid w:val="00BD0723"/>
    <w:rsid w:val="00BD16EF"/>
    <w:rsid w:val="00BD2057"/>
    <w:rsid w:val="00BD2E87"/>
    <w:rsid w:val="00BD3CA1"/>
    <w:rsid w:val="00BD76A0"/>
    <w:rsid w:val="00BD79FE"/>
    <w:rsid w:val="00BE219B"/>
    <w:rsid w:val="00BE311A"/>
    <w:rsid w:val="00BE46E3"/>
    <w:rsid w:val="00BE4714"/>
    <w:rsid w:val="00BE679E"/>
    <w:rsid w:val="00BE7891"/>
    <w:rsid w:val="00BF1569"/>
    <w:rsid w:val="00BF1E66"/>
    <w:rsid w:val="00BF25CF"/>
    <w:rsid w:val="00BF2F3E"/>
    <w:rsid w:val="00BF3124"/>
    <w:rsid w:val="00BF4A37"/>
    <w:rsid w:val="00BF748D"/>
    <w:rsid w:val="00BF7996"/>
    <w:rsid w:val="00C00362"/>
    <w:rsid w:val="00C03CEF"/>
    <w:rsid w:val="00C14EFE"/>
    <w:rsid w:val="00C223FE"/>
    <w:rsid w:val="00C2350C"/>
    <w:rsid w:val="00C23CB1"/>
    <w:rsid w:val="00C26E90"/>
    <w:rsid w:val="00C333D6"/>
    <w:rsid w:val="00C34EBD"/>
    <w:rsid w:val="00C36D27"/>
    <w:rsid w:val="00C41AE4"/>
    <w:rsid w:val="00C42EC2"/>
    <w:rsid w:val="00C43B18"/>
    <w:rsid w:val="00C4440C"/>
    <w:rsid w:val="00C559F6"/>
    <w:rsid w:val="00C56318"/>
    <w:rsid w:val="00C65B94"/>
    <w:rsid w:val="00C66B6A"/>
    <w:rsid w:val="00C746BC"/>
    <w:rsid w:val="00C775B5"/>
    <w:rsid w:val="00C81092"/>
    <w:rsid w:val="00C814ED"/>
    <w:rsid w:val="00C83BC7"/>
    <w:rsid w:val="00C84002"/>
    <w:rsid w:val="00C873C3"/>
    <w:rsid w:val="00C87ADB"/>
    <w:rsid w:val="00C924FE"/>
    <w:rsid w:val="00C92F4D"/>
    <w:rsid w:val="00C94BAB"/>
    <w:rsid w:val="00C94D8C"/>
    <w:rsid w:val="00C96B26"/>
    <w:rsid w:val="00CA0A82"/>
    <w:rsid w:val="00CA2210"/>
    <w:rsid w:val="00CA23C8"/>
    <w:rsid w:val="00CA4392"/>
    <w:rsid w:val="00CA4F44"/>
    <w:rsid w:val="00CA7C28"/>
    <w:rsid w:val="00CB6AD2"/>
    <w:rsid w:val="00CC1630"/>
    <w:rsid w:val="00CC20DA"/>
    <w:rsid w:val="00CC26F7"/>
    <w:rsid w:val="00CC41DB"/>
    <w:rsid w:val="00CC5445"/>
    <w:rsid w:val="00CC56FD"/>
    <w:rsid w:val="00CC727F"/>
    <w:rsid w:val="00CD460E"/>
    <w:rsid w:val="00CE1D59"/>
    <w:rsid w:val="00CE4F0F"/>
    <w:rsid w:val="00CE7703"/>
    <w:rsid w:val="00CF2BC5"/>
    <w:rsid w:val="00D004C9"/>
    <w:rsid w:val="00D0212D"/>
    <w:rsid w:val="00D02C66"/>
    <w:rsid w:val="00D04F3F"/>
    <w:rsid w:val="00D13580"/>
    <w:rsid w:val="00D160B5"/>
    <w:rsid w:val="00D164A3"/>
    <w:rsid w:val="00D16CCD"/>
    <w:rsid w:val="00D17A7C"/>
    <w:rsid w:val="00D2008F"/>
    <w:rsid w:val="00D202C8"/>
    <w:rsid w:val="00D213DA"/>
    <w:rsid w:val="00D22484"/>
    <w:rsid w:val="00D25893"/>
    <w:rsid w:val="00D263A3"/>
    <w:rsid w:val="00D314FF"/>
    <w:rsid w:val="00D37125"/>
    <w:rsid w:val="00D40039"/>
    <w:rsid w:val="00D405C8"/>
    <w:rsid w:val="00D42FB0"/>
    <w:rsid w:val="00D43233"/>
    <w:rsid w:val="00D46C88"/>
    <w:rsid w:val="00D5345B"/>
    <w:rsid w:val="00D5486F"/>
    <w:rsid w:val="00D56034"/>
    <w:rsid w:val="00D56C3B"/>
    <w:rsid w:val="00D5741F"/>
    <w:rsid w:val="00D605BF"/>
    <w:rsid w:val="00D611C1"/>
    <w:rsid w:val="00D61D97"/>
    <w:rsid w:val="00D620D6"/>
    <w:rsid w:val="00D641D5"/>
    <w:rsid w:val="00D6471C"/>
    <w:rsid w:val="00D64CF1"/>
    <w:rsid w:val="00D650B9"/>
    <w:rsid w:val="00D66CA4"/>
    <w:rsid w:val="00D71A6A"/>
    <w:rsid w:val="00D71B8B"/>
    <w:rsid w:val="00D722BE"/>
    <w:rsid w:val="00D72FD4"/>
    <w:rsid w:val="00D737F0"/>
    <w:rsid w:val="00D73B4D"/>
    <w:rsid w:val="00D77E76"/>
    <w:rsid w:val="00D8466E"/>
    <w:rsid w:val="00D90058"/>
    <w:rsid w:val="00D94CAE"/>
    <w:rsid w:val="00D96ED0"/>
    <w:rsid w:val="00D97588"/>
    <w:rsid w:val="00DA026E"/>
    <w:rsid w:val="00DA1584"/>
    <w:rsid w:val="00DA1708"/>
    <w:rsid w:val="00DA1FE0"/>
    <w:rsid w:val="00DA341A"/>
    <w:rsid w:val="00DA52DC"/>
    <w:rsid w:val="00DA6374"/>
    <w:rsid w:val="00DA6CDD"/>
    <w:rsid w:val="00DA6DB6"/>
    <w:rsid w:val="00DB0EF7"/>
    <w:rsid w:val="00DB2A3C"/>
    <w:rsid w:val="00DB4DB5"/>
    <w:rsid w:val="00DB6F61"/>
    <w:rsid w:val="00DC37EF"/>
    <w:rsid w:val="00DC6023"/>
    <w:rsid w:val="00DC6BBE"/>
    <w:rsid w:val="00DD58F3"/>
    <w:rsid w:val="00DD64E2"/>
    <w:rsid w:val="00DE051D"/>
    <w:rsid w:val="00DE137B"/>
    <w:rsid w:val="00DE185C"/>
    <w:rsid w:val="00DE2D83"/>
    <w:rsid w:val="00DE3CBA"/>
    <w:rsid w:val="00DE6DF2"/>
    <w:rsid w:val="00DF31B9"/>
    <w:rsid w:val="00DF4BC0"/>
    <w:rsid w:val="00DF60CB"/>
    <w:rsid w:val="00DF65CC"/>
    <w:rsid w:val="00DF66FD"/>
    <w:rsid w:val="00DF71A4"/>
    <w:rsid w:val="00E00C40"/>
    <w:rsid w:val="00E1029A"/>
    <w:rsid w:val="00E11874"/>
    <w:rsid w:val="00E1316D"/>
    <w:rsid w:val="00E204F2"/>
    <w:rsid w:val="00E2415D"/>
    <w:rsid w:val="00E25C9B"/>
    <w:rsid w:val="00E2743F"/>
    <w:rsid w:val="00E33C8D"/>
    <w:rsid w:val="00E407FE"/>
    <w:rsid w:val="00E426CE"/>
    <w:rsid w:val="00E4320F"/>
    <w:rsid w:val="00E43A06"/>
    <w:rsid w:val="00E43E06"/>
    <w:rsid w:val="00E45D07"/>
    <w:rsid w:val="00E519A2"/>
    <w:rsid w:val="00E52238"/>
    <w:rsid w:val="00E529BA"/>
    <w:rsid w:val="00E54D2B"/>
    <w:rsid w:val="00E558E0"/>
    <w:rsid w:val="00E56DB0"/>
    <w:rsid w:val="00E61245"/>
    <w:rsid w:val="00E61EC3"/>
    <w:rsid w:val="00E62DFA"/>
    <w:rsid w:val="00E6480D"/>
    <w:rsid w:val="00E6598F"/>
    <w:rsid w:val="00E66175"/>
    <w:rsid w:val="00E667CD"/>
    <w:rsid w:val="00E7137A"/>
    <w:rsid w:val="00E731BB"/>
    <w:rsid w:val="00E760A9"/>
    <w:rsid w:val="00E76E2F"/>
    <w:rsid w:val="00E77129"/>
    <w:rsid w:val="00E87323"/>
    <w:rsid w:val="00E879D6"/>
    <w:rsid w:val="00E918D5"/>
    <w:rsid w:val="00E92F84"/>
    <w:rsid w:val="00E94FAF"/>
    <w:rsid w:val="00E97EFF"/>
    <w:rsid w:val="00EA0954"/>
    <w:rsid w:val="00EA5049"/>
    <w:rsid w:val="00EA702D"/>
    <w:rsid w:val="00EB2531"/>
    <w:rsid w:val="00EB26B3"/>
    <w:rsid w:val="00EB573D"/>
    <w:rsid w:val="00EB6F95"/>
    <w:rsid w:val="00EC0BC1"/>
    <w:rsid w:val="00EC0C5A"/>
    <w:rsid w:val="00EC2247"/>
    <w:rsid w:val="00EC3785"/>
    <w:rsid w:val="00EC3F39"/>
    <w:rsid w:val="00EC4FE7"/>
    <w:rsid w:val="00EC77CC"/>
    <w:rsid w:val="00ED2E08"/>
    <w:rsid w:val="00ED6A47"/>
    <w:rsid w:val="00EE1135"/>
    <w:rsid w:val="00EE2543"/>
    <w:rsid w:val="00EE363D"/>
    <w:rsid w:val="00EE39C6"/>
    <w:rsid w:val="00EE3B61"/>
    <w:rsid w:val="00EE63CE"/>
    <w:rsid w:val="00EE6689"/>
    <w:rsid w:val="00F02F15"/>
    <w:rsid w:val="00F059F2"/>
    <w:rsid w:val="00F05B49"/>
    <w:rsid w:val="00F063E4"/>
    <w:rsid w:val="00F06D9C"/>
    <w:rsid w:val="00F10157"/>
    <w:rsid w:val="00F1168B"/>
    <w:rsid w:val="00F1263E"/>
    <w:rsid w:val="00F13F80"/>
    <w:rsid w:val="00F2648E"/>
    <w:rsid w:val="00F2666A"/>
    <w:rsid w:val="00F3116B"/>
    <w:rsid w:val="00F32911"/>
    <w:rsid w:val="00F32CA2"/>
    <w:rsid w:val="00F34019"/>
    <w:rsid w:val="00F37328"/>
    <w:rsid w:val="00F42D86"/>
    <w:rsid w:val="00F437D4"/>
    <w:rsid w:val="00F45F75"/>
    <w:rsid w:val="00F463EF"/>
    <w:rsid w:val="00F51CF4"/>
    <w:rsid w:val="00F53A5F"/>
    <w:rsid w:val="00F559A1"/>
    <w:rsid w:val="00F6167F"/>
    <w:rsid w:val="00F66478"/>
    <w:rsid w:val="00F66807"/>
    <w:rsid w:val="00F70E84"/>
    <w:rsid w:val="00F73F38"/>
    <w:rsid w:val="00F74AAD"/>
    <w:rsid w:val="00F75438"/>
    <w:rsid w:val="00F768A6"/>
    <w:rsid w:val="00F80658"/>
    <w:rsid w:val="00F81871"/>
    <w:rsid w:val="00F82244"/>
    <w:rsid w:val="00F82505"/>
    <w:rsid w:val="00F85A98"/>
    <w:rsid w:val="00F87CD0"/>
    <w:rsid w:val="00F93578"/>
    <w:rsid w:val="00F9480C"/>
    <w:rsid w:val="00FA0C3A"/>
    <w:rsid w:val="00FB50AC"/>
    <w:rsid w:val="00FC0CBB"/>
    <w:rsid w:val="00FC10E1"/>
    <w:rsid w:val="00FC5690"/>
    <w:rsid w:val="00FC6A06"/>
    <w:rsid w:val="00FE4F11"/>
    <w:rsid w:val="00FE5984"/>
    <w:rsid w:val="00FE5A2A"/>
    <w:rsid w:val="00FE7770"/>
    <w:rsid w:val="00FF252D"/>
    <w:rsid w:val="00FF6DF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0E548F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3CB1"/>
  </w:style>
  <w:style w:type="paragraph" w:styleId="Heading1">
    <w:name w:val="heading 1"/>
    <w:basedOn w:val="Normal"/>
    <w:next w:val="Normal"/>
    <w:link w:val="Heading1Char"/>
    <w:uiPriority w:val="9"/>
    <w:qFormat/>
    <w:rsid w:val="00C23CB1"/>
    <w:pPr>
      <w:keepNext/>
      <w:keepLines/>
      <w:spacing w:before="240" w:after="0"/>
      <w:outlineLvl w:val="0"/>
    </w:pPr>
    <w:rPr>
      <w:rFonts w:ascii="Times New Roman" w:eastAsiaTheme="majorEastAsia" w:hAnsi="Times New Roman"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3CB1"/>
    <w:rPr>
      <w:rFonts w:ascii="Times New Roman" w:eastAsiaTheme="majorEastAsia" w:hAnsi="Times New Roman" w:cstheme="majorBidi"/>
      <w:color w:val="2F5496" w:themeColor="accent1" w:themeShade="BF"/>
      <w:sz w:val="32"/>
      <w:szCs w:val="32"/>
      <w:lang w:val="fr-FR"/>
    </w:rPr>
  </w:style>
  <w:style w:type="character" w:customStyle="1" w:styleId="Marker">
    <w:name w:val="Marker"/>
    <w:basedOn w:val="DefaultParagraphFont"/>
    <w:rsid w:val="00C23CB1"/>
    <w:rPr>
      <w:color w:val="0000FF"/>
      <w:shd w:val="clear" w:color="auto" w:fill="auto"/>
    </w:rPr>
  </w:style>
  <w:style w:type="paragraph" w:styleId="Header">
    <w:name w:val="header"/>
    <w:basedOn w:val="Normal"/>
    <w:link w:val="HeaderChar"/>
    <w:uiPriority w:val="99"/>
    <w:unhideWhenUsed/>
    <w:rsid w:val="00C23C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3CB1"/>
    <w:rPr>
      <w:lang w:val="fr-FR"/>
    </w:rPr>
  </w:style>
  <w:style w:type="paragraph" w:styleId="Footer">
    <w:name w:val="footer"/>
    <w:basedOn w:val="Normal"/>
    <w:link w:val="FooterChar"/>
    <w:uiPriority w:val="99"/>
    <w:unhideWhenUsed/>
    <w:rsid w:val="00C23C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3CB1"/>
    <w:rPr>
      <w:lang w:val="fr-FR"/>
    </w:rPr>
  </w:style>
  <w:style w:type="paragraph" w:customStyle="1" w:styleId="Pagedecouverture">
    <w:name w:val="Page de couverture"/>
    <w:basedOn w:val="Normal"/>
    <w:next w:val="Normal"/>
    <w:rsid w:val="00C23CB1"/>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23CB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23CB1"/>
    <w:rPr>
      <w:rFonts w:ascii="Times New Roman" w:hAnsi="Times New Roman" w:cs="Times New Roman"/>
      <w:sz w:val="24"/>
    </w:rPr>
  </w:style>
  <w:style w:type="paragraph" w:customStyle="1" w:styleId="FooterSensitivity">
    <w:name w:val="Footer Sensitivity"/>
    <w:basedOn w:val="Normal"/>
    <w:link w:val="FooterSensitivityChar"/>
    <w:rsid w:val="00C23CB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23CB1"/>
    <w:rPr>
      <w:rFonts w:ascii="Times New Roman" w:hAnsi="Times New Roman" w:cs="Times New Roman"/>
      <w:b/>
      <w:sz w:val="32"/>
    </w:rPr>
  </w:style>
  <w:style w:type="paragraph" w:customStyle="1" w:styleId="HeaderCoverPage">
    <w:name w:val="Header Cover Page"/>
    <w:basedOn w:val="Normal"/>
    <w:link w:val="HeaderCoverPageChar"/>
    <w:rsid w:val="00C23CB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23CB1"/>
    <w:rPr>
      <w:rFonts w:ascii="Times New Roman" w:hAnsi="Times New Roman" w:cs="Times New Roman"/>
      <w:sz w:val="24"/>
    </w:rPr>
  </w:style>
  <w:style w:type="paragraph" w:customStyle="1" w:styleId="HeaderSensitivity">
    <w:name w:val="Header Sensitivity"/>
    <w:basedOn w:val="Normal"/>
    <w:link w:val="HeaderSensitivityChar"/>
    <w:rsid w:val="00C23CB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23CB1"/>
    <w:rPr>
      <w:rFonts w:ascii="Times New Roman" w:hAnsi="Times New Roman" w:cs="Times New Roman"/>
      <w:b/>
      <w:sz w:val="32"/>
    </w:rPr>
  </w:style>
  <w:style w:type="paragraph" w:customStyle="1" w:styleId="HeaderSensitivityRight">
    <w:name w:val="Header Sensitivity Right"/>
    <w:basedOn w:val="Normal"/>
    <w:link w:val="HeaderSensitivityRightChar"/>
    <w:rsid w:val="007F16B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23CB1"/>
    <w:rPr>
      <w:rFonts w:ascii="Times New Roman" w:hAnsi="Times New Roman" w:cs="Times New Roman"/>
      <w:sz w:val="28"/>
    </w:rPr>
  </w:style>
  <w:style w:type="paragraph" w:styleId="ListParagraph">
    <w:name w:val="List Paragraph"/>
    <w:aliases w:val="Fiche List Paragraph,Dot pt,F5 List Paragraph,List Paragraph1,No Spacing1,List Paragraph Char Char Char,Indicator Text,Numbered Para 1,Bullet Points,MAIN CONTENT,List Paragraph12,Bullet 1,OBC Bullet,Colorful List - Accent 11,Task Body,Nad"/>
    <w:basedOn w:val="Normal"/>
    <w:link w:val="ListParagraphChar"/>
    <w:uiPriority w:val="34"/>
    <w:qFormat/>
    <w:rsid w:val="00C23CB1"/>
    <w:pPr>
      <w:ind w:left="720"/>
      <w:contextualSpacing/>
    </w:pPr>
  </w:style>
  <w:style w:type="table" w:styleId="TableGrid">
    <w:name w:val="Table Grid"/>
    <w:basedOn w:val="TableNormal"/>
    <w:rsid w:val="00C23C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C23CB1"/>
    <w:pPr>
      <w:spacing w:before="100" w:beforeAutospacing="1" w:after="100" w:afterAutospacing="1" w:line="240" w:lineRule="auto"/>
    </w:pPr>
    <w:rPr>
      <w:rFonts w:ascii="Calibri" w:hAnsi="Calibri" w:cs="Calibri"/>
      <w:lang w:eastAsia="en-IE"/>
    </w:rPr>
  </w:style>
  <w:style w:type="paragraph" w:styleId="FootnoteText">
    <w:name w:val="footnote text"/>
    <w:aliases w:val="Schriftart: 9 pt,Schriftart: 10 pt,Schriftart: 8 pt,WB-Fußnotentext,fn,Footnotes,Footnote ak,Footnote text,Voetnoottekst Char,Voetnoottekst Char1,Voetnoottekst Char2 Char Char,Voetnoottekst Char Char1 Char Char,ft,FoodNot,ALTS FOOTNOTE,Plo"/>
    <w:basedOn w:val="Normal"/>
    <w:link w:val="FootnoteTextChar"/>
    <w:uiPriority w:val="99"/>
    <w:unhideWhenUsed/>
    <w:qFormat/>
    <w:rsid w:val="00C23CB1"/>
    <w:pPr>
      <w:spacing w:after="120" w:line="240" w:lineRule="auto"/>
      <w:ind w:left="357" w:hanging="357"/>
      <w:jc w:val="both"/>
    </w:pPr>
    <w:rPr>
      <w:rFonts w:ascii="Times New Roman" w:eastAsia="Times New Roman" w:hAnsi="Times New Roman" w:cs="Times New Roman"/>
      <w:sz w:val="20"/>
      <w:szCs w:val="20"/>
      <w:lang w:eastAsia="en-IE"/>
    </w:rPr>
  </w:style>
  <w:style w:type="character" w:customStyle="1" w:styleId="FootnoteTextChar">
    <w:name w:val="Footnote Text Char"/>
    <w:aliases w:val="Schriftart: 9 pt Char,Schriftart: 10 pt Char,Schriftart: 8 pt Char,WB-Fußnotentext Char,fn Char,Footnotes Char,Footnote ak Char,Footnote text Char,Voetnoottekst Char Char,Voetnoottekst Char1 Char,Voetnoottekst Char2 Char Char Char"/>
    <w:basedOn w:val="DefaultParagraphFont"/>
    <w:link w:val="FootnoteText"/>
    <w:uiPriority w:val="99"/>
    <w:qFormat/>
    <w:rsid w:val="00C23CB1"/>
    <w:rPr>
      <w:rFonts w:ascii="Times New Roman" w:eastAsia="Times New Roman" w:hAnsi="Times New Roman" w:cs="Times New Roman"/>
      <w:sz w:val="20"/>
      <w:szCs w:val="20"/>
      <w:lang w:val="fr-FR" w:eastAsia="en-IE"/>
    </w:rPr>
  </w:style>
  <w:style w:type="character" w:styleId="FootnoteReference">
    <w:name w:val="footnote reference"/>
    <w:aliases w:val="Footnote Reference Superscript,Footnote symbol,Times 10 Point,Exposant 3 Point,Appel note de bas de p,PBO Footnote Reference,FR + (Complex) Arial,(Latin) 9 pt,(Complex) 10 pt + (Compl...,Footnote reference number,R,ftref,note TESI,Ref"/>
    <w:basedOn w:val="DefaultParagraphFont"/>
    <w:link w:val="FootnotesymbolCarZchn"/>
    <w:uiPriority w:val="99"/>
    <w:unhideWhenUsed/>
    <w:qFormat/>
    <w:rsid w:val="00C23CB1"/>
    <w:rPr>
      <w:vertAlign w:val="superscript"/>
    </w:rPr>
  </w:style>
  <w:style w:type="character" w:styleId="Hyperlink">
    <w:name w:val="Hyperlink"/>
    <w:basedOn w:val="DefaultParagraphFont"/>
    <w:uiPriority w:val="99"/>
    <w:unhideWhenUsed/>
    <w:qFormat/>
    <w:rsid w:val="00C23CB1"/>
    <w:rPr>
      <w:color w:val="0000FF"/>
      <w:u w:val="single"/>
    </w:rPr>
  </w:style>
  <w:style w:type="character" w:styleId="Strong">
    <w:name w:val="Strong"/>
    <w:basedOn w:val="DefaultParagraphFont"/>
    <w:uiPriority w:val="22"/>
    <w:qFormat/>
    <w:rsid w:val="00C23CB1"/>
    <w:rPr>
      <w:b/>
      <w:bCs/>
    </w:rPr>
  </w:style>
  <w:style w:type="character" w:customStyle="1" w:styleId="normaltextrun">
    <w:name w:val="normaltextrun"/>
    <w:basedOn w:val="DefaultParagraphFont"/>
    <w:rsid w:val="00C23CB1"/>
  </w:style>
  <w:style w:type="character" w:styleId="CommentReference">
    <w:name w:val="annotation reference"/>
    <w:basedOn w:val="DefaultParagraphFont"/>
    <w:uiPriority w:val="99"/>
    <w:semiHidden/>
    <w:unhideWhenUsed/>
    <w:rsid w:val="00C23CB1"/>
    <w:rPr>
      <w:sz w:val="16"/>
      <w:szCs w:val="16"/>
    </w:rPr>
  </w:style>
  <w:style w:type="paragraph" w:styleId="CommentText">
    <w:name w:val="annotation text"/>
    <w:basedOn w:val="Normal"/>
    <w:link w:val="CommentTextChar"/>
    <w:uiPriority w:val="99"/>
    <w:unhideWhenUsed/>
    <w:rsid w:val="00C23CB1"/>
    <w:pPr>
      <w:spacing w:line="240" w:lineRule="auto"/>
    </w:pPr>
    <w:rPr>
      <w:sz w:val="20"/>
      <w:szCs w:val="20"/>
    </w:rPr>
  </w:style>
  <w:style w:type="character" w:customStyle="1" w:styleId="CommentTextChar">
    <w:name w:val="Comment Text Char"/>
    <w:basedOn w:val="DefaultParagraphFont"/>
    <w:link w:val="CommentText"/>
    <w:uiPriority w:val="99"/>
    <w:rsid w:val="00C23CB1"/>
    <w:rPr>
      <w:sz w:val="20"/>
      <w:szCs w:val="20"/>
      <w:lang w:val="fr-FR"/>
    </w:rPr>
  </w:style>
  <w:style w:type="paragraph" w:styleId="CommentSubject">
    <w:name w:val="annotation subject"/>
    <w:basedOn w:val="CommentText"/>
    <w:next w:val="CommentText"/>
    <w:link w:val="CommentSubjectChar"/>
    <w:uiPriority w:val="99"/>
    <w:semiHidden/>
    <w:unhideWhenUsed/>
    <w:rsid w:val="00C23CB1"/>
    <w:rPr>
      <w:b/>
      <w:bCs/>
    </w:rPr>
  </w:style>
  <w:style w:type="character" w:customStyle="1" w:styleId="CommentSubjectChar">
    <w:name w:val="Comment Subject Char"/>
    <w:basedOn w:val="CommentTextChar"/>
    <w:link w:val="CommentSubject"/>
    <w:uiPriority w:val="99"/>
    <w:semiHidden/>
    <w:rsid w:val="00C23CB1"/>
    <w:rPr>
      <w:b/>
      <w:bCs/>
      <w:sz w:val="20"/>
      <w:szCs w:val="20"/>
      <w:lang w:val="fr-FR"/>
    </w:rPr>
  </w:style>
  <w:style w:type="character" w:customStyle="1" w:styleId="ListParagraphChar">
    <w:name w:val="List Paragraph Char"/>
    <w:aliases w:val="Fiche List Paragraph Char,Dot pt Char,F5 List Paragraph Char,List Paragraph1 Char,No Spacing1 Char,List Paragraph Char Char Char Char,Indicator Text Char,Numbered Para 1 Char,Bullet Points Char,MAIN CONTENT Char,List Paragraph12 Char"/>
    <w:basedOn w:val="DefaultParagraphFont"/>
    <w:link w:val="ListParagraph"/>
    <w:uiPriority w:val="34"/>
    <w:qFormat/>
    <w:locked/>
    <w:rsid w:val="00C23CB1"/>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C23CB1"/>
    <w:pPr>
      <w:spacing w:after="0" w:line="240" w:lineRule="exact"/>
      <w:jc w:val="both"/>
    </w:pPr>
    <w:rPr>
      <w:vertAlign w:val="superscript"/>
    </w:rPr>
  </w:style>
  <w:style w:type="paragraph" w:styleId="NormalWeb">
    <w:name w:val="Normal (Web)"/>
    <w:basedOn w:val="Normal"/>
    <w:uiPriority w:val="99"/>
    <w:semiHidden/>
    <w:unhideWhenUsed/>
    <w:rsid w:val="00C23CB1"/>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GridTable5Dark-Accent1">
    <w:name w:val="Grid Table 5 Dark Accent 1"/>
    <w:basedOn w:val="TableNormal"/>
    <w:uiPriority w:val="50"/>
    <w:rsid w:val="00C23CB1"/>
    <w:pPr>
      <w:spacing w:after="0" w:line="240" w:lineRule="auto"/>
    </w:p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paragraph">
    <w:name w:val="paragraph"/>
    <w:basedOn w:val="Normal"/>
    <w:rsid w:val="00C23CB1"/>
    <w:pPr>
      <w:spacing w:before="100" w:beforeAutospacing="1" w:after="100" w:afterAutospacing="1" w:line="240" w:lineRule="auto"/>
    </w:pPr>
    <w:rPr>
      <w:rFonts w:ascii="Calibri" w:hAnsi="Calibri" w:cs="Calibri"/>
      <w:lang w:eastAsia="en-IE"/>
    </w:rPr>
  </w:style>
  <w:style w:type="character" w:customStyle="1" w:styleId="eop">
    <w:name w:val="eop"/>
    <w:basedOn w:val="DefaultParagraphFont"/>
    <w:rsid w:val="00C23CB1"/>
  </w:style>
  <w:style w:type="character" w:customStyle="1" w:styleId="superscript">
    <w:name w:val="superscript"/>
    <w:basedOn w:val="DefaultParagraphFont"/>
    <w:rsid w:val="00C23CB1"/>
  </w:style>
  <w:style w:type="paragraph" w:styleId="Revision">
    <w:name w:val="Revision"/>
    <w:hidden/>
    <w:uiPriority w:val="99"/>
    <w:semiHidden/>
    <w:rsid w:val="00C23CB1"/>
    <w:pPr>
      <w:spacing w:after="0" w:line="240" w:lineRule="auto"/>
    </w:pPr>
  </w:style>
  <w:style w:type="character" w:customStyle="1" w:styleId="css-901oao">
    <w:name w:val="css-901oao"/>
    <w:basedOn w:val="DefaultParagraphFont"/>
    <w:rsid w:val="00C23CB1"/>
  </w:style>
  <w:style w:type="character" w:styleId="FollowedHyperlink">
    <w:name w:val="FollowedHyperlink"/>
    <w:basedOn w:val="DefaultParagraphFont"/>
    <w:uiPriority w:val="99"/>
    <w:semiHidden/>
    <w:unhideWhenUsed/>
    <w:rsid w:val="00C23CB1"/>
    <w:rPr>
      <w:color w:val="954F72" w:themeColor="followedHyperlink"/>
      <w:u w:val="single"/>
    </w:rPr>
  </w:style>
  <w:style w:type="table" w:customStyle="1" w:styleId="TableGrid1">
    <w:name w:val="Table Grid1"/>
    <w:basedOn w:val="TableNormal"/>
    <w:next w:val="TableGrid"/>
    <w:uiPriority w:val="39"/>
    <w:rsid w:val="00C23CB1"/>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C23CB1"/>
    <w:rPr>
      <w:rFonts w:ascii="Segoe UI" w:hAnsi="Segoe UI" w:cs="Segoe UI" w:hint="default"/>
      <w:sz w:val="18"/>
      <w:szCs w:val="18"/>
    </w:rPr>
  </w:style>
  <w:style w:type="paragraph" w:styleId="PlainText">
    <w:name w:val="Plain Text"/>
    <w:basedOn w:val="Normal"/>
    <w:link w:val="PlainTextChar"/>
    <w:uiPriority w:val="99"/>
    <w:semiHidden/>
    <w:unhideWhenUsed/>
    <w:rsid w:val="00C23CB1"/>
    <w:pPr>
      <w:spacing w:after="0" w:line="240" w:lineRule="auto"/>
    </w:pPr>
    <w:rPr>
      <w:rFonts w:ascii="Calibri" w:hAnsi="Calibri" w:cs="Calibri"/>
    </w:rPr>
  </w:style>
  <w:style w:type="character" w:customStyle="1" w:styleId="PlainTextChar">
    <w:name w:val="Plain Text Char"/>
    <w:basedOn w:val="DefaultParagraphFont"/>
    <w:link w:val="PlainText"/>
    <w:uiPriority w:val="99"/>
    <w:semiHidden/>
    <w:rsid w:val="00C23CB1"/>
    <w:rPr>
      <w:rFonts w:ascii="Calibri" w:hAnsi="Calibri" w:cs="Calibri"/>
      <w:lang w:val="fr-FR"/>
    </w:rPr>
  </w:style>
  <w:style w:type="character" w:customStyle="1" w:styleId="findhit">
    <w:name w:val="findhit"/>
    <w:basedOn w:val="DefaultParagraphFont"/>
    <w:rsid w:val="00C23CB1"/>
  </w:style>
  <w:style w:type="paragraph" w:styleId="Caption">
    <w:name w:val="caption"/>
    <w:basedOn w:val="Normal"/>
    <w:next w:val="Normal"/>
    <w:uiPriority w:val="35"/>
    <w:unhideWhenUsed/>
    <w:qFormat/>
    <w:rsid w:val="00C23CB1"/>
    <w:pPr>
      <w:spacing w:after="200" w:line="240" w:lineRule="auto"/>
    </w:pPr>
    <w:rPr>
      <w:i/>
      <w:iCs/>
      <w:color w:val="44546A" w:themeColor="text2"/>
      <w:sz w:val="18"/>
      <w:szCs w:val="18"/>
    </w:rPr>
  </w:style>
  <w:style w:type="paragraph" w:customStyle="1" w:styleId="Insertcaption">
    <w:name w:val="Insert caption"/>
    <w:basedOn w:val="Caption"/>
    <w:rsid w:val="00C23CB1"/>
    <w:rPr>
      <w:rFonts w:ascii="Times New Roman" w:hAnsi="Times New Roman" w:cs="Times New Roman"/>
      <w:sz w:val="24"/>
      <w:szCs w:val="24"/>
    </w:rPr>
  </w:style>
  <w:style w:type="character" w:customStyle="1" w:styleId="UnresolvedMention1">
    <w:name w:val="Unresolved Mention1"/>
    <w:basedOn w:val="DefaultParagraphFont"/>
    <w:uiPriority w:val="99"/>
    <w:semiHidden/>
    <w:unhideWhenUsed/>
    <w:rsid w:val="00C23CB1"/>
    <w:rPr>
      <w:color w:val="605E5C"/>
      <w:shd w:val="clear" w:color="auto" w:fill="E1DFDD"/>
    </w:rPr>
  </w:style>
  <w:style w:type="paragraph" w:styleId="BalloonText">
    <w:name w:val="Balloon Text"/>
    <w:basedOn w:val="Normal"/>
    <w:link w:val="BalloonTextChar"/>
    <w:uiPriority w:val="99"/>
    <w:semiHidden/>
    <w:unhideWhenUsed/>
    <w:rsid w:val="00C23C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3CB1"/>
    <w:rPr>
      <w:rFonts w:ascii="Segoe UI" w:hAnsi="Segoe UI" w:cs="Segoe UI"/>
      <w:sz w:val="18"/>
      <w:szCs w:val="18"/>
      <w:lang w:val="fr-FR"/>
    </w:rPr>
  </w:style>
  <w:style w:type="character" w:customStyle="1" w:styleId="UnresolvedMention2">
    <w:name w:val="Unresolved Mention2"/>
    <w:basedOn w:val="DefaultParagraphFont"/>
    <w:uiPriority w:val="99"/>
    <w:semiHidden/>
    <w:unhideWhenUsed/>
    <w:rsid w:val="00C23CB1"/>
    <w:rPr>
      <w:color w:val="605E5C"/>
      <w:shd w:val="clear" w:color="auto" w:fill="E1DFDD"/>
    </w:rPr>
  </w:style>
  <w:style w:type="paragraph" w:customStyle="1" w:styleId="title-bold">
    <w:name w:val="title-bold"/>
    <w:basedOn w:val="Normal"/>
    <w:rsid w:val="00C23CB1"/>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UnresolvedMention3">
    <w:name w:val="Unresolved Mention3"/>
    <w:basedOn w:val="DefaultParagraphFont"/>
    <w:uiPriority w:val="99"/>
    <w:semiHidden/>
    <w:unhideWhenUsed/>
    <w:rsid w:val="00C23CB1"/>
    <w:rPr>
      <w:color w:val="605E5C"/>
      <w:shd w:val="clear" w:color="auto" w:fill="E1DFDD"/>
    </w:rPr>
  </w:style>
  <w:style w:type="paragraph" w:customStyle="1" w:styleId="BodyText">
    <w:name w:val="BodyText"/>
    <w:aliases w:val="Document,Doc,Body Text2,doc,Standard paragraph,(Norm),Body Text 12,bt,gl,uvlaka 2,heading3,Body Text - Level 2,1body,BodText,body text,Body Txt,Body Text-10,Body Text Char2,Text Char1,Τίτλος Μελέτης,- TF,-,??t??? ?e??t??,Základní text,Text,Te"/>
    <w:basedOn w:val="Normal"/>
    <w:link w:val="BodyTextChar"/>
    <w:qFormat/>
    <w:rsid w:val="00C23CB1"/>
    <w:pPr>
      <w:jc w:val="both"/>
    </w:pPr>
    <w:rPr>
      <w:rFonts w:eastAsia="Times New Roman" w:cs="Times New Roman"/>
      <w:sz w:val="18"/>
      <w:lang w:eastAsia="en-GB"/>
    </w:rPr>
  </w:style>
  <w:style w:type="character" w:customStyle="1" w:styleId="BodyTextChar">
    <w:name w:val="BodyText Char"/>
    <w:aliases w:val="Základní text Char,Document Char,Doc Char,Body Text2 Char,doc Char,Standard paragraph Char,(Norm) Char,Body Text 12 Char,bt Char,gl Char,uvlaka 2 Char,heading3 Char,Body Text - Level 2 Char,1body Char,BodText Char,body text Char,- TF Char"/>
    <w:basedOn w:val="DefaultParagraphFont"/>
    <w:link w:val="BodyText"/>
    <w:rsid w:val="00C23CB1"/>
    <w:rPr>
      <w:rFonts w:eastAsia="Times New Roman" w:cs="Times New Roman"/>
      <w:sz w:val="18"/>
      <w:lang w:val="fr-FR" w:eastAsia="en-GB"/>
    </w:rPr>
  </w:style>
  <w:style w:type="character" w:customStyle="1" w:styleId="gmail-msofootnotereference">
    <w:name w:val="gmail-msofootnotereference"/>
    <w:basedOn w:val="DefaultParagraphFont"/>
    <w:rsid w:val="00C23CB1"/>
  </w:style>
  <w:style w:type="paragraph" w:customStyle="1" w:styleId="P68B1DB1-Normal2">
    <w:name w:val="P68B1DB1-Normal2"/>
    <w:basedOn w:val="Normal"/>
    <w:rsid w:val="00C23CB1"/>
    <w:pPr>
      <w:spacing w:after="0" w:line="240" w:lineRule="auto"/>
    </w:pPr>
    <w:rPr>
      <w:rFonts w:eastAsia="Times New Roman" w:cstheme="minorHAnsi"/>
      <w:sz w:val="36"/>
      <w:szCs w:val="20"/>
      <w:lang w:eastAsia="en-IE"/>
    </w:rPr>
  </w:style>
  <w:style w:type="paragraph" w:styleId="NoSpacing">
    <w:name w:val="No Spacing"/>
    <w:link w:val="NoSpacingChar"/>
    <w:uiPriority w:val="1"/>
    <w:qFormat/>
    <w:rsid w:val="00C23CB1"/>
    <w:pPr>
      <w:spacing w:after="0" w:line="240" w:lineRule="auto"/>
    </w:pPr>
    <w:rPr>
      <w:rFonts w:eastAsiaTheme="minorEastAsia"/>
    </w:rPr>
  </w:style>
  <w:style w:type="character" w:customStyle="1" w:styleId="NoSpacingChar">
    <w:name w:val="No Spacing Char"/>
    <w:basedOn w:val="DefaultParagraphFont"/>
    <w:link w:val="NoSpacing"/>
    <w:uiPriority w:val="1"/>
    <w:rsid w:val="00C23CB1"/>
    <w:rPr>
      <w:rFonts w:eastAsiaTheme="minorEastAsia"/>
      <w:lang w:val="fr-FR"/>
    </w:rPr>
  </w:style>
  <w:style w:type="character" w:customStyle="1" w:styleId="Mention1">
    <w:name w:val="Mention1"/>
    <w:basedOn w:val="DefaultParagraphFont"/>
    <w:uiPriority w:val="99"/>
    <w:unhideWhenUsed/>
    <w:rsid w:val="00C23CB1"/>
    <w:rPr>
      <w:color w:val="2B579A"/>
      <w:shd w:val="clear" w:color="auto" w:fill="E1DFDD"/>
    </w:rPr>
  </w:style>
  <w:style w:type="paragraph" w:customStyle="1" w:styleId="Typedudocument">
    <w:name w:val="Type du document"/>
    <w:basedOn w:val="Normal"/>
    <w:next w:val="Normal"/>
    <w:rsid w:val="00C23CB1"/>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C23CB1"/>
    <w:pPr>
      <w:spacing w:before="360" w:after="360" w:line="240" w:lineRule="auto"/>
      <w:jc w:val="center"/>
    </w:pPr>
    <w:rPr>
      <w:rFonts w:ascii="Times New Roman" w:hAnsi="Times New Roman" w:cs="Times New Roman"/>
      <w:b/>
      <w:sz w:val="24"/>
    </w:rPr>
  </w:style>
  <w:style w:type="paragraph" w:customStyle="1" w:styleId="LegalNumPar">
    <w:name w:val="LegalNumPar"/>
    <w:basedOn w:val="Normal"/>
    <w:rsid w:val="00C23CB1"/>
    <w:pPr>
      <w:numPr>
        <w:numId w:val="30"/>
      </w:numPr>
      <w:spacing w:line="360" w:lineRule="auto"/>
    </w:pPr>
    <w:rPr>
      <w:sz w:val="24"/>
    </w:rPr>
  </w:style>
  <w:style w:type="paragraph" w:customStyle="1" w:styleId="LegalNumPar2">
    <w:name w:val="LegalNumPar2"/>
    <w:basedOn w:val="Normal"/>
    <w:rsid w:val="00C23CB1"/>
    <w:pPr>
      <w:numPr>
        <w:ilvl w:val="1"/>
        <w:numId w:val="30"/>
      </w:numPr>
      <w:spacing w:line="360" w:lineRule="auto"/>
    </w:pPr>
    <w:rPr>
      <w:sz w:val="24"/>
    </w:rPr>
  </w:style>
  <w:style w:type="paragraph" w:customStyle="1" w:styleId="LegalNumPar3">
    <w:name w:val="LegalNumPar3"/>
    <w:basedOn w:val="Normal"/>
    <w:rsid w:val="00C23CB1"/>
    <w:pPr>
      <w:numPr>
        <w:ilvl w:val="2"/>
        <w:numId w:val="30"/>
      </w:numPr>
      <w:spacing w:line="360" w:lineRule="auto"/>
    </w:pPr>
    <w:rPr>
      <w:sz w:val="24"/>
    </w:rPr>
  </w:style>
  <w:style w:type="paragraph" w:customStyle="1" w:styleId="Text1">
    <w:name w:val="Text 1"/>
    <w:basedOn w:val="Normal"/>
    <w:uiPriority w:val="1"/>
    <w:qFormat/>
    <w:rsid w:val="00E92F84"/>
    <w:pPr>
      <w:spacing w:after="240" w:line="240" w:lineRule="auto"/>
      <w:ind w:left="482"/>
      <w:jc w:val="both"/>
    </w:pPr>
    <w:rPr>
      <w:rFonts w:ascii="Times New Roman" w:eastAsia="Times New Roman" w:hAnsi="Times New Roman" w:cs="Times New Roman"/>
      <w:sz w:val="24"/>
      <w:szCs w:val="20"/>
      <w:lang w:eastAsia="en-GB"/>
    </w:rPr>
  </w:style>
  <w:style w:type="paragraph" w:customStyle="1" w:styleId="Disclaimer">
    <w:name w:val="Disclaimer"/>
    <w:basedOn w:val="Normal"/>
    <w:rsid w:val="007F16B2"/>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7F16B2"/>
    <w:pPr>
      <w:spacing w:after="0" w:line="276" w:lineRule="auto"/>
      <w:ind w:left="5103"/>
    </w:pPr>
    <w:rPr>
      <w:rFonts w:ascii="Times New Roman" w:hAnsi="Times New Roman" w:cs="Times New Roman"/>
      <w:sz w:val="28"/>
    </w:rPr>
  </w:style>
  <w:style w:type="paragraph" w:customStyle="1" w:styleId="DateMarking">
    <w:name w:val="DateMarking"/>
    <w:basedOn w:val="Normal"/>
    <w:rsid w:val="007F16B2"/>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7F16B2"/>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9768549">
      <w:bodyDiv w:val="1"/>
      <w:marLeft w:val="0"/>
      <w:marRight w:val="0"/>
      <w:marTop w:val="0"/>
      <w:marBottom w:val="0"/>
      <w:divBdr>
        <w:top w:val="none" w:sz="0" w:space="0" w:color="auto"/>
        <w:left w:val="none" w:sz="0" w:space="0" w:color="auto"/>
        <w:bottom w:val="none" w:sz="0" w:space="0" w:color="auto"/>
        <w:right w:val="none" w:sz="0" w:space="0" w:color="auto"/>
      </w:divBdr>
    </w:div>
    <w:div w:id="814954697">
      <w:bodyDiv w:val="1"/>
      <w:marLeft w:val="0"/>
      <w:marRight w:val="0"/>
      <w:marTop w:val="0"/>
      <w:marBottom w:val="0"/>
      <w:divBdr>
        <w:top w:val="none" w:sz="0" w:space="0" w:color="auto"/>
        <w:left w:val="none" w:sz="0" w:space="0" w:color="auto"/>
        <w:bottom w:val="none" w:sz="0" w:space="0" w:color="auto"/>
        <w:right w:val="none" w:sz="0" w:space="0" w:color="auto"/>
      </w:divBdr>
    </w:div>
    <w:div w:id="1413894301">
      <w:bodyDiv w:val="1"/>
      <w:marLeft w:val="0"/>
      <w:marRight w:val="0"/>
      <w:marTop w:val="0"/>
      <w:marBottom w:val="0"/>
      <w:divBdr>
        <w:top w:val="none" w:sz="0" w:space="0" w:color="auto"/>
        <w:left w:val="none" w:sz="0" w:space="0" w:color="auto"/>
        <w:bottom w:val="none" w:sz="0" w:space="0" w:color="auto"/>
        <w:right w:val="none" w:sz="0" w:space="0" w:color="auto"/>
      </w:divBdr>
    </w:div>
    <w:div w:id="175840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chart" Target="charts/chart1.xml"/><Relationship Id="rId26"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hyperlink" Target="https://circabc.europa.eu/sd/a/85e9f133-c930-4453-84d0-2161469b1695/DIGITAL%20INTENSITY%20INDEX.pdf"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chart" Target="charts/chart3.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svg"/><Relationship Id="rId20" Type="http://schemas.openxmlformats.org/officeDocument/2006/relationships/hyperlink" Target="https://circabc.europa.eu/sd/a/85e9f133-c930-4453-84d0-2161469b1695/DIGITAL%20INTENSITY%20INDEX.pdf"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png"/><Relationship Id="rId28" Type="http://schemas.openxmlformats.org/officeDocument/2006/relationships/header" Target="header5.xml"/><Relationship Id="rId10" Type="http://schemas.openxmlformats.org/officeDocument/2006/relationships/header" Target="header2.xml"/><Relationship Id="rId19" Type="http://schemas.openxmlformats.org/officeDocument/2006/relationships/chart" Target="charts/chart2.xml"/><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ec.europa.eu/eurostat/statistics-explained/index.php?title=Glossary%3AE-commerce" TargetMode="External"/><Relationship Id="rId27" Type="http://schemas.openxmlformats.org/officeDocument/2006/relationships/header" Target="header4.xml"/><Relationship Id="rId30" Type="http://schemas.openxmlformats.org/officeDocument/2006/relationships/footer" Target="footer5.xml"/></Relationships>
</file>

<file path=word/_rels/footnotes.xml.rels><?xml version="1.0" encoding="UTF-8" standalone="yes"?>
<Relationships xmlns="http://schemas.openxmlformats.org/package/2006/relationships"><Relationship Id="rId13" Type="http://schemas.openxmlformats.org/officeDocument/2006/relationships/hyperlink" Target="https://commission.europa.eu/system/files/2023-10/Factsheet_CWP_Burdens_10.pdf" TargetMode="External"/><Relationship Id="rId18" Type="http://schemas.openxmlformats.org/officeDocument/2006/relationships/hyperlink" Target="https://www.consilium.europa.eu/fr/press/press-releases/2024/02/01/single-market-emergency-instrument-council-and-parliament-strike-a-provisional-deal-on-crisis-preparedness/" TargetMode="External"/><Relationship Id="rId26" Type="http://schemas.openxmlformats.org/officeDocument/2006/relationships/hyperlink" Target="https://www.eib.org/en/publications/online/all/eib-investment-survey-2023" TargetMode="External"/><Relationship Id="rId39" Type="http://schemas.openxmlformats.org/officeDocument/2006/relationships/hyperlink" Target="https://op.europa.eu/en/web/eu-law-and-publications/publication-detail/-/publication/04797497-25de-11ee-a2d3-01aa75ed71a1" TargetMode="External"/><Relationship Id="rId21" Type="http://schemas.openxmlformats.org/officeDocument/2006/relationships/hyperlink" Target="https://op.europa.eu/en/publication-detail/-/publication/ad5fdad5-6a33-11ed-b14f-01aa75ed71a1/language-en/format-PDF/source-277396461" TargetMode="External"/><Relationship Id="rId34" Type="http://schemas.openxmlformats.org/officeDocument/2006/relationships/hyperlink" Target="https://single-market-economy.ec.europa.eu/industry/strategy/industrial-alliances_en" TargetMode="External"/><Relationship Id="rId42" Type="http://schemas.openxmlformats.org/officeDocument/2006/relationships/hyperlink" Target="https://data.europa.eu/doi/10.2760/506189" TargetMode="External"/><Relationship Id="rId47" Type="http://schemas.openxmlformats.org/officeDocument/2006/relationships/hyperlink" Target="https://ec.europa.eu/eurostat/statistics-explained/index.php?title=Material_flow_accounts_and_resource_productivity" TargetMode="External"/><Relationship Id="rId50" Type="http://schemas.openxmlformats.org/officeDocument/2006/relationships/hyperlink" Target="https://www.statista.com/statistics/263801/global-market-share-held-by-selected-countries-in-the-ict-market/" TargetMode="External"/><Relationship Id="rId55" Type="http://schemas.openxmlformats.org/officeDocument/2006/relationships/hyperlink" Target="https://www.ituc-csi.org/IMG/pdf/230630_-_jtc_study_report_may_2023.pdf" TargetMode="External"/><Relationship Id="rId63" Type="http://schemas.openxmlformats.org/officeDocument/2006/relationships/hyperlink" Target="https://grow-smsgt.prd.fpfis.tech.ec.europa.eu/competitiveness/resilience_en" TargetMode="External"/><Relationship Id="rId68" Type="http://schemas.openxmlformats.org/officeDocument/2006/relationships/hyperlink" Target="https://digital-strategy.ec.europa.eu/en/policies/partnerships" TargetMode="External"/><Relationship Id="rId7" Type="http://schemas.openxmlformats.org/officeDocument/2006/relationships/hyperlink" Target="https://commission.europa.eu/system/files/2023-09/ABS_20230912_0.pdf" TargetMode="External"/><Relationship Id="rId2" Type="http://schemas.openxmlformats.org/officeDocument/2006/relationships/hyperlink" Target="https://grow-smsgt.prd.fpfis.tech.ec.europa.eu/competitiveness/resilience_en" TargetMode="External"/><Relationship Id="rId16" Type="http://schemas.openxmlformats.org/officeDocument/2006/relationships/hyperlink" Target="https://digital-strategy.ec.europa.eu/fr/policies/regulatory-framework-ai" TargetMode="External"/><Relationship Id="rId29" Type="http://schemas.openxmlformats.org/officeDocument/2006/relationships/hyperlink" Target="https://ec.europa.eu/commission/presscorner/detail/en/qanda_23_3194" TargetMode="External"/><Relationship Id="rId1" Type="http://schemas.openxmlformats.org/officeDocument/2006/relationships/hyperlink" Target="https://grow-smsgt.prd.fpfis.tech.ec.europa.eu/competitiveness/resilience_en" TargetMode="External"/><Relationship Id="rId6" Type="http://schemas.openxmlformats.org/officeDocument/2006/relationships/hyperlink" Target="https://commission.europa.eu/publications/annual-burden-survey_en" TargetMode="External"/><Relationship Id="rId11" Type="http://schemas.openxmlformats.org/officeDocument/2006/relationships/hyperlink" Target="https://ec.europa.eu/commission/presscorner/detail/fr/IP_23_5730" TargetMode="External"/><Relationship Id="rId24" Type="http://schemas.openxmlformats.org/officeDocument/2006/relationships/hyperlink" Target="https://eur-lex.europa.eu/legal-content/FR/TXT/?uri=uriserv%3AOJ.C_.2021.508.01.0001.01.ENG&amp;toc=OJ%3AC%3A2021%3A508%3ATOC" TargetMode="External"/><Relationship Id="rId32" Type="http://schemas.openxmlformats.org/officeDocument/2006/relationships/hyperlink" Target="https://cohesiondata.ec.europa.eu/" TargetMode="External"/><Relationship Id="rId37" Type="http://schemas.openxmlformats.org/officeDocument/2006/relationships/hyperlink" Target="https://ec.europa.eu/docsroom/documents/45767" TargetMode="External"/><Relationship Id="rId40" Type="http://schemas.openxmlformats.org/officeDocument/2006/relationships/hyperlink" Target="https://commission.europa.eu/document/af444130-5a3e-44f2-bea6-5b9ddcb46012_en" TargetMode="External"/><Relationship Id="rId45" Type="http://schemas.openxmlformats.org/officeDocument/2006/relationships/hyperlink" Target="https://ec.europa.eu/commission/presscorner/detail/fr/ip_23_1591" TargetMode="External"/><Relationship Id="rId53" Type="http://schemas.openxmlformats.org/officeDocument/2006/relationships/hyperlink" Target="https://digital-strategy.ec.europa.eu/en/news/commission-launches-ai-innovation-package-support-artificial-intelligence-startups-and-smes" TargetMode="External"/><Relationship Id="rId58" Type="http://schemas.openxmlformats.org/officeDocument/2006/relationships/hyperlink" Target="https://ec.europa.eu/regional_policy/whats-new/newsroom/17-01-2023-harnessing-talent-in-europe-a-new-boost-for-eu-regions_fr" TargetMode="External"/><Relationship Id="rId66" Type="http://schemas.openxmlformats.org/officeDocument/2006/relationships/hyperlink" Target="https://single-market-economy.ec.europa.eu/publications/enhanced-methodology-monitor-eus-strategic-dependencies-and-vulnerabilities_en" TargetMode="External"/><Relationship Id="rId5" Type="http://schemas.openxmlformats.org/officeDocument/2006/relationships/hyperlink" Target="https://www.europarl.europa.eu/RegData/etudes/STUD/2019/631745/EPRS_STU(2019)631745_FR.pdf" TargetMode="External"/><Relationship Id="rId15" Type="http://schemas.openxmlformats.org/officeDocument/2006/relationships/hyperlink" Target="https://digital-strategy.ec.europa.eu/fr/policies/data-act" TargetMode="External"/><Relationship Id="rId23" Type="http://schemas.openxmlformats.org/officeDocument/2006/relationships/hyperlink" Target="https://eur-lex.europa.eu/FR/legal-content/summary/general-block-exemption-regulation.html" TargetMode="External"/><Relationship Id="rId28" Type="http://schemas.openxmlformats.org/officeDocument/2006/relationships/hyperlink" Target="https://commission.europa.eu/strategy-and-policy/strategic-planning/strategic-foresight/2022-strategic-foresight-report_en" TargetMode="External"/><Relationship Id="rId36" Type="http://schemas.openxmlformats.org/officeDocument/2006/relationships/hyperlink" Target="https://www.eca.europa.eu/en/publications/SR-2023-28" TargetMode="External"/><Relationship Id="rId49" Type="http://schemas.openxmlformats.org/officeDocument/2006/relationships/hyperlink" Target="https://www.statista.com/statistics/263801/global-market-share-held-by-selected-countries-in-the-ict-market/" TargetMode="External"/><Relationship Id="rId57" Type="http://schemas.openxmlformats.org/officeDocument/2006/relationships/hyperlink" Target="https://digital-skills-jobs.europa.eu/en/cybersecurity-skills-academy" TargetMode="External"/><Relationship Id="rId61" Type="http://schemas.openxmlformats.org/officeDocument/2006/relationships/hyperlink" Target="https://grow-smsgt.prd.fpfis.tech.ec.europa.eu/business-framework-conditions/services-markets_en" TargetMode="External"/><Relationship Id="rId10" Type="http://schemas.openxmlformats.org/officeDocument/2006/relationships/hyperlink" Target="https://www.postingdeclaration.eu/landing" TargetMode="External"/><Relationship Id="rId19" Type="http://schemas.openxmlformats.org/officeDocument/2006/relationships/hyperlink" Target="https://www.consilium.europa.eu/fr/press/press-releases/2024/02/01/single-market-emergency-instrument-council-and-parliament-strike-a-provisional-deal-on-crisis-preparedness/" TargetMode="External"/><Relationship Id="rId31" Type="http://schemas.openxmlformats.org/officeDocument/2006/relationships/hyperlink" Target="https://cohesiondata.ec.europa.eu/" TargetMode="External"/><Relationship Id="rId44" Type="http://schemas.openxmlformats.org/officeDocument/2006/relationships/hyperlink" Target="https://www.eib.org/en/publications/online/all/eib-investment-survey-2023" TargetMode="External"/><Relationship Id="rId52" Type="http://schemas.openxmlformats.org/officeDocument/2006/relationships/hyperlink" Target="https://dl.acm.org/doi/pdf/10.1145/3626110" TargetMode="External"/><Relationship Id="rId60" Type="http://schemas.openxmlformats.org/officeDocument/2006/relationships/hyperlink" Target="https://grow-smsgt.prd.fpfis.tech.ec.europa.eu/business-framework-conditions/labour-mobility_en" TargetMode="External"/><Relationship Id="rId65" Type="http://schemas.openxmlformats.org/officeDocument/2006/relationships/hyperlink" Target="https://commission.europa.eu/strategy-and-policy/priorities-2019-2024/european-green-deal/repowereu-affordable-secure-and-sustainable-energy-europe_fr" TargetMode="External"/><Relationship Id="rId4" Type="http://schemas.openxmlformats.org/officeDocument/2006/relationships/hyperlink" Target="https://eur-lex.europa.eu/legal-content/FR/TXT/PDF/?uri=CELEX:52023DC0168" TargetMode="External"/><Relationship Id="rId9" Type="http://schemas.openxmlformats.org/officeDocument/2006/relationships/hyperlink" Target="https://single-market-economy.ec.europa.eu/single-market/single-digital-gateway_en" TargetMode="External"/><Relationship Id="rId14" Type="http://schemas.openxmlformats.org/officeDocument/2006/relationships/hyperlink" Target="https://digital-strategy.ec.europa.eu/fr/policies/data-act" TargetMode="External"/><Relationship Id="rId22" Type="http://schemas.openxmlformats.org/officeDocument/2006/relationships/hyperlink" Target="https://www.esri.ie/system/files/publications/BKMNEXT429.pdf" TargetMode="External"/><Relationship Id="rId27" Type="http://schemas.openxmlformats.org/officeDocument/2006/relationships/hyperlink" Target="https://www.eib.org/en/publications/online/all/eib-investment-survey-2023" TargetMode="External"/><Relationship Id="rId30" Type="http://schemas.openxmlformats.org/officeDocument/2006/relationships/hyperlink" Target="https://cohesiondata.ec.europa.eu/" TargetMode="External"/><Relationship Id="rId35" Type="http://schemas.openxmlformats.org/officeDocument/2006/relationships/hyperlink" Target="https://research-and-innovation.ec.europa.eu/strategy/support-policy-making/shaping-eu-research-and-innovation-policy/new-european-innovation-agenda_fr" TargetMode="External"/><Relationship Id="rId43" Type="http://schemas.openxmlformats.org/officeDocument/2006/relationships/hyperlink" Target="https://www.eib.org/en/publications/online/all/eib-investment-survey-2023" TargetMode="External"/><Relationship Id="rId48" Type="http://schemas.openxmlformats.org/officeDocument/2006/relationships/hyperlink" Target="https://www.eea.europa.eu/publications/conditions-and-pathways-for-sustainable" TargetMode="External"/><Relationship Id="rId56" Type="http://schemas.openxmlformats.org/officeDocument/2006/relationships/hyperlink" Target="https://digital-skills-jobs.europa.eu/en/cybersecurity-skills-academy" TargetMode="External"/><Relationship Id="rId64" Type="http://schemas.openxmlformats.org/officeDocument/2006/relationships/hyperlink" Target="https://grow-smsgt.prd.fpfis.tech.ec.europa.eu/competitiveness/resilience_en" TargetMode="External"/><Relationship Id="rId69" Type="http://schemas.openxmlformats.org/officeDocument/2006/relationships/hyperlink" Target="https://ec.europa.eu/commission/presscorner/detail/fr/ip_23_4752" TargetMode="External"/><Relationship Id="rId8" Type="http://schemas.openxmlformats.org/officeDocument/2006/relationships/hyperlink" Target="https://eur-lex.europa.eu/legal-content/FR/TXT/?uri=CELEX%3A52023PC0177" TargetMode="External"/><Relationship Id="rId51" Type="http://schemas.openxmlformats.org/officeDocument/2006/relationships/hyperlink" Target="https://digital-strategy.ec.europa.eu/fr/library/2023-report-state-digital-decade" TargetMode="External"/><Relationship Id="rId3" Type="http://schemas.openxmlformats.org/officeDocument/2006/relationships/hyperlink" Target="https://eur-lex.europa.eu/legal-content/FR/TXT/PDF/?uri=CELEX:52023DC0162" TargetMode="External"/><Relationship Id="rId12" Type="http://schemas.openxmlformats.org/officeDocument/2006/relationships/hyperlink" Target="https://finance.ec.europa.eu/publications/2024-commission-work-programme_en?gclid=CjwKCAiAiP2tBhBXEiwACslfnpoG9nrx94PEY_DijdyWsdyKQYt7L75fwKP31_gDMAT9Dhv6RpgMrBoCKk4QAvD_BwE" TargetMode="External"/><Relationship Id="rId17" Type="http://schemas.openxmlformats.org/officeDocument/2006/relationships/hyperlink" Target="https://single-market-economy.ec.europa.eu/single-market/single-market-emergency-instrument_fr" TargetMode="External"/><Relationship Id="rId25" Type="http://schemas.openxmlformats.org/officeDocument/2006/relationships/hyperlink" Target="https://www.consilium.europa.eu/media/68967/europeancouncilconclusions-14-15-12-2023-en.pdf" TargetMode="External"/><Relationship Id="rId33" Type="http://schemas.openxmlformats.org/officeDocument/2006/relationships/hyperlink" Target="https://single-market-economy.ec.europa.eu/publications/net-zero-industry-act_en" TargetMode="External"/><Relationship Id="rId38" Type="http://schemas.openxmlformats.org/officeDocument/2006/relationships/hyperlink" Target="https://single-market-economy.ec.europa.eu/industry/sustainability/net-zero-industry-act_fr" TargetMode="External"/><Relationship Id="rId46" Type="http://schemas.openxmlformats.org/officeDocument/2006/relationships/hyperlink" Target="https://www.eea.europa.eu/en/analysis/indicators/europes-material-footprint" TargetMode="External"/><Relationship Id="rId59" Type="http://schemas.openxmlformats.org/officeDocument/2006/relationships/hyperlink" Target="https://grow-smsgt.prd.fpfis.tech.ec.europa.eu/business-framework-conditions/labour-mobility_en" TargetMode="External"/><Relationship Id="rId67" Type="http://schemas.openxmlformats.org/officeDocument/2006/relationships/hyperlink" Target="https://digital-strategy.ec.europa.eu/en/policies/partnerships" TargetMode="External"/><Relationship Id="rId20" Type="http://schemas.openxmlformats.org/officeDocument/2006/relationships/hyperlink" Target="https://single-market-economy.ec.europa.eu/publications/sme-relief-package_en" TargetMode="External"/><Relationship Id="rId41" Type="http://schemas.openxmlformats.org/officeDocument/2006/relationships/hyperlink" Target="https://commission.europa.eu/document/af444130-5a3e-44f2-bea6-5b9ddcb46012_en" TargetMode="External"/><Relationship Id="rId54" Type="http://schemas.openxmlformats.org/officeDocument/2006/relationships/hyperlink" Target="https://digital-strategy.ec.europa.eu/en/news/commission-launches-ai-innovation-package-support-artificial-intelligence-startups-and-smes" TargetMode="External"/><Relationship Id="rId62" Type="http://schemas.openxmlformats.org/officeDocument/2006/relationships/hyperlink" Target="https://grow-smsgt.prd.fpfis.tech.ec.europa.eu/business-framework-conditions/services-markets_en"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ossiers.dgt.cec.eu.int\dossiers\GROW\GROW-2024-00207\GROW-2024-00207-02-00-FR-SRC-00.20240302173317231898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ossiers.dgt.cec.eu.int\dossiers\GROW\GROW-2024-00207\GROW-2024-00207-02-00-FR-SRC-00.202403021733172318983.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3.xml.rels><?xml version="1.0" encoding="UTF-8" standalone="yes"?>
<Relationships xmlns="http://schemas.openxmlformats.org/package/2006/relationships"><Relationship Id="rId3" Type="http://schemas.openxmlformats.org/officeDocument/2006/relationships/oleObject" Target="file:///\\dossiers.dgt.cec.eu.int\dossiers\GROW\GROW-2024-00207\GROW-2024-00207-02-00-FR-SRC-00.202403021733172318983.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ossiers.dgt.cec.eu.int\dossiers\GROW\GROW-2024-00207\GROW-2024-00207-02-00-FR-SRC-00.202403021733172318983.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baseline="0"/>
              <a:t> Investissements publics</a:t>
            </a:r>
            <a:endParaRPr lang="en-IE"/>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'fig2 public investment'!$B$1</c:f>
              <c:strCache>
                <c:ptCount val="1"/>
                <c:pt idx="0">
                  <c:v>UE</c:v>
                </c:pt>
              </c:strCache>
            </c:strRef>
          </c:tx>
          <c:spPr>
            <a:ln w="19050" cap="rnd">
              <a:solidFill>
                <a:schemeClr val="accent1"/>
              </a:solidFill>
              <a:round/>
            </a:ln>
            <a:effectLst/>
          </c:spPr>
          <c:marker>
            <c:symbol val="none"/>
          </c:marker>
          <c:xVal>
            <c:numRef>
              <c:f>'fig2 public investment'!$A$2:$A$12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xVal>
          <c:yVal>
            <c:numRef>
              <c:f>'fig2 public investment'!$B$2:$B$12</c:f>
              <c:numCache>
                <c:formatCode>0.00%</c:formatCode>
                <c:ptCount val="11"/>
                <c:pt idx="0">
                  <c:v>3.0019423619999999E-2</c:v>
                </c:pt>
                <c:pt idx="1">
                  <c:v>2.7708413169999998E-2</c:v>
                </c:pt>
                <c:pt idx="2">
                  <c:v>2.7935599029999997E-2</c:v>
                </c:pt>
                <c:pt idx="3">
                  <c:v>2.9244546009999997E-2</c:v>
                </c:pt>
                <c:pt idx="4">
                  <c:v>3.0088836109999999E-2</c:v>
                </c:pt>
                <c:pt idx="5">
                  <c:v>3.2781412009999997E-2</c:v>
                </c:pt>
                <c:pt idx="6">
                  <c:v>3.2099999999999997E-2</c:v>
                </c:pt>
                <c:pt idx="7">
                  <c:v>3.1699999999999999E-2</c:v>
                </c:pt>
                <c:pt idx="8">
                  <c:v>3.3099999999999997E-2</c:v>
                </c:pt>
                <c:pt idx="9">
                  <c:v>3.4000000000000002E-2</c:v>
                </c:pt>
                <c:pt idx="10">
                  <c:v>3.4700000000000002E-2</c:v>
                </c:pt>
              </c:numCache>
            </c:numRef>
          </c:y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7312-46EB-B420-9409CDB43163}"/>
            </c:ext>
          </c:extLst>
        </c:ser>
        <c:ser>
          <c:idx val="1"/>
          <c:order val="1"/>
          <c:tx>
            <c:strRef>
              <c:f>'fig2 public investment'!$C$1</c:f>
              <c:strCache>
                <c:ptCount val="1"/>
                <c:pt idx="0">
                  <c:v>RU</c:v>
                </c:pt>
              </c:strCache>
            </c:strRef>
          </c:tx>
          <c:spPr>
            <a:ln w="19050" cap="rnd">
              <a:solidFill>
                <a:schemeClr val="accent4"/>
              </a:solidFill>
              <a:round/>
            </a:ln>
            <a:effectLst/>
          </c:spPr>
          <c:marker>
            <c:symbol val="none"/>
          </c:marker>
          <c:xVal>
            <c:numRef>
              <c:f>'fig2 public investment'!$A$2:$A$12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xVal>
          <c:yVal>
            <c:numRef>
              <c:f>'fig2 public investment'!$C$2:$C$12</c:f>
              <c:numCache>
                <c:formatCode>0.00%</c:formatCode>
                <c:ptCount val="11"/>
                <c:pt idx="0">
                  <c:v>2.7E-2</c:v>
                </c:pt>
                <c:pt idx="1">
                  <c:v>2.58E-2</c:v>
                </c:pt>
                <c:pt idx="2">
                  <c:v>2.76E-2</c:v>
                </c:pt>
                <c:pt idx="3">
                  <c:v>2.7199999999999998E-2</c:v>
                </c:pt>
                <c:pt idx="4">
                  <c:v>2.7799999999999998E-2</c:v>
                </c:pt>
                <c:pt idx="5">
                  <c:v>3.1399999999999997E-2</c:v>
                </c:pt>
                <c:pt idx="6">
                  <c:v>3.1399999999999997E-2</c:v>
                </c:pt>
                <c:pt idx="7">
                  <c:v>3.1099999999999999E-2</c:v>
                </c:pt>
                <c:pt idx="8">
                  <c:v>3.3000000000000002E-2</c:v>
                </c:pt>
                <c:pt idx="9">
                  <c:v>3.32E-2</c:v>
                </c:pt>
                <c:pt idx="10">
                  <c:v>3.3399999999999999E-2</c:v>
                </c:pt>
              </c:numCache>
            </c:numRef>
          </c:y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7312-46EB-B420-9409CDB43163}"/>
            </c:ext>
          </c:extLst>
        </c:ser>
        <c:ser>
          <c:idx val="2"/>
          <c:order val="2"/>
          <c:tx>
            <c:strRef>
              <c:f>'fig2 public investment'!$D$1</c:f>
              <c:strCache>
                <c:ptCount val="1"/>
                <c:pt idx="0">
                  <c:v>USA</c:v>
                </c:pt>
              </c:strCache>
            </c:strRef>
          </c:tx>
          <c:spPr>
            <a:ln w="19050" cap="rnd">
              <a:solidFill>
                <a:schemeClr val="accent2">
                  <a:lumMod val="75000"/>
                </a:schemeClr>
              </a:solidFill>
              <a:round/>
            </a:ln>
            <a:effectLst/>
          </c:spPr>
          <c:marker>
            <c:symbol val="none"/>
          </c:marker>
          <c:xVal>
            <c:numRef>
              <c:f>'fig2 public investment'!$A$2:$A$12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xVal>
          <c:yVal>
            <c:numRef>
              <c:f>'fig2 public investment'!$D$2:$D$12</c:f>
              <c:numCache>
                <c:formatCode>0.00%</c:formatCode>
                <c:ptCount val="11"/>
                <c:pt idx="0">
                  <c:v>3.44E-2</c:v>
                </c:pt>
                <c:pt idx="1">
                  <c:v>3.4500000000000003E-2</c:v>
                </c:pt>
                <c:pt idx="2">
                  <c:v>3.4700000000000002E-2</c:v>
                </c:pt>
                <c:pt idx="3">
                  <c:v>3.5400000000000001E-2</c:v>
                </c:pt>
                <c:pt idx="4">
                  <c:v>3.5999999999999997E-2</c:v>
                </c:pt>
                <c:pt idx="5">
                  <c:v>3.8300000000000001E-2</c:v>
                </c:pt>
                <c:pt idx="6">
                  <c:v>3.5000000000000003E-2</c:v>
                </c:pt>
                <c:pt idx="7">
                  <c:v>3.4099999999999998E-2</c:v>
                </c:pt>
                <c:pt idx="8">
                  <c:v>3.5999999999999997E-2</c:v>
                </c:pt>
                <c:pt idx="9">
                  <c:v>3.6499999999999998E-2</c:v>
                </c:pt>
                <c:pt idx="10">
                  <c:v>3.6200000000000003E-2</c:v>
                </c:pt>
              </c:numCache>
            </c:numRef>
          </c:y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7312-46EB-B420-9409CDB43163}"/>
            </c:ext>
          </c:extLst>
        </c:ser>
        <c:dLbls>
          <c:showLegendKey val="0"/>
          <c:showVal val="0"/>
          <c:showCatName val="0"/>
          <c:showSerName val="0"/>
          <c:showPercent val="0"/>
          <c:showBubbleSize val="0"/>
        </c:dLbls>
        <c:axId val="1785894431"/>
        <c:axId val="1960528463"/>
      </c:scatterChart>
      <c:valAx>
        <c:axId val="1785894431"/>
        <c:scaling>
          <c:orientation val="minMax"/>
        </c:scaling>
        <c:delete val="0"/>
        <c:axPos val="b"/>
        <c:majorGridlines>
          <c:spPr>
            <a:ln w="9525" cap="flat" cmpd="sng" algn="ctr">
              <a:no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0528463"/>
        <c:crosses val="autoZero"/>
        <c:crossBetween val="midCat"/>
      </c:valAx>
      <c:valAx>
        <c:axId val="1960528463"/>
        <c:scaling>
          <c:orientation val="minMax"/>
          <c:min val="2.0000000000000004E-2"/>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5894431"/>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a:t>Taux</a:t>
            </a:r>
            <a:r>
              <a:rPr lang="en-IE" baseline="0"/>
              <a:t> d'utilisation circulaire des matières </a:t>
            </a:r>
            <a:endParaRPr lang="en-IE"/>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6975257799887984E-2"/>
          <c:y val="0.19491116728191885"/>
          <c:w val="0.80028580370968272"/>
          <c:h val="0.57197832372570068"/>
        </c:manualLayout>
      </c:layout>
      <c:barChart>
        <c:barDir val="col"/>
        <c:grouping val="stacked"/>
        <c:varyColors val="0"/>
        <c:ser>
          <c:idx val="0"/>
          <c:order val="0"/>
          <c:tx>
            <c:strRef>
              <c:f>'fig 3 circ mat usecase'!$B$1</c:f>
              <c:strCache>
                <c:ptCount val="1"/>
                <c:pt idx="0">
                  <c:v>% en 2022</c:v>
                </c:pt>
              </c:strCache>
            </c:strRef>
          </c:tx>
          <c:spPr>
            <a:solidFill>
              <a:schemeClr val="accent1"/>
            </a:solidFill>
            <a:ln w="31750" cmpd="sng">
              <a:solidFill>
                <a:schemeClr val="accent1"/>
              </a:solidFill>
            </a:ln>
            <a:effectLst/>
          </c:spPr>
          <c:invertIfNegative val="0"/>
          <c:dPt>
            <c:idx val="0"/>
            <c:invertIfNegative val="0"/>
            <c:bubble3D val="0"/>
            <c:spPr>
              <a:solidFill>
                <a:schemeClr val="accent5">
                  <a:lumMod val="50000"/>
                </a:schemeClr>
              </a:solidFill>
              <a:ln w="31750" cmpd="sng">
                <a:solidFill>
                  <a:schemeClr val="accent5">
                    <a:lumMod val="50000"/>
                  </a:schemeClr>
                </a:solidFill>
              </a:ln>
              <a:effectLst/>
            </c:spPr>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E846-4F23-AC22-000A34A490FE}"/>
              </c:ext>
            </c:extLst>
          </c:dPt>
          <c:cat>
            <c:strLit>
              <c:ptCount val="1"/>
              <c:pt idx="0">
                <c:v>% en 2022</c:v>
              </c:pt>
            </c:strLit>
          </c:cat>
          <c:val>
            <c:numRef>
              <c:f>'fig 3 circ mat usecase'!$B$2:$B$29</c:f>
              <c:numCache>
                <c:formatCode>0.00%</c:formatCode>
                <c:ptCount val="28"/>
                <c:pt idx="0">
                  <c:v>0.115</c:v>
                </c:pt>
                <c:pt idx="1">
                  <c:v>0.27500000000000002</c:v>
                </c:pt>
                <c:pt idx="2">
                  <c:v>0.222</c:v>
                </c:pt>
                <c:pt idx="3">
                  <c:v>0.193</c:v>
                </c:pt>
                <c:pt idx="4">
                  <c:v>0.187</c:v>
                </c:pt>
                <c:pt idx="5">
                  <c:v>0.16</c:v>
                </c:pt>
                <c:pt idx="6">
                  <c:v>0.151</c:v>
                </c:pt>
                <c:pt idx="7">
                  <c:v>0.13800000000000001</c:v>
                </c:pt>
                <c:pt idx="8">
                  <c:v>0.13</c:v>
                </c:pt>
                <c:pt idx="9">
                  <c:v>0.11899999999999999</c:v>
                </c:pt>
                <c:pt idx="10">
                  <c:v>9.4E-2</c:v>
                </c:pt>
                <c:pt idx="11">
                  <c:v>9.0999999999999998E-2</c:v>
                </c:pt>
                <c:pt idx="12">
                  <c:v>8.4000000000000005E-2</c:v>
                </c:pt>
                <c:pt idx="13">
                  <c:v>7.9000000000000001E-2</c:v>
                </c:pt>
                <c:pt idx="14">
                  <c:v>7.3999999999999996E-2</c:v>
                </c:pt>
                <c:pt idx="15">
                  <c:v>7.0999999999999994E-2</c:v>
                </c:pt>
                <c:pt idx="16">
                  <c:v>6.0999999999999999E-2</c:v>
                </c:pt>
                <c:pt idx="17">
                  <c:v>5.8000000000000003E-2</c:v>
                </c:pt>
                <c:pt idx="18">
                  <c:v>5.3999999999999999E-2</c:v>
                </c:pt>
                <c:pt idx="19">
                  <c:v>5.1999999999999998E-2</c:v>
                </c:pt>
                <c:pt idx="20">
                  <c:v>4.8000000000000001E-2</c:v>
                </c:pt>
                <c:pt idx="21">
                  <c:v>4.1000000000000002E-2</c:v>
                </c:pt>
                <c:pt idx="22">
                  <c:v>3.2000000000000001E-2</c:v>
                </c:pt>
                <c:pt idx="23">
                  <c:v>3.1E-2</c:v>
                </c:pt>
                <c:pt idx="24">
                  <c:v>2.5999999999999999E-2</c:v>
                </c:pt>
                <c:pt idx="25">
                  <c:v>1.7999999999999999E-2</c:v>
                </c:pt>
                <c:pt idx="26">
                  <c:v>1.4E-2</c:v>
                </c:pt>
                <c:pt idx="27">
                  <c:v>6.0000000000000001E-3</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E846-4F23-AC22-000A34A490FE}"/>
            </c:ext>
          </c:extLst>
        </c:ser>
        <c:dLbls>
          <c:showLegendKey val="0"/>
          <c:showVal val="0"/>
          <c:showCatName val="0"/>
          <c:showSerName val="0"/>
          <c:showPercent val="0"/>
          <c:showBubbleSize val="0"/>
        </c:dLbls>
        <c:gapWidth val="154"/>
        <c:overlap val="-100"/>
        <c:axId val="677995808"/>
        <c:axId val="728108416"/>
      </c:barChart>
      <c:lineChart>
        <c:grouping val="percentStacked"/>
        <c:varyColors val="0"/>
        <c:ser>
          <c:idx val="2"/>
          <c:order val="2"/>
          <c:tx>
            <c:strRef>
              <c:f>'fig 3 circ mat usecase'!$D$1</c:f>
              <c:strCache>
                <c:ptCount val="1"/>
                <c:pt idx="0">
                  <c:v>objectif 2030</c:v>
                </c:pt>
              </c:strCache>
            </c:strRef>
          </c:tx>
          <c:spPr>
            <a:ln w="28575" cap="rnd">
              <a:solidFill>
                <a:schemeClr val="accent2">
                  <a:tint val="65000"/>
                </a:schemeClr>
              </a:solidFill>
              <a:round/>
            </a:ln>
            <a:effectLst/>
          </c:spPr>
          <c:marker>
            <c:symbol val="none"/>
          </c:marker>
          <c:cat>
            <c:strRef>
              <c:f>'fig 3 circ mat usecase'!$A$2:$A$29</c:f>
              <c:strCache>
                <c:ptCount val="28"/>
                <c:pt idx="0">
                  <c:v>EU27</c:v>
                </c:pt>
                <c:pt idx="1">
                  <c:v>NL</c:v>
                </c:pt>
                <c:pt idx="2">
                  <c:v>BE</c:v>
                </c:pt>
                <c:pt idx="3">
                  <c:v>FR</c:v>
                </c:pt>
                <c:pt idx="4">
                  <c:v>IT</c:v>
                </c:pt>
                <c:pt idx="5">
                  <c:v>EE</c:v>
                </c:pt>
                <c:pt idx="6">
                  <c:v>MT</c:v>
                </c:pt>
                <c:pt idx="7">
                  <c:v>AT</c:v>
                </c:pt>
                <c:pt idx="8">
                  <c:v>DE</c:v>
                </c:pt>
                <c:pt idx="9">
                  <c:v>CZ</c:v>
                </c:pt>
                <c:pt idx="10">
                  <c:v>SI</c:v>
                </c:pt>
                <c:pt idx="11">
                  <c:v>SK</c:v>
                </c:pt>
                <c:pt idx="12">
                  <c:v>PL</c:v>
                </c:pt>
                <c:pt idx="13">
                  <c:v>HU</c:v>
                </c:pt>
                <c:pt idx="14">
                  <c:v>DK</c:v>
                </c:pt>
                <c:pt idx="15">
                  <c:v>ES</c:v>
                </c:pt>
                <c:pt idx="16">
                  <c:v>SE</c:v>
                </c:pt>
                <c:pt idx="17">
                  <c:v>HR</c:v>
                </c:pt>
                <c:pt idx="18">
                  <c:v>LV</c:v>
                </c:pt>
                <c:pt idx="19">
                  <c:v>LU</c:v>
                </c:pt>
                <c:pt idx="20">
                  <c:v>BG</c:v>
                </c:pt>
                <c:pt idx="21">
                  <c:v>LT</c:v>
                </c:pt>
                <c:pt idx="22">
                  <c:v>CY</c:v>
                </c:pt>
                <c:pt idx="23">
                  <c:v>EL</c:v>
                </c:pt>
                <c:pt idx="24">
                  <c:v>PT</c:v>
                </c:pt>
                <c:pt idx="25">
                  <c:v>IE</c:v>
                </c:pt>
                <c:pt idx="26">
                  <c:v>RO</c:v>
                </c:pt>
                <c:pt idx="27">
                  <c:v>FI</c:v>
                </c:pt>
              </c:strCache>
            </c:strRef>
          </c:cat>
          <c:val>
            <c:numRef>
              <c:f>'fig 3 circ mat usecase'!$D$2:$D$29</c:f>
              <c:numCache>
                <c:formatCode>0.00%</c:formatCode>
                <c:ptCount val="28"/>
                <c:pt idx="0">
                  <c:v>0.23400000000000001</c:v>
                </c:pt>
                <c:pt idx="1">
                  <c:v>0.23400000000000001</c:v>
                </c:pt>
                <c:pt idx="2">
                  <c:v>0.23400000000000001</c:v>
                </c:pt>
                <c:pt idx="3">
                  <c:v>0.23400000000000001</c:v>
                </c:pt>
                <c:pt idx="4">
                  <c:v>0.23400000000000001</c:v>
                </c:pt>
                <c:pt idx="5">
                  <c:v>0.23400000000000001</c:v>
                </c:pt>
                <c:pt idx="6">
                  <c:v>0.23400000000000001</c:v>
                </c:pt>
                <c:pt idx="7">
                  <c:v>0.23400000000000001</c:v>
                </c:pt>
                <c:pt idx="8">
                  <c:v>0.23400000000000001</c:v>
                </c:pt>
                <c:pt idx="9">
                  <c:v>0.23400000000000001</c:v>
                </c:pt>
                <c:pt idx="10">
                  <c:v>0.23400000000000001</c:v>
                </c:pt>
                <c:pt idx="11">
                  <c:v>0.23400000000000001</c:v>
                </c:pt>
                <c:pt idx="12">
                  <c:v>0.23400000000000001</c:v>
                </c:pt>
                <c:pt idx="13">
                  <c:v>0.23400000000000001</c:v>
                </c:pt>
                <c:pt idx="14">
                  <c:v>0.23400000000000001</c:v>
                </c:pt>
                <c:pt idx="15">
                  <c:v>0.23400000000000001</c:v>
                </c:pt>
                <c:pt idx="16">
                  <c:v>0.23400000000000001</c:v>
                </c:pt>
                <c:pt idx="17">
                  <c:v>0.23400000000000001</c:v>
                </c:pt>
                <c:pt idx="18">
                  <c:v>0.23400000000000001</c:v>
                </c:pt>
                <c:pt idx="19">
                  <c:v>0.23400000000000001</c:v>
                </c:pt>
                <c:pt idx="20">
                  <c:v>0.23400000000000001</c:v>
                </c:pt>
                <c:pt idx="21">
                  <c:v>0.23400000000000001</c:v>
                </c:pt>
                <c:pt idx="22">
                  <c:v>0.23400000000000001</c:v>
                </c:pt>
                <c:pt idx="23">
                  <c:v>0.23400000000000001</c:v>
                </c:pt>
                <c:pt idx="24">
                  <c:v>0.23400000000000001</c:v>
                </c:pt>
                <c:pt idx="25">
                  <c:v>0.23400000000000001</c:v>
                </c:pt>
                <c:pt idx="26">
                  <c:v>0.23400000000000001</c:v>
                </c:pt>
                <c:pt idx="27">
                  <c:v>0.23400000000000001</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E846-4F23-AC22-000A34A490FE}"/>
            </c:ext>
          </c:extLst>
        </c:ser>
        <c:dLbls>
          <c:showLegendKey val="0"/>
          <c:showVal val="0"/>
          <c:showCatName val="0"/>
          <c:showSerName val="0"/>
          <c:showPercent val="0"/>
          <c:showBubbleSize val="0"/>
        </c:dLbls>
        <c:marker val="1"/>
        <c:smooth val="0"/>
        <c:axId val="677995808"/>
        <c:axId val="728108416"/>
      </c:lineChart>
      <c:scatterChart>
        <c:scatterStyle val="lineMarker"/>
        <c:varyColors val="0"/>
        <c:ser>
          <c:idx val="1"/>
          <c:order val="1"/>
          <c:tx>
            <c:strRef>
              <c:f>'fig 3 circ mat usecase'!$C$1</c:f>
              <c:strCache>
                <c:ptCount val="1"/>
                <c:pt idx="0">
                  <c:v>evolution en % 2019-2022</c:v>
                </c:pt>
              </c:strCache>
            </c:strRef>
          </c:tx>
          <c:spPr>
            <a:ln w="28575" cap="rnd">
              <a:noFill/>
              <a:round/>
            </a:ln>
            <a:effectLst/>
          </c:spPr>
          <c:marker>
            <c:symbol val="circle"/>
            <c:size val="5"/>
            <c:spPr>
              <a:solidFill>
                <a:schemeClr val="accent2"/>
              </a:solidFill>
              <a:ln w="9525">
                <a:solidFill>
                  <a:schemeClr val="accent2"/>
                </a:solidFill>
              </a:ln>
              <a:effectLst/>
            </c:spPr>
          </c:marker>
          <c:xVal>
            <c:strRef>
              <c:f>'fig 3 circ mat usecase'!$A$2:$A$29</c:f>
              <c:strCache>
                <c:ptCount val="28"/>
                <c:pt idx="0">
                  <c:v>EU27</c:v>
                </c:pt>
                <c:pt idx="1">
                  <c:v>NL</c:v>
                </c:pt>
                <c:pt idx="2">
                  <c:v>BE</c:v>
                </c:pt>
                <c:pt idx="3">
                  <c:v>FR</c:v>
                </c:pt>
                <c:pt idx="4">
                  <c:v>IT</c:v>
                </c:pt>
                <c:pt idx="5">
                  <c:v>EE</c:v>
                </c:pt>
                <c:pt idx="6">
                  <c:v>MT</c:v>
                </c:pt>
                <c:pt idx="7">
                  <c:v>AT</c:v>
                </c:pt>
                <c:pt idx="8">
                  <c:v>DE</c:v>
                </c:pt>
                <c:pt idx="9">
                  <c:v>CZ</c:v>
                </c:pt>
                <c:pt idx="10">
                  <c:v>SI</c:v>
                </c:pt>
                <c:pt idx="11">
                  <c:v>SK</c:v>
                </c:pt>
                <c:pt idx="12">
                  <c:v>PL</c:v>
                </c:pt>
                <c:pt idx="13">
                  <c:v>HU</c:v>
                </c:pt>
                <c:pt idx="14">
                  <c:v>DK</c:v>
                </c:pt>
                <c:pt idx="15">
                  <c:v>ES</c:v>
                </c:pt>
                <c:pt idx="16">
                  <c:v>SE</c:v>
                </c:pt>
                <c:pt idx="17">
                  <c:v>HR</c:v>
                </c:pt>
                <c:pt idx="18">
                  <c:v>LV</c:v>
                </c:pt>
                <c:pt idx="19">
                  <c:v>LU</c:v>
                </c:pt>
                <c:pt idx="20">
                  <c:v>BG</c:v>
                </c:pt>
                <c:pt idx="21">
                  <c:v>LT</c:v>
                </c:pt>
                <c:pt idx="22">
                  <c:v>CY</c:v>
                </c:pt>
                <c:pt idx="23">
                  <c:v>EL</c:v>
                </c:pt>
                <c:pt idx="24">
                  <c:v>PT</c:v>
                </c:pt>
                <c:pt idx="25">
                  <c:v>IE</c:v>
                </c:pt>
                <c:pt idx="26">
                  <c:v>RO</c:v>
                </c:pt>
                <c:pt idx="27">
                  <c:v>FI</c:v>
                </c:pt>
              </c:strCache>
            </c:strRef>
          </c:xVal>
          <c:yVal>
            <c:numRef>
              <c:f>'fig 3 circ mat usecase'!$C$2:$C$29</c:f>
              <c:numCache>
                <c:formatCode>0.00%</c:formatCode>
                <c:ptCount val="28"/>
                <c:pt idx="0">
                  <c:v>1.7999999999999999E-2</c:v>
                </c:pt>
                <c:pt idx="1">
                  <c:v>7.3999999999999996E-2</c:v>
                </c:pt>
                <c:pt idx="2">
                  <c:v>7.1999999999999995E-2</c:v>
                </c:pt>
                <c:pt idx="3">
                  <c:v>6.6000000000000003E-2</c:v>
                </c:pt>
                <c:pt idx="4">
                  <c:v>-5.0000000000000001E-3</c:v>
                </c:pt>
                <c:pt idx="5">
                  <c:v>3.9E-2</c:v>
                </c:pt>
                <c:pt idx="6">
                  <c:v>0.18</c:v>
                </c:pt>
                <c:pt idx="7">
                  <c:v>0.19</c:v>
                </c:pt>
                <c:pt idx="8">
                  <c:v>0.04</c:v>
                </c:pt>
                <c:pt idx="9">
                  <c:v>0.13300000000000001</c:v>
                </c:pt>
                <c:pt idx="10">
                  <c:v>-7.8E-2</c:v>
                </c:pt>
                <c:pt idx="11">
                  <c:v>8.3000000000000004E-2</c:v>
                </c:pt>
                <c:pt idx="12">
                  <c:v>-8.6999999999999994E-2</c:v>
                </c:pt>
                <c:pt idx="13">
                  <c:v>0.41099999999999998</c:v>
                </c:pt>
                <c:pt idx="14">
                  <c:v>-2.5999999999999999E-2</c:v>
                </c:pt>
                <c:pt idx="15">
                  <c:v>-0.21099999999999999</c:v>
                </c:pt>
                <c:pt idx="16">
                  <c:v>-4.7E-2</c:v>
                </c:pt>
                <c:pt idx="17">
                  <c:v>9.4E-2</c:v>
                </c:pt>
                <c:pt idx="18">
                  <c:v>0.14899999999999999</c:v>
                </c:pt>
                <c:pt idx="19">
                  <c:v>-0.42199999999999999</c:v>
                </c:pt>
                <c:pt idx="20">
                  <c:v>0.17100000000000001</c:v>
                </c:pt>
                <c:pt idx="21">
                  <c:v>5.0999999999999997E-2</c:v>
                </c:pt>
                <c:pt idx="22">
                  <c:v>3.2000000000000001E-2</c:v>
                </c:pt>
                <c:pt idx="23">
                  <c:v>-8.7999999999999995E-2</c:v>
                </c:pt>
                <c:pt idx="24">
                  <c:v>0.13</c:v>
                </c:pt>
                <c:pt idx="25">
                  <c:v>0.125</c:v>
                </c:pt>
                <c:pt idx="26">
                  <c:v>0</c:v>
                </c:pt>
                <c:pt idx="27">
                  <c:v>-0.86699999999999999</c:v>
                </c:pt>
              </c:numCache>
            </c:numRef>
          </c:y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E846-4F23-AC22-000A34A490FE}"/>
            </c:ext>
          </c:extLst>
        </c:ser>
        <c:dLbls>
          <c:showLegendKey val="0"/>
          <c:showVal val="0"/>
          <c:showCatName val="0"/>
          <c:showSerName val="0"/>
          <c:showPercent val="0"/>
          <c:showBubbleSize val="0"/>
        </c:dLbls>
        <c:axId val="728106016"/>
        <c:axId val="728107456"/>
      </c:scatterChart>
      <c:catAx>
        <c:axId val="677995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8108416"/>
        <c:crosses val="autoZero"/>
        <c:auto val="1"/>
        <c:lblAlgn val="ctr"/>
        <c:lblOffset val="100"/>
        <c:noMultiLvlLbl val="0"/>
      </c:catAx>
      <c:valAx>
        <c:axId val="728108416"/>
        <c:scaling>
          <c:orientation val="minMax"/>
          <c:max val="0.30000000000000004"/>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7995808"/>
        <c:crosses val="autoZero"/>
        <c:crossBetween val="between"/>
      </c:valAx>
      <c:valAx>
        <c:axId val="728107456"/>
        <c:scaling>
          <c:orientation val="minMax"/>
        </c:scaling>
        <c:delete val="0"/>
        <c:axPos val="r"/>
        <c:numFmt formatCode="0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8106016"/>
        <c:crosses val="max"/>
        <c:crossBetween val="midCat"/>
      </c:valAx>
      <c:valAx>
        <c:axId val="728106016"/>
        <c:scaling>
          <c:orientation val="minMax"/>
        </c:scaling>
        <c:delete val="1"/>
        <c:axPos val="t"/>
        <c:majorTickMark val="out"/>
        <c:minorTickMark val="none"/>
        <c:tickLblPos val="nextTo"/>
        <c:crossAx val="728107456"/>
        <c:crosses val="max"/>
        <c:crossBetween val="midCat"/>
      </c:valAx>
      <c:spPr>
        <a:noFill/>
        <a:ln>
          <a:noFill/>
        </a:ln>
        <a:effectLst/>
      </c:spPr>
    </c:plotArea>
    <c:legend>
      <c:legendPos val="b"/>
      <c:layout>
        <c:manualLayout>
          <c:xMode val="edge"/>
          <c:yMode val="edge"/>
          <c:x val="0.22213756821504949"/>
          <c:y val="0.88278542192418452"/>
          <c:w val="0.55985266735693628"/>
          <c:h val="7.64444761505604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5368304732833504E-2"/>
          <c:y val="0.11351140464128349"/>
          <c:w val="0.88498840769903764"/>
          <c:h val="0.6533564404927853"/>
        </c:manualLayout>
      </c:layout>
      <c:lineChart>
        <c:grouping val="standard"/>
        <c:varyColors val="0"/>
        <c:ser>
          <c:idx val="0"/>
          <c:order val="0"/>
          <c:tx>
            <c:strRef>
              <c:f>'fig. 6'!$A$23:$C$23</c:f>
              <c:strCache>
                <c:ptCount val="3"/>
                <c:pt idx="0">
                  <c:v>Produits chimiques</c:v>
                </c:pt>
                <c:pt idx="2">
                  <c:v>UE</c:v>
                </c:pt>
              </c:strCache>
            </c:strRef>
          </c:tx>
          <c:spPr>
            <a:ln w="28575" cap="rnd">
              <a:solidFill>
                <a:srgbClr val="5B9BD5"/>
              </a:solidFill>
              <a:round/>
            </a:ln>
            <a:effectLst/>
          </c:spPr>
          <c:marker>
            <c:symbol val="none"/>
          </c:marker>
          <c:cat>
            <c:strRef>
              <c:f>'fig. 6'!$D$22:$M$22</c:f>
              <c:strCache>
                <c:ptCount val="10"/>
                <c:pt idx="0">
                  <c:v>2010</c:v>
                </c:pt>
                <c:pt idx="1">
                  <c:v>2011</c:v>
                </c:pt>
                <c:pt idx="2">
                  <c:v>2012</c:v>
                </c:pt>
                <c:pt idx="3">
                  <c:v>2014</c:v>
                </c:pt>
                <c:pt idx="4">
                  <c:v>2015</c:v>
                </c:pt>
                <c:pt idx="5">
                  <c:v>2016</c:v>
                </c:pt>
                <c:pt idx="6">
                  <c:v>2017</c:v>
                </c:pt>
                <c:pt idx="7">
                  <c:v>2019</c:v>
                </c:pt>
                <c:pt idx="8">
                  <c:v>2020</c:v>
                </c:pt>
                <c:pt idx="9">
                  <c:v>2021</c:v>
                </c:pt>
              </c:strCache>
            </c:strRef>
          </c:cat>
          <c:val>
            <c:numRef>
              <c:f>'fig. 6'!$D$23:$M$23</c:f>
              <c:numCache>
                <c:formatCode>0%</c:formatCode>
                <c:ptCount val="10"/>
                <c:pt idx="0">
                  <c:v>0.25972285720065541</c:v>
                </c:pt>
                <c:pt idx="1">
                  <c:v>0.25342995526204831</c:v>
                </c:pt>
                <c:pt idx="2">
                  <c:v>0.25217841921538142</c:v>
                </c:pt>
                <c:pt idx="3">
                  <c:v>0.2629409689363989</c:v>
                </c:pt>
                <c:pt idx="4">
                  <c:v>0.2621436002067638</c:v>
                </c:pt>
                <c:pt idx="5">
                  <c:v>0.26817999799413322</c:v>
                </c:pt>
                <c:pt idx="6">
                  <c:v>0.26927669874317905</c:v>
                </c:pt>
                <c:pt idx="7">
                  <c:v>0.27733648880196404</c:v>
                </c:pt>
                <c:pt idx="8">
                  <c:v>0.28762891314891242</c:v>
                </c:pt>
                <c:pt idx="9">
                  <c:v>0.26255456823789619</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6DAC-4A59-BC81-FB7B9A94D13D}"/>
            </c:ext>
          </c:extLst>
        </c:ser>
        <c:ser>
          <c:idx val="1"/>
          <c:order val="1"/>
          <c:tx>
            <c:strRef>
              <c:f>'fig. 6'!$B$24:$C$24</c:f>
              <c:strCache>
                <c:ptCount val="2"/>
                <c:pt idx="1">
                  <c:v>RPC</c:v>
                </c:pt>
              </c:strCache>
            </c:strRef>
          </c:tx>
          <c:spPr>
            <a:ln w="28575" cap="rnd">
              <a:solidFill>
                <a:srgbClr val="ED7D31"/>
              </a:solidFill>
              <a:round/>
            </a:ln>
            <a:effectLst/>
          </c:spPr>
          <c:marker>
            <c:symbol val="none"/>
          </c:marker>
          <c:cat>
            <c:strRef>
              <c:f>'fig. 6'!$D$22:$M$22</c:f>
              <c:strCache>
                <c:ptCount val="10"/>
                <c:pt idx="0">
                  <c:v>2010</c:v>
                </c:pt>
                <c:pt idx="1">
                  <c:v>2011</c:v>
                </c:pt>
                <c:pt idx="2">
                  <c:v>2012</c:v>
                </c:pt>
                <c:pt idx="3">
                  <c:v>2014</c:v>
                </c:pt>
                <c:pt idx="4">
                  <c:v>2015</c:v>
                </c:pt>
                <c:pt idx="5">
                  <c:v>2016</c:v>
                </c:pt>
                <c:pt idx="6">
                  <c:v>2017</c:v>
                </c:pt>
                <c:pt idx="7">
                  <c:v>2019</c:v>
                </c:pt>
                <c:pt idx="8">
                  <c:v>2020</c:v>
                </c:pt>
                <c:pt idx="9">
                  <c:v>2021</c:v>
                </c:pt>
              </c:strCache>
            </c:strRef>
          </c:cat>
          <c:val>
            <c:numRef>
              <c:f>'fig. 6'!$D$24:$M$24</c:f>
              <c:numCache>
                <c:formatCode>0%</c:formatCode>
                <c:ptCount val="10"/>
                <c:pt idx="0">
                  <c:v>7.0818279287115898E-2</c:v>
                </c:pt>
                <c:pt idx="1">
                  <c:v>7.852619387905968E-2</c:v>
                </c:pt>
                <c:pt idx="2">
                  <c:v>7.7202374516048528E-2</c:v>
                </c:pt>
                <c:pt idx="3">
                  <c:v>8.8684751105410492E-2</c:v>
                </c:pt>
                <c:pt idx="4">
                  <c:v>9.3119926611783671E-2</c:v>
                </c:pt>
                <c:pt idx="5">
                  <c:v>8.9199578621559555E-2</c:v>
                </c:pt>
                <c:pt idx="6">
                  <c:v>9.4536015122549416E-2</c:v>
                </c:pt>
                <c:pt idx="7">
                  <c:v>9.7992811735822805E-2</c:v>
                </c:pt>
                <c:pt idx="8">
                  <c:v>0.10316102209329636</c:v>
                </c:pt>
                <c:pt idx="9">
                  <c:v>0.12790804646676712</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6DAC-4A59-BC81-FB7B9A94D13D}"/>
            </c:ext>
          </c:extLst>
        </c:ser>
        <c:ser>
          <c:idx val="2"/>
          <c:order val="2"/>
          <c:tx>
            <c:strRef>
              <c:f>'fig. 6'!$B$25:$C$25</c:f>
              <c:strCache>
                <c:ptCount val="2"/>
                <c:pt idx="1">
                  <c:v>USA</c:v>
                </c:pt>
              </c:strCache>
            </c:strRef>
          </c:tx>
          <c:spPr>
            <a:ln w="28575" cap="rnd">
              <a:solidFill>
                <a:srgbClr val="FFC000"/>
              </a:solidFill>
              <a:round/>
            </a:ln>
            <a:effectLst/>
          </c:spPr>
          <c:marker>
            <c:symbol val="none"/>
          </c:marker>
          <c:cat>
            <c:strRef>
              <c:f>'fig. 6'!$D$22:$M$22</c:f>
              <c:strCache>
                <c:ptCount val="10"/>
                <c:pt idx="0">
                  <c:v>2010</c:v>
                </c:pt>
                <c:pt idx="1">
                  <c:v>2011</c:v>
                </c:pt>
                <c:pt idx="2">
                  <c:v>2012</c:v>
                </c:pt>
                <c:pt idx="3">
                  <c:v>2014</c:v>
                </c:pt>
                <c:pt idx="4">
                  <c:v>2015</c:v>
                </c:pt>
                <c:pt idx="5">
                  <c:v>2016</c:v>
                </c:pt>
                <c:pt idx="6">
                  <c:v>2017</c:v>
                </c:pt>
                <c:pt idx="7">
                  <c:v>2019</c:v>
                </c:pt>
                <c:pt idx="8">
                  <c:v>2020</c:v>
                </c:pt>
                <c:pt idx="9">
                  <c:v>2021</c:v>
                </c:pt>
              </c:strCache>
            </c:strRef>
          </c:cat>
          <c:val>
            <c:numRef>
              <c:f>'fig. 6'!$D$25:$M$25</c:f>
              <c:numCache>
                <c:formatCode>0%</c:formatCode>
                <c:ptCount val="10"/>
                <c:pt idx="0">
                  <c:v>0.15286387635789858</c:v>
                </c:pt>
                <c:pt idx="1">
                  <c:v>0.14172197306961487</c:v>
                </c:pt>
                <c:pt idx="2">
                  <c:v>0.14071775453314536</c:v>
                </c:pt>
                <c:pt idx="3">
                  <c:v>0.13968695698049005</c:v>
                </c:pt>
                <c:pt idx="4">
                  <c:v>0.14829768526606463</c:v>
                </c:pt>
                <c:pt idx="5">
                  <c:v>0.1444077678289713</c:v>
                </c:pt>
                <c:pt idx="6">
                  <c:v>0.13822955323148103</c:v>
                </c:pt>
                <c:pt idx="7">
                  <c:v>0.13588812385335552</c:v>
                </c:pt>
                <c:pt idx="8">
                  <c:v>0.12954364516512779</c:v>
                </c:pt>
                <c:pt idx="9">
                  <c:v>0.13070763432405108</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6DAC-4A59-BC81-FB7B9A94D13D}"/>
            </c:ext>
          </c:extLst>
        </c:ser>
        <c:dLbls>
          <c:showLegendKey val="0"/>
          <c:showVal val="0"/>
          <c:showCatName val="0"/>
          <c:showSerName val="0"/>
          <c:showPercent val="0"/>
          <c:showBubbleSize val="0"/>
        </c:dLbls>
        <c:smooth val="0"/>
        <c:axId val="456818328"/>
        <c:axId val="456815704"/>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02D57815-91ED-43cb-92C2-25804820EDAC}">
            <c15:filteredLineSeries>
              <c15:ser>
                <c:idx val="3"/>
                <c:order val="3"/>
                <c:tx>
                  <c:strRef>
                    <c:extLst xmlns:c16="http://schemas.microsoft.com/office/drawing/2014/chart" xmlns:c14="http://schemas.microsoft.com/office/drawing/2007/8/2/chart" xmlns:mc="http://schemas.openxmlformats.org/markup-compatibility/2006">
                      <c:ext uri="{02D57815-91ED-43cb-92C2-25804820EDAC}">
                        <c15:formulaRef>
                          <c15:sqref>'fig. 6'!$A$26:$C$26</c15:sqref>
                        </c15:formulaRef>
                      </c:ext>
                    </c:extLst>
                    <c:strCache>
                      <c:ptCount val="3"/>
                      <c:pt idx="0">
                        <c:v>Automobile</c:v>
                      </c:pt>
                      <c:pt idx="2">
                        <c:v>UE</c:v>
                      </c:pt>
                    </c:strCache>
                  </c:strRef>
                </c:tx>
                <c:spPr>
                  <a:ln w="28575" cap="rnd">
                    <a:solidFill>
                      <a:schemeClr val="accent4"/>
                    </a:solidFill>
                    <a:round/>
                  </a:ln>
                  <a:effectLst/>
                </c:spPr>
                <c:marker>
                  <c:symbol val="none"/>
                </c:marker>
                <c:cat>
                  <c:strRef>
                    <c:extLst xmlns:c16="http://schemas.microsoft.com/office/drawing/2014/chart" xmlns:c14="http://schemas.microsoft.com/office/drawing/2007/8/2/chart" xmlns:mc="http://schemas.openxmlformats.org/markup-compatibility/2006">
                      <c:ext uri="{02D57815-91ED-43cb-92C2-25804820EDAC}">
                        <c15:formulaRef>
                          <c15:sqref>'fig. 6'!$D$22:$M$22</c15:sqref>
                        </c15:formulaRef>
                      </c:ext>
                    </c:extLst>
                    <c:strCache>
                      <c:ptCount val="10"/>
                      <c:pt idx="0">
                        <c:v>2010</c:v>
                      </c:pt>
                      <c:pt idx="1">
                        <c:v>2011</c:v>
                      </c:pt>
                      <c:pt idx="2">
                        <c:v>2012</c:v>
                      </c:pt>
                      <c:pt idx="3">
                        <c:v>2014</c:v>
                      </c:pt>
                      <c:pt idx="4">
                        <c:v>2015</c:v>
                      </c:pt>
                      <c:pt idx="5">
                        <c:v>2016</c:v>
                      </c:pt>
                      <c:pt idx="6">
                        <c:v>2017</c:v>
                      </c:pt>
                      <c:pt idx="7">
                        <c:v>2019</c:v>
                      </c:pt>
                      <c:pt idx="8">
                        <c:v>2020</c:v>
                      </c:pt>
                      <c:pt idx="9">
                        <c:v>2021</c:v>
                      </c:pt>
                    </c:strCache>
                  </c:strRef>
                </c:cat>
                <c:val>
                  <c:numRef>
                    <c:extLst xmlns:c16="http://schemas.microsoft.com/office/drawing/2014/chart" xmlns:c14="http://schemas.microsoft.com/office/drawing/2007/8/2/chart" xmlns:mc="http://schemas.openxmlformats.org/markup-compatibility/2006">
                      <c:ext uri="{02D57815-91ED-43cb-92C2-25804820EDAC}">
                        <c15:formulaRef>
                          <c15:sqref>'fig. 6'!$D$26:$M$26</c15:sqref>
                        </c15:formulaRef>
                      </c:ext>
                    </c:extLst>
                    <c:numCache>
                      <c:formatCode>0%</c:formatCode>
                      <c:ptCount val="10"/>
                      <c:pt idx="0">
                        <c:v>0.2595662145172194</c:v>
                      </c:pt>
                      <c:pt idx="1">
                        <c:v>0.27700610067456799</c:v>
                      </c:pt>
                      <c:pt idx="2">
                        <c:v>0.26519021006900795</c:v>
                      </c:pt>
                      <c:pt idx="3">
                        <c:v>0.27754034597205979</c:v>
                      </c:pt>
                      <c:pt idx="4">
                        <c:v>0.26932248758647453</c:v>
                      </c:pt>
                      <c:pt idx="5">
                        <c:v>0.26431873423251023</c:v>
                      </c:pt>
                      <c:pt idx="6">
                        <c:v>0.26255492411214459</c:v>
                      </c:pt>
                      <c:pt idx="7">
                        <c:v>0.2496758419021998</c:v>
                      </c:pt>
                      <c:pt idx="8">
                        <c:v>0.26110808449516232</c:v>
                      </c:pt>
                      <c:pt idx="9">
                        <c:v>0.25197572483046454</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6DAC-4A59-BC81-FB7B9A94D13D}"/>
                  </c:ext>
                </c:extLst>
              </c15:ser>
            </c15:filteredLineSeries>
            <c15:filteredLineSeries>
              <c15:ser>
                <c:idx val="4"/>
                <c:order val="4"/>
                <c:tx>
                  <c:strRef>
                    <c:extLst xmlns:c16="http://schemas.microsoft.com/office/drawing/2014/chart" xmlns:c14="http://schemas.microsoft.com/office/drawing/2007/8/2/chart" xmlns:mc="http://schemas.openxmlformats.org/markup-compatibility/2006" xmlns:c15="http://schemas.microsoft.com/office/drawing/2012/chart">
                      <c:ext xmlns:c15="http://schemas.microsoft.com/office/drawing/2012/chart" uri="{02D57815-91ED-43cb-92C2-25804820EDAC}">
                        <c15:formulaRef>
                          <c15:sqref>'fig. 6'!$B$27:$C$27</c15:sqref>
                        </c15:formulaRef>
                      </c:ext>
                    </c:extLst>
                    <c:strCache>
                      <c:ptCount val="2"/>
                      <c:pt idx="1">
                        <c:v>RPC</c:v>
                      </c:pt>
                    </c:strCache>
                  </c:strRef>
                </c:tx>
                <c:spPr>
                  <a:ln w="28575" cap="rnd">
                    <a:solidFill>
                      <a:schemeClr val="accent5"/>
                    </a:solidFill>
                    <a:round/>
                  </a:ln>
                  <a:effectLst/>
                </c:spPr>
                <c:marker>
                  <c:symbol val="none"/>
                </c:marker>
                <c:cat>
                  <c:strRef>
                    <c:extLst xmlns:c16="http://schemas.microsoft.com/office/drawing/2014/chart" xmlns:c14="http://schemas.microsoft.com/office/drawing/2007/8/2/chart" xmlns:mc="http://schemas.openxmlformats.org/markup-compatibility/2006" xmlns:c15="http://schemas.microsoft.com/office/drawing/2012/chart">
                      <c:ext xmlns:c15="http://schemas.microsoft.com/office/drawing/2012/chart" uri="{02D57815-91ED-43cb-92C2-25804820EDAC}">
                        <c15:formulaRef>
                          <c15:sqref>'fig. 6'!$D$22:$M$22</c15:sqref>
                        </c15:formulaRef>
                      </c:ext>
                    </c:extLst>
                    <c:strCache>
                      <c:ptCount val="10"/>
                      <c:pt idx="0">
                        <c:v>2010</c:v>
                      </c:pt>
                      <c:pt idx="1">
                        <c:v>2011</c:v>
                      </c:pt>
                      <c:pt idx="2">
                        <c:v>2012</c:v>
                      </c:pt>
                      <c:pt idx="3">
                        <c:v>2014</c:v>
                      </c:pt>
                      <c:pt idx="4">
                        <c:v>2015</c:v>
                      </c:pt>
                      <c:pt idx="5">
                        <c:v>2016</c:v>
                      </c:pt>
                      <c:pt idx="6">
                        <c:v>2017</c:v>
                      </c:pt>
                      <c:pt idx="7">
                        <c:v>2019</c:v>
                      </c:pt>
                      <c:pt idx="8">
                        <c:v>2020</c:v>
                      </c:pt>
                      <c:pt idx="9">
                        <c:v>2021</c:v>
                      </c:pt>
                    </c:strCache>
                  </c:strRef>
                </c:cat>
                <c:val>
                  <c:numRef>
                    <c:extLst xmlns:c16="http://schemas.microsoft.com/office/drawing/2014/chart" xmlns:c14="http://schemas.microsoft.com/office/drawing/2007/8/2/chart" xmlns:mc="http://schemas.openxmlformats.org/markup-compatibility/2006" xmlns:c15="http://schemas.microsoft.com/office/drawing/2012/chart">
                      <c:ext xmlns:c15="http://schemas.microsoft.com/office/drawing/2012/chart" uri="{02D57815-91ED-43cb-92C2-25804820EDAC}">
                        <c15:formulaRef>
                          <c15:sqref>'fig. 6'!$D$27:$M$27</c15:sqref>
                        </c15:formulaRef>
                      </c:ext>
                    </c:extLst>
                    <c:numCache>
                      <c:formatCode>0%</c:formatCode>
                      <c:ptCount val="10"/>
                      <c:pt idx="0">
                        <c:v>3.5426867406700743E-2</c:v>
                      </c:pt>
                      <c:pt idx="1">
                        <c:v>4.0306377489317098E-2</c:v>
                      </c:pt>
                      <c:pt idx="2">
                        <c:v>4.318380111610743E-2</c:v>
                      </c:pt>
                      <c:pt idx="3">
                        <c:v>4.8406607514764201E-2</c:v>
                      </c:pt>
                      <c:pt idx="4">
                        <c:v>4.9466048357733598E-2</c:v>
                      </c:pt>
                      <c:pt idx="5">
                        <c:v>4.8305877779536675E-2</c:v>
                      </c:pt>
                      <c:pt idx="6">
                        <c:v>5.1072474857171396E-2</c:v>
                      </c:pt>
                      <c:pt idx="7">
                        <c:v>5.5285384967453687E-2</c:v>
                      </c:pt>
                      <c:pt idx="8">
                        <c:v>6.4912894987364661E-2</c:v>
                      </c:pt>
                      <c:pt idx="9">
                        <c:v>8.9216884100681002E-2</c:v>
                      </c:pt>
                    </c:numCache>
                  </c:numRef>
                </c:val>
                <c:smooth val="0"/>
                <c:extLst xmlns:c16="http://schemas.microsoft.com/office/drawing/2014/chart" xmlns:c14="http://schemas.microsoft.com/office/drawing/2007/8/2/chart" xmlns:mc="http://schemas.openxmlformats.org/markup-compatibility/2006" xmlns:c15="http://schemas.microsoft.com/office/drawing/2012/chart">
                  <c:ext xmlns:c16="http://schemas.microsoft.com/office/drawing/2014/chart" uri="{C3380CC4-5D6E-409C-BE32-E72D297353CC}">
                    <c16:uniqueId val="{00000004-6DAC-4A59-BC81-FB7B9A94D13D}"/>
                  </c:ext>
                </c:extLst>
              </c15:ser>
            </c15:filteredLineSeries>
            <c15:filteredLineSeries>
              <c15:ser>
                <c:idx val="5"/>
                <c:order val="5"/>
                <c:tx>
                  <c:strRef>
                    <c:extLst xmlns:c16="http://schemas.microsoft.com/office/drawing/2014/chart" xmlns:c14="http://schemas.microsoft.com/office/drawing/2007/8/2/chart" xmlns:mc="http://schemas.openxmlformats.org/markup-compatibility/2006" xmlns:c15="http://schemas.microsoft.com/office/drawing/2012/chart">
                      <c:ext xmlns:c15="http://schemas.microsoft.com/office/drawing/2012/chart" uri="{02D57815-91ED-43cb-92C2-25804820EDAC}">
                        <c15:formulaRef>
                          <c15:sqref>'fig. 6'!$B$28:$C$28</c15:sqref>
                        </c15:formulaRef>
                      </c:ext>
                    </c:extLst>
                    <c:strCache>
                      <c:ptCount val="2"/>
                      <c:pt idx="1">
                        <c:v>USA</c:v>
                      </c:pt>
                    </c:strCache>
                  </c:strRef>
                </c:tx>
                <c:spPr>
                  <a:ln w="28575" cap="rnd">
                    <a:solidFill>
                      <a:schemeClr val="accent6"/>
                    </a:solidFill>
                    <a:round/>
                  </a:ln>
                  <a:effectLst/>
                </c:spPr>
                <c:marker>
                  <c:symbol val="none"/>
                </c:marker>
                <c:cat>
                  <c:strRef>
                    <c:extLst xmlns:c16="http://schemas.microsoft.com/office/drawing/2014/chart" xmlns:c14="http://schemas.microsoft.com/office/drawing/2007/8/2/chart" xmlns:mc="http://schemas.openxmlformats.org/markup-compatibility/2006" xmlns:c15="http://schemas.microsoft.com/office/drawing/2012/chart">
                      <c:ext xmlns:c15="http://schemas.microsoft.com/office/drawing/2012/chart" uri="{02D57815-91ED-43cb-92C2-25804820EDAC}">
                        <c15:formulaRef>
                          <c15:sqref>'fig. 6'!$D$22:$M$22</c15:sqref>
                        </c15:formulaRef>
                      </c:ext>
                    </c:extLst>
                    <c:strCache>
                      <c:ptCount val="10"/>
                      <c:pt idx="0">
                        <c:v>2010</c:v>
                      </c:pt>
                      <c:pt idx="1">
                        <c:v>2011</c:v>
                      </c:pt>
                      <c:pt idx="2">
                        <c:v>2012</c:v>
                      </c:pt>
                      <c:pt idx="3">
                        <c:v>2014</c:v>
                      </c:pt>
                      <c:pt idx="4">
                        <c:v>2015</c:v>
                      </c:pt>
                      <c:pt idx="5">
                        <c:v>2016</c:v>
                      </c:pt>
                      <c:pt idx="6">
                        <c:v>2017</c:v>
                      </c:pt>
                      <c:pt idx="7">
                        <c:v>2019</c:v>
                      </c:pt>
                      <c:pt idx="8">
                        <c:v>2020</c:v>
                      </c:pt>
                      <c:pt idx="9">
                        <c:v>2021</c:v>
                      </c:pt>
                    </c:strCache>
                  </c:strRef>
                </c:cat>
                <c:val>
                  <c:numRef>
                    <c:extLst xmlns:c16="http://schemas.microsoft.com/office/drawing/2014/chart" xmlns:c14="http://schemas.microsoft.com/office/drawing/2007/8/2/chart" xmlns:mc="http://schemas.openxmlformats.org/markup-compatibility/2006" xmlns:c15="http://schemas.microsoft.com/office/drawing/2012/chart">
                      <c:ext xmlns:c15="http://schemas.microsoft.com/office/drawing/2012/chart" uri="{02D57815-91ED-43cb-92C2-25804820EDAC}">
                        <c15:formulaRef>
                          <c15:sqref>'fig. 6'!$D$28:$M$28</c15:sqref>
                        </c15:formulaRef>
                      </c:ext>
                    </c:extLst>
                    <c:numCache>
                      <c:formatCode>0%</c:formatCode>
                      <c:ptCount val="10"/>
                      <c:pt idx="0">
                        <c:v>0.12593425616466916</c:v>
                      </c:pt>
                      <c:pt idx="1">
                        <c:v>0.12855921954365879</c:v>
                      </c:pt>
                      <c:pt idx="2">
                        <c:v>0.13239426179340494</c:v>
                      </c:pt>
                      <c:pt idx="3">
                        <c:v>0.13119930006752065</c:v>
                      </c:pt>
                      <c:pt idx="4">
                        <c:v>0.12958980350419519</c:v>
                      </c:pt>
                      <c:pt idx="5">
                        <c:v>0.12829000759444464</c:v>
                      </c:pt>
                      <c:pt idx="6">
                        <c:v>0.12712805904807314</c:v>
                      </c:pt>
                      <c:pt idx="7">
                        <c:v>0.12982823116410744</c:v>
                      </c:pt>
                      <c:pt idx="8">
                        <c:v>0.12348742226662088</c:v>
                      </c:pt>
                      <c:pt idx="9">
                        <c:v>0.11992289108748212</c:v>
                      </c:pt>
                    </c:numCache>
                  </c:numRef>
                </c:val>
                <c:smooth val="0"/>
                <c:extLst xmlns:c16="http://schemas.microsoft.com/office/drawing/2014/chart" xmlns:c14="http://schemas.microsoft.com/office/drawing/2007/8/2/chart" xmlns:mc="http://schemas.openxmlformats.org/markup-compatibility/2006" xmlns:c15="http://schemas.microsoft.com/office/drawing/2012/chart">
                  <c:ext xmlns:c16="http://schemas.microsoft.com/office/drawing/2014/chart" uri="{C3380CC4-5D6E-409C-BE32-E72D297353CC}">
                    <c16:uniqueId val="{00000005-6DAC-4A59-BC81-FB7B9A94D13D}"/>
                  </c:ext>
                </c:extLst>
              </c15:ser>
            </c15:filteredLineSeries>
          </c:ext>
        </c:extLst>
      </c:lineChart>
      <c:catAx>
        <c:axId val="456818328"/>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3480000" spcFirstLastPara="1" vertOverflow="ellipsis" wrap="square" anchor="ctr" anchorCtr="1"/>
          <a:lstStyle/>
          <a:p>
            <a:pPr>
              <a:defRPr sz="1050" b="0" i="0" u="none" strike="noStrike" kern="1200" baseline="0">
                <a:solidFill>
                  <a:sysClr val="windowText" lastClr="000000"/>
                </a:solidFill>
                <a:latin typeface="+mn-lt"/>
                <a:ea typeface="+mn-ea"/>
                <a:cs typeface="+mn-cs"/>
              </a:defRPr>
            </a:pPr>
            <a:endParaRPr lang="en-US"/>
          </a:p>
        </c:txPr>
        <c:crossAx val="456815704"/>
        <c:crosses val="autoZero"/>
        <c:auto val="1"/>
        <c:lblAlgn val="ctr"/>
        <c:lblOffset val="100"/>
        <c:noMultiLvlLbl val="0"/>
      </c:catAx>
      <c:valAx>
        <c:axId val="456815704"/>
        <c:scaling>
          <c:orientation val="minMax"/>
          <c:max val="0.30000000000000004"/>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56818328"/>
        <c:crosses val="autoZero"/>
        <c:crossBetween val="between"/>
      </c:valAx>
      <c:spPr>
        <a:noFill/>
        <a:ln>
          <a:noFill/>
        </a:ln>
        <a:effectLst/>
      </c:spPr>
    </c:plotArea>
    <c:legend>
      <c:legendPos val="b"/>
      <c:layout>
        <c:manualLayout>
          <c:xMode val="edge"/>
          <c:yMode val="edge"/>
          <c:x val="3.7697330516612275E-2"/>
          <c:y val="0.87029379392092132"/>
          <c:w val="0.92460485884386401"/>
          <c:h val="9.7448141562949786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9656278630003329E-2"/>
          <c:y val="0.14471690888137687"/>
          <c:w val="0.88498840769903764"/>
          <c:h val="0.6533564404927853"/>
        </c:manualLayout>
      </c:layout>
      <c:lineChart>
        <c:grouping val="standard"/>
        <c:varyColors val="0"/>
        <c:ser>
          <c:idx val="3"/>
          <c:order val="3"/>
          <c:tx>
            <c:strRef>
              <c:f>'fig. 6'!$A$26:$C$26</c:f>
              <c:strCache>
                <c:ptCount val="3"/>
                <c:pt idx="0">
                  <c:v>Automobile</c:v>
                </c:pt>
                <c:pt idx="2">
                  <c:v>UE</c:v>
                </c:pt>
              </c:strCache>
            </c:strRef>
          </c:tx>
          <c:spPr>
            <a:ln w="28575" cap="rnd">
              <a:solidFill>
                <a:srgbClr val="5B9BD5"/>
              </a:solidFill>
              <a:round/>
            </a:ln>
            <a:effectLst/>
          </c:spPr>
          <c:marker>
            <c:symbol val="none"/>
          </c:marker>
          <c:cat>
            <c:strRef>
              <c:f>'fig. 6'!$D$22:$M$22</c:f>
              <c:strCache>
                <c:ptCount val="10"/>
                <c:pt idx="0">
                  <c:v>2010</c:v>
                </c:pt>
                <c:pt idx="1">
                  <c:v>2011</c:v>
                </c:pt>
                <c:pt idx="2">
                  <c:v>2012</c:v>
                </c:pt>
                <c:pt idx="3">
                  <c:v>2014</c:v>
                </c:pt>
                <c:pt idx="4">
                  <c:v>2015</c:v>
                </c:pt>
                <c:pt idx="5">
                  <c:v>2016</c:v>
                </c:pt>
                <c:pt idx="6">
                  <c:v>2017</c:v>
                </c:pt>
                <c:pt idx="7">
                  <c:v>2019</c:v>
                </c:pt>
                <c:pt idx="8">
                  <c:v>2020</c:v>
                </c:pt>
                <c:pt idx="9">
                  <c:v>2021</c:v>
                </c:pt>
              </c:strCache>
            </c:strRef>
          </c:cat>
          <c:val>
            <c:numRef>
              <c:f>'fig. 6'!$D$26:$M$26</c:f>
              <c:numCache>
                <c:formatCode>0%</c:formatCode>
                <c:ptCount val="10"/>
                <c:pt idx="0">
                  <c:v>0.2595662145172194</c:v>
                </c:pt>
                <c:pt idx="1">
                  <c:v>0.27700610067456799</c:v>
                </c:pt>
                <c:pt idx="2">
                  <c:v>0.26519021006900795</c:v>
                </c:pt>
                <c:pt idx="3">
                  <c:v>0.27754034597205979</c:v>
                </c:pt>
                <c:pt idx="4">
                  <c:v>0.26932248758647453</c:v>
                </c:pt>
                <c:pt idx="5">
                  <c:v>0.26431873423251023</c:v>
                </c:pt>
                <c:pt idx="6">
                  <c:v>0.26255492411214459</c:v>
                </c:pt>
                <c:pt idx="7">
                  <c:v>0.2496758419021998</c:v>
                </c:pt>
                <c:pt idx="8">
                  <c:v>0.26110808449516232</c:v>
                </c:pt>
                <c:pt idx="9">
                  <c:v>0.25197572483046454</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D2B1-4910-8913-73DD57B4EADD}"/>
            </c:ext>
          </c:extLst>
        </c:ser>
        <c:ser>
          <c:idx val="4"/>
          <c:order val="4"/>
          <c:tx>
            <c:strRef>
              <c:f>'fig. 6'!$B$27:$C$27</c:f>
              <c:strCache>
                <c:ptCount val="2"/>
                <c:pt idx="1">
                  <c:v>RPC</c:v>
                </c:pt>
              </c:strCache>
            </c:strRef>
          </c:tx>
          <c:spPr>
            <a:ln w="28575" cap="rnd">
              <a:solidFill>
                <a:srgbClr val="ED7D31"/>
              </a:solidFill>
              <a:round/>
            </a:ln>
            <a:effectLst/>
          </c:spPr>
          <c:marker>
            <c:symbol val="none"/>
          </c:marker>
          <c:cat>
            <c:strRef>
              <c:f>'fig. 6'!$D$22:$M$22</c:f>
              <c:strCache>
                <c:ptCount val="10"/>
                <c:pt idx="0">
                  <c:v>2010</c:v>
                </c:pt>
                <c:pt idx="1">
                  <c:v>2011</c:v>
                </c:pt>
                <c:pt idx="2">
                  <c:v>2012</c:v>
                </c:pt>
                <c:pt idx="3">
                  <c:v>2014</c:v>
                </c:pt>
                <c:pt idx="4">
                  <c:v>2015</c:v>
                </c:pt>
                <c:pt idx="5">
                  <c:v>2016</c:v>
                </c:pt>
                <c:pt idx="6">
                  <c:v>2017</c:v>
                </c:pt>
                <c:pt idx="7">
                  <c:v>2019</c:v>
                </c:pt>
                <c:pt idx="8">
                  <c:v>2020</c:v>
                </c:pt>
                <c:pt idx="9">
                  <c:v>2021</c:v>
                </c:pt>
              </c:strCache>
            </c:strRef>
          </c:cat>
          <c:val>
            <c:numRef>
              <c:f>'fig. 6'!$D$27:$M$27</c:f>
              <c:numCache>
                <c:formatCode>0%</c:formatCode>
                <c:ptCount val="10"/>
                <c:pt idx="0">
                  <c:v>3.5426867406700743E-2</c:v>
                </c:pt>
                <c:pt idx="1">
                  <c:v>4.0306377489317098E-2</c:v>
                </c:pt>
                <c:pt idx="2">
                  <c:v>4.318380111610743E-2</c:v>
                </c:pt>
                <c:pt idx="3">
                  <c:v>4.8406607514764201E-2</c:v>
                </c:pt>
                <c:pt idx="4">
                  <c:v>4.9466048357733598E-2</c:v>
                </c:pt>
                <c:pt idx="5">
                  <c:v>4.8305877779536675E-2</c:v>
                </c:pt>
                <c:pt idx="6">
                  <c:v>5.1072474857171396E-2</c:v>
                </c:pt>
                <c:pt idx="7">
                  <c:v>5.5285384967453687E-2</c:v>
                </c:pt>
                <c:pt idx="8">
                  <c:v>6.4912894987364661E-2</c:v>
                </c:pt>
                <c:pt idx="9">
                  <c:v>8.9216884100681002E-2</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D2B1-4910-8913-73DD57B4EADD}"/>
            </c:ext>
          </c:extLst>
        </c:ser>
        <c:ser>
          <c:idx val="5"/>
          <c:order val="5"/>
          <c:tx>
            <c:strRef>
              <c:f>'fig. 6'!$B$28:$C$28</c:f>
              <c:strCache>
                <c:ptCount val="2"/>
                <c:pt idx="1">
                  <c:v>USA</c:v>
                </c:pt>
              </c:strCache>
            </c:strRef>
          </c:tx>
          <c:spPr>
            <a:ln w="28575" cap="rnd">
              <a:solidFill>
                <a:srgbClr val="FFC000"/>
              </a:solidFill>
              <a:round/>
            </a:ln>
            <a:effectLst/>
          </c:spPr>
          <c:marker>
            <c:symbol val="none"/>
          </c:marker>
          <c:cat>
            <c:strRef>
              <c:f>'fig. 6'!$D$22:$M$22</c:f>
              <c:strCache>
                <c:ptCount val="10"/>
                <c:pt idx="0">
                  <c:v>2010</c:v>
                </c:pt>
                <c:pt idx="1">
                  <c:v>2011</c:v>
                </c:pt>
                <c:pt idx="2">
                  <c:v>2012</c:v>
                </c:pt>
                <c:pt idx="3">
                  <c:v>2014</c:v>
                </c:pt>
                <c:pt idx="4">
                  <c:v>2015</c:v>
                </c:pt>
                <c:pt idx="5">
                  <c:v>2016</c:v>
                </c:pt>
                <c:pt idx="6">
                  <c:v>2017</c:v>
                </c:pt>
                <c:pt idx="7">
                  <c:v>2019</c:v>
                </c:pt>
                <c:pt idx="8">
                  <c:v>2020</c:v>
                </c:pt>
                <c:pt idx="9">
                  <c:v>2021</c:v>
                </c:pt>
              </c:strCache>
            </c:strRef>
          </c:cat>
          <c:val>
            <c:numRef>
              <c:f>'fig. 6'!$D$28:$M$28</c:f>
              <c:numCache>
                <c:formatCode>0%</c:formatCode>
                <c:ptCount val="10"/>
                <c:pt idx="0">
                  <c:v>0.12593425616466916</c:v>
                </c:pt>
                <c:pt idx="1">
                  <c:v>0.12855921954365879</c:v>
                </c:pt>
                <c:pt idx="2">
                  <c:v>0.13239426179340494</c:v>
                </c:pt>
                <c:pt idx="3">
                  <c:v>0.13119930006752065</c:v>
                </c:pt>
                <c:pt idx="4">
                  <c:v>0.12958980350419519</c:v>
                </c:pt>
                <c:pt idx="5">
                  <c:v>0.12829000759444464</c:v>
                </c:pt>
                <c:pt idx="6">
                  <c:v>0.12712805904807314</c:v>
                </c:pt>
                <c:pt idx="7">
                  <c:v>0.12982823116410744</c:v>
                </c:pt>
                <c:pt idx="8">
                  <c:v>0.12348742226662088</c:v>
                </c:pt>
                <c:pt idx="9">
                  <c:v>0.11992289108748212</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D2B1-4910-8913-73DD57B4EADD}"/>
            </c:ext>
          </c:extLst>
        </c:ser>
        <c:dLbls>
          <c:showLegendKey val="0"/>
          <c:showVal val="0"/>
          <c:showCatName val="0"/>
          <c:showSerName val="0"/>
          <c:showPercent val="0"/>
          <c:showBubbleSize val="0"/>
        </c:dLbls>
        <c:smooth val="0"/>
        <c:axId val="456818328"/>
        <c:axId val="456815704"/>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02D57815-91ED-43cb-92C2-25804820EDAC}">
            <c15:filteredLineSeries>
              <c15:ser>
                <c:idx val="0"/>
                <c:order val="0"/>
                <c:tx>
                  <c:strRef>
                    <c:extLst xmlns:c16="http://schemas.microsoft.com/office/drawing/2014/chart" xmlns:c14="http://schemas.microsoft.com/office/drawing/2007/8/2/chart" xmlns:mc="http://schemas.openxmlformats.org/markup-compatibility/2006">
                      <c:ext uri="{02D57815-91ED-43cb-92C2-25804820EDAC}">
                        <c15:formulaRef>
                          <c15:sqref>'fig. 6'!$A$23:$C$23</c15:sqref>
                        </c15:formulaRef>
                      </c:ext>
                    </c:extLst>
                    <c:strCache>
                      <c:ptCount val="3"/>
                      <c:pt idx="0">
                        <c:v>Produits chimiques</c:v>
                      </c:pt>
                      <c:pt idx="2">
                        <c:v>UE</c:v>
                      </c:pt>
                    </c:strCache>
                  </c:strRef>
                </c:tx>
                <c:spPr>
                  <a:ln w="28575" cap="rnd">
                    <a:solidFill>
                      <a:schemeClr val="accent1"/>
                    </a:solidFill>
                    <a:round/>
                  </a:ln>
                  <a:effectLst/>
                </c:spPr>
                <c:marker>
                  <c:symbol val="none"/>
                </c:marker>
                <c:cat>
                  <c:strRef>
                    <c:extLst xmlns:c16="http://schemas.microsoft.com/office/drawing/2014/chart" xmlns:c14="http://schemas.microsoft.com/office/drawing/2007/8/2/chart" xmlns:mc="http://schemas.openxmlformats.org/markup-compatibility/2006">
                      <c:ext uri="{02D57815-91ED-43cb-92C2-25804820EDAC}">
                        <c15:formulaRef>
                          <c15:sqref>'fig. 6'!$D$22:$M$22</c15:sqref>
                        </c15:formulaRef>
                      </c:ext>
                    </c:extLst>
                    <c:strCache>
                      <c:ptCount val="10"/>
                      <c:pt idx="0">
                        <c:v>2010</c:v>
                      </c:pt>
                      <c:pt idx="1">
                        <c:v>2011</c:v>
                      </c:pt>
                      <c:pt idx="2">
                        <c:v>2012</c:v>
                      </c:pt>
                      <c:pt idx="3">
                        <c:v>2014</c:v>
                      </c:pt>
                      <c:pt idx="4">
                        <c:v>2015</c:v>
                      </c:pt>
                      <c:pt idx="5">
                        <c:v>2016</c:v>
                      </c:pt>
                      <c:pt idx="6">
                        <c:v>2017</c:v>
                      </c:pt>
                      <c:pt idx="7">
                        <c:v>2019</c:v>
                      </c:pt>
                      <c:pt idx="8">
                        <c:v>2020</c:v>
                      </c:pt>
                      <c:pt idx="9">
                        <c:v>2021</c:v>
                      </c:pt>
                    </c:strCache>
                  </c:strRef>
                </c:cat>
                <c:val>
                  <c:numRef>
                    <c:extLst xmlns:c16="http://schemas.microsoft.com/office/drawing/2014/chart" xmlns:c14="http://schemas.microsoft.com/office/drawing/2007/8/2/chart" xmlns:mc="http://schemas.openxmlformats.org/markup-compatibility/2006">
                      <c:ext uri="{02D57815-91ED-43cb-92C2-25804820EDAC}">
                        <c15:formulaRef>
                          <c15:sqref>'fig. 6'!$D$23:$M$23</c15:sqref>
                        </c15:formulaRef>
                      </c:ext>
                    </c:extLst>
                    <c:numCache>
                      <c:formatCode>0%</c:formatCode>
                      <c:ptCount val="10"/>
                      <c:pt idx="0">
                        <c:v>0.25972285720065541</c:v>
                      </c:pt>
                      <c:pt idx="1">
                        <c:v>0.25342995526204831</c:v>
                      </c:pt>
                      <c:pt idx="2">
                        <c:v>0.25217841921538142</c:v>
                      </c:pt>
                      <c:pt idx="3">
                        <c:v>0.2629409689363989</c:v>
                      </c:pt>
                      <c:pt idx="4">
                        <c:v>0.2621436002067638</c:v>
                      </c:pt>
                      <c:pt idx="5">
                        <c:v>0.26817999799413322</c:v>
                      </c:pt>
                      <c:pt idx="6">
                        <c:v>0.26927669874317905</c:v>
                      </c:pt>
                      <c:pt idx="7">
                        <c:v>0.27733648880196404</c:v>
                      </c:pt>
                      <c:pt idx="8">
                        <c:v>0.28762891314891242</c:v>
                      </c:pt>
                      <c:pt idx="9">
                        <c:v>0.26255456823789619</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D2B1-4910-8913-73DD57B4EADD}"/>
                  </c:ext>
                </c:extLst>
              </c15:ser>
            </c15:filteredLineSeries>
            <c15:filteredLineSeries>
              <c15:ser>
                <c:idx val="1"/>
                <c:order val="1"/>
                <c:tx>
                  <c:strRef>
                    <c:extLst xmlns:c16="http://schemas.microsoft.com/office/drawing/2014/chart" xmlns:c14="http://schemas.microsoft.com/office/drawing/2007/8/2/chart" xmlns:mc="http://schemas.openxmlformats.org/markup-compatibility/2006" xmlns:c15="http://schemas.microsoft.com/office/drawing/2012/chart">
                      <c:ext xmlns:c15="http://schemas.microsoft.com/office/drawing/2012/chart" uri="{02D57815-91ED-43cb-92C2-25804820EDAC}">
                        <c15:formulaRef>
                          <c15:sqref>'fig. 6'!$B$24:$C$24</c15:sqref>
                        </c15:formulaRef>
                      </c:ext>
                    </c:extLst>
                    <c:strCache>
                      <c:ptCount val="2"/>
                      <c:pt idx="1">
                        <c:v>RPC</c:v>
                      </c:pt>
                    </c:strCache>
                  </c:strRef>
                </c:tx>
                <c:spPr>
                  <a:ln w="28575" cap="rnd">
                    <a:solidFill>
                      <a:schemeClr val="accent2"/>
                    </a:solidFill>
                    <a:round/>
                  </a:ln>
                  <a:effectLst/>
                </c:spPr>
                <c:marker>
                  <c:symbol val="none"/>
                </c:marker>
                <c:cat>
                  <c:strRef>
                    <c:extLst xmlns:c16="http://schemas.microsoft.com/office/drawing/2014/chart" xmlns:c14="http://schemas.microsoft.com/office/drawing/2007/8/2/chart" xmlns:mc="http://schemas.openxmlformats.org/markup-compatibility/2006" xmlns:c15="http://schemas.microsoft.com/office/drawing/2012/chart">
                      <c:ext xmlns:c15="http://schemas.microsoft.com/office/drawing/2012/chart" uri="{02D57815-91ED-43cb-92C2-25804820EDAC}">
                        <c15:formulaRef>
                          <c15:sqref>'fig. 6'!$D$22:$M$22</c15:sqref>
                        </c15:formulaRef>
                      </c:ext>
                    </c:extLst>
                    <c:strCache>
                      <c:ptCount val="10"/>
                      <c:pt idx="0">
                        <c:v>2010</c:v>
                      </c:pt>
                      <c:pt idx="1">
                        <c:v>2011</c:v>
                      </c:pt>
                      <c:pt idx="2">
                        <c:v>2012</c:v>
                      </c:pt>
                      <c:pt idx="3">
                        <c:v>2014</c:v>
                      </c:pt>
                      <c:pt idx="4">
                        <c:v>2015</c:v>
                      </c:pt>
                      <c:pt idx="5">
                        <c:v>2016</c:v>
                      </c:pt>
                      <c:pt idx="6">
                        <c:v>2017</c:v>
                      </c:pt>
                      <c:pt idx="7">
                        <c:v>2019</c:v>
                      </c:pt>
                      <c:pt idx="8">
                        <c:v>2020</c:v>
                      </c:pt>
                      <c:pt idx="9">
                        <c:v>2021</c:v>
                      </c:pt>
                    </c:strCache>
                  </c:strRef>
                </c:cat>
                <c:val>
                  <c:numRef>
                    <c:extLst xmlns:c16="http://schemas.microsoft.com/office/drawing/2014/chart" xmlns:c14="http://schemas.microsoft.com/office/drawing/2007/8/2/chart" xmlns:mc="http://schemas.openxmlformats.org/markup-compatibility/2006" xmlns:c15="http://schemas.microsoft.com/office/drawing/2012/chart">
                      <c:ext xmlns:c15="http://schemas.microsoft.com/office/drawing/2012/chart" uri="{02D57815-91ED-43cb-92C2-25804820EDAC}">
                        <c15:formulaRef>
                          <c15:sqref>'fig. 6'!$D$24:$M$24</c15:sqref>
                        </c15:formulaRef>
                      </c:ext>
                    </c:extLst>
                    <c:numCache>
                      <c:formatCode>0%</c:formatCode>
                      <c:ptCount val="10"/>
                      <c:pt idx="0">
                        <c:v>7.0818279287115898E-2</c:v>
                      </c:pt>
                      <c:pt idx="1">
                        <c:v>7.852619387905968E-2</c:v>
                      </c:pt>
                      <c:pt idx="2">
                        <c:v>7.7202374516048528E-2</c:v>
                      </c:pt>
                      <c:pt idx="3">
                        <c:v>8.8684751105410492E-2</c:v>
                      </c:pt>
                      <c:pt idx="4">
                        <c:v>9.3119926611783671E-2</c:v>
                      </c:pt>
                      <c:pt idx="5">
                        <c:v>8.9199578621559555E-2</c:v>
                      </c:pt>
                      <c:pt idx="6">
                        <c:v>9.4536015122549416E-2</c:v>
                      </c:pt>
                      <c:pt idx="7">
                        <c:v>9.7992811735822805E-2</c:v>
                      </c:pt>
                      <c:pt idx="8">
                        <c:v>0.10316102209329636</c:v>
                      </c:pt>
                      <c:pt idx="9">
                        <c:v>0.12790804646676712</c:v>
                      </c:pt>
                    </c:numCache>
                  </c:numRef>
                </c:val>
                <c:smooth val="0"/>
                <c:extLst xmlns:c16="http://schemas.microsoft.com/office/drawing/2014/chart" xmlns:c14="http://schemas.microsoft.com/office/drawing/2007/8/2/chart" xmlns:mc="http://schemas.openxmlformats.org/markup-compatibility/2006" xmlns:c15="http://schemas.microsoft.com/office/drawing/2012/chart">
                  <c:ext xmlns:c16="http://schemas.microsoft.com/office/drawing/2014/chart" uri="{C3380CC4-5D6E-409C-BE32-E72D297353CC}">
                    <c16:uniqueId val="{00000004-D2B1-4910-8913-73DD57B4EADD}"/>
                  </c:ext>
                </c:extLst>
              </c15:ser>
            </c15:filteredLineSeries>
            <c15:filteredLineSeries>
              <c15:ser>
                <c:idx val="2"/>
                <c:order val="2"/>
                <c:tx>
                  <c:strRef>
                    <c:extLst xmlns:c16="http://schemas.microsoft.com/office/drawing/2014/chart" xmlns:c14="http://schemas.microsoft.com/office/drawing/2007/8/2/chart" xmlns:mc="http://schemas.openxmlformats.org/markup-compatibility/2006" xmlns:c15="http://schemas.microsoft.com/office/drawing/2012/chart">
                      <c:ext xmlns:c15="http://schemas.microsoft.com/office/drawing/2012/chart" uri="{02D57815-91ED-43cb-92C2-25804820EDAC}">
                        <c15:formulaRef>
                          <c15:sqref>'fig. 6'!$B$25:$C$25</c15:sqref>
                        </c15:formulaRef>
                      </c:ext>
                    </c:extLst>
                    <c:strCache>
                      <c:ptCount val="2"/>
                      <c:pt idx="1">
                        <c:v>USA</c:v>
                      </c:pt>
                    </c:strCache>
                  </c:strRef>
                </c:tx>
                <c:spPr>
                  <a:ln w="28575" cap="rnd">
                    <a:solidFill>
                      <a:schemeClr val="accent3"/>
                    </a:solidFill>
                    <a:round/>
                  </a:ln>
                  <a:effectLst/>
                </c:spPr>
                <c:marker>
                  <c:symbol val="none"/>
                </c:marker>
                <c:cat>
                  <c:strRef>
                    <c:extLst xmlns:c16="http://schemas.microsoft.com/office/drawing/2014/chart" xmlns:c14="http://schemas.microsoft.com/office/drawing/2007/8/2/chart" xmlns:mc="http://schemas.openxmlformats.org/markup-compatibility/2006" xmlns:c15="http://schemas.microsoft.com/office/drawing/2012/chart">
                      <c:ext xmlns:c15="http://schemas.microsoft.com/office/drawing/2012/chart" uri="{02D57815-91ED-43cb-92C2-25804820EDAC}">
                        <c15:formulaRef>
                          <c15:sqref>'fig. 6'!$D$22:$M$22</c15:sqref>
                        </c15:formulaRef>
                      </c:ext>
                    </c:extLst>
                    <c:strCache>
                      <c:ptCount val="10"/>
                      <c:pt idx="0">
                        <c:v>2010</c:v>
                      </c:pt>
                      <c:pt idx="1">
                        <c:v>2011</c:v>
                      </c:pt>
                      <c:pt idx="2">
                        <c:v>2012</c:v>
                      </c:pt>
                      <c:pt idx="3">
                        <c:v>2014</c:v>
                      </c:pt>
                      <c:pt idx="4">
                        <c:v>2015</c:v>
                      </c:pt>
                      <c:pt idx="5">
                        <c:v>2016</c:v>
                      </c:pt>
                      <c:pt idx="6">
                        <c:v>2017</c:v>
                      </c:pt>
                      <c:pt idx="7">
                        <c:v>2019</c:v>
                      </c:pt>
                      <c:pt idx="8">
                        <c:v>2020</c:v>
                      </c:pt>
                      <c:pt idx="9">
                        <c:v>2021</c:v>
                      </c:pt>
                    </c:strCache>
                  </c:strRef>
                </c:cat>
                <c:val>
                  <c:numRef>
                    <c:extLst xmlns:c16="http://schemas.microsoft.com/office/drawing/2014/chart" xmlns:c14="http://schemas.microsoft.com/office/drawing/2007/8/2/chart" xmlns:mc="http://schemas.openxmlformats.org/markup-compatibility/2006" xmlns:c15="http://schemas.microsoft.com/office/drawing/2012/chart">
                      <c:ext xmlns:c15="http://schemas.microsoft.com/office/drawing/2012/chart" uri="{02D57815-91ED-43cb-92C2-25804820EDAC}">
                        <c15:formulaRef>
                          <c15:sqref>'fig. 6'!$D$25:$M$25</c15:sqref>
                        </c15:formulaRef>
                      </c:ext>
                    </c:extLst>
                    <c:numCache>
                      <c:formatCode>0%</c:formatCode>
                      <c:ptCount val="10"/>
                      <c:pt idx="0">
                        <c:v>0.15286387635789858</c:v>
                      </c:pt>
                      <c:pt idx="1">
                        <c:v>0.14172197306961487</c:v>
                      </c:pt>
                      <c:pt idx="2">
                        <c:v>0.14071775453314536</c:v>
                      </c:pt>
                      <c:pt idx="3">
                        <c:v>0.13968695698049005</c:v>
                      </c:pt>
                      <c:pt idx="4">
                        <c:v>0.14829768526606463</c:v>
                      </c:pt>
                      <c:pt idx="5">
                        <c:v>0.1444077678289713</c:v>
                      </c:pt>
                      <c:pt idx="6">
                        <c:v>0.13822955323148103</c:v>
                      </c:pt>
                      <c:pt idx="7">
                        <c:v>0.13588812385335552</c:v>
                      </c:pt>
                      <c:pt idx="8">
                        <c:v>0.12954364516512779</c:v>
                      </c:pt>
                      <c:pt idx="9">
                        <c:v>0.13070763432405108</c:v>
                      </c:pt>
                    </c:numCache>
                  </c:numRef>
                </c:val>
                <c:smooth val="0"/>
                <c:extLst xmlns:c16="http://schemas.microsoft.com/office/drawing/2014/chart" xmlns:c14="http://schemas.microsoft.com/office/drawing/2007/8/2/chart" xmlns:mc="http://schemas.openxmlformats.org/markup-compatibility/2006" xmlns:c15="http://schemas.microsoft.com/office/drawing/2012/chart">
                  <c:ext xmlns:c16="http://schemas.microsoft.com/office/drawing/2014/chart" uri="{C3380CC4-5D6E-409C-BE32-E72D297353CC}">
                    <c16:uniqueId val="{00000005-D2B1-4910-8913-73DD57B4EADD}"/>
                  </c:ext>
                </c:extLst>
              </c15:ser>
            </c15:filteredLineSeries>
          </c:ext>
        </c:extLst>
      </c:lineChart>
      <c:catAx>
        <c:axId val="456818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3480000" spcFirstLastPara="1" vertOverflow="ellipsis" wrap="square" anchor="ctr" anchorCtr="1"/>
          <a:lstStyle/>
          <a:p>
            <a:pPr>
              <a:defRPr sz="1050" b="0" i="0" u="none" strike="noStrike" kern="1200" baseline="0">
                <a:solidFill>
                  <a:sysClr val="windowText" lastClr="000000"/>
                </a:solidFill>
                <a:latin typeface="+mn-lt"/>
                <a:ea typeface="+mn-ea"/>
                <a:cs typeface="+mn-cs"/>
              </a:defRPr>
            </a:pPr>
            <a:endParaRPr lang="en-US"/>
          </a:p>
        </c:txPr>
        <c:crossAx val="456815704"/>
        <c:crosses val="autoZero"/>
        <c:auto val="1"/>
        <c:lblAlgn val="ctr"/>
        <c:lblOffset val="100"/>
        <c:noMultiLvlLbl val="0"/>
      </c:catAx>
      <c:valAx>
        <c:axId val="4568157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56818328"/>
        <c:crosses val="autoZero"/>
        <c:crossBetween val="between"/>
      </c:valAx>
      <c:spPr>
        <a:noFill/>
        <a:ln>
          <a:noFill/>
        </a:ln>
        <a:effectLst/>
      </c:spPr>
    </c:plotArea>
    <c:legend>
      <c:legendPos val="b"/>
      <c:layout>
        <c:manualLayout>
          <c:xMode val="edge"/>
          <c:yMode val="edge"/>
          <c:x val="1.6293155663234405E-2"/>
          <c:y val="0.88742064850589331"/>
          <c:w val="0.90916086945442498"/>
          <c:h val="9.6293561390950522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5">
  <a:schemeClr val="accent2"/>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0.11931</cdr:x>
      <cdr:y>0.31509</cdr:y>
    </cdr:from>
    <cdr:to>
      <cdr:x>0.89168</cdr:x>
      <cdr:y>0.31855</cdr:y>
    </cdr:to>
    <cdr:cxnSp macro="">
      <cdr:nvCxnSpPr>
        <cdr:cNvPr id="3" name="Straight Connector 2">
          <a:extLst xmlns:a="http://schemas.openxmlformats.org/drawingml/2006/main">
            <a:ext uri="{FF2B5EF4-FFF2-40B4-BE49-F238E27FC236}">
              <a16:creationId xmlns:a16="http://schemas.microsoft.com/office/drawing/2014/main" id="{32593E04-3779-2FE7-AF58-084C674C027B}"/>
            </a:ext>
          </a:extLst>
        </cdr:cNvPr>
        <cdr:cNvCxnSpPr/>
      </cdr:nvCxnSpPr>
      <cdr:spPr>
        <a:xfrm xmlns:a="http://schemas.openxmlformats.org/drawingml/2006/main" flipV="1">
          <a:off x="723901" y="868363"/>
          <a:ext cx="4686300" cy="9525"/>
        </a:xfrm>
        <a:prstGeom xmlns:a="http://schemas.openxmlformats.org/drawingml/2006/main" prst="line">
          <a:avLst/>
        </a:prstGeom>
        <a:ln xmlns:a="http://schemas.openxmlformats.org/drawingml/2006/main" w="12700" cmpd="thickThin"/>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DAA1A-0F49-4166-B5F6-5EF1C861D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11612</Words>
  <Characters>66190</Characters>
  <Application>Microsoft Office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77647</CharactersWithSpaces>
  <SharedDoc>false</SharedDoc>
  <HLinks>
    <vt:vector size="342" baseType="variant">
      <vt:variant>
        <vt:i4>1441861</vt:i4>
      </vt:variant>
      <vt:variant>
        <vt:i4>21</vt:i4>
      </vt:variant>
      <vt:variant>
        <vt:i4>0</vt:i4>
      </vt:variant>
      <vt:variant>
        <vt:i4>5</vt:i4>
      </vt:variant>
      <vt:variant>
        <vt:lpwstr>https://ec.europa.eu/eurostat/statistics-explained/index.php?title=Glossary%3AE-commerce</vt:lpwstr>
      </vt:variant>
      <vt:variant>
        <vt:lpwstr/>
      </vt:variant>
      <vt:variant>
        <vt:i4>6619187</vt:i4>
      </vt:variant>
      <vt:variant>
        <vt:i4>18</vt:i4>
      </vt:variant>
      <vt:variant>
        <vt:i4>0</vt:i4>
      </vt:variant>
      <vt:variant>
        <vt:i4>5</vt:i4>
      </vt:variant>
      <vt:variant>
        <vt:lpwstr>https://circabc.europa.eu/sd/a/85e9f133-c930-4453-84d0-2161469b1695/DIGITAL INTENSITY INDEX.pdf</vt:lpwstr>
      </vt:variant>
      <vt:variant>
        <vt:lpwstr/>
      </vt:variant>
      <vt:variant>
        <vt:i4>6619187</vt:i4>
      </vt:variant>
      <vt:variant>
        <vt:i4>15</vt:i4>
      </vt:variant>
      <vt:variant>
        <vt:i4>0</vt:i4>
      </vt:variant>
      <vt:variant>
        <vt:i4>5</vt:i4>
      </vt:variant>
      <vt:variant>
        <vt:lpwstr>https://circabc.europa.eu/sd/a/85e9f133-c930-4453-84d0-2161469b1695/DIGITAL INTENSITY INDEX.pdf</vt:lpwstr>
      </vt:variant>
      <vt:variant>
        <vt:lpwstr/>
      </vt:variant>
      <vt:variant>
        <vt:i4>589935</vt:i4>
      </vt:variant>
      <vt:variant>
        <vt:i4>180</vt:i4>
      </vt:variant>
      <vt:variant>
        <vt:i4>0</vt:i4>
      </vt:variant>
      <vt:variant>
        <vt:i4>5</vt:i4>
      </vt:variant>
      <vt:variant>
        <vt:lpwstr>https://commission.europa.eu/news/new-tools-reinforce-eus-economic-security-2024-01-24_en</vt:lpwstr>
      </vt:variant>
      <vt:variant>
        <vt:lpwstr/>
      </vt:variant>
      <vt:variant>
        <vt:i4>7995493</vt:i4>
      </vt:variant>
      <vt:variant>
        <vt:i4>177</vt:i4>
      </vt:variant>
      <vt:variant>
        <vt:i4>0</vt:i4>
      </vt:variant>
      <vt:variant>
        <vt:i4>5</vt:i4>
      </vt:variant>
      <vt:variant>
        <vt:lpwstr>https://ec.europa.eu/commission/presscorner/detail/en/ip_23_4752</vt:lpwstr>
      </vt:variant>
      <vt:variant>
        <vt:lpwstr/>
      </vt:variant>
      <vt:variant>
        <vt:i4>393301</vt:i4>
      </vt:variant>
      <vt:variant>
        <vt:i4>174</vt:i4>
      </vt:variant>
      <vt:variant>
        <vt:i4>0</vt:i4>
      </vt:variant>
      <vt:variant>
        <vt:i4>5</vt:i4>
      </vt:variant>
      <vt:variant>
        <vt:lpwstr>https://digital-strategy.ec.europa.eu/en/policies/partnerships</vt:lpwstr>
      </vt:variant>
      <vt:variant>
        <vt:lpwstr>:~:text=The%20EU%20currently%20has%20four,the%2028th%20EU%2DJapan%20Summit</vt:lpwstr>
      </vt:variant>
      <vt:variant>
        <vt:i4>5963822</vt:i4>
      </vt:variant>
      <vt:variant>
        <vt:i4>171</vt:i4>
      </vt:variant>
      <vt:variant>
        <vt:i4>0</vt:i4>
      </vt:variant>
      <vt:variant>
        <vt:i4>5</vt:i4>
      </vt:variant>
      <vt:variant>
        <vt:lpwstr>https://single-market-economy.ec.europa.eu/publications/enhanced-methodology-monitor-eus-strategic-dependencies-and-vulnerabilities_en</vt:lpwstr>
      </vt:variant>
      <vt:variant>
        <vt:lpwstr/>
      </vt:variant>
      <vt:variant>
        <vt:i4>4456491</vt:i4>
      </vt:variant>
      <vt:variant>
        <vt:i4>168</vt:i4>
      </vt:variant>
      <vt:variant>
        <vt:i4>0</vt:i4>
      </vt:variant>
      <vt:variant>
        <vt:i4>5</vt:i4>
      </vt:variant>
      <vt:variant>
        <vt:lpwstr>https://commission.europa.eu/strategy-and-policy/priorities-2019-2024/european-green-deal/repowereu-affordable-secure-and-sustainable-energy-europe_en</vt:lpwstr>
      </vt:variant>
      <vt:variant>
        <vt:lpwstr/>
      </vt:variant>
      <vt:variant>
        <vt:i4>2293773</vt:i4>
      </vt:variant>
      <vt:variant>
        <vt:i4>165</vt:i4>
      </vt:variant>
      <vt:variant>
        <vt:i4>0</vt:i4>
      </vt:variant>
      <vt:variant>
        <vt:i4>5</vt:i4>
      </vt:variant>
      <vt:variant>
        <vt:lpwstr>https://grow-smsgt.prd.fpfis.tech.ec.europa.eu/competitiveness/resilience_en</vt:lpwstr>
      </vt:variant>
      <vt:variant>
        <vt:lpwstr/>
      </vt:variant>
      <vt:variant>
        <vt:i4>8060946</vt:i4>
      </vt:variant>
      <vt:variant>
        <vt:i4>162</vt:i4>
      </vt:variant>
      <vt:variant>
        <vt:i4>0</vt:i4>
      </vt:variant>
      <vt:variant>
        <vt:i4>5</vt:i4>
      </vt:variant>
      <vt:variant>
        <vt:lpwstr>https://grow-smsgt.prd.fpfis.tech.ec.europa.eu/business-framework-conditions/services-markets_en</vt:lpwstr>
      </vt:variant>
      <vt:variant>
        <vt:lpwstr/>
      </vt:variant>
      <vt:variant>
        <vt:i4>3211337</vt:i4>
      </vt:variant>
      <vt:variant>
        <vt:i4>159</vt:i4>
      </vt:variant>
      <vt:variant>
        <vt:i4>0</vt:i4>
      </vt:variant>
      <vt:variant>
        <vt:i4>5</vt:i4>
      </vt:variant>
      <vt:variant>
        <vt:lpwstr>https://grow-smsgt.prd.fpfis.tech.ec.europa.eu/business-framework-conditions/labour-mobility_en</vt:lpwstr>
      </vt:variant>
      <vt:variant>
        <vt:lpwstr/>
      </vt:variant>
      <vt:variant>
        <vt:i4>5636174</vt:i4>
      </vt:variant>
      <vt:variant>
        <vt:i4>156</vt:i4>
      </vt:variant>
      <vt:variant>
        <vt:i4>0</vt:i4>
      </vt:variant>
      <vt:variant>
        <vt:i4>5</vt:i4>
      </vt:variant>
      <vt:variant>
        <vt:lpwstr>https://ec.europa.eu/regional_policy/sources/communication/harnessing-talents/harnessing-talents-regions_en.pdf</vt:lpwstr>
      </vt:variant>
      <vt:variant>
        <vt:lpwstr/>
      </vt:variant>
      <vt:variant>
        <vt:i4>1179740</vt:i4>
      </vt:variant>
      <vt:variant>
        <vt:i4>153</vt:i4>
      </vt:variant>
      <vt:variant>
        <vt:i4>0</vt:i4>
      </vt:variant>
      <vt:variant>
        <vt:i4>5</vt:i4>
      </vt:variant>
      <vt:variant>
        <vt:lpwstr>https://digital-skills-jobs.europa.eu/en/cybersecurity-skills-academy</vt:lpwstr>
      </vt:variant>
      <vt:variant>
        <vt:lpwstr/>
      </vt:variant>
      <vt:variant>
        <vt:i4>3145844</vt:i4>
      </vt:variant>
      <vt:variant>
        <vt:i4>150</vt:i4>
      </vt:variant>
      <vt:variant>
        <vt:i4>0</vt:i4>
      </vt:variant>
      <vt:variant>
        <vt:i4>5</vt:i4>
      </vt:variant>
      <vt:variant>
        <vt:lpwstr>https://www.ituc-csi.org/IMG/pdf/230630_-_jtc_study_report_may_2023.pdf</vt:lpwstr>
      </vt:variant>
      <vt:variant>
        <vt:lpwstr/>
      </vt:variant>
      <vt:variant>
        <vt:i4>5308480</vt:i4>
      </vt:variant>
      <vt:variant>
        <vt:i4>147</vt:i4>
      </vt:variant>
      <vt:variant>
        <vt:i4>0</vt:i4>
      </vt:variant>
      <vt:variant>
        <vt:i4>5</vt:i4>
      </vt:variant>
      <vt:variant>
        <vt:lpwstr>https://digital-strategy.ec.europa.eu/en/news/commission-launches-ai-innovation-package-support-artificial-intelligence-startups-and-smes</vt:lpwstr>
      </vt:variant>
      <vt:variant>
        <vt:lpwstr/>
      </vt:variant>
      <vt:variant>
        <vt:i4>7929914</vt:i4>
      </vt:variant>
      <vt:variant>
        <vt:i4>144</vt:i4>
      </vt:variant>
      <vt:variant>
        <vt:i4>0</vt:i4>
      </vt:variant>
      <vt:variant>
        <vt:i4>5</vt:i4>
      </vt:variant>
      <vt:variant>
        <vt:lpwstr>https://dl.acm.org/doi/pdf/10.1145/3626110</vt:lpwstr>
      </vt:variant>
      <vt:variant>
        <vt:lpwstr/>
      </vt:variant>
      <vt:variant>
        <vt:i4>655375</vt:i4>
      </vt:variant>
      <vt:variant>
        <vt:i4>141</vt:i4>
      </vt:variant>
      <vt:variant>
        <vt:i4>0</vt:i4>
      </vt:variant>
      <vt:variant>
        <vt:i4>5</vt:i4>
      </vt:variant>
      <vt:variant>
        <vt:lpwstr>https://digital-strategy.ec.europa.eu/en/library/2023-report-state-digital-decade</vt:lpwstr>
      </vt:variant>
      <vt:variant>
        <vt:lpwstr/>
      </vt:variant>
      <vt:variant>
        <vt:i4>852035</vt:i4>
      </vt:variant>
      <vt:variant>
        <vt:i4>138</vt:i4>
      </vt:variant>
      <vt:variant>
        <vt:i4>0</vt:i4>
      </vt:variant>
      <vt:variant>
        <vt:i4>5</vt:i4>
      </vt:variant>
      <vt:variant>
        <vt:lpwstr>https://www.statista.com/statistics/263801/global-market-share-held-by-selected-countries-in-the-ict-market/</vt:lpwstr>
      </vt:variant>
      <vt:variant>
        <vt:lpwstr/>
      </vt:variant>
      <vt:variant>
        <vt:i4>2752556</vt:i4>
      </vt:variant>
      <vt:variant>
        <vt:i4>129</vt:i4>
      </vt:variant>
      <vt:variant>
        <vt:i4>0</vt:i4>
      </vt:variant>
      <vt:variant>
        <vt:i4>5</vt:i4>
      </vt:variant>
      <vt:variant>
        <vt:lpwstr>https://www.eea.europa.eu/publications/conditions-and-pathways-for-sustainable</vt:lpwstr>
      </vt:variant>
      <vt:variant>
        <vt:lpwstr/>
      </vt:variant>
      <vt:variant>
        <vt:i4>4194399</vt:i4>
      </vt:variant>
      <vt:variant>
        <vt:i4>126</vt:i4>
      </vt:variant>
      <vt:variant>
        <vt:i4>0</vt:i4>
      </vt:variant>
      <vt:variant>
        <vt:i4>5</vt:i4>
      </vt:variant>
      <vt:variant>
        <vt:lpwstr>https://ec.europa.eu/eurostat/statistics-explained/index.php?title=Material_flow_accounts_and_resource_productivity</vt:lpwstr>
      </vt:variant>
      <vt:variant>
        <vt:lpwstr>Resource_productivity</vt:lpwstr>
      </vt:variant>
      <vt:variant>
        <vt:i4>2949172</vt:i4>
      </vt:variant>
      <vt:variant>
        <vt:i4>123</vt:i4>
      </vt:variant>
      <vt:variant>
        <vt:i4>0</vt:i4>
      </vt:variant>
      <vt:variant>
        <vt:i4>5</vt:i4>
      </vt:variant>
      <vt:variant>
        <vt:lpwstr>https://www.eea.europa.eu/en/analysis/indicators/europes-material-footprint</vt:lpwstr>
      </vt:variant>
      <vt:variant>
        <vt:lpwstr/>
      </vt:variant>
      <vt:variant>
        <vt:i4>7471203</vt:i4>
      </vt:variant>
      <vt:variant>
        <vt:i4>120</vt:i4>
      </vt:variant>
      <vt:variant>
        <vt:i4>0</vt:i4>
      </vt:variant>
      <vt:variant>
        <vt:i4>5</vt:i4>
      </vt:variant>
      <vt:variant>
        <vt:lpwstr>https://www.oecd-nea.org/upload/docs/application/pdf/2021-10/small_modular_reactors_cop26_flyer.pdf</vt:lpwstr>
      </vt:variant>
      <vt:variant>
        <vt:lpwstr/>
      </vt:variant>
      <vt:variant>
        <vt:i4>6553652</vt:i4>
      </vt:variant>
      <vt:variant>
        <vt:i4>117</vt:i4>
      </vt:variant>
      <vt:variant>
        <vt:i4>0</vt:i4>
      </vt:variant>
      <vt:variant>
        <vt:i4>5</vt:i4>
      </vt:variant>
      <vt:variant>
        <vt:lpwstr>https://www.ecologie.gouv.fr/onze-etats-membres-lunion-europeenne-appellent-renforcement-cooperation-europeenne-en-matiere</vt:lpwstr>
      </vt:variant>
      <vt:variant>
        <vt:lpwstr/>
      </vt:variant>
      <vt:variant>
        <vt:i4>8061036</vt:i4>
      </vt:variant>
      <vt:variant>
        <vt:i4>114</vt:i4>
      </vt:variant>
      <vt:variant>
        <vt:i4>0</vt:i4>
      </vt:variant>
      <vt:variant>
        <vt:i4>5</vt:i4>
      </vt:variant>
      <vt:variant>
        <vt:lpwstr>https://ec.europa.eu/commission/presscorner/detail/en/ip_23_1591</vt:lpwstr>
      </vt:variant>
      <vt:variant>
        <vt:lpwstr/>
      </vt:variant>
      <vt:variant>
        <vt:i4>6160453</vt:i4>
      </vt:variant>
      <vt:variant>
        <vt:i4>111</vt:i4>
      </vt:variant>
      <vt:variant>
        <vt:i4>0</vt:i4>
      </vt:variant>
      <vt:variant>
        <vt:i4>5</vt:i4>
      </vt:variant>
      <vt:variant>
        <vt:lpwstr>https://www.eib.org/en/publications/online/all/eib-investment-survey-2023</vt:lpwstr>
      </vt:variant>
      <vt:variant>
        <vt:lpwstr/>
      </vt:variant>
      <vt:variant>
        <vt:i4>196629</vt:i4>
      </vt:variant>
      <vt:variant>
        <vt:i4>108</vt:i4>
      </vt:variant>
      <vt:variant>
        <vt:i4>0</vt:i4>
      </vt:variant>
      <vt:variant>
        <vt:i4>5</vt:i4>
      </vt:variant>
      <vt:variant>
        <vt:lpwstr>https://data.europa.eu/doi/10.2760/506189</vt:lpwstr>
      </vt:variant>
      <vt:variant>
        <vt:lpwstr/>
      </vt:variant>
      <vt:variant>
        <vt:i4>1441834</vt:i4>
      </vt:variant>
      <vt:variant>
        <vt:i4>105</vt:i4>
      </vt:variant>
      <vt:variant>
        <vt:i4>0</vt:i4>
      </vt:variant>
      <vt:variant>
        <vt:i4>5</vt:i4>
      </vt:variant>
      <vt:variant>
        <vt:lpwstr>https://commission.europa.eu/document/af444130-5a3e-44f2-bea6-5b9ddcb46012_en</vt:lpwstr>
      </vt:variant>
      <vt:variant>
        <vt:lpwstr/>
      </vt:variant>
      <vt:variant>
        <vt:i4>4784141</vt:i4>
      </vt:variant>
      <vt:variant>
        <vt:i4>102</vt:i4>
      </vt:variant>
      <vt:variant>
        <vt:i4>0</vt:i4>
      </vt:variant>
      <vt:variant>
        <vt:i4>5</vt:i4>
      </vt:variant>
      <vt:variant>
        <vt:lpwstr>https://op.europa.eu/en/web/eu-law-and-publications/publication-detail/-/publication/04797497-25de-11ee-a2d3-01aa75ed71a1</vt:lpwstr>
      </vt:variant>
      <vt:variant>
        <vt:lpwstr/>
      </vt:variant>
      <vt:variant>
        <vt:i4>3538967</vt:i4>
      </vt:variant>
      <vt:variant>
        <vt:i4>99</vt:i4>
      </vt:variant>
      <vt:variant>
        <vt:i4>0</vt:i4>
      </vt:variant>
      <vt:variant>
        <vt:i4>5</vt:i4>
      </vt:variant>
      <vt:variant>
        <vt:lpwstr>https://single-market-economy.ec.europa.eu/industry/sustainability/net-zero-industry-act_en</vt:lpwstr>
      </vt:variant>
      <vt:variant>
        <vt:lpwstr/>
      </vt:variant>
      <vt:variant>
        <vt:i4>6029392</vt:i4>
      </vt:variant>
      <vt:variant>
        <vt:i4>96</vt:i4>
      </vt:variant>
      <vt:variant>
        <vt:i4>0</vt:i4>
      </vt:variant>
      <vt:variant>
        <vt:i4>5</vt:i4>
      </vt:variant>
      <vt:variant>
        <vt:lpwstr>https://ec.europa.eu/docsroom/documents/45767</vt:lpwstr>
      </vt:variant>
      <vt:variant>
        <vt:lpwstr/>
      </vt:variant>
      <vt:variant>
        <vt:i4>983119</vt:i4>
      </vt:variant>
      <vt:variant>
        <vt:i4>93</vt:i4>
      </vt:variant>
      <vt:variant>
        <vt:i4>0</vt:i4>
      </vt:variant>
      <vt:variant>
        <vt:i4>5</vt:i4>
      </vt:variant>
      <vt:variant>
        <vt:lpwstr>https://www.eca.europa.eu/en/publications/SR-2023-28</vt:lpwstr>
      </vt:variant>
      <vt:variant>
        <vt:lpwstr/>
      </vt:variant>
      <vt:variant>
        <vt:i4>2949125</vt:i4>
      </vt:variant>
      <vt:variant>
        <vt:i4>87</vt:i4>
      </vt:variant>
      <vt:variant>
        <vt:i4>0</vt:i4>
      </vt:variant>
      <vt:variant>
        <vt:i4>5</vt:i4>
      </vt:variant>
      <vt:variant>
        <vt:lpwstr>https://research-and-innovation.ec.europa.eu/strategy/support-policy-making/shaping-eu-research-and-innovation-policy/new-european-innovation-agenda_en</vt:lpwstr>
      </vt:variant>
      <vt:variant>
        <vt:lpwstr/>
      </vt:variant>
      <vt:variant>
        <vt:i4>6881372</vt:i4>
      </vt:variant>
      <vt:variant>
        <vt:i4>84</vt:i4>
      </vt:variant>
      <vt:variant>
        <vt:i4>0</vt:i4>
      </vt:variant>
      <vt:variant>
        <vt:i4>5</vt:i4>
      </vt:variant>
      <vt:variant>
        <vt:lpwstr>https://single-market-economy.ec.europa.eu/industry/strategy/industrial-alliances_en</vt:lpwstr>
      </vt:variant>
      <vt:variant>
        <vt:lpwstr/>
      </vt:variant>
      <vt:variant>
        <vt:i4>4128847</vt:i4>
      </vt:variant>
      <vt:variant>
        <vt:i4>78</vt:i4>
      </vt:variant>
      <vt:variant>
        <vt:i4>0</vt:i4>
      </vt:variant>
      <vt:variant>
        <vt:i4>5</vt:i4>
      </vt:variant>
      <vt:variant>
        <vt:lpwstr>https://single-market-economy.ec.europa.eu/publications/net-zero-industry-act_en</vt:lpwstr>
      </vt:variant>
      <vt:variant>
        <vt:lpwstr/>
      </vt:variant>
      <vt:variant>
        <vt:i4>6684726</vt:i4>
      </vt:variant>
      <vt:variant>
        <vt:i4>75</vt:i4>
      </vt:variant>
      <vt:variant>
        <vt:i4>0</vt:i4>
      </vt:variant>
      <vt:variant>
        <vt:i4>5</vt:i4>
      </vt:variant>
      <vt:variant>
        <vt:lpwstr>https://cohesiondata.ec.europa.eu/</vt:lpwstr>
      </vt:variant>
      <vt:variant>
        <vt:lpwstr/>
      </vt:variant>
      <vt:variant>
        <vt:i4>65603</vt:i4>
      </vt:variant>
      <vt:variant>
        <vt:i4>72</vt:i4>
      </vt:variant>
      <vt:variant>
        <vt:i4>0</vt:i4>
      </vt:variant>
      <vt:variant>
        <vt:i4>5</vt:i4>
      </vt:variant>
      <vt:variant>
        <vt:lpwstr>https://ec.europa.eu/commission/presscorner/detail/en/qanda_23_3194</vt:lpwstr>
      </vt:variant>
      <vt:variant>
        <vt:lpwstr/>
      </vt:variant>
      <vt:variant>
        <vt:i4>4194401</vt:i4>
      </vt:variant>
      <vt:variant>
        <vt:i4>69</vt:i4>
      </vt:variant>
      <vt:variant>
        <vt:i4>0</vt:i4>
      </vt:variant>
      <vt:variant>
        <vt:i4>5</vt:i4>
      </vt:variant>
      <vt:variant>
        <vt:lpwstr>https://commission.europa.eu/strategy-and-policy/strategic-planning/strategic-foresight/2022-strategic-foresight-report_en</vt:lpwstr>
      </vt:variant>
      <vt:variant>
        <vt:lpwstr>:~:text=It%20is%20estimated%2C%20at%20lower,regions%20in%20Europe%20and%20beyond</vt:lpwstr>
      </vt:variant>
      <vt:variant>
        <vt:i4>6160453</vt:i4>
      </vt:variant>
      <vt:variant>
        <vt:i4>66</vt:i4>
      </vt:variant>
      <vt:variant>
        <vt:i4>0</vt:i4>
      </vt:variant>
      <vt:variant>
        <vt:i4>5</vt:i4>
      </vt:variant>
      <vt:variant>
        <vt:lpwstr>https://www.eib.org/en/publications/online/all/eib-investment-survey-2023</vt:lpwstr>
      </vt:variant>
      <vt:variant>
        <vt:lpwstr/>
      </vt:variant>
      <vt:variant>
        <vt:i4>4063273</vt:i4>
      </vt:variant>
      <vt:variant>
        <vt:i4>63</vt:i4>
      </vt:variant>
      <vt:variant>
        <vt:i4>0</vt:i4>
      </vt:variant>
      <vt:variant>
        <vt:i4>5</vt:i4>
      </vt:variant>
      <vt:variant>
        <vt:lpwstr>https://www.consilium.europa.eu/media/68967/europeancouncilconclusions-14-15-12-2023-en.pdf</vt:lpwstr>
      </vt:variant>
      <vt:variant>
        <vt:lpwstr/>
      </vt:variant>
      <vt:variant>
        <vt:i4>983099</vt:i4>
      </vt:variant>
      <vt:variant>
        <vt:i4>60</vt:i4>
      </vt:variant>
      <vt:variant>
        <vt:i4>0</vt:i4>
      </vt:variant>
      <vt:variant>
        <vt:i4>5</vt:i4>
      </vt:variant>
      <vt:variant>
        <vt:lpwstr>https://eur-lex.europa.eu/legal-content/EN/TXT/?uri=uriserv%3AOJ.C_.2021.508.01.0001.01.ENG&amp;toc=OJ%3AC%3A2021%3A508%3ATOC</vt:lpwstr>
      </vt:variant>
      <vt:variant>
        <vt:lpwstr/>
      </vt:variant>
      <vt:variant>
        <vt:i4>7471165</vt:i4>
      </vt:variant>
      <vt:variant>
        <vt:i4>57</vt:i4>
      </vt:variant>
      <vt:variant>
        <vt:i4>0</vt:i4>
      </vt:variant>
      <vt:variant>
        <vt:i4>5</vt:i4>
      </vt:variant>
      <vt:variant>
        <vt:lpwstr>https://eur-lex.europa.eu/EN/legal-content/summary/general-block-exemption-regulation.html</vt:lpwstr>
      </vt:variant>
      <vt:variant>
        <vt:lpwstr/>
      </vt:variant>
      <vt:variant>
        <vt:i4>5832705</vt:i4>
      </vt:variant>
      <vt:variant>
        <vt:i4>54</vt:i4>
      </vt:variant>
      <vt:variant>
        <vt:i4>0</vt:i4>
      </vt:variant>
      <vt:variant>
        <vt:i4>5</vt:i4>
      </vt:variant>
      <vt:variant>
        <vt:lpwstr>https://www.esri.ie/system/files/publications/BKMNEXT429.pdf</vt:lpwstr>
      </vt:variant>
      <vt:variant>
        <vt:lpwstr/>
      </vt:variant>
      <vt:variant>
        <vt:i4>1572885</vt:i4>
      </vt:variant>
      <vt:variant>
        <vt:i4>51</vt:i4>
      </vt:variant>
      <vt:variant>
        <vt:i4>0</vt:i4>
      </vt:variant>
      <vt:variant>
        <vt:i4>5</vt:i4>
      </vt:variant>
      <vt:variant>
        <vt:lpwstr>https://op.europa.eu/en/publication-detail/-/publication/ad5fdad5-6a33-11ed-b14f-01aa75ed71a1/language-en/format-PDF/source-277396461</vt:lpwstr>
      </vt:variant>
      <vt:variant>
        <vt:lpwstr/>
      </vt:variant>
      <vt:variant>
        <vt:i4>5636196</vt:i4>
      </vt:variant>
      <vt:variant>
        <vt:i4>48</vt:i4>
      </vt:variant>
      <vt:variant>
        <vt:i4>0</vt:i4>
      </vt:variant>
      <vt:variant>
        <vt:i4>5</vt:i4>
      </vt:variant>
      <vt:variant>
        <vt:lpwstr>https://single-market-economy.ec.europa.eu/publications/sme-relief-package_en</vt:lpwstr>
      </vt:variant>
      <vt:variant>
        <vt:lpwstr/>
      </vt:variant>
      <vt:variant>
        <vt:i4>6815863</vt:i4>
      </vt:variant>
      <vt:variant>
        <vt:i4>45</vt:i4>
      </vt:variant>
      <vt:variant>
        <vt:i4>0</vt:i4>
      </vt:variant>
      <vt:variant>
        <vt:i4>5</vt:i4>
      </vt:variant>
      <vt:variant>
        <vt:lpwstr>https://www.consilium.europa.eu/en/press/press-releases/2024/02/01/single-market-emergency-instrument-council-and-parliament-strike-a-provisional-deal-on-crisis-preparedness/</vt:lpwstr>
      </vt:variant>
      <vt:variant>
        <vt:lpwstr/>
      </vt:variant>
      <vt:variant>
        <vt:i4>1441833</vt:i4>
      </vt:variant>
      <vt:variant>
        <vt:i4>42</vt:i4>
      </vt:variant>
      <vt:variant>
        <vt:i4>0</vt:i4>
      </vt:variant>
      <vt:variant>
        <vt:i4>5</vt:i4>
      </vt:variant>
      <vt:variant>
        <vt:lpwstr>https://single-market-economy.ec.europa.eu/single-market/single-market-emergency-instrument_en</vt:lpwstr>
      </vt:variant>
      <vt:variant>
        <vt:lpwstr/>
      </vt:variant>
      <vt:variant>
        <vt:i4>1376267</vt:i4>
      </vt:variant>
      <vt:variant>
        <vt:i4>39</vt:i4>
      </vt:variant>
      <vt:variant>
        <vt:i4>0</vt:i4>
      </vt:variant>
      <vt:variant>
        <vt:i4>5</vt:i4>
      </vt:variant>
      <vt:variant>
        <vt:lpwstr>https://digital-strategy.ec.europa.eu/en/policies/regulatory-framework-ai</vt:lpwstr>
      </vt:variant>
      <vt:variant>
        <vt:lpwstr/>
      </vt:variant>
      <vt:variant>
        <vt:i4>6291504</vt:i4>
      </vt:variant>
      <vt:variant>
        <vt:i4>36</vt:i4>
      </vt:variant>
      <vt:variant>
        <vt:i4>0</vt:i4>
      </vt:variant>
      <vt:variant>
        <vt:i4>5</vt:i4>
      </vt:variant>
      <vt:variant>
        <vt:lpwstr>https://digital-strategy.ec.europa.eu/en/policies/data-act</vt:lpwstr>
      </vt:variant>
      <vt:variant>
        <vt:lpwstr/>
      </vt:variant>
      <vt:variant>
        <vt:i4>3604598</vt:i4>
      </vt:variant>
      <vt:variant>
        <vt:i4>30</vt:i4>
      </vt:variant>
      <vt:variant>
        <vt:i4>0</vt:i4>
      </vt:variant>
      <vt:variant>
        <vt:i4>5</vt:i4>
      </vt:variant>
      <vt:variant>
        <vt:lpwstr>https://finance.ec.europa.eu/publications/2024-commission-work-programme_en?gclid=CjwKCAiAiP2tBhBXEiwACslfnpoG9nrx94PEY_DijdyWsdyKQYt7L75fwKP31_gDMAT9Dhv6RpgMrBoCKk4QAvD_BwE</vt:lpwstr>
      </vt:variant>
      <vt:variant>
        <vt:lpwstr/>
      </vt:variant>
      <vt:variant>
        <vt:i4>1835037</vt:i4>
      </vt:variant>
      <vt:variant>
        <vt:i4>27</vt:i4>
      </vt:variant>
      <vt:variant>
        <vt:i4>0</vt:i4>
      </vt:variant>
      <vt:variant>
        <vt:i4>5</vt:i4>
      </vt:variant>
      <vt:variant>
        <vt:lpwstr>https://www.postingdeclaration.eu/landing</vt:lpwstr>
      </vt:variant>
      <vt:variant>
        <vt:lpwstr/>
      </vt:variant>
      <vt:variant>
        <vt:i4>7864418</vt:i4>
      </vt:variant>
      <vt:variant>
        <vt:i4>24</vt:i4>
      </vt:variant>
      <vt:variant>
        <vt:i4>0</vt:i4>
      </vt:variant>
      <vt:variant>
        <vt:i4>5</vt:i4>
      </vt:variant>
      <vt:variant>
        <vt:lpwstr>https://ec.europa.eu/commission/presscorner/detail/en/IP_23_5730</vt:lpwstr>
      </vt:variant>
      <vt:variant>
        <vt:lpwstr/>
      </vt:variant>
      <vt:variant>
        <vt:i4>3997743</vt:i4>
      </vt:variant>
      <vt:variant>
        <vt:i4>15</vt:i4>
      </vt:variant>
      <vt:variant>
        <vt:i4>0</vt:i4>
      </vt:variant>
      <vt:variant>
        <vt:i4>5</vt:i4>
      </vt:variant>
      <vt:variant>
        <vt:lpwstr>https://commission.europa.eu/system/files/2023-09/ABS_20230912_0.pdf</vt:lpwstr>
      </vt:variant>
      <vt:variant>
        <vt:lpwstr/>
      </vt:variant>
      <vt:variant>
        <vt:i4>5832753</vt:i4>
      </vt:variant>
      <vt:variant>
        <vt:i4>12</vt:i4>
      </vt:variant>
      <vt:variant>
        <vt:i4>0</vt:i4>
      </vt:variant>
      <vt:variant>
        <vt:i4>5</vt:i4>
      </vt:variant>
      <vt:variant>
        <vt:lpwstr>https://commission.europa.eu/publications/annual-burden-survey_en</vt:lpwstr>
      </vt:variant>
      <vt:variant>
        <vt:lpwstr/>
      </vt:variant>
      <vt:variant>
        <vt:i4>7340055</vt:i4>
      </vt:variant>
      <vt:variant>
        <vt:i4>9</vt:i4>
      </vt:variant>
      <vt:variant>
        <vt:i4>0</vt:i4>
      </vt:variant>
      <vt:variant>
        <vt:i4>5</vt:i4>
      </vt:variant>
      <vt:variant>
        <vt:lpwstr>https://www.europarl.europa.eu/thinktank/en/document/EPRS_STU(2019)631745</vt:lpwstr>
      </vt:variant>
      <vt:variant>
        <vt:lpwstr/>
      </vt:variant>
      <vt:variant>
        <vt:i4>7864344</vt:i4>
      </vt:variant>
      <vt:variant>
        <vt:i4>6</vt:i4>
      </vt:variant>
      <vt:variant>
        <vt:i4>0</vt:i4>
      </vt:variant>
      <vt:variant>
        <vt:i4>5</vt:i4>
      </vt:variant>
      <vt:variant>
        <vt:lpwstr>https://commission.europa.eu/system/files/2023-03/Communication_Long-term-competitiveness.pdf</vt:lpwstr>
      </vt:variant>
      <vt:variant>
        <vt:lpwstr/>
      </vt:variant>
      <vt:variant>
        <vt:i4>1048669</vt:i4>
      </vt:variant>
      <vt:variant>
        <vt:i4>3</vt:i4>
      </vt:variant>
      <vt:variant>
        <vt:i4>0</vt:i4>
      </vt:variant>
      <vt:variant>
        <vt:i4>5</vt:i4>
      </vt:variant>
      <vt:variant>
        <vt:lpwstr>https://eur-lex.europa.eu/legal-content/EN/TXT/PDF/?uri=CELEX:52023DC0162</vt:lpwstr>
      </vt:variant>
      <vt:variant>
        <vt:lpwstr/>
      </vt:variant>
      <vt:variant>
        <vt:i4>2293773</vt:i4>
      </vt:variant>
      <vt:variant>
        <vt:i4>0</vt:i4>
      </vt:variant>
      <vt:variant>
        <vt:i4>0</vt:i4>
      </vt:variant>
      <vt:variant>
        <vt:i4>5</vt:i4>
      </vt:variant>
      <vt:variant>
        <vt:lpwstr>https://grow-smsgt.prd.fpfis.tech.ec.europa.eu/competitiveness/resilience_en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2024-03-05T09:18:00Z</dcterms:created>
  <dcterms:modified xsi:type="dcterms:W3CDTF">2024-03-05T12:05:00Z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2024-02-10T16:32:19Z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15350fe4-2aba-46c3-a381-dc3eb2bedd62</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