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F33231" w14:textId="17740D51" w:rsidR="00894F53" w:rsidRDefault="00B55939" w:rsidP="00B55939">
      <w:pPr>
        <w:pStyle w:val="Pagedecouverture"/>
        <w:rPr>
          <w:noProof/>
        </w:rPr>
      </w:pPr>
      <w:bookmarkStart w:id="0" w:name="_Toc155653106"/>
      <w:bookmarkStart w:id="1" w:name="LW_BM_COVERPAGE"/>
      <w:r>
        <w:rPr>
          <w:noProof/>
        </w:rPr>
        <w:pict w14:anchorId="367808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E778A10-0096-4594-938C-68E49A903727" style="width:455.25pt;height:324pt">
            <v:imagedata r:id="rId11" o:title=""/>
          </v:shape>
        </w:pict>
      </w:r>
    </w:p>
    <w:bookmarkEnd w:id="1"/>
    <w:p w14:paraId="6C57CBD1" w14:textId="63DB8D5D" w:rsidR="00520D09" w:rsidRPr="00520D09" w:rsidRDefault="00520D09" w:rsidP="00181CD8">
      <w:pPr>
        <w:pStyle w:val="Pagedecouverture"/>
        <w:rPr>
          <w:noProof/>
        </w:rPr>
        <w:sectPr w:rsidR="00520D09" w:rsidRPr="00520D09" w:rsidSect="00B55939">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0ABA9E88" w14:textId="34608273" w:rsidR="00B9056B" w:rsidRPr="00B9056B" w:rsidRDefault="00B9056B" w:rsidP="00B9056B">
      <w:pPr>
        <w:pStyle w:val="Typedudocument"/>
        <w:rPr>
          <w:noProof/>
        </w:rPr>
      </w:pPr>
      <w:bookmarkStart w:id="2" w:name="_Toc159792195"/>
      <w:bookmarkStart w:id="3" w:name="_Toc155653035"/>
      <w:bookmarkStart w:id="4" w:name="_Toc155653107"/>
      <w:bookmarkStart w:id="5" w:name="_GoBack"/>
      <w:bookmarkEnd w:id="0"/>
      <w:bookmarkEnd w:id="5"/>
      <w:r w:rsidRPr="00B9056B">
        <w:rPr>
          <w:noProof/>
        </w:rPr>
        <w:lastRenderedPageBreak/>
        <w:t>COMMUNICATION DE LA COMMISSION AU PARLEMENT EUROPÉEN, AU CONSEIL, AU COMITÉ ÉCONOMIQUE ET SOCIAL EUROPÉEN ET AU COMITÉ DES RÉGIONS</w:t>
      </w:r>
    </w:p>
    <w:p w14:paraId="4F444737" w14:textId="096CE991" w:rsidR="00B9056B" w:rsidRPr="00B9056B" w:rsidRDefault="00B9056B" w:rsidP="00B9056B">
      <w:pPr>
        <w:pStyle w:val="Titreobjet"/>
        <w:rPr>
          <w:noProof/>
        </w:rPr>
      </w:pPr>
      <w:r w:rsidRPr="00B9056B">
        <w:rPr>
          <w:noProof/>
        </w:rPr>
        <w:t>Gestion des risques climatiques – protection des personnes et de la prospérité</w:t>
      </w:r>
    </w:p>
    <w:p w14:paraId="2FAB77FE" w14:textId="6971D6A4" w:rsidR="0053389F" w:rsidRPr="00677067" w:rsidRDefault="0053389F" w:rsidP="00B06AE7">
      <w:pPr>
        <w:pStyle w:val="Heading1"/>
        <w:numPr>
          <w:ilvl w:val="0"/>
          <w:numId w:val="1"/>
        </w:numPr>
        <w:rPr>
          <w:rFonts w:ascii="Times New Roman" w:hAnsi="Times New Roman" w:cs="Times New Roman"/>
          <w:b/>
          <w:bCs/>
          <w:noProof/>
          <w:color w:val="000000" w:themeColor="text1"/>
          <w:sz w:val="24"/>
          <w:szCs w:val="24"/>
        </w:rPr>
      </w:pPr>
      <w:r>
        <w:rPr>
          <w:rFonts w:ascii="Times New Roman" w:hAnsi="Times New Roman"/>
          <w:b/>
          <w:noProof/>
          <w:color w:val="000000" w:themeColor="text1"/>
          <w:sz w:val="24"/>
        </w:rPr>
        <w:t>Introduction</w:t>
      </w:r>
      <w:bookmarkEnd w:id="2"/>
      <w:r>
        <w:rPr>
          <w:rFonts w:ascii="Times New Roman" w:hAnsi="Times New Roman"/>
          <w:b/>
          <w:noProof/>
          <w:color w:val="000000" w:themeColor="text1"/>
          <w:sz w:val="24"/>
        </w:rPr>
        <w:t xml:space="preserve"> </w:t>
      </w:r>
      <w:bookmarkEnd w:id="3"/>
      <w:bookmarkEnd w:id="4"/>
    </w:p>
    <w:p w14:paraId="0CCCCB59" w14:textId="29FCA4D7" w:rsidR="000040FA" w:rsidRPr="00B2476E" w:rsidRDefault="000040FA" w:rsidP="000040FA">
      <w:pPr>
        <w:rPr>
          <w:rFonts w:ascii="Times New Roman" w:hAnsi="Times New Roman" w:cs="Times New Roman"/>
          <w:noProof/>
          <w:color w:val="000000" w:themeColor="text1"/>
          <w:sz w:val="24"/>
          <w:szCs w:val="24"/>
          <w:lang w:eastAsia="en-IE"/>
        </w:rPr>
      </w:pPr>
    </w:p>
    <w:p w14:paraId="32C4CF33" w14:textId="60DA2393" w:rsidR="006B7564" w:rsidRPr="00C15BCA" w:rsidRDefault="006474E7">
      <w:pPr>
        <w:pStyle w:val="Heading2"/>
        <w:spacing w:after="120"/>
        <w:ind w:left="1565" w:hanging="431"/>
        <w:jc w:val="both"/>
        <w:textAlignment w:val="baseline"/>
        <w:rPr>
          <w:rFonts w:ascii="Times New Roman" w:hAnsi="Times New Roman" w:cs="Times New Roman"/>
          <w:b/>
          <w:bCs/>
          <w:noProof/>
          <w:color w:val="000000" w:themeColor="text1"/>
          <w:sz w:val="24"/>
          <w:szCs w:val="24"/>
        </w:rPr>
      </w:pPr>
      <w:bookmarkStart w:id="6" w:name="_Toc159792196"/>
      <w:r>
        <w:rPr>
          <w:rFonts w:ascii="Times New Roman" w:hAnsi="Times New Roman"/>
          <w:b/>
          <w:noProof/>
          <w:color w:val="000000" w:themeColor="text1"/>
          <w:sz w:val="24"/>
        </w:rPr>
        <w:t>L’accélération des risques climatiques nécessite une gestion proactive</w:t>
      </w:r>
      <w:bookmarkEnd w:id="6"/>
    </w:p>
    <w:p w14:paraId="12F6DEBA" w14:textId="7A4DA690" w:rsidR="006B7564" w:rsidRPr="00B9056B" w:rsidRDefault="006B7564" w:rsidP="0049438C">
      <w:pPr>
        <w:spacing w:after="120"/>
        <w:jc w:val="both"/>
        <w:textAlignment w:val="baseline"/>
        <w:rPr>
          <w:rFonts w:ascii="Times New Roman" w:eastAsia="Times New Roman" w:hAnsi="Times New Roman" w:cs="Times New Roman"/>
          <w:b/>
          <w:bCs/>
          <w:noProof/>
          <w:color w:val="000000" w:themeColor="text1"/>
          <w:sz w:val="24"/>
          <w:szCs w:val="24"/>
          <w:lang w:val="fr-BE" w:eastAsia="en-IE"/>
        </w:rPr>
      </w:pPr>
    </w:p>
    <w:p w14:paraId="13F2F0E5" w14:textId="60AEE7B9" w:rsidR="0049438C" w:rsidRDefault="006C74BF" w:rsidP="0049438C">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b/>
          <w:noProof/>
          <w:color w:val="000000" w:themeColor="text1"/>
          <w:sz w:val="24"/>
        </w:rPr>
        <w:t xml:space="preserve">Gérer l’incertitude est aujourd’hui consubstantiel de la prise de décision, que cela concerne les personnes, les entreprises ou les pouvoirs publics. </w:t>
      </w:r>
      <w:r>
        <w:rPr>
          <w:rFonts w:ascii="Times New Roman" w:hAnsi="Times New Roman"/>
          <w:noProof/>
          <w:color w:val="000000" w:themeColor="text1"/>
          <w:sz w:val="24"/>
        </w:rPr>
        <w:t xml:space="preserve">La guerre et les incertitudes géopolitiques, le coût de la vie, les défis démographiques, la dégradation de l’environnement et les urgences sanitaires, les inégalités sociales, la polarisation politique et la désinformation, l’évolution rapide des technologiques et les migrations imposent de prendre des mesures sur-le-champ. Les décideurs politiques doivent trouver un équilibre entre l’attention portée à un sujet et les ressources qui lui sont consacrées. Étroitement liée aux autres crises planétaires que constituent la pollution et la perte de biodiversité et caisse de résonance de bien d’autres risques, la crise climatique est l’une des menaces les plus existentielles auxquelles nous nous heurtons. </w:t>
      </w:r>
    </w:p>
    <w:p w14:paraId="390785D1" w14:textId="671D8B96" w:rsidR="0049438C" w:rsidRPr="0049438C" w:rsidRDefault="0049438C" w:rsidP="0049438C">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b/>
          <w:noProof/>
          <w:color w:val="000000"/>
          <w:sz w:val="24"/>
        </w:rPr>
        <w:t>L’Union européenne (UE) prend des mesures dans le but de réduire les émissions de gaz à effet de serre</w:t>
      </w:r>
      <w:r>
        <w:rPr>
          <w:rFonts w:ascii="Times New Roman" w:hAnsi="Times New Roman"/>
          <w:noProof/>
          <w:color w:val="000000"/>
          <w:sz w:val="24"/>
        </w:rPr>
        <w:t xml:space="preserve"> durant la présente décennie et de parvenir à la neutralité climatique d’ici à 2050. La Commission a lancé un débat sur un objectif climatique à l’horizon 2040, qui constituerait une nouvelle étape vers un avenir compétitif et «zéro net»</w:t>
      </w:r>
      <w:r>
        <w:rPr>
          <w:rStyle w:val="FootnoteReference"/>
          <w:rFonts w:ascii="Times New Roman" w:hAnsi="Times New Roman" w:cs="Times New Roman"/>
          <w:noProof/>
          <w:color w:val="000000"/>
          <w:sz w:val="24"/>
          <w:szCs w:val="24"/>
          <w:lang w:eastAsia="en-IE"/>
        </w:rPr>
        <w:footnoteReference w:id="2"/>
      </w:r>
      <w:r>
        <w:rPr>
          <w:rFonts w:ascii="Times New Roman" w:hAnsi="Times New Roman"/>
          <w:noProof/>
          <w:color w:val="000000"/>
          <w:sz w:val="24"/>
        </w:rPr>
        <w:t xml:space="preserve">. Il nous faut sans tarder réduire les émissions au niveau mondial, car les possibilités d'adaptation se heurtent à des limites physiques.  </w:t>
      </w:r>
    </w:p>
    <w:p w14:paraId="073A715A" w14:textId="3FF182CA" w:rsidR="0042472C" w:rsidRPr="00915255" w:rsidRDefault="00027C6C" w:rsidP="009357C0">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b/>
          <w:noProof/>
          <w:color w:val="000000" w:themeColor="text1"/>
          <w:sz w:val="24"/>
        </w:rPr>
        <w:t>Les effets du changement climatique se font déjà sentir, et les risques continueront d’augmenter au cours des décennies à venir et au-delà</w:t>
      </w:r>
      <w:r>
        <w:rPr>
          <w:rFonts w:ascii="Times New Roman" w:hAnsi="Times New Roman"/>
          <w:noProof/>
          <w:color w:val="000000" w:themeColor="text1"/>
          <w:sz w:val="24"/>
        </w:rPr>
        <w:t xml:space="preserve"> en raison de l’inertie du système climatique, même si des réductions ambitieuses des émissions à l’échelle mondiale réduisent les dommages potentiels. En février 2024, le service Copernicus concernant le changement climatique indiquait que la température moyenne de la planète au cours des douze mois précédents avait dépassé le seuil de 1,5 ºC au-dessus des niveaux préindustriels</w:t>
      </w:r>
      <w:r w:rsidR="00A002CB">
        <w:rPr>
          <w:rStyle w:val="FootnoteReference"/>
          <w:rFonts w:ascii="Times New Roman" w:eastAsia="Times New Roman" w:hAnsi="Times New Roman" w:cs="Times New Roman"/>
          <w:noProof/>
          <w:color w:val="000000" w:themeColor="text1"/>
          <w:sz w:val="24"/>
          <w:szCs w:val="24"/>
          <w:lang w:eastAsia="en-IE"/>
        </w:rPr>
        <w:footnoteReference w:id="3"/>
      </w:r>
      <w:r>
        <w:rPr>
          <w:rFonts w:ascii="Times New Roman" w:hAnsi="Times New Roman"/>
          <w:noProof/>
          <w:color w:val="000000" w:themeColor="text1"/>
          <w:sz w:val="24"/>
        </w:rPr>
        <w:t xml:space="preserve">. </w:t>
      </w:r>
      <w:r>
        <w:rPr>
          <w:rFonts w:ascii="Times New Roman" w:hAnsi="Times New Roman"/>
          <w:b/>
          <w:noProof/>
          <w:color w:val="000000" w:themeColor="text1"/>
          <w:sz w:val="24"/>
        </w:rPr>
        <w:t>Les perspectives pour l’Europe</w:t>
      </w:r>
      <w:r>
        <w:rPr>
          <w:rFonts w:ascii="Times New Roman" w:hAnsi="Times New Roman"/>
          <w:noProof/>
          <w:color w:val="000000" w:themeColor="text1"/>
          <w:sz w:val="24"/>
        </w:rPr>
        <w:t xml:space="preserve"> sont bien exposées dans la première évaluation européenne des risques climatiques (EUCRA)</w:t>
      </w:r>
      <w:r w:rsidR="001364A4" w:rsidRPr="009C5047">
        <w:rPr>
          <w:rFonts w:ascii="Times New Roman" w:eastAsia="Times New Roman" w:hAnsi="Times New Roman" w:cs="Times New Roman"/>
          <w:noProof/>
          <w:color w:val="000000" w:themeColor="text1"/>
          <w:sz w:val="24"/>
          <w:szCs w:val="24"/>
          <w:vertAlign w:val="superscript"/>
          <w:lang w:eastAsia="en-IE"/>
        </w:rPr>
        <w:footnoteReference w:id="4"/>
      </w:r>
      <w:r>
        <w:rPr>
          <w:rFonts w:ascii="Times New Roman" w:hAnsi="Times New Roman"/>
          <w:noProof/>
          <w:color w:val="000000" w:themeColor="text1"/>
          <w:sz w:val="24"/>
        </w:rPr>
        <w:t xml:space="preserve"> jamais établie par l’Agence européenne pour l’environnement. Dans le scénario le plus favorable, en supposant que l’on limite le réchauffement de la planète à 1,5 ºC au-dessus des niveaux préindustriels, l’Europe – dont le rythme de réchauffement est deux fois supérieur au rythme mondial – devra apprendre à vivre sous un climat plus chaud de 3 ºC et, par conséquent, à faire face à un nombre infiniment plus important de vagues de chaleur et autres phénomènes météorologiques extrêmes.</w:t>
      </w:r>
    </w:p>
    <w:p w14:paraId="47BF74A1" w14:textId="4E83659B" w:rsidR="00A916D0" w:rsidRPr="00915255" w:rsidRDefault="00A916D0" w:rsidP="009357C0">
      <w:pPr>
        <w:spacing w:after="120"/>
        <w:jc w:val="both"/>
        <w:textAlignment w:val="baseline"/>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Figure 1: Projections de température pour l’Europe selon quatre scénarios climatiques mondiaux standard </w:t>
      </w:r>
    </w:p>
    <w:p w14:paraId="33C8E768" w14:textId="6C89B374" w:rsidR="00A916D0" w:rsidRDefault="0027209B" w:rsidP="009357C0">
      <w:pPr>
        <w:spacing w:after="120"/>
        <w:jc w:val="both"/>
        <w:textAlignment w:val="baseline"/>
        <w:rPr>
          <w:rFonts w:ascii="Times New Roman" w:hAnsi="Times New Roman" w:cs="Times New Roman"/>
          <w:noProof/>
          <w:color w:val="000000" w:themeColor="text1"/>
          <w:sz w:val="24"/>
          <w:szCs w:val="24"/>
        </w:rPr>
      </w:pPr>
      <w:r>
        <w:rPr>
          <w:noProof/>
          <w:lang w:val="en-GB" w:eastAsia="en-GB"/>
        </w:rPr>
        <w:drawing>
          <wp:inline distT="0" distB="0" distL="0" distR="0" wp14:anchorId="58BC4C00" wp14:editId="4BAC47FD">
            <wp:extent cx="5806440" cy="3896427"/>
            <wp:effectExtent l="0" t="0" r="381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12322" cy="3900374"/>
                    </a:xfrm>
                    <a:prstGeom prst="rect">
                      <a:avLst/>
                    </a:prstGeom>
                    <a:noFill/>
                    <a:ln>
                      <a:noFill/>
                    </a:ln>
                  </pic:spPr>
                </pic:pic>
              </a:graphicData>
            </a:graphic>
          </wp:inline>
        </w:drawing>
      </w:r>
    </w:p>
    <w:p w14:paraId="014C0136" w14:textId="5D3C3C67" w:rsidR="009513CE" w:rsidRPr="009513CE" w:rsidRDefault="009513CE" w:rsidP="009513CE">
      <w:pPr>
        <w:spacing w:after="120"/>
        <w:jc w:val="both"/>
        <w:textAlignment w:val="baseline"/>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Source: EUCRA, sur la base des travaux du service Copernicus concernant le changement climatique </w:t>
      </w:r>
    </w:p>
    <w:p w14:paraId="31EEE6DC" w14:textId="77777777" w:rsidR="00B514C5" w:rsidRPr="00915255" w:rsidRDefault="00B514C5" w:rsidP="009357C0">
      <w:pPr>
        <w:spacing w:after="120"/>
        <w:jc w:val="both"/>
        <w:textAlignment w:val="baseline"/>
        <w:rPr>
          <w:rFonts w:ascii="Times New Roman" w:hAnsi="Times New Roman" w:cs="Times New Roman"/>
          <w:noProof/>
          <w:color w:val="000000" w:themeColor="text1"/>
          <w:sz w:val="24"/>
          <w:szCs w:val="24"/>
          <w:lang w:eastAsia="en-IE"/>
        </w:rPr>
      </w:pPr>
    </w:p>
    <w:p w14:paraId="7642DB25" w14:textId="5818A37F" w:rsidR="00C16BAB" w:rsidRDefault="00F522A2" w:rsidP="00CE5BA2">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b/>
          <w:noProof/>
          <w:color w:val="000000" w:themeColor="text1"/>
          <w:sz w:val="24"/>
        </w:rPr>
        <w:t>La résilience face au changement climatique suppose de maintenir non seulement les fonctions sociétales mais aussi la compétitivité des économies et des entreprises</w:t>
      </w:r>
      <w:r>
        <w:rPr>
          <w:rFonts w:ascii="Times New Roman" w:hAnsi="Times New Roman"/>
          <w:b/>
          <w:noProof/>
          <w:sz w:val="24"/>
        </w:rPr>
        <w:t xml:space="preserve"> et, partant, l’emploi. </w:t>
      </w:r>
      <w:r>
        <w:rPr>
          <w:rFonts w:ascii="Times New Roman" w:hAnsi="Times New Roman"/>
          <w:noProof/>
          <w:color w:val="000000" w:themeColor="text1"/>
          <w:sz w:val="24"/>
        </w:rPr>
        <w:t>La gestion des risques climatiques est une condition nécessaire à l’</w:t>
      </w:r>
      <w:r>
        <w:rPr>
          <w:rFonts w:ascii="Times New Roman" w:hAnsi="Times New Roman"/>
          <w:b/>
          <w:noProof/>
          <w:color w:val="000000" w:themeColor="text1"/>
          <w:sz w:val="24"/>
        </w:rPr>
        <w:t>amélioration du niveau de vie, à la lutte contre les inégalités et à la protection des personnes</w:t>
      </w:r>
      <w:r>
        <w:rPr>
          <w:rFonts w:ascii="Times New Roman" w:hAnsi="Times New Roman"/>
          <w:noProof/>
          <w:color w:val="000000" w:themeColor="text1"/>
          <w:sz w:val="24"/>
        </w:rPr>
        <w:t>.</w:t>
      </w:r>
      <w:r>
        <w:rPr>
          <w:rFonts w:ascii="Times New Roman" w:hAnsi="Times New Roman"/>
          <w:b/>
          <w:noProof/>
          <w:color w:val="000000" w:themeColor="text1"/>
          <w:sz w:val="24"/>
        </w:rPr>
        <w:t xml:space="preserve"> </w:t>
      </w:r>
      <w:r>
        <w:rPr>
          <w:rFonts w:ascii="Times New Roman" w:hAnsi="Times New Roman"/>
          <w:b/>
          <w:noProof/>
          <w:sz w:val="24"/>
        </w:rPr>
        <w:t>Il y va de la survie économique des zones rurales et côtières, des agriculteurs, des forestiers et des pêcheurs</w:t>
      </w:r>
      <w:r>
        <w:rPr>
          <w:rFonts w:ascii="Times New Roman" w:hAnsi="Times New Roman"/>
          <w:b/>
          <w:noProof/>
          <w:color w:val="000000" w:themeColor="text1"/>
          <w:sz w:val="24"/>
        </w:rPr>
        <w:t xml:space="preserve">. </w:t>
      </w:r>
      <w:r>
        <w:rPr>
          <w:rFonts w:ascii="Times New Roman" w:hAnsi="Times New Roman"/>
          <w:noProof/>
          <w:color w:val="000000" w:themeColor="text1"/>
          <w:sz w:val="24"/>
        </w:rPr>
        <w:t>Pour les entreprises, les risques climatiques sont déjà bien reconnus et occupent les quatre premières places du classement des risques perçus en tant que tels pour la décennie à venir</w:t>
      </w:r>
      <w:r w:rsidR="00202AD4" w:rsidRPr="00915255">
        <w:rPr>
          <w:rFonts w:ascii="Times New Roman" w:eastAsia="Times New Roman" w:hAnsi="Times New Roman" w:cs="Times New Roman"/>
          <w:noProof/>
          <w:color w:val="000000" w:themeColor="text1"/>
          <w:sz w:val="24"/>
          <w:szCs w:val="24"/>
          <w:vertAlign w:val="superscript"/>
          <w:lang w:val="en-IE" w:eastAsia="en-IE"/>
        </w:rPr>
        <w:footnoteReference w:id="5"/>
      </w:r>
      <w:r>
        <w:rPr>
          <w:rFonts w:ascii="Times New Roman" w:hAnsi="Times New Roman"/>
          <w:noProof/>
          <w:color w:val="000000" w:themeColor="text1"/>
          <w:sz w:val="24"/>
        </w:rPr>
        <w:t xml:space="preserve">. </w:t>
      </w:r>
      <w:r>
        <w:rPr>
          <w:rFonts w:ascii="Times New Roman" w:hAnsi="Times New Roman"/>
          <w:noProof/>
          <w:sz w:val="24"/>
        </w:rPr>
        <w:t>Le manque de ressources peut être problématique pour certaines petites et moyennes entreprises (PME). Qu’il s’agisse de chaînes d’approvisionnement exposées, d’un accès réduit à l’assurance, d’actifs nationaux vulnérables, d’une perte de biodiversité dont dépendent les secteurs économiques ou d’une protection insuffisante des personnes, la reprise après des catastrophes climatiques de plus en plus intenses absorbera, pour ceux qui ne s’y seront pas préparés, de plus en plus de capacités et de capitaux.</w:t>
      </w:r>
      <w:r>
        <w:rPr>
          <w:rFonts w:ascii="Times New Roman" w:hAnsi="Times New Roman"/>
          <w:noProof/>
          <w:color w:val="000000" w:themeColor="text1"/>
          <w:sz w:val="24"/>
        </w:rPr>
        <w:t xml:space="preserve"> </w:t>
      </w:r>
    </w:p>
    <w:p w14:paraId="11CF7BBE" w14:textId="5BEC580A" w:rsidR="00C00EEB" w:rsidRDefault="00202AD4" w:rsidP="000C2827">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La Banque centrale européenne et le Comité européen du risque systémique ont constaté que les </w:t>
      </w:r>
      <w:r>
        <w:rPr>
          <w:rFonts w:ascii="Times New Roman" w:hAnsi="Times New Roman"/>
          <w:b/>
          <w:noProof/>
          <w:color w:val="000000" w:themeColor="text1"/>
          <w:sz w:val="24"/>
        </w:rPr>
        <w:t>risques climatiques pouvaient compromettre la stabilité financière</w:t>
      </w:r>
      <w:r>
        <w:rPr>
          <w:rFonts w:ascii="Times New Roman" w:hAnsi="Times New Roman"/>
          <w:noProof/>
          <w:color w:val="000000" w:themeColor="text1"/>
          <w:sz w:val="24"/>
        </w:rPr>
        <w:t xml:space="preserve"> à bien des égards et ont plaidé en faveur d’une stratégie macroprudentielle solide à l’échelle du système pour faire face à ces risques</w:t>
      </w:r>
      <w:r>
        <w:rPr>
          <w:rStyle w:val="FootnoteReference"/>
          <w:rFonts w:ascii="Times New Roman" w:eastAsia="Times New Roman" w:hAnsi="Times New Roman" w:cs="Times New Roman"/>
          <w:noProof/>
          <w:color w:val="000000" w:themeColor="text1"/>
          <w:sz w:val="24"/>
          <w:szCs w:val="24"/>
          <w:lang w:val="en-IE" w:eastAsia="en-IE"/>
        </w:rPr>
        <w:footnoteReference w:id="6"/>
      </w:r>
      <w:r>
        <w:rPr>
          <w:rFonts w:ascii="Times New Roman" w:hAnsi="Times New Roman"/>
          <w:noProof/>
          <w:color w:val="000000" w:themeColor="text1"/>
          <w:sz w:val="24"/>
        </w:rPr>
        <w:t xml:space="preserve">. </w:t>
      </w:r>
      <w:r>
        <w:rPr>
          <w:rFonts w:ascii="Times New Roman" w:hAnsi="Times New Roman"/>
          <w:noProof/>
          <w:sz w:val="24"/>
        </w:rPr>
        <w:t xml:space="preserve">Dans le même temps, certaines entreprises européennes </w:t>
      </w:r>
      <w:r>
        <w:rPr>
          <w:rFonts w:ascii="Times New Roman" w:hAnsi="Times New Roman"/>
          <w:noProof/>
          <w:color w:val="000000" w:themeColor="text1"/>
          <w:sz w:val="24"/>
        </w:rPr>
        <w:t xml:space="preserve">flexibles et dynamiques, y compris des </w:t>
      </w:r>
      <w:r>
        <w:rPr>
          <w:rFonts w:ascii="Times New Roman" w:hAnsi="Times New Roman"/>
          <w:b/>
          <w:noProof/>
          <w:color w:val="000000" w:themeColor="text1"/>
          <w:sz w:val="24"/>
        </w:rPr>
        <w:t>PME, peuvent devenir des leaders dans certains segments du marché qui renforcent la résilience,</w:t>
      </w:r>
      <w:r>
        <w:rPr>
          <w:rFonts w:ascii="Times New Roman" w:hAnsi="Times New Roman"/>
          <w:noProof/>
          <w:color w:val="000000" w:themeColor="text1"/>
          <w:sz w:val="24"/>
        </w:rPr>
        <w:t xml:space="preserve"> tels que l’innovation autour de l’utilisation des données et des technologies spatiales. </w:t>
      </w:r>
    </w:p>
    <w:p w14:paraId="160DAF12" w14:textId="4422B454" w:rsidR="00865CBA" w:rsidRDefault="00865CBA" w:rsidP="000C2827">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b/>
          <w:noProof/>
          <w:color w:val="000000" w:themeColor="text1"/>
          <w:sz w:val="24"/>
        </w:rPr>
        <w:t>L’augmentation des risques climatiques a également une incidence sur la situation géopolitique</w:t>
      </w:r>
      <w:r>
        <w:rPr>
          <w:rFonts w:ascii="Times New Roman" w:hAnsi="Times New Roman"/>
          <w:noProof/>
          <w:color w:val="000000" w:themeColor="text1"/>
          <w:sz w:val="24"/>
        </w:rPr>
        <w:t xml:space="preserve">, nuisant ainsi à la sûreté et à la sécurité, aux flux commerciaux et à la stabilité économique au niveau mondial, ainsi qu’à la capacité de maintenir des services essentiels pour les populations touchées. À l’inverse, c’est en élevant le niveau de préparation et de résilience face aux effets du changement climatique que l’on pourra contribuer à relever l’un des principaux défis mondiaux actuels, avec les retombées positives qui en résultent. </w:t>
      </w:r>
    </w:p>
    <w:p w14:paraId="6C3A1182" w14:textId="550CE57C" w:rsidR="005256FD" w:rsidRDefault="00027C6C" w:rsidP="005256FD">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Les Européens sont 77 % à considérer le changement climatique comme un problème très grave, et 37 % à s’estimer déjà </w:t>
      </w:r>
      <w:r>
        <w:rPr>
          <w:rFonts w:ascii="Times New Roman" w:hAnsi="Times New Roman"/>
          <w:b/>
          <w:noProof/>
          <w:color w:val="000000" w:themeColor="text1"/>
          <w:sz w:val="24"/>
        </w:rPr>
        <w:t>personnellement exposés à des risques climatiques</w:t>
      </w:r>
      <w:r>
        <w:rPr>
          <w:rFonts w:ascii="Times New Roman" w:hAnsi="Times New Roman"/>
          <w:noProof/>
          <w:color w:val="000000" w:themeColor="text1"/>
          <w:sz w:val="24"/>
        </w:rPr>
        <w:t>. Le Parlement européen</w:t>
      </w:r>
      <w:r w:rsidR="00082DDA">
        <w:rPr>
          <w:rStyle w:val="FootnoteReference"/>
          <w:rFonts w:ascii="Times New Roman" w:eastAsia="Times New Roman" w:hAnsi="Times New Roman" w:cs="Times New Roman"/>
          <w:noProof/>
          <w:color w:val="000000" w:themeColor="text1"/>
          <w:sz w:val="24"/>
          <w:szCs w:val="24"/>
          <w:lang w:eastAsia="en-IE"/>
        </w:rPr>
        <w:footnoteReference w:id="7"/>
      </w:r>
      <w:r>
        <w:rPr>
          <w:rFonts w:ascii="Times New Roman" w:hAnsi="Times New Roman"/>
          <w:noProof/>
          <w:color w:val="000000" w:themeColor="text1"/>
          <w:sz w:val="24"/>
        </w:rPr>
        <w:t xml:space="preserve"> et les dirigeants de l’UE</w:t>
      </w:r>
      <w:r w:rsidR="00566DC0" w:rsidRPr="00566DC0">
        <w:rPr>
          <w:rFonts w:ascii="Times New Roman" w:eastAsia="Times New Roman" w:hAnsi="Times New Roman" w:cs="Times New Roman"/>
          <w:noProof/>
          <w:color w:val="000000" w:themeColor="text1"/>
          <w:sz w:val="24"/>
          <w:szCs w:val="24"/>
          <w:vertAlign w:val="superscript"/>
          <w:lang w:val="en-IE" w:eastAsia="en-IE"/>
        </w:rPr>
        <w:footnoteReference w:id="8"/>
      </w:r>
      <w:r>
        <w:rPr>
          <w:rFonts w:ascii="Times New Roman" w:hAnsi="Times New Roman"/>
          <w:noProof/>
          <w:color w:val="000000" w:themeColor="text1"/>
          <w:sz w:val="24"/>
        </w:rPr>
        <w:t xml:space="preserve"> ont pris conscience de la nécessité pressante de redoubler d’efforts face à l’urgence climatique et de renforcer la résilience de l’UE. Dans le droit fil de la communication sur l’objectif climatique de l’Europe à l’horizon 2040 et la voie vers la neutralité climatique d’ici à 2050, les investissements dans des bâtiments, des transports et des systèmes énergétiques résilients face au changement climatique pourraient créer d’importants débouchés commerciaux, générer des économies d’échelle et bénéficier plus largement à l’économie européenne, en permettant de créer des emplois hautement qualifiés et de proposer des énergies propres abordables.</w:t>
      </w:r>
    </w:p>
    <w:p w14:paraId="2D88A11A" w14:textId="1A462E86" w:rsidR="009C347D" w:rsidRDefault="009D2451" w:rsidP="00CE5BA2">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b/>
          <w:noProof/>
          <w:color w:val="000000" w:themeColor="text1"/>
          <w:sz w:val="24"/>
        </w:rPr>
        <w:t>La vision européenne d’une société saine, inclusive et équitable est source de force</w:t>
      </w:r>
      <w:r>
        <w:rPr>
          <w:rFonts w:ascii="Times New Roman" w:hAnsi="Times New Roman"/>
          <w:noProof/>
          <w:color w:val="000000" w:themeColor="text1"/>
          <w:sz w:val="24"/>
        </w:rPr>
        <w:t xml:space="preserve">. La solidarité, l’inclusion, l’innovation et l’état de droit nous ont aidés à relever des défis historiques et nous aideront à relever celui-ci. </w:t>
      </w:r>
    </w:p>
    <w:p w14:paraId="1F9BB09D" w14:textId="36954491" w:rsidR="00CE5BA2" w:rsidRDefault="00901682" w:rsidP="00CE5BA2">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b/>
          <w:noProof/>
          <w:color w:val="000000" w:themeColor="text1"/>
          <w:sz w:val="24"/>
        </w:rPr>
        <w:t xml:space="preserve">La coordination que permet l’Union européenne est un excellent moyen de renforcer la résilience. </w:t>
      </w:r>
      <w:r>
        <w:rPr>
          <w:rFonts w:ascii="Times New Roman" w:hAnsi="Times New Roman"/>
          <w:noProof/>
          <w:color w:val="000000" w:themeColor="text1"/>
          <w:sz w:val="24"/>
        </w:rPr>
        <w:t>Elle permet de gagner en efficacité, ce qui est essentiel eu égard aux nombreuses revendications sur les ressources publiques et privées. Elle permet également aux États, aux régions et aux collectivités locales de voir ce qui fonctionne et ce qui ne fonctionne pas ailleurs, ce qui les aide à agir plus rapidement et plus efficacement. Compte tenu de l’ampleur des mesures nécessaires dans certains domaines, il est peu probable que, en l’absence de coordination, les décisions et mesures nécessaires soient prises à temps pour éviter des incidences irréversibles sur l’environnement. Enfin, l’UE apporte une valeur ajoutée en proposant aux individus et aux parties prenantes publiques et privées des moyens pour accroître leur capacité de résilience. Ces dix dernières années, des investissements considérables financés sur le budget de l’UE, notamment grâce à la politique de cohésion, ont été consacrés à l’adaptation au changement climatique et à l’atténuation de ses effets. Pour la période 2021-2027, les investissements au titre de la cohésion dans ce domaine devraient atteindre environ 118 milliards d’EUR.</w:t>
      </w:r>
    </w:p>
    <w:p w14:paraId="77361176" w14:textId="573A604C" w:rsidR="00CE5BA2" w:rsidRPr="003B19B4" w:rsidRDefault="00587C9F" w:rsidP="00CE5BA2">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Certaines des catastrophes qui se sont produites en 2023 font clairement apparaître une tendance à l’augmentation des risques climatiques. Tous les pays de l’UE ont été touchés à des degrés divers, au-delà des exemples donnés ci-dessous. </w:t>
      </w:r>
    </w:p>
    <w:p w14:paraId="7048C3B7" w14:textId="10DD61A3" w:rsidR="00CE5BA2" w:rsidRPr="00915255" w:rsidRDefault="00E67EE4" w:rsidP="00CE5BA2">
      <w:pPr>
        <w:pBdr>
          <w:top w:val="single" w:sz="4" w:space="1" w:color="auto"/>
          <w:left w:val="single" w:sz="4" w:space="4" w:color="auto"/>
          <w:bottom w:val="single" w:sz="4" w:space="1" w:color="auto"/>
          <w:right w:val="single" w:sz="4" w:space="4" w:color="auto"/>
        </w:pBd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Encadré 1: Quatre exemples de catastrophes survenues en 2023 et liées à des aléas climatiques:</w:t>
      </w:r>
    </w:p>
    <w:p w14:paraId="32893A65" w14:textId="4F373B4B" w:rsidR="00CE5BA2" w:rsidRPr="00915255" w:rsidRDefault="00CE5BA2" w:rsidP="000A7C09">
      <w:pPr>
        <w:pStyle w:val="ListParagraph"/>
        <w:numPr>
          <w:ilvl w:val="0"/>
          <w:numId w:val="65"/>
        </w:numPr>
        <w:pBdr>
          <w:top w:val="single" w:sz="4" w:space="1" w:color="auto"/>
          <w:left w:val="single" w:sz="4" w:space="4" w:color="auto"/>
          <w:bottom w:val="single" w:sz="4" w:space="1" w:color="auto"/>
          <w:right w:val="single" w:sz="4" w:space="4" w:color="auto"/>
        </w:pBd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b/>
          <w:noProof/>
          <w:color w:val="000000" w:themeColor="text1"/>
          <w:sz w:val="24"/>
        </w:rPr>
        <w:t>Grèce.</w:t>
      </w:r>
      <w:r>
        <w:rPr>
          <w:rFonts w:ascii="Times New Roman" w:hAnsi="Times New Roman"/>
          <w:noProof/>
          <w:color w:val="000000" w:themeColor="text1"/>
          <w:sz w:val="24"/>
        </w:rPr>
        <w:t xml:space="preserve"> De juillet à août, les </w:t>
      </w:r>
      <w:r>
        <w:rPr>
          <w:rFonts w:ascii="Times New Roman" w:hAnsi="Times New Roman"/>
          <w:b/>
          <w:noProof/>
          <w:color w:val="000000" w:themeColor="text1"/>
          <w:sz w:val="24"/>
        </w:rPr>
        <w:t>incendies de forêt</w:t>
      </w:r>
      <w:r>
        <w:rPr>
          <w:rFonts w:ascii="Times New Roman" w:hAnsi="Times New Roman"/>
          <w:noProof/>
          <w:color w:val="000000" w:themeColor="text1"/>
          <w:sz w:val="24"/>
        </w:rPr>
        <w:t xml:space="preserve">, alimentés par la sécheresse et les vagues de chaleur, ont détruit 170 000 hectares en Grèce. L'incendie de forêt qui a touché Alexandroupoli est le plus important qu'ait connu l’Europe depuis 2000; plus de 96 000 hectares ont ainsi été réduits en cendres. La </w:t>
      </w:r>
      <w:r>
        <w:rPr>
          <w:rFonts w:ascii="Times New Roman" w:hAnsi="Times New Roman"/>
          <w:b/>
          <w:noProof/>
          <w:color w:val="000000" w:themeColor="text1"/>
          <w:sz w:val="24"/>
        </w:rPr>
        <w:t>tempête</w:t>
      </w:r>
      <w:r>
        <w:rPr>
          <w:rFonts w:ascii="Times New Roman" w:hAnsi="Times New Roman"/>
          <w:noProof/>
          <w:color w:val="000000" w:themeColor="text1"/>
          <w:sz w:val="24"/>
        </w:rPr>
        <w:t xml:space="preserve"> Daniel a provoqué des précipitations record en Grèce au début du mois de septembre: 750 mm d’eau sont tombés en 24 heures à Zagora, soit plus du cumul annuel enregistré habituellement dans cette région. Cet événement climatique a réduit à néant quelque 15 % de la production agricole annuelle. </w:t>
      </w:r>
    </w:p>
    <w:p w14:paraId="5591F25B" w14:textId="45BA292C" w:rsidR="00CE5BA2" w:rsidRPr="00915255" w:rsidRDefault="00CE5BA2" w:rsidP="000A7C09">
      <w:pPr>
        <w:pStyle w:val="ListParagraph"/>
        <w:numPr>
          <w:ilvl w:val="0"/>
          <w:numId w:val="65"/>
        </w:numPr>
        <w:pBdr>
          <w:top w:val="single" w:sz="4" w:space="1" w:color="auto"/>
          <w:left w:val="single" w:sz="4" w:space="4" w:color="auto"/>
          <w:bottom w:val="single" w:sz="4" w:space="1" w:color="auto"/>
          <w:right w:val="single" w:sz="4" w:space="4" w:color="auto"/>
        </w:pBd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b/>
          <w:noProof/>
          <w:color w:val="000000" w:themeColor="text1"/>
          <w:sz w:val="24"/>
        </w:rPr>
        <w:t>Slovénie.</w:t>
      </w:r>
      <w:r>
        <w:rPr>
          <w:rFonts w:ascii="Times New Roman" w:hAnsi="Times New Roman"/>
          <w:noProof/>
          <w:color w:val="000000" w:themeColor="text1"/>
          <w:sz w:val="24"/>
        </w:rPr>
        <w:t xml:space="preserve"> En août, de fortes précipitations se sont abattues sur le pays pendant plusieurs jours, qui ont ajouté à des niveaux d’eau déjà élevés. Ces pluies, qui ont provoqué des inondations et des glissements de terrain massifs, ont touché les deux tiers de la Slovénie et entraîné des dommages représentant environ 16 % du PIB. </w:t>
      </w:r>
    </w:p>
    <w:p w14:paraId="5B0B79B4" w14:textId="57478708" w:rsidR="00CE5BA2" w:rsidRPr="00915255" w:rsidRDefault="00CE5BA2" w:rsidP="000A7C09">
      <w:pPr>
        <w:pStyle w:val="ListParagraph"/>
        <w:numPr>
          <w:ilvl w:val="0"/>
          <w:numId w:val="65"/>
        </w:numPr>
        <w:pBdr>
          <w:top w:val="single" w:sz="4" w:space="1" w:color="auto"/>
          <w:left w:val="single" w:sz="4" w:space="4" w:color="auto"/>
          <w:bottom w:val="single" w:sz="4" w:space="1" w:color="auto"/>
          <w:right w:val="single" w:sz="4" w:space="4" w:color="auto"/>
        </w:pBd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b/>
          <w:noProof/>
          <w:color w:val="000000" w:themeColor="text1"/>
          <w:sz w:val="24"/>
        </w:rPr>
        <w:t>Scandinavie.</w:t>
      </w:r>
      <w:r>
        <w:rPr>
          <w:rFonts w:ascii="Times New Roman" w:hAnsi="Times New Roman"/>
          <w:noProof/>
          <w:color w:val="000000" w:themeColor="text1"/>
          <w:sz w:val="24"/>
        </w:rPr>
        <w:t xml:space="preserve"> En août, la tempête Hans a déferlé sur le Danemark, la Norvège et la Suède, causant de graves dommages aux infrastructures et à l’agriculture, ainsi que des perturbations majeures dans des réseaux de transport essentiels. Le nombre de demandes d’indemnisation auprès des organismes d’assurance a battu de nouveaux records.</w:t>
      </w:r>
    </w:p>
    <w:p w14:paraId="6248D6C4" w14:textId="11CA62D1" w:rsidR="00CE5BA2" w:rsidRPr="00915255" w:rsidRDefault="00541771" w:rsidP="000A7C09">
      <w:pPr>
        <w:pStyle w:val="ListParagraph"/>
        <w:numPr>
          <w:ilvl w:val="0"/>
          <w:numId w:val="65"/>
        </w:numPr>
        <w:pBdr>
          <w:top w:val="single" w:sz="4" w:space="1" w:color="auto"/>
          <w:left w:val="single" w:sz="4" w:space="4" w:color="auto"/>
          <w:bottom w:val="single" w:sz="4" w:space="1" w:color="auto"/>
          <w:right w:val="single" w:sz="4" w:space="4" w:color="auto"/>
        </w:pBd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b/>
          <w:noProof/>
          <w:color w:val="000000" w:themeColor="text1"/>
          <w:sz w:val="24"/>
        </w:rPr>
        <w:t>Toute l’Europe.</w:t>
      </w:r>
      <w:r>
        <w:rPr>
          <w:rFonts w:ascii="Times New Roman" w:hAnsi="Times New Roman"/>
          <w:noProof/>
          <w:color w:val="000000" w:themeColor="text1"/>
          <w:sz w:val="24"/>
        </w:rPr>
        <w:t xml:space="preserve"> De nouveaux records de température ont été enregistrés lors de la vague de chaleur qui a sévi en 2023 dans de nombreux pays. Elle faisait suite aux vagues de chaleur estivales de 2022, qui ont provoqué la mort de 60 000 à 70 000 personnes en Europe. </w:t>
      </w:r>
    </w:p>
    <w:p w14:paraId="48FFEF49" w14:textId="48D314A2" w:rsidR="00B67218" w:rsidRPr="00BE25FA" w:rsidRDefault="00D559C8" w:rsidP="00B67218">
      <w:pPr>
        <w:spacing w:after="120"/>
        <w:jc w:val="both"/>
        <w:textAlignment w:val="baseline"/>
        <w:rPr>
          <w:rFonts w:ascii="Times New Roman" w:hAnsi="Times New Roman"/>
          <w:noProof/>
          <w:color w:val="000000" w:themeColor="text1"/>
          <w:sz w:val="24"/>
        </w:rPr>
      </w:pPr>
      <w:r>
        <w:rPr>
          <w:rFonts w:ascii="Times New Roman" w:hAnsi="Times New Roman"/>
          <w:noProof/>
          <w:color w:val="000000" w:themeColor="text1"/>
          <w:sz w:val="24"/>
        </w:rPr>
        <w:t xml:space="preserve">L’action pour le climat est profitable à tous et en tout point. Les dommages climatiques ne sont pas la conséquence de catastrophes naturelles malheureuses et imprévues. Ils résultent de risques climatiques connus et dépendent des mesures prises pour réduire ces risques. </w:t>
      </w:r>
      <w:r>
        <w:rPr>
          <w:rFonts w:ascii="Times New Roman" w:hAnsi="Times New Roman"/>
          <w:b/>
          <w:noProof/>
          <w:color w:val="000000" w:themeColor="text1"/>
          <w:sz w:val="24"/>
        </w:rPr>
        <w:t>La présente communication expose les principales mesures qui doivent être prises pour que les particuliers et les entreprises puissent compter sur l’UE et ses États membres pour préserver les fonctions sociétales et maintenir l’accès aux services essentiels dans un contexte d’aggravation des risques climatiques. Elle vise à préciser à qui il incombe d’effectuer les choix délicats et de prendre les mesures qui s'imposent en se fondant sur les meilleures données disponibles. Il y est indiqué de quelle manière l’UE peut réellement anticiper les effets du changement climatique dans les années à venir et en quoi le fait d’accroître la résilience permet d’atteindre d'autres objectifs stratégiques à moindre coût et plus aisément.</w:t>
      </w:r>
      <w:r>
        <w:rPr>
          <w:rFonts w:ascii="Times New Roman" w:hAnsi="Times New Roman"/>
          <w:noProof/>
          <w:color w:val="000000" w:themeColor="text1"/>
          <w:sz w:val="24"/>
        </w:rPr>
        <w:t xml:space="preserve"> Cette entreprise exige qu’à l’avenir la préparation et la résilience aux risques climatiques soient prises en compte systématiquement au niveau de l’UE et des États membres, dans tous les domaines d’action.</w:t>
      </w:r>
    </w:p>
    <w:p w14:paraId="7A4DE63C" w14:textId="77777777" w:rsidR="006C2EA4" w:rsidRDefault="006C2EA4" w:rsidP="00E445D2">
      <w:pPr>
        <w:spacing w:after="120"/>
        <w:jc w:val="both"/>
        <w:textAlignment w:val="baseline"/>
        <w:rPr>
          <w:rFonts w:ascii="Times New Roman" w:eastAsia="Times New Roman" w:hAnsi="Times New Roman" w:cs="Times New Roman"/>
          <w:noProof/>
          <w:color w:val="000000" w:themeColor="text1"/>
          <w:sz w:val="24"/>
          <w:szCs w:val="24"/>
        </w:rPr>
      </w:pPr>
      <w:bookmarkStart w:id="7" w:name="_Toc157586294"/>
      <w:bookmarkStart w:id="8" w:name="_Toc157587654"/>
      <w:bookmarkStart w:id="9" w:name="_Toc157587770"/>
      <w:bookmarkStart w:id="10" w:name="_Toc157586295"/>
      <w:bookmarkStart w:id="11" w:name="_Toc157587655"/>
      <w:bookmarkStart w:id="12" w:name="_Toc157587771"/>
      <w:bookmarkStart w:id="13" w:name="_Toc157586296"/>
      <w:bookmarkStart w:id="14" w:name="_Toc157587656"/>
      <w:bookmarkStart w:id="15" w:name="_Toc157587772"/>
      <w:bookmarkStart w:id="16" w:name="_Toc157586297"/>
      <w:bookmarkStart w:id="17" w:name="_Toc157587657"/>
      <w:bookmarkStart w:id="18" w:name="_Toc157587773"/>
      <w:bookmarkStart w:id="19" w:name="_Toc157586298"/>
      <w:bookmarkStart w:id="20" w:name="_Toc157587658"/>
      <w:bookmarkStart w:id="21" w:name="_Toc157587774"/>
      <w:bookmarkStart w:id="22" w:name="_Toc157586299"/>
      <w:bookmarkStart w:id="23" w:name="_Toc157587659"/>
      <w:bookmarkStart w:id="24" w:name="_Toc157587775"/>
      <w:bookmarkStart w:id="25" w:name="_Toc157586300"/>
      <w:bookmarkStart w:id="26" w:name="_Toc157587660"/>
      <w:bookmarkStart w:id="27" w:name="_Toc157587776"/>
      <w:bookmarkStart w:id="28" w:name="_Toc159792197"/>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14:paraId="24BA4A78" w14:textId="363BA5F7" w:rsidR="001714DA" w:rsidRPr="00677067" w:rsidRDefault="00D7188A" w:rsidP="00B2476E">
      <w:pPr>
        <w:pStyle w:val="Heading2"/>
        <w:ind w:left="1565" w:hanging="431"/>
        <w:rPr>
          <w:rFonts w:ascii="Times New Roman" w:hAnsi="Times New Roman" w:cs="Times New Roman"/>
          <w:b/>
          <w:bCs/>
          <w:noProof/>
          <w:color w:val="000000" w:themeColor="text1"/>
          <w:sz w:val="24"/>
          <w:szCs w:val="24"/>
        </w:rPr>
      </w:pPr>
      <w:r>
        <w:rPr>
          <w:rFonts w:ascii="Times New Roman" w:hAnsi="Times New Roman"/>
          <w:b/>
          <w:noProof/>
          <w:color w:val="000000" w:themeColor="text1"/>
          <w:sz w:val="24"/>
        </w:rPr>
        <w:t>L’UE dispose des assises nécessaires pour améliorer la gestion des risques climatiques</w:t>
      </w:r>
      <w:bookmarkEnd w:id="28"/>
    </w:p>
    <w:p w14:paraId="2244059F" w14:textId="77777777" w:rsidR="00ED251E" w:rsidRDefault="00ED251E" w:rsidP="00B11E0C">
      <w:pPr>
        <w:jc w:val="both"/>
        <w:textAlignment w:val="baseline"/>
        <w:rPr>
          <w:rFonts w:ascii="Times New Roman" w:eastAsia="Times New Roman" w:hAnsi="Times New Roman" w:cs="Times New Roman"/>
          <w:noProof/>
          <w:color w:val="000000" w:themeColor="text1"/>
          <w:sz w:val="24"/>
          <w:szCs w:val="24"/>
          <w:lang w:eastAsia="en-IE"/>
        </w:rPr>
      </w:pPr>
    </w:p>
    <w:p w14:paraId="601360BF" w14:textId="1C0AFE0F" w:rsidR="00D7188A" w:rsidRPr="00915255" w:rsidRDefault="00D7188A" w:rsidP="008E56D1">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La loi européenne pour le climat dispose que les institutions de l’UE et les États membres sont tenus de veiller à ce que des progrès constants soient réalisés en ce qui concerne la capacité d’adaptation, le renforcement de la résilience et la réduction de la vulnérabilité. La mise en œuvre du vaste plan d’action de la stratégie d’adaptation de l’UE de 2021 se poursuit à un rythme soutenu.</w:t>
      </w:r>
      <w:r>
        <w:rPr>
          <w:rStyle w:val="FootnoteReference"/>
          <w:rFonts w:ascii="Times New Roman" w:hAnsi="Times New Roman"/>
          <w:noProof/>
          <w:color w:val="000000" w:themeColor="text1"/>
          <w:sz w:val="24"/>
        </w:rPr>
        <w:t xml:space="preserve"> </w:t>
      </w:r>
      <w:r>
        <w:rPr>
          <w:rFonts w:ascii="Times New Roman" w:hAnsi="Times New Roman"/>
          <w:noProof/>
          <w:color w:val="000000" w:themeColor="text1"/>
          <w:sz w:val="24"/>
        </w:rPr>
        <w:t>Afin de renforcer la résilience des investissements financés par l’UE, la politique de cohésion et d’autres programmes clés du budget de l’UE ont intégré le principe consistant à «ne pas causer de préjudice important» et mis en place une pratique d'évaluation de la résilience au changement climatique.</w:t>
      </w:r>
      <w:r>
        <w:rPr>
          <w:noProof/>
        </w:rPr>
        <w:t xml:space="preserve"> </w:t>
      </w:r>
      <w:r>
        <w:rPr>
          <w:rFonts w:ascii="Times New Roman" w:hAnsi="Times New Roman"/>
          <w:noProof/>
          <w:color w:val="000000" w:themeColor="text1"/>
          <w:sz w:val="24"/>
        </w:rPr>
        <w:t xml:space="preserve">Des politiques sectorielles très diverses sont actuellement mises à jour en ce qui concerne les risques climatiques. Les États membres s’emploient à améliorer l’action en matière d'adaptation et ont commencé à inclure la résilience climatique dans leurs plans nationaux en matière d’énergie et de climat (PNEC). </w:t>
      </w:r>
    </w:p>
    <w:p w14:paraId="494576C8" w14:textId="6CC1589E" w:rsidR="00050DE4" w:rsidRPr="00915255" w:rsidRDefault="00050DE4" w:rsidP="008E56D1">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Les conclusions des récentes évaluations de la Commission</w:t>
      </w:r>
      <w:r w:rsidRPr="00915255">
        <w:rPr>
          <w:rStyle w:val="FootnoteReference"/>
          <w:rFonts w:ascii="Times New Roman" w:eastAsia="Times New Roman" w:hAnsi="Times New Roman" w:cs="Times New Roman"/>
          <w:noProof/>
          <w:color w:val="000000" w:themeColor="text1"/>
          <w:sz w:val="24"/>
          <w:szCs w:val="24"/>
          <w:lang w:eastAsia="en-IE"/>
        </w:rPr>
        <w:footnoteReference w:id="9"/>
      </w:r>
      <w:r>
        <w:rPr>
          <w:rFonts w:ascii="Times New Roman" w:hAnsi="Times New Roman"/>
          <w:noProof/>
          <w:color w:val="000000" w:themeColor="text1"/>
          <w:sz w:val="24"/>
        </w:rPr>
        <w:t xml:space="preserve"> </w:t>
      </w:r>
      <w:r w:rsidRPr="00915255">
        <w:rPr>
          <w:rStyle w:val="FootnoteReference"/>
          <w:rFonts w:ascii="Times New Roman" w:hAnsi="Times New Roman" w:cs="Times New Roman"/>
          <w:noProof/>
          <w:color w:val="000000" w:themeColor="text1"/>
          <w:sz w:val="24"/>
          <w:szCs w:val="24"/>
          <w:lang w:eastAsia="en-IE"/>
        </w:rPr>
        <w:footnoteReference w:id="10"/>
      </w:r>
      <w:r>
        <w:rPr>
          <w:rFonts w:ascii="Times New Roman" w:hAnsi="Times New Roman"/>
          <w:noProof/>
          <w:color w:val="000000" w:themeColor="text1"/>
          <w:sz w:val="24"/>
        </w:rPr>
        <w:t xml:space="preserve"> </w:t>
      </w:r>
      <w:r w:rsidR="00B809D0">
        <w:rPr>
          <w:rStyle w:val="FootnoteReference"/>
          <w:rFonts w:ascii="Times New Roman" w:hAnsi="Times New Roman" w:cs="Times New Roman"/>
          <w:noProof/>
          <w:color w:val="000000" w:themeColor="text1"/>
          <w:sz w:val="24"/>
          <w:szCs w:val="24"/>
          <w:lang w:eastAsia="en-IE"/>
        </w:rPr>
        <w:footnoteReference w:id="11"/>
      </w:r>
      <w:r>
        <w:rPr>
          <w:rFonts w:ascii="Times New Roman" w:hAnsi="Times New Roman"/>
          <w:noProof/>
          <w:color w:val="000000" w:themeColor="text1"/>
          <w:sz w:val="24"/>
        </w:rPr>
        <w:t xml:space="preserve">sont toutefois mitigées. Si des progrès constants sont observés au niveau de l’Union du fait de la mise en œuvre de la stratégie d’adaptation de l’UE, les États membres ont encore beaucoup à faire en ce qui concerne les aspects liés à la gouvernance, la sensibilisation, l’équité et une résilience juste, le financement et les solutions fondées sur la nature. Les dernières évaluations par la Commission des projets de PNEC actualisés et des recommandations connexes mettent en évidence une inadéquation entre les PNEC et les politiques et mesures d’adaptation prévues et mises en œuvre par les États membres. La Commission a formulé des recommandations et est prête à aider davantage les États membres à améliorer leurs PNEC afin d’accélérer la mise en œuvre et les investissements dans les années à venir. </w:t>
      </w:r>
    </w:p>
    <w:p w14:paraId="7CBA5029" w14:textId="7466920A" w:rsidR="00E94165" w:rsidRPr="00915255" w:rsidRDefault="00E94165" w:rsidP="00E94165">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Il ressort du rapport intitulé «Preventing and managing disaster risk in Europe» [Prévenir et gérer les risques de catastrophe en Europe]</w:t>
      </w:r>
      <w:r w:rsidR="008573D8" w:rsidRPr="00DA1432">
        <w:rPr>
          <w:rStyle w:val="FootnoteReference"/>
          <w:rFonts w:ascii="Times New Roman" w:eastAsia="Times New Roman" w:hAnsi="Times New Roman" w:cs="Times New Roman"/>
          <w:noProof/>
          <w:color w:val="000000" w:themeColor="text1"/>
          <w:sz w:val="24"/>
          <w:szCs w:val="24"/>
          <w:lang w:eastAsia="en-IE"/>
        </w:rPr>
        <w:footnoteReference w:id="12"/>
      </w:r>
      <w:r>
        <w:rPr>
          <w:rFonts w:ascii="Times New Roman" w:hAnsi="Times New Roman"/>
          <w:noProof/>
          <w:color w:val="000000" w:themeColor="text1"/>
          <w:sz w:val="24"/>
        </w:rPr>
        <w:t xml:space="preserve"> que les risques liés au climat figurent parmi les priorités des stratégies de gestion des risques de catastrophe mises en œuvre dans toute l’Europe. Ce rapport montre aussi que, si les risques climatiques sont généralement reconnus, paradoxalement, les évaluations des risques pour la protection civile tiennent rarement compte des scénarios et incertitudes climatiques. Les États membres procéderont à des évaluations des risques pour les infrastructures essentielles d’ici à janvier 2026 au titre de la directive sur la résilience des entités critiques. Dans les évaluations actuelles des perspectives budgétaires, il n’est pas systématiquement, voire jamais, tenu compte des risques climatiques. D’une manière générale, si les processus et exigences convenus dans les cadres d’action au niveau de l’UE peuvent permettre de s’attaquer aux risques climatiques, leur mise en œuvre ne permet pas actuellement de fournir une assurance raisonnable en la matière. </w:t>
      </w:r>
    </w:p>
    <w:p w14:paraId="77D464C8" w14:textId="64B41063" w:rsidR="007E3DA4" w:rsidRPr="00915255" w:rsidRDefault="00B065A9" w:rsidP="00A632E5">
      <w:pP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Les progrès sont donc irréguliers et ne suivent pas l’évolution des changements climatiques, qui s'accélère. </w:t>
      </w:r>
      <w:r>
        <w:rPr>
          <w:rFonts w:ascii="Times New Roman" w:hAnsi="Times New Roman"/>
          <w:b/>
          <w:noProof/>
          <w:color w:val="000000" w:themeColor="text1"/>
          <w:sz w:val="24"/>
        </w:rPr>
        <w:t>L’UE comme ses États membres doivent renforcer leur aptitude à se préparer aux risques climatiques et à y faire face efficacement.</w:t>
      </w:r>
    </w:p>
    <w:p w14:paraId="5466465C" w14:textId="7A25E2A4" w:rsidR="00D7188A" w:rsidRPr="00915255" w:rsidRDefault="008E56D1" w:rsidP="004A5637">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Le rapport de l’EUCRA expose en détail les principaux risques climatiques qui menacent l’Europe, ainsi que leur interaction avec de nombreux risques non liés au changement climatique et la manière dont ils les amplifient. La présente communication fait suite à ce rapport et à d’autres données publiées récemment. </w:t>
      </w:r>
      <w:r>
        <w:rPr>
          <w:rFonts w:ascii="Times New Roman" w:hAnsi="Times New Roman"/>
          <w:noProof/>
          <w:color w:val="000000"/>
          <w:sz w:val="24"/>
        </w:rPr>
        <w:t xml:space="preserve">Elle n’examine pas en détail les risques majeurs découlant des effets du changement climatique en dehors de l’UE auxquels l’UE est susceptible d’être exposée, et inversement. Le changement climatique peut induire des risques en cascade et ainsi exacerber la dégradation de l’environnement et les facteurs de conflit, de déplacement et de migration existants. </w:t>
      </w:r>
      <w:r>
        <w:rPr>
          <w:rFonts w:ascii="Times New Roman" w:hAnsi="Times New Roman"/>
          <w:noProof/>
          <w:sz w:val="24"/>
        </w:rPr>
        <w:t>Il convient d’analyser spécifiquement ces liens complexes pour éclairer la prise de décisions stratégiques, comme le montre la communication relative au lien entre climat et sécurité</w:t>
      </w:r>
      <w:r w:rsidRPr="00915255">
        <w:rPr>
          <w:rFonts w:ascii="Times New Roman" w:eastAsia="Times New Roman" w:hAnsi="Times New Roman" w:cs="Times New Roman"/>
          <w:noProof/>
          <w:color w:val="000000" w:themeColor="text1"/>
          <w:sz w:val="24"/>
          <w:szCs w:val="24"/>
          <w:vertAlign w:val="superscript"/>
          <w:lang w:eastAsia="en-IE"/>
        </w:rPr>
        <w:footnoteReference w:id="13"/>
      </w:r>
      <w:r>
        <w:rPr>
          <w:rFonts w:ascii="Times New Roman" w:hAnsi="Times New Roman"/>
          <w:noProof/>
          <w:sz w:val="24"/>
        </w:rPr>
        <w:t>.</w:t>
      </w:r>
      <w:r>
        <w:rPr>
          <w:rFonts w:ascii="Times New Roman" w:hAnsi="Times New Roman"/>
          <w:noProof/>
          <w:color w:val="000000" w:themeColor="text1"/>
          <w:sz w:val="24"/>
        </w:rPr>
        <w:t xml:space="preserve"> </w:t>
      </w:r>
    </w:p>
    <w:p w14:paraId="5B5998D4" w14:textId="1B6755FC" w:rsidR="00A70A3C" w:rsidRDefault="00A70A3C" w:rsidP="00467C2D">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En cohérence avec la dimension internationale de la stratégie d’adaptation de l’UE</w:t>
      </w:r>
      <w:r w:rsidRPr="00A70A3C">
        <w:rPr>
          <w:rFonts w:ascii="Times New Roman" w:eastAsia="Times New Roman" w:hAnsi="Times New Roman" w:cs="Times New Roman"/>
          <w:noProof/>
          <w:color w:val="000000" w:themeColor="text1"/>
          <w:sz w:val="24"/>
          <w:szCs w:val="24"/>
          <w:vertAlign w:val="superscript"/>
          <w:lang w:eastAsia="en-IE"/>
        </w:rPr>
        <w:footnoteReference w:id="14"/>
      </w:r>
      <w:r>
        <w:rPr>
          <w:rFonts w:ascii="Times New Roman" w:hAnsi="Times New Roman"/>
          <w:noProof/>
          <w:color w:val="000000" w:themeColor="text1"/>
          <w:sz w:val="24"/>
        </w:rPr>
        <w:t>, l’UE continuera de promouvoir des solutions intégrées pour le renforcement de la résilience au changement climatique dans les pays fragiles et vulnérables. «Global Gateway», la stratégie globale de l’UE dotée d’une enveloppe de 300 milliards d'EUR, et les plans économiques et d’investissement conçus pour les pays du voisinage méridional de l’UE, du partenariat oriental et des Balkans occidentaux peuvent offrir des outils pour atténuer les risques climatiques au niveau mondial. À titre d’exemple, l’UE a lancé l’initiative globale d’Équipe Europe sur l’adaptation au changement climatique et la résilience à en Afrique subsaharienne dans le cadre du paquet d’investissement «Global Gateway» UE-Afrique. Conformément au cadre de Sendai pour la réduction des risques de catastrophe, l’UE continuera de contribuer à la réduction des risques de catastrophe dans les pays partenaires, en mettant l’accent sur la connaissance, la gouvernance, la prévention, la préparation (en particulier les systèmes d’alerte précoce), la réaction et le rétablissement en matière de risques de catastrophe.</w:t>
      </w:r>
    </w:p>
    <w:p w14:paraId="3E7F0EF3" w14:textId="3AB7C499" w:rsidR="00467C2D" w:rsidRPr="00B2476E" w:rsidRDefault="00E213F7" w:rsidP="00467C2D">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La présente communication fait suite aux résultats les plus récents du sommet des Nations unies sur le climat (COP28) sur l’adaptation et, en particulier, sur la mise en œuvre du cadre d’action des Émirats arabes unis pour la résilience climatique mondiale [</w:t>
      </w:r>
      <w:r>
        <w:rPr>
          <w:rFonts w:ascii="Times New Roman" w:hAnsi="Times New Roman"/>
          <w:i/>
          <w:iCs/>
          <w:noProof/>
          <w:color w:val="000000" w:themeColor="text1"/>
          <w:sz w:val="24"/>
        </w:rPr>
        <w:t>UAE Framework for Global Climate Resilience</w:t>
      </w:r>
      <w:r>
        <w:rPr>
          <w:rFonts w:ascii="Times New Roman" w:hAnsi="Times New Roman"/>
          <w:noProof/>
          <w:color w:val="000000" w:themeColor="text1"/>
          <w:sz w:val="24"/>
        </w:rPr>
        <w:t>]</w:t>
      </w:r>
      <w:r w:rsidR="00D7188A" w:rsidRPr="00915255">
        <w:rPr>
          <w:rStyle w:val="FootnoteReference"/>
          <w:rFonts w:ascii="Times New Roman" w:eastAsia="Times New Roman" w:hAnsi="Times New Roman" w:cs="Times New Roman"/>
          <w:noProof/>
          <w:color w:val="000000" w:themeColor="text1"/>
          <w:sz w:val="24"/>
          <w:szCs w:val="24"/>
          <w:lang w:eastAsia="en-IE"/>
        </w:rPr>
        <w:footnoteReference w:id="15"/>
      </w:r>
      <w:r>
        <w:rPr>
          <w:rFonts w:ascii="Times New Roman" w:hAnsi="Times New Roman"/>
          <w:noProof/>
          <w:color w:val="000000" w:themeColor="text1"/>
          <w:sz w:val="24"/>
        </w:rPr>
        <w:t>. L’UE continuera de favoriser la résilience au changement climatique et la gestion des risques climatiques, en contribuant à l’adaptation au changement climatique et à la prévention des conflits grâce à ses outils de diplomatie climatique, tirant parti des expériences européennes aussi bien dans des enceintes internationales et dans des cadres bilatéraux.</w:t>
      </w:r>
    </w:p>
    <w:p w14:paraId="0646DA70" w14:textId="7187CC1E" w:rsidR="00B11E0C" w:rsidRDefault="00B11E0C" w:rsidP="00467C2D">
      <w:pPr>
        <w:spacing w:after="120"/>
        <w:jc w:val="both"/>
        <w:textAlignment w:val="baseline"/>
        <w:rPr>
          <w:rFonts w:ascii="Times New Roman" w:eastAsia="Times New Roman" w:hAnsi="Times New Roman" w:cs="Times New Roman"/>
          <w:noProof/>
          <w:color w:val="000000" w:themeColor="text1"/>
          <w:sz w:val="24"/>
          <w:szCs w:val="24"/>
          <w:lang w:eastAsia="en-IE"/>
        </w:rPr>
      </w:pPr>
    </w:p>
    <w:p w14:paraId="017D23F3" w14:textId="77777777" w:rsidR="00275F0B" w:rsidRPr="00B2476E" w:rsidRDefault="00275F0B" w:rsidP="00467C2D">
      <w:pPr>
        <w:spacing w:after="120"/>
        <w:jc w:val="both"/>
        <w:textAlignment w:val="baseline"/>
        <w:rPr>
          <w:rFonts w:ascii="Times New Roman" w:eastAsia="Times New Roman" w:hAnsi="Times New Roman" w:cs="Times New Roman"/>
          <w:noProof/>
          <w:color w:val="000000" w:themeColor="text1"/>
          <w:sz w:val="24"/>
          <w:szCs w:val="24"/>
          <w:lang w:eastAsia="en-IE"/>
        </w:rPr>
      </w:pPr>
    </w:p>
    <w:p w14:paraId="38014A6E" w14:textId="51FA5DD2" w:rsidR="0053389F" w:rsidRPr="00677067" w:rsidRDefault="00C732A8" w:rsidP="00B2476E">
      <w:pPr>
        <w:pStyle w:val="Heading1"/>
        <w:numPr>
          <w:ilvl w:val="0"/>
          <w:numId w:val="1"/>
        </w:numPr>
        <w:ind w:left="357" w:hanging="357"/>
        <w:rPr>
          <w:rFonts w:ascii="Times New Roman" w:hAnsi="Times New Roman" w:cs="Times New Roman"/>
          <w:b/>
          <w:bCs/>
          <w:noProof/>
          <w:color w:val="000000" w:themeColor="text1"/>
          <w:sz w:val="24"/>
          <w:szCs w:val="24"/>
        </w:rPr>
      </w:pPr>
      <w:bookmarkStart w:id="29" w:name="_Toc159792198"/>
      <w:bookmarkStart w:id="30" w:name="_Toc155653036"/>
      <w:bookmarkStart w:id="31" w:name="_Toc155653108"/>
      <w:r>
        <w:rPr>
          <w:rFonts w:ascii="Times New Roman" w:hAnsi="Times New Roman"/>
          <w:b/>
          <w:noProof/>
          <w:color w:val="000000" w:themeColor="text1"/>
          <w:sz w:val="24"/>
        </w:rPr>
        <w:t>Analyse: les données les plus récentes sur les risques majeurs pour l’Europe</w:t>
      </w:r>
      <w:bookmarkEnd w:id="29"/>
      <w:r>
        <w:rPr>
          <w:rFonts w:ascii="Times New Roman" w:hAnsi="Times New Roman"/>
          <w:b/>
          <w:noProof/>
          <w:color w:val="000000" w:themeColor="text1"/>
          <w:sz w:val="24"/>
        </w:rPr>
        <w:t xml:space="preserve"> </w:t>
      </w:r>
      <w:bookmarkEnd w:id="30"/>
      <w:bookmarkEnd w:id="31"/>
    </w:p>
    <w:p w14:paraId="3C0A9A0E" w14:textId="77777777" w:rsidR="001F6B5D" w:rsidRPr="00677067" w:rsidRDefault="001F6B5D" w:rsidP="001F6B5D">
      <w:pPr>
        <w:rPr>
          <w:rFonts w:ascii="Times New Roman" w:hAnsi="Times New Roman" w:cs="Times New Roman"/>
          <w:b/>
          <w:bCs/>
          <w:noProof/>
          <w:color w:val="000000" w:themeColor="text1"/>
          <w:sz w:val="24"/>
          <w:szCs w:val="24"/>
          <w:lang w:eastAsia="en-IE"/>
        </w:rPr>
      </w:pPr>
    </w:p>
    <w:p w14:paraId="34C7C281" w14:textId="01E80FA7" w:rsidR="00C04113" w:rsidRPr="00677067" w:rsidRDefault="00537510" w:rsidP="00B2476E">
      <w:pPr>
        <w:pStyle w:val="Heading2"/>
        <w:ind w:left="1565" w:hanging="431"/>
        <w:rPr>
          <w:rFonts w:ascii="Times New Roman" w:hAnsi="Times New Roman" w:cs="Times New Roman"/>
          <w:b/>
          <w:bCs/>
          <w:noProof/>
          <w:color w:val="000000" w:themeColor="text1"/>
          <w:sz w:val="24"/>
          <w:szCs w:val="24"/>
        </w:rPr>
      </w:pPr>
      <w:bookmarkStart w:id="32" w:name="_Toc159792199"/>
      <w:r>
        <w:rPr>
          <w:rFonts w:ascii="Times New Roman" w:hAnsi="Times New Roman"/>
          <w:b/>
          <w:noProof/>
          <w:color w:val="000000" w:themeColor="text1"/>
          <w:sz w:val="24"/>
        </w:rPr>
        <w:t>Conclusions de l’évaluation européenne des risques climatiques</w:t>
      </w:r>
      <w:bookmarkEnd w:id="32"/>
      <w:r>
        <w:rPr>
          <w:rFonts w:ascii="Times New Roman" w:hAnsi="Times New Roman"/>
          <w:b/>
          <w:noProof/>
          <w:color w:val="000000" w:themeColor="text1"/>
          <w:sz w:val="24"/>
        </w:rPr>
        <w:t xml:space="preserve"> </w:t>
      </w:r>
    </w:p>
    <w:p w14:paraId="220AC25A" w14:textId="77777777" w:rsidR="00110F08" w:rsidRPr="00B9056B" w:rsidRDefault="00110F08" w:rsidP="00B11E0C">
      <w:pPr>
        <w:jc w:val="both"/>
        <w:textAlignment w:val="baseline"/>
        <w:rPr>
          <w:rFonts w:ascii="Times New Roman" w:eastAsia="Times New Roman" w:hAnsi="Times New Roman" w:cs="Times New Roman"/>
          <w:b/>
          <w:bCs/>
          <w:noProof/>
          <w:color w:val="000000" w:themeColor="text1"/>
          <w:sz w:val="24"/>
          <w:szCs w:val="24"/>
          <w:lang w:val="fr-BE" w:eastAsia="en-IE"/>
        </w:rPr>
      </w:pPr>
    </w:p>
    <w:p w14:paraId="72C9E116" w14:textId="0C4056D9" w:rsidR="004A4171" w:rsidRPr="00915255" w:rsidRDefault="003075BA" w:rsidP="00A35FBF">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Les éléments qui suivent sont scientifiquement établis. L’Europe est appelée à connaître des températures globales plus élevées, des vagues de chaleur plus intenses et plus fréquentes, des sécheresses prolongées, des précipitations plus abondantes, des vitesses moyennes du vent plus faibles et une diminution de l’enneigement. C’est ce qu'indiquent explicitement les rapports du Groupe d’experts intergouvernemental sur l’évolution du climat (GIEC). Toutefois, ce tableau d’ensemble ne montre pas les interactions complexes entre les aléas climatiques et la probabilité d’effets catastrophiques. </w:t>
      </w:r>
    </w:p>
    <w:p w14:paraId="5568812D" w14:textId="77777777" w:rsidR="001E1376" w:rsidRDefault="001E1376" w:rsidP="00FB1FAF">
      <w:pPr>
        <w:spacing w:after="120"/>
        <w:jc w:val="both"/>
        <w:textAlignment w:val="baseline"/>
        <w:rPr>
          <w:rFonts w:ascii="Times New Roman" w:hAnsi="Times New Roman"/>
          <w:noProof/>
          <w:color w:val="000000" w:themeColor="text1"/>
          <w:sz w:val="24"/>
        </w:rPr>
      </w:pPr>
    </w:p>
    <w:p w14:paraId="4765E38A" w14:textId="7B96708B" w:rsidR="006B7564" w:rsidRDefault="00903F2E" w:rsidP="00FB1FAF">
      <w:pPr>
        <w:spacing w:after="120"/>
        <w:jc w:val="both"/>
        <w:textAlignment w:val="baseline"/>
        <w:rPr>
          <w:rFonts w:ascii="Times New Roman" w:hAnsi="Times New Roman"/>
          <w:noProof/>
          <w:color w:val="000000" w:themeColor="text1"/>
          <w:sz w:val="24"/>
        </w:rPr>
      </w:pPr>
      <w:r>
        <w:rPr>
          <w:rFonts w:ascii="Times New Roman" w:hAnsi="Times New Roman"/>
          <w:noProof/>
          <w:color w:val="000000" w:themeColor="text1"/>
          <w:sz w:val="24"/>
        </w:rPr>
        <w:t>Figure 2: Tendances observées et prévues en ce qui concerne les principaux aléas climatiques dans différentes régions européennes</w:t>
      </w:r>
    </w:p>
    <w:p w14:paraId="1C577835" w14:textId="5EE8F29C" w:rsidR="001E1376" w:rsidRDefault="001E1376" w:rsidP="00FB1FAF">
      <w:pPr>
        <w:spacing w:after="120"/>
        <w:jc w:val="both"/>
        <w:textAlignment w:val="baseline"/>
        <w:rPr>
          <w:rFonts w:ascii="Times New Roman" w:eastAsia="Times New Roman" w:hAnsi="Times New Roman" w:cs="Times New Roman"/>
          <w:noProof/>
          <w:color w:val="000000" w:themeColor="text1"/>
          <w:sz w:val="24"/>
          <w:szCs w:val="24"/>
        </w:rPr>
      </w:pPr>
      <w:r>
        <w:rPr>
          <w:noProof/>
          <w:lang w:val="en-GB" w:eastAsia="en-GB"/>
        </w:rPr>
        <w:drawing>
          <wp:inline distT="0" distB="0" distL="0" distR="0" wp14:anchorId="5D4B7608" wp14:editId="5304D619">
            <wp:extent cx="4926330" cy="4946771"/>
            <wp:effectExtent l="0" t="0" r="762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931821" cy="4952285"/>
                    </a:xfrm>
                    <a:prstGeom prst="rect">
                      <a:avLst/>
                    </a:prstGeom>
                    <a:noFill/>
                    <a:ln>
                      <a:noFill/>
                    </a:ln>
                  </pic:spPr>
                </pic:pic>
              </a:graphicData>
            </a:graphic>
          </wp:inline>
        </w:drawing>
      </w:r>
    </w:p>
    <w:p w14:paraId="7026D70C" w14:textId="7F890A87" w:rsidR="00B4182E" w:rsidRPr="00915255" w:rsidRDefault="009513CE" w:rsidP="00FB1FAF">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 </w:t>
      </w:r>
    </w:p>
    <w:p w14:paraId="369027B6" w14:textId="52A4F22C" w:rsidR="0016254A" w:rsidRPr="00915255" w:rsidRDefault="009513CE" w:rsidP="0027457F">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Source: EUCRA </w:t>
      </w:r>
    </w:p>
    <w:p w14:paraId="2B4CD59C" w14:textId="6E7989F4" w:rsidR="00E8187F" w:rsidRDefault="00344A54" w:rsidP="00344A54">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Ces risques climatiques entraîneront davantage de catastrophes, telles que des sécheresses, des inondations, des incendies de forêt, des maladies, des mauvaises récoltes, des décès dus à la chaleur, des dommages causés aux infrastructures et des modifications structurelles de l’environnement. Dans la pratique, le degré de préparation de la société, la capacité financière et administrative à se rétablir et le lieu géographique constituent les principaux facteurs déterminant l’exposition et la vulnérabilité d’une société. </w:t>
      </w:r>
    </w:p>
    <w:p w14:paraId="3EBCF7F6" w14:textId="357F125E" w:rsidR="002E7B27" w:rsidRDefault="002E7B27" w:rsidP="00681BFF">
      <w:pPr>
        <w:spacing w:after="120"/>
        <w:jc w:val="both"/>
        <w:textAlignment w:val="baseline"/>
        <w:rPr>
          <w:rFonts w:ascii="Times New Roman" w:eastAsia="Times New Roman" w:hAnsi="Times New Roman" w:cs="Times New Roman"/>
          <w:noProof/>
          <w:color w:val="000000" w:themeColor="text1"/>
          <w:sz w:val="24"/>
          <w:szCs w:val="24"/>
        </w:rPr>
      </w:pPr>
      <w:bookmarkStart w:id="33" w:name="_Hlk160815827"/>
      <w:r>
        <w:rPr>
          <w:rFonts w:ascii="Times New Roman" w:hAnsi="Times New Roman"/>
          <w:noProof/>
          <w:color w:val="000000" w:themeColor="text1"/>
          <w:sz w:val="24"/>
        </w:rPr>
        <w:t xml:space="preserve">L’Europe méridionale, de même que les régions arctiques, est appelée à subir des pressions climatiques plus fortes que le reste de l’Europe. Les régions ultrapériphériques sont exposées à un ensemble de risques distincts. Cette exposition asymétrique au climat exacerbe des disparités déjà existantes entre les régions en ce qui concerne les besoins en matière d’adaptation au changement climatique, de prévention des risques et de préparation, ce qui risque de peser sur les outils de cohésion à l’échelle de l’UE. </w:t>
      </w:r>
    </w:p>
    <w:bookmarkEnd w:id="33"/>
    <w:p w14:paraId="7F9A9021" w14:textId="66F066A7" w:rsidR="00582114" w:rsidRPr="00915255" w:rsidRDefault="00582114" w:rsidP="00582114">
      <w:pP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Il n’est pas possible de chiffrer avec précision les coûts et avantages des dommages évités pour la société dans son ensemble, mais une estimation de l’ampleur devrait suffire à justifier la prise de mesures. Selon une estimation prudente, l’aggravation des effets du changement climatique pourrait réduire le PIB de l’UE d’environ 7 % d’ici à la fin du siècle. Si le réchauffement climatique dépasse de manière plus permanente le seuil de 1,5 ºC fixé dans l’accord de Paris, la réduction supplémentaire cumulée du PIB de l’UE dans son ensemble pourrait s’élever à 2,4 milliards d’EUR sur la période 2031-2050</w:t>
      </w:r>
      <w:r w:rsidRPr="0018244E">
        <w:rPr>
          <w:rStyle w:val="FootnoteReference"/>
          <w:rFonts w:ascii="Times New Roman" w:hAnsi="Times New Roman" w:cs="Times New Roman"/>
          <w:noProof/>
          <w:color w:val="000000" w:themeColor="text1"/>
          <w:sz w:val="24"/>
          <w:szCs w:val="24"/>
        </w:rPr>
        <w:footnoteReference w:id="16"/>
      </w:r>
      <w:r>
        <w:rPr>
          <w:rFonts w:ascii="Times New Roman" w:hAnsi="Times New Roman"/>
          <w:noProof/>
          <w:color w:val="000000" w:themeColor="text1"/>
          <w:sz w:val="24"/>
        </w:rPr>
        <w:t xml:space="preserve">. </w:t>
      </w:r>
      <w:r>
        <w:rPr>
          <w:rFonts w:ascii="Times New Roman" w:hAnsi="Times New Roman"/>
          <w:noProof/>
          <w:sz w:val="24"/>
        </w:rPr>
        <w:t>Les dégâts annuels dus aux inondations côtières en Europe pourraient se chiffrer à plus de 1 600 milliards d’EUR d’ici à 2100</w:t>
      </w:r>
      <w:r>
        <w:rPr>
          <w:rStyle w:val="FootnoteReference"/>
          <w:rFonts w:ascii="Times New Roman" w:eastAsia="Times New Roman" w:hAnsi="Times New Roman" w:cs="Times New Roman"/>
          <w:noProof/>
          <w:sz w:val="24"/>
          <w:szCs w:val="24"/>
          <w:lang w:val="en-IE"/>
        </w:rPr>
        <w:footnoteReference w:id="17"/>
      </w:r>
      <w:r>
        <w:rPr>
          <w:rFonts w:ascii="Times New Roman" w:hAnsi="Times New Roman"/>
          <w:noProof/>
          <w:sz w:val="24"/>
        </w:rPr>
        <w:t xml:space="preserve">, alors que 3,9 millions de personnes sont exposées chaque année à ce phénomène. </w:t>
      </w:r>
    </w:p>
    <w:p w14:paraId="5C76A149" w14:textId="3B00D40D" w:rsidR="00681BFF" w:rsidRDefault="00681BFF" w:rsidP="00681BFF">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Les risques climatiques se font particulièrement sentir chez les personnes les plus vulnérables en raison de plusieurs facteurs socio-économiques, tels que le revenu, le sexe, l’âge, le handicap, la santé et l’exclusion sociale (qui concernent en particulier les migrants, les minorités ethniques et les populations autochtones). </w:t>
      </w:r>
      <w:r>
        <w:rPr>
          <w:rFonts w:ascii="Times New Roman" w:hAnsi="Times New Roman"/>
          <w:noProof/>
          <w:sz w:val="24"/>
        </w:rPr>
        <w:t>La capacité de se remettre de catastrophes dues au changement climatique est rendue moindre par des désavantages préexistants.</w:t>
      </w:r>
      <w:r>
        <w:rPr>
          <w:rFonts w:ascii="Times New Roman" w:hAnsi="Times New Roman"/>
          <w:noProof/>
          <w:color w:val="000000" w:themeColor="text1"/>
          <w:sz w:val="24"/>
        </w:rPr>
        <w:t xml:space="preserve"> </w:t>
      </w:r>
      <w:r>
        <w:rPr>
          <w:rFonts w:ascii="Times New Roman" w:hAnsi="Times New Roman"/>
          <w:noProof/>
          <w:sz w:val="24"/>
        </w:rPr>
        <w:t>Les zones urbaines les plus pauvres, mais aussi les écoles et les hôpitaux, sont souvent situés dans des îlots de chaleur urbains. Tant en milieu urbain qu’en milieu rural, la population vivant dans des zones de faible altitude est exposée à des risques accrus d’inondation et aux conséquences liées à la contamination de l’eau.</w:t>
      </w:r>
    </w:p>
    <w:p w14:paraId="4E1651C6" w14:textId="7950F43C" w:rsidR="00681BFF" w:rsidRPr="00915255" w:rsidRDefault="00681BFF" w:rsidP="00681BFF">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Les travailleurs exposés, principalement ceux qui travaillent à l’extérieur dans des secteurs comme l’agriculture, la construction, les services d’urgence et le tourisme, sont plus susceptibles de connaître des conditions thermiques extrêmes. Au-delà des incidences sur la santé et la sécurité au travail et des pertes de revenus que subissent les travailleurs du fait d'heures de travail perdues, la réduction de la productivité de la main-d'œuvre qui en résulte peut entraîner des déficits de production économique à un niveau territorial plus large. Les solutions d’adaptation, lorsqu’elles sont mal conçues, peuvent encore aggraver les inégalités. La prise en compte des aspects sociaux, le dialogue ainsi que les processus décisionnels inclusifs et participatifs avec les communautés touchées sont la clé d’une action politique bien conçue. Garantir la sécurité relève du contrat social conclu avec nos citoyens. </w:t>
      </w:r>
    </w:p>
    <w:p w14:paraId="71B86C90" w14:textId="048065BB" w:rsidR="00C15BCA" w:rsidRDefault="00D21DA7" w:rsidP="00D21DA7">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L’EUCRA a recensé trente-six risques majeurs pour l’Europe, dont plusieurs ont déjà atteint des niveaux critiques et présentent un degré d’urgence élevé. Tous ces risques devraient être pris en considération par les décideurs politiques. La partie 4 aborde certains d’entre eux et met l’accent sur des mesures permettant de traiter simultanément plusieurs risques. </w:t>
      </w:r>
    </w:p>
    <w:p w14:paraId="42589059" w14:textId="77777777" w:rsidR="00C15BCA" w:rsidRDefault="00C15BCA">
      <w:pPr>
        <w:spacing w:after="200" w:line="276" w:lineRule="auto"/>
        <w:rPr>
          <w:rFonts w:ascii="Times New Roman" w:eastAsia="Times New Roman" w:hAnsi="Times New Roman" w:cs="Times New Roman"/>
          <w:noProof/>
          <w:color w:val="000000" w:themeColor="text1"/>
          <w:sz w:val="24"/>
          <w:szCs w:val="24"/>
        </w:rPr>
      </w:pPr>
      <w:r>
        <w:rPr>
          <w:noProof/>
        </w:rPr>
        <w:br w:type="page"/>
      </w:r>
    </w:p>
    <w:p w14:paraId="54F69784" w14:textId="39E4906F" w:rsidR="000E756C" w:rsidRPr="000E756C" w:rsidRDefault="000E756C" w:rsidP="000E756C">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Figure 3: Liens entre les grands groupes de risques climatiques et les domaines d’action exposés </w:t>
      </w:r>
    </w:p>
    <w:p w14:paraId="131F754D" w14:textId="4C9C6651" w:rsidR="000E756C" w:rsidRPr="000E756C" w:rsidRDefault="001E1376" w:rsidP="000E756C">
      <w:pPr>
        <w:spacing w:after="120"/>
        <w:jc w:val="both"/>
        <w:textAlignment w:val="baseline"/>
        <w:rPr>
          <w:rFonts w:ascii="Times New Roman" w:eastAsia="Times New Roman" w:hAnsi="Times New Roman" w:cs="Times New Roman"/>
          <w:noProof/>
          <w:color w:val="000000" w:themeColor="text1"/>
          <w:sz w:val="24"/>
          <w:szCs w:val="24"/>
        </w:rPr>
      </w:pPr>
      <w:r>
        <w:rPr>
          <w:noProof/>
          <w:lang w:val="en-GB" w:eastAsia="en-GB"/>
        </w:rPr>
        <w:drawing>
          <wp:inline distT="0" distB="0" distL="0" distR="0" wp14:anchorId="270E038A" wp14:editId="21699B8F">
            <wp:extent cx="5025768" cy="7063740"/>
            <wp:effectExtent l="0" t="0" r="381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027114" cy="7065632"/>
                    </a:xfrm>
                    <a:prstGeom prst="rect">
                      <a:avLst/>
                    </a:prstGeom>
                  </pic:spPr>
                </pic:pic>
              </a:graphicData>
            </a:graphic>
          </wp:inline>
        </w:drawing>
      </w:r>
    </w:p>
    <w:p w14:paraId="53FC4126" w14:textId="55290F62" w:rsidR="00C51D41" w:rsidRPr="00915255" w:rsidRDefault="00C51D41" w:rsidP="00C51D41">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Source: EUCRA </w:t>
      </w:r>
    </w:p>
    <w:p w14:paraId="760484ED" w14:textId="77777777" w:rsidR="001F6B5D" w:rsidRPr="00915255" w:rsidRDefault="001F6B5D" w:rsidP="004B0FE0">
      <w:pPr>
        <w:spacing w:after="120"/>
        <w:jc w:val="both"/>
        <w:textAlignment w:val="baseline"/>
        <w:rPr>
          <w:rFonts w:ascii="Times New Roman" w:eastAsia="Times New Roman" w:hAnsi="Times New Roman" w:cs="Times New Roman"/>
          <w:noProof/>
          <w:color w:val="000000" w:themeColor="text1"/>
          <w:sz w:val="24"/>
          <w:szCs w:val="24"/>
          <w:lang w:val="en-IE" w:eastAsia="en-IE"/>
        </w:rPr>
      </w:pPr>
    </w:p>
    <w:p w14:paraId="170C4280" w14:textId="0DE90AFA" w:rsidR="006270DE" w:rsidRPr="008C256A" w:rsidRDefault="00545E49" w:rsidP="00B2476E">
      <w:pPr>
        <w:pStyle w:val="Heading2"/>
        <w:ind w:left="1565" w:hanging="431"/>
        <w:rPr>
          <w:rFonts w:ascii="Times New Roman" w:hAnsi="Times New Roman" w:cs="Times New Roman"/>
          <w:b/>
          <w:bCs/>
          <w:noProof/>
          <w:color w:val="000000" w:themeColor="text1"/>
          <w:sz w:val="24"/>
          <w:szCs w:val="24"/>
        </w:rPr>
      </w:pPr>
      <w:bookmarkStart w:id="34" w:name="_Toc157587664"/>
      <w:bookmarkStart w:id="35" w:name="_Toc157587780"/>
      <w:bookmarkStart w:id="36" w:name="_Toc159792200"/>
      <w:bookmarkEnd w:id="34"/>
      <w:bookmarkEnd w:id="35"/>
      <w:r>
        <w:rPr>
          <w:rFonts w:ascii="Times New Roman" w:hAnsi="Times New Roman"/>
          <w:b/>
          <w:noProof/>
          <w:color w:val="000000" w:themeColor="text1"/>
          <w:sz w:val="24"/>
        </w:rPr>
        <w:t>Incertitudes et probabilités</w:t>
      </w:r>
      <w:bookmarkEnd w:id="36"/>
      <w:r>
        <w:rPr>
          <w:rFonts w:ascii="Times New Roman" w:hAnsi="Times New Roman"/>
          <w:b/>
          <w:noProof/>
          <w:color w:val="000000" w:themeColor="text1"/>
          <w:sz w:val="24"/>
        </w:rPr>
        <w:t xml:space="preserve"> </w:t>
      </w:r>
    </w:p>
    <w:p w14:paraId="39A31356" w14:textId="77777777" w:rsidR="00110F08" w:rsidRPr="008C256A" w:rsidRDefault="00110F08" w:rsidP="00B11E0C">
      <w:pPr>
        <w:jc w:val="both"/>
        <w:textAlignment w:val="baseline"/>
        <w:rPr>
          <w:rFonts w:ascii="Times New Roman" w:eastAsia="Times New Roman" w:hAnsi="Times New Roman" w:cs="Times New Roman"/>
          <w:b/>
          <w:bCs/>
          <w:noProof/>
          <w:color w:val="000000" w:themeColor="text1"/>
          <w:sz w:val="24"/>
          <w:szCs w:val="24"/>
          <w:lang w:val="en-IE" w:eastAsia="en-IE"/>
        </w:rPr>
      </w:pPr>
    </w:p>
    <w:p w14:paraId="415BD4D6" w14:textId="4AAB596F" w:rsidR="008E259F" w:rsidRDefault="00D41D86" w:rsidP="00E55620">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Malgré la complexité du système climatique et les incertitudes actuelles, les scientifiques sont pour ainsi dire certains que le climat continuera de se détériorer au cours des prochaines décennies. Les décideurs politiques et les investisseurs doivent tenir compte de la probabilité du résultat qu’ils souhaitent éviter. </w:t>
      </w:r>
    </w:p>
    <w:p w14:paraId="1C605D34" w14:textId="1B750FD7" w:rsidR="00E55620" w:rsidRPr="00915255" w:rsidRDefault="009143E4" w:rsidP="00E55620">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L’incertitude ne constitue pas une excuse valable pour justifier l’inaction. Le principe de précaution</w:t>
      </w:r>
      <w:r w:rsidR="000B141D">
        <w:rPr>
          <w:rStyle w:val="FootnoteReference"/>
          <w:rFonts w:ascii="Times New Roman" w:eastAsia="Times New Roman" w:hAnsi="Times New Roman" w:cs="Times New Roman"/>
          <w:noProof/>
          <w:color w:val="000000" w:themeColor="text1"/>
          <w:sz w:val="24"/>
          <w:szCs w:val="24"/>
          <w:lang w:val="en-IE" w:eastAsia="en-IE"/>
        </w:rPr>
        <w:footnoteReference w:id="18"/>
      </w:r>
      <w:r>
        <w:rPr>
          <w:noProof/>
        </w:rPr>
        <w:t xml:space="preserve"> </w:t>
      </w:r>
      <w:r>
        <w:rPr>
          <w:rFonts w:ascii="Times New Roman" w:hAnsi="Times New Roman"/>
          <w:noProof/>
          <w:color w:val="000000" w:themeColor="text1"/>
          <w:sz w:val="24"/>
        </w:rPr>
        <w:t>impose aux décideurs de faire preuve d’anticipation et de prévention afin de garantir la bonne gestion de nos sociétés.</w:t>
      </w:r>
    </w:p>
    <w:p w14:paraId="52D002BB" w14:textId="77777777" w:rsidR="001F6B5D" w:rsidRPr="00915255" w:rsidRDefault="001F6B5D" w:rsidP="00E55620">
      <w:pPr>
        <w:spacing w:after="120"/>
        <w:jc w:val="both"/>
        <w:textAlignment w:val="baseline"/>
        <w:rPr>
          <w:rFonts w:ascii="Times New Roman" w:eastAsia="Times New Roman" w:hAnsi="Times New Roman" w:cs="Times New Roman"/>
          <w:noProof/>
          <w:color w:val="000000" w:themeColor="text1"/>
          <w:sz w:val="24"/>
          <w:szCs w:val="24"/>
          <w:lang w:eastAsia="en-IE"/>
        </w:rPr>
      </w:pPr>
    </w:p>
    <w:p w14:paraId="092E31CC" w14:textId="14141EEC" w:rsidR="003F1FF2" w:rsidRPr="008C256A" w:rsidRDefault="000E2514" w:rsidP="00B2476E">
      <w:pPr>
        <w:pStyle w:val="Heading1"/>
        <w:numPr>
          <w:ilvl w:val="0"/>
          <w:numId w:val="1"/>
        </w:numPr>
        <w:ind w:left="357" w:hanging="357"/>
        <w:rPr>
          <w:rFonts w:ascii="Times New Roman" w:eastAsiaTheme="minorHAnsi" w:hAnsi="Times New Roman" w:cs="Times New Roman"/>
          <w:b/>
          <w:bCs/>
          <w:noProof/>
          <w:color w:val="000000" w:themeColor="text1"/>
          <w:sz w:val="24"/>
          <w:szCs w:val="24"/>
        </w:rPr>
      </w:pPr>
      <w:bookmarkStart w:id="37" w:name="_Toc159792201"/>
      <w:r>
        <w:rPr>
          <w:rFonts w:ascii="Times New Roman" w:hAnsi="Times New Roman"/>
          <w:b/>
          <w:noProof/>
          <w:color w:val="000000" w:themeColor="text1"/>
          <w:sz w:val="24"/>
        </w:rPr>
        <w:t>Espace de solutions — fournir à la société des moyens pour agir</w:t>
      </w:r>
      <w:bookmarkEnd w:id="37"/>
    </w:p>
    <w:p w14:paraId="22110B25" w14:textId="77777777" w:rsidR="00110F08" w:rsidRPr="00B9056B" w:rsidRDefault="00110F08" w:rsidP="00B11E0C">
      <w:pPr>
        <w:spacing w:line="240" w:lineRule="auto"/>
        <w:jc w:val="both"/>
        <w:rPr>
          <w:rFonts w:ascii="Times New Roman" w:hAnsi="Times New Roman" w:cs="Times New Roman"/>
          <w:noProof/>
          <w:color w:val="000000" w:themeColor="text1"/>
          <w:sz w:val="24"/>
          <w:szCs w:val="24"/>
          <w:lang w:val="fr-BE"/>
        </w:rPr>
      </w:pPr>
    </w:p>
    <w:p w14:paraId="68767612" w14:textId="15597473" w:rsidR="0094649A" w:rsidRDefault="000C26F4" w:rsidP="00A632E5">
      <w:pP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Il est nécessaire de mettre au point, d’expérimenter et de déployer rapidement des solutions exploitables dans un environnement en mutation. La mission «Adaptation au changement climatique» de l’UE aide les régions à mettre en place des solutions innovantes qui soutiennent les autorités locales ou régionales dans les efforts qu’elles déploient pour devenir résilientes face au changement climatique d’ici à 2030, et peut servir d’exemple de bonne pratique pour toutes les parties intéressées. </w:t>
      </w:r>
    </w:p>
    <w:p w14:paraId="49D1CE3B" w14:textId="485DFACE" w:rsidR="0035207A" w:rsidRPr="00915255" w:rsidRDefault="0B278AC7" w:rsidP="00A632E5">
      <w:pP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Le fait d'investir dans la résilience dès les prémices d’un projet d’infrastructure garantira une meilleure capacité de cette dernière de résister à des conditions météorologiques extrêmes, évitant ainsi les dépenses liées aux reconstructions et réparations ponctuelles. Chaque euro dépensé pour réparer des dommages est un euro en moins pour financer des investissements plus productifs. À l’inverse, chaque euro dépensé pour la prévention et la préparation produira des bénéfices pour tous, supérieurs à la mise initiale</w:t>
      </w:r>
      <w:r w:rsidR="00FF67E3" w:rsidRPr="0043667E">
        <w:rPr>
          <w:rStyle w:val="FootnoteReference"/>
          <w:rFonts w:ascii="Times New Roman" w:hAnsi="Times New Roman" w:cs="Times New Roman"/>
          <w:noProof/>
          <w:color w:val="000000" w:themeColor="text1"/>
          <w:sz w:val="24"/>
          <w:szCs w:val="24"/>
          <w:lang w:val="en-IE"/>
        </w:rPr>
        <w:footnoteReference w:id="19"/>
      </w:r>
      <w:r>
        <w:rPr>
          <w:rFonts w:ascii="Times New Roman" w:hAnsi="Times New Roman"/>
          <w:noProof/>
          <w:color w:val="000000" w:themeColor="text1"/>
          <w:sz w:val="24"/>
        </w:rPr>
        <w:t>. Les décisions de planification et d’aménagement prises aujourd’hui doivent s’appuyer sur une solide évaluation anticipative des risques</w:t>
      </w:r>
      <w:r w:rsidR="00FF67E3">
        <w:rPr>
          <w:rStyle w:val="FootnoteReference"/>
          <w:rFonts w:ascii="Times New Roman" w:eastAsia="Times New Roman" w:hAnsi="Times New Roman" w:cs="Times New Roman"/>
          <w:bCs/>
          <w:noProof/>
          <w:color w:val="000000" w:themeColor="text1"/>
          <w:sz w:val="24"/>
          <w:szCs w:val="24"/>
          <w:lang w:val="en-IE" w:eastAsia="en-IE"/>
        </w:rPr>
        <w:footnoteReference w:id="20"/>
      </w:r>
      <w:r>
        <w:rPr>
          <w:rFonts w:ascii="Times New Roman" w:hAnsi="Times New Roman"/>
          <w:noProof/>
          <w:color w:val="000000" w:themeColor="text1"/>
          <w:sz w:val="24"/>
        </w:rPr>
        <w:t>.</w:t>
      </w:r>
    </w:p>
    <w:p w14:paraId="2D4D01D8" w14:textId="4217E5CC" w:rsidR="00110F08" w:rsidRPr="00915255" w:rsidRDefault="00606D54" w:rsidP="00A632E5">
      <w:pP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Les risques climatiques auxquels est confrontée l’Europe ne peuvent être traités indépendamment des autres défis sociétaux. Les meilleures solutions, et les plus durables, sont celles qui garantissent des avantages multiples. Il ressort des éléments contenus dans le rapport de l’EUCRA que, dans un certain nombre de domaines, des solutions transversales peuvent contribuer à supprimer les obstacles à l’adaptation au changement climatique. C’est pourquoi une approche systémique est nécessaire. </w:t>
      </w:r>
    </w:p>
    <w:p w14:paraId="1D3B00F8" w14:textId="40DD8AC3" w:rsidR="0053389F" w:rsidRPr="00915255" w:rsidRDefault="00137EEC" w:rsidP="00FE74B1">
      <w:pPr>
        <w:spacing w:after="12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Les sous-parties qui suivent correspondent à quatre grandes catégories de solutions qui permettent aux systèmes administratifs de l’UE et de ses États membres d’être mieux à même de faire face aux risques climatiques: l’amélioration de la gouvernance, les outils destinés aux propriétaires de risques, l’exploitation des politiques structurelles et les conditions préalables adéquates de la résilience financière. </w:t>
      </w:r>
    </w:p>
    <w:p w14:paraId="119F3FAE" w14:textId="77777777" w:rsidR="0072028C" w:rsidRPr="00B9056B" w:rsidRDefault="0072028C" w:rsidP="00FE74B1">
      <w:pPr>
        <w:spacing w:after="120"/>
        <w:jc w:val="both"/>
        <w:rPr>
          <w:rFonts w:ascii="Times New Roman" w:eastAsia="Times New Roman" w:hAnsi="Times New Roman" w:cs="Times New Roman"/>
          <w:noProof/>
          <w:color w:val="000000" w:themeColor="text1"/>
          <w:sz w:val="24"/>
          <w:szCs w:val="24"/>
          <w:lang w:val="fr-BE" w:eastAsia="en-IE"/>
        </w:rPr>
      </w:pPr>
    </w:p>
    <w:p w14:paraId="3FAF21AD" w14:textId="5B5097A7" w:rsidR="003F1FF2" w:rsidRPr="008C256A" w:rsidRDefault="008C05C8" w:rsidP="00B2476E">
      <w:pPr>
        <w:pStyle w:val="Heading2"/>
        <w:ind w:left="1565" w:hanging="431"/>
        <w:rPr>
          <w:rFonts w:ascii="Times New Roman" w:hAnsi="Times New Roman" w:cs="Times New Roman"/>
          <w:b/>
          <w:bCs/>
          <w:noProof/>
          <w:color w:val="000000" w:themeColor="text1"/>
          <w:sz w:val="24"/>
          <w:szCs w:val="24"/>
        </w:rPr>
      </w:pPr>
      <w:bookmarkStart w:id="38" w:name="_Toc159792202"/>
      <w:r>
        <w:rPr>
          <w:rFonts w:ascii="Times New Roman" w:hAnsi="Times New Roman"/>
          <w:b/>
          <w:noProof/>
          <w:color w:val="000000" w:themeColor="text1"/>
          <w:sz w:val="24"/>
        </w:rPr>
        <w:t xml:space="preserve">L’amélioration de la gouvernance </w:t>
      </w:r>
      <w:bookmarkEnd w:id="38"/>
    </w:p>
    <w:p w14:paraId="08354312" w14:textId="77777777" w:rsidR="00110F08" w:rsidRPr="008C256A" w:rsidRDefault="00110F08" w:rsidP="00B11E0C">
      <w:pPr>
        <w:jc w:val="both"/>
        <w:textAlignment w:val="baseline"/>
        <w:rPr>
          <w:rFonts w:ascii="Times New Roman" w:eastAsia="Times New Roman" w:hAnsi="Times New Roman" w:cs="Times New Roman"/>
          <w:b/>
          <w:bCs/>
          <w:noProof/>
          <w:color w:val="000000" w:themeColor="text1"/>
          <w:sz w:val="24"/>
          <w:szCs w:val="24"/>
          <w:lang w:val="en-IE" w:eastAsia="en-IE"/>
        </w:rPr>
      </w:pPr>
    </w:p>
    <w:p w14:paraId="1347B82A" w14:textId="248F0D41" w:rsidR="000221BB" w:rsidRPr="00915255" w:rsidRDefault="0069108C" w:rsidP="000221BB">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La répartition de la responsabilité de la prise en charge des risques entre l’UE et les États membres («propriété» des risques) varie d’un domaine d’action à l’autre et repose sur le principe de subsidiarité. Dans la pratique, cela signifie souvent que le Parlement européen et le Conseil conviennent d’un cadre général commun au niveau de l’UE, dont les modalités concrètes de mise en œuvre sont conçues et décidées par les États membres au niveau national et appliquées aux niveaux national, régional et local. Au niveau de l’UE, les risques climatiques devraient être davantage pris en compte dans les aspects liés à la gouvernance des politiques, de la législation et des instruments financiers, ainsi que dans la recherche de synergies entre les politiques et les mesures de l’UE. </w:t>
      </w:r>
    </w:p>
    <w:p w14:paraId="48094C50" w14:textId="56AEFFC4" w:rsidR="00F723BC" w:rsidRPr="00755240" w:rsidRDefault="00C964C8" w:rsidP="00327375">
      <w:pPr>
        <w:spacing w:after="120"/>
        <w:jc w:val="both"/>
        <w:textAlignment w:val="baseline"/>
        <w:rPr>
          <w:rFonts w:ascii="Times New Roman" w:hAnsi="Times New Roman"/>
          <w:b/>
          <w:noProof/>
          <w:color w:val="000000" w:themeColor="text1"/>
          <w:sz w:val="24"/>
        </w:rPr>
      </w:pPr>
      <w:r>
        <w:rPr>
          <w:rFonts w:ascii="Times New Roman" w:hAnsi="Times New Roman"/>
          <w:noProof/>
          <w:color w:val="000000" w:themeColor="text1"/>
          <w:sz w:val="24"/>
        </w:rPr>
        <w:t xml:space="preserve">Si la plupart des politiques comportent des dispositions visant à la prise en compte des risques climatiques, il n’en va pas toujours de même lorsque ces politiques et actes législatifs sont mis en œuvre dans les États membres. Des améliorations sont nécessaires à tous les niveaux de gouvernance. Il convient d’accorder une attention particulière à la manière dont les niveaux national, régional et local interagissent et à la manière dont leurs moyens et leurs tâches sont alignés. </w:t>
      </w:r>
      <w:r>
        <w:rPr>
          <w:rFonts w:ascii="Times New Roman" w:hAnsi="Times New Roman"/>
          <w:b/>
          <w:noProof/>
          <w:color w:val="000000" w:themeColor="text1"/>
          <w:sz w:val="24"/>
        </w:rPr>
        <w:t xml:space="preserve">La Commission invite les États membres à mettre pleinement en œuvre les engagements existants dans le domaine de l’adaptation et à prendre en considération les recommandations pertinentes de la Commission. </w:t>
      </w:r>
    </w:p>
    <w:p w14:paraId="7C7DE753" w14:textId="501BDA46" w:rsidR="00394716" w:rsidRPr="00915255" w:rsidRDefault="000B3082" w:rsidP="004C5920">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L’amélioration de la gouvernance des risques climatiques nécessite:</w:t>
      </w:r>
    </w:p>
    <w:p w14:paraId="6EF1ABF8" w14:textId="63147ED8" w:rsidR="001234C6" w:rsidRPr="00915255" w:rsidRDefault="00E95728" w:rsidP="00A632E5">
      <w:pPr>
        <w:spacing w:after="12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u w:val="single"/>
        </w:rPr>
        <w:t>Une définition claire des responsabilités en matière de risque.</w:t>
      </w:r>
      <w:r>
        <w:rPr>
          <w:rFonts w:ascii="Times New Roman" w:hAnsi="Times New Roman"/>
          <w:noProof/>
          <w:color w:val="000000" w:themeColor="text1"/>
          <w:sz w:val="24"/>
        </w:rPr>
        <w:t xml:space="preserve"> La Commission invite toutes les institutions de l’UE à examiner la manière dont les risques climatiques spécifiques de chaque secteur et la responsabilité d’agir en la matière sont répartis entre l’UE et les États membres dans le cadre législatif actuel pour les principaux domaines d’action.</w:t>
      </w:r>
    </w:p>
    <w:p w14:paraId="7DFE597C" w14:textId="2453201A" w:rsidR="001810D3" w:rsidRPr="001A3A0E" w:rsidRDefault="00EB5825" w:rsidP="003E5D81">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u w:val="single"/>
        </w:rPr>
        <w:t xml:space="preserve">Un renforcement des structures de gouvernance. </w:t>
      </w:r>
      <w:r>
        <w:rPr>
          <w:rFonts w:ascii="Times New Roman" w:hAnsi="Times New Roman"/>
          <w:noProof/>
          <w:color w:val="000000" w:themeColor="text1"/>
          <w:sz w:val="24"/>
        </w:rPr>
        <w:t xml:space="preserve">La mise en place de structures de gouvernance claires destinées à la gestion des risques climatiques dans les États membres devrait garantir une coordination verticale et horizontale entre les niveaux national, régional et local. La Commission invite les États membres à veiller à ce que les propriétaires de risques au niveau national disposent des capacités et ressources nécessaires pour gérer les risques climatiques. La Commission s’emploiera aussi à ancrer structurellement les risques climatiques dans ses processus internes en renforçant les fonctions de contrôleur des risques climatiques et dans la mise en œuvre de la vérification de la cohérence climatique dans les exigences relatives à l’amélioration de la réglementation. </w:t>
      </w:r>
    </w:p>
    <w:p w14:paraId="0F326CED" w14:textId="3C04D712" w:rsidR="00B06AE7" w:rsidRPr="00B06AE7" w:rsidRDefault="007E5D60" w:rsidP="00FE74B1">
      <w:pP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u w:val="single"/>
        </w:rPr>
        <w:t>Des synergies dans les processus de gouvernance</w:t>
      </w:r>
      <w:r>
        <w:rPr>
          <w:rFonts w:ascii="Times New Roman" w:hAnsi="Times New Roman"/>
          <w:noProof/>
          <w:color w:val="000000" w:themeColor="text1"/>
          <w:sz w:val="24"/>
        </w:rPr>
        <w:t xml:space="preserve">. La mise en œuvre de la législation relative aux risques climatiques pourrait être encore améliorée et gagner en cohérence. La loi européenne sur le climat, le règlement sur la gouvernance de l’union de l’énergie et de l’action pour le climat, la directive sur la résilience des entités critiques, le règlement concernant les menaces transfrontières graves pour la santé, le cadre de gouvernance économique de l’UE (dont la révision est imminente), le règlement sur la restauration de la nature, les directives «Oiseaux» et «Habitats», la directive-cadre sur l’eau, la directive «Inondations», la directive-cadre «stratégie pour le milieu marin» ainsi que la décision relative au mécanisme de protection civile de l’Union et ses objectifs de résilience face aux catastrophes contiennent des dispositions liées à la gestion des risques climatiques. Afin de simplifier les processus et de les rendre plus efficaces, la Commission étudiera comment faciliter, rationaliser et renforcer davantage la mise en œuvre des exigences au niveau de l’UE. </w:t>
      </w:r>
    </w:p>
    <w:p w14:paraId="229F9170" w14:textId="77777777" w:rsidR="0072028C" w:rsidRPr="00B9056B" w:rsidRDefault="0072028C" w:rsidP="00FE74B1">
      <w:pPr>
        <w:spacing w:after="120"/>
        <w:jc w:val="both"/>
        <w:rPr>
          <w:rFonts w:ascii="Times New Roman" w:hAnsi="Times New Roman" w:cs="Times New Roman"/>
          <w:noProof/>
          <w:color w:val="000000" w:themeColor="text1"/>
          <w:sz w:val="24"/>
          <w:szCs w:val="24"/>
          <w:lang w:val="fr-BE" w:eastAsia="en-IE"/>
        </w:rPr>
      </w:pPr>
    </w:p>
    <w:p w14:paraId="1F8C8463" w14:textId="01083698" w:rsidR="003F1FF2" w:rsidRPr="008C256A" w:rsidRDefault="003F1FF2" w:rsidP="00B2476E">
      <w:pPr>
        <w:pStyle w:val="Heading2"/>
        <w:ind w:left="1565" w:hanging="431"/>
        <w:rPr>
          <w:rFonts w:ascii="Times New Roman" w:hAnsi="Times New Roman" w:cs="Times New Roman"/>
          <w:b/>
          <w:bCs/>
          <w:noProof/>
          <w:color w:val="000000" w:themeColor="text1"/>
        </w:rPr>
      </w:pPr>
      <w:bookmarkStart w:id="39" w:name="_Toc159792203"/>
      <w:r>
        <w:rPr>
          <w:rFonts w:ascii="Times New Roman" w:hAnsi="Times New Roman"/>
          <w:b/>
          <w:noProof/>
          <w:color w:val="000000" w:themeColor="text1"/>
          <w:sz w:val="24"/>
        </w:rPr>
        <w:t>Des outils pour donner aux propriétaires de risques les moyens d’agir</w:t>
      </w:r>
      <w:bookmarkEnd w:id="39"/>
    </w:p>
    <w:p w14:paraId="44DB6CCA" w14:textId="77777777" w:rsidR="00BF6EC7" w:rsidRPr="00B9056B" w:rsidRDefault="00BF6EC7" w:rsidP="00B11E0C">
      <w:pPr>
        <w:jc w:val="both"/>
        <w:textAlignment w:val="baseline"/>
        <w:rPr>
          <w:rFonts w:ascii="Times New Roman" w:eastAsia="Times New Roman" w:hAnsi="Times New Roman" w:cs="Times New Roman"/>
          <w:bCs/>
          <w:noProof/>
          <w:color w:val="000000" w:themeColor="text1"/>
          <w:sz w:val="24"/>
          <w:szCs w:val="24"/>
          <w:lang w:val="fr-BE" w:eastAsia="en-IE"/>
        </w:rPr>
      </w:pPr>
    </w:p>
    <w:p w14:paraId="10F7C901" w14:textId="40E8CF6E" w:rsidR="00E3449E" w:rsidRPr="00BE25FA" w:rsidRDefault="002F3C56" w:rsidP="00E3449E">
      <w:pPr>
        <w:spacing w:after="120"/>
        <w:jc w:val="both"/>
        <w:textAlignment w:val="baseline"/>
        <w:rPr>
          <w:rFonts w:ascii="Times New Roman" w:hAnsi="Times New Roman"/>
          <w:noProof/>
          <w:color w:val="000000" w:themeColor="text1"/>
          <w:sz w:val="24"/>
        </w:rPr>
      </w:pPr>
      <w:r>
        <w:rPr>
          <w:rFonts w:ascii="Times New Roman" w:hAnsi="Times New Roman"/>
          <w:noProof/>
          <w:color w:val="000000" w:themeColor="text1"/>
          <w:sz w:val="24"/>
        </w:rPr>
        <w:t xml:space="preserve">Grâce aux avancées scientifiques permettant une meilleure compréhension des risques climatiques et grâce au financement de travaux de recherche et d’innovation par l’UE à l’appui de ces avancées, nous sommes maintenant à même d’agir de manière constructive. La Commission continuera d’investir dans des activités de recherche et innovation utiles à la prise de décision et de tirer parti des connaissances et des solutions proposées par les missions, projets et partenariats pertinents de l’UE dans le cadre d’Horizon Europe. Mais cela ne suffit pas, comme en attestent les mesures relatives aux connaissances proposées par l’EUCRA. Une évaluation quantitative des risques multi-aléas de haute résolution, combinée à une évaluation de l’adaptation et de la résilience, serait très pertinente pour hiérarchiser les actions. Le fait d’avoir accès aux outils et données de recherche et opérationnels disponibles et d’être capable de les utiliser permettrait de soutenir la compétitivité des entreprises de l’UE et d’améliorer les décisions de politique publique. Il est aussi nécessaire de disposer de statistiques européennes officielles sur la résilience climatique qui soient compilées de manière cohérente avec le PIB et d’autres agrégats des comptabilités nationales.  </w:t>
      </w:r>
    </w:p>
    <w:p w14:paraId="611423F7" w14:textId="5973F066" w:rsidR="00BB072C" w:rsidRDefault="0039554B" w:rsidP="000A43BB">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Même lorsque les structures de gouvernance sont solides, la prise de décisions efficaces en matière de risques climatiques est entravée par d’importants déficits de compétences, de main-d’œuvre et de connaissances, tant dans le secteur privé que dans le secteur public, aggravés par la désinformation au sujet du changement climatique. Pour parvenir à gérer efficacement les risques climatiques et à faire un meilleur usage des informations et des systèmes d’alerte précoce déjà disponibles, il convient d’améliorer l’accès à ces deniers et aux outils de connaissances connexes et de renforcer les capacités. </w:t>
      </w:r>
    </w:p>
    <w:p w14:paraId="10A62544" w14:textId="0EE1E5DB" w:rsidR="00814E94" w:rsidRPr="00915255" w:rsidRDefault="00BB072C" w:rsidP="000A43BB">
      <w:pPr>
        <w:spacing w:after="120"/>
        <w:jc w:val="both"/>
        <w:textAlignment w:val="baseline"/>
        <w:rPr>
          <w:rFonts w:ascii="Times New Roman" w:eastAsia="Times New Roman" w:hAnsi="Times New Roman" w:cs="Times New Roman"/>
          <w:bCs/>
          <w:noProof/>
          <w:color w:val="000000" w:themeColor="text1"/>
          <w:sz w:val="24"/>
          <w:szCs w:val="24"/>
        </w:rPr>
      </w:pPr>
      <w:r>
        <w:rPr>
          <w:rFonts w:ascii="Times New Roman" w:hAnsi="Times New Roman"/>
          <w:noProof/>
          <w:color w:val="000000" w:themeColor="text1"/>
          <w:sz w:val="24"/>
        </w:rPr>
        <w:t xml:space="preserve">Le renforcement de la capacité des propriétaires de risques de s’acquitter de leurs tâches nécessite : </w:t>
      </w:r>
    </w:p>
    <w:p w14:paraId="2F333A1D" w14:textId="09FB459C" w:rsidR="00D93073" w:rsidRDefault="008F2A62">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u w:val="single"/>
        </w:rPr>
        <w:t>Des données, outils de modélisation et indicateurs relatifs au changement climatique.</w:t>
      </w:r>
      <w:r>
        <w:rPr>
          <w:rFonts w:ascii="Times New Roman" w:hAnsi="Times New Roman"/>
          <w:noProof/>
          <w:color w:val="000000" w:themeColor="text1"/>
          <w:sz w:val="24"/>
        </w:rPr>
        <w:t xml:space="preserve"> Il est essentiel de disposer de données et modèles climatiques de grande qualité et facilement compréhensibles pour permettre la prise de décisions éclairées sur des questions allant de la planification à long terme aux systèmes d’alerte précoce. </w:t>
      </w:r>
    </w:p>
    <w:p w14:paraId="77CB7C77" w14:textId="07079731" w:rsidR="00597412" w:rsidRPr="009248B3" w:rsidRDefault="001355AB" w:rsidP="009248B3">
      <w:pPr>
        <w:pStyle w:val="ListParagraph"/>
        <w:numPr>
          <w:ilvl w:val="0"/>
          <w:numId w:val="65"/>
        </w:num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La Commission et l’Agence européenne pour l’environnement (AEE) donneront </w:t>
      </w:r>
      <w:r>
        <w:rPr>
          <w:rFonts w:ascii="Times New Roman" w:hAnsi="Times New Roman"/>
          <w:noProof/>
          <w:color w:val="000000" w:themeColor="text1"/>
          <w:sz w:val="24"/>
          <w:u w:val="single"/>
        </w:rPr>
        <w:t>accès aux données, produits, applications, indicateurs et services détaillés et localisés essentiels</w:t>
      </w:r>
      <w:r>
        <w:rPr>
          <w:rFonts w:ascii="Times New Roman" w:hAnsi="Times New Roman"/>
          <w:noProof/>
          <w:color w:val="000000" w:themeColor="text1"/>
          <w:sz w:val="24"/>
        </w:rPr>
        <w:t>, notamment par l’intermédiaire de la plateforme Climate-ADAPT et des plateformes de données du service Copernicus concernant le changement climatique, à savoir l’écosystème d’espaces de données Copernicus</w:t>
      </w:r>
      <w:r w:rsidRPr="001A3A0E">
        <w:rPr>
          <w:rStyle w:val="FootnoteReference"/>
          <w:rFonts w:ascii="Times New Roman" w:eastAsia="Times New Roman" w:hAnsi="Times New Roman" w:cs="Times New Roman"/>
          <w:noProof/>
          <w:color w:val="000000" w:themeColor="text1"/>
          <w:sz w:val="24"/>
          <w:szCs w:val="24"/>
          <w:lang w:val="en-IE" w:eastAsia="en-IE"/>
        </w:rPr>
        <w:footnoteReference w:id="21"/>
      </w:r>
      <w:r>
        <w:rPr>
          <w:rFonts w:ascii="Times New Roman" w:hAnsi="Times New Roman"/>
          <w:noProof/>
          <w:color w:val="000000" w:themeColor="text1"/>
          <w:sz w:val="24"/>
        </w:rPr>
        <w:t xml:space="preserve"> et WEkEO</w:t>
      </w:r>
      <w:r w:rsidRPr="775558F0">
        <w:rPr>
          <w:rStyle w:val="FootnoteReference"/>
          <w:rFonts w:ascii="Times New Roman" w:eastAsia="Times New Roman" w:hAnsi="Times New Roman" w:cs="Times New Roman"/>
          <w:noProof/>
          <w:color w:val="000000" w:themeColor="text1"/>
          <w:sz w:val="24"/>
          <w:szCs w:val="24"/>
          <w:lang w:val="en-IE" w:eastAsia="en-IE"/>
        </w:rPr>
        <w:footnoteReference w:id="22"/>
      </w:r>
      <w:r>
        <w:rPr>
          <w:rFonts w:ascii="Times New Roman" w:hAnsi="Times New Roman"/>
          <w:noProof/>
          <w:color w:val="000000" w:themeColor="text1"/>
          <w:sz w:val="24"/>
        </w:rPr>
        <w:t xml:space="preserve">. </w:t>
      </w:r>
    </w:p>
    <w:p w14:paraId="4A75808D" w14:textId="19C0FE9E" w:rsidR="004A68F9" w:rsidRPr="001A3A0E" w:rsidRDefault="001E1F6E" w:rsidP="009248B3">
      <w:pPr>
        <w:pStyle w:val="ListParagraph"/>
        <w:numPr>
          <w:ilvl w:val="0"/>
          <w:numId w:val="65"/>
        </w:num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Les deux premiers jumeaux numériques conçus dans le cadre de l’initiative «Destination Terre» (DestinE) et qui concernent l’adaptation au changement climatique et les phénomènes météorologiques extrêmes permettront de produire, à partir de la mi-2024, des </w:t>
      </w:r>
      <w:r>
        <w:rPr>
          <w:rFonts w:ascii="Times New Roman" w:hAnsi="Times New Roman"/>
          <w:noProof/>
          <w:color w:val="000000" w:themeColor="text1"/>
          <w:sz w:val="24"/>
          <w:u w:val="single"/>
        </w:rPr>
        <w:t>simulations détaillées des scénarios climatiques</w:t>
      </w:r>
      <w:r>
        <w:rPr>
          <w:rFonts w:ascii="Times New Roman" w:hAnsi="Times New Roman"/>
          <w:noProof/>
          <w:color w:val="000000" w:themeColor="text1"/>
          <w:sz w:val="24"/>
        </w:rPr>
        <w:t xml:space="preserve"> aux niveaux mondial, national et infranational à l'échelle de plusieurs décennies, avec quantification de l’incertitude. Le jumeau numérique de l’océan sera aussi utilisé pour fournir des simulations et des scénarios détaillés et, partant, faciliter la compréhension de phénomènes comme l’élévation du niveau de la mer, la fonte des glaces, l’érosion côtière, le cycle du carbone et l’évolution de la biodiversité. Horizon Europe continuera de soutenir les activités de recherche destinées à produire de grandes séries de simulations climatiques continues de haute résolution sur plusieurs décennies afin de mieux caractériser les risques et incertitudes au niveau local.</w:t>
      </w:r>
    </w:p>
    <w:p w14:paraId="03634620" w14:textId="326C6F3C" w:rsidR="006F55C4" w:rsidRPr="009248B3" w:rsidRDefault="00E31786" w:rsidP="006F55C4">
      <w:pPr>
        <w:pStyle w:val="ListParagraph"/>
        <w:numPr>
          <w:ilvl w:val="0"/>
          <w:numId w:val="65"/>
        </w:num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Pour répondre aux situations d’urgence, le service d’alerte d’urgence par satellite de Galileo (EWSS), qui sera disponible en 2025, permettra de transmettre des informations d’alerte aux personnes, aux entreprises et aux pouvoirs publics, même en cas de défaillance des systèmes d’alerte terrestres. </w:t>
      </w:r>
    </w:p>
    <w:p w14:paraId="5E80F792" w14:textId="2A501793" w:rsidR="002F1D2F" w:rsidRPr="001A3A0E" w:rsidRDefault="00110777" w:rsidP="009248B3">
      <w:pPr>
        <w:pStyle w:val="ListParagraph"/>
        <w:numPr>
          <w:ilvl w:val="0"/>
          <w:numId w:val="65"/>
        </w:num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Les principales lacunes en matière de données seront réduites grâce aux propositions législatives relatives à la surveillance des forêts</w:t>
      </w:r>
      <w:r w:rsidR="002F1D2F" w:rsidRPr="00915255">
        <w:rPr>
          <w:rStyle w:val="FootnoteReference"/>
          <w:rFonts w:ascii="Times New Roman" w:eastAsia="Times New Roman" w:hAnsi="Times New Roman" w:cs="Times New Roman"/>
          <w:noProof/>
          <w:color w:val="000000" w:themeColor="text1"/>
          <w:sz w:val="24"/>
          <w:szCs w:val="24"/>
          <w:lang w:val="en-IE" w:eastAsia="en-IE"/>
        </w:rPr>
        <w:footnoteReference w:id="23"/>
      </w:r>
      <w:r>
        <w:rPr>
          <w:rFonts w:ascii="Times New Roman" w:hAnsi="Times New Roman"/>
          <w:noProof/>
          <w:color w:val="000000" w:themeColor="text1"/>
          <w:sz w:val="24"/>
        </w:rPr>
        <w:t xml:space="preserve"> et à la surveillance des sols</w:t>
      </w:r>
      <w:r w:rsidR="007B69D8" w:rsidRPr="00915255">
        <w:rPr>
          <w:rStyle w:val="FootnoteReference"/>
          <w:rFonts w:ascii="Times New Roman" w:eastAsia="Times New Roman" w:hAnsi="Times New Roman" w:cs="Times New Roman"/>
          <w:noProof/>
          <w:color w:val="000000" w:themeColor="text1"/>
          <w:sz w:val="24"/>
          <w:szCs w:val="24"/>
          <w:lang w:val="en-IE" w:eastAsia="en-IE"/>
        </w:rPr>
        <w:footnoteReference w:id="24"/>
      </w:r>
      <w:r>
        <w:rPr>
          <w:rFonts w:ascii="Times New Roman" w:hAnsi="Times New Roman"/>
          <w:noProof/>
          <w:color w:val="000000" w:themeColor="text1"/>
          <w:sz w:val="24"/>
        </w:rPr>
        <w:t xml:space="preserve">, qui amélioreront les outils d’alerte précoce pour les incendies de forêt et autres catastrophes et contribueront à l’obtention d’évaluations plus précises des risques. Plus généralement, la Commission </w:t>
      </w:r>
      <w:r>
        <w:rPr>
          <w:rFonts w:ascii="Times New Roman" w:hAnsi="Times New Roman"/>
          <w:noProof/>
          <w:color w:val="000000" w:themeColor="text1"/>
          <w:sz w:val="24"/>
          <w:u w:val="single"/>
        </w:rPr>
        <w:t>encouragera l’utilisation des systèmes de suivi, de prévision et d’alerte disponibles</w:t>
      </w:r>
      <w:r w:rsidR="00FD5E36" w:rsidRPr="001A3A0E">
        <w:rPr>
          <w:rStyle w:val="FootnoteReference"/>
          <w:rFonts w:ascii="Times New Roman" w:eastAsia="Times New Roman" w:hAnsi="Times New Roman" w:cs="Times New Roman"/>
          <w:noProof/>
          <w:color w:val="000000" w:themeColor="text1"/>
          <w:sz w:val="24"/>
          <w:szCs w:val="24"/>
          <w:lang w:val="en-IE" w:eastAsia="en-IE"/>
        </w:rPr>
        <w:footnoteReference w:id="25"/>
      </w:r>
      <w:r>
        <w:rPr>
          <w:rFonts w:ascii="Times New Roman" w:hAnsi="Times New Roman"/>
          <w:noProof/>
          <w:color w:val="000000" w:themeColor="text1"/>
          <w:sz w:val="24"/>
        </w:rPr>
        <w:t>.</w:t>
      </w:r>
    </w:p>
    <w:p w14:paraId="41F17C1E" w14:textId="0DBEB658" w:rsidR="00050093" w:rsidRPr="001A3A0E" w:rsidRDefault="004D2963" w:rsidP="00814E94">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La Commission réexaminera les outils et lignes directrices existants, et notamment l’outil European Climate Data Explorer</w:t>
      </w:r>
      <w:r w:rsidR="00F40219" w:rsidRPr="001A3A0E">
        <w:rPr>
          <w:rFonts w:ascii="Times New Roman" w:eastAsia="Times New Roman" w:hAnsi="Times New Roman" w:cs="Times New Roman"/>
          <w:noProof/>
          <w:color w:val="000000" w:themeColor="text1"/>
          <w:sz w:val="24"/>
          <w:szCs w:val="24"/>
          <w:vertAlign w:val="superscript"/>
          <w:lang w:val="en-IE" w:eastAsia="en-IE"/>
        </w:rPr>
        <w:footnoteReference w:id="26"/>
      </w:r>
      <w:r>
        <w:rPr>
          <w:rFonts w:ascii="Times New Roman" w:hAnsi="Times New Roman"/>
          <w:noProof/>
          <w:color w:val="000000" w:themeColor="text1"/>
          <w:sz w:val="24"/>
        </w:rPr>
        <w:t xml:space="preserve"> proposé par l’AEE et le tableau de bord de l’adaptation hébergé sur le portail de la mission de l’UE pour l’adaptation au changement climatique</w:t>
      </w:r>
      <w:r w:rsidR="00A66FC2" w:rsidRPr="001A3A0E">
        <w:rPr>
          <w:rStyle w:val="FootnoteReference"/>
          <w:rFonts w:ascii="Times New Roman" w:eastAsia="Times New Roman" w:hAnsi="Times New Roman" w:cs="Times New Roman"/>
          <w:noProof/>
          <w:color w:val="000000" w:themeColor="text1"/>
          <w:sz w:val="24"/>
          <w:szCs w:val="24"/>
          <w:lang w:val="en-IE" w:eastAsia="en-IE"/>
        </w:rPr>
        <w:footnoteReference w:id="27"/>
      </w:r>
      <w:r>
        <w:rPr>
          <w:rFonts w:ascii="Times New Roman" w:hAnsi="Times New Roman"/>
          <w:noProof/>
          <w:color w:val="000000" w:themeColor="text1"/>
          <w:sz w:val="24"/>
        </w:rPr>
        <w:t xml:space="preserve"> sur la plateforme Climate-ADAPT, le centre de données sur les risques</w:t>
      </w:r>
      <w:r w:rsidR="006B0A95" w:rsidRPr="001A3A0E">
        <w:rPr>
          <w:rStyle w:val="FootnoteReference"/>
          <w:rFonts w:ascii="Times New Roman" w:eastAsia="Times New Roman" w:hAnsi="Times New Roman" w:cs="Times New Roman"/>
          <w:noProof/>
          <w:color w:val="000000" w:themeColor="text1"/>
          <w:sz w:val="24"/>
          <w:szCs w:val="24"/>
          <w:lang w:val="en-IE" w:eastAsia="en-IE"/>
        </w:rPr>
        <w:footnoteReference w:id="28"/>
      </w:r>
      <w:r>
        <w:rPr>
          <w:rFonts w:ascii="Times New Roman" w:hAnsi="Times New Roman"/>
          <w:noProof/>
          <w:color w:val="000000" w:themeColor="text1"/>
          <w:sz w:val="24"/>
        </w:rPr>
        <w:t xml:space="preserve"> et le tableau de bord sur les risques climatiques</w:t>
      </w:r>
      <w:r w:rsidR="00F40219" w:rsidRPr="001A3A0E">
        <w:rPr>
          <w:rFonts w:ascii="Times New Roman" w:eastAsia="Times New Roman" w:hAnsi="Times New Roman" w:cs="Times New Roman"/>
          <w:noProof/>
          <w:color w:val="000000" w:themeColor="text1"/>
          <w:sz w:val="24"/>
          <w:szCs w:val="24"/>
          <w:vertAlign w:val="superscript"/>
          <w:lang w:val="en-IE" w:eastAsia="en-IE"/>
        </w:rPr>
        <w:footnoteReference w:id="29"/>
      </w:r>
      <w:r>
        <w:rPr>
          <w:rFonts w:ascii="Times New Roman" w:hAnsi="Times New Roman"/>
          <w:noProof/>
          <w:color w:val="000000" w:themeColor="text1"/>
          <w:sz w:val="24"/>
        </w:rPr>
        <w:t xml:space="preserve"> du projet PROVIDE, et elle fera davantage appel aux capacités d’analyse et de prospective du centre de coordination de la réaction d’urgence. La Commission améliorera l’accès des utilisateurs à ces outils, y compris au niveau local, et en contrôlera l’utilisation. Elle cherchera à obtenir de meilleurs indicateurs sur les progrès accomplis en matière de résilience, en liaison notamment avec d’autres indicateurs interdépendants et pertinents afin de garantir une approche systémique. </w:t>
      </w:r>
    </w:p>
    <w:p w14:paraId="3065A1C5" w14:textId="1BF4C453" w:rsidR="003F1FF2" w:rsidRPr="00915255" w:rsidRDefault="00BF6EC7" w:rsidP="00804311">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u w:val="single"/>
        </w:rPr>
        <w:t>Des scénarios climatiques de référence.</w:t>
      </w:r>
      <w:r>
        <w:rPr>
          <w:rFonts w:ascii="Times New Roman" w:hAnsi="Times New Roman"/>
          <w:noProof/>
          <w:color w:val="000000" w:themeColor="text1"/>
          <w:sz w:val="24"/>
        </w:rPr>
        <w:t xml:space="preserve"> Pour faciliter l’évaluation des risques, la Commission utilisera le scénario d’émissions intermédiaire</w:t>
      </w:r>
      <w:r w:rsidR="00CD5F6E" w:rsidRPr="001A3A0E">
        <w:rPr>
          <w:rStyle w:val="FootnoteReference"/>
          <w:rFonts w:ascii="Times New Roman" w:eastAsia="Times New Roman" w:hAnsi="Times New Roman" w:cs="Times New Roman"/>
          <w:noProof/>
          <w:color w:val="000000" w:themeColor="text1"/>
          <w:sz w:val="24"/>
          <w:szCs w:val="24"/>
          <w:lang w:val="en-IE" w:eastAsia="en-IE"/>
        </w:rPr>
        <w:footnoteReference w:id="30"/>
      </w:r>
      <w:r>
        <w:rPr>
          <w:rFonts w:ascii="Times New Roman" w:hAnsi="Times New Roman"/>
          <w:noProof/>
          <w:color w:val="000000" w:themeColor="text1"/>
          <w:sz w:val="24"/>
        </w:rPr>
        <w:t xml:space="preserve"> du GIEC comme scénario de référence acceptable le plus bas pour couvrir les risques physiques aux fins de l’évaluation des incidences des politiques, et elle se fondera sur des scénarios plus défavorables pour les tests de résistance et pour comparer les possibilités d’adaptation. Les États membres en sont avertis, et l’on attend à ce que les acteurs privés en fassent de même; la Commission publiera les orientations internes qu’elle a rédigées à ce sujet. Améliorer des données historiques portant, par exemple, sur les pertes dues à des catastrophes est utile pour disposer d’indicateurs et alimenter des projections. Il serait toutefois irresponsable de décider de l’avenir climatique en se fondant principalement sur des données historiques extrapolées.</w:t>
      </w:r>
    </w:p>
    <w:p w14:paraId="69FBA819" w14:textId="68F815A3" w:rsidR="00B542C7" w:rsidRDefault="00BF6EC7" w:rsidP="009248B3">
      <w:pPr>
        <w:spacing w:after="120"/>
        <w:jc w:val="both"/>
        <w:textAlignment w:val="baseline"/>
        <w:rPr>
          <w:rFonts w:ascii="Times New Roman" w:eastAsiaTheme="minorHAnsi" w:hAnsi="Times New Roman" w:cs="Times New Roman"/>
          <w:noProof/>
          <w:color w:val="000000"/>
          <w:sz w:val="24"/>
          <w:szCs w:val="24"/>
        </w:rPr>
      </w:pPr>
      <w:r>
        <w:rPr>
          <w:rFonts w:ascii="Times New Roman" w:hAnsi="Times New Roman"/>
          <w:noProof/>
          <w:color w:val="000000" w:themeColor="text1"/>
          <w:sz w:val="24"/>
          <w:u w:val="single"/>
        </w:rPr>
        <w:t>Un renforcement des capacités des secteurs public et privé</w:t>
      </w:r>
      <w:r>
        <w:rPr>
          <w:rFonts w:ascii="Times New Roman" w:hAnsi="Times New Roman"/>
          <w:noProof/>
          <w:color w:val="000000" w:themeColor="text1"/>
          <w:sz w:val="24"/>
        </w:rPr>
        <w:t>. La Commission aidera à l’élaboration de matériels de formation et de cours ouverts en ligne sur la résilience au changement climatique au moyen d’une plateforme en ligne unique et, pour partie, de la plateforme Climate-ADAPT. La vaste gamme d’outils de planification de l’adaptation au niveau de l’UE sera intégrée à la base de connaissances. La Commission soutiendra les États membres dans les efforts qu’ils déploient pour faire en sorte que leurs programmes d'études et de formation, y compris ceux destinés aux administrateurs publics, soient parés pour l’avenir, et elle continuera de promouvoir la coopération administrative entre les États membres et au sein de ces derniers</w:t>
      </w:r>
      <w:r w:rsidR="00E351C4" w:rsidRPr="001A3A0E">
        <w:rPr>
          <w:rStyle w:val="FootnoteReference"/>
          <w:rFonts w:ascii="Times New Roman" w:eastAsia="Times New Roman" w:hAnsi="Times New Roman" w:cs="Times New Roman"/>
          <w:noProof/>
          <w:color w:val="000000" w:themeColor="text1"/>
          <w:sz w:val="24"/>
          <w:szCs w:val="24"/>
          <w:lang w:val="en-IE" w:eastAsia="en-IE"/>
        </w:rPr>
        <w:footnoteReference w:id="31"/>
      </w:r>
      <w:r>
        <w:rPr>
          <w:rFonts w:ascii="Times New Roman" w:hAnsi="Times New Roman"/>
          <w:noProof/>
          <w:color w:val="000000" w:themeColor="text1"/>
          <w:sz w:val="24"/>
        </w:rPr>
        <w:t xml:space="preserve">. À mesure que les discussions se poursuivront, la Commission mettra au point des outils d’évaluation des risques climatiques et des risques de catastrophe afin d’aider les États membres et le secteur privé, et notamment les PME. </w:t>
      </w:r>
    </w:p>
    <w:p w14:paraId="7F543ADD" w14:textId="77777777" w:rsidR="006F1701" w:rsidRDefault="006F1701" w:rsidP="00215FB3">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La Commission s’appuiera également sur des </w:t>
      </w:r>
      <w:r>
        <w:rPr>
          <w:rFonts w:ascii="Times New Roman" w:hAnsi="Times New Roman"/>
          <w:noProof/>
          <w:color w:val="000000" w:themeColor="text1"/>
          <w:sz w:val="24"/>
          <w:u w:val="single"/>
        </w:rPr>
        <w:t>outils existants</w:t>
      </w:r>
      <w:r>
        <w:rPr>
          <w:rFonts w:ascii="Times New Roman" w:hAnsi="Times New Roman"/>
          <w:noProof/>
          <w:color w:val="000000" w:themeColor="text1"/>
          <w:sz w:val="24"/>
        </w:rPr>
        <w:t>:</w:t>
      </w:r>
    </w:p>
    <w:p w14:paraId="38773550" w14:textId="1B6B9363" w:rsidR="006F1701" w:rsidRPr="009248B3" w:rsidRDefault="006F1701" w:rsidP="006F1701">
      <w:pPr>
        <w:pStyle w:val="ListParagraph"/>
        <w:numPr>
          <w:ilvl w:val="0"/>
          <w:numId w:val="65"/>
        </w:num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La mission «Adaptation au changement climatique» de l’UE contribue très largement au renforcement des capacités régionales. </w:t>
      </w:r>
    </w:p>
    <w:p w14:paraId="32E5AE03" w14:textId="7987582A" w:rsidR="001F48E2" w:rsidRPr="009248B3" w:rsidRDefault="007610B7" w:rsidP="006F1701">
      <w:pPr>
        <w:pStyle w:val="ListParagraph"/>
        <w:numPr>
          <w:ilvl w:val="0"/>
          <w:numId w:val="65"/>
        </w:num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sz w:val="24"/>
        </w:rPr>
        <w:t xml:space="preserve">L’instrument d’appui technique aide les États membres à concevoir et à mettre en œuvre des réformes visant à </w:t>
      </w:r>
      <w:r>
        <w:rPr>
          <w:rFonts w:ascii="Times New Roman" w:hAnsi="Times New Roman"/>
          <w:noProof/>
          <w:color w:val="000000" w:themeColor="text1"/>
          <w:sz w:val="24"/>
        </w:rPr>
        <w:t>réduire et à gérer les risques climatiques.</w:t>
      </w:r>
      <w:r>
        <w:rPr>
          <w:rFonts w:ascii="Times New Roman" w:hAnsi="Times New Roman"/>
          <w:noProof/>
          <w:sz w:val="24"/>
        </w:rPr>
        <w:t xml:space="preserve"> </w:t>
      </w:r>
    </w:p>
    <w:p w14:paraId="0EE622DA" w14:textId="721F9E29" w:rsidR="001F48E2" w:rsidRPr="009248B3" w:rsidRDefault="001F48E2" w:rsidP="006F1701">
      <w:pPr>
        <w:pStyle w:val="ListParagraph"/>
        <w:numPr>
          <w:ilvl w:val="0"/>
          <w:numId w:val="65"/>
        </w:num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sz w:val="24"/>
        </w:rPr>
        <w:t>Le cadre des compétences en matière de durabilité (GreenComp) publié en 2022 sert de base pour renforcer les compétences requises pour lutter contre le changement climatique.</w:t>
      </w:r>
      <w:r>
        <w:rPr>
          <w:rFonts w:ascii="Times New Roman" w:hAnsi="Times New Roman"/>
          <w:noProof/>
          <w:color w:val="000000"/>
          <w:sz w:val="24"/>
        </w:rPr>
        <w:t xml:space="preserve"> </w:t>
      </w:r>
    </w:p>
    <w:p w14:paraId="33F887B9" w14:textId="7727B6E6" w:rsidR="002430D4" w:rsidRPr="009248B3" w:rsidRDefault="002430D4" w:rsidP="006F1701">
      <w:pPr>
        <w:pStyle w:val="ListParagraph"/>
        <w:numPr>
          <w:ilvl w:val="0"/>
          <w:numId w:val="65"/>
        </w:num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sz w:val="24"/>
        </w:rPr>
        <w:t xml:space="preserve">Les initiatives et les politiques en matière d’éducation et de formation élaborées dans le cadre de l’espace européen de l’éducation (par exemple, avec la coalition «Éducation pour le climat») seront exploitées. </w:t>
      </w:r>
    </w:p>
    <w:p w14:paraId="62A6190E" w14:textId="4405FB70" w:rsidR="001F6B5D" w:rsidRPr="00B2476E" w:rsidRDefault="003E7F0B" w:rsidP="00215FB3">
      <w:pPr>
        <w:pStyle w:val="ListParagraph"/>
        <w:numPr>
          <w:ilvl w:val="0"/>
          <w:numId w:val="65"/>
        </w:num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sz w:val="24"/>
        </w:rPr>
        <w:t>Le modèle de collaboration unique entre le monde universitaire, la recherche et les entreprises développé dans le cadre de l’Institut européen d’innovation et de technologie (EIT) et de ses communautés de la connaissance et de l’innovation (CCI), notamment la CCI «Climat» de l’EIT, peut apporter un soutien.</w:t>
      </w:r>
    </w:p>
    <w:p w14:paraId="6389A61C" w14:textId="55EBCFD8" w:rsidR="002D6D8B" w:rsidRPr="00B2476E" w:rsidRDefault="002D6D8B" w:rsidP="00B2476E">
      <w:pPr>
        <w:spacing w:after="120"/>
        <w:jc w:val="both"/>
        <w:textAlignment w:val="baseline"/>
        <w:rPr>
          <w:rFonts w:ascii="Times New Roman" w:hAnsi="Times New Roman" w:cs="Times New Roman"/>
          <w:noProof/>
          <w:sz w:val="24"/>
          <w:szCs w:val="24"/>
        </w:rPr>
      </w:pPr>
      <w:r>
        <w:rPr>
          <w:rFonts w:ascii="Times New Roman" w:hAnsi="Times New Roman"/>
          <w:noProof/>
          <w:sz w:val="24"/>
          <w:u w:val="single"/>
        </w:rPr>
        <w:t>Lutter contre la désinformation</w:t>
      </w:r>
      <w:r>
        <w:rPr>
          <w:rFonts w:ascii="Times New Roman" w:hAnsi="Times New Roman"/>
          <w:noProof/>
          <w:sz w:val="24"/>
        </w:rPr>
        <w:t xml:space="preserve"> La Commission contribuera aux efforts entrepris pour suivre et analyser la manière dont sont diffusés des discours de désinformation au sein de l’espace public, qui influencent les opinions et les comportements. Elle renforcera l’utilisation d’outils stratégiques, de solutions numériques et d’approches de communication pertinents pour lutter contre la désinformation climatique. Il s’agit notamment de veiller à ce que le respect de la législation sur les services numériques couvre correctement la désinformation et à ce que les sciences du climat soient dûment prises en compte dans le respect du code de bonnes pratiques contre la désinformation par les entreprises de médias sociaux. La Commission collaborera aussi avec ses partenaires au niveau international pour lutter contre la désinformation, un problème de plus en plus pressant pour la société, qui trouve son origine dans des incitations économiques faussées et qui menace le fonctionnement de nos systèmes démocratiques.</w:t>
      </w:r>
    </w:p>
    <w:p w14:paraId="4ED6F6AE" w14:textId="2471CDD5" w:rsidR="002D6D8B" w:rsidRPr="00B9056B" w:rsidRDefault="002D6D8B" w:rsidP="00215FB3">
      <w:pPr>
        <w:spacing w:after="120"/>
        <w:jc w:val="both"/>
        <w:textAlignment w:val="baseline"/>
        <w:rPr>
          <w:rFonts w:ascii="Times New Roman" w:eastAsia="Times New Roman" w:hAnsi="Times New Roman" w:cs="Times New Roman"/>
          <w:noProof/>
          <w:color w:val="000000" w:themeColor="text1"/>
          <w:sz w:val="24"/>
          <w:szCs w:val="24"/>
          <w:lang w:val="fr-BE" w:eastAsia="en-IE"/>
        </w:rPr>
      </w:pPr>
    </w:p>
    <w:p w14:paraId="5BA2DB1E" w14:textId="57500011" w:rsidR="00775598" w:rsidRPr="0056758B" w:rsidRDefault="00C35222" w:rsidP="00B2476E">
      <w:pPr>
        <w:pStyle w:val="Heading2"/>
        <w:ind w:left="1565" w:hanging="431"/>
        <w:rPr>
          <w:rFonts w:ascii="Times New Roman" w:hAnsi="Times New Roman" w:cs="Times New Roman"/>
          <w:b/>
          <w:bCs/>
          <w:noProof/>
          <w:color w:val="000000" w:themeColor="text1"/>
          <w:sz w:val="24"/>
          <w:szCs w:val="24"/>
        </w:rPr>
      </w:pPr>
      <w:bookmarkStart w:id="40" w:name="_Toc159792204"/>
      <w:r>
        <w:rPr>
          <w:rFonts w:ascii="Times New Roman" w:hAnsi="Times New Roman"/>
          <w:b/>
          <w:noProof/>
          <w:color w:val="000000" w:themeColor="text1"/>
          <w:sz w:val="24"/>
        </w:rPr>
        <w:t>Mise à profit des politiques structurelles</w:t>
      </w:r>
      <w:bookmarkEnd w:id="40"/>
    </w:p>
    <w:p w14:paraId="3D3E21EA" w14:textId="77777777" w:rsidR="00BF6EC7" w:rsidRPr="00915255" w:rsidRDefault="00BF6EC7" w:rsidP="00B11E0C">
      <w:pPr>
        <w:spacing w:line="240" w:lineRule="auto"/>
        <w:jc w:val="both"/>
        <w:rPr>
          <w:rFonts w:ascii="Times New Roman" w:eastAsiaTheme="minorHAnsi" w:hAnsi="Times New Roman" w:cs="Times New Roman"/>
          <w:bCs/>
          <w:noProof/>
          <w:color w:val="000000" w:themeColor="text1"/>
          <w:sz w:val="24"/>
          <w:szCs w:val="24"/>
        </w:rPr>
      </w:pPr>
      <w:bookmarkStart w:id="41" w:name="_Hlk153901472"/>
    </w:p>
    <w:p w14:paraId="6C1A6ACF" w14:textId="5DA52CA8" w:rsidR="00F77F36" w:rsidRPr="00915255" w:rsidRDefault="00DF3861" w:rsidP="00A632E5">
      <w:pPr>
        <w:spacing w:after="120"/>
        <w:jc w:val="both"/>
        <w:rPr>
          <w:rFonts w:ascii="Times New Roman" w:eastAsiaTheme="minorHAnsi" w:hAnsi="Times New Roman" w:cs="Times New Roman"/>
          <w:bCs/>
          <w:noProof/>
          <w:color w:val="000000" w:themeColor="text1"/>
          <w:sz w:val="24"/>
          <w:szCs w:val="24"/>
        </w:rPr>
      </w:pPr>
      <w:r>
        <w:rPr>
          <w:rFonts w:ascii="Times New Roman" w:hAnsi="Times New Roman"/>
          <w:noProof/>
          <w:color w:val="000000" w:themeColor="text1"/>
          <w:sz w:val="24"/>
        </w:rPr>
        <w:t xml:space="preserve">Si la répartition de la responsabilité de la prise en charge des risques entre l’UE et ses États membres varie d’un domaine d’action à l’autre, trois domaines d’action structurelle s'annoncent comme particulièrement efficaces pour gérer les risques climatiques dans de nombreux secteurs: </w:t>
      </w:r>
    </w:p>
    <w:p w14:paraId="002FA01C" w14:textId="24AF0319" w:rsidR="008079B5" w:rsidRPr="00915255" w:rsidRDefault="00BF6EC7" w:rsidP="00A632E5">
      <w:pPr>
        <w:spacing w:after="120"/>
        <w:jc w:val="both"/>
        <w:rPr>
          <w:rFonts w:ascii="Times New Roman" w:eastAsiaTheme="minorHAnsi" w:hAnsi="Times New Roman" w:cs="Times New Roman"/>
          <w:bCs/>
          <w:noProof/>
          <w:color w:val="000000" w:themeColor="text1"/>
          <w:sz w:val="24"/>
          <w:szCs w:val="24"/>
        </w:rPr>
      </w:pPr>
      <w:r>
        <w:rPr>
          <w:rFonts w:ascii="Times New Roman" w:hAnsi="Times New Roman"/>
          <w:noProof/>
          <w:color w:val="000000" w:themeColor="text1"/>
          <w:sz w:val="24"/>
          <w:u w:val="single"/>
        </w:rPr>
        <w:t>L’amélioration de l’aménagement du territoire dans les États membres.</w:t>
      </w:r>
      <w:r>
        <w:rPr>
          <w:rFonts w:ascii="Times New Roman" w:hAnsi="Times New Roman"/>
          <w:noProof/>
          <w:color w:val="000000" w:themeColor="text1"/>
          <w:sz w:val="24"/>
        </w:rPr>
        <w:t xml:space="preserve"> L’affectation des terres et l’aménagement du territoire incombent aux autorités nationales, voire locales dans de nombreux cas. Les terres sont certes des actifs, mais elles revêtent aussi un intérêt et une valeur spécifiques au niveau local, qui dépassent la seule valeur monétaire. Dans le même temps, les décisions en matière d’affectation des terres et d’aménagement du territoire ont une incidence sur la résilience et l’assurabilité face aux risques auxquels sont exposées les communautés et les économies au sens large. Ces décisions devraient contenir de manière explicite les hypothèses relatives aux risques climatiques et être approuvées par les autorités nationales chargées de la résilience des infrastructures et entités essentielles. La Commission examinera les possibilités d’encourager l’adoption de bonnes pratiques, notamment en renforçant le lien entre la qualité de la planification territoriale et maritime et les politiques en matière de cohésion, de transport, de pêche, de finances et d’agriculture. Elle s’appuiera sur les travaux existants et intégrera les principes de la résilience dans l’initiative «Nouveau Bauhaus européen»</w:t>
      </w:r>
      <w:r w:rsidR="006840A6" w:rsidRPr="001A3A0E">
        <w:rPr>
          <w:rStyle w:val="FootnoteReference"/>
          <w:rFonts w:ascii="Times New Roman" w:eastAsiaTheme="minorHAnsi" w:hAnsi="Times New Roman" w:cs="Times New Roman"/>
          <w:bCs/>
          <w:noProof/>
          <w:color w:val="000000" w:themeColor="text1"/>
          <w:sz w:val="24"/>
          <w:szCs w:val="24"/>
        </w:rPr>
        <w:footnoteReference w:id="32"/>
      </w:r>
      <w:r>
        <w:rPr>
          <w:rFonts w:ascii="Times New Roman" w:hAnsi="Times New Roman"/>
          <w:noProof/>
          <w:color w:val="000000" w:themeColor="text1"/>
          <w:sz w:val="24"/>
        </w:rPr>
        <w:t xml:space="preserve"> afin de favoriser une planification de l’aménagement du territoire qui soit résiliente.</w:t>
      </w:r>
    </w:p>
    <w:bookmarkEnd w:id="41"/>
    <w:p w14:paraId="4E7EAE16" w14:textId="135781C8" w:rsidR="000444E6" w:rsidRPr="009248B3" w:rsidRDefault="009A34E2" w:rsidP="00A632E5">
      <w:pPr>
        <w:spacing w:after="120"/>
        <w:jc w:val="both"/>
        <w:rPr>
          <w:rFonts w:ascii="Times New Roman" w:eastAsiaTheme="minorHAnsi" w:hAnsi="Times New Roman" w:cs="Times New Roman"/>
          <w:bCs/>
          <w:noProof/>
          <w:color w:val="000000" w:themeColor="text1"/>
          <w:sz w:val="24"/>
          <w:szCs w:val="24"/>
          <w:u w:val="single"/>
        </w:rPr>
      </w:pPr>
      <w:r>
        <w:rPr>
          <w:rFonts w:ascii="Times New Roman" w:hAnsi="Times New Roman"/>
          <w:noProof/>
          <w:color w:val="000000" w:themeColor="text1"/>
          <w:sz w:val="24"/>
          <w:u w:val="single"/>
        </w:rPr>
        <w:t>L’intégration des risques climatiques dans la planification et la maintenance des infrastructures critiques</w:t>
      </w:r>
      <w:r>
        <w:rPr>
          <w:rFonts w:ascii="Times New Roman" w:hAnsi="Times New Roman"/>
          <w:noProof/>
          <w:color w:val="000000" w:themeColor="text1"/>
          <w:sz w:val="24"/>
        </w:rPr>
        <w:t xml:space="preserve"> Étroitement liée à l’aménagement du territoire, l’aptitude des pouvoirs publics à maintenir les fonctions sociétales dépend de la résilience des entités qui exploitent les infrastructures critiques destinées à fournir des services essentiels à la société et à l’économie. La directive sur la résilience des entités critiques facilite la coordination entre les États membres et définit les processus d’évaluation des risques qui s'appliquent à ces derniers et aux entités critiques. La Commission invite chaque État membre à veiller à ce que l’évaluation nationale des risques qu’il effectue au titre de la directive sur la résilience des entités critiques</w:t>
      </w:r>
      <w:r w:rsidR="002743A3">
        <w:rPr>
          <w:rStyle w:val="FootnoteReference"/>
          <w:rFonts w:ascii="Times New Roman" w:eastAsiaTheme="minorHAnsi" w:hAnsi="Times New Roman" w:cs="Times New Roman"/>
          <w:bCs/>
          <w:noProof/>
          <w:color w:val="000000" w:themeColor="text1"/>
          <w:sz w:val="24"/>
          <w:szCs w:val="24"/>
          <w:lang w:val="en-IE"/>
        </w:rPr>
        <w:footnoteReference w:id="33"/>
      </w:r>
      <w:r>
        <w:rPr>
          <w:rFonts w:ascii="Times New Roman" w:hAnsi="Times New Roman"/>
          <w:noProof/>
          <w:color w:val="000000" w:themeColor="text1"/>
          <w:sz w:val="24"/>
        </w:rPr>
        <w:t xml:space="preserve"> porte explicitement sur la résilience à long terme des entités relevant de cet acte face aux risques climatiques, et elle invite les États membres à le faire avant l’échéance de 2026 fixée dans la directive. Certaines des infrastructures critiques sont définies et cofinancées au niveau de l’UE, comme les réseaux transeuropéens RTE-T et RTE-E, mais aussi comme les hôpitaux et les écoles financés par l’UE, par exemple. La Commission mettra à jour et élaborera les documents d’orientation pertinents pour les différents secteurs concernés. Les données et services satellitaires disponibles devraient être pleinement exploités pour renforcer la résilience des infrastructures critiques face aux risques climatiques.</w:t>
      </w:r>
    </w:p>
    <w:p w14:paraId="070CC3E5" w14:textId="089567BE" w:rsidR="00206BE3" w:rsidRPr="00915255" w:rsidRDefault="00493B26" w:rsidP="00A632E5">
      <w:pPr>
        <w:spacing w:after="120"/>
        <w:jc w:val="both"/>
        <w:rPr>
          <w:rFonts w:ascii="Times New Roman" w:eastAsiaTheme="minorHAnsi" w:hAnsi="Times New Roman" w:cs="Times New Roman"/>
          <w:bCs/>
          <w:noProof/>
          <w:color w:val="000000" w:themeColor="text1"/>
          <w:sz w:val="24"/>
          <w:szCs w:val="24"/>
        </w:rPr>
      </w:pPr>
      <w:r>
        <w:rPr>
          <w:rFonts w:ascii="Times New Roman" w:hAnsi="Times New Roman"/>
          <w:noProof/>
          <w:color w:val="000000" w:themeColor="text1"/>
          <w:sz w:val="24"/>
          <w:u w:val="single"/>
        </w:rPr>
        <w:t>L’établissement d’un lien entre la solidarité au niveau de l’UE et les mesures de résilience nationales appropriées.</w:t>
      </w:r>
      <w:r>
        <w:rPr>
          <w:rFonts w:ascii="Times New Roman" w:hAnsi="Times New Roman"/>
          <w:noProof/>
          <w:color w:val="000000" w:themeColor="text1"/>
          <w:sz w:val="24"/>
        </w:rPr>
        <w:t xml:space="preserve"> Si les capacités nationales sont dépassées, les capacités de protection civile et d’autres mécanismes de solidarité au niveau de l’UE (dont le MPCU, le Fonds de solidarité de l’UE, les investissements structurels relevant de la politique de cohésion, certains outils de la politique agricole commune et d’autres trains de mesures d’appui sectoriel) peuvent être mobilisés pour protéger les populations contre les effets du changement climatique et les aider à se rétablir plus rapidement. Toutefois, tant au niveau national qu’au niveau de l’UE, les capacités sont déjà mises à rude épreuve et les pressions sur les risques vont continuer d’augmenter. Depuis 2019, le MPCU a été activé 76 fois pour coordonner l'assistance dans des États membres de l’UE et des pays tiers dans des situations d’urgence liées au climat (inondations d'ampleur exceptionnelle, incendies de forêt, tempêtes et graves sécheresses). Plus de 8,6 milliards d’EUR ont été dépensés par l’intermédiaire du Fonds de solidarité de l’UE pour soutenir 24 États membres et 4 pays en voie d’adhésion après 110 catastrophes liées à des aléas naturels.</w:t>
      </w:r>
    </w:p>
    <w:p w14:paraId="15F9BD92" w14:textId="5B1F4B96" w:rsidR="00953775" w:rsidRPr="001A3A0E" w:rsidRDefault="00992300" w:rsidP="00A632E5">
      <w:pPr>
        <w:spacing w:after="120"/>
        <w:jc w:val="both"/>
        <w:rPr>
          <w:rFonts w:ascii="Times New Roman" w:eastAsiaTheme="minorHAnsi" w:hAnsi="Times New Roman" w:cs="Times New Roman"/>
          <w:noProof/>
          <w:sz w:val="24"/>
          <w:szCs w:val="24"/>
        </w:rPr>
      </w:pPr>
      <w:r>
        <w:rPr>
          <w:rFonts w:ascii="Times New Roman" w:hAnsi="Times New Roman"/>
          <w:noProof/>
          <w:color w:val="000000" w:themeColor="text1"/>
          <w:sz w:val="24"/>
        </w:rPr>
        <w:t>Les mécanismes de solidarité doivent être dotés des ressources nécessaires pour permettre à l’UE d'aider à parer aux besoins. Les systèmes et moyens de protection civile doivent être pérennisés par des investissements dans la gestion des risques de catastrophe, dans des capacités de réaction et dans des compétences, aux niveaux de l’UE et des États membres, pouvant être rapidement déployées au-delà des frontières. Dans ce contexte, les risques climatiques doivent être pleinement intégrés dans les processus de gestion des risques de catastrophes, comme le prévoient les objectifs de l’Union en matière de résilience face aux catastrophes</w:t>
      </w:r>
      <w:r w:rsidR="009C6C0A" w:rsidRPr="00915255">
        <w:rPr>
          <w:rStyle w:val="FootnoteReference"/>
          <w:rFonts w:ascii="Times New Roman" w:hAnsi="Times New Roman" w:cs="Times New Roman"/>
          <w:noProof/>
          <w:color w:val="000000" w:themeColor="text1"/>
          <w:sz w:val="24"/>
          <w:szCs w:val="24"/>
          <w:lang w:val="en-IE"/>
        </w:rPr>
        <w:footnoteReference w:id="34"/>
      </w:r>
      <w:r>
        <w:rPr>
          <w:rFonts w:ascii="Times New Roman" w:hAnsi="Times New Roman"/>
          <w:noProof/>
          <w:color w:val="000000" w:themeColor="text1"/>
          <w:sz w:val="24"/>
        </w:rPr>
        <w:t xml:space="preserve"> et le rapport de la Commission sur la prévention et la gestion des risques de catastrophes en Europe</w:t>
      </w:r>
      <w:r w:rsidR="009C6C0A" w:rsidRPr="00915255">
        <w:rPr>
          <w:rFonts w:ascii="Times New Roman" w:hAnsi="Times New Roman" w:cs="Times New Roman"/>
          <w:noProof/>
          <w:color w:val="000000" w:themeColor="text1"/>
          <w:sz w:val="24"/>
          <w:szCs w:val="24"/>
          <w:vertAlign w:val="superscript"/>
          <w:lang w:val="en-IE"/>
        </w:rPr>
        <w:footnoteReference w:id="35"/>
      </w:r>
      <w:r>
        <w:rPr>
          <w:rFonts w:ascii="Times New Roman" w:hAnsi="Times New Roman"/>
          <w:noProof/>
          <w:color w:val="000000" w:themeColor="text1"/>
          <w:sz w:val="24"/>
        </w:rPr>
        <w:t xml:space="preserve">. Avec l’augmentation des risques, les capacités de réaction et de rétablissement dont dispose l’UE peuvent finir par s’épuiser; la Commission examinera donc la manière dont les mécanismes de solidarité pourraient inciter davantage les États membres à prendre des mesures d’anticipation adéquates concernant les principaux risques, et ce également dans l’intérêt de la viabilité budgétaire, tout en renforçant la gestion des risques de catastrophes ainsi que la préparation et la réaction de l’UE à ces risques. </w:t>
      </w:r>
    </w:p>
    <w:p w14:paraId="7A258CF1" w14:textId="5AA3A89C" w:rsidR="00114A90" w:rsidRPr="00B9056B" w:rsidRDefault="00114A90" w:rsidP="004615FF">
      <w:pPr>
        <w:spacing w:after="120" w:line="240" w:lineRule="auto"/>
        <w:jc w:val="both"/>
        <w:rPr>
          <w:rFonts w:ascii="Times New Roman" w:eastAsiaTheme="minorHAnsi" w:hAnsi="Times New Roman" w:cs="Times New Roman"/>
          <w:bCs/>
          <w:noProof/>
          <w:color w:val="000000" w:themeColor="text1"/>
          <w:sz w:val="24"/>
          <w:szCs w:val="24"/>
          <w:lang w:val="fr-BE"/>
        </w:rPr>
      </w:pPr>
    </w:p>
    <w:p w14:paraId="1DB84872" w14:textId="538850D2" w:rsidR="00775598" w:rsidRPr="00420C4C" w:rsidRDefault="009D7A8F" w:rsidP="00B2476E">
      <w:pPr>
        <w:pStyle w:val="Heading2"/>
        <w:ind w:left="1565" w:hanging="431"/>
        <w:rPr>
          <w:rFonts w:ascii="Times New Roman" w:hAnsi="Times New Roman" w:cs="Times New Roman"/>
          <w:b/>
          <w:bCs/>
          <w:noProof/>
          <w:color w:val="000000" w:themeColor="text1"/>
          <w:sz w:val="24"/>
          <w:szCs w:val="24"/>
        </w:rPr>
      </w:pPr>
      <w:bookmarkStart w:id="42" w:name="_Toc157700411"/>
      <w:bookmarkStart w:id="43" w:name="_Toc159792205"/>
      <w:bookmarkEnd w:id="42"/>
      <w:r>
        <w:rPr>
          <w:rFonts w:ascii="Times New Roman" w:hAnsi="Times New Roman"/>
          <w:b/>
          <w:noProof/>
          <w:color w:val="000000" w:themeColor="text1"/>
          <w:sz w:val="24"/>
        </w:rPr>
        <w:t>Conditions préalables adéquates pour le financement de la résilience climatique</w:t>
      </w:r>
      <w:bookmarkEnd w:id="43"/>
    </w:p>
    <w:p w14:paraId="5C66F85A" w14:textId="77777777" w:rsidR="00BF6EC7" w:rsidRPr="00B9056B" w:rsidRDefault="00BF6EC7" w:rsidP="00B11E0C">
      <w:pPr>
        <w:jc w:val="both"/>
        <w:textAlignment w:val="baseline"/>
        <w:rPr>
          <w:rFonts w:ascii="Times New Roman" w:eastAsia="Times New Roman" w:hAnsi="Times New Roman" w:cs="Times New Roman"/>
          <w:noProof/>
          <w:color w:val="000000" w:themeColor="text1"/>
          <w:sz w:val="24"/>
          <w:szCs w:val="24"/>
          <w:lang w:val="fr-BE" w:eastAsia="en-IE"/>
        </w:rPr>
      </w:pPr>
    </w:p>
    <w:p w14:paraId="3FED802B" w14:textId="0974F746" w:rsidR="00CC5085" w:rsidRPr="00915255" w:rsidRDefault="00EE0C15" w:rsidP="41D030ED">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Les décideurs politiques, les investisseurs et les entreprises doivent comprendre les besoins et les lacunes en matière d’investissement et de protection, concevoir des interventions ciblées en fonction des effets potentiels et de l’urgence, associer les propriétaires de risques et élaborer des stratégies de financement à long terme. Afin de gérer efficacement les risques climatiques, les dépenses publiques au niveau de l’UE et au niveau national, y compris les investissements sociaux, et les incitations à l’investissement privé devraient être conçues de manière à ce que la prévention des dérèglements et dommages liés au climat devienne le meilleur choix sur le plan économique. Le respect des règles applicables aux aides d’État doit être garanti. Il faut pour cela:</w:t>
      </w:r>
    </w:p>
    <w:p w14:paraId="249B7C70" w14:textId="20FF077E" w:rsidR="008733E5" w:rsidRPr="00BE25FA" w:rsidRDefault="008733E5" w:rsidP="00774220">
      <w:pPr>
        <w:spacing w:after="120"/>
        <w:jc w:val="both"/>
        <w:textAlignment w:val="baseline"/>
        <w:rPr>
          <w:rFonts w:ascii="Times New Roman" w:hAnsi="Times New Roman"/>
          <w:noProof/>
          <w:color w:val="000000" w:themeColor="text1"/>
          <w:sz w:val="24"/>
          <w:highlight w:val="yellow"/>
          <w:u w:val="single"/>
        </w:rPr>
      </w:pPr>
      <w:r>
        <w:rPr>
          <w:rFonts w:ascii="Times New Roman" w:hAnsi="Times New Roman"/>
          <w:noProof/>
          <w:color w:val="000000" w:themeColor="text1"/>
          <w:sz w:val="24"/>
          <w:u w:val="single"/>
        </w:rPr>
        <w:t xml:space="preserve">Veiller à ce que les dépenses de l’UE soient résilientes face au changement climatique. </w:t>
      </w:r>
      <w:r>
        <w:rPr>
          <w:rFonts w:ascii="Times New Roman" w:hAnsi="Times New Roman"/>
          <w:noProof/>
          <w:color w:val="000000" w:themeColor="text1"/>
          <w:sz w:val="24"/>
        </w:rPr>
        <w:t>La Commission intégrera les aspects relatifs à l’adaptation au changement climatique dans la mise en œuvre des programmes et activités de l’UE selon le principe consistant à «ne pas causer de préjudice important» énoncé dans le règlement financier pour le cadre financier pluriannuel pour l’après-2027, lorsque cela est possible et approprié. Ainsi, tous les programmes pertinents de l’UE contribueront à la résilience face au changement climatique.</w:t>
      </w:r>
    </w:p>
    <w:p w14:paraId="36554D86" w14:textId="1B61B347" w:rsidR="00E06696" w:rsidRPr="001A3A0E" w:rsidRDefault="0004542D" w:rsidP="00B160B9">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u w:val="single"/>
        </w:rPr>
        <w:t>Intégrer la résilience au changement climatique dans les marchés publics</w:t>
      </w:r>
      <w:r>
        <w:rPr>
          <w:rFonts w:ascii="Times New Roman" w:hAnsi="Times New Roman"/>
          <w:noProof/>
          <w:color w:val="000000" w:themeColor="text1"/>
          <w:sz w:val="24"/>
        </w:rPr>
        <w:t>. Les marchés publics représentant 14 % du PIB de l’UE, il importe qu'ils tiennent compte des risques climatiques. En ce qui concerne les décisions relatives aux infrastructures en particulier, cette action joue un rôle essentiel dans le soutien à la résilience au changement climatique des actifs et dans la sensibilisation et l’information des entreprises en la matière. Les risques climatiques seront considérés comme un élément à prendre en considération en cas de révision du cadre réglementaire applicable aux marchés publics. Parallèlement, elle invite les États membres à tenir compte, entre autres, des risques climatiques lorsqu’ils intègrent des critères de durabilité environnementale dans des appels d’offres, par exemple en accélérant la mise en œuvre des dispositions du règlement pour une industrie «zéro net»</w:t>
      </w:r>
      <w:r w:rsidR="00CA7DFD">
        <w:rPr>
          <w:rStyle w:val="FootnoteReference"/>
          <w:rFonts w:ascii="Times New Roman" w:eastAsia="Times New Roman" w:hAnsi="Times New Roman" w:cs="Times New Roman"/>
          <w:noProof/>
          <w:color w:val="000000" w:themeColor="text1"/>
          <w:sz w:val="24"/>
          <w:szCs w:val="24"/>
          <w:lang w:val="en-IE" w:eastAsia="en-IE"/>
        </w:rPr>
        <w:footnoteReference w:id="36"/>
      </w:r>
      <w:r>
        <w:rPr>
          <w:rFonts w:ascii="Times New Roman" w:hAnsi="Times New Roman"/>
          <w:noProof/>
          <w:color w:val="000000" w:themeColor="text1"/>
          <w:sz w:val="24"/>
        </w:rPr>
        <w:t xml:space="preserve"> concernant les critères non tarifaires dans la conception de l’appel d’offres. </w:t>
      </w:r>
    </w:p>
    <w:p w14:paraId="0AC87FEC" w14:textId="43E7AD9A" w:rsidR="003E4442" w:rsidRPr="000B0E9A" w:rsidRDefault="003E4442" w:rsidP="00D70311">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u w:val="single"/>
        </w:rPr>
        <w:t>Mobiliser des fonds pour renforcer la résilience</w:t>
      </w:r>
      <w:r>
        <w:rPr>
          <w:rFonts w:ascii="Times New Roman" w:hAnsi="Times New Roman"/>
          <w:noProof/>
          <w:color w:val="000000" w:themeColor="text1"/>
          <w:sz w:val="24"/>
        </w:rPr>
        <w:t xml:space="preserve">. Il est essentiel d’attirer et de faciliter les investissements privés pour lutter efficacement contre les risques climatiques et renforcer la résilience face au changement climatique. Dans le prolongement de différents travaux pertinents, dont ceux du dialogue sur la résilience climatique, la Commission convoquera un groupe de réflexion temporaire sur la mobilisation du financement de la résilience climatique afin de réfléchir à la manière de faciliter le financement de la résilience au changement climatique. Ce groupe de réflexion réunira des acteurs industriels clés et des représentants d’institutions financières publiques et privées. Il pourra également s’appuyer sur les connaissances de la Banque européenne d’investissement et de l’Autorité européenne des assurances et des pensions professionnelles dans le domaine du financement de l’adaptation et du renforcement de la résilience. Il recensera les bonnes pratiques ainsi que les obstacles et les conditions propices au financement de la résilience au changement climatique. La Commission tiendra compte des résultats de ces discussions afin de relever le niveau du financement de la résilience au changement climatique. </w:t>
      </w:r>
    </w:p>
    <w:p w14:paraId="413219F1" w14:textId="07145287" w:rsidR="0053389F" w:rsidRPr="00420C4C" w:rsidRDefault="0053389F" w:rsidP="00B2476E">
      <w:pPr>
        <w:pStyle w:val="Heading1"/>
        <w:numPr>
          <w:ilvl w:val="0"/>
          <w:numId w:val="1"/>
        </w:numPr>
        <w:ind w:left="357" w:hanging="357"/>
        <w:rPr>
          <w:rFonts w:ascii="Times New Roman" w:hAnsi="Times New Roman" w:cs="Times New Roman"/>
          <w:b/>
          <w:bCs/>
          <w:noProof/>
          <w:color w:val="000000" w:themeColor="text1"/>
          <w:sz w:val="24"/>
          <w:szCs w:val="24"/>
        </w:rPr>
      </w:pPr>
      <w:bookmarkStart w:id="44" w:name="_Toc159792206"/>
      <w:r>
        <w:rPr>
          <w:rFonts w:ascii="Times New Roman" w:hAnsi="Times New Roman"/>
          <w:b/>
          <w:noProof/>
          <w:color w:val="000000" w:themeColor="text1"/>
          <w:sz w:val="24"/>
        </w:rPr>
        <w:t>Actions clés de l’UE dans les principaux domaines d’impact</w:t>
      </w:r>
      <w:bookmarkEnd w:id="44"/>
      <w:r>
        <w:rPr>
          <w:rFonts w:ascii="Times New Roman" w:hAnsi="Times New Roman"/>
          <w:b/>
          <w:noProof/>
          <w:color w:val="000000" w:themeColor="text1"/>
          <w:sz w:val="24"/>
        </w:rPr>
        <w:t xml:space="preserve"> </w:t>
      </w:r>
    </w:p>
    <w:p w14:paraId="6E37C4D5" w14:textId="77777777" w:rsidR="0004542D" w:rsidRPr="00B9056B" w:rsidRDefault="0004542D" w:rsidP="00B11E0C">
      <w:pPr>
        <w:jc w:val="both"/>
        <w:textAlignment w:val="baseline"/>
        <w:rPr>
          <w:rFonts w:ascii="Times New Roman" w:eastAsia="Times New Roman" w:hAnsi="Times New Roman" w:cs="Times New Roman"/>
          <w:noProof/>
          <w:color w:val="000000" w:themeColor="text1"/>
          <w:sz w:val="24"/>
          <w:szCs w:val="24"/>
          <w:lang w:val="fr-BE" w:eastAsia="en-IE"/>
        </w:rPr>
      </w:pPr>
    </w:p>
    <w:p w14:paraId="4F10C5A6" w14:textId="62891F93" w:rsidR="00F435E9" w:rsidRDefault="00782A85" w:rsidP="00FE40B8">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Les risques climatiques et les politiques de l’UE sont interconnectés à bien des égards. </w:t>
      </w:r>
      <w:bookmarkStart w:id="45" w:name="_Hlk157872449"/>
      <w:r>
        <w:rPr>
          <w:rFonts w:ascii="Times New Roman" w:hAnsi="Times New Roman"/>
          <w:b/>
          <w:noProof/>
          <w:color w:val="000000" w:themeColor="text1"/>
          <w:sz w:val="24"/>
        </w:rPr>
        <w:t>La plupart des politiques de l’UE comprennent déjà des processus décisionnels qui pourraient tenir compte des risques climatiques. Les nombreux éléments présentés dans le rapport de l’EUCRA alimenteront ces processus</w:t>
      </w:r>
      <w:bookmarkEnd w:id="45"/>
      <w:r>
        <w:rPr>
          <w:b/>
          <w:noProof/>
        </w:rPr>
        <w:t>.</w:t>
      </w:r>
      <w:r>
        <w:rPr>
          <w:rFonts w:ascii="Times New Roman" w:hAnsi="Times New Roman"/>
          <w:b/>
          <w:noProof/>
          <w:color w:val="000000" w:themeColor="text1"/>
          <w:sz w:val="24"/>
        </w:rPr>
        <w:t xml:space="preserve"> </w:t>
      </w:r>
      <w:r>
        <w:rPr>
          <w:rFonts w:ascii="Times New Roman" w:hAnsi="Times New Roman"/>
          <w:noProof/>
          <w:color w:val="000000" w:themeColor="text1"/>
          <w:sz w:val="24"/>
        </w:rPr>
        <w:t>La présente partie définit les actions spécifiques que la Commission entend mener pour certains domaines d’impact, en plus des travaux en cours.</w:t>
      </w:r>
    </w:p>
    <w:p w14:paraId="2EE6E041" w14:textId="77777777" w:rsidR="00234B23" w:rsidRPr="00B9056B" w:rsidRDefault="00234B23" w:rsidP="00FE40B8">
      <w:pPr>
        <w:spacing w:after="120"/>
        <w:jc w:val="both"/>
        <w:textAlignment w:val="baseline"/>
        <w:rPr>
          <w:rFonts w:ascii="Times New Roman" w:eastAsia="Times New Roman" w:hAnsi="Times New Roman" w:cs="Times New Roman"/>
          <w:noProof/>
          <w:color w:val="000000" w:themeColor="text1"/>
          <w:sz w:val="24"/>
          <w:szCs w:val="24"/>
          <w:lang w:val="fr-BE" w:eastAsia="en-IE"/>
        </w:rPr>
      </w:pPr>
    </w:p>
    <w:p w14:paraId="5FBDAE14" w14:textId="57546045" w:rsidR="004E2378" w:rsidRPr="00420C4C" w:rsidRDefault="007965EF" w:rsidP="00B2476E">
      <w:pPr>
        <w:pStyle w:val="Heading3"/>
        <w:numPr>
          <w:ilvl w:val="1"/>
          <w:numId w:val="1"/>
        </w:numPr>
        <w:ind w:left="1565" w:hanging="431"/>
        <w:rPr>
          <w:rFonts w:ascii="Times New Roman" w:eastAsia="Times New Roman" w:hAnsi="Times New Roman" w:cs="Times New Roman"/>
          <w:b/>
          <w:bCs/>
          <w:noProof/>
          <w:color w:val="000000" w:themeColor="text1"/>
          <w:sz w:val="24"/>
          <w:szCs w:val="24"/>
        </w:rPr>
      </w:pPr>
      <w:bookmarkStart w:id="46" w:name="_Toc159792207"/>
      <w:r>
        <w:rPr>
          <w:rFonts w:ascii="Times New Roman" w:hAnsi="Times New Roman"/>
          <w:b/>
          <w:noProof/>
          <w:color w:val="000000" w:themeColor="text1"/>
          <w:sz w:val="24"/>
        </w:rPr>
        <w:t>Écosystèmes naturels</w:t>
      </w:r>
      <w:bookmarkEnd w:id="46"/>
    </w:p>
    <w:p w14:paraId="48EEF110" w14:textId="77777777" w:rsidR="00C4304F" w:rsidRPr="00915255" w:rsidRDefault="00C4304F" w:rsidP="00291D56">
      <w:pPr>
        <w:spacing w:line="240" w:lineRule="auto"/>
        <w:jc w:val="both"/>
        <w:rPr>
          <w:rFonts w:ascii="Times New Roman" w:hAnsi="Times New Roman" w:cs="Times New Roman"/>
          <w:noProof/>
          <w:color w:val="000000" w:themeColor="text1"/>
          <w:sz w:val="24"/>
          <w:szCs w:val="24"/>
          <w:lang w:val="en-IE" w:eastAsia="en-IE"/>
        </w:rPr>
      </w:pPr>
    </w:p>
    <w:p w14:paraId="0C89F8C2" w14:textId="41831237" w:rsidR="00291D56" w:rsidRPr="00915255" w:rsidRDefault="0031372F" w:rsidP="00A632E5">
      <w:pPr>
        <w:spacing w:after="120"/>
        <w:jc w:val="both"/>
        <w:rPr>
          <w:rFonts w:ascii="Times New Roman" w:hAnsi="Times New Roman" w:cs="Times New Roman"/>
          <w:noProof/>
          <w:color w:val="000000" w:themeColor="text1"/>
          <w:sz w:val="24"/>
          <w:szCs w:val="24"/>
        </w:rPr>
      </w:pPr>
      <w:bookmarkStart w:id="47" w:name="_Hlk158191442"/>
      <w:r>
        <w:rPr>
          <w:rFonts w:ascii="Times New Roman" w:hAnsi="Times New Roman"/>
          <w:noProof/>
          <w:sz w:val="24"/>
        </w:rPr>
        <w:t xml:space="preserve">En plus d’être les garants de la biodiversité, les </w:t>
      </w:r>
      <w:r>
        <w:rPr>
          <w:rFonts w:ascii="Times New Roman" w:hAnsi="Times New Roman"/>
          <w:noProof/>
          <w:color w:val="000000" w:themeColor="text1"/>
          <w:sz w:val="24"/>
        </w:rPr>
        <w:t>écosystèmes naturels fournissent des services vitaux tels que l’eau douce, la nourriture et les biomatériaux, la séquestration du carbone, la lutte contre l’érosion des sols et des côtes, la prévention des inondations et de la sécheresse et le refroidissement des zones urbaines densément peuplées</w:t>
      </w:r>
      <w:r>
        <w:rPr>
          <w:rFonts w:ascii="Times New Roman" w:hAnsi="Times New Roman"/>
          <w:noProof/>
          <w:sz w:val="24"/>
        </w:rPr>
        <w:t>.</w:t>
      </w:r>
      <w:r>
        <w:rPr>
          <w:rFonts w:ascii="Times New Roman" w:hAnsi="Times New Roman"/>
          <w:noProof/>
          <w:color w:val="000000" w:themeColor="text1"/>
          <w:sz w:val="24"/>
        </w:rPr>
        <w:t xml:space="preserve"> Selon les estimations, plus de la moitié du PIB mondial dépend modérément ou fortement de la nature et de la biodiversité. Un écosystème sain s’auto-équilibre, mais il peut aussi s’effondrer rapidement lorsque certains seuils critiques sont franchis. </w:t>
      </w:r>
      <w:r>
        <w:rPr>
          <w:rFonts w:ascii="Times New Roman" w:hAnsi="Times New Roman"/>
          <w:noProof/>
          <w:sz w:val="24"/>
        </w:rPr>
        <w:t>Les effets négatifs les plus immédiats concerneront la sécurité alimentaire, les communautés locales et les secteurs économiques qui dépendent le plus d’une nature en bonne santé.</w:t>
      </w:r>
      <w:r>
        <w:rPr>
          <w:rFonts w:ascii="Times New Roman" w:hAnsi="Times New Roman"/>
          <w:noProof/>
          <w:color w:val="000000" w:themeColor="text1"/>
          <w:sz w:val="24"/>
        </w:rPr>
        <w:t xml:space="preserve"> Pour maintenir et restaurer la résilience des écosystèmes et des services qu’ils fournissent, environ 30 à 50 % des parties émergées, des eaux douces et des océans de la Terre devront être préservés</w:t>
      </w:r>
      <w:r w:rsidR="00CA14DC" w:rsidRPr="00915255">
        <w:rPr>
          <w:rStyle w:val="FootnoteReference"/>
          <w:rFonts w:ascii="Times New Roman" w:hAnsi="Times New Roman" w:cs="Times New Roman"/>
          <w:noProof/>
          <w:color w:val="000000" w:themeColor="text1"/>
          <w:sz w:val="24"/>
          <w:szCs w:val="24"/>
          <w:lang w:val="en-IE" w:eastAsia="en-IE"/>
        </w:rPr>
        <w:footnoteReference w:id="37"/>
      </w:r>
      <w:r>
        <w:rPr>
          <w:rFonts w:ascii="Times New Roman" w:hAnsi="Times New Roman"/>
          <w:noProof/>
          <w:color w:val="000000" w:themeColor="text1"/>
          <w:sz w:val="24"/>
        </w:rPr>
        <w:t xml:space="preserve">.  </w:t>
      </w:r>
    </w:p>
    <w:bookmarkEnd w:id="47"/>
    <w:p w14:paraId="52571491" w14:textId="629103B5" w:rsidR="00295851" w:rsidRPr="001A3A0E" w:rsidRDefault="00463836" w:rsidP="00A632E5">
      <w:pPr>
        <w:spacing w:after="120"/>
        <w:jc w:val="both"/>
        <w:rPr>
          <w:rFonts w:ascii="Times New Roman" w:hAnsi="Times New Roman" w:cs="Times New Roman"/>
          <w:bCs/>
          <w:noProof/>
          <w:color w:val="000000" w:themeColor="text1"/>
          <w:sz w:val="24"/>
          <w:szCs w:val="24"/>
        </w:rPr>
      </w:pPr>
      <w:r>
        <w:rPr>
          <w:rFonts w:ascii="Times New Roman" w:hAnsi="Times New Roman"/>
          <w:noProof/>
          <w:sz w:val="24"/>
        </w:rPr>
        <w:t>Les solutions fondées sur la nature à l’épreuve du temps peuvent être économiquement efficaces et accroître la résilience, et devraient être retenues en priorité aux fins de l’adaptation au changement climatique, dans la mesure du possible.</w:t>
      </w:r>
      <w:r>
        <w:rPr>
          <w:rFonts w:ascii="Times New Roman" w:hAnsi="Times New Roman"/>
          <w:noProof/>
          <w:color w:val="000000" w:themeColor="text1"/>
          <w:sz w:val="24"/>
        </w:rPr>
        <w:t xml:space="preserve"> </w:t>
      </w:r>
      <w:r>
        <w:rPr>
          <w:rFonts w:ascii="Times New Roman" w:hAnsi="Times New Roman"/>
          <w:noProof/>
          <w:sz w:val="24"/>
        </w:rPr>
        <w:t xml:space="preserve">Pour parvenir à une gestion efficace des risques climatiques, les écosystèmes doivent être protégés et gérés dans leur globalité; par ailleurs, </w:t>
      </w:r>
      <w:r>
        <w:rPr>
          <w:rFonts w:ascii="Times New Roman" w:hAnsi="Times New Roman"/>
          <w:noProof/>
          <w:sz w:val="24"/>
          <w:u w:val="single"/>
        </w:rPr>
        <w:t>l’évaluation de la richesse et de l’activité économique devrait inclure le capital naturel dans son ensemble</w:t>
      </w:r>
      <w:r w:rsidR="00E01EF8" w:rsidRPr="000C2827">
        <w:rPr>
          <w:rStyle w:val="FootnoteReference"/>
          <w:rFonts w:ascii="Times New Roman" w:hAnsi="Times New Roman" w:cs="Times New Roman"/>
          <w:noProof/>
          <w:color w:val="000000" w:themeColor="text1"/>
          <w:sz w:val="24"/>
          <w:szCs w:val="24"/>
          <w:u w:val="single"/>
          <w:lang w:val="en-IE" w:eastAsia="en-IE"/>
        </w:rPr>
        <w:footnoteReference w:id="38"/>
      </w:r>
      <w:r>
        <w:rPr>
          <w:rFonts w:ascii="Times New Roman" w:hAnsi="Times New Roman"/>
          <w:noProof/>
          <w:sz w:val="24"/>
        </w:rPr>
        <w:t>, en utilisant les récentes avancées méthodologiques. La mise en œuvre des directives «Oiseaux» et «Habitats» et l’élaboration des plans nationaux de restauration au titre du futur règlement sur la restauration de la nature devraient permettre des synergies avec la résilience au changement climatique.</w:t>
      </w:r>
      <w:r>
        <w:rPr>
          <w:rFonts w:ascii="Times New Roman" w:hAnsi="Times New Roman"/>
          <w:noProof/>
          <w:color w:val="000000" w:themeColor="text1"/>
          <w:sz w:val="24"/>
        </w:rPr>
        <w:t xml:space="preserve"> Soucieuse de soutenir l’adaptation au changement climatique dans les zones protégées, la Commission actualisera les lignes directrices sur le changement climatique et Natura 2000.</w:t>
      </w:r>
    </w:p>
    <w:p w14:paraId="4AB37EB7" w14:textId="17E52691" w:rsidR="00352E3B" w:rsidRPr="00915255" w:rsidRDefault="00C14B2C" w:rsidP="00A632E5">
      <w:pP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Des efforts supplémentaires sont nécessaires pour </w:t>
      </w:r>
      <w:r>
        <w:rPr>
          <w:rFonts w:ascii="Times New Roman" w:hAnsi="Times New Roman"/>
          <w:noProof/>
          <w:color w:val="000000" w:themeColor="text1"/>
          <w:sz w:val="24"/>
          <w:u w:val="single"/>
        </w:rPr>
        <w:t>prévenir les grandes perturbations forestières et améliorer la préparation à cet égard</w:t>
      </w:r>
      <w:r>
        <w:rPr>
          <w:rFonts w:ascii="Times New Roman" w:hAnsi="Times New Roman"/>
          <w:noProof/>
          <w:color w:val="000000" w:themeColor="text1"/>
          <w:sz w:val="24"/>
        </w:rPr>
        <w:t xml:space="preserve">. La Commission se servira des actions menées dans le cadre du MPCU pour promouvoir la prévention des risques d’incendies de forêt, elle utilisera la proposition de règlement relatif à un cadre de surveillance des forêts européennes résilientes et la proposition de règlement relatif aux matériels forestiers de reproduction et elle tiendra compte des pressions qui s’exercent sur le climat au moment d’estimer la contribution potentielle des puits de carbone aux objectifs «zéro net» de l’UE. </w:t>
      </w:r>
    </w:p>
    <w:p w14:paraId="2BACEF58" w14:textId="5D31F238" w:rsidR="002A4652" w:rsidRPr="005120FA" w:rsidRDefault="002D71AA" w:rsidP="00A632E5">
      <w:pPr>
        <w:spacing w:after="120"/>
        <w:jc w:val="both"/>
        <w:rPr>
          <w:rFonts w:ascii="Times New Roman" w:hAnsi="Times New Roman" w:cs="Times New Roman"/>
          <w:noProof/>
          <w:sz w:val="24"/>
          <w:szCs w:val="24"/>
        </w:rPr>
      </w:pPr>
      <w:r>
        <w:rPr>
          <w:rFonts w:ascii="Times New Roman" w:hAnsi="Times New Roman"/>
          <w:noProof/>
          <w:sz w:val="24"/>
        </w:rPr>
        <w:t xml:space="preserve">Les États membres doivent </w:t>
      </w:r>
      <w:r>
        <w:rPr>
          <w:rFonts w:ascii="Times New Roman" w:hAnsi="Times New Roman"/>
          <w:noProof/>
          <w:sz w:val="24"/>
          <w:u w:val="single"/>
        </w:rPr>
        <w:t>améliorer la santé de leurs écosystèmes marins</w:t>
      </w:r>
      <w:r>
        <w:rPr>
          <w:rFonts w:ascii="Times New Roman" w:hAnsi="Times New Roman"/>
          <w:noProof/>
          <w:sz w:val="24"/>
        </w:rPr>
        <w:t>. La Commission exhorte les États membres à tirer le meilleur parti de la directive-cadre «stratégie pour le milieu marin», du règlement sur la restauration de la nature et du plan d’action pour le milieu marin</w:t>
      </w:r>
      <w:r w:rsidR="002A4652" w:rsidRPr="001A3A0E">
        <w:rPr>
          <w:rStyle w:val="FootnoteReference"/>
          <w:rFonts w:ascii="Times New Roman" w:hAnsi="Times New Roman" w:cs="Times New Roman"/>
          <w:noProof/>
          <w:sz w:val="24"/>
          <w:szCs w:val="24"/>
        </w:rPr>
        <w:footnoteReference w:id="39"/>
      </w:r>
      <w:r>
        <w:rPr>
          <w:rFonts w:ascii="Times New Roman" w:hAnsi="Times New Roman"/>
          <w:noProof/>
          <w:sz w:val="24"/>
        </w:rPr>
        <w:t xml:space="preserve"> pour renforcer la résilience et préserver la diversité de l’ensemble de leurs écosystèmes marins afin de maintenir capacité productive de ces derniers et ainsi leur permettre de continuer de fournir des denrées alimentaires, des matériaux et des services écosystémiques. Les actions menées dans le cadre de la mission «Océan et milieu aquatique» de l’UE</w:t>
      </w:r>
      <w:r w:rsidR="00507E1A">
        <w:rPr>
          <w:rStyle w:val="FootnoteReference"/>
          <w:rFonts w:ascii="Times New Roman" w:hAnsi="Times New Roman" w:cs="Times New Roman"/>
          <w:noProof/>
          <w:sz w:val="24"/>
          <w:szCs w:val="24"/>
        </w:rPr>
        <w:footnoteReference w:id="40"/>
      </w:r>
      <w:r>
        <w:rPr>
          <w:rFonts w:ascii="Times New Roman" w:hAnsi="Times New Roman"/>
          <w:noProof/>
          <w:sz w:val="24"/>
        </w:rPr>
        <w:t xml:space="preserve"> contribuent à un large éventail de solutions de ce type. Afin de garantir une pêche durable dans le contexte du changement climatique, il convient d’exploiter pleinement les synergies entre la politique commune de la pêche et la législation environnementale, comme il est proposé dans le pacte pour la pêche et les océans, afin de garantir la sécurité alimentaire et assurer la subsistance des pêcheurs et des communautés côtières.</w:t>
      </w:r>
    </w:p>
    <w:p w14:paraId="2466D47E" w14:textId="6026276F" w:rsidR="002A4652" w:rsidRPr="001A3A0E" w:rsidRDefault="00C512C3" w:rsidP="00A632E5">
      <w:pPr>
        <w:spacing w:after="120"/>
        <w:jc w:val="both"/>
        <w:rPr>
          <w:rFonts w:ascii="Times New Roman" w:hAnsi="Times New Roman" w:cs="Times New Roman"/>
          <w:noProof/>
          <w:sz w:val="24"/>
          <w:szCs w:val="24"/>
        </w:rPr>
      </w:pPr>
      <w:r>
        <w:rPr>
          <w:rFonts w:ascii="Times New Roman" w:hAnsi="Times New Roman"/>
          <w:noProof/>
          <w:sz w:val="24"/>
        </w:rPr>
        <w:t xml:space="preserve">Les éléments essentiels d’un </w:t>
      </w:r>
      <w:r>
        <w:rPr>
          <w:rFonts w:ascii="Times New Roman" w:hAnsi="Times New Roman"/>
          <w:noProof/>
          <w:sz w:val="24"/>
          <w:u w:val="single"/>
        </w:rPr>
        <w:t>paysage résilient face au changement climatique</w:t>
      </w:r>
      <w:r>
        <w:rPr>
          <w:rFonts w:ascii="Times New Roman" w:hAnsi="Times New Roman"/>
          <w:noProof/>
          <w:sz w:val="24"/>
        </w:rPr>
        <w:t xml:space="preserve"> doivent être traités simultanément afin de préserver la capacité des paysages de réduire le risque de sécheresse, d’inondation, de tempête, d’incendie de forêt ou d’érosion, et de fournir d’autres services écosystémiques. Les zones rurales occupent la plupart des terres européennes, et l’approche cloisonnée de la gestion des sols, de l’eau et des forêts au sein d’une même zone a atteint ses limites. Une approche globale et intégrée est nécessaire pour que les écosystèmes qui s'étendent sur de vastes zones puissent résister aux multiples menaces. Afin de veiller à ce qu'il soit fait le meilleur usage possible des documents de planification existants, en synergie avec les plans d’aménagement du territoire et de restauration de la nature des États membres, </w:t>
      </w:r>
      <w:r>
        <w:rPr>
          <w:rFonts w:ascii="Times New Roman" w:hAnsi="Times New Roman"/>
          <w:noProof/>
          <w:sz w:val="24"/>
          <w:u w:val="single"/>
        </w:rPr>
        <w:t>la Commission, en collaboration avec les États membres, formulera des orientations sur le développement de paysages résilients</w:t>
      </w:r>
      <w:r>
        <w:rPr>
          <w:rFonts w:ascii="Times New Roman" w:hAnsi="Times New Roman"/>
          <w:noProof/>
          <w:sz w:val="24"/>
        </w:rPr>
        <w:t xml:space="preserve"> permettant d’atténuer les effets du changement climatique. </w:t>
      </w:r>
    </w:p>
    <w:p w14:paraId="61E8835D" w14:textId="77777777" w:rsidR="0049438C" w:rsidRPr="00B9056B" w:rsidRDefault="0049438C" w:rsidP="00B11E0C">
      <w:pPr>
        <w:spacing w:after="120" w:line="240" w:lineRule="auto"/>
        <w:rPr>
          <w:rFonts w:ascii="Times New Roman" w:hAnsi="Times New Roman" w:cs="Times New Roman"/>
          <w:noProof/>
          <w:color w:val="000000" w:themeColor="text1"/>
          <w:sz w:val="24"/>
          <w:szCs w:val="24"/>
          <w:lang w:val="fr-BE" w:eastAsia="en-IE"/>
        </w:rPr>
      </w:pPr>
    </w:p>
    <w:p w14:paraId="587C50CD" w14:textId="39987522" w:rsidR="003664D6" w:rsidRPr="00420C4C" w:rsidRDefault="003F09F0" w:rsidP="00B2476E">
      <w:pPr>
        <w:pStyle w:val="Heading3"/>
        <w:numPr>
          <w:ilvl w:val="1"/>
          <w:numId w:val="1"/>
        </w:numPr>
        <w:ind w:left="1565" w:hanging="431"/>
        <w:rPr>
          <w:rFonts w:ascii="Times New Roman" w:eastAsia="Times New Roman" w:hAnsi="Times New Roman" w:cs="Times New Roman"/>
          <w:b/>
          <w:bCs/>
          <w:noProof/>
          <w:color w:val="000000" w:themeColor="text1"/>
          <w:sz w:val="24"/>
          <w:szCs w:val="24"/>
        </w:rPr>
      </w:pPr>
      <w:bookmarkStart w:id="49" w:name="_Toc159792208"/>
      <w:r>
        <w:rPr>
          <w:rFonts w:ascii="Times New Roman" w:hAnsi="Times New Roman"/>
          <w:b/>
          <w:noProof/>
          <w:color w:val="000000" w:themeColor="text1"/>
          <w:sz w:val="24"/>
        </w:rPr>
        <w:t>Eau</w:t>
      </w:r>
      <w:bookmarkEnd w:id="49"/>
    </w:p>
    <w:p w14:paraId="600A86CE" w14:textId="77777777" w:rsidR="00B2476E" w:rsidRDefault="00B2476E" w:rsidP="0016331B">
      <w:pPr>
        <w:jc w:val="both"/>
        <w:textAlignment w:val="baseline"/>
        <w:rPr>
          <w:rFonts w:ascii="Times New Roman" w:eastAsia="Times New Roman" w:hAnsi="Times New Roman" w:cs="Times New Roman"/>
          <w:noProof/>
          <w:color w:val="000000" w:themeColor="text1"/>
          <w:sz w:val="24"/>
          <w:szCs w:val="24"/>
          <w:lang w:val="en-IE" w:eastAsia="en-IE"/>
        </w:rPr>
      </w:pPr>
    </w:p>
    <w:p w14:paraId="03AA7CB2" w14:textId="399E0CFD" w:rsidR="0016331B" w:rsidRDefault="0016331B" w:rsidP="00A632E5">
      <w:pPr>
        <w:spacing w:after="120"/>
        <w:jc w:val="both"/>
        <w:textAlignment w:val="baseline"/>
        <w:rPr>
          <w:rFonts w:ascii="Times New Roman" w:hAnsi="Times New Roman" w:cs="Times New Roman"/>
          <w:noProof/>
          <w:color w:val="000000" w:themeColor="text1"/>
          <w:sz w:val="24"/>
          <w:szCs w:val="24"/>
        </w:rPr>
      </w:pPr>
      <w:r>
        <w:rPr>
          <w:rFonts w:ascii="Times New Roman" w:hAnsi="Times New Roman"/>
          <w:noProof/>
          <w:sz w:val="24"/>
        </w:rPr>
        <w:t>L’eau est une ressource vitale déjà mise à mal dans de nombreuses régions d’Europe du fait d’une mauvaise gestion structurelle, d’une utilisation non durable des sols, de changements hydromorphologiques et de la pollution.</w:t>
      </w:r>
      <w:r>
        <w:rPr>
          <w:rFonts w:ascii="Times New Roman" w:hAnsi="Times New Roman"/>
          <w:noProof/>
          <w:color w:val="000000" w:themeColor="text1"/>
          <w:sz w:val="24"/>
        </w:rPr>
        <w:t xml:space="preserve"> Le changement climatique exacerbe ces pressions et accroît les risques liés à l’eau, comme des sécheresses plus fréquentes ou prolongées ou des précipitations d’ampleur exceptionnelle. Ces phénomènes devraient empirer à l’avenir, de grandes régions d’Europe étant soumises à un stress hydrique et exposées à un risque croissant de sécheresses de grande ampleur (touchant de vastes étendues et durant plusieurs années), d’incendies de forêt et d’inondations et à l’élévation du niveau de la mer, avec pour effet un risque accru d’inondations côtières et de tempêtes, d’érosion côtière et de remontées salines.</w:t>
      </w:r>
    </w:p>
    <w:p w14:paraId="13FBC7C3" w14:textId="38129A7E" w:rsidR="0016331B" w:rsidRDefault="0016331B" w:rsidP="00A632E5">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L’EUCRA souligne que les risques liés à l’eau touchent l’ensemble des principaux secteurs dont il est question dans la présente communication et que les graves inondations, sécheresses et incendies de forêt deviennent une menace sanitaire et une cause récurrente de pertes sociales, environnementales et économiques. Ces risques peuvent se manifester sous diverses formes, dont des sécheresses susceptibles de toucher de vastes zones pendant des périodes prolongées qui ont des effets néfastes sur la production végétale, la sécurité alimentaire, l’approvisionnement en eau potable et la production d’énergie ou la praticabilité des voies navigables, et qui aggravent le risque d’incendies de forêt; des risques menaçant les infrastructures critiques, les activités économiques et la santé humaine qui sont liés aux inondations et, de manière générale, une concurrence accrue pour les ressources en eau entre les secteurs et les utilisations, y compris le risque potentiel de conflits au sein des États membres et entre eux en ce qui concerne les ressources en eau transfrontalières. Ainsi qu'il est démontré dans l’EUCRA, le coût d’une mise en œuvre insuffisante ou retardée de la gestion intégrée de l’eau sera exorbitant. Selon les estimations, le coût des sécheresses est estimé à 9 milliards d’EUR par an et le coût des inondations à plus de 170 milliards d’EUR depuis 1980. </w:t>
      </w:r>
    </w:p>
    <w:p w14:paraId="3D24198A" w14:textId="0A98BDBC" w:rsidR="0016331B" w:rsidRDefault="0016331B" w:rsidP="00A632E5">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sz w:val="24"/>
        </w:rPr>
        <w:t xml:space="preserve">La protection et la restauration du cycle de l’eau, la promotion d’une économie européenne attachée à la valeur de l’eau et la </w:t>
      </w:r>
      <w:r>
        <w:rPr>
          <w:rFonts w:ascii="Times New Roman" w:hAnsi="Times New Roman"/>
          <w:noProof/>
          <w:sz w:val="24"/>
          <w:u w:val="single"/>
        </w:rPr>
        <w:t>préservation d’un approvisionnement en eau douce de qualité, abordable et accessible à tous</w:t>
      </w:r>
      <w:r>
        <w:rPr>
          <w:rFonts w:ascii="Times New Roman" w:hAnsi="Times New Roman"/>
          <w:noProof/>
          <w:sz w:val="24"/>
        </w:rPr>
        <w:t xml:space="preserve"> sont essentielles pour garantir une Europe résiliente dans le domaine de l’eau.</w:t>
      </w:r>
      <w:r>
        <w:rPr>
          <w:rFonts w:ascii="Times New Roman" w:hAnsi="Times New Roman"/>
          <w:noProof/>
          <w:color w:val="000000" w:themeColor="text1"/>
          <w:sz w:val="24"/>
        </w:rPr>
        <w:t xml:space="preserve"> Pour y parvenir, il faut renforcer notre capacité collective à gérer et utiliser l’eau avec plus de souplesse compte tenu de l’évolution rapide et partiellement imprévisible des situations géopolitiques, économiques, sociétales et environnementales.</w:t>
      </w:r>
      <w:r>
        <w:rPr>
          <w:rFonts w:ascii="Times New Roman" w:hAnsi="Times New Roman"/>
          <w:noProof/>
          <w:color w:val="000000" w:themeColor="text1"/>
          <w:sz w:val="24"/>
          <w:u w:val="single"/>
        </w:rPr>
        <w:t xml:space="preserve"> </w:t>
      </w:r>
      <w:r>
        <w:rPr>
          <w:rFonts w:ascii="Times New Roman" w:hAnsi="Times New Roman"/>
          <w:noProof/>
          <w:color w:val="000000" w:themeColor="text1"/>
          <w:sz w:val="24"/>
        </w:rPr>
        <w:t xml:space="preserve">L’eau est une ressource qu’il faut gérer tout en adaptant la demande humaine à l’évolution de l’offre, désormais limitée. </w:t>
      </w:r>
    </w:p>
    <w:p w14:paraId="65198D33" w14:textId="23A0B11E" w:rsidR="00E60205" w:rsidRDefault="00760A8B" w:rsidP="00FE74B1">
      <w:pPr>
        <w:spacing w:after="12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Compte tenu du rôle fondamental que joue l’eau dans la préservation de la vie et dans l’activité économique, </w:t>
      </w:r>
      <w:r>
        <w:rPr>
          <w:rFonts w:ascii="Times New Roman" w:hAnsi="Times New Roman"/>
          <w:noProof/>
          <w:color w:val="000000" w:themeColor="text1"/>
          <w:sz w:val="24"/>
          <w:u w:val="single"/>
        </w:rPr>
        <w:t>la Commission fera le point de manière exhaustive sur les questions liées à l’eau</w:t>
      </w:r>
      <w:r>
        <w:rPr>
          <w:rFonts w:ascii="Times New Roman" w:hAnsi="Times New Roman"/>
          <w:noProof/>
          <w:color w:val="000000" w:themeColor="text1"/>
          <w:sz w:val="24"/>
        </w:rPr>
        <w:t>, en s’appuyant sur les conclusions des évaluations en cours des plans de gestion des risques liés aux bassins hydrographiques et aux inondations, ainsi que des programmes de mesures pour le milieu marin mis en place par les États membres, et sur cette base, elle déterminera dans quelle mesure une action s'impose.</w:t>
      </w:r>
    </w:p>
    <w:p w14:paraId="05410DDA" w14:textId="77777777" w:rsidR="00CB66D1" w:rsidRPr="00A632E5" w:rsidRDefault="00CB66D1" w:rsidP="00BE25FA">
      <w:pPr>
        <w:spacing w:after="200" w:line="276" w:lineRule="auto"/>
        <w:rPr>
          <w:rFonts w:ascii="Times New Roman" w:eastAsia="Times New Roman" w:hAnsi="Times New Roman" w:cs="Times New Roman"/>
          <w:noProof/>
          <w:color w:val="000000" w:themeColor="text1"/>
          <w:sz w:val="24"/>
          <w:szCs w:val="24"/>
          <w:lang w:eastAsia="en-IE"/>
        </w:rPr>
      </w:pPr>
    </w:p>
    <w:p w14:paraId="141F1ABA" w14:textId="0AEA4596" w:rsidR="00F94DC6" w:rsidRPr="00420C4C" w:rsidRDefault="00F94DC6" w:rsidP="00B2476E">
      <w:pPr>
        <w:pStyle w:val="Heading3"/>
        <w:numPr>
          <w:ilvl w:val="1"/>
          <w:numId w:val="1"/>
        </w:numPr>
        <w:ind w:left="1565" w:hanging="431"/>
        <w:rPr>
          <w:rFonts w:ascii="Times New Roman" w:eastAsia="Times New Roman" w:hAnsi="Times New Roman" w:cs="Times New Roman"/>
          <w:b/>
          <w:bCs/>
          <w:noProof/>
          <w:color w:val="000000" w:themeColor="text1"/>
          <w:sz w:val="24"/>
          <w:szCs w:val="24"/>
        </w:rPr>
      </w:pPr>
      <w:bookmarkStart w:id="50" w:name="_Toc159792209"/>
      <w:r>
        <w:rPr>
          <w:rFonts w:ascii="Times New Roman" w:hAnsi="Times New Roman"/>
          <w:b/>
          <w:noProof/>
          <w:color w:val="000000" w:themeColor="text1"/>
          <w:sz w:val="24"/>
        </w:rPr>
        <w:t>Santé</w:t>
      </w:r>
      <w:bookmarkEnd w:id="50"/>
    </w:p>
    <w:p w14:paraId="4257B5F7" w14:textId="77777777" w:rsidR="00ED251E" w:rsidRDefault="00ED251E" w:rsidP="00FE40B8">
      <w:pPr>
        <w:spacing w:line="240" w:lineRule="auto"/>
        <w:jc w:val="both"/>
        <w:rPr>
          <w:rFonts w:ascii="Times New Roman" w:hAnsi="Times New Roman" w:cs="Times New Roman"/>
          <w:noProof/>
          <w:color w:val="000000" w:themeColor="text1"/>
          <w:sz w:val="24"/>
          <w:szCs w:val="24"/>
          <w:lang w:val="en-IE" w:eastAsia="en-IE"/>
        </w:rPr>
      </w:pPr>
    </w:p>
    <w:p w14:paraId="4D21F872" w14:textId="364ADEDF" w:rsidR="00DA1886" w:rsidRDefault="00FB12BB" w:rsidP="00A632E5">
      <w:pP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Le changement climatique a des effets sur la santé humaine. </w:t>
      </w:r>
      <w:bookmarkStart w:id="51" w:name="_Hlk160816429"/>
      <w:r>
        <w:rPr>
          <w:rFonts w:ascii="Times New Roman" w:hAnsi="Times New Roman"/>
          <w:noProof/>
          <w:color w:val="000000" w:themeColor="text1"/>
          <w:sz w:val="24"/>
        </w:rPr>
        <w:t>Entre 60 000 et 70 000 décès prématurés ont été attribués à la seule vague de chaleur de 2022 en Europe</w:t>
      </w:r>
      <w:bookmarkEnd w:id="51"/>
      <w:r>
        <w:rPr>
          <w:noProof/>
        </w:rPr>
        <w:t>.</w:t>
      </w:r>
      <w:r>
        <w:rPr>
          <w:rFonts w:ascii="Times New Roman" w:hAnsi="Times New Roman"/>
          <w:noProof/>
          <w:color w:val="000000" w:themeColor="text1"/>
          <w:sz w:val="24"/>
        </w:rPr>
        <w:t xml:space="preserve"> Les projections font état d’une forte augmentation nette des taux de mortalité liée à la température dès le milieu du siècle</w:t>
      </w:r>
      <w:r w:rsidR="00C879A9" w:rsidRPr="00100668">
        <w:rPr>
          <w:rStyle w:val="FootnoteReference"/>
          <w:rFonts w:ascii="Times New Roman" w:hAnsi="Times New Roman" w:cs="Times New Roman"/>
          <w:noProof/>
          <w:color w:val="000000" w:themeColor="text1"/>
          <w:sz w:val="24"/>
          <w:szCs w:val="24"/>
          <w:lang w:val="en-IE" w:eastAsia="en-IE"/>
        </w:rPr>
        <w:footnoteReference w:id="41"/>
      </w:r>
      <w:r>
        <w:rPr>
          <w:rFonts w:ascii="Times New Roman" w:hAnsi="Times New Roman"/>
          <w:noProof/>
          <w:color w:val="000000" w:themeColor="text1"/>
          <w:sz w:val="24"/>
        </w:rPr>
        <w:t>. Lorsqu’il se manifeste par un réchauffement continu et des phénomènes météorologiques extrêmes, le changement climatique peut contribuer à l’émergence ou à l’aggravation de maladies non transmissibles qui sont responsables d’environ deux tiers de l’ensemble des décès en Europe. L’initiative de l’UE sur les maladies non transmissibles «Vivre ensemble en bonne santé»</w:t>
      </w:r>
      <w:r w:rsidR="0016213D">
        <w:rPr>
          <w:rStyle w:val="FootnoteReference"/>
          <w:rFonts w:ascii="Times New Roman" w:hAnsi="Times New Roman" w:cs="Times New Roman"/>
          <w:noProof/>
          <w:color w:val="000000" w:themeColor="text1"/>
          <w:sz w:val="24"/>
          <w:szCs w:val="24"/>
          <w:lang w:val="en-IE" w:eastAsia="en-IE"/>
        </w:rPr>
        <w:footnoteReference w:id="42"/>
      </w:r>
      <w:r>
        <w:rPr>
          <w:rFonts w:ascii="Times New Roman" w:hAnsi="Times New Roman"/>
          <w:noProof/>
          <w:color w:val="000000" w:themeColor="text1"/>
          <w:sz w:val="24"/>
        </w:rPr>
        <w:t xml:space="preserve"> aide les États membres à prendre des mesures appropriées en matière de prévention. </w:t>
      </w:r>
    </w:p>
    <w:p w14:paraId="785A1026" w14:textId="7A80C290" w:rsidR="00DE54C7" w:rsidRDefault="00660C68" w:rsidP="00A632E5">
      <w:pP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En l’absence de mesures d’adaptation efficaces, la productivité de la main-d'œuvre sera appelée à diminuer, et des heures de travail pourraient être perdues. La vulnérabilité individuelle et régionale et la mesure la plus appropriée dépendent de facteurs tels que les niveaux de préparation, le degré d’urbanisation, la structure d’âge ou la concomitance avec la pollution atmosphérique. Comme la Commission le reconnaît dans sa communication sur une approche globale en matière de santé mentale</w:t>
      </w:r>
      <w:r w:rsidR="00CE4000">
        <w:rPr>
          <w:rStyle w:val="FootnoteReference"/>
          <w:rFonts w:ascii="Times New Roman" w:hAnsi="Times New Roman" w:cs="Times New Roman"/>
          <w:noProof/>
          <w:color w:val="000000" w:themeColor="text1"/>
          <w:sz w:val="24"/>
          <w:szCs w:val="24"/>
          <w:lang w:val="en-IE" w:eastAsia="en-IE"/>
        </w:rPr>
        <w:footnoteReference w:id="43"/>
      </w:r>
      <w:r>
        <w:rPr>
          <w:rFonts w:ascii="Times New Roman" w:hAnsi="Times New Roman"/>
          <w:noProof/>
          <w:color w:val="000000" w:themeColor="text1"/>
          <w:sz w:val="24"/>
        </w:rPr>
        <w:t xml:space="preserve">, la crise climatique a de graves répercussions sur la santé mentale. </w:t>
      </w:r>
    </w:p>
    <w:p w14:paraId="27BDB047" w14:textId="1698A0B5" w:rsidR="00660C68" w:rsidRDefault="007F71D3" w:rsidP="00A632E5">
      <w:pP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L’incidence de maladies infectieuses sensibles au climat devrait augmenter, avec des maladies telles que le virus du Nil occidental, la dengue et le chikungunya qui deviennent endémiques dans certaines régions d’Europe et des agents pathogènes d’origine alimentaire et hydrique qui se propagent plus facilement. Or, dans la plupart des cas, les contre-mesures médicales permettant de lutter efficacement contre ces maladies sont rares ou encore inexistantes. Certains phénomènes météorologiques extrêmes peuvent également entraîner la prolifération de bactéries résistantes et davantage de transferts de gènes, provoquant ainsi une augmentation des cas d’infections par des bactéries et des champignons résistants. </w:t>
      </w:r>
    </w:p>
    <w:p w14:paraId="3C940946" w14:textId="38B506F3" w:rsidR="00F77E66" w:rsidRPr="00915255" w:rsidRDefault="008579C7" w:rsidP="00A632E5">
      <w:pPr>
        <w:spacing w:after="120"/>
        <w:jc w:val="both"/>
        <w:rPr>
          <w:rFonts w:ascii="Times New Roman" w:hAnsi="Times New Roman" w:cs="Times New Roman"/>
          <w:bCs/>
          <w:noProof/>
          <w:color w:val="000000" w:themeColor="text1"/>
          <w:sz w:val="24"/>
          <w:szCs w:val="24"/>
        </w:rPr>
      </w:pPr>
      <w:r>
        <w:rPr>
          <w:rFonts w:ascii="Times New Roman" w:hAnsi="Times New Roman"/>
          <w:noProof/>
          <w:color w:val="000000" w:themeColor="text1"/>
          <w:sz w:val="24"/>
        </w:rPr>
        <w:t>Ces risques, parmi d’autres, exerceront une pression supplémentaire sur les systèmes de soins de santé, les travailleurs des services de santé et les budgets de santé, qui se heurtent déjà à des difficultés. Les principales solutions résident dans des mesures susceptibles de réduire les vulnérabilités et de limiter l’exposition humaine. Les travailleurs du secteur de la santé et les bâtiments directement exposés aux risques climatiques devraient faire l’objet d’un traitement approprié. Afin d'intensifier son action et de mettre en pratique les objectifs et engagements énoncés dans les déclarations de Budapest et de la COP 28</w:t>
      </w:r>
      <w:r w:rsidR="002E16D5" w:rsidRPr="00915255">
        <w:rPr>
          <w:rStyle w:val="FootnoteReference"/>
          <w:rFonts w:ascii="Times New Roman" w:hAnsi="Times New Roman" w:cs="Times New Roman"/>
          <w:bCs/>
          <w:noProof/>
          <w:color w:val="000000" w:themeColor="text1"/>
          <w:sz w:val="24"/>
          <w:szCs w:val="24"/>
          <w:lang w:eastAsia="en-IE"/>
        </w:rPr>
        <w:footnoteReference w:id="44"/>
      </w:r>
      <w:r>
        <w:rPr>
          <w:rFonts w:ascii="Times New Roman" w:hAnsi="Times New Roman"/>
          <w:noProof/>
          <w:color w:val="000000" w:themeColor="text1"/>
          <w:sz w:val="24"/>
        </w:rPr>
        <w:t xml:space="preserve"> sur le climat et la santé, </w:t>
      </w:r>
      <w:r>
        <w:rPr>
          <w:rFonts w:ascii="Times New Roman" w:hAnsi="Times New Roman"/>
          <w:noProof/>
          <w:color w:val="000000" w:themeColor="text1"/>
          <w:sz w:val="24"/>
          <w:u w:val="single"/>
        </w:rPr>
        <w:t>la Commission entend</w:t>
      </w:r>
      <w:r>
        <w:rPr>
          <w:rFonts w:ascii="Times New Roman" w:hAnsi="Times New Roman"/>
          <w:noProof/>
          <w:color w:val="000000" w:themeColor="text1"/>
          <w:sz w:val="24"/>
        </w:rPr>
        <w:t>:</w:t>
      </w:r>
    </w:p>
    <w:p w14:paraId="30CEA357" w14:textId="0803FAA5" w:rsidR="004E167D" w:rsidRPr="009248B3" w:rsidRDefault="280FBBC2" w:rsidP="00A632E5">
      <w:pP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u w:val="single"/>
        </w:rPr>
        <w:t>Renforcer les mesures visant à garantir une protection adéquate des travailleurs exposés à des risques climatiques</w:t>
      </w:r>
      <w:r>
        <w:rPr>
          <w:rFonts w:ascii="Times New Roman" w:hAnsi="Times New Roman"/>
          <w:noProof/>
          <w:color w:val="000000" w:themeColor="text1"/>
          <w:sz w:val="24"/>
        </w:rPr>
        <w:t xml:space="preserve">. </w:t>
      </w:r>
      <w:r>
        <w:rPr>
          <w:rFonts w:ascii="Times New Roman" w:hAnsi="Times New Roman"/>
          <w:noProof/>
          <w:sz w:val="24"/>
        </w:rPr>
        <w:t>Dans le cadre de la révision de la législation relative à la santé et à la sécurité au travail, qui protège les travailleurs contre tous les risques professionnels, y compris les risques liés à l’augmentation des températures ambiantes et au stress thermique, la Commission examinera la nécessité d’agir davantage pour protéger les travailleurs contre les risques climatiques, en s’appuyant également sur les orientations et les outils existants</w:t>
      </w:r>
      <w:r w:rsidR="006E78CB" w:rsidRPr="00915255">
        <w:rPr>
          <w:rStyle w:val="FootnoteReference"/>
          <w:rFonts w:ascii="Times New Roman" w:hAnsi="Times New Roman" w:cs="Times New Roman"/>
          <w:noProof/>
          <w:color w:val="000000" w:themeColor="text1"/>
          <w:sz w:val="24"/>
          <w:szCs w:val="24"/>
          <w:lang w:val="en-IE" w:eastAsia="en-IE"/>
        </w:rPr>
        <w:footnoteReference w:id="45"/>
      </w:r>
      <w:r>
        <w:rPr>
          <w:rFonts w:ascii="Times New Roman" w:hAnsi="Times New Roman"/>
          <w:noProof/>
          <w:sz w:val="24"/>
        </w:rPr>
        <w:t>.</w:t>
      </w:r>
      <w:r>
        <w:rPr>
          <w:rFonts w:ascii="Times New Roman" w:hAnsi="Times New Roman"/>
          <w:noProof/>
          <w:color w:val="000000" w:themeColor="text1"/>
          <w:sz w:val="24"/>
        </w:rPr>
        <w:t xml:space="preserve"> La Commission a mis en place un nouveau dialogue avec les parties prenantes</w:t>
      </w:r>
      <w:r w:rsidR="005848F9">
        <w:rPr>
          <w:rStyle w:val="FootnoteReference"/>
          <w:rFonts w:ascii="Times New Roman" w:hAnsi="Times New Roman" w:cs="Times New Roman"/>
          <w:noProof/>
          <w:color w:val="000000" w:themeColor="text1"/>
          <w:sz w:val="24"/>
          <w:szCs w:val="24"/>
          <w:lang w:val="en-IE" w:eastAsia="en-IE"/>
        </w:rPr>
        <w:footnoteReference w:id="46"/>
      </w:r>
      <w:r>
        <w:rPr>
          <w:rFonts w:ascii="Times New Roman" w:hAnsi="Times New Roman"/>
          <w:noProof/>
          <w:color w:val="000000" w:themeColor="text1"/>
          <w:sz w:val="24"/>
        </w:rPr>
        <w:t>.L’Agence européenne pour la sécurité et la santé au travail (EU-OSHA) renforce la prospective sur le lien entre changement climatique et santé et sécurité au travail</w:t>
      </w:r>
      <w:r w:rsidR="007A6FC7" w:rsidRPr="007A6FC7">
        <w:rPr>
          <w:rFonts w:ascii="Times New Roman" w:hAnsi="Times New Roman" w:cs="Times New Roman"/>
          <w:noProof/>
          <w:color w:val="000000" w:themeColor="text1"/>
          <w:sz w:val="24"/>
          <w:szCs w:val="24"/>
          <w:vertAlign w:val="superscript"/>
          <w:lang w:eastAsia="en-IE"/>
        </w:rPr>
        <w:footnoteReference w:id="47"/>
      </w:r>
      <w:r>
        <w:rPr>
          <w:rFonts w:ascii="Times New Roman" w:hAnsi="Times New Roman"/>
          <w:noProof/>
          <w:color w:val="000000" w:themeColor="text1"/>
          <w:sz w:val="24"/>
        </w:rPr>
        <w:t>; elle lancera en 2025 un projet visant à accroître la résilience au changement climatique sur les lieux de travail.</w:t>
      </w:r>
    </w:p>
    <w:p w14:paraId="4496ABC6" w14:textId="667CF84F" w:rsidR="0060302A" w:rsidRPr="00915255" w:rsidRDefault="00DC3522" w:rsidP="00A632E5">
      <w:pP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u w:val="single"/>
        </w:rPr>
        <w:t>Développer l’Observatoire européen du climat et de la santé,</w:t>
      </w:r>
      <w:r>
        <w:rPr>
          <w:rFonts w:ascii="Times New Roman" w:hAnsi="Times New Roman"/>
          <w:noProof/>
          <w:color w:val="000000" w:themeColor="text1"/>
          <w:sz w:val="24"/>
        </w:rPr>
        <w:t xml:space="preserve"> qui contribue à préparer les systèmes de santé locaux et nationaux au changement climatique, à accroître les capacités, à renforcer les mécanismes de surveillance et d’alerte précoce, à former et à entraîner le personnel de santé et à promouvoir des solutions d’adaptation fondées sur des données et des interventions en matière de soins de santé.</w:t>
      </w:r>
    </w:p>
    <w:p w14:paraId="51FEC4ED" w14:textId="1A5BB866" w:rsidR="00EF5B4A" w:rsidRDefault="00EF5B4A" w:rsidP="00A632E5">
      <w:pPr>
        <w:spacing w:after="120"/>
        <w:jc w:val="both"/>
        <w:rPr>
          <w:rFonts w:ascii="Times New Roman" w:hAnsi="Times New Roman" w:cs="Times New Roman"/>
          <w:noProof/>
          <w:color w:val="000000"/>
          <w:sz w:val="24"/>
          <w:szCs w:val="24"/>
        </w:rPr>
      </w:pPr>
      <w:r>
        <w:rPr>
          <w:rFonts w:ascii="Times New Roman" w:hAnsi="Times New Roman"/>
          <w:noProof/>
          <w:color w:val="000000"/>
          <w:sz w:val="24"/>
          <w:u w:val="single"/>
        </w:rPr>
        <w:t>Renforcer les mécanismes de surveillance et de réaction aux menaces sanitaires liées au climat</w:t>
      </w:r>
      <w:r>
        <w:rPr>
          <w:rFonts w:ascii="Times New Roman" w:hAnsi="Times New Roman"/>
          <w:noProof/>
          <w:color w:val="000000"/>
          <w:sz w:val="24"/>
        </w:rPr>
        <w:t xml:space="preserve"> par la mise en œuvre du règlement relatif aux menaces transfrontières graves pour la santé, en établissant des liens étroits entre le système d’alerte précoce et de réaction et d’autres systèmes d’alerte (tels que les alertes climatiques et météorologiques) afin de faciliter la gestion conjointe des risques pour la santé. La nouvelle task-force de l’UE dans le domaine de la santé apportera un soutien aux mesures de réaction de l’UE face aux menaces graves pour la santé, et notamment les événements liés au climat.</w:t>
      </w:r>
    </w:p>
    <w:p w14:paraId="0D5AA4A9" w14:textId="13D85CD7" w:rsidR="00FA23AA" w:rsidRPr="001A3A0E" w:rsidRDefault="00F23550" w:rsidP="00A632E5">
      <w:pP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u w:val="single"/>
        </w:rPr>
        <w:t>Renforcer la mobilisation transfrontière du personnel médical et le transfert de patients, par exemple en mettant au point</w:t>
      </w:r>
      <w:r>
        <w:rPr>
          <w:rFonts w:ascii="Times New Roman" w:hAnsi="Times New Roman"/>
          <w:noProof/>
          <w:color w:val="000000" w:themeColor="text1"/>
          <w:sz w:val="24"/>
        </w:rPr>
        <w:t xml:space="preserve"> un cadre d'action visant à soutenir les États membres en cas de surcharge de leurs services de santé. </w:t>
      </w:r>
    </w:p>
    <w:p w14:paraId="5CD4C242" w14:textId="5F333800" w:rsidR="00A632E5" w:rsidRPr="00B2476E" w:rsidRDefault="00934538" w:rsidP="00A632E5">
      <w:pP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u w:val="single"/>
        </w:rPr>
        <w:t>Garantir l’accès à des contre-mesures médicales critiques et leur mise au point</w:t>
      </w:r>
      <w:r>
        <w:rPr>
          <w:rFonts w:ascii="Times New Roman" w:hAnsi="Times New Roman"/>
          <w:noProof/>
          <w:color w:val="000000" w:themeColor="text1"/>
          <w:sz w:val="24"/>
        </w:rPr>
        <w:t>. La hausse des températures et l’augmentation de la fréquence des phénomènes météorologiques extrêmes peuvent perturber la fabrication ou limiter l’accès aux matières premières. En outre, les modifications des schémas pathologiques induites par le changement climatique peuvent entraîner des hausses inattendues de la demande de certains médicaments ou créer une demande de produits entièrement nouveaux, mettant ainsi à rude épreuve les chaînes d’approvisionnement existantes ou exigeant des investissements dans de nouvelles chaînes d’approvisionnement. Afin de réduire les vulnérabilités, la Commission évaluera les risques pertinents et constituera des stocks stratégiques des principales contre-mesures. Dans le cadre d’Horizon Europe et du programme «L’UE pour la santé» (EU4Health), la Commission soutient la mise au point de nouveaux vaccins et traitements contre des maladies infectieuses tropicales émergentes qui sont négligées. Des progrès récents ont ainsi été réalisés en ce qui concerne un vaccin contre le virus du chikungunya.</w:t>
      </w:r>
    </w:p>
    <w:p w14:paraId="686FCC0B" w14:textId="77777777" w:rsidR="00FE74B1" w:rsidRPr="00B2476E" w:rsidRDefault="00FE74B1" w:rsidP="00A632E5">
      <w:pPr>
        <w:spacing w:after="120"/>
        <w:jc w:val="both"/>
        <w:rPr>
          <w:rFonts w:ascii="Times New Roman" w:hAnsi="Times New Roman" w:cs="Times New Roman"/>
          <w:noProof/>
          <w:color w:val="000000" w:themeColor="text1"/>
          <w:sz w:val="24"/>
          <w:szCs w:val="24"/>
          <w:lang w:eastAsia="en-IE"/>
        </w:rPr>
      </w:pPr>
    </w:p>
    <w:p w14:paraId="73172863" w14:textId="761F2B3B" w:rsidR="00F94DC6" w:rsidRPr="00420C4C" w:rsidRDefault="00F94DC6" w:rsidP="00B2476E">
      <w:pPr>
        <w:pStyle w:val="Heading3"/>
        <w:numPr>
          <w:ilvl w:val="1"/>
          <w:numId w:val="1"/>
        </w:numPr>
        <w:ind w:left="1565" w:hanging="431"/>
        <w:rPr>
          <w:rFonts w:ascii="Times New Roman" w:eastAsia="Times New Roman" w:hAnsi="Times New Roman" w:cs="Times New Roman"/>
          <w:b/>
          <w:bCs/>
          <w:noProof/>
          <w:color w:val="000000" w:themeColor="text1"/>
          <w:sz w:val="24"/>
          <w:szCs w:val="24"/>
        </w:rPr>
      </w:pPr>
      <w:bookmarkStart w:id="53" w:name="_Toc159792210"/>
      <w:r>
        <w:rPr>
          <w:rFonts w:ascii="Times New Roman" w:hAnsi="Times New Roman"/>
          <w:b/>
          <w:noProof/>
          <w:color w:val="000000" w:themeColor="text1"/>
          <w:sz w:val="24"/>
        </w:rPr>
        <w:t>Alimentation</w:t>
      </w:r>
      <w:bookmarkEnd w:id="53"/>
    </w:p>
    <w:p w14:paraId="4324F463" w14:textId="77777777" w:rsidR="00ED251E" w:rsidRDefault="00ED251E" w:rsidP="00A63CA1">
      <w:pPr>
        <w:spacing w:line="240" w:lineRule="auto"/>
        <w:jc w:val="both"/>
        <w:rPr>
          <w:rFonts w:ascii="Times New Roman" w:hAnsi="Times New Roman" w:cs="Times New Roman"/>
          <w:bCs/>
          <w:noProof/>
          <w:sz w:val="24"/>
          <w:szCs w:val="24"/>
          <w:lang w:val="en-IE" w:eastAsia="en-IE"/>
        </w:rPr>
      </w:pPr>
    </w:p>
    <w:p w14:paraId="3138714A" w14:textId="630A19A3" w:rsidR="00625A71" w:rsidRDefault="00D02150" w:rsidP="00A632E5">
      <w:pPr>
        <w:spacing w:after="120"/>
        <w:jc w:val="both"/>
        <w:rPr>
          <w:rFonts w:ascii="Times New Roman" w:hAnsi="Times New Roman" w:cs="Times New Roman"/>
          <w:bCs/>
          <w:noProof/>
          <w:sz w:val="24"/>
          <w:szCs w:val="24"/>
        </w:rPr>
      </w:pPr>
      <w:r>
        <w:rPr>
          <w:rFonts w:ascii="Times New Roman" w:hAnsi="Times New Roman"/>
          <w:noProof/>
          <w:sz w:val="24"/>
        </w:rPr>
        <w:t xml:space="preserve">L’approvisionnement alimentaire de l’UE est de plus en plus exposé aux risques climatiques, de la production agricole, notamment dans le sud de l’Europe, à la pêche et à l’aquaculture, en passant par la transformation des denrées alimentaires et les chaînes d’approvisionnement internationales. Le changement climatique a une incidence sur les quatre piliers de la sécurité alimentaire à court, moyen et long terme, à savoir la disponibilité, l’accès, l’utilisation et la stabilité. Il interagit, de multiples façons et en cascade, avec de nombreux autres facteurs de la sécurité alimentaire comme le stress hydrique, l’excès de nutriments, la santé des sols, l'alimentation et la santé. La production alimentaire est particulièrement menacée par les inondations, les vagues de chaleur, les sécheresses, les pressions croissantes qu’exercent les parasites et les maladies, ainsi que par la perte de biodiversité, la dégradation des sols et les changements dans la migration des poissons. </w:t>
      </w:r>
    </w:p>
    <w:p w14:paraId="43C5B7A5" w14:textId="6E6E5F4C" w:rsidR="00B0505E" w:rsidRPr="00915255" w:rsidRDefault="00F81F91" w:rsidP="00A632E5">
      <w:pPr>
        <w:spacing w:after="120"/>
        <w:jc w:val="both"/>
        <w:rPr>
          <w:rFonts w:ascii="Times New Roman" w:hAnsi="Times New Roman" w:cs="Times New Roman"/>
          <w:bCs/>
          <w:noProof/>
          <w:color w:val="000000" w:themeColor="text1"/>
          <w:sz w:val="24"/>
          <w:szCs w:val="24"/>
        </w:rPr>
      </w:pPr>
      <w:r>
        <w:rPr>
          <w:rFonts w:ascii="Times New Roman" w:hAnsi="Times New Roman"/>
          <w:noProof/>
          <w:color w:val="000000" w:themeColor="text1"/>
          <w:sz w:val="24"/>
        </w:rPr>
        <w:t xml:space="preserve">Pour les agriculteurs, la chaleur va rendre plus compliqué le travail à l’extérieur. Les changements intervenus dans les zones agroclimatiques exerceront une pression sur la sélection des cultures et augmenteront le taux de mauvaises récoltes, tandis que les prix des intrants et la variabilité des marchés mondiaux compliquent la situation financière. Pour les pêcheurs, les pressions supplémentaires exercées par le changement climatique, l’eutrophisation et l’acidification des océans peuvent faire baisser la productivité des stocks halieutiques et par conséquent les captures, et s’ajouter à la surexploitation de certains stocks. </w:t>
      </w:r>
      <w:bookmarkStart w:id="54" w:name="_Hlk160442132"/>
      <w:r>
        <w:rPr>
          <w:rFonts w:ascii="Times New Roman" w:hAnsi="Times New Roman"/>
          <w:noProof/>
          <w:color w:val="000000" w:themeColor="text1"/>
          <w:sz w:val="24"/>
        </w:rPr>
        <w:t>Les moyens de subsistance et la durabilité de la production alimentaire de l’UE étant menacés, le fait de prévoir des solutions d’adaptation au niveau des exploitations agricoles ou des opérations de pêche ne sera pas suffisant et devra s'accompagner de mesures de soutien adéquates</w:t>
      </w:r>
      <w:bookmarkEnd w:id="54"/>
      <w:r>
        <w:rPr>
          <w:noProof/>
        </w:rPr>
        <w:t xml:space="preserve"> </w:t>
      </w:r>
      <w:r>
        <w:rPr>
          <w:rFonts w:ascii="Times New Roman" w:hAnsi="Times New Roman"/>
          <w:noProof/>
          <w:color w:val="000000" w:themeColor="text1"/>
          <w:sz w:val="24"/>
        </w:rPr>
        <w:t xml:space="preserve">pour la transition vers une agriculture et une pêche résilientes. </w:t>
      </w:r>
      <w:r>
        <w:rPr>
          <w:rFonts w:ascii="Times New Roman" w:hAnsi="Times New Roman"/>
          <w:noProof/>
          <w:sz w:val="24"/>
        </w:rPr>
        <w:t xml:space="preserve">Ces mesures de soutien devraient aussi permettre aux consommateurs de continuer d'avoir accès, à un coût raisonnable, à des denrées alimentaires saines et durables tout en garantissant des revenus durables aux agriculteurs. </w:t>
      </w:r>
    </w:p>
    <w:p w14:paraId="55B47773" w14:textId="5024BAD2" w:rsidR="003641C6" w:rsidRPr="00915255" w:rsidRDefault="006C1C31" w:rsidP="00A632E5">
      <w:pPr>
        <w:spacing w:after="120"/>
        <w:jc w:val="both"/>
        <w:rPr>
          <w:rFonts w:ascii="Times New Roman" w:hAnsi="Times New Roman" w:cs="Times New Roman"/>
          <w:bCs/>
          <w:noProof/>
          <w:color w:val="000000" w:themeColor="text1"/>
          <w:sz w:val="24"/>
          <w:szCs w:val="24"/>
        </w:rPr>
      </w:pPr>
      <w:r>
        <w:rPr>
          <w:rFonts w:ascii="Times New Roman" w:hAnsi="Times New Roman"/>
          <w:noProof/>
          <w:sz w:val="24"/>
        </w:rPr>
        <w:t>Si les importations de denrées alimentaires dans l’UE ne constituent pas encore un risque majeur, des mauvaises récoltes simultanées dans plusieurs des principaux «greniers à blé» de la planète ou des pertes dans les principales pêcheries du monde peuvent, le cas échéant, conduire à une hausse des prix des denrées alimentaires dans l’UE (les producteurs de l’UE vendant aux prix mondiaux), qui se répercuterait sur le pouvoir d’achat des consommateurs et compromettrait la sécurité alimentaire et l'accès à une alimentation saine et abordable pour les ménages les plus pauvres de l’UE.</w:t>
      </w:r>
      <w:r>
        <w:rPr>
          <w:rFonts w:ascii="Times New Roman" w:hAnsi="Times New Roman"/>
          <w:noProof/>
          <w:color w:val="000000" w:themeColor="text1"/>
          <w:sz w:val="24"/>
        </w:rPr>
        <w:t xml:space="preserve"> En outre, si ce problème n’est certes pas encore systémique, la sécurité alimentaire est déjà davantage exposée à des agents pathogènes favorisés, entre autres, par l’augmentation des températures. </w:t>
      </w:r>
    </w:p>
    <w:p w14:paraId="23EF1797" w14:textId="7FD8A25D" w:rsidR="00567CC4" w:rsidRDefault="00567CC4" w:rsidP="00A632E5">
      <w:pPr>
        <w:spacing w:after="120"/>
        <w:jc w:val="both"/>
        <w:rPr>
          <w:rFonts w:ascii="Times New Roman" w:hAnsi="Times New Roman" w:cs="Times New Roman"/>
          <w:bCs/>
          <w:noProof/>
          <w:sz w:val="24"/>
          <w:szCs w:val="24"/>
        </w:rPr>
      </w:pPr>
      <w:r>
        <w:rPr>
          <w:rFonts w:ascii="Times New Roman" w:hAnsi="Times New Roman"/>
          <w:noProof/>
          <w:sz w:val="24"/>
        </w:rPr>
        <w:t>Les progrès techniques, l’amélioration de la gestion agricole et l’adaptation continue des pratiques agricoles ont contribué à l’adaptation au changement climatique à court terme. La stratégie d’adaptation de l’UE et la politique agricole commune ont favorisé la prise de mesures d’adaptation, mais peu d’éléments attestent une préparation d’ordre structurel aux catastrophes liées au climat. Par ailleurs, une meilleure utilisation de la diversité génétique et des ressources phytogénétiques non nuisibles à des fins d’adaptation et de résilience au changement climatique est susceptible d’aider les agriculteurs et les gestionnaires de terres à faire face aux risques climatiques. La proposition de règlement concernant les végétaux obtenus au moyen de certaines nouvelles techniques génomiques et les denrées alimentaires et aliments pour animaux qui en sont dérivés</w:t>
      </w:r>
      <w:r w:rsidR="00C04ACD">
        <w:rPr>
          <w:rStyle w:val="FootnoteReference"/>
          <w:rFonts w:ascii="Times New Roman" w:hAnsi="Times New Roman" w:cs="Times New Roman"/>
          <w:bCs/>
          <w:noProof/>
          <w:sz w:val="24"/>
          <w:szCs w:val="24"/>
          <w:lang w:val="en-IE" w:eastAsia="en-IE"/>
        </w:rPr>
        <w:footnoteReference w:id="48"/>
      </w:r>
      <w:r>
        <w:rPr>
          <w:rFonts w:ascii="Times New Roman" w:hAnsi="Times New Roman"/>
          <w:noProof/>
          <w:sz w:val="24"/>
        </w:rPr>
        <w:t xml:space="preserve"> peut contribuer à la mise en place de solutions de ce type.</w:t>
      </w:r>
    </w:p>
    <w:p w14:paraId="09DB08DE" w14:textId="5E10C9DB" w:rsidR="00BB3E81" w:rsidRPr="00915255" w:rsidRDefault="004840A1" w:rsidP="00A632E5">
      <w:pP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u w:val="single"/>
        </w:rPr>
        <w:t>La pérennité de la production alimentaire de l’UE</w:t>
      </w:r>
      <w:r>
        <w:rPr>
          <w:rFonts w:ascii="Times New Roman" w:hAnsi="Times New Roman"/>
          <w:noProof/>
          <w:color w:val="000000" w:themeColor="text1"/>
          <w:sz w:val="24"/>
        </w:rPr>
        <w:t xml:space="preserve"> sera l’une des priorités de la Commission. La Commission continuera de coopérer avec les États membres pour tirer le meilleur parti des </w:t>
      </w:r>
      <w:r>
        <w:rPr>
          <w:rFonts w:ascii="Times New Roman" w:hAnsi="Times New Roman"/>
          <w:noProof/>
          <w:color w:val="000000" w:themeColor="text1"/>
          <w:sz w:val="24"/>
          <w:u w:val="single"/>
        </w:rPr>
        <w:t>plans stratégiques relevant de la politique agricole commune</w:t>
      </w:r>
      <w:r>
        <w:rPr>
          <w:rFonts w:ascii="Times New Roman" w:hAnsi="Times New Roman"/>
          <w:noProof/>
          <w:color w:val="000000" w:themeColor="text1"/>
          <w:sz w:val="24"/>
        </w:rPr>
        <w:t xml:space="preserve"> afin d’améliorer la résilience au changement climatique et de parvenir à une utilisation plus générale des outils de gestion des risques. Étant donné que la dégradation des sols constitue une grave menace pour notre production alimentaire, la Commission, en coopération avec les États membres, renforcera la </w:t>
      </w:r>
      <w:r>
        <w:rPr>
          <w:rFonts w:ascii="Times New Roman" w:hAnsi="Times New Roman"/>
          <w:noProof/>
          <w:color w:val="000000" w:themeColor="text1"/>
          <w:sz w:val="24"/>
          <w:u w:val="single"/>
        </w:rPr>
        <w:t>surveillance de l’état de santé des sols</w:t>
      </w:r>
      <w:r>
        <w:rPr>
          <w:rFonts w:ascii="Times New Roman" w:hAnsi="Times New Roman"/>
          <w:noProof/>
          <w:color w:val="000000" w:themeColor="text1"/>
          <w:sz w:val="24"/>
        </w:rPr>
        <w:t xml:space="preserve">. La contribution des agriculteurs à la protection des services écosystémiques devrait être davantage valorisée. </w:t>
      </w:r>
      <w:r>
        <w:rPr>
          <w:rFonts w:ascii="Times New Roman" w:hAnsi="Times New Roman"/>
          <w:noProof/>
          <w:sz w:val="24"/>
        </w:rPr>
        <w:t xml:space="preserve">La Commission procédera aussi à une </w:t>
      </w:r>
      <w:r>
        <w:rPr>
          <w:rFonts w:ascii="Times New Roman" w:hAnsi="Times New Roman"/>
          <w:noProof/>
          <w:sz w:val="24"/>
          <w:u w:val="single"/>
        </w:rPr>
        <w:t>étude sur l’adaptation dans le domaine agricole</w:t>
      </w:r>
      <w:r>
        <w:rPr>
          <w:rFonts w:ascii="Times New Roman" w:hAnsi="Times New Roman"/>
          <w:noProof/>
          <w:sz w:val="24"/>
        </w:rPr>
        <w:t>, qui devrait s'achever d’ici à la fin 2025.</w:t>
      </w:r>
    </w:p>
    <w:p w14:paraId="73E0C565" w14:textId="0FB6E462" w:rsidR="00203897" w:rsidRPr="00B2476E" w:rsidRDefault="001E4A34" w:rsidP="00A632E5">
      <w:pP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Le réchauffement et l’acidification des océans, qui entraînent l’intensification des vagues de chaleur marines et l’extension des zones caractérisées par de faibles taux d’oxygène, modifient déjà la composition des espèces et affectent les stocks halieutiques au fur et à mesure qu’ils se déplacent vers des eaux plus profondes et s'approchent des pôles. Il en résultera des incohérences entre les quotas établis et les possibilités de pêche effectives. La </w:t>
      </w:r>
      <w:r>
        <w:rPr>
          <w:rFonts w:ascii="Times New Roman" w:hAnsi="Times New Roman"/>
          <w:noProof/>
          <w:color w:val="000000" w:themeColor="text1"/>
          <w:sz w:val="24"/>
          <w:u w:val="single"/>
        </w:rPr>
        <w:t>politique commune de la pêche devrait intégrer les incidences sur le climat</w:t>
      </w:r>
      <w:r>
        <w:rPr>
          <w:rFonts w:ascii="Times New Roman" w:hAnsi="Times New Roman"/>
          <w:noProof/>
          <w:color w:val="000000" w:themeColor="text1"/>
          <w:sz w:val="24"/>
        </w:rPr>
        <w:t xml:space="preserve">. Les prévisions des stocks halieutiques doivent tenir compte des divers possibles effets que le changement climatique pourrait avoir à l’avenir, et les pratiques de gestion de la pêche devraient être résilientes aux futurs changements écologiques. Aux fins de l’actualisation du Fonds européen pour les affaires maritimes, la pêche et l’aquaculture, les risques climatiques devraient être pleinement intégrés dans les mesures de soutien de ce fonds en faveur de pratiques de pêche et d’aquaculture durables qui renforcent la résilience. </w:t>
      </w:r>
    </w:p>
    <w:p w14:paraId="77B59E5C" w14:textId="77777777" w:rsidR="00A632E5" w:rsidRPr="00B2476E" w:rsidRDefault="00A632E5" w:rsidP="00A632E5">
      <w:pPr>
        <w:spacing w:after="120" w:line="22" w:lineRule="atLeast"/>
        <w:jc w:val="both"/>
        <w:rPr>
          <w:rFonts w:ascii="Times New Roman" w:hAnsi="Times New Roman" w:cs="Times New Roman"/>
          <w:noProof/>
          <w:color w:val="000000" w:themeColor="text1"/>
          <w:sz w:val="24"/>
          <w:szCs w:val="24"/>
        </w:rPr>
      </w:pPr>
    </w:p>
    <w:p w14:paraId="788882B3" w14:textId="6E199F54" w:rsidR="00F94DC6" w:rsidRPr="00420C4C" w:rsidRDefault="00F94DC6" w:rsidP="00B11E0C">
      <w:pPr>
        <w:pStyle w:val="Heading3"/>
        <w:numPr>
          <w:ilvl w:val="1"/>
          <w:numId w:val="1"/>
        </w:numPr>
        <w:spacing w:line="259" w:lineRule="auto"/>
        <w:ind w:left="1565" w:hanging="431"/>
        <w:rPr>
          <w:rFonts w:ascii="Times New Roman" w:eastAsia="Times New Roman" w:hAnsi="Times New Roman" w:cs="Times New Roman"/>
          <w:b/>
          <w:bCs/>
          <w:noProof/>
          <w:color w:val="000000" w:themeColor="text1"/>
          <w:sz w:val="24"/>
          <w:szCs w:val="24"/>
        </w:rPr>
      </w:pPr>
      <w:bookmarkStart w:id="55" w:name="_Toc157586314"/>
      <w:bookmarkStart w:id="56" w:name="_Toc157587675"/>
      <w:bookmarkStart w:id="57" w:name="_Toc157587791"/>
      <w:bookmarkStart w:id="58" w:name="_Toc159792211"/>
      <w:bookmarkEnd w:id="55"/>
      <w:bookmarkEnd w:id="56"/>
      <w:bookmarkEnd w:id="57"/>
      <w:r>
        <w:rPr>
          <w:rFonts w:ascii="Times New Roman" w:hAnsi="Times New Roman"/>
          <w:b/>
          <w:noProof/>
          <w:color w:val="000000" w:themeColor="text1"/>
          <w:sz w:val="24"/>
        </w:rPr>
        <w:t>Infrastructures et environnement bâti</w:t>
      </w:r>
      <w:bookmarkEnd w:id="58"/>
      <w:r>
        <w:rPr>
          <w:rFonts w:ascii="Times New Roman" w:hAnsi="Times New Roman"/>
          <w:b/>
          <w:noProof/>
          <w:color w:val="000000" w:themeColor="text1"/>
          <w:sz w:val="24"/>
        </w:rPr>
        <w:t xml:space="preserve"> </w:t>
      </w:r>
    </w:p>
    <w:p w14:paraId="1C395910" w14:textId="77777777" w:rsidR="00ED251E" w:rsidRPr="00420C4C" w:rsidRDefault="00ED251E" w:rsidP="00FE40B8">
      <w:pPr>
        <w:spacing w:line="240" w:lineRule="auto"/>
        <w:jc w:val="both"/>
        <w:rPr>
          <w:rFonts w:ascii="Times New Roman" w:hAnsi="Times New Roman" w:cs="Times New Roman"/>
          <w:b/>
          <w:bCs/>
          <w:noProof/>
          <w:color w:val="000000" w:themeColor="text1"/>
          <w:sz w:val="24"/>
          <w:szCs w:val="24"/>
          <w:lang w:val="en-IE" w:eastAsia="en-IE"/>
        </w:rPr>
      </w:pPr>
    </w:p>
    <w:p w14:paraId="3C96E1D3" w14:textId="76644C0E" w:rsidR="00610647" w:rsidRDefault="002A7034" w:rsidP="00A632E5">
      <w:pPr>
        <w:spacing w:after="120"/>
        <w:jc w:val="both"/>
        <w:rPr>
          <w:rFonts w:ascii="Times New Roman" w:hAnsi="Times New Roman" w:cs="Times New Roman"/>
          <w:bCs/>
          <w:noProof/>
          <w:color w:val="000000" w:themeColor="text1"/>
          <w:sz w:val="24"/>
          <w:szCs w:val="24"/>
        </w:rPr>
      </w:pPr>
      <w:r>
        <w:rPr>
          <w:rFonts w:ascii="Times New Roman" w:hAnsi="Times New Roman"/>
          <w:noProof/>
          <w:color w:val="000000" w:themeColor="text1"/>
          <w:sz w:val="24"/>
        </w:rPr>
        <w:t>Les infrastructures sont exposées à des risques importants liés aux inondations, aux incendies de forêt, aux températures élevées et à d’autres événements extrêmes, qui peuvent entraîner des dommages. La perte d’accès à l’énergie, aux transports et aux communications peut rapidement perturber une société. À ce jour, il n’existe pas d’évaluation fiable de la capacité des infrastructures de l’UE de fonctionner dans des conditions climatiques changeantes. Les infrastructures critiques et le parc immobilier vieillissent rapidement. Compte tenu du manque de connaissances et de la perception de coûts prohibitifs, les États membres éprouvent des difficultés à planifier et à entreprendre d’importants efforts d’adaptation de leurs infrastructures, alors même que le coût des dommages causés ne serait-ce que par une catastrophe peut se révéler bien supérieur au montant des fonds mis à la disposition de l’UE en faveur des infrastructures.</w:t>
      </w:r>
    </w:p>
    <w:p w14:paraId="462DD9E2" w14:textId="225B4505" w:rsidR="00B0505E" w:rsidRPr="00915255" w:rsidRDefault="002E08D6" w:rsidP="00A632E5">
      <w:pPr>
        <w:spacing w:after="120"/>
        <w:jc w:val="both"/>
        <w:rPr>
          <w:rFonts w:ascii="Times New Roman" w:hAnsi="Times New Roman" w:cs="Times New Roman"/>
          <w:bCs/>
          <w:noProof/>
          <w:color w:val="000000" w:themeColor="text1"/>
          <w:sz w:val="24"/>
          <w:szCs w:val="24"/>
        </w:rPr>
      </w:pPr>
      <w:r>
        <w:rPr>
          <w:rFonts w:ascii="Times New Roman" w:hAnsi="Times New Roman"/>
          <w:noProof/>
          <w:color w:val="000000" w:themeColor="text1"/>
          <w:sz w:val="24"/>
        </w:rPr>
        <w:t xml:space="preserve">Les objectifs que s’est fixés l’UE d’augmenter les taux de rénovation et de décarboner l’économie sont une occasion d’améliorer la résilience au changement climatique. La conception de l’environnement bâti détermine la résilience des bâtiments et celle de leurs habitants. Il convient de maximiser les avantages connexes que présentent les logements protégés contre les effets du changement climatique, à savoir l’accessibilité financière, un cadre de vie plus sain et une plus grande efficacité énergétique. En plus d’une surveillance horizontale étroite des risques systémiques liés aux infrastructures et de leur localisation par l’aménagement du territoire, il faut prévoir davantage de solutions sectorielles. </w:t>
      </w:r>
    </w:p>
    <w:p w14:paraId="168B4D7D" w14:textId="2F2E7B73" w:rsidR="001C34D5" w:rsidRDefault="006C33BE" w:rsidP="00A632E5">
      <w:pPr>
        <w:pStyle w:val="Text1"/>
        <w:spacing w:after="120" w:line="259" w:lineRule="auto"/>
        <w:ind w:left="0"/>
        <w:rPr>
          <w:rFonts w:eastAsiaTheme="minorEastAsia"/>
          <w:noProof/>
          <w:color w:val="000000" w:themeColor="text1"/>
        </w:rPr>
      </w:pPr>
      <w:r>
        <w:rPr>
          <w:noProof/>
          <w:color w:val="000000" w:themeColor="text1"/>
          <w:u w:val="single"/>
        </w:rPr>
        <w:t>Les normes en matière d’infrastructures doivent être renforcées</w:t>
      </w:r>
      <w:r>
        <w:rPr>
          <w:noProof/>
          <w:color w:val="000000" w:themeColor="text1"/>
        </w:rPr>
        <w:t xml:space="preserve">. La Commission demandera aux organisations européennes de normalisation d’intégrer les considérations relatives à l’adaptation au changement climatique et à la résilience dans les normes européennes applicables à la conception d’infrastructures dont le cycle de vie est supérieur à trente ans, telles que les centrales électriques ou les voies chemins de fer. Elle les invitera aussi à mettre au point de nouvelles normes dans le domaine des services climatiques. </w:t>
      </w:r>
    </w:p>
    <w:p w14:paraId="1E299923" w14:textId="188D20CD" w:rsidR="002E08D6" w:rsidRPr="0044238F" w:rsidRDefault="008C1507" w:rsidP="00A632E5">
      <w:pPr>
        <w:pStyle w:val="Text1"/>
        <w:spacing w:after="120" w:line="259" w:lineRule="auto"/>
        <w:ind w:left="0"/>
        <w:rPr>
          <w:noProof/>
          <w:color w:val="000000" w:themeColor="text1"/>
          <w:u w:val="single"/>
        </w:rPr>
      </w:pPr>
      <w:r>
        <w:rPr>
          <w:noProof/>
          <w:color w:val="000000" w:themeColor="text1"/>
        </w:rPr>
        <w:t>La mise à jour prévue des normes (Eurocodes</w:t>
      </w:r>
      <w:r w:rsidR="005D61D6" w:rsidRPr="00C72C70">
        <w:rPr>
          <w:rStyle w:val="FootnoteReference"/>
          <w:noProof/>
          <w:color w:val="000000" w:themeColor="text1"/>
        </w:rPr>
        <w:footnoteReference w:id="49"/>
      </w:r>
      <w:r>
        <w:rPr>
          <w:noProof/>
          <w:color w:val="000000" w:themeColor="text1"/>
        </w:rPr>
        <w:t>) concernant les bâtiments, qui fixe les exigences minimales applicables en matière de conception structurelle dans l’UE en 2026, rendra obligatoire la prise en compte des aléas climatiques à venir dans les structures des bâtiments. La Commission réalise actuellement des études pilotes et élaborera des orientations à l’intention des États membres en ce qui concerne l’utilisation d’ensembles de données climatiques librement disponibles, qui leur permettront de définir la charge climatique attendue sur leur territoire.</w:t>
      </w:r>
    </w:p>
    <w:p w14:paraId="2704B49F" w14:textId="3E7C843D" w:rsidR="00755280" w:rsidRPr="00212438" w:rsidRDefault="006805D3" w:rsidP="0044238F">
      <w:pPr>
        <w:pStyle w:val="Text1"/>
        <w:spacing w:after="120" w:line="259" w:lineRule="auto"/>
        <w:ind w:left="0"/>
        <w:rPr>
          <w:noProof/>
          <w:color w:val="000000" w:themeColor="text1"/>
        </w:rPr>
      </w:pPr>
      <w:r>
        <w:rPr>
          <w:noProof/>
          <w:color w:val="000000" w:themeColor="text1"/>
        </w:rPr>
        <w:t xml:space="preserve">Le festival du Nouveau Bauhaus européen, qui se tient en avril 2024, constitue une excellente occasion d'amorcer le dialogue avec des responsables des différents segments du secteur de la construction afin de promouvoir une meilleure intégration de l’adaptation au changement climatique et de la résilience dans ce secteur. </w:t>
      </w:r>
    </w:p>
    <w:p w14:paraId="24F619D5" w14:textId="703471F5" w:rsidR="00B2668D" w:rsidRPr="00B2668D" w:rsidRDefault="00B2668D" w:rsidP="0044238F">
      <w:pPr>
        <w:pStyle w:val="Text1"/>
        <w:spacing w:after="120" w:line="259" w:lineRule="auto"/>
        <w:ind w:left="0"/>
        <w:rPr>
          <w:noProof/>
          <w:color w:val="000000" w:themeColor="text1"/>
          <w:szCs w:val="24"/>
        </w:rPr>
      </w:pPr>
      <w:r>
        <w:rPr>
          <w:noProof/>
          <w:color w:val="000000" w:themeColor="text1"/>
        </w:rPr>
        <w:t xml:space="preserve">Toutes les </w:t>
      </w:r>
      <w:r>
        <w:rPr>
          <w:noProof/>
          <w:color w:val="000000" w:themeColor="text1"/>
          <w:u w:val="single"/>
        </w:rPr>
        <w:t>infrastructures de transport</w:t>
      </w:r>
      <w:r>
        <w:rPr>
          <w:noProof/>
          <w:color w:val="000000" w:themeColor="text1"/>
        </w:rPr>
        <w:t xml:space="preserve"> sont menacées par le changement climatique. Toutefois, il existe un déficit de connaissances au niveau de l’UE en ce qui concerne la résilience des infrastructures de transport européennes face aux effets du changement climatique, et plus particulièrement pour ce qui est de l’exposition aux risques, des besoins et des solutions d’adaptation, ainsi que des investissements nécessaires à cet égard. En proposant une version révisée de ses orientations sur le développement du réseau transeuropéen de transport (RTE-T), la Commission entend soutenir la réalisation d’évaluations des risques climatiques et la prise en compte des enjeux climatiques. Elle a lancé une étude</w:t>
      </w:r>
      <w:r w:rsidRPr="00B2668D">
        <w:rPr>
          <w:noProof/>
          <w:color w:val="000000" w:themeColor="text1"/>
          <w:szCs w:val="24"/>
          <w:vertAlign w:val="superscript"/>
        </w:rPr>
        <w:footnoteReference w:id="50"/>
      </w:r>
      <w:r>
        <w:rPr>
          <w:noProof/>
          <w:color w:val="000000" w:themeColor="text1"/>
        </w:rPr>
        <w:t xml:space="preserve"> sur la résilience au changement climatique du RTE-T, qui constitue une première étape pour combler le déficit de connaissances relevé et pour recenser les besoins d’adaptation et les priorités d’investissement.</w:t>
      </w:r>
    </w:p>
    <w:p w14:paraId="5502F2B0" w14:textId="1B4AD37C" w:rsidR="00203897" w:rsidRDefault="00661145" w:rsidP="00A632E5">
      <w:pP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u w:val="single"/>
        </w:rPr>
        <w:t>La planification des risques climatiques doit être renforcée dans le secteur de l’énergie.</w:t>
      </w:r>
      <w:r>
        <w:rPr>
          <w:rFonts w:ascii="Times New Roman" w:hAnsi="Times New Roman"/>
          <w:noProof/>
          <w:color w:val="000000" w:themeColor="text1"/>
          <w:sz w:val="24"/>
        </w:rPr>
        <w:t xml:space="preserve"> Le changement climatique entraîne une augmentation des risques pesant sur la sécurité énergétique, et plus particulièrement des risques de coupures d'électricité dues à la chaleur, aux incendies de forêt, aux sécheresses et aux inondations, qui influent sur les pics de consommation et ont des conséquences sur la production, le stockage, le transport et la distribution. Seuls quelques États membres ont prévu, dans leur projet de mise à jour de leur PNEC, des plans détaillés pour la prise en considération de l’adaptation au changement climatique dans le contexte de la résilience de leurs systèmes énergétiques. La Commission étudiera les possibilités qui s’offrent de mieux intégrer les risques climatiques, par exemple dans le cadre de la révision actuelle du règlement sur la gouvernance de l’union de l’énergie et de l’action pour le climat. En partant des plans nationaux de préparation du secteur de l’électricité, la Commission envisagera aussi d’engager un dialogue sur les risques climatiques avec certaines parties prenantes du secteur de l’énergie; elle invite les acteurs intéressés (par exemple, le secteur de l’électricité) à présenter des propositions.</w:t>
      </w:r>
    </w:p>
    <w:p w14:paraId="2B70AB80" w14:textId="77777777" w:rsidR="00A632E5" w:rsidRPr="00A632E5" w:rsidRDefault="00A632E5" w:rsidP="00A632E5">
      <w:pPr>
        <w:spacing w:after="120"/>
        <w:jc w:val="both"/>
        <w:rPr>
          <w:rFonts w:ascii="Times New Roman" w:hAnsi="Times New Roman" w:cs="Times New Roman"/>
          <w:noProof/>
          <w:color w:val="000000" w:themeColor="text1"/>
          <w:sz w:val="24"/>
          <w:szCs w:val="24"/>
        </w:rPr>
      </w:pPr>
    </w:p>
    <w:p w14:paraId="7105C662" w14:textId="2DAAFFE2" w:rsidR="00F94DC6" w:rsidRPr="00420C4C" w:rsidRDefault="00F94DC6" w:rsidP="00B2476E">
      <w:pPr>
        <w:pStyle w:val="Heading3"/>
        <w:numPr>
          <w:ilvl w:val="1"/>
          <w:numId w:val="1"/>
        </w:numPr>
        <w:ind w:left="1565" w:hanging="431"/>
        <w:rPr>
          <w:rFonts w:ascii="Times New Roman" w:eastAsia="Times New Roman" w:hAnsi="Times New Roman" w:cs="Times New Roman"/>
          <w:b/>
          <w:bCs/>
          <w:noProof/>
          <w:color w:val="000000" w:themeColor="text1"/>
          <w:sz w:val="24"/>
          <w:szCs w:val="24"/>
        </w:rPr>
      </w:pPr>
      <w:bookmarkStart w:id="59" w:name="_Toc157587793"/>
      <w:bookmarkStart w:id="60" w:name="_Toc159792212"/>
      <w:bookmarkEnd w:id="59"/>
      <w:r>
        <w:rPr>
          <w:rFonts w:ascii="Times New Roman" w:hAnsi="Times New Roman"/>
          <w:b/>
          <w:noProof/>
          <w:color w:val="000000" w:themeColor="text1"/>
          <w:sz w:val="24"/>
        </w:rPr>
        <w:t>Économie</w:t>
      </w:r>
      <w:bookmarkEnd w:id="60"/>
    </w:p>
    <w:p w14:paraId="11C6503F" w14:textId="77777777" w:rsidR="00ED251E" w:rsidRDefault="00ED251E" w:rsidP="00FE40B8">
      <w:pPr>
        <w:spacing w:line="240" w:lineRule="auto"/>
        <w:jc w:val="both"/>
        <w:rPr>
          <w:rFonts w:ascii="Times New Roman" w:hAnsi="Times New Roman" w:cs="Times New Roman"/>
          <w:bCs/>
          <w:noProof/>
          <w:color w:val="000000" w:themeColor="text1"/>
          <w:sz w:val="24"/>
          <w:szCs w:val="24"/>
          <w:lang w:val="en-IE" w:eastAsia="en-IE"/>
        </w:rPr>
      </w:pPr>
    </w:p>
    <w:p w14:paraId="4483C1FD" w14:textId="7BC3D33C" w:rsidR="003538B8" w:rsidRDefault="00363162" w:rsidP="00A632E5">
      <w:pPr>
        <w:spacing w:after="120"/>
        <w:jc w:val="both"/>
        <w:rPr>
          <w:rFonts w:ascii="Times New Roman" w:hAnsi="Times New Roman" w:cs="Times New Roman"/>
          <w:bCs/>
          <w:noProof/>
          <w:color w:val="000000" w:themeColor="text1"/>
          <w:sz w:val="24"/>
          <w:szCs w:val="24"/>
        </w:rPr>
      </w:pPr>
      <w:r>
        <w:rPr>
          <w:rFonts w:ascii="Times New Roman" w:hAnsi="Times New Roman"/>
          <w:noProof/>
          <w:color w:val="000000" w:themeColor="text1"/>
          <w:sz w:val="24"/>
        </w:rPr>
        <w:t>Chaque nouvelle catastrophe liée au changement climatique fera peser un poids supplémentaire sur l’économie, lié aux pertes de productivité et de vies humaines, aux dommages directs, à une réduction du potentiel de croissance et à la pression sur les budgets publics. Lorsque l’investissement est réorienté vers la reconstruction après la survenue de dommages, le montant disponible pour l’investissement productif est réduit. Les interactions entre les différents segments du système financier ne sont pas bien comprises, et les risques climatiques peuvent pousser certaines vulnérabilités existantes au-delà des seuils critiques pour ces systèmes. Les budgets publics constituent le principal moyen de couvrir ces risques, mais ils sont déjà soumis à des niveaux d’endettement élevés. Les passifs éventuels implicites liés aux risques climatiques pourraient compromettre la stabilité et la viabilité budgétaires des États membres. Les risques pour l’économie de l’UE pourraient être importants</w:t>
      </w:r>
      <w:r w:rsidR="003057A0" w:rsidRPr="00915255">
        <w:rPr>
          <w:rStyle w:val="FootnoteReference"/>
          <w:rFonts w:ascii="Times New Roman" w:hAnsi="Times New Roman" w:cs="Times New Roman"/>
          <w:bCs/>
          <w:noProof/>
          <w:color w:val="000000" w:themeColor="text1"/>
          <w:sz w:val="24"/>
          <w:szCs w:val="24"/>
          <w:lang w:val="en-IE" w:eastAsia="en-IE"/>
        </w:rPr>
        <w:footnoteReference w:id="51"/>
      </w:r>
      <w:r>
        <w:rPr>
          <w:rFonts w:ascii="Times New Roman" w:hAnsi="Times New Roman"/>
          <w:noProof/>
          <w:color w:val="000000" w:themeColor="text1"/>
          <w:sz w:val="24"/>
        </w:rPr>
        <w:t xml:space="preserve">. </w:t>
      </w:r>
    </w:p>
    <w:p w14:paraId="723168AD" w14:textId="65AE64DE" w:rsidR="00463C23" w:rsidRPr="00915255" w:rsidRDefault="006A2290" w:rsidP="00A632E5">
      <w:pP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La sécurité économique de l’UE est également exposée aux risques climatiques qui pèsent sur les chaînes d’approvisionnement, en ce qui concerne notamment les produits pharmaceutiques et les semi-conducteurs. Eu égard aux lacunes actuelles dans les données et les connaissances, il n’est pas exclu que les risques liés au climat soient actuellement sous-évalués. Il peut en résulter des réactions désordonnées sur le marché, par exemple lorsque des événements extrêmes se produisent ou sont susceptibles de se produire. La couverture d’assurance des actifs et des biens immobiliers exposés au changement climatique est faible dans l’UE et présente des variations importantes entre les États membres et entre les dangers liés au climat. Qui plus est, elle devrait encore diminuer avec l’augmentation des primes, les phénomènes climatiques gagnant en fréquence et en intensité. Le travail de fond qui mené actuellement en ce qui concerne les différents risques liés à la durabilité, que ce soit dans le cadre de la stratégie de l’UE en matière de finance durable ou du dialogue sur la résilience climatique, vise à combler le déficit de protection contre les aléas climatiques en matière d’assurance</w:t>
      </w:r>
      <w:r w:rsidR="00FD6FC6">
        <w:rPr>
          <w:rStyle w:val="FootnoteReference"/>
          <w:rFonts w:ascii="Times New Roman" w:hAnsi="Times New Roman" w:cs="Times New Roman"/>
          <w:bCs/>
          <w:noProof/>
          <w:color w:val="000000" w:themeColor="text1"/>
          <w:sz w:val="24"/>
          <w:szCs w:val="24"/>
          <w:lang w:val="en-IE" w:eastAsia="en-IE"/>
        </w:rPr>
        <w:footnoteReference w:id="52"/>
      </w:r>
      <w:r>
        <w:rPr>
          <w:rFonts w:ascii="Times New Roman" w:hAnsi="Times New Roman"/>
          <w:noProof/>
          <w:color w:val="000000" w:themeColor="text1"/>
          <w:sz w:val="24"/>
        </w:rPr>
        <w:t xml:space="preserve">. </w:t>
      </w:r>
    </w:p>
    <w:p w14:paraId="70E72712" w14:textId="6E60782E" w:rsidR="003C5D9C" w:rsidRDefault="00453D4B" w:rsidP="00A632E5">
      <w:pP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L’UE a déjà pris des mesures considérables pour faire avancer l’action pour le climat et le commerce au niveau mondial. La coalition des ministres du commerce pour le climat</w:t>
      </w:r>
      <w:r w:rsidRPr="00915255">
        <w:rPr>
          <w:rFonts w:ascii="Times New Roman" w:hAnsi="Times New Roman" w:cs="Times New Roman"/>
          <w:noProof/>
          <w:color w:val="000000" w:themeColor="text1"/>
          <w:sz w:val="24"/>
          <w:szCs w:val="24"/>
          <w:vertAlign w:val="superscript"/>
          <w:lang w:val="en-IE" w:eastAsia="en-IE"/>
        </w:rPr>
        <w:footnoteReference w:id="53"/>
      </w:r>
      <w:r>
        <w:rPr>
          <w:rFonts w:ascii="Times New Roman" w:hAnsi="Times New Roman"/>
          <w:noProof/>
          <w:color w:val="000000" w:themeColor="text1"/>
          <w:sz w:val="24"/>
        </w:rPr>
        <w:t>, lancée et dirigée par l’UE, l’Équateur, le Kenya et la Nouvelle-Zélande, témoigne d’une reconnaissance accrue, par les gouvernements, des intérêts qu'ils partagent en ce qui concerne le lien entre le changement climatique et le commerce qui permet de renforcer la contribution que la politique commerciale et commerciale peut apporter à l’action pour le climat. Les accords commerciaux bilatéraux de l’UE peuvent constituer d'importantes plateformes de dialogue entre les partenaires commerciaux sur l’action en faveur du climat et de l’environnement</w:t>
      </w:r>
      <w:r w:rsidR="00FE4D6B" w:rsidRPr="00C25C60">
        <w:rPr>
          <w:rFonts w:ascii="Times New Roman" w:hAnsi="Times New Roman" w:cs="Times New Roman"/>
          <w:noProof/>
          <w:color w:val="000000" w:themeColor="text1"/>
          <w:sz w:val="24"/>
          <w:szCs w:val="24"/>
          <w:vertAlign w:val="superscript"/>
          <w:lang w:eastAsia="en-IE"/>
        </w:rPr>
        <w:footnoteReference w:id="54"/>
      </w:r>
      <w:r>
        <w:rPr>
          <w:rFonts w:ascii="Times New Roman" w:hAnsi="Times New Roman"/>
          <w:noProof/>
          <w:color w:val="000000" w:themeColor="text1"/>
          <w:sz w:val="24"/>
        </w:rPr>
        <w:t xml:space="preserve">. </w:t>
      </w:r>
    </w:p>
    <w:p w14:paraId="46F23799" w14:textId="258ED593" w:rsidR="007D4C6B" w:rsidRPr="00915255" w:rsidRDefault="001C7367" w:rsidP="00A632E5">
      <w:pP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Les risques liés au changement climatique menacent gravement la </w:t>
      </w:r>
      <w:r>
        <w:rPr>
          <w:rFonts w:ascii="Times New Roman" w:hAnsi="Times New Roman"/>
          <w:noProof/>
          <w:color w:val="000000" w:themeColor="text1"/>
          <w:sz w:val="24"/>
          <w:u w:val="single"/>
        </w:rPr>
        <w:t>résilience des entreprises de l’UE, et en particulier celle des PME</w:t>
      </w:r>
      <w:r>
        <w:rPr>
          <w:rFonts w:ascii="Times New Roman" w:hAnsi="Times New Roman"/>
          <w:noProof/>
          <w:color w:val="000000" w:themeColor="text1"/>
          <w:sz w:val="24"/>
        </w:rPr>
        <w:t>. Ils ont des répercussions sur l’accès des PME au financement, sur leur coût du capital et sur leur capacité de rembourser leurs dettes</w:t>
      </w:r>
      <w:r w:rsidR="00F74E4A">
        <w:rPr>
          <w:rStyle w:val="FootnoteReference"/>
          <w:rFonts w:ascii="Times New Roman" w:hAnsi="Times New Roman" w:cs="Times New Roman"/>
          <w:noProof/>
          <w:color w:val="000000" w:themeColor="text1"/>
          <w:sz w:val="24"/>
          <w:szCs w:val="24"/>
          <w:lang w:val="en-IE" w:eastAsia="en-IE"/>
        </w:rPr>
        <w:footnoteReference w:id="55"/>
      </w:r>
      <w:r>
        <w:rPr>
          <w:rFonts w:ascii="Times New Roman" w:hAnsi="Times New Roman"/>
          <w:noProof/>
          <w:color w:val="000000" w:themeColor="text1"/>
          <w:sz w:val="24"/>
        </w:rPr>
        <w:t>. Près de la moitié des entreprises de l’UE sont exposées à des risques naturels, mais moins d’un tiers des entreprises ont investi ou envisagent d’investir dans des mesures d'atténuation des effets des risques naturels</w:t>
      </w:r>
      <w:r w:rsidR="001A31EC" w:rsidRPr="00915255">
        <w:rPr>
          <w:rFonts w:ascii="Times New Roman" w:hAnsi="Times New Roman" w:cs="Times New Roman"/>
          <w:noProof/>
          <w:color w:val="000000" w:themeColor="text1"/>
          <w:sz w:val="24"/>
          <w:szCs w:val="24"/>
          <w:vertAlign w:val="superscript"/>
          <w:lang w:val="en-IE" w:eastAsia="en-IE"/>
        </w:rPr>
        <w:footnoteReference w:id="56"/>
      </w:r>
      <w:r>
        <w:rPr>
          <w:rFonts w:ascii="Times New Roman" w:hAnsi="Times New Roman"/>
          <w:noProof/>
          <w:color w:val="000000" w:themeColor="text1"/>
          <w:sz w:val="24"/>
        </w:rPr>
        <w:t>.</w:t>
      </w:r>
      <w:r>
        <w:rPr>
          <w:rFonts w:ascii="Times New Roman" w:hAnsi="Times New Roman"/>
          <w:noProof/>
          <w:color w:val="000000" w:themeColor="text1"/>
          <w:sz w:val="24"/>
          <w:vertAlign w:val="superscript"/>
        </w:rPr>
        <w:t xml:space="preserve"> </w:t>
      </w:r>
      <w:r>
        <w:rPr>
          <w:rFonts w:ascii="Times New Roman" w:hAnsi="Times New Roman"/>
          <w:noProof/>
          <w:color w:val="000000" w:themeColor="text1"/>
          <w:sz w:val="24"/>
        </w:rPr>
        <w:t>Comme indiqué dans la stratégie de l’UE en faveur des PME, il est essentiel d’aider les PME à comprendre et à atténuer les risques liés à l’environnement</w:t>
      </w:r>
      <w:r w:rsidR="00BD486C" w:rsidRPr="001A3A0E">
        <w:rPr>
          <w:rStyle w:val="FootnoteReference"/>
          <w:rFonts w:ascii="Times New Roman" w:hAnsi="Times New Roman" w:cs="Times New Roman"/>
          <w:noProof/>
          <w:color w:val="000000" w:themeColor="text1"/>
          <w:sz w:val="24"/>
          <w:szCs w:val="24"/>
          <w:lang w:val="en-IE" w:eastAsia="en-IE"/>
        </w:rPr>
        <w:footnoteReference w:id="57"/>
      </w:r>
      <w:r>
        <w:rPr>
          <w:rFonts w:ascii="Times New Roman" w:hAnsi="Times New Roman"/>
          <w:noProof/>
          <w:color w:val="000000" w:themeColor="text1"/>
          <w:sz w:val="24"/>
        </w:rPr>
        <w:t>. Dans le cadre de la mise en œuvre de la stratégie européenne en matière de sécurité économique</w:t>
      </w:r>
      <w:r w:rsidR="00D95E11" w:rsidRPr="001A3A0E">
        <w:rPr>
          <w:rStyle w:val="FootnoteReference"/>
          <w:rFonts w:ascii="Times New Roman" w:hAnsi="Times New Roman" w:cs="Times New Roman"/>
          <w:noProof/>
          <w:color w:val="000000" w:themeColor="text1"/>
          <w:sz w:val="24"/>
          <w:szCs w:val="24"/>
          <w:lang w:val="en-IE" w:eastAsia="en-IE"/>
        </w:rPr>
        <w:footnoteReference w:id="58"/>
      </w:r>
      <w:r>
        <w:rPr>
          <w:rFonts w:ascii="Times New Roman" w:hAnsi="Times New Roman"/>
          <w:noProof/>
          <w:color w:val="000000" w:themeColor="text1"/>
          <w:sz w:val="24"/>
        </w:rPr>
        <w:t>, la Commission tiendra compte aussi des risques liés au changement climatique. Les actions prévues dans le train de mesures de soutien aux PME</w:t>
      </w:r>
      <w:r w:rsidR="0086628C" w:rsidRPr="00D45989">
        <w:rPr>
          <w:rStyle w:val="FootnoteReference"/>
          <w:rFonts w:ascii="Times New Roman" w:hAnsi="Times New Roman"/>
          <w:noProof/>
          <w:color w:val="000000" w:themeColor="text1"/>
          <w:sz w:val="24"/>
          <w:lang w:val="en-IE"/>
        </w:rPr>
        <w:footnoteReference w:id="59"/>
      </w:r>
      <w:r>
        <w:rPr>
          <w:rFonts w:ascii="Times New Roman" w:hAnsi="Times New Roman"/>
          <w:noProof/>
          <w:color w:val="000000" w:themeColor="text1"/>
          <w:sz w:val="24"/>
        </w:rPr>
        <w:t>, qui visent, entre autres, à faciliter l’accès des PME à des financements durables tout en réduisant au minimum la charge administrative, aident également les entreprises de l’UE à maintenir leur compétitivité et, éventuellement, à prendre l’initiative et la direction des opérations en matière de développement du marché dans des segments qui renforcent leur résilience au changement climatique. Il s’agit à la fois de soutenir la société et de prendre une part importante sur le marché mondial des technologies et des systèmes d’information liés à la résilience au changement climatique et à la gestion des risques. Soucieuse d’améliorer la résilience systémique des chaînes d’approvisionnement de l’UE, la Commission explorera les possibilités d’examiner les risques climatiques physiques dans le cadre du suivi des vulnérabilités de la chaîne d’approvisionnement.</w:t>
      </w:r>
    </w:p>
    <w:p w14:paraId="77DF6DCE" w14:textId="29FBD71F" w:rsidR="00211506" w:rsidRPr="001A3A0E" w:rsidRDefault="00211506" w:rsidP="00A632E5">
      <w:pPr>
        <w:spacing w:after="120"/>
        <w:jc w:val="both"/>
        <w:rPr>
          <w:rFonts w:ascii="Times New Roman" w:hAnsi="Times New Roman" w:cs="Times New Roman"/>
          <w:noProof/>
          <w:color w:val="000000" w:themeColor="text1"/>
          <w:sz w:val="24"/>
          <w:szCs w:val="24"/>
        </w:rPr>
      </w:pPr>
      <w:bookmarkStart w:id="61" w:name="_Hlk160800506"/>
      <w:r>
        <w:rPr>
          <w:rFonts w:ascii="Times New Roman" w:hAnsi="Times New Roman"/>
          <w:noProof/>
          <w:color w:val="000000" w:themeColor="text1"/>
          <w:sz w:val="24"/>
          <w:u w:val="single"/>
        </w:rPr>
        <w:t>Renforcer la viabilité budgétaire est une nécessité évidente</w:t>
      </w:r>
      <w:r>
        <w:rPr>
          <w:rFonts w:ascii="Times New Roman" w:hAnsi="Times New Roman"/>
          <w:noProof/>
          <w:color w:val="000000" w:themeColor="text1"/>
          <w:sz w:val="24"/>
        </w:rPr>
        <w:t xml:space="preserve">. </w:t>
      </w:r>
      <w:r>
        <w:rPr>
          <w:rFonts w:ascii="Times New Roman" w:hAnsi="Times New Roman"/>
          <w:noProof/>
          <w:sz w:val="24"/>
        </w:rPr>
        <w:t>L’accord provisoire sur un nouveau cadre de gouvernance économique devrait renforcer la viabilité budgétaire et promouvoir la croissance au moyen de réformes et d’investissements, notamment pour les priorités communes de l’UE, comme la transition climatique</w:t>
      </w:r>
      <w:r w:rsidRPr="00915255">
        <w:rPr>
          <w:rFonts w:ascii="Times New Roman" w:hAnsi="Times New Roman" w:cs="Times New Roman"/>
          <w:noProof/>
          <w:color w:val="000000" w:themeColor="text1"/>
          <w:sz w:val="24"/>
          <w:szCs w:val="24"/>
          <w:vertAlign w:val="superscript"/>
          <w:lang w:val="en-IE" w:eastAsia="en-IE"/>
        </w:rPr>
        <w:footnoteReference w:id="60"/>
      </w:r>
      <w:r>
        <w:rPr>
          <w:rFonts w:ascii="Times New Roman" w:hAnsi="Times New Roman"/>
          <w:noProof/>
          <w:sz w:val="24"/>
        </w:rPr>
        <w:t>.</w:t>
      </w:r>
      <w:r>
        <w:rPr>
          <w:rFonts w:ascii="Times New Roman" w:hAnsi="Times New Roman"/>
          <w:noProof/>
          <w:color w:val="000000" w:themeColor="text1"/>
          <w:sz w:val="24"/>
        </w:rPr>
        <w:t xml:space="preserve"> Des travaux sont en cours pour améliorer les projections concernant les incidences du changement climatique sur la soutenabilité de la dette. Dans le cadre de l’accord provisoire, les modifications apportées à la directive sur les cadres budgétaires nationaux comprennent des obligations de publication d’informations liées au climat dans les plans budgétaires annuels et pluriannuels nationaux. Ces dispositions concernent les données antérieures sur les pertes liées au climat et les estimations des risques budgétaires liés au changement climatique. Pour améliorer et intégrer la budgétisation axée sur le risque climatique dans les processus budgétaires nationaux, la Commission est disposée à aider les États membres à échanger les bonnes pratiques et à leur apporter un soutien et des formations techniques. Des travaux sont en cours pour affiner les estimations relatives aux besoins d’investissement en matière d’adaptation</w:t>
      </w:r>
      <w:r w:rsidR="006F47E3" w:rsidRPr="006F47E3">
        <w:rPr>
          <w:rFonts w:ascii="Times New Roman" w:hAnsi="Times New Roman" w:cs="Times New Roman"/>
          <w:noProof/>
          <w:color w:val="000000" w:themeColor="text1"/>
          <w:sz w:val="24"/>
          <w:szCs w:val="24"/>
          <w:vertAlign w:val="superscript"/>
          <w:lang w:val="en-IE" w:eastAsia="en-IE"/>
        </w:rPr>
        <w:footnoteReference w:id="61"/>
      </w:r>
      <w:r>
        <w:rPr>
          <w:rFonts w:ascii="Times New Roman" w:hAnsi="Times New Roman"/>
          <w:noProof/>
          <w:color w:val="000000" w:themeColor="text1"/>
          <w:sz w:val="24"/>
        </w:rPr>
        <w:t xml:space="preserve">; la Commission collaborera également avec les États membres pour combler les lacunes dans les données, notamment en ce qui concerne l’estimation des besoins nationaux d’investissement en matière d’adaptation. La Commission est prête à aider les Trésors publics des États membres qui souhaitent s’entretenir sur leur rôle dans la coordination, la formulation et la mise en œuvre des politiques d’adaptation. </w:t>
      </w:r>
    </w:p>
    <w:bookmarkEnd w:id="61"/>
    <w:p w14:paraId="77A2ACA8" w14:textId="5E6E8800" w:rsidR="008C27E2" w:rsidRDefault="00867C89" w:rsidP="00A632E5">
      <w:pP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u w:val="single"/>
        </w:rPr>
        <w:t xml:space="preserve">Les politiques des marchés financiers doivent suivre une approche prudente des risques climatiques afin de préserver la stabilité financière. </w:t>
      </w:r>
      <w:r>
        <w:rPr>
          <w:rFonts w:ascii="Times New Roman" w:hAnsi="Times New Roman"/>
          <w:noProof/>
          <w:color w:val="000000" w:themeColor="text1"/>
          <w:sz w:val="24"/>
        </w:rPr>
        <w:t>La stratégie de l’UE en matière de finance durable vise à rendre le changement climatique et d’autres risques liés à l’environnement plus transparents et le système financier de l’UE plus sûr</w:t>
      </w:r>
      <w:bookmarkStart w:id="62" w:name="_Hlk160823229"/>
      <w:r>
        <w:rPr>
          <w:rFonts w:ascii="Times New Roman" w:hAnsi="Times New Roman"/>
          <w:noProof/>
          <w:color w:val="000000" w:themeColor="text1"/>
          <w:sz w:val="24"/>
        </w:rPr>
        <w:t>. La Commission continuera de s'assurer que tous les risques pertinents sont dûment pris en compte dans les cadres prudentiels, par exemple dans les propositions récemment adoptées concernant Solvabilité II et le règlement sur les exigences de fonds propres, qui servent de base à l’intégration des risques liés au changement climatique dans les réglementations des banques et des assureurs. La Commission veillera à leur mise en œuvre rapide.</w:t>
      </w:r>
    </w:p>
    <w:bookmarkEnd w:id="62"/>
    <w:p w14:paraId="42859B86" w14:textId="657A5CC7" w:rsidR="00FE74B1" w:rsidRPr="00915255" w:rsidRDefault="00FE74B1" w:rsidP="00FE74B1">
      <w:pPr>
        <w:spacing w:after="120"/>
        <w:jc w:val="both"/>
        <w:rPr>
          <w:rFonts w:ascii="Times New Roman" w:hAnsi="Times New Roman" w:cs="Times New Roman"/>
          <w:noProof/>
          <w:color w:val="000000" w:themeColor="text1"/>
          <w:sz w:val="24"/>
          <w:szCs w:val="24"/>
          <w:u w:val="single"/>
          <w:lang w:val="en-IE" w:eastAsia="en-IE"/>
        </w:rPr>
      </w:pPr>
    </w:p>
    <w:p w14:paraId="4E4E36AE" w14:textId="53B0D8EE" w:rsidR="0053389F" w:rsidRPr="00420C4C" w:rsidRDefault="0053389F" w:rsidP="00B2476E">
      <w:pPr>
        <w:pStyle w:val="Heading1"/>
        <w:numPr>
          <w:ilvl w:val="0"/>
          <w:numId w:val="1"/>
        </w:numPr>
        <w:ind w:left="357" w:hanging="357"/>
        <w:rPr>
          <w:rFonts w:ascii="Times New Roman" w:hAnsi="Times New Roman" w:cs="Times New Roman"/>
          <w:b/>
          <w:bCs/>
          <w:noProof/>
          <w:color w:val="000000" w:themeColor="text1"/>
          <w:sz w:val="24"/>
          <w:szCs w:val="24"/>
        </w:rPr>
      </w:pPr>
      <w:bookmarkStart w:id="63" w:name="_Toc159792213"/>
      <w:r>
        <w:rPr>
          <w:rFonts w:ascii="Times New Roman" w:hAnsi="Times New Roman"/>
          <w:b/>
          <w:noProof/>
          <w:color w:val="000000" w:themeColor="text1"/>
          <w:sz w:val="24"/>
        </w:rPr>
        <w:t>Prochaines étapes</w:t>
      </w:r>
      <w:bookmarkEnd w:id="63"/>
      <w:r>
        <w:rPr>
          <w:rFonts w:ascii="Times New Roman" w:hAnsi="Times New Roman"/>
          <w:b/>
          <w:noProof/>
          <w:color w:val="000000" w:themeColor="text1"/>
          <w:sz w:val="24"/>
        </w:rPr>
        <w:t xml:space="preserve"> </w:t>
      </w:r>
    </w:p>
    <w:p w14:paraId="22937A63" w14:textId="77777777" w:rsidR="00420C4C" w:rsidRDefault="00420C4C" w:rsidP="006A5049">
      <w:pPr>
        <w:jc w:val="both"/>
        <w:textAlignment w:val="baseline"/>
        <w:rPr>
          <w:rFonts w:ascii="Times New Roman" w:eastAsia="Times New Roman" w:hAnsi="Times New Roman" w:cs="Times New Roman"/>
          <w:noProof/>
          <w:color w:val="000000" w:themeColor="text1"/>
          <w:sz w:val="24"/>
          <w:szCs w:val="24"/>
          <w:lang w:val="en-IE" w:eastAsia="en-IE"/>
        </w:rPr>
      </w:pPr>
    </w:p>
    <w:p w14:paraId="1F616742" w14:textId="11E1FCE1" w:rsidR="00363162" w:rsidRPr="00915255" w:rsidRDefault="0049025D" w:rsidP="00BB3B6A">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Dans le cadre de la mise en œuvre de la stratégie d’adaptation de l’UE, la présente communication souligne les actions clés que l’UE et ses États membres doivent prendre pour mieux gérer les risques climatiques croissants, notamment pour appliquer les politiques existantes et définir plus clairement la répartition de la responsabilité des risques dans les processus de gouvernance. Il s’agit de déclencher une réaction ferme et rapide face à la menace manifeste et imminente que représente l'augmentation des catastrophes climatiques. </w:t>
      </w:r>
    </w:p>
    <w:p w14:paraId="43AC9216" w14:textId="63125849" w:rsidR="00F370B9" w:rsidRPr="00915255" w:rsidRDefault="49C48264" w:rsidP="00BB3B6A">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La communication rappelle qu'il est nécessaire de disposer d’éléments utiles à la prise de décision, tels que le rapport EUCRA, les observations les plus récentes sur la température, les rapports d’avancement et les informations sur les coûts des dommages liés au changement climatique. Elle souligne qu’il importe de tirer le meilleur parti des informations disponibles pour éclairer les choix politiques dans tous les secteurs. Dans les années à venir, les décideurs politiques à tous les niveaux de gouvernance devraient se pencher sur l’adaptation au changement climatique de manière proactive, en utilisant les outils, technologies et autres moyens qui existent déjà. </w:t>
      </w:r>
      <w:r>
        <w:rPr>
          <w:rFonts w:ascii="Times New Roman" w:hAnsi="Times New Roman"/>
          <w:b/>
          <w:noProof/>
          <w:color w:val="000000" w:themeColor="text1"/>
          <w:sz w:val="24"/>
        </w:rPr>
        <w:t>Pour ce faire, une action concertée à tous les niveaux et la définition d’une trajectoire claire vers l’amélioration de la préparation et de la résilience seraient nécessaires.</w:t>
      </w:r>
    </w:p>
    <w:p w14:paraId="15BAA7F0" w14:textId="1734C501" w:rsidR="00831DA5" w:rsidRPr="001A3A0E" w:rsidRDefault="00831DA5" w:rsidP="00831DA5">
      <w:pPr>
        <w:spacing w:after="120"/>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Si la présente communication se concentre sur l’action au sein de l’Union européenne, elle prévoit également l’échange et le partage d’expériences et d’informations avec les pays partenaires de l’UE. Le secteur et le domaine d’action sur lesquels porte le présent document sont largement alignés sur les décisions relatives à l’adaptation au changement climatique prises lors de la COP 28 de la CCNUCC à Dubaï. La Commission intégrera en amont les sujets pertinents aussi bien dans des cadres bilatéraux (alliances et partenariats verts) que dans les instances concernées des Nations unies et d’autres enceintes multilatérales (G7, G20, OCDE, FEM, OMC, etc.).</w:t>
      </w:r>
      <w:r>
        <w:rPr>
          <w:rFonts w:ascii="Times New Roman" w:hAnsi="Times New Roman"/>
          <w:noProof/>
          <w:color w:val="000000" w:themeColor="text1"/>
          <w:sz w:val="24"/>
        </w:rPr>
        <w:t xml:space="preserve"> La Commission étudiera la possibilité d’organiser un colloque international sur la gestion des risques climatiques mondiaux en 2025, réunissant des représentants des gouvernements, des bailleurs de fonds et des organisations spécialisées du monde entier. </w:t>
      </w:r>
    </w:p>
    <w:p w14:paraId="0FB24F29" w14:textId="60280C48" w:rsidR="003B472B" w:rsidRPr="00755240" w:rsidRDefault="005D1C82" w:rsidP="00F01461">
      <w:pPr>
        <w:spacing w:after="120"/>
        <w:jc w:val="both"/>
        <w:textAlignment w:val="baseline"/>
        <w:rPr>
          <w:rFonts w:ascii="Times New Roman" w:hAnsi="Times New Roman"/>
          <w:b/>
          <w:noProof/>
          <w:sz w:val="24"/>
        </w:rPr>
      </w:pPr>
      <w:r>
        <w:rPr>
          <w:rFonts w:ascii="Times New Roman" w:hAnsi="Times New Roman"/>
          <w:b/>
          <w:noProof/>
          <w:sz w:val="24"/>
        </w:rPr>
        <w:t>La Commission continuera de travailler avec les États membres, le public, les entreprises et les autres institutions de l’UE afin d’accroître la résilience de la société et de l’économie européennes.</w:t>
      </w:r>
      <w:r>
        <w:rPr>
          <w:rFonts w:ascii="Times New Roman" w:hAnsi="Times New Roman"/>
          <w:b/>
          <w:noProof/>
          <w:color w:val="000000" w:themeColor="text1"/>
          <w:sz w:val="24"/>
        </w:rPr>
        <w:t xml:space="preserve"> Ensemble, nous pouvons protéger les personnes et la prospérité.</w:t>
      </w:r>
    </w:p>
    <w:sectPr w:rsidR="003B472B" w:rsidRPr="00755240" w:rsidSect="00915255">
      <w:headerReference w:type="even" r:id="rId21"/>
      <w:headerReference w:type="default" r:id="rId22"/>
      <w:footerReference w:type="even" r:id="rId23"/>
      <w:footerReference w:type="default" r:id="rId24"/>
      <w:headerReference w:type="first" r:id="rId25"/>
      <w:footerReference w:type="first" r:id="rId26"/>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F08E36" w14:textId="77777777" w:rsidR="006848B1" w:rsidRDefault="006848B1" w:rsidP="003F1FF2">
      <w:pPr>
        <w:spacing w:after="0" w:line="240" w:lineRule="auto"/>
      </w:pPr>
      <w:r>
        <w:separator/>
      </w:r>
    </w:p>
  </w:endnote>
  <w:endnote w:type="continuationSeparator" w:id="0">
    <w:p w14:paraId="36C1655D" w14:textId="77777777" w:rsidR="006848B1" w:rsidRDefault="006848B1" w:rsidP="003F1FF2">
      <w:pPr>
        <w:spacing w:after="0" w:line="240" w:lineRule="auto"/>
      </w:pPr>
      <w:r>
        <w:continuationSeparator/>
      </w:r>
    </w:p>
  </w:endnote>
  <w:endnote w:type="continuationNotice" w:id="1">
    <w:p w14:paraId="0EB776F2" w14:textId="77777777" w:rsidR="006848B1" w:rsidRDefault="006848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25B0B3" w14:textId="11F0C135" w:rsidR="00B55939" w:rsidRPr="00B55939" w:rsidRDefault="00B55939" w:rsidP="00B55939">
    <w:pPr>
      <w:pStyle w:val="FooterCoverPage"/>
      <w:rPr>
        <w:rFonts w:ascii="Arial" w:hAnsi="Arial" w:cs="Arial"/>
        <w:b/>
        <w:sz w:val="48"/>
      </w:rPr>
    </w:pPr>
    <w:r w:rsidRPr="00B55939">
      <w:rPr>
        <w:rFonts w:ascii="Arial" w:hAnsi="Arial" w:cs="Arial"/>
        <w:b/>
        <w:sz w:val="48"/>
      </w:rPr>
      <w:t>FR</w:t>
    </w:r>
    <w:r w:rsidRPr="00B55939">
      <w:rPr>
        <w:rFonts w:ascii="Arial" w:hAnsi="Arial" w:cs="Arial"/>
        <w:b/>
        <w:sz w:val="48"/>
      </w:rPr>
      <w:tab/>
    </w:r>
    <w:r w:rsidRPr="00B55939">
      <w:rPr>
        <w:rFonts w:ascii="Arial" w:hAnsi="Arial" w:cs="Arial"/>
        <w:b/>
        <w:sz w:val="48"/>
      </w:rPr>
      <w:tab/>
    </w:r>
    <w:r w:rsidRPr="00B55939">
      <w:tab/>
    </w:r>
    <w:r w:rsidRPr="00B55939">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A66B4C" w14:textId="68C63001" w:rsidR="00B55939" w:rsidRPr="00B55939" w:rsidRDefault="00B55939" w:rsidP="00B55939">
    <w:pPr>
      <w:pStyle w:val="FooterCoverPage"/>
      <w:rPr>
        <w:rFonts w:ascii="Arial" w:hAnsi="Arial" w:cs="Arial"/>
        <w:b/>
        <w:sz w:val="48"/>
      </w:rPr>
    </w:pPr>
    <w:r w:rsidRPr="00B55939">
      <w:rPr>
        <w:rFonts w:ascii="Arial" w:hAnsi="Arial" w:cs="Arial"/>
        <w:b/>
        <w:sz w:val="48"/>
      </w:rPr>
      <w:t>FR</w:t>
    </w:r>
    <w:r w:rsidRPr="00B55939">
      <w:rPr>
        <w:rFonts w:ascii="Arial" w:hAnsi="Arial" w:cs="Arial"/>
        <w:b/>
        <w:sz w:val="48"/>
      </w:rPr>
      <w:tab/>
    </w:r>
    <w:r w:rsidRPr="00B55939">
      <w:rPr>
        <w:rFonts w:ascii="Arial" w:hAnsi="Arial" w:cs="Arial"/>
        <w:b/>
        <w:sz w:val="48"/>
      </w:rPr>
      <w:tab/>
    </w:r>
    <w:r w:rsidRPr="00B55939">
      <w:tab/>
    </w:r>
    <w:r w:rsidRPr="00B55939">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0005A2" w14:textId="77777777" w:rsidR="00B55939" w:rsidRPr="00B55939" w:rsidRDefault="00B55939" w:rsidP="00B5593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701DD3" w14:textId="77777777" w:rsidR="00915255" w:rsidRDefault="0091525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5407010"/>
      <w:docPartObj>
        <w:docPartGallery w:val="Page Numbers (Bottom of Page)"/>
        <w:docPartUnique/>
      </w:docPartObj>
    </w:sdtPr>
    <w:sdtEndPr>
      <w:rPr>
        <w:noProof/>
      </w:rPr>
    </w:sdtEndPr>
    <w:sdtContent>
      <w:p w14:paraId="65F03D3E" w14:textId="6590F180" w:rsidR="00915255" w:rsidRDefault="00915255">
        <w:pPr>
          <w:pStyle w:val="Footer"/>
          <w:jc w:val="center"/>
        </w:pPr>
        <w:r>
          <w:fldChar w:fldCharType="begin"/>
        </w:r>
        <w:r>
          <w:instrText xml:space="preserve"> PAGE   \* MERGEFORMAT </w:instrText>
        </w:r>
        <w:r>
          <w:fldChar w:fldCharType="separate"/>
        </w:r>
        <w:r w:rsidR="00B55939">
          <w:rPr>
            <w:noProof/>
          </w:rPr>
          <w:t>1</w:t>
        </w:r>
        <w:r>
          <w:fldChar w:fldCharType="end"/>
        </w:r>
      </w:p>
    </w:sdtContent>
  </w:sdt>
  <w:p w14:paraId="4C6A6D95" w14:textId="77777777" w:rsidR="00915255" w:rsidRDefault="0091525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DA1DE" w14:textId="77777777" w:rsidR="00915255" w:rsidRDefault="009152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1A6FC4" w14:textId="77777777" w:rsidR="006848B1" w:rsidRDefault="006848B1" w:rsidP="003F1FF2">
      <w:pPr>
        <w:spacing w:after="0" w:line="240" w:lineRule="auto"/>
      </w:pPr>
      <w:r>
        <w:separator/>
      </w:r>
    </w:p>
  </w:footnote>
  <w:footnote w:type="continuationSeparator" w:id="0">
    <w:p w14:paraId="34618140" w14:textId="77777777" w:rsidR="006848B1" w:rsidRDefault="006848B1" w:rsidP="003F1FF2">
      <w:pPr>
        <w:spacing w:after="0" w:line="240" w:lineRule="auto"/>
      </w:pPr>
      <w:r>
        <w:continuationSeparator/>
      </w:r>
    </w:p>
  </w:footnote>
  <w:footnote w:type="continuationNotice" w:id="1">
    <w:p w14:paraId="1E958A66" w14:textId="77777777" w:rsidR="006848B1" w:rsidRDefault="006848B1">
      <w:pPr>
        <w:spacing w:after="0" w:line="240" w:lineRule="auto"/>
      </w:pPr>
    </w:p>
  </w:footnote>
  <w:footnote w:id="2">
    <w:p w14:paraId="2FB16C84" w14:textId="17F779A7" w:rsidR="0049438C" w:rsidRPr="00B9056B" w:rsidRDefault="0049438C">
      <w:pPr>
        <w:pStyle w:val="FootnoteText"/>
        <w:rPr>
          <w:lang w:val="en-US"/>
        </w:rPr>
      </w:pPr>
      <w:r>
        <w:rPr>
          <w:rStyle w:val="FootnoteReference"/>
        </w:rPr>
        <w:footnoteRef/>
      </w:r>
      <w:r w:rsidRPr="00B9056B">
        <w:rPr>
          <w:lang w:val="en-US"/>
        </w:rPr>
        <w:t xml:space="preserve"> COM(2024) 63 final, </w:t>
      </w:r>
      <w:hyperlink r:id="rId1" w:history="1">
        <w:r w:rsidRPr="00B9056B">
          <w:rPr>
            <w:rStyle w:val="Hyperlink"/>
            <w:lang w:val="en-US"/>
          </w:rPr>
          <w:t>https://eur-lex.europa.eu/legal-content/FR/TXT/?uri=COM%3A2024%3A63%3AFIN</w:t>
        </w:r>
      </w:hyperlink>
    </w:p>
  </w:footnote>
  <w:footnote w:id="3">
    <w:p w14:paraId="174C2E86" w14:textId="52D8D331" w:rsidR="00A002CB" w:rsidRPr="00B9056B" w:rsidRDefault="00A002CB">
      <w:pPr>
        <w:pStyle w:val="FootnoteText"/>
        <w:rPr>
          <w:lang w:val="en-US"/>
        </w:rPr>
      </w:pPr>
      <w:r>
        <w:rPr>
          <w:rStyle w:val="FootnoteReference"/>
        </w:rPr>
        <w:footnoteRef/>
      </w:r>
      <w:r w:rsidRPr="00B9056B">
        <w:rPr>
          <w:lang w:val="en-US"/>
        </w:rPr>
        <w:t xml:space="preserve"> </w:t>
      </w:r>
      <w:hyperlink r:id="rId2" w:history="1">
        <w:r w:rsidRPr="00B9056B">
          <w:rPr>
            <w:rStyle w:val="Hyperlink"/>
            <w:lang w:val="en-US"/>
          </w:rPr>
          <w:t>https://climate.copernicus.eu/copernicus-2023-hottest-year-record</w:t>
        </w:r>
      </w:hyperlink>
      <w:r w:rsidRPr="00B9056B">
        <w:rPr>
          <w:lang w:val="en-US"/>
        </w:rPr>
        <w:t xml:space="preserve"> </w:t>
      </w:r>
    </w:p>
  </w:footnote>
  <w:footnote w:id="4">
    <w:p w14:paraId="28C2380D" w14:textId="04D73A8B" w:rsidR="001364A4" w:rsidRPr="008B49EC" w:rsidRDefault="001364A4" w:rsidP="00701176">
      <w:pPr>
        <w:pStyle w:val="FootnoteText"/>
        <w:jc w:val="left"/>
      </w:pPr>
      <w:r>
        <w:rPr>
          <w:rStyle w:val="FootnoteReference"/>
        </w:rPr>
        <w:footnoteRef/>
      </w:r>
      <w:r>
        <w:rPr>
          <w:rFonts w:asciiTheme="minorHAnsi" w:hAnsiTheme="minorHAnsi"/>
          <w:sz w:val="22"/>
        </w:rPr>
        <w:t xml:space="preserve"> </w:t>
      </w:r>
      <w:r>
        <w:t xml:space="preserve">AEE (2024), Évaluation européenne des risques climatiques, ISSN 1977-8449. </w:t>
      </w:r>
      <w:hyperlink r:id="rId3" w:history="1">
        <w:r>
          <w:rPr>
            <w:rStyle w:val="Hyperlink"/>
          </w:rPr>
          <w:t>https://www.eea.europa.eu/publications/european-climate-risk-assessment</w:t>
        </w:r>
      </w:hyperlink>
      <w:r>
        <w:t xml:space="preserve"> </w:t>
      </w:r>
    </w:p>
  </w:footnote>
  <w:footnote w:id="5">
    <w:p w14:paraId="0F1F6333" w14:textId="77777777" w:rsidR="00202AD4" w:rsidRPr="003439FE" w:rsidRDefault="00202AD4" w:rsidP="00202AD4">
      <w:pPr>
        <w:pStyle w:val="FootnoteText"/>
      </w:pPr>
      <w:r>
        <w:rPr>
          <w:rStyle w:val="FootnoteReference"/>
        </w:rPr>
        <w:footnoteRef/>
      </w:r>
      <w:r>
        <w:t xml:space="preserve"> </w:t>
      </w:r>
      <w:hyperlink r:id="rId4" w:history="1">
        <w:r>
          <w:rPr>
            <w:rStyle w:val="Hyperlink"/>
          </w:rPr>
          <w:t>https://www.weforum.org/publications/global-risks-report-2024/</w:t>
        </w:r>
      </w:hyperlink>
      <w:r>
        <w:t xml:space="preserve"> </w:t>
      </w:r>
    </w:p>
  </w:footnote>
  <w:footnote w:id="6">
    <w:p w14:paraId="422D5DC4" w14:textId="03B0052D" w:rsidR="00202AD4" w:rsidRPr="003439FE" w:rsidRDefault="00202AD4" w:rsidP="00202AD4">
      <w:pPr>
        <w:pStyle w:val="FootnoteText"/>
      </w:pPr>
      <w:r>
        <w:rPr>
          <w:rStyle w:val="FootnoteReference"/>
        </w:rPr>
        <w:footnoteRef/>
      </w:r>
      <w:r>
        <w:t xml:space="preserve"> </w:t>
      </w:r>
      <w:hyperlink r:id="rId5" w:history="1">
        <w:r>
          <w:rPr>
            <w:rStyle w:val="Hyperlink"/>
          </w:rPr>
          <w:t>https://www.ecb.europa.eu/press/pr/date/2023/html/ecb.pr231218_1~6b3bea9532.en.html</w:t>
        </w:r>
      </w:hyperlink>
      <w:r>
        <w:t xml:space="preserve"> </w:t>
      </w:r>
    </w:p>
  </w:footnote>
  <w:footnote w:id="7">
    <w:p w14:paraId="29D84196" w14:textId="22D8E179" w:rsidR="00082DDA" w:rsidRPr="000B0E9A" w:rsidRDefault="00082DDA">
      <w:pPr>
        <w:pStyle w:val="FootnoteText"/>
      </w:pPr>
      <w:r>
        <w:rPr>
          <w:rStyle w:val="FootnoteReference"/>
        </w:rPr>
        <w:footnoteRef/>
      </w:r>
      <w:r>
        <w:t xml:space="preserve"> P9_TA(2022)0330. </w:t>
      </w:r>
      <w:hyperlink r:id="rId6" w:history="1">
        <w:r>
          <w:rPr>
            <w:rStyle w:val="Hyperlink"/>
          </w:rPr>
          <w:t>https://www.europarl.europa.eu/doceo/document/TA-9-2022-0330_FR.html</w:t>
        </w:r>
      </w:hyperlink>
      <w:r>
        <w:t xml:space="preserve"> </w:t>
      </w:r>
    </w:p>
  </w:footnote>
  <w:footnote w:id="8">
    <w:p w14:paraId="3CE6D5B0" w14:textId="77777777" w:rsidR="00566DC0" w:rsidRPr="00BB6BA8" w:rsidRDefault="00566DC0" w:rsidP="00566DC0">
      <w:pPr>
        <w:pStyle w:val="FootnoteText"/>
      </w:pPr>
      <w:r>
        <w:rPr>
          <w:rStyle w:val="FootnoteReference"/>
        </w:rPr>
        <w:footnoteRef/>
      </w:r>
      <w:r>
        <w:t xml:space="preserve"> EUCO 14/23. </w:t>
      </w:r>
      <w:hyperlink r:id="rId7" w:history="1">
        <w:r>
          <w:rPr>
            <w:rStyle w:val="Hyperlink"/>
          </w:rPr>
          <w:t>https://www.consilium.europa.eu/media/67640/20231027-european-council-conclusions-fr.pdf</w:t>
        </w:r>
      </w:hyperlink>
      <w:r>
        <w:t xml:space="preserve"> </w:t>
      </w:r>
    </w:p>
  </w:footnote>
  <w:footnote w:id="9">
    <w:p w14:paraId="7776C871" w14:textId="77777777" w:rsidR="00050DE4" w:rsidRPr="00B9056B" w:rsidRDefault="00050DE4" w:rsidP="00050DE4">
      <w:pPr>
        <w:pStyle w:val="FootnoteText"/>
        <w:rPr>
          <w:color w:val="0000FF" w:themeColor="hyperlink"/>
          <w:u w:val="single"/>
          <w:lang w:val="en-US"/>
        </w:rPr>
      </w:pPr>
      <w:r>
        <w:rPr>
          <w:rStyle w:val="FootnoteReference"/>
        </w:rPr>
        <w:footnoteRef/>
      </w:r>
      <w:r w:rsidRPr="00B9056B">
        <w:rPr>
          <w:lang w:val="en-US"/>
        </w:rPr>
        <w:t xml:space="preserve"> SWD(2023) 339 final, </w:t>
      </w:r>
      <w:hyperlink r:id="rId8" w:history="1">
        <w:r w:rsidRPr="00B9056B">
          <w:rPr>
            <w:rStyle w:val="Hyperlink"/>
            <w:lang w:val="en-US"/>
          </w:rPr>
          <w:t>https://eur-lex.europa.eu/legal-content/EN/ALL/?uri=CELEX:52023SC0339</w:t>
        </w:r>
      </w:hyperlink>
    </w:p>
  </w:footnote>
  <w:footnote w:id="10">
    <w:p w14:paraId="1350A12C" w14:textId="67E89D26" w:rsidR="00050DE4" w:rsidRPr="00B9056B" w:rsidRDefault="00050DE4" w:rsidP="00050DE4">
      <w:pPr>
        <w:pStyle w:val="FootnoteText"/>
        <w:rPr>
          <w:lang w:val="en-US"/>
        </w:rPr>
      </w:pPr>
      <w:r>
        <w:rPr>
          <w:rStyle w:val="FootnoteReference"/>
        </w:rPr>
        <w:footnoteRef/>
      </w:r>
      <w:r w:rsidRPr="00B9056B">
        <w:rPr>
          <w:lang w:val="en-US"/>
        </w:rPr>
        <w:t xml:space="preserve"> SWD(2023) 932 final, </w:t>
      </w:r>
      <w:hyperlink r:id="rId9" w:history="1">
        <w:r w:rsidRPr="00B9056B">
          <w:rPr>
            <w:rStyle w:val="Hyperlink"/>
            <w:lang w:val="en-US"/>
          </w:rPr>
          <w:t>https://climate.ec.europa.eu/system/files/2023-12/SWD_2023_932_1_EN.pdf</w:t>
        </w:r>
      </w:hyperlink>
      <w:r w:rsidRPr="00B9056B">
        <w:rPr>
          <w:lang w:val="en-US"/>
        </w:rPr>
        <w:t xml:space="preserve"> </w:t>
      </w:r>
    </w:p>
  </w:footnote>
  <w:footnote w:id="11">
    <w:p w14:paraId="663AD807" w14:textId="600200B2" w:rsidR="00B809D0" w:rsidRPr="00B9056B" w:rsidRDefault="00B809D0" w:rsidP="005A32D6">
      <w:pPr>
        <w:pStyle w:val="FootnoteText"/>
        <w:jc w:val="left"/>
        <w:rPr>
          <w:lang w:val="en-US"/>
        </w:rPr>
      </w:pPr>
      <w:r>
        <w:rPr>
          <w:rStyle w:val="FootnoteReference"/>
        </w:rPr>
        <w:footnoteRef/>
      </w:r>
      <w:r w:rsidRPr="00B9056B">
        <w:rPr>
          <w:lang w:val="en-US"/>
        </w:rPr>
        <w:t xml:space="preserve"> </w:t>
      </w:r>
      <w:hyperlink r:id="rId10" w:history="1">
        <w:r w:rsidRPr="00B9056B">
          <w:rPr>
            <w:rStyle w:val="Hyperlink"/>
            <w:lang w:val="en-US"/>
          </w:rPr>
          <w:t>https://commission.europa.eu/energy-climate-change-environment/implementation-eu-countries/energy-and-climate-governance-and-reporting/national-energy-and-climate-plans_en</w:t>
        </w:r>
      </w:hyperlink>
      <w:r w:rsidRPr="00B9056B">
        <w:rPr>
          <w:lang w:val="en-US"/>
        </w:rPr>
        <w:t xml:space="preserve">  </w:t>
      </w:r>
    </w:p>
  </w:footnote>
  <w:footnote w:id="12">
    <w:p w14:paraId="5B56BA62" w14:textId="4EDF2B27" w:rsidR="008573D8" w:rsidRPr="00B9056B" w:rsidRDefault="008573D8" w:rsidP="008573D8">
      <w:pPr>
        <w:pStyle w:val="FootnoteText"/>
        <w:rPr>
          <w:lang w:val="en-US"/>
        </w:rPr>
      </w:pPr>
      <w:r>
        <w:rPr>
          <w:rStyle w:val="FootnoteReference"/>
        </w:rPr>
        <w:footnoteRef/>
      </w:r>
      <w:r w:rsidRPr="00B9056B">
        <w:rPr>
          <w:lang w:val="en-US"/>
        </w:rPr>
        <w:t xml:space="preserve"> COM(2024) 130 final, </w:t>
      </w:r>
      <w:hyperlink r:id="rId11" w:history="1">
        <w:r w:rsidRPr="00B9056B">
          <w:rPr>
            <w:rStyle w:val="Hyperlink"/>
            <w:lang w:val="en-US"/>
          </w:rPr>
          <w:t>https://civil-protection-humanitarian-aid.ec.europa.eu/what/civil-protection/european-disaster-risk-management_fr</w:t>
        </w:r>
      </w:hyperlink>
      <w:r w:rsidRPr="00B9056B">
        <w:rPr>
          <w:lang w:val="en-US"/>
        </w:rPr>
        <w:t xml:space="preserve"> </w:t>
      </w:r>
    </w:p>
  </w:footnote>
  <w:footnote w:id="13">
    <w:p w14:paraId="415FDB94" w14:textId="5612A780" w:rsidR="008E56D1" w:rsidRPr="00B9056B" w:rsidRDefault="008E56D1" w:rsidP="008E56D1">
      <w:pPr>
        <w:pStyle w:val="FootnoteText"/>
        <w:rPr>
          <w:lang w:val="en-US"/>
        </w:rPr>
      </w:pPr>
      <w:r>
        <w:rPr>
          <w:rStyle w:val="FootnoteReference"/>
        </w:rPr>
        <w:footnoteRef/>
      </w:r>
      <w:r w:rsidRPr="00B9056B">
        <w:rPr>
          <w:lang w:val="en-US"/>
        </w:rPr>
        <w:t xml:space="preserve"> JOIN(2023) 19 final, </w:t>
      </w:r>
      <w:hyperlink r:id="rId12" w:history="1">
        <w:r w:rsidRPr="00B9056B">
          <w:rPr>
            <w:rStyle w:val="Hyperlink"/>
            <w:lang w:val="en-US"/>
          </w:rPr>
          <w:t>https://eur-lex.europa.eu/legal-content/FR/TXT/?uri=CELEX%3A52023JC0019</w:t>
        </w:r>
      </w:hyperlink>
      <w:r w:rsidRPr="00B9056B">
        <w:rPr>
          <w:lang w:val="en-US"/>
        </w:rPr>
        <w:t xml:space="preserve"> </w:t>
      </w:r>
    </w:p>
  </w:footnote>
  <w:footnote w:id="14">
    <w:p w14:paraId="4C7AF43B" w14:textId="77777777" w:rsidR="00A70A3C" w:rsidRPr="00EF5256" w:rsidRDefault="00A70A3C" w:rsidP="00A70A3C">
      <w:pPr>
        <w:pStyle w:val="FootnoteText"/>
      </w:pPr>
      <w:r>
        <w:rPr>
          <w:rStyle w:val="FootnoteReference"/>
        </w:rPr>
        <w:footnoteRef/>
      </w:r>
      <w:r>
        <w:t xml:space="preserve"> Communication COM(2021) 82 </w:t>
      </w:r>
      <w:hyperlink r:id="rId13" w:history="1">
        <w:r>
          <w:rPr>
            <w:rStyle w:val="Hyperlink"/>
          </w:rPr>
          <w:t>https://eur-lex.europa.eu/legal-content/FR/TXT/PDF/?uri=CELEX:52021DC0082&amp;from=FR</w:t>
        </w:r>
      </w:hyperlink>
    </w:p>
  </w:footnote>
  <w:footnote w:id="15">
    <w:p w14:paraId="6D62BDB8" w14:textId="0CAECF1C" w:rsidR="00D7188A" w:rsidRPr="0090450C" w:rsidRDefault="00D7188A" w:rsidP="00D7188A">
      <w:pPr>
        <w:pStyle w:val="FootnoteText"/>
      </w:pPr>
      <w:r>
        <w:rPr>
          <w:rStyle w:val="FootnoteReference"/>
        </w:rPr>
        <w:footnoteRef/>
      </w:r>
      <w:r>
        <w:t xml:space="preserve"> CMA.5 Décision relative au programme de travail Glasgow-Sharm el-Sheikh sur l’objectif mondial en matière d’adaptation. </w:t>
      </w:r>
    </w:p>
  </w:footnote>
  <w:footnote w:id="16">
    <w:p w14:paraId="67984363" w14:textId="77777777" w:rsidR="00582114" w:rsidRPr="00B9056B" w:rsidRDefault="00582114" w:rsidP="00582114">
      <w:pPr>
        <w:pStyle w:val="FootnoteText"/>
        <w:jc w:val="left"/>
        <w:rPr>
          <w:lang w:val="en-US"/>
        </w:rPr>
      </w:pPr>
      <w:r>
        <w:rPr>
          <w:rStyle w:val="FootnoteReference"/>
        </w:rPr>
        <w:footnoteRef/>
      </w:r>
      <w:r w:rsidRPr="00B9056B">
        <w:rPr>
          <w:lang w:val="en-US"/>
        </w:rPr>
        <w:t xml:space="preserve"> SWD(2024) 63 final. </w:t>
      </w:r>
      <w:hyperlink r:id="rId14" w:history="1">
        <w:r w:rsidRPr="00B9056B">
          <w:rPr>
            <w:rStyle w:val="Hyperlink"/>
            <w:lang w:val="en-US"/>
          </w:rPr>
          <w:t>https://climate.ec.europa.eu/document/download/768bc81f-5f48-48e3-b4d4-e02ba09faca1_en</w:t>
        </w:r>
      </w:hyperlink>
      <w:r w:rsidRPr="00B9056B">
        <w:rPr>
          <w:lang w:val="en-US"/>
        </w:rPr>
        <w:t xml:space="preserve"> </w:t>
      </w:r>
    </w:p>
  </w:footnote>
  <w:footnote w:id="17">
    <w:p w14:paraId="575E217A" w14:textId="70CAA85E" w:rsidR="00582114" w:rsidRPr="00B9056B" w:rsidRDefault="00582114" w:rsidP="00582114">
      <w:pPr>
        <w:pStyle w:val="FootnoteText"/>
        <w:rPr>
          <w:lang w:val="en-US"/>
        </w:rPr>
      </w:pPr>
      <w:r>
        <w:rPr>
          <w:rStyle w:val="FootnoteReference"/>
        </w:rPr>
        <w:footnoteRef/>
      </w:r>
      <w:r w:rsidRPr="00B9056B">
        <w:rPr>
          <w:lang w:val="en-US"/>
        </w:rPr>
        <w:t xml:space="preserve"> </w:t>
      </w:r>
      <w:r w:rsidRPr="00B9056B">
        <w:rPr>
          <w:rStyle w:val="cf01"/>
          <w:rFonts w:ascii="Times New Roman" w:hAnsi="Times New Roman"/>
          <w:color w:val="0000FF"/>
          <w:sz w:val="20"/>
          <w:u w:val="single"/>
          <w:lang w:val="en-US"/>
        </w:rPr>
        <w:t>https://www.nature.com/articles/s41467-020-15665-3</w:t>
      </w:r>
    </w:p>
  </w:footnote>
  <w:footnote w:id="18">
    <w:p w14:paraId="78404492" w14:textId="2F93C928" w:rsidR="000B141D" w:rsidRPr="000B141D" w:rsidRDefault="000B141D">
      <w:pPr>
        <w:pStyle w:val="FootnoteText"/>
      </w:pPr>
      <w:r>
        <w:rPr>
          <w:rStyle w:val="FootnoteReference"/>
        </w:rPr>
        <w:footnoteRef/>
      </w:r>
      <w:r>
        <w:t xml:space="preserve"> Pour les politiques de l’Union, conformément à l’article 191 du traité sur le fonctionnement de l’Union européenne.</w:t>
      </w:r>
    </w:p>
  </w:footnote>
  <w:footnote w:id="19">
    <w:p w14:paraId="4B61E419" w14:textId="62875F64" w:rsidR="00FF67E3" w:rsidRPr="00B9056B" w:rsidRDefault="00FF67E3" w:rsidP="00FF67E3">
      <w:pPr>
        <w:pStyle w:val="FootnoteText"/>
        <w:rPr>
          <w:lang w:val="en-US"/>
        </w:rPr>
      </w:pPr>
      <w:r>
        <w:rPr>
          <w:rStyle w:val="FootnoteReference"/>
        </w:rPr>
        <w:footnoteRef/>
      </w:r>
      <w:r w:rsidRPr="00B9056B">
        <w:rPr>
          <w:lang w:val="en-US"/>
        </w:rPr>
        <w:t xml:space="preserve"> 2021 International Bank for Reconstruction and Development / The World Bank «Economics for Disaster Prevention and Preparedness: Investment in Disaster Risk management in Europe Makes Economic Sense».</w:t>
      </w:r>
    </w:p>
  </w:footnote>
  <w:footnote w:id="20">
    <w:p w14:paraId="05787910" w14:textId="1A5BACBA" w:rsidR="00FF67E3" w:rsidRPr="00DC1F2B" w:rsidRDefault="00FF67E3" w:rsidP="00FF67E3">
      <w:pPr>
        <w:pStyle w:val="FootnoteText"/>
      </w:pPr>
      <w:r>
        <w:rPr>
          <w:rStyle w:val="FootnoteReference"/>
        </w:rPr>
        <w:footnoteRef/>
      </w:r>
      <w:r>
        <w:t xml:space="preserve"> Recommandation relative aux objectifs de l’Union en matière de résilience face aux catastrophes (JO C 56 du 15.2.2023).</w:t>
      </w:r>
    </w:p>
  </w:footnote>
  <w:footnote w:id="21">
    <w:p w14:paraId="5E0B3D0D" w14:textId="5C857355" w:rsidR="001355AB" w:rsidRDefault="001355AB" w:rsidP="001355AB">
      <w:pPr>
        <w:pStyle w:val="FootnoteText"/>
      </w:pPr>
      <w:r>
        <w:rPr>
          <w:rStyle w:val="FootnoteReference"/>
        </w:rPr>
        <w:footnoteRef/>
      </w:r>
      <w:r>
        <w:t xml:space="preserve"> </w:t>
      </w:r>
      <w:hyperlink r:id="rId15" w:history="1">
        <w:r>
          <w:rPr>
            <w:rStyle w:val="Hyperlink"/>
          </w:rPr>
          <w:t>https://dataspace.copernicus.eu/</w:t>
        </w:r>
      </w:hyperlink>
      <w:r>
        <w:t xml:space="preserve"> </w:t>
      </w:r>
    </w:p>
  </w:footnote>
  <w:footnote w:id="22">
    <w:p w14:paraId="7031F8A2" w14:textId="6FA27646" w:rsidR="001355AB" w:rsidRDefault="001355AB" w:rsidP="001355AB">
      <w:pPr>
        <w:pStyle w:val="FootnoteText"/>
      </w:pPr>
      <w:r>
        <w:rPr>
          <w:rStyle w:val="FootnoteReference"/>
        </w:rPr>
        <w:footnoteRef/>
      </w:r>
      <w:r>
        <w:t xml:space="preserve"> </w:t>
      </w:r>
      <w:hyperlink r:id="rId16" w:history="1">
        <w:r>
          <w:rPr>
            <w:rStyle w:val="Hyperlink"/>
          </w:rPr>
          <w:t>https://www.wekeo.eu/</w:t>
        </w:r>
      </w:hyperlink>
      <w:r>
        <w:t xml:space="preserve"> </w:t>
      </w:r>
    </w:p>
  </w:footnote>
  <w:footnote w:id="23">
    <w:p w14:paraId="41EA95C6" w14:textId="482F0C74" w:rsidR="002F1D2F" w:rsidRPr="00B9056B" w:rsidRDefault="002F1D2F" w:rsidP="002F1D2F">
      <w:pPr>
        <w:pStyle w:val="FootnoteText"/>
        <w:rPr>
          <w:lang w:val="en-US"/>
        </w:rPr>
      </w:pPr>
      <w:r>
        <w:rPr>
          <w:rStyle w:val="FootnoteReference"/>
        </w:rPr>
        <w:footnoteRef/>
      </w:r>
      <w:r w:rsidRPr="00B9056B">
        <w:rPr>
          <w:lang w:val="en-US"/>
        </w:rPr>
        <w:t xml:space="preserve"> COM(2023) 728 final. </w:t>
      </w:r>
      <w:hyperlink r:id="rId17" w:history="1">
        <w:r w:rsidRPr="00B9056B">
          <w:rPr>
            <w:rStyle w:val="Hyperlink"/>
            <w:lang w:val="en-US"/>
          </w:rPr>
          <w:t>https://eur-lex.europa.eu/legal-content/FR/TXT/?uri=COM%3A2023%3A728%3AFIN</w:t>
        </w:r>
      </w:hyperlink>
      <w:r w:rsidRPr="00B9056B">
        <w:rPr>
          <w:lang w:val="en-US"/>
        </w:rPr>
        <w:t xml:space="preserve"> </w:t>
      </w:r>
    </w:p>
  </w:footnote>
  <w:footnote w:id="24">
    <w:p w14:paraId="5B8663C5" w14:textId="4C49A60C" w:rsidR="007B69D8" w:rsidRPr="00B9056B" w:rsidRDefault="007B69D8" w:rsidP="007B69D8">
      <w:pPr>
        <w:pStyle w:val="FootnoteText"/>
        <w:rPr>
          <w:lang w:val="en-US"/>
        </w:rPr>
      </w:pPr>
      <w:r>
        <w:rPr>
          <w:rStyle w:val="FootnoteReference"/>
        </w:rPr>
        <w:footnoteRef/>
      </w:r>
      <w:r w:rsidRPr="00B9056B">
        <w:rPr>
          <w:lang w:val="en-US"/>
        </w:rPr>
        <w:t xml:space="preserve"> COM(2023) 416 final. </w:t>
      </w:r>
      <w:hyperlink r:id="rId18" w:history="1">
        <w:r w:rsidRPr="00B9056B">
          <w:rPr>
            <w:rStyle w:val="Hyperlink"/>
            <w:lang w:val="en-US"/>
          </w:rPr>
          <w:t>https://eur-lex.europa.eu/legal-content/FR/TXT/?uri=CELEX%3A52023PC0416</w:t>
        </w:r>
      </w:hyperlink>
      <w:r w:rsidRPr="00B9056B">
        <w:rPr>
          <w:lang w:val="en-US"/>
        </w:rPr>
        <w:t xml:space="preserve"> </w:t>
      </w:r>
    </w:p>
  </w:footnote>
  <w:footnote w:id="25">
    <w:p w14:paraId="78A50AC1" w14:textId="2AAA18BB" w:rsidR="00FD5E36" w:rsidRPr="00F434C8" w:rsidRDefault="00FD5E36" w:rsidP="00FD5E36">
      <w:pPr>
        <w:pStyle w:val="FootnoteText"/>
      </w:pPr>
      <w:r>
        <w:rPr>
          <w:rStyle w:val="FootnoteReference"/>
        </w:rPr>
        <w:footnoteRef/>
      </w:r>
      <w:r>
        <w:t xml:space="preserve"> Par exemple, EFAS, EFFIS et EDO.</w:t>
      </w:r>
    </w:p>
  </w:footnote>
  <w:footnote w:id="26">
    <w:p w14:paraId="77D728A7" w14:textId="77777777" w:rsidR="00F40219" w:rsidRPr="00F434C8" w:rsidRDefault="00F40219" w:rsidP="00F40219">
      <w:pPr>
        <w:pStyle w:val="FootnoteText"/>
      </w:pPr>
      <w:r>
        <w:rPr>
          <w:rStyle w:val="FootnoteReference"/>
        </w:rPr>
        <w:footnoteRef/>
      </w:r>
      <w:r>
        <w:t xml:space="preserve"> </w:t>
      </w:r>
      <w:hyperlink r:id="rId19" w:history="1">
        <w:r>
          <w:rPr>
            <w:rStyle w:val="Hyperlink"/>
          </w:rPr>
          <w:t>https://climate-adapt.eea.europa.eu/en/knowledge/european-climate-data-explorer/</w:t>
        </w:r>
      </w:hyperlink>
      <w:r>
        <w:t xml:space="preserve"> </w:t>
      </w:r>
    </w:p>
  </w:footnote>
  <w:footnote w:id="27">
    <w:p w14:paraId="1EFAEF15" w14:textId="79B529FB" w:rsidR="00A66FC2" w:rsidRPr="00F434C8" w:rsidRDefault="00A66FC2" w:rsidP="00A66FC2">
      <w:pPr>
        <w:pStyle w:val="FootnoteText"/>
      </w:pPr>
      <w:r>
        <w:rPr>
          <w:rStyle w:val="FootnoteReference"/>
        </w:rPr>
        <w:footnoteRef/>
      </w:r>
      <w:r>
        <w:t xml:space="preserve"> </w:t>
      </w:r>
      <w:r>
        <w:rPr>
          <w:rStyle w:val="Hyperlink"/>
        </w:rPr>
        <w:t>https://discomap.eea.europa.eu/MKH/MapViewer/index.html</w:t>
      </w:r>
    </w:p>
  </w:footnote>
  <w:footnote w:id="28">
    <w:p w14:paraId="26CF0EB1" w14:textId="2877A7E9" w:rsidR="006B0A95" w:rsidRPr="00F434C8" w:rsidRDefault="006B0A95" w:rsidP="00870A15">
      <w:pPr>
        <w:pStyle w:val="FootnoteText"/>
        <w:jc w:val="left"/>
      </w:pPr>
      <w:r>
        <w:rPr>
          <w:rStyle w:val="FootnoteReference"/>
        </w:rPr>
        <w:footnoteRef/>
      </w:r>
      <w:r>
        <w:t xml:space="preserve"> </w:t>
      </w:r>
      <w:hyperlink r:id="rId20" w:anchor="/" w:history="1">
        <w:r>
          <w:rPr>
            <w:rStyle w:val="Hyperlink"/>
          </w:rPr>
          <w:t>https://drmkc.jrc.ec.europa.eu/risk-data-hub#/</w:t>
        </w:r>
      </w:hyperlink>
      <w:r>
        <w:t xml:space="preserve"> </w:t>
      </w:r>
    </w:p>
  </w:footnote>
  <w:footnote w:id="29">
    <w:p w14:paraId="143F7925" w14:textId="77777777" w:rsidR="00F40219" w:rsidRPr="00F434C8" w:rsidRDefault="00F40219" w:rsidP="00F40219">
      <w:pPr>
        <w:pStyle w:val="FootnoteText"/>
      </w:pPr>
      <w:r>
        <w:rPr>
          <w:rStyle w:val="FootnoteReference"/>
        </w:rPr>
        <w:footnoteRef/>
      </w:r>
      <w:r>
        <w:t xml:space="preserve"> </w:t>
      </w:r>
      <w:hyperlink r:id="rId21" w:history="1">
        <w:r>
          <w:rPr>
            <w:rStyle w:val="Hyperlink"/>
          </w:rPr>
          <w:t>https://climate-risk-dashboard.climateanalytics.org/</w:t>
        </w:r>
      </w:hyperlink>
      <w:r>
        <w:t xml:space="preserve"> </w:t>
      </w:r>
    </w:p>
  </w:footnote>
  <w:footnote w:id="30">
    <w:p w14:paraId="671478EE" w14:textId="7CA052C1" w:rsidR="00CD5F6E" w:rsidRPr="00E8443B" w:rsidRDefault="00CD5F6E">
      <w:pPr>
        <w:pStyle w:val="FootnoteText"/>
      </w:pPr>
      <w:r>
        <w:rPr>
          <w:rStyle w:val="FootnoteReference"/>
        </w:rPr>
        <w:footnoteRef/>
      </w:r>
      <w:r>
        <w:t xml:space="preserve"> Décrit dans le sixième rapport d'évaluation du GIEC dans le cadre du scénario SSP2-4,5, avec une valeur approximative du forçage radiatif de 4,5. </w:t>
      </w:r>
    </w:p>
  </w:footnote>
  <w:footnote w:id="31">
    <w:p w14:paraId="64B2A218" w14:textId="001C82BB" w:rsidR="00E351C4" w:rsidRPr="001E5576" w:rsidRDefault="00E351C4" w:rsidP="00E351C4">
      <w:pPr>
        <w:pStyle w:val="FootnoteText"/>
      </w:pPr>
      <w:r>
        <w:rPr>
          <w:rStyle w:val="FootnoteReference"/>
        </w:rPr>
        <w:footnoteRef/>
      </w:r>
      <w:r>
        <w:t xml:space="preserve"> </w:t>
      </w:r>
      <w:r>
        <w:rPr>
          <w:color w:val="000000"/>
        </w:rPr>
        <w:t>COM(2023), 667</w:t>
      </w:r>
      <w:r>
        <w:t xml:space="preserve"> </w:t>
      </w:r>
      <w:hyperlink r:id="rId22" w:history="1">
        <w:r>
          <w:rPr>
            <w:rStyle w:val="Hyperlink"/>
          </w:rPr>
          <w:t>https://eur-lex.europa.eu/legal-content/FR/ALL/?uri=COM:2023:667:FIN</w:t>
        </w:r>
      </w:hyperlink>
      <w:r>
        <w:rPr>
          <w:color w:val="000000"/>
        </w:rPr>
        <w:t xml:space="preserve"> </w:t>
      </w:r>
    </w:p>
  </w:footnote>
  <w:footnote w:id="32">
    <w:p w14:paraId="4E8D63CB" w14:textId="77777777" w:rsidR="006840A6" w:rsidRPr="001E5576" w:rsidRDefault="006840A6" w:rsidP="006840A6">
      <w:pPr>
        <w:pStyle w:val="FootnoteText"/>
      </w:pPr>
      <w:r>
        <w:rPr>
          <w:rStyle w:val="FootnoteReference"/>
        </w:rPr>
        <w:footnoteRef/>
      </w:r>
      <w:r>
        <w:t xml:space="preserve"> </w:t>
      </w:r>
      <w:hyperlink r:id="rId23" w:history="1">
        <w:r>
          <w:rPr>
            <w:rStyle w:val="Hyperlink"/>
          </w:rPr>
          <w:t>https://new-european-bauhaus.europa.eu/get-involved/use-compass_en</w:t>
        </w:r>
      </w:hyperlink>
      <w:r>
        <w:t xml:space="preserve"> </w:t>
      </w:r>
    </w:p>
  </w:footnote>
  <w:footnote w:id="33">
    <w:p w14:paraId="791B1005" w14:textId="062C5259" w:rsidR="002743A3" w:rsidRPr="00BB6BA8" w:rsidRDefault="002743A3">
      <w:pPr>
        <w:pStyle w:val="FootnoteText"/>
      </w:pPr>
      <w:r>
        <w:rPr>
          <w:rStyle w:val="FootnoteReference"/>
        </w:rPr>
        <w:footnoteRef/>
      </w:r>
      <w:r>
        <w:t xml:space="preserve"> Directive (UE) 2022/2557. JO 333 du 27.12.2022, p. 164.</w:t>
      </w:r>
    </w:p>
  </w:footnote>
  <w:footnote w:id="34">
    <w:p w14:paraId="0695C598" w14:textId="09FF3419" w:rsidR="009C6C0A" w:rsidRPr="00EF5256" w:rsidRDefault="009C6C0A" w:rsidP="000B572F">
      <w:pPr>
        <w:pStyle w:val="FootnoteText"/>
        <w:jc w:val="left"/>
      </w:pPr>
      <w:r>
        <w:rPr>
          <w:rStyle w:val="FootnoteReference"/>
        </w:rPr>
        <w:footnoteRef/>
      </w:r>
      <w:r>
        <w:t xml:space="preserve"> COM(2023) 61. Recommandation JO C 56 du 15.2.2023, p.1. </w:t>
      </w:r>
      <w:hyperlink r:id="rId24" w:history="1">
        <w:r>
          <w:rPr>
            <w:rStyle w:val="Hyperlink"/>
          </w:rPr>
          <w:t>https://eur-lex.europa.eu/legal-content/FR/TXT/?uri=CELEX:52023DC0061</w:t>
        </w:r>
      </w:hyperlink>
      <w:r>
        <w:t xml:space="preserve"> </w:t>
      </w:r>
    </w:p>
  </w:footnote>
  <w:footnote w:id="35">
    <w:p w14:paraId="3ACA03AE" w14:textId="4413A8DC" w:rsidR="009C6C0A" w:rsidRPr="00B9056B" w:rsidRDefault="009C6C0A" w:rsidP="009C6C0A">
      <w:pPr>
        <w:pStyle w:val="FootnoteText"/>
        <w:rPr>
          <w:lang w:val="en-US"/>
        </w:rPr>
      </w:pPr>
      <w:r>
        <w:rPr>
          <w:rStyle w:val="FootnoteReference"/>
        </w:rPr>
        <w:footnoteRef/>
      </w:r>
      <w:r w:rsidRPr="00B9056B">
        <w:rPr>
          <w:lang w:val="en-US"/>
        </w:rPr>
        <w:t xml:space="preserve"> COM(2024) 130. </w:t>
      </w:r>
    </w:p>
  </w:footnote>
  <w:footnote w:id="36">
    <w:p w14:paraId="59A7CA8A" w14:textId="3DACFD2A" w:rsidR="00CA7DFD" w:rsidRPr="00B9056B" w:rsidRDefault="00CA7DFD">
      <w:pPr>
        <w:pStyle w:val="FootnoteText"/>
        <w:rPr>
          <w:lang w:val="en-US"/>
        </w:rPr>
      </w:pPr>
      <w:r>
        <w:rPr>
          <w:rStyle w:val="FootnoteReference"/>
        </w:rPr>
        <w:footnoteRef/>
      </w:r>
      <w:r w:rsidRPr="00B9056B">
        <w:rPr>
          <w:lang w:val="en-US"/>
        </w:rPr>
        <w:t xml:space="preserve"> COM(2023) 161.</w:t>
      </w:r>
    </w:p>
  </w:footnote>
  <w:footnote w:id="37">
    <w:p w14:paraId="3E9387FF" w14:textId="361874AD" w:rsidR="00CA14DC" w:rsidRPr="00B9056B" w:rsidRDefault="00CA14DC">
      <w:pPr>
        <w:pStyle w:val="FootnoteText"/>
        <w:rPr>
          <w:lang w:val="en-US"/>
        </w:rPr>
      </w:pPr>
      <w:r>
        <w:rPr>
          <w:rStyle w:val="FootnoteReference"/>
        </w:rPr>
        <w:footnoteRef/>
      </w:r>
      <w:r w:rsidRPr="00B9056B">
        <w:rPr>
          <w:lang w:val="en-US"/>
        </w:rPr>
        <w:t xml:space="preserve"> GIEC AR6. </w:t>
      </w:r>
      <w:hyperlink r:id="rId25" w:history="1">
        <w:r w:rsidRPr="00B9056B">
          <w:rPr>
            <w:rStyle w:val="Hyperlink"/>
            <w:lang w:val="en-US"/>
          </w:rPr>
          <w:t>https :// www.ipcc.ch/assessment-report/ar6/</w:t>
        </w:r>
      </w:hyperlink>
      <w:r w:rsidRPr="00B9056B">
        <w:rPr>
          <w:lang w:val="en-US"/>
        </w:rPr>
        <w:t xml:space="preserve"> </w:t>
      </w:r>
    </w:p>
  </w:footnote>
  <w:footnote w:id="38">
    <w:p w14:paraId="6363F420" w14:textId="6340D94D" w:rsidR="00E01EF8" w:rsidRPr="00B9056B" w:rsidRDefault="00E01EF8" w:rsidP="00E01EF8">
      <w:pPr>
        <w:pStyle w:val="FootnoteText"/>
        <w:rPr>
          <w:lang w:val="en-US"/>
        </w:rPr>
      </w:pPr>
      <w:r>
        <w:rPr>
          <w:rStyle w:val="FootnoteReference"/>
        </w:rPr>
        <w:footnoteRef/>
      </w:r>
      <w:r w:rsidRPr="00B9056B">
        <w:rPr>
          <w:lang w:val="en-US"/>
        </w:rPr>
        <w:t xml:space="preserve"> Dasgupta, P (2021), The Economics of Biodiversity: The Dasgupta Review, London: HM Treasury; </w:t>
      </w:r>
      <w:bookmarkStart w:id="48" w:name="_Hlk160963836"/>
      <w:r w:rsidR="000E4168">
        <w:fldChar w:fldCharType="begin"/>
      </w:r>
      <w:r w:rsidR="000E4168" w:rsidRPr="00B9056B">
        <w:rPr>
          <w:lang w:val="en-US"/>
        </w:rPr>
        <w:instrText>HYPERLINK ""</w:instrText>
      </w:r>
      <w:r w:rsidR="000E4168">
        <w:fldChar w:fldCharType="end"/>
      </w:r>
      <w:bookmarkEnd w:id="48"/>
      <w:r w:rsidR="00EF5256">
        <w:fldChar w:fldCharType="begin"/>
      </w:r>
      <w:r w:rsidR="00EF5256" w:rsidRPr="00B9056B">
        <w:rPr>
          <w:lang w:val="en-US"/>
        </w:rPr>
        <w:instrText xml:space="preserve"> HYPERLINK "https://www.worldbank.org/en/publication/changing-wealth-of-nations" </w:instrText>
      </w:r>
      <w:r w:rsidR="00EF5256">
        <w:fldChar w:fldCharType="separate"/>
      </w:r>
      <w:r w:rsidRPr="00B9056B">
        <w:rPr>
          <w:rStyle w:val="Hyperlink"/>
          <w:lang w:val="en-US"/>
        </w:rPr>
        <w:t>https://www.worldbank.org/en/publication/changing-wealth-of-nations</w:t>
      </w:r>
      <w:r w:rsidR="00EF5256">
        <w:rPr>
          <w:rStyle w:val="Hyperlink"/>
        </w:rPr>
        <w:fldChar w:fldCharType="end"/>
      </w:r>
      <w:r w:rsidRPr="00B9056B">
        <w:rPr>
          <w:rStyle w:val="Hyperlink"/>
          <w:lang w:val="en-US"/>
        </w:rPr>
        <w:t xml:space="preserve"> </w:t>
      </w:r>
    </w:p>
  </w:footnote>
  <w:footnote w:id="39">
    <w:p w14:paraId="44C87ABC" w14:textId="3DC1FF4D" w:rsidR="002A4652" w:rsidRPr="00B9056B" w:rsidRDefault="002A4652" w:rsidP="002A4652">
      <w:pPr>
        <w:pStyle w:val="FootnoteText"/>
        <w:rPr>
          <w:lang w:val="en-US"/>
        </w:rPr>
      </w:pPr>
      <w:r>
        <w:rPr>
          <w:rStyle w:val="FootnoteReference"/>
        </w:rPr>
        <w:footnoteRef/>
      </w:r>
      <w:r w:rsidRPr="00B9056B">
        <w:rPr>
          <w:lang w:val="en-US"/>
        </w:rPr>
        <w:t xml:space="preserve"> COM(2023) 102 final. </w:t>
      </w:r>
      <w:hyperlink r:id="rId26" w:history="1">
        <w:r w:rsidRPr="00B9056B">
          <w:rPr>
            <w:rStyle w:val="Hyperlink"/>
            <w:lang w:val="en-US"/>
          </w:rPr>
          <w:t>https://eur-lex.europa.eu/legal-content/FR/TXT/?uri=CELEX%3A52023DC0102</w:t>
        </w:r>
      </w:hyperlink>
      <w:r w:rsidRPr="00B9056B">
        <w:rPr>
          <w:lang w:val="en-US"/>
        </w:rPr>
        <w:t xml:space="preserve"> </w:t>
      </w:r>
    </w:p>
  </w:footnote>
  <w:footnote w:id="40">
    <w:p w14:paraId="70BD6574" w14:textId="4D0D8700" w:rsidR="00507E1A" w:rsidRPr="00B9056B" w:rsidRDefault="00507E1A">
      <w:pPr>
        <w:pStyle w:val="FootnoteText"/>
        <w:rPr>
          <w:lang w:val="en-US"/>
        </w:rPr>
      </w:pPr>
      <w:r>
        <w:rPr>
          <w:rStyle w:val="FootnoteReference"/>
        </w:rPr>
        <w:footnoteRef/>
      </w:r>
      <w:r w:rsidRPr="00B9056B">
        <w:rPr>
          <w:lang w:val="en-US"/>
        </w:rPr>
        <w:t xml:space="preserve"> </w:t>
      </w:r>
      <w:hyperlink r:id="rId27" w:history="1">
        <w:r w:rsidRPr="00B9056B">
          <w:rPr>
            <w:rStyle w:val="Hyperlink"/>
            <w:lang w:val="en-US"/>
          </w:rPr>
          <w:t>https://research-and-innovation.ec.europa.eu/funding/funding-opportunities/funding-programmes-and-open-calls/horizon-europe/eu-missions-horizon-europe/restore-our-ocean-and-waters_en</w:t>
        </w:r>
      </w:hyperlink>
      <w:r w:rsidRPr="00B9056B">
        <w:rPr>
          <w:lang w:val="en-US"/>
        </w:rPr>
        <w:t xml:space="preserve"> </w:t>
      </w:r>
    </w:p>
  </w:footnote>
  <w:footnote w:id="41">
    <w:p w14:paraId="303479BD" w14:textId="3C6B66A6" w:rsidR="00C879A9" w:rsidRPr="00B9056B" w:rsidRDefault="00C879A9">
      <w:pPr>
        <w:pStyle w:val="FootnoteText"/>
        <w:rPr>
          <w:b/>
          <w:bCs/>
          <w:lang w:val="en-US"/>
        </w:rPr>
      </w:pPr>
      <w:bookmarkStart w:id="52" w:name="_Hlk158909971"/>
      <w:r>
        <w:rPr>
          <w:rStyle w:val="FootnoteReference"/>
        </w:rPr>
        <w:footnoteRef/>
      </w:r>
      <w:r w:rsidRPr="00B9056B">
        <w:rPr>
          <w:lang w:val="en-US"/>
        </w:rPr>
        <w:t xml:space="preserve"> Outil interactif EXHAUSTION: </w:t>
      </w:r>
      <w:hyperlink r:id="rId28" w:history="1">
        <w:r w:rsidRPr="00B9056B">
          <w:rPr>
            <w:rStyle w:val="Hyperlink"/>
            <w:lang w:val="en-US"/>
          </w:rPr>
          <w:t>https://www.exhaustion.eu/</w:t>
        </w:r>
      </w:hyperlink>
    </w:p>
    <w:bookmarkEnd w:id="52"/>
  </w:footnote>
  <w:footnote w:id="42">
    <w:p w14:paraId="7D0A162E" w14:textId="0BCE9C02" w:rsidR="0016213D" w:rsidRPr="00B9056B" w:rsidRDefault="0016213D" w:rsidP="0044238F">
      <w:pPr>
        <w:pStyle w:val="FootnoteText"/>
        <w:jc w:val="left"/>
        <w:rPr>
          <w:lang w:val="en-US"/>
        </w:rPr>
      </w:pPr>
      <w:r>
        <w:rPr>
          <w:rStyle w:val="FootnoteReference"/>
        </w:rPr>
        <w:footnoteRef/>
      </w:r>
      <w:r w:rsidRPr="00B9056B">
        <w:rPr>
          <w:lang w:val="en-US"/>
        </w:rPr>
        <w:t xml:space="preserve"> </w:t>
      </w:r>
      <w:hyperlink r:id="rId29" w:history="1">
        <w:r w:rsidRPr="00B9056B">
          <w:rPr>
            <w:rStyle w:val="Hyperlink"/>
            <w:lang w:val="en-US"/>
          </w:rPr>
          <w:t>https://health.ec.europa.eu/non-communicable-diseases/healthier-together-eu-non-communicable-diseases-initiative_en</w:t>
        </w:r>
      </w:hyperlink>
      <w:r w:rsidRPr="00B9056B">
        <w:rPr>
          <w:lang w:val="en-US"/>
        </w:rPr>
        <w:t xml:space="preserve"> </w:t>
      </w:r>
    </w:p>
  </w:footnote>
  <w:footnote w:id="43">
    <w:p w14:paraId="778A79D0" w14:textId="72FD8AC7" w:rsidR="00CE4000" w:rsidRPr="00B9056B" w:rsidRDefault="00CE4000">
      <w:pPr>
        <w:pStyle w:val="FootnoteText"/>
        <w:rPr>
          <w:lang w:val="en-US"/>
        </w:rPr>
      </w:pPr>
      <w:r>
        <w:rPr>
          <w:rStyle w:val="FootnoteReference"/>
        </w:rPr>
        <w:footnoteRef/>
      </w:r>
      <w:r w:rsidRPr="00B9056B">
        <w:rPr>
          <w:lang w:val="en-US"/>
        </w:rPr>
        <w:t xml:space="preserve"> COM(2023) 298 final. </w:t>
      </w:r>
      <w:hyperlink r:id="rId30" w:history="1">
        <w:r w:rsidRPr="00B9056B">
          <w:rPr>
            <w:rStyle w:val="Hyperlink"/>
            <w:lang w:val="en-US"/>
          </w:rPr>
          <w:t>https://health.ec.europa.eu/publications/comprehensive-approach-mental-health_en</w:t>
        </w:r>
      </w:hyperlink>
      <w:r w:rsidRPr="00B9056B">
        <w:rPr>
          <w:lang w:val="en-US"/>
        </w:rPr>
        <w:t xml:space="preserve"> </w:t>
      </w:r>
    </w:p>
  </w:footnote>
  <w:footnote w:id="44">
    <w:p w14:paraId="18BD2D0E" w14:textId="63A71D4C" w:rsidR="002E16D5" w:rsidRPr="002E16D5" w:rsidRDefault="002E16D5" w:rsidP="000B572F">
      <w:pPr>
        <w:pStyle w:val="FootnoteText"/>
        <w:jc w:val="left"/>
      </w:pPr>
      <w:r>
        <w:rPr>
          <w:rStyle w:val="FootnoteReference"/>
        </w:rPr>
        <w:footnoteRef/>
      </w:r>
      <w:r>
        <w:t xml:space="preserve"> Déclaration de la septième conférence ministérielle sur l’environnement et la santé (https :// </w:t>
      </w:r>
      <w:hyperlink r:id="rId31" w:history="1">
        <w:r>
          <w:rPr>
            <w:rStyle w:val="Hyperlink"/>
          </w:rPr>
          <w:t>www.who.int/europe/publications/i/item/EURO-Budapest2023-6</w:t>
        </w:r>
      </w:hyperlink>
      <w:r>
        <w:t>), déclaration de la COP28 des Émirats arabes unis sur le climat et la santé (</w:t>
      </w:r>
      <w:hyperlink r:id="rId32" w:history="1">
        <w:r>
          <w:rPr>
            <w:rStyle w:val="Hyperlink"/>
          </w:rPr>
          <w:t>https :// www.cop28.com/en/cop28-uae-declaration-on-climate-and-health</w:t>
        </w:r>
      </w:hyperlink>
      <w:r>
        <w:t>)</w:t>
      </w:r>
    </w:p>
  </w:footnote>
  <w:footnote w:id="45">
    <w:p w14:paraId="15D0A2FA" w14:textId="47DA88CD" w:rsidR="006E78CB" w:rsidRPr="006E78CB" w:rsidRDefault="006E78CB">
      <w:pPr>
        <w:pStyle w:val="FootnoteText"/>
      </w:pPr>
      <w:r>
        <w:rPr>
          <w:rStyle w:val="FootnoteReference"/>
        </w:rPr>
        <w:footnoteRef/>
      </w:r>
      <w:r>
        <w:t xml:space="preserve"> </w:t>
      </w:r>
      <w:hyperlink r:id="rId33" w:history="1">
        <w:r>
          <w:rPr>
            <w:rStyle w:val="Hyperlink"/>
          </w:rPr>
          <w:t>https://osha.europa.eu/en/oshnews/heat-work-guidance-workplaces</w:t>
        </w:r>
      </w:hyperlink>
      <w:r>
        <w:t xml:space="preserve"> </w:t>
      </w:r>
    </w:p>
  </w:footnote>
  <w:footnote w:id="46">
    <w:p w14:paraId="70C30146" w14:textId="53CB9D8F" w:rsidR="005848F9" w:rsidRPr="005848F9" w:rsidRDefault="005848F9">
      <w:pPr>
        <w:pStyle w:val="FootnoteText"/>
      </w:pPr>
      <w:r>
        <w:rPr>
          <w:rStyle w:val="FootnoteReference"/>
        </w:rPr>
        <w:footnoteRef/>
      </w:r>
      <w:r>
        <w:t xml:space="preserve"> Groupe «Changement climatique et sécurité et santé au travail» du Comité consultatif tripartite pour la santé et la sécurité sur le lieu de travail.</w:t>
      </w:r>
    </w:p>
  </w:footnote>
  <w:footnote w:id="47">
    <w:p w14:paraId="2A3D2D4A" w14:textId="01537A15" w:rsidR="007A6FC7" w:rsidRDefault="007A6FC7" w:rsidP="007A6FC7">
      <w:pPr>
        <w:rPr>
          <w:color w:val="000000" w:themeColor="text1"/>
          <w:sz w:val="24"/>
          <w:szCs w:val="24"/>
        </w:rPr>
      </w:pPr>
      <w:r>
        <w:rPr>
          <w:rStyle w:val="FootnoteReference"/>
          <w:rFonts w:ascii="Times New Roman" w:hAnsi="Times New Roman" w:cs="Times New Roman"/>
          <w:sz w:val="20"/>
          <w:szCs w:val="20"/>
        </w:rPr>
        <w:footnoteRef/>
      </w:r>
      <w:r>
        <w:t xml:space="preserve"> </w:t>
      </w:r>
      <w:r>
        <w:rPr>
          <w:rFonts w:ascii="Times New Roman" w:hAnsi="Times New Roman"/>
          <w:sz w:val="20"/>
        </w:rPr>
        <w:t>Étude prospective sur les implications en matière de santé et sécurité sur le lieu de travail des futures évolutions et crises liées au changement climatique (lancée en 2024)</w:t>
      </w:r>
      <w:r>
        <w:rPr>
          <w:color w:val="000000" w:themeColor="text1"/>
          <w:sz w:val="24"/>
        </w:rPr>
        <w:t xml:space="preserve"> </w:t>
      </w:r>
    </w:p>
  </w:footnote>
  <w:footnote w:id="48">
    <w:p w14:paraId="271534AF" w14:textId="0F96BD7D" w:rsidR="00C04ACD" w:rsidRPr="00B9056B" w:rsidRDefault="00C04ACD">
      <w:pPr>
        <w:pStyle w:val="FootnoteText"/>
        <w:rPr>
          <w:lang w:val="en-US"/>
        </w:rPr>
      </w:pPr>
      <w:r>
        <w:rPr>
          <w:rStyle w:val="FootnoteReference"/>
        </w:rPr>
        <w:footnoteRef/>
      </w:r>
      <w:r w:rsidRPr="00B9056B">
        <w:rPr>
          <w:lang w:val="en-US"/>
        </w:rPr>
        <w:t xml:space="preserve"> COM(2023) 411 final.</w:t>
      </w:r>
    </w:p>
  </w:footnote>
  <w:footnote w:id="49">
    <w:p w14:paraId="53944F2C" w14:textId="77777777" w:rsidR="005D61D6" w:rsidRPr="00B9056B" w:rsidRDefault="005D61D6" w:rsidP="005D61D6">
      <w:pPr>
        <w:pStyle w:val="FootnoteText"/>
        <w:rPr>
          <w:lang w:val="en-US"/>
        </w:rPr>
      </w:pPr>
      <w:r>
        <w:rPr>
          <w:rStyle w:val="FootnoteReference"/>
        </w:rPr>
        <w:footnoteRef/>
      </w:r>
      <w:r w:rsidRPr="00B9056B">
        <w:rPr>
          <w:lang w:val="en-US"/>
        </w:rPr>
        <w:t xml:space="preserve"> </w:t>
      </w:r>
      <w:hyperlink r:id="rId34" w:history="1">
        <w:r w:rsidRPr="00B9056B">
          <w:rPr>
            <w:rStyle w:val="Hyperlink"/>
            <w:lang w:val="en-US"/>
          </w:rPr>
          <w:t>https://eurocodes.jrc.ec.europa.eu/2nd-generation/second-generation-eurocodes-what-new</w:t>
        </w:r>
      </w:hyperlink>
      <w:r w:rsidRPr="00B9056B">
        <w:rPr>
          <w:lang w:val="en-US"/>
        </w:rPr>
        <w:t xml:space="preserve"> </w:t>
      </w:r>
    </w:p>
  </w:footnote>
  <w:footnote w:id="50">
    <w:p w14:paraId="75FCF0FA" w14:textId="77777777" w:rsidR="00B2668D" w:rsidRPr="009248B3" w:rsidRDefault="00B2668D" w:rsidP="00B2668D">
      <w:pPr>
        <w:pStyle w:val="FootnoteText"/>
      </w:pPr>
      <w:r>
        <w:rPr>
          <w:rStyle w:val="FootnoteReference"/>
        </w:rPr>
        <w:footnoteRef/>
      </w:r>
      <w:r w:rsidRPr="00B9056B">
        <w:rPr>
          <w:lang w:val="en-US"/>
        </w:rPr>
        <w:t xml:space="preserve"> Schade, W., Khanna, A.A., Mader, S., Streif, M., Abkai, T., de Stasio, C., Thiery, W., Deidda, C., Maatsch, S., Kramer, H. (2023): Support study on the climate adaptation &amp; cross-border investment needs to realize the TEN-T network. </w:t>
      </w:r>
      <w:r>
        <w:t>Rapport établi pour le compte la Commission européenne (à venir).</w:t>
      </w:r>
    </w:p>
  </w:footnote>
  <w:footnote w:id="51">
    <w:p w14:paraId="69169EE4" w14:textId="356834FF" w:rsidR="003057A0" w:rsidRPr="00B9056B" w:rsidRDefault="003057A0" w:rsidP="00D63A43">
      <w:pPr>
        <w:pStyle w:val="FootnoteText"/>
        <w:jc w:val="left"/>
        <w:rPr>
          <w:lang w:val="en-US"/>
        </w:rPr>
      </w:pPr>
      <w:r>
        <w:rPr>
          <w:rStyle w:val="FootnoteReference"/>
        </w:rPr>
        <w:footnoteRef/>
      </w:r>
      <w:r w:rsidRPr="00B9056B">
        <w:rPr>
          <w:lang w:val="en-US"/>
        </w:rPr>
        <w:t xml:space="preserve"> SWD(2024) 63 final. </w:t>
      </w:r>
      <w:hyperlink r:id="rId35" w:history="1">
        <w:r w:rsidRPr="00B9056B">
          <w:rPr>
            <w:rStyle w:val="Hyperlink"/>
            <w:lang w:val="en-US"/>
          </w:rPr>
          <w:t>https://climate.ec.europa.eu/document/download/768bc81f-5f48-48e3-b4d4-e02ba09faca1_en</w:t>
        </w:r>
      </w:hyperlink>
      <w:r w:rsidRPr="00B9056B">
        <w:rPr>
          <w:lang w:val="en-US"/>
        </w:rPr>
        <w:t xml:space="preserve"> </w:t>
      </w:r>
    </w:p>
  </w:footnote>
  <w:footnote w:id="52">
    <w:p w14:paraId="406BD2AA" w14:textId="54F0BAF9" w:rsidR="00FD6FC6" w:rsidRPr="00BB6BA8" w:rsidRDefault="00FD6FC6">
      <w:pPr>
        <w:pStyle w:val="FootnoteText"/>
      </w:pPr>
      <w:r>
        <w:rPr>
          <w:rStyle w:val="FootnoteReference"/>
        </w:rPr>
        <w:footnoteRef/>
      </w:r>
      <w:r>
        <w:t xml:space="preserve"> Le rapport relatif au dialogue sur la résilience face au changement climatique est attendu pour l’été 2024.</w:t>
      </w:r>
    </w:p>
  </w:footnote>
  <w:footnote w:id="53">
    <w:p w14:paraId="61110D59" w14:textId="6E03CD70" w:rsidR="0059141A" w:rsidRPr="00B9056B" w:rsidRDefault="00453D4B" w:rsidP="00453D4B">
      <w:pPr>
        <w:pStyle w:val="FootnoteText"/>
        <w:rPr>
          <w:lang w:val="en-US"/>
        </w:rPr>
      </w:pPr>
      <w:r>
        <w:rPr>
          <w:rStyle w:val="FootnoteReference"/>
        </w:rPr>
        <w:footnoteRef/>
      </w:r>
      <w:r w:rsidRPr="00B9056B">
        <w:rPr>
          <w:lang w:val="en-US"/>
        </w:rPr>
        <w:t xml:space="preserve"> </w:t>
      </w:r>
      <w:hyperlink r:id="rId36" w:history="1">
        <w:r w:rsidRPr="00B9056B">
          <w:rPr>
            <w:rStyle w:val="Hyperlink"/>
            <w:lang w:val="en-US"/>
          </w:rPr>
          <w:t>http://www.tradeministersonclimate.org/</w:t>
        </w:r>
      </w:hyperlink>
    </w:p>
  </w:footnote>
  <w:footnote w:id="54">
    <w:p w14:paraId="1A279E0D" w14:textId="03FDD8D8" w:rsidR="00FE4D6B" w:rsidRPr="00391DAE" w:rsidRDefault="00FE4D6B" w:rsidP="00FE4D6B">
      <w:pPr>
        <w:pStyle w:val="FootnoteText"/>
        <w:rPr>
          <w:rFonts w:asciiTheme="minorHAnsi" w:hAnsiTheme="minorHAnsi"/>
        </w:rPr>
      </w:pPr>
      <w:r>
        <w:rPr>
          <w:rStyle w:val="FootnoteReference"/>
        </w:rPr>
        <w:footnoteRef/>
      </w:r>
      <w:r w:rsidRPr="00B9056B">
        <w:rPr>
          <w:lang w:val="en-US"/>
        </w:rPr>
        <w:t xml:space="preserve"> COM(2022) 409 final. </w:t>
      </w:r>
      <w:hyperlink r:id="rId37" w:history="1">
        <w:r>
          <w:rPr>
            <w:rStyle w:val="Hyperlink"/>
          </w:rPr>
          <w:t>https://eur-lex.europa.eu/legal-content/FR/TXT/?uri=CELEX%3A52022DC0409</w:t>
        </w:r>
      </w:hyperlink>
      <w:r>
        <w:t xml:space="preserve"> </w:t>
      </w:r>
    </w:p>
  </w:footnote>
  <w:footnote w:id="55">
    <w:p w14:paraId="7247A17F" w14:textId="1F85DCF5" w:rsidR="00F74E4A" w:rsidRPr="00B9056B" w:rsidRDefault="00F74E4A" w:rsidP="00F74E4A">
      <w:pPr>
        <w:pStyle w:val="FootnoteText"/>
        <w:rPr>
          <w:lang w:val="en-US"/>
        </w:rPr>
      </w:pPr>
      <w:r>
        <w:rPr>
          <w:rStyle w:val="FootnoteReference"/>
        </w:rPr>
        <w:footnoteRef/>
      </w:r>
      <w:r w:rsidRPr="00B9056B">
        <w:rPr>
          <w:lang w:val="en-US"/>
        </w:rPr>
        <w:t xml:space="preserve"> </w:t>
      </w:r>
      <w:hyperlink r:id="rId38" w:history="1">
        <w:r w:rsidRPr="00B9056B">
          <w:rPr>
            <w:rStyle w:val="Hyperlink"/>
            <w:color w:val="000000" w:themeColor="text1"/>
            <w:u w:val="none"/>
            <w:lang w:val="en-US"/>
          </w:rPr>
          <w:t>Barbaglia, L., Fatica, S. and Rho, C., Flooded credit markets:</w:t>
        </w:r>
      </w:hyperlink>
      <w:hyperlink r:id="rId39" w:history="1">
        <w:r w:rsidRPr="00B9056B">
          <w:rPr>
            <w:rStyle w:val="Hyperlink"/>
            <w:color w:val="000000" w:themeColor="text1"/>
            <w:u w:val="none"/>
            <w:lang w:val="en-US"/>
          </w:rPr>
          <w:t xml:space="preserve"> physical climate risk and small business lending, European Commission, 2023, JRC136274.</w:t>
        </w:r>
      </w:hyperlink>
    </w:p>
  </w:footnote>
  <w:footnote w:id="56">
    <w:p w14:paraId="4AAAEADE" w14:textId="77777777" w:rsidR="001A31EC" w:rsidRPr="00B9056B" w:rsidRDefault="001A31EC" w:rsidP="001A31EC">
      <w:pPr>
        <w:pStyle w:val="FootnoteText"/>
        <w:jc w:val="left"/>
        <w:rPr>
          <w:lang w:val="en-US"/>
        </w:rPr>
      </w:pPr>
      <w:r>
        <w:rPr>
          <w:rStyle w:val="FootnoteReference"/>
        </w:rPr>
        <w:footnoteRef/>
      </w:r>
      <w:r w:rsidRPr="00B9056B">
        <w:rPr>
          <w:lang w:val="en-US"/>
        </w:rPr>
        <w:t xml:space="preserve"> </w:t>
      </w:r>
      <w:hyperlink r:id="rId40" w:history="1">
        <w:r w:rsidRPr="00B9056B">
          <w:rPr>
            <w:rStyle w:val="Hyperlink"/>
            <w:lang w:val="en-US"/>
          </w:rPr>
          <w:t>https://www.ecb.europa.eu/pub/economic-bulletin/focus/2023/html/ecb.ebbox202306_05~f5ec994b9e.en.html</w:t>
        </w:r>
      </w:hyperlink>
    </w:p>
  </w:footnote>
  <w:footnote w:id="57">
    <w:p w14:paraId="77E7DC42" w14:textId="05ECE764" w:rsidR="00BD486C" w:rsidRPr="00B9056B" w:rsidRDefault="00BD486C">
      <w:pPr>
        <w:pStyle w:val="FootnoteText"/>
        <w:rPr>
          <w:lang w:val="en-US"/>
        </w:rPr>
      </w:pPr>
      <w:r>
        <w:rPr>
          <w:rStyle w:val="FootnoteReference"/>
        </w:rPr>
        <w:footnoteRef/>
      </w:r>
      <w:r w:rsidRPr="00B9056B">
        <w:rPr>
          <w:lang w:val="en-US"/>
        </w:rPr>
        <w:t xml:space="preserve"> COM/2020/103 final. </w:t>
      </w:r>
      <w:hyperlink r:id="rId41" w:history="1">
        <w:r w:rsidRPr="00B9056B">
          <w:rPr>
            <w:rStyle w:val="Hyperlink"/>
            <w:lang w:val="en-US"/>
          </w:rPr>
          <w:t>https://eur-lex.europa.eu/legal-content/fr/ALL/?uri=CELEX%3A52020DC0103</w:t>
        </w:r>
      </w:hyperlink>
      <w:r w:rsidRPr="00B9056B">
        <w:rPr>
          <w:lang w:val="en-US"/>
        </w:rPr>
        <w:t xml:space="preserve"> </w:t>
      </w:r>
    </w:p>
  </w:footnote>
  <w:footnote w:id="58">
    <w:p w14:paraId="19E1506E" w14:textId="4E9D2474" w:rsidR="00D95E11" w:rsidRPr="00B9056B" w:rsidRDefault="00D95E11">
      <w:pPr>
        <w:pStyle w:val="FootnoteText"/>
        <w:rPr>
          <w:lang w:val="en-US"/>
        </w:rPr>
      </w:pPr>
      <w:r>
        <w:rPr>
          <w:rStyle w:val="FootnoteReference"/>
        </w:rPr>
        <w:footnoteRef/>
      </w:r>
      <w:r w:rsidRPr="00B9056B">
        <w:rPr>
          <w:lang w:val="en-US"/>
        </w:rPr>
        <w:t xml:space="preserve"> JOIN(2023) 20 final. </w:t>
      </w:r>
      <w:hyperlink r:id="rId42" w:history="1">
        <w:r w:rsidRPr="00B9056B">
          <w:rPr>
            <w:rStyle w:val="Hyperlink"/>
            <w:lang w:val="en-US"/>
          </w:rPr>
          <w:t>https://eur-lex.europa.eu/legal-content/FR/TXT/?uri=CELEX%3A52023JC0020</w:t>
        </w:r>
      </w:hyperlink>
      <w:r w:rsidRPr="00B9056B">
        <w:rPr>
          <w:lang w:val="en-US"/>
        </w:rPr>
        <w:t xml:space="preserve"> </w:t>
      </w:r>
    </w:p>
  </w:footnote>
  <w:footnote w:id="59">
    <w:p w14:paraId="7A5C3D6E" w14:textId="54393DBE" w:rsidR="0086628C" w:rsidRPr="00B9056B" w:rsidRDefault="0086628C">
      <w:pPr>
        <w:pStyle w:val="FootnoteText"/>
        <w:rPr>
          <w:lang w:val="en-US"/>
        </w:rPr>
      </w:pPr>
      <w:r>
        <w:rPr>
          <w:rStyle w:val="FootnoteReference"/>
        </w:rPr>
        <w:footnoteRef/>
      </w:r>
      <w:r w:rsidRPr="00B9056B">
        <w:rPr>
          <w:lang w:val="en-US"/>
        </w:rPr>
        <w:t xml:space="preserve"> COM/2023/535 final. </w:t>
      </w:r>
      <w:hyperlink r:id="rId43" w:history="1">
        <w:r w:rsidRPr="00B9056B">
          <w:rPr>
            <w:rStyle w:val="Hyperlink"/>
            <w:lang w:val="en-US"/>
          </w:rPr>
          <w:t>https://eur-lex.europa.eu/legal-content/FR/TXT/?uri=COM%3A2023%3A535%3AFIN</w:t>
        </w:r>
      </w:hyperlink>
      <w:r w:rsidRPr="00B9056B">
        <w:rPr>
          <w:lang w:val="en-US"/>
        </w:rPr>
        <w:t xml:space="preserve"> </w:t>
      </w:r>
    </w:p>
  </w:footnote>
  <w:footnote w:id="60">
    <w:p w14:paraId="52C84E5A" w14:textId="2D0324BB" w:rsidR="00211506" w:rsidRPr="00B9056B" w:rsidRDefault="00211506" w:rsidP="00211506">
      <w:pPr>
        <w:pStyle w:val="FootnoteText"/>
        <w:rPr>
          <w:lang w:val="en-US"/>
        </w:rPr>
      </w:pPr>
      <w:r>
        <w:rPr>
          <w:rStyle w:val="FootnoteReference"/>
        </w:rPr>
        <w:footnoteRef/>
      </w:r>
      <w:r w:rsidRPr="00B9056B">
        <w:rPr>
          <w:lang w:val="en-US"/>
        </w:rPr>
        <w:t xml:space="preserve"> COM(2023) 240 final. </w:t>
      </w:r>
      <w:hyperlink r:id="rId44" w:history="1">
        <w:r w:rsidRPr="00B9056B">
          <w:rPr>
            <w:rStyle w:val="Hyperlink"/>
            <w:lang w:val="en-US"/>
          </w:rPr>
          <w:t>https://eur-lex.europa.eu/legal-content/FR/TXT/?uri=CELEX%3A52023PC0240</w:t>
        </w:r>
      </w:hyperlink>
      <w:r w:rsidRPr="00B9056B">
        <w:rPr>
          <w:lang w:val="en-US"/>
        </w:rPr>
        <w:t xml:space="preserve"> </w:t>
      </w:r>
    </w:p>
  </w:footnote>
  <w:footnote w:id="61">
    <w:p w14:paraId="6A3B86B3" w14:textId="1E7E66E5" w:rsidR="006F47E3" w:rsidRPr="00B9056B" w:rsidRDefault="006F47E3" w:rsidP="006F47E3">
      <w:pPr>
        <w:pStyle w:val="FootnoteText"/>
        <w:rPr>
          <w:lang w:val="en-US"/>
        </w:rPr>
      </w:pPr>
      <w:r>
        <w:rPr>
          <w:rStyle w:val="FootnoteReference"/>
        </w:rPr>
        <w:footnoteRef/>
      </w:r>
      <w:r>
        <w:t xml:space="preserve"> Si l’on extrapole les estimations faites pour un seul pays à l’UE dans son ensemble, le coût annuel de l’adaptation au changement climatique pourrait aller de 15 à 64 milliards d’EUR par an (de 0,1 à 0,4 % du PIB de l’UE) jusqu’en 2030, avec une estimation médiane d’environ 21 milliards d’EUR [Banque mondiale, publication à venir, 2024). </w:t>
      </w:r>
      <w:r w:rsidRPr="00B9056B">
        <w:rPr>
          <w:lang w:val="en-US"/>
        </w:rPr>
        <w:t>Investing in Resilience: Climate Adaptation Costing in a Changing World. Phase II study under Economics for Disaster Prevention and Preparedness: Prioritizing and Financing Resilient Investments.].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962CBB" w14:textId="77777777" w:rsidR="00B55939" w:rsidRPr="00B55939" w:rsidRDefault="00B55939" w:rsidP="00B5593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4D7587" w14:textId="77777777" w:rsidR="00B55939" w:rsidRPr="00B55939" w:rsidRDefault="00B55939" w:rsidP="00B5593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9F801A" w14:textId="77777777" w:rsidR="00B55939" w:rsidRPr="00B55939" w:rsidRDefault="00B55939" w:rsidP="00B5593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161C4C" w14:textId="77777777" w:rsidR="00915255" w:rsidRDefault="0091525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AA65F3" w14:textId="77777777" w:rsidR="00915255" w:rsidRDefault="0091525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C3438B" w14:textId="77777777" w:rsidR="00915255" w:rsidRDefault="009152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07EBE"/>
    <w:multiLevelType w:val="multilevel"/>
    <w:tmpl w:val="2FA891A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960CC3"/>
    <w:multiLevelType w:val="multilevel"/>
    <w:tmpl w:val="6ECE33A0"/>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A906B92"/>
    <w:multiLevelType w:val="hybridMultilevel"/>
    <w:tmpl w:val="486E22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B142A61"/>
    <w:multiLevelType w:val="multilevel"/>
    <w:tmpl w:val="2A00BA5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793F72"/>
    <w:multiLevelType w:val="hybridMultilevel"/>
    <w:tmpl w:val="27507C4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06E7B88"/>
    <w:multiLevelType w:val="multilevel"/>
    <w:tmpl w:val="6ECE33A0"/>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3F552B5"/>
    <w:multiLevelType w:val="hybridMultilevel"/>
    <w:tmpl w:val="60D8AEF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5547881"/>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7012D86"/>
    <w:multiLevelType w:val="multilevel"/>
    <w:tmpl w:val="4D6A73C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8A5181D"/>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B78081F"/>
    <w:multiLevelType w:val="multilevel"/>
    <w:tmpl w:val="7EA85E4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C8147B5"/>
    <w:multiLevelType w:val="hybridMultilevel"/>
    <w:tmpl w:val="63982DDC"/>
    <w:lvl w:ilvl="0" w:tplc="D65C0078">
      <w:start w:val="1"/>
      <w:numFmt w:val="bullet"/>
      <w:lvlText w:val=""/>
      <w:lvlJc w:val="left"/>
      <w:pPr>
        <w:ind w:left="720" w:hanging="360"/>
      </w:pPr>
      <w:rPr>
        <w:rFonts w:ascii="Symbol" w:hAnsi="Symbol"/>
      </w:rPr>
    </w:lvl>
    <w:lvl w:ilvl="1" w:tplc="44D4F288">
      <w:start w:val="1"/>
      <w:numFmt w:val="bullet"/>
      <w:lvlText w:val=""/>
      <w:lvlJc w:val="left"/>
      <w:pPr>
        <w:ind w:left="720" w:hanging="360"/>
      </w:pPr>
      <w:rPr>
        <w:rFonts w:ascii="Symbol" w:hAnsi="Symbol"/>
      </w:rPr>
    </w:lvl>
    <w:lvl w:ilvl="2" w:tplc="EBA83878">
      <w:start w:val="1"/>
      <w:numFmt w:val="bullet"/>
      <w:lvlText w:val=""/>
      <w:lvlJc w:val="left"/>
      <w:pPr>
        <w:ind w:left="720" w:hanging="360"/>
      </w:pPr>
      <w:rPr>
        <w:rFonts w:ascii="Symbol" w:hAnsi="Symbol"/>
      </w:rPr>
    </w:lvl>
    <w:lvl w:ilvl="3" w:tplc="CB1C7342">
      <w:start w:val="1"/>
      <w:numFmt w:val="bullet"/>
      <w:lvlText w:val=""/>
      <w:lvlJc w:val="left"/>
      <w:pPr>
        <w:ind w:left="720" w:hanging="360"/>
      </w:pPr>
      <w:rPr>
        <w:rFonts w:ascii="Symbol" w:hAnsi="Symbol"/>
      </w:rPr>
    </w:lvl>
    <w:lvl w:ilvl="4" w:tplc="38E61770">
      <w:start w:val="1"/>
      <w:numFmt w:val="bullet"/>
      <w:lvlText w:val=""/>
      <w:lvlJc w:val="left"/>
      <w:pPr>
        <w:ind w:left="720" w:hanging="360"/>
      </w:pPr>
      <w:rPr>
        <w:rFonts w:ascii="Symbol" w:hAnsi="Symbol"/>
      </w:rPr>
    </w:lvl>
    <w:lvl w:ilvl="5" w:tplc="AA4C99F4">
      <w:start w:val="1"/>
      <w:numFmt w:val="bullet"/>
      <w:lvlText w:val=""/>
      <w:lvlJc w:val="left"/>
      <w:pPr>
        <w:ind w:left="720" w:hanging="360"/>
      </w:pPr>
      <w:rPr>
        <w:rFonts w:ascii="Symbol" w:hAnsi="Symbol"/>
      </w:rPr>
    </w:lvl>
    <w:lvl w:ilvl="6" w:tplc="C1D6D30A">
      <w:start w:val="1"/>
      <w:numFmt w:val="bullet"/>
      <w:lvlText w:val=""/>
      <w:lvlJc w:val="left"/>
      <w:pPr>
        <w:ind w:left="720" w:hanging="360"/>
      </w:pPr>
      <w:rPr>
        <w:rFonts w:ascii="Symbol" w:hAnsi="Symbol"/>
      </w:rPr>
    </w:lvl>
    <w:lvl w:ilvl="7" w:tplc="AF5C02EC">
      <w:start w:val="1"/>
      <w:numFmt w:val="bullet"/>
      <w:lvlText w:val=""/>
      <w:lvlJc w:val="left"/>
      <w:pPr>
        <w:ind w:left="720" w:hanging="360"/>
      </w:pPr>
      <w:rPr>
        <w:rFonts w:ascii="Symbol" w:hAnsi="Symbol"/>
      </w:rPr>
    </w:lvl>
    <w:lvl w:ilvl="8" w:tplc="97528FD4">
      <w:start w:val="1"/>
      <w:numFmt w:val="bullet"/>
      <w:lvlText w:val=""/>
      <w:lvlJc w:val="left"/>
      <w:pPr>
        <w:ind w:left="720" w:hanging="360"/>
      </w:pPr>
      <w:rPr>
        <w:rFonts w:ascii="Symbol" w:hAnsi="Symbol"/>
      </w:rPr>
    </w:lvl>
  </w:abstractNum>
  <w:abstractNum w:abstractNumId="12" w15:restartNumberingAfterBreak="0">
    <w:nsid w:val="1C971491"/>
    <w:multiLevelType w:val="multilevel"/>
    <w:tmpl w:val="B62AD754"/>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D130AB0"/>
    <w:multiLevelType w:val="multilevel"/>
    <w:tmpl w:val="6ECE33A0"/>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0981556"/>
    <w:multiLevelType w:val="multilevel"/>
    <w:tmpl w:val="9572E5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4E75984"/>
    <w:multiLevelType w:val="multilevel"/>
    <w:tmpl w:val="B62AD754"/>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7437AB6"/>
    <w:multiLevelType w:val="hybridMultilevel"/>
    <w:tmpl w:val="B0A08FCE"/>
    <w:lvl w:ilvl="0" w:tplc="18090001">
      <w:start w:val="1"/>
      <w:numFmt w:val="bullet"/>
      <w:lvlText w:val=""/>
      <w:lvlJc w:val="left"/>
      <w:pPr>
        <w:ind w:left="720" w:hanging="360"/>
      </w:pPr>
      <w:rPr>
        <w:rFonts w:ascii="Symbol" w:eastAsia="Times New Roman" w:hAnsi="Symbol"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7" w15:restartNumberingAfterBreak="0">
    <w:nsid w:val="27A946FC"/>
    <w:multiLevelType w:val="multilevel"/>
    <w:tmpl w:val="A1560E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EDC66CC"/>
    <w:multiLevelType w:val="hybridMultilevel"/>
    <w:tmpl w:val="D41CF4B8"/>
    <w:lvl w:ilvl="0" w:tplc="FA72B0EC">
      <w:start w:val="1"/>
      <w:numFmt w:val="bullet"/>
      <w:lvlText w:val=""/>
      <w:lvlJc w:val="left"/>
      <w:pPr>
        <w:ind w:left="720" w:hanging="360"/>
      </w:pPr>
      <w:rPr>
        <w:rFonts w:ascii="Symbol" w:hAnsi="Symbol"/>
      </w:rPr>
    </w:lvl>
    <w:lvl w:ilvl="1" w:tplc="B92C430A">
      <w:start w:val="1"/>
      <w:numFmt w:val="bullet"/>
      <w:lvlText w:val=""/>
      <w:lvlJc w:val="left"/>
      <w:pPr>
        <w:ind w:left="720" w:hanging="360"/>
      </w:pPr>
      <w:rPr>
        <w:rFonts w:ascii="Symbol" w:hAnsi="Symbol"/>
      </w:rPr>
    </w:lvl>
    <w:lvl w:ilvl="2" w:tplc="4A6C88BA">
      <w:start w:val="1"/>
      <w:numFmt w:val="bullet"/>
      <w:lvlText w:val=""/>
      <w:lvlJc w:val="left"/>
      <w:pPr>
        <w:ind w:left="720" w:hanging="360"/>
      </w:pPr>
      <w:rPr>
        <w:rFonts w:ascii="Symbol" w:hAnsi="Symbol"/>
      </w:rPr>
    </w:lvl>
    <w:lvl w:ilvl="3" w:tplc="EB965748">
      <w:start w:val="1"/>
      <w:numFmt w:val="bullet"/>
      <w:lvlText w:val=""/>
      <w:lvlJc w:val="left"/>
      <w:pPr>
        <w:ind w:left="720" w:hanging="360"/>
      </w:pPr>
      <w:rPr>
        <w:rFonts w:ascii="Symbol" w:hAnsi="Symbol"/>
      </w:rPr>
    </w:lvl>
    <w:lvl w:ilvl="4" w:tplc="BF78F00A">
      <w:start w:val="1"/>
      <w:numFmt w:val="bullet"/>
      <w:lvlText w:val=""/>
      <w:lvlJc w:val="left"/>
      <w:pPr>
        <w:ind w:left="720" w:hanging="360"/>
      </w:pPr>
      <w:rPr>
        <w:rFonts w:ascii="Symbol" w:hAnsi="Symbol"/>
      </w:rPr>
    </w:lvl>
    <w:lvl w:ilvl="5" w:tplc="5E266956">
      <w:start w:val="1"/>
      <w:numFmt w:val="bullet"/>
      <w:lvlText w:val=""/>
      <w:lvlJc w:val="left"/>
      <w:pPr>
        <w:ind w:left="720" w:hanging="360"/>
      </w:pPr>
      <w:rPr>
        <w:rFonts w:ascii="Symbol" w:hAnsi="Symbol"/>
      </w:rPr>
    </w:lvl>
    <w:lvl w:ilvl="6" w:tplc="67D0FB34">
      <w:start w:val="1"/>
      <w:numFmt w:val="bullet"/>
      <w:lvlText w:val=""/>
      <w:lvlJc w:val="left"/>
      <w:pPr>
        <w:ind w:left="720" w:hanging="360"/>
      </w:pPr>
      <w:rPr>
        <w:rFonts w:ascii="Symbol" w:hAnsi="Symbol"/>
      </w:rPr>
    </w:lvl>
    <w:lvl w:ilvl="7" w:tplc="BE80E966">
      <w:start w:val="1"/>
      <w:numFmt w:val="bullet"/>
      <w:lvlText w:val=""/>
      <w:lvlJc w:val="left"/>
      <w:pPr>
        <w:ind w:left="720" w:hanging="360"/>
      </w:pPr>
      <w:rPr>
        <w:rFonts w:ascii="Symbol" w:hAnsi="Symbol"/>
      </w:rPr>
    </w:lvl>
    <w:lvl w:ilvl="8" w:tplc="97A62044">
      <w:start w:val="1"/>
      <w:numFmt w:val="bullet"/>
      <w:lvlText w:val=""/>
      <w:lvlJc w:val="left"/>
      <w:pPr>
        <w:ind w:left="720" w:hanging="360"/>
      </w:pPr>
      <w:rPr>
        <w:rFonts w:ascii="Symbol" w:hAnsi="Symbol"/>
      </w:rPr>
    </w:lvl>
  </w:abstractNum>
  <w:abstractNum w:abstractNumId="19" w15:restartNumberingAfterBreak="0">
    <w:nsid w:val="2EFF2113"/>
    <w:multiLevelType w:val="hybridMultilevel"/>
    <w:tmpl w:val="3B30222A"/>
    <w:lvl w:ilvl="0" w:tplc="2716DEEE">
      <w:start w:val="1"/>
      <w:numFmt w:val="bullet"/>
      <w:lvlText w:val=""/>
      <w:lvlJc w:val="left"/>
      <w:pPr>
        <w:ind w:left="720" w:hanging="360"/>
      </w:pPr>
      <w:rPr>
        <w:rFonts w:ascii="Symbol" w:hAnsi="Symbol"/>
      </w:rPr>
    </w:lvl>
    <w:lvl w:ilvl="1" w:tplc="CD12B078">
      <w:start w:val="1"/>
      <w:numFmt w:val="bullet"/>
      <w:lvlText w:val=""/>
      <w:lvlJc w:val="left"/>
      <w:pPr>
        <w:ind w:left="720" w:hanging="360"/>
      </w:pPr>
      <w:rPr>
        <w:rFonts w:ascii="Symbol" w:hAnsi="Symbol"/>
      </w:rPr>
    </w:lvl>
    <w:lvl w:ilvl="2" w:tplc="6D086B84">
      <w:start w:val="1"/>
      <w:numFmt w:val="bullet"/>
      <w:lvlText w:val=""/>
      <w:lvlJc w:val="left"/>
      <w:pPr>
        <w:ind w:left="720" w:hanging="360"/>
      </w:pPr>
      <w:rPr>
        <w:rFonts w:ascii="Symbol" w:hAnsi="Symbol"/>
      </w:rPr>
    </w:lvl>
    <w:lvl w:ilvl="3" w:tplc="1D9C73B0">
      <w:start w:val="1"/>
      <w:numFmt w:val="bullet"/>
      <w:lvlText w:val=""/>
      <w:lvlJc w:val="left"/>
      <w:pPr>
        <w:ind w:left="720" w:hanging="360"/>
      </w:pPr>
      <w:rPr>
        <w:rFonts w:ascii="Symbol" w:hAnsi="Symbol"/>
      </w:rPr>
    </w:lvl>
    <w:lvl w:ilvl="4" w:tplc="A5FA0224">
      <w:start w:val="1"/>
      <w:numFmt w:val="bullet"/>
      <w:lvlText w:val=""/>
      <w:lvlJc w:val="left"/>
      <w:pPr>
        <w:ind w:left="720" w:hanging="360"/>
      </w:pPr>
      <w:rPr>
        <w:rFonts w:ascii="Symbol" w:hAnsi="Symbol"/>
      </w:rPr>
    </w:lvl>
    <w:lvl w:ilvl="5" w:tplc="6F580270">
      <w:start w:val="1"/>
      <w:numFmt w:val="bullet"/>
      <w:lvlText w:val=""/>
      <w:lvlJc w:val="left"/>
      <w:pPr>
        <w:ind w:left="720" w:hanging="360"/>
      </w:pPr>
      <w:rPr>
        <w:rFonts w:ascii="Symbol" w:hAnsi="Symbol"/>
      </w:rPr>
    </w:lvl>
    <w:lvl w:ilvl="6" w:tplc="CA5CBCD6">
      <w:start w:val="1"/>
      <w:numFmt w:val="bullet"/>
      <w:lvlText w:val=""/>
      <w:lvlJc w:val="left"/>
      <w:pPr>
        <w:ind w:left="720" w:hanging="360"/>
      </w:pPr>
      <w:rPr>
        <w:rFonts w:ascii="Symbol" w:hAnsi="Symbol"/>
      </w:rPr>
    </w:lvl>
    <w:lvl w:ilvl="7" w:tplc="E40653AE">
      <w:start w:val="1"/>
      <w:numFmt w:val="bullet"/>
      <w:lvlText w:val=""/>
      <w:lvlJc w:val="left"/>
      <w:pPr>
        <w:ind w:left="720" w:hanging="360"/>
      </w:pPr>
      <w:rPr>
        <w:rFonts w:ascii="Symbol" w:hAnsi="Symbol"/>
      </w:rPr>
    </w:lvl>
    <w:lvl w:ilvl="8" w:tplc="8C121CE2">
      <w:start w:val="1"/>
      <w:numFmt w:val="bullet"/>
      <w:lvlText w:val=""/>
      <w:lvlJc w:val="left"/>
      <w:pPr>
        <w:ind w:left="720" w:hanging="360"/>
      </w:pPr>
      <w:rPr>
        <w:rFonts w:ascii="Symbol" w:hAnsi="Symbol"/>
      </w:rPr>
    </w:lvl>
  </w:abstractNum>
  <w:abstractNum w:abstractNumId="20" w15:restartNumberingAfterBreak="0">
    <w:nsid w:val="39A94022"/>
    <w:multiLevelType w:val="multilevel"/>
    <w:tmpl w:val="2A6491C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9AC4C35"/>
    <w:multiLevelType w:val="multilevel"/>
    <w:tmpl w:val="B62AD754"/>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9B21281"/>
    <w:multiLevelType w:val="multilevel"/>
    <w:tmpl w:val="412A465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DE07F3A"/>
    <w:multiLevelType w:val="hybridMultilevel"/>
    <w:tmpl w:val="3EAA6476"/>
    <w:lvl w:ilvl="0" w:tplc="9DDA3F20">
      <w:numFmt w:val="bullet"/>
      <w:lvlText w:val="-"/>
      <w:lvlJc w:val="left"/>
      <w:pPr>
        <w:ind w:left="720" w:hanging="360"/>
      </w:pPr>
      <w:rPr>
        <w:rFonts w:ascii="Calibri" w:eastAsiaTheme="minorHAns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4" w15:restartNumberingAfterBreak="0">
    <w:nsid w:val="3F847391"/>
    <w:multiLevelType w:val="multilevel"/>
    <w:tmpl w:val="8A962B1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FC11F14"/>
    <w:multiLevelType w:val="hybridMultilevel"/>
    <w:tmpl w:val="D2802AC0"/>
    <w:lvl w:ilvl="0" w:tplc="833AC21C">
      <w:start w:val="1"/>
      <w:numFmt w:val="bullet"/>
      <w:lvlText w:val=""/>
      <w:lvlJc w:val="left"/>
      <w:pPr>
        <w:ind w:left="1440" w:hanging="360"/>
      </w:pPr>
      <w:rPr>
        <w:rFonts w:ascii="Symbol" w:hAnsi="Symbol"/>
      </w:rPr>
    </w:lvl>
    <w:lvl w:ilvl="1" w:tplc="2EB099CA">
      <w:start w:val="1"/>
      <w:numFmt w:val="bullet"/>
      <w:lvlText w:val=""/>
      <w:lvlJc w:val="left"/>
      <w:pPr>
        <w:ind w:left="1440" w:hanging="360"/>
      </w:pPr>
      <w:rPr>
        <w:rFonts w:ascii="Symbol" w:hAnsi="Symbol"/>
      </w:rPr>
    </w:lvl>
    <w:lvl w:ilvl="2" w:tplc="7C289D7A">
      <w:start w:val="1"/>
      <w:numFmt w:val="bullet"/>
      <w:lvlText w:val=""/>
      <w:lvlJc w:val="left"/>
      <w:pPr>
        <w:ind w:left="1440" w:hanging="360"/>
      </w:pPr>
      <w:rPr>
        <w:rFonts w:ascii="Symbol" w:hAnsi="Symbol"/>
      </w:rPr>
    </w:lvl>
    <w:lvl w:ilvl="3" w:tplc="DC52F9C8">
      <w:start w:val="1"/>
      <w:numFmt w:val="bullet"/>
      <w:lvlText w:val=""/>
      <w:lvlJc w:val="left"/>
      <w:pPr>
        <w:ind w:left="1440" w:hanging="360"/>
      </w:pPr>
      <w:rPr>
        <w:rFonts w:ascii="Symbol" w:hAnsi="Symbol"/>
      </w:rPr>
    </w:lvl>
    <w:lvl w:ilvl="4" w:tplc="F2C07A40">
      <w:start w:val="1"/>
      <w:numFmt w:val="bullet"/>
      <w:lvlText w:val=""/>
      <w:lvlJc w:val="left"/>
      <w:pPr>
        <w:ind w:left="1440" w:hanging="360"/>
      </w:pPr>
      <w:rPr>
        <w:rFonts w:ascii="Symbol" w:hAnsi="Symbol"/>
      </w:rPr>
    </w:lvl>
    <w:lvl w:ilvl="5" w:tplc="7E2E3CC8">
      <w:start w:val="1"/>
      <w:numFmt w:val="bullet"/>
      <w:lvlText w:val=""/>
      <w:lvlJc w:val="left"/>
      <w:pPr>
        <w:ind w:left="1440" w:hanging="360"/>
      </w:pPr>
      <w:rPr>
        <w:rFonts w:ascii="Symbol" w:hAnsi="Symbol"/>
      </w:rPr>
    </w:lvl>
    <w:lvl w:ilvl="6" w:tplc="40C8A7F6">
      <w:start w:val="1"/>
      <w:numFmt w:val="bullet"/>
      <w:lvlText w:val=""/>
      <w:lvlJc w:val="left"/>
      <w:pPr>
        <w:ind w:left="1440" w:hanging="360"/>
      </w:pPr>
      <w:rPr>
        <w:rFonts w:ascii="Symbol" w:hAnsi="Symbol"/>
      </w:rPr>
    </w:lvl>
    <w:lvl w:ilvl="7" w:tplc="300201DE">
      <w:start w:val="1"/>
      <w:numFmt w:val="bullet"/>
      <w:lvlText w:val=""/>
      <w:lvlJc w:val="left"/>
      <w:pPr>
        <w:ind w:left="1440" w:hanging="360"/>
      </w:pPr>
      <w:rPr>
        <w:rFonts w:ascii="Symbol" w:hAnsi="Symbol"/>
      </w:rPr>
    </w:lvl>
    <w:lvl w:ilvl="8" w:tplc="F5401D9E">
      <w:start w:val="1"/>
      <w:numFmt w:val="bullet"/>
      <w:lvlText w:val=""/>
      <w:lvlJc w:val="left"/>
      <w:pPr>
        <w:ind w:left="1440" w:hanging="360"/>
      </w:pPr>
      <w:rPr>
        <w:rFonts w:ascii="Symbol" w:hAnsi="Symbol"/>
      </w:rPr>
    </w:lvl>
  </w:abstractNum>
  <w:abstractNum w:abstractNumId="26" w15:restartNumberingAfterBreak="0">
    <w:nsid w:val="42FD19F6"/>
    <w:multiLevelType w:val="multilevel"/>
    <w:tmpl w:val="032A9C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5644B68"/>
    <w:multiLevelType w:val="multilevel"/>
    <w:tmpl w:val="206AC4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639438E"/>
    <w:multiLevelType w:val="multilevel"/>
    <w:tmpl w:val="6030AC8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74F6E14"/>
    <w:multiLevelType w:val="hybridMultilevel"/>
    <w:tmpl w:val="67AA85F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86509AE"/>
    <w:multiLevelType w:val="hybridMultilevel"/>
    <w:tmpl w:val="F13654BA"/>
    <w:lvl w:ilvl="0" w:tplc="18090001">
      <w:start w:val="1"/>
      <w:numFmt w:val="bullet"/>
      <w:lvlText w:val=""/>
      <w:lvlJc w:val="left"/>
      <w:pPr>
        <w:ind w:left="1202" w:hanging="360"/>
      </w:pPr>
      <w:rPr>
        <w:rFonts w:ascii="Symbol" w:hAnsi="Symbol" w:hint="default"/>
      </w:rPr>
    </w:lvl>
    <w:lvl w:ilvl="1" w:tplc="18090003" w:tentative="1">
      <w:start w:val="1"/>
      <w:numFmt w:val="bullet"/>
      <w:lvlText w:val="o"/>
      <w:lvlJc w:val="left"/>
      <w:pPr>
        <w:ind w:left="1922" w:hanging="360"/>
      </w:pPr>
      <w:rPr>
        <w:rFonts w:ascii="Courier New" w:hAnsi="Courier New" w:cs="Courier New" w:hint="default"/>
      </w:rPr>
    </w:lvl>
    <w:lvl w:ilvl="2" w:tplc="18090005" w:tentative="1">
      <w:start w:val="1"/>
      <w:numFmt w:val="bullet"/>
      <w:lvlText w:val=""/>
      <w:lvlJc w:val="left"/>
      <w:pPr>
        <w:ind w:left="2642" w:hanging="360"/>
      </w:pPr>
      <w:rPr>
        <w:rFonts w:ascii="Wingdings" w:hAnsi="Wingdings" w:hint="default"/>
      </w:rPr>
    </w:lvl>
    <w:lvl w:ilvl="3" w:tplc="18090001" w:tentative="1">
      <w:start w:val="1"/>
      <w:numFmt w:val="bullet"/>
      <w:lvlText w:val=""/>
      <w:lvlJc w:val="left"/>
      <w:pPr>
        <w:ind w:left="3362" w:hanging="360"/>
      </w:pPr>
      <w:rPr>
        <w:rFonts w:ascii="Symbol" w:hAnsi="Symbol" w:hint="default"/>
      </w:rPr>
    </w:lvl>
    <w:lvl w:ilvl="4" w:tplc="18090003" w:tentative="1">
      <w:start w:val="1"/>
      <w:numFmt w:val="bullet"/>
      <w:lvlText w:val="o"/>
      <w:lvlJc w:val="left"/>
      <w:pPr>
        <w:ind w:left="4082" w:hanging="360"/>
      </w:pPr>
      <w:rPr>
        <w:rFonts w:ascii="Courier New" w:hAnsi="Courier New" w:cs="Courier New" w:hint="default"/>
      </w:rPr>
    </w:lvl>
    <w:lvl w:ilvl="5" w:tplc="18090005" w:tentative="1">
      <w:start w:val="1"/>
      <w:numFmt w:val="bullet"/>
      <w:lvlText w:val=""/>
      <w:lvlJc w:val="left"/>
      <w:pPr>
        <w:ind w:left="4802" w:hanging="360"/>
      </w:pPr>
      <w:rPr>
        <w:rFonts w:ascii="Wingdings" w:hAnsi="Wingdings" w:hint="default"/>
      </w:rPr>
    </w:lvl>
    <w:lvl w:ilvl="6" w:tplc="18090001" w:tentative="1">
      <w:start w:val="1"/>
      <w:numFmt w:val="bullet"/>
      <w:lvlText w:val=""/>
      <w:lvlJc w:val="left"/>
      <w:pPr>
        <w:ind w:left="5522" w:hanging="360"/>
      </w:pPr>
      <w:rPr>
        <w:rFonts w:ascii="Symbol" w:hAnsi="Symbol" w:hint="default"/>
      </w:rPr>
    </w:lvl>
    <w:lvl w:ilvl="7" w:tplc="18090003" w:tentative="1">
      <w:start w:val="1"/>
      <w:numFmt w:val="bullet"/>
      <w:lvlText w:val="o"/>
      <w:lvlJc w:val="left"/>
      <w:pPr>
        <w:ind w:left="6242" w:hanging="360"/>
      </w:pPr>
      <w:rPr>
        <w:rFonts w:ascii="Courier New" w:hAnsi="Courier New" w:cs="Courier New" w:hint="default"/>
      </w:rPr>
    </w:lvl>
    <w:lvl w:ilvl="8" w:tplc="18090005" w:tentative="1">
      <w:start w:val="1"/>
      <w:numFmt w:val="bullet"/>
      <w:lvlText w:val=""/>
      <w:lvlJc w:val="left"/>
      <w:pPr>
        <w:ind w:left="6962" w:hanging="360"/>
      </w:pPr>
      <w:rPr>
        <w:rFonts w:ascii="Wingdings" w:hAnsi="Wingdings" w:hint="default"/>
      </w:rPr>
    </w:lvl>
  </w:abstractNum>
  <w:abstractNum w:abstractNumId="31" w15:restartNumberingAfterBreak="0">
    <w:nsid w:val="48EC5204"/>
    <w:multiLevelType w:val="multilevel"/>
    <w:tmpl w:val="FD94DA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9A1660F"/>
    <w:multiLevelType w:val="multilevel"/>
    <w:tmpl w:val="6ECE33A0"/>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4AB54686"/>
    <w:multiLevelType w:val="multilevel"/>
    <w:tmpl w:val="6ECE33A0"/>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4BAC514E"/>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4C163A02"/>
    <w:multiLevelType w:val="multilevel"/>
    <w:tmpl w:val="2604CA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D3C3BA9"/>
    <w:multiLevelType w:val="hybridMultilevel"/>
    <w:tmpl w:val="E5FCAE2C"/>
    <w:lvl w:ilvl="0" w:tplc="68E22FC2">
      <w:start w:val="1"/>
      <w:numFmt w:val="bullet"/>
      <w:lvlText w:val=""/>
      <w:lvlJc w:val="left"/>
      <w:pPr>
        <w:ind w:left="1780" w:hanging="360"/>
      </w:pPr>
      <w:rPr>
        <w:rFonts w:ascii="Symbol" w:hAnsi="Symbol"/>
      </w:rPr>
    </w:lvl>
    <w:lvl w:ilvl="1" w:tplc="A3D0EC82">
      <w:start w:val="1"/>
      <w:numFmt w:val="bullet"/>
      <w:lvlText w:val=""/>
      <w:lvlJc w:val="left"/>
      <w:pPr>
        <w:ind w:left="1780" w:hanging="360"/>
      </w:pPr>
      <w:rPr>
        <w:rFonts w:ascii="Symbol" w:hAnsi="Symbol"/>
      </w:rPr>
    </w:lvl>
    <w:lvl w:ilvl="2" w:tplc="B436FF50">
      <w:start w:val="1"/>
      <w:numFmt w:val="bullet"/>
      <w:lvlText w:val=""/>
      <w:lvlJc w:val="left"/>
      <w:pPr>
        <w:ind w:left="1780" w:hanging="360"/>
      </w:pPr>
      <w:rPr>
        <w:rFonts w:ascii="Symbol" w:hAnsi="Symbol"/>
      </w:rPr>
    </w:lvl>
    <w:lvl w:ilvl="3" w:tplc="427E3F2C">
      <w:start w:val="1"/>
      <w:numFmt w:val="bullet"/>
      <w:lvlText w:val=""/>
      <w:lvlJc w:val="left"/>
      <w:pPr>
        <w:ind w:left="1780" w:hanging="360"/>
      </w:pPr>
      <w:rPr>
        <w:rFonts w:ascii="Symbol" w:hAnsi="Symbol"/>
      </w:rPr>
    </w:lvl>
    <w:lvl w:ilvl="4" w:tplc="DCAEC042">
      <w:start w:val="1"/>
      <w:numFmt w:val="bullet"/>
      <w:lvlText w:val=""/>
      <w:lvlJc w:val="left"/>
      <w:pPr>
        <w:ind w:left="1780" w:hanging="360"/>
      </w:pPr>
      <w:rPr>
        <w:rFonts w:ascii="Symbol" w:hAnsi="Symbol"/>
      </w:rPr>
    </w:lvl>
    <w:lvl w:ilvl="5" w:tplc="51A0B7DA">
      <w:start w:val="1"/>
      <w:numFmt w:val="bullet"/>
      <w:lvlText w:val=""/>
      <w:lvlJc w:val="left"/>
      <w:pPr>
        <w:ind w:left="1780" w:hanging="360"/>
      </w:pPr>
      <w:rPr>
        <w:rFonts w:ascii="Symbol" w:hAnsi="Symbol"/>
      </w:rPr>
    </w:lvl>
    <w:lvl w:ilvl="6" w:tplc="D5C69496">
      <w:start w:val="1"/>
      <w:numFmt w:val="bullet"/>
      <w:lvlText w:val=""/>
      <w:lvlJc w:val="left"/>
      <w:pPr>
        <w:ind w:left="1780" w:hanging="360"/>
      </w:pPr>
      <w:rPr>
        <w:rFonts w:ascii="Symbol" w:hAnsi="Symbol"/>
      </w:rPr>
    </w:lvl>
    <w:lvl w:ilvl="7" w:tplc="B034292C">
      <w:start w:val="1"/>
      <w:numFmt w:val="bullet"/>
      <w:lvlText w:val=""/>
      <w:lvlJc w:val="left"/>
      <w:pPr>
        <w:ind w:left="1780" w:hanging="360"/>
      </w:pPr>
      <w:rPr>
        <w:rFonts w:ascii="Symbol" w:hAnsi="Symbol"/>
      </w:rPr>
    </w:lvl>
    <w:lvl w:ilvl="8" w:tplc="002AC438">
      <w:start w:val="1"/>
      <w:numFmt w:val="bullet"/>
      <w:lvlText w:val=""/>
      <w:lvlJc w:val="left"/>
      <w:pPr>
        <w:ind w:left="1780" w:hanging="360"/>
      </w:pPr>
      <w:rPr>
        <w:rFonts w:ascii="Symbol" w:hAnsi="Symbol"/>
      </w:rPr>
    </w:lvl>
  </w:abstractNum>
  <w:abstractNum w:abstractNumId="37" w15:restartNumberingAfterBreak="0">
    <w:nsid w:val="4F8F6D02"/>
    <w:multiLevelType w:val="hybridMultilevel"/>
    <w:tmpl w:val="71EAAA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51160BA1"/>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540C139F"/>
    <w:multiLevelType w:val="hybridMultilevel"/>
    <w:tmpl w:val="CAFA9612"/>
    <w:lvl w:ilvl="0" w:tplc="B5889958">
      <w:start w:val="1"/>
      <w:numFmt w:val="bullet"/>
      <w:lvlText w:val=""/>
      <w:lvlJc w:val="left"/>
      <w:pPr>
        <w:ind w:left="720" w:hanging="360"/>
      </w:pPr>
      <w:rPr>
        <w:rFonts w:ascii="Symbol" w:hAnsi="Symbol"/>
      </w:rPr>
    </w:lvl>
    <w:lvl w:ilvl="1" w:tplc="2F206D76">
      <w:start w:val="1"/>
      <w:numFmt w:val="bullet"/>
      <w:lvlText w:val=""/>
      <w:lvlJc w:val="left"/>
      <w:pPr>
        <w:ind w:left="720" w:hanging="360"/>
      </w:pPr>
      <w:rPr>
        <w:rFonts w:ascii="Symbol" w:hAnsi="Symbol"/>
      </w:rPr>
    </w:lvl>
    <w:lvl w:ilvl="2" w:tplc="B282ADE0">
      <w:start w:val="1"/>
      <w:numFmt w:val="bullet"/>
      <w:lvlText w:val=""/>
      <w:lvlJc w:val="left"/>
      <w:pPr>
        <w:ind w:left="720" w:hanging="360"/>
      </w:pPr>
      <w:rPr>
        <w:rFonts w:ascii="Symbol" w:hAnsi="Symbol"/>
      </w:rPr>
    </w:lvl>
    <w:lvl w:ilvl="3" w:tplc="1856E85A">
      <w:start w:val="1"/>
      <w:numFmt w:val="bullet"/>
      <w:lvlText w:val=""/>
      <w:lvlJc w:val="left"/>
      <w:pPr>
        <w:ind w:left="720" w:hanging="360"/>
      </w:pPr>
      <w:rPr>
        <w:rFonts w:ascii="Symbol" w:hAnsi="Symbol"/>
      </w:rPr>
    </w:lvl>
    <w:lvl w:ilvl="4" w:tplc="810E5556">
      <w:start w:val="1"/>
      <w:numFmt w:val="bullet"/>
      <w:lvlText w:val=""/>
      <w:lvlJc w:val="left"/>
      <w:pPr>
        <w:ind w:left="720" w:hanging="360"/>
      </w:pPr>
      <w:rPr>
        <w:rFonts w:ascii="Symbol" w:hAnsi="Symbol"/>
      </w:rPr>
    </w:lvl>
    <w:lvl w:ilvl="5" w:tplc="4D726534">
      <w:start w:val="1"/>
      <w:numFmt w:val="bullet"/>
      <w:lvlText w:val=""/>
      <w:lvlJc w:val="left"/>
      <w:pPr>
        <w:ind w:left="720" w:hanging="360"/>
      </w:pPr>
      <w:rPr>
        <w:rFonts w:ascii="Symbol" w:hAnsi="Symbol"/>
      </w:rPr>
    </w:lvl>
    <w:lvl w:ilvl="6" w:tplc="DF4618B6">
      <w:start w:val="1"/>
      <w:numFmt w:val="bullet"/>
      <w:lvlText w:val=""/>
      <w:lvlJc w:val="left"/>
      <w:pPr>
        <w:ind w:left="720" w:hanging="360"/>
      </w:pPr>
      <w:rPr>
        <w:rFonts w:ascii="Symbol" w:hAnsi="Symbol"/>
      </w:rPr>
    </w:lvl>
    <w:lvl w:ilvl="7" w:tplc="53B26F2C">
      <w:start w:val="1"/>
      <w:numFmt w:val="bullet"/>
      <w:lvlText w:val=""/>
      <w:lvlJc w:val="left"/>
      <w:pPr>
        <w:ind w:left="720" w:hanging="360"/>
      </w:pPr>
      <w:rPr>
        <w:rFonts w:ascii="Symbol" w:hAnsi="Symbol"/>
      </w:rPr>
    </w:lvl>
    <w:lvl w:ilvl="8" w:tplc="5E30D5F6">
      <w:start w:val="1"/>
      <w:numFmt w:val="bullet"/>
      <w:lvlText w:val=""/>
      <w:lvlJc w:val="left"/>
      <w:pPr>
        <w:ind w:left="720" w:hanging="360"/>
      </w:pPr>
      <w:rPr>
        <w:rFonts w:ascii="Symbol" w:hAnsi="Symbol"/>
      </w:rPr>
    </w:lvl>
  </w:abstractNum>
  <w:abstractNum w:abstractNumId="40" w15:restartNumberingAfterBreak="0">
    <w:nsid w:val="57BF0C26"/>
    <w:multiLevelType w:val="hybridMultilevel"/>
    <w:tmpl w:val="795E7142"/>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58382113"/>
    <w:multiLevelType w:val="multilevel"/>
    <w:tmpl w:val="E9560A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596E0B3C"/>
    <w:multiLevelType w:val="multilevel"/>
    <w:tmpl w:val="47C4954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9AD178B"/>
    <w:multiLevelType w:val="hybridMultilevel"/>
    <w:tmpl w:val="ED0A3980"/>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5E1E6C28"/>
    <w:multiLevelType w:val="hybridMultilevel"/>
    <w:tmpl w:val="31481A7E"/>
    <w:lvl w:ilvl="0" w:tplc="CA441392">
      <w:start w:val="1"/>
      <w:numFmt w:val="bullet"/>
      <w:lvlText w:val=""/>
      <w:lvlJc w:val="left"/>
      <w:pPr>
        <w:ind w:left="1440" w:hanging="360"/>
      </w:pPr>
      <w:rPr>
        <w:rFonts w:ascii="Symbol" w:hAnsi="Symbol"/>
      </w:rPr>
    </w:lvl>
    <w:lvl w:ilvl="1" w:tplc="43603F02">
      <w:start w:val="1"/>
      <w:numFmt w:val="bullet"/>
      <w:lvlText w:val=""/>
      <w:lvlJc w:val="left"/>
      <w:pPr>
        <w:ind w:left="1440" w:hanging="360"/>
      </w:pPr>
      <w:rPr>
        <w:rFonts w:ascii="Symbol" w:hAnsi="Symbol"/>
      </w:rPr>
    </w:lvl>
    <w:lvl w:ilvl="2" w:tplc="878A4A34">
      <w:start w:val="1"/>
      <w:numFmt w:val="bullet"/>
      <w:lvlText w:val=""/>
      <w:lvlJc w:val="left"/>
      <w:pPr>
        <w:ind w:left="1440" w:hanging="360"/>
      </w:pPr>
      <w:rPr>
        <w:rFonts w:ascii="Symbol" w:hAnsi="Symbol"/>
      </w:rPr>
    </w:lvl>
    <w:lvl w:ilvl="3" w:tplc="315E4810">
      <w:start w:val="1"/>
      <w:numFmt w:val="bullet"/>
      <w:lvlText w:val=""/>
      <w:lvlJc w:val="left"/>
      <w:pPr>
        <w:ind w:left="1440" w:hanging="360"/>
      </w:pPr>
      <w:rPr>
        <w:rFonts w:ascii="Symbol" w:hAnsi="Symbol"/>
      </w:rPr>
    </w:lvl>
    <w:lvl w:ilvl="4" w:tplc="23CA48E6">
      <w:start w:val="1"/>
      <w:numFmt w:val="bullet"/>
      <w:lvlText w:val=""/>
      <w:lvlJc w:val="left"/>
      <w:pPr>
        <w:ind w:left="1440" w:hanging="360"/>
      </w:pPr>
      <w:rPr>
        <w:rFonts w:ascii="Symbol" w:hAnsi="Symbol"/>
      </w:rPr>
    </w:lvl>
    <w:lvl w:ilvl="5" w:tplc="EE220BEC">
      <w:start w:val="1"/>
      <w:numFmt w:val="bullet"/>
      <w:lvlText w:val=""/>
      <w:lvlJc w:val="left"/>
      <w:pPr>
        <w:ind w:left="1440" w:hanging="360"/>
      </w:pPr>
      <w:rPr>
        <w:rFonts w:ascii="Symbol" w:hAnsi="Symbol"/>
      </w:rPr>
    </w:lvl>
    <w:lvl w:ilvl="6" w:tplc="D3062440">
      <w:start w:val="1"/>
      <w:numFmt w:val="bullet"/>
      <w:lvlText w:val=""/>
      <w:lvlJc w:val="left"/>
      <w:pPr>
        <w:ind w:left="1440" w:hanging="360"/>
      </w:pPr>
      <w:rPr>
        <w:rFonts w:ascii="Symbol" w:hAnsi="Symbol"/>
      </w:rPr>
    </w:lvl>
    <w:lvl w:ilvl="7" w:tplc="13843606">
      <w:start w:val="1"/>
      <w:numFmt w:val="bullet"/>
      <w:lvlText w:val=""/>
      <w:lvlJc w:val="left"/>
      <w:pPr>
        <w:ind w:left="1440" w:hanging="360"/>
      </w:pPr>
      <w:rPr>
        <w:rFonts w:ascii="Symbol" w:hAnsi="Symbol"/>
      </w:rPr>
    </w:lvl>
    <w:lvl w:ilvl="8" w:tplc="01486AB2">
      <w:start w:val="1"/>
      <w:numFmt w:val="bullet"/>
      <w:lvlText w:val=""/>
      <w:lvlJc w:val="left"/>
      <w:pPr>
        <w:ind w:left="1440" w:hanging="360"/>
      </w:pPr>
      <w:rPr>
        <w:rFonts w:ascii="Symbol" w:hAnsi="Symbol"/>
      </w:rPr>
    </w:lvl>
  </w:abstractNum>
  <w:abstractNum w:abstractNumId="45" w15:restartNumberingAfterBreak="0">
    <w:nsid w:val="608A5C15"/>
    <w:multiLevelType w:val="multilevel"/>
    <w:tmpl w:val="711811DE"/>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46" w15:restartNumberingAfterBreak="0">
    <w:nsid w:val="60F3258F"/>
    <w:multiLevelType w:val="hybridMultilevel"/>
    <w:tmpl w:val="0962434E"/>
    <w:lvl w:ilvl="0" w:tplc="1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7" w15:restartNumberingAfterBreak="0">
    <w:nsid w:val="61C21740"/>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62260BF1"/>
    <w:multiLevelType w:val="hybridMultilevel"/>
    <w:tmpl w:val="986C0D6C"/>
    <w:lvl w:ilvl="0" w:tplc="30C2DC86">
      <w:start w:val="1"/>
      <w:numFmt w:val="bullet"/>
      <w:lvlText w:val=""/>
      <w:lvlJc w:val="left"/>
      <w:pPr>
        <w:ind w:left="1440" w:hanging="360"/>
      </w:pPr>
      <w:rPr>
        <w:rFonts w:ascii="Symbol" w:hAnsi="Symbol"/>
      </w:rPr>
    </w:lvl>
    <w:lvl w:ilvl="1" w:tplc="8F8ECBB2">
      <w:start w:val="1"/>
      <w:numFmt w:val="bullet"/>
      <w:lvlText w:val=""/>
      <w:lvlJc w:val="left"/>
      <w:pPr>
        <w:ind w:left="1440" w:hanging="360"/>
      </w:pPr>
      <w:rPr>
        <w:rFonts w:ascii="Symbol" w:hAnsi="Symbol"/>
      </w:rPr>
    </w:lvl>
    <w:lvl w:ilvl="2" w:tplc="F4B2DD48">
      <w:start w:val="1"/>
      <w:numFmt w:val="bullet"/>
      <w:lvlText w:val=""/>
      <w:lvlJc w:val="left"/>
      <w:pPr>
        <w:ind w:left="1440" w:hanging="360"/>
      </w:pPr>
      <w:rPr>
        <w:rFonts w:ascii="Symbol" w:hAnsi="Symbol"/>
      </w:rPr>
    </w:lvl>
    <w:lvl w:ilvl="3" w:tplc="B0ECC5BA">
      <w:start w:val="1"/>
      <w:numFmt w:val="bullet"/>
      <w:lvlText w:val=""/>
      <w:lvlJc w:val="left"/>
      <w:pPr>
        <w:ind w:left="1440" w:hanging="360"/>
      </w:pPr>
      <w:rPr>
        <w:rFonts w:ascii="Symbol" w:hAnsi="Symbol"/>
      </w:rPr>
    </w:lvl>
    <w:lvl w:ilvl="4" w:tplc="252C89B2">
      <w:start w:val="1"/>
      <w:numFmt w:val="bullet"/>
      <w:lvlText w:val=""/>
      <w:lvlJc w:val="left"/>
      <w:pPr>
        <w:ind w:left="1440" w:hanging="360"/>
      </w:pPr>
      <w:rPr>
        <w:rFonts w:ascii="Symbol" w:hAnsi="Symbol"/>
      </w:rPr>
    </w:lvl>
    <w:lvl w:ilvl="5" w:tplc="1A522DC6">
      <w:start w:val="1"/>
      <w:numFmt w:val="bullet"/>
      <w:lvlText w:val=""/>
      <w:lvlJc w:val="left"/>
      <w:pPr>
        <w:ind w:left="1440" w:hanging="360"/>
      </w:pPr>
      <w:rPr>
        <w:rFonts w:ascii="Symbol" w:hAnsi="Symbol"/>
      </w:rPr>
    </w:lvl>
    <w:lvl w:ilvl="6" w:tplc="6AB4DAA2">
      <w:start w:val="1"/>
      <w:numFmt w:val="bullet"/>
      <w:lvlText w:val=""/>
      <w:lvlJc w:val="left"/>
      <w:pPr>
        <w:ind w:left="1440" w:hanging="360"/>
      </w:pPr>
      <w:rPr>
        <w:rFonts w:ascii="Symbol" w:hAnsi="Symbol"/>
      </w:rPr>
    </w:lvl>
    <w:lvl w:ilvl="7" w:tplc="FEA6BAAA">
      <w:start w:val="1"/>
      <w:numFmt w:val="bullet"/>
      <w:lvlText w:val=""/>
      <w:lvlJc w:val="left"/>
      <w:pPr>
        <w:ind w:left="1440" w:hanging="360"/>
      </w:pPr>
      <w:rPr>
        <w:rFonts w:ascii="Symbol" w:hAnsi="Symbol"/>
      </w:rPr>
    </w:lvl>
    <w:lvl w:ilvl="8" w:tplc="7A9C4510">
      <w:start w:val="1"/>
      <w:numFmt w:val="bullet"/>
      <w:lvlText w:val=""/>
      <w:lvlJc w:val="left"/>
      <w:pPr>
        <w:ind w:left="1440" w:hanging="360"/>
      </w:pPr>
      <w:rPr>
        <w:rFonts w:ascii="Symbol" w:hAnsi="Symbol"/>
      </w:rPr>
    </w:lvl>
  </w:abstractNum>
  <w:abstractNum w:abstractNumId="49" w15:restartNumberingAfterBreak="0">
    <w:nsid w:val="64820F3B"/>
    <w:multiLevelType w:val="multilevel"/>
    <w:tmpl w:val="032A9C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666B5C6B"/>
    <w:multiLevelType w:val="hybridMultilevel"/>
    <w:tmpl w:val="6D641952"/>
    <w:lvl w:ilvl="0" w:tplc="BBB6E35E">
      <w:start w:val="1"/>
      <w:numFmt w:val="bullet"/>
      <w:lvlText w:val=""/>
      <w:lvlJc w:val="left"/>
      <w:pPr>
        <w:ind w:left="720" w:hanging="360"/>
      </w:pPr>
      <w:rPr>
        <w:rFonts w:ascii="Symbol" w:hAnsi="Symbol"/>
      </w:rPr>
    </w:lvl>
    <w:lvl w:ilvl="1" w:tplc="14E613BA">
      <w:start w:val="1"/>
      <w:numFmt w:val="bullet"/>
      <w:lvlText w:val=""/>
      <w:lvlJc w:val="left"/>
      <w:pPr>
        <w:ind w:left="720" w:hanging="360"/>
      </w:pPr>
      <w:rPr>
        <w:rFonts w:ascii="Symbol" w:hAnsi="Symbol"/>
      </w:rPr>
    </w:lvl>
    <w:lvl w:ilvl="2" w:tplc="3D72A1C8">
      <w:start w:val="1"/>
      <w:numFmt w:val="bullet"/>
      <w:lvlText w:val=""/>
      <w:lvlJc w:val="left"/>
      <w:pPr>
        <w:ind w:left="720" w:hanging="360"/>
      </w:pPr>
      <w:rPr>
        <w:rFonts w:ascii="Symbol" w:hAnsi="Symbol"/>
      </w:rPr>
    </w:lvl>
    <w:lvl w:ilvl="3" w:tplc="1E3EA968">
      <w:start w:val="1"/>
      <w:numFmt w:val="bullet"/>
      <w:lvlText w:val=""/>
      <w:lvlJc w:val="left"/>
      <w:pPr>
        <w:ind w:left="720" w:hanging="360"/>
      </w:pPr>
      <w:rPr>
        <w:rFonts w:ascii="Symbol" w:hAnsi="Symbol"/>
      </w:rPr>
    </w:lvl>
    <w:lvl w:ilvl="4" w:tplc="90CAFD24">
      <w:start w:val="1"/>
      <w:numFmt w:val="bullet"/>
      <w:lvlText w:val=""/>
      <w:lvlJc w:val="left"/>
      <w:pPr>
        <w:ind w:left="720" w:hanging="360"/>
      </w:pPr>
      <w:rPr>
        <w:rFonts w:ascii="Symbol" w:hAnsi="Symbol"/>
      </w:rPr>
    </w:lvl>
    <w:lvl w:ilvl="5" w:tplc="0E705430">
      <w:start w:val="1"/>
      <w:numFmt w:val="bullet"/>
      <w:lvlText w:val=""/>
      <w:lvlJc w:val="left"/>
      <w:pPr>
        <w:ind w:left="720" w:hanging="360"/>
      </w:pPr>
      <w:rPr>
        <w:rFonts w:ascii="Symbol" w:hAnsi="Symbol"/>
      </w:rPr>
    </w:lvl>
    <w:lvl w:ilvl="6" w:tplc="1B4C95B4">
      <w:start w:val="1"/>
      <w:numFmt w:val="bullet"/>
      <w:lvlText w:val=""/>
      <w:lvlJc w:val="left"/>
      <w:pPr>
        <w:ind w:left="720" w:hanging="360"/>
      </w:pPr>
      <w:rPr>
        <w:rFonts w:ascii="Symbol" w:hAnsi="Symbol"/>
      </w:rPr>
    </w:lvl>
    <w:lvl w:ilvl="7" w:tplc="8772860C">
      <w:start w:val="1"/>
      <w:numFmt w:val="bullet"/>
      <w:lvlText w:val=""/>
      <w:lvlJc w:val="left"/>
      <w:pPr>
        <w:ind w:left="720" w:hanging="360"/>
      </w:pPr>
      <w:rPr>
        <w:rFonts w:ascii="Symbol" w:hAnsi="Symbol"/>
      </w:rPr>
    </w:lvl>
    <w:lvl w:ilvl="8" w:tplc="EB56DE96">
      <w:start w:val="1"/>
      <w:numFmt w:val="bullet"/>
      <w:lvlText w:val=""/>
      <w:lvlJc w:val="left"/>
      <w:pPr>
        <w:ind w:left="720" w:hanging="360"/>
      </w:pPr>
      <w:rPr>
        <w:rFonts w:ascii="Symbol" w:hAnsi="Symbol"/>
      </w:rPr>
    </w:lvl>
  </w:abstractNum>
  <w:abstractNum w:abstractNumId="51" w15:restartNumberingAfterBreak="0">
    <w:nsid w:val="66ED4C83"/>
    <w:multiLevelType w:val="multilevel"/>
    <w:tmpl w:val="032A9C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6839298A"/>
    <w:multiLevelType w:val="multilevel"/>
    <w:tmpl w:val="B3AC47F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6B6C53BE"/>
    <w:multiLevelType w:val="multilevel"/>
    <w:tmpl w:val="032A9C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6E230169"/>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6F653A52"/>
    <w:multiLevelType w:val="hybridMultilevel"/>
    <w:tmpl w:val="182CA628"/>
    <w:lvl w:ilvl="0" w:tplc="DA2C5A06">
      <w:numFmt w:val="bullet"/>
      <w:lvlText w:val="-"/>
      <w:lvlJc w:val="left"/>
      <w:pPr>
        <w:ind w:left="360" w:hanging="360"/>
      </w:pPr>
      <w:rPr>
        <w:rFonts w:ascii="Times New Roman" w:eastAsia="Times New Roman"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6" w15:restartNumberingAfterBreak="0">
    <w:nsid w:val="6F752763"/>
    <w:multiLevelType w:val="multilevel"/>
    <w:tmpl w:val="853A6E9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71CC7370"/>
    <w:multiLevelType w:val="hybridMultilevel"/>
    <w:tmpl w:val="A47227C8"/>
    <w:lvl w:ilvl="0" w:tplc="B0320138">
      <w:start w:val="1"/>
      <w:numFmt w:val="bullet"/>
      <w:lvlText w:val=""/>
      <w:lvlJc w:val="left"/>
      <w:pPr>
        <w:ind w:left="1780" w:hanging="360"/>
      </w:pPr>
      <w:rPr>
        <w:rFonts w:ascii="Symbol" w:hAnsi="Symbol"/>
      </w:rPr>
    </w:lvl>
    <w:lvl w:ilvl="1" w:tplc="2FCE377E">
      <w:start w:val="1"/>
      <w:numFmt w:val="bullet"/>
      <w:lvlText w:val=""/>
      <w:lvlJc w:val="left"/>
      <w:pPr>
        <w:ind w:left="1780" w:hanging="360"/>
      </w:pPr>
      <w:rPr>
        <w:rFonts w:ascii="Symbol" w:hAnsi="Symbol"/>
      </w:rPr>
    </w:lvl>
    <w:lvl w:ilvl="2" w:tplc="2A7C1A30">
      <w:start w:val="1"/>
      <w:numFmt w:val="bullet"/>
      <w:lvlText w:val=""/>
      <w:lvlJc w:val="left"/>
      <w:pPr>
        <w:ind w:left="1780" w:hanging="360"/>
      </w:pPr>
      <w:rPr>
        <w:rFonts w:ascii="Symbol" w:hAnsi="Symbol"/>
      </w:rPr>
    </w:lvl>
    <w:lvl w:ilvl="3" w:tplc="16D8D48C">
      <w:start w:val="1"/>
      <w:numFmt w:val="bullet"/>
      <w:lvlText w:val=""/>
      <w:lvlJc w:val="left"/>
      <w:pPr>
        <w:ind w:left="1780" w:hanging="360"/>
      </w:pPr>
      <w:rPr>
        <w:rFonts w:ascii="Symbol" w:hAnsi="Symbol"/>
      </w:rPr>
    </w:lvl>
    <w:lvl w:ilvl="4" w:tplc="7C60CE46">
      <w:start w:val="1"/>
      <w:numFmt w:val="bullet"/>
      <w:lvlText w:val=""/>
      <w:lvlJc w:val="left"/>
      <w:pPr>
        <w:ind w:left="1780" w:hanging="360"/>
      </w:pPr>
      <w:rPr>
        <w:rFonts w:ascii="Symbol" w:hAnsi="Symbol"/>
      </w:rPr>
    </w:lvl>
    <w:lvl w:ilvl="5" w:tplc="ED1A8BBE">
      <w:start w:val="1"/>
      <w:numFmt w:val="bullet"/>
      <w:lvlText w:val=""/>
      <w:lvlJc w:val="left"/>
      <w:pPr>
        <w:ind w:left="1780" w:hanging="360"/>
      </w:pPr>
      <w:rPr>
        <w:rFonts w:ascii="Symbol" w:hAnsi="Symbol"/>
      </w:rPr>
    </w:lvl>
    <w:lvl w:ilvl="6" w:tplc="95008466">
      <w:start w:val="1"/>
      <w:numFmt w:val="bullet"/>
      <w:lvlText w:val=""/>
      <w:lvlJc w:val="left"/>
      <w:pPr>
        <w:ind w:left="1780" w:hanging="360"/>
      </w:pPr>
      <w:rPr>
        <w:rFonts w:ascii="Symbol" w:hAnsi="Symbol"/>
      </w:rPr>
    </w:lvl>
    <w:lvl w:ilvl="7" w:tplc="A7E690B2">
      <w:start w:val="1"/>
      <w:numFmt w:val="bullet"/>
      <w:lvlText w:val=""/>
      <w:lvlJc w:val="left"/>
      <w:pPr>
        <w:ind w:left="1780" w:hanging="360"/>
      </w:pPr>
      <w:rPr>
        <w:rFonts w:ascii="Symbol" w:hAnsi="Symbol"/>
      </w:rPr>
    </w:lvl>
    <w:lvl w:ilvl="8" w:tplc="7868A59C">
      <w:start w:val="1"/>
      <w:numFmt w:val="bullet"/>
      <w:lvlText w:val=""/>
      <w:lvlJc w:val="left"/>
      <w:pPr>
        <w:ind w:left="1780" w:hanging="360"/>
      </w:pPr>
      <w:rPr>
        <w:rFonts w:ascii="Symbol" w:hAnsi="Symbol"/>
      </w:rPr>
    </w:lvl>
  </w:abstractNum>
  <w:abstractNum w:abstractNumId="58" w15:restartNumberingAfterBreak="0">
    <w:nsid w:val="72FA3433"/>
    <w:multiLevelType w:val="hybridMultilevel"/>
    <w:tmpl w:val="6496404C"/>
    <w:lvl w:ilvl="0" w:tplc="737CF57E">
      <w:numFmt w:val="bullet"/>
      <w:lvlText w:val="-"/>
      <w:lvlJc w:val="left"/>
      <w:pPr>
        <w:ind w:left="720" w:hanging="360"/>
      </w:pPr>
      <w:rPr>
        <w:rFonts w:ascii="Times New Roman" w:eastAsiaTheme="minorHAnsi" w:hAnsi="Times New Roman" w:cs="Times New Roman" w:hint="default"/>
        <w:u w:val="singl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9" w15:restartNumberingAfterBreak="0">
    <w:nsid w:val="744C5F91"/>
    <w:multiLevelType w:val="multilevel"/>
    <w:tmpl w:val="2936720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746C1629"/>
    <w:multiLevelType w:val="hybridMultilevel"/>
    <w:tmpl w:val="9202EF1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747460AA"/>
    <w:multiLevelType w:val="multilevel"/>
    <w:tmpl w:val="8C0897A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749C4A37"/>
    <w:multiLevelType w:val="hybridMultilevel"/>
    <w:tmpl w:val="DEFA961E"/>
    <w:lvl w:ilvl="0" w:tplc="8FD456CA">
      <w:start w:val="1"/>
      <w:numFmt w:val="bullet"/>
      <w:lvlText w:val=""/>
      <w:lvlJc w:val="left"/>
      <w:pPr>
        <w:ind w:left="720" w:hanging="360"/>
      </w:pPr>
      <w:rPr>
        <w:rFonts w:ascii="Symbol" w:hAnsi="Symbol"/>
      </w:rPr>
    </w:lvl>
    <w:lvl w:ilvl="1" w:tplc="04CEBB6E">
      <w:start w:val="1"/>
      <w:numFmt w:val="bullet"/>
      <w:lvlText w:val=""/>
      <w:lvlJc w:val="left"/>
      <w:pPr>
        <w:ind w:left="720" w:hanging="360"/>
      </w:pPr>
      <w:rPr>
        <w:rFonts w:ascii="Symbol" w:hAnsi="Symbol"/>
      </w:rPr>
    </w:lvl>
    <w:lvl w:ilvl="2" w:tplc="E6920A22">
      <w:start w:val="1"/>
      <w:numFmt w:val="bullet"/>
      <w:lvlText w:val=""/>
      <w:lvlJc w:val="left"/>
      <w:pPr>
        <w:ind w:left="720" w:hanging="360"/>
      </w:pPr>
      <w:rPr>
        <w:rFonts w:ascii="Symbol" w:hAnsi="Symbol"/>
      </w:rPr>
    </w:lvl>
    <w:lvl w:ilvl="3" w:tplc="2A06B4B4">
      <w:start w:val="1"/>
      <w:numFmt w:val="bullet"/>
      <w:lvlText w:val=""/>
      <w:lvlJc w:val="left"/>
      <w:pPr>
        <w:ind w:left="720" w:hanging="360"/>
      </w:pPr>
      <w:rPr>
        <w:rFonts w:ascii="Symbol" w:hAnsi="Symbol"/>
      </w:rPr>
    </w:lvl>
    <w:lvl w:ilvl="4" w:tplc="E4BE0588">
      <w:start w:val="1"/>
      <w:numFmt w:val="bullet"/>
      <w:lvlText w:val=""/>
      <w:lvlJc w:val="left"/>
      <w:pPr>
        <w:ind w:left="720" w:hanging="360"/>
      </w:pPr>
      <w:rPr>
        <w:rFonts w:ascii="Symbol" w:hAnsi="Symbol"/>
      </w:rPr>
    </w:lvl>
    <w:lvl w:ilvl="5" w:tplc="81AAF516">
      <w:start w:val="1"/>
      <w:numFmt w:val="bullet"/>
      <w:lvlText w:val=""/>
      <w:lvlJc w:val="left"/>
      <w:pPr>
        <w:ind w:left="720" w:hanging="360"/>
      </w:pPr>
      <w:rPr>
        <w:rFonts w:ascii="Symbol" w:hAnsi="Symbol"/>
      </w:rPr>
    </w:lvl>
    <w:lvl w:ilvl="6" w:tplc="D4A8D962">
      <w:start w:val="1"/>
      <w:numFmt w:val="bullet"/>
      <w:lvlText w:val=""/>
      <w:lvlJc w:val="left"/>
      <w:pPr>
        <w:ind w:left="720" w:hanging="360"/>
      </w:pPr>
      <w:rPr>
        <w:rFonts w:ascii="Symbol" w:hAnsi="Symbol"/>
      </w:rPr>
    </w:lvl>
    <w:lvl w:ilvl="7" w:tplc="2FD0C322">
      <w:start w:val="1"/>
      <w:numFmt w:val="bullet"/>
      <w:lvlText w:val=""/>
      <w:lvlJc w:val="left"/>
      <w:pPr>
        <w:ind w:left="720" w:hanging="360"/>
      </w:pPr>
      <w:rPr>
        <w:rFonts w:ascii="Symbol" w:hAnsi="Symbol"/>
      </w:rPr>
    </w:lvl>
    <w:lvl w:ilvl="8" w:tplc="6316B8B8">
      <w:start w:val="1"/>
      <w:numFmt w:val="bullet"/>
      <w:lvlText w:val=""/>
      <w:lvlJc w:val="left"/>
      <w:pPr>
        <w:ind w:left="720" w:hanging="360"/>
      </w:pPr>
      <w:rPr>
        <w:rFonts w:ascii="Symbol" w:hAnsi="Symbol"/>
      </w:rPr>
    </w:lvl>
  </w:abstractNum>
  <w:abstractNum w:abstractNumId="63" w15:restartNumberingAfterBreak="0">
    <w:nsid w:val="79243CA2"/>
    <w:multiLevelType w:val="multilevel"/>
    <w:tmpl w:val="D26E3F94"/>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7AAC736E"/>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7C824D80"/>
    <w:multiLevelType w:val="multilevel"/>
    <w:tmpl w:val="C106AC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7D207868"/>
    <w:multiLevelType w:val="hybridMultilevel"/>
    <w:tmpl w:val="ECF0515E"/>
    <w:lvl w:ilvl="0" w:tplc="F05EE8B0">
      <w:start w:val="1"/>
      <w:numFmt w:val="bullet"/>
      <w:lvlText w:val=""/>
      <w:lvlJc w:val="left"/>
      <w:pPr>
        <w:ind w:left="720" w:hanging="360"/>
      </w:pPr>
      <w:rPr>
        <w:rFonts w:ascii="Symbol" w:hAnsi="Symbol"/>
      </w:rPr>
    </w:lvl>
    <w:lvl w:ilvl="1" w:tplc="532411DA">
      <w:start w:val="1"/>
      <w:numFmt w:val="bullet"/>
      <w:lvlText w:val=""/>
      <w:lvlJc w:val="left"/>
      <w:pPr>
        <w:ind w:left="720" w:hanging="360"/>
      </w:pPr>
      <w:rPr>
        <w:rFonts w:ascii="Symbol" w:hAnsi="Symbol"/>
      </w:rPr>
    </w:lvl>
    <w:lvl w:ilvl="2" w:tplc="519415D6">
      <w:start w:val="1"/>
      <w:numFmt w:val="bullet"/>
      <w:lvlText w:val=""/>
      <w:lvlJc w:val="left"/>
      <w:pPr>
        <w:ind w:left="720" w:hanging="360"/>
      </w:pPr>
      <w:rPr>
        <w:rFonts w:ascii="Symbol" w:hAnsi="Symbol"/>
      </w:rPr>
    </w:lvl>
    <w:lvl w:ilvl="3" w:tplc="2F04F1B6">
      <w:start w:val="1"/>
      <w:numFmt w:val="bullet"/>
      <w:lvlText w:val=""/>
      <w:lvlJc w:val="left"/>
      <w:pPr>
        <w:ind w:left="720" w:hanging="360"/>
      </w:pPr>
      <w:rPr>
        <w:rFonts w:ascii="Symbol" w:hAnsi="Symbol"/>
      </w:rPr>
    </w:lvl>
    <w:lvl w:ilvl="4" w:tplc="69A43C62">
      <w:start w:val="1"/>
      <w:numFmt w:val="bullet"/>
      <w:lvlText w:val=""/>
      <w:lvlJc w:val="left"/>
      <w:pPr>
        <w:ind w:left="720" w:hanging="360"/>
      </w:pPr>
      <w:rPr>
        <w:rFonts w:ascii="Symbol" w:hAnsi="Symbol"/>
      </w:rPr>
    </w:lvl>
    <w:lvl w:ilvl="5" w:tplc="C55CD730">
      <w:start w:val="1"/>
      <w:numFmt w:val="bullet"/>
      <w:lvlText w:val=""/>
      <w:lvlJc w:val="left"/>
      <w:pPr>
        <w:ind w:left="720" w:hanging="360"/>
      </w:pPr>
      <w:rPr>
        <w:rFonts w:ascii="Symbol" w:hAnsi="Symbol"/>
      </w:rPr>
    </w:lvl>
    <w:lvl w:ilvl="6" w:tplc="F8FA3D6E">
      <w:start w:val="1"/>
      <w:numFmt w:val="bullet"/>
      <w:lvlText w:val=""/>
      <w:lvlJc w:val="left"/>
      <w:pPr>
        <w:ind w:left="720" w:hanging="360"/>
      </w:pPr>
      <w:rPr>
        <w:rFonts w:ascii="Symbol" w:hAnsi="Symbol"/>
      </w:rPr>
    </w:lvl>
    <w:lvl w:ilvl="7" w:tplc="0FD60396">
      <w:start w:val="1"/>
      <w:numFmt w:val="bullet"/>
      <w:lvlText w:val=""/>
      <w:lvlJc w:val="left"/>
      <w:pPr>
        <w:ind w:left="720" w:hanging="360"/>
      </w:pPr>
      <w:rPr>
        <w:rFonts w:ascii="Symbol" w:hAnsi="Symbol"/>
      </w:rPr>
    </w:lvl>
    <w:lvl w:ilvl="8" w:tplc="E498385A">
      <w:start w:val="1"/>
      <w:numFmt w:val="bullet"/>
      <w:lvlText w:val=""/>
      <w:lvlJc w:val="left"/>
      <w:pPr>
        <w:ind w:left="720" w:hanging="360"/>
      </w:pPr>
      <w:rPr>
        <w:rFonts w:ascii="Symbol" w:hAnsi="Symbol"/>
      </w:rPr>
    </w:lvl>
  </w:abstractNum>
  <w:abstractNum w:abstractNumId="67" w15:restartNumberingAfterBreak="0">
    <w:nsid w:val="7FCB61CA"/>
    <w:multiLevelType w:val="multilevel"/>
    <w:tmpl w:val="379A7796"/>
    <w:lvl w:ilvl="0">
      <w:start w:val="1"/>
      <w:numFmt w:val="decimal"/>
      <w:lvlText w:val="%1."/>
      <w:lvlJc w:val="left"/>
      <w:pPr>
        <w:ind w:left="360" w:hanging="360"/>
      </w:pPr>
    </w:lvl>
    <w:lvl w:ilvl="1">
      <w:start w:val="1"/>
      <w:numFmt w:val="decimal"/>
      <w:pStyle w:val="Heading2"/>
      <w:lvlText w:val="%1.%2."/>
      <w:lvlJc w:val="left"/>
      <w:pPr>
        <w:ind w:left="1566" w:hanging="432"/>
      </w:pPr>
      <w:rPr>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67"/>
  </w:num>
  <w:num w:numId="2">
    <w:abstractNumId w:val="57"/>
  </w:num>
  <w:num w:numId="3">
    <w:abstractNumId w:val="11"/>
  </w:num>
  <w:num w:numId="4">
    <w:abstractNumId w:val="36"/>
  </w:num>
  <w:num w:numId="5">
    <w:abstractNumId w:val="19"/>
  </w:num>
  <w:num w:numId="6">
    <w:abstractNumId w:val="25"/>
  </w:num>
  <w:num w:numId="7">
    <w:abstractNumId w:val="44"/>
  </w:num>
  <w:num w:numId="8">
    <w:abstractNumId w:val="48"/>
  </w:num>
  <w:num w:numId="9">
    <w:abstractNumId w:val="30"/>
  </w:num>
  <w:num w:numId="10">
    <w:abstractNumId w:val="27"/>
  </w:num>
  <w:num w:numId="11">
    <w:abstractNumId w:val="20"/>
  </w:num>
  <w:num w:numId="12">
    <w:abstractNumId w:val="42"/>
  </w:num>
  <w:num w:numId="13">
    <w:abstractNumId w:val="52"/>
  </w:num>
  <w:num w:numId="14">
    <w:abstractNumId w:val="56"/>
  </w:num>
  <w:num w:numId="15">
    <w:abstractNumId w:val="8"/>
  </w:num>
  <w:num w:numId="16">
    <w:abstractNumId w:val="7"/>
  </w:num>
  <w:num w:numId="17">
    <w:abstractNumId w:val="0"/>
  </w:num>
  <w:num w:numId="18">
    <w:abstractNumId w:val="3"/>
  </w:num>
  <w:num w:numId="19">
    <w:abstractNumId w:val="49"/>
  </w:num>
  <w:num w:numId="20">
    <w:abstractNumId w:val="14"/>
  </w:num>
  <w:num w:numId="21">
    <w:abstractNumId w:val="35"/>
  </w:num>
  <w:num w:numId="22">
    <w:abstractNumId w:val="59"/>
  </w:num>
  <w:num w:numId="23">
    <w:abstractNumId w:val="24"/>
  </w:num>
  <w:num w:numId="24">
    <w:abstractNumId w:val="22"/>
  </w:num>
  <w:num w:numId="25">
    <w:abstractNumId w:val="17"/>
  </w:num>
  <w:num w:numId="26">
    <w:abstractNumId w:val="65"/>
  </w:num>
  <w:num w:numId="27">
    <w:abstractNumId w:val="45"/>
  </w:num>
  <w:num w:numId="28">
    <w:abstractNumId w:val="41"/>
  </w:num>
  <w:num w:numId="29">
    <w:abstractNumId w:val="31"/>
  </w:num>
  <w:num w:numId="30">
    <w:abstractNumId w:val="53"/>
  </w:num>
  <w:num w:numId="31">
    <w:abstractNumId w:val="26"/>
  </w:num>
  <w:num w:numId="32">
    <w:abstractNumId w:val="51"/>
  </w:num>
  <w:num w:numId="33">
    <w:abstractNumId w:val="29"/>
  </w:num>
  <w:num w:numId="34">
    <w:abstractNumId w:val="61"/>
  </w:num>
  <w:num w:numId="35">
    <w:abstractNumId w:val="6"/>
  </w:num>
  <w:num w:numId="36">
    <w:abstractNumId w:val="64"/>
  </w:num>
  <w:num w:numId="37">
    <w:abstractNumId w:val="32"/>
  </w:num>
  <w:num w:numId="38">
    <w:abstractNumId w:val="38"/>
  </w:num>
  <w:num w:numId="39">
    <w:abstractNumId w:val="54"/>
  </w:num>
  <w:num w:numId="40">
    <w:abstractNumId w:val="1"/>
  </w:num>
  <w:num w:numId="41">
    <w:abstractNumId w:val="34"/>
  </w:num>
  <w:num w:numId="42">
    <w:abstractNumId w:val="47"/>
  </w:num>
  <w:num w:numId="43">
    <w:abstractNumId w:val="13"/>
  </w:num>
  <w:num w:numId="44">
    <w:abstractNumId w:val="33"/>
  </w:num>
  <w:num w:numId="45">
    <w:abstractNumId w:val="5"/>
  </w:num>
  <w:num w:numId="46">
    <w:abstractNumId w:val="28"/>
  </w:num>
  <w:num w:numId="47">
    <w:abstractNumId w:val="43"/>
  </w:num>
  <w:num w:numId="48">
    <w:abstractNumId w:val="40"/>
  </w:num>
  <w:num w:numId="49">
    <w:abstractNumId w:val="60"/>
  </w:num>
  <w:num w:numId="50">
    <w:abstractNumId w:val="2"/>
  </w:num>
  <w:num w:numId="51">
    <w:abstractNumId w:val="9"/>
  </w:num>
  <w:num w:numId="52">
    <w:abstractNumId w:val="37"/>
  </w:num>
  <w:num w:numId="53">
    <w:abstractNumId w:val="63"/>
  </w:num>
  <w:num w:numId="54">
    <w:abstractNumId w:val="12"/>
  </w:num>
  <w:num w:numId="55">
    <w:abstractNumId w:val="21"/>
  </w:num>
  <w:num w:numId="56">
    <w:abstractNumId w:val="15"/>
  </w:num>
  <w:num w:numId="57">
    <w:abstractNumId w:val="58"/>
  </w:num>
  <w:num w:numId="58">
    <w:abstractNumId w:val="46"/>
  </w:num>
  <w:num w:numId="59">
    <w:abstractNumId w:val="10"/>
  </w:num>
  <w:num w:numId="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66"/>
  </w:num>
  <w:num w:numId="62">
    <w:abstractNumId w:val="62"/>
  </w:num>
  <w:num w:numId="63">
    <w:abstractNumId w:val="23"/>
  </w:num>
  <w:num w:numId="64">
    <w:abstractNumId w:val="4"/>
  </w:num>
  <w:num w:numId="65">
    <w:abstractNumId w:val="55"/>
  </w:num>
  <w:num w:numId="66">
    <w:abstractNumId w:val="18"/>
  </w:num>
  <w:num w:numId="67">
    <w:abstractNumId w:val="16"/>
  </w:num>
  <w:num w:numId="68">
    <w:abstractNumId w:val="16"/>
  </w:num>
  <w:num w:numId="69">
    <w:abstractNumId w:val="50"/>
  </w:num>
  <w:num w:numId="70">
    <w:abstractNumId w:val="39"/>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ocumentProtection w:edit="readOnly" w:enforcement="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AE778A10-0096-4594-938C-68E49A903727"/>
    <w:docVar w:name="LW_COVERPAGE_TYPE" w:val="1"/>
    <w:docVar w:name="LW_CROSSREFERENCE" w:val="&lt;UNUSED&gt;"/>
    <w:docVar w:name="LW_DocType" w:val="NORMAL"/>
    <w:docVar w:name="LW_EMISSION" w:val="12.3.2024"/>
    <w:docVar w:name="LW_EMISSION_ISODATE" w:val="2024-03-12"/>
    <w:docVar w:name="LW_EMISSION_LOCATION" w:val="STR"/>
    <w:docVar w:name="LW_EMISSION_PREFIX" w:val="Strasbourg,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4) 9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Gestion des risques climatiques \u8211? protection des personnes et de la prospérité"/>
    <w:docVar w:name="LW_TYPE.DOC.CP" w:val="COMMUNICATION DE LA COMMISSION AU PARLEMENT EUROPÉEN, AU CONSEIL, AU COMITÉ ÉCONOMIQUE ET SOCIAL EUROPÉEN ET AU COMITÉ DES RÉGIONS"/>
    <w:docVar w:name="LW_TYPE.DOC.CP.USERTEXT" w:val="&lt;EMPTY&gt;"/>
    <w:docVar w:name="LwApiVersions" w:val="LW4CoDe 1.24.5.0; LW 9.0, Build 20240221"/>
  </w:docVars>
  <w:rsids>
    <w:rsidRoot w:val="0053389F"/>
    <w:rsid w:val="00000066"/>
    <w:rsid w:val="00000455"/>
    <w:rsid w:val="000005EC"/>
    <w:rsid w:val="000008B7"/>
    <w:rsid w:val="0000095D"/>
    <w:rsid w:val="0000096D"/>
    <w:rsid w:val="000009B7"/>
    <w:rsid w:val="00000A80"/>
    <w:rsid w:val="0000104D"/>
    <w:rsid w:val="000012FA"/>
    <w:rsid w:val="000013CC"/>
    <w:rsid w:val="0000165B"/>
    <w:rsid w:val="0000173F"/>
    <w:rsid w:val="00001819"/>
    <w:rsid w:val="0000187B"/>
    <w:rsid w:val="00001CE7"/>
    <w:rsid w:val="00001CF8"/>
    <w:rsid w:val="00001DEC"/>
    <w:rsid w:val="00001E5A"/>
    <w:rsid w:val="00001EB2"/>
    <w:rsid w:val="00001ED4"/>
    <w:rsid w:val="000022DA"/>
    <w:rsid w:val="00002309"/>
    <w:rsid w:val="000023F2"/>
    <w:rsid w:val="000024B5"/>
    <w:rsid w:val="0000254B"/>
    <w:rsid w:val="0000259A"/>
    <w:rsid w:val="00002703"/>
    <w:rsid w:val="00002735"/>
    <w:rsid w:val="00002B07"/>
    <w:rsid w:val="00002B52"/>
    <w:rsid w:val="00002B56"/>
    <w:rsid w:val="00002C91"/>
    <w:rsid w:val="00002F4F"/>
    <w:rsid w:val="0000334C"/>
    <w:rsid w:val="0000341B"/>
    <w:rsid w:val="00003592"/>
    <w:rsid w:val="0000375A"/>
    <w:rsid w:val="000037DF"/>
    <w:rsid w:val="000038FC"/>
    <w:rsid w:val="00003B97"/>
    <w:rsid w:val="00003C18"/>
    <w:rsid w:val="00003C5B"/>
    <w:rsid w:val="00003CA6"/>
    <w:rsid w:val="00003CD2"/>
    <w:rsid w:val="000040FA"/>
    <w:rsid w:val="00004170"/>
    <w:rsid w:val="000041CA"/>
    <w:rsid w:val="0000428B"/>
    <w:rsid w:val="000042E8"/>
    <w:rsid w:val="00004536"/>
    <w:rsid w:val="00004609"/>
    <w:rsid w:val="00004616"/>
    <w:rsid w:val="00004847"/>
    <w:rsid w:val="00004879"/>
    <w:rsid w:val="00004C19"/>
    <w:rsid w:val="00004FEE"/>
    <w:rsid w:val="0000549D"/>
    <w:rsid w:val="0000554F"/>
    <w:rsid w:val="00005789"/>
    <w:rsid w:val="00005898"/>
    <w:rsid w:val="0000599C"/>
    <w:rsid w:val="00005A2F"/>
    <w:rsid w:val="00005B11"/>
    <w:rsid w:val="00005C39"/>
    <w:rsid w:val="0000602C"/>
    <w:rsid w:val="00006080"/>
    <w:rsid w:val="000060E5"/>
    <w:rsid w:val="00006220"/>
    <w:rsid w:val="0000627B"/>
    <w:rsid w:val="00006337"/>
    <w:rsid w:val="00006463"/>
    <w:rsid w:val="000065AC"/>
    <w:rsid w:val="00006716"/>
    <w:rsid w:val="000067F3"/>
    <w:rsid w:val="0000693C"/>
    <w:rsid w:val="00006D40"/>
    <w:rsid w:val="00007186"/>
    <w:rsid w:val="000072C8"/>
    <w:rsid w:val="00007397"/>
    <w:rsid w:val="000073BB"/>
    <w:rsid w:val="00007528"/>
    <w:rsid w:val="00007718"/>
    <w:rsid w:val="0000772E"/>
    <w:rsid w:val="0000789E"/>
    <w:rsid w:val="000079A8"/>
    <w:rsid w:val="000079AD"/>
    <w:rsid w:val="00007B54"/>
    <w:rsid w:val="00007ED2"/>
    <w:rsid w:val="0001017B"/>
    <w:rsid w:val="00010493"/>
    <w:rsid w:val="0001053E"/>
    <w:rsid w:val="000105AA"/>
    <w:rsid w:val="000105E0"/>
    <w:rsid w:val="0001084E"/>
    <w:rsid w:val="00010BCC"/>
    <w:rsid w:val="00010C38"/>
    <w:rsid w:val="00010E22"/>
    <w:rsid w:val="00010E7B"/>
    <w:rsid w:val="000113BA"/>
    <w:rsid w:val="000113BB"/>
    <w:rsid w:val="000114CF"/>
    <w:rsid w:val="000114DC"/>
    <w:rsid w:val="0001159C"/>
    <w:rsid w:val="000115A7"/>
    <w:rsid w:val="000116A0"/>
    <w:rsid w:val="000117B9"/>
    <w:rsid w:val="00011813"/>
    <w:rsid w:val="00011973"/>
    <w:rsid w:val="00011A71"/>
    <w:rsid w:val="00011DEF"/>
    <w:rsid w:val="00011E39"/>
    <w:rsid w:val="00011F2B"/>
    <w:rsid w:val="00011F99"/>
    <w:rsid w:val="0001222E"/>
    <w:rsid w:val="000123D9"/>
    <w:rsid w:val="00012500"/>
    <w:rsid w:val="000125DD"/>
    <w:rsid w:val="000125F6"/>
    <w:rsid w:val="000128EE"/>
    <w:rsid w:val="00012988"/>
    <w:rsid w:val="000129C9"/>
    <w:rsid w:val="00012AE4"/>
    <w:rsid w:val="00012B0B"/>
    <w:rsid w:val="00012B72"/>
    <w:rsid w:val="00012C81"/>
    <w:rsid w:val="00012D47"/>
    <w:rsid w:val="00012D93"/>
    <w:rsid w:val="00012DC6"/>
    <w:rsid w:val="00012F68"/>
    <w:rsid w:val="00012FAC"/>
    <w:rsid w:val="00013133"/>
    <w:rsid w:val="000135BA"/>
    <w:rsid w:val="000138A8"/>
    <w:rsid w:val="00013A3F"/>
    <w:rsid w:val="00013C11"/>
    <w:rsid w:val="00013DDB"/>
    <w:rsid w:val="00013E15"/>
    <w:rsid w:val="00013EAF"/>
    <w:rsid w:val="0001450F"/>
    <w:rsid w:val="000145B6"/>
    <w:rsid w:val="00014617"/>
    <w:rsid w:val="000147C5"/>
    <w:rsid w:val="00014841"/>
    <w:rsid w:val="000149EE"/>
    <w:rsid w:val="00014A4F"/>
    <w:rsid w:val="00014BAC"/>
    <w:rsid w:val="00014D4A"/>
    <w:rsid w:val="000152F0"/>
    <w:rsid w:val="0001579C"/>
    <w:rsid w:val="0001581E"/>
    <w:rsid w:val="00015E38"/>
    <w:rsid w:val="000160C9"/>
    <w:rsid w:val="00016212"/>
    <w:rsid w:val="000162D3"/>
    <w:rsid w:val="00016421"/>
    <w:rsid w:val="000167E8"/>
    <w:rsid w:val="00016E48"/>
    <w:rsid w:val="00016F15"/>
    <w:rsid w:val="00017346"/>
    <w:rsid w:val="0001735A"/>
    <w:rsid w:val="0001735C"/>
    <w:rsid w:val="000173E5"/>
    <w:rsid w:val="0001744F"/>
    <w:rsid w:val="000175CC"/>
    <w:rsid w:val="00017C82"/>
    <w:rsid w:val="00017CFD"/>
    <w:rsid w:val="00017E7F"/>
    <w:rsid w:val="00017FA4"/>
    <w:rsid w:val="000200FC"/>
    <w:rsid w:val="0002021B"/>
    <w:rsid w:val="000202D7"/>
    <w:rsid w:val="00020367"/>
    <w:rsid w:val="00020567"/>
    <w:rsid w:val="00020588"/>
    <w:rsid w:val="0002115D"/>
    <w:rsid w:val="0002118F"/>
    <w:rsid w:val="0002122B"/>
    <w:rsid w:val="0002140F"/>
    <w:rsid w:val="00021631"/>
    <w:rsid w:val="00021663"/>
    <w:rsid w:val="000216DC"/>
    <w:rsid w:val="000217EA"/>
    <w:rsid w:val="0002198F"/>
    <w:rsid w:val="00021A06"/>
    <w:rsid w:val="00021B57"/>
    <w:rsid w:val="00021C49"/>
    <w:rsid w:val="00021D45"/>
    <w:rsid w:val="00021D66"/>
    <w:rsid w:val="00021F07"/>
    <w:rsid w:val="00021F9F"/>
    <w:rsid w:val="00022052"/>
    <w:rsid w:val="0002208D"/>
    <w:rsid w:val="00022123"/>
    <w:rsid w:val="000221BB"/>
    <w:rsid w:val="00022431"/>
    <w:rsid w:val="000225D3"/>
    <w:rsid w:val="00022633"/>
    <w:rsid w:val="0002267F"/>
    <w:rsid w:val="000227D1"/>
    <w:rsid w:val="000228C3"/>
    <w:rsid w:val="00022984"/>
    <w:rsid w:val="00022A38"/>
    <w:rsid w:val="00022B16"/>
    <w:rsid w:val="00022B3C"/>
    <w:rsid w:val="0002310F"/>
    <w:rsid w:val="00023153"/>
    <w:rsid w:val="000232F3"/>
    <w:rsid w:val="00023303"/>
    <w:rsid w:val="00023390"/>
    <w:rsid w:val="00023E46"/>
    <w:rsid w:val="00023FCC"/>
    <w:rsid w:val="00024066"/>
    <w:rsid w:val="00024110"/>
    <w:rsid w:val="0002415E"/>
    <w:rsid w:val="000244E5"/>
    <w:rsid w:val="0002475C"/>
    <w:rsid w:val="00024B92"/>
    <w:rsid w:val="00024CF2"/>
    <w:rsid w:val="00024EAA"/>
    <w:rsid w:val="00025099"/>
    <w:rsid w:val="00025166"/>
    <w:rsid w:val="00025168"/>
    <w:rsid w:val="0002528A"/>
    <w:rsid w:val="0002561B"/>
    <w:rsid w:val="000257F3"/>
    <w:rsid w:val="00025931"/>
    <w:rsid w:val="00025A33"/>
    <w:rsid w:val="00025B39"/>
    <w:rsid w:val="00025CF8"/>
    <w:rsid w:val="00025D3A"/>
    <w:rsid w:val="00025E3C"/>
    <w:rsid w:val="00025F0D"/>
    <w:rsid w:val="000260B7"/>
    <w:rsid w:val="0002618D"/>
    <w:rsid w:val="000262C8"/>
    <w:rsid w:val="0002638C"/>
    <w:rsid w:val="0002650A"/>
    <w:rsid w:val="0002651F"/>
    <w:rsid w:val="00026691"/>
    <w:rsid w:val="0002686A"/>
    <w:rsid w:val="0002690E"/>
    <w:rsid w:val="00026A9B"/>
    <w:rsid w:val="00026AC3"/>
    <w:rsid w:val="00026AFC"/>
    <w:rsid w:val="00026AFF"/>
    <w:rsid w:val="00026F51"/>
    <w:rsid w:val="0002702D"/>
    <w:rsid w:val="000275BC"/>
    <w:rsid w:val="00027601"/>
    <w:rsid w:val="00027655"/>
    <w:rsid w:val="0002775F"/>
    <w:rsid w:val="000278E0"/>
    <w:rsid w:val="00027ACE"/>
    <w:rsid w:val="00027C6C"/>
    <w:rsid w:val="00027CD1"/>
    <w:rsid w:val="00027DF7"/>
    <w:rsid w:val="000303B2"/>
    <w:rsid w:val="00030482"/>
    <w:rsid w:val="000305F7"/>
    <w:rsid w:val="0003067E"/>
    <w:rsid w:val="00030800"/>
    <w:rsid w:val="0003082B"/>
    <w:rsid w:val="00030B2B"/>
    <w:rsid w:val="00030BAF"/>
    <w:rsid w:val="00030BE6"/>
    <w:rsid w:val="00030C95"/>
    <w:rsid w:val="00030DAB"/>
    <w:rsid w:val="000310DB"/>
    <w:rsid w:val="00031269"/>
    <w:rsid w:val="00031389"/>
    <w:rsid w:val="00031420"/>
    <w:rsid w:val="00031709"/>
    <w:rsid w:val="00031C4E"/>
    <w:rsid w:val="00031C99"/>
    <w:rsid w:val="00031CCC"/>
    <w:rsid w:val="00031D7F"/>
    <w:rsid w:val="00031D9F"/>
    <w:rsid w:val="0003202F"/>
    <w:rsid w:val="00032096"/>
    <w:rsid w:val="00032669"/>
    <w:rsid w:val="0003276F"/>
    <w:rsid w:val="00032ADC"/>
    <w:rsid w:val="00032C02"/>
    <w:rsid w:val="00032C0D"/>
    <w:rsid w:val="00032C65"/>
    <w:rsid w:val="00032D11"/>
    <w:rsid w:val="00032DB0"/>
    <w:rsid w:val="00032FEE"/>
    <w:rsid w:val="00033756"/>
    <w:rsid w:val="000338F4"/>
    <w:rsid w:val="00033AA4"/>
    <w:rsid w:val="00033CE6"/>
    <w:rsid w:val="00033EA4"/>
    <w:rsid w:val="00033F82"/>
    <w:rsid w:val="00034010"/>
    <w:rsid w:val="000343DF"/>
    <w:rsid w:val="0003457C"/>
    <w:rsid w:val="000346A4"/>
    <w:rsid w:val="0003471B"/>
    <w:rsid w:val="00034853"/>
    <w:rsid w:val="000348B8"/>
    <w:rsid w:val="00034B07"/>
    <w:rsid w:val="00034BD7"/>
    <w:rsid w:val="00034C63"/>
    <w:rsid w:val="00034DD5"/>
    <w:rsid w:val="00034EEC"/>
    <w:rsid w:val="0003504E"/>
    <w:rsid w:val="00035246"/>
    <w:rsid w:val="000352EE"/>
    <w:rsid w:val="000353A7"/>
    <w:rsid w:val="000353E2"/>
    <w:rsid w:val="000355A9"/>
    <w:rsid w:val="00035991"/>
    <w:rsid w:val="00035A49"/>
    <w:rsid w:val="00035BD4"/>
    <w:rsid w:val="00035E05"/>
    <w:rsid w:val="00035E26"/>
    <w:rsid w:val="00035FB6"/>
    <w:rsid w:val="00036035"/>
    <w:rsid w:val="00036181"/>
    <w:rsid w:val="00036C47"/>
    <w:rsid w:val="00036DB2"/>
    <w:rsid w:val="000374E1"/>
    <w:rsid w:val="00037838"/>
    <w:rsid w:val="00037A30"/>
    <w:rsid w:val="00037CD5"/>
    <w:rsid w:val="00037D92"/>
    <w:rsid w:val="00037F7C"/>
    <w:rsid w:val="00037FFE"/>
    <w:rsid w:val="00040039"/>
    <w:rsid w:val="00040260"/>
    <w:rsid w:val="00040539"/>
    <w:rsid w:val="00040652"/>
    <w:rsid w:val="00040BB4"/>
    <w:rsid w:val="00040C6C"/>
    <w:rsid w:val="00040CC6"/>
    <w:rsid w:val="00040E8A"/>
    <w:rsid w:val="00040F07"/>
    <w:rsid w:val="0004109A"/>
    <w:rsid w:val="00041112"/>
    <w:rsid w:val="0004138A"/>
    <w:rsid w:val="000419BB"/>
    <w:rsid w:val="00041A9E"/>
    <w:rsid w:val="00041BEF"/>
    <w:rsid w:val="00041F41"/>
    <w:rsid w:val="000424C2"/>
    <w:rsid w:val="00042935"/>
    <w:rsid w:val="00042936"/>
    <w:rsid w:val="000429AB"/>
    <w:rsid w:val="00042B57"/>
    <w:rsid w:val="00042B60"/>
    <w:rsid w:val="00042CF3"/>
    <w:rsid w:val="00042E44"/>
    <w:rsid w:val="00042FB7"/>
    <w:rsid w:val="00043029"/>
    <w:rsid w:val="000430C3"/>
    <w:rsid w:val="0004357B"/>
    <w:rsid w:val="000435FD"/>
    <w:rsid w:val="000438EF"/>
    <w:rsid w:val="00043BDF"/>
    <w:rsid w:val="00043CAF"/>
    <w:rsid w:val="00043CC4"/>
    <w:rsid w:val="00043CD0"/>
    <w:rsid w:val="000442D2"/>
    <w:rsid w:val="000444E6"/>
    <w:rsid w:val="0004458B"/>
    <w:rsid w:val="0004477D"/>
    <w:rsid w:val="00044BFC"/>
    <w:rsid w:val="00044CB7"/>
    <w:rsid w:val="00044DC7"/>
    <w:rsid w:val="00044FAB"/>
    <w:rsid w:val="000450BC"/>
    <w:rsid w:val="000452AD"/>
    <w:rsid w:val="00045390"/>
    <w:rsid w:val="0004542D"/>
    <w:rsid w:val="00045478"/>
    <w:rsid w:val="0004549D"/>
    <w:rsid w:val="0004571B"/>
    <w:rsid w:val="0004577A"/>
    <w:rsid w:val="0004584B"/>
    <w:rsid w:val="00045BF1"/>
    <w:rsid w:val="00045D79"/>
    <w:rsid w:val="00045DCE"/>
    <w:rsid w:val="00046670"/>
    <w:rsid w:val="000466C3"/>
    <w:rsid w:val="00046843"/>
    <w:rsid w:val="0004693C"/>
    <w:rsid w:val="000469F4"/>
    <w:rsid w:val="00046B05"/>
    <w:rsid w:val="00046B2C"/>
    <w:rsid w:val="00046BE9"/>
    <w:rsid w:val="00046C2F"/>
    <w:rsid w:val="00046D6D"/>
    <w:rsid w:val="000473DB"/>
    <w:rsid w:val="00047541"/>
    <w:rsid w:val="000475FA"/>
    <w:rsid w:val="0004762C"/>
    <w:rsid w:val="00047648"/>
    <w:rsid w:val="000476CD"/>
    <w:rsid w:val="00047AB3"/>
    <w:rsid w:val="00047BDF"/>
    <w:rsid w:val="00047C13"/>
    <w:rsid w:val="00047D30"/>
    <w:rsid w:val="00047D33"/>
    <w:rsid w:val="00047E4A"/>
    <w:rsid w:val="00047FA1"/>
    <w:rsid w:val="0005002D"/>
    <w:rsid w:val="00050093"/>
    <w:rsid w:val="000502CB"/>
    <w:rsid w:val="00050376"/>
    <w:rsid w:val="0005053E"/>
    <w:rsid w:val="00050631"/>
    <w:rsid w:val="00050845"/>
    <w:rsid w:val="000508EB"/>
    <w:rsid w:val="00050DE4"/>
    <w:rsid w:val="00050EF6"/>
    <w:rsid w:val="00050FFE"/>
    <w:rsid w:val="0005109D"/>
    <w:rsid w:val="000511D9"/>
    <w:rsid w:val="0005122F"/>
    <w:rsid w:val="00051310"/>
    <w:rsid w:val="000514D3"/>
    <w:rsid w:val="0005158B"/>
    <w:rsid w:val="0005159B"/>
    <w:rsid w:val="000515F4"/>
    <w:rsid w:val="000516FA"/>
    <w:rsid w:val="0005172F"/>
    <w:rsid w:val="000517D0"/>
    <w:rsid w:val="000518D6"/>
    <w:rsid w:val="00051A8B"/>
    <w:rsid w:val="00051B1D"/>
    <w:rsid w:val="00051BBD"/>
    <w:rsid w:val="00051D06"/>
    <w:rsid w:val="00051E81"/>
    <w:rsid w:val="00051F02"/>
    <w:rsid w:val="00051FAE"/>
    <w:rsid w:val="00052051"/>
    <w:rsid w:val="000520C7"/>
    <w:rsid w:val="000525E7"/>
    <w:rsid w:val="000525FD"/>
    <w:rsid w:val="00052813"/>
    <w:rsid w:val="00052C60"/>
    <w:rsid w:val="00052F72"/>
    <w:rsid w:val="00053099"/>
    <w:rsid w:val="000533AE"/>
    <w:rsid w:val="000536C9"/>
    <w:rsid w:val="000536CB"/>
    <w:rsid w:val="00053B22"/>
    <w:rsid w:val="00053D11"/>
    <w:rsid w:val="00053D1A"/>
    <w:rsid w:val="00053DCE"/>
    <w:rsid w:val="00053F02"/>
    <w:rsid w:val="000543CF"/>
    <w:rsid w:val="0005442D"/>
    <w:rsid w:val="00054447"/>
    <w:rsid w:val="000545E2"/>
    <w:rsid w:val="00054732"/>
    <w:rsid w:val="00054736"/>
    <w:rsid w:val="000548B4"/>
    <w:rsid w:val="00054991"/>
    <w:rsid w:val="000549ED"/>
    <w:rsid w:val="000549F5"/>
    <w:rsid w:val="00054A9D"/>
    <w:rsid w:val="00054B9F"/>
    <w:rsid w:val="00054BEB"/>
    <w:rsid w:val="00054CD7"/>
    <w:rsid w:val="00054D16"/>
    <w:rsid w:val="00054D2F"/>
    <w:rsid w:val="00054E6B"/>
    <w:rsid w:val="00055119"/>
    <w:rsid w:val="00055256"/>
    <w:rsid w:val="00055298"/>
    <w:rsid w:val="000554A6"/>
    <w:rsid w:val="00055559"/>
    <w:rsid w:val="000555DA"/>
    <w:rsid w:val="000555ED"/>
    <w:rsid w:val="000556FA"/>
    <w:rsid w:val="0005583B"/>
    <w:rsid w:val="00055AB6"/>
    <w:rsid w:val="00055B1D"/>
    <w:rsid w:val="0005600B"/>
    <w:rsid w:val="00056835"/>
    <w:rsid w:val="000569C8"/>
    <w:rsid w:val="00056AE1"/>
    <w:rsid w:val="00056C5A"/>
    <w:rsid w:val="00057080"/>
    <w:rsid w:val="000570DF"/>
    <w:rsid w:val="000573EB"/>
    <w:rsid w:val="000574E2"/>
    <w:rsid w:val="00057594"/>
    <w:rsid w:val="0005761E"/>
    <w:rsid w:val="0005763C"/>
    <w:rsid w:val="000576D9"/>
    <w:rsid w:val="000577B0"/>
    <w:rsid w:val="00057B5E"/>
    <w:rsid w:val="00057EED"/>
    <w:rsid w:val="0006002F"/>
    <w:rsid w:val="000604E2"/>
    <w:rsid w:val="00060759"/>
    <w:rsid w:val="00060797"/>
    <w:rsid w:val="00060C28"/>
    <w:rsid w:val="00060C8F"/>
    <w:rsid w:val="00060C94"/>
    <w:rsid w:val="00060CB9"/>
    <w:rsid w:val="00060D94"/>
    <w:rsid w:val="00060F20"/>
    <w:rsid w:val="00061176"/>
    <w:rsid w:val="000613F8"/>
    <w:rsid w:val="0006147C"/>
    <w:rsid w:val="000614E9"/>
    <w:rsid w:val="0006166F"/>
    <w:rsid w:val="000617A9"/>
    <w:rsid w:val="000619BB"/>
    <w:rsid w:val="00061D9E"/>
    <w:rsid w:val="00061DE5"/>
    <w:rsid w:val="00062016"/>
    <w:rsid w:val="0006216F"/>
    <w:rsid w:val="00062709"/>
    <w:rsid w:val="00062794"/>
    <w:rsid w:val="0006282B"/>
    <w:rsid w:val="00062C55"/>
    <w:rsid w:val="0006302B"/>
    <w:rsid w:val="00063558"/>
    <w:rsid w:val="0006367A"/>
    <w:rsid w:val="00063783"/>
    <w:rsid w:val="000638EA"/>
    <w:rsid w:val="00063A57"/>
    <w:rsid w:val="00063BA5"/>
    <w:rsid w:val="000640A1"/>
    <w:rsid w:val="000643E3"/>
    <w:rsid w:val="000646D1"/>
    <w:rsid w:val="00064A66"/>
    <w:rsid w:val="00064A97"/>
    <w:rsid w:val="00064B1D"/>
    <w:rsid w:val="00064ED3"/>
    <w:rsid w:val="00065193"/>
    <w:rsid w:val="0006538D"/>
    <w:rsid w:val="00065599"/>
    <w:rsid w:val="000655E9"/>
    <w:rsid w:val="0006563C"/>
    <w:rsid w:val="000656E9"/>
    <w:rsid w:val="00065A89"/>
    <w:rsid w:val="00065BF6"/>
    <w:rsid w:val="000660E6"/>
    <w:rsid w:val="00066224"/>
    <w:rsid w:val="00066642"/>
    <w:rsid w:val="0006665E"/>
    <w:rsid w:val="00066717"/>
    <w:rsid w:val="00066927"/>
    <w:rsid w:val="00066A31"/>
    <w:rsid w:val="00066B51"/>
    <w:rsid w:val="00066C0C"/>
    <w:rsid w:val="00066C60"/>
    <w:rsid w:val="00066F9F"/>
    <w:rsid w:val="00066FC1"/>
    <w:rsid w:val="00066FDF"/>
    <w:rsid w:val="00067351"/>
    <w:rsid w:val="00067400"/>
    <w:rsid w:val="0006744E"/>
    <w:rsid w:val="00067946"/>
    <w:rsid w:val="00067BB2"/>
    <w:rsid w:val="00067E12"/>
    <w:rsid w:val="00067F95"/>
    <w:rsid w:val="0007009E"/>
    <w:rsid w:val="00070253"/>
    <w:rsid w:val="000702AB"/>
    <w:rsid w:val="00070861"/>
    <w:rsid w:val="00070880"/>
    <w:rsid w:val="00070995"/>
    <w:rsid w:val="00070A0B"/>
    <w:rsid w:val="00070E20"/>
    <w:rsid w:val="00070FA3"/>
    <w:rsid w:val="0007115C"/>
    <w:rsid w:val="000711A2"/>
    <w:rsid w:val="00071280"/>
    <w:rsid w:val="0007135C"/>
    <w:rsid w:val="0007168A"/>
    <w:rsid w:val="00071694"/>
    <w:rsid w:val="000719CB"/>
    <w:rsid w:val="00071A95"/>
    <w:rsid w:val="00071F9A"/>
    <w:rsid w:val="00072078"/>
    <w:rsid w:val="000721A7"/>
    <w:rsid w:val="000722BE"/>
    <w:rsid w:val="000722D0"/>
    <w:rsid w:val="000723A9"/>
    <w:rsid w:val="000723CA"/>
    <w:rsid w:val="00072457"/>
    <w:rsid w:val="0007263D"/>
    <w:rsid w:val="000726DF"/>
    <w:rsid w:val="00072797"/>
    <w:rsid w:val="00072849"/>
    <w:rsid w:val="00072B55"/>
    <w:rsid w:val="00072B7A"/>
    <w:rsid w:val="00072C8A"/>
    <w:rsid w:val="0007312A"/>
    <w:rsid w:val="00073451"/>
    <w:rsid w:val="00073767"/>
    <w:rsid w:val="000737F6"/>
    <w:rsid w:val="00073A7A"/>
    <w:rsid w:val="00073B68"/>
    <w:rsid w:val="00073F90"/>
    <w:rsid w:val="0007407A"/>
    <w:rsid w:val="00074092"/>
    <w:rsid w:val="00074188"/>
    <w:rsid w:val="000741F5"/>
    <w:rsid w:val="0007426B"/>
    <w:rsid w:val="000742AE"/>
    <w:rsid w:val="00074761"/>
    <w:rsid w:val="000749CB"/>
    <w:rsid w:val="00074A1D"/>
    <w:rsid w:val="00074D23"/>
    <w:rsid w:val="00074D72"/>
    <w:rsid w:val="00074E20"/>
    <w:rsid w:val="0007551E"/>
    <w:rsid w:val="0007561A"/>
    <w:rsid w:val="000758EC"/>
    <w:rsid w:val="00075A83"/>
    <w:rsid w:val="00075E96"/>
    <w:rsid w:val="000761BB"/>
    <w:rsid w:val="00076314"/>
    <w:rsid w:val="00076B49"/>
    <w:rsid w:val="00076D06"/>
    <w:rsid w:val="000770F1"/>
    <w:rsid w:val="00077346"/>
    <w:rsid w:val="00077412"/>
    <w:rsid w:val="00077685"/>
    <w:rsid w:val="0007777E"/>
    <w:rsid w:val="000777CC"/>
    <w:rsid w:val="00077BB3"/>
    <w:rsid w:val="00077C76"/>
    <w:rsid w:val="00077E3F"/>
    <w:rsid w:val="00077F5A"/>
    <w:rsid w:val="000800DA"/>
    <w:rsid w:val="000801C7"/>
    <w:rsid w:val="000805A4"/>
    <w:rsid w:val="00080641"/>
    <w:rsid w:val="0008073B"/>
    <w:rsid w:val="00080808"/>
    <w:rsid w:val="00080914"/>
    <w:rsid w:val="0008091F"/>
    <w:rsid w:val="000809B5"/>
    <w:rsid w:val="00080A7A"/>
    <w:rsid w:val="00080B82"/>
    <w:rsid w:val="00080CAC"/>
    <w:rsid w:val="00080E84"/>
    <w:rsid w:val="00080EF0"/>
    <w:rsid w:val="00080F04"/>
    <w:rsid w:val="00080F43"/>
    <w:rsid w:val="0008101D"/>
    <w:rsid w:val="000814C2"/>
    <w:rsid w:val="000815C6"/>
    <w:rsid w:val="00081840"/>
    <w:rsid w:val="00081B92"/>
    <w:rsid w:val="00081F1B"/>
    <w:rsid w:val="00082179"/>
    <w:rsid w:val="00082217"/>
    <w:rsid w:val="00082575"/>
    <w:rsid w:val="000825C1"/>
    <w:rsid w:val="000827BB"/>
    <w:rsid w:val="00082A2F"/>
    <w:rsid w:val="00082AFF"/>
    <w:rsid w:val="00082B29"/>
    <w:rsid w:val="00082B5C"/>
    <w:rsid w:val="00082B9D"/>
    <w:rsid w:val="00082CB9"/>
    <w:rsid w:val="00082D47"/>
    <w:rsid w:val="00082DDA"/>
    <w:rsid w:val="00082ECD"/>
    <w:rsid w:val="00082FF6"/>
    <w:rsid w:val="000839D0"/>
    <w:rsid w:val="00083B5A"/>
    <w:rsid w:val="00083D02"/>
    <w:rsid w:val="00083D3E"/>
    <w:rsid w:val="00083EF3"/>
    <w:rsid w:val="00084257"/>
    <w:rsid w:val="00084438"/>
    <w:rsid w:val="00084449"/>
    <w:rsid w:val="000847A0"/>
    <w:rsid w:val="00084A8A"/>
    <w:rsid w:val="00084B54"/>
    <w:rsid w:val="00084CC1"/>
    <w:rsid w:val="00085146"/>
    <w:rsid w:val="000851DA"/>
    <w:rsid w:val="000852A7"/>
    <w:rsid w:val="000852B6"/>
    <w:rsid w:val="000853BD"/>
    <w:rsid w:val="0008548B"/>
    <w:rsid w:val="00085544"/>
    <w:rsid w:val="000855FE"/>
    <w:rsid w:val="00085FC1"/>
    <w:rsid w:val="0008602A"/>
    <w:rsid w:val="00086346"/>
    <w:rsid w:val="00086597"/>
    <w:rsid w:val="000865D0"/>
    <w:rsid w:val="00086BC5"/>
    <w:rsid w:val="00086D1D"/>
    <w:rsid w:val="00086DCC"/>
    <w:rsid w:val="00086FB7"/>
    <w:rsid w:val="00086FBE"/>
    <w:rsid w:val="0008708C"/>
    <w:rsid w:val="0008737F"/>
    <w:rsid w:val="000875B4"/>
    <w:rsid w:val="000879D1"/>
    <w:rsid w:val="00087AA8"/>
    <w:rsid w:val="00087DE1"/>
    <w:rsid w:val="00087EC2"/>
    <w:rsid w:val="00087EE5"/>
    <w:rsid w:val="00087F94"/>
    <w:rsid w:val="00087FDA"/>
    <w:rsid w:val="00090136"/>
    <w:rsid w:val="000901D2"/>
    <w:rsid w:val="00090342"/>
    <w:rsid w:val="0009053D"/>
    <w:rsid w:val="00090547"/>
    <w:rsid w:val="00090D73"/>
    <w:rsid w:val="00090F5D"/>
    <w:rsid w:val="00090F79"/>
    <w:rsid w:val="0009120A"/>
    <w:rsid w:val="000912B4"/>
    <w:rsid w:val="000915F5"/>
    <w:rsid w:val="00091680"/>
    <w:rsid w:val="0009180B"/>
    <w:rsid w:val="00091876"/>
    <w:rsid w:val="00091914"/>
    <w:rsid w:val="00091C0A"/>
    <w:rsid w:val="00091C0B"/>
    <w:rsid w:val="00091C37"/>
    <w:rsid w:val="00091E2C"/>
    <w:rsid w:val="00091EEE"/>
    <w:rsid w:val="000926CD"/>
    <w:rsid w:val="0009282D"/>
    <w:rsid w:val="00092B43"/>
    <w:rsid w:val="00092D6E"/>
    <w:rsid w:val="0009328D"/>
    <w:rsid w:val="000932D8"/>
    <w:rsid w:val="000933A6"/>
    <w:rsid w:val="0009347C"/>
    <w:rsid w:val="000934E7"/>
    <w:rsid w:val="00093B5B"/>
    <w:rsid w:val="00093C2D"/>
    <w:rsid w:val="00093E5C"/>
    <w:rsid w:val="0009420C"/>
    <w:rsid w:val="00094225"/>
    <w:rsid w:val="00094449"/>
    <w:rsid w:val="00094691"/>
    <w:rsid w:val="000947E8"/>
    <w:rsid w:val="000947EF"/>
    <w:rsid w:val="000948C1"/>
    <w:rsid w:val="000948F6"/>
    <w:rsid w:val="0009498F"/>
    <w:rsid w:val="00094B8A"/>
    <w:rsid w:val="00094C53"/>
    <w:rsid w:val="00094DE6"/>
    <w:rsid w:val="00094F07"/>
    <w:rsid w:val="00094FE0"/>
    <w:rsid w:val="0009510A"/>
    <w:rsid w:val="000951D8"/>
    <w:rsid w:val="0009534D"/>
    <w:rsid w:val="000956A3"/>
    <w:rsid w:val="000957D6"/>
    <w:rsid w:val="000958BC"/>
    <w:rsid w:val="0009590F"/>
    <w:rsid w:val="000959D2"/>
    <w:rsid w:val="00095AC9"/>
    <w:rsid w:val="00095CA3"/>
    <w:rsid w:val="00095CA8"/>
    <w:rsid w:val="00095D0A"/>
    <w:rsid w:val="00095E0B"/>
    <w:rsid w:val="00095FAD"/>
    <w:rsid w:val="00096024"/>
    <w:rsid w:val="00096031"/>
    <w:rsid w:val="0009604B"/>
    <w:rsid w:val="0009605C"/>
    <w:rsid w:val="000961C4"/>
    <w:rsid w:val="0009639C"/>
    <w:rsid w:val="000963AC"/>
    <w:rsid w:val="0009658D"/>
    <w:rsid w:val="00096EE9"/>
    <w:rsid w:val="00097057"/>
    <w:rsid w:val="000970CC"/>
    <w:rsid w:val="0009715E"/>
    <w:rsid w:val="00097182"/>
    <w:rsid w:val="000971A3"/>
    <w:rsid w:val="000972BD"/>
    <w:rsid w:val="000975E2"/>
    <w:rsid w:val="00097650"/>
    <w:rsid w:val="000976D0"/>
    <w:rsid w:val="0009799A"/>
    <w:rsid w:val="00097BA6"/>
    <w:rsid w:val="00097D24"/>
    <w:rsid w:val="000A04AA"/>
    <w:rsid w:val="000A06E5"/>
    <w:rsid w:val="000A0722"/>
    <w:rsid w:val="000A0E98"/>
    <w:rsid w:val="000A1050"/>
    <w:rsid w:val="000A108D"/>
    <w:rsid w:val="000A10A1"/>
    <w:rsid w:val="000A1501"/>
    <w:rsid w:val="000A1B83"/>
    <w:rsid w:val="000A1C63"/>
    <w:rsid w:val="000A1DA6"/>
    <w:rsid w:val="000A1DEC"/>
    <w:rsid w:val="000A1E7B"/>
    <w:rsid w:val="000A229E"/>
    <w:rsid w:val="000A2E27"/>
    <w:rsid w:val="000A2F22"/>
    <w:rsid w:val="000A32FC"/>
    <w:rsid w:val="000A35EE"/>
    <w:rsid w:val="000A37E3"/>
    <w:rsid w:val="000A386D"/>
    <w:rsid w:val="000A3917"/>
    <w:rsid w:val="000A3E80"/>
    <w:rsid w:val="000A432B"/>
    <w:rsid w:val="000A43BB"/>
    <w:rsid w:val="000A43E7"/>
    <w:rsid w:val="000A440A"/>
    <w:rsid w:val="000A454D"/>
    <w:rsid w:val="000A4712"/>
    <w:rsid w:val="000A492A"/>
    <w:rsid w:val="000A4BB9"/>
    <w:rsid w:val="000A4F56"/>
    <w:rsid w:val="000A4F67"/>
    <w:rsid w:val="000A53DE"/>
    <w:rsid w:val="000A5418"/>
    <w:rsid w:val="000A56FA"/>
    <w:rsid w:val="000A5769"/>
    <w:rsid w:val="000A59EE"/>
    <w:rsid w:val="000A5EF7"/>
    <w:rsid w:val="000A5F64"/>
    <w:rsid w:val="000A6286"/>
    <w:rsid w:val="000A6424"/>
    <w:rsid w:val="000A6442"/>
    <w:rsid w:val="000A661D"/>
    <w:rsid w:val="000A6CDD"/>
    <w:rsid w:val="000A6D37"/>
    <w:rsid w:val="000A6E21"/>
    <w:rsid w:val="000A6F34"/>
    <w:rsid w:val="000A6F3F"/>
    <w:rsid w:val="000A6F95"/>
    <w:rsid w:val="000A71F7"/>
    <w:rsid w:val="000A7200"/>
    <w:rsid w:val="000A72AF"/>
    <w:rsid w:val="000A7312"/>
    <w:rsid w:val="000A741E"/>
    <w:rsid w:val="000A7711"/>
    <w:rsid w:val="000A7844"/>
    <w:rsid w:val="000A79CA"/>
    <w:rsid w:val="000A7A18"/>
    <w:rsid w:val="000A7A72"/>
    <w:rsid w:val="000A7B35"/>
    <w:rsid w:val="000A7B81"/>
    <w:rsid w:val="000A7C09"/>
    <w:rsid w:val="000B00B5"/>
    <w:rsid w:val="000B0214"/>
    <w:rsid w:val="000B0347"/>
    <w:rsid w:val="000B0B1F"/>
    <w:rsid w:val="000B0B25"/>
    <w:rsid w:val="000B0C0F"/>
    <w:rsid w:val="000B0E9A"/>
    <w:rsid w:val="000B0FF2"/>
    <w:rsid w:val="000B113E"/>
    <w:rsid w:val="000B1345"/>
    <w:rsid w:val="000B1388"/>
    <w:rsid w:val="000B1414"/>
    <w:rsid w:val="000B141D"/>
    <w:rsid w:val="000B15D6"/>
    <w:rsid w:val="000B1B3E"/>
    <w:rsid w:val="000B1CA7"/>
    <w:rsid w:val="000B1CD4"/>
    <w:rsid w:val="000B1F76"/>
    <w:rsid w:val="000B20FB"/>
    <w:rsid w:val="000B2131"/>
    <w:rsid w:val="000B2195"/>
    <w:rsid w:val="000B2315"/>
    <w:rsid w:val="000B2520"/>
    <w:rsid w:val="000B26F3"/>
    <w:rsid w:val="000B27B4"/>
    <w:rsid w:val="000B27FB"/>
    <w:rsid w:val="000B2A3F"/>
    <w:rsid w:val="000B2B92"/>
    <w:rsid w:val="000B2CD4"/>
    <w:rsid w:val="000B2EB5"/>
    <w:rsid w:val="000B3082"/>
    <w:rsid w:val="000B323D"/>
    <w:rsid w:val="000B32D1"/>
    <w:rsid w:val="000B3379"/>
    <w:rsid w:val="000B3387"/>
    <w:rsid w:val="000B3508"/>
    <w:rsid w:val="000B3556"/>
    <w:rsid w:val="000B3782"/>
    <w:rsid w:val="000B37C6"/>
    <w:rsid w:val="000B397B"/>
    <w:rsid w:val="000B3A7B"/>
    <w:rsid w:val="000B3CD0"/>
    <w:rsid w:val="000B4040"/>
    <w:rsid w:val="000B4279"/>
    <w:rsid w:val="000B428B"/>
    <w:rsid w:val="000B437C"/>
    <w:rsid w:val="000B4421"/>
    <w:rsid w:val="000B4569"/>
    <w:rsid w:val="000B4A4D"/>
    <w:rsid w:val="000B4A9D"/>
    <w:rsid w:val="000B4AA1"/>
    <w:rsid w:val="000B4C4B"/>
    <w:rsid w:val="000B4DED"/>
    <w:rsid w:val="000B4E0B"/>
    <w:rsid w:val="000B50EC"/>
    <w:rsid w:val="000B51A5"/>
    <w:rsid w:val="000B531E"/>
    <w:rsid w:val="000B5634"/>
    <w:rsid w:val="000B571F"/>
    <w:rsid w:val="000B572F"/>
    <w:rsid w:val="000B582A"/>
    <w:rsid w:val="000B5844"/>
    <w:rsid w:val="000B58E1"/>
    <w:rsid w:val="000B5980"/>
    <w:rsid w:val="000B59AA"/>
    <w:rsid w:val="000B5ABB"/>
    <w:rsid w:val="000B5AC2"/>
    <w:rsid w:val="000B5DED"/>
    <w:rsid w:val="000B5E79"/>
    <w:rsid w:val="000B6032"/>
    <w:rsid w:val="000B622E"/>
    <w:rsid w:val="000B64B9"/>
    <w:rsid w:val="000B6A59"/>
    <w:rsid w:val="000B6DF1"/>
    <w:rsid w:val="000B6FB6"/>
    <w:rsid w:val="000B739E"/>
    <w:rsid w:val="000B745A"/>
    <w:rsid w:val="000B76F2"/>
    <w:rsid w:val="000B7B68"/>
    <w:rsid w:val="000B7D6E"/>
    <w:rsid w:val="000B7FCE"/>
    <w:rsid w:val="000C042F"/>
    <w:rsid w:val="000C04D2"/>
    <w:rsid w:val="000C0562"/>
    <w:rsid w:val="000C064B"/>
    <w:rsid w:val="000C0728"/>
    <w:rsid w:val="000C096C"/>
    <w:rsid w:val="000C0BAB"/>
    <w:rsid w:val="000C0C49"/>
    <w:rsid w:val="000C0F6C"/>
    <w:rsid w:val="000C1036"/>
    <w:rsid w:val="000C10D8"/>
    <w:rsid w:val="000C11EF"/>
    <w:rsid w:val="000C1370"/>
    <w:rsid w:val="000C14EA"/>
    <w:rsid w:val="000C15EF"/>
    <w:rsid w:val="000C1664"/>
    <w:rsid w:val="000C1694"/>
    <w:rsid w:val="000C169B"/>
    <w:rsid w:val="000C1726"/>
    <w:rsid w:val="000C1831"/>
    <w:rsid w:val="000C1C8D"/>
    <w:rsid w:val="000C1D88"/>
    <w:rsid w:val="000C1E0E"/>
    <w:rsid w:val="000C21E6"/>
    <w:rsid w:val="000C223C"/>
    <w:rsid w:val="000C2273"/>
    <w:rsid w:val="000C247E"/>
    <w:rsid w:val="000C26F4"/>
    <w:rsid w:val="000C27CE"/>
    <w:rsid w:val="000C2827"/>
    <w:rsid w:val="000C2C92"/>
    <w:rsid w:val="000C30B4"/>
    <w:rsid w:val="000C3229"/>
    <w:rsid w:val="000C32B2"/>
    <w:rsid w:val="000C33F4"/>
    <w:rsid w:val="000C356A"/>
    <w:rsid w:val="000C36F7"/>
    <w:rsid w:val="000C3969"/>
    <w:rsid w:val="000C3975"/>
    <w:rsid w:val="000C39CE"/>
    <w:rsid w:val="000C3A0A"/>
    <w:rsid w:val="000C3BD4"/>
    <w:rsid w:val="000C3C24"/>
    <w:rsid w:val="000C3E66"/>
    <w:rsid w:val="000C3F55"/>
    <w:rsid w:val="000C419D"/>
    <w:rsid w:val="000C41CB"/>
    <w:rsid w:val="000C4283"/>
    <w:rsid w:val="000C4418"/>
    <w:rsid w:val="000C44A7"/>
    <w:rsid w:val="000C4573"/>
    <w:rsid w:val="000C4995"/>
    <w:rsid w:val="000C5369"/>
    <w:rsid w:val="000C54A6"/>
    <w:rsid w:val="000C5592"/>
    <w:rsid w:val="000C576D"/>
    <w:rsid w:val="000C588F"/>
    <w:rsid w:val="000C5A64"/>
    <w:rsid w:val="000C5AAF"/>
    <w:rsid w:val="000C5E63"/>
    <w:rsid w:val="000C5EF9"/>
    <w:rsid w:val="000C5FF3"/>
    <w:rsid w:val="000C60EA"/>
    <w:rsid w:val="000C639C"/>
    <w:rsid w:val="000C63C5"/>
    <w:rsid w:val="000C6494"/>
    <w:rsid w:val="000C668C"/>
    <w:rsid w:val="000C66A4"/>
    <w:rsid w:val="000C68B9"/>
    <w:rsid w:val="000C6901"/>
    <w:rsid w:val="000C699B"/>
    <w:rsid w:val="000C6AE6"/>
    <w:rsid w:val="000C6CF0"/>
    <w:rsid w:val="000C6D26"/>
    <w:rsid w:val="000C6E0C"/>
    <w:rsid w:val="000C6E40"/>
    <w:rsid w:val="000C6EDB"/>
    <w:rsid w:val="000C7047"/>
    <w:rsid w:val="000C71EC"/>
    <w:rsid w:val="000C7225"/>
    <w:rsid w:val="000C73A4"/>
    <w:rsid w:val="000C756E"/>
    <w:rsid w:val="000C75FC"/>
    <w:rsid w:val="000C78A8"/>
    <w:rsid w:val="000C78CE"/>
    <w:rsid w:val="000C793D"/>
    <w:rsid w:val="000C7968"/>
    <w:rsid w:val="000C7D15"/>
    <w:rsid w:val="000C7D30"/>
    <w:rsid w:val="000C7F7F"/>
    <w:rsid w:val="000C7FD7"/>
    <w:rsid w:val="000C7FEF"/>
    <w:rsid w:val="000D0003"/>
    <w:rsid w:val="000D0102"/>
    <w:rsid w:val="000D0330"/>
    <w:rsid w:val="000D038D"/>
    <w:rsid w:val="000D0418"/>
    <w:rsid w:val="000D05DF"/>
    <w:rsid w:val="000D0720"/>
    <w:rsid w:val="000D0753"/>
    <w:rsid w:val="000D0989"/>
    <w:rsid w:val="000D0ADE"/>
    <w:rsid w:val="000D0DED"/>
    <w:rsid w:val="000D0DF9"/>
    <w:rsid w:val="000D0F34"/>
    <w:rsid w:val="000D0F4A"/>
    <w:rsid w:val="000D105A"/>
    <w:rsid w:val="000D1078"/>
    <w:rsid w:val="000D10D7"/>
    <w:rsid w:val="000D1154"/>
    <w:rsid w:val="000D1311"/>
    <w:rsid w:val="000D135A"/>
    <w:rsid w:val="000D16AB"/>
    <w:rsid w:val="000D19DE"/>
    <w:rsid w:val="000D19E6"/>
    <w:rsid w:val="000D1A66"/>
    <w:rsid w:val="000D1C39"/>
    <w:rsid w:val="000D1D08"/>
    <w:rsid w:val="000D1D3A"/>
    <w:rsid w:val="000D22C5"/>
    <w:rsid w:val="000D2393"/>
    <w:rsid w:val="000D251A"/>
    <w:rsid w:val="000D258F"/>
    <w:rsid w:val="000D2725"/>
    <w:rsid w:val="000D2B40"/>
    <w:rsid w:val="000D2D20"/>
    <w:rsid w:val="000D2DAA"/>
    <w:rsid w:val="000D2EAF"/>
    <w:rsid w:val="000D3035"/>
    <w:rsid w:val="000D3146"/>
    <w:rsid w:val="000D3357"/>
    <w:rsid w:val="000D34CC"/>
    <w:rsid w:val="000D38A8"/>
    <w:rsid w:val="000D3A2B"/>
    <w:rsid w:val="000D3F06"/>
    <w:rsid w:val="000D4106"/>
    <w:rsid w:val="000D4133"/>
    <w:rsid w:val="000D42B0"/>
    <w:rsid w:val="000D45C5"/>
    <w:rsid w:val="000D4979"/>
    <w:rsid w:val="000D49B5"/>
    <w:rsid w:val="000D4D8F"/>
    <w:rsid w:val="000D4E80"/>
    <w:rsid w:val="000D4E86"/>
    <w:rsid w:val="000D4FBB"/>
    <w:rsid w:val="000D5058"/>
    <w:rsid w:val="000D5202"/>
    <w:rsid w:val="000D5352"/>
    <w:rsid w:val="000D536B"/>
    <w:rsid w:val="000D5470"/>
    <w:rsid w:val="000D5722"/>
    <w:rsid w:val="000D57E2"/>
    <w:rsid w:val="000D58A1"/>
    <w:rsid w:val="000D5A62"/>
    <w:rsid w:val="000D5B50"/>
    <w:rsid w:val="000D5EB8"/>
    <w:rsid w:val="000D5EF4"/>
    <w:rsid w:val="000D5EFA"/>
    <w:rsid w:val="000D5F8F"/>
    <w:rsid w:val="000D605F"/>
    <w:rsid w:val="000D60D5"/>
    <w:rsid w:val="000D644A"/>
    <w:rsid w:val="000D647B"/>
    <w:rsid w:val="000D65D3"/>
    <w:rsid w:val="000D6788"/>
    <w:rsid w:val="000D68AB"/>
    <w:rsid w:val="000D6F50"/>
    <w:rsid w:val="000D71D5"/>
    <w:rsid w:val="000D7333"/>
    <w:rsid w:val="000D7408"/>
    <w:rsid w:val="000D75D0"/>
    <w:rsid w:val="000D773E"/>
    <w:rsid w:val="000D784B"/>
    <w:rsid w:val="000D7AD4"/>
    <w:rsid w:val="000D7D4C"/>
    <w:rsid w:val="000D7F80"/>
    <w:rsid w:val="000D7FAE"/>
    <w:rsid w:val="000E000B"/>
    <w:rsid w:val="000E018C"/>
    <w:rsid w:val="000E0198"/>
    <w:rsid w:val="000E0228"/>
    <w:rsid w:val="000E0237"/>
    <w:rsid w:val="000E05C5"/>
    <w:rsid w:val="000E0994"/>
    <w:rsid w:val="000E0A06"/>
    <w:rsid w:val="000E0AC6"/>
    <w:rsid w:val="000E0AF3"/>
    <w:rsid w:val="000E0DB3"/>
    <w:rsid w:val="000E1224"/>
    <w:rsid w:val="000E158F"/>
    <w:rsid w:val="000E16CF"/>
    <w:rsid w:val="000E177C"/>
    <w:rsid w:val="000E199A"/>
    <w:rsid w:val="000E1B1B"/>
    <w:rsid w:val="000E1B3A"/>
    <w:rsid w:val="000E2064"/>
    <w:rsid w:val="000E20F1"/>
    <w:rsid w:val="000E2202"/>
    <w:rsid w:val="000E230B"/>
    <w:rsid w:val="000E2341"/>
    <w:rsid w:val="000E2373"/>
    <w:rsid w:val="000E24A3"/>
    <w:rsid w:val="000E2514"/>
    <w:rsid w:val="000E256D"/>
    <w:rsid w:val="000E2587"/>
    <w:rsid w:val="000E266A"/>
    <w:rsid w:val="000E2908"/>
    <w:rsid w:val="000E2DF9"/>
    <w:rsid w:val="000E2F0A"/>
    <w:rsid w:val="000E3056"/>
    <w:rsid w:val="000E3134"/>
    <w:rsid w:val="000E313A"/>
    <w:rsid w:val="000E38CD"/>
    <w:rsid w:val="000E3D38"/>
    <w:rsid w:val="000E3F66"/>
    <w:rsid w:val="000E40BE"/>
    <w:rsid w:val="000E4142"/>
    <w:rsid w:val="000E4168"/>
    <w:rsid w:val="000E42A6"/>
    <w:rsid w:val="000E42CC"/>
    <w:rsid w:val="000E42DF"/>
    <w:rsid w:val="000E42E6"/>
    <w:rsid w:val="000E46CB"/>
    <w:rsid w:val="000E475F"/>
    <w:rsid w:val="000E4882"/>
    <w:rsid w:val="000E49E4"/>
    <w:rsid w:val="000E4BEF"/>
    <w:rsid w:val="000E4D21"/>
    <w:rsid w:val="000E4D60"/>
    <w:rsid w:val="000E4E23"/>
    <w:rsid w:val="000E50DA"/>
    <w:rsid w:val="000E5332"/>
    <w:rsid w:val="000E5806"/>
    <w:rsid w:val="000E5ABD"/>
    <w:rsid w:val="000E5EE3"/>
    <w:rsid w:val="000E62E2"/>
    <w:rsid w:val="000E644C"/>
    <w:rsid w:val="000E6533"/>
    <w:rsid w:val="000E6607"/>
    <w:rsid w:val="000E66AA"/>
    <w:rsid w:val="000E66C9"/>
    <w:rsid w:val="000E673D"/>
    <w:rsid w:val="000E699D"/>
    <w:rsid w:val="000E6FA4"/>
    <w:rsid w:val="000E6FAD"/>
    <w:rsid w:val="000E70CB"/>
    <w:rsid w:val="000E719D"/>
    <w:rsid w:val="000E7252"/>
    <w:rsid w:val="000E72AF"/>
    <w:rsid w:val="000E7414"/>
    <w:rsid w:val="000E756C"/>
    <w:rsid w:val="000E7688"/>
    <w:rsid w:val="000E76EE"/>
    <w:rsid w:val="000E7792"/>
    <w:rsid w:val="000E7793"/>
    <w:rsid w:val="000E7B1A"/>
    <w:rsid w:val="000E7D5B"/>
    <w:rsid w:val="000E7E07"/>
    <w:rsid w:val="000F038E"/>
    <w:rsid w:val="000F042F"/>
    <w:rsid w:val="000F0968"/>
    <w:rsid w:val="000F0D12"/>
    <w:rsid w:val="000F12A4"/>
    <w:rsid w:val="000F12E7"/>
    <w:rsid w:val="000F14D8"/>
    <w:rsid w:val="000F1537"/>
    <w:rsid w:val="000F17BD"/>
    <w:rsid w:val="000F1865"/>
    <w:rsid w:val="000F1B37"/>
    <w:rsid w:val="000F1DC5"/>
    <w:rsid w:val="000F2116"/>
    <w:rsid w:val="000F23AE"/>
    <w:rsid w:val="000F2488"/>
    <w:rsid w:val="000F259D"/>
    <w:rsid w:val="000F25D0"/>
    <w:rsid w:val="000F280E"/>
    <w:rsid w:val="000F28A3"/>
    <w:rsid w:val="000F29E1"/>
    <w:rsid w:val="000F2A8E"/>
    <w:rsid w:val="000F2B8D"/>
    <w:rsid w:val="000F3165"/>
    <w:rsid w:val="000F32AB"/>
    <w:rsid w:val="000F3622"/>
    <w:rsid w:val="000F3633"/>
    <w:rsid w:val="000F38D5"/>
    <w:rsid w:val="000F3906"/>
    <w:rsid w:val="000F3BF4"/>
    <w:rsid w:val="000F3DBC"/>
    <w:rsid w:val="000F3E51"/>
    <w:rsid w:val="000F424B"/>
    <w:rsid w:val="000F4320"/>
    <w:rsid w:val="000F47EB"/>
    <w:rsid w:val="000F482A"/>
    <w:rsid w:val="000F4889"/>
    <w:rsid w:val="000F4AE8"/>
    <w:rsid w:val="000F4C12"/>
    <w:rsid w:val="000F4D0C"/>
    <w:rsid w:val="000F4E55"/>
    <w:rsid w:val="000F4F1C"/>
    <w:rsid w:val="000F523F"/>
    <w:rsid w:val="000F5503"/>
    <w:rsid w:val="000F5538"/>
    <w:rsid w:val="000F555E"/>
    <w:rsid w:val="000F564A"/>
    <w:rsid w:val="000F5710"/>
    <w:rsid w:val="000F5776"/>
    <w:rsid w:val="000F5869"/>
    <w:rsid w:val="000F586B"/>
    <w:rsid w:val="000F5926"/>
    <w:rsid w:val="000F5AFE"/>
    <w:rsid w:val="000F5D44"/>
    <w:rsid w:val="000F5F05"/>
    <w:rsid w:val="000F61E3"/>
    <w:rsid w:val="000F6B28"/>
    <w:rsid w:val="000F6E9A"/>
    <w:rsid w:val="000F6EEA"/>
    <w:rsid w:val="000F6FB0"/>
    <w:rsid w:val="000F707E"/>
    <w:rsid w:val="000F729C"/>
    <w:rsid w:val="000F7434"/>
    <w:rsid w:val="000F77E1"/>
    <w:rsid w:val="000F7832"/>
    <w:rsid w:val="000F78D1"/>
    <w:rsid w:val="000F78DE"/>
    <w:rsid w:val="000F79F2"/>
    <w:rsid w:val="000F7A9E"/>
    <w:rsid w:val="0010010B"/>
    <w:rsid w:val="00100140"/>
    <w:rsid w:val="00100207"/>
    <w:rsid w:val="00100281"/>
    <w:rsid w:val="0010032F"/>
    <w:rsid w:val="00100331"/>
    <w:rsid w:val="0010035A"/>
    <w:rsid w:val="001003BA"/>
    <w:rsid w:val="001003FA"/>
    <w:rsid w:val="00100668"/>
    <w:rsid w:val="00100DB1"/>
    <w:rsid w:val="00100DBB"/>
    <w:rsid w:val="00100EB9"/>
    <w:rsid w:val="00100FC9"/>
    <w:rsid w:val="00101091"/>
    <w:rsid w:val="001010C6"/>
    <w:rsid w:val="00101456"/>
    <w:rsid w:val="001016C4"/>
    <w:rsid w:val="0010178C"/>
    <w:rsid w:val="00101CF1"/>
    <w:rsid w:val="00101D33"/>
    <w:rsid w:val="00101F41"/>
    <w:rsid w:val="0010228D"/>
    <w:rsid w:val="001022E6"/>
    <w:rsid w:val="0010234B"/>
    <w:rsid w:val="001024A1"/>
    <w:rsid w:val="00102553"/>
    <w:rsid w:val="0010273A"/>
    <w:rsid w:val="00102B37"/>
    <w:rsid w:val="00102B85"/>
    <w:rsid w:val="00102D2E"/>
    <w:rsid w:val="00102EC8"/>
    <w:rsid w:val="00102F31"/>
    <w:rsid w:val="00103062"/>
    <w:rsid w:val="0010355A"/>
    <w:rsid w:val="001035DA"/>
    <w:rsid w:val="00103BBE"/>
    <w:rsid w:val="00103F7E"/>
    <w:rsid w:val="00104025"/>
    <w:rsid w:val="0010407D"/>
    <w:rsid w:val="00104265"/>
    <w:rsid w:val="0010433E"/>
    <w:rsid w:val="00104415"/>
    <w:rsid w:val="001044A1"/>
    <w:rsid w:val="0010454F"/>
    <w:rsid w:val="00104900"/>
    <w:rsid w:val="0010490B"/>
    <w:rsid w:val="00104AF5"/>
    <w:rsid w:val="00104C17"/>
    <w:rsid w:val="00105332"/>
    <w:rsid w:val="00105338"/>
    <w:rsid w:val="001054E4"/>
    <w:rsid w:val="0010554E"/>
    <w:rsid w:val="001059B3"/>
    <w:rsid w:val="00105C25"/>
    <w:rsid w:val="00105D25"/>
    <w:rsid w:val="00105E05"/>
    <w:rsid w:val="00105E1A"/>
    <w:rsid w:val="00105F1F"/>
    <w:rsid w:val="00105FCA"/>
    <w:rsid w:val="00105FF6"/>
    <w:rsid w:val="001060A1"/>
    <w:rsid w:val="00106106"/>
    <w:rsid w:val="0010622D"/>
    <w:rsid w:val="00106239"/>
    <w:rsid w:val="00106449"/>
    <w:rsid w:val="001064FD"/>
    <w:rsid w:val="001069E8"/>
    <w:rsid w:val="00106AA1"/>
    <w:rsid w:val="00106AFB"/>
    <w:rsid w:val="00106DEA"/>
    <w:rsid w:val="00106ED4"/>
    <w:rsid w:val="00106F10"/>
    <w:rsid w:val="001071ED"/>
    <w:rsid w:val="0010742F"/>
    <w:rsid w:val="00107517"/>
    <w:rsid w:val="0010777C"/>
    <w:rsid w:val="001077F6"/>
    <w:rsid w:val="001078A5"/>
    <w:rsid w:val="0010799E"/>
    <w:rsid w:val="001079CC"/>
    <w:rsid w:val="00107B0A"/>
    <w:rsid w:val="00107B68"/>
    <w:rsid w:val="00107D58"/>
    <w:rsid w:val="001106B7"/>
    <w:rsid w:val="00110777"/>
    <w:rsid w:val="00110840"/>
    <w:rsid w:val="00110A5B"/>
    <w:rsid w:val="00110BAC"/>
    <w:rsid w:val="00110F05"/>
    <w:rsid w:val="00110F08"/>
    <w:rsid w:val="001110B6"/>
    <w:rsid w:val="001112A4"/>
    <w:rsid w:val="00111446"/>
    <w:rsid w:val="001114FA"/>
    <w:rsid w:val="00111609"/>
    <w:rsid w:val="001117AA"/>
    <w:rsid w:val="001117D6"/>
    <w:rsid w:val="00111A3A"/>
    <w:rsid w:val="00111D7E"/>
    <w:rsid w:val="00111DF6"/>
    <w:rsid w:val="00111F3B"/>
    <w:rsid w:val="001120F9"/>
    <w:rsid w:val="0011211F"/>
    <w:rsid w:val="0011231A"/>
    <w:rsid w:val="0011254D"/>
    <w:rsid w:val="001127CE"/>
    <w:rsid w:val="0011286E"/>
    <w:rsid w:val="001128A3"/>
    <w:rsid w:val="00113450"/>
    <w:rsid w:val="00113470"/>
    <w:rsid w:val="0011367B"/>
    <w:rsid w:val="00113A16"/>
    <w:rsid w:val="00113AF4"/>
    <w:rsid w:val="00113D65"/>
    <w:rsid w:val="00113E89"/>
    <w:rsid w:val="00113F4D"/>
    <w:rsid w:val="0011400B"/>
    <w:rsid w:val="0011413D"/>
    <w:rsid w:val="001144CA"/>
    <w:rsid w:val="00114690"/>
    <w:rsid w:val="00114731"/>
    <w:rsid w:val="00114879"/>
    <w:rsid w:val="00114A51"/>
    <w:rsid w:val="00114A90"/>
    <w:rsid w:val="00114B28"/>
    <w:rsid w:val="00114CA6"/>
    <w:rsid w:val="00114CA9"/>
    <w:rsid w:val="00114EDA"/>
    <w:rsid w:val="00114F46"/>
    <w:rsid w:val="00115023"/>
    <w:rsid w:val="0011519F"/>
    <w:rsid w:val="00115272"/>
    <w:rsid w:val="0011527A"/>
    <w:rsid w:val="001155B6"/>
    <w:rsid w:val="00115B22"/>
    <w:rsid w:val="00115CC5"/>
    <w:rsid w:val="00115D32"/>
    <w:rsid w:val="00115D76"/>
    <w:rsid w:val="00115DD7"/>
    <w:rsid w:val="00116606"/>
    <w:rsid w:val="001166CB"/>
    <w:rsid w:val="001166DC"/>
    <w:rsid w:val="00116851"/>
    <w:rsid w:val="00116C9F"/>
    <w:rsid w:val="00116DEB"/>
    <w:rsid w:val="00116F2D"/>
    <w:rsid w:val="00117232"/>
    <w:rsid w:val="00117639"/>
    <w:rsid w:val="00117689"/>
    <w:rsid w:val="001178F3"/>
    <w:rsid w:val="00117DD5"/>
    <w:rsid w:val="00120594"/>
    <w:rsid w:val="001207A7"/>
    <w:rsid w:val="001208AD"/>
    <w:rsid w:val="001208CC"/>
    <w:rsid w:val="00120929"/>
    <w:rsid w:val="00120C2A"/>
    <w:rsid w:val="00120CB7"/>
    <w:rsid w:val="00120E41"/>
    <w:rsid w:val="001211B4"/>
    <w:rsid w:val="00121219"/>
    <w:rsid w:val="00121332"/>
    <w:rsid w:val="0012151D"/>
    <w:rsid w:val="001215EE"/>
    <w:rsid w:val="001218F7"/>
    <w:rsid w:val="0012196F"/>
    <w:rsid w:val="001219AD"/>
    <w:rsid w:val="00121BC4"/>
    <w:rsid w:val="00121C26"/>
    <w:rsid w:val="00121F86"/>
    <w:rsid w:val="0012204F"/>
    <w:rsid w:val="00122257"/>
    <w:rsid w:val="00122374"/>
    <w:rsid w:val="001223AD"/>
    <w:rsid w:val="001224B3"/>
    <w:rsid w:val="001224D3"/>
    <w:rsid w:val="001225FC"/>
    <w:rsid w:val="00122676"/>
    <w:rsid w:val="001226D7"/>
    <w:rsid w:val="00122B2C"/>
    <w:rsid w:val="00122CD6"/>
    <w:rsid w:val="00122D8D"/>
    <w:rsid w:val="00122F69"/>
    <w:rsid w:val="001230A3"/>
    <w:rsid w:val="00123332"/>
    <w:rsid w:val="00123457"/>
    <w:rsid w:val="001234C6"/>
    <w:rsid w:val="0012381D"/>
    <w:rsid w:val="0012394E"/>
    <w:rsid w:val="0012398E"/>
    <w:rsid w:val="001239A3"/>
    <w:rsid w:val="00123C01"/>
    <w:rsid w:val="00123F33"/>
    <w:rsid w:val="00123F40"/>
    <w:rsid w:val="00123F72"/>
    <w:rsid w:val="00124071"/>
    <w:rsid w:val="0012427F"/>
    <w:rsid w:val="001243B3"/>
    <w:rsid w:val="001244F9"/>
    <w:rsid w:val="001249A1"/>
    <w:rsid w:val="001249E3"/>
    <w:rsid w:val="00124A0F"/>
    <w:rsid w:val="00124C58"/>
    <w:rsid w:val="00124DB3"/>
    <w:rsid w:val="00124FFA"/>
    <w:rsid w:val="0012503C"/>
    <w:rsid w:val="00125480"/>
    <w:rsid w:val="00125488"/>
    <w:rsid w:val="001254E9"/>
    <w:rsid w:val="0012557F"/>
    <w:rsid w:val="001255F4"/>
    <w:rsid w:val="001256E7"/>
    <w:rsid w:val="0012570C"/>
    <w:rsid w:val="00125834"/>
    <w:rsid w:val="00125A9E"/>
    <w:rsid w:val="00125AC7"/>
    <w:rsid w:val="00125DEF"/>
    <w:rsid w:val="001264A1"/>
    <w:rsid w:val="001268A2"/>
    <w:rsid w:val="00126DEC"/>
    <w:rsid w:val="00126E60"/>
    <w:rsid w:val="00126F59"/>
    <w:rsid w:val="001270FF"/>
    <w:rsid w:val="00127142"/>
    <w:rsid w:val="00127175"/>
    <w:rsid w:val="0012727D"/>
    <w:rsid w:val="00127578"/>
    <w:rsid w:val="0012757A"/>
    <w:rsid w:val="0012777B"/>
    <w:rsid w:val="00127B8D"/>
    <w:rsid w:val="00127D5A"/>
    <w:rsid w:val="00127DA6"/>
    <w:rsid w:val="00127EEE"/>
    <w:rsid w:val="00130059"/>
    <w:rsid w:val="001304F2"/>
    <w:rsid w:val="001305FE"/>
    <w:rsid w:val="00130735"/>
    <w:rsid w:val="0013079C"/>
    <w:rsid w:val="001308E2"/>
    <w:rsid w:val="00130A49"/>
    <w:rsid w:val="00130C7B"/>
    <w:rsid w:val="00130E2C"/>
    <w:rsid w:val="00130EB1"/>
    <w:rsid w:val="001310A4"/>
    <w:rsid w:val="0013119F"/>
    <w:rsid w:val="00131422"/>
    <w:rsid w:val="0013176C"/>
    <w:rsid w:val="00131801"/>
    <w:rsid w:val="00131B8E"/>
    <w:rsid w:val="00131CC2"/>
    <w:rsid w:val="00131D0B"/>
    <w:rsid w:val="00131D3F"/>
    <w:rsid w:val="00132157"/>
    <w:rsid w:val="0013233D"/>
    <w:rsid w:val="0013249E"/>
    <w:rsid w:val="001325F7"/>
    <w:rsid w:val="00132920"/>
    <w:rsid w:val="00132961"/>
    <w:rsid w:val="00132C24"/>
    <w:rsid w:val="00132CF5"/>
    <w:rsid w:val="001335A4"/>
    <w:rsid w:val="001335C9"/>
    <w:rsid w:val="00133610"/>
    <w:rsid w:val="00133724"/>
    <w:rsid w:val="00133763"/>
    <w:rsid w:val="0013380C"/>
    <w:rsid w:val="00133871"/>
    <w:rsid w:val="00133900"/>
    <w:rsid w:val="001339B6"/>
    <w:rsid w:val="00133AF2"/>
    <w:rsid w:val="00133CB9"/>
    <w:rsid w:val="00133DB4"/>
    <w:rsid w:val="0013401E"/>
    <w:rsid w:val="001342CC"/>
    <w:rsid w:val="001342F0"/>
    <w:rsid w:val="0013430C"/>
    <w:rsid w:val="001344EF"/>
    <w:rsid w:val="001348EA"/>
    <w:rsid w:val="00134BA3"/>
    <w:rsid w:val="00135139"/>
    <w:rsid w:val="00135177"/>
    <w:rsid w:val="00135201"/>
    <w:rsid w:val="001355AB"/>
    <w:rsid w:val="00135F7B"/>
    <w:rsid w:val="00136296"/>
    <w:rsid w:val="001364A4"/>
    <w:rsid w:val="001367D1"/>
    <w:rsid w:val="0013691C"/>
    <w:rsid w:val="00136AEA"/>
    <w:rsid w:val="00136D33"/>
    <w:rsid w:val="00136DC7"/>
    <w:rsid w:val="00137361"/>
    <w:rsid w:val="001373FA"/>
    <w:rsid w:val="001374CE"/>
    <w:rsid w:val="001379FF"/>
    <w:rsid w:val="00137A4B"/>
    <w:rsid w:val="00137B4F"/>
    <w:rsid w:val="00137BBD"/>
    <w:rsid w:val="00137CB0"/>
    <w:rsid w:val="00137D27"/>
    <w:rsid w:val="00137EEC"/>
    <w:rsid w:val="00137F5B"/>
    <w:rsid w:val="00137F71"/>
    <w:rsid w:val="00137FBA"/>
    <w:rsid w:val="00137FF5"/>
    <w:rsid w:val="001404A2"/>
    <w:rsid w:val="001406EE"/>
    <w:rsid w:val="0014074C"/>
    <w:rsid w:val="001409F8"/>
    <w:rsid w:val="00140AA7"/>
    <w:rsid w:val="00140AC1"/>
    <w:rsid w:val="00140AC8"/>
    <w:rsid w:val="00140B14"/>
    <w:rsid w:val="00140B85"/>
    <w:rsid w:val="00140B90"/>
    <w:rsid w:val="00140F60"/>
    <w:rsid w:val="00140F64"/>
    <w:rsid w:val="00141520"/>
    <w:rsid w:val="0014163E"/>
    <w:rsid w:val="00141852"/>
    <w:rsid w:val="00141E9C"/>
    <w:rsid w:val="00141F03"/>
    <w:rsid w:val="0014207E"/>
    <w:rsid w:val="00142080"/>
    <w:rsid w:val="00142116"/>
    <w:rsid w:val="00142188"/>
    <w:rsid w:val="0014232E"/>
    <w:rsid w:val="0014236F"/>
    <w:rsid w:val="00142555"/>
    <w:rsid w:val="001426C9"/>
    <w:rsid w:val="00142707"/>
    <w:rsid w:val="001427D5"/>
    <w:rsid w:val="0014288C"/>
    <w:rsid w:val="00142959"/>
    <w:rsid w:val="0014297C"/>
    <w:rsid w:val="00142C6E"/>
    <w:rsid w:val="00142F30"/>
    <w:rsid w:val="00142F9D"/>
    <w:rsid w:val="0014372D"/>
    <w:rsid w:val="00143802"/>
    <w:rsid w:val="00143970"/>
    <w:rsid w:val="00143A7C"/>
    <w:rsid w:val="00143B5A"/>
    <w:rsid w:val="00143EAE"/>
    <w:rsid w:val="001440F1"/>
    <w:rsid w:val="0014415A"/>
    <w:rsid w:val="00144212"/>
    <w:rsid w:val="00144262"/>
    <w:rsid w:val="001442A3"/>
    <w:rsid w:val="001444F7"/>
    <w:rsid w:val="00144598"/>
    <w:rsid w:val="00144A0C"/>
    <w:rsid w:val="00144F8E"/>
    <w:rsid w:val="00145026"/>
    <w:rsid w:val="001450E0"/>
    <w:rsid w:val="001450E9"/>
    <w:rsid w:val="0014532F"/>
    <w:rsid w:val="001453A6"/>
    <w:rsid w:val="00145400"/>
    <w:rsid w:val="00145603"/>
    <w:rsid w:val="00145662"/>
    <w:rsid w:val="0014574F"/>
    <w:rsid w:val="00145951"/>
    <w:rsid w:val="001459A2"/>
    <w:rsid w:val="00145A2D"/>
    <w:rsid w:val="00145B33"/>
    <w:rsid w:val="00145D26"/>
    <w:rsid w:val="00145DFC"/>
    <w:rsid w:val="00145EC8"/>
    <w:rsid w:val="00145F72"/>
    <w:rsid w:val="00145FB9"/>
    <w:rsid w:val="00146002"/>
    <w:rsid w:val="00146045"/>
    <w:rsid w:val="00146298"/>
    <w:rsid w:val="00146361"/>
    <w:rsid w:val="001463C9"/>
    <w:rsid w:val="00146A2D"/>
    <w:rsid w:val="00146AEB"/>
    <w:rsid w:val="00146B74"/>
    <w:rsid w:val="00146C0F"/>
    <w:rsid w:val="00146CD9"/>
    <w:rsid w:val="00146E3A"/>
    <w:rsid w:val="00146EC6"/>
    <w:rsid w:val="00146F38"/>
    <w:rsid w:val="001470A0"/>
    <w:rsid w:val="0014710E"/>
    <w:rsid w:val="001472D8"/>
    <w:rsid w:val="0014735F"/>
    <w:rsid w:val="00147551"/>
    <w:rsid w:val="00147733"/>
    <w:rsid w:val="00147B03"/>
    <w:rsid w:val="00150061"/>
    <w:rsid w:val="0015022E"/>
    <w:rsid w:val="001502CD"/>
    <w:rsid w:val="00150321"/>
    <w:rsid w:val="0015063C"/>
    <w:rsid w:val="0015069D"/>
    <w:rsid w:val="00150718"/>
    <w:rsid w:val="001509E9"/>
    <w:rsid w:val="00150B63"/>
    <w:rsid w:val="00150E21"/>
    <w:rsid w:val="00151095"/>
    <w:rsid w:val="00151213"/>
    <w:rsid w:val="00151356"/>
    <w:rsid w:val="00151375"/>
    <w:rsid w:val="00151483"/>
    <w:rsid w:val="00151605"/>
    <w:rsid w:val="0015177C"/>
    <w:rsid w:val="00151C71"/>
    <w:rsid w:val="00151C8C"/>
    <w:rsid w:val="00151CC9"/>
    <w:rsid w:val="00151E7A"/>
    <w:rsid w:val="00151FF0"/>
    <w:rsid w:val="00152191"/>
    <w:rsid w:val="00152419"/>
    <w:rsid w:val="0015286E"/>
    <w:rsid w:val="00152AE9"/>
    <w:rsid w:val="00152FA4"/>
    <w:rsid w:val="00152FEC"/>
    <w:rsid w:val="001530B2"/>
    <w:rsid w:val="001533CC"/>
    <w:rsid w:val="001535D8"/>
    <w:rsid w:val="00153BAB"/>
    <w:rsid w:val="00153C0E"/>
    <w:rsid w:val="00154068"/>
    <w:rsid w:val="0015417C"/>
    <w:rsid w:val="00154370"/>
    <w:rsid w:val="00154375"/>
    <w:rsid w:val="0015444D"/>
    <w:rsid w:val="00154456"/>
    <w:rsid w:val="00154614"/>
    <w:rsid w:val="0015472B"/>
    <w:rsid w:val="00154A07"/>
    <w:rsid w:val="00154C43"/>
    <w:rsid w:val="00154CEB"/>
    <w:rsid w:val="00154CF4"/>
    <w:rsid w:val="00154DAF"/>
    <w:rsid w:val="00154F15"/>
    <w:rsid w:val="00155083"/>
    <w:rsid w:val="0015564F"/>
    <w:rsid w:val="001557D1"/>
    <w:rsid w:val="00155921"/>
    <w:rsid w:val="001559FB"/>
    <w:rsid w:val="00155B20"/>
    <w:rsid w:val="00155DDA"/>
    <w:rsid w:val="00155F1D"/>
    <w:rsid w:val="00155FC4"/>
    <w:rsid w:val="0015601C"/>
    <w:rsid w:val="001561F9"/>
    <w:rsid w:val="00156436"/>
    <w:rsid w:val="0015672A"/>
    <w:rsid w:val="00156758"/>
    <w:rsid w:val="001568EC"/>
    <w:rsid w:val="001569A5"/>
    <w:rsid w:val="00156A49"/>
    <w:rsid w:val="00156A6A"/>
    <w:rsid w:val="00156B8B"/>
    <w:rsid w:val="00156CFA"/>
    <w:rsid w:val="00156D1C"/>
    <w:rsid w:val="00157181"/>
    <w:rsid w:val="00157253"/>
    <w:rsid w:val="0015727F"/>
    <w:rsid w:val="0015739E"/>
    <w:rsid w:val="00157472"/>
    <w:rsid w:val="001575B1"/>
    <w:rsid w:val="00157684"/>
    <w:rsid w:val="0015781F"/>
    <w:rsid w:val="00157933"/>
    <w:rsid w:val="00157991"/>
    <w:rsid w:val="00157A45"/>
    <w:rsid w:val="00157B5F"/>
    <w:rsid w:val="00157C14"/>
    <w:rsid w:val="00157EBD"/>
    <w:rsid w:val="00157EC5"/>
    <w:rsid w:val="00157F04"/>
    <w:rsid w:val="001600F4"/>
    <w:rsid w:val="00160134"/>
    <w:rsid w:val="001603AA"/>
    <w:rsid w:val="00160501"/>
    <w:rsid w:val="00160522"/>
    <w:rsid w:val="001605A5"/>
    <w:rsid w:val="0016068C"/>
    <w:rsid w:val="00160C6D"/>
    <w:rsid w:val="00160C8E"/>
    <w:rsid w:val="00161169"/>
    <w:rsid w:val="00161357"/>
    <w:rsid w:val="00161464"/>
    <w:rsid w:val="0016148B"/>
    <w:rsid w:val="00161998"/>
    <w:rsid w:val="001619C9"/>
    <w:rsid w:val="00161B41"/>
    <w:rsid w:val="00161BAF"/>
    <w:rsid w:val="00161BF1"/>
    <w:rsid w:val="00161C3A"/>
    <w:rsid w:val="00161D8F"/>
    <w:rsid w:val="00161E1F"/>
    <w:rsid w:val="00161FA5"/>
    <w:rsid w:val="0016213D"/>
    <w:rsid w:val="0016223E"/>
    <w:rsid w:val="0016228D"/>
    <w:rsid w:val="00162434"/>
    <w:rsid w:val="001624B1"/>
    <w:rsid w:val="0016254A"/>
    <w:rsid w:val="00162581"/>
    <w:rsid w:val="00162823"/>
    <w:rsid w:val="0016286D"/>
    <w:rsid w:val="00162971"/>
    <w:rsid w:val="00162982"/>
    <w:rsid w:val="001629EC"/>
    <w:rsid w:val="00162C97"/>
    <w:rsid w:val="00162DB0"/>
    <w:rsid w:val="00162E9B"/>
    <w:rsid w:val="00162F4B"/>
    <w:rsid w:val="0016331B"/>
    <w:rsid w:val="00163740"/>
    <w:rsid w:val="00163A81"/>
    <w:rsid w:val="00163C6F"/>
    <w:rsid w:val="00163D0E"/>
    <w:rsid w:val="001642F6"/>
    <w:rsid w:val="00164553"/>
    <w:rsid w:val="001646D9"/>
    <w:rsid w:val="00164B0A"/>
    <w:rsid w:val="00164FA1"/>
    <w:rsid w:val="001651D9"/>
    <w:rsid w:val="001653E9"/>
    <w:rsid w:val="00165607"/>
    <w:rsid w:val="00165839"/>
    <w:rsid w:val="001658F8"/>
    <w:rsid w:val="00165A87"/>
    <w:rsid w:val="00165C49"/>
    <w:rsid w:val="00165E65"/>
    <w:rsid w:val="00165F90"/>
    <w:rsid w:val="0016602A"/>
    <w:rsid w:val="00166244"/>
    <w:rsid w:val="001663CC"/>
    <w:rsid w:val="00166859"/>
    <w:rsid w:val="001669A2"/>
    <w:rsid w:val="00166B9A"/>
    <w:rsid w:val="00166BDD"/>
    <w:rsid w:val="00166D76"/>
    <w:rsid w:val="00167104"/>
    <w:rsid w:val="00167163"/>
    <w:rsid w:val="0016716F"/>
    <w:rsid w:val="00167320"/>
    <w:rsid w:val="00167572"/>
    <w:rsid w:val="001676D2"/>
    <w:rsid w:val="00167727"/>
    <w:rsid w:val="001677B3"/>
    <w:rsid w:val="00167953"/>
    <w:rsid w:val="0016797C"/>
    <w:rsid w:val="00167A25"/>
    <w:rsid w:val="00167C25"/>
    <w:rsid w:val="00167D81"/>
    <w:rsid w:val="00167FA7"/>
    <w:rsid w:val="0017001E"/>
    <w:rsid w:val="001704B4"/>
    <w:rsid w:val="00170533"/>
    <w:rsid w:val="001705C8"/>
    <w:rsid w:val="00170808"/>
    <w:rsid w:val="00170956"/>
    <w:rsid w:val="00170993"/>
    <w:rsid w:val="001709FC"/>
    <w:rsid w:val="00170B72"/>
    <w:rsid w:val="00171043"/>
    <w:rsid w:val="00171204"/>
    <w:rsid w:val="001713EE"/>
    <w:rsid w:val="00171409"/>
    <w:rsid w:val="00171418"/>
    <w:rsid w:val="001714DA"/>
    <w:rsid w:val="0017161A"/>
    <w:rsid w:val="00171734"/>
    <w:rsid w:val="00171857"/>
    <w:rsid w:val="00171897"/>
    <w:rsid w:val="00171B13"/>
    <w:rsid w:val="00172116"/>
    <w:rsid w:val="00172260"/>
    <w:rsid w:val="00172711"/>
    <w:rsid w:val="00172736"/>
    <w:rsid w:val="00172811"/>
    <w:rsid w:val="0017296C"/>
    <w:rsid w:val="00172CC6"/>
    <w:rsid w:val="00172D39"/>
    <w:rsid w:val="00172FFD"/>
    <w:rsid w:val="00173565"/>
    <w:rsid w:val="0017359F"/>
    <w:rsid w:val="001736D5"/>
    <w:rsid w:val="0017370B"/>
    <w:rsid w:val="0017370E"/>
    <w:rsid w:val="0017375E"/>
    <w:rsid w:val="00173A60"/>
    <w:rsid w:val="00173B83"/>
    <w:rsid w:val="00173BF1"/>
    <w:rsid w:val="00173C4C"/>
    <w:rsid w:val="00173D14"/>
    <w:rsid w:val="0017422A"/>
    <w:rsid w:val="0017436E"/>
    <w:rsid w:val="00174400"/>
    <w:rsid w:val="00174404"/>
    <w:rsid w:val="00174413"/>
    <w:rsid w:val="00174566"/>
    <w:rsid w:val="0017463E"/>
    <w:rsid w:val="001746C1"/>
    <w:rsid w:val="00174720"/>
    <w:rsid w:val="00174734"/>
    <w:rsid w:val="00174807"/>
    <w:rsid w:val="001748E9"/>
    <w:rsid w:val="001749A5"/>
    <w:rsid w:val="00174A09"/>
    <w:rsid w:val="00174B3B"/>
    <w:rsid w:val="00174BE8"/>
    <w:rsid w:val="001751D4"/>
    <w:rsid w:val="00175232"/>
    <w:rsid w:val="00175443"/>
    <w:rsid w:val="00175669"/>
    <w:rsid w:val="00175EAF"/>
    <w:rsid w:val="00176025"/>
    <w:rsid w:val="00176028"/>
    <w:rsid w:val="00176048"/>
    <w:rsid w:val="001763EE"/>
    <w:rsid w:val="0017642E"/>
    <w:rsid w:val="00176479"/>
    <w:rsid w:val="0017660D"/>
    <w:rsid w:val="00176A9D"/>
    <w:rsid w:val="00176F36"/>
    <w:rsid w:val="0017700E"/>
    <w:rsid w:val="001770F1"/>
    <w:rsid w:val="0017718F"/>
    <w:rsid w:val="001771AC"/>
    <w:rsid w:val="00177266"/>
    <w:rsid w:val="00177461"/>
    <w:rsid w:val="00177597"/>
    <w:rsid w:val="0017789A"/>
    <w:rsid w:val="001778EA"/>
    <w:rsid w:val="0017795D"/>
    <w:rsid w:val="00177B10"/>
    <w:rsid w:val="00177BDC"/>
    <w:rsid w:val="00177E83"/>
    <w:rsid w:val="0018035F"/>
    <w:rsid w:val="00180397"/>
    <w:rsid w:val="0018060E"/>
    <w:rsid w:val="0018063E"/>
    <w:rsid w:val="00180752"/>
    <w:rsid w:val="00180A9E"/>
    <w:rsid w:val="00180C33"/>
    <w:rsid w:val="00181020"/>
    <w:rsid w:val="001810D3"/>
    <w:rsid w:val="00181141"/>
    <w:rsid w:val="0018119B"/>
    <w:rsid w:val="001814F7"/>
    <w:rsid w:val="001816C8"/>
    <w:rsid w:val="0018171F"/>
    <w:rsid w:val="00181778"/>
    <w:rsid w:val="00181821"/>
    <w:rsid w:val="0018193F"/>
    <w:rsid w:val="00181CD8"/>
    <w:rsid w:val="00181CEC"/>
    <w:rsid w:val="00181D57"/>
    <w:rsid w:val="00181EF9"/>
    <w:rsid w:val="00181F77"/>
    <w:rsid w:val="00181FDE"/>
    <w:rsid w:val="00182095"/>
    <w:rsid w:val="001820A3"/>
    <w:rsid w:val="001823AA"/>
    <w:rsid w:val="001823EC"/>
    <w:rsid w:val="00182532"/>
    <w:rsid w:val="0018263B"/>
    <w:rsid w:val="0018269A"/>
    <w:rsid w:val="001826B2"/>
    <w:rsid w:val="001826DD"/>
    <w:rsid w:val="00182758"/>
    <w:rsid w:val="00182818"/>
    <w:rsid w:val="0018289A"/>
    <w:rsid w:val="001828EF"/>
    <w:rsid w:val="00182F84"/>
    <w:rsid w:val="001830FA"/>
    <w:rsid w:val="00183361"/>
    <w:rsid w:val="00183577"/>
    <w:rsid w:val="001836AA"/>
    <w:rsid w:val="00183EA6"/>
    <w:rsid w:val="001840BB"/>
    <w:rsid w:val="00184239"/>
    <w:rsid w:val="001844A4"/>
    <w:rsid w:val="001845F1"/>
    <w:rsid w:val="00184637"/>
    <w:rsid w:val="0018478F"/>
    <w:rsid w:val="00184CCB"/>
    <w:rsid w:val="00184CF2"/>
    <w:rsid w:val="00184F3B"/>
    <w:rsid w:val="00184F70"/>
    <w:rsid w:val="00184FA5"/>
    <w:rsid w:val="0018512B"/>
    <w:rsid w:val="00185189"/>
    <w:rsid w:val="0018526E"/>
    <w:rsid w:val="0018531C"/>
    <w:rsid w:val="0018539F"/>
    <w:rsid w:val="001853B8"/>
    <w:rsid w:val="001855CD"/>
    <w:rsid w:val="001855F2"/>
    <w:rsid w:val="001859E1"/>
    <w:rsid w:val="00185B01"/>
    <w:rsid w:val="00185B4B"/>
    <w:rsid w:val="00185CC0"/>
    <w:rsid w:val="001861A0"/>
    <w:rsid w:val="00186235"/>
    <w:rsid w:val="0018672B"/>
    <w:rsid w:val="00186BA0"/>
    <w:rsid w:val="00186F42"/>
    <w:rsid w:val="00186F73"/>
    <w:rsid w:val="001870E9"/>
    <w:rsid w:val="001871AE"/>
    <w:rsid w:val="001873B4"/>
    <w:rsid w:val="001873D0"/>
    <w:rsid w:val="0018756F"/>
    <w:rsid w:val="00187588"/>
    <w:rsid w:val="00187679"/>
    <w:rsid w:val="001877C6"/>
    <w:rsid w:val="00187B4E"/>
    <w:rsid w:val="00187C2D"/>
    <w:rsid w:val="00187CE0"/>
    <w:rsid w:val="00187DF1"/>
    <w:rsid w:val="00187F91"/>
    <w:rsid w:val="00190097"/>
    <w:rsid w:val="00190280"/>
    <w:rsid w:val="0019046F"/>
    <w:rsid w:val="00190597"/>
    <w:rsid w:val="00190861"/>
    <w:rsid w:val="00190A88"/>
    <w:rsid w:val="00190A97"/>
    <w:rsid w:val="00190AEA"/>
    <w:rsid w:val="00190C27"/>
    <w:rsid w:val="0019108A"/>
    <w:rsid w:val="001911EA"/>
    <w:rsid w:val="001913CB"/>
    <w:rsid w:val="0019154D"/>
    <w:rsid w:val="0019155C"/>
    <w:rsid w:val="00191A32"/>
    <w:rsid w:val="0019217E"/>
    <w:rsid w:val="001921EE"/>
    <w:rsid w:val="001921F8"/>
    <w:rsid w:val="001922C2"/>
    <w:rsid w:val="00192416"/>
    <w:rsid w:val="00192537"/>
    <w:rsid w:val="00192548"/>
    <w:rsid w:val="001926A8"/>
    <w:rsid w:val="001926D0"/>
    <w:rsid w:val="00192D01"/>
    <w:rsid w:val="00192E39"/>
    <w:rsid w:val="00192FA0"/>
    <w:rsid w:val="0019304E"/>
    <w:rsid w:val="00193389"/>
    <w:rsid w:val="001933A9"/>
    <w:rsid w:val="00193598"/>
    <w:rsid w:val="0019363E"/>
    <w:rsid w:val="00193A3A"/>
    <w:rsid w:val="00193D01"/>
    <w:rsid w:val="00193EC4"/>
    <w:rsid w:val="00193EDD"/>
    <w:rsid w:val="00193F43"/>
    <w:rsid w:val="001940CD"/>
    <w:rsid w:val="001940E3"/>
    <w:rsid w:val="00194400"/>
    <w:rsid w:val="00194472"/>
    <w:rsid w:val="001946F3"/>
    <w:rsid w:val="001948A4"/>
    <w:rsid w:val="001948C1"/>
    <w:rsid w:val="001949DB"/>
    <w:rsid w:val="00194ABE"/>
    <w:rsid w:val="00194ACA"/>
    <w:rsid w:val="00194C7C"/>
    <w:rsid w:val="00194E1E"/>
    <w:rsid w:val="00194E38"/>
    <w:rsid w:val="00194FF5"/>
    <w:rsid w:val="001951B2"/>
    <w:rsid w:val="00195791"/>
    <w:rsid w:val="00195C5C"/>
    <w:rsid w:val="00195D71"/>
    <w:rsid w:val="00195EF0"/>
    <w:rsid w:val="00195FB5"/>
    <w:rsid w:val="0019612E"/>
    <w:rsid w:val="00196184"/>
    <w:rsid w:val="0019619C"/>
    <w:rsid w:val="00196202"/>
    <w:rsid w:val="001965A8"/>
    <w:rsid w:val="00196725"/>
    <w:rsid w:val="001967ED"/>
    <w:rsid w:val="00196807"/>
    <w:rsid w:val="0019697F"/>
    <w:rsid w:val="00196B1E"/>
    <w:rsid w:val="00196E35"/>
    <w:rsid w:val="00196E77"/>
    <w:rsid w:val="001971DF"/>
    <w:rsid w:val="00197291"/>
    <w:rsid w:val="0019751A"/>
    <w:rsid w:val="00197692"/>
    <w:rsid w:val="001977A0"/>
    <w:rsid w:val="00197821"/>
    <w:rsid w:val="0019784A"/>
    <w:rsid w:val="001978D0"/>
    <w:rsid w:val="00197A3A"/>
    <w:rsid w:val="00197ABE"/>
    <w:rsid w:val="00197CAF"/>
    <w:rsid w:val="00197FBB"/>
    <w:rsid w:val="001A0037"/>
    <w:rsid w:val="001A00CA"/>
    <w:rsid w:val="001A03F4"/>
    <w:rsid w:val="001A04D2"/>
    <w:rsid w:val="001A074F"/>
    <w:rsid w:val="001A08F2"/>
    <w:rsid w:val="001A0D2A"/>
    <w:rsid w:val="001A0ED6"/>
    <w:rsid w:val="001A0FCF"/>
    <w:rsid w:val="001A1693"/>
    <w:rsid w:val="001A19A3"/>
    <w:rsid w:val="001A1AFD"/>
    <w:rsid w:val="001A1B13"/>
    <w:rsid w:val="001A1BAB"/>
    <w:rsid w:val="001A1D06"/>
    <w:rsid w:val="001A1DBD"/>
    <w:rsid w:val="001A1DE3"/>
    <w:rsid w:val="001A1E09"/>
    <w:rsid w:val="001A1FD5"/>
    <w:rsid w:val="001A215C"/>
    <w:rsid w:val="001A2173"/>
    <w:rsid w:val="001A2334"/>
    <w:rsid w:val="001A2424"/>
    <w:rsid w:val="001A2471"/>
    <w:rsid w:val="001A25A7"/>
    <w:rsid w:val="001A26C4"/>
    <w:rsid w:val="001A28F9"/>
    <w:rsid w:val="001A2A49"/>
    <w:rsid w:val="001A2B34"/>
    <w:rsid w:val="001A2D5E"/>
    <w:rsid w:val="001A2E03"/>
    <w:rsid w:val="001A308A"/>
    <w:rsid w:val="001A31EC"/>
    <w:rsid w:val="001A329B"/>
    <w:rsid w:val="001A32EC"/>
    <w:rsid w:val="001A3309"/>
    <w:rsid w:val="001A348C"/>
    <w:rsid w:val="001A34BC"/>
    <w:rsid w:val="001A39D0"/>
    <w:rsid w:val="001A3A0E"/>
    <w:rsid w:val="001A3B78"/>
    <w:rsid w:val="001A3C24"/>
    <w:rsid w:val="001A3C60"/>
    <w:rsid w:val="001A3D8B"/>
    <w:rsid w:val="001A3E2E"/>
    <w:rsid w:val="001A3EFD"/>
    <w:rsid w:val="001A4108"/>
    <w:rsid w:val="001A415A"/>
    <w:rsid w:val="001A433F"/>
    <w:rsid w:val="001A43FF"/>
    <w:rsid w:val="001A4546"/>
    <w:rsid w:val="001A4622"/>
    <w:rsid w:val="001A479B"/>
    <w:rsid w:val="001A486B"/>
    <w:rsid w:val="001A48A6"/>
    <w:rsid w:val="001A4BB1"/>
    <w:rsid w:val="001A4E79"/>
    <w:rsid w:val="001A514E"/>
    <w:rsid w:val="001A5198"/>
    <w:rsid w:val="001A5275"/>
    <w:rsid w:val="001A52DE"/>
    <w:rsid w:val="001A55E4"/>
    <w:rsid w:val="001A570B"/>
    <w:rsid w:val="001A5837"/>
    <w:rsid w:val="001A5956"/>
    <w:rsid w:val="001A5A1B"/>
    <w:rsid w:val="001A5A23"/>
    <w:rsid w:val="001A5A36"/>
    <w:rsid w:val="001A5A5E"/>
    <w:rsid w:val="001A5CAC"/>
    <w:rsid w:val="001A6145"/>
    <w:rsid w:val="001A63FB"/>
    <w:rsid w:val="001A6459"/>
    <w:rsid w:val="001A6AA2"/>
    <w:rsid w:val="001A6AC9"/>
    <w:rsid w:val="001A6B41"/>
    <w:rsid w:val="001A6FA7"/>
    <w:rsid w:val="001A7115"/>
    <w:rsid w:val="001A7597"/>
    <w:rsid w:val="001A7689"/>
    <w:rsid w:val="001A77D9"/>
    <w:rsid w:val="001A7848"/>
    <w:rsid w:val="001B015E"/>
    <w:rsid w:val="001B0236"/>
    <w:rsid w:val="001B0301"/>
    <w:rsid w:val="001B030C"/>
    <w:rsid w:val="001B03B3"/>
    <w:rsid w:val="001B04FE"/>
    <w:rsid w:val="001B065A"/>
    <w:rsid w:val="001B0856"/>
    <w:rsid w:val="001B0ACE"/>
    <w:rsid w:val="001B0E99"/>
    <w:rsid w:val="001B11AF"/>
    <w:rsid w:val="001B1481"/>
    <w:rsid w:val="001B16AA"/>
    <w:rsid w:val="001B2051"/>
    <w:rsid w:val="001B2139"/>
    <w:rsid w:val="001B21A9"/>
    <w:rsid w:val="001B21F4"/>
    <w:rsid w:val="001B2352"/>
    <w:rsid w:val="001B24C3"/>
    <w:rsid w:val="001B26CA"/>
    <w:rsid w:val="001B2916"/>
    <w:rsid w:val="001B2A4F"/>
    <w:rsid w:val="001B2A64"/>
    <w:rsid w:val="001B2C35"/>
    <w:rsid w:val="001B2E94"/>
    <w:rsid w:val="001B3297"/>
    <w:rsid w:val="001B35B6"/>
    <w:rsid w:val="001B36EA"/>
    <w:rsid w:val="001B3ADF"/>
    <w:rsid w:val="001B42FF"/>
    <w:rsid w:val="001B4380"/>
    <w:rsid w:val="001B43AB"/>
    <w:rsid w:val="001B47B1"/>
    <w:rsid w:val="001B4CB2"/>
    <w:rsid w:val="001B4D0B"/>
    <w:rsid w:val="001B4D0D"/>
    <w:rsid w:val="001B4D26"/>
    <w:rsid w:val="001B4DF0"/>
    <w:rsid w:val="001B4E0E"/>
    <w:rsid w:val="001B4F1C"/>
    <w:rsid w:val="001B511D"/>
    <w:rsid w:val="001B5121"/>
    <w:rsid w:val="001B517A"/>
    <w:rsid w:val="001B533E"/>
    <w:rsid w:val="001B5345"/>
    <w:rsid w:val="001B53D8"/>
    <w:rsid w:val="001B5453"/>
    <w:rsid w:val="001B5464"/>
    <w:rsid w:val="001B5887"/>
    <w:rsid w:val="001B5B59"/>
    <w:rsid w:val="001B5D48"/>
    <w:rsid w:val="001B5FF4"/>
    <w:rsid w:val="001B6061"/>
    <w:rsid w:val="001B60DD"/>
    <w:rsid w:val="001B6161"/>
    <w:rsid w:val="001B659E"/>
    <w:rsid w:val="001B68EA"/>
    <w:rsid w:val="001B6C72"/>
    <w:rsid w:val="001B6DAB"/>
    <w:rsid w:val="001B6FF0"/>
    <w:rsid w:val="001B7104"/>
    <w:rsid w:val="001B71C6"/>
    <w:rsid w:val="001B742D"/>
    <w:rsid w:val="001B7A58"/>
    <w:rsid w:val="001B7BAA"/>
    <w:rsid w:val="001B7D64"/>
    <w:rsid w:val="001B7E31"/>
    <w:rsid w:val="001C002C"/>
    <w:rsid w:val="001C041E"/>
    <w:rsid w:val="001C067C"/>
    <w:rsid w:val="001C07B3"/>
    <w:rsid w:val="001C0CCC"/>
    <w:rsid w:val="001C0CD4"/>
    <w:rsid w:val="001C0D29"/>
    <w:rsid w:val="001C0E52"/>
    <w:rsid w:val="001C1181"/>
    <w:rsid w:val="001C1232"/>
    <w:rsid w:val="001C1298"/>
    <w:rsid w:val="001C12EA"/>
    <w:rsid w:val="001C152A"/>
    <w:rsid w:val="001C167D"/>
    <w:rsid w:val="001C1904"/>
    <w:rsid w:val="001C1A8A"/>
    <w:rsid w:val="001C1B45"/>
    <w:rsid w:val="001C1FD8"/>
    <w:rsid w:val="001C2111"/>
    <w:rsid w:val="001C23A7"/>
    <w:rsid w:val="001C2673"/>
    <w:rsid w:val="001C26EC"/>
    <w:rsid w:val="001C27CA"/>
    <w:rsid w:val="001C285B"/>
    <w:rsid w:val="001C292C"/>
    <w:rsid w:val="001C30BF"/>
    <w:rsid w:val="001C3241"/>
    <w:rsid w:val="001C337F"/>
    <w:rsid w:val="001C3495"/>
    <w:rsid w:val="001C34D5"/>
    <w:rsid w:val="001C3E44"/>
    <w:rsid w:val="001C4324"/>
    <w:rsid w:val="001C46F1"/>
    <w:rsid w:val="001C4956"/>
    <w:rsid w:val="001C4A57"/>
    <w:rsid w:val="001C4AE9"/>
    <w:rsid w:val="001C4BBE"/>
    <w:rsid w:val="001C4CB3"/>
    <w:rsid w:val="001C4DBF"/>
    <w:rsid w:val="001C4EB6"/>
    <w:rsid w:val="001C4FDF"/>
    <w:rsid w:val="001C5433"/>
    <w:rsid w:val="001C5546"/>
    <w:rsid w:val="001C5638"/>
    <w:rsid w:val="001C5749"/>
    <w:rsid w:val="001C5759"/>
    <w:rsid w:val="001C5A6C"/>
    <w:rsid w:val="001C5B31"/>
    <w:rsid w:val="001C5C60"/>
    <w:rsid w:val="001C5DAA"/>
    <w:rsid w:val="001C5DB9"/>
    <w:rsid w:val="001C6201"/>
    <w:rsid w:val="001C644F"/>
    <w:rsid w:val="001C65A7"/>
    <w:rsid w:val="001C6849"/>
    <w:rsid w:val="001C6932"/>
    <w:rsid w:val="001C696D"/>
    <w:rsid w:val="001C6997"/>
    <w:rsid w:val="001C69D8"/>
    <w:rsid w:val="001C6A96"/>
    <w:rsid w:val="001C6AD6"/>
    <w:rsid w:val="001C6C5B"/>
    <w:rsid w:val="001C6D5E"/>
    <w:rsid w:val="001C7013"/>
    <w:rsid w:val="001C70CC"/>
    <w:rsid w:val="001C7260"/>
    <w:rsid w:val="001C72F5"/>
    <w:rsid w:val="001C7367"/>
    <w:rsid w:val="001C7422"/>
    <w:rsid w:val="001C7456"/>
    <w:rsid w:val="001C79FB"/>
    <w:rsid w:val="001C7C80"/>
    <w:rsid w:val="001C7EA1"/>
    <w:rsid w:val="001C7EA9"/>
    <w:rsid w:val="001D006D"/>
    <w:rsid w:val="001D0105"/>
    <w:rsid w:val="001D0115"/>
    <w:rsid w:val="001D0402"/>
    <w:rsid w:val="001D0404"/>
    <w:rsid w:val="001D046A"/>
    <w:rsid w:val="001D0720"/>
    <w:rsid w:val="001D074B"/>
    <w:rsid w:val="001D0794"/>
    <w:rsid w:val="001D0CA2"/>
    <w:rsid w:val="001D0D71"/>
    <w:rsid w:val="001D0EDB"/>
    <w:rsid w:val="001D0F59"/>
    <w:rsid w:val="001D1190"/>
    <w:rsid w:val="001D1191"/>
    <w:rsid w:val="001D15FB"/>
    <w:rsid w:val="001D191D"/>
    <w:rsid w:val="001D1A33"/>
    <w:rsid w:val="001D1BFE"/>
    <w:rsid w:val="001D1CCC"/>
    <w:rsid w:val="001D2792"/>
    <w:rsid w:val="001D2871"/>
    <w:rsid w:val="001D29ED"/>
    <w:rsid w:val="001D2B57"/>
    <w:rsid w:val="001D2E3D"/>
    <w:rsid w:val="001D2EED"/>
    <w:rsid w:val="001D2F42"/>
    <w:rsid w:val="001D2F9E"/>
    <w:rsid w:val="001D33CC"/>
    <w:rsid w:val="001D367F"/>
    <w:rsid w:val="001D370E"/>
    <w:rsid w:val="001D3878"/>
    <w:rsid w:val="001D3993"/>
    <w:rsid w:val="001D39F5"/>
    <w:rsid w:val="001D3C41"/>
    <w:rsid w:val="001D3C5C"/>
    <w:rsid w:val="001D3E88"/>
    <w:rsid w:val="001D4335"/>
    <w:rsid w:val="001D463E"/>
    <w:rsid w:val="001D46CA"/>
    <w:rsid w:val="001D486C"/>
    <w:rsid w:val="001D48BB"/>
    <w:rsid w:val="001D495E"/>
    <w:rsid w:val="001D514D"/>
    <w:rsid w:val="001D540E"/>
    <w:rsid w:val="001D56E9"/>
    <w:rsid w:val="001D58F2"/>
    <w:rsid w:val="001D5902"/>
    <w:rsid w:val="001D5B3C"/>
    <w:rsid w:val="001D5F94"/>
    <w:rsid w:val="001D6335"/>
    <w:rsid w:val="001D6482"/>
    <w:rsid w:val="001D6489"/>
    <w:rsid w:val="001D657F"/>
    <w:rsid w:val="001D6607"/>
    <w:rsid w:val="001D668D"/>
    <w:rsid w:val="001D671A"/>
    <w:rsid w:val="001D6862"/>
    <w:rsid w:val="001D6ACD"/>
    <w:rsid w:val="001D6B64"/>
    <w:rsid w:val="001D6C5A"/>
    <w:rsid w:val="001D6D8F"/>
    <w:rsid w:val="001D6EA3"/>
    <w:rsid w:val="001D6EBB"/>
    <w:rsid w:val="001D6FD2"/>
    <w:rsid w:val="001D7048"/>
    <w:rsid w:val="001D71A2"/>
    <w:rsid w:val="001D74DA"/>
    <w:rsid w:val="001D7792"/>
    <w:rsid w:val="001D7810"/>
    <w:rsid w:val="001D79A5"/>
    <w:rsid w:val="001D79BE"/>
    <w:rsid w:val="001D7D4C"/>
    <w:rsid w:val="001D7E29"/>
    <w:rsid w:val="001D7FBA"/>
    <w:rsid w:val="001E028B"/>
    <w:rsid w:val="001E0363"/>
    <w:rsid w:val="001E0944"/>
    <w:rsid w:val="001E11F2"/>
    <w:rsid w:val="001E1376"/>
    <w:rsid w:val="001E1400"/>
    <w:rsid w:val="001E15F2"/>
    <w:rsid w:val="001E1685"/>
    <w:rsid w:val="001E182D"/>
    <w:rsid w:val="001E19CA"/>
    <w:rsid w:val="001E1A11"/>
    <w:rsid w:val="001E1A16"/>
    <w:rsid w:val="001E1A9C"/>
    <w:rsid w:val="001E1D42"/>
    <w:rsid w:val="001E1E2A"/>
    <w:rsid w:val="001E1F6E"/>
    <w:rsid w:val="001E248F"/>
    <w:rsid w:val="001E293D"/>
    <w:rsid w:val="001E2E6D"/>
    <w:rsid w:val="001E3088"/>
    <w:rsid w:val="001E3283"/>
    <w:rsid w:val="001E33D7"/>
    <w:rsid w:val="001E37CB"/>
    <w:rsid w:val="001E39DA"/>
    <w:rsid w:val="001E3A3F"/>
    <w:rsid w:val="001E3B3E"/>
    <w:rsid w:val="001E3DA8"/>
    <w:rsid w:val="001E3F7C"/>
    <w:rsid w:val="001E4010"/>
    <w:rsid w:val="001E40B2"/>
    <w:rsid w:val="001E4256"/>
    <w:rsid w:val="001E433D"/>
    <w:rsid w:val="001E435A"/>
    <w:rsid w:val="001E43D3"/>
    <w:rsid w:val="001E461C"/>
    <w:rsid w:val="001E4784"/>
    <w:rsid w:val="001E4A34"/>
    <w:rsid w:val="001E4BC0"/>
    <w:rsid w:val="001E4C99"/>
    <w:rsid w:val="001E50D9"/>
    <w:rsid w:val="001E5576"/>
    <w:rsid w:val="001E56FE"/>
    <w:rsid w:val="001E59AE"/>
    <w:rsid w:val="001E5A3E"/>
    <w:rsid w:val="001E5E03"/>
    <w:rsid w:val="001E600F"/>
    <w:rsid w:val="001E6659"/>
    <w:rsid w:val="001E6668"/>
    <w:rsid w:val="001E66B7"/>
    <w:rsid w:val="001E6799"/>
    <w:rsid w:val="001E6ADB"/>
    <w:rsid w:val="001E6AEA"/>
    <w:rsid w:val="001E6B61"/>
    <w:rsid w:val="001E6DF3"/>
    <w:rsid w:val="001E6E49"/>
    <w:rsid w:val="001E6E88"/>
    <w:rsid w:val="001E737D"/>
    <w:rsid w:val="001E74A7"/>
    <w:rsid w:val="001E794B"/>
    <w:rsid w:val="001E7A4E"/>
    <w:rsid w:val="001F0174"/>
    <w:rsid w:val="001F020D"/>
    <w:rsid w:val="001F031D"/>
    <w:rsid w:val="001F0598"/>
    <w:rsid w:val="001F06A9"/>
    <w:rsid w:val="001F08B3"/>
    <w:rsid w:val="001F0940"/>
    <w:rsid w:val="001F0AE2"/>
    <w:rsid w:val="001F0B0B"/>
    <w:rsid w:val="001F0CA9"/>
    <w:rsid w:val="001F0D9B"/>
    <w:rsid w:val="001F1073"/>
    <w:rsid w:val="001F1BBC"/>
    <w:rsid w:val="001F1BEF"/>
    <w:rsid w:val="001F1C41"/>
    <w:rsid w:val="001F1DCD"/>
    <w:rsid w:val="001F1FAB"/>
    <w:rsid w:val="001F2040"/>
    <w:rsid w:val="001F2141"/>
    <w:rsid w:val="001F2365"/>
    <w:rsid w:val="001F2523"/>
    <w:rsid w:val="001F25FE"/>
    <w:rsid w:val="001F2BCB"/>
    <w:rsid w:val="001F2D50"/>
    <w:rsid w:val="001F2EFC"/>
    <w:rsid w:val="001F31F1"/>
    <w:rsid w:val="001F33DF"/>
    <w:rsid w:val="001F35CB"/>
    <w:rsid w:val="001F3923"/>
    <w:rsid w:val="001F392C"/>
    <w:rsid w:val="001F397F"/>
    <w:rsid w:val="001F39B5"/>
    <w:rsid w:val="001F3C61"/>
    <w:rsid w:val="001F3DBE"/>
    <w:rsid w:val="001F3E95"/>
    <w:rsid w:val="001F4324"/>
    <w:rsid w:val="001F44D4"/>
    <w:rsid w:val="001F48E2"/>
    <w:rsid w:val="001F4B02"/>
    <w:rsid w:val="001F4B1D"/>
    <w:rsid w:val="001F4C55"/>
    <w:rsid w:val="001F5044"/>
    <w:rsid w:val="001F50D1"/>
    <w:rsid w:val="001F522D"/>
    <w:rsid w:val="001F52E5"/>
    <w:rsid w:val="001F5660"/>
    <w:rsid w:val="001F5934"/>
    <w:rsid w:val="001F5944"/>
    <w:rsid w:val="001F5A45"/>
    <w:rsid w:val="001F5B2B"/>
    <w:rsid w:val="001F5B2E"/>
    <w:rsid w:val="001F5B95"/>
    <w:rsid w:val="001F5C17"/>
    <w:rsid w:val="001F5DA7"/>
    <w:rsid w:val="001F5DBC"/>
    <w:rsid w:val="001F5E35"/>
    <w:rsid w:val="001F605C"/>
    <w:rsid w:val="001F6197"/>
    <w:rsid w:val="001F631E"/>
    <w:rsid w:val="001F6985"/>
    <w:rsid w:val="001F6992"/>
    <w:rsid w:val="001F69F5"/>
    <w:rsid w:val="001F6A45"/>
    <w:rsid w:val="001F6B5D"/>
    <w:rsid w:val="001F6C4B"/>
    <w:rsid w:val="001F7204"/>
    <w:rsid w:val="001F7297"/>
    <w:rsid w:val="001F7409"/>
    <w:rsid w:val="001F7507"/>
    <w:rsid w:val="001F7A8F"/>
    <w:rsid w:val="001F7AFD"/>
    <w:rsid w:val="001F7E94"/>
    <w:rsid w:val="00200219"/>
    <w:rsid w:val="00200387"/>
    <w:rsid w:val="00200522"/>
    <w:rsid w:val="0020067B"/>
    <w:rsid w:val="00200685"/>
    <w:rsid w:val="002007A8"/>
    <w:rsid w:val="00200823"/>
    <w:rsid w:val="002008B7"/>
    <w:rsid w:val="002008C6"/>
    <w:rsid w:val="00200ABC"/>
    <w:rsid w:val="00200C69"/>
    <w:rsid w:val="00200C77"/>
    <w:rsid w:val="00200FB0"/>
    <w:rsid w:val="00201088"/>
    <w:rsid w:val="002010C8"/>
    <w:rsid w:val="002011A0"/>
    <w:rsid w:val="00201213"/>
    <w:rsid w:val="0020121E"/>
    <w:rsid w:val="002015DA"/>
    <w:rsid w:val="00201937"/>
    <w:rsid w:val="00201CA3"/>
    <w:rsid w:val="00201D59"/>
    <w:rsid w:val="00202079"/>
    <w:rsid w:val="002020FA"/>
    <w:rsid w:val="002021A1"/>
    <w:rsid w:val="002021AC"/>
    <w:rsid w:val="00202757"/>
    <w:rsid w:val="00202881"/>
    <w:rsid w:val="00202AD4"/>
    <w:rsid w:val="00202BD9"/>
    <w:rsid w:val="00202C30"/>
    <w:rsid w:val="00202F0B"/>
    <w:rsid w:val="002033DD"/>
    <w:rsid w:val="002036CF"/>
    <w:rsid w:val="00203897"/>
    <w:rsid w:val="002039C9"/>
    <w:rsid w:val="00203C42"/>
    <w:rsid w:val="00203CBF"/>
    <w:rsid w:val="00203EC0"/>
    <w:rsid w:val="00203F39"/>
    <w:rsid w:val="00203F4B"/>
    <w:rsid w:val="00203F4D"/>
    <w:rsid w:val="00204163"/>
    <w:rsid w:val="00204296"/>
    <w:rsid w:val="002042F0"/>
    <w:rsid w:val="00204578"/>
    <w:rsid w:val="002046A5"/>
    <w:rsid w:val="00204831"/>
    <w:rsid w:val="00204B2A"/>
    <w:rsid w:val="00204C8D"/>
    <w:rsid w:val="002050F7"/>
    <w:rsid w:val="002052D9"/>
    <w:rsid w:val="002054AC"/>
    <w:rsid w:val="00205E03"/>
    <w:rsid w:val="00205E3C"/>
    <w:rsid w:val="00205E46"/>
    <w:rsid w:val="00205F7B"/>
    <w:rsid w:val="00205FDD"/>
    <w:rsid w:val="002060EC"/>
    <w:rsid w:val="002062B9"/>
    <w:rsid w:val="00206375"/>
    <w:rsid w:val="002064CA"/>
    <w:rsid w:val="0020660E"/>
    <w:rsid w:val="00206933"/>
    <w:rsid w:val="0020693D"/>
    <w:rsid w:val="00206BE3"/>
    <w:rsid w:val="00206CAE"/>
    <w:rsid w:val="00206DB1"/>
    <w:rsid w:val="00206E54"/>
    <w:rsid w:val="00206FC5"/>
    <w:rsid w:val="002070EF"/>
    <w:rsid w:val="00207148"/>
    <w:rsid w:val="002072EE"/>
    <w:rsid w:val="00207405"/>
    <w:rsid w:val="00207618"/>
    <w:rsid w:val="00207673"/>
    <w:rsid w:val="002078B5"/>
    <w:rsid w:val="00207984"/>
    <w:rsid w:val="00207DE8"/>
    <w:rsid w:val="0021025A"/>
    <w:rsid w:val="002104DB"/>
    <w:rsid w:val="00210849"/>
    <w:rsid w:val="00210B38"/>
    <w:rsid w:val="00210B77"/>
    <w:rsid w:val="0021123E"/>
    <w:rsid w:val="0021126A"/>
    <w:rsid w:val="00211446"/>
    <w:rsid w:val="00211506"/>
    <w:rsid w:val="00211743"/>
    <w:rsid w:val="00211870"/>
    <w:rsid w:val="00211A9B"/>
    <w:rsid w:val="00211AF8"/>
    <w:rsid w:val="00211E8A"/>
    <w:rsid w:val="00212185"/>
    <w:rsid w:val="002123BA"/>
    <w:rsid w:val="00212438"/>
    <w:rsid w:val="002128FD"/>
    <w:rsid w:val="00212BEE"/>
    <w:rsid w:val="00212C64"/>
    <w:rsid w:val="00212D63"/>
    <w:rsid w:val="00212D72"/>
    <w:rsid w:val="00212E04"/>
    <w:rsid w:val="00212F38"/>
    <w:rsid w:val="00213017"/>
    <w:rsid w:val="0021301C"/>
    <w:rsid w:val="00213255"/>
    <w:rsid w:val="00213325"/>
    <w:rsid w:val="002133DE"/>
    <w:rsid w:val="00213454"/>
    <w:rsid w:val="002135E7"/>
    <w:rsid w:val="002138F7"/>
    <w:rsid w:val="0021390E"/>
    <w:rsid w:val="00213AED"/>
    <w:rsid w:val="00213C3F"/>
    <w:rsid w:val="00213E7C"/>
    <w:rsid w:val="002141B5"/>
    <w:rsid w:val="00214934"/>
    <w:rsid w:val="00214A0A"/>
    <w:rsid w:val="00214AC5"/>
    <w:rsid w:val="00214B8C"/>
    <w:rsid w:val="00214FE8"/>
    <w:rsid w:val="0021509C"/>
    <w:rsid w:val="002150DF"/>
    <w:rsid w:val="00215233"/>
    <w:rsid w:val="00215471"/>
    <w:rsid w:val="002155EB"/>
    <w:rsid w:val="002156EE"/>
    <w:rsid w:val="002159B4"/>
    <w:rsid w:val="00215D1F"/>
    <w:rsid w:val="00215E15"/>
    <w:rsid w:val="00215FB3"/>
    <w:rsid w:val="00216196"/>
    <w:rsid w:val="00216510"/>
    <w:rsid w:val="0021675B"/>
    <w:rsid w:val="002168FB"/>
    <w:rsid w:val="002169C5"/>
    <w:rsid w:val="00216A3A"/>
    <w:rsid w:val="00216EB1"/>
    <w:rsid w:val="002170BA"/>
    <w:rsid w:val="0021717D"/>
    <w:rsid w:val="0021731E"/>
    <w:rsid w:val="002173AD"/>
    <w:rsid w:val="00217405"/>
    <w:rsid w:val="0021740B"/>
    <w:rsid w:val="002174FF"/>
    <w:rsid w:val="0021751B"/>
    <w:rsid w:val="002176EB"/>
    <w:rsid w:val="00217721"/>
    <w:rsid w:val="00217761"/>
    <w:rsid w:val="002177DD"/>
    <w:rsid w:val="00217911"/>
    <w:rsid w:val="0021792A"/>
    <w:rsid w:val="00217A4A"/>
    <w:rsid w:val="00217C53"/>
    <w:rsid w:val="00217EC8"/>
    <w:rsid w:val="00217EE1"/>
    <w:rsid w:val="00217F04"/>
    <w:rsid w:val="0022051F"/>
    <w:rsid w:val="0022094C"/>
    <w:rsid w:val="002209F1"/>
    <w:rsid w:val="00220A2E"/>
    <w:rsid w:val="00220AA1"/>
    <w:rsid w:val="00220E58"/>
    <w:rsid w:val="00220EC7"/>
    <w:rsid w:val="00220F4B"/>
    <w:rsid w:val="00221304"/>
    <w:rsid w:val="0022157E"/>
    <w:rsid w:val="002215A2"/>
    <w:rsid w:val="002216CF"/>
    <w:rsid w:val="0022176C"/>
    <w:rsid w:val="002217C3"/>
    <w:rsid w:val="00221964"/>
    <w:rsid w:val="002219CF"/>
    <w:rsid w:val="00221D9E"/>
    <w:rsid w:val="00221E26"/>
    <w:rsid w:val="0022200E"/>
    <w:rsid w:val="00222041"/>
    <w:rsid w:val="002222B5"/>
    <w:rsid w:val="00222328"/>
    <w:rsid w:val="002224A0"/>
    <w:rsid w:val="0022250C"/>
    <w:rsid w:val="00222820"/>
    <w:rsid w:val="002229A7"/>
    <w:rsid w:val="00222D46"/>
    <w:rsid w:val="00222D71"/>
    <w:rsid w:val="00223250"/>
    <w:rsid w:val="00223336"/>
    <w:rsid w:val="002233D8"/>
    <w:rsid w:val="002234C6"/>
    <w:rsid w:val="0022355C"/>
    <w:rsid w:val="002236F6"/>
    <w:rsid w:val="00223904"/>
    <w:rsid w:val="00223A05"/>
    <w:rsid w:val="00223AEB"/>
    <w:rsid w:val="00223B7B"/>
    <w:rsid w:val="00223BD2"/>
    <w:rsid w:val="00223D1C"/>
    <w:rsid w:val="002241A8"/>
    <w:rsid w:val="002241F0"/>
    <w:rsid w:val="002242C0"/>
    <w:rsid w:val="00224300"/>
    <w:rsid w:val="00224332"/>
    <w:rsid w:val="0022448B"/>
    <w:rsid w:val="00224537"/>
    <w:rsid w:val="0022458A"/>
    <w:rsid w:val="002245AC"/>
    <w:rsid w:val="002245FE"/>
    <w:rsid w:val="00224753"/>
    <w:rsid w:val="00224776"/>
    <w:rsid w:val="00224868"/>
    <w:rsid w:val="002248B1"/>
    <w:rsid w:val="00224907"/>
    <w:rsid w:val="00224B7D"/>
    <w:rsid w:val="00224E2E"/>
    <w:rsid w:val="0022515A"/>
    <w:rsid w:val="002252B8"/>
    <w:rsid w:val="0022559E"/>
    <w:rsid w:val="002257B5"/>
    <w:rsid w:val="00225893"/>
    <w:rsid w:val="002258D7"/>
    <w:rsid w:val="00225929"/>
    <w:rsid w:val="00225AA9"/>
    <w:rsid w:val="00225AD3"/>
    <w:rsid w:val="00225B5C"/>
    <w:rsid w:val="00225BB6"/>
    <w:rsid w:val="00225C70"/>
    <w:rsid w:val="00225E1B"/>
    <w:rsid w:val="00225F23"/>
    <w:rsid w:val="00225FD8"/>
    <w:rsid w:val="00226077"/>
    <w:rsid w:val="002263F8"/>
    <w:rsid w:val="00226444"/>
    <w:rsid w:val="00226900"/>
    <w:rsid w:val="00226CDF"/>
    <w:rsid w:val="00226D20"/>
    <w:rsid w:val="00226DDC"/>
    <w:rsid w:val="00226DED"/>
    <w:rsid w:val="00226E7D"/>
    <w:rsid w:val="00226F3A"/>
    <w:rsid w:val="002273AF"/>
    <w:rsid w:val="002277BD"/>
    <w:rsid w:val="002279F1"/>
    <w:rsid w:val="00227A4B"/>
    <w:rsid w:val="00227A7E"/>
    <w:rsid w:val="00227AE9"/>
    <w:rsid w:val="00227E96"/>
    <w:rsid w:val="00227EC5"/>
    <w:rsid w:val="002300B9"/>
    <w:rsid w:val="0023047A"/>
    <w:rsid w:val="0023047E"/>
    <w:rsid w:val="0023051D"/>
    <w:rsid w:val="00230580"/>
    <w:rsid w:val="0023058F"/>
    <w:rsid w:val="00230650"/>
    <w:rsid w:val="002308AC"/>
    <w:rsid w:val="00230A3E"/>
    <w:rsid w:val="00230ABB"/>
    <w:rsid w:val="00230AD0"/>
    <w:rsid w:val="00230CCF"/>
    <w:rsid w:val="00230F20"/>
    <w:rsid w:val="00230F58"/>
    <w:rsid w:val="00231080"/>
    <w:rsid w:val="00231347"/>
    <w:rsid w:val="002313DB"/>
    <w:rsid w:val="002314D2"/>
    <w:rsid w:val="002315D0"/>
    <w:rsid w:val="002315E1"/>
    <w:rsid w:val="00231810"/>
    <w:rsid w:val="002318E6"/>
    <w:rsid w:val="00231966"/>
    <w:rsid w:val="00231A71"/>
    <w:rsid w:val="00231A82"/>
    <w:rsid w:val="00231AD6"/>
    <w:rsid w:val="00231BF0"/>
    <w:rsid w:val="00231DBB"/>
    <w:rsid w:val="00231E9D"/>
    <w:rsid w:val="00232023"/>
    <w:rsid w:val="00232038"/>
    <w:rsid w:val="00232335"/>
    <w:rsid w:val="0023235A"/>
    <w:rsid w:val="00232439"/>
    <w:rsid w:val="0023244B"/>
    <w:rsid w:val="002325F2"/>
    <w:rsid w:val="002326AA"/>
    <w:rsid w:val="0023280D"/>
    <w:rsid w:val="00232DB6"/>
    <w:rsid w:val="00232E75"/>
    <w:rsid w:val="00232FE0"/>
    <w:rsid w:val="002330A3"/>
    <w:rsid w:val="002336EF"/>
    <w:rsid w:val="00233820"/>
    <w:rsid w:val="00233AE7"/>
    <w:rsid w:val="00233C2A"/>
    <w:rsid w:val="00233FA1"/>
    <w:rsid w:val="002340F0"/>
    <w:rsid w:val="0023424E"/>
    <w:rsid w:val="0023457C"/>
    <w:rsid w:val="002346C2"/>
    <w:rsid w:val="00234763"/>
    <w:rsid w:val="002349F2"/>
    <w:rsid w:val="00234B23"/>
    <w:rsid w:val="00234D1C"/>
    <w:rsid w:val="00234E2F"/>
    <w:rsid w:val="002351A8"/>
    <w:rsid w:val="002352E7"/>
    <w:rsid w:val="002353C0"/>
    <w:rsid w:val="002355FF"/>
    <w:rsid w:val="0023572A"/>
    <w:rsid w:val="00235755"/>
    <w:rsid w:val="00235762"/>
    <w:rsid w:val="002357C6"/>
    <w:rsid w:val="002358FE"/>
    <w:rsid w:val="00235963"/>
    <w:rsid w:val="00235ABE"/>
    <w:rsid w:val="00235C5A"/>
    <w:rsid w:val="00235F49"/>
    <w:rsid w:val="002360AA"/>
    <w:rsid w:val="00236224"/>
    <w:rsid w:val="002363C1"/>
    <w:rsid w:val="00236424"/>
    <w:rsid w:val="002365FE"/>
    <w:rsid w:val="0023668C"/>
    <w:rsid w:val="002366BF"/>
    <w:rsid w:val="00236A32"/>
    <w:rsid w:val="00236B3E"/>
    <w:rsid w:val="00236C7C"/>
    <w:rsid w:val="00236C95"/>
    <w:rsid w:val="00236D90"/>
    <w:rsid w:val="00236E5F"/>
    <w:rsid w:val="00236F6F"/>
    <w:rsid w:val="002371C2"/>
    <w:rsid w:val="00237272"/>
    <w:rsid w:val="002374C3"/>
    <w:rsid w:val="00237579"/>
    <w:rsid w:val="0023766D"/>
    <w:rsid w:val="002379DE"/>
    <w:rsid w:val="00237A38"/>
    <w:rsid w:val="00237E51"/>
    <w:rsid w:val="00237FE5"/>
    <w:rsid w:val="002407DF"/>
    <w:rsid w:val="0024089C"/>
    <w:rsid w:val="002408B6"/>
    <w:rsid w:val="00240FDC"/>
    <w:rsid w:val="002410E9"/>
    <w:rsid w:val="002416D5"/>
    <w:rsid w:val="0024186D"/>
    <w:rsid w:val="00241965"/>
    <w:rsid w:val="00241A6B"/>
    <w:rsid w:val="00241AFE"/>
    <w:rsid w:val="00241B3D"/>
    <w:rsid w:val="00241B68"/>
    <w:rsid w:val="00241D18"/>
    <w:rsid w:val="00241E62"/>
    <w:rsid w:val="00241EAE"/>
    <w:rsid w:val="00241F98"/>
    <w:rsid w:val="0024219B"/>
    <w:rsid w:val="002421AF"/>
    <w:rsid w:val="002423FB"/>
    <w:rsid w:val="0024251C"/>
    <w:rsid w:val="0024256E"/>
    <w:rsid w:val="0024270C"/>
    <w:rsid w:val="002429A3"/>
    <w:rsid w:val="00242A11"/>
    <w:rsid w:val="00242A69"/>
    <w:rsid w:val="00242BDB"/>
    <w:rsid w:val="00242E35"/>
    <w:rsid w:val="002430D4"/>
    <w:rsid w:val="002431F9"/>
    <w:rsid w:val="00243657"/>
    <w:rsid w:val="00243909"/>
    <w:rsid w:val="0024398D"/>
    <w:rsid w:val="002439AA"/>
    <w:rsid w:val="00243BBC"/>
    <w:rsid w:val="00243CE3"/>
    <w:rsid w:val="00244553"/>
    <w:rsid w:val="002446AF"/>
    <w:rsid w:val="002448A3"/>
    <w:rsid w:val="002448CD"/>
    <w:rsid w:val="00244BB8"/>
    <w:rsid w:val="00244C18"/>
    <w:rsid w:val="00244E8B"/>
    <w:rsid w:val="00245005"/>
    <w:rsid w:val="0024502C"/>
    <w:rsid w:val="00245106"/>
    <w:rsid w:val="0024525B"/>
    <w:rsid w:val="00245395"/>
    <w:rsid w:val="002453F5"/>
    <w:rsid w:val="002454D9"/>
    <w:rsid w:val="002455A4"/>
    <w:rsid w:val="0024594D"/>
    <w:rsid w:val="00245989"/>
    <w:rsid w:val="00245D52"/>
    <w:rsid w:val="00245F04"/>
    <w:rsid w:val="00245F36"/>
    <w:rsid w:val="00246238"/>
    <w:rsid w:val="0024626C"/>
    <w:rsid w:val="00246383"/>
    <w:rsid w:val="002465C1"/>
    <w:rsid w:val="00246831"/>
    <w:rsid w:val="00246AA5"/>
    <w:rsid w:val="00246D42"/>
    <w:rsid w:val="00246E20"/>
    <w:rsid w:val="002475B6"/>
    <w:rsid w:val="0024760D"/>
    <w:rsid w:val="00247BDF"/>
    <w:rsid w:val="00247C83"/>
    <w:rsid w:val="00247FC6"/>
    <w:rsid w:val="002503A1"/>
    <w:rsid w:val="002504F4"/>
    <w:rsid w:val="00250740"/>
    <w:rsid w:val="00250ED9"/>
    <w:rsid w:val="00250F51"/>
    <w:rsid w:val="00251076"/>
    <w:rsid w:val="00251081"/>
    <w:rsid w:val="002510BA"/>
    <w:rsid w:val="002512F6"/>
    <w:rsid w:val="0025130B"/>
    <w:rsid w:val="002513BE"/>
    <w:rsid w:val="002515B1"/>
    <w:rsid w:val="002515C8"/>
    <w:rsid w:val="0025176F"/>
    <w:rsid w:val="00251A45"/>
    <w:rsid w:val="00251A8A"/>
    <w:rsid w:val="00251AFB"/>
    <w:rsid w:val="00251D32"/>
    <w:rsid w:val="0025215E"/>
    <w:rsid w:val="00252267"/>
    <w:rsid w:val="00252518"/>
    <w:rsid w:val="002525D7"/>
    <w:rsid w:val="002526CC"/>
    <w:rsid w:val="0025287E"/>
    <w:rsid w:val="00252FE6"/>
    <w:rsid w:val="00252FF2"/>
    <w:rsid w:val="00253174"/>
    <w:rsid w:val="0025317E"/>
    <w:rsid w:val="00253370"/>
    <w:rsid w:val="002536E0"/>
    <w:rsid w:val="00253730"/>
    <w:rsid w:val="00253F79"/>
    <w:rsid w:val="00254223"/>
    <w:rsid w:val="002543D2"/>
    <w:rsid w:val="0025456B"/>
    <w:rsid w:val="002546AA"/>
    <w:rsid w:val="00254EEF"/>
    <w:rsid w:val="0025525D"/>
    <w:rsid w:val="00255294"/>
    <w:rsid w:val="0025558D"/>
    <w:rsid w:val="0025593A"/>
    <w:rsid w:val="00255D63"/>
    <w:rsid w:val="00255FBD"/>
    <w:rsid w:val="00256353"/>
    <w:rsid w:val="002563DB"/>
    <w:rsid w:val="002563F5"/>
    <w:rsid w:val="00256410"/>
    <w:rsid w:val="00256C61"/>
    <w:rsid w:val="0025702E"/>
    <w:rsid w:val="00257197"/>
    <w:rsid w:val="002572E1"/>
    <w:rsid w:val="00257319"/>
    <w:rsid w:val="002573C5"/>
    <w:rsid w:val="002573F6"/>
    <w:rsid w:val="002574EE"/>
    <w:rsid w:val="00257673"/>
    <w:rsid w:val="002576CD"/>
    <w:rsid w:val="0025781A"/>
    <w:rsid w:val="0025793A"/>
    <w:rsid w:val="00257950"/>
    <w:rsid w:val="00257BFE"/>
    <w:rsid w:val="00257E0D"/>
    <w:rsid w:val="00257E71"/>
    <w:rsid w:val="0026001B"/>
    <w:rsid w:val="00260157"/>
    <w:rsid w:val="002605CF"/>
    <w:rsid w:val="002606C8"/>
    <w:rsid w:val="002607E6"/>
    <w:rsid w:val="00260A9A"/>
    <w:rsid w:val="00260AF1"/>
    <w:rsid w:val="00260BD4"/>
    <w:rsid w:val="00260C58"/>
    <w:rsid w:val="00260D7F"/>
    <w:rsid w:val="00260E6F"/>
    <w:rsid w:val="00260FE3"/>
    <w:rsid w:val="002616B6"/>
    <w:rsid w:val="002616D5"/>
    <w:rsid w:val="0026174C"/>
    <w:rsid w:val="00261BA3"/>
    <w:rsid w:val="00261BC6"/>
    <w:rsid w:val="00261CA2"/>
    <w:rsid w:val="00261CF7"/>
    <w:rsid w:val="00261F0A"/>
    <w:rsid w:val="002620E3"/>
    <w:rsid w:val="0026226B"/>
    <w:rsid w:val="00262530"/>
    <w:rsid w:val="00262580"/>
    <w:rsid w:val="002627B3"/>
    <w:rsid w:val="002627E9"/>
    <w:rsid w:val="00262854"/>
    <w:rsid w:val="00262A70"/>
    <w:rsid w:val="00262A7B"/>
    <w:rsid w:val="00262CB9"/>
    <w:rsid w:val="00262D03"/>
    <w:rsid w:val="00262D41"/>
    <w:rsid w:val="00262E6C"/>
    <w:rsid w:val="00262F74"/>
    <w:rsid w:val="002630F1"/>
    <w:rsid w:val="002631B8"/>
    <w:rsid w:val="00263299"/>
    <w:rsid w:val="0026334A"/>
    <w:rsid w:val="0026334C"/>
    <w:rsid w:val="00263366"/>
    <w:rsid w:val="00263370"/>
    <w:rsid w:val="0026338D"/>
    <w:rsid w:val="002633D2"/>
    <w:rsid w:val="0026378B"/>
    <w:rsid w:val="0026393B"/>
    <w:rsid w:val="00263CAB"/>
    <w:rsid w:val="00263E42"/>
    <w:rsid w:val="00263F5E"/>
    <w:rsid w:val="00263FE4"/>
    <w:rsid w:val="002641F9"/>
    <w:rsid w:val="002643A5"/>
    <w:rsid w:val="00264771"/>
    <w:rsid w:val="0026493A"/>
    <w:rsid w:val="00264955"/>
    <w:rsid w:val="002649B6"/>
    <w:rsid w:val="00264C13"/>
    <w:rsid w:val="00264C98"/>
    <w:rsid w:val="00264DB5"/>
    <w:rsid w:val="00264FFF"/>
    <w:rsid w:val="0026526F"/>
    <w:rsid w:val="00265439"/>
    <w:rsid w:val="002654CA"/>
    <w:rsid w:val="002655B4"/>
    <w:rsid w:val="002655D9"/>
    <w:rsid w:val="0026587D"/>
    <w:rsid w:val="00265891"/>
    <w:rsid w:val="00265E70"/>
    <w:rsid w:val="00266143"/>
    <w:rsid w:val="0026650B"/>
    <w:rsid w:val="0026660F"/>
    <w:rsid w:val="00266846"/>
    <w:rsid w:val="002669CF"/>
    <w:rsid w:val="00266AFB"/>
    <w:rsid w:val="00266B19"/>
    <w:rsid w:val="00266CB5"/>
    <w:rsid w:val="00266E5B"/>
    <w:rsid w:val="00267062"/>
    <w:rsid w:val="002670C4"/>
    <w:rsid w:val="002671D2"/>
    <w:rsid w:val="002674BA"/>
    <w:rsid w:val="00267746"/>
    <w:rsid w:val="00267982"/>
    <w:rsid w:val="00267C52"/>
    <w:rsid w:val="00267EA7"/>
    <w:rsid w:val="00267EB7"/>
    <w:rsid w:val="00267EFC"/>
    <w:rsid w:val="002701CF"/>
    <w:rsid w:val="00270280"/>
    <w:rsid w:val="0027029F"/>
    <w:rsid w:val="0027046B"/>
    <w:rsid w:val="002704C5"/>
    <w:rsid w:val="0027058D"/>
    <w:rsid w:val="002706D3"/>
    <w:rsid w:val="00270A4E"/>
    <w:rsid w:val="00270A9E"/>
    <w:rsid w:val="00270B50"/>
    <w:rsid w:val="00270B89"/>
    <w:rsid w:val="00270BE3"/>
    <w:rsid w:val="00270C7B"/>
    <w:rsid w:val="00270EA2"/>
    <w:rsid w:val="00270ED6"/>
    <w:rsid w:val="0027107D"/>
    <w:rsid w:val="0027109A"/>
    <w:rsid w:val="00271155"/>
    <w:rsid w:val="00271277"/>
    <w:rsid w:val="00271376"/>
    <w:rsid w:val="0027148A"/>
    <w:rsid w:val="002714A8"/>
    <w:rsid w:val="002714FD"/>
    <w:rsid w:val="00271694"/>
    <w:rsid w:val="002718BD"/>
    <w:rsid w:val="00271B59"/>
    <w:rsid w:val="00271C5C"/>
    <w:rsid w:val="00271E0E"/>
    <w:rsid w:val="00271F4B"/>
    <w:rsid w:val="0027209B"/>
    <w:rsid w:val="002722AB"/>
    <w:rsid w:val="00272414"/>
    <w:rsid w:val="002728B0"/>
    <w:rsid w:val="002728EB"/>
    <w:rsid w:val="00272D27"/>
    <w:rsid w:val="00272F3B"/>
    <w:rsid w:val="00272FA7"/>
    <w:rsid w:val="002731DC"/>
    <w:rsid w:val="002732B8"/>
    <w:rsid w:val="00273398"/>
    <w:rsid w:val="002734A8"/>
    <w:rsid w:val="002735C4"/>
    <w:rsid w:val="00273649"/>
    <w:rsid w:val="0027366E"/>
    <w:rsid w:val="002736DC"/>
    <w:rsid w:val="002736E7"/>
    <w:rsid w:val="00273B42"/>
    <w:rsid w:val="00273C7D"/>
    <w:rsid w:val="00273DDE"/>
    <w:rsid w:val="002743A3"/>
    <w:rsid w:val="0027457F"/>
    <w:rsid w:val="002746E0"/>
    <w:rsid w:val="002749DF"/>
    <w:rsid w:val="00274AF0"/>
    <w:rsid w:val="0027516F"/>
    <w:rsid w:val="002751BF"/>
    <w:rsid w:val="0027537D"/>
    <w:rsid w:val="00275A17"/>
    <w:rsid w:val="00275C81"/>
    <w:rsid w:val="00275F0B"/>
    <w:rsid w:val="00275F35"/>
    <w:rsid w:val="00275FCC"/>
    <w:rsid w:val="00276516"/>
    <w:rsid w:val="00276538"/>
    <w:rsid w:val="002766FC"/>
    <w:rsid w:val="00276910"/>
    <w:rsid w:val="00276A9F"/>
    <w:rsid w:val="00276BB9"/>
    <w:rsid w:val="00276C3C"/>
    <w:rsid w:val="00276D88"/>
    <w:rsid w:val="00276EC2"/>
    <w:rsid w:val="00276EDE"/>
    <w:rsid w:val="00276FB1"/>
    <w:rsid w:val="00277001"/>
    <w:rsid w:val="002772D6"/>
    <w:rsid w:val="0027795B"/>
    <w:rsid w:val="00277A1A"/>
    <w:rsid w:val="00277AEF"/>
    <w:rsid w:val="00277B7B"/>
    <w:rsid w:val="00277BD7"/>
    <w:rsid w:val="00277C29"/>
    <w:rsid w:val="00277F14"/>
    <w:rsid w:val="002805F8"/>
    <w:rsid w:val="00280778"/>
    <w:rsid w:val="002808D3"/>
    <w:rsid w:val="00280942"/>
    <w:rsid w:val="002809F2"/>
    <w:rsid w:val="00280B8F"/>
    <w:rsid w:val="00280C5B"/>
    <w:rsid w:val="00280C92"/>
    <w:rsid w:val="00280E1D"/>
    <w:rsid w:val="00280FD4"/>
    <w:rsid w:val="002812C2"/>
    <w:rsid w:val="002812FA"/>
    <w:rsid w:val="002814CB"/>
    <w:rsid w:val="00281653"/>
    <w:rsid w:val="002816AC"/>
    <w:rsid w:val="00281BC7"/>
    <w:rsid w:val="00281E32"/>
    <w:rsid w:val="00281FC1"/>
    <w:rsid w:val="002820D6"/>
    <w:rsid w:val="002822A0"/>
    <w:rsid w:val="002823F7"/>
    <w:rsid w:val="00282513"/>
    <w:rsid w:val="00282580"/>
    <w:rsid w:val="002827BD"/>
    <w:rsid w:val="00282902"/>
    <w:rsid w:val="00282E8E"/>
    <w:rsid w:val="00282EC0"/>
    <w:rsid w:val="00282F9D"/>
    <w:rsid w:val="0028300D"/>
    <w:rsid w:val="002830BD"/>
    <w:rsid w:val="0028324A"/>
    <w:rsid w:val="002832BA"/>
    <w:rsid w:val="002833A2"/>
    <w:rsid w:val="00283421"/>
    <w:rsid w:val="00283690"/>
    <w:rsid w:val="002838A3"/>
    <w:rsid w:val="00283C12"/>
    <w:rsid w:val="00283DD4"/>
    <w:rsid w:val="00283E6C"/>
    <w:rsid w:val="00283E75"/>
    <w:rsid w:val="00283EFD"/>
    <w:rsid w:val="002842D7"/>
    <w:rsid w:val="0028453A"/>
    <w:rsid w:val="00284605"/>
    <w:rsid w:val="002846CF"/>
    <w:rsid w:val="00284716"/>
    <w:rsid w:val="00284807"/>
    <w:rsid w:val="00284813"/>
    <w:rsid w:val="0028486A"/>
    <w:rsid w:val="00284AAB"/>
    <w:rsid w:val="00284AFA"/>
    <w:rsid w:val="00284BE7"/>
    <w:rsid w:val="00284C6E"/>
    <w:rsid w:val="00284D68"/>
    <w:rsid w:val="002851CF"/>
    <w:rsid w:val="002852B8"/>
    <w:rsid w:val="002854A1"/>
    <w:rsid w:val="002855CB"/>
    <w:rsid w:val="0028576A"/>
    <w:rsid w:val="002857B3"/>
    <w:rsid w:val="002858CD"/>
    <w:rsid w:val="00285A82"/>
    <w:rsid w:val="00285A89"/>
    <w:rsid w:val="00285C3D"/>
    <w:rsid w:val="00285E01"/>
    <w:rsid w:val="00285E80"/>
    <w:rsid w:val="00285F4F"/>
    <w:rsid w:val="002860C7"/>
    <w:rsid w:val="0028611E"/>
    <w:rsid w:val="00286420"/>
    <w:rsid w:val="00286455"/>
    <w:rsid w:val="0028648B"/>
    <w:rsid w:val="002864E9"/>
    <w:rsid w:val="00286F6D"/>
    <w:rsid w:val="002870B2"/>
    <w:rsid w:val="002872AF"/>
    <w:rsid w:val="00287431"/>
    <w:rsid w:val="00287673"/>
    <w:rsid w:val="00287686"/>
    <w:rsid w:val="00287B68"/>
    <w:rsid w:val="00287CFB"/>
    <w:rsid w:val="00287E5B"/>
    <w:rsid w:val="00290006"/>
    <w:rsid w:val="00290232"/>
    <w:rsid w:val="0029025D"/>
    <w:rsid w:val="0029062E"/>
    <w:rsid w:val="00290BCD"/>
    <w:rsid w:val="00290DCF"/>
    <w:rsid w:val="00290F55"/>
    <w:rsid w:val="002910B9"/>
    <w:rsid w:val="00291250"/>
    <w:rsid w:val="00291260"/>
    <w:rsid w:val="002912C3"/>
    <w:rsid w:val="002913A5"/>
    <w:rsid w:val="00291671"/>
    <w:rsid w:val="00291730"/>
    <w:rsid w:val="0029180C"/>
    <w:rsid w:val="00291924"/>
    <w:rsid w:val="00291967"/>
    <w:rsid w:val="00291D56"/>
    <w:rsid w:val="00291FC3"/>
    <w:rsid w:val="00291FCD"/>
    <w:rsid w:val="00292129"/>
    <w:rsid w:val="00292226"/>
    <w:rsid w:val="0029226C"/>
    <w:rsid w:val="002923E2"/>
    <w:rsid w:val="002924E8"/>
    <w:rsid w:val="0029257A"/>
    <w:rsid w:val="0029268C"/>
    <w:rsid w:val="002928F5"/>
    <w:rsid w:val="00292A83"/>
    <w:rsid w:val="00292DD9"/>
    <w:rsid w:val="0029321D"/>
    <w:rsid w:val="0029326B"/>
    <w:rsid w:val="0029333D"/>
    <w:rsid w:val="002933A7"/>
    <w:rsid w:val="002934AF"/>
    <w:rsid w:val="00293674"/>
    <w:rsid w:val="002938E3"/>
    <w:rsid w:val="00293AAE"/>
    <w:rsid w:val="00294168"/>
    <w:rsid w:val="00294198"/>
    <w:rsid w:val="0029425B"/>
    <w:rsid w:val="002943A8"/>
    <w:rsid w:val="002944F6"/>
    <w:rsid w:val="00294687"/>
    <w:rsid w:val="002946E1"/>
    <w:rsid w:val="0029472B"/>
    <w:rsid w:val="00294769"/>
    <w:rsid w:val="00294880"/>
    <w:rsid w:val="00294BA3"/>
    <w:rsid w:val="00294D03"/>
    <w:rsid w:val="00294DCF"/>
    <w:rsid w:val="00294F47"/>
    <w:rsid w:val="00295113"/>
    <w:rsid w:val="0029532F"/>
    <w:rsid w:val="002955E7"/>
    <w:rsid w:val="0029562D"/>
    <w:rsid w:val="0029576B"/>
    <w:rsid w:val="00295851"/>
    <w:rsid w:val="002959AE"/>
    <w:rsid w:val="00295A61"/>
    <w:rsid w:val="00295B1D"/>
    <w:rsid w:val="00295B6C"/>
    <w:rsid w:val="00295CD1"/>
    <w:rsid w:val="00295DA2"/>
    <w:rsid w:val="00295F61"/>
    <w:rsid w:val="00295F78"/>
    <w:rsid w:val="00295FAD"/>
    <w:rsid w:val="00296118"/>
    <w:rsid w:val="002962E1"/>
    <w:rsid w:val="0029640B"/>
    <w:rsid w:val="002965D2"/>
    <w:rsid w:val="002965F1"/>
    <w:rsid w:val="0029684B"/>
    <w:rsid w:val="00296DF1"/>
    <w:rsid w:val="00296E76"/>
    <w:rsid w:val="00296EF1"/>
    <w:rsid w:val="00297006"/>
    <w:rsid w:val="0029707F"/>
    <w:rsid w:val="002970BB"/>
    <w:rsid w:val="00297149"/>
    <w:rsid w:val="002972FD"/>
    <w:rsid w:val="002973B9"/>
    <w:rsid w:val="00297451"/>
    <w:rsid w:val="0029748F"/>
    <w:rsid w:val="00297495"/>
    <w:rsid w:val="00297A16"/>
    <w:rsid w:val="00297AF4"/>
    <w:rsid w:val="00297D67"/>
    <w:rsid w:val="00297E50"/>
    <w:rsid w:val="002A001B"/>
    <w:rsid w:val="002A02BE"/>
    <w:rsid w:val="002A0481"/>
    <w:rsid w:val="002A0522"/>
    <w:rsid w:val="002A0766"/>
    <w:rsid w:val="002A076C"/>
    <w:rsid w:val="002A0845"/>
    <w:rsid w:val="002A091B"/>
    <w:rsid w:val="002A0A89"/>
    <w:rsid w:val="002A0AFA"/>
    <w:rsid w:val="002A0BB1"/>
    <w:rsid w:val="002A0D89"/>
    <w:rsid w:val="002A1022"/>
    <w:rsid w:val="002A10BA"/>
    <w:rsid w:val="002A1227"/>
    <w:rsid w:val="002A13C8"/>
    <w:rsid w:val="002A13D4"/>
    <w:rsid w:val="002A13DA"/>
    <w:rsid w:val="002A1540"/>
    <w:rsid w:val="002A17B0"/>
    <w:rsid w:val="002A21AE"/>
    <w:rsid w:val="002A22AB"/>
    <w:rsid w:val="002A22D1"/>
    <w:rsid w:val="002A2335"/>
    <w:rsid w:val="002A2481"/>
    <w:rsid w:val="002A252A"/>
    <w:rsid w:val="002A25A7"/>
    <w:rsid w:val="002A286D"/>
    <w:rsid w:val="002A2875"/>
    <w:rsid w:val="002A2900"/>
    <w:rsid w:val="002A2906"/>
    <w:rsid w:val="002A2A26"/>
    <w:rsid w:val="002A2E44"/>
    <w:rsid w:val="002A3209"/>
    <w:rsid w:val="002A32DD"/>
    <w:rsid w:val="002A3358"/>
    <w:rsid w:val="002A33F2"/>
    <w:rsid w:val="002A350B"/>
    <w:rsid w:val="002A35E9"/>
    <w:rsid w:val="002A36C2"/>
    <w:rsid w:val="002A3937"/>
    <w:rsid w:val="002A3961"/>
    <w:rsid w:val="002A3B84"/>
    <w:rsid w:val="002A3C40"/>
    <w:rsid w:val="002A3DD9"/>
    <w:rsid w:val="002A3E8F"/>
    <w:rsid w:val="002A3FDD"/>
    <w:rsid w:val="002A4177"/>
    <w:rsid w:val="002A427E"/>
    <w:rsid w:val="002A436D"/>
    <w:rsid w:val="002A4480"/>
    <w:rsid w:val="002A4652"/>
    <w:rsid w:val="002A4714"/>
    <w:rsid w:val="002A4A24"/>
    <w:rsid w:val="002A4A32"/>
    <w:rsid w:val="002A4CAC"/>
    <w:rsid w:val="002A55D2"/>
    <w:rsid w:val="002A56B6"/>
    <w:rsid w:val="002A5844"/>
    <w:rsid w:val="002A594C"/>
    <w:rsid w:val="002A5A44"/>
    <w:rsid w:val="002A5A8A"/>
    <w:rsid w:val="002A5D42"/>
    <w:rsid w:val="002A6282"/>
    <w:rsid w:val="002A62C4"/>
    <w:rsid w:val="002A65D3"/>
    <w:rsid w:val="002A6659"/>
    <w:rsid w:val="002A66D9"/>
    <w:rsid w:val="002A6808"/>
    <w:rsid w:val="002A682B"/>
    <w:rsid w:val="002A68FE"/>
    <w:rsid w:val="002A6DCE"/>
    <w:rsid w:val="002A7034"/>
    <w:rsid w:val="002A719D"/>
    <w:rsid w:val="002A7213"/>
    <w:rsid w:val="002A7284"/>
    <w:rsid w:val="002A77FB"/>
    <w:rsid w:val="002A7A5B"/>
    <w:rsid w:val="002A7AB5"/>
    <w:rsid w:val="002A7CBA"/>
    <w:rsid w:val="002A7D40"/>
    <w:rsid w:val="002A7EB3"/>
    <w:rsid w:val="002A7F1F"/>
    <w:rsid w:val="002A7F86"/>
    <w:rsid w:val="002B019C"/>
    <w:rsid w:val="002B01AC"/>
    <w:rsid w:val="002B01F6"/>
    <w:rsid w:val="002B0299"/>
    <w:rsid w:val="002B04BE"/>
    <w:rsid w:val="002B05C3"/>
    <w:rsid w:val="002B0682"/>
    <w:rsid w:val="002B074B"/>
    <w:rsid w:val="002B0790"/>
    <w:rsid w:val="002B0935"/>
    <w:rsid w:val="002B0E24"/>
    <w:rsid w:val="002B0EEA"/>
    <w:rsid w:val="002B128E"/>
    <w:rsid w:val="002B171B"/>
    <w:rsid w:val="002B1793"/>
    <w:rsid w:val="002B17F5"/>
    <w:rsid w:val="002B188C"/>
    <w:rsid w:val="002B1A4B"/>
    <w:rsid w:val="002B1C83"/>
    <w:rsid w:val="002B1CE5"/>
    <w:rsid w:val="002B2070"/>
    <w:rsid w:val="002B22BA"/>
    <w:rsid w:val="002B23A3"/>
    <w:rsid w:val="002B23C1"/>
    <w:rsid w:val="002B2503"/>
    <w:rsid w:val="002B25DC"/>
    <w:rsid w:val="002B2630"/>
    <w:rsid w:val="002B2B0A"/>
    <w:rsid w:val="002B2D9A"/>
    <w:rsid w:val="002B2FBB"/>
    <w:rsid w:val="002B2FFC"/>
    <w:rsid w:val="002B379D"/>
    <w:rsid w:val="002B3B1A"/>
    <w:rsid w:val="002B3B62"/>
    <w:rsid w:val="002B3B6D"/>
    <w:rsid w:val="002B3E4D"/>
    <w:rsid w:val="002B406B"/>
    <w:rsid w:val="002B42EE"/>
    <w:rsid w:val="002B45D7"/>
    <w:rsid w:val="002B48C6"/>
    <w:rsid w:val="002B499B"/>
    <w:rsid w:val="002B4A90"/>
    <w:rsid w:val="002B4ADA"/>
    <w:rsid w:val="002B4C32"/>
    <w:rsid w:val="002B4E94"/>
    <w:rsid w:val="002B4F38"/>
    <w:rsid w:val="002B527B"/>
    <w:rsid w:val="002B5398"/>
    <w:rsid w:val="002B5795"/>
    <w:rsid w:val="002B58CD"/>
    <w:rsid w:val="002B5982"/>
    <w:rsid w:val="002B59E4"/>
    <w:rsid w:val="002B5A5E"/>
    <w:rsid w:val="002B5B88"/>
    <w:rsid w:val="002B5BB1"/>
    <w:rsid w:val="002B5D02"/>
    <w:rsid w:val="002B654A"/>
    <w:rsid w:val="002B6A9E"/>
    <w:rsid w:val="002B6B0C"/>
    <w:rsid w:val="002B6BD7"/>
    <w:rsid w:val="002B6CE9"/>
    <w:rsid w:val="002B6E47"/>
    <w:rsid w:val="002B7292"/>
    <w:rsid w:val="002B75CB"/>
    <w:rsid w:val="002B7683"/>
    <w:rsid w:val="002B76AC"/>
    <w:rsid w:val="002B7989"/>
    <w:rsid w:val="002B7990"/>
    <w:rsid w:val="002B7A3B"/>
    <w:rsid w:val="002B7DA6"/>
    <w:rsid w:val="002B7E38"/>
    <w:rsid w:val="002C00AC"/>
    <w:rsid w:val="002C0366"/>
    <w:rsid w:val="002C0535"/>
    <w:rsid w:val="002C08E1"/>
    <w:rsid w:val="002C0A1F"/>
    <w:rsid w:val="002C0AE8"/>
    <w:rsid w:val="002C0E7A"/>
    <w:rsid w:val="002C0E85"/>
    <w:rsid w:val="002C0F5F"/>
    <w:rsid w:val="002C11AB"/>
    <w:rsid w:val="002C13C9"/>
    <w:rsid w:val="002C1604"/>
    <w:rsid w:val="002C161F"/>
    <w:rsid w:val="002C164E"/>
    <w:rsid w:val="002C173F"/>
    <w:rsid w:val="002C1B1F"/>
    <w:rsid w:val="002C1BC5"/>
    <w:rsid w:val="002C1C19"/>
    <w:rsid w:val="002C1E5A"/>
    <w:rsid w:val="002C1EB2"/>
    <w:rsid w:val="002C2148"/>
    <w:rsid w:val="002C2184"/>
    <w:rsid w:val="002C2441"/>
    <w:rsid w:val="002C25F5"/>
    <w:rsid w:val="002C2977"/>
    <w:rsid w:val="002C29C9"/>
    <w:rsid w:val="002C2C8D"/>
    <w:rsid w:val="002C2E56"/>
    <w:rsid w:val="002C3091"/>
    <w:rsid w:val="002C3174"/>
    <w:rsid w:val="002C32DE"/>
    <w:rsid w:val="002C33DA"/>
    <w:rsid w:val="002C3BDC"/>
    <w:rsid w:val="002C3ED0"/>
    <w:rsid w:val="002C3F2F"/>
    <w:rsid w:val="002C45F9"/>
    <w:rsid w:val="002C4966"/>
    <w:rsid w:val="002C4BE9"/>
    <w:rsid w:val="002C4BFD"/>
    <w:rsid w:val="002C4CA8"/>
    <w:rsid w:val="002C534A"/>
    <w:rsid w:val="002C5A0A"/>
    <w:rsid w:val="002C5F51"/>
    <w:rsid w:val="002C5FBD"/>
    <w:rsid w:val="002C6170"/>
    <w:rsid w:val="002C6416"/>
    <w:rsid w:val="002C650D"/>
    <w:rsid w:val="002C66CC"/>
    <w:rsid w:val="002C6766"/>
    <w:rsid w:val="002C691A"/>
    <w:rsid w:val="002C6B94"/>
    <w:rsid w:val="002C6C5C"/>
    <w:rsid w:val="002C6ECD"/>
    <w:rsid w:val="002C7092"/>
    <w:rsid w:val="002C7258"/>
    <w:rsid w:val="002C73F4"/>
    <w:rsid w:val="002C7416"/>
    <w:rsid w:val="002C7431"/>
    <w:rsid w:val="002C7BCF"/>
    <w:rsid w:val="002C7F10"/>
    <w:rsid w:val="002D0025"/>
    <w:rsid w:val="002D0211"/>
    <w:rsid w:val="002D02F8"/>
    <w:rsid w:val="002D0385"/>
    <w:rsid w:val="002D0603"/>
    <w:rsid w:val="002D0D23"/>
    <w:rsid w:val="002D1282"/>
    <w:rsid w:val="002D1303"/>
    <w:rsid w:val="002D15E6"/>
    <w:rsid w:val="002D160F"/>
    <w:rsid w:val="002D1674"/>
    <w:rsid w:val="002D1847"/>
    <w:rsid w:val="002D1B96"/>
    <w:rsid w:val="002D1E21"/>
    <w:rsid w:val="002D1E24"/>
    <w:rsid w:val="002D227E"/>
    <w:rsid w:val="002D23EA"/>
    <w:rsid w:val="002D242C"/>
    <w:rsid w:val="002D24BB"/>
    <w:rsid w:val="002D2737"/>
    <w:rsid w:val="002D28F7"/>
    <w:rsid w:val="002D2B72"/>
    <w:rsid w:val="002D2DED"/>
    <w:rsid w:val="002D2F2D"/>
    <w:rsid w:val="002D2F55"/>
    <w:rsid w:val="002D3096"/>
    <w:rsid w:val="002D3283"/>
    <w:rsid w:val="002D33EA"/>
    <w:rsid w:val="002D34C7"/>
    <w:rsid w:val="002D3609"/>
    <w:rsid w:val="002D3898"/>
    <w:rsid w:val="002D3928"/>
    <w:rsid w:val="002D3A5E"/>
    <w:rsid w:val="002D3BC7"/>
    <w:rsid w:val="002D3C93"/>
    <w:rsid w:val="002D3EC7"/>
    <w:rsid w:val="002D3F47"/>
    <w:rsid w:val="002D405F"/>
    <w:rsid w:val="002D40AC"/>
    <w:rsid w:val="002D4164"/>
    <w:rsid w:val="002D41C2"/>
    <w:rsid w:val="002D43A1"/>
    <w:rsid w:val="002D44C2"/>
    <w:rsid w:val="002D4542"/>
    <w:rsid w:val="002D45AB"/>
    <w:rsid w:val="002D4649"/>
    <w:rsid w:val="002D46B5"/>
    <w:rsid w:val="002D4D82"/>
    <w:rsid w:val="002D4FC4"/>
    <w:rsid w:val="002D5138"/>
    <w:rsid w:val="002D53C1"/>
    <w:rsid w:val="002D5501"/>
    <w:rsid w:val="002D550A"/>
    <w:rsid w:val="002D5522"/>
    <w:rsid w:val="002D5676"/>
    <w:rsid w:val="002D64CA"/>
    <w:rsid w:val="002D66B0"/>
    <w:rsid w:val="002D693A"/>
    <w:rsid w:val="002D6D2E"/>
    <w:rsid w:val="002D6D4E"/>
    <w:rsid w:val="002D6D8B"/>
    <w:rsid w:val="002D6E5F"/>
    <w:rsid w:val="002D6E8E"/>
    <w:rsid w:val="002D6EB1"/>
    <w:rsid w:val="002D6ED8"/>
    <w:rsid w:val="002D70D0"/>
    <w:rsid w:val="002D71AA"/>
    <w:rsid w:val="002D7309"/>
    <w:rsid w:val="002D7622"/>
    <w:rsid w:val="002D7689"/>
    <w:rsid w:val="002D7EF9"/>
    <w:rsid w:val="002E02DB"/>
    <w:rsid w:val="002E03C9"/>
    <w:rsid w:val="002E04E1"/>
    <w:rsid w:val="002E078F"/>
    <w:rsid w:val="002E08B7"/>
    <w:rsid w:val="002E08D6"/>
    <w:rsid w:val="002E08FF"/>
    <w:rsid w:val="002E099B"/>
    <w:rsid w:val="002E0A7A"/>
    <w:rsid w:val="002E10C8"/>
    <w:rsid w:val="002E11F5"/>
    <w:rsid w:val="002E1221"/>
    <w:rsid w:val="002E150E"/>
    <w:rsid w:val="002E15BC"/>
    <w:rsid w:val="002E1651"/>
    <w:rsid w:val="002E16CD"/>
    <w:rsid w:val="002E16D5"/>
    <w:rsid w:val="002E17F5"/>
    <w:rsid w:val="002E1806"/>
    <w:rsid w:val="002E1BF7"/>
    <w:rsid w:val="002E1CED"/>
    <w:rsid w:val="002E1EA5"/>
    <w:rsid w:val="002E1FDF"/>
    <w:rsid w:val="002E212D"/>
    <w:rsid w:val="002E2158"/>
    <w:rsid w:val="002E21C8"/>
    <w:rsid w:val="002E246F"/>
    <w:rsid w:val="002E282A"/>
    <w:rsid w:val="002E2947"/>
    <w:rsid w:val="002E2AA7"/>
    <w:rsid w:val="002E2C64"/>
    <w:rsid w:val="002E2F9D"/>
    <w:rsid w:val="002E2FC3"/>
    <w:rsid w:val="002E3100"/>
    <w:rsid w:val="002E328D"/>
    <w:rsid w:val="002E355B"/>
    <w:rsid w:val="002E3823"/>
    <w:rsid w:val="002E38CD"/>
    <w:rsid w:val="002E39AD"/>
    <w:rsid w:val="002E3C2E"/>
    <w:rsid w:val="002E3CAD"/>
    <w:rsid w:val="002E3F7F"/>
    <w:rsid w:val="002E401B"/>
    <w:rsid w:val="002E4262"/>
    <w:rsid w:val="002E4689"/>
    <w:rsid w:val="002E4907"/>
    <w:rsid w:val="002E4A7F"/>
    <w:rsid w:val="002E4AE2"/>
    <w:rsid w:val="002E531B"/>
    <w:rsid w:val="002E537C"/>
    <w:rsid w:val="002E53EF"/>
    <w:rsid w:val="002E54B6"/>
    <w:rsid w:val="002E5971"/>
    <w:rsid w:val="002E5AFB"/>
    <w:rsid w:val="002E6028"/>
    <w:rsid w:val="002E62DF"/>
    <w:rsid w:val="002E62FA"/>
    <w:rsid w:val="002E6C73"/>
    <w:rsid w:val="002E6CF5"/>
    <w:rsid w:val="002E71C7"/>
    <w:rsid w:val="002E7351"/>
    <w:rsid w:val="002E7774"/>
    <w:rsid w:val="002E7794"/>
    <w:rsid w:val="002E7830"/>
    <w:rsid w:val="002E787B"/>
    <w:rsid w:val="002E78AE"/>
    <w:rsid w:val="002E79ED"/>
    <w:rsid w:val="002E7B27"/>
    <w:rsid w:val="002E7B60"/>
    <w:rsid w:val="002E7F29"/>
    <w:rsid w:val="002E7F81"/>
    <w:rsid w:val="002F0004"/>
    <w:rsid w:val="002F005D"/>
    <w:rsid w:val="002F022E"/>
    <w:rsid w:val="002F03F1"/>
    <w:rsid w:val="002F0551"/>
    <w:rsid w:val="002F05AE"/>
    <w:rsid w:val="002F0824"/>
    <w:rsid w:val="002F084B"/>
    <w:rsid w:val="002F09B8"/>
    <w:rsid w:val="002F0A5A"/>
    <w:rsid w:val="002F0B21"/>
    <w:rsid w:val="002F0B73"/>
    <w:rsid w:val="002F0CCA"/>
    <w:rsid w:val="002F0D06"/>
    <w:rsid w:val="002F0E27"/>
    <w:rsid w:val="002F10D3"/>
    <w:rsid w:val="002F1210"/>
    <w:rsid w:val="002F12DE"/>
    <w:rsid w:val="002F13CE"/>
    <w:rsid w:val="002F161C"/>
    <w:rsid w:val="002F17F3"/>
    <w:rsid w:val="002F1860"/>
    <w:rsid w:val="002F1AE0"/>
    <w:rsid w:val="002F1BED"/>
    <w:rsid w:val="002F1D06"/>
    <w:rsid w:val="002F1D2F"/>
    <w:rsid w:val="002F1DE3"/>
    <w:rsid w:val="002F1E24"/>
    <w:rsid w:val="002F2045"/>
    <w:rsid w:val="002F23C1"/>
    <w:rsid w:val="002F2625"/>
    <w:rsid w:val="002F293C"/>
    <w:rsid w:val="002F2AFE"/>
    <w:rsid w:val="002F2B5A"/>
    <w:rsid w:val="002F2DDA"/>
    <w:rsid w:val="002F3167"/>
    <w:rsid w:val="002F350D"/>
    <w:rsid w:val="002F35C0"/>
    <w:rsid w:val="002F36E5"/>
    <w:rsid w:val="002F3A0E"/>
    <w:rsid w:val="002F3C56"/>
    <w:rsid w:val="002F3DA0"/>
    <w:rsid w:val="002F3F0C"/>
    <w:rsid w:val="002F4088"/>
    <w:rsid w:val="002F4126"/>
    <w:rsid w:val="002F41FD"/>
    <w:rsid w:val="002F4237"/>
    <w:rsid w:val="002F467C"/>
    <w:rsid w:val="002F4953"/>
    <w:rsid w:val="002F4DE5"/>
    <w:rsid w:val="002F5440"/>
    <w:rsid w:val="002F5674"/>
    <w:rsid w:val="002F57BD"/>
    <w:rsid w:val="002F5A6A"/>
    <w:rsid w:val="002F5CAF"/>
    <w:rsid w:val="002F5F59"/>
    <w:rsid w:val="002F69C9"/>
    <w:rsid w:val="002F6A6D"/>
    <w:rsid w:val="002F6ACA"/>
    <w:rsid w:val="002F6C15"/>
    <w:rsid w:val="002F6E21"/>
    <w:rsid w:val="002F6FA9"/>
    <w:rsid w:val="002F70BB"/>
    <w:rsid w:val="002F7142"/>
    <w:rsid w:val="002F7193"/>
    <w:rsid w:val="002F721F"/>
    <w:rsid w:val="002F732B"/>
    <w:rsid w:val="002F7374"/>
    <w:rsid w:val="002F7467"/>
    <w:rsid w:val="002F76D5"/>
    <w:rsid w:val="002F7769"/>
    <w:rsid w:val="002F7A6B"/>
    <w:rsid w:val="002F7A8D"/>
    <w:rsid w:val="002F7C35"/>
    <w:rsid w:val="002F7F25"/>
    <w:rsid w:val="003001AF"/>
    <w:rsid w:val="0030024C"/>
    <w:rsid w:val="0030053E"/>
    <w:rsid w:val="00300B2E"/>
    <w:rsid w:val="003010E1"/>
    <w:rsid w:val="0030126B"/>
    <w:rsid w:val="003015B1"/>
    <w:rsid w:val="003017AA"/>
    <w:rsid w:val="00301835"/>
    <w:rsid w:val="00301C03"/>
    <w:rsid w:val="00301CC8"/>
    <w:rsid w:val="00301E93"/>
    <w:rsid w:val="00301F85"/>
    <w:rsid w:val="00302336"/>
    <w:rsid w:val="003023BE"/>
    <w:rsid w:val="003024B1"/>
    <w:rsid w:val="00302CC0"/>
    <w:rsid w:val="00302DAC"/>
    <w:rsid w:val="00303555"/>
    <w:rsid w:val="00303759"/>
    <w:rsid w:val="00303818"/>
    <w:rsid w:val="00303821"/>
    <w:rsid w:val="003039D3"/>
    <w:rsid w:val="00303BE2"/>
    <w:rsid w:val="00303C81"/>
    <w:rsid w:val="003041BE"/>
    <w:rsid w:val="003043CD"/>
    <w:rsid w:val="00304476"/>
    <w:rsid w:val="00304635"/>
    <w:rsid w:val="00304653"/>
    <w:rsid w:val="00304983"/>
    <w:rsid w:val="003049AF"/>
    <w:rsid w:val="003049C9"/>
    <w:rsid w:val="00304B4B"/>
    <w:rsid w:val="00304BFA"/>
    <w:rsid w:val="00304D0D"/>
    <w:rsid w:val="00304D38"/>
    <w:rsid w:val="00304F20"/>
    <w:rsid w:val="0030513E"/>
    <w:rsid w:val="00305153"/>
    <w:rsid w:val="00305223"/>
    <w:rsid w:val="003052D6"/>
    <w:rsid w:val="00305310"/>
    <w:rsid w:val="003053AD"/>
    <w:rsid w:val="003054BC"/>
    <w:rsid w:val="0030550E"/>
    <w:rsid w:val="0030570F"/>
    <w:rsid w:val="003057A0"/>
    <w:rsid w:val="003057B8"/>
    <w:rsid w:val="003058CE"/>
    <w:rsid w:val="00305C46"/>
    <w:rsid w:val="00305C72"/>
    <w:rsid w:val="00305D43"/>
    <w:rsid w:val="00305F4B"/>
    <w:rsid w:val="00305FD4"/>
    <w:rsid w:val="003060A7"/>
    <w:rsid w:val="003060B8"/>
    <w:rsid w:val="003061F7"/>
    <w:rsid w:val="0030626A"/>
    <w:rsid w:val="0030673A"/>
    <w:rsid w:val="0030679B"/>
    <w:rsid w:val="0030693B"/>
    <w:rsid w:val="003069C6"/>
    <w:rsid w:val="003069E3"/>
    <w:rsid w:val="00306A5F"/>
    <w:rsid w:val="00306BBC"/>
    <w:rsid w:val="00306E53"/>
    <w:rsid w:val="003070DF"/>
    <w:rsid w:val="0030719E"/>
    <w:rsid w:val="00307261"/>
    <w:rsid w:val="003072B0"/>
    <w:rsid w:val="00307511"/>
    <w:rsid w:val="003075B8"/>
    <w:rsid w:val="003075BA"/>
    <w:rsid w:val="0030764D"/>
    <w:rsid w:val="003077EF"/>
    <w:rsid w:val="00307AB6"/>
    <w:rsid w:val="00307B2F"/>
    <w:rsid w:val="00307D47"/>
    <w:rsid w:val="00307EED"/>
    <w:rsid w:val="00307FC8"/>
    <w:rsid w:val="0031015E"/>
    <w:rsid w:val="003108A8"/>
    <w:rsid w:val="003108CC"/>
    <w:rsid w:val="0031095D"/>
    <w:rsid w:val="00310E40"/>
    <w:rsid w:val="003110B2"/>
    <w:rsid w:val="00311237"/>
    <w:rsid w:val="0031136A"/>
    <w:rsid w:val="003113C3"/>
    <w:rsid w:val="0031143F"/>
    <w:rsid w:val="00311457"/>
    <w:rsid w:val="003114BB"/>
    <w:rsid w:val="003119E4"/>
    <w:rsid w:val="00311C77"/>
    <w:rsid w:val="00311D91"/>
    <w:rsid w:val="003123E3"/>
    <w:rsid w:val="00312432"/>
    <w:rsid w:val="0031245A"/>
    <w:rsid w:val="00312595"/>
    <w:rsid w:val="003125C3"/>
    <w:rsid w:val="003126F7"/>
    <w:rsid w:val="003129BD"/>
    <w:rsid w:val="00312AAD"/>
    <w:rsid w:val="00312ACD"/>
    <w:rsid w:val="00312C3B"/>
    <w:rsid w:val="00312CBB"/>
    <w:rsid w:val="00312D4A"/>
    <w:rsid w:val="0031308F"/>
    <w:rsid w:val="0031340C"/>
    <w:rsid w:val="00313470"/>
    <w:rsid w:val="003135C8"/>
    <w:rsid w:val="0031372F"/>
    <w:rsid w:val="00313960"/>
    <w:rsid w:val="003139C7"/>
    <w:rsid w:val="00313B78"/>
    <w:rsid w:val="00313D1F"/>
    <w:rsid w:val="00314018"/>
    <w:rsid w:val="003147E2"/>
    <w:rsid w:val="003151C9"/>
    <w:rsid w:val="003151D3"/>
    <w:rsid w:val="00315284"/>
    <w:rsid w:val="00315293"/>
    <w:rsid w:val="00315319"/>
    <w:rsid w:val="00315333"/>
    <w:rsid w:val="00315509"/>
    <w:rsid w:val="00315AF8"/>
    <w:rsid w:val="00315C17"/>
    <w:rsid w:val="00316345"/>
    <w:rsid w:val="00316356"/>
    <w:rsid w:val="00316409"/>
    <w:rsid w:val="003169FD"/>
    <w:rsid w:val="00316A0E"/>
    <w:rsid w:val="00316AA3"/>
    <w:rsid w:val="00316AD5"/>
    <w:rsid w:val="00316DC8"/>
    <w:rsid w:val="00316EAA"/>
    <w:rsid w:val="00316ECF"/>
    <w:rsid w:val="00316F14"/>
    <w:rsid w:val="003177D0"/>
    <w:rsid w:val="0031780B"/>
    <w:rsid w:val="003178E9"/>
    <w:rsid w:val="00317AAE"/>
    <w:rsid w:val="00317BB8"/>
    <w:rsid w:val="00317D82"/>
    <w:rsid w:val="00317E2A"/>
    <w:rsid w:val="0032012F"/>
    <w:rsid w:val="00320150"/>
    <w:rsid w:val="0032026B"/>
    <w:rsid w:val="00320485"/>
    <w:rsid w:val="00320486"/>
    <w:rsid w:val="0032063A"/>
    <w:rsid w:val="003206D7"/>
    <w:rsid w:val="00320DBF"/>
    <w:rsid w:val="00320ED0"/>
    <w:rsid w:val="00321031"/>
    <w:rsid w:val="003213C8"/>
    <w:rsid w:val="003215B6"/>
    <w:rsid w:val="00321675"/>
    <w:rsid w:val="003217AB"/>
    <w:rsid w:val="003217B5"/>
    <w:rsid w:val="003219BA"/>
    <w:rsid w:val="00321B6B"/>
    <w:rsid w:val="00321DB2"/>
    <w:rsid w:val="00321FAA"/>
    <w:rsid w:val="00321FC7"/>
    <w:rsid w:val="00322004"/>
    <w:rsid w:val="003220E7"/>
    <w:rsid w:val="00322124"/>
    <w:rsid w:val="003221BA"/>
    <w:rsid w:val="003225E8"/>
    <w:rsid w:val="003226D5"/>
    <w:rsid w:val="0032274F"/>
    <w:rsid w:val="00322849"/>
    <w:rsid w:val="00322894"/>
    <w:rsid w:val="003228EC"/>
    <w:rsid w:val="003229D7"/>
    <w:rsid w:val="00322CCB"/>
    <w:rsid w:val="00322D8D"/>
    <w:rsid w:val="00322E54"/>
    <w:rsid w:val="00322E79"/>
    <w:rsid w:val="00322E8E"/>
    <w:rsid w:val="00322EDB"/>
    <w:rsid w:val="00323580"/>
    <w:rsid w:val="003238C4"/>
    <w:rsid w:val="00323902"/>
    <w:rsid w:val="00323988"/>
    <w:rsid w:val="00323A42"/>
    <w:rsid w:val="00323BD6"/>
    <w:rsid w:val="00323EAD"/>
    <w:rsid w:val="00323F60"/>
    <w:rsid w:val="00323FA7"/>
    <w:rsid w:val="003240F8"/>
    <w:rsid w:val="0032422F"/>
    <w:rsid w:val="00324395"/>
    <w:rsid w:val="00324683"/>
    <w:rsid w:val="003246A0"/>
    <w:rsid w:val="003247D4"/>
    <w:rsid w:val="003249AE"/>
    <w:rsid w:val="00324A71"/>
    <w:rsid w:val="00324D09"/>
    <w:rsid w:val="0032512E"/>
    <w:rsid w:val="00325292"/>
    <w:rsid w:val="00325681"/>
    <w:rsid w:val="003256F2"/>
    <w:rsid w:val="0032594D"/>
    <w:rsid w:val="003259CA"/>
    <w:rsid w:val="00325AB1"/>
    <w:rsid w:val="00325EBA"/>
    <w:rsid w:val="00326016"/>
    <w:rsid w:val="0032603C"/>
    <w:rsid w:val="00326073"/>
    <w:rsid w:val="003262E4"/>
    <w:rsid w:val="00326575"/>
    <w:rsid w:val="003266DA"/>
    <w:rsid w:val="003267C9"/>
    <w:rsid w:val="00326B7E"/>
    <w:rsid w:val="00326C04"/>
    <w:rsid w:val="0032709E"/>
    <w:rsid w:val="003270CE"/>
    <w:rsid w:val="00327121"/>
    <w:rsid w:val="003271FD"/>
    <w:rsid w:val="00327291"/>
    <w:rsid w:val="0032730D"/>
    <w:rsid w:val="00327375"/>
    <w:rsid w:val="00327596"/>
    <w:rsid w:val="00327778"/>
    <w:rsid w:val="00327A80"/>
    <w:rsid w:val="00327AF5"/>
    <w:rsid w:val="00330044"/>
    <w:rsid w:val="00330066"/>
    <w:rsid w:val="003303CE"/>
    <w:rsid w:val="00330499"/>
    <w:rsid w:val="0033069F"/>
    <w:rsid w:val="00330717"/>
    <w:rsid w:val="003307AF"/>
    <w:rsid w:val="00330911"/>
    <w:rsid w:val="00330AC3"/>
    <w:rsid w:val="00330AFF"/>
    <w:rsid w:val="00330B2A"/>
    <w:rsid w:val="00330FA4"/>
    <w:rsid w:val="00331233"/>
    <w:rsid w:val="003312CF"/>
    <w:rsid w:val="00331796"/>
    <w:rsid w:val="00331A8D"/>
    <w:rsid w:val="00331B1D"/>
    <w:rsid w:val="00331C05"/>
    <w:rsid w:val="00331C6E"/>
    <w:rsid w:val="00331CD3"/>
    <w:rsid w:val="00331D5D"/>
    <w:rsid w:val="00331F73"/>
    <w:rsid w:val="00332821"/>
    <w:rsid w:val="0033285C"/>
    <w:rsid w:val="00332A6C"/>
    <w:rsid w:val="00332B2C"/>
    <w:rsid w:val="00332C3F"/>
    <w:rsid w:val="00332D7C"/>
    <w:rsid w:val="00332E09"/>
    <w:rsid w:val="00332EDC"/>
    <w:rsid w:val="003330B1"/>
    <w:rsid w:val="003332A8"/>
    <w:rsid w:val="00333387"/>
    <w:rsid w:val="003335EB"/>
    <w:rsid w:val="0033363C"/>
    <w:rsid w:val="0033372B"/>
    <w:rsid w:val="00333834"/>
    <w:rsid w:val="00333DC2"/>
    <w:rsid w:val="00333DD1"/>
    <w:rsid w:val="00333EBF"/>
    <w:rsid w:val="0033430D"/>
    <w:rsid w:val="00334394"/>
    <w:rsid w:val="00334532"/>
    <w:rsid w:val="003345A1"/>
    <w:rsid w:val="003345BB"/>
    <w:rsid w:val="0033468F"/>
    <w:rsid w:val="00334887"/>
    <w:rsid w:val="00334B66"/>
    <w:rsid w:val="00334B83"/>
    <w:rsid w:val="00334C84"/>
    <w:rsid w:val="00334CB2"/>
    <w:rsid w:val="00334CCB"/>
    <w:rsid w:val="00334F45"/>
    <w:rsid w:val="00335056"/>
    <w:rsid w:val="00335202"/>
    <w:rsid w:val="003352AA"/>
    <w:rsid w:val="0033535D"/>
    <w:rsid w:val="0033536B"/>
    <w:rsid w:val="0033545E"/>
    <w:rsid w:val="0033553D"/>
    <w:rsid w:val="003357A2"/>
    <w:rsid w:val="00335F9E"/>
    <w:rsid w:val="00335FAA"/>
    <w:rsid w:val="00336013"/>
    <w:rsid w:val="00336119"/>
    <w:rsid w:val="00336183"/>
    <w:rsid w:val="00336245"/>
    <w:rsid w:val="0033626C"/>
    <w:rsid w:val="00336808"/>
    <w:rsid w:val="00336954"/>
    <w:rsid w:val="00336986"/>
    <w:rsid w:val="00336A11"/>
    <w:rsid w:val="00336CF8"/>
    <w:rsid w:val="00336DAD"/>
    <w:rsid w:val="0033707D"/>
    <w:rsid w:val="003370A1"/>
    <w:rsid w:val="00337213"/>
    <w:rsid w:val="00337218"/>
    <w:rsid w:val="00337278"/>
    <w:rsid w:val="003372BC"/>
    <w:rsid w:val="00337396"/>
    <w:rsid w:val="003373E5"/>
    <w:rsid w:val="00337460"/>
    <w:rsid w:val="00337602"/>
    <w:rsid w:val="003378EF"/>
    <w:rsid w:val="00337A81"/>
    <w:rsid w:val="00337AD5"/>
    <w:rsid w:val="00337B85"/>
    <w:rsid w:val="00337BED"/>
    <w:rsid w:val="00337C1F"/>
    <w:rsid w:val="00337D1F"/>
    <w:rsid w:val="00337E61"/>
    <w:rsid w:val="00340715"/>
    <w:rsid w:val="003407AA"/>
    <w:rsid w:val="00340842"/>
    <w:rsid w:val="00340910"/>
    <w:rsid w:val="00340956"/>
    <w:rsid w:val="00340978"/>
    <w:rsid w:val="00340A6F"/>
    <w:rsid w:val="00340CED"/>
    <w:rsid w:val="00340D4A"/>
    <w:rsid w:val="00340D57"/>
    <w:rsid w:val="00340FD6"/>
    <w:rsid w:val="00341229"/>
    <w:rsid w:val="003412BA"/>
    <w:rsid w:val="003414D3"/>
    <w:rsid w:val="0034163B"/>
    <w:rsid w:val="00341B1A"/>
    <w:rsid w:val="00341B20"/>
    <w:rsid w:val="00341DAF"/>
    <w:rsid w:val="00341FE7"/>
    <w:rsid w:val="0034212B"/>
    <w:rsid w:val="003424F0"/>
    <w:rsid w:val="0034262C"/>
    <w:rsid w:val="003428F4"/>
    <w:rsid w:val="00342BBE"/>
    <w:rsid w:val="00342CB8"/>
    <w:rsid w:val="00342CD5"/>
    <w:rsid w:val="00342DB9"/>
    <w:rsid w:val="0034302D"/>
    <w:rsid w:val="00343179"/>
    <w:rsid w:val="003431DE"/>
    <w:rsid w:val="0034343F"/>
    <w:rsid w:val="0034357C"/>
    <w:rsid w:val="00343622"/>
    <w:rsid w:val="00343666"/>
    <w:rsid w:val="003439DA"/>
    <w:rsid w:val="003439FE"/>
    <w:rsid w:val="00343A94"/>
    <w:rsid w:val="00343E86"/>
    <w:rsid w:val="00343F87"/>
    <w:rsid w:val="003442B6"/>
    <w:rsid w:val="003443D3"/>
    <w:rsid w:val="003443E7"/>
    <w:rsid w:val="0034449B"/>
    <w:rsid w:val="003444EC"/>
    <w:rsid w:val="0034479C"/>
    <w:rsid w:val="0034493F"/>
    <w:rsid w:val="0034496D"/>
    <w:rsid w:val="00344A48"/>
    <w:rsid w:val="00344A54"/>
    <w:rsid w:val="00344AF4"/>
    <w:rsid w:val="00344AF8"/>
    <w:rsid w:val="00344C57"/>
    <w:rsid w:val="00344CD5"/>
    <w:rsid w:val="00344D12"/>
    <w:rsid w:val="00344D56"/>
    <w:rsid w:val="00344E6B"/>
    <w:rsid w:val="00344FA2"/>
    <w:rsid w:val="00345013"/>
    <w:rsid w:val="00345095"/>
    <w:rsid w:val="00345264"/>
    <w:rsid w:val="003453CC"/>
    <w:rsid w:val="003457D0"/>
    <w:rsid w:val="003458E7"/>
    <w:rsid w:val="00345ABD"/>
    <w:rsid w:val="00345CC1"/>
    <w:rsid w:val="00345D31"/>
    <w:rsid w:val="00345DDA"/>
    <w:rsid w:val="00345E6E"/>
    <w:rsid w:val="00345EA4"/>
    <w:rsid w:val="00345F8C"/>
    <w:rsid w:val="00345FBB"/>
    <w:rsid w:val="00345FDC"/>
    <w:rsid w:val="00346142"/>
    <w:rsid w:val="003463DE"/>
    <w:rsid w:val="00346554"/>
    <w:rsid w:val="0034657E"/>
    <w:rsid w:val="00346773"/>
    <w:rsid w:val="003467FE"/>
    <w:rsid w:val="003468D9"/>
    <w:rsid w:val="00346941"/>
    <w:rsid w:val="0034695F"/>
    <w:rsid w:val="00346BC1"/>
    <w:rsid w:val="00346F1B"/>
    <w:rsid w:val="00347015"/>
    <w:rsid w:val="0034701F"/>
    <w:rsid w:val="00347095"/>
    <w:rsid w:val="00347167"/>
    <w:rsid w:val="00347527"/>
    <w:rsid w:val="00347559"/>
    <w:rsid w:val="00347613"/>
    <w:rsid w:val="00347802"/>
    <w:rsid w:val="0034783E"/>
    <w:rsid w:val="00347CF7"/>
    <w:rsid w:val="00347EAB"/>
    <w:rsid w:val="00347F51"/>
    <w:rsid w:val="0035028C"/>
    <w:rsid w:val="00350693"/>
    <w:rsid w:val="003507F7"/>
    <w:rsid w:val="0035083D"/>
    <w:rsid w:val="003508A4"/>
    <w:rsid w:val="00350939"/>
    <w:rsid w:val="00350958"/>
    <w:rsid w:val="00350AB9"/>
    <w:rsid w:val="00350C13"/>
    <w:rsid w:val="00350DD1"/>
    <w:rsid w:val="00351266"/>
    <w:rsid w:val="003512FD"/>
    <w:rsid w:val="00351421"/>
    <w:rsid w:val="0035142D"/>
    <w:rsid w:val="003514E3"/>
    <w:rsid w:val="00351507"/>
    <w:rsid w:val="00351966"/>
    <w:rsid w:val="00352008"/>
    <w:rsid w:val="0035207A"/>
    <w:rsid w:val="00352194"/>
    <w:rsid w:val="003521A6"/>
    <w:rsid w:val="00352AB4"/>
    <w:rsid w:val="00352C02"/>
    <w:rsid w:val="00352C4F"/>
    <w:rsid w:val="00352C7F"/>
    <w:rsid w:val="00352E3B"/>
    <w:rsid w:val="00352FFF"/>
    <w:rsid w:val="0035328B"/>
    <w:rsid w:val="00353298"/>
    <w:rsid w:val="00353353"/>
    <w:rsid w:val="00353401"/>
    <w:rsid w:val="0035375D"/>
    <w:rsid w:val="003538B8"/>
    <w:rsid w:val="00353A39"/>
    <w:rsid w:val="00353BBE"/>
    <w:rsid w:val="00353E4F"/>
    <w:rsid w:val="00353F1F"/>
    <w:rsid w:val="00353F7E"/>
    <w:rsid w:val="00354291"/>
    <w:rsid w:val="0035442A"/>
    <w:rsid w:val="003545BF"/>
    <w:rsid w:val="003550FC"/>
    <w:rsid w:val="00355453"/>
    <w:rsid w:val="0035594C"/>
    <w:rsid w:val="00355A81"/>
    <w:rsid w:val="00355AF7"/>
    <w:rsid w:val="003561DC"/>
    <w:rsid w:val="00356497"/>
    <w:rsid w:val="003564E8"/>
    <w:rsid w:val="003566B6"/>
    <w:rsid w:val="00356789"/>
    <w:rsid w:val="00356926"/>
    <w:rsid w:val="00356B35"/>
    <w:rsid w:val="00356BC0"/>
    <w:rsid w:val="00356D3F"/>
    <w:rsid w:val="003571A2"/>
    <w:rsid w:val="00357203"/>
    <w:rsid w:val="0035720E"/>
    <w:rsid w:val="00357262"/>
    <w:rsid w:val="00357B20"/>
    <w:rsid w:val="00357B22"/>
    <w:rsid w:val="00357DD5"/>
    <w:rsid w:val="00357FD5"/>
    <w:rsid w:val="003601BE"/>
    <w:rsid w:val="003601FD"/>
    <w:rsid w:val="0036024F"/>
    <w:rsid w:val="003602FE"/>
    <w:rsid w:val="0036037A"/>
    <w:rsid w:val="003604C6"/>
    <w:rsid w:val="003604F8"/>
    <w:rsid w:val="003605B2"/>
    <w:rsid w:val="003608D6"/>
    <w:rsid w:val="00360A00"/>
    <w:rsid w:val="00360C92"/>
    <w:rsid w:val="00360E8B"/>
    <w:rsid w:val="00360F16"/>
    <w:rsid w:val="0036109C"/>
    <w:rsid w:val="00361181"/>
    <w:rsid w:val="0036123F"/>
    <w:rsid w:val="00361261"/>
    <w:rsid w:val="0036135B"/>
    <w:rsid w:val="00361377"/>
    <w:rsid w:val="003616FD"/>
    <w:rsid w:val="00361936"/>
    <w:rsid w:val="00361AE6"/>
    <w:rsid w:val="00361AF3"/>
    <w:rsid w:val="00361DB7"/>
    <w:rsid w:val="00361F3F"/>
    <w:rsid w:val="00362398"/>
    <w:rsid w:val="0036240F"/>
    <w:rsid w:val="003624F1"/>
    <w:rsid w:val="00362893"/>
    <w:rsid w:val="00362CAA"/>
    <w:rsid w:val="00362E08"/>
    <w:rsid w:val="00362E68"/>
    <w:rsid w:val="00362F93"/>
    <w:rsid w:val="0036300D"/>
    <w:rsid w:val="00363162"/>
    <w:rsid w:val="003632EC"/>
    <w:rsid w:val="0036345E"/>
    <w:rsid w:val="00363567"/>
    <w:rsid w:val="0036374B"/>
    <w:rsid w:val="003638C4"/>
    <w:rsid w:val="003638E1"/>
    <w:rsid w:val="003639F3"/>
    <w:rsid w:val="00363B20"/>
    <w:rsid w:val="00363C34"/>
    <w:rsid w:val="00363CD4"/>
    <w:rsid w:val="00363DEB"/>
    <w:rsid w:val="00363F00"/>
    <w:rsid w:val="00363F3D"/>
    <w:rsid w:val="0036410D"/>
    <w:rsid w:val="00364119"/>
    <w:rsid w:val="003641C6"/>
    <w:rsid w:val="00364263"/>
    <w:rsid w:val="003644E7"/>
    <w:rsid w:val="0036450C"/>
    <w:rsid w:val="003645D9"/>
    <w:rsid w:val="00364642"/>
    <w:rsid w:val="00364677"/>
    <w:rsid w:val="00364B85"/>
    <w:rsid w:val="00364CB3"/>
    <w:rsid w:val="00364FC1"/>
    <w:rsid w:val="003650FB"/>
    <w:rsid w:val="00365250"/>
    <w:rsid w:val="003652C4"/>
    <w:rsid w:val="0036577B"/>
    <w:rsid w:val="00365C93"/>
    <w:rsid w:val="00365CD0"/>
    <w:rsid w:val="00365D68"/>
    <w:rsid w:val="00365F93"/>
    <w:rsid w:val="00366144"/>
    <w:rsid w:val="00366190"/>
    <w:rsid w:val="00366330"/>
    <w:rsid w:val="003663AF"/>
    <w:rsid w:val="003663C4"/>
    <w:rsid w:val="003664D6"/>
    <w:rsid w:val="0036659F"/>
    <w:rsid w:val="00366804"/>
    <w:rsid w:val="0036680E"/>
    <w:rsid w:val="003668C8"/>
    <w:rsid w:val="00366B35"/>
    <w:rsid w:val="00366C70"/>
    <w:rsid w:val="00366E6C"/>
    <w:rsid w:val="00366FA1"/>
    <w:rsid w:val="00367082"/>
    <w:rsid w:val="00367300"/>
    <w:rsid w:val="0036744E"/>
    <w:rsid w:val="00367578"/>
    <w:rsid w:val="0036761A"/>
    <w:rsid w:val="003678F7"/>
    <w:rsid w:val="00367B7A"/>
    <w:rsid w:val="00367BA4"/>
    <w:rsid w:val="00367BD7"/>
    <w:rsid w:val="00367ECD"/>
    <w:rsid w:val="00367ECE"/>
    <w:rsid w:val="00370359"/>
    <w:rsid w:val="00370404"/>
    <w:rsid w:val="00370423"/>
    <w:rsid w:val="00370466"/>
    <w:rsid w:val="0037051E"/>
    <w:rsid w:val="003705E3"/>
    <w:rsid w:val="003707E0"/>
    <w:rsid w:val="00370958"/>
    <w:rsid w:val="00370B19"/>
    <w:rsid w:val="00370D82"/>
    <w:rsid w:val="00370DB9"/>
    <w:rsid w:val="00370FF4"/>
    <w:rsid w:val="003713F4"/>
    <w:rsid w:val="003716BF"/>
    <w:rsid w:val="003716C2"/>
    <w:rsid w:val="00371AB5"/>
    <w:rsid w:val="00371F18"/>
    <w:rsid w:val="00371FAE"/>
    <w:rsid w:val="003720CA"/>
    <w:rsid w:val="003720DC"/>
    <w:rsid w:val="00372225"/>
    <w:rsid w:val="00372606"/>
    <w:rsid w:val="00372891"/>
    <w:rsid w:val="0037289F"/>
    <w:rsid w:val="00372914"/>
    <w:rsid w:val="00372ADE"/>
    <w:rsid w:val="00372B9C"/>
    <w:rsid w:val="00372BE0"/>
    <w:rsid w:val="00373106"/>
    <w:rsid w:val="00373210"/>
    <w:rsid w:val="0037328F"/>
    <w:rsid w:val="0037355D"/>
    <w:rsid w:val="0037394A"/>
    <w:rsid w:val="003739F6"/>
    <w:rsid w:val="00373A62"/>
    <w:rsid w:val="00373D12"/>
    <w:rsid w:val="00373D17"/>
    <w:rsid w:val="00373FEC"/>
    <w:rsid w:val="00374175"/>
    <w:rsid w:val="00374716"/>
    <w:rsid w:val="003747BA"/>
    <w:rsid w:val="00374A21"/>
    <w:rsid w:val="00374A52"/>
    <w:rsid w:val="00374B25"/>
    <w:rsid w:val="00374FD6"/>
    <w:rsid w:val="00375293"/>
    <w:rsid w:val="003752CE"/>
    <w:rsid w:val="003753C5"/>
    <w:rsid w:val="00375555"/>
    <w:rsid w:val="003757AA"/>
    <w:rsid w:val="003758B5"/>
    <w:rsid w:val="0037592E"/>
    <w:rsid w:val="00375D97"/>
    <w:rsid w:val="00375E66"/>
    <w:rsid w:val="00375EC0"/>
    <w:rsid w:val="00376178"/>
    <w:rsid w:val="003761A8"/>
    <w:rsid w:val="003764E3"/>
    <w:rsid w:val="00376905"/>
    <w:rsid w:val="00376983"/>
    <w:rsid w:val="00376B34"/>
    <w:rsid w:val="00376B4E"/>
    <w:rsid w:val="00376CAF"/>
    <w:rsid w:val="00376E83"/>
    <w:rsid w:val="00376EE7"/>
    <w:rsid w:val="003770B2"/>
    <w:rsid w:val="003770C2"/>
    <w:rsid w:val="00377260"/>
    <w:rsid w:val="00377472"/>
    <w:rsid w:val="003774DE"/>
    <w:rsid w:val="0037780D"/>
    <w:rsid w:val="003778DA"/>
    <w:rsid w:val="00377B09"/>
    <w:rsid w:val="00377B92"/>
    <w:rsid w:val="00380007"/>
    <w:rsid w:val="00380335"/>
    <w:rsid w:val="00380574"/>
    <w:rsid w:val="0038058E"/>
    <w:rsid w:val="003805F2"/>
    <w:rsid w:val="003808E8"/>
    <w:rsid w:val="00380B16"/>
    <w:rsid w:val="00380BB3"/>
    <w:rsid w:val="00380E91"/>
    <w:rsid w:val="00381149"/>
    <w:rsid w:val="00381775"/>
    <w:rsid w:val="003817E3"/>
    <w:rsid w:val="003817FD"/>
    <w:rsid w:val="00381913"/>
    <w:rsid w:val="003819C1"/>
    <w:rsid w:val="00381A94"/>
    <w:rsid w:val="00381AC7"/>
    <w:rsid w:val="00381BFC"/>
    <w:rsid w:val="00381C38"/>
    <w:rsid w:val="00381D71"/>
    <w:rsid w:val="00381EDC"/>
    <w:rsid w:val="00381EEC"/>
    <w:rsid w:val="00381F42"/>
    <w:rsid w:val="00381FB9"/>
    <w:rsid w:val="00381FF8"/>
    <w:rsid w:val="003821D2"/>
    <w:rsid w:val="00382240"/>
    <w:rsid w:val="003824C0"/>
    <w:rsid w:val="003826D7"/>
    <w:rsid w:val="003827EA"/>
    <w:rsid w:val="00382C40"/>
    <w:rsid w:val="00382E6E"/>
    <w:rsid w:val="00383280"/>
    <w:rsid w:val="0038329F"/>
    <w:rsid w:val="0038331E"/>
    <w:rsid w:val="0038337D"/>
    <w:rsid w:val="00383442"/>
    <w:rsid w:val="0038359A"/>
    <w:rsid w:val="00383AC3"/>
    <w:rsid w:val="00384545"/>
    <w:rsid w:val="003845C7"/>
    <w:rsid w:val="0038465D"/>
    <w:rsid w:val="0038483A"/>
    <w:rsid w:val="00384A06"/>
    <w:rsid w:val="00384A6E"/>
    <w:rsid w:val="00384AD2"/>
    <w:rsid w:val="00384B29"/>
    <w:rsid w:val="00384D63"/>
    <w:rsid w:val="00384DBD"/>
    <w:rsid w:val="00384F4A"/>
    <w:rsid w:val="00385191"/>
    <w:rsid w:val="00385347"/>
    <w:rsid w:val="0038578C"/>
    <w:rsid w:val="00385A99"/>
    <w:rsid w:val="00385EDE"/>
    <w:rsid w:val="00385F2F"/>
    <w:rsid w:val="00386233"/>
    <w:rsid w:val="0038624E"/>
    <w:rsid w:val="003862D3"/>
    <w:rsid w:val="003862FA"/>
    <w:rsid w:val="0038652B"/>
    <w:rsid w:val="00386552"/>
    <w:rsid w:val="003868AE"/>
    <w:rsid w:val="00386A67"/>
    <w:rsid w:val="00386AD6"/>
    <w:rsid w:val="00386D79"/>
    <w:rsid w:val="00386F1A"/>
    <w:rsid w:val="00387087"/>
    <w:rsid w:val="00387093"/>
    <w:rsid w:val="0038756B"/>
    <w:rsid w:val="003875E8"/>
    <w:rsid w:val="0038766E"/>
    <w:rsid w:val="003877E0"/>
    <w:rsid w:val="003879F6"/>
    <w:rsid w:val="00387A12"/>
    <w:rsid w:val="00387A64"/>
    <w:rsid w:val="00387C88"/>
    <w:rsid w:val="00387D69"/>
    <w:rsid w:val="00387D84"/>
    <w:rsid w:val="0039030B"/>
    <w:rsid w:val="00390497"/>
    <w:rsid w:val="0039053B"/>
    <w:rsid w:val="0039068C"/>
    <w:rsid w:val="003906FD"/>
    <w:rsid w:val="00390753"/>
    <w:rsid w:val="00390983"/>
    <w:rsid w:val="003909B9"/>
    <w:rsid w:val="00390E40"/>
    <w:rsid w:val="00390ED0"/>
    <w:rsid w:val="00390F16"/>
    <w:rsid w:val="00391321"/>
    <w:rsid w:val="00391590"/>
    <w:rsid w:val="0039173C"/>
    <w:rsid w:val="00391868"/>
    <w:rsid w:val="00391C71"/>
    <w:rsid w:val="00391D2A"/>
    <w:rsid w:val="00391D7B"/>
    <w:rsid w:val="00391DAE"/>
    <w:rsid w:val="00391F17"/>
    <w:rsid w:val="00392187"/>
    <w:rsid w:val="003922CE"/>
    <w:rsid w:val="0039268D"/>
    <w:rsid w:val="003927F3"/>
    <w:rsid w:val="00392844"/>
    <w:rsid w:val="003928BE"/>
    <w:rsid w:val="00392B76"/>
    <w:rsid w:val="00392B83"/>
    <w:rsid w:val="00392CD5"/>
    <w:rsid w:val="00392CF4"/>
    <w:rsid w:val="00392DF3"/>
    <w:rsid w:val="00392ECC"/>
    <w:rsid w:val="0039321D"/>
    <w:rsid w:val="00393450"/>
    <w:rsid w:val="00393573"/>
    <w:rsid w:val="00393593"/>
    <w:rsid w:val="003937AC"/>
    <w:rsid w:val="00393907"/>
    <w:rsid w:val="003939F3"/>
    <w:rsid w:val="00393AC2"/>
    <w:rsid w:val="00393BED"/>
    <w:rsid w:val="00393EA2"/>
    <w:rsid w:val="00394716"/>
    <w:rsid w:val="003947A7"/>
    <w:rsid w:val="0039498C"/>
    <w:rsid w:val="00394A28"/>
    <w:rsid w:val="00394E49"/>
    <w:rsid w:val="00394E57"/>
    <w:rsid w:val="00394EBB"/>
    <w:rsid w:val="003950A2"/>
    <w:rsid w:val="00395266"/>
    <w:rsid w:val="0039554B"/>
    <w:rsid w:val="00395949"/>
    <w:rsid w:val="00395A32"/>
    <w:rsid w:val="00395E74"/>
    <w:rsid w:val="00395F79"/>
    <w:rsid w:val="00395FD9"/>
    <w:rsid w:val="003963E9"/>
    <w:rsid w:val="00396861"/>
    <w:rsid w:val="00396987"/>
    <w:rsid w:val="00396DA8"/>
    <w:rsid w:val="00396DE4"/>
    <w:rsid w:val="00396E38"/>
    <w:rsid w:val="00396F43"/>
    <w:rsid w:val="00396FDA"/>
    <w:rsid w:val="003971B6"/>
    <w:rsid w:val="003971E6"/>
    <w:rsid w:val="00397205"/>
    <w:rsid w:val="0039759B"/>
    <w:rsid w:val="00397E02"/>
    <w:rsid w:val="00397FD2"/>
    <w:rsid w:val="003A0236"/>
    <w:rsid w:val="003A02F4"/>
    <w:rsid w:val="003A0410"/>
    <w:rsid w:val="003A0795"/>
    <w:rsid w:val="003A07E0"/>
    <w:rsid w:val="003A08AD"/>
    <w:rsid w:val="003A0BB3"/>
    <w:rsid w:val="003A0BD6"/>
    <w:rsid w:val="003A0DE3"/>
    <w:rsid w:val="003A0F05"/>
    <w:rsid w:val="003A1522"/>
    <w:rsid w:val="003A1770"/>
    <w:rsid w:val="003A17BA"/>
    <w:rsid w:val="003A183D"/>
    <w:rsid w:val="003A18FB"/>
    <w:rsid w:val="003A1930"/>
    <w:rsid w:val="003A1C03"/>
    <w:rsid w:val="003A1CB9"/>
    <w:rsid w:val="003A1F0D"/>
    <w:rsid w:val="003A2099"/>
    <w:rsid w:val="003A227B"/>
    <w:rsid w:val="003A249A"/>
    <w:rsid w:val="003A24EB"/>
    <w:rsid w:val="003A2551"/>
    <w:rsid w:val="003A25A5"/>
    <w:rsid w:val="003A25F2"/>
    <w:rsid w:val="003A2786"/>
    <w:rsid w:val="003A2953"/>
    <w:rsid w:val="003A2AF0"/>
    <w:rsid w:val="003A2CB4"/>
    <w:rsid w:val="003A2D69"/>
    <w:rsid w:val="003A2E2E"/>
    <w:rsid w:val="003A2FE9"/>
    <w:rsid w:val="003A306F"/>
    <w:rsid w:val="003A318F"/>
    <w:rsid w:val="003A3480"/>
    <w:rsid w:val="003A3656"/>
    <w:rsid w:val="003A36B5"/>
    <w:rsid w:val="003A36F4"/>
    <w:rsid w:val="003A3769"/>
    <w:rsid w:val="003A3817"/>
    <w:rsid w:val="003A3A9B"/>
    <w:rsid w:val="003A3D12"/>
    <w:rsid w:val="003A3E32"/>
    <w:rsid w:val="003A3F86"/>
    <w:rsid w:val="003A4076"/>
    <w:rsid w:val="003A4290"/>
    <w:rsid w:val="003A43EB"/>
    <w:rsid w:val="003A4427"/>
    <w:rsid w:val="003A44D1"/>
    <w:rsid w:val="003A47E2"/>
    <w:rsid w:val="003A4800"/>
    <w:rsid w:val="003A4D64"/>
    <w:rsid w:val="003A4E98"/>
    <w:rsid w:val="003A5018"/>
    <w:rsid w:val="003A51C1"/>
    <w:rsid w:val="003A52B8"/>
    <w:rsid w:val="003A5432"/>
    <w:rsid w:val="003A5721"/>
    <w:rsid w:val="003A5977"/>
    <w:rsid w:val="003A59E9"/>
    <w:rsid w:val="003A5BD4"/>
    <w:rsid w:val="003A64BE"/>
    <w:rsid w:val="003A6574"/>
    <w:rsid w:val="003A6583"/>
    <w:rsid w:val="003A66F4"/>
    <w:rsid w:val="003A6837"/>
    <w:rsid w:val="003A6932"/>
    <w:rsid w:val="003A6C2A"/>
    <w:rsid w:val="003A6CD6"/>
    <w:rsid w:val="003A6CF5"/>
    <w:rsid w:val="003A6E33"/>
    <w:rsid w:val="003A6E7E"/>
    <w:rsid w:val="003A6EAD"/>
    <w:rsid w:val="003A700A"/>
    <w:rsid w:val="003A712D"/>
    <w:rsid w:val="003A71D5"/>
    <w:rsid w:val="003A747E"/>
    <w:rsid w:val="003A764C"/>
    <w:rsid w:val="003A779F"/>
    <w:rsid w:val="003A77A0"/>
    <w:rsid w:val="003A77A3"/>
    <w:rsid w:val="003A7C9A"/>
    <w:rsid w:val="003A7CC8"/>
    <w:rsid w:val="003A7E7B"/>
    <w:rsid w:val="003B0206"/>
    <w:rsid w:val="003B0925"/>
    <w:rsid w:val="003B0928"/>
    <w:rsid w:val="003B09A4"/>
    <w:rsid w:val="003B0A05"/>
    <w:rsid w:val="003B0A20"/>
    <w:rsid w:val="003B0A5D"/>
    <w:rsid w:val="003B0B02"/>
    <w:rsid w:val="003B0B2F"/>
    <w:rsid w:val="003B0BA4"/>
    <w:rsid w:val="003B0D72"/>
    <w:rsid w:val="003B0DAF"/>
    <w:rsid w:val="003B0FC3"/>
    <w:rsid w:val="003B0FDA"/>
    <w:rsid w:val="003B10D0"/>
    <w:rsid w:val="003B10DC"/>
    <w:rsid w:val="003B110B"/>
    <w:rsid w:val="003B1186"/>
    <w:rsid w:val="003B124D"/>
    <w:rsid w:val="003B145C"/>
    <w:rsid w:val="003B146B"/>
    <w:rsid w:val="003B14FD"/>
    <w:rsid w:val="003B1523"/>
    <w:rsid w:val="003B1846"/>
    <w:rsid w:val="003B1B72"/>
    <w:rsid w:val="003B1C23"/>
    <w:rsid w:val="003B1C7E"/>
    <w:rsid w:val="003B1DFC"/>
    <w:rsid w:val="003B1EA6"/>
    <w:rsid w:val="003B1EFB"/>
    <w:rsid w:val="003B2178"/>
    <w:rsid w:val="003B2538"/>
    <w:rsid w:val="003B266B"/>
    <w:rsid w:val="003B2AFB"/>
    <w:rsid w:val="003B2B40"/>
    <w:rsid w:val="003B2D44"/>
    <w:rsid w:val="003B2F32"/>
    <w:rsid w:val="003B3030"/>
    <w:rsid w:val="003B304C"/>
    <w:rsid w:val="003B30FB"/>
    <w:rsid w:val="003B3228"/>
    <w:rsid w:val="003B3237"/>
    <w:rsid w:val="003B3260"/>
    <w:rsid w:val="003B3291"/>
    <w:rsid w:val="003B3446"/>
    <w:rsid w:val="003B3595"/>
    <w:rsid w:val="003B3635"/>
    <w:rsid w:val="003B370B"/>
    <w:rsid w:val="003B372E"/>
    <w:rsid w:val="003B397E"/>
    <w:rsid w:val="003B3B3F"/>
    <w:rsid w:val="003B4154"/>
    <w:rsid w:val="003B4193"/>
    <w:rsid w:val="003B41EA"/>
    <w:rsid w:val="003B45A2"/>
    <w:rsid w:val="003B4667"/>
    <w:rsid w:val="003B46B5"/>
    <w:rsid w:val="003B472B"/>
    <w:rsid w:val="003B4797"/>
    <w:rsid w:val="003B4AA4"/>
    <w:rsid w:val="003B4AFA"/>
    <w:rsid w:val="003B4BE7"/>
    <w:rsid w:val="003B4D55"/>
    <w:rsid w:val="003B4D57"/>
    <w:rsid w:val="003B4F0E"/>
    <w:rsid w:val="003B51FF"/>
    <w:rsid w:val="003B53F9"/>
    <w:rsid w:val="003B5536"/>
    <w:rsid w:val="003B564C"/>
    <w:rsid w:val="003B56CB"/>
    <w:rsid w:val="003B58F9"/>
    <w:rsid w:val="003B59CB"/>
    <w:rsid w:val="003B5A54"/>
    <w:rsid w:val="003B5D07"/>
    <w:rsid w:val="003B6060"/>
    <w:rsid w:val="003B607F"/>
    <w:rsid w:val="003B6217"/>
    <w:rsid w:val="003B6233"/>
    <w:rsid w:val="003B6352"/>
    <w:rsid w:val="003B645F"/>
    <w:rsid w:val="003B665B"/>
    <w:rsid w:val="003B66F8"/>
    <w:rsid w:val="003B6985"/>
    <w:rsid w:val="003B6CA5"/>
    <w:rsid w:val="003B6DBC"/>
    <w:rsid w:val="003B6E28"/>
    <w:rsid w:val="003B7345"/>
    <w:rsid w:val="003B74DE"/>
    <w:rsid w:val="003B7519"/>
    <w:rsid w:val="003B7793"/>
    <w:rsid w:val="003B79F0"/>
    <w:rsid w:val="003B7B06"/>
    <w:rsid w:val="003B7B25"/>
    <w:rsid w:val="003B7B31"/>
    <w:rsid w:val="003B7B6B"/>
    <w:rsid w:val="003B7CD6"/>
    <w:rsid w:val="003B7D51"/>
    <w:rsid w:val="003B7F20"/>
    <w:rsid w:val="003C01EA"/>
    <w:rsid w:val="003C048A"/>
    <w:rsid w:val="003C0738"/>
    <w:rsid w:val="003C07A0"/>
    <w:rsid w:val="003C07A9"/>
    <w:rsid w:val="003C07B4"/>
    <w:rsid w:val="003C0851"/>
    <w:rsid w:val="003C09AF"/>
    <w:rsid w:val="003C0ADC"/>
    <w:rsid w:val="003C0F56"/>
    <w:rsid w:val="003C0FFF"/>
    <w:rsid w:val="003C11A0"/>
    <w:rsid w:val="003C12F6"/>
    <w:rsid w:val="003C146F"/>
    <w:rsid w:val="003C14C4"/>
    <w:rsid w:val="003C1504"/>
    <w:rsid w:val="003C1566"/>
    <w:rsid w:val="003C19E2"/>
    <w:rsid w:val="003C1C79"/>
    <w:rsid w:val="003C1E5E"/>
    <w:rsid w:val="003C1EB7"/>
    <w:rsid w:val="003C1FDE"/>
    <w:rsid w:val="003C20B0"/>
    <w:rsid w:val="003C215D"/>
    <w:rsid w:val="003C21F4"/>
    <w:rsid w:val="003C22FC"/>
    <w:rsid w:val="003C2334"/>
    <w:rsid w:val="003C246E"/>
    <w:rsid w:val="003C2528"/>
    <w:rsid w:val="003C25EE"/>
    <w:rsid w:val="003C27C6"/>
    <w:rsid w:val="003C29EE"/>
    <w:rsid w:val="003C2A0A"/>
    <w:rsid w:val="003C2AF8"/>
    <w:rsid w:val="003C2BFC"/>
    <w:rsid w:val="003C2E9E"/>
    <w:rsid w:val="003C2F65"/>
    <w:rsid w:val="003C306A"/>
    <w:rsid w:val="003C31FA"/>
    <w:rsid w:val="003C3246"/>
    <w:rsid w:val="003C3282"/>
    <w:rsid w:val="003C3331"/>
    <w:rsid w:val="003C36CC"/>
    <w:rsid w:val="003C39E1"/>
    <w:rsid w:val="003C3A5A"/>
    <w:rsid w:val="003C3D08"/>
    <w:rsid w:val="003C3F2E"/>
    <w:rsid w:val="003C4109"/>
    <w:rsid w:val="003C419F"/>
    <w:rsid w:val="003C4AD1"/>
    <w:rsid w:val="003C4B78"/>
    <w:rsid w:val="003C4CDA"/>
    <w:rsid w:val="003C4E12"/>
    <w:rsid w:val="003C4E1F"/>
    <w:rsid w:val="003C4E3A"/>
    <w:rsid w:val="003C5068"/>
    <w:rsid w:val="003C5140"/>
    <w:rsid w:val="003C54E5"/>
    <w:rsid w:val="003C5583"/>
    <w:rsid w:val="003C55DE"/>
    <w:rsid w:val="003C57CB"/>
    <w:rsid w:val="003C5D9C"/>
    <w:rsid w:val="003C611E"/>
    <w:rsid w:val="003C6188"/>
    <w:rsid w:val="003C6364"/>
    <w:rsid w:val="003C640E"/>
    <w:rsid w:val="003C65A9"/>
    <w:rsid w:val="003C6658"/>
    <w:rsid w:val="003C6A3A"/>
    <w:rsid w:val="003C6C91"/>
    <w:rsid w:val="003C6CAD"/>
    <w:rsid w:val="003C6D12"/>
    <w:rsid w:val="003C6D58"/>
    <w:rsid w:val="003C7390"/>
    <w:rsid w:val="003C76A6"/>
    <w:rsid w:val="003C77D0"/>
    <w:rsid w:val="003C78E8"/>
    <w:rsid w:val="003C7A17"/>
    <w:rsid w:val="003C7A1C"/>
    <w:rsid w:val="003C7A79"/>
    <w:rsid w:val="003C7BA7"/>
    <w:rsid w:val="003C7DD7"/>
    <w:rsid w:val="003C7FAD"/>
    <w:rsid w:val="003D02B9"/>
    <w:rsid w:val="003D0414"/>
    <w:rsid w:val="003D0B79"/>
    <w:rsid w:val="003D0EB9"/>
    <w:rsid w:val="003D10E5"/>
    <w:rsid w:val="003D11E1"/>
    <w:rsid w:val="003D1330"/>
    <w:rsid w:val="003D146B"/>
    <w:rsid w:val="003D149B"/>
    <w:rsid w:val="003D15C0"/>
    <w:rsid w:val="003D15E1"/>
    <w:rsid w:val="003D165A"/>
    <w:rsid w:val="003D17D0"/>
    <w:rsid w:val="003D198D"/>
    <w:rsid w:val="003D1C7A"/>
    <w:rsid w:val="003D1EB1"/>
    <w:rsid w:val="003D22DC"/>
    <w:rsid w:val="003D2357"/>
    <w:rsid w:val="003D24FD"/>
    <w:rsid w:val="003D25A8"/>
    <w:rsid w:val="003D25AF"/>
    <w:rsid w:val="003D2618"/>
    <w:rsid w:val="003D2A55"/>
    <w:rsid w:val="003D2A61"/>
    <w:rsid w:val="003D2C4B"/>
    <w:rsid w:val="003D2DA6"/>
    <w:rsid w:val="003D2F15"/>
    <w:rsid w:val="003D2FA5"/>
    <w:rsid w:val="003D2FC3"/>
    <w:rsid w:val="003D30B6"/>
    <w:rsid w:val="003D31A7"/>
    <w:rsid w:val="003D3309"/>
    <w:rsid w:val="003D358F"/>
    <w:rsid w:val="003D3689"/>
    <w:rsid w:val="003D3722"/>
    <w:rsid w:val="003D3EC9"/>
    <w:rsid w:val="003D4160"/>
    <w:rsid w:val="003D4200"/>
    <w:rsid w:val="003D43AF"/>
    <w:rsid w:val="003D469C"/>
    <w:rsid w:val="003D47D2"/>
    <w:rsid w:val="003D4EDC"/>
    <w:rsid w:val="003D4FF5"/>
    <w:rsid w:val="003D534C"/>
    <w:rsid w:val="003D5404"/>
    <w:rsid w:val="003D54C8"/>
    <w:rsid w:val="003D5B31"/>
    <w:rsid w:val="003D5B39"/>
    <w:rsid w:val="003D5C0D"/>
    <w:rsid w:val="003D5C6D"/>
    <w:rsid w:val="003D5DDC"/>
    <w:rsid w:val="003D60B9"/>
    <w:rsid w:val="003D6222"/>
    <w:rsid w:val="003D62C0"/>
    <w:rsid w:val="003D631C"/>
    <w:rsid w:val="003D6329"/>
    <w:rsid w:val="003D6764"/>
    <w:rsid w:val="003D693D"/>
    <w:rsid w:val="003D6992"/>
    <w:rsid w:val="003D69E5"/>
    <w:rsid w:val="003D6A1C"/>
    <w:rsid w:val="003D6AE1"/>
    <w:rsid w:val="003D6F59"/>
    <w:rsid w:val="003D700B"/>
    <w:rsid w:val="003D712F"/>
    <w:rsid w:val="003D78B4"/>
    <w:rsid w:val="003D7E30"/>
    <w:rsid w:val="003E0592"/>
    <w:rsid w:val="003E0887"/>
    <w:rsid w:val="003E0A8D"/>
    <w:rsid w:val="003E0BD5"/>
    <w:rsid w:val="003E0C30"/>
    <w:rsid w:val="003E0CCE"/>
    <w:rsid w:val="003E10AC"/>
    <w:rsid w:val="003E114A"/>
    <w:rsid w:val="003E123B"/>
    <w:rsid w:val="003E1520"/>
    <w:rsid w:val="003E163D"/>
    <w:rsid w:val="003E190E"/>
    <w:rsid w:val="003E1A08"/>
    <w:rsid w:val="003E1A4F"/>
    <w:rsid w:val="003E1A60"/>
    <w:rsid w:val="003E1F64"/>
    <w:rsid w:val="003E1FA2"/>
    <w:rsid w:val="003E2BF5"/>
    <w:rsid w:val="003E2C0A"/>
    <w:rsid w:val="003E2D00"/>
    <w:rsid w:val="003E2E59"/>
    <w:rsid w:val="003E31D5"/>
    <w:rsid w:val="003E329B"/>
    <w:rsid w:val="003E335E"/>
    <w:rsid w:val="003E3404"/>
    <w:rsid w:val="003E3732"/>
    <w:rsid w:val="003E391D"/>
    <w:rsid w:val="003E3ACF"/>
    <w:rsid w:val="003E3BDA"/>
    <w:rsid w:val="003E40B7"/>
    <w:rsid w:val="003E4442"/>
    <w:rsid w:val="003E453B"/>
    <w:rsid w:val="003E455F"/>
    <w:rsid w:val="003E45A0"/>
    <w:rsid w:val="003E4610"/>
    <w:rsid w:val="003E46AB"/>
    <w:rsid w:val="003E473F"/>
    <w:rsid w:val="003E47B3"/>
    <w:rsid w:val="003E4BBB"/>
    <w:rsid w:val="003E4D3F"/>
    <w:rsid w:val="003E4E1C"/>
    <w:rsid w:val="003E4E7F"/>
    <w:rsid w:val="003E4E9A"/>
    <w:rsid w:val="003E4FA9"/>
    <w:rsid w:val="003E52B0"/>
    <w:rsid w:val="003E5471"/>
    <w:rsid w:val="003E552E"/>
    <w:rsid w:val="003E56F5"/>
    <w:rsid w:val="003E57D6"/>
    <w:rsid w:val="003E58C4"/>
    <w:rsid w:val="003E59A0"/>
    <w:rsid w:val="003E5B45"/>
    <w:rsid w:val="003E5CB5"/>
    <w:rsid w:val="003E5D81"/>
    <w:rsid w:val="003E60CA"/>
    <w:rsid w:val="003E628C"/>
    <w:rsid w:val="003E65CB"/>
    <w:rsid w:val="003E6AB7"/>
    <w:rsid w:val="003E6C44"/>
    <w:rsid w:val="003E6C98"/>
    <w:rsid w:val="003E6DCA"/>
    <w:rsid w:val="003E6F9E"/>
    <w:rsid w:val="003E6FCC"/>
    <w:rsid w:val="003E721E"/>
    <w:rsid w:val="003E7241"/>
    <w:rsid w:val="003E76EE"/>
    <w:rsid w:val="003E7782"/>
    <w:rsid w:val="003E7810"/>
    <w:rsid w:val="003E78E5"/>
    <w:rsid w:val="003E7970"/>
    <w:rsid w:val="003E7BE8"/>
    <w:rsid w:val="003E7E0E"/>
    <w:rsid w:val="003E7E65"/>
    <w:rsid w:val="003E7F0B"/>
    <w:rsid w:val="003F0477"/>
    <w:rsid w:val="003F047B"/>
    <w:rsid w:val="003F049A"/>
    <w:rsid w:val="003F09F0"/>
    <w:rsid w:val="003F0B21"/>
    <w:rsid w:val="003F0CF4"/>
    <w:rsid w:val="003F0DF8"/>
    <w:rsid w:val="003F10E4"/>
    <w:rsid w:val="003F133D"/>
    <w:rsid w:val="003F1797"/>
    <w:rsid w:val="003F1869"/>
    <w:rsid w:val="003F1BB9"/>
    <w:rsid w:val="003F1BE4"/>
    <w:rsid w:val="003F1EA0"/>
    <w:rsid w:val="003F1F8F"/>
    <w:rsid w:val="003F1FF2"/>
    <w:rsid w:val="003F237E"/>
    <w:rsid w:val="003F2423"/>
    <w:rsid w:val="003F2570"/>
    <w:rsid w:val="003F261D"/>
    <w:rsid w:val="003F2678"/>
    <w:rsid w:val="003F2697"/>
    <w:rsid w:val="003F285E"/>
    <w:rsid w:val="003F292F"/>
    <w:rsid w:val="003F29E8"/>
    <w:rsid w:val="003F2B83"/>
    <w:rsid w:val="003F2C13"/>
    <w:rsid w:val="003F2CF6"/>
    <w:rsid w:val="003F2D54"/>
    <w:rsid w:val="003F2D5F"/>
    <w:rsid w:val="003F2F28"/>
    <w:rsid w:val="003F2F3C"/>
    <w:rsid w:val="003F2F7E"/>
    <w:rsid w:val="003F30D4"/>
    <w:rsid w:val="003F321E"/>
    <w:rsid w:val="003F33E4"/>
    <w:rsid w:val="003F353D"/>
    <w:rsid w:val="003F35D2"/>
    <w:rsid w:val="003F39D3"/>
    <w:rsid w:val="003F3AD0"/>
    <w:rsid w:val="003F3B62"/>
    <w:rsid w:val="003F3BCE"/>
    <w:rsid w:val="003F3BD8"/>
    <w:rsid w:val="003F3C21"/>
    <w:rsid w:val="003F3ED2"/>
    <w:rsid w:val="003F407E"/>
    <w:rsid w:val="003F42D3"/>
    <w:rsid w:val="003F4303"/>
    <w:rsid w:val="003F435E"/>
    <w:rsid w:val="003F4478"/>
    <w:rsid w:val="003F4741"/>
    <w:rsid w:val="003F4881"/>
    <w:rsid w:val="003F49D1"/>
    <w:rsid w:val="003F4A6D"/>
    <w:rsid w:val="003F4E69"/>
    <w:rsid w:val="003F4ECA"/>
    <w:rsid w:val="003F4F4E"/>
    <w:rsid w:val="003F4F5C"/>
    <w:rsid w:val="003F5439"/>
    <w:rsid w:val="003F559C"/>
    <w:rsid w:val="003F58D8"/>
    <w:rsid w:val="003F59CB"/>
    <w:rsid w:val="003F5B8C"/>
    <w:rsid w:val="003F5C57"/>
    <w:rsid w:val="003F604D"/>
    <w:rsid w:val="003F6058"/>
    <w:rsid w:val="003F606F"/>
    <w:rsid w:val="003F6132"/>
    <w:rsid w:val="003F6173"/>
    <w:rsid w:val="003F6622"/>
    <w:rsid w:val="003F6A27"/>
    <w:rsid w:val="003F6B77"/>
    <w:rsid w:val="003F6C67"/>
    <w:rsid w:val="003F6CAB"/>
    <w:rsid w:val="003F6DC0"/>
    <w:rsid w:val="003F6FAF"/>
    <w:rsid w:val="003F7012"/>
    <w:rsid w:val="003F7430"/>
    <w:rsid w:val="003F74E6"/>
    <w:rsid w:val="003F7550"/>
    <w:rsid w:val="003F789E"/>
    <w:rsid w:val="003F7C69"/>
    <w:rsid w:val="003F7F03"/>
    <w:rsid w:val="003F7F86"/>
    <w:rsid w:val="00400243"/>
    <w:rsid w:val="004003EF"/>
    <w:rsid w:val="00400461"/>
    <w:rsid w:val="004005A6"/>
    <w:rsid w:val="004006C1"/>
    <w:rsid w:val="004008D3"/>
    <w:rsid w:val="00400AFA"/>
    <w:rsid w:val="00400DE3"/>
    <w:rsid w:val="00400FAC"/>
    <w:rsid w:val="0040108F"/>
    <w:rsid w:val="004010E3"/>
    <w:rsid w:val="00401497"/>
    <w:rsid w:val="004017B9"/>
    <w:rsid w:val="004017E7"/>
    <w:rsid w:val="0040186D"/>
    <w:rsid w:val="004018C3"/>
    <w:rsid w:val="00401AD8"/>
    <w:rsid w:val="00401B59"/>
    <w:rsid w:val="00401C44"/>
    <w:rsid w:val="00401F04"/>
    <w:rsid w:val="00401F5A"/>
    <w:rsid w:val="00401F5B"/>
    <w:rsid w:val="00401F73"/>
    <w:rsid w:val="00401FFE"/>
    <w:rsid w:val="004020DB"/>
    <w:rsid w:val="004021DD"/>
    <w:rsid w:val="004021E0"/>
    <w:rsid w:val="00402597"/>
    <w:rsid w:val="004025EC"/>
    <w:rsid w:val="00402734"/>
    <w:rsid w:val="0040282C"/>
    <w:rsid w:val="00402A3D"/>
    <w:rsid w:val="00402B55"/>
    <w:rsid w:val="00402BE6"/>
    <w:rsid w:val="00402EE5"/>
    <w:rsid w:val="00403019"/>
    <w:rsid w:val="00403190"/>
    <w:rsid w:val="00403207"/>
    <w:rsid w:val="004032A9"/>
    <w:rsid w:val="004032EE"/>
    <w:rsid w:val="00403335"/>
    <w:rsid w:val="0040376A"/>
    <w:rsid w:val="0040409D"/>
    <w:rsid w:val="00404205"/>
    <w:rsid w:val="004044B6"/>
    <w:rsid w:val="0040456A"/>
    <w:rsid w:val="004048FD"/>
    <w:rsid w:val="00404B24"/>
    <w:rsid w:val="00404BD4"/>
    <w:rsid w:val="00404CBE"/>
    <w:rsid w:val="00404CC1"/>
    <w:rsid w:val="00404E6C"/>
    <w:rsid w:val="00404ED8"/>
    <w:rsid w:val="00405076"/>
    <w:rsid w:val="00405094"/>
    <w:rsid w:val="00405232"/>
    <w:rsid w:val="0040532A"/>
    <w:rsid w:val="00405372"/>
    <w:rsid w:val="0040559B"/>
    <w:rsid w:val="004055AE"/>
    <w:rsid w:val="0040568B"/>
    <w:rsid w:val="00405CC2"/>
    <w:rsid w:val="00405E51"/>
    <w:rsid w:val="0040601C"/>
    <w:rsid w:val="0040617A"/>
    <w:rsid w:val="004061F0"/>
    <w:rsid w:val="00406494"/>
    <w:rsid w:val="004064CE"/>
    <w:rsid w:val="00406A85"/>
    <w:rsid w:val="00406AEA"/>
    <w:rsid w:val="00406B0F"/>
    <w:rsid w:val="00406B6B"/>
    <w:rsid w:val="00406E9A"/>
    <w:rsid w:val="00406F61"/>
    <w:rsid w:val="0040703C"/>
    <w:rsid w:val="0040708B"/>
    <w:rsid w:val="0040729F"/>
    <w:rsid w:val="0040765C"/>
    <w:rsid w:val="004076BB"/>
    <w:rsid w:val="00407701"/>
    <w:rsid w:val="004079A1"/>
    <w:rsid w:val="00407A76"/>
    <w:rsid w:val="00407ACD"/>
    <w:rsid w:val="00407B51"/>
    <w:rsid w:val="00407D42"/>
    <w:rsid w:val="00407E87"/>
    <w:rsid w:val="004100E9"/>
    <w:rsid w:val="0041013C"/>
    <w:rsid w:val="004104FB"/>
    <w:rsid w:val="0041063C"/>
    <w:rsid w:val="00410645"/>
    <w:rsid w:val="0041074D"/>
    <w:rsid w:val="00410A60"/>
    <w:rsid w:val="00410CAE"/>
    <w:rsid w:val="00410E39"/>
    <w:rsid w:val="00410FF7"/>
    <w:rsid w:val="00411238"/>
    <w:rsid w:val="004113F6"/>
    <w:rsid w:val="004116E1"/>
    <w:rsid w:val="00411CD7"/>
    <w:rsid w:val="00411CDF"/>
    <w:rsid w:val="00411DC4"/>
    <w:rsid w:val="00412270"/>
    <w:rsid w:val="00412280"/>
    <w:rsid w:val="0041288F"/>
    <w:rsid w:val="004129D8"/>
    <w:rsid w:val="00412BDD"/>
    <w:rsid w:val="00412C03"/>
    <w:rsid w:val="00412F82"/>
    <w:rsid w:val="00412FD4"/>
    <w:rsid w:val="004130F4"/>
    <w:rsid w:val="00413363"/>
    <w:rsid w:val="004135F6"/>
    <w:rsid w:val="0041369B"/>
    <w:rsid w:val="00413965"/>
    <w:rsid w:val="00413A1E"/>
    <w:rsid w:val="00413A57"/>
    <w:rsid w:val="00413B88"/>
    <w:rsid w:val="00413B89"/>
    <w:rsid w:val="00413BCD"/>
    <w:rsid w:val="00413EF9"/>
    <w:rsid w:val="004140A7"/>
    <w:rsid w:val="00414E42"/>
    <w:rsid w:val="00414E89"/>
    <w:rsid w:val="00414EF8"/>
    <w:rsid w:val="00414F96"/>
    <w:rsid w:val="00414FFC"/>
    <w:rsid w:val="004151A0"/>
    <w:rsid w:val="004151D4"/>
    <w:rsid w:val="00415224"/>
    <w:rsid w:val="00415443"/>
    <w:rsid w:val="00415454"/>
    <w:rsid w:val="0041563F"/>
    <w:rsid w:val="004157D9"/>
    <w:rsid w:val="004158DB"/>
    <w:rsid w:val="00415929"/>
    <w:rsid w:val="004159D5"/>
    <w:rsid w:val="00415C49"/>
    <w:rsid w:val="00416131"/>
    <w:rsid w:val="00416162"/>
    <w:rsid w:val="00416593"/>
    <w:rsid w:val="004168C4"/>
    <w:rsid w:val="004168CE"/>
    <w:rsid w:val="00416B51"/>
    <w:rsid w:val="00417504"/>
    <w:rsid w:val="0041752A"/>
    <w:rsid w:val="004175A3"/>
    <w:rsid w:val="00417829"/>
    <w:rsid w:val="00417F5C"/>
    <w:rsid w:val="00420743"/>
    <w:rsid w:val="00420A1C"/>
    <w:rsid w:val="00420A32"/>
    <w:rsid w:val="00420BA9"/>
    <w:rsid w:val="00420BEC"/>
    <w:rsid w:val="00420C4C"/>
    <w:rsid w:val="00420D2A"/>
    <w:rsid w:val="00420F6F"/>
    <w:rsid w:val="00421179"/>
    <w:rsid w:val="00421205"/>
    <w:rsid w:val="004214B9"/>
    <w:rsid w:val="004216D0"/>
    <w:rsid w:val="00421709"/>
    <w:rsid w:val="004218DA"/>
    <w:rsid w:val="00421A77"/>
    <w:rsid w:val="00421A89"/>
    <w:rsid w:val="00421ABB"/>
    <w:rsid w:val="00421E96"/>
    <w:rsid w:val="00422137"/>
    <w:rsid w:val="00422214"/>
    <w:rsid w:val="00422263"/>
    <w:rsid w:val="004224AE"/>
    <w:rsid w:val="0042253A"/>
    <w:rsid w:val="00422927"/>
    <w:rsid w:val="00422973"/>
    <w:rsid w:val="00422C23"/>
    <w:rsid w:val="00422C6F"/>
    <w:rsid w:val="00422EF8"/>
    <w:rsid w:val="00422FEC"/>
    <w:rsid w:val="004230F6"/>
    <w:rsid w:val="00423290"/>
    <w:rsid w:val="004233D5"/>
    <w:rsid w:val="004234E0"/>
    <w:rsid w:val="004235AF"/>
    <w:rsid w:val="0042369B"/>
    <w:rsid w:val="004238EE"/>
    <w:rsid w:val="00423D23"/>
    <w:rsid w:val="00423DA3"/>
    <w:rsid w:val="00423E07"/>
    <w:rsid w:val="00423E2F"/>
    <w:rsid w:val="00423EC1"/>
    <w:rsid w:val="00423EF9"/>
    <w:rsid w:val="00423F14"/>
    <w:rsid w:val="00423F5C"/>
    <w:rsid w:val="004241C6"/>
    <w:rsid w:val="004242F5"/>
    <w:rsid w:val="00424524"/>
    <w:rsid w:val="0042472C"/>
    <w:rsid w:val="0042472D"/>
    <w:rsid w:val="00424C82"/>
    <w:rsid w:val="00424E3F"/>
    <w:rsid w:val="00424E50"/>
    <w:rsid w:val="00425060"/>
    <w:rsid w:val="004251E6"/>
    <w:rsid w:val="004254B4"/>
    <w:rsid w:val="00425573"/>
    <w:rsid w:val="004255B6"/>
    <w:rsid w:val="004255D5"/>
    <w:rsid w:val="00425618"/>
    <w:rsid w:val="00425A56"/>
    <w:rsid w:val="00425C4C"/>
    <w:rsid w:val="0042636A"/>
    <w:rsid w:val="00426682"/>
    <w:rsid w:val="00426972"/>
    <w:rsid w:val="00426AF3"/>
    <w:rsid w:val="00426E23"/>
    <w:rsid w:val="00426E48"/>
    <w:rsid w:val="0042722D"/>
    <w:rsid w:val="004276A1"/>
    <w:rsid w:val="004277EA"/>
    <w:rsid w:val="00427B40"/>
    <w:rsid w:val="00427C55"/>
    <w:rsid w:val="00427E03"/>
    <w:rsid w:val="0043029A"/>
    <w:rsid w:val="0043066E"/>
    <w:rsid w:val="0043095F"/>
    <w:rsid w:val="00430D04"/>
    <w:rsid w:val="00430E88"/>
    <w:rsid w:val="00430EB6"/>
    <w:rsid w:val="00431048"/>
    <w:rsid w:val="004312BC"/>
    <w:rsid w:val="004316DF"/>
    <w:rsid w:val="004316E9"/>
    <w:rsid w:val="00431855"/>
    <w:rsid w:val="00431974"/>
    <w:rsid w:val="004319D9"/>
    <w:rsid w:val="004319F9"/>
    <w:rsid w:val="00431AE1"/>
    <w:rsid w:val="00431BDE"/>
    <w:rsid w:val="00431DC7"/>
    <w:rsid w:val="00431EEC"/>
    <w:rsid w:val="00431FB5"/>
    <w:rsid w:val="00432059"/>
    <w:rsid w:val="00432502"/>
    <w:rsid w:val="0043261D"/>
    <w:rsid w:val="004328BF"/>
    <w:rsid w:val="004329D1"/>
    <w:rsid w:val="00432B30"/>
    <w:rsid w:val="00432C13"/>
    <w:rsid w:val="00432EB6"/>
    <w:rsid w:val="00432F63"/>
    <w:rsid w:val="00433136"/>
    <w:rsid w:val="004333BA"/>
    <w:rsid w:val="0043379D"/>
    <w:rsid w:val="00433C8D"/>
    <w:rsid w:val="00433CFD"/>
    <w:rsid w:val="00433F16"/>
    <w:rsid w:val="0043415A"/>
    <w:rsid w:val="00434224"/>
    <w:rsid w:val="0043432E"/>
    <w:rsid w:val="00434399"/>
    <w:rsid w:val="00434709"/>
    <w:rsid w:val="00434CDF"/>
    <w:rsid w:val="00434D3A"/>
    <w:rsid w:val="00434F10"/>
    <w:rsid w:val="00435171"/>
    <w:rsid w:val="004351FD"/>
    <w:rsid w:val="004355BA"/>
    <w:rsid w:val="00435A3E"/>
    <w:rsid w:val="00435AE4"/>
    <w:rsid w:val="00435C45"/>
    <w:rsid w:val="00435C64"/>
    <w:rsid w:val="00435D73"/>
    <w:rsid w:val="00435E9A"/>
    <w:rsid w:val="004360EA"/>
    <w:rsid w:val="0043611D"/>
    <w:rsid w:val="0043626A"/>
    <w:rsid w:val="004362FE"/>
    <w:rsid w:val="00436354"/>
    <w:rsid w:val="004364F9"/>
    <w:rsid w:val="00436598"/>
    <w:rsid w:val="004365BE"/>
    <w:rsid w:val="004365F1"/>
    <w:rsid w:val="004366B5"/>
    <w:rsid w:val="004367B3"/>
    <w:rsid w:val="00436A28"/>
    <w:rsid w:val="00436B0E"/>
    <w:rsid w:val="00436F3C"/>
    <w:rsid w:val="00436F43"/>
    <w:rsid w:val="00436FAA"/>
    <w:rsid w:val="00436FBD"/>
    <w:rsid w:val="00437027"/>
    <w:rsid w:val="004372CD"/>
    <w:rsid w:val="00437445"/>
    <w:rsid w:val="00437797"/>
    <w:rsid w:val="00437838"/>
    <w:rsid w:val="004379DD"/>
    <w:rsid w:val="00437A11"/>
    <w:rsid w:val="00437AEA"/>
    <w:rsid w:val="00437F91"/>
    <w:rsid w:val="0044029D"/>
    <w:rsid w:val="00440311"/>
    <w:rsid w:val="004403C7"/>
    <w:rsid w:val="00440590"/>
    <w:rsid w:val="004405A7"/>
    <w:rsid w:val="00440D73"/>
    <w:rsid w:val="004417E4"/>
    <w:rsid w:val="00441937"/>
    <w:rsid w:val="0044198B"/>
    <w:rsid w:val="004419C6"/>
    <w:rsid w:val="00441A1F"/>
    <w:rsid w:val="00441BC9"/>
    <w:rsid w:val="00441D78"/>
    <w:rsid w:val="00441E86"/>
    <w:rsid w:val="0044216E"/>
    <w:rsid w:val="004421A3"/>
    <w:rsid w:val="00442242"/>
    <w:rsid w:val="0044238F"/>
    <w:rsid w:val="004423B6"/>
    <w:rsid w:val="004423F0"/>
    <w:rsid w:val="00442590"/>
    <w:rsid w:val="00442620"/>
    <w:rsid w:val="0044263E"/>
    <w:rsid w:val="004428FF"/>
    <w:rsid w:val="00442A48"/>
    <w:rsid w:val="00442B0C"/>
    <w:rsid w:val="00442BF3"/>
    <w:rsid w:val="00442D03"/>
    <w:rsid w:val="00442D8C"/>
    <w:rsid w:val="00442E88"/>
    <w:rsid w:val="00442EE3"/>
    <w:rsid w:val="00443043"/>
    <w:rsid w:val="004430A1"/>
    <w:rsid w:val="004431CF"/>
    <w:rsid w:val="004432A1"/>
    <w:rsid w:val="004432E2"/>
    <w:rsid w:val="004433A3"/>
    <w:rsid w:val="0044348B"/>
    <w:rsid w:val="0044363C"/>
    <w:rsid w:val="004438A3"/>
    <w:rsid w:val="0044393D"/>
    <w:rsid w:val="00443D14"/>
    <w:rsid w:val="00443E6A"/>
    <w:rsid w:val="004444A4"/>
    <w:rsid w:val="00444746"/>
    <w:rsid w:val="0044497D"/>
    <w:rsid w:val="00444BDD"/>
    <w:rsid w:val="00444CAA"/>
    <w:rsid w:val="00444F04"/>
    <w:rsid w:val="00445116"/>
    <w:rsid w:val="004453A5"/>
    <w:rsid w:val="0044560C"/>
    <w:rsid w:val="00445612"/>
    <w:rsid w:val="004456E8"/>
    <w:rsid w:val="004462AB"/>
    <w:rsid w:val="0044689E"/>
    <w:rsid w:val="004468AC"/>
    <w:rsid w:val="004469F0"/>
    <w:rsid w:val="00446BF7"/>
    <w:rsid w:val="00446ED6"/>
    <w:rsid w:val="00447086"/>
    <w:rsid w:val="004470E2"/>
    <w:rsid w:val="004470FD"/>
    <w:rsid w:val="00447480"/>
    <w:rsid w:val="00447515"/>
    <w:rsid w:val="00447812"/>
    <w:rsid w:val="00447AA1"/>
    <w:rsid w:val="00447AC7"/>
    <w:rsid w:val="00447AD5"/>
    <w:rsid w:val="00447C4E"/>
    <w:rsid w:val="00447CCD"/>
    <w:rsid w:val="00447FDB"/>
    <w:rsid w:val="00447FFB"/>
    <w:rsid w:val="00450152"/>
    <w:rsid w:val="004501B5"/>
    <w:rsid w:val="0045029B"/>
    <w:rsid w:val="00450572"/>
    <w:rsid w:val="004506DC"/>
    <w:rsid w:val="00450737"/>
    <w:rsid w:val="00450798"/>
    <w:rsid w:val="00450C0B"/>
    <w:rsid w:val="00450E23"/>
    <w:rsid w:val="00450E71"/>
    <w:rsid w:val="00451085"/>
    <w:rsid w:val="004511B2"/>
    <w:rsid w:val="00451284"/>
    <w:rsid w:val="004515DE"/>
    <w:rsid w:val="00451946"/>
    <w:rsid w:val="00451B28"/>
    <w:rsid w:val="00451BA3"/>
    <w:rsid w:val="00451C6D"/>
    <w:rsid w:val="00451CB2"/>
    <w:rsid w:val="0045203C"/>
    <w:rsid w:val="00452426"/>
    <w:rsid w:val="00452518"/>
    <w:rsid w:val="0045253A"/>
    <w:rsid w:val="004527BA"/>
    <w:rsid w:val="004528B9"/>
    <w:rsid w:val="00452A6D"/>
    <w:rsid w:val="00452C9F"/>
    <w:rsid w:val="00452FA8"/>
    <w:rsid w:val="00452FAF"/>
    <w:rsid w:val="004534F8"/>
    <w:rsid w:val="004538BC"/>
    <w:rsid w:val="00453927"/>
    <w:rsid w:val="0045394C"/>
    <w:rsid w:val="0045397A"/>
    <w:rsid w:val="00453D4B"/>
    <w:rsid w:val="00453D88"/>
    <w:rsid w:val="00453E0D"/>
    <w:rsid w:val="00453F5B"/>
    <w:rsid w:val="00454018"/>
    <w:rsid w:val="0045402A"/>
    <w:rsid w:val="004541B2"/>
    <w:rsid w:val="00454231"/>
    <w:rsid w:val="0045436E"/>
    <w:rsid w:val="004543E2"/>
    <w:rsid w:val="0045482A"/>
    <w:rsid w:val="00454B7E"/>
    <w:rsid w:val="00454C8D"/>
    <w:rsid w:val="00454CD5"/>
    <w:rsid w:val="00454DE7"/>
    <w:rsid w:val="00455033"/>
    <w:rsid w:val="00455164"/>
    <w:rsid w:val="00455816"/>
    <w:rsid w:val="00455891"/>
    <w:rsid w:val="00455BBC"/>
    <w:rsid w:val="00455D09"/>
    <w:rsid w:val="004560FB"/>
    <w:rsid w:val="004565B9"/>
    <w:rsid w:val="00456AEB"/>
    <w:rsid w:val="00456B69"/>
    <w:rsid w:val="00456C74"/>
    <w:rsid w:val="00456EC0"/>
    <w:rsid w:val="0045718D"/>
    <w:rsid w:val="00457212"/>
    <w:rsid w:val="00457440"/>
    <w:rsid w:val="00457711"/>
    <w:rsid w:val="0045787C"/>
    <w:rsid w:val="00457980"/>
    <w:rsid w:val="00457A48"/>
    <w:rsid w:val="00457A8B"/>
    <w:rsid w:val="00457AA2"/>
    <w:rsid w:val="00457D18"/>
    <w:rsid w:val="00457D91"/>
    <w:rsid w:val="004600B5"/>
    <w:rsid w:val="004600F4"/>
    <w:rsid w:val="00460170"/>
    <w:rsid w:val="0046048E"/>
    <w:rsid w:val="004607CE"/>
    <w:rsid w:val="004607FD"/>
    <w:rsid w:val="0046098A"/>
    <w:rsid w:val="00460A20"/>
    <w:rsid w:val="00460B3A"/>
    <w:rsid w:val="00460C66"/>
    <w:rsid w:val="004611A6"/>
    <w:rsid w:val="004613FD"/>
    <w:rsid w:val="004614DD"/>
    <w:rsid w:val="00461589"/>
    <w:rsid w:val="004615FF"/>
    <w:rsid w:val="0046178A"/>
    <w:rsid w:val="004618B4"/>
    <w:rsid w:val="004618BA"/>
    <w:rsid w:val="00461A9F"/>
    <w:rsid w:val="00461BE0"/>
    <w:rsid w:val="004620B1"/>
    <w:rsid w:val="004622D8"/>
    <w:rsid w:val="00462318"/>
    <w:rsid w:val="0046268A"/>
    <w:rsid w:val="0046284C"/>
    <w:rsid w:val="00462954"/>
    <w:rsid w:val="0046296D"/>
    <w:rsid w:val="00462A24"/>
    <w:rsid w:val="00462D25"/>
    <w:rsid w:val="00462DFC"/>
    <w:rsid w:val="00463471"/>
    <w:rsid w:val="0046358E"/>
    <w:rsid w:val="00463836"/>
    <w:rsid w:val="0046384C"/>
    <w:rsid w:val="004638F5"/>
    <w:rsid w:val="00463942"/>
    <w:rsid w:val="00463A00"/>
    <w:rsid w:val="00463A70"/>
    <w:rsid w:val="00463BD7"/>
    <w:rsid w:val="00463C1C"/>
    <w:rsid w:val="00463C23"/>
    <w:rsid w:val="00463C82"/>
    <w:rsid w:val="00463D23"/>
    <w:rsid w:val="00464088"/>
    <w:rsid w:val="0046439A"/>
    <w:rsid w:val="0046459B"/>
    <w:rsid w:val="004647E7"/>
    <w:rsid w:val="00464E85"/>
    <w:rsid w:val="00464F36"/>
    <w:rsid w:val="004650F0"/>
    <w:rsid w:val="00465121"/>
    <w:rsid w:val="004652F4"/>
    <w:rsid w:val="00465622"/>
    <w:rsid w:val="004656AE"/>
    <w:rsid w:val="00465716"/>
    <w:rsid w:val="00465B88"/>
    <w:rsid w:val="00465C71"/>
    <w:rsid w:val="00465F49"/>
    <w:rsid w:val="00465F50"/>
    <w:rsid w:val="0046605C"/>
    <w:rsid w:val="004663A5"/>
    <w:rsid w:val="00466468"/>
    <w:rsid w:val="004666EF"/>
    <w:rsid w:val="00466736"/>
    <w:rsid w:val="00466841"/>
    <w:rsid w:val="00466AD5"/>
    <w:rsid w:val="00466AD9"/>
    <w:rsid w:val="00466B0D"/>
    <w:rsid w:val="00466B15"/>
    <w:rsid w:val="00466C24"/>
    <w:rsid w:val="00466C2E"/>
    <w:rsid w:val="00466D17"/>
    <w:rsid w:val="00466E95"/>
    <w:rsid w:val="0046744E"/>
    <w:rsid w:val="004675DF"/>
    <w:rsid w:val="0046781F"/>
    <w:rsid w:val="0046789F"/>
    <w:rsid w:val="004678C4"/>
    <w:rsid w:val="00467BED"/>
    <w:rsid w:val="00467C2D"/>
    <w:rsid w:val="00467C3D"/>
    <w:rsid w:val="00467DD5"/>
    <w:rsid w:val="00470048"/>
    <w:rsid w:val="004700A0"/>
    <w:rsid w:val="004702DE"/>
    <w:rsid w:val="0047093D"/>
    <w:rsid w:val="00470C6A"/>
    <w:rsid w:val="00470ECF"/>
    <w:rsid w:val="00470F8E"/>
    <w:rsid w:val="00470F91"/>
    <w:rsid w:val="0047103E"/>
    <w:rsid w:val="00471089"/>
    <w:rsid w:val="00471291"/>
    <w:rsid w:val="00471370"/>
    <w:rsid w:val="00471663"/>
    <w:rsid w:val="00471711"/>
    <w:rsid w:val="0047174F"/>
    <w:rsid w:val="00471769"/>
    <w:rsid w:val="0047179A"/>
    <w:rsid w:val="0047179D"/>
    <w:rsid w:val="00471C0C"/>
    <w:rsid w:val="00471CA0"/>
    <w:rsid w:val="00471CEC"/>
    <w:rsid w:val="00471D2A"/>
    <w:rsid w:val="00471DD6"/>
    <w:rsid w:val="00471F3A"/>
    <w:rsid w:val="00472021"/>
    <w:rsid w:val="004720D2"/>
    <w:rsid w:val="00472224"/>
    <w:rsid w:val="00472401"/>
    <w:rsid w:val="004724A8"/>
    <w:rsid w:val="004725C5"/>
    <w:rsid w:val="00472789"/>
    <w:rsid w:val="00472993"/>
    <w:rsid w:val="004729E1"/>
    <w:rsid w:val="00472A6C"/>
    <w:rsid w:val="00472AA9"/>
    <w:rsid w:val="00472BE9"/>
    <w:rsid w:val="00472C12"/>
    <w:rsid w:val="004731C0"/>
    <w:rsid w:val="004733F9"/>
    <w:rsid w:val="00473526"/>
    <w:rsid w:val="0047384F"/>
    <w:rsid w:val="0047388A"/>
    <w:rsid w:val="0047398F"/>
    <w:rsid w:val="00473C8C"/>
    <w:rsid w:val="00473D44"/>
    <w:rsid w:val="00474023"/>
    <w:rsid w:val="00474210"/>
    <w:rsid w:val="0047439E"/>
    <w:rsid w:val="00474511"/>
    <w:rsid w:val="00474677"/>
    <w:rsid w:val="00474740"/>
    <w:rsid w:val="004748CA"/>
    <w:rsid w:val="00474979"/>
    <w:rsid w:val="00474D91"/>
    <w:rsid w:val="00475533"/>
    <w:rsid w:val="004755DD"/>
    <w:rsid w:val="00475646"/>
    <w:rsid w:val="0047569C"/>
    <w:rsid w:val="00475757"/>
    <w:rsid w:val="0047578F"/>
    <w:rsid w:val="004758A8"/>
    <w:rsid w:val="00475A4C"/>
    <w:rsid w:val="00475B42"/>
    <w:rsid w:val="00475EB6"/>
    <w:rsid w:val="0047604C"/>
    <w:rsid w:val="00476131"/>
    <w:rsid w:val="004762E4"/>
    <w:rsid w:val="004763AC"/>
    <w:rsid w:val="0047646E"/>
    <w:rsid w:val="00476A90"/>
    <w:rsid w:val="00476D23"/>
    <w:rsid w:val="00476D8F"/>
    <w:rsid w:val="00476E7E"/>
    <w:rsid w:val="00476FB7"/>
    <w:rsid w:val="0047708B"/>
    <w:rsid w:val="004770AB"/>
    <w:rsid w:val="0047737A"/>
    <w:rsid w:val="004774E4"/>
    <w:rsid w:val="004775F1"/>
    <w:rsid w:val="004776B1"/>
    <w:rsid w:val="00477AC0"/>
    <w:rsid w:val="00477B61"/>
    <w:rsid w:val="00477CBB"/>
    <w:rsid w:val="00477EC6"/>
    <w:rsid w:val="00477F2A"/>
    <w:rsid w:val="00477FBA"/>
    <w:rsid w:val="00477FD5"/>
    <w:rsid w:val="0048005A"/>
    <w:rsid w:val="004800AD"/>
    <w:rsid w:val="004800B8"/>
    <w:rsid w:val="004803DD"/>
    <w:rsid w:val="00480541"/>
    <w:rsid w:val="004805C1"/>
    <w:rsid w:val="00480631"/>
    <w:rsid w:val="004806A4"/>
    <w:rsid w:val="00480B00"/>
    <w:rsid w:val="00480C19"/>
    <w:rsid w:val="00480F13"/>
    <w:rsid w:val="00481042"/>
    <w:rsid w:val="00481120"/>
    <w:rsid w:val="00481315"/>
    <w:rsid w:val="004816DB"/>
    <w:rsid w:val="004819F1"/>
    <w:rsid w:val="00481C7C"/>
    <w:rsid w:val="00481D5D"/>
    <w:rsid w:val="00481DB7"/>
    <w:rsid w:val="00481F37"/>
    <w:rsid w:val="0048210F"/>
    <w:rsid w:val="00482112"/>
    <w:rsid w:val="00482172"/>
    <w:rsid w:val="004821A6"/>
    <w:rsid w:val="004822A8"/>
    <w:rsid w:val="00482598"/>
    <w:rsid w:val="004825BC"/>
    <w:rsid w:val="0048283A"/>
    <w:rsid w:val="00482B72"/>
    <w:rsid w:val="00482B8D"/>
    <w:rsid w:val="00482BEC"/>
    <w:rsid w:val="00482DD8"/>
    <w:rsid w:val="00482DE9"/>
    <w:rsid w:val="00482E59"/>
    <w:rsid w:val="00482EF3"/>
    <w:rsid w:val="00483035"/>
    <w:rsid w:val="004833BA"/>
    <w:rsid w:val="0048363F"/>
    <w:rsid w:val="004836E4"/>
    <w:rsid w:val="00483736"/>
    <w:rsid w:val="00483765"/>
    <w:rsid w:val="00483983"/>
    <w:rsid w:val="004839C2"/>
    <w:rsid w:val="004839CA"/>
    <w:rsid w:val="00483BC6"/>
    <w:rsid w:val="00483EC8"/>
    <w:rsid w:val="00483F0A"/>
    <w:rsid w:val="00483FE7"/>
    <w:rsid w:val="004840A1"/>
    <w:rsid w:val="0048429D"/>
    <w:rsid w:val="004843E4"/>
    <w:rsid w:val="004845F1"/>
    <w:rsid w:val="004847B5"/>
    <w:rsid w:val="00484B14"/>
    <w:rsid w:val="00484B29"/>
    <w:rsid w:val="00484B9A"/>
    <w:rsid w:val="00484C9F"/>
    <w:rsid w:val="00484CE4"/>
    <w:rsid w:val="00485040"/>
    <w:rsid w:val="0048507F"/>
    <w:rsid w:val="0048520A"/>
    <w:rsid w:val="004853D0"/>
    <w:rsid w:val="00485493"/>
    <w:rsid w:val="00485532"/>
    <w:rsid w:val="00485DDD"/>
    <w:rsid w:val="00485FD4"/>
    <w:rsid w:val="004860C5"/>
    <w:rsid w:val="004861AA"/>
    <w:rsid w:val="0048637D"/>
    <w:rsid w:val="004864CA"/>
    <w:rsid w:val="004867FD"/>
    <w:rsid w:val="00486801"/>
    <w:rsid w:val="004869B7"/>
    <w:rsid w:val="00486AA2"/>
    <w:rsid w:val="00486BD0"/>
    <w:rsid w:val="00486C28"/>
    <w:rsid w:val="00486C63"/>
    <w:rsid w:val="00486C67"/>
    <w:rsid w:val="00486E8F"/>
    <w:rsid w:val="00486F92"/>
    <w:rsid w:val="00486FE8"/>
    <w:rsid w:val="00487144"/>
    <w:rsid w:val="0048737D"/>
    <w:rsid w:val="004874EE"/>
    <w:rsid w:val="00487676"/>
    <w:rsid w:val="00487837"/>
    <w:rsid w:val="00487994"/>
    <w:rsid w:val="00487B0A"/>
    <w:rsid w:val="00487CFC"/>
    <w:rsid w:val="00487E97"/>
    <w:rsid w:val="00487F33"/>
    <w:rsid w:val="00487FE2"/>
    <w:rsid w:val="004900EA"/>
    <w:rsid w:val="0049018A"/>
    <w:rsid w:val="004901DD"/>
    <w:rsid w:val="00490220"/>
    <w:rsid w:val="0049025D"/>
    <w:rsid w:val="0049051D"/>
    <w:rsid w:val="00490C60"/>
    <w:rsid w:val="00490D7E"/>
    <w:rsid w:val="00490F10"/>
    <w:rsid w:val="00491408"/>
    <w:rsid w:val="0049156F"/>
    <w:rsid w:val="00491888"/>
    <w:rsid w:val="00491945"/>
    <w:rsid w:val="00491BBD"/>
    <w:rsid w:val="00491C9B"/>
    <w:rsid w:val="0049209A"/>
    <w:rsid w:val="00492122"/>
    <w:rsid w:val="004921ED"/>
    <w:rsid w:val="00492219"/>
    <w:rsid w:val="00492339"/>
    <w:rsid w:val="004924E6"/>
    <w:rsid w:val="00492657"/>
    <w:rsid w:val="0049282A"/>
    <w:rsid w:val="004929D2"/>
    <w:rsid w:val="00492A31"/>
    <w:rsid w:val="00492B95"/>
    <w:rsid w:val="00492E36"/>
    <w:rsid w:val="00492FCE"/>
    <w:rsid w:val="004930A3"/>
    <w:rsid w:val="004930B6"/>
    <w:rsid w:val="00493380"/>
    <w:rsid w:val="0049361B"/>
    <w:rsid w:val="004938B7"/>
    <w:rsid w:val="00493B26"/>
    <w:rsid w:val="00493CE4"/>
    <w:rsid w:val="00493D2C"/>
    <w:rsid w:val="00493D73"/>
    <w:rsid w:val="00493DC0"/>
    <w:rsid w:val="00493E65"/>
    <w:rsid w:val="00493F31"/>
    <w:rsid w:val="00494345"/>
    <w:rsid w:val="0049438C"/>
    <w:rsid w:val="004943BB"/>
    <w:rsid w:val="004946D4"/>
    <w:rsid w:val="00494A52"/>
    <w:rsid w:val="00494EAC"/>
    <w:rsid w:val="00495051"/>
    <w:rsid w:val="00495231"/>
    <w:rsid w:val="00495304"/>
    <w:rsid w:val="004954B3"/>
    <w:rsid w:val="0049581F"/>
    <w:rsid w:val="00495CD2"/>
    <w:rsid w:val="00495DB5"/>
    <w:rsid w:val="00496003"/>
    <w:rsid w:val="0049612E"/>
    <w:rsid w:val="00496181"/>
    <w:rsid w:val="0049637E"/>
    <w:rsid w:val="004964C1"/>
    <w:rsid w:val="004965E6"/>
    <w:rsid w:val="004968C3"/>
    <w:rsid w:val="004968FD"/>
    <w:rsid w:val="004969C1"/>
    <w:rsid w:val="00496A45"/>
    <w:rsid w:val="00496ACC"/>
    <w:rsid w:val="00496B3F"/>
    <w:rsid w:val="00496C3C"/>
    <w:rsid w:val="00496EE8"/>
    <w:rsid w:val="00497050"/>
    <w:rsid w:val="00497223"/>
    <w:rsid w:val="0049753C"/>
    <w:rsid w:val="0049770A"/>
    <w:rsid w:val="004977B2"/>
    <w:rsid w:val="00497B69"/>
    <w:rsid w:val="00497CE8"/>
    <w:rsid w:val="00497E9F"/>
    <w:rsid w:val="00497F26"/>
    <w:rsid w:val="00497F73"/>
    <w:rsid w:val="004A0084"/>
    <w:rsid w:val="004A01C9"/>
    <w:rsid w:val="004A03DA"/>
    <w:rsid w:val="004A0586"/>
    <w:rsid w:val="004A0607"/>
    <w:rsid w:val="004A065F"/>
    <w:rsid w:val="004A09A3"/>
    <w:rsid w:val="004A0BBC"/>
    <w:rsid w:val="004A0E47"/>
    <w:rsid w:val="004A0EF1"/>
    <w:rsid w:val="004A1013"/>
    <w:rsid w:val="004A13FF"/>
    <w:rsid w:val="004A1519"/>
    <w:rsid w:val="004A16F7"/>
    <w:rsid w:val="004A18EE"/>
    <w:rsid w:val="004A190E"/>
    <w:rsid w:val="004A1C99"/>
    <w:rsid w:val="004A1F7F"/>
    <w:rsid w:val="004A1FB6"/>
    <w:rsid w:val="004A202F"/>
    <w:rsid w:val="004A2074"/>
    <w:rsid w:val="004A2215"/>
    <w:rsid w:val="004A2389"/>
    <w:rsid w:val="004A2514"/>
    <w:rsid w:val="004A252C"/>
    <w:rsid w:val="004A2695"/>
    <w:rsid w:val="004A26F0"/>
    <w:rsid w:val="004A26F3"/>
    <w:rsid w:val="004A2748"/>
    <w:rsid w:val="004A2835"/>
    <w:rsid w:val="004A2A5B"/>
    <w:rsid w:val="004A2C81"/>
    <w:rsid w:val="004A2D6D"/>
    <w:rsid w:val="004A2E9C"/>
    <w:rsid w:val="004A3013"/>
    <w:rsid w:val="004A3085"/>
    <w:rsid w:val="004A31D1"/>
    <w:rsid w:val="004A358A"/>
    <w:rsid w:val="004A363B"/>
    <w:rsid w:val="004A36AF"/>
    <w:rsid w:val="004A3746"/>
    <w:rsid w:val="004A3B0D"/>
    <w:rsid w:val="004A3CAA"/>
    <w:rsid w:val="004A3E3F"/>
    <w:rsid w:val="004A3EB9"/>
    <w:rsid w:val="004A40B9"/>
    <w:rsid w:val="004A4171"/>
    <w:rsid w:val="004A435D"/>
    <w:rsid w:val="004A437F"/>
    <w:rsid w:val="004A46CC"/>
    <w:rsid w:val="004A48DF"/>
    <w:rsid w:val="004A494A"/>
    <w:rsid w:val="004A4CAE"/>
    <w:rsid w:val="004A5234"/>
    <w:rsid w:val="004A52CC"/>
    <w:rsid w:val="004A531B"/>
    <w:rsid w:val="004A543D"/>
    <w:rsid w:val="004A5592"/>
    <w:rsid w:val="004A55D8"/>
    <w:rsid w:val="004A5637"/>
    <w:rsid w:val="004A564C"/>
    <w:rsid w:val="004A591C"/>
    <w:rsid w:val="004A5B8A"/>
    <w:rsid w:val="004A60C8"/>
    <w:rsid w:val="004A61CB"/>
    <w:rsid w:val="004A62A0"/>
    <w:rsid w:val="004A63A4"/>
    <w:rsid w:val="004A641A"/>
    <w:rsid w:val="004A64B3"/>
    <w:rsid w:val="004A65AC"/>
    <w:rsid w:val="004A6760"/>
    <w:rsid w:val="004A67A2"/>
    <w:rsid w:val="004A68EA"/>
    <w:rsid w:val="004A68F9"/>
    <w:rsid w:val="004A6A01"/>
    <w:rsid w:val="004A6AF3"/>
    <w:rsid w:val="004A6C76"/>
    <w:rsid w:val="004A6D0E"/>
    <w:rsid w:val="004A707C"/>
    <w:rsid w:val="004A71A0"/>
    <w:rsid w:val="004A76D9"/>
    <w:rsid w:val="004A7972"/>
    <w:rsid w:val="004A7A49"/>
    <w:rsid w:val="004A7A58"/>
    <w:rsid w:val="004A7C65"/>
    <w:rsid w:val="004A7D94"/>
    <w:rsid w:val="004A7DD6"/>
    <w:rsid w:val="004A7F12"/>
    <w:rsid w:val="004A7F6B"/>
    <w:rsid w:val="004B0128"/>
    <w:rsid w:val="004B0385"/>
    <w:rsid w:val="004B0428"/>
    <w:rsid w:val="004B04FA"/>
    <w:rsid w:val="004B068F"/>
    <w:rsid w:val="004B06DE"/>
    <w:rsid w:val="004B0AC1"/>
    <w:rsid w:val="004B0BD8"/>
    <w:rsid w:val="004B0FE0"/>
    <w:rsid w:val="004B10BD"/>
    <w:rsid w:val="004B1123"/>
    <w:rsid w:val="004B14D6"/>
    <w:rsid w:val="004B1572"/>
    <w:rsid w:val="004B178C"/>
    <w:rsid w:val="004B18A1"/>
    <w:rsid w:val="004B1BF1"/>
    <w:rsid w:val="004B1C66"/>
    <w:rsid w:val="004B1D9D"/>
    <w:rsid w:val="004B1E2A"/>
    <w:rsid w:val="004B1F44"/>
    <w:rsid w:val="004B1FF1"/>
    <w:rsid w:val="004B21E4"/>
    <w:rsid w:val="004B24FD"/>
    <w:rsid w:val="004B2861"/>
    <w:rsid w:val="004B2C0D"/>
    <w:rsid w:val="004B2DF9"/>
    <w:rsid w:val="004B2EC6"/>
    <w:rsid w:val="004B2FB2"/>
    <w:rsid w:val="004B2FF5"/>
    <w:rsid w:val="004B309C"/>
    <w:rsid w:val="004B30FB"/>
    <w:rsid w:val="004B3148"/>
    <w:rsid w:val="004B31DB"/>
    <w:rsid w:val="004B365D"/>
    <w:rsid w:val="004B3718"/>
    <w:rsid w:val="004B375B"/>
    <w:rsid w:val="004B3790"/>
    <w:rsid w:val="004B3997"/>
    <w:rsid w:val="004B39AD"/>
    <w:rsid w:val="004B39BB"/>
    <w:rsid w:val="004B3A95"/>
    <w:rsid w:val="004B3ADA"/>
    <w:rsid w:val="004B3C74"/>
    <w:rsid w:val="004B3CBC"/>
    <w:rsid w:val="004B3DE1"/>
    <w:rsid w:val="004B3F3B"/>
    <w:rsid w:val="004B3F45"/>
    <w:rsid w:val="004B3F64"/>
    <w:rsid w:val="004B4060"/>
    <w:rsid w:val="004B43CD"/>
    <w:rsid w:val="004B4451"/>
    <w:rsid w:val="004B45BF"/>
    <w:rsid w:val="004B468C"/>
    <w:rsid w:val="004B46DA"/>
    <w:rsid w:val="004B4B46"/>
    <w:rsid w:val="004B4B6D"/>
    <w:rsid w:val="004B4C5E"/>
    <w:rsid w:val="004B50C5"/>
    <w:rsid w:val="004B5104"/>
    <w:rsid w:val="004B565A"/>
    <w:rsid w:val="004B58F1"/>
    <w:rsid w:val="004B5B94"/>
    <w:rsid w:val="004B5DD5"/>
    <w:rsid w:val="004B5E35"/>
    <w:rsid w:val="004B5F01"/>
    <w:rsid w:val="004B5FB2"/>
    <w:rsid w:val="004B6346"/>
    <w:rsid w:val="004B6361"/>
    <w:rsid w:val="004B6827"/>
    <w:rsid w:val="004B6958"/>
    <w:rsid w:val="004B6A45"/>
    <w:rsid w:val="004B6CEB"/>
    <w:rsid w:val="004B6DD7"/>
    <w:rsid w:val="004B6E1B"/>
    <w:rsid w:val="004B707D"/>
    <w:rsid w:val="004B7101"/>
    <w:rsid w:val="004B73C8"/>
    <w:rsid w:val="004B73D7"/>
    <w:rsid w:val="004B73DF"/>
    <w:rsid w:val="004B7A26"/>
    <w:rsid w:val="004B7AE7"/>
    <w:rsid w:val="004C003B"/>
    <w:rsid w:val="004C00C1"/>
    <w:rsid w:val="004C02E5"/>
    <w:rsid w:val="004C03B5"/>
    <w:rsid w:val="004C0753"/>
    <w:rsid w:val="004C0A27"/>
    <w:rsid w:val="004C0B46"/>
    <w:rsid w:val="004C10BF"/>
    <w:rsid w:val="004C19A2"/>
    <w:rsid w:val="004C1A91"/>
    <w:rsid w:val="004C1BD7"/>
    <w:rsid w:val="004C1F25"/>
    <w:rsid w:val="004C20FE"/>
    <w:rsid w:val="004C217F"/>
    <w:rsid w:val="004C23F7"/>
    <w:rsid w:val="004C2435"/>
    <w:rsid w:val="004C24DB"/>
    <w:rsid w:val="004C262F"/>
    <w:rsid w:val="004C2687"/>
    <w:rsid w:val="004C27F5"/>
    <w:rsid w:val="004C2A6A"/>
    <w:rsid w:val="004C2BAB"/>
    <w:rsid w:val="004C2BF7"/>
    <w:rsid w:val="004C325C"/>
    <w:rsid w:val="004C332C"/>
    <w:rsid w:val="004C33A0"/>
    <w:rsid w:val="004C35D6"/>
    <w:rsid w:val="004C37A5"/>
    <w:rsid w:val="004C3914"/>
    <w:rsid w:val="004C3A89"/>
    <w:rsid w:val="004C3C0A"/>
    <w:rsid w:val="004C3C28"/>
    <w:rsid w:val="004C3C94"/>
    <w:rsid w:val="004C42F0"/>
    <w:rsid w:val="004C430B"/>
    <w:rsid w:val="004C43F7"/>
    <w:rsid w:val="004C4477"/>
    <w:rsid w:val="004C45CC"/>
    <w:rsid w:val="004C4608"/>
    <w:rsid w:val="004C4AE7"/>
    <w:rsid w:val="004C4EA6"/>
    <w:rsid w:val="004C4EC5"/>
    <w:rsid w:val="004C5009"/>
    <w:rsid w:val="004C537F"/>
    <w:rsid w:val="004C5595"/>
    <w:rsid w:val="004C5631"/>
    <w:rsid w:val="004C5835"/>
    <w:rsid w:val="004C5920"/>
    <w:rsid w:val="004C5A4D"/>
    <w:rsid w:val="004C5B5A"/>
    <w:rsid w:val="004C5C99"/>
    <w:rsid w:val="004C5D26"/>
    <w:rsid w:val="004C5D83"/>
    <w:rsid w:val="004C5D8E"/>
    <w:rsid w:val="004C5EA4"/>
    <w:rsid w:val="004C5F4A"/>
    <w:rsid w:val="004C6044"/>
    <w:rsid w:val="004C604D"/>
    <w:rsid w:val="004C620C"/>
    <w:rsid w:val="004C62D7"/>
    <w:rsid w:val="004C63C7"/>
    <w:rsid w:val="004C63F0"/>
    <w:rsid w:val="004C655B"/>
    <w:rsid w:val="004C658E"/>
    <w:rsid w:val="004C68D4"/>
    <w:rsid w:val="004C69C6"/>
    <w:rsid w:val="004C6A5D"/>
    <w:rsid w:val="004C6A6B"/>
    <w:rsid w:val="004C703C"/>
    <w:rsid w:val="004C706B"/>
    <w:rsid w:val="004C710B"/>
    <w:rsid w:val="004C7111"/>
    <w:rsid w:val="004C71CE"/>
    <w:rsid w:val="004C727F"/>
    <w:rsid w:val="004C72B3"/>
    <w:rsid w:val="004C739C"/>
    <w:rsid w:val="004C74D0"/>
    <w:rsid w:val="004C74D5"/>
    <w:rsid w:val="004C7563"/>
    <w:rsid w:val="004C775B"/>
    <w:rsid w:val="004C78BF"/>
    <w:rsid w:val="004D0150"/>
    <w:rsid w:val="004D02F7"/>
    <w:rsid w:val="004D05A6"/>
    <w:rsid w:val="004D08D1"/>
    <w:rsid w:val="004D090F"/>
    <w:rsid w:val="004D0A8C"/>
    <w:rsid w:val="004D0BDD"/>
    <w:rsid w:val="004D0D05"/>
    <w:rsid w:val="004D0D9D"/>
    <w:rsid w:val="004D1149"/>
    <w:rsid w:val="004D1215"/>
    <w:rsid w:val="004D12D1"/>
    <w:rsid w:val="004D13A8"/>
    <w:rsid w:val="004D1412"/>
    <w:rsid w:val="004D1555"/>
    <w:rsid w:val="004D1587"/>
    <w:rsid w:val="004D15CB"/>
    <w:rsid w:val="004D16B4"/>
    <w:rsid w:val="004D18F7"/>
    <w:rsid w:val="004D1EBE"/>
    <w:rsid w:val="004D1F43"/>
    <w:rsid w:val="004D212D"/>
    <w:rsid w:val="004D21A0"/>
    <w:rsid w:val="004D21BD"/>
    <w:rsid w:val="004D226D"/>
    <w:rsid w:val="004D258C"/>
    <w:rsid w:val="004D289F"/>
    <w:rsid w:val="004D2963"/>
    <w:rsid w:val="004D2BB5"/>
    <w:rsid w:val="004D2C3B"/>
    <w:rsid w:val="004D2D12"/>
    <w:rsid w:val="004D2DE1"/>
    <w:rsid w:val="004D2E78"/>
    <w:rsid w:val="004D2EF9"/>
    <w:rsid w:val="004D2F9B"/>
    <w:rsid w:val="004D3333"/>
    <w:rsid w:val="004D34E7"/>
    <w:rsid w:val="004D37D2"/>
    <w:rsid w:val="004D38B4"/>
    <w:rsid w:val="004D3A12"/>
    <w:rsid w:val="004D3AEB"/>
    <w:rsid w:val="004D3BD5"/>
    <w:rsid w:val="004D3E57"/>
    <w:rsid w:val="004D3F18"/>
    <w:rsid w:val="004D4004"/>
    <w:rsid w:val="004D4160"/>
    <w:rsid w:val="004D41A4"/>
    <w:rsid w:val="004D4223"/>
    <w:rsid w:val="004D4651"/>
    <w:rsid w:val="004D478D"/>
    <w:rsid w:val="004D4B81"/>
    <w:rsid w:val="004D4BEE"/>
    <w:rsid w:val="004D4D87"/>
    <w:rsid w:val="004D4DFF"/>
    <w:rsid w:val="004D4F71"/>
    <w:rsid w:val="004D548D"/>
    <w:rsid w:val="004D568D"/>
    <w:rsid w:val="004D576C"/>
    <w:rsid w:val="004D5AA8"/>
    <w:rsid w:val="004D5C0B"/>
    <w:rsid w:val="004D6049"/>
    <w:rsid w:val="004D621A"/>
    <w:rsid w:val="004D62AA"/>
    <w:rsid w:val="004D6679"/>
    <w:rsid w:val="004D6921"/>
    <w:rsid w:val="004D693F"/>
    <w:rsid w:val="004D694A"/>
    <w:rsid w:val="004D6AE4"/>
    <w:rsid w:val="004D6D8A"/>
    <w:rsid w:val="004D6FC5"/>
    <w:rsid w:val="004D7333"/>
    <w:rsid w:val="004D7391"/>
    <w:rsid w:val="004D749F"/>
    <w:rsid w:val="004D7515"/>
    <w:rsid w:val="004D76EA"/>
    <w:rsid w:val="004D76EB"/>
    <w:rsid w:val="004D7787"/>
    <w:rsid w:val="004D79F0"/>
    <w:rsid w:val="004D7A14"/>
    <w:rsid w:val="004D7ABC"/>
    <w:rsid w:val="004D7B9B"/>
    <w:rsid w:val="004D7BFC"/>
    <w:rsid w:val="004D7C98"/>
    <w:rsid w:val="004D7DAD"/>
    <w:rsid w:val="004D7E8E"/>
    <w:rsid w:val="004E01D0"/>
    <w:rsid w:val="004E0315"/>
    <w:rsid w:val="004E038B"/>
    <w:rsid w:val="004E041D"/>
    <w:rsid w:val="004E0481"/>
    <w:rsid w:val="004E05B6"/>
    <w:rsid w:val="004E0779"/>
    <w:rsid w:val="004E094C"/>
    <w:rsid w:val="004E0B7B"/>
    <w:rsid w:val="004E0C12"/>
    <w:rsid w:val="004E0C4E"/>
    <w:rsid w:val="004E0D30"/>
    <w:rsid w:val="004E0D67"/>
    <w:rsid w:val="004E0DA2"/>
    <w:rsid w:val="004E0DB8"/>
    <w:rsid w:val="004E0EE9"/>
    <w:rsid w:val="004E0FBB"/>
    <w:rsid w:val="004E0FBE"/>
    <w:rsid w:val="004E11C4"/>
    <w:rsid w:val="004E1372"/>
    <w:rsid w:val="004E14CB"/>
    <w:rsid w:val="004E1657"/>
    <w:rsid w:val="004E167D"/>
    <w:rsid w:val="004E16BD"/>
    <w:rsid w:val="004E17F0"/>
    <w:rsid w:val="004E1876"/>
    <w:rsid w:val="004E18D2"/>
    <w:rsid w:val="004E195D"/>
    <w:rsid w:val="004E1995"/>
    <w:rsid w:val="004E1C3C"/>
    <w:rsid w:val="004E1D1B"/>
    <w:rsid w:val="004E1F2E"/>
    <w:rsid w:val="004E2378"/>
    <w:rsid w:val="004E23A1"/>
    <w:rsid w:val="004E25DB"/>
    <w:rsid w:val="004E2793"/>
    <w:rsid w:val="004E28A1"/>
    <w:rsid w:val="004E28E4"/>
    <w:rsid w:val="004E2ADB"/>
    <w:rsid w:val="004E2CBF"/>
    <w:rsid w:val="004E32F4"/>
    <w:rsid w:val="004E3380"/>
    <w:rsid w:val="004E37C7"/>
    <w:rsid w:val="004E3C8F"/>
    <w:rsid w:val="004E3F79"/>
    <w:rsid w:val="004E3FC4"/>
    <w:rsid w:val="004E4043"/>
    <w:rsid w:val="004E4170"/>
    <w:rsid w:val="004E4381"/>
    <w:rsid w:val="004E43C2"/>
    <w:rsid w:val="004E4434"/>
    <w:rsid w:val="004E493E"/>
    <w:rsid w:val="004E4A36"/>
    <w:rsid w:val="004E4B39"/>
    <w:rsid w:val="004E4E74"/>
    <w:rsid w:val="004E4EEC"/>
    <w:rsid w:val="004E515F"/>
    <w:rsid w:val="004E5303"/>
    <w:rsid w:val="004E5398"/>
    <w:rsid w:val="004E5537"/>
    <w:rsid w:val="004E55D5"/>
    <w:rsid w:val="004E5811"/>
    <w:rsid w:val="004E59CC"/>
    <w:rsid w:val="004E5A0A"/>
    <w:rsid w:val="004E5AF4"/>
    <w:rsid w:val="004E5BA6"/>
    <w:rsid w:val="004E5D8F"/>
    <w:rsid w:val="004E5FA4"/>
    <w:rsid w:val="004E60D5"/>
    <w:rsid w:val="004E6114"/>
    <w:rsid w:val="004E6392"/>
    <w:rsid w:val="004E646E"/>
    <w:rsid w:val="004E647B"/>
    <w:rsid w:val="004E65DC"/>
    <w:rsid w:val="004E672A"/>
    <w:rsid w:val="004E68C6"/>
    <w:rsid w:val="004E6A92"/>
    <w:rsid w:val="004E6B21"/>
    <w:rsid w:val="004E6C45"/>
    <w:rsid w:val="004E6D9C"/>
    <w:rsid w:val="004E6F6E"/>
    <w:rsid w:val="004E70A9"/>
    <w:rsid w:val="004E753A"/>
    <w:rsid w:val="004E7824"/>
    <w:rsid w:val="004E7B09"/>
    <w:rsid w:val="004F0077"/>
    <w:rsid w:val="004F07E6"/>
    <w:rsid w:val="004F0856"/>
    <w:rsid w:val="004F0988"/>
    <w:rsid w:val="004F0AF2"/>
    <w:rsid w:val="004F0D71"/>
    <w:rsid w:val="004F0D7A"/>
    <w:rsid w:val="004F0FD4"/>
    <w:rsid w:val="004F130B"/>
    <w:rsid w:val="004F14B0"/>
    <w:rsid w:val="004F153F"/>
    <w:rsid w:val="004F16C1"/>
    <w:rsid w:val="004F17D3"/>
    <w:rsid w:val="004F1888"/>
    <w:rsid w:val="004F18AC"/>
    <w:rsid w:val="004F1940"/>
    <w:rsid w:val="004F1EFD"/>
    <w:rsid w:val="004F2101"/>
    <w:rsid w:val="004F211F"/>
    <w:rsid w:val="004F23AD"/>
    <w:rsid w:val="004F24C1"/>
    <w:rsid w:val="004F2620"/>
    <w:rsid w:val="004F2902"/>
    <w:rsid w:val="004F29D5"/>
    <w:rsid w:val="004F2ADA"/>
    <w:rsid w:val="004F2CE3"/>
    <w:rsid w:val="004F2F0A"/>
    <w:rsid w:val="004F3089"/>
    <w:rsid w:val="004F322B"/>
    <w:rsid w:val="004F3343"/>
    <w:rsid w:val="004F35A3"/>
    <w:rsid w:val="004F3708"/>
    <w:rsid w:val="004F3B05"/>
    <w:rsid w:val="004F3D2C"/>
    <w:rsid w:val="004F43FC"/>
    <w:rsid w:val="004F4426"/>
    <w:rsid w:val="004F454B"/>
    <w:rsid w:val="004F45AE"/>
    <w:rsid w:val="004F4604"/>
    <w:rsid w:val="004F465D"/>
    <w:rsid w:val="004F46FC"/>
    <w:rsid w:val="004F488B"/>
    <w:rsid w:val="004F4B5A"/>
    <w:rsid w:val="004F4C78"/>
    <w:rsid w:val="004F4D52"/>
    <w:rsid w:val="004F4E39"/>
    <w:rsid w:val="004F4E4B"/>
    <w:rsid w:val="004F4E5F"/>
    <w:rsid w:val="004F4FEA"/>
    <w:rsid w:val="004F5024"/>
    <w:rsid w:val="004F5222"/>
    <w:rsid w:val="004F5388"/>
    <w:rsid w:val="004F556E"/>
    <w:rsid w:val="004F5853"/>
    <w:rsid w:val="004F593E"/>
    <w:rsid w:val="004F5BE6"/>
    <w:rsid w:val="004F5D30"/>
    <w:rsid w:val="004F5D66"/>
    <w:rsid w:val="004F5EB9"/>
    <w:rsid w:val="004F6080"/>
    <w:rsid w:val="004F6299"/>
    <w:rsid w:val="004F63F5"/>
    <w:rsid w:val="004F65BA"/>
    <w:rsid w:val="004F6796"/>
    <w:rsid w:val="004F68DC"/>
    <w:rsid w:val="004F6B7C"/>
    <w:rsid w:val="004F6BF8"/>
    <w:rsid w:val="004F6E95"/>
    <w:rsid w:val="004F6F80"/>
    <w:rsid w:val="004F6FFC"/>
    <w:rsid w:val="004F7154"/>
    <w:rsid w:val="004F74FD"/>
    <w:rsid w:val="004F75B1"/>
    <w:rsid w:val="004F76E9"/>
    <w:rsid w:val="004F7885"/>
    <w:rsid w:val="004F79A6"/>
    <w:rsid w:val="004F79F0"/>
    <w:rsid w:val="004F7A53"/>
    <w:rsid w:val="004F7B1E"/>
    <w:rsid w:val="004F7C8A"/>
    <w:rsid w:val="004F7C93"/>
    <w:rsid w:val="004F7C9D"/>
    <w:rsid w:val="0050023E"/>
    <w:rsid w:val="0050041C"/>
    <w:rsid w:val="005006A1"/>
    <w:rsid w:val="00500767"/>
    <w:rsid w:val="005007AA"/>
    <w:rsid w:val="00500810"/>
    <w:rsid w:val="00500A24"/>
    <w:rsid w:val="00500CA9"/>
    <w:rsid w:val="00500EB0"/>
    <w:rsid w:val="00500F52"/>
    <w:rsid w:val="00501066"/>
    <w:rsid w:val="005012E3"/>
    <w:rsid w:val="005012FB"/>
    <w:rsid w:val="0050139C"/>
    <w:rsid w:val="005013FF"/>
    <w:rsid w:val="00501406"/>
    <w:rsid w:val="00501435"/>
    <w:rsid w:val="0050154B"/>
    <w:rsid w:val="005016AC"/>
    <w:rsid w:val="005019F7"/>
    <w:rsid w:val="00501C5A"/>
    <w:rsid w:val="00501D64"/>
    <w:rsid w:val="00501FCA"/>
    <w:rsid w:val="0050235A"/>
    <w:rsid w:val="005023F2"/>
    <w:rsid w:val="00502B88"/>
    <w:rsid w:val="00502C28"/>
    <w:rsid w:val="00502CEF"/>
    <w:rsid w:val="00502D21"/>
    <w:rsid w:val="00502D32"/>
    <w:rsid w:val="0050300E"/>
    <w:rsid w:val="0050330B"/>
    <w:rsid w:val="00503603"/>
    <w:rsid w:val="00503653"/>
    <w:rsid w:val="0050380A"/>
    <w:rsid w:val="00503895"/>
    <w:rsid w:val="005038AF"/>
    <w:rsid w:val="00503AC2"/>
    <w:rsid w:val="00503B5C"/>
    <w:rsid w:val="00503D57"/>
    <w:rsid w:val="00503F27"/>
    <w:rsid w:val="00504103"/>
    <w:rsid w:val="00504389"/>
    <w:rsid w:val="00504494"/>
    <w:rsid w:val="00504515"/>
    <w:rsid w:val="00504674"/>
    <w:rsid w:val="00504854"/>
    <w:rsid w:val="00504F86"/>
    <w:rsid w:val="00505131"/>
    <w:rsid w:val="00505266"/>
    <w:rsid w:val="00505335"/>
    <w:rsid w:val="0050560F"/>
    <w:rsid w:val="00505627"/>
    <w:rsid w:val="005057B5"/>
    <w:rsid w:val="00505A76"/>
    <w:rsid w:val="00505BCD"/>
    <w:rsid w:val="00505D65"/>
    <w:rsid w:val="00505FEC"/>
    <w:rsid w:val="005061C3"/>
    <w:rsid w:val="0050621B"/>
    <w:rsid w:val="005063E1"/>
    <w:rsid w:val="0050643C"/>
    <w:rsid w:val="00506497"/>
    <w:rsid w:val="0050671E"/>
    <w:rsid w:val="0050674E"/>
    <w:rsid w:val="005069C7"/>
    <w:rsid w:val="00506C05"/>
    <w:rsid w:val="00506E22"/>
    <w:rsid w:val="00506EE6"/>
    <w:rsid w:val="00506FAF"/>
    <w:rsid w:val="00507009"/>
    <w:rsid w:val="00507027"/>
    <w:rsid w:val="00507927"/>
    <w:rsid w:val="00507B73"/>
    <w:rsid w:val="00507D12"/>
    <w:rsid w:val="00507E1A"/>
    <w:rsid w:val="00507EFC"/>
    <w:rsid w:val="00507F7C"/>
    <w:rsid w:val="00507F82"/>
    <w:rsid w:val="00507FD6"/>
    <w:rsid w:val="00510175"/>
    <w:rsid w:val="00510201"/>
    <w:rsid w:val="00510260"/>
    <w:rsid w:val="0051067B"/>
    <w:rsid w:val="00510C78"/>
    <w:rsid w:val="005110EB"/>
    <w:rsid w:val="005111AC"/>
    <w:rsid w:val="005112C3"/>
    <w:rsid w:val="005112F1"/>
    <w:rsid w:val="00511356"/>
    <w:rsid w:val="005114A6"/>
    <w:rsid w:val="00511691"/>
    <w:rsid w:val="00511695"/>
    <w:rsid w:val="005116D9"/>
    <w:rsid w:val="005117E4"/>
    <w:rsid w:val="00511BC1"/>
    <w:rsid w:val="00511F36"/>
    <w:rsid w:val="005120D3"/>
    <w:rsid w:val="005120FA"/>
    <w:rsid w:val="00512255"/>
    <w:rsid w:val="00512720"/>
    <w:rsid w:val="00512749"/>
    <w:rsid w:val="005127BC"/>
    <w:rsid w:val="00512825"/>
    <w:rsid w:val="00512875"/>
    <w:rsid w:val="0051287A"/>
    <w:rsid w:val="005129B9"/>
    <w:rsid w:val="00512AA2"/>
    <w:rsid w:val="00512C3F"/>
    <w:rsid w:val="00512CA7"/>
    <w:rsid w:val="00512F7C"/>
    <w:rsid w:val="00513648"/>
    <w:rsid w:val="0051376F"/>
    <w:rsid w:val="00513806"/>
    <w:rsid w:val="00513959"/>
    <w:rsid w:val="00514223"/>
    <w:rsid w:val="005144FF"/>
    <w:rsid w:val="00514524"/>
    <w:rsid w:val="005147B0"/>
    <w:rsid w:val="00514890"/>
    <w:rsid w:val="005149CF"/>
    <w:rsid w:val="00514CB5"/>
    <w:rsid w:val="00514D3A"/>
    <w:rsid w:val="005151E0"/>
    <w:rsid w:val="00515334"/>
    <w:rsid w:val="0051533B"/>
    <w:rsid w:val="0051533E"/>
    <w:rsid w:val="00515727"/>
    <w:rsid w:val="00515864"/>
    <w:rsid w:val="0051594F"/>
    <w:rsid w:val="00515A7D"/>
    <w:rsid w:val="00515E7B"/>
    <w:rsid w:val="00515EB6"/>
    <w:rsid w:val="00515F68"/>
    <w:rsid w:val="0051626A"/>
    <w:rsid w:val="005162D6"/>
    <w:rsid w:val="00516600"/>
    <w:rsid w:val="00516691"/>
    <w:rsid w:val="00516710"/>
    <w:rsid w:val="005169CC"/>
    <w:rsid w:val="00516A09"/>
    <w:rsid w:val="00516BC4"/>
    <w:rsid w:val="00516EB5"/>
    <w:rsid w:val="00517185"/>
    <w:rsid w:val="005171EE"/>
    <w:rsid w:val="0051747A"/>
    <w:rsid w:val="0051750E"/>
    <w:rsid w:val="0051784A"/>
    <w:rsid w:val="00517862"/>
    <w:rsid w:val="005179B1"/>
    <w:rsid w:val="00517A3C"/>
    <w:rsid w:val="00517D3B"/>
    <w:rsid w:val="00517D7E"/>
    <w:rsid w:val="00517F08"/>
    <w:rsid w:val="0052002F"/>
    <w:rsid w:val="00520175"/>
    <w:rsid w:val="00520235"/>
    <w:rsid w:val="00520243"/>
    <w:rsid w:val="005203B6"/>
    <w:rsid w:val="00520407"/>
    <w:rsid w:val="00520610"/>
    <w:rsid w:val="00520757"/>
    <w:rsid w:val="00520B31"/>
    <w:rsid w:val="00520C18"/>
    <w:rsid w:val="00520D09"/>
    <w:rsid w:val="00520D28"/>
    <w:rsid w:val="00520D3A"/>
    <w:rsid w:val="00520D55"/>
    <w:rsid w:val="00520FE4"/>
    <w:rsid w:val="0052116C"/>
    <w:rsid w:val="005211A1"/>
    <w:rsid w:val="00521274"/>
    <w:rsid w:val="0052138C"/>
    <w:rsid w:val="00521646"/>
    <w:rsid w:val="00521757"/>
    <w:rsid w:val="005217B8"/>
    <w:rsid w:val="005217EF"/>
    <w:rsid w:val="005218F3"/>
    <w:rsid w:val="00521A08"/>
    <w:rsid w:val="00521A1F"/>
    <w:rsid w:val="00521A48"/>
    <w:rsid w:val="00521DB2"/>
    <w:rsid w:val="00521E7E"/>
    <w:rsid w:val="005220BF"/>
    <w:rsid w:val="005220E3"/>
    <w:rsid w:val="00522536"/>
    <w:rsid w:val="00522546"/>
    <w:rsid w:val="0052254E"/>
    <w:rsid w:val="005228E8"/>
    <w:rsid w:val="00522AE8"/>
    <w:rsid w:val="00522C64"/>
    <w:rsid w:val="00522CE9"/>
    <w:rsid w:val="0052336B"/>
    <w:rsid w:val="005233CC"/>
    <w:rsid w:val="005234C7"/>
    <w:rsid w:val="005235F2"/>
    <w:rsid w:val="005236A1"/>
    <w:rsid w:val="00523912"/>
    <w:rsid w:val="00524136"/>
    <w:rsid w:val="005244A1"/>
    <w:rsid w:val="005248D2"/>
    <w:rsid w:val="00524996"/>
    <w:rsid w:val="00524BB4"/>
    <w:rsid w:val="00524C27"/>
    <w:rsid w:val="00524DD0"/>
    <w:rsid w:val="00524E7D"/>
    <w:rsid w:val="00524EBE"/>
    <w:rsid w:val="00524EC5"/>
    <w:rsid w:val="005251FE"/>
    <w:rsid w:val="00525314"/>
    <w:rsid w:val="005253AC"/>
    <w:rsid w:val="005256DF"/>
    <w:rsid w:val="005256FD"/>
    <w:rsid w:val="00525709"/>
    <w:rsid w:val="00525913"/>
    <w:rsid w:val="005259B4"/>
    <w:rsid w:val="00525BAC"/>
    <w:rsid w:val="00525BDD"/>
    <w:rsid w:val="00525E71"/>
    <w:rsid w:val="00526054"/>
    <w:rsid w:val="00526066"/>
    <w:rsid w:val="005261F5"/>
    <w:rsid w:val="0052626C"/>
    <w:rsid w:val="00526785"/>
    <w:rsid w:val="00526793"/>
    <w:rsid w:val="00526824"/>
    <w:rsid w:val="00526A99"/>
    <w:rsid w:val="00526B55"/>
    <w:rsid w:val="00526BDA"/>
    <w:rsid w:val="00526C8C"/>
    <w:rsid w:val="00526D30"/>
    <w:rsid w:val="0052707E"/>
    <w:rsid w:val="005270F6"/>
    <w:rsid w:val="005271BA"/>
    <w:rsid w:val="00527372"/>
    <w:rsid w:val="00527874"/>
    <w:rsid w:val="0052793C"/>
    <w:rsid w:val="00527B5D"/>
    <w:rsid w:val="00527CF0"/>
    <w:rsid w:val="00530373"/>
    <w:rsid w:val="0053060B"/>
    <w:rsid w:val="0053075B"/>
    <w:rsid w:val="005307B6"/>
    <w:rsid w:val="0053097C"/>
    <w:rsid w:val="005309F4"/>
    <w:rsid w:val="00530D21"/>
    <w:rsid w:val="00530EBE"/>
    <w:rsid w:val="00530F65"/>
    <w:rsid w:val="00531179"/>
    <w:rsid w:val="005311B0"/>
    <w:rsid w:val="0053150E"/>
    <w:rsid w:val="00531D7A"/>
    <w:rsid w:val="00531F55"/>
    <w:rsid w:val="00532179"/>
    <w:rsid w:val="005325EE"/>
    <w:rsid w:val="00532855"/>
    <w:rsid w:val="0053285B"/>
    <w:rsid w:val="00532AE7"/>
    <w:rsid w:val="00532D25"/>
    <w:rsid w:val="00532D72"/>
    <w:rsid w:val="00532DB2"/>
    <w:rsid w:val="00532E38"/>
    <w:rsid w:val="00532E72"/>
    <w:rsid w:val="00532EBA"/>
    <w:rsid w:val="00532F98"/>
    <w:rsid w:val="0053314A"/>
    <w:rsid w:val="00533527"/>
    <w:rsid w:val="0053358F"/>
    <w:rsid w:val="005335A6"/>
    <w:rsid w:val="0053374F"/>
    <w:rsid w:val="0053384C"/>
    <w:rsid w:val="0053389F"/>
    <w:rsid w:val="00533A3F"/>
    <w:rsid w:val="00533B8E"/>
    <w:rsid w:val="00533DCD"/>
    <w:rsid w:val="00533E5F"/>
    <w:rsid w:val="00533FC7"/>
    <w:rsid w:val="005342D3"/>
    <w:rsid w:val="005346C7"/>
    <w:rsid w:val="0053478C"/>
    <w:rsid w:val="00534987"/>
    <w:rsid w:val="005349E8"/>
    <w:rsid w:val="00534B87"/>
    <w:rsid w:val="00534CED"/>
    <w:rsid w:val="00534D10"/>
    <w:rsid w:val="00534F3F"/>
    <w:rsid w:val="00535078"/>
    <w:rsid w:val="005350D9"/>
    <w:rsid w:val="00535128"/>
    <w:rsid w:val="0053526A"/>
    <w:rsid w:val="005352A8"/>
    <w:rsid w:val="005355CC"/>
    <w:rsid w:val="00535680"/>
    <w:rsid w:val="00535E3F"/>
    <w:rsid w:val="00536233"/>
    <w:rsid w:val="005362B5"/>
    <w:rsid w:val="005363D9"/>
    <w:rsid w:val="0053650D"/>
    <w:rsid w:val="00536568"/>
    <w:rsid w:val="0053659B"/>
    <w:rsid w:val="00536609"/>
    <w:rsid w:val="005366A0"/>
    <w:rsid w:val="0053683D"/>
    <w:rsid w:val="00536D7B"/>
    <w:rsid w:val="00536F30"/>
    <w:rsid w:val="00537367"/>
    <w:rsid w:val="005373DB"/>
    <w:rsid w:val="005374E6"/>
    <w:rsid w:val="005374F0"/>
    <w:rsid w:val="00537510"/>
    <w:rsid w:val="005376D6"/>
    <w:rsid w:val="00537DC6"/>
    <w:rsid w:val="00537E4B"/>
    <w:rsid w:val="005401D9"/>
    <w:rsid w:val="0054020C"/>
    <w:rsid w:val="0054035D"/>
    <w:rsid w:val="005403BD"/>
    <w:rsid w:val="00540422"/>
    <w:rsid w:val="00540553"/>
    <w:rsid w:val="00540600"/>
    <w:rsid w:val="005407AA"/>
    <w:rsid w:val="005407D8"/>
    <w:rsid w:val="0054082C"/>
    <w:rsid w:val="005408B6"/>
    <w:rsid w:val="0054093A"/>
    <w:rsid w:val="00540A18"/>
    <w:rsid w:val="00540AB5"/>
    <w:rsid w:val="00540D85"/>
    <w:rsid w:val="00541122"/>
    <w:rsid w:val="005411AA"/>
    <w:rsid w:val="00541771"/>
    <w:rsid w:val="00541909"/>
    <w:rsid w:val="00541AA6"/>
    <w:rsid w:val="00541C00"/>
    <w:rsid w:val="00541FC9"/>
    <w:rsid w:val="00542250"/>
    <w:rsid w:val="005422CE"/>
    <w:rsid w:val="00542335"/>
    <w:rsid w:val="00542337"/>
    <w:rsid w:val="00542463"/>
    <w:rsid w:val="005424DD"/>
    <w:rsid w:val="00542561"/>
    <w:rsid w:val="005425B5"/>
    <w:rsid w:val="00542653"/>
    <w:rsid w:val="005427F3"/>
    <w:rsid w:val="00542800"/>
    <w:rsid w:val="0054286B"/>
    <w:rsid w:val="0054287B"/>
    <w:rsid w:val="0054296C"/>
    <w:rsid w:val="005429FE"/>
    <w:rsid w:val="00542A04"/>
    <w:rsid w:val="00542A98"/>
    <w:rsid w:val="00542AA0"/>
    <w:rsid w:val="00542C63"/>
    <w:rsid w:val="00542CEE"/>
    <w:rsid w:val="00542DC6"/>
    <w:rsid w:val="00542F8F"/>
    <w:rsid w:val="0054307D"/>
    <w:rsid w:val="005433CE"/>
    <w:rsid w:val="005433ED"/>
    <w:rsid w:val="00543430"/>
    <w:rsid w:val="005434C6"/>
    <w:rsid w:val="00543E7F"/>
    <w:rsid w:val="00543EC8"/>
    <w:rsid w:val="00544211"/>
    <w:rsid w:val="0054478B"/>
    <w:rsid w:val="0054491C"/>
    <w:rsid w:val="00544ACB"/>
    <w:rsid w:val="00544BD4"/>
    <w:rsid w:val="00544FA6"/>
    <w:rsid w:val="00545038"/>
    <w:rsid w:val="005450DE"/>
    <w:rsid w:val="00545219"/>
    <w:rsid w:val="00545223"/>
    <w:rsid w:val="005452D9"/>
    <w:rsid w:val="005453F9"/>
    <w:rsid w:val="0054599E"/>
    <w:rsid w:val="005459B8"/>
    <w:rsid w:val="00545C57"/>
    <w:rsid w:val="00545D4C"/>
    <w:rsid w:val="00545E45"/>
    <w:rsid w:val="00545E49"/>
    <w:rsid w:val="00545FAF"/>
    <w:rsid w:val="00545FF1"/>
    <w:rsid w:val="00546036"/>
    <w:rsid w:val="005460E6"/>
    <w:rsid w:val="005467D9"/>
    <w:rsid w:val="005468CF"/>
    <w:rsid w:val="00546ABE"/>
    <w:rsid w:val="00546DD3"/>
    <w:rsid w:val="00546E9C"/>
    <w:rsid w:val="00546F0A"/>
    <w:rsid w:val="00547087"/>
    <w:rsid w:val="00547159"/>
    <w:rsid w:val="005471EE"/>
    <w:rsid w:val="00547352"/>
    <w:rsid w:val="0054768C"/>
    <w:rsid w:val="00547BA8"/>
    <w:rsid w:val="00547BEE"/>
    <w:rsid w:val="00547D07"/>
    <w:rsid w:val="00547D5C"/>
    <w:rsid w:val="00547DA5"/>
    <w:rsid w:val="00550016"/>
    <w:rsid w:val="00550263"/>
    <w:rsid w:val="005504D2"/>
    <w:rsid w:val="005504DA"/>
    <w:rsid w:val="005508E7"/>
    <w:rsid w:val="00550A24"/>
    <w:rsid w:val="00550C5C"/>
    <w:rsid w:val="00550DE1"/>
    <w:rsid w:val="00551022"/>
    <w:rsid w:val="00551139"/>
    <w:rsid w:val="005512FF"/>
    <w:rsid w:val="00551397"/>
    <w:rsid w:val="00551451"/>
    <w:rsid w:val="00551824"/>
    <w:rsid w:val="00551946"/>
    <w:rsid w:val="00551947"/>
    <w:rsid w:val="00551B30"/>
    <w:rsid w:val="00551BD1"/>
    <w:rsid w:val="00551D87"/>
    <w:rsid w:val="00551E17"/>
    <w:rsid w:val="00551E33"/>
    <w:rsid w:val="00551FDF"/>
    <w:rsid w:val="0055251A"/>
    <w:rsid w:val="005525AD"/>
    <w:rsid w:val="005525D2"/>
    <w:rsid w:val="00552860"/>
    <w:rsid w:val="005528C5"/>
    <w:rsid w:val="005528DE"/>
    <w:rsid w:val="005528E5"/>
    <w:rsid w:val="00552935"/>
    <w:rsid w:val="00552A2F"/>
    <w:rsid w:val="00552A7A"/>
    <w:rsid w:val="00552BED"/>
    <w:rsid w:val="00552C16"/>
    <w:rsid w:val="00552C5E"/>
    <w:rsid w:val="00552D31"/>
    <w:rsid w:val="00552D69"/>
    <w:rsid w:val="00553044"/>
    <w:rsid w:val="005530CD"/>
    <w:rsid w:val="00553113"/>
    <w:rsid w:val="0055326E"/>
    <w:rsid w:val="00553399"/>
    <w:rsid w:val="005533CD"/>
    <w:rsid w:val="0055353E"/>
    <w:rsid w:val="0055372A"/>
    <w:rsid w:val="0055393A"/>
    <w:rsid w:val="00553ADA"/>
    <w:rsid w:val="00553DFB"/>
    <w:rsid w:val="00553FC0"/>
    <w:rsid w:val="00554040"/>
    <w:rsid w:val="005546E0"/>
    <w:rsid w:val="00554711"/>
    <w:rsid w:val="00554939"/>
    <w:rsid w:val="00554969"/>
    <w:rsid w:val="00554C2D"/>
    <w:rsid w:val="00554E32"/>
    <w:rsid w:val="00554F8F"/>
    <w:rsid w:val="00555145"/>
    <w:rsid w:val="005552DC"/>
    <w:rsid w:val="005553C4"/>
    <w:rsid w:val="00555515"/>
    <w:rsid w:val="005559B4"/>
    <w:rsid w:val="005559E1"/>
    <w:rsid w:val="00555ABD"/>
    <w:rsid w:val="00555E22"/>
    <w:rsid w:val="00556152"/>
    <w:rsid w:val="00556295"/>
    <w:rsid w:val="005566C7"/>
    <w:rsid w:val="00556889"/>
    <w:rsid w:val="00556970"/>
    <w:rsid w:val="00556A17"/>
    <w:rsid w:val="00556A51"/>
    <w:rsid w:val="00556CBC"/>
    <w:rsid w:val="0055755D"/>
    <w:rsid w:val="00557663"/>
    <w:rsid w:val="005576C3"/>
    <w:rsid w:val="005576F8"/>
    <w:rsid w:val="00557727"/>
    <w:rsid w:val="005579FC"/>
    <w:rsid w:val="00557B03"/>
    <w:rsid w:val="00557C2E"/>
    <w:rsid w:val="00557CAE"/>
    <w:rsid w:val="00557DDF"/>
    <w:rsid w:val="00557E4D"/>
    <w:rsid w:val="00557FDE"/>
    <w:rsid w:val="005600B4"/>
    <w:rsid w:val="00560141"/>
    <w:rsid w:val="005608BF"/>
    <w:rsid w:val="00560969"/>
    <w:rsid w:val="00560B93"/>
    <w:rsid w:val="00560CAB"/>
    <w:rsid w:val="00560D6C"/>
    <w:rsid w:val="00560DA5"/>
    <w:rsid w:val="0056101A"/>
    <w:rsid w:val="00561132"/>
    <w:rsid w:val="005611E6"/>
    <w:rsid w:val="00561371"/>
    <w:rsid w:val="005616AF"/>
    <w:rsid w:val="00561798"/>
    <w:rsid w:val="00561824"/>
    <w:rsid w:val="0056188E"/>
    <w:rsid w:val="00561982"/>
    <w:rsid w:val="00561B54"/>
    <w:rsid w:val="00561E9B"/>
    <w:rsid w:val="005621A4"/>
    <w:rsid w:val="00562772"/>
    <w:rsid w:val="00562AE6"/>
    <w:rsid w:val="00562D95"/>
    <w:rsid w:val="00562E31"/>
    <w:rsid w:val="00562FB2"/>
    <w:rsid w:val="005633C0"/>
    <w:rsid w:val="005636B0"/>
    <w:rsid w:val="005637BC"/>
    <w:rsid w:val="00563865"/>
    <w:rsid w:val="00563894"/>
    <w:rsid w:val="0056394B"/>
    <w:rsid w:val="0056398F"/>
    <w:rsid w:val="00563C85"/>
    <w:rsid w:val="00563EE4"/>
    <w:rsid w:val="00563FA8"/>
    <w:rsid w:val="005640CD"/>
    <w:rsid w:val="00564153"/>
    <w:rsid w:val="00564169"/>
    <w:rsid w:val="00564A37"/>
    <w:rsid w:val="00564AA5"/>
    <w:rsid w:val="00565056"/>
    <w:rsid w:val="00565136"/>
    <w:rsid w:val="005653CC"/>
    <w:rsid w:val="005655F8"/>
    <w:rsid w:val="00565982"/>
    <w:rsid w:val="00565A7E"/>
    <w:rsid w:val="00565B3B"/>
    <w:rsid w:val="00565CBC"/>
    <w:rsid w:val="00565DF1"/>
    <w:rsid w:val="0056605A"/>
    <w:rsid w:val="005661D3"/>
    <w:rsid w:val="00566369"/>
    <w:rsid w:val="00566688"/>
    <w:rsid w:val="005667BC"/>
    <w:rsid w:val="00566823"/>
    <w:rsid w:val="0056684D"/>
    <w:rsid w:val="005668FE"/>
    <w:rsid w:val="00566BC0"/>
    <w:rsid w:val="00566BEB"/>
    <w:rsid w:val="00566C51"/>
    <w:rsid w:val="00566DC0"/>
    <w:rsid w:val="00566E74"/>
    <w:rsid w:val="0056712B"/>
    <w:rsid w:val="00567155"/>
    <w:rsid w:val="005671C3"/>
    <w:rsid w:val="0056725F"/>
    <w:rsid w:val="00567478"/>
    <w:rsid w:val="0056758B"/>
    <w:rsid w:val="005677AA"/>
    <w:rsid w:val="0056785C"/>
    <w:rsid w:val="00567B12"/>
    <w:rsid w:val="00567BC5"/>
    <w:rsid w:val="00567CC4"/>
    <w:rsid w:val="00567FD7"/>
    <w:rsid w:val="00570389"/>
    <w:rsid w:val="005705A1"/>
    <w:rsid w:val="00570C53"/>
    <w:rsid w:val="00570C55"/>
    <w:rsid w:val="00570C6C"/>
    <w:rsid w:val="00570D27"/>
    <w:rsid w:val="00570D8E"/>
    <w:rsid w:val="00570DBE"/>
    <w:rsid w:val="00570E1A"/>
    <w:rsid w:val="00570F10"/>
    <w:rsid w:val="00570F6A"/>
    <w:rsid w:val="00571121"/>
    <w:rsid w:val="005712FD"/>
    <w:rsid w:val="00571350"/>
    <w:rsid w:val="005713A4"/>
    <w:rsid w:val="005713C0"/>
    <w:rsid w:val="00571454"/>
    <w:rsid w:val="005714B4"/>
    <w:rsid w:val="00571865"/>
    <w:rsid w:val="00571AEF"/>
    <w:rsid w:val="00571C20"/>
    <w:rsid w:val="00571C60"/>
    <w:rsid w:val="00571CAD"/>
    <w:rsid w:val="00571D29"/>
    <w:rsid w:val="00571EC0"/>
    <w:rsid w:val="005723B6"/>
    <w:rsid w:val="005725C5"/>
    <w:rsid w:val="00572A6C"/>
    <w:rsid w:val="00572A90"/>
    <w:rsid w:val="00572B4E"/>
    <w:rsid w:val="00572B5D"/>
    <w:rsid w:val="00572D33"/>
    <w:rsid w:val="00572F0B"/>
    <w:rsid w:val="00572F52"/>
    <w:rsid w:val="00573092"/>
    <w:rsid w:val="005734BE"/>
    <w:rsid w:val="005734C3"/>
    <w:rsid w:val="00573500"/>
    <w:rsid w:val="0057361F"/>
    <w:rsid w:val="00573821"/>
    <w:rsid w:val="005738EF"/>
    <w:rsid w:val="00573E03"/>
    <w:rsid w:val="00573E7D"/>
    <w:rsid w:val="00573FED"/>
    <w:rsid w:val="005743E9"/>
    <w:rsid w:val="005745A8"/>
    <w:rsid w:val="0057466E"/>
    <w:rsid w:val="00574697"/>
    <w:rsid w:val="0057486F"/>
    <w:rsid w:val="005752AD"/>
    <w:rsid w:val="005752E5"/>
    <w:rsid w:val="0057536C"/>
    <w:rsid w:val="005753E8"/>
    <w:rsid w:val="0057561F"/>
    <w:rsid w:val="00575687"/>
    <w:rsid w:val="0057571C"/>
    <w:rsid w:val="00575801"/>
    <w:rsid w:val="005759A9"/>
    <w:rsid w:val="00575C9C"/>
    <w:rsid w:val="00575DA4"/>
    <w:rsid w:val="00576473"/>
    <w:rsid w:val="00576692"/>
    <w:rsid w:val="00576953"/>
    <w:rsid w:val="00576973"/>
    <w:rsid w:val="00576A3D"/>
    <w:rsid w:val="00576A8C"/>
    <w:rsid w:val="00576AB2"/>
    <w:rsid w:val="00576CBD"/>
    <w:rsid w:val="00576DBD"/>
    <w:rsid w:val="00576E03"/>
    <w:rsid w:val="00576E77"/>
    <w:rsid w:val="00577102"/>
    <w:rsid w:val="00577215"/>
    <w:rsid w:val="0057722F"/>
    <w:rsid w:val="0057748A"/>
    <w:rsid w:val="00577530"/>
    <w:rsid w:val="00577552"/>
    <w:rsid w:val="005776AC"/>
    <w:rsid w:val="005776BF"/>
    <w:rsid w:val="00577916"/>
    <w:rsid w:val="0057791A"/>
    <w:rsid w:val="00577934"/>
    <w:rsid w:val="0057797A"/>
    <w:rsid w:val="00577996"/>
    <w:rsid w:val="00577A35"/>
    <w:rsid w:val="00577ACB"/>
    <w:rsid w:val="00577C25"/>
    <w:rsid w:val="00577FCB"/>
    <w:rsid w:val="0058011C"/>
    <w:rsid w:val="005801F0"/>
    <w:rsid w:val="00580493"/>
    <w:rsid w:val="0058052F"/>
    <w:rsid w:val="00580643"/>
    <w:rsid w:val="00580AB5"/>
    <w:rsid w:val="00580C54"/>
    <w:rsid w:val="00580FC2"/>
    <w:rsid w:val="00581099"/>
    <w:rsid w:val="0058120F"/>
    <w:rsid w:val="005812B9"/>
    <w:rsid w:val="005812FC"/>
    <w:rsid w:val="00581392"/>
    <w:rsid w:val="0058144A"/>
    <w:rsid w:val="005814AC"/>
    <w:rsid w:val="0058167D"/>
    <w:rsid w:val="00581910"/>
    <w:rsid w:val="00581960"/>
    <w:rsid w:val="00581C86"/>
    <w:rsid w:val="00581ED9"/>
    <w:rsid w:val="005820FB"/>
    <w:rsid w:val="005820FF"/>
    <w:rsid w:val="00582114"/>
    <w:rsid w:val="00582583"/>
    <w:rsid w:val="0058269F"/>
    <w:rsid w:val="00582964"/>
    <w:rsid w:val="00582E28"/>
    <w:rsid w:val="00582E4C"/>
    <w:rsid w:val="00583817"/>
    <w:rsid w:val="00583853"/>
    <w:rsid w:val="005839A1"/>
    <w:rsid w:val="00583A14"/>
    <w:rsid w:val="00583B1E"/>
    <w:rsid w:val="00583B38"/>
    <w:rsid w:val="00583D08"/>
    <w:rsid w:val="00583E1C"/>
    <w:rsid w:val="00583E88"/>
    <w:rsid w:val="005840CF"/>
    <w:rsid w:val="00584455"/>
    <w:rsid w:val="005844EE"/>
    <w:rsid w:val="005845EF"/>
    <w:rsid w:val="00584880"/>
    <w:rsid w:val="005848F9"/>
    <w:rsid w:val="00584903"/>
    <w:rsid w:val="00584ACE"/>
    <w:rsid w:val="00584AF1"/>
    <w:rsid w:val="005850AF"/>
    <w:rsid w:val="00585301"/>
    <w:rsid w:val="0058555A"/>
    <w:rsid w:val="0058572B"/>
    <w:rsid w:val="00585794"/>
    <w:rsid w:val="00585A25"/>
    <w:rsid w:val="00585AA7"/>
    <w:rsid w:val="00585B76"/>
    <w:rsid w:val="00585D2F"/>
    <w:rsid w:val="00585E13"/>
    <w:rsid w:val="005860D5"/>
    <w:rsid w:val="005860DC"/>
    <w:rsid w:val="005861A4"/>
    <w:rsid w:val="00586298"/>
    <w:rsid w:val="0058651C"/>
    <w:rsid w:val="00586609"/>
    <w:rsid w:val="00586738"/>
    <w:rsid w:val="005867C4"/>
    <w:rsid w:val="005869CC"/>
    <w:rsid w:val="00586BDE"/>
    <w:rsid w:val="00586D14"/>
    <w:rsid w:val="00586E46"/>
    <w:rsid w:val="00586F22"/>
    <w:rsid w:val="0058716D"/>
    <w:rsid w:val="0058718E"/>
    <w:rsid w:val="00587256"/>
    <w:rsid w:val="005875EC"/>
    <w:rsid w:val="00587711"/>
    <w:rsid w:val="005877A9"/>
    <w:rsid w:val="00587933"/>
    <w:rsid w:val="00587C9F"/>
    <w:rsid w:val="00590090"/>
    <w:rsid w:val="005900A0"/>
    <w:rsid w:val="005905EA"/>
    <w:rsid w:val="00590773"/>
    <w:rsid w:val="005907C8"/>
    <w:rsid w:val="0059085A"/>
    <w:rsid w:val="005908F9"/>
    <w:rsid w:val="00590AA9"/>
    <w:rsid w:val="00590D07"/>
    <w:rsid w:val="00590E59"/>
    <w:rsid w:val="005910F8"/>
    <w:rsid w:val="005911AA"/>
    <w:rsid w:val="005911F5"/>
    <w:rsid w:val="005912E8"/>
    <w:rsid w:val="00591300"/>
    <w:rsid w:val="005913C5"/>
    <w:rsid w:val="0059141A"/>
    <w:rsid w:val="005914CE"/>
    <w:rsid w:val="0059191D"/>
    <w:rsid w:val="00591AC0"/>
    <w:rsid w:val="00591B03"/>
    <w:rsid w:val="00591B61"/>
    <w:rsid w:val="00591BCD"/>
    <w:rsid w:val="0059236A"/>
    <w:rsid w:val="0059251C"/>
    <w:rsid w:val="00592777"/>
    <w:rsid w:val="00592972"/>
    <w:rsid w:val="00592B12"/>
    <w:rsid w:val="00592F29"/>
    <w:rsid w:val="0059302F"/>
    <w:rsid w:val="005930C6"/>
    <w:rsid w:val="00593363"/>
    <w:rsid w:val="00593585"/>
    <w:rsid w:val="005935F3"/>
    <w:rsid w:val="00593B18"/>
    <w:rsid w:val="00593DC8"/>
    <w:rsid w:val="00593F95"/>
    <w:rsid w:val="00593FD2"/>
    <w:rsid w:val="005940B6"/>
    <w:rsid w:val="005940FB"/>
    <w:rsid w:val="0059410E"/>
    <w:rsid w:val="0059418E"/>
    <w:rsid w:val="005942B1"/>
    <w:rsid w:val="005942D3"/>
    <w:rsid w:val="005942D7"/>
    <w:rsid w:val="005943C4"/>
    <w:rsid w:val="0059466E"/>
    <w:rsid w:val="00594836"/>
    <w:rsid w:val="00594859"/>
    <w:rsid w:val="005948F7"/>
    <w:rsid w:val="00594FDC"/>
    <w:rsid w:val="0059500D"/>
    <w:rsid w:val="00595169"/>
    <w:rsid w:val="005951BB"/>
    <w:rsid w:val="005954F3"/>
    <w:rsid w:val="00595849"/>
    <w:rsid w:val="00595B4C"/>
    <w:rsid w:val="00595B6C"/>
    <w:rsid w:val="00595BD2"/>
    <w:rsid w:val="00595E00"/>
    <w:rsid w:val="00595E88"/>
    <w:rsid w:val="00596235"/>
    <w:rsid w:val="005963D1"/>
    <w:rsid w:val="0059641D"/>
    <w:rsid w:val="0059646B"/>
    <w:rsid w:val="00596907"/>
    <w:rsid w:val="00596B2C"/>
    <w:rsid w:val="00596B3C"/>
    <w:rsid w:val="00596F0C"/>
    <w:rsid w:val="00597009"/>
    <w:rsid w:val="00597133"/>
    <w:rsid w:val="00597412"/>
    <w:rsid w:val="00597499"/>
    <w:rsid w:val="0059756B"/>
    <w:rsid w:val="005975AC"/>
    <w:rsid w:val="0059779A"/>
    <w:rsid w:val="00597C1F"/>
    <w:rsid w:val="00597D7E"/>
    <w:rsid w:val="00597E08"/>
    <w:rsid w:val="00597EEF"/>
    <w:rsid w:val="00597F7A"/>
    <w:rsid w:val="00597FCD"/>
    <w:rsid w:val="005A030F"/>
    <w:rsid w:val="005A0572"/>
    <w:rsid w:val="005A058F"/>
    <w:rsid w:val="005A05AF"/>
    <w:rsid w:val="005A07CB"/>
    <w:rsid w:val="005A082D"/>
    <w:rsid w:val="005A0831"/>
    <w:rsid w:val="005A08FD"/>
    <w:rsid w:val="005A0925"/>
    <w:rsid w:val="005A0941"/>
    <w:rsid w:val="005A0A43"/>
    <w:rsid w:val="005A0AC8"/>
    <w:rsid w:val="005A0ADA"/>
    <w:rsid w:val="005A0F7D"/>
    <w:rsid w:val="005A121D"/>
    <w:rsid w:val="005A1328"/>
    <w:rsid w:val="005A13F2"/>
    <w:rsid w:val="005A169E"/>
    <w:rsid w:val="005A1797"/>
    <w:rsid w:val="005A1899"/>
    <w:rsid w:val="005A1AA4"/>
    <w:rsid w:val="005A1B82"/>
    <w:rsid w:val="005A1E26"/>
    <w:rsid w:val="005A1E7F"/>
    <w:rsid w:val="005A2097"/>
    <w:rsid w:val="005A221A"/>
    <w:rsid w:val="005A2225"/>
    <w:rsid w:val="005A26F9"/>
    <w:rsid w:val="005A270B"/>
    <w:rsid w:val="005A2D05"/>
    <w:rsid w:val="005A2D28"/>
    <w:rsid w:val="005A2E66"/>
    <w:rsid w:val="005A312E"/>
    <w:rsid w:val="005A3140"/>
    <w:rsid w:val="005A31B9"/>
    <w:rsid w:val="005A32D6"/>
    <w:rsid w:val="005A331E"/>
    <w:rsid w:val="005A33D3"/>
    <w:rsid w:val="005A37B9"/>
    <w:rsid w:val="005A383A"/>
    <w:rsid w:val="005A3D1C"/>
    <w:rsid w:val="005A426F"/>
    <w:rsid w:val="005A42FA"/>
    <w:rsid w:val="005A43E6"/>
    <w:rsid w:val="005A4A36"/>
    <w:rsid w:val="005A4AFA"/>
    <w:rsid w:val="005A4B11"/>
    <w:rsid w:val="005A4C65"/>
    <w:rsid w:val="005A4CAA"/>
    <w:rsid w:val="005A4D70"/>
    <w:rsid w:val="005A4DC8"/>
    <w:rsid w:val="005A4DF2"/>
    <w:rsid w:val="005A4EFB"/>
    <w:rsid w:val="005A4F57"/>
    <w:rsid w:val="005A5445"/>
    <w:rsid w:val="005A55A6"/>
    <w:rsid w:val="005A5618"/>
    <w:rsid w:val="005A570C"/>
    <w:rsid w:val="005A5723"/>
    <w:rsid w:val="005A5836"/>
    <w:rsid w:val="005A5B07"/>
    <w:rsid w:val="005A5BD0"/>
    <w:rsid w:val="005A5D69"/>
    <w:rsid w:val="005A5D97"/>
    <w:rsid w:val="005A5DED"/>
    <w:rsid w:val="005A5E51"/>
    <w:rsid w:val="005A5E90"/>
    <w:rsid w:val="005A5EED"/>
    <w:rsid w:val="005A5FB6"/>
    <w:rsid w:val="005A61C4"/>
    <w:rsid w:val="005A6594"/>
    <w:rsid w:val="005A6AA1"/>
    <w:rsid w:val="005A6E71"/>
    <w:rsid w:val="005A70B6"/>
    <w:rsid w:val="005A70BF"/>
    <w:rsid w:val="005A71AA"/>
    <w:rsid w:val="005A7269"/>
    <w:rsid w:val="005A72BF"/>
    <w:rsid w:val="005A7672"/>
    <w:rsid w:val="005A7A30"/>
    <w:rsid w:val="005A7B26"/>
    <w:rsid w:val="005A7B8D"/>
    <w:rsid w:val="005A7B92"/>
    <w:rsid w:val="005A7CF6"/>
    <w:rsid w:val="005A7D59"/>
    <w:rsid w:val="005B00FA"/>
    <w:rsid w:val="005B04B9"/>
    <w:rsid w:val="005B0B82"/>
    <w:rsid w:val="005B0BDB"/>
    <w:rsid w:val="005B0DC8"/>
    <w:rsid w:val="005B109F"/>
    <w:rsid w:val="005B10D9"/>
    <w:rsid w:val="005B1259"/>
    <w:rsid w:val="005B14D2"/>
    <w:rsid w:val="005B15E2"/>
    <w:rsid w:val="005B1A92"/>
    <w:rsid w:val="005B1B74"/>
    <w:rsid w:val="005B1B76"/>
    <w:rsid w:val="005B1BB0"/>
    <w:rsid w:val="005B1DE8"/>
    <w:rsid w:val="005B1F80"/>
    <w:rsid w:val="005B20DD"/>
    <w:rsid w:val="005B234F"/>
    <w:rsid w:val="005B2465"/>
    <w:rsid w:val="005B28AB"/>
    <w:rsid w:val="005B29D9"/>
    <w:rsid w:val="005B2AB8"/>
    <w:rsid w:val="005B2C85"/>
    <w:rsid w:val="005B2C8A"/>
    <w:rsid w:val="005B2D71"/>
    <w:rsid w:val="005B3017"/>
    <w:rsid w:val="005B30EA"/>
    <w:rsid w:val="005B311B"/>
    <w:rsid w:val="005B31E7"/>
    <w:rsid w:val="005B3239"/>
    <w:rsid w:val="005B36F2"/>
    <w:rsid w:val="005B3EB4"/>
    <w:rsid w:val="005B3F8E"/>
    <w:rsid w:val="005B41AB"/>
    <w:rsid w:val="005B423A"/>
    <w:rsid w:val="005B4CB5"/>
    <w:rsid w:val="005B51E0"/>
    <w:rsid w:val="005B52CF"/>
    <w:rsid w:val="005B544F"/>
    <w:rsid w:val="005B5A89"/>
    <w:rsid w:val="005B5AB9"/>
    <w:rsid w:val="005B5DBC"/>
    <w:rsid w:val="005B5ED5"/>
    <w:rsid w:val="005B614D"/>
    <w:rsid w:val="005B6202"/>
    <w:rsid w:val="005B625E"/>
    <w:rsid w:val="005B6370"/>
    <w:rsid w:val="005B657C"/>
    <w:rsid w:val="005B6887"/>
    <w:rsid w:val="005B691C"/>
    <w:rsid w:val="005B6D47"/>
    <w:rsid w:val="005B6D9E"/>
    <w:rsid w:val="005B6E9A"/>
    <w:rsid w:val="005B72B3"/>
    <w:rsid w:val="005B72E6"/>
    <w:rsid w:val="005B7301"/>
    <w:rsid w:val="005B738E"/>
    <w:rsid w:val="005B7481"/>
    <w:rsid w:val="005B78BE"/>
    <w:rsid w:val="005B7960"/>
    <w:rsid w:val="005B7ABD"/>
    <w:rsid w:val="005B7ADE"/>
    <w:rsid w:val="005B7DD6"/>
    <w:rsid w:val="005B7F80"/>
    <w:rsid w:val="005C0341"/>
    <w:rsid w:val="005C0426"/>
    <w:rsid w:val="005C072F"/>
    <w:rsid w:val="005C0737"/>
    <w:rsid w:val="005C08EE"/>
    <w:rsid w:val="005C0AA6"/>
    <w:rsid w:val="005C0AA9"/>
    <w:rsid w:val="005C0AC1"/>
    <w:rsid w:val="005C0BDF"/>
    <w:rsid w:val="005C0E78"/>
    <w:rsid w:val="005C0F3D"/>
    <w:rsid w:val="005C10A5"/>
    <w:rsid w:val="005C124C"/>
    <w:rsid w:val="005C139F"/>
    <w:rsid w:val="005C1546"/>
    <w:rsid w:val="005C1B96"/>
    <w:rsid w:val="005C1BAD"/>
    <w:rsid w:val="005C1C36"/>
    <w:rsid w:val="005C21C4"/>
    <w:rsid w:val="005C22B4"/>
    <w:rsid w:val="005C24F2"/>
    <w:rsid w:val="005C2564"/>
    <w:rsid w:val="005C25F5"/>
    <w:rsid w:val="005C2621"/>
    <w:rsid w:val="005C26FC"/>
    <w:rsid w:val="005C27CC"/>
    <w:rsid w:val="005C2A12"/>
    <w:rsid w:val="005C2A57"/>
    <w:rsid w:val="005C2DAC"/>
    <w:rsid w:val="005C2DC0"/>
    <w:rsid w:val="005C2DEF"/>
    <w:rsid w:val="005C2F84"/>
    <w:rsid w:val="005C3557"/>
    <w:rsid w:val="005C3768"/>
    <w:rsid w:val="005C382A"/>
    <w:rsid w:val="005C3A44"/>
    <w:rsid w:val="005C3B99"/>
    <w:rsid w:val="005C3C51"/>
    <w:rsid w:val="005C40AC"/>
    <w:rsid w:val="005C41A7"/>
    <w:rsid w:val="005C4493"/>
    <w:rsid w:val="005C4554"/>
    <w:rsid w:val="005C4655"/>
    <w:rsid w:val="005C4B17"/>
    <w:rsid w:val="005C4D48"/>
    <w:rsid w:val="005C4DB6"/>
    <w:rsid w:val="005C55A3"/>
    <w:rsid w:val="005C57C6"/>
    <w:rsid w:val="005C58BE"/>
    <w:rsid w:val="005C5C2E"/>
    <w:rsid w:val="005C5EDC"/>
    <w:rsid w:val="005C602F"/>
    <w:rsid w:val="005C68AB"/>
    <w:rsid w:val="005C6A0B"/>
    <w:rsid w:val="005C6A2C"/>
    <w:rsid w:val="005C6CB3"/>
    <w:rsid w:val="005C6D63"/>
    <w:rsid w:val="005C70D0"/>
    <w:rsid w:val="005C7205"/>
    <w:rsid w:val="005C7463"/>
    <w:rsid w:val="005C7516"/>
    <w:rsid w:val="005C76C9"/>
    <w:rsid w:val="005C7AC0"/>
    <w:rsid w:val="005C7C2A"/>
    <w:rsid w:val="005C7D5E"/>
    <w:rsid w:val="005D0060"/>
    <w:rsid w:val="005D018B"/>
    <w:rsid w:val="005D0736"/>
    <w:rsid w:val="005D07E1"/>
    <w:rsid w:val="005D0928"/>
    <w:rsid w:val="005D0C28"/>
    <w:rsid w:val="005D0FDC"/>
    <w:rsid w:val="005D105D"/>
    <w:rsid w:val="005D110F"/>
    <w:rsid w:val="005D119A"/>
    <w:rsid w:val="005D1217"/>
    <w:rsid w:val="005D122F"/>
    <w:rsid w:val="005D130F"/>
    <w:rsid w:val="005D1487"/>
    <w:rsid w:val="005D1755"/>
    <w:rsid w:val="005D1978"/>
    <w:rsid w:val="005D1B0D"/>
    <w:rsid w:val="005D1BD2"/>
    <w:rsid w:val="005D1C82"/>
    <w:rsid w:val="005D1F18"/>
    <w:rsid w:val="005D1F77"/>
    <w:rsid w:val="005D218C"/>
    <w:rsid w:val="005D2205"/>
    <w:rsid w:val="005D25DA"/>
    <w:rsid w:val="005D265F"/>
    <w:rsid w:val="005D31B2"/>
    <w:rsid w:val="005D32DE"/>
    <w:rsid w:val="005D354D"/>
    <w:rsid w:val="005D366E"/>
    <w:rsid w:val="005D36C3"/>
    <w:rsid w:val="005D371C"/>
    <w:rsid w:val="005D37DA"/>
    <w:rsid w:val="005D3839"/>
    <w:rsid w:val="005D3A0A"/>
    <w:rsid w:val="005D3A8D"/>
    <w:rsid w:val="005D3CCA"/>
    <w:rsid w:val="005D3CD3"/>
    <w:rsid w:val="005D3CE1"/>
    <w:rsid w:val="005D3CED"/>
    <w:rsid w:val="005D3DA6"/>
    <w:rsid w:val="005D3E0E"/>
    <w:rsid w:val="005D41D6"/>
    <w:rsid w:val="005D4326"/>
    <w:rsid w:val="005D435A"/>
    <w:rsid w:val="005D44CA"/>
    <w:rsid w:val="005D4773"/>
    <w:rsid w:val="005D4783"/>
    <w:rsid w:val="005D489A"/>
    <w:rsid w:val="005D4B9D"/>
    <w:rsid w:val="005D4BA2"/>
    <w:rsid w:val="005D4C0A"/>
    <w:rsid w:val="005D4E62"/>
    <w:rsid w:val="005D5115"/>
    <w:rsid w:val="005D5140"/>
    <w:rsid w:val="005D515D"/>
    <w:rsid w:val="005D55B7"/>
    <w:rsid w:val="005D56F0"/>
    <w:rsid w:val="005D58D7"/>
    <w:rsid w:val="005D59A1"/>
    <w:rsid w:val="005D5A78"/>
    <w:rsid w:val="005D5ACE"/>
    <w:rsid w:val="005D5BA6"/>
    <w:rsid w:val="005D5D8D"/>
    <w:rsid w:val="005D611A"/>
    <w:rsid w:val="005D61C0"/>
    <w:rsid w:val="005D61D6"/>
    <w:rsid w:val="005D638E"/>
    <w:rsid w:val="005D66B1"/>
    <w:rsid w:val="005D6797"/>
    <w:rsid w:val="005D6A10"/>
    <w:rsid w:val="005D6A1A"/>
    <w:rsid w:val="005D6ADB"/>
    <w:rsid w:val="005D6BCD"/>
    <w:rsid w:val="005D6C29"/>
    <w:rsid w:val="005D6D85"/>
    <w:rsid w:val="005D6FEB"/>
    <w:rsid w:val="005D7089"/>
    <w:rsid w:val="005D71C4"/>
    <w:rsid w:val="005D74B2"/>
    <w:rsid w:val="005D77E9"/>
    <w:rsid w:val="005D7927"/>
    <w:rsid w:val="005D7A73"/>
    <w:rsid w:val="005D7B7F"/>
    <w:rsid w:val="005D7C40"/>
    <w:rsid w:val="005D7CB7"/>
    <w:rsid w:val="005D7CCD"/>
    <w:rsid w:val="005D7DFA"/>
    <w:rsid w:val="005E00EA"/>
    <w:rsid w:val="005E0254"/>
    <w:rsid w:val="005E04E5"/>
    <w:rsid w:val="005E0BA7"/>
    <w:rsid w:val="005E12BA"/>
    <w:rsid w:val="005E15AA"/>
    <w:rsid w:val="005E15C0"/>
    <w:rsid w:val="005E15F7"/>
    <w:rsid w:val="005E1765"/>
    <w:rsid w:val="005E1AB2"/>
    <w:rsid w:val="005E1C8A"/>
    <w:rsid w:val="005E1DFC"/>
    <w:rsid w:val="005E202D"/>
    <w:rsid w:val="005E21A6"/>
    <w:rsid w:val="005E222C"/>
    <w:rsid w:val="005E2394"/>
    <w:rsid w:val="005E2545"/>
    <w:rsid w:val="005E25B1"/>
    <w:rsid w:val="005E28F9"/>
    <w:rsid w:val="005E2AF3"/>
    <w:rsid w:val="005E2B96"/>
    <w:rsid w:val="005E2F30"/>
    <w:rsid w:val="005E309A"/>
    <w:rsid w:val="005E321E"/>
    <w:rsid w:val="005E3251"/>
    <w:rsid w:val="005E3620"/>
    <w:rsid w:val="005E37E4"/>
    <w:rsid w:val="005E3B9A"/>
    <w:rsid w:val="005E3E65"/>
    <w:rsid w:val="005E406A"/>
    <w:rsid w:val="005E408D"/>
    <w:rsid w:val="005E4169"/>
    <w:rsid w:val="005E41C5"/>
    <w:rsid w:val="005E420C"/>
    <w:rsid w:val="005E435D"/>
    <w:rsid w:val="005E4516"/>
    <w:rsid w:val="005E45BF"/>
    <w:rsid w:val="005E4991"/>
    <w:rsid w:val="005E49B4"/>
    <w:rsid w:val="005E4ADB"/>
    <w:rsid w:val="005E4E97"/>
    <w:rsid w:val="005E523C"/>
    <w:rsid w:val="005E52C2"/>
    <w:rsid w:val="005E5378"/>
    <w:rsid w:val="005E543D"/>
    <w:rsid w:val="005E5BB3"/>
    <w:rsid w:val="005E5C8F"/>
    <w:rsid w:val="005E607A"/>
    <w:rsid w:val="005E6473"/>
    <w:rsid w:val="005E6A66"/>
    <w:rsid w:val="005E6B71"/>
    <w:rsid w:val="005E6B7B"/>
    <w:rsid w:val="005E6CE8"/>
    <w:rsid w:val="005E6DFA"/>
    <w:rsid w:val="005E6E78"/>
    <w:rsid w:val="005E6EB7"/>
    <w:rsid w:val="005E70F8"/>
    <w:rsid w:val="005E72E0"/>
    <w:rsid w:val="005E737A"/>
    <w:rsid w:val="005E75FC"/>
    <w:rsid w:val="005E760A"/>
    <w:rsid w:val="005E77D7"/>
    <w:rsid w:val="005E7AA1"/>
    <w:rsid w:val="005E7B64"/>
    <w:rsid w:val="005E7CFB"/>
    <w:rsid w:val="005E7D7B"/>
    <w:rsid w:val="005E7EE5"/>
    <w:rsid w:val="005E7F5E"/>
    <w:rsid w:val="005F0040"/>
    <w:rsid w:val="005F040C"/>
    <w:rsid w:val="005F04DD"/>
    <w:rsid w:val="005F0A2B"/>
    <w:rsid w:val="005F0AD5"/>
    <w:rsid w:val="005F0D8B"/>
    <w:rsid w:val="005F0DB8"/>
    <w:rsid w:val="005F121C"/>
    <w:rsid w:val="005F1260"/>
    <w:rsid w:val="005F12B7"/>
    <w:rsid w:val="005F13C7"/>
    <w:rsid w:val="005F1672"/>
    <w:rsid w:val="005F187D"/>
    <w:rsid w:val="005F1917"/>
    <w:rsid w:val="005F1D5D"/>
    <w:rsid w:val="005F1E6A"/>
    <w:rsid w:val="005F1EAF"/>
    <w:rsid w:val="005F21DC"/>
    <w:rsid w:val="005F2338"/>
    <w:rsid w:val="005F236A"/>
    <w:rsid w:val="005F29F8"/>
    <w:rsid w:val="005F2AB7"/>
    <w:rsid w:val="005F2BDF"/>
    <w:rsid w:val="005F321D"/>
    <w:rsid w:val="005F3243"/>
    <w:rsid w:val="005F360F"/>
    <w:rsid w:val="005F37BF"/>
    <w:rsid w:val="005F381D"/>
    <w:rsid w:val="005F38BD"/>
    <w:rsid w:val="005F3953"/>
    <w:rsid w:val="005F3975"/>
    <w:rsid w:val="005F3C1D"/>
    <w:rsid w:val="005F434F"/>
    <w:rsid w:val="005F4574"/>
    <w:rsid w:val="005F459F"/>
    <w:rsid w:val="005F462F"/>
    <w:rsid w:val="005F4645"/>
    <w:rsid w:val="005F4B82"/>
    <w:rsid w:val="005F4C5D"/>
    <w:rsid w:val="005F4D53"/>
    <w:rsid w:val="005F4E77"/>
    <w:rsid w:val="005F51B8"/>
    <w:rsid w:val="005F5225"/>
    <w:rsid w:val="005F52B1"/>
    <w:rsid w:val="005F52E4"/>
    <w:rsid w:val="005F54BE"/>
    <w:rsid w:val="005F5584"/>
    <w:rsid w:val="005F569C"/>
    <w:rsid w:val="005F5765"/>
    <w:rsid w:val="005F57AA"/>
    <w:rsid w:val="005F58B5"/>
    <w:rsid w:val="005F58D0"/>
    <w:rsid w:val="005F5AAE"/>
    <w:rsid w:val="005F5C54"/>
    <w:rsid w:val="005F5C93"/>
    <w:rsid w:val="005F5E16"/>
    <w:rsid w:val="005F60FF"/>
    <w:rsid w:val="005F645F"/>
    <w:rsid w:val="005F65BA"/>
    <w:rsid w:val="005F67F6"/>
    <w:rsid w:val="005F6923"/>
    <w:rsid w:val="005F6C77"/>
    <w:rsid w:val="005F6CE6"/>
    <w:rsid w:val="005F6D59"/>
    <w:rsid w:val="005F6EAE"/>
    <w:rsid w:val="005F7352"/>
    <w:rsid w:val="005F73CB"/>
    <w:rsid w:val="005F742D"/>
    <w:rsid w:val="005F7681"/>
    <w:rsid w:val="005F7886"/>
    <w:rsid w:val="005F7AC3"/>
    <w:rsid w:val="005F7C7B"/>
    <w:rsid w:val="005F7CE4"/>
    <w:rsid w:val="005F7E7D"/>
    <w:rsid w:val="005F7F54"/>
    <w:rsid w:val="00600079"/>
    <w:rsid w:val="006000DC"/>
    <w:rsid w:val="00600402"/>
    <w:rsid w:val="006004E6"/>
    <w:rsid w:val="00600597"/>
    <w:rsid w:val="00600703"/>
    <w:rsid w:val="00600718"/>
    <w:rsid w:val="0060081D"/>
    <w:rsid w:val="0060082B"/>
    <w:rsid w:val="006008D4"/>
    <w:rsid w:val="00600A75"/>
    <w:rsid w:val="00600AD1"/>
    <w:rsid w:val="0060120F"/>
    <w:rsid w:val="0060137B"/>
    <w:rsid w:val="00601636"/>
    <w:rsid w:val="006018ED"/>
    <w:rsid w:val="00601933"/>
    <w:rsid w:val="00601ABF"/>
    <w:rsid w:val="00601B16"/>
    <w:rsid w:val="00601BFC"/>
    <w:rsid w:val="00601CA0"/>
    <w:rsid w:val="00601D9C"/>
    <w:rsid w:val="00601E70"/>
    <w:rsid w:val="00601FC9"/>
    <w:rsid w:val="00602245"/>
    <w:rsid w:val="0060242F"/>
    <w:rsid w:val="006024EA"/>
    <w:rsid w:val="00602A03"/>
    <w:rsid w:val="00602C72"/>
    <w:rsid w:val="00602E6F"/>
    <w:rsid w:val="00602FFD"/>
    <w:rsid w:val="0060302A"/>
    <w:rsid w:val="006034EA"/>
    <w:rsid w:val="006036A2"/>
    <w:rsid w:val="006037B8"/>
    <w:rsid w:val="006037BE"/>
    <w:rsid w:val="006037C5"/>
    <w:rsid w:val="00603986"/>
    <w:rsid w:val="00603C3A"/>
    <w:rsid w:val="00603DCF"/>
    <w:rsid w:val="00603E8E"/>
    <w:rsid w:val="006044B7"/>
    <w:rsid w:val="0060485D"/>
    <w:rsid w:val="00604914"/>
    <w:rsid w:val="00604A09"/>
    <w:rsid w:val="00604AF5"/>
    <w:rsid w:val="00604C88"/>
    <w:rsid w:val="00604D6B"/>
    <w:rsid w:val="0060505A"/>
    <w:rsid w:val="0060516E"/>
    <w:rsid w:val="00605379"/>
    <w:rsid w:val="00605380"/>
    <w:rsid w:val="00605546"/>
    <w:rsid w:val="00605586"/>
    <w:rsid w:val="00605DD2"/>
    <w:rsid w:val="00605E0D"/>
    <w:rsid w:val="00605EA0"/>
    <w:rsid w:val="0060625C"/>
    <w:rsid w:val="006062D6"/>
    <w:rsid w:val="00606305"/>
    <w:rsid w:val="00606569"/>
    <w:rsid w:val="006069F6"/>
    <w:rsid w:val="006069FE"/>
    <w:rsid w:val="00606B64"/>
    <w:rsid w:val="00606BEA"/>
    <w:rsid w:val="00606D54"/>
    <w:rsid w:val="00606D66"/>
    <w:rsid w:val="00606D70"/>
    <w:rsid w:val="00606E5B"/>
    <w:rsid w:val="0060711B"/>
    <w:rsid w:val="006071C2"/>
    <w:rsid w:val="00607360"/>
    <w:rsid w:val="0060739C"/>
    <w:rsid w:val="006073E1"/>
    <w:rsid w:val="0060747F"/>
    <w:rsid w:val="0060749F"/>
    <w:rsid w:val="0060758E"/>
    <w:rsid w:val="00607618"/>
    <w:rsid w:val="00607969"/>
    <w:rsid w:val="00607AB7"/>
    <w:rsid w:val="00607ABB"/>
    <w:rsid w:val="00607BE5"/>
    <w:rsid w:val="00607DE5"/>
    <w:rsid w:val="00607E91"/>
    <w:rsid w:val="00607F0B"/>
    <w:rsid w:val="0061007C"/>
    <w:rsid w:val="00610145"/>
    <w:rsid w:val="006101C2"/>
    <w:rsid w:val="00610647"/>
    <w:rsid w:val="006107AA"/>
    <w:rsid w:val="00610883"/>
    <w:rsid w:val="00610902"/>
    <w:rsid w:val="0061099D"/>
    <w:rsid w:val="006109D3"/>
    <w:rsid w:val="00610AFC"/>
    <w:rsid w:val="00610BBA"/>
    <w:rsid w:val="00610DFD"/>
    <w:rsid w:val="00610F45"/>
    <w:rsid w:val="006111EB"/>
    <w:rsid w:val="0061156D"/>
    <w:rsid w:val="006116BA"/>
    <w:rsid w:val="00611750"/>
    <w:rsid w:val="006117C0"/>
    <w:rsid w:val="00611868"/>
    <w:rsid w:val="00611BDA"/>
    <w:rsid w:val="00611E8B"/>
    <w:rsid w:val="00611F1A"/>
    <w:rsid w:val="00611FC2"/>
    <w:rsid w:val="0061234B"/>
    <w:rsid w:val="00612491"/>
    <w:rsid w:val="006125EB"/>
    <w:rsid w:val="006128C8"/>
    <w:rsid w:val="00612A8E"/>
    <w:rsid w:val="00612C35"/>
    <w:rsid w:val="00612CFA"/>
    <w:rsid w:val="00612DF9"/>
    <w:rsid w:val="00612F07"/>
    <w:rsid w:val="00612F47"/>
    <w:rsid w:val="0061302B"/>
    <w:rsid w:val="00613500"/>
    <w:rsid w:val="0061376C"/>
    <w:rsid w:val="006137C9"/>
    <w:rsid w:val="0061381D"/>
    <w:rsid w:val="00613846"/>
    <w:rsid w:val="00613984"/>
    <w:rsid w:val="006139A9"/>
    <w:rsid w:val="006139B6"/>
    <w:rsid w:val="00613B70"/>
    <w:rsid w:val="00613B81"/>
    <w:rsid w:val="00613FE8"/>
    <w:rsid w:val="006140A7"/>
    <w:rsid w:val="006143AF"/>
    <w:rsid w:val="006147AD"/>
    <w:rsid w:val="006147F8"/>
    <w:rsid w:val="00614835"/>
    <w:rsid w:val="00614F4E"/>
    <w:rsid w:val="00614FEB"/>
    <w:rsid w:val="006150BD"/>
    <w:rsid w:val="006151A2"/>
    <w:rsid w:val="006152B1"/>
    <w:rsid w:val="006152F7"/>
    <w:rsid w:val="0061531D"/>
    <w:rsid w:val="00615382"/>
    <w:rsid w:val="0061555A"/>
    <w:rsid w:val="00615770"/>
    <w:rsid w:val="006157AA"/>
    <w:rsid w:val="006159C0"/>
    <w:rsid w:val="00615CBB"/>
    <w:rsid w:val="00615D1D"/>
    <w:rsid w:val="00615EAC"/>
    <w:rsid w:val="0061601A"/>
    <w:rsid w:val="00616085"/>
    <w:rsid w:val="00616102"/>
    <w:rsid w:val="00616124"/>
    <w:rsid w:val="00616447"/>
    <w:rsid w:val="0061672D"/>
    <w:rsid w:val="006168D2"/>
    <w:rsid w:val="0061698F"/>
    <w:rsid w:val="00616BFB"/>
    <w:rsid w:val="00616CE5"/>
    <w:rsid w:val="00616E12"/>
    <w:rsid w:val="00616FA5"/>
    <w:rsid w:val="0061707E"/>
    <w:rsid w:val="0061740F"/>
    <w:rsid w:val="006175F3"/>
    <w:rsid w:val="00617DD7"/>
    <w:rsid w:val="00617F26"/>
    <w:rsid w:val="00620180"/>
    <w:rsid w:val="006206F4"/>
    <w:rsid w:val="00620AF3"/>
    <w:rsid w:val="00620BFF"/>
    <w:rsid w:val="00620DBD"/>
    <w:rsid w:val="00620EB8"/>
    <w:rsid w:val="00621179"/>
    <w:rsid w:val="006211D2"/>
    <w:rsid w:val="0062137D"/>
    <w:rsid w:val="006216B9"/>
    <w:rsid w:val="00621738"/>
    <w:rsid w:val="00621896"/>
    <w:rsid w:val="006219B4"/>
    <w:rsid w:val="006219F5"/>
    <w:rsid w:val="00621BD2"/>
    <w:rsid w:val="00621C4B"/>
    <w:rsid w:val="00621CDD"/>
    <w:rsid w:val="00621DA0"/>
    <w:rsid w:val="00621EAB"/>
    <w:rsid w:val="00622113"/>
    <w:rsid w:val="006222DE"/>
    <w:rsid w:val="00622314"/>
    <w:rsid w:val="006223AE"/>
    <w:rsid w:val="00622547"/>
    <w:rsid w:val="006225B9"/>
    <w:rsid w:val="006225C2"/>
    <w:rsid w:val="0062268F"/>
    <w:rsid w:val="00622D41"/>
    <w:rsid w:val="00622DCC"/>
    <w:rsid w:val="00622E21"/>
    <w:rsid w:val="00622FC5"/>
    <w:rsid w:val="00623018"/>
    <w:rsid w:val="00623083"/>
    <w:rsid w:val="0062328C"/>
    <w:rsid w:val="006232AA"/>
    <w:rsid w:val="00623547"/>
    <w:rsid w:val="00623C4B"/>
    <w:rsid w:val="0062409D"/>
    <w:rsid w:val="0062410A"/>
    <w:rsid w:val="006241F8"/>
    <w:rsid w:val="006242A6"/>
    <w:rsid w:val="0062435E"/>
    <w:rsid w:val="00624453"/>
    <w:rsid w:val="00624631"/>
    <w:rsid w:val="0062464F"/>
    <w:rsid w:val="006249F3"/>
    <w:rsid w:val="00624BBB"/>
    <w:rsid w:val="00624C04"/>
    <w:rsid w:val="00624EC1"/>
    <w:rsid w:val="00624EC8"/>
    <w:rsid w:val="00625074"/>
    <w:rsid w:val="0062509A"/>
    <w:rsid w:val="006250F1"/>
    <w:rsid w:val="0062522F"/>
    <w:rsid w:val="006252BB"/>
    <w:rsid w:val="006254C6"/>
    <w:rsid w:val="0062553D"/>
    <w:rsid w:val="00625812"/>
    <w:rsid w:val="006258EF"/>
    <w:rsid w:val="00625A71"/>
    <w:rsid w:val="00625B67"/>
    <w:rsid w:val="00625C75"/>
    <w:rsid w:val="00625CE9"/>
    <w:rsid w:val="00625D01"/>
    <w:rsid w:val="00625DDD"/>
    <w:rsid w:val="00625EF3"/>
    <w:rsid w:val="00625F35"/>
    <w:rsid w:val="00625F8F"/>
    <w:rsid w:val="006260A7"/>
    <w:rsid w:val="006260C0"/>
    <w:rsid w:val="006262EF"/>
    <w:rsid w:val="00626546"/>
    <w:rsid w:val="00626815"/>
    <w:rsid w:val="00626938"/>
    <w:rsid w:val="0062693F"/>
    <w:rsid w:val="00626A4C"/>
    <w:rsid w:val="00626D2A"/>
    <w:rsid w:val="00626E6C"/>
    <w:rsid w:val="00626EAD"/>
    <w:rsid w:val="00626F44"/>
    <w:rsid w:val="00626F45"/>
    <w:rsid w:val="006270BB"/>
    <w:rsid w:val="006270DE"/>
    <w:rsid w:val="006271B9"/>
    <w:rsid w:val="00627290"/>
    <w:rsid w:val="006273CF"/>
    <w:rsid w:val="00627550"/>
    <w:rsid w:val="0062772A"/>
    <w:rsid w:val="00627736"/>
    <w:rsid w:val="0062783A"/>
    <w:rsid w:val="006279C9"/>
    <w:rsid w:val="00627A07"/>
    <w:rsid w:val="00627B18"/>
    <w:rsid w:val="00627BF4"/>
    <w:rsid w:val="00627C5D"/>
    <w:rsid w:val="00627DC3"/>
    <w:rsid w:val="00627E92"/>
    <w:rsid w:val="00627E95"/>
    <w:rsid w:val="00627EF7"/>
    <w:rsid w:val="006300C0"/>
    <w:rsid w:val="00630179"/>
    <w:rsid w:val="006301F9"/>
    <w:rsid w:val="00630255"/>
    <w:rsid w:val="00630339"/>
    <w:rsid w:val="00630430"/>
    <w:rsid w:val="00630C4A"/>
    <w:rsid w:val="0063100D"/>
    <w:rsid w:val="0063106C"/>
    <w:rsid w:val="006310BC"/>
    <w:rsid w:val="0063117A"/>
    <w:rsid w:val="006314E7"/>
    <w:rsid w:val="00631A27"/>
    <w:rsid w:val="00631A71"/>
    <w:rsid w:val="00631A88"/>
    <w:rsid w:val="00632215"/>
    <w:rsid w:val="006322D4"/>
    <w:rsid w:val="00632400"/>
    <w:rsid w:val="006325D4"/>
    <w:rsid w:val="006325F1"/>
    <w:rsid w:val="006329D8"/>
    <w:rsid w:val="00632ABF"/>
    <w:rsid w:val="00632C68"/>
    <w:rsid w:val="00632C74"/>
    <w:rsid w:val="00632D82"/>
    <w:rsid w:val="00632F95"/>
    <w:rsid w:val="00632FD4"/>
    <w:rsid w:val="0063302E"/>
    <w:rsid w:val="006333E1"/>
    <w:rsid w:val="0063353C"/>
    <w:rsid w:val="00633552"/>
    <w:rsid w:val="00633853"/>
    <w:rsid w:val="006339DD"/>
    <w:rsid w:val="00633B72"/>
    <w:rsid w:val="00633BA5"/>
    <w:rsid w:val="00633C94"/>
    <w:rsid w:val="00633E64"/>
    <w:rsid w:val="00634162"/>
    <w:rsid w:val="00634206"/>
    <w:rsid w:val="006344DD"/>
    <w:rsid w:val="006345CF"/>
    <w:rsid w:val="006345F5"/>
    <w:rsid w:val="006346FD"/>
    <w:rsid w:val="006347FF"/>
    <w:rsid w:val="006349B7"/>
    <w:rsid w:val="00634A80"/>
    <w:rsid w:val="00634AA2"/>
    <w:rsid w:val="00634B32"/>
    <w:rsid w:val="00634B7E"/>
    <w:rsid w:val="00634C1A"/>
    <w:rsid w:val="00634C75"/>
    <w:rsid w:val="00634D56"/>
    <w:rsid w:val="00634D94"/>
    <w:rsid w:val="006352E8"/>
    <w:rsid w:val="006354E4"/>
    <w:rsid w:val="00635884"/>
    <w:rsid w:val="006359DF"/>
    <w:rsid w:val="00635A25"/>
    <w:rsid w:val="00635A3C"/>
    <w:rsid w:val="00635B5A"/>
    <w:rsid w:val="00635CEB"/>
    <w:rsid w:val="00635D44"/>
    <w:rsid w:val="00635E9D"/>
    <w:rsid w:val="006362DA"/>
    <w:rsid w:val="00636310"/>
    <w:rsid w:val="0063632A"/>
    <w:rsid w:val="0063638F"/>
    <w:rsid w:val="00636495"/>
    <w:rsid w:val="006365A8"/>
    <w:rsid w:val="00636609"/>
    <w:rsid w:val="00636636"/>
    <w:rsid w:val="00636A25"/>
    <w:rsid w:val="00636AE7"/>
    <w:rsid w:val="00637006"/>
    <w:rsid w:val="00637080"/>
    <w:rsid w:val="00637098"/>
    <w:rsid w:val="006370F6"/>
    <w:rsid w:val="006371BB"/>
    <w:rsid w:val="00637217"/>
    <w:rsid w:val="00637263"/>
    <w:rsid w:val="00637267"/>
    <w:rsid w:val="006375A3"/>
    <w:rsid w:val="0063762B"/>
    <w:rsid w:val="006376DF"/>
    <w:rsid w:val="006379DF"/>
    <w:rsid w:val="00637B5B"/>
    <w:rsid w:val="00637BD5"/>
    <w:rsid w:val="00637C5E"/>
    <w:rsid w:val="00637CAF"/>
    <w:rsid w:val="00637CB4"/>
    <w:rsid w:val="00637DB2"/>
    <w:rsid w:val="00637F1B"/>
    <w:rsid w:val="006401F5"/>
    <w:rsid w:val="0064032A"/>
    <w:rsid w:val="00640473"/>
    <w:rsid w:val="00640495"/>
    <w:rsid w:val="006405DA"/>
    <w:rsid w:val="006407D3"/>
    <w:rsid w:val="006409A3"/>
    <w:rsid w:val="00640A4C"/>
    <w:rsid w:val="00640A64"/>
    <w:rsid w:val="0064117E"/>
    <w:rsid w:val="0064119D"/>
    <w:rsid w:val="00641545"/>
    <w:rsid w:val="006415C5"/>
    <w:rsid w:val="00641933"/>
    <w:rsid w:val="00641CB0"/>
    <w:rsid w:val="00641F93"/>
    <w:rsid w:val="00641FBD"/>
    <w:rsid w:val="006422CC"/>
    <w:rsid w:val="006423C7"/>
    <w:rsid w:val="0064242A"/>
    <w:rsid w:val="0064246D"/>
    <w:rsid w:val="006425E6"/>
    <w:rsid w:val="00642669"/>
    <w:rsid w:val="0064266F"/>
    <w:rsid w:val="006426DA"/>
    <w:rsid w:val="00642723"/>
    <w:rsid w:val="00642BED"/>
    <w:rsid w:val="00642BFA"/>
    <w:rsid w:val="006431D4"/>
    <w:rsid w:val="006432A1"/>
    <w:rsid w:val="006435AC"/>
    <w:rsid w:val="006436BF"/>
    <w:rsid w:val="006436C4"/>
    <w:rsid w:val="006437CF"/>
    <w:rsid w:val="0064381F"/>
    <w:rsid w:val="00643895"/>
    <w:rsid w:val="00643899"/>
    <w:rsid w:val="00643ADE"/>
    <w:rsid w:val="00643E05"/>
    <w:rsid w:val="0064422E"/>
    <w:rsid w:val="00644293"/>
    <w:rsid w:val="006443C6"/>
    <w:rsid w:val="006444B3"/>
    <w:rsid w:val="006445B6"/>
    <w:rsid w:val="006445CC"/>
    <w:rsid w:val="00644607"/>
    <w:rsid w:val="00644625"/>
    <w:rsid w:val="00644664"/>
    <w:rsid w:val="00644A69"/>
    <w:rsid w:val="00644BE3"/>
    <w:rsid w:val="00644C15"/>
    <w:rsid w:val="00644CB0"/>
    <w:rsid w:val="00644E32"/>
    <w:rsid w:val="00645180"/>
    <w:rsid w:val="006451A1"/>
    <w:rsid w:val="0064536A"/>
    <w:rsid w:val="0064555C"/>
    <w:rsid w:val="0064589F"/>
    <w:rsid w:val="00645AD8"/>
    <w:rsid w:val="00645B00"/>
    <w:rsid w:val="00645C75"/>
    <w:rsid w:val="00645C81"/>
    <w:rsid w:val="00645CE9"/>
    <w:rsid w:val="00645DE4"/>
    <w:rsid w:val="00645EEA"/>
    <w:rsid w:val="00645F06"/>
    <w:rsid w:val="00645F46"/>
    <w:rsid w:val="0064621B"/>
    <w:rsid w:val="00646235"/>
    <w:rsid w:val="006462E7"/>
    <w:rsid w:val="006462EC"/>
    <w:rsid w:val="006465D1"/>
    <w:rsid w:val="006466D7"/>
    <w:rsid w:val="0064670E"/>
    <w:rsid w:val="00646838"/>
    <w:rsid w:val="0064687C"/>
    <w:rsid w:val="0064689C"/>
    <w:rsid w:val="00646B8C"/>
    <w:rsid w:val="00646B95"/>
    <w:rsid w:val="00646F82"/>
    <w:rsid w:val="00646FE5"/>
    <w:rsid w:val="00647027"/>
    <w:rsid w:val="006473F1"/>
    <w:rsid w:val="0064744B"/>
    <w:rsid w:val="006474E7"/>
    <w:rsid w:val="0064764D"/>
    <w:rsid w:val="006476EB"/>
    <w:rsid w:val="0064796E"/>
    <w:rsid w:val="00647A2E"/>
    <w:rsid w:val="00647B4C"/>
    <w:rsid w:val="00647C26"/>
    <w:rsid w:val="00647E3D"/>
    <w:rsid w:val="00650105"/>
    <w:rsid w:val="0065026D"/>
    <w:rsid w:val="00650478"/>
    <w:rsid w:val="00650771"/>
    <w:rsid w:val="006507E2"/>
    <w:rsid w:val="00650862"/>
    <w:rsid w:val="006508A7"/>
    <w:rsid w:val="00650E42"/>
    <w:rsid w:val="00650E99"/>
    <w:rsid w:val="00651357"/>
    <w:rsid w:val="00651493"/>
    <w:rsid w:val="0065164A"/>
    <w:rsid w:val="00651829"/>
    <w:rsid w:val="0065197B"/>
    <w:rsid w:val="00651BCC"/>
    <w:rsid w:val="00651D29"/>
    <w:rsid w:val="00651D77"/>
    <w:rsid w:val="00651FD5"/>
    <w:rsid w:val="006520A7"/>
    <w:rsid w:val="006522C0"/>
    <w:rsid w:val="00652853"/>
    <w:rsid w:val="006529A9"/>
    <w:rsid w:val="00652A62"/>
    <w:rsid w:val="00652AFC"/>
    <w:rsid w:val="00652D24"/>
    <w:rsid w:val="00653040"/>
    <w:rsid w:val="00653105"/>
    <w:rsid w:val="00653636"/>
    <w:rsid w:val="00653B39"/>
    <w:rsid w:val="00653C64"/>
    <w:rsid w:val="00653C79"/>
    <w:rsid w:val="00653C89"/>
    <w:rsid w:val="00653D36"/>
    <w:rsid w:val="00653FC3"/>
    <w:rsid w:val="006540A7"/>
    <w:rsid w:val="006542D8"/>
    <w:rsid w:val="006542FC"/>
    <w:rsid w:val="006544EC"/>
    <w:rsid w:val="006547BF"/>
    <w:rsid w:val="006547C5"/>
    <w:rsid w:val="006549B0"/>
    <w:rsid w:val="00654AD4"/>
    <w:rsid w:val="00654B97"/>
    <w:rsid w:val="00654C5A"/>
    <w:rsid w:val="00655008"/>
    <w:rsid w:val="0065510F"/>
    <w:rsid w:val="006554F6"/>
    <w:rsid w:val="0065564C"/>
    <w:rsid w:val="00655C39"/>
    <w:rsid w:val="00655C87"/>
    <w:rsid w:val="0065624E"/>
    <w:rsid w:val="00656419"/>
    <w:rsid w:val="00656465"/>
    <w:rsid w:val="0065674B"/>
    <w:rsid w:val="00656894"/>
    <w:rsid w:val="00656AEA"/>
    <w:rsid w:val="00656E05"/>
    <w:rsid w:val="00657142"/>
    <w:rsid w:val="00657168"/>
    <w:rsid w:val="00657171"/>
    <w:rsid w:val="006572A0"/>
    <w:rsid w:val="006576B8"/>
    <w:rsid w:val="006578EF"/>
    <w:rsid w:val="00657998"/>
    <w:rsid w:val="006579DB"/>
    <w:rsid w:val="00657D26"/>
    <w:rsid w:val="00657D6F"/>
    <w:rsid w:val="0066012F"/>
    <w:rsid w:val="00660198"/>
    <w:rsid w:val="006602BC"/>
    <w:rsid w:val="00660372"/>
    <w:rsid w:val="0066064E"/>
    <w:rsid w:val="0066068F"/>
    <w:rsid w:val="0066080E"/>
    <w:rsid w:val="00660816"/>
    <w:rsid w:val="00660969"/>
    <w:rsid w:val="0066096B"/>
    <w:rsid w:val="00660A05"/>
    <w:rsid w:val="00660A21"/>
    <w:rsid w:val="00660A5F"/>
    <w:rsid w:val="00660B89"/>
    <w:rsid w:val="00660C68"/>
    <w:rsid w:val="00660E35"/>
    <w:rsid w:val="00660E42"/>
    <w:rsid w:val="00661145"/>
    <w:rsid w:val="0066124F"/>
    <w:rsid w:val="006613D4"/>
    <w:rsid w:val="006617CC"/>
    <w:rsid w:val="00661AA1"/>
    <w:rsid w:val="00661B33"/>
    <w:rsid w:val="0066203C"/>
    <w:rsid w:val="00662092"/>
    <w:rsid w:val="0066217C"/>
    <w:rsid w:val="0066249E"/>
    <w:rsid w:val="006624F3"/>
    <w:rsid w:val="0066267D"/>
    <w:rsid w:val="006626EB"/>
    <w:rsid w:val="0066295F"/>
    <w:rsid w:val="00662A65"/>
    <w:rsid w:val="00662B9A"/>
    <w:rsid w:val="00662BFB"/>
    <w:rsid w:val="00662C8C"/>
    <w:rsid w:val="00662EBF"/>
    <w:rsid w:val="00663087"/>
    <w:rsid w:val="00663542"/>
    <w:rsid w:val="00663564"/>
    <w:rsid w:val="0066362E"/>
    <w:rsid w:val="00663DD7"/>
    <w:rsid w:val="00663EE5"/>
    <w:rsid w:val="006640BD"/>
    <w:rsid w:val="00664177"/>
    <w:rsid w:val="0066441D"/>
    <w:rsid w:val="006644D7"/>
    <w:rsid w:val="00664922"/>
    <w:rsid w:val="00664F75"/>
    <w:rsid w:val="006653F4"/>
    <w:rsid w:val="00665518"/>
    <w:rsid w:val="00665613"/>
    <w:rsid w:val="0066577F"/>
    <w:rsid w:val="00665889"/>
    <w:rsid w:val="00665D79"/>
    <w:rsid w:val="00665E6D"/>
    <w:rsid w:val="00665E93"/>
    <w:rsid w:val="00665F76"/>
    <w:rsid w:val="00665FB7"/>
    <w:rsid w:val="00666026"/>
    <w:rsid w:val="0066623C"/>
    <w:rsid w:val="00666243"/>
    <w:rsid w:val="00666409"/>
    <w:rsid w:val="0066646D"/>
    <w:rsid w:val="00666566"/>
    <w:rsid w:val="00666719"/>
    <w:rsid w:val="006667AA"/>
    <w:rsid w:val="00666808"/>
    <w:rsid w:val="00666A48"/>
    <w:rsid w:val="00666CEF"/>
    <w:rsid w:val="00666D47"/>
    <w:rsid w:val="00667040"/>
    <w:rsid w:val="0066713B"/>
    <w:rsid w:val="00667140"/>
    <w:rsid w:val="006671E1"/>
    <w:rsid w:val="0066730C"/>
    <w:rsid w:val="00667361"/>
    <w:rsid w:val="0066761A"/>
    <w:rsid w:val="00667647"/>
    <w:rsid w:val="00667668"/>
    <w:rsid w:val="00667836"/>
    <w:rsid w:val="006678BD"/>
    <w:rsid w:val="00667A08"/>
    <w:rsid w:val="00667AE1"/>
    <w:rsid w:val="00667BD0"/>
    <w:rsid w:val="00667CD8"/>
    <w:rsid w:val="00667CF1"/>
    <w:rsid w:val="00667DCF"/>
    <w:rsid w:val="00667E00"/>
    <w:rsid w:val="006701AE"/>
    <w:rsid w:val="006704F7"/>
    <w:rsid w:val="006707EE"/>
    <w:rsid w:val="00670833"/>
    <w:rsid w:val="0067084C"/>
    <w:rsid w:val="00670987"/>
    <w:rsid w:val="006709E8"/>
    <w:rsid w:val="00670A36"/>
    <w:rsid w:val="00670D5B"/>
    <w:rsid w:val="00670DBA"/>
    <w:rsid w:val="00670F86"/>
    <w:rsid w:val="006710E2"/>
    <w:rsid w:val="006712D0"/>
    <w:rsid w:val="00671446"/>
    <w:rsid w:val="006717DB"/>
    <w:rsid w:val="006718BD"/>
    <w:rsid w:val="00671970"/>
    <w:rsid w:val="00671979"/>
    <w:rsid w:val="0067198F"/>
    <w:rsid w:val="006719ED"/>
    <w:rsid w:val="00671A4E"/>
    <w:rsid w:val="00671A8C"/>
    <w:rsid w:val="00671A9B"/>
    <w:rsid w:val="00671AF5"/>
    <w:rsid w:val="0067240C"/>
    <w:rsid w:val="00672FB8"/>
    <w:rsid w:val="00673450"/>
    <w:rsid w:val="00673492"/>
    <w:rsid w:val="00673586"/>
    <w:rsid w:val="006738EE"/>
    <w:rsid w:val="00673949"/>
    <w:rsid w:val="0067442E"/>
    <w:rsid w:val="006744E4"/>
    <w:rsid w:val="006745BF"/>
    <w:rsid w:val="0067497F"/>
    <w:rsid w:val="00674A61"/>
    <w:rsid w:val="00674A88"/>
    <w:rsid w:val="00674BA8"/>
    <w:rsid w:val="00674CB7"/>
    <w:rsid w:val="00674CDE"/>
    <w:rsid w:val="00674D9F"/>
    <w:rsid w:val="00674F4C"/>
    <w:rsid w:val="00675016"/>
    <w:rsid w:val="00675038"/>
    <w:rsid w:val="006750C6"/>
    <w:rsid w:val="006752B3"/>
    <w:rsid w:val="00675523"/>
    <w:rsid w:val="0067573F"/>
    <w:rsid w:val="00675871"/>
    <w:rsid w:val="00675AAD"/>
    <w:rsid w:val="00675B88"/>
    <w:rsid w:val="00675BF6"/>
    <w:rsid w:val="00675C3B"/>
    <w:rsid w:val="00675D7F"/>
    <w:rsid w:val="00675DD5"/>
    <w:rsid w:val="00675E85"/>
    <w:rsid w:val="00675FFB"/>
    <w:rsid w:val="006768FC"/>
    <w:rsid w:val="00677067"/>
    <w:rsid w:val="006770EE"/>
    <w:rsid w:val="0067715A"/>
    <w:rsid w:val="006772AB"/>
    <w:rsid w:val="00677783"/>
    <w:rsid w:val="00677906"/>
    <w:rsid w:val="00677909"/>
    <w:rsid w:val="00677927"/>
    <w:rsid w:val="00677B9B"/>
    <w:rsid w:val="00677D0C"/>
    <w:rsid w:val="00677E49"/>
    <w:rsid w:val="00680029"/>
    <w:rsid w:val="006802C5"/>
    <w:rsid w:val="006802CA"/>
    <w:rsid w:val="00680393"/>
    <w:rsid w:val="00680461"/>
    <w:rsid w:val="00680500"/>
    <w:rsid w:val="006805D3"/>
    <w:rsid w:val="006806BB"/>
    <w:rsid w:val="00680797"/>
    <w:rsid w:val="00680991"/>
    <w:rsid w:val="00680A75"/>
    <w:rsid w:val="00680B79"/>
    <w:rsid w:val="00680CF4"/>
    <w:rsid w:val="00680D37"/>
    <w:rsid w:val="00680F62"/>
    <w:rsid w:val="00680FFC"/>
    <w:rsid w:val="006810C5"/>
    <w:rsid w:val="006810D3"/>
    <w:rsid w:val="0068119A"/>
    <w:rsid w:val="0068134E"/>
    <w:rsid w:val="0068149D"/>
    <w:rsid w:val="0068150C"/>
    <w:rsid w:val="00681779"/>
    <w:rsid w:val="006817F4"/>
    <w:rsid w:val="00681953"/>
    <w:rsid w:val="006819CB"/>
    <w:rsid w:val="00681BB2"/>
    <w:rsid w:val="00681BFF"/>
    <w:rsid w:val="00681C6F"/>
    <w:rsid w:val="00681CAF"/>
    <w:rsid w:val="00681D5B"/>
    <w:rsid w:val="00681DD6"/>
    <w:rsid w:val="00681EAF"/>
    <w:rsid w:val="00682066"/>
    <w:rsid w:val="00682160"/>
    <w:rsid w:val="006822ED"/>
    <w:rsid w:val="0068234B"/>
    <w:rsid w:val="00682389"/>
    <w:rsid w:val="00682438"/>
    <w:rsid w:val="00682AC3"/>
    <w:rsid w:val="00682FF2"/>
    <w:rsid w:val="006830CD"/>
    <w:rsid w:val="006830EB"/>
    <w:rsid w:val="006831FF"/>
    <w:rsid w:val="00683238"/>
    <w:rsid w:val="006832B5"/>
    <w:rsid w:val="00683300"/>
    <w:rsid w:val="0068349C"/>
    <w:rsid w:val="006837AB"/>
    <w:rsid w:val="00683C1A"/>
    <w:rsid w:val="00683C56"/>
    <w:rsid w:val="00683E6A"/>
    <w:rsid w:val="00683F63"/>
    <w:rsid w:val="006840A6"/>
    <w:rsid w:val="00684264"/>
    <w:rsid w:val="006845CE"/>
    <w:rsid w:val="00684809"/>
    <w:rsid w:val="0068480C"/>
    <w:rsid w:val="00684817"/>
    <w:rsid w:val="0068482C"/>
    <w:rsid w:val="006848B1"/>
    <w:rsid w:val="00684931"/>
    <w:rsid w:val="00684ACD"/>
    <w:rsid w:val="00685037"/>
    <w:rsid w:val="00685053"/>
    <w:rsid w:val="00685057"/>
    <w:rsid w:val="00685178"/>
    <w:rsid w:val="0068519C"/>
    <w:rsid w:val="0068519D"/>
    <w:rsid w:val="0068525B"/>
    <w:rsid w:val="00685314"/>
    <w:rsid w:val="00685459"/>
    <w:rsid w:val="00685472"/>
    <w:rsid w:val="0068560C"/>
    <w:rsid w:val="0068572A"/>
    <w:rsid w:val="00685872"/>
    <w:rsid w:val="00685996"/>
    <w:rsid w:val="00685B2C"/>
    <w:rsid w:val="00685B96"/>
    <w:rsid w:val="00685E65"/>
    <w:rsid w:val="00685EA4"/>
    <w:rsid w:val="006860D3"/>
    <w:rsid w:val="0068612C"/>
    <w:rsid w:val="00686133"/>
    <w:rsid w:val="006861AE"/>
    <w:rsid w:val="00686296"/>
    <w:rsid w:val="006862AB"/>
    <w:rsid w:val="006864EB"/>
    <w:rsid w:val="0068660A"/>
    <w:rsid w:val="00686957"/>
    <w:rsid w:val="00686C50"/>
    <w:rsid w:val="00687054"/>
    <w:rsid w:val="00687427"/>
    <w:rsid w:val="0068744D"/>
    <w:rsid w:val="00687473"/>
    <w:rsid w:val="00687714"/>
    <w:rsid w:val="00687A57"/>
    <w:rsid w:val="00687B71"/>
    <w:rsid w:val="00687B79"/>
    <w:rsid w:val="00687CD9"/>
    <w:rsid w:val="00687D83"/>
    <w:rsid w:val="00687D8D"/>
    <w:rsid w:val="00687DC7"/>
    <w:rsid w:val="00687F25"/>
    <w:rsid w:val="00690023"/>
    <w:rsid w:val="00690064"/>
    <w:rsid w:val="006900A1"/>
    <w:rsid w:val="0069026C"/>
    <w:rsid w:val="006903A1"/>
    <w:rsid w:val="006903ED"/>
    <w:rsid w:val="00690488"/>
    <w:rsid w:val="006904F7"/>
    <w:rsid w:val="00690732"/>
    <w:rsid w:val="0069078E"/>
    <w:rsid w:val="0069082A"/>
    <w:rsid w:val="00690CFE"/>
    <w:rsid w:val="00690EC4"/>
    <w:rsid w:val="00690F55"/>
    <w:rsid w:val="00690F77"/>
    <w:rsid w:val="00690FED"/>
    <w:rsid w:val="0069108C"/>
    <w:rsid w:val="006910F1"/>
    <w:rsid w:val="00691154"/>
    <w:rsid w:val="00691338"/>
    <w:rsid w:val="0069135A"/>
    <w:rsid w:val="0069146D"/>
    <w:rsid w:val="0069171E"/>
    <w:rsid w:val="0069176E"/>
    <w:rsid w:val="006917F1"/>
    <w:rsid w:val="00691AC6"/>
    <w:rsid w:val="00691B39"/>
    <w:rsid w:val="00691C16"/>
    <w:rsid w:val="00691ECA"/>
    <w:rsid w:val="00691FFC"/>
    <w:rsid w:val="00692419"/>
    <w:rsid w:val="006929B5"/>
    <w:rsid w:val="00692A4C"/>
    <w:rsid w:val="00692E8A"/>
    <w:rsid w:val="006930CB"/>
    <w:rsid w:val="006930F3"/>
    <w:rsid w:val="0069319B"/>
    <w:rsid w:val="006933B5"/>
    <w:rsid w:val="0069356A"/>
    <w:rsid w:val="0069375B"/>
    <w:rsid w:val="006937B0"/>
    <w:rsid w:val="00693B6C"/>
    <w:rsid w:val="00693C30"/>
    <w:rsid w:val="00693EA4"/>
    <w:rsid w:val="00693FD4"/>
    <w:rsid w:val="0069413E"/>
    <w:rsid w:val="00694260"/>
    <w:rsid w:val="00694471"/>
    <w:rsid w:val="00694588"/>
    <w:rsid w:val="006945DC"/>
    <w:rsid w:val="00694831"/>
    <w:rsid w:val="00694987"/>
    <w:rsid w:val="006949E6"/>
    <w:rsid w:val="00694A5C"/>
    <w:rsid w:val="00694ACB"/>
    <w:rsid w:val="00694B27"/>
    <w:rsid w:val="00694CF7"/>
    <w:rsid w:val="00694E99"/>
    <w:rsid w:val="00695103"/>
    <w:rsid w:val="006952A2"/>
    <w:rsid w:val="0069532F"/>
    <w:rsid w:val="00695366"/>
    <w:rsid w:val="006955DE"/>
    <w:rsid w:val="0069583B"/>
    <w:rsid w:val="00695A76"/>
    <w:rsid w:val="00695B7E"/>
    <w:rsid w:val="00695D83"/>
    <w:rsid w:val="00695E8D"/>
    <w:rsid w:val="00695F55"/>
    <w:rsid w:val="006960D8"/>
    <w:rsid w:val="006962BC"/>
    <w:rsid w:val="006968A7"/>
    <w:rsid w:val="00696C90"/>
    <w:rsid w:val="00696FA1"/>
    <w:rsid w:val="00696FA6"/>
    <w:rsid w:val="006970B4"/>
    <w:rsid w:val="00697441"/>
    <w:rsid w:val="00697445"/>
    <w:rsid w:val="006975F8"/>
    <w:rsid w:val="00697944"/>
    <w:rsid w:val="00697AA9"/>
    <w:rsid w:val="00697C54"/>
    <w:rsid w:val="00697DE8"/>
    <w:rsid w:val="00697F95"/>
    <w:rsid w:val="006A0096"/>
    <w:rsid w:val="006A0166"/>
    <w:rsid w:val="006A02DB"/>
    <w:rsid w:val="006A0476"/>
    <w:rsid w:val="006A0482"/>
    <w:rsid w:val="006A04E4"/>
    <w:rsid w:val="006A073F"/>
    <w:rsid w:val="006A09DD"/>
    <w:rsid w:val="006A0A89"/>
    <w:rsid w:val="006A0B76"/>
    <w:rsid w:val="006A0CFF"/>
    <w:rsid w:val="006A0D58"/>
    <w:rsid w:val="006A0E00"/>
    <w:rsid w:val="006A0E18"/>
    <w:rsid w:val="006A0F1C"/>
    <w:rsid w:val="006A11A4"/>
    <w:rsid w:val="006A12AD"/>
    <w:rsid w:val="006A12F5"/>
    <w:rsid w:val="006A136C"/>
    <w:rsid w:val="006A15DC"/>
    <w:rsid w:val="006A17C7"/>
    <w:rsid w:val="006A1824"/>
    <w:rsid w:val="006A18EE"/>
    <w:rsid w:val="006A1D87"/>
    <w:rsid w:val="006A1E52"/>
    <w:rsid w:val="006A20A9"/>
    <w:rsid w:val="006A2290"/>
    <w:rsid w:val="006A23A0"/>
    <w:rsid w:val="006A25E5"/>
    <w:rsid w:val="006A2904"/>
    <w:rsid w:val="006A2C78"/>
    <w:rsid w:val="006A2D9C"/>
    <w:rsid w:val="006A2F84"/>
    <w:rsid w:val="006A30C5"/>
    <w:rsid w:val="006A31D7"/>
    <w:rsid w:val="006A343F"/>
    <w:rsid w:val="006A353B"/>
    <w:rsid w:val="006A36C6"/>
    <w:rsid w:val="006A3827"/>
    <w:rsid w:val="006A39CF"/>
    <w:rsid w:val="006A3C23"/>
    <w:rsid w:val="006A3FF3"/>
    <w:rsid w:val="006A41F0"/>
    <w:rsid w:val="006A42DC"/>
    <w:rsid w:val="006A4384"/>
    <w:rsid w:val="006A4599"/>
    <w:rsid w:val="006A4669"/>
    <w:rsid w:val="006A496E"/>
    <w:rsid w:val="006A4970"/>
    <w:rsid w:val="006A4A70"/>
    <w:rsid w:val="006A4B80"/>
    <w:rsid w:val="006A4C2F"/>
    <w:rsid w:val="006A4CE2"/>
    <w:rsid w:val="006A4D19"/>
    <w:rsid w:val="006A4D1C"/>
    <w:rsid w:val="006A5049"/>
    <w:rsid w:val="006A56D7"/>
    <w:rsid w:val="006A56FC"/>
    <w:rsid w:val="006A5741"/>
    <w:rsid w:val="006A57C9"/>
    <w:rsid w:val="006A58CB"/>
    <w:rsid w:val="006A5B5D"/>
    <w:rsid w:val="006A5E7D"/>
    <w:rsid w:val="006A6250"/>
    <w:rsid w:val="006A64E2"/>
    <w:rsid w:val="006A660E"/>
    <w:rsid w:val="006A661F"/>
    <w:rsid w:val="006A6720"/>
    <w:rsid w:val="006A68A5"/>
    <w:rsid w:val="006A694E"/>
    <w:rsid w:val="006A6957"/>
    <w:rsid w:val="006A6A43"/>
    <w:rsid w:val="006A6DE2"/>
    <w:rsid w:val="006A7255"/>
    <w:rsid w:val="006A72F1"/>
    <w:rsid w:val="006A7433"/>
    <w:rsid w:val="006A77F1"/>
    <w:rsid w:val="006A7829"/>
    <w:rsid w:val="006A7854"/>
    <w:rsid w:val="006B0004"/>
    <w:rsid w:val="006B00A2"/>
    <w:rsid w:val="006B00AB"/>
    <w:rsid w:val="006B017A"/>
    <w:rsid w:val="006B03B1"/>
    <w:rsid w:val="006B056C"/>
    <w:rsid w:val="006B063A"/>
    <w:rsid w:val="006B07E2"/>
    <w:rsid w:val="006B0A95"/>
    <w:rsid w:val="006B0C77"/>
    <w:rsid w:val="006B1330"/>
    <w:rsid w:val="006B133B"/>
    <w:rsid w:val="006B1376"/>
    <w:rsid w:val="006B150C"/>
    <w:rsid w:val="006B1588"/>
    <w:rsid w:val="006B18E9"/>
    <w:rsid w:val="006B19BD"/>
    <w:rsid w:val="006B19DC"/>
    <w:rsid w:val="006B1A3E"/>
    <w:rsid w:val="006B1C08"/>
    <w:rsid w:val="006B1CDC"/>
    <w:rsid w:val="006B1DA7"/>
    <w:rsid w:val="006B1DB5"/>
    <w:rsid w:val="006B1E96"/>
    <w:rsid w:val="006B213E"/>
    <w:rsid w:val="006B2692"/>
    <w:rsid w:val="006B2704"/>
    <w:rsid w:val="006B27CA"/>
    <w:rsid w:val="006B287B"/>
    <w:rsid w:val="006B28F8"/>
    <w:rsid w:val="006B2956"/>
    <w:rsid w:val="006B2B17"/>
    <w:rsid w:val="006B2BA1"/>
    <w:rsid w:val="006B2BEC"/>
    <w:rsid w:val="006B2C41"/>
    <w:rsid w:val="006B2C8B"/>
    <w:rsid w:val="006B2DE5"/>
    <w:rsid w:val="006B30AB"/>
    <w:rsid w:val="006B30B5"/>
    <w:rsid w:val="006B3255"/>
    <w:rsid w:val="006B363D"/>
    <w:rsid w:val="006B367A"/>
    <w:rsid w:val="006B370D"/>
    <w:rsid w:val="006B382C"/>
    <w:rsid w:val="006B3BF8"/>
    <w:rsid w:val="006B3FD1"/>
    <w:rsid w:val="006B4065"/>
    <w:rsid w:val="006B4265"/>
    <w:rsid w:val="006B4312"/>
    <w:rsid w:val="006B437A"/>
    <w:rsid w:val="006B43B2"/>
    <w:rsid w:val="006B4AEA"/>
    <w:rsid w:val="006B4CC8"/>
    <w:rsid w:val="006B4E07"/>
    <w:rsid w:val="006B5498"/>
    <w:rsid w:val="006B5504"/>
    <w:rsid w:val="006B57B2"/>
    <w:rsid w:val="006B58E4"/>
    <w:rsid w:val="006B5A07"/>
    <w:rsid w:val="006B5C7C"/>
    <w:rsid w:val="006B6001"/>
    <w:rsid w:val="006B6135"/>
    <w:rsid w:val="006B6147"/>
    <w:rsid w:val="006B636B"/>
    <w:rsid w:val="006B6451"/>
    <w:rsid w:val="006B6748"/>
    <w:rsid w:val="006B682A"/>
    <w:rsid w:val="006B692B"/>
    <w:rsid w:val="006B6937"/>
    <w:rsid w:val="006B6CB9"/>
    <w:rsid w:val="006B6E18"/>
    <w:rsid w:val="006B6F18"/>
    <w:rsid w:val="006B7023"/>
    <w:rsid w:val="006B71C8"/>
    <w:rsid w:val="006B7364"/>
    <w:rsid w:val="006B748E"/>
    <w:rsid w:val="006B7564"/>
    <w:rsid w:val="006B78FF"/>
    <w:rsid w:val="006B798C"/>
    <w:rsid w:val="006B7A93"/>
    <w:rsid w:val="006B7CC5"/>
    <w:rsid w:val="006B7D01"/>
    <w:rsid w:val="006B7F0A"/>
    <w:rsid w:val="006B7FF7"/>
    <w:rsid w:val="006C019B"/>
    <w:rsid w:val="006C01CE"/>
    <w:rsid w:val="006C05EA"/>
    <w:rsid w:val="006C0856"/>
    <w:rsid w:val="006C094F"/>
    <w:rsid w:val="006C0C20"/>
    <w:rsid w:val="006C0E2A"/>
    <w:rsid w:val="006C0F1C"/>
    <w:rsid w:val="006C1173"/>
    <w:rsid w:val="006C12BA"/>
    <w:rsid w:val="006C13FA"/>
    <w:rsid w:val="006C146D"/>
    <w:rsid w:val="006C16D4"/>
    <w:rsid w:val="006C189A"/>
    <w:rsid w:val="006C1C31"/>
    <w:rsid w:val="006C1D60"/>
    <w:rsid w:val="006C1DF6"/>
    <w:rsid w:val="006C1F47"/>
    <w:rsid w:val="006C21BB"/>
    <w:rsid w:val="006C2247"/>
    <w:rsid w:val="006C2616"/>
    <w:rsid w:val="006C28B7"/>
    <w:rsid w:val="006C29BC"/>
    <w:rsid w:val="006C2AD7"/>
    <w:rsid w:val="006C2B89"/>
    <w:rsid w:val="006C2C55"/>
    <w:rsid w:val="006C2E07"/>
    <w:rsid w:val="006C2E7E"/>
    <w:rsid w:val="006C2EA4"/>
    <w:rsid w:val="006C2EC2"/>
    <w:rsid w:val="006C2ED1"/>
    <w:rsid w:val="006C3078"/>
    <w:rsid w:val="006C30EE"/>
    <w:rsid w:val="006C32B5"/>
    <w:rsid w:val="006C33BE"/>
    <w:rsid w:val="006C341F"/>
    <w:rsid w:val="006C348F"/>
    <w:rsid w:val="006C34E2"/>
    <w:rsid w:val="006C39E4"/>
    <w:rsid w:val="006C3B32"/>
    <w:rsid w:val="006C3B8F"/>
    <w:rsid w:val="006C3BB4"/>
    <w:rsid w:val="006C3D40"/>
    <w:rsid w:val="006C3D7A"/>
    <w:rsid w:val="006C3E79"/>
    <w:rsid w:val="006C4091"/>
    <w:rsid w:val="006C4106"/>
    <w:rsid w:val="006C4173"/>
    <w:rsid w:val="006C41B5"/>
    <w:rsid w:val="006C42A7"/>
    <w:rsid w:val="006C4637"/>
    <w:rsid w:val="006C47BC"/>
    <w:rsid w:val="006C47FC"/>
    <w:rsid w:val="006C499E"/>
    <w:rsid w:val="006C4BA7"/>
    <w:rsid w:val="006C4C85"/>
    <w:rsid w:val="006C4CE0"/>
    <w:rsid w:val="006C4E46"/>
    <w:rsid w:val="006C4E61"/>
    <w:rsid w:val="006C4EDF"/>
    <w:rsid w:val="006C4EEA"/>
    <w:rsid w:val="006C5121"/>
    <w:rsid w:val="006C51D4"/>
    <w:rsid w:val="006C521D"/>
    <w:rsid w:val="006C54E1"/>
    <w:rsid w:val="006C560F"/>
    <w:rsid w:val="006C5632"/>
    <w:rsid w:val="006C5855"/>
    <w:rsid w:val="006C5ACB"/>
    <w:rsid w:val="006C5C92"/>
    <w:rsid w:val="006C610B"/>
    <w:rsid w:val="006C613E"/>
    <w:rsid w:val="006C6357"/>
    <w:rsid w:val="006C648B"/>
    <w:rsid w:val="006C6653"/>
    <w:rsid w:val="006C6676"/>
    <w:rsid w:val="006C6682"/>
    <w:rsid w:val="006C6B38"/>
    <w:rsid w:val="006C6DBE"/>
    <w:rsid w:val="006C6E1A"/>
    <w:rsid w:val="006C6EAA"/>
    <w:rsid w:val="006C6FBB"/>
    <w:rsid w:val="006C7056"/>
    <w:rsid w:val="006C738A"/>
    <w:rsid w:val="006C74BF"/>
    <w:rsid w:val="006C74FF"/>
    <w:rsid w:val="006C768E"/>
    <w:rsid w:val="006C76A0"/>
    <w:rsid w:val="006C76FB"/>
    <w:rsid w:val="006C770D"/>
    <w:rsid w:val="006C7724"/>
    <w:rsid w:val="006C7733"/>
    <w:rsid w:val="006C7771"/>
    <w:rsid w:val="006C7988"/>
    <w:rsid w:val="006C79DD"/>
    <w:rsid w:val="006C7C17"/>
    <w:rsid w:val="006C7F4B"/>
    <w:rsid w:val="006D00C3"/>
    <w:rsid w:val="006D01B6"/>
    <w:rsid w:val="006D0281"/>
    <w:rsid w:val="006D06A0"/>
    <w:rsid w:val="006D06A3"/>
    <w:rsid w:val="006D0784"/>
    <w:rsid w:val="006D0A13"/>
    <w:rsid w:val="006D0C18"/>
    <w:rsid w:val="006D0D9A"/>
    <w:rsid w:val="006D0F41"/>
    <w:rsid w:val="006D1002"/>
    <w:rsid w:val="006D12A9"/>
    <w:rsid w:val="006D175A"/>
    <w:rsid w:val="006D17B0"/>
    <w:rsid w:val="006D1B05"/>
    <w:rsid w:val="006D1BA9"/>
    <w:rsid w:val="006D1BB5"/>
    <w:rsid w:val="006D1DCB"/>
    <w:rsid w:val="006D1F8C"/>
    <w:rsid w:val="006D214A"/>
    <w:rsid w:val="006D2174"/>
    <w:rsid w:val="006D2200"/>
    <w:rsid w:val="006D241F"/>
    <w:rsid w:val="006D24B4"/>
    <w:rsid w:val="006D2837"/>
    <w:rsid w:val="006D28B9"/>
    <w:rsid w:val="006D28D7"/>
    <w:rsid w:val="006D2911"/>
    <w:rsid w:val="006D2F64"/>
    <w:rsid w:val="006D3029"/>
    <w:rsid w:val="006D323A"/>
    <w:rsid w:val="006D32CC"/>
    <w:rsid w:val="006D3433"/>
    <w:rsid w:val="006D3517"/>
    <w:rsid w:val="006D3550"/>
    <w:rsid w:val="006D35D1"/>
    <w:rsid w:val="006D3663"/>
    <w:rsid w:val="006D38FF"/>
    <w:rsid w:val="006D393A"/>
    <w:rsid w:val="006D3C01"/>
    <w:rsid w:val="006D3CBE"/>
    <w:rsid w:val="006D3E92"/>
    <w:rsid w:val="006D4119"/>
    <w:rsid w:val="006D4153"/>
    <w:rsid w:val="006D4286"/>
    <w:rsid w:val="006D43DE"/>
    <w:rsid w:val="006D43E7"/>
    <w:rsid w:val="006D440D"/>
    <w:rsid w:val="006D451C"/>
    <w:rsid w:val="006D48B9"/>
    <w:rsid w:val="006D48CA"/>
    <w:rsid w:val="006D4DB1"/>
    <w:rsid w:val="006D4E14"/>
    <w:rsid w:val="006D4F64"/>
    <w:rsid w:val="006D5154"/>
    <w:rsid w:val="006D5313"/>
    <w:rsid w:val="006D555C"/>
    <w:rsid w:val="006D560E"/>
    <w:rsid w:val="006D5873"/>
    <w:rsid w:val="006D595C"/>
    <w:rsid w:val="006D5A82"/>
    <w:rsid w:val="006D5C78"/>
    <w:rsid w:val="006D5ED9"/>
    <w:rsid w:val="006D5EDD"/>
    <w:rsid w:val="006D60F1"/>
    <w:rsid w:val="006D6126"/>
    <w:rsid w:val="006D65BB"/>
    <w:rsid w:val="006D6612"/>
    <w:rsid w:val="006D663E"/>
    <w:rsid w:val="006D6666"/>
    <w:rsid w:val="006D69D0"/>
    <w:rsid w:val="006D6B98"/>
    <w:rsid w:val="006D6BC8"/>
    <w:rsid w:val="006D6D74"/>
    <w:rsid w:val="006D6ECB"/>
    <w:rsid w:val="006D6F5E"/>
    <w:rsid w:val="006D707F"/>
    <w:rsid w:val="006D7138"/>
    <w:rsid w:val="006D73A3"/>
    <w:rsid w:val="006D7496"/>
    <w:rsid w:val="006D74BC"/>
    <w:rsid w:val="006D7695"/>
    <w:rsid w:val="006D774E"/>
    <w:rsid w:val="006D77D5"/>
    <w:rsid w:val="006D799A"/>
    <w:rsid w:val="006D7C44"/>
    <w:rsid w:val="006D7C62"/>
    <w:rsid w:val="006D7CD0"/>
    <w:rsid w:val="006D7DBD"/>
    <w:rsid w:val="006D7ED8"/>
    <w:rsid w:val="006E006C"/>
    <w:rsid w:val="006E01DD"/>
    <w:rsid w:val="006E0369"/>
    <w:rsid w:val="006E04EF"/>
    <w:rsid w:val="006E0532"/>
    <w:rsid w:val="006E054E"/>
    <w:rsid w:val="006E08AC"/>
    <w:rsid w:val="006E092E"/>
    <w:rsid w:val="006E0998"/>
    <w:rsid w:val="006E0AF4"/>
    <w:rsid w:val="006E0D97"/>
    <w:rsid w:val="006E0E62"/>
    <w:rsid w:val="006E1195"/>
    <w:rsid w:val="006E11DC"/>
    <w:rsid w:val="006E17A8"/>
    <w:rsid w:val="006E1971"/>
    <w:rsid w:val="006E1E0B"/>
    <w:rsid w:val="006E1F06"/>
    <w:rsid w:val="006E212A"/>
    <w:rsid w:val="006E22DC"/>
    <w:rsid w:val="006E22FA"/>
    <w:rsid w:val="006E26A9"/>
    <w:rsid w:val="006E286F"/>
    <w:rsid w:val="006E29DC"/>
    <w:rsid w:val="006E2A0D"/>
    <w:rsid w:val="006E2A65"/>
    <w:rsid w:val="006E2B46"/>
    <w:rsid w:val="006E2BAF"/>
    <w:rsid w:val="006E2FD3"/>
    <w:rsid w:val="006E30E1"/>
    <w:rsid w:val="006E363B"/>
    <w:rsid w:val="006E3948"/>
    <w:rsid w:val="006E398D"/>
    <w:rsid w:val="006E399E"/>
    <w:rsid w:val="006E3D27"/>
    <w:rsid w:val="006E3E7F"/>
    <w:rsid w:val="006E3FBE"/>
    <w:rsid w:val="006E40A4"/>
    <w:rsid w:val="006E436E"/>
    <w:rsid w:val="006E4831"/>
    <w:rsid w:val="006E4BF0"/>
    <w:rsid w:val="006E4C00"/>
    <w:rsid w:val="006E4E09"/>
    <w:rsid w:val="006E50D6"/>
    <w:rsid w:val="006E51FE"/>
    <w:rsid w:val="006E52A1"/>
    <w:rsid w:val="006E5792"/>
    <w:rsid w:val="006E5793"/>
    <w:rsid w:val="006E57A0"/>
    <w:rsid w:val="006E57F3"/>
    <w:rsid w:val="006E5C67"/>
    <w:rsid w:val="006E5D92"/>
    <w:rsid w:val="006E5E27"/>
    <w:rsid w:val="006E5F53"/>
    <w:rsid w:val="006E625D"/>
    <w:rsid w:val="006E632D"/>
    <w:rsid w:val="006E64DC"/>
    <w:rsid w:val="006E66A8"/>
    <w:rsid w:val="006E673D"/>
    <w:rsid w:val="006E6916"/>
    <w:rsid w:val="006E6B6F"/>
    <w:rsid w:val="006E7195"/>
    <w:rsid w:val="006E720B"/>
    <w:rsid w:val="006E738D"/>
    <w:rsid w:val="006E74BB"/>
    <w:rsid w:val="006E75BE"/>
    <w:rsid w:val="006E76CE"/>
    <w:rsid w:val="006E7786"/>
    <w:rsid w:val="006E78CB"/>
    <w:rsid w:val="006E78D7"/>
    <w:rsid w:val="006E7A34"/>
    <w:rsid w:val="006E7ACA"/>
    <w:rsid w:val="006E7CC6"/>
    <w:rsid w:val="006E7F43"/>
    <w:rsid w:val="006F0170"/>
    <w:rsid w:val="006F0194"/>
    <w:rsid w:val="006F02C0"/>
    <w:rsid w:val="006F05E8"/>
    <w:rsid w:val="006F07E2"/>
    <w:rsid w:val="006F0F62"/>
    <w:rsid w:val="006F11CC"/>
    <w:rsid w:val="006F1200"/>
    <w:rsid w:val="006F12BD"/>
    <w:rsid w:val="006F13C4"/>
    <w:rsid w:val="006F15AC"/>
    <w:rsid w:val="006F1642"/>
    <w:rsid w:val="006F16AD"/>
    <w:rsid w:val="006F1701"/>
    <w:rsid w:val="006F170D"/>
    <w:rsid w:val="006F19ED"/>
    <w:rsid w:val="006F1D10"/>
    <w:rsid w:val="006F1D1F"/>
    <w:rsid w:val="006F200E"/>
    <w:rsid w:val="006F205D"/>
    <w:rsid w:val="006F23BD"/>
    <w:rsid w:val="006F2490"/>
    <w:rsid w:val="006F2791"/>
    <w:rsid w:val="006F2832"/>
    <w:rsid w:val="006F2855"/>
    <w:rsid w:val="006F2985"/>
    <w:rsid w:val="006F2A13"/>
    <w:rsid w:val="006F2F31"/>
    <w:rsid w:val="006F308E"/>
    <w:rsid w:val="006F31EC"/>
    <w:rsid w:val="006F34B9"/>
    <w:rsid w:val="006F3542"/>
    <w:rsid w:val="006F3BC9"/>
    <w:rsid w:val="006F3CA8"/>
    <w:rsid w:val="006F3F88"/>
    <w:rsid w:val="006F4206"/>
    <w:rsid w:val="006F4434"/>
    <w:rsid w:val="006F469F"/>
    <w:rsid w:val="006F46A6"/>
    <w:rsid w:val="006F47E3"/>
    <w:rsid w:val="006F48F9"/>
    <w:rsid w:val="006F4AD6"/>
    <w:rsid w:val="006F4B2C"/>
    <w:rsid w:val="006F521B"/>
    <w:rsid w:val="006F55C4"/>
    <w:rsid w:val="006F5730"/>
    <w:rsid w:val="006F5746"/>
    <w:rsid w:val="006F5856"/>
    <w:rsid w:val="006F5972"/>
    <w:rsid w:val="006F5BC9"/>
    <w:rsid w:val="006F5F5D"/>
    <w:rsid w:val="006F5F6D"/>
    <w:rsid w:val="006F5FFB"/>
    <w:rsid w:val="006F6127"/>
    <w:rsid w:val="006F633A"/>
    <w:rsid w:val="006F6584"/>
    <w:rsid w:val="006F6606"/>
    <w:rsid w:val="006F6994"/>
    <w:rsid w:val="006F6BDE"/>
    <w:rsid w:val="006F6F76"/>
    <w:rsid w:val="006F7094"/>
    <w:rsid w:val="006F72D6"/>
    <w:rsid w:val="006F7468"/>
    <w:rsid w:val="006F750F"/>
    <w:rsid w:val="006F7527"/>
    <w:rsid w:val="006F753C"/>
    <w:rsid w:val="006F76BB"/>
    <w:rsid w:val="006F777D"/>
    <w:rsid w:val="006F780F"/>
    <w:rsid w:val="006F78CD"/>
    <w:rsid w:val="006F78EE"/>
    <w:rsid w:val="006F7927"/>
    <w:rsid w:val="006F794F"/>
    <w:rsid w:val="006F7DB4"/>
    <w:rsid w:val="006F7E3E"/>
    <w:rsid w:val="006F7F69"/>
    <w:rsid w:val="006F7FBB"/>
    <w:rsid w:val="00700737"/>
    <w:rsid w:val="00700794"/>
    <w:rsid w:val="00700952"/>
    <w:rsid w:val="007009D8"/>
    <w:rsid w:val="00700C7E"/>
    <w:rsid w:val="00700CB9"/>
    <w:rsid w:val="00700E02"/>
    <w:rsid w:val="00700F20"/>
    <w:rsid w:val="00700F78"/>
    <w:rsid w:val="00700F7E"/>
    <w:rsid w:val="00701041"/>
    <w:rsid w:val="00701162"/>
    <w:rsid w:val="00701176"/>
    <w:rsid w:val="007013E7"/>
    <w:rsid w:val="00701681"/>
    <w:rsid w:val="0070173E"/>
    <w:rsid w:val="00701843"/>
    <w:rsid w:val="00701A03"/>
    <w:rsid w:val="00701A54"/>
    <w:rsid w:val="00701D06"/>
    <w:rsid w:val="00701D8F"/>
    <w:rsid w:val="00701F9C"/>
    <w:rsid w:val="007026EF"/>
    <w:rsid w:val="007028C0"/>
    <w:rsid w:val="00702934"/>
    <w:rsid w:val="00702A57"/>
    <w:rsid w:val="00702A69"/>
    <w:rsid w:val="00702AA6"/>
    <w:rsid w:val="00702BA6"/>
    <w:rsid w:val="00702D41"/>
    <w:rsid w:val="00702DB2"/>
    <w:rsid w:val="00702E21"/>
    <w:rsid w:val="00702E56"/>
    <w:rsid w:val="00702FB4"/>
    <w:rsid w:val="007030EF"/>
    <w:rsid w:val="00703266"/>
    <w:rsid w:val="007032AC"/>
    <w:rsid w:val="0070331A"/>
    <w:rsid w:val="00703512"/>
    <w:rsid w:val="007036AF"/>
    <w:rsid w:val="00703876"/>
    <w:rsid w:val="00703CC2"/>
    <w:rsid w:val="00703CFE"/>
    <w:rsid w:val="00703EB8"/>
    <w:rsid w:val="00703FAF"/>
    <w:rsid w:val="007040B6"/>
    <w:rsid w:val="00704277"/>
    <w:rsid w:val="007042BE"/>
    <w:rsid w:val="007043C2"/>
    <w:rsid w:val="007043D9"/>
    <w:rsid w:val="00704400"/>
    <w:rsid w:val="00704672"/>
    <w:rsid w:val="0070480A"/>
    <w:rsid w:val="007048CD"/>
    <w:rsid w:val="00704EE0"/>
    <w:rsid w:val="00704EE4"/>
    <w:rsid w:val="007054AE"/>
    <w:rsid w:val="00705ABC"/>
    <w:rsid w:val="00705B3B"/>
    <w:rsid w:val="00705C0D"/>
    <w:rsid w:val="00705CBC"/>
    <w:rsid w:val="00705D06"/>
    <w:rsid w:val="00705D7C"/>
    <w:rsid w:val="00706205"/>
    <w:rsid w:val="00706259"/>
    <w:rsid w:val="0070625B"/>
    <w:rsid w:val="007062DC"/>
    <w:rsid w:val="00706428"/>
    <w:rsid w:val="007067E1"/>
    <w:rsid w:val="007069F5"/>
    <w:rsid w:val="00706B0D"/>
    <w:rsid w:val="00706C53"/>
    <w:rsid w:val="00706C7B"/>
    <w:rsid w:val="00706D73"/>
    <w:rsid w:val="00706D75"/>
    <w:rsid w:val="00706DF5"/>
    <w:rsid w:val="007070F1"/>
    <w:rsid w:val="0070722E"/>
    <w:rsid w:val="00707277"/>
    <w:rsid w:val="0070729E"/>
    <w:rsid w:val="0070734C"/>
    <w:rsid w:val="00707507"/>
    <w:rsid w:val="00707A33"/>
    <w:rsid w:val="00707B36"/>
    <w:rsid w:val="00707BEE"/>
    <w:rsid w:val="007105EA"/>
    <w:rsid w:val="007106D1"/>
    <w:rsid w:val="00710954"/>
    <w:rsid w:val="00710D3B"/>
    <w:rsid w:val="00710D5B"/>
    <w:rsid w:val="00710DCF"/>
    <w:rsid w:val="00710DEF"/>
    <w:rsid w:val="00710E88"/>
    <w:rsid w:val="00711007"/>
    <w:rsid w:val="007111FB"/>
    <w:rsid w:val="007113ED"/>
    <w:rsid w:val="0071140B"/>
    <w:rsid w:val="007114A2"/>
    <w:rsid w:val="00711535"/>
    <w:rsid w:val="00711670"/>
    <w:rsid w:val="00711681"/>
    <w:rsid w:val="0071186B"/>
    <w:rsid w:val="00711910"/>
    <w:rsid w:val="00711A01"/>
    <w:rsid w:val="00711CFF"/>
    <w:rsid w:val="00711EA6"/>
    <w:rsid w:val="00712065"/>
    <w:rsid w:val="007120C0"/>
    <w:rsid w:val="0071245F"/>
    <w:rsid w:val="007129B8"/>
    <w:rsid w:val="00712A86"/>
    <w:rsid w:val="00712CA5"/>
    <w:rsid w:val="00712DEB"/>
    <w:rsid w:val="00712E94"/>
    <w:rsid w:val="0071338B"/>
    <w:rsid w:val="007134B6"/>
    <w:rsid w:val="0071374C"/>
    <w:rsid w:val="007138B8"/>
    <w:rsid w:val="0071394E"/>
    <w:rsid w:val="007139AF"/>
    <w:rsid w:val="00713A23"/>
    <w:rsid w:val="00713AC6"/>
    <w:rsid w:val="00713B05"/>
    <w:rsid w:val="00713BE9"/>
    <w:rsid w:val="00713C49"/>
    <w:rsid w:val="00713C63"/>
    <w:rsid w:val="00713D05"/>
    <w:rsid w:val="00713DA8"/>
    <w:rsid w:val="00713DBA"/>
    <w:rsid w:val="00713F57"/>
    <w:rsid w:val="0071413E"/>
    <w:rsid w:val="00714308"/>
    <w:rsid w:val="00714332"/>
    <w:rsid w:val="007144ED"/>
    <w:rsid w:val="00714732"/>
    <w:rsid w:val="007148BE"/>
    <w:rsid w:val="0071497E"/>
    <w:rsid w:val="007149D2"/>
    <w:rsid w:val="00714AC0"/>
    <w:rsid w:val="00714C2A"/>
    <w:rsid w:val="00714CDD"/>
    <w:rsid w:val="007154C1"/>
    <w:rsid w:val="0071553A"/>
    <w:rsid w:val="00715F73"/>
    <w:rsid w:val="00715FCD"/>
    <w:rsid w:val="00716036"/>
    <w:rsid w:val="007160AC"/>
    <w:rsid w:val="007160E6"/>
    <w:rsid w:val="00716119"/>
    <w:rsid w:val="00716395"/>
    <w:rsid w:val="007164CC"/>
    <w:rsid w:val="007165F6"/>
    <w:rsid w:val="00716606"/>
    <w:rsid w:val="0071683E"/>
    <w:rsid w:val="00716868"/>
    <w:rsid w:val="0071686C"/>
    <w:rsid w:val="00716A53"/>
    <w:rsid w:val="00716B24"/>
    <w:rsid w:val="00716BCF"/>
    <w:rsid w:val="00716D56"/>
    <w:rsid w:val="00716FF5"/>
    <w:rsid w:val="007171BF"/>
    <w:rsid w:val="00717259"/>
    <w:rsid w:val="00717307"/>
    <w:rsid w:val="007173C2"/>
    <w:rsid w:val="0071742E"/>
    <w:rsid w:val="00717611"/>
    <w:rsid w:val="007176F0"/>
    <w:rsid w:val="00717965"/>
    <w:rsid w:val="00717A36"/>
    <w:rsid w:val="00717D8C"/>
    <w:rsid w:val="00717EC9"/>
    <w:rsid w:val="00720002"/>
    <w:rsid w:val="007200E7"/>
    <w:rsid w:val="00720105"/>
    <w:rsid w:val="00720168"/>
    <w:rsid w:val="0072028C"/>
    <w:rsid w:val="00720293"/>
    <w:rsid w:val="00720409"/>
    <w:rsid w:val="007207BD"/>
    <w:rsid w:val="007209E8"/>
    <w:rsid w:val="00720D54"/>
    <w:rsid w:val="00721072"/>
    <w:rsid w:val="00721293"/>
    <w:rsid w:val="00721572"/>
    <w:rsid w:val="00721801"/>
    <w:rsid w:val="00721B2B"/>
    <w:rsid w:val="00721B35"/>
    <w:rsid w:val="00721D41"/>
    <w:rsid w:val="00721DF0"/>
    <w:rsid w:val="00721E1D"/>
    <w:rsid w:val="00722152"/>
    <w:rsid w:val="007221E5"/>
    <w:rsid w:val="007222C3"/>
    <w:rsid w:val="00722454"/>
    <w:rsid w:val="00722C82"/>
    <w:rsid w:val="00722DA3"/>
    <w:rsid w:val="00722E1A"/>
    <w:rsid w:val="00722F02"/>
    <w:rsid w:val="00722FC6"/>
    <w:rsid w:val="00722FDB"/>
    <w:rsid w:val="007231C2"/>
    <w:rsid w:val="007232D6"/>
    <w:rsid w:val="007236D0"/>
    <w:rsid w:val="007236F4"/>
    <w:rsid w:val="0072389D"/>
    <w:rsid w:val="00723952"/>
    <w:rsid w:val="00723D82"/>
    <w:rsid w:val="00723E64"/>
    <w:rsid w:val="00723F70"/>
    <w:rsid w:val="00723F9A"/>
    <w:rsid w:val="007240AF"/>
    <w:rsid w:val="007240F9"/>
    <w:rsid w:val="0072421B"/>
    <w:rsid w:val="00724230"/>
    <w:rsid w:val="0072435F"/>
    <w:rsid w:val="0072439D"/>
    <w:rsid w:val="00724481"/>
    <w:rsid w:val="007249E3"/>
    <w:rsid w:val="00724D24"/>
    <w:rsid w:val="00724EB5"/>
    <w:rsid w:val="00725024"/>
    <w:rsid w:val="00725133"/>
    <w:rsid w:val="007251C0"/>
    <w:rsid w:val="007252E1"/>
    <w:rsid w:val="00725390"/>
    <w:rsid w:val="00725457"/>
    <w:rsid w:val="00725B47"/>
    <w:rsid w:val="00725E90"/>
    <w:rsid w:val="007260C1"/>
    <w:rsid w:val="0072624D"/>
    <w:rsid w:val="007263A3"/>
    <w:rsid w:val="00726A67"/>
    <w:rsid w:val="00726B0D"/>
    <w:rsid w:val="007270DF"/>
    <w:rsid w:val="007270EF"/>
    <w:rsid w:val="00727107"/>
    <w:rsid w:val="00727116"/>
    <w:rsid w:val="0072720D"/>
    <w:rsid w:val="007273E3"/>
    <w:rsid w:val="00727643"/>
    <w:rsid w:val="00727792"/>
    <w:rsid w:val="007278AE"/>
    <w:rsid w:val="007278BA"/>
    <w:rsid w:val="007278C4"/>
    <w:rsid w:val="007278F5"/>
    <w:rsid w:val="00727BFC"/>
    <w:rsid w:val="00727C29"/>
    <w:rsid w:val="00727D30"/>
    <w:rsid w:val="00727EDC"/>
    <w:rsid w:val="00727FC1"/>
    <w:rsid w:val="00727FDA"/>
    <w:rsid w:val="00727FF4"/>
    <w:rsid w:val="007303A7"/>
    <w:rsid w:val="007304C8"/>
    <w:rsid w:val="00730607"/>
    <w:rsid w:val="00730802"/>
    <w:rsid w:val="00730854"/>
    <w:rsid w:val="007309B3"/>
    <w:rsid w:val="00730DB0"/>
    <w:rsid w:val="00730E25"/>
    <w:rsid w:val="00730FCA"/>
    <w:rsid w:val="00730FD2"/>
    <w:rsid w:val="007311FF"/>
    <w:rsid w:val="007313FB"/>
    <w:rsid w:val="00731409"/>
    <w:rsid w:val="007315BE"/>
    <w:rsid w:val="007319F4"/>
    <w:rsid w:val="00731E0F"/>
    <w:rsid w:val="00731F09"/>
    <w:rsid w:val="00731F2B"/>
    <w:rsid w:val="00731FA1"/>
    <w:rsid w:val="0073254E"/>
    <w:rsid w:val="007327E0"/>
    <w:rsid w:val="00732A21"/>
    <w:rsid w:val="00732B70"/>
    <w:rsid w:val="00732BFF"/>
    <w:rsid w:val="00732CE7"/>
    <w:rsid w:val="00732D17"/>
    <w:rsid w:val="00732DFA"/>
    <w:rsid w:val="00732EA8"/>
    <w:rsid w:val="00732FFB"/>
    <w:rsid w:val="007331F5"/>
    <w:rsid w:val="00733419"/>
    <w:rsid w:val="00733437"/>
    <w:rsid w:val="00733540"/>
    <w:rsid w:val="00733889"/>
    <w:rsid w:val="00733A13"/>
    <w:rsid w:val="00733C9B"/>
    <w:rsid w:val="00733CAE"/>
    <w:rsid w:val="00733F85"/>
    <w:rsid w:val="0073439A"/>
    <w:rsid w:val="00734B08"/>
    <w:rsid w:val="00734BC6"/>
    <w:rsid w:val="00734C1D"/>
    <w:rsid w:val="00734DB9"/>
    <w:rsid w:val="00734EF7"/>
    <w:rsid w:val="00734F75"/>
    <w:rsid w:val="00734F99"/>
    <w:rsid w:val="007351BF"/>
    <w:rsid w:val="00735504"/>
    <w:rsid w:val="007355CC"/>
    <w:rsid w:val="007357FC"/>
    <w:rsid w:val="0073588C"/>
    <w:rsid w:val="007358E1"/>
    <w:rsid w:val="00735930"/>
    <w:rsid w:val="0073598B"/>
    <w:rsid w:val="00735A3F"/>
    <w:rsid w:val="00735D34"/>
    <w:rsid w:val="00735DD0"/>
    <w:rsid w:val="0073606C"/>
    <w:rsid w:val="007361A7"/>
    <w:rsid w:val="007361DB"/>
    <w:rsid w:val="00736279"/>
    <w:rsid w:val="00736289"/>
    <w:rsid w:val="00736610"/>
    <w:rsid w:val="00736CBA"/>
    <w:rsid w:val="00736DAC"/>
    <w:rsid w:val="00736DAE"/>
    <w:rsid w:val="0073730D"/>
    <w:rsid w:val="0073731C"/>
    <w:rsid w:val="00737338"/>
    <w:rsid w:val="007373CA"/>
    <w:rsid w:val="007373E7"/>
    <w:rsid w:val="00737725"/>
    <w:rsid w:val="00737AF8"/>
    <w:rsid w:val="00737B5A"/>
    <w:rsid w:val="00740010"/>
    <w:rsid w:val="00740042"/>
    <w:rsid w:val="0074017A"/>
    <w:rsid w:val="007404B9"/>
    <w:rsid w:val="00740684"/>
    <w:rsid w:val="007406AD"/>
    <w:rsid w:val="00740A34"/>
    <w:rsid w:val="00740A52"/>
    <w:rsid w:val="00740AAF"/>
    <w:rsid w:val="00740B74"/>
    <w:rsid w:val="00740C08"/>
    <w:rsid w:val="0074114B"/>
    <w:rsid w:val="007412FE"/>
    <w:rsid w:val="007414CD"/>
    <w:rsid w:val="007415C8"/>
    <w:rsid w:val="00741667"/>
    <w:rsid w:val="00741762"/>
    <w:rsid w:val="00741827"/>
    <w:rsid w:val="00741903"/>
    <w:rsid w:val="00741A73"/>
    <w:rsid w:val="00741B35"/>
    <w:rsid w:val="00741B64"/>
    <w:rsid w:val="00741C17"/>
    <w:rsid w:val="00741CCF"/>
    <w:rsid w:val="00741D6F"/>
    <w:rsid w:val="00741E2D"/>
    <w:rsid w:val="00742079"/>
    <w:rsid w:val="0074219C"/>
    <w:rsid w:val="007422C6"/>
    <w:rsid w:val="00742645"/>
    <w:rsid w:val="007427F2"/>
    <w:rsid w:val="00742C59"/>
    <w:rsid w:val="00743105"/>
    <w:rsid w:val="0074316C"/>
    <w:rsid w:val="0074333F"/>
    <w:rsid w:val="007435CA"/>
    <w:rsid w:val="00743BD3"/>
    <w:rsid w:val="00743CBE"/>
    <w:rsid w:val="0074414B"/>
    <w:rsid w:val="00744343"/>
    <w:rsid w:val="007443D4"/>
    <w:rsid w:val="0074444A"/>
    <w:rsid w:val="00744669"/>
    <w:rsid w:val="0074492B"/>
    <w:rsid w:val="007449CE"/>
    <w:rsid w:val="00744C0A"/>
    <w:rsid w:val="00744CDD"/>
    <w:rsid w:val="00744E2D"/>
    <w:rsid w:val="00744EB8"/>
    <w:rsid w:val="00744F03"/>
    <w:rsid w:val="007450FC"/>
    <w:rsid w:val="007451C1"/>
    <w:rsid w:val="0074538C"/>
    <w:rsid w:val="007454F8"/>
    <w:rsid w:val="007456C4"/>
    <w:rsid w:val="007457AB"/>
    <w:rsid w:val="00745813"/>
    <w:rsid w:val="0074583A"/>
    <w:rsid w:val="00745A28"/>
    <w:rsid w:val="00745A70"/>
    <w:rsid w:val="00745B8D"/>
    <w:rsid w:val="00745D40"/>
    <w:rsid w:val="00745D5F"/>
    <w:rsid w:val="00746A1E"/>
    <w:rsid w:val="00746A89"/>
    <w:rsid w:val="00746AA2"/>
    <w:rsid w:val="00746AB7"/>
    <w:rsid w:val="00746B4A"/>
    <w:rsid w:val="00746B70"/>
    <w:rsid w:val="00747324"/>
    <w:rsid w:val="00747542"/>
    <w:rsid w:val="00747616"/>
    <w:rsid w:val="00747633"/>
    <w:rsid w:val="00747638"/>
    <w:rsid w:val="007476D9"/>
    <w:rsid w:val="00747AEB"/>
    <w:rsid w:val="00747B32"/>
    <w:rsid w:val="00747B45"/>
    <w:rsid w:val="00747E0F"/>
    <w:rsid w:val="00750593"/>
    <w:rsid w:val="0075068A"/>
    <w:rsid w:val="007506F6"/>
    <w:rsid w:val="00750ACD"/>
    <w:rsid w:val="00750B4D"/>
    <w:rsid w:val="00750BFD"/>
    <w:rsid w:val="00750CF7"/>
    <w:rsid w:val="0075117C"/>
    <w:rsid w:val="0075131C"/>
    <w:rsid w:val="00751453"/>
    <w:rsid w:val="0075146E"/>
    <w:rsid w:val="00751525"/>
    <w:rsid w:val="0075161E"/>
    <w:rsid w:val="00751713"/>
    <w:rsid w:val="007519CD"/>
    <w:rsid w:val="00751AF3"/>
    <w:rsid w:val="00751B1D"/>
    <w:rsid w:val="00751B20"/>
    <w:rsid w:val="00751BE1"/>
    <w:rsid w:val="00751C63"/>
    <w:rsid w:val="00751CF6"/>
    <w:rsid w:val="00751DC8"/>
    <w:rsid w:val="007521F6"/>
    <w:rsid w:val="007522EE"/>
    <w:rsid w:val="00752449"/>
    <w:rsid w:val="00752469"/>
    <w:rsid w:val="0075258E"/>
    <w:rsid w:val="00752987"/>
    <w:rsid w:val="00752990"/>
    <w:rsid w:val="007529AD"/>
    <w:rsid w:val="00752CFA"/>
    <w:rsid w:val="00753784"/>
    <w:rsid w:val="00753CD0"/>
    <w:rsid w:val="00753D38"/>
    <w:rsid w:val="00753D92"/>
    <w:rsid w:val="00753E9F"/>
    <w:rsid w:val="00753EE4"/>
    <w:rsid w:val="0075402B"/>
    <w:rsid w:val="00754321"/>
    <w:rsid w:val="00754393"/>
    <w:rsid w:val="007547F0"/>
    <w:rsid w:val="00754A20"/>
    <w:rsid w:val="00754A26"/>
    <w:rsid w:val="00754D4F"/>
    <w:rsid w:val="00754F94"/>
    <w:rsid w:val="00755240"/>
    <w:rsid w:val="00755280"/>
    <w:rsid w:val="007552C9"/>
    <w:rsid w:val="007552D2"/>
    <w:rsid w:val="007553C4"/>
    <w:rsid w:val="00755AE7"/>
    <w:rsid w:val="00755B7E"/>
    <w:rsid w:val="00755BF4"/>
    <w:rsid w:val="00755C53"/>
    <w:rsid w:val="00755DC3"/>
    <w:rsid w:val="00755E3C"/>
    <w:rsid w:val="00755E78"/>
    <w:rsid w:val="0075600E"/>
    <w:rsid w:val="007561B1"/>
    <w:rsid w:val="007563E5"/>
    <w:rsid w:val="0075664F"/>
    <w:rsid w:val="007567DB"/>
    <w:rsid w:val="007567FF"/>
    <w:rsid w:val="007568A4"/>
    <w:rsid w:val="00756A31"/>
    <w:rsid w:val="00756E36"/>
    <w:rsid w:val="0075704D"/>
    <w:rsid w:val="0075730C"/>
    <w:rsid w:val="007575F1"/>
    <w:rsid w:val="00757623"/>
    <w:rsid w:val="00757797"/>
    <w:rsid w:val="007578B6"/>
    <w:rsid w:val="0075796A"/>
    <w:rsid w:val="00757A0C"/>
    <w:rsid w:val="00757B86"/>
    <w:rsid w:val="00757C40"/>
    <w:rsid w:val="007600D1"/>
    <w:rsid w:val="007601D8"/>
    <w:rsid w:val="0076024C"/>
    <w:rsid w:val="00760406"/>
    <w:rsid w:val="00760425"/>
    <w:rsid w:val="00760426"/>
    <w:rsid w:val="0076055E"/>
    <w:rsid w:val="0076073D"/>
    <w:rsid w:val="00760A8B"/>
    <w:rsid w:val="00760AFA"/>
    <w:rsid w:val="00760D23"/>
    <w:rsid w:val="00760E4D"/>
    <w:rsid w:val="00760E93"/>
    <w:rsid w:val="00760E9B"/>
    <w:rsid w:val="00761053"/>
    <w:rsid w:val="007610B7"/>
    <w:rsid w:val="007612CC"/>
    <w:rsid w:val="0076131C"/>
    <w:rsid w:val="00761350"/>
    <w:rsid w:val="00761461"/>
    <w:rsid w:val="00761655"/>
    <w:rsid w:val="00761847"/>
    <w:rsid w:val="00761902"/>
    <w:rsid w:val="007619BD"/>
    <w:rsid w:val="00761AEE"/>
    <w:rsid w:val="00761B97"/>
    <w:rsid w:val="00761CE5"/>
    <w:rsid w:val="00762094"/>
    <w:rsid w:val="00762343"/>
    <w:rsid w:val="0076239D"/>
    <w:rsid w:val="007623DA"/>
    <w:rsid w:val="007626FB"/>
    <w:rsid w:val="007628E5"/>
    <w:rsid w:val="00762934"/>
    <w:rsid w:val="00762984"/>
    <w:rsid w:val="00762CAC"/>
    <w:rsid w:val="00762D67"/>
    <w:rsid w:val="00762D96"/>
    <w:rsid w:val="00762E98"/>
    <w:rsid w:val="007631C1"/>
    <w:rsid w:val="007632F7"/>
    <w:rsid w:val="007635F9"/>
    <w:rsid w:val="00763771"/>
    <w:rsid w:val="00763AEE"/>
    <w:rsid w:val="00763B0A"/>
    <w:rsid w:val="00763C73"/>
    <w:rsid w:val="00763F12"/>
    <w:rsid w:val="00764109"/>
    <w:rsid w:val="00764438"/>
    <w:rsid w:val="007644CA"/>
    <w:rsid w:val="007646EF"/>
    <w:rsid w:val="00764915"/>
    <w:rsid w:val="00764DA3"/>
    <w:rsid w:val="00764DB4"/>
    <w:rsid w:val="007650B3"/>
    <w:rsid w:val="00765206"/>
    <w:rsid w:val="00765563"/>
    <w:rsid w:val="00765694"/>
    <w:rsid w:val="007656DD"/>
    <w:rsid w:val="00765A8F"/>
    <w:rsid w:val="00765E4B"/>
    <w:rsid w:val="00765EF9"/>
    <w:rsid w:val="00766060"/>
    <w:rsid w:val="007660B0"/>
    <w:rsid w:val="00766423"/>
    <w:rsid w:val="00766646"/>
    <w:rsid w:val="00766712"/>
    <w:rsid w:val="0076682C"/>
    <w:rsid w:val="00766D46"/>
    <w:rsid w:val="00766D61"/>
    <w:rsid w:val="0076750E"/>
    <w:rsid w:val="007675E0"/>
    <w:rsid w:val="00767ACF"/>
    <w:rsid w:val="00767AE9"/>
    <w:rsid w:val="00767C9B"/>
    <w:rsid w:val="00767DD2"/>
    <w:rsid w:val="007701DC"/>
    <w:rsid w:val="00770395"/>
    <w:rsid w:val="007704DA"/>
    <w:rsid w:val="0077052E"/>
    <w:rsid w:val="007709B7"/>
    <w:rsid w:val="00770A78"/>
    <w:rsid w:val="00770BAD"/>
    <w:rsid w:val="00770DC2"/>
    <w:rsid w:val="0077100E"/>
    <w:rsid w:val="007715F1"/>
    <w:rsid w:val="007717CE"/>
    <w:rsid w:val="0077197A"/>
    <w:rsid w:val="00771C14"/>
    <w:rsid w:val="00771C83"/>
    <w:rsid w:val="00771F16"/>
    <w:rsid w:val="0077226D"/>
    <w:rsid w:val="007725A4"/>
    <w:rsid w:val="0077265B"/>
    <w:rsid w:val="00772746"/>
    <w:rsid w:val="007728CB"/>
    <w:rsid w:val="007728D6"/>
    <w:rsid w:val="00772B9A"/>
    <w:rsid w:val="00772D97"/>
    <w:rsid w:val="00773015"/>
    <w:rsid w:val="0077332E"/>
    <w:rsid w:val="0077348A"/>
    <w:rsid w:val="00773554"/>
    <w:rsid w:val="00773577"/>
    <w:rsid w:val="007735C2"/>
    <w:rsid w:val="0077372A"/>
    <w:rsid w:val="007737D1"/>
    <w:rsid w:val="00773A1A"/>
    <w:rsid w:val="00773E60"/>
    <w:rsid w:val="00773E9D"/>
    <w:rsid w:val="00773ECD"/>
    <w:rsid w:val="00774220"/>
    <w:rsid w:val="00774547"/>
    <w:rsid w:val="007746E9"/>
    <w:rsid w:val="007748F9"/>
    <w:rsid w:val="00774BBE"/>
    <w:rsid w:val="00774BF4"/>
    <w:rsid w:val="0077515F"/>
    <w:rsid w:val="007751A6"/>
    <w:rsid w:val="00775598"/>
    <w:rsid w:val="007757DC"/>
    <w:rsid w:val="00775A6F"/>
    <w:rsid w:val="00775BD2"/>
    <w:rsid w:val="00775C1C"/>
    <w:rsid w:val="00776112"/>
    <w:rsid w:val="00776522"/>
    <w:rsid w:val="0077652B"/>
    <w:rsid w:val="007765C2"/>
    <w:rsid w:val="007766EF"/>
    <w:rsid w:val="0077672A"/>
    <w:rsid w:val="00776942"/>
    <w:rsid w:val="00776A90"/>
    <w:rsid w:val="00776B19"/>
    <w:rsid w:val="00776B57"/>
    <w:rsid w:val="00776D87"/>
    <w:rsid w:val="00776F1B"/>
    <w:rsid w:val="00777014"/>
    <w:rsid w:val="007770E6"/>
    <w:rsid w:val="00777431"/>
    <w:rsid w:val="007775A4"/>
    <w:rsid w:val="007777FB"/>
    <w:rsid w:val="007778DA"/>
    <w:rsid w:val="00777B4C"/>
    <w:rsid w:val="00777EC4"/>
    <w:rsid w:val="00777EC7"/>
    <w:rsid w:val="00777EE0"/>
    <w:rsid w:val="00780040"/>
    <w:rsid w:val="00780149"/>
    <w:rsid w:val="00780237"/>
    <w:rsid w:val="00780329"/>
    <w:rsid w:val="007804A1"/>
    <w:rsid w:val="007804EA"/>
    <w:rsid w:val="00780541"/>
    <w:rsid w:val="00780559"/>
    <w:rsid w:val="0078059C"/>
    <w:rsid w:val="00780847"/>
    <w:rsid w:val="00780B09"/>
    <w:rsid w:val="00780C0F"/>
    <w:rsid w:val="00780D52"/>
    <w:rsid w:val="00781360"/>
    <w:rsid w:val="00781399"/>
    <w:rsid w:val="007813CA"/>
    <w:rsid w:val="00781460"/>
    <w:rsid w:val="007814FA"/>
    <w:rsid w:val="0078155B"/>
    <w:rsid w:val="00781852"/>
    <w:rsid w:val="00781957"/>
    <w:rsid w:val="00781996"/>
    <w:rsid w:val="00781B83"/>
    <w:rsid w:val="00781BB9"/>
    <w:rsid w:val="00781F1A"/>
    <w:rsid w:val="00781FFE"/>
    <w:rsid w:val="0078223A"/>
    <w:rsid w:val="0078232C"/>
    <w:rsid w:val="007824D8"/>
    <w:rsid w:val="00782600"/>
    <w:rsid w:val="0078264A"/>
    <w:rsid w:val="0078269E"/>
    <w:rsid w:val="007826A5"/>
    <w:rsid w:val="007826B2"/>
    <w:rsid w:val="0078272B"/>
    <w:rsid w:val="00782851"/>
    <w:rsid w:val="0078286C"/>
    <w:rsid w:val="00782A0E"/>
    <w:rsid w:val="00782A33"/>
    <w:rsid w:val="00782A85"/>
    <w:rsid w:val="00782B87"/>
    <w:rsid w:val="00782B8C"/>
    <w:rsid w:val="00782BC3"/>
    <w:rsid w:val="00782DA9"/>
    <w:rsid w:val="00782FA4"/>
    <w:rsid w:val="00782FBE"/>
    <w:rsid w:val="007830B3"/>
    <w:rsid w:val="007830F6"/>
    <w:rsid w:val="00783254"/>
    <w:rsid w:val="007835F4"/>
    <w:rsid w:val="00783746"/>
    <w:rsid w:val="007838B0"/>
    <w:rsid w:val="00783927"/>
    <w:rsid w:val="00784176"/>
    <w:rsid w:val="00784235"/>
    <w:rsid w:val="007842F5"/>
    <w:rsid w:val="007842FB"/>
    <w:rsid w:val="007844EB"/>
    <w:rsid w:val="00784564"/>
    <w:rsid w:val="0078467C"/>
    <w:rsid w:val="00784D37"/>
    <w:rsid w:val="00784DB8"/>
    <w:rsid w:val="0078513B"/>
    <w:rsid w:val="007851EB"/>
    <w:rsid w:val="007852E3"/>
    <w:rsid w:val="00785496"/>
    <w:rsid w:val="007855C5"/>
    <w:rsid w:val="007859F7"/>
    <w:rsid w:val="00785BFB"/>
    <w:rsid w:val="00785C09"/>
    <w:rsid w:val="00785CED"/>
    <w:rsid w:val="00785E08"/>
    <w:rsid w:val="00785F5B"/>
    <w:rsid w:val="00785F77"/>
    <w:rsid w:val="00785FED"/>
    <w:rsid w:val="00786594"/>
    <w:rsid w:val="00786681"/>
    <w:rsid w:val="00786801"/>
    <w:rsid w:val="00786AF9"/>
    <w:rsid w:val="00787153"/>
    <w:rsid w:val="007874C8"/>
    <w:rsid w:val="007874CB"/>
    <w:rsid w:val="007874DC"/>
    <w:rsid w:val="00787599"/>
    <w:rsid w:val="007877CC"/>
    <w:rsid w:val="00787A22"/>
    <w:rsid w:val="00787AC0"/>
    <w:rsid w:val="00787C05"/>
    <w:rsid w:val="00787D03"/>
    <w:rsid w:val="007900A0"/>
    <w:rsid w:val="007901CD"/>
    <w:rsid w:val="00790212"/>
    <w:rsid w:val="00790271"/>
    <w:rsid w:val="0079036B"/>
    <w:rsid w:val="0079049B"/>
    <w:rsid w:val="00790584"/>
    <w:rsid w:val="00790741"/>
    <w:rsid w:val="00790A2E"/>
    <w:rsid w:val="00790C2C"/>
    <w:rsid w:val="00790D31"/>
    <w:rsid w:val="00790D53"/>
    <w:rsid w:val="00790D68"/>
    <w:rsid w:val="0079102D"/>
    <w:rsid w:val="00791152"/>
    <w:rsid w:val="00791218"/>
    <w:rsid w:val="0079142F"/>
    <w:rsid w:val="00791479"/>
    <w:rsid w:val="007916E4"/>
    <w:rsid w:val="00791740"/>
    <w:rsid w:val="007917C2"/>
    <w:rsid w:val="007917E4"/>
    <w:rsid w:val="00791867"/>
    <w:rsid w:val="00791A8C"/>
    <w:rsid w:val="00791B4A"/>
    <w:rsid w:val="00791D57"/>
    <w:rsid w:val="00791DD7"/>
    <w:rsid w:val="00791DDD"/>
    <w:rsid w:val="00791E9C"/>
    <w:rsid w:val="00791FFC"/>
    <w:rsid w:val="00792159"/>
    <w:rsid w:val="0079232A"/>
    <w:rsid w:val="007923E4"/>
    <w:rsid w:val="00792454"/>
    <w:rsid w:val="007928AC"/>
    <w:rsid w:val="00792991"/>
    <w:rsid w:val="00792B29"/>
    <w:rsid w:val="00792EEB"/>
    <w:rsid w:val="00792FD2"/>
    <w:rsid w:val="00793275"/>
    <w:rsid w:val="00793492"/>
    <w:rsid w:val="00793598"/>
    <w:rsid w:val="007936C9"/>
    <w:rsid w:val="0079375F"/>
    <w:rsid w:val="00793990"/>
    <w:rsid w:val="007939B0"/>
    <w:rsid w:val="00793AF4"/>
    <w:rsid w:val="00793C19"/>
    <w:rsid w:val="00793D0D"/>
    <w:rsid w:val="00793E58"/>
    <w:rsid w:val="00793FDC"/>
    <w:rsid w:val="007940DA"/>
    <w:rsid w:val="0079421D"/>
    <w:rsid w:val="00794418"/>
    <w:rsid w:val="00794497"/>
    <w:rsid w:val="00794564"/>
    <w:rsid w:val="0079473B"/>
    <w:rsid w:val="00794893"/>
    <w:rsid w:val="00794C78"/>
    <w:rsid w:val="00794CDC"/>
    <w:rsid w:val="00794EAF"/>
    <w:rsid w:val="00794EFD"/>
    <w:rsid w:val="00795081"/>
    <w:rsid w:val="007950CF"/>
    <w:rsid w:val="007950F4"/>
    <w:rsid w:val="00795108"/>
    <w:rsid w:val="0079513C"/>
    <w:rsid w:val="0079527D"/>
    <w:rsid w:val="007952DA"/>
    <w:rsid w:val="00795536"/>
    <w:rsid w:val="0079571E"/>
    <w:rsid w:val="0079595E"/>
    <w:rsid w:val="00795A58"/>
    <w:rsid w:val="00795BB4"/>
    <w:rsid w:val="00795C53"/>
    <w:rsid w:val="00795D15"/>
    <w:rsid w:val="00795D2D"/>
    <w:rsid w:val="00795E97"/>
    <w:rsid w:val="00795F7E"/>
    <w:rsid w:val="0079616F"/>
    <w:rsid w:val="00796185"/>
    <w:rsid w:val="00796398"/>
    <w:rsid w:val="00796583"/>
    <w:rsid w:val="007965EF"/>
    <w:rsid w:val="0079669E"/>
    <w:rsid w:val="007966A4"/>
    <w:rsid w:val="00796796"/>
    <w:rsid w:val="007967DE"/>
    <w:rsid w:val="00796A43"/>
    <w:rsid w:val="00796CE3"/>
    <w:rsid w:val="00796E8B"/>
    <w:rsid w:val="00796FFA"/>
    <w:rsid w:val="0079701D"/>
    <w:rsid w:val="00797390"/>
    <w:rsid w:val="00797458"/>
    <w:rsid w:val="007977D6"/>
    <w:rsid w:val="007978E9"/>
    <w:rsid w:val="007979E8"/>
    <w:rsid w:val="00797A0F"/>
    <w:rsid w:val="00797A76"/>
    <w:rsid w:val="00797C80"/>
    <w:rsid w:val="00797F46"/>
    <w:rsid w:val="007A030A"/>
    <w:rsid w:val="007A0474"/>
    <w:rsid w:val="007A0513"/>
    <w:rsid w:val="007A05BF"/>
    <w:rsid w:val="007A08A8"/>
    <w:rsid w:val="007A0935"/>
    <w:rsid w:val="007A0AF2"/>
    <w:rsid w:val="007A0E1C"/>
    <w:rsid w:val="007A0FD9"/>
    <w:rsid w:val="007A12E3"/>
    <w:rsid w:val="007A14FE"/>
    <w:rsid w:val="007A1624"/>
    <w:rsid w:val="007A167C"/>
    <w:rsid w:val="007A1680"/>
    <w:rsid w:val="007A168D"/>
    <w:rsid w:val="007A173E"/>
    <w:rsid w:val="007A1F21"/>
    <w:rsid w:val="007A20DE"/>
    <w:rsid w:val="007A279D"/>
    <w:rsid w:val="007A2B30"/>
    <w:rsid w:val="007A2BBC"/>
    <w:rsid w:val="007A2C0F"/>
    <w:rsid w:val="007A2DB4"/>
    <w:rsid w:val="007A2EA7"/>
    <w:rsid w:val="007A3005"/>
    <w:rsid w:val="007A30DF"/>
    <w:rsid w:val="007A3207"/>
    <w:rsid w:val="007A375A"/>
    <w:rsid w:val="007A376D"/>
    <w:rsid w:val="007A389D"/>
    <w:rsid w:val="007A38CF"/>
    <w:rsid w:val="007A3AB7"/>
    <w:rsid w:val="007A3B4B"/>
    <w:rsid w:val="007A3FCB"/>
    <w:rsid w:val="007A411B"/>
    <w:rsid w:val="007A424A"/>
    <w:rsid w:val="007A4692"/>
    <w:rsid w:val="007A4783"/>
    <w:rsid w:val="007A479A"/>
    <w:rsid w:val="007A47C0"/>
    <w:rsid w:val="007A490E"/>
    <w:rsid w:val="007A4B1E"/>
    <w:rsid w:val="007A4CF0"/>
    <w:rsid w:val="007A4D60"/>
    <w:rsid w:val="007A4D62"/>
    <w:rsid w:val="007A4D77"/>
    <w:rsid w:val="007A4EAC"/>
    <w:rsid w:val="007A4F72"/>
    <w:rsid w:val="007A5356"/>
    <w:rsid w:val="007A541D"/>
    <w:rsid w:val="007A5476"/>
    <w:rsid w:val="007A55E6"/>
    <w:rsid w:val="007A5828"/>
    <w:rsid w:val="007A58DF"/>
    <w:rsid w:val="007A5E65"/>
    <w:rsid w:val="007A6073"/>
    <w:rsid w:val="007A61E8"/>
    <w:rsid w:val="007A6236"/>
    <w:rsid w:val="007A6485"/>
    <w:rsid w:val="007A692C"/>
    <w:rsid w:val="007A6A00"/>
    <w:rsid w:val="007A6BFF"/>
    <w:rsid w:val="007A6F18"/>
    <w:rsid w:val="007A6FC7"/>
    <w:rsid w:val="007A709D"/>
    <w:rsid w:val="007A7299"/>
    <w:rsid w:val="007A738A"/>
    <w:rsid w:val="007A770B"/>
    <w:rsid w:val="007A775B"/>
    <w:rsid w:val="007A798F"/>
    <w:rsid w:val="007A79C3"/>
    <w:rsid w:val="007A7AE0"/>
    <w:rsid w:val="007A7B72"/>
    <w:rsid w:val="007A7C66"/>
    <w:rsid w:val="007A7CB6"/>
    <w:rsid w:val="007A7CF7"/>
    <w:rsid w:val="007A7DC1"/>
    <w:rsid w:val="007A7EFA"/>
    <w:rsid w:val="007B004C"/>
    <w:rsid w:val="007B00DC"/>
    <w:rsid w:val="007B01E0"/>
    <w:rsid w:val="007B0346"/>
    <w:rsid w:val="007B03F0"/>
    <w:rsid w:val="007B04F5"/>
    <w:rsid w:val="007B0833"/>
    <w:rsid w:val="007B09DB"/>
    <w:rsid w:val="007B09E7"/>
    <w:rsid w:val="007B0A16"/>
    <w:rsid w:val="007B0A68"/>
    <w:rsid w:val="007B0D08"/>
    <w:rsid w:val="007B0E69"/>
    <w:rsid w:val="007B11B8"/>
    <w:rsid w:val="007B12D1"/>
    <w:rsid w:val="007B132D"/>
    <w:rsid w:val="007B143D"/>
    <w:rsid w:val="007B147F"/>
    <w:rsid w:val="007B17CC"/>
    <w:rsid w:val="007B199F"/>
    <w:rsid w:val="007B1A82"/>
    <w:rsid w:val="007B1E77"/>
    <w:rsid w:val="007B1F35"/>
    <w:rsid w:val="007B1FD8"/>
    <w:rsid w:val="007B2315"/>
    <w:rsid w:val="007B2376"/>
    <w:rsid w:val="007B23F9"/>
    <w:rsid w:val="007B248E"/>
    <w:rsid w:val="007B25BA"/>
    <w:rsid w:val="007B2840"/>
    <w:rsid w:val="007B28F5"/>
    <w:rsid w:val="007B2AE4"/>
    <w:rsid w:val="007B2D0D"/>
    <w:rsid w:val="007B2FA6"/>
    <w:rsid w:val="007B3116"/>
    <w:rsid w:val="007B349B"/>
    <w:rsid w:val="007B3F33"/>
    <w:rsid w:val="007B3FA5"/>
    <w:rsid w:val="007B42F7"/>
    <w:rsid w:val="007B43F3"/>
    <w:rsid w:val="007B4441"/>
    <w:rsid w:val="007B451E"/>
    <w:rsid w:val="007B4551"/>
    <w:rsid w:val="007B458B"/>
    <w:rsid w:val="007B45DB"/>
    <w:rsid w:val="007B484E"/>
    <w:rsid w:val="007B48EF"/>
    <w:rsid w:val="007B4927"/>
    <w:rsid w:val="007B4BA7"/>
    <w:rsid w:val="007B51A0"/>
    <w:rsid w:val="007B51C5"/>
    <w:rsid w:val="007B5240"/>
    <w:rsid w:val="007B54E3"/>
    <w:rsid w:val="007B566C"/>
    <w:rsid w:val="007B56D6"/>
    <w:rsid w:val="007B56EB"/>
    <w:rsid w:val="007B5B9F"/>
    <w:rsid w:val="007B5BD0"/>
    <w:rsid w:val="007B600A"/>
    <w:rsid w:val="007B603A"/>
    <w:rsid w:val="007B6051"/>
    <w:rsid w:val="007B6194"/>
    <w:rsid w:val="007B624E"/>
    <w:rsid w:val="007B627F"/>
    <w:rsid w:val="007B631C"/>
    <w:rsid w:val="007B63AA"/>
    <w:rsid w:val="007B641F"/>
    <w:rsid w:val="007B64B2"/>
    <w:rsid w:val="007B65AD"/>
    <w:rsid w:val="007B6605"/>
    <w:rsid w:val="007B672E"/>
    <w:rsid w:val="007B68C9"/>
    <w:rsid w:val="007B69D8"/>
    <w:rsid w:val="007B69FC"/>
    <w:rsid w:val="007B6A5C"/>
    <w:rsid w:val="007B6B91"/>
    <w:rsid w:val="007B6D03"/>
    <w:rsid w:val="007B7075"/>
    <w:rsid w:val="007B7084"/>
    <w:rsid w:val="007B7220"/>
    <w:rsid w:val="007B72BC"/>
    <w:rsid w:val="007B75DE"/>
    <w:rsid w:val="007B76DA"/>
    <w:rsid w:val="007B7BF1"/>
    <w:rsid w:val="007B7D53"/>
    <w:rsid w:val="007B7FB5"/>
    <w:rsid w:val="007C0003"/>
    <w:rsid w:val="007C01E9"/>
    <w:rsid w:val="007C0214"/>
    <w:rsid w:val="007C07D5"/>
    <w:rsid w:val="007C09BA"/>
    <w:rsid w:val="007C0A00"/>
    <w:rsid w:val="007C0C5E"/>
    <w:rsid w:val="007C0E94"/>
    <w:rsid w:val="007C0FA4"/>
    <w:rsid w:val="007C0FBE"/>
    <w:rsid w:val="007C1103"/>
    <w:rsid w:val="007C12C3"/>
    <w:rsid w:val="007C1313"/>
    <w:rsid w:val="007C14E6"/>
    <w:rsid w:val="007C1BD4"/>
    <w:rsid w:val="007C1BE1"/>
    <w:rsid w:val="007C1CAD"/>
    <w:rsid w:val="007C1F8C"/>
    <w:rsid w:val="007C201B"/>
    <w:rsid w:val="007C21E4"/>
    <w:rsid w:val="007C2254"/>
    <w:rsid w:val="007C231B"/>
    <w:rsid w:val="007C2377"/>
    <w:rsid w:val="007C2577"/>
    <w:rsid w:val="007C2A79"/>
    <w:rsid w:val="007C2D32"/>
    <w:rsid w:val="007C33A8"/>
    <w:rsid w:val="007C38CC"/>
    <w:rsid w:val="007C3ABE"/>
    <w:rsid w:val="007C3BAD"/>
    <w:rsid w:val="007C3D35"/>
    <w:rsid w:val="007C3E2A"/>
    <w:rsid w:val="007C3EA8"/>
    <w:rsid w:val="007C3EDD"/>
    <w:rsid w:val="007C3F33"/>
    <w:rsid w:val="007C3FB6"/>
    <w:rsid w:val="007C426B"/>
    <w:rsid w:val="007C463B"/>
    <w:rsid w:val="007C47FE"/>
    <w:rsid w:val="007C4AA9"/>
    <w:rsid w:val="007C4E5C"/>
    <w:rsid w:val="007C4FB2"/>
    <w:rsid w:val="007C508A"/>
    <w:rsid w:val="007C50B6"/>
    <w:rsid w:val="007C53B8"/>
    <w:rsid w:val="007C5614"/>
    <w:rsid w:val="007C565C"/>
    <w:rsid w:val="007C5A49"/>
    <w:rsid w:val="007C5A56"/>
    <w:rsid w:val="007C5A69"/>
    <w:rsid w:val="007C5A78"/>
    <w:rsid w:val="007C5D05"/>
    <w:rsid w:val="007C5D95"/>
    <w:rsid w:val="007C5DC2"/>
    <w:rsid w:val="007C5EE0"/>
    <w:rsid w:val="007C5F8B"/>
    <w:rsid w:val="007C686B"/>
    <w:rsid w:val="007C6991"/>
    <w:rsid w:val="007C6A0D"/>
    <w:rsid w:val="007C6C82"/>
    <w:rsid w:val="007C6F11"/>
    <w:rsid w:val="007C6F2E"/>
    <w:rsid w:val="007C7322"/>
    <w:rsid w:val="007C74D9"/>
    <w:rsid w:val="007C7537"/>
    <w:rsid w:val="007C7804"/>
    <w:rsid w:val="007C7B0F"/>
    <w:rsid w:val="007C7B71"/>
    <w:rsid w:val="007C7CC9"/>
    <w:rsid w:val="007C7F08"/>
    <w:rsid w:val="007D044F"/>
    <w:rsid w:val="007D05B3"/>
    <w:rsid w:val="007D068D"/>
    <w:rsid w:val="007D08D5"/>
    <w:rsid w:val="007D094F"/>
    <w:rsid w:val="007D0B3F"/>
    <w:rsid w:val="007D0CD5"/>
    <w:rsid w:val="007D0E6B"/>
    <w:rsid w:val="007D0FB8"/>
    <w:rsid w:val="007D10D9"/>
    <w:rsid w:val="007D1104"/>
    <w:rsid w:val="007D11FB"/>
    <w:rsid w:val="007D1372"/>
    <w:rsid w:val="007D14BB"/>
    <w:rsid w:val="007D16AD"/>
    <w:rsid w:val="007D1823"/>
    <w:rsid w:val="007D18C4"/>
    <w:rsid w:val="007D1C85"/>
    <w:rsid w:val="007D207E"/>
    <w:rsid w:val="007D21E6"/>
    <w:rsid w:val="007D23B4"/>
    <w:rsid w:val="007D26E9"/>
    <w:rsid w:val="007D278B"/>
    <w:rsid w:val="007D289E"/>
    <w:rsid w:val="007D295B"/>
    <w:rsid w:val="007D2BC5"/>
    <w:rsid w:val="007D2E0B"/>
    <w:rsid w:val="007D2E3D"/>
    <w:rsid w:val="007D3240"/>
    <w:rsid w:val="007D3507"/>
    <w:rsid w:val="007D3681"/>
    <w:rsid w:val="007D3771"/>
    <w:rsid w:val="007D37AA"/>
    <w:rsid w:val="007D3A0C"/>
    <w:rsid w:val="007D3A91"/>
    <w:rsid w:val="007D3D80"/>
    <w:rsid w:val="007D3E1C"/>
    <w:rsid w:val="007D41C0"/>
    <w:rsid w:val="007D4306"/>
    <w:rsid w:val="007D4C6B"/>
    <w:rsid w:val="007D4CFF"/>
    <w:rsid w:val="007D4FEC"/>
    <w:rsid w:val="007D520D"/>
    <w:rsid w:val="007D591F"/>
    <w:rsid w:val="007D5B45"/>
    <w:rsid w:val="007D5CA7"/>
    <w:rsid w:val="007D5F58"/>
    <w:rsid w:val="007D6029"/>
    <w:rsid w:val="007D631B"/>
    <w:rsid w:val="007D6394"/>
    <w:rsid w:val="007D6614"/>
    <w:rsid w:val="007D6A5D"/>
    <w:rsid w:val="007D6F5C"/>
    <w:rsid w:val="007D71D8"/>
    <w:rsid w:val="007D73A8"/>
    <w:rsid w:val="007D7523"/>
    <w:rsid w:val="007D7605"/>
    <w:rsid w:val="007D763F"/>
    <w:rsid w:val="007D7763"/>
    <w:rsid w:val="007D7D1E"/>
    <w:rsid w:val="007D7E5B"/>
    <w:rsid w:val="007E0319"/>
    <w:rsid w:val="007E05F1"/>
    <w:rsid w:val="007E0A53"/>
    <w:rsid w:val="007E0C5C"/>
    <w:rsid w:val="007E0C95"/>
    <w:rsid w:val="007E0DF5"/>
    <w:rsid w:val="007E0E3B"/>
    <w:rsid w:val="007E0ECA"/>
    <w:rsid w:val="007E0F88"/>
    <w:rsid w:val="007E10AE"/>
    <w:rsid w:val="007E13B5"/>
    <w:rsid w:val="007E13FF"/>
    <w:rsid w:val="007E143A"/>
    <w:rsid w:val="007E1750"/>
    <w:rsid w:val="007E1A60"/>
    <w:rsid w:val="007E1AC5"/>
    <w:rsid w:val="007E1ACB"/>
    <w:rsid w:val="007E1CAE"/>
    <w:rsid w:val="007E1CDF"/>
    <w:rsid w:val="007E1D24"/>
    <w:rsid w:val="007E1D54"/>
    <w:rsid w:val="007E1E9F"/>
    <w:rsid w:val="007E24A1"/>
    <w:rsid w:val="007E2512"/>
    <w:rsid w:val="007E27E4"/>
    <w:rsid w:val="007E28C5"/>
    <w:rsid w:val="007E2B54"/>
    <w:rsid w:val="007E2F69"/>
    <w:rsid w:val="007E30F3"/>
    <w:rsid w:val="007E32CB"/>
    <w:rsid w:val="007E344F"/>
    <w:rsid w:val="007E35B0"/>
    <w:rsid w:val="007E3649"/>
    <w:rsid w:val="007E3670"/>
    <w:rsid w:val="007E3760"/>
    <w:rsid w:val="007E39DD"/>
    <w:rsid w:val="007E3B80"/>
    <w:rsid w:val="007E3C4A"/>
    <w:rsid w:val="007E3DA4"/>
    <w:rsid w:val="007E417E"/>
    <w:rsid w:val="007E434E"/>
    <w:rsid w:val="007E4621"/>
    <w:rsid w:val="007E483E"/>
    <w:rsid w:val="007E486F"/>
    <w:rsid w:val="007E4B1C"/>
    <w:rsid w:val="007E4B7F"/>
    <w:rsid w:val="007E4C24"/>
    <w:rsid w:val="007E4C41"/>
    <w:rsid w:val="007E4E5B"/>
    <w:rsid w:val="007E4FAC"/>
    <w:rsid w:val="007E4FDB"/>
    <w:rsid w:val="007E5101"/>
    <w:rsid w:val="007E550E"/>
    <w:rsid w:val="007E572D"/>
    <w:rsid w:val="007E5A2C"/>
    <w:rsid w:val="007E5CF7"/>
    <w:rsid w:val="007E5D47"/>
    <w:rsid w:val="007E5D60"/>
    <w:rsid w:val="007E5FA9"/>
    <w:rsid w:val="007E600F"/>
    <w:rsid w:val="007E6350"/>
    <w:rsid w:val="007E6465"/>
    <w:rsid w:val="007E6552"/>
    <w:rsid w:val="007E6908"/>
    <w:rsid w:val="007E69C2"/>
    <w:rsid w:val="007E6B36"/>
    <w:rsid w:val="007E6DE3"/>
    <w:rsid w:val="007E7138"/>
    <w:rsid w:val="007E74B3"/>
    <w:rsid w:val="007E74C3"/>
    <w:rsid w:val="007E756C"/>
    <w:rsid w:val="007E77F2"/>
    <w:rsid w:val="007E794E"/>
    <w:rsid w:val="007F014B"/>
    <w:rsid w:val="007F034C"/>
    <w:rsid w:val="007F06E5"/>
    <w:rsid w:val="007F06FE"/>
    <w:rsid w:val="007F1219"/>
    <w:rsid w:val="007F1446"/>
    <w:rsid w:val="007F1547"/>
    <w:rsid w:val="007F1972"/>
    <w:rsid w:val="007F1992"/>
    <w:rsid w:val="007F19A7"/>
    <w:rsid w:val="007F1A65"/>
    <w:rsid w:val="007F221D"/>
    <w:rsid w:val="007F22C9"/>
    <w:rsid w:val="007F26E6"/>
    <w:rsid w:val="007F2835"/>
    <w:rsid w:val="007F2967"/>
    <w:rsid w:val="007F2A0F"/>
    <w:rsid w:val="007F2B75"/>
    <w:rsid w:val="007F2BD6"/>
    <w:rsid w:val="007F2CA1"/>
    <w:rsid w:val="007F2E18"/>
    <w:rsid w:val="007F2ED0"/>
    <w:rsid w:val="007F2FD5"/>
    <w:rsid w:val="007F3196"/>
    <w:rsid w:val="007F31DC"/>
    <w:rsid w:val="007F323B"/>
    <w:rsid w:val="007F336D"/>
    <w:rsid w:val="007F3749"/>
    <w:rsid w:val="007F3962"/>
    <w:rsid w:val="007F39B6"/>
    <w:rsid w:val="007F3E2B"/>
    <w:rsid w:val="007F40BB"/>
    <w:rsid w:val="007F40F6"/>
    <w:rsid w:val="007F421A"/>
    <w:rsid w:val="007F432F"/>
    <w:rsid w:val="007F4380"/>
    <w:rsid w:val="007F4620"/>
    <w:rsid w:val="007F46F0"/>
    <w:rsid w:val="007F4A44"/>
    <w:rsid w:val="007F4BBF"/>
    <w:rsid w:val="007F4EFE"/>
    <w:rsid w:val="007F4F5C"/>
    <w:rsid w:val="007F5133"/>
    <w:rsid w:val="007F5278"/>
    <w:rsid w:val="007F52DB"/>
    <w:rsid w:val="007F5389"/>
    <w:rsid w:val="007F5442"/>
    <w:rsid w:val="007F54F6"/>
    <w:rsid w:val="007F550E"/>
    <w:rsid w:val="007F560F"/>
    <w:rsid w:val="007F5687"/>
    <w:rsid w:val="007F5733"/>
    <w:rsid w:val="007F5858"/>
    <w:rsid w:val="007F59B5"/>
    <w:rsid w:val="007F5FBB"/>
    <w:rsid w:val="007F6016"/>
    <w:rsid w:val="007F640D"/>
    <w:rsid w:val="007F6419"/>
    <w:rsid w:val="007F6590"/>
    <w:rsid w:val="007F65AD"/>
    <w:rsid w:val="007F6637"/>
    <w:rsid w:val="007F68E4"/>
    <w:rsid w:val="007F6B08"/>
    <w:rsid w:val="007F6BE1"/>
    <w:rsid w:val="007F6D40"/>
    <w:rsid w:val="007F6E40"/>
    <w:rsid w:val="007F71D3"/>
    <w:rsid w:val="007F72B1"/>
    <w:rsid w:val="007F742F"/>
    <w:rsid w:val="007F7445"/>
    <w:rsid w:val="007F7529"/>
    <w:rsid w:val="007F7606"/>
    <w:rsid w:val="007F78B6"/>
    <w:rsid w:val="007F7A12"/>
    <w:rsid w:val="007F7AFB"/>
    <w:rsid w:val="007F7BB9"/>
    <w:rsid w:val="007F7C32"/>
    <w:rsid w:val="007F7C56"/>
    <w:rsid w:val="007F7CC1"/>
    <w:rsid w:val="007F7D66"/>
    <w:rsid w:val="007F7E25"/>
    <w:rsid w:val="007F7E47"/>
    <w:rsid w:val="00800467"/>
    <w:rsid w:val="008008DB"/>
    <w:rsid w:val="00800994"/>
    <w:rsid w:val="00800B7F"/>
    <w:rsid w:val="00800C2D"/>
    <w:rsid w:val="00800CF7"/>
    <w:rsid w:val="00800F45"/>
    <w:rsid w:val="00800FA1"/>
    <w:rsid w:val="0080106A"/>
    <w:rsid w:val="00801217"/>
    <w:rsid w:val="0080122F"/>
    <w:rsid w:val="0080147B"/>
    <w:rsid w:val="0080148C"/>
    <w:rsid w:val="00801822"/>
    <w:rsid w:val="008018CA"/>
    <w:rsid w:val="008018E0"/>
    <w:rsid w:val="00801C8D"/>
    <w:rsid w:val="00801D54"/>
    <w:rsid w:val="00801D9E"/>
    <w:rsid w:val="00801DF8"/>
    <w:rsid w:val="00801ED6"/>
    <w:rsid w:val="00802442"/>
    <w:rsid w:val="0080250E"/>
    <w:rsid w:val="00802C14"/>
    <w:rsid w:val="00802CE7"/>
    <w:rsid w:val="00802CF1"/>
    <w:rsid w:val="00802E50"/>
    <w:rsid w:val="00802E75"/>
    <w:rsid w:val="00802F50"/>
    <w:rsid w:val="008032A6"/>
    <w:rsid w:val="00803631"/>
    <w:rsid w:val="00803689"/>
    <w:rsid w:val="008037D0"/>
    <w:rsid w:val="00803854"/>
    <w:rsid w:val="00803D29"/>
    <w:rsid w:val="00803E67"/>
    <w:rsid w:val="00803E7E"/>
    <w:rsid w:val="008040B2"/>
    <w:rsid w:val="008041FE"/>
    <w:rsid w:val="00804311"/>
    <w:rsid w:val="008044AD"/>
    <w:rsid w:val="008048C0"/>
    <w:rsid w:val="00804C72"/>
    <w:rsid w:val="00804D0D"/>
    <w:rsid w:val="00804EA2"/>
    <w:rsid w:val="00804F10"/>
    <w:rsid w:val="0080521D"/>
    <w:rsid w:val="00805273"/>
    <w:rsid w:val="008052D7"/>
    <w:rsid w:val="00805471"/>
    <w:rsid w:val="008055DB"/>
    <w:rsid w:val="00805ACA"/>
    <w:rsid w:val="00805BFB"/>
    <w:rsid w:val="00805CBC"/>
    <w:rsid w:val="00805CE0"/>
    <w:rsid w:val="0080608C"/>
    <w:rsid w:val="008063D6"/>
    <w:rsid w:val="008065AE"/>
    <w:rsid w:val="00806640"/>
    <w:rsid w:val="008067AB"/>
    <w:rsid w:val="00806918"/>
    <w:rsid w:val="00806A74"/>
    <w:rsid w:val="00806CD8"/>
    <w:rsid w:val="00806D50"/>
    <w:rsid w:val="008070B7"/>
    <w:rsid w:val="00807120"/>
    <w:rsid w:val="00807489"/>
    <w:rsid w:val="0080764C"/>
    <w:rsid w:val="00807980"/>
    <w:rsid w:val="008079B5"/>
    <w:rsid w:val="00807A9A"/>
    <w:rsid w:val="00807D27"/>
    <w:rsid w:val="00807F59"/>
    <w:rsid w:val="00807FD7"/>
    <w:rsid w:val="0081003D"/>
    <w:rsid w:val="008100A4"/>
    <w:rsid w:val="0081011D"/>
    <w:rsid w:val="00810238"/>
    <w:rsid w:val="0081045B"/>
    <w:rsid w:val="0081049D"/>
    <w:rsid w:val="00810639"/>
    <w:rsid w:val="008106B0"/>
    <w:rsid w:val="00810C27"/>
    <w:rsid w:val="00810DF5"/>
    <w:rsid w:val="00810F16"/>
    <w:rsid w:val="00811256"/>
    <w:rsid w:val="0081161A"/>
    <w:rsid w:val="008116AD"/>
    <w:rsid w:val="00811822"/>
    <w:rsid w:val="00811A43"/>
    <w:rsid w:val="00811B65"/>
    <w:rsid w:val="00811C6C"/>
    <w:rsid w:val="00811D46"/>
    <w:rsid w:val="00811DD1"/>
    <w:rsid w:val="00812353"/>
    <w:rsid w:val="008123B4"/>
    <w:rsid w:val="0081253C"/>
    <w:rsid w:val="008125B0"/>
    <w:rsid w:val="00812818"/>
    <w:rsid w:val="00812A3B"/>
    <w:rsid w:val="00813197"/>
    <w:rsid w:val="008131EB"/>
    <w:rsid w:val="00813399"/>
    <w:rsid w:val="00813426"/>
    <w:rsid w:val="00813BB6"/>
    <w:rsid w:val="00814044"/>
    <w:rsid w:val="00814522"/>
    <w:rsid w:val="00814595"/>
    <w:rsid w:val="008145E1"/>
    <w:rsid w:val="00814616"/>
    <w:rsid w:val="00814687"/>
    <w:rsid w:val="00814973"/>
    <w:rsid w:val="00814DBC"/>
    <w:rsid w:val="00814E94"/>
    <w:rsid w:val="00814FAF"/>
    <w:rsid w:val="00814FF4"/>
    <w:rsid w:val="00815054"/>
    <w:rsid w:val="008150E7"/>
    <w:rsid w:val="00815158"/>
    <w:rsid w:val="008151B0"/>
    <w:rsid w:val="00815249"/>
    <w:rsid w:val="00815488"/>
    <w:rsid w:val="0081580F"/>
    <w:rsid w:val="00815B2A"/>
    <w:rsid w:val="00815E6A"/>
    <w:rsid w:val="0081614E"/>
    <w:rsid w:val="0081633A"/>
    <w:rsid w:val="0081646D"/>
    <w:rsid w:val="008166A9"/>
    <w:rsid w:val="008166DC"/>
    <w:rsid w:val="00816988"/>
    <w:rsid w:val="008169C1"/>
    <w:rsid w:val="00816CF4"/>
    <w:rsid w:val="00816DE7"/>
    <w:rsid w:val="00816E27"/>
    <w:rsid w:val="00816FAC"/>
    <w:rsid w:val="008170E3"/>
    <w:rsid w:val="0081735D"/>
    <w:rsid w:val="00817588"/>
    <w:rsid w:val="008178A2"/>
    <w:rsid w:val="00817D92"/>
    <w:rsid w:val="008200C1"/>
    <w:rsid w:val="0082013B"/>
    <w:rsid w:val="00820287"/>
    <w:rsid w:val="008203D7"/>
    <w:rsid w:val="00820447"/>
    <w:rsid w:val="00820487"/>
    <w:rsid w:val="008205B4"/>
    <w:rsid w:val="008207F6"/>
    <w:rsid w:val="008207FC"/>
    <w:rsid w:val="0082087A"/>
    <w:rsid w:val="00820990"/>
    <w:rsid w:val="008209B3"/>
    <w:rsid w:val="00820B25"/>
    <w:rsid w:val="00820E41"/>
    <w:rsid w:val="00821361"/>
    <w:rsid w:val="00821927"/>
    <w:rsid w:val="00821A4F"/>
    <w:rsid w:val="00821FBF"/>
    <w:rsid w:val="008220E2"/>
    <w:rsid w:val="008222A8"/>
    <w:rsid w:val="008223CF"/>
    <w:rsid w:val="008223EC"/>
    <w:rsid w:val="008228EB"/>
    <w:rsid w:val="00822A28"/>
    <w:rsid w:val="00822ACE"/>
    <w:rsid w:val="00822BB5"/>
    <w:rsid w:val="00822C04"/>
    <w:rsid w:val="00822CEE"/>
    <w:rsid w:val="00822DF7"/>
    <w:rsid w:val="00822F40"/>
    <w:rsid w:val="00823131"/>
    <w:rsid w:val="0082327D"/>
    <w:rsid w:val="0082342F"/>
    <w:rsid w:val="00823541"/>
    <w:rsid w:val="00823833"/>
    <w:rsid w:val="00823A3F"/>
    <w:rsid w:val="00823AFE"/>
    <w:rsid w:val="00823B11"/>
    <w:rsid w:val="00823D36"/>
    <w:rsid w:val="00823F46"/>
    <w:rsid w:val="008240D5"/>
    <w:rsid w:val="0082412E"/>
    <w:rsid w:val="00824599"/>
    <w:rsid w:val="008245B1"/>
    <w:rsid w:val="0082475C"/>
    <w:rsid w:val="008248C7"/>
    <w:rsid w:val="008249DA"/>
    <w:rsid w:val="00824AE9"/>
    <w:rsid w:val="00824DFC"/>
    <w:rsid w:val="008251B2"/>
    <w:rsid w:val="00825328"/>
    <w:rsid w:val="00825702"/>
    <w:rsid w:val="00825B8B"/>
    <w:rsid w:val="00825D1D"/>
    <w:rsid w:val="0082603E"/>
    <w:rsid w:val="00826245"/>
    <w:rsid w:val="00826543"/>
    <w:rsid w:val="0082661F"/>
    <w:rsid w:val="00826623"/>
    <w:rsid w:val="008268B4"/>
    <w:rsid w:val="008269B5"/>
    <w:rsid w:val="00826C3A"/>
    <w:rsid w:val="00826D94"/>
    <w:rsid w:val="00826F7C"/>
    <w:rsid w:val="00827101"/>
    <w:rsid w:val="0082714D"/>
    <w:rsid w:val="00827354"/>
    <w:rsid w:val="0082747C"/>
    <w:rsid w:val="008274CA"/>
    <w:rsid w:val="008275B2"/>
    <w:rsid w:val="00827974"/>
    <w:rsid w:val="00827ABF"/>
    <w:rsid w:val="00827B7B"/>
    <w:rsid w:val="00827E85"/>
    <w:rsid w:val="00827F68"/>
    <w:rsid w:val="00830076"/>
    <w:rsid w:val="008300B0"/>
    <w:rsid w:val="008302E8"/>
    <w:rsid w:val="00830444"/>
    <w:rsid w:val="008304DC"/>
    <w:rsid w:val="00830564"/>
    <w:rsid w:val="008305D3"/>
    <w:rsid w:val="00830614"/>
    <w:rsid w:val="0083061E"/>
    <w:rsid w:val="008306DC"/>
    <w:rsid w:val="008307A2"/>
    <w:rsid w:val="00830BA9"/>
    <w:rsid w:val="00830E12"/>
    <w:rsid w:val="00830E75"/>
    <w:rsid w:val="00831870"/>
    <w:rsid w:val="008318CE"/>
    <w:rsid w:val="008318FC"/>
    <w:rsid w:val="008319A0"/>
    <w:rsid w:val="00831D4E"/>
    <w:rsid w:val="00831DA5"/>
    <w:rsid w:val="00831E95"/>
    <w:rsid w:val="008323F7"/>
    <w:rsid w:val="0083270D"/>
    <w:rsid w:val="00832846"/>
    <w:rsid w:val="0083288D"/>
    <w:rsid w:val="00832999"/>
    <w:rsid w:val="00832C9C"/>
    <w:rsid w:val="00832D86"/>
    <w:rsid w:val="00832FB0"/>
    <w:rsid w:val="0083305E"/>
    <w:rsid w:val="008331A9"/>
    <w:rsid w:val="008332CA"/>
    <w:rsid w:val="008333B5"/>
    <w:rsid w:val="00833510"/>
    <w:rsid w:val="0083360D"/>
    <w:rsid w:val="0083380D"/>
    <w:rsid w:val="008338DC"/>
    <w:rsid w:val="00833A2B"/>
    <w:rsid w:val="00833B3D"/>
    <w:rsid w:val="00833C18"/>
    <w:rsid w:val="00833C29"/>
    <w:rsid w:val="00833E00"/>
    <w:rsid w:val="00833F90"/>
    <w:rsid w:val="00833FEB"/>
    <w:rsid w:val="0083412A"/>
    <w:rsid w:val="0083436C"/>
    <w:rsid w:val="008346F5"/>
    <w:rsid w:val="00834938"/>
    <w:rsid w:val="008349AE"/>
    <w:rsid w:val="00834C94"/>
    <w:rsid w:val="008351CB"/>
    <w:rsid w:val="008351E3"/>
    <w:rsid w:val="00835349"/>
    <w:rsid w:val="00835424"/>
    <w:rsid w:val="0083563A"/>
    <w:rsid w:val="00835650"/>
    <w:rsid w:val="00835E02"/>
    <w:rsid w:val="00835F95"/>
    <w:rsid w:val="00835FF5"/>
    <w:rsid w:val="0083621A"/>
    <w:rsid w:val="008362AD"/>
    <w:rsid w:val="0083641D"/>
    <w:rsid w:val="00836448"/>
    <w:rsid w:val="008364E2"/>
    <w:rsid w:val="00836665"/>
    <w:rsid w:val="0083678D"/>
    <w:rsid w:val="0083682E"/>
    <w:rsid w:val="0083693B"/>
    <w:rsid w:val="008369DA"/>
    <w:rsid w:val="008370E3"/>
    <w:rsid w:val="0083743D"/>
    <w:rsid w:val="008376D9"/>
    <w:rsid w:val="00837836"/>
    <w:rsid w:val="00837886"/>
    <w:rsid w:val="00837971"/>
    <w:rsid w:val="00837A20"/>
    <w:rsid w:val="00837A4C"/>
    <w:rsid w:val="00837A6A"/>
    <w:rsid w:val="00837BB7"/>
    <w:rsid w:val="00837BE5"/>
    <w:rsid w:val="00837FFD"/>
    <w:rsid w:val="008400C2"/>
    <w:rsid w:val="008400D1"/>
    <w:rsid w:val="00840500"/>
    <w:rsid w:val="0084070D"/>
    <w:rsid w:val="00840B3D"/>
    <w:rsid w:val="00840B89"/>
    <w:rsid w:val="00840F56"/>
    <w:rsid w:val="00841039"/>
    <w:rsid w:val="00841058"/>
    <w:rsid w:val="008410F9"/>
    <w:rsid w:val="00841366"/>
    <w:rsid w:val="00841594"/>
    <w:rsid w:val="008418E2"/>
    <w:rsid w:val="00841ADA"/>
    <w:rsid w:val="00841D2C"/>
    <w:rsid w:val="00841F09"/>
    <w:rsid w:val="00842027"/>
    <w:rsid w:val="00842262"/>
    <w:rsid w:val="0084236F"/>
    <w:rsid w:val="008423F8"/>
    <w:rsid w:val="00842BCC"/>
    <w:rsid w:val="00842BEF"/>
    <w:rsid w:val="00842E49"/>
    <w:rsid w:val="00842ED8"/>
    <w:rsid w:val="00842F0C"/>
    <w:rsid w:val="0084302A"/>
    <w:rsid w:val="00843289"/>
    <w:rsid w:val="008434D8"/>
    <w:rsid w:val="0084351A"/>
    <w:rsid w:val="008436F3"/>
    <w:rsid w:val="00843814"/>
    <w:rsid w:val="00843C11"/>
    <w:rsid w:val="00843CA8"/>
    <w:rsid w:val="008441AC"/>
    <w:rsid w:val="00844313"/>
    <w:rsid w:val="00844600"/>
    <w:rsid w:val="00844752"/>
    <w:rsid w:val="00844753"/>
    <w:rsid w:val="008448B8"/>
    <w:rsid w:val="00844BE8"/>
    <w:rsid w:val="00844E04"/>
    <w:rsid w:val="008451E2"/>
    <w:rsid w:val="008452AF"/>
    <w:rsid w:val="008456AF"/>
    <w:rsid w:val="00845928"/>
    <w:rsid w:val="00845AB5"/>
    <w:rsid w:val="00845D45"/>
    <w:rsid w:val="00845DB9"/>
    <w:rsid w:val="00845F9F"/>
    <w:rsid w:val="008460CF"/>
    <w:rsid w:val="0084646E"/>
    <w:rsid w:val="00846503"/>
    <w:rsid w:val="00846590"/>
    <w:rsid w:val="0084679E"/>
    <w:rsid w:val="0084681A"/>
    <w:rsid w:val="00846BAD"/>
    <w:rsid w:val="00846BE9"/>
    <w:rsid w:val="00846D1B"/>
    <w:rsid w:val="00846D3F"/>
    <w:rsid w:val="00847170"/>
    <w:rsid w:val="0084731A"/>
    <w:rsid w:val="00847449"/>
    <w:rsid w:val="00847514"/>
    <w:rsid w:val="008477F5"/>
    <w:rsid w:val="00847A10"/>
    <w:rsid w:val="00847CA6"/>
    <w:rsid w:val="00847F83"/>
    <w:rsid w:val="0085012E"/>
    <w:rsid w:val="00850130"/>
    <w:rsid w:val="008501E0"/>
    <w:rsid w:val="0085020B"/>
    <w:rsid w:val="008504AF"/>
    <w:rsid w:val="00850605"/>
    <w:rsid w:val="00850672"/>
    <w:rsid w:val="0085076B"/>
    <w:rsid w:val="00850C17"/>
    <w:rsid w:val="00850D42"/>
    <w:rsid w:val="00850EC6"/>
    <w:rsid w:val="0085123B"/>
    <w:rsid w:val="0085132B"/>
    <w:rsid w:val="00851392"/>
    <w:rsid w:val="00851495"/>
    <w:rsid w:val="008515B2"/>
    <w:rsid w:val="00851639"/>
    <w:rsid w:val="00851830"/>
    <w:rsid w:val="008518D0"/>
    <w:rsid w:val="00851914"/>
    <w:rsid w:val="0085191E"/>
    <w:rsid w:val="00851945"/>
    <w:rsid w:val="00851A31"/>
    <w:rsid w:val="00851B1B"/>
    <w:rsid w:val="00851B64"/>
    <w:rsid w:val="00851CD0"/>
    <w:rsid w:val="008520BE"/>
    <w:rsid w:val="00852128"/>
    <w:rsid w:val="0085213A"/>
    <w:rsid w:val="0085221C"/>
    <w:rsid w:val="00852941"/>
    <w:rsid w:val="008529A5"/>
    <w:rsid w:val="00852A8B"/>
    <w:rsid w:val="00852C6A"/>
    <w:rsid w:val="00852E43"/>
    <w:rsid w:val="00852EAA"/>
    <w:rsid w:val="00852F97"/>
    <w:rsid w:val="0085306D"/>
    <w:rsid w:val="00853319"/>
    <w:rsid w:val="008533FF"/>
    <w:rsid w:val="0085344B"/>
    <w:rsid w:val="008534E9"/>
    <w:rsid w:val="008534F0"/>
    <w:rsid w:val="008537C7"/>
    <w:rsid w:val="00853E0C"/>
    <w:rsid w:val="00853E5B"/>
    <w:rsid w:val="00853F35"/>
    <w:rsid w:val="0085420D"/>
    <w:rsid w:val="008543FB"/>
    <w:rsid w:val="00854499"/>
    <w:rsid w:val="008544D6"/>
    <w:rsid w:val="00854522"/>
    <w:rsid w:val="00854ADD"/>
    <w:rsid w:val="00854EEA"/>
    <w:rsid w:val="008550E4"/>
    <w:rsid w:val="00855161"/>
    <w:rsid w:val="00855173"/>
    <w:rsid w:val="008554F1"/>
    <w:rsid w:val="008558CA"/>
    <w:rsid w:val="008558FB"/>
    <w:rsid w:val="00855983"/>
    <w:rsid w:val="00855994"/>
    <w:rsid w:val="00855AD9"/>
    <w:rsid w:val="00855B20"/>
    <w:rsid w:val="00855EAB"/>
    <w:rsid w:val="00855EDD"/>
    <w:rsid w:val="00855EE2"/>
    <w:rsid w:val="008562C0"/>
    <w:rsid w:val="008562CC"/>
    <w:rsid w:val="0085655F"/>
    <w:rsid w:val="00856925"/>
    <w:rsid w:val="00856A0D"/>
    <w:rsid w:val="00856B71"/>
    <w:rsid w:val="00856C1A"/>
    <w:rsid w:val="00856C9D"/>
    <w:rsid w:val="00856CE6"/>
    <w:rsid w:val="00857397"/>
    <w:rsid w:val="008573D8"/>
    <w:rsid w:val="00857525"/>
    <w:rsid w:val="00857543"/>
    <w:rsid w:val="008575A9"/>
    <w:rsid w:val="008575F5"/>
    <w:rsid w:val="0085770D"/>
    <w:rsid w:val="00857718"/>
    <w:rsid w:val="00857732"/>
    <w:rsid w:val="008579C7"/>
    <w:rsid w:val="00857A5F"/>
    <w:rsid w:val="00857AEC"/>
    <w:rsid w:val="00857BBA"/>
    <w:rsid w:val="00857CF3"/>
    <w:rsid w:val="00857D00"/>
    <w:rsid w:val="00857E4B"/>
    <w:rsid w:val="00857F50"/>
    <w:rsid w:val="0086002E"/>
    <w:rsid w:val="008600FE"/>
    <w:rsid w:val="008601AD"/>
    <w:rsid w:val="008602D0"/>
    <w:rsid w:val="008603E0"/>
    <w:rsid w:val="008604F7"/>
    <w:rsid w:val="008606FC"/>
    <w:rsid w:val="00860772"/>
    <w:rsid w:val="0086077F"/>
    <w:rsid w:val="00860860"/>
    <w:rsid w:val="00860BEB"/>
    <w:rsid w:val="00860E60"/>
    <w:rsid w:val="00860EF8"/>
    <w:rsid w:val="00860F2A"/>
    <w:rsid w:val="00861158"/>
    <w:rsid w:val="00861469"/>
    <w:rsid w:val="008617AE"/>
    <w:rsid w:val="008617B4"/>
    <w:rsid w:val="0086182A"/>
    <w:rsid w:val="0086187E"/>
    <w:rsid w:val="00861C74"/>
    <w:rsid w:val="00862166"/>
    <w:rsid w:val="008621B9"/>
    <w:rsid w:val="0086223D"/>
    <w:rsid w:val="0086253C"/>
    <w:rsid w:val="008625C6"/>
    <w:rsid w:val="0086270C"/>
    <w:rsid w:val="00862915"/>
    <w:rsid w:val="008629AC"/>
    <w:rsid w:val="00862AF2"/>
    <w:rsid w:val="0086307E"/>
    <w:rsid w:val="008632AA"/>
    <w:rsid w:val="0086344E"/>
    <w:rsid w:val="008634C9"/>
    <w:rsid w:val="00863617"/>
    <w:rsid w:val="0086362F"/>
    <w:rsid w:val="008639B0"/>
    <w:rsid w:val="00863B6D"/>
    <w:rsid w:val="00863ED4"/>
    <w:rsid w:val="008640C9"/>
    <w:rsid w:val="00864349"/>
    <w:rsid w:val="00864528"/>
    <w:rsid w:val="008645AA"/>
    <w:rsid w:val="008646D2"/>
    <w:rsid w:val="00864706"/>
    <w:rsid w:val="008647E7"/>
    <w:rsid w:val="0086491B"/>
    <w:rsid w:val="00864C84"/>
    <w:rsid w:val="00864C97"/>
    <w:rsid w:val="00864D10"/>
    <w:rsid w:val="00864E98"/>
    <w:rsid w:val="00864EF0"/>
    <w:rsid w:val="00865071"/>
    <w:rsid w:val="00865498"/>
    <w:rsid w:val="008654A1"/>
    <w:rsid w:val="00865681"/>
    <w:rsid w:val="0086571D"/>
    <w:rsid w:val="00865764"/>
    <w:rsid w:val="00865CBA"/>
    <w:rsid w:val="00865D41"/>
    <w:rsid w:val="00865DFC"/>
    <w:rsid w:val="00865E58"/>
    <w:rsid w:val="00865E97"/>
    <w:rsid w:val="0086613A"/>
    <w:rsid w:val="0086628C"/>
    <w:rsid w:val="008663FD"/>
    <w:rsid w:val="008664E4"/>
    <w:rsid w:val="00866569"/>
    <w:rsid w:val="008665AC"/>
    <w:rsid w:val="0086678A"/>
    <w:rsid w:val="008669A8"/>
    <w:rsid w:val="00866A08"/>
    <w:rsid w:val="00866A25"/>
    <w:rsid w:val="00866A65"/>
    <w:rsid w:val="00866FC0"/>
    <w:rsid w:val="00867207"/>
    <w:rsid w:val="008676C4"/>
    <w:rsid w:val="0086780C"/>
    <w:rsid w:val="00867AB8"/>
    <w:rsid w:val="00867ABC"/>
    <w:rsid w:val="00867B81"/>
    <w:rsid w:val="00867C5E"/>
    <w:rsid w:val="00867C89"/>
    <w:rsid w:val="00867D5B"/>
    <w:rsid w:val="00867E4D"/>
    <w:rsid w:val="0086A926"/>
    <w:rsid w:val="00870272"/>
    <w:rsid w:val="0087035D"/>
    <w:rsid w:val="008704D2"/>
    <w:rsid w:val="008704DD"/>
    <w:rsid w:val="00870548"/>
    <w:rsid w:val="008705DE"/>
    <w:rsid w:val="00870627"/>
    <w:rsid w:val="0087069D"/>
    <w:rsid w:val="008708EE"/>
    <w:rsid w:val="0087093E"/>
    <w:rsid w:val="00870968"/>
    <w:rsid w:val="008709AF"/>
    <w:rsid w:val="00870A05"/>
    <w:rsid w:val="00870A15"/>
    <w:rsid w:val="00870B7F"/>
    <w:rsid w:val="00871169"/>
    <w:rsid w:val="008712BB"/>
    <w:rsid w:val="0087140A"/>
    <w:rsid w:val="0087162C"/>
    <w:rsid w:val="008716C9"/>
    <w:rsid w:val="00871B40"/>
    <w:rsid w:val="0087240A"/>
    <w:rsid w:val="00872418"/>
    <w:rsid w:val="00872446"/>
    <w:rsid w:val="008724F8"/>
    <w:rsid w:val="0087276A"/>
    <w:rsid w:val="008727EE"/>
    <w:rsid w:val="00872A55"/>
    <w:rsid w:val="00872D20"/>
    <w:rsid w:val="00872FAA"/>
    <w:rsid w:val="00873024"/>
    <w:rsid w:val="00873195"/>
    <w:rsid w:val="008733E5"/>
    <w:rsid w:val="00873528"/>
    <w:rsid w:val="00873AE1"/>
    <w:rsid w:val="00873B54"/>
    <w:rsid w:val="00873BC0"/>
    <w:rsid w:val="00873C37"/>
    <w:rsid w:val="0087429F"/>
    <w:rsid w:val="008745CB"/>
    <w:rsid w:val="0087482A"/>
    <w:rsid w:val="00874A43"/>
    <w:rsid w:val="00874BA4"/>
    <w:rsid w:val="00874BB5"/>
    <w:rsid w:val="00874C4E"/>
    <w:rsid w:val="00874E62"/>
    <w:rsid w:val="00874EA5"/>
    <w:rsid w:val="00874FBF"/>
    <w:rsid w:val="00875009"/>
    <w:rsid w:val="0087502A"/>
    <w:rsid w:val="00875097"/>
    <w:rsid w:val="0087529C"/>
    <w:rsid w:val="0087540B"/>
    <w:rsid w:val="0087555E"/>
    <w:rsid w:val="008758EE"/>
    <w:rsid w:val="00875AFC"/>
    <w:rsid w:val="00875BE4"/>
    <w:rsid w:val="00875D67"/>
    <w:rsid w:val="00875E77"/>
    <w:rsid w:val="00875EB3"/>
    <w:rsid w:val="00876132"/>
    <w:rsid w:val="00876188"/>
    <w:rsid w:val="0087628A"/>
    <w:rsid w:val="0087629D"/>
    <w:rsid w:val="008762FA"/>
    <w:rsid w:val="00876604"/>
    <w:rsid w:val="008766F1"/>
    <w:rsid w:val="0087672A"/>
    <w:rsid w:val="0087687D"/>
    <w:rsid w:val="008769EB"/>
    <w:rsid w:val="00876AA0"/>
    <w:rsid w:val="00876B07"/>
    <w:rsid w:val="00876CDF"/>
    <w:rsid w:val="00876D6A"/>
    <w:rsid w:val="00876F3E"/>
    <w:rsid w:val="0087710A"/>
    <w:rsid w:val="0087713E"/>
    <w:rsid w:val="00877263"/>
    <w:rsid w:val="00877647"/>
    <w:rsid w:val="00877A01"/>
    <w:rsid w:val="00877AB4"/>
    <w:rsid w:val="00877B97"/>
    <w:rsid w:val="00877EF3"/>
    <w:rsid w:val="008800B5"/>
    <w:rsid w:val="00880188"/>
    <w:rsid w:val="00880454"/>
    <w:rsid w:val="00880971"/>
    <w:rsid w:val="00880A4F"/>
    <w:rsid w:val="00880B13"/>
    <w:rsid w:val="00880DB3"/>
    <w:rsid w:val="00880DE4"/>
    <w:rsid w:val="00880FB1"/>
    <w:rsid w:val="008810C8"/>
    <w:rsid w:val="008812F1"/>
    <w:rsid w:val="00881523"/>
    <w:rsid w:val="0088162C"/>
    <w:rsid w:val="008816C0"/>
    <w:rsid w:val="008819DB"/>
    <w:rsid w:val="00881C82"/>
    <w:rsid w:val="00881E1B"/>
    <w:rsid w:val="00881F06"/>
    <w:rsid w:val="00881F8C"/>
    <w:rsid w:val="00882138"/>
    <w:rsid w:val="008821F3"/>
    <w:rsid w:val="0088228C"/>
    <w:rsid w:val="0088236B"/>
    <w:rsid w:val="0088244E"/>
    <w:rsid w:val="008825D3"/>
    <w:rsid w:val="00882997"/>
    <w:rsid w:val="008829CA"/>
    <w:rsid w:val="00882AE9"/>
    <w:rsid w:val="00882D1B"/>
    <w:rsid w:val="00882E9A"/>
    <w:rsid w:val="00882EC5"/>
    <w:rsid w:val="0088320E"/>
    <w:rsid w:val="00883213"/>
    <w:rsid w:val="00883331"/>
    <w:rsid w:val="00883348"/>
    <w:rsid w:val="00883361"/>
    <w:rsid w:val="008837F2"/>
    <w:rsid w:val="008839F2"/>
    <w:rsid w:val="00883A0A"/>
    <w:rsid w:val="00883A8B"/>
    <w:rsid w:val="00883B9F"/>
    <w:rsid w:val="008841BB"/>
    <w:rsid w:val="0088426D"/>
    <w:rsid w:val="00884398"/>
    <w:rsid w:val="008846EE"/>
    <w:rsid w:val="008848C3"/>
    <w:rsid w:val="008848DC"/>
    <w:rsid w:val="00884A75"/>
    <w:rsid w:val="00884B1E"/>
    <w:rsid w:val="00884BB9"/>
    <w:rsid w:val="00884D54"/>
    <w:rsid w:val="00884D9C"/>
    <w:rsid w:val="00884EE1"/>
    <w:rsid w:val="00884F40"/>
    <w:rsid w:val="00885025"/>
    <w:rsid w:val="00885245"/>
    <w:rsid w:val="00885632"/>
    <w:rsid w:val="0088577A"/>
    <w:rsid w:val="0088578D"/>
    <w:rsid w:val="00885841"/>
    <w:rsid w:val="00885903"/>
    <w:rsid w:val="00885A44"/>
    <w:rsid w:val="00885BC5"/>
    <w:rsid w:val="00885BE4"/>
    <w:rsid w:val="00885C23"/>
    <w:rsid w:val="00885D7C"/>
    <w:rsid w:val="00885F3E"/>
    <w:rsid w:val="0088613B"/>
    <w:rsid w:val="00886257"/>
    <w:rsid w:val="008863D6"/>
    <w:rsid w:val="0088651B"/>
    <w:rsid w:val="0088676E"/>
    <w:rsid w:val="008867C1"/>
    <w:rsid w:val="008869B1"/>
    <w:rsid w:val="00886D06"/>
    <w:rsid w:val="00886DDE"/>
    <w:rsid w:val="00886E7D"/>
    <w:rsid w:val="00886EF6"/>
    <w:rsid w:val="00886F21"/>
    <w:rsid w:val="00887073"/>
    <w:rsid w:val="00887151"/>
    <w:rsid w:val="008875FF"/>
    <w:rsid w:val="008877BD"/>
    <w:rsid w:val="00887829"/>
    <w:rsid w:val="00887E24"/>
    <w:rsid w:val="00887FAD"/>
    <w:rsid w:val="0089005A"/>
    <w:rsid w:val="00890112"/>
    <w:rsid w:val="008902ED"/>
    <w:rsid w:val="008904D9"/>
    <w:rsid w:val="00890511"/>
    <w:rsid w:val="008905A6"/>
    <w:rsid w:val="00890885"/>
    <w:rsid w:val="00890988"/>
    <w:rsid w:val="00890C8F"/>
    <w:rsid w:val="00890E6B"/>
    <w:rsid w:val="00890E77"/>
    <w:rsid w:val="00890FB7"/>
    <w:rsid w:val="00891215"/>
    <w:rsid w:val="00891438"/>
    <w:rsid w:val="00891449"/>
    <w:rsid w:val="008914BC"/>
    <w:rsid w:val="008915F4"/>
    <w:rsid w:val="0089195C"/>
    <w:rsid w:val="00891BC2"/>
    <w:rsid w:val="00891D08"/>
    <w:rsid w:val="00891D93"/>
    <w:rsid w:val="00891DAF"/>
    <w:rsid w:val="00891DE2"/>
    <w:rsid w:val="00891EA0"/>
    <w:rsid w:val="00891EF9"/>
    <w:rsid w:val="00892041"/>
    <w:rsid w:val="00892060"/>
    <w:rsid w:val="0089212C"/>
    <w:rsid w:val="008922A6"/>
    <w:rsid w:val="008923FD"/>
    <w:rsid w:val="00892462"/>
    <w:rsid w:val="008925C2"/>
    <w:rsid w:val="0089276D"/>
    <w:rsid w:val="00892AAC"/>
    <w:rsid w:val="00892C31"/>
    <w:rsid w:val="00892CED"/>
    <w:rsid w:val="00893026"/>
    <w:rsid w:val="008936CB"/>
    <w:rsid w:val="008939F5"/>
    <w:rsid w:val="00893B33"/>
    <w:rsid w:val="00893D80"/>
    <w:rsid w:val="00893D8F"/>
    <w:rsid w:val="00893D95"/>
    <w:rsid w:val="00893E59"/>
    <w:rsid w:val="00893E85"/>
    <w:rsid w:val="008940DB"/>
    <w:rsid w:val="008942BB"/>
    <w:rsid w:val="0089431B"/>
    <w:rsid w:val="00894385"/>
    <w:rsid w:val="008944B2"/>
    <w:rsid w:val="008944C3"/>
    <w:rsid w:val="0089455A"/>
    <w:rsid w:val="00894941"/>
    <w:rsid w:val="00894B9B"/>
    <w:rsid w:val="00894D17"/>
    <w:rsid w:val="00894F53"/>
    <w:rsid w:val="0089507B"/>
    <w:rsid w:val="0089534B"/>
    <w:rsid w:val="00895581"/>
    <w:rsid w:val="008959B7"/>
    <w:rsid w:val="00895A50"/>
    <w:rsid w:val="00895A6E"/>
    <w:rsid w:val="00895D56"/>
    <w:rsid w:val="00895E06"/>
    <w:rsid w:val="008961B4"/>
    <w:rsid w:val="0089631B"/>
    <w:rsid w:val="008965FE"/>
    <w:rsid w:val="0089684A"/>
    <w:rsid w:val="008968B1"/>
    <w:rsid w:val="00896A73"/>
    <w:rsid w:val="008970A6"/>
    <w:rsid w:val="00897116"/>
    <w:rsid w:val="0089733C"/>
    <w:rsid w:val="00897686"/>
    <w:rsid w:val="008977F7"/>
    <w:rsid w:val="00897827"/>
    <w:rsid w:val="008978E1"/>
    <w:rsid w:val="00897A48"/>
    <w:rsid w:val="00897B32"/>
    <w:rsid w:val="00897B72"/>
    <w:rsid w:val="00897DDA"/>
    <w:rsid w:val="008A0364"/>
    <w:rsid w:val="008A0674"/>
    <w:rsid w:val="008A06BC"/>
    <w:rsid w:val="008A06F1"/>
    <w:rsid w:val="008A0710"/>
    <w:rsid w:val="008A072A"/>
    <w:rsid w:val="008A093E"/>
    <w:rsid w:val="008A098A"/>
    <w:rsid w:val="008A0D61"/>
    <w:rsid w:val="008A0E05"/>
    <w:rsid w:val="008A10BD"/>
    <w:rsid w:val="008A12F1"/>
    <w:rsid w:val="008A156F"/>
    <w:rsid w:val="008A15A2"/>
    <w:rsid w:val="008A17E1"/>
    <w:rsid w:val="008A1893"/>
    <w:rsid w:val="008A1E72"/>
    <w:rsid w:val="008A2157"/>
    <w:rsid w:val="008A2207"/>
    <w:rsid w:val="008A224F"/>
    <w:rsid w:val="008A23C5"/>
    <w:rsid w:val="008A243E"/>
    <w:rsid w:val="008A2708"/>
    <w:rsid w:val="008A2821"/>
    <w:rsid w:val="008A2CBF"/>
    <w:rsid w:val="008A2FE8"/>
    <w:rsid w:val="008A31FC"/>
    <w:rsid w:val="008A3265"/>
    <w:rsid w:val="008A3591"/>
    <w:rsid w:val="008A367B"/>
    <w:rsid w:val="008A3A04"/>
    <w:rsid w:val="008A3A3B"/>
    <w:rsid w:val="008A3D3B"/>
    <w:rsid w:val="008A3D40"/>
    <w:rsid w:val="008A3E4E"/>
    <w:rsid w:val="008A4257"/>
    <w:rsid w:val="008A4388"/>
    <w:rsid w:val="008A4836"/>
    <w:rsid w:val="008A48CD"/>
    <w:rsid w:val="008A4907"/>
    <w:rsid w:val="008A4930"/>
    <w:rsid w:val="008A49A8"/>
    <w:rsid w:val="008A4B84"/>
    <w:rsid w:val="008A4CAE"/>
    <w:rsid w:val="008A4D86"/>
    <w:rsid w:val="008A4E47"/>
    <w:rsid w:val="008A5047"/>
    <w:rsid w:val="008A5172"/>
    <w:rsid w:val="008A51EC"/>
    <w:rsid w:val="008A526A"/>
    <w:rsid w:val="008A5286"/>
    <w:rsid w:val="008A529A"/>
    <w:rsid w:val="008A52BD"/>
    <w:rsid w:val="008A5473"/>
    <w:rsid w:val="008A5494"/>
    <w:rsid w:val="008A55B0"/>
    <w:rsid w:val="008A55F2"/>
    <w:rsid w:val="008A56B2"/>
    <w:rsid w:val="008A570B"/>
    <w:rsid w:val="008A578C"/>
    <w:rsid w:val="008A57AA"/>
    <w:rsid w:val="008A5E0F"/>
    <w:rsid w:val="008A607B"/>
    <w:rsid w:val="008A61E0"/>
    <w:rsid w:val="008A64E7"/>
    <w:rsid w:val="008A65A6"/>
    <w:rsid w:val="008A65D6"/>
    <w:rsid w:val="008A665D"/>
    <w:rsid w:val="008A684C"/>
    <w:rsid w:val="008A6F02"/>
    <w:rsid w:val="008A7084"/>
    <w:rsid w:val="008A720E"/>
    <w:rsid w:val="008A7338"/>
    <w:rsid w:val="008A7411"/>
    <w:rsid w:val="008A74D3"/>
    <w:rsid w:val="008A75B0"/>
    <w:rsid w:val="008A7B5C"/>
    <w:rsid w:val="008A7DC0"/>
    <w:rsid w:val="008A7FB9"/>
    <w:rsid w:val="008B0009"/>
    <w:rsid w:val="008B016A"/>
    <w:rsid w:val="008B016E"/>
    <w:rsid w:val="008B026D"/>
    <w:rsid w:val="008B089C"/>
    <w:rsid w:val="008B0984"/>
    <w:rsid w:val="008B0AC7"/>
    <w:rsid w:val="008B0B50"/>
    <w:rsid w:val="008B0C3E"/>
    <w:rsid w:val="008B0DC1"/>
    <w:rsid w:val="008B0E5F"/>
    <w:rsid w:val="008B1003"/>
    <w:rsid w:val="008B1056"/>
    <w:rsid w:val="008B12F1"/>
    <w:rsid w:val="008B149D"/>
    <w:rsid w:val="008B14BE"/>
    <w:rsid w:val="008B161F"/>
    <w:rsid w:val="008B1810"/>
    <w:rsid w:val="008B185A"/>
    <w:rsid w:val="008B1906"/>
    <w:rsid w:val="008B1BE3"/>
    <w:rsid w:val="008B1DCA"/>
    <w:rsid w:val="008B1E4C"/>
    <w:rsid w:val="008B2018"/>
    <w:rsid w:val="008B2642"/>
    <w:rsid w:val="008B277E"/>
    <w:rsid w:val="008B28BF"/>
    <w:rsid w:val="008B2AED"/>
    <w:rsid w:val="008B2C94"/>
    <w:rsid w:val="008B2EAB"/>
    <w:rsid w:val="008B342A"/>
    <w:rsid w:val="008B3494"/>
    <w:rsid w:val="008B34D3"/>
    <w:rsid w:val="008B34EF"/>
    <w:rsid w:val="008B38BA"/>
    <w:rsid w:val="008B3AEB"/>
    <w:rsid w:val="008B3E17"/>
    <w:rsid w:val="008B3F52"/>
    <w:rsid w:val="008B3F88"/>
    <w:rsid w:val="008B3FB1"/>
    <w:rsid w:val="008B4135"/>
    <w:rsid w:val="008B416F"/>
    <w:rsid w:val="008B426A"/>
    <w:rsid w:val="008B4343"/>
    <w:rsid w:val="008B43DD"/>
    <w:rsid w:val="008B4412"/>
    <w:rsid w:val="008B472F"/>
    <w:rsid w:val="008B47AC"/>
    <w:rsid w:val="008B47B4"/>
    <w:rsid w:val="008B48CF"/>
    <w:rsid w:val="008B48D0"/>
    <w:rsid w:val="008B496B"/>
    <w:rsid w:val="008B49AD"/>
    <w:rsid w:val="008B49EC"/>
    <w:rsid w:val="008B4DF9"/>
    <w:rsid w:val="008B4E5C"/>
    <w:rsid w:val="008B4EE6"/>
    <w:rsid w:val="008B4F6B"/>
    <w:rsid w:val="008B526C"/>
    <w:rsid w:val="008B54D8"/>
    <w:rsid w:val="008B5B07"/>
    <w:rsid w:val="008B5CAF"/>
    <w:rsid w:val="008B61D5"/>
    <w:rsid w:val="008B6383"/>
    <w:rsid w:val="008B6477"/>
    <w:rsid w:val="008B6567"/>
    <w:rsid w:val="008B65EB"/>
    <w:rsid w:val="008B666F"/>
    <w:rsid w:val="008B6675"/>
    <w:rsid w:val="008B66DE"/>
    <w:rsid w:val="008B67C1"/>
    <w:rsid w:val="008B6BA6"/>
    <w:rsid w:val="008B6C20"/>
    <w:rsid w:val="008B6D28"/>
    <w:rsid w:val="008B6F87"/>
    <w:rsid w:val="008B73FC"/>
    <w:rsid w:val="008B73FD"/>
    <w:rsid w:val="008B76D1"/>
    <w:rsid w:val="008B76F3"/>
    <w:rsid w:val="008B7701"/>
    <w:rsid w:val="008B7959"/>
    <w:rsid w:val="008B7A28"/>
    <w:rsid w:val="008B7D35"/>
    <w:rsid w:val="008B7D98"/>
    <w:rsid w:val="008B7DF7"/>
    <w:rsid w:val="008B7E13"/>
    <w:rsid w:val="008B7EC8"/>
    <w:rsid w:val="008B7ECC"/>
    <w:rsid w:val="008C0067"/>
    <w:rsid w:val="008C0313"/>
    <w:rsid w:val="008C03AF"/>
    <w:rsid w:val="008C0423"/>
    <w:rsid w:val="008C05C8"/>
    <w:rsid w:val="008C066C"/>
    <w:rsid w:val="008C08F0"/>
    <w:rsid w:val="008C0A76"/>
    <w:rsid w:val="008C0B2C"/>
    <w:rsid w:val="008C0CBA"/>
    <w:rsid w:val="008C0E46"/>
    <w:rsid w:val="008C0FAA"/>
    <w:rsid w:val="008C105D"/>
    <w:rsid w:val="008C108B"/>
    <w:rsid w:val="008C1186"/>
    <w:rsid w:val="008C124C"/>
    <w:rsid w:val="008C12A0"/>
    <w:rsid w:val="008C13F3"/>
    <w:rsid w:val="008C14F7"/>
    <w:rsid w:val="008C1507"/>
    <w:rsid w:val="008C17E0"/>
    <w:rsid w:val="008C1814"/>
    <w:rsid w:val="008C1962"/>
    <w:rsid w:val="008C1A4D"/>
    <w:rsid w:val="008C1C40"/>
    <w:rsid w:val="008C1C6E"/>
    <w:rsid w:val="008C1CB5"/>
    <w:rsid w:val="008C1D3A"/>
    <w:rsid w:val="008C1DDA"/>
    <w:rsid w:val="008C2162"/>
    <w:rsid w:val="008C21E5"/>
    <w:rsid w:val="008C241D"/>
    <w:rsid w:val="008C256A"/>
    <w:rsid w:val="008C27B8"/>
    <w:rsid w:val="008C27E2"/>
    <w:rsid w:val="008C27E4"/>
    <w:rsid w:val="008C2AB5"/>
    <w:rsid w:val="008C3058"/>
    <w:rsid w:val="008C3066"/>
    <w:rsid w:val="008C330F"/>
    <w:rsid w:val="008C33DB"/>
    <w:rsid w:val="008C3463"/>
    <w:rsid w:val="008C36BB"/>
    <w:rsid w:val="008C373F"/>
    <w:rsid w:val="008C3854"/>
    <w:rsid w:val="008C3873"/>
    <w:rsid w:val="008C3918"/>
    <w:rsid w:val="008C3A48"/>
    <w:rsid w:val="008C3A97"/>
    <w:rsid w:val="008C3D1D"/>
    <w:rsid w:val="008C3DA5"/>
    <w:rsid w:val="008C3F9C"/>
    <w:rsid w:val="008C3FC8"/>
    <w:rsid w:val="008C40CA"/>
    <w:rsid w:val="008C40D3"/>
    <w:rsid w:val="008C40F3"/>
    <w:rsid w:val="008C476B"/>
    <w:rsid w:val="008C47D7"/>
    <w:rsid w:val="008C4B23"/>
    <w:rsid w:val="008C4BAB"/>
    <w:rsid w:val="008C4EBF"/>
    <w:rsid w:val="008C4F6E"/>
    <w:rsid w:val="008C510B"/>
    <w:rsid w:val="008C5116"/>
    <w:rsid w:val="008C5143"/>
    <w:rsid w:val="008C51E3"/>
    <w:rsid w:val="008C52FB"/>
    <w:rsid w:val="008C554C"/>
    <w:rsid w:val="008C5614"/>
    <w:rsid w:val="008C58B8"/>
    <w:rsid w:val="008C5B40"/>
    <w:rsid w:val="008C5C0F"/>
    <w:rsid w:val="008C5D93"/>
    <w:rsid w:val="008C5E21"/>
    <w:rsid w:val="008C5FAB"/>
    <w:rsid w:val="008C6031"/>
    <w:rsid w:val="008C62C3"/>
    <w:rsid w:val="008C671A"/>
    <w:rsid w:val="008C6804"/>
    <w:rsid w:val="008C68B4"/>
    <w:rsid w:val="008C69DE"/>
    <w:rsid w:val="008C6B2D"/>
    <w:rsid w:val="008C6EB3"/>
    <w:rsid w:val="008C6ECB"/>
    <w:rsid w:val="008C710C"/>
    <w:rsid w:val="008C73BF"/>
    <w:rsid w:val="008C74E5"/>
    <w:rsid w:val="008C754C"/>
    <w:rsid w:val="008C76AA"/>
    <w:rsid w:val="008C7A0C"/>
    <w:rsid w:val="008C7BF0"/>
    <w:rsid w:val="008C7C72"/>
    <w:rsid w:val="008C7CAA"/>
    <w:rsid w:val="008C7F31"/>
    <w:rsid w:val="008D007B"/>
    <w:rsid w:val="008D016C"/>
    <w:rsid w:val="008D0229"/>
    <w:rsid w:val="008D07CE"/>
    <w:rsid w:val="008D0AAB"/>
    <w:rsid w:val="008D0AC0"/>
    <w:rsid w:val="008D0B5F"/>
    <w:rsid w:val="008D0BC6"/>
    <w:rsid w:val="008D0CBA"/>
    <w:rsid w:val="008D0CC2"/>
    <w:rsid w:val="008D0E47"/>
    <w:rsid w:val="008D0E6D"/>
    <w:rsid w:val="008D0F4C"/>
    <w:rsid w:val="008D0F62"/>
    <w:rsid w:val="008D1054"/>
    <w:rsid w:val="008D11AE"/>
    <w:rsid w:val="008D1246"/>
    <w:rsid w:val="008D1277"/>
    <w:rsid w:val="008D1288"/>
    <w:rsid w:val="008D1317"/>
    <w:rsid w:val="008D1356"/>
    <w:rsid w:val="008D13A9"/>
    <w:rsid w:val="008D1431"/>
    <w:rsid w:val="008D1579"/>
    <w:rsid w:val="008D15A6"/>
    <w:rsid w:val="008D166C"/>
    <w:rsid w:val="008D1BCF"/>
    <w:rsid w:val="008D1BDE"/>
    <w:rsid w:val="008D1C31"/>
    <w:rsid w:val="008D1D09"/>
    <w:rsid w:val="008D1D6F"/>
    <w:rsid w:val="008D1F3C"/>
    <w:rsid w:val="008D201C"/>
    <w:rsid w:val="008D21A2"/>
    <w:rsid w:val="008D23B5"/>
    <w:rsid w:val="008D23CA"/>
    <w:rsid w:val="008D23CC"/>
    <w:rsid w:val="008D23D2"/>
    <w:rsid w:val="008D254E"/>
    <w:rsid w:val="008D256F"/>
    <w:rsid w:val="008D2668"/>
    <w:rsid w:val="008D27BB"/>
    <w:rsid w:val="008D27CE"/>
    <w:rsid w:val="008D2C72"/>
    <w:rsid w:val="008D2C8C"/>
    <w:rsid w:val="008D2F1F"/>
    <w:rsid w:val="008D2F32"/>
    <w:rsid w:val="008D30BF"/>
    <w:rsid w:val="008D30DC"/>
    <w:rsid w:val="008D3252"/>
    <w:rsid w:val="008D3446"/>
    <w:rsid w:val="008D3651"/>
    <w:rsid w:val="008D370F"/>
    <w:rsid w:val="008D3860"/>
    <w:rsid w:val="008D399A"/>
    <w:rsid w:val="008D39D9"/>
    <w:rsid w:val="008D3B1B"/>
    <w:rsid w:val="008D3BF9"/>
    <w:rsid w:val="008D3C8C"/>
    <w:rsid w:val="008D3E1B"/>
    <w:rsid w:val="008D3F73"/>
    <w:rsid w:val="008D3FA4"/>
    <w:rsid w:val="008D3FC1"/>
    <w:rsid w:val="008D3FCB"/>
    <w:rsid w:val="008D4A4A"/>
    <w:rsid w:val="008D4BCC"/>
    <w:rsid w:val="008D4DF7"/>
    <w:rsid w:val="008D4E4A"/>
    <w:rsid w:val="008D4F44"/>
    <w:rsid w:val="008D5023"/>
    <w:rsid w:val="008D5124"/>
    <w:rsid w:val="008D52FA"/>
    <w:rsid w:val="008D5490"/>
    <w:rsid w:val="008D570A"/>
    <w:rsid w:val="008D5B09"/>
    <w:rsid w:val="008D5B1C"/>
    <w:rsid w:val="008D5BF0"/>
    <w:rsid w:val="008D5D24"/>
    <w:rsid w:val="008D6171"/>
    <w:rsid w:val="008D6472"/>
    <w:rsid w:val="008D679C"/>
    <w:rsid w:val="008D68A4"/>
    <w:rsid w:val="008D697D"/>
    <w:rsid w:val="008D69C0"/>
    <w:rsid w:val="008D6BB4"/>
    <w:rsid w:val="008D6C16"/>
    <w:rsid w:val="008D6D67"/>
    <w:rsid w:val="008D6E18"/>
    <w:rsid w:val="008D6EE7"/>
    <w:rsid w:val="008D6EF0"/>
    <w:rsid w:val="008D7045"/>
    <w:rsid w:val="008D706C"/>
    <w:rsid w:val="008D7074"/>
    <w:rsid w:val="008D7077"/>
    <w:rsid w:val="008D70EB"/>
    <w:rsid w:val="008D71BC"/>
    <w:rsid w:val="008D7203"/>
    <w:rsid w:val="008D765F"/>
    <w:rsid w:val="008D7842"/>
    <w:rsid w:val="008D785A"/>
    <w:rsid w:val="008D7A7D"/>
    <w:rsid w:val="008D7AFD"/>
    <w:rsid w:val="008D7ED3"/>
    <w:rsid w:val="008E00B1"/>
    <w:rsid w:val="008E01A7"/>
    <w:rsid w:val="008E031E"/>
    <w:rsid w:val="008E077E"/>
    <w:rsid w:val="008E0782"/>
    <w:rsid w:val="008E0846"/>
    <w:rsid w:val="008E08AA"/>
    <w:rsid w:val="008E0C74"/>
    <w:rsid w:val="008E0DF8"/>
    <w:rsid w:val="008E0E76"/>
    <w:rsid w:val="008E1021"/>
    <w:rsid w:val="008E1077"/>
    <w:rsid w:val="008E129F"/>
    <w:rsid w:val="008E152F"/>
    <w:rsid w:val="008E16D2"/>
    <w:rsid w:val="008E188E"/>
    <w:rsid w:val="008E18A9"/>
    <w:rsid w:val="008E1C11"/>
    <w:rsid w:val="008E1C74"/>
    <w:rsid w:val="008E1CF4"/>
    <w:rsid w:val="008E1F61"/>
    <w:rsid w:val="008E21D9"/>
    <w:rsid w:val="008E220D"/>
    <w:rsid w:val="008E221A"/>
    <w:rsid w:val="008E226E"/>
    <w:rsid w:val="008E2590"/>
    <w:rsid w:val="008E259F"/>
    <w:rsid w:val="008E2629"/>
    <w:rsid w:val="008E2B5F"/>
    <w:rsid w:val="008E2E67"/>
    <w:rsid w:val="008E2EB4"/>
    <w:rsid w:val="008E30DD"/>
    <w:rsid w:val="008E3267"/>
    <w:rsid w:val="008E3497"/>
    <w:rsid w:val="008E3563"/>
    <w:rsid w:val="008E3685"/>
    <w:rsid w:val="008E3783"/>
    <w:rsid w:val="008E3911"/>
    <w:rsid w:val="008E3A2D"/>
    <w:rsid w:val="008E3A67"/>
    <w:rsid w:val="008E3BA1"/>
    <w:rsid w:val="008E3BDD"/>
    <w:rsid w:val="008E3CA8"/>
    <w:rsid w:val="008E3CE2"/>
    <w:rsid w:val="008E3E84"/>
    <w:rsid w:val="008E3EC2"/>
    <w:rsid w:val="008E3F72"/>
    <w:rsid w:val="008E41C9"/>
    <w:rsid w:val="008E44D4"/>
    <w:rsid w:val="008E45B8"/>
    <w:rsid w:val="008E45F6"/>
    <w:rsid w:val="008E493B"/>
    <w:rsid w:val="008E49E6"/>
    <w:rsid w:val="008E4A64"/>
    <w:rsid w:val="008E4A92"/>
    <w:rsid w:val="008E4B62"/>
    <w:rsid w:val="008E4C71"/>
    <w:rsid w:val="008E4CA5"/>
    <w:rsid w:val="008E4CF1"/>
    <w:rsid w:val="008E4D56"/>
    <w:rsid w:val="008E4FC9"/>
    <w:rsid w:val="008E5186"/>
    <w:rsid w:val="008E51EC"/>
    <w:rsid w:val="008E561D"/>
    <w:rsid w:val="008E56D1"/>
    <w:rsid w:val="008E575E"/>
    <w:rsid w:val="008E576E"/>
    <w:rsid w:val="008E57AF"/>
    <w:rsid w:val="008E5873"/>
    <w:rsid w:val="008E59B0"/>
    <w:rsid w:val="008E5AD1"/>
    <w:rsid w:val="008E5B9E"/>
    <w:rsid w:val="008E5CBC"/>
    <w:rsid w:val="008E5D1C"/>
    <w:rsid w:val="008E5DD3"/>
    <w:rsid w:val="008E5E63"/>
    <w:rsid w:val="008E60C1"/>
    <w:rsid w:val="008E61B9"/>
    <w:rsid w:val="008E63FF"/>
    <w:rsid w:val="008E6484"/>
    <w:rsid w:val="008E670C"/>
    <w:rsid w:val="008E69AF"/>
    <w:rsid w:val="008E6A11"/>
    <w:rsid w:val="008E6E7B"/>
    <w:rsid w:val="008E6F55"/>
    <w:rsid w:val="008E7160"/>
    <w:rsid w:val="008E7164"/>
    <w:rsid w:val="008E73A8"/>
    <w:rsid w:val="008E7407"/>
    <w:rsid w:val="008E7A1F"/>
    <w:rsid w:val="008E7A30"/>
    <w:rsid w:val="008E7C43"/>
    <w:rsid w:val="008E7FD8"/>
    <w:rsid w:val="008F007D"/>
    <w:rsid w:val="008F0166"/>
    <w:rsid w:val="008F05EE"/>
    <w:rsid w:val="008F066F"/>
    <w:rsid w:val="008F07A7"/>
    <w:rsid w:val="008F096D"/>
    <w:rsid w:val="008F09FD"/>
    <w:rsid w:val="008F0DFC"/>
    <w:rsid w:val="008F0ECC"/>
    <w:rsid w:val="008F0FFE"/>
    <w:rsid w:val="008F11CB"/>
    <w:rsid w:val="008F11E1"/>
    <w:rsid w:val="008F1204"/>
    <w:rsid w:val="008F157B"/>
    <w:rsid w:val="008F1D50"/>
    <w:rsid w:val="008F1DFC"/>
    <w:rsid w:val="008F1F88"/>
    <w:rsid w:val="008F20CF"/>
    <w:rsid w:val="008F2169"/>
    <w:rsid w:val="008F216E"/>
    <w:rsid w:val="008F21AD"/>
    <w:rsid w:val="008F21F9"/>
    <w:rsid w:val="008F23D3"/>
    <w:rsid w:val="008F2613"/>
    <w:rsid w:val="008F28D5"/>
    <w:rsid w:val="008F2A1A"/>
    <w:rsid w:val="008F2A62"/>
    <w:rsid w:val="008F2BCF"/>
    <w:rsid w:val="008F2CB8"/>
    <w:rsid w:val="008F2DB9"/>
    <w:rsid w:val="008F2FE6"/>
    <w:rsid w:val="008F3164"/>
    <w:rsid w:val="008F3171"/>
    <w:rsid w:val="008F32E0"/>
    <w:rsid w:val="008F36D2"/>
    <w:rsid w:val="008F37A0"/>
    <w:rsid w:val="008F3CAC"/>
    <w:rsid w:val="008F3DC0"/>
    <w:rsid w:val="008F3F2A"/>
    <w:rsid w:val="008F3F39"/>
    <w:rsid w:val="008F4040"/>
    <w:rsid w:val="008F4372"/>
    <w:rsid w:val="008F45B4"/>
    <w:rsid w:val="008F45EF"/>
    <w:rsid w:val="008F475C"/>
    <w:rsid w:val="008F4766"/>
    <w:rsid w:val="008F48EB"/>
    <w:rsid w:val="008F49F7"/>
    <w:rsid w:val="008F4DFF"/>
    <w:rsid w:val="008F4F8E"/>
    <w:rsid w:val="008F5205"/>
    <w:rsid w:val="008F527C"/>
    <w:rsid w:val="008F554A"/>
    <w:rsid w:val="008F5571"/>
    <w:rsid w:val="008F56B4"/>
    <w:rsid w:val="008F5947"/>
    <w:rsid w:val="008F5B61"/>
    <w:rsid w:val="008F6165"/>
    <w:rsid w:val="008F621A"/>
    <w:rsid w:val="008F6539"/>
    <w:rsid w:val="008F67C6"/>
    <w:rsid w:val="008F6999"/>
    <w:rsid w:val="008F6CDE"/>
    <w:rsid w:val="008F6F37"/>
    <w:rsid w:val="008F730E"/>
    <w:rsid w:val="008F73B4"/>
    <w:rsid w:val="008F7545"/>
    <w:rsid w:val="008F761A"/>
    <w:rsid w:val="008F783C"/>
    <w:rsid w:val="008F7A21"/>
    <w:rsid w:val="008F7B6E"/>
    <w:rsid w:val="008F7C8D"/>
    <w:rsid w:val="008F7F0D"/>
    <w:rsid w:val="008F7FC8"/>
    <w:rsid w:val="0090035C"/>
    <w:rsid w:val="00900638"/>
    <w:rsid w:val="00900D1C"/>
    <w:rsid w:val="00900EE0"/>
    <w:rsid w:val="00900EF2"/>
    <w:rsid w:val="00900FF9"/>
    <w:rsid w:val="00901106"/>
    <w:rsid w:val="00901285"/>
    <w:rsid w:val="0090128D"/>
    <w:rsid w:val="00901330"/>
    <w:rsid w:val="009014C8"/>
    <w:rsid w:val="00901682"/>
    <w:rsid w:val="009018ED"/>
    <w:rsid w:val="0090194D"/>
    <w:rsid w:val="00901A6B"/>
    <w:rsid w:val="00901BA9"/>
    <w:rsid w:val="00901C56"/>
    <w:rsid w:val="00901F0A"/>
    <w:rsid w:val="00901F4F"/>
    <w:rsid w:val="00901F5E"/>
    <w:rsid w:val="00901F65"/>
    <w:rsid w:val="00902356"/>
    <w:rsid w:val="00902382"/>
    <w:rsid w:val="009023DD"/>
    <w:rsid w:val="0090240C"/>
    <w:rsid w:val="00902410"/>
    <w:rsid w:val="00902499"/>
    <w:rsid w:val="0090259D"/>
    <w:rsid w:val="009026E0"/>
    <w:rsid w:val="009026FA"/>
    <w:rsid w:val="0090274D"/>
    <w:rsid w:val="0090285E"/>
    <w:rsid w:val="00902A4C"/>
    <w:rsid w:val="00902AA7"/>
    <w:rsid w:val="00902B55"/>
    <w:rsid w:val="00902CA6"/>
    <w:rsid w:val="00902D61"/>
    <w:rsid w:val="00902D72"/>
    <w:rsid w:val="00902E94"/>
    <w:rsid w:val="00902F5A"/>
    <w:rsid w:val="00903034"/>
    <w:rsid w:val="009030F8"/>
    <w:rsid w:val="00903591"/>
    <w:rsid w:val="00903C5A"/>
    <w:rsid w:val="00903EF4"/>
    <w:rsid w:val="00903F2E"/>
    <w:rsid w:val="00903F96"/>
    <w:rsid w:val="009040E4"/>
    <w:rsid w:val="009040F4"/>
    <w:rsid w:val="00904174"/>
    <w:rsid w:val="009041AD"/>
    <w:rsid w:val="009042CE"/>
    <w:rsid w:val="00904327"/>
    <w:rsid w:val="0090438F"/>
    <w:rsid w:val="0090445A"/>
    <w:rsid w:val="00904480"/>
    <w:rsid w:val="0090450C"/>
    <w:rsid w:val="00904852"/>
    <w:rsid w:val="00904948"/>
    <w:rsid w:val="00904E27"/>
    <w:rsid w:val="0090509B"/>
    <w:rsid w:val="0090529F"/>
    <w:rsid w:val="0090534C"/>
    <w:rsid w:val="0090558A"/>
    <w:rsid w:val="009055CF"/>
    <w:rsid w:val="00905827"/>
    <w:rsid w:val="0090589A"/>
    <w:rsid w:val="00905976"/>
    <w:rsid w:val="00905F58"/>
    <w:rsid w:val="0090653E"/>
    <w:rsid w:val="009067A4"/>
    <w:rsid w:val="009067FC"/>
    <w:rsid w:val="00906930"/>
    <w:rsid w:val="0090699E"/>
    <w:rsid w:val="009069AA"/>
    <w:rsid w:val="00906A12"/>
    <w:rsid w:val="00906A2D"/>
    <w:rsid w:val="00906CF2"/>
    <w:rsid w:val="00906D71"/>
    <w:rsid w:val="0090710C"/>
    <w:rsid w:val="0090719F"/>
    <w:rsid w:val="00907542"/>
    <w:rsid w:val="00907605"/>
    <w:rsid w:val="009077EC"/>
    <w:rsid w:val="00907A3C"/>
    <w:rsid w:val="00907DAB"/>
    <w:rsid w:val="00907DDE"/>
    <w:rsid w:val="00907E24"/>
    <w:rsid w:val="00907EAE"/>
    <w:rsid w:val="00907F3A"/>
    <w:rsid w:val="00907FCD"/>
    <w:rsid w:val="00910095"/>
    <w:rsid w:val="00910168"/>
    <w:rsid w:val="009101A7"/>
    <w:rsid w:val="00910324"/>
    <w:rsid w:val="00910553"/>
    <w:rsid w:val="00910586"/>
    <w:rsid w:val="00910601"/>
    <w:rsid w:val="00910817"/>
    <w:rsid w:val="00910892"/>
    <w:rsid w:val="009109CF"/>
    <w:rsid w:val="00910B9D"/>
    <w:rsid w:val="00910F05"/>
    <w:rsid w:val="00911180"/>
    <w:rsid w:val="00911329"/>
    <w:rsid w:val="00911418"/>
    <w:rsid w:val="009114B9"/>
    <w:rsid w:val="0091169C"/>
    <w:rsid w:val="009118A7"/>
    <w:rsid w:val="00911A76"/>
    <w:rsid w:val="00911D93"/>
    <w:rsid w:val="00911F01"/>
    <w:rsid w:val="00912365"/>
    <w:rsid w:val="009123D6"/>
    <w:rsid w:val="0091289B"/>
    <w:rsid w:val="00912A35"/>
    <w:rsid w:val="00912A37"/>
    <w:rsid w:val="00912C6B"/>
    <w:rsid w:val="009130AC"/>
    <w:rsid w:val="009131DE"/>
    <w:rsid w:val="009133CB"/>
    <w:rsid w:val="00913B62"/>
    <w:rsid w:val="00913BF7"/>
    <w:rsid w:val="00913C97"/>
    <w:rsid w:val="00913FCB"/>
    <w:rsid w:val="0091409C"/>
    <w:rsid w:val="0091411D"/>
    <w:rsid w:val="00914190"/>
    <w:rsid w:val="009143E4"/>
    <w:rsid w:val="0091440C"/>
    <w:rsid w:val="00914A03"/>
    <w:rsid w:val="00914C25"/>
    <w:rsid w:val="00914D32"/>
    <w:rsid w:val="00914F17"/>
    <w:rsid w:val="00914FAA"/>
    <w:rsid w:val="00915255"/>
    <w:rsid w:val="00915784"/>
    <w:rsid w:val="009159BD"/>
    <w:rsid w:val="00915E90"/>
    <w:rsid w:val="009160DD"/>
    <w:rsid w:val="009162CB"/>
    <w:rsid w:val="009162E7"/>
    <w:rsid w:val="009163DB"/>
    <w:rsid w:val="00916515"/>
    <w:rsid w:val="009167B9"/>
    <w:rsid w:val="009168BD"/>
    <w:rsid w:val="00916B07"/>
    <w:rsid w:val="00916B79"/>
    <w:rsid w:val="00916BA5"/>
    <w:rsid w:val="00916D6B"/>
    <w:rsid w:val="00916EEA"/>
    <w:rsid w:val="00916F7C"/>
    <w:rsid w:val="00916FC2"/>
    <w:rsid w:val="00916FCA"/>
    <w:rsid w:val="0091711B"/>
    <w:rsid w:val="00917253"/>
    <w:rsid w:val="0091739B"/>
    <w:rsid w:val="009176EA"/>
    <w:rsid w:val="0091772F"/>
    <w:rsid w:val="009179DE"/>
    <w:rsid w:val="00917A5C"/>
    <w:rsid w:val="00917DB8"/>
    <w:rsid w:val="00917DFF"/>
    <w:rsid w:val="00917E67"/>
    <w:rsid w:val="00917F96"/>
    <w:rsid w:val="009206A6"/>
    <w:rsid w:val="009209DE"/>
    <w:rsid w:val="00920C9C"/>
    <w:rsid w:val="00920F07"/>
    <w:rsid w:val="009212CD"/>
    <w:rsid w:val="009212DA"/>
    <w:rsid w:val="009217C1"/>
    <w:rsid w:val="009218D1"/>
    <w:rsid w:val="00921F04"/>
    <w:rsid w:val="00922035"/>
    <w:rsid w:val="00922156"/>
    <w:rsid w:val="0092224A"/>
    <w:rsid w:val="009223FB"/>
    <w:rsid w:val="00922424"/>
    <w:rsid w:val="0092261B"/>
    <w:rsid w:val="00922995"/>
    <w:rsid w:val="00922A51"/>
    <w:rsid w:val="00922AEC"/>
    <w:rsid w:val="00922BE7"/>
    <w:rsid w:val="00922D55"/>
    <w:rsid w:val="00922D71"/>
    <w:rsid w:val="00922DDA"/>
    <w:rsid w:val="00922E3A"/>
    <w:rsid w:val="00922FDE"/>
    <w:rsid w:val="0092302F"/>
    <w:rsid w:val="00923132"/>
    <w:rsid w:val="0092337F"/>
    <w:rsid w:val="0092340E"/>
    <w:rsid w:val="009234BC"/>
    <w:rsid w:val="009235E3"/>
    <w:rsid w:val="00923838"/>
    <w:rsid w:val="009238E0"/>
    <w:rsid w:val="00923B07"/>
    <w:rsid w:val="00924120"/>
    <w:rsid w:val="0092419F"/>
    <w:rsid w:val="009244F6"/>
    <w:rsid w:val="0092471E"/>
    <w:rsid w:val="009248B3"/>
    <w:rsid w:val="00924A0F"/>
    <w:rsid w:val="00924A36"/>
    <w:rsid w:val="00924B1A"/>
    <w:rsid w:val="00924B21"/>
    <w:rsid w:val="00924B3B"/>
    <w:rsid w:val="00924FBC"/>
    <w:rsid w:val="00924FDD"/>
    <w:rsid w:val="009252D7"/>
    <w:rsid w:val="009253DB"/>
    <w:rsid w:val="0092553B"/>
    <w:rsid w:val="00925596"/>
    <w:rsid w:val="009258A3"/>
    <w:rsid w:val="0092597F"/>
    <w:rsid w:val="00925B49"/>
    <w:rsid w:val="00925B63"/>
    <w:rsid w:val="009264B1"/>
    <w:rsid w:val="009264E1"/>
    <w:rsid w:val="0092662B"/>
    <w:rsid w:val="00926BEE"/>
    <w:rsid w:val="00926C1B"/>
    <w:rsid w:val="00926C49"/>
    <w:rsid w:val="00926CF9"/>
    <w:rsid w:val="00926DA4"/>
    <w:rsid w:val="00926DB3"/>
    <w:rsid w:val="009270B3"/>
    <w:rsid w:val="00927143"/>
    <w:rsid w:val="009273BC"/>
    <w:rsid w:val="0092742F"/>
    <w:rsid w:val="00927498"/>
    <w:rsid w:val="00927553"/>
    <w:rsid w:val="00927949"/>
    <w:rsid w:val="00927AD6"/>
    <w:rsid w:val="009300B9"/>
    <w:rsid w:val="009301EB"/>
    <w:rsid w:val="00930248"/>
    <w:rsid w:val="0093025B"/>
    <w:rsid w:val="0093045D"/>
    <w:rsid w:val="00930564"/>
    <w:rsid w:val="00930657"/>
    <w:rsid w:val="009306A6"/>
    <w:rsid w:val="009306F4"/>
    <w:rsid w:val="00930765"/>
    <w:rsid w:val="009307F6"/>
    <w:rsid w:val="00930826"/>
    <w:rsid w:val="00930922"/>
    <w:rsid w:val="009309AE"/>
    <w:rsid w:val="009309B2"/>
    <w:rsid w:val="00930B0C"/>
    <w:rsid w:val="00930C7D"/>
    <w:rsid w:val="00931100"/>
    <w:rsid w:val="0093117A"/>
    <w:rsid w:val="009311B7"/>
    <w:rsid w:val="00931593"/>
    <w:rsid w:val="009315A1"/>
    <w:rsid w:val="009315D9"/>
    <w:rsid w:val="009317AB"/>
    <w:rsid w:val="00931C5B"/>
    <w:rsid w:val="00932151"/>
    <w:rsid w:val="00932604"/>
    <w:rsid w:val="009328AD"/>
    <w:rsid w:val="00932AF5"/>
    <w:rsid w:val="00932BC4"/>
    <w:rsid w:val="00932C0B"/>
    <w:rsid w:val="00932F0F"/>
    <w:rsid w:val="00932F1A"/>
    <w:rsid w:val="0093313A"/>
    <w:rsid w:val="009331D9"/>
    <w:rsid w:val="009333CF"/>
    <w:rsid w:val="009336D9"/>
    <w:rsid w:val="00933C51"/>
    <w:rsid w:val="00933CBD"/>
    <w:rsid w:val="00933D48"/>
    <w:rsid w:val="00933E5D"/>
    <w:rsid w:val="00933E88"/>
    <w:rsid w:val="00933EA9"/>
    <w:rsid w:val="00934489"/>
    <w:rsid w:val="00934538"/>
    <w:rsid w:val="009347FE"/>
    <w:rsid w:val="00934AE4"/>
    <w:rsid w:val="00934B62"/>
    <w:rsid w:val="00934DCB"/>
    <w:rsid w:val="00934DF9"/>
    <w:rsid w:val="00934F6C"/>
    <w:rsid w:val="00934F99"/>
    <w:rsid w:val="00935062"/>
    <w:rsid w:val="009350E8"/>
    <w:rsid w:val="00935692"/>
    <w:rsid w:val="00935747"/>
    <w:rsid w:val="009357C0"/>
    <w:rsid w:val="009358B0"/>
    <w:rsid w:val="00935904"/>
    <w:rsid w:val="00935990"/>
    <w:rsid w:val="00935A0A"/>
    <w:rsid w:val="00935DA6"/>
    <w:rsid w:val="00935F82"/>
    <w:rsid w:val="00936175"/>
    <w:rsid w:val="009362FB"/>
    <w:rsid w:val="00936345"/>
    <w:rsid w:val="00936367"/>
    <w:rsid w:val="00936440"/>
    <w:rsid w:val="009366E8"/>
    <w:rsid w:val="00936ACD"/>
    <w:rsid w:val="00936B3D"/>
    <w:rsid w:val="00936E8F"/>
    <w:rsid w:val="0093765E"/>
    <w:rsid w:val="00937ABE"/>
    <w:rsid w:val="00937C7B"/>
    <w:rsid w:val="00937ED6"/>
    <w:rsid w:val="00937FBE"/>
    <w:rsid w:val="00937FE8"/>
    <w:rsid w:val="0094063C"/>
    <w:rsid w:val="009407D9"/>
    <w:rsid w:val="0094090F"/>
    <w:rsid w:val="00940E3E"/>
    <w:rsid w:val="00940EA5"/>
    <w:rsid w:val="00940F0D"/>
    <w:rsid w:val="00941102"/>
    <w:rsid w:val="00941124"/>
    <w:rsid w:val="0094117B"/>
    <w:rsid w:val="0094119F"/>
    <w:rsid w:val="0094121B"/>
    <w:rsid w:val="00941381"/>
    <w:rsid w:val="00941533"/>
    <w:rsid w:val="00941654"/>
    <w:rsid w:val="009417B9"/>
    <w:rsid w:val="00941946"/>
    <w:rsid w:val="00941BCE"/>
    <w:rsid w:val="00941C71"/>
    <w:rsid w:val="00941F44"/>
    <w:rsid w:val="009420D0"/>
    <w:rsid w:val="00942114"/>
    <w:rsid w:val="009421AD"/>
    <w:rsid w:val="009422B4"/>
    <w:rsid w:val="00942624"/>
    <w:rsid w:val="0094271C"/>
    <w:rsid w:val="0094275C"/>
    <w:rsid w:val="0094289C"/>
    <w:rsid w:val="009428F3"/>
    <w:rsid w:val="00942974"/>
    <w:rsid w:val="00942C8E"/>
    <w:rsid w:val="0094316A"/>
    <w:rsid w:val="00943453"/>
    <w:rsid w:val="00943889"/>
    <w:rsid w:val="00943960"/>
    <w:rsid w:val="00943973"/>
    <w:rsid w:val="00943CDE"/>
    <w:rsid w:val="00943E35"/>
    <w:rsid w:val="00943E73"/>
    <w:rsid w:val="00943F89"/>
    <w:rsid w:val="00944156"/>
    <w:rsid w:val="009443A2"/>
    <w:rsid w:val="009445AE"/>
    <w:rsid w:val="009445E0"/>
    <w:rsid w:val="009446A8"/>
    <w:rsid w:val="009447DE"/>
    <w:rsid w:val="00944A74"/>
    <w:rsid w:val="00944B41"/>
    <w:rsid w:val="00944F37"/>
    <w:rsid w:val="00944FE6"/>
    <w:rsid w:val="00945098"/>
    <w:rsid w:val="0094533E"/>
    <w:rsid w:val="0094536E"/>
    <w:rsid w:val="009456C4"/>
    <w:rsid w:val="00945762"/>
    <w:rsid w:val="009458BD"/>
    <w:rsid w:val="009459FB"/>
    <w:rsid w:val="00945AAE"/>
    <w:rsid w:val="00945D0E"/>
    <w:rsid w:val="00945DB9"/>
    <w:rsid w:val="009461B7"/>
    <w:rsid w:val="00946368"/>
    <w:rsid w:val="0094649A"/>
    <w:rsid w:val="00946657"/>
    <w:rsid w:val="00946661"/>
    <w:rsid w:val="009466B0"/>
    <w:rsid w:val="00946770"/>
    <w:rsid w:val="00946D09"/>
    <w:rsid w:val="00946D59"/>
    <w:rsid w:val="00946E7F"/>
    <w:rsid w:val="00947268"/>
    <w:rsid w:val="00947507"/>
    <w:rsid w:val="009475E3"/>
    <w:rsid w:val="00947645"/>
    <w:rsid w:val="00947795"/>
    <w:rsid w:val="009477A2"/>
    <w:rsid w:val="00947866"/>
    <w:rsid w:val="00947C09"/>
    <w:rsid w:val="00950033"/>
    <w:rsid w:val="00950089"/>
    <w:rsid w:val="009502D4"/>
    <w:rsid w:val="009503D8"/>
    <w:rsid w:val="00950487"/>
    <w:rsid w:val="0095091A"/>
    <w:rsid w:val="0095093A"/>
    <w:rsid w:val="00950BFA"/>
    <w:rsid w:val="00950E97"/>
    <w:rsid w:val="0095106F"/>
    <w:rsid w:val="009511B5"/>
    <w:rsid w:val="009512DC"/>
    <w:rsid w:val="0095133F"/>
    <w:rsid w:val="00951345"/>
    <w:rsid w:val="009513CE"/>
    <w:rsid w:val="009514BE"/>
    <w:rsid w:val="009514E4"/>
    <w:rsid w:val="009519C7"/>
    <w:rsid w:val="00951FAF"/>
    <w:rsid w:val="009522DD"/>
    <w:rsid w:val="009526E3"/>
    <w:rsid w:val="00952755"/>
    <w:rsid w:val="00952896"/>
    <w:rsid w:val="00952D48"/>
    <w:rsid w:val="00952E76"/>
    <w:rsid w:val="00952EC5"/>
    <w:rsid w:val="0095300A"/>
    <w:rsid w:val="00953097"/>
    <w:rsid w:val="009530A5"/>
    <w:rsid w:val="00953497"/>
    <w:rsid w:val="009534F1"/>
    <w:rsid w:val="00953514"/>
    <w:rsid w:val="0095361B"/>
    <w:rsid w:val="00953775"/>
    <w:rsid w:val="009538C6"/>
    <w:rsid w:val="009538F8"/>
    <w:rsid w:val="00953968"/>
    <w:rsid w:val="009539B4"/>
    <w:rsid w:val="009539D0"/>
    <w:rsid w:val="00953A20"/>
    <w:rsid w:val="00953AEE"/>
    <w:rsid w:val="00953BB6"/>
    <w:rsid w:val="00953C10"/>
    <w:rsid w:val="00953E2A"/>
    <w:rsid w:val="00953ED2"/>
    <w:rsid w:val="00953F04"/>
    <w:rsid w:val="00953F31"/>
    <w:rsid w:val="009541A1"/>
    <w:rsid w:val="009541B7"/>
    <w:rsid w:val="0095442C"/>
    <w:rsid w:val="009544A7"/>
    <w:rsid w:val="00954747"/>
    <w:rsid w:val="00954A63"/>
    <w:rsid w:val="00954A65"/>
    <w:rsid w:val="00954B8F"/>
    <w:rsid w:val="00954C7B"/>
    <w:rsid w:val="00954DE9"/>
    <w:rsid w:val="00954E29"/>
    <w:rsid w:val="00954EB1"/>
    <w:rsid w:val="0095529C"/>
    <w:rsid w:val="009554F3"/>
    <w:rsid w:val="00955548"/>
    <w:rsid w:val="009555D9"/>
    <w:rsid w:val="00955CBD"/>
    <w:rsid w:val="00955DA6"/>
    <w:rsid w:val="00956583"/>
    <w:rsid w:val="00956B00"/>
    <w:rsid w:val="00956B94"/>
    <w:rsid w:val="00956BEB"/>
    <w:rsid w:val="00956CEF"/>
    <w:rsid w:val="00957108"/>
    <w:rsid w:val="00957552"/>
    <w:rsid w:val="00957587"/>
    <w:rsid w:val="009579AE"/>
    <w:rsid w:val="009579BA"/>
    <w:rsid w:val="00957B21"/>
    <w:rsid w:val="00957E66"/>
    <w:rsid w:val="009605BD"/>
    <w:rsid w:val="0096077D"/>
    <w:rsid w:val="009608DA"/>
    <w:rsid w:val="009609E7"/>
    <w:rsid w:val="009610A7"/>
    <w:rsid w:val="009610CF"/>
    <w:rsid w:val="00961332"/>
    <w:rsid w:val="009614BA"/>
    <w:rsid w:val="00961617"/>
    <w:rsid w:val="00961806"/>
    <w:rsid w:val="00961BBE"/>
    <w:rsid w:val="00961D81"/>
    <w:rsid w:val="00961E59"/>
    <w:rsid w:val="009620AD"/>
    <w:rsid w:val="009620DA"/>
    <w:rsid w:val="009621FE"/>
    <w:rsid w:val="00962274"/>
    <w:rsid w:val="00962331"/>
    <w:rsid w:val="00962D85"/>
    <w:rsid w:val="00962E48"/>
    <w:rsid w:val="00962F24"/>
    <w:rsid w:val="0096302E"/>
    <w:rsid w:val="00963340"/>
    <w:rsid w:val="009633A1"/>
    <w:rsid w:val="0096351F"/>
    <w:rsid w:val="00963552"/>
    <w:rsid w:val="0096360B"/>
    <w:rsid w:val="0096365C"/>
    <w:rsid w:val="009637A9"/>
    <w:rsid w:val="00963E2E"/>
    <w:rsid w:val="00963E3D"/>
    <w:rsid w:val="00963E9D"/>
    <w:rsid w:val="00963FB3"/>
    <w:rsid w:val="009646DC"/>
    <w:rsid w:val="009647AB"/>
    <w:rsid w:val="00964849"/>
    <w:rsid w:val="009648D6"/>
    <w:rsid w:val="00964ACA"/>
    <w:rsid w:val="00964B16"/>
    <w:rsid w:val="00964FB8"/>
    <w:rsid w:val="0096514D"/>
    <w:rsid w:val="0096515C"/>
    <w:rsid w:val="0096554E"/>
    <w:rsid w:val="00965C1D"/>
    <w:rsid w:val="00965CD0"/>
    <w:rsid w:val="00965EFE"/>
    <w:rsid w:val="00965F08"/>
    <w:rsid w:val="0096601C"/>
    <w:rsid w:val="009660BA"/>
    <w:rsid w:val="00966287"/>
    <w:rsid w:val="00966364"/>
    <w:rsid w:val="009665C0"/>
    <w:rsid w:val="009666A3"/>
    <w:rsid w:val="00966725"/>
    <w:rsid w:val="00966761"/>
    <w:rsid w:val="009667CD"/>
    <w:rsid w:val="0096686B"/>
    <w:rsid w:val="00966B5F"/>
    <w:rsid w:val="00966B9A"/>
    <w:rsid w:val="00966C8D"/>
    <w:rsid w:val="00966DA4"/>
    <w:rsid w:val="00966FA1"/>
    <w:rsid w:val="00966FBF"/>
    <w:rsid w:val="0096711B"/>
    <w:rsid w:val="009677E0"/>
    <w:rsid w:val="0096785A"/>
    <w:rsid w:val="00967865"/>
    <w:rsid w:val="00967B89"/>
    <w:rsid w:val="00967C16"/>
    <w:rsid w:val="00967C28"/>
    <w:rsid w:val="00967C50"/>
    <w:rsid w:val="00967D08"/>
    <w:rsid w:val="00967D21"/>
    <w:rsid w:val="00967F30"/>
    <w:rsid w:val="00970195"/>
    <w:rsid w:val="0097033E"/>
    <w:rsid w:val="00970E07"/>
    <w:rsid w:val="00970E43"/>
    <w:rsid w:val="00970E56"/>
    <w:rsid w:val="00970E7C"/>
    <w:rsid w:val="00970F18"/>
    <w:rsid w:val="00971071"/>
    <w:rsid w:val="0097110B"/>
    <w:rsid w:val="0097115E"/>
    <w:rsid w:val="0097120C"/>
    <w:rsid w:val="00971507"/>
    <w:rsid w:val="00971668"/>
    <w:rsid w:val="009718CD"/>
    <w:rsid w:val="009719EF"/>
    <w:rsid w:val="00971A60"/>
    <w:rsid w:val="00971AFD"/>
    <w:rsid w:val="00971FC2"/>
    <w:rsid w:val="0097227D"/>
    <w:rsid w:val="009724AB"/>
    <w:rsid w:val="009725EC"/>
    <w:rsid w:val="00972821"/>
    <w:rsid w:val="009729AF"/>
    <w:rsid w:val="009732CE"/>
    <w:rsid w:val="009734B4"/>
    <w:rsid w:val="009734BE"/>
    <w:rsid w:val="009735C3"/>
    <w:rsid w:val="009736A5"/>
    <w:rsid w:val="00973704"/>
    <w:rsid w:val="0097384E"/>
    <w:rsid w:val="009738B7"/>
    <w:rsid w:val="00973A7E"/>
    <w:rsid w:val="00973E20"/>
    <w:rsid w:val="00973E68"/>
    <w:rsid w:val="00974004"/>
    <w:rsid w:val="00974084"/>
    <w:rsid w:val="00974150"/>
    <w:rsid w:val="009742CE"/>
    <w:rsid w:val="00974380"/>
    <w:rsid w:val="0097470A"/>
    <w:rsid w:val="0097481B"/>
    <w:rsid w:val="00974E2D"/>
    <w:rsid w:val="00974F5A"/>
    <w:rsid w:val="0097505B"/>
    <w:rsid w:val="00975090"/>
    <w:rsid w:val="009750B9"/>
    <w:rsid w:val="00975266"/>
    <w:rsid w:val="009752D5"/>
    <w:rsid w:val="0097532B"/>
    <w:rsid w:val="00975432"/>
    <w:rsid w:val="00975B20"/>
    <w:rsid w:val="00975BB4"/>
    <w:rsid w:val="00975CA0"/>
    <w:rsid w:val="00975E1F"/>
    <w:rsid w:val="00975E6C"/>
    <w:rsid w:val="0097607E"/>
    <w:rsid w:val="009762C0"/>
    <w:rsid w:val="00976426"/>
    <w:rsid w:val="0097642E"/>
    <w:rsid w:val="009764EC"/>
    <w:rsid w:val="00976640"/>
    <w:rsid w:val="00976652"/>
    <w:rsid w:val="0097677F"/>
    <w:rsid w:val="009767CB"/>
    <w:rsid w:val="0097682A"/>
    <w:rsid w:val="00976BDB"/>
    <w:rsid w:val="00976C79"/>
    <w:rsid w:val="00977062"/>
    <w:rsid w:val="0097707B"/>
    <w:rsid w:val="00977519"/>
    <w:rsid w:val="00977661"/>
    <w:rsid w:val="009777A0"/>
    <w:rsid w:val="00977808"/>
    <w:rsid w:val="00977A72"/>
    <w:rsid w:val="00980228"/>
    <w:rsid w:val="0098024F"/>
    <w:rsid w:val="00980542"/>
    <w:rsid w:val="00980773"/>
    <w:rsid w:val="00980949"/>
    <w:rsid w:val="009809A4"/>
    <w:rsid w:val="00980E5D"/>
    <w:rsid w:val="00981017"/>
    <w:rsid w:val="009811F7"/>
    <w:rsid w:val="009814AF"/>
    <w:rsid w:val="00981691"/>
    <w:rsid w:val="00981A13"/>
    <w:rsid w:val="00981DAF"/>
    <w:rsid w:val="00981E31"/>
    <w:rsid w:val="00981F4E"/>
    <w:rsid w:val="009823A3"/>
    <w:rsid w:val="00982427"/>
    <w:rsid w:val="009824CF"/>
    <w:rsid w:val="00982527"/>
    <w:rsid w:val="0098257B"/>
    <w:rsid w:val="00982962"/>
    <w:rsid w:val="00982A78"/>
    <w:rsid w:val="00983267"/>
    <w:rsid w:val="0098343A"/>
    <w:rsid w:val="0098349A"/>
    <w:rsid w:val="009834CA"/>
    <w:rsid w:val="00983598"/>
    <w:rsid w:val="009835E4"/>
    <w:rsid w:val="009836A8"/>
    <w:rsid w:val="009839F6"/>
    <w:rsid w:val="00983AA1"/>
    <w:rsid w:val="00983AC8"/>
    <w:rsid w:val="00983F0A"/>
    <w:rsid w:val="00983F2D"/>
    <w:rsid w:val="0098414F"/>
    <w:rsid w:val="009842CD"/>
    <w:rsid w:val="009843C9"/>
    <w:rsid w:val="0098453F"/>
    <w:rsid w:val="00984839"/>
    <w:rsid w:val="009848B9"/>
    <w:rsid w:val="00984A56"/>
    <w:rsid w:val="00984C1C"/>
    <w:rsid w:val="00984E69"/>
    <w:rsid w:val="0098502E"/>
    <w:rsid w:val="0098557D"/>
    <w:rsid w:val="00985635"/>
    <w:rsid w:val="009856D8"/>
    <w:rsid w:val="009858DD"/>
    <w:rsid w:val="00986013"/>
    <w:rsid w:val="00986705"/>
    <w:rsid w:val="00986986"/>
    <w:rsid w:val="00986C03"/>
    <w:rsid w:val="00986CAA"/>
    <w:rsid w:val="00987003"/>
    <w:rsid w:val="00987703"/>
    <w:rsid w:val="00987763"/>
    <w:rsid w:val="009878B5"/>
    <w:rsid w:val="00987C10"/>
    <w:rsid w:val="00990165"/>
    <w:rsid w:val="009904C8"/>
    <w:rsid w:val="00990B15"/>
    <w:rsid w:val="00990B31"/>
    <w:rsid w:val="00990C0C"/>
    <w:rsid w:val="00990E67"/>
    <w:rsid w:val="00990ECB"/>
    <w:rsid w:val="00990EFA"/>
    <w:rsid w:val="00991263"/>
    <w:rsid w:val="009913FF"/>
    <w:rsid w:val="00991405"/>
    <w:rsid w:val="00991406"/>
    <w:rsid w:val="0099145C"/>
    <w:rsid w:val="009914EB"/>
    <w:rsid w:val="009915C0"/>
    <w:rsid w:val="009917C8"/>
    <w:rsid w:val="00991C77"/>
    <w:rsid w:val="0099229D"/>
    <w:rsid w:val="009922B4"/>
    <w:rsid w:val="00992300"/>
    <w:rsid w:val="009926AD"/>
    <w:rsid w:val="009927E6"/>
    <w:rsid w:val="009928A7"/>
    <w:rsid w:val="00992A65"/>
    <w:rsid w:val="00992A9C"/>
    <w:rsid w:val="00992CC2"/>
    <w:rsid w:val="00992D1E"/>
    <w:rsid w:val="00992D87"/>
    <w:rsid w:val="00992D97"/>
    <w:rsid w:val="009936CE"/>
    <w:rsid w:val="00993728"/>
    <w:rsid w:val="009937D1"/>
    <w:rsid w:val="00993AAD"/>
    <w:rsid w:val="0099401C"/>
    <w:rsid w:val="00994170"/>
    <w:rsid w:val="009941DC"/>
    <w:rsid w:val="00994311"/>
    <w:rsid w:val="0099460A"/>
    <w:rsid w:val="00994815"/>
    <w:rsid w:val="00994953"/>
    <w:rsid w:val="00994EDE"/>
    <w:rsid w:val="00994F39"/>
    <w:rsid w:val="009951C4"/>
    <w:rsid w:val="0099530B"/>
    <w:rsid w:val="009957A7"/>
    <w:rsid w:val="009957C0"/>
    <w:rsid w:val="009957DC"/>
    <w:rsid w:val="009958F5"/>
    <w:rsid w:val="00995B72"/>
    <w:rsid w:val="009960D4"/>
    <w:rsid w:val="0099640D"/>
    <w:rsid w:val="00996413"/>
    <w:rsid w:val="00996481"/>
    <w:rsid w:val="0099685C"/>
    <w:rsid w:val="00996959"/>
    <w:rsid w:val="00996A41"/>
    <w:rsid w:val="00996C25"/>
    <w:rsid w:val="00996C33"/>
    <w:rsid w:val="00996C3A"/>
    <w:rsid w:val="00996C6B"/>
    <w:rsid w:val="00996CFE"/>
    <w:rsid w:val="00996E1D"/>
    <w:rsid w:val="00996E40"/>
    <w:rsid w:val="00996EBD"/>
    <w:rsid w:val="0099708E"/>
    <w:rsid w:val="009970BC"/>
    <w:rsid w:val="009974E5"/>
    <w:rsid w:val="00997556"/>
    <w:rsid w:val="00997641"/>
    <w:rsid w:val="009979B0"/>
    <w:rsid w:val="00997C71"/>
    <w:rsid w:val="00997CDD"/>
    <w:rsid w:val="00997E34"/>
    <w:rsid w:val="009A003E"/>
    <w:rsid w:val="009A018C"/>
    <w:rsid w:val="009A02F8"/>
    <w:rsid w:val="009A03E4"/>
    <w:rsid w:val="009A04F1"/>
    <w:rsid w:val="009A069F"/>
    <w:rsid w:val="009A06C4"/>
    <w:rsid w:val="009A0905"/>
    <w:rsid w:val="009A0928"/>
    <w:rsid w:val="009A09BC"/>
    <w:rsid w:val="009A0B2A"/>
    <w:rsid w:val="009A0BF2"/>
    <w:rsid w:val="009A0E85"/>
    <w:rsid w:val="009A0FBB"/>
    <w:rsid w:val="009A0FE4"/>
    <w:rsid w:val="009A1044"/>
    <w:rsid w:val="009A1051"/>
    <w:rsid w:val="009A1171"/>
    <w:rsid w:val="009A1396"/>
    <w:rsid w:val="009A13EF"/>
    <w:rsid w:val="009A1651"/>
    <w:rsid w:val="009A186A"/>
    <w:rsid w:val="009A18DA"/>
    <w:rsid w:val="009A1B61"/>
    <w:rsid w:val="009A1C25"/>
    <w:rsid w:val="009A2097"/>
    <w:rsid w:val="009A25B0"/>
    <w:rsid w:val="009A28A7"/>
    <w:rsid w:val="009A2B89"/>
    <w:rsid w:val="009A2C25"/>
    <w:rsid w:val="009A2CA9"/>
    <w:rsid w:val="009A2DF1"/>
    <w:rsid w:val="009A308D"/>
    <w:rsid w:val="009A30B2"/>
    <w:rsid w:val="009A314E"/>
    <w:rsid w:val="009A318D"/>
    <w:rsid w:val="009A31CE"/>
    <w:rsid w:val="009A34D1"/>
    <w:rsid w:val="009A34E2"/>
    <w:rsid w:val="009A3BE5"/>
    <w:rsid w:val="009A405E"/>
    <w:rsid w:val="009A41A0"/>
    <w:rsid w:val="009A41D8"/>
    <w:rsid w:val="009A427B"/>
    <w:rsid w:val="009A44E2"/>
    <w:rsid w:val="009A468B"/>
    <w:rsid w:val="009A46BD"/>
    <w:rsid w:val="009A46C3"/>
    <w:rsid w:val="009A4837"/>
    <w:rsid w:val="009A48CC"/>
    <w:rsid w:val="009A497D"/>
    <w:rsid w:val="009A4AA1"/>
    <w:rsid w:val="009A4BFF"/>
    <w:rsid w:val="009A4CB1"/>
    <w:rsid w:val="009A4CB6"/>
    <w:rsid w:val="009A4F68"/>
    <w:rsid w:val="009A4F6C"/>
    <w:rsid w:val="009A5077"/>
    <w:rsid w:val="009A5096"/>
    <w:rsid w:val="009A50E1"/>
    <w:rsid w:val="009A5241"/>
    <w:rsid w:val="009A52AA"/>
    <w:rsid w:val="009A52D6"/>
    <w:rsid w:val="009A57B9"/>
    <w:rsid w:val="009A5A6A"/>
    <w:rsid w:val="009A5A9D"/>
    <w:rsid w:val="009A5B06"/>
    <w:rsid w:val="009A5C52"/>
    <w:rsid w:val="009A5D50"/>
    <w:rsid w:val="009A5DB6"/>
    <w:rsid w:val="009A5F31"/>
    <w:rsid w:val="009A6210"/>
    <w:rsid w:val="009A632F"/>
    <w:rsid w:val="009A6334"/>
    <w:rsid w:val="009A63E3"/>
    <w:rsid w:val="009A6525"/>
    <w:rsid w:val="009A67EC"/>
    <w:rsid w:val="009A690C"/>
    <w:rsid w:val="009A6978"/>
    <w:rsid w:val="009A6C58"/>
    <w:rsid w:val="009A6C7B"/>
    <w:rsid w:val="009A6D33"/>
    <w:rsid w:val="009A6E6F"/>
    <w:rsid w:val="009A6E89"/>
    <w:rsid w:val="009A6F83"/>
    <w:rsid w:val="009A700A"/>
    <w:rsid w:val="009A70BD"/>
    <w:rsid w:val="009A714A"/>
    <w:rsid w:val="009A7155"/>
    <w:rsid w:val="009A7254"/>
    <w:rsid w:val="009A76E3"/>
    <w:rsid w:val="009A7745"/>
    <w:rsid w:val="009A7760"/>
    <w:rsid w:val="009A7822"/>
    <w:rsid w:val="009A7858"/>
    <w:rsid w:val="009A790C"/>
    <w:rsid w:val="009A79DB"/>
    <w:rsid w:val="009A7BE0"/>
    <w:rsid w:val="009A7C01"/>
    <w:rsid w:val="009A7D93"/>
    <w:rsid w:val="009A7E62"/>
    <w:rsid w:val="009A7E6E"/>
    <w:rsid w:val="009ADB97"/>
    <w:rsid w:val="009B0194"/>
    <w:rsid w:val="009B03B2"/>
    <w:rsid w:val="009B0442"/>
    <w:rsid w:val="009B065A"/>
    <w:rsid w:val="009B0955"/>
    <w:rsid w:val="009B12C3"/>
    <w:rsid w:val="009B154B"/>
    <w:rsid w:val="009B1730"/>
    <w:rsid w:val="009B1AAF"/>
    <w:rsid w:val="009B1AD4"/>
    <w:rsid w:val="009B1BD9"/>
    <w:rsid w:val="009B1C7F"/>
    <w:rsid w:val="009B1D74"/>
    <w:rsid w:val="009B2317"/>
    <w:rsid w:val="009B2509"/>
    <w:rsid w:val="009B2735"/>
    <w:rsid w:val="009B2787"/>
    <w:rsid w:val="009B2DB3"/>
    <w:rsid w:val="009B2DD3"/>
    <w:rsid w:val="009B2DE9"/>
    <w:rsid w:val="009B2E77"/>
    <w:rsid w:val="009B2F09"/>
    <w:rsid w:val="009B2F17"/>
    <w:rsid w:val="009B300E"/>
    <w:rsid w:val="009B32B2"/>
    <w:rsid w:val="009B3535"/>
    <w:rsid w:val="009B372E"/>
    <w:rsid w:val="009B3855"/>
    <w:rsid w:val="009B3902"/>
    <w:rsid w:val="009B3956"/>
    <w:rsid w:val="009B3968"/>
    <w:rsid w:val="009B3C85"/>
    <w:rsid w:val="009B3FFD"/>
    <w:rsid w:val="009B4016"/>
    <w:rsid w:val="009B4299"/>
    <w:rsid w:val="009B4393"/>
    <w:rsid w:val="009B4455"/>
    <w:rsid w:val="009B46C7"/>
    <w:rsid w:val="009B46DE"/>
    <w:rsid w:val="009B47B8"/>
    <w:rsid w:val="009B484C"/>
    <w:rsid w:val="009B4946"/>
    <w:rsid w:val="009B4A4A"/>
    <w:rsid w:val="009B4A9F"/>
    <w:rsid w:val="009B4B7A"/>
    <w:rsid w:val="009B4B89"/>
    <w:rsid w:val="009B4C6C"/>
    <w:rsid w:val="009B4E23"/>
    <w:rsid w:val="009B4E41"/>
    <w:rsid w:val="009B52BD"/>
    <w:rsid w:val="009B53BB"/>
    <w:rsid w:val="009B5944"/>
    <w:rsid w:val="009B59BF"/>
    <w:rsid w:val="009B5ACE"/>
    <w:rsid w:val="009B5B97"/>
    <w:rsid w:val="009B5B9E"/>
    <w:rsid w:val="009B5CD2"/>
    <w:rsid w:val="009B5DEC"/>
    <w:rsid w:val="009B5E40"/>
    <w:rsid w:val="009B5F4E"/>
    <w:rsid w:val="009B61D3"/>
    <w:rsid w:val="009B61E6"/>
    <w:rsid w:val="009B6263"/>
    <w:rsid w:val="009B6682"/>
    <w:rsid w:val="009B671F"/>
    <w:rsid w:val="009B67B6"/>
    <w:rsid w:val="009B693F"/>
    <w:rsid w:val="009B6B48"/>
    <w:rsid w:val="009B6B64"/>
    <w:rsid w:val="009B6BC8"/>
    <w:rsid w:val="009B6F46"/>
    <w:rsid w:val="009B7121"/>
    <w:rsid w:val="009B7185"/>
    <w:rsid w:val="009B7280"/>
    <w:rsid w:val="009B7558"/>
    <w:rsid w:val="009B75E4"/>
    <w:rsid w:val="009B784D"/>
    <w:rsid w:val="009B789D"/>
    <w:rsid w:val="009B7BC7"/>
    <w:rsid w:val="009B7BCA"/>
    <w:rsid w:val="009B7F12"/>
    <w:rsid w:val="009B7F5D"/>
    <w:rsid w:val="009C023B"/>
    <w:rsid w:val="009C0270"/>
    <w:rsid w:val="009C0284"/>
    <w:rsid w:val="009C0397"/>
    <w:rsid w:val="009C03C4"/>
    <w:rsid w:val="009C0428"/>
    <w:rsid w:val="009C0578"/>
    <w:rsid w:val="009C071D"/>
    <w:rsid w:val="009C0967"/>
    <w:rsid w:val="009C0A9E"/>
    <w:rsid w:val="009C0B7A"/>
    <w:rsid w:val="009C0FC9"/>
    <w:rsid w:val="009C11A9"/>
    <w:rsid w:val="009C1382"/>
    <w:rsid w:val="009C13AD"/>
    <w:rsid w:val="009C1400"/>
    <w:rsid w:val="009C14E1"/>
    <w:rsid w:val="009C18DB"/>
    <w:rsid w:val="009C1913"/>
    <w:rsid w:val="009C1A5E"/>
    <w:rsid w:val="009C1B7B"/>
    <w:rsid w:val="009C1BD3"/>
    <w:rsid w:val="009C1C29"/>
    <w:rsid w:val="009C2085"/>
    <w:rsid w:val="009C20C0"/>
    <w:rsid w:val="009C23C6"/>
    <w:rsid w:val="009C2511"/>
    <w:rsid w:val="009C27A9"/>
    <w:rsid w:val="009C2802"/>
    <w:rsid w:val="009C2A4C"/>
    <w:rsid w:val="009C2C2D"/>
    <w:rsid w:val="009C3152"/>
    <w:rsid w:val="009C319E"/>
    <w:rsid w:val="009C345D"/>
    <w:rsid w:val="009C346D"/>
    <w:rsid w:val="009C347D"/>
    <w:rsid w:val="009C34B9"/>
    <w:rsid w:val="009C37F0"/>
    <w:rsid w:val="009C3931"/>
    <w:rsid w:val="009C3A53"/>
    <w:rsid w:val="009C3B3C"/>
    <w:rsid w:val="009C40A6"/>
    <w:rsid w:val="009C42F1"/>
    <w:rsid w:val="009C42FD"/>
    <w:rsid w:val="009C465A"/>
    <w:rsid w:val="009C46C6"/>
    <w:rsid w:val="009C4A65"/>
    <w:rsid w:val="009C4D50"/>
    <w:rsid w:val="009C4D79"/>
    <w:rsid w:val="009C4FFB"/>
    <w:rsid w:val="009C5047"/>
    <w:rsid w:val="009C51B0"/>
    <w:rsid w:val="009C547D"/>
    <w:rsid w:val="009C5625"/>
    <w:rsid w:val="009C56DD"/>
    <w:rsid w:val="009C5EC6"/>
    <w:rsid w:val="009C6104"/>
    <w:rsid w:val="009C61D3"/>
    <w:rsid w:val="009C6309"/>
    <w:rsid w:val="009C6337"/>
    <w:rsid w:val="009C633D"/>
    <w:rsid w:val="009C63AB"/>
    <w:rsid w:val="009C64C7"/>
    <w:rsid w:val="009C678E"/>
    <w:rsid w:val="009C68D0"/>
    <w:rsid w:val="009C6A1D"/>
    <w:rsid w:val="009C6BF8"/>
    <w:rsid w:val="009C6C0A"/>
    <w:rsid w:val="009C6F61"/>
    <w:rsid w:val="009C6FF3"/>
    <w:rsid w:val="009C71BF"/>
    <w:rsid w:val="009C7235"/>
    <w:rsid w:val="009C729B"/>
    <w:rsid w:val="009C72DE"/>
    <w:rsid w:val="009C7817"/>
    <w:rsid w:val="009C7916"/>
    <w:rsid w:val="009C79E4"/>
    <w:rsid w:val="009C7A2E"/>
    <w:rsid w:val="009C7F77"/>
    <w:rsid w:val="009D0288"/>
    <w:rsid w:val="009D02C8"/>
    <w:rsid w:val="009D0400"/>
    <w:rsid w:val="009D04A1"/>
    <w:rsid w:val="009D04F6"/>
    <w:rsid w:val="009D0916"/>
    <w:rsid w:val="009D09CB"/>
    <w:rsid w:val="009D0F21"/>
    <w:rsid w:val="009D1024"/>
    <w:rsid w:val="009D1060"/>
    <w:rsid w:val="009D119C"/>
    <w:rsid w:val="009D149B"/>
    <w:rsid w:val="009D14E3"/>
    <w:rsid w:val="009D15B3"/>
    <w:rsid w:val="009D1630"/>
    <w:rsid w:val="009D171C"/>
    <w:rsid w:val="009D1728"/>
    <w:rsid w:val="009D191A"/>
    <w:rsid w:val="009D1ACF"/>
    <w:rsid w:val="009D1B36"/>
    <w:rsid w:val="009D1BB6"/>
    <w:rsid w:val="009D1BFC"/>
    <w:rsid w:val="009D1E00"/>
    <w:rsid w:val="009D1F6D"/>
    <w:rsid w:val="009D2046"/>
    <w:rsid w:val="009D208B"/>
    <w:rsid w:val="009D213C"/>
    <w:rsid w:val="009D21A7"/>
    <w:rsid w:val="009D238A"/>
    <w:rsid w:val="009D2451"/>
    <w:rsid w:val="009D2BA4"/>
    <w:rsid w:val="009D2FE2"/>
    <w:rsid w:val="009D31F2"/>
    <w:rsid w:val="009D35DB"/>
    <w:rsid w:val="009D3890"/>
    <w:rsid w:val="009D3BBF"/>
    <w:rsid w:val="009D3F4A"/>
    <w:rsid w:val="009D439E"/>
    <w:rsid w:val="009D45F6"/>
    <w:rsid w:val="009D479A"/>
    <w:rsid w:val="009D4829"/>
    <w:rsid w:val="009D4996"/>
    <w:rsid w:val="009D4E74"/>
    <w:rsid w:val="009D5026"/>
    <w:rsid w:val="009D5778"/>
    <w:rsid w:val="009D5A05"/>
    <w:rsid w:val="009D5A0F"/>
    <w:rsid w:val="009D5A80"/>
    <w:rsid w:val="009D5AE7"/>
    <w:rsid w:val="009D5C5A"/>
    <w:rsid w:val="009D67E0"/>
    <w:rsid w:val="009D6A8A"/>
    <w:rsid w:val="009D6E57"/>
    <w:rsid w:val="009D785C"/>
    <w:rsid w:val="009D7A8F"/>
    <w:rsid w:val="009D7C9D"/>
    <w:rsid w:val="009D7CD8"/>
    <w:rsid w:val="009D7D7C"/>
    <w:rsid w:val="009D7F55"/>
    <w:rsid w:val="009D7FF5"/>
    <w:rsid w:val="009D7FF9"/>
    <w:rsid w:val="009E0080"/>
    <w:rsid w:val="009E009D"/>
    <w:rsid w:val="009E055E"/>
    <w:rsid w:val="009E0582"/>
    <w:rsid w:val="009E0995"/>
    <w:rsid w:val="009E0A67"/>
    <w:rsid w:val="009E0B06"/>
    <w:rsid w:val="009E0C98"/>
    <w:rsid w:val="009E0EBD"/>
    <w:rsid w:val="009E109D"/>
    <w:rsid w:val="009E1335"/>
    <w:rsid w:val="009E139F"/>
    <w:rsid w:val="009E14D2"/>
    <w:rsid w:val="009E155E"/>
    <w:rsid w:val="009E17D6"/>
    <w:rsid w:val="009E185B"/>
    <w:rsid w:val="009E1887"/>
    <w:rsid w:val="009E1A07"/>
    <w:rsid w:val="009E1A5F"/>
    <w:rsid w:val="009E1A6C"/>
    <w:rsid w:val="009E1A72"/>
    <w:rsid w:val="009E1AA3"/>
    <w:rsid w:val="009E1AD5"/>
    <w:rsid w:val="009E1C3E"/>
    <w:rsid w:val="009E1D48"/>
    <w:rsid w:val="009E1DC8"/>
    <w:rsid w:val="009E2049"/>
    <w:rsid w:val="009E21D1"/>
    <w:rsid w:val="009E2270"/>
    <w:rsid w:val="009E239E"/>
    <w:rsid w:val="009E244B"/>
    <w:rsid w:val="009E254D"/>
    <w:rsid w:val="009E2B13"/>
    <w:rsid w:val="009E2DD5"/>
    <w:rsid w:val="009E2EAB"/>
    <w:rsid w:val="009E2ED7"/>
    <w:rsid w:val="009E2EF7"/>
    <w:rsid w:val="009E2F1F"/>
    <w:rsid w:val="009E2F91"/>
    <w:rsid w:val="009E3100"/>
    <w:rsid w:val="009E3130"/>
    <w:rsid w:val="009E31D5"/>
    <w:rsid w:val="009E31F0"/>
    <w:rsid w:val="009E3423"/>
    <w:rsid w:val="009E3597"/>
    <w:rsid w:val="009E3648"/>
    <w:rsid w:val="009E3855"/>
    <w:rsid w:val="009E38AE"/>
    <w:rsid w:val="009E3CD7"/>
    <w:rsid w:val="009E3D99"/>
    <w:rsid w:val="009E4085"/>
    <w:rsid w:val="009E417F"/>
    <w:rsid w:val="009E42D2"/>
    <w:rsid w:val="009E441C"/>
    <w:rsid w:val="009E4771"/>
    <w:rsid w:val="009E490E"/>
    <w:rsid w:val="009E4F90"/>
    <w:rsid w:val="009E5B9F"/>
    <w:rsid w:val="009E5BB0"/>
    <w:rsid w:val="009E5EC9"/>
    <w:rsid w:val="009E60D3"/>
    <w:rsid w:val="009E6315"/>
    <w:rsid w:val="009E6B4B"/>
    <w:rsid w:val="009E6BEB"/>
    <w:rsid w:val="009E6DEC"/>
    <w:rsid w:val="009E6E53"/>
    <w:rsid w:val="009E700A"/>
    <w:rsid w:val="009E7117"/>
    <w:rsid w:val="009E72B5"/>
    <w:rsid w:val="009E72D6"/>
    <w:rsid w:val="009E76FC"/>
    <w:rsid w:val="009E7799"/>
    <w:rsid w:val="009E7875"/>
    <w:rsid w:val="009E78C4"/>
    <w:rsid w:val="009E7B17"/>
    <w:rsid w:val="009E7E61"/>
    <w:rsid w:val="009E7E6D"/>
    <w:rsid w:val="009E7F7C"/>
    <w:rsid w:val="009F0177"/>
    <w:rsid w:val="009F0570"/>
    <w:rsid w:val="009F09DB"/>
    <w:rsid w:val="009F0BA7"/>
    <w:rsid w:val="009F0E06"/>
    <w:rsid w:val="009F0F1D"/>
    <w:rsid w:val="009F0F2F"/>
    <w:rsid w:val="009F10D6"/>
    <w:rsid w:val="009F1150"/>
    <w:rsid w:val="009F12A6"/>
    <w:rsid w:val="009F1388"/>
    <w:rsid w:val="009F13E9"/>
    <w:rsid w:val="009F1577"/>
    <w:rsid w:val="009F167B"/>
    <w:rsid w:val="009F16EB"/>
    <w:rsid w:val="009F1A19"/>
    <w:rsid w:val="009F1A63"/>
    <w:rsid w:val="009F1A6F"/>
    <w:rsid w:val="009F1C3A"/>
    <w:rsid w:val="009F1C8B"/>
    <w:rsid w:val="009F2145"/>
    <w:rsid w:val="009F21D7"/>
    <w:rsid w:val="009F2413"/>
    <w:rsid w:val="009F258A"/>
    <w:rsid w:val="009F2A28"/>
    <w:rsid w:val="009F2BC1"/>
    <w:rsid w:val="009F2D5D"/>
    <w:rsid w:val="009F2F00"/>
    <w:rsid w:val="009F316B"/>
    <w:rsid w:val="009F32A4"/>
    <w:rsid w:val="009F33FE"/>
    <w:rsid w:val="009F35CD"/>
    <w:rsid w:val="009F3CE6"/>
    <w:rsid w:val="009F3EFD"/>
    <w:rsid w:val="009F3F75"/>
    <w:rsid w:val="009F4016"/>
    <w:rsid w:val="009F4238"/>
    <w:rsid w:val="009F440B"/>
    <w:rsid w:val="009F4752"/>
    <w:rsid w:val="009F4767"/>
    <w:rsid w:val="009F48C7"/>
    <w:rsid w:val="009F4908"/>
    <w:rsid w:val="009F4953"/>
    <w:rsid w:val="009F49A8"/>
    <w:rsid w:val="009F4A24"/>
    <w:rsid w:val="009F4B2A"/>
    <w:rsid w:val="009F4BD3"/>
    <w:rsid w:val="009F4C2F"/>
    <w:rsid w:val="009F4C54"/>
    <w:rsid w:val="009F4DF7"/>
    <w:rsid w:val="009F4E11"/>
    <w:rsid w:val="009F5178"/>
    <w:rsid w:val="009F52D1"/>
    <w:rsid w:val="009F52D4"/>
    <w:rsid w:val="009F5451"/>
    <w:rsid w:val="009F56F5"/>
    <w:rsid w:val="009F5716"/>
    <w:rsid w:val="009F5731"/>
    <w:rsid w:val="009F5796"/>
    <w:rsid w:val="009F5806"/>
    <w:rsid w:val="009F5B2B"/>
    <w:rsid w:val="009F5C4D"/>
    <w:rsid w:val="009F5E80"/>
    <w:rsid w:val="009F5F45"/>
    <w:rsid w:val="009F5FB8"/>
    <w:rsid w:val="009F60BD"/>
    <w:rsid w:val="009F60E0"/>
    <w:rsid w:val="009F6437"/>
    <w:rsid w:val="009F644C"/>
    <w:rsid w:val="009F6462"/>
    <w:rsid w:val="009F687A"/>
    <w:rsid w:val="009F69C3"/>
    <w:rsid w:val="009F6A06"/>
    <w:rsid w:val="009F6A07"/>
    <w:rsid w:val="009F6B0B"/>
    <w:rsid w:val="009F6BD3"/>
    <w:rsid w:val="009F6DC0"/>
    <w:rsid w:val="009F6F36"/>
    <w:rsid w:val="009F71AC"/>
    <w:rsid w:val="009F7250"/>
    <w:rsid w:val="009F72F4"/>
    <w:rsid w:val="009F74A7"/>
    <w:rsid w:val="009F778A"/>
    <w:rsid w:val="009F7825"/>
    <w:rsid w:val="009F78B5"/>
    <w:rsid w:val="009F7BB3"/>
    <w:rsid w:val="009F7CE6"/>
    <w:rsid w:val="009F7D76"/>
    <w:rsid w:val="009F7FDD"/>
    <w:rsid w:val="00A000AC"/>
    <w:rsid w:val="00A002CB"/>
    <w:rsid w:val="00A00576"/>
    <w:rsid w:val="00A006DD"/>
    <w:rsid w:val="00A00821"/>
    <w:rsid w:val="00A00914"/>
    <w:rsid w:val="00A00C27"/>
    <w:rsid w:val="00A00DBA"/>
    <w:rsid w:val="00A00EBF"/>
    <w:rsid w:val="00A00EED"/>
    <w:rsid w:val="00A01308"/>
    <w:rsid w:val="00A01639"/>
    <w:rsid w:val="00A01838"/>
    <w:rsid w:val="00A018AE"/>
    <w:rsid w:val="00A01B82"/>
    <w:rsid w:val="00A01D5E"/>
    <w:rsid w:val="00A01EA5"/>
    <w:rsid w:val="00A01FD3"/>
    <w:rsid w:val="00A02484"/>
    <w:rsid w:val="00A0250F"/>
    <w:rsid w:val="00A025D1"/>
    <w:rsid w:val="00A0286F"/>
    <w:rsid w:val="00A028D5"/>
    <w:rsid w:val="00A029F6"/>
    <w:rsid w:val="00A02CC5"/>
    <w:rsid w:val="00A02CDB"/>
    <w:rsid w:val="00A02D88"/>
    <w:rsid w:val="00A02DBC"/>
    <w:rsid w:val="00A02E94"/>
    <w:rsid w:val="00A02F99"/>
    <w:rsid w:val="00A03299"/>
    <w:rsid w:val="00A03494"/>
    <w:rsid w:val="00A03644"/>
    <w:rsid w:val="00A0375E"/>
    <w:rsid w:val="00A03865"/>
    <w:rsid w:val="00A03912"/>
    <w:rsid w:val="00A039C4"/>
    <w:rsid w:val="00A03A02"/>
    <w:rsid w:val="00A03B34"/>
    <w:rsid w:val="00A03B9A"/>
    <w:rsid w:val="00A03D19"/>
    <w:rsid w:val="00A03D93"/>
    <w:rsid w:val="00A043DF"/>
    <w:rsid w:val="00A0446E"/>
    <w:rsid w:val="00A044A1"/>
    <w:rsid w:val="00A04939"/>
    <w:rsid w:val="00A04A2E"/>
    <w:rsid w:val="00A04C42"/>
    <w:rsid w:val="00A04C9E"/>
    <w:rsid w:val="00A04E60"/>
    <w:rsid w:val="00A04EA5"/>
    <w:rsid w:val="00A05104"/>
    <w:rsid w:val="00A05689"/>
    <w:rsid w:val="00A05872"/>
    <w:rsid w:val="00A05A96"/>
    <w:rsid w:val="00A05D39"/>
    <w:rsid w:val="00A05FBF"/>
    <w:rsid w:val="00A0630A"/>
    <w:rsid w:val="00A06659"/>
    <w:rsid w:val="00A068D0"/>
    <w:rsid w:val="00A06B20"/>
    <w:rsid w:val="00A06C97"/>
    <w:rsid w:val="00A06D30"/>
    <w:rsid w:val="00A07101"/>
    <w:rsid w:val="00A071BD"/>
    <w:rsid w:val="00A0726C"/>
    <w:rsid w:val="00A07373"/>
    <w:rsid w:val="00A074FA"/>
    <w:rsid w:val="00A07652"/>
    <w:rsid w:val="00A07770"/>
    <w:rsid w:val="00A079A8"/>
    <w:rsid w:val="00A07A3F"/>
    <w:rsid w:val="00A07BFB"/>
    <w:rsid w:val="00A07D3B"/>
    <w:rsid w:val="00A07D66"/>
    <w:rsid w:val="00A100B6"/>
    <w:rsid w:val="00A100BA"/>
    <w:rsid w:val="00A100D4"/>
    <w:rsid w:val="00A10374"/>
    <w:rsid w:val="00A10741"/>
    <w:rsid w:val="00A10800"/>
    <w:rsid w:val="00A10E6B"/>
    <w:rsid w:val="00A10EC0"/>
    <w:rsid w:val="00A10F83"/>
    <w:rsid w:val="00A110F5"/>
    <w:rsid w:val="00A1121F"/>
    <w:rsid w:val="00A1132A"/>
    <w:rsid w:val="00A1151D"/>
    <w:rsid w:val="00A117A6"/>
    <w:rsid w:val="00A118C7"/>
    <w:rsid w:val="00A1191A"/>
    <w:rsid w:val="00A11990"/>
    <w:rsid w:val="00A11ACF"/>
    <w:rsid w:val="00A11BF5"/>
    <w:rsid w:val="00A1216E"/>
    <w:rsid w:val="00A12233"/>
    <w:rsid w:val="00A1227C"/>
    <w:rsid w:val="00A123E2"/>
    <w:rsid w:val="00A124B0"/>
    <w:rsid w:val="00A125A5"/>
    <w:rsid w:val="00A1264C"/>
    <w:rsid w:val="00A1282E"/>
    <w:rsid w:val="00A12C87"/>
    <w:rsid w:val="00A12FAF"/>
    <w:rsid w:val="00A1315F"/>
    <w:rsid w:val="00A133A4"/>
    <w:rsid w:val="00A134BA"/>
    <w:rsid w:val="00A135A3"/>
    <w:rsid w:val="00A13B42"/>
    <w:rsid w:val="00A13B77"/>
    <w:rsid w:val="00A13CF2"/>
    <w:rsid w:val="00A13D5A"/>
    <w:rsid w:val="00A1406D"/>
    <w:rsid w:val="00A140A9"/>
    <w:rsid w:val="00A140D0"/>
    <w:rsid w:val="00A14155"/>
    <w:rsid w:val="00A14390"/>
    <w:rsid w:val="00A143EE"/>
    <w:rsid w:val="00A1440D"/>
    <w:rsid w:val="00A14A49"/>
    <w:rsid w:val="00A14A64"/>
    <w:rsid w:val="00A14C2B"/>
    <w:rsid w:val="00A14C90"/>
    <w:rsid w:val="00A14CB4"/>
    <w:rsid w:val="00A14D19"/>
    <w:rsid w:val="00A14ED7"/>
    <w:rsid w:val="00A150F8"/>
    <w:rsid w:val="00A15289"/>
    <w:rsid w:val="00A15432"/>
    <w:rsid w:val="00A15672"/>
    <w:rsid w:val="00A157FF"/>
    <w:rsid w:val="00A15FFB"/>
    <w:rsid w:val="00A16443"/>
    <w:rsid w:val="00A166A0"/>
    <w:rsid w:val="00A16747"/>
    <w:rsid w:val="00A1689F"/>
    <w:rsid w:val="00A1697A"/>
    <w:rsid w:val="00A169D7"/>
    <w:rsid w:val="00A16B06"/>
    <w:rsid w:val="00A16C8D"/>
    <w:rsid w:val="00A16CD0"/>
    <w:rsid w:val="00A16E8D"/>
    <w:rsid w:val="00A17821"/>
    <w:rsid w:val="00A1793F"/>
    <w:rsid w:val="00A17A15"/>
    <w:rsid w:val="00A17E1E"/>
    <w:rsid w:val="00A20063"/>
    <w:rsid w:val="00A205DB"/>
    <w:rsid w:val="00A20617"/>
    <w:rsid w:val="00A20636"/>
    <w:rsid w:val="00A2063D"/>
    <w:rsid w:val="00A20726"/>
    <w:rsid w:val="00A20EFE"/>
    <w:rsid w:val="00A21133"/>
    <w:rsid w:val="00A2139B"/>
    <w:rsid w:val="00A214FA"/>
    <w:rsid w:val="00A218E5"/>
    <w:rsid w:val="00A21989"/>
    <w:rsid w:val="00A21B97"/>
    <w:rsid w:val="00A21C1D"/>
    <w:rsid w:val="00A21D32"/>
    <w:rsid w:val="00A21D5F"/>
    <w:rsid w:val="00A21E90"/>
    <w:rsid w:val="00A21F31"/>
    <w:rsid w:val="00A2201E"/>
    <w:rsid w:val="00A220F5"/>
    <w:rsid w:val="00A2214F"/>
    <w:rsid w:val="00A22284"/>
    <w:rsid w:val="00A2242B"/>
    <w:rsid w:val="00A225D3"/>
    <w:rsid w:val="00A2263F"/>
    <w:rsid w:val="00A2265E"/>
    <w:rsid w:val="00A226BE"/>
    <w:rsid w:val="00A22B7E"/>
    <w:rsid w:val="00A22BE7"/>
    <w:rsid w:val="00A22C9A"/>
    <w:rsid w:val="00A23202"/>
    <w:rsid w:val="00A2377E"/>
    <w:rsid w:val="00A23A25"/>
    <w:rsid w:val="00A23AAD"/>
    <w:rsid w:val="00A23E5E"/>
    <w:rsid w:val="00A23E8B"/>
    <w:rsid w:val="00A23ECA"/>
    <w:rsid w:val="00A2423B"/>
    <w:rsid w:val="00A2443F"/>
    <w:rsid w:val="00A244E7"/>
    <w:rsid w:val="00A2466C"/>
    <w:rsid w:val="00A24823"/>
    <w:rsid w:val="00A248AF"/>
    <w:rsid w:val="00A249A1"/>
    <w:rsid w:val="00A249D4"/>
    <w:rsid w:val="00A24B2A"/>
    <w:rsid w:val="00A24D0D"/>
    <w:rsid w:val="00A25077"/>
    <w:rsid w:val="00A2511C"/>
    <w:rsid w:val="00A253B9"/>
    <w:rsid w:val="00A2545A"/>
    <w:rsid w:val="00A255EA"/>
    <w:rsid w:val="00A2562A"/>
    <w:rsid w:val="00A2568C"/>
    <w:rsid w:val="00A25725"/>
    <w:rsid w:val="00A25736"/>
    <w:rsid w:val="00A25AB1"/>
    <w:rsid w:val="00A25BF7"/>
    <w:rsid w:val="00A25D23"/>
    <w:rsid w:val="00A25FFF"/>
    <w:rsid w:val="00A26195"/>
    <w:rsid w:val="00A26363"/>
    <w:rsid w:val="00A26629"/>
    <w:rsid w:val="00A26663"/>
    <w:rsid w:val="00A26691"/>
    <w:rsid w:val="00A266A9"/>
    <w:rsid w:val="00A26752"/>
    <w:rsid w:val="00A268F6"/>
    <w:rsid w:val="00A2697F"/>
    <w:rsid w:val="00A26A2F"/>
    <w:rsid w:val="00A26DA8"/>
    <w:rsid w:val="00A26DE5"/>
    <w:rsid w:val="00A26FEA"/>
    <w:rsid w:val="00A270F8"/>
    <w:rsid w:val="00A2740B"/>
    <w:rsid w:val="00A275D0"/>
    <w:rsid w:val="00A275F8"/>
    <w:rsid w:val="00A2767D"/>
    <w:rsid w:val="00A27A9F"/>
    <w:rsid w:val="00A27B97"/>
    <w:rsid w:val="00A27C16"/>
    <w:rsid w:val="00A27C48"/>
    <w:rsid w:val="00A27C6A"/>
    <w:rsid w:val="00A27C82"/>
    <w:rsid w:val="00A27CF0"/>
    <w:rsid w:val="00A27E94"/>
    <w:rsid w:val="00A27EA8"/>
    <w:rsid w:val="00A27F65"/>
    <w:rsid w:val="00A27FA9"/>
    <w:rsid w:val="00A3043E"/>
    <w:rsid w:val="00A30486"/>
    <w:rsid w:val="00A304B6"/>
    <w:rsid w:val="00A304FF"/>
    <w:rsid w:val="00A305EE"/>
    <w:rsid w:val="00A3070E"/>
    <w:rsid w:val="00A30868"/>
    <w:rsid w:val="00A30F8E"/>
    <w:rsid w:val="00A30FB7"/>
    <w:rsid w:val="00A31011"/>
    <w:rsid w:val="00A31422"/>
    <w:rsid w:val="00A316F1"/>
    <w:rsid w:val="00A31734"/>
    <w:rsid w:val="00A3182C"/>
    <w:rsid w:val="00A31A65"/>
    <w:rsid w:val="00A31EA8"/>
    <w:rsid w:val="00A321DB"/>
    <w:rsid w:val="00A322A6"/>
    <w:rsid w:val="00A32362"/>
    <w:rsid w:val="00A325CB"/>
    <w:rsid w:val="00A325EF"/>
    <w:rsid w:val="00A32682"/>
    <w:rsid w:val="00A327DD"/>
    <w:rsid w:val="00A327FC"/>
    <w:rsid w:val="00A3283A"/>
    <w:rsid w:val="00A32964"/>
    <w:rsid w:val="00A32D2D"/>
    <w:rsid w:val="00A332B3"/>
    <w:rsid w:val="00A33467"/>
    <w:rsid w:val="00A33534"/>
    <w:rsid w:val="00A335DB"/>
    <w:rsid w:val="00A335DF"/>
    <w:rsid w:val="00A33735"/>
    <w:rsid w:val="00A338DD"/>
    <w:rsid w:val="00A33902"/>
    <w:rsid w:val="00A33AB4"/>
    <w:rsid w:val="00A33B15"/>
    <w:rsid w:val="00A33C25"/>
    <w:rsid w:val="00A33D4D"/>
    <w:rsid w:val="00A33DAA"/>
    <w:rsid w:val="00A34160"/>
    <w:rsid w:val="00A341FA"/>
    <w:rsid w:val="00A3425B"/>
    <w:rsid w:val="00A34485"/>
    <w:rsid w:val="00A3478F"/>
    <w:rsid w:val="00A349AD"/>
    <w:rsid w:val="00A349B9"/>
    <w:rsid w:val="00A34A09"/>
    <w:rsid w:val="00A34B83"/>
    <w:rsid w:val="00A3514A"/>
    <w:rsid w:val="00A35363"/>
    <w:rsid w:val="00A35484"/>
    <w:rsid w:val="00A3583A"/>
    <w:rsid w:val="00A35916"/>
    <w:rsid w:val="00A35926"/>
    <w:rsid w:val="00A35EA7"/>
    <w:rsid w:val="00A35ED8"/>
    <w:rsid w:val="00A35FBF"/>
    <w:rsid w:val="00A36189"/>
    <w:rsid w:val="00A36533"/>
    <w:rsid w:val="00A368D1"/>
    <w:rsid w:val="00A36A0D"/>
    <w:rsid w:val="00A36B0D"/>
    <w:rsid w:val="00A36B17"/>
    <w:rsid w:val="00A37061"/>
    <w:rsid w:val="00A3743A"/>
    <w:rsid w:val="00A37565"/>
    <w:rsid w:val="00A3762C"/>
    <w:rsid w:val="00A376FD"/>
    <w:rsid w:val="00A37850"/>
    <w:rsid w:val="00A378AA"/>
    <w:rsid w:val="00A3793E"/>
    <w:rsid w:val="00A37A20"/>
    <w:rsid w:val="00A37BD9"/>
    <w:rsid w:val="00A37BF1"/>
    <w:rsid w:val="00A37C2A"/>
    <w:rsid w:val="00A37C98"/>
    <w:rsid w:val="00A37EBF"/>
    <w:rsid w:val="00A37F18"/>
    <w:rsid w:val="00A40018"/>
    <w:rsid w:val="00A40573"/>
    <w:rsid w:val="00A40B0D"/>
    <w:rsid w:val="00A410B3"/>
    <w:rsid w:val="00A411BE"/>
    <w:rsid w:val="00A414BB"/>
    <w:rsid w:val="00A41787"/>
    <w:rsid w:val="00A41A97"/>
    <w:rsid w:val="00A41C00"/>
    <w:rsid w:val="00A41D14"/>
    <w:rsid w:val="00A41E58"/>
    <w:rsid w:val="00A42155"/>
    <w:rsid w:val="00A42404"/>
    <w:rsid w:val="00A4276C"/>
    <w:rsid w:val="00A427B1"/>
    <w:rsid w:val="00A4283E"/>
    <w:rsid w:val="00A42B15"/>
    <w:rsid w:val="00A42C81"/>
    <w:rsid w:val="00A42D34"/>
    <w:rsid w:val="00A42D98"/>
    <w:rsid w:val="00A42ED9"/>
    <w:rsid w:val="00A42EF2"/>
    <w:rsid w:val="00A43094"/>
    <w:rsid w:val="00A431D7"/>
    <w:rsid w:val="00A43A3A"/>
    <w:rsid w:val="00A43B7D"/>
    <w:rsid w:val="00A43C06"/>
    <w:rsid w:val="00A43C54"/>
    <w:rsid w:val="00A43CF9"/>
    <w:rsid w:val="00A43DB5"/>
    <w:rsid w:val="00A43FC0"/>
    <w:rsid w:val="00A43FFB"/>
    <w:rsid w:val="00A44060"/>
    <w:rsid w:val="00A44289"/>
    <w:rsid w:val="00A445FD"/>
    <w:rsid w:val="00A4478E"/>
    <w:rsid w:val="00A44859"/>
    <w:rsid w:val="00A448AD"/>
    <w:rsid w:val="00A44A7D"/>
    <w:rsid w:val="00A44EB5"/>
    <w:rsid w:val="00A450AC"/>
    <w:rsid w:val="00A4510D"/>
    <w:rsid w:val="00A452BA"/>
    <w:rsid w:val="00A453C2"/>
    <w:rsid w:val="00A45A1A"/>
    <w:rsid w:val="00A45A1B"/>
    <w:rsid w:val="00A45A98"/>
    <w:rsid w:val="00A45C46"/>
    <w:rsid w:val="00A45D84"/>
    <w:rsid w:val="00A45E81"/>
    <w:rsid w:val="00A45F60"/>
    <w:rsid w:val="00A4600C"/>
    <w:rsid w:val="00A46041"/>
    <w:rsid w:val="00A461AB"/>
    <w:rsid w:val="00A46467"/>
    <w:rsid w:val="00A46490"/>
    <w:rsid w:val="00A4655D"/>
    <w:rsid w:val="00A465AA"/>
    <w:rsid w:val="00A46738"/>
    <w:rsid w:val="00A4675E"/>
    <w:rsid w:val="00A467E3"/>
    <w:rsid w:val="00A4685F"/>
    <w:rsid w:val="00A4686C"/>
    <w:rsid w:val="00A46C2D"/>
    <w:rsid w:val="00A46CFA"/>
    <w:rsid w:val="00A46D14"/>
    <w:rsid w:val="00A46EB1"/>
    <w:rsid w:val="00A4721E"/>
    <w:rsid w:val="00A47246"/>
    <w:rsid w:val="00A47406"/>
    <w:rsid w:val="00A47498"/>
    <w:rsid w:val="00A474B2"/>
    <w:rsid w:val="00A4754C"/>
    <w:rsid w:val="00A4794A"/>
    <w:rsid w:val="00A47955"/>
    <w:rsid w:val="00A47FC2"/>
    <w:rsid w:val="00A50216"/>
    <w:rsid w:val="00A50470"/>
    <w:rsid w:val="00A50B8E"/>
    <w:rsid w:val="00A50BCC"/>
    <w:rsid w:val="00A51072"/>
    <w:rsid w:val="00A511DE"/>
    <w:rsid w:val="00A513E5"/>
    <w:rsid w:val="00A5145C"/>
    <w:rsid w:val="00A514B3"/>
    <w:rsid w:val="00A515FB"/>
    <w:rsid w:val="00A5167A"/>
    <w:rsid w:val="00A51877"/>
    <w:rsid w:val="00A51D0E"/>
    <w:rsid w:val="00A51F0D"/>
    <w:rsid w:val="00A521B8"/>
    <w:rsid w:val="00A5223E"/>
    <w:rsid w:val="00A5230E"/>
    <w:rsid w:val="00A523C3"/>
    <w:rsid w:val="00A52601"/>
    <w:rsid w:val="00A5286D"/>
    <w:rsid w:val="00A529A8"/>
    <w:rsid w:val="00A52BC7"/>
    <w:rsid w:val="00A52C0F"/>
    <w:rsid w:val="00A52EB0"/>
    <w:rsid w:val="00A530EA"/>
    <w:rsid w:val="00A53152"/>
    <w:rsid w:val="00A531B5"/>
    <w:rsid w:val="00A531B7"/>
    <w:rsid w:val="00A53508"/>
    <w:rsid w:val="00A536D2"/>
    <w:rsid w:val="00A537FB"/>
    <w:rsid w:val="00A53845"/>
    <w:rsid w:val="00A5393C"/>
    <w:rsid w:val="00A539B2"/>
    <w:rsid w:val="00A53D42"/>
    <w:rsid w:val="00A540EA"/>
    <w:rsid w:val="00A540FD"/>
    <w:rsid w:val="00A541AE"/>
    <w:rsid w:val="00A54366"/>
    <w:rsid w:val="00A543F9"/>
    <w:rsid w:val="00A54460"/>
    <w:rsid w:val="00A54757"/>
    <w:rsid w:val="00A54AB7"/>
    <w:rsid w:val="00A54B8F"/>
    <w:rsid w:val="00A54F51"/>
    <w:rsid w:val="00A54F8B"/>
    <w:rsid w:val="00A550A2"/>
    <w:rsid w:val="00A55198"/>
    <w:rsid w:val="00A5521E"/>
    <w:rsid w:val="00A55266"/>
    <w:rsid w:val="00A5526B"/>
    <w:rsid w:val="00A5531E"/>
    <w:rsid w:val="00A55766"/>
    <w:rsid w:val="00A55F76"/>
    <w:rsid w:val="00A56103"/>
    <w:rsid w:val="00A56198"/>
    <w:rsid w:val="00A5665F"/>
    <w:rsid w:val="00A56977"/>
    <w:rsid w:val="00A569B4"/>
    <w:rsid w:val="00A56DD4"/>
    <w:rsid w:val="00A56E0B"/>
    <w:rsid w:val="00A571BE"/>
    <w:rsid w:val="00A57232"/>
    <w:rsid w:val="00A57A26"/>
    <w:rsid w:val="00A57AEF"/>
    <w:rsid w:val="00A57DA7"/>
    <w:rsid w:val="00A57F83"/>
    <w:rsid w:val="00A60401"/>
    <w:rsid w:val="00A6049F"/>
    <w:rsid w:val="00A60584"/>
    <w:rsid w:val="00A60BFC"/>
    <w:rsid w:val="00A60FAE"/>
    <w:rsid w:val="00A613DD"/>
    <w:rsid w:val="00A615B4"/>
    <w:rsid w:val="00A618E3"/>
    <w:rsid w:val="00A61B1A"/>
    <w:rsid w:val="00A61D8B"/>
    <w:rsid w:val="00A61EE1"/>
    <w:rsid w:val="00A61FAE"/>
    <w:rsid w:val="00A620CD"/>
    <w:rsid w:val="00A6226D"/>
    <w:rsid w:val="00A62499"/>
    <w:rsid w:val="00A627FC"/>
    <w:rsid w:val="00A62B7D"/>
    <w:rsid w:val="00A62CEC"/>
    <w:rsid w:val="00A62D9B"/>
    <w:rsid w:val="00A62EDA"/>
    <w:rsid w:val="00A62F82"/>
    <w:rsid w:val="00A6316B"/>
    <w:rsid w:val="00A63178"/>
    <w:rsid w:val="00A631C4"/>
    <w:rsid w:val="00A6321D"/>
    <w:rsid w:val="00A632E5"/>
    <w:rsid w:val="00A634DC"/>
    <w:rsid w:val="00A63509"/>
    <w:rsid w:val="00A635E2"/>
    <w:rsid w:val="00A6371F"/>
    <w:rsid w:val="00A63878"/>
    <w:rsid w:val="00A6389A"/>
    <w:rsid w:val="00A63981"/>
    <w:rsid w:val="00A63B6F"/>
    <w:rsid w:val="00A63CA1"/>
    <w:rsid w:val="00A64005"/>
    <w:rsid w:val="00A640D5"/>
    <w:rsid w:val="00A64365"/>
    <w:rsid w:val="00A64658"/>
    <w:rsid w:val="00A646CF"/>
    <w:rsid w:val="00A64972"/>
    <w:rsid w:val="00A64C43"/>
    <w:rsid w:val="00A64CC0"/>
    <w:rsid w:val="00A64EF9"/>
    <w:rsid w:val="00A64FD9"/>
    <w:rsid w:val="00A65061"/>
    <w:rsid w:val="00A65435"/>
    <w:rsid w:val="00A657D5"/>
    <w:rsid w:val="00A658E7"/>
    <w:rsid w:val="00A65AFA"/>
    <w:rsid w:val="00A65BEA"/>
    <w:rsid w:val="00A65CF0"/>
    <w:rsid w:val="00A65DD9"/>
    <w:rsid w:val="00A65E24"/>
    <w:rsid w:val="00A65F0D"/>
    <w:rsid w:val="00A6622B"/>
    <w:rsid w:val="00A662B5"/>
    <w:rsid w:val="00A66594"/>
    <w:rsid w:val="00A66B9B"/>
    <w:rsid w:val="00A66C4E"/>
    <w:rsid w:val="00A66C82"/>
    <w:rsid w:val="00A66CF3"/>
    <w:rsid w:val="00A66D9E"/>
    <w:rsid w:val="00A66FC2"/>
    <w:rsid w:val="00A6746F"/>
    <w:rsid w:val="00A67471"/>
    <w:rsid w:val="00A67A78"/>
    <w:rsid w:val="00A67B49"/>
    <w:rsid w:val="00A67D74"/>
    <w:rsid w:val="00A67E84"/>
    <w:rsid w:val="00A70033"/>
    <w:rsid w:val="00A7010B"/>
    <w:rsid w:val="00A701E8"/>
    <w:rsid w:val="00A70703"/>
    <w:rsid w:val="00A70A3C"/>
    <w:rsid w:val="00A70A4F"/>
    <w:rsid w:val="00A70B4C"/>
    <w:rsid w:val="00A70C59"/>
    <w:rsid w:val="00A70CE3"/>
    <w:rsid w:val="00A70D76"/>
    <w:rsid w:val="00A70FDC"/>
    <w:rsid w:val="00A71120"/>
    <w:rsid w:val="00A714A8"/>
    <w:rsid w:val="00A714CB"/>
    <w:rsid w:val="00A716A6"/>
    <w:rsid w:val="00A71AD1"/>
    <w:rsid w:val="00A71D0D"/>
    <w:rsid w:val="00A71ED6"/>
    <w:rsid w:val="00A72308"/>
    <w:rsid w:val="00A72350"/>
    <w:rsid w:val="00A7235C"/>
    <w:rsid w:val="00A7236A"/>
    <w:rsid w:val="00A724F2"/>
    <w:rsid w:val="00A72525"/>
    <w:rsid w:val="00A72569"/>
    <w:rsid w:val="00A72923"/>
    <w:rsid w:val="00A732E8"/>
    <w:rsid w:val="00A7337F"/>
    <w:rsid w:val="00A73390"/>
    <w:rsid w:val="00A7344A"/>
    <w:rsid w:val="00A734AD"/>
    <w:rsid w:val="00A735AE"/>
    <w:rsid w:val="00A73804"/>
    <w:rsid w:val="00A7385C"/>
    <w:rsid w:val="00A739D2"/>
    <w:rsid w:val="00A73A91"/>
    <w:rsid w:val="00A73C63"/>
    <w:rsid w:val="00A73CF1"/>
    <w:rsid w:val="00A73E39"/>
    <w:rsid w:val="00A73F51"/>
    <w:rsid w:val="00A73FA3"/>
    <w:rsid w:val="00A740EB"/>
    <w:rsid w:val="00A7412E"/>
    <w:rsid w:val="00A742FE"/>
    <w:rsid w:val="00A74457"/>
    <w:rsid w:val="00A74532"/>
    <w:rsid w:val="00A746BA"/>
    <w:rsid w:val="00A74B97"/>
    <w:rsid w:val="00A74EDB"/>
    <w:rsid w:val="00A75158"/>
    <w:rsid w:val="00A755E8"/>
    <w:rsid w:val="00A758FF"/>
    <w:rsid w:val="00A75ADA"/>
    <w:rsid w:val="00A75BE8"/>
    <w:rsid w:val="00A75D21"/>
    <w:rsid w:val="00A7619E"/>
    <w:rsid w:val="00A761E4"/>
    <w:rsid w:val="00A762BD"/>
    <w:rsid w:val="00A76682"/>
    <w:rsid w:val="00A766FE"/>
    <w:rsid w:val="00A76706"/>
    <w:rsid w:val="00A76938"/>
    <w:rsid w:val="00A76CCD"/>
    <w:rsid w:val="00A76D15"/>
    <w:rsid w:val="00A76ECE"/>
    <w:rsid w:val="00A76EE1"/>
    <w:rsid w:val="00A7713E"/>
    <w:rsid w:val="00A77267"/>
    <w:rsid w:val="00A7732C"/>
    <w:rsid w:val="00A77678"/>
    <w:rsid w:val="00A7773B"/>
    <w:rsid w:val="00A77791"/>
    <w:rsid w:val="00A77BC8"/>
    <w:rsid w:val="00A77D75"/>
    <w:rsid w:val="00A77FE8"/>
    <w:rsid w:val="00A80013"/>
    <w:rsid w:val="00A8033D"/>
    <w:rsid w:val="00A80351"/>
    <w:rsid w:val="00A803AB"/>
    <w:rsid w:val="00A803F9"/>
    <w:rsid w:val="00A8050D"/>
    <w:rsid w:val="00A80578"/>
    <w:rsid w:val="00A805E0"/>
    <w:rsid w:val="00A8086F"/>
    <w:rsid w:val="00A809D9"/>
    <w:rsid w:val="00A80AC2"/>
    <w:rsid w:val="00A80D1A"/>
    <w:rsid w:val="00A80DB5"/>
    <w:rsid w:val="00A812E8"/>
    <w:rsid w:val="00A81310"/>
    <w:rsid w:val="00A814BC"/>
    <w:rsid w:val="00A8163A"/>
    <w:rsid w:val="00A818E0"/>
    <w:rsid w:val="00A81A1B"/>
    <w:rsid w:val="00A81BA4"/>
    <w:rsid w:val="00A81D42"/>
    <w:rsid w:val="00A81FBF"/>
    <w:rsid w:val="00A820AD"/>
    <w:rsid w:val="00A8212F"/>
    <w:rsid w:val="00A82190"/>
    <w:rsid w:val="00A82202"/>
    <w:rsid w:val="00A82263"/>
    <w:rsid w:val="00A823E8"/>
    <w:rsid w:val="00A82540"/>
    <w:rsid w:val="00A82587"/>
    <w:rsid w:val="00A826C0"/>
    <w:rsid w:val="00A8271B"/>
    <w:rsid w:val="00A828DC"/>
    <w:rsid w:val="00A82BC9"/>
    <w:rsid w:val="00A82BEE"/>
    <w:rsid w:val="00A82E1E"/>
    <w:rsid w:val="00A83062"/>
    <w:rsid w:val="00A831AB"/>
    <w:rsid w:val="00A832B7"/>
    <w:rsid w:val="00A8362E"/>
    <w:rsid w:val="00A8366F"/>
    <w:rsid w:val="00A836FE"/>
    <w:rsid w:val="00A8393E"/>
    <w:rsid w:val="00A83BD6"/>
    <w:rsid w:val="00A83BE5"/>
    <w:rsid w:val="00A83C9D"/>
    <w:rsid w:val="00A83E8B"/>
    <w:rsid w:val="00A83F2B"/>
    <w:rsid w:val="00A84383"/>
    <w:rsid w:val="00A8449C"/>
    <w:rsid w:val="00A84586"/>
    <w:rsid w:val="00A846E8"/>
    <w:rsid w:val="00A84835"/>
    <w:rsid w:val="00A848FA"/>
    <w:rsid w:val="00A84916"/>
    <w:rsid w:val="00A84934"/>
    <w:rsid w:val="00A849F7"/>
    <w:rsid w:val="00A84A2C"/>
    <w:rsid w:val="00A84ADF"/>
    <w:rsid w:val="00A84B21"/>
    <w:rsid w:val="00A84CC4"/>
    <w:rsid w:val="00A84CC8"/>
    <w:rsid w:val="00A84DC0"/>
    <w:rsid w:val="00A84E15"/>
    <w:rsid w:val="00A85071"/>
    <w:rsid w:val="00A8569B"/>
    <w:rsid w:val="00A856BB"/>
    <w:rsid w:val="00A85722"/>
    <w:rsid w:val="00A85D2A"/>
    <w:rsid w:val="00A85DAE"/>
    <w:rsid w:val="00A85DC9"/>
    <w:rsid w:val="00A860D6"/>
    <w:rsid w:val="00A8630A"/>
    <w:rsid w:val="00A8631C"/>
    <w:rsid w:val="00A8648D"/>
    <w:rsid w:val="00A864D2"/>
    <w:rsid w:val="00A864F5"/>
    <w:rsid w:val="00A86588"/>
    <w:rsid w:val="00A86687"/>
    <w:rsid w:val="00A866B2"/>
    <w:rsid w:val="00A868DA"/>
    <w:rsid w:val="00A86A0A"/>
    <w:rsid w:val="00A86FDD"/>
    <w:rsid w:val="00A871EF"/>
    <w:rsid w:val="00A877A9"/>
    <w:rsid w:val="00A8781A"/>
    <w:rsid w:val="00A878C1"/>
    <w:rsid w:val="00A87B08"/>
    <w:rsid w:val="00A87DE1"/>
    <w:rsid w:val="00A87DE3"/>
    <w:rsid w:val="00A90426"/>
    <w:rsid w:val="00A9061D"/>
    <w:rsid w:val="00A90627"/>
    <w:rsid w:val="00A90654"/>
    <w:rsid w:val="00A906A6"/>
    <w:rsid w:val="00A908B0"/>
    <w:rsid w:val="00A90BA9"/>
    <w:rsid w:val="00A90CC9"/>
    <w:rsid w:val="00A90E73"/>
    <w:rsid w:val="00A9115C"/>
    <w:rsid w:val="00A913D3"/>
    <w:rsid w:val="00A91615"/>
    <w:rsid w:val="00A916D0"/>
    <w:rsid w:val="00A917EA"/>
    <w:rsid w:val="00A91C79"/>
    <w:rsid w:val="00A91D31"/>
    <w:rsid w:val="00A923F9"/>
    <w:rsid w:val="00A92649"/>
    <w:rsid w:val="00A92900"/>
    <w:rsid w:val="00A92BE3"/>
    <w:rsid w:val="00A92DCF"/>
    <w:rsid w:val="00A92EA9"/>
    <w:rsid w:val="00A92EC2"/>
    <w:rsid w:val="00A93002"/>
    <w:rsid w:val="00A9314B"/>
    <w:rsid w:val="00A935E6"/>
    <w:rsid w:val="00A936C6"/>
    <w:rsid w:val="00A93890"/>
    <w:rsid w:val="00A93987"/>
    <w:rsid w:val="00A93CB4"/>
    <w:rsid w:val="00A93DC6"/>
    <w:rsid w:val="00A940C4"/>
    <w:rsid w:val="00A941B5"/>
    <w:rsid w:val="00A94209"/>
    <w:rsid w:val="00A942DC"/>
    <w:rsid w:val="00A94301"/>
    <w:rsid w:val="00A94576"/>
    <w:rsid w:val="00A94857"/>
    <w:rsid w:val="00A9485E"/>
    <w:rsid w:val="00A94A89"/>
    <w:rsid w:val="00A94CA7"/>
    <w:rsid w:val="00A94D72"/>
    <w:rsid w:val="00A94D7D"/>
    <w:rsid w:val="00A9507F"/>
    <w:rsid w:val="00A950AF"/>
    <w:rsid w:val="00A95497"/>
    <w:rsid w:val="00A95ED7"/>
    <w:rsid w:val="00A960DB"/>
    <w:rsid w:val="00A96180"/>
    <w:rsid w:val="00A96252"/>
    <w:rsid w:val="00A963E3"/>
    <w:rsid w:val="00A963F0"/>
    <w:rsid w:val="00A96704"/>
    <w:rsid w:val="00A96B8A"/>
    <w:rsid w:val="00A96BD2"/>
    <w:rsid w:val="00A96D39"/>
    <w:rsid w:val="00A96D46"/>
    <w:rsid w:val="00A96FAF"/>
    <w:rsid w:val="00A96FD9"/>
    <w:rsid w:val="00A971E4"/>
    <w:rsid w:val="00A972EC"/>
    <w:rsid w:val="00A97489"/>
    <w:rsid w:val="00A975E8"/>
    <w:rsid w:val="00A979E9"/>
    <w:rsid w:val="00A97A44"/>
    <w:rsid w:val="00A97B69"/>
    <w:rsid w:val="00A97D55"/>
    <w:rsid w:val="00A97F89"/>
    <w:rsid w:val="00AA036D"/>
    <w:rsid w:val="00AA0639"/>
    <w:rsid w:val="00AA063B"/>
    <w:rsid w:val="00AA098B"/>
    <w:rsid w:val="00AA09C9"/>
    <w:rsid w:val="00AA0A95"/>
    <w:rsid w:val="00AA0BF4"/>
    <w:rsid w:val="00AA0D43"/>
    <w:rsid w:val="00AA0DD6"/>
    <w:rsid w:val="00AA0DE1"/>
    <w:rsid w:val="00AA11FD"/>
    <w:rsid w:val="00AA129C"/>
    <w:rsid w:val="00AA130E"/>
    <w:rsid w:val="00AA144D"/>
    <w:rsid w:val="00AA14AF"/>
    <w:rsid w:val="00AA1597"/>
    <w:rsid w:val="00AA15CF"/>
    <w:rsid w:val="00AA1755"/>
    <w:rsid w:val="00AA17E2"/>
    <w:rsid w:val="00AA196B"/>
    <w:rsid w:val="00AA1A07"/>
    <w:rsid w:val="00AA1B03"/>
    <w:rsid w:val="00AA1BD0"/>
    <w:rsid w:val="00AA1F72"/>
    <w:rsid w:val="00AA207C"/>
    <w:rsid w:val="00AA211C"/>
    <w:rsid w:val="00AA213D"/>
    <w:rsid w:val="00AA230F"/>
    <w:rsid w:val="00AA25BF"/>
    <w:rsid w:val="00AA26BE"/>
    <w:rsid w:val="00AA28D0"/>
    <w:rsid w:val="00AA2906"/>
    <w:rsid w:val="00AA292D"/>
    <w:rsid w:val="00AA2933"/>
    <w:rsid w:val="00AA2CB4"/>
    <w:rsid w:val="00AA2CCD"/>
    <w:rsid w:val="00AA2D47"/>
    <w:rsid w:val="00AA2DCF"/>
    <w:rsid w:val="00AA2EB7"/>
    <w:rsid w:val="00AA301A"/>
    <w:rsid w:val="00AA3095"/>
    <w:rsid w:val="00AA35CC"/>
    <w:rsid w:val="00AA3AA9"/>
    <w:rsid w:val="00AA4166"/>
    <w:rsid w:val="00AA4783"/>
    <w:rsid w:val="00AA4CC1"/>
    <w:rsid w:val="00AA50E6"/>
    <w:rsid w:val="00AA5112"/>
    <w:rsid w:val="00AA5304"/>
    <w:rsid w:val="00AA5333"/>
    <w:rsid w:val="00AA55BC"/>
    <w:rsid w:val="00AA561D"/>
    <w:rsid w:val="00AA56E3"/>
    <w:rsid w:val="00AA5A14"/>
    <w:rsid w:val="00AA5A1A"/>
    <w:rsid w:val="00AA5A8E"/>
    <w:rsid w:val="00AA5B79"/>
    <w:rsid w:val="00AA5C8D"/>
    <w:rsid w:val="00AA5CD0"/>
    <w:rsid w:val="00AA5FB1"/>
    <w:rsid w:val="00AA606D"/>
    <w:rsid w:val="00AA67B8"/>
    <w:rsid w:val="00AA695A"/>
    <w:rsid w:val="00AA6D85"/>
    <w:rsid w:val="00AA6F21"/>
    <w:rsid w:val="00AA6F3C"/>
    <w:rsid w:val="00AA6FD1"/>
    <w:rsid w:val="00AA70D6"/>
    <w:rsid w:val="00AA711F"/>
    <w:rsid w:val="00AA7149"/>
    <w:rsid w:val="00AA7553"/>
    <w:rsid w:val="00AA7597"/>
    <w:rsid w:val="00AA76C6"/>
    <w:rsid w:val="00AA7914"/>
    <w:rsid w:val="00AA7A7E"/>
    <w:rsid w:val="00AA7B71"/>
    <w:rsid w:val="00AA7E12"/>
    <w:rsid w:val="00AA7F2C"/>
    <w:rsid w:val="00AB0113"/>
    <w:rsid w:val="00AB0189"/>
    <w:rsid w:val="00AB01AB"/>
    <w:rsid w:val="00AB01C6"/>
    <w:rsid w:val="00AB0362"/>
    <w:rsid w:val="00AB0579"/>
    <w:rsid w:val="00AB0644"/>
    <w:rsid w:val="00AB0753"/>
    <w:rsid w:val="00AB0944"/>
    <w:rsid w:val="00AB0A87"/>
    <w:rsid w:val="00AB0ABE"/>
    <w:rsid w:val="00AB0C84"/>
    <w:rsid w:val="00AB0FA9"/>
    <w:rsid w:val="00AB108B"/>
    <w:rsid w:val="00AB1256"/>
    <w:rsid w:val="00AB1495"/>
    <w:rsid w:val="00AB15BB"/>
    <w:rsid w:val="00AB165C"/>
    <w:rsid w:val="00AB17E9"/>
    <w:rsid w:val="00AB18C0"/>
    <w:rsid w:val="00AB1A31"/>
    <w:rsid w:val="00AB1E4E"/>
    <w:rsid w:val="00AB1F76"/>
    <w:rsid w:val="00AB1FBC"/>
    <w:rsid w:val="00AB1FE0"/>
    <w:rsid w:val="00AB2066"/>
    <w:rsid w:val="00AB221F"/>
    <w:rsid w:val="00AB25E9"/>
    <w:rsid w:val="00AB2DDF"/>
    <w:rsid w:val="00AB2DF0"/>
    <w:rsid w:val="00AB2E09"/>
    <w:rsid w:val="00AB2F93"/>
    <w:rsid w:val="00AB2FF0"/>
    <w:rsid w:val="00AB31BD"/>
    <w:rsid w:val="00AB3628"/>
    <w:rsid w:val="00AB3761"/>
    <w:rsid w:val="00AB4173"/>
    <w:rsid w:val="00AB41E1"/>
    <w:rsid w:val="00AB42D0"/>
    <w:rsid w:val="00AB43A4"/>
    <w:rsid w:val="00AB4476"/>
    <w:rsid w:val="00AB455B"/>
    <w:rsid w:val="00AB4579"/>
    <w:rsid w:val="00AB4676"/>
    <w:rsid w:val="00AB46A7"/>
    <w:rsid w:val="00AB4717"/>
    <w:rsid w:val="00AB47C7"/>
    <w:rsid w:val="00AB4878"/>
    <w:rsid w:val="00AB490D"/>
    <w:rsid w:val="00AB4A02"/>
    <w:rsid w:val="00AB4A1B"/>
    <w:rsid w:val="00AB4A5B"/>
    <w:rsid w:val="00AB4BE3"/>
    <w:rsid w:val="00AB4D46"/>
    <w:rsid w:val="00AB4F5E"/>
    <w:rsid w:val="00AB50F0"/>
    <w:rsid w:val="00AB5121"/>
    <w:rsid w:val="00AB51A8"/>
    <w:rsid w:val="00AB5202"/>
    <w:rsid w:val="00AB588A"/>
    <w:rsid w:val="00AB59FF"/>
    <w:rsid w:val="00AB5A7E"/>
    <w:rsid w:val="00AB5A8D"/>
    <w:rsid w:val="00AB5CEB"/>
    <w:rsid w:val="00AB5E48"/>
    <w:rsid w:val="00AB5F0E"/>
    <w:rsid w:val="00AB624E"/>
    <w:rsid w:val="00AB6252"/>
    <w:rsid w:val="00AB6713"/>
    <w:rsid w:val="00AB67F7"/>
    <w:rsid w:val="00AB6A87"/>
    <w:rsid w:val="00AB6D49"/>
    <w:rsid w:val="00AB6E31"/>
    <w:rsid w:val="00AB6F40"/>
    <w:rsid w:val="00AB6F8C"/>
    <w:rsid w:val="00AB6FFB"/>
    <w:rsid w:val="00AB706E"/>
    <w:rsid w:val="00AB70BE"/>
    <w:rsid w:val="00AB7167"/>
    <w:rsid w:val="00AB71C7"/>
    <w:rsid w:val="00AB7268"/>
    <w:rsid w:val="00AB72C3"/>
    <w:rsid w:val="00AB7671"/>
    <w:rsid w:val="00AB7725"/>
    <w:rsid w:val="00AB775E"/>
    <w:rsid w:val="00AB7AA0"/>
    <w:rsid w:val="00AB7AB5"/>
    <w:rsid w:val="00AB7B6F"/>
    <w:rsid w:val="00AB7FB9"/>
    <w:rsid w:val="00AC0011"/>
    <w:rsid w:val="00AC01E6"/>
    <w:rsid w:val="00AC0323"/>
    <w:rsid w:val="00AC06F7"/>
    <w:rsid w:val="00AC0AAF"/>
    <w:rsid w:val="00AC0B29"/>
    <w:rsid w:val="00AC0D6F"/>
    <w:rsid w:val="00AC0DAA"/>
    <w:rsid w:val="00AC0EA8"/>
    <w:rsid w:val="00AC12AF"/>
    <w:rsid w:val="00AC1432"/>
    <w:rsid w:val="00AC1468"/>
    <w:rsid w:val="00AC152F"/>
    <w:rsid w:val="00AC159F"/>
    <w:rsid w:val="00AC16DF"/>
    <w:rsid w:val="00AC183D"/>
    <w:rsid w:val="00AC1A35"/>
    <w:rsid w:val="00AC1A9F"/>
    <w:rsid w:val="00AC1CE5"/>
    <w:rsid w:val="00AC1D9D"/>
    <w:rsid w:val="00AC1DD4"/>
    <w:rsid w:val="00AC1E0A"/>
    <w:rsid w:val="00AC1ECF"/>
    <w:rsid w:val="00AC1FD7"/>
    <w:rsid w:val="00AC24C4"/>
    <w:rsid w:val="00AC2578"/>
    <w:rsid w:val="00AC2843"/>
    <w:rsid w:val="00AC285F"/>
    <w:rsid w:val="00AC2A7C"/>
    <w:rsid w:val="00AC2AE1"/>
    <w:rsid w:val="00AC2C24"/>
    <w:rsid w:val="00AC2C4F"/>
    <w:rsid w:val="00AC2D0B"/>
    <w:rsid w:val="00AC3046"/>
    <w:rsid w:val="00AC30D3"/>
    <w:rsid w:val="00AC30F6"/>
    <w:rsid w:val="00AC362A"/>
    <w:rsid w:val="00AC363A"/>
    <w:rsid w:val="00AC3742"/>
    <w:rsid w:val="00AC386A"/>
    <w:rsid w:val="00AC3AEE"/>
    <w:rsid w:val="00AC3B02"/>
    <w:rsid w:val="00AC3B41"/>
    <w:rsid w:val="00AC3E90"/>
    <w:rsid w:val="00AC4372"/>
    <w:rsid w:val="00AC438B"/>
    <w:rsid w:val="00AC49A2"/>
    <w:rsid w:val="00AC4B94"/>
    <w:rsid w:val="00AC4DB0"/>
    <w:rsid w:val="00AC4DB8"/>
    <w:rsid w:val="00AC4F40"/>
    <w:rsid w:val="00AC5137"/>
    <w:rsid w:val="00AC5162"/>
    <w:rsid w:val="00AC517B"/>
    <w:rsid w:val="00AC53D2"/>
    <w:rsid w:val="00AC5538"/>
    <w:rsid w:val="00AC56FF"/>
    <w:rsid w:val="00AC57DD"/>
    <w:rsid w:val="00AC58B9"/>
    <w:rsid w:val="00AC5925"/>
    <w:rsid w:val="00AC5ABC"/>
    <w:rsid w:val="00AC5BA2"/>
    <w:rsid w:val="00AC5C42"/>
    <w:rsid w:val="00AC6076"/>
    <w:rsid w:val="00AC63D0"/>
    <w:rsid w:val="00AC63DF"/>
    <w:rsid w:val="00AC64DE"/>
    <w:rsid w:val="00AC656A"/>
    <w:rsid w:val="00AC67A1"/>
    <w:rsid w:val="00AC6840"/>
    <w:rsid w:val="00AC6BAF"/>
    <w:rsid w:val="00AC7053"/>
    <w:rsid w:val="00AC7087"/>
    <w:rsid w:val="00AC7146"/>
    <w:rsid w:val="00AC71E8"/>
    <w:rsid w:val="00AC7238"/>
    <w:rsid w:val="00AC7292"/>
    <w:rsid w:val="00AC729E"/>
    <w:rsid w:val="00AC73F3"/>
    <w:rsid w:val="00AC7802"/>
    <w:rsid w:val="00AC7967"/>
    <w:rsid w:val="00AC7A8B"/>
    <w:rsid w:val="00AC7B8B"/>
    <w:rsid w:val="00AC7BCB"/>
    <w:rsid w:val="00AC7D72"/>
    <w:rsid w:val="00AC7ECF"/>
    <w:rsid w:val="00AC7EE5"/>
    <w:rsid w:val="00AC7F1B"/>
    <w:rsid w:val="00AC7FBF"/>
    <w:rsid w:val="00AD05C2"/>
    <w:rsid w:val="00AD066A"/>
    <w:rsid w:val="00AD069A"/>
    <w:rsid w:val="00AD06FE"/>
    <w:rsid w:val="00AD0810"/>
    <w:rsid w:val="00AD0982"/>
    <w:rsid w:val="00AD0C90"/>
    <w:rsid w:val="00AD0DB1"/>
    <w:rsid w:val="00AD0DB4"/>
    <w:rsid w:val="00AD0F19"/>
    <w:rsid w:val="00AD1059"/>
    <w:rsid w:val="00AD129D"/>
    <w:rsid w:val="00AD13F3"/>
    <w:rsid w:val="00AD1BAE"/>
    <w:rsid w:val="00AD1CAC"/>
    <w:rsid w:val="00AD1CB7"/>
    <w:rsid w:val="00AD1D64"/>
    <w:rsid w:val="00AD22C3"/>
    <w:rsid w:val="00AD2359"/>
    <w:rsid w:val="00AD25EF"/>
    <w:rsid w:val="00AD2761"/>
    <w:rsid w:val="00AD27EF"/>
    <w:rsid w:val="00AD286C"/>
    <w:rsid w:val="00AD287B"/>
    <w:rsid w:val="00AD28DF"/>
    <w:rsid w:val="00AD2D19"/>
    <w:rsid w:val="00AD2E66"/>
    <w:rsid w:val="00AD2FF6"/>
    <w:rsid w:val="00AD2FF7"/>
    <w:rsid w:val="00AD3417"/>
    <w:rsid w:val="00AD3955"/>
    <w:rsid w:val="00AD3A1C"/>
    <w:rsid w:val="00AD3D02"/>
    <w:rsid w:val="00AD3D97"/>
    <w:rsid w:val="00AD3E06"/>
    <w:rsid w:val="00AD3E54"/>
    <w:rsid w:val="00AD3EB4"/>
    <w:rsid w:val="00AD4251"/>
    <w:rsid w:val="00AD434A"/>
    <w:rsid w:val="00AD441C"/>
    <w:rsid w:val="00AD45BB"/>
    <w:rsid w:val="00AD46F9"/>
    <w:rsid w:val="00AD479D"/>
    <w:rsid w:val="00AD47D8"/>
    <w:rsid w:val="00AD48F4"/>
    <w:rsid w:val="00AD49E7"/>
    <w:rsid w:val="00AD4A96"/>
    <w:rsid w:val="00AD4B33"/>
    <w:rsid w:val="00AD4C9E"/>
    <w:rsid w:val="00AD4CAC"/>
    <w:rsid w:val="00AD4DE0"/>
    <w:rsid w:val="00AD4E3A"/>
    <w:rsid w:val="00AD4F8C"/>
    <w:rsid w:val="00AD500F"/>
    <w:rsid w:val="00AD51C1"/>
    <w:rsid w:val="00AD5212"/>
    <w:rsid w:val="00AD541D"/>
    <w:rsid w:val="00AD5497"/>
    <w:rsid w:val="00AD5526"/>
    <w:rsid w:val="00AD578C"/>
    <w:rsid w:val="00AD57C9"/>
    <w:rsid w:val="00AD5A02"/>
    <w:rsid w:val="00AD5E04"/>
    <w:rsid w:val="00AD5F41"/>
    <w:rsid w:val="00AD626D"/>
    <w:rsid w:val="00AD6290"/>
    <w:rsid w:val="00AD6508"/>
    <w:rsid w:val="00AD65AA"/>
    <w:rsid w:val="00AD69D9"/>
    <w:rsid w:val="00AD69F2"/>
    <w:rsid w:val="00AD6C6C"/>
    <w:rsid w:val="00AD6F12"/>
    <w:rsid w:val="00AD6F31"/>
    <w:rsid w:val="00AD6F53"/>
    <w:rsid w:val="00AD6FC3"/>
    <w:rsid w:val="00AD70F5"/>
    <w:rsid w:val="00AD74E2"/>
    <w:rsid w:val="00AD7558"/>
    <w:rsid w:val="00AD75D0"/>
    <w:rsid w:val="00AD76CF"/>
    <w:rsid w:val="00AD7730"/>
    <w:rsid w:val="00AD7935"/>
    <w:rsid w:val="00AD7CE0"/>
    <w:rsid w:val="00AD7CEC"/>
    <w:rsid w:val="00AE00D9"/>
    <w:rsid w:val="00AE01D8"/>
    <w:rsid w:val="00AE054D"/>
    <w:rsid w:val="00AE06AC"/>
    <w:rsid w:val="00AE0758"/>
    <w:rsid w:val="00AE0FD5"/>
    <w:rsid w:val="00AE11A3"/>
    <w:rsid w:val="00AE1377"/>
    <w:rsid w:val="00AE14C1"/>
    <w:rsid w:val="00AE16C5"/>
    <w:rsid w:val="00AE18EF"/>
    <w:rsid w:val="00AE18FD"/>
    <w:rsid w:val="00AE1974"/>
    <w:rsid w:val="00AE1A02"/>
    <w:rsid w:val="00AE1A03"/>
    <w:rsid w:val="00AE1A1D"/>
    <w:rsid w:val="00AE1ADE"/>
    <w:rsid w:val="00AE1B92"/>
    <w:rsid w:val="00AE1B9C"/>
    <w:rsid w:val="00AE1D8D"/>
    <w:rsid w:val="00AE1F86"/>
    <w:rsid w:val="00AE240E"/>
    <w:rsid w:val="00AE273A"/>
    <w:rsid w:val="00AE297A"/>
    <w:rsid w:val="00AE298D"/>
    <w:rsid w:val="00AE29AA"/>
    <w:rsid w:val="00AE3260"/>
    <w:rsid w:val="00AE335F"/>
    <w:rsid w:val="00AE3413"/>
    <w:rsid w:val="00AE3443"/>
    <w:rsid w:val="00AE346A"/>
    <w:rsid w:val="00AE351C"/>
    <w:rsid w:val="00AE364D"/>
    <w:rsid w:val="00AE3C72"/>
    <w:rsid w:val="00AE3CEE"/>
    <w:rsid w:val="00AE400D"/>
    <w:rsid w:val="00AE4034"/>
    <w:rsid w:val="00AE40A4"/>
    <w:rsid w:val="00AE422E"/>
    <w:rsid w:val="00AE4380"/>
    <w:rsid w:val="00AE43CE"/>
    <w:rsid w:val="00AE4941"/>
    <w:rsid w:val="00AE4AF0"/>
    <w:rsid w:val="00AE4CFC"/>
    <w:rsid w:val="00AE5025"/>
    <w:rsid w:val="00AE506A"/>
    <w:rsid w:val="00AE56CF"/>
    <w:rsid w:val="00AE58A5"/>
    <w:rsid w:val="00AE5BFE"/>
    <w:rsid w:val="00AE5E97"/>
    <w:rsid w:val="00AE63C2"/>
    <w:rsid w:val="00AE6611"/>
    <w:rsid w:val="00AE68BC"/>
    <w:rsid w:val="00AE6943"/>
    <w:rsid w:val="00AE6971"/>
    <w:rsid w:val="00AE6A6A"/>
    <w:rsid w:val="00AE6D6C"/>
    <w:rsid w:val="00AE701C"/>
    <w:rsid w:val="00AE7644"/>
    <w:rsid w:val="00AE7AC2"/>
    <w:rsid w:val="00AE7BB8"/>
    <w:rsid w:val="00AE7DA7"/>
    <w:rsid w:val="00AE7ED3"/>
    <w:rsid w:val="00AE7F42"/>
    <w:rsid w:val="00AF01FE"/>
    <w:rsid w:val="00AF027B"/>
    <w:rsid w:val="00AF0391"/>
    <w:rsid w:val="00AF0580"/>
    <w:rsid w:val="00AF0922"/>
    <w:rsid w:val="00AF09B5"/>
    <w:rsid w:val="00AF0B2C"/>
    <w:rsid w:val="00AF10B2"/>
    <w:rsid w:val="00AF1279"/>
    <w:rsid w:val="00AF1961"/>
    <w:rsid w:val="00AF1AF8"/>
    <w:rsid w:val="00AF1B01"/>
    <w:rsid w:val="00AF1B9B"/>
    <w:rsid w:val="00AF2001"/>
    <w:rsid w:val="00AF232F"/>
    <w:rsid w:val="00AF2569"/>
    <w:rsid w:val="00AF2597"/>
    <w:rsid w:val="00AF25F4"/>
    <w:rsid w:val="00AF280A"/>
    <w:rsid w:val="00AF2B4B"/>
    <w:rsid w:val="00AF2B99"/>
    <w:rsid w:val="00AF2D1A"/>
    <w:rsid w:val="00AF359E"/>
    <w:rsid w:val="00AF3675"/>
    <w:rsid w:val="00AF376D"/>
    <w:rsid w:val="00AF3907"/>
    <w:rsid w:val="00AF3915"/>
    <w:rsid w:val="00AF3C73"/>
    <w:rsid w:val="00AF3D4A"/>
    <w:rsid w:val="00AF3E8C"/>
    <w:rsid w:val="00AF3FD3"/>
    <w:rsid w:val="00AF4028"/>
    <w:rsid w:val="00AF411E"/>
    <w:rsid w:val="00AF413E"/>
    <w:rsid w:val="00AF456D"/>
    <w:rsid w:val="00AF4837"/>
    <w:rsid w:val="00AF49AA"/>
    <w:rsid w:val="00AF49E8"/>
    <w:rsid w:val="00AF4B53"/>
    <w:rsid w:val="00AF4BAE"/>
    <w:rsid w:val="00AF4C8D"/>
    <w:rsid w:val="00AF4D04"/>
    <w:rsid w:val="00AF4E0E"/>
    <w:rsid w:val="00AF4F3F"/>
    <w:rsid w:val="00AF5484"/>
    <w:rsid w:val="00AF575B"/>
    <w:rsid w:val="00AF5B4A"/>
    <w:rsid w:val="00AF5B60"/>
    <w:rsid w:val="00AF5BAC"/>
    <w:rsid w:val="00AF5BF7"/>
    <w:rsid w:val="00AF6692"/>
    <w:rsid w:val="00AF6709"/>
    <w:rsid w:val="00AF6921"/>
    <w:rsid w:val="00AF6CE6"/>
    <w:rsid w:val="00AF6D01"/>
    <w:rsid w:val="00AF6F6E"/>
    <w:rsid w:val="00AF702D"/>
    <w:rsid w:val="00AF7348"/>
    <w:rsid w:val="00AF7842"/>
    <w:rsid w:val="00AF787C"/>
    <w:rsid w:val="00AF798E"/>
    <w:rsid w:val="00AF7B21"/>
    <w:rsid w:val="00AF7B40"/>
    <w:rsid w:val="00AF7D6C"/>
    <w:rsid w:val="00B00260"/>
    <w:rsid w:val="00B00369"/>
    <w:rsid w:val="00B005B9"/>
    <w:rsid w:val="00B007FD"/>
    <w:rsid w:val="00B00A24"/>
    <w:rsid w:val="00B00AFB"/>
    <w:rsid w:val="00B00CAB"/>
    <w:rsid w:val="00B00D3B"/>
    <w:rsid w:val="00B00E2C"/>
    <w:rsid w:val="00B01046"/>
    <w:rsid w:val="00B01228"/>
    <w:rsid w:val="00B015FB"/>
    <w:rsid w:val="00B016FF"/>
    <w:rsid w:val="00B017B0"/>
    <w:rsid w:val="00B017EF"/>
    <w:rsid w:val="00B01836"/>
    <w:rsid w:val="00B01AAE"/>
    <w:rsid w:val="00B01AD6"/>
    <w:rsid w:val="00B01B0F"/>
    <w:rsid w:val="00B01CED"/>
    <w:rsid w:val="00B01E37"/>
    <w:rsid w:val="00B02172"/>
    <w:rsid w:val="00B0218A"/>
    <w:rsid w:val="00B022CE"/>
    <w:rsid w:val="00B02354"/>
    <w:rsid w:val="00B0235F"/>
    <w:rsid w:val="00B02612"/>
    <w:rsid w:val="00B028AC"/>
    <w:rsid w:val="00B02EB5"/>
    <w:rsid w:val="00B03025"/>
    <w:rsid w:val="00B03207"/>
    <w:rsid w:val="00B0327C"/>
    <w:rsid w:val="00B03438"/>
    <w:rsid w:val="00B035E4"/>
    <w:rsid w:val="00B03668"/>
    <w:rsid w:val="00B036A5"/>
    <w:rsid w:val="00B03740"/>
    <w:rsid w:val="00B037EF"/>
    <w:rsid w:val="00B0393F"/>
    <w:rsid w:val="00B03D41"/>
    <w:rsid w:val="00B040FA"/>
    <w:rsid w:val="00B0444E"/>
    <w:rsid w:val="00B0455C"/>
    <w:rsid w:val="00B046A2"/>
    <w:rsid w:val="00B04EF2"/>
    <w:rsid w:val="00B04F3C"/>
    <w:rsid w:val="00B04F6E"/>
    <w:rsid w:val="00B0505E"/>
    <w:rsid w:val="00B05182"/>
    <w:rsid w:val="00B05205"/>
    <w:rsid w:val="00B052C0"/>
    <w:rsid w:val="00B0532A"/>
    <w:rsid w:val="00B05336"/>
    <w:rsid w:val="00B0538D"/>
    <w:rsid w:val="00B057B0"/>
    <w:rsid w:val="00B05A8C"/>
    <w:rsid w:val="00B06128"/>
    <w:rsid w:val="00B062A8"/>
    <w:rsid w:val="00B065A4"/>
    <w:rsid w:val="00B065A9"/>
    <w:rsid w:val="00B06AE7"/>
    <w:rsid w:val="00B0710D"/>
    <w:rsid w:val="00B0736A"/>
    <w:rsid w:val="00B0741E"/>
    <w:rsid w:val="00B074D0"/>
    <w:rsid w:val="00B0763A"/>
    <w:rsid w:val="00B07A60"/>
    <w:rsid w:val="00B07AF6"/>
    <w:rsid w:val="00B07B0D"/>
    <w:rsid w:val="00B07BB9"/>
    <w:rsid w:val="00B07C57"/>
    <w:rsid w:val="00B07F59"/>
    <w:rsid w:val="00B1014C"/>
    <w:rsid w:val="00B103DA"/>
    <w:rsid w:val="00B10830"/>
    <w:rsid w:val="00B10A3E"/>
    <w:rsid w:val="00B10AA0"/>
    <w:rsid w:val="00B10D59"/>
    <w:rsid w:val="00B10FB7"/>
    <w:rsid w:val="00B1136C"/>
    <w:rsid w:val="00B1153A"/>
    <w:rsid w:val="00B11596"/>
    <w:rsid w:val="00B11641"/>
    <w:rsid w:val="00B1177E"/>
    <w:rsid w:val="00B11886"/>
    <w:rsid w:val="00B11897"/>
    <w:rsid w:val="00B11B3E"/>
    <w:rsid w:val="00B11CE3"/>
    <w:rsid w:val="00B11D46"/>
    <w:rsid w:val="00B11E0C"/>
    <w:rsid w:val="00B11E4E"/>
    <w:rsid w:val="00B120E6"/>
    <w:rsid w:val="00B12251"/>
    <w:rsid w:val="00B1262F"/>
    <w:rsid w:val="00B12991"/>
    <w:rsid w:val="00B12A03"/>
    <w:rsid w:val="00B12B63"/>
    <w:rsid w:val="00B12C85"/>
    <w:rsid w:val="00B12EA0"/>
    <w:rsid w:val="00B12EEF"/>
    <w:rsid w:val="00B12F3E"/>
    <w:rsid w:val="00B12FE3"/>
    <w:rsid w:val="00B13405"/>
    <w:rsid w:val="00B13407"/>
    <w:rsid w:val="00B134F9"/>
    <w:rsid w:val="00B1366B"/>
    <w:rsid w:val="00B137A9"/>
    <w:rsid w:val="00B137B4"/>
    <w:rsid w:val="00B138EF"/>
    <w:rsid w:val="00B13989"/>
    <w:rsid w:val="00B13ABC"/>
    <w:rsid w:val="00B13C78"/>
    <w:rsid w:val="00B14312"/>
    <w:rsid w:val="00B143EB"/>
    <w:rsid w:val="00B1482C"/>
    <w:rsid w:val="00B14A3B"/>
    <w:rsid w:val="00B14A58"/>
    <w:rsid w:val="00B14BF5"/>
    <w:rsid w:val="00B14C67"/>
    <w:rsid w:val="00B14D6D"/>
    <w:rsid w:val="00B152ED"/>
    <w:rsid w:val="00B153D9"/>
    <w:rsid w:val="00B156C8"/>
    <w:rsid w:val="00B156E0"/>
    <w:rsid w:val="00B1587F"/>
    <w:rsid w:val="00B15914"/>
    <w:rsid w:val="00B15BC8"/>
    <w:rsid w:val="00B15C4F"/>
    <w:rsid w:val="00B15D41"/>
    <w:rsid w:val="00B15D96"/>
    <w:rsid w:val="00B15DD5"/>
    <w:rsid w:val="00B15DF3"/>
    <w:rsid w:val="00B160A0"/>
    <w:rsid w:val="00B160B9"/>
    <w:rsid w:val="00B162DF"/>
    <w:rsid w:val="00B16880"/>
    <w:rsid w:val="00B16AB0"/>
    <w:rsid w:val="00B16B56"/>
    <w:rsid w:val="00B16FE7"/>
    <w:rsid w:val="00B17011"/>
    <w:rsid w:val="00B17102"/>
    <w:rsid w:val="00B17261"/>
    <w:rsid w:val="00B172E5"/>
    <w:rsid w:val="00B1733D"/>
    <w:rsid w:val="00B1737F"/>
    <w:rsid w:val="00B173DD"/>
    <w:rsid w:val="00B177C3"/>
    <w:rsid w:val="00B178A0"/>
    <w:rsid w:val="00B17970"/>
    <w:rsid w:val="00B17B2A"/>
    <w:rsid w:val="00B17CCB"/>
    <w:rsid w:val="00B17D0B"/>
    <w:rsid w:val="00B201EE"/>
    <w:rsid w:val="00B20344"/>
    <w:rsid w:val="00B203DA"/>
    <w:rsid w:val="00B2065B"/>
    <w:rsid w:val="00B208D5"/>
    <w:rsid w:val="00B2091F"/>
    <w:rsid w:val="00B20B98"/>
    <w:rsid w:val="00B20BCD"/>
    <w:rsid w:val="00B20C0D"/>
    <w:rsid w:val="00B20E30"/>
    <w:rsid w:val="00B20E6F"/>
    <w:rsid w:val="00B20F3D"/>
    <w:rsid w:val="00B2118D"/>
    <w:rsid w:val="00B211B2"/>
    <w:rsid w:val="00B212B2"/>
    <w:rsid w:val="00B21546"/>
    <w:rsid w:val="00B215FF"/>
    <w:rsid w:val="00B2171F"/>
    <w:rsid w:val="00B21923"/>
    <w:rsid w:val="00B21986"/>
    <w:rsid w:val="00B219C1"/>
    <w:rsid w:val="00B21B17"/>
    <w:rsid w:val="00B21B97"/>
    <w:rsid w:val="00B21C56"/>
    <w:rsid w:val="00B21C8B"/>
    <w:rsid w:val="00B21D71"/>
    <w:rsid w:val="00B21ECB"/>
    <w:rsid w:val="00B21FB9"/>
    <w:rsid w:val="00B2217B"/>
    <w:rsid w:val="00B22342"/>
    <w:rsid w:val="00B22374"/>
    <w:rsid w:val="00B22681"/>
    <w:rsid w:val="00B2275B"/>
    <w:rsid w:val="00B229D0"/>
    <w:rsid w:val="00B22A4F"/>
    <w:rsid w:val="00B22B5B"/>
    <w:rsid w:val="00B22B99"/>
    <w:rsid w:val="00B22BEA"/>
    <w:rsid w:val="00B22C22"/>
    <w:rsid w:val="00B22D18"/>
    <w:rsid w:val="00B22D59"/>
    <w:rsid w:val="00B22FF3"/>
    <w:rsid w:val="00B230F4"/>
    <w:rsid w:val="00B23112"/>
    <w:rsid w:val="00B23292"/>
    <w:rsid w:val="00B23322"/>
    <w:rsid w:val="00B23388"/>
    <w:rsid w:val="00B2354D"/>
    <w:rsid w:val="00B236BD"/>
    <w:rsid w:val="00B237E7"/>
    <w:rsid w:val="00B2382E"/>
    <w:rsid w:val="00B23840"/>
    <w:rsid w:val="00B239EA"/>
    <w:rsid w:val="00B23D41"/>
    <w:rsid w:val="00B23E76"/>
    <w:rsid w:val="00B23ECE"/>
    <w:rsid w:val="00B240B5"/>
    <w:rsid w:val="00B242A8"/>
    <w:rsid w:val="00B2431C"/>
    <w:rsid w:val="00B243CB"/>
    <w:rsid w:val="00B24487"/>
    <w:rsid w:val="00B2476E"/>
    <w:rsid w:val="00B24852"/>
    <w:rsid w:val="00B24D9F"/>
    <w:rsid w:val="00B2501B"/>
    <w:rsid w:val="00B25069"/>
    <w:rsid w:val="00B250C1"/>
    <w:rsid w:val="00B25190"/>
    <w:rsid w:val="00B252BA"/>
    <w:rsid w:val="00B252CD"/>
    <w:rsid w:val="00B253CA"/>
    <w:rsid w:val="00B253DC"/>
    <w:rsid w:val="00B25537"/>
    <w:rsid w:val="00B255C1"/>
    <w:rsid w:val="00B257D4"/>
    <w:rsid w:val="00B25A22"/>
    <w:rsid w:val="00B25D7F"/>
    <w:rsid w:val="00B25E4C"/>
    <w:rsid w:val="00B25F57"/>
    <w:rsid w:val="00B260AC"/>
    <w:rsid w:val="00B2628B"/>
    <w:rsid w:val="00B2646B"/>
    <w:rsid w:val="00B2668D"/>
    <w:rsid w:val="00B267D2"/>
    <w:rsid w:val="00B26A41"/>
    <w:rsid w:val="00B26C16"/>
    <w:rsid w:val="00B26D28"/>
    <w:rsid w:val="00B270B9"/>
    <w:rsid w:val="00B2743F"/>
    <w:rsid w:val="00B27675"/>
    <w:rsid w:val="00B277EB"/>
    <w:rsid w:val="00B2781D"/>
    <w:rsid w:val="00B278C5"/>
    <w:rsid w:val="00B278C8"/>
    <w:rsid w:val="00B27E48"/>
    <w:rsid w:val="00B27F07"/>
    <w:rsid w:val="00B30009"/>
    <w:rsid w:val="00B30170"/>
    <w:rsid w:val="00B301A4"/>
    <w:rsid w:val="00B301B8"/>
    <w:rsid w:val="00B30275"/>
    <w:rsid w:val="00B3038B"/>
    <w:rsid w:val="00B3087F"/>
    <w:rsid w:val="00B308F0"/>
    <w:rsid w:val="00B30958"/>
    <w:rsid w:val="00B309D4"/>
    <w:rsid w:val="00B30A48"/>
    <w:rsid w:val="00B30CE4"/>
    <w:rsid w:val="00B30D31"/>
    <w:rsid w:val="00B30D4C"/>
    <w:rsid w:val="00B30F4C"/>
    <w:rsid w:val="00B31047"/>
    <w:rsid w:val="00B3132E"/>
    <w:rsid w:val="00B313B8"/>
    <w:rsid w:val="00B317CC"/>
    <w:rsid w:val="00B31840"/>
    <w:rsid w:val="00B3184C"/>
    <w:rsid w:val="00B31858"/>
    <w:rsid w:val="00B31AD7"/>
    <w:rsid w:val="00B31DB6"/>
    <w:rsid w:val="00B32087"/>
    <w:rsid w:val="00B321A9"/>
    <w:rsid w:val="00B3221E"/>
    <w:rsid w:val="00B323BF"/>
    <w:rsid w:val="00B32677"/>
    <w:rsid w:val="00B32B8C"/>
    <w:rsid w:val="00B32BC6"/>
    <w:rsid w:val="00B32BCE"/>
    <w:rsid w:val="00B32D3F"/>
    <w:rsid w:val="00B33102"/>
    <w:rsid w:val="00B33195"/>
    <w:rsid w:val="00B331CE"/>
    <w:rsid w:val="00B331EA"/>
    <w:rsid w:val="00B3323B"/>
    <w:rsid w:val="00B3343B"/>
    <w:rsid w:val="00B338EF"/>
    <w:rsid w:val="00B33AF0"/>
    <w:rsid w:val="00B33BDE"/>
    <w:rsid w:val="00B33C38"/>
    <w:rsid w:val="00B33C70"/>
    <w:rsid w:val="00B33CE5"/>
    <w:rsid w:val="00B33D09"/>
    <w:rsid w:val="00B33E2E"/>
    <w:rsid w:val="00B33E93"/>
    <w:rsid w:val="00B33FE8"/>
    <w:rsid w:val="00B34214"/>
    <w:rsid w:val="00B34241"/>
    <w:rsid w:val="00B345BC"/>
    <w:rsid w:val="00B34635"/>
    <w:rsid w:val="00B3465C"/>
    <w:rsid w:val="00B346DB"/>
    <w:rsid w:val="00B3494E"/>
    <w:rsid w:val="00B3498D"/>
    <w:rsid w:val="00B349DC"/>
    <w:rsid w:val="00B34A41"/>
    <w:rsid w:val="00B34B30"/>
    <w:rsid w:val="00B34C58"/>
    <w:rsid w:val="00B34C92"/>
    <w:rsid w:val="00B34D2C"/>
    <w:rsid w:val="00B34EFA"/>
    <w:rsid w:val="00B34EFF"/>
    <w:rsid w:val="00B35014"/>
    <w:rsid w:val="00B35302"/>
    <w:rsid w:val="00B354CA"/>
    <w:rsid w:val="00B355F0"/>
    <w:rsid w:val="00B358CD"/>
    <w:rsid w:val="00B36030"/>
    <w:rsid w:val="00B360AA"/>
    <w:rsid w:val="00B36113"/>
    <w:rsid w:val="00B36214"/>
    <w:rsid w:val="00B36231"/>
    <w:rsid w:val="00B362CF"/>
    <w:rsid w:val="00B363E3"/>
    <w:rsid w:val="00B3645D"/>
    <w:rsid w:val="00B3658B"/>
    <w:rsid w:val="00B3660E"/>
    <w:rsid w:val="00B368D5"/>
    <w:rsid w:val="00B36B78"/>
    <w:rsid w:val="00B36D11"/>
    <w:rsid w:val="00B36F49"/>
    <w:rsid w:val="00B36F5C"/>
    <w:rsid w:val="00B36FDF"/>
    <w:rsid w:val="00B372BF"/>
    <w:rsid w:val="00B37563"/>
    <w:rsid w:val="00B37639"/>
    <w:rsid w:val="00B37840"/>
    <w:rsid w:val="00B3787A"/>
    <w:rsid w:val="00B37ACC"/>
    <w:rsid w:val="00B37C29"/>
    <w:rsid w:val="00B37D0E"/>
    <w:rsid w:val="00B37EA8"/>
    <w:rsid w:val="00B37F5B"/>
    <w:rsid w:val="00B37FD2"/>
    <w:rsid w:val="00B40296"/>
    <w:rsid w:val="00B40419"/>
    <w:rsid w:val="00B40497"/>
    <w:rsid w:val="00B4056B"/>
    <w:rsid w:val="00B40579"/>
    <w:rsid w:val="00B40712"/>
    <w:rsid w:val="00B40A6E"/>
    <w:rsid w:val="00B40BB8"/>
    <w:rsid w:val="00B40BEF"/>
    <w:rsid w:val="00B40E02"/>
    <w:rsid w:val="00B40EA2"/>
    <w:rsid w:val="00B4145F"/>
    <w:rsid w:val="00B415FD"/>
    <w:rsid w:val="00B4182E"/>
    <w:rsid w:val="00B418A1"/>
    <w:rsid w:val="00B41915"/>
    <w:rsid w:val="00B41C3E"/>
    <w:rsid w:val="00B41CBD"/>
    <w:rsid w:val="00B41E4D"/>
    <w:rsid w:val="00B42074"/>
    <w:rsid w:val="00B42527"/>
    <w:rsid w:val="00B428DE"/>
    <w:rsid w:val="00B428E1"/>
    <w:rsid w:val="00B42A96"/>
    <w:rsid w:val="00B42DC9"/>
    <w:rsid w:val="00B43059"/>
    <w:rsid w:val="00B430DC"/>
    <w:rsid w:val="00B43407"/>
    <w:rsid w:val="00B4341B"/>
    <w:rsid w:val="00B437C9"/>
    <w:rsid w:val="00B437F5"/>
    <w:rsid w:val="00B43B0B"/>
    <w:rsid w:val="00B43C7F"/>
    <w:rsid w:val="00B43FDE"/>
    <w:rsid w:val="00B440D7"/>
    <w:rsid w:val="00B44104"/>
    <w:rsid w:val="00B442B4"/>
    <w:rsid w:val="00B44A14"/>
    <w:rsid w:val="00B44A31"/>
    <w:rsid w:val="00B44B7E"/>
    <w:rsid w:val="00B44BC5"/>
    <w:rsid w:val="00B44E06"/>
    <w:rsid w:val="00B44F0A"/>
    <w:rsid w:val="00B4511E"/>
    <w:rsid w:val="00B4557A"/>
    <w:rsid w:val="00B4572B"/>
    <w:rsid w:val="00B45A61"/>
    <w:rsid w:val="00B45CBE"/>
    <w:rsid w:val="00B45CFA"/>
    <w:rsid w:val="00B46244"/>
    <w:rsid w:val="00B466C5"/>
    <w:rsid w:val="00B466E5"/>
    <w:rsid w:val="00B466EA"/>
    <w:rsid w:val="00B4673B"/>
    <w:rsid w:val="00B46CF7"/>
    <w:rsid w:val="00B46F11"/>
    <w:rsid w:val="00B470D0"/>
    <w:rsid w:val="00B472C1"/>
    <w:rsid w:val="00B473A3"/>
    <w:rsid w:val="00B47893"/>
    <w:rsid w:val="00B47A3D"/>
    <w:rsid w:val="00B47C2A"/>
    <w:rsid w:val="00B47C8F"/>
    <w:rsid w:val="00B47DB6"/>
    <w:rsid w:val="00B47DD6"/>
    <w:rsid w:val="00B47E6F"/>
    <w:rsid w:val="00B47E81"/>
    <w:rsid w:val="00B47F35"/>
    <w:rsid w:val="00B47F65"/>
    <w:rsid w:val="00B50034"/>
    <w:rsid w:val="00B5032D"/>
    <w:rsid w:val="00B505EB"/>
    <w:rsid w:val="00B50639"/>
    <w:rsid w:val="00B506A7"/>
    <w:rsid w:val="00B5082F"/>
    <w:rsid w:val="00B50951"/>
    <w:rsid w:val="00B50BFE"/>
    <w:rsid w:val="00B50D3F"/>
    <w:rsid w:val="00B50DD5"/>
    <w:rsid w:val="00B50DE9"/>
    <w:rsid w:val="00B50F89"/>
    <w:rsid w:val="00B51004"/>
    <w:rsid w:val="00B51252"/>
    <w:rsid w:val="00B513C7"/>
    <w:rsid w:val="00B514C5"/>
    <w:rsid w:val="00B51552"/>
    <w:rsid w:val="00B5158A"/>
    <w:rsid w:val="00B515B7"/>
    <w:rsid w:val="00B515E0"/>
    <w:rsid w:val="00B515FC"/>
    <w:rsid w:val="00B517C8"/>
    <w:rsid w:val="00B51985"/>
    <w:rsid w:val="00B5199D"/>
    <w:rsid w:val="00B51C7D"/>
    <w:rsid w:val="00B51E0C"/>
    <w:rsid w:val="00B5206D"/>
    <w:rsid w:val="00B5246B"/>
    <w:rsid w:val="00B52488"/>
    <w:rsid w:val="00B52B05"/>
    <w:rsid w:val="00B52B2F"/>
    <w:rsid w:val="00B52C3B"/>
    <w:rsid w:val="00B52D02"/>
    <w:rsid w:val="00B52E36"/>
    <w:rsid w:val="00B52FA9"/>
    <w:rsid w:val="00B53152"/>
    <w:rsid w:val="00B532B4"/>
    <w:rsid w:val="00B5363B"/>
    <w:rsid w:val="00B53A25"/>
    <w:rsid w:val="00B53AD8"/>
    <w:rsid w:val="00B53BDF"/>
    <w:rsid w:val="00B53D8C"/>
    <w:rsid w:val="00B53F51"/>
    <w:rsid w:val="00B53FD4"/>
    <w:rsid w:val="00B54106"/>
    <w:rsid w:val="00B541B0"/>
    <w:rsid w:val="00B542C7"/>
    <w:rsid w:val="00B5451D"/>
    <w:rsid w:val="00B54601"/>
    <w:rsid w:val="00B54840"/>
    <w:rsid w:val="00B548B3"/>
    <w:rsid w:val="00B54C27"/>
    <w:rsid w:val="00B54C56"/>
    <w:rsid w:val="00B54FDB"/>
    <w:rsid w:val="00B54FE4"/>
    <w:rsid w:val="00B5502A"/>
    <w:rsid w:val="00B550C7"/>
    <w:rsid w:val="00B55199"/>
    <w:rsid w:val="00B551A4"/>
    <w:rsid w:val="00B55254"/>
    <w:rsid w:val="00B5560E"/>
    <w:rsid w:val="00B5579D"/>
    <w:rsid w:val="00B5591A"/>
    <w:rsid w:val="00B55939"/>
    <w:rsid w:val="00B55E8A"/>
    <w:rsid w:val="00B5601E"/>
    <w:rsid w:val="00B562CB"/>
    <w:rsid w:val="00B56430"/>
    <w:rsid w:val="00B565C8"/>
    <w:rsid w:val="00B56787"/>
    <w:rsid w:val="00B5679F"/>
    <w:rsid w:val="00B569D5"/>
    <w:rsid w:val="00B56E48"/>
    <w:rsid w:val="00B570F6"/>
    <w:rsid w:val="00B57158"/>
    <w:rsid w:val="00B572CA"/>
    <w:rsid w:val="00B5730D"/>
    <w:rsid w:val="00B57328"/>
    <w:rsid w:val="00B574AD"/>
    <w:rsid w:val="00B576DB"/>
    <w:rsid w:val="00B579B9"/>
    <w:rsid w:val="00B57AC1"/>
    <w:rsid w:val="00B57DB7"/>
    <w:rsid w:val="00B60447"/>
    <w:rsid w:val="00B6045A"/>
    <w:rsid w:val="00B604A3"/>
    <w:rsid w:val="00B6066B"/>
    <w:rsid w:val="00B606D6"/>
    <w:rsid w:val="00B609B7"/>
    <w:rsid w:val="00B60A08"/>
    <w:rsid w:val="00B60A5B"/>
    <w:rsid w:val="00B61332"/>
    <w:rsid w:val="00B61374"/>
    <w:rsid w:val="00B61781"/>
    <w:rsid w:val="00B6194C"/>
    <w:rsid w:val="00B61A0B"/>
    <w:rsid w:val="00B61AE2"/>
    <w:rsid w:val="00B61D02"/>
    <w:rsid w:val="00B61F8F"/>
    <w:rsid w:val="00B6202A"/>
    <w:rsid w:val="00B620DD"/>
    <w:rsid w:val="00B62173"/>
    <w:rsid w:val="00B62193"/>
    <w:rsid w:val="00B62236"/>
    <w:rsid w:val="00B622C3"/>
    <w:rsid w:val="00B62385"/>
    <w:rsid w:val="00B62A91"/>
    <w:rsid w:val="00B62CE7"/>
    <w:rsid w:val="00B62CFF"/>
    <w:rsid w:val="00B62EE5"/>
    <w:rsid w:val="00B62EE6"/>
    <w:rsid w:val="00B631F5"/>
    <w:rsid w:val="00B6324E"/>
    <w:rsid w:val="00B6328D"/>
    <w:rsid w:val="00B632FA"/>
    <w:rsid w:val="00B634A1"/>
    <w:rsid w:val="00B6352D"/>
    <w:rsid w:val="00B635A7"/>
    <w:rsid w:val="00B63754"/>
    <w:rsid w:val="00B637C1"/>
    <w:rsid w:val="00B6387A"/>
    <w:rsid w:val="00B639DB"/>
    <w:rsid w:val="00B63B97"/>
    <w:rsid w:val="00B63EF2"/>
    <w:rsid w:val="00B6406B"/>
    <w:rsid w:val="00B64374"/>
    <w:rsid w:val="00B64377"/>
    <w:rsid w:val="00B6439B"/>
    <w:rsid w:val="00B643E8"/>
    <w:rsid w:val="00B64406"/>
    <w:rsid w:val="00B64565"/>
    <w:rsid w:val="00B64882"/>
    <w:rsid w:val="00B64A43"/>
    <w:rsid w:val="00B64A6C"/>
    <w:rsid w:val="00B64C46"/>
    <w:rsid w:val="00B65077"/>
    <w:rsid w:val="00B65132"/>
    <w:rsid w:val="00B653AC"/>
    <w:rsid w:val="00B656AB"/>
    <w:rsid w:val="00B659D3"/>
    <w:rsid w:val="00B65BD1"/>
    <w:rsid w:val="00B65C62"/>
    <w:rsid w:val="00B65D92"/>
    <w:rsid w:val="00B65D9E"/>
    <w:rsid w:val="00B65F5A"/>
    <w:rsid w:val="00B66140"/>
    <w:rsid w:val="00B6622B"/>
    <w:rsid w:val="00B6660F"/>
    <w:rsid w:val="00B669DB"/>
    <w:rsid w:val="00B66E24"/>
    <w:rsid w:val="00B66E3C"/>
    <w:rsid w:val="00B66FBC"/>
    <w:rsid w:val="00B67218"/>
    <w:rsid w:val="00B672D2"/>
    <w:rsid w:val="00B67BB3"/>
    <w:rsid w:val="00B67E59"/>
    <w:rsid w:val="00B7018B"/>
    <w:rsid w:val="00B701C1"/>
    <w:rsid w:val="00B7038A"/>
    <w:rsid w:val="00B703C4"/>
    <w:rsid w:val="00B7049E"/>
    <w:rsid w:val="00B7051C"/>
    <w:rsid w:val="00B70A68"/>
    <w:rsid w:val="00B70A83"/>
    <w:rsid w:val="00B70AF4"/>
    <w:rsid w:val="00B70CE1"/>
    <w:rsid w:val="00B70D61"/>
    <w:rsid w:val="00B71638"/>
    <w:rsid w:val="00B71713"/>
    <w:rsid w:val="00B7174E"/>
    <w:rsid w:val="00B717C6"/>
    <w:rsid w:val="00B717F4"/>
    <w:rsid w:val="00B718B8"/>
    <w:rsid w:val="00B718E2"/>
    <w:rsid w:val="00B719AC"/>
    <w:rsid w:val="00B71A11"/>
    <w:rsid w:val="00B71D25"/>
    <w:rsid w:val="00B71D26"/>
    <w:rsid w:val="00B72038"/>
    <w:rsid w:val="00B7209F"/>
    <w:rsid w:val="00B721EB"/>
    <w:rsid w:val="00B7234A"/>
    <w:rsid w:val="00B723BB"/>
    <w:rsid w:val="00B724F3"/>
    <w:rsid w:val="00B72584"/>
    <w:rsid w:val="00B72AE4"/>
    <w:rsid w:val="00B73278"/>
    <w:rsid w:val="00B734B2"/>
    <w:rsid w:val="00B739C5"/>
    <w:rsid w:val="00B739FF"/>
    <w:rsid w:val="00B73BC3"/>
    <w:rsid w:val="00B73DE8"/>
    <w:rsid w:val="00B73EE6"/>
    <w:rsid w:val="00B73FF2"/>
    <w:rsid w:val="00B7414B"/>
    <w:rsid w:val="00B741B2"/>
    <w:rsid w:val="00B741EB"/>
    <w:rsid w:val="00B74456"/>
    <w:rsid w:val="00B74462"/>
    <w:rsid w:val="00B744FB"/>
    <w:rsid w:val="00B74B42"/>
    <w:rsid w:val="00B7513E"/>
    <w:rsid w:val="00B7529F"/>
    <w:rsid w:val="00B75918"/>
    <w:rsid w:val="00B7599B"/>
    <w:rsid w:val="00B75AAB"/>
    <w:rsid w:val="00B75D2C"/>
    <w:rsid w:val="00B76120"/>
    <w:rsid w:val="00B76126"/>
    <w:rsid w:val="00B76252"/>
    <w:rsid w:val="00B76679"/>
    <w:rsid w:val="00B768A5"/>
    <w:rsid w:val="00B76996"/>
    <w:rsid w:val="00B76A41"/>
    <w:rsid w:val="00B76B32"/>
    <w:rsid w:val="00B76B4A"/>
    <w:rsid w:val="00B76CEE"/>
    <w:rsid w:val="00B77285"/>
    <w:rsid w:val="00B776D2"/>
    <w:rsid w:val="00B7771C"/>
    <w:rsid w:val="00B77739"/>
    <w:rsid w:val="00B7778E"/>
    <w:rsid w:val="00B77846"/>
    <w:rsid w:val="00B778FA"/>
    <w:rsid w:val="00B7796F"/>
    <w:rsid w:val="00B77A00"/>
    <w:rsid w:val="00B77AA8"/>
    <w:rsid w:val="00B77BDE"/>
    <w:rsid w:val="00B77BEE"/>
    <w:rsid w:val="00B77C6F"/>
    <w:rsid w:val="00B77F75"/>
    <w:rsid w:val="00B77FD0"/>
    <w:rsid w:val="00B80280"/>
    <w:rsid w:val="00B80372"/>
    <w:rsid w:val="00B80576"/>
    <w:rsid w:val="00B805FA"/>
    <w:rsid w:val="00B809D0"/>
    <w:rsid w:val="00B80A1A"/>
    <w:rsid w:val="00B80D4B"/>
    <w:rsid w:val="00B80EB7"/>
    <w:rsid w:val="00B80F5A"/>
    <w:rsid w:val="00B80F6C"/>
    <w:rsid w:val="00B8125B"/>
    <w:rsid w:val="00B8125C"/>
    <w:rsid w:val="00B812AF"/>
    <w:rsid w:val="00B81544"/>
    <w:rsid w:val="00B815A2"/>
    <w:rsid w:val="00B816A1"/>
    <w:rsid w:val="00B81950"/>
    <w:rsid w:val="00B81BB9"/>
    <w:rsid w:val="00B81D3A"/>
    <w:rsid w:val="00B81E66"/>
    <w:rsid w:val="00B81EAC"/>
    <w:rsid w:val="00B81FA0"/>
    <w:rsid w:val="00B82024"/>
    <w:rsid w:val="00B821A9"/>
    <w:rsid w:val="00B821CD"/>
    <w:rsid w:val="00B8224C"/>
    <w:rsid w:val="00B822D2"/>
    <w:rsid w:val="00B82998"/>
    <w:rsid w:val="00B82AA7"/>
    <w:rsid w:val="00B82C62"/>
    <w:rsid w:val="00B82D90"/>
    <w:rsid w:val="00B82EE8"/>
    <w:rsid w:val="00B82F24"/>
    <w:rsid w:val="00B82F91"/>
    <w:rsid w:val="00B8314E"/>
    <w:rsid w:val="00B832AF"/>
    <w:rsid w:val="00B833F3"/>
    <w:rsid w:val="00B83C61"/>
    <w:rsid w:val="00B83E44"/>
    <w:rsid w:val="00B8406B"/>
    <w:rsid w:val="00B84275"/>
    <w:rsid w:val="00B84892"/>
    <w:rsid w:val="00B848D3"/>
    <w:rsid w:val="00B84BB9"/>
    <w:rsid w:val="00B84C14"/>
    <w:rsid w:val="00B84F84"/>
    <w:rsid w:val="00B84FF6"/>
    <w:rsid w:val="00B850FE"/>
    <w:rsid w:val="00B85190"/>
    <w:rsid w:val="00B85197"/>
    <w:rsid w:val="00B851F0"/>
    <w:rsid w:val="00B85220"/>
    <w:rsid w:val="00B853B1"/>
    <w:rsid w:val="00B853FC"/>
    <w:rsid w:val="00B8585D"/>
    <w:rsid w:val="00B85A36"/>
    <w:rsid w:val="00B85D63"/>
    <w:rsid w:val="00B85DEC"/>
    <w:rsid w:val="00B85F44"/>
    <w:rsid w:val="00B8616A"/>
    <w:rsid w:val="00B865DE"/>
    <w:rsid w:val="00B8681D"/>
    <w:rsid w:val="00B86971"/>
    <w:rsid w:val="00B86B0A"/>
    <w:rsid w:val="00B86B28"/>
    <w:rsid w:val="00B86B6C"/>
    <w:rsid w:val="00B86BBB"/>
    <w:rsid w:val="00B86CC3"/>
    <w:rsid w:val="00B86EE6"/>
    <w:rsid w:val="00B872AE"/>
    <w:rsid w:val="00B872FE"/>
    <w:rsid w:val="00B87366"/>
    <w:rsid w:val="00B87465"/>
    <w:rsid w:val="00B875B9"/>
    <w:rsid w:val="00B87761"/>
    <w:rsid w:val="00B87958"/>
    <w:rsid w:val="00B87A2B"/>
    <w:rsid w:val="00B87A3B"/>
    <w:rsid w:val="00B87B36"/>
    <w:rsid w:val="00B87C81"/>
    <w:rsid w:val="00B87FB4"/>
    <w:rsid w:val="00B9029F"/>
    <w:rsid w:val="00B9036B"/>
    <w:rsid w:val="00B9052A"/>
    <w:rsid w:val="00B9056B"/>
    <w:rsid w:val="00B9067C"/>
    <w:rsid w:val="00B90A29"/>
    <w:rsid w:val="00B90BB9"/>
    <w:rsid w:val="00B90C66"/>
    <w:rsid w:val="00B90E62"/>
    <w:rsid w:val="00B90F44"/>
    <w:rsid w:val="00B90F74"/>
    <w:rsid w:val="00B91119"/>
    <w:rsid w:val="00B9138A"/>
    <w:rsid w:val="00B9148C"/>
    <w:rsid w:val="00B917F8"/>
    <w:rsid w:val="00B9181B"/>
    <w:rsid w:val="00B919DC"/>
    <w:rsid w:val="00B91C2D"/>
    <w:rsid w:val="00B91CE0"/>
    <w:rsid w:val="00B91D40"/>
    <w:rsid w:val="00B920C8"/>
    <w:rsid w:val="00B92140"/>
    <w:rsid w:val="00B92374"/>
    <w:rsid w:val="00B924B1"/>
    <w:rsid w:val="00B924EC"/>
    <w:rsid w:val="00B928A4"/>
    <w:rsid w:val="00B9294F"/>
    <w:rsid w:val="00B9298E"/>
    <w:rsid w:val="00B92A53"/>
    <w:rsid w:val="00B92AED"/>
    <w:rsid w:val="00B92E04"/>
    <w:rsid w:val="00B92EB8"/>
    <w:rsid w:val="00B9329A"/>
    <w:rsid w:val="00B9335C"/>
    <w:rsid w:val="00B93474"/>
    <w:rsid w:val="00B936E7"/>
    <w:rsid w:val="00B93823"/>
    <w:rsid w:val="00B9382B"/>
    <w:rsid w:val="00B93941"/>
    <w:rsid w:val="00B93D6C"/>
    <w:rsid w:val="00B93EC0"/>
    <w:rsid w:val="00B940B3"/>
    <w:rsid w:val="00B941FB"/>
    <w:rsid w:val="00B94223"/>
    <w:rsid w:val="00B94234"/>
    <w:rsid w:val="00B945DA"/>
    <w:rsid w:val="00B94626"/>
    <w:rsid w:val="00B94A42"/>
    <w:rsid w:val="00B94B57"/>
    <w:rsid w:val="00B94B7C"/>
    <w:rsid w:val="00B95052"/>
    <w:rsid w:val="00B95120"/>
    <w:rsid w:val="00B9518D"/>
    <w:rsid w:val="00B9559F"/>
    <w:rsid w:val="00B955C0"/>
    <w:rsid w:val="00B95883"/>
    <w:rsid w:val="00B95940"/>
    <w:rsid w:val="00B959A6"/>
    <w:rsid w:val="00B95B25"/>
    <w:rsid w:val="00B95B2C"/>
    <w:rsid w:val="00B95E76"/>
    <w:rsid w:val="00B95E97"/>
    <w:rsid w:val="00B96032"/>
    <w:rsid w:val="00B96056"/>
    <w:rsid w:val="00B96298"/>
    <w:rsid w:val="00B96520"/>
    <w:rsid w:val="00B967E8"/>
    <w:rsid w:val="00B9680F"/>
    <w:rsid w:val="00B9696B"/>
    <w:rsid w:val="00B96A3C"/>
    <w:rsid w:val="00B96DE7"/>
    <w:rsid w:val="00B96FFF"/>
    <w:rsid w:val="00B971E2"/>
    <w:rsid w:val="00B97354"/>
    <w:rsid w:val="00B97829"/>
    <w:rsid w:val="00B97831"/>
    <w:rsid w:val="00B9794F"/>
    <w:rsid w:val="00B97A7B"/>
    <w:rsid w:val="00B97BE5"/>
    <w:rsid w:val="00B97E40"/>
    <w:rsid w:val="00BA0257"/>
    <w:rsid w:val="00BA0666"/>
    <w:rsid w:val="00BA0943"/>
    <w:rsid w:val="00BA0AA3"/>
    <w:rsid w:val="00BA0C7F"/>
    <w:rsid w:val="00BA0E8F"/>
    <w:rsid w:val="00BA0F72"/>
    <w:rsid w:val="00BA130A"/>
    <w:rsid w:val="00BA18FC"/>
    <w:rsid w:val="00BA1C06"/>
    <w:rsid w:val="00BA1D0F"/>
    <w:rsid w:val="00BA1F72"/>
    <w:rsid w:val="00BA2011"/>
    <w:rsid w:val="00BA2362"/>
    <w:rsid w:val="00BA24CA"/>
    <w:rsid w:val="00BA253E"/>
    <w:rsid w:val="00BA257F"/>
    <w:rsid w:val="00BA2687"/>
    <w:rsid w:val="00BA270F"/>
    <w:rsid w:val="00BA2731"/>
    <w:rsid w:val="00BA28DA"/>
    <w:rsid w:val="00BA2A10"/>
    <w:rsid w:val="00BA2B7B"/>
    <w:rsid w:val="00BA2F71"/>
    <w:rsid w:val="00BA317D"/>
    <w:rsid w:val="00BA3317"/>
    <w:rsid w:val="00BA3873"/>
    <w:rsid w:val="00BA39FE"/>
    <w:rsid w:val="00BA3CBA"/>
    <w:rsid w:val="00BA4003"/>
    <w:rsid w:val="00BA446D"/>
    <w:rsid w:val="00BA46B0"/>
    <w:rsid w:val="00BA494D"/>
    <w:rsid w:val="00BA4989"/>
    <w:rsid w:val="00BA4A82"/>
    <w:rsid w:val="00BA4E27"/>
    <w:rsid w:val="00BA512B"/>
    <w:rsid w:val="00BA51BC"/>
    <w:rsid w:val="00BA5238"/>
    <w:rsid w:val="00BA530C"/>
    <w:rsid w:val="00BA5559"/>
    <w:rsid w:val="00BA57A6"/>
    <w:rsid w:val="00BA58AE"/>
    <w:rsid w:val="00BA58B3"/>
    <w:rsid w:val="00BA5A48"/>
    <w:rsid w:val="00BA5CD1"/>
    <w:rsid w:val="00BA5D32"/>
    <w:rsid w:val="00BA5EC8"/>
    <w:rsid w:val="00BA5F4F"/>
    <w:rsid w:val="00BA622F"/>
    <w:rsid w:val="00BA6393"/>
    <w:rsid w:val="00BA642A"/>
    <w:rsid w:val="00BA6473"/>
    <w:rsid w:val="00BA6681"/>
    <w:rsid w:val="00BA6804"/>
    <w:rsid w:val="00BA6B1D"/>
    <w:rsid w:val="00BA6BDC"/>
    <w:rsid w:val="00BA6DCE"/>
    <w:rsid w:val="00BA7072"/>
    <w:rsid w:val="00BA71B2"/>
    <w:rsid w:val="00BA726E"/>
    <w:rsid w:val="00BA7698"/>
    <w:rsid w:val="00BA76C1"/>
    <w:rsid w:val="00BA7863"/>
    <w:rsid w:val="00BA79ED"/>
    <w:rsid w:val="00BA7AC0"/>
    <w:rsid w:val="00BA7BCC"/>
    <w:rsid w:val="00BB0227"/>
    <w:rsid w:val="00BB0456"/>
    <w:rsid w:val="00BB071D"/>
    <w:rsid w:val="00BB072C"/>
    <w:rsid w:val="00BB0810"/>
    <w:rsid w:val="00BB09DC"/>
    <w:rsid w:val="00BB0A33"/>
    <w:rsid w:val="00BB0A39"/>
    <w:rsid w:val="00BB0BD8"/>
    <w:rsid w:val="00BB0D01"/>
    <w:rsid w:val="00BB0D11"/>
    <w:rsid w:val="00BB1135"/>
    <w:rsid w:val="00BB13D2"/>
    <w:rsid w:val="00BB1470"/>
    <w:rsid w:val="00BB1980"/>
    <w:rsid w:val="00BB1B16"/>
    <w:rsid w:val="00BB1D1B"/>
    <w:rsid w:val="00BB1F44"/>
    <w:rsid w:val="00BB1F9D"/>
    <w:rsid w:val="00BB28C7"/>
    <w:rsid w:val="00BB295A"/>
    <w:rsid w:val="00BB2B5B"/>
    <w:rsid w:val="00BB2E04"/>
    <w:rsid w:val="00BB2E30"/>
    <w:rsid w:val="00BB3152"/>
    <w:rsid w:val="00BB3695"/>
    <w:rsid w:val="00BB3708"/>
    <w:rsid w:val="00BB3AAB"/>
    <w:rsid w:val="00BB3B6A"/>
    <w:rsid w:val="00BB3B86"/>
    <w:rsid w:val="00BB3BAB"/>
    <w:rsid w:val="00BB3E81"/>
    <w:rsid w:val="00BB4405"/>
    <w:rsid w:val="00BB44A9"/>
    <w:rsid w:val="00BB45E4"/>
    <w:rsid w:val="00BB47E6"/>
    <w:rsid w:val="00BB49C5"/>
    <w:rsid w:val="00BB4D4F"/>
    <w:rsid w:val="00BB4D70"/>
    <w:rsid w:val="00BB4DAF"/>
    <w:rsid w:val="00BB509F"/>
    <w:rsid w:val="00BB5176"/>
    <w:rsid w:val="00BB5472"/>
    <w:rsid w:val="00BB54BA"/>
    <w:rsid w:val="00BB5688"/>
    <w:rsid w:val="00BB57C0"/>
    <w:rsid w:val="00BB5A14"/>
    <w:rsid w:val="00BB5D8B"/>
    <w:rsid w:val="00BB5EA0"/>
    <w:rsid w:val="00BB5EE6"/>
    <w:rsid w:val="00BB5F8D"/>
    <w:rsid w:val="00BB5FF4"/>
    <w:rsid w:val="00BB620F"/>
    <w:rsid w:val="00BB628C"/>
    <w:rsid w:val="00BB64F9"/>
    <w:rsid w:val="00BB6A83"/>
    <w:rsid w:val="00BB6BA8"/>
    <w:rsid w:val="00BB6D4E"/>
    <w:rsid w:val="00BB6FA1"/>
    <w:rsid w:val="00BB70ED"/>
    <w:rsid w:val="00BB732E"/>
    <w:rsid w:val="00BB77CD"/>
    <w:rsid w:val="00BB7844"/>
    <w:rsid w:val="00BB7955"/>
    <w:rsid w:val="00BB7F18"/>
    <w:rsid w:val="00BB7F4F"/>
    <w:rsid w:val="00BC0020"/>
    <w:rsid w:val="00BC0150"/>
    <w:rsid w:val="00BC026C"/>
    <w:rsid w:val="00BC0435"/>
    <w:rsid w:val="00BC05A2"/>
    <w:rsid w:val="00BC067F"/>
    <w:rsid w:val="00BC06E3"/>
    <w:rsid w:val="00BC0DB3"/>
    <w:rsid w:val="00BC0DDC"/>
    <w:rsid w:val="00BC0FDC"/>
    <w:rsid w:val="00BC1433"/>
    <w:rsid w:val="00BC1471"/>
    <w:rsid w:val="00BC14E1"/>
    <w:rsid w:val="00BC156F"/>
    <w:rsid w:val="00BC16CF"/>
    <w:rsid w:val="00BC1716"/>
    <w:rsid w:val="00BC1CCE"/>
    <w:rsid w:val="00BC1F18"/>
    <w:rsid w:val="00BC1FEE"/>
    <w:rsid w:val="00BC2121"/>
    <w:rsid w:val="00BC2139"/>
    <w:rsid w:val="00BC21F0"/>
    <w:rsid w:val="00BC2579"/>
    <w:rsid w:val="00BC266C"/>
    <w:rsid w:val="00BC26C5"/>
    <w:rsid w:val="00BC283E"/>
    <w:rsid w:val="00BC28B6"/>
    <w:rsid w:val="00BC28B8"/>
    <w:rsid w:val="00BC2CEF"/>
    <w:rsid w:val="00BC2CF2"/>
    <w:rsid w:val="00BC2CF9"/>
    <w:rsid w:val="00BC2DBB"/>
    <w:rsid w:val="00BC345A"/>
    <w:rsid w:val="00BC37B6"/>
    <w:rsid w:val="00BC3983"/>
    <w:rsid w:val="00BC39D5"/>
    <w:rsid w:val="00BC3C1A"/>
    <w:rsid w:val="00BC3CD9"/>
    <w:rsid w:val="00BC418D"/>
    <w:rsid w:val="00BC41A6"/>
    <w:rsid w:val="00BC43DB"/>
    <w:rsid w:val="00BC44EB"/>
    <w:rsid w:val="00BC4513"/>
    <w:rsid w:val="00BC452F"/>
    <w:rsid w:val="00BC4596"/>
    <w:rsid w:val="00BC4853"/>
    <w:rsid w:val="00BC499C"/>
    <w:rsid w:val="00BC4E6D"/>
    <w:rsid w:val="00BC4EE4"/>
    <w:rsid w:val="00BC538A"/>
    <w:rsid w:val="00BC57DA"/>
    <w:rsid w:val="00BC589D"/>
    <w:rsid w:val="00BC5A71"/>
    <w:rsid w:val="00BC5B91"/>
    <w:rsid w:val="00BC5D2D"/>
    <w:rsid w:val="00BC5D32"/>
    <w:rsid w:val="00BC5DBD"/>
    <w:rsid w:val="00BC5F4A"/>
    <w:rsid w:val="00BC627C"/>
    <w:rsid w:val="00BC630A"/>
    <w:rsid w:val="00BC63B1"/>
    <w:rsid w:val="00BC63E6"/>
    <w:rsid w:val="00BC6724"/>
    <w:rsid w:val="00BC67B5"/>
    <w:rsid w:val="00BC6899"/>
    <w:rsid w:val="00BC69B4"/>
    <w:rsid w:val="00BC6DF0"/>
    <w:rsid w:val="00BC6F45"/>
    <w:rsid w:val="00BC71A2"/>
    <w:rsid w:val="00BC7721"/>
    <w:rsid w:val="00BC77F1"/>
    <w:rsid w:val="00BC78DE"/>
    <w:rsid w:val="00BC79B2"/>
    <w:rsid w:val="00BC79E1"/>
    <w:rsid w:val="00BC7A68"/>
    <w:rsid w:val="00BC7A6F"/>
    <w:rsid w:val="00BC7B9E"/>
    <w:rsid w:val="00BC7C49"/>
    <w:rsid w:val="00BC7EDA"/>
    <w:rsid w:val="00BC7F91"/>
    <w:rsid w:val="00BC7FB5"/>
    <w:rsid w:val="00BD013E"/>
    <w:rsid w:val="00BD0223"/>
    <w:rsid w:val="00BD030E"/>
    <w:rsid w:val="00BD0486"/>
    <w:rsid w:val="00BD0543"/>
    <w:rsid w:val="00BD066A"/>
    <w:rsid w:val="00BD0885"/>
    <w:rsid w:val="00BD0AF7"/>
    <w:rsid w:val="00BD0B5A"/>
    <w:rsid w:val="00BD0C43"/>
    <w:rsid w:val="00BD0F2A"/>
    <w:rsid w:val="00BD118F"/>
    <w:rsid w:val="00BD1457"/>
    <w:rsid w:val="00BD15D2"/>
    <w:rsid w:val="00BD1605"/>
    <w:rsid w:val="00BD1839"/>
    <w:rsid w:val="00BD1871"/>
    <w:rsid w:val="00BD1922"/>
    <w:rsid w:val="00BD1926"/>
    <w:rsid w:val="00BD1AE8"/>
    <w:rsid w:val="00BD1B3C"/>
    <w:rsid w:val="00BD1C0C"/>
    <w:rsid w:val="00BD1C30"/>
    <w:rsid w:val="00BD1E68"/>
    <w:rsid w:val="00BD2055"/>
    <w:rsid w:val="00BD2608"/>
    <w:rsid w:val="00BD2A20"/>
    <w:rsid w:val="00BD2BD2"/>
    <w:rsid w:val="00BD2E30"/>
    <w:rsid w:val="00BD2E93"/>
    <w:rsid w:val="00BD2F30"/>
    <w:rsid w:val="00BD3205"/>
    <w:rsid w:val="00BD3343"/>
    <w:rsid w:val="00BD3633"/>
    <w:rsid w:val="00BD3838"/>
    <w:rsid w:val="00BD3867"/>
    <w:rsid w:val="00BD39BA"/>
    <w:rsid w:val="00BD3CD1"/>
    <w:rsid w:val="00BD3E33"/>
    <w:rsid w:val="00BD4121"/>
    <w:rsid w:val="00BD42DD"/>
    <w:rsid w:val="00BD4309"/>
    <w:rsid w:val="00BD430E"/>
    <w:rsid w:val="00BD4403"/>
    <w:rsid w:val="00BD45D8"/>
    <w:rsid w:val="00BD4675"/>
    <w:rsid w:val="00BD47CC"/>
    <w:rsid w:val="00BD4854"/>
    <w:rsid w:val="00BD486C"/>
    <w:rsid w:val="00BD4A30"/>
    <w:rsid w:val="00BD4BB6"/>
    <w:rsid w:val="00BD4BF3"/>
    <w:rsid w:val="00BD5351"/>
    <w:rsid w:val="00BD54CD"/>
    <w:rsid w:val="00BD559B"/>
    <w:rsid w:val="00BD58B4"/>
    <w:rsid w:val="00BD5A0B"/>
    <w:rsid w:val="00BD5A34"/>
    <w:rsid w:val="00BD5C13"/>
    <w:rsid w:val="00BD5EA8"/>
    <w:rsid w:val="00BD605B"/>
    <w:rsid w:val="00BD60D3"/>
    <w:rsid w:val="00BD6231"/>
    <w:rsid w:val="00BD6681"/>
    <w:rsid w:val="00BD6812"/>
    <w:rsid w:val="00BD6868"/>
    <w:rsid w:val="00BD6AAE"/>
    <w:rsid w:val="00BD6B58"/>
    <w:rsid w:val="00BD6E3B"/>
    <w:rsid w:val="00BD709A"/>
    <w:rsid w:val="00BD70FE"/>
    <w:rsid w:val="00BD71E8"/>
    <w:rsid w:val="00BD737A"/>
    <w:rsid w:val="00BD74D0"/>
    <w:rsid w:val="00BD74D2"/>
    <w:rsid w:val="00BD76ED"/>
    <w:rsid w:val="00BD771D"/>
    <w:rsid w:val="00BD7732"/>
    <w:rsid w:val="00BD7804"/>
    <w:rsid w:val="00BD7CBE"/>
    <w:rsid w:val="00BD7CC8"/>
    <w:rsid w:val="00BD7DE9"/>
    <w:rsid w:val="00BD7E62"/>
    <w:rsid w:val="00BE00B4"/>
    <w:rsid w:val="00BE0828"/>
    <w:rsid w:val="00BE09C8"/>
    <w:rsid w:val="00BE0D2F"/>
    <w:rsid w:val="00BE0E9C"/>
    <w:rsid w:val="00BE0EFF"/>
    <w:rsid w:val="00BE0F15"/>
    <w:rsid w:val="00BE1059"/>
    <w:rsid w:val="00BE11E5"/>
    <w:rsid w:val="00BE145D"/>
    <w:rsid w:val="00BE1540"/>
    <w:rsid w:val="00BE1599"/>
    <w:rsid w:val="00BE17F6"/>
    <w:rsid w:val="00BE189C"/>
    <w:rsid w:val="00BE1926"/>
    <w:rsid w:val="00BE1B1B"/>
    <w:rsid w:val="00BE1D22"/>
    <w:rsid w:val="00BE1D55"/>
    <w:rsid w:val="00BE1E70"/>
    <w:rsid w:val="00BE2209"/>
    <w:rsid w:val="00BE22A3"/>
    <w:rsid w:val="00BE22CC"/>
    <w:rsid w:val="00BE2591"/>
    <w:rsid w:val="00BE25FA"/>
    <w:rsid w:val="00BE27B6"/>
    <w:rsid w:val="00BE27CD"/>
    <w:rsid w:val="00BE27E0"/>
    <w:rsid w:val="00BE2E76"/>
    <w:rsid w:val="00BE30E7"/>
    <w:rsid w:val="00BE338C"/>
    <w:rsid w:val="00BE34C1"/>
    <w:rsid w:val="00BE3613"/>
    <w:rsid w:val="00BE368E"/>
    <w:rsid w:val="00BE37F5"/>
    <w:rsid w:val="00BE3EBA"/>
    <w:rsid w:val="00BE43F7"/>
    <w:rsid w:val="00BE4573"/>
    <w:rsid w:val="00BE467F"/>
    <w:rsid w:val="00BE47C1"/>
    <w:rsid w:val="00BE4BD0"/>
    <w:rsid w:val="00BE4BDC"/>
    <w:rsid w:val="00BE4C97"/>
    <w:rsid w:val="00BE4D5A"/>
    <w:rsid w:val="00BE5137"/>
    <w:rsid w:val="00BE5313"/>
    <w:rsid w:val="00BE555D"/>
    <w:rsid w:val="00BE5908"/>
    <w:rsid w:val="00BE5A0C"/>
    <w:rsid w:val="00BE5B71"/>
    <w:rsid w:val="00BE5E31"/>
    <w:rsid w:val="00BE5F8A"/>
    <w:rsid w:val="00BE5FBE"/>
    <w:rsid w:val="00BE600F"/>
    <w:rsid w:val="00BE6013"/>
    <w:rsid w:val="00BE6125"/>
    <w:rsid w:val="00BE6290"/>
    <w:rsid w:val="00BE62B0"/>
    <w:rsid w:val="00BE649F"/>
    <w:rsid w:val="00BE66AF"/>
    <w:rsid w:val="00BE66FE"/>
    <w:rsid w:val="00BE67D6"/>
    <w:rsid w:val="00BE6A0B"/>
    <w:rsid w:val="00BE6F38"/>
    <w:rsid w:val="00BE7295"/>
    <w:rsid w:val="00BE72F9"/>
    <w:rsid w:val="00BE76AD"/>
    <w:rsid w:val="00BE770C"/>
    <w:rsid w:val="00BE77CC"/>
    <w:rsid w:val="00BE7805"/>
    <w:rsid w:val="00BE7838"/>
    <w:rsid w:val="00BE787E"/>
    <w:rsid w:val="00BE792E"/>
    <w:rsid w:val="00BE7B74"/>
    <w:rsid w:val="00BE7D5B"/>
    <w:rsid w:val="00BE7E42"/>
    <w:rsid w:val="00BF0013"/>
    <w:rsid w:val="00BF00DD"/>
    <w:rsid w:val="00BF03A6"/>
    <w:rsid w:val="00BF070D"/>
    <w:rsid w:val="00BF076F"/>
    <w:rsid w:val="00BF07DF"/>
    <w:rsid w:val="00BF0B06"/>
    <w:rsid w:val="00BF0F82"/>
    <w:rsid w:val="00BF1042"/>
    <w:rsid w:val="00BF1848"/>
    <w:rsid w:val="00BF19B8"/>
    <w:rsid w:val="00BF19E7"/>
    <w:rsid w:val="00BF1A28"/>
    <w:rsid w:val="00BF1B23"/>
    <w:rsid w:val="00BF1D82"/>
    <w:rsid w:val="00BF1E9B"/>
    <w:rsid w:val="00BF250E"/>
    <w:rsid w:val="00BF25A4"/>
    <w:rsid w:val="00BF2694"/>
    <w:rsid w:val="00BF27BC"/>
    <w:rsid w:val="00BF29F1"/>
    <w:rsid w:val="00BF2B7F"/>
    <w:rsid w:val="00BF2D3C"/>
    <w:rsid w:val="00BF2D8B"/>
    <w:rsid w:val="00BF2DBA"/>
    <w:rsid w:val="00BF301F"/>
    <w:rsid w:val="00BF304E"/>
    <w:rsid w:val="00BF30C8"/>
    <w:rsid w:val="00BF311E"/>
    <w:rsid w:val="00BF32EE"/>
    <w:rsid w:val="00BF337B"/>
    <w:rsid w:val="00BF33C0"/>
    <w:rsid w:val="00BF3619"/>
    <w:rsid w:val="00BF367B"/>
    <w:rsid w:val="00BF36CE"/>
    <w:rsid w:val="00BF36FA"/>
    <w:rsid w:val="00BF3BDA"/>
    <w:rsid w:val="00BF3BF9"/>
    <w:rsid w:val="00BF3D57"/>
    <w:rsid w:val="00BF3E2E"/>
    <w:rsid w:val="00BF3ECC"/>
    <w:rsid w:val="00BF3EF9"/>
    <w:rsid w:val="00BF4054"/>
    <w:rsid w:val="00BF40AF"/>
    <w:rsid w:val="00BF4387"/>
    <w:rsid w:val="00BF4428"/>
    <w:rsid w:val="00BF470C"/>
    <w:rsid w:val="00BF487B"/>
    <w:rsid w:val="00BF48D9"/>
    <w:rsid w:val="00BF4BD5"/>
    <w:rsid w:val="00BF4C7B"/>
    <w:rsid w:val="00BF5173"/>
    <w:rsid w:val="00BF5748"/>
    <w:rsid w:val="00BF5966"/>
    <w:rsid w:val="00BF5C2E"/>
    <w:rsid w:val="00BF5C33"/>
    <w:rsid w:val="00BF5F3C"/>
    <w:rsid w:val="00BF611E"/>
    <w:rsid w:val="00BF62D1"/>
    <w:rsid w:val="00BF636A"/>
    <w:rsid w:val="00BF698B"/>
    <w:rsid w:val="00BF6B30"/>
    <w:rsid w:val="00BF6B7A"/>
    <w:rsid w:val="00BF6BC5"/>
    <w:rsid w:val="00BF6D95"/>
    <w:rsid w:val="00BF6EC7"/>
    <w:rsid w:val="00BF7177"/>
    <w:rsid w:val="00BF71DB"/>
    <w:rsid w:val="00BF7268"/>
    <w:rsid w:val="00BF79FB"/>
    <w:rsid w:val="00BF7AA1"/>
    <w:rsid w:val="00BF7CE9"/>
    <w:rsid w:val="00BF7D65"/>
    <w:rsid w:val="00C003C8"/>
    <w:rsid w:val="00C00852"/>
    <w:rsid w:val="00C00866"/>
    <w:rsid w:val="00C00C1E"/>
    <w:rsid w:val="00C00E31"/>
    <w:rsid w:val="00C00E3D"/>
    <w:rsid w:val="00C00E42"/>
    <w:rsid w:val="00C00E86"/>
    <w:rsid w:val="00C00E87"/>
    <w:rsid w:val="00C00EA9"/>
    <w:rsid w:val="00C00EEB"/>
    <w:rsid w:val="00C00EEE"/>
    <w:rsid w:val="00C010D6"/>
    <w:rsid w:val="00C014CB"/>
    <w:rsid w:val="00C0153E"/>
    <w:rsid w:val="00C01561"/>
    <w:rsid w:val="00C0157C"/>
    <w:rsid w:val="00C017EC"/>
    <w:rsid w:val="00C01A27"/>
    <w:rsid w:val="00C01BDA"/>
    <w:rsid w:val="00C01D7F"/>
    <w:rsid w:val="00C01DBA"/>
    <w:rsid w:val="00C01E1D"/>
    <w:rsid w:val="00C01E64"/>
    <w:rsid w:val="00C01E68"/>
    <w:rsid w:val="00C021D5"/>
    <w:rsid w:val="00C021DE"/>
    <w:rsid w:val="00C02214"/>
    <w:rsid w:val="00C0223B"/>
    <w:rsid w:val="00C023B4"/>
    <w:rsid w:val="00C024AB"/>
    <w:rsid w:val="00C024B9"/>
    <w:rsid w:val="00C028CE"/>
    <w:rsid w:val="00C02935"/>
    <w:rsid w:val="00C029E1"/>
    <w:rsid w:val="00C02A2A"/>
    <w:rsid w:val="00C02E82"/>
    <w:rsid w:val="00C02F65"/>
    <w:rsid w:val="00C02FD9"/>
    <w:rsid w:val="00C0304D"/>
    <w:rsid w:val="00C030EA"/>
    <w:rsid w:val="00C031CF"/>
    <w:rsid w:val="00C0345F"/>
    <w:rsid w:val="00C03584"/>
    <w:rsid w:val="00C03961"/>
    <w:rsid w:val="00C03B2F"/>
    <w:rsid w:val="00C03C4E"/>
    <w:rsid w:val="00C040C4"/>
    <w:rsid w:val="00C04113"/>
    <w:rsid w:val="00C0451E"/>
    <w:rsid w:val="00C045E4"/>
    <w:rsid w:val="00C046CE"/>
    <w:rsid w:val="00C04A0B"/>
    <w:rsid w:val="00C04ACD"/>
    <w:rsid w:val="00C04BD5"/>
    <w:rsid w:val="00C04CC8"/>
    <w:rsid w:val="00C04E12"/>
    <w:rsid w:val="00C04EBF"/>
    <w:rsid w:val="00C05136"/>
    <w:rsid w:val="00C051C8"/>
    <w:rsid w:val="00C052F4"/>
    <w:rsid w:val="00C054D7"/>
    <w:rsid w:val="00C05738"/>
    <w:rsid w:val="00C05BDB"/>
    <w:rsid w:val="00C05BDD"/>
    <w:rsid w:val="00C061A9"/>
    <w:rsid w:val="00C06367"/>
    <w:rsid w:val="00C06374"/>
    <w:rsid w:val="00C06391"/>
    <w:rsid w:val="00C0645D"/>
    <w:rsid w:val="00C0657A"/>
    <w:rsid w:val="00C06689"/>
    <w:rsid w:val="00C066E9"/>
    <w:rsid w:val="00C069B4"/>
    <w:rsid w:val="00C06B53"/>
    <w:rsid w:val="00C06B89"/>
    <w:rsid w:val="00C06D37"/>
    <w:rsid w:val="00C06DD6"/>
    <w:rsid w:val="00C06DFF"/>
    <w:rsid w:val="00C07045"/>
    <w:rsid w:val="00C07197"/>
    <w:rsid w:val="00C071C4"/>
    <w:rsid w:val="00C07417"/>
    <w:rsid w:val="00C07688"/>
    <w:rsid w:val="00C07A3F"/>
    <w:rsid w:val="00C07C11"/>
    <w:rsid w:val="00C07EDD"/>
    <w:rsid w:val="00C10253"/>
    <w:rsid w:val="00C1044F"/>
    <w:rsid w:val="00C10667"/>
    <w:rsid w:val="00C108E8"/>
    <w:rsid w:val="00C10EA0"/>
    <w:rsid w:val="00C10F98"/>
    <w:rsid w:val="00C11191"/>
    <w:rsid w:val="00C111A4"/>
    <w:rsid w:val="00C112C3"/>
    <w:rsid w:val="00C113CB"/>
    <w:rsid w:val="00C114A5"/>
    <w:rsid w:val="00C11530"/>
    <w:rsid w:val="00C11782"/>
    <w:rsid w:val="00C11862"/>
    <w:rsid w:val="00C11CCF"/>
    <w:rsid w:val="00C11FA2"/>
    <w:rsid w:val="00C12225"/>
    <w:rsid w:val="00C125CD"/>
    <w:rsid w:val="00C12628"/>
    <w:rsid w:val="00C12775"/>
    <w:rsid w:val="00C12786"/>
    <w:rsid w:val="00C127CC"/>
    <w:rsid w:val="00C1281F"/>
    <w:rsid w:val="00C12BC6"/>
    <w:rsid w:val="00C12C6A"/>
    <w:rsid w:val="00C12D12"/>
    <w:rsid w:val="00C13099"/>
    <w:rsid w:val="00C1315B"/>
    <w:rsid w:val="00C1320C"/>
    <w:rsid w:val="00C13345"/>
    <w:rsid w:val="00C13369"/>
    <w:rsid w:val="00C1369E"/>
    <w:rsid w:val="00C1388B"/>
    <w:rsid w:val="00C13921"/>
    <w:rsid w:val="00C1392F"/>
    <w:rsid w:val="00C139D4"/>
    <w:rsid w:val="00C13AF4"/>
    <w:rsid w:val="00C13B58"/>
    <w:rsid w:val="00C13CBB"/>
    <w:rsid w:val="00C13D27"/>
    <w:rsid w:val="00C13DD5"/>
    <w:rsid w:val="00C13FFC"/>
    <w:rsid w:val="00C14334"/>
    <w:rsid w:val="00C14347"/>
    <w:rsid w:val="00C14435"/>
    <w:rsid w:val="00C1454B"/>
    <w:rsid w:val="00C1484A"/>
    <w:rsid w:val="00C148BF"/>
    <w:rsid w:val="00C14B2C"/>
    <w:rsid w:val="00C14CC4"/>
    <w:rsid w:val="00C14DCB"/>
    <w:rsid w:val="00C14E7F"/>
    <w:rsid w:val="00C14E84"/>
    <w:rsid w:val="00C1526D"/>
    <w:rsid w:val="00C15385"/>
    <w:rsid w:val="00C155CF"/>
    <w:rsid w:val="00C157EB"/>
    <w:rsid w:val="00C15803"/>
    <w:rsid w:val="00C15A45"/>
    <w:rsid w:val="00C15AE4"/>
    <w:rsid w:val="00C15BCA"/>
    <w:rsid w:val="00C15DDF"/>
    <w:rsid w:val="00C15E37"/>
    <w:rsid w:val="00C15F2A"/>
    <w:rsid w:val="00C15F5A"/>
    <w:rsid w:val="00C16352"/>
    <w:rsid w:val="00C16489"/>
    <w:rsid w:val="00C165BE"/>
    <w:rsid w:val="00C169F9"/>
    <w:rsid w:val="00C16B1C"/>
    <w:rsid w:val="00C16B9B"/>
    <w:rsid w:val="00C16BAB"/>
    <w:rsid w:val="00C16E97"/>
    <w:rsid w:val="00C16F35"/>
    <w:rsid w:val="00C1713B"/>
    <w:rsid w:val="00C174F6"/>
    <w:rsid w:val="00C176F7"/>
    <w:rsid w:val="00C179F2"/>
    <w:rsid w:val="00C17C33"/>
    <w:rsid w:val="00C17CA0"/>
    <w:rsid w:val="00C20068"/>
    <w:rsid w:val="00C20070"/>
    <w:rsid w:val="00C20265"/>
    <w:rsid w:val="00C204E8"/>
    <w:rsid w:val="00C207E1"/>
    <w:rsid w:val="00C20855"/>
    <w:rsid w:val="00C20BBE"/>
    <w:rsid w:val="00C20FE3"/>
    <w:rsid w:val="00C2102F"/>
    <w:rsid w:val="00C211F6"/>
    <w:rsid w:val="00C2133E"/>
    <w:rsid w:val="00C21D09"/>
    <w:rsid w:val="00C21DDD"/>
    <w:rsid w:val="00C21F3A"/>
    <w:rsid w:val="00C220A7"/>
    <w:rsid w:val="00C2215B"/>
    <w:rsid w:val="00C222BD"/>
    <w:rsid w:val="00C2259C"/>
    <w:rsid w:val="00C2276E"/>
    <w:rsid w:val="00C228C8"/>
    <w:rsid w:val="00C22935"/>
    <w:rsid w:val="00C22A43"/>
    <w:rsid w:val="00C22AE8"/>
    <w:rsid w:val="00C22B5F"/>
    <w:rsid w:val="00C22D32"/>
    <w:rsid w:val="00C22DC6"/>
    <w:rsid w:val="00C22DD4"/>
    <w:rsid w:val="00C23071"/>
    <w:rsid w:val="00C230C6"/>
    <w:rsid w:val="00C2327C"/>
    <w:rsid w:val="00C232B4"/>
    <w:rsid w:val="00C23318"/>
    <w:rsid w:val="00C2334E"/>
    <w:rsid w:val="00C2369E"/>
    <w:rsid w:val="00C236E0"/>
    <w:rsid w:val="00C23825"/>
    <w:rsid w:val="00C23870"/>
    <w:rsid w:val="00C23B2E"/>
    <w:rsid w:val="00C23CCB"/>
    <w:rsid w:val="00C23E51"/>
    <w:rsid w:val="00C23F2C"/>
    <w:rsid w:val="00C240D2"/>
    <w:rsid w:val="00C24452"/>
    <w:rsid w:val="00C2490C"/>
    <w:rsid w:val="00C24BBE"/>
    <w:rsid w:val="00C24DA7"/>
    <w:rsid w:val="00C24E86"/>
    <w:rsid w:val="00C24FE0"/>
    <w:rsid w:val="00C2511D"/>
    <w:rsid w:val="00C251F1"/>
    <w:rsid w:val="00C252A9"/>
    <w:rsid w:val="00C254AC"/>
    <w:rsid w:val="00C2569C"/>
    <w:rsid w:val="00C2597F"/>
    <w:rsid w:val="00C259D8"/>
    <w:rsid w:val="00C25E2F"/>
    <w:rsid w:val="00C25FC7"/>
    <w:rsid w:val="00C2612D"/>
    <w:rsid w:val="00C261F5"/>
    <w:rsid w:val="00C2639D"/>
    <w:rsid w:val="00C26793"/>
    <w:rsid w:val="00C2692A"/>
    <w:rsid w:val="00C26F1F"/>
    <w:rsid w:val="00C26F6B"/>
    <w:rsid w:val="00C26FAE"/>
    <w:rsid w:val="00C270F5"/>
    <w:rsid w:val="00C273FF"/>
    <w:rsid w:val="00C274AA"/>
    <w:rsid w:val="00C27682"/>
    <w:rsid w:val="00C27707"/>
    <w:rsid w:val="00C27840"/>
    <w:rsid w:val="00C279B6"/>
    <w:rsid w:val="00C27A81"/>
    <w:rsid w:val="00C27CDD"/>
    <w:rsid w:val="00C27D2A"/>
    <w:rsid w:val="00C27E02"/>
    <w:rsid w:val="00C27EEE"/>
    <w:rsid w:val="00C27F29"/>
    <w:rsid w:val="00C30069"/>
    <w:rsid w:val="00C30201"/>
    <w:rsid w:val="00C30329"/>
    <w:rsid w:val="00C304CC"/>
    <w:rsid w:val="00C307B3"/>
    <w:rsid w:val="00C30995"/>
    <w:rsid w:val="00C309EC"/>
    <w:rsid w:val="00C30C0A"/>
    <w:rsid w:val="00C30CD8"/>
    <w:rsid w:val="00C31042"/>
    <w:rsid w:val="00C31453"/>
    <w:rsid w:val="00C31801"/>
    <w:rsid w:val="00C31A74"/>
    <w:rsid w:val="00C31B31"/>
    <w:rsid w:val="00C31CBA"/>
    <w:rsid w:val="00C31D30"/>
    <w:rsid w:val="00C32142"/>
    <w:rsid w:val="00C32405"/>
    <w:rsid w:val="00C325A5"/>
    <w:rsid w:val="00C3280C"/>
    <w:rsid w:val="00C32824"/>
    <w:rsid w:val="00C32A51"/>
    <w:rsid w:val="00C32F95"/>
    <w:rsid w:val="00C3338A"/>
    <w:rsid w:val="00C33411"/>
    <w:rsid w:val="00C337AA"/>
    <w:rsid w:val="00C33A25"/>
    <w:rsid w:val="00C33CD2"/>
    <w:rsid w:val="00C33E9B"/>
    <w:rsid w:val="00C3410E"/>
    <w:rsid w:val="00C343BA"/>
    <w:rsid w:val="00C344EC"/>
    <w:rsid w:val="00C34713"/>
    <w:rsid w:val="00C34AE0"/>
    <w:rsid w:val="00C34EF1"/>
    <w:rsid w:val="00C34F7E"/>
    <w:rsid w:val="00C34FBC"/>
    <w:rsid w:val="00C35133"/>
    <w:rsid w:val="00C35222"/>
    <w:rsid w:val="00C352DE"/>
    <w:rsid w:val="00C3546F"/>
    <w:rsid w:val="00C35607"/>
    <w:rsid w:val="00C35622"/>
    <w:rsid w:val="00C356A6"/>
    <w:rsid w:val="00C35861"/>
    <w:rsid w:val="00C35966"/>
    <w:rsid w:val="00C35B9B"/>
    <w:rsid w:val="00C35C56"/>
    <w:rsid w:val="00C35CC0"/>
    <w:rsid w:val="00C35CFC"/>
    <w:rsid w:val="00C35D95"/>
    <w:rsid w:val="00C35DB9"/>
    <w:rsid w:val="00C361AE"/>
    <w:rsid w:val="00C3636A"/>
    <w:rsid w:val="00C36854"/>
    <w:rsid w:val="00C36BDC"/>
    <w:rsid w:val="00C37177"/>
    <w:rsid w:val="00C372F7"/>
    <w:rsid w:val="00C37446"/>
    <w:rsid w:val="00C3751E"/>
    <w:rsid w:val="00C37643"/>
    <w:rsid w:val="00C376E8"/>
    <w:rsid w:val="00C3789A"/>
    <w:rsid w:val="00C379D6"/>
    <w:rsid w:val="00C37A6A"/>
    <w:rsid w:val="00C37A6D"/>
    <w:rsid w:val="00C37B17"/>
    <w:rsid w:val="00C37BFD"/>
    <w:rsid w:val="00C37E64"/>
    <w:rsid w:val="00C400EB"/>
    <w:rsid w:val="00C404C6"/>
    <w:rsid w:val="00C406D8"/>
    <w:rsid w:val="00C406FC"/>
    <w:rsid w:val="00C407BE"/>
    <w:rsid w:val="00C40815"/>
    <w:rsid w:val="00C408FB"/>
    <w:rsid w:val="00C40939"/>
    <w:rsid w:val="00C409E5"/>
    <w:rsid w:val="00C40BAA"/>
    <w:rsid w:val="00C40E1C"/>
    <w:rsid w:val="00C40E3F"/>
    <w:rsid w:val="00C40F1E"/>
    <w:rsid w:val="00C41131"/>
    <w:rsid w:val="00C41182"/>
    <w:rsid w:val="00C41483"/>
    <w:rsid w:val="00C41577"/>
    <w:rsid w:val="00C41579"/>
    <w:rsid w:val="00C4186E"/>
    <w:rsid w:val="00C418FE"/>
    <w:rsid w:val="00C41A9C"/>
    <w:rsid w:val="00C41D09"/>
    <w:rsid w:val="00C41DD4"/>
    <w:rsid w:val="00C41F6C"/>
    <w:rsid w:val="00C41FAD"/>
    <w:rsid w:val="00C420D0"/>
    <w:rsid w:val="00C421BB"/>
    <w:rsid w:val="00C422E7"/>
    <w:rsid w:val="00C4250C"/>
    <w:rsid w:val="00C4256D"/>
    <w:rsid w:val="00C426FD"/>
    <w:rsid w:val="00C429A4"/>
    <w:rsid w:val="00C42B0F"/>
    <w:rsid w:val="00C42D5D"/>
    <w:rsid w:val="00C42DCC"/>
    <w:rsid w:val="00C42FF3"/>
    <w:rsid w:val="00C4304F"/>
    <w:rsid w:val="00C4334B"/>
    <w:rsid w:val="00C435A4"/>
    <w:rsid w:val="00C438D2"/>
    <w:rsid w:val="00C43B6C"/>
    <w:rsid w:val="00C43B79"/>
    <w:rsid w:val="00C43C72"/>
    <w:rsid w:val="00C43D05"/>
    <w:rsid w:val="00C43DA8"/>
    <w:rsid w:val="00C43F8D"/>
    <w:rsid w:val="00C43F99"/>
    <w:rsid w:val="00C44438"/>
    <w:rsid w:val="00C445F6"/>
    <w:rsid w:val="00C447B0"/>
    <w:rsid w:val="00C44B94"/>
    <w:rsid w:val="00C44C4E"/>
    <w:rsid w:val="00C44D98"/>
    <w:rsid w:val="00C44F68"/>
    <w:rsid w:val="00C450FB"/>
    <w:rsid w:val="00C45607"/>
    <w:rsid w:val="00C4571C"/>
    <w:rsid w:val="00C459EB"/>
    <w:rsid w:val="00C45A0B"/>
    <w:rsid w:val="00C45A54"/>
    <w:rsid w:val="00C45B70"/>
    <w:rsid w:val="00C45D34"/>
    <w:rsid w:val="00C460C2"/>
    <w:rsid w:val="00C46273"/>
    <w:rsid w:val="00C463CA"/>
    <w:rsid w:val="00C4673E"/>
    <w:rsid w:val="00C46860"/>
    <w:rsid w:val="00C46908"/>
    <w:rsid w:val="00C4694A"/>
    <w:rsid w:val="00C46A08"/>
    <w:rsid w:val="00C46C7D"/>
    <w:rsid w:val="00C46F8E"/>
    <w:rsid w:val="00C47163"/>
    <w:rsid w:val="00C473A1"/>
    <w:rsid w:val="00C473A4"/>
    <w:rsid w:val="00C47820"/>
    <w:rsid w:val="00C47833"/>
    <w:rsid w:val="00C47905"/>
    <w:rsid w:val="00C47B8E"/>
    <w:rsid w:val="00C47CA1"/>
    <w:rsid w:val="00C47CE4"/>
    <w:rsid w:val="00C47E21"/>
    <w:rsid w:val="00C47F3C"/>
    <w:rsid w:val="00C50154"/>
    <w:rsid w:val="00C5018D"/>
    <w:rsid w:val="00C50246"/>
    <w:rsid w:val="00C50ABC"/>
    <w:rsid w:val="00C50B13"/>
    <w:rsid w:val="00C50C5D"/>
    <w:rsid w:val="00C50D01"/>
    <w:rsid w:val="00C50D84"/>
    <w:rsid w:val="00C50F21"/>
    <w:rsid w:val="00C51134"/>
    <w:rsid w:val="00C512C3"/>
    <w:rsid w:val="00C512C7"/>
    <w:rsid w:val="00C5143D"/>
    <w:rsid w:val="00C514B6"/>
    <w:rsid w:val="00C51603"/>
    <w:rsid w:val="00C51713"/>
    <w:rsid w:val="00C517B2"/>
    <w:rsid w:val="00C51812"/>
    <w:rsid w:val="00C51892"/>
    <w:rsid w:val="00C51944"/>
    <w:rsid w:val="00C519EE"/>
    <w:rsid w:val="00C51D41"/>
    <w:rsid w:val="00C51E4F"/>
    <w:rsid w:val="00C51FB3"/>
    <w:rsid w:val="00C52107"/>
    <w:rsid w:val="00C5225B"/>
    <w:rsid w:val="00C52335"/>
    <w:rsid w:val="00C523AA"/>
    <w:rsid w:val="00C52444"/>
    <w:rsid w:val="00C52777"/>
    <w:rsid w:val="00C52845"/>
    <w:rsid w:val="00C52BBC"/>
    <w:rsid w:val="00C52C6D"/>
    <w:rsid w:val="00C52E88"/>
    <w:rsid w:val="00C5320A"/>
    <w:rsid w:val="00C53228"/>
    <w:rsid w:val="00C5328F"/>
    <w:rsid w:val="00C533F9"/>
    <w:rsid w:val="00C535D5"/>
    <w:rsid w:val="00C53824"/>
    <w:rsid w:val="00C53C92"/>
    <w:rsid w:val="00C53D6C"/>
    <w:rsid w:val="00C53DB1"/>
    <w:rsid w:val="00C540D0"/>
    <w:rsid w:val="00C54194"/>
    <w:rsid w:val="00C542BB"/>
    <w:rsid w:val="00C542FC"/>
    <w:rsid w:val="00C54798"/>
    <w:rsid w:val="00C548A7"/>
    <w:rsid w:val="00C548D6"/>
    <w:rsid w:val="00C54905"/>
    <w:rsid w:val="00C549D3"/>
    <w:rsid w:val="00C54BD5"/>
    <w:rsid w:val="00C54F87"/>
    <w:rsid w:val="00C55105"/>
    <w:rsid w:val="00C55121"/>
    <w:rsid w:val="00C5520A"/>
    <w:rsid w:val="00C55270"/>
    <w:rsid w:val="00C552F2"/>
    <w:rsid w:val="00C55333"/>
    <w:rsid w:val="00C55481"/>
    <w:rsid w:val="00C55724"/>
    <w:rsid w:val="00C55752"/>
    <w:rsid w:val="00C5585C"/>
    <w:rsid w:val="00C5588F"/>
    <w:rsid w:val="00C558DB"/>
    <w:rsid w:val="00C55A5B"/>
    <w:rsid w:val="00C55BEF"/>
    <w:rsid w:val="00C55E73"/>
    <w:rsid w:val="00C55E7C"/>
    <w:rsid w:val="00C55F27"/>
    <w:rsid w:val="00C56417"/>
    <w:rsid w:val="00C56A5D"/>
    <w:rsid w:val="00C5701D"/>
    <w:rsid w:val="00C57087"/>
    <w:rsid w:val="00C57317"/>
    <w:rsid w:val="00C5757C"/>
    <w:rsid w:val="00C57732"/>
    <w:rsid w:val="00C57751"/>
    <w:rsid w:val="00C57903"/>
    <w:rsid w:val="00C57E4B"/>
    <w:rsid w:val="00C57F4C"/>
    <w:rsid w:val="00C600BB"/>
    <w:rsid w:val="00C6020C"/>
    <w:rsid w:val="00C60242"/>
    <w:rsid w:val="00C602E1"/>
    <w:rsid w:val="00C6034B"/>
    <w:rsid w:val="00C603AB"/>
    <w:rsid w:val="00C604B1"/>
    <w:rsid w:val="00C6059B"/>
    <w:rsid w:val="00C6059F"/>
    <w:rsid w:val="00C606C1"/>
    <w:rsid w:val="00C60892"/>
    <w:rsid w:val="00C60955"/>
    <w:rsid w:val="00C60A4D"/>
    <w:rsid w:val="00C60CC9"/>
    <w:rsid w:val="00C60EA8"/>
    <w:rsid w:val="00C60F71"/>
    <w:rsid w:val="00C60FFC"/>
    <w:rsid w:val="00C61101"/>
    <w:rsid w:val="00C615A2"/>
    <w:rsid w:val="00C61869"/>
    <w:rsid w:val="00C61FD2"/>
    <w:rsid w:val="00C621C3"/>
    <w:rsid w:val="00C62244"/>
    <w:rsid w:val="00C623AA"/>
    <w:rsid w:val="00C62550"/>
    <w:rsid w:val="00C62585"/>
    <w:rsid w:val="00C62748"/>
    <w:rsid w:val="00C62884"/>
    <w:rsid w:val="00C62B33"/>
    <w:rsid w:val="00C62BF1"/>
    <w:rsid w:val="00C62C18"/>
    <w:rsid w:val="00C62D1F"/>
    <w:rsid w:val="00C62D65"/>
    <w:rsid w:val="00C63245"/>
    <w:rsid w:val="00C63329"/>
    <w:rsid w:val="00C633C8"/>
    <w:rsid w:val="00C63635"/>
    <w:rsid w:val="00C636C1"/>
    <w:rsid w:val="00C63979"/>
    <w:rsid w:val="00C63C79"/>
    <w:rsid w:val="00C63D69"/>
    <w:rsid w:val="00C6412F"/>
    <w:rsid w:val="00C6418D"/>
    <w:rsid w:val="00C6441B"/>
    <w:rsid w:val="00C64718"/>
    <w:rsid w:val="00C648E3"/>
    <w:rsid w:val="00C64D69"/>
    <w:rsid w:val="00C64EA8"/>
    <w:rsid w:val="00C65035"/>
    <w:rsid w:val="00C65084"/>
    <w:rsid w:val="00C650EE"/>
    <w:rsid w:val="00C65154"/>
    <w:rsid w:val="00C6535F"/>
    <w:rsid w:val="00C6591A"/>
    <w:rsid w:val="00C65927"/>
    <w:rsid w:val="00C6596D"/>
    <w:rsid w:val="00C65E15"/>
    <w:rsid w:val="00C65E98"/>
    <w:rsid w:val="00C65F35"/>
    <w:rsid w:val="00C65F98"/>
    <w:rsid w:val="00C65FDA"/>
    <w:rsid w:val="00C664DA"/>
    <w:rsid w:val="00C66540"/>
    <w:rsid w:val="00C66800"/>
    <w:rsid w:val="00C669DA"/>
    <w:rsid w:val="00C66C6D"/>
    <w:rsid w:val="00C66D24"/>
    <w:rsid w:val="00C66D5B"/>
    <w:rsid w:val="00C66EB1"/>
    <w:rsid w:val="00C66EEF"/>
    <w:rsid w:val="00C670BC"/>
    <w:rsid w:val="00C67124"/>
    <w:rsid w:val="00C671CC"/>
    <w:rsid w:val="00C67238"/>
    <w:rsid w:val="00C6767A"/>
    <w:rsid w:val="00C67EB2"/>
    <w:rsid w:val="00C67F9B"/>
    <w:rsid w:val="00C7002A"/>
    <w:rsid w:val="00C70034"/>
    <w:rsid w:val="00C70088"/>
    <w:rsid w:val="00C700E6"/>
    <w:rsid w:val="00C702BB"/>
    <w:rsid w:val="00C70436"/>
    <w:rsid w:val="00C70515"/>
    <w:rsid w:val="00C70599"/>
    <w:rsid w:val="00C708CE"/>
    <w:rsid w:val="00C70930"/>
    <w:rsid w:val="00C709AB"/>
    <w:rsid w:val="00C70A68"/>
    <w:rsid w:val="00C70B53"/>
    <w:rsid w:val="00C70D2A"/>
    <w:rsid w:val="00C70EAE"/>
    <w:rsid w:val="00C70EF1"/>
    <w:rsid w:val="00C70F9E"/>
    <w:rsid w:val="00C714C0"/>
    <w:rsid w:val="00C714D5"/>
    <w:rsid w:val="00C7175F"/>
    <w:rsid w:val="00C71777"/>
    <w:rsid w:val="00C71B74"/>
    <w:rsid w:val="00C71C48"/>
    <w:rsid w:val="00C71F19"/>
    <w:rsid w:val="00C722FD"/>
    <w:rsid w:val="00C723E2"/>
    <w:rsid w:val="00C7251B"/>
    <w:rsid w:val="00C72529"/>
    <w:rsid w:val="00C7299D"/>
    <w:rsid w:val="00C729A9"/>
    <w:rsid w:val="00C729F7"/>
    <w:rsid w:val="00C72AF6"/>
    <w:rsid w:val="00C72C70"/>
    <w:rsid w:val="00C732A8"/>
    <w:rsid w:val="00C7332B"/>
    <w:rsid w:val="00C73520"/>
    <w:rsid w:val="00C7354B"/>
    <w:rsid w:val="00C73633"/>
    <w:rsid w:val="00C7386C"/>
    <w:rsid w:val="00C73955"/>
    <w:rsid w:val="00C73BC9"/>
    <w:rsid w:val="00C73E1D"/>
    <w:rsid w:val="00C7417B"/>
    <w:rsid w:val="00C7418C"/>
    <w:rsid w:val="00C742B2"/>
    <w:rsid w:val="00C744E2"/>
    <w:rsid w:val="00C7476A"/>
    <w:rsid w:val="00C747E7"/>
    <w:rsid w:val="00C74BA8"/>
    <w:rsid w:val="00C75040"/>
    <w:rsid w:val="00C751C9"/>
    <w:rsid w:val="00C753F4"/>
    <w:rsid w:val="00C756DF"/>
    <w:rsid w:val="00C756F7"/>
    <w:rsid w:val="00C75882"/>
    <w:rsid w:val="00C7599D"/>
    <w:rsid w:val="00C75B42"/>
    <w:rsid w:val="00C75C1F"/>
    <w:rsid w:val="00C75DD6"/>
    <w:rsid w:val="00C76331"/>
    <w:rsid w:val="00C767C8"/>
    <w:rsid w:val="00C7689B"/>
    <w:rsid w:val="00C76AE4"/>
    <w:rsid w:val="00C76E45"/>
    <w:rsid w:val="00C771D6"/>
    <w:rsid w:val="00C7721D"/>
    <w:rsid w:val="00C772E4"/>
    <w:rsid w:val="00C77303"/>
    <w:rsid w:val="00C77436"/>
    <w:rsid w:val="00C77520"/>
    <w:rsid w:val="00C776A8"/>
    <w:rsid w:val="00C776D5"/>
    <w:rsid w:val="00C77714"/>
    <w:rsid w:val="00C777B2"/>
    <w:rsid w:val="00C7789E"/>
    <w:rsid w:val="00C7790C"/>
    <w:rsid w:val="00C77989"/>
    <w:rsid w:val="00C77B33"/>
    <w:rsid w:val="00C77CAF"/>
    <w:rsid w:val="00C77E82"/>
    <w:rsid w:val="00C8000B"/>
    <w:rsid w:val="00C8031D"/>
    <w:rsid w:val="00C8037D"/>
    <w:rsid w:val="00C803AB"/>
    <w:rsid w:val="00C80562"/>
    <w:rsid w:val="00C80576"/>
    <w:rsid w:val="00C806FC"/>
    <w:rsid w:val="00C807A4"/>
    <w:rsid w:val="00C80F15"/>
    <w:rsid w:val="00C810EC"/>
    <w:rsid w:val="00C812A8"/>
    <w:rsid w:val="00C812BA"/>
    <w:rsid w:val="00C8191A"/>
    <w:rsid w:val="00C8196A"/>
    <w:rsid w:val="00C81A18"/>
    <w:rsid w:val="00C81A1A"/>
    <w:rsid w:val="00C81A90"/>
    <w:rsid w:val="00C81C3C"/>
    <w:rsid w:val="00C81C4F"/>
    <w:rsid w:val="00C81F8B"/>
    <w:rsid w:val="00C82013"/>
    <w:rsid w:val="00C8202D"/>
    <w:rsid w:val="00C8230F"/>
    <w:rsid w:val="00C82314"/>
    <w:rsid w:val="00C82366"/>
    <w:rsid w:val="00C82440"/>
    <w:rsid w:val="00C826E3"/>
    <w:rsid w:val="00C82815"/>
    <w:rsid w:val="00C82841"/>
    <w:rsid w:val="00C8298D"/>
    <w:rsid w:val="00C82B32"/>
    <w:rsid w:val="00C82B90"/>
    <w:rsid w:val="00C82C33"/>
    <w:rsid w:val="00C82CA2"/>
    <w:rsid w:val="00C82ECD"/>
    <w:rsid w:val="00C835F6"/>
    <w:rsid w:val="00C83B95"/>
    <w:rsid w:val="00C83CE1"/>
    <w:rsid w:val="00C83F1D"/>
    <w:rsid w:val="00C83FFE"/>
    <w:rsid w:val="00C84069"/>
    <w:rsid w:val="00C840CE"/>
    <w:rsid w:val="00C84209"/>
    <w:rsid w:val="00C842D7"/>
    <w:rsid w:val="00C843BA"/>
    <w:rsid w:val="00C846D3"/>
    <w:rsid w:val="00C846EB"/>
    <w:rsid w:val="00C847DA"/>
    <w:rsid w:val="00C84CF7"/>
    <w:rsid w:val="00C84D19"/>
    <w:rsid w:val="00C850EB"/>
    <w:rsid w:val="00C8518E"/>
    <w:rsid w:val="00C851F9"/>
    <w:rsid w:val="00C85530"/>
    <w:rsid w:val="00C85718"/>
    <w:rsid w:val="00C857DB"/>
    <w:rsid w:val="00C858B5"/>
    <w:rsid w:val="00C859E3"/>
    <w:rsid w:val="00C85AFA"/>
    <w:rsid w:val="00C85BE6"/>
    <w:rsid w:val="00C85C97"/>
    <w:rsid w:val="00C86112"/>
    <w:rsid w:val="00C8622C"/>
    <w:rsid w:val="00C86BED"/>
    <w:rsid w:val="00C86CF7"/>
    <w:rsid w:val="00C86E1C"/>
    <w:rsid w:val="00C86FBA"/>
    <w:rsid w:val="00C86FEB"/>
    <w:rsid w:val="00C87177"/>
    <w:rsid w:val="00C8719B"/>
    <w:rsid w:val="00C8778E"/>
    <w:rsid w:val="00C8790F"/>
    <w:rsid w:val="00C879A9"/>
    <w:rsid w:val="00C87D08"/>
    <w:rsid w:val="00C87D73"/>
    <w:rsid w:val="00C90461"/>
    <w:rsid w:val="00C9069F"/>
    <w:rsid w:val="00C9072D"/>
    <w:rsid w:val="00C907FA"/>
    <w:rsid w:val="00C90804"/>
    <w:rsid w:val="00C90811"/>
    <w:rsid w:val="00C90A0D"/>
    <w:rsid w:val="00C90C4B"/>
    <w:rsid w:val="00C90D49"/>
    <w:rsid w:val="00C90FFB"/>
    <w:rsid w:val="00C9100E"/>
    <w:rsid w:val="00C91022"/>
    <w:rsid w:val="00C91312"/>
    <w:rsid w:val="00C91407"/>
    <w:rsid w:val="00C91412"/>
    <w:rsid w:val="00C9148E"/>
    <w:rsid w:val="00C9170E"/>
    <w:rsid w:val="00C91742"/>
    <w:rsid w:val="00C9186A"/>
    <w:rsid w:val="00C919BD"/>
    <w:rsid w:val="00C91AF8"/>
    <w:rsid w:val="00C91C5F"/>
    <w:rsid w:val="00C91FEF"/>
    <w:rsid w:val="00C92028"/>
    <w:rsid w:val="00C92277"/>
    <w:rsid w:val="00C92364"/>
    <w:rsid w:val="00C92647"/>
    <w:rsid w:val="00C9272D"/>
    <w:rsid w:val="00C927B2"/>
    <w:rsid w:val="00C928AD"/>
    <w:rsid w:val="00C92DB2"/>
    <w:rsid w:val="00C92F5F"/>
    <w:rsid w:val="00C92FF4"/>
    <w:rsid w:val="00C932BD"/>
    <w:rsid w:val="00C933A5"/>
    <w:rsid w:val="00C936B5"/>
    <w:rsid w:val="00C93780"/>
    <w:rsid w:val="00C9390A"/>
    <w:rsid w:val="00C93A01"/>
    <w:rsid w:val="00C93A38"/>
    <w:rsid w:val="00C93A9F"/>
    <w:rsid w:val="00C93ADA"/>
    <w:rsid w:val="00C93C71"/>
    <w:rsid w:val="00C93E09"/>
    <w:rsid w:val="00C9400E"/>
    <w:rsid w:val="00C9417B"/>
    <w:rsid w:val="00C943C0"/>
    <w:rsid w:val="00C94467"/>
    <w:rsid w:val="00C94725"/>
    <w:rsid w:val="00C94792"/>
    <w:rsid w:val="00C94BA4"/>
    <w:rsid w:val="00C94BF8"/>
    <w:rsid w:val="00C94CD3"/>
    <w:rsid w:val="00C94D57"/>
    <w:rsid w:val="00C94D62"/>
    <w:rsid w:val="00C95137"/>
    <w:rsid w:val="00C951A8"/>
    <w:rsid w:val="00C9526D"/>
    <w:rsid w:val="00C9528B"/>
    <w:rsid w:val="00C95520"/>
    <w:rsid w:val="00C955CF"/>
    <w:rsid w:val="00C9587A"/>
    <w:rsid w:val="00C958ED"/>
    <w:rsid w:val="00C9595C"/>
    <w:rsid w:val="00C95B13"/>
    <w:rsid w:val="00C95E01"/>
    <w:rsid w:val="00C95EC0"/>
    <w:rsid w:val="00C96008"/>
    <w:rsid w:val="00C9603F"/>
    <w:rsid w:val="00C960AE"/>
    <w:rsid w:val="00C960B9"/>
    <w:rsid w:val="00C960C9"/>
    <w:rsid w:val="00C96110"/>
    <w:rsid w:val="00C96435"/>
    <w:rsid w:val="00C964C8"/>
    <w:rsid w:val="00C9669B"/>
    <w:rsid w:val="00C967C8"/>
    <w:rsid w:val="00C969A4"/>
    <w:rsid w:val="00C96AAA"/>
    <w:rsid w:val="00C96C12"/>
    <w:rsid w:val="00C96EB0"/>
    <w:rsid w:val="00C96F08"/>
    <w:rsid w:val="00C96FBB"/>
    <w:rsid w:val="00C970DC"/>
    <w:rsid w:val="00C971EC"/>
    <w:rsid w:val="00C975FA"/>
    <w:rsid w:val="00C9763B"/>
    <w:rsid w:val="00C97648"/>
    <w:rsid w:val="00C9765D"/>
    <w:rsid w:val="00C978EA"/>
    <w:rsid w:val="00C9797A"/>
    <w:rsid w:val="00C97A09"/>
    <w:rsid w:val="00C97D8E"/>
    <w:rsid w:val="00C97EA2"/>
    <w:rsid w:val="00CA009A"/>
    <w:rsid w:val="00CA039A"/>
    <w:rsid w:val="00CA0484"/>
    <w:rsid w:val="00CA0C1D"/>
    <w:rsid w:val="00CA0C3E"/>
    <w:rsid w:val="00CA0DB2"/>
    <w:rsid w:val="00CA1262"/>
    <w:rsid w:val="00CA1351"/>
    <w:rsid w:val="00CA147E"/>
    <w:rsid w:val="00CA14DC"/>
    <w:rsid w:val="00CA160C"/>
    <w:rsid w:val="00CA1619"/>
    <w:rsid w:val="00CA1C91"/>
    <w:rsid w:val="00CA2102"/>
    <w:rsid w:val="00CA2129"/>
    <w:rsid w:val="00CA22C1"/>
    <w:rsid w:val="00CA2347"/>
    <w:rsid w:val="00CA23D2"/>
    <w:rsid w:val="00CA24AA"/>
    <w:rsid w:val="00CA25C3"/>
    <w:rsid w:val="00CA267F"/>
    <w:rsid w:val="00CA28FC"/>
    <w:rsid w:val="00CA2B17"/>
    <w:rsid w:val="00CA2B3A"/>
    <w:rsid w:val="00CA2BE5"/>
    <w:rsid w:val="00CA2E73"/>
    <w:rsid w:val="00CA2F86"/>
    <w:rsid w:val="00CA3041"/>
    <w:rsid w:val="00CA304F"/>
    <w:rsid w:val="00CA3113"/>
    <w:rsid w:val="00CA32B4"/>
    <w:rsid w:val="00CA38AC"/>
    <w:rsid w:val="00CA38BC"/>
    <w:rsid w:val="00CA39C1"/>
    <w:rsid w:val="00CA3A16"/>
    <w:rsid w:val="00CA3C42"/>
    <w:rsid w:val="00CA3C6A"/>
    <w:rsid w:val="00CA3E66"/>
    <w:rsid w:val="00CA3E92"/>
    <w:rsid w:val="00CA3F43"/>
    <w:rsid w:val="00CA3FD5"/>
    <w:rsid w:val="00CA421E"/>
    <w:rsid w:val="00CA4542"/>
    <w:rsid w:val="00CA46D1"/>
    <w:rsid w:val="00CA4755"/>
    <w:rsid w:val="00CA4784"/>
    <w:rsid w:val="00CA4797"/>
    <w:rsid w:val="00CA498E"/>
    <w:rsid w:val="00CA4D43"/>
    <w:rsid w:val="00CA52A4"/>
    <w:rsid w:val="00CA52ED"/>
    <w:rsid w:val="00CA5306"/>
    <w:rsid w:val="00CA564A"/>
    <w:rsid w:val="00CA580C"/>
    <w:rsid w:val="00CA58CA"/>
    <w:rsid w:val="00CA5A09"/>
    <w:rsid w:val="00CA5CAE"/>
    <w:rsid w:val="00CA5D50"/>
    <w:rsid w:val="00CA5DF7"/>
    <w:rsid w:val="00CA611F"/>
    <w:rsid w:val="00CA631F"/>
    <w:rsid w:val="00CA6482"/>
    <w:rsid w:val="00CA6597"/>
    <w:rsid w:val="00CA6977"/>
    <w:rsid w:val="00CA6B85"/>
    <w:rsid w:val="00CA6C75"/>
    <w:rsid w:val="00CA6DB4"/>
    <w:rsid w:val="00CA6EFC"/>
    <w:rsid w:val="00CA6F9E"/>
    <w:rsid w:val="00CA74E4"/>
    <w:rsid w:val="00CA74EE"/>
    <w:rsid w:val="00CA7DFD"/>
    <w:rsid w:val="00CA7F32"/>
    <w:rsid w:val="00CB0362"/>
    <w:rsid w:val="00CB03D0"/>
    <w:rsid w:val="00CB0554"/>
    <w:rsid w:val="00CB05BD"/>
    <w:rsid w:val="00CB06CD"/>
    <w:rsid w:val="00CB0716"/>
    <w:rsid w:val="00CB0764"/>
    <w:rsid w:val="00CB0841"/>
    <w:rsid w:val="00CB099E"/>
    <w:rsid w:val="00CB0D30"/>
    <w:rsid w:val="00CB115F"/>
    <w:rsid w:val="00CB11EE"/>
    <w:rsid w:val="00CB12EC"/>
    <w:rsid w:val="00CB17E3"/>
    <w:rsid w:val="00CB18D4"/>
    <w:rsid w:val="00CB18E3"/>
    <w:rsid w:val="00CB1DC5"/>
    <w:rsid w:val="00CB2123"/>
    <w:rsid w:val="00CB2238"/>
    <w:rsid w:val="00CB254C"/>
    <w:rsid w:val="00CB258E"/>
    <w:rsid w:val="00CB2AF6"/>
    <w:rsid w:val="00CB2CDD"/>
    <w:rsid w:val="00CB2D9D"/>
    <w:rsid w:val="00CB2FA0"/>
    <w:rsid w:val="00CB35B7"/>
    <w:rsid w:val="00CB3613"/>
    <w:rsid w:val="00CB3690"/>
    <w:rsid w:val="00CB39B0"/>
    <w:rsid w:val="00CB3A5A"/>
    <w:rsid w:val="00CB3CAB"/>
    <w:rsid w:val="00CB4078"/>
    <w:rsid w:val="00CB45A0"/>
    <w:rsid w:val="00CB488B"/>
    <w:rsid w:val="00CB4C02"/>
    <w:rsid w:val="00CB4DE7"/>
    <w:rsid w:val="00CB4ED3"/>
    <w:rsid w:val="00CB4EDC"/>
    <w:rsid w:val="00CB4F62"/>
    <w:rsid w:val="00CB540F"/>
    <w:rsid w:val="00CB57E0"/>
    <w:rsid w:val="00CB59DE"/>
    <w:rsid w:val="00CB5AAB"/>
    <w:rsid w:val="00CB5ABE"/>
    <w:rsid w:val="00CB5C1F"/>
    <w:rsid w:val="00CB5F51"/>
    <w:rsid w:val="00CB602C"/>
    <w:rsid w:val="00CB610C"/>
    <w:rsid w:val="00CB61DD"/>
    <w:rsid w:val="00CB6595"/>
    <w:rsid w:val="00CB6679"/>
    <w:rsid w:val="00CB66D1"/>
    <w:rsid w:val="00CB680B"/>
    <w:rsid w:val="00CB6839"/>
    <w:rsid w:val="00CB6875"/>
    <w:rsid w:val="00CB6968"/>
    <w:rsid w:val="00CB6CB6"/>
    <w:rsid w:val="00CB742C"/>
    <w:rsid w:val="00CB78BC"/>
    <w:rsid w:val="00CB7C52"/>
    <w:rsid w:val="00CB7C9C"/>
    <w:rsid w:val="00CB7D1E"/>
    <w:rsid w:val="00CB7DB8"/>
    <w:rsid w:val="00CB7FD3"/>
    <w:rsid w:val="00CC04E1"/>
    <w:rsid w:val="00CC05BD"/>
    <w:rsid w:val="00CC05C9"/>
    <w:rsid w:val="00CC06B0"/>
    <w:rsid w:val="00CC07B8"/>
    <w:rsid w:val="00CC08ED"/>
    <w:rsid w:val="00CC0A66"/>
    <w:rsid w:val="00CC0AC6"/>
    <w:rsid w:val="00CC0CE9"/>
    <w:rsid w:val="00CC0DA5"/>
    <w:rsid w:val="00CC0EF8"/>
    <w:rsid w:val="00CC0F56"/>
    <w:rsid w:val="00CC1112"/>
    <w:rsid w:val="00CC1379"/>
    <w:rsid w:val="00CC1741"/>
    <w:rsid w:val="00CC1F28"/>
    <w:rsid w:val="00CC2094"/>
    <w:rsid w:val="00CC214F"/>
    <w:rsid w:val="00CC2246"/>
    <w:rsid w:val="00CC2493"/>
    <w:rsid w:val="00CC264A"/>
    <w:rsid w:val="00CC29C1"/>
    <w:rsid w:val="00CC2A97"/>
    <w:rsid w:val="00CC2DEF"/>
    <w:rsid w:val="00CC2DF7"/>
    <w:rsid w:val="00CC2E3E"/>
    <w:rsid w:val="00CC3162"/>
    <w:rsid w:val="00CC3554"/>
    <w:rsid w:val="00CC35A4"/>
    <w:rsid w:val="00CC35CF"/>
    <w:rsid w:val="00CC3655"/>
    <w:rsid w:val="00CC367A"/>
    <w:rsid w:val="00CC3979"/>
    <w:rsid w:val="00CC3C91"/>
    <w:rsid w:val="00CC3DDC"/>
    <w:rsid w:val="00CC3E2F"/>
    <w:rsid w:val="00CC3E8B"/>
    <w:rsid w:val="00CC3EC7"/>
    <w:rsid w:val="00CC3ECA"/>
    <w:rsid w:val="00CC40B6"/>
    <w:rsid w:val="00CC4294"/>
    <w:rsid w:val="00CC4354"/>
    <w:rsid w:val="00CC43AC"/>
    <w:rsid w:val="00CC4595"/>
    <w:rsid w:val="00CC45D8"/>
    <w:rsid w:val="00CC4622"/>
    <w:rsid w:val="00CC4694"/>
    <w:rsid w:val="00CC47CF"/>
    <w:rsid w:val="00CC4B61"/>
    <w:rsid w:val="00CC4FF8"/>
    <w:rsid w:val="00CC5085"/>
    <w:rsid w:val="00CC50B2"/>
    <w:rsid w:val="00CC522B"/>
    <w:rsid w:val="00CC5349"/>
    <w:rsid w:val="00CC540F"/>
    <w:rsid w:val="00CC54CF"/>
    <w:rsid w:val="00CC5535"/>
    <w:rsid w:val="00CC55E0"/>
    <w:rsid w:val="00CC5A1C"/>
    <w:rsid w:val="00CC5ADD"/>
    <w:rsid w:val="00CC5DC3"/>
    <w:rsid w:val="00CC6209"/>
    <w:rsid w:val="00CC631A"/>
    <w:rsid w:val="00CC6492"/>
    <w:rsid w:val="00CC6601"/>
    <w:rsid w:val="00CC67B2"/>
    <w:rsid w:val="00CC6D3A"/>
    <w:rsid w:val="00CC6FD0"/>
    <w:rsid w:val="00CC703E"/>
    <w:rsid w:val="00CC71D7"/>
    <w:rsid w:val="00CC7223"/>
    <w:rsid w:val="00CC72A9"/>
    <w:rsid w:val="00CC746D"/>
    <w:rsid w:val="00CC7655"/>
    <w:rsid w:val="00CC772D"/>
    <w:rsid w:val="00CC7817"/>
    <w:rsid w:val="00CC7BB0"/>
    <w:rsid w:val="00CC7C83"/>
    <w:rsid w:val="00CC7D2E"/>
    <w:rsid w:val="00CC7F05"/>
    <w:rsid w:val="00CC7F2C"/>
    <w:rsid w:val="00CD028C"/>
    <w:rsid w:val="00CD033C"/>
    <w:rsid w:val="00CD073F"/>
    <w:rsid w:val="00CD081D"/>
    <w:rsid w:val="00CD0A77"/>
    <w:rsid w:val="00CD0C52"/>
    <w:rsid w:val="00CD0C5B"/>
    <w:rsid w:val="00CD0D6B"/>
    <w:rsid w:val="00CD0DD5"/>
    <w:rsid w:val="00CD0E16"/>
    <w:rsid w:val="00CD10AC"/>
    <w:rsid w:val="00CD10F1"/>
    <w:rsid w:val="00CD110D"/>
    <w:rsid w:val="00CD1210"/>
    <w:rsid w:val="00CD129E"/>
    <w:rsid w:val="00CD136D"/>
    <w:rsid w:val="00CD1610"/>
    <w:rsid w:val="00CD1626"/>
    <w:rsid w:val="00CD19E0"/>
    <w:rsid w:val="00CD1A63"/>
    <w:rsid w:val="00CD1AC6"/>
    <w:rsid w:val="00CD1B2F"/>
    <w:rsid w:val="00CD1B32"/>
    <w:rsid w:val="00CD1C9E"/>
    <w:rsid w:val="00CD1EEC"/>
    <w:rsid w:val="00CD233F"/>
    <w:rsid w:val="00CD23B7"/>
    <w:rsid w:val="00CD246E"/>
    <w:rsid w:val="00CD24D0"/>
    <w:rsid w:val="00CD253A"/>
    <w:rsid w:val="00CD28A5"/>
    <w:rsid w:val="00CD2B4F"/>
    <w:rsid w:val="00CD2B91"/>
    <w:rsid w:val="00CD2CD6"/>
    <w:rsid w:val="00CD2D39"/>
    <w:rsid w:val="00CD307A"/>
    <w:rsid w:val="00CD3364"/>
    <w:rsid w:val="00CD33C9"/>
    <w:rsid w:val="00CD3417"/>
    <w:rsid w:val="00CD346D"/>
    <w:rsid w:val="00CD3473"/>
    <w:rsid w:val="00CD34CE"/>
    <w:rsid w:val="00CD37BA"/>
    <w:rsid w:val="00CD3923"/>
    <w:rsid w:val="00CD3BC6"/>
    <w:rsid w:val="00CD3E4D"/>
    <w:rsid w:val="00CD401D"/>
    <w:rsid w:val="00CD40D9"/>
    <w:rsid w:val="00CD41EE"/>
    <w:rsid w:val="00CD41F5"/>
    <w:rsid w:val="00CD421F"/>
    <w:rsid w:val="00CD425F"/>
    <w:rsid w:val="00CD4314"/>
    <w:rsid w:val="00CD459F"/>
    <w:rsid w:val="00CD4751"/>
    <w:rsid w:val="00CD47AF"/>
    <w:rsid w:val="00CD4920"/>
    <w:rsid w:val="00CD4CB9"/>
    <w:rsid w:val="00CD4DFF"/>
    <w:rsid w:val="00CD4EF7"/>
    <w:rsid w:val="00CD510B"/>
    <w:rsid w:val="00CD521E"/>
    <w:rsid w:val="00CD5283"/>
    <w:rsid w:val="00CD529F"/>
    <w:rsid w:val="00CD5455"/>
    <w:rsid w:val="00CD5686"/>
    <w:rsid w:val="00CD5906"/>
    <w:rsid w:val="00CD59B5"/>
    <w:rsid w:val="00CD5A81"/>
    <w:rsid w:val="00CD5BB5"/>
    <w:rsid w:val="00CD5BDA"/>
    <w:rsid w:val="00CD5DF8"/>
    <w:rsid w:val="00CD5F6E"/>
    <w:rsid w:val="00CD6309"/>
    <w:rsid w:val="00CD649A"/>
    <w:rsid w:val="00CD64E8"/>
    <w:rsid w:val="00CD65BB"/>
    <w:rsid w:val="00CD65FD"/>
    <w:rsid w:val="00CD6830"/>
    <w:rsid w:val="00CD6D43"/>
    <w:rsid w:val="00CD6E39"/>
    <w:rsid w:val="00CD6E52"/>
    <w:rsid w:val="00CD6F61"/>
    <w:rsid w:val="00CD7113"/>
    <w:rsid w:val="00CD7130"/>
    <w:rsid w:val="00CD7156"/>
    <w:rsid w:val="00CD734D"/>
    <w:rsid w:val="00CD778A"/>
    <w:rsid w:val="00CD7B81"/>
    <w:rsid w:val="00CD7BD1"/>
    <w:rsid w:val="00CE0015"/>
    <w:rsid w:val="00CE0242"/>
    <w:rsid w:val="00CE0720"/>
    <w:rsid w:val="00CE078B"/>
    <w:rsid w:val="00CE081E"/>
    <w:rsid w:val="00CE0849"/>
    <w:rsid w:val="00CE097A"/>
    <w:rsid w:val="00CE0CA6"/>
    <w:rsid w:val="00CE0EEF"/>
    <w:rsid w:val="00CE0F04"/>
    <w:rsid w:val="00CE1016"/>
    <w:rsid w:val="00CE10FD"/>
    <w:rsid w:val="00CE1150"/>
    <w:rsid w:val="00CE1690"/>
    <w:rsid w:val="00CE1748"/>
    <w:rsid w:val="00CE1761"/>
    <w:rsid w:val="00CE17C3"/>
    <w:rsid w:val="00CE1E08"/>
    <w:rsid w:val="00CE25D4"/>
    <w:rsid w:val="00CE28E3"/>
    <w:rsid w:val="00CE2AE1"/>
    <w:rsid w:val="00CE2B04"/>
    <w:rsid w:val="00CE2C45"/>
    <w:rsid w:val="00CE2C61"/>
    <w:rsid w:val="00CE2C8D"/>
    <w:rsid w:val="00CE2D68"/>
    <w:rsid w:val="00CE2DC6"/>
    <w:rsid w:val="00CE2FF2"/>
    <w:rsid w:val="00CE30A2"/>
    <w:rsid w:val="00CE3249"/>
    <w:rsid w:val="00CE32A9"/>
    <w:rsid w:val="00CE32CF"/>
    <w:rsid w:val="00CE337A"/>
    <w:rsid w:val="00CE363C"/>
    <w:rsid w:val="00CE3C39"/>
    <w:rsid w:val="00CE3C81"/>
    <w:rsid w:val="00CE3D88"/>
    <w:rsid w:val="00CE3E28"/>
    <w:rsid w:val="00CE3EBA"/>
    <w:rsid w:val="00CE3F16"/>
    <w:rsid w:val="00CE4000"/>
    <w:rsid w:val="00CE427D"/>
    <w:rsid w:val="00CE441F"/>
    <w:rsid w:val="00CE4497"/>
    <w:rsid w:val="00CE44A4"/>
    <w:rsid w:val="00CE47C6"/>
    <w:rsid w:val="00CE4C31"/>
    <w:rsid w:val="00CE4E98"/>
    <w:rsid w:val="00CE4F7D"/>
    <w:rsid w:val="00CE512F"/>
    <w:rsid w:val="00CE537A"/>
    <w:rsid w:val="00CE5560"/>
    <w:rsid w:val="00CE55DE"/>
    <w:rsid w:val="00CE594B"/>
    <w:rsid w:val="00CE59A1"/>
    <w:rsid w:val="00CE5A0E"/>
    <w:rsid w:val="00CE5BA2"/>
    <w:rsid w:val="00CE5CFC"/>
    <w:rsid w:val="00CE5D38"/>
    <w:rsid w:val="00CE605F"/>
    <w:rsid w:val="00CE612A"/>
    <w:rsid w:val="00CE6163"/>
    <w:rsid w:val="00CE61B2"/>
    <w:rsid w:val="00CE66A8"/>
    <w:rsid w:val="00CE66F2"/>
    <w:rsid w:val="00CE6BE5"/>
    <w:rsid w:val="00CE6E53"/>
    <w:rsid w:val="00CE6F66"/>
    <w:rsid w:val="00CE71BE"/>
    <w:rsid w:val="00CE7388"/>
    <w:rsid w:val="00CE73F5"/>
    <w:rsid w:val="00CE7A12"/>
    <w:rsid w:val="00CE7AD0"/>
    <w:rsid w:val="00CE7BB0"/>
    <w:rsid w:val="00CE7EBB"/>
    <w:rsid w:val="00CE7FE9"/>
    <w:rsid w:val="00CF01EB"/>
    <w:rsid w:val="00CF02B4"/>
    <w:rsid w:val="00CF0328"/>
    <w:rsid w:val="00CF038B"/>
    <w:rsid w:val="00CF0497"/>
    <w:rsid w:val="00CF04BE"/>
    <w:rsid w:val="00CF0A29"/>
    <w:rsid w:val="00CF0C8E"/>
    <w:rsid w:val="00CF0CFC"/>
    <w:rsid w:val="00CF0D3F"/>
    <w:rsid w:val="00CF0F6A"/>
    <w:rsid w:val="00CF0F77"/>
    <w:rsid w:val="00CF1081"/>
    <w:rsid w:val="00CF1090"/>
    <w:rsid w:val="00CF1154"/>
    <w:rsid w:val="00CF11A1"/>
    <w:rsid w:val="00CF1226"/>
    <w:rsid w:val="00CF14E2"/>
    <w:rsid w:val="00CF1665"/>
    <w:rsid w:val="00CF16F2"/>
    <w:rsid w:val="00CF18CB"/>
    <w:rsid w:val="00CF1A52"/>
    <w:rsid w:val="00CF1C52"/>
    <w:rsid w:val="00CF1FAB"/>
    <w:rsid w:val="00CF1FF0"/>
    <w:rsid w:val="00CF201E"/>
    <w:rsid w:val="00CF2580"/>
    <w:rsid w:val="00CF278B"/>
    <w:rsid w:val="00CF282A"/>
    <w:rsid w:val="00CF2A4F"/>
    <w:rsid w:val="00CF2A8C"/>
    <w:rsid w:val="00CF2C4F"/>
    <w:rsid w:val="00CF2FD1"/>
    <w:rsid w:val="00CF3566"/>
    <w:rsid w:val="00CF36C7"/>
    <w:rsid w:val="00CF36D2"/>
    <w:rsid w:val="00CF3901"/>
    <w:rsid w:val="00CF3BE7"/>
    <w:rsid w:val="00CF3C0B"/>
    <w:rsid w:val="00CF3D88"/>
    <w:rsid w:val="00CF3D8D"/>
    <w:rsid w:val="00CF3F56"/>
    <w:rsid w:val="00CF4010"/>
    <w:rsid w:val="00CF40AD"/>
    <w:rsid w:val="00CF41A6"/>
    <w:rsid w:val="00CF45A8"/>
    <w:rsid w:val="00CF4714"/>
    <w:rsid w:val="00CF498E"/>
    <w:rsid w:val="00CF4BE0"/>
    <w:rsid w:val="00CF4BF6"/>
    <w:rsid w:val="00CF4BFE"/>
    <w:rsid w:val="00CF4EAD"/>
    <w:rsid w:val="00CF4FB5"/>
    <w:rsid w:val="00CF509B"/>
    <w:rsid w:val="00CF51F4"/>
    <w:rsid w:val="00CF526F"/>
    <w:rsid w:val="00CF52E0"/>
    <w:rsid w:val="00CF53FE"/>
    <w:rsid w:val="00CF5797"/>
    <w:rsid w:val="00CF57F8"/>
    <w:rsid w:val="00CF58C6"/>
    <w:rsid w:val="00CF58CA"/>
    <w:rsid w:val="00CF5963"/>
    <w:rsid w:val="00CF5A4B"/>
    <w:rsid w:val="00CF5C0B"/>
    <w:rsid w:val="00CF5C37"/>
    <w:rsid w:val="00CF5ED0"/>
    <w:rsid w:val="00CF5F12"/>
    <w:rsid w:val="00CF5FD0"/>
    <w:rsid w:val="00CF5FEB"/>
    <w:rsid w:val="00CF602C"/>
    <w:rsid w:val="00CF6083"/>
    <w:rsid w:val="00CF617E"/>
    <w:rsid w:val="00CF62E1"/>
    <w:rsid w:val="00CF6343"/>
    <w:rsid w:val="00CF6651"/>
    <w:rsid w:val="00CF69C8"/>
    <w:rsid w:val="00CF6A12"/>
    <w:rsid w:val="00CF6A36"/>
    <w:rsid w:val="00CF6D12"/>
    <w:rsid w:val="00CF6E13"/>
    <w:rsid w:val="00CF7114"/>
    <w:rsid w:val="00CF7204"/>
    <w:rsid w:val="00CF75D1"/>
    <w:rsid w:val="00CF76CC"/>
    <w:rsid w:val="00CF792B"/>
    <w:rsid w:val="00CF798A"/>
    <w:rsid w:val="00CF79FE"/>
    <w:rsid w:val="00CF7AB5"/>
    <w:rsid w:val="00CF7BC1"/>
    <w:rsid w:val="00CF7F0B"/>
    <w:rsid w:val="00D003AB"/>
    <w:rsid w:val="00D0053F"/>
    <w:rsid w:val="00D005A9"/>
    <w:rsid w:val="00D00908"/>
    <w:rsid w:val="00D009A8"/>
    <w:rsid w:val="00D00BD6"/>
    <w:rsid w:val="00D00C40"/>
    <w:rsid w:val="00D00CAD"/>
    <w:rsid w:val="00D00CCE"/>
    <w:rsid w:val="00D00D3D"/>
    <w:rsid w:val="00D00ED6"/>
    <w:rsid w:val="00D013A6"/>
    <w:rsid w:val="00D01548"/>
    <w:rsid w:val="00D0178A"/>
    <w:rsid w:val="00D017BF"/>
    <w:rsid w:val="00D019A7"/>
    <w:rsid w:val="00D019B5"/>
    <w:rsid w:val="00D01A13"/>
    <w:rsid w:val="00D01A90"/>
    <w:rsid w:val="00D01CA2"/>
    <w:rsid w:val="00D01CA9"/>
    <w:rsid w:val="00D01E7D"/>
    <w:rsid w:val="00D01F14"/>
    <w:rsid w:val="00D01FEE"/>
    <w:rsid w:val="00D0213E"/>
    <w:rsid w:val="00D02150"/>
    <w:rsid w:val="00D02426"/>
    <w:rsid w:val="00D0262E"/>
    <w:rsid w:val="00D02657"/>
    <w:rsid w:val="00D02846"/>
    <w:rsid w:val="00D02F5C"/>
    <w:rsid w:val="00D02F63"/>
    <w:rsid w:val="00D034FF"/>
    <w:rsid w:val="00D03AEE"/>
    <w:rsid w:val="00D03D47"/>
    <w:rsid w:val="00D03D50"/>
    <w:rsid w:val="00D03DBC"/>
    <w:rsid w:val="00D03FAB"/>
    <w:rsid w:val="00D0404E"/>
    <w:rsid w:val="00D041BF"/>
    <w:rsid w:val="00D042EF"/>
    <w:rsid w:val="00D04314"/>
    <w:rsid w:val="00D0472B"/>
    <w:rsid w:val="00D04B09"/>
    <w:rsid w:val="00D04CE4"/>
    <w:rsid w:val="00D04D91"/>
    <w:rsid w:val="00D04F0A"/>
    <w:rsid w:val="00D050F5"/>
    <w:rsid w:val="00D05373"/>
    <w:rsid w:val="00D054BE"/>
    <w:rsid w:val="00D056EB"/>
    <w:rsid w:val="00D0571B"/>
    <w:rsid w:val="00D05773"/>
    <w:rsid w:val="00D05915"/>
    <w:rsid w:val="00D05AAA"/>
    <w:rsid w:val="00D05AF5"/>
    <w:rsid w:val="00D05B22"/>
    <w:rsid w:val="00D05CE2"/>
    <w:rsid w:val="00D05E03"/>
    <w:rsid w:val="00D05F6E"/>
    <w:rsid w:val="00D062EF"/>
    <w:rsid w:val="00D063F5"/>
    <w:rsid w:val="00D0644F"/>
    <w:rsid w:val="00D064C4"/>
    <w:rsid w:val="00D065E2"/>
    <w:rsid w:val="00D06729"/>
    <w:rsid w:val="00D067DA"/>
    <w:rsid w:val="00D06966"/>
    <w:rsid w:val="00D06A82"/>
    <w:rsid w:val="00D06C8E"/>
    <w:rsid w:val="00D06CDB"/>
    <w:rsid w:val="00D06DE1"/>
    <w:rsid w:val="00D06E0B"/>
    <w:rsid w:val="00D06F77"/>
    <w:rsid w:val="00D06FD8"/>
    <w:rsid w:val="00D070FF"/>
    <w:rsid w:val="00D07223"/>
    <w:rsid w:val="00D07289"/>
    <w:rsid w:val="00D074BE"/>
    <w:rsid w:val="00D07614"/>
    <w:rsid w:val="00D07D4A"/>
    <w:rsid w:val="00D07D6E"/>
    <w:rsid w:val="00D07EC5"/>
    <w:rsid w:val="00D102D0"/>
    <w:rsid w:val="00D102E2"/>
    <w:rsid w:val="00D10574"/>
    <w:rsid w:val="00D1058C"/>
    <w:rsid w:val="00D10724"/>
    <w:rsid w:val="00D109C3"/>
    <w:rsid w:val="00D10A6F"/>
    <w:rsid w:val="00D10B5D"/>
    <w:rsid w:val="00D10EA8"/>
    <w:rsid w:val="00D111B4"/>
    <w:rsid w:val="00D1150E"/>
    <w:rsid w:val="00D115A0"/>
    <w:rsid w:val="00D115CB"/>
    <w:rsid w:val="00D115D6"/>
    <w:rsid w:val="00D1167C"/>
    <w:rsid w:val="00D117FE"/>
    <w:rsid w:val="00D11BCD"/>
    <w:rsid w:val="00D11C05"/>
    <w:rsid w:val="00D11CB8"/>
    <w:rsid w:val="00D11ECC"/>
    <w:rsid w:val="00D11F42"/>
    <w:rsid w:val="00D12121"/>
    <w:rsid w:val="00D121FD"/>
    <w:rsid w:val="00D12342"/>
    <w:rsid w:val="00D124EC"/>
    <w:rsid w:val="00D126E4"/>
    <w:rsid w:val="00D12837"/>
    <w:rsid w:val="00D12B24"/>
    <w:rsid w:val="00D12B65"/>
    <w:rsid w:val="00D12C53"/>
    <w:rsid w:val="00D132CF"/>
    <w:rsid w:val="00D134A8"/>
    <w:rsid w:val="00D137A7"/>
    <w:rsid w:val="00D1383C"/>
    <w:rsid w:val="00D139BB"/>
    <w:rsid w:val="00D13D0B"/>
    <w:rsid w:val="00D140FA"/>
    <w:rsid w:val="00D14180"/>
    <w:rsid w:val="00D142C1"/>
    <w:rsid w:val="00D14344"/>
    <w:rsid w:val="00D143AF"/>
    <w:rsid w:val="00D143CB"/>
    <w:rsid w:val="00D1443C"/>
    <w:rsid w:val="00D14460"/>
    <w:rsid w:val="00D1464B"/>
    <w:rsid w:val="00D1472E"/>
    <w:rsid w:val="00D14893"/>
    <w:rsid w:val="00D14994"/>
    <w:rsid w:val="00D14B9E"/>
    <w:rsid w:val="00D14C1E"/>
    <w:rsid w:val="00D14D0D"/>
    <w:rsid w:val="00D14D9B"/>
    <w:rsid w:val="00D14E78"/>
    <w:rsid w:val="00D14EBB"/>
    <w:rsid w:val="00D15573"/>
    <w:rsid w:val="00D15589"/>
    <w:rsid w:val="00D15663"/>
    <w:rsid w:val="00D1573B"/>
    <w:rsid w:val="00D157AF"/>
    <w:rsid w:val="00D15843"/>
    <w:rsid w:val="00D158CE"/>
    <w:rsid w:val="00D15A1F"/>
    <w:rsid w:val="00D15D33"/>
    <w:rsid w:val="00D15D77"/>
    <w:rsid w:val="00D15D87"/>
    <w:rsid w:val="00D15FD4"/>
    <w:rsid w:val="00D16050"/>
    <w:rsid w:val="00D16155"/>
    <w:rsid w:val="00D1618D"/>
    <w:rsid w:val="00D1622E"/>
    <w:rsid w:val="00D167A0"/>
    <w:rsid w:val="00D167E5"/>
    <w:rsid w:val="00D16B26"/>
    <w:rsid w:val="00D16BAC"/>
    <w:rsid w:val="00D16ED1"/>
    <w:rsid w:val="00D1709D"/>
    <w:rsid w:val="00D1716B"/>
    <w:rsid w:val="00D174B8"/>
    <w:rsid w:val="00D1757B"/>
    <w:rsid w:val="00D17822"/>
    <w:rsid w:val="00D17945"/>
    <w:rsid w:val="00D17CA7"/>
    <w:rsid w:val="00D17D57"/>
    <w:rsid w:val="00D17EEA"/>
    <w:rsid w:val="00D20264"/>
    <w:rsid w:val="00D2034B"/>
    <w:rsid w:val="00D20368"/>
    <w:rsid w:val="00D205F7"/>
    <w:rsid w:val="00D2060A"/>
    <w:rsid w:val="00D208B1"/>
    <w:rsid w:val="00D20914"/>
    <w:rsid w:val="00D20D5F"/>
    <w:rsid w:val="00D21144"/>
    <w:rsid w:val="00D217CA"/>
    <w:rsid w:val="00D21976"/>
    <w:rsid w:val="00D21B20"/>
    <w:rsid w:val="00D21D3E"/>
    <w:rsid w:val="00D21DA7"/>
    <w:rsid w:val="00D222A6"/>
    <w:rsid w:val="00D225CE"/>
    <w:rsid w:val="00D227C3"/>
    <w:rsid w:val="00D22877"/>
    <w:rsid w:val="00D22A0D"/>
    <w:rsid w:val="00D22BC2"/>
    <w:rsid w:val="00D22D1B"/>
    <w:rsid w:val="00D22DA5"/>
    <w:rsid w:val="00D23014"/>
    <w:rsid w:val="00D235A5"/>
    <w:rsid w:val="00D23946"/>
    <w:rsid w:val="00D2399D"/>
    <w:rsid w:val="00D23CE3"/>
    <w:rsid w:val="00D23D9D"/>
    <w:rsid w:val="00D23E2F"/>
    <w:rsid w:val="00D23E80"/>
    <w:rsid w:val="00D23FDC"/>
    <w:rsid w:val="00D24159"/>
    <w:rsid w:val="00D241A9"/>
    <w:rsid w:val="00D246A7"/>
    <w:rsid w:val="00D248DF"/>
    <w:rsid w:val="00D24A3F"/>
    <w:rsid w:val="00D24AFE"/>
    <w:rsid w:val="00D24BCC"/>
    <w:rsid w:val="00D24E1B"/>
    <w:rsid w:val="00D24E49"/>
    <w:rsid w:val="00D251D1"/>
    <w:rsid w:val="00D251E3"/>
    <w:rsid w:val="00D25385"/>
    <w:rsid w:val="00D253DE"/>
    <w:rsid w:val="00D25448"/>
    <w:rsid w:val="00D2561F"/>
    <w:rsid w:val="00D25779"/>
    <w:rsid w:val="00D25785"/>
    <w:rsid w:val="00D25A22"/>
    <w:rsid w:val="00D25B85"/>
    <w:rsid w:val="00D25C2F"/>
    <w:rsid w:val="00D25C58"/>
    <w:rsid w:val="00D25E65"/>
    <w:rsid w:val="00D25F53"/>
    <w:rsid w:val="00D25FDB"/>
    <w:rsid w:val="00D260A6"/>
    <w:rsid w:val="00D260D3"/>
    <w:rsid w:val="00D264C3"/>
    <w:rsid w:val="00D2651B"/>
    <w:rsid w:val="00D2654A"/>
    <w:rsid w:val="00D265AE"/>
    <w:rsid w:val="00D266D5"/>
    <w:rsid w:val="00D266EE"/>
    <w:rsid w:val="00D268B4"/>
    <w:rsid w:val="00D269D8"/>
    <w:rsid w:val="00D269F3"/>
    <w:rsid w:val="00D26A13"/>
    <w:rsid w:val="00D26A9A"/>
    <w:rsid w:val="00D26B85"/>
    <w:rsid w:val="00D26CA1"/>
    <w:rsid w:val="00D26D84"/>
    <w:rsid w:val="00D26E07"/>
    <w:rsid w:val="00D26F04"/>
    <w:rsid w:val="00D26F73"/>
    <w:rsid w:val="00D26FF3"/>
    <w:rsid w:val="00D270CC"/>
    <w:rsid w:val="00D27759"/>
    <w:rsid w:val="00D27992"/>
    <w:rsid w:val="00D27D10"/>
    <w:rsid w:val="00D30052"/>
    <w:rsid w:val="00D306C5"/>
    <w:rsid w:val="00D3094F"/>
    <w:rsid w:val="00D30A88"/>
    <w:rsid w:val="00D30C96"/>
    <w:rsid w:val="00D30E4F"/>
    <w:rsid w:val="00D30E7C"/>
    <w:rsid w:val="00D30E80"/>
    <w:rsid w:val="00D31159"/>
    <w:rsid w:val="00D312E2"/>
    <w:rsid w:val="00D31429"/>
    <w:rsid w:val="00D3165E"/>
    <w:rsid w:val="00D316B3"/>
    <w:rsid w:val="00D31B34"/>
    <w:rsid w:val="00D31BF8"/>
    <w:rsid w:val="00D31D24"/>
    <w:rsid w:val="00D31D7D"/>
    <w:rsid w:val="00D31E8E"/>
    <w:rsid w:val="00D31FB2"/>
    <w:rsid w:val="00D3222D"/>
    <w:rsid w:val="00D32260"/>
    <w:rsid w:val="00D3235F"/>
    <w:rsid w:val="00D3247A"/>
    <w:rsid w:val="00D32619"/>
    <w:rsid w:val="00D3261C"/>
    <w:rsid w:val="00D3265D"/>
    <w:rsid w:val="00D3267D"/>
    <w:rsid w:val="00D328E4"/>
    <w:rsid w:val="00D32CB4"/>
    <w:rsid w:val="00D32DCC"/>
    <w:rsid w:val="00D32EA2"/>
    <w:rsid w:val="00D32ED9"/>
    <w:rsid w:val="00D32EDA"/>
    <w:rsid w:val="00D32F56"/>
    <w:rsid w:val="00D33479"/>
    <w:rsid w:val="00D33830"/>
    <w:rsid w:val="00D33B36"/>
    <w:rsid w:val="00D33C6A"/>
    <w:rsid w:val="00D33D7A"/>
    <w:rsid w:val="00D340A8"/>
    <w:rsid w:val="00D34121"/>
    <w:rsid w:val="00D34185"/>
    <w:rsid w:val="00D34415"/>
    <w:rsid w:val="00D34547"/>
    <w:rsid w:val="00D34667"/>
    <w:rsid w:val="00D348A8"/>
    <w:rsid w:val="00D34A94"/>
    <w:rsid w:val="00D34C60"/>
    <w:rsid w:val="00D34DB4"/>
    <w:rsid w:val="00D34E2E"/>
    <w:rsid w:val="00D34E37"/>
    <w:rsid w:val="00D34EA9"/>
    <w:rsid w:val="00D34EAC"/>
    <w:rsid w:val="00D34F2D"/>
    <w:rsid w:val="00D34F66"/>
    <w:rsid w:val="00D35404"/>
    <w:rsid w:val="00D35447"/>
    <w:rsid w:val="00D357F2"/>
    <w:rsid w:val="00D35D9E"/>
    <w:rsid w:val="00D35ED5"/>
    <w:rsid w:val="00D3600F"/>
    <w:rsid w:val="00D36280"/>
    <w:rsid w:val="00D3642B"/>
    <w:rsid w:val="00D36513"/>
    <w:rsid w:val="00D36730"/>
    <w:rsid w:val="00D36787"/>
    <w:rsid w:val="00D36939"/>
    <w:rsid w:val="00D36B2D"/>
    <w:rsid w:val="00D36BAE"/>
    <w:rsid w:val="00D36C05"/>
    <w:rsid w:val="00D36CCA"/>
    <w:rsid w:val="00D36D21"/>
    <w:rsid w:val="00D37026"/>
    <w:rsid w:val="00D3702C"/>
    <w:rsid w:val="00D3709F"/>
    <w:rsid w:val="00D37155"/>
    <w:rsid w:val="00D37163"/>
    <w:rsid w:val="00D3740C"/>
    <w:rsid w:val="00D378F8"/>
    <w:rsid w:val="00D37BB3"/>
    <w:rsid w:val="00D37E18"/>
    <w:rsid w:val="00D4022D"/>
    <w:rsid w:val="00D4039B"/>
    <w:rsid w:val="00D4041B"/>
    <w:rsid w:val="00D40502"/>
    <w:rsid w:val="00D405CD"/>
    <w:rsid w:val="00D40A19"/>
    <w:rsid w:val="00D40AC0"/>
    <w:rsid w:val="00D40ACF"/>
    <w:rsid w:val="00D40D9C"/>
    <w:rsid w:val="00D40E9B"/>
    <w:rsid w:val="00D4105A"/>
    <w:rsid w:val="00D4135E"/>
    <w:rsid w:val="00D41422"/>
    <w:rsid w:val="00D4156B"/>
    <w:rsid w:val="00D4164B"/>
    <w:rsid w:val="00D419D4"/>
    <w:rsid w:val="00D41BC7"/>
    <w:rsid w:val="00D41C74"/>
    <w:rsid w:val="00D41D86"/>
    <w:rsid w:val="00D41DAE"/>
    <w:rsid w:val="00D42291"/>
    <w:rsid w:val="00D42311"/>
    <w:rsid w:val="00D4243A"/>
    <w:rsid w:val="00D42474"/>
    <w:rsid w:val="00D424BD"/>
    <w:rsid w:val="00D4298B"/>
    <w:rsid w:val="00D429F5"/>
    <w:rsid w:val="00D42E4C"/>
    <w:rsid w:val="00D42F28"/>
    <w:rsid w:val="00D43062"/>
    <w:rsid w:val="00D4340A"/>
    <w:rsid w:val="00D434EE"/>
    <w:rsid w:val="00D435A2"/>
    <w:rsid w:val="00D43778"/>
    <w:rsid w:val="00D439F7"/>
    <w:rsid w:val="00D43A47"/>
    <w:rsid w:val="00D43FF7"/>
    <w:rsid w:val="00D440C5"/>
    <w:rsid w:val="00D440D1"/>
    <w:rsid w:val="00D441C3"/>
    <w:rsid w:val="00D44303"/>
    <w:rsid w:val="00D44360"/>
    <w:rsid w:val="00D44407"/>
    <w:rsid w:val="00D4465B"/>
    <w:rsid w:val="00D447C1"/>
    <w:rsid w:val="00D4481B"/>
    <w:rsid w:val="00D44860"/>
    <w:rsid w:val="00D44908"/>
    <w:rsid w:val="00D44B53"/>
    <w:rsid w:val="00D44B9A"/>
    <w:rsid w:val="00D44D40"/>
    <w:rsid w:val="00D450CD"/>
    <w:rsid w:val="00D452AA"/>
    <w:rsid w:val="00D4538B"/>
    <w:rsid w:val="00D4550B"/>
    <w:rsid w:val="00D456D9"/>
    <w:rsid w:val="00D4570F"/>
    <w:rsid w:val="00D457B1"/>
    <w:rsid w:val="00D4587F"/>
    <w:rsid w:val="00D45989"/>
    <w:rsid w:val="00D45B08"/>
    <w:rsid w:val="00D45B5B"/>
    <w:rsid w:val="00D45CC0"/>
    <w:rsid w:val="00D45D31"/>
    <w:rsid w:val="00D46046"/>
    <w:rsid w:val="00D46057"/>
    <w:rsid w:val="00D46326"/>
    <w:rsid w:val="00D46421"/>
    <w:rsid w:val="00D46674"/>
    <w:rsid w:val="00D466E0"/>
    <w:rsid w:val="00D466FA"/>
    <w:rsid w:val="00D468C3"/>
    <w:rsid w:val="00D46CC1"/>
    <w:rsid w:val="00D46D50"/>
    <w:rsid w:val="00D46F3B"/>
    <w:rsid w:val="00D472BC"/>
    <w:rsid w:val="00D472C9"/>
    <w:rsid w:val="00D47346"/>
    <w:rsid w:val="00D4744D"/>
    <w:rsid w:val="00D47538"/>
    <w:rsid w:val="00D4781B"/>
    <w:rsid w:val="00D47913"/>
    <w:rsid w:val="00D47A57"/>
    <w:rsid w:val="00D47AA9"/>
    <w:rsid w:val="00D47B6E"/>
    <w:rsid w:val="00D47E94"/>
    <w:rsid w:val="00D50047"/>
    <w:rsid w:val="00D504DD"/>
    <w:rsid w:val="00D50963"/>
    <w:rsid w:val="00D50B2F"/>
    <w:rsid w:val="00D5126C"/>
    <w:rsid w:val="00D512E5"/>
    <w:rsid w:val="00D514F5"/>
    <w:rsid w:val="00D5153B"/>
    <w:rsid w:val="00D515D4"/>
    <w:rsid w:val="00D518A2"/>
    <w:rsid w:val="00D51CC8"/>
    <w:rsid w:val="00D51CDB"/>
    <w:rsid w:val="00D51D64"/>
    <w:rsid w:val="00D51F02"/>
    <w:rsid w:val="00D51F24"/>
    <w:rsid w:val="00D51F7E"/>
    <w:rsid w:val="00D52130"/>
    <w:rsid w:val="00D525B4"/>
    <w:rsid w:val="00D527F0"/>
    <w:rsid w:val="00D5281A"/>
    <w:rsid w:val="00D52C30"/>
    <w:rsid w:val="00D52EBE"/>
    <w:rsid w:val="00D52F5B"/>
    <w:rsid w:val="00D53003"/>
    <w:rsid w:val="00D531D1"/>
    <w:rsid w:val="00D531ED"/>
    <w:rsid w:val="00D533B0"/>
    <w:rsid w:val="00D533FA"/>
    <w:rsid w:val="00D53721"/>
    <w:rsid w:val="00D537A1"/>
    <w:rsid w:val="00D5397C"/>
    <w:rsid w:val="00D53A77"/>
    <w:rsid w:val="00D53B4B"/>
    <w:rsid w:val="00D53ED5"/>
    <w:rsid w:val="00D540D4"/>
    <w:rsid w:val="00D543D2"/>
    <w:rsid w:val="00D54499"/>
    <w:rsid w:val="00D5456A"/>
    <w:rsid w:val="00D54673"/>
    <w:rsid w:val="00D54924"/>
    <w:rsid w:val="00D54E93"/>
    <w:rsid w:val="00D550E8"/>
    <w:rsid w:val="00D55284"/>
    <w:rsid w:val="00D552B8"/>
    <w:rsid w:val="00D55438"/>
    <w:rsid w:val="00D55578"/>
    <w:rsid w:val="00D556DE"/>
    <w:rsid w:val="00D557CA"/>
    <w:rsid w:val="00D559C8"/>
    <w:rsid w:val="00D55A7B"/>
    <w:rsid w:val="00D55B84"/>
    <w:rsid w:val="00D55EB3"/>
    <w:rsid w:val="00D561BC"/>
    <w:rsid w:val="00D561CC"/>
    <w:rsid w:val="00D561EB"/>
    <w:rsid w:val="00D562DE"/>
    <w:rsid w:val="00D56486"/>
    <w:rsid w:val="00D56511"/>
    <w:rsid w:val="00D565B3"/>
    <w:rsid w:val="00D565E3"/>
    <w:rsid w:val="00D56995"/>
    <w:rsid w:val="00D56C58"/>
    <w:rsid w:val="00D56EC7"/>
    <w:rsid w:val="00D56F2B"/>
    <w:rsid w:val="00D56F61"/>
    <w:rsid w:val="00D571C5"/>
    <w:rsid w:val="00D571D2"/>
    <w:rsid w:val="00D576F7"/>
    <w:rsid w:val="00D5796F"/>
    <w:rsid w:val="00D57BE2"/>
    <w:rsid w:val="00D57C59"/>
    <w:rsid w:val="00D57C70"/>
    <w:rsid w:val="00D57C81"/>
    <w:rsid w:val="00D57EFE"/>
    <w:rsid w:val="00D6040D"/>
    <w:rsid w:val="00D60430"/>
    <w:rsid w:val="00D605BF"/>
    <w:rsid w:val="00D607A6"/>
    <w:rsid w:val="00D608EA"/>
    <w:rsid w:val="00D60BB7"/>
    <w:rsid w:val="00D60F14"/>
    <w:rsid w:val="00D610D4"/>
    <w:rsid w:val="00D6168B"/>
    <w:rsid w:val="00D61700"/>
    <w:rsid w:val="00D61882"/>
    <w:rsid w:val="00D61A69"/>
    <w:rsid w:val="00D61AC9"/>
    <w:rsid w:val="00D61B99"/>
    <w:rsid w:val="00D61C50"/>
    <w:rsid w:val="00D61EF8"/>
    <w:rsid w:val="00D61F0C"/>
    <w:rsid w:val="00D61FB2"/>
    <w:rsid w:val="00D6218B"/>
    <w:rsid w:val="00D6248B"/>
    <w:rsid w:val="00D62861"/>
    <w:rsid w:val="00D62C39"/>
    <w:rsid w:val="00D62EBB"/>
    <w:rsid w:val="00D631AC"/>
    <w:rsid w:val="00D63211"/>
    <w:rsid w:val="00D6321D"/>
    <w:rsid w:val="00D6324E"/>
    <w:rsid w:val="00D637D2"/>
    <w:rsid w:val="00D63904"/>
    <w:rsid w:val="00D63A43"/>
    <w:rsid w:val="00D63A63"/>
    <w:rsid w:val="00D63BEC"/>
    <w:rsid w:val="00D63C10"/>
    <w:rsid w:val="00D63C54"/>
    <w:rsid w:val="00D63DFD"/>
    <w:rsid w:val="00D63E63"/>
    <w:rsid w:val="00D64209"/>
    <w:rsid w:val="00D64576"/>
    <w:rsid w:val="00D64683"/>
    <w:rsid w:val="00D64B80"/>
    <w:rsid w:val="00D64CB6"/>
    <w:rsid w:val="00D6507E"/>
    <w:rsid w:val="00D6516D"/>
    <w:rsid w:val="00D651E6"/>
    <w:rsid w:val="00D65350"/>
    <w:rsid w:val="00D654DB"/>
    <w:rsid w:val="00D65514"/>
    <w:rsid w:val="00D656C0"/>
    <w:rsid w:val="00D65779"/>
    <w:rsid w:val="00D658A6"/>
    <w:rsid w:val="00D658E9"/>
    <w:rsid w:val="00D658F3"/>
    <w:rsid w:val="00D659D6"/>
    <w:rsid w:val="00D65A5C"/>
    <w:rsid w:val="00D65E69"/>
    <w:rsid w:val="00D65F39"/>
    <w:rsid w:val="00D661E7"/>
    <w:rsid w:val="00D66322"/>
    <w:rsid w:val="00D6658F"/>
    <w:rsid w:val="00D66694"/>
    <w:rsid w:val="00D667BF"/>
    <w:rsid w:val="00D667DA"/>
    <w:rsid w:val="00D66886"/>
    <w:rsid w:val="00D66AC4"/>
    <w:rsid w:val="00D66D20"/>
    <w:rsid w:val="00D670CB"/>
    <w:rsid w:val="00D6718E"/>
    <w:rsid w:val="00D671A3"/>
    <w:rsid w:val="00D6735C"/>
    <w:rsid w:val="00D67435"/>
    <w:rsid w:val="00D6746B"/>
    <w:rsid w:val="00D6764A"/>
    <w:rsid w:val="00D67729"/>
    <w:rsid w:val="00D6798D"/>
    <w:rsid w:val="00D679FE"/>
    <w:rsid w:val="00D67E04"/>
    <w:rsid w:val="00D67FA0"/>
    <w:rsid w:val="00D701C8"/>
    <w:rsid w:val="00D70311"/>
    <w:rsid w:val="00D7070A"/>
    <w:rsid w:val="00D70809"/>
    <w:rsid w:val="00D70B51"/>
    <w:rsid w:val="00D70BF0"/>
    <w:rsid w:val="00D70C61"/>
    <w:rsid w:val="00D70CAA"/>
    <w:rsid w:val="00D70CFB"/>
    <w:rsid w:val="00D70DFF"/>
    <w:rsid w:val="00D70FE1"/>
    <w:rsid w:val="00D71149"/>
    <w:rsid w:val="00D712DE"/>
    <w:rsid w:val="00D7130C"/>
    <w:rsid w:val="00D713B0"/>
    <w:rsid w:val="00D71572"/>
    <w:rsid w:val="00D7188A"/>
    <w:rsid w:val="00D718B9"/>
    <w:rsid w:val="00D71AF3"/>
    <w:rsid w:val="00D71D2D"/>
    <w:rsid w:val="00D71FEC"/>
    <w:rsid w:val="00D72140"/>
    <w:rsid w:val="00D721D5"/>
    <w:rsid w:val="00D72211"/>
    <w:rsid w:val="00D7227F"/>
    <w:rsid w:val="00D7249F"/>
    <w:rsid w:val="00D72595"/>
    <w:rsid w:val="00D726AA"/>
    <w:rsid w:val="00D72A3E"/>
    <w:rsid w:val="00D72CEE"/>
    <w:rsid w:val="00D72E7A"/>
    <w:rsid w:val="00D72EC9"/>
    <w:rsid w:val="00D72ECB"/>
    <w:rsid w:val="00D73533"/>
    <w:rsid w:val="00D73751"/>
    <w:rsid w:val="00D739B9"/>
    <w:rsid w:val="00D73A67"/>
    <w:rsid w:val="00D73AA2"/>
    <w:rsid w:val="00D73AEF"/>
    <w:rsid w:val="00D73AF3"/>
    <w:rsid w:val="00D73B3E"/>
    <w:rsid w:val="00D73D21"/>
    <w:rsid w:val="00D73DB0"/>
    <w:rsid w:val="00D74039"/>
    <w:rsid w:val="00D740DD"/>
    <w:rsid w:val="00D743AE"/>
    <w:rsid w:val="00D74426"/>
    <w:rsid w:val="00D74773"/>
    <w:rsid w:val="00D748C5"/>
    <w:rsid w:val="00D74C6E"/>
    <w:rsid w:val="00D74D9D"/>
    <w:rsid w:val="00D74E89"/>
    <w:rsid w:val="00D74EFE"/>
    <w:rsid w:val="00D74F06"/>
    <w:rsid w:val="00D75215"/>
    <w:rsid w:val="00D7565A"/>
    <w:rsid w:val="00D7565D"/>
    <w:rsid w:val="00D756B4"/>
    <w:rsid w:val="00D756F0"/>
    <w:rsid w:val="00D756FE"/>
    <w:rsid w:val="00D757C5"/>
    <w:rsid w:val="00D7597A"/>
    <w:rsid w:val="00D75BB8"/>
    <w:rsid w:val="00D761DD"/>
    <w:rsid w:val="00D76415"/>
    <w:rsid w:val="00D765C3"/>
    <w:rsid w:val="00D76894"/>
    <w:rsid w:val="00D768BF"/>
    <w:rsid w:val="00D76959"/>
    <w:rsid w:val="00D76AB1"/>
    <w:rsid w:val="00D76B29"/>
    <w:rsid w:val="00D76B36"/>
    <w:rsid w:val="00D76C65"/>
    <w:rsid w:val="00D77201"/>
    <w:rsid w:val="00D778CF"/>
    <w:rsid w:val="00D77B8A"/>
    <w:rsid w:val="00D77C23"/>
    <w:rsid w:val="00D77CD0"/>
    <w:rsid w:val="00D77D4D"/>
    <w:rsid w:val="00D77E03"/>
    <w:rsid w:val="00D77EF4"/>
    <w:rsid w:val="00D80039"/>
    <w:rsid w:val="00D802D4"/>
    <w:rsid w:val="00D80397"/>
    <w:rsid w:val="00D80799"/>
    <w:rsid w:val="00D8096B"/>
    <w:rsid w:val="00D80A63"/>
    <w:rsid w:val="00D80AF7"/>
    <w:rsid w:val="00D80B3B"/>
    <w:rsid w:val="00D81041"/>
    <w:rsid w:val="00D81157"/>
    <w:rsid w:val="00D812C2"/>
    <w:rsid w:val="00D8169F"/>
    <w:rsid w:val="00D818D0"/>
    <w:rsid w:val="00D81B2D"/>
    <w:rsid w:val="00D81C6E"/>
    <w:rsid w:val="00D81CEB"/>
    <w:rsid w:val="00D81EEE"/>
    <w:rsid w:val="00D822C7"/>
    <w:rsid w:val="00D8281C"/>
    <w:rsid w:val="00D82829"/>
    <w:rsid w:val="00D82996"/>
    <w:rsid w:val="00D829AC"/>
    <w:rsid w:val="00D82A43"/>
    <w:rsid w:val="00D82AE5"/>
    <w:rsid w:val="00D82C1C"/>
    <w:rsid w:val="00D82D2D"/>
    <w:rsid w:val="00D82DC6"/>
    <w:rsid w:val="00D82ECB"/>
    <w:rsid w:val="00D82F8A"/>
    <w:rsid w:val="00D830D5"/>
    <w:rsid w:val="00D8336B"/>
    <w:rsid w:val="00D839F0"/>
    <w:rsid w:val="00D839F3"/>
    <w:rsid w:val="00D83A30"/>
    <w:rsid w:val="00D83B69"/>
    <w:rsid w:val="00D84022"/>
    <w:rsid w:val="00D84038"/>
    <w:rsid w:val="00D840D1"/>
    <w:rsid w:val="00D841D0"/>
    <w:rsid w:val="00D8421C"/>
    <w:rsid w:val="00D8456C"/>
    <w:rsid w:val="00D84BE8"/>
    <w:rsid w:val="00D84C6C"/>
    <w:rsid w:val="00D85010"/>
    <w:rsid w:val="00D8517D"/>
    <w:rsid w:val="00D852AD"/>
    <w:rsid w:val="00D85317"/>
    <w:rsid w:val="00D85325"/>
    <w:rsid w:val="00D85473"/>
    <w:rsid w:val="00D854E3"/>
    <w:rsid w:val="00D85507"/>
    <w:rsid w:val="00D8552C"/>
    <w:rsid w:val="00D85776"/>
    <w:rsid w:val="00D8583B"/>
    <w:rsid w:val="00D859A4"/>
    <w:rsid w:val="00D85AA8"/>
    <w:rsid w:val="00D85B0E"/>
    <w:rsid w:val="00D85EA3"/>
    <w:rsid w:val="00D85ED4"/>
    <w:rsid w:val="00D85F6B"/>
    <w:rsid w:val="00D86764"/>
    <w:rsid w:val="00D86818"/>
    <w:rsid w:val="00D86A69"/>
    <w:rsid w:val="00D86FD1"/>
    <w:rsid w:val="00D86FE7"/>
    <w:rsid w:val="00D873D2"/>
    <w:rsid w:val="00D87519"/>
    <w:rsid w:val="00D87599"/>
    <w:rsid w:val="00D8771A"/>
    <w:rsid w:val="00D87A9E"/>
    <w:rsid w:val="00D87B43"/>
    <w:rsid w:val="00D9002F"/>
    <w:rsid w:val="00D90094"/>
    <w:rsid w:val="00D901D4"/>
    <w:rsid w:val="00D902AF"/>
    <w:rsid w:val="00D90322"/>
    <w:rsid w:val="00D90B21"/>
    <w:rsid w:val="00D90CE4"/>
    <w:rsid w:val="00D90CF2"/>
    <w:rsid w:val="00D90D80"/>
    <w:rsid w:val="00D90F36"/>
    <w:rsid w:val="00D9101F"/>
    <w:rsid w:val="00D91047"/>
    <w:rsid w:val="00D911AA"/>
    <w:rsid w:val="00D9123A"/>
    <w:rsid w:val="00D91476"/>
    <w:rsid w:val="00D914AD"/>
    <w:rsid w:val="00D91535"/>
    <w:rsid w:val="00D917FA"/>
    <w:rsid w:val="00D91AAC"/>
    <w:rsid w:val="00D91B78"/>
    <w:rsid w:val="00D92089"/>
    <w:rsid w:val="00D921B3"/>
    <w:rsid w:val="00D922E8"/>
    <w:rsid w:val="00D92328"/>
    <w:rsid w:val="00D92384"/>
    <w:rsid w:val="00D92A0E"/>
    <w:rsid w:val="00D92A76"/>
    <w:rsid w:val="00D92C3C"/>
    <w:rsid w:val="00D92CBB"/>
    <w:rsid w:val="00D9302D"/>
    <w:rsid w:val="00D93073"/>
    <w:rsid w:val="00D93189"/>
    <w:rsid w:val="00D93456"/>
    <w:rsid w:val="00D934B9"/>
    <w:rsid w:val="00D935E4"/>
    <w:rsid w:val="00D9364F"/>
    <w:rsid w:val="00D937D6"/>
    <w:rsid w:val="00D93AF7"/>
    <w:rsid w:val="00D93D0E"/>
    <w:rsid w:val="00D940C5"/>
    <w:rsid w:val="00D94100"/>
    <w:rsid w:val="00D9411B"/>
    <w:rsid w:val="00D945C6"/>
    <w:rsid w:val="00D947F2"/>
    <w:rsid w:val="00D949F8"/>
    <w:rsid w:val="00D94BCC"/>
    <w:rsid w:val="00D94C52"/>
    <w:rsid w:val="00D94CF2"/>
    <w:rsid w:val="00D94D50"/>
    <w:rsid w:val="00D94DC8"/>
    <w:rsid w:val="00D951B7"/>
    <w:rsid w:val="00D954C4"/>
    <w:rsid w:val="00D95932"/>
    <w:rsid w:val="00D95A27"/>
    <w:rsid w:val="00D95B36"/>
    <w:rsid w:val="00D95C78"/>
    <w:rsid w:val="00D95D82"/>
    <w:rsid w:val="00D95E11"/>
    <w:rsid w:val="00D96319"/>
    <w:rsid w:val="00D9633A"/>
    <w:rsid w:val="00D963D8"/>
    <w:rsid w:val="00D96909"/>
    <w:rsid w:val="00D96B42"/>
    <w:rsid w:val="00D96C4C"/>
    <w:rsid w:val="00D96E03"/>
    <w:rsid w:val="00D96EC4"/>
    <w:rsid w:val="00D96FDC"/>
    <w:rsid w:val="00D97060"/>
    <w:rsid w:val="00D97132"/>
    <w:rsid w:val="00D9732E"/>
    <w:rsid w:val="00D97370"/>
    <w:rsid w:val="00D97400"/>
    <w:rsid w:val="00D9741C"/>
    <w:rsid w:val="00D974D0"/>
    <w:rsid w:val="00D97599"/>
    <w:rsid w:val="00D975F6"/>
    <w:rsid w:val="00D97B16"/>
    <w:rsid w:val="00D97B79"/>
    <w:rsid w:val="00D97D47"/>
    <w:rsid w:val="00DA01FB"/>
    <w:rsid w:val="00DA0506"/>
    <w:rsid w:val="00DA0643"/>
    <w:rsid w:val="00DA073F"/>
    <w:rsid w:val="00DA0769"/>
    <w:rsid w:val="00DA090B"/>
    <w:rsid w:val="00DA0940"/>
    <w:rsid w:val="00DA0B62"/>
    <w:rsid w:val="00DA0C66"/>
    <w:rsid w:val="00DA0CD2"/>
    <w:rsid w:val="00DA0CE8"/>
    <w:rsid w:val="00DA0CF9"/>
    <w:rsid w:val="00DA0DDB"/>
    <w:rsid w:val="00DA0EC3"/>
    <w:rsid w:val="00DA0FE8"/>
    <w:rsid w:val="00DA1432"/>
    <w:rsid w:val="00DA1712"/>
    <w:rsid w:val="00DA1886"/>
    <w:rsid w:val="00DA18DC"/>
    <w:rsid w:val="00DA196C"/>
    <w:rsid w:val="00DA1C88"/>
    <w:rsid w:val="00DA1F3E"/>
    <w:rsid w:val="00DA1FE0"/>
    <w:rsid w:val="00DA263C"/>
    <w:rsid w:val="00DA2644"/>
    <w:rsid w:val="00DA28F0"/>
    <w:rsid w:val="00DA313C"/>
    <w:rsid w:val="00DA331C"/>
    <w:rsid w:val="00DA3534"/>
    <w:rsid w:val="00DA3837"/>
    <w:rsid w:val="00DA3A21"/>
    <w:rsid w:val="00DA3AC5"/>
    <w:rsid w:val="00DA3D1E"/>
    <w:rsid w:val="00DA4178"/>
    <w:rsid w:val="00DA418E"/>
    <w:rsid w:val="00DA4280"/>
    <w:rsid w:val="00DA438D"/>
    <w:rsid w:val="00DA4580"/>
    <w:rsid w:val="00DA4897"/>
    <w:rsid w:val="00DA499C"/>
    <w:rsid w:val="00DA4AA5"/>
    <w:rsid w:val="00DA4D47"/>
    <w:rsid w:val="00DA4D77"/>
    <w:rsid w:val="00DA4DCC"/>
    <w:rsid w:val="00DA4E8B"/>
    <w:rsid w:val="00DA5004"/>
    <w:rsid w:val="00DA52F5"/>
    <w:rsid w:val="00DA5411"/>
    <w:rsid w:val="00DA5512"/>
    <w:rsid w:val="00DA558C"/>
    <w:rsid w:val="00DA55F4"/>
    <w:rsid w:val="00DA56B4"/>
    <w:rsid w:val="00DA56C8"/>
    <w:rsid w:val="00DA595E"/>
    <w:rsid w:val="00DA5A2C"/>
    <w:rsid w:val="00DA5AEE"/>
    <w:rsid w:val="00DA5C72"/>
    <w:rsid w:val="00DA5E3D"/>
    <w:rsid w:val="00DA5E6B"/>
    <w:rsid w:val="00DA621C"/>
    <w:rsid w:val="00DA6729"/>
    <w:rsid w:val="00DA69C7"/>
    <w:rsid w:val="00DA6B77"/>
    <w:rsid w:val="00DA6DA2"/>
    <w:rsid w:val="00DA71B8"/>
    <w:rsid w:val="00DA7369"/>
    <w:rsid w:val="00DA7764"/>
    <w:rsid w:val="00DA7C4F"/>
    <w:rsid w:val="00DA7E5D"/>
    <w:rsid w:val="00DA7EBE"/>
    <w:rsid w:val="00DB02E0"/>
    <w:rsid w:val="00DB03A0"/>
    <w:rsid w:val="00DB03AB"/>
    <w:rsid w:val="00DB05B7"/>
    <w:rsid w:val="00DB0724"/>
    <w:rsid w:val="00DB0747"/>
    <w:rsid w:val="00DB0992"/>
    <w:rsid w:val="00DB09E4"/>
    <w:rsid w:val="00DB0B70"/>
    <w:rsid w:val="00DB0C40"/>
    <w:rsid w:val="00DB0E41"/>
    <w:rsid w:val="00DB0E96"/>
    <w:rsid w:val="00DB0F08"/>
    <w:rsid w:val="00DB0F61"/>
    <w:rsid w:val="00DB101E"/>
    <w:rsid w:val="00DB113E"/>
    <w:rsid w:val="00DB1262"/>
    <w:rsid w:val="00DB1434"/>
    <w:rsid w:val="00DB1540"/>
    <w:rsid w:val="00DB1835"/>
    <w:rsid w:val="00DB18C9"/>
    <w:rsid w:val="00DB1A8D"/>
    <w:rsid w:val="00DB1B52"/>
    <w:rsid w:val="00DB1CEC"/>
    <w:rsid w:val="00DB1D4A"/>
    <w:rsid w:val="00DB1E8C"/>
    <w:rsid w:val="00DB1EE6"/>
    <w:rsid w:val="00DB1EFD"/>
    <w:rsid w:val="00DB209A"/>
    <w:rsid w:val="00DB2221"/>
    <w:rsid w:val="00DB2260"/>
    <w:rsid w:val="00DB237A"/>
    <w:rsid w:val="00DB2436"/>
    <w:rsid w:val="00DB2511"/>
    <w:rsid w:val="00DB27E2"/>
    <w:rsid w:val="00DB2A39"/>
    <w:rsid w:val="00DB2A9A"/>
    <w:rsid w:val="00DB2B08"/>
    <w:rsid w:val="00DB2B7D"/>
    <w:rsid w:val="00DB2CBA"/>
    <w:rsid w:val="00DB2DDF"/>
    <w:rsid w:val="00DB2E61"/>
    <w:rsid w:val="00DB2F0E"/>
    <w:rsid w:val="00DB31EC"/>
    <w:rsid w:val="00DB33B8"/>
    <w:rsid w:val="00DB33FE"/>
    <w:rsid w:val="00DB35E5"/>
    <w:rsid w:val="00DB3884"/>
    <w:rsid w:val="00DB38DD"/>
    <w:rsid w:val="00DB395E"/>
    <w:rsid w:val="00DB3A19"/>
    <w:rsid w:val="00DB3BA5"/>
    <w:rsid w:val="00DB3BED"/>
    <w:rsid w:val="00DB3C12"/>
    <w:rsid w:val="00DB3C8A"/>
    <w:rsid w:val="00DB3D51"/>
    <w:rsid w:val="00DB3E46"/>
    <w:rsid w:val="00DB3E71"/>
    <w:rsid w:val="00DB3E74"/>
    <w:rsid w:val="00DB4055"/>
    <w:rsid w:val="00DB40F0"/>
    <w:rsid w:val="00DB430D"/>
    <w:rsid w:val="00DB4757"/>
    <w:rsid w:val="00DB4909"/>
    <w:rsid w:val="00DB4A62"/>
    <w:rsid w:val="00DB4B38"/>
    <w:rsid w:val="00DB4BAF"/>
    <w:rsid w:val="00DB4DCC"/>
    <w:rsid w:val="00DB4E29"/>
    <w:rsid w:val="00DB5421"/>
    <w:rsid w:val="00DB5424"/>
    <w:rsid w:val="00DB5622"/>
    <w:rsid w:val="00DB5772"/>
    <w:rsid w:val="00DB577A"/>
    <w:rsid w:val="00DB5FD9"/>
    <w:rsid w:val="00DB660A"/>
    <w:rsid w:val="00DB6959"/>
    <w:rsid w:val="00DB6A21"/>
    <w:rsid w:val="00DB6A2D"/>
    <w:rsid w:val="00DB6CA9"/>
    <w:rsid w:val="00DB6F6B"/>
    <w:rsid w:val="00DB6FA6"/>
    <w:rsid w:val="00DB6FD6"/>
    <w:rsid w:val="00DB7683"/>
    <w:rsid w:val="00DB7D3E"/>
    <w:rsid w:val="00DB7E6B"/>
    <w:rsid w:val="00DC0713"/>
    <w:rsid w:val="00DC098E"/>
    <w:rsid w:val="00DC0D63"/>
    <w:rsid w:val="00DC0E09"/>
    <w:rsid w:val="00DC1113"/>
    <w:rsid w:val="00DC1130"/>
    <w:rsid w:val="00DC1495"/>
    <w:rsid w:val="00DC15A5"/>
    <w:rsid w:val="00DC15B8"/>
    <w:rsid w:val="00DC1C49"/>
    <w:rsid w:val="00DC1C6A"/>
    <w:rsid w:val="00DC1C97"/>
    <w:rsid w:val="00DC1EA1"/>
    <w:rsid w:val="00DC21C3"/>
    <w:rsid w:val="00DC22A0"/>
    <w:rsid w:val="00DC23A8"/>
    <w:rsid w:val="00DC25FD"/>
    <w:rsid w:val="00DC2631"/>
    <w:rsid w:val="00DC2748"/>
    <w:rsid w:val="00DC2850"/>
    <w:rsid w:val="00DC29D9"/>
    <w:rsid w:val="00DC2A0C"/>
    <w:rsid w:val="00DC2A95"/>
    <w:rsid w:val="00DC2BEC"/>
    <w:rsid w:val="00DC2D12"/>
    <w:rsid w:val="00DC2DCA"/>
    <w:rsid w:val="00DC2DFF"/>
    <w:rsid w:val="00DC2E19"/>
    <w:rsid w:val="00DC2E44"/>
    <w:rsid w:val="00DC2EA5"/>
    <w:rsid w:val="00DC2ED5"/>
    <w:rsid w:val="00DC2F9A"/>
    <w:rsid w:val="00DC3109"/>
    <w:rsid w:val="00DC31A5"/>
    <w:rsid w:val="00DC3242"/>
    <w:rsid w:val="00DC3259"/>
    <w:rsid w:val="00DC3293"/>
    <w:rsid w:val="00DC33D2"/>
    <w:rsid w:val="00DC34E1"/>
    <w:rsid w:val="00DC3522"/>
    <w:rsid w:val="00DC356B"/>
    <w:rsid w:val="00DC3579"/>
    <w:rsid w:val="00DC39E2"/>
    <w:rsid w:val="00DC3A59"/>
    <w:rsid w:val="00DC3A62"/>
    <w:rsid w:val="00DC3AFD"/>
    <w:rsid w:val="00DC44B7"/>
    <w:rsid w:val="00DC44E9"/>
    <w:rsid w:val="00DC450C"/>
    <w:rsid w:val="00DC4548"/>
    <w:rsid w:val="00DC460F"/>
    <w:rsid w:val="00DC4626"/>
    <w:rsid w:val="00DC4887"/>
    <w:rsid w:val="00DC4913"/>
    <w:rsid w:val="00DC498E"/>
    <w:rsid w:val="00DC49AB"/>
    <w:rsid w:val="00DC49B2"/>
    <w:rsid w:val="00DC4A60"/>
    <w:rsid w:val="00DC4AFC"/>
    <w:rsid w:val="00DC4B59"/>
    <w:rsid w:val="00DC4C2C"/>
    <w:rsid w:val="00DC4DDC"/>
    <w:rsid w:val="00DC5019"/>
    <w:rsid w:val="00DC51BF"/>
    <w:rsid w:val="00DC52FE"/>
    <w:rsid w:val="00DC5369"/>
    <w:rsid w:val="00DC54D8"/>
    <w:rsid w:val="00DC551B"/>
    <w:rsid w:val="00DC55A9"/>
    <w:rsid w:val="00DC5691"/>
    <w:rsid w:val="00DC5891"/>
    <w:rsid w:val="00DC58D5"/>
    <w:rsid w:val="00DC59C8"/>
    <w:rsid w:val="00DC5AE9"/>
    <w:rsid w:val="00DC5D40"/>
    <w:rsid w:val="00DC5F2F"/>
    <w:rsid w:val="00DC5FD9"/>
    <w:rsid w:val="00DC610D"/>
    <w:rsid w:val="00DC626C"/>
    <w:rsid w:val="00DC65BB"/>
    <w:rsid w:val="00DC672A"/>
    <w:rsid w:val="00DC67EF"/>
    <w:rsid w:val="00DC6B01"/>
    <w:rsid w:val="00DC6BA8"/>
    <w:rsid w:val="00DC6C85"/>
    <w:rsid w:val="00DC6E0D"/>
    <w:rsid w:val="00DC70A7"/>
    <w:rsid w:val="00DC7111"/>
    <w:rsid w:val="00DC72CD"/>
    <w:rsid w:val="00DC7B0F"/>
    <w:rsid w:val="00DC7B11"/>
    <w:rsid w:val="00DC7D61"/>
    <w:rsid w:val="00DD003F"/>
    <w:rsid w:val="00DD033D"/>
    <w:rsid w:val="00DD048D"/>
    <w:rsid w:val="00DD04C5"/>
    <w:rsid w:val="00DD05A6"/>
    <w:rsid w:val="00DD05E2"/>
    <w:rsid w:val="00DD06C6"/>
    <w:rsid w:val="00DD06DC"/>
    <w:rsid w:val="00DD0750"/>
    <w:rsid w:val="00DD09E0"/>
    <w:rsid w:val="00DD0CE7"/>
    <w:rsid w:val="00DD0F55"/>
    <w:rsid w:val="00DD1016"/>
    <w:rsid w:val="00DD1204"/>
    <w:rsid w:val="00DD1339"/>
    <w:rsid w:val="00DD13A6"/>
    <w:rsid w:val="00DD159E"/>
    <w:rsid w:val="00DD15B6"/>
    <w:rsid w:val="00DD16DA"/>
    <w:rsid w:val="00DD184D"/>
    <w:rsid w:val="00DD19A5"/>
    <w:rsid w:val="00DD1BEF"/>
    <w:rsid w:val="00DD1D1E"/>
    <w:rsid w:val="00DD1E57"/>
    <w:rsid w:val="00DD1F2E"/>
    <w:rsid w:val="00DD1F5A"/>
    <w:rsid w:val="00DD2114"/>
    <w:rsid w:val="00DD24E2"/>
    <w:rsid w:val="00DD27A6"/>
    <w:rsid w:val="00DD287D"/>
    <w:rsid w:val="00DD28DD"/>
    <w:rsid w:val="00DD2CD1"/>
    <w:rsid w:val="00DD2D7A"/>
    <w:rsid w:val="00DD2FA7"/>
    <w:rsid w:val="00DD315B"/>
    <w:rsid w:val="00DD31C6"/>
    <w:rsid w:val="00DD32D4"/>
    <w:rsid w:val="00DD32F1"/>
    <w:rsid w:val="00DD3300"/>
    <w:rsid w:val="00DD3C99"/>
    <w:rsid w:val="00DD3D22"/>
    <w:rsid w:val="00DD3EA4"/>
    <w:rsid w:val="00DD3F25"/>
    <w:rsid w:val="00DD42AB"/>
    <w:rsid w:val="00DD43C3"/>
    <w:rsid w:val="00DD45CB"/>
    <w:rsid w:val="00DD460D"/>
    <w:rsid w:val="00DD478C"/>
    <w:rsid w:val="00DD4892"/>
    <w:rsid w:val="00DD4B6F"/>
    <w:rsid w:val="00DD4DBD"/>
    <w:rsid w:val="00DD5019"/>
    <w:rsid w:val="00DD5214"/>
    <w:rsid w:val="00DD5369"/>
    <w:rsid w:val="00DD571B"/>
    <w:rsid w:val="00DD59B7"/>
    <w:rsid w:val="00DD5ADC"/>
    <w:rsid w:val="00DD5B98"/>
    <w:rsid w:val="00DD5BDC"/>
    <w:rsid w:val="00DD5D18"/>
    <w:rsid w:val="00DD5DF7"/>
    <w:rsid w:val="00DD5F13"/>
    <w:rsid w:val="00DD604F"/>
    <w:rsid w:val="00DD6313"/>
    <w:rsid w:val="00DD6389"/>
    <w:rsid w:val="00DD64C0"/>
    <w:rsid w:val="00DD66BC"/>
    <w:rsid w:val="00DD6732"/>
    <w:rsid w:val="00DD68B9"/>
    <w:rsid w:val="00DD6918"/>
    <w:rsid w:val="00DD6BDC"/>
    <w:rsid w:val="00DD6BFE"/>
    <w:rsid w:val="00DD6DA8"/>
    <w:rsid w:val="00DD6DD5"/>
    <w:rsid w:val="00DD731E"/>
    <w:rsid w:val="00DD7607"/>
    <w:rsid w:val="00DD7668"/>
    <w:rsid w:val="00DD773E"/>
    <w:rsid w:val="00DD7847"/>
    <w:rsid w:val="00DD790F"/>
    <w:rsid w:val="00DD79A7"/>
    <w:rsid w:val="00DD7B6E"/>
    <w:rsid w:val="00DD7E87"/>
    <w:rsid w:val="00DD7EFA"/>
    <w:rsid w:val="00DE00E9"/>
    <w:rsid w:val="00DE038B"/>
    <w:rsid w:val="00DE05CB"/>
    <w:rsid w:val="00DE075D"/>
    <w:rsid w:val="00DE076E"/>
    <w:rsid w:val="00DE0D3B"/>
    <w:rsid w:val="00DE0DCD"/>
    <w:rsid w:val="00DE11B6"/>
    <w:rsid w:val="00DE139C"/>
    <w:rsid w:val="00DE13B3"/>
    <w:rsid w:val="00DE1440"/>
    <w:rsid w:val="00DE15AE"/>
    <w:rsid w:val="00DE18B9"/>
    <w:rsid w:val="00DE18C8"/>
    <w:rsid w:val="00DE196C"/>
    <w:rsid w:val="00DE1A2D"/>
    <w:rsid w:val="00DE1A53"/>
    <w:rsid w:val="00DE1ADB"/>
    <w:rsid w:val="00DE1B26"/>
    <w:rsid w:val="00DE1E20"/>
    <w:rsid w:val="00DE1E4C"/>
    <w:rsid w:val="00DE219B"/>
    <w:rsid w:val="00DE2207"/>
    <w:rsid w:val="00DE228A"/>
    <w:rsid w:val="00DE22EB"/>
    <w:rsid w:val="00DE2539"/>
    <w:rsid w:val="00DE297D"/>
    <w:rsid w:val="00DE2AF1"/>
    <w:rsid w:val="00DE2CB1"/>
    <w:rsid w:val="00DE2D26"/>
    <w:rsid w:val="00DE2E5D"/>
    <w:rsid w:val="00DE3013"/>
    <w:rsid w:val="00DE30DA"/>
    <w:rsid w:val="00DE3173"/>
    <w:rsid w:val="00DE321D"/>
    <w:rsid w:val="00DE3292"/>
    <w:rsid w:val="00DE3728"/>
    <w:rsid w:val="00DE39E4"/>
    <w:rsid w:val="00DE3A7D"/>
    <w:rsid w:val="00DE3BAB"/>
    <w:rsid w:val="00DE3BFA"/>
    <w:rsid w:val="00DE3DF1"/>
    <w:rsid w:val="00DE3E0A"/>
    <w:rsid w:val="00DE3F96"/>
    <w:rsid w:val="00DE4287"/>
    <w:rsid w:val="00DE437B"/>
    <w:rsid w:val="00DE4382"/>
    <w:rsid w:val="00DE4597"/>
    <w:rsid w:val="00DE4790"/>
    <w:rsid w:val="00DE47BC"/>
    <w:rsid w:val="00DE4849"/>
    <w:rsid w:val="00DE4957"/>
    <w:rsid w:val="00DE4B01"/>
    <w:rsid w:val="00DE4BE5"/>
    <w:rsid w:val="00DE4D58"/>
    <w:rsid w:val="00DE4DD3"/>
    <w:rsid w:val="00DE4E10"/>
    <w:rsid w:val="00DE50F7"/>
    <w:rsid w:val="00DE51B4"/>
    <w:rsid w:val="00DE5353"/>
    <w:rsid w:val="00DE540C"/>
    <w:rsid w:val="00DE54A0"/>
    <w:rsid w:val="00DE54C7"/>
    <w:rsid w:val="00DE5808"/>
    <w:rsid w:val="00DE5893"/>
    <w:rsid w:val="00DE5BFD"/>
    <w:rsid w:val="00DE5D44"/>
    <w:rsid w:val="00DE5F6B"/>
    <w:rsid w:val="00DE6055"/>
    <w:rsid w:val="00DE60CD"/>
    <w:rsid w:val="00DE6302"/>
    <w:rsid w:val="00DE63B2"/>
    <w:rsid w:val="00DE63E6"/>
    <w:rsid w:val="00DE6430"/>
    <w:rsid w:val="00DE6433"/>
    <w:rsid w:val="00DE64A4"/>
    <w:rsid w:val="00DE6605"/>
    <w:rsid w:val="00DE67D3"/>
    <w:rsid w:val="00DE68B8"/>
    <w:rsid w:val="00DE6998"/>
    <w:rsid w:val="00DE6CFA"/>
    <w:rsid w:val="00DE6D1F"/>
    <w:rsid w:val="00DE7139"/>
    <w:rsid w:val="00DE715A"/>
    <w:rsid w:val="00DE7228"/>
    <w:rsid w:val="00DE72FD"/>
    <w:rsid w:val="00DE74AE"/>
    <w:rsid w:val="00DE7501"/>
    <w:rsid w:val="00DE77EC"/>
    <w:rsid w:val="00DE7A19"/>
    <w:rsid w:val="00DE7BE2"/>
    <w:rsid w:val="00DE7CBD"/>
    <w:rsid w:val="00DE7EAB"/>
    <w:rsid w:val="00DF00B8"/>
    <w:rsid w:val="00DF013C"/>
    <w:rsid w:val="00DF0522"/>
    <w:rsid w:val="00DF0724"/>
    <w:rsid w:val="00DF0762"/>
    <w:rsid w:val="00DF076E"/>
    <w:rsid w:val="00DF0781"/>
    <w:rsid w:val="00DF084C"/>
    <w:rsid w:val="00DF08FE"/>
    <w:rsid w:val="00DF09C2"/>
    <w:rsid w:val="00DF0CFB"/>
    <w:rsid w:val="00DF0E52"/>
    <w:rsid w:val="00DF0F04"/>
    <w:rsid w:val="00DF1401"/>
    <w:rsid w:val="00DF1670"/>
    <w:rsid w:val="00DF1832"/>
    <w:rsid w:val="00DF1BD9"/>
    <w:rsid w:val="00DF1C0F"/>
    <w:rsid w:val="00DF1CFF"/>
    <w:rsid w:val="00DF1DE2"/>
    <w:rsid w:val="00DF20BF"/>
    <w:rsid w:val="00DF212F"/>
    <w:rsid w:val="00DF2159"/>
    <w:rsid w:val="00DF24E1"/>
    <w:rsid w:val="00DF2520"/>
    <w:rsid w:val="00DF257A"/>
    <w:rsid w:val="00DF286D"/>
    <w:rsid w:val="00DF2BFD"/>
    <w:rsid w:val="00DF2E10"/>
    <w:rsid w:val="00DF2E2E"/>
    <w:rsid w:val="00DF2E2F"/>
    <w:rsid w:val="00DF2E9D"/>
    <w:rsid w:val="00DF2FFF"/>
    <w:rsid w:val="00DF30AF"/>
    <w:rsid w:val="00DF3359"/>
    <w:rsid w:val="00DF33BA"/>
    <w:rsid w:val="00DF3480"/>
    <w:rsid w:val="00DF3488"/>
    <w:rsid w:val="00DF3861"/>
    <w:rsid w:val="00DF3E56"/>
    <w:rsid w:val="00DF4008"/>
    <w:rsid w:val="00DF4108"/>
    <w:rsid w:val="00DF45A2"/>
    <w:rsid w:val="00DF45AB"/>
    <w:rsid w:val="00DF47F4"/>
    <w:rsid w:val="00DF4A0E"/>
    <w:rsid w:val="00DF4E36"/>
    <w:rsid w:val="00DF5142"/>
    <w:rsid w:val="00DF514E"/>
    <w:rsid w:val="00DF533C"/>
    <w:rsid w:val="00DF55CB"/>
    <w:rsid w:val="00DF5721"/>
    <w:rsid w:val="00DF573E"/>
    <w:rsid w:val="00DF5970"/>
    <w:rsid w:val="00DF5A32"/>
    <w:rsid w:val="00DF5B6A"/>
    <w:rsid w:val="00DF5B9A"/>
    <w:rsid w:val="00DF5BCA"/>
    <w:rsid w:val="00DF5CB7"/>
    <w:rsid w:val="00DF5DEE"/>
    <w:rsid w:val="00DF5F46"/>
    <w:rsid w:val="00DF629B"/>
    <w:rsid w:val="00DF62E4"/>
    <w:rsid w:val="00DF6715"/>
    <w:rsid w:val="00DF676B"/>
    <w:rsid w:val="00DF67B5"/>
    <w:rsid w:val="00DF6A68"/>
    <w:rsid w:val="00DF6ACB"/>
    <w:rsid w:val="00DF6BBD"/>
    <w:rsid w:val="00DF6E48"/>
    <w:rsid w:val="00DF6E6B"/>
    <w:rsid w:val="00DF70A9"/>
    <w:rsid w:val="00DF71C3"/>
    <w:rsid w:val="00DF71F5"/>
    <w:rsid w:val="00DF727D"/>
    <w:rsid w:val="00DF72DB"/>
    <w:rsid w:val="00DF7433"/>
    <w:rsid w:val="00DF7701"/>
    <w:rsid w:val="00DF7752"/>
    <w:rsid w:val="00DF7B38"/>
    <w:rsid w:val="00DF7E74"/>
    <w:rsid w:val="00DF7FFC"/>
    <w:rsid w:val="00E000CD"/>
    <w:rsid w:val="00E00264"/>
    <w:rsid w:val="00E00388"/>
    <w:rsid w:val="00E00392"/>
    <w:rsid w:val="00E0041E"/>
    <w:rsid w:val="00E004FB"/>
    <w:rsid w:val="00E0059F"/>
    <w:rsid w:val="00E0065D"/>
    <w:rsid w:val="00E0068D"/>
    <w:rsid w:val="00E006DC"/>
    <w:rsid w:val="00E0089D"/>
    <w:rsid w:val="00E00E20"/>
    <w:rsid w:val="00E010B0"/>
    <w:rsid w:val="00E010C3"/>
    <w:rsid w:val="00E01123"/>
    <w:rsid w:val="00E0117A"/>
    <w:rsid w:val="00E01463"/>
    <w:rsid w:val="00E014A2"/>
    <w:rsid w:val="00E0156F"/>
    <w:rsid w:val="00E01634"/>
    <w:rsid w:val="00E01CA1"/>
    <w:rsid w:val="00E01E77"/>
    <w:rsid w:val="00E01EF8"/>
    <w:rsid w:val="00E01F79"/>
    <w:rsid w:val="00E01F7D"/>
    <w:rsid w:val="00E0201F"/>
    <w:rsid w:val="00E02108"/>
    <w:rsid w:val="00E0227D"/>
    <w:rsid w:val="00E02439"/>
    <w:rsid w:val="00E0243A"/>
    <w:rsid w:val="00E02459"/>
    <w:rsid w:val="00E027D8"/>
    <w:rsid w:val="00E0284D"/>
    <w:rsid w:val="00E02BC0"/>
    <w:rsid w:val="00E03539"/>
    <w:rsid w:val="00E03543"/>
    <w:rsid w:val="00E038FA"/>
    <w:rsid w:val="00E03A8C"/>
    <w:rsid w:val="00E03ABF"/>
    <w:rsid w:val="00E03D45"/>
    <w:rsid w:val="00E0432B"/>
    <w:rsid w:val="00E044E2"/>
    <w:rsid w:val="00E04541"/>
    <w:rsid w:val="00E0454A"/>
    <w:rsid w:val="00E04608"/>
    <w:rsid w:val="00E04639"/>
    <w:rsid w:val="00E047AD"/>
    <w:rsid w:val="00E048BB"/>
    <w:rsid w:val="00E04B62"/>
    <w:rsid w:val="00E04C4A"/>
    <w:rsid w:val="00E04CC5"/>
    <w:rsid w:val="00E05219"/>
    <w:rsid w:val="00E05626"/>
    <w:rsid w:val="00E05681"/>
    <w:rsid w:val="00E05741"/>
    <w:rsid w:val="00E05985"/>
    <w:rsid w:val="00E05A52"/>
    <w:rsid w:val="00E05D1F"/>
    <w:rsid w:val="00E062A3"/>
    <w:rsid w:val="00E062E9"/>
    <w:rsid w:val="00E064E4"/>
    <w:rsid w:val="00E06696"/>
    <w:rsid w:val="00E0675A"/>
    <w:rsid w:val="00E06BE0"/>
    <w:rsid w:val="00E06CA1"/>
    <w:rsid w:val="00E06E11"/>
    <w:rsid w:val="00E06E8A"/>
    <w:rsid w:val="00E07063"/>
    <w:rsid w:val="00E074A4"/>
    <w:rsid w:val="00E07686"/>
    <w:rsid w:val="00E07728"/>
    <w:rsid w:val="00E079E0"/>
    <w:rsid w:val="00E07AEE"/>
    <w:rsid w:val="00E07C4C"/>
    <w:rsid w:val="00E1002D"/>
    <w:rsid w:val="00E10053"/>
    <w:rsid w:val="00E100C3"/>
    <w:rsid w:val="00E1027D"/>
    <w:rsid w:val="00E10455"/>
    <w:rsid w:val="00E10998"/>
    <w:rsid w:val="00E10AD4"/>
    <w:rsid w:val="00E10C62"/>
    <w:rsid w:val="00E1151E"/>
    <w:rsid w:val="00E11662"/>
    <w:rsid w:val="00E119BA"/>
    <w:rsid w:val="00E11A39"/>
    <w:rsid w:val="00E11A5D"/>
    <w:rsid w:val="00E11A60"/>
    <w:rsid w:val="00E11AC8"/>
    <w:rsid w:val="00E11C5C"/>
    <w:rsid w:val="00E11CA5"/>
    <w:rsid w:val="00E11FD5"/>
    <w:rsid w:val="00E12131"/>
    <w:rsid w:val="00E123B7"/>
    <w:rsid w:val="00E124DC"/>
    <w:rsid w:val="00E12525"/>
    <w:rsid w:val="00E128A0"/>
    <w:rsid w:val="00E12CC1"/>
    <w:rsid w:val="00E12CD3"/>
    <w:rsid w:val="00E12D7B"/>
    <w:rsid w:val="00E12EB4"/>
    <w:rsid w:val="00E12FAE"/>
    <w:rsid w:val="00E12FAF"/>
    <w:rsid w:val="00E13290"/>
    <w:rsid w:val="00E1365C"/>
    <w:rsid w:val="00E1385C"/>
    <w:rsid w:val="00E13B58"/>
    <w:rsid w:val="00E13FA3"/>
    <w:rsid w:val="00E14077"/>
    <w:rsid w:val="00E14155"/>
    <w:rsid w:val="00E142D4"/>
    <w:rsid w:val="00E1432B"/>
    <w:rsid w:val="00E14423"/>
    <w:rsid w:val="00E14475"/>
    <w:rsid w:val="00E14837"/>
    <w:rsid w:val="00E1485F"/>
    <w:rsid w:val="00E149F5"/>
    <w:rsid w:val="00E14A8B"/>
    <w:rsid w:val="00E14C6E"/>
    <w:rsid w:val="00E14F3E"/>
    <w:rsid w:val="00E14FB8"/>
    <w:rsid w:val="00E1541B"/>
    <w:rsid w:val="00E15476"/>
    <w:rsid w:val="00E158F1"/>
    <w:rsid w:val="00E1590A"/>
    <w:rsid w:val="00E15935"/>
    <w:rsid w:val="00E15ADF"/>
    <w:rsid w:val="00E15B39"/>
    <w:rsid w:val="00E15F23"/>
    <w:rsid w:val="00E15F34"/>
    <w:rsid w:val="00E15FE7"/>
    <w:rsid w:val="00E1600E"/>
    <w:rsid w:val="00E16043"/>
    <w:rsid w:val="00E162C7"/>
    <w:rsid w:val="00E166C0"/>
    <w:rsid w:val="00E16829"/>
    <w:rsid w:val="00E16BCD"/>
    <w:rsid w:val="00E171DD"/>
    <w:rsid w:val="00E17235"/>
    <w:rsid w:val="00E1725C"/>
    <w:rsid w:val="00E1730B"/>
    <w:rsid w:val="00E17523"/>
    <w:rsid w:val="00E17627"/>
    <w:rsid w:val="00E17A3C"/>
    <w:rsid w:val="00E17AF1"/>
    <w:rsid w:val="00E17F6E"/>
    <w:rsid w:val="00E202EB"/>
    <w:rsid w:val="00E20542"/>
    <w:rsid w:val="00E2074B"/>
    <w:rsid w:val="00E209B3"/>
    <w:rsid w:val="00E20A0D"/>
    <w:rsid w:val="00E20BC6"/>
    <w:rsid w:val="00E20C42"/>
    <w:rsid w:val="00E20D3F"/>
    <w:rsid w:val="00E20D76"/>
    <w:rsid w:val="00E212A4"/>
    <w:rsid w:val="00E213F7"/>
    <w:rsid w:val="00E215B8"/>
    <w:rsid w:val="00E215F6"/>
    <w:rsid w:val="00E2161D"/>
    <w:rsid w:val="00E21721"/>
    <w:rsid w:val="00E21951"/>
    <w:rsid w:val="00E219F0"/>
    <w:rsid w:val="00E21F48"/>
    <w:rsid w:val="00E21F6F"/>
    <w:rsid w:val="00E221CC"/>
    <w:rsid w:val="00E221D2"/>
    <w:rsid w:val="00E22384"/>
    <w:rsid w:val="00E2246A"/>
    <w:rsid w:val="00E22537"/>
    <w:rsid w:val="00E22579"/>
    <w:rsid w:val="00E22A33"/>
    <w:rsid w:val="00E22CCD"/>
    <w:rsid w:val="00E230FB"/>
    <w:rsid w:val="00E233CA"/>
    <w:rsid w:val="00E23662"/>
    <w:rsid w:val="00E23BCF"/>
    <w:rsid w:val="00E23F29"/>
    <w:rsid w:val="00E240E3"/>
    <w:rsid w:val="00E242E3"/>
    <w:rsid w:val="00E2454D"/>
    <w:rsid w:val="00E2463C"/>
    <w:rsid w:val="00E247E2"/>
    <w:rsid w:val="00E24AD6"/>
    <w:rsid w:val="00E24C44"/>
    <w:rsid w:val="00E24D74"/>
    <w:rsid w:val="00E24E8F"/>
    <w:rsid w:val="00E24EC5"/>
    <w:rsid w:val="00E25050"/>
    <w:rsid w:val="00E25236"/>
    <w:rsid w:val="00E25379"/>
    <w:rsid w:val="00E25541"/>
    <w:rsid w:val="00E255E9"/>
    <w:rsid w:val="00E255F2"/>
    <w:rsid w:val="00E25738"/>
    <w:rsid w:val="00E257A7"/>
    <w:rsid w:val="00E2595E"/>
    <w:rsid w:val="00E25BAE"/>
    <w:rsid w:val="00E25C5A"/>
    <w:rsid w:val="00E25E2B"/>
    <w:rsid w:val="00E261D4"/>
    <w:rsid w:val="00E26247"/>
    <w:rsid w:val="00E2647F"/>
    <w:rsid w:val="00E264D5"/>
    <w:rsid w:val="00E268F4"/>
    <w:rsid w:val="00E26C20"/>
    <w:rsid w:val="00E26C9D"/>
    <w:rsid w:val="00E26DF8"/>
    <w:rsid w:val="00E26DFE"/>
    <w:rsid w:val="00E26E4F"/>
    <w:rsid w:val="00E271A1"/>
    <w:rsid w:val="00E279D8"/>
    <w:rsid w:val="00E27BB4"/>
    <w:rsid w:val="00E27F14"/>
    <w:rsid w:val="00E27F68"/>
    <w:rsid w:val="00E301F4"/>
    <w:rsid w:val="00E303BE"/>
    <w:rsid w:val="00E3048A"/>
    <w:rsid w:val="00E305F3"/>
    <w:rsid w:val="00E3060A"/>
    <w:rsid w:val="00E3065F"/>
    <w:rsid w:val="00E306D6"/>
    <w:rsid w:val="00E30723"/>
    <w:rsid w:val="00E307A3"/>
    <w:rsid w:val="00E30844"/>
    <w:rsid w:val="00E30890"/>
    <w:rsid w:val="00E3093D"/>
    <w:rsid w:val="00E30AA7"/>
    <w:rsid w:val="00E30AF2"/>
    <w:rsid w:val="00E30C62"/>
    <w:rsid w:val="00E30DE3"/>
    <w:rsid w:val="00E31107"/>
    <w:rsid w:val="00E31304"/>
    <w:rsid w:val="00E314D3"/>
    <w:rsid w:val="00E3155A"/>
    <w:rsid w:val="00E31626"/>
    <w:rsid w:val="00E31786"/>
    <w:rsid w:val="00E317BE"/>
    <w:rsid w:val="00E319E3"/>
    <w:rsid w:val="00E31D8B"/>
    <w:rsid w:val="00E31E06"/>
    <w:rsid w:val="00E32085"/>
    <w:rsid w:val="00E32091"/>
    <w:rsid w:val="00E320C6"/>
    <w:rsid w:val="00E320CA"/>
    <w:rsid w:val="00E3235D"/>
    <w:rsid w:val="00E325C3"/>
    <w:rsid w:val="00E329E2"/>
    <w:rsid w:val="00E32A1E"/>
    <w:rsid w:val="00E32C17"/>
    <w:rsid w:val="00E32C45"/>
    <w:rsid w:val="00E32CB8"/>
    <w:rsid w:val="00E32EC3"/>
    <w:rsid w:val="00E32F34"/>
    <w:rsid w:val="00E333F5"/>
    <w:rsid w:val="00E336D6"/>
    <w:rsid w:val="00E338C9"/>
    <w:rsid w:val="00E33C46"/>
    <w:rsid w:val="00E33CA3"/>
    <w:rsid w:val="00E33D0C"/>
    <w:rsid w:val="00E33E43"/>
    <w:rsid w:val="00E33E8A"/>
    <w:rsid w:val="00E33F4F"/>
    <w:rsid w:val="00E340F7"/>
    <w:rsid w:val="00E34168"/>
    <w:rsid w:val="00E3443A"/>
    <w:rsid w:val="00E3449E"/>
    <w:rsid w:val="00E34681"/>
    <w:rsid w:val="00E346DC"/>
    <w:rsid w:val="00E3480E"/>
    <w:rsid w:val="00E34955"/>
    <w:rsid w:val="00E34CDC"/>
    <w:rsid w:val="00E34DA9"/>
    <w:rsid w:val="00E34DC2"/>
    <w:rsid w:val="00E34F77"/>
    <w:rsid w:val="00E351C4"/>
    <w:rsid w:val="00E351E8"/>
    <w:rsid w:val="00E352B5"/>
    <w:rsid w:val="00E355C9"/>
    <w:rsid w:val="00E359C9"/>
    <w:rsid w:val="00E36150"/>
    <w:rsid w:val="00E36498"/>
    <w:rsid w:val="00E364F9"/>
    <w:rsid w:val="00E36525"/>
    <w:rsid w:val="00E36584"/>
    <w:rsid w:val="00E369BD"/>
    <w:rsid w:val="00E36C63"/>
    <w:rsid w:val="00E36CBF"/>
    <w:rsid w:val="00E36E15"/>
    <w:rsid w:val="00E36F32"/>
    <w:rsid w:val="00E36F9E"/>
    <w:rsid w:val="00E370DD"/>
    <w:rsid w:val="00E371BE"/>
    <w:rsid w:val="00E3738F"/>
    <w:rsid w:val="00E373D2"/>
    <w:rsid w:val="00E37532"/>
    <w:rsid w:val="00E3761B"/>
    <w:rsid w:val="00E37743"/>
    <w:rsid w:val="00E37818"/>
    <w:rsid w:val="00E378EA"/>
    <w:rsid w:val="00E37B02"/>
    <w:rsid w:val="00E37BDC"/>
    <w:rsid w:val="00E37D9E"/>
    <w:rsid w:val="00E37F83"/>
    <w:rsid w:val="00E401F9"/>
    <w:rsid w:val="00E402A8"/>
    <w:rsid w:val="00E40327"/>
    <w:rsid w:val="00E4041F"/>
    <w:rsid w:val="00E40509"/>
    <w:rsid w:val="00E40E11"/>
    <w:rsid w:val="00E40EA2"/>
    <w:rsid w:val="00E40F48"/>
    <w:rsid w:val="00E40FA1"/>
    <w:rsid w:val="00E410C4"/>
    <w:rsid w:val="00E4115D"/>
    <w:rsid w:val="00E41299"/>
    <w:rsid w:val="00E412A0"/>
    <w:rsid w:val="00E41315"/>
    <w:rsid w:val="00E413BD"/>
    <w:rsid w:val="00E417F5"/>
    <w:rsid w:val="00E4183B"/>
    <w:rsid w:val="00E41898"/>
    <w:rsid w:val="00E419EF"/>
    <w:rsid w:val="00E41A4B"/>
    <w:rsid w:val="00E41ACE"/>
    <w:rsid w:val="00E41B41"/>
    <w:rsid w:val="00E41D7E"/>
    <w:rsid w:val="00E41EB7"/>
    <w:rsid w:val="00E41FEA"/>
    <w:rsid w:val="00E421D2"/>
    <w:rsid w:val="00E4243B"/>
    <w:rsid w:val="00E424BE"/>
    <w:rsid w:val="00E4296A"/>
    <w:rsid w:val="00E42B4F"/>
    <w:rsid w:val="00E42B86"/>
    <w:rsid w:val="00E42EB8"/>
    <w:rsid w:val="00E42F41"/>
    <w:rsid w:val="00E43163"/>
    <w:rsid w:val="00E431C0"/>
    <w:rsid w:val="00E433ED"/>
    <w:rsid w:val="00E4379A"/>
    <w:rsid w:val="00E437B2"/>
    <w:rsid w:val="00E43A8C"/>
    <w:rsid w:val="00E43E80"/>
    <w:rsid w:val="00E4409B"/>
    <w:rsid w:val="00E44168"/>
    <w:rsid w:val="00E44242"/>
    <w:rsid w:val="00E44346"/>
    <w:rsid w:val="00E443F5"/>
    <w:rsid w:val="00E44586"/>
    <w:rsid w:val="00E445D2"/>
    <w:rsid w:val="00E446B4"/>
    <w:rsid w:val="00E44AF1"/>
    <w:rsid w:val="00E44CB1"/>
    <w:rsid w:val="00E44D54"/>
    <w:rsid w:val="00E44DB0"/>
    <w:rsid w:val="00E45019"/>
    <w:rsid w:val="00E45148"/>
    <w:rsid w:val="00E4531D"/>
    <w:rsid w:val="00E45363"/>
    <w:rsid w:val="00E45938"/>
    <w:rsid w:val="00E45E3D"/>
    <w:rsid w:val="00E45F73"/>
    <w:rsid w:val="00E45FB1"/>
    <w:rsid w:val="00E46184"/>
    <w:rsid w:val="00E46456"/>
    <w:rsid w:val="00E464BF"/>
    <w:rsid w:val="00E466A4"/>
    <w:rsid w:val="00E4688A"/>
    <w:rsid w:val="00E4699C"/>
    <w:rsid w:val="00E46B2F"/>
    <w:rsid w:val="00E46D64"/>
    <w:rsid w:val="00E46E9F"/>
    <w:rsid w:val="00E46F5C"/>
    <w:rsid w:val="00E476C5"/>
    <w:rsid w:val="00E4786C"/>
    <w:rsid w:val="00E478A6"/>
    <w:rsid w:val="00E47A66"/>
    <w:rsid w:val="00E47A8F"/>
    <w:rsid w:val="00E47B8B"/>
    <w:rsid w:val="00E5006A"/>
    <w:rsid w:val="00E5019D"/>
    <w:rsid w:val="00E50345"/>
    <w:rsid w:val="00E505C1"/>
    <w:rsid w:val="00E50D20"/>
    <w:rsid w:val="00E50E18"/>
    <w:rsid w:val="00E50E5C"/>
    <w:rsid w:val="00E5116B"/>
    <w:rsid w:val="00E513A9"/>
    <w:rsid w:val="00E514A4"/>
    <w:rsid w:val="00E51822"/>
    <w:rsid w:val="00E51AEB"/>
    <w:rsid w:val="00E51BE4"/>
    <w:rsid w:val="00E51F92"/>
    <w:rsid w:val="00E52124"/>
    <w:rsid w:val="00E522B3"/>
    <w:rsid w:val="00E523B2"/>
    <w:rsid w:val="00E52474"/>
    <w:rsid w:val="00E52A91"/>
    <w:rsid w:val="00E52D6D"/>
    <w:rsid w:val="00E52EBC"/>
    <w:rsid w:val="00E52F99"/>
    <w:rsid w:val="00E53223"/>
    <w:rsid w:val="00E53386"/>
    <w:rsid w:val="00E534A4"/>
    <w:rsid w:val="00E534FA"/>
    <w:rsid w:val="00E5350F"/>
    <w:rsid w:val="00E5375C"/>
    <w:rsid w:val="00E53875"/>
    <w:rsid w:val="00E539FD"/>
    <w:rsid w:val="00E53A17"/>
    <w:rsid w:val="00E53D3A"/>
    <w:rsid w:val="00E53E60"/>
    <w:rsid w:val="00E53EDD"/>
    <w:rsid w:val="00E544D8"/>
    <w:rsid w:val="00E5451F"/>
    <w:rsid w:val="00E54555"/>
    <w:rsid w:val="00E548CA"/>
    <w:rsid w:val="00E5492C"/>
    <w:rsid w:val="00E54B9B"/>
    <w:rsid w:val="00E54BB1"/>
    <w:rsid w:val="00E54BBD"/>
    <w:rsid w:val="00E551CF"/>
    <w:rsid w:val="00E5540C"/>
    <w:rsid w:val="00E55562"/>
    <w:rsid w:val="00E55620"/>
    <w:rsid w:val="00E556CA"/>
    <w:rsid w:val="00E55721"/>
    <w:rsid w:val="00E55A2D"/>
    <w:rsid w:val="00E55B01"/>
    <w:rsid w:val="00E55CF5"/>
    <w:rsid w:val="00E5611C"/>
    <w:rsid w:val="00E561BA"/>
    <w:rsid w:val="00E564E1"/>
    <w:rsid w:val="00E5670E"/>
    <w:rsid w:val="00E567B3"/>
    <w:rsid w:val="00E56B55"/>
    <w:rsid w:val="00E56D75"/>
    <w:rsid w:val="00E570C8"/>
    <w:rsid w:val="00E57161"/>
    <w:rsid w:val="00E57383"/>
    <w:rsid w:val="00E576B0"/>
    <w:rsid w:val="00E57715"/>
    <w:rsid w:val="00E57738"/>
    <w:rsid w:val="00E57B06"/>
    <w:rsid w:val="00E57CED"/>
    <w:rsid w:val="00E57D47"/>
    <w:rsid w:val="00E57EDC"/>
    <w:rsid w:val="00E57F62"/>
    <w:rsid w:val="00E60029"/>
    <w:rsid w:val="00E60065"/>
    <w:rsid w:val="00E6008B"/>
    <w:rsid w:val="00E600F9"/>
    <w:rsid w:val="00E60205"/>
    <w:rsid w:val="00E60599"/>
    <w:rsid w:val="00E608D0"/>
    <w:rsid w:val="00E60BBC"/>
    <w:rsid w:val="00E61193"/>
    <w:rsid w:val="00E6136B"/>
    <w:rsid w:val="00E61435"/>
    <w:rsid w:val="00E61452"/>
    <w:rsid w:val="00E614CE"/>
    <w:rsid w:val="00E61571"/>
    <w:rsid w:val="00E619FB"/>
    <w:rsid w:val="00E620B5"/>
    <w:rsid w:val="00E6215B"/>
    <w:rsid w:val="00E621AE"/>
    <w:rsid w:val="00E621B8"/>
    <w:rsid w:val="00E62208"/>
    <w:rsid w:val="00E626FD"/>
    <w:rsid w:val="00E62710"/>
    <w:rsid w:val="00E62B3B"/>
    <w:rsid w:val="00E62CE6"/>
    <w:rsid w:val="00E62D8D"/>
    <w:rsid w:val="00E62F63"/>
    <w:rsid w:val="00E63025"/>
    <w:rsid w:val="00E630CC"/>
    <w:rsid w:val="00E63300"/>
    <w:rsid w:val="00E6352F"/>
    <w:rsid w:val="00E635A7"/>
    <w:rsid w:val="00E635D1"/>
    <w:rsid w:val="00E63690"/>
    <w:rsid w:val="00E6381C"/>
    <w:rsid w:val="00E63A18"/>
    <w:rsid w:val="00E63C01"/>
    <w:rsid w:val="00E63C25"/>
    <w:rsid w:val="00E63CE3"/>
    <w:rsid w:val="00E63EE4"/>
    <w:rsid w:val="00E64065"/>
    <w:rsid w:val="00E640F3"/>
    <w:rsid w:val="00E642EF"/>
    <w:rsid w:val="00E6440D"/>
    <w:rsid w:val="00E64844"/>
    <w:rsid w:val="00E6489B"/>
    <w:rsid w:val="00E648A3"/>
    <w:rsid w:val="00E64AF2"/>
    <w:rsid w:val="00E64B6B"/>
    <w:rsid w:val="00E64C57"/>
    <w:rsid w:val="00E64DE3"/>
    <w:rsid w:val="00E64E07"/>
    <w:rsid w:val="00E65047"/>
    <w:rsid w:val="00E652D7"/>
    <w:rsid w:val="00E655B9"/>
    <w:rsid w:val="00E656AF"/>
    <w:rsid w:val="00E656F8"/>
    <w:rsid w:val="00E65A3B"/>
    <w:rsid w:val="00E664D6"/>
    <w:rsid w:val="00E665DA"/>
    <w:rsid w:val="00E66658"/>
    <w:rsid w:val="00E667EA"/>
    <w:rsid w:val="00E668B1"/>
    <w:rsid w:val="00E669FB"/>
    <w:rsid w:val="00E66A30"/>
    <w:rsid w:val="00E66BBD"/>
    <w:rsid w:val="00E66ECD"/>
    <w:rsid w:val="00E66F16"/>
    <w:rsid w:val="00E6707E"/>
    <w:rsid w:val="00E67193"/>
    <w:rsid w:val="00E67264"/>
    <w:rsid w:val="00E6746D"/>
    <w:rsid w:val="00E6746E"/>
    <w:rsid w:val="00E674D7"/>
    <w:rsid w:val="00E674F2"/>
    <w:rsid w:val="00E67573"/>
    <w:rsid w:val="00E675C5"/>
    <w:rsid w:val="00E67604"/>
    <w:rsid w:val="00E67A42"/>
    <w:rsid w:val="00E67B54"/>
    <w:rsid w:val="00E67B8D"/>
    <w:rsid w:val="00E67C24"/>
    <w:rsid w:val="00E67C4A"/>
    <w:rsid w:val="00E67EE4"/>
    <w:rsid w:val="00E70046"/>
    <w:rsid w:val="00E70077"/>
    <w:rsid w:val="00E70209"/>
    <w:rsid w:val="00E70275"/>
    <w:rsid w:val="00E70744"/>
    <w:rsid w:val="00E708B3"/>
    <w:rsid w:val="00E70B48"/>
    <w:rsid w:val="00E70B85"/>
    <w:rsid w:val="00E70D44"/>
    <w:rsid w:val="00E70FF0"/>
    <w:rsid w:val="00E710E7"/>
    <w:rsid w:val="00E713DF"/>
    <w:rsid w:val="00E71547"/>
    <w:rsid w:val="00E71686"/>
    <w:rsid w:val="00E71724"/>
    <w:rsid w:val="00E71880"/>
    <w:rsid w:val="00E71996"/>
    <w:rsid w:val="00E71B15"/>
    <w:rsid w:val="00E71BF6"/>
    <w:rsid w:val="00E71C86"/>
    <w:rsid w:val="00E71DF0"/>
    <w:rsid w:val="00E71F67"/>
    <w:rsid w:val="00E71FC8"/>
    <w:rsid w:val="00E722C9"/>
    <w:rsid w:val="00E723CD"/>
    <w:rsid w:val="00E724AE"/>
    <w:rsid w:val="00E72625"/>
    <w:rsid w:val="00E726F6"/>
    <w:rsid w:val="00E729B3"/>
    <w:rsid w:val="00E72B1C"/>
    <w:rsid w:val="00E72B92"/>
    <w:rsid w:val="00E72DF6"/>
    <w:rsid w:val="00E731F3"/>
    <w:rsid w:val="00E73344"/>
    <w:rsid w:val="00E735AE"/>
    <w:rsid w:val="00E739A2"/>
    <w:rsid w:val="00E73A32"/>
    <w:rsid w:val="00E73C47"/>
    <w:rsid w:val="00E73F38"/>
    <w:rsid w:val="00E74044"/>
    <w:rsid w:val="00E745E2"/>
    <w:rsid w:val="00E747DB"/>
    <w:rsid w:val="00E74A3A"/>
    <w:rsid w:val="00E74A94"/>
    <w:rsid w:val="00E74E33"/>
    <w:rsid w:val="00E75092"/>
    <w:rsid w:val="00E750C6"/>
    <w:rsid w:val="00E754CD"/>
    <w:rsid w:val="00E75799"/>
    <w:rsid w:val="00E757D1"/>
    <w:rsid w:val="00E759B9"/>
    <w:rsid w:val="00E75ADB"/>
    <w:rsid w:val="00E75D2F"/>
    <w:rsid w:val="00E75EEC"/>
    <w:rsid w:val="00E75F4E"/>
    <w:rsid w:val="00E7601A"/>
    <w:rsid w:val="00E76284"/>
    <w:rsid w:val="00E7628C"/>
    <w:rsid w:val="00E76547"/>
    <w:rsid w:val="00E768EB"/>
    <w:rsid w:val="00E76C27"/>
    <w:rsid w:val="00E76CB3"/>
    <w:rsid w:val="00E76E84"/>
    <w:rsid w:val="00E76F03"/>
    <w:rsid w:val="00E77231"/>
    <w:rsid w:val="00E7770E"/>
    <w:rsid w:val="00E779A9"/>
    <w:rsid w:val="00E77A8E"/>
    <w:rsid w:val="00E77B13"/>
    <w:rsid w:val="00E77BF6"/>
    <w:rsid w:val="00E77DAC"/>
    <w:rsid w:val="00E77EC7"/>
    <w:rsid w:val="00E80028"/>
    <w:rsid w:val="00E80169"/>
    <w:rsid w:val="00E80270"/>
    <w:rsid w:val="00E80331"/>
    <w:rsid w:val="00E80459"/>
    <w:rsid w:val="00E80512"/>
    <w:rsid w:val="00E805E2"/>
    <w:rsid w:val="00E806A9"/>
    <w:rsid w:val="00E80853"/>
    <w:rsid w:val="00E80996"/>
    <w:rsid w:val="00E809EF"/>
    <w:rsid w:val="00E80B82"/>
    <w:rsid w:val="00E80B89"/>
    <w:rsid w:val="00E811A6"/>
    <w:rsid w:val="00E812A2"/>
    <w:rsid w:val="00E812A5"/>
    <w:rsid w:val="00E8141E"/>
    <w:rsid w:val="00E817F6"/>
    <w:rsid w:val="00E81818"/>
    <w:rsid w:val="00E8187F"/>
    <w:rsid w:val="00E81967"/>
    <w:rsid w:val="00E81BAF"/>
    <w:rsid w:val="00E81D64"/>
    <w:rsid w:val="00E81E16"/>
    <w:rsid w:val="00E81FCE"/>
    <w:rsid w:val="00E820BE"/>
    <w:rsid w:val="00E8260B"/>
    <w:rsid w:val="00E82644"/>
    <w:rsid w:val="00E82AAE"/>
    <w:rsid w:val="00E82AE3"/>
    <w:rsid w:val="00E82B7B"/>
    <w:rsid w:val="00E82C48"/>
    <w:rsid w:val="00E82DEA"/>
    <w:rsid w:val="00E82F9D"/>
    <w:rsid w:val="00E83056"/>
    <w:rsid w:val="00E830B9"/>
    <w:rsid w:val="00E830DD"/>
    <w:rsid w:val="00E833A1"/>
    <w:rsid w:val="00E833FF"/>
    <w:rsid w:val="00E83406"/>
    <w:rsid w:val="00E837A5"/>
    <w:rsid w:val="00E8380A"/>
    <w:rsid w:val="00E83853"/>
    <w:rsid w:val="00E839C6"/>
    <w:rsid w:val="00E83D2C"/>
    <w:rsid w:val="00E83F2A"/>
    <w:rsid w:val="00E840CE"/>
    <w:rsid w:val="00E8443B"/>
    <w:rsid w:val="00E84AAA"/>
    <w:rsid w:val="00E84C71"/>
    <w:rsid w:val="00E84F7B"/>
    <w:rsid w:val="00E85090"/>
    <w:rsid w:val="00E85344"/>
    <w:rsid w:val="00E854B1"/>
    <w:rsid w:val="00E856AD"/>
    <w:rsid w:val="00E857AB"/>
    <w:rsid w:val="00E858AD"/>
    <w:rsid w:val="00E85A44"/>
    <w:rsid w:val="00E85B38"/>
    <w:rsid w:val="00E85B77"/>
    <w:rsid w:val="00E85BDB"/>
    <w:rsid w:val="00E85C1E"/>
    <w:rsid w:val="00E85CFA"/>
    <w:rsid w:val="00E85DB3"/>
    <w:rsid w:val="00E8609C"/>
    <w:rsid w:val="00E861C9"/>
    <w:rsid w:val="00E8624A"/>
    <w:rsid w:val="00E862A0"/>
    <w:rsid w:val="00E862F8"/>
    <w:rsid w:val="00E869B2"/>
    <w:rsid w:val="00E86AAA"/>
    <w:rsid w:val="00E86C64"/>
    <w:rsid w:val="00E86CC9"/>
    <w:rsid w:val="00E86E5D"/>
    <w:rsid w:val="00E86F38"/>
    <w:rsid w:val="00E8702C"/>
    <w:rsid w:val="00E87187"/>
    <w:rsid w:val="00E8734A"/>
    <w:rsid w:val="00E877C6"/>
    <w:rsid w:val="00E87814"/>
    <w:rsid w:val="00E87940"/>
    <w:rsid w:val="00E87B1E"/>
    <w:rsid w:val="00E87BC5"/>
    <w:rsid w:val="00E87EBD"/>
    <w:rsid w:val="00E902A6"/>
    <w:rsid w:val="00E90393"/>
    <w:rsid w:val="00E90B09"/>
    <w:rsid w:val="00E90C54"/>
    <w:rsid w:val="00E90F3F"/>
    <w:rsid w:val="00E913EA"/>
    <w:rsid w:val="00E913F1"/>
    <w:rsid w:val="00E91478"/>
    <w:rsid w:val="00E916BD"/>
    <w:rsid w:val="00E9179C"/>
    <w:rsid w:val="00E91CFF"/>
    <w:rsid w:val="00E91E95"/>
    <w:rsid w:val="00E91FC2"/>
    <w:rsid w:val="00E9206C"/>
    <w:rsid w:val="00E92444"/>
    <w:rsid w:val="00E924F9"/>
    <w:rsid w:val="00E926F3"/>
    <w:rsid w:val="00E92768"/>
    <w:rsid w:val="00E928A8"/>
    <w:rsid w:val="00E928F0"/>
    <w:rsid w:val="00E92B1E"/>
    <w:rsid w:val="00E92C36"/>
    <w:rsid w:val="00E9306F"/>
    <w:rsid w:val="00E930A1"/>
    <w:rsid w:val="00E93264"/>
    <w:rsid w:val="00E9327B"/>
    <w:rsid w:val="00E933DC"/>
    <w:rsid w:val="00E93548"/>
    <w:rsid w:val="00E93550"/>
    <w:rsid w:val="00E93A29"/>
    <w:rsid w:val="00E93C6F"/>
    <w:rsid w:val="00E93D67"/>
    <w:rsid w:val="00E94165"/>
    <w:rsid w:val="00E94179"/>
    <w:rsid w:val="00E943BC"/>
    <w:rsid w:val="00E9441B"/>
    <w:rsid w:val="00E948D9"/>
    <w:rsid w:val="00E949F5"/>
    <w:rsid w:val="00E94A4D"/>
    <w:rsid w:val="00E94A7D"/>
    <w:rsid w:val="00E94ABD"/>
    <w:rsid w:val="00E94ACB"/>
    <w:rsid w:val="00E94C67"/>
    <w:rsid w:val="00E94DFD"/>
    <w:rsid w:val="00E94E81"/>
    <w:rsid w:val="00E94FCF"/>
    <w:rsid w:val="00E94FD6"/>
    <w:rsid w:val="00E95069"/>
    <w:rsid w:val="00E952B9"/>
    <w:rsid w:val="00E9538A"/>
    <w:rsid w:val="00E95449"/>
    <w:rsid w:val="00E95728"/>
    <w:rsid w:val="00E95B13"/>
    <w:rsid w:val="00E95B4D"/>
    <w:rsid w:val="00E95B5E"/>
    <w:rsid w:val="00E95B5F"/>
    <w:rsid w:val="00E95BE8"/>
    <w:rsid w:val="00E95C18"/>
    <w:rsid w:val="00E95CEF"/>
    <w:rsid w:val="00E95D2A"/>
    <w:rsid w:val="00E95F68"/>
    <w:rsid w:val="00E96097"/>
    <w:rsid w:val="00E960D8"/>
    <w:rsid w:val="00E96225"/>
    <w:rsid w:val="00E9627F"/>
    <w:rsid w:val="00E965EF"/>
    <w:rsid w:val="00E965FE"/>
    <w:rsid w:val="00E966FE"/>
    <w:rsid w:val="00E96762"/>
    <w:rsid w:val="00E9680D"/>
    <w:rsid w:val="00E96AD9"/>
    <w:rsid w:val="00E96ED3"/>
    <w:rsid w:val="00E970A8"/>
    <w:rsid w:val="00E9711A"/>
    <w:rsid w:val="00E9719D"/>
    <w:rsid w:val="00E97265"/>
    <w:rsid w:val="00E975BC"/>
    <w:rsid w:val="00E9798E"/>
    <w:rsid w:val="00E97D48"/>
    <w:rsid w:val="00E97E38"/>
    <w:rsid w:val="00EA0336"/>
    <w:rsid w:val="00EA0545"/>
    <w:rsid w:val="00EA061B"/>
    <w:rsid w:val="00EA06A8"/>
    <w:rsid w:val="00EA079D"/>
    <w:rsid w:val="00EA07FD"/>
    <w:rsid w:val="00EA082F"/>
    <w:rsid w:val="00EA088D"/>
    <w:rsid w:val="00EA0A1C"/>
    <w:rsid w:val="00EA0C5C"/>
    <w:rsid w:val="00EA0CB9"/>
    <w:rsid w:val="00EA0ECA"/>
    <w:rsid w:val="00EA0F4A"/>
    <w:rsid w:val="00EA11F1"/>
    <w:rsid w:val="00EA123D"/>
    <w:rsid w:val="00EA1391"/>
    <w:rsid w:val="00EA1830"/>
    <w:rsid w:val="00EA1855"/>
    <w:rsid w:val="00EA1896"/>
    <w:rsid w:val="00EA18F6"/>
    <w:rsid w:val="00EA1A0E"/>
    <w:rsid w:val="00EA1B8E"/>
    <w:rsid w:val="00EA1E92"/>
    <w:rsid w:val="00EA1F17"/>
    <w:rsid w:val="00EA2036"/>
    <w:rsid w:val="00EA219F"/>
    <w:rsid w:val="00EA236C"/>
    <w:rsid w:val="00EA2380"/>
    <w:rsid w:val="00EA280C"/>
    <w:rsid w:val="00EA29DA"/>
    <w:rsid w:val="00EA2E00"/>
    <w:rsid w:val="00EA32D1"/>
    <w:rsid w:val="00EA334A"/>
    <w:rsid w:val="00EA336E"/>
    <w:rsid w:val="00EA3387"/>
    <w:rsid w:val="00EA3466"/>
    <w:rsid w:val="00EA3B0C"/>
    <w:rsid w:val="00EA3BB0"/>
    <w:rsid w:val="00EA3CFF"/>
    <w:rsid w:val="00EA3DF2"/>
    <w:rsid w:val="00EA3FFC"/>
    <w:rsid w:val="00EA44E4"/>
    <w:rsid w:val="00EA458C"/>
    <w:rsid w:val="00EA4793"/>
    <w:rsid w:val="00EA4915"/>
    <w:rsid w:val="00EA4A53"/>
    <w:rsid w:val="00EA4BBE"/>
    <w:rsid w:val="00EA4D84"/>
    <w:rsid w:val="00EA4DE9"/>
    <w:rsid w:val="00EA4E04"/>
    <w:rsid w:val="00EA4E41"/>
    <w:rsid w:val="00EA4F64"/>
    <w:rsid w:val="00EA4F9F"/>
    <w:rsid w:val="00EA4FBA"/>
    <w:rsid w:val="00EA50DB"/>
    <w:rsid w:val="00EA51B3"/>
    <w:rsid w:val="00EA54B1"/>
    <w:rsid w:val="00EA57BF"/>
    <w:rsid w:val="00EA5849"/>
    <w:rsid w:val="00EA585F"/>
    <w:rsid w:val="00EA5972"/>
    <w:rsid w:val="00EA5BC2"/>
    <w:rsid w:val="00EA5EF8"/>
    <w:rsid w:val="00EA60AD"/>
    <w:rsid w:val="00EA63FC"/>
    <w:rsid w:val="00EA64DA"/>
    <w:rsid w:val="00EA6612"/>
    <w:rsid w:val="00EA6735"/>
    <w:rsid w:val="00EA6BA4"/>
    <w:rsid w:val="00EA6C98"/>
    <w:rsid w:val="00EA6E2D"/>
    <w:rsid w:val="00EA6FC1"/>
    <w:rsid w:val="00EA7420"/>
    <w:rsid w:val="00EA7476"/>
    <w:rsid w:val="00EA752F"/>
    <w:rsid w:val="00EA7547"/>
    <w:rsid w:val="00EA7617"/>
    <w:rsid w:val="00EA7847"/>
    <w:rsid w:val="00EA788C"/>
    <w:rsid w:val="00EA7AD1"/>
    <w:rsid w:val="00EA7BFE"/>
    <w:rsid w:val="00EA7D68"/>
    <w:rsid w:val="00EA7DA1"/>
    <w:rsid w:val="00EB0505"/>
    <w:rsid w:val="00EB0522"/>
    <w:rsid w:val="00EB05EC"/>
    <w:rsid w:val="00EB06D3"/>
    <w:rsid w:val="00EB09EB"/>
    <w:rsid w:val="00EB0A50"/>
    <w:rsid w:val="00EB0AD7"/>
    <w:rsid w:val="00EB0CB3"/>
    <w:rsid w:val="00EB0E60"/>
    <w:rsid w:val="00EB0FCB"/>
    <w:rsid w:val="00EB10D9"/>
    <w:rsid w:val="00EB1103"/>
    <w:rsid w:val="00EB150F"/>
    <w:rsid w:val="00EB1880"/>
    <w:rsid w:val="00EB19F8"/>
    <w:rsid w:val="00EB1C73"/>
    <w:rsid w:val="00EB1E42"/>
    <w:rsid w:val="00EB1FDD"/>
    <w:rsid w:val="00EB206E"/>
    <w:rsid w:val="00EB20FB"/>
    <w:rsid w:val="00EB229D"/>
    <w:rsid w:val="00EB23E8"/>
    <w:rsid w:val="00EB23FD"/>
    <w:rsid w:val="00EB2417"/>
    <w:rsid w:val="00EB24B8"/>
    <w:rsid w:val="00EB25F3"/>
    <w:rsid w:val="00EB274C"/>
    <w:rsid w:val="00EB29AC"/>
    <w:rsid w:val="00EB2A9D"/>
    <w:rsid w:val="00EB2D0D"/>
    <w:rsid w:val="00EB2D43"/>
    <w:rsid w:val="00EB2D97"/>
    <w:rsid w:val="00EB2E15"/>
    <w:rsid w:val="00EB3127"/>
    <w:rsid w:val="00EB368B"/>
    <w:rsid w:val="00EB3832"/>
    <w:rsid w:val="00EB3919"/>
    <w:rsid w:val="00EB3A47"/>
    <w:rsid w:val="00EB3AEA"/>
    <w:rsid w:val="00EB3D64"/>
    <w:rsid w:val="00EB3D99"/>
    <w:rsid w:val="00EB3F57"/>
    <w:rsid w:val="00EB410B"/>
    <w:rsid w:val="00EB4174"/>
    <w:rsid w:val="00EB419E"/>
    <w:rsid w:val="00EB41C3"/>
    <w:rsid w:val="00EB41FC"/>
    <w:rsid w:val="00EB42AF"/>
    <w:rsid w:val="00EB438E"/>
    <w:rsid w:val="00EB458B"/>
    <w:rsid w:val="00EB46DE"/>
    <w:rsid w:val="00EB485A"/>
    <w:rsid w:val="00EB4ACF"/>
    <w:rsid w:val="00EB4C0D"/>
    <w:rsid w:val="00EB4D60"/>
    <w:rsid w:val="00EB4DE5"/>
    <w:rsid w:val="00EB4E0F"/>
    <w:rsid w:val="00EB5313"/>
    <w:rsid w:val="00EB5505"/>
    <w:rsid w:val="00EB5540"/>
    <w:rsid w:val="00EB56E1"/>
    <w:rsid w:val="00EB5825"/>
    <w:rsid w:val="00EB587B"/>
    <w:rsid w:val="00EB58DE"/>
    <w:rsid w:val="00EB596E"/>
    <w:rsid w:val="00EB5999"/>
    <w:rsid w:val="00EB5A90"/>
    <w:rsid w:val="00EB5BE3"/>
    <w:rsid w:val="00EB5CF5"/>
    <w:rsid w:val="00EB6077"/>
    <w:rsid w:val="00EB6197"/>
    <w:rsid w:val="00EB61A6"/>
    <w:rsid w:val="00EB61C2"/>
    <w:rsid w:val="00EB623A"/>
    <w:rsid w:val="00EB62BE"/>
    <w:rsid w:val="00EB644F"/>
    <w:rsid w:val="00EB6915"/>
    <w:rsid w:val="00EB6B0C"/>
    <w:rsid w:val="00EB6B92"/>
    <w:rsid w:val="00EB6C24"/>
    <w:rsid w:val="00EB6D38"/>
    <w:rsid w:val="00EB6D5E"/>
    <w:rsid w:val="00EB6EB4"/>
    <w:rsid w:val="00EB6EC3"/>
    <w:rsid w:val="00EB6EF1"/>
    <w:rsid w:val="00EB70D0"/>
    <w:rsid w:val="00EB70E6"/>
    <w:rsid w:val="00EB71C5"/>
    <w:rsid w:val="00EB7359"/>
    <w:rsid w:val="00EB75E3"/>
    <w:rsid w:val="00EB763D"/>
    <w:rsid w:val="00EB7682"/>
    <w:rsid w:val="00EB76FF"/>
    <w:rsid w:val="00EB7BDC"/>
    <w:rsid w:val="00EB7C1E"/>
    <w:rsid w:val="00EB7CB8"/>
    <w:rsid w:val="00EB7DE5"/>
    <w:rsid w:val="00EB7DE6"/>
    <w:rsid w:val="00EB7F0E"/>
    <w:rsid w:val="00EC0001"/>
    <w:rsid w:val="00EC0142"/>
    <w:rsid w:val="00EC01B3"/>
    <w:rsid w:val="00EC098C"/>
    <w:rsid w:val="00EC0AE8"/>
    <w:rsid w:val="00EC0BA2"/>
    <w:rsid w:val="00EC0C7B"/>
    <w:rsid w:val="00EC0D84"/>
    <w:rsid w:val="00EC0F29"/>
    <w:rsid w:val="00EC10E2"/>
    <w:rsid w:val="00EC126A"/>
    <w:rsid w:val="00EC1328"/>
    <w:rsid w:val="00EC1440"/>
    <w:rsid w:val="00EC180C"/>
    <w:rsid w:val="00EC1866"/>
    <w:rsid w:val="00EC1CAD"/>
    <w:rsid w:val="00EC1EC9"/>
    <w:rsid w:val="00EC2190"/>
    <w:rsid w:val="00EC21F2"/>
    <w:rsid w:val="00EC22D6"/>
    <w:rsid w:val="00EC22F6"/>
    <w:rsid w:val="00EC2329"/>
    <w:rsid w:val="00EC2531"/>
    <w:rsid w:val="00EC26C4"/>
    <w:rsid w:val="00EC2AC3"/>
    <w:rsid w:val="00EC2E59"/>
    <w:rsid w:val="00EC3072"/>
    <w:rsid w:val="00EC3154"/>
    <w:rsid w:val="00EC32B4"/>
    <w:rsid w:val="00EC366E"/>
    <w:rsid w:val="00EC3755"/>
    <w:rsid w:val="00EC37FF"/>
    <w:rsid w:val="00EC3953"/>
    <w:rsid w:val="00EC3BB2"/>
    <w:rsid w:val="00EC3DA8"/>
    <w:rsid w:val="00EC3DAD"/>
    <w:rsid w:val="00EC3F1B"/>
    <w:rsid w:val="00EC3F25"/>
    <w:rsid w:val="00EC3FA4"/>
    <w:rsid w:val="00EC3FD4"/>
    <w:rsid w:val="00EC41A8"/>
    <w:rsid w:val="00EC43EB"/>
    <w:rsid w:val="00EC444A"/>
    <w:rsid w:val="00EC47BD"/>
    <w:rsid w:val="00EC47DD"/>
    <w:rsid w:val="00EC4A83"/>
    <w:rsid w:val="00EC4B2E"/>
    <w:rsid w:val="00EC4D0F"/>
    <w:rsid w:val="00EC4E04"/>
    <w:rsid w:val="00EC4F30"/>
    <w:rsid w:val="00EC5042"/>
    <w:rsid w:val="00EC52CE"/>
    <w:rsid w:val="00EC530F"/>
    <w:rsid w:val="00EC5AB6"/>
    <w:rsid w:val="00EC5B80"/>
    <w:rsid w:val="00EC5D8A"/>
    <w:rsid w:val="00EC5DEA"/>
    <w:rsid w:val="00EC5E5B"/>
    <w:rsid w:val="00EC605B"/>
    <w:rsid w:val="00EC6309"/>
    <w:rsid w:val="00EC637D"/>
    <w:rsid w:val="00EC6616"/>
    <w:rsid w:val="00EC66D7"/>
    <w:rsid w:val="00EC67B5"/>
    <w:rsid w:val="00EC6909"/>
    <w:rsid w:val="00EC691C"/>
    <w:rsid w:val="00EC692B"/>
    <w:rsid w:val="00EC69C6"/>
    <w:rsid w:val="00EC6ADD"/>
    <w:rsid w:val="00EC6AF8"/>
    <w:rsid w:val="00EC6BEC"/>
    <w:rsid w:val="00EC6C39"/>
    <w:rsid w:val="00EC6C70"/>
    <w:rsid w:val="00EC6D6A"/>
    <w:rsid w:val="00EC7111"/>
    <w:rsid w:val="00EC727A"/>
    <w:rsid w:val="00EC7495"/>
    <w:rsid w:val="00EC7505"/>
    <w:rsid w:val="00EC7720"/>
    <w:rsid w:val="00EC7786"/>
    <w:rsid w:val="00EC79BA"/>
    <w:rsid w:val="00EC7BFB"/>
    <w:rsid w:val="00EC7E48"/>
    <w:rsid w:val="00EC7E71"/>
    <w:rsid w:val="00EC7FE6"/>
    <w:rsid w:val="00ED038B"/>
    <w:rsid w:val="00ED06BB"/>
    <w:rsid w:val="00ED06E1"/>
    <w:rsid w:val="00ED090C"/>
    <w:rsid w:val="00ED09FE"/>
    <w:rsid w:val="00ED0B16"/>
    <w:rsid w:val="00ED0EA9"/>
    <w:rsid w:val="00ED10F0"/>
    <w:rsid w:val="00ED160E"/>
    <w:rsid w:val="00ED191B"/>
    <w:rsid w:val="00ED19D8"/>
    <w:rsid w:val="00ED1A48"/>
    <w:rsid w:val="00ED1A54"/>
    <w:rsid w:val="00ED1B57"/>
    <w:rsid w:val="00ED1C15"/>
    <w:rsid w:val="00ED213D"/>
    <w:rsid w:val="00ED220B"/>
    <w:rsid w:val="00ED249B"/>
    <w:rsid w:val="00ED24AB"/>
    <w:rsid w:val="00ED251E"/>
    <w:rsid w:val="00ED29E7"/>
    <w:rsid w:val="00ED2A9C"/>
    <w:rsid w:val="00ED2E45"/>
    <w:rsid w:val="00ED3193"/>
    <w:rsid w:val="00ED333E"/>
    <w:rsid w:val="00ED355D"/>
    <w:rsid w:val="00ED37FC"/>
    <w:rsid w:val="00ED3837"/>
    <w:rsid w:val="00ED3FD2"/>
    <w:rsid w:val="00ED4027"/>
    <w:rsid w:val="00ED4192"/>
    <w:rsid w:val="00ED4239"/>
    <w:rsid w:val="00ED42FC"/>
    <w:rsid w:val="00ED45D6"/>
    <w:rsid w:val="00ED45FA"/>
    <w:rsid w:val="00ED4649"/>
    <w:rsid w:val="00ED46C4"/>
    <w:rsid w:val="00ED47B8"/>
    <w:rsid w:val="00ED49AB"/>
    <w:rsid w:val="00ED49F3"/>
    <w:rsid w:val="00ED4AEE"/>
    <w:rsid w:val="00ED4B3D"/>
    <w:rsid w:val="00ED4C93"/>
    <w:rsid w:val="00ED4E7B"/>
    <w:rsid w:val="00ED4FC9"/>
    <w:rsid w:val="00ED50CF"/>
    <w:rsid w:val="00ED54D9"/>
    <w:rsid w:val="00ED5855"/>
    <w:rsid w:val="00ED5A99"/>
    <w:rsid w:val="00ED5D55"/>
    <w:rsid w:val="00ED5FAE"/>
    <w:rsid w:val="00ED602E"/>
    <w:rsid w:val="00ED61FD"/>
    <w:rsid w:val="00ED6419"/>
    <w:rsid w:val="00ED6551"/>
    <w:rsid w:val="00ED6646"/>
    <w:rsid w:val="00ED6698"/>
    <w:rsid w:val="00ED6699"/>
    <w:rsid w:val="00ED672B"/>
    <w:rsid w:val="00ED6849"/>
    <w:rsid w:val="00ED6868"/>
    <w:rsid w:val="00ED6897"/>
    <w:rsid w:val="00ED6F13"/>
    <w:rsid w:val="00ED7221"/>
    <w:rsid w:val="00ED7307"/>
    <w:rsid w:val="00ED734F"/>
    <w:rsid w:val="00ED73CD"/>
    <w:rsid w:val="00ED773E"/>
    <w:rsid w:val="00ED782C"/>
    <w:rsid w:val="00ED78ED"/>
    <w:rsid w:val="00ED7AD2"/>
    <w:rsid w:val="00ED7C68"/>
    <w:rsid w:val="00ED7D53"/>
    <w:rsid w:val="00ED7F0E"/>
    <w:rsid w:val="00ED7FAD"/>
    <w:rsid w:val="00EE075F"/>
    <w:rsid w:val="00EE078B"/>
    <w:rsid w:val="00EE0954"/>
    <w:rsid w:val="00EE0C15"/>
    <w:rsid w:val="00EE0C68"/>
    <w:rsid w:val="00EE11A6"/>
    <w:rsid w:val="00EE13CB"/>
    <w:rsid w:val="00EE1529"/>
    <w:rsid w:val="00EE1613"/>
    <w:rsid w:val="00EE177A"/>
    <w:rsid w:val="00EE1AFD"/>
    <w:rsid w:val="00EE1AFE"/>
    <w:rsid w:val="00EE1EC5"/>
    <w:rsid w:val="00EE203F"/>
    <w:rsid w:val="00EE20F7"/>
    <w:rsid w:val="00EE21CB"/>
    <w:rsid w:val="00EE228F"/>
    <w:rsid w:val="00EE231C"/>
    <w:rsid w:val="00EE26BF"/>
    <w:rsid w:val="00EE277C"/>
    <w:rsid w:val="00EE2820"/>
    <w:rsid w:val="00EE2C57"/>
    <w:rsid w:val="00EE2C73"/>
    <w:rsid w:val="00EE32E5"/>
    <w:rsid w:val="00EE33C9"/>
    <w:rsid w:val="00EE3527"/>
    <w:rsid w:val="00EE353D"/>
    <w:rsid w:val="00EE370E"/>
    <w:rsid w:val="00EE3A2A"/>
    <w:rsid w:val="00EE3A89"/>
    <w:rsid w:val="00EE3DE3"/>
    <w:rsid w:val="00EE3E35"/>
    <w:rsid w:val="00EE3FCA"/>
    <w:rsid w:val="00EE41DB"/>
    <w:rsid w:val="00EE4330"/>
    <w:rsid w:val="00EE4409"/>
    <w:rsid w:val="00EE4A46"/>
    <w:rsid w:val="00EE4A66"/>
    <w:rsid w:val="00EE4D1B"/>
    <w:rsid w:val="00EE4ECB"/>
    <w:rsid w:val="00EE5435"/>
    <w:rsid w:val="00EE5B40"/>
    <w:rsid w:val="00EE63AB"/>
    <w:rsid w:val="00EE676C"/>
    <w:rsid w:val="00EE6790"/>
    <w:rsid w:val="00EE684A"/>
    <w:rsid w:val="00EE6891"/>
    <w:rsid w:val="00EE6A4F"/>
    <w:rsid w:val="00EE6A8A"/>
    <w:rsid w:val="00EE6CCB"/>
    <w:rsid w:val="00EE6E66"/>
    <w:rsid w:val="00EE6EC2"/>
    <w:rsid w:val="00EE7180"/>
    <w:rsid w:val="00EE74CF"/>
    <w:rsid w:val="00EE764B"/>
    <w:rsid w:val="00EE770F"/>
    <w:rsid w:val="00EE779A"/>
    <w:rsid w:val="00EE7885"/>
    <w:rsid w:val="00EE7A62"/>
    <w:rsid w:val="00EE7E55"/>
    <w:rsid w:val="00EF0010"/>
    <w:rsid w:val="00EF0049"/>
    <w:rsid w:val="00EF04ED"/>
    <w:rsid w:val="00EF0604"/>
    <w:rsid w:val="00EF08C2"/>
    <w:rsid w:val="00EF099A"/>
    <w:rsid w:val="00EF0AAD"/>
    <w:rsid w:val="00EF0B23"/>
    <w:rsid w:val="00EF0B47"/>
    <w:rsid w:val="00EF1077"/>
    <w:rsid w:val="00EF1143"/>
    <w:rsid w:val="00EF11C2"/>
    <w:rsid w:val="00EF11C3"/>
    <w:rsid w:val="00EF12BF"/>
    <w:rsid w:val="00EF175B"/>
    <w:rsid w:val="00EF18DD"/>
    <w:rsid w:val="00EF1967"/>
    <w:rsid w:val="00EF196B"/>
    <w:rsid w:val="00EF1972"/>
    <w:rsid w:val="00EF19FA"/>
    <w:rsid w:val="00EF1A4B"/>
    <w:rsid w:val="00EF1AB4"/>
    <w:rsid w:val="00EF1AF8"/>
    <w:rsid w:val="00EF1C66"/>
    <w:rsid w:val="00EF1CF5"/>
    <w:rsid w:val="00EF1E10"/>
    <w:rsid w:val="00EF2351"/>
    <w:rsid w:val="00EF237B"/>
    <w:rsid w:val="00EF23A9"/>
    <w:rsid w:val="00EF261B"/>
    <w:rsid w:val="00EF2648"/>
    <w:rsid w:val="00EF26FA"/>
    <w:rsid w:val="00EF28FC"/>
    <w:rsid w:val="00EF296A"/>
    <w:rsid w:val="00EF2B7E"/>
    <w:rsid w:val="00EF2D3B"/>
    <w:rsid w:val="00EF3110"/>
    <w:rsid w:val="00EF3234"/>
    <w:rsid w:val="00EF3713"/>
    <w:rsid w:val="00EF3FB4"/>
    <w:rsid w:val="00EF40FA"/>
    <w:rsid w:val="00EF41E9"/>
    <w:rsid w:val="00EF4308"/>
    <w:rsid w:val="00EF4345"/>
    <w:rsid w:val="00EF44EE"/>
    <w:rsid w:val="00EF4A52"/>
    <w:rsid w:val="00EF4CF0"/>
    <w:rsid w:val="00EF4E1E"/>
    <w:rsid w:val="00EF5210"/>
    <w:rsid w:val="00EF5256"/>
    <w:rsid w:val="00EF5391"/>
    <w:rsid w:val="00EF554D"/>
    <w:rsid w:val="00EF5861"/>
    <w:rsid w:val="00EF58C6"/>
    <w:rsid w:val="00EF5B4A"/>
    <w:rsid w:val="00EF5D39"/>
    <w:rsid w:val="00EF5D6B"/>
    <w:rsid w:val="00EF5D94"/>
    <w:rsid w:val="00EF610E"/>
    <w:rsid w:val="00EF63D2"/>
    <w:rsid w:val="00EF6471"/>
    <w:rsid w:val="00EF6482"/>
    <w:rsid w:val="00EF64C5"/>
    <w:rsid w:val="00EF6658"/>
    <w:rsid w:val="00EF6713"/>
    <w:rsid w:val="00EF68C3"/>
    <w:rsid w:val="00EF68C6"/>
    <w:rsid w:val="00EF6968"/>
    <w:rsid w:val="00EF6BF3"/>
    <w:rsid w:val="00EF6C9F"/>
    <w:rsid w:val="00EF6D05"/>
    <w:rsid w:val="00EF7424"/>
    <w:rsid w:val="00EF75FE"/>
    <w:rsid w:val="00EF7600"/>
    <w:rsid w:val="00EF7647"/>
    <w:rsid w:val="00EF7670"/>
    <w:rsid w:val="00EF774C"/>
    <w:rsid w:val="00EF7794"/>
    <w:rsid w:val="00EF799C"/>
    <w:rsid w:val="00EF79A2"/>
    <w:rsid w:val="00EF7AAF"/>
    <w:rsid w:val="00EF7EE4"/>
    <w:rsid w:val="00F00055"/>
    <w:rsid w:val="00F0023D"/>
    <w:rsid w:val="00F0040C"/>
    <w:rsid w:val="00F0062D"/>
    <w:rsid w:val="00F00729"/>
    <w:rsid w:val="00F0072D"/>
    <w:rsid w:val="00F00758"/>
    <w:rsid w:val="00F00909"/>
    <w:rsid w:val="00F009F9"/>
    <w:rsid w:val="00F00B27"/>
    <w:rsid w:val="00F00B43"/>
    <w:rsid w:val="00F00EB8"/>
    <w:rsid w:val="00F00F69"/>
    <w:rsid w:val="00F01009"/>
    <w:rsid w:val="00F01461"/>
    <w:rsid w:val="00F016FD"/>
    <w:rsid w:val="00F0198D"/>
    <w:rsid w:val="00F019D2"/>
    <w:rsid w:val="00F01E3D"/>
    <w:rsid w:val="00F01EB2"/>
    <w:rsid w:val="00F01F2F"/>
    <w:rsid w:val="00F0202A"/>
    <w:rsid w:val="00F0213C"/>
    <w:rsid w:val="00F022B2"/>
    <w:rsid w:val="00F02458"/>
    <w:rsid w:val="00F025B6"/>
    <w:rsid w:val="00F0285F"/>
    <w:rsid w:val="00F02978"/>
    <w:rsid w:val="00F02A38"/>
    <w:rsid w:val="00F02C38"/>
    <w:rsid w:val="00F02DED"/>
    <w:rsid w:val="00F02FE7"/>
    <w:rsid w:val="00F030A9"/>
    <w:rsid w:val="00F03121"/>
    <w:rsid w:val="00F0316F"/>
    <w:rsid w:val="00F0336C"/>
    <w:rsid w:val="00F03454"/>
    <w:rsid w:val="00F03497"/>
    <w:rsid w:val="00F03577"/>
    <w:rsid w:val="00F035E0"/>
    <w:rsid w:val="00F039A4"/>
    <w:rsid w:val="00F039B6"/>
    <w:rsid w:val="00F03EB6"/>
    <w:rsid w:val="00F0450E"/>
    <w:rsid w:val="00F04569"/>
    <w:rsid w:val="00F048B9"/>
    <w:rsid w:val="00F048D7"/>
    <w:rsid w:val="00F048EC"/>
    <w:rsid w:val="00F04C2F"/>
    <w:rsid w:val="00F04C56"/>
    <w:rsid w:val="00F04D8D"/>
    <w:rsid w:val="00F04FFA"/>
    <w:rsid w:val="00F0509A"/>
    <w:rsid w:val="00F051B6"/>
    <w:rsid w:val="00F053F5"/>
    <w:rsid w:val="00F05412"/>
    <w:rsid w:val="00F05507"/>
    <w:rsid w:val="00F0566B"/>
    <w:rsid w:val="00F056B2"/>
    <w:rsid w:val="00F056D5"/>
    <w:rsid w:val="00F05A02"/>
    <w:rsid w:val="00F05C13"/>
    <w:rsid w:val="00F05D7D"/>
    <w:rsid w:val="00F05E67"/>
    <w:rsid w:val="00F05EE8"/>
    <w:rsid w:val="00F05F23"/>
    <w:rsid w:val="00F05FD2"/>
    <w:rsid w:val="00F06016"/>
    <w:rsid w:val="00F060C3"/>
    <w:rsid w:val="00F062D2"/>
    <w:rsid w:val="00F0653A"/>
    <w:rsid w:val="00F066D2"/>
    <w:rsid w:val="00F06892"/>
    <w:rsid w:val="00F068CF"/>
    <w:rsid w:val="00F068DC"/>
    <w:rsid w:val="00F06A6F"/>
    <w:rsid w:val="00F06BAF"/>
    <w:rsid w:val="00F06D7F"/>
    <w:rsid w:val="00F06DF7"/>
    <w:rsid w:val="00F06F92"/>
    <w:rsid w:val="00F0722D"/>
    <w:rsid w:val="00F07414"/>
    <w:rsid w:val="00F0752D"/>
    <w:rsid w:val="00F0753D"/>
    <w:rsid w:val="00F0793D"/>
    <w:rsid w:val="00F07C5A"/>
    <w:rsid w:val="00F07E91"/>
    <w:rsid w:val="00F07FB8"/>
    <w:rsid w:val="00F103B7"/>
    <w:rsid w:val="00F10456"/>
    <w:rsid w:val="00F1071B"/>
    <w:rsid w:val="00F10C69"/>
    <w:rsid w:val="00F10CB3"/>
    <w:rsid w:val="00F10DA1"/>
    <w:rsid w:val="00F10E47"/>
    <w:rsid w:val="00F10EFB"/>
    <w:rsid w:val="00F10F15"/>
    <w:rsid w:val="00F10F85"/>
    <w:rsid w:val="00F11043"/>
    <w:rsid w:val="00F112C3"/>
    <w:rsid w:val="00F1149E"/>
    <w:rsid w:val="00F11875"/>
    <w:rsid w:val="00F119AA"/>
    <w:rsid w:val="00F11AC1"/>
    <w:rsid w:val="00F11B43"/>
    <w:rsid w:val="00F11D63"/>
    <w:rsid w:val="00F11D99"/>
    <w:rsid w:val="00F120FD"/>
    <w:rsid w:val="00F1287C"/>
    <w:rsid w:val="00F12890"/>
    <w:rsid w:val="00F12ADF"/>
    <w:rsid w:val="00F12C07"/>
    <w:rsid w:val="00F12D83"/>
    <w:rsid w:val="00F12E98"/>
    <w:rsid w:val="00F12EF9"/>
    <w:rsid w:val="00F12FF0"/>
    <w:rsid w:val="00F13067"/>
    <w:rsid w:val="00F1337F"/>
    <w:rsid w:val="00F13A1A"/>
    <w:rsid w:val="00F13A4E"/>
    <w:rsid w:val="00F13AE7"/>
    <w:rsid w:val="00F13BBD"/>
    <w:rsid w:val="00F1449A"/>
    <w:rsid w:val="00F1468D"/>
    <w:rsid w:val="00F1480C"/>
    <w:rsid w:val="00F14875"/>
    <w:rsid w:val="00F14921"/>
    <w:rsid w:val="00F1498E"/>
    <w:rsid w:val="00F149BE"/>
    <w:rsid w:val="00F14AA1"/>
    <w:rsid w:val="00F14D59"/>
    <w:rsid w:val="00F14DD8"/>
    <w:rsid w:val="00F14F88"/>
    <w:rsid w:val="00F15216"/>
    <w:rsid w:val="00F15366"/>
    <w:rsid w:val="00F15420"/>
    <w:rsid w:val="00F1547E"/>
    <w:rsid w:val="00F154ED"/>
    <w:rsid w:val="00F1570C"/>
    <w:rsid w:val="00F15942"/>
    <w:rsid w:val="00F1594C"/>
    <w:rsid w:val="00F15A3F"/>
    <w:rsid w:val="00F15B3C"/>
    <w:rsid w:val="00F15C46"/>
    <w:rsid w:val="00F15D76"/>
    <w:rsid w:val="00F15DB7"/>
    <w:rsid w:val="00F15E00"/>
    <w:rsid w:val="00F15F89"/>
    <w:rsid w:val="00F1604A"/>
    <w:rsid w:val="00F163CE"/>
    <w:rsid w:val="00F1691C"/>
    <w:rsid w:val="00F16A5D"/>
    <w:rsid w:val="00F16A73"/>
    <w:rsid w:val="00F16AF1"/>
    <w:rsid w:val="00F16B3A"/>
    <w:rsid w:val="00F16C1A"/>
    <w:rsid w:val="00F16D93"/>
    <w:rsid w:val="00F16E26"/>
    <w:rsid w:val="00F16EA6"/>
    <w:rsid w:val="00F1733F"/>
    <w:rsid w:val="00F1737C"/>
    <w:rsid w:val="00F173B5"/>
    <w:rsid w:val="00F17490"/>
    <w:rsid w:val="00F1776B"/>
    <w:rsid w:val="00F177C8"/>
    <w:rsid w:val="00F17844"/>
    <w:rsid w:val="00F17B86"/>
    <w:rsid w:val="00F17D51"/>
    <w:rsid w:val="00F17DB1"/>
    <w:rsid w:val="00F17DB3"/>
    <w:rsid w:val="00F17FE6"/>
    <w:rsid w:val="00F20069"/>
    <w:rsid w:val="00F201D4"/>
    <w:rsid w:val="00F201D5"/>
    <w:rsid w:val="00F203BF"/>
    <w:rsid w:val="00F203F8"/>
    <w:rsid w:val="00F2047E"/>
    <w:rsid w:val="00F2078B"/>
    <w:rsid w:val="00F20991"/>
    <w:rsid w:val="00F20BB9"/>
    <w:rsid w:val="00F20D50"/>
    <w:rsid w:val="00F21158"/>
    <w:rsid w:val="00F211E6"/>
    <w:rsid w:val="00F21283"/>
    <w:rsid w:val="00F213F0"/>
    <w:rsid w:val="00F21456"/>
    <w:rsid w:val="00F2148D"/>
    <w:rsid w:val="00F215A4"/>
    <w:rsid w:val="00F21623"/>
    <w:rsid w:val="00F216D0"/>
    <w:rsid w:val="00F21A96"/>
    <w:rsid w:val="00F21AB6"/>
    <w:rsid w:val="00F21AD3"/>
    <w:rsid w:val="00F21C36"/>
    <w:rsid w:val="00F21C73"/>
    <w:rsid w:val="00F21F42"/>
    <w:rsid w:val="00F21FBE"/>
    <w:rsid w:val="00F2228D"/>
    <w:rsid w:val="00F225F9"/>
    <w:rsid w:val="00F2265C"/>
    <w:rsid w:val="00F2293D"/>
    <w:rsid w:val="00F22ACE"/>
    <w:rsid w:val="00F22C63"/>
    <w:rsid w:val="00F22C8E"/>
    <w:rsid w:val="00F22CC9"/>
    <w:rsid w:val="00F22CED"/>
    <w:rsid w:val="00F23204"/>
    <w:rsid w:val="00F2345C"/>
    <w:rsid w:val="00F23550"/>
    <w:rsid w:val="00F235CB"/>
    <w:rsid w:val="00F23F5D"/>
    <w:rsid w:val="00F24334"/>
    <w:rsid w:val="00F24428"/>
    <w:rsid w:val="00F24552"/>
    <w:rsid w:val="00F245A5"/>
    <w:rsid w:val="00F2464B"/>
    <w:rsid w:val="00F24760"/>
    <w:rsid w:val="00F247F9"/>
    <w:rsid w:val="00F2486E"/>
    <w:rsid w:val="00F24A3B"/>
    <w:rsid w:val="00F24C63"/>
    <w:rsid w:val="00F24DF7"/>
    <w:rsid w:val="00F24F4F"/>
    <w:rsid w:val="00F252F5"/>
    <w:rsid w:val="00F2548F"/>
    <w:rsid w:val="00F25820"/>
    <w:rsid w:val="00F25838"/>
    <w:rsid w:val="00F25C50"/>
    <w:rsid w:val="00F26310"/>
    <w:rsid w:val="00F26578"/>
    <w:rsid w:val="00F26A5F"/>
    <w:rsid w:val="00F26A7E"/>
    <w:rsid w:val="00F26B59"/>
    <w:rsid w:val="00F26D21"/>
    <w:rsid w:val="00F26EB1"/>
    <w:rsid w:val="00F26F0C"/>
    <w:rsid w:val="00F26F74"/>
    <w:rsid w:val="00F271DA"/>
    <w:rsid w:val="00F274D2"/>
    <w:rsid w:val="00F275AC"/>
    <w:rsid w:val="00F275D8"/>
    <w:rsid w:val="00F2794D"/>
    <w:rsid w:val="00F27B56"/>
    <w:rsid w:val="00F27C06"/>
    <w:rsid w:val="00F27E34"/>
    <w:rsid w:val="00F27EBE"/>
    <w:rsid w:val="00F27FB1"/>
    <w:rsid w:val="00F30051"/>
    <w:rsid w:val="00F30106"/>
    <w:rsid w:val="00F30402"/>
    <w:rsid w:val="00F304C3"/>
    <w:rsid w:val="00F305C9"/>
    <w:rsid w:val="00F30713"/>
    <w:rsid w:val="00F30947"/>
    <w:rsid w:val="00F30AB1"/>
    <w:rsid w:val="00F30AB5"/>
    <w:rsid w:val="00F30ACD"/>
    <w:rsid w:val="00F310AE"/>
    <w:rsid w:val="00F31127"/>
    <w:rsid w:val="00F3112D"/>
    <w:rsid w:val="00F31222"/>
    <w:rsid w:val="00F31228"/>
    <w:rsid w:val="00F31261"/>
    <w:rsid w:val="00F31544"/>
    <w:rsid w:val="00F3180E"/>
    <w:rsid w:val="00F3186B"/>
    <w:rsid w:val="00F319C0"/>
    <w:rsid w:val="00F31BB7"/>
    <w:rsid w:val="00F31CC3"/>
    <w:rsid w:val="00F31D2F"/>
    <w:rsid w:val="00F31F5B"/>
    <w:rsid w:val="00F32027"/>
    <w:rsid w:val="00F325C0"/>
    <w:rsid w:val="00F3276D"/>
    <w:rsid w:val="00F3291E"/>
    <w:rsid w:val="00F32B38"/>
    <w:rsid w:val="00F33172"/>
    <w:rsid w:val="00F334C9"/>
    <w:rsid w:val="00F33545"/>
    <w:rsid w:val="00F336CB"/>
    <w:rsid w:val="00F33961"/>
    <w:rsid w:val="00F33AC8"/>
    <w:rsid w:val="00F33CD0"/>
    <w:rsid w:val="00F33DC5"/>
    <w:rsid w:val="00F341E9"/>
    <w:rsid w:val="00F342C6"/>
    <w:rsid w:val="00F34614"/>
    <w:rsid w:val="00F347D7"/>
    <w:rsid w:val="00F34872"/>
    <w:rsid w:val="00F348BA"/>
    <w:rsid w:val="00F348DA"/>
    <w:rsid w:val="00F3491B"/>
    <w:rsid w:val="00F349CD"/>
    <w:rsid w:val="00F34C6E"/>
    <w:rsid w:val="00F34CB4"/>
    <w:rsid w:val="00F34F5C"/>
    <w:rsid w:val="00F35577"/>
    <w:rsid w:val="00F356D7"/>
    <w:rsid w:val="00F356E4"/>
    <w:rsid w:val="00F35F84"/>
    <w:rsid w:val="00F36417"/>
    <w:rsid w:val="00F3647B"/>
    <w:rsid w:val="00F3648E"/>
    <w:rsid w:val="00F3661F"/>
    <w:rsid w:val="00F36994"/>
    <w:rsid w:val="00F36AD7"/>
    <w:rsid w:val="00F36B10"/>
    <w:rsid w:val="00F36B67"/>
    <w:rsid w:val="00F36EED"/>
    <w:rsid w:val="00F3705D"/>
    <w:rsid w:val="00F370B9"/>
    <w:rsid w:val="00F374C5"/>
    <w:rsid w:val="00F374D5"/>
    <w:rsid w:val="00F3754E"/>
    <w:rsid w:val="00F3775B"/>
    <w:rsid w:val="00F37A09"/>
    <w:rsid w:val="00F37BBC"/>
    <w:rsid w:val="00F37D5F"/>
    <w:rsid w:val="00F40219"/>
    <w:rsid w:val="00F40637"/>
    <w:rsid w:val="00F409E6"/>
    <w:rsid w:val="00F40C9F"/>
    <w:rsid w:val="00F40D47"/>
    <w:rsid w:val="00F40D91"/>
    <w:rsid w:val="00F40E20"/>
    <w:rsid w:val="00F40F6F"/>
    <w:rsid w:val="00F4120A"/>
    <w:rsid w:val="00F41276"/>
    <w:rsid w:val="00F412DC"/>
    <w:rsid w:val="00F41415"/>
    <w:rsid w:val="00F41516"/>
    <w:rsid w:val="00F41628"/>
    <w:rsid w:val="00F41660"/>
    <w:rsid w:val="00F416EE"/>
    <w:rsid w:val="00F418BC"/>
    <w:rsid w:val="00F41D86"/>
    <w:rsid w:val="00F41DEF"/>
    <w:rsid w:val="00F41EBB"/>
    <w:rsid w:val="00F4222C"/>
    <w:rsid w:val="00F42236"/>
    <w:rsid w:val="00F422BB"/>
    <w:rsid w:val="00F4265E"/>
    <w:rsid w:val="00F427AF"/>
    <w:rsid w:val="00F4283E"/>
    <w:rsid w:val="00F4284C"/>
    <w:rsid w:val="00F428BE"/>
    <w:rsid w:val="00F42C13"/>
    <w:rsid w:val="00F42C99"/>
    <w:rsid w:val="00F42F57"/>
    <w:rsid w:val="00F431E6"/>
    <w:rsid w:val="00F4324A"/>
    <w:rsid w:val="00F43342"/>
    <w:rsid w:val="00F434C8"/>
    <w:rsid w:val="00F435D3"/>
    <w:rsid w:val="00F435E9"/>
    <w:rsid w:val="00F43620"/>
    <w:rsid w:val="00F43925"/>
    <w:rsid w:val="00F43BEA"/>
    <w:rsid w:val="00F43CFD"/>
    <w:rsid w:val="00F43DEC"/>
    <w:rsid w:val="00F43FA0"/>
    <w:rsid w:val="00F440B8"/>
    <w:rsid w:val="00F44483"/>
    <w:rsid w:val="00F448E0"/>
    <w:rsid w:val="00F4492E"/>
    <w:rsid w:val="00F449BC"/>
    <w:rsid w:val="00F44A0F"/>
    <w:rsid w:val="00F44AD7"/>
    <w:rsid w:val="00F44C9F"/>
    <w:rsid w:val="00F44CB5"/>
    <w:rsid w:val="00F44EF3"/>
    <w:rsid w:val="00F45031"/>
    <w:rsid w:val="00F452F9"/>
    <w:rsid w:val="00F4590C"/>
    <w:rsid w:val="00F45A28"/>
    <w:rsid w:val="00F45A7D"/>
    <w:rsid w:val="00F45C95"/>
    <w:rsid w:val="00F45CB9"/>
    <w:rsid w:val="00F45E77"/>
    <w:rsid w:val="00F45F46"/>
    <w:rsid w:val="00F46365"/>
    <w:rsid w:val="00F46678"/>
    <w:rsid w:val="00F4692D"/>
    <w:rsid w:val="00F46A4D"/>
    <w:rsid w:val="00F46C4B"/>
    <w:rsid w:val="00F46DDB"/>
    <w:rsid w:val="00F46DED"/>
    <w:rsid w:val="00F46EAE"/>
    <w:rsid w:val="00F46EBA"/>
    <w:rsid w:val="00F46EF5"/>
    <w:rsid w:val="00F46FA9"/>
    <w:rsid w:val="00F46FEE"/>
    <w:rsid w:val="00F4702E"/>
    <w:rsid w:val="00F4723A"/>
    <w:rsid w:val="00F473C4"/>
    <w:rsid w:val="00F47566"/>
    <w:rsid w:val="00F47771"/>
    <w:rsid w:val="00F47C33"/>
    <w:rsid w:val="00F47D7F"/>
    <w:rsid w:val="00F47E16"/>
    <w:rsid w:val="00F500F9"/>
    <w:rsid w:val="00F50130"/>
    <w:rsid w:val="00F504E2"/>
    <w:rsid w:val="00F50595"/>
    <w:rsid w:val="00F506A9"/>
    <w:rsid w:val="00F5090C"/>
    <w:rsid w:val="00F50B09"/>
    <w:rsid w:val="00F50BF8"/>
    <w:rsid w:val="00F50C09"/>
    <w:rsid w:val="00F51242"/>
    <w:rsid w:val="00F51453"/>
    <w:rsid w:val="00F51749"/>
    <w:rsid w:val="00F51820"/>
    <w:rsid w:val="00F518A5"/>
    <w:rsid w:val="00F519A1"/>
    <w:rsid w:val="00F51AEF"/>
    <w:rsid w:val="00F51FA4"/>
    <w:rsid w:val="00F520B5"/>
    <w:rsid w:val="00F522A2"/>
    <w:rsid w:val="00F52610"/>
    <w:rsid w:val="00F52670"/>
    <w:rsid w:val="00F528C7"/>
    <w:rsid w:val="00F529B0"/>
    <w:rsid w:val="00F52A5C"/>
    <w:rsid w:val="00F52BD7"/>
    <w:rsid w:val="00F52BE1"/>
    <w:rsid w:val="00F53082"/>
    <w:rsid w:val="00F534C2"/>
    <w:rsid w:val="00F5376F"/>
    <w:rsid w:val="00F538C7"/>
    <w:rsid w:val="00F539BF"/>
    <w:rsid w:val="00F53B52"/>
    <w:rsid w:val="00F53D4A"/>
    <w:rsid w:val="00F53FD9"/>
    <w:rsid w:val="00F541B7"/>
    <w:rsid w:val="00F5445C"/>
    <w:rsid w:val="00F544E1"/>
    <w:rsid w:val="00F54702"/>
    <w:rsid w:val="00F548BE"/>
    <w:rsid w:val="00F54954"/>
    <w:rsid w:val="00F54BD0"/>
    <w:rsid w:val="00F54BE0"/>
    <w:rsid w:val="00F54D7F"/>
    <w:rsid w:val="00F54D9B"/>
    <w:rsid w:val="00F54DDE"/>
    <w:rsid w:val="00F54DEA"/>
    <w:rsid w:val="00F55175"/>
    <w:rsid w:val="00F55230"/>
    <w:rsid w:val="00F55279"/>
    <w:rsid w:val="00F552D9"/>
    <w:rsid w:val="00F556E3"/>
    <w:rsid w:val="00F55738"/>
    <w:rsid w:val="00F558A6"/>
    <w:rsid w:val="00F55FF9"/>
    <w:rsid w:val="00F5611F"/>
    <w:rsid w:val="00F561F5"/>
    <w:rsid w:val="00F562BC"/>
    <w:rsid w:val="00F564C2"/>
    <w:rsid w:val="00F5667F"/>
    <w:rsid w:val="00F567C1"/>
    <w:rsid w:val="00F569F1"/>
    <w:rsid w:val="00F56B15"/>
    <w:rsid w:val="00F570D4"/>
    <w:rsid w:val="00F5738D"/>
    <w:rsid w:val="00F5743D"/>
    <w:rsid w:val="00F57455"/>
    <w:rsid w:val="00F575ED"/>
    <w:rsid w:val="00F57611"/>
    <w:rsid w:val="00F576A1"/>
    <w:rsid w:val="00F576E6"/>
    <w:rsid w:val="00F5776F"/>
    <w:rsid w:val="00F57A56"/>
    <w:rsid w:val="00F57A62"/>
    <w:rsid w:val="00F57C73"/>
    <w:rsid w:val="00F57D1D"/>
    <w:rsid w:val="00F57F5B"/>
    <w:rsid w:val="00F60055"/>
    <w:rsid w:val="00F602C4"/>
    <w:rsid w:val="00F6032A"/>
    <w:rsid w:val="00F60489"/>
    <w:rsid w:val="00F60620"/>
    <w:rsid w:val="00F60B9B"/>
    <w:rsid w:val="00F60EC7"/>
    <w:rsid w:val="00F60FE4"/>
    <w:rsid w:val="00F6105C"/>
    <w:rsid w:val="00F61117"/>
    <w:rsid w:val="00F611BA"/>
    <w:rsid w:val="00F615DF"/>
    <w:rsid w:val="00F61615"/>
    <w:rsid w:val="00F616D5"/>
    <w:rsid w:val="00F61733"/>
    <w:rsid w:val="00F61B21"/>
    <w:rsid w:val="00F61C95"/>
    <w:rsid w:val="00F61D61"/>
    <w:rsid w:val="00F61E31"/>
    <w:rsid w:val="00F62272"/>
    <w:rsid w:val="00F626BE"/>
    <w:rsid w:val="00F629AA"/>
    <w:rsid w:val="00F629EE"/>
    <w:rsid w:val="00F62B2D"/>
    <w:rsid w:val="00F62FFA"/>
    <w:rsid w:val="00F63385"/>
    <w:rsid w:val="00F63442"/>
    <w:rsid w:val="00F63636"/>
    <w:rsid w:val="00F63832"/>
    <w:rsid w:val="00F63A12"/>
    <w:rsid w:val="00F63FAE"/>
    <w:rsid w:val="00F640B9"/>
    <w:rsid w:val="00F641A9"/>
    <w:rsid w:val="00F64342"/>
    <w:rsid w:val="00F644BC"/>
    <w:rsid w:val="00F645FC"/>
    <w:rsid w:val="00F646F7"/>
    <w:rsid w:val="00F646FF"/>
    <w:rsid w:val="00F64BA1"/>
    <w:rsid w:val="00F650EE"/>
    <w:rsid w:val="00F65239"/>
    <w:rsid w:val="00F65282"/>
    <w:rsid w:val="00F6528E"/>
    <w:rsid w:val="00F65563"/>
    <w:rsid w:val="00F6578D"/>
    <w:rsid w:val="00F657D7"/>
    <w:rsid w:val="00F657E1"/>
    <w:rsid w:val="00F65B1A"/>
    <w:rsid w:val="00F65B1E"/>
    <w:rsid w:val="00F66087"/>
    <w:rsid w:val="00F6610C"/>
    <w:rsid w:val="00F66955"/>
    <w:rsid w:val="00F669D1"/>
    <w:rsid w:val="00F66D31"/>
    <w:rsid w:val="00F67072"/>
    <w:rsid w:val="00F67467"/>
    <w:rsid w:val="00F67682"/>
    <w:rsid w:val="00F67A43"/>
    <w:rsid w:val="00F67C8A"/>
    <w:rsid w:val="00F67CA2"/>
    <w:rsid w:val="00F67D05"/>
    <w:rsid w:val="00F67E1D"/>
    <w:rsid w:val="00F700F5"/>
    <w:rsid w:val="00F70349"/>
    <w:rsid w:val="00F703ED"/>
    <w:rsid w:val="00F70737"/>
    <w:rsid w:val="00F7084B"/>
    <w:rsid w:val="00F709C4"/>
    <w:rsid w:val="00F70ABD"/>
    <w:rsid w:val="00F70BCB"/>
    <w:rsid w:val="00F70D1C"/>
    <w:rsid w:val="00F70E0C"/>
    <w:rsid w:val="00F7117B"/>
    <w:rsid w:val="00F711C6"/>
    <w:rsid w:val="00F711C7"/>
    <w:rsid w:val="00F711D6"/>
    <w:rsid w:val="00F71294"/>
    <w:rsid w:val="00F71326"/>
    <w:rsid w:val="00F716C5"/>
    <w:rsid w:val="00F7180D"/>
    <w:rsid w:val="00F71B5C"/>
    <w:rsid w:val="00F71C91"/>
    <w:rsid w:val="00F71EBF"/>
    <w:rsid w:val="00F723BC"/>
    <w:rsid w:val="00F7250C"/>
    <w:rsid w:val="00F72761"/>
    <w:rsid w:val="00F7279B"/>
    <w:rsid w:val="00F7283A"/>
    <w:rsid w:val="00F72A82"/>
    <w:rsid w:val="00F72AF4"/>
    <w:rsid w:val="00F72B04"/>
    <w:rsid w:val="00F730C7"/>
    <w:rsid w:val="00F73174"/>
    <w:rsid w:val="00F731C2"/>
    <w:rsid w:val="00F731E5"/>
    <w:rsid w:val="00F734CD"/>
    <w:rsid w:val="00F73503"/>
    <w:rsid w:val="00F73577"/>
    <w:rsid w:val="00F73645"/>
    <w:rsid w:val="00F737D6"/>
    <w:rsid w:val="00F7386C"/>
    <w:rsid w:val="00F73AEA"/>
    <w:rsid w:val="00F73B6A"/>
    <w:rsid w:val="00F73BE6"/>
    <w:rsid w:val="00F73E9D"/>
    <w:rsid w:val="00F73F8D"/>
    <w:rsid w:val="00F73F99"/>
    <w:rsid w:val="00F7402C"/>
    <w:rsid w:val="00F74398"/>
    <w:rsid w:val="00F7489E"/>
    <w:rsid w:val="00F748A6"/>
    <w:rsid w:val="00F7493E"/>
    <w:rsid w:val="00F74DB8"/>
    <w:rsid w:val="00F74E4A"/>
    <w:rsid w:val="00F75138"/>
    <w:rsid w:val="00F7516A"/>
    <w:rsid w:val="00F751FA"/>
    <w:rsid w:val="00F7528A"/>
    <w:rsid w:val="00F752B6"/>
    <w:rsid w:val="00F753AF"/>
    <w:rsid w:val="00F75446"/>
    <w:rsid w:val="00F754F2"/>
    <w:rsid w:val="00F7558F"/>
    <w:rsid w:val="00F75B1F"/>
    <w:rsid w:val="00F75BE6"/>
    <w:rsid w:val="00F75DDC"/>
    <w:rsid w:val="00F75EE8"/>
    <w:rsid w:val="00F7634D"/>
    <w:rsid w:val="00F763DF"/>
    <w:rsid w:val="00F7656B"/>
    <w:rsid w:val="00F765A7"/>
    <w:rsid w:val="00F7688F"/>
    <w:rsid w:val="00F76B26"/>
    <w:rsid w:val="00F76CC9"/>
    <w:rsid w:val="00F76E58"/>
    <w:rsid w:val="00F773EA"/>
    <w:rsid w:val="00F77435"/>
    <w:rsid w:val="00F77541"/>
    <w:rsid w:val="00F7766A"/>
    <w:rsid w:val="00F7798F"/>
    <w:rsid w:val="00F77B07"/>
    <w:rsid w:val="00F77D51"/>
    <w:rsid w:val="00F77E66"/>
    <w:rsid w:val="00F77F36"/>
    <w:rsid w:val="00F80009"/>
    <w:rsid w:val="00F8012F"/>
    <w:rsid w:val="00F801F8"/>
    <w:rsid w:val="00F8024E"/>
    <w:rsid w:val="00F80506"/>
    <w:rsid w:val="00F8061C"/>
    <w:rsid w:val="00F809D9"/>
    <w:rsid w:val="00F80D79"/>
    <w:rsid w:val="00F80EF7"/>
    <w:rsid w:val="00F80F68"/>
    <w:rsid w:val="00F810A3"/>
    <w:rsid w:val="00F81331"/>
    <w:rsid w:val="00F813A2"/>
    <w:rsid w:val="00F818E3"/>
    <w:rsid w:val="00F8191C"/>
    <w:rsid w:val="00F81BFE"/>
    <w:rsid w:val="00F81D05"/>
    <w:rsid w:val="00F81F91"/>
    <w:rsid w:val="00F821E4"/>
    <w:rsid w:val="00F8267C"/>
    <w:rsid w:val="00F82898"/>
    <w:rsid w:val="00F82A12"/>
    <w:rsid w:val="00F82BD9"/>
    <w:rsid w:val="00F82C84"/>
    <w:rsid w:val="00F82F7B"/>
    <w:rsid w:val="00F83407"/>
    <w:rsid w:val="00F83509"/>
    <w:rsid w:val="00F83611"/>
    <w:rsid w:val="00F837CA"/>
    <w:rsid w:val="00F839CE"/>
    <w:rsid w:val="00F83B50"/>
    <w:rsid w:val="00F83B9B"/>
    <w:rsid w:val="00F83C32"/>
    <w:rsid w:val="00F8419A"/>
    <w:rsid w:val="00F843B8"/>
    <w:rsid w:val="00F84561"/>
    <w:rsid w:val="00F84A7A"/>
    <w:rsid w:val="00F84DBB"/>
    <w:rsid w:val="00F84E2A"/>
    <w:rsid w:val="00F84ED2"/>
    <w:rsid w:val="00F850C2"/>
    <w:rsid w:val="00F85354"/>
    <w:rsid w:val="00F853AC"/>
    <w:rsid w:val="00F8547C"/>
    <w:rsid w:val="00F858DD"/>
    <w:rsid w:val="00F85946"/>
    <w:rsid w:val="00F85A34"/>
    <w:rsid w:val="00F85A8C"/>
    <w:rsid w:val="00F85CD1"/>
    <w:rsid w:val="00F85D7D"/>
    <w:rsid w:val="00F85E58"/>
    <w:rsid w:val="00F85F2A"/>
    <w:rsid w:val="00F86034"/>
    <w:rsid w:val="00F86078"/>
    <w:rsid w:val="00F860E2"/>
    <w:rsid w:val="00F86570"/>
    <w:rsid w:val="00F865BE"/>
    <w:rsid w:val="00F86BA8"/>
    <w:rsid w:val="00F86BBD"/>
    <w:rsid w:val="00F86E6F"/>
    <w:rsid w:val="00F870E4"/>
    <w:rsid w:val="00F871F0"/>
    <w:rsid w:val="00F87201"/>
    <w:rsid w:val="00F87561"/>
    <w:rsid w:val="00F8779C"/>
    <w:rsid w:val="00F87D93"/>
    <w:rsid w:val="00F9005C"/>
    <w:rsid w:val="00F900FD"/>
    <w:rsid w:val="00F90290"/>
    <w:rsid w:val="00F902EA"/>
    <w:rsid w:val="00F9042D"/>
    <w:rsid w:val="00F90430"/>
    <w:rsid w:val="00F9058E"/>
    <w:rsid w:val="00F9058F"/>
    <w:rsid w:val="00F907E8"/>
    <w:rsid w:val="00F9082E"/>
    <w:rsid w:val="00F9094F"/>
    <w:rsid w:val="00F90BEC"/>
    <w:rsid w:val="00F90F29"/>
    <w:rsid w:val="00F90F49"/>
    <w:rsid w:val="00F91113"/>
    <w:rsid w:val="00F91497"/>
    <w:rsid w:val="00F91550"/>
    <w:rsid w:val="00F915C4"/>
    <w:rsid w:val="00F9178F"/>
    <w:rsid w:val="00F917FE"/>
    <w:rsid w:val="00F91895"/>
    <w:rsid w:val="00F91896"/>
    <w:rsid w:val="00F91969"/>
    <w:rsid w:val="00F91AE7"/>
    <w:rsid w:val="00F91D38"/>
    <w:rsid w:val="00F91ED3"/>
    <w:rsid w:val="00F91F4B"/>
    <w:rsid w:val="00F92B19"/>
    <w:rsid w:val="00F92FFD"/>
    <w:rsid w:val="00F93342"/>
    <w:rsid w:val="00F93431"/>
    <w:rsid w:val="00F935DF"/>
    <w:rsid w:val="00F938B8"/>
    <w:rsid w:val="00F93960"/>
    <w:rsid w:val="00F939D5"/>
    <w:rsid w:val="00F93C0B"/>
    <w:rsid w:val="00F93C20"/>
    <w:rsid w:val="00F93C96"/>
    <w:rsid w:val="00F93D47"/>
    <w:rsid w:val="00F93E1F"/>
    <w:rsid w:val="00F93E2F"/>
    <w:rsid w:val="00F93EC5"/>
    <w:rsid w:val="00F94492"/>
    <w:rsid w:val="00F94621"/>
    <w:rsid w:val="00F946D0"/>
    <w:rsid w:val="00F946DA"/>
    <w:rsid w:val="00F948B2"/>
    <w:rsid w:val="00F94CB0"/>
    <w:rsid w:val="00F94DC6"/>
    <w:rsid w:val="00F95606"/>
    <w:rsid w:val="00F956A9"/>
    <w:rsid w:val="00F956AE"/>
    <w:rsid w:val="00F95A8E"/>
    <w:rsid w:val="00F95BBF"/>
    <w:rsid w:val="00F95BC2"/>
    <w:rsid w:val="00F95E85"/>
    <w:rsid w:val="00F95E9F"/>
    <w:rsid w:val="00F95EB7"/>
    <w:rsid w:val="00F961E0"/>
    <w:rsid w:val="00F96616"/>
    <w:rsid w:val="00F96770"/>
    <w:rsid w:val="00F969AB"/>
    <w:rsid w:val="00F96A59"/>
    <w:rsid w:val="00F96D95"/>
    <w:rsid w:val="00F96DEC"/>
    <w:rsid w:val="00F9709B"/>
    <w:rsid w:val="00F9717A"/>
    <w:rsid w:val="00F9725D"/>
    <w:rsid w:val="00F972B8"/>
    <w:rsid w:val="00F97393"/>
    <w:rsid w:val="00F973E3"/>
    <w:rsid w:val="00F97511"/>
    <w:rsid w:val="00F975F6"/>
    <w:rsid w:val="00F9780E"/>
    <w:rsid w:val="00F97878"/>
    <w:rsid w:val="00F97CA7"/>
    <w:rsid w:val="00F97D5F"/>
    <w:rsid w:val="00FA0228"/>
    <w:rsid w:val="00FA02D2"/>
    <w:rsid w:val="00FA0352"/>
    <w:rsid w:val="00FA041C"/>
    <w:rsid w:val="00FA078F"/>
    <w:rsid w:val="00FA0964"/>
    <w:rsid w:val="00FA0C65"/>
    <w:rsid w:val="00FA0C88"/>
    <w:rsid w:val="00FA0CAA"/>
    <w:rsid w:val="00FA0CCD"/>
    <w:rsid w:val="00FA0D0C"/>
    <w:rsid w:val="00FA1335"/>
    <w:rsid w:val="00FA1339"/>
    <w:rsid w:val="00FA13D3"/>
    <w:rsid w:val="00FA168C"/>
    <w:rsid w:val="00FA16E6"/>
    <w:rsid w:val="00FA1BDF"/>
    <w:rsid w:val="00FA1CD8"/>
    <w:rsid w:val="00FA1D9E"/>
    <w:rsid w:val="00FA1E51"/>
    <w:rsid w:val="00FA22FA"/>
    <w:rsid w:val="00FA2354"/>
    <w:rsid w:val="00FA23AA"/>
    <w:rsid w:val="00FA261E"/>
    <w:rsid w:val="00FA284E"/>
    <w:rsid w:val="00FA2C77"/>
    <w:rsid w:val="00FA2F47"/>
    <w:rsid w:val="00FA3309"/>
    <w:rsid w:val="00FA3529"/>
    <w:rsid w:val="00FA36F0"/>
    <w:rsid w:val="00FA381C"/>
    <w:rsid w:val="00FA3980"/>
    <w:rsid w:val="00FA3C2A"/>
    <w:rsid w:val="00FA3DE7"/>
    <w:rsid w:val="00FA3EB6"/>
    <w:rsid w:val="00FA41F4"/>
    <w:rsid w:val="00FA4290"/>
    <w:rsid w:val="00FA42AE"/>
    <w:rsid w:val="00FA4302"/>
    <w:rsid w:val="00FA440D"/>
    <w:rsid w:val="00FA4654"/>
    <w:rsid w:val="00FA47D9"/>
    <w:rsid w:val="00FA4922"/>
    <w:rsid w:val="00FA4B55"/>
    <w:rsid w:val="00FA4F47"/>
    <w:rsid w:val="00FA51F3"/>
    <w:rsid w:val="00FA526C"/>
    <w:rsid w:val="00FA53B1"/>
    <w:rsid w:val="00FA54CA"/>
    <w:rsid w:val="00FA5592"/>
    <w:rsid w:val="00FA5600"/>
    <w:rsid w:val="00FA562A"/>
    <w:rsid w:val="00FA5720"/>
    <w:rsid w:val="00FA584A"/>
    <w:rsid w:val="00FA59C2"/>
    <w:rsid w:val="00FA5B88"/>
    <w:rsid w:val="00FA5BD2"/>
    <w:rsid w:val="00FA5C24"/>
    <w:rsid w:val="00FA5C4B"/>
    <w:rsid w:val="00FA5FA6"/>
    <w:rsid w:val="00FA5FED"/>
    <w:rsid w:val="00FA61E2"/>
    <w:rsid w:val="00FA64DD"/>
    <w:rsid w:val="00FA66B8"/>
    <w:rsid w:val="00FA67ED"/>
    <w:rsid w:val="00FA682E"/>
    <w:rsid w:val="00FA6A87"/>
    <w:rsid w:val="00FA7014"/>
    <w:rsid w:val="00FA707B"/>
    <w:rsid w:val="00FA7447"/>
    <w:rsid w:val="00FA7991"/>
    <w:rsid w:val="00FA7A28"/>
    <w:rsid w:val="00FA7A50"/>
    <w:rsid w:val="00FA7C92"/>
    <w:rsid w:val="00FA7DCF"/>
    <w:rsid w:val="00FA7EB3"/>
    <w:rsid w:val="00FB0067"/>
    <w:rsid w:val="00FB00C0"/>
    <w:rsid w:val="00FB0471"/>
    <w:rsid w:val="00FB04A2"/>
    <w:rsid w:val="00FB0506"/>
    <w:rsid w:val="00FB07F9"/>
    <w:rsid w:val="00FB092E"/>
    <w:rsid w:val="00FB0952"/>
    <w:rsid w:val="00FB0A0F"/>
    <w:rsid w:val="00FB0ADE"/>
    <w:rsid w:val="00FB12BB"/>
    <w:rsid w:val="00FB131D"/>
    <w:rsid w:val="00FB1401"/>
    <w:rsid w:val="00FB1458"/>
    <w:rsid w:val="00FB194F"/>
    <w:rsid w:val="00FB19B7"/>
    <w:rsid w:val="00FB1D14"/>
    <w:rsid w:val="00FB1DD7"/>
    <w:rsid w:val="00FB1FAF"/>
    <w:rsid w:val="00FB1FE5"/>
    <w:rsid w:val="00FB23C9"/>
    <w:rsid w:val="00FB23D3"/>
    <w:rsid w:val="00FB25D5"/>
    <w:rsid w:val="00FB266A"/>
    <w:rsid w:val="00FB2760"/>
    <w:rsid w:val="00FB27DC"/>
    <w:rsid w:val="00FB2F74"/>
    <w:rsid w:val="00FB2FF4"/>
    <w:rsid w:val="00FB3108"/>
    <w:rsid w:val="00FB31CC"/>
    <w:rsid w:val="00FB323D"/>
    <w:rsid w:val="00FB3681"/>
    <w:rsid w:val="00FB3695"/>
    <w:rsid w:val="00FB36B3"/>
    <w:rsid w:val="00FB36C0"/>
    <w:rsid w:val="00FB38EB"/>
    <w:rsid w:val="00FB3A07"/>
    <w:rsid w:val="00FB3FE3"/>
    <w:rsid w:val="00FB46A9"/>
    <w:rsid w:val="00FB4AE9"/>
    <w:rsid w:val="00FB52AF"/>
    <w:rsid w:val="00FB5487"/>
    <w:rsid w:val="00FB587C"/>
    <w:rsid w:val="00FB5AD0"/>
    <w:rsid w:val="00FB5D09"/>
    <w:rsid w:val="00FB5F7C"/>
    <w:rsid w:val="00FB5F8B"/>
    <w:rsid w:val="00FB656C"/>
    <w:rsid w:val="00FB683E"/>
    <w:rsid w:val="00FB6934"/>
    <w:rsid w:val="00FB6ED1"/>
    <w:rsid w:val="00FB6F77"/>
    <w:rsid w:val="00FB7262"/>
    <w:rsid w:val="00FB74B8"/>
    <w:rsid w:val="00FB7502"/>
    <w:rsid w:val="00FB761D"/>
    <w:rsid w:val="00FB7A16"/>
    <w:rsid w:val="00FB7A87"/>
    <w:rsid w:val="00FB7B8F"/>
    <w:rsid w:val="00FB7C74"/>
    <w:rsid w:val="00FB7D34"/>
    <w:rsid w:val="00FB7FDE"/>
    <w:rsid w:val="00FC0034"/>
    <w:rsid w:val="00FC005F"/>
    <w:rsid w:val="00FC0213"/>
    <w:rsid w:val="00FC0247"/>
    <w:rsid w:val="00FC03AA"/>
    <w:rsid w:val="00FC04B7"/>
    <w:rsid w:val="00FC0728"/>
    <w:rsid w:val="00FC0813"/>
    <w:rsid w:val="00FC0D44"/>
    <w:rsid w:val="00FC0DAB"/>
    <w:rsid w:val="00FC0DB9"/>
    <w:rsid w:val="00FC12C4"/>
    <w:rsid w:val="00FC1329"/>
    <w:rsid w:val="00FC13D0"/>
    <w:rsid w:val="00FC175A"/>
    <w:rsid w:val="00FC18B8"/>
    <w:rsid w:val="00FC18D0"/>
    <w:rsid w:val="00FC1907"/>
    <w:rsid w:val="00FC1AC0"/>
    <w:rsid w:val="00FC1AC6"/>
    <w:rsid w:val="00FC1C40"/>
    <w:rsid w:val="00FC1C9A"/>
    <w:rsid w:val="00FC1F15"/>
    <w:rsid w:val="00FC1F26"/>
    <w:rsid w:val="00FC1F41"/>
    <w:rsid w:val="00FC28C3"/>
    <w:rsid w:val="00FC2962"/>
    <w:rsid w:val="00FC31A3"/>
    <w:rsid w:val="00FC32DA"/>
    <w:rsid w:val="00FC3301"/>
    <w:rsid w:val="00FC3315"/>
    <w:rsid w:val="00FC33A3"/>
    <w:rsid w:val="00FC33AD"/>
    <w:rsid w:val="00FC34BB"/>
    <w:rsid w:val="00FC35AA"/>
    <w:rsid w:val="00FC35E3"/>
    <w:rsid w:val="00FC3648"/>
    <w:rsid w:val="00FC3789"/>
    <w:rsid w:val="00FC37C7"/>
    <w:rsid w:val="00FC37F5"/>
    <w:rsid w:val="00FC3906"/>
    <w:rsid w:val="00FC392E"/>
    <w:rsid w:val="00FC398C"/>
    <w:rsid w:val="00FC399F"/>
    <w:rsid w:val="00FC3A0F"/>
    <w:rsid w:val="00FC3AEA"/>
    <w:rsid w:val="00FC3DD2"/>
    <w:rsid w:val="00FC3FAA"/>
    <w:rsid w:val="00FC3FF8"/>
    <w:rsid w:val="00FC418F"/>
    <w:rsid w:val="00FC44CE"/>
    <w:rsid w:val="00FC450D"/>
    <w:rsid w:val="00FC4635"/>
    <w:rsid w:val="00FC48A0"/>
    <w:rsid w:val="00FC4CA8"/>
    <w:rsid w:val="00FC4F0E"/>
    <w:rsid w:val="00FC52A9"/>
    <w:rsid w:val="00FC5304"/>
    <w:rsid w:val="00FC544F"/>
    <w:rsid w:val="00FC548D"/>
    <w:rsid w:val="00FC56B5"/>
    <w:rsid w:val="00FC573D"/>
    <w:rsid w:val="00FC58E1"/>
    <w:rsid w:val="00FC59AC"/>
    <w:rsid w:val="00FC5AC6"/>
    <w:rsid w:val="00FC5D2C"/>
    <w:rsid w:val="00FC6015"/>
    <w:rsid w:val="00FC603C"/>
    <w:rsid w:val="00FC6098"/>
    <w:rsid w:val="00FC60D6"/>
    <w:rsid w:val="00FC62BA"/>
    <w:rsid w:val="00FC62C5"/>
    <w:rsid w:val="00FC64B5"/>
    <w:rsid w:val="00FC659A"/>
    <w:rsid w:val="00FC66D1"/>
    <w:rsid w:val="00FC6804"/>
    <w:rsid w:val="00FC6886"/>
    <w:rsid w:val="00FC697C"/>
    <w:rsid w:val="00FC69C9"/>
    <w:rsid w:val="00FC6ABE"/>
    <w:rsid w:val="00FC6B18"/>
    <w:rsid w:val="00FC6BE4"/>
    <w:rsid w:val="00FC6BFC"/>
    <w:rsid w:val="00FC6C08"/>
    <w:rsid w:val="00FC6DD7"/>
    <w:rsid w:val="00FC6F17"/>
    <w:rsid w:val="00FC6F6D"/>
    <w:rsid w:val="00FC7177"/>
    <w:rsid w:val="00FC7189"/>
    <w:rsid w:val="00FC7477"/>
    <w:rsid w:val="00FC7500"/>
    <w:rsid w:val="00FC7756"/>
    <w:rsid w:val="00FC78D0"/>
    <w:rsid w:val="00FC79F4"/>
    <w:rsid w:val="00FC7BDD"/>
    <w:rsid w:val="00FC7BF0"/>
    <w:rsid w:val="00FC7D3D"/>
    <w:rsid w:val="00FC7D7D"/>
    <w:rsid w:val="00FD01B8"/>
    <w:rsid w:val="00FD0253"/>
    <w:rsid w:val="00FD044E"/>
    <w:rsid w:val="00FD0469"/>
    <w:rsid w:val="00FD050B"/>
    <w:rsid w:val="00FD087C"/>
    <w:rsid w:val="00FD0ADE"/>
    <w:rsid w:val="00FD0BAE"/>
    <w:rsid w:val="00FD0CB9"/>
    <w:rsid w:val="00FD0EE1"/>
    <w:rsid w:val="00FD110E"/>
    <w:rsid w:val="00FD1391"/>
    <w:rsid w:val="00FD13BF"/>
    <w:rsid w:val="00FD13CB"/>
    <w:rsid w:val="00FD15A0"/>
    <w:rsid w:val="00FD15B3"/>
    <w:rsid w:val="00FD15C7"/>
    <w:rsid w:val="00FD1692"/>
    <w:rsid w:val="00FD183D"/>
    <w:rsid w:val="00FD1AB4"/>
    <w:rsid w:val="00FD1ACF"/>
    <w:rsid w:val="00FD1BB5"/>
    <w:rsid w:val="00FD1DC6"/>
    <w:rsid w:val="00FD1F33"/>
    <w:rsid w:val="00FD1FF2"/>
    <w:rsid w:val="00FD23E5"/>
    <w:rsid w:val="00FD260A"/>
    <w:rsid w:val="00FD27A6"/>
    <w:rsid w:val="00FD295A"/>
    <w:rsid w:val="00FD299D"/>
    <w:rsid w:val="00FD2B68"/>
    <w:rsid w:val="00FD30F7"/>
    <w:rsid w:val="00FD31DC"/>
    <w:rsid w:val="00FD3387"/>
    <w:rsid w:val="00FD3911"/>
    <w:rsid w:val="00FD392A"/>
    <w:rsid w:val="00FD3A67"/>
    <w:rsid w:val="00FD3A6D"/>
    <w:rsid w:val="00FD3B5D"/>
    <w:rsid w:val="00FD3E1F"/>
    <w:rsid w:val="00FD418C"/>
    <w:rsid w:val="00FD443B"/>
    <w:rsid w:val="00FD45DC"/>
    <w:rsid w:val="00FD46A7"/>
    <w:rsid w:val="00FD48EB"/>
    <w:rsid w:val="00FD49D3"/>
    <w:rsid w:val="00FD4BBD"/>
    <w:rsid w:val="00FD4C7A"/>
    <w:rsid w:val="00FD4C97"/>
    <w:rsid w:val="00FD50F4"/>
    <w:rsid w:val="00FD51A1"/>
    <w:rsid w:val="00FD56D3"/>
    <w:rsid w:val="00FD5751"/>
    <w:rsid w:val="00FD59B8"/>
    <w:rsid w:val="00FD5B08"/>
    <w:rsid w:val="00FD5B82"/>
    <w:rsid w:val="00FD5C58"/>
    <w:rsid w:val="00FD5DD9"/>
    <w:rsid w:val="00FD5E36"/>
    <w:rsid w:val="00FD5EAC"/>
    <w:rsid w:val="00FD6296"/>
    <w:rsid w:val="00FD65A7"/>
    <w:rsid w:val="00FD690D"/>
    <w:rsid w:val="00FD694C"/>
    <w:rsid w:val="00FD6959"/>
    <w:rsid w:val="00FD698E"/>
    <w:rsid w:val="00FD6D32"/>
    <w:rsid w:val="00FD6E4F"/>
    <w:rsid w:val="00FD6F0A"/>
    <w:rsid w:val="00FD6FC6"/>
    <w:rsid w:val="00FD776D"/>
    <w:rsid w:val="00FD779E"/>
    <w:rsid w:val="00FD7A95"/>
    <w:rsid w:val="00FD7AFE"/>
    <w:rsid w:val="00FD7B99"/>
    <w:rsid w:val="00FD7C8E"/>
    <w:rsid w:val="00FD7DFC"/>
    <w:rsid w:val="00FD7FD5"/>
    <w:rsid w:val="00FE06CC"/>
    <w:rsid w:val="00FE0901"/>
    <w:rsid w:val="00FE0A69"/>
    <w:rsid w:val="00FE0B5B"/>
    <w:rsid w:val="00FE0B92"/>
    <w:rsid w:val="00FE0C12"/>
    <w:rsid w:val="00FE0C5C"/>
    <w:rsid w:val="00FE0EED"/>
    <w:rsid w:val="00FE1011"/>
    <w:rsid w:val="00FE12E2"/>
    <w:rsid w:val="00FE12E8"/>
    <w:rsid w:val="00FE142D"/>
    <w:rsid w:val="00FE1582"/>
    <w:rsid w:val="00FE16DC"/>
    <w:rsid w:val="00FE1789"/>
    <w:rsid w:val="00FE18A7"/>
    <w:rsid w:val="00FE198C"/>
    <w:rsid w:val="00FE1A34"/>
    <w:rsid w:val="00FE1AA8"/>
    <w:rsid w:val="00FE1B56"/>
    <w:rsid w:val="00FE1E07"/>
    <w:rsid w:val="00FE1E4A"/>
    <w:rsid w:val="00FE1E95"/>
    <w:rsid w:val="00FE1ECB"/>
    <w:rsid w:val="00FE1EDB"/>
    <w:rsid w:val="00FE1F39"/>
    <w:rsid w:val="00FE1F65"/>
    <w:rsid w:val="00FE2025"/>
    <w:rsid w:val="00FE20DD"/>
    <w:rsid w:val="00FE2246"/>
    <w:rsid w:val="00FE226D"/>
    <w:rsid w:val="00FE25A0"/>
    <w:rsid w:val="00FE2A4C"/>
    <w:rsid w:val="00FE2CBD"/>
    <w:rsid w:val="00FE2EA5"/>
    <w:rsid w:val="00FE2FDE"/>
    <w:rsid w:val="00FE3068"/>
    <w:rsid w:val="00FE3553"/>
    <w:rsid w:val="00FE36B3"/>
    <w:rsid w:val="00FE3B0E"/>
    <w:rsid w:val="00FE3FCE"/>
    <w:rsid w:val="00FE3FF3"/>
    <w:rsid w:val="00FE40B8"/>
    <w:rsid w:val="00FE41AF"/>
    <w:rsid w:val="00FE41C3"/>
    <w:rsid w:val="00FE42D2"/>
    <w:rsid w:val="00FE43DC"/>
    <w:rsid w:val="00FE43E4"/>
    <w:rsid w:val="00FE4533"/>
    <w:rsid w:val="00FE4683"/>
    <w:rsid w:val="00FE4AE1"/>
    <w:rsid w:val="00FE4AE6"/>
    <w:rsid w:val="00FE4B14"/>
    <w:rsid w:val="00FE4B66"/>
    <w:rsid w:val="00FE4D6B"/>
    <w:rsid w:val="00FE4F87"/>
    <w:rsid w:val="00FE5056"/>
    <w:rsid w:val="00FE508B"/>
    <w:rsid w:val="00FE52EE"/>
    <w:rsid w:val="00FE52F7"/>
    <w:rsid w:val="00FE5324"/>
    <w:rsid w:val="00FE532D"/>
    <w:rsid w:val="00FE5359"/>
    <w:rsid w:val="00FE53D4"/>
    <w:rsid w:val="00FE5487"/>
    <w:rsid w:val="00FE5539"/>
    <w:rsid w:val="00FE5596"/>
    <w:rsid w:val="00FE57B7"/>
    <w:rsid w:val="00FE589C"/>
    <w:rsid w:val="00FE5A0B"/>
    <w:rsid w:val="00FE5A4B"/>
    <w:rsid w:val="00FE5B6A"/>
    <w:rsid w:val="00FE5D72"/>
    <w:rsid w:val="00FE61F2"/>
    <w:rsid w:val="00FE625B"/>
    <w:rsid w:val="00FE647D"/>
    <w:rsid w:val="00FE66F8"/>
    <w:rsid w:val="00FE66FB"/>
    <w:rsid w:val="00FE6944"/>
    <w:rsid w:val="00FE6A9C"/>
    <w:rsid w:val="00FE6CC7"/>
    <w:rsid w:val="00FE6CFD"/>
    <w:rsid w:val="00FE6D08"/>
    <w:rsid w:val="00FE6E5E"/>
    <w:rsid w:val="00FE6E79"/>
    <w:rsid w:val="00FE6FB0"/>
    <w:rsid w:val="00FE6FC7"/>
    <w:rsid w:val="00FE7023"/>
    <w:rsid w:val="00FE7463"/>
    <w:rsid w:val="00FE74A0"/>
    <w:rsid w:val="00FE74B1"/>
    <w:rsid w:val="00FE76F2"/>
    <w:rsid w:val="00FE792F"/>
    <w:rsid w:val="00FE7CD0"/>
    <w:rsid w:val="00FE7D9F"/>
    <w:rsid w:val="00FE7ED7"/>
    <w:rsid w:val="00FF0158"/>
    <w:rsid w:val="00FF0319"/>
    <w:rsid w:val="00FF0562"/>
    <w:rsid w:val="00FF0981"/>
    <w:rsid w:val="00FF114E"/>
    <w:rsid w:val="00FF133F"/>
    <w:rsid w:val="00FF16FE"/>
    <w:rsid w:val="00FF174A"/>
    <w:rsid w:val="00FF17E1"/>
    <w:rsid w:val="00FF1A3C"/>
    <w:rsid w:val="00FF1AD8"/>
    <w:rsid w:val="00FF1B66"/>
    <w:rsid w:val="00FF1C94"/>
    <w:rsid w:val="00FF1F51"/>
    <w:rsid w:val="00FF2177"/>
    <w:rsid w:val="00FF220A"/>
    <w:rsid w:val="00FF224D"/>
    <w:rsid w:val="00FF25F5"/>
    <w:rsid w:val="00FF26D3"/>
    <w:rsid w:val="00FF27B5"/>
    <w:rsid w:val="00FF285A"/>
    <w:rsid w:val="00FF2879"/>
    <w:rsid w:val="00FF2A52"/>
    <w:rsid w:val="00FF2A91"/>
    <w:rsid w:val="00FF2AA2"/>
    <w:rsid w:val="00FF2B6F"/>
    <w:rsid w:val="00FF2C3D"/>
    <w:rsid w:val="00FF2E3C"/>
    <w:rsid w:val="00FF2EF8"/>
    <w:rsid w:val="00FF2F02"/>
    <w:rsid w:val="00FF2F65"/>
    <w:rsid w:val="00FF2F85"/>
    <w:rsid w:val="00FF2FA6"/>
    <w:rsid w:val="00FF31F3"/>
    <w:rsid w:val="00FF32A1"/>
    <w:rsid w:val="00FF33E6"/>
    <w:rsid w:val="00FF33EF"/>
    <w:rsid w:val="00FF36C2"/>
    <w:rsid w:val="00FF3829"/>
    <w:rsid w:val="00FF3924"/>
    <w:rsid w:val="00FF3A0A"/>
    <w:rsid w:val="00FF3F6F"/>
    <w:rsid w:val="00FF3F72"/>
    <w:rsid w:val="00FF4050"/>
    <w:rsid w:val="00FF43C0"/>
    <w:rsid w:val="00FF44AB"/>
    <w:rsid w:val="00FF47BB"/>
    <w:rsid w:val="00FF480E"/>
    <w:rsid w:val="00FF4AF0"/>
    <w:rsid w:val="00FF4F94"/>
    <w:rsid w:val="00FF505C"/>
    <w:rsid w:val="00FF5901"/>
    <w:rsid w:val="00FF5AA5"/>
    <w:rsid w:val="00FF5B6F"/>
    <w:rsid w:val="00FF5EB3"/>
    <w:rsid w:val="00FF5EE5"/>
    <w:rsid w:val="00FF5FF1"/>
    <w:rsid w:val="00FF6099"/>
    <w:rsid w:val="00FF6119"/>
    <w:rsid w:val="00FF65E2"/>
    <w:rsid w:val="00FF66FD"/>
    <w:rsid w:val="00FF67E3"/>
    <w:rsid w:val="00FF69A0"/>
    <w:rsid w:val="00FF69AD"/>
    <w:rsid w:val="00FF6BB0"/>
    <w:rsid w:val="00FF6E0F"/>
    <w:rsid w:val="00FF71EA"/>
    <w:rsid w:val="00FF754D"/>
    <w:rsid w:val="00FF75DA"/>
    <w:rsid w:val="00FF7890"/>
    <w:rsid w:val="00FF78E9"/>
    <w:rsid w:val="00FF7BBB"/>
    <w:rsid w:val="00FF7E8E"/>
    <w:rsid w:val="010ED09C"/>
    <w:rsid w:val="0122EE0F"/>
    <w:rsid w:val="013CE025"/>
    <w:rsid w:val="016540D4"/>
    <w:rsid w:val="01F1428D"/>
    <w:rsid w:val="0236ABF8"/>
    <w:rsid w:val="024CA0CE"/>
    <w:rsid w:val="0259510E"/>
    <w:rsid w:val="02C16D29"/>
    <w:rsid w:val="02F6FBB7"/>
    <w:rsid w:val="030B1FD2"/>
    <w:rsid w:val="0346963D"/>
    <w:rsid w:val="03786E07"/>
    <w:rsid w:val="03CD59B0"/>
    <w:rsid w:val="03D29A2C"/>
    <w:rsid w:val="0410FF4F"/>
    <w:rsid w:val="04161210"/>
    <w:rsid w:val="044CE03A"/>
    <w:rsid w:val="04646F4C"/>
    <w:rsid w:val="0496B883"/>
    <w:rsid w:val="04C3DFF0"/>
    <w:rsid w:val="04CBEFAF"/>
    <w:rsid w:val="04DFBDD9"/>
    <w:rsid w:val="05060D85"/>
    <w:rsid w:val="05850239"/>
    <w:rsid w:val="05F91BA9"/>
    <w:rsid w:val="05F9854B"/>
    <w:rsid w:val="069BDAA1"/>
    <w:rsid w:val="069EB4F8"/>
    <w:rsid w:val="06CD113B"/>
    <w:rsid w:val="06D69C2A"/>
    <w:rsid w:val="070A1D1B"/>
    <w:rsid w:val="07200490"/>
    <w:rsid w:val="078326F4"/>
    <w:rsid w:val="07A757A7"/>
    <w:rsid w:val="07C4CF77"/>
    <w:rsid w:val="07E5D1A3"/>
    <w:rsid w:val="082AC892"/>
    <w:rsid w:val="083008BC"/>
    <w:rsid w:val="084D5B94"/>
    <w:rsid w:val="08650AFE"/>
    <w:rsid w:val="08B04511"/>
    <w:rsid w:val="08E98333"/>
    <w:rsid w:val="093A4E77"/>
    <w:rsid w:val="093CC25B"/>
    <w:rsid w:val="09663EE4"/>
    <w:rsid w:val="096D9A79"/>
    <w:rsid w:val="09AD77BF"/>
    <w:rsid w:val="09C4D155"/>
    <w:rsid w:val="09CA48E6"/>
    <w:rsid w:val="09EA6787"/>
    <w:rsid w:val="0A03ABFC"/>
    <w:rsid w:val="0A855394"/>
    <w:rsid w:val="0AB6F7BA"/>
    <w:rsid w:val="0B011232"/>
    <w:rsid w:val="0B1BC69E"/>
    <w:rsid w:val="0B1DE0AC"/>
    <w:rsid w:val="0B278AC7"/>
    <w:rsid w:val="0B2F3EA4"/>
    <w:rsid w:val="0B328613"/>
    <w:rsid w:val="0BBAA6DA"/>
    <w:rsid w:val="0BFA0539"/>
    <w:rsid w:val="0C0090FE"/>
    <w:rsid w:val="0C0852DC"/>
    <w:rsid w:val="0C1F2C56"/>
    <w:rsid w:val="0C20A684"/>
    <w:rsid w:val="0CAF2D59"/>
    <w:rsid w:val="0CC963AB"/>
    <w:rsid w:val="0DBCBC2A"/>
    <w:rsid w:val="0DE8BBB0"/>
    <w:rsid w:val="0E567458"/>
    <w:rsid w:val="0E6F138E"/>
    <w:rsid w:val="0E7776C2"/>
    <w:rsid w:val="0EF3559F"/>
    <w:rsid w:val="0F4132AB"/>
    <w:rsid w:val="0F45CC6D"/>
    <w:rsid w:val="0F846173"/>
    <w:rsid w:val="0FF00EF5"/>
    <w:rsid w:val="10376E79"/>
    <w:rsid w:val="10454F51"/>
    <w:rsid w:val="1080A407"/>
    <w:rsid w:val="108AEB4D"/>
    <w:rsid w:val="10ACCCE8"/>
    <w:rsid w:val="11043F12"/>
    <w:rsid w:val="115EF60D"/>
    <w:rsid w:val="116834DB"/>
    <w:rsid w:val="11A4C18E"/>
    <w:rsid w:val="11C4192A"/>
    <w:rsid w:val="11C734C5"/>
    <w:rsid w:val="11D21F86"/>
    <w:rsid w:val="11DF3E4F"/>
    <w:rsid w:val="11E65FCD"/>
    <w:rsid w:val="11E727CC"/>
    <w:rsid w:val="1230E606"/>
    <w:rsid w:val="12826F85"/>
    <w:rsid w:val="12BC0235"/>
    <w:rsid w:val="12F3DE04"/>
    <w:rsid w:val="134560BF"/>
    <w:rsid w:val="13FB44DC"/>
    <w:rsid w:val="140B79B2"/>
    <w:rsid w:val="143FC2FD"/>
    <w:rsid w:val="144375D0"/>
    <w:rsid w:val="144F5214"/>
    <w:rsid w:val="145B7C20"/>
    <w:rsid w:val="14BA3B86"/>
    <w:rsid w:val="14F8EE49"/>
    <w:rsid w:val="1534D887"/>
    <w:rsid w:val="1552A2A3"/>
    <w:rsid w:val="15A14D21"/>
    <w:rsid w:val="15F3A2F7"/>
    <w:rsid w:val="1622FDD0"/>
    <w:rsid w:val="16235FE3"/>
    <w:rsid w:val="166A1861"/>
    <w:rsid w:val="17141F96"/>
    <w:rsid w:val="17215B42"/>
    <w:rsid w:val="174C4AFB"/>
    <w:rsid w:val="1783A808"/>
    <w:rsid w:val="183D05D4"/>
    <w:rsid w:val="187C622E"/>
    <w:rsid w:val="1895750E"/>
    <w:rsid w:val="18A235FA"/>
    <w:rsid w:val="18ACBA1A"/>
    <w:rsid w:val="18CCB101"/>
    <w:rsid w:val="18EFBD5C"/>
    <w:rsid w:val="196185E3"/>
    <w:rsid w:val="19715411"/>
    <w:rsid w:val="19C10F99"/>
    <w:rsid w:val="19D3D318"/>
    <w:rsid w:val="19E29271"/>
    <w:rsid w:val="1A171926"/>
    <w:rsid w:val="1AAA06E8"/>
    <w:rsid w:val="1B417772"/>
    <w:rsid w:val="1B704C43"/>
    <w:rsid w:val="1B8040C8"/>
    <w:rsid w:val="1BBCEC95"/>
    <w:rsid w:val="1BE6A5D5"/>
    <w:rsid w:val="1C0E480B"/>
    <w:rsid w:val="1C608496"/>
    <w:rsid w:val="1CA72E6B"/>
    <w:rsid w:val="1CAD400C"/>
    <w:rsid w:val="1CB5C9C0"/>
    <w:rsid w:val="1CCF01E9"/>
    <w:rsid w:val="1CD94CBF"/>
    <w:rsid w:val="1CE871A3"/>
    <w:rsid w:val="1D008A94"/>
    <w:rsid w:val="1D0F9B7F"/>
    <w:rsid w:val="1D807F02"/>
    <w:rsid w:val="1D99484A"/>
    <w:rsid w:val="1DCE2B29"/>
    <w:rsid w:val="1DDB5531"/>
    <w:rsid w:val="1E5456F7"/>
    <w:rsid w:val="1E6C337B"/>
    <w:rsid w:val="1EBB2D43"/>
    <w:rsid w:val="1EED781A"/>
    <w:rsid w:val="1FE75A62"/>
    <w:rsid w:val="1FEDF406"/>
    <w:rsid w:val="20064B09"/>
    <w:rsid w:val="205108F6"/>
    <w:rsid w:val="20D554A7"/>
    <w:rsid w:val="2121A531"/>
    <w:rsid w:val="215E5DAC"/>
    <w:rsid w:val="2182E85B"/>
    <w:rsid w:val="219B2AFE"/>
    <w:rsid w:val="21E570C2"/>
    <w:rsid w:val="21FDE717"/>
    <w:rsid w:val="2202F2E4"/>
    <w:rsid w:val="2221EA7F"/>
    <w:rsid w:val="22335156"/>
    <w:rsid w:val="225BED29"/>
    <w:rsid w:val="22DE9151"/>
    <w:rsid w:val="22FF86D9"/>
    <w:rsid w:val="235314B1"/>
    <w:rsid w:val="23786B00"/>
    <w:rsid w:val="23B26358"/>
    <w:rsid w:val="23D041E7"/>
    <w:rsid w:val="23DEC8F7"/>
    <w:rsid w:val="2445EDE4"/>
    <w:rsid w:val="247B5D0A"/>
    <w:rsid w:val="2496CDCA"/>
    <w:rsid w:val="24A49502"/>
    <w:rsid w:val="24C3FD22"/>
    <w:rsid w:val="24D95E83"/>
    <w:rsid w:val="25A2C317"/>
    <w:rsid w:val="25E2CF55"/>
    <w:rsid w:val="263EC6CD"/>
    <w:rsid w:val="26FA945C"/>
    <w:rsid w:val="270459E0"/>
    <w:rsid w:val="272C0546"/>
    <w:rsid w:val="275C3558"/>
    <w:rsid w:val="27AC878E"/>
    <w:rsid w:val="280FBBC2"/>
    <w:rsid w:val="28639761"/>
    <w:rsid w:val="286865B0"/>
    <w:rsid w:val="286C4432"/>
    <w:rsid w:val="288C5FD5"/>
    <w:rsid w:val="288DE57A"/>
    <w:rsid w:val="28AF44C2"/>
    <w:rsid w:val="294596BB"/>
    <w:rsid w:val="294857EF"/>
    <w:rsid w:val="29B292A6"/>
    <w:rsid w:val="2A1C0219"/>
    <w:rsid w:val="2A89C553"/>
    <w:rsid w:val="2B31C0F7"/>
    <w:rsid w:val="2B5E9361"/>
    <w:rsid w:val="2BAADE61"/>
    <w:rsid w:val="2BDAABC5"/>
    <w:rsid w:val="2C2F5A9F"/>
    <w:rsid w:val="2C3A8794"/>
    <w:rsid w:val="2C469257"/>
    <w:rsid w:val="2C883557"/>
    <w:rsid w:val="2C90224D"/>
    <w:rsid w:val="2CB06DE7"/>
    <w:rsid w:val="2D13F93B"/>
    <w:rsid w:val="2D140A83"/>
    <w:rsid w:val="2D39C44D"/>
    <w:rsid w:val="2D5823BF"/>
    <w:rsid w:val="2DC58AAF"/>
    <w:rsid w:val="2DC8B4DD"/>
    <w:rsid w:val="2DFEEEB1"/>
    <w:rsid w:val="2E5C7685"/>
    <w:rsid w:val="2E6DCAEE"/>
    <w:rsid w:val="2E8040C9"/>
    <w:rsid w:val="2EAEB6D4"/>
    <w:rsid w:val="2EB68139"/>
    <w:rsid w:val="2EC6C6A3"/>
    <w:rsid w:val="2ECD24CC"/>
    <w:rsid w:val="2ED39B75"/>
    <w:rsid w:val="2F179F7A"/>
    <w:rsid w:val="2F265533"/>
    <w:rsid w:val="2F5596C4"/>
    <w:rsid w:val="2F6291FC"/>
    <w:rsid w:val="2F91122F"/>
    <w:rsid w:val="2FBA8BCB"/>
    <w:rsid w:val="2FE4EE39"/>
    <w:rsid w:val="2FEB574A"/>
    <w:rsid w:val="30206CEB"/>
    <w:rsid w:val="3084EC68"/>
    <w:rsid w:val="3088C704"/>
    <w:rsid w:val="30D39A56"/>
    <w:rsid w:val="30DF7C9C"/>
    <w:rsid w:val="30EFBA8E"/>
    <w:rsid w:val="310D380E"/>
    <w:rsid w:val="31928DC8"/>
    <w:rsid w:val="31FD5F9A"/>
    <w:rsid w:val="32039D13"/>
    <w:rsid w:val="320AB03E"/>
    <w:rsid w:val="322AD55E"/>
    <w:rsid w:val="322F6466"/>
    <w:rsid w:val="3247F8CF"/>
    <w:rsid w:val="32C10BBE"/>
    <w:rsid w:val="32E54B63"/>
    <w:rsid w:val="3301568F"/>
    <w:rsid w:val="330669CB"/>
    <w:rsid w:val="3378ADE5"/>
    <w:rsid w:val="338E2890"/>
    <w:rsid w:val="33C02AFD"/>
    <w:rsid w:val="33C2E45F"/>
    <w:rsid w:val="33C3DF2F"/>
    <w:rsid w:val="341FD67A"/>
    <w:rsid w:val="34373561"/>
    <w:rsid w:val="3472DF53"/>
    <w:rsid w:val="34931C8F"/>
    <w:rsid w:val="34D24E66"/>
    <w:rsid w:val="34E59A03"/>
    <w:rsid w:val="3518F1B8"/>
    <w:rsid w:val="3533688A"/>
    <w:rsid w:val="3538741D"/>
    <w:rsid w:val="353B058A"/>
    <w:rsid w:val="35ABB584"/>
    <w:rsid w:val="35D42701"/>
    <w:rsid w:val="3636B3B9"/>
    <w:rsid w:val="3685870A"/>
    <w:rsid w:val="3690CD56"/>
    <w:rsid w:val="36B8823B"/>
    <w:rsid w:val="3706B3A9"/>
    <w:rsid w:val="37A96D1A"/>
    <w:rsid w:val="3810C58F"/>
    <w:rsid w:val="3812D8CD"/>
    <w:rsid w:val="381DA2ED"/>
    <w:rsid w:val="3830A1B5"/>
    <w:rsid w:val="38597DEF"/>
    <w:rsid w:val="38707BCE"/>
    <w:rsid w:val="38B63E0E"/>
    <w:rsid w:val="38BFA77B"/>
    <w:rsid w:val="38EC8A02"/>
    <w:rsid w:val="392E5637"/>
    <w:rsid w:val="398FE9BF"/>
    <w:rsid w:val="399C9F86"/>
    <w:rsid w:val="39A3C2C3"/>
    <w:rsid w:val="39B73BE6"/>
    <w:rsid w:val="39DF7DED"/>
    <w:rsid w:val="3A169DD6"/>
    <w:rsid w:val="3A548809"/>
    <w:rsid w:val="3A5AC569"/>
    <w:rsid w:val="3A6261CD"/>
    <w:rsid w:val="3A6F91B5"/>
    <w:rsid w:val="3A7DFAD7"/>
    <w:rsid w:val="3AC2A145"/>
    <w:rsid w:val="3ADB322A"/>
    <w:rsid w:val="3AE66B94"/>
    <w:rsid w:val="3B2BE4F0"/>
    <w:rsid w:val="3B47C3D4"/>
    <w:rsid w:val="3B66B157"/>
    <w:rsid w:val="3B7F8901"/>
    <w:rsid w:val="3B918153"/>
    <w:rsid w:val="3BAA470E"/>
    <w:rsid w:val="3C1E558F"/>
    <w:rsid w:val="3C1F1549"/>
    <w:rsid w:val="3C395E67"/>
    <w:rsid w:val="3C77D1E7"/>
    <w:rsid w:val="3C830618"/>
    <w:rsid w:val="3C9D713A"/>
    <w:rsid w:val="3D086107"/>
    <w:rsid w:val="3D68760A"/>
    <w:rsid w:val="3DAD8EA4"/>
    <w:rsid w:val="3DBF4C67"/>
    <w:rsid w:val="3DFC2B23"/>
    <w:rsid w:val="3E04C5B5"/>
    <w:rsid w:val="3E21EF4B"/>
    <w:rsid w:val="3E282462"/>
    <w:rsid w:val="3E341826"/>
    <w:rsid w:val="3E9E5219"/>
    <w:rsid w:val="3ED29B9A"/>
    <w:rsid w:val="3F31C6FF"/>
    <w:rsid w:val="3F5EE4A3"/>
    <w:rsid w:val="3F694787"/>
    <w:rsid w:val="3F6B8746"/>
    <w:rsid w:val="3F6D644D"/>
    <w:rsid w:val="3F823A89"/>
    <w:rsid w:val="3FBA62AF"/>
    <w:rsid w:val="3FC81F24"/>
    <w:rsid w:val="3FD37A6A"/>
    <w:rsid w:val="3FE35D55"/>
    <w:rsid w:val="3FFAD809"/>
    <w:rsid w:val="40712A1A"/>
    <w:rsid w:val="40894CA4"/>
    <w:rsid w:val="40C8C0B7"/>
    <w:rsid w:val="40F687F2"/>
    <w:rsid w:val="41135A89"/>
    <w:rsid w:val="4113804B"/>
    <w:rsid w:val="41194B96"/>
    <w:rsid w:val="414125F1"/>
    <w:rsid w:val="415359E5"/>
    <w:rsid w:val="416F718E"/>
    <w:rsid w:val="41A96026"/>
    <w:rsid w:val="41B0F151"/>
    <w:rsid w:val="41C58116"/>
    <w:rsid w:val="41D030ED"/>
    <w:rsid w:val="41E0E2A3"/>
    <w:rsid w:val="4208EFC6"/>
    <w:rsid w:val="427A679D"/>
    <w:rsid w:val="429992F2"/>
    <w:rsid w:val="42C68CDF"/>
    <w:rsid w:val="42FCC475"/>
    <w:rsid w:val="42FD4670"/>
    <w:rsid w:val="437F9D16"/>
    <w:rsid w:val="43FB0B2B"/>
    <w:rsid w:val="4470996C"/>
    <w:rsid w:val="44AA35BA"/>
    <w:rsid w:val="44AFF6CB"/>
    <w:rsid w:val="44B4A420"/>
    <w:rsid w:val="44CA981F"/>
    <w:rsid w:val="44FD214E"/>
    <w:rsid w:val="4509F1CF"/>
    <w:rsid w:val="45112C52"/>
    <w:rsid w:val="4579D0B8"/>
    <w:rsid w:val="45E7FBEB"/>
    <w:rsid w:val="45F798CF"/>
    <w:rsid w:val="46094DE0"/>
    <w:rsid w:val="46264B7E"/>
    <w:rsid w:val="465D21DA"/>
    <w:rsid w:val="4684F2D5"/>
    <w:rsid w:val="468CE1A2"/>
    <w:rsid w:val="46B92201"/>
    <w:rsid w:val="46CC65CC"/>
    <w:rsid w:val="46E52369"/>
    <w:rsid w:val="4709F02F"/>
    <w:rsid w:val="4710F8EB"/>
    <w:rsid w:val="4728282A"/>
    <w:rsid w:val="472C5244"/>
    <w:rsid w:val="4794CE3B"/>
    <w:rsid w:val="47D28D68"/>
    <w:rsid w:val="47E8081E"/>
    <w:rsid w:val="481ECA5C"/>
    <w:rsid w:val="48D682DC"/>
    <w:rsid w:val="49283E65"/>
    <w:rsid w:val="4963ADBC"/>
    <w:rsid w:val="49A2071A"/>
    <w:rsid w:val="49C48264"/>
    <w:rsid w:val="4A4BF140"/>
    <w:rsid w:val="4A896D36"/>
    <w:rsid w:val="4B12FCF1"/>
    <w:rsid w:val="4BCB57F2"/>
    <w:rsid w:val="4BD58C37"/>
    <w:rsid w:val="4BDD9103"/>
    <w:rsid w:val="4C3B49FD"/>
    <w:rsid w:val="4C4A344B"/>
    <w:rsid w:val="4C4AD497"/>
    <w:rsid w:val="4C8439A2"/>
    <w:rsid w:val="4CB3305D"/>
    <w:rsid w:val="4CC8854C"/>
    <w:rsid w:val="4CEE91F7"/>
    <w:rsid w:val="4D72AC46"/>
    <w:rsid w:val="4DEA16C8"/>
    <w:rsid w:val="4E194C68"/>
    <w:rsid w:val="4E1DCABC"/>
    <w:rsid w:val="4E274BD9"/>
    <w:rsid w:val="4E2C210C"/>
    <w:rsid w:val="4E3DF7BD"/>
    <w:rsid w:val="4E6AEC8C"/>
    <w:rsid w:val="4E6F085F"/>
    <w:rsid w:val="4E761B65"/>
    <w:rsid w:val="4EFE1D31"/>
    <w:rsid w:val="4F201C25"/>
    <w:rsid w:val="4F35C383"/>
    <w:rsid w:val="4F4AE61B"/>
    <w:rsid w:val="4F536710"/>
    <w:rsid w:val="4F68D8E8"/>
    <w:rsid w:val="4FBB75BD"/>
    <w:rsid w:val="50BEE20E"/>
    <w:rsid w:val="50F51786"/>
    <w:rsid w:val="515B23C8"/>
    <w:rsid w:val="516A46F5"/>
    <w:rsid w:val="516C80DE"/>
    <w:rsid w:val="517406D6"/>
    <w:rsid w:val="5198C335"/>
    <w:rsid w:val="51FFEB04"/>
    <w:rsid w:val="520DEAE0"/>
    <w:rsid w:val="52C2CE5F"/>
    <w:rsid w:val="5341819E"/>
    <w:rsid w:val="53496749"/>
    <w:rsid w:val="5419F534"/>
    <w:rsid w:val="544BDEF0"/>
    <w:rsid w:val="54875EFC"/>
    <w:rsid w:val="54DCDF02"/>
    <w:rsid w:val="54E97C6A"/>
    <w:rsid w:val="554E277B"/>
    <w:rsid w:val="55AF60B7"/>
    <w:rsid w:val="55E4AFFB"/>
    <w:rsid w:val="55FE51FD"/>
    <w:rsid w:val="569E5DE2"/>
    <w:rsid w:val="56A0113C"/>
    <w:rsid w:val="56D035BF"/>
    <w:rsid w:val="56D1FE6F"/>
    <w:rsid w:val="5702E6D2"/>
    <w:rsid w:val="574D7910"/>
    <w:rsid w:val="57DED924"/>
    <w:rsid w:val="5847F728"/>
    <w:rsid w:val="585BFB9E"/>
    <w:rsid w:val="58A82669"/>
    <w:rsid w:val="58C518AB"/>
    <w:rsid w:val="58F36874"/>
    <w:rsid w:val="5934E1A2"/>
    <w:rsid w:val="5935DE2C"/>
    <w:rsid w:val="5971708F"/>
    <w:rsid w:val="59BC78C9"/>
    <w:rsid w:val="5A283F3D"/>
    <w:rsid w:val="5A56E565"/>
    <w:rsid w:val="5AB89AC3"/>
    <w:rsid w:val="5ACFCD2A"/>
    <w:rsid w:val="5B4A92FF"/>
    <w:rsid w:val="5B70506C"/>
    <w:rsid w:val="5BB3731E"/>
    <w:rsid w:val="5BE2F998"/>
    <w:rsid w:val="5C7E62F0"/>
    <w:rsid w:val="5C8492C8"/>
    <w:rsid w:val="5CB94B4E"/>
    <w:rsid w:val="5D3A4814"/>
    <w:rsid w:val="5D514294"/>
    <w:rsid w:val="5D8ED670"/>
    <w:rsid w:val="5DA2F3ED"/>
    <w:rsid w:val="5DA6642B"/>
    <w:rsid w:val="5DB1CEDF"/>
    <w:rsid w:val="5DF163B6"/>
    <w:rsid w:val="5E4BCD63"/>
    <w:rsid w:val="5E81E352"/>
    <w:rsid w:val="5E9C4D58"/>
    <w:rsid w:val="5EE3FE78"/>
    <w:rsid w:val="5F4E36B8"/>
    <w:rsid w:val="5F58A859"/>
    <w:rsid w:val="5FE4A624"/>
    <w:rsid w:val="5FF7F777"/>
    <w:rsid w:val="60073A10"/>
    <w:rsid w:val="604ED349"/>
    <w:rsid w:val="607767AE"/>
    <w:rsid w:val="60AE3282"/>
    <w:rsid w:val="60EE109C"/>
    <w:rsid w:val="6187CC49"/>
    <w:rsid w:val="61B11DAF"/>
    <w:rsid w:val="61B1D37C"/>
    <w:rsid w:val="625BBC39"/>
    <w:rsid w:val="626162BA"/>
    <w:rsid w:val="626DADB3"/>
    <w:rsid w:val="626FFDBE"/>
    <w:rsid w:val="62711E7A"/>
    <w:rsid w:val="62CA9616"/>
    <w:rsid w:val="62DA02C9"/>
    <w:rsid w:val="62FB8516"/>
    <w:rsid w:val="6310AE60"/>
    <w:rsid w:val="632F00C1"/>
    <w:rsid w:val="63472059"/>
    <w:rsid w:val="63473463"/>
    <w:rsid w:val="63949209"/>
    <w:rsid w:val="63BF79F9"/>
    <w:rsid w:val="63CDD7B9"/>
    <w:rsid w:val="63D5DFCF"/>
    <w:rsid w:val="63EB3840"/>
    <w:rsid w:val="63F2D41A"/>
    <w:rsid w:val="64123730"/>
    <w:rsid w:val="643110EC"/>
    <w:rsid w:val="647FC68C"/>
    <w:rsid w:val="648E5EC6"/>
    <w:rsid w:val="64AB0046"/>
    <w:rsid w:val="64C642B3"/>
    <w:rsid w:val="64CD191A"/>
    <w:rsid w:val="65533FFC"/>
    <w:rsid w:val="65949008"/>
    <w:rsid w:val="65AC3D71"/>
    <w:rsid w:val="65BBD84C"/>
    <w:rsid w:val="65E371D0"/>
    <w:rsid w:val="6649B0E3"/>
    <w:rsid w:val="66AE1B3B"/>
    <w:rsid w:val="66B03F10"/>
    <w:rsid w:val="670838BA"/>
    <w:rsid w:val="6752451A"/>
    <w:rsid w:val="67DA1C7C"/>
    <w:rsid w:val="67E9EC7E"/>
    <w:rsid w:val="67F8BE86"/>
    <w:rsid w:val="67FA4C0D"/>
    <w:rsid w:val="67FBC965"/>
    <w:rsid w:val="67FC4BC1"/>
    <w:rsid w:val="686505B3"/>
    <w:rsid w:val="68C3AEC6"/>
    <w:rsid w:val="68CEDDD6"/>
    <w:rsid w:val="68FEE2E1"/>
    <w:rsid w:val="69164DA0"/>
    <w:rsid w:val="69C615C3"/>
    <w:rsid w:val="69EAB0E3"/>
    <w:rsid w:val="6A548368"/>
    <w:rsid w:val="6A5E73DF"/>
    <w:rsid w:val="6A76930D"/>
    <w:rsid w:val="6A90D5DD"/>
    <w:rsid w:val="6AD00BBB"/>
    <w:rsid w:val="6AEBB270"/>
    <w:rsid w:val="6AF99474"/>
    <w:rsid w:val="6AFAE4EC"/>
    <w:rsid w:val="6B007FF0"/>
    <w:rsid w:val="6B5E3A95"/>
    <w:rsid w:val="6BA9DB9D"/>
    <w:rsid w:val="6BBFE2A1"/>
    <w:rsid w:val="6BF2BDF3"/>
    <w:rsid w:val="6C2D8873"/>
    <w:rsid w:val="6CBF7DC1"/>
    <w:rsid w:val="6CC4F1DC"/>
    <w:rsid w:val="6CC53540"/>
    <w:rsid w:val="6CF39E80"/>
    <w:rsid w:val="6D128859"/>
    <w:rsid w:val="6DB8300C"/>
    <w:rsid w:val="6DB90230"/>
    <w:rsid w:val="6DC732FD"/>
    <w:rsid w:val="6DD46F57"/>
    <w:rsid w:val="6E10FEE6"/>
    <w:rsid w:val="6E2C1699"/>
    <w:rsid w:val="6E99223F"/>
    <w:rsid w:val="6E9EAA6F"/>
    <w:rsid w:val="6ED90FA2"/>
    <w:rsid w:val="6F2E04D2"/>
    <w:rsid w:val="6F2F2A22"/>
    <w:rsid w:val="6F6C01B5"/>
    <w:rsid w:val="6F878DD1"/>
    <w:rsid w:val="6F88A1E6"/>
    <w:rsid w:val="6FA9BDB7"/>
    <w:rsid w:val="6FF37D31"/>
    <w:rsid w:val="701EDEF3"/>
    <w:rsid w:val="70306946"/>
    <w:rsid w:val="7034C8A9"/>
    <w:rsid w:val="7049A5DB"/>
    <w:rsid w:val="70572FCC"/>
    <w:rsid w:val="7097111D"/>
    <w:rsid w:val="70A54AEE"/>
    <w:rsid w:val="70E059EB"/>
    <w:rsid w:val="70E98020"/>
    <w:rsid w:val="7172596C"/>
    <w:rsid w:val="7181E5E3"/>
    <w:rsid w:val="719A4489"/>
    <w:rsid w:val="719E0E0F"/>
    <w:rsid w:val="71C39808"/>
    <w:rsid w:val="720C55BC"/>
    <w:rsid w:val="72862E5D"/>
    <w:rsid w:val="729317D5"/>
    <w:rsid w:val="7297F136"/>
    <w:rsid w:val="72AD040E"/>
    <w:rsid w:val="72AEC9E0"/>
    <w:rsid w:val="72CC1F6B"/>
    <w:rsid w:val="72CE8B10"/>
    <w:rsid w:val="72FDE792"/>
    <w:rsid w:val="731AFAE6"/>
    <w:rsid w:val="731D519D"/>
    <w:rsid w:val="732BCBA4"/>
    <w:rsid w:val="735AFCA7"/>
    <w:rsid w:val="73A1C4AC"/>
    <w:rsid w:val="73F3DAA7"/>
    <w:rsid w:val="7400783C"/>
    <w:rsid w:val="741A1240"/>
    <w:rsid w:val="74AB228D"/>
    <w:rsid w:val="74F643A8"/>
    <w:rsid w:val="74FDAA32"/>
    <w:rsid w:val="750FE52C"/>
    <w:rsid w:val="75DC8661"/>
    <w:rsid w:val="76D7A783"/>
    <w:rsid w:val="773633E9"/>
    <w:rsid w:val="77DAC1FC"/>
    <w:rsid w:val="782A2316"/>
    <w:rsid w:val="78449711"/>
    <w:rsid w:val="78963F5F"/>
    <w:rsid w:val="790176BE"/>
    <w:rsid w:val="7927E810"/>
    <w:rsid w:val="793F2AA9"/>
    <w:rsid w:val="794B3D8E"/>
    <w:rsid w:val="79E8B99F"/>
    <w:rsid w:val="79F2780C"/>
    <w:rsid w:val="7A20405B"/>
    <w:rsid w:val="7A6B01E4"/>
    <w:rsid w:val="7AA93466"/>
    <w:rsid w:val="7AFFF88C"/>
    <w:rsid w:val="7B0A1ABF"/>
    <w:rsid w:val="7B7095A1"/>
    <w:rsid w:val="7BA02CF1"/>
    <w:rsid w:val="7BC72C44"/>
    <w:rsid w:val="7BD6CA4F"/>
    <w:rsid w:val="7BDBAF89"/>
    <w:rsid w:val="7C0C8319"/>
    <w:rsid w:val="7C13E880"/>
    <w:rsid w:val="7C47D7BD"/>
    <w:rsid w:val="7C49D2B5"/>
    <w:rsid w:val="7C71C12E"/>
    <w:rsid w:val="7CB5882B"/>
    <w:rsid w:val="7CDD3C8F"/>
    <w:rsid w:val="7D40E6F6"/>
    <w:rsid w:val="7D6E89B4"/>
    <w:rsid w:val="7E93A312"/>
    <w:rsid w:val="7E94934A"/>
    <w:rsid w:val="7ED60616"/>
    <w:rsid w:val="7F05444A"/>
    <w:rsid w:val="7F22E0E3"/>
    <w:rsid w:val="7F457AC7"/>
    <w:rsid w:val="7F70B7D7"/>
    <w:rsid w:val="7FA1B229"/>
    <w:rsid w:val="7FBBC167"/>
    <w:rsid w:val="7FD9B595"/>
    <w:rsid w:val="7FDDD9A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95A611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13CE"/>
    <w:pPr>
      <w:spacing w:after="160" w:line="259" w:lineRule="auto"/>
    </w:pPr>
    <w:rPr>
      <w:rFonts w:eastAsiaTheme="minorEastAsia"/>
    </w:rPr>
  </w:style>
  <w:style w:type="paragraph" w:styleId="Heading1">
    <w:name w:val="heading 1"/>
    <w:basedOn w:val="Normal"/>
    <w:next w:val="Normal"/>
    <w:link w:val="Heading1Char"/>
    <w:uiPriority w:val="9"/>
    <w:qFormat/>
    <w:rsid w:val="003F1FF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1404A2"/>
    <w:pPr>
      <w:keepNext/>
      <w:keepLines/>
      <w:numPr>
        <w:ilvl w:val="1"/>
        <w:numId w:val="1"/>
      </w:numPr>
      <w:spacing w:before="40" w:after="0" w:line="240" w:lineRule="auto"/>
      <w:outlineLvl w:val="1"/>
    </w:pPr>
    <w:rPr>
      <w:rFonts w:asciiTheme="majorHAnsi" w:eastAsia="Times New Roman" w:hAnsiTheme="majorHAnsi" w:cstheme="majorBidi"/>
      <w:color w:val="365F91" w:themeColor="accent1" w:themeShade="BF"/>
      <w:sz w:val="32"/>
      <w:szCs w:val="32"/>
      <w:lang w:eastAsia="en-IE"/>
    </w:rPr>
  </w:style>
  <w:style w:type="paragraph" w:styleId="Heading3">
    <w:name w:val="heading 3"/>
    <w:basedOn w:val="Normal"/>
    <w:next w:val="Normal"/>
    <w:link w:val="Heading3Char"/>
    <w:uiPriority w:val="9"/>
    <w:unhideWhenUsed/>
    <w:qFormat/>
    <w:rsid w:val="0053389F"/>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Heading4">
    <w:name w:val="heading 4"/>
    <w:basedOn w:val="Normal"/>
    <w:next w:val="Normal"/>
    <w:link w:val="Heading4Char"/>
    <w:uiPriority w:val="9"/>
    <w:unhideWhenUsed/>
    <w:qFormat/>
    <w:rsid w:val="0053389F"/>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Heading5">
    <w:name w:val="heading 5"/>
    <w:basedOn w:val="Normal"/>
    <w:next w:val="Normal"/>
    <w:link w:val="Heading5Char"/>
    <w:uiPriority w:val="9"/>
    <w:unhideWhenUsed/>
    <w:qFormat/>
    <w:rsid w:val="00851392"/>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404A2"/>
    <w:rPr>
      <w:rFonts w:asciiTheme="majorHAnsi" w:eastAsia="Times New Roman" w:hAnsiTheme="majorHAnsi" w:cstheme="majorBidi"/>
      <w:color w:val="365F91" w:themeColor="accent1" w:themeShade="BF"/>
      <w:sz w:val="32"/>
      <w:szCs w:val="32"/>
      <w:lang w:val="fr-FR" w:eastAsia="en-IE"/>
    </w:rPr>
  </w:style>
  <w:style w:type="character" w:customStyle="1" w:styleId="Heading3Char">
    <w:name w:val="Heading 3 Char"/>
    <w:basedOn w:val="DefaultParagraphFont"/>
    <w:link w:val="Heading3"/>
    <w:uiPriority w:val="9"/>
    <w:rsid w:val="0053389F"/>
    <w:rPr>
      <w:rFonts w:asciiTheme="majorHAnsi" w:eastAsiaTheme="majorEastAsia" w:hAnsiTheme="majorHAnsi" w:cstheme="majorBidi"/>
      <w:color w:val="365F91" w:themeColor="accent1" w:themeShade="BF"/>
      <w:sz w:val="28"/>
      <w:szCs w:val="28"/>
    </w:rPr>
  </w:style>
  <w:style w:type="character" w:customStyle="1" w:styleId="Heading4Char">
    <w:name w:val="Heading 4 Char"/>
    <w:basedOn w:val="DefaultParagraphFont"/>
    <w:link w:val="Heading4"/>
    <w:uiPriority w:val="9"/>
    <w:rsid w:val="0053389F"/>
    <w:rPr>
      <w:rFonts w:asciiTheme="majorHAnsi" w:eastAsiaTheme="majorEastAsia" w:hAnsiTheme="majorHAnsi" w:cstheme="majorBidi"/>
      <w:color w:val="365F91" w:themeColor="accent1" w:themeShade="BF"/>
      <w:sz w:val="24"/>
      <w:szCs w:val="24"/>
    </w:rPr>
  </w:style>
  <w:style w:type="paragraph" w:styleId="ListParagraph">
    <w:name w:val="List Paragraph"/>
    <w:aliases w:val="Numbered Para 1,Dot pt,No Spacing1,List Paragraph Char Char Char,Indicator Text,Bullet 1,List Paragraph1,Bullet Points,MAIN CONTENT,List Paragraph12,F5 List Paragraph,Heading 2_sj,1st level - Bullet List Paragraph,Lettre d'introduction,L"/>
    <w:basedOn w:val="Normal"/>
    <w:link w:val="ListParagraphChar"/>
    <w:uiPriority w:val="34"/>
    <w:qFormat/>
    <w:rsid w:val="0053389F"/>
    <w:pPr>
      <w:ind w:left="720"/>
      <w:contextualSpacing/>
    </w:pPr>
  </w:style>
  <w:style w:type="character" w:customStyle="1" w:styleId="ListParagraphChar">
    <w:name w:val="List Paragraph Char"/>
    <w:aliases w:val="Numbered Para 1 Char,Dot pt Char,No Spacing1 Char,List Paragraph Char Char Char Char,Indicator Text Char,Bullet 1 Char,List Paragraph1 Char,Bullet Points Char,MAIN CONTENT Char,List Paragraph12 Char,F5 List Paragraph Char,L Char"/>
    <w:link w:val="ListParagraph"/>
    <w:uiPriority w:val="34"/>
    <w:qFormat/>
    <w:rsid w:val="0053389F"/>
    <w:rPr>
      <w:rFonts w:eastAsiaTheme="minorEastAsia"/>
    </w:rPr>
  </w:style>
  <w:style w:type="paragraph" w:styleId="FootnoteText">
    <w:name w:val="footnote text"/>
    <w:basedOn w:val="Normal"/>
    <w:link w:val="FootnoteTextChar"/>
    <w:uiPriority w:val="99"/>
    <w:unhideWhenUsed/>
    <w:rsid w:val="003F1FF2"/>
    <w:pPr>
      <w:spacing w:after="0" w:line="240" w:lineRule="auto"/>
      <w:jc w:val="both"/>
    </w:pPr>
    <w:rPr>
      <w:rFonts w:ascii="Times New Roman" w:eastAsiaTheme="minorHAnsi" w:hAnsi="Times New Roman"/>
      <w:sz w:val="20"/>
      <w:szCs w:val="20"/>
    </w:rPr>
  </w:style>
  <w:style w:type="character" w:customStyle="1" w:styleId="FootnoteTextChar">
    <w:name w:val="Footnote Text Char"/>
    <w:basedOn w:val="DefaultParagraphFont"/>
    <w:link w:val="FootnoteText"/>
    <w:uiPriority w:val="99"/>
    <w:rsid w:val="003F1FF2"/>
    <w:rPr>
      <w:rFonts w:ascii="Times New Roman" w:hAnsi="Times New Roman"/>
      <w:sz w:val="20"/>
      <w:szCs w:val="20"/>
    </w:rPr>
  </w:style>
  <w:style w:type="character" w:styleId="FootnoteReference">
    <w:name w:val="footnote reference"/>
    <w:aliases w:val="Footnote symbol,IT Fußnotenzeichen,Footnote symboFußnotenzeichen,Footnote sign,-E Fußnotenzeichen,ESPON Footnote No,Footnote call,Footnote Reference Superscript,Footnote reference number,Times 10 Point,Exposant 3 Point,Ref,SUPERS,numb"/>
    <w:basedOn w:val="DefaultParagraphFont"/>
    <w:uiPriority w:val="99"/>
    <w:unhideWhenUsed/>
    <w:qFormat/>
    <w:rsid w:val="003F1FF2"/>
    <w:rPr>
      <w:vertAlign w:val="superscript"/>
    </w:rPr>
  </w:style>
  <w:style w:type="paragraph" w:styleId="Title">
    <w:name w:val="Title"/>
    <w:basedOn w:val="Normal"/>
    <w:next w:val="Normal"/>
    <w:link w:val="TitleChar"/>
    <w:uiPriority w:val="10"/>
    <w:qFormat/>
    <w:rsid w:val="003F1FF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1FF2"/>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3F1FF2"/>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5362B5"/>
    <w:pPr>
      <w:outlineLvl w:val="9"/>
    </w:pPr>
  </w:style>
  <w:style w:type="paragraph" w:styleId="TOC1">
    <w:name w:val="toc 1"/>
    <w:basedOn w:val="Normal"/>
    <w:next w:val="Normal"/>
    <w:autoRedefine/>
    <w:uiPriority w:val="39"/>
    <w:unhideWhenUsed/>
    <w:rsid w:val="0021675B"/>
    <w:pPr>
      <w:tabs>
        <w:tab w:val="left" w:pos="440"/>
        <w:tab w:val="right" w:leader="dot" w:pos="9062"/>
      </w:tabs>
      <w:spacing w:after="100"/>
    </w:pPr>
    <w:rPr>
      <w:rFonts w:ascii="Times New Roman" w:hAnsi="Times New Roman" w:cs="Times New Roman"/>
      <w:noProof/>
      <w:color w:val="000000" w:themeColor="text1"/>
      <w:lang w:eastAsia="en-IE"/>
    </w:rPr>
  </w:style>
  <w:style w:type="paragraph" w:styleId="TOC2">
    <w:name w:val="toc 2"/>
    <w:basedOn w:val="Normal"/>
    <w:next w:val="Normal"/>
    <w:autoRedefine/>
    <w:uiPriority w:val="39"/>
    <w:unhideWhenUsed/>
    <w:rsid w:val="003F09F0"/>
    <w:pPr>
      <w:tabs>
        <w:tab w:val="left" w:pos="880"/>
        <w:tab w:val="right" w:leader="dot" w:pos="9062"/>
      </w:tabs>
      <w:spacing w:after="100"/>
      <w:ind w:left="220"/>
    </w:pPr>
  </w:style>
  <w:style w:type="character" w:styleId="Hyperlink">
    <w:name w:val="Hyperlink"/>
    <w:basedOn w:val="DefaultParagraphFont"/>
    <w:uiPriority w:val="99"/>
    <w:unhideWhenUsed/>
    <w:rsid w:val="005362B5"/>
    <w:rPr>
      <w:color w:val="0000FF" w:themeColor="hyperlink"/>
      <w:u w:val="single"/>
    </w:rPr>
  </w:style>
  <w:style w:type="character" w:styleId="CommentReference">
    <w:name w:val="annotation reference"/>
    <w:basedOn w:val="DefaultParagraphFont"/>
    <w:uiPriority w:val="99"/>
    <w:semiHidden/>
    <w:unhideWhenUsed/>
    <w:rsid w:val="00777014"/>
    <w:rPr>
      <w:sz w:val="16"/>
      <w:szCs w:val="16"/>
    </w:rPr>
  </w:style>
  <w:style w:type="paragraph" w:styleId="CommentText">
    <w:name w:val="annotation text"/>
    <w:basedOn w:val="Normal"/>
    <w:link w:val="CommentTextChar"/>
    <w:uiPriority w:val="99"/>
    <w:unhideWhenUsed/>
    <w:rsid w:val="00777014"/>
    <w:pPr>
      <w:spacing w:line="240" w:lineRule="auto"/>
    </w:pPr>
    <w:rPr>
      <w:sz w:val="20"/>
      <w:szCs w:val="20"/>
    </w:rPr>
  </w:style>
  <w:style w:type="character" w:customStyle="1" w:styleId="CommentTextChar">
    <w:name w:val="Comment Text Char"/>
    <w:basedOn w:val="DefaultParagraphFont"/>
    <w:link w:val="CommentText"/>
    <w:uiPriority w:val="99"/>
    <w:rsid w:val="00777014"/>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777014"/>
    <w:rPr>
      <w:b/>
      <w:bCs/>
    </w:rPr>
  </w:style>
  <w:style w:type="character" w:customStyle="1" w:styleId="CommentSubjectChar">
    <w:name w:val="Comment Subject Char"/>
    <w:basedOn w:val="CommentTextChar"/>
    <w:link w:val="CommentSubject"/>
    <w:uiPriority w:val="99"/>
    <w:semiHidden/>
    <w:rsid w:val="00777014"/>
    <w:rPr>
      <w:rFonts w:eastAsiaTheme="minorEastAsia"/>
      <w:b/>
      <w:bCs/>
      <w:sz w:val="20"/>
      <w:szCs w:val="20"/>
    </w:rPr>
  </w:style>
  <w:style w:type="paragraph" w:styleId="TOC3">
    <w:name w:val="toc 3"/>
    <w:basedOn w:val="Normal"/>
    <w:next w:val="Normal"/>
    <w:autoRedefine/>
    <w:uiPriority w:val="39"/>
    <w:unhideWhenUsed/>
    <w:rsid w:val="00DD16DA"/>
    <w:pPr>
      <w:tabs>
        <w:tab w:val="left" w:pos="1100"/>
        <w:tab w:val="right" w:leader="dot" w:pos="9062"/>
      </w:tabs>
      <w:spacing w:after="100"/>
      <w:ind w:left="440"/>
    </w:pPr>
  </w:style>
  <w:style w:type="paragraph" w:styleId="Revision">
    <w:name w:val="Revision"/>
    <w:hidden/>
    <w:uiPriority w:val="99"/>
    <w:semiHidden/>
    <w:rsid w:val="000C5FF3"/>
    <w:pPr>
      <w:spacing w:after="0" w:line="240" w:lineRule="auto"/>
    </w:pPr>
    <w:rPr>
      <w:rFonts w:eastAsiaTheme="minorEastAsia"/>
    </w:rPr>
  </w:style>
  <w:style w:type="paragraph" w:styleId="Header">
    <w:name w:val="header"/>
    <w:basedOn w:val="Normal"/>
    <w:link w:val="HeaderChar"/>
    <w:uiPriority w:val="99"/>
    <w:unhideWhenUsed/>
    <w:rsid w:val="009044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4480"/>
    <w:rPr>
      <w:rFonts w:eastAsiaTheme="minorEastAsia"/>
    </w:rPr>
  </w:style>
  <w:style w:type="paragraph" w:styleId="Footer">
    <w:name w:val="footer"/>
    <w:basedOn w:val="Normal"/>
    <w:link w:val="FooterChar"/>
    <w:uiPriority w:val="99"/>
    <w:unhideWhenUsed/>
    <w:rsid w:val="009044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4480"/>
    <w:rPr>
      <w:rFonts w:eastAsiaTheme="minorEastAsia"/>
    </w:rPr>
  </w:style>
  <w:style w:type="character" w:customStyle="1" w:styleId="UnresolvedMention1">
    <w:name w:val="Unresolved Mention1"/>
    <w:basedOn w:val="DefaultParagraphFont"/>
    <w:uiPriority w:val="99"/>
    <w:semiHidden/>
    <w:unhideWhenUsed/>
    <w:rsid w:val="00CA28FC"/>
    <w:rPr>
      <w:color w:val="605E5C"/>
      <w:shd w:val="clear" w:color="auto" w:fill="E1DFDD"/>
    </w:rPr>
  </w:style>
  <w:style w:type="paragraph" w:styleId="EndnoteText">
    <w:name w:val="endnote text"/>
    <w:basedOn w:val="Normal"/>
    <w:link w:val="EndnoteTextChar"/>
    <w:uiPriority w:val="99"/>
    <w:semiHidden/>
    <w:unhideWhenUsed/>
    <w:rsid w:val="00A5167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5167A"/>
    <w:rPr>
      <w:rFonts w:eastAsiaTheme="minorEastAsia"/>
      <w:sz w:val="20"/>
      <w:szCs w:val="20"/>
    </w:rPr>
  </w:style>
  <w:style w:type="character" w:styleId="EndnoteReference">
    <w:name w:val="endnote reference"/>
    <w:basedOn w:val="DefaultParagraphFont"/>
    <w:uiPriority w:val="99"/>
    <w:semiHidden/>
    <w:unhideWhenUsed/>
    <w:rsid w:val="00A5167A"/>
    <w:rPr>
      <w:vertAlign w:val="superscript"/>
    </w:rPr>
  </w:style>
  <w:style w:type="character" w:styleId="FollowedHyperlink">
    <w:name w:val="FollowedHyperlink"/>
    <w:basedOn w:val="DefaultParagraphFont"/>
    <w:uiPriority w:val="99"/>
    <w:semiHidden/>
    <w:unhideWhenUsed/>
    <w:rsid w:val="00224B7D"/>
    <w:rPr>
      <w:color w:val="800080" w:themeColor="followedHyperlink"/>
      <w:u w:val="single"/>
    </w:rPr>
  </w:style>
  <w:style w:type="character" w:customStyle="1" w:styleId="Mention1">
    <w:name w:val="Mention1"/>
    <w:basedOn w:val="DefaultParagraphFont"/>
    <w:uiPriority w:val="99"/>
    <w:unhideWhenUsed/>
    <w:rsid w:val="006D799A"/>
    <w:rPr>
      <w:color w:val="2B579A"/>
      <w:shd w:val="clear" w:color="auto" w:fill="E1DFDD"/>
    </w:rPr>
  </w:style>
  <w:style w:type="paragraph" w:customStyle="1" w:styleId="Text1">
    <w:name w:val="Text 1"/>
    <w:basedOn w:val="Normal"/>
    <w:uiPriority w:val="1"/>
    <w:qFormat/>
    <w:rsid w:val="003F1797"/>
    <w:pPr>
      <w:spacing w:after="240" w:line="240" w:lineRule="auto"/>
      <w:ind w:left="482"/>
      <w:jc w:val="both"/>
    </w:pPr>
    <w:rPr>
      <w:rFonts w:ascii="Times New Roman" w:eastAsia="Times New Roman" w:hAnsi="Times New Roman" w:cs="Times New Roman"/>
      <w:sz w:val="24"/>
      <w:szCs w:val="20"/>
      <w:lang w:eastAsia="en-GB"/>
    </w:rPr>
  </w:style>
  <w:style w:type="character" w:customStyle="1" w:styleId="ui-provider">
    <w:name w:val="ui-provider"/>
    <w:basedOn w:val="DefaultParagraphFont"/>
    <w:rsid w:val="00507EFC"/>
  </w:style>
  <w:style w:type="character" w:customStyle="1" w:styleId="normaltextrun">
    <w:name w:val="normaltextrun"/>
    <w:basedOn w:val="DefaultParagraphFont"/>
    <w:rsid w:val="00B61F8F"/>
  </w:style>
  <w:style w:type="character" w:customStyle="1" w:styleId="eop">
    <w:name w:val="eop"/>
    <w:basedOn w:val="DefaultParagraphFont"/>
    <w:rsid w:val="00B61F8F"/>
  </w:style>
  <w:style w:type="character" w:customStyle="1" w:styleId="superscript">
    <w:name w:val="superscript"/>
    <w:basedOn w:val="DefaultParagraphFont"/>
    <w:rsid w:val="00865498"/>
  </w:style>
  <w:style w:type="character" w:customStyle="1" w:styleId="Marker">
    <w:name w:val="Marker"/>
    <w:basedOn w:val="DefaultParagraphFont"/>
    <w:rsid w:val="00915255"/>
    <w:rPr>
      <w:color w:val="0000FF"/>
      <w:shd w:val="clear" w:color="auto" w:fill="auto"/>
    </w:rPr>
  </w:style>
  <w:style w:type="paragraph" w:customStyle="1" w:styleId="Pagedecouverture">
    <w:name w:val="Page de couverture"/>
    <w:basedOn w:val="Normal"/>
    <w:next w:val="Normal"/>
    <w:link w:val="PagedecouvertureChar"/>
    <w:rsid w:val="00915255"/>
    <w:pPr>
      <w:spacing w:after="0" w:line="240" w:lineRule="auto"/>
      <w:jc w:val="both"/>
    </w:pPr>
    <w:rPr>
      <w:rFonts w:ascii="Times New Roman" w:eastAsiaTheme="minorHAnsi" w:hAnsi="Times New Roman" w:cs="Times New Roman"/>
      <w:sz w:val="24"/>
    </w:rPr>
  </w:style>
  <w:style w:type="paragraph" w:customStyle="1" w:styleId="Typedudocument">
    <w:name w:val="Type du document"/>
    <w:basedOn w:val="Normal"/>
    <w:next w:val="Normal"/>
    <w:rsid w:val="00915255"/>
    <w:pPr>
      <w:spacing w:before="360" w:after="0" w:line="240" w:lineRule="auto"/>
      <w:jc w:val="center"/>
    </w:pPr>
    <w:rPr>
      <w:rFonts w:ascii="Times New Roman" w:eastAsiaTheme="minorHAnsi" w:hAnsi="Times New Roman" w:cs="Times New Roman"/>
      <w:b/>
      <w:sz w:val="24"/>
    </w:rPr>
  </w:style>
  <w:style w:type="paragraph" w:customStyle="1" w:styleId="Titreobjet">
    <w:name w:val="Titre objet"/>
    <w:basedOn w:val="Normal"/>
    <w:next w:val="Normal"/>
    <w:rsid w:val="00915255"/>
    <w:pPr>
      <w:spacing w:before="360" w:after="360" w:line="240" w:lineRule="auto"/>
      <w:jc w:val="center"/>
    </w:pPr>
    <w:rPr>
      <w:rFonts w:ascii="Times New Roman" w:eastAsiaTheme="minorHAnsi" w:hAnsi="Times New Roman" w:cs="Times New Roman"/>
      <w:b/>
      <w:sz w:val="24"/>
    </w:rPr>
  </w:style>
  <w:style w:type="paragraph" w:customStyle="1" w:styleId="FooterCoverPage">
    <w:name w:val="Footer Cover Page"/>
    <w:basedOn w:val="Normal"/>
    <w:link w:val="FooterCoverPageChar"/>
    <w:rsid w:val="00915255"/>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915255"/>
    <w:rPr>
      <w:rFonts w:ascii="Times New Roman" w:hAnsi="Times New Roman" w:cs="Times New Roman"/>
      <w:sz w:val="24"/>
    </w:rPr>
  </w:style>
  <w:style w:type="character" w:customStyle="1" w:styleId="FooterCoverPageChar">
    <w:name w:val="Footer Cover Page Char"/>
    <w:basedOn w:val="PagedecouvertureChar"/>
    <w:link w:val="FooterCoverPage"/>
    <w:rsid w:val="00915255"/>
    <w:rPr>
      <w:rFonts w:ascii="Times New Roman" w:eastAsiaTheme="minorEastAsia" w:hAnsi="Times New Roman" w:cs="Times New Roman"/>
      <w:sz w:val="24"/>
    </w:rPr>
  </w:style>
  <w:style w:type="paragraph" w:customStyle="1" w:styleId="FooterSensitivity">
    <w:name w:val="Footer Sensitivity"/>
    <w:basedOn w:val="Normal"/>
    <w:link w:val="FooterSensitivityChar"/>
    <w:rsid w:val="00915255"/>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915255"/>
    <w:rPr>
      <w:rFonts w:ascii="Times New Roman" w:eastAsiaTheme="minorEastAsia" w:hAnsi="Times New Roman" w:cs="Times New Roman"/>
      <w:b/>
      <w:sz w:val="32"/>
    </w:rPr>
  </w:style>
  <w:style w:type="paragraph" w:customStyle="1" w:styleId="HeaderCoverPage">
    <w:name w:val="Header Cover Page"/>
    <w:basedOn w:val="Normal"/>
    <w:link w:val="HeaderCoverPageChar"/>
    <w:rsid w:val="00915255"/>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915255"/>
    <w:rPr>
      <w:rFonts w:ascii="Times New Roman" w:eastAsiaTheme="minorEastAsia" w:hAnsi="Times New Roman" w:cs="Times New Roman"/>
      <w:sz w:val="24"/>
    </w:rPr>
  </w:style>
  <w:style w:type="paragraph" w:customStyle="1" w:styleId="HeaderSensitivity">
    <w:name w:val="Header Sensitivity"/>
    <w:basedOn w:val="Normal"/>
    <w:link w:val="HeaderSensitivityChar"/>
    <w:rsid w:val="00915255"/>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915255"/>
    <w:rPr>
      <w:rFonts w:ascii="Times New Roman" w:eastAsiaTheme="minorEastAsia" w:hAnsi="Times New Roman" w:cs="Times New Roman"/>
      <w:b/>
      <w:sz w:val="32"/>
    </w:rPr>
  </w:style>
  <w:style w:type="paragraph" w:customStyle="1" w:styleId="HeaderSensitivityRight">
    <w:name w:val="Header Sensitivity Right"/>
    <w:basedOn w:val="Normal"/>
    <w:link w:val="HeaderSensitivityRightChar"/>
    <w:rsid w:val="00915255"/>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915255"/>
    <w:rPr>
      <w:rFonts w:ascii="Times New Roman" w:eastAsiaTheme="minorEastAsia" w:hAnsi="Times New Roman" w:cs="Times New Roman"/>
      <w:sz w:val="28"/>
    </w:rPr>
  </w:style>
  <w:style w:type="character" w:customStyle="1" w:styleId="Heading5Char">
    <w:name w:val="Heading 5 Char"/>
    <w:basedOn w:val="DefaultParagraphFont"/>
    <w:link w:val="Heading5"/>
    <w:uiPriority w:val="9"/>
    <w:rsid w:val="00851392"/>
    <w:rPr>
      <w:rFonts w:asciiTheme="majorHAnsi" w:eastAsiaTheme="majorEastAsia" w:hAnsiTheme="majorHAnsi" w:cstheme="majorBidi"/>
      <w:color w:val="365F91" w:themeColor="accent1" w:themeShade="BF"/>
    </w:rPr>
  </w:style>
  <w:style w:type="character" w:customStyle="1" w:styleId="cf01">
    <w:name w:val="cf01"/>
    <w:basedOn w:val="DefaultParagraphFont"/>
    <w:rsid w:val="00F00729"/>
    <w:rPr>
      <w:rFonts w:ascii="Segoe UI" w:hAnsi="Segoe UI" w:cs="Segoe UI" w:hint="default"/>
      <w:sz w:val="18"/>
      <w:szCs w:val="18"/>
    </w:rPr>
  </w:style>
  <w:style w:type="paragraph" w:styleId="BalloonText">
    <w:name w:val="Balloon Text"/>
    <w:basedOn w:val="Normal"/>
    <w:link w:val="BalloonTextChar"/>
    <w:uiPriority w:val="99"/>
    <w:semiHidden/>
    <w:unhideWhenUsed/>
    <w:rsid w:val="00EF52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256"/>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9720405">
      <w:bodyDiv w:val="1"/>
      <w:marLeft w:val="0"/>
      <w:marRight w:val="0"/>
      <w:marTop w:val="0"/>
      <w:marBottom w:val="0"/>
      <w:divBdr>
        <w:top w:val="none" w:sz="0" w:space="0" w:color="auto"/>
        <w:left w:val="none" w:sz="0" w:space="0" w:color="auto"/>
        <w:bottom w:val="none" w:sz="0" w:space="0" w:color="auto"/>
        <w:right w:val="none" w:sz="0" w:space="0" w:color="auto"/>
      </w:divBdr>
    </w:div>
    <w:div w:id="358900420">
      <w:bodyDiv w:val="1"/>
      <w:marLeft w:val="0"/>
      <w:marRight w:val="0"/>
      <w:marTop w:val="0"/>
      <w:marBottom w:val="0"/>
      <w:divBdr>
        <w:top w:val="none" w:sz="0" w:space="0" w:color="auto"/>
        <w:left w:val="none" w:sz="0" w:space="0" w:color="auto"/>
        <w:bottom w:val="none" w:sz="0" w:space="0" w:color="auto"/>
        <w:right w:val="none" w:sz="0" w:space="0" w:color="auto"/>
      </w:divBdr>
    </w:div>
    <w:div w:id="365065273">
      <w:bodyDiv w:val="1"/>
      <w:marLeft w:val="0"/>
      <w:marRight w:val="0"/>
      <w:marTop w:val="0"/>
      <w:marBottom w:val="0"/>
      <w:divBdr>
        <w:top w:val="none" w:sz="0" w:space="0" w:color="auto"/>
        <w:left w:val="none" w:sz="0" w:space="0" w:color="auto"/>
        <w:bottom w:val="none" w:sz="0" w:space="0" w:color="auto"/>
        <w:right w:val="none" w:sz="0" w:space="0" w:color="auto"/>
      </w:divBdr>
    </w:div>
    <w:div w:id="383876553">
      <w:bodyDiv w:val="1"/>
      <w:marLeft w:val="0"/>
      <w:marRight w:val="0"/>
      <w:marTop w:val="0"/>
      <w:marBottom w:val="0"/>
      <w:divBdr>
        <w:top w:val="none" w:sz="0" w:space="0" w:color="auto"/>
        <w:left w:val="none" w:sz="0" w:space="0" w:color="auto"/>
        <w:bottom w:val="none" w:sz="0" w:space="0" w:color="auto"/>
        <w:right w:val="none" w:sz="0" w:space="0" w:color="auto"/>
      </w:divBdr>
    </w:div>
    <w:div w:id="422262284">
      <w:bodyDiv w:val="1"/>
      <w:marLeft w:val="0"/>
      <w:marRight w:val="0"/>
      <w:marTop w:val="0"/>
      <w:marBottom w:val="0"/>
      <w:divBdr>
        <w:top w:val="none" w:sz="0" w:space="0" w:color="auto"/>
        <w:left w:val="none" w:sz="0" w:space="0" w:color="auto"/>
        <w:bottom w:val="none" w:sz="0" w:space="0" w:color="auto"/>
        <w:right w:val="none" w:sz="0" w:space="0" w:color="auto"/>
      </w:divBdr>
    </w:div>
    <w:div w:id="529953912">
      <w:bodyDiv w:val="1"/>
      <w:marLeft w:val="0"/>
      <w:marRight w:val="0"/>
      <w:marTop w:val="0"/>
      <w:marBottom w:val="0"/>
      <w:divBdr>
        <w:top w:val="none" w:sz="0" w:space="0" w:color="auto"/>
        <w:left w:val="none" w:sz="0" w:space="0" w:color="auto"/>
        <w:bottom w:val="none" w:sz="0" w:space="0" w:color="auto"/>
        <w:right w:val="none" w:sz="0" w:space="0" w:color="auto"/>
      </w:divBdr>
    </w:div>
    <w:div w:id="544682505">
      <w:bodyDiv w:val="1"/>
      <w:marLeft w:val="0"/>
      <w:marRight w:val="0"/>
      <w:marTop w:val="0"/>
      <w:marBottom w:val="0"/>
      <w:divBdr>
        <w:top w:val="none" w:sz="0" w:space="0" w:color="auto"/>
        <w:left w:val="none" w:sz="0" w:space="0" w:color="auto"/>
        <w:bottom w:val="none" w:sz="0" w:space="0" w:color="auto"/>
        <w:right w:val="none" w:sz="0" w:space="0" w:color="auto"/>
      </w:divBdr>
    </w:div>
    <w:div w:id="591474248">
      <w:bodyDiv w:val="1"/>
      <w:marLeft w:val="0"/>
      <w:marRight w:val="0"/>
      <w:marTop w:val="0"/>
      <w:marBottom w:val="0"/>
      <w:divBdr>
        <w:top w:val="none" w:sz="0" w:space="0" w:color="auto"/>
        <w:left w:val="none" w:sz="0" w:space="0" w:color="auto"/>
        <w:bottom w:val="none" w:sz="0" w:space="0" w:color="auto"/>
        <w:right w:val="none" w:sz="0" w:space="0" w:color="auto"/>
      </w:divBdr>
    </w:div>
    <w:div w:id="632366832">
      <w:bodyDiv w:val="1"/>
      <w:marLeft w:val="0"/>
      <w:marRight w:val="0"/>
      <w:marTop w:val="0"/>
      <w:marBottom w:val="0"/>
      <w:divBdr>
        <w:top w:val="none" w:sz="0" w:space="0" w:color="auto"/>
        <w:left w:val="none" w:sz="0" w:space="0" w:color="auto"/>
        <w:bottom w:val="none" w:sz="0" w:space="0" w:color="auto"/>
        <w:right w:val="none" w:sz="0" w:space="0" w:color="auto"/>
      </w:divBdr>
    </w:div>
    <w:div w:id="647174555">
      <w:bodyDiv w:val="1"/>
      <w:marLeft w:val="0"/>
      <w:marRight w:val="0"/>
      <w:marTop w:val="0"/>
      <w:marBottom w:val="0"/>
      <w:divBdr>
        <w:top w:val="none" w:sz="0" w:space="0" w:color="auto"/>
        <w:left w:val="none" w:sz="0" w:space="0" w:color="auto"/>
        <w:bottom w:val="none" w:sz="0" w:space="0" w:color="auto"/>
        <w:right w:val="none" w:sz="0" w:space="0" w:color="auto"/>
      </w:divBdr>
    </w:div>
    <w:div w:id="744031736">
      <w:bodyDiv w:val="1"/>
      <w:marLeft w:val="0"/>
      <w:marRight w:val="0"/>
      <w:marTop w:val="0"/>
      <w:marBottom w:val="0"/>
      <w:divBdr>
        <w:top w:val="none" w:sz="0" w:space="0" w:color="auto"/>
        <w:left w:val="none" w:sz="0" w:space="0" w:color="auto"/>
        <w:bottom w:val="none" w:sz="0" w:space="0" w:color="auto"/>
        <w:right w:val="none" w:sz="0" w:space="0" w:color="auto"/>
      </w:divBdr>
    </w:div>
    <w:div w:id="763764609">
      <w:bodyDiv w:val="1"/>
      <w:marLeft w:val="0"/>
      <w:marRight w:val="0"/>
      <w:marTop w:val="0"/>
      <w:marBottom w:val="0"/>
      <w:divBdr>
        <w:top w:val="none" w:sz="0" w:space="0" w:color="auto"/>
        <w:left w:val="none" w:sz="0" w:space="0" w:color="auto"/>
        <w:bottom w:val="none" w:sz="0" w:space="0" w:color="auto"/>
        <w:right w:val="none" w:sz="0" w:space="0" w:color="auto"/>
      </w:divBdr>
    </w:div>
    <w:div w:id="777062709">
      <w:bodyDiv w:val="1"/>
      <w:marLeft w:val="0"/>
      <w:marRight w:val="0"/>
      <w:marTop w:val="0"/>
      <w:marBottom w:val="0"/>
      <w:divBdr>
        <w:top w:val="none" w:sz="0" w:space="0" w:color="auto"/>
        <w:left w:val="none" w:sz="0" w:space="0" w:color="auto"/>
        <w:bottom w:val="none" w:sz="0" w:space="0" w:color="auto"/>
        <w:right w:val="none" w:sz="0" w:space="0" w:color="auto"/>
      </w:divBdr>
    </w:div>
    <w:div w:id="800222156">
      <w:bodyDiv w:val="1"/>
      <w:marLeft w:val="0"/>
      <w:marRight w:val="0"/>
      <w:marTop w:val="0"/>
      <w:marBottom w:val="0"/>
      <w:divBdr>
        <w:top w:val="none" w:sz="0" w:space="0" w:color="auto"/>
        <w:left w:val="none" w:sz="0" w:space="0" w:color="auto"/>
        <w:bottom w:val="none" w:sz="0" w:space="0" w:color="auto"/>
        <w:right w:val="none" w:sz="0" w:space="0" w:color="auto"/>
      </w:divBdr>
    </w:div>
    <w:div w:id="902789652">
      <w:bodyDiv w:val="1"/>
      <w:marLeft w:val="0"/>
      <w:marRight w:val="0"/>
      <w:marTop w:val="0"/>
      <w:marBottom w:val="0"/>
      <w:divBdr>
        <w:top w:val="none" w:sz="0" w:space="0" w:color="auto"/>
        <w:left w:val="none" w:sz="0" w:space="0" w:color="auto"/>
        <w:bottom w:val="none" w:sz="0" w:space="0" w:color="auto"/>
        <w:right w:val="none" w:sz="0" w:space="0" w:color="auto"/>
      </w:divBdr>
    </w:div>
    <w:div w:id="946471371">
      <w:bodyDiv w:val="1"/>
      <w:marLeft w:val="0"/>
      <w:marRight w:val="0"/>
      <w:marTop w:val="0"/>
      <w:marBottom w:val="0"/>
      <w:divBdr>
        <w:top w:val="none" w:sz="0" w:space="0" w:color="auto"/>
        <w:left w:val="none" w:sz="0" w:space="0" w:color="auto"/>
        <w:bottom w:val="none" w:sz="0" w:space="0" w:color="auto"/>
        <w:right w:val="none" w:sz="0" w:space="0" w:color="auto"/>
      </w:divBdr>
    </w:div>
    <w:div w:id="965812771">
      <w:bodyDiv w:val="1"/>
      <w:marLeft w:val="0"/>
      <w:marRight w:val="0"/>
      <w:marTop w:val="0"/>
      <w:marBottom w:val="0"/>
      <w:divBdr>
        <w:top w:val="none" w:sz="0" w:space="0" w:color="auto"/>
        <w:left w:val="none" w:sz="0" w:space="0" w:color="auto"/>
        <w:bottom w:val="none" w:sz="0" w:space="0" w:color="auto"/>
        <w:right w:val="none" w:sz="0" w:space="0" w:color="auto"/>
      </w:divBdr>
    </w:div>
    <w:div w:id="1083066943">
      <w:bodyDiv w:val="1"/>
      <w:marLeft w:val="0"/>
      <w:marRight w:val="0"/>
      <w:marTop w:val="0"/>
      <w:marBottom w:val="0"/>
      <w:divBdr>
        <w:top w:val="none" w:sz="0" w:space="0" w:color="auto"/>
        <w:left w:val="none" w:sz="0" w:space="0" w:color="auto"/>
        <w:bottom w:val="none" w:sz="0" w:space="0" w:color="auto"/>
        <w:right w:val="none" w:sz="0" w:space="0" w:color="auto"/>
      </w:divBdr>
    </w:div>
    <w:div w:id="1150751631">
      <w:bodyDiv w:val="1"/>
      <w:marLeft w:val="0"/>
      <w:marRight w:val="0"/>
      <w:marTop w:val="0"/>
      <w:marBottom w:val="0"/>
      <w:divBdr>
        <w:top w:val="none" w:sz="0" w:space="0" w:color="auto"/>
        <w:left w:val="none" w:sz="0" w:space="0" w:color="auto"/>
        <w:bottom w:val="none" w:sz="0" w:space="0" w:color="auto"/>
        <w:right w:val="none" w:sz="0" w:space="0" w:color="auto"/>
      </w:divBdr>
    </w:div>
    <w:div w:id="1153183816">
      <w:bodyDiv w:val="1"/>
      <w:marLeft w:val="0"/>
      <w:marRight w:val="0"/>
      <w:marTop w:val="0"/>
      <w:marBottom w:val="0"/>
      <w:divBdr>
        <w:top w:val="none" w:sz="0" w:space="0" w:color="auto"/>
        <w:left w:val="none" w:sz="0" w:space="0" w:color="auto"/>
        <w:bottom w:val="none" w:sz="0" w:space="0" w:color="auto"/>
        <w:right w:val="none" w:sz="0" w:space="0" w:color="auto"/>
      </w:divBdr>
    </w:div>
    <w:div w:id="1269696332">
      <w:bodyDiv w:val="1"/>
      <w:marLeft w:val="0"/>
      <w:marRight w:val="0"/>
      <w:marTop w:val="0"/>
      <w:marBottom w:val="0"/>
      <w:divBdr>
        <w:top w:val="none" w:sz="0" w:space="0" w:color="auto"/>
        <w:left w:val="none" w:sz="0" w:space="0" w:color="auto"/>
        <w:bottom w:val="none" w:sz="0" w:space="0" w:color="auto"/>
        <w:right w:val="none" w:sz="0" w:space="0" w:color="auto"/>
      </w:divBdr>
    </w:div>
    <w:div w:id="1303729939">
      <w:bodyDiv w:val="1"/>
      <w:marLeft w:val="0"/>
      <w:marRight w:val="0"/>
      <w:marTop w:val="0"/>
      <w:marBottom w:val="0"/>
      <w:divBdr>
        <w:top w:val="none" w:sz="0" w:space="0" w:color="auto"/>
        <w:left w:val="none" w:sz="0" w:space="0" w:color="auto"/>
        <w:bottom w:val="none" w:sz="0" w:space="0" w:color="auto"/>
        <w:right w:val="none" w:sz="0" w:space="0" w:color="auto"/>
      </w:divBdr>
    </w:div>
    <w:div w:id="1363823117">
      <w:bodyDiv w:val="1"/>
      <w:marLeft w:val="0"/>
      <w:marRight w:val="0"/>
      <w:marTop w:val="0"/>
      <w:marBottom w:val="0"/>
      <w:divBdr>
        <w:top w:val="none" w:sz="0" w:space="0" w:color="auto"/>
        <w:left w:val="none" w:sz="0" w:space="0" w:color="auto"/>
        <w:bottom w:val="none" w:sz="0" w:space="0" w:color="auto"/>
        <w:right w:val="none" w:sz="0" w:space="0" w:color="auto"/>
      </w:divBdr>
    </w:div>
    <w:div w:id="1454010367">
      <w:bodyDiv w:val="1"/>
      <w:marLeft w:val="0"/>
      <w:marRight w:val="0"/>
      <w:marTop w:val="0"/>
      <w:marBottom w:val="0"/>
      <w:divBdr>
        <w:top w:val="none" w:sz="0" w:space="0" w:color="auto"/>
        <w:left w:val="none" w:sz="0" w:space="0" w:color="auto"/>
        <w:bottom w:val="none" w:sz="0" w:space="0" w:color="auto"/>
        <w:right w:val="none" w:sz="0" w:space="0" w:color="auto"/>
      </w:divBdr>
    </w:div>
    <w:div w:id="1459251912">
      <w:bodyDiv w:val="1"/>
      <w:marLeft w:val="0"/>
      <w:marRight w:val="0"/>
      <w:marTop w:val="0"/>
      <w:marBottom w:val="0"/>
      <w:divBdr>
        <w:top w:val="none" w:sz="0" w:space="0" w:color="auto"/>
        <w:left w:val="none" w:sz="0" w:space="0" w:color="auto"/>
        <w:bottom w:val="none" w:sz="0" w:space="0" w:color="auto"/>
        <w:right w:val="none" w:sz="0" w:space="0" w:color="auto"/>
      </w:divBdr>
    </w:div>
    <w:div w:id="1543593251">
      <w:bodyDiv w:val="1"/>
      <w:marLeft w:val="0"/>
      <w:marRight w:val="0"/>
      <w:marTop w:val="0"/>
      <w:marBottom w:val="0"/>
      <w:divBdr>
        <w:top w:val="none" w:sz="0" w:space="0" w:color="auto"/>
        <w:left w:val="none" w:sz="0" w:space="0" w:color="auto"/>
        <w:bottom w:val="none" w:sz="0" w:space="0" w:color="auto"/>
        <w:right w:val="none" w:sz="0" w:space="0" w:color="auto"/>
      </w:divBdr>
    </w:div>
    <w:div w:id="1558663890">
      <w:bodyDiv w:val="1"/>
      <w:marLeft w:val="0"/>
      <w:marRight w:val="0"/>
      <w:marTop w:val="0"/>
      <w:marBottom w:val="0"/>
      <w:divBdr>
        <w:top w:val="none" w:sz="0" w:space="0" w:color="auto"/>
        <w:left w:val="none" w:sz="0" w:space="0" w:color="auto"/>
        <w:bottom w:val="none" w:sz="0" w:space="0" w:color="auto"/>
        <w:right w:val="none" w:sz="0" w:space="0" w:color="auto"/>
      </w:divBdr>
    </w:div>
    <w:div w:id="1589339456">
      <w:bodyDiv w:val="1"/>
      <w:marLeft w:val="0"/>
      <w:marRight w:val="0"/>
      <w:marTop w:val="0"/>
      <w:marBottom w:val="0"/>
      <w:divBdr>
        <w:top w:val="none" w:sz="0" w:space="0" w:color="auto"/>
        <w:left w:val="none" w:sz="0" w:space="0" w:color="auto"/>
        <w:bottom w:val="none" w:sz="0" w:space="0" w:color="auto"/>
        <w:right w:val="none" w:sz="0" w:space="0" w:color="auto"/>
      </w:divBdr>
    </w:div>
    <w:div w:id="1635215781">
      <w:bodyDiv w:val="1"/>
      <w:marLeft w:val="0"/>
      <w:marRight w:val="0"/>
      <w:marTop w:val="0"/>
      <w:marBottom w:val="0"/>
      <w:divBdr>
        <w:top w:val="none" w:sz="0" w:space="0" w:color="auto"/>
        <w:left w:val="none" w:sz="0" w:space="0" w:color="auto"/>
        <w:bottom w:val="none" w:sz="0" w:space="0" w:color="auto"/>
        <w:right w:val="none" w:sz="0" w:space="0" w:color="auto"/>
      </w:divBdr>
    </w:div>
    <w:div w:id="1652447017">
      <w:bodyDiv w:val="1"/>
      <w:marLeft w:val="0"/>
      <w:marRight w:val="0"/>
      <w:marTop w:val="0"/>
      <w:marBottom w:val="0"/>
      <w:divBdr>
        <w:top w:val="none" w:sz="0" w:space="0" w:color="auto"/>
        <w:left w:val="none" w:sz="0" w:space="0" w:color="auto"/>
        <w:bottom w:val="none" w:sz="0" w:space="0" w:color="auto"/>
        <w:right w:val="none" w:sz="0" w:space="0" w:color="auto"/>
      </w:divBdr>
    </w:div>
    <w:div w:id="1652561831">
      <w:bodyDiv w:val="1"/>
      <w:marLeft w:val="0"/>
      <w:marRight w:val="0"/>
      <w:marTop w:val="0"/>
      <w:marBottom w:val="0"/>
      <w:divBdr>
        <w:top w:val="none" w:sz="0" w:space="0" w:color="auto"/>
        <w:left w:val="none" w:sz="0" w:space="0" w:color="auto"/>
        <w:bottom w:val="none" w:sz="0" w:space="0" w:color="auto"/>
        <w:right w:val="none" w:sz="0" w:space="0" w:color="auto"/>
      </w:divBdr>
    </w:div>
    <w:div w:id="1668365388">
      <w:bodyDiv w:val="1"/>
      <w:marLeft w:val="0"/>
      <w:marRight w:val="0"/>
      <w:marTop w:val="0"/>
      <w:marBottom w:val="0"/>
      <w:divBdr>
        <w:top w:val="none" w:sz="0" w:space="0" w:color="auto"/>
        <w:left w:val="none" w:sz="0" w:space="0" w:color="auto"/>
        <w:bottom w:val="none" w:sz="0" w:space="0" w:color="auto"/>
        <w:right w:val="none" w:sz="0" w:space="0" w:color="auto"/>
      </w:divBdr>
    </w:div>
    <w:div w:id="1676684930">
      <w:bodyDiv w:val="1"/>
      <w:marLeft w:val="0"/>
      <w:marRight w:val="0"/>
      <w:marTop w:val="0"/>
      <w:marBottom w:val="0"/>
      <w:divBdr>
        <w:top w:val="none" w:sz="0" w:space="0" w:color="auto"/>
        <w:left w:val="none" w:sz="0" w:space="0" w:color="auto"/>
        <w:bottom w:val="none" w:sz="0" w:space="0" w:color="auto"/>
        <w:right w:val="none" w:sz="0" w:space="0" w:color="auto"/>
      </w:divBdr>
    </w:div>
    <w:div w:id="1709179511">
      <w:bodyDiv w:val="1"/>
      <w:marLeft w:val="0"/>
      <w:marRight w:val="0"/>
      <w:marTop w:val="0"/>
      <w:marBottom w:val="0"/>
      <w:divBdr>
        <w:top w:val="none" w:sz="0" w:space="0" w:color="auto"/>
        <w:left w:val="none" w:sz="0" w:space="0" w:color="auto"/>
        <w:bottom w:val="none" w:sz="0" w:space="0" w:color="auto"/>
        <w:right w:val="none" w:sz="0" w:space="0" w:color="auto"/>
      </w:divBdr>
    </w:div>
    <w:div w:id="1926644065">
      <w:bodyDiv w:val="1"/>
      <w:marLeft w:val="0"/>
      <w:marRight w:val="0"/>
      <w:marTop w:val="0"/>
      <w:marBottom w:val="0"/>
      <w:divBdr>
        <w:top w:val="none" w:sz="0" w:space="0" w:color="auto"/>
        <w:left w:val="none" w:sz="0" w:space="0" w:color="auto"/>
        <w:bottom w:val="none" w:sz="0" w:space="0" w:color="auto"/>
        <w:right w:val="none" w:sz="0" w:space="0" w:color="auto"/>
      </w:divBdr>
    </w:div>
    <w:div w:id="2026246563">
      <w:bodyDiv w:val="1"/>
      <w:marLeft w:val="0"/>
      <w:marRight w:val="0"/>
      <w:marTop w:val="0"/>
      <w:marBottom w:val="0"/>
      <w:divBdr>
        <w:top w:val="none" w:sz="0" w:space="0" w:color="auto"/>
        <w:left w:val="none" w:sz="0" w:space="0" w:color="auto"/>
        <w:bottom w:val="none" w:sz="0" w:space="0" w:color="auto"/>
        <w:right w:val="none" w:sz="0" w:space="0" w:color="auto"/>
      </w:divBdr>
      <w:divsChild>
        <w:div w:id="276572375">
          <w:marLeft w:val="1080"/>
          <w:marRight w:val="0"/>
          <w:marTop w:val="100"/>
          <w:marBottom w:val="360"/>
          <w:divBdr>
            <w:top w:val="none" w:sz="0" w:space="0" w:color="auto"/>
            <w:left w:val="none" w:sz="0" w:space="0" w:color="auto"/>
            <w:bottom w:val="none" w:sz="0" w:space="0" w:color="auto"/>
            <w:right w:val="none" w:sz="0" w:space="0" w:color="auto"/>
          </w:divBdr>
        </w:div>
        <w:div w:id="755519716">
          <w:marLeft w:val="1080"/>
          <w:marRight w:val="0"/>
          <w:marTop w:val="100"/>
          <w:marBottom w:val="360"/>
          <w:divBdr>
            <w:top w:val="none" w:sz="0" w:space="0" w:color="auto"/>
            <w:left w:val="none" w:sz="0" w:space="0" w:color="auto"/>
            <w:bottom w:val="none" w:sz="0" w:space="0" w:color="auto"/>
            <w:right w:val="none" w:sz="0" w:space="0" w:color="auto"/>
          </w:divBdr>
        </w:div>
        <w:div w:id="1658413389">
          <w:marLeft w:val="1080"/>
          <w:marRight w:val="0"/>
          <w:marTop w:val="100"/>
          <w:marBottom w:val="36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EN/ALL/?uri=CELEX:52023SC0339" TargetMode="External"/><Relationship Id="rId13" Type="http://schemas.openxmlformats.org/officeDocument/2006/relationships/hyperlink" Target="https://eur-lex.europa.eu/legal-content/FR/TXT/PDF/?uri=CELEX:52021DC0082&amp;from=FR" TargetMode="External"/><Relationship Id="rId18" Type="http://schemas.openxmlformats.org/officeDocument/2006/relationships/hyperlink" Target="https://eur-lex.europa.eu/legal-content/FR/TXT/?uri=CELEX%3A52023PC0416" TargetMode="External"/><Relationship Id="rId26" Type="http://schemas.openxmlformats.org/officeDocument/2006/relationships/hyperlink" Target="https://eur-lex.europa.eu/legal-content/FR/TXT/?uri=CELEX%3A52023DC0102" TargetMode="External"/><Relationship Id="rId39" Type="http://schemas.openxmlformats.org/officeDocument/2006/relationships/hyperlink" Target="https://publications.jrc.ec.europa.eu/repository/handle/JRC136274" TargetMode="External"/><Relationship Id="rId3" Type="http://schemas.openxmlformats.org/officeDocument/2006/relationships/hyperlink" Target="https://www.eea.europa.eu/publications/european-climate-risk-assessment" TargetMode="External"/><Relationship Id="rId21" Type="http://schemas.openxmlformats.org/officeDocument/2006/relationships/hyperlink" Target="https://climate-risk-dashboard.climateanalytics.org/" TargetMode="External"/><Relationship Id="rId34" Type="http://schemas.openxmlformats.org/officeDocument/2006/relationships/hyperlink" Target="https://eurocodes.jrc.ec.europa.eu/2nd-generation/second-generation-eurocodes-what-new" TargetMode="External"/><Relationship Id="rId42" Type="http://schemas.openxmlformats.org/officeDocument/2006/relationships/hyperlink" Target="https://eur-lex.europa.eu/legal-content/FR/TXT/?uri=CELEX%3A52023JC0020" TargetMode="External"/><Relationship Id="rId7" Type="http://schemas.openxmlformats.org/officeDocument/2006/relationships/hyperlink" Target="https://www.consilium.europa.eu/media/67640/20231027-european-council-conclusions-fr.pdf" TargetMode="External"/><Relationship Id="rId12" Type="http://schemas.openxmlformats.org/officeDocument/2006/relationships/hyperlink" Target="https://eur-lex.europa.eu/legal-content/FR/TXT/?uri=CELEX%3A52023JC0019" TargetMode="External"/><Relationship Id="rId17" Type="http://schemas.openxmlformats.org/officeDocument/2006/relationships/hyperlink" Target="https://eur-lex.europa.eu/legal-content/FR/TXT/?uri=COM%3A2023%3A728%3AFIN" TargetMode="External"/><Relationship Id="rId25" Type="http://schemas.openxmlformats.org/officeDocument/2006/relationships/hyperlink" Target="https://www.ipcc.ch/assessment-report/ar6/" TargetMode="External"/><Relationship Id="rId33" Type="http://schemas.openxmlformats.org/officeDocument/2006/relationships/hyperlink" Target="https://osha.europa.eu/en/oshnews/heat-work-guidance-workplaces" TargetMode="External"/><Relationship Id="rId38" Type="http://schemas.openxmlformats.org/officeDocument/2006/relationships/hyperlink" Target="https://publications.jrc.ec.europa.eu/repository/handle/JRC136274" TargetMode="External"/><Relationship Id="rId2" Type="http://schemas.openxmlformats.org/officeDocument/2006/relationships/hyperlink" Target="https://climate.copernicus.eu/copernicus-2023-hottest-year-record" TargetMode="External"/><Relationship Id="rId16" Type="http://schemas.openxmlformats.org/officeDocument/2006/relationships/hyperlink" Target="https://www.wekeo.eu/" TargetMode="External"/><Relationship Id="rId20" Type="http://schemas.openxmlformats.org/officeDocument/2006/relationships/hyperlink" Target="https://drmkc.jrc.ec.europa.eu/risk-data-hub" TargetMode="External"/><Relationship Id="rId29" Type="http://schemas.openxmlformats.org/officeDocument/2006/relationships/hyperlink" Target="https://health.ec.europa.eu/non-communicable-diseases/healthier-together-eu-non-communicable-diseases-initiative_en" TargetMode="External"/><Relationship Id="rId41" Type="http://schemas.openxmlformats.org/officeDocument/2006/relationships/hyperlink" Target="https://eur-lex.europa.eu/legal-content/fr/ALL/?uri=CELEX%3A52020DC0103" TargetMode="External"/><Relationship Id="rId1" Type="http://schemas.openxmlformats.org/officeDocument/2006/relationships/hyperlink" Target="https://eur-lex.europa.eu/legal-content/FR/TXT/?uri=COM%3A2024%3A63%3AFIN" TargetMode="External"/><Relationship Id="rId6" Type="http://schemas.openxmlformats.org/officeDocument/2006/relationships/hyperlink" Target="https://www.europarl.europa.eu/doceo/document/TA-9-2022-0330_FR.html" TargetMode="External"/><Relationship Id="rId11" Type="http://schemas.openxmlformats.org/officeDocument/2006/relationships/hyperlink" Target="https://civil-protection-humanitarian-aid.ec.europa.eu/what/civil-protection/european-disaster-risk-management_fr" TargetMode="External"/><Relationship Id="rId24" Type="http://schemas.openxmlformats.org/officeDocument/2006/relationships/hyperlink" Target="https://eur-lex.europa.eu/legal-content/FR/TXT/?uri=CELEX:52023DC0061" TargetMode="External"/><Relationship Id="rId32" Type="http://schemas.openxmlformats.org/officeDocument/2006/relationships/hyperlink" Target="https://www.cop28.com/en/cop28-uae-declaration-on-climate-and-health" TargetMode="External"/><Relationship Id="rId37" Type="http://schemas.openxmlformats.org/officeDocument/2006/relationships/hyperlink" Target="https://eur-lex.europa.eu/legal-content/FR/TXT/?uri=CELEX%3A52022DC0409" TargetMode="External"/><Relationship Id="rId40" Type="http://schemas.openxmlformats.org/officeDocument/2006/relationships/hyperlink" Target="https://www.ecb.europa.eu/pub/economic-bulletin/focus/2023/html/ecb.ebbox202306_05~f5ec994b9e.en.html" TargetMode="External"/><Relationship Id="rId5" Type="http://schemas.openxmlformats.org/officeDocument/2006/relationships/hyperlink" Target="https://www.ecb.europa.eu/press/pr/date/2023/html/ecb.pr231218_1~6b3bea9532.en.html" TargetMode="External"/><Relationship Id="rId15" Type="http://schemas.openxmlformats.org/officeDocument/2006/relationships/hyperlink" Target="https://dataspace.copernicus.eu/" TargetMode="External"/><Relationship Id="rId23" Type="http://schemas.openxmlformats.org/officeDocument/2006/relationships/hyperlink" Target="https://new-european-bauhaus.europa.eu/get-involved/use-compass_en" TargetMode="External"/><Relationship Id="rId28" Type="http://schemas.openxmlformats.org/officeDocument/2006/relationships/hyperlink" Target="https://www.exhaustion.eu/" TargetMode="External"/><Relationship Id="rId36" Type="http://schemas.openxmlformats.org/officeDocument/2006/relationships/hyperlink" Target="http://www.tradeministersonclimate.org/" TargetMode="External"/><Relationship Id="rId10" Type="http://schemas.openxmlformats.org/officeDocument/2006/relationships/hyperlink" Target="https://commission.europa.eu/energy-climate-change-environment/implementation-eu-countries/energy-and-climate-governance-and-reporting/national-energy-and-climate-plans_en" TargetMode="External"/><Relationship Id="rId19" Type="http://schemas.openxmlformats.org/officeDocument/2006/relationships/hyperlink" Target="https://climate-adapt.eea.europa.eu/en/knowledge/european-climate-data-explorer/" TargetMode="External"/><Relationship Id="rId31" Type="http://schemas.openxmlformats.org/officeDocument/2006/relationships/hyperlink" Target="https://www.who.int/europe/publications/i/item/EURO-Budapest2023-6" TargetMode="External"/><Relationship Id="rId44" Type="http://schemas.openxmlformats.org/officeDocument/2006/relationships/hyperlink" Target="https://eur-lex.europa.eu/legal-content/FR/TXT/?uri=CELEX%3A52023PC0240" TargetMode="External"/><Relationship Id="rId4" Type="http://schemas.openxmlformats.org/officeDocument/2006/relationships/hyperlink" Target="https://www.weforum.org/publications/global-risks-report-2024/" TargetMode="External"/><Relationship Id="rId9" Type="http://schemas.openxmlformats.org/officeDocument/2006/relationships/hyperlink" Target="https://climate.ec.europa.eu/system/files/2023-12/SWD_2023_932_1_EN.pdf" TargetMode="External"/><Relationship Id="rId14" Type="http://schemas.openxmlformats.org/officeDocument/2006/relationships/hyperlink" Target="https://climate.ec.europa.eu/document/download/768bc81f-5f48-48e3-b4d4-e02ba09faca1_en" TargetMode="External"/><Relationship Id="rId22" Type="http://schemas.openxmlformats.org/officeDocument/2006/relationships/hyperlink" Target="https://eur-lex.europa.eu/legal-content/FR/ALL/?uri=COM:2023:667:FIN" TargetMode="External"/><Relationship Id="rId27" Type="http://schemas.openxmlformats.org/officeDocument/2006/relationships/hyperlink" Target="https://research-and-innovation.ec.europa.eu/funding/funding-opportunities/funding-programmes-and-open-calls/horizon-europe/eu-missions-horizon-europe/restore-our-ocean-and-waters_en" TargetMode="External"/><Relationship Id="rId30" Type="http://schemas.openxmlformats.org/officeDocument/2006/relationships/hyperlink" Target="https://health.ec.europa.eu/publications/comprehensive-approach-mental-health_en" TargetMode="External"/><Relationship Id="rId35" Type="http://schemas.openxmlformats.org/officeDocument/2006/relationships/hyperlink" Target="https://climate.ec.europa.eu/document/download/768bc81f-5f48-48e3-b4d4-e02ba09faca1_en" TargetMode="External"/><Relationship Id="rId43" Type="http://schemas.openxmlformats.org/officeDocument/2006/relationships/hyperlink" Target="https://eur-lex.europa.eu/legal-content/FR/TXT/?uri=COM%3A2023%3A535%3AF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CFDF3D715AA394A9B15E0E0FAA07E37" ma:contentTypeVersion="19" ma:contentTypeDescription="Create a new document." ma:contentTypeScope="" ma:versionID="5bf29b2a3c6ecafbb31bdd03e5262a3d">
  <xsd:schema xmlns:xsd="http://www.w3.org/2001/XMLSchema" xmlns:xs="http://www.w3.org/2001/XMLSchema" xmlns:p="http://schemas.microsoft.com/office/2006/metadata/properties" xmlns:ns1="http://schemas.microsoft.com/sharepoint/v3" xmlns:ns2="33e07890-6196-4e26-9dd2-53178dae8e48" xmlns:ns3="faa54b14-608b-44ba-8621-4287d9574b27" targetNamespace="http://schemas.microsoft.com/office/2006/metadata/properties" ma:root="true" ma:fieldsID="cc6c822d7742d136d6b2ce621399e9cf" ns1:_="" ns2:_="" ns3:_="">
    <xsd:import namespace="http://schemas.microsoft.com/sharepoint/v3"/>
    <xsd:import namespace="33e07890-6196-4e26-9dd2-53178dae8e48"/>
    <xsd:import namespace="faa54b14-608b-44ba-8621-4287d9574b2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1:_ip_UnifiedCompliancePolicyProperties" minOccurs="0"/>
                <xsd:element ref="ns1:_ip_UnifiedCompliancePolicyUIAc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e07890-6196-4e26-9dd2-53178dae8e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a54b14-608b-44ba-8621-4287d9574b2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e2d1171-1b20-46c7-b5af-210c5dce4f7c}" ma:internalName="TaxCatchAll" ma:showField="CatchAllData" ma:web="faa54b14-608b-44ba-8621-4287d9574b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33e07890-6196-4e26-9dd2-53178dae8e48">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faa54b14-608b-44ba-8621-4287d9574b2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ED45BD-9959-4C35-B33C-C6B8397C3E22}">
  <ds:schemaRefs>
    <ds:schemaRef ds:uri="http://schemas.microsoft.com/sharepoint/v3/contenttype/forms"/>
  </ds:schemaRefs>
</ds:datastoreItem>
</file>

<file path=customXml/itemProps2.xml><?xml version="1.0" encoding="utf-8"?>
<ds:datastoreItem xmlns:ds="http://schemas.openxmlformats.org/officeDocument/2006/customXml" ds:itemID="{FE6E9AAA-56B9-46EF-B05C-1F80F5D0FD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3e07890-6196-4e26-9dd2-53178dae8e48"/>
    <ds:schemaRef ds:uri="faa54b14-608b-44ba-8621-4287d9574b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FF0186-E0D7-4E5E-B46D-6F54AD0AB0DF}">
  <ds:schemaRefs>
    <ds:schemaRef ds:uri="http://schemas.microsoft.com/office/2006/metadata/properties"/>
    <ds:schemaRef ds:uri="http://schemas.microsoft.com/office/infopath/2007/PartnerControls"/>
    <ds:schemaRef ds:uri="http://schemas.microsoft.com/sharepoint/v3"/>
    <ds:schemaRef ds:uri="33e07890-6196-4e26-9dd2-53178dae8e48"/>
    <ds:schemaRef ds:uri="faa54b14-608b-44ba-8621-4287d9574b27"/>
  </ds:schemaRefs>
</ds:datastoreItem>
</file>

<file path=customXml/itemProps4.xml><?xml version="1.0" encoding="utf-8"?>
<ds:datastoreItem xmlns:ds="http://schemas.openxmlformats.org/officeDocument/2006/customXml" ds:itemID="{A16770EE-CE98-4693-8B0D-7A49E6632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12272</Words>
  <Characters>69956</Characters>
  <Application>Microsoft Office Word</Application>
  <DocSecurity>0</DocSecurity>
  <Lines>582</Lines>
  <Paragraphs>164</Paragraphs>
  <ScaleCrop>false</ScaleCrop>
  <Manager/>
  <Company/>
  <LinksUpToDate>false</LinksUpToDate>
  <CharactersWithSpaces>82064</CharactersWithSpaces>
  <SharedDoc>false</SharedDoc>
  <HLinks>
    <vt:vector size="264" baseType="variant">
      <vt:variant>
        <vt:i4>7208998</vt:i4>
      </vt:variant>
      <vt:variant>
        <vt:i4>132</vt:i4>
      </vt:variant>
      <vt:variant>
        <vt:i4>0</vt:i4>
      </vt:variant>
      <vt:variant>
        <vt:i4>5</vt:i4>
      </vt:variant>
      <vt:variant>
        <vt:lpwstr>https://eur-lex.europa.eu/legal-content/EN/TXT/?uri=CELEX%3A52023PC0240</vt:lpwstr>
      </vt:variant>
      <vt:variant>
        <vt:lpwstr/>
      </vt:variant>
      <vt:variant>
        <vt:i4>8257634</vt:i4>
      </vt:variant>
      <vt:variant>
        <vt:i4>129</vt:i4>
      </vt:variant>
      <vt:variant>
        <vt:i4>0</vt:i4>
      </vt:variant>
      <vt:variant>
        <vt:i4>5</vt:i4>
      </vt:variant>
      <vt:variant>
        <vt:lpwstr>https://eur-lex.europa.eu/legal-content/EN/TXT/?uri=COM%3A2023%3A535%3AFIN</vt:lpwstr>
      </vt:variant>
      <vt:variant>
        <vt:lpwstr/>
      </vt:variant>
      <vt:variant>
        <vt:i4>7471140</vt:i4>
      </vt:variant>
      <vt:variant>
        <vt:i4>126</vt:i4>
      </vt:variant>
      <vt:variant>
        <vt:i4>0</vt:i4>
      </vt:variant>
      <vt:variant>
        <vt:i4>5</vt:i4>
      </vt:variant>
      <vt:variant>
        <vt:lpwstr>https://eur-lex.europa.eu/legal-content/EN/TXT/?uri=CELEX%3A52023JC0020</vt:lpwstr>
      </vt:variant>
      <vt:variant>
        <vt:lpwstr/>
      </vt:variant>
      <vt:variant>
        <vt:i4>7536690</vt:i4>
      </vt:variant>
      <vt:variant>
        <vt:i4>123</vt:i4>
      </vt:variant>
      <vt:variant>
        <vt:i4>0</vt:i4>
      </vt:variant>
      <vt:variant>
        <vt:i4>5</vt:i4>
      </vt:variant>
      <vt:variant>
        <vt:lpwstr>https://eur-lex.europa.eu/legal-content/en/ALL/?uri=CELEX%3A52020DC0103</vt:lpwstr>
      </vt:variant>
      <vt:variant>
        <vt:lpwstr/>
      </vt:variant>
      <vt:variant>
        <vt:i4>3407966</vt:i4>
      </vt:variant>
      <vt:variant>
        <vt:i4>120</vt:i4>
      </vt:variant>
      <vt:variant>
        <vt:i4>0</vt:i4>
      </vt:variant>
      <vt:variant>
        <vt:i4>5</vt:i4>
      </vt:variant>
      <vt:variant>
        <vt:lpwstr>https://www.ecb.europa.eu/pub/economic-bulletin/focus/2023/html/ecb.ebbox202306_05~f5ec994b9e.en.html</vt:lpwstr>
      </vt:variant>
      <vt:variant>
        <vt:lpwstr/>
      </vt:variant>
      <vt:variant>
        <vt:i4>131136</vt:i4>
      </vt:variant>
      <vt:variant>
        <vt:i4>117</vt:i4>
      </vt:variant>
      <vt:variant>
        <vt:i4>0</vt:i4>
      </vt:variant>
      <vt:variant>
        <vt:i4>5</vt:i4>
      </vt:variant>
      <vt:variant>
        <vt:lpwstr>https://publications.jrc.ec.europa.eu/repository/handle/JRC136274</vt:lpwstr>
      </vt:variant>
      <vt:variant>
        <vt:lpwstr/>
      </vt:variant>
      <vt:variant>
        <vt:i4>8257569</vt:i4>
      </vt:variant>
      <vt:variant>
        <vt:i4>114</vt:i4>
      </vt:variant>
      <vt:variant>
        <vt:i4>0</vt:i4>
      </vt:variant>
      <vt:variant>
        <vt:i4>5</vt:i4>
      </vt:variant>
      <vt:variant>
        <vt:lpwstr>https://eur-lex.europa.eu/legal-content/EN/TXT/?uri=CELEX%3A52022DC0409</vt:lpwstr>
      </vt:variant>
      <vt:variant>
        <vt:lpwstr/>
      </vt:variant>
      <vt:variant>
        <vt:i4>3407975</vt:i4>
      </vt:variant>
      <vt:variant>
        <vt:i4>111</vt:i4>
      </vt:variant>
      <vt:variant>
        <vt:i4>0</vt:i4>
      </vt:variant>
      <vt:variant>
        <vt:i4>5</vt:i4>
      </vt:variant>
      <vt:variant>
        <vt:lpwstr>http://www.tradeministersonclimate.org/</vt:lpwstr>
      </vt:variant>
      <vt:variant>
        <vt:lpwstr/>
      </vt:variant>
      <vt:variant>
        <vt:i4>5767227</vt:i4>
      </vt:variant>
      <vt:variant>
        <vt:i4>108</vt:i4>
      </vt:variant>
      <vt:variant>
        <vt:i4>0</vt:i4>
      </vt:variant>
      <vt:variant>
        <vt:i4>5</vt:i4>
      </vt:variant>
      <vt:variant>
        <vt:lpwstr>https://climate.ec.europa.eu/document/download/768bc81f-5f48-48e3-b4d4-e02ba09faca1_en</vt:lpwstr>
      </vt:variant>
      <vt:variant>
        <vt:lpwstr/>
      </vt:variant>
      <vt:variant>
        <vt:i4>3014781</vt:i4>
      </vt:variant>
      <vt:variant>
        <vt:i4>105</vt:i4>
      </vt:variant>
      <vt:variant>
        <vt:i4>0</vt:i4>
      </vt:variant>
      <vt:variant>
        <vt:i4>5</vt:i4>
      </vt:variant>
      <vt:variant>
        <vt:lpwstr>https://eurocodes.jrc.ec.europa.eu/2nd-generation/second-generation-eurocodes-what-new</vt:lpwstr>
      </vt:variant>
      <vt:variant>
        <vt:lpwstr/>
      </vt:variant>
      <vt:variant>
        <vt:i4>6422573</vt:i4>
      </vt:variant>
      <vt:variant>
        <vt:i4>102</vt:i4>
      </vt:variant>
      <vt:variant>
        <vt:i4>0</vt:i4>
      </vt:variant>
      <vt:variant>
        <vt:i4>5</vt:i4>
      </vt:variant>
      <vt:variant>
        <vt:lpwstr>https://osha.europa.eu/en/oshnews/heat-work-guidance-workplaces</vt:lpwstr>
      </vt:variant>
      <vt:variant>
        <vt:lpwstr/>
      </vt:variant>
      <vt:variant>
        <vt:i4>1441862</vt:i4>
      </vt:variant>
      <vt:variant>
        <vt:i4>99</vt:i4>
      </vt:variant>
      <vt:variant>
        <vt:i4>0</vt:i4>
      </vt:variant>
      <vt:variant>
        <vt:i4>5</vt:i4>
      </vt:variant>
      <vt:variant>
        <vt:lpwstr>https://www.cop28.com/en/cop28-uae-declaration-on-climate-and-health</vt:lpwstr>
      </vt:variant>
      <vt:variant>
        <vt:lpwstr/>
      </vt:variant>
      <vt:variant>
        <vt:i4>4063335</vt:i4>
      </vt:variant>
      <vt:variant>
        <vt:i4>96</vt:i4>
      </vt:variant>
      <vt:variant>
        <vt:i4>0</vt:i4>
      </vt:variant>
      <vt:variant>
        <vt:i4>5</vt:i4>
      </vt:variant>
      <vt:variant>
        <vt:lpwstr>https://www.who.int/europe/publications/i/item/EURO-Budapest2023-6</vt:lpwstr>
      </vt:variant>
      <vt:variant>
        <vt:lpwstr/>
      </vt:variant>
      <vt:variant>
        <vt:i4>7274505</vt:i4>
      </vt:variant>
      <vt:variant>
        <vt:i4>93</vt:i4>
      </vt:variant>
      <vt:variant>
        <vt:i4>0</vt:i4>
      </vt:variant>
      <vt:variant>
        <vt:i4>5</vt:i4>
      </vt:variant>
      <vt:variant>
        <vt:lpwstr>https://health.ec.europa.eu/publications/comprehensive-approach-mental-health_en</vt:lpwstr>
      </vt:variant>
      <vt:variant>
        <vt:lpwstr/>
      </vt:variant>
      <vt:variant>
        <vt:i4>7012420</vt:i4>
      </vt:variant>
      <vt:variant>
        <vt:i4>90</vt:i4>
      </vt:variant>
      <vt:variant>
        <vt:i4>0</vt:i4>
      </vt:variant>
      <vt:variant>
        <vt:i4>5</vt:i4>
      </vt:variant>
      <vt:variant>
        <vt:lpwstr>https://health.ec.europa.eu/non-communicable-diseases/healthier-together-eu-non-communicable-diseases-initiative_en</vt:lpwstr>
      </vt:variant>
      <vt:variant>
        <vt:lpwstr/>
      </vt:variant>
      <vt:variant>
        <vt:i4>7274616</vt:i4>
      </vt:variant>
      <vt:variant>
        <vt:i4>87</vt:i4>
      </vt:variant>
      <vt:variant>
        <vt:i4>0</vt:i4>
      </vt:variant>
      <vt:variant>
        <vt:i4>5</vt:i4>
      </vt:variant>
      <vt:variant>
        <vt:lpwstr>https://www.exhaustion.eu/</vt:lpwstr>
      </vt:variant>
      <vt:variant>
        <vt:lpwstr/>
      </vt:variant>
      <vt:variant>
        <vt:i4>1704042</vt:i4>
      </vt:variant>
      <vt:variant>
        <vt:i4>84</vt:i4>
      </vt:variant>
      <vt:variant>
        <vt:i4>0</vt:i4>
      </vt:variant>
      <vt:variant>
        <vt:i4>5</vt:i4>
      </vt:variant>
      <vt:variant>
        <vt:lpwstr>https://research-and-innovation.ec.europa.eu/funding/funding-opportunities/funding-programmes-and-open-calls/horizon-europe/eu-missions-horizon-europe/restore-our-ocean-and-waters_en</vt:lpwstr>
      </vt:variant>
      <vt:variant>
        <vt:lpwstr/>
      </vt:variant>
      <vt:variant>
        <vt:i4>8257573</vt:i4>
      </vt:variant>
      <vt:variant>
        <vt:i4>81</vt:i4>
      </vt:variant>
      <vt:variant>
        <vt:i4>0</vt:i4>
      </vt:variant>
      <vt:variant>
        <vt:i4>5</vt:i4>
      </vt:variant>
      <vt:variant>
        <vt:lpwstr>https://eur-lex.europa.eu/legal-content/EN/TXT/?uri=CELEX%3A52023DC0102</vt:lpwstr>
      </vt:variant>
      <vt:variant>
        <vt:lpwstr/>
      </vt:variant>
      <vt:variant>
        <vt:i4>2359411</vt:i4>
      </vt:variant>
      <vt:variant>
        <vt:i4>78</vt:i4>
      </vt:variant>
      <vt:variant>
        <vt:i4>0</vt:i4>
      </vt:variant>
      <vt:variant>
        <vt:i4>5</vt:i4>
      </vt:variant>
      <vt:variant>
        <vt:lpwstr>https://www.worldbank.org/en/publication/changing-wealth-of-nations</vt:lpwstr>
      </vt:variant>
      <vt:variant>
        <vt:lpwstr/>
      </vt:variant>
      <vt:variant>
        <vt:i4>6357098</vt:i4>
      </vt:variant>
      <vt:variant>
        <vt:i4>72</vt:i4>
      </vt:variant>
      <vt:variant>
        <vt:i4>0</vt:i4>
      </vt:variant>
      <vt:variant>
        <vt:i4>5</vt:i4>
      </vt:variant>
      <vt:variant>
        <vt:lpwstr>https://www.ipcc.ch/assessment-report/ar6/</vt:lpwstr>
      </vt:variant>
      <vt:variant>
        <vt:lpwstr/>
      </vt:variant>
      <vt:variant>
        <vt:i4>393239</vt:i4>
      </vt:variant>
      <vt:variant>
        <vt:i4>69</vt:i4>
      </vt:variant>
      <vt:variant>
        <vt:i4>0</vt:i4>
      </vt:variant>
      <vt:variant>
        <vt:i4>5</vt:i4>
      </vt:variant>
      <vt:variant>
        <vt:lpwstr>https://eur-lex.europa.eu/legal-content/EN/TXT/?uri=CELEX:52023DC0061</vt:lpwstr>
      </vt:variant>
      <vt:variant>
        <vt:lpwstr/>
      </vt:variant>
      <vt:variant>
        <vt:i4>5767203</vt:i4>
      </vt:variant>
      <vt:variant>
        <vt:i4>66</vt:i4>
      </vt:variant>
      <vt:variant>
        <vt:i4>0</vt:i4>
      </vt:variant>
      <vt:variant>
        <vt:i4>5</vt:i4>
      </vt:variant>
      <vt:variant>
        <vt:lpwstr>https://new-european-bauhaus.europa.eu/get-involved/use-compass_en</vt:lpwstr>
      </vt:variant>
      <vt:variant>
        <vt:lpwstr/>
      </vt:variant>
      <vt:variant>
        <vt:i4>786496</vt:i4>
      </vt:variant>
      <vt:variant>
        <vt:i4>63</vt:i4>
      </vt:variant>
      <vt:variant>
        <vt:i4>0</vt:i4>
      </vt:variant>
      <vt:variant>
        <vt:i4>5</vt:i4>
      </vt:variant>
      <vt:variant>
        <vt:lpwstr>https://eur-lex.europa.eu/legal-content/EN/ALL/?uri=COM:2023:667:FIN</vt:lpwstr>
      </vt:variant>
      <vt:variant>
        <vt:lpwstr/>
      </vt:variant>
      <vt:variant>
        <vt:i4>5439558</vt:i4>
      </vt:variant>
      <vt:variant>
        <vt:i4>60</vt:i4>
      </vt:variant>
      <vt:variant>
        <vt:i4>0</vt:i4>
      </vt:variant>
      <vt:variant>
        <vt:i4>5</vt:i4>
      </vt:variant>
      <vt:variant>
        <vt:lpwstr>https://climate-risk-dashboard.climateanalytics.org/</vt:lpwstr>
      </vt:variant>
      <vt:variant>
        <vt:lpwstr/>
      </vt:variant>
      <vt:variant>
        <vt:i4>196668</vt:i4>
      </vt:variant>
      <vt:variant>
        <vt:i4>57</vt:i4>
      </vt:variant>
      <vt:variant>
        <vt:i4>0</vt:i4>
      </vt:variant>
      <vt:variant>
        <vt:i4>5</vt:i4>
      </vt:variant>
      <vt:variant>
        <vt:lpwstr>https://drmkc.jrc.ec.europa.eu/risk-data-hub</vt:lpwstr>
      </vt:variant>
      <vt:variant>
        <vt:lpwstr>/</vt:lpwstr>
      </vt:variant>
      <vt:variant>
        <vt:i4>5046346</vt:i4>
      </vt:variant>
      <vt:variant>
        <vt:i4>54</vt:i4>
      </vt:variant>
      <vt:variant>
        <vt:i4>0</vt:i4>
      </vt:variant>
      <vt:variant>
        <vt:i4>5</vt:i4>
      </vt:variant>
      <vt:variant>
        <vt:lpwstr>https://climate-adapt.eea.europa.eu/en/knowledge/european-climate-data-explorer/</vt:lpwstr>
      </vt:variant>
      <vt:variant>
        <vt:lpwstr/>
      </vt:variant>
      <vt:variant>
        <vt:i4>7012384</vt:i4>
      </vt:variant>
      <vt:variant>
        <vt:i4>51</vt:i4>
      </vt:variant>
      <vt:variant>
        <vt:i4>0</vt:i4>
      </vt:variant>
      <vt:variant>
        <vt:i4>5</vt:i4>
      </vt:variant>
      <vt:variant>
        <vt:lpwstr>https://eur-lex.europa.eu/legal-content/EN/TXT/?uri=CELEX%3A52023PC0416</vt:lpwstr>
      </vt:variant>
      <vt:variant>
        <vt:lpwstr/>
      </vt:variant>
      <vt:variant>
        <vt:i4>7405667</vt:i4>
      </vt:variant>
      <vt:variant>
        <vt:i4>48</vt:i4>
      </vt:variant>
      <vt:variant>
        <vt:i4>0</vt:i4>
      </vt:variant>
      <vt:variant>
        <vt:i4>5</vt:i4>
      </vt:variant>
      <vt:variant>
        <vt:lpwstr>https://eur-lex.europa.eu/legal-content/EN/TXT/?uri=COM%3A2023%3A728%3AFIN</vt:lpwstr>
      </vt:variant>
      <vt:variant>
        <vt:lpwstr/>
      </vt:variant>
      <vt:variant>
        <vt:i4>1245270</vt:i4>
      </vt:variant>
      <vt:variant>
        <vt:i4>45</vt:i4>
      </vt:variant>
      <vt:variant>
        <vt:i4>0</vt:i4>
      </vt:variant>
      <vt:variant>
        <vt:i4>5</vt:i4>
      </vt:variant>
      <vt:variant>
        <vt:lpwstr>https://www.wekeo.eu/</vt:lpwstr>
      </vt:variant>
      <vt:variant>
        <vt:lpwstr/>
      </vt:variant>
      <vt:variant>
        <vt:i4>1179649</vt:i4>
      </vt:variant>
      <vt:variant>
        <vt:i4>42</vt:i4>
      </vt:variant>
      <vt:variant>
        <vt:i4>0</vt:i4>
      </vt:variant>
      <vt:variant>
        <vt:i4>5</vt:i4>
      </vt:variant>
      <vt:variant>
        <vt:lpwstr>https://dataspace.copernicus.eu/</vt:lpwstr>
      </vt:variant>
      <vt:variant>
        <vt:lpwstr/>
      </vt:variant>
      <vt:variant>
        <vt:i4>5767227</vt:i4>
      </vt:variant>
      <vt:variant>
        <vt:i4>39</vt:i4>
      </vt:variant>
      <vt:variant>
        <vt:i4>0</vt:i4>
      </vt:variant>
      <vt:variant>
        <vt:i4>5</vt:i4>
      </vt:variant>
      <vt:variant>
        <vt:lpwstr>https://climate.ec.europa.eu/document/download/768bc81f-5f48-48e3-b4d4-e02ba09faca1_en</vt:lpwstr>
      </vt:variant>
      <vt:variant>
        <vt:lpwstr/>
      </vt:variant>
      <vt:variant>
        <vt:i4>4325464</vt:i4>
      </vt:variant>
      <vt:variant>
        <vt:i4>36</vt:i4>
      </vt:variant>
      <vt:variant>
        <vt:i4>0</vt:i4>
      </vt:variant>
      <vt:variant>
        <vt:i4>5</vt:i4>
      </vt:variant>
      <vt:variant>
        <vt:lpwstr>https://eur-lex.europa.eu/legal-content/EN/TXT/PDF/?uri=CELEX:52021DC0082&amp;from=EN</vt:lpwstr>
      </vt:variant>
      <vt:variant>
        <vt:lpwstr/>
      </vt:variant>
      <vt:variant>
        <vt:i4>7405604</vt:i4>
      </vt:variant>
      <vt:variant>
        <vt:i4>33</vt:i4>
      </vt:variant>
      <vt:variant>
        <vt:i4>0</vt:i4>
      </vt:variant>
      <vt:variant>
        <vt:i4>5</vt:i4>
      </vt:variant>
      <vt:variant>
        <vt:lpwstr>https://eur-lex.europa.eu/legal-content/EN/TXT/?uri=CELEX%3A52023JC0019</vt:lpwstr>
      </vt:variant>
      <vt:variant>
        <vt:lpwstr/>
      </vt:variant>
      <vt:variant>
        <vt:i4>589885</vt:i4>
      </vt:variant>
      <vt:variant>
        <vt:i4>30</vt:i4>
      </vt:variant>
      <vt:variant>
        <vt:i4>0</vt:i4>
      </vt:variant>
      <vt:variant>
        <vt:i4>5</vt:i4>
      </vt:variant>
      <vt:variant>
        <vt:lpwstr>https://civil-protection-humanitarian-aid.ec.europa.eu/what/civil-protection/european-disaster-risk-management_en</vt:lpwstr>
      </vt:variant>
      <vt:variant>
        <vt:lpwstr/>
      </vt:variant>
      <vt:variant>
        <vt:i4>7798798</vt:i4>
      </vt:variant>
      <vt:variant>
        <vt:i4>27</vt:i4>
      </vt:variant>
      <vt:variant>
        <vt:i4>0</vt:i4>
      </vt:variant>
      <vt:variant>
        <vt:i4>5</vt:i4>
      </vt:variant>
      <vt:variant>
        <vt:lpwstr>https://commission.europa.eu/energy-climate-change-environment/implementation-eu-countries/energy-and-climate-governance-and-reporting/national-energy-and-climate-plans_en</vt:lpwstr>
      </vt:variant>
      <vt:variant>
        <vt:lpwstr/>
      </vt:variant>
      <vt:variant>
        <vt:i4>6226007</vt:i4>
      </vt:variant>
      <vt:variant>
        <vt:i4>24</vt:i4>
      </vt:variant>
      <vt:variant>
        <vt:i4>0</vt:i4>
      </vt:variant>
      <vt:variant>
        <vt:i4>5</vt:i4>
      </vt:variant>
      <vt:variant>
        <vt:lpwstr>https://climate.ec.europa.eu/system/files/2023-12/SWD_2023_932_1_EN.pdf</vt:lpwstr>
      </vt:variant>
      <vt:variant>
        <vt:lpwstr/>
      </vt:variant>
      <vt:variant>
        <vt:i4>1638400</vt:i4>
      </vt:variant>
      <vt:variant>
        <vt:i4>21</vt:i4>
      </vt:variant>
      <vt:variant>
        <vt:i4>0</vt:i4>
      </vt:variant>
      <vt:variant>
        <vt:i4>5</vt:i4>
      </vt:variant>
      <vt:variant>
        <vt:lpwstr>https://eur-lex.europa.eu/legal-content/EN/ALL/?uri=CELEX:52023SC0339</vt:lpwstr>
      </vt:variant>
      <vt:variant>
        <vt:lpwstr/>
      </vt:variant>
      <vt:variant>
        <vt:i4>131099</vt:i4>
      </vt:variant>
      <vt:variant>
        <vt:i4>18</vt:i4>
      </vt:variant>
      <vt:variant>
        <vt:i4>0</vt:i4>
      </vt:variant>
      <vt:variant>
        <vt:i4>5</vt:i4>
      </vt:variant>
      <vt:variant>
        <vt:lpwstr>https://www.consilium.europa.eu/media/67627/20241027-european-council-conclusions.pdf</vt:lpwstr>
      </vt:variant>
      <vt:variant>
        <vt:lpwstr/>
      </vt:variant>
      <vt:variant>
        <vt:i4>327717</vt:i4>
      </vt:variant>
      <vt:variant>
        <vt:i4>15</vt:i4>
      </vt:variant>
      <vt:variant>
        <vt:i4>0</vt:i4>
      </vt:variant>
      <vt:variant>
        <vt:i4>5</vt:i4>
      </vt:variant>
      <vt:variant>
        <vt:lpwstr>https://www.europarl.europa.eu/doceo/document/TA-9-2022-0330_EN.html</vt:lpwstr>
      </vt:variant>
      <vt:variant>
        <vt:lpwstr/>
      </vt:variant>
      <vt:variant>
        <vt:i4>6684748</vt:i4>
      </vt:variant>
      <vt:variant>
        <vt:i4>12</vt:i4>
      </vt:variant>
      <vt:variant>
        <vt:i4>0</vt:i4>
      </vt:variant>
      <vt:variant>
        <vt:i4>5</vt:i4>
      </vt:variant>
      <vt:variant>
        <vt:lpwstr>https://www.ecb.europa.eu/press/pr/date/2023/html/ecb.pr231218_1~6b3bea9532.en.html</vt:lpwstr>
      </vt:variant>
      <vt:variant>
        <vt:lpwstr/>
      </vt:variant>
      <vt:variant>
        <vt:i4>7077949</vt:i4>
      </vt:variant>
      <vt:variant>
        <vt:i4>9</vt:i4>
      </vt:variant>
      <vt:variant>
        <vt:i4>0</vt:i4>
      </vt:variant>
      <vt:variant>
        <vt:i4>5</vt:i4>
      </vt:variant>
      <vt:variant>
        <vt:lpwstr>https://www.weforum.org/publications/global-risks-report-2024/</vt:lpwstr>
      </vt:variant>
      <vt:variant>
        <vt:lpwstr/>
      </vt:variant>
      <vt:variant>
        <vt:i4>3342457</vt:i4>
      </vt:variant>
      <vt:variant>
        <vt:i4>6</vt:i4>
      </vt:variant>
      <vt:variant>
        <vt:i4>0</vt:i4>
      </vt:variant>
      <vt:variant>
        <vt:i4>5</vt:i4>
      </vt:variant>
      <vt:variant>
        <vt:lpwstr>https://www.eea.europa.eu/publications/european-climate-risk-assessment</vt:lpwstr>
      </vt:variant>
      <vt:variant>
        <vt:lpwstr/>
      </vt:variant>
      <vt:variant>
        <vt:i4>1835017</vt:i4>
      </vt:variant>
      <vt:variant>
        <vt:i4>3</vt:i4>
      </vt:variant>
      <vt:variant>
        <vt:i4>0</vt:i4>
      </vt:variant>
      <vt:variant>
        <vt:i4>5</vt:i4>
      </vt:variant>
      <vt:variant>
        <vt:lpwstr>https://climate.copernicus.eu/copernicus-2023-hottest-year-record</vt:lpwstr>
      </vt:variant>
      <vt:variant>
        <vt:lpwstr/>
      </vt:variant>
      <vt:variant>
        <vt:i4>5832730</vt:i4>
      </vt:variant>
      <vt:variant>
        <vt:i4>0</vt:i4>
      </vt:variant>
      <vt:variant>
        <vt:i4>0</vt:i4>
      </vt:variant>
      <vt:variant>
        <vt:i4>5</vt:i4>
      </vt:variant>
      <vt:variant>
        <vt:lpwstr>https://eur-lex.europa.eu/legal-content/EN/TXT/?uri=COM%3A2024%3A63%3AFIN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2024-03-11T21:25:00Z</dcterms:created>
  <dcterms:modified xsi:type="dcterms:W3CDTF">2024-03-18T22:02:00Z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9.0, Build 20230317</vt:lpwstr>
  </property>
  <property fmtid="{D5CDD505-2E9C-101B-9397-08002B2CF9AE}" pid="4" name="MSIP_Label_6bd9ddd1-4d20-43f6-abfa-fc3c07406f94_Name">
    <vt:lpwstr>Commission Use</vt:lpwstr>
  </property>
  <property fmtid="{D5CDD505-2E9C-101B-9397-08002B2CF9AE}" pid="5" name="Part">
    <vt:lpwstr>1</vt:lpwstr>
  </property>
  <property fmtid="{D5CDD505-2E9C-101B-9397-08002B2CF9AE}" pid="6" name="MediaServiceImageTags">
    <vt:lpwstr/>
  </property>
  <property fmtid="{D5CDD505-2E9C-101B-9397-08002B2CF9AE}" pid="7" name="ContentTypeId">
    <vt:lpwstr>0x010100ECFDF3D715AA394A9B15E0E0FAA07E37</vt:lpwstr>
  </property>
  <property fmtid="{D5CDD505-2E9C-101B-9397-08002B2CF9AE}" pid="8" name="MSIP_Label_6bd9ddd1-4d20-43f6-abfa-fc3c07406f94_ContentBits">
    <vt:lpwstr>0</vt:lpwstr>
  </property>
  <property fmtid="{D5CDD505-2E9C-101B-9397-08002B2CF9AE}" pid="9" name="CPTemplateID">
    <vt:lpwstr>CP-014</vt:lpwstr>
  </property>
  <property fmtid="{D5CDD505-2E9C-101B-9397-08002B2CF9AE}" pid="10" name="MSIP_Label_6bd9ddd1-4d20-43f6-abfa-fc3c07406f94_SiteId">
    <vt:lpwstr>b24c8b06-522c-46fe-9080-70926f8dddb1</vt:lpwstr>
  </property>
  <property fmtid="{D5CDD505-2E9C-101B-9397-08002B2CF9AE}" pid="11" name="MSIP_Label_6bd9ddd1-4d20-43f6-abfa-fc3c07406f94_Method">
    <vt:lpwstr>Standard</vt:lpwstr>
  </property>
  <property fmtid="{D5CDD505-2E9C-101B-9397-08002B2CF9AE}" pid="12" name="MSIP_Label_6bd9ddd1-4d20-43f6-abfa-fc3c07406f94_Enabled">
    <vt:lpwstr>true</vt:lpwstr>
  </property>
  <property fmtid="{D5CDD505-2E9C-101B-9397-08002B2CF9AE}" pid="13" name="Total parts">
    <vt:lpwstr>1</vt:lpwstr>
  </property>
  <property fmtid="{D5CDD505-2E9C-101B-9397-08002B2CF9AE}" pid="14" name="MSIP_Label_6bd9ddd1-4d20-43f6-abfa-fc3c07406f94_SetDate">
    <vt:lpwstr>2024-02-09T06:41:38Z</vt:lpwstr>
  </property>
  <property fmtid="{D5CDD505-2E9C-101B-9397-08002B2CF9AE}" pid="15" name="Level of sensitivity">
    <vt:lpwstr>Standard treatment</vt:lpwstr>
  </property>
  <property fmtid="{D5CDD505-2E9C-101B-9397-08002B2CF9AE}" pid="16" name="MSIP_Label_6bd9ddd1-4d20-43f6-abfa-fc3c07406f94_ActionId">
    <vt:lpwstr>823e5efc-0c59-42b9-b19c-7cfeca294b5c</vt:lpwstr>
  </property>
</Properties>
</file>