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F33231" w14:textId="5D030965" w:rsidR="00894F53" w:rsidRPr="000C480E" w:rsidRDefault="001A17E8" w:rsidP="001A17E8">
      <w:pPr>
        <w:pStyle w:val="Pagedecouverture"/>
        <w:rPr>
          <w:noProof/>
        </w:rPr>
      </w:pPr>
      <w:bookmarkStart w:id="0" w:name="_Toc155653106"/>
      <w:bookmarkStart w:id="1" w:name="LW_BM_COVERPAGE"/>
      <w:r>
        <w:rPr>
          <w:noProof/>
        </w:rPr>
        <w:pict w14:anchorId="00C15BC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4DA8484B-38A4-4A80-A50D-F38DE45B2BB6" style="width:455.25pt;height:324pt">
            <v:imagedata r:id="rId11" o:title=""/>
          </v:shape>
        </w:pict>
      </w:r>
    </w:p>
    <w:bookmarkEnd w:id="1"/>
    <w:p w14:paraId="6C57CBD1" w14:textId="63DB8D5D" w:rsidR="00520D09" w:rsidRPr="000C480E" w:rsidRDefault="00520D09" w:rsidP="00181CD8">
      <w:pPr>
        <w:pStyle w:val="Pagedecouverture"/>
        <w:rPr>
          <w:noProof/>
        </w:rPr>
        <w:sectPr w:rsidR="00520D09" w:rsidRPr="000C480E" w:rsidSect="001A17E8">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1AF2B155" w14:textId="6B89CCA3" w:rsidR="00875A04" w:rsidRPr="000C480E" w:rsidRDefault="00875A04" w:rsidP="00875A04">
      <w:pPr>
        <w:pStyle w:val="Typedudocument"/>
        <w:rPr>
          <w:noProof/>
        </w:rPr>
      </w:pPr>
      <w:bookmarkStart w:id="2" w:name="_Toc159792195"/>
      <w:bookmarkStart w:id="3" w:name="_Toc155653035"/>
      <w:bookmarkStart w:id="4" w:name="_Toc155653107"/>
      <w:bookmarkStart w:id="5" w:name="_GoBack"/>
      <w:bookmarkEnd w:id="0"/>
      <w:bookmarkEnd w:id="5"/>
      <w:r w:rsidRPr="000C480E">
        <w:rPr>
          <w:noProof/>
        </w:rPr>
        <w:lastRenderedPageBreak/>
        <w:t>COMUNICARE A COMISIEI CĂTRE PARLAMENTUL EUROPEAN, CONSILIU, COMITETUL ECONOMIC ȘI SOCIAL EUROPEAN ȘI COMITETUL REGIUNILOR</w:t>
      </w:r>
    </w:p>
    <w:p w14:paraId="5C8FF60C" w14:textId="19DF0793" w:rsidR="00875A04" w:rsidRPr="000C480E" w:rsidRDefault="00875A04" w:rsidP="00875A04">
      <w:pPr>
        <w:pStyle w:val="Titreobjet"/>
        <w:rPr>
          <w:noProof/>
        </w:rPr>
      </w:pPr>
      <w:bookmarkStart w:id="6" w:name="_Hlk161662265"/>
      <w:r w:rsidRPr="000C480E">
        <w:rPr>
          <w:noProof/>
        </w:rPr>
        <w:t>Gestionarea riscurilor climatice – protejarea oamenilor și a prosperității</w:t>
      </w:r>
      <w:bookmarkEnd w:id="6"/>
    </w:p>
    <w:p w14:paraId="2FAB77FE" w14:textId="02A3AF7D" w:rsidR="0053389F" w:rsidRPr="000C480E" w:rsidRDefault="0053389F" w:rsidP="00B06AE7">
      <w:pPr>
        <w:pStyle w:val="Heading1"/>
        <w:numPr>
          <w:ilvl w:val="0"/>
          <w:numId w:val="1"/>
        </w:numPr>
        <w:rPr>
          <w:rFonts w:ascii="Times New Roman" w:hAnsi="Times New Roman" w:cs="Times New Roman"/>
          <w:b/>
          <w:bCs/>
          <w:noProof/>
          <w:color w:val="000000" w:themeColor="text1"/>
          <w:sz w:val="24"/>
          <w:szCs w:val="24"/>
        </w:rPr>
      </w:pPr>
      <w:r w:rsidRPr="000C480E">
        <w:rPr>
          <w:rFonts w:ascii="Times New Roman" w:hAnsi="Times New Roman"/>
          <w:b/>
          <w:noProof/>
          <w:color w:val="000000" w:themeColor="text1"/>
          <w:sz w:val="24"/>
        </w:rPr>
        <w:t>Introducere</w:t>
      </w:r>
      <w:bookmarkEnd w:id="2"/>
      <w:r w:rsidRPr="000C480E">
        <w:rPr>
          <w:rFonts w:ascii="Times New Roman" w:hAnsi="Times New Roman"/>
          <w:b/>
          <w:noProof/>
          <w:color w:val="000000" w:themeColor="text1"/>
          <w:sz w:val="24"/>
        </w:rPr>
        <w:t xml:space="preserve"> </w:t>
      </w:r>
      <w:bookmarkEnd w:id="3"/>
      <w:bookmarkEnd w:id="4"/>
    </w:p>
    <w:p w14:paraId="0CCCCB59" w14:textId="29FCA4D7" w:rsidR="000040FA" w:rsidRPr="000C480E" w:rsidRDefault="000040FA" w:rsidP="000040FA">
      <w:pPr>
        <w:rPr>
          <w:rFonts w:ascii="Times New Roman" w:hAnsi="Times New Roman" w:cs="Times New Roman"/>
          <w:noProof/>
          <w:color w:val="000000" w:themeColor="text1"/>
          <w:sz w:val="24"/>
          <w:szCs w:val="24"/>
          <w:lang w:eastAsia="en-IE"/>
        </w:rPr>
      </w:pPr>
    </w:p>
    <w:p w14:paraId="32C4CF33" w14:textId="60DA2393" w:rsidR="006B7564" w:rsidRPr="000C480E" w:rsidRDefault="006474E7">
      <w:pPr>
        <w:pStyle w:val="Heading2"/>
        <w:spacing w:after="120"/>
        <w:ind w:left="1565" w:hanging="431"/>
        <w:jc w:val="both"/>
        <w:textAlignment w:val="baseline"/>
        <w:rPr>
          <w:rFonts w:ascii="Times New Roman" w:hAnsi="Times New Roman" w:cs="Times New Roman"/>
          <w:b/>
          <w:bCs/>
          <w:noProof/>
          <w:color w:val="000000" w:themeColor="text1"/>
          <w:sz w:val="24"/>
          <w:szCs w:val="24"/>
        </w:rPr>
      </w:pPr>
      <w:bookmarkStart w:id="7" w:name="_Toc159792196"/>
      <w:r w:rsidRPr="000C480E">
        <w:rPr>
          <w:rFonts w:ascii="Times New Roman" w:hAnsi="Times New Roman"/>
          <w:b/>
          <w:noProof/>
          <w:color w:val="000000" w:themeColor="text1"/>
          <w:sz w:val="24"/>
        </w:rPr>
        <w:t>Accelerarea riscurilor climatice necesită o gestionare proactivă</w:t>
      </w:r>
      <w:bookmarkEnd w:id="7"/>
    </w:p>
    <w:p w14:paraId="12F6DEBA" w14:textId="7A4DA690" w:rsidR="006B7564" w:rsidRPr="000C480E" w:rsidRDefault="006B7564" w:rsidP="0049438C">
      <w:pPr>
        <w:spacing w:after="120"/>
        <w:jc w:val="both"/>
        <w:textAlignment w:val="baseline"/>
        <w:rPr>
          <w:rFonts w:ascii="Times New Roman" w:eastAsia="Times New Roman" w:hAnsi="Times New Roman" w:cs="Times New Roman"/>
          <w:b/>
          <w:bCs/>
          <w:noProof/>
          <w:color w:val="000000" w:themeColor="text1"/>
          <w:sz w:val="24"/>
          <w:szCs w:val="24"/>
          <w:lang w:eastAsia="en-IE"/>
        </w:rPr>
      </w:pPr>
    </w:p>
    <w:p w14:paraId="13F2F0E5" w14:textId="60AEE7B9" w:rsidR="0049438C" w:rsidRPr="000C480E" w:rsidRDefault="006C74BF" w:rsidP="0049438C">
      <w:pPr>
        <w:spacing w:after="120"/>
        <w:jc w:val="both"/>
        <w:textAlignment w:val="baseline"/>
        <w:rPr>
          <w:rFonts w:ascii="Times New Roman" w:eastAsia="Times New Roman" w:hAnsi="Times New Roman" w:cs="Times New Roman"/>
          <w:noProof/>
          <w:color w:val="000000" w:themeColor="text1"/>
          <w:sz w:val="24"/>
          <w:szCs w:val="24"/>
        </w:rPr>
      </w:pPr>
      <w:r w:rsidRPr="000C480E">
        <w:rPr>
          <w:rFonts w:ascii="Times New Roman" w:hAnsi="Times New Roman"/>
          <w:b/>
          <w:noProof/>
          <w:color w:val="000000" w:themeColor="text1"/>
          <w:sz w:val="24"/>
        </w:rPr>
        <w:t xml:space="preserve">Gestionarea incertitudinii definește procesul decizional în prezent, fie că este vorba de public, de întreprinderi sau de guverne. </w:t>
      </w:r>
      <w:r w:rsidRPr="000C480E">
        <w:rPr>
          <w:rFonts w:ascii="Times New Roman" w:hAnsi="Times New Roman"/>
          <w:noProof/>
          <w:color w:val="000000" w:themeColor="text1"/>
          <w:sz w:val="24"/>
        </w:rPr>
        <w:t xml:space="preserve">Războiul și incertitudinile geopolitice, costul vieții, provocările demografice, degradarea mediului și urgențele sanitare, inegalitățile sociale, polarizarea politică și dezinformarea, evoluțiile tehnologice rapide și migrația necesită acțiuni urgente. Factorii de decizie politică trebuie să găsească un echilibru între atenția acordată unei situații și resursele care trebuie alocate situației respective. Corelată cu celelalte crize planetare legate de poluare și de pierderea biodiversității și amplificând multe dintre celelalte riscuri, criza climatică este probabil cea mai existențială dintre toate amenințările cu care ne confruntăm. </w:t>
      </w:r>
    </w:p>
    <w:p w14:paraId="390785D1" w14:textId="0A1C0412" w:rsidR="0049438C" w:rsidRPr="000C480E" w:rsidRDefault="0049438C" w:rsidP="0049438C">
      <w:pPr>
        <w:spacing w:after="120"/>
        <w:jc w:val="both"/>
        <w:textAlignment w:val="baseline"/>
        <w:rPr>
          <w:rFonts w:ascii="Times New Roman" w:eastAsia="Times New Roman" w:hAnsi="Times New Roman" w:cs="Times New Roman"/>
          <w:noProof/>
          <w:color w:val="000000" w:themeColor="text1"/>
          <w:sz w:val="24"/>
          <w:szCs w:val="24"/>
        </w:rPr>
      </w:pPr>
      <w:r w:rsidRPr="000C480E">
        <w:rPr>
          <w:rFonts w:ascii="Times New Roman" w:hAnsi="Times New Roman"/>
          <w:b/>
          <w:noProof/>
          <w:color w:val="000000"/>
          <w:sz w:val="24"/>
        </w:rPr>
        <w:t>UE ia măsuri pentru a reduce emisiile de gaze cu efect de seră</w:t>
      </w:r>
      <w:r w:rsidRPr="000C480E">
        <w:rPr>
          <w:rFonts w:ascii="Times New Roman" w:hAnsi="Times New Roman"/>
          <w:noProof/>
          <w:color w:val="000000"/>
          <w:sz w:val="24"/>
        </w:rPr>
        <w:t xml:space="preserve"> în acest deceniu și pentru a atinge neutralitatea climatică până în 2050. Comisia a inițiat o dezbatere privind un obiectiv climatic pentru 2040, ca un pas înainte către un viitor competitiv, cu zero emisii nete</w:t>
      </w:r>
      <w:r w:rsidRPr="000C480E">
        <w:rPr>
          <w:rStyle w:val="FootnoteReference"/>
          <w:rFonts w:ascii="Times New Roman" w:hAnsi="Times New Roman" w:cs="Times New Roman"/>
          <w:noProof/>
          <w:color w:val="000000"/>
          <w:sz w:val="24"/>
          <w:szCs w:val="24"/>
          <w:lang w:eastAsia="en-IE"/>
        </w:rPr>
        <w:footnoteReference w:id="2"/>
      </w:r>
      <w:r w:rsidRPr="000C480E">
        <w:rPr>
          <w:rFonts w:ascii="Times New Roman" w:hAnsi="Times New Roman"/>
          <w:noProof/>
          <w:color w:val="000000"/>
          <w:sz w:val="24"/>
        </w:rPr>
        <w:t>. Sunt necesare astfel de reduceri rapide ale emisiilor la nivel mondial, deoarece există limite fizice în ceea ce privește adaptarea.</w:t>
      </w:r>
    </w:p>
    <w:p w14:paraId="073A715A" w14:textId="3FF182CA" w:rsidR="0042472C" w:rsidRPr="000C480E" w:rsidRDefault="00027C6C" w:rsidP="009357C0">
      <w:pPr>
        <w:spacing w:after="120"/>
        <w:jc w:val="both"/>
        <w:textAlignment w:val="baseline"/>
        <w:rPr>
          <w:rFonts w:ascii="Times New Roman" w:eastAsia="Times New Roman" w:hAnsi="Times New Roman" w:cs="Times New Roman"/>
          <w:noProof/>
          <w:color w:val="000000" w:themeColor="text1"/>
          <w:sz w:val="24"/>
          <w:szCs w:val="24"/>
        </w:rPr>
      </w:pPr>
      <w:r w:rsidRPr="000C480E">
        <w:rPr>
          <w:rFonts w:ascii="Times New Roman" w:hAnsi="Times New Roman"/>
          <w:b/>
          <w:noProof/>
          <w:color w:val="000000" w:themeColor="text1"/>
          <w:sz w:val="24"/>
        </w:rPr>
        <w:t>Cu toate acestea, impactul schimbărilor climatice este deja prezent, iar riscurile vor continua să crească în următoarele decenii și ulterior</w:t>
      </w:r>
      <w:r w:rsidRPr="000C480E">
        <w:rPr>
          <w:rFonts w:ascii="Times New Roman" w:hAnsi="Times New Roman"/>
          <w:noProof/>
          <w:color w:val="000000" w:themeColor="text1"/>
          <w:sz w:val="24"/>
        </w:rPr>
        <w:t xml:space="preserve"> din cauza inerției sistemului climatic, chiar dacă reducerile ambițioase ale emisiilor la nivel mondial reduc daunele potențiale. În februarie 2024, serviciul Copernicus privind schimbările climatice a raportat că temperatura medie globală din ultimele 12 luni depășise pragul de 1,5 grade Celsius peste nivelurile preindustriale</w:t>
      </w:r>
      <w:r w:rsidR="00A002CB" w:rsidRPr="000C480E">
        <w:rPr>
          <w:rStyle w:val="FootnoteReference"/>
          <w:rFonts w:ascii="Times New Roman" w:eastAsia="Times New Roman" w:hAnsi="Times New Roman" w:cs="Times New Roman"/>
          <w:noProof/>
          <w:color w:val="000000" w:themeColor="text1"/>
          <w:sz w:val="24"/>
          <w:szCs w:val="24"/>
          <w:lang w:eastAsia="en-IE"/>
        </w:rPr>
        <w:footnoteReference w:id="3"/>
      </w:r>
      <w:r w:rsidRPr="000C480E">
        <w:rPr>
          <w:rFonts w:ascii="Times New Roman" w:hAnsi="Times New Roman"/>
          <w:noProof/>
          <w:color w:val="000000" w:themeColor="text1"/>
          <w:sz w:val="24"/>
        </w:rPr>
        <w:t xml:space="preserve">. </w:t>
      </w:r>
      <w:r w:rsidRPr="000C480E">
        <w:rPr>
          <w:rFonts w:ascii="Times New Roman" w:hAnsi="Times New Roman"/>
          <w:b/>
          <w:noProof/>
          <w:color w:val="000000" w:themeColor="text1"/>
          <w:sz w:val="24"/>
        </w:rPr>
        <w:t>Perspectivele pentru Europa</w:t>
      </w:r>
      <w:r w:rsidRPr="000C480E">
        <w:rPr>
          <w:rFonts w:ascii="Times New Roman" w:hAnsi="Times New Roman"/>
          <w:noProof/>
          <w:color w:val="000000" w:themeColor="text1"/>
          <w:sz w:val="24"/>
        </w:rPr>
        <w:t xml:space="preserve"> sunt prezentate în prima evaluare europeană a riscurilor climatice (EUCRA)</w:t>
      </w:r>
      <w:r w:rsidR="001364A4" w:rsidRPr="000C480E">
        <w:rPr>
          <w:rFonts w:ascii="Times New Roman" w:eastAsia="Times New Roman" w:hAnsi="Times New Roman" w:cs="Times New Roman"/>
          <w:noProof/>
          <w:color w:val="000000" w:themeColor="text1"/>
          <w:sz w:val="24"/>
          <w:szCs w:val="24"/>
          <w:vertAlign w:val="superscript"/>
          <w:lang w:eastAsia="en-IE"/>
        </w:rPr>
        <w:footnoteReference w:id="4"/>
      </w:r>
      <w:r w:rsidRPr="000C480E">
        <w:rPr>
          <w:rFonts w:ascii="Times New Roman" w:hAnsi="Times New Roman"/>
          <w:noProof/>
          <w:color w:val="000000" w:themeColor="text1"/>
          <w:sz w:val="24"/>
        </w:rPr>
        <w:t xml:space="preserve"> de către Agenția Europeană de Mediu. În cel mai bun caz, în care limităm încălzirea globală la 1,5 grade peste nivelurile preindustriale, Europa, care se încălzește de două ori mai mult decât rata globală, va trebui să învețe să trăiască cu o climă mai caldă cu 3 grade și, prin urmare, să facă față unui număr din ce în ce mai mare de valuri de căldură și altor fenomene meteorologice extreme.</w:t>
      </w:r>
    </w:p>
    <w:p w14:paraId="7CC4C2B5" w14:textId="77777777" w:rsidR="008E7A30" w:rsidRPr="000D1DBC" w:rsidRDefault="008E7A30" w:rsidP="000D1DBC">
      <w:pPr>
        <w:spacing w:after="0" w:line="240" w:lineRule="auto"/>
        <w:jc w:val="both"/>
        <w:textAlignment w:val="baseline"/>
        <w:rPr>
          <w:rFonts w:ascii="Times New Roman" w:hAnsi="Times New Roman" w:cs="Times New Roman"/>
          <w:i/>
          <w:iCs/>
          <w:noProof/>
          <w:color w:val="000000" w:themeColor="text1"/>
          <w:sz w:val="24"/>
          <w:szCs w:val="24"/>
          <w:lang w:eastAsia="en-IE"/>
        </w:rPr>
      </w:pPr>
    </w:p>
    <w:p w14:paraId="61B104CE" w14:textId="77777777" w:rsidR="008E7A30" w:rsidRPr="000D1DBC" w:rsidRDefault="008E7A30" w:rsidP="000D1DBC">
      <w:pPr>
        <w:spacing w:after="0" w:line="240" w:lineRule="auto"/>
        <w:jc w:val="both"/>
        <w:textAlignment w:val="baseline"/>
        <w:rPr>
          <w:rFonts w:ascii="Times New Roman" w:hAnsi="Times New Roman" w:cs="Times New Roman"/>
          <w:i/>
          <w:iCs/>
          <w:noProof/>
          <w:color w:val="000000" w:themeColor="text1"/>
          <w:sz w:val="24"/>
          <w:szCs w:val="24"/>
          <w:lang w:eastAsia="en-IE"/>
        </w:rPr>
      </w:pPr>
    </w:p>
    <w:p w14:paraId="21DDD868" w14:textId="77777777" w:rsidR="00C15BCA" w:rsidRPr="000C480E" w:rsidRDefault="00C15BCA" w:rsidP="000D1DBC">
      <w:pPr>
        <w:spacing w:after="0" w:line="240" w:lineRule="auto"/>
        <w:rPr>
          <w:rFonts w:ascii="Times New Roman" w:hAnsi="Times New Roman" w:cs="Times New Roman"/>
          <w:noProof/>
          <w:color w:val="000000" w:themeColor="text1"/>
          <w:sz w:val="24"/>
          <w:szCs w:val="24"/>
        </w:rPr>
      </w:pPr>
      <w:r w:rsidRPr="000C480E">
        <w:rPr>
          <w:noProof/>
        </w:rPr>
        <w:br w:type="page"/>
      </w:r>
    </w:p>
    <w:p w14:paraId="47BF74A1" w14:textId="4E83659B" w:rsidR="00A916D0" w:rsidRPr="000C480E" w:rsidRDefault="00A916D0" w:rsidP="009357C0">
      <w:pPr>
        <w:spacing w:after="120"/>
        <w:jc w:val="both"/>
        <w:textAlignment w:val="baseline"/>
        <w:rPr>
          <w:rFonts w:ascii="Times New Roman" w:hAnsi="Times New Roman" w:cs="Times New Roman"/>
          <w:noProof/>
          <w:color w:val="000000" w:themeColor="text1"/>
          <w:sz w:val="24"/>
          <w:szCs w:val="24"/>
        </w:rPr>
      </w:pPr>
      <w:r w:rsidRPr="000C480E">
        <w:rPr>
          <w:rFonts w:ascii="Times New Roman" w:hAnsi="Times New Roman"/>
          <w:noProof/>
          <w:color w:val="000000" w:themeColor="text1"/>
          <w:sz w:val="24"/>
        </w:rPr>
        <w:t xml:space="preserve">Figura 1: Prognoze de temperatură pentru Europa în cadrul a patru scenarii climatice globale standard </w:t>
      </w:r>
    </w:p>
    <w:p w14:paraId="33C8E768" w14:textId="2F634C86" w:rsidR="00A916D0" w:rsidRPr="000C480E" w:rsidRDefault="000C480E" w:rsidP="009357C0">
      <w:pPr>
        <w:spacing w:after="120"/>
        <w:jc w:val="both"/>
        <w:textAlignment w:val="baseline"/>
        <w:rPr>
          <w:rFonts w:ascii="Times New Roman" w:hAnsi="Times New Roman" w:cs="Times New Roman"/>
          <w:noProof/>
          <w:color w:val="000000" w:themeColor="text1"/>
          <w:sz w:val="24"/>
          <w:szCs w:val="24"/>
        </w:rPr>
      </w:pPr>
      <w:r w:rsidRPr="000C480E">
        <w:rPr>
          <w:rFonts w:ascii="Times New Roman" w:hAnsi="Times New Roman" w:cs="Times New Roman"/>
          <w:noProof/>
          <w:color w:val="000000" w:themeColor="text1"/>
          <w:sz w:val="24"/>
          <w:szCs w:val="24"/>
          <w:lang w:val="en-GB" w:eastAsia="en-GB"/>
        </w:rPr>
        <w:drawing>
          <wp:inline distT="0" distB="0" distL="0" distR="0" wp14:anchorId="0F7B7EC2" wp14:editId="7367D358">
            <wp:extent cx="5760720" cy="345503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760720" cy="3455035"/>
                    </a:xfrm>
                    <a:prstGeom prst="rect">
                      <a:avLst/>
                    </a:prstGeom>
                  </pic:spPr>
                </pic:pic>
              </a:graphicData>
            </a:graphic>
          </wp:inline>
        </w:drawing>
      </w:r>
    </w:p>
    <w:p w14:paraId="014C0136" w14:textId="5D3C3C67" w:rsidR="009513CE" w:rsidRPr="000C480E" w:rsidRDefault="009513CE" w:rsidP="009513CE">
      <w:pPr>
        <w:spacing w:after="120"/>
        <w:jc w:val="both"/>
        <w:textAlignment w:val="baseline"/>
        <w:rPr>
          <w:rFonts w:ascii="Times New Roman" w:hAnsi="Times New Roman" w:cs="Times New Roman"/>
          <w:noProof/>
          <w:color w:val="000000" w:themeColor="text1"/>
          <w:sz w:val="24"/>
          <w:szCs w:val="24"/>
        </w:rPr>
      </w:pPr>
      <w:r w:rsidRPr="000C480E">
        <w:rPr>
          <w:rFonts w:ascii="Times New Roman" w:hAnsi="Times New Roman"/>
          <w:noProof/>
          <w:color w:val="000000" w:themeColor="text1"/>
          <w:sz w:val="24"/>
        </w:rPr>
        <w:t xml:space="preserve">Sursa: EUCRA, pe baza serviciului Copernicus privind schimbările climatice </w:t>
      </w:r>
    </w:p>
    <w:p w14:paraId="31EEE6DC" w14:textId="77777777" w:rsidR="00B514C5" w:rsidRPr="000C480E" w:rsidRDefault="00B514C5" w:rsidP="009357C0">
      <w:pPr>
        <w:spacing w:after="120"/>
        <w:jc w:val="both"/>
        <w:textAlignment w:val="baseline"/>
        <w:rPr>
          <w:rFonts w:ascii="Times New Roman" w:hAnsi="Times New Roman" w:cs="Times New Roman"/>
          <w:noProof/>
          <w:color w:val="000000" w:themeColor="text1"/>
          <w:sz w:val="24"/>
          <w:szCs w:val="24"/>
          <w:lang w:eastAsia="en-IE"/>
        </w:rPr>
      </w:pPr>
    </w:p>
    <w:p w14:paraId="7642DB25" w14:textId="1A70B821" w:rsidR="00C16BAB" w:rsidRPr="000C480E" w:rsidRDefault="00F522A2" w:rsidP="00CE5BA2">
      <w:pPr>
        <w:spacing w:after="120"/>
        <w:jc w:val="both"/>
        <w:textAlignment w:val="baseline"/>
        <w:rPr>
          <w:rFonts w:ascii="Times New Roman" w:eastAsia="Times New Roman" w:hAnsi="Times New Roman" w:cs="Times New Roman"/>
          <w:noProof/>
          <w:color w:val="000000" w:themeColor="text1"/>
          <w:sz w:val="24"/>
          <w:szCs w:val="24"/>
        </w:rPr>
      </w:pPr>
      <w:r w:rsidRPr="000C480E">
        <w:rPr>
          <w:rFonts w:ascii="Times New Roman" w:hAnsi="Times New Roman"/>
          <w:b/>
          <w:noProof/>
          <w:color w:val="000000" w:themeColor="text1"/>
          <w:sz w:val="24"/>
        </w:rPr>
        <w:t>Reziliența la schimbările climatice este o chestiune de menținere a funcțiilor societale, dar și a competitivității pentru economii și întreprinderi</w:t>
      </w:r>
      <w:r w:rsidRPr="000C480E">
        <w:rPr>
          <w:rFonts w:ascii="Times New Roman" w:hAnsi="Times New Roman"/>
          <w:b/>
          <w:noProof/>
          <w:sz w:val="24"/>
        </w:rPr>
        <w:t xml:space="preserve"> și, prin urmare, a locurilor de muncă. </w:t>
      </w:r>
      <w:r w:rsidRPr="000C480E">
        <w:rPr>
          <w:rFonts w:ascii="Times New Roman" w:hAnsi="Times New Roman"/>
          <w:noProof/>
          <w:color w:val="000000" w:themeColor="text1"/>
          <w:sz w:val="24"/>
        </w:rPr>
        <w:t xml:space="preserve">Gestionarea riscurilor climatice este o condiție necesară pentru </w:t>
      </w:r>
      <w:r w:rsidRPr="000C480E">
        <w:rPr>
          <w:rFonts w:ascii="Times New Roman" w:hAnsi="Times New Roman"/>
          <w:b/>
          <w:noProof/>
          <w:color w:val="000000" w:themeColor="text1"/>
          <w:sz w:val="24"/>
        </w:rPr>
        <w:t>îmbunătățirea nivelului de trai, combaterea inegalităților și protejarea oamenilor</w:t>
      </w:r>
      <w:r w:rsidRPr="000C480E">
        <w:rPr>
          <w:rFonts w:ascii="Times New Roman" w:hAnsi="Times New Roman"/>
          <w:noProof/>
          <w:color w:val="000000" w:themeColor="text1"/>
          <w:sz w:val="24"/>
        </w:rPr>
        <w:t>.</w:t>
      </w:r>
      <w:r w:rsidRPr="000C480E">
        <w:rPr>
          <w:rFonts w:ascii="Times New Roman" w:hAnsi="Times New Roman"/>
          <w:b/>
          <w:noProof/>
          <w:color w:val="000000" w:themeColor="text1"/>
          <w:sz w:val="24"/>
        </w:rPr>
        <w:t xml:space="preserve"> </w:t>
      </w:r>
      <w:r w:rsidRPr="000C480E">
        <w:rPr>
          <w:rFonts w:ascii="Times New Roman" w:hAnsi="Times New Roman"/>
          <w:b/>
          <w:noProof/>
          <w:sz w:val="24"/>
        </w:rPr>
        <w:t>Este o chestiune de supraviețuire economică pentru zonele rurale și de coastă, fermieri, silvicultori și pescari.</w:t>
      </w:r>
      <w:r w:rsidRPr="000C480E">
        <w:rPr>
          <w:rFonts w:ascii="Times New Roman" w:hAnsi="Times New Roman"/>
          <w:b/>
          <w:noProof/>
          <w:color w:val="000000" w:themeColor="text1"/>
          <w:sz w:val="24"/>
        </w:rPr>
        <w:t xml:space="preserve"> </w:t>
      </w:r>
      <w:r w:rsidRPr="000C480E">
        <w:rPr>
          <w:rFonts w:ascii="Times New Roman" w:hAnsi="Times New Roman"/>
          <w:noProof/>
          <w:color w:val="000000" w:themeColor="text1"/>
          <w:sz w:val="24"/>
        </w:rPr>
        <w:t>Pentru întreprinderi, riscurile climatice sunt deja binecunoscute și ocupă primele patru locuri în clasamentul riscurilor dintr-un deceniu</w:t>
      </w:r>
      <w:r w:rsidR="00202AD4" w:rsidRPr="000C480E">
        <w:rPr>
          <w:rFonts w:ascii="Times New Roman" w:eastAsia="Times New Roman" w:hAnsi="Times New Roman" w:cs="Times New Roman"/>
          <w:noProof/>
          <w:color w:val="000000" w:themeColor="text1"/>
          <w:sz w:val="24"/>
          <w:szCs w:val="24"/>
          <w:vertAlign w:val="superscript"/>
          <w:lang w:eastAsia="en-IE"/>
        </w:rPr>
        <w:footnoteReference w:id="5"/>
      </w:r>
      <w:r w:rsidRPr="000C480E">
        <w:rPr>
          <w:rFonts w:ascii="Times New Roman" w:hAnsi="Times New Roman"/>
          <w:noProof/>
          <w:color w:val="000000" w:themeColor="text1"/>
          <w:sz w:val="24"/>
        </w:rPr>
        <w:t xml:space="preserve">. </w:t>
      </w:r>
      <w:r w:rsidRPr="000C480E">
        <w:rPr>
          <w:rFonts w:ascii="Times New Roman" w:hAnsi="Times New Roman"/>
          <w:noProof/>
          <w:sz w:val="24"/>
        </w:rPr>
        <w:t>Întreprinderile mici și mijlocii (IMM-urile) se pot confrunta cu constrângeri deosebite în materie de resurse. Fie că este vorba de lanțuri de aprovizionare expuse, de scăderea accesului la asigurări, de active naționale vulnerabile, de pierderea biodiversității de care depind sectoarele economice sau de protecția insuficientă a oamenilor, redresarea în urma dezastrelor climatice tot mai intense va absorbi din ce în ce mai multe capacități și capital pentru cei care nu sunt pregătiți să le facă față.</w:t>
      </w:r>
      <w:r w:rsidRPr="000C480E">
        <w:rPr>
          <w:rFonts w:ascii="Times New Roman" w:hAnsi="Times New Roman"/>
          <w:noProof/>
          <w:color w:val="000000" w:themeColor="text1"/>
          <w:sz w:val="24"/>
        </w:rPr>
        <w:t xml:space="preserve"> </w:t>
      </w:r>
    </w:p>
    <w:p w14:paraId="11CF7BBE" w14:textId="5BEC580A" w:rsidR="00C00EEB" w:rsidRPr="000C480E" w:rsidRDefault="00202AD4" w:rsidP="000C2827">
      <w:pPr>
        <w:spacing w:after="120"/>
        <w:jc w:val="both"/>
        <w:textAlignment w:val="baseline"/>
        <w:rPr>
          <w:rFonts w:ascii="Times New Roman" w:eastAsia="Times New Roman" w:hAnsi="Times New Roman" w:cs="Times New Roman"/>
          <w:noProof/>
          <w:color w:val="000000" w:themeColor="text1"/>
          <w:sz w:val="24"/>
          <w:szCs w:val="24"/>
        </w:rPr>
      </w:pPr>
      <w:r w:rsidRPr="000C480E">
        <w:rPr>
          <w:rFonts w:ascii="Times New Roman" w:hAnsi="Times New Roman"/>
          <w:noProof/>
          <w:color w:val="000000" w:themeColor="text1"/>
          <w:sz w:val="24"/>
        </w:rPr>
        <w:t xml:space="preserve">Banca Centrală Europeană și Comitetul european pentru risc sistemic au recunoscut că </w:t>
      </w:r>
      <w:r w:rsidRPr="000C480E">
        <w:rPr>
          <w:rFonts w:ascii="Times New Roman" w:hAnsi="Times New Roman"/>
          <w:b/>
          <w:noProof/>
          <w:color w:val="000000" w:themeColor="text1"/>
          <w:sz w:val="24"/>
        </w:rPr>
        <w:t>riscurile climatice pot afecta stabilitatea financiară</w:t>
      </w:r>
      <w:r w:rsidRPr="000C480E">
        <w:rPr>
          <w:rFonts w:ascii="Times New Roman" w:hAnsi="Times New Roman"/>
          <w:noProof/>
          <w:color w:val="000000" w:themeColor="text1"/>
          <w:sz w:val="24"/>
        </w:rPr>
        <w:t xml:space="preserve"> în multe moduri și au pledat pentru o strategie macroprudențială solidă, la nivelul întregului sistem, pentru a aborda astfel de riscuri</w:t>
      </w:r>
      <w:r w:rsidRPr="000C480E">
        <w:rPr>
          <w:rStyle w:val="FootnoteReference"/>
          <w:rFonts w:ascii="Times New Roman" w:eastAsia="Times New Roman" w:hAnsi="Times New Roman" w:cs="Times New Roman"/>
          <w:noProof/>
          <w:color w:val="000000" w:themeColor="text1"/>
          <w:sz w:val="24"/>
          <w:szCs w:val="24"/>
          <w:lang w:eastAsia="en-IE"/>
        </w:rPr>
        <w:footnoteReference w:id="6"/>
      </w:r>
      <w:r w:rsidRPr="000C480E">
        <w:rPr>
          <w:rFonts w:ascii="Times New Roman" w:hAnsi="Times New Roman"/>
          <w:noProof/>
          <w:color w:val="000000" w:themeColor="text1"/>
          <w:sz w:val="24"/>
        </w:rPr>
        <w:t xml:space="preserve">. </w:t>
      </w:r>
      <w:r w:rsidRPr="000C480E">
        <w:rPr>
          <w:rFonts w:ascii="Times New Roman" w:hAnsi="Times New Roman"/>
          <w:noProof/>
          <w:sz w:val="24"/>
        </w:rPr>
        <w:t xml:space="preserve">În același timp, întreprinderile flexibile și dinamice din UE, </w:t>
      </w:r>
      <w:r w:rsidRPr="000C480E">
        <w:rPr>
          <w:rFonts w:ascii="Times New Roman" w:hAnsi="Times New Roman"/>
          <w:b/>
          <w:noProof/>
          <w:sz w:val="24"/>
        </w:rPr>
        <w:t>inclusiv IMM-urile, au potențialul de a deveni lideri în unele dintre segmentele de piață care consolidează reziliența</w:t>
      </w:r>
      <w:r w:rsidRPr="000C480E">
        <w:rPr>
          <w:rFonts w:ascii="Times New Roman" w:hAnsi="Times New Roman"/>
          <w:noProof/>
          <w:sz w:val="24"/>
        </w:rPr>
        <w:t>, cum ar fi inovarea în ceea ce privește utilizarea datelor și a tehnologiilor spațiale.</w:t>
      </w:r>
      <w:r w:rsidRPr="000C480E">
        <w:rPr>
          <w:rFonts w:ascii="Times New Roman" w:hAnsi="Times New Roman"/>
          <w:noProof/>
          <w:color w:val="000000" w:themeColor="text1"/>
          <w:sz w:val="24"/>
        </w:rPr>
        <w:t xml:space="preserve"> </w:t>
      </w:r>
    </w:p>
    <w:p w14:paraId="160DAF12" w14:textId="4422B454" w:rsidR="00865CBA" w:rsidRPr="000C480E" w:rsidRDefault="00865CBA" w:rsidP="000C2827">
      <w:pPr>
        <w:spacing w:after="120"/>
        <w:jc w:val="both"/>
        <w:textAlignment w:val="baseline"/>
        <w:rPr>
          <w:rFonts w:ascii="Times New Roman" w:eastAsia="Times New Roman" w:hAnsi="Times New Roman" w:cs="Times New Roman"/>
          <w:noProof/>
          <w:color w:val="000000" w:themeColor="text1"/>
          <w:sz w:val="24"/>
          <w:szCs w:val="24"/>
        </w:rPr>
      </w:pPr>
      <w:r w:rsidRPr="000C480E">
        <w:rPr>
          <w:rFonts w:ascii="Times New Roman" w:hAnsi="Times New Roman"/>
          <w:b/>
          <w:noProof/>
          <w:color w:val="000000" w:themeColor="text1"/>
          <w:sz w:val="24"/>
        </w:rPr>
        <w:t>Creșterea riscurilor climatice are, de asemenea, un impact asupra</w:t>
      </w:r>
      <w:r w:rsidRPr="000C480E">
        <w:rPr>
          <w:rFonts w:ascii="Times New Roman" w:hAnsi="Times New Roman"/>
          <w:noProof/>
          <w:color w:val="000000" w:themeColor="text1"/>
          <w:sz w:val="24"/>
        </w:rPr>
        <w:t xml:space="preserve"> </w:t>
      </w:r>
      <w:r w:rsidRPr="000C480E">
        <w:rPr>
          <w:rFonts w:ascii="Times New Roman" w:hAnsi="Times New Roman"/>
          <w:b/>
          <w:noProof/>
          <w:color w:val="000000" w:themeColor="text1"/>
          <w:sz w:val="24"/>
        </w:rPr>
        <w:t>peisajului geopolitic</w:t>
      </w:r>
      <w:r w:rsidRPr="000C480E">
        <w:rPr>
          <w:rFonts w:ascii="Times New Roman" w:hAnsi="Times New Roman"/>
          <w:noProof/>
          <w:color w:val="000000" w:themeColor="text1"/>
          <w:sz w:val="24"/>
        </w:rPr>
        <w:t xml:space="preserve">, afectând siguranța și securitatea la nivel mondial, fluxurile comerciale și stabilitatea economică, precum și capacitatea de a menține servicii esențiale pentru populațiile afectate. În schimb, îmbunătățirea gradului de pregătire și a rezilienței la efectele schimbărilor climatice poate contribui la gestionarea uneia dintre provocările globale majore de astăzi, cu efecte de propagare pozitive. </w:t>
      </w:r>
    </w:p>
    <w:p w14:paraId="6C3A1182" w14:textId="550CE57C" w:rsidR="005256FD" w:rsidRPr="000C480E" w:rsidRDefault="00027C6C" w:rsidP="005256FD">
      <w:pPr>
        <w:spacing w:after="120"/>
        <w:jc w:val="both"/>
        <w:textAlignment w:val="baseline"/>
        <w:rPr>
          <w:rFonts w:ascii="Times New Roman" w:eastAsia="Times New Roman" w:hAnsi="Times New Roman" w:cs="Times New Roman"/>
          <w:noProof/>
          <w:color w:val="000000" w:themeColor="text1"/>
          <w:sz w:val="24"/>
          <w:szCs w:val="24"/>
        </w:rPr>
      </w:pPr>
      <w:r w:rsidRPr="000C480E">
        <w:rPr>
          <w:rFonts w:ascii="Times New Roman" w:hAnsi="Times New Roman"/>
          <w:noProof/>
          <w:color w:val="000000" w:themeColor="text1"/>
          <w:sz w:val="24"/>
        </w:rPr>
        <w:t xml:space="preserve">Un procent de 77 % din cetățenii UE consideră că schimbările climatice reprezintă o problemă foarte gravă, iar 37 % se simt deja </w:t>
      </w:r>
      <w:r w:rsidRPr="000C480E">
        <w:rPr>
          <w:rFonts w:ascii="Times New Roman" w:hAnsi="Times New Roman"/>
          <w:b/>
          <w:noProof/>
          <w:color w:val="000000" w:themeColor="text1"/>
          <w:sz w:val="24"/>
        </w:rPr>
        <w:t>expuși personal riscurilor climatice</w:t>
      </w:r>
      <w:r w:rsidRPr="000C480E">
        <w:rPr>
          <w:rFonts w:ascii="Times New Roman" w:hAnsi="Times New Roman"/>
          <w:noProof/>
          <w:color w:val="000000" w:themeColor="text1"/>
          <w:sz w:val="24"/>
        </w:rPr>
        <w:t>. Atât Parlamentul European</w:t>
      </w:r>
      <w:r w:rsidR="00082DDA" w:rsidRPr="000C480E">
        <w:rPr>
          <w:rStyle w:val="FootnoteReference"/>
          <w:rFonts w:ascii="Times New Roman" w:eastAsia="Times New Roman" w:hAnsi="Times New Roman" w:cs="Times New Roman"/>
          <w:noProof/>
          <w:color w:val="000000" w:themeColor="text1"/>
          <w:sz w:val="24"/>
          <w:szCs w:val="24"/>
          <w:lang w:eastAsia="en-IE"/>
        </w:rPr>
        <w:footnoteReference w:id="7"/>
      </w:r>
      <w:r w:rsidRPr="000C480E">
        <w:rPr>
          <w:rFonts w:ascii="Times New Roman" w:hAnsi="Times New Roman"/>
          <w:noProof/>
          <w:color w:val="000000" w:themeColor="text1"/>
          <w:sz w:val="24"/>
        </w:rPr>
        <w:t>, cât și liderii UE</w:t>
      </w:r>
      <w:r w:rsidR="00566DC0" w:rsidRPr="000C480E">
        <w:rPr>
          <w:rFonts w:ascii="Times New Roman" w:eastAsia="Times New Roman" w:hAnsi="Times New Roman" w:cs="Times New Roman"/>
          <w:noProof/>
          <w:color w:val="000000" w:themeColor="text1"/>
          <w:sz w:val="24"/>
          <w:szCs w:val="24"/>
          <w:vertAlign w:val="superscript"/>
          <w:lang w:eastAsia="en-IE"/>
        </w:rPr>
        <w:footnoteReference w:id="8"/>
      </w:r>
      <w:r w:rsidRPr="000C480E">
        <w:rPr>
          <w:rFonts w:ascii="Times New Roman" w:hAnsi="Times New Roman"/>
          <w:noProof/>
          <w:color w:val="000000" w:themeColor="text1"/>
          <w:sz w:val="24"/>
        </w:rPr>
        <w:t xml:space="preserve"> au recunoscut necesitatea urgentă de a intensifica răspunsul la urgența climatică și de a consolida reziliența UE. În conformitate cu Comunicarea privind obiectivul climatic al Europei pentru 2040 și calea către neutralitatea climatică până în 2050, investițiile în clădiri și în sisteme de transport și energetice reziliente la schimbările climatice ar putea crea oportunități de afaceri semnificative, ar putea genera economii de scară și ar putea aduce beneficii pe scară mai largă economiei europene, generând locuri de muncă cu înaltă calificare și energie curată la prețuri accesibile.</w:t>
      </w:r>
    </w:p>
    <w:p w14:paraId="2D88A11A" w14:textId="1A462E86" w:rsidR="009C347D" w:rsidRPr="000C480E" w:rsidRDefault="009D2451" w:rsidP="00CE5BA2">
      <w:pPr>
        <w:spacing w:after="120"/>
        <w:jc w:val="both"/>
        <w:textAlignment w:val="baseline"/>
        <w:rPr>
          <w:rFonts w:ascii="Times New Roman" w:eastAsia="Times New Roman" w:hAnsi="Times New Roman" w:cs="Times New Roman"/>
          <w:noProof/>
          <w:color w:val="000000" w:themeColor="text1"/>
          <w:sz w:val="24"/>
          <w:szCs w:val="24"/>
        </w:rPr>
      </w:pPr>
      <w:r w:rsidRPr="000C480E">
        <w:rPr>
          <w:rFonts w:ascii="Times New Roman" w:hAnsi="Times New Roman"/>
          <w:b/>
          <w:noProof/>
          <w:color w:val="000000" w:themeColor="text1"/>
          <w:sz w:val="24"/>
        </w:rPr>
        <w:t>Viziunea europeană a unei societăți sănătoase, favorabile incluziunii și echitabile este o sursă de forță</w:t>
      </w:r>
      <w:r w:rsidRPr="000C480E">
        <w:rPr>
          <w:rFonts w:ascii="Times New Roman" w:hAnsi="Times New Roman"/>
          <w:noProof/>
          <w:color w:val="000000" w:themeColor="text1"/>
          <w:sz w:val="24"/>
        </w:rPr>
        <w:t xml:space="preserve">. Solidaritatea, inovarea și statul de drept ne-au ajutat să trecem prin provocări istorice și ne vor ajuta și în acest caz. </w:t>
      </w:r>
    </w:p>
    <w:p w14:paraId="1F9BB09D" w14:textId="36954491" w:rsidR="00CE5BA2" w:rsidRPr="000C480E" w:rsidRDefault="00901682" w:rsidP="00CE5BA2">
      <w:pPr>
        <w:spacing w:after="120"/>
        <w:jc w:val="both"/>
        <w:textAlignment w:val="baseline"/>
        <w:rPr>
          <w:rFonts w:ascii="Times New Roman" w:eastAsia="Times New Roman" w:hAnsi="Times New Roman" w:cs="Times New Roman"/>
          <w:noProof/>
          <w:color w:val="000000" w:themeColor="text1"/>
          <w:sz w:val="24"/>
          <w:szCs w:val="24"/>
        </w:rPr>
      </w:pPr>
      <w:r w:rsidRPr="000C480E">
        <w:rPr>
          <w:rFonts w:ascii="Times New Roman" w:hAnsi="Times New Roman"/>
          <w:b/>
          <w:noProof/>
          <w:color w:val="000000" w:themeColor="text1"/>
          <w:sz w:val="24"/>
        </w:rPr>
        <w:t xml:space="preserve">Coordonarea pe care o oferă Uniunea Europeană este un instrument puternic de consolidare a rezilienței. </w:t>
      </w:r>
      <w:r w:rsidRPr="000C480E">
        <w:rPr>
          <w:rFonts w:ascii="Times New Roman" w:hAnsi="Times New Roman"/>
          <w:noProof/>
          <w:color w:val="000000" w:themeColor="text1"/>
          <w:sz w:val="24"/>
        </w:rPr>
        <w:t>Aceasta aduce creșteri ale eficienței, care sunt esențiale în condițiile în care există numeroase revendicări asupra resurselor publice și private. Aceasta permite, de asemenea, țărilor, regiunilor și comunităților locale să vadă ce funcționează și ce nu funcționează în altă parte și conduce la acțiuni mai rapide și mai eficiente. Amploarea acțiunilor necesare în anumite domenii înseamnă că, fără coordonare, este puțin probabil ca deciziile și măsurile necesare să fie luate în timp util pentru a preveni impactul ireversibil asupra mediului. În cele din urmă, UE adaugă valoare prin dezvoltarea unor instrumente care să ajute părțile interesate din sectorul public și privat să își consolideze reziliența. Investiții considerabile din bugetul UE, în special prin intermediul politicii de coeziune, au contribuit la adaptarea la schimbările climatice și la atenuarea acestora în ultimul deceniu. În perioada 2021-2027, se preconizează că investițiile de coeziune în acest domeniu vor ajunge la aproximativ 118 miliarde EUR.</w:t>
      </w:r>
    </w:p>
    <w:p w14:paraId="77361176" w14:textId="573A604C" w:rsidR="00CE5BA2" w:rsidRPr="000C480E" w:rsidRDefault="00587C9F" w:rsidP="00CE5BA2">
      <w:pPr>
        <w:spacing w:after="120"/>
        <w:jc w:val="both"/>
        <w:textAlignment w:val="baseline"/>
        <w:rPr>
          <w:rFonts w:ascii="Times New Roman" w:eastAsia="Times New Roman" w:hAnsi="Times New Roman" w:cs="Times New Roman"/>
          <w:noProof/>
          <w:color w:val="000000" w:themeColor="text1"/>
          <w:sz w:val="24"/>
          <w:szCs w:val="24"/>
        </w:rPr>
      </w:pPr>
      <w:r w:rsidRPr="000C480E">
        <w:rPr>
          <w:rFonts w:ascii="Times New Roman" w:hAnsi="Times New Roman"/>
          <w:noProof/>
          <w:color w:val="000000" w:themeColor="text1"/>
          <w:sz w:val="24"/>
        </w:rPr>
        <w:t xml:space="preserve">Unele dintre dezastrele care au avut loc în 2023 indică în mod clar modelul de creștere a riscurilor climatice, toate țările UE fiind afectate într-o anumită măsură, dincolo de exemplele prezentate mai jos. </w:t>
      </w:r>
    </w:p>
    <w:p w14:paraId="7048C3B7" w14:textId="10DD61A3" w:rsidR="00CE5BA2" w:rsidRPr="000C480E" w:rsidRDefault="00E67EE4" w:rsidP="00CE5BA2">
      <w:pPr>
        <w:pBdr>
          <w:top w:val="single" w:sz="4" w:space="1" w:color="auto"/>
          <w:left w:val="single" w:sz="4" w:space="4" w:color="auto"/>
          <w:bottom w:val="single" w:sz="4" w:space="1" w:color="auto"/>
          <w:right w:val="single" w:sz="4" w:space="4" w:color="auto"/>
        </w:pBdr>
        <w:spacing w:after="120"/>
        <w:jc w:val="both"/>
        <w:textAlignment w:val="baseline"/>
        <w:rPr>
          <w:rFonts w:ascii="Times New Roman" w:eastAsia="Times New Roman" w:hAnsi="Times New Roman" w:cs="Times New Roman"/>
          <w:noProof/>
          <w:color w:val="000000" w:themeColor="text1"/>
          <w:sz w:val="24"/>
          <w:szCs w:val="24"/>
        </w:rPr>
      </w:pPr>
      <w:r w:rsidRPr="000C480E">
        <w:rPr>
          <w:rFonts w:ascii="Times New Roman" w:hAnsi="Times New Roman"/>
          <w:noProof/>
          <w:color w:val="000000" w:themeColor="text1"/>
          <w:sz w:val="24"/>
        </w:rPr>
        <w:t>Caseta 1: Patru exemple de dezastre din 2023 care ilustrează pericolele legate de climă:</w:t>
      </w:r>
    </w:p>
    <w:p w14:paraId="32893A65" w14:textId="2ABEB4D7" w:rsidR="00CE5BA2" w:rsidRPr="000C480E" w:rsidRDefault="00CE5BA2" w:rsidP="000A7C09">
      <w:pPr>
        <w:pStyle w:val="ListParagraph"/>
        <w:numPr>
          <w:ilvl w:val="0"/>
          <w:numId w:val="65"/>
        </w:numPr>
        <w:pBdr>
          <w:top w:val="single" w:sz="4" w:space="1" w:color="auto"/>
          <w:left w:val="single" w:sz="4" w:space="4" w:color="auto"/>
          <w:bottom w:val="single" w:sz="4" w:space="1" w:color="auto"/>
          <w:right w:val="single" w:sz="4" w:space="4" w:color="auto"/>
        </w:pBdr>
        <w:spacing w:after="120"/>
        <w:jc w:val="both"/>
        <w:textAlignment w:val="baseline"/>
        <w:rPr>
          <w:rFonts w:ascii="Times New Roman" w:eastAsia="Times New Roman" w:hAnsi="Times New Roman" w:cs="Times New Roman"/>
          <w:noProof/>
          <w:color w:val="000000" w:themeColor="text1"/>
          <w:sz w:val="24"/>
          <w:szCs w:val="24"/>
        </w:rPr>
      </w:pPr>
      <w:r w:rsidRPr="000C480E">
        <w:rPr>
          <w:rFonts w:ascii="Times New Roman" w:hAnsi="Times New Roman"/>
          <w:b/>
          <w:noProof/>
          <w:color w:val="000000" w:themeColor="text1"/>
          <w:sz w:val="24"/>
        </w:rPr>
        <w:t>Grecia.</w:t>
      </w:r>
      <w:r w:rsidRPr="000C480E">
        <w:rPr>
          <w:rFonts w:ascii="Times New Roman" w:hAnsi="Times New Roman"/>
          <w:noProof/>
          <w:color w:val="000000" w:themeColor="text1"/>
          <w:sz w:val="24"/>
        </w:rPr>
        <w:t xml:space="preserve"> Din iulie până în august, </w:t>
      </w:r>
      <w:r w:rsidRPr="000C480E">
        <w:rPr>
          <w:rFonts w:ascii="Times New Roman" w:hAnsi="Times New Roman"/>
          <w:b/>
          <w:noProof/>
          <w:color w:val="000000" w:themeColor="text1"/>
          <w:sz w:val="24"/>
        </w:rPr>
        <w:t>incendiile forestiere</w:t>
      </w:r>
      <w:r w:rsidRPr="000C480E">
        <w:rPr>
          <w:rFonts w:ascii="Times New Roman" w:hAnsi="Times New Roman"/>
          <w:noProof/>
          <w:color w:val="000000" w:themeColor="text1"/>
          <w:sz w:val="24"/>
        </w:rPr>
        <w:t>, alimentate de secetă și valuri de căldură, au ars o suprafață de 170</w:t>
      </w:r>
      <w:r w:rsidR="0076332E" w:rsidRPr="000C480E">
        <w:rPr>
          <w:rFonts w:ascii="Times New Roman" w:hAnsi="Times New Roman"/>
          <w:noProof/>
          <w:color w:val="000000" w:themeColor="text1"/>
          <w:sz w:val="24"/>
        </w:rPr>
        <w:t> </w:t>
      </w:r>
      <w:r w:rsidRPr="000C480E">
        <w:rPr>
          <w:rFonts w:ascii="Times New Roman" w:hAnsi="Times New Roman"/>
          <w:noProof/>
          <w:color w:val="000000" w:themeColor="text1"/>
          <w:sz w:val="24"/>
        </w:rPr>
        <w:t>000 hectare în Grecia. În special, incendiul forestier din Alexandroupolis a devenit cel mai mare incendiu forestier din Europa din 2000 încoace, distrugând peste 96</w:t>
      </w:r>
      <w:r w:rsidR="0076332E" w:rsidRPr="000C480E">
        <w:rPr>
          <w:rFonts w:ascii="Times New Roman" w:hAnsi="Times New Roman"/>
          <w:noProof/>
          <w:color w:val="000000" w:themeColor="text1"/>
          <w:sz w:val="24"/>
        </w:rPr>
        <w:t> </w:t>
      </w:r>
      <w:r w:rsidRPr="000C480E">
        <w:rPr>
          <w:rFonts w:ascii="Times New Roman" w:hAnsi="Times New Roman"/>
          <w:noProof/>
          <w:color w:val="000000" w:themeColor="text1"/>
          <w:sz w:val="24"/>
        </w:rPr>
        <w:t xml:space="preserve">000 de hectare. </w:t>
      </w:r>
      <w:r w:rsidRPr="000C480E">
        <w:rPr>
          <w:rFonts w:ascii="Times New Roman" w:hAnsi="Times New Roman"/>
          <w:b/>
          <w:noProof/>
          <w:color w:val="000000" w:themeColor="text1"/>
          <w:sz w:val="24"/>
        </w:rPr>
        <w:t>Furtuna</w:t>
      </w:r>
      <w:r w:rsidRPr="000C480E">
        <w:rPr>
          <w:rFonts w:ascii="Times New Roman" w:hAnsi="Times New Roman"/>
          <w:noProof/>
          <w:color w:val="000000" w:themeColor="text1"/>
          <w:sz w:val="24"/>
        </w:rPr>
        <w:t xml:space="preserve"> Daniel a provocat precipitații record în Grecia la începutul lunii septembrie, în Zagora înregistrându-se o scădere a precipitațiilor de 750 mm în 24 de ore, ceea ce reprezintă mai mult de un an de acumulare de precipitații pentru această zonă. Acest eveniment a distrus aproximativ 15 % din randamentul agricol anual al țării. </w:t>
      </w:r>
    </w:p>
    <w:p w14:paraId="5591F25B" w14:textId="45BA292C" w:rsidR="00CE5BA2" w:rsidRPr="000C480E" w:rsidRDefault="00CE5BA2" w:rsidP="000A7C09">
      <w:pPr>
        <w:pStyle w:val="ListParagraph"/>
        <w:numPr>
          <w:ilvl w:val="0"/>
          <w:numId w:val="65"/>
        </w:numPr>
        <w:pBdr>
          <w:top w:val="single" w:sz="4" w:space="1" w:color="auto"/>
          <w:left w:val="single" w:sz="4" w:space="4" w:color="auto"/>
          <w:bottom w:val="single" w:sz="4" w:space="1" w:color="auto"/>
          <w:right w:val="single" w:sz="4" w:space="4" w:color="auto"/>
        </w:pBdr>
        <w:spacing w:after="120"/>
        <w:jc w:val="both"/>
        <w:textAlignment w:val="baseline"/>
        <w:rPr>
          <w:rFonts w:ascii="Times New Roman" w:eastAsia="Times New Roman" w:hAnsi="Times New Roman" w:cs="Times New Roman"/>
          <w:noProof/>
          <w:color w:val="000000" w:themeColor="text1"/>
          <w:sz w:val="24"/>
          <w:szCs w:val="24"/>
        </w:rPr>
      </w:pPr>
      <w:r w:rsidRPr="000C480E">
        <w:rPr>
          <w:rFonts w:ascii="Times New Roman" w:hAnsi="Times New Roman"/>
          <w:b/>
          <w:noProof/>
          <w:color w:val="000000" w:themeColor="text1"/>
          <w:sz w:val="24"/>
        </w:rPr>
        <w:t>Slovenia.</w:t>
      </w:r>
      <w:r w:rsidRPr="000C480E">
        <w:rPr>
          <w:rFonts w:ascii="Times New Roman" w:hAnsi="Times New Roman"/>
          <w:noProof/>
          <w:color w:val="000000" w:themeColor="text1"/>
          <w:sz w:val="24"/>
        </w:rPr>
        <w:t xml:space="preserve"> În august, precipitațiile abundente pe o perioadă de mai multe zile, care s-au adăugat la nivelurile deja ridicate ale apei, au dus la inundații masive și alunecări de teren, două treimi din Slovenia fiind afectate, cu daune de aproximativ 16 % din PIB. </w:t>
      </w:r>
    </w:p>
    <w:p w14:paraId="5B0B79B4" w14:textId="77EDFBBA" w:rsidR="00CE5BA2" w:rsidRPr="000C480E" w:rsidRDefault="00CE5BA2" w:rsidP="000A7C09">
      <w:pPr>
        <w:pStyle w:val="ListParagraph"/>
        <w:numPr>
          <w:ilvl w:val="0"/>
          <w:numId w:val="65"/>
        </w:numPr>
        <w:pBdr>
          <w:top w:val="single" w:sz="4" w:space="1" w:color="auto"/>
          <w:left w:val="single" w:sz="4" w:space="4" w:color="auto"/>
          <w:bottom w:val="single" w:sz="4" w:space="1" w:color="auto"/>
          <w:right w:val="single" w:sz="4" w:space="4" w:color="auto"/>
        </w:pBdr>
        <w:spacing w:after="120"/>
        <w:jc w:val="both"/>
        <w:textAlignment w:val="baseline"/>
        <w:rPr>
          <w:rFonts w:ascii="Times New Roman" w:eastAsia="Times New Roman" w:hAnsi="Times New Roman" w:cs="Times New Roman"/>
          <w:noProof/>
          <w:color w:val="000000" w:themeColor="text1"/>
          <w:sz w:val="24"/>
          <w:szCs w:val="24"/>
        </w:rPr>
      </w:pPr>
      <w:r w:rsidRPr="000C480E">
        <w:rPr>
          <w:rFonts w:ascii="Times New Roman" w:hAnsi="Times New Roman"/>
          <w:b/>
          <w:noProof/>
          <w:color w:val="000000" w:themeColor="text1"/>
          <w:sz w:val="24"/>
        </w:rPr>
        <w:t>Scandinavia.</w:t>
      </w:r>
      <w:r w:rsidRPr="000C480E">
        <w:rPr>
          <w:rFonts w:ascii="Times New Roman" w:hAnsi="Times New Roman"/>
          <w:noProof/>
          <w:color w:val="000000" w:themeColor="text1"/>
          <w:sz w:val="24"/>
        </w:rPr>
        <w:t xml:space="preserve"> În august, furtuna Hans a traversat Danemarca, Norvegia și Suedia, provocând daune grave infrastructurii și agriculturii, precum și perturbări majore ale rețelelor critice de transport. Cererile de despăgubire au atins niveluri record.</w:t>
      </w:r>
    </w:p>
    <w:p w14:paraId="6248D6C4" w14:textId="01B4C480" w:rsidR="00CE5BA2" w:rsidRPr="000C480E" w:rsidRDefault="00541771" w:rsidP="000A7C09">
      <w:pPr>
        <w:pStyle w:val="ListParagraph"/>
        <w:numPr>
          <w:ilvl w:val="0"/>
          <w:numId w:val="65"/>
        </w:numPr>
        <w:pBdr>
          <w:top w:val="single" w:sz="4" w:space="1" w:color="auto"/>
          <w:left w:val="single" w:sz="4" w:space="4" w:color="auto"/>
          <w:bottom w:val="single" w:sz="4" w:space="1" w:color="auto"/>
          <w:right w:val="single" w:sz="4" w:space="4" w:color="auto"/>
        </w:pBdr>
        <w:spacing w:after="120"/>
        <w:jc w:val="both"/>
        <w:textAlignment w:val="baseline"/>
        <w:rPr>
          <w:rFonts w:ascii="Times New Roman" w:eastAsia="Times New Roman" w:hAnsi="Times New Roman" w:cs="Times New Roman"/>
          <w:noProof/>
          <w:color w:val="000000" w:themeColor="text1"/>
          <w:sz w:val="24"/>
          <w:szCs w:val="24"/>
        </w:rPr>
      </w:pPr>
      <w:r w:rsidRPr="000C480E">
        <w:rPr>
          <w:rFonts w:ascii="Times New Roman" w:hAnsi="Times New Roman"/>
          <w:b/>
          <w:noProof/>
          <w:color w:val="000000" w:themeColor="text1"/>
          <w:sz w:val="24"/>
        </w:rPr>
        <w:t>Întreaga Europă.</w:t>
      </w:r>
      <w:r w:rsidRPr="000C480E">
        <w:rPr>
          <w:rFonts w:ascii="Times New Roman" w:hAnsi="Times New Roman"/>
          <w:noProof/>
          <w:color w:val="000000" w:themeColor="text1"/>
          <w:sz w:val="24"/>
        </w:rPr>
        <w:t xml:space="preserve"> Valul de căldură Cerberus din 2023 a stabilit noi recorduri de temperatură în multe țări. Aceasta a urmat valurilor de căldură din vara anului 2022,</w:t>
      </w:r>
      <w:r w:rsidR="00A757D1" w:rsidRPr="000C480E">
        <w:rPr>
          <w:rFonts w:ascii="Times New Roman" w:hAnsi="Times New Roman"/>
          <w:noProof/>
          <w:color w:val="000000" w:themeColor="text1"/>
          <w:sz w:val="24"/>
        </w:rPr>
        <w:t xml:space="preserve"> </w:t>
      </w:r>
      <w:r w:rsidRPr="000C480E">
        <w:rPr>
          <w:rFonts w:ascii="Times New Roman" w:hAnsi="Times New Roman"/>
          <w:noProof/>
          <w:color w:val="000000" w:themeColor="text1"/>
          <w:sz w:val="24"/>
        </w:rPr>
        <w:t>când, din cauza nivelurilor record de căldură, au murit între 60</w:t>
      </w:r>
      <w:r w:rsidR="0076332E" w:rsidRPr="000C480E">
        <w:rPr>
          <w:rFonts w:ascii="Times New Roman" w:hAnsi="Times New Roman"/>
          <w:noProof/>
          <w:color w:val="000000" w:themeColor="text1"/>
          <w:sz w:val="24"/>
        </w:rPr>
        <w:t> </w:t>
      </w:r>
      <w:r w:rsidRPr="000C480E">
        <w:rPr>
          <w:rFonts w:ascii="Times New Roman" w:hAnsi="Times New Roman"/>
          <w:noProof/>
          <w:color w:val="000000" w:themeColor="text1"/>
          <w:sz w:val="24"/>
        </w:rPr>
        <w:t>000 și 70</w:t>
      </w:r>
      <w:r w:rsidR="0076332E" w:rsidRPr="000C480E">
        <w:rPr>
          <w:rFonts w:ascii="Times New Roman" w:hAnsi="Times New Roman"/>
          <w:noProof/>
          <w:color w:val="000000" w:themeColor="text1"/>
          <w:sz w:val="24"/>
        </w:rPr>
        <w:t> </w:t>
      </w:r>
      <w:r w:rsidRPr="000C480E">
        <w:rPr>
          <w:rFonts w:ascii="Times New Roman" w:hAnsi="Times New Roman"/>
          <w:noProof/>
          <w:color w:val="000000" w:themeColor="text1"/>
          <w:sz w:val="24"/>
        </w:rPr>
        <w:t xml:space="preserve">000 de europeni. </w:t>
      </w:r>
    </w:p>
    <w:p w14:paraId="48FFEF49" w14:textId="48D314A2" w:rsidR="00B67218" w:rsidRPr="000C480E" w:rsidRDefault="00D559C8" w:rsidP="00B67218">
      <w:pPr>
        <w:spacing w:after="120"/>
        <w:jc w:val="both"/>
        <w:textAlignment w:val="baseline"/>
        <w:rPr>
          <w:rFonts w:ascii="Times New Roman" w:hAnsi="Times New Roman"/>
          <w:noProof/>
          <w:color w:val="000000" w:themeColor="text1"/>
          <w:sz w:val="24"/>
        </w:rPr>
      </w:pPr>
      <w:r w:rsidRPr="000C480E">
        <w:rPr>
          <w:rFonts w:ascii="Times New Roman" w:hAnsi="Times New Roman"/>
          <w:noProof/>
          <w:color w:val="000000" w:themeColor="text1"/>
          <w:sz w:val="24"/>
        </w:rPr>
        <w:t xml:space="preserve">Acțiunile în domeniul climei sunt în interesul tuturor. Daunele legate de climă nu sunt rezultatul unor dezastre naturale neașteptate și neprevăzute. Ele sunt o consecință a riscurilor climatice cunoscute și a măsurilor de politică luate pentru a reduce aceste riscuri. </w:t>
      </w:r>
      <w:r w:rsidRPr="000C480E">
        <w:rPr>
          <w:rFonts w:ascii="Times New Roman" w:hAnsi="Times New Roman"/>
          <w:b/>
          <w:noProof/>
          <w:color w:val="000000" w:themeColor="text1"/>
          <w:sz w:val="24"/>
        </w:rPr>
        <w:t>Prezenta comunicare stabilește pașii esențiali necesari pentru a se asigura că, în contextul agravării riscurilor climatice, cetățenii și întreprinderile se pot baza pe UE și pe statele sale membre pentru a menține funcțiile societale și accesul continuu la serviciile de bază. Scopul său este de a clarifica cine este responsabil de efectuarea alegerilor dificile și de luarea de măsuri, pe baza celor mai bune dovezi. Comunicarea arată maniera în care UE poate depăși în mod eficace impactul schimbărilor climatice în următorii ani, precum și modul în care consolidarea rezilienței face ca realizarea altor obiective de politică să fie mai ieftină și mai ușoară.</w:t>
      </w:r>
      <w:r w:rsidRPr="000C480E">
        <w:rPr>
          <w:rFonts w:ascii="Times New Roman" w:hAnsi="Times New Roman"/>
          <w:noProof/>
          <w:color w:val="000000" w:themeColor="text1"/>
          <w:sz w:val="24"/>
        </w:rPr>
        <w:t xml:space="preserve"> Acest efort necesită ca, în viitor, pregătirea și reziliența la riscurile climatice să fie luate în considerare în acțiunile întreprinse în mod implicit la nivelul UE și la nivelul statelor membre în toate domeniile de politică.</w:t>
      </w:r>
    </w:p>
    <w:p w14:paraId="7A4DE63C" w14:textId="77777777" w:rsidR="006C2EA4" w:rsidRPr="000C480E" w:rsidRDefault="006C2EA4" w:rsidP="00E445D2">
      <w:pPr>
        <w:spacing w:after="120"/>
        <w:jc w:val="both"/>
        <w:textAlignment w:val="baseline"/>
        <w:rPr>
          <w:rFonts w:ascii="Times New Roman" w:eastAsia="Times New Roman" w:hAnsi="Times New Roman" w:cs="Times New Roman"/>
          <w:noProof/>
          <w:color w:val="000000" w:themeColor="text1"/>
          <w:sz w:val="24"/>
          <w:szCs w:val="24"/>
        </w:rPr>
      </w:pPr>
      <w:bookmarkStart w:id="8" w:name="_Toc157586294"/>
      <w:bookmarkStart w:id="9" w:name="_Toc157587654"/>
      <w:bookmarkStart w:id="10" w:name="_Toc157587770"/>
      <w:bookmarkStart w:id="11" w:name="_Toc157586295"/>
      <w:bookmarkStart w:id="12" w:name="_Toc157587655"/>
      <w:bookmarkStart w:id="13" w:name="_Toc157587771"/>
      <w:bookmarkStart w:id="14" w:name="_Toc157586296"/>
      <w:bookmarkStart w:id="15" w:name="_Toc157587656"/>
      <w:bookmarkStart w:id="16" w:name="_Toc157587772"/>
      <w:bookmarkStart w:id="17" w:name="_Toc157586297"/>
      <w:bookmarkStart w:id="18" w:name="_Toc157587657"/>
      <w:bookmarkStart w:id="19" w:name="_Toc157587773"/>
      <w:bookmarkStart w:id="20" w:name="_Toc157586298"/>
      <w:bookmarkStart w:id="21" w:name="_Toc157587658"/>
      <w:bookmarkStart w:id="22" w:name="_Toc157587774"/>
      <w:bookmarkStart w:id="23" w:name="_Toc157586299"/>
      <w:bookmarkStart w:id="24" w:name="_Toc157587659"/>
      <w:bookmarkStart w:id="25" w:name="_Toc157587775"/>
      <w:bookmarkStart w:id="26" w:name="_Toc157586300"/>
      <w:bookmarkStart w:id="27" w:name="_Toc157587660"/>
      <w:bookmarkStart w:id="28" w:name="_Toc157587776"/>
      <w:bookmarkStart w:id="29" w:name="_Toc15979219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p>
    <w:p w14:paraId="24BA4A78" w14:textId="363BA5F7" w:rsidR="001714DA" w:rsidRPr="000C480E" w:rsidRDefault="00D7188A" w:rsidP="00B2476E">
      <w:pPr>
        <w:pStyle w:val="Heading2"/>
        <w:ind w:left="1565" w:hanging="431"/>
        <w:rPr>
          <w:rFonts w:ascii="Times New Roman" w:hAnsi="Times New Roman" w:cs="Times New Roman"/>
          <w:b/>
          <w:bCs/>
          <w:noProof/>
          <w:color w:val="000000" w:themeColor="text1"/>
          <w:sz w:val="24"/>
          <w:szCs w:val="24"/>
        </w:rPr>
      </w:pPr>
      <w:r w:rsidRPr="000C480E">
        <w:rPr>
          <w:rFonts w:ascii="Times New Roman" w:hAnsi="Times New Roman"/>
          <w:b/>
          <w:noProof/>
          <w:color w:val="000000" w:themeColor="text1"/>
          <w:sz w:val="24"/>
        </w:rPr>
        <w:t>UE dispune de bazele necesare pentru îmbunătățirea gestionării riscurilor climatice</w:t>
      </w:r>
      <w:bookmarkEnd w:id="29"/>
    </w:p>
    <w:p w14:paraId="2244059F" w14:textId="77777777" w:rsidR="00ED251E" w:rsidRPr="000C480E" w:rsidRDefault="00ED251E" w:rsidP="00B11E0C">
      <w:pPr>
        <w:jc w:val="both"/>
        <w:textAlignment w:val="baseline"/>
        <w:rPr>
          <w:rFonts w:ascii="Times New Roman" w:eastAsia="Times New Roman" w:hAnsi="Times New Roman" w:cs="Times New Roman"/>
          <w:noProof/>
          <w:color w:val="000000" w:themeColor="text1"/>
          <w:sz w:val="24"/>
          <w:szCs w:val="24"/>
          <w:lang w:eastAsia="en-IE"/>
        </w:rPr>
      </w:pPr>
    </w:p>
    <w:p w14:paraId="601360BF" w14:textId="1C0AFE0F" w:rsidR="00D7188A" w:rsidRPr="000C480E" w:rsidRDefault="00D7188A" w:rsidP="008E56D1">
      <w:pPr>
        <w:spacing w:after="120"/>
        <w:jc w:val="both"/>
        <w:textAlignment w:val="baseline"/>
        <w:rPr>
          <w:rFonts w:ascii="Times New Roman" w:eastAsia="Times New Roman" w:hAnsi="Times New Roman" w:cs="Times New Roman"/>
          <w:noProof/>
          <w:color w:val="000000" w:themeColor="text1"/>
          <w:sz w:val="24"/>
          <w:szCs w:val="24"/>
        </w:rPr>
      </w:pPr>
      <w:r w:rsidRPr="000C480E">
        <w:rPr>
          <w:rFonts w:ascii="Times New Roman" w:hAnsi="Times New Roman"/>
          <w:noProof/>
          <w:color w:val="000000" w:themeColor="text1"/>
          <w:sz w:val="24"/>
        </w:rPr>
        <w:t>Legea europeană a climei solicită UE și statelor sale membre să asigure progresul continuu pentru a stimula capacitatea de adaptare, pentru a consolida reziliența și a reduce gradul de vulnerabilitate la schimbările climatice. Punerea în aplicare a planului amplu de acțiune al Strategiei UE privind adaptarea din 2021 este în plină desfășurare.</w:t>
      </w:r>
      <w:r w:rsidRPr="000C480E">
        <w:rPr>
          <w:rStyle w:val="FootnoteReference"/>
          <w:rFonts w:ascii="Times New Roman" w:hAnsi="Times New Roman"/>
          <w:noProof/>
          <w:color w:val="000000" w:themeColor="text1"/>
          <w:sz w:val="24"/>
        </w:rPr>
        <w:t xml:space="preserve"> </w:t>
      </w:r>
      <w:r w:rsidRPr="000C480E">
        <w:rPr>
          <w:rFonts w:ascii="Times New Roman" w:hAnsi="Times New Roman"/>
          <w:noProof/>
          <w:color w:val="000000" w:themeColor="text1"/>
          <w:sz w:val="24"/>
        </w:rPr>
        <w:t>Pentru a spori reziliența investițiilor finanțate de UE, politica de coeziune și alte programe-cheie din bugetul UE au integrat principiul de „a nu aduce prejudicii semnificative” și au instituit o practică de imunizare la schimbările climatice.</w:t>
      </w:r>
      <w:r w:rsidRPr="000C480E">
        <w:rPr>
          <w:noProof/>
        </w:rPr>
        <w:t xml:space="preserve"> </w:t>
      </w:r>
      <w:r w:rsidRPr="000C480E">
        <w:rPr>
          <w:rFonts w:ascii="Times New Roman" w:hAnsi="Times New Roman"/>
          <w:noProof/>
          <w:color w:val="000000" w:themeColor="text1"/>
          <w:sz w:val="24"/>
        </w:rPr>
        <w:t xml:space="preserve">O gamă largă de politici sectoriale sunt în curs de actualizare în ceea ce privește riscurile climatice. Statele membre îmbunătățesc acțiunile de adaptare și au luat primele măsuri pentru a include reziliența la schimbările climatice în planurile lor naționale privind energia și clima (PNEC). </w:t>
      </w:r>
    </w:p>
    <w:p w14:paraId="494576C8" w14:textId="6CC1589E" w:rsidR="00050DE4" w:rsidRPr="000C480E" w:rsidRDefault="00050DE4" w:rsidP="008E56D1">
      <w:pPr>
        <w:spacing w:after="120"/>
        <w:jc w:val="both"/>
        <w:textAlignment w:val="baseline"/>
        <w:rPr>
          <w:rFonts w:ascii="Times New Roman" w:eastAsia="Times New Roman" w:hAnsi="Times New Roman" w:cs="Times New Roman"/>
          <w:noProof/>
          <w:color w:val="000000" w:themeColor="text1"/>
          <w:sz w:val="24"/>
          <w:szCs w:val="24"/>
        </w:rPr>
      </w:pPr>
      <w:r w:rsidRPr="000C480E">
        <w:rPr>
          <w:rFonts w:ascii="Times New Roman" w:hAnsi="Times New Roman"/>
          <w:noProof/>
          <w:color w:val="000000" w:themeColor="text1"/>
          <w:sz w:val="24"/>
        </w:rPr>
        <w:t>Cu toate acestea, constatările evaluărilor recente ale Comisiei</w:t>
      </w:r>
      <w:r w:rsidRPr="000C480E">
        <w:rPr>
          <w:rStyle w:val="FootnoteReference"/>
          <w:rFonts w:ascii="Times New Roman" w:eastAsia="Times New Roman" w:hAnsi="Times New Roman" w:cs="Times New Roman"/>
          <w:noProof/>
          <w:color w:val="000000" w:themeColor="text1"/>
          <w:sz w:val="24"/>
          <w:szCs w:val="24"/>
          <w:lang w:eastAsia="en-IE"/>
        </w:rPr>
        <w:footnoteReference w:id="9"/>
      </w:r>
      <w:r w:rsidRPr="000C480E">
        <w:rPr>
          <w:rFonts w:ascii="Times New Roman" w:hAnsi="Times New Roman"/>
          <w:noProof/>
          <w:color w:val="000000" w:themeColor="text1"/>
          <w:sz w:val="24"/>
        </w:rPr>
        <w:t xml:space="preserve"> </w:t>
      </w:r>
      <w:r w:rsidRPr="000C480E">
        <w:rPr>
          <w:rStyle w:val="FootnoteReference"/>
          <w:rFonts w:ascii="Times New Roman" w:hAnsi="Times New Roman" w:cs="Times New Roman"/>
          <w:noProof/>
          <w:color w:val="000000" w:themeColor="text1"/>
          <w:sz w:val="24"/>
          <w:szCs w:val="24"/>
          <w:lang w:eastAsia="en-IE"/>
        </w:rPr>
        <w:footnoteReference w:id="10"/>
      </w:r>
      <w:r w:rsidRPr="000C480E">
        <w:rPr>
          <w:rFonts w:ascii="Times New Roman" w:hAnsi="Times New Roman"/>
          <w:noProof/>
          <w:color w:val="000000" w:themeColor="text1"/>
          <w:sz w:val="24"/>
        </w:rPr>
        <w:t xml:space="preserve"> </w:t>
      </w:r>
      <w:r w:rsidR="00B809D0" w:rsidRPr="000C480E">
        <w:rPr>
          <w:rStyle w:val="FootnoteReference"/>
          <w:rFonts w:ascii="Times New Roman" w:hAnsi="Times New Roman" w:cs="Times New Roman"/>
          <w:noProof/>
          <w:color w:val="000000" w:themeColor="text1"/>
          <w:sz w:val="24"/>
          <w:szCs w:val="24"/>
          <w:lang w:eastAsia="en-IE"/>
        </w:rPr>
        <w:footnoteReference w:id="11"/>
      </w:r>
      <w:r w:rsidRPr="000C480E">
        <w:rPr>
          <w:rFonts w:ascii="Times New Roman" w:hAnsi="Times New Roman"/>
          <w:noProof/>
          <w:color w:val="000000" w:themeColor="text1"/>
          <w:sz w:val="24"/>
        </w:rPr>
        <w:t xml:space="preserve"> au fost rezervate. Deși se pot observa progrese constante la nivelul UE prin punerea în aplicare a Strategiei UE privind adaptarea, statele membre trebuie să facă mult mai mult în ceea ce privește aspectele legate de guvernanță, sensibilizarea, echitatea și reziliența justă, finanțarea și soluțiile bazate pe natură. Cele mai recente evaluări ale Comisiei privind proiectele de PNEC actualizate și recomandările asociate identifică o neconcordanță între PNEC și politicile și măsurile de adaptare planificate și puse în aplicare de statele membre. Comisia a emis recomandări și este pregătită să sprijine în continuare statele membre în îmbunătățirea planurilor lor naționale privind energia și clima pentru a accelera punerea în aplicare și investițiile în următorii ani. </w:t>
      </w:r>
    </w:p>
    <w:p w14:paraId="7CBA5029" w14:textId="7466920A" w:rsidR="00E94165" w:rsidRPr="000C480E" w:rsidRDefault="00E94165" w:rsidP="00E94165">
      <w:pPr>
        <w:spacing w:after="120"/>
        <w:jc w:val="both"/>
        <w:textAlignment w:val="baseline"/>
        <w:rPr>
          <w:rFonts w:ascii="Times New Roman" w:eastAsia="Times New Roman" w:hAnsi="Times New Roman" w:cs="Times New Roman"/>
          <w:noProof/>
          <w:color w:val="000000" w:themeColor="text1"/>
          <w:sz w:val="24"/>
          <w:szCs w:val="24"/>
        </w:rPr>
      </w:pPr>
      <w:r w:rsidRPr="000C480E">
        <w:rPr>
          <w:rFonts w:ascii="Times New Roman" w:hAnsi="Times New Roman"/>
          <w:noProof/>
          <w:color w:val="000000" w:themeColor="text1"/>
          <w:sz w:val="24"/>
        </w:rPr>
        <w:t>Raportul intitulat „Prevenirea și gestionarea riscurilor de dezastre în Europa”</w:t>
      </w:r>
      <w:r w:rsidR="008573D8" w:rsidRPr="000C480E">
        <w:rPr>
          <w:rStyle w:val="FootnoteReference"/>
          <w:rFonts w:ascii="Times New Roman" w:eastAsia="Times New Roman" w:hAnsi="Times New Roman" w:cs="Times New Roman"/>
          <w:noProof/>
          <w:color w:val="000000" w:themeColor="text1"/>
          <w:sz w:val="24"/>
          <w:szCs w:val="24"/>
          <w:lang w:eastAsia="en-IE"/>
        </w:rPr>
        <w:footnoteReference w:id="12"/>
      </w:r>
      <w:r w:rsidRPr="000C480E">
        <w:rPr>
          <w:rFonts w:ascii="Times New Roman" w:hAnsi="Times New Roman"/>
          <w:noProof/>
          <w:color w:val="000000" w:themeColor="text1"/>
          <w:sz w:val="24"/>
        </w:rPr>
        <w:t xml:space="preserve"> arată că riscurile legate de climă ocupă un loc important pe agenda de gestionare a riscurilor de dezastre în întreaga Europă. În mod îngrijorător, acesta arată, de asemenea, că, deși riscurile climatice sunt recunoscute în cea mai mare parte, evaluările riscurilor legate de protecția civilă iau rareori în considerare scenariile climatice și incertitudinile. Evaluările de către statele membre ale riscurilor pentru infrastructura critică vor fi efectuate până în ianuarie 2026 în temeiul Directivei privind reziliența entităților critice. Evaluările actuale ale perspectivelor bugetare fie nu iau în considerare riscurile climatice în mod sistematic, fie nu le au în vedere deloc. În general, deși procesele și cerințele convenite în cadrele de politică de la nivelul UE pot aborda riscurile climatice, punerea în aplicare nu oferă în prezent o asigurare rezonabilă. </w:t>
      </w:r>
    </w:p>
    <w:p w14:paraId="77D464C8" w14:textId="64B41063" w:rsidR="007E3DA4" w:rsidRPr="000C480E" w:rsidRDefault="00B065A9" w:rsidP="00A632E5">
      <w:pPr>
        <w:spacing w:after="120"/>
        <w:jc w:val="both"/>
        <w:rPr>
          <w:rFonts w:ascii="Times New Roman" w:hAnsi="Times New Roman" w:cs="Times New Roman"/>
          <w:noProof/>
          <w:color w:val="000000" w:themeColor="text1"/>
          <w:sz w:val="24"/>
          <w:szCs w:val="24"/>
        </w:rPr>
      </w:pPr>
      <w:r w:rsidRPr="000C480E">
        <w:rPr>
          <w:rFonts w:ascii="Times New Roman" w:hAnsi="Times New Roman"/>
          <w:noProof/>
          <w:color w:val="000000" w:themeColor="text1"/>
          <w:sz w:val="24"/>
        </w:rPr>
        <w:t xml:space="preserve">Prin urmare, progresele sunt inegale și nu țin pasul cu accelerarea schimbărilor climatice. </w:t>
      </w:r>
      <w:r w:rsidRPr="000C480E">
        <w:rPr>
          <w:rFonts w:ascii="Times New Roman" w:hAnsi="Times New Roman"/>
          <w:b/>
          <w:noProof/>
          <w:color w:val="000000" w:themeColor="text1"/>
          <w:sz w:val="24"/>
        </w:rPr>
        <w:t>Atât UE, cât și statele sale membre trebuie să își îmbunătățească capacitățile în ceea ce privește pregătirea pentru riscurile climatice și abordarea eficace a acestora</w:t>
      </w:r>
      <w:r w:rsidRPr="000C480E">
        <w:rPr>
          <w:rFonts w:ascii="Times New Roman" w:hAnsi="Times New Roman"/>
          <w:noProof/>
          <w:color w:val="000000" w:themeColor="text1"/>
          <w:sz w:val="24"/>
        </w:rPr>
        <w:t>.</w:t>
      </w:r>
    </w:p>
    <w:p w14:paraId="5466465C" w14:textId="7A25E2A4" w:rsidR="00D7188A" w:rsidRPr="000C480E" w:rsidRDefault="008E56D1" w:rsidP="004A5637">
      <w:pPr>
        <w:spacing w:after="120"/>
        <w:jc w:val="both"/>
        <w:textAlignment w:val="baseline"/>
        <w:rPr>
          <w:rFonts w:ascii="Times New Roman" w:eastAsia="Times New Roman" w:hAnsi="Times New Roman" w:cs="Times New Roman"/>
          <w:noProof/>
          <w:color w:val="000000" w:themeColor="text1"/>
          <w:sz w:val="24"/>
          <w:szCs w:val="24"/>
        </w:rPr>
      </w:pPr>
      <w:r w:rsidRPr="000C480E">
        <w:rPr>
          <w:rFonts w:ascii="Times New Roman" w:hAnsi="Times New Roman"/>
          <w:noProof/>
          <w:color w:val="000000" w:themeColor="text1"/>
          <w:sz w:val="24"/>
        </w:rPr>
        <w:t xml:space="preserve">Raportul EUCRA prezintă în detaliu principalele riscuri climatice pentru Europa și modul în care acestea interacționează și amplifică multe riscuri care nu țin de climă. Prezenta comunicare răspunde raportului și altor dovezi recente. </w:t>
      </w:r>
      <w:r w:rsidRPr="000C480E">
        <w:rPr>
          <w:rFonts w:ascii="Times New Roman" w:hAnsi="Times New Roman"/>
          <w:noProof/>
          <w:color w:val="000000"/>
          <w:sz w:val="24"/>
        </w:rPr>
        <w:t xml:space="preserve">Aceasta nu analizează în profunzime riscurile potențiale majore pentru UE generate de impactul asupra climei în afara UE sau viceversa. Schimbările climatice pot declanșa riscuri în cascadă și pot exacerba degradarea mediului și factorii existenți ai conflictelor, strămutării și migrației. </w:t>
      </w:r>
      <w:r w:rsidRPr="000C480E">
        <w:rPr>
          <w:rFonts w:ascii="Times New Roman" w:hAnsi="Times New Roman"/>
          <w:noProof/>
          <w:sz w:val="24"/>
        </w:rPr>
        <w:t>Aceste interconexiuni complexe merită o analiză specifică pentru a fundamenta deciziile de politică, astfel cum se reflectă în Comunicarea privind legătura dintre climă și securitate</w:t>
      </w:r>
      <w:r w:rsidRPr="000C480E">
        <w:rPr>
          <w:rFonts w:ascii="Times New Roman" w:eastAsia="Times New Roman" w:hAnsi="Times New Roman" w:cs="Times New Roman"/>
          <w:noProof/>
          <w:color w:val="000000" w:themeColor="text1"/>
          <w:sz w:val="24"/>
          <w:szCs w:val="24"/>
          <w:vertAlign w:val="superscript"/>
          <w:lang w:eastAsia="en-IE"/>
        </w:rPr>
        <w:footnoteReference w:id="13"/>
      </w:r>
      <w:r w:rsidRPr="000C480E">
        <w:rPr>
          <w:rFonts w:ascii="Times New Roman" w:hAnsi="Times New Roman"/>
          <w:noProof/>
          <w:sz w:val="24"/>
        </w:rPr>
        <w:t>.</w:t>
      </w:r>
      <w:r w:rsidRPr="000C480E">
        <w:rPr>
          <w:rFonts w:ascii="Times New Roman" w:hAnsi="Times New Roman"/>
          <w:noProof/>
          <w:color w:val="000000" w:themeColor="text1"/>
          <w:sz w:val="24"/>
        </w:rPr>
        <w:t xml:space="preserve"> </w:t>
      </w:r>
    </w:p>
    <w:p w14:paraId="5B5998D4" w14:textId="1B6755FC" w:rsidR="00A70A3C" w:rsidRPr="000C480E" w:rsidRDefault="00A70A3C" w:rsidP="00467C2D">
      <w:pPr>
        <w:spacing w:after="120"/>
        <w:jc w:val="both"/>
        <w:textAlignment w:val="baseline"/>
        <w:rPr>
          <w:rFonts w:ascii="Times New Roman" w:eastAsia="Times New Roman" w:hAnsi="Times New Roman" w:cs="Times New Roman"/>
          <w:noProof/>
          <w:color w:val="000000" w:themeColor="text1"/>
          <w:sz w:val="24"/>
          <w:szCs w:val="24"/>
        </w:rPr>
      </w:pPr>
      <w:r w:rsidRPr="000C480E">
        <w:rPr>
          <w:rFonts w:ascii="Times New Roman" w:hAnsi="Times New Roman"/>
          <w:noProof/>
          <w:color w:val="000000" w:themeColor="text1"/>
          <w:sz w:val="24"/>
        </w:rPr>
        <w:t>În conformitate cu dimensiunea internațională a strategiei UE de adaptare</w:t>
      </w:r>
      <w:r w:rsidRPr="000C480E">
        <w:rPr>
          <w:rFonts w:ascii="Times New Roman" w:eastAsia="Times New Roman" w:hAnsi="Times New Roman" w:cs="Times New Roman"/>
          <w:noProof/>
          <w:color w:val="000000" w:themeColor="text1"/>
          <w:sz w:val="24"/>
          <w:szCs w:val="24"/>
          <w:vertAlign w:val="superscript"/>
          <w:lang w:eastAsia="en-IE"/>
        </w:rPr>
        <w:footnoteReference w:id="14"/>
      </w:r>
      <w:r w:rsidRPr="000C480E">
        <w:rPr>
          <w:rFonts w:ascii="Times New Roman" w:hAnsi="Times New Roman"/>
          <w:noProof/>
          <w:color w:val="000000" w:themeColor="text1"/>
          <w:sz w:val="24"/>
        </w:rPr>
        <w:t>, UE va continua să sprijine soluțiile integrate pentru reziliența la schimbările climatice în țările fragile și vulnerabile. „Global Gateway”, strategia cuprinzătoare a UE în valoare de 300 de miliarde EUR, planurile economice și de investiții concepute pentru vecinătatea sudică a UE, Parteneriatul estic și Balcanii de Vest pot oferi instrumente pentru atenuarea riscurilor climatice la nivel mondial. De exemplu, UE a lansat inițiativa cuprinzătoare „Echipa Europa” (TEI) privind adaptarea la schimbările climatice și reziliența în Africa Subsahariană, ca parte a pachetului de investiții UE-Africa Global Gateway. În conformitate cu Cadrul de la Sendai pentru reducerea riscurilor de dezastre, UE va continua să sprijine reducerea riscului de dezastre în țările partenere, punând accentul pe cunoașterea și guvernanța riscurilor de dezastre, pe prevenire, pregătire (în special sistemele de alertă timpurie), răspuns și redresare.</w:t>
      </w:r>
    </w:p>
    <w:p w14:paraId="3E7F0EF3" w14:textId="3AB7C499" w:rsidR="00467C2D" w:rsidRPr="000C480E" w:rsidRDefault="00E213F7" w:rsidP="00467C2D">
      <w:pPr>
        <w:spacing w:after="120"/>
        <w:jc w:val="both"/>
        <w:textAlignment w:val="baseline"/>
        <w:rPr>
          <w:rFonts w:ascii="Times New Roman" w:eastAsia="Times New Roman" w:hAnsi="Times New Roman" w:cs="Times New Roman"/>
          <w:noProof/>
          <w:color w:val="000000" w:themeColor="text1"/>
          <w:sz w:val="24"/>
          <w:szCs w:val="24"/>
        </w:rPr>
      </w:pPr>
      <w:r w:rsidRPr="000C480E">
        <w:rPr>
          <w:rFonts w:ascii="Times New Roman" w:hAnsi="Times New Roman"/>
          <w:noProof/>
          <w:color w:val="000000" w:themeColor="text1"/>
          <w:sz w:val="24"/>
        </w:rPr>
        <w:t>Comunicarea vine în continuarea celor mai recente rezultate ale Summitului ONU privind clima (COP28) în materie de adaptare și, în special, în ceea ce privește punerea în aplicare a cadrului EAU pentru reziliența globală la schimbările climatice</w:t>
      </w:r>
      <w:r w:rsidR="00D7188A" w:rsidRPr="000C480E">
        <w:rPr>
          <w:rStyle w:val="FootnoteReference"/>
          <w:rFonts w:ascii="Times New Roman" w:eastAsia="Times New Roman" w:hAnsi="Times New Roman" w:cs="Times New Roman"/>
          <w:noProof/>
          <w:color w:val="000000" w:themeColor="text1"/>
          <w:sz w:val="24"/>
          <w:szCs w:val="24"/>
          <w:lang w:eastAsia="en-IE"/>
        </w:rPr>
        <w:footnoteReference w:id="15"/>
      </w:r>
      <w:r w:rsidRPr="000C480E">
        <w:rPr>
          <w:rFonts w:ascii="Times New Roman" w:hAnsi="Times New Roman"/>
          <w:noProof/>
          <w:color w:val="000000" w:themeColor="text1"/>
          <w:sz w:val="24"/>
        </w:rPr>
        <w:t>. UE va continua să promoveze reziliența la schimbările climatice și gestionarea riscurilor climatice, contribuind la adaptarea la schimbările climatice și la prevenirea conflictelor în cadrul instrumentelor sale diplomatice în domeniul climei care mobilizează experiențele europene în cadrul forurilor internaționale și la nivel bilateral.</w:t>
      </w:r>
    </w:p>
    <w:p w14:paraId="0646DA70" w14:textId="7187CC1E" w:rsidR="00B11E0C" w:rsidRPr="000C480E" w:rsidRDefault="00B11E0C" w:rsidP="00467C2D">
      <w:pPr>
        <w:spacing w:after="120"/>
        <w:jc w:val="both"/>
        <w:textAlignment w:val="baseline"/>
        <w:rPr>
          <w:rFonts w:ascii="Times New Roman" w:eastAsia="Times New Roman" w:hAnsi="Times New Roman" w:cs="Times New Roman"/>
          <w:noProof/>
          <w:color w:val="000000" w:themeColor="text1"/>
          <w:sz w:val="24"/>
          <w:szCs w:val="24"/>
          <w:lang w:eastAsia="en-IE"/>
        </w:rPr>
      </w:pPr>
    </w:p>
    <w:p w14:paraId="017D23F3" w14:textId="77777777" w:rsidR="00275F0B" w:rsidRPr="000C480E" w:rsidRDefault="00275F0B" w:rsidP="00467C2D">
      <w:pPr>
        <w:spacing w:after="120"/>
        <w:jc w:val="both"/>
        <w:textAlignment w:val="baseline"/>
        <w:rPr>
          <w:rFonts w:ascii="Times New Roman" w:eastAsia="Times New Roman" w:hAnsi="Times New Roman" w:cs="Times New Roman"/>
          <w:noProof/>
          <w:color w:val="000000" w:themeColor="text1"/>
          <w:sz w:val="24"/>
          <w:szCs w:val="24"/>
          <w:lang w:eastAsia="en-IE"/>
        </w:rPr>
      </w:pPr>
    </w:p>
    <w:p w14:paraId="38014A6E" w14:textId="51FA5DD2" w:rsidR="0053389F" w:rsidRPr="000C480E" w:rsidRDefault="00C732A8" w:rsidP="00B2476E">
      <w:pPr>
        <w:pStyle w:val="Heading1"/>
        <w:numPr>
          <w:ilvl w:val="0"/>
          <w:numId w:val="1"/>
        </w:numPr>
        <w:ind w:left="357" w:hanging="357"/>
        <w:rPr>
          <w:rFonts w:ascii="Times New Roman" w:hAnsi="Times New Roman" w:cs="Times New Roman"/>
          <w:b/>
          <w:bCs/>
          <w:noProof/>
          <w:color w:val="000000" w:themeColor="text1"/>
          <w:sz w:val="24"/>
          <w:szCs w:val="24"/>
        </w:rPr>
      </w:pPr>
      <w:bookmarkStart w:id="30" w:name="_Toc159792198"/>
      <w:bookmarkStart w:id="31" w:name="_Toc155653036"/>
      <w:bookmarkStart w:id="32" w:name="_Toc155653108"/>
      <w:r w:rsidRPr="000C480E">
        <w:rPr>
          <w:rFonts w:ascii="Times New Roman" w:hAnsi="Times New Roman"/>
          <w:b/>
          <w:noProof/>
          <w:color w:val="000000" w:themeColor="text1"/>
          <w:sz w:val="24"/>
        </w:rPr>
        <w:t>Analiză: cele mai recente dovezi privind principalele riscuri pentru Europa</w:t>
      </w:r>
      <w:bookmarkEnd w:id="30"/>
      <w:r w:rsidRPr="000C480E">
        <w:rPr>
          <w:rFonts w:ascii="Times New Roman" w:hAnsi="Times New Roman"/>
          <w:b/>
          <w:noProof/>
          <w:color w:val="000000" w:themeColor="text1"/>
          <w:sz w:val="24"/>
        </w:rPr>
        <w:t xml:space="preserve"> </w:t>
      </w:r>
      <w:bookmarkEnd w:id="31"/>
      <w:bookmarkEnd w:id="32"/>
    </w:p>
    <w:p w14:paraId="3C0A9A0E" w14:textId="77777777" w:rsidR="001F6B5D" w:rsidRPr="000C480E" w:rsidRDefault="001F6B5D" w:rsidP="001F6B5D">
      <w:pPr>
        <w:rPr>
          <w:rFonts w:ascii="Times New Roman" w:hAnsi="Times New Roman" w:cs="Times New Roman"/>
          <w:b/>
          <w:bCs/>
          <w:noProof/>
          <w:color w:val="000000" w:themeColor="text1"/>
          <w:sz w:val="24"/>
          <w:szCs w:val="24"/>
          <w:lang w:eastAsia="en-IE"/>
        </w:rPr>
      </w:pPr>
    </w:p>
    <w:p w14:paraId="34C7C281" w14:textId="01E80FA7" w:rsidR="00C04113" w:rsidRPr="000C480E" w:rsidRDefault="00537510" w:rsidP="00B2476E">
      <w:pPr>
        <w:pStyle w:val="Heading2"/>
        <w:ind w:left="1565" w:hanging="431"/>
        <w:rPr>
          <w:rFonts w:ascii="Times New Roman" w:hAnsi="Times New Roman" w:cs="Times New Roman"/>
          <w:b/>
          <w:bCs/>
          <w:noProof/>
          <w:color w:val="000000" w:themeColor="text1"/>
          <w:sz w:val="24"/>
          <w:szCs w:val="24"/>
        </w:rPr>
      </w:pPr>
      <w:bookmarkStart w:id="33" w:name="_Toc159792199"/>
      <w:r w:rsidRPr="000C480E">
        <w:rPr>
          <w:rFonts w:ascii="Times New Roman" w:hAnsi="Times New Roman"/>
          <w:b/>
          <w:noProof/>
          <w:color w:val="000000" w:themeColor="text1"/>
          <w:sz w:val="24"/>
        </w:rPr>
        <w:t>Constatările evaluării europene a riscurilor climatice</w:t>
      </w:r>
      <w:bookmarkEnd w:id="33"/>
      <w:r w:rsidRPr="000C480E">
        <w:rPr>
          <w:rFonts w:ascii="Times New Roman" w:hAnsi="Times New Roman"/>
          <w:b/>
          <w:noProof/>
          <w:color w:val="000000" w:themeColor="text1"/>
          <w:sz w:val="24"/>
        </w:rPr>
        <w:t xml:space="preserve"> </w:t>
      </w:r>
    </w:p>
    <w:p w14:paraId="220AC25A" w14:textId="77777777" w:rsidR="00110F08" w:rsidRPr="000C480E" w:rsidRDefault="00110F08" w:rsidP="00B11E0C">
      <w:pPr>
        <w:jc w:val="both"/>
        <w:textAlignment w:val="baseline"/>
        <w:rPr>
          <w:rFonts w:ascii="Times New Roman" w:eastAsia="Times New Roman" w:hAnsi="Times New Roman" w:cs="Times New Roman"/>
          <w:b/>
          <w:bCs/>
          <w:noProof/>
          <w:color w:val="000000" w:themeColor="text1"/>
          <w:sz w:val="24"/>
          <w:szCs w:val="24"/>
          <w:lang w:eastAsia="en-IE"/>
        </w:rPr>
      </w:pPr>
    </w:p>
    <w:p w14:paraId="72C9E116" w14:textId="0C4056D9" w:rsidR="004A4171" w:rsidRPr="000C480E" w:rsidRDefault="003075BA" w:rsidP="00A35FBF">
      <w:pPr>
        <w:spacing w:after="120"/>
        <w:jc w:val="both"/>
        <w:textAlignment w:val="baseline"/>
        <w:rPr>
          <w:rFonts w:ascii="Times New Roman" w:eastAsia="Times New Roman" w:hAnsi="Times New Roman" w:cs="Times New Roman"/>
          <w:noProof/>
          <w:color w:val="000000" w:themeColor="text1"/>
          <w:sz w:val="24"/>
          <w:szCs w:val="24"/>
        </w:rPr>
      </w:pPr>
      <w:r w:rsidRPr="000C480E">
        <w:rPr>
          <w:rFonts w:ascii="Times New Roman" w:hAnsi="Times New Roman"/>
          <w:noProof/>
          <w:color w:val="000000" w:themeColor="text1"/>
          <w:sz w:val="24"/>
        </w:rPr>
        <w:t xml:space="preserve">Datele științifice sunt clare: Europa se va confrunta cu temperaturi globale mai ridicate, cu riscul unor valuri de căldură mai intense și mai frecvente, cu secete prelungite, cu precipitații mai intense, cu viteze medii mai scăzute ale vântului și cu mai puțină zăpadă. Rapoartele Grupului interguvernamental privind schimbările climatice (IPCC) au afirmat în mod clar acest lucru. Cu toate acestea, această imagine de ansamblu nu arată interacțiunile complexe dintre pericole și probabilitatea unor impacturi catastrofale. </w:t>
      </w:r>
    </w:p>
    <w:p w14:paraId="09100870" w14:textId="77777777" w:rsidR="000D1DBC" w:rsidRDefault="00903F2E" w:rsidP="00FB1FAF">
      <w:pPr>
        <w:spacing w:after="120"/>
        <w:jc w:val="both"/>
        <w:textAlignment w:val="baseline"/>
        <w:rPr>
          <w:rFonts w:ascii="Times New Roman" w:hAnsi="Times New Roman"/>
          <w:noProof/>
          <w:color w:val="000000" w:themeColor="text1"/>
          <w:sz w:val="24"/>
        </w:rPr>
      </w:pPr>
      <w:r w:rsidRPr="000C480E">
        <w:rPr>
          <w:rFonts w:ascii="Times New Roman" w:hAnsi="Times New Roman"/>
          <w:noProof/>
          <w:color w:val="000000" w:themeColor="text1"/>
          <w:sz w:val="24"/>
        </w:rPr>
        <w:t>Figura</w:t>
      </w:r>
      <w:r w:rsidR="0076332E" w:rsidRPr="000C480E">
        <w:rPr>
          <w:rFonts w:ascii="Times New Roman" w:hAnsi="Times New Roman"/>
          <w:noProof/>
          <w:color w:val="000000" w:themeColor="text1"/>
          <w:sz w:val="24"/>
        </w:rPr>
        <w:t> </w:t>
      </w:r>
      <w:r w:rsidRPr="000C480E">
        <w:rPr>
          <w:rFonts w:ascii="Times New Roman" w:hAnsi="Times New Roman"/>
          <w:noProof/>
          <w:color w:val="000000" w:themeColor="text1"/>
          <w:sz w:val="24"/>
        </w:rPr>
        <w:t>2: Tendințele observate și preconizate ale principalelor pericole legate de climă în diferite regiuni europene</w:t>
      </w:r>
    </w:p>
    <w:p w14:paraId="4765E38A" w14:textId="47205DDF" w:rsidR="006B7564" w:rsidRPr="000C480E" w:rsidRDefault="000C480E" w:rsidP="00FB1FAF">
      <w:pPr>
        <w:spacing w:after="120"/>
        <w:jc w:val="both"/>
        <w:textAlignment w:val="baseline"/>
        <w:rPr>
          <w:rFonts w:ascii="Times New Roman" w:eastAsia="Times New Roman" w:hAnsi="Times New Roman" w:cs="Times New Roman"/>
          <w:noProof/>
          <w:color w:val="000000" w:themeColor="text1"/>
          <w:sz w:val="24"/>
          <w:szCs w:val="24"/>
        </w:rPr>
      </w:pPr>
      <w:r w:rsidRPr="000C480E">
        <w:rPr>
          <w:rFonts w:ascii="Times New Roman" w:hAnsi="Times New Roman"/>
          <w:noProof/>
          <w:color w:val="000000" w:themeColor="text1"/>
          <w:sz w:val="24"/>
          <w:lang w:val="en-GB" w:eastAsia="en-GB"/>
        </w:rPr>
        <w:drawing>
          <wp:inline distT="0" distB="0" distL="0" distR="0" wp14:anchorId="1611FEE9" wp14:editId="0000D717">
            <wp:extent cx="4326255" cy="3712913"/>
            <wp:effectExtent l="0" t="0" r="0" b="190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4345363" cy="3729312"/>
                    </a:xfrm>
                    <a:prstGeom prst="rect">
                      <a:avLst/>
                    </a:prstGeom>
                  </pic:spPr>
                </pic:pic>
              </a:graphicData>
            </a:graphic>
          </wp:inline>
        </w:drawing>
      </w:r>
    </w:p>
    <w:p w14:paraId="7026D70C" w14:textId="7F890A87" w:rsidR="00B4182E" w:rsidRPr="000C480E" w:rsidRDefault="009513CE" w:rsidP="00FB1FAF">
      <w:pPr>
        <w:spacing w:after="120"/>
        <w:jc w:val="both"/>
        <w:textAlignment w:val="baseline"/>
        <w:rPr>
          <w:rFonts w:ascii="Times New Roman" w:eastAsia="Times New Roman" w:hAnsi="Times New Roman" w:cs="Times New Roman"/>
          <w:noProof/>
          <w:color w:val="000000" w:themeColor="text1"/>
          <w:sz w:val="24"/>
          <w:szCs w:val="24"/>
        </w:rPr>
      </w:pPr>
      <w:r w:rsidRPr="000C480E">
        <w:rPr>
          <w:rFonts w:ascii="Times New Roman" w:hAnsi="Times New Roman"/>
          <w:noProof/>
          <w:color w:val="000000" w:themeColor="text1"/>
          <w:sz w:val="24"/>
        </w:rPr>
        <w:t xml:space="preserve"> </w:t>
      </w:r>
    </w:p>
    <w:p w14:paraId="369027B6" w14:textId="52A4F22C" w:rsidR="0016254A" w:rsidRPr="000C480E" w:rsidRDefault="009513CE" w:rsidP="0027457F">
      <w:pPr>
        <w:spacing w:after="120"/>
        <w:jc w:val="both"/>
        <w:textAlignment w:val="baseline"/>
        <w:rPr>
          <w:rFonts w:ascii="Times New Roman" w:eastAsia="Times New Roman" w:hAnsi="Times New Roman" w:cs="Times New Roman"/>
          <w:noProof/>
          <w:color w:val="000000" w:themeColor="text1"/>
          <w:sz w:val="24"/>
          <w:szCs w:val="24"/>
        </w:rPr>
      </w:pPr>
      <w:r w:rsidRPr="000C480E">
        <w:rPr>
          <w:rFonts w:ascii="Times New Roman" w:hAnsi="Times New Roman"/>
          <w:noProof/>
          <w:color w:val="000000" w:themeColor="text1"/>
          <w:sz w:val="24"/>
        </w:rPr>
        <w:t xml:space="preserve">Sursa: EUCRA </w:t>
      </w:r>
    </w:p>
    <w:p w14:paraId="2B4CD59C" w14:textId="6E7989F4" w:rsidR="00E8187F" w:rsidRPr="000C480E" w:rsidRDefault="00344A54" w:rsidP="00344A54">
      <w:pPr>
        <w:spacing w:after="120"/>
        <w:jc w:val="both"/>
        <w:textAlignment w:val="baseline"/>
        <w:rPr>
          <w:rFonts w:ascii="Times New Roman" w:eastAsia="Times New Roman" w:hAnsi="Times New Roman" w:cs="Times New Roman"/>
          <w:noProof/>
          <w:color w:val="000000" w:themeColor="text1"/>
          <w:sz w:val="24"/>
          <w:szCs w:val="24"/>
        </w:rPr>
      </w:pPr>
      <w:r w:rsidRPr="000C480E">
        <w:rPr>
          <w:rFonts w:ascii="Times New Roman" w:hAnsi="Times New Roman"/>
          <w:noProof/>
          <w:color w:val="000000" w:themeColor="text1"/>
          <w:sz w:val="24"/>
        </w:rPr>
        <w:t xml:space="preserve">Aceste pericole climatice vor conduce la mai multe dezastre, cum ar fi secete, inundații, incendii forestiere, boli, recolte slabe, decese cauzate de căldură, daune aduse infrastructurii și schimbări structurale ale mediului. În practică, pregătirea societății, capacitatea financiară și administrativă de redresare și localizarea fizică sunt principalii factori care determină gradul de expunere și de vulnerabilitate al societății. </w:t>
      </w:r>
    </w:p>
    <w:p w14:paraId="3EBCF7F6" w14:textId="357F125E" w:rsidR="002E7B27" w:rsidRPr="000C480E" w:rsidRDefault="002E7B27" w:rsidP="00681BFF">
      <w:pPr>
        <w:spacing w:after="120"/>
        <w:jc w:val="both"/>
        <w:textAlignment w:val="baseline"/>
        <w:rPr>
          <w:rFonts w:ascii="Times New Roman" w:eastAsia="Times New Roman" w:hAnsi="Times New Roman" w:cs="Times New Roman"/>
          <w:noProof/>
          <w:color w:val="000000" w:themeColor="text1"/>
          <w:sz w:val="24"/>
          <w:szCs w:val="24"/>
        </w:rPr>
      </w:pPr>
      <w:bookmarkStart w:id="34" w:name="_Hlk160815827"/>
      <w:r w:rsidRPr="000C480E">
        <w:rPr>
          <w:rFonts w:ascii="Times New Roman" w:hAnsi="Times New Roman"/>
          <w:noProof/>
          <w:color w:val="000000" w:themeColor="text1"/>
          <w:sz w:val="24"/>
        </w:rPr>
        <w:t xml:space="preserve">Sudul Europei se va confrunta cu presiuni climatice mai puternice decât restul Europei, la fel ca și zonele arctice. Regiunile ultraperiferice prezintă un set distinct de riscuri. Această expunere asimetrică la impactul climatic exacerbează disparitățile deja existente între regiuni în ceea ce privește nevoia de adaptare la schimbările climatice, de prevenire a riscurilor și de pregătire pentru aceste situații, ceea ce poate exercita presiuni asupra instrumentelor de coeziune la nivelul UE. </w:t>
      </w:r>
    </w:p>
    <w:bookmarkEnd w:id="34"/>
    <w:p w14:paraId="7F9A9021" w14:textId="66F066A7" w:rsidR="00582114" w:rsidRPr="000C480E" w:rsidRDefault="00582114" w:rsidP="00582114">
      <w:pPr>
        <w:spacing w:after="120"/>
        <w:jc w:val="both"/>
        <w:rPr>
          <w:rFonts w:ascii="Times New Roman" w:hAnsi="Times New Roman" w:cs="Times New Roman"/>
          <w:noProof/>
          <w:color w:val="000000" w:themeColor="text1"/>
          <w:sz w:val="24"/>
          <w:szCs w:val="24"/>
        </w:rPr>
      </w:pPr>
      <w:r w:rsidRPr="000C480E">
        <w:rPr>
          <w:rFonts w:ascii="Times New Roman" w:hAnsi="Times New Roman"/>
          <w:noProof/>
          <w:color w:val="000000" w:themeColor="text1"/>
          <w:sz w:val="24"/>
        </w:rPr>
        <w:t>Costurile și beneficiile daunelor evitate la nivel de societate nu pot fi calculate cu exactitate, dar o estimare a amplorii ar trebui să fie suficientă pentru a justifica luarea de măsuri. Conform unei estimări prudente, o agravare a schimbărilor climatice ar putea reduce PIB-ul UE cu aproximativ 7 % până la sfârșitul secolului. Dacă încălzirea globală depășește în mod permanent pragul de 1,5 grade prevăzut în Acordul de la Paris, reducerea suplimentară cumulată a PIB-ului UE în ansamblu s-ar putea ridica la 2,4 mii de miliarde EUR în perioada 2031-2050</w:t>
      </w:r>
      <w:r w:rsidRPr="000C480E">
        <w:rPr>
          <w:rStyle w:val="FootnoteReference"/>
          <w:rFonts w:ascii="Times New Roman" w:hAnsi="Times New Roman" w:cs="Times New Roman"/>
          <w:noProof/>
          <w:color w:val="000000" w:themeColor="text1"/>
          <w:sz w:val="24"/>
          <w:szCs w:val="24"/>
        </w:rPr>
        <w:footnoteReference w:id="16"/>
      </w:r>
      <w:r w:rsidRPr="000C480E">
        <w:rPr>
          <w:rFonts w:ascii="Times New Roman" w:hAnsi="Times New Roman"/>
          <w:noProof/>
          <w:color w:val="000000" w:themeColor="text1"/>
          <w:sz w:val="24"/>
        </w:rPr>
        <w:t xml:space="preserve">. </w:t>
      </w:r>
      <w:r w:rsidRPr="000C480E">
        <w:rPr>
          <w:rFonts w:ascii="Times New Roman" w:hAnsi="Times New Roman"/>
          <w:noProof/>
          <w:sz w:val="24"/>
        </w:rPr>
        <w:t>Daunele anuale cauzate de inundațiile costiere în Europa ar putea depăși 1,6 mii de miliarde EUR până în 2100</w:t>
      </w:r>
      <w:r w:rsidRPr="000C480E">
        <w:rPr>
          <w:rStyle w:val="FootnoteReference"/>
          <w:rFonts w:ascii="Times New Roman" w:eastAsia="Times New Roman" w:hAnsi="Times New Roman" w:cs="Times New Roman"/>
          <w:noProof/>
          <w:sz w:val="24"/>
          <w:szCs w:val="24"/>
        </w:rPr>
        <w:footnoteReference w:id="17"/>
      </w:r>
      <w:r w:rsidRPr="000C480E">
        <w:rPr>
          <w:rFonts w:ascii="Times New Roman" w:hAnsi="Times New Roman"/>
          <w:noProof/>
          <w:sz w:val="24"/>
        </w:rPr>
        <w:t xml:space="preserve">, 3,9 milioane de persoane fiind expuse anual inundațiilor costiere. </w:t>
      </w:r>
    </w:p>
    <w:p w14:paraId="5C76A149" w14:textId="3B00D40D" w:rsidR="00681BFF" w:rsidRPr="000C480E" w:rsidRDefault="00681BFF" w:rsidP="00681BFF">
      <w:pPr>
        <w:spacing w:after="120"/>
        <w:jc w:val="both"/>
        <w:textAlignment w:val="baseline"/>
        <w:rPr>
          <w:rFonts w:ascii="Times New Roman" w:eastAsia="Times New Roman" w:hAnsi="Times New Roman" w:cs="Times New Roman"/>
          <w:noProof/>
          <w:color w:val="000000" w:themeColor="text1"/>
          <w:sz w:val="24"/>
          <w:szCs w:val="24"/>
        </w:rPr>
      </w:pPr>
      <w:r w:rsidRPr="000C480E">
        <w:rPr>
          <w:rFonts w:ascii="Times New Roman" w:hAnsi="Times New Roman"/>
          <w:noProof/>
          <w:color w:val="000000" w:themeColor="text1"/>
          <w:sz w:val="24"/>
        </w:rPr>
        <w:t xml:space="preserve">Riscurile climatice sunt resimțite în special de persoanele cele mai vulnerabile din cauza unei serii de factori socioeconomici, cum ar fi venitul, sexul, vârsta, handicapul, sănătatea și excluziunea socială (care afectează în special migranții, minoritățile etnice și populațiile indigene). </w:t>
      </w:r>
      <w:r w:rsidRPr="000C480E">
        <w:rPr>
          <w:rFonts w:ascii="Times New Roman" w:hAnsi="Times New Roman"/>
          <w:noProof/>
          <w:sz w:val="24"/>
        </w:rPr>
        <w:t>Dezavantajele preexistente scad capacitatea de redresare în urma unor dezastre cauzate de schimbările climatice.</w:t>
      </w:r>
      <w:r w:rsidRPr="000C480E">
        <w:rPr>
          <w:rFonts w:ascii="Times New Roman" w:hAnsi="Times New Roman"/>
          <w:noProof/>
          <w:color w:val="000000" w:themeColor="text1"/>
          <w:sz w:val="24"/>
        </w:rPr>
        <w:t xml:space="preserve"> </w:t>
      </w:r>
      <w:r w:rsidRPr="000C480E">
        <w:rPr>
          <w:rFonts w:ascii="Times New Roman" w:hAnsi="Times New Roman"/>
          <w:noProof/>
          <w:sz w:val="24"/>
        </w:rPr>
        <w:t>Zonele urbane mai sărace, dar și școlile și spitalele tind să se situeze în insule termice urbane. Atât în mediul urban, cât și în cel rural, populația care trăiește în zone joase se confruntă cu riscuri crescute de inundații și cu consecințe asociate contaminării apei.</w:t>
      </w:r>
    </w:p>
    <w:p w14:paraId="4E1651C6" w14:textId="7950F43C" w:rsidR="00681BFF" w:rsidRPr="000C480E" w:rsidRDefault="00681BFF" w:rsidP="00681BFF">
      <w:pPr>
        <w:spacing w:after="120"/>
        <w:jc w:val="both"/>
        <w:textAlignment w:val="baseline"/>
        <w:rPr>
          <w:rFonts w:ascii="Times New Roman" w:eastAsia="Times New Roman" w:hAnsi="Times New Roman" w:cs="Times New Roman"/>
          <w:noProof/>
          <w:color w:val="000000" w:themeColor="text1"/>
          <w:sz w:val="24"/>
          <w:szCs w:val="24"/>
        </w:rPr>
      </w:pPr>
      <w:r w:rsidRPr="000C480E">
        <w:rPr>
          <w:rFonts w:ascii="Times New Roman" w:hAnsi="Times New Roman"/>
          <w:noProof/>
          <w:color w:val="000000" w:themeColor="text1"/>
          <w:sz w:val="24"/>
        </w:rPr>
        <w:t xml:space="preserve">Lucrătorii expuși, în principal cei care lucrează în aer liber în sectoare precum agricultura, construcțiile, serviciile de urgență și turismul, sunt mai susceptibili să se confrunte cu condiții termice extreme. Dincolo de impactul asupra sănătății și siguranței la locul de muncă și de pierderile de venituri care afectează lucrătorii individuali din cauza scăderii timpului de lucru, reducerea rezultată a productivității muncii poate genera deficite ale producției economice la un nivel teritorial mai larg. Soluțiile de adaptare prost concepute pot adânci și mai mult inegalitățile. Luarea în considerare a aspectelor sociale, a dialogului, precum și a proceselor decizionale favorabile incluziunii și participative cu comunitățile afectate este esențială pentru acțiuni de politică bine concepute. Asigurarea securității face parte din contractul social cu cetățenii noștri. </w:t>
      </w:r>
    </w:p>
    <w:p w14:paraId="71B86C90" w14:textId="048065BB" w:rsidR="00C15BCA" w:rsidRPr="000C480E" w:rsidRDefault="00D21DA7" w:rsidP="0080431A">
      <w:pPr>
        <w:spacing w:after="0" w:line="240" w:lineRule="auto"/>
        <w:jc w:val="both"/>
        <w:textAlignment w:val="baseline"/>
        <w:rPr>
          <w:rFonts w:ascii="Times New Roman" w:eastAsia="Times New Roman" w:hAnsi="Times New Roman" w:cs="Times New Roman"/>
          <w:noProof/>
          <w:color w:val="000000" w:themeColor="text1"/>
          <w:sz w:val="24"/>
          <w:szCs w:val="24"/>
        </w:rPr>
      </w:pPr>
      <w:r w:rsidRPr="000C480E">
        <w:rPr>
          <w:rFonts w:ascii="Times New Roman" w:hAnsi="Times New Roman"/>
          <w:noProof/>
          <w:color w:val="000000" w:themeColor="text1"/>
          <w:sz w:val="24"/>
        </w:rPr>
        <w:t xml:space="preserve">EUCRA a identificat 36 de riscuri principale pentru Europa, unele dintre acestea situându-se deja la niveluri critice și extrem de urgente. Fiecare dintre acestea ar trebui să fie luat în considerare de factorii de decizie politică. Secțiunea 4 răspunde unora dintre acestea, concentrându-se în același timp asupra acțiunilor care pot răspunde mai multor riscuri simultan. </w:t>
      </w:r>
    </w:p>
    <w:p w14:paraId="42589059" w14:textId="77777777" w:rsidR="00C15BCA" w:rsidRPr="000C480E" w:rsidRDefault="00C15BCA" w:rsidP="0080431A">
      <w:pPr>
        <w:spacing w:after="0" w:line="240" w:lineRule="auto"/>
        <w:rPr>
          <w:rFonts w:ascii="Times New Roman" w:eastAsia="Times New Roman" w:hAnsi="Times New Roman" w:cs="Times New Roman"/>
          <w:noProof/>
          <w:color w:val="000000" w:themeColor="text1"/>
          <w:sz w:val="24"/>
          <w:szCs w:val="24"/>
        </w:rPr>
      </w:pPr>
      <w:r w:rsidRPr="000C480E">
        <w:rPr>
          <w:noProof/>
        </w:rPr>
        <w:br w:type="page"/>
      </w:r>
    </w:p>
    <w:p w14:paraId="54F69784" w14:textId="39E4906F" w:rsidR="000E756C" w:rsidRPr="000C480E" w:rsidRDefault="000E756C" w:rsidP="000E756C">
      <w:pPr>
        <w:spacing w:after="120"/>
        <w:jc w:val="both"/>
        <w:textAlignment w:val="baseline"/>
        <w:rPr>
          <w:rFonts w:ascii="Times New Roman" w:eastAsia="Times New Roman" w:hAnsi="Times New Roman" w:cs="Times New Roman"/>
          <w:noProof/>
          <w:color w:val="000000" w:themeColor="text1"/>
          <w:sz w:val="24"/>
          <w:szCs w:val="24"/>
        </w:rPr>
      </w:pPr>
      <w:r w:rsidRPr="000C480E">
        <w:rPr>
          <w:rFonts w:ascii="Times New Roman" w:hAnsi="Times New Roman"/>
          <w:noProof/>
          <w:color w:val="000000" w:themeColor="text1"/>
          <w:sz w:val="24"/>
        </w:rPr>
        <w:t xml:space="preserve">Figura 3: Legăturile dintre grupurile majore de riscuri climatice și domeniile de politică expuse </w:t>
      </w:r>
    </w:p>
    <w:p w14:paraId="131F754D" w14:textId="4EFAC681" w:rsidR="000E756C" w:rsidRPr="000C480E" w:rsidRDefault="00415ED4" w:rsidP="000E756C">
      <w:pPr>
        <w:spacing w:after="120"/>
        <w:jc w:val="both"/>
        <w:textAlignment w:val="baseline"/>
        <w:rPr>
          <w:rFonts w:ascii="Times New Roman" w:eastAsia="Times New Roman" w:hAnsi="Times New Roman" w:cs="Times New Roman"/>
          <w:noProof/>
          <w:color w:val="000000" w:themeColor="text1"/>
          <w:sz w:val="24"/>
          <w:szCs w:val="24"/>
        </w:rPr>
      </w:pPr>
      <w:r w:rsidRPr="00415ED4">
        <w:rPr>
          <w:rFonts w:ascii="Times New Roman" w:eastAsia="Times New Roman" w:hAnsi="Times New Roman" w:cs="Times New Roman"/>
          <w:noProof/>
          <w:color w:val="000000" w:themeColor="text1"/>
          <w:sz w:val="24"/>
          <w:szCs w:val="24"/>
          <w:lang w:val="en-GB" w:eastAsia="en-GB"/>
        </w:rPr>
        <w:drawing>
          <wp:inline distT="0" distB="0" distL="0" distR="0" wp14:anchorId="059E2639" wp14:editId="1F2D06A4">
            <wp:extent cx="4330923" cy="611536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4330923" cy="6115364"/>
                    </a:xfrm>
                    <a:prstGeom prst="rect">
                      <a:avLst/>
                    </a:prstGeom>
                  </pic:spPr>
                </pic:pic>
              </a:graphicData>
            </a:graphic>
          </wp:inline>
        </w:drawing>
      </w:r>
    </w:p>
    <w:p w14:paraId="53FC4126" w14:textId="55290F62" w:rsidR="00C51D41" w:rsidRPr="000C480E" w:rsidRDefault="00C51D41" w:rsidP="00C51D41">
      <w:pPr>
        <w:spacing w:after="120"/>
        <w:jc w:val="both"/>
        <w:textAlignment w:val="baseline"/>
        <w:rPr>
          <w:rFonts w:ascii="Times New Roman" w:eastAsia="Times New Roman" w:hAnsi="Times New Roman" w:cs="Times New Roman"/>
          <w:noProof/>
          <w:color w:val="000000" w:themeColor="text1"/>
          <w:sz w:val="24"/>
          <w:szCs w:val="24"/>
        </w:rPr>
      </w:pPr>
      <w:r w:rsidRPr="000C480E">
        <w:rPr>
          <w:rFonts w:ascii="Times New Roman" w:hAnsi="Times New Roman"/>
          <w:noProof/>
          <w:color w:val="000000" w:themeColor="text1"/>
          <w:sz w:val="24"/>
        </w:rPr>
        <w:t xml:space="preserve">Sursa: EUCRA </w:t>
      </w:r>
    </w:p>
    <w:p w14:paraId="760484ED" w14:textId="77777777" w:rsidR="001F6B5D" w:rsidRPr="000C480E" w:rsidRDefault="001F6B5D" w:rsidP="004B0FE0">
      <w:pPr>
        <w:spacing w:after="120"/>
        <w:jc w:val="both"/>
        <w:textAlignment w:val="baseline"/>
        <w:rPr>
          <w:rFonts w:ascii="Times New Roman" w:eastAsia="Times New Roman" w:hAnsi="Times New Roman" w:cs="Times New Roman"/>
          <w:noProof/>
          <w:color w:val="000000" w:themeColor="text1"/>
          <w:sz w:val="24"/>
          <w:szCs w:val="24"/>
          <w:lang w:eastAsia="en-IE"/>
        </w:rPr>
      </w:pPr>
    </w:p>
    <w:p w14:paraId="170C4280" w14:textId="0DE90AFA" w:rsidR="006270DE" w:rsidRPr="000C480E" w:rsidRDefault="00545E49" w:rsidP="00B2476E">
      <w:pPr>
        <w:pStyle w:val="Heading2"/>
        <w:ind w:left="1565" w:hanging="431"/>
        <w:rPr>
          <w:rFonts w:ascii="Times New Roman" w:hAnsi="Times New Roman" w:cs="Times New Roman"/>
          <w:b/>
          <w:bCs/>
          <w:noProof/>
          <w:color w:val="000000" w:themeColor="text1"/>
          <w:sz w:val="24"/>
          <w:szCs w:val="24"/>
        </w:rPr>
      </w:pPr>
      <w:bookmarkStart w:id="35" w:name="_Toc157587664"/>
      <w:bookmarkStart w:id="36" w:name="_Toc157587780"/>
      <w:bookmarkStart w:id="37" w:name="_Toc159792200"/>
      <w:bookmarkEnd w:id="35"/>
      <w:bookmarkEnd w:id="36"/>
      <w:r w:rsidRPr="000C480E">
        <w:rPr>
          <w:rFonts w:ascii="Times New Roman" w:hAnsi="Times New Roman"/>
          <w:b/>
          <w:noProof/>
          <w:color w:val="000000" w:themeColor="text1"/>
          <w:sz w:val="24"/>
        </w:rPr>
        <w:t>Incertitudini și probabilități</w:t>
      </w:r>
      <w:bookmarkEnd w:id="37"/>
      <w:r w:rsidRPr="000C480E">
        <w:rPr>
          <w:rFonts w:ascii="Times New Roman" w:hAnsi="Times New Roman"/>
          <w:b/>
          <w:noProof/>
          <w:color w:val="000000" w:themeColor="text1"/>
          <w:sz w:val="24"/>
        </w:rPr>
        <w:t xml:space="preserve"> </w:t>
      </w:r>
    </w:p>
    <w:p w14:paraId="39A31356" w14:textId="77777777" w:rsidR="00110F08" w:rsidRPr="000C480E" w:rsidRDefault="00110F08" w:rsidP="00B11E0C">
      <w:pPr>
        <w:jc w:val="both"/>
        <w:textAlignment w:val="baseline"/>
        <w:rPr>
          <w:rFonts w:ascii="Times New Roman" w:eastAsia="Times New Roman" w:hAnsi="Times New Roman" w:cs="Times New Roman"/>
          <w:b/>
          <w:bCs/>
          <w:noProof/>
          <w:color w:val="000000" w:themeColor="text1"/>
          <w:sz w:val="24"/>
          <w:szCs w:val="24"/>
          <w:lang w:eastAsia="en-IE"/>
        </w:rPr>
      </w:pPr>
    </w:p>
    <w:p w14:paraId="415BD4D6" w14:textId="69719647" w:rsidR="008E259F" w:rsidRPr="000C480E" w:rsidRDefault="00D41D86" w:rsidP="00E55620">
      <w:pPr>
        <w:spacing w:after="120"/>
        <w:jc w:val="both"/>
        <w:textAlignment w:val="baseline"/>
        <w:rPr>
          <w:rFonts w:ascii="Times New Roman" w:eastAsia="Times New Roman" w:hAnsi="Times New Roman" w:cs="Times New Roman"/>
          <w:noProof/>
          <w:color w:val="000000" w:themeColor="text1"/>
          <w:sz w:val="24"/>
          <w:szCs w:val="24"/>
        </w:rPr>
      </w:pPr>
      <w:r w:rsidRPr="000C480E">
        <w:rPr>
          <w:rFonts w:ascii="Times New Roman" w:hAnsi="Times New Roman"/>
          <w:noProof/>
          <w:color w:val="000000" w:themeColor="text1"/>
          <w:sz w:val="24"/>
        </w:rPr>
        <w:t xml:space="preserve">În pofida complexității sistemului climatic și a incertitudinilor predominante, oamenii de știință sunt din ce în ce mai </w:t>
      </w:r>
      <w:r w:rsidR="00875A04" w:rsidRPr="000C480E">
        <w:rPr>
          <w:rFonts w:ascii="Times New Roman" w:hAnsi="Times New Roman"/>
          <w:noProof/>
          <w:color w:val="000000" w:themeColor="text1"/>
          <w:sz w:val="24"/>
        </w:rPr>
        <w:t>convinși</w:t>
      </w:r>
      <w:r w:rsidRPr="000C480E">
        <w:rPr>
          <w:rFonts w:ascii="Times New Roman" w:hAnsi="Times New Roman"/>
          <w:noProof/>
          <w:color w:val="000000" w:themeColor="text1"/>
          <w:sz w:val="24"/>
        </w:rPr>
        <w:t xml:space="preserve"> că clima va continua să se deterioreze în următoarele decenii. Factorii de decizie politică și investitorii trebuie să ia în considerare probabilitatea rezultatului pe care doresc să îl evite. </w:t>
      </w:r>
    </w:p>
    <w:p w14:paraId="1C605D34" w14:textId="1B750FD7" w:rsidR="00E55620" w:rsidRPr="000C480E" w:rsidRDefault="009143E4" w:rsidP="00E55620">
      <w:pPr>
        <w:spacing w:after="120"/>
        <w:jc w:val="both"/>
        <w:textAlignment w:val="baseline"/>
        <w:rPr>
          <w:rFonts w:ascii="Times New Roman" w:eastAsia="Times New Roman" w:hAnsi="Times New Roman" w:cs="Times New Roman"/>
          <w:noProof/>
          <w:color w:val="000000" w:themeColor="text1"/>
          <w:sz w:val="24"/>
          <w:szCs w:val="24"/>
        </w:rPr>
      </w:pPr>
      <w:r w:rsidRPr="000C480E">
        <w:rPr>
          <w:rFonts w:ascii="Times New Roman" w:hAnsi="Times New Roman"/>
          <w:noProof/>
          <w:color w:val="000000" w:themeColor="text1"/>
          <w:sz w:val="24"/>
        </w:rPr>
        <w:t>Incertitudinea nu este o scuză valabilă pentru lipsa de acțiune. Principiul precauției</w:t>
      </w:r>
      <w:r w:rsidR="000B141D" w:rsidRPr="000C480E">
        <w:rPr>
          <w:rStyle w:val="FootnoteReference"/>
          <w:rFonts w:ascii="Times New Roman" w:eastAsia="Times New Roman" w:hAnsi="Times New Roman" w:cs="Times New Roman"/>
          <w:noProof/>
          <w:color w:val="000000" w:themeColor="text1"/>
          <w:sz w:val="24"/>
          <w:szCs w:val="24"/>
          <w:lang w:eastAsia="en-IE"/>
        </w:rPr>
        <w:footnoteReference w:id="18"/>
      </w:r>
      <w:r w:rsidRPr="000C480E">
        <w:rPr>
          <w:noProof/>
        </w:rPr>
        <w:t xml:space="preserve"> </w:t>
      </w:r>
      <w:r w:rsidRPr="000C480E">
        <w:rPr>
          <w:rFonts w:ascii="Times New Roman" w:hAnsi="Times New Roman"/>
          <w:noProof/>
          <w:color w:val="000000" w:themeColor="text1"/>
          <w:sz w:val="24"/>
        </w:rPr>
        <w:t>impune factorilor de decizie să adopte o abordare preventivă și proactivă pentru a asigura buna gestionare a societăților noastre</w:t>
      </w:r>
      <w:r w:rsidRPr="000C480E">
        <w:rPr>
          <w:noProof/>
        </w:rPr>
        <w:t>.</w:t>
      </w:r>
    </w:p>
    <w:p w14:paraId="52D002BB" w14:textId="77777777" w:rsidR="001F6B5D" w:rsidRPr="000C480E" w:rsidRDefault="001F6B5D" w:rsidP="00E55620">
      <w:pPr>
        <w:spacing w:after="120"/>
        <w:jc w:val="both"/>
        <w:textAlignment w:val="baseline"/>
        <w:rPr>
          <w:rFonts w:ascii="Times New Roman" w:eastAsia="Times New Roman" w:hAnsi="Times New Roman" w:cs="Times New Roman"/>
          <w:noProof/>
          <w:color w:val="000000" w:themeColor="text1"/>
          <w:sz w:val="24"/>
          <w:szCs w:val="24"/>
          <w:lang w:eastAsia="en-IE"/>
        </w:rPr>
      </w:pPr>
    </w:p>
    <w:p w14:paraId="092E31CC" w14:textId="14141EEC" w:rsidR="003F1FF2" w:rsidRPr="000C480E" w:rsidRDefault="000E2514" w:rsidP="00B2476E">
      <w:pPr>
        <w:pStyle w:val="Heading1"/>
        <w:numPr>
          <w:ilvl w:val="0"/>
          <w:numId w:val="1"/>
        </w:numPr>
        <w:ind w:left="357" w:hanging="357"/>
        <w:rPr>
          <w:rFonts w:ascii="Times New Roman" w:eastAsiaTheme="minorHAnsi" w:hAnsi="Times New Roman" w:cs="Times New Roman"/>
          <w:b/>
          <w:bCs/>
          <w:noProof/>
          <w:color w:val="000000" w:themeColor="text1"/>
          <w:sz w:val="24"/>
          <w:szCs w:val="24"/>
        </w:rPr>
      </w:pPr>
      <w:bookmarkStart w:id="38" w:name="_Toc159792201"/>
      <w:r w:rsidRPr="000C480E">
        <w:rPr>
          <w:rFonts w:ascii="Times New Roman" w:hAnsi="Times New Roman"/>
          <w:b/>
          <w:noProof/>
          <w:color w:val="000000" w:themeColor="text1"/>
          <w:sz w:val="24"/>
        </w:rPr>
        <w:t>Spațiul pentru soluții – dotarea societății pentru acțiune</w:t>
      </w:r>
      <w:bookmarkEnd w:id="38"/>
    </w:p>
    <w:p w14:paraId="22110B25" w14:textId="77777777" w:rsidR="00110F08" w:rsidRPr="000C480E" w:rsidRDefault="00110F08" w:rsidP="00B11E0C">
      <w:pPr>
        <w:spacing w:line="240" w:lineRule="auto"/>
        <w:jc w:val="both"/>
        <w:rPr>
          <w:rFonts w:ascii="Times New Roman" w:hAnsi="Times New Roman" w:cs="Times New Roman"/>
          <w:noProof/>
          <w:color w:val="000000" w:themeColor="text1"/>
          <w:sz w:val="24"/>
          <w:szCs w:val="24"/>
        </w:rPr>
      </w:pPr>
    </w:p>
    <w:p w14:paraId="68767612" w14:textId="2B2A4DB7" w:rsidR="0094649A" w:rsidRPr="000C480E" w:rsidRDefault="000C26F4" w:rsidP="00A632E5">
      <w:pPr>
        <w:spacing w:after="120"/>
        <w:jc w:val="both"/>
        <w:rPr>
          <w:rFonts w:ascii="Times New Roman" w:hAnsi="Times New Roman" w:cs="Times New Roman"/>
          <w:noProof/>
          <w:color w:val="000000" w:themeColor="text1"/>
          <w:sz w:val="24"/>
          <w:szCs w:val="24"/>
        </w:rPr>
      </w:pPr>
      <w:r w:rsidRPr="000C480E">
        <w:rPr>
          <w:rFonts w:ascii="Times New Roman" w:hAnsi="Times New Roman"/>
          <w:noProof/>
          <w:color w:val="000000" w:themeColor="text1"/>
          <w:sz w:val="24"/>
        </w:rPr>
        <w:t>Într-un mediu în schimbare, este nevoie de dezvoltarea, testarea și implementarea rapidă a soluțiilor care pot fi puse în aplicare. Misiunea UE privind adaptarea la schimbările climatice ajută regiunile la punerea în aplicare a unor soluții inovatoare care sprijină o regiune sau o autoritate locală în</w:t>
      </w:r>
      <w:r w:rsidR="00A757D1" w:rsidRPr="000C480E">
        <w:rPr>
          <w:rFonts w:ascii="Times New Roman" w:hAnsi="Times New Roman"/>
          <w:noProof/>
          <w:color w:val="000000" w:themeColor="text1"/>
          <w:sz w:val="24"/>
        </w:rPr>
        <w:t xml:space="preserve"> </w:t>
      </w:r>
      <w:r w:rsidRPr="000C480E">
        <w:rPr>
          <w:rFonts w:ascii="Times New Roman" w:hAnsi="Times New Roman"/>
          <w:noProof/>
          <w:color w:val="000000" w:themeColor="text1"/>
          <w:sz w:val="24"/>
        </w:rPr>
        <w:t xml:space="preserve">asigurarea rezilienței la schimbările climatice până în 2030 și care pot servi drept bune practici pentru toate părțile interesate. </w:t>
      </w:r>
    </w:p>
    <w:p w14:paraId="49D1CE3B" w14:textId="485DFACE" w:rsidR="0035207A" w:rsidRPr="000C480E" w:rsidRDefault="0B278AC7" w:rsidP="00A632E5">
      <w:pPr>
        <w:spacing w:after="120"/>
        <w:jc w:val="both"/>
        <w:rPr>
          <w:rFonts w:ascii="Times New Roman" w:hAnsi="Times New Roman" w:cs="Times New Roman"/>
          <w:noProof/>
          <w:color w:val="000000" w:themeColor="text1"/>
          <w:sz w:val="24"/>
          <w:szCs w:val="24"/>
        </w:rPr>
      </w:pPr>
      <w:r w:rsidRPr="000C480E">
        <w:rPr>
          <w:rFonts w:ascii="Times New Roman" w:hAnsi="Times New Roman"/>
          <w:noProof/>
          <w:color w:val="000000" w:themeColor="text1"/>
          <w:sz w:val="24"/>
        </w:rPr>
        <w:t>Investițiile în reziliență încă de la începutul unui proiect de infrastructură înseamnă că activul va fi mai în măsură să reziste la condiții meteorologice extreme, astfel încât să se evite cheltuielile ad-hoc pentru reconstrucție și redresare. Fiecare euro necesar pentru repararea daunelor este un euro care nu este cheltuit pentru o investiție mai productivă. În schimb, fiecare euro cheltuit pentru prevenire și pregătire va aduce beneficii pentru toți, depășind investiția inițială</w:t>
      </w:r>
      <w:r w:rsidR="00FF67E3" w:rsidRPr="000C480E">
        <w:rPr>
          <w:rStyle w:val="FootnoteReference"/>
          <w:rFonts w:ascii="Times New Roman" w:hAnsi="Times New Roman" w:cs="Times New Roman"/>
          <w:noProof/>
          <w:color w:val="000000" w:themeColor="text1"/>
          <w:sz w:val="24"/>
          <w:szCs w:val="24"/>
        </w:rPr>
        <w:footnoteReference w:id="19"/>
      </w:r>
      <w:r w:rsidRPr="000C480E">
        <w:rPr>
          <w:rFonts w:ascii="Times New Roman" w:hAnsi="Times New Roman"/>
          <w:noProof/>
          <w:color w:val="000000" w:themeColor="text1"/>
          <w:sz w:val="24"/>
        </w:rPr>
        <w:t>. Deciziile actuale de planificare trebuie să se bazeze pe o evaluare anticipativă solidă a riscurilor</w:t>
      </w:r>
      <w:r w:rsidR="00FF67E3" w:rsidRPr="000C480E">
        <w:rPr>
          <w:rStyle w:val="FootnoteReference"/>
          <w:rFonts w:ascii="Times New Roman" w:eastAsia="Times New Roman" w:hAnsi="Times New Roman" w:cs="Times New Roman"/>
          <w:bCs/>
          <w:noProof/>
          <w:color w:val="000000" w:themeColor="text1"/>
          <w:sz w:val="24"/>
          <w:szCs w:val="24"/>
          <w:lang w:eastAsia="en-IE"/>
        </w:rPr>
        <w:footnoteReference w:id="20"/>
      </w:r>
      <w:r w:rsidRPr="000C480E">
        <w:rPr>
          <w:rFonts w:ascii="Times New Roman" w:hAnsi="Times New Roman"/>
          <w:noProof/>
          <w:color w:val="000000" w:themeColor="text1"/>
          <w:sz w:val="24"/>
        </w:rPr>
        <w:t>.</w:t>
      </w:r>
    </w:p>
    <w:p w14:paraId="2D4D01D8" w14:textId="4217E5CC" w:rsidR="00110F08" w:rsidRPr="000C480E" w:rsidRDefault="00606D54" w:rsidP="00A632E5">
      <w:pPr>
        <w:spacing w:after="120"/>
        <w:jc w:val="both"/>
        <w:rPr>
          <w:rFonts w:ascii="Times New Roman" w:hAnsi="Times New Roman" w:cs="Times New Roman"/>
          <w:noProof/>
          <w:color w:val="000000" w:themeColor="text1"/>
          <w:sz w:val="24"/>
          <w:szCs w:val="24"/>
        </w:rPr>
      </w:pPr>
      <w:r w:rsidRPr="000C480E">
        <w:rPr>
          <w:rFonts w:ascii="Times New Roman" w:hAnsi="Times New Roman"/>
          <w:noProof/>
          <w:color w:val="000000" w:themeColor="text1"/>
          <w:sz w:val="24"/>
        </w:rPr>
        <w:t xml:space="preserve">Riscurile climatice cu care se confruntă Europa nu pot fi abordate separat de alte provocări societale. Cele mai bune și durabile soluții sunt cele care asigură beneficii multiple. Dovezile din raportul EUCRA indică mai multe domenii în care soluțiile transversale pot contribui la eliminarea barierelor din calea adaptării la schimbările climatice. Acesta este motivul pentru care este necesară o abordare sistemică. </w:t>
      </w:r>
    </w:p>
    <w:p w14:paraId="1D3B00F8" w14:textId="40DD8AC3" w:rsidR="0053389F" w:rsidRPr="000C480E" w:rsidRDefault="00137EEC" w:rsidP="00FE74B1">
      <w:pPr>
        <w:spacing w:after="120"/>
        <w:jc w:val="both"/>
        <w:rPr>
          <w:rFonts w:ascii="Times New Roman" w:eastAsia="Times New Roman" w:hAnsi="Times New Roman" w:cs="Times New Roman"/>
          <w:noProof/>
          <w:color w:val="000000" w:themeColor="text1"/>
          <w:sz w:val="24"/>
          <w:szCs w:val="24"/>
        </w:rPr>
      </w:pPr>
      <w:r w:rsidRPr="000C480E">
        <w:rPr>
          <w:rFonts w:ascii="Times New Roman" w:hAnsi="Times New Roman"/>
          <w:noProof/>
          <w:color w:val="000000" w:themeColor="text1"/>
          <w:sz w:val="24"/>
        </w:rPr>
        <w:t xml:space="preserve">Următoarele subsecțiuni identifică patru categorii generale de soluții care fac ca sistemele administrative din UE și din statele sale membre să fie mai în măsură să facă față riscurilor climatice: îmbunătățirea guvernanței, instrumente pentru proprietarii de riscuri, valorificarea politicilor structurale și condiții prealabile adecvate pentru reziliența financiară. </w:t>
      </w:r>
    </w:p>
    <w:p w14:paraId="119F3FAE" w14:textId="77777777" w:rsidR="0072028C" w:rsidRPr="000C480E" w:rsidRDefault="0072028C" w:rsidP="00FE74B1">
      <w:pPr>
        <w:spacing w:after="120"/>
        <w:jc w:val="both"/>
        <w:rPr>
          <w:rFonts w:ascii="Times New Roman" w:eastAsia="Times New Roman" w:hAnsi="Times New Roman" w:cs="Times New Roman"/>
          <w:noProof/>
          <w:color w:val="000000" w:themeColor="text1"/>
          <w:sz w:val="24"/>
          <w:szCs w:val="24"/>
          <w:lang w:eastAsia="en-IE"/>
        </w:rPr>
      </w:pPr>
    </w:p>
    <w:p w14:paraId="3FAF21AD" w14:textId="5B5097A7" w:rsidR="003F1FF2" w:rsidRPr="000C480E" w:rsidRDefault="008C05C8" w:rsidP="00B2476E">
      <w:pPr>
        <w:pStyle w:val="Heading2"/>
        <w:ind w:left="1565" w:hanging="431"/>
        <w:rPr>
          <w:rFonts w:ascii="Times New Roman" w:hAnsi="Times New Roman" w:cs="Times New Roman"/>
          <w:b/>
          <w:bCs/>
          <w:noProof/>
          <w:color w:val="000000" w:themeColor="text1"/>
          <w:sz w:val="24"/>
          <w:szCs w:val="24"/>
        </w:rPr>
      </w:pPr>
      <w:bookmarkStart w:id="39" w:name="_Toc159792202"/>
      <w:r w:rsidRPr="000C480E">
        <w:rPr>
          <w:rFonts w:ascii="Times New Roman" w:hAnsi="Times New Roman"/>
          <w:b/>
          <w:noProof/>
          <w:color w:val="000000" w:themeColor="text1"/>
          <w:sz w:val="24"/>
        </w:rPr>
        <w:t xml:space="preserve">Îmbunătățirea guvernanței </w:t>
      </w:r>
      <w:bookmarkEnd w:id="39"/>
    </w:p>
    <w:p w14:paraId="08354312" w14:textId="77777777" w:rsidR="00110F08" w:rsidRPr="000C480E" w:rsidRDefault="00110F08" w:rsidP="00B11E0C">
      <w:pPr>
        <w:jc w:val="both"/>
        <w:textAlignment w:val="baseline"/>
        <w:rPr>
          <w:rFonts w:ascii="Times New Roman" w:eastAsia="Times New Roman" w:hAnsi="Times New Roman" w:cs="Times New Roman"/>
          <w:b/>
          <w:bCs/>
          <w:noProof/>
          <w:color w:val="000000" w:themeColor="text1"/>
          <w:sz w:val="24"/>
          <w:szCs w:val="24"/>
          <w:lang w:eastAsia="en-IE"/>
        </w:rPr>
      </w:pPr>
    </w:p>
    <w:p w14:paraId="1347B82A" w14:textId="248F0D41" w:rsidR="000221BB" w:rsidRPr="000C480E" w:rsidRDefault="0069108C" w:rsidP="000221BB">
      <w:pPr>
        <w:spacing w:after="120"/>
        <w:jc w:val="both"/>
        <w:textAlignment w:val="baseline"/>
        <w:rPr>
          <w:rFonts w:ascii="Times New Roman" w:eastAsia="Times New Roman" w:hAnsi="Times New Roman" w:cs="Times New Roman"/>
          <w:noProof/>
          <w:color w:val="000000" w:themeColor="text1"/>
          <w:sz w:val="24"/>
          <w:szCs w:val="24"/>
        </w:rPr>
      </w:pPr>
      <w:r w:rsidRPr="000C480E">
        <w:rPr>
          <w:rFonts w:ascii="Times New Roman" w:hAnsi="Times New Roman"/>
          <w:noProof/>
          <w:color w:val="000000" w:themeColor="text1"/>
          <w:sz w:val="24"/>
        </w:rPr>
        <w:t xml:space="preserve">Repartizarea responsabilităților între nivelul UE și nivelul național – asumarea riscurilor – variază de la un domeniu de politică la altul și se bazează pe principiul subsidiarității. În practică, acest lucru înseamnă adesea că Parlamentul European și Consiliul convin asupra unui cadru general comun la nivelul UE, cu abordări concrete de punere în aplicare concepute și decise de statele membre la nivel național și puse în aplicare la nivel național, regional și local. La nivelul UE, riscurile climatice ar trebui să fie mai bine luate în considerare în aspectele legate de guvernanță ale politicilor, legislației și instrumentelor financiare, precum și în căutarea de sinergii între politicile și măsurile UE. </w:t>
      </w:r>
    </w:p>
    <w:p w14:paraId="48094C50" w14:textId="56AEFFC4" w:rsidR="00F723BC" w:rsidRPr="000C480E" w:rsidRDefault="00C964C8" w:rsidP="00327375">
      <w:pPr>
        <w:spacing w:after="120"/>
        <w:jc w:val="both"/>
        <w:textAlignment w:val="baseline"/>
        <w:rPr>
          <w:rFonts w:ascii="Times New Roman" w:hAnsi="Times New Roman"/>
          <w:b/>
          <w:noProof/>
          <w:color w:val="000000" w:themeColor="text1"/>
          <w:sz w:val="24"/>
        </w:rPr>
      </w:pPr>
      <w:r w:rsidRPr="000C480E">
        <w:rPr>
          <w:rFonts w:ascii="Times New Roman" w:hAnsi="Times New Roman"/>
          <w:noProof/>
          <w:color w:val="000000" w:themeColor="text1"/>
          <w:sz w:val="24"/>
        </w:rPr>
        <w:t xml:space="preserve">Deși majoritatea politicilor includ dispoziții privind luarea în considerare a riscurilor climatice, există deficiențe în modul în care astfel de politici și acte legislative sunt puse în aplicare în statele membre. Sunt necesare îmbunătățiri la toate nivelurile de guvernanță. Trebuie să se acorde atenție modului în care interacționează nivelurile național, regional și local și modului în care mijloacele și sarcinile lor sunt aliniate. </w:t>
      </w:r>
      <w:r w:rsidRPr="000C480E">
        <w:rPr>
          <w:rFonts w:ascii="Times New Roman" w:hAnsi="Times New Roman"/>
          <w:b/>
          <w:noProof/>
          <w:color w:val="000000" w:themeColor="text1"/>
          <w:sz w:val="24"/>
        </w:rPr>
        <w:t xml:space="preserve">Comisia invită statele membre să pună în aplicare pe deplin angajamentele existente privind adaptarea și, de asemenea, să ia în considerare recomandările relevante ale Comisiei. </w:t>
      </w:r>
    </w:p>
    <w:p w14:paraId="7C7DE753" w14:textId="501BDA46" w:rsidR="00394716" w:rsidRPr="000C480E" w:rsidRDefault="000B3082" w:rsidP="004C5920">
      <w:pPr>
        <w:spacing w:after="120"/>
        <w:jc w:val="both"/>
        <w:textAlignment w:val="baseline"/>
        <w:rPr>
          <w:rFonts w:ascii="Times New Roman" w:eastAsia="Times New Roman" w:hAnsi="Times New Roman" w:cs="Times New Roman"/>
          <w:noProof/>
          <w:color w:val="000000" w:themeColor="text1"/>
          <w:sz w:val="24"/>
          <w:szCs w:val="24"/>
        </w:rPr>
      </w:pPr>
      <w:r w:rsidRPr="000C480E">
        <w:rPr>
          <w:rFonts w:ascii="Times New Roman" w:hAnsi="Times New Roman"/>
          <w:noProof/>
          <w:color w:val="000000" w:themeColor="text1"/>
          <w:sz w:val="24"/>
        </w:rPr>
        <w:t>Îmbunătățirea guvernanței riscurilor climatice necesită:</w:t>
      </w:r>
    </w:p>
    <w:p w14:paraId="6EF1ABF8" w14:textId="63147ED8" w:rsidR="001234C6" w:rsidRPr="000C480E" w:rsidRDefault="00E95728" w:rsidP="00A632E5">
      <w:pPr>
        <w:spacing w:after="120"/>
        <w:jc w:val="both"/>
        <w:rPr>
          <w:rFonts w:ascii="Times New Roman" w:eastAsia="Times New Roman" w:hAnsi="Times New Roman" w:cs="Times New Roman"/>
          <w:noProof/>
          <w:color w:val="000000" w:themeColor="text1"/>
          <w:sz w:val="24"/>
          <w:szCs w:val="24"/>
        </w:rPr>
      </w:pPr>
      <w:r w:rsidRPr="000C480E">
        <w:rPr>
          <w:rFonts w:ascii="Times New Roman" w:hAnsi="Times New Roman"/>
          <w:noProof/>
          <w:color w:val="000000" w:themeColor="text1"/>
          <w:sz w:val="24"/>
          <w:u w:val="single"/>
        </w:rPr>
        <w:t>O definire clară a responsabilității în materie de riscuri</w:t>
      </w:r>
      <w:r w:rsidRPr="000C480E">
        <w:rPr>
          <w:rFonts w:ascii="Times New Roman" w:hAnsi="Times New Roman"/>
          <w:noProof/>
          <w:color w:val="000000" w:themeColor="text1"/>
          <w:sz w:val="24"/>
        </w:rPr>
        <w:t>. Comisia invită toate instituțiile UE să analizeze modul în care riscurile climatice specifice sectorului și responsabilitatea de a acționa cu privire la riscurile climatice sunt distribuite între UE și statele membre în actualul cadru legislativ pentru principalele domenii de politică.</w:t>
      </w:r>
    </w:p>
    <w:p w14:paraId="7DFE597C" w14:textId="2453201A" w:rsidR="001810D3" w:rsidRPr="000C480E" w:rsidRDefault="00EB5825" w:rsidP="003E5D81">
      <w:pPr>
        <w:spacing w:after="120"/>
        <w:jc w:val="both"/>
        <w:textAlignment w:val="baseline"/>
        <w:rPr>
          <w:rFonts w:ascii="Times New Roman" w:eastAsia="Times New Roman" w:hAnsi="Times New Roman" w:cs="Times New Roman"/>
          <w:noProof/>
          <w:color w:val="000000" w:themeColor="text1"/>
          <w:sz w:val="24"/>
          <w:szCs w:val="24"/>
        </w:rPr>
      </w:pPr>
      <w:r w:rsidRPr="000C480E">
        <w:rPr>
          <w:rFonts w:ascii="Times New Roman" w:hAnsi="Times New Roman"/>
          <w:noProof/>
          <w:color w:val="000000" w:themeColor="text1"/>
          <w:sz w:val="24"/>
          <w:u w:val="single"/>
        </w:rPr>
        <w:t>Consolidarea structurilor de guvernanță</w:t>
      </w:r>
      <w:r w:rsidRPr="000C480E">
        <w:rPr>
          <w:rFonts w:ascii="Times New Roman" w:hAnsi="Times New Roman"/>
          <w:noProof/>
          <w:color w:val="000000" w:themeColor="text1"/>
          <w:sz w:val="24"/>
        </w:rPr>
        <w:t xml:space="preserve">. Structurile de guvernanță clare pentru gestionarea riscurilor climatice în statele membre ar trebui să asigure coordonarea verticală și orizontală între nivelurile național, regional și local. Comisia invită statele membre să se asigure că proprietarii de riscuri la nivel național dispun de capacitățile și resursele necesare pentru a gestiona riscurile climatice. De asemenea, Comisia va integra din punct de vedere structural riscurile climatice în procesele sale interne prin consolidarea funcțiilor de control al riscurilor climatice și prin punerea în aplicare a verificării coerenței climatice în cadrul cerințelor privind o mai bună legiferare. </w:t>
      </w:r>
    </w:p>
    <w:p w14:paraId="0F326CED" w14:textId="3C04D712" w:rsidR="00B06AE7" w:rsidRPr="000C480E" w:rsidRDefault="007E5D60" w:rsidP="00FE74B1">
      <w:pPr>
        <w:spacing w:after="120"/>
        <w:jc w:val="both"/>
        <w:rPr>
          <w:rFonts w:ascii="Times New Roman" w:hAnsi="Times New Roman" w:cs="Times New Roman"/>
          <w:noProof/>
          <w:color w:val="000000" w:themeColor="text1"/>
          <w:sz w:val="24"/>
          <w:szCs w:val="24"/>
        </w:rPr>
      </w:pPr>
      <w:r w:rsidRPr="000C480E">
        <w:rPr>
          <w:rFonts w:ascii="Times New Roman" w:hAnsi="Times New Roman"/>
          <w:noProof/>
          <w:color w:val="000000" w:themeColor="text1"/>
          <w:sz w:val="24"/>
          <w:u w:val="single"/>
        </w:rPr>
        <w:t>Sinergii în procesele de guvernanță</w:t>
      </w:r>
      <w:r w:rsidRPr="000C480E">
        <w:rPr>
          <w:rFonts w:ascii="Times New Roman" w:hAnsi="Times New Roman"/>
          <w:noProof/>
          <w:color w:val="000000" w:themeColor="text1"/>
          <w:sz w:val="24"/>
        </w:rPr>
        <w:t xml:space="preserve">. Punerea în aplicare a legislației privind riscurile climatice ar putea fi îmbunătățită și mai mult și ar putea deveni mai coerentă. Legea europeană a climei, Regulamentul privind guvernanța uniunii energetice și a acțiunilor climatice, Directiva privind reziliența entităților critice, Regulamentul privind amenințările transfrontaliere grave pentru sănătate, cadrul de guvernanță economică revizuit iminent al UE, Legea privind refacerea naturii, Directiva privind păsările și Directiva privind habitatele, Directiva-cadru privind apa, Directiva privind inundațiile, Directiva-cadru privind strategia pentru mediul marin, Decizia privind mecanismul de protecție civilă al Uniunii (UCPM), împreună cu obiectivele Uniunii în materie de reziliență la dezastre: toate aceste acte includ dispoziții legate de gestionarea riscurilor climatice. Pentru a simplifica procesele și a le face mai eficace, Comisia va analiza modul în care punerea în aplicare a cerințelor la nivelul UE poate fi facilitată, raționalizată și consolidată în continuare. </w:t>
      </w:r>
    </w:p>
    <w:p w14:paraId="229F9170" w14:textId="77777777" w:rsidR="0072028C" w:rsidRPr="000C480E" w:rsidRDefault="0072028C" w:rsidP="00FE74B1">
      <w:pPr>
        <w:spacing w:after="120"/>
        <w:jc w:val="both"/>
        <w:rPr>
          <w:rFonts w:ascii="Times New Roman" w:hAnsi="Times New Roman" w:cs="Times New Roman"/>
          <w:noProof/>
          <w:color w:val="000000" w:themeColor="text1"/>
          <w:sz w:val="24"/>
          <w:szCs w:val="24"/>
          <w:lang w:eastAsia="en-IE"/>
        </w:rPr>
      </w:pPr>
    </w:p>
    <w:p w14:paraId="1F8C8463" w14:textId="01083698" w:rsidR="003F1FF2" w:rsidRPr="000C480E" w:rsidRDefault="003F1FF2" w:rsidP="00B2476E">
      <w:pPr>
        <w:pStyle w:val="Heading2"/>
        <w:ind w:left="1565" w:hanging="431"/>
        <w:rPr>
          <w:rFonts w:ascii="Times New Roman" w:hAnsi="Times New Roman" w:cs="Times New Roman"/>
          <w:b/>
          <w:bCs/>
          <w:noProof/>
          <w:color w:val="000000" w:themeColor="text1"/>
        </w:rPr>
      </w:pPr>
      <w:bookmarkStart w:id="40" w:name="_Toc159792203"/>
      <w:r w:rsidRPr="000C480E">
        <w:rPr>
          <w:rFonts w:ascii="Times New Roman" w:hAnsi="Times New Roman"/>
          <w:b/>
          <w:noProof/>
          <w:color w:val="000000" w:themeColor="text1"/>
          <w:sz w:val="24"/>
        </w:rPr>
        <w:t>Instrumente pentru proprietarii de riscuri</w:t>
      </w:r>
      <w:bookmarkEnd w:id="40"/>
    </w:p>
    <w:p w14:paraId="44DB6CCA" w14:textId="77777777" w:rsidR="00BF6EC7" w:rsidRPr="000C480E" w:rsidRDefault="00BF6EC7" w:rsidP="00B11E0C">
      <w:pPr>
        <w:jc w:val="both"/>
        <w:textAlignment w:val="baseline"/>
        <w:rPr>
          <w:rFonts w:ascii="Times New Roman" w:eastAsia="Times New Roman" w:hAnsi="Times New Roman" w:cs="Times New Roman"/>
          <w:bCs/>
          <w:noProof/>
          <w:color w:val="000000" w:themeColor="text1"/>
          <w:sz w:val="24"/>
          <w:szCs w:val="24"/>
          <w:lang w:eastAsia="en-IE"/>
        </w:rPr>
      </w:pPr>
    </w:p>
    <w:p w14:paraId="10F7C901" w14:textId="04D2029A" w:rsidR="00E3449E" w:rsidRPr="000C480E" w:rsidRDefault="002F3C56" w:rsidP="00E3449E">
      <w:pPr>
        <w:spacing w:after="120"/>
        <w:jc w:val="both"/>
        <w:textAlignment w:val="baseline"/>
        <w:rPr>
          <w:rFonts w:ascii="Times New Roman" w:hAnsi="Times New Roman"/>
          <w:noProof/>
          <w:color w:val="000000" w:themeColor="text1"/>
          <w:sz w:val="24"/>
        </w:rPr>
      </w:pPr>
      <w:r w:rsidRPr="000C480E">
        <w:rPr>
          <w:rFonts w:ascii="Times New Roman" w:hAnsi="Times New Roman"/>
          <w:noProof/>
          <w:color w:val="000000" w:themeColor="text1"/>
          <w:sz w:val="24"/>
        </w:rPr>
        <w:t>Datorită progreselor științifice în ceea ce privește înțelegerea riscurilor climatice și finanțării UE pentru cercetare și inovare care sprijină aceste progrese, putem lua măsuri semnificative în prezent. Comisia va continua să investească în cercetarea și inovarea utile pentru luarea deciziilor și să valorifice cunoștințele și soluțiile propuse de misiunile, proiectele și parteneriatele relevante ale UE în cadrul programului Orizont Europa. Acest lucru nu este suficient în sine, astfel cum se subliniază în acțiunile în materie de cunoștințe prezentate de EUCRA. O evaluare cantitativă de înaltă rezoluție a riscurilor care implică mai multe pericole, combinată cu o evaluare corelativă a adaptării și a rezilienței, ar fi extrem de relevantă pentru stabilirea priorităților de acțiune. Accesul la instrumentele și datele operaționale și de cercetare disponibile, precum și capacitatea de a le utiliza pot sprijini competitivitatea întreprinderilor din UE și pot îmbunătăți deciziile de politică publică. De asemenea, sunt necesare statistici europene oficiale legate de reziliența climatică, compilate în concordanță cu agregatele PIB-ului și ale altor conturi naționale.</w:t>
      </w:r>
    </w:p>
    <w:p w14:paraId="611423F7" w14:textId="5973F066" w:rsidR="00BB072C" w:rsidRPr="000C480E" w:rsidRDefault="0039554B" w:rsidP="000A43BB">
      <w:pPr>
        <w:spacing w:after="120"/>
        <w:jc w:val="both"/>
        <w:textAlignment w:val="baseline"/>
        <w:rPr>
          <w:rFonts w:ascii="Times New Roman" w:eastAsia="Times New Roman" w:hAnsi="Times New Roman" w:cs="Times New Roman"/>
          <w:noProof/>
          <w:color w:val="000000" w:themeColor="text1"/>
          <w:sz w:val="24"/>
          <w:szCs w:val="24"/>
        </w:rPr>
      </w:pPr>
      <w:r w:rsidRPr="000C480E">
        <w:rPr>
          <w:rFonts w:ascii="Times New Roman" w:hAnsi="Times New Roman"/>
          <w:noProof/>
          <w:color w:val="000000" w:themeColor="text1"/>
          <w:sz w:val="24"/>
        </w:rPr>
        <w:t xml:space="preserve">Chiar și în cazurile în care structurile de guvernanță sunt puternice, procesul decizional eficace privind riscurile climatice este îngreunat de lacune substanțiale în materie de competențe, forță de muncă și cunoștințe, atât în sectorul privat, cât și în cel public, la care se adaugă dezinformarea climatică. Pentru a gestiona riscurile climatice în mod eficace și pentru a utiliza mai bine informațiile și sistemele de alertă timpurie deja disponibile, este necesar un acces mai bun la acestea și la instrumentele de cunoștințe relevante, precum și consolidarea capacităților. </w:t>
      </w:r>
    </w:p>
    <w:p w14:paraId="10A62544" w14:textId="0EE1E5DB" w:rsidR="00814E94" w:rsidRPr="000C480E" w:rsidRDefault="00BB072C" w:rsidP="000A43BB">
      <w:pPr>
        <w:spacing w:after="120"/>
        <w:jc w:val="both"/>
        <w:textAlignment w:val="baseline"/>
        <w:rPr>
          <w:rFonts w:ascii="Times New Roman" w:eastAsia="Times New Roman" w:hAnsi="Times New Roman" w:cs="Times New Roman"/>
          <w:bCs/>
          <w:noProof/>
          <w:color w:val="000000" w:themeColor="text1"/>
          <w:sz w:val="24"/>
          <w:szCs w:val="24"/>
        </w:rPr>
      </w:pPr>
      <w:r w:rsidRPr="0080431A">
        <w:rPr>
          <w:rFonts w:ascii="Times New Roman" w:hAnsi="Times New Roman"/>
          <w:b/>
          <w:bCs/>
          <w:noProof/>
          <w:color w:val="000000" w:themeColor="text1"/>
          <w:sz w:val="24"/>
        </w:rPr>
        <w:t>Îmbunătățirea capacității proprietarilor de riscuri</w:t>
      </w:r>
      <w:r w:rsidRPr="000C480E">
        <w:rPr>
          <w:rFonts w:ascii="Times New Roman" w:hAnsi="Times New Roman"/>
          <w:noProof/>
          <w:color w:val="000000" w:themeColor="text1"/>
          <w:sz w:val="24"/>
        </w:rPr>
        <w:t xml:space="preserve"> de a-și îndeplini sarcinile necesită: </w:t>
      </w:r>
    </w:p>
    <w:p w14:paraId="2F333A1D" w14:textId="09FB459C" w:rsidR="00D93073" w:rsidRPr="000C480E" w:rsidRDefault="008F2A62">
      <w:pPr>
        <w:spacing w:after="120"/>
        <w:jc w:val="both"/>
        <w:textAlignment w:val="baseline"/>
        <w:rPr>
          <w:rFonts w:ascii="Times New Roman" w:eastAsia="Times New Roman" w:hAnsi="Times New Roman" w:cs="Times New Roman"/>
          <w:noProof/>
          <w:color w:val="000000" w:themeColor="text1"/>
          <w:sz w:val="24"/>
          <w:szCs w:val="24"/>
        </w:rPr>
      </w:pPr>
      <w:r w:rsidRPr="000C480E">
        <w:rPr>
          <w:rFonts w:ascii="Times New Roman" w:hAnsi="Times New Roman"/>
          <w:noProof/>
          <w:color w:val="000000" w:themeColor="text1"/>
          <w:sz w:val="24"/>
          <w:u w:val="single"/>
        </w:rPr>
        <w:t>Date, instrumente de modelare și indicatori legați de schimbările climatice</w:t>
      </w:r>
      <w:r w:rsidRPr="000C480E">
        <w:rPr>
          <w:rFonts w:ascii="Times New Roman" w:hAnsi="Times New Roman"/>
          <w:noProof/>
          <w:color w:val="000000" w:themeColor="text1"/>
          <w:sz w:val="24"/>
        </w:rPr>
        <w:t xml:space="preserve">. Datele și modelele climatice de înaltă calitate și ușor de înțeles sunt esențiale pentru luarea de decizii în cunoștință de cauză cu privire la aspecte care variază de la planificarea pe termen lung la sistemele de alertă timpurie. </w:t>
      </w:r>
    </w:p>
    <w:p w14:paraId="77CB7C77" w14:textId="07079731" w:rsidR="00597412" w:rsidRPr="000C480E" w:rsidRDefault="001355AB" w:rsidP="009248B3">
      <w:pPr>
        <w:pStyle w:val="ListParagraph"/>
        <w:numPr>
          <w:ilvl w:val="0"/>
          <w:numId w:val="65"/>
        </w:numPr>
        <w:spacing w:after="120"/>
        <w:jc w:val="both"/>
        <w:textAlignment w:val="baseline"/>
        <w:rPr>
          <w:rFonts w:ascii="Times New Roman" w:eastAsia="Times New Roman" w:hAnsi="Times New Roman" w:cs="Times New Roman"/>
          <w:noProof/>
          <w:color w:val="000000" w:themeColor="text1"/>
          <w:sz w:val="24"/>
          <w:szCs w:val="24"/>
        </w:rPr>
      </w:pPr>
      <w:r w:rsidRPr="000C480E">
        <w:rPr>
          <w:rFonts w:ascii="Times New Roman" w:hAnsi="Times New Roman"/>
          <w:noProof/>
          <w:color w:val="000000" w:themeColor="text1"/>
          <w:sz w:val="24"/>
        </w:rPr>
        <w:t xml:space="preserve">Comisia și Agenția Europeană de Mediu (AEM) vor oferi </w:t>
      </w:r>
      <w:r w:rsidRPr="000C480E">
        <w:rPr>
          <w:rFonts w:ascii="Times New Roman" w:hAnsi="Times New Roman"/>
          <w:noProof/>
          <w:color w:val="000000" w:themeColor="text1"/>
          <w:sz w:val="24"/>
          <w:u w:val="single"/>
        </w:rPr>
        <w:t>acces la date, produse, aplicații, indicatori și servicii granulare și localizate esențiale</w:t>
      </w:r>
      <w:r w:rsidRPr="000C480E">
        <w:rPr>
          <w:rFonts w:ascii="Times New Roman" w:hAnsi="Times New Roman"/>
          <w:noProof/>
          <w:color w:val="000000" w:themeColor="text1"/>
          <w:sz w:val="24"/>
        </w:rPr>
        <w:t>, în special prin intermediul platformei Climate-ADAPT și al platformelor de date ale serviciului Copernicus privind schimbările climatice, și anume ecosistemul spațial de date Copernicus</w:t>
      </w:r>
      <w:r w:rsidRPr="000C480E">
        <w:rPr>
          <w:rStyle w:val="FootnoteReference"/>
          <w:rFonts w:ascii="Times New Roman" w:eastAsia="Times New Roman" w:hAnsi="Times New Roman" w:cs="Times New Roman"/>
          <w:noProof/>
          <w:color w:val="000000" w:themeColor="text1"/>
          <w:sz w:val="24"/>
          <w:szCs w:val="24"/>
          <w:lang w:eastAsia="en-IE"/>
        </w:rPr>
        <w:footnoteReference w:id="21"/>
      </w:r>
      <w:r w:rsidRPr="000C480E">
        <w:rPr>
          <w:rFonts w:ascii="Times New Roman" w:hAnsi="Times New Roman"/>
          <w:noProof/>
          <w:color w:val="000000" w:themeColor="text1"/>
          <w:sz w:val="24"/>
        </w:rPr>
        <w:t xml:space="preserve"> și WEkEO</w:t>
      </w:r>
      <w:r w:rsidRPr="000C480E">
        <w:rPr>
          <w:rStyle w:val="FootnoteReference"/>
          <w:rFonts w:ascii="Times New Roman" w:eastAsia="Times New Roman" w:hAnsi="Times New Roman" w:cs="Times New Roman"/>
          <w:noProof/>
          <w:color w:val="000000" w:themeColor="text1"/>
          <w:sz w:val="24"/>
          <w:szCs w:val="24"/>
          <w:lang w:eastAsia="en-IE"/>
        </w:rPr>
        <w:footnoteReference w:id="22"/>
      </w:r>
      <w:r w:rsidRPr="000C480E">
        <w:rPr>
          <w:rFonts w:ascii="Times New Roman" w:hAnsi="Times New Roman"/>
          <w:noProof/>
          <w:color w:val="000000" w:themeColor="text1"/>
          <w:sz w:val="24"/>
        </w:rPr>
        <w:t xml:space="preserve">. </w:t>
      </w:r>
    </w:p>
    <w:p w14:paraId="4A75808D" w14:textId="19C0FE9E" w:rsidR="004A68F9" w:rsidRPr="000C480E" w:rsidRDefault="001E1F6E" w:rsidP="009248B3">
      <w:pPr>
        <w:pStyle w:val="ListParagraph"/>
        <w:numPr>
          <w:ilvl w:val="0"/>
          <w:numId w:val="65"/>
        </w:numPr>
        <w:spacing w:after="120"/>
        <w:jc w:val="both"/>
        <w:textAlignment w:val="baseline"/>
        <w:rPr>
          <w:rFonts w:ascii="Times New Roman" w:eastAsia="Times New Roman" w:hAnsi="Times New Roman" w:cs="Times New Roman"/>
          <w:noProof/>
          <w:color w:val="000000" w:themeColor="text1"/>
          <w:sz w:val="24"/>
          <w:szCs w:val="24"/>
        </w:rPr>
      </w:pPr>
      <w:r w:rsidRPr="000C480E">
        <w:rPr>
          <w:rFonts w:ascii="Times New Roman" w:hAnsi="Times New Roman"/>
          <w:noProof/>
          <w:color w:val="000000" w:themeColor="text1"/>
          <w:sz w:val="24"/>
        </w:rPr>
        <w:t xml:space="preserve">Primii doi gemeni digitali concepuți în cadrul inițiativei Destinația Pământ (DestinE), care privesc adaptarea la schimbările climatice și fenomenele meteorologice extreme, vor furniza, începând cu jumătatea anului 2024, </w:t>
      </w:r>
      <w:r w:rsidRPr="000C480E">
        <w:rPr>
          <w:rFonts w:ascii="Times New Roman" w:hAnsi="Times New Roman"/>
          <w:noProof/>
          <w:color w:val="000000" w:themeColor="text1"/>
          <w:sz w:val="24"/>
          <w:u w:val="single"/>
        </w:rPr>
        <w:t>simulări detaliate ale scenariilor climatice</w:t>
      </w:r>
      <w:r w:rsidRPr="000C480E">
        <w:rPr>
          <w:rFonts w:ascii="Times New Roman" w:hAnsi="Times New Roman"/>
          <w:noProof/>
          <w:color w:val="000000" w:themeColor="text1"/>
          <w:sz w:val="24"/>
        </w:rPr>
        <w:t xml:space="preserve"> de la nivel mondial la nivel național și subnațional, la un interval de timp care se întinde pe mai multe decenii, inclusiv cuantificarea incertitudinii. Geamănul digital al oceanelor va oferi, de asemenea, simulări și scenarii detaliate și va permite o mai bună înțelegere a proceselor precum creșterea nivelului mării, topirea gheții, eroziunea costieră, ciclul carbonului și schimbările în materie de biodiversitate. Orizont Europa va continua să sprijine cercetarea care vizează realizarea unor seturi mari de simulări climatice pe mai multe decenii de înaltă rezoluție, fără sincope, pentru a caracteriza mai bine riscurile și incertitudinile locale.</w:t>
      </w:r>
    </w:p>
    <w:p w14:paraId="03634620" w14:textId="326C6F3C" w:rsidR="006F55C4" w:rsidRPr="000C480E" w:rsidRDefault="00E31786" w:rsidP="006F55C4">
      <w:pPr>
        <w:pStyle w:val="ListParagraph"/>
        <w:numPr>
          <w:ilvl w:val="0"/>
          <w:numId w:val="65"/>
        </w:numPr>
        <w:spacing w:after="120"/>
        <w:jc w:val="both"/>
        <w:textAlignment w:val="baseline"/>
        <w:rPr>
          <w:rFonts w:ascii="Times New Roman" w:eastAsia="Times New Roman" w:hAnsi="Times New Roman" w:cs="Times New Roman"/>
          <w:noProof/>
          <w:color w:val="000000" w:themeColor="text1"/>
          <w:sz w:val="24"/>
          <w:szCs w:val="24"/>
        </w:rPr>
      </w:pPr>
      <w:r w:rsidRPr="000C480E">
        <w:rPr>
          <w:rFonts w:ascii="Times New Roman" w:hAnsi="Times New Roman"/>
          <w:noProof/>
          <w:color w:val="000000" w:themeColor="text1"/>
          <w:sz w:val="24"/>
        </w:rPr>
        <w:t xml:space="preserve">Pentru a acorda asistență în situații de urgență, în 2025 va deveni disponibil Serviciul Galileo de avertizare de urgență prin satelit, prin intermediul căruia se vor comunica informații de alertare cetățenilor, întreprinderilor și autorităților publice, chiar și atunci când sistemele de alertă terestre nu funcționează. </w:t>
      </w:r>
    </w:p>
    <w:p w14:paraId="5E80F792" w14:textId="2A501793" w:rsidR="002F1D2F" w:rsidRPr="000C480E" w:rsidRDefault="00110777" w:rsidP="009248B3">
      <w:pPr>
        <w:pStyle w:val="ListParagraph"/>
        <w:numPr>
          <w:ilvl w:val="0"/>
          <w:numId w:val="65"/>
        </w:numPr>
        <w:spacing w:after="120"/>
        <w:jc w:val="both"/>
        <w:textAlignment w:val="baseline"/>
        <w:rPr>
          <w:rFonts w:ascii="Times New Roman" w:eastAsia="Times New Roman" w:hAnsi="Times New Roman" w:cs="Times New Roman"/>
          <w:noProof/>
          <w:color w:val="000000" w:themeColor="text1"/>
          <w:sz w:val="24"/>
          <w:szCs w:val="24"/>
        </w:rPr>
      </w:pPr>
      <w:r w:rsidRPr="000C480E">
        <w:rPr>
          <w:rFonts w:ascii="Times New Roman" w:hAnsi="Times New Roman"/>
          <w:noProof/>
          <w:color w:val="000000" w:themeColor="text1"/>
          <w:sz w:val="24"/>
        </w:rPr>
        <w:t>Lacunele majore în materie de date vor fi reduse datorită propunerilor de lege privind monitorizarea pădurilor</w:t>
      </w:r>
      <w:r w:rsidR="002F1D2F" w:rsidRPr="000C480E">
        <w:rPr>
          <w:rStyle w:val="FootnoteReference"/>
          <w:rFonts w:ascii="Times New Roman" w:eastAsia="Times New Roman" w:hAnsi="Times New Roman" w:cs="Times New Roman"/>
          <w:noProof/>
          <w:color w:val="000000" w:themeColor="text1"/>
          <w:sz w:val="24"/>
          <w:szCs w:val="24"/>
          <w:lang w:eastAsia="en-IE"/>
        </w:rPr>
        <w:footnoteReference w:id="23"/>
      </w:r>
      <w:r w:rsidRPr="000C480E">
        <w:rPr>
          <w:rFonts w:ascii="Times New Roman" w:hAnsi="Times New Roman"/>
          <w:noProof/>
          <w:color w:val="000000" w:themeColor="text1"/>
          <w:sz w:val="24"/>
        </w:rPr>
        <w:t xml:space="preserve"> și monitorizarea solului</w:t>
      </w:r>
      <w:r w:rsidR="007B69D8" w:rsidRPr="000C480E">
        <w:rPr>
          <w:rStyle w:val="FootnoteReference"/>
          <w:rFonts w:ascii="Times New Roman" w:eastAsia="Times New Roman" w:hAnsi="Times New Roman" w:cs="Times New Roman"/>
          <w:noProof/>
          <w:color w:val="000000" w:themeColor="text1"/>
          <w:sz w:val="24"/>
          <w:szCs w:val="24"/>
          <w:lang w:eastAsia="en-IE"/>
        </w:rPr>
        <w:footnoteReference w:id="24"/>
      </w:r>
      <w:r w:rsidRPr="000C480E">
        <w:rPr>
          <w:rFonts w:ascii="Times New Roman" w:hAnsi="Times New Roman"/>
          <w:noProof/>
          <w:color w:val="000000" w:themeColor="text1"/>
          <w:sz w:val="24"/>
        </w:rPr>
        <w:t xml:space="preserve">, care vor îmbunătăți instrumentele de alertă timpurie în caz de incendii forestiere și alte dezastre și vor contribui la realizarea unor evaluări mai precise ale riscurilor. În sens mai larg, Comisia va </w:t>
      </w:r>
      <w:r w:rsidRPr="000C480E">
        <w:rPr>
          <w:rFonts w:ascii="Times New Roman" w:hAnsi="Times New Roman"/>
          <w:noProof/>
          <w:color w:val="000000" w:themeColor="text1"/>
          <w:sz w:val="24"/>
          <w:u w:val="single"/>
        </w:rPr>
        <w:t>promova utilizarea sistemelor disponibile de monitorizare, prognoză și avertizare</w:t>
      </w:r>
      <w:r w:rsidR="00FD5E36" w:rsidRPr="000C480E">
        <w:rPr>
          <w:rStyle w:val="FootnoteReference"/>
          <w:rFonts w:ascii="Times New Roman" w:eastAsia="Times New Roman" w:hAnsi="Times New Roman" w:cs="Times New Roman"/>
          <w:noProof/>
          <w:color w:val="000000" w:themeColor="text1"/>
          <w:sz w:val="24"/>
          <w:szCs w:val="24"/>
          <w:lang w:eastAsia="en-IE"/>
        </w:rPr>
        <w:footnoteReference w:id="25"/>
      </w:r>
      <w:r w:rsidRPr="000C480E">
        <w:rPr>
          <w:rFonts w:ascii="Times New Roman" w:hAnsi="Times New Roman"/>
          <w:noProof/>
          <w:color w:val="000000" w:themeColor="text1"/>
          <w:sz w:val="24"/>
        </w:rPr>
        <w:t>.</w:t>
      </w:r>
    </w:p>
    <w:p w14:paraId="41F17C1E" w14:textId="0DBEB658" w:rsidR="00050093" w:rsidRPr="000C480E" w:rsidRDefault="004D2963" w:rsidP="00814E94">
      <w:pPr>
        <w:spacing w:after="120"/>
        <w:jc w:val="both"/>
        <w:textAlignment w:val="baseline"/>
        <w:rPr>
          <w:rFonts w:ascii="Times New Roman" w:eastAsia="Times New Roman" w:hAnsi="Times New Roman" w:cs="Times New Roman"/>
          <w:noProof/>
          <w:color w:val="000000" w:themeColor="text1"/>
          <w:sz w:val="24"/>
          <w:szCs w:val="24"/>
        </w:rPr>
      </w:pPr>
      <w:r w:rsidRPr="000C480E">
        <w:rPr>
          <w:rFonts w:ascii="Times New Roman" w:hAnsi="Times New Roman"/>
          <w:noProof/>
          <w:color w:val="000000" w:themeColor="text1"/>
          <w:sz w:val="24"/>
        </w:rPr>
        <w:t xml:space="preserve">Comisia va </w:t>
      </w:r>
      <w:r w:rsidRPr="000C480E">
        <w:rPr>
          <w:rFonts w:ascii="Times New Roman" w:hAnsi="Times New Roman"/>
          <w:noProof/>
          <w:color w:val="000000" w:themeColor="text1"/>
          <w:sz w:val="24"/>
          <w:u w:val="single"/>
        </w:rPr>
        <w:t>revizui instrumentele și orientările existente</w:t>
      </w:r>
      <w:r w:rsidRPr="000C480E">
        <w:rPr>
          <w:rFonts w:ascii="Times New Roman" w:hAnsi="Times New Roman"/>
          <w:noProof/>
          <w:color w:val="000000" w:themeColor="text1"/>
          <w:sz w:val="24"/>
        </w:rPr>
        <w:t>, inclusiv Exploratorul european de date privind clima al AEM</w:t>
      </w:r>
      <w:r w:rsidR="00F40219" w:rsidRPr="000C480E">
        <w:rPr>
          <w:rFonts w:ascii="Times New Roman" w:eastAsia="Times New Roman" w:hAnsi="Times New Roman" w:cs="Times New Roman"/>
          <w:noProof/>
          <w:color w:val="000000" w:themeColor="text1"/>
          <w:sz w:val="24"/>
          <w:szCs w:val="24"/>
          <w:vertAlign w:val="superscript"/>
          <w:lang w:eastAsia="en-IE"/>
        </w:rPr>
        <w:footnoteReference w:id="26"/>
      </w:r>
      <w:r w:rsidRPr="000C480E">
        <w:rPr>
          <w:rFonts w:ascii="Times New Roman" w:hAnsi="Times New Roman"/>
          <w:noProof/>
          <w:color w:val="000000" w:themeColor="text1"/>
          <w:sz w:val="24"/>
        </w:rPr>
        <w:t xml:space="preserve"> și tabloul de bord privind adaptarea găzduit pe portalul misiunii UE privind adaptarea la schimbările climatice</w:t>
      </w:r>
      <w:r w:rsidR="00A66FC2" w:rsidRPr="000C480E">
        <w:rPr>
          <w:rStyle w:val="FootnoteReference"/>
          <w:rFonts w:ascii="Times New Roman" w:eastAsia="Times New Roman" w:hAnsi="Times New Roman" w:cs="Times New Roman"/>
          <w:noProof/>
          <w:color w:val="000000" w:themeColor="text1"/>
          <w:sz w:val="24"/>
          <w:szCs w:val="24"/>
          <w:lang w:eastAsia="en-IE"/>
        </w:rPr>
        <w:footnoteReference w:id="27"/>
      </w:r>
      <w:r w:rsidRPr="000C480E">
        <w:rPr>
          <w:rFonts w:ascii="Times New Roman" w:hAnsi="Times New Roman"/>
          <w:noProof/>
          <w:color w:val="000000" w:themeColor="text1"/>
          <w:sz w:val="24"/>
        </w:rPr>
        <w:t xml:space="preserve"> de pe platforma Climate-ADAPT, Platforma de date privind riscurile</w:t>
      </w:r>
      <w:r w:rsidR="006B0A95" w:rsidRPr="000C480E">
        <w:rPr>
          <w:rStyle w:val="FootnoteReference"/>
          <w:rFonts w:ascii="Times New Roman" w:eastAsia="Times New Roman" w:hAnsi="Times New Roman" w:cs="Times New Roman"/>
          <w:noProof/>
          <w:color w:val="000000" w:themeColor="text1"/>
          <w:sz w:val="24"/>
          <w:szCs w:val="24"/>
          <w:lang w:eastAsia="en-IE"/>
        </w:rPr>
        <w:footnoteReference w:id="28"/>
      </w:r>
      <w:r w:rsidRPr="000C480E">
        <w:rPr>
          <w:rFonts w:ascii="Times New Roman" w:hAnsi="Times New Roman"/>
          <w:noProof/>
          <w:color w:val="000000" w:themeColor="text1"/>
          <w:sz w:val="24"/>
        </w:rPr>
        <w:t>, tabloul de bord al PROVIDE privind riscurile climatice</w:t>
      </w:r>
      <w:r w:rsidR="00F40219" w:rsidRPr="000C480E">
        <w:rPr>
          <w:rFonts w:ascii="Times New Roman" w:eastAsia="Times New Roman" w:hAnsi="Times New Roman" w:cs="Times New Roman"/>
          <w:noProof/>
          <w:color w:val="000000" w:themeColor="text1"/>
          <w:sz w:val="24"/>
          <w:szCs w:val="24"/>
          <w:vertAlign w:val="superscript"/>
          <w:lang w:eastAsia="en-IE"/>
        </w:rPr>
        <w:footnoteReference w:id="29"/>
      </w:r>
      <w:r w:rsidRPr="000C480E">
        <w:rPr>
          <w:rFonts w:ascii="Times New Roman" w:hAnsi="Times New Roman"/>
          <w:noProof/>
          <w:color w:val="000000" w:themeColor="text1"/>
          <w:sz w:val="24"/>
        </w:rPr>
        <w:t xml:space="preserve"> și va utiliza mai mult capacitățile analitice și prospective ale Centrului de coordonare a răspunsului la situații de urgență. Comisia va îmbunătăți accesul utilizatorilor, inclusiv la nivel local, și va monitoriza utilizarea instrumentelor. Aceasta va căuta indicatori mai buni privind progresele înregistrate în materie de reziliență, inclusiv împreună cu alți indicatori interconectați și relevanți, pentru a asigura o abordare sistemică. </w:t>
      </w:r>
    </w:p>
    <w:p w14:paraId="3065A1C5" w14:textId="1BF4C453" w:rsidR="003F1FF2" w:rsidRPr="000C480E" w:rsidRDefault="00BF6EC7" w:rsidP="00804311">
      <w:pPr>
        <w:spacing w:after="120"/>
        <w:jc w:val="both"/>
        <w:textAlignment w:val="baseline"/>
        <w:rPr>
          <w:rFonts w:ascii="Times New Roman" w:eastAsia="Times New Roman" w:hAnsi="Times New Roman" w:cs="Times New Roman"/>
          <w:noProof/>
          <w:color w:val="000000" w:themeColor="text1"/>
          <w:sz w:val="24"/>
          <w:szCs w:val="24"/>
        </w:rPr>
      </w:pPr>
      <w:r w:rsidRPr="000C480E">
        <w:rPr>
          <w:rFonts w:ascii="Times New Roman" w:hAnsi="Times New Roman"/>
          <w:noProof/>
          <w:color w:val="000000" w:themeColor="text1"/>
          <w:sz w:val="24"/>
          <w:u w:val="single"/>
        </w:rPr>
        <w:t>Scenarii climatice de referință</w:t>
      </w:r>
      <w:r w:rsidRPr="000C480E">
        <w:rPr>
          <w:rFonts w:ascii="Times New Roman" w:hAnsi="Times New Roman"/>
          <w:noProof/>
          <w:color w:val="000000" w:themeColor="text1"/>
          <w:sz w:val="24"/>
        </w:rPr>
        <w:t>. Pentru a reduce complexitatea evaluării riscurilor, Comisia va utiliza scenariul IPCC privind emisiile intermediare</w:t>
      </w:r>
      <w:r w:rsidR="00CD5F6E" w:rsidRPr="000C480E">
        <w:rPr>
          <w:rStyle w:val="FootnoteReference"/>
          <w:rFonts w:ascii="Times New Roman" w:eastAsia="Times New Roman" w:hAnsi="Times New Roman" w:cs="Times New Roman"/>
          <w:noProof/>
          <w:color w:val="000000" w:themeColor="text1"/>
          <w:sz w:val="24"/>
          <w:szCs w:val="24"/>
          <w:lang w:eastAsia="en-IE"/>
        </w:rPr>
        <w:footnoteReference w:id="30"/>
      </w:r>
      <w:r w:rsidRPr="000C480E">
        <w:rPr>
          <w:rFonts w:ascii="Times New Roman" w:hAnsi="Times New Roman"/>
          <w:noProof/>
          <w:color w:val="000000" w:themeColor="text1"/>
          <w:sz w:val="24"/>
        </w:rPr>
        <w:t xml:space="preserve"> ca cel mai prost scenariu climatic de referință acceptabil pentru acoperirea riscurilor fizice în evaluarea impactului politicilor și va utiliza scenarii mai nefavorabile în simulările de criză, precum și pentru a compara opțiunile de adaptare. Se recomandă statelor membre să urmeze acest curs de acțiune și se așteaptă ca părțile interesate din sectorul privat să facă același lucru; se vor publica orientările interne ale Comisiei pe această temă. Date istorice mai bune, de exemplu cu privire la pierderile cauzate de dezastre, sunt utile ca indicatori și ca date de alimentare a previziunilor. Cu toate acestea, luarea unei decizii cu privire la viitorul climatic, bazată în principal pe date istorice extrapolate, este un comportament iresponsabil.</w:t>
      </w:r>
    </w:p>
    <w:p w14:paraId="69FBA819" w14:textId="68F815A3" w:rsidR="00B542C7" w:rsidRPr="000C480E" w:rsidRDefault="00BF6EC7" w:rsidP="009248B3">
      <w:pPr>
        <w:spacing w:after="120"/>
        <w:jc w:val="both"/>
        <w:textAlignment w:val="baseline"/>
        <w:rPr>
          <w:rFonts w:ascii="Times New Roman" w:eastAsiaTheme="minorHAnsi" w:hAnsi="Times New Roman" w:cs="Times New Roman"/>
          <w:noProof/>
          <w:color w:val="000000"/>
          <w:sz w:val="24"/>
          <w:szCs w:val="24"/>
        </w:rPr>
      </w:pPr>
      <w:r w:rsidRPr="000C480E">
        <w:rPr>
          <w:rFonts w:ascii="Times New Roman" w:hAnsi="Times New Roman"/>
          <w:noProof/>
          <w:color w:val="000000" w:themeColor="text1"/>
          <w:sz w:val="24"/>
          <w:u w:val="single"/>
        </w:rPr>
        <w:t>Consolidarea capacităților sectorului public și privat</w:t>
      </w:r>
      <w:r w:rsidRPr="000C480E">
        <w:rPr>
          <w:rFonts w:ascii="Times New Roman" w:hAnsi="Times New Roman"/>
          <w:noProof/>
          <w:color w:val="000000" w:themeColor="text1"/>
          <w:sz w:val="24"/>
        </w:rPr>
        <w:t>. Comisia va sprijini elaborarea de materiale de formare și de cursuri online deschise privind reziliența la schimbările climatice prin intermediul unei platforme online unice, parțial prin Climate-ADAPT. Gama largă de instrumente de planificare a adaptării la nivelul UE va deveni parte a bazei de cunoștințe. Comisia va sprijini statele membre în eforturile lor de a se asigura că programele naționale de învățământ și de formare, inclusiv cele pentru administratorii publici, sunt pregătite pentru viitor și va continua să sprijine cooperarea administrativă între statele membre și în interiorul acestora</w:t>
      </w:r>
      <w:r w:rsidR="00E351C4" w:rsidRPr="000C480E">
        <w:rPr>
          <w:rStyle w:val="FootnoteReference"/>
          <w:rFonts w:ascii="Times New Roman" w:eastAsia="Times New Roman" w:hAnsi="Times New Roman" w:cs="Times New Roman"/>
          <w:noProof/>
          <w:color w:val="000000" w:themeColor="text1"/>
          <w:sz w:val="24"/>
          <w:szCs w:val="24"/>
          <w:lang w:eastAsia="en-IE"/>
        </w:rPr>
        <w:footnoteReference w:id="31"/>
      </w:r>
      <w:r w:rsidRPr="000C480E">
        <w:rPr>
          <w:rFonts w:ascii="Times New Roman" w:hAnsi="Times New Roman"/>
          <w:noProof/>
          <w:color w:val="000000" w:themeColor="text1"/>
          <w:sz w:val="24"/>
        </w:rPr>
        <w:t xml:space="preserve">. Pe baza discuțiilor ulterioare, Comisia va elabora instrumente de evaluare a riscurilor climatice și de dezastre pentru a ajuta statele membre și sectorul privat, inclusiv IMM-urile. </w:t>
      </w:r>
    </w:p>
    <w:p w14:paraId="7F543ADD" w14:textId="77777777" w:rsidR="006F1701" w:rsidRPr="000C480E" w:rsidRDefault="006F1701" w:rsidP="00215FB3">
      <w:pPr>
        <w:spacing w:after="120"/>
        <w:jc w:val="both"/>
        <w:textAlignment w:val="baseline"/>
        <w:rPr>
          <w:rFonts w:ascii="Times New Roman" w:eastAsia="Times New Roman" w:hAnsi="Times New Roman" w:cs="Times New Roman"/>
          <w:noProof/>
          <w:color w:val="000000" w:themeColor="text1"/>
          <w:sz w:val="24"/>
          <w:szCs w:val="24"/>
        </w:rPr>
      </w:pPr>
      <w:r w:rsidRPr="000C480E">
        <w:rPr>
          <w:rFonts w:ascii="Times New Roman" w:hAnsi="Times New Roman"/>
          <w:noProof/>
          <w:color w:val="000000" w:themeColor="text1"/>
          <w:sz w:val="24"/>
        </w:rPr>
        <w:t xml:space="preserve">Comisia va mobiliza, de asemenea, </w:t>
      </w:r>
      <w:r w:rsidRPr="000C480E">
        <w:rPr>
          <w:rFonts w:ascii="Times New Roman" w:hAnsi="Times New Roman"/>
          <w:noProof/>
          <w:color w:val="000000" w:themeColor="text1"/>
          <w:sz w:val="24"/>
          <w:u w:val="single"/>
        </w:rPr>
        <w:t>instrumentele existente</w:t>
      </w:r>
      <w:r w:rsidRPr="000C480E">
        <w:rPr>
          <w:rFonts w:ascii="Times New Roman" w:hAnsi="Times New Roman"/>
          <w:noProof/>
          <w:color w:val="000000" w:themeColor="text1"/>
          <w:sz w:val="24"/>
        </w:rPr>
        <w:t>:</w:t>
      </w:r>
    </w:p>
    <w:p w14:paraId="38773550" w14:textId="1B6B9363" w:rsidR="006F1701" w:rsidRPr="000C480E" w:rsidRDefault="006F1701" w:rsidP="006F1701">
      <w:pPr>
        <w:pStyle w:val="ListParagraph"/>
        <w:numPr>
          <w:ilvl w:val="0"/>
          <w:numId w:val="65"/>
        </w:numPr>
        <w:spacing w:after="120"/>
        <w:jc w:val="both"/>
        <w:textAlignment w:val="baseline"/>
        <w:rPr>
          <w:rFonts w:ascii="Times New Roman" w:eastAsia="Times New Roman" w:hAnsi="Times New Roman" w:cs="Times New Roman"/>
          <w:noProof/>
          <w:color w:val="000000" w:themeColor="text1"/>
          <w:sz w:val="24"/>
          <w:szCs w:val="24"/>
        </w:rPr>
      </w:pPr>
      <w:r w:rsidRPr="000C480E">
        <w:rPr>
          <w:rFonts w:ascii="Times New Roman" w:hAnsi="Times New Roman"/>
          <w:noProof/>
          <w:color w:val="000000" w:themeColor="text1"/>
          <w:sz w:val="24"/>
        </w:rPr>
        <w:t xml:space="preserve">Misiunea UE pentru adaptarea la schimbările climatice are o contribuție majoră la consolidarea capacităților regionale. </w:t>
      </w:r>
    </w:p>
    <w:p w14:paraId="32E5AE03" w14:textId="7987582A" w:rsidR="001F48E2" w:rsidRPr="000C480E" w:rsidRDefault="007610B7" w:rsidP="006F1701">
      <w:pPr>
        <w:pStyle w:val="ListParagraph"/>
        <w:numPr>
          <w:ilvl w:val="0"/>
          <w:numId w:val="65"/>
        </w:numPr>
        <w:spacing w:after="120"/>
        <w:jc w:val="both"/>
        <w:textAlignment w:val="baseline"/>
        <w:rPr>
          <w:rFonts w:ascii="Times New Roman" w:eastAsia="Times New Roman" w:hAnsi="Times New Roman" w:cs="Times New Roman"/>
          <w:noProof/>
          <w:color w:val="000000" w:themeColor="text1"/>
          <w:sz w:val="24"/>
          <w:szCs w:val="24"/>
        </w:rPr>
      </w:pPr>
      <w:r w:rsidRPr="000C480E">
        <w:rPr>
          <w:rFonts w:ascii="Times New Roman" w:hAnsi="Times New Roman"/>
          <w:noProof/>
          <w:sz w:val="24"/>
        </w:rPr>
        <w:t xml:space="preserve">Instrumentul de sprijin tehnic sprijină statele membre în conceperea și punerea în aplicare a reformelor menite </w:t>
      </w:r>
      <w:r w:rsidRPr="000C480E">
        <w:rPr>
          <w:rFonts w:ascii="Times New Roman" w:hAnsi="Times New Roman"/>
          <w:noProof/>
          <w:color w:val="000000" w:themeColor="text1"/>
          <w:sz w:val="24"/>
        </w:rPr>
        <w:t>să reducă și să gestioneze riscurile climatice</w:t>
      </w:r>
      <w:r w:rsidRPr="000C480E">
        <w:rPr>
          <w:rFonts w:ascii="Times New Roman" w:hAnsi="Times New Roman"/>
          <w:noProof/>
          <w:sz w:val="24"/>
        </w:rPr>
        <w:t xml:space="preserve">. </w:t>
      </w:r>
    </w:p>
    <w:p w14:paraId="0EE622DA" w14:textId="721F9E29" w:rsidR="001F48E2" w:rsidRPr="000C480E" w:rsidRDefault="001F48E2" w:rsidP="006F1701">
      <w:pPr>
        <w:pStyle w:val="ListParagraph"/>
        <w:numPr>
          <w:ilvl w:val="0"/>
          <w:numId w:val="65"/>
        </w:numPr>
        <w:spacing w:after="120"/>
        <w:jc w:val="both"/>
        <w:textAlignment w:val="baseline"/>
        <w:rPr>
          <w:rFonts w:ascii="Times New Roman" w:eastAsia="Times New Roman" w:hAnsi="Times New Roman" w:cs="Times New Roman"/>
          <w:noProof/>
          <w:color w:val="000000" w:themeColor="text1"/>
          <w:sz w:val="24"/>
          <w:szCs w:val="24"/>
        </w:rPr>
      </w:pPr>
      <w:r w:rsidRPr="000C480E">
        <w:rPr>
          <w:rFonts w:ascii="Times New Roman" w:hAnsi="Times New Roman"/>
          <w:noProof/>
          <w:sz w:val="24"/>
        </w:rPr>
        <w:t>Cadrul de competențe privind durabilitatea (GreenComp), publicat în 2022, oferă o bază pentru promovarea competențelor necesare pentru abordarea schimbărilor climatice.</w:t>
      </w:r>
      <w:r w:rsidRPr="000C480E">
        <w:rPr>
          <w:rFonts w:ascii="Times New Roman" w:hAnsi="Times New Roman"/>
          <w:noProof/>
          <w:color w:val="000000"/>
          <w:sz w:val="24"/>
        </w:rPr>
        <w:t xml:space="preserve"> </w:t>
      </w:r>
    </w:p>
    <w:p w14:paraId="33F887B9" w14:textId="7727B6E6" w:rsidR="002430D4" w:rsidRPr="000C480E" w:rsidRDefault="002430D4" w:rsidP="006F1701">
      <w:pPr>
        <w:pStyle w:val="ListParagraph"/>
        <w:numPr>
          <w:ilvl w:val="0"/>
          <w:numId w:val="65"/>
        </w:numPr>
        <w:spacing w:after="120"/>
        <w:jc w:val="both"/>
        <w:textAlignment w:val="baseline"/>
        <w:rPr>
          <w:rFonts w:ascii="Times New Roman" w:eastAsia="Times New Roman" w:hAnsi="Times New Roman" w:cs="Times New Roman"/>
          <w:noProof/>
          <w:color w:val="000000" w:themeColor="text1"/>
          <w:sz w:val="24"/>
          <w:szCs w:val="24"/>
        </w:rPr>
      </w:pPr>
      <w:r w:rsidRPr="000C480E">
        <w:rPr>
          <w:rFonts w:ascii="Times New Roman" w:hAnsi="Times New Roman"/>
          <w:noProof/>
          <w:color w:val="000000"/>
          <w:sz w:val="24"/>
        </w:rPr>
        <w:t xml:space="preserve">Vor fi utilizate inițiativele și politicile în materie de educație și formare elaborate în cadrul Spațiului european al educației (de exemplu, împreună cu Coaliția „Educație pentru climă”). </w:t>
      </w:r>
    </w:p>
    <w:p w14:paraId="62A6190E" w14:textId="4405FB70" w:rsidR="001F6B5D" w:rsidRPr="000C480E" w:rsidRDefault="003E7F0B" w:rsidP="00215FB3">
      <w:pPr>
        <w:pStyle w:val="ListParagraph"/>
        <w:numPr>
          <w:ilvl w:val="0"/>
          <w:numId w:val="65"/>
        </w:numPr>
        <w:spacing w:after="120"/>
        <w:jc w:val="both"/>
        <w:textAlignment w:val="baseline"/>
        <w:rPr>
          <w:rFonts w:ascii="Times New Roman" w:eastAsia="Times New Roman" w:hAnsi="Times New Roman" w:cs="Times New Roman"/>
          <w:noProof/>
          <w:color w:val="000000" w:themeColor="text1"/>
          <w:sz w:val="24"/>
          <w:szCs w:val="24"/>
        </w:rPr>
      </w:pPr>
      <w:r w:rsidRPr="000C480E">
        <w:rPr>
          <w:rFonts w:ascii="Times New Roman" w:hAnsi="Times New Roman"/>
          <w:noProof/>
          <w:sz w:val="24"/>
        </w:rPr>
        <w:t>Modelul unic de colaborare dintre mediul academic, cercetare și întreprinderi dezvoltat în cadrul Institutului European de Inovare și Tehnologie (EIT) și comunitățile sale de cunoaștere și inovare (CCI), în special CCI „EIT Climate”, poate oferi sprijin.</w:t>
      </w:r>
    </w:p>
    <w:p w14:paraId="6389A61C" w14:textId="55EBCFD8" w:rsidR="002D6D8B" w:rsidRPr="000C480E" w:rsidRDefault="002D6D8B" w:rsidP="00B2476E">
      <w:pPr>
        <w:spacing w:after="120"/>
        <w:jc w:val="both"/>
        <w:textAlignment w:val="baseline"/>
        <w:rPr>
          <w:rFonts w:ascii="Times New Roman" w:hAnsi="Times New Roman" w:cs="Times New Roman"/>
          <w:noProof/>
          <w:sz w:val="24"/>
          <w:szCs w:val="24"/>
        </w:rPr>
      </w:pPr>
      <w:r w:rsidRPr="000C480E">
        <w:rPr>
          <w:rFonts w:ascii="Times New Roman" w:hAnsi="Times New Roman"/>
          <w:noProof/>
          <w:sz w:val="24"/>
          <w:u w:val="single"/>
        </w:rPr>
        <w:t>Combaterea dezinformării</w:t>
      </w:r>
      <w:r w:rsidRPr="000C480E">
        <w:rPr>
          <w:rFonts w:ascii="Times New Roman" w:hAnsi="Times New Roman"/>
          <w:noProof/>
          <w:sz w:val="24"/>
        </w:rPr>
        <w:t>. Comisia va contribui la eforturile de monitorizare și analiză a modului în care discursurile de dezinformare pătrund în spațiul public și influențează opiniile și comportamentele. Aceasta va spori utilizarea instrumentelor de politică relevante, a soluțiilor digitale și a abordărilor de comunicare pentru combaterea dezinformării în materie de schimbări climatice. Acest lucru include asigurarea faptului că respectarea Actului legislativ privind serviciile digitale acoperă în mod corespunzător dezinformarea și că știința climei este luată în considerare în mod corespunzător în respectarea de către întreprinderile de pe platformele de comunicare socială a Codului de bune practici privind dezinformarea. De asemenea, Comisia va colabora cu partenerii la nivel internațional pentru a aborda dezinformarea ca o provocare societală din ce în ce mai mare, care se bazează pe stimulente economice false și care reprezintă o amenințare la adresa funcționării sistemelor noastre democratice.</w:t>
      </w:r>
    </w:p>
    <w:p w14:paraId="4ED6F6AE" w14:textId="2471CDD5" w:rsidR="002D6D8B" w:rsidRPr="000C480E" w:rsidRDefault="002D6D8B" w:rsidP="00215FB3">
      <w:pPr>
        <w:spacing w:after="120"/>
        <w:jc w:val="both"/>
        <w:textAlignment w:val="baseline"/>
        <w:rPr>
          <w:rFonts w:ascii="Times New Roman" w:eastAsia="Times New Roman" w:hAnsi="Times New Roman" w:cs="Times New Roman"/>
          <w:noProof/>
          <w:color w:val="000000" w:themeColor="text1"/>
          <w:sz w:val="24"/>
          <w:szCs w:val="24"/>
          <w:lang w:eastAsia="en-IE"/>
        </w:rPr>
      </w:pPr>
    </w:p>
    <w:p w14:paraId="5BA2DB1E" w14:textId="57500011" w:rsidR="00775598" w:rsidRPr="000C480E" w:rsidRDefault="00C35222" w:rsidP="00B2476E">
      <w:pPr>
        <w:pStyle w:val="Heading2"/>
        <w:ind w:left="1565" w:hanging="431"/>
        <w:rPr>
          <w:rFonts w:ascii="Times New Roman" w:hAnsi="Times New Roman" w:cs="Times New Roman"/>
          <w:b/>
          <w:bCs/>
          <w:noProof/>
          <w:color w:val="000000" w:themeColor="text1"/>
          <w:sz w:val="24"/>
          <w:szCs w:val="24"/>
        </w:rPr>
      </w:pPr>
      <w:bookmarkStart w:id="41" w:name="_Toc159792204"/>
      <w:r w:rsidRPr="000C480E">
        <w:rPr>
          <w:rFonts w:ascii="Times New Roman" w:hAnsi="Times New Roman"/>
          <w:b/>
          <w:noProof/>
          <w:color w:val="000000" w:themeColor="text1"/>
          <w:sz w:val="24"/>
        </w:rPr>
        <w:t>Valorificarea politicilor structurale</w:t>
      </w:r>
      <w:bookmarkEnd w:id="41"/>
    </w:p>
    <w:p w14:paraId="3D3E21EA" w14:textId="77777777" w:rsidR="00BF6EC7" w:rsidRPr="000C480E" w:rsidRDefault="00BF6EC7" w:rsidP="00B11E0C">
      <w:pPr>
        <w:spacing w:line="240" w:lineRule="auto"/>
        <w:jc w:val="both"/>
        <w:rPr>
          <w:rFonts w:ascii="Times New Roman" w:eastAsiaTheme="minorHAnsi" w:hAnsi="Times New Roman" w:cs="Times New Roman"/>
          <w:bCs/>
          <w:noProof/>
          <w:color w:val="000000" w:themeColor="text1"/>
          <w:sz w:val="24"/>
          <w:szCs w:val="24"/>
        </w:rPr>
      </w:pPr>
      <w:bookmarkStart w:id="42" w:name="_Hlk153901472"/>
    </w:p>
    <w:p w14:paraId="6C1A6ACF" w14:textId="5DA52CA8" w:rsidR="00F77F36" w:rsidRPr="000C480E" w:rsidRDefault="00DF3861" w:rsidP="00A632E5">
      <w:pPr>
        <w:spacing w:after="120"/>
        <w:jc w:val="both"/>
        <w:rPr>
          <w:rFonts w:ascii="Times New Roman" w:eastAsiaTheme="minorHAnsi" w:hAnsi="Times New Roman" w:cs="Times New Roman"/>
          <w:bCs/>
          <w:noProof/>
          <w:color w:val="000000" w:themeColor="text1"/>
          <w:sz w:val="24"/>
          <w:szCs w:val="24"/>
        </w:rPr>
      </w:pPr>
      <w:r w:rsidRPr="000C480E">
        <w:rPr>
          <w:rFonts w:ascii="Times New Roman" w:hAnsi="Times New Roman"/>
          <w:noProof/>
          <w:color w:val="000000" w:themeColor="text1"/>
          <w:sz w:val="24"/>
        </w:rPr>
        <w:t xml:space="preserve">Deși distribuția asumării riscurilor între UE și statele sale membre variază de la un domeniu de politică la altul, trei domenii de politică structurală prezintă unele caracteristici speciale în ceea ce privește gestionarea riscurilor climatice în multe sectoare: </w:t>
      </w:r>
    </w:p>
    <w:p w14:paraId="002FA01C" w14:textId="24AF0319" w:rsidR="008079B5" w:rsidRPr="000C480E" w:rsidRDefault="00BF6EC7" w:rsidP="00A632E5">
      <w:pPr>
        <w:spacing w:after="120"/>
        <w:jc w:val="both"/>
        <w:rPr>
          <w:rFonts w:ascii="Times New Roman" w:eastAsiaTheme="minorHAnsi" w:hAnsi="Times New Roman" w:cs="Times New Roman"/>
          <w:bCs/>
          <w:noProof/>
          <w:color w:val="000000" w:themeColor="text1"/>
          <w:sz w:val="24"/>
          <w:szCs w:val="24"/>
        </w:rPr>
      </w:pPr>
      <w:r w:rsidRPr="000C480E">
        <w:rPr>
          <w:rFonts w:ascii="Times New Roman" w:hAnsi="Times New Roman"/>
          <w:noProof/>
          <w:color w:val="000000" w:themeColor="text1"/>
          <w:sz w:val="24"/>
          <w:u w:val="single"/>
        </w:rPr>
        <w:t>O mai bună amenajare a teritoriului în statele membre</w:t>
      </w:r>
      <w:r w:rsidRPr="000C480E">
        <w:rPr>
          <w:rFonts w:ascii="Times New Roman" w:hAnsi="Times New Roman"/>
          <w:noProof/>
          <w:color w:val="000000" w:themeColor="text1"/>
          <w:sz w:val="24"/>
        </w:rPr>
        <w:t>. Utilizarea și amenajarea teritoriului sunt responsabilități naționale, și adesea, locale. Terenul nu este doar un activ, ci este impregnat și cu o semnificație și o valoare specifice la nivel local, dincolo de valoarea monetară. În același timp, deciziile privind utilizarea terenurilor și amenajarea teritoriului afectează reziliența și capacitatea de asigurare împotriva riscurilor pe care le prezintă comunitățile și economiile în sens mai larg. Astfel de decizii ar trebui să precizeze în mod explicit ipotezele privind riscurile climatice și să fie aprobate de autoritățile naționale responsabile cu reziliența infrastructurii critice și de entitățile critice. Comisia va lua în considerare opțiuni pentru a stimula adoptarea celor mai bune practici, inclusiv prin consolidarea legăturii dintre calitatea planificării teritoriale și maritime și politicile de coeziune, transport, pescuit, finanțe și agricultură. Comisia se va baza pe activitatea existentă și va include principii de reziliență în inițiativa Noul Bauhaus european</w:t>
      </w:r>
      <w:r w:rsidR="006840A6" w:rsidRPr="000C480E">
        <w:rPr>
          <w:rStyle w:val="FootnoteReference"/>
          <w:rFonts w:ascii="Times New Roman" w:eastAsiaTheme="minorHAnsi" w:hAnsi="Times New Roman" w:cs="Times New Roman"/>
          <w:bCs/>
          <w:noProof/>
          <w:color w:val="000000" w:themeColor="text1"/>
          <w:sz w:val="24"/>
          <w:szCs w:val="24"/>
        </w:rPr>
        <w:footnoteReference w:id="32"/>
      </w:r>
      <w:r w:rsidRPr="000C480E">
        <w:rPr>
          <w:rFonts w:ascii="Times New Roman" w:hAnsi="Times New Roman"/>
          <w:noProof/>
          <w:color w:val="000000" w:themeColor="text1"/>
          <w:sz w:val="24"/>
        </w:rPr>
        <w:t xml:space="preserve"> pentru a facilita planificarea de comunități reziliente.</w:t>
      </w:r>
    </w:p>
    <w:bookmarkEnd w:id="42"/>
    <w:p w14:paraId="4E7EAE16" w14:textId="37C9D488" w:rsidR="000444E6" w:rsidRPr="000C480E" w:rsidRDefault="009A34E2" w:rsidP="00A632E5">
      <w:pPr>
        <w:spacing w:after="120"/>
        <w:jc w:val="both"/>
        <w:rPr>
          <w:rFonts w:ascii="Times New Roman" w:eastAsiaTheme="minorHAnsi" w:hAnsi="Times New Roman" w:cs="Times New Roman"/>
          <w:bCs/>
          <w:noProof/>
          <w:color w:val="000000" w:themeColor="text1"/>
          <w:sz w:val="24"/>
          <w:szCs w:val="24"/>
          <w:u w:val="single"/>
        </w:rPr>
      </w:pPr>
      <w:r w:rsidRPr="000C480E">
        <w:rPr>
          <w:rFonts w:ascii="Times New Roman" w:hAnsi="Times New Roman"/>
          <w:noProof/>
          <w:color w:val="000000" w:themeColor="text1"/>
          <w:sz w:val="24"/>
          <w:u w:val="single"/>
        </w:rPr>
        <w:t>Integrarea riscurilor climatice în planificarea și întreținerea infrastructurii critice</w:t>
      </w:r>
      <w:r w:rsidR="002C54AA" w:rsidRPr="000C480E">
        <w:rPr>
          <w:rFonts w:ascii="Times New Roman" w:hAnsi="Times New Roman"/>
          <w:noProof/>
          <w:color w:val="000000" w:themeColor="text1"/>
          <w:sz w:val="24"/>
        </w:rPr>
        <w:t>.</w:t>
      </w:r>
      <w:r w:rsidRPr="000C480E">
        <w:rPr>
          <w:rFonts w:ascii="Times New Roman" w:hAnsi="Times New Roman"/>
          <w:noProof/>
          <w:color w:val="000000" w:themeColor="text1"/>
          <w:sz w:val="24"/>
        </w:rPr>
        <w:t xml:space="preserve"> Strâns legată de amenajarea teritoriului, capacitatea guvernelor de a menține funcții societale depinde de reziliența entităților care operează infrastructuri critice de a-și furniza serviciile esențiale pentru societate și economie. Directiva privind reziliența entităților critice facilitează coordonarea între statele membre și stabilește procese de evaluare a riscurilor pentru acestea și pentru entitățile critice. Comisia invită fiecare stat membru să se asigure că evaluarea națională a riscurilor efectuată în temeiul Directivei privind reziliența entităților critice</w:t>
      </w:r>
      <w:r w:rsidR="002743A3" w:rsidRPr="000C480E">
        <w:rPr>
          <w:rStyle w:val="FootnoteReference"/>
          <w:rFonts w:ascii="Times New Roman" w:eastAsiaTheme="minorHAnsi" w:hAnsi="Times New Roman" w:cs="Times New Roman"/>
          <w:bCs/>
          <w:noProof/>
          <w:color w:val="000000" w:themeColor="text1"/>
          <w:sz w:val="24"/>
          <w:szCs w:val="24"/>
        </w:rPr>
        <w:footnoteReference w:id="33"/>
      </w:r>
      <w:r w:rsidRPr="000C480E">
        <w:rPr>
          <w:rFonts w:ascii="Times New Roman" w:hAnsi="Times New Roman"/>
          <w:noProof/>
          <w:color w:val="000000" w:themeColor="text1"/>
          <w:sz w:val="24"/>
        </w:rPr>
        <w:t xml:space="preserve"> abordează în mod explicit reziliența pe termen lung a entităților reglementate la riscurile climatice și invită statele membre să facă acest lucru înainte de termenul stabilit în directivă pentru 2026. O parte din infrastructura critică este convenită și cofinanțată la nivelul UE, cum ar fi rețelele transeuropene TEN-T și TEN-E, dar și, de exemplu, spitalele și școlile finanțate de UE. Comisia va actualiza și va elabora documente de orientare sectoriale relevante. Datele și serviciile satelitare disponibile ar trebui utilizate pe deplin pentru a consolida reziliența infrastructurii critice la riscurile climatice.</w:t>
      </w:r>
    </w:p>
    <w:p w14:paraId="070CC3E5" w14:textId="089567BE" w:rsidR="00206BE3" w:rsidRPr="000C480E" w:rsidRDefault="00493B26" w:rsidP="00A632E5">
      <w:pPr>
        <w:spacing w:after="120"/>
        <w:jc w:val="both"/>
        <w:rPr>
          <w:rFonts w:ascii="Times New Roman" w:eastAsiaTheme="minorHAnsi" w:hAnsi="Times New Roman" w:cs="Times New Roman"/>
          <w:bCs/>
          <w:noProof/>
          <w:color w:val="000000" w:themeColor="text1"/>
          <w:sz w:val="24"/>
          <w:szCs w:val="24"/>
        </w:rPr>
      </w:pPr>
      <w:r w:rsidRPr="000C480E">
        <w:rPr>
          <w:rFonts w:ascii="Times New Roman" w:hAnsi="Times New Roman"/>
          <w:noProof/>
          <w:color w:val="000000" w:themeColor="text1"/>
          <w:sz w:val="24"/>
          <w:u w:val="single"/>
        </w:rPr>
        <w:t>Corelarea solidarității la nivelul UE cu măsuri naționale de reziliență adecvate.</w:t>
      </w:r>
      <w:r w:rsidRPr="000C480E">
        <w:rPr>
          <w:rFonts w:ascii="Times New Roman" w:hAnsi="Times New Roman"/>
          <w:noProof/>
          <w:color w:val="000000" w:themeColor="text1"/>
          <w:sz w:val="24"/>
        </w:rPr>
        <w:t xml:space="preserve"> În cazul în care capacitățile naționale nu mai fac față, capacitățile de protecție civilă și alte mecanisme de solidaritate la nivelul UE (inclusiv UCPM, Fondul de solidaritate al UE, anumite instrumente din cadrul politicii agricole comune și alte pachete de sprijin sectorial) pot fi mobilizate pentru a proteja oamenii împotriva efectelor schimbărilor climatice și pentru a-i ajuta să se redreseze mai rapid. Cu toate acestea, atât capacitățile de la nivel național, cât și cele de la nivelul UE sunt deja suprasolicitate, în timp ce presiunile asupra riscurilor vor continua să crească. Începând din 2019, UCPM a fost activat de 76 de ori pentru a coordona asistența în statele membre ale UE și în țările terțe pentru situații de urgență legate de climă (inundații extreme, incendii forestiere, furtuni și secetă acută). Peste 8,6 miliarde EUR au fost cheltuite prin intermediul Fondului de solidaritate al UE pentru sprijinirea a 24 de state membre și a 4 țări în curs de aderare în urma a 110 dezastre naturale.</w:t>
      </w:r>
    </w:p>
    <w:p w14:paraId="15F9BD92" w14:textId="5B1F4B96" w:rsidR="00953775" w:rsidRPr="000C480E" w:rsidRDefault="00992300" w:rsidP="00A632E5">
      <w:pPr>
        <w:spacing w:after="120"/>
        <w:jc w:val="both"/>
        <w:rPr>
          <w:rFonts w:ascii="Times New Roman" w:eastAsiaTheme="minorHAnsi" w:hAnsi="Times New Roman" w:cs="Times New Roman"/>
          <w:noProof/>
          <w:sz w:val="24"/>
          <w:szCs w:val="24"/>
        </w:rPr>
      </w:pPr>
      <w:r w:rsidRPr="000C480E">
        <w:rPr>
          <w:rFonts w:ascii="Times New Roman" w:hAnsi="Times New Roman"/>
          <w:noProof/>
          <w:color w:val="000000" w:themeColor="text1"/>
          <w:sz w:val="24"/>
        </w:rPr>
        <w:t>Mecanismele de solidaritate trebuie să dispună de resurse adecvate pentru a se asigura că UE îi poate ajuta pe cei aflați în dificultate. Sistemele și activele de protecție civilă trebuie să fie adaptate exigențelor viitorului, prin investiții în gestionarea riscurilor de dezastre la nivelul UE și al statelor membre, capacități de răspuns și expertiză care pot fi mobilizate rapid la nivel transfrontalier. Acest lucru ar trebui să integreze pe deplin riscurile climatice în procesele de gestionare a riscurilor de dezastre</w:t>
      </w:r>
      <w:r w:rsidR="009C6C0A" w:rsidRPr="000C480E">
        <w:rPr>
          <w:rStyle w:val="FootnoteReference"/>
          <w:rFonts w:ascii="Times New Roman" w:hAnsi="Times New Roman" w:cs="Times New Roman"/>
          <w:noProof/>
          <w:color w:val="000000" w:themeColor="text1"/>
          <w:sz w:val="24"/>
          <w:szCs w:val="24"/>
        </w:rPr>
        <w:footnoteReference w:id="34"/>
      </w:r>
      <w:r w:rsidRPr="000C480E">
        <w:rPr>
          <w:rFonts w:ascii="Times New Roman" w:hAnsi="Times New Roman"/>
          <w:noProof/>
          <w:color w:val="000000" w:themeColor="text1"/>
          <w:sz w:val="24"/>
        </w:rPr>
        <w:t>, astfel cum se prevede în obiectivele Uniunii în materie de reziliență la dezastre și în raportul Comisiei privind prevenirea gestionării riscurilor de dezastre în Europa</w:t>
      </w:r>
      <w:r w:rsidR="009C6C0A" w:rsidRPr="000C480E">
        <w:rPr>
          <w:rFonts w:ascii="Times New Roman" w:hAnsi="Times New Roman" w:cs="Times New Roman"/>
          <w:noProof/>
          <w:color w:val="000000" w:themeColor="text1"/>
          <w:sz w:val="24"/>
          <w:szCs w:val="24"/>
          <w:vertAlign w:val="superscript"/>
        </w:rPr>
        <w:footnoteReference w:id="35"/>
      </w:r>
      <w:r w:rsidRPr="000C480E">
        <w:rPr>
          <w:rFonts w:ascii="Times New Roman" w:hAnsi="Times New Roman"/>
          <w:noProof/>
          <w:color w:val="000000" w:themeColor="text1"/>
          <w:sz w:val="24"/>
        </w:rPr>
        <w:t xml:space="preserve">. Întrucât capacitățile de răspuns și de redresare ale UE pot fie epuizate fără a se reduce riscurile, Comisia va analiza modul în care mecanismele de solidaritate pot stimula mai bine acțiunile anticipative adecvate ale statelor membre cu privire la principalele riscuri și în interesul sustenabilității fiscale, consolidând în același timp gestionarea riscurilor de dezastre, pregătirea și răspunsul UE în caz de dezastre. </w:t>
      </w:r>
    </w:p>
    <w:p w14:paraId="7A258CF1" w14:textId="5AA3A89C" w:rsidR="00114A90" w:rsidRPr="000C480E" w:rsidRDefault="00114A90" w:rsidP="004615FF">
      <w:pPr>
        <w:spacing w:after="120" w:line="240" w:lineRule="auto"/>
        <w:jc w:val="both"/>
        <w:rPr>
          <w:rFonts w:ascii="Times New Roman" w:eastAsiaTheme="minorHAnsi" w:hAnsi="Times New Roman" w:cs="Times New Roman"/>
          <w:bCs/>
          <w:noProof/>
          <w:color w:val="000000" w:themeColor="text1"/>
          <w:sz w:val="24"/>
          <w:szCs w:val="24"/>
        </w:rPr>
      </w:pPr>
    </w:p>
    <w:p w14:paraId="1DB84872" w14:textId="538850D2" w:rsidR="00775598" w:rsidRPr="000C480E" w:rsidRDefault="009D7A8F" w:rsidP="00B2476E">
      <w:pPr>
        <w:pStyle w:val="Heading2"/>
        <w:ind w:left="1565" w:hanging="431"/>
        <w:rPr>
          <w:rFonts w:ascii="Times New Roman" w:hAnsi="Times New Roman" w:cs="Times New Roman"/>
          <w:b/>
          <w:bCs/>
          <w:noProof/>
          <w:color w:val="000000" w:themeColor="text1"/>
          <w:sz w:val="24"/>
          <w:szCs w:val="24"/>
        </w:rPr>
      </w:pPr>
      <w:bookmarkStart w:id="43" w:name="_Toc157700411"/>
      <w:bookmarkStart w:id="44" w:name="_Toc159792205"/>
      <w:bookmarkEnd w:id="43"/>
      <w:r w:rsidRPr="000C480E">
        <w:rPr>
          <w:rFonts w:ascii="Times New Roman" w:hAnsi="Times New Roman"/>
          <w:b/>
          <w:noProof/>
          <w:color w:val="000000" w:themeColor="text1"/>
          <w:sz w:val="24"/>
        </w:rPr>
        <w:t>Condiții prealabile adecvate pentru finanțarea rezilienței la schimbările climatice</w:t>
      </w:r>
      <w:bookmarkEnd w:id="44"/>
    </w:p>
    <w:p w14:paraId="5C66F85A" w14:textId="77777777" w:rsidR="00BF6EC7" w:rsidRPr="000C480E" w:rsidRDefault="00BF6EC7" w:rsidP="00B11E0C">
      <w:pPr>
        <w:jc w:val="both"/>
        <w:textAlignment w:val="baseline"/>
        <w:rPr>
          <w:rFonts w:ascii="Times New Roman" w:eastAsia="Times New Roman" w:hAnsi="Times New Roman" w:cs="Times New Roman"/>
          <w:noProof/>
          <w:color w:val="000000" w:themeColor="text1"/>
          <w:sz w:val="24"/>
          <w:szCs w:val="24"/>
          <w:lang w:eastAsia="en-IE"/>
        </w:rPr>
      </w:pPr>
    </w:p>
    <w:p w14:paraId="3FED802B" w14:textId="0974F746" w:rsidR="00CC5085" w:rsidRPr="000C480E" w:rsidRDefault="00EE0C15" w:rsidP="41D030ED">
      <w:pPr>
        <w:spacing w:after="120"/>
        <w:jc w:val="both"/>
        <w:textAlignment w:val="baseline"/>
        <w:rPr>
          <w:rFonts w:ascii="Times New Roman" w:eastAsia="Times New Roman" w:hAnsi="Times New Roman" w:cs="Times New Roman"/>
          <w:noProof/>
          <w:color w:val="000000" w:themeColor="text1"/>
          <w:sz w:val="24"/>
          <w:szCs w:val="24"/>
        </w:rPr>
      </w:pPr>
      <w:r w:rsidRPr="000C480E">
        <w:rPr>
          <w:rFonts w:ascii="Times New Roman" w:hAnsi="Times New Roman"/>
          <w:noProof/>
          <w:color w:val="000000" w:themeColor="text1"/>
          <w:sz w:val="24"/>
        </w:rPr>
        <w:t>Factorii de decizie politică, investitorii și întreprinderile trebuie să înțeleagă nevoile și lacunele în materie de investiții și de protecție, să conceapă intervenții specifice în funcție de impactul potențial și de urgența acestora, să implice proprietarii de riscuri și să formeze strategii de finanțare pe termen lung. Pentru a gestiona în mod eficace riscurile climatice, cheltuielile publice la nivelul UE și la nivel național, inclusiv investițiile sociale, și stimulentele pentru investițiile private ar trebui să fie concepute astfel încât prevenirea perturbărilor și a daunelor legate de climă să fie cea mai bună alegere din punct de vedere economic. Trebuie asigurată conformitatea cu normele privind ajutoarele de stat. Aceasta presupune:</w:t>
      </w:r>
    </w:p>
    <w:p w14:paraId="249B7C70" w14:textId="20FF077E" w:rsidR="008733E5" w:rsidRPr="000C480E" w:rsidRDefault="008733E5" w:rsidP="00774220">
      <w:pPr>
        <w:spacing w:after="120"/>
        <w:jc w:val="both"/>
        <w:textAlignment w:val="baseline"/>
        <w:rPr>
          <w:rFonts w:ascii="Times New Roman" w:hAnsi="Times New Roman"/>
          <w:noProof/>
          <w:color w:val="000000" w:themeColor="text1"/>
          <w:sz w:val="24"/>
          <w:highlight w:val="yellow"/>
          <w:u w:val="single"/>
        </w:rPr>
      </w:pPr>
      <w:r w:rsidRPr="000C480E">
        <w:rPr>
          <w:rFonts w:ascii="Times New Roman" w:hAnsi="Times New Roman"/>
          <w:noProof/>
          <w:color w:val="000000" w:themeColor="text1"/>
          <w:sz w:val="24"/>
          <w:u w:val="single"/>
        </w:rPr>
        <w:t>Asigurarea rezilienței cheltuielilor UE la schimbările climatice.</w:t>
      </w:r>
      <w:r w:rsidRPr="000C480E">
        <w:rPr>
          <w:rFonts w:ascii="Times New Roman" w:hAnsi="Times New Roman"/>
          <w:noProof/>
          <w:color w:val="000000" w:themeColor="text1"/>
          <w:sz w:val="24"/>
        </w:rPr>
        <w:t xml:space="preserve"> Comisia va integra considerentele legate de adaptarea la schimbările climatice în punerea în aplicare a programelor și a activităților UE, ca parte a principiului de „a nu aduce prejudicii semnificative” prevăzut în Regulamentul financiar pentru cadrul financiar multianual de după 2027, atunci când acest lucru este fezabil și oportun. Acest lucru va asigura faptul că toate programele relevante ale UE contribuie la reziliența la schimbările climatice.</w:t>
      </w:r>
    </w:p>
    <w:p w14:paraId="36554D86" w14:textId="1B61B347" w:rsidR="00E06696" w:rsidRPr="000C480E" w:rsidRDefault="0004542D" w:rsidP="00B160B9">
      <w:pPr>
        <w:spacing w:after="120"/>
        <w:jc w:val="both"/>
        <w:textAlignment w:val="baseline"/>
        <w:rPr>
          <w:rFonts w:ascii="Times New Roman" w:eastAsia="Times New Roman" w:hAnsi="Times New Roman" w:cs="Times New Roman"/>
          <w:noProof/>
          <w:color w:val="000000" w:themeColor="text1"/>
          <w:sz w:val="24"/>
          <w:szCs w:val="24"/>
        </w:rPr>
      </w:pPr>
      <w:r w:rsidRPr="000C480E">
        <w:rPr>
          <w:rFonts w:ascii="Times New Roman" w:hAnsi="Times New Roman"/>
          <w:noProof/>
          <w:color w:val="000000" w:themeColor="text1"/>
          <w:sz w:val="24"/>
          <w:u w:val="single"/>
        </w:rPr>
        <w:t>Integrarea rezilienței la schimbările climatice în achizițiile publice</w:t>
      </w:r>
      <w:r w:rsidRPr="000C480E">
        <w:rPr>
          <w:rFonts w:ascii="Times New Roman" w:hAnsi="Times New Roman"/>
          <w:noProof/>
          <w:color w:val="000000" w:themeColor="text1"/>
          <w:sz w:val="24"/>
        </w:rPr>
        <w:t>. Achizițiile publice reprezintă 14 % din PIB-ul UE și trebuie să țină seama de riscurile climatice. În special în ceea ce privește deciziile în materie de infrastructură, această politică joacă un rol esențial în sprijinirea rezilienței activelor la schimbările climatice și în sensibilizarea și cunoașterea de către întreprinderile ofertante a rezilienței la schimbările climatice. Comisia va considera riscurile climatice drept un element demn de luat în considerare în cazul unei revizuiri a cadrului de reglementare pentru achiziții publice. În paralel, Comisia invită statele membre să țină seama, printre altele, de riscurile climatice atunci când includ criterii de durabilitate a mediului în licitații competitive, de exemplu prin accelerarea punerii în aplicare a dispozițiilor Regulamentului privind industria „zero net”</w:t>
      </w:r>
      <w:r w:rsidR="00CA7DFD" w:rsidRPr="000C480E">
        <w:rPr>
          <w:rStyle w:val="FootnoteReference"/>
          <w:rFonts w:ascii="Times New Roman" w:eastAsia="Times New Roman" w:hAnsi="Times New Roman" w:cs="Times New Roman"/>
          <w:noProof/>
          <w:color w:val="000000" w:themeColor="text1"/>
          <w:sz w:val="24"/>
          <w:szCs w:val="24"/>
          <w:lang w:eastAsia="en-IE"/>
        </w:rPr>
        <w:footnoteReference w:id="36"/>
      </w:r>
      <w:r w:rsidRPr="000C480E">
        <w:rPr>
          <w:rFonts w:ascii="Times New Roman" w:hAnsi="Times New Roman"/>
          <w:noProof/>
          <w:color w:val="000000" w:themeColor="text1"/>
          <w:sz w:val="24"/>
        </w:rPr>
        <w:t xml:space="preserve"> în ceea ce privește criteriile nelegate de preț în conceperea licitațiilor. </w:t>
      </w:r>
    </w:p>
    <w:p w14:paraId="0AC87FEC" w14:textId="43E7AD9A" w:rsidR="003E4442" w:rsidRPr="000C480E" w:rsidRDefault="003E4442" w:rsidP="00D70311">
      <w:pPr>
        <w:spacing w:after="120"/>
        <w:jc w:val="both"/>
        <w:textAlignment w:val="baseline"/>
        <w:rPr>
          <w:rFonts w:ascii="Times New Roman" w:eastAsia="Times New Roman" w:hAnsi="Times New Roman" w:cs="Times New Roman"/>
          <w:noProof/>
          <w:color w:val="000000" w:themeColor="text1"/>
          <w:sz w:val="24"/>
          <w:szCs w:val="24"/>
        </w:rPr>
      </w:pPr>
      <w:r w:rsidRPr="000C480E">
        <w:rPr>
          <w:rFonts w:ascii="Times New Roman" w:hAnsi="Times New Roman"/>
          <w:noProof/>
          <w:color w:val="000000" w:themeColor="text1"/>
          <w:sz w:val="24"/>
          <w:u w:val="single"/>
        </w:rPr>
        <w:t>Mobilizarea finanțării pentru consolidarea rezilienței</w:t>
      </w:r>
      <w:r w:rsidRPr="000C480E">
        <w:rPr>
          <w:rFonts w:ascii="Times New Roman" w:hAnsi="Times New Roman"/>
          <w:noProof/>
          <w:color w:val="000000" w:themeColor="text1"/>
          <w:sz w:val="24"/>
        </w:rPr>
        <w:t xml:space="preserve">. Atragerea și facilitarea investițiilor private sunt fundamentale pentru abordarea cu succes a riscurilor climatice și pentru consolidarea rezilienței la schimbările climatice. Pe baza lucrărilor din cadrul dialogului privind reziliența la schimbările climatice și a altor activități relevante, Comisia va convoca un grup de reflecție temporar privind mobilizarea finanțării rezilienței la schimbările climatice, pentru a reflecta asupra modalităților de facilitare a finanțării rezilienței la schimbările climatice. Grupul de reflecție va reuni principalii actori industriali și reprezentanți ai instituțiilor financiare publice și private. De asemenea, acest grup se poate baza pe cunoștințele Băncii Europene de Investiții și ale Autorității Europene de Asigurări și Pensii Ocupaționale în domeniul finanțării adaptării și consolidării rezilienței. Acesta va cartografia cele mai bune practici și va identifica obstacolele și condițiile favorizante pentru finanțarea rezilienței la schimbările climatice. Comisia va ține seama de rezultatul acestor discuții în vederea consolidării finanțării pentru reziliența la schimbările climatice. </w:t>
      </w:r>
    </w:p>
    <w:p w14:paraId="413219F1" w14:textId="07145287" w:rsidR="0053389F" w:rsidRPr="000C480E" w:rsidRDefault="0053389F" w:rsidP="00B2476E">
      <w:pPr>
        <w:pStyle w:val="Heading1"/>
        <w:numPr>
          <w:ilvl w:val="0"/>
          <w:numId w:val="1"/>
        </w:numPr>
        <w:ind w:left="357" w:hanging="357"/>
        <w:rPr>
          <w:rFonts w:ascii="Times New Roman" w:hAnsi="Times New Roman" w:cs="Times New Roman"/>
          <w:b/>
          <w:bCs/>
          <w:noProof/>
          <w:color w:val="000000" w:themeColor="text1"/>
          <w:sz w:val="24"/>
          <w:szCs w:val="24"/>
        </w:rPr>
      </w:pPr>
      <w:bookmarkStart w:id="45" w:name="_Toc159792206"/>
      <w:r w:rsidRPr="000C480E">
        <w:rPr>
          <w:rFonts w:ascii="Times New Roman" w:hAnsi="Times New Roman"/>
          <w:b/>
          <w:noProof/>
          <w:color w:val="000000" w:themeColor="text1"/>
          <w:sz w:val="24"/>
        </w:rPr>
        <w:t>Acțiuni-cheie ale UE în principalele clustere de impact</w:t>
      </w:r>
      <w:bookmarkEnd w:id="45"/>
      <w:r w:rsidRPr="000C480E">
        <w:rPr>
          <w:rFonts w:ascii="Times New Roman" w:hAnsi="Times New Roman"/>
          <w:b/>
          <w:noProof/>
          <w:color w:val="000000" w:themeColor="text1"/>
          <w:sz w:val="24"/>
        </w:rPr>
        <w:t xml:space="preserve"> </w:t>
      </w:r>
    </w:p>
    <w:p w14:paraId="6E37C4D5" w14:textId="77777777" w:rsidR="0004542D" w:rsidRPr="000C480E" w:rsidRDefault="0004542D" w:rsidP="00B11E0C">
      <w:pPr>
        <w:jc w:val="both"/>
        <w:textAlignment w:val="baseline"/>
        <w:rPr>
          <w:rFonts w:ascii="Times New Roman" w:eastAsia="Times New Roman" w:hAnsi="Times New Roman" w:cs="Times New Roman"/>
          <w:noProof/>
          <w:color w:val="000000" w:themeColor="text1"/>
          <w:sz w:val="24"/>
          <w:szCs w:val="24"/>
          <w:lang w:eastAsia="en-IE"/>
        </w:rPr>
      </w:pPr>
    </w:p>
    <w:p w14:paraId="4F10C5A6" w14:textId="62891F93" w:rsidR="00F435E9" w:rsidRPr="000C480E" w:rsidRDefault="00782A85" w:rsidP="00FE40B8">
      <w:pPr>
        <w:spacing w:after="120"/>
        <w:jc w:val="both"/>
        <w:textAlignment w:val="baseline"/>
        <w:rPr>
          <w:rFonts w:ascii="Times New Roman" w:eastAsia="Times New Roman" w:hAnsi="Times New Roman" w:cs="Times New Roman"/>
          <w:noProof/>
          <w:color w:val="000000" w:themeColor="text1"/>
          <w:sz w:val="24"/>
          <w:szCs w:val="24"/>
        </w:rPr>
      </w:pPr>
      <w:r w:rsidRPr="000C480E">
        <w:rPr>
          <w:rFonts w:ascii="Times New Roman" w:hAnsi="Times New Roman"/>
          <w:noProof/>
          <w:color w:val="000000" w:themeColor="text1"/>
          <w:sz w:val="24"/>
        </w:rPr>
        <w:t xml:space="preserve">Riscurile climatice și politicile UE sunt interconectate în multe moduri. </w:t>
      </w:r>
      <w:bookmarkStart w:id="46" w:name="_Hlk157872449"/>
      <w:r w:rsidRPr="000C480E">
        <w:rPr>
          <w:rFonts w:ascii="Times New Roman" w:hAnsi="Times New Roman"/>
          <w:b/>
          <w:noProof/>
          <w:color w:val="000000" w:themeColor="text1"/>
          <w:sz w:val="24"/>
        </w:rPr>
        <w:t>Majoritatea politicilor UE includ deja procese decizionale care ar putea lua în considerare riscurile climatice. Numeroasele dovezi prezentate în raportul EUCRA vor contribui la aceste procese</w:t>
      </w:r>
      <w:bookmarkEnd w:id="46"/>
      <w:r w:rsidRPr="000C480E">
        <w:rPr>
          <w:noProof/>
        </w:rPr>
        <w:t>.</w:t>
      </w:r>
      <w:r w:rsidRPr="000C480E">
        <w:rPr>
          <w:rFonts w:ascii="Times New Roman" w:hAnsi="Times New Roman"/>
          <w:b/>
          <w:noProof/>
          <w:color w:val="000000" w:themeColor="text1"/>
          <w:sz w:val="24"/>
        </w:rPr>
        <w:t xml:space="preserve"> </w:t>
      </w:r>
      <w:r w:rsidRPr="000C480E">
        <w:rPr>
          <w:rFonts w:ascii="Times New Roman" w:hAnsi="Times New Roman"/>
          <w:noProof/>
          <w:color w:val="000000" w:themeColor="text1"/>
          <w:sz w:val="24"/>
        </w:rPr>
        <w:t>Prezenta secțiune stabilește acțiuni specifice pentru clusterele afectate selectate, pe care Comisia le va continua, în plus față de activitățile deja în curs de desfășurare.</w:t>
      </w:r>
    </w:p>
    <w:p w14:paraId="2EE6E041" w14:textId="77777777" w:rsidR="00234B23" w:rsidRPr="000C480E" w:rsidRDefault="00234B23" w:rsidP="00FE40B8">
      <w:pPr>
        <w:spacing w:after="120"/>
        <w:jc w:val="both"/>
        <w:textAlignment w:val="baseline"/>
        <w:rPr>
          <w:rFonts w:ascii="Times New Roman" w:eastAsia="Times New Roman" w:hAnsi="Times New Roman" w:cs="Times New Roman"/>
          <w:noProof/>
          <w:color w:val="000000" w:themeColor="text1"/>
          <w:sz w:val="24"/>
          <w:szCs w:val="24"/>
          <w:lang w:eastAsia="en-IE"/>
        </w:rPr>
      </w:pPr>
    </w:p>
    <w:p w14:paraId="5FBDAE14" w14:textId="57546045" w:rsidR="004E2378" w:rsidRPr="000C480E" w:rsidRDefault="007965EF" w:rsidP="00B2476E">
      <w:pPr>
        <w:pStyle w:val="Heading3"/>
        <w:numPr>
          <w:ilvl w:val="1"/>
          <w:numId w:val="1"/>
        </w:numPr>
        <w:ind w:left="1565" w:hanging="431"/>
        <w:rPr>
          <w:rFonts w:ascii="Times New Roman" w:eastAsia="Times New Roman" w:hAnsi="Times New Roman" w:cs="Times New Roman"/>
          <w:b/>
          <w:bCs/>
          <w:noProof/>
          <w:color w:val="000000" w:themeColor="text1"/>
          <w:sz w:val="24"/>
          <w:szCs w:val="24"/>
        </w:rPr>
      </w:pPr>
      <w:bookmarkStart w:id="47" w:name="_Toc159792207"/>
      <w:r w:rsidRPr="000C480E">
        <w:rPr>
          <w:rFonts w:ascii="Times New Roman" w:hAnsi="Times New Roman"/>
          <w:b/>
          <w:noProof/>
          <w:color w:val="000000" w:themeColor="text1"/>
          <w:sz w:val="24"/>
        </w:rPr>
        <w:t>Ecosisteme naturale</w:t>
      </w:r>
      <w:bookmarkEnd w:id="47"/>
    </w:p>
    <w:p w14:paraId="48EEF110" w14:textId="77777777" w:rsidR="00C4304F" w:rsidRPr="000C480E" w:rsidRDefault="00C4304F" w:rsidP="00291D56">
      <w:pPr>
        <w:spacing w:line="240" w:lineRule="auto"/>
        <w:jc w:val="both"/>
        <w:rPr>
          <w:rFonts w:ascii="Times New Roman" w:hAnsi="Times New Roman" w:cs="Times New Roman"/>
          <w:noProof/>
          <w:color w:val="000000" w:themeColor="text1"/>
          <w:sz w:val="24"/>
          <w:szCs w:val="24"/>
          <w:lang w:eastAsia="en-IE"/>
        </w:rPr>
      </w:pPr>
    </w:p>
    <w:p w14:paraId="0C89F8C2" w14:textId="58454D0E" w:rsidR="00291D56" w:rsidRPr="000C480E" w:rsidRDefault="0031372F" w:rsidP="00A632E5">
      <w:pPr>
        <w:spacing w:after="120"/>
        <w:jc w:val="both"/>
        <w:rPr>
          <w:rFonts w:ascii="Times New Roman" w:hAnsi="Times New Roman" w:cs="Times New Roman"/>
          <w:noProof/>
          <w:color w:val="000000" w:themeColor="text1"/>
          <w:sz w:val="24"/>
          <w:szCs w:val="24"/>
        </w:rPr>
      </w:pPr>
      <w:bookmarkStart w:id="48" w:name="_Hlk158191442"/>
      <w:r w:rsidRPr="000C480E">
        <w:rPr>
          <w:rFonts w:ascii="Times New Roman" w:hAnsi="Times New Roman"/>
          <w:noProof/>
          <w:sz w:val="24"/>
        </w:rPr>
        <w:t>Pe lângă susținerea biodiversității în sine, ecosistemele naturale oferă servicii vitale, cum ar fi apa dulce, alimentele și biomaterialele, sechestrarea carbonului, controlul eroziunii solului și a zonelor costiere, prevenirea inundațiilor și a secetei, răcirea zonelor urbane dens populate.</w:t>
      </w:r>
      <w:r w:rsidRPr="000C480E">
        <w:rPr>
          <w:rFonts w:ascii="Times New Roman" w:hAnsi="Times New Roman"/>
          <w:noProof/>
          <w:color w:val="000000" w:themeColor="text1"/>
          <w:sz w:val="24"/>
        </w:rPr>
        <w:t xml:space="preserve"> Se estimează că mai mult de jumătate din PIB-ul total la nivel mondial depinde într-o măsură moderată sau foarte mare de natură și biodiversitate. Ecosistemele sănătoase se autoechilibrează, dar ecosistemele pot, de asemenea, să se prăbușească rapid dacă pragurile critice sunt depășite. </w:t>
      </w:r>
      <w:r w:rsidRPr="000C480E">
        <w:rPr>
          <w:rFonts w:ascii="Times New Roman" w:hAnsi="Times New Roman"/>
          <w:noProof/>
          <w:sz w:val="24"/>
        </w:rPr>
        <w:t>Efectul negativ imediat va afecta</w:t>
      </w:r>
      <w:r w:rsidR="0076332E" w:rsidRPr="000C480E">
        <w:rPr>
          <w:rFonts w:ascii="Times New Roman" w:hAnsi="Times New Roman"/>
          <w:noProof/>
          <w:sz w:val="24"/>
        </w:rPr>
        <w:t xml:space="preserve"> </w:t>
      </w:r>
      <w:r w:rsidRPr="000C480E">
        <w:rPr>
          <w:rFonts w:ascii="Times New Roman" w:hAnsi="Times New Roman"/>
          <w:noProof/>
          <w:sz w:val="24"/>
        </w:rPr>
        <w:t>securitatea alimentară, a comunitățile locale și sectoarele economice, care depind cel mai mult de o natură sănătoasă.</w:t>
      </w:r>
      <w:r w:rsidRPr="000C480E">
        <w:rPr>
          <w:rFonts w:ascii="Times New Roman" w:hAnsi="Times New Roman"/>
          <w:noProof/>
          <w:color w:val="000000" w:themeColor="text1"/>
          <w:sz w:val="24"/>
        </w:rPr>
        <w:t xml:space="preserve"> Pentru a menține și a reface reziliența ecosistemelor și a serviciilor pe care acestea le furnizează, aproximativ 30-50 % din terenurile, apele dulci și oceanele Pământului vor trebui conservate în mod eficace și echitabil</w:t>
      </w:r>
      <w:r w:rsidRPr="000C480E">
        <w:rPr>
          <w:rStyle w:val="FootnoteReference"/>
          <w:rFonts w:ascii="Times New Roman" w:hAnsi="Times New Roman"/>
          <w:noProof/>
          <w:color w:val="000000" w:themeColor="text1"/>
          <w:sz w:val="24"/>
        </w:rPr>
        <w:t xml:space="preserve"> </w:t>
      </w:r>
      <w:r w:rsidR="00CA14DC" w:rsidRPr="000C480E">
        <w:rPr>
          <w:rStyle w:val="FootnoteReference"/>
          <w:rFonts w:ascii="Times New Roman" w:hAnsi="Times New Roman" w:cs="Times New Roman"/>
          <w:noProof/>
          <w:color w:val="000000" w:themeColor="text1"/>
          <w:sz w:val="24"/>
          <w:szCs w:val="24"/>
          <w:lang w:eastAsia="en-IE"/>
        </w:rPr>
        <w:footnoteReference w:id="37"/>
      </w:r>
      <w:r w:rsidRPr="000C480E">
        <w:rPr>
          <w:rFonts w:ascii="Times New Roman" w:hAnsi="Times New Roman"/>
          <w:noProof/>
          <w:color w:val="000000" w:themeColor="text1"/>
          <w:sz w:val="24"/>
        </w:rPr>
        <w:t>.</w:t>
      </w:r>
    </w:p>
    <w:bookmarkEnd w:id="48"/>
    <w:p w14:paraId="52571491" w14:textId="629103B5" w:rsidR="00295851" w:rsidRPr="000C480E" w:rsidRDefault="00463836" w:rsidP="00A632E5">
      <w:pPr>
        <w:spacing w:after="120"/>
        <w:jc w:val="both"/>
        <w:rPr>
          <w:rFonts w:ascii="Times New Roman" w:hAnsi="Times New Roman" w:cs="Times New Roman"/>
          <w:bCs/>
          <w:noProof/>
          <w:color w:val="000000" w:themeColor="text1"/>
          <w:sz w:val="24"/>
          <w:szCs w:val="24"/>
        </w:rPr>
      </w:pPr>
      <w:r w:rsidRPr="000C480E">
        <w:rPr>
          <w:rFonts w:ascii="Times New Roman" w:hAnsi="Times New Roman"/>
          <w:noProof/>
          <w:sz w:val="24"/>
        </w:rPr>
        <w:t>Soluțiile bazate pe natură adaptate exigențelor viitorului pot fi eficiente din punctul de vedere al costurilor și pot spori reziliența, ele trebuind să reprezinte prima opțiune de adaptare la schimbările climatice ori de câte ori este posibil.</w:t>
      </w:r>
      <w:r w:rsidRPr="000C480E">
        <w:rPr>
          <w:rFonts w:ascii="Times New Roman" w:hAnsi="Times New Roman"/>
          <w:noProof/>
          <w:color w:val="000000" w:themeColor="text1"/>
          <w:sz w:val="24"/>
        </w:rPr>
        <w:t xml:space="preserve"> </w:t>
      </w:r>
      <w:r w:rsidRPr="000C480E">
        <w:rPr>
          <w:rFonts w:ascii="Times New Roman" w:hAnsi="Times New Roman"/>
          <w:noProof/>
          <w:sz w:val="24"/>
        </w:rPr>
        <w:t xml:space="preserve">Pentru o gestionare eficace a riscurilor climatice, ecosistemele trebuie protejate și gestionate în mod cuprinzător, iar </w:t>
      </w:r>
      <w:r w:rsidRPr="000C480E">
        <w:rPr>
          <w:rFonts w:ascii="Times New Roman" w:hAnsi="Times New Roman"/>
          <w:noProof/>
          <w:sz w:val="24"/>
          <w:u w:val="single"/>
        </w:rPr>
        <w:t>evaluările bogăției și ale activității economice ar trebui să includă pe deplin capitalul natural</w:t>
      </w:r>
      <w:r w:rsidR="00E01EF8" w:rsidRPr="000C480E">
        <w:rPr>
          <w:rStyle w:val="FootnoteReference"/>
          <w:rFonts w:ascii="Times New Roman" w:hAnsi="Times New Roman" w:cs="Times New Roman"/>
          <w:noProof/>
          <w:color w:val="000000" w:themeColor="text1"/>
          <w:sz w:val="24"/>
          <w:szCs w:val="24"/>
          <w:u w:val="single"/>
          <w:lang w:eastAsia="en-IE"/>
        </w:rPr>
        <w:footnoteReference w:id="38"/>
      </w:r>
      <w:r w:rsidRPr="000C480E">
        <w:rPr>
          <w:rFonts w:ascii="Times New Roman" w:hAnsi="Times New Roman"/>
          <w:noProof/>
          <w:sz w:val="24"/>
        </w:rPr>
        <w:t xml:space="preserve">, utilizând progresele metodologice recente. </w:t>
      </w:r>
      <w:r w:rsidRPr="000C480E">
        <w:rPr>
          <w:rFonts w:ascii="Times New Roman" w:hAnsi="Times New Roman"/>
          <w:noProof/>
          <w:color w:val="000000" w:themeColor="text1"/>
          <w:sz w:val="24"/>
        </w:rPr>
        <w:t>Punerea în aplicare a Directivei privind păsările și a Directivei privind habitatele</w:t>
      </w:r>
      <w:r w:rsidRPr="000C480E">
        <w:rPr>
          <w:rFonts w:ascii="Times New Roman" w:hAnsi="Times New Roman"/>
          <w:noProof/>
          <w:sz w:val="24"/>
        </w:rPr>
        <w:t xml:space="preserve"> și elaborarea planurilor naționale de refacere în temeiul viitoarei Legi privind refacerea naturii ar trebui să asigure sinergii cu reziliența la schimbările climatice.</w:t>
      </w:r>
      <w:r w:rsidRPr="000C480E">
        <w:rPr>
          <w:rFonts w:ascii="Times New Roman" w:hAnsi="Times New Roman"/>
          <w:noProof/>
          <w:color w:val="000000" w:themeColor="text1"/>
          <w:sz w:val="24"/>
        </w:rPr>
        <w:t xml:space="preserve"> Pentru a sprijini adaptarea la schimbările climatice în zonele protejate, Comisia va actualiza orientările privind Natura 2000 și schimbările climatice.</w:t>
      </w:r>
    </w:p>
    <w:p w14:paraId="4AB37EB7" w14:textId="17E52691" w:rsidR="00352E3B" w:rsidRPr="000C480E" w:rsidRDefault="00C14B2C" w:rsidP="00A632E5">
      <w:pPr>
        <w:spacing w:after="120"/>
        <w:jc w:val="both"/>
        <w:rPr>
          <w:rFonts w:ascii="Times New Roman" w:hAnsi="Times New Roman" w:cs="Times New Roman"/>
          <w:noProof/>
          <w:color w:val="000000" w:themeColor="text1"/>
          <w:sz w:val="24"/>
          <w:szCs w:val="24"/>
        </w:rPr>
      </w:pPr>
      <w:r w:rsidRPr="000C480E">
        <w:rPr>
          <w:rFonts w:ascii="Times New Roman" w:hAnsi="Times New Roman"/>
          <w:noProof/>
          <w:color w:val="000000" w:themeColor="text1"/>
          <w:sz w:val="24"/>
        </w:rPr>
        <w:t xml:space="preserve">Sunt necesare eforturi suplimentare pentru </w:t>
      </w:r>
      <w:r w:rsidRPr="000C480E">
        <w:rPr>
          <w:rFonts w:ascii="Times New Roman" w:hAnsi="Times New Roman"/>
          <w:noProof/>
          <w:color w:val="000000" w:themeColor="text1"/>
          <w:sz w:val="24"/>
          <w:u w:val="single"/>
        </w:rPr>
        <w:t>a preveni perturbările forestiere majore și pentru a îmbunătăți gradul de pregătire pentru acestea</w:t>
      </w:r>
      <w:r w:rsidRPr="000C480E">
        <w:rPr>
          <w:rFonts w:ascii="Times New Roman" w:hAnsi="Times New Roman"/>
          <w:noProof/>
          <w:color w:val="000000" w:themeColor="text1"/>
          <w:sz w:val="24"/>
        </w:rPr>
        <w:t xml:space="preserve">. Comisia va utiliza acțiunile UCPM pentru a promova prevenirea riscului de incendii forestiere, precum și regulamentele propuse privind un cadru de monitorizare pentru păduri europene reziliente și privind materialul forestier de reproducere și va lua în considerare presiunile climatice atunci când estimează contribuția potențială a absorbanților de carbon la obiectivele UE de zero emisii nete. </w:t>
      </w:r>
    </w:p>
    <w:p w14:paraId="2BACEF58" w14:textId="5D31F238" w:rsidR="002A4652" w:rsidRPr="000C480E" w:rsidRDefault="002D71AA" w:rsidP="00A632E5">
      <w:pPr>
        <w:spacing w:after="120"/>
        <w:jc w:val="both"/>
        <w:rPr>
          <w:rFonts w:ascii="Times New Roman" w:hAnsi="Times New Roman" w:cs="Times New Roman"/>
          <w:noProof/>
          <w:sz w:val="24"/>
          <w:szCs w:val="24"/>
        </w:rPr>
      </w:pPr>
      <w:r w:rsidRPr="000C480E">
        <w:rPr>
          <w:rFonts w:ascii="Times New Roman" w:hAnsi="Times New Roman"/>
          <w:noProof/>
          <w:sz w:val="24"/>
        </w:rPr>
        <w:t xml:space="preserve">Statele membre trebuie </w:t>
      </w:r>
      <w:r w:rsidRPr="000C480E">
        <w:rPr>
          <w:rFonts w:ascii="Times New Roman" w:hAnsi="Times New Roman"/>
          <w:noProof/>
          <w:sz w:val="24"/>
          <w:u w:val="single"/>
        </w:rPr>
        <w:t>să îmbunătățească sănătatea ecosistemelor marine</w:t>
      </w:r>
      <w:r w:rsidRPr="000C480E">
        <w:rPr>
          <w:rFonts w:ascii="Times New Roman" w:hAnsi="Times New Roman"/>
          <w:noProof/>
          <w:sz w:val="24"/>
        </w:rPr>
        <w:t>. Comisia invită statele membre să utilizeze în mod optim Directiva-cadru „Strategia pentru mediul marin”, Legea privind refacerea naturii și Planul de acțiune pentru mediul marin</w:t>
      </w:r>
      <w:r w:rsidR="002A4652" w:rsidRPr="000C480E">
        <w:rPr>
          <w:rStyle w:val="FootnoteReference"/>
          <w:rFonts w:ascii="Times New Roman" w:hAnsi="Times New Roman" w:cs="Times New Roman"/>
          <w:noProof/>
          <w:sz w:val="24"/>
          <w:szCs w:val="24"/>
        </w:rPr>
        <w:footnoteReference w:id="39"/>
      </w:r>
      <w:r w:rsidRPr="000C480E">
        <w:rPr>
          <w:rFonts w:ascii="Times New Roman" w:hAnsi="Times New Roman"/>
          <w:noProof/>
          <w:sz w:val="24"/>
        </w:rPr>
        <w:t xml:space="preserve"> pentru a spori reziliența și a conserva diversitatea tuturor ecosistemelor marine, cu scopul de menține capacitatea productivă a acestora, astfel încât să poată continua să furnizeze alimente, materiale și servicii ecosistemice. Acțiunile din cadrul misiunii UE privind oceanele și apele</w:t>
      </w:r>
      <w:r w:rsidR="00507E1A" w:rsidRPr="000C480E">
        <w:rPr>
          <w:rStyle w:val="FootnoteReference"/>
          <w:rFonts w:ascii="Times New Roman" w:hAnsi="Times New Roman" w:cs="Times New Roman"/>
          <w:noProof/>
          <w:sz w:val="24"/>
          <w:szCs w:val="24"/>
        </w:rPr>
        <w:footnoteReference w:id="40"/>
      </w:r>
      <w:r w:rsidRPr="000C480E">
        <w:rPr>
          <w:rFonts w:ascii="Times New Roman" w:hAnsi="Times New Roman"/>
          <w:noProof/>
          <w:sz w:val="24"/>
        </w:rPr>
        <w:t xml:space="preserve"> contribuie la o gamă largă de astfel de soluții. Pentru a asigura un pescuit sustenabil într-un climat în schimbare, sinergiile dintre politica comună în domeniul pescuitului și legislația de mediu, astfel cum sunt prezentate în Pactul privind pescuitul și oceanele, ar trebui exploatate pe deplin pentru a asigura securitatea alimentară și mijloacele de subzistență pentru pescari și comunitățile costiere.</w:t>
      </w:r>
    </w:p>
    <w:p w14:paraId="2466D47E" w14:textId="3CEE6EEA" w:rsidR="002A4652" w:rsidRPr="000C480E" w:rsidRDefault="00C512C3" w:rsidP="00A632E5">
      <w:pPr>
        <w:spacing w:after="120"/>
        <w:jc w:val="both"/>
        <w:rPr>
          <w:rFonts w:ascii="Times New Roman" w:hAnsi="Times New Roman" w:cs="Times New Roman"/>
          <w:noProof/>
          <w:sz w:val="24"/>
          <w:szCs w:val="24"/>
        </w:rPr>
      </w:pPr>
      <w:r w:rsidRPr="000C480E">
        <w:rPr>
          <w:rFonts w:ascii="Times New Roman" w:hAnsi="Times New Roman"/>
          <w:noProof/>
          <w:sz w:val="24"/>
        </w:rPr>
        <w:t xml:space="preserve">Elementele esențiale ale unui </w:t>
      </w:r>
      <w:r w:rsidRPr="000C480E">
        <w:rPr>
          <w:rFonts w:ascii="Times New Roman" w:hAnsi="Times New Roman"/>
          <w:noProof/>
          <w:sz w:val="24"/>
          <w:u w:val="single"/>
        </w:rPr>
        <w:t>peisaj rezistent la schimbările climatice</w:t>
      </w:r>
      <w:r w:rsidRPr="000C480E">
        <w:rPr>
          <w:rFonts w:ascii="Times New Roman" w:hAnsi="Times New Roman"/>
          <w:noProof/>
          <w:sz w:val="24"/>
        </w:rPr>
        <w:t xml:space="preserve"> trebuie abordate simultan pentru a conserva capacitatea peisajelor de a reduce riscul de secetă, inundații, furtuni, incendii forestiere sau eroziune, precum și pentru a furniza alte servicii ecosistemice. Zonele rurale acoperă cea mai mare parte a terenurilor din Europa, iar o abordare compartimentată în ceea ce privește gestionarea solului, a apei și a pădurilor din aceeași zonă și-a atins limitele. Este necesară o abordare cuprinzătoare și integrată pentru a se asigura că ecosistemele care se întind pe suprafețe mari pot face față amenințărilor multiple. Pentru a sprijini utilizarea optimă a documentelor de planificare existente și în sinergie cu</w:t>
      </w:r>
      <w:r w:rsidR="00A757D1" w:rsidRPr="000C480E">
        <w:rPr>
          <w:rFonts w:ascii="Times New Roman" w:hAnsi="Times New Roman"/>
          <w:noProof/>
          <w:sz w:val="24"/>
        </w:rPr>
        <w:t xml:space="preserve"> </w:t>
      </w:r>
      <w:r w:rsidRPr="000C480E">
        <w:rPr>
          <w:rFonts w:ascii="Times New Roman" w:hAnsi="Times New Roman"/>
          <w:noProof/>
          <w:sz w:val="24"/>
        </w:rPr>
        <w:t xml:space="preserve">planurile de amenajare a teritoriului și de refacere a naturii ale statelor membre, </w:t>
      </w:r>
      <w:r w:rsidRPr="000C480E">
        <w:rPr>
          <w:rFonts w:ascii="Times New Roman" w:hAnsi="Times New Roman"/>
          <w:noProof/>
          <w:sz w:val="24"/>
          <w:u w:val="single"/>
        </w:rPr>
        <w:t>Comisia, în colaborare cu statele membre, va elabora orientări privind dezvoltarea unor peisaje reziliente</w:t>
      </w:r>
      <w:r w:rsidRPr="000C480E">
        <w:rPr>
          <w:rFonts w:ascii="Times New Roman" w:hAnsi="Times New Roman"/>
          <w:noProof/>
          <w:sz w:val="24"/>
        </w:rPr>
        <w:t xml:space="preserve"> care pot atenua impactul schimbărilor climatice. </w:t>
      </w:r>
    </w:p>
    <w:p w14:paraId="61E8835D" w14:textId="77777777" w:rsidR="0049438C" w:rsidRPr="000C480E" w:rsidRDefault="0049438C" w:rsidP="00B11E0C">
      <w:pPr>
        <w:spacing w:after="120" w:line="240" w:lineRule="auto"/>
        <w:rPr>
          <w:rFonts w:ascii="Times New Roman" w:hAnsi="Times New Roman" w:cs="Times New Roman"/>
          <w:noProof/>
          <w:color w:val="000000" w:themeColor="text1"/>
          <w:sz w:val="24"/>
          <w:szCs w:val="24"/>
          <w:lang w:eastAsia="en-IE"/>
        </w:rPr>
      </w:pPr>
    </w:p>
    <w:p w14:paraId="587C50CD" w14:textId="39987522" w:rsidR="003664D6" w:rsidRPr="000C480E" w:rsidRDefault="003F09F0" w:rsidP="00B2476E">
      <w:pPr>
        <w:pStyle w:val="Heading3"/>
        <w:numPr>
          <w:ilvl w:val="1"/>
          <w:numId w:val="1"/>
        </w:numPr>
        <w:ind w:left="1565" w:hanging="431"/>
        <w:rPr>
          <w:rFonts w:ascii="Times New Roman" w:eastAsia="Times New Roman" w:hAnsi="Times New Roman" w:cs="Times New Roman"/>
          <w:b/>
          <w:bCs/>
          <w:noProof/>
          <w:color w:val="000000" w:themeColor="text1"/>
          <w:sz w:val="24"/>
          <w:szCs w:val="24"/>
        </w:rPr>
      </w:pPr>
      <w:bookmarkStart w:id="50" w:name="_Toc159792208"/>
      <w:r w:rsidRPr="000C480E">
        <w:rPr>
          <w:rFonts w:ascii="Times New Roman" w:hAnsi="Times New Roman"/>
          <w:b/>
          <w:noProof/>
          <w:color w:val="000000" w:themeColor="text1"/>
          <w:sz w:val="24"/>
        </w:rPr>
        <w:t>Apă</w:t>
      </w:r>
      <w:bookmarkEnd w:id="50"/>
    </w:p>
    <w:p w14:paraId="600A86CE" w14:textId="77777777" w:rsidR="00B2476E" w:rsidRPr="000C480E" w:rsidRDefault="00B2476E" w:rsidP="0016331B">
      <w:pPr>
        <w:jc w:val="both"/>
        <w:textAlignment w:val="baseline"/>
        <w:rPr>
          <w:rFonts w:ascii="Times New Roman" w:eastAsia="Times New Roman" w:hAnsi="Times New Roman" w:cs="Times New Roman"/>
          <w:noProof/>
          <w:color w:val="000000" w:themeColor="text1"/>
          <w:sz w:val="24"/>
          <w:szCs w:val="24"/>
          <w:lang w:eastAsia="en-IE"/>
        </w:rPr>
      </w:pPr>
    </w:p>
    <w:p w14:paraId="03AA7CB2" w14:textId="068E0F99" w:rsidR="0016331B" w:rsidRPr="000C480E" w:rsidRDefault="0016331B" w:rsidP="00A632E5">
      <w:pPr>
        <w:spacing w:after="120"/>
        <w:jc w:val="both"/>
        <w:textAlignment w:val="baseline"/>
        <w:rPr>
          <w:rFonts w:ascii="Times New Roman" w:hAnsi="Times New Roman" w:cs="Times New Roman"/>
          <w:noProof/>
          <w:color w:val="000000" w:themeColor="text1"/>
          <w:sz w:val="24"/>
          <w:szCs w:val="24"/>
        </w:rPr>
      </w:pPr>
      <w:r w:rsidRPr="000C480E">
        <w:rPr>
          <w:rFonts w:ascii="Times New Roman" w:hAnsi="Times New Roman"/>
          <w:noProof/>
          <w:sz w:val="24"/>
        </w:rPr>
        <w:t>Apa este o resursă vitală care este deja amenințată în multe părți ale Europei din cauza gestionării structurale defectuoase, a utilizării nesustenabile a terenurilor, a schimbărilor hidromorfologice și a poluării.</w:t>
      </w:r>
      <w:r w:rsidRPr="000C480E">
        <w:rPr>
          <w:rFonts w:ascii="Times New Roman" w:hAnsi="Times New Roman"/>
          <w:noProof/>
          <w:color w:val="000000" w:themeColor="text1"/>
          <w:sz w:val="24"/>
        </w:rPr>
        <w:t xml:space="preserve"> Schimbările climatice exacerbează aceste presiuni și cresc riscurile legate de apă sub forma unor secete mai frecvente sau prelungite sau a precipitațiilor extreme. Acestea urmează să se adâncească în viitor, zone tot mai mari din Europa fiind afectate de stresul hidric, precum și de un risc din ce în ce mai mare de secetă (care acoperă regiuni mari și care durează mai mulți ani), de incendii forestiere, de inundații tot mai mari și de creșterea nivelului mării, care sporesc riscul de inundații costiere și de</w:t>
      </w:r>
      <w:r w:rsidR="00A757D1" w:rsidRPr="000C480E">
        <w:rPr>
          <w:rFonts w:ascii="Times New Roman" w:hAnsi="Times New Roman"/>
          <w:noProof/>
          <w:color w:val="000000" w:themeColor="text1"/>
          <w:sz w:val="24"/>
        </w:rPr>
        <w:t xml:space="preserve"> </w:t>
      </w:r>
      <w:r w:rsidRPr="000C480E">
        <w:rPr>
          <w:rFonts w:ascii="Times New Roman" w:hAnsi="Times New Roman"/>
          <w:noProof/>
          <w:color w:val="000000" w:themeColor="text1"/>
          <w:sz w:val="24"/>
        </w:rPr>
        <w:t>furtuni, de eroziuni costiere și de pătrundere a apei sărate.</w:t>
      </w:r>
    </w:p>
    <w:p w14:paraId="13FBC7C3" w14:textId="38129A7E" w:rsidR="0016331B" w:rsidRPr="000C480E" w:rsidRDefault="0016331B" w:rsidP="00A632E5">
      <w:pPr>
        <w:spacing w:after="120"/>
        <w:jc w:val="both"/>
        <w:textAlignment w:val="baseline"/>
        <w:rPr>
          <w:rFonts w:ascii="Times New Roman" w:eastAsia="Times New Roman" w:hAnsi="Times New Roman" w:cs="Times New Roman"/>
          <w:noProof/>
          <w:color w:val="000000" w:themeColor="text1"/>
          <w:sz w:val="24"/>
          <w:szCs w:val="24"/>
        </w:rPr>
      </w:pPr>
      <w:r w:rsidRPr="000C480E">
        <w:rPr>
          <w:rFonts w:ascii="Times New Roman" w:hAnsi="Times New Roman"/>
          <w:noProof/>
          <w:color w:val="000000" w:themeColor="text1"/>
          <w:sz w:val="24"/>
        </w:rPr>
        <w:t xml:space="preserve">EUCRA subliniază că riscurile legate de apă acoperă toate sectoarele majore avute în vedere în prezenta comunicare și că inundațiile, secetele și incendiile forestiere grave devin o amenințare la adresa sănătății și o cauză recurentă de pierderi sociale, de mediu și economice. Aceste riscuri se pot manifesta sub mai multe forme, dintre care unele includ secete care ar putea afecta zone mari pentru perioade îndelungate, cu efecte negative asupra recoltelor, a securității alimentare, a aprovizionării cu apă potabilă și a producției de energie sau asupra posibilității de utilizare a căilor navigabile și care agravează riscul de incendii forestiere; riscurile pentru infrastructura critică, activitățile economice și sănătatea umană generate de inundații și, în general, creșterea concurenței în ceea ce privește resursele de apă între sectoare și utilizări, inclusiv riscul potențial de conflicte în interiorul statelor membre și între acestea cu privire la resursele de apă transfrontaliere. EUCRA demonstrează că costurile punerii în aplicare insuficiente sau întârziate a gestionării integrate a apei vor fi exorbitante. Potrivit estimărilor, costurile secetelor se ridică la 9 miliarde EUR pe an, iar costurile inundațiilor la peste 170 de miliarde EUR începând din 1980. </w:t>
      </w:r>
    </w:p>
    <w:p w14:paraId="3D24198A" w14:textId="0A98BDBC" w:rsidR="0016331B" w:rsidRPr="000C480E" w:rsidRDefault="0016331B" w:rsidP="00A632E5">
      <w:pPr>
        <w:spacing w:after="120"/>
        <w:jc w:val="both"/>
        <w:textAlignment w:val="baseline"/>
        <w:rPr>
          <w:rFonts w:ascii="Times New Roman" w:eastAsia="Times New Roman" w:hAnsi="Times New Roman" w:cs="Times New Roman"/>
          <w:noProof/>
          <w:color w:val="000000" w:themeColor="text1"/>
          <w:sz w:val="24"/>
          <w:szCs w:val="24"/>
        </w:rPr>
      </w:pPr>
      <w:r w:rsidRPr="000C480E">
        <w:rPr>
          <w:rFonts w:ascii="Times New Roman" w:hAnsi="Times New Roman"/>
          <w:noProof/>
          <w:sz w:val="24"/>
        </w:rPr>
        <w:t xml:space="preserve">Protejarea și refacerea ciclului apei, promovarea unei economii a UE inteligente în ceea ce privește apa și </w:t>
      </w:r>
      <w:r w:rsidRPr="000C480E">
        <w:rPr>
          <w:rFonts w:ascii="Times New Roman" w:hAnsi="Times New Roman"/>
          <w:noProof/>
          <w:sz w:val="24"/>
          <w:u w:val="single"/>
        </w:rPr>
        <w:t>protejarea</w:t>
      </w:r>
      <w:r w:rsidRPr="000C480E">
        <w:rPr>
          <w:rFonts w:ascii="Times New Roman" w:hAnsi="Times New Roman"/>
          <w:noProof/>
          <w:sz w:val="24"/>
        </w:rPr>
        <w:t xml:space="preserve"> </w:t>
      </w:r>
      <w:r w:rsidRPr="000C480E">
        <w:rPr>
          <w:rFonts w:ascii="Times New Roman" w:hAnsi="Times New Roman"/>
          <w:noProof/>
          <w:color w:val="000000" w:themeColor="text1"/>
          <w:sz w:val="24"/>
          <w:u w:val="single"/>
        </w:rPr>
        <w:t>aprovizionării cu apă dulce de bună calitate, la prețuri rezonabile și accesibile tuturor</w:t>
      </w:r>
      <w:r w:rsidRPr="000C480E">
        <w:rPr>
          <w:rFonts w:ascii="Times New Roman" w:hAnsi="Times New Roman"/>
          <w:noProof/>
          <w:sz w:val="24"/>
        </w:rPr>
        <w:t xml:space="preserve"> sunt esențiale pentru a asigura o Europă rezilientă în domeniul apei.</w:t>
      </w:r>
      <w:r w:rsidRPr="000C480E">
        <w:rPr>
          <w:rFonts w:ascii="Times New Roman" w:hAnsi="Times New Roman"/>
          <w:noProof/>
          <w:color w:val="000000" w:themeColor="text1"/>
          <w:sz w:val="24"/>
        </w:rPr>
        <w:t xml:space="preserve"> Realizarea rezilienței în domeniul apei înseamnă promovarea capacității noastre colective de a gestiona și de a utiliza apa într-un mod mai flexibil, având în vedere evoluțiile geopolitice, economice, societale și de mediu în schimbare rapidă și parțial imprevizibile. Apa trebuie gestionată, iar cererea umană trebuie adaptată la oferta nouă și mai săracă. </w:t>
      </w:r>
    </w:p>
    <w:p w14:paraId="65198D33" w14:textId="23A0B11E" w:rsidR="00E60205" w:rsidRPr="000C480E" w:rsidRDefault="00760A8B" w:rsidP="00FE74B1">
      <w:pPr>
        <w:spacing w:after="120"/>
        <w:jc w:val="both"/>
        <w:rPr>
          <w:rFonts w:ascii="Times New Roman" w:eastAsia="Times New Roman" w:hAnsi="Times New Roman" w:cs="Times New Roman"/>
          <w:noProof/>
          <w:color w:val="000000" w:themeColor="text1"/>
          <w:sz w:val="24"/>
          <w:szCs w:val="24"/>
        </w:rPr>
      </w:pPr>
      <w:r w:rsidRPr="000C480E">
        <w:rPr>
          <w:rFonts w:ascii="Times New Roman" w:hAnsi="Times New Roman"/>
          <w:noProof/>
          <w:color w:val="000000" w:themeColor="text1"/>
          <w:sz w:val="24"/>
        </w:rPr>
        <w:t xml:space="preserve">Având în vedere rolul fundamental pe care îl joacă apa în susținerea vieții și în activitatea economică, </w:t>
      </w:r>
      <w:r w:rsidRPr="000C480E">
        <w:rPr>
          <w:rFonts w:ascii="Times New Roman" w:hAnsi="Times New Roman"/>
          <w:noProof/>
          <w:color w:val="000000" w:themeColor="text1"/>
          <w:sz w:val="24"/>
          <w:u w:val="single"/>
        </w:rPr>
        <w:t>Comisia va face un bilanț cuprinzător al aspectelor legate de apă</w:t>
      </w:r>
      <w:r w:rsidRPr="000C480E">
        <w:rPr>
          <w:rFonts w:ascii="Times New Roman" w:hAnsi="Times New Roman"/>
          <w:noProof/>
          <w:color w:val="000000" w:themeColor="text1"/>
          <w:sz w:val="24"/>
        </w:rPr>
        <w:t>, pe baza constatărilor evaluărilor în curs ale planurilor de gestionare a bazinelor hidrografice și a riscului de inundații, precum și a programelor de măsuri marine instituite de statele membre și, pe această bază, va lua în considerare necesitatea de a acționa.</w:t>
      </w:r>
    </w:p>
    <w:p w14:paraId="05410DDA" w14:textId="77777777" w:rsidR="00CB66D1" w:rsidRPr="000C480E" w:rsidRDefault="00CB66D1" w:rsidP="00BE25FA">
      <w:pPr>
        <w:spacing w:after="200" w:line="276" w:lineRule="auto"/>
        <w:rPr>
          <w:rFonts w:ascii="Times New Roman" w:eastAsia="Times New Roman" w:hAnsi="Times New Roman" w:cs="Times New Roman"/>
          <w:noProof/>
          <w:color w:val="000000" w:themeColor="text1"/>
          <w:sz w:val="24"/>
          <w:szCs w:val="24"/>
          <w:lang w:eastAsia="en-IE"/>
        </w:rPr>
      </w:pPr>
    </w:p>
    <w:p w14:paraId="141F1ABA" w14:textId="0AEA4596" w:rsidR="00F94DC6" w:rsidRPr="000C480E" w:rsidRDefault="00F94DC6" w:rsidP="00B2476E">
      <w:pPr>
        <w:pStyle w:val="Heading3"/>
        <w:numPr>
          <w:ilvl w:val="1"/>
          <w:numId w:val="1"/>
        </w:numPr>
        <w:ind w:left="1565" w:hanging="431"/>
        <w:rPr>
          <w:rFonts w:ascii="Times New Roman" w:eastAsia="Times New Roman" w:hAnsi="Times New Roman" w:cs="Times New Roman"/>
          <w:b/>
          <w:bCs/>
          <w:noProof/>
          <w:color w:val="000000" w:themeColor="text1"/>
          <w:sz w:val="24"/>
          <w:szCs w:val="24"/>
        </w:rPr>
      </w:pPr>
      <w:bookmarkStart w:id="51" w:name="_Toc159792209"/>
      <w:r w:rsidRPr="000C480E">
        <w:rPr>
          <w:rFonts w:ascii="Times New Roman" w:hAnsi="Times New Roman"/>
          <w:b/>
          <w:noProof/>
          <w:color w:val="000000" w:themeColor="text1"/>
          <w:sz w:val="24"/>
        </w:rPr>
        <w:t>Sănătate</w:t>
      </w:r>
      <w:bookmarkEnd w:id="51"/>
    </w:p>
    <w:p w14:paraId="4257B5F7" w14:textId="77777777" w:rsidR="00ED251E" w:rsidRPr="000C480E" w:rsidRDefault="00ED251E" w:rsidP="00FE40B8">
      <w:pPr>
        <w:spacing w:line="240" w:lineRule="auto"/>
        <w:jc w:val="both"/>
        <w:rPr>
          <w:rFonts w:ascii="Times New Roman" w:hAnsi="Times New Roman" w:cs="Times New Roman"/>
          <w:noProof/>
          <w:color w:val="000000" w:themeColor="text1"/>
          <w:sz w:val="24"/>
          <w:szCs w:val="24"/>
          <w:lang w:eastAsia="en-IE"/>
        </w:rPr>
      </w:pPr>
    </w:p>
    <w:p w14:paraId="4D21F872" w14:textId="4EB73435" w:rsidR="00DA1886" w:rsidRPr="000C480E" w:rsidRDefault="00FB12BB" w:rsidP="00A632E5">
      <w:pPr>
        <w:spacing w:after="120"/>
        <w:jc w:val="both"/>
        <w:rPr>
          <w:rFonts w:ascii="Times New Roman" w:hAnsi="Times New Roman" w:cs="Times New Roman"/>
          <w:noProof/>
          <w:color w:val="000000" w:themeColor="text1"/>
          <w:sz w:val="24"/>
          <w:szCs w:val="24"/>
        </w:rPr>
      </w:pPr>
      <w:r w:rsidRPr="000C480E">
        <w:rPr>
          <w:rFonts w:ascii="Times New Roman" w:hAnsi="Times New Roman"/>
          <w:noProof/>
          <w:color w:val="000000" w:themeColor="text1"/>
          <w:sz w:val="24"/>
        </w:rPr>
        <w:t xml:space="preserve">Schimbările climatice afectează sănătatea umană. </w:t>
      </w:r>
      <w:bookmarkStart w:id="52" w:name="_Hlk160816429"/>
      <w:r w:rsidRPr="000C480E">
        <w:rPr>
          <w:rFonts w:ascii="Times New Roman" w:hAnsi="Times New Roman"/>
          <w:noProof/>
          <w:color w:val="000000" w:themeColor="text1"/>
          <w:sz w:val="24"/>
        </w:rPr>
        <w:t>Între 60</w:t>
      </w:r>
      <w:r w:rsidR="0076332E" w:rsidRPr="000C480E">
        <w:rPr>
          <w:rFonts w:ascii="Times New Roman" w:hAnsi="Times New Roman"/>
          <w:noProof/>
          <w:color w:val="000000" w:themeColor="text1"/>
          <w:sz w:val="24"/>
        </w:rPr>
        <w:t> </w:t>
      </w:r>
      <w:r w:rsidRPr="000C480E">
        <w:rPr>
          <w:rFonts w:ascii="Times New Roman" w:hAnsi="Times New Roman"/>
          <w:noProof/>
          <w:color w:val="000000" w:themeColor="text1"/>
          <w:sz w:val="24"/>
        </w:rPr>
        <w:t>000 și 70</w:t>
      </w:r>
      <w:r w:rsidR="0076332E" w:rsidRPr="000C480E">
        <w:rPr>
          <w:rFonts w:ascii="Times New Roman" w:hAnsi="Times New Roman"/>
          <w:noProof/>
          <w:color w:val="000000" w:themeColor="text1"/>
          <w:sz w:val="24"/>
        </w:rPr>
        <w:t> </w:t>
      </w:r>
      <w:r w:rsidRPr="000C480E">
        <w:rPr>
          <w:rFonts w:ascii="Times New Roman" w:hAnsi="Times New Roman"/>
          <w:noProof/>
          <w:color w:val="000000" w:themeColor="text1"/>
          <w:sz w:val="24"/>
        </w:rPr>
        <w:t>000 de decese premature au fost atribuite numai valului de căldură din 2022 din Europa</w:t>
      </w:r>
      <w:bookmarkEnd w:id="52"/>
      <w:r w:rsidRPr="000C480E">
        <w:rPr>
          <w:noProof/>
        </w:rPr>
        <w:t>.</w:t>
      </w:r>
      <w:r w:rsidRPr="000C480E">
        <w:rPr>
          <w:rFonts w:ascii="Times New Roman" w:hAnsi="Times New Roman"/>
          <w:noProof/>
          <w:color w:val="000000" w:themeColor="text1"/>
          <w:sz w:val="24"/>
        </w:rPr>
        <w:t xml:space="preserve"> Previziunile indică o creștere netă puternică a ratelor mortalității legate de temperatură încă de la mijlocul secolului</w:t>
      </w:r>
      <w:r w:rsidR="00C879A9" w:rsidRPr="000C480E">
        <w:rPr>
          <w:rStyle w:val="FootnoteReference"/>
          <w:rFonts w:ascii="Times New Roman" w:hAnsi="Times New Roman" w:cs="Times New Roman"/>
          <w:noProof/>
          <w:color w:val="000000" w:themeColor="text1"/>
          <w:sz w:val="24"/>
          <w:szCs w:val="24"/>
          <w:lang w:eastAsia="en-IE"/>
        </w:rPr>
        <w:footnoteReference w:id="41"/>
      </w:r>
      <w:r w:rsidRPr="000C480E">
        <w:rPr>
          <w:rFonts w:ascii="Times New Roman" w:hAnsi="Times New Roman"/>
          <w:noProof/>
          <w:color w:val="000000" w:themeColor="text1"/>
          <w:sz w:val="24"/>
        </w:rPr>
        <w:t>. Prin încălzirea continuă și fenomenele meteorologice extreme, schimbările climatice pot contribui la,</w:t>
      </w:r>
      <w:r w:rsidR="00A757D1" w:rsidRPr="000C480E">
        <w:rPr>
          <w:rFonts w:ascii="Times New Roman" w:hAnsi="Times New Roman"/>
          <w:noProof/>
          <w:color w:val="000000" w:themeColor="text1"/>
          <w:sz w:val="24"/>
        </w:rPr>
        <w:t xml:space="preserve"> </w:t>
      </w:r>
      <w:r w:rsidRPr="000C480E">
        <w:rPr>
          <w:rFonts w:ascii="Times New Roman" w:hAnsi="Times New Roman"/>
          <w:noProof/>
          <w:color w:val="000000" w:themeColor="text1"/>
          <w:sz w:val="24"/>
        </w:rPr>
        <w:t>sau pot agrava, bolile netransmisibile, care sunt responsabile pentru aproximativ două treimi din totalul deceselor din regiunea europeană. Inițiativa UE privind bolile netransmisibile intitulată „Mai sănătoși împreună”</w:t>
      </w:r>
      <w:r w:rsidR="0016213D" w:rsidRPr="000C480E">
        <w:rPr>
          <w:rStyle w:val="FootnoteReference"/>
          <w:rFonts w:ascii="Times New Roman" w:hAnsi="Times New Roman" w:cs="Times New Roman"/>
          <w:noProof/>
          <w:color w:val="000000" w:themeColor="text1"/>
          <w:sz w:val="24"/>
          <w:szCs w:val="24"/>
          <w:lang w:eastAsia="en-IE"/>
        </w:rPr>
        <w:footnoteReference w:id="42"/>
      </w:r>
      <w:r w:rsidRPr="000C480E">
        <w:rPr>
          <w:rFonts w:ascii="Times New Roman" w:hAnsi="Times New Roman"/>
          <w:noProof/>
          <w:color w:val="000000" w:themeColor="text1"/>
          <w:sz w:val="24"/>
        </w:rPr>
        <w:t xml:space="preserve"> sprijină statele membre în luarea de măsuri preventive adecvate. </w:t>
      </w:r>
    </w:p>
    <w:p w14:paraId="785A1026" w14:textId="7A80C290" w:rsidR="00DE54C7" w:rsidRPr="000C480E" w:rsidRDefault="00660C68" w:rsidP="00A632E5">
      <w:pPr>
        <w:spacing w:after="120"/>
        <w:jc w:val="both"/>
        <w:rPr>
          <w:rFonts w:ascii="Times New Roman" w:hAnsi="Times New Roman" w:cs="Times New Roman"/>
          <w:noProof/>
          <w:color w:val="000000" w:themeColor="text1"/>
          <w:sz w:val="24"/>
          <w:szCs w:val="24"/>
        </w:rPr>
      </w:pPr>
      <w:r w:rsidRPr="000C480E">
        <w:rPr>
          <w:rFonts w:ascii="Times New Roman" w:hAnsi="Times New Roman"/>
          <w:noProof/>
          <w:color w:val="000000" w:themeColor="text1"/>
          <w:sz w:val="24"/>
        </w:rPr>
        <w:t>În absența unor măsuri eficiente de adaptare, productivitatea muncii va scădea și există pericolul unor pierderi în materie de timp de lucru. Vulnerabilitatea individuală și regională și măsura cea mai adecvată depind de factori precum nivelurile de pregătire, gradul de urbanizare, structura de vârstă sau expunerea concomitentă la poluarea aerului. După cum s-a recunoscut în Comunicarea privind o abordare cuprinzătoare a sănătății mentale</w:t>
      </w:r>
      <w:r w:rsidR="00CE4000" w:rsidRPr="000C480E">
        <w:rPr>
          <w:rStyle w:val="FootnoteReference"/>
          <w:rFonts w:ascii="Times New Roman" w:hAnsi="Times New Roman" w:cs="Times New Roman"/>
          <w:noProof/>
          <w:color w:val="000000" w:themeColor="text1"/>
          <w:sz w:val="24"/>
          <w:szCs w:val="24"/>
          <w:lang w:eastAsia="en-IE"/>
        </w:rPr>
        <w:footnoteReference w:id="43"/>
      </w:r>
      <w:r w:rsidRPr="000C480E">
        <w:rPr>
          <w:rFonts w:ascii="Times New Roman" w:hAnsi="Times New Roman"/>
          <w:noProof/>
          <w:color w:val="000000" w:themeColor="text1"/>
          <w:sz w:val="24"/>
        </w:rPr>
        <w:t xml:space="preserve">, criza climatică are un impact grav asupra sănătății mentale. </w:t>
      </w:r>
    </w:p>
    <w:p w14:paraId="27BDB047" w14:textId="1698A0B5" w:rsidR="00660C68" w:rsidRPr="000C480E" w:rsidRDefault="007F71D3" w:rsidP="00A632E5">
      <w:pPr>
        <w:spacing w:after="120"/>
        <w:jc w:val="both"/>
        <w:rPr>
          <w:rFonts w:ascii="Times New Roman" w:hAnsi="Times New Roman" w:cs="Times New Roman"/>
          <w:noProof/>
          <w:color w:val="000000" w:themeColor="text1"/>
          <w:sz w:val="24"/>
          <w:szCs w:val="24"/>
        </w:rPr>
      </w:pPr>
      <w:r w:rsidRPr="000C480E">
        <w:rPr>
          <w:rFonts w:ascii="Times New Roman" w:hAnsi="Times New Roman"/>
          <w:noProof/>
          <w:color w:val="000000" w:themeColor="text1"/>
          <w:sz w:val="24"/>
        </w:rPr>
        <w:t xml:space="preserve">Se preconizează că incidența bolilor infecțioase sensibile la schimbările climatice va crește, iar boli precum virusul West Nile, febra denga și virusul chikungunya devin endemice în anumite părți ale Europei și o serie de agenți patogeni cu transmitere prin alimente și apă se răspândesc cu o mai mare ușurință. Cu toate acestea, în majoritatea cazurilor, contramăsurile medicale eficace pentru a răspunde la aceste boli sunt limitate sau nu au fost încă dezvoltate. Fenomenele meteorologice extreme pot duce, de asemenea, la proliferarea bacteriilor rezistente și la un transfer mai mare de gene, ceea ce duce la o creștere a infecțiilor cu bacterii și ciuperci rezistente. </w:t>
      </w:r>
    </w:p>
    <w:p w14:paraId="3C940946" w14:textId="66D7C61F" w:rsidR="00F77E66" w:rsidRPr="000C480E" w:rsidRDefault="008579C7" w:rsidP="00A632E5">
      <w:pPr>
        <w:spacing w:after="120"/>
        <w:jc w:val="both"/>
        <w:rPr>
          <w:rFonts w:ascii="Times New Roman" w:hAnsi="Times New Roman" w:cs="Times New Roman"/>
          <w:bCs/>
          <w:noProof/>
          <w:color w:val="000000" w:themeColor="text1"/>
          <w:sz w:val="24"/>
          <w:szCs w:val="24"/>
        </w:rPr>
      </w:pPr>
      <w:r w:rsidRPr="000C480E">
        <w:rPr>
          <w:rFonts w:ascii="Times New Roman" w:hAnsi="Times New Roman"/>
          <w:noProof/>
          <w:color w:val="000000" w:themeColor="text1"/>
          <w:sz w:val="24"/>
        </w:rPr>
        <w:t>Acestea, precum și alte riscuri,</w:t>
      </w:r>
      <w:r w:rsidR="00A757D1" w:rsidRPr="000C480E">
        <w:rPr>
          <w:rFonts w:ascii="Times New Roman" w:hAnsi="Times New Roman"/>
          <w:noProof/>
          <w:color w:val="000000" w:themeColor="text1"/>
          <w:sz w:val="24"/>
        </w:rPr>
        <w:t xml:space="preserve"> </w:t>
      </w:r>
      <w:r w:rsidRPr="000C480E">
        <w:rPr>
          <w:rFonts w:ascii="Times New Roman" w:hAnsi="Times New Roman"/>
          <w:noProof/>
          <w:color w:val="000000" w:themeColor="text1"/>
          <w:sz w:val="24"/>
        </w:rPr>
        <w:t>vor exercita o presiune suplimentară asupra sistemelor de sănătate, asupra lucrătorilor din domeniul serviciilor de sănătate și asupra bugetelor de sănătate aflate deja sub presiune. Soluțiile primare constau în politici care pot reduce vulnerabilitățile și pot limita expunerea umană. Lucrătorii și clădirile din sectorul sănătății care sunt expuse direct riscurilor climatice ar trebui să fie gestionate în mod adecvat. Pentru a-și consolida în continuare acțiunile și pentru a pune în practică obiectivele și angajamentele stabilite în declarațiile de la Budapesta și COP28</w:t>
      </w:r>
      <w:r w:rsidR="002E16D5" w:rsidRPr="000C480E">
        <w:rPr>
          <w:rStyle w:val="FootnoteReference"/>
          <w:rFonts w:ascii="Times New Roman" w:hAnsi="Times New Roman" w:cs="Times New Roman"/>
          <w:bCs/>
          <w:noProof/>
          <w:color w:val="000000" w:themeColor="text1"/>
          <w:sz w:val="24"/>
          <w:szCs w:val="24"/>
          <w:lang w:eastAsia="en-IE"/>
        </w:rPr>
        <w:footnoteReference w:id="44"/>
      </w:r>
      <w:r w:rsidRPr="000C480E">
        <w:rPr>
          <w:rFonts w:ascii="Times New Roman" w:hAnsi="Times New Roman"/>
          <w:noProof/>
          <w:color w:val="000000" w:themeColor="text1"/>
          <w:sz w:val="24"/>
        </w:rPr>
        <w:t xml:space="preserve"> privind clima și sănătatea, </w:t>
      </w:r>
      <w:r w:rsidRPr="000C480E">
        <w:rPr>
          <w:rFonts w:ascii="Times New Roman" w:hAnsi="Times New Roman"/>
          <w:noProof/>
          <w:color w:val="000000" w:themeColor="text1"/>
          <w:sz w:val="24"/>
          <w:u w:val="single"/>
        </w:rPr>
        <w:t>Comisia</w:t>
      </w:r>
      <w:r w:rsidRPr="000C480E">
        <w:rPr>
          <w:rFonts w:ascii="Times New Roman" w:hAnsi="Times New Roman"/>
          <w:noProof/>
          <w:color w:val="000000" w:themeColor="text1"/>
          <w:sz w:val="24"/>
        </w:rPr>
        <w:t>:</w:t>
      </w:r>
    </w:p>
    <w:p w14:paraId="30CEA357" w14:textId="5493AFCB" w:rsidR="004E167D" w:rsidRPr="000C480E" w:rsidRDefault="280FBBC2" w:rsidP="00A632E5">
      <w:pPr>
        <w:spacing w:after="120"/>
        <w:jc w:val="both"/>
        <w:rPr>
          <w:rFonts w:ascii="Times New Roman" w:hAnsi="Times New Roman" w:cs="Times New Roman"/>
          <w:noProof/>
          <w:color w:val="000000" w:themeColor="text1"/>
          <w:sz w:val="24"/>
          <w:szCs w:val="24"/>
        </w:rPr>
      </w:pPr>
      <w:r w:rsidRPr="000C480E">
        <w:rPr>
          <w:rFonts w:ascii="Times New Roman" w:hAnsi="Times New Roman"/>
          <w:noProof/>
          <w:color w:val="000000" w:themeColor="text1"/>
          <w:sz w:val="24"/>
          <w:u w:val="single"/>
        </w:rPr>
        <w:t>va intensifica măsurile pentru a se asigura că lucrătorii expuși la riscuri climatice sunt protejați în mod adecvat</w:t>
      </w:r>
      <w:r w:rsidR="002C54AA" w:rsidRPr="000C480E">
        <w:rPr>
          <w:rFonts w:ascii="Times New Roman" w:hAnsi="Times New Roman"/>
          <w:noProof/>
          <w:color w:val="000000" w:themeColor="text1"/>
          <w:sz w:val="24"/>
        </w:rPr>
        <w:t>.</w:t>
      </w:r>
      <w:r w:rsidRPr="000C480E">
        <w:rPr>
          <w:rFonts w:ascii="Times New Roman" w:hAnsi="Times New Roman"/>
          <w:noProof/>
          <w:color w:val="000000" w:themeColor="text1"/>
          <w:sz w:val="24"/>
        </w:rPr>
        <w:t xml:space="preserve"> </w:t>
      </w:r>
      <w:r w:rsidRPr="000C480E">
        <w:rPr>
          <w:rFonts w:ascii="Times New Roman" w:hAnsi="Times New Roman"/>
          <w:noProof/>
          <w:sz w:val="24"/>
        </w:rPr>
        <w:t>Atunci când revizuiește legislația privind securitatea și sănătatea în muncă (SSM) care protejează lucrătorii de toate riscurile profesionale, inclusiv de riscurile legate de creșterea temperaturilor ambientale și de stresul termic, Comisia va lua în considerare necesitatea unor acțiuni suplimentare pentru a proteja lucrătorii în ceea ce privește riscurile climatice, bazându-se, de asemenea, pe orientările și instrumentele existente</w:t>
      </w:r>
      <w:r w:rsidR="006E78CB" w:rsidRPr="000C480E">
        <w:rPr>
          <w:rStyle w:val="FootnoteReference"/>
          <w:rFonts w:ascii="Times New Roman" w:hAnsi="Times New Roman" w:cs="Times New Roman"/>
          <w:noProof/>
          <w:color w:val="000000" w:themeColor="text1"/>
          <w:sz w:val="24"/>
          <w:szCs w:val="24"/>
          <w:lang w:eastAsia="en-IE"/>
        </w:rPr>
        <w:footnoteReference w:id="45"/>
      </w:r>
      <w:r w:rsidRPr="000C480E">
        <w:rPr>
          <w:rFonts w:ascii="Times New Roman" w:hAnsi="Times New Roman"/>
          <w:noProof/>
          <w:sz w:val="24"/>
        </w:rPr>
        <w:t>.</w:t>
      </w:r>
      <w:r w:rsidRPr="000C480E">
        <w:rPr>
          <w:rFonts w:ascii="Times New Roman" w:hAnsi="Times New Roman"/>
          <w:noProof/>
          <w:color w:val="000000" w:themeColor="text1"/>
          <w:sz w:val="24"/>
        </w:rPr>
        <w:t xml:space="preserve"> Comisia a lansat un nou dialog cu părțile interesate</w:t>
      </w:r>
      <w:r w:rsidR="005848F9" w:rsidRPr="000C480E">
        <w:rPr>
          <w:rStyle w:val="FootnoteReference"/>
          <w:rFonts w:ascii="Times New Roman" w:hAnsi="Times New Roman" w:cs="Times New Roman"/>
          <w:noProof/>
          <w:color w:val="000000" w:themeColor="text1"/>
          <w:sz w:val="24"/>
          <w:szCs w:val="24"/>
          <w:lang w:eastAsia="en-IE"/>
        </w:rPr>
        <w:footnoteReference w:id="46"/>
      </w:r>
      <w:r w:rsidRPr="000C480E">
        <w:rPr>
          <w:rFonts w:ascii="Times New Roman" w:hAnsi="Times New Roman"/>
          <w:noProof/>
          <w:color w:val="000000" w:themeColor="text1"/>
          <w:sz w:val="24"/>
        </w:rPr>
        <w:t>. Agenția Europeană pentru Securitate și Sănătate în Muncă (EU-OSHA) consolidează analiza prospectivă privind legătura dintre climă și SSM</w:t>
      </w:r>
      <w:r w:rsidR="007A6FC7" w:rsidRPr="000C480E">
        <w:rPr>
          <w:rFonts w:ascii="Times New Roman" w:hAnsi="Times New Roman" w:cs="Times New Roman"/>
          <w:noProof/>
          <w:color w:val="000000" w:themeColor="text1"/>
          <w:sz w:val="24"/>
          <w:szCs w:val="24"/>
          <w:vertAlign w:val="superscript"/>
          <w:lang w:eastAsia="en-IE"/>
        </w:rPr>
        <w:footnoteReference w:id="47"/>
      </w:r>
      <w:r w:rsidRPr="000C480E">
        <w:rPr>
          <w:rFonts w:ascii="Times New Roman" w:hAnsi="Times New Roman"/>
          <w:noProof/>
          <w:color w:val="000000" w:themeColor="text1"/>
          <w:sz w:val="24"/>
        </w:rPr>
        <w:t xml:space="preserve"> și va lansa în 2025 un proiect de creștere a rezilienței la schimbările climatice la locul de muncă</w:t>
      </w:r>
      <w:r w:rsidR="002C54AA" w:rsidRPr="000C480E">
        <w:rPr>
          <w:rFonts w:ascii="Times New Roman" w:hAnsi="Times New Roman"/>
          <w:noProof/>
          <w:color w:val="000000" w:themeColor="text1"/>
          <w:sz w:val="24"/>
        </w:rPr>
        <w:t>;</w:t>
      </w:r>
    </w:p>
    <w:p w14:paraId="4496ABC6" w14:textId="667CF84F" w:rsidR="0060302A" w:rsidRPr="000C480E" w:rsidRDefault="00DC3522" w:rsidP="00A632E5">
      <w:pPr>
        <w:spacing w:after="120"/>
        <w:jc w:val="both"/>
        <w:rPr>
          <w:rFonts w:ascii="Times New Roman" w:hAnsi="Times New Roman" w:cs="Times New Roman"/>
          <w:noProof/>
          <w:color w:val="000000" w:themeColor="text1"/>
          <w:sz w:val="24"/>
          <w:szCs w:val="24"/>
        </w:rPr>
      </w:pPr>
      <w:r w:rsidRPr="000C480E">
        <w:rPr>
          <w:rFonts w:ascii="Times New Roman" w:hAnsi="Times New Roman"/>
          <w:noProof/>
          <w:color w:val="000000" w:themeColor="text1"/>
          <w:sz w:val="24"/>
          <w:u w:val="single"/>
        </w:rPr>
        <w:t>va consolida Observatorul european al climei și sănătății</w:t>
      </w:r>
      <w:r w:rsidRPr="000C480E">
        <w:rPr>
          <w:rFonts w:ascii="Times New Roman" w:hAnsi="Times New Roman"/>
          <w:noProof/>
          <w:color w:val="000000" w:themeColor="text1"/>
          <w:sz w:val="24"/>
        </w:rPr>
        <w:t>, care contribuie la pregătirea sistemelor de sănătate locale și naționale pentru schimbările climatice, la consolidarea capacităților suplimentare, la consolidarea mecanismelor de monitorizare și de alertă timpurie, la formarea și educarea forței de muncă din domeniul sănătății și la promovarea unor soluții de adaptare bazate pe dovezi și a unor intervenții în domeniul asistenței medicale;</w:t>
      </w:r>
    </w:p>
    <w:p w14:paraId="51FEC4ED" w14:textId="6A939DE2" w:rsidR="00EF5B4A" w:rsidRPr="000C480E" w:rsidRDefault="00EF5B4A" w:rsidP="00A632E5">
      <w:pPr>
        <w:spacing w:after="120"/>
        <w:jc w:val="both"/>
        <w:rPr>
          <w:rFonts w:ascii="Times New Roman" w:hAnsi="Times New Roman" w:cs="Times New Roman"/>
          <w:noProof/>
          <w:color w:val="000000"/>
          <w:sz w:val="24"/>
          <w:szCs w:val="24"/>
        </w:rPr>
      </w:pPr>
      <w:r w:rsidRPr="000C480E">
        <w:rPr>
          <w:rFonts w:ascii="Times New Roman" w:hAnsi="Times New Roman"/>
          <w:noProof/>
          <w:color w:val="000000"/>
          <w:sz w:val="24"/>
          <w:u w:val="single"/>
        </w:rPr>
        <w:t>va consolida mecanismele de supraveghere și de răspuns la amenințările la adresa sănătății legate de climă</w:t>
      </w:r>
      <w:r w:rsidRPr="000C480E">
        <w:rPr>
          <w:rFonts w:ascii="Times New Roman" w:hAnsi="Times New Roman"/>
          <w:noProof/>
          <w:color w:val="000000"/>
          <w:sz w:val="24"/>
        </w:rPr>
        <w:t xml:space="preserve"> prin punerea în aplicare a Regulamentului privind amenințările transfrontaliere grave pentru sănătate, prin interconectarea sistemului de alertă precoce și de reacție cu alte sisteme de alertă (cum ar fi alertele climatice și meteorologice) pentru a facilita gestionarea comună a riscurilor pentru sănătate</w:t>
      </w:r>
      <w:r w:rsidR="002C54AA" w:rsidRPr="000C480E">
        <w:rPr>
          <w:rFonts w:ascii="Times New Roman" w:hAnsi="Times New Roman"/>
          <w:noProof/>
          <w:color w:val="000000"/>
          <w:sz w:val="24"/>
        </w:rPr>
        <w:t>.</w:t>
      </w:r>
      <w:r w:rsidRPr="000C480E">
        <w:rPr>
          <w:rFonts w:ascii="Times New Roman" w:hAnsi="Times New Roman"/>
          <w:noProof/>
          <w:color w:val="000000"/>
          <w:sz w:val="24"/>
        </w:rPr>
        <w:t xml:space="preserve"> Noul grup operativ al UE în domeniul sănătății va sprijini răspunsul la nivelul UE la amenințările grave la adresa sănătății, inclusiv la evenimentele legate de climă</w:t>
      </w:r>
      <w:r w:rsidR="002C54AA" w:rsidRPr="000C480E">
        <w:rPr>
          <w:rFonts w:ascii="Times New Roman" w:hAnsi="Times New Roman"/>
          <w:noProof/>
          <w:color w:val="000000"/>
          <w:sz w:val="24"/>
        </w:rPr>
        <w:t>;</w:t>
      </w:r>
    </w:p>
    <w:p w14:paraId="0D5AA4A9" w14:textId="13D85CD7" w:rsidR="00FA23AA" w:rsidRPr="000C480E" w:rsidRDefault="00F23550" w:rsidP="00A632E5">
      <w:pPr>
        <w:spacing w:after="120"/>
        <w:jc w:val="both"/>
        <w:rPr>
          <w:rFonts w:ascii="Times New Roman" w:hAnsi="Times New Roman" w:cs="Times New Roman"/>
          <w:noProof/>
          <w:color w:val="000000" w:themeColor="text1"/>
          <w:sz w:val="24"/>
          <w:szCs w:val="24"/>
        </w:rPr>
      </w:pPr>
      <w:r w:rsidRPr="000C480E">
        <w:rPr>
          <w:rFonts w:ascii="Times New Roman" w:hAnsi="Times New Roman"/>
          <w:noProof/>
          <w:color w:val="000000" w:themeColor="text1"/>
          <w:sz w:val="24"/>
          <w:u w:val="single"/>
        </w:rPr>
        <w:t>va consolida mobilizarea transfrontalieră a personalului medical și a transferului pacienților, de exemplu prin dezvoltarea</w:t>
      </w:r>
      <w:r w:rsidRPr="000C480E">
        <w:rPr>
          <w:rFonts w:ascii="Times New Roman" w:hAnsi="Times New Roman"/>
          <w:noProof/>
          <w:color w:val="000000" w:themeColor="text1"/>
          <w:sz w:val="24"/>
        </w:rPr>
        <w:t xml:space="preserve"> unui cadru care să sprijine statele membre cu servicii medicale suprasaturate; </w:t>
      </w:r>
    </w:p>
    <w:p w14:paraId="5CD4C242" w14:textId="5F333800" w:rsidR="00A632E5" w:rsidRPr="000C480E" w:rsidRDefault="00934538" w:rsidP="00A632E5">
      <w:pPr>
        <w:spacing w:after="120"/>
        <w:jc w:val="both"/>
        <w:rPr>
          <w:rFonts w:ascii="Times New Roman" w:hAnsi="Times New Roman" w:cs="Times New Roman"/>
          <w:noProof/>
          <w:color w:val="000000" w:themeColor="text1"/>
          <w:sz w:val="24"/>
          <w:szCs w:val="24"/>
        </w:rPr>
      </w:pPr>
      <w:r w:rsidRPr="000C480E">
        <w:rPr>
          <w:rFonts w:ascii="Times New Roman" w:hAnsi="Times New Roman"/>
          <w:noProof/>
          <w:color w:val="000000" w:themeColor="text1"/>
          <w:sz w:val="24"/>
          <w:u w:val="single"/>
        </w:rPr>
        <w:t>va asigura accesul la contramăsuri medicale esențiale și dezvoltarea acestora</w:t>
      </w:r>
      <w:r w:rsidRPr="000C480E">
        <w:rPr>
          <w:rFonts w:ascii="Times New Roman" w:hAnsi="Times New Roman"/>
          <w:noProof/>
          <w:color w:val="000000" w:themeColor="text1"/>
          <w:sz w:val="24"/>
        </w:rPr>
        <w:t>. Temperaturile în creștere și fenomenele meteorologice extreme mai frecvente pot perturba producția sau pot limita accesul la materii prime. De asemenea, schimbările generate de schimbările climatice ale modelelor de boli pot duce la creșteri neașteptate ale cererii de anumite medicamente sau la crearea unei cereri de produse complet noi, suprimând lanțurile de aprovizionare existente sau necesitând investiții în noi lanțuri de aprovizionare. Pentru a reduce vulnerabilitățile, Comisia va evalua riscurile relevante și va dezvolta în continuare stocuri strategice pentru principalele contramăsuri. În cadrul programelor Orizont Europa și EU4Health, Comisia a sprijinit dezvoltarea de noi vaccinuri și tratamente împotriva bolilor tropicale și emergente neglijate. Acest lucru a permis, de exemplu, realizarea de progrese recente în ceea ce privește un vaccin împotriva virusului chikungunya.</w:t>
      </w:r>
    </w:p>
    <w:p w14:paraId="686FCC0B" w14:textId="77777777" w:rsidR="00FE74B1" w:rsidRPr="000C480E" w:rsidRDefault="00FE74B1" w:rsidP="00A632E5">
      <w:pPr>
        <w:spacing w:after="120"/>
        <w:jc w:val="both"/>
        <w:rPr>
          <w:rFonts w:ascii="Times New Roman" w:hAnsi="Times New Roman" w:cs="Times New Roman"/>
          <w:noProof/>
          <w:color w:val="000000" w:themeColor="text1"/>
          <w:sz w:val="24"/>
          <w:szCs w:val="24"/>
          <w:lang w:eastAsia="en-IE"/>
        </w:rPr>
      </w:pPr>
    </w:p>
    <w:p w14:paraId="73172863" w14:textId="761F2B3B" w:rsidR="00F94DC6" w:rsidRPr="000C480E" w:rsidRDefault="00F94DC6" w:rsidP="00B2476E">
      <w:pPr>
        <w:pStyle w:val="Heading3"/>
        <w:numPr>
          <w:ilvl w:val="1"/>
          <w:numId w:val="1"/>
        </w:numPr>
        <w:ind w:left="1565" w:hanging="431"/>
        <w:rPr>
          <w:rFonts w:ascii="Times New Roman" w:eastAsia="Times New Roman" w:hAnsi="Times New Roman" w:cs="Times New Roman"/>
          <w:b/>
          <w:bCs/>
          <w:noProof/>
          <w:color w:val="000000" w:themeColor="text1"/>
          <w:sz w:val="24"/>
          <w:szCs w:val="24"/>
        </w:rPr>
      </w:pPr>
      <w:bookmarkStart w:id="54" w:name="_Toc159792210"/>
      <w:r w:rsidRPr="000C480E">
        <w:rPr>
          <w:rFonts w:ascii="Times New Roman" w:hAnsi="Times New Roman"/>
          <w:b/>
          <w:noProof/>
          <w:color w:val="000000" w:themeColor="text1"/>
          <w:sz w:val="24"/>
        </w:rPr>
        <w:t>Produse alimentare</w:t>
      </w:r>
      <w:bookmarkEnd w:id="54"/>
    </w:p>
    <w:p w14:paraId="4324F463" w14:textId="77777777" w:rsidR="00ED251E" w:rsidRPr="000C480E" w:rsidRDefault="00ED251E" w:rsidP="00A63CA1">
      <w:pPr>
        <w:spacing w:line="240" w:lineRule="auto"/>
        <w:jc w:val="both"/>
        <w:rPr>
          <w:rFonts w:ascii="Times New Roman" w:hAnsi="Times New Roman" w:cs="Times New Roman"/>
          <w:bCs/>
          <w:noProof/>
          <w:sz w:val="24"/>
          <w:szCs w:val="24"/>
          <w:lang w:eastAsia="en-IE"/>
        </w:rPr>
      </w:pPr>
    </w:p>
    <w:p w14:paraId="3138714A" w14:textId="630A19A3" w:rsidR="00625A71" w:rsidRPr="000C480E" w:rsidRDefault="00D02150" w:rsidP="00A632E5">
      <w:pPr>
        <w:spacing w:after="120"/>
        <w:jc w:val="both"/>
        <w:rPr>
          <w:rFonts w:ascii="Times New Roman" w:hAnsi="Times New Roman" w:cs="Times New Roman"/>
          <w:bCs/>
          <w:noProof/>
          <w:sz w:val="24"/>
          <w:szCs w:val="24"/>
        </w:rPr>
      </w:pPr>
      <w:r w:rsidRPr="000C480E">
        <w:rPr>
          <w:rFonts w:ascii="Times New Roman" w:hAnsi="Times New Roman"/>
          <w:noProof/>
          <w:sz w:val="24"/>
        </w:rPr>
        <w:t xml:space="preserve">Aprovizionarea cu alimente în UE este din ce în ce mai expusă riscurilor climatice, de la producția agricolă, în special în Europa de Sud, pescuit și acvacultură, până la prelucrarea alimentelor și lanțurile de aprovizionare internaționale. Schimbările climatice afectează cei patru piloni ai securității alimentare pe termen scurt, mediu și lung: disponibilitate, acces, utilizare și stabilitate. Acesta interacționează cu mulți alți factori determinanți ai securității alimentare în moduri multiple și în cascadă, de exemplu stresul hidric, excesul de nutrienți, sănătatea solului, alimentația și sănătatea. Producția de alimente este expusă în special riscului de inundații, de valuri de căldură, de secete, de presiuni tot mai mari asupra dăunătorilor și bolilor, precum și de pierderea biodiversității, degradarea solului și schimbări în migrația peștilor. </w:t>
      </w:r>
    </w:p>
    <w:p w14:paraId="43C5B7A5" w14:textId="6E6E5F4C" w:rsidR="00B0505E" w:rsidRPr="000C480E" w:rsidRDefault="00F81F91" w:rsidP="00A632E5">
      <w:pPr>
        <w:spacing w:after="120"/>
        <w:jc w:val="both"/>
        <w:rPr>
          <w:rFonts w:ascii="Times New Roman" w:hAnsi="Times New Roman" w:cs="Times New Roman"/>
          <w:bCs/>
          <w:noProof/>
          <w:color w:val="000000" w:themeColor="text1"/>
          <w:sz w:val="24"/>
          <w:szCs w:val="24"/>
        </w:rPr>
      </w:pPr>
      <w:r w:rsidRPr="000C480E">
        <w:rPr>
          <w:rFonts w:ascii="Times New Roman" w:hAnsi="Times New Roman"/>
          <w:noProof/>
          <w:color w:val="000000" w:themeColor="text1"/>
          <w:sz w:val="24"/>
        </w:rPr>
        <w:t xml:space="preserve">Pentru fermieri, căldura va face munca în aer liber mai complicată. Schimbările din zonele agroclimatice vor exercita presiuni asupra selecției culturilor și vor crește rata culturilor slabe, în timp ce prețurile factorilor de producție și variabilitatea piețelor mondiale vor reduce nivelul de referință. Pentru pescari, presiunile suplimentare generate de schimbările climatice, eutrofizarea și acidifierea oceanelor pot reduce productivitatea stocurilor de pește, ceea ce duce la capturi mult mai scăzute și se adaugă unor stocuri supraexploatate. </w:t>
      </w:r>
      <w:bookmarkStart w:id="55" w:name="_Hlk160442132"/>
      <w:r w:rsidRPr="000C480E">
        <w:rPr>
          <w:rFonts w:ascii="Times New Roman" w:hAnsi="Times New Roman"/>
          <w:noProof/>
          <w:color w:val="000000" w:themeColor="text1"/>
          <w:sz w:val="24"/>
        </w:rPr>
        <w:t>Având în vedere că mijloacele de subzistență și sustenabilitatea producției alimentare a UE sunt în pericol, crearea de opțiuni pentru acțiuni de adaptare la nivelul fermelor agricole sau al operațiunilor de pescuit nu va fi suficientă și va trebui completată cu măsuri de sprijin adecvate pentru tranziția către o agricultură și un pescuit reziliente</w:t>
      </w:r>
      <w:bookmarkEnd w:id="55"/>
      <w:r w:rsidRPr="000C480E">
        <w:rPr>
          <w:noProof/>
        </w:rPr>
        <w:t>.</w:t>
      </w:r>
      <w:r w:rsidRPr="000C480E">
        <w:rPr>
          <w:rFonts w:ascii="Times New Roman" w:hAnsi="Times New Roman"/>
          <w:noProof/>
          <w:color w:val="000000" w:themeColor="text1"/>
          <w:sz w:val="24"/>
        </w:rPr>
        <w:t xml:space="preserve"> </w:t>
      </w:r>
      <w:r w:rsidRPr="000C480E">
        <w:rPr>
          <w:rFonts w:ascii="Times New Roman" w:hAnsi="Times New Roman"/>
          <w:noProof/>
          <w:sz w:val="24"/>
        </w:rPr>
        <w:t xml:space="preserve">Astfel de măsuri de sprijin ar trebui, de asemenea, să asigure faptul că alimentele sănătoase și durabile rămân la prețuri rezonabile și accesibile pentru consumatori și ar trebui să asigure venituri sustenabile pentru fermieri. </w:t>
      </w:r>
    </w:p>
    <w:p w14:paraId="55B47773" w14:textId="5024BAD2" w:rsidR="003641C6" w:rsidRPr="000C480E" w:rsidRDefault="006C1C31" w:rsidP="00A632E5">
      <w:pPr>
        <w:spacing w:after="120"/>
        <w:jc w:val="both"/>
        <w:rPr>
          <w:rFonts w:ascii="Times New Roman" w:hAnsi="Times New Roman" w:cs="Times New Roman"/>
          <w:bCs/>
          <w:noProof/>
          <w:color w:val="000000" w:themeColor="text1"/>
          <w:sz w:val="24"/>
          <w:szCs w:val="24"/>
        </w:rPr>
      </w:pPr>
      <w:r w:rsidRPr="000C480E">
        <w:rPr>
          <w:rFonts w:ascii="Times New Roman" w:hAnsi="Times New Roman"/>
          <w:noProof/>
          <w:sz w:val="24"/>
        </w:rPr>
        <w:t>Deși importurile de alimente în UE nu reprezintă încă un risc major, recolte slabe concomitente în mai multe regiuni furnizoare de cereale esențiale la nivel global sau în pescării importante pot determina creșterea prețurilor la alimente în UE (pe măsură ce producătorii din UE vând la prețuri globale), afectând astfel puterea de cumpărare a consumatorilor și punând în pericol securitatea alimentară și accesibilitatea alimentelor sănătoase pentru gospodăriile cele mai sărace din UE.</w:t>
      </w:r>
      <w:r w:rsidRPr="000C480E">
        <w:rPr>
          <w:rFonts w:ascii="Times New Roman" w:hAnsi="Times New Roman"/>
          <w:noProof/>
          <w:color w:val="000000" w:themeColor="text1"/>
          <w:sz w:val="24"/>
        </w:rPr>
        <w:t xml:space="preserve"> De asemenea, deși acest lucru nu este încă sistemic, siguranța alimentară este deja expusă unui risc mai mare din partea agenților patogeni induși de căldură și a altor agenți patogeni. </w:t>
      </w:r>
    </w:p>
    <w:p w14:paraId="23EF1797" w14:textId="7FD8A25D" w:rsidR="00567CC4" w:rsidRPr="000C480E" w:rsidRDefault="00567CC4" w:rsidP="00A632E5">
      <w:pPr>
        <w:spacing w:after="120"/>
        <w:jc w:val="both"/>
        <w:rPr>
          <w:rFonts w:ascii="Times New Roman" w:hAnsi="Times New Roman" w:cs="Times New Roman"/>
          <w:bCs/>
          <w:noProof/>
          <w:sz w:val="24"/>
          <w:szCs w:val="24"/>
        </w:rPr>
      </w:pPr>
      <w:r w:rsidRPr="000C480E">
        <w:rPr>
          <w:rFonts w:ascii="Times New Roman" w:hAnsi="Times New Roman"/>
          <w:noProof/>
          <w:sz w:val="24"/>
        </w:rPr>
        <w:t>Progresele tehnologice, îmbunătățirea gestionării fermelor și adaptarea continuă a practicilor agricole au contribuit la adaptarea pe termen scurt la schimbările climatice. Strategia UE de adaptare și politica agricolă comună au permis acțiuni de adaptare, dar există dovezi limitate privind pregătirea structurală pentru dezastre legate de climă. În plus, o mai bună utilizare a diversității genetice și a resurselor genetice vegetale nedăunătoare pentru adaptarea și reziliența la schimbările climatice poate ajuta fermierii și administratorii de terenuri să combată riscurile climatice. Propunerea de regulament privind plantele obținute prin anumite tehnici genomice noi și alimentele și furajele derivate din acestea</w:t>
      </w:r>
      <w:r w:rsidR="00C04ACD" w:rsidRPr="000C480E">
        <w:rPr>
          <w:rStyle w:val="FootnoteReference"/>
          <w:rFonts w:ascii="Times New Roman" w:hAnsi="Times New Roman" w:cs="Times New Roman"/>
          <w:bCs/>
          <w:noProof/>
          <w:sz w:val="24"/>
          <w:szCs w:val="24"/>
          <w:lang w:eastAsia="en-IE"/>
        </w:rPr>
        <w:footnoteReference w:id="48"/>
      </w:r>
      <w:r w:rsidRPr="000C480E">
        <w:rPr>
          <w:rFonts w:ascii="Times New Roman" w:hAnsi="Times New Roman"/>
          <w:noProof/>
          <w:sz w:val="24"/>
        </w:rPr>
        <w:t xml:space="preserve"> poate sprijini astfel de soluții.</w:t>
      </w:r>
    </w:p>
    <w:p w14:paraId="09DB08DE" w14:textId="5E10C9DB" w:rsidR="00BB3E81" w:rsidRPr="000C480E" w:rsidRDefault="004840A1" w:rsidP="00A632E5">
      <w:pPr>
        <w:spacing w:after="120"/>
        <w:jc w:val="both"/>
        <w:rPr>
          <w:rFonts w:ascii="Times New Roman" w:hAnsi="Times New Roman" w:cs="Times New Roman"/>
          <w:noProof/>
          <w:color w:val="000000" w:themeColor="text1"/>
          <w:sz w:val="24"/>
          <w:szCs w:val="24"/>
        </w:rPr>
      </w:pPr>
      <w:r w:rsidRPr="000C480E">
        <w:rPr>
          <w:rFonts w:ascii="Times New Roman" w:hAnsi="Times New Roman"/>
          <w:noProof/>
          <w:color w:val="000000" w:themeColor="text1"/>
          <w:sz w:val="24"/>
          <w:u w:val="single"/>
        </w:rPr>
        <w:t>Viitorul producției alimentare a UE</w:t>
      </w:r>
      <w:r w:rsidRPr="000C480E">
        <w:rPr>
          <w:rFonts w:ascii="Times New Roman" w:hAnsi="Times New Roman"/>
          <w:noProof/>
          <w:color w:val="000000" w:themeColor="text1"/>
          <w:sz w:val="24"/>
        </w:rPr>
        <w:t xml:space="preserve"> va fi o prioritate pentru Comisie. Comisia va continua să colaboreze cu statele membre pentru a utiliza întregul potențial al </w:t>
      </w:r>
      <w:r w:rsidRPr="000C480E">
        <w:rPr>
          <w:rFonts w:ascii="Times New Roman" w:hAnsi="Times New Roman"/>
          <w:noProof/>
          <w:color w:val="000000" w:themeColor="text1"/>
          <w:sz w:val="24"/>
          <w:u w:val="single"/>
        </w:rPr>
        <w:t>planurilor strategice ale politicii agricole comune</w:t>
      </w:r>
      <w:r w:rsidRPr="000C480E">
        <w:rPr>
          <w:rFonts w:ascii="Times New Roman" w:hAnsi="Times New Roman"/>
          <w:noProof/>
          <w:color w:val="000000" w:themeColor="text1"/>
          <w:sz w:val="24"/>
        </w:rPr>
        <w:t xml:space="preserve"> în vederea îmbunătățirii rezilienței la schimbările climatice și a unei utilizări pe scară mai largă a instrumentelor de gestionare a riscurilor. Întrucât degradarea solului reprezintă o amenințare majoră pentru producția noastră de alimente, Comisia, în cooperare cu statele membre, va consolida </w:t>
      </w:r>
      <w:r w:rsidRPr="000C480E">
        <w:rPr>
          <w:rFonts w:ascii="Times New Roman" w:hAnsi="Times New Roman"/>
          <w:noProof/>
          <w:color w:val="000000" w:themeColor="text1"/>
          <w:sz w:val="24"/>
          <w:u w:val="single"/>
        </w:rPr>
        <w:t>monitorizarea sănătății solului</w:t>
      </w:r>
      <w:r w:rsidRPr="000C480E">
        <w:rPr>
          <w:rFonts w:ascii="Times New Roman" w:hAnsi="Times New Roman"/>
          <w:noProof/>
          <w:color w:val="000000" w:themeColor="text1"/>
          <w:sz w:val="24"/>
        </w:rPr>
        <w:t xml:space="preserve">. Contribuția fermierilor la protecția serviciilor ecosistemice ar trebui să fie mai bine apreciată. </w:t>
      </w:r>
      <w:r w:rsidRPr="000C480E">
        <w:rPr>
          <w:rFonts w:ascii="Times New Roman" w:hAnsi="Times New Roman"/>
          <w:noProof/>
          <w:sz w:val="24"/>
        </w:rPr>
        <w:t xml:space="preserve">Comisia va efectua, de asemenea, un </w:t>
      </w:r>
      <w:r w:rsidRPr="000C480E">
        <w:rPr>
          <w:rFonts w:ascii="Times New Roman" w:hAnsi="Times New Roman"/>
          <w:noProof/>
          <w:sz w:val="24"/>
          <w:u w:val="single"/>
        </w:rPr>
        <w:t>studiu privind adaptarea în agricultură</w:t>
      </w:r>
      <w:r w:rsidRPr="000C480E">
        <w:rPr>
          <w:rFonts w:ascii="Times New Roman" w:hAnsi="Times New Roman"/>
          <w:noProof/>
          <w:sz w:val="24"/>
        </w:rPr>
        <w:t>, care urmează să fie finalizat până la sfârșitul anului 2025.</w:t>
      </w:r>
    </w:p>
    <w:p w14:paraId="73E0C565" w14:textId="0FB6E462" w:rsidR="00203897" w:rsidRPr="000C480E" w:rsidRDefault="001E4A34" w:rsidP="00A632E5">
      <w:pPr>
        <w:spacing w:after="120"/>
        <w:jc w:val="both"/>
        <w:rPr>
          <w:rFonts w:ascii="Times New Roman" w:hAnsi="Times New Roman" w:cs="Times New Roman"/>
          <w:noProof/>
          <w:color w:val="000000" w:themeColor="text1"/>
          <w:sz w:val="24"/>
          <w:szCs w:val="24"/>
        </w:rPr>
      </w:pPr>
      <w:r w:rsidRPr="000C480E">
        <w:rPr>
          <w:rFonts w:ascii="Times New Roman" w:hAnsi="Times New Roman"/>
          <w:noProof/>
          <w:color w:val="000000" w:themeColor="text1"/>
          <w:sz w:val="24"/>
        </w:rPr>
        <w:t xml:space="preserve">Încălzirea și acidificarea oceanelor, inclusiv creșterea valurilor de căldură marină și a zonelor cu niveluri scăzute de oxigen, modifică deja compoziția speciilor și afectează stocurile de pește pe măsură ce acestea se deplasează către ape mai adânci și se apropie de poli. Acest lucru va crea neconcordanțe între cotele stabilite și posibilitățile reale de pescuit. </w:t>
      </w:r>
      <w:r w:rsidRPr="000C480E">
        <w:rPr>
          <w:rFonts w:ascii="Times New Roman" w:hAnsi="Times New Roman"/>
          <w:noProof/>
          <w:color w:val="000000" w:themeColor="text1"/>
          <w:sz w:val="24"/>
          <w:u w:val="single"/>
        </w:rPr>
        <w:t>Politica comună în domeniul pescuitului ar trebui să integreze impactul asupra climei</w:t>
      </w:r>
      <w:r w:rsidRPr="000C480E">
        <w:rPr>
          <w:rFonts w:ascii="Times New Roman" w:hAnsi="Times New Roman"/>
          <w:noProof/>
          <w:color w:val="000000" w:themeColor="text1"/>
          <w:sz w:val="24"/>
        </w:rPr>
        <w:t xml:space="preserve">. Previziunile privind stocurile de pește trebuie să țină seama de gama de posibile efecte viitoare ale schimbărilor climatice, iar practicile de gestionare a pescuitului ar trebui să fie rezistente la schimbările ecologice viitoare. Actualizările Fondului european pentru afaceri maritime, pescuit și acvacultură ar trebui să integreze pe deplin riscurile climatice în sprijinul său pentru practici sustenabile în domeniul pescuitului și acvaculturii care consolidează reziliența. </w:t>
      </w:r>
    </w:p>
    <w:p w14:paraId="77B59E5C" w14:textId="77777777" w:rsidR="00A632E5" w:rsidRPr="000C480E" w:rsidRDefault="00A632E5" w:rsidP="00A632E5">
      <w:pPr>
        <w:spacing w:after="120" w:line="22" w:lineRule="atLeast"/>
        <w:jc w:val="both"/>
        <w:rPr>
          <w:rFonts w:ascii="Times New Roman" w:hAnsi="Times New Roman" w:cs="Times New Roman"/>
          <w:noProof/>
          <w:color w:val="000000" w:themeColor="text1"/>
          <w:sz w:val="24"/>
          <w:szCs w:val="24"/>
        </w:rPr>
      </w:pPr>
    </w:p>
    <w:p w14:paraId="788882B3" w14:textId="6E199F54" w:rsidR="00F94DC6" w:rsidRPr="000C480E" w:rsidRDefault="00F94DC6" w:rsidP="00B11E0C">
      <w:pPr>
        <w:pStyle w:val="Heading3"/>
        <w:numPr>
          <w:ilvl w:val="1"/>
          <w:numId w:val="1"/>
        </w:numPr>
        <w:spacing w:line="259" w:lineRule="auto"/>
        <w:ind w:left="1565" w:hanging="431"/>
        <w:rPr>
          <w:rFonts w:ascii="Times New Roman" w:eastAsia="Times New Roman" w:hAnsi="Times New Roman" w:cs="Times New Roman"/>
          <w:b/>
          <w:bCs/>
          <w:noProof/>
          <w:color w:val="000000" w:themeColor="text1"/>
          <w:sz w:val="24"/>
          <w:szCs w:val="24"/>
        </w:rPr>
      </w:pPr>
      <w:bookmarkStart w:id="56" w:name="_Toc157586314"/>
      <w:bookmarkStart w:id="57" w:name="_Toc157587675"/>
      <w:bookmarkStart w:id="58" w:name="_Toc157587791"/>
      <w:bookmarkStart w:id="59" w:name="_Toc159792211"/>
      <w:bookmarkEnd w:id="56"/>
      <w:bookmarkEnd w:id="57"/>
      <w:bookmarkEnd w:id="58"/>
      <w:r w:rsidRPr="000C480E">
        <w:rPr>
          <w:rFonts w:ascii="Times New Roman" w:hAnsi="Times New Roman"/>
          <w:b/>
          <w:noProof/>
          <w:color w:val="000000" w:themeColor="text1"/>
          <w:sz w:val="24"/>
        </w:rPr>
        <w:t>Infrastructură și mediu construit</w:t>
      </w:r>
      <w:bookmarkEnd w:id="59"/>
      <w:r w:rsidRPr="000C480E">
        <w:rPr>
          <w:rFonts w:ascii="Times New Roman" w:hAnsi="Times New Roman"/>
          <w:b/>
          <w:noProof/>
          <w:color w:val="000000" w:themeColor="text1"/>
          <w:sz w:val="24"/>
        </w:rPr>
        <w:t xml:space="preserve"> </w:t>
      </w:r>
    </w:p>
    <w:p w14:paraId="1C395910" w14:textId="77777777" w:rsidR="00ED251E" w:rsidRPr="000C480E" w:rsidRDefault="00ED251E" w:rsidP="00FE40B8">
      <w:pPr>
        <w:spacing w:line="240" w:lineRule="auto"/>
        <w:jc w:val="both"/>
        <w:rPr>
          <w:rFonts w:ascii="Times New Roman" w:hAnsi="Times New Roman" w:cs="Times New Roman"/>
          <w:b/>
          <w:bCs/>
          <w:noProof/>
          <w:color w:val="000000" w:themeColor="text1"/>
          <w:sz w:val="24"/>
          <w:szCs w:val="24"/>
          <w:lang w:eastAsia="en-IE"/>
        </w:rPr>
      </w:pPr>
    </w:p>
    <w:p w14:paraId="3C96E1D3" w14:textId="76644C0E" w:rsidR="00610647" w:rsidRPr="000C480E" w:rsidRDefault="002A7034" w:rsidP="00A632E5">
      <w:pPr>
        <w:spacing w:after="120"/>
        <w:jc w:val="both"/>
        <w:rPr>
          <w:rFonts w:ascii="Times New Roman" w:hAnsi="Times New Roman" w:cs="Times New Roman"/>
          <w:bCs/>
          <w:noProof/>
          <w:color w:val="000000" w:themeColor="text1"/>
          <w:sz w:val="24"/>
          <w:szCs w:val="24"/>
        </w:rPr>
      </w:pPr>
      <w:r w:rsidRPr="000C480E">
        <w:rPr>
          <w:rFonts w:ascii="Times New Roman" w:hAnsi="Times New Roman"/>
          <w:noProof/>
          <w:color w:val="000000" w:themeColor="text1"/>
          <w:sz w:val="24"/>
        </w:rPr>
        <w:t>Bunurile de infrastructură sunt expuse unui risc semnificativ de inundații, incendii forestiere, temperaturi ridicate și alte evenimente extreme, ceea ce ar putea duce la daune considerabile. Pierderea accesului la energie, transport și comunicații poate perturba rapid societățile. În prezent, nu există evaluări fiabile cu privire la măsura în care infrastructura UE va putea funcționa în condițiile climatice în schimbare. Infrastructura critică și parcul imobiliar îmbătrânesc rapid. Reflectând asupra lipsei de cunoștințe și asupra costurilor prohibitive percepute, statele membre consideră că este dificil să planifice și să se angajeze în eforturi majore de adaptare a infrastructurii, chiar dacă daunele cauzate de un singur dezastru ar putea depăși cu mult fondurile UE disponibile pentru infrastructură.</w:t>
      </w:r>
    </w:p>
    <w:p w14:paraId="462DD9E2" w14:textId="225B4505" w:rsidR="00B0505E" w:rsidRPr="000C480E" w:rsidRDefault="002E08D6" w:rsidP="00A632E5">
      <w:pPr>
        <w:spacing w:after="120"/>
        <w:jc w:val="both"/>
        <w:rPr>
          <w:rFonts w:ascii="Times New Roman" w:hAnsi="Times New Roman" w:cs="Times New Roman"/>
          <w:bCs/>
          <w:noProof/>
          <w:color w:val="000000" w:themeColor="text1"/>
          <w:sz w:val="24"/>
          <w:szCs w:val="24"/>
        </w:rPr>
      </w:pPr>
      <w:r w:rsidRPr="000C480E">
        <w:rPr>
          <w:rFonts w:ascii="Times New Roman" w:hAnsi="Times New Roman"/>
          <w:noProof/>
          <w:color w:val="000000" w:themeColor="text1"/>
          <w:sz w:val="24"/>
        </w:rPr>
        <w:t xml:space="preserve">Obiectivul UE de creștere a ratelor de renovare și de decarbonizare a economiei reprezintă oportunități de îmbunătățire a rezilienței la schimbările climatice. Proiectarea mediului construit determină reziliența clădirilor în sine și a locuitorilor săi. Ar trebui maximizate beneficiile conexe ale imunizării la schimbările climatice a locuințelor rezidențiale din punctul de vedere al accesibilității, al unui mediu de viață mai sănătos și al îmbunătățirii eficienței energetice. Pe lângă supravegherea orizontală solidă a riscurilor sistemice legate de infrastructură și de localizarea acesteia prin amenajarea teritoriului, sunt necesare mai multe soluții sectoriale. </w:t>
      </w:r>
    </w:p>
    <w:p w14:paraId="168B4D7D" w14:textId="2F2E7B73" w:rsidR="001C34D5" w:rsidRPr="000C480E" w:rsidRDefault="006C33BE" w:rsidP="00A632E5">
      <w:pPr>
        <w:pStyle w:val="Text1"/>
        <w:spacing w:after="120" w:line="259" w:lineRule="auto"/>
        <w:ind w:left="0"/>
        <w:rPr>
          <w:rFonts w:eastAsiaTheme="minorEastAsia"/>
          <w:noProof/>
          <w:color w:val="000000" w:themeColor="text1"/>
        </w:rPr>
      </w:pPr>
      <w:r w:rsidRPr="000C480E">
        <w:rPr>
          <w:noProof/>
          <w:color w:val="000000" w:themeColor="text1"/>
          <w:u w:val="single"/>
        </w:rPr>
        <w:t>Standardele în materie de infrastructură trebuie consolidate</w:t>
      </w:r>
      <w:r w:rsidRPr="000C480E">
        <w:rPr>
          <w:noProof/>
          <w:color w:val="000000" w:themeColor="text1"/>
        </w:rPr>
        <w:t xml:space="preserve">. Comisia va solicita organizațiilor europene de standardizare (OES) să integreze considerentele legate de adaptarea la schimbările climatice și reziliență în standardele europene pentru proiectarea infrastructurii cu un ciclu de viață de peste 30 de ani, cum ar fi centralele electrice sau căile ferate. În plus, Comisia va solicita OES să elaboreze noi standarde privind serviciile climatice. </w:t>
      </w:r>
    </w:p>
    <w:p w14:paraId="1E299923" w14:textId="188D20CD" w:rsidR="002E08D6" w:rsidRPr="000C480E" w:rsidRDefault="008C1507" w:rsidP="00A632E5">
      <w:pPr>
        <w:pStyle w:val="Text1"/>
        <w:spacing w:after="120" w:line="259" w:lineRule="auto"/>
        <w:ind w:left="0"/>
        <w:rPr>
          <w:noProof/>
          <w:color w:val="000000" w:themeColor="text1"/>
          <w:u w:val="single"/>
        </w:rPr>
      </w:pPr>
      <w:r w:rsidRPr="000C480E">
        <w:rPr>
          <w:noProof/>
          <w:color w:val="000000" w:themeColor="text1"/>
        </w:rPr>
        <w:t>Actualizarea prevăzută a standardelor (Eurocoduri</w:t>
      </w:r>
      <w:r w:rsidR="005D61D6" w:rsidRPr="000C480E">
        <w:rPr>
          <w:rStyle w:val="FootnoteReference"/>
          <w:noProof/>
          <w:color w:val="000000" w:themeColor="text1"/>
        </w:rPr>
        <w:footnoteReference w:id="49"/>
      </w:r>
      <w:r w:rsidRPr="000C480E">
        <w:rPr>
          <w:noProof/>
          <w:color w:val="000000" w:themeColor="text1"/>
        </w:rPr>
        <w:t>) pentru clădiri, care stabilește cerințele minime privind proiectarea structurală în UE în 2026, va face obligatorie luarea în considerare a viitoarelor pericole climatice asupra structurilor clădirilor. Comisia efectuează studii-pilot și va pregăti orientări pentru statele membre cu privire la utilizarea seturilor de date climatice disponibile gratuit pentru a defini încărcarea climatică preconizată pe teritoriul lor.</w:t>
      </w:r>
    </w:p>
    <w:p w14:paraId="2704B49F" w14:textId="3E7C843D" w:rsidR="00755280" w:rsidRPr="000C480E" w:rsidRDefault="006805D3" w:rsidP="0044238F">
      <w:pPr>
        <w:pStyle w:val="Text1"/>
        <w:spacing w:after="120" w:line="259" w:lineRule="auto"/>
        <w:ind w:left="0"/>
        <w:rPr>
          <w:noProof/>
          <w:color w:val="000000" w:themeColor="text1"/>
        </w:rPr>
      </w:pPr>
      <w:r w:rsidRPr="000C480E">
        <w:rPr>
          <w:noProof/>
          <w:color w:val="000000" w:themeColor="text1"/>
        </w:rPr>
        <w:t xml:space="preserve">Festivalul Noul Bauhaus european din aprilie 2024 este o ocazie esențială de a se angaja într-un dialog cu diferite părți ale industriei construcțiilor, pentru a promova o mai bună integrare a adaptării la schimbările climatice și a rezilienței în acest sector. </w:t>
      </w:r>
    </w:p>
    <w:p w14:paraId="24F619D5" w14:textId="703471F5" w:rsidR="00B2668D" w:rsidRPr="000C480E" w:rsidRDefault="00B2668D" w:rsidP="0044238F">
      <w:pPr>
        <w:pStyle w:val="Text1"/>
        <w:spacing w:after="120" w:line="259" w:lineRule="auto"/>
        <w:ind w:left="0"/>
        <w:rPr>
          <w:noProof/>
          <w:color w:val="000000" w:themeColor="text1"/>
          <w:szCs w:val="24"/>
        </w:rPr>
      </w:pPr>
      <w:r w:rsidRPr="000C480E">
        <w:rPr>
          <w:noProof/>
          <w:color w:val="000000" w:themeColor="text1"/>
        </w:rPr>
        <w:t xml:space="preserve">Toate </w:t>
      </w:r>
      <w:r w:rsidRPr="000C480E">
        <w:rPr>
          <w:noProof/>
          <w:color w:val="000000" w:themeColor="text1"/>
          <w:u w:val="single"/>
        </w:rPr>
        <w:t>infrastructurile de transport</w:t>
      </w:r>
      <w:r w:rsidRPr="000C480E">
        <w:rPr>
          <w:noProof/>
          <w:color w:val="000000" w:themeColor="text1"/>
        </w:rPr>
        <w:t xml:space="preserve"> sunt amenințate de schimbările climatice. Cu toate acestea, există un deficit de cunoștințe la nivelul UE în materie de reziliență a infrastructurii europene de transport la impactul schimbărilor climatice în ceea ce privește expunerea la riscuri, nevoile și soluțiile de adaptare, precum și nevoile de investiții pentru a le aborda. Comisia va sprijini evaluările riscurilor climatice și imunizarea la schimbările climatice prin intermediul orientărilor sale revizuite privind dezvoltarea rețelei transeuropene de transport (TEN-T). Comisia a demarat un studiu</w:t>
      </w:r>
      <w:r w:rsidRPr="000C480E">
        <w:rPr>
          <w:noProof/>
          <w:color w:val="000000" w:themeColor="text1"/>
          <w:szCs w:val="24"/>
          <w:vertAlign w:val="superscript"/>
        </w:rPr>
        <w:footnoteReference w:id="50"/>
      </w:r>
      <w:r w:rsidRPr="000C480E">
        <w:rPr>
          <w:noProof/>
          <w:color w:val="000000" w:themeColor="text1"/>
        </w:rPr>
        <w:t xml:space="preserve"> privind reziliența la schimbările climatice a TEN-T, ca un prim pas în abordarea lacunelor identificate în materie de cunoștințe și în stabilirea nevoilor de adaptare și a priorităților de investiții.</w:t>
      </w:r>
    </w:p>
    <w:p w14:paraId="5502F2B0" w14:textId="1B4AD37C" w:rsidR="00203897" w:rsidRPr="000C480E" w:rsidRDefault="00661145" w:rsidP="00A632E5">
      <w:pPr>
        <w:spacing w:after="120"/>
        <w:jc w:val="both"/>
        <w:rPr>
          <w:rFonts w:ascii="Times New Roman" w:hAnsi="Times New Roman" w:cs="Times New Roman"/>
          <w:noProof/>
          <w:color w:val="000000" w:themeColor="text1"/>
          <w:sz w:val="24"/>
          <w:szCs w:val="24"/>
        </w:rPr>
      </w:pPr>
      <w:r w:rsidRPr="000C480E">
        <w:rPr>
          <w:rFonts w:ascii="Times New Roman" w:hAnsi="Times New Roman"/>
          <w:noProof/>
          <w:color w:val="000000" w:themeColor="text1"/>
          <w:sz w:val="24"/>
          <w:u w:val="single"/>
        </w:rPr>
        <w:t>Planificarea riscurilor climatice trebuie consolidată în sectorul energetic</w:t>
      </w:r>
      <w:r w:rsidRPr="000C480E">
        <w:rPr>
          <w:rFonts w:ascii="Times New Roman" w:hAnsi="Times New Roman"/>
          <w:noProof/>
          <w:color w:val="000000" w:themeColor="text1"/>
          <w:sz w:val="24"/>
        </w:rPr>
        <w:t>. Schimbările climatice generează riscuri sporite pentru securitatea energetică, în special riscuri sporite de perturbare a energiei electrice din cauza căldurii, a incendiilor forestiere, a secetelor și a inundațiilor care afectează vârful de cerere și care au un impact asupra producției, stocării, transportului și distribuției. Doar câteva state membre au inclus în proiectele lor de PNEC actualizate planuri detaliate pentru a lua în considerare adaptarea la schimbările climatice în contextul rezilienței sistemelor lor energetice. Comisia va lua în considerare posibilitățile pentru o mai bună integrare a riscurilor climatice, de exemplu în contextul revizuirii în curs a Regulamentului privind guvernanța uniunii energetice și a acțiunilor climatice. Pe baza planurilor naționale de pregătire în sectorul energiei electrice, Comisia va lua în considerare, de asemenea, inițierea unui dialog privind riscurile climatice cu anumite părți interesate din sectorul energetic și invită actorii interesați (de exemplu, sectorul energiei electrice) să prezinte propuneri.</w:t>
      </w:r>
    </w:p>
    <w:p w14:paraId="2B70AB80" w14:textId="77777777" w:rsidR="00A632E5" w:rsidRPr="000C480E" w:rsidRDefault="00A632E5" w:rsidP="00A632E5">
      <w:pPr>
        <w:spacing w:after="120"/>
        <w:jc w:val="both"/>
        <w:rPr>
          <w:rFonts w:ascii="Times New Roman" w:hAnsi="Times New Roman" w:cs="Times New Roman"/>
          <w:noProof/>
          <w:color w:val="000000" w:themeColor="text1"/>
          <w:sz w:val="24"/>
          <w:szCs w:val="24"/>
        </w:rPr>
      </w:pPr>
    </w:p>
    <w:p w14:paraId="7105C662" w14:textId="2DAAFFE2" w:rsidR="00F94DC6" w:rsidRPr="000C480E" w:rsidRDefault="00F94DC6" w:rsidP="00B2476E">
      <w:pPr>
        <w:pStyle w:val="Heading3"/>
        <w:numPr>
          <w:ilvl w:val="1"/>
          <w:numId w:val="1"/>
        </w:numPr>
        <w:ind w:left="1565" w:hanging="431"/>
        <w:rPr>
          <w:rFonts w:ascii="Times New Roman" w:eastAsia="Times New Roman" w:hAnsi="Times New Roman" w:cs="Times New Roman"/>
          <w:b/>
          <w:bCs/>
          <w:noProof/>
          <w:color w:val="000000" w:themeColor="text1"/>
          <w:sz w:val="24"/>
          <w:szCs w:val="24"/>
        </w:rPr>
      </w:pPr>
      <w:bookmarkStart w:id="60" w:name="_Toc157587793"/>
      <w:bookmarkStart w:id="61" w:name="_Toc159792212"/>
      <w:bookmarkEnd w:id="60"/>
      <w:r w:rsidRPr="000C480E">
        <w:rPr>
          <w:rFonts w:ascii="Times New Roman" w:hAnsi="Times New Roman"/>
          <w:b/>
          <w:noProof/>
          <w:color w:val="000000" w:themeColor="text1"/>
          <w:sz w:val="24"/>
        </w:rPr>
        <w:t>Economie</w:t>
      </w:r>
      <w:bookmarkEnd w:id="61"/>
    </w:p>
    <w:p w14:paraId="11C6503F" w14:textId="77777777" w:rsidR="00ED251E" w:rsidRPr="000C480E" w:rsidRDefault="00ED251E" w:rsidP="00FE40B8">
      <w:pPr>
        <w:spacing w:line="240" w:lineRule="auto"/>
        <w:jc w:val="both"/>
        <w:rPr>
          <w:rFonts w:ascii="Times New Roman" w:hAnsi="Times New Roman" w:cs="Times New Roman"/>
          <w:bCs/>
          <w:noProof/>
          <w:color w:val="000000" w:themeColor="text1"/>
          <w:sz w:val="24"/>
          <w:szCs w:val="24"/>
          <w:lang w:eastAsia="en-IE"/>
        </w:rPr>
      </w:pPr>
    </w:p>
    <w:p w14:paraId="4483C1FD" w14:textId="5502D4E3" w:rsidR="003538B8" w:rsidRPr="000C480E" w:rsidRDefault="00363162" w:rsidP="00A632E5">
      <w:pPr>
        <w:spacing w:after="120"/>
        <w:jc w:val="both"/>
        <w:rPr>
          <w:rFonts w:ascii="Times New Roman" w:hAnsi="Times New Roman" w:cs="Times New Roman"/>
          <w:bCs/>
          <w:noProof/>
          <w:color w:val="000000" w:themeColor="text1"/>
          <w:sz w:val="24"/>
          <w:szCs w:val="24"/>
        </w:rPr>
      </w:pPr>
      <w:r w:rsidRPr="000C480E">
        <w:rPr>
          <w:rFonts w:ascii="Times New Roman" w:hAnsi="Times New Roman"/>
          <w:noProof/>
          <w:color w:val="000000" w:themeColor="text1"/>
          <w:sz w:val="24"/>
        </w:rPr>
        <w:t>Fiecare dezastru legat de schimbările climatice va exercita o presiune suplimentară asupra economiei, prin pierderi de productivitate și de vieți omenești, daune directe, reducerea potențialului de creștere și presiunea asupra bugetelor guvernelor. Atunci când investițiile sunt</w:t>
      </w:r>
      <w:r w:rsidR="00A757D1" w:rsidRPr="000C480E">
        <w:rPr>
          <w:rFonts w:ascii="Times New Roman" w:hAnsi="Times New Roman"/>
          <w:noProof/>
          <w:color w:val="000000" w:themeColor="text1"/>
          <w:sz w:val="24"/>
        </w:rPr>
        <w:t xml:space="preserve"> </w:t>
      </w:r>
      <w:r w:rsidRPr="000C480E">
        <w:rPr>
          <w:rFonts w:ascii="Times New Roman" w:hAnsi="Times New Roman"/>
          <w:noProof/>
          <w:color w:val="000000" w:themeColor="text1"/>
          <w:sz w:val="24"/>
        </w:rPr>
        <w:t>redirecționate pentru reconstrucție după daune, suma disponibilă pentru investițiile productive este redusă. Interacțiunile dintre diferitele părți ale sistemului financiar nu sunt bine înțelese, iar riscurile climatice pot împinge vulnerabilitățile existente peste pragurile critice pentru aceste sisteme. Bugetele guvernamentale reprezintă principala sursă de acoperire a acestor riscuri, dar ele sunt deja afectate de niveluri ridicate ale datoriei. Datoriile contingente implicite generate de riscurile climatice ar putea pune în pericol stabilitatea bugetară și sustenabilitatea statelor membre. Riscurile pentru economia UE ar putea fi semnificative</w:t>
      </w:r>
      <w:r w:rsidR="003057A0" w:rsidRPr="000C480E">
        <w:rPr>
          <w:rStyle w:val="FootnoteReference"/>
          <w:rFonts w:ascii="Times New Roman" w:hAnsi="Times New Roman" w:cs="Times New Roman"/>
          <w:bCs/>
          <w:noProof/>
          <w:color w:val="000000" w:themeColor="text1"/>
          <w:sz w:val="24"/>
          <w:szCs w:val="24"/>
          <w:lang w:eastAsia="en-IE"/>
        </w:rPr>
        <w:footnoteReference w:id="51"/>
      </w:r>
      <w:r w:rsidRPr="000C480E">
        <w:rPr>
          <w:rFonts w:ascii="Times New Roman" w:hAnsi="Times New Roman"/>
          <w:noProof/>
          <w:color w:val="000000" w:themeColor="text1"/>
          <w:sz w:val="24"/>
        </w:rPr>
        <w:t xml:space="preserve">. </w:t>
      </w:r>
    </w:p>
    <w:p w14:paraId="723168AD" w14:textId="65AE64DE" w:rsidR="00463C23" w:rsidRPr="000C480E" w:rsidRDefault="006A2290" w:rsidP="00A632E5">
      <w:pPr>
        <w:spacing w:after="120"/>
        <w:jc w:val="both"/>
        <w:rPr>
          <w:rFonts w:ascii="Times New Roman" w:hAnsi="Times New Roman" w:cs="Times New Roman"/>
          <w:noProof/>
          <w:color w:val="000000" w:themeColor="text1"/>
          <w:sz w:val="24"/>
          <w:szCs w:val="24"/>
        </w:rPr>
      </w:pPr>
      <w:r w:rsidRPr="000C480E">
        <w:rPr>
          <w:rFonts w:ascii="Times New Roman" w:hAnsi="Times New Roman"/>
          <w:noProof/>
          <w:color w:val="000000" w:themeColor="text1"/>
          <w:sz w:val="24"/>
        </w:rPr>
        <w:t>Securitatea economică a UE este, de asemenea, expusă riscurilor climatice în lanțurile de aprovizionare, în special în ceea ce privește produsele farmaceutice și semiconductorii. Având în vedere lacunele existente în materie de date și cunoștințe, nu este exclus ca riscurile legate de climă să fie în prezent subevaluate. Acest lucru poate crea reacții anarhice pe piață, de exemplu atunci când apar, sau este probabil să apară, evenimente extreme. Acoperirea prin asigurare a activelor și a proprietăților expuse la schimbările climatice este scăzută în UE, cu variații semnificative între statele membre și pericole legate de climă și este probabil să scadă și mai mult odată cu creșterea primelor, pe măsură ce frecvența și gravitatea evenimentelor legate de climă cresc. Sunt în curs lucrări substanțiale cu privire la diferitele riscuri legate de durabilitate, în special prin intermediul strategiei UE privind finanțarea durabilă sau al dialogului privind reziliența la schimbările climatice, care vizează reducerea decalajului în materie de protecție a climei în domeniul asigurărilor</w:t>
      </w:r>
      <w:r w:rsidR="00FD6FC6" w:rsidRPr="000C480E">
        <w:rPr>
          <w:rStyle w:val="FootnoteReference"/>
          <w:rFonts w:ascii="Times New Roman" w:hAnsi="Times New Roman" w:cs="Times New Roman"/>
          <w:bCs/>
          <w:noProof/>
          <w:color w:val="000000" w:themeColor="text1"/>
          <w:sz w:val="24"/>
          <w:szCs w:val="24"/>
          <w:lang w:eastAsia="en-IE"/>
        </w:rPr>
        <w:footnoteReference w:id="52"/>
      </w:r>
      <w:r w:rsidRPr="000C480E">
        <w:rPr>
          <w:rFonts w:ascii="Times New Roman" w:hAnsi="Times New Roman"/>
          <w:noProof/>
          <w:color w:val="000000" w:themeColor="text1"/>
          <w:sz w:val="24"/>
        </w:rPr>
        <w:t xml:space="preserve">. </w:t>
      </w:r>
    </w:p>
    <w:p w14:paraId="70E72712" w14:textId="6E60782E" w:rsidR="003C5D9C" w:rsidRPr="000C480E" w:rsidRDefault="00453D4B" w:rsidP="00A632E5">
      <w:pPr>
        <w:spacing w:after="120"/>
        <w:jc w:val="both"/>
        <w:rPr>
          <w:rFonts w:ascii="Times New Roman" w:hAnsi="Times New Roman" w:cs="Times New Roman"/>
          <w:noProof/>
          <w:color w:val="000000" w:themeColor="text1"/>
          <w:sz w:val="24"/>
          <w:szCs w:val="24"/>
        </w:rPr>
      </w:pPr>
      <w:r w:rsidRPr="000C480E">
        <w:rPr>
          <w:rFonts w:ascii="Times New Roman" w:hAnsi="Times New Roman"/>
          <w:noProof/>
          <w:color w:val="000000" w:themeColor="text1"/>
          <w:sz w:val="24"/>
        </w:rPr>
        <w:t>UE a luat deja măsuri majore pentru a mobiliza acțiunile climatice și comerțul la nivel mondial. Coaliția miniștrilor comerțului privind schimbările climatice</w:t>
      </w:r>
      <w:r w:rsidRPr="000C480E">
        <w:rPr>
          <w:rFonts w:ascii="Times New Roman" w:hAnsi="Times New Roman" w:cs="Times New Roman"/>
          <w:noProof/>
          <w:color w:val="000000" w:themeColor="text1"/>
          <w:sz w:val="24"/>
          <w:szCs w:val="24"/>
          <w:vertAlign w:val="superscript"/>
          <w:lang w:eastAsia="en-IE"/>
        </w:rPr>
        <w:footnoteReference w:id="53"/>
      </w:r>
      <w:r w:rsidRPr="000C480E">
        <w:rPr>
          <w:rFonts w:ascii="Times New Roman" w:hAnsi="Times New Roman"/>
          <w:noProof/>
          <w:color w:val="000000" w:themeColor="text1"/>
          <w:sz w:val="24"/>
        </w:rPr>
        <w:t>, lansată și condusă de Uniune împreună cu Ecuador, Kenya și Noua Zeelandă, reflectă o recunoaștere din ce în ce mai mare în rândul guvernelor a intereselor comune legate de legătura dintre climă și comerț, pentru a spori contribuția pe care o pot avea comerțul și politica comercială la acțiunile climatice. Acordurile comerciale bilaterale ale UE pot servi drept platforme importante pentru colaborarea cu partenerii comerciali în ceea ce privește acțiunile în domeniul climei și al mediului</w:t>
      </w:r>
      <w:r w:rsidR="00FE4D6B" w:rsidRPr="000C480E">
        <w:rPr>
          <w:rFonts w:ascii="Times New Roman" w:hAnsi="Times New Roman" w:cs="Times New Roman"/>
          <w:noProof/>
          <w:color w:val="000000" w:themeColor="text1"/>
          <w:sz w:val="24"/>
          <w:szCs w:val="24"/>
          <w:vertAlign w:val="superscript"/>
          <w:lang w:eastAsia="en-IE"/>
        </w:rPr>
        <w:footnoteReference w:id="54"/>
      </w:r>
      <w:r w:rsidRPr="000C480E">
        <w:rPr>
          <w:rFonts w:ascii="Times New Roman" w:hAnsi="Times New Roman"/>
          <w:noProof/>
          <w:color w:val="000000" w:themeColor="text1"/>
          <w:sz w:val="24"/>
        </w:rPr>
        <w:t xml:space="preserve">. </w:t>
      </w:r>
    </w:p>
    <w:p w14:paraId="46F23799" w14:textId="258ED593" w:rsidR="007D4C6B" w:rsidRPr="000C480E" w:rsidRDefault="001C7367" w:rsidP="00A632E5">
      <w:pPr>
        <w:spacing w:after="120"/>
        <w:jc w:val="both"/>
        <w:rPr>
          <w:rFonts w:ascii="Times New Roman" w:hAnsi="Times New Roman" w:cs="Times New Roman"/>
          <w:noProof/>
          <w:color w:val="000000" w:themeColor="text1"/>
          <w:sz w:val="24"/>
          <w:szCs w:val="24"/>
        </w:rPr>
      </w:pPr>
      <w:r w:rsidRPr="000C480E">
        <w:rPr>
          <w:rFonts w:ascii="Times New Roman" w:hAnsi="Times New Roman"/>
          <w:noProof/>
          <w:color w:val="000000" w:themeColor="text1"/>
          <w:sz w:val="24"/>
        </w:rPr>
        <w:t xml:space="preserve">Riscurile legate de climă reprezintă un pericol major pentru </w:t>
      </w:r>
      <w:r w:rsidRPr="000C480E">
        <w:rPr>
          <w:rFonts w:ascii="Times New Roman" w:hAnsi="Times New Roman"/>
          <w:noProof/>
          <w:color w:val="000000" w:themeColor="text1"/>
          <w:sz w:val="24"/>
          <w:u w:val="single"/>
        </w:rPr>
        <w:t>reziliența întreprinderilor din UE, în special a IMM-urilor</w:t>
      </w:r>
      <w:r w:rsidRPr="000C480E">
        <w:rPr>
          <w:rFonts w:ascii="Times New Roman" w:hAnsi="Times New Roman"/>
          <w:noProof/>
          <w:color w:val="000000" w:themeColor="text1"/>
          <w:sz w:val="24"/>
        </w:rPr>
        <w:t>. Riscurile climatice afectează accesul IMM-urilor la finanțare, costul capitalului lor și capacitatea lor de a rambursa datoriile</w:t>
      </w:r>
      <w:r w:rsidR="00F74E4A" w:rsidRPr="000C480E">
        <w:rPr>
          <w:rStyle w:val="FootnoteReference"/>
          <w:rFonts w:ascii="Times New Roman" w:hAnsi="Times New Roman" w:cs="Times New Roman"/>
          <w:noProof/>
          <w:color w:val="000000" w:themeColor="text1"/>
          <w:sz w:val="24"/>
          <w:szCs w:val="24"/>
          <w:lang w:eastAsia="en-IE"/>
        </w:rPr>
        <w:footnoteReference w:id="55"/>
      </w:r>
      <w:r w:rsidRPr="000C480E">
        <w:rPr>
          <w:rFonts w:ascii="Times New Roman" w:hAnsi="Times New Roman"/>
          <w:noProof/>
          <w:color w:val="000000" w:themeColor="text1"/>
          <w:sz w:val="24"/>
        </w:rPr>
        <w:t>. Aproape jumătate dintre întreprinderile din UE sunt preocupate de pericolele naturale, însă mai puțin de o treime dintre întreprinderi au sau intenționează să investească pentru a atenua impactul riscurilor de pericole naturale</w:t>
      </w:r>
      <w:r w:rsidR="001A31EC" w:rsidRPr="000C480E">
        <w:rPr>
          <w:rFonts w:ascii="Times New Roman" w:hAnsi="Times New Roman" w:cs="Times New Roman"/>
          <w:noProof/>
          <w:color w:val="000000" w:themeColor="text1"/>
          <w:sz w:val="24"/>
          <w:szCs w:val="24"/>
          <w:vertAlign w:val="superscript"/>
          <w:lang w:eastAsia="en-IE"/>
        </w:rPr>
        <w:footnoteReference w:id="56"/>
      </w:r>
      <w:r w:rsidRPr="000C480E">
        <w:rPr>
          <w:rFonts w:ascii="Times New Roman" w:hAnsi="Times New Roman"/>
          <w:noProof/>
          <w:color w:val="000000" w:themeColor="text1"/>
          <w:sz w:val="24"/>
        </w:rPr>
        <w:t>.</w:t>
      </w:r>
      <w:r w:rsidRPr="000C480E">
        <w:rPr>
          <w:rFonts w:ascii="Times New Roman" w:hAnsi="Times New Roman"/>
          <w:noProof/>
          <w:color w:val="000000" w:themeColor="text1"/>
          <w:sz w:val="24"/>
          <w:vertAlign w:val="superscript"/>
        </w:rPr>
        <w:t xml:space="preserve"> </w:t>
      </w:r>
      <w:r w:rsidRPr="000C480E">
        <w:rPr>
          <w:rFonts w:ascii="Times New Roman" w:hAnsi="Times New Roman"/>
          <w:noProof/>
          <w:color w:val="000000" w:themeColor="text1"/>
          <w:sz w:val="24"/>
        </w:rPr>
        <w:t>Astfel cum se prevede în strategia UE pentru IMM-uri, este esențial să se sprijine IMM-urile în înțelegerea și atenuarea riscurilor de mediu</w:t>
      </w:r>
      <w:r w:rsidR="00BD486C" w:rsidRPr="000C480E">
        <w:rPr>
          <w:rStyle w:val="FootnoteReference"/>
          <w:rFonts w:ascii="Times New Roman" w:hAnsi="Times New Roman" w:cs="Times New Roman"/>
          <w:noProof/>
          <w:color w:val="000000" w:themeColor="text1"/>
          <w:sz w:val="24"/>
          <w:szCs w:val="24"/>
          <w:lang w:eastAsia="en-IE"/>
        </w:rPr>
        <w:footnoteReference w:id="57"/>
      </w:r>
      <w:r w:rsidRPr="000C480E">
        <w:rPr>
          <w:rFonts w:ascii="Times New Roman" w:hAnsi="Times New Roman"/>
          <w:noProof/>
          <w:color w:val="000000" w:themeColor="text1"/>
          <w:sz w:val="24"/>
        </w:rPr>
        <w:t>. În cadrul punerii în aplicare a Strategiei europene pentru securitate economică</w:t>
      </w:r>
      <w:r w:rsidR="00D95E11" w:rsidRPr="000C480E">
        <w:rPr>
          <w:rStyle w:val="FootnoteReference"/>
          <w:rFonts w:ascii="Times New Roman" w:hAnsi="Times New Roman" w:cs="Times New Roman"/>
          <w:noProof/>
          <w:color w:val="000000" w:themeColor="text1"/>
          <w:sz w:val="24"/>
          <w:szCs w:val="24"/>
          <w:lang w:eastAsia="en-IE"/>
        </w:rPr>
        <w:footnoteReference w:id="58"/>
      </w:r>
      <w:r w:rsidRPr="000C480E">
        <w:rPr>
          <w:rFonts w:ascii="Times New Roman" w:hAnsi="Times New Roman"/>
          <w:noProof/>
          <w:color w:val="000000" w:themeColor="text1"/>
          <w:sz w:val="24"/>
        </w:rPr>
        <w:t>, Comisia va lua în considerare și riscurile climatice. Acțiunile prevăzute în pachetul de măsuri de ajutorare a IMM-urilor</w:t>
      </w:r>
      <w:r w:rsidR="0086628C" w:rsidRPr="000C480E">
        <w:rPr>
          <w:rStyle w:val="FootnoteReference"/>
          <w:rFonts w:ascii="Times New Roman" w:hAnsi="Times New Roman"/>
          <w:noProof/>
          <w:color w:val="000000" w:themeColor="text1"/>
          <w:sz w:val="24"/>
        </w:rPr>
        <w:footnoteReference w:id="59"/>
      </w:r>
      <w:r w:rsidRPr="000C480E">
        <w:rPr>
          <w:rFonts w:ascii="Times New Roman" w:hAnsi="Times New Roman"/>
          <w:noProof/>
          <w:color w:val="000000" w:themeColor="text1"/>
          <w:sz w:val="24"/>
        </w:rPr>
        <w:t>, care, printre altele, vizează facilitarea accesului IMM-urilor la finanțare durabilă, reducând în același timp la minimum sarcina administrativă, ajută, de asemenea, întreprinderile din UE să își mențină poziția competitivă și, eventual, să creeze și să conducă dezvoltarea pieței în segmentele care consolidează reziliența la schimbările climatice. Este vorba atât de sprijinirea societății, cât și de captarea unei părți semnificative pe piața mondială a tehnologiilor și sistemelor informatice legate de reziliența la schimbările climatice și de gestionarea riscurilor. Pentru a îmbunătăți reziliența sistemică a lanțurilor de aprovizionare ale UE, Comisia va lua în considerare potențialul de examinare a riscurilor climatice fizice în contextul monitorizării vulnerabilităților lanțului de aprovizionare.</w:t>
      </w:r>
    </w:p>
    <w:p w14:paraId="77DF6DCE" w14:textId="29FBD71F" w:rsidR="00211506" w:rsidRPr="000C480E" w:rsidRDefault="00211506" w:rsidP="00A632E5">
      <w:pPr>
        <w:spacing w:after="120"/>
        <w:jc w:val="both"/>
        <w:rPr>
          <w:rFonts w:ascii="Times New Roman" w:hAnsi="Times New Roman" w:cs="Times New Roman"/>
          <w:noProof/>
          <w:color w:val="000000" w:themeColor="text1"/>
          <w:sz w:val="24"/>
          <w:szCs w:val="24"/>
        </w:rPr>
      </w:pPr>
      <w:bookmarkStart w:id="62" w:name="_Hlk160800506"/>
      <w:r w:rsidRPr="000C480E">
        <w:rPr>
          <w:rFonts w:ascii="Times New Roman" w:hAnsi="Times New Roman"/>
          <w:noProof/>
          <w:color w:val="000000" w:themeColor="text1"/>
          <w:sz w:val="24"/>
          <w:u w:val="single"/>
        </w:rPr>
        <w:t>Există o nevoie clară de a consolida sustenabilitatea finanțelor publice</w:t>
      </w:r>
      <w:r w:rsidRPr="000C480E">
        <w:rPr>
          <w:rFonts w:ascii="Times New Roman" w:hAnsi="Times New Roman"/>
          <w:noProof/>
          <w:color w:val="000000" w:themeColor="text1"/>
          <w:sz w:val="24"/>
        </w:rPr>
        <w:t xml:space="preserve">. </w:t>
      </w:r>
      <w:r w:rsidRPr="000C480E">
        <w:rPr>
          <w:rFonts w:ascii="Times New Roman" w:hAnsi="Times New Roman"/>
          <w:noProof/>
          <w:sz w:val="24"/>
        </w:rPr>
        <w:t>Se preconizează că acordul provizoriu privind un nou cadru de guvernanță economică va consolida sustenabilitatea finanțelor publice și va promova creșterea economică prin reforme și investiții, nu în ultimul rând cele pentru prioritățile comune ale UE, cum ar fi tranziția climatică</w:t>
      </w:r>
      <w:r w:rsidRPr="000C480E">
        <w:rPr>
          <w:rFonts w:ascii="Times New Roman" w:hAnsi="Times New Roman" w:cs="Times New Roman"/>
          <w:noProof/>
          <w:color w:val="000000" w:themeColor="text1"/>
          <w:sz w:val="24"/>
          <w:szCs w:val="24"/>
          <w:vertAlign w:val="superscript"/>
          <w:lang w:eastAsia="en-IE"/>
        </w:rPr>
        <w:footnoteReference w:id="60"/>
      </w:r>
      <w:r w:rsidRPr="000C480E">
        <w:rPr>
          <w:rFonts w:ascii="Times New Roman" w:hAnsi="Times New Roman"/>
          <w:noProof/>
          <w:sz w:val="24"/>
        </w:rPr>
        <w:t>.</w:t>
      </w:r>
      <w:r w:rsidRPr="000C480E">
        <w:rPr>
          <w:rFonts w:ascii="Times New Roman" w:hAnsi="Times New Roman"/>
          <w:noProof/>
          <w:color w:val="000000" w:themeColor="text1"/>
          <w:sz w:val="24"/>
        </w:rPr>
        <w:t xml:space="preserve"> Se lucrează la elaborarea proiecției impactului schimbărilor climatice asupra sustenabilității datoriei. Ca parte a propunerii, modificările aduse Directivei privind cadrele bugetare naționale includ cerințe de raportare legate de climă în planurile bugetare naționale anuale și multianuale. Aceste dispoziții acoperă datele anterioare privind pierderile cauzate de dezastre legate de climă și estimările riscurilor bugetare generate de schimbările climatice. Pentru a îmbunătăți și a integra în procesele bugetare naționale întocmirea bugetului în funcție de riscurile climatice, Comisia este pregătită să sprijine statele membre la realizarea schimburilor de bune practici și să ofere sprijin și formare tehnică. Se lucrează la îmbunătățirea estimărilor privind nevoile de investiții în adaptare</w:t>
      </w:r>
      <w:r w:rsidR="006F47E3" w:rsidRPr="000C480E">
        <w:rPr>
          <w:rFonts w:ascii="Times New Roman" w:hAnsi="Times New Roman" w:cs="Times New Roman"/>
          <w:noProof/>
          <w:color w:val="000000" w:themeColor="text1"/>
          <w:sz w:val="24"/>
          <w:szCs w:val="24"/>
          <w:vertAlign w:val="superscript"/>
          <w:lang w:eastAsia="en-IE"/>
        </w:rPr>
        <w:footnoteReference w:id="61"/>
      </w:r>
      <w:r w:rsidRPr="000C480E">
        <w:rPr>
          <w:rFonts w:ascii="Times New Roman" w:hAnsi="Times New Roman"/>
          <w:noProof/>
          <w:color w:val="000000" w:themeColor="text1"/>
          <w:sz w:val="24"/>
        </w:rPr>
        <w:t xml:space="preserve">, iar Comisia va colabora, de asemenea, cu statele membre pentru a completa lacunele în materie de date, printre altele, pentru a estima nevoile naționale de investiții în adaptare. Comisia este pregătită să sprijine trezoreriile statelor membre care doresc să facă schimb de opinii cu privire la rolul lor în coordonarea, formularea și punerea în aplicare a politicilor de adaptare. </w:t>
      </w:r>
    </w:p>
    <w:bookmarkEnd w:id="62"/>
    <w:p w14:paraId="77A2ACA8" w14:textId="5E6E8800" w:rsidR="008C27E2" w:rsidRPr="000C480E" w:rsidRDefault="00867C89" w:rsidP="00A632E5">
      <w:pPr>
        <w:spacing w:after="120"/>
        <w:jc w:val="both"/>
        <w:rPr>
          <w:rFonts w:ascii="Times New Roman" w:hAnsi="Times New Roman" w:cs="Times New Roman"/>
          <w:noProof/>
          <w:color w:val="000000" w:themeColor="text1"/>
          <w:sz w:val="24"/>
          <w:szCs w:val="24"/>
        </w:rPr>
      </w:pPr>
      <w:r w:rsidRPr="000C480E">
        <w:rPr>
          <w:rFonts w:ascii="Times New Roman" w:hAnsi="Times New Roman"/>
          <w:noProof/>
          <w:color w:val="000000" w:themeColor="text1"/>
          <w:sz w:val="24"/>
          <w:u w:val="single"/>
        </w:rPr>
        <w:t>Politicile privind piețele financiare trebuie să adopte o abordare prudentă a riscurilor climatice pentru a proteja stabilitatea financiară.</w:t>
      </w:r>
      <w:r w:rsidRPr="0080431A">
        <w:rPr>
          <w:rFonts w:ascii="Times New Roman" w:hAnsi="Times New Roman"/>
          <w:noProof/>
          <w:color w:val="000000" w:themeColor="text1"/>
          <w:sz w:val="24"/>
        </w:rPr>
        <w:t xml:space="preserve"> </w:t>
      </w:r>
      <w:r w:rsidRPr="000C480E">
        <w:rPr>
          <w:rFonts w:ascii="Times New Roman" w:hAnsi="Times New Roman"/>
          <w:noProof/>
          <w:color w:val="000000" w:themeColor="text1"/>
          <w:sz w:val="24"/>
        </w:rPr>
        <w:t>Strategia UE privind finanțarea durabilă urmărește să sporească transparența riscurilor climatice și a altor riscuri de mediu și să facă sistemul financiar al UE mai sigur</w:t>
      </w:r>
      <w:bookmarkStart w:id="63" w:name="_Hlk160823229"/>
      <w:r w:rsidRPr="000C480E">
        <w:rPr>
          <w:noProof/>
        </w:rPr>
        <w:t>.</w:t>
      </w:r>
      <w:r w:rsidRPr="000C480E">
        <w:rPr>
          <w:rFonts w:ascii="Times New Roman" w:hAnsi="Times New Roman"/>
          <w:noProof/>
          <w:color w:val="000000" w:themeColor="text1"/>
          <w:sz w:val="24"/>
        </w:rPr>
        <w:t xml:space="preserve"> Comisia va continua să se asigure că toate riscurile relevante sunt reflectate în mod corespunzător în cadrele prudențiale, de exemplu în propunerile recent convenite referitoare la Solvabilitate II și la Regulamentul privind cerințele de capital, care oferă baza pentru integrarea riscurilor climatice în cadrele băncilor și ale asigurătorilor. Comisia va asigura punerea în aplicare rapidă a acestora.</w:t>
      </w:r>
    </w:p>
    <w:bookmarkEnd w:id="63"/>
    <w:p w14:paraId="42859B86" w14:textId="657A5CC7" w:rsidR="00FE74B1" w:rsidRPr="000C480E" w:rsidRDefault="00FE74B1" w:rsidP="00FE74B1">
      <w:pPr>
        <w:spacing w:after="120"/>
        <w:jc w:val="both"/>
        <w:rPr>
          <w:rFonts w:ascii="Times New Roman" w:hAnsi="Times New Roman" w:cs="Times New Roman"/>
          <w:noProof/>
          <w:color w:val="000000" w:themeColor="text1"/>
          <w:sz w:val="24"/>
          <w:szCs w:val="24"/>
          <w:u w:val="single"/>
          <w:lang w:eastAsia="en-IE"/>
        </w:rPr>
      </w:pPr>
    </w:p>
    <w:p w14:paraId="4E4E36AE" w14:textId="53B0D8EE" w:rsidR="0053389F" w:rsidRPr="000C480E" w:rsidRDefault="0053389F" w:rsidP="00B2476E">
      <w:pPr>
        <w:pStyle w:val="Heading1"/>
        <w:numPr>
          <w:ilvl w:val="0"/>
          <w:numId w:val="1"/>
        </w:numPr>
        <w:ind w:left="357" w:hanging="357"/>
        <w:rPr>
          <w:rFonts w:ascii="Times New Roman" w:hAnsi="Times New Roman" w:cs="Times New Roman"/>
          <w:b/>
          <w:bCs/>
          <w:noProof/>
          <w:color w:val="000000" w:themeColor="text1"/>
          <w:sz w:val="24"/>
          <w:szCs w:val="24"/>
        </w:rPr>
      </w:pPr>
      <w:bookmarkStart w:id="64" w:name="_Toc159792213"/>
      <w:r w:rsidRPr="000C480E">
        <w:rPr>
          <w:rFonts w:ascii="Times New Roman" w:hAnsi="Times New Roman"/>
          <w:b/>
          <w:noProof/>
          <w:color w:val="000000" w:themeColor="text1"/>
          <w:sz w:val="24"/>
        </w:rPr>
        <w:t>Etapele următoare</w:t>
      </w:r>
      <w:bookmarkEnd w:id="64"/>
      <w:r w:rsidRPr="000C480E">
        <w:rPr>
          <w:rFonts w:ascii="Times New Roman" w:hAnsi="Times New Roman"/>
          <w:b/>
          <w:noProof/>
          <w:color w:val="000000" w:themeColor="text1"/>
          <w:sz w:val="24"/>
        </w:rPr>
        <w:t xml:space="preserve"> </w:t>
      </w:r>
    </w:p>
    <w:p w14:paraId="22937A63" w14:textId="77777777" w:rsidR="00420C4C" w:rsidRPr="000C480E" w:rsidRDefault="00420C4C" w:rsidP="006A5049">
      <w:pPr>
        <w:jc w:val="both"/>
        <w:textAlignment w:val="baseline"/>
        <w:rPr>
          <w:rFonts w:ascii="Times New Roman" w:eastAsia="Times New Roman" w:hAnsi="Times New Roman" w:cs="Times New Roman"/>
          <w:noProof/>
          <w:color w:val="000000" w:themeColor="text1"/>
          <w:sz w:val="24"/>
          <w:szCs w:val="24"/>
          <w:lang w:eastAsia="en-IE"/>
        </w:rPr>
      </w:pPr>
    </w:p>
    <w:p w14:paraId="1F616742" w14:textId="11E1FCE1" w:rsidR="00363162" w:rsidRPr="000C480E" w:rsidRDefault="0049025D" w:rsidP="00BB3B6A">
      <w:pPr>
        <w:spacing w:after="120"/>
        <w:jc w:val="both"/>
        <w:textAlignment w:val="baseline"/>
        <w:rPr>
          <w:rFonts w:ascii="Times New Roman" w:eastAsia="Times New Roman" w:hAnsi="Times New Roman" w:cs="Times New Roman"/>
          <w:noProof/>
          <w:color w:val="000000" w:themeColor="text1"/>
          <w:sz w:val="24"/>
          <w:szCs w:val="24"/>
        </w:rPr>
      </w:pPr>
      <w:r w:rsidRPr="000C480E">
        <w:rPr>
          <w:rFonts w:ascii="Times New Roman" w:hAnsi="Times New Roman"/>
          <w:noProof/>
          <w:color w:val="000000" w:themeColor="text1"/>
          <w:sz w:val="24"/>
        </w:rPr>
        <w:t xml:space="preserve">Ca parte a punerii în aplicare a Strategiei UE privind adaptarea, prezenta comunicare subliniază acțiunile-cheie pe care UE și statele sale membre trebuie să le întreprindă pentru a gestiona mai bine riscurile climatice tot mai mari, în special pentru a pune în aplicare politicile existente și a clarifica asumarea riscurilor în procesele de guvernanță. Comisia face acest lucru pentru a oferi un răspuns solid și în timp util la pericolul clar și actual al mai multor dezastre climatice. </w:t>
      </w:r>
    </w:p>
    <w:p w14:paraId="43AC9216" w14:textId="63125849" w:rsidR="00F370B9" w:rsidRPr="000C480E" w:rsidRDefault="49C48264" w:rsidP="00BB3B6A">
      <w:pPr>
        <w:spacing w:after="120"/>
        <w:jc w:val="both"/>
        <w:textAlignment w:val="baseline"/>
        <w:rPr>
          <w:rFonts w:ascii="Times New Roman" w:eastAsia="Times New Roman" w:hAnsi="Times New Roman" w:cs="Times New Roman"/>
          <w:noProof/>
          <w:color w:val="000000" w:themeColor="text1"/>
          <w:sz w:val="24"/>
          <w:szCs w:val="24"/>
        </w:rPr>
      </w:pPr>
      <w:r w:rsidRPr="000C480E">
        <w:rPr>
          <w:rFonts w:ascii="Times New Roman" w:hAnsi="Times New Roman"/>
          <w:noProof/>
          <w:color w:val="000000" w:themeColor="text1"/>
          <w:sz w:val="24"/>
        </w:rPr>
        <w:t xml:space="preserve">Comunicarea subliniază necesitatea unor dovezi utile pentru luarea deciziilor, cum ar fi raportul EUCRA, cele mai recente observații privind temperatura, rapoartele privind progresele înregistrate și informațiile privind costurile daunelor cauzate de schimbările climatice. Aceasta evidențiază necesitatea de a utiliza pe deplin informațiile disponibile pentru a fundamenta opțiunile de politică din toate sectoarele. În următorii ani, factorii de decizie de la toate nivelurile de guvernanță ar trebui să abordeze în mod proactiv adaptarea la schimbările climatice, utilizând instrumente, tehnologii și alte mijloace deja existente. </w:t>
      </w:r>
      <w:r w:rsidRPr="000C480E">
        <w:rPr>
          <w:rFonts w:ascii="Times New Roman" w:hAnsi="Times New Roman"/>
          <w:b/>
          <w:noProof/>
          <w:color w:val="000000" w:themeColor="text1"/>
          <w:sz w:val="24"/>
        </w:rPr>
        <w:t>Acest lucru necesită o acțiune concertată la toate nivelurile și dezvoltarea unei căi clare de îmbunătățire a gradului de pregătire și a rezilienței.</w:t>
      </w:r>
    </w:p>
    <w:p w14:paraId="15BAA7F0" w14:textId="1734C501" w:rsidR="00831DA5" w:rsidRPr="000C480E" w:rsidRDefault="00831DA5" w:rsidP="00831DA5">
      <w:pPr>
        <w:spacing w:after="120"/>
        <w:jc w:val="both"/>
        <w:rPr>
          <w:rFonts w:ascii="Times New Roman" w:eastAsia="Times New Roman" w:hAnsi="Times New Roman" w:cs="Times New Roman"/>
          <w:noProof/>
          <w:color w:val="000000" w:themeColor="text1"/>
          <w:sz w:val="24"/>
          <w:szCs w:val="24"/>
        </w:rPr>
      </w:pPr>
      <w:r w:rsidRPr="000C480E">
        <w:rPr>
          <w:rFonts w:ascii="Times New Roman" w:hAnsi="Times New Roman"/>
          <w:noProof/>
          <w:sz w:val="24"/>
        </w:rPr>
        <w:t>Deși prezenta comunicare se axează pe acțiuni luate în Uniunea Europeană, ea prevede, de asemenea, schimbul de experiență și de informații cu țările partenere ale UE. Sectorul și domeniul de acțiune vizate de prezentul document se aliniază, în linii mari, la deciziile legate de adaptarea la schimbările climatice din cadrul COP28 a CCONUSC de la Dubai. Comisia va include în mod proactiv subiecte relevante în dialogurile bilaterale, prin intermediul alianțelor verzi și al parteneriatelor verzi, precum și în cadrul ONU și al altor foruri multilaterale relevante (cum ar fi G7, G20, OCDE, WEF, OMC).</w:t>
      </w:r>
      <w:r w:rsidRPr="000C480E">
        <w:rPr>
          <w:rFonts w:ascii="Times New Roman" w:hAnsi="Times New Roman"/>
          <w:noProof/>
          <w:color w:val="000000" w:themeColor="text1"/>
          <w:sz w:val="24"/>
        </w:rPr>
        <w:t xml:space="preserve"> În plus, Comisia va analiza posibilitatea de a organiza, în 2025, un simpozion internațional privind gestionarea riscurilor climatice globale, care să reunească reprezentanți ai guvernelor, finanțatori și organizații de experți din întreaga lume. </w:t>
      </w:r>
    </w:p>
    <w:p w14:paraId="0FB24F29" w14:textId="60280C48" w:rsidR="003B472B" w:rsidRPr="000C480E" w:rsidRDefault="005D1C82" w:rsidP="00F01461">
      <w:pPr>
        <w:spacing w:after="120"/>
        <w:jc w:val="both"/>
        <w:textAlignment w:val="baseline"/>
        <w:rPr>
          <w:rFonts w:ascii="Times New Roman" w:hAnsi="Times New Roman"/>
          <w:b/>
          <w:noProof/>
          <w:sz w:val="24"/>
        </w:rPr>
      </w:pPr>
      <w:r w:rsidRPr="000C480E">
        <w:rPr>
          <w:rFonts w:ascii="Times New Roman" w:hAnsi="Times New Roman"/>
          <w:b/>
          <w:noProof/>
          <w:sz w:val="24"/>
        </w:rPr>
        <w:t>Comisia va continua să colaboreze cu statele membre, cu publicul, cu întreprinderile și cu alte instituții ale UE pentru a spori reziliența societății și a economiei UE.</w:t>
      </w:r>
      <w:r w:rsidRPr="000C480E">
        <w:rPr>
          <w:rFonts w:ascii="Times New Roman" w:hAnsi="Times New Roman"/>
          <w:b/>
          <w:noProof/>
          <w:color w:val="000000" w:themeColor="text1"/>
          <w:sz w:val="24"/>
        </w:rPr>
        <w:t xml:space="preserve"> Împreună ne putem proteja cetățenii și prosperitatea.</w:t>
      </w:r>
    </w:p>
    <w:sectPr w:rsidR="003B472B" w:rsidRPr="000C480E" w:rsidSect="00915255">
      <w:headerReference w:type="even" r:id="rId21"/>
      <w:headerReference w:type="default" r:id="rId22"/>
      <w:footerReference w:type="even" r:id="rId23"/>
      <w:footerReference w:type="default" r:id="rId24"/>
      <w:headerReference w:type="first" r:id="rId25"/>
      <w:footerReference w:type="first" r:id="rId26"/>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F08E36" w14:textId="77777777" w:rsidR="006848B1" w:rsidRDefault="006848B1" w:rsidP="003F1FF2">
      <w:pPr>
        <w:spacing w:after="0" w:line="240" w:lineRule="auto"/>
      </w:pPr>
      <w:r>
        <w:separator/>
      </w:r>
    </w:p>
  </w:endnote>
  <w:endnote w:type="continuationSeparator" w:id="0">
    <w:p w14:paraId="36C1655D" w14:textId="77777777" w:rsidR="006848B1" w:rsidRDefault="006848B1" w:rsidP="003F1FF2">
      <w:pPr>
        <w:spacing w:after="0" w:line="240" w:lineRule="auto"/>
      </w:pPr>
      <w:r>
        <w:continuationSeparator/>
      </w:r>
    </w:p>
  </w:endnote>
  <w:endnote w:type="continuationNotice" w:id="1">
    <w:p w14:paraId="0EB776F2" w14:textId="77777777" w:rsidR="006848B1" w:rsidRDefault="006848B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3F0AF4" w14:textId="5A567F5B" w:rsidR="001A17E8" w:rsidRPr="001A17E8" w:rsidRDefault="001A17E8" w:rsidP="001A17E8">
    <w:pPr>
      <w:pStyle w:val="FooterCoverPage"/>
      <w:rPr>
        <w:rFonts w:ascii="Arial" w:hAnsi="Arial" w:cs="Arial"/>
        <w:b/>
        <w:sz w:val="48"/>
      </w:rPr>
    </w:pPr>
    <w:r w:rsidRPr="001A17E8">
      <w:rPr>
        <w:rFonts w:ascii="Arial" w:hAnsi="Arial" w:cs="Arial"/>
        <w:b/>
        <w:sz w:val="48"/>
      </w:rPr>
      <w:t>RO</w:t>
    </w:r>
    <w:r w:rsidRPr="001A17E8">
      <w:rPr>
        <w:rFonts w:ascii="Arial" w:hAnsi="Arial" w:cs="Arial"/>
        <w:b/>
        <w:sz w:val="48"/>
      </w:rPr>
      <w:tab/>
    </w:r>
    <w:r w:rsidRPr="001A17E8">
      <w:rPr>
        <w:rFonts w:ascii="Arial" w:hAnsi="Arial" w:cs="Arial"/>
        <w:b/>
        <w:sz w:val="48"/>
      </w:rPr>
      <w:tab/>
    </w:r>
    <w:r w:rsidRPr="001A17E8">
      <w:tab/>
    </w:r>
    <w:r w:rsidRPr="001A17E8">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61D457" w14:textId="48DD1776" w:rsidR="001A17E8" w:rsidRPr="001A17E8" w:rsidRDefault="001A17E8" w:rsidP="001A17E8">
    <w:pPr>
      <w:pStyle w:val="FooterCoverPage"/>
      <w:rPr>
        <w:rFonts w:ascii="Arial" w:hAnsi="Arial" w:cs="Arial"/>
        <w:b/>
        <w:sz w:val="48"/>
      </w:rPr>
    </w:pPr>
    <w:r w:rsidRPr="001A17E8">
      <w:rPr>
        <w:rFonts w:ascii="Arial" w:hAnsi="Arial" w:cs="Arial"/>
        <w:b/>
        <w:sz w:val="48"/>
      </w:rPr>
      <w:t>RO</w:t>
    </w:r>
    <w:r w:rsidRPr="001A17E8">
      <w:rPr>
        <w:rFonts w:ascii="Arial" w:hAnsi="Arial" w:cs="Arial"/>
        <w:b/>
        <w:sz w:val="48"/>
      </w:rPr>
      <w:tab/>
    </w:r>
    <w:r w:rsidRPr="001A17E8">
      <w:rPr>
        <w:rFonts w:ascii="Arial" w:hAnsi="Arial" w:cs="Arial"/>
        <w:b/>
        <w:sz w:val="48"/>
      </w:rPr>
      <w:tab/>
    </w:r>
    <w:r w:rsidRPr="001A17E8">
      <w:tab/>
    </w:r>
    <w:r w:rsidRPr="001A17E8">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F40B13" w14:textId="77777777" w:rsidR="001A17E8" w:rsidRPr="001A17E8" w:rsidRDefault="001A17E8" w:rsidP="001A17E8">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701DD3" w14:textId="77777777" w:rsidR="00915255" w:rsidRDefault="0091525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55407010"/>
      <w:docPartObj>
        <w:docPartGallery w:val="Page Numbers (Bottom of Page)"/>
        <w:docPartUnique/>
      </w:docPartObj>
    </w:sdtPr>
    <w:sdtEndPr>
      <w:rPr>
        <w:noProof/>
      </w:rPr>
    </w:sdtEndPr>
    <w:sdtContent>
      <w:p w14:paraId="65F03D3E" w14:textId="683B09CD" w:rsidR="00915255" w:rsidRDefault="00915255">
        <w:pPr>
          <w:pStyle w:val="Footer"/>
          <w:jc w:val="center"/>
        </w:pPr>
        <w:r>
          <w:fldChar w:fldCharType="begin"/>
        </w:r>
        <w:r>
          <w:instrText xml:space="preserve"> PAGE   \* MERGEFORMAT </w:instrText>
        </w:r>
        <w:r>
          <w:fldChar w:fldCharType="separate"/>
        </w:r>
        <w:r w:rsidR="001A17E8">
          <w:rPr>
            <w:noProof/>
          </w:rPr>
          <w:t>1</w:t>
        </w:r>
        <w:r>
          <w:fldChar w:fldCharType="end"/>
        </w:r>
      </w:p>
    </w:sdtContent>
  </w:sdt>
  <w:p w14:paraId="4C6A6D95" w14:textId="77777777" w:rsidR="00915255" w:rsidRDefault="0091525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3DA1DE" w14:textId="77777777" w:rsidR="00915255" w:rsidRDefault="009152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1A6FC4" w14:textId="77777777" w:rsidR="006848B1" w:rsidRDefault="006848B1" w:rsidP="003F1FF2">
      <w:pPr>
        <w:spacing w:after="0" w:line="240" w:lineRule="auto"/>
      </w:pPr>
      <w:r>
        <w:separator/>
      </w:r>
    </w:p>
  </w:footnote>
  <w:footnote w:type="continuationSeparator" w:id="0">
    <w:p w14:paraId="34618140" w14:textId="77777777" w:rsidR="006848B1" w:rsidRDefault="006848B1" w:rsidP="003F1FF2">
      <w:pPr>
        <w:spacing w:after="0" w:line="240" w:lineRule="auto"/>
      </w:pPr>
      <w:r>
        <w:continuationSeparator/>
      </w:r>
    </w:p>
  </w:footnote>
  <w:footnote w:type="continuationNotice" w:id="1">
    <w:p w14:paraId="1E958A66" w14:textId="77777777" w:rsidR="006848B1" w:rsidRDefault="006848B1">
      <w:pPr>
        <w:spacing w:after="0" w:line="240" w:lineRule="auto"/>
      </w:pPr>
    </w:p>
  </w:footnote>
  <w:footnote w:id="2">
    <w:p w14:paraId="2FB16C84" w14:textId="17F779A7" w:rsidR="0049438C" w:rsidRPr="000C480E" w:rsidRDefault="0049438C">
      <w:pPr>
        <w:pStyle w:val="FootnoteText"/>
      </w:pPr>
      <w:r w:rsidRPr="000C480E">
        <w:rPr>
          <w:rStyle w:val="FootnoteReference"/>
        </w:rPr>
        <w:footnoteRef/>
      </w:r>
      <w:r w:rsidRPr="000C480E">
        <w:t xml:space="preserve"> COM(2024) 63 final. </w:t>
      </w:r>
      <w:hyperlink r:id="rId1" w:history="1">
        <w:r w:rsidRPr="000C480E">
          <w:rPr>
            <w:rStyle w:val="Hyperlink"/>
          </w:rPr>
          <w:t>https://eur-lex.europa.eu/legal-content/RO/TXT/?uri=COM%3A2024%3A63%3AFIN</w:t>
        </w:r>
      </w:hyperlink>
    </w:p>
  </w:footnote>
  <w:footnote w:id="3">
    <w:p w14:paraId="174C2E86" w14:textId="52D8D331" w:rsidR="00A002CB" w:rsidRPr="000C480E" w:rsidRDefault="00A002CB">
      <w:pPr>
        <w:pStyle w:val="FootnoteText"/>
      </w:pPr>
      <w:r w:rsidRPr="000C480E">
        <w:rPr>
          <w:rStyle w:val="FootnoteReference"/>
        </w:rPr>
        <w:footnoteRef/>
      </w:r>
      <w:r w:rsidRPr="000C480E">
        <w:t xml:space="preserve"> </w:t>
      </w:r>
      <w:hyperlink r:id="rId2" w:history="1">
        <w:r w:rsidRPr="000C480E">
          <w:rPr>
            <w:rStyle w:val="Hyperlink"/>
          </w:rPr>
          <w:t>https://climate.copernicus.eu/copernicus-2023-hottest-year-record</w:t>
        </w:r>
      </w:hyperlink>
      <w:r w:rsidRPr="000C480E">
        <w:t xml:space="preserve"> </w:t>
      </w:r>
    </w:p>
  </w:footnote>
  <w:footnote w:id="4">
    <w:p w14:paraId="28C2380D" w14:textId="04D73A8B" w:rsidR="001364A4" w:rsidRPr="000C480E" w:rsidRDefault="001364A4" w:rsidP="00701176">
      <w:pPr>
        <w:pStyle w:val="FootnoteText"/>
        <w:jc w:val="left"/>
      </w:pPr>
      <w:r w:rsidRPr="000C480E">
        <w:rPr>
          <w:rStyle w:val="FootnoteReference"/>
        </w:rPr>
        <w:footnoteRef/>
      </w:r>
      <w:r w:rsidRPr="000C480E">
        <w:rPr>
          <w:rFonts w:asciiTheme="minorHAnsi" w:hAnsiTheme="minorHAnsi"/>
          <w:sz w:val="22"/>
        </w:rPr>
        <w:t xml:space="preserve"> </w:t>
      </w:r>
      <w:r w:rsidRPr="000C480E">
        <w:t xml:space="preserve">EEA (2024), European Climate Risk Assessment, ISSN 1977-8449. </w:t>
      </w:r>
      <w:hyperlink r:id="rId3" w:history="1">
        <w:r w:rsidRPr="000C480E">
          <w:rPr>
            <w:rStyle w:val="Hyperlink"/>
          </w:rPr>
          <w:t>https://www.eea.europa.eu/publications/european-climate-risk-assessment</w:t>
        </w:r>
      </w:hyperlink>
      <w:r w:rsidRPr="000C480E">
        <w:t xml:space="preserve"> </w:t>
      </w:r>
    </w:p>
  </w:footnote>
  <w:footnote w:id="5">
    <w:p w14:paraId="0F1F6333" w14:textId="77777777" w:rsidR="00202AD4" w:rsidRPr="000C480E" w:rsidRDefault="00202AD4" w:rsidP="00202AD4">
      <w:pPr>
        <w:pStyle w:val="FootnoteText"/>
      </w:pPr>
      <w:r w:rsidRPr="000C480E">
        <w:rPr>
          <w:rStyle w:val="FootnoteReference"/>
        </w:rPr>
        <w:footnoteRef/>
      </w:r>
      <w:r w:rsidRPr="000C480E">
        <w:t xml:space="preserve"> </w:t>
      </w:r>
      <w:hyperlink r:id="rId4" w:history="1">
        <w:r w:rsidRPr="000C480E">
          <w:rPr>
            <w:rStyle w:val="Hyperlink"/>
          </w:rPr>
          <w:t>https://www.weforum.org/publications/global-risks-report-2024/</w:t>
        </w:r>
      </w:hyperlink>
      <w:r w:rsidRPr="000C480E">
        <w:t xml:space="preserve"> </w:t>
      </w:r>
    </w:p>
  </w:footnote>
  <w:footnote w:id="6">
    <w:p w14:paraId="422D5DC4" w14:textId="03B0052D" w:rsidR="00202AD4" w:rsidRPr="000C480E" w:rsidRDefault="00202AD4" w:rsidP="00202AD4">
      <w:pPr>
        <w:pStyle w:val="FootnoteText"/>
      </w:pPr>
      <w:r w:rsidRPr="000C480E">
        <w:rPr>
          <w:rStyle w:val="FootnoteReference"/>
        </w:rPr>
        <w:footnoteRef/>
      </w:r>
      <w:r w:rsidRPr="000C480E">
        <w:t xml:space="preserve"> </w:t>
      </w:r>
      <w:hyperlink r:id="rId5" w:history="1">
        <w:r w:rsidRPr="000C480E">
          <w:rPr>
            <w:rStyle w:val="Hyperlink"/>
          </w:rPr>
          <w:t>https://www.ecb.europa.eu/press/pr/date/2023/html/ecb.pr231218_1~6b3bea9532.en.html</w:t>
        </w:r>
      </w:hyperlink>
      <w:r w:rsidRPr="000C480E">
        <w:t xml:space="preserve"> </w:t>
      </w:r>
    </w:p>
  </w:footnote>
  <w:footnote w:id="7">
    <w:p w14:paraId="29D84196" w14:textId="1BC9518B" w:rsidR="00082DDA" w:rsidRPr="000C480E" w:rsidRDefault="00082DDA">
      <w:pPr>
        <w:pStyle w:val="FootnoteText"/>
      </w:pPr>
      <w:r w:rsidRPr="000C480E">
        <w:rPr>
          <w:rStyle w:val="FootnoteReference"/>
        </w:rPr>
        <w:footnoteRef/>
      </w:r>
      <w:r w:rsidRPr="000C480E">
        <w:t xml:space="preserve"> P9_TA(2022)0330. </w:t>
      </w:r>
      <w:hyperlink r:id="rId6" w:history="1">
        <w:r w:rsidR="00985CD3" w:rsidRPr="00FE4A8E">
          <w:rPr>
            <w:rStyle w:val="Hyperlink"/>
          </w:rPr>
          <w:t>https://www.europarl.europa.eu/doceo/document/TA-9-2022-0330_RO.html</w:t>
        </w:r>
      </w:hyperlink>
      <w:r w:rsidRPr="000C480E">
        <w:t xml:space="preserve"> </w:t>
      </w:r>
    </w:p>
  </w:footnote>
  <w:footnote w:id="8">
    <w:p w14:paraId="3CE6D5B0" w14:textId="77777777" w:rsidR="00566DC0" w:rsidRPr="000C480E" w:rsidRDefault="00566DC0" w:rsidP="00566DC0">
      <w:pPr>
        <w:pStyle w:val="FootnoteText"/>
      </w:pPr>
      <w:r w:rsidRPr="000C480E">
        <w:rPr>
          <w:rStyle w:val="FootnoteReference"/>
        </w:rPr>
        <w:footnoteRef/>
      </w:r>
      <w:r w:rsidRPr="000C480E">
        <w:t xml:space="preserve"> EUCO 14/23. </w:t>
      </w:r>
      <w:hyperlink r:id="rId7" w:history="1">
        <w:r w:rsidRPr="000C480E">
          <w:rPr>
            <w:rStyle w:val="Hyperlink"/>
          </w:rPr>
          <w:t>https://www.consilium.europa.eu/media/67627/20241027-european-council-conclusions.pdf</w:t>
        </w:r>
      </w:hyperlink>
      <w:r w:rsidRPr="000C480E">
        <w:t xml:space="preserve"> </w:t>
      </w:r>
    </w:p>
  </w:footnote>
  <w:footnote w:id="9">
    <w:p w14:paraId="7776C871" w14:textId="77777777" w:rsidR="00050DE4" w:rsidRPr="000C480E" w:rsidRDefault="00050DE4" w:rsidP="00050DE4">
      <w:pPr>
        <w:pStyle w:val="FootnoteText"/>
        <w:rPr>
          <w:color w:val="0000FF" w:themeColor="hyperlink"/>
          <w:u w:val="single"/>
        </w:rPr>
      </w:pPr>
      <w:r w:rsidRPr="000C480E">
        <w:rPr>
          <w:rStyle w:val="FootnoteReference"/>
        </w:rPr>
        <w:footnoteRef/>
      </w:r>
      <w:r w:rsidRPr="000C480E">
        <w:t xml:space="preserve"> SWD(2023) 339 final. </w:t>
      </w:r>
      <w:hyperlink r:id="rId8" w:history="1">
        <w:r w:rsidRPr="000C480E">
          <w:rPr>
            <w:rStyle w:val="Hyperlink"/>
          </w:rPr>
          <w:t>https://eur-lex.europa.eu/legal-content/RO/ALL/?uri=CELEX:52023SC0339</w:t>
        </w:r>
      </w:hyperlink>
    </w:p>
  </w:footnote>
  <w:footnote w:id="10">
    <w:p w14:paraId="1350A12C" w14:textId="67E89D26" w:rsidR="00050DE4" w:rsidRPr="000C480E" w:rsidRDefault="00050DE4" w:rsidP="00050DE4">
      <w:pPr>
        <w:pStyle w:val="FootnoteText"/>
      </w:pPr>
      <w:r w:rsidRPr="000C480E">
        <w:rPr>
          <w:rStyle w:val="FootnoteReference"/>
        </w:rPr>
        <w:footnoteRef/>
      </w:r>
      <w:r w:rsidRPr="000C480E">
        <w:t xml:space="preserve"> SWD(2023) 932 final. </w:t>
      </w:r>
      <w:hyperlink r:id="rId9" w:history="1">
        <w:r w:rsidRPr="000C480E">
          <w:rPr>
            <w:rStyle w:val="Hyperlink"/>
          </w:rPr>
          <w:t>https://climate.ec.europa.eu/system/files/2023-12/SWD_2023_932_1_EN.pdf</w:t>
        </w:r>
      </w:hyperlink>
      <w:r w:rsidRPr="000C480E">
        <w:t xml:space="preserve"> </w:t>
      </w:r>
    </w:p>
  </w:footnote>
  <w:footnote w:id="11">
    <w:p w14:paraId="663AD807" w14:textId="709929F9" w:rsidR="00B809D0" w:rsidRPr="000C480E" w:rsidRDefault="00B809D0" w:rsidP="005A32D6">
      <w:pPr>
        <w:pStyle w:val="FootnoteText"/>
        <w:jc w:val="left"/>
      </w:pPr>
      <w:r w:rsidRPr="000C480E">
        <w:rPr>
          <w:rStyle w:val="FootnoteReference"/>
        </w:rPr>
        <w:footnoteRef/>
      </w:r>
      <w:r w:rsidRPr="000C480E">
        <w:t xml:space="preserve"> </w:t>
      </w:r>
      <w:hyperlink r:id="rId10" w:history="1">
        <w:r w:rsidRPr="000C480E">
          <w:rPr>
            <w:rStyle w:val="Hyperlink"/>
          </w:rPr>
          <w:t>https://commission.europa.eu/energy-climate-change-environment/implementation-eu-countries/energy-and-climate-governance-and-reporting/national-energy-and-climate-plans_en</w:t>
        </w:r>
      </w:hyperlink>
    </w:p>
  </w:footnote>
  <w:footnote w:id="12">
    <w:p w14:paraId="5B56BA62" w14:textId="4EDF2B27" w:rsidR="008573D8" w:rsidRPr="000C480E" w:rsidRDefault="008573D8" w:rsidP="008573D8">
      <w:pPr>
        <w:pStyle w:val="FootnoteText"/>
      </w:pPr>
      <w:r w:rsidRPr="000C480E">
        <w:rPr>
          <w:rStyle w:val="FootnoteReference"/>
        </w:rPr>
        <w:footnoteRef/>
      </w:r>
      <w:r w:rsidRPr="000C480E">
        <w:t xml:space="preserve"> COM(2024) 130 final. </w:t>
      </w:r>
      <w:hyperlink r:id="rId11" w:history="1">
        <w:r w:rsidRPr="000C480E">
          <w:rPr>
            <w:rStyle w:val="Hyperlink"/>
          </w:rPr>
          <w:t>https://civil-protection-humanitarian-aid.ec.europa.eu/what/civil-protection/european-disaster-risk-management_en</w:t>
        </w:r>
      </w:hyperlink>
      <w:r w:rsidRPr="000C480E">
        <w:t xml:space="preserve"> </w:t>
      </w:r>
    </w:p>
  </w:footnote>
  <w:footnote w:id="13">
    <w:p w14:paraId="415FDB94" w14:textId="5612A780" w:rsidR="008E56D1" w:rsidRPr="000C480E" w:rsidRDefault="008E56D1" w:rsidP="008E56D1">
      <w:pPr>
        <w:pStyle w:val="FootnoteText"/>
      </w:pPr>
      <w:r w:rsidRPr="000C480E">
        <w:rPr>
          <w:rStyle w:val="FootnoteReference"/>
        </w:rPr>
        <w:footnoteRef/>
      </w:r>
      <w:r w:rsidRPr="000C480E">
        <w:t xml:space="preserve"> JOIN(2023) 19 final. </w:t>
      </w:r>
      <w:hyperlink r:id="rId12" w:history="1">
        <w:r w:rsidRPr="000C480E">
          <w:rPr>
            <w:rStyle w:val="Hyperlink"/>
          </w:rPr>
          <w:t>https://eur-lex.europa.eu/legal-content/RO/TXT/?uri=CELEX%3A52023JC0019</w:t>
        </w:r>
      </w:hyperlink>
      <w:r w:rsidRPr="000C480E">
        <w:t xml:space="preserve"> </w:t>
      </w:r>
    </w:p>
  </w:footnote>
  <w:footnote w:id="14">
    <w:p w14:paraId="4C7AF43B" w14:textId="19D28A04" w:rsidR="00A70A3C" w:rsidRPr="000C480E" w:rsidRDefault="00A70A3C" w:rsidP="00A70A3C">
      <w:pPr>
        <w:pStyle w:val="FootnoteText"/>
      </w:pPr>
      <w:r w:rsidRPr="000C480E">
        <w:rPr>
          <w:rStyle w:val="FootnoteReference"/>
        </w:rPr>
        <w:footnoteRef/>
      </w:r>
      <w:r w:rsidRPr="000C480E">
        <w:t xml:space="preserve"> COM(2021)82 final. </w:t>
      </w:r>
      <w:hyperlink r:id="rId13" w:history="1">
        <w:r w:rsidR="004B6372" w:rsidRPr="004B6372">
          <w:rPr>
            <w:rStyle w:val="Hyperlink"/>
          </w:rPr>
          <w:t>eur-lex.europa.eu/legal-content/EN/TXT/PDF/?uri=CELEX:52021DC0082&amp;from=EN</w:t>
        </w:r>
      </w:hyperlink>
    </w:p>
  </w:footnote>
  <w:footnote w:id="15">
    <w:p w14:paraId="6D62BDB8" w14:textId="0CAECF1C" w:rsidR="00D7188A" w:rsidRPr="000C480E" w:rsidRDefault="00D7188A" w:rsidP="00D7188A">
      <w:pPr>
        <w:pStyle w:val="FootnoteText"/>
      </w:pPr>
      <w:r w:rsidRPr="000C480E">
        <w:rPr>
          <w:rStyle w:val="FootnoteReference"/>
        </w:rPr>
        <w:footnoteRef/>
      </w:r>
      <w:r w:rsidRPr="000C480E">
        <w:t xml:space="preserve"> CMA.5 Decizia privind programul de lucru Glasgow-Sharm el-Sheikh referitor la obiectivul global de adaptare </w:t>
      </w:r>
    </w:p>
  </w:footnote>
  <w:footnote w:id="16">
    <w:p w14:paraId="67984363" w14:textId="77777777" w:rsidR="00582114" w:rsidRPr="000C480E" w:rsidRDefault="00582114" w:rsidP="00582114">
      <w:pPr>
        <w:pStyle w:val="FootnoteText"/>
        <w:jc w:val="left"/>
      </w:pPr>
      <w:r w:rsidRPr="000C480E">
        <w:rPr>
          <w:rStyle w:val="FootnoteReference"/>
        </w:rPr>
        <w:footnoteRef/>
      </w:r>
      <w:r w:rsidRPr="000C480E">
        <w:t xml:space="preserve"> SWD(2024) 63 final. </w:t>
      </w:r>
      <w:hyperlink r:id="rId14" w:history="1">
        <w:r w:rsidRPr="000C480E">
          <w:rPr>
            <w:rStyle w:val="Hyperlink"/>
          </w:rPr>
          <w:t>https://climate.ec.europa.eu/document/download/768bc81f-5f48-48e3-b4d4-e02ba09faca1_en</w:t>
        </w:r>
      </w:hyperlink>
      <w:r w:rsidRPr="000C480E">
        <w:t xml:space="preserve"> </w:t>
      </w:r>
    </w:p>
  </w:footnote>
  <w:footnote w:id="17">
    <w:p w14:paraId="575E217A" w14:textId="70CAA85E" w:rsidR="00582114" w:rsidRPr="000C480E" w:rsidRDefault="00582114" w:rsidP="00582114">
      <w:pPr>
        <w:pStyle w:val="FootnoteText"/>
      </w:pPr>
      <w:r w:rsidRPr="000C480E">
        <w:rPr>
          <w:rStyle w:val="FootnoteReference"/>
        </w:rPr>
        <w:footnoteRef/>
      </w:r>
      <w:r w:rsidRPr="000C480E">
        <w:t xml:space="preserve"> </w:t>
      </w:r>
      <w:r w:rsidRPr="000C480E">
        <w:rPr>
          <w:rStyle w:val="cf01"/>
          <w:rFonts w:ascii="Times New Roman" w:hAnsi="Times New Roman"/>
          <w:color w:val="0000FF"/>
          <w:sz w:val="20"/>
          <w:u w:val="single"/>
        </w:rPr>
        <w:t>https://www.nature.com/articles/s41467-020-15665-3</w:t>
      </w:r>
    </w:p>
  </w:footnote>
  <w:footnote w:id="18">
    <w:p w14:paraId="78404492" w14:textId="0477C14E" w:rsidR="000B141D" w:rsidRPr="000C480E" w:rsidRDefault="000B141D">
      <w:pPr>
        <w:pStyle w:val="FootnoteText"/>
      </w:pPr>
      <w:r w:rsidRPr="000C480E">
        <w:rPr>
          <w:rStyle w:val="FootnoteReference"/>
        </w:rPr>
        <w:footnoteRef/>
      </w:r>
      <w:r w:rsidRPr="000C480E">
        <w:t xml:space="preserve"> Pentru politicile Uniunii, astfel cum se prevede</w:t>
      </w:r>
      <w:r w:rsidR="00A757D1" w:rsidRPr="000C480E">
        <w:t xml:space="preserve"> </w:t>
      </w:r>
      <w:r w:rsidRPr="000C480E">
        <w:t>la articolul 191 din Tratatul privind funcționarea Uniunii Europene.</w:t>
      </w:r>
    </w:p>
  </w:footnote>
  <w:footnote w:id="19">
    <w:p w14:paraId="4B61E419" w14:textId="62875F64" w:rsidR="00FF67E3" w:rsidRPr="000C480E" w:rsidRDefault="00FF67E3" w:rsidP="00FF67E3">
      <w:pPr>
        <w:pStyle w:val="FootnoteText"/>
      </w:pPr>
      <w:r w:rsidRPr="000C480E">
        <w:rPr>
          <w:rStyle w:val="FootnoteReference"/>
        </w:rPr>
        <w:footnoteRef/>
      </w:r>
      <w:r w:rsidRPr="000C480E">
        <w:t xml:space="preserve"> 2021 Banca Internațională pentru Reconstrucție și Dezvoltare / Banca Mondială „</w:t>
      </w:r>
      <w:r w:rsidRPr="000C480E">
        <w:rPr>
          <w:i/>
          <w:iCs/>
        </w:rPr>
        <w:t>Economics for Disaster Prevention and Preparedness</w:t>
      </w:r>
      <w:r w:rsidRPr="000C480E">
        <w:t xml:space="preserve">: </w:t>
      </w:r>
      <w:r w:rsidRPr="000C480E">
        <w:rPr>
          <w:i/>
          <w:iCs/>
        </w:rPr>
        <w:t>Investment in Disaster Risk management in Europe Makes Economic Sense</w:t>
      </w:r>
      <w:r w:rsidRPr="000C480E">
        <w:t>”</w:t>
      </w:r>
    </w:p>
  </w:footnote>
  <w:footnote w:id="20">
    <w:p w14:paraId="05787910" w14:textId="1A5BACBA" w:rsidR="00FF67E3" w:rsidRPr="000C480E" w:rsidRDefault="00FF67E3" w:rsidP="00FF67E3">
      <w:pPr>
        <w:pStyle w:val="FootnoteText"/>
      </w:pPr>
      <w:r w:rsidRPr="000C480E">
        <w:rPr>
          <w:rStyle w:val="FootnoteReference"/>
        </w:rPr>
        <w:footnoteRef/>
      </w:r>
      <w:r w:rsidRPr="000C480E">
        <w:t xml:space="preserve"> Recomandarea de stabilire a obiectivelor Uniunii în materie de reziliență la dezastre, JO C 56, 15.2.2023</w:t>
      </w:r>
    </w:p>
  </w:footnote>
  <w:footnote w:id="21">
    <w:p w14:paraId="5E0B3D0D" w14:textId="5C857355" w:rsidR="001355AB" w:rsidRPr="000C480E" w:rsidRDefault="001355AB" w:rsidP="001355AB">
      <w:pPr>
        <w:pStyle w:val="FootnoteText"/>
      </w:pPr>
      <w:r w:rsidRPr="000C480E">
        <w:rPr>
          <w:rStyle w:val="FootnoteReference"/>
        </w:rPr>
        <w:footnoteRef/>
      </w:r>
      <w:r w:rsidRPr="000C480E">
        <w:t xml:space="preserve"> </w:t>
      </w:r>
      <w:hyperlink r:id="rId15" w:history="1">
        <w:r w:rsidRPr="000C480E">
          <w:rPr>
            <w:rStyle w:val="Hyperlink"/>
          </w:rPr>
          <w:t>https://dataspace.copernicus.eu/</w:t>
        </w:r>
      </w:hyperlink>
      <w:r w:rsidRPr="000C480E">
        <w:t xml:space="preserve"> </w:t>
      </w:r>
    </w:p>
  </w:footnote>
  <w:footnote w:id="22">
    <w:p w14:paraId="7031F8A2" w14:textId="6FA27646" w:rsidR="001355AB" w:rsidRPr="000C480E" w:rsidRDefault="001355AB" w:rsidP="001355AB">
      <w:pPr>
        <w:pStyle w:val="FootnoteText"/>
      </w:pPr>
      <w:r w:rsidRPr="000C480E">
        <w:rPr>
          <w:rStyle w:val="FootnoteReference"/>
        </w:rPr>
        <w:footnoteRef/>
      </w:r>
      <w:r w:rsidRPr="000C480E">
        <w:t xml:space="preserve"> </w:t>
      </w:r>
      <w:hyperlink r:id="rId16" w:history="1">
        <w:r w:rsidRPr="000C480E">
          <w:rPr>
            <w:rStyle w:val="Hyperlink"/>
          </w:rPr>
          <w:t>https://www.wekeo.eu/</w:t>
        </w:r>
      </w:hyperlink>
      <w:r w:rsidRPr="000C480E">
        <w:t xml:space="preserve"> </w:t>
      </w:r>
    </w:p>
  </w:footnote>
  <w:footnote w:id="23">
    <w:p w14:paraId="41EA95C6" w14:textId="482F0C74" w:rsidR="002F1D2F" w:rsidRPr="000C480E" w:rsidRDefault="002F1D2F" w:rsidP="002F1D2F">
      <w:pPr>
        <w:pStyle w:val="FootnoteText"/>
      </w:pPr>
      <w:r w:rsidRPr="000C480E">
        <w:rPr>
          <w:rStyle w:val="FootnoteReference"/>
        </w:rPr>
        <w:footnoteRef/>
      </w:r>
      <w:r w:rsidRPr="000C480E">
        <w:t xml:space="preserve"> COM(2023) 728 final. </w:t>
      </w:r>
      <w:hyperlink r:id="rId17" w:history="1">
        <w:r w:rsidRPr="000C480E">
          <w:rPr>
            <w:rStyle w:val="Hyperlink"/>
          </w:rPr>
          <w:t>https://eur-lex.europa.eu/legal-content/RO/TXT/?uri=COM%3A2023%3A728%3AFIN</w:t>
        </w:r>
      </w:hyperlink>
      <w:r w:rsidRPr="000C480E">
        <w:t xml:space="preserve"> </w:t>
      </w:r>
    </w:p>
  </w:footnote>
  <w:footnote w:id="24">
    <w:p w14:paraId="5B8663C5" w14:textId="4C49A60C" w:rsidR="007B69D8" w:rsidRPr="000C480E" w:rsidRDefault="007B69D8" w:rsidP="007B69D8">
      <w:pPr>
        <w:pStyle w:val="FootnoteText"/>
      </w:pPr>
      <w:r w:rsidRPr="000C480E">
        <w:rPr>
          <w:rStyle w:val="FootnoteReference"/>
        </w:rPr>
        <w:footnoteRef/>
      </w:r>
      <w:r w:rsidRPr="000C480E">
        <w:t xml:space="preserve"> COM(2023) 416 final. </w:t>
      </w:r>
      <w:hyperlink r:id="rId18" w:history="1">
        <w:r w:rsidRPr="000C480E">
          <w:rPr>
            <w:rStyle w:val="Hyperlink"/>
          </w:rPr>
          <w:t>https://eur-lex.europa.eu/legal-contentRO/TXT/?uri=CELEX%3A52023PC0416</w:t>
        </w:r>
      </w:hyperlink>
      <w:r w:rsidRPr="000C480E">
        <w:t xml:space="preserve"> </w:t>
      </w:r>
    </w:p>
  </w:footnote>
  <w:footnote w:id="25">
    <w:p w14:paraId="78A50AC1" w14:textId="2AAA18BB" w:rsidR="00FD5E36" w:rsidRPr="000C480E" w:rsidRDefault="00FD5E36" w:rsidP="00FD5E36">
      <w:pPr>
        <w:pStyle w:val="FootnoteText"/>
      </w:pPr>
      <w:r w:rsidRPr="000C480E">
        <w:rPr>
          <w:rStyle w:val="FootnoteReference"/>
        </w:rPr>
        <w:footnoteRef/>
      </w:r>
      <w:r w:rsidRPr="000C480E">
        <w:t xml:space="preserve"> De exemplu, EFAS, EFFIS, EDO</w:t>
      </w:r>
    </w:p>
  </w:footnote>
  <w:footnote w:id="26">
    <w:p w14:paraId="77D728A7" w14:textId="77777777" w:rsidR="00F40219" w:rsidRPr="000C480E" w:rsidRDefault="00F40219" w:rsidP="00F40219">
      <w:pPr>
        <w:pStyle w:val="FootnoteText"/>
      </w:pPr>
      <w:r w:rsidRPr="000C480E">
        <w:rPr>
          <w:rStyle w:val="FootnoteReference"/>
        </w:rPr>
        <w:footnoteRef/>
      </w:r>
      <w:r w:rsidRPr="000C480E">
        <w:t xml:space="preserve"> </w:t>
      </w:r>
      <w:hyperlink r:id="rId19" w:history="1">
        <w:r w:rsidRPr="000C480E">
          <w:rPr>
            <w:rStyle w:val="Hyperlink"/>
          </w:rPr>
          <w:t>https://climate-adapt.eea.europa.eu/en/knowledge/european-climate-data-explorer/</w:t>
        </w:r>
      </w:hyperlink>
      <w:r w:rsidRPr="000C480E">
        <w:t xml:space="preserve"> </w:t>
      </w:r>
    </w:p>
  </w:footnote>
  <w:footnote w:id="27">
    <w:p w14:paraId="1EFAEF15" w14:textId="79B529FB" w:rsidR="00A66FC2" w:rsidRPr="000C480E" w:rsidRDefault="00A66FC2" w:rsidP="00A66FC2">
      <w:pPr>
        <w:pStyle w:val="FootnoteText"/>
      </w:pPr>
      <w:r w:rsidRPr="000C480E">
        <w:rPr>
          <w:rStyle w:val="FootnoteReference"/>
        </w:rPr>
        <w:footnoteRef/>
      </w:r>
      <w:r w:rsidRPr="000C480E">
        <w:t xml:space="preserve"> </w:t>
      </w:r>
      <w:r w:rsidRPr="000C480E">
        <w:rPr>
          <w:rStyle w:val="Hyperlink"/>
        </w:rPr>
        <w:t>https://discomap.eea.europa.eu/MKH/MapViewer/index.html</w:t>
      </w:r>
    </w:p>
  </w:footnote>
  <w:footnote w:id="28">
    <w:p w14:paraId="26CF0EB1" w14:textId="2877A7E9" w:rsidR="006B0A95" w:rsidRPr="000C480E" w:rsidRDefault="006B0A95" w:rsidP="00870A15">
      <w:pPr>
        <w:pStyle w:val="FootnoteText"/>
        <w:jc w:val="left"/>
      </w:pPr>
      <w:r w:rsidRPr="000C480E">
        <w:rPr>
          <w:rStyle w:val="FootnoteReference"/>
        </w:rPr>
        <w:footnoteRef/>
      </w:r>
      <w:r w:rsidRPr="000C480E">
        <w:t xml:space="preserve"> </w:t>
      </w:r>
      <w:hyperlink r:id="rId20" w:anchor="/" w:history="1">
        <w:r w:rsidRPr="000C480E">
          <w:rPr>
            <w:rStyle w:val="Hyperlink"/>
          </w:rPr>
          <w:t>https://drmkc.jrc.ec.europa.eu/risk-data-hub#/</w:t>
        </w:r>
      </w:hyperlink>
      <w:r w:rsidRPr="000C480E">
        <w:t xml:space="preserve"> </w:t>
      </w:r>
    </w:p>
  </w:footnote>
  <w:footnote w:id="29">
    <w:p w14:paraId="143F7925" w14:textId="77777777" w:rsidR="00F40219" w:rsidRPr="000C480E" w:rsidRDefault="00F40219" w:rsidP="00F40219">
      <w:pPr>
        <w:pStyle w:val="FootnoteText"/>
      </w:pPr>
      <w:r w:rsidRPr="000C480E">
        <w:rPr>
          <w:rStyle w:val="FootnoteReference"/>
        </w:rPr>
        <w:footnoteRef/>
      </w:r>
      <w:r w:rsidRPr="000C480E">
        <w:t xml:space="preserve"> </w:t>
      </w:r>
      <w:hyperlink r:id="rId21" w:history="1">
        <w:r w:rsidRPr="000C480E">
          <w:rPr>
            <w:rStyle w:val="Hyperlink"/>
          </w:rPr>
          <w:t>https://climate-risk-dashboard.climateanalytics.org/</w:t>
        </w:r>
      </w:hyperlink>
      <w:r w:rsidRPr="000C480E">
        <w:t xml:space="preserve"> </w:t>
      </w:r>
    </w:p>
  </w:footnote>
  <w:footnote w:id="30">
    <w:p w14:paraId="671478EE" w14:textId="0FECF71A" w:rsidR="00CD5F6E" w:rsidRPr="000C480E" w:rsidRDefault="00CD5F6E">
      <w:pPr>
        <w:pStyle w:val="FootnoteText"/>
      </w:pPr>
      <w:r w:rsidRPr="000C480E">
        <w:rPr>
          <w:rStyle w:val="FootnoteReference"/>
        </w:rPr>
        <w:footnoteRef/>
      </w:r>
      <w:r w:rsidRPr="000C480E">
        <w:t xml:space="preserve"> Descris în cel de al 6-lea raport de evaluare al IPCC în cadrul scenariului SSP2-4</w:t>
      </w:r>
      <w:r w:rsidR="00134333">
        <w:t>,</w:t>
      </w:r>
      <w:r w:rsidRPr="000C480E">
        <w:t xml:space="preserve">5, cu o forțare radiativă efectivă aproximativă globală de 4,5. </w:t>
      </w:r>
    </w:p>
  </w:footnote>
  <w:footnote w:id="31">
    <w:p w14:paraId="64B2A218" w14:textId="001C82BB" w:rsidR="00E351C4" w:rsidRPr="000C480E" w:rsidRDefault="00E351C4" w:rsidP="00E351C4">
      <w:pPr>
        <w:pStyle w:val="FootnoteText"/>
      </w:pPr>
      <w:r w:rsidRPr="000C480E">
        <w:rPr>
          <w:rStyle w:val="FootnoteReference"/>
        </w:rPr>
        <w:footnoteRef/>
      </w:r>
      <w:r w:rsidRPr="000C480E">
        <w:t xml:space="preserve"> </w:t>
      </w:r>
      <w:r w:rsidRPr="000C480E">
        <w:rPr>
          <w:color w:val="000000"/>
        </w:rPr>
        <w:t xml:space="preserve">COM(2023) 667. </w:t>
      </w:r>
      <w:hyperlink r:id="rId22" w:history="1">
        <w:r w:rsidRPr="000C480E">
          <w:rPr>
            <w:rStyle w:val="Hyperlink"/>
          </w:rPr>
          <w:t>https://eur-lex.europa.eu/legal-content/RO/ALL/?uri=COM:2023:667:FIN</w:t>
        </w:r>
      </w:hyperlink>
      <w:r w:rsidRPr="000C480E">
        <w:rPr>
          <w:color w:val="000000"/>
        </w:rPr>
        <w:t xml:space="preserve"> </w:t>
      </w:r>
    </w:p>
  </w:footnote>
  <w:footnote w:id="32">
    <w:p w14:paraId="4E8D63CB" w14:textId="77777777" w:rsidR="006840A6" w:rsidRPr="000C480E" w:rsidRDefault="006840A6" w:rsidP="006840A6">
      <w:pPr>
        <w:pStyle w:val="FootnoteText"/>
      </w:pPr>
      <w:r w:rsidRPr="000C480E">
        <w:rPr>
          <w:rStyle w:val="FootnoteReference"/>
        </w:rPr>
        <w:footnoteRef/>
      </w:r>
      <w:r w:rsidRPr="000C480E">
        <w:t xml:space="preserve"> </w:t>
      </w:r>
      <w:hyperlink r:id="rId23" w:history="1">
        <w:r w:rsidRPr="000C480E">
          <w:rPr>
            <w:rStyle w:val="Hyperlink"/>
          </w:rPr>
          <w:t>https://new-european-bauhaus.europa.eu/get-involved/use-compass_en</w:t>
        </w:r>
      </w:hyperlink>
      <w:r w:rsidRPr="000C480E">
        <w:t xml:space="preserve"> </w:t>
      </w:r>
    </w:p>
  </w:footnote>
  <w:footnote w:id="33">
    <w:p w14:paraId="791B1005" w14:textId="229D8062" w:rsidR="002743A3" w:rsidRPr="000C480E" w:rsidRDefault="002743A3">
      <w:pPr>
        <w:pStyle w:val="FootnoteText"/>
      </w:pPr>
      <w:r w:rsidRPr="000C480E">
        <w:rPr>
          <w:rStyle w:val="FootnoteReference"/>
        </w:rPr>
        <w:footnoteRef/>
      </w:r>
      <w:r w:rsidRPr="000C480E">
        <w:t xml:space="preserve"> Directiva (UE) 2022/2557. JO</w:t>
      </w:r>
      <w:r w:rsidR="002C54AA" w:rsidRPr="000C480E">
        <w:t xml:space="preserve"> </w:t>
      </w:r>
      <w:r w:rsidRPr="000C480E">
        <w:t>L 333, 27.12.2022, p. 164</w:t>
      </w:r>
      <w:r w:rsidR="002C54AA" w:rsidRPr="000C480E">
        <w:t>-</w:t>
      </w:r>
      <w:r w:rsidRPr="000C480E">
        <w:t>198</w:t>
      </w:r>
    </w:p>
  </w:footnote>
  <w:footnote w:id="34">
    <w:p w14:paraId="0695C598" w14:textId="0F52FC2E" w:rsidR="009C6C0A" w:rsidRPr="000C480E" w:rsidRDefault="009C6C0A" w:rsidP="000B572F">
      <w:pPr>
        <w:pStyle w:val="FootnoteText"/>
        <w:jc w:val="left"/>
      </w:pPr>
      <w:r w:rsidRPr="000C480E">
        <w:rPr>
          <w:rStyle w:val="FootnoteReference"/>
        </w:rPr>
        <w:footnoteRef/>
      </w:r>
      <w:r w:rsidRPr="000C480E">
        <w:t xml:space="preserve"> COM(2023) 61. Recomandare JO C 56, 15.2.2023, p.</w:t>
      </w:r>
      <w:r w:rsidR="002C54AA" w:rsidRPr="000C480E">
        <w:t xml:space="preserve"> </w:t>
      </w:r>
      <w:r w:rsidRPr="000C480E">
        <w:t xml:space="preserve">1. </w:t>
      </w:r>
      <w:hyperlink r:id="rId24" w:history="1">
        <w:r w:rsidRPr="000C480E">
          <w:rPr>
            <w:rStyle w:val="Hyperlink"/>
          </w:rPr>
          <w:t>https://eur-lex.europa.eu/legal-content/RO/TXT/?uri=CELEX:52023DC0061</w:t>
        </w:r>
      </w:hyperlink>
      <w:r w:rsidRPr="000C480E">
        <w:t xml:space="preserve"> </w:t>
      </w:r>
    </w:p>
  </w:footnote>
  <w:footnote w:id="35">
    <w:p w14:paraId="3ACA03AE" w14:textId="4413A8DC" w:rsidR="009C6C0A" w:rsidRPr="000C480E" w:rsidRDefault="009C6C0A" w:rsidP="009C6C0A">
      <w:pPr>
        <w:pStyle w:val="FootnoteText"/>
      </w:pPr>
      <w:r w:rsidRPr="000C480E">
        <w:rPr>
          <w:rStyle w:val="FootnoteReference"/>
        </w:rPr>
        <w:footnoteRef/>
      </w:r>
      <w:r w:rsidRPr="000C480E">
        <w:t xml:space="preserve"> COM(2024) 130. </w:t>
      </w:r>
    </w:p>
  </w:footnote>
  <w:footnote w:id="36">
    <w:p w14:paraId="59A7CA8A" w14:textId="3DACFD2A" w:rsidR="00CA7DFD" w:rsidRPr="000C480E" w:rsidRDefault="00CA7DFD">
      <w:pPr>
        <w:pStyle w:val="FootnoteText"/>
      </w:pPr>
      <w:r w:rsidRPr="000C480E">
        <w:rPr>
          <w:rStyle w:val="FootnoteReference"/>
        </w:rPr>
        <w:footnoteRef/>
      </w:r>
      <w:r w:rsidRPr="000C480E">
        <w:t xml:space="preserve"> COM(2023) 161</w:t>
      </w:r>
    </w:p>
  </w:footnote>
  <w:footnote w:id="37">
    <w:p w14:paraId="3E9387FF" w14:textId="361874AD" w:rsidR="00CA14DC" w:rsidRPr="000C480E" w:rsidRDefault="00CA14DC">
      <w:pPr>
        <w:pStyle w:val="FootnoteText"/>
      </w:pPr>
      <w:r w:rsidRPr="000C480E">
        <w:rPr>
          <w:rStyle w:val="FootnoteReference"/>
        </w:rPr>
        <w:footnoteRef/>
      </w:r>
      <w:r w:rsidRPr="000C480E">
        <w:t xml:space="preserve"> IPCC AR6. </w:t>
      </w:r>
      <w:hyperlink r:id="rId25" w:history="1">
        <w:r w:rsidRPr="000C480E">
          <w:rPr>
            <w:rStyle w:val="Hyperlink"/>
          </w:rPr>
          <w:t>https://www.ipcc.ch/assessment-report/ar6/</w:t>
        </w:r>
      </w:hyperlink>
      <w:r w:rsidRPr="000C480E">
        <w:t xml:space="preserve"> </w:t>
      </w:r>
    </w:p>
  </w:footnote>
  <w:footnote w:id="38">
    <w:p w14:paraId="6363F420" w14:textId="6340D94D" w:rsidR="00E01EF8" w:rsidRPr="000C480E" w:rsidRDefault="00E01EF8" w:rsidP="00E01EF8">
      <w:pPr>
        <w:pStyle w:val="FootnoteText"/>
      </w:pPr>
      <w:r w:rsidRPr="000C480E">
        <w:rPr>
          <w:rStyle w:val="FootnoteReference"/>
        </w:rPr>
        <w:footnoteRef/>
      </w:r>
      <w:r w:rsidRPr="000C480E">
        <w:t xml:space="preserve"> Dasgupta, P (2021), </w:t>
      </w:r>
      <w:r w:rsidRPr="000C480E">
        <w:rPr>
          <w:i/>
          <w:iCs/>
        </w:rPr>
        <w:t>The Economics of Biodiversity:</w:t>
      </w:r>
      <w:r w:rsidRPr="000C480E">
        <w:t xml:space="preserve"> </w:t>
      </w:r>
      <w:r w:rsidRPr="000C480E">
        <w:rPr>
          <w:i/>
          <w:iCs/>
        </w:rPr>
        <w:t>The Dasgupta Review</w:t>
      </w:r>
      <w:r w:rsidRPr="000C480E">
        <w:t xml:space="preserve">, Londra: HM Treasury; </w:t>
      </w:r>
      <w:bookmarkStart w:id="49" w:name="_Hlk160963836"/>
      <w:r w:rsidR="000E4168" w:rsidRPr="000C480E">
        <w:fldChar w:fldCharType="begin"/>
      </w:r>
      <w:r w:rsidR="000E4168" w:rsidRPr="000C480E">
        <w:instrText>HYPERLINK ""</w:instrText>
      </w:r>
      <w:r w:rsidR="000E4168" w:rsidRPr="000C480E">
        <w:fldChar w:fldCharType="end"/>
      </w:r>
      <w:bookmarkEnd w:id="49"/>
      <w:r w:rsidR="00EF5256" w:rsidRPr="000C480E">
        <w:fldChar w:fldCharType="begin"/>
      </w:r>
      <w:r w:rsidR="00EF5256" w:rsidRPr="000C480E">
        <w:instrText xml:space="preserve"> HYPERLINK "https://www.worldbank.org/en/publication/changing-wealth-of-nations" </w:instrText>
      </w:r>
      <w:r w:rsidR="00EF5256" w:rsidRPr="000C480E">
        <w:fldChar w:fldCharType="separate"/>
      </w:r>
      <w:r w:rsidRPr="000C480E">
        <w:rPr>
          <w:rStyle w:val="Hyperlink"/>
        </w:rPr>
        <w:t>https://www.worldbank.org/en/publication/changing-wealth-of-nations</w:t>
      </w:r>
      <w:r w:rsidR="00EF5256" w:rsidRPr="000C480E">
        <w:rPr>
          <w:rStyle w:val="Hyperlink"/>
        </w:rPr>
        <w:fldChar w:fldCharType="end"/>
      </w:r>
      <w:r w:rsidRPr="000C480E">
        <w:rPr>
          <w:rStyle w:val="Hyperlink"/>
        </w:rPr>
        <w:t xml:space="preserve"> </w:t>
      </w:r>
    </w:p>
  </w:footnote>
  <w:footnote w:id="39">
    <w:p w14:paraId="44C87ABC" w14:textId="3DC1FF4D" w:rsidR="002A4652" w:rsidRPr="000C480E" w:rsidRDefault="002A4652" w:rsidP="002A4652">
      <w:pPr>
        <w:pStyle w:val="FootnoteText"/>
      </w:pPr>
      <w:r w:rsidRPr="000C480E">
        <w:rPr>
          <w:rStyle w:val="FootnoteReference"/>
        </w:rPr>
        <w:footnoteRef/>
      </w:r>
      <w:r w:rsidRPr="000C480E">
        <w:t xml:space="preserve"> COM(2023) 102 final. </w:t>
      </w:r>
      <w:hyperlink r:id="rId26" w:history="1">
        <w:r w:rsidRPr="000C480E">
          <w:rPr>
            <w:rStyle w:val="Hyperlink"/>
          </w:rPr>
          <w:t>https://eur-lex.europa.eu/legal-content/RO/TXT/?uri=CELEX%3A52023DC0102</w:t>
        </w:r>
      </w:hyperlink>
      <w:r w:rsidRPr="000C480E">
        <w:t xml:space="preserve"> </w:t>
      </w:r>
    </w:p>
  </w:footnote>
  <w:footnote w:id="40">
    <w:p w14:paraId="70BD6574" w14:textId="4D0D8700" w:rsidR="00507E1A" w:rsidRPr="000C480E" w:rsidRDefault="00507E1A">
      <w:pPr>
        <w:pStyle w:val="FootnoteText"/>
      </w:pPr>
      <w:r w:rsidRPr="000C480E">
        <w:rPr>
          <w:rStyle w:val="FootnoteReference"/>
        </w:rPr>
        <w:footnoteRef/>
      </w:r>
      <w:r w:rsidRPr="000C480E">
        <w:t xml:space="preserve"> </w:t>
      </w:r>
      <w:hyperlink r:id="rId27" w:history="1">
        <w:r w:rsidRPr="000C480E">
          <w:rPr>
            <w:rStyle w:val="Hyperlink"/>
          </w:rPr>
          <w:t>https://research-and-innovation.ec.europa.eu/funding/funding-opportunities/funding-programmes-and-open-calls/horizon-europe/eu-missions-horizon-europe/restore-our-ocean-and-waters_ro</w:t>
        </w:r>
      </w:hyperlink>
      <w:r w:rsidRPr="000C480E">
        <w:t xml:space="preserve"> </w:t>
      </w:r>
    </w:p>
  </w:footnote>
  <w:footnote w:id="41">
    <w:p w14:paraId="303479BD" w14:textId="3C6B66A6" w:rsidR="00C879A9" w:rsidRPr="000C480E" w:rsidRDefault="00C879A9">
      <w:pPr>
        <w:pStyle w:val="FootnoteText"/>
        <w:rPr>
          <w:b/>
          <w:bCs/>
        </w:rPr>
      </w:pPr>
      <w:bookmarkStart w:id="53" w:name="_Hlk158909971"/>
      <w:r w:rsidRPr="000C480E">
        <w:rPr>
          <w:rStyle w:val="FootnoteReference"/>
        </w:rPr>
        <w:footnoteRef/>
      </w:r>
      <w:r w:rsidRPr="000C480E">
        <w:t xml:space="preserve"> Instrumentul interactiv EXHAUSTION: </w:t>
      </w:r>
      <w:hyperlink r:id="rId28" w:history="1">
        <w:r w:rsidRPr="000C480E">
          <w:rPr>
            <w:rStyle w:val="Hyperlink"/>
          </w:rPr>
          <w:t>https://www.exhaustion.eu/</w:t>
        </w:r>
      </w:hyperlink>
    </w:p>
    <w:bookmarkEnd w:id="53"/>
  </w:footnote>
  <w:footnote w:id="42">
    <w:p w14:paraId="7D0A162E" w14:textId="0BCE9C02" w:rsidR="0016213D" w:rsidRPr="000C480E" w:rsidRDefault="0016213D" w:rsidP="0044238F">
      <w:pPr>
        <w:pStyle w:val="FootnoteText"/>
        <w:jc w:val="left"/>
      </w:pPr>
      <w:r w:rsidRPr="000C480E">
        <w:rPr>
          <w:rStyle w:val="FootnoteReference"/>
        </w:rPr>
        <w:footnoteRef/>
      </w:r>
      <w:r w:rsidRPr="000C480E">
        <w:t xml:space="preserve"> </w:t>
      </w:r>
      <w:hyperlink r:id="rId29" w:history="1">
        <w:r w:rsidRPr="000C480E">
          <w:rPr>
            <w:rStyle w:val="Hyperlink"/>
          </w:rPr>
          <w:t>https://health.ec.europa.eu/non-communicable-diseases/healthier-together-eu-non-communicable-diseases-initiative_en</w:t>
        </w:r>
      </w:hyperlink>
      <w:r w:rsidRPr="000C480E">
        <w:t xml:space="preserve"> </w:t>
      </w:r>
    </w:p>
  </w:footnote>
  <w:footnote w:id="43">
    <w:p w14:paraId="778A79D0" w14:textId="72FD8AC7" w:rsidR="00CE4000" w:rsidRPr="000C480E" w:rsidRDefault="00CE4000">
      <w:pPr>
        <w:pStyle w:val="FootnoteText"/>
      </w:pPr>
      <w:r w:rsidRPr="000C480E">
        <w:rPr>
          <w:rStyle w:val="FootnoteReference"/>
        </w:rPr>
        <w:footnoteRef/>
      </w:r>
      <w:r w:rsidRPr="000C480E">
        <w:t xml:space="preserve"> COM(2023) 298 final. </w:t>
      </w:r>
      <w:hyperlink r:id="rId30" w:history="1">
        <w:r w:rsidRPr="000C480E">
          <w:rPr>
            <w:rStyle w:val="Hyperlink"/>
          </w:rPr>
          <w:t>https://health.ec.europa.eu/publications/comprehensive-approach-mental-health_en</w:t>
        </w:r>
      </w:hyperlink>
      <w:r w:rsidRPr="000C480E">
        <w:t xml:space="preserve"> </w:t>
      </w:r>
    </w:p>
  </w:footnote>
  <w:footnote w:id="44">
    <w:p w14:paraId="18BD2D0E" w14:textId="7DBEC162" w:rsidR="002E16D5" w:rsidRPr="000C480E" w:rsidRDefault="002E16D5" w:rsidP="000B572F">
      <w:pPr>
        <w:pStyle w:val="FootnoteText"/>
        <w:jc w:val="left"/>
      </w:pPr>
      <w:r w:rsidRPr="000C480E">
        <w:rPr>
          <w:rStyle w:val="FootnoteReference"/>
        </w:rPr>
        <w:footnoteRef/>
      </w:r>
      <w:r w:rsidR="00A757D1" w:rsidRPr="000C480E">
        <w:t xml:space="preserve"> </w:t>
      </w:r>
      <w:r w:rsidRPr="000C480E">
        <w:t>Declarația celei de a șaptea Conferințe ministeriale privind mediul și sănătatea (</w:t>
      </w:r>
      <w:hyperlink r:id="rId31" w:history="1">
        <w:r w:rsidRPr="000C480E">
          <w:rPr>
            <w:rStyle w:val="Hyperlink"/>
          </w:rPr>
          <w:t>https://www.who.int/europe/publications/i/item/EURO-Budapest2023-6</w:t>
        </w:r>
      </w:hyperlink>
      <w:r w:rsidRPr="000C480E">
        <w:t>), COP28 Declarația EAU privind clima și sănătatea (</w:t>
      </w:r>
      <w:hyperlink r:id="rId32" w:history="1">
        <w:r w:rsidRPr="000C480E">
          <w:rPr>
            <w:rStyle w:val="Hyperlink"/>
          </w:rPr>
          <w:t>https://www.cop28.com/en/cop28-uae-declaration-on-climate-and-health</w:t>
        </w:r>
      </w:hyperlink>
      <w:r w:rsidRPr="000C480E">
        <w:t>)</w:t>
      </w:r>
    </w:p>
  </w:footnote>
  <w:footnote w:id="45">
    <w:p w14:paraId="15D0A2FA" w14:textId="47DA88CD" w:rsidR="006E78CB" w:rsidRPr="000C480E" w:rsidRDefault="006E78CB">
      <w:pPr>
        <w:pStyle w:val="FootnoteText"/>
      </w:pPr>
      <w:r w:rsidRPr="000C480E">
        <w:rPr>
          <w:rStyle w:val="FootnoteReference"/>
        </w:rPr>
        <w:footnoteRef/>
      </w:r>
      <w:r w:rsidRPr="000C480E">
        <w:t xml:space="preserve"> </w:t>
      </w:r>
      <w:hyperlink r:id="rId33" w:history="1">
        <w:r w:rsidRPr="000C480E">
          <w:rPr>
            <w:rStyle w:val="Hyperlink"/>
          </w:rPr>
          <w:t>https://osha.europa.eu/en/oshnews/heat-work-guidance-workplaces</w:t>
        </w:r>
      </w:hyperlink>
      <w:r w:rsidRPr="000C480E">
        <w:t xml:space="preserve"> </w:t>
      </w:r>
    </w:p>
  </w:footnote>
  <w:footnote w:id="46">
    <w:p w14:paraId="70C30146" w14:textId="53CB9D8F" w:rsidR="005848F9" w:rsidRPr="000C480E" w:rsidRDefault="005848F9">
      <w:pPr>
        <w:pStyle w:val="FootnoteText"/>
      </w:pPr>
      <w:r w:rsidRPr="000C480E">
        <w:rPr>
          <w:rStyle w:val="FootnoteReference"/>
        </w:rPr>
        <w:footnoteRef/>
      </w:r>
      <w:r w:rsidRPr="000C480E">
        <w:t xml:space="preserve"> Grupul de lucru pentru schimbări climatice și securitate și sănătate în muncă al Comitetului consultativ tripartit pentru sănătate și securitate la locul de muncă (CCSS)</w:t>
      </w:r>
    </w:p>
  </w:footnote>
  <w:footnote w:id="47">
    <w:p w14:paraId="2A3D2D4A" w14:textId="1A0DBF05" w:rsidR="007A6FC7" w:rsidRPr="000C480E" w:rsidRDefault="007A6FC7" w:rsidP="007A6FC7">
      <w:pPr>
        <w:rPr>
          <w:color w:val="000000" w:themeColor="text1"/>
          <w:sz w:val="24"/>
          <w:szCs w:val="24"/>
        </w:rPr>
      </w:pPr>
      <w:r w:rsidRPr="000C480E">
        <w:rPr>
          <w:rStyle w:val="FootnoteReference"/>
          <w:rFonts w:ascii="Times New Roman" w:hAnsi="Times New Roman" w:cs="Times New Roman"/>
          <w:sz w:val="20"/>
          <w:szCs w:val="20"/>
        </w:rPr>
        <w:footnoteRef/>
      </w:r>
      <w:r w:rsidR="00A757D1" w:rsidRPr="000C480E">
        <w:rPr>
          <w:rFonts w:ascii="Times New Roman" w:hAnsi="Times New Roman"/>
          <w:color w:val="000000" w:themeColor="text1"/>
          <w:sz w:val="20"/>
        </w:rPr>
        <w:t xml:space="preserve"> </w:t>
      </w:r>
      <w:r w:rsidRPr="000C480E">
        <w:rPr>
          <w:rFonts w:ascii="Times New Roman" w:hAnsi="Times New Roman"/>
          <w:color w:val="000000" w:themeColor="text1"/>
          <w:sz w:val="20"/>
        </w:rPr>
        <w:t>Studiu prospectiv privind „Implicațiile în materie de SSM ale viitoarelor evoluții și crize legate de schimbările climatice” (lansat în 2024)</w:t>
      </w:r>
      <w:r w:rsidRPr="000C480E">
        <w:rPr>
          <w:color w:val="000000" w:themeColor="text1"/>
          <w:sz w:val="24"/>
        </w:rPr>
        <w:t xml:space="preserve"> </w:t>
      </w:r>
    </w:p>
  </w:footnote>
  <w:footnote w:id="48">
    <w:p w14:paraId="271534AF" w14:textId="7AADEF35" w:rsidR="00C04ACD" w:rsidRPr="000C480E" w:rsidRDefault="00C04ACD">
      <w:pPr>
        <w:pStyle w:val="FootnoteText"/>
      </w:pPr>
      <w:r w:rsidRPr="000C480E">
        <w:rPr>
          <w:rStyle w:val="FootnoteReference"/>
        </w:rPr>
        <w:footnoteRef/>
      </w:r>
      <w:r w:rsidRPr="000C480E">
        <w:t xml:space="preserve"> COM(2023) 411 final</w:t>
      </w:r>
    </w:p>
  </w:footnote>
  <w:footnote w:id="49">
    <w:p w14:paraId="53944F2C" w14:textId="77777777" w:rsidR="005D61D6" w:rsidRPr="000C480E" w:rsidRDefault="005D61D6" w:rsidP="005D61D6">
      <w:pPr>
        <w:pStyle w:val="FootnoteText"/>
      </w:pPr>
      <w:r w:rsidRPr="000C480E">
        <w:rPr>
          <w:rStyle w:val="FootnoteReference"/>
        </w:rPr>
        <w:footnoteRef/>
      </w:r>
      <w:r w:rsidRPr="000C480E">
        <w:t xml:space="preserve"> </w:t>
      </w:r>
      <w:hyperlink r:id="rId34" w:history="1">
        <w:r w:rsidRPr="000C480E">
          <w:rPr>
            <w:rStyle w:val="Hyperlink"/>
          </w:rPr>
          <w:t>https://eurocodes.jrc.ec.europa.eu/2nd-generation/second-generation-eurocodes-what-new</w:t>
        </w:r>
      </w:hyperlink>
      <w:r w:rsidRPr="000C480E">
        <w:t xml:space="preserve"> </w:t>
      </w:r>
    </w:p>
  </w:footnote>
  <w:footnote w:id="50">
    <w:p w14:paraId="75FCF0FA" w14:textId="77777777" w:rsidR="00B2668D" w:rsidRPr="000C480E" w:rsidRDefault="00B2668D" w:rsidP="00B2668D">
      <w:pPr>
        <w:pStyle w:val="FootnoteText"/>
      </w:pPr>
      <w:r w:rsidRPr="000C480E">
        <w:rPr>
          <w:rStyle w:val="FootnoteReference"/>
        </w:rPr>
        <w:footnoteRef/>
      </w:r>
      <w:r w:rsidRPr="000C480E">
        <w:t xml:space="preserve"> Schade, W., Khanna, A.A., Mader, S., Streif, M., Abkai, T., de Stasio, C., Thiery, W., Deidda, C., Maatsch, S., Kramer, H. (2023): </w:t>
      </w:r>
      <w:r w:rsidRPr="000C480E">
        <w:rPr>
          <w:i/>
          <w:iCs/>
        </w:rPr>
        <w:t>Support study on the climate adaptation &amp; cross-border investment needs to realize the TEN-T network.</w:t>
      </w:r>
      <w:r w:rsidRPr="000C480E">
        <w:t xml:space="preserve"> Raport în numele Comisiei Europene (în curs de elaborare).</w:t>
      </w:r>
    </w:p>
  </w:footnote>
  <w:footnote w:id="51">
    <w:p w14:paraId="69169EE4" w14:textId="356834FF" w:rsidR="003057A0" w:rsidRPr="000C480E" w:rsidRDefault="003057A0" w:rsidP="00D63A43">
      <w:pPr>
        <w:pStyle w:val="FootnoteText"/>
        <w:jc w:val="left"/>
      </w:pPr>
      <w:r w:rsidRPr="000C480E">
        <w:rPr>
          <w:rStyle w:val="FootnoteReference"/>
        </w:rPr>
        <w:footnoteRef/>
      </w:r>
      <w:r w:rsidRPr="000C480E">
        <w:t xml:space="preserve"> SWD(2024) 63 final. </w:t>
      </w:r>
      <w:hyperlink r:id="rId35" w:history="1">
        <w:r w:rsidRPr="000C480E">
          <w:rPr>
            <w:rStyle w:val="Hyperlink"/>
          </w:rPr>
          <w:t>https://climate.ec.europa.eu/document/download/768bc81f-5f48-48e3-b4d4-e02ba09faca1_en</w:t>
        </w:r>
      </w:hyperlink>
      <w:r w:rsidRPr="000C480E">
        <w:t xml:space="preserve"> </w:t>
      </w:r>
    </w:p>
  </w:footnote>
  <w:footnote w:id="52">
    <w:p w14:paraId="406BD2AA" w14:textId="54F0BAF9" w:rsidR="00FD6FC6" w:rsidRPr="000C480E" w:rsidRDefault="00FD6FC6">
      <w:pPr>
        <w:pStyle w:val="FootnoteText"/>
      </w:pPr>
      <w:r w:rsidRPr="000C480E">
        <w:rPr>
          <w:rStyle w:val="FootnoteReference"/>
        </w:rPr>
        <w:footnoteRef/>
      </w:r>
      <w:r w:rsidRPr="000C480E">
        <w:t xml:space="preserve"> Raportul referitor la dialogul privind reziliența la schimbările climatice este așteptat pentru vara anului 2024.</w:t>
      </w:r>
    </w:p>
  </w:footnote>
  <w:footnote w:id="53">
    <w:p w14:paraId="61110D59" w14:textId="6E03CD70" w:rsidR="0059141A" w:rsidRPr="000C480E" w:rsidRDefault="00453D4B" w:rsidP="00453D4B">
      <w:pPr>
        <w:pStyle w:val="FootnoteText"/>
      </w:pPr>
      <w:r w:rsidRPr="000C480E">
        <w:rPr>
          <w:rStyle w:val="FootnoteReference"/>
        </w:rPr>
        <w:footnoteRef/>
      </w:r>
      <w:r w:rsidRPr="000C480E">
        <w:t xml:space="preserve"> </w:t>
      </w:r>
      <w:hyperlink r:id="rId36" w:history="1">
        <w:r w:rsidRPr="000C480E">
          <w:rPr>
            <w:rStyle w:val="Hyperlink"/>
          </w:rPr>
          <w:t>http://www.tradeministersonclimate.org/</w:t>
        </w:r>
      </w:hyperlink>
    </w:p>
  </w:footnote>
  <w:footnote w:id="54">
    <w:p w14:paraId="1A279E0D" w14:textId="03FDD8D8" w:rsidR="00FE4D6B" w:rsidRPr="000C480E" w:rsidRDefault="00FE4D6B" w:rsidP="00FE4D6B">
      <w:pPr>
        <w:pStyle w:val="FootnoteText"/>
        <w:rPr>
          <w:rFonts w:asciiTheme="minorHAnsi" w:hAnsiTheme="minorHAnsi"/>
        </w:rPr>
      </w:pPr>
      <w:r w:rsidRPr="000C480E">
        <w:rPr>
          <w:rStyle w:val="FootnoteReference"/>
        </w:rPr>
        <w:footnoteRef/>
      </w:r>
      <w:r w:rsidRPr="000C480E">
        <w:t xml:space="preserve"> COM(2022) 409 final. </w:t>
      </w:r>
      <w:hyperlink r:id="rId37" w:history="1">
        <w:r w:rsidRPr="000C480E">
          <w:rPr>
            <w:rStyle w:val="Hyperlink"/>
          </w:rPr>
          <w:t>https://eur-lex.europa.eu/legal-content/RO/TXT/?uri=CELEX%3A52022DC0409</w:t>
        </w:r>
      </w:hyperlink>
      <w:r w:rsidRPr="000C480E">
        <w:t xml:space="preserve"> </w:t>
      </w:r>
    </w:p>
  </w:footnote>
  <w:footnote w:id="55">
    <w:p w14:paraId="7247A17F" w14:textId="5775827F" w:rsidR="00F74E4A" w:rsidRPr="000C480E" w:rsidRDefault="00F74E4A" w:rsidP="00F74E4A">
      <w:pPr>
        <w:pStyle w:val="FootnoteText"/>
      </w:pPr>
      <w:r w:rsidRPr="000C480E">
        <w:rPr>
          <w:rStyle w:val="FootnoteReference"/>
        </w:rPr>
        <w:footnoteRef/>
      </w:r>
      <w:r w:rsidRPr="000C480E">
        <w:t xml:space="preserve"> </w:t>
      </w:r>
      <w:hyperlink r:id="rId38" w:history="1">
        <w:r w:rsidRPr="000C480E">
          <w:rPr>
            <w:rStyle w:val="Hyperlink"/>
            <w:color w:val="000000" w:themeColor="text1"/>
            <w:u w:val="none"/>
          </w:rPr>
          <w:t xml:space="preserve">Barbaglia, L., Fatica, S. and Rho, C., </w:t>
        </w:r>
        <w:r w:rsidRPr="000C480E">
          <w:rPr>
            <w:rStyle w:val="Hyperlink"/>
            <w:i/>
            <w:iCs/>
            <w:color w:val="000000" w:themeColor="text1"/>
            <w:u w:val="none"/>
          </w:rPr>
          <w:t>Flooded credit markets: physical climate risk and small business lending</w:t>
        </w:r>
        <w:r w:rsidRPr="000C480E">
          <w:rPr>
            <w:rStyle w:val="Hyperlink"/>
            <w:color w:val="000000" w:themeColor="text1"/>
            <w:u w:val="none"/>
          </w:rPr>
          <w:t xml:space="preserve">, </w:t>
        </w:r>
        <w:r w:rsidR="00134333">
          <w:rPr>
            <w:rStyle w:val="Hyperlink"/>
            <w:color w:val="000000" w:themeColor="text1"/>
            <w:u w:val="none"/>
          </w:rPr>
          <w:t>Comisia Europeană</w:t>
        </w:r>
        <w:r w:rsidRPr="000C480E">
          <w:rPr>
            <w:rStyle w:val="Hyperlink"/>
            <w:color w:val="000000" w:themeColor="text1"/>
            <w:u w:val="none"/>
          </w:rPr>
          <w:t>, 2023, JRC136274.</w:t>
        </w:r>
      </w:hyperlink>
    </w:p>
  </w:footnote>
  <w:footnote w:id="56">
    <w:p w14:paraId="4AAAEADE" w14:textId="77777777" w:rsidR="001A31EC" w:rsidRPr="000C480E" w:rsidRDefault="001A31EC" w:rsidP="001A31EC">
      <w:pPr>
        <w:pStyle w:val="FootnoteText"/>
        <w:jc w:val="left"/>
      </w:pPr>
      <w:r w:rsidRPr="000C480E">
        <w:rPr>
          <w:rStyle w:val="FootnoteReference"/>
        </w:rPr>
        <w:footnoteRef/>
      </w:r>
      <w:r w:rsidRPr="000C480E">
        <w:t xml:space="preserve"> </w:t>
      </w:r>
      <w:hyperlink r:id="rId39" w:history="1">
        <w:r w:rsidRPr="000C480E">
          <w:rPr>
            <w:rStyle w:val="Hyperlink"/>
          </w:rPr>
          <w:t>https://www.ecb.europa.eu/pub/economic-bulletin/focus/2023/html/ecb.ebbox202306_05~f5ec994b9e.en.html</w:t>
        </w:r>
      </w:hyperlink>
    </w:p>
  </w:footnote>
  <w:footnote w:id="57">
    <w:p w14:paraId="77E7DC42" w14:textId="4AF9FFEC" w:rsidR="00BD486C" w:rsidRPr="000C480E" w:rsidRDefault="00BD486C">
      <w:pPr>
        <w:pStyle w:val="FootnoteText"/>
      </w:pPr>
      <w:r w:rsidRPr="000C480E">
        <w:rPr>
          <w:rStyle w:val="FootnoteReference"/>
        </w:rPr>
        <w:footnoteRef/>
      </w:r>
      <w:r w:rsidRPr="000C480E">
        <w:t xml:space="preserve"> COM/2020/103 final. </w:t>
      </w:r>
      <w:hyperlink r:id="rId40" w:history="1">
        <w:r w:rsidR="00653A90" w:rsidRPr="00FE4A8E">
          <w:rPr>
            <w:rStyle w:val="Hyperlink"/>
          </w:rPr>
          <w:t>https://eur-lex.europa.eu/legal-content/ro/ALL/?uri=CELEX%3A52020DC0103</w:t>
        </w:r>
      </w:hyperlink>
      <w:r w:rsidRPr="000C480E">
        <w:t xml:space="preserve"> </w:t>
      </w:r>
    </w:p>
  </w:footnote>
  <w:footnote w:id="58">
    <w:p w14:paraId="19E1506E" w14:textId="2C3D1BC3" w:rsidR="00D95E11" w:rsidRPr="000C480E" w:rsidRDefault="00D95E11">
      <w:pPr>
        <w:pStyle w:val="FootnoteText"/>
      </w:pPr>
      <w:r w:rsidRPr="000C480E">
        <w:rPr>
          <w:rStyle w:val="FootnoteReference"/>
        </w:rPr>
        <w:footnoteRef/>
      </w:r>
      <w:r w:rsidRPr="000C480E">
        <w:t xml:space="preserve"> JOIN(2023) 20 final. </w:t>
      </w:r>
      <w:hyperlink r:id="rId41" w:history="1">
        <w:r w:rsidR="00875A04" w:rsidRPr="000C480E">
          <w:rPr>
            <w:rStyle w:val="Hyperlink"/>
          </w:rPr>
          <w:t>https://eur-lex.europa.eu/legal-content/RO/TXT/?uri=CELEX%3A52023JC0020</w:t>
        </w:r>
      </w:hyperlink>
      <w:r w:rsidRPr="000C480E">
        <w:t xml:space="preserve"> </w:t>
      </w:r>
    </w:p>
  </w:footnote>
  <w:footnote w:id="59">
    <w:p w14:paraId="7A5C3D6E" w14:textId="3EA5DA7E" w:rsidR="0086628C" w:rsidRPr="000C480E" w:rsidRDefault="0086628C">
      <w:pPr>
        <w:pStyle w:val="FootnoteText"/>
      </w:pPr>
      <w:r w:rsidRPr="000C480E">
        <w:rPr>
          <w:rStyle w:val="FootnoteReference"/>
        </w:rPr>
        <w:footnoteRef/>
      </w:r>
      <w:r w:rsidRPr="000C480E">
        <w:t xml:space="preserve"> COM/2023/535 final. </w:t>
      </w:r>
      <w:hyperlink r:id="rId42" w:history="1">
        <w:r w:rsidR="00875A04" w:rsidRPr="000C480E">
          <w:rPr>
            <w:rStyle w:val="Hyperlink"/>
          </w:rPr>
          <w:t>https://eur-lex.europa.eu/legal-content/RO/TXT/?uri=COM%3A2023%3A535%3AFIN</w:t>
        </w:r>
      </w:hyperlink>
      <w:r w:rsidRPr="000C480E">
        <w:t xml:space="preserve"> </w:t>
      </w:r>
    </w:p>
  </w:footnote>
  <w:footnote w:id="60">
    <w:p w14:paraId="52C84E5A" w14:textId="2D0324BB" w:rsidR="00211506" w:rsidRPr="000C480E" w:rsidRDefault="00211506" w:rsidP="00211506">
      <w:pPr>
        <w:pStyle w:val="FootnoteText"/>
      </w:pPr>
      <w:r w:rsidRPr="000C480E">
        <w:rPr>
          <w:rStyle w:val="FootnoteReference"/>
        </w:rPr>
        <w:footnoteRef/>
      </w:r>
      <w:r w:rsidRPr="000C480E">
        <w:t xml:space="preserve"> COM(2023) 240 final. </w:t>
      </w:r>
      <w:hyperlink r:id="rId43" w:history="1">
        <w:r w:rsidRPr="000C480E">
          <w:rPr>
            <w:rStyle w:val="Hyperlink"/>
          </w:rPr>
          <w:t>https://eur-lex.europa.eu/legal-content/RO/TXT/?uri=CELEX%3A52023PC0240</w:t>
        </w:r>
      </w:hyperlink>
      <w:r w:rsidRPr="000C480E">
        <w:t xml:space="preserve"> </w:t>
      </w:r>
    </w:p>
  </w:footnote>
  <w:footnote w:id="61">
    <w:p w14:paraId="6A3B86B3" w14:textId="1E7E66E5" w:rsidR="006F47E3" w:rsidRPr="000C480E" w:rsidRDefault="006F47E3" w:rsidP="006F47E3">
      <w:pPr>
        <w:pStyle w:val="FootnoteText"/>
      </w:pPr>
      <w:r w:rsidRPr="000C480E">
        <w:rPr>
          <w:rStyle w:val="FootnoteReference"/>
        </w:rPr>
        <w:footnoteRef/>
      </w:r>
      <w:r w:rsidRPr="000C480E">
        <w:t xml:space="preserve"> Extrapolând de la estimările unei singure țări la nivelul UE, costul anual al adaptării la schimbările climatice poate varia de la 15 miliarde EUR la 64 de miliarde EUR pe an (0,1-0,4 % din PIB-ul UE) până în 2030, cu o estimare mediană de aproximativ 21 de miliarde EUR [Banca Mondială (în curs de publicare, 2024)]. </w:t>
      </w:r>
      <w:r w:rsidRPr="000C480E">
        <w:rPr>
          <w:i/>
          <w:iCs/>
        </w:rPr>
        <w:t>Investing in Resilience:</w:t>
      </w:r>
      <w:r w:rsidRPr="000C480E">
        <w:t xml:space="preserve"> </w:t>
      </w:r>
      <w:r w:rsidRPr="000C480E">
        <w:rPr>
          <w:i/>
          <w:iCs/>
        </w:rPr>
        <w:t>Climate Adaptation Costing in a Changing World.</w:t>
      </w:r>
      <w:r w:rsidRPr="000C480E">
        <w:t xml:space="preserve"> </w:t>
      </w:r>
      <w:r w:rsidRPr="000C480E">
        <w:rPr>
          <w:i/>
          <w:iCs/>
        </w:rPr>
        <w:t>Phase II study under Economics for Disaster Prevention and Preparedness:</w:t>
      </w:r>
      <w:r w:rsidRPr="000C480E">
        <w:t xml:space="preserve"> </w:t>
      </w:r>
      <w:r w:rsidRPr="000C480E">
        <w:rPr>
          <w:i/>
          <w:iCs/>
        </w:rPr>
        <w:t>Prioritizing and Financing Resilient Investments.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3EB31D" w14:textId="77777777" w:rsidR="001A17E8" w:rsidRPr="001A17E8" w:rsidRDefault="001A17E8" w:rsidP="001A17E8">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FAF0AD" w14:textId="77777777" w:rsidR="001A17E8" w:rsidRPr="001A17E8" w:rsidRDefault="001A17E8" w:rsidP="001A17E8">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ADFE93" w14:textId="77777777" w:rsidR="001A17E8" w:rsidRPr="001A17E8" w:rsidRDefault="001A17E8" w:rsidP="001A17E8">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161C4C" w14:textId="77777777" w:rsidR="00915255" w:rsidRDefault="0091525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AA65F3" w14:textId="77777777" w:rsidR="00915255" w:rsidRDefault="0091525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C3438B" w14:textId="77777777" w:rsidR="00915255" w:rsidRDefault="0091525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07EBE"/>
    <w:multiLevelType w:val="multilevel"/>
    <w:tmpl w:val="2FA891A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960CC3"/>
    <w:multiLevelType w:val="multilevel"/>
    <w:tmpl w:val="6ECE33A0"/>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A906B92"/>
    <w:multiLevelType w:val="hybridMultilevel"/>
    <w:tmpl w:val="486E220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B142A61"/>
    <w:multiLevelType w:val="multilevel"/>
    <w:tmpl w:val="2A00BA5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C793F72"/>
    <w:multiLevelType w:val="hybridMultilevel"/>
    <w:tmpl w:val="27507C4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06E7B88"/>
    <w:multiLevelType w:val="multilevel"/>
    <w:tmpl w:val="6ECE33A0"/>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3F552B5"/>
    <w:multiLevelType w:val="hybridMultilevel"/>
    <w:tmpl w:val="60D8AEF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5547881"/>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7012D86"/>
    <w:multiLevelType w:val="multilevel"/>
    <w:tmpl w:val="4D6A73C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8A5181D"/>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B78081F"/>
    <w:multiLevelType w:val="multilevel"/>
    <w:tmpl w:val="7EA85E4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1C8147B5"/>
    <w:multiLevelType w:val="hybridMultilevel"/>
    <w:tmpl w:val="63982DDC"/>
    <w:lvl w:ilvl="0" w:tplc="D65C0078">
      <w:start w:val="1"/>
      <w:numFmt w:val="bullet"/>
      <w:lvlText w:val=""/>
      <w:lvlJc w:val="left"/>
      <w:pPr>
        <w:ind w:left="720" w:hanging="360"/>
      </w:pPr>
      <w:rPr>
        <w:rFonts w:ascii="Symbol" w:hAnsi="Symbol"/>
      </w:rPr>
    </w:lvl>
    <w:lvl w:ilvl="1" w:tplc="44D4F288">
      <w:start w:val="1"/>
      <w:numFmt w:val="bullet"/>
      <w:lvlText w:val=""/>
      <w:lvlJc w:val="left"/>
      <w:pPr>
        <w:ind w:left="720" w:hanging="360"/>
      </w:pPr>
      <w:rPr>
        <w:rFonts w:ascii="Symbol" w:hAnsi="Symbol"/>
      </w:rPr>
    </w:lvl>
    <w:lvl w:ilvl="2" w:tplc="EBA83878">
      <w:start w:val="1"/>
      <w:numFmt w:val="bullet"/>
      <w:lvlText w:val=""/>
      <w:lvlJc w:val="left"/>
      <w:pPr>
        <w:ind w:left="720" w:hanging="360"/>
      </w:pPr>
      <w:rPr>
        <w:rFonts w:ascii="Symbol" w:hAnsi="Symbol"/>
      </w:rPr>
    </w:lvl>
    <w:lvl w:ilvl="3" w:tplc="CB1C7342">
      <w:start w:val="1"/>
      <w:numFmt w:val="bullet"/>
      <w:lvlText w:val=""/>
      <w:lvlJc w:val="left"/>
      <w:pPr>
        <w:ind w:left="720" w:hanging="360"/>
      </w:pPr>
      <w:rPr>
        <w:rFonts w:ascii="Symbol" w:hAnsi="Symbol"/>
      </w:rPr>
    </w:lvl>
    <w:lvl w:ilvl="4" w:tplc="38E61770">
      <w:start w:val="1"/>
      <w:numFmt w:val="bullet"/>
      <w:lvlText w:val=""/>
      <w:lvlJc w:val="left"/>
      <w:pPr>
        <w:ind w:left="720" w:hanging="360"/>
      </w:pPr>
      <w:rPr>
        <w:rFonts w:ascii="Symbol" w:hAnsi="Symbol"/>
      </w:rPr>
    </w:lvl>
    <w:lvl w:ilvl="5" w:tplc="AA4C99F4">
      <w:start w:val="1"/>
      <w:numFmt w:val="bullet"/>
      <w:lvlText w:val=""/>
      <w:lvlJc w:val="left"/>
      <w:pPr>
        <w:ind w:left="720" w:hanging="360"/>
      </w:pPr>
      <w:rPr>
        <w:rFonts w:ascii="Symbol" w:hAnsi="Symbol"/>
      </w:rPr>
    </w:lvl>
    <w:lvl w:ilvl="6" w:tplc="C1D6D30A">
      <w:start w:val="1"/>
      <w:numFmt w:val="bullet"/>
      <w:lvlText w:val=""/>
      <w:lvlJc w:val="left"/>
      <w:pPr>
        <w:ind w:left="720" w:hanging="360"/>
      </w:pPr>
      <w:rPr>
        <w:rFonts w:ascii="Symbol" w:hAnsi="Symbol"/>
      </w:rPr>
    </w:lvl>
    <w:lvl w:ilvl="7" w:tplc="AF5C02EC">
      <w:start w:val="1"/>
      <w:numFmt w:val="bullet"/>
      <w:lvlText w:val=""/>
      <w:lvlJc w:val="left"/>
      <w:pPr>
        <w:ind w:left="720" w:hanging="360"/>
      </w:pPr>
      <w:rPr>
        <w:rFonts w:ascii="Symbol" w:hAnsi="Symbol"/>
      </w:rPr>
    </w:lvl>
    <w:lvl w:ilvl="8" w:tplc="97528FD4">
      <w:start w:val="1"/>
      <w:numFmt w:val="bullet"/>
      <w:lvlText w:val=""/>
      <w:lvlJc w:val="left"/>
      <w:pPr>
        <w:ind w:left="720" w:hanging="360"/>
      </w:pPr>
      <w:rPr>
        <w:rFonts w:ascii="Symbol" w:hAnsi="Symbol"/>
      </w:rPr>
    </w:lvl>
  </w:abstractNum>
  <w:abstractNum w:abstractNumId="12" w15:restartNumberingAfterBreak="0">
    <w:nsid w:val="1C971491"/>
    <w:multiLevelType w:val="multilevel"/>
    <w:tmpl w:val="B62AD754"/>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D130AB0"/>
    <w:multiLevelType w:val="multilevel"/>
    <w:tmpl w:val="6ECE33A0"/>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0981556"/>
    <w:multiLevelType w:val="multilevel"/>
    <w:tmpl w:val="9572E56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4E75984"/>
    <w:multiLevelType w:val="multilevel"/>
    <w:tmpl w:val="B62AD754"/>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7437AB6"/>
    <w:multiLevelType w:val="hybridMultilevel"/>
    <w:tmpl w:val="B0A08FCE"/>
    <w:lvl w:ilvl="0" w:tplc="18090001">
      <w:start w:val="1"/>
      <w:numFmt w:val="bullet"/>
      <w:lvlText w:val=""/>
      <w:lvlJc w:val="left"/>
      <w:pPr>
        <w:ind w:left="720" w:hanging="360"/>
      </w:pPr>
      <w:rPr>
        <w:rFonts w:ascii="Symbol" w:eastAsia="Times New Roman" w:hAnsi="Symbol" w:cs="Times New Roman"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7" w15:restartNumberingAfterBreak="0">
    <w:nsid w:val="27A946FC"/>
    <w:multiLevelType w:val="multilevel"/>
    <w:tmpl w:val="A1560E3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EDC66CC"/>
    <w:multiLevelType w:val="hybridMultilevel"/>
    <w:tmpl w:val="D41CF4B8"/>
    <w:lvl w:ilvl="0" w:tplc="FA72B0EC">
      <w:start w:val="1"/>
      <w:numFmt w:val="bullet"/>
      <w:lvlText w:val=""/>
      <w:lvlJc w:val="left"/>
      <w:pPr>
        <w:ind w:left="720" w:hanging="360"/>
      </w:pPr>
      <w:rPr>
        <w:rFonts w:ascii="Symbol" w:hAnsi="Symbol"/>
      </w:rPr>
    </w:lvl>
    <w:lvl w:ilvl="1" w:tplc="B92C430A">
      <w:start w:val="1"/>
      <w:numFmt w:val="bullet"/>
      <w:lvlText w:val=""/>
      <w:lvlJc w:val="left"/>
      <w:pPr>
        <w:ind w:left="720" w:hanging="360"/>
      </w:pPr>
      <w:rPr>
        <w:rFonts w:ascii="Symbol" w:hAnsi="Symbol"/>
      </w:rPr>
    </w:lvl>
    <w:lvl w:ilvl="2" w:tplc="4A6C88BA">
      <w:start w:val="1"/>
      <w:numFmt w:val="bullet"/>
      <w:lvlText w:val=""/>
      <w:lvlJc w:val="left"/>
      <w:pPr>
        <w:ind w:left="720" w:hanging="360"/>
      </w:pPr>
      <w:rPr>
        <w:rFonts w:ascii="Symbol" w:hAnsi="Symbol"/>
      </w:rPr>
    </w:lvl>
    <w:lvl w:ilvl="3" w:tplc="EB965748">
      <w:start w:val="1"/>
      <w:numFmt w:val="bullet"/>
      <w:lvlText w:val=""/>
      <w:lvlJc w:val="left"/>
      <w:pPr>
        <w:ind w:left="720" w:hanging="360"/>
      </w:pPr>
      <w:rPr>
        <w:rFonts w:ascii="Symbol" w:hAnsi="Symbol"/>
      </w:rPr>
    </w:lvl>
    <w:lvl w:ilvl="4" w:tplc="BF78F00A">
      <w:start w:val="1"/>
      <w:numFmt w:val="bullet"/>
      <w:lvlText w:val=""/>
      <w:lvlJc w:val="left"/>
      <w:pPr>
        <w:ind w:left="720" w:hanging="360"/>
      </w:pPr>
      <w:rPr>
        <w:rFonts w:ascii="Symbol" w:hAnsi="Symbol"/>
      </w:rPr>
    </w:lvl>
    <w:lvl w:ilvl="5" w:tplc="5E266956">
      <w:start w:val="1"/>
      <w:numFmt w:val="bullet"/>
      <w:lvlText w:val=""/>
      <w:lvlJc w:val="left"/>
      <w:pPr>
        <w:ind w:left="720" w:hanging="360"/>
      </w:pPr>
      <w:rPr>
        <w:rFonts w:ascii="Symbol" w:hAnsi="Symbol"/>
      </w:rPr>
    </w:lvl>
    <w:lvl w:ilvl="6" w:tplc="67D0FB34">
      <w:start w:val="1"/>
      <w:numFmt w:val="bullet"/>
      <w:lvlText w:val=""/>
      <w:lvlJc w:val="left"/>
      <w:pPr>
        <w:ind w:left="720" w:hanging="360"/>
      </w:pPr>
      <w:rPr>
        <w:rFonts w:ascii="Symbol" w:hAnsi="Symbol"/>
      </w:rPr>
    </w:lvl>
    <w:lvl w:ilvl="7" w:tplc="BE80E966">
      <w:start w:val="1"/>
      <w:numFmt w:val="bullet"/>
      <w:lvlText w:val=""/>
      <w:lvlJc w:val="left"/>
      <w:pPr>
        <w:ind w:left="720" w:hanging="360"/>
      </w:pPr>
      <w:rPr>
        <w:rFonts w:ascii="Symbol" w:hAnsi="Symbol"/>
      </w:rPr>
    </w:lvl>
    <w:lvl w:ilvl="8" w:tplc="97A62044">
      <w:start w:val="1"/>
      <w:numFmt w:val="bullet"/>
      <w:lvlText w:val=""/>
      <w:lvlJc w:val="left"/>
      <w:pPr>
        <w:ind w:left="720" w:hanging="360"/>
      </w:pPr>
      <w:rPr>
        <w:rFonts w:ascii="Symbol" w:hAnsi="Symbol"/>
      </w:rPr>
    </w:lvl>
  </w:abstractNum>
  <w:abstractNum w:abstractNumId="19" w15:restartNumberingAfterBreak="0">
    <w:nsid w:val="2EFF2113"/>
    <w:multiLevelType w:val="hybridMultilevel"/>
    <w:tmpl w:val="3B30222A"/>
    <w:lvl w:ilvl="0" w:tplc="2716DEEE">
      <w:start w:val="1"/>
      <w:numFmt w:val="bullet"/>
      <w:lvlText w:val=""/>
      <w:lvlJc w:val="left"/>
      <w:pPr>
        <w:ind w:left="720" w:hanging="360"/>
      </w:pPr>
      <w:rPr>
        <w:rFonts w:ascii="Symbol" w:hAnsi="Symbol"/>
      </w:rPr>
    </w:lvl>
    <w:lvl w:ilvl="1" w:tplc="CD12B078">
      <w:start w:val="1"/>
      <w:numFmt w:val="bullet"/>
      <w:lvlText w:val=""/>
      <w:lvlJc w:val="left"/>
      <w:pPr>
        <w:ind w:left="720" w:hanging="360"/>
      </w:pPr>
      <w:rPr>
        <w:rFonts w:ascii="Symbol" w:hAnsi="Symbol"/>
      </w:rPr>
    </w:lvl>
    <w:lvl w:ilvl="2" w:tplc="6D086B84">
      <w:start w:val="1"/>
      <w:numFmt w:val="bullet"/>
      <w:lvlText w:val=""/>
      <w:lvlJc w:val="left"/>
      <w:pPr>
        <w:ind w:left="720" w:hanging="360"/>
      </w:pPr>
      <w:rPr>
        <w:rFonts w:ascii="Symbol" w:hAnsi="Symbol"/>
      </w:rPr>
    </w:lvl>
    <w:lvl w:ilvl="3" w:tplc="1D9C73B0">
      <w:start w:val="1"/>
      <w:numFmt w:val="bullet"/>
      <w:lvlText w:val=""/>
      <w:lvlJc w:val="left"/>
      <w:pPr>
        <w:ind w:left="720" w:hanging="360"/>
      </w:pPr>
      <w:rPr>
        <w:rFonts w:ascii="Symbol" w:hAnsi="Symbol"/>
      </w:rPr>
    </w:lvl>
    <w:lvl w:ilvl="4" w:tplc="A5FA0224">
      <w:start w:val="1"/>
      <w:numFmt w:val="bullet"/>
      <w:lvlText w:val=""/>
      <w:lvlJc w:val="left"/>
      <w:pPr>
        <w:ind w:left="720" w:hanging="360"/>
      </w:pPr>
      <w:rPr>
        <w:rFonts w:ascii="Symbol" w:hAnsi="Symbol"/>
      </w:rPr>
    </w:lvl>
    <w:lvl w:ilvl="5" w:tplc="6F580270">
      <w:start w:val="1"/>
      <w:numFmt w:val="bullet"/>
      <w:lvlText w:val=""/>
      <w:lvlJc w:val="left"/>
      <w:pPr>
        <w:ind w:left="720" w:hanging="360"/>
      </w:pPr>
      <w:rPr>
        <w:rFonts w:ascii="Symbol" w:hAnsi="Symbol"/>
      </w:rPr>
    </w:lvl>
    <w:lvl w:ilvl="6" w:tplc="CA5CBCD6">
      <w:start w:val="1"/>
      <w:numFmt w:val="bullet"/>
      <w:lvlText w:val=""/>
      <w:lvlJc w:val="left"/>
      <w:pPr>
        <w:ind w:left="720" w:hanging="360"/>
      </w:pPr>
      <w:rPr>
        <w:rFonts w:ascii="Symbol" w:hAnsi="Symbol"/>
      </w:rPr>
    </w:lvl>
    <w:lvl w:ilvl="7" w:tplc="E40653AE">
      <w:start w:val="1"/>
      <w:numFmt w:val="bullet"/>
      <w:lvlText w:val=""/>
      <w:lvlJc w:val="left"/>
      <w:pPr>
        <w:ind w:left="720" w:hanging="360"/>
      </w:pPr>
      <w:rPr>
        <w:rFonts w:ascii="Symbol" w:hAnsi="Symbol"/>
      </w:rPr>
    </w:lvl>
    <w:lvl w:ilvl="8" w:tplc="8C121CE2">
      <w:start w:val="1"/>
      <w:numFmt w:val="bullet"/>
      <w:lvlText w:val=""/>
      <w:lvlJc w:val="left"/>
      <w:pPr>
        <w:ind w:left="720" w:hanging="360"/>
      </w:pPr>
      <w:rPr>
        <w:rFonts w:ascii="Symbol" w:hAnsi="Symbol"/>
      </w:rPr>
    </w:lvl>
  </w:abstractNum>
  <w:abstractNum w:abstractNumId="20" w15:restartNumberingAfterBreak="0">
    <w:nsid w:val="39A94022"/>
    <w:multiLevelType w:val="multilevel"/>
    <w:tmpl w:val="2A6491C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9AC4C35"/>
    <w:multiLevelType w:val="multilevel"/>
    <w:tmpl w:val="B62AD754"/>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9B21281"/>
    <w:multiLevelType w:val="multilevel"/>
    <w:tmpl w:val="412A465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DE07F3A"/>
    <w:multiLevelType w:val="hybridMultilevel"/>
    <w:tmpl w:val="3EAA6476"/>
    <w:lvl w:ilvl="0" w:tplc="9DDA3F20">
      <w:numFmt w:val="bullet"/>
      <w:lvlText w:val="-"/>
      <w:lvlJc w:val="left"/>
      <w:pPr>
        <w:ind w:left="720" w:hanging="360"/>
      </w:pPr>
      <w:rPr>
        <w:rFonts w:ascii="Calibri" w:eastAsiaTheme="minorHAnsi" w:hAnsi="Calibri" w:cs="Calibri"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4" w15:restartNumberingAfterBreak="0">
    <w:nsid w:val="3F847391"/>
    <w:multiLevelType w:val="multilevel"/>
    <w:tmpl w:val="8A962B1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FC11F14"/>
    <w:multiLevelType w:val="hybridMultilevel"/>
    <w:tmpl w:val="D2802AC0"/>
    <w:lvl w:ilvl="0" w:tplc="833AC21C">
      <w:start w:val="1"/>
      <w:numFmt w:val="bullet"/>
      <w:lvlText w:val=""/>
      <w:lvlJc w:val="left"/>
      <w:pPr>
        <w:ind w:left="1440" w:hanging="360"/>
      </w:pPr>
      <w:rPr>
        <w:rFonts w:ascii="Symbol" w:hAnsi="Symbol"/>
      </w:rPr>
    </w:lvl>
    <w:lvl w:ilvl="1" w:tplc="2EB099CA">
      <w:start w:val="1"/>
      <w:numFmt w:val="bullet"/>
      <w:lvlText w:val=""/>
      <w:lvlJc w:val="left"/>
      <w:pPr>
        <w:ind w:left="1440" w:hanging="360"/>
      </w:pPr>
      <w:rPr>
        <w:rFonts w:ascii="Symbol" w:hAnsi="Symbol"/>
      </w:rPr>
    </w:lvl>
    <w:lvl w:ilvl="2" w:tplc="7C289D7A">
      <w:start w:val="1"/>
      <w:numFmt w:val="bullet"/>
      <w:lvlText w:val=""/>
      <w:lvlJc w:val="left"/>
      <w:pPr>
        <w:ind w:left="1440" w:hanging="360"/>
      </w:pPr>
      <w:rPr>
        <w:rFonts w:ascii="Symbol" w:hAnsi="Symbol"/>
      </w:rPr>
    </w:lvl>
    <w:lvl w:ilvl="3" w:tplc="DC52F9C8">
      <w:start w:val="1"/>
      <w:numFmt w:val="bullet"/>
      <w:lvlText w:val=""/>
      <w:lvlJc w:val="left"/>
      <w:pPr>
        <w:ind w:left="1440" w:hanging="360"/>
      </w:pPr>
      <w:rPr>
        <w:rFonts w:ascii="Symbol" w:hAnsi="Symbol"/>
      </w:rPr>
    </w:lvl>
    <w:lvl w:ilvl="4" w:tplc="F2C07A40">
      <w:start w:val="1"/>
      <w:numFmt w:val="bullet"/>
      <w:lvlText w:val=""/>
      <w:lvlJc w:val="left"/>
      <w:pPr>
        <w:ind w:left="1440" w:hanging="360"/>
      </w:pPr>
      <w:rPr>
        <w:rFonts w:ascii="Symbol" w:hAnsi="Symbol"/>
      </w:rPr>
    </w:lvl>
    <w:lvl w:ilvl="5" w:tplc="7E2E3CC8">
      <w:start w:val="1"/>
      <w:numFmt w:val="bullet"/>
      <w:lvlText w:val=""/>
      <w:lvlJc w:val="left"/>
      <w:pPr>
        <w:ind w:left="1440" w:hanging="360"/>
      </w:pPr>
      <w:rPr>
        <w:rFonts w:ascii="Symbol" w:hAnsi="Symbol"/>
      </w:rPr>
    </w:lvl>
    <w:lvl w:ilvl="6" w:tplc="40C8A7F6">
      <w:start w:val="1"/>
      <w:numFmt w:val="bullet"/>
      <w:lvlText w:val=""/>
      <w:lvlJc w:val="left"/>
      <w:pPr>
        <w:ind w:left="1440" w:hanging="360"/>
      </w:pPr>
      <w:rPr>
        <w:rFonts w:ascii="Symbol" w:hAnsi="Symbol"/>
      </w:rPr>
    </w:lvl>
    <w:lvl w:ilvl="7" w:tplc="300201DE">
      <w:start w:val="1"/>
      <w:numFmt w:val="bullet"/>
      <w:lvlText w:val=""/>
      <w:lvlJc w:val="left"/>
      <w:pPr>
        <w:ind w:left="1440" w:hanging="360"/>
      </w:pPr>
      <w:rPr>
        <w:rFonts w:ascii="Symbol" w:hAnsi="Symbol"/>
      </w:rPr>
    </w:lvl>
    <w:lvl w:ilvl="8" w:tplc="F5401D9E">
      <w:start w:val="1"/>
      <w:numFmt w:val="bullet"/>
      <w:lvlText w:val=""/>
      <w:lvlJc w:val="left"/>
      <w:pPr>
        <w:ind w:left="1440" w:hanging="360"/>
      </w:pPr>
      <w:rPr>
        <w:rFonts w:ascii="Symbol" w:hAnsi="Symbol"/>
      </w:rPr>
    </w:lvl>
  </w:abstractNum>
  <w:abstractNum w:abstractNumId="26" w15:restartNumberingAfterBreak="0">
    <w:nsid w:val="42FD19F6"/>
    <w:multiLevelType w:val="multilevel"/>
    <w:tmpl w:val="032A9CC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5644B68"/>
    <w:multiLevelType w:val="multilevel"/>
    <w:tmpl w:val="206AC4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639438E"/>
    <w:multiLevelType w:val="multilevel"/>
    <w:tmpl w:val="6030AC8E"/>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474F6E14"/>
    <w:multiLevelType w:val="hybridMultilevel"/>
    <w:tmpl w:val="67AA85F4"/>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486509AE"/>
    <w:multiLevelType w:val="hybridMultilevel"/>
    <w:tmpl w:val="F13654BA"/>
    <w:lvl w:ilvl="0" w:tplc="18090001">
      <w:start w:val="1"/>
      <w:numFmt w:val="bullet"/>
      <w:lvlText w:val=""/>
      <w:lvlJc w:val="left"/>
      <w:pPr>
        <w:ind w:left="1202" w:hanging="360"/>
      </w:pPr>
      <w:rPr>
        <w:rFonts w:ascii="Symbol" w:hAnsi="Symbol" w:hint="default"/>
      </w:rPr>
    </w:lvl>
    <w:lvl w:ilvl="1" w:tplc="18090003" w:tentative="1">
      <w:start w:val="1"/>
      <w:numFmt w:val="bullet"/>
      <w:lvlText w:val="o"/>
      <w:lvlJc w:val="left"/>
      <w:pPr>
        <w:ind w:left="1922" w:hanging="360"/>
      </w:pPr>
      <w:rPr>
        <w:rFonts w:ascii="Courier New" w:hAnsi="Courier New" w:cs="Courier New" w:hint="default"/>
      </w:rPr>
    </w:lvl>
    <w:lvl w:ilvl="2" w:tplc="18090005" w:tentative="1">
      <w:start w:val="1"/>
      <w:numFmt w:val="bullet"/>
      <w:lvlText w:val=""/>
      <w:lvlJc w:val="left"/>
      <w:pPr>
        <w:ind w:left="2642" w:hanging="360"/>
      </w:pPr>
      <w:rPr>
        <w:rFonts w:ascii="Wingdings" w:hAnsi="Wingdings" w:hint="default"/>
      </w:rPr>
    </w:lvl>
    <w:lvl w:ilvl="3" w:tplc="18090001" w:tentative="1">
      <w:start w:val="1"/>
      <w:numFmt w:val="bullet"/>
      <w:lvlText w:val=""/>
      <w:lvlJc w:val="left"/>
      <w:pPr>
        <w:ind w:left="3362" w:hanging="360"/>
      </w:pPr>
      <w:rPr>
        <w:rFonts w:ascii="Symbol" w:hAnsi="Symbol" w:hint="default"/>
      </w:rPr>
    </w:lvl>
    <w:lvl w:ilvl="4" w:tplc="18090003" w:tentative="1">
      <w:start w:val="1"/>
      <w:numFmt w:val="bullet"/>
      <w:lvlText w:val="o"/>
      <w:lvlJc w:val="left"/>
      <w:pPr>
        <w:ind w:left="4082" w:hanging="360"/>
      </w:pPr>
      <w:rPr>
        <w:rFonts w:ascii="Courier New" w:hAnsi="Courier New" w:cs="Courier New" w:hint="default"/>
      </w:rPr>
    </w:lvl>
    <w:lvl w:ilvl="5" w:tplc="18090005" w:tentative="1">
      <w:start w:val="1"/>
      <w:numFmt w:val="bullet"/>
      <w:lvlText w:val=""/>
      <w:lvlJc w:val="left"/>
      <w:pPr>
        <w:ind w:left="4802" w:hanging="360"/>
      </w:pPr>
      <w:rPr>
        <w:rFonts w:ascii="Wingdings" w:hAnsi="Wingdings" w:hint="default"/>
      </w:rPr>
    </w:lvl>
    <w:lvl w:ilvl="6" w:tplc="18090001" w:tentative="1">
      <w:start w:val="1"/>
      <w:numFmt w:val="bullet"/>
      <w:lvlText w:val=""/>
      <w:lvlJc w:val="left"/>
      <w:pPr>
        <w:ind w:left="5522" w:hanging="360"/>
      </w:pPr>
      <w:rPr>
        <w:rFonts w:ascii="Symbol" w:hAnsi="Symbol" w:hint="default"/>
      </w:rPr>
    </w:lvl>
    <w:lvl w:ilvl="7" w:tplc="18090003" w:tentative="1">
      <w:start w:val="1"/>
      <w:numFmt w:val="bullet"/>
      <w:lvlText w:val="o"/>
      <w:lvlJc w:val="left"/>
      <w:pPr>
        <w:ind w:left="6242" w:hanging="360"/>
      </w:pPr>
      <w:rPr>
        <w:rFonts w:ascii="Courier New" w:hAnsi="Courier New" w:cs="Courier New" w:hint="default"/>
      </w:rPr>
    </w:lvl>
    <w:lvl w:ilvl="8" w:tplc="18090005" w:tentative="1">
      <w:start w:val="1"/>
      <w:numFmt w:val="bullet"/>
      <w:lvlText w:val=""/>
      <w:lvlJc w:val="left"/>
      <w:pPr>
        <w:ind w:left="6962" w:hanging="360"/>
      </w:pPr>
      <w:rPr>
        <w:rFonts w:ascii="Wingdings" w:hAnsi="Wingdings" w:hint="default"/>
      </w:rPr>
    </w:lvl>
  </w:abstractNum>
  <w:abstractNum w:abstractNumId="31" w15:restartNumberingAfterBreak="0">
    <w:nsid w:val="48EC5204"/>
    <w:multiLevelType w:val="multilevel"/>
    <w:tmpl w:val="FD94DA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49A1660F"/>
    <w:multiLevelType w:val="multilevel"/>
    <w:tmpl w:val="6ECE33A0"/>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4AB54686"/>
    <w:multiLevelType w:val="multilevel"/>
    <w:tmpl w:val="6ECE33A0"/>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4BAC514E"/>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4C163A02"/>
    <w:multiLevelType w:val="multilevel"/>
    <w:tmpl w:val="2604CA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4D3C3BA9"/>
    <w:multiLevelType w:val="hybridMultilevel"/>
    <w:tmpl w:val="E5FCAE2C"/>
    <w:lvl w:ilvl="0" w:tplc="68E22FC2">
      <w:start w:val="1"/>
      <w:numFmt w:val="bullet"/>
      <w:lvlText w:val=""/>
      <w:lvlJc w:val="left"/>
      <w:pPr>
        <w:ind w:left="1780" w:hanging="360"/>
      </w:pPr>
      <w:rPr>
        <w:rFonts w:ascii="Symbol" w:hAnsi="Symbol"/>
      </w:rPr>
    </w:lvl>
    <w:lvl w:ilvl="1" w:tplc="A3D0EC82">
      <w:start w:val="1"/>
      <w:numFmt w:val="bullet"/>
      <w:lvlText w:val=""/>
      <w:lvlJc w:val="left"/>
      <w:pPr>
        <w:ind w:left="1780" w:hanging="360"/>
      </w:pPr>
      <w:rPr>
        <w:rFonts w:ascii="Symbol" w:hAnsi="Symbol"/>
      </w:rPr>
    </w:lvl>
    <w:lvl w:ilvl="2" w:tplc="B436FF50">
      <w:start w:val="1"/>
      <w:numFmt w:val="bullet"/>
      <w:lvlText w:val=""/>
      <w:lvlJc w:val="left"/>
      <w:pPr>
        <w:ind w:left="1780" w:hanging="360"/>
      </w:pPr>
      <w:rPr>
        <w:rFonts w:ascii="Symbol" w:hAnsi="Symbol"/>
      </w:rPr>
    </w:lvl>
    <w:lvl w:ilvl="3" w:tplc="427E3F2C">
      <w:start w:val="1"/>
      <w:numFmt w:val="bullet"/>
      <w:lvlText w:val=""/>
      <w:lvlJc w:val="left"/>
      <w:pPr>
        <w:ind w:left="1780" w:hanging="360"/>
      </w:pPr>
      <w:rPr>
        <w:rFonts w:ascii="Symbol" w:hAnsi="Symbol"/>
      </w:rPr>
    </w:lvl>
    <w:lvl w:ilvl="4" w:tplc="DCAEC042">
      <w:start w:val="1"/>
      <w:numFmt w:val="bullet"/>
      <w:lvlText w:val=""/>
      <w:lvlJc w:val="left"/>
      <w:pPr>
        <w:ind w:left="1780" w:hanging="360"/>
      </w:pPr>
      <w:rPr>
        <w:rFonts w:ascii="Symbol" w:hAnsi="Symbol"/>
      </w:rPr>
    </w:lvl>
    <w:lvl w:ilvl="5" w:tplc="51A0B7DA">
      <w:start w:val="1"/>
      <w:numFmt w:val="bullet"/>
      <w:lvlText w:val=""/>
      <w:lvlJc w:val="left"/>
      <w:pPr>
        <w:ind w:left="1780" w:hanging="360"/>
      </w:pPr>
      <w:rPr>
        <w:rFonts w:ascii="Symbol" w:hAnsi="Symbol"/>
      </w:rPr>
    </w:lvl>
    <w:lvl w:ilvl="6" w:tplc="D5C69496">
      <w:start w:val="1"/>
      <w:numFmt w:val="bullet"/>
      <w:lvlText w:val=""/>
      <w:lvlJc w:val="left"/>
      <w:pPr>
        <w:ind w:left="1780" w:hanging="360"/>
      </w:pPr>
      <w:rPr>
        <w:rFonts w:ascii="Symbol" w:hAnsi="Symbol"/>
      </w:rPr>
    </w:lvl>
    <w:lvl w:ilvl="7" w:tplc="B034292C">
      <w:start w:val="1"/>
      <w:numFmt w:val="bullet"/>
      <w:lvlText w:val=""/>
      <w:lvlJc w:val="left"/>
      <w:pPr>
        <w:ind w:left="1780" w:hanging="360"/>
      </w:pPr>
      <w:rPr>
        <w:rFonts w:ascii="Symbol" w:hAnsi="Symbol"/>
      </w:rPr>
    </w:lvl>
    <w:lvl w:ilvl="8" w:tplc="002AC438">
      <w:start w:val="1"/>
      <w:numFmt w:val="bullet"/>
      <w:lvlText w:val=""/>
      <w:lvlJc w:val="left"/>
      <w:pPr>
        <w:ind w:left="1780" w:hanging="360"/>
      </w:pPr>
      <w:rPr>
        <w:rFonts w:ascii="Symbol" w:hAnsi="Symbol"/>
      </w:rPr>
    </w:lvl>
  </w:abstractNum>
  <w:abstractNum w:abstractNumId="37" w15:restartNumberingAfterBreak="0">
    <w:nsid w:val="4F8F6D02"/>
    <w:multiLevelType w:val="hybridMultilevel"/>
    <w:tmpl w:val="71EAAA4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8" w15:restartNumberingAfterBreak="0">
    <w:nsid w:val="51160BA1"/>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540C139F"/>
    <w:multiLevelType w:val="hybridMultilevel"/>
    <w:tmpl w:val="CAFA9612"/>
    <w:lvl w:ilvl="0" w:tplc="B5889958">
      <w:start w:val="1"/>
      <w:numFmt w:val="bullet"/>
      <w:lvlText w:val=""/>
      <w:lvlJc w:val="left"/>
      <w:pPr>
        <w:ind w:left="720" w:hanging="360"/>
      </w:pPr>
      <w:rPr>
        <w:rFonts w:ascii="Symbol" w:hAnsi="Symbol"/>
      </w:rPr>
    </w:lvl>
    <w:lvl w:ilvl="1" w:tplc="2F206D76">
      <w:start w:val="1"/>
      <w:numFmt w:val="bullet"/>
      <w:lvlText w:val=""/>
      <w:lvlJc w:val="left"/>
      <w:pPr>
        <w:ind w:left="720" w:hanging="360"/>
      </w:pPr>
      <w:rPr>
        <w:rFonts w:ascii="Symbol" w:hAnsi="Symbol"/>
      </w:rPr>
    </w:lvl>
    <w:lvl w:ilvl="2" w:tplc="B282ADE0">
      <w:start w:val="1"/>
      <w:numFmt w:val="bullet"/>
      <w:lvlText w:val=""/>
      <w:lvlJc w:val="left"/>
      <w:pPr>
        <w:ind w:left="720" w:hanging="360"/>
      </w:pPr>
      <w:rPr>
        <w:rFonts w:ascii="Symbol" w:hAnsi="Symbol"/>
      </w:rPr>
    </w:lvl>
    <w:lvl w:ilvl="3" w:tplc="1856E85A">
      <w:start w:val="1"/>
      <w:numFmt w:val="bullet"/>
      <w:lvlText w:val=""/>
      <w:lvlJc w:val="left"/>
      <w:pPr>
        <w:ind w:left="720" w:hanging="360"/>
      </w:pPr>
      <w:rPr>
        <w:rFonts w:ascii="Symbol" w:hAnsi="Symbol"/>
      </w:rPr>
    </w:lvl>
    <w:lvl w:ilvl="4" w:tplc="810E5556">
      <w:start w:val="1"/>
      <w:numFmt w:val="bullet"/>
      <w:lvlText w:val=""/>
      <w:lvlJc w:val="left"/>
      <w:pPr>
        <w:ind w:left="720" w:hanging="360"/>
      </w:pPr>
      <w:rPr>
        <w:rFonts w:ascii="Symbol" w:hAnsi="Symbol"/>
      </w:rPr>
    </w:lvl>
    <w:lvl w:ilvl="5" w:tplc="4D726534">
      <w:start w:val="1"/>
      <w:numFmt w:val="bullet"/>
      <w:lvlText w:val=""/>
      <w:lvlJc w:val="left"/>
      <w:pPr>
        <w:ind w:left="720" w:hanging="360"/>
      </w:pPr>
      <w:rPr>
        <w:rFonts w:ascii="Symbol" w:hAnsi="Symbol"/>
      </w:rPr>
    </w:lvl>
    <w:lvl w:ilvl="6" w:tplc="DF4618B6">
      <w:start w:val="1"/>
      <w:numFmt w:val="bullet"/>
      <w:lvlText w:val=""/>
      <w:lvlJc w:val="left"/>
      <w:pPr>
        <w:ind w:left="720" w:hanging="360"/>
      </w:pPr>
      <w:rPr>
        <w:rFonts w:ascii="Symbol" w:hAnsi="Symbol"/>
      </w:rPr>
    </w:lvl>
    <w:lvl w:ilvl="7" w:tplc="53B26F2C">
      <w:start w:val="1"/>
      <w:numFmt w:val="bullet"/>
      <w:lvlText w:val=""/>
      <w:lvlJc w:val="left"/>
      <w:pPr>
        <w:ind w:left="720" w:hanging="360"/>
      </w:pPr>
      <w:rPr>
        <w:rFonts w:ascii="Symbol" w:hAnsi="Symbol"/>
      </w:rPr>
    </w:lvl>
    <w:lvl w:ilvl="8" w:tplc="5E30D5F6">
      <w:start w:val="1"/>
      <w:numFmt w:val="bullet"/>
      <w:lvlText w:val=""/>
      <w:lvlJc w:val="left"/>
      <w:pPr>
        <w:ind w:left="720" w:hanging="360"/>
      </w:pPr>
      <w:rPr>
        <w:rFonts w:ascii="Symbol" w:hAnsi="Symbol"/>
      </w:rPr>
    </w:lvl>
  </w:abstractNum>
  <w:abstractNum w:abstractNumId="40" w15:restartNumberingAfterBreak="0">
    <w:nsid w:val="57BF0C26"/>
    <w:multiLevelType w:val="hybridMultilevel"/>
    <w:tmpl w:val="795E7142"/>
    <w:lvl w:ilvl="0" w:tplc="1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15:restartNumberingAfterBreak="0">
    <w:nsid w:val="58382113"/>
    <w:multiLevelType w:val="multilevel"/>
    <w:tmpl w:val="E9560A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596E0B3C"/>
    <w:multiLevelType w:val="multilevel"/>
    <w:tmpl w:val="47C4954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59AD178B"/>
    <w:multiLevelType w:val="hybridMultilevel"/>
    <w:tmpl w:val="ED0A3980"/>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4" w15:restartNumberingAfterBreak="0">
    <w:nsid w:val="5E1E6C28"/>
    <w:multiLevelType w:val="hybridMultilevel"/>
    <w:tmpl w:val="31481A7E"/>
    <w:lvl w:ilvl="0" w:tplc="CA441392">
      <w:start w:val="1"/>
      <w:numFmt w:val="bullet"/>
      <w:lvlText w:val=""/>
      <w:lvlJc w:val="left"/>
      <w:pPr>
        <w:ind w:left="1440" w:hanging="360"/>
      </w:pPr>
      <w:rPr>
        <w:rFonts w:ascii="Symbol" w:hAnsi="Symbol"/>
      </w:rPr>
    </w:lvl>
    <w:lvl w:ilvl="1" w:tplc="43603F02">
      <w:start w:val="1"/>
      <w:numFmt w:val="bullet"/>
      <w:lvlText w:val=""/>
      <w:lvlJc w:val="left"/>
      <w:pPr>
        <w:ind w:left="1440" w:hanging="360"/>
      </w:pPr>
      <w:rPr>
        <w:rFonts w:ascii="Symbol" w:hAnsi="Symbol"/>
      </w:rPr>
    </w:lvl>
    <w:lvl w:ilvl="2" w:tplc="878A4A34">
      <w:start w:val="1"/>
      <w:numFmt w:val="bullet"/>
      <w:lvlText w:val=""/>
      <w:lvlJc w:val="left"/>
      <w:pPr>
        <w:ind w:left="1440" w:hanging="360"/>
      </w:pPr>
      <w:rPr>
        <w:rFonts w:ascii="Symbol" w:hAnsi="Symbol"/>
      </w:rPr>
    </w:lvl>
    <w:lvl w:ilvl="3" w:tplc="315E4810">
      <w:start w:val="1"/>
      <w:numFmt w:val="bullet"/>
      <w:lvlText w:val=""/>
      <w:lvlJc w:val="left"/>
      <w:pPr>
        <w:ind w:left="1440" w:hanging="360"/>
      </w:pPr>
      <w:rPr>
        <w:rFonts w:ascii="Symbol" w:hAnsi="Symbol"/>
      </w:rPr>
    </w:lvl>
    <w:lvl w:ilvl="4" w:tplc="23CA48E6">
      <w:start w:val="1"/>
      <w:numFmt w:val="bullet"/>
      <w:lvlText w:val=""/>
      <w:lvlJc w:val="left"/>
      <w:pPr>
        <w:ind w:left="1440" w:hanging="360"/>
      </w:pPr>
      <w:rPr>
        <w:rFonts w:ascii="Symbol" w:hAnsi="Symbol"/>
      </w:rPr>
    </w:lvl>
    <w:lvl w:ilvl="5" w:tplc="EE220BEC">
      <w:start w:val="1"/>
      <w:numFmt w:val="bullet"/>
      <w:lvlText w:val=""/>
      <w:lvlJc w:val="left"/>
      <w:pPr>
        <w:ind w:left="1440" w:hanging="360"/>
      </w:pPr>
      <w:rPr>
        <w:rFonts w:ascii="Symbol" w:hAnsi="Symbol"/>
      </w:rPr>
    </w:lvl>
    <w:lvl w:ilvl="6" w:tplc="D3062440">
      <w:start w:val="1"/>
      <w:numFmt w:val="bullet"/>
      <w:lvlText w:val=""/>
      <w:lvlJc w:val="left"/>
      <w:pPr>
        <w:ind w:left="1440" w:hanging="360"/>
      </w:pPr>
      <w:rPr>
        <w:rFonts w:ascii="Symbol" w:hAnsi="Symbol"/>
      </w:rPr>
    </w:lvl>
    <w:lvl w:ilvl="7" w:tplc="13843606">
      <w:start w:val="1"/>
      <w:numFmt w:val="bullet"/>
      <w:lvlText w:val=""/>
      <w:lvlJc w:val="left"/>
      <w:pPr>
        <w:ind w:left="1440" w:hanging="360"/>
      </w:pPr>
      <w:rPr>
        <w:rFonts w:ascii="Symbol" w:hAnsi="Symbol"/>
      </w:rPr>
    </w:lvl>
    <w:lvl w:ilvl="8" w:tplc="01486AB2">
      <w:start w:val="1"/>
      <w:numFmt w:val="bullet"/>
      <w:lvlText w:val=""/>
      <w:lvlJc w:val="left"/>
      <w:pPr>
        <w:ind w:left="1440" w:hanging="360"/>
      </w:pPr>
      <w:rPr>
        <w:rFonts w:ascii="Symbol" w:hAnsi="Symbol"/>
      </w:rPr>
    </w:lvl>
  </w:abstractNum>
  <w:abstractNum w:abstractNumId="45" w15:restartNumberingAfterBreak="0">
    <w:nsid w:val="608A5C15"/>
    <w:multiLevelType w:val="multilevel"/>
    <w:tmpl w:val="711811DE"/>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46" w15:restartNumberingAfterBreak="0">
    <w:nsid w:val="60F3258F"/>
    <w:multiLevelType w:val="hybridMultilevel"/>
    <w:tmpl w:val="0962434E"/>
    <w:lvl w:ilvl="0" w:tplc="18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7" w15:restartNumberingAfterBreak="0">
    <w:nsid w:val="61C21740"/>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15:restartNumberingAfterBreak="0">
    <w:nsid w:val="62260BF1"/>
    <w:multiLevelType w:val="hybridMultilevel"/>
    <w:tmpl w:val="986C0D6C"/>
    <w:lvl w:ilvl="0" w:tplc="30C2DC86">
      <w:start w:val="1"/>
      <w:numFmt w:val="bullet"/>
      <w:lvlText w:val=""/>
      <w:lvlJc w:val="left"/>
      <w:pPr>
        <w:ind w:left="1440" w:hanging="360"/>
      </w:pPr>
      <w:rPr>
        <w:rFonts w:ascii="Symbol" w:hAnsi="Symbol"/>
      </w:rPr>
    </w:lvl>
    <w:lvl w:ilvl="1" w:tplc="8F8ECBB2">
      <w:start w:val="1"/>
      <w:numFmt w:val="bullet"/>
      <w:lvlText w:val=""/>
      <w:lvlJc w:val="left"/>
      <w:pPr>
        <w:ind w:left="1440" w:hanging="360"/>
      </w:pPr>
      <w:rPr>
        <w:rFonts w:ascii="Symbol" w:hAnsi="Symbol"/>
      </w:rPr>
    </w:lvl>
    <w:lvl w:ilvl="2" w:tplc="F4B2DD48">
      <w:start w:val="1"/>
      <w:numFmt w:val="bullet"/>
      <w:lvlText w:val=""/>
      <w:lvlJc w:val="left"/>
      <w:pPr>
        <w:ind w:left="1440" w:hanging="360"/>
      </w:pPr>
      <w:rPr>
        <w:rFonts w:ascii="Symbol" w:hAnsi="Symbol"/>
      </w:rPr>
    </w:lvl>
    <w:lvl w:ilvl="3" w:tplc="B0ECC5BA">
      <w:start w:val="1"/>
      <w:numFmt w:val="bullet"/>
      <w:lvlText w:val=""/>
      <w:lvlJc w:val="left"/>
      <w:pPr>
        <w:ind w:left="1440" w:hanging="360"/>
      </w:pPr>
      <w:rPr>
        <w:rFonts w:ascii="Symbol" w:hAnsi="Symbol"/>
      </w:rPr>
    </w:lvl>
    <w:lvl w:ilvl="4" w:tplc="252C89B2">
      <w:start w:val="1"/>
      <w:numFmt w:val="bullet"/>
      <w:lvlText w:val=""/>
      <w:lvlJc w:val="left"/>
      <w:pPr>
        <w:ind w:left="1440" w:hanging="360"/>
      </w:pPr>
      <w:rPr>
        <w:rFonts w:ascii="Symbol" w:hAnsi="Symbol"/>
      </w:rPr>
    </w:lvl>
    <w:lvl w:ilvl="5" w:tplc="1A522DC6">
      <w:start w:val="1"/>
      <w:numFmt w:val="bullet"/>
      <w:lvlText w:val=""/>
      <w:lvlJc w:val="left"/>
      <w:pPr>
        <w:ind w:left="1440" w:hanging="360"/>
      </w:pPr>
      <w:rPr>
        <w:rFonts w:ascii="Symbol" w:hAnsi="Symbol"/>
      </w:rPr>
    </w:lvl>
    <w:lvl w:ilvl="6" w:tplc="6AB4DAA2">
      <w:start w:val="1"/>
      <w:numFmt w:val="bullet"/>
      <w:lvlText w:val=""/>
      <w:lvlJc w:val="left"/>
      <w:pPr>
        <w:ind w:left="1440" w:hanging="360"/>
      </w:pPr>
      <w:rPr>
        <w:rFonts w:ascii="Symbol" w:hAnsi="Symbol"/>
      </w:rPr>
    </w:lvl>
    <w:lvl w:ilvl="7" w:tplc="FEA6BAAA">
      <w:start w:val="1"/>
      <w:numFmt w:val="bullet"/>
      <w:lvlText w:val=""/>
      <w:lvlJc w:val="left"/>
      <w:pPr>
        <w:ind w:left="1440" w:hanging="360"/>
      </w:pPr>
      <w:rPr>
        <w:rFonts w:ascii="Symbol" w:hAnsi="Symbol"/>
      </w:rPr>
    </w:lvl>
    <w:lvl w:ilvl="8" w:tplc="7A9C4510">
      <w:start w:val="1"/>
      <w:numFmt w:val="bullet"/>
      <w:lvlText w:val=""/>
      <w:lvlJc w:val="left"/>
      <w:pPr>
        <w:ind w:left="1440" w:hanging="360"/>
      </w:pPr>
      <w:rPr>
        <w:rFonts w:ascii="Symbol" w:hAnsi="Symbol"/>
      </w:rPr>
    </w:lvl>
  </w:abstractNum>
  <w:abstractNum w:abstractNumId="49" w15:restartNumberingAfterBreak="0">
    <w:nsid w:val="64820F3B"/>
    <w:multiLevelType w:val="multilevel"/>
    <w:tmpl w:val="032A9CC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666B5C6B"/>
    <w:multiLevelType w:val="hybridMultilevel"/>
    <w:tmpl w:val="6D641952"/>
    <w:lvl w:ilvl="0" w:tplc="BBB6E35E">
      <w:start w:val="1"/>
      <w:numFmt w:val="bullet"/>
      <w:lvlText w:val=""/>
      <w:lvlJc w:val="left"/>
      <w:pPr>
        <w:ind w:left="720" w:hanging="360"/>
      </w:pPr>
      <w:rPr>
        <w:rFonts w:ascii="Symbol" w:hAnsi="Symbol"/>
      </w:rPr>
    </w:lvl>
    <w:lvl w:ilvl="1" w:tplc="14E613BA">
      <w:start w:val="1"/>
      <w:numFmt w:val="bullet"/>
      <w:lvlText w:val=""/>
      <w:lvlJc w:val="left"/>
      <w:pPr>
        <w:ind w:left="720" w:hanging="360"/>
      </w:pPr>
      <w:rPr>
        <w:rFonts w:ascii="Symbol" w:hAnsi="Symbol"/>
      </w:rPr>
    </w:lvl>
    <w:lvl w:ilvl="2" w:tplc="3D72A1C8">
      <w:start w:val="1"/>
      <w:numFmt w:val="bullet"/>
      <w:lvlText w:val=""/>
      <w:lvlJc w:val="left"/>
      <w:pPr>
        <w:ind w:left="720" w:hanging="360"/>
      </w:pPr>
      <w:rPr>
        <w:rFonts w:ascii="Symbol" w:hAnsi="Symbol"/>
      </w:rPr>
    </w:lvl>
    <w:lvl w:ilvl="3" w:tplc="1E3EA968">
      <w:start w:val="1"/>
      <w:numFmt w:val="bullet"/>
      <w:lvlText w:val=""/>
      <w:lvlJc w:val="left"/>
      <w:pPr>
        <w:ind w:left="720" w:hanging="360"/>
      </w:pPr>
      <w:rPr>
        <w:rFonts w:ascii="Symbol" w:hAnsi="Symbol"/>
      </w:rPr>
    </w:lvl>
    <w:lvl w:ilvl="4" w:tplc="90CAFD24">
      <w:start w:val="1"/>
      <w:numFmt w:val="bullet"/>
      <w:lvlText w:val=""/>
      <w:lvlJc w:val="left"/>
      <w:pPr>
        <w:ind w:left="720" w:hanging="360"/>
      </w:pPr>
      <w:rPr>
        <w:rFonts w:ascii="Symbol" w:hAnsi="Symbol"/>
      </w:rPr>
    </w:lvl>
    <w:lvl w:ilvl="5" w:tplc="0E705430">
      <w:start w:val="1"/>
      <w:numFmt w:val="bullet"/>
      <w:lvlText w:val=""/>
      <w:lvlJc w:val="left"/>
      <w:pPr>
        <w:ind w:left="720" w:hanging="360"/>
      </w:pPr>
      <w:rPr>
        <w:rFonts w:ascii="Symbol" w:hAnsi="Symbol"/>
      </w:rPr>
    </w:lvl>
    <w:lvl w:ilvl="6" w:tplc="1B4C95B4">
      <w:start w:val="1"/>
      <w:numFmt w:val="bullet"/>
      <w:lvlText w:val=""/>
      <w:lvlJc w:val="left"/>
      <w:pPr>
        <w:ind w:left="720" w:hanging="360"/>
      </w:pPr>
      <w:rPr>
        <w:rFonts w:ascii="Symbol" w:hAnsi="Symbol"/>
      </w:rPr>
    </w:lvl>
    <w:lvl w:ilvl="7" w:tplc="8772860C">
      <w:start w:val="1"/>
      <w:numFmt w:val="bullet"/>
      <w:lvlText w:val=""/>
      <w:lvlJc w:val="left"/>
      <w:pPr>
        <w:ind w:left="720" w:hanging="360"/>
      </w:pPr>
      <w:rPr>
        <w:rFonts w:ascii="Symbol" w:hAnsi="Symbol"/>
      </w:rPr>
    </w:lvl>
    <w:lvl w:ilvl="8" w:tplc="EB56DE96">
      <w:start w:val="1"/>
      <w:numFmt w:val="bullet"/>
      <w:lvlText w:val=""/>
      <w:lvlJc w:val="left"/>
      <w:pPr>
        <w:ind w:left="720" w:hanging="360"/>
      </w:pPr>
      <w:rPr>
        <w:rFonts w:ascii="Symbol" w:hAnsi="Symbol"/>
      </w:rPr>
    </w:lvl>
  </w:abstractNum>
  <w:abstractNum w:abstractNumId="51" w15:restartNumberingAfterBreak="0">
    <w:nsid w:val="66ED4C83"/>
    <w:multiLevelType w:val="multilevel"/>
    <w:tmpl w:val="032A9CC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6839298A"/>
    <w:multiLevelType w:val="multilevel"/>
    <w:tmpl w:val="B3AC47F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6B6C53BE"/>
    <w:multiLevelType w:val="multilevel"/>
    <w:tmpl w:val="032A9CC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6E230169"/>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5" w15:restartNumberingAfterBreak="0">
    <w:nsid w:val="6F653A52"/>
    <w:multiLevelType w:val="hybridMultilevel"/>
    <w:tmpl w:val="182CA628"/>
    <w:lvl w:ilvl="0" w:tplc="DA2C5A06">
      <w:numFmt w:val="bullet"/>
      <w:lvlText w:val="-"/>
      <w:lvlJc w:val="left"/>
      <w:pPr>
        <w:ind w:left="360" w:hanging="360"/>
      </w:pPr>
      <w:rPr>
        <w:rFonts w:ascii="Times New Roman" w:eastAsia="Times New Roman" w:hAnsi="Times New Roman" w:cs="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56" w15:restartNumberingAfterBreak="0">
    <w:nsid w:val="6F752763"/>
    <w:multiLevelType w:val="multilevel"/>
    <w:tmpl w:val="853A6E9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71CC7370"/>
    <w:multiLevelType w:val="hybridMultilevel"/>
    <w:tmpl w:val="A47227C8"/>
    <w:lvl w:ilvl="0" w:tplc="B0320138">
      <w:start w:val="1"/>
      <w:numFmt w:val="bullet"/>
      <w:lvlText w:val=""/>
      <w:lvlJc w:val="left"/>
      <w:pPr>
        <w:ind w:left="1780" w:hanging="360"/>
      </w:pPr>
      <w:rPr>
        <w:rFonts w:ascii="Symbol" w:hAnsi="Symbol"/>
      </w:rPr>
    </w:lvl>
    <w:lvl w:ilvl="1" w:tplc="2FCE377E">
      <w:start w:val="1"/>
      <w:numFmt w:val="bullet"/>
      <w:lvlText w:val=""/>
      <w:lvlJc w:val="left"/>
      <w:pPr>
        <w:ind w:left="1780" w:hanging="360"/>
      </w:pPr>
      <w:rPr>
        <w:rFonts w:ascii="Symbol" w:hAnsi="Symbol"/>
      </w:rPr>
    </w:lvl>
    <w:lvl w:ilvl="2" w:tplc="2A7C1A30">
      <w:start w:val="1"/>
      <w:numFmt w:val="bullet"/>
      <w:lvlText w:val=""/>
      <w:lvlJc w:val="left"/>
      <w:pPr>
        <w:ind w:left="1780" w:hanging="360"/>
      </w:pPr>
      <w:rPr>
        <w:rFonts w:ascii="Symbol" w:hAnsi="Symbol"/>
      </w:rPr>
    </w:lvl>
    <w:lvl w:ilvl="3" w:tplc="16D8D48C">
      <w:start w:val="1"/>
      <w:numFmt w:val="bullet"/>
      <w:lvlText w:val=""/>
      <w:lvlJc w:val="left"/>
      <w:pPr>
        <w:ind w:left="1780" w:hanging="360"/>
      </w:pPr>
      <w:rPr>
        <w:rFonts w:ascii="Symbol" w:hAnsi="Symbol"/>
      </w:rPr>
    </w:lvl>
    <w:lvl w:ilvl="4" w:tplc="7C60CE46">
      <w:start w:val="1"/>
      <w:numFmt w:val="bullet"/>
      <w:lvlText w:val=""/>
      <w:lvlJc w:val="left"/>
      <w:pPr>
        <w:ind w:left="1780" w:hanging="360"/>
      </w:pPr>
      <w:rPr>
        <w:rFonts w:ascii="Symbol" w:hAnsi="Symbol"/>
      </w:rPr>
    </w:lvl>
    <w:lvl w:ilvl="5" w:tplc="ED1A8BBE">
      <w:start w:val="1"/>
      <w:numFmt w:val="bullet"/>
      <w:lvlText w:val=""/>
      <w:lvlJc w:val="left"/>
      <w:pPr>
        <w:ind w:left="1780" w:hanging="360"/>
      </w:pPr>
      <w:rPr>
        <w:rFonts w:ascii="Symbol" w:hAnsi="Symbol"/>
      </w:rPr>
    </w:lvl>
    <w:lvl w:ilvl="6" w:tplc="95008466">
      <w:start w:val="1"/>
      <w:numFmt w:val="bullet"/>
      <w:lvlText w:val=""/>
      <w:lvlJc w:val="left"/>
      <w:pPr>
        <w:ind w:left="1780" w:hanging="360"/>
      </w:pPr>
      <w:rPr>
        <w:rFonts w:ascii="Symbol" w:hAnsi="Symbol"/>
      </w:rPr>
    </w:lvl>
    <w:lvl w:ilvl="7" w:tplc="A7E690B2">
      <w:start w:val="1"/>
      <w:numFmt w:val="bullet"/>
      <w:lvlText w:val=""/>
      <w:lvlJc w:val="left"/>
      <w:pPr>
        <w:ind w:left="1780" w:hanging="360"/>
      </w:pPr>
      <w:rPr>
        <w:rFonts w:ascii="Symbol" w:hAnsi="Symbol"/>
      </w:rPr>
    </w:lvl>
    <w:lvl w:ilvl="8" w:tplc="7868A59C">
      <w:start w:val="1"/>
      <w:numFmt w:val="bullet"/>
      <w:lvlText w:val=""/>
      <w:lvlJc w:val="left"/>
      <w:pPr>
        <w:ind w:left="1780" w:hanging="360"/>
      </w:pPr>
      <w:rPr>
        <w:rFonts w:ascii="Symbol" w:hAnsi="Symbol"/>
      </w:rPr>
    </w:lvl>
  </w:abstractNum>
  <w:abstractNum w:abstractNumId="58" w15:restartNumberingAfterBreak="0">
    <w:nsid w:val="72FA3433"/>
    <w:multiLevelType w:val="hybridMultilevel"/>
    <w:tmpl w:val="6496404C"/>
    <w:lvl w:ilvl="0" w:tplc="737CF57E">
      <w:numFmt w:val="bullet"/>
      <w:lvlText w:val="-"/>
      <w:lvlJc w:val="left"/>
      <w:pPr>
        <w:ind w:left="720" w:hanging="360"/>
      </w:pPr>
      <w:rPr>
        <w:rFonts w:ascii="Times New Roman" w:eastAsiaTheme="minorHAnsi" w:hAnsi="Times New Roman" w:cs="Times New Roman" w:hint="default"/>
        <w:u w:val="singl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9" w15:restartNumberingAfterBreak="0">
    <w:nsid w:val="744C5F91"/>
    <w:multiLevelType w:val="multilevel"/>
    <w:tmpl w:val="2936720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746C1629"/>
    <w:multiLevelType w:val="hybridMultilevel"/>
    <w:tmpl w:val="9202EF1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1" w15:restartNumberingAfterBreak="0">
    <w:nsid w:val="747460AA"/>
    <w:multiLevelType w:val="multilevel"/>
    <w:tmpl w:val="8C0897A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749C4A37"/>
    <w:multiLevelType w:val="hybridMultilevel"/>
    <w:tmpl w:val="DEFA961E"/>
    <w:lvl w:ilvl="0" w:tplc="8FD456CA">
      <w:start w:val="1"/>
      <w:numFmt w:val="bullet"/>
      <w:lvlText w:val=""/>
      <w:lvlJc w:val="left"/>
      <w:pPr>
        <w:ind w:left="720" w:hanging="360"/>
      </w:pPr>
      <w:rPr>
        <w:rFonts w:ascii="Symbol" w:hAnsi="Symbol"/>
      </w:rPr>
    </w:lvl>
    <w:lvl w:ilvl="1" w:tplc="04CEBB6E">
      <w:start w:val="1"/>
      <w:numFmt w:val="bullet"/>
      <w:lvlText w:val=""/>
      <w:lvlJc w:val="left"/>
      <w:pPr>
        <w:ind w:left="720" w:hanging="360"/>
      </w:pPr>
      <w:rPr>
        <w:rFonts w:ascii="Symbol" w:hAnsi="Symbol"/>
      </w:rPr>
    </w:lvl>
    <w:lvl w:ilvl="2" w:tplc="E6920A22">
      <w:start w:val="1"/>
      <w:numFmt w:val="bullet"/>
      <w:lvlText w:val=""/>
      <w:lvlJc w:val="left"/>
      <w:pPr>
        <w:ind w:left="720" w:hanging="360"/>
      </w:pPr>
      <w:rPr>
        <w:rFonts w:ascii="Symbol" w:hAnsi="Symbol"/>
      </w:rPr>
    </w:lvl>
    <w:lvl w:ilvl="3" w:tplc="2A06B4B4">
      <w:start w:val="1"/>
      <w:numFmt w:val="bullet"/>
      <w:lvlText w:val=""/>
      <w:lvlJc w:val="left"/>
      <w:pPr>
        <w:ind w:left="720" w:hanging="360"/>
      </w:pPr>
      <w:rPr>
        <w:rFonts w:ascii="Symbol" w:hAnsi="Symbol"/>
      </w:rPr>
    </w:lvl>
    <w:lvl w:ilvl="4" w:tplc="E4BE0588">
      <w:start w:val="1"/>
      <w:numFmt w:val="bullet"/>
      <w:lvlText w:val=""/>
      <w:lvlJc w:val="left"/>
      <w:pPr>
        <w:ind w:left="720" w:hanging="360"/>
      </w:pPr>
      <w:rPr>
        <w:rFonts w:ascii="Symbol" w:hAnsi="Symbol"/>
      </w:rPr>
    </w:lvl>
    <w:lvl w:ilvl="5" w:tplc="81AAF516">
      <w:start w:val="1"/>
      <w:numFmt w:val="bullet"/>
      <w:lvlText w:val=""/>
      <w:lvlJc w:val="left"/>
      <w:pPr>
        <w:ind w:left="720" w:hanging="360"/>
      </w:pPr>
      <w:rPr>
        <w:rFonts w:ascii="Symbol" w:hAnsi="Symbol"/>
      </w:rPr>
    </w:lvl>
    <w:lvl w:ilvl="6" w:tplc="D4A8D962">
      <w:start w:val="1"/>
      <w:numFmt w:val="bullet"/>
      <w:lvlText w:val=""/>
      <w:lvlJc w:val="left"/>
      <w:pPr>
        <w:ind w:left="720" w:hanging="360"/>
      </w:pPr>
      <w:rPr>
        <w:rFonts w:ascii="Symbol" w:hAnsi="Symbol"/>
      </w:rPr>
    </w:lvl>
    <w:lvl w:ilvl="7" w:tplc="2FD0C322">
      <w:start w:val="1"/>
      <w:numFmt w:val="bullet"/>
      <w:lvlText w:val=""/>
      <w:lvlJc w:val="left"/>
      <w:pPr>
        <w:ind w:left="720" w:hanging="360"/>
      </w:pPr>
      <w:rPr>
        <w:rFonts w:ascii="Symbol" w:hAnsi="Symbol"/>
      </w:rPr>
    </w:lvl>
    <w:lvl w:ilvl="8" w:tplc="6316B8B8">
      <w:start w:val="1"/>
      <w:numFmt w:val="bullet"/>
      <w:lvlText w:val=""/>
      <w:lvlJc w:val="left"/>
      <w:pPr>
        <w:ind w:left="720" w:hanging="360"/>
      </w:pPr>
      <w:rPr>
        <w:rFonts w:ascii="Symbol" w:hAnsi="Symbol"/>
      </w:rPr>
    </w:lvl>
  </w:abstractNum>
  <w:abstractNum w:abstractNumId="63" w15:restartNumberingAfterBreak="0">
    <w:nsid w:val="79243CA2"/>
    <w:multiLevelType w:val="multilevel"/>
    <w:tmpl w:val="D26E3F94"/>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4" w15:restartNumberingAfterBreak="0">
    <w:nsid w:val="7AAC736E"/>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5" w15:restartNumberingAfterBreak="0">
    <w:nsid w:val="7C824D80"/>
    <w:multiLevelType w:val="multilevel"/>
    <w:tmpl w:val="C106AC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7D207868"/>
    <w:multiLevelType w:val="hybridMultilevel"/>
    <w:tmpl w:val="ECF0515E"/>
    <w:lvl w:ilvl="0" w:tplc="F05EE8B0">
      <w:start w:val="1"/>
      <w:numFmt w:val="bullet"/>
      <w:lvlText w:val=""/>
      <w:lvlJc w:val="left"/>
      <w:pPr>
        <w:ind w:left="720" w:hanging="360"/>
      </w:pPr>
      <w:rPr>
        <w:rFonts w:ascii="Symbol" w:hAnsi="Symbol"/>
      </w:rPr>
    </w:lvl>
    <w:lvl w:ilvl="1" w:tplc="532411DA">
      <w:start w:val="1"/>
      <w:numFmt w:val="bullet"/>
      <w:lvlText w:val=""/>
      <w:lvlJc w:val="left"/>
      <w:pPr>
        <w:ind w:left="720" w:hanging="360"/>
      </w:pPr>
      <w:rPr>
        <w:rFonts w:ascii="Symbol" w:hAnsi="Symbol"/>
      </w:rPr>
    </w:lvl>
    <w:lvl w:ilvl="2" w:tplc="519415D6">
      <w:start w:val="1"/>
      <w:numFmt w:val="bullet"/>
      <w:lvlText w:val=""/>
      <w:lvlJc w:val="left"/>
      <w:pPr>
        <w:ind w:left="720" w:hanging="360"/>
      </w:pPr>
      <w:rPr>
        <w:rFonts w:ascii="Symbol" w:hAnsi="Symbol"/>
      </w:rPr>
    </w:lvl>
    <w:lvl w:ilvl="3" w:tplc="2F04F1B6">
      <w:start w:val="1"/>
      <w:numFmt w:val="bullet"/>
      <w:lvlText w:val=""/>
      <w:lvlJc w:val="left"/>
      <w:pPr>
        <w:ind w:left="720" w:hanging="360"/>
      </w:pPr>
      <w:rPr>
        <w:rFonts w:ascii="Symbol" w:hAnsi="Symbol"/>
      </w:rPr>
    </w:lvl>
    <w:lvl w:ilvl="4" w:tplc="69A43C62">
      <w:start w:val="1"/>
      <w:numFmt w:val="bullet"/>
      <w:lvlText w:val=""/>
      <w:lvlJc w:val="left"/>
      <w:pPr>
        <w:ind w:left="720" w:hanging="360"/>
      </w:pPr>
      <w:rPr>
        <w:rFonts w:ascii="Symbol" w:hAnsi="Symbol"/>
      </w:rPr>
    </w:lvl>
    <w:lvl w:ilvl="5" w:tplc="C55CD730">
      <w:start w:val="1"/>
      <w:numFmt w:val="bullet"/>
      <w:lvlText w:val=""/>
      <w:lvlJc w:val="left"/>
      <w:pPr>
        <w:ind w:left="720" w:hanging="360"/>
      </w:pPr>
      <w:rPr>
        <w:rFonts w:ascii="Symbol" w:hAnsi="Symbol"/>
      </w:rPr>
    </w:lvl>
    <w:lvl w:ilvl="6" w:tplc="F8FA3D6E">
      <w:start w:val="1"/>
      <w:numFmt w:val="bullet"/>
      <w:lvlText w:val=""/>
      <w:lvlJc w:val="left"/>
      <w:pPr>
        <w:ind w:left="720" w:hanging="360"/>
      </w:pPr>
      <w:rPr>
        <w:rFonts w:ascii="Symbol" w:hAnsi="Symbol"/>
      </w:rPr>
    </w:lvl>
    <w:lvl w:ilvl="7" w:tplc="0FD60396">
      <w:start w:val="1"/>
      <w:numFmt w:val="bullet"/>
      <w:lvlText w:val=""/>
      <w:lvlJc w:val="left"/>
      <w:pPr>
        <w:ind w:left="720" w:hanging="360"/>
      </w:pPr>
      <w:rPr>
        <w:rFonts w:ascii="Symbol" w:hAnsi="Symbol"/>
      </w:rPr>
    </w:lvl>
    <w:lvl w:ilvl="8" w:tplc="E498385A">
      <w:start w:val="1"/>
      <w:numFmt w:val="bullet"/>
      <w:lvlText w:val=""/>
      <w:lvlJc w:val="left"/>
      <w:pPr>
        <w:ind w:left="720" w:hanging="360"/>
      </w:pPr>
      <w:rPr>
        <w:rFonts w:ascii="Symbol" w:hAnsi="Symbol"/>
      </w:rPr>
    </w:lvl>
  </w:abstractNum>
  <w:abstractNum w:abstractNumId="67" w15:restartNumberingAfterBreak="0">
    <w:nsid w:val="7FCB61CA"/>
    <w:multiLevelType w:val="multilevel"/>
    <w:tmpl w:val="379A7796"/>
    <w:lvl w:ilvl="0">
      <w:start w:val="1"/>
      <w:numFmt w:val="decimal"/>
      <w:lvlText w:val="%1."/>
      <w:lvlJc w:val="left"/>
      <w:pPr>
        <w:ind w:left="360" w:hanging="360"/>
      </w:pPr>
    </w:lvl>
    <w:lvl w:ilvl="1">
      <w:start w:val="1"/>
      <w:numFmt w:val="decimal"/>
      <w:pStyle w:val="Heading2"/>
      <w:lvlText w:val="%1.%2."/>
      <w:lvlJc w:val="left"/>
      <w:pPr>
        <w:ind w:left="1566" w:hanging="432"/>
      </w:pPr>
      <w:rPr>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67"/>
  </w:num>
  <w:num w:numId="2">
    <w:abstractNumId w:val="57"/>
  </w:num>
  <w:num w:numId="3">
    <w:abstractNumId w:val="11"/>
  </w:num>
  <w:num w:numId="4">
    <w:abstractNumId w:val="36"/>
  </w:num>
  <w:num w:numId="5">
    <w:abstractNumId w:val="19"/>
  </w:num>
  <w:num w:numId="6">
    <w:abstractNumId w:val="25"/>
  </w:num>
  <w:num w:numId="7">
    <w:abstractNumId w:val="44"/>
  </w:num>
  <w:num w:numId="8">
    <w:abstractNumId w:val="48"/>
  </w:num>
  <w:num w:numId="9">
    <w:abstractNumId w:val="30"/>
  </w:num>
  <w:num w:numId="10">
    <w:abstractNumId w:val="27"/>
  </w:num>
  <w:num w:numId="11">
    <w:abstractNumId w:val="20"/>
  </w:num>
  <w:num w:numId="12">
    <w:abstractNumId w:val="42"/>
  </w:num>
  <w:num w:numId="13">
    <w:abstractNumId w:val="52"/>
  </w:num>
  <w:num w:numId="14">
    <w:abstractNumId w:val="56"/>
  </w:num>
  <w:num w:numId="15">
    <w:abstractNumId w:val="8"/>
  </w:num>
  <w:num w:numId="16">
    <w:abstractNumId w:val="7"/>
  </w:num>
  <w:num w:numId="17">
    <w:abstractNumId w:val="0"/>
  </w:num>
  <w:num w:numId="18">
    <w:abstractNumId w:val="3"/>
  </w:num>
  <w:num w:numId="19">
    <w:abstractNumId w:val="49"/>
  </w:num>
  <w:num w:numId="20">
    <w:abstractNumId w:val="14"/>
  </w:num>
  <w:num w:numId="21">
    <w:abstractNumId w:val="35"/>
  </w:num>
  <w:num w:numId="22">
    <w:abstractNumId w:val="59"/>
  </w:num>
  <w:num w:numId="23">
    <w:abstractNumId w:val="24"/>
  </w:num>
  <w:num w:numId="24">
    <w:abstractNumId w:val="22"/>
  </w:num>
  <w:num w:numId="25">
    <w:abstractNumId w:val="17"/>
  </w:num>
  <w:num w:numId="26">
    <w:abstractNumId w:val="65"/>
  </w:num>
  <w:num w:numId="27">
    <w:abstractNumId w:val="45"/>
  </w:num>
  <w:num w:numId="28">
    <w:abstractNumId w:val="41"/>
  </w:num>
  <w:num w:numId="29">
    <w:abstractNumId w:val="31"/>
  </w:num>
  <w:num w:numId="30">
    <w:abstractNumId w:val="53"/>
  </w:num>
  <w:num w:numId="31">
    <w:abstractNumId w:val="26"/>
  </w:num>
  <w:num w:numId="32">
    <w:abstractNumId w:val="51"/>
  </w:num>
  <w:num w:numId="33">
    <w:abstractNumId w:val="29"/>
  </w:num>
  <w:num w:numId="34">
    <w:abstractNumId w:val="61"/>
  </w:num>
  <w:num w:numId="35">
    <w:abstractNumId w:val="6"/>
  </w:num>
  <w:num w:numId="36">
    <w:abstractNumId w:val="64"/>
  </w:num>
  <w:num w:numId="37">
    <w:abstractNumId w:val="32"/>
  </w:num>
  <w:num w:numId="38">
    <w:abstractNumId w:val="38"/>
  </w:num>
  <w:num w:numId="39">
    <w:abstractNumId w:val="54"/>
  </w:num>
  <w:num w:numId="40">
    <w:abstractNumId w:val="1"/>
  </w:num>
  <w:num w:numId="41">
    <w:abstractNumId w:val="34"/>
  </w:num>
  <w:num w:numId="42">
    <w:abstractNumId w:val="47"/>
  </w:num>
  <w:num w:numId="43">
    <w:abstractNumId w:val="13"/>
  </w:num>
  <w:num w:numId="44">
    <w:abstractNumId w:val="33"/>
  </w:num>
  <w:num w:numId="45">
    <w:abstractNumId w:val="5"/>
  </w:num>
  <w:num w:numId="46">
    <w:abstractNumId w:val="28"/>
  </w:num>
  <w:num w:numId="47">
    <w:abstractNumId w:val="43"/>
  </w:num>
  <w:num w:numId="48">
    <w:abstractNumId w:val="40"/>
  </w:num>
  <w:num w:numId="49">
    <w:abstractNumId w:val="60"/>
  </w:num>
  <w:num w:numId="50">
    <w:abstractNumId w:val="2"/>
  </w:num>
  <w:num w:numId="51">
    <w:abstractNumId w:val="9"/>
  </w:num>
  <w:num w:numId="52">
    <w:abstractNumId w:val="37"/>
  </w:num>
  <w:num w:numId="53">
    <w:abstractNumId w:val="63"/>
  </w:num>
  <w:num w:numId="54">
    <w:abstractNumId w:val="12"/>
  </w:num>
  <w:num w:numId="55">
    <w:abstractNumId w:val="21"/>
  </w:num>
  <w:num w:numId="56">
    <w:abstractNumId w:val="15"/>
  </w:num>
  <w:num w:numId="57">
    <w:abstractNumId w:val="58"/>
  </w:num>
  <w:num w:numId="58">
    <w:abstractNumId w:val="46"/>
  </w:num>
  <w:num w:numId="59">
    <w:abstractNumId w:val="10"/>
  </w:num>
  <w:num w:numId="6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66"/>
  </w:num>
  <w:num w:numId="62">
    <w:abstractNumId w:val="62"/>
  </w:num>
  <w:num w:numId="63">
    <w:abstractNumId w:val="23"/>
  </w:num>
  <w:num w:numId="64">
    <w:abstractNumId w:val="4"/>
  </w:num>
  <w:num w:numId="65">
    <w:abstractNumId w:val="55"/>
  </w:num>
  <w:num w:numId="66">
    <w:abstractNumId w:val="18"/>
  </w:num>
  <w:num w:numId="67">
    <w:abstractNumId w:val="16"/>
  </w:num>
  <w:num w:numId="68">
    <w:abstractNumId w:val="16"/>
  </w:num>
  <w:num w:numId="69">
    <w:abstractNumId w:val="50"/>
  </w:num>
  <w:num w:numId="70">
    <w:abstractNumId w:val="39"/>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ocumentProtection w:edit="readOnly" w:enforcement="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4DA8484B-38A4-4A80-A50D-F38DE45B2BB6"/>
    <w:docVar w:name="LW_COVERPAGE_TYPE" w:val="1"/>
    <w:docVar w:name="LW_CROSSREFERENCE" w:val="&lt;UNUSED&gt;"/>
    <w:docVar w:name="LW_DocType" w:val="NORMAL"/>
    <w:docVar w:name="LW_EMISSION" w:val="12.3.2024"/>
    <w:docVar w:name="LW_EMISSION_ISODATE" w:val="2024-03-12"/>
    <w:docVar w:name="LW_EMISSION_LOCATION" w:val="STR"/>
    <w:docVar w:name="LW_EMISSION_PREFIX" w:val="Strasbourg, "/>
    <w:docVar w:name="LW_EMISSION_SUFFIX" w:val=" "/>
    <w:docVar w:name="LW_ID_DOCTYPE_NONLW" w:val="CP-014"/>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4) 9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Gestionarea riscurilor climatice \u8211? protejarea oamenilor \u537?i a prosperit\u259?\u539?ii"/>
    <w:docVar w:name="LW_TYPE.DOC.CP" w:val="COMUNICARE A COMISIEI C\u258?TRE PARLAMENTUL EUROPEAN, CONSILIU, COMITETUL ECONOMIC \u536?I SOCIAL EUROPEAN \u536?I COMITETUL REGIUNILOR"/>
    <w:docVar w:name="LW_TYPE.DOC.CP.USERTEXT" w:val="&lt;EMPTY&gt;"/>
    <w:docVar w:name="LwApiVersions" w:val="LW4CoDe 1.24.5.0; LW 9.0, Build 20240221"/>
  </w:docVars>
  <w:rsids>
    <w:rsidRoot w:val="0053389F"/>
    <w:rsid w:val="00000066"/>
    <w:rsid w:val="00000455"/>
    <w:rsid w:val="000005EC"/>
    <w:rsid w:val="000008B7"/>
    <w:rsid w:val="0000095D"/>
    <w:rsid w:val="0000096D"/>
    <w:rsid w:val="000009B7"/>
    <w:rsid w:val="00000A80"/>
    <w:rsid w:val="0000104D"/>
    <w:rsid w:val="000012FA"/>
    <w:rsid w:val="000013CC"/>
    <w:rsid w:val="0000165B"/>
    <w:rsid w:val="0000173F"/>
    <w:rsid w:val="00001819"/>
    <w:rsid w:val="0000187B"/>
    <w:rsid w:val="00001CE7"/>
    <w:rsid w:val="00001CF8"/>
    <w:rsid w:val="00001DEC"/>
    <w:rsid w:val="00001E5A"/>
    <w:rsid w:val="00001EB2"/>
    <w:rsid w:val="00001ED4"/>
    <w:rsid w:val="000022DA"/>
    <w:rsid w:val="00002309"/>
    <w:rsid w:val="000023F2"/>
    <w:rsid w:val="000024B5"/>
    <w:rsid w:val="0000254B"/>
    <w:rsid w:val="0000259A"/>
    <w:rsid w:val="00002703"/>
    <w:rsid w:val="00002735"/>
    <w:rsid w:val="00002B07"/>
    <w:rsid w:val="00002B52"/>
    <w:rsid w:val="00002B56"/>
    <w:rsid w:val="00002C91"/>
    <w:rsid w:val="00002F4F"/>
    <w:rsid w:val="0000334C"/>
    <w:rsid w:val="0000341B"/>
    <w:rsid w:val="00003592"/>
    <w:rsid w:val="0000375A"/>
    <w:rsid w:val="000037DF"/>
    <w:rsid w:val="000038FC"/>
    <w:rsid w:val="00003B97"/>
    <w:rsid w:val="00003C18"/>
    <w:rsid w:val="00003C5B"/>
    <w:rsid w:val="00003CA6"/>
    <w:rsid w:val="00003CD2"/>
    <w:rsid w:val="000040FA"/>
    <w:rsid w:val="00004170"/>
    <w:rsid w:val="000041CA"/>
    <w:rsid w:val="0000428B"/>
    <w:rsid w:val="000042E8"/>
    <w:rsid w:val="00004536"/>
    <w:rsid w:val="00004609"/>
    <w:rsid w:val="00004616"/>
    <w:rsid w:val="00004847"/>
    <w:rsid w:val="00004879"/>
    <w:rsid w:val="00004C19"/>
    <w:rsid w:val="00004FEE"/>
    <w:rsid w:val="0000549D"/>
    <w:rsid w:val="0000554F"/>
    <w:rsid w:val="00005789"/>
    <w:rsid w:val="00005898"/>
    <w:rsid w:val="0000599C"/>
    <w:rsid w:val="00005A2F"/>
    <w:rsid w:val="00005B11"/>
    <w:rsid w:val="00005C39"/>
    <w:rsid w:val="0000602C"/>
    <w:rsid w:val="00006080"/>
    <w:rsid w:val="000060E5"/>
    <w:rsid w:val="00006220"/>
    <w:rsid w:val="0000627B"/>
    <w:rsid w:val="00006337"/>
    <w:rsid w:val="00006463"/>
    <w:rsid w:val="000065AC"/>
    <w:rsid w:val="00006716"/>
    <w:rsid w:val="000067F3"/>
    <w:rsid w:val="0000693C"/>
    <w:rsid w:val="00006D40"/>
    <w:rsid w:val="00007186"/>
    <w:rsid w:val="000072C8"/>
    <w:rsid w:val="00007397"/>
    <w:rsid w:val="000073BB"/>
    <w:rsid w:val="00007528"/>
    <w:rsid w:val="00007718"/>
    <w:rsid w:val="0000772E"/>
    <w:rsid w:val="0000789E"/>
    <w:rsid w:val="000079A8"/>
    <w:rsid w:val="000079AD"/>
    <w:rsid w:val="00007B54"/>
    <w:rsid w:val="00007ED2"/>
    <w:rsid w:val="0001017B"/>
    <w:rsid w:val="00010493"/>
    <w:rsid w:val="0001053E"/>
    <w:rsid w:val="000105AA"/>
    <w:rsid w:val="000105E0"/>
    <w:rsid w:val="0001084E"/>
    <w:rsid w:val="00010BCC"/>
    <w:rsid w:val="00010C38"/>
    <w:rsid w:val="00010E22"/>
    <w:rsid w:val="00010E7B"/>
    <w:rsid w:val="000113BA"/>
    <w:rsid w:val="000113BB"/>
    <w:rsid w:val="000114CF"/>
    <w:rsid w:val="000114DC"/>
    <w:rsid w:val="0001159C"/>
    <w:rsid w:val="000115A7"/>
    <w:rsid w:val="000116A0"/>
    <w:rsid w:val="000117B9"/>
    <w:rsid w:val="00011813"/>
    <w:rsid w:val="00011973"/>
    <w:rsid w:val="00011A71"/>
    <w:rsid w:val="00011DEF"/>
    <w:rsid w:val="00011E39"/>
    <w:rsid w:val="00011F2B"/>
    <w:rsid w:val="00011F99"/>
    <w:rsid w:val="0001222E"/>
    <w:rsid w:val="000123D9"/>
    <w:rsid w:val="00012500"/>
    <w:rsid w:val="000125DD"/>
    <w:rsid w:val="000125F6"/>
    <w:rsid w:val="000128EE"/>
    <w:rsid w:val="00012988"/>
    <w:rsid w:val="000129C9"/>
    <w:rsid w:val="00012AE4"/>
    <w:rsid w:val="00012B0B"/>
    <w:rsid w:val="00012B72"/>
    <w:rsid w:val="00012C81"/>
    <w:rsid w:val="00012D47"/>
    <w:rsid w:val="00012D93"/>
    <w:rsid w:val="00012DC6"/>
    <w:rsid w:val="00012F68"/>
    <w:rsid w:val="00012FAC"/>
    <w:rsid w:val="00013133"/>
    <w:rsid w:val="000135BA"/>
    <w:rsid w:val="000138A8"/>
    <w:rsid w:val="00013A3F"/>
    <w:rsid w:val="00013C11"/>
    <w:rsid w:val="00013DDB"/>
    <w:rsid w:val="00013E15"/>
    <w:rsid w:val="00013EAF"/>
    <w:rsid w:val="0001450F"/>
    <w:rsid w:val="000145B6"/>
    <w:rsid w:val="00014617"/>
    <w:rsid w:val="000147C5"/>
    <w:rsid w:val="00014841"/>
    <w:rsid w:val="000149EE"/>
    <w:rsid w:val="00014A4F"/>
    <w:rsid w:val="00014BAC"/>
    <w:rsid w:val="00014D4A"/>
    <w:rsid w:val="000152F0"/>
    <w:rsid w:val="0001579C"/>
    <w:rsid w:val="0001581E"/>
    <w:rsid w:val="00015E38"/>
    <w:rsid w:val="000160C9"/>
    <w:rsid w:val="00016212"/>
    <w:rsid w:val="000162D3"/>
    <w:rsid w:val="00016421"/>
    <w:rsid w:val="000167E8"/>
    <w:rsid w:val="00016E48"/>
    <w:rsid w:val="00016F15"/>
    <w:rsid w:val="00017346"/>
    <w:rsid w:val="0001735A"/>
    <w:rsid w:val="0001735C"/>
    <w:rsid w:val="000173E5"/>
    <w:rsid w:val="0001744F"/>
    <w:rsid w:val="000175CC"/>
    <w:rsid w:val="00017C82"/>
    <w:rsid w:val="00017CFD"/>
    <w:rsid w:val="00017E7F"/>
    <w:rsid w:val="00017FA4"/>
    <w:rsid w:val="000200FC"/>
    <w:rsid w:val="0002021B"/>
    <w:rsid w:val="000202D7"/>
    <w:rsid w:val="00020367"/>
    <w:rsid w:val="00020567"/>
    <w:rsid w:val="00020588"/>
    <w:rsid w:val="0002115D"/>
    <w:rsid w:val="0002118F"/>
    <w:rsid w:val="0002122B"/>
    <w:rsid w:val="0002140F"/>
    <w:rsid w:val="00021631"/>
    <w:rsid w:val="00021663"/>
    <w:rsid w:val="000216DC"/>
    <w:rsid w:val="000217EA"/>
    <w:rsid w:val="0002198F"/>
    <w:rsid w:val="00021A06"/>
    <w:rsid w:val="00021B57"/>
    <w:rsid w:val="00021C49"/>
    <w:rsid w:val="00021D45"/>
    <w:rsid w:val="00021D66"/>
    <w:rsid w:val="00021F07"/>
    <w:rsid w:val="00021F9F"/>
    <w:rsid w:val="00022052"/>
    <w:rsid w:val="0002208D"/>
    <w:rsid w:val="00022123"/>
    <w:rsid w:val="000221BB"/>
    <w:rsid w:val="00022431"/>
    <w:rsid w:val="000225D3"/>
    <w:rsid w:val="00022633"/>
    <w:rsid w:val="0002267F"/>
    <w:rsid w:val="000227D1"/>
    <w:rsid w:val="000228C3"/>
    <w:rsid w:val="00022984"/>
    <w:rsid w:val="00022A38"/>
    <w:rsid w:val="00022B16"/>
    <w:rsid w:val="00022B3C"/>
    <w:rsid w:val="0002310F"/>
    <w:rsid w:val="00023153"/>
    <w:rsid w:val="000232F3"/>
    <w:rsid w:val="00023303"/>
    <w:rsid w:val="00023390"/>
    <w:rsid w:val="00023E46"/>
    <w:rsid w:val="00023FCC"/>
    <w:rsid w:val="00024066"/>
    <w:rsid w:val="00024110"/>
    <w:rsid w:val="0002415E"/>
    <w:rsid w:val="000244E5"/>
    <w:rsid w:val="0002475C"/>
    <w:rsid w:val="00024B92"/>
    <w:rsid w:val="00024CF2"/>
    <w:rsid w:val="00024EAA"/>
    <w:rsid w:val="00025099"/>
    <w:rsid w:val="00025166"/>
    <w:rsid w:val="00025168"/>
    <w:rsid w:val="0002528A"/>
    <w:rsid w:val="0002561B"/>
    <w:rsid w:val="000257F3"/>
    <w:rsid w:val="00025931"/>
    <w:rsid w:val="00025A33"/>
    <w:rsid w:val="00025B39"/>
    <w:rsid w:val="00025CF8"/>
    <w:rsid w:val="00025D3A"/>
    <w:rsid w:val="00025E3C"/>
    <w:rsid w:val="00025F0D"/>
    <w:rsid w:val="000260B7"/>
    <w:rsid w:val="0002618D"/>
    <w:rsid w:val="000262C8"/>
    <w:rsid w:val="0002638C"/>
    <w:rsid w:val="0002650A"/>
    <w:rsid w:val="0002651F"/>
    <w:rsid w:val="00026691"/>
    <w:rsid w:val="0002686A"/>
    <w:rsid w:val="0002690E"/>
    <w:rsid w:val="00026A9B"/>
    <w:rsid w:val="00026AC3"/>
    <w:rsid w:val="00026AFC"/>
    <w:rsid w:val="00026AFF"/>
    <w:rsid w:val="00026F51"/>
    <w:rsid w:val="0002702D"/>
    <w:rsid w:val="000275BC"/>
    <w:rsid w:val="00027601"/>
    <w:rsid w:val="00027655"/>
    <w:rsid w:val="0002775F"/>
    <w:rsid w:val="000278E0"/>
    <w:rsid w:val="00027ACE"/>
    <w:rsid w:val="00027C6C"/>
    <w:rsid w:val="00027CD1"/>
    <w:rsid w:val="00027DF7"/>
    <w:rsid w:val="000303B2"/>
    <w:rsid w:val="00030482"/>
    <w:rsid w:val="000305F7"/>
    <w:rsid w:val="0003067E"/>
    <w:rsid w:val="00030800"/>
    <w:rsid w:val="0003082B"/>
    <w:rsid w:val="00030B2B"/>
    <w:rsid w:val="00030BAF"/>
    <w:rsid w:val="00030BE6"/>
    <w:rsid w:val="00030C95"/>
    <w:rsid w:val="00030DAB"/>
    <w:rsid w:val="000310DB"/>
    <w:rsid w:val="00031269"/>
    <w:rsid w:val="00031389"/>
    <w:rsid w:val="00031420"/>
    <w:rsid w:val="00031709"/>
    <w:rsid w:val="00031C4E"/>
    <w:rsid w:val="00031C99"/>
    <w:rsid w:val="00031CCC"/>
    <w:rsid w:val="00031D7F"/>
    <w:rsid w:val="00031D9F"/>
    <w:rsid w:val="0003202F"/>
    <w:rsid w:val="00032096"/>
    <w:rsid w:val="00032669"/>
    <w:rsid w:val="0003276F"/>
    <w:rsid w:val="00032ADC"/>
    <w:rsid w:val="00032C02"/>
    <w:rsid w:val="00032C0D"/>
    <w:rsid w:val="00032C65"/>
    <w:rsid w:val="00032D11"/>
    <w:rsid w:val="00032DB0"/>
    <w:rsid w:val="00032FEE"/>
    <w:rsid w:val="00033756"/>
    <w:rsid w:val="000338F4"/>
    <w:rsid w:val="00033AA4"/>
    <w:rsid w:val="00033CE6"/>
    <w:rsid w:val="00033EA4"/>
    <w:rsid w:val="00033F82"/>
    <w:rsid w:val="00034010"/>
    <w:rsid w:val="000343DF"/>
    <w:rsid w:val="0003457C"/>
    <w:rsid w:val="000346A4"/>
    <w:rsid w:val="0003471B"/>
    <w:rsid w:val="00034853"/>
    <w:rsid w:val="000348B8"/>
    <w:rsid w:val="00034B07"/>
    <w:rsid w:val="00034BD7"/>
    <w:rsid w:val="00034C63"/>
    <w:rsid w:val="00034DD5"/>
    <w:rsid w:val="00034EEC"/>
    <w:rsid w:val="0003504E"/>
    <w:rsid w:val="00035246"/>
    <w:rsid w:val="000352EE"/>
    <w:rsid w:val="000353A7"/>
    <w:rsid w:val="000353E2"/>
    <w:rsid w:val="000355A9"/>
    <w:rsid w:val="00035991"/>
    <w:rsid w:val="00035A49"/>
    <w:rsid w:val="00035BD4"/>
    <w:rsid w:val="00035E05"/>
    <w:rsid w:val="00035E26"/>
    <w:rsid w:val="00035FB6"/>
    <w:rsid w:val="00036035"/>
    <w:rsid w:val="00036181"/>
    <w:rsid w:val="00036C47"/>
    <w:rsid w:val="00036DB2"/>
    <w:rsid w:val="000374E1"/>
    <w:rsid w:val="00037838"/>
    <w:rsid w:val="00037A30"/>
    <w:rsid w:val="00037CD5"/>
    <w:rsid w:val="00037D92"/>
    <w:rsid w:val="00037F7C"/>
    <w:rsid w:val="00037FFE"/>
    <w:rsid w:val="00040039"/>
    <w:rsid w:val="00040260"/>
    <w:rsid w:val="00040539"/>
    <w:rsid w:val="00040652"/>
    <w:rsid w:val="00040BB4"/>
    <w:rsid w:val="00040C6C"/>
    <w:rsid w:val="00040CC6"/>
    <w:rsid w:val="00040E8A"/>
    <w:rsid w:val="00040F07"/>
    <w:rsid w:val="0004109A"/>
    <w:rsid w:val="00041112"/>
    <w:rsid w:val="0004138A"/>
    <w:rsid w:val="000419BB"/>
    <w:rsid w:val="00041A9E"/>
    <w:rsid w:val="00041BEF"/>
    <w:rsid w:val="00041F41"/>
    <w:rsid w:val="000424C2"/>
    <w:rsid w:val="00042935"/>
    <w:rsid w:val="00042936"/>
    <w:rsid w:val="000429AB"/>
    <w:rsid w:val="00042B57"/>
    <w:rsid w:val="00042B60"/>
    <w:rsid w:val="00042CF3"/>
    <w:rsid w:val="00042E44"/>
    <w:rsid w:val="00042FB7"/>
    <w:rsid w:val="00043029"/>
    <w:rsid w:val="000430C3"/>
    <w:rsid w:val="0004357B"/>
    <w:rsid w:val="000435FD"/>
    <w:rsid w:val="000438EF"/>
    <w:rsid w:val="00043BDF"/>
    <w:rsid w:val="00043CAF"/>
    <w:rsid w:val="00043CC4"/>
    <w:rsid w:val="00043CD0"/>
    <w:rsid w:val="000442D2"/>
    <w:rsid w:val="000444E6"/>
    <w:rsid w:val="0004458B"/>
    <w:rsid w:val="0004477D"/>
    <w:rsid w:val="00044BFC"/>
    <w:rsid w:val="00044CB7"/>
    <w:rsid w:val="00044DC7"/>
    <w:rsid w:val="00044FAB"/>
    <w:rsid w:val="000450BC"/>
    <w:rsid w:val="000452AD"/>
    <w:rsid w:val="00045390"/>
    <w:rsid w:val="0004542D"/>
    <w:rsid w:val="00045478"/>
    <w:rsid w:val="0004549D"/>
    <w:rsid w:val="0004571B"/>
    <w:rsid w:val="0004577A"/>
    <w:rsid w:val="0004584B"/>
    <w:rsid w:val="00045BF1"/>
    <w:rsid w:val="00045D79"/>
    <w:rsid w:val="00045DCE"/>
    <w:rsid w:val="00046670"/>
    <w:rsid w:val="000466C3"/>
    <w:rsid w:val="00046843"/>
    <w:rsid w:val="0004693C"/>
    <w:rsid w:val="000469F4"/>
    <w:rsid w:val="00046B05"/>
    <w:rsid w:val="00046B2C"/>
    <w:rsid w:val="00046BE9"/>
    <w:rsid w:val="00046C2F"/>
    <w:rsid w:val="00046D6D"/>
    <w:rsid w:val="000473DB"/>
    <w:rsid w:val="00047541"/>
    <w:rsid w:val="000475FA"/>
    <w:rsid w:val="0004762C"/>
    <w:rsid w:val="00047648"/>
    <w:rsid w:val="000476CD"/>
    <w:rsid w:val="00047AB3"/>
    <w:rsid w:val="00047BDF"/>
    <w:rsid w:val="00047C13"/>
    <w:rsid w:val="00047D30"/>
    <w:rsid w:val="00047D33"/>
    <w:rsid w:val="00047E4A"/>
    <w:rsid w:val="00047FA1"/>
    <w:rsid w:val="0005002D"/>
    <w:rsid w:val="00050093"/>
    <w:rsid w:val="000502CB"/>
    <w:rsid w:val="00050376"/>
    <w:rsid w:val="0005053E"/>
    <w:rsid w:val="00050631"/>
    <w:rsid w:val="00050845"/>
    <w:rsid w:val="000508EB"/>
    <w:rsid w:val="00050DE4"/>
    <w:rsid w:val="00050EF6"/>
    <w:rsid w:val="00050FFE"/>
    <w:rsid w:val="0005109D"/>
    <w:rsid w:val="000511D9"/>
    <w:rsid w:val="0005122F"/>
    <w:rsid w:val="00051310"/>
    <w:rsid w:val="000514D3"/>
    <w:rsid w:val="0005158B"/>
    <w:rsid w:val="0005159B"/>
    <w:rsid w:val="000515F4"/>
    <w:rsid w:val="000516FA"/>
    <w:rsid w:val="0005172F"/>
    <w:rsid w:val="000517D0"/>
    <w:rsid w:val="000518D6"/>
    <w:rsid w:val="00051A8B"/>
    <w:rsid w:val="00051B1D"/>
    <w:rsid w:val="00051BBD"/>
    <w:rsid w:val="00051D06"/>
    <w:rsid w:val="00051E81"/>
    <w:rsid w:val="00051F02"/>
    <w:rsid w:val="00051FAE"/>
    <w:rsid w:val="00052051"/>
    <w:rsid w:val="000520C7"/>
    <w:rsid w:val="000525E7"/>
    <w:rsid w:val="000525FD"/>
    <w:rsid w:val="00052813"/>
    <w:rsid w:val="00052C60"/>
    <w:rsid w:val="00052F72"/>
    <w:rsid w:val="00053099"/>
    <w:rsid w:val="000533AE"/>
    <w:rsid w:val="000536C9"/>
    <w:rsid w:val="000536CB"/>
    <w:rsid w:val="00053B22"/>
    <w:rsid w:val="00053D11"/>
    <w:rsid w:val="00053D1A"/>
    <w:rsid w:val="00053DCE"/>
    <w:rsid w:val="00053F02"/>
    <w:rsid w:val="000543CF"/>
    <w:rsid w:val="0005442D"/>
    <w:rsid w:val="00054447"/>
    <w:rsid w:val="000545E2"/>
    <w:rsid w:val="00054732"/>
    <w:rsid w:val="00054736"/>
    <w:rsid w:val="000548B4"/>
    <w:rsid w:val="00054991"/>
    <w:rsid w:val="000549ED"/>
    <w:rsid w:val="000549F5"/>
    <w:rsid w:val="00054A9D"/>
    <w:rsid w:val="00054B9F"/>
    <w:rsid w:val="00054BEB"/>
    <w:rsid w:val="00054CD7"/>
    <w:rsid w:val="00054D16"/>
    <w:rsid w:val="00054D2F"/>
    <w:rsid w:val="00054E6B"/>
    <w:rsid w:val="00055119"/>
    <w:rsid w:val="00055256"/>
    <w:rsid w:val="00055298"/>
    <w:rsid w:val="000554A6"/>
    <w:rsid w:val="00055559"/>
    <w:rsid w:val="000555DA"/>
    <w:rsid w:val="000555ED"/>
    <w:rsid w:val="000556FA"/>
    <w:rsid w:val="0005583B"/>
    <w:rsid w:val="00055AB6"/>
    <w:rsid w:val="00055B1D"/>
    <w:rsid w:val="0005600B"/>
    <w:rsid w:val="00056835"/>
    <w:rsid w:val="000569C8"/>
    <w:rsid w:val="00056AE1"/>
    <w:rsid w:val="00056C5A"/>
    <w:rsid w:val="00057080"/>
    <w:rsid w:val="000570DF"/>
    <w:rsid w:val="000573EB"/>
    <w:rsid w:val="000574E2"/>
    <w:rsid w:val="00057594"/>
    <w:rsid w:val="0005761E"/>
    <w:rsid w:val="0005763C"/>
    <w:rsid w:val="000576D9"/>
    <w:rsid w:val="000577B0"/>
    <w:rsid w:val="00057B5E"/>
    <w:rsid w:val="00057EED"/>
    <w:rsid w:val="0006002F"/>
    <w:rsid w:val="000604E2"/>
    <w:rsid w:val="00060759"/>
    <w:rsid w:val="00060797"/>
    <w:rsid w:val="00060C28"/>
    <w:rsid w:val="00060C8F"/>
    <w:rsid w:val="00060C94"/>
    <w:rsid w:val="00060CB9"/>
    <w:rsid w:val="00060D94"/>
    <w:rsid w:val="00060F20"/>
    <w:rsid w:val="00061176"/>
    <w:rsid w:val="000613F8"/>
    <w:rsid w:val="0006147C"/>
    <w:rsid w:val="000614E9"/>
    <w:rsid w:val="0006166F"/>
    <w:rsid w:val="000617A9"/>
    <w:rsid w:val="000619BB"/>
    <w:rsid w:val="00061D9E"/>
    <w:rsid w:val="00061DE5"/>
    <w:rsid w:val="00062016"/>
    <w:rsid w:val="0006216F"/>
    <w:rsid w:val="00062709"/>
    <w:rsid w:val="00062794"/>
    <w:rsid w:val="0006282B"/>
    <w:rsid w:val="00062C55"/>
    <w:rsid w:val="0006302B"/>
    <w:rsid w:val="00063558"/>
    <w:rsid w:val="0006367A"/>
    <w:rsid w:val="00063783"/>
    <w:rsid w:val="000638EA"/>
    <w:rsid w:val="00063A57"/>
    <w:rsid w:val="00063BA5"/>
    <w:rsid w:val="000640A1"/>
    <w:rsid w:val="000643E3"/>
    <w:rsid w:val="000646D1"/>
    <w:rsid w:val="00064A66"/>
    <w:rsid w:val="00064A97"/>
    <w:rsid w:val="00064B1D"/>
    <w:rsid w:val="00064ED3"/>
    <w:rsid w:val="00065193"/>
    <w:rsid w:val="0006538D"/>
    <w:rsid w:val="00065599"/>
    <w:rsid w:val="000655E9"/>
    <w:rsid w:val="0006563C"/>
    <w:rsid w:val="000656E9"/>
    <w:rsid w:val="00065A89"/>
    <w:rsid w:val="00065BF6"/>
    <w:rsid w:val="000660E6"/>
    <w:rsid w:val="00066224"/>
    <w:rsid w:val="00066642"/>
    <w:rsid w:val="0006665E"/>
    <w:rsid w:val="00066717"/>
    <w:rsid w:val="00066927"/>
    <w:rsid w:val="00066A31"/>
    <w:rsid w:val="00066B51"/>
    <w:rsid w:val="00066C0C"/>
    <w:rsid w:val="00066C60"/>
    <w:rsid w:val="00066F9F"/>
    <w:rsid w:val="00066FC1"/>
    <w:rsid w:val="00066FDF"/>
    <w:rsid w:val="00067351"/>
    <w:rsid w:val="00067400"/>
    <w:rsid w:val="0006744E"/>
    <w:rsid w:val="00067946"/>
    <w:rsid w:val="00067BB2"/>
    <w:rsid w:val="00067E12"/>
    <w:rsid w:val="00067F95"/>
    <w:rsid w:val="0007009E"/>
    <w:rsid w:val="00070253"/>
    <w:rsid w:val="000702AB"/>
    <w:rsid w:val="00070861"/>
    <w:rsid w:val="00070880"/>
    <w:rsid w:val="00070995"/>
    <w:rsid w:val="00070A0B"/>
    <w:rsid w:val="00070E20"/>
    <w:rsid w:val="00070FA3"/>
    <w:rsid w:val="0007115C"/>
    <w:rsid w:val="000711A2"/>
    <w:rsid w:val="00071280"/>
    <w:rsid w:val="0007135C"/>
    <w:rsid w:val="0007168A"/>
    <w:rsid w:val="00071694"/>
    <w:rsid w:val="000719CB"/>
    <w:rsid w:val="00071A95"/>
    <w:rsid w:val="00071F9A"/>
    <w:rsid w:val="00072078"/>
    <w:rsid w:val="000721A7"/>
    <w:rsid w:val="000722BE"/>
    <w:rsid w:val="000722D0"/>
    <w:rsid w:val="000723A9"/>
    <w:rsid w:val="000723CA"/>
    <w:rsid w:val="00072457"/>
    <w:rsid w:val="0007263D"/>
    <w:rsid w:val="000726DF"/>
    <w:rsid w:val="00072797"/>
    <w:rsid w:val="00072849"/>
    <w:rsid w:val="00072B55"/>
    <w:rsid w:val="00072B7A"/>
    <w:rsid w:val="00072C8A"/>
    <w:rsid w:val="0007312A"/>
    <w:rsid w:val="00073451"/>
    <w:rsid w:val="00073767"/>
    <w:rsid w:val="000737F6"/>
    <w:rsid w:val="00073A7A"/>
    <w:rsid w:val="00073B68"/>
    <w:rsid w:val="00073F90"/>
    <w:rsid w:val="0007407A"/>
    <w:rsid w:val="00074092"/>
    <w:rsid w:val="00074188"/>
    <w:rsid w:val="000741F5"/>
    <w:rsid w:val="0007426B"/>
    <w:rsid w:val="000742AE"/>
    <w:rsid w:val="00074761"/>
    <w:rsid w:val="000749CB"/>
    <w:rsid w:val="00074A1D"/>
    <w:rsid w:val="00074D23"/>
    <w:rsid w:val="00074D72"/>
    <w:rsid w:val="00074E20"/>
    <w:rsid w:val="0007551E"/>
    <w:rsid w:val="0007561A"/>
    <w:rsid w:val="000758EC"/>
    <w:rsid w:val="00075A83"/>
    <w:rsid w:val="00075E96"/>
    <w:rsid w:val="000761BB"/>
    <w:rsid w:val="00076314"/>
    <w:rsid w:val="00076B49"/>
    <w:rsid w:val="00076D06"/>
    <w:rsid w:val="000770F1"/>
    <w:rsid w:val="00077346"/>
    <w:rsid w:val="00077412"/>
    <w:rsid w:val="00077685"/>
    <w:rsid w:val="0007777E"/>
    <w:rsid w:val="000777CC"/>
    <w:rsid w:val="00077BB3"/>
    <w:rsid w:val="00077C76"/>
    <w:rsid w:val="00077E3F"/>
    <w:rsid w:val="00077F5A"/>
    <w:rsid w:val="000800DA"/>
    <w:rsid w:val="000801C7"/>
    <w:rsid w:val="000805A4"/>
    <w:rsid w:val="00080641"/>
    <w:rsid w:val="0008073B"/>
    <w:rsid w:val="00080808"/>
    <w:rsid w:val="00080914"/>
    <w:rsid w:val="0008091F"/>
    <w:rsid w:val="000809B5"/>
    <w:rsid w:val="00080A7A"/>
    <w:rsid w:val="00080B82"/>
    <w:rsid w:val="00080CAC"/>
    <w:rsid w:val="00080E84"/>
    <w:rsid w:val="00080EF0"/>
    <w:rsid w:val="00080F04"/>
    <w:rsid w:val="00080F43"/>
    <w:rsid w:val="0008101D"/>
    <w:rsid w:val="000814C2"/>
    <w:rsid w:val="000815C6"/>
    <w:rsid w:val="00081840"/>
    <w:rsid w:val="00081B92"/>
    <w:rsid w:val="00081F1B"/>
    <w:rsid w:val="00082179"/>
    <w:rsid w:val="00082217"/>
    <w:rsid w:val="00082575"/>
    <w:rsid w:val="000825C1"/>
    <w:rsid w:val="000827BB"/>
    <w:rsid w:val="00082A2F"/>
    <w:rsid w:val="00082AFF"/>
    <w:rsid w:val="00082B29"/>
    <w:rsid w:val="00082B5C"/>
    <w:rsid w:val="00082B9D"/>
    <w:rsid w:val="00082CB9"/>
    <w:rsid w:val="00082D47"/>
    <w:rsid w:val="00082DDA"/>
    <w:rsid w:val="00082ECD"/>
    <w:rsid w:val="00082FF6"/>
    <w:rsid w:val="000839D0"/>
    <w:rsid w:val="00083B5A"/>
    <w:rsid w:val="00083D02"/>
    <w:rsid w:val="00083D3E"/>
    <w:rsid w:val="00083EF3"/>
    <w:rsid w:val="00084257"/>
    <w:rsid w:val="00084438"/>
    <w:rsid w:val="00084449"/>
    <w:rsid w:val="000847A0"/>
    <w:rsid w:val="00084A8A"/>
    <w:rsid w:val="00084B54"/>
    <w:rsid w:val="00084CC1"/>
    <w:rsid w:val="00085146"/>
    <w:rsid w:val="000851DA"/>
    <w:rsid w:val="000852A7"/>
    <w:rsid w:val="000852B6"/>
    <w:rsid w:val="000853BD"/>
    <w:rsid w:val="0008548B"/>
    <w:rsid w:val="00085544"/>
    <w:rsid w:val="000855FE"/>
    <w:rsid w:val="00085FC1"/>
    <w:rsid w:val="0008602A"/>
    <w:rsid w:val="00086346"/>
    <w:rsid w:val="00086597"/>
    <w:rsid w:val="000865D0"/>
    <w:rsid w:val="00086BC5"/>
    <w:rsid w:val="00086D1D"/>
    <w:rsid w:val="00086DCC"/>
    <w:rsid w:val="00086FB7"/>
    <w:rsid w:val="00086FBE"/>
    <w:rsid w:val="0008708C"/>
    <w:rsid w:val="0008737F"/>
    <w:rsid w:val="000875B4"/>
    <w:rsid w:val="000879D1"/>
    <w:rsid w:val="00087AA8"/>
    <w:rsid w:val="00087DE1"/>
    <w:rsid w:val="00087EC2"/>
    <w:rsid w:val="00087EE5"/>
    <w:rsid w:val="00087F94"/>
    <w:rsid w:val="00087FDA"/>
    <w:rsid w:val="00090136"/>
    <w:rsid w:val="000901D2"/>
    <w:rsid w:val="00090342"/>
    <w:rsid w:val="0009053D"/>
    <w:rsid w:val="00090547"/>
    <w:rsid w:val="00090D73"/>
    <w:rsid w:val="00090F5D"/>
    <w:rsid w:val="00090F79"/>
    <w:rsid w:val="0009120A"/>
    <w:rsid w:val="000912B4"/>
    <w:rsid w:val="000915F5"/>
    <w:rsid w:val="00091680"/>
    <w:rsid w:val="0009180B"/>
    <w:rsid w:val="00091876"/>
    <w:rsid w:val="00091914"/>
    <w:rsid w:val="00091C0A"/>
    <w:rsid w:val="00091C0B"/>
    <w:rsid w:val="00091C37"/>
    <w:rsid w:val="00091E2C"/>
    <w:rsid w:val="00091EEE"/>
    <w:rsid w:val="000926CD"/>
    <w:rsid w:val="0009282D"/>
    <w:rsid w:val="00092B43"/>
    <w:rsid w:val="00092D6E"/>
    <w:rsid w:val="0009328D"/>
    <w:rsid w:val="000932D8"/>
    <w:rsid w:val="000933A6"/>
    <w:rsid w:val="0009347C"/>
    <w:rsid w:val="000934E7"/>
    <w:rsid w:val="00093B5B"/>
    <w:rsid w:val="00093C2D"/>
    <w:rsid w:val="00093E5C"/>
    <w:rsid w:val="0009420C"/>
    <w:rsid w:val="00094225"/>
    <w:rsid w:val="00094449"/>
    <w:rsid w:val="00094691"/>
    <w:rsid w:val="000947E8"/>
    <w:rsid w:val="000947EF"/>
    <w:rsid w:val="000948C1"/>
    <w:rsid w:val="000948F6"/>
    <w:rsid w:val="0009498F"/>
    <w:rsid w:val="00094B8A"/>
    <w:rsid w:val="00094C53"/>
    <w:rsid w:val="00094DE6"/>
    <w:rsid w:val="00094F07"/>
    <w:rsid w:val="00094FE0"/>
    <w:rsid w:val="0009510A"/>
    <w:rsid w:val="000951D8"/>
    <w:rsid w:val="0009534D"/>
    <w:rsid w:val="000956A3"/>
    <w:rsid w:val="000957D6"/>
    <w:rsid w:val="000958BC"/>
    <w:rsid w:val="0009590F"/>
    <w:rsid w:val="000959D2"/>
    <w:rsid w:val="00095AC9"/>
    <w:rsid w:val="00095CA3"/>
    <w:rsid w:val="00095CA8"/>
    <w:rsid w:val="00095D0A"/>
    <w:rsid w:val="00095E0B"/>
    <w:rsid w:val="00095FAD"/>
    <w:rsid w:val="00096024"/>
    <w:rsid w:val="00096031"/>
    <w:rsid w:val="0009604B"/>
    <w:rsid w:val="0009605C"/>
    <w:rsid w:val="000961C4"/>
    <w:rsid w:val="0009639C"/>
    <w:rsid w:val="000963AC"/>
    <w:rsid w:val="0009658D"/>
    <w:rsid w:val="00096EE9"/>
    <w:rsid w:val="00097057"/>
    <w:rsid w:val="000970CC"/>
    <w:rsid w:val="0009715E"/>
    <w:rsid w:val="00097182"/>
    <w:rsid w:val="000971A3"/>
    <w:rsid w:val="000972BD"/>
    <w:rsid w:val="000975E2"/>
    <w:rsid w:val="00097650"/>
    <w:rsid w:val="000976D0"/>
    <w:rsid w:val="0009799A"/>
    <w:rsid w:val="00097BA6"/>
    <w:rsid w:val="00097D24"/>
    <w:rsid w:val="000A04AA"/>
    <w:rsid w:val="000A06E5"/>
    <w:rsid w:val="000A0722"/>
    <w:rsid w:val="000A0E98"/>
    <w:rsid w:val="000A1050"/>
    <w:rsid w:val="000A108D"/>
    <w:rsid w:val="000A10A1"/>
    <w:rsid w:val="000A1501"/>
    <w:rsid w:val="000A1B83"/>
    <w:rsid w:val="000A1C63"/>
    <w:rsid w:val="000A1DA6"/>
    <w:rsid w:val="000A1DEC"/>
    <w:rsid w:val="000A1E7B"/>
    <w:rsid w:val="000A229E"/>
    <w:rsid w:val="000A2E27"/>
    <w:rsid w:val="000A2F22"/>
    <w:rsid w:val="000A32FC"/>
    <w:rsid w:val="000A35EE"/>
    <w:rsid w:val="000A37E3"/>
    <w:rsid w:val="000A386D"/>
    <w:rsid w:val="000A3917"/>
    <w:rsid w:val="000A3E80"/>
    <w:rsid w:val="000A432B"/>
    <w:rsid w:val="000A43BB"/>
    <w:rsid w:val="000A43E7"/>
    <w:rsid w:val="000A440A"/>
    <w:rsid w:val="000A454D"/>
    <w:rsid w:val="000A4712"/>
    <w:rsid w:val="000A492A"/>
    <w:rsid w:val="000A4BB9"/>
    <w:rsid w:val="000A4F56"/>
    <w:rsid w:val="000A4F67"/>
    <w:rsid w:val="000A53DE"/>
    <w:rsid w:val="000A5418"/>
    <w:rsid w:val="000A56FA"/>
    <w:rsid w:val="000A5769"/>
    <w:rsid w:val="000A59EE"/>
    <w:rsid w:val="000A5EF7"/>
    <w:rsid w:val="000A5F64"/>
    <w:rsid w:val="000A6286"/>
    <w:rsid w:val="000A6424"/>
    <w:rsid w:val="000A6442"/>
    <w:rsid w:val="000A661D"/>
    <w:rsid w:val="000A6CDD"/>
    <w:rsid w:val="000A6D37"/>
    <w:rsid w:val="000A6E21"/>
    <w:rsid w:val="000A6F34"/>
    <w:rsid w:val="000A6F3F"/>
    <w:rsid w:val="000A6F95"/>
    <w:rsid w:val="000A71F7"/>
    <w:rsid w:val="000A7200"/>
    <w:rsid w:val="000A72AF"/>
    <w:rsid w:val="000A7312"/>
    <w:rsid w:val="000A741E"/>
    <w:rsid w:val="000A7711"/>
    <w:rsid w:val="000A7844"/>
    <w:rsid w:val="000A79CA"/>
    <w:rsid w:val="000A7A18"/>
    <w:rsid w:val="000A7A72"/>
    <w:rsid w:val="000A7B35"/>
    <w:rsid w:val="000A7B81"/>
    <w:rsid w:val="000A7C09"/>
    <w:rsid w:val="000B00B5"/>
    <w:rsid w:val="000B0214"/>
    <w:rsid w:val="000B0347"/>
    <w:rsid w:val="000B0B1F"/>
    <w:rsid w:val="000B0B25"/>
    <w:rsid w:val="000B0C0F"/>
    <w:rsid w:val="000B0E9A"/>
    <w:rsid w:val="000B0FF2"/>
    <w:rsid w:val="000B113E"/>
    <w:rsid w:val="000B1345"/>
    <w:rsid w:val="000B1388"/>
    <w:rsid w:val="000B1414"/>
    <w:rsid w:val="000B141D"/>
    <w:rsid w:val="000B15D6"/>
    <w:rsid w:val="000B1B3E"/>
    <w:rsid w:val="000B1CA7"/>
    <w:rsid w:val="000B1CD4"/>
    <w:rsid w:val="000B1F76"/>
    <w:rsid w:val="000B20FB"/>
    <w:rsid w:val="000B2131"/>
    <w:rsid w:val="000B2195"/>
    <w:rsid w:val="000B2315"/>
    <w:rsid w:val="000B2520"/>
    <w:rsid w:val="000B26F3"/>
    <w:rsid w:val="000B27B4"/>
    <w:rsid w:val="000B27FB"/>
    <w:rsid w:val="000B2A3F"/>
    <w:rsid w:val="000B2B92"/>
    <w:rsid w:val="000B2CD4"/>
    <w:rsid w:val="000B2EB5"/>
    <w:rsid w:val="000B3082"/>
    <w:rsid w:val="000B323D"/>
    <w:rsid w:val="000B32D1"/>
    <w:rsid w:val="000B3379"/>
    <w:rsid w:val="000B3387"/>
    <w:rsid w:val="000B3508"/>
    <w:rsid w:val="000B3556"/>
    <w:rsid w:val="000B3782"/>
    <w:rsid w:val="000B37C6"/>
    <w:rsid w:val="000B397B"/>
    <w:rsid w:val="000B3A7B"/>
    <w:rsid w:val="000B3CD0"/>
    <w:rsid w:val="000B4040"/>
    <w:rsid w:val="000B4279"/>
    <w:rsid w:val="000B428B"/>
    <w:rsid w:val="000B437C"/>
    <w:rsid w:val="000B4421"/>
    <w:rsid w:val="000B4569"/>
    <w:rsid w:val="000B4A4D"/>
    <w:rsid w:val="000B4A9D"/>
    <w:rsid w:val="000B4AA1"/>
    <w:rsid w:val="000B4C4B"/>
    <w:rsid w:val="000B4DED"/>
    <w:rsid w:val="000B4E0B"/>
    <w:rsid w:val="000B50EC"/>
    <w:rsid w:val="000B51A5"/>
    <w:rsid w:val="000B531E"/>
    <w:rsid w:val="000B5634"/>
    <w:rsid w:val="000B571F"/>
    <w:rsid w:val="000B572F"/>
    <w:rsid w:val="000B582A"/>
    <w:rsid w:val="000B5844"/>
    <w:rsid w:val="000B58E1"/>
    <w:rsid w:val="000B5980"/>
    <w:rsid w:val="000B59AA"/>
    <w:rsid w:val="000B5ABB"/>
    <w:rsid w:val="000B5AC2"/>
    <w:rsid w:val="000B5DED"/>
    <w:rsid w:val="000B5E79"/>
    <w:rsid w:val="000B6032"/>
    <w:rsid w:val="000B622E"/>
    <w:rsid w:val="000B64B9"/>
    <w:rsid w:val="000B6A59"/>
    <w:rsid w:val="000B6DF1"/>
    <w:rsid w:val="000B6FB6"/>
    <w:rsid w:val="000B739E"/>
    <w:rsid w:val="000B745A"/>
    <w:rsid w:val="000B76F2"/>
    <w:rsid w:val="000B7B68"/>
    <w:rsid w:val="000B7D6E"/>
    <w:rsid w:val="000B7FCE"/>
    <w:rsid w:val="000C042F"/>
    <w:rsid w:val="000C04D2"/>
    <w:rsid w:val="000C0562"/>
    <w:rsid w:val="000C064B"/>
    <w:rsid w:val="000C0728"/>
    <w:rsid w:val="000C096C"/>
    <w:rsid w:val="000C0BAB"/>
    <w:rsid w:val="000C0C49"/>
    <w:rsid w:val="000C0F6C"/>
    <w:rsid w:val="000C1036"/>
    <w:rsid w:val="000C10D8"/>
    <w:rsid w:val="000C11EF"/>
    <w:rsid w:val="000C1370"/>
    <w:rsid w:val="000C14EA"/>
    <w:rsid w:val="000C15EF"/>
    <w:rsid w:val="000C1664"/>
    <w:rsid w:val="000C1694"/>
    <w:rsid w:val="000C169B"/>
    <w:rsid w:val="000C1726"/>
    <w:rsid w:val="000C1831"/>
    <w:rsid w:val="000C1C8D"/>
    <w:rsid w:val="000C1D88"/>
    <w:rsid w:val="000C1E0E"/>
    <w:rsid w:val="000C21E6"/>
    <w:rsid w:val="000C223C"/>
    <w:rsid w:val="000C2273"/>
    <w:rsid w:val="000C247E"/>
    <w:rsid w:val="000C26F4"/>
    <w:rsid w:val="000C27CE"/>
    <w:rsid w:val="000C2827"/>
    <w:rsid w:val="000C2C92"/>
    <w:rsid w:val="000C30B4"/>
    <w:rsid w:val="000C3229"/>
    <w:rsid w:val="000C32B2"/>
    <w:rsid w:val="000C33F4"/>
    <w:rsid w:val="000C356A"/>
    <w:rsid w:val="000C36F7"/>
    <w:rsid w:val="000C3969"/>
    <w:rsid w:val="000C3975"/>
    <w:rsid w:val="000C39CE"/>
    <w:rsid w:val="000C3A0A"/>
    <w:rsid w:val="000C3BD4"/>
    <w:rsid w:val="000C3C24"/>
    <w:rsid w:val="000C3E66"/>
    <w:rsid w:val="000C3F55"/>
    <w:rsid w:val="000C419D"/>
    <w:rsid w:val="000C41CB"/>
    <w:rsid w:val="000C4283"/>
    <w:rsid w:val="000C4418"/>
    <w:rsid w:val="000C44A7"/>
    <w:rsid w:val="000C4573"/>
    <w:rsid w:val="000C480E"/>
    <w:rsid w:val="000C4995"/>
    <w:rsid w:val="000C5369"/>
    <w:rsid w:val="000C54A6"/>
    <w:rsid w:val="000C5592"/>
    <w:rsid w:val="000C576D"/>
    <w:rsid w:val="000C588F"/>
    <w:rsid w:val="000C5A64"/>
    <w:rsid w:val="000C5AAF"/>
    <w:rsid w:val="000C5E63"/>
    <w:rsid w:val="000C5EF9"/>
    <w:rsid w:val="000C5FF3"/>
    <w:rsid w:val="000C60EA"/>
    <w:rsid w:val="000C639C"/>
    <w:rsid w:val="000C63C5"/>
    <w:rsid w:val="000C6494"/>
    <w:rsid w:val="000C668C"/>
    <w:rsid w:val="000C66A4"/>
    <w:rsid w:val="000C68B9"/>
    <w:rsid w:val="000C6901"/>
    <w:rsid w:val="000C699B"/>
    <w:rsid w:val="000C6AE6"/>
    <w:rsid w:val="000C6CF0"/>
    <w:rsid w:val="000C6D26"/>
    <w:rsid w:val="000C6E0C"/>
    <w:rsid w:val="000C6E40"/>
    <w:rsid w:val="000C6EDB"/>
    <w:rsid w:val="000C7047"/>
    <w:rsid w:val="000C71EC"/>
    <w:rsid w:val="000C7225"/>
    <w:rsid w:val="000C73A4"/>
    <w:rsid w:val="000C756E"/>
    <w:rsid w:val="000C75FC"/>
    <w:rsid w:val="000C78A8"/>
    <w:rsid w:val="000C78CE"/>
    <w:rsid w:val="000C793D"/>
    <w:rsid w:val="000C7968"/>
    <w:rsid w:val="000C7D15"/>
    <w:rsid w:val="000C7D30"/>
    <w:rsid w:val="000C7F7F"/>
    <w:rsid w:val="000C7FD7"/>
    <w:rsid w:val="000C7FEF"/>
    <w:rsid w:val="000D0003"/>
    <w:rsid w:val="000D0102"/>
    <w:rsid w:val="000D0330"/>
    <w:rsid w:val="000D038D"/>
    <w:rsid w:val="000D0418"/>
    <w:rsid w:val="000D05DF"/>
    <w:rsid w:val="000D0720"/>
    <w:rsid w:val="000D0753"/>
    <w:rsid w:val="000D0989"/>
    <w:rsid w:val="000D0ADE"/>
    <w:rsid w:val="000D0DED"/>
    <w:rsid w:val="000D0DF9"/>
    <w:rsid w:val="000D0F34"/>
    <w:rsid w:val="000D0F4A"/>
    <w:rsid w:val="000D105A"/>
    <w:rsid w:val="000D1078"/>
    <w:rsid w:val="000D10D7"/>
    <w:rsid w:val="000D1154"/>
    <w:rsid w:val="000D1311"/>
    <w:rsid w:val="000D135A"/>
    <w:rsid w:val="000D16AB"/>
    <w:rsid w:val="000D19DE"/>
    <w:rsid w:val="000D19E6"/>
    <w:rsid w:val="000D1A66"/>
    <w:rsid w:val="000D1C39"/>
    <w:rsid w:val="000D1D08"/>
    <w:rsid w:val="000D1D3A"/>
    <w:rsid w:val="000D1DBC"/>
    <w:rsid w:val="000D22C5"/>
    <w:rsid w:val="000D2393"/>
    <w:rsid w:val="000D251A"/>
    <w:rsid w:val="000D258F"/>
    <w:rsid w:val="000D2725"/>
    <w:rsid w:val="000D2B40"/>
    <w:rsid w:val="000D2D20"/>
    <w:rsid w:val="000D2DAA"/>
    <w:rsid w:val="000D2EAF"/>
    <w:rsid w:val="000D3035"/>
    <w:rsid w:val="000D3146"/>
    <w:rsid w:val="000D3357"/>
    <w:rsid w:val="000D34CC"/>
    <w:rsid w:val="000D38A8"/>
    <w:rsid w:val="000D3A2B"/>
    <w:rsid w:val="000D3F06"/>
    <w:rsid w:val="000D4106"/>
    <w:rsid w:val="000D4133"/>
    <w:rsid w:val="000D42B0"/>
    <w:rsid w:val="000D45C5"/>
    <w:rsid w:val="000D4979"/>
    <w:rsid w:val="000D49B5"/>
    <w:rsid w:val="000D4D8F"/>
    <w:rsid w:val="000D4E80"/>
    <w:rsid w:val="000D4E86"/>
    <w:rsid w:val="000D4FBB"/>
    <w:rsid w:val="000D5058"/>
    <w:rsid w:val="000D5202"/>
    <w:rsid w:val="000D5352"/>
    <w:rsid w:val="000D536B"/>
    <w:rsid w:val="000D5470"/>
    <w:rsid w:val="000D5722"/>
    <w:rsid w:val="000D57E2"/>
    <w:rsid w:val="000D58A1"/>
    <w:rsid w:val="000D5A62"/>
    <w:rsid w:val="000D5B50"/>
    <w:rsid w:val="000D5EB8"/>
    <w:rsid w:val="000D5EF4"/>
    <w:rsid w:val="000D5EFA"/>
    <w:rsid w:val="000D5F8F"/>
    <w:rsid w:val="000D605F"/>
    <w:rsid w:val="000D60D5"/>
    <w:rsid w:val="000D644A"/>
    <w:rsid w:val="000D647B"/>
    <w:rsid w:val="000D65D3"/>
    <w:rsid w:val="000D6788"/>
    <w:rsid w:val="000D68AB"/>
    <w:rsid w:val="000D6F50"/>
    <w:rsid w:val="000D71D5"/>
    <w:rsid w:val="000D7333"/>
    <w:rsid w:val="000D7408"/>
    <w:rsid w:val="000D75D0"/>
    <w:rsid w:val="000D773E"/>
    <w:rsid w:val="000D784B"/>
    <w:rsid w:val="000D7AD4"/>
    <w:rsid w:val="000D7D4C"/>
    <w:rsid w:val="000D7F80"/>
    <w:rsid w:val="000D7FAE"/>
    <w:rsid w:val="000E000B"/>
    <w:rsid w:val="000E018C"/>
    <w:rsid w:val="000E0198"/>
    <w:rsid w:val="000E0228"/>
    <w:rsid w:val="000E0237"/>
    <w:rsid w:val="000E05C5"/>
    <w:rsid w:val="000E0994"/>
    <w:rsid w:val="000E0A06"/>
    <w:rsid w:val="000E0AC6"/>
    <w:rsid w:val="000E0AF3"/>
    <w:rsid w:val="000E0DB3"/>
    <w:rsid w:val="000E1224"/>
    <w:rsid w:val="000E158F"/>
    <w:rsid w:val="000E16CF"/>
    <w:rsid w:val="000E177C"/>
    <w:rsid w:val="000E199A"/>
    <w:rsid w:val="000E1B1B"/>
    <w:rsid w:val="000E1B3A"/>
    <w:rsid w:val="000E2064"/>
    <w:rsid w:val="000E20F1"/>
    <w:rsid w:val="000E2202"/>
    <w:rsid w:val="000E230B"/>
    <w:rsid w:val="000E2341"/>
    <w:rsid w:val="000E2373"/>
    <w:rsid w:val="000E24A3"/>
    <w:rsid w:val="000E2514"/>
    <w:rsid w:val="000E256D"/>
    <w:rsid w:val="000E2587"/>
    <w:rsid w:val="000E266A"/>
    <w:rsid w:val="000E2908"/>
    <w:rsid w:val="000E2DF9"/>
    <w:rsid w:val="000E2F0A"/>
    <w:rsid w:val="000E3056"/>
    <w:rsid w:val="000E3134"/>
    <w:rsid w:val="000E313A"/>
    <w:rsid w:val="000E38CD"/>
    <w:rsid w:val="000E3D38"/>
    <w:rsid w:val="000E3F66"/>
    <w:rsid w:val="000E40BE"/>
    <w:rsid w:val="000E4142"/>
    <w:rsid w:val="000E4168"/>
    <w:rsid w:val="000E42A6"/>
    <w:rsid w:val="000E42CC"/>
    <w:rsid w:val="000E42DF"/>
    <w:rsid w:val="000E42E6"/>
    <w:rsid w:val="000E46CB"/>
    <w:rsid w:val="000E475F"/>
    <w:rsid w:val="000E4882"/>
    <w:rsid w:val="000E49E4"/>
    <w:rsid w:val="000E4BEF"/>
    <w:rsid w:val="000E4D21"/>
    <w:rsid w:val="000E4D60"/>
    <w:rsid w:val="000E4E23"/>
    <w:rsid w:val="000E50DA"/>
    <w:rsid w:val="000E5332"/>
    <w:rsid w:val="000E5806"/>
    <w:rsid w:val="000E5ABD"/>
    <w:rsid w:val="000E5EE3"/>
    <w:rsid w:val="000E62E2"/>
    <w:rsid w:val="000E644C"/>
    <w:rsid w:val="000E6533"/>
    <w:rsid w:val="000E6607"/>
    <w:rsid w:val="000E66AA"/>
    <w:rsid w:val="000E66C9"/>
    <w:rsid w:val="000E673D"/>
    <w:rsid w:val="000E699D"/>
    <w:rsid w:val="000E6FA4"/>
    <w:rsid w:val="000E6FAD"/>
    <w:rsid w:val="000E70CB"/>
    <w:rsid w:val="000E719D"/>
    <w:rsid w:val="000E7252"/>
    <w:rsid w:val="000E72AF"/>
    <w:rsid w:val="000E7414"/>
    <w:rsid w:val="000E756C"/>
    <w:rsid w:val="000E7688"/>
    <w:rsid w:val="000E76EE"/>
    <w:rsid w:val="000E7792"/>
    <w:rsid w:val="000E7793"/>
    <w:rsid w:val="000E7B1A"/>
    <w:rsid w:val="000E7D5B"/>
    <w:rsid w:val="000E7E07"/>
    <w:rsid w:val="000F038E"/>
    <w:rsid w:val="000F042F"/>
    <w:rsid w:val="000F0968"/>
    <w:rsid w:val="000F0D12"/>
    <w:rsid w:val="000F12A4"/>
    <w:rsid w:val="000F12E7"/>
    <w:rsid w:val="000F14D8"/>
    <w:rsid w:val="000F1537"/>
    <w:rsid w:val="000F17BD"/>
    <w:rsid w:val="000F1865"/>
    <w:rsid w:val="000F1B37"/>
    <w:rsid w:val="000F1DC5"/>
    <w:rsid w:val="000F2116"/>
    <w:rsid w:val="000F23AE"/>
    <w:rsid w:val="000F2488"/>
    <w:rsid w:val="000F259D"/>
    <w:rsid w:val="000F25D0"/>
    <w:rsid w:val="000F280E"/>
    <w:rsid w:val="000F28A3"/>
    <w:rsid w:val="000F29E1"/>
    <w:rsid w:val="000F2A8E"/>
    <w:rsid w:val="000F2B8D"/>
    <w:rsid w:val="000F3165"/>
    <w:rsid w:val="000F32AB"/>
    <w:rsid w:val="000F3622"/>
    <w:rsid w:val="000F3633"/>
    <w:rsid w:val="000F38D5"/>
    <w:rsid w:val="000F3906"/>
    <w:rsid w:val="000F3BF4"/>
    <w:rsid w:val="000F3DBC"/>
    <w:rsid w:val="000F3E51"/>
    <w:rsid w:val="000F424B"/>
    <w:rsid w:val="000F4320"/>
    <w:rsid w:val="000F47EB"/>
    <w:rsid w:val="000F482A"/>
    <w:rsid w:val="000F4889"/>
    <w:rsid w:val="000F4AE8"/>
    <w:rsid w:val="000F4C12"/>
    <w:rsid w:val="000F4D0C"/>
    <w:rsid w:val="000F4E55"/>
    <w:rsid w:val="000F4F1C"/>
    <w:rsid w:val="000F523F"/>
    <w:rsid w:val="000F5503"/>
    <w:rsid w:val="000F5538"/>
    <w:rsid w:val="000F555E"/>
    <w:rsid w:val="000F564A"/>
    <w:rsid w:val="000F5710"/>
    <w:rsid w:val="000F5776"/>
    <w:rsid w:val="000F5869"/>
    <w:rsid w:val="000F586B"/>
    <w:rsid w:val="000F5926"/>
    <w:rsid w:val="000F5AFE"/>
    <w:rsid w:val="000F5D44"/>
    <w:rsid w:val="000F5F05"/>
    <w:rsid w:val="000F61E3"/>
    <w:rsid w:val="000F6B28"/>
    <w:rsid w:val="000F6E9A"/>
    <w:rsid w:val="000F6EEA"/>
    <w:rsid w:val="000F6FB0"/>
    <w:rsid w:val="000F707E"/>
    <w:rsid w:val="000F729C"/>
    <w:rsid w:val="000F7434"/>
    <w:rsid w:val="000F77E1"/>
    <w:rsid w:val="000F7832"/>
    <w:rsid w:val="000F78D1"/>
    <w:rsid w:val="000F78DE"/>
    <w:rsid w:val="000F79F2"/>
    <w:rsid w:val="000F7A9E"/>
    <w:rsid w:val="0010010B"/>
    <w:rsid w:val="00100140"/>
    <w:rsid w:val="00100207"/>
    <w:rsid w:val="00100281"/>
    <w:rsid w:val="0010032F"/>
    <w:rsid w:val="00100331"/>
    <w:rsid w:val="0010035A"/>
    <w:rsid w:val="001003BA"/>
    <w:rsid w:val="001003FA"/>
    <w:rsid w:val="00100668"/>
    <w:rsid w:val="00100DB1"/>
    <w:rsid w:val="00100DBB"/>
    <w:rsid w:val="00100EB9"/>
    <w:rsid w:val="00100FC9"/>
    <w:rsid w:val="00101091"/>
    <w:rsid w:val="001010C6"/>
    <w:rsid w:val="00101456"/>
    <w:rsid w:val="001016C4"/>
    <w:rsid w:val="0010178C"/>
    <w:rsid w:val="00101CF1"/>
    <w:rsid w:val="00101D33"/>
    <w:rsid w:val="00101F41"/>
    <w:rsid w:val="0010228D"/>
    <w:rsid w:val="001022E6"/>
    <w:rsid w:val="0010234B"/>
    <w:rsid w:val="001024A1"/>
    <w:rsid w:val="00102553"/>
    <w:rsid w:val="0010273A"/>
    <w:rsid w:val="00102B37"/>
    <w:rsid w:val="00102B85"/>
    <w:rsid w:val="00102D2E"/>
    <w:rsid w:val="00102EC8"/>
    <w:rsid w:val="00102F31"/>
    <w:rsid w:val="00103062"/>
    <w:rsid w:val="0010355A"/>
    <w:rsid w:val="001035DA"/>
    <w:rsid w:val="00103BBE"/>
    <w:rsid w:val="00103F7E"/>
    <w:rsid w:val="00104025"/>
    <w:rsid w:val="0010407D"/>
    <w:rsid w:val="00104265"/>
    <w:rsid w:val="0010433E"/>
    <w:rsid w:val="00104415"/>
    <w:rsid w:val="001044A1"/>
    <w:rsid w:val="0010454F"/>
    <w:rsid w:val="00104900"/>
    <w:rsid w:val="0010490B"/>
    <w:rsid w:val="00104AF5"/>
    <w:rsid w:val="00104C17"/>
    <w:rsid w:val="00105332"/>
    <w:rsid w:val="00105338"/>
    <w:rsid w:val="001054E4"/>
    <w:rsid w:val="0010554E"/>
    <w:rsid w:val="001059B3"/>
    <w:rsid w:val="00105C25"/>
    <w:rsid w:val="00105D25"/>
    <w:rsid w:val="00105E05"/>
    <w:rsid w:val="00105E1A"/>
    <w:rsid w:val="00105F1F"/>
    <w:rsid w:val="00105FCA"/>
    <w:rsid w:val="00105FF6"/>
    <w:rsid w:val="001060A1"/>
    <w:rsid w:val="00106106"/>
    <w:rsid w:val="0010622D"/>
    <w:rsid w:val="00106239"/>
    <w:rsid w:val="00106449"/>
    <w:rsid w:val="001064FD"/>
    <w:rsid w:val="001069E8"/>
    <w:rsid w:val="00106AA1"/>
    <w:rsid w:val="00106AFB"/>
    <w:rsid w:val="00106DEA"/>
    <w:rsid w:val="00106ED4"/>
    <w:rsid w:val="00106F10"/>
    <w:rsid w:val="001071ED"/>
    <w:rsid w:val="0010742F"/>
    <w:rsid w:val="00107517"/>
    <w:rsid w:val="0010777C"/>
    <w:rsid w:val="001077F6"/>
    <w:rsid w:val="001078A5"/>
    <w:rsid w:val="0010799E"/>
    <w:rsid w:val="001079CC"/>
    <w:rsid w:val="00107B0A"/>
    <w:rsid w:val="00107B68"/>
    <w:rsid w:val="00107D58"/>
    <w:rsid w:val="001106B7"/>
    <w:rsid w:val="00110777"/>
    <w:rsid w:val="00110840"/>
    <w:rsid w:val="00110A5B"/>
    <w:rsid w:val="00110BAC"/>
    <w:rsid w:val="00110F05"/>
    <w:rsid w:val="00110F08"/>
    <w:rsid w:val="001110B6"/>
    <w:rsid w:val="001112A4"/>
    <w:rsid w:val="00111446"/>
    <w:rsid w:val="001114FA"/>
    <w:rsid w:val="00111609"/>
    <w:rsid w:val="001117AA"/>
    <w:rsid w:val="001117D6"/>
    <w:rsid w:val="00111A3A"/>
    <w:rsid w:val="00111D7E"/>
    <w:rsid w:val="00111DF6"/>
    <w:rsid w:val="00111F3B"/>
    <w:rsid w:val="001120F9"/>
    <w:rsid w:val="0011211F"/>
    <w:rsid w:val="0011231A"/>
    <w:rsid w:val="0011254D"/>
    <w:rsid w:val="001127CE"/>
    <w:rsid w:val="0011286E"/>
    <w:rsid w:val="001128A3"/>
    <w:rsid w:val="00113450"/>
    <w:rsid w:val="00113470"/>
    <w:rsid w:val="0011367B"/>
    <w:rsid w:val="00113A16"/>
    <w:rsid w:val="00113AF4"/>
    <w:rsid w:val="00113D65"/>
    <w:rsid w:val="00113E89"/>
    <w:rsid w:val="00113F4D"/>
    <w:rsid w:val="0011400B"/>
    <w:rsid w:val="0011413D"/>
    <w:rsid w:val="001144CA"/>
    <w:rsid w:val="00114690"/>
    <w:rsid w:val="00114731"/>
    <w:rsid w:val="00114879"/>
    <w:rsid w:val="00114A51"/>
    <w:rsid w:val="00114A90"/>
    <w:rsid w:val="00114B28"/>
    <w:rsid w:val="00114CA6"/>
    <w:rsid w:val="00114CA9"/>
    <w:rsid w:val="00114EDA"/>
    <w:rsid w:val="00114F46"/>
    <w:rsid w:val="00115023"/>
    <w:rsid w:val="0011519F"/>
    <w:rsid w:val="00115272"/>
    <w:rsid w:val="0011527A"/>
    <w:rsid w:val="001155B6"/>
    <w:rsid w:val="00115B22"/>
    <w:rsid w:val="00115CC5"/>
    <w:rsid w:val="00115D32"/>
    <w:rsid w:val="00115D76"/>
    <w:rsid w:val="00115DD7"/>
    <w:rsid w:val="00116606"/>
    <w:rsid w:val="001166CB"/>
    <w:rsid w:val="001166DC"/>
    <w:rsid w:val="00116851"/>
    <w:rsid w:val="00116C9F"/>
    <w:rsid w:val="00116DEB"/>
    <w:rsid w:val="00116F2D"/>
    <w:rsid w:val="00117232"/>
    <w:rsid w:val="00117639"/>
    <w:rsid w:val="00117689"/>
    <w:rsid w:val="001178F3"/>
    <w:rsid w:val="00117DD5"/>
    <w:rsid w:val="00120594"/>
    <w:rsid w:val="001207A7"/>
    <w:rsid w:val="001208AD"/>
    <w:rsid w:val="001208CC"/>
    <w:rsid w:val="00120929"/>
    <w:rsid w:val="00120C2A"/>
    <w:rsid w:val="00120CB7"/>
    <w:rsid w:val="00120E41"/>
    <w:rsid w:val="001211B4"/>
    <w:rsid w:val="00121219"/>
    <w:rsid w:val="00121332"/>
    <w:rsid w:val="0012151D"/>
    <w:rsid w:val="001215EE"/>
    <w:rsid w:val="001218F7"/>
    <w:rsid w:val="0012196F"/>
    <w:rsid w:val="001219AD"/>
    <w:rsid w:val="00121BC4"/>
    <w:rsid w:val="00121C26"/>
    <w:rsid w:val="00121F86"/>
    <w:rsid w:val="0012204F"/>
    <w:rsid w:val="00122257"/>
    <w:rsid w:val="00122374"/>
    <w:rsid w:val="001223AD"/>
    <w:rsid w:val="001224B3"/>
    <w:rsid w:val="001224D3"/>
    <w:rsid w:val="001225FC"/>
    <w:rsid w:val="00122676"/>
    <w:rsid w:val="001226D7"/>
    <w:rsid w:val="00122B2C"/>
    <w:rsid w:val="00122CD6"/>
    <w:rsid w:val="00122D8D"/>
    <w:rsid w:val="00122F69"/>
    <w:rsid w:val="001230A3"/>
    <w:rsid w:val="00123332"/>
    <w:rsid w:val="00123457"/>
    <w:rsid w:val="001234C6"/>
    <w:rsid w:val="0012381D"/>
    <w:rsid w:val="0012394E"/>
    <w:rsid w:val="0012398E"/>
    <w:rsid w:val="001239A3"/>
    <w:rsid w:val="00123C01"/>
    <w:rsid w:val="00123F33"/>
    <w:rsid w:val="00123F40"/>
    <w:rsid w:val="00123F72"/>
    <w:rsid w:val="00124071"/>
    <w:rsid w:val="0012427F"/>
    <w:rsid w:val="001243B3"/>
    <w:rsid w:val="001244F9"/>
    <w:rsid w:val="001249A1"/>
    <w:rsid w:val="001249E3"/>
    <w:rsid w:val="00124A0F"/>
    <w:rsid w:val="00124C58"/>
    <w:rsid w:val="00124DB3"/>
    <w:rsid w:val="00124FFA"/>
    <w:rsid w:val="0012503C"/>
    <w:rsid w:val="00125480"/>
    <w:rsid w:val="00125488"/>
    <w:rsid w:val="001254E9"/>
    <w:rsid w:val="0012557F"/>
    <w:rsid w:val="001255F4"/>
    <w:rsid w:val="001256E7"/>
    <w:rsid w:val="0012570C"/>
    <w:rsid w:val="00125834"/>
    <w:rsid w:val="00125A9E"/>
    <w:rsid w:val="00125AC7"/>
    <w:rsid w:val="00125DEF"/>
    <w:rsid w:val="001264A1"/>
    <w:rsid w:val="001268A2"/>
    <w:rsid w:val="00126DEC"/>
    <w:rsid w:val="00126E60"/>
    <w:rsid w:val="00126F59"/>
    <w:rsid w:val="001270FF"/>
    <w:rsid w:val="00127142"/>
    <w:rsid w:val="00127175"/>
    <w:rsid w:val="0012727D"/>
    <w:rsid w:val="00127578"/>
    <w:rsid w:val="0012757A"/>
    <w:rsid w:val="0012777B"/>
    <w:rsid w:val="00127B8D"/>
    <w:rsid w:val="00127D5A"/>
    <w:rsid w:val="00127DA6"/>
    <w:rsid w:val="00127EEE"/>
    <w:rsid w:val="00130059"/>
    <w:rsid w:val="001304F2"/>
    <w:rsid w:val="001305FE"/>
    <w:rsid w:val="00130735"/>
    <w:rsid w:val="0013079C"/>
    <w:rsid w:val="001308E2"/>
    <w:rsid w:val="00130A49"/>
    <w:rsid w:val="00130C7B"/>
    <w:rsid w:val="00130E2C"/>
    <w:rsid w:val="00130EB1"/>
    <w:rsid w:val="001310A4"/>
    <w:rsid w:val="0013119F"/>
    <w:rsid w:val="00131422"/>
    <w:rsid w:val="0013176C"/>
    <w:rsid w:val="00131801"/>
    <w:rsid w:val="00131B8E"/>
    <w:rsid w:val="00131CC2"/>
    <w:rsid w:val="00131D0B"/>
    <w:rsid w:val="00131D3F"/>
    <w:rsid w:val="00132157"/>
    <w:rsid w:val="0013233D"/>
    <w:rsid w:val="0013249E"/>
    <w:rsid w:val="001325F7"/>
    <w:rsid w:val="00132920"/>
    <w:rsid w:val="00132961"/>
    <w:rsid w:val="00132C24"/>
    <w:rsid w:val="00132CF5"/>
    <w:rsid w:val="001335A4"/>
    <w:rsid w:val="001335C9"/>
    <w:rsid w:val="00133610"/>
    <w:rsid w:val="00133724"/>
    <w:rsid w:val="00133763"/>
    <w:rsid w:val="0013380C"/>
    <w:rsid w:val="00133871"/>
    <w:rsid w:val="00133900"/>
    <w:rsid w:val="001339B6"/>
    <w:rsid w:val="00133AF2"/>
    <w:rsid w:val="00133CB9"/>
    <w:rsid w:val="00133DB4"/>
    <w:rsid w:val="0013401E"/>
    <w:rsid w:val="001342CC"/>
    <w:rsid w:val="001342F0"/>
    <w:rsid w:val="0013430C"/>
    <w:rsid w:val="00134333"/>
    <w:rsid w:val="001344EF"/>
    <w:rsid w:val="001348EA"/>
    <w:rsid w:val="00134BA3"/>
    <w:rsid w:val="00135139"/>
    <w:rsid w:val="00135177"/>
    <w:rsid w:val="00135201"/>
    <w:rsid w:val="001355AB"/>
    <w:rsid w:val="00135F7B"/>
    <w:rsid w:val="00136296"/>
    <w:rsid w:val="001364A4"/>
    <w:rsid w:val="001367D1"/>
    <w:rsid w:val="0013691C"/>
    <w:rsid w:val="00136AEA"/>
    <w:rsid w:val="00136D33"/>
    <w:rsid w:val="00136DC7"/>
    <w:rsid w:val="00137361"/>
    <w:rsid w:val="001373FA"/>
    <w:rsid w:val="001374CE"/>
    <w:rsid w:val="001379FF"/>
    <w:rsid w:val="00137A4B"/>
    <w:rsid w:val="00137B4F"/>
    <w:rsid w:val="00137BBD"/>
    <w:rsid w:val="00137CB0"/>
    <w:rsid w:val="00137D27"/>
    <w:rsid w:val="00137EEC"/>
    <w:rsid w:val="00137F5B"/>
    <w:rsid w:val="00137F71"/>
    <w:rsid w:val="00137FBA"/>
    <w:rsid w:val="00137FF5"/>
    <w:rsid w:val="001404A2"/>
    <w:rsid w:val="001406EE"/>
    <w:rsid w:val="0014074C"/>
    <w:rsid w:val="001409F8"/>
    <w:rsid w:val="00140AA7"/>
    <w:rsid w:val="00140AC1"/>
    <w:rsid w:val="00140AC8"/>
    <w:rsid w:val="00140B14"/>
    <w:rsid w:val="00140B85"/>
    <w:rsid w:val="00140B90"/>
    <w:rsid w:val="00140F60"/>
    <w:rsid w:val="00140F64"/>
    <w:rsid w:val="00141520"/>
    <w:rsid w:val="0014163E"/>
    <w:rsid w:val="00141852"/>
    <w:rsid w:val="00141E9C"/>
    <w:rsid w:val="00141F03"/>
    <w:rsid w:val="0014207E"/>
    <w:rsid w:val="00142080"/>
    <w:rsid w:val="00142116"/>
    <w:rsid w:val="00142188"/>
    <w:rsid w:val="0014232E"/>
    <w:rsid w:val="0014236F"/>
    <w:rsid w:val="00142555"/>
    <w:rsid w:val="001426C9"/>
    <w:rsid w:val="00142707"/>
    <w:rsid w:val="001427D5"/>
    <w:rsid w:val="0014288C"/>
    <w:rsid w:val="00142959"/>
    <w:rsid w:val="0014297C"/>
    <w:rsid w:val="00142C6E"/>
    <w:rsid w:val="00142F30"/>
    <w:rsid w:val="00142F9D"/>
    <w:rsid w:val="0014372D"/>
    <w:rsid w:val="00143802"/>
    <w:rsid w:val="00143970"/>
    <w:rsid w:val="00143A7C"/>
    <w:rsid w:val="00143B5A"/>
    <w:rsid w:val="00143EAE"/>
    <w:rsid w:val="001440F1"/>
    <w:rsid w:val="0014415A"/>
    <w:rsid w:val="00144212"/>
    <w:rsid w:val="00144262"/>
    <w:rsid w:val="001442A3"/>
    <w:rsid w:val="001444F7"/>
    <w:rsid w:val="00144598"/>
    <w:rsid w:val="00144A0C"/>
    <w:rsid w:val="00144F8E"/>
    <w:rsid w:val="00145026"/>
    <w:rsid w:val="001450E0"/>
    <w:rsid w:val="001450E9"/>
    <w:rsid w:val="0014532F"/>
    <w:rsid w:val="001453A6"/>
    <w:rsid w:val="00145400"/>
    <w:rsid w:val="00145603"/>
    <w:rsid w:val="00145662"/>
    <w:rsid w:val="0014574F"/>
    <w:rsid w:val="00145951"/>
    <w:rsid w:val="001459A2"/>
    <w:rsid w:val="00145A2D"/>
    <w:rsid w:val="00145B33"/>
    <w:rsid w:val="00145D26"/>
    <w:rsid w:val="00145DFC"/>
    <w:rsid w:val="00145EC8"/>
    <w:rsid w:val="00145F72"/>
    <w:rsid w:val="00145FB9"/>
    <w:rsid w:val="00146002"/>
    <w:rsid w:val="00146045"/>
    <w:rsid w:val="00146298"/>
    <w:rsid w:val="00146361"/>
    <w:rsid w:val="001463C9"/>
    <w:rsid w:val="00146A2D"/>
    <w:rsid w:val="00146AEB"/>
    <w:rsid w:val="00146B74"/>
    <w:rsid w:val="00146C0F"/>
    <w:rsid w:val="00146CD9"/>
    <w:rsid w:val="00146E3A"/>
    <w:rsid w:val="00146EC6"/>
    <w:rsid w:val="00146F38"/>
    <w:rsid w:val="001470A0"/>
    <w:rsid w:val="0014710E"/>
    <w:rsid w:val="001472D8"/>
    <w:rsid w:val="0014735F"/>
    <w:rsid w:val="00147551"/>
    <w:rsid w:val="00147733"/>
    <w:rsid w:val="00147B03"/>
    <w:rsid w:val="00150061"/>
    <w:rsid w:val="0015022E"/>
    <w:rsid w:val="001502CD"/>
    <w:rsid w:val="00150321"/>
    <w:rsid w:val="0015063C"/>
    <w:rsid w:val="0015069D"/>
    <w:rsid w:val="00150718"/>
    <w:rsid w:val="001509E9"/>
    <w:rsid w:val="00150B63"/>
    <w:rsid w:val="00150E21"/>
    <w:rsid w:val="00151095"/>
    <w:rsid w:val="00151213"/>
    <w:rsid w:val="00151356"/>
    <w:rsid w:val="00151375"/>
    <w:rsid w:val="00151483"/>
    <w:rsid w:val="00151605"/>
    <w:rsid w:val="0015177C"/>
    <w:rsid w:val="00151C71"/>
    <w:rsid w:val="00151C8C"/>
    <w:rsid w:val="00151CC9"/>
    <w:rsid w:val="00151E7A"/>
    <w:rsid w:val="00151FF0"/>
    <w:rsid w:val="00152191"/>
    <w:rsid w:val="00152419"/>
    <w:rsid w:val="0015286E"/>
    <w:rsid w:val="00152AE9"/>
    <w:rsid w:val="00152FA4"/>
    <w:rsid w:val="00152FEC"/>
    <w:rsid w:val="001530B2"/>
    <w:rsid w:val="001533CC"/>
    <w:rsid w:val="001535D8"/>
    <w:rsid w:val="00153BAB"/>
    <w:rsid w:val="00153C0E"/>
    <w:rsid w:val="00154068"/>
    <w:rsid w:val="0015417C"/>
    <w:rsid w:val="00154370"/>
    <w:rsid w:val="00154375"/>
    <w:rsid w:val="0015444D"/>
    <w:rsid w:val="00154456"/>
    <w:rsid w:val="00154614"/>
    <w:rsid w:val="0015472B"/>
    <w:rsid w:val="00154A07"/>
    <w:rsid w:val="00154C43"/>
    <w:rsid w:val="00154CEB"/>
    <w:rsid w:val="00154CF4"/>
    <w:rsid w:val="00154DAF"/>
    <w:rsid w:val="00154F15"/>
    <w:rsid w:val="00155083"/>
    <w:rsid w:val="0015564F"/>
    <w:rsid w:val="001557D1"/>
    <w:rsid w:val="00155921"/>
    <w:rsid w:val="001559FB"/>
    <w:rsid w:val="00155B20"/>
    <w:rsid w:val="00155DDA"/>
    <w:rsid w:val="00155F1D"/>
    <w:rsid w:val="00155FC4"/>
    <w:rsid w:val="0015601C"/>
    <w:rsid w:val="001561F9"/>
    <w:rsid w:val="00156436"/>
    <w:rsid w:val="0015672A"/>
    <w:rsid w:val="00156758"/>
    <w:rsid w:val="001568EC"/>
    <w:rsid w:val="001569A5"/>
    <w:rsid w:val="00156A49"/>
    <w:rsid w:val="00156A6A"/>
    <w:rsid w:val="00156B8B"/>
    <w:rsid w:val="00156CFA"/>
    <w:rsid w:val="00156D1C"/>
    <w:rsid w:val="00157181"/>
    <w:rsid w:val="00157253"/>
    <w:rsid w:val="0015727F"/>
    <w:rsid w:val="0015739E"/>
    <w:rsid w:val="00157472"/>
    <w:rsid w:val="001575B1"/>
    <w:rsid w:val="00157684"/>
    <w:rsid w:val="0015781F"/>
    <w:rsid w:val="00157933"/>
    <w:rsid w:val="00157991"/>
    <w:rsid w:val="00157A45"/>
    <w:rsid w:val="00157B5F"/>
    <w:rsid w:val="00157C14"/>
    <w:rsid w:val="00157EBD"/>
    <w:rsid w:val="00157EC5"/>
    <w:rsid w:val="00157F04"/>
    <w:rsid w:val="001600F4"/>
    <w:rsid w:val="00160134"/>
    <w:rsid w:val="001603AA"/>
    <w:rsid w:val="00160501"/>
    <w:rsid w:val="00160522"/>
    <w:rsid w:val="001605A5"/>
    <w:rsid w:val="0016068C"/>
    <w:rsid w:val="00160C6D"/>
    <w:rsid w:val="00160C8E"/>
    <w:rsid w:val="00161169"/>
    <w:rsid w:val="00161357"/>
    <w:rsid w:val="00161464"/>
    <w:rsid w:val="0016148B"/>
    <w:rsid w:val="00161998"/>
    <w:rsid w:val="001619C9"/>
    <w:rsid w:val="00161B41"/>
    <w:rsid w:val="00161BAF"/>
    <w:rsid w:val="00161BF1"/>
    <w:rsid w:val="00161C3A"/>
    <w:rsid w:val="00161D8F"/>
    <w:rsid w:val="00161E1F"/>
    <w:rsid w:val="00161FA5"/>
    <w:rsid w:val="0016213D"/>
    <w:rsid w:val="0016223E"/>
    <w:rsid w:val="0016228D"/>
    <w:rsid w:val="00162434"/>
    <w:rsid w:val="001624B1"/>
    <w:rsid w:val="0016254A"/>
    <w:rsid w:val="00162581"/>
    <w:rsid w:val="00162823"/>
    <w:rsid w:val="0016286D"/>
    <w:rsid w:val="00162971"/>
    <w:rsid w:val="00162982"/>
    <w:rsid w:val="001629EC"/>
    <w:rsid w:val="00162C97"/>
    <w:rsid w:val="00162DB0"/>
    <w:rsid w:val="00162E9B"/>
    <w:rsid w:val="00162F4B"/>
    <w:rsid w:val="0016331B"/>
    <w:rsid w:val="00163740"/>
    <w:rsid w:val="00163A81"/>
    <w:rsid w:val="00163C6F"/>
    <w:rsid w:val="00163D0E"/>
    <w:rsid w:val="001642F6"/>
    <w:rsid w:val="00164553"/>
    <w:rsid w:val="001646D9"/>
    <w:rsid w:val="00164B0A"/>
    <w:rsid w:val="00164FA1"/>
    <w:rsid w:val="001651D9"/>
    <w:rsid w:val="001653E9"/>
    <w:rsid w:val="00165607"/>
    <w:rsid w:val="00165839"/>
    <w:rsid w:val="001658F8"/>
    <w:rsid w:val="00165A87"/>
    <w:rsid w:val="00165C49"/>
    <w:rsid w:val="00165E65"/>
    <w:rsid w:val="00165F90"/>
    <w:rsid w:val="0016602A"/>
    <w:rsid w:val="00166244"/>
    <w:rsid w:val="001663CC"/>
    <w:rsid w:val="00166859"/>
    <w:rsid w:val="001669A2"/>
    <w:rsid w:val="00166B9A"/>
    <w:rsid w:val="00166BDD"/>
    <w:rsid w:val="00166D76"/>
    <w:rsid w:val="00167104"/>
    <w:rsid w:val="00167163"/>
    <w:rsid w:val="0016716F"/>
    <w:rsid w:val="00167320"/>
    <w:rsid w:val="00167572"/>
    <w:rsid w:val="001676D2"/>
    <w:rsid w:val="00167727"/>
    <w:rsid w:val="001677B3"/>
    <w:rsid w:val="00167953"/>
    <w:rsid w:val="0016797C"/>
    <w:rsid w:val="00167A25"/>
    <w:rsid w:val="00167C25"/>
    <w:rsid w:val="00167D81"/>
    <w:rsid w:val="00167FA7"/>
    <w:rsid w:val="0017001E"/>
    <w:rsid w:val="001704B4"/>
    <w:rsid w:val="00170533"/>
    <w:rsid w:val="001705C8"/>
    <w:rsid w:val="00170808"/>
    <w:rsid w:val="00170956"/>
    <w:rsid w:val="00170993"/>
    <w:rsid w:val="001709FC"/>
    <w:rsid w:val="00170B72"/>
    <w:rsid w:val="00171043"/>
    <w:rsid w:val="00171204"/>
    <w:rsid w:val="001713EE"/>
    <w:rsid w:val="00171409"/>
    <w:rsid w:val="00171418"/>
    <w:rsid w:val="001714DA"/>
    <w:rsid w:val="0017161A"/>
    <w:rsid w:val="00171734"/>
    <w:rsid w:val="00171857"/>
    <w:rsid w:val="00171897"/>
    <w:rsid w:val="00171B13"/>
    <w:rsid w:val="00172116"/>
    <w:rsid w:val="00172260"/>
    <w:rsid w:val="00172711"/>
    <w:rsid w:val="00172736"/>
    <w:rsid w:val="00172811"/>
    <w:rsid w:val="0017296C"/>
    <w:rsid w:val="00172CC6"/>
    <w:rsid w:val="00172D39"/>
    <w:rsid w:val="00172FFD"/>
    <w:rsid w:val="00173565"/>
    <w:rsid w:val="0017359F"/>
    <w:rsid w:val="001736D5"/>
    <w:rsid w:val="0017370B"/>
    <w:rsid w:val="0017370E"/>
    <w:rsid w:val="0017375E"/>
    <w:rsid w:val="00173A60"/>
    <w:rsid w:val="00173B83"/>
    <w:rsid w:val="00173BF1"/>
    <w:rsid w:val="00173C4C"/>
    <w:rsid w:val="00173D14"/>
    <w:rsid w:val="0017422A"/>
    <w:rsid w:val="0017436E"/>
    <w:rsid w:val="00174400"/>
    <w:rsid w:val="00174404"/>
    <w:rsid w:val="00174413"/>
    <w:rsid w:val="00174566"/>
    <w:rsid w:val="0017463E"/>
    <w:rsid w:val="001746C1"/>
    <w:rsid w:val="00174720"/>
    <w:rsid w:val="00174734"/>
    <w:rsid w:val="00174807"/>
    <w:rsid w:val="001748E9"/>
    <w:rsid w:val="001749A5"/>
    <w:rsid w:val="00174A09"/>
    <w:rsid w:val="00174B3B"/>
    <w:rsid w:val="00174BE8"/>
    <w:rsid w:val="001751D4"/>
    <w:rsid w:val="00175232"/>
    <w:rsid w:val="00175443"/>
    <w:rsid w:val="00175669"/>
    <w:rsid w:val="00175EAF"/>
    <w:rsid w:val="00176025"/>
    <w:rsid w:val="00176028"/>
    <w:rsid w:val="00176048"/>
    <w:rsid w:val="001763EE"/>
    <w:rsid w:val="0017642E"/>
    <w:rsid w:val="00176479"/>
    <w:rsid w:val="0017660D"/>
    <w:rsid w:val="00176A9D"/>
    <w:rsid w:val="00176F36"/>
    <w:rsid w:val="0017700E"/>
    <w:rsid w:val="001770F1"/>
    <w:rsid w:val="0017718F"/>
    <w:rsid w:val="001771AC"/>
    <w:rsid w:val="00177266"/>
    <w:rsid w:val="00177461"/>
    <w:rsid w:val="00177597"/>
    <w:rsid w:val="0017789A"/>
    <w:rsid w:val="001778EA"/>
    <w:rsid w:val="0017795D"/>
    <w:rsid w:val="00177B10"/>
    <w:rsid w:val="00177BDC"/>
    <w:rsid w:val="00177E83"/>
    <w:rsid w:val="0018035F"/>
    <w:rsid w:val="00180397"/>
    <w:rsid w:val="0018060E"/>
    <w:rsid w:val="0018063E"/>
    <w:rsid w:val="00180752"/>
    <w:rsid w:val="00180A9E"/>
    <w:rsid w:val="00180C33"/>
    <w:rsid w:val="00181020"/>
    <w:rsid w:val="001810D3"/>
    <w:rsid w:val="00181141"/>
    <w:rsid w:val="0018119B"/>
    <w:rsid w:val="001814F7"/>
    <w:rsid w:val="001816C8"/>
    <w:rsid w:val="0018171F"/>
    <w:rsid w:val="00181778"/>
    <w:rsid w:val="00181821"/>
    <w:rsid w:val="0018193F"/>
    <w:rsid w:val="00181CD8"/>
    <w:rsid w:val="00181CEC"/>
    <w:rsid w:val="00181D57"/>
    <w:rsid w:val="00181EF9"/>
    <w:rsid w:val="00181F77"/>
    <w:rsid w:val="00181FDE"/>
    <w:rsid w:val="00182095"/>
    <w:rsid w:val="001820A3"/>
    <w:rsid w:val="001823AA"/>
    <w:rsid w:val="001823EC"/>
    <w:rsid w:val="00182532"/>
    <w:rsid w:val="0018263B"/>
    <w:rsid w:val="0018269A"/>
    <w:rsid w:val="001826B2"/>
    <w:rsid w:val="001826DD"/>
    <w:rsid w:val="00182758"/>
    <w:rsid w:val="00182818"/>
    <w:rsid w:val="0018289A"/>
    <w:rsid w:val="001828EF"/>
    <w:rsid w:val="00182F84"/>
    <w:rsid w:val="001830FA"/>
    <w:rsid w:val="00183361"/>
    <w:rsid w:val="00183577"/>
    <w:rsid w:val="001836AA"/>
    <w:rsid w:val="00183EA6"/>
    <w:rsid w:val="001840BB"/>
    <w:rsid w:val="00184239"/>
    <w:rsid w:val="001844A4"/>
    <w:rsid w:val="001845F1"/>
    <w:rsid w:val="00184637"/>
    <w:rsid w:val="0018478F"/>
    <w:rsid w:val="00184CCB"/>
    <w:rsid w:val="00184CF2"/>
    <w:rsid w:val="00184F3B"/>
    <w:rsid w:val="00184F70"/>
    <w:rsid w:val="00184FA5"/>
    <w:rsid w:val="0018512B"/>
    <w:rsid w:val="00185189"/>
    <w:rsid w:val="0018526E"/>
    <w:rsid w:val="0018531C"/>
    <w:rsid w:val="0018539F"/>
    <w:rsid w:val="001853B8"/>
    <w:rsid w:val="001855CD"/>
    <w:rsid w:val="001855F2"/>
    <w:rsid w:val="001859E1"/>
    <w:rsid w:val="00185B01"/>
    <w:rsid w:val="00185B4B"/>
    <w:rsid w:val="00185CC0"/>
    <w:rsid w:val="001861A0"/>
    <w:rsid w:val="00186235"/>
    <w:rsid w:val="0018672B"/>
    <w:rsid w:val="00186BA0"/>
    <w:rsid w:val="00186F42"/>
    <w:rsid w:val="00186F73"/>
    <w:rsid w:val="001870E9"/>
    <w:rsid w:val="001871AE"/>
    <w:rsid w:val="001873B4"/>
    <w:rsid w:val="001873D0"/>
    <w:rsid w:val="0018756F"/>
    <w:rsid w:val="00187588"/>
    <w:rsid w:val="00187679"/>
    <w:rsid w:val="001877C6"/>
    <w:rsid w:val="00187B4E"/>
    <w:rsid w:val="00187C2D"/>
    <w:rsid w:val="00187CE0"/>
    <w:rsid w:val="00187DF1"/>
    <w:rsid w:val="00187F91"/>
    <w:rsid w:val="00190097"/>
    <w:rsid w:val="00190280"/>
    <w:rsid w:val="0019046F"/>
    <w:rsid w:val="00190597"/>
    <w:rsid w:val="00190861"/>
    <w:rsid w:val="00190A88"/>
    <w:rsid w:val="00190A97"/>
    <w:rsid w:val="00190AEA"/>
    <w:rsid w:val="00190C27"/>
    <w:rsid w:val="0019108A"/>
    <w:rsid w:val="001911EA"/>
    <w:rsid w:val="001913CB"/>
    <w:rsid w:val="0019154D"/>
    <w:rsid w:val="0019155C"/>
    <w:rsid w:val="00191A32"/>
    <w:rsid w:val="0019217E"/>
    <w:rsid w:val="001921EE"/>
    <w:rsid w:val="001921F8"/>
    <w:rsid w:val="001922C2"/>
    <w:rsid w:val="00192416"/>
    <w:rsid w:val="00192537"/>
    <w:rsid w:val="00192548"/>
    <w:rsid w:val="001926A8"/>
    <w:rsid w:val="001926D0"/>
    <w:rsid w:val="00192D01"/>
    <w:rsid w:val="00192E39"/>
    <w:rsid w:val="00192FA0"/>
    <w:rsid w:val="0019304E"/>
    <w:rsid w:val="00193389"/>
    <w:rsid w:val="001933A9"/>
    <w:rsid w:val="00193598"/>
    <w:rsid w:val="0019363E"/>
    <w:rsid w:val="00193A3A"/>
    <w:rsid w:val="00193D01"/>
    <w:rsid w:val="00193EC4"/>
    <w:rsid w:val="00193EDD"/>
    <w:rsid w:val="00193F43"/>
    <w:rsid w:val="001940CD"/>
    <w:rsid w:val="001940E3"/>
    <w:rsid w:val="00194400"/>
    <w:rsid w:val="00194472"/>
    <w:rsid w:val="001946F3"/>
    <w:rsid w:val="001948A4"/>
    <w:rsid w:val="001948C1"/>
    <w:rsid w:val="001949DB"/>
    <w:rsid w:val="00194ABE"/>
    <w:rsid w:val="00194ACA"/>
    <w:rsid w:val="00194C7C"/>
    <w:rsid w:val="00194E1E"/>
    <w:rsid w:val="00194E38"/>
    <w:rsid w:val="00194FF5"/>
    <w:rsid w:val="001951B2"/>
    <w:rsid w:val="00195791"/>
    <w:rsid w:val="00195C5C"/>
    <w:rsid w:val="00195D71"/>
    <w:rsid w:val="00195EF0"/>
    <w:rsid w:val="00195FB5"/>
    <w:rsid w:val="0019612E"/>
    <w:rsid w:val="00196184"/>
    <w:rsid w:val="0019619C"/>
    <w:rsid w:val="00196202"/>
    <w:rsid w:val="001965A8"/>
    <w:rsid w:val="00196725"/>
    <w:rsid w:val="001967ED"/>
    <w:rsid w:val="00196807"/>
    <w:rsid w:val="0019697F"/>
    <w:rsid w:val="00196B1E"/>
    <w:rsid w:val="00196E35"/>
    <w:rsid w:val="00196E77"/>
    <w:rsid w:val="001971DF"/>
    <w:rsid w:val="00197291"/>
    <w:rsid w:val="0019751A"/>
    <w:rsid w:val="00197692"/>
    <w:rsid w:val="001977A0"/>
    <w:rsid w:val="00197821"/>
    <w:rsid w:val="0019784A"/>
    <w:rsid w:val="001978D0"/>
    <w:rsid w:val="00197A3A"/>
    <w:rsid w:val="00197ABE"/>
    <w:rsid w:val="00197CAF"/>
    <w:rsid w:val="00197FBB"/>
    <w:rsid w:val="001A0037"/>
    <w:rsid w:val="001A00CA"/>
    <w:rsid w:val="001A03F4"/>
    <w:rsid w:val="001A04D2"/>
    <w:rsid w:val="001A074F"/>
    <w:rsid w:val="001A08F2"/>
    <w:rsid w:val="001A0D2A"/>
    <w:rsid w:val="001A0ED6"/>
    <w:rsid w:val="001A0FCF"/>
    <w:rsid w:val="001A1693"/>
    <w:rsid w:val="001A17E8"/>
    <w:rsid w:val="001A19A3"/>
    <w:rsid w:val="001A1AFD"/>
    <w:rsid w:val="001A1B13"/>
    <w:rsid w:val="001A1BAB"/>
    <w:rsid w:val="001A1D06"/>
    <w:rsid w:val="001A1DBD"/>
    <w:rsid w:val="001A1DE3"/>
    <w:rsid w:val="001A1E09"/>
    <w:rsid w:val="001A1FD5"/>
    <w:rsid w:val="001A215C"/>
    <w:rsid w:val="001A2173"/>
    <w:rsid w:val="001A2334"/>
    <w:rsid w:val="001A2424"/>
    <w:rsid w:val="001A2471"/>
    <w:rsid w:val="001A25A7"/>
    <w:rsid w:val="001A26C4"/>
    <w:rsid w:val="001A28F9"/>
    <w:rsid w:val="001A2A49"/>
    <w:rsid w:val="001A2B34"/>
    <w:rsid w:val="001A2D5E"/>
    <w:rsid w:val="001A2E03"/>
    <w:rsid w:val="001A308A"/>
    <w:rsid w:val="001A31EC"/>
    <w:rsid w:val="001A329B"/>
    <w:rsid w:val="001A32EC"/>
    <w:rsid w:val="001A3309"/>
    <w:rsid w:val="001A348C"/>
    <w:rsid w:val="001A34BC"/>
    <w:rsid w:val="001A39D0"/>
    <w:rsid w:val="001A3A0E"/>
    <w:rsid w:val="001A3B78"/>
    <w:rsid w:val="001A3C24"/>
    <w:rsid w:val="001A3C60"/>
    <w:rsid w:val="001A3D8B"/>
    <w:rsid w:val="001A3E2E"/>
    <w:rsid w:val="001A3EFD"/>
    <w:rsid w:val="001A4108"/>
    <w:rsid w:val="001A415A"/>
    <w:rsid w:val="001A433F"/>
    <w:rsid w:val="001A43FF"/>
    <w:rsid w:val="001A4546"/>
    <w:rsid w:val="001A4622"/>
    <w:rsid w:val="001A479B"/>
    <w:rsid w:val="001A486B"/>
    <w:rsid w:val="001A48A6"/>
    <w:rsid w:val="001A4BB1"/>
    <w:rsid w:val="001A4E79"/>
    <w:rsid w:val="001A514E"/>
    <w:rsid w:val="001A5198"/>
    <w:rsid w:val="001A5275"/>
    <w:rsid w:val="001A52DE"/>
    <w:rsid w:val="001A55E4"/>
    <w:rsid w:val="001A570B"/>
    <w:rsid w:val="001A5837"/>
    <w:rsid w:val="001A5956"/>
    <w:rsid w:val="001A5A1B"/>
    <w:rsid w:val="001A5A23"/>
    <w:rsid w:val="001A5A36"/>
    <w:rsid w:val="001A5A5E"/>
    <w:rsid w:val="001A5CAC"/>
    <w:rsid w:val="001A6145"/>
    <w:rsid w:val="001A63FB"/>
    <w:rsid w:val="001A6459"/>
    <w:rsid w:val="001A6AA2"/>
    <w:rsid w:val="001A6AC9"/>
    <w:rsid w:val="001A6B41"/>
    <w:rsid w:val="001A6FA7"/>
    <w:rsid w:val="001A7115"/>
    <w:rsid w:val="001A7597"/>
    <w:rsid w:val="001A7689"/>
    <w:rsid w:val="001A77D9"/>
    <w:rsid w:val="001A7848"/>
    <w:rsid w:val="001B015E"/>
    <w:rsid w:val="001B0236"/>
    <w:rsid w:val="001B0301"/>
    <w:rsid w:val="001B030C"/>
    <w:rsid w:val="001B03B3"/>
    <w:rsid w:val="001B04FE"/>
    <w:rsid w:val="001B065A"/>
    <w:rsid w:val="001B0856"/>
    <w:rsid w:val="001B0ACE"/>
    <w:rsid w:val="001B0E99"/>
    <w:rsid w:val="001B11AF"/>
    <w:rsid w:val="001B1481"/>
    <w:rsid w:val="001B16AA"/>
    <w:rsid w:val="001B2051"/>
    <w:rsid w:val="001B2139"/>
    <w:rsid w:val="001B21A9"/>
    <w:rsid w:val="001B21F4"/>
    <w:rsid w:val="001B2352"/>
    <w:rsid w:val="001B24C3"/>
    <w:rsid w:val="001B26CA"/>
    <w:rsid w:val="001B2916"/>
    <w:rsid w:val="001B2A4F"/>
    <w:rsid w:val="001B2A64"/>
    <w:rsid w:val="001B2C35"/>
    <w:rsid w:val="001B2DA9"/>
    <w:rsid w:val="001B2E94"/>
    <w:rsid w:val="001B3297"/>
    <w:rsid w:val="001B35B6"/>
    <w:rsid w:val="001B36EA"/>
    <w:rsid w:val="001B3ADF"/>
    <w:rsid w:val="001B42FF"/>
    <w:rsid w:val="001B4380"/>
    <w:rsid w:val="001B43AB"/>
    <w:rsid w:val="001B47B1"/>
    <w:rsid w:val="001B4CB2"/>
    <w:rsid w:val="001B4D0B"/>
    <w:rsid w:val="001B4D0D"/>
    <w:rsid w:val="001B4D26"/>
    <w:rsid w:val="001B4DF0"/>
    <w:rsid w:val="001B4E0E"/>
    <w:rsid w:val="001B4F1C"/>
    <w:rsid w:val="001B511D"/>
    <w:rsid w:val="001B5121"/>
    <w:rsid w:val="001B517A"/>
    <w:rsid w:val="001B533E"/>
    <w:rsid w:val="001B5345"/>
    <w:rsid w:val="001B53D8"/>
    <w:rsid w:val="001B5453"/>
    <w:rsid w:val="001B5464"/>
    <w:rsid w:val="001B5887"/>
    <w:rsid w:val="001B5B59"/>
    <w:rsid w:val="001B5D48"/>
    <w:rsid w:val="001B5FF4"/>
    <w:rsid w:val="001B6061"/>
    <w:rsid w:val="001B60DD"/>
    <w:rsid w:val="001B6161"/>
    <w:rsid w:val="001B659E"/>
    <w:rsid w:val="001B68EA"/>
    <w:rsid w:val="001B6C72"/>
    <w:rsid w:val="001B6DAB"/>
    <w:rsid w:val="001B6FF0"/>
    <w:rsid w:val="001B7104"/>
    <w:rsid w:val="001B71C6"/>
    <w:rsid w:val="001B742D"/>
    <w:rsid w:val="001B7A58"/>
    <w:rsid w:val="001B7BAA"/>
    <w:rsid w:val="001B7D64"/>
    <w:rsid w:val="001B7E31"/>
    <w:rsid w:val="001C002C"/>
    <w:rsid w:val="001C041E"/>
    <w:rsid w:val="001C067C"/>
    <w:rsid w:val="001C07B3"/>
    <w:rsid w:val="001C0CCC"/>
    <w:rsid w:val="001C0CD4"/>
    <w:rsid w:val="001C0D29"/>
    <w:rsid w:val="001C0E52"/>
    <w:rsid w:val="001C1181"/>
    <w:rsid w:val="001C1232"/>
    <w:rsid w:val="001C1298"/>
    <w:rsid w:val="001C12EA"/>
    <w:rsid w:val="001C152A"/>
    <w:rsid w:val="001C167D"/>
    <w:rsid w:val="001C1904"/>
    <w:rsid w:val="001C1A8A"/>
    <w:rsid w:val="001C1B45"/>
    <w:rsid w:val="001C1FD8"/>
    <w:rsid w:val="001C2111"/>
    <w:rsid w:val="001C23A7"/>
    <w:rsid w:val="001C2673"/>
    <w:rsid w:val="001C26EC"/>
    <w:rsid w:val="001C27CA"/>
    <w:rsid w:val="001C285B"/>
    <w:rsid w:val="001C292C"/>
    <w:rsid w:val="001C30BF"/>
    <w:rsid w:val="001C3241"/>
    <w:rsid w:val="001C337F"/>
    <w:rsid w:val="001C3495"/>
    <w:rsid w:val="001C34D5"/>
    <w:rsid w:val="001C3E44"/>
    <w:rsid w:val="001C4324"/>
    <w:rsid w:val="001C46F1"/>
    <w:rsid w:val="001C4956"/>
    <w:rsid w:val="001C4A57"/>
    <w:rsid w:val="001C4AE9"/>
    <w:rsid w:val="001C4BBE"/>
    <w:rsid w:val="001C4CB3"/>
    <w:rsid w:val="001C4DBF"/>
    <w:rsid w:val="001C4EB6"/>
    <w:rsid w:val="001C4FDF"/>
    <w:rsid w:val="001C5433"/>
    <w:rsid w:val="001C5546"/>
    <w:rsid w:val="001C5638"/>
    <w:rsid w:val="001C5749"/>
    <w:rsid w:val="001C5759"/>
    <w:rsid w:val="001C5A6C"/>
    <w:rsid w:val="001C5B31"/>
    <w:rsid w:val="001C5C60"/>
    <w:rsid w:val="001C5DAA"/>
    <w:rsid w:val="001C5DB9"/>
    <w:rsid w:val="001C6201"/>
    <w:rsid w:val="001C644F"/>
    <w:rsid w:val="001C65A7"/>
    <w:rsid w:val="001C6849"/>
    <w:rsid w:val="001C6932"/>
    <w:rsid w:val="001C696D"/>
    <w:rsid w:val="001C6997"/>
    <w:rsid w:val="001C69D8"/>
    <w:rsid w:val="001C6A96"/>
    <w:rsid w:val="001C6AD6"/>
    <w:rsid w:val="001C6C5B"/>
    <w:rsid w:val="001C6D5E"/>
    <w:rsid w:val="001C7013"/>
    <w:rsid w:val="001C70CC"/>
    <w:rsid w:val="001C7260"/>
    <w:rsid w:val="001C72F5"/>
    <w:rsid w:val="001C7367"/>
    <w:rsid w:val="001C7422"/>
    <w:rsid w:val="001C7456"/>
    <w:rsid w:val="001C79FB"/>
    <w:rsid w:val="001C7C80"/>
    <w:rsid w:val="001C7EA1"/>
    <w:rsid w:val="001C7EA9"/>
    <w:rsid w:val="001D006D"/>
    <w:rsid w:val="001D0105"/>
    <w:rsid w:val="001D0115"/>
    <w:rsid w:val="001D0402"/>
    <w:rsid w:val="001D0404"/>
    <w:rsid w:val="001D046A"/>
    <w:rsid w:val="001D0720"/>
    <w:rsid w:val="001D074B"/>
    <w:rsid w:val="001D0794"/>
    <w:rsid w:val="001D0CA2"/>
    <w:rsid w:val="001D0D71"/>
    <w:rsid w:val="001D0EDB"/>
    <w:rsid w:val="001D0F59"/>
    <w:rsid w:val="001D1190"/>
    <w:rsid w:val="001D1191"/>
    <w:rsid w:val="001D15FB"/>
    <w:rsid w:val="001D191D"/>
    <w:rsid w:val="001D1A33"/>
    <w:rsid w:val="001D1BFE"/>
    <w:rsid w:val="001D1CCC"/>
    <w:rsid w:val="001D2792"/>
    <w:rsid w:val="001D2871"/>
    <w:rsid w:val="001D29ED"/>
    <w:rsid w:val="001D2B57"/>
    <w:rsid w:val="001D2E3D"/>
    <w:rsid w:val="001D2EED"/>
    <w:rsid w:val="001D2F42"/>
    <w:rsid w:val="001D2F9E"/>
    <w:rsid w:val="001D33CC"/>
    <w:rsid w:val="001D367F"/>
    <w:rsid w:val="001D370E"/>
    <w:rsid w:val="001D3878"/>
    <w:rsid w:val="001D3993"/>
    <w:rsid w:val="001D39F5"/>
    <w:rsid w:val="001D3C41"/>
    <w:rsid w:val="001D3C5C"/>
    <w:rsid w:val="001D3E88"/>
    <w:rsid w:val="001D4335"/>
    <w:rsid w:val="001D463E"/>
    <w:rsid w:val="001D46CA"/>
    <w:rsid w:val="001D486C"/>
    <w:rsid w:val="001D48BB"/>
    <w:rsid w:val="001D495E"/>
    <w:rsid w:val="001D514D"/>
    <w:rsid w:val="001D540E"/>
    <w:rsid w:val="001D56E9"/>
    <w:rsid w:val="001D58F2"/>
    <w:rsid w:val="001D5902"/>
    <w:rsid w:val="001D5B3C"/>
    <w:rsid w:val="001D5F94"/>
    <w:rsid w:val="001D6335"/>
    <w:rsid w:val="001D6482"/>
    <w:rsid w:val="001D6489"/>
    <w:rsid w:val="001D657F"/>
    <w:rsid w:val="001D6607"/>
    <w:rsid w:val="001D668D"/>
    <w:rsid w:val="001D671A"/>
    <w:rsid w:val="001D6862"/>
    <w:rsid w:val="001D6ACD"/>
    <w:rsid w:val="001D6B64"/>
    <w:rsid w:val="001D6C5A"/>
    <w:rsid w:val="001D6D8F"/>
    <w:rsid w:val="001D6EA3"/>
    <w:rsid w:val="001D6EBB"/>
    <w:rsid w:val="001D6FD2"/>
    <w:rsid w:val="001D7048"/>
    <w:rsid w:val="001D71A2"/>
    <w:rsid w:val="001D74DA"/>
    <w:rsid w:val="001D7792"/>
    <w:rsid w:val="001D7810"/>
    <w:rsid w:val="001D79A5"/>
    <w:rsid w:val="001D79BE"/>
    <w:rsid w:val="001D7D4C"/>
    <w:rsid w:val="001D7E29"/>
    <w:rsid w:val="001D7FBA"/>
    <w:rsid w:val="001E028B"/>
    <w:rsid w:val="001E0363"/>
    <w:rsid w:val="001E0944"/>
    <w:rsid w:val="001E11F2"/>
    <w:rsid w:val="001E1400"/>
    <w:rsid w:val="001E15F2"/>
    <w:rsid w:val="001E1685"/>
    <w:rsid w:val="001E182D"/>
    <w:rsid w:val="001E19CA"/>
    <w:rsid w:val="001E1A11"/>
    <w:rsid w:val="001E1A16"/>
    <w:rsid w:val="001E1A9C"/>
    <w:rsid w:val="001E1D42"/>
    <w:rsid w:val="001E1E2A"/>
    <w:rsid w:val="001E1F6E"/>
    <w:rsid w:val="001E248F"/>
    <w:rsid w:val="001E293D"/>
    <w:rsid w:val="001E2E6D"/>
    <w:rsid w:val="001E3088"/>
    <w:rsid w:val="001E3283"/>
    <w:rsid w:val="001E33D7"/>
    <w:rsid w:val="001E37CB"/>
    <w:rsid w:val="001E39DA"/>
    <w:rsid w:val="001E3A3F"/>
    <w:rsid w:val="001E3B3E"/>
    <w:rsid w:val="001E3DA8"/>
    <w:rsid w:val="001E3F7C"/>
    <w:rsid w:val="001E4010"/>
    <w:rsid w:val="001E40B2"/>
    <w:rsid w:val="001E4256"/>
    <w:rsid w:val="001E433D"/>
    <w:rsid w:val="001E435A"/>
    <w:rsid w:val="001E43D3"/>
    <w:rsid w:val="001E461C"/>
    <w:rsid w:val="001E4784"/>
    <w:rsid w:val="001E4A34"/>
    <w:rsid w:val="001E4BC0"/>
    <w:rsid w:val="001E4C99"/>
    <w:rsid w:val="001E50D9"/>
    <w:rsid w:val="001E5576"/>
    <w:rsid w:val="001E56FE"/>
    <w:rsid w:val="001E59AE"/>
    <w:rsid w:val="001E5A3E"/>
    <w:rsid w:val="001E5E03"/>
    <w:rsid w:val="001E600F"/>
    <w:rsid w:val="001E6659"/>
    <w:rsid w:val="001E6668"/>
    <w:rsid w:val="001E66B7"/>
    <w:rsid w:val="001E6799"/>
    <w:rsid w:val="001E6ADB"/>
    <w:rsid w:val="001E6AEA"/>
    <w:rsid w:val="001E6B61"/>
    <w:rsid w:val="001E6DF3"/>
    <w:rsid w:val="001E6E49"/>
    <w:rsid w:val="001E6E88"/>
    <w:rsid w:val="001E737D"/>
    <w:rsid w:val="001E74A7"/>
    <w:rsid w:val="001E794B"/>
    <w:rsid w:val="001E7A4E"/>
    <w:rsid w:val="001F0174"/>
    <w:rsid w:val="001F020D"/>
    <w:rsid w:val="001F031D"/>
    <w:rsid w:val="001F0598"/>
    <w:rsid w:val="001F06A9"/>
    <w:rsid w:val="001F08B3"/>
    <w:rsid w:val="001F0940"/>
    <w:rsid w:val="001F0AE2"/>
    <w:rsid w:val="001F0B0B"/>
    <w:rsid w:val="001F0CA9"/>
    <w:rsid w:val="001F0D9B"/>
    <w:rsid w:val="001F1073"/>
    <w:rsid w:val="001F1BBC"/>
    <w:rsid w:val="001F1BEF"/>
    <w:rsid w:val="001F1C41"/>
    <w:rsid w:val="001F1DCD"/>
    <w:rsid w:val="001F1FAB"/>
    <w:rsid w:val="001F2040"/>
    <w:rsid w:val="001F2141"/>
    <w:rsid w:val="001F2365"/>
    <w:rsid w:val="001F2523"/>
    <w:rsid w:val="001F25FE"/>
    <w:rsid w:val="001F2BCB"/>
    <w:rsid w:val="001F2D50"/>
    <w:rsid w:val="001F2EFC"/>
    <w:rsid w:val="001F31F1"/>
    <w:rsid w:val="001F33DF"/>
    <w:rsid w:val="001F35CB"/>
    <w:rsid w:val="001F3923"/>
    <w:rsid w:val="001F392C"/>
    <w:rsid w:val="001F397F"/>
    <w:rsid w:val="001F39B5"/>
    <w:rsid w:val="001F3C61"/>
    <w:rsid w:val="001F3DBE"/>
    <w:rsid w:val="001F3E95"/>
    <w:rsid w:val="001F4324"/>
    <w:rsid w:val="001F44D4"/>
    <w:rsid w:val="001F48E2"/>
    <w:rsid w:val="001F4B02"/>
    <w:rsid w:val="001F4B1D"/>
    <w:rsid w:val="001F4C55"/>
    <w:rsid w:val="001F5044"/>
    <w:rsid w:val="001F50D1"/>
    <w:rsid w:val="001F522D"/>
    <w:rsid w:val="001F52E5"/>
    <w:rsid w:val="001F5660"/>
    <w:rsid w:val="001F5934"/>
    <w:rsid w:val="001F5944"/>
    <w:rsid w:val="001F5A45"/>
    <w:rsid w:val="001F5B2B"/>
    <w:rsid w:val="001F5B2E"/>
    <w:rsid w:val="001F5B95"/>
    <w:rsid w:val="001F5C17"/>
    <w:rsid w:val="001F5DA7"/>
    <w:rsid w:val="001F5DBC"/>
    <w:rsid w:val="001F5E35"/>
    <w:rsid w:val="001F605C"/>
    <w:rsid w:val="001F6197"/>
    <w:rsid w:val="001F631E"/>
    <w:rsid w:val="001F6985"/>
    <w:rsid w:val="001F6992"/>
    <w:rsid w:val="001F69F5"/>
    <w:rsid w:val="001F6A45"/>
    <w:rsid w:val="001F6B5D"/>
    <w:rsid w:val="001F6C4B"/>
    <w:rsid w:val="001F7204"/>
    <w:rsid w:val="001F7297"/>
    <w:rsid w:val="001F7409"/>
    <w:rsid w:val="001F7507"/>
    <w:rsid w:val="001F7A8F"/>
    <w:rsid w:val="001F7AFD"/>
    <w:rsid w:val="001F7E94"/>
    <w:rsid w:val="00200219"/>
    <w:rsid w:val="00200387"/>
    <w:rsid w:val="00200522"/>
    <w:rsid w:val="0020067B"/>
    <w:rsid w:val="00200685"/>
    <w:rsid w:val="002007A8"/>
    <w:rsid w:val="00200823"/>
    <w:rsid w:val="002008B7"/>
    <w:rsid w:val="002008C6"/>
    <w:rsid w:val="00200ABC"/>
    <w:rsid w:val="00200C69"/>
    <w:rsid w:val="00200C77"/>
    <w:rsid w:val="00200FB0"/>
    <w:rsid w:val="00201088"/>
    <w:rsid w:val="002010C8"/>
    <w:rsid w:val="002011A0"/>
    <w:rsid w:val="00201213"/>
    <w:rsid w:val="0020121E"/>
    <w:rsid w:val="002015DA"/>
    <w:rsid w:val="00201937"/>
    <w:rsid w:val="00201CA3"/>
    <w:rsid w:val="00201D59"/>
    <w:rsid w:val="00202079"/>
    <w:rsid w:val="002020FA"/>
    <w:rsid w:val="002021A1"/>
    <w:rsid w:val="002021AC"/>
    <w:rsid w:val="00202757"/>
    <w:rsid w:val="00202881"/>
    <w:rsid w:val="00202AD4"/>
    <w:rsid w:val="00202BD9"/>
    <w:rsid w:val="00202C30"/>
    <w:rsid w:val="00202F0B"/>
    <w:rsid w:val="002033DD"/>
    <w:rsid w:val="002036CF"/>
    <w:rsid w:val="00203897"/>
    <w:rsid w:val="002039C9"/>
    <w:rsid w:val="00203C42"/>
    <w:rsid w:val="00203CBF"/>
    <w:rsid w:val="00203EC0"/>
    <w:rsid w:val="00203F39"/>
    <w:rsid w:val="00203F4B"/>
    <w:rsid w:val="00203F4D"/>
    <w:rsid w:val="00204163"/>
    <w:rsid w:val="00204296"/>
    <w:rsid w:val="002042F0"/>
    <w:rsid w:val="00204578"/>
    <w:rsid w:val="002046A5"/>
    <w:rsid w:val="00204831"/>
    <w:rsid w:val="00204B2A"/>
    <w:rsid w:val="00204C8D"/>
    <w:rsid w:val="002050F7"/>
    <w:rsid w:val="002052D9"/>
    <w:rsid w:val="002054AC"/>
    <w:rsid w:val="00205E03"/>
    <w:rsid w:val="00205E3C"/>
    <w:rsid w:val="00205E46"/>
    <w:rsid w:val="00205F7B"/>
    <w:rsid w:val="00205FDD"/>
    <w:rsid w:val="002060EC"/>
    <w:rsid w:val="002062B9"/>
    <w:rsid w:val="00206375"/>
    <w:rsid w:val="002064CA"/>
    <w:rsid w:val="0020660E"/>
    <w:rsid w:val="00206933"/>
    <w:rsid w:val="0020693D"/>
    <w:rsid w:val="00206BE3"/>
    <w:rsid w:val="00206CAE"/>
    <w:rsid w:val="00206DB1"/>
    <w:rsid w:val="00206E54"/>
    <w:rsid w:val="00206FC5"/>
    <w:rsid w:val="002070EF"/>
    <w:rsid w:val="00207148"/>
    <w:rsid w:val="002072EE"/>
    <w:rsid w:val="00207405"/>
    <w:rsid w:val="00207618"/>
    <w:rsid w:val="00207673"/>
    <w:rsid w:val="002078B5"/>
    <w:rsid w:val="00207984"/>
    <w:rsid w:val="00207DE8"/>
    <w:rsid w:val="0021025A"/>
    <w:rsid w:val="002104DB"/>
    <w:rsid w:val="00210849"/>
    <w:rsid w:val="00210B38"/>
    <w:rsid w:val="00210B77"/>
    <w:rsid w:val="0021123E"/>
    <w:rsid w:val="0021126A"/>
    <w:rsid w:val="00211446"/>
    <w:rsid w:val="00211506"/>
    <w:rsid w:val="00211743"/>
    <w:rsid w:val="00211870"/>
    <w:rsid w:val="00211A9B"/>
    <w:rsid w:val="00211AF8"/>
    <w:rsid w:val="00211E8A"/>
    <w:rsid w:val="00212185"/>
    <w:rsid w:val="002123BA"/>
    <w:rsid w:val="00212438"/>
    <w:rsid w:val="002128FD"/>
    <w:rsid w:val="00212BEE"/>
    <w:rsid w:val="00212C64"/>
    <w:rsid w:val="00212D63"/>
    <w:rsid w:val="00212D72"/>
    <w:rsid w:val="00212E04"/>
    <w:rsid w:val="00212F38"/>
    <w:rsid w:val="00213017"/>
    <w:rsid w:val="0021301C"/>
    <w:rsid w:val="00213255"/>
    <w:rsid w:val="00213325"/>
    <w:rsid w:val="002133DE"/>
    <w:rsid w:val="00213454"/>
    <w:rsid w:val="002135E7"/>
    <w:rsid w:val="002138F7"/>
    <w:rsid w:val="0021390E"/>
    <w:rsid w:val="00213AED"/>
    <w:rsid w:val="00213C3F"/>
    <w:rsid w:val="00213E7C"/>
    <w:rsid w:val="002141B5"/>
    <w:rsid w:val="00214934"/>
    <w:rsid w:val="00214A0A"/>
    <w:rsid w:val="00214AC5"/>
    <w:rsid w:val="00214B8C"/>
    <w:rsid w:val="00214FE8"/>
    <w:rsid w:val="0021509C"/>
    <w:rsid w:val="002150DF"/>
    <w:rsid w:val="00215233"/>
    <w:rsid w:val="00215471"/>
    <w:rsid w:val="002155EB"/>
    <w:rsid w:val="002156EE"/>
    <w:rsid w:val="002159B4"/>
    <w:rsid w:val="00215D1F"/>
    <w:rsid w:val="00215E15"/>
    <w:rsid w:val="00215FB3"/>
    <w:rsid w:val="00216196"/>
    <w:rsid w:val="00216510"/>
    <w:rsid w:val="0021675B"/>
    <w:rsid w:val="002168FB"/>
    <w:rsid w:val="002169C5"/>
    <w:rsid w:val="00216A3A"/>
    <w:rsid w:val="00216EB1"/>
    <w:rsid w:val="002170BA"/>
    <w:rsid w:val="0021717D"/>
    <w:rsid w:val="0021731E"/>
    <w:rsid w:val="002173AD"/>
    <w:rsid w:val="00217405"/>
    <w:rsid w:val="0021740B"/>
    <w:rsid w:val="002174FF"/>
    <w:rsid w:val="0021751B"/>
    <w:rsid w:val="002176EB"/>
    <w:rsid w:val="00217721"/>
    <w:rsid w:val="00217761"/>
    <w:rsid w:val="002177DD"/>
    <w:rsid w:val="00217911"/>
    <w:rsid w:val="0021792A"/>
    <w:rsid w:val="00217A4A"/>
    <w:rsid w:val="00217C53"/>
    <w:rsid w:val="00217EC8"/>
    <w:rsid w:val="00217EE1"/>
    <w:rsid w:val="00217F04"/>
    <w:rsid w:val="0022051F"/>
    <w:rsid w:val="0022094C"/>
    <w:rsid w:val="002209F1"/>
    <w:rsid w:val="00220A2E"/>
    <w:rsid w:val="00220AA1"/>
    <w:rsid w:val="00220E58"/>
    <w:rsid w:val="00220EC7"/>
    <w:rsid w:val="00220F4B"/>
    <w:rsid w:val="00221304"/>
    <w:rsid w:val="0022157E"/>
    <w:rsid w:val="002215A2"/>
    <w:rsid w:val="002216CF"/>
    <w:rsid w:val="0022176C"/>
    <w:rsid w:val="002217C3"/>
    <w:rsid w:val="00221964"/>
    <w:rsid w:val="002219CF"/>
    <w:rsid w:val="00221D9E"/>
    <w:rsid w:val="00221E26"/>
    <w:rsid w:val="0022200E"/>
    <w:rsid w:val="00222041"/>
    <w:rsid w:val="002222B5"/>
    <w:rsid w:val="00222328"/>
    <w:rsid w:val="002224A0"/>
    <w:rsid w:val="0022250C"/>
    <w:rsid w:val="00222820"/>
    <w:rsid w:val="002229A7"/>
    <w:rsid w:val="00222D46"/>
    <w:rsid w:val="00222D71"/>
    <w:rsid w:val="00223250"/>
    <w:rsid w:val="00223336"/>
    <w:rsid w:val="002233D8"/>
    <w:rsid w:val="002234C6"/>
    <w:rsid w:val="0022355C"/>
    <w:rsid w:val="002236F6"/>
    <w:rsid w:val="00223904"/>
    <w:rsid w:val="00223A05"/>
    <w:rsid w:val="00223AEB"/>
    <w:rsid w:val="00223B7B"/>
    <w:rsid w:val="00223BD2"/>
    <w:rsid w:val="00223D1C"/>
    <w:rsid w:val="002241A8"/>
    <w:rsid w:val="002241F0"/>
    <w:rsid w:val="002242C0"/>
    <w:rsid w:val="00224300"/>
    <w:rsid w:val="00224332"/>
    <w:rsid w:val="0022448B"/>
    <w:rsid w:val="00224537"/>
    <w:rsid w:val="0022458A"/>
    <w:rsid w:val="002245AC"/>
    <w:rsid w:val="002245FE"/>
    <w:rsid w:val="00224753"/>
    <w:rsid w:val="00224776"/>
    <w:rsid w:val="00224868"/>
    <w:rsid w:val="002248B1"/>
    <w:rsid w:val="00224907"/>
    <w:rsid w:val="00224B7D"/>
    <w:rsid w:val="00224E2E"/>
    <w:rsid w:val="0022515A"/>
    <w:rsid w:val="002252B8"/>
    <w:rsid w:val="0022559E"/>
    <w:rsid w:val="002257B5"/>
    <w:rsid w:val="00225893"/>
    <w:rsid w:val="002258D7"/>
    <w:rsid w:val="00225929"/>
    <w:rsid w:val="00225AA9"/>
    <w:rsid w:val="00225AD3"/>
    <w:rsid w:val="00225B5C"/>
    <w:rsid w:val="00225BB6"/>
    <w:rsid w:val="00225C70"/>
    <w:rsid w:val="00225E1B"/>
    <w:rsid w:val="00225F23"/>
    <w:rsid w:val="00225FD8"/>
    <w:rsid w:val="00226077"/>
    <w:rsid w:val="002263F8"/>
    <w:rsid w:val="00226444"/>
    <w:rsid w:val="00226900"/>
    <w:rsid w:val="00226CDF"/>
    <w:rsid w:val="00226D20"/>
    <w:rsid w:val="00226DDC"/>
    <w:rsid w:val="00226DED"/>
    <w:rsid w:val="00226E7D"/>
    <w:rsid w:val="00226F3A"/>
    <w:rsid w:val="002273AF"/>
    <w:rsid w:val="002277BD"/>
    <w:rsid w:val="002279F1"/>
    <w:rsid w:val="00227A4B"/>
    <w:rsid w:val="00227A7E"/>
    <w:rsid w:val="00227AE9"/>
    <w:rsid w:val="00227E96"/>
    <w:rsid w:val="00227EC5"/>
    <w:rsid w:val="002300B9"/>
    <w:rsid w:val="0023047A"/>
    <w:rsid w:val="0023047E"/>
    <w:rsid w:val="0023051D"/>
    <w:rsid w:val="00230580"/>
    <w:rsid w:val="0023058F"/>
    <w:rsid w:val="00230650"/>
    <w:rsid w:val="002308AC"/>
    <w:rsid w:val="00230A3E"/>
    <w:rsid w:val="00230ABB"/>
    <w:rsid w:val="00230AD0"/>
    <w:rsid w:val="00230CCF"/>
    <w:rsid w:val="00230F20"/>
    <w:rsid w:val="00230F58"/>
    <w:rsid w:val="00231080"/>
    <w:rsid w:val="00231347"/>
    <w:rsid w:val="002313DB"/>
    <w:rsid w:val="002314D2"/>
    <w:rsid w:val="002315D0"/>
    <w:rsid w:val="002315E1"/>
    <w:rsid w:val="00231810"/>
    <w:rsid w:val="002318E6"/>
    <w:rsid w:val="00231966"/>
    <w:rsid w:val="00231A71"/>
    <w:rsid w:val="00231A82"/>
    <w:rsid w:val="00231AD6"/>
    <w:rsid w:val="00231BF0"/>
    <w:rsid w:val="00231DBB"/>
    <w:rsid w:val="00231E9D"/>
    <w:rsid w:val="00232023"/>
    <w:rsid w:val="00232038"/>
    <w:rsid w:val="00232335"/>
    <w:rsid w:val="0023235A"/>
    <w:rsid w:val="00232439"/>
    <w:rsid w:val="0023244B"/>
    <w:rsid w:val="002325F2"/>
    <w:rsid w:val="002326AA"/>
    <w:rsid w:val="0023280D"/>
    <w:rsid w:val="00232DB6"/>
    <w:rsid w:val="00232E75"/>
    <w:rsid w:val="00232FE0"/>
    <w:rsid w:val="002330A3"/>
    <w:rsid w:val="002336EF"/>
    <w:rsid w:val="00233820"/>
    <w:rsid w:val="00233AE7"/>
    <w:rsid w:val="00233C2A"/>
    <w:rsid w:val="00233FA1"/>
    <w:rsid w:val="002340F0"/>
    <w:rsid w:val="0023424E"/>
    <w:rsid w:val="0023457C"/>
    <w:rsid w:val="002346C2"/>
    <w:rsid w:val="00234763"/>
    <w:rsid w:val="002349F2"/>
    <w:rsid w:val="00234B23"/>
    <w:rsid w:val="00234D1C"/>
    <w:rsid w:val="00234E2F"/>
    <w:rsid w:val="002351A8"/>
    <w:rsid w:val="002352E7"/>
    <w:rsid w:val="002353C0"/>
    <w:rsid w:val="002355FF"/>
    <w:rsid w:val="0023572A"/>
    <w:rsid w:val="00235755"/>
    <w:rsid w:val="00235762"/>
    <w:rsid w:val="002357C6"/>
    <w:rsid w:val="002358FE"/>
    <w:rsid w:val="00235963"/>
    <w:rsid w:val="00235ABE"/>
    <w:rsid w:val="00235C5A"/>
    <w:rsid w:val="00235F49"/>
    <w:rsid w:val="002360AA"/>
    <w:rsid w:val="00236224"/>
    <w:rsid w:val="002363C1"/>
    <w:rsid w:val="00236424"/>
    <w:rsid w:val="002365FE"/>
    <w:rsid w:val="0023668C"/>
    <w:rsid w:val="002366BF"/>
    <w:rsid w:val="00236A32"/>
    <w:rsid w:val="00236B3E"/>
    <w:rsid w:val="00236C7C"/>
    <w:rsid w:val="00236C95"/>
    <w:rsid w:val="00236D90"/>
    <w:rsid w:val="00236E5F"/>
    <w:rsid w:val="00236F6F"/>
    <w:rsid w:val="002371C2"/>
    <w:rsid w:val="00237272"/>
    <w:rsid w:val="002374C3"/>
    <w:rsid w:val="00237579"/>
    <w:rsid w:val="0023766D"/>
    <w:rsid w:val="002379DE"/>
    <w:rsid w:val="00237A38"/>
    <w:rsid w:val="00237E51"/>
    <w:rsid w:val="00237FE5"/>
    <w:rsid w:val="002407DF"/>
    <w:rsid w:val="0024089C"/>
    <w:rsid w:val="002408B6"/>
    <w:rsid w:val="00240FDC"/>
    <w:rsid w:val="002410E9"/>
    <w:rsid w:val="002416D5"/>
    <w:rsid w:val="0024186D"/>
    <w:rsid w:val="00241965"/>
    <w:rsid w:val="00241A6B"/>
    <w:rsid w:val="00241AFE"/>
    <w:rsid w:val="00241B3D"/>
    <w:rsid w:val="00241B68"/>
    <w:rsid w:val="00241D18"/>
    <w:rsid w:val="00241E62"/>
    <w:rsid w:val="00241EAE"/>
    <w:rsid w:val="00241F98"/>
    <w:rsid w:val="0024219B"/>
    <w:rsid w:val="002421AF"/>
    <w:rsid w:val="002423FB"/>
    <w:rsid w:val="0024251C"/>
    <w:rsid w:val="0024256E"/>
    <w:rsid w:val="0024270C"/>
    <w:rsid w:val="002429A3"/>
    <w:rsid w:val="00242A11"/>
    <w:rsid w:val="00242A69"/>
    <w:rsid w:val="00242BDB"/>
    <w:rsid w:val="00242E35"/>
    <w:rsid w:val="002430D4"/>
    <w:rsid w:val="002431F9"/>
    <w:rsid w:val="00243657"/>
    <w:rsid w:val="00243909"/>
    <w:rsid w:val="0024398D"/>
    <w:rsid w:val="002439AA"/>
    <w:rsid w:val="00243BBC"/>
    <w:rsid w:val="00243CE3"/>
    <w:rsid w:val="00244553"/>
    <w:rsid w:val="002446AF"/>
    <w:rsid w:val="002448A3"/>
    <w:rsid w:val="002448CD"/>
    <w:rsid w:val="00244BB8"/>
    <w:rsid w:val="00244C18"/>
    <w:rsid w:val="00244E8B"/>
    <w:rsid w:val="00245005"/>
    <w:rsid w:val="0024502C"/>
    <w:rsid w:val="00245106"/>
    <w:rsid w:val="0024525B"/>
    <w:rsid w:val="00245395"/>
    <w:rsid w:val="002453F5"/>
    <w:rsid w:val="002454D9"/>
    <w:rsid w:val="002455A4"/>
    <w:rsid w:val="0024594D"/>
    <w:rsid w:val="00245989"/>
    <w:rsid w:val="00245D52"/>
    <w:rsid w:val="00245F04"/>
    <w:rsid w:val="00245F36"/>
    <w:rsid w:val="00246238"/>
    <w:rsid w:val="0024626C"/>
    <w:rsid w:val="00246383"/>
    <w:rsid w:val="002465C1"/>
    <w:rsid w:val="00246831"/>
    <w:rsid w:val="00246AA5"/>
    <w:rsid w:val="00246D42"/>
    <w:rsid w:val="00246E20"/>
    <w:rsid w:val="002475B6"/>
    <w:rsid w:val="0024760D"/>
    <w:rsid w:val="00247BDF"/>
    <w:rsid w:val="00247C83"/>
    <w:rsid w:val="00247FC6"/>
    <w:rsid w:val="002503A1"/>
    <w:rsid w:val="002504F4"/>
    <w:rsid w:val="00250740"/>
    <w:rsid w:val="00250ED9"/>
    <w:rsid w:val="00250F51"/>
    <w:rsid w:val="00251076"/>
    <w:rsid w:val="00251081"/>
    <w:rsid w:val="002510BA"/>
    <w:rsid w:val="002512F6"/>
    <w:rsid w:val="0025130B"/>
    <w:rsid w:val="002513BE"/>
    <w:rsid w:val="002515B1"/>
    <w:rsid w:val="002515C8"/>
    <w:rsid w:val="0025176F"/>
    <w:rsid w:val="00251A45"/>
    <w:rsid w:val="00251A8A"/>
    <w:rsid w:val="00251AFB"/>
    <w:rsid w:val="00251D32"/>
    <w:rsid w:val="0025215E"/>
    <w:rsid w:val="00252267"/>
    <w:rsid w:val="00252518"/>
    <w:rsid w:val="002525D7"/>
    <w:rsid w:val="002526CC"/>
    <w:rsid w:val="0025287E"/>
    <w:rsid w:val="00252FE6"/>
    <w:rsid w:val="00252FF2"/>
    <w:rsid w:val="00253174"/>
    <w:rsid w:val="0025317E"/>
    <w:rsid w:val="00253370"/>
    <w:rsid w:val="002536E0"/>
    <w:rsid w:val="00253730"/>
    <w:rsid w:val="00253F79"/>
    <w:rsid w:val="00254223"/>
    <w:rsid w:val="002543D2"/>
    <w:rsid w:val="0025456B"/>
    <w:rsid w:val="002546AA"/>
    <w:rsid w:val="00254EEF"/>
    <w:rsid w:val="0025525D"/>
    <w:rsid w:val="00255294"/>
    <w:rsid w:val="0025558D"/>
    <w:rsid w:val="0025593A"/>
    <w:rsid w:val="00255D63"/>
    <w:rsid w:val="00255FBD"/>
    <w:rsid w:val="00256353"/>
    <w:rsid w:val="002563DB"/>
    <w:rsid w:val="002563F5"/>
    <w:rsid w:val="00256410"/>
    <w:rsid w:val="00256C61"/>
    <w:rsid w:val="0025702E"/>
    <w:rsid w:val="00257197"/>
    <w:rsid w:val="002572E1"/>
    <w:rsid w:val="00257319"/>
    <w:rsid w:val="002573C5"/>
    <w:rsid w:val="002573F6"/>
    <w:rsid w:val="002574EE"/>
    <w:rsid w:val="00257673"/>
    <w:rsid w:val="002576CD"/>
    <w:rsid w:val="0025781A"/>
    <w:rsid w:val="0025793A"/>
    <w:rsid w:val="00257950"/>
    <w:rsid w:val="00257BFE"/>
    <w:rsid w:val="00257E0D"/>
    <w:rsid w:val="00257E71"/>
    <w:rsid w:val="0026001B"/>
    <w:rsid w:val="00260157"/>
    <w:rsid w:val="002605CF"/>
    <w:rsid w:val="002606C8"/>
    <w:rsid w:val="002607E6"/>
    <w:rsid w:val="00260A9A"/>
    <w:rsid w:val="00260AF1"/>
    <w:rsid w:val="00260BD4"/>
    <w:rsid w:val="00260C58"/>
    <w:rsid w:val="00260D7F"/>
    <w:rsid w:val="00260E6F"/>
    <w:rsid w:val="00260FE3"/>
    <w:rsid w:val="002616B6"/>
    <w:rsid w:val="002616D5"/>
    <w:rsid w:val="0026174C"/>
    <w:rsid w:val="00261BA3"/>
    <w:rsid w:val="00261BC6"/>
    <w:rsid w:val="00261CA2"/>
    <w:rsid w:val="00261CF7"/>
    <w:rsid w:val="00261F0A"/>
    <w:rsid w:val="002620E3"/>
    <w:rsid w:val="0026226B"/>
    <w:rsid w:val="00262530"/>
    <w:rsid w:val="00262580"/>
    <w:rsid w:val="002627B3"/>
    <w:rsid w:val="002627E9"/>
    <w:rsid w:val="00262854"/>
    <w:rsid w:val="00262A70"/>
    <w:rsid w:val="00262A7B"/>
    <w:rsid w:val="00262CB9"/>
    <w:rsid w:val="00262D03"/>
    <w:rsid w:val="00262D41"/>
    <w:rsid w:val="00262E6C"/>
    <w:rsid w:val="00262F74"/>
    <w:rsid w:val="002630F1"/>
    <w:rsid w:val="002631B8"/>
    <w:rsid w:val="00263299"/>
    <w:rsid w:val="0026334A"/>
    <w:rsid w:val="0026334C"/>
    <w:rsid w:val="00263366"/>
    <w:rsid w:val="00263370"/>
    <w:rsid w:val="0026338D"/>
    <w:rsid w:val="002633D2"/>
    <w:rsid w:val="0026378B"/>
    <w:rsid w:val="0026393B"/>
    <w:rsid w:val="00263CAB"/>
    <w:rsid w:val="00263E42"/>
    <w:rsid w:val="00263F5E"/>
    <w:rsid w:val="00263FE4"/>
    <w:rsid w:val="002641F9"/>
    <w:rsid w:val="002643A5"/>
    <w:rsid w:val="00264771"/>
    <w:rsid w:val="0026493A"/>
    <w:rsid w:val="00264955"/>
    <w:rsid w:val="002649B6"/>
    <w:rsid w:val="00264C13"/>
    <w:rsid w:val="00264C98"/>
    <w:rsid w:val="00264DB5"/>
    <w:rsid w:val="00264FFF"/>
    <w:rsid w:val="0026526F"/>
    <w:rsid w:val="00265439"/>
    <w:rsid w:val="002654CA"/>
    <w:rsid w:val="002655B4"/>
    <w:rsid w:val="002655D9"/>
    <w:rsid w:val="0026587D"/>
    <w:rsid w:val="00265891"/>
    <w:rsid w:val="00265E70"/>
    <w:rsid w:val="00266143"/>
    <w:rsid w:val="0026650B"/>
    <w:rsid w:val="0026660F"/>
    <w:rsid w:val="00266846"/>
    <w:rsid w:val="002669CF"/>
    <w:rsid w:val="00266AFB"/>
    <w:rsid w:val="00266B19"/>
    <w:rsid w:val="00266CB5"/>
    <w:rsid w:val="00266E5B"/>
    <w:rsid w:val="00267062"/>
    <w:rsid w:val="002670C4"/>
    <w:rsid w:val="002671D2"/>
    <w:rsid w:val="002674BA"/>
    <w:rsid w:val="00267746"/>
    <w:rsid w:val="00267982"/>
    <w:rsid w:val="00267C52"/>
    <w:rsid w:val="00267EA7"/>
    <w:rsid w:val="00267EB7"/>
    <w:rsid w:val="00267EFC"/>
    <w:rsid w:val="002701CF"/>
    <w:rsid w:val="00270280"/>
    <w:rsid w:val="0027029F"/>
    <w:rsid w:val="0027046B"/>
    <w:rsid w:val="002704C5"/>
    <w:rsid w:val="0027058D"/>
    <w:rsid w:val="002706D3"/>
    <w:rsid w:val="00270A4E"/>
    <w:rsid w:val="00270A9E"/>
    <w:rsid w:val="00270B50"/>
    <w:rsid w:val="00270B89"/>
    <w:rsid w:val="00270BE3"/>
    <w:rsid w:val="00270C7B"/>
    <w:rsid w:val="00270EA2"/>
    <w:rsid w:val="00270ED6"/>
    <w:rsid w:val="0027107D"/>
    <w:rsid w:val="0027109A"/>
    <w:rsid w:val="00271155"/>
    <w:rsid w:val="00271277"/>
    <w:rsid w:val="00271376"/>
    <w:rsid w:val="0027148A"/>
    <w:rsid w:val="002714A8"/>
    <w:rsid w:val="002714FD"/>
    <w:rsid w:val="00271694"/>
    <w:rsid w:val="002718BD"/>
    <w:rsid w:val="00271B59"/>
    <w:rsid w:val="00271C5C"/>
    <w:rsid w:val="00271E0E"/>
    <w:rsid w:val="00271F4B"/>
    <w:rsid w:val="002722AB"/>
    <w:rsid w:val="00272414"/>
    <w:rsid w:val="002728B0"/>
    <w:rsid w:val="002728EB"/>
    <w:rsid w:val="00272D27"/>
    <w:rsid w:val="00272F3B"/>
    <w:rsid w:val="00272FA7"/>
    <w:rsid w:val="002731DC"/>
    <w:rsid w:val="002732B8"/>
    <w:rsid w:val="00273398"/>
    <w:rsid w:val="002734A8"/>
    <w:rsid w:val="002735C4"/>
    <w:rsid w:val="00273649"/>
    <w:rsid w:val="0027366E"/>
    <w:rsid w:val="002736DC"/>
    <w:rsid w:val="002736E7"/>
    <w:rsid w:val="00273B42"/>
    <w:rsid w:val="00273C7D"/>
    <w:rsid w:val="00273DDE"/>
    <w:rsid w:val="002743A3"/>
    <w:rsid w:val="0027457F"/>
    <w:rsid w:val="002746E0"/>
    <w:rsid w:val="002749DF"/>
    <w:rsid w:val="00274AF0"/>
    <w:rsid w:val="0027516F"/>
    <w:rsid w:val="002751BF"/>
    <w:rsid w:val="0027537D"/>
    <w:rsid w:val="00275A17"/>
    <w:rsid w:val="00275C81"/>
    <w:rsid w:val="00275F0B"/>
    <w:rsid w:val="00275F35"/>
    <w:rsid w:val="00275FCC"/>
    <w:rsid w:val="00276516"/>
    <w:rsid w:val="00276538"/>
    <w:rsid w:val="002766FC"/>
    <w:rsid w:val="00276910"/>
    <w:rsid w:val="00276A9F"/>
    <w:rsid w:val="00276BB9"/>
    <w:rsid w:val="00276C3C"/>
    <w:rsid w:val="00276D88"/>
    <w:rsid w:val="00276EC2"/>
    <w:rsid w:val="00276EDE"/>
    <w:rsid w:val="00276FB1"/>
    <w:rsid w:val="00277001"/>
    <w:rsid w:val="002772D6"/>
    <w:rsid w:val="0027795B"/>
    <w:rsid w:val="00277A1A"/>
    <w:rsid w:val="00277AEF"/>
    <w:rsid w:val="00277B7B"/>
    <w:rsid w:val="00277BD7"/>
    <w:rsid w:val="00277C29"/>
    <w:rsid w:val="00277F14"/>
    <w:rsid w:val="002805F8"/>
    <w:rsid w:val="00280778"/>
    <w:rsid w:val="002808D3"/>
    <w:rsid w:val="00280942"/>
    <w:rsid w:val="002809F2"/>
    <w:rsid w:val="00280B8F"/>
    <w:rsid w:val="00280C5B"/>
    <w:rsid w:val="00280C92"/>
    <w:rsid w:val="00280E1D"/>
    <w:rsid w:val="00280FD4"/>
    <w:rsid w:val="002812C2"/>
    <w:rsid w:val="002812FA"/>
    <w:rsid w:val="002814CB"/>
    <w:rsid w:val="00281653"/>
    <w:rsid w:val="002816AC"/>
    <w:rsid w:val="00281BC7"/>
    <w:rsid w:val="00281E32"/>
    <w:rsid w:val="00281FC1"/>
    <w:rsid w:val="002820D6"/>
    <w:rsid w:val="002822A0"/>
    <w:rsid w:val="002823F7"/>
    <w:rsid w:val="00282513"/>
    <w:rsid w:val="00282580"/>
    <w:rsid w:val="002827BD"/>
    <w:rsid w:val="00282902"/>
    <w:rsid w:val="00282E8E"/>
    <w:rsid w:val="00282EC0"/>
    <w:rsid w:val="00282F9D"/>
    <w:rsid w:val="0028300D"/>
    <w:rsid w:val="002830BD"/>
    <w:rsid w:val="0028324A"/>
    <w:rsid w:val="002832BA"/>
    <w:rsid w:val="002833A2"/>
    <w:rsid w:val="00283421"/>
    <w:rsid w:val="00283690"/>
    <w:rsid w:val="002838A3"/>
    <w:rsid w:val="00283C12"/>
    <w:rsid w:val="00283DD4"/>
    <w:rsid w:val="00283E6C"/>
    <w:rsid w:val="00283E75"/>
    <w:rsid w:val="00283EFD"/>
    <w:rsid w:val="002842D7"/>
    <w:rsid w:val="0028453A"/>
    <w:rsid w:val="00284605"/>
    <w:rsid w:val="002846CF"/>
    <w:rsid w:val="00284716"/>
    <w:rsid w:val="00284807"/>
    <w:rsid w:val="00284813"/>
    <w:rsid w:val="0028486A"/>
    <w:rsid w:val="00284AAB"/>
    <w:rsid w:val="00284AFA"/>
    <w:rsid w:val="00284BE7"/>
    <w:rsid w:val="00284C6E"/>
    <w:rsid w:val="00284D68"/>
    <w:rsid w:val="002851CF"/>
    <w:rsid w:val="002852B8"/>
    <w:rsid w:val="002854A1"/>
    <w:rsid w:val="002855CB"/>
    <w:rsid w:val="0028576A"/>
    <w:rsid w:val="002857B3"/>
    <w:rsid w:val="002858CD"/>
    <w:rsid w:val="00285A82"/>
    <w:rsid w:val="00285A89"/>
    <w:rsid w:val="00285C3D"/>
    <w:rsid w:val="00285E01"/>
    <w:rsid w:val="00285E80"/>
    <w:rsid w:val="00285F4F"/>
    <w:rsid w:val="002860C7"/>
    <w:rsid w:val="0028611E"/>
    <w:rsid w:val="00286420"/>
    <w:rsid w:val="00286455"/>
    <w:rsid w:val="0028648B"/>
    <w:rsid w:val="002864E9"/>
    <w:rsid w:val="00286F6D"/>
    <w:rsid w:val="002870B2"/>
    <w:rsid w:val="002872AF"/>
    <w:rsid w:val="00287431"/>
    <w:rsid w:val="00287673"/>
    <w:rsid w:val="00287686"/>
    <w:rsid w:val="00287B68"/>
    <w:rsid w:val="00287CFB"/>
    <w:rsid w:val="00287E5B"/>
    <w:rsid w:val="00290006"/>
    <w:rsid w:val="00290232"/>
    <w:rsid w:val="0029025D"/>
    <w:rsid w:val="0029062E"/>
    <w:rsid w:val="00290BCD"/>
    <w:rsid w:val="00290DCF"/>
    <w:rsid w:val="00290F55"/>
    <w:rsid w:val="002910B9"/>
    <w:rsid w:val="00291250"/>
    <w:rsid w:val="00291260"/>
    <w:rsid w:val="002912C3"/>
    <w:rsid w:val="002913A5"/>
    <w:rsid w:val="00291671"/>
    <w:rsid w:val="00291730"/>
    <w:rsid w:val="0029180C"/>
    <w:rsid w:val="00291924"/>
    <w:rsid w:val="00291967"/>
    <w:rsid w:val="00291D56"/>
    <w:rsid w:val="00291FC3"/>
    <w:rsid w:val="00291FCD"/>
    <w:rsid w:val="00292129"/>
    <w:rsid w:val="00292226"/>
    <w:rsid w:val="0029226C"/>
    <w:rsid w:val="002923E2"/>
    <w:rsid w:val="002924E8"/>
    <w:rsid w:val="0029257A"/>
    <w:rsid w:val="0029268C"/>
    <w:rsid w:val="002928F5"/>
    <w:rsid w:val="00292A83"/>
    <w:rsid w:val="00292DD9"/>
    <w:rsid w:val="0029321D"/>
    <w:rsid w:val="0029326B"/>
    <w:rsid w:val="0029333D"/>
    <w:rsid w:val="002933A7"/>
    <w:rsid w:val="002934AF"/>
    <w:rsid w:val="00293674"/>
    <w:rsid w:val="002938E3"/>
    <w:rsid w:val="00293AAE"/>
    <w:rsid w:val="00294168"/>
    <w:rsid w:val="00294198"/>
    <w:rsid w:val="0029425B"/>
    <w:rsid w:val="002943A8"/>
    <w:rsid w:val="002944F6"/>
    <w:rsid w:val="00294687"/>
    <w:rsid w:val="002946E1"/>
    <w:rsid w:val="0029472B"/>
    <w:rsid w:val="00294769"/>
    <w:rsid w:val="00294880"/>
    <w:rsid w:val="00294BA3"/>
    <w:rsid w:val="00294D03"/>
    <w:rsid w:val="00294DCF"/>
    <w:rsid w:val="00294F47"/>
    <w:rsid w:val="00295113"/>
    <w:rsid w:val="0029532F"/>
    <w:rsid w:val="002955E7"/>
    <w:rsid w:val="0029562D"/>
    <w:rsid w:val="0029576B"/>
    <w:rsid w:val="00295851"/>
    <w:rsid w:val="002959AE"/>
    <w:rsid w:val="00295A61"/>
    <w:rsid w:val="00295B1D"/>
    <w:rsid w:val="00295B6C"/>
    <w:rsid w:val="00295CD1"/>
    <w:rsid w:val="00295DA2"/>
    <w:rsid w:val="00295F61"/>
    <w:rsid w:val="00295F78"/>
    <w:rsid w:val="00295FAD"/>
    <w:rsid w:val="00296118"/>
    <w:rsid w:val="002962E1"/>
    <w:rsid w:val="0029640B"/>
    <w:rsid w:val="002965D2"/>
    <w:rsid w:val="002965F1"/>
    <w:rsid w:val="0029684B"/>
    <w:rsid w:val="00296DF1"/>
    <w:rsid w:val="00296E76"/>
    <w:rsid w:val="00296EF1"/>
    <w:rsid w:val="00297006"/>
    <w:rsid w:val="0029707F"/>
    <w:rsid w:val="002970BB"/>
    <w:rsid w:val="00297149"/>
    <w:rsid w:val="002972FD"/>
    <w:rsid w:val="002973B9"/>
    <w:rsid w:val="00297451"/>
    <w:rsid w:val="0029748F"/>
    <w:rsid w:val="00297495"/>
    <w:rsid w:val="00297A16"/>
    <w:rsid w:val="00297AF4"/>
    <w:rsid w:val="00297D67"/>
    <w:rsid w:val="00297E50"/>
    <w:rsid w:val="002A001B"/>
    <w:rsid w:val="002A02BE"/>
    <w:rsid w:val="002A0481"/>
    <w:rsid w:val="002A0522"/>
    <w:rsid w:val="002A0766"/>
    <w:rsid w:val="002A076C"/>
    <w:rsid w:val="002A0845"/>
    <w:rsid w:val="002A091B"/>
    <w:rsid w:val="002A0A89"/>
    <w:rsid w:val="002A0AFA"/>
    <w:rsid w:val="002A0BB1"/>
    <w:rsid w:val="002A0D89"/>
    <w:rsid w:val="002A1022"/>
    <w:rsid w:val="002A10BA"/>
    <w:rsid w:val="002A1227"/>
    <w:rsid w:val="002A13C8"/>
    <w:rsid w:val="002A13D4"/>
    <w:rsid w:val="002A13DA"/>
    <w:rsid w:val="002A1540"/>
    <w:rsid w:val="002A17B0"/>
    <w:rsid w:val="002A21AE"/>
    <w:rsid w:val="002A22AB"/>
    <w:rsid w:val="002A22D1"/>
    <w:rsid w:val="002A2335"/>
    <w:rsid w:val="002A2481"/>
    <w:rsid w:val="002A252A"/>
    <w:rsid w:val="002A25A7"/>
    <w:rsid w:val="002A286D"/>
    <w:rsid w:val="002A2875"/>
    <w:rsid w:val="002A2900"/>
    <w:rsid w:val="002A2906"/>
    <w:rsid w:val="002A2A26"/>
    <w:rsid w:val="002A2E44"/>
    <w:rsid w:val="002A3209"/>
    <w:rsid w:val="002A32DD"/>
    <w:rsid w:val="002A3358"/>
    <w:rsid w:val="002A33F2"/>
    <w:rsid w:val="002A350B"/>
    <w:rsid w:val="002A35E9"/>
    <w:rsid w:val="002A36C2"/>
    <w:rsid w:val="002A3937"/>
    <w:rsid w:val="002A3961"/>
    <w:rsid w:val="002A3B84"/>
    <w:rsid w:val="002A3C40"/>
    <w:rsid w:val="002A3DD9"/>
    <w:rsid w:val="002A3E8F"/>
    <w:rsid w:val="002A3FDD"/>
    <w:rsid w:val="002A4177"/>
    <w:rsid w:val="002A427E"/>
    <w:rsid w:val="002A436D"/>
    <w:rsid w:val="002A4480"/>
    <w:rsid w:val="002A4652"/>
    <w:rsid w:val="002A4714"/>
    <w:rsid w:val="002A4A24"/>
    <w:rsid w:val="002A4A32"/>
    <w:rsid w:val="002A4CAC"/>
    <w:rsid w:val="002A55D2"/>
    <w:rsid w:val="002A56B6"/>
    <w:rsid w:val="002A5844"/>
    <w:rsid w:val="002A594C"/>
    <w:rsid w:val="002A5A44"/>
    <w:rsid w:val="002A5A8A"/>
    <w:rsid w:val="002A5D42"/>
    <w:rsid w:val="002A6282"/>
    <w:rsid w:val="002A62C4"/>
    <w:rsid w:val="002A65D3"/>
    <w:rsid w:val="002A6659"/>
    <w:rsid w:val="002A66D9"/>
    <w:rsid w:val="002A6808"/>
    <w:rsid w:val="002A682B"/>
    <w:rsid w:val="002A68FE"/>
    <w:rsid w:val="002A6DCE"/>
    <w:rsid w:val="002A7034"/>
    <w:rsid w:val="002A719D"/>
    <w:rsid w:val="002A7213"/>
    <w:rsid w:val="002A7284"/>
    <w:rsid w:val="002A77FB"/>
    <w:rsid w:val="002A7A5B"/>
    <w:rsid w:val="002A7AB5"/>
    <w:rsid w:val="002A7CBA"/>
    <w:rsid w:val="002A7D40"/>
    <w:rsid w:val="002A7EB3"/>
    <w:rsid w:val="002A7F1F"/>
    <w:rsid w:val="002A7F86"/>
    <w:rsid w:val="002B019C"/>
    <w:rsid w:val="002B01AC"/>
    <w:rsid w:val="002B01F6"/>
    <w:rsid w:val="002B0299"/>
    <w:rsid w:val="002B04BE"/>
    <w:rsid w:val="002B05C3"/>
    <w:rsid w:val="002B0682"/>
    <w:rsid w:val="002B074B"/>
    <w:rsid w:val="002B0790"/>
    <w:rsid w:val="002B0935"/>
    <w:rsid w:val="002B0E24"/>
    <w:rsid w:val="002B0EEA"/>
    <w:rsid w:val="002B128E"/>
    <w:rsid w:val="002B171B"/>
    <w:rsid w:val="002B1793"/>
    <w:rsid w:val="002B17F5"/>
    <w:rsid w:val="002B188C"/>
    <w:rsid w:val="002B1A4B"/>
    <w:rsid w:val="002B1C83"/>
    <w:rsid w:val="002B1CE5"/>
    <w:rsid w:val="002B2070"/>
    <w:rsid w:val="002B22BA"/>
    <w:rsid w:val="002B23A3"/>
    <w:rsid w:val="002B23C1"/>
    <w:rsid w:val="002B2503"/>
    <w:rsid w:val="002B25DC"/>
    <w:rsid w:val="002B2630"/>
    <w:rsid w:val="002B2B0A"/>
    <w:rsid w:val="002B2D9A"/>
    <w:rsid w:val="002B2FBB"/>
    <w:rsid w:val="002B2FFC"/>
    <w:rsid w:val="002B379D"/>
    <w:rsid w:val="002B3B1A"/>
    <w:rsid w:val="002B3B62"/>
    <w:rsid w:val="002B3B6D"/>
    <w:rsid w:val="002B3E4D"/>
    <w:rsid w:val="002B406B"/>
    <w:rsid w:val="002B42EE"/>
    <w:rsid w:val="002B45D7"/>
    <w:rsid w:val="002B48C6"/>
    <w:rsid w:val="002B499B"/>
    <w:rsid w:val="002B4A90"/>
    <w:rsid w:val="002B4ADA"/>
    <w:rsid w:val="002B4C32"/>
    <w:rsid w:val="002B4E94"/>
    <w:rsid w:val="002B4F38"/>
    <w:rsid w:val="002B527B"/>
    <w:rsid w:val="002B5398"/>
    <w:rsid w:val="002B5795"/>
    <w:rsid w:val="002B58CD"/>
    <w:rsid w:val="002B5982"/>
    <w:rsid w:val="002B59E4"/>
    <w:rsid w:val="002B5A5E"/>
    <w:rsid w:val="002B5B88"/>
    <w:rsid w:val="002B5BB1"/>
    <w:rsid w:val="002B5D02"/>
    <w:rsid w:val="002B654A"/>
    <w:rsid w:val="002B6A9E"/>
    <w:rsid w:val="002B6B0C"/>
    <w:rsid w:val="002B6BD7"/>
    <w:rsid w:val="002B6CE9"/>
    <w:rsid w:val="002B6E47"/>
    <w:rsid w:val="002B7292"/>
    <w:rsid w:val="002B75CB"/>
    <w:rsid w:val="002B7683"/>
    <w:rsid w:val="002B76AC"/>
    <w:rsid w:val="002B7989"/>
    <w:rsid w:val="002B7990"/>
    <w:rsid w:val="002B7A3B"/>
    <w:rsid w:val="002B7DA6"/>
    <w:rsid w:val="002B7E38"/>
    <w:rsid w:val="002C00AC"/>
    <w:rsid w:val="002C0366"/>
    <w:rsid w:val="002C0535"/>
    <w:rsid w:val="002C08E1"/>
    <w:rsid w:val="002C0A1F"/>
    <w:rsid w:val="002C0AE8"/>
    <w:rsid w:val="002C0E7A"/>
    <w:rsid w:val="002C0E85"/>
    <w:rsid w:val="002C0F5F"/>
    <w:rsid w:val="002C11AB"/>
    <w:rsid w:val="002C13C9"/>
    <w:rsid w:val="002C1604"/>
    <w:rsid w:val="002C161F"/>
    <w:rsid w:val="002C164E"/>
    <w:rsid w:val="002C173F"/>
    <w:rsid w:val="002C1B1F"/>
    <w:rsid w:val="002C1BC5"/>
    <w:rsid w:val="002C1C19"/>
    <w:rsid w:val="002C1E5A"/>
    <w:rsid w:val="002C1EB2"/>
    <w:rsid w:val="002C2148"/>
    <w:rsid w:val="002C2184"/>
    <w:rsid w:val="002C2441"/>
    <w:rsid w:val="002C25F5"/>
    <w:rsid w:val="002C2977"/>
    <w:rsid w:val="002C29C9"/>
    <w:rsid w:val="002C2C8D"/>
    <w:rsid w:val="002C2E56"/>
    <w:rsid w:val="002C3091"/>
    <w:rsid w:val="002C3174"/>
    <w:rsid w:val="002C32DE"/>
    <w:rsid w:val="002C33DA"/>
    <w:rsid w:val="002C3BDC"/>
    <w:rsid w:val="002C3ED0"/>
    <w:rsid w:val="002C3F2F"/>
    <w:rsid w:val="002C45F9"/>
    <w:rsid w:val="002C4966"/>
    <w:rsid w:val="002C4BE9"/>
    <w:rsid w:val="002C4BFD"/>
    <w:rsid w:val="002C4CA8"/>
    <w:rsid w:val="002C534A"/>
    <w:rsid w:val="002C54AA"/>
    <w:rsid w:val="002C5A0A"/>
    <w:rsid w:val="002C5F51"/>
    <w:rsid w:val="002C5FBD"/>
    <w:rsid w:val="002C6170"/>
    <w:rsid w:val="002C6416"/>
    <w:rsid w:val="002C650D"/>
    <w:rsid w:val="002C66CC"/>
    <w:rsid w:val="002C6766"/>
    <w:rsid w:val="002C691A"/>
    <w:rsid w:val="002C6B94"/>
    <w:rsid w:val="002C6C5C"/>
    <w:rsid w:val="002C6ECD"/>
    <w:rsid w:val="002C7092"/>
    <w:rsid w:val="002C7258"/>
    <w:rsid w:val="002C73F4"/>
    <w:rsid w:val="002C7416"/>
    <w:rsid w:val="002C7431"/>
    <w:rsid w:val="002C7BCF"/>
    <w:rsid w:val="002C7F10"/>
    <w:rsid w:val="002D0025"/>
    <w:rsid w:val="002D0211"/>
    <w:rsid w:val="002D02F8"/>
    <w:rsid w:val="002D0385"/>
    <w:rsid w:val="002D0603"/>
    <w:rsid w:val="002D0D23"/>
    <w:rsid w:val="002D1282"/>
    <w:rsid w:val="002D1303"/>
    <w:rsid w:val="002D15E6"/>
    <w:rsid w:val="002D160F"/>
    <w:rsid w:val="002D1674"/>
    <w:rsid w:val="002D1847"/>
    <w:rsid w:val="002D1B96"/>
    <w:rsid w:val="002D1E21"/>
    <w:rsid w:val="002D1E24"/>
    <w:rsid w:val="002D227E"/>
    <w:rsid w:val="002D23EA"/>
    <w:rsid w:val="002D242C"/>
    <w:rsid w:val="002D24BB"/>
    <w:rsid w:val="002D2737"/>
    <w:rsid w:val="002D28F7"/>
    <w:rsid w:val="002D2B72"/>
    <w:rsid w:val="002D2DED"/>
    <w:rsid w:val="002D2F2D"/>
    <w:rsid w:val="002D2F55"/>
    <w:rsid w:val="002D3096"/>
    <w:rsid w:val="002D3283"/>
    <w:rsid w:val="002D33EA"/>
    <w:rsid w:val="002D34C7"/>
    <w:rsid w:val="002D3609"/>
    <w:rsid w:val="002D3898"/>
    <w:rsid w:val="002D3928"/>
    <w:rsid w:val="002D3A5E"/>
    <w:rsid w:val="002D3BC7"/>
    <w:rsid w:val="002D3C93"/>
    <w:rsid w:val="002D3EC7"/>
    <w:rsid w:val="002D3F47"/>
    <w:rsid w:val="002D405F"/>
    <w:rsid w:val="002D40AC"/>
    <w:rsid w:val="002D4164"/>
    <w:rsid w:val="002D41C2"/>
    <w:rsid w:val="002D43A1"/>
    <w:rsid w:val="002D44C2"/>
    <w:rsid w:val="002D4542"/>
    <w:rsid w:val="002D45AB"/>
    <w:rsid w:val="002D4649"/>
    <w:rsid w:val="002D46B5"/>
    <w:rsid w:val="002D4D82"/>
    <w:rsid w:val="002D4FC4"/>
    <w:rsid w:val="002D5138"/>
    <w:rsid w:val="002D53C1"/>
    <w:rsid w:val="002D5501"/>
    <w:rsid w:val="002D550A"/>
    <w:rsid w:val="002D5522"/>
    <w:rsid w:val="002D5676"/>
    <w:rsid w:val="002D64CA"/>
    <w:rsid w:val="002D66B0"/>
    <w:rsid w:val="002D693A"/>
    <w:rsid w:val="002D6D2E"/>
    <w:rsid w:val="002D6D4E"/>
    <w:rsid w:val="002D6D8B"/>
    <w:rsid w:val="002D6E5F"/>
    <w:rsid w:val="002D6E8E"/>
    <w:rsid w:val="002D6EB1"/>
    <w:rsid w:val="002D6ED8"/>
    <w:rsid w:val="002D70D0"/>
    <w:rsid w:val="002D71AA"/>
    <w:rsid w:val="002D7309"/>
    <w:rsid w:val="002D7622"/>
    <w:rsid w:val="002D7689"/>
    <w:rsid w:val="002D7EF9"/>
    <w:rsid w:val="002E02DB"/>
    <w:rsid w:val="002E03C9"/>
    <w:rsid w:val="002E04E1"/>
    <w:rsid w:val="002E078F"/>
    <w:rsid w:val="002E08B7"/>
    <w:rsid w:val="002E08D6"/>
    <w:rsid w:val="002E08FF"/>
    <w:rsid w:val="002E099B"/>
    <w:rsid w:val="002E0A7A"/>
    <w:rsid w:val="002E10C8"/>
    <w:rsid w:val="002E11F5"/>
    <w:rsid w:val="002E1221"/>
    <w:rsid w:val="002E150E"/>
    <w:rsid w:val="002E15BC"/>
    <w:rsid w:val="002E1651"/>
    <w:rsid w:val="002E16CD"/>
    <w:rsid w:val="002E16D5"/>
    <w:rsid w:val="002E17F5"/>
    <w:rsid w:val="002E1806"/>
    <w:rsid w:val="002E1BF7"/>
    <w:rsid w:val="002E1CED"/>
    <w:rsid w:val="002E1EA5"/>
    <w:rsid w:val="002E1FDF"/>
    <w:rsid w:val="002E212D"/>
    <w:rsid w:val="002E2158"/>
    <w:rsid w:val="002E21C8"/>
    <w:rsid w:val="002E246F"/>
    <w:rsid w:val="002E282A"/>
    <w:rsid w:val="002E2947"/>
    <w:rsid w:val="002E2AA7"/>
    <w:rsid w:val="002E2C64"/>
    <w:rsid w:val="002E2F9D"/>
    <w:rsid w:val="002E2FC3"/>
    <w:rsid w:val="002E3100"/>
    <w:rsid w:val="002E328D"/>
    <w:rsid w:val="002E355B"/>
    <w:rsid w:val="002E3823"/>
    <w:rsid w:val="002E38CD"/>
    <w:rsid w:val="002E39AD"/>
    <w:rsid w:val="002E3C2E"/>
    <w:rsid w:val="002E3CAD"/>
    <w:rsid w:val="002E3F7F"/>
    <w:rsid w:val="002E401B"/>
    <w:rsid w:val="002E4262"/>
    <w:rsid w:val="002E4689"/>
    <w:rsid w:val="002E4907"/>
    <w:rsid w:val="002E4A7F"/>
    <w:rsid w:val="002E4AE2"/>
    <w:rsid w:val="002E531B"/>
    <w:rsid w:val="002E537C"/>
    <w:rsid w:val="002E53EF"/>
    <w:rsid w:val="002E54B6"/>
    <w:rsid w:val="002E5971"/>
    <w:rsid w:val="002E5AFB"/>
    <w:rsid w:val="002E6028"/>
    <w:rsid w:val="002E62DF"/>
    <w:rsid w:val="002E62FA"/>
    <w:rsid w:val="002E6C73"/>
    <w:rsid w:val="002E6CF5"/>
    <w:rsid w:val="002E71C7"/>
    <w:rsid w:val="002E7351"/>
    <w:rsid w:val="002E7774"/>
    <w:rsid w:val="002E7794"/>
    <w:rsid w:val="002E7830"/>
    <w:rsid w:val="002E787B"/>
    <w:rsid w:val="002E78AE"/>
    <w:rsid w:val="002E79ED"/>
    <w:rsid w:val="002E7B27"/>
    <w:rsid w:val="002E7B60"/>
    <w:rsid w:val="002E7F29"/>
    <w:rsid w:val="002E7F81"/>
    <w:rsid w:val="002F0004"/>
    <w:rsid w:val="002F005D"/>
    <w:rsid w:val="002F022E"/>
    <w:rsid w:val="002F03F1"/>
    <w:rsid w:val="002F0551"/>
    <w:rsid w:val="002F05AE"/>
    <w:rsid w:val="002F0824"/>
    <w:rsid w:val="002F084B"/>
    <w:rsid w:val="002F09B8"/>
    <w:rsid w:val="002F0A5A"/>
    <w:rsid w:val="002F0B21"/>
    <w:rsid w:val="002F0B73"/>
    <w:rsid w:val="002F0CCA"/>
    <w:rsid w:val="002F0D06"/>
    <w:rsid w:val="002F0E27"/>
    <w:rsid w:val="002F10D3"/>
    <w:rsid w:val="002F1210"/>
    <w:rsid w:val="002F12DE"/>
    <w:rsid w:val="002F13CE"/>
    <w:rsid w:val="002F161C"/>
    <w:rsid w:val="002F17F3"/>
    <w:rsid w:val="002F1860"/>
    <w:rsid w:val="002F1AE0"/>
    <w:rsid w:val="002F1BED"/>
    <w:rsid w:val="002F1D06"/>
    <w:rsid w:val="002F1D2F"/>
    <w:rsid w:val="002F1DE3"/>
    <w:rsid w:val="002F1E24"/>
    <w:rsid w:val="002F2045"/>
    <w:rsid w:val="002F23C1"/>
    <w:rsid w:val="002F2625"/>
    <w:rsid w:val="002F293C"/>
    <w:rsid w:val="002F2AFE"/>
    <w:rsid w:val="002F2B5A"/>
    <w:rsid w:val="002F2DDA"/>
    <w:rsid w:val="002F3167"/>
    <w:rsid w:val="002F350D"/>
    <w:rsid w:val="002F35C0"/>
    <w:rsid w:val="002F36E5"/>
    <w:rsid w:val="002F3A0E"/>
    <w:rsid w:val="002F3C56"/>
    <w:rsid w:val="002F3DA0"/>
    <w:rsid w:val="002F3F0C"/>
    <w:rsid w:val="002F4088"/>
    <w:rsid w:val="002F4126"/>
    <w:rsid w:val="002F41FD"/>
    <w:rsid w:val="002F4237"/>
    <w:rsid w:val="002F467C"/>
    <w:rsid w:val="002F4953"/>
    <w:rsid w:val="002F4DE5"/>
    <w:rsid w:val="002F5440"/>
    <w:rsid w:val="002F5674"/>
    <w:rsid w:val="002F57BD"/>
    <w:rsid w:val="002F5A6A"/>
    <w:rsid w:val="002F5CAF"/>
    <w:rsid w:val="002F5F59"/>
    <w:rsid w:val="002F69C9"/>
    <w:rsid w:val="002F6A6D"/>
    <w:rsid w:val="002F6ACA"/>
    <w:rsid w:val="002F6C15"/>
    <w:rsid w:val="002F6E21"/>
    <w:rsid w:val="002F6FA9"/>
    <w:rsid w:val="002F70BB"/>
    <w:rsid w:val="002F7142"/>
    <w:rsid w:val="002F7193"/>
    <w:rsid w:val="002F721F"/>
    <w:rsid w:val="002F732B"/>
    <w:rsid w:val="002F7374"/>
    <w:rsid w:val="002F7467"/>
    <w:rsid w:val="002F76D5"/>
    <w:rsid w:val="002F7769"/>
    <w:rsid w:val="002F7A6B"/>
    <w:rsid w:val="002F7A8D"/>
    <w:rsid w:val="002F7C35"/>
    <w:rsid w:val="002F7F25"/>
    <w:rsid w:val="003001AF"/>
    <w:rsid w:val="0030024C"/>
    <w:rsid w:val="0030053E"/>
    <w:rsid w:val="00300B2E"/>
    <w:rsid w:val="003010E1"/>
    <w:rsid w:val="0030126B"/>
    <w:rsid w:val="003015B1"/>
    <w:rsid w:val="003017AA"/>
    <w:rsid w:val="00301835"/>
    <w:rsid w:val="00301C03"/>
    <w:rsid w:val="00301CC8"/>
    <w:rsid w:val="00301E93"/>
    <w:rsid w:val="00301F85"/>
    <w:rsid w:val="00302336"/>
    <w:rsid w:val="003023BE"/>
    <w:rsid w:val="003024B1"/>
    <w:rsid w:val="00302CC0"/>
    <w:rsid w:val="00302DAC"/>
    <w:rsid w:val="00303555"/>
    <w:rsid w:val="00303759"/>
    <w:rsid w:val="00303818"/>
    <w:rsid w:val="00303821"/>
    <w:rsid w:val="003039D3"/>
    <w:rsid w:val="00303BE2"/>
    <w:rsid w:val="00303C81"/>
    <w:rsid w:val="003041BE"/>
    <w:rsid w:val="003043CD"/>
    <w:rsid w:val="00304476"/>
    <w:rsid w:val="00304635"/>
    <w:rsid w:val="00304653"/>
    <w:rsid w:val="00304983"/>
    <w:rsid w:val="003049AF"/>
    <w:rsid w:val="003049C9"/>
    <w:rsid w:val="00304B4B"/>
    <w:rsid w:val="00304BFA"/>
    <w:rsid w:val="00304D0D"/>
    <w:rsid w:val="00304D38"/>
    <w:rsid w:val="00304F20"/>
    <w:rsid w:val="0030513E"/>
    <w:rsid w:val="00305153"/>
    <w:rsid w:val="00305223"/>
    <w:rsid w:val="003052D6"/>
    <w:rsid w:val="00305310"/>
    <w:rsid w:val="003053AD"/>
    <w:rsid w:val="003054BC"/>
    <w:rsid w:val="0030550E"/>
    <w:rsid w:val="0030570F"/>
    <w:rsid w:val="003057A0"/>
    <w:rsid w:val="003057B8"/>
    <w:rsid w:val="003058CE"/>
    <w:rsid w:val="00305C46"/>
    <w:rsid w:val="00305C72"/>
    <w:rsid w:val="00305D43"/>
    <w:rsid w:val="00305F4B"/>
    <w:rsid w:val="00305FD4"/>
    <w:rsid w:val="003060A7"/>
    <w:rsid w:val="003060B8"/>
    <w:rsid w:val="003061F7"/>
    <w:rsid w:val="0030626A"/>
    <w:rsid w:val="0030673A"/>
    <w:rsid w:val="0030679B"/>
    <w:rsid w:val="0030693B"/>
    <w:rsid w:val="003069C6"/>
    <w:rsid w:val="003069E3"/>
    <w:rsid w:val="00306A5F"/>
    <w:rsid w:val="00306BBC"/>
    <w:rsid w:val="00306E53"/>
    <w:rsid w:val="003070DF"/>
    <w:rsid w:val="0030719E"/>
    <w:rsid w:val="00307261"/>
    <w:rsid w:val="003072B0"/>
    <w:rsid w:val="00307511"/>
    <w:rsid w:val="003075B8"/>
    <w:rsid w:val="003075BA"/>
    <w:rsid w:val="0030764D"/>
    <w:rsid w:val="003077EF"/>
    <w:rsid w:val="00307AB6"/>
    <w:rsid w:val="00307B2F"/>
    <w:rsid w:val="00307D47"/>
    <w:rsid w:val="00307EED"/>
    <w:rsid w:val="00307FC8"/>
    <w:rsid w:val="0031015E"/>
    <w:rsid w:val="003108A8"/>
    <w:rsid w:val="003108CC"/>
    <w:rsid w:val="0031095D"/>
    <w:rsid w:val="00310E40"/>
    <w:rsid w:val="003110B2"/>
    <w:rsid w:val="00311237"/>
    <w:rsid w:val="0031136A"/>
    <w:rsid w:val="003113C3"/>
    <w:rsid w:val="0031143F"/>
    <w:rsid w:val="00311457"/>
    <w:rsid w:val="003114BB"/>
    <w:rsid w:val="003119E4"/>
    <w:rsid w:val="00311C77"/>
    <w:rsid w:val="00311D91"/>
    <w:rsid w:val="003123E3"/>
    <w:rsid w:val="00312432"/>
    <w:rsid w:val="0031245A"/>
    <w:rsid w:val="00312595"/>
    <w:rsid w:val="003125C3"/>
    <w:rsid w:val="003126F7"/>
    <w:rsid w:val="003129BD"/>
    <w:rsid w:val="00312AAD"/>
    <w:rsid w:val="00312ACD"/>
    <w:rsid w:val="00312C3B"/>
    <w:rsid w:val="00312CBB"/>
    <w:rsid w:val="00312D4A"/>
    <w:rsid w:val="0031308F"/>
    <w:rsid w:val="0031340C"/>
    <w:rsid w:val="00313470"/>
    <w:rsid w:val="003135C8"/>
    <w:rsid w:val="0031372F"/>
    <w:rsid w:val="00313960"/>
    <w:rsid w:val="003139C7"/>
    <w:rsid w:val="00313B78"/>
    <w:rsid w:val="00313D1F"/>
    <w:rsid w:val="00314018"/>
    <w:rsid w:val="003147E2"/>
    <w:rsid w:val="003151C9"/>
    <w:rsid w:val="003151D3"/>
    <w:rsid w:val="00315284"/>
    <w:rsid w:val="00315293"/>
    <w:rsid w:val="00315319"/>
    <w:rsid w:val="00315333"/>
    <w:rsid w:val="00315509"/>
    <w:rsid w:val="00315AF8"/>
    <w:rsid w:val="00315C17"/>
    <w:rsid w:val="00316345"/>
    <w:rsid w:val="00316356"/>
    <w:rsid w:val="00316409"/>
    <w:rsid w:val="003169FD"/>
    <w:rsid w:val="00316A0E"/>
    <w:rsid w:val="00316AA3"/>
    <w:rsid w:val="00316AD5"/>
    <w:rsid w:val="00316DC8"/>
    <w:rsid w:val="00316EAA"/>
    <w:rsid w:val="00316ECF"/>
    <w:rsid w:val="00316F14"/>
    <w:rsid w:val="003177D0"/>
    <w:rsid w:val="0031780B"/>
    <w:rsid w:val="003178E9"/>
    <w:rsid w:val="00317AAE"/>
    <w:rsid w:val="00317BB8"/>
    <w:rsid w:val="00317D82"/>
    <w:rsid w:val="00317E2A"/>
    <w:rsid w:val="0032012F"/>
    <w:rsid w:val="00320150"/>
    <w:rsid w:val="0032026B"/>
    <w:rsid w:val="00320485"/>
    <w:rsid w:val="00320486"/>
    <w:rsid w:val="0032063A"/>
    <w:rsid w:val="003206D7"/>
    <w:rsid w:val="00320DBF"/>
    <w:rsid w:val="00320ED0"/>
    <w:rsid w:val="00321031"/>
    <w:rsid w:val="003213C8"/>
    <w:rsid w:val="003215B6"/>
    <w:rsid w:val="00321675"/>
    <w:rsid w:val="003217AB"/>
    <w:rsid w:val="003217B5"/>
    <w:rsid w:val="003219BA"/>
    <w:rsid w:val="00321B6B"/>
    <w:rsid w:val="00321DB2"/>
    <w:rsid w:val="00321FAA"/>
    <w:rsid w:val="00321FC7"/>
    <w:rsid w:val="00322004"/>
    <w:rsid w:val="003220E7"/>
    <w:rsid w:val="00322124"/>
    <w:rsid w:val="003221BA"/>
    <w:rsid w:val="003225E8"/>
    <w:rsid w:val="003226D5"/>
    <w:rsid w:val="0032274F"/>
    <w:rsid w:val="00322849"/>
    <w:rsid w:val="00322894"/>
    <w:rsid w:val="003228EC"/>
    <w:rsid w:val="003229D7"/>
    <w:rsid w:val="00322CCB"/>
    <w:rsid w:val="00322D8D"/>
    <w:rsid w:val="00322E54"/>
    <w:rsid w:val="00322E79"/>
    <w:rsid w:val="00322E8E"/>
    <w:rsid w:val="00322EDB"/>
    <w:rsid w:val="00323580"/>
    <w:rsid w:val="003238C4"/>
    <w:rsid w:val="00323902"/>
    <w:rsid w:val="00323988"/>
    <w:rsid w:val="00323A42"/>
    <w:rsid w:val="00323BD6"/>
    <w:rsid w:val="00323EAD"/>
    <w:rsid w:val="00323F60"/>
    <w:rsid w:val="00323FA7"/>
    <w:rsid w:val="003240F8"/>
    <w:rsid w:val="0032422F"/>
    <w:rsid w:val="00324395"/>
    <w:rsid w:val="00324683"/>
    <w:rsid w:val="003246A0"/>
    <w:rsid w:val="003247D4"/>
    <w:rsid w:val="003249AE"/>
    <w:rsid w:val="00324A71"/>
    <w:rsid w:val="00324D09"/>
    <w:rsid w:val="0032512E"/>
    <w:rsid w:val="00325292"/>
    <w:rsid w:val="00325681"/>
    <w:rsid w:val="003256F2"/>
    <w:rsid w:val="0032594D"/>
    <w:rsid w:val="003259CA"/>
    <w:rsid w:val="00325AB1"/>
    <w:rsid w:val="00325EBA"/>
    <w:rsid w:val="00326016"/>
    <w:rsid w:val="0032603C"/>
    <w:rsid w:val="00326073"/>
    <w:rsid w:val="003262E4"/>
    <w:rsid w:val="00326575"/>
    <w:rsid w:val="003266DA"/>
    <w:rsid w:val="003267C9"/>
    <w:rsid w:val="00326B7E"/>
    <w:rsid w:val="00326C04"/>
    <w:rsid w:val="0032709E"/>
    <w:rsid w:val="003270CE"/>
    <w:rsid w:val="00327121"/>
    <w:rsid w:val="003271FD"/>
    <w:rsid w:val="00327291"/>
    <w:rsid w:val="0032730D"/>
    <w:rsid w:val="00327375"/>
    <w:rsid w:val="00327596"/>
    <w:rsid w:val="00327778"/>
    <w:rsid w:val="00327A80"/>
    <w:rsid w:val="00327AF5"/>
    <w:rsid w:val="00330044"/>
    <w:rsid w:val="00330066"/>
    <w:rsid w:val="003303CE"/>
    <w:rsid w:val="00330499"/>
    <w:rsid w:val="0033069F"/>
    <w:rsid w:val="00330717"/>
    <w:rsid w:val="003307AF"/>
    <w:rsid w:val="00330911"/>
    <w:rsid w:val="00330AC3"/>
    <w:rsid w:val="00330AFF"/>
    <w:rsid w:val="00330B2A"/>
    <w:rsid w:val="00330FA4"/>
    <w:rsid w:val="00331233"/>
    <w:rsid w:val="003312CF"/>
    <w:rsid w:val="00331796"/>
    <w:rsid w:val="00331A8D"/>
    <w:rsid w:val="00331B1D"/>
    <w:rsid w:val="00331C05"/>
    <w:rsid w:val="00331C6E"/>
    <w:rsid w:val="00331CD3"/>
    <w:rsid w:val="00331D5D"/>
    <w:rsid w:val="00331F73"/>
    <w:rsid w:val="00332821"/>
    <w:rsid w:val="0033285C"/>
    <w:rsid w:val="00332A6C"/>
    <w:rsid w:val="00332B2C"/>
    <w:rsid w:val="00332C3F"/>
    <w:rsid w:val="00332D7C"/>
    <w:rsid w:val="00332E09"/>
    <w:rsid w:val="00332EDC"/>
    <w:rsid w:val="003330B1"/>
    <w:rsid w:val="003332A8"/>
    <w:rsid w:val="00333387"/>
    <w:rsid w:val="003335EB"/>
    <w:rsid w:val="0033363C"/>
    <w:rsid w:val="0033372B"/>
    <w:rsid w:val="00333834"/>
    <w:rsid w:val="00333DC2"/>
    <w:rsid w:val="00333DD1"/>
    <w:rsid w:val="00333EBF"/>
    <w:rsid w:val="0033430D"/>
    <w:rsid w:val="00334394"/>
    <w:rsid w:val="00334532"/>
    <w:rsid w:val="003345A1"/>
    <w:rsid w:val="003345BB"/>
    <w:rsid w:val="0033468F"/>
    <w:rsid w:val="00334887"/>
    <w:rsid w:val="00334B66"/>
    <w:rsid w:val="00334B83"/>
    <w:rsid w:val="00334C84"/>
    <w:rsid w:val="00334CB2"/>
    <w:rsid w:val="00334CCB"/>
    <w:rsid w:val="00334F45"/>
    <w:rsid w:val="00335056"/>
    <w:rsid w:val="00335202"/>
    <w:rsid w:val="003352AA"/>
    <w:rsid w:val="0033535D"/>
    <w:rsid w:val="0033536B"/>
    <w:rsid w:val="0033545E"/>
    <w:rsid w:val="0033553D"/>
    <w:rsid w:val="003357A2"/>
    <w:rsid w:val="00335F9E"/>
    <w:rsid w:val="00335FAA"/>
    <w:rsid w:val="00336013"/>
    <w:rsid w:val="00336119"/>
    <w:rsid w:val="00336183"/>
    <w:rsid w:val="00336245"/>
    <w:rsid w:val="0033626C"/>
    <w:rsid w:val="00336808"/>
    <w:rsid w:val="00336954"/>
    <w:rsid w:val="00336986"/>
    <w:rsid w:val="00336A11"/>
    <w:rsid w:val="00336CF8"/>
    <w:rsid w:val="00336DAD"/>
    <w:rsid w:val="0033707D"/>
    <w:rsid w:val="003370A1"/>
    <w:rsid w:val="00337213"/>
    <w:rsid w:val="00337218"/>
    <w:rsid w:val="00337278"/>
    <w:rsid w:val="003372BC"/>
    <w:rsid w:val="00337396"/>
    <w:rsid w:val="003373E5"/>
    <w:rsid w:val="00337460"/>
    <w:rsid w:val="00337602"/>
    <w:rsid w:val="003378EF"/>
    <w:rsid w:val="00337A81"/>
    <w:rsid w:val="00337AD5"/>
    <w:rsid w:val="00337B85"/>
    <w:rsid w:val="00337BED"/>
    <w:rsid w:val="00337C1F"/>
    <w:rsid w:val="00337D1F"/>
    <w:rsid w:val="00337E61"/>
    <w:rsid w:val="00340715"/>
    <w:rsid w:val="003407AA"/>
    <w:rsid w:val="00340842"/>
    <w:rsid w:val="00340910"/>
    <w:rsid w:val="00340956"/>
    <w:rsid w:val="00340978"/>
    <w:rsid w:val="00340A6F"/>
    <w:rsid w:val="00340CED"/>
    <w:rsid w:val="00340D4A"/>
    <w:rsid w:val="00340D57"/>
    <w:rsid w:val="00340FD6"/>
    <w:rsid w:val="00341229"/>
    <w:rsid w:val="003412BA"/>
    <w:rsid w:val="003414D3"/>
    <w:rsid w:val="0034163B"/>
    <w:rsid w:val="00341B1A"/>
    <w:rsid w:val="00341B20"/>
    <w:rsid w:val="00341DAF"/>
    <w:rsid w:val="00341FE7"/>
    <w:rsid w:val="0034212B"/>
    <w:rsid w:val="003424F0"/>
    <w:rsid w:val="0034262C"/>
    <w:rsid w:val="003428F4"/>
    <w:rsid w:val="00342BBE"/>
    <w:rsid w:val="00342CB8"/>
    <w:rsid w:val="00342CD5"/>
    <w:rsid w:val="00342DB9"/>
    <w:rsid w:val="0034302D"/>
    <w:rsid w:val="00343179"/>
    <w:rsid w:val="003431DE"/>
    <w:rsid w:val="0034343F"/>
    <w:rsid w:val="0034357C"/>
    <w:rsid w:val="00343622"/>
    <w:rsid w:val="00343666"/>
    <w:rsid w:val="003439DA"/>
    <w:rsid w:val="003439FE"/>
    <w:rsid w:val="00343A94"/>
    <w:rsid w:val="00343E86"/>
    <w:rsid w:val="00343F87"/>
    <w:rsid w:val="003442B6"/>
    <w:rsid w:val="003443D3"/>
    <w:rsid w:val="003443E7"/>
    <w:rsid w:val="0034449B"/>
    <w:rsid w:val="003444EC"/>
    <w:rsid w:val="0034479C"/>
    <w:rsid w:val="0034493F"/>
    <w:rsid w:val="0034496D"/>
    <w:rsid w:val="00344A48"/>
    <w:rsid w:val="00344A54"/>
    <w:rsid w:val="00344AF4"/>
    <w:rsid w:val="00344AF8"/>
    <w:rsid w:val="00344C57"/>
    <w:rsid w:val="00344CD5"/>
    <w:rsid w:val="00344D12"/>
    <w:rsid w:val="00344D56"/>
    <w:rsid w:val="00344E6B"/>
    <w:rsid w:val="00344FA2"/>
    <w:rsid w:val="00345013"/>
    <w:rsid w:val="00345095"/>
    <w:rsid w:val="00345264"/>
    <w:rsid w:val="003453CC"/>
    <w:rsid w:val="003457D0"/>
    <w:rsid w:val="003458E7"/>
    <w:rsid w:val="00345ABD"/>
    <w:rsid w:val="00345CC1"/>
    <w:rsid w:val="00345D31"/>
    <w:rsid w:val="00345DDA"/>
    <w:rsid w:val="00345E6E"/>
    <w:rsid w:val="00345EA4"/>
    <w:rsid w:val="00345F8C"/>
    <w:rsid w:val="00345FBB"/>
    <w:rsid w:val="00345FDC"/>
    <w:rsid w:val="00346142"/>
    <w:rsid w:val="003463DE"/>
    <w:rsid w:val="00346554"/>
    <w:rsid w:val="0034657E"/>
    <w:rsid w:val="00346773"/>
    <w:rsid w:val="003467FE"/>
    <w:rsid w:val="003468D9"/>
    <w:rsid w:val="00346941"/>
    <w:rsid w:val="0034695F"/>
    <w:rsid w:val="00346BC1"/>
    <w:rsid w:val="00346F1B"/>
    <w:rsid w:val="00347015"/>
    <w:rsid w:val="0034701F"/>
    <w:rsid w:val="00347095"/>
    <w:rsid w:val="00347167"/>
    <w:rsid w:val="00347527"/>
    <w:rsid w:val="00347559"/>
    <w:rsid w:val="00347613"/>
    <w:rsid w:val="00347802"/>
    <w:rsid w:val="0034783E"/>
    <w:rsid w:val="00347CF7"/>
    <w:rsid w:val="00347EAB"/>
    <w:rsid w:val="00347F51"/>
    <w:rsid w:val="0035028C"/>
    <w:rsid w:val="00350693"/>
    <w:rsid w:val="003507F7"/>
    <w:rsid w:val="0035083D"/>
    <w:rsid w:val="003508A4"/>
    <w:rsid w:val="00350939"/>
    <w:rsid w:val="00350958"/>
    <w:rsid w:val="00350AB9"/>
    <w:rsid w:val="00350C13"/>
    <w:rsid w:val="00350DD1"/>
    <w:rsid w:val="00351266"/>
    <w:rsid w:val="003512FD"/>
    <w:rsid w:val="00351421"/>
    <w:rsid w:val="0035142D"/>
    <w:rsid w:val="003514E3"/>
    <w:rsid w:val="00351507"/>
    <w:rsid w:val="00351966"/>
    <w:rsid w:val="00352008"/>
    <w:rsid w:val="0035207A"/>
    <w:rsid w:val="00352194"/>
    <w:rsid w:val="003521A6"/>
    <w:rsid w:val="00352AB4"/>
    <w:rsid w:val="00352C02"/>
    <w:rsid w:val="00352C4F"/>
    <w:rsid w:val="00352C7F"/>
    <w:rsid w:val="00352E3B"/>
    <w:rsid w:val="00352FFF"/>
    <w:rsid w:val="0035328B"/>
    <w:rsid w:val="00353298"/>
    <w:rsid w:val="00353353"/>
    <w:rsid w:val="00353401"/>
    <w:rsid w:val="0035375D"/>
    <w:rsid w:val="003538B8"/>
    <w:rsid w:val="00353A39"/>
    <w:rsid w:val="00353BBE"/>
    <w:rsid w:val="00353E4F"/>
    <w:rsid w:val="00353F1F"/>
    <w:rsid w:val="00353F7E"/>
    <w:rsid w:val="00354291"/>
    <w:rsid w:val="0035442A"/>
    <w:rsid w:val="003545BF"/>
    <w:rsid w:val="003550FC"/>
    <w:rsid w:val="00355453"/>
    <w:rsid w:val="0035594C"/>
    <w:rsid w:val="00355A81"/>
    <w:rsid w:val="00355AF7"/>
    <w:rsid w:val="003561DC"/>
    <w:rsid w:val="00356497"/>
    <w:rsid w:val="003564E8"/>
    <w:rsid w:val="003566B6"/>
    <w:rsid w:val="00356789"/>
    <w:rsid w:val="00356926"/>
    <w:rsid w:val="00356B35"/>
    <w:rsid w:val="00356BC0"/>
    <w:rsid w:val="00356D3F"/>
    <w:rsid w:val="003571A2"/>
    <w:rsid w:val="00357203"/>
    <w:rsid w:val="0035720E"/>
    <w:rsid w:val="00357262"/>
    <w:rsid w:val="00357B20"/>
    <w:rsid w:val="00357B22"/>
    <w:rsid w:val="00357DD5"/>
    <w:rsid w:val="00357FD5"/>
    <w:rsid w:val="003601BE"/>
    <w:rsid w:val="003601FD"/>
    <w:rsid w:val="0036024F"/>
    <w:rsid w:val="003602FE"/>
    <w:rsid w:val="0036037A"/>
    <w:rsid w:val="003604C6"/>
    <w:rsid w:val="003604F8"/>
    <w:rsid w:val="003605B2"/>
    <w:rsid w:val="003608D6"/>
    <w:rsid w:val="00360A00"/>
    <w:rsid w:val="00360C92"/>
    <w:rsid w:val="00360E8B"/>
    <w:rsid w:val="00360F16"/>
    <w:rsid w:val="0036109C"/>
    <w:rsid w:val="00361181"/>
    <w:rsid w:val="0036123F"/>
    <w:rsid w:val="00361261"/>
    <w:rsid w:val="0036135B"/>
    <w:rsid w:val="00361377"/>
    <w:rsid w:val="003616FD"/>
    <w:rsid w:val="00361936"/>
    <w:rsid w:val="00361AE6"/>
    <w:rsid w:val="00361AF3"/>
    <w:rsid w:val="00361DB7"/>
    <w:rsid w:val="00361F3F"/>
    <w:rsid w:val="00362398"/>
    <w:rsid w:val="0036240F"/>
    <w:rsid w:val="003624F1"/>
    <w:rsid w:val="00362893"/>
    <w:rsid w:val="00362CAA"/>
    <w:rsid w:val="00362E08"/>
    <w:rsid w:val="00362E68"/>
    <w:rsid w:val="00362F93"/>
    <w:rsid w:val="0036300D"/>
    <w:rsid w:val="00363162"/>
    <w:rsid w:val="003632EC"/>
    <w:rsid w:val="0036345E"/>
    <w:rsid w:val="00363567"/>
    <w:rsid w:val="0036374B"/>
    <w:rsid w:val="003638C4"/>
    <w:rsid w:val="003638E1"/>
    <w:rsid w:val="003639F3"/>
    <w:rsid w:val="00363B20"/>
    <w:rsid w:val="00363C34"/>
    <w:rsid w:val="00363CD4"/>
    <w:rsid w:val="00363DEB"/>
    <w:rsid w:val="00363F00"/>
    <w:rsid w:val="00363F3D"/>
    <w:rsid w:val="0036410D"/>
    <w:rsid w:val="00364119"/>
    <w:rsid w:val="003641C6"/>
    <w:rsid w:val="00364263"/>
    <w:rsid w:val="003644E7"/>
    <w:rsid w:val="0036450C"/>
    <w:rsid w:val="003645D9"/>
    <w:rsid w:val="00364642"/>
    <w:rsid w:val="00364677"/>
    <w:rsid w:val="00364B85"/>
    <w:rsid w:val="00364CB3"/>
    <w:rsid w:val="00364FC1"/>
    <w:rsid w:val="003650FB"/>
    <w:rsid w:val="00365250"/>
    <w:rsid w:val="003652C4"/>
    <w:rsid w:val="0036577B"/>
    <w:rsid w:val="00365C93"/>
    <w:rsid w:val="00365CD0"/>
    <w:rsid w:val="00365D68"/>
    <w:rsid w:val="00365F93"/>
    <w:rsid w:val="00366144"/>
    <w:rsid w:val="00366190"/>
    <w:rsid w:val="00366330"/>
    <w:rsid w:val="003663AF"/>
    <w:rsid w:val="003663C4"/>
    <w:rsid w:val="003664D6"/>
    <w:rsid w:val="0036659F"/>
    <w:rsid w:val="00366804"/>
    <w:rsid w:val="0036680E"/>
    <w:rsid w:val="003668C8"/>
    <w:rsid w:val="00366B35"/>
    <w:rsid w:val="00366C70"/>
    <w:rsid w:val="00366E6C"/>
    <w:rsid w:val="00366FA1"/>
    <w:rsid w:val="00367082"/>
    <w:rsid w:val="00367300"/>
    <w:rsid w:val="0036744E"/>
    <w:rsid w:val="00367578"/>
    <w:rsid w:val="0036761A"/>
    <w:rsid w:val="003678F7"/>
    <w:rsid w:val="00367B7A"/>
    <w:rsid w:val="00367BA4"/>
    <w:rsid w:val="00367BD7"/>
    <w:rsid w:val="00367ECD"/>
    <w:rsid w:val="00367ECE"/>
    <w:rsid w:val="00370359"/>
    <w:rsid w:val="00370404"/>
    <w:rsid w:val="00370423"/>
    <w:rsid w:val="00370466"/>
    <w:rsid w:val="0037051E"/>
    <w:rsid w:val="003705E3"/>
    <w:rsid w:val="003707E0"/>
    <w:rsid w:val="00370958"/>
    <w:rsid w:val="00370B19"/>
    <w:rsid w:val="00370D82"/>
    <w:rsid w:val="00370DB9"/>
    <w:rsid w:val="00370FF4"/>
    <w:rsid w:val="003713F4"/>
    <w:rsid w:val="003716BF"/>
    <w:rsid w:val="003716C2"/>
    <w:rsid w:val="00371AB5"/>
    <w:rsid w:val="00371F18"/>
    <w:rsid w:val="00371FAE"/>
    <w:rsid w:val="003720CA"/>
    <w:rsid w:val="003720DC"/>
    <w:rsid w:val="00372225"/>
    <w:rsid w:val="00372606"/>
    <w:rsid w:val="00372891"/>
    <w:rsid w:val="0037289F"/>
    <w:rsid w:val="00372914"/>
    <w:rsid w:val="00372ADE"/>
    <w:rsid w:val="00372B9C"/>
    <w:rsid w:val="00372BE0"/>
    <w:rsid w:val="00373106"/>
    <w:rsid w:val="00373210"/>
    <w:rsid w:val="0037328F"/>
    <w:rsid w:val="0037355D"/>
    <w:rsid w:val="0037394A"/>
    <w:rsid w:val="003739F6"/>
    <w:rsid w:val="00373A62"/>
    <w:rsid w:val="00373D12"/>
    <w:rsid w:val="00373D17"/>
    <w:rsid w:val="00373FEC"/>
    <w:rsid w:val="00374175"/>
    <w:rsid w:val="00374716"/>
    <w:rsid w:val="003747BA"/>
    <w:rsid w:val="00374A21"/>
    <w:rsid w:val="00374A52"/>
    <w:rsid w:val="00374B25"/>
    <w:rsid w:val="00374FD6"/>
    <w:rsid w:val="00375293"/>
    <w:rsid w:val="003752CE"/>
    <w:rsid w:val="003753C5"/>
    <w:rsid w:val="00375555"/>
    <w:rsid w:val="003757AA"/>
    <w:rsid w:val="003758B5"/>
    <w:rsid w:val="0037592E"/>
    <w:rsid w:val="00375D97"/>
    <w:rsid w:val="00375E66"/>
    <w:rsid w:val="00375EC0"/>
    <w:rsid w:val="00376178"/>
    <w:rsid w:val="003761A8"/>
    <w:rsid w:val="003764E3"/>
    <w:rsid w:val="00376905"/>
    <w:rsid w:val="00376983"/>
    <w:rsid w:val="00376B34"/>
    <w:rsid w:val="00376B4E"/>
    <w:rsid w:val="00376CAF"/>
    <w:rsid w:val="00376E83"/>
    <w:rsid w:val="00376EE7"/>
    <w:rsid w:val="003770B2"/>
    <w:rsid w:val="003770C2"/>
    <w:rsid w:val="00377260"/>
    <w:rsid w:val="00377472"/>
    <w:rsid w:val="003774DE"/>
    <w:rsid w:val="0037780D"/>
    <w:rsid w:val="003778DA"/>
    <w:rsid w:val="00377B09"/>
    <w:rsid w:val="00377B92"/>
    <w:rsid w:val="00380007"/>
    <w:rsid w:val="00380335"/>
    <w:rsid w:val="00380574"/>
    <w:rsid w:val="0038058E"/>
    <w:rsid w:val="003805F2"/>
    <w:rsid w:val="003808E8"/>
    <w:rsid w:val="00380B16"/>
    <w:rsid w:val="00380BB3"/>
    <w:rsid w:val="00380E91"/>
    <w:rsid w:val="00381149"/>
    <w:rsid w:val="00381775"/>
    <w:rsid w:val="003817E3"/>
    <w:rsid w:val="003817FD"/>
    <w:rsid w:val="00381913"/>
    <w:rsid w:val="003819C1"/>
    <w:rsid w:val="00381A94"/>
    <w:rsid w:val="00381AC7"/>
    <w:rsid w:val="00381BFC"/>
    <w:rsid w:val="00381C38"/>
    <w:rsid w:val="00381D71"/>
    <w:rsid w:val="00381EDC"/>
    <w:rsid w:val="00381EEC"/>
    <w:rsid w:val="00381F42"/>
    <w:rsid w:val="00381FB9"/>
    <w:rsid w:val="00381FF8"/>
    <w:rsid w:val="003821D2"/>
    <w:rsid w:val="00382240"/>
    <w:rsid w:val="003824C0"/>
    <w:rsid w:val="003826D7"/>
    <w:rsid w:val="003827EA"/>
    <w:rsid w:val="00382C40"/>
    <w:rsid w:val="00382E6E"/>
    <w:rsid w:val="00383280"/>
    <w:rsid w:val="0038329F"/>
    <w:rsid w:val="0038331E"/>
    <w:rsid w:val="0038337D"/>
    <w:rsid w:val="00383442"/>
    <w:rsid w:val="0038359A"/>
    <w:rsid w:val="00383AC3"/>
    <w:rsid w:val="00384545"/>
    <w:rsid w:val="003845C7"/>
    <w:rsid w:val="0038465D"/>
    <w:rsid w:val="0038483A"/>
    <w:rsid w:val="00384A06"/>
    <w:rsid w:val="00384A6E"/>
    <w:rsid w:val="00384AD2"/>
    <w:rsid w:val="00384B29"/>
    <w:rsid w:val="00384D63"/>
    <w:rsid w:val="00384DBD"/>
    <w:rsid w:val="00384F4A"/>
    <w:rsid w:val="00385191"/>
    <w:rsid w:val="00385347"/>
    <w:rsid w:val="0038578C"/>
    <w:rsid w:val="00385A99"/>
    <w:rsid w:val="00385EDE"/>
    <w:rsid w:val="00385F2F"/>
    <w:rsid w:val="00386233"/>
    <w:rsid w:val="0038624E"/>
    <w:rsid w:val="003862D3"/>
    <w:rsid w:val="003862FA"/>
    <w:rsid w:val="0038652B"/>
    <w:rsid w:val="00386552"/>
    <w:rsid w:val="003868AE"/>
    <w:rsid w:val="00386A67"/>
    <w:rsid w:val="00386AD6"/>
    <w:rsid w:val="00386D79"/>
    <w:rsid w:val="00386F1A"/>
    <w:rsid w:val="00387087"/>
    <w:rsid w:val="00387093"/>
    <w:rsid w:val="0038756B"/>
    <w:rsid w:val="003875E8"/>
    <w:rsid w:val="0038766E"/>
    <w:rsid w:val="003877E0"/>
    <w:rsid w:val="003879F6"/>
    <w:rsid w:val="00387A12"/>
    <w:rsid w:val="00387A64"/>
    <w:rsid w:val="00387C88"/>
    <w:rsid w:val="00387D69"/>
    <w:rsid w:val="00387D84"/>
    <w:rsid w:val="0039030B"/>
    <w:rsid w:val="00390497"/>
    <w:rsid w:val="0039053B"/>
    <w:rsid w:val="0039068C"/>
    <w:rsid w:val="003906FD"/>
    <w:rsid w:val="00390753"/>
    <w:rsid w:val="00390983"/>
    <w:rsid w:val="003909B9"/>
    <w:rsid w:val="00390E40"/>
    <w:rsid w:val="00390ED0"/>
    <w:rsid w:val="00390F16"/>
    <w:rsid w:val="00391321"/>
    <w:rsid w:val="00391590"/>
    <w:rsid w:val="0039173C"/>
    <w:rsid w:val="00391868"/>
    <w:rsid w:val="00391C71"/>
    <w:rsid w:val="00391D2A"/>
    <w:rsid w:val="00391D7B"/>
    <w:rsid w:val="00391DAE"/>
    <w:rsid w:val="00391F17"/>
    <w:rsid w:val="00392187"/>
    <w:rsid w:val="003922CE"/>
    <w:rsid w:val="0039268D"/>
    <w:rsid w:val="003927F3"/>
    <w:rsid w:val="00392844"/>
    <w:rsid w:val="003928BE"/>
    <w:rsid w:val="00392B76"/>
    <w:rsid w:val="00392B83"/>
    <w:rsid w:val="00392CD5"/>
    <w:rsid w:val="00392CF4"/>
    <w:rsid w:val="00392DF3"/>
    <w:rsid w:val="00392ECC"/>
    <w:rsid w:val="0039321D"/>
    <w:rsid w:val="00393450"/>
    <w:rsid w:val="00393573"/>
    <w:rsid w:val="00393593"/>
    <w:rsid w:val="003937AC"/>
    <w:rsid w:val="00393907"/>
    <w:rsid w:val="003939F3"/>
    <w:rsid w:val="00393AC2"/>
    <w:rsid w:val="00393BED"/>
    <w:rsid w:val="00393EA2"/>
    <w:rsid w:val="00394716"/>
    <w:rsid w:val="003947A7"/>
    <w:rsid w:val="0039498C"/>
    <w:rsid w:val="00394A28"/>
    <w:rsid w:val="00394E49"/>
    <w:rsid w:val="00394E57"/>
    <w:rsid w:val="00394EBB"/>
    <w:rsid w:val="003950A2"/>
    <w:rsid w:val="00395266"/>
    <w:rsid w:val="0039554B"/>
    <w:rsid w:val="00395949"/>
    <w:rsid w:val="00395A32"/>
    <w:rsid w:val="00395E74"/>
    <w:rsid w:val="00395F79"/>
    <w:rsid w:val="00395FD9"/>
    <w:rsid w:val="003963E9"/>
    <w:rsid w:val="00396861"/>
    <w:rsid w:val="00396987"/>
    <w:rsid w:val="00396DA8"/>
    <w:rsid w:val="00396DE4"/>
    <w:rsid w:val="00396E38"/>
    <w:rsid w:val="00396F43"/>
    <w:rsid w:val="00396FDA"/>
    <w:rsid w:val="003971B6"/>
    <w:rsid w:val="003971E6"/>
    <w:rsid w:val="00397205"/>
    <w:rsid w:val="0039759B"/>
    <w:rsid w:val="00397E02"/>
    <w:rsid w:val="00397FD2"/>
    <w:rsid w:val="003A0236"/>
    <w:rsid w:val="003A02F4"/>
    <w:rsid w:val="003A0410"/>
    <w:rsid w:val="003A0795"/>
    <w:rsid w:val="003A07E0"/>
    <w:rsid w:val="003A08AD"/>
    <w:rsid w:val="003A0BB3"/>
    <w:rsid w:val="003A0BD6"/>
    <w:rsid w:val="003A0DE3"/>
    <w:rsid w:val="003A0F05"/>
    <w:rsid w:val="003A1522"/>
    <w:rsid w:val="003A1770"/>
    <w:rsid w:val="003A17BA"/>
    <w:rsid w:val="003A183D"/>
    <w:rsid w:val="003A18FB"/>
    <w:rsid w:val="003A1930"/>
    <w:rsid w:val="003A1C03"/>
    <w:rsid w:val="003A1CB9"/>
    <w:rsid w:val="003A1F0D"/>
    <w:rsid w:val="003A2099"/>
    <w:rsid w:val="003A227B"/>
    <w:rsid w:val="003A249A"/>
    <w:rsid w:val="003A24EB"/>
    <w:rsid w:val="003A2551"/>
    <w:rsid w:val="003A25A5"/>
    <w:rsid w:val="003A25F2"/>
    <w:rsid w:val="003A2786"/>
    <w:rsid w:val="003A2953"/>
    <w:rsid w:val="003A2AF0"/>
    <w:rsid w:val="003A2CB4"/>
    <w:rsid w:val="003A2D69"/>
    <w:rsid w:val="003A2E2E"/>
    <w:rsid w:val="003A2FE9"/>
    <w:rsid w:val="003A306F"/>
    <w:rsid w:val="003A318F"/>
    <w:rsid w:val="003A3480"/>
    <w:rsid w:val="003A3656"/>
    <w:rsid w:val="003A36B5"/>
    <w:rsid w:val="003A36F4"/>
    <w:rsid w:val="003A3769"/>
    <w:rsid w:val="003A3817"/>
    <w:rsid w:val="003A3A9B"/>
    <w:rsid w:val="003A3D12"/>
    <w:rsid w:val="003A3E32"/>
    <w:rsid w:val="003A3F86"/>
    <w:rsid w:val="003A4076"/>
    <w:rsid w:val="003A4290"/>
    <w:rsid w:val="003A43EB"/>
    <w:rsid w:val="003A4427"/>
    <w:rsid w:val="003A44D1"/>
    <w:rsid w:val="003A47E2"/>
    <w:rsid w:val="003A4800"/>
    <w:rsid w:val="003A4D64"/>
    <w:rsid w:val="003A4E98"/>
    <w:rsid w:val="003A5018"/>
    <w:rsid w:val="003A51C1"/>
    <w:rsid w:val="003A52B8"/>
    <w:rsid w:val="003A5432"/>
    <w:rsid w:val="003A5721"/>
    <w:rsid w:val="003A5977"/>
    <w:rsid w:val="003A59E9"/>
    <w:rsid w:val="003A5BD4"/>
    <w:rsid w:val="003A64BE"/>
    <w:rsid w:val="003A6574"/>
    <w:rsid w:val="003A6583"/>
    <w:rsid w:val="003A66F4"/>
    <w:rsid w:val="003A6837"/>
    <w:rsid w:val="003A6932"/>
    <w:rsid w:val="003A6C2A"/>
    <w:rsid w:val="003A6CD6"/>
    <w:rsid w:val="003A6CF5"/>
    <w:rsid w:val="003A6E33"/>
    <w:rsid w:val="003A6E7E"/>
    <w:rsid w:val="003A6EAD"/>
    <w:rsid w:val="003A700A"/>
    <w:rsid w:val="003A712D"/>
    <w:rsid w:val="003A71D5"/>
    <w:rsid w:val="003A747E"/>
    <w:rsid w:val="003A764C"/>
    <w:rsid w:val="003A779F"/>
    <w:rsid w:val="003A77A0"/>
    <w:rsid w:val="003A77A3"/>
    <w:rsid w:val="003A7C9A"/>
    <w:rsid w:val="003A7CC8"/>
    <w:rsid w:val="003A7E7B"/>
    <w:rsid w:val="003B0206"/>
    <w:rsid w:val="003B0925"/>
    <w:rsid w:val="003B0928"/>
    <w:rsid w:val="003B09A4"/>
    <w:rsid w:val="003B0A05"/>
    <w:rsid w:val="003B0A20"/>
    <w:rsid w:val="003B0A5D"/>
    <w:rsid w:val="003B0B02"/>
    <w:rsid w:val="003B0B2F"/>
    <w:rsid w:val="003B0BA4"/>
    <w:rsid w:val="003B0D72"/>
    <w:rsid w:val="003B0DAF"/>
    <w:rsid w:val="003B0FC3"/>
    <w:rsid w:val="003B0FDA"/>
    <w:rsid w:val="003B10D0"/>
    <w:rsid w:val="003B10DC"/>
    <w:rsid w:val="003B110B"/>
    <w:rsid w:val="003B1186"/>
    <w:rsid w:val="003B124D"/>
    <w:rsid w:val="003B145C"/>
    <w:rsid w:val="003B146B"/>
    <w:rsid w:val="003B14FD"/>
    <w:rsid w:val="003B1523"/>
    <w:rsid w:val="003B1846"/>
    <w:rsid w:val="003B1B72"/>
    <w:rsid w:val="003B1C23"/>
    <w:rsid w:val="003B1C7E"/>
    <w:rsid w:val="003B1DFC"/>
    <w:rsid w:val="003B1EA6"/>
    <w:rsid w:val="003B1EFB"/>
    <w:rsid w:val="003B2178"/>
    <w:rsid w:val="003B2538"/>
    <w:rsid w:val="003B266B"/>
    <w:rsid w:val="003B2AFB"/>
    <w:rsid w:val="003B2B40"/>
    <w:rsid w:val="003B2D44"/>
    <w:rsid w:val="003B2F32"/>
    <w:rsid w:val="003B3030"/>
    <w:rsid w:val="003B304C"/>
    <w:rsid w:val="003B30FB"/>
    <w:rsid w:val="003B3228"/>
    <w:rsid w:val="003B3237"/>
    <w:rsid w:val="003B3260"/>
    <w:rsid w:val="003B3291"/>
    <w:rsid w:val="003B3446"/>
    <w:rsid w:val="003B3595"/>
    <w:rsid w:val="003B3635"/>
    <w:rsid w:val="003B370B"/>
    <w:rsid w:val="003B372E"/>
    <w:rsid w:val="003B397E"/>
    <w:rsid w:val="003B3B3F"/>
    <w:rsid w:val="003B4154"/>
    <w:rsid w:val="003B4193"/>
    <w:rsid w:val="003B41EA"/>
    <w:rsid w:val="003B45A2"/>
    <w:rsid w:val="003B4667"/>
    <w:rsid w:val="003B46B5"/>
    <w:rsid w:val="003B472B"/>
    <w:rsid w:val="003B4797"/>
    <w:rsid w:val="003B4AA4"/>
    <w:rsid w:val="003B4AFA"/>
    <w:rsid w:val="003B4BE7"/>
    <w:rsid w:val="003B4D55"/>
    <w:rsid w:val="003B4D57"/>
    <w:rsid w:val="003B4F0E"/>
    <w:rsid w:val="003B51FF"/>
    <w:rsid w:val="003B53F9"/>
    <w:rsid w:val="003B5536"/>
    <w:rsid w:val="003B564C"/>
    <w:rsid w:val="003B56CB"/>
    <w:rsid w:val="003B58F9"/>
    <w:rsid w:val="003B59CB"/>
    <w:rsid w:val="003B5A54"/>
    <w:rsid w:val="003B5D07"/>
    <w:rsid w:val="003B6060"/>
    <w:rsid w:val="003B607F"/>
    <w:rsid w:val="003B6217"/>
    <w:rsid w:val="003B6233"/>
    <w:rsid w:val="003B6352"/>
    <w:rsid w:val="003B645F"/>
    <w:rsid w:val="003B665B"/>
    <w:rsid w:val="003B66F8"/>
    <w:rsid w:val="003B6985"/>
    <w:rsid w:val="003B6CA5"/>
    <w:rsid w:val="003B6DBC"/>
    <w:rsid w:val="003B6E28"/>
    <w:rsid w:val="003B7345"/>
    <w:rsid w:val="003B74DE"/>
    <w:rsid w:val="003B7519"/>
    <w:rsid w:val="003B7793"/>
    <w:rsid w:val="003B79F0"/>
    <w:rsid w:val="003B7B06"/>
    <w:rsid w:val="003B7B25"/>
    <w:rsid w:val="003B7B31"/>
    <w:rsid w:val="003B7B6B"/>
    <w:rsid w:val="003B7CD6"/>
    <w:rsid w:val="003B7D51"/>
    <w:rsid w:val="003B7F20"/>
    <w:rsid w:val="003C01EA"/>
    <w:rsid w:val="003C048A"/>
    <w:rsid w:val="003C0738"/>
    <w:rsid w:val="003C07A0"/>
    <w:rsid w:val="003C07A9"/>
    <w:rsid w:val="003C07B4"/>
    <w:rsid w:val="003C0851"/>
    <w:rsid w:val="003C09AF"/>
    <w:rsid w:val="003C0ADC"/>
    <w:rsid w:val="003C0F56"/>
    <w:rsid w:val="003C0FFF"/>
    <w:rsid w:val="003C11A0"/>
    <w:rsid w:val="003C12F6"/>
    <w:rsid w:val="003C146F"/>
    <w:rsid w:val="003C14C4"/>
    <w:rsid w:val="003C1504"/>
    <w:rsid w:val="003C1566"/>
    <w:rsid w:val="003C19E2"/>
    <w:rsid w:val="003C1C79"/>
    <w:rsid w:val="003C1E5E"/>
    <w:rsid w:val="003C1EB7"/>
    <w:rsid w:val="003C1FDE"/>
    <w:rsid w:val="003C20B0"/>
    <w:rsid w:val="003C215D"/>
    <w:rsid w:val="003C21F4"/>
    <w:rsid w:val="003C22FC"/>
    <w:rsid w:val="003C2334"/>
    <w:rsid w:val="003C246E"/>
    <w:rsid w:val="003C2528"/>
    <w:rsid w:val="003C25EE"/>
    <w:rsid w:val="003C27C6"/>
    <w:rsid w:val="003C29EE"/>
    <w:rsid w:val="003C2A0A"/>
    <w:rsid w:val="003C2AF8"/>
    <w:rsid w:val="003C2BFC"/>
    <w:rsid w:val="003C2E9E"/>
    <w:rsid w:val="003C2F65"/>
    <w:rsid w:val="003C306A"/>
    <w:rsid w:val="003C31FA"/>
    <w:rsid w:val="003C3246"/>
    <w:rsid w:val="003C3282"/>
    <w:rsid w:val="003C3331"/>
    <w:rsid w:val="003C36CC"/>
    <w:rsid w:val="003C39E1"/>
    <w:rsid w:val="003C3A5A"/>
    <w:rsid w:val="003C3D08"/>
    <w:rsid w:val="003C3F2E"/>
    <w:rsid w:val="003C4109"/>
    <w:rsid w:val="003C419F"/>
    <w:rsid w:val="003C4AD1"/>
    <w:rsid w:val="003C4B78"/>
    <w:rsid w:val="003C4CDA"/>
    <w:rsid w:val="003C4E12"/>
    <w:rsid w:val="003C4E1F"/>
    <w:rsid w:val="003C4E3A"/>
    <w:rsid w:val="003C5068"/>
    <w:rsid w:val="003C5140"/>
    <w:rsid w:val="003C54E5"/>
    <w:rsid w:val="003C5583"/>
    <w:rsid w:val="003C55DE"/>
    <w:rsid w:val="003C57CB"/>
    <w:rsid w:val="003C5D9C"/>
    <w:rsid w:val="003C611E"/>
    <w:rsid w:val="003C6188"/>
    <w:rsid w:val="003C6364"/>
    <w:rsid w:val="003C640E"/>
    <w:rsid w:val="003C65A9"/>
    <w:rsid w:val="003C6658"/>
    <w:rsid w:val="003C6A3A"/>
    <w:rsid w:val="003C6C91"/>
    <w:rsid w:val="003C6CAD"/>
    <w:rsid w:val="003C6D12"/>
    <w:rsid w:val="003C6D58"/>
    <w:rsid w:val="003C7390"/>
    <w:rsid w:val="003C76A6"/>
    <w:rsid w:val="003C77D0"/>
    <w:rsid w:val="003C78E8"/>
    <w:rsid w:val="003C7A17"/>
    <w:rsid w:val="003C7A1C"/>
    <w:rsid w:val="003C7A79"/>
    <w:rsid w:val="003C7BA7"/>
    <w:rsid w:val="003C7DD7"/>
    <w:rsid w:val="003C7FAD"/>
    <w:rsid w:val="003D02B9"/>
    <w:rsid w:val="003D0414"/>
    <w:rsid w:val="003D0B79"/>
    <w:rsid w:val="003D0EB9"/>
    <w:rsid w:val="003D10E5"/>
    <w:rsid w:val="003D11E1"/>
    <w:rsid w:val="003D1330"/>
    <w:rsid w:val="003D146B"/>
    <w:rsid w:val="003D149B"/>
    <w:rsid w:val="003D15C0"/>
    <w:rsid w:val="003D15E1"/>
    <w:rsid w:val="003D165A"/>
    <w:rsid w:val="003D17D0"/>
    <w:rsid w:val="003D198D"/>
    <w:rsid w:val="003D1C7A"/>
    <w:rsid w:val="003D1EB1"/>
    <w:rsid w:val="003D22DC"/>
    <w:rsid w:val="003D2357"/>
    <w:rsid w:val="003D24FD"/>
    <w:rsid w:val="003D25A8"/>
    <w:rsid w:val="003D25AF"/>
    <w:rsid w:val="003D2618"/>
    <w:rsid w:val="003D2A55"/>
    <w:rsid w:val="003D2A61"/>
    <w:rsid w:val="003D2C4B"/>
    <w:rsid w:val="003D2DA6"/>
    <w:rsid w:val="003D2F15"/>
    <w:rsid w:val="003D2FA5"/>
    <w:rsid w:val="003D2FC3"/>
    <w:rsid w:val="003D30B6"/>
    <w:rsid w:val="003D31A7"/>
    <w:rsid w:val="003D3309"/>
    <w:rsid w:val="003D358F"/>
    <w:rsid w:val="003D3689"/>
    <w:rsid w:val="003D3722"/>
    <w:rsid w:val="003D3EC9"/>
    <w:rsid w:val="003D4160"/>
    <w:rsid w:val="003D4200"/>
    <w:rsid w:val="003D43AF"/>
    <w:rsid w:val="003D469C"/>
    <w:rsid w:val="003D47D2"/>
    <w:rsid w:val="003D4EDC"/>
    <w:rsid w:val="003D4FF5"/>
    <w:rsid w:val="003D534C"/>
    <w:rsid w:val="003D5404"/>
    <w:rsid w:val="003D54C8"/>
    <w:rsid w:val="003D5B31"/>
    <w:rsid w:val="003D5B39"/>
    <w:rsid w:val="003D5C0D"/>
    <w:rsid w:val="003D5C6D"/>
    <w:rsid w:val="003D5DDC"/>
    <w:rsid w:val="003D60B9"/>
    <w:rsid w:val="003D6222"/>
    <w:rsid w:val="003D62C0"/>
    <w:rsid w:val="003D631C"/>
    <w:rsid w:val="003D6329"/>
    <w:rsid w:val="003D6764"/>
    <w:rsid w:val="003D693D"/>
    <w:rsid w:val="003D6992"/>
    <w:rsid w:val="003D69E5"/>
    <w:rsid w:val="003D6A1C"/>
    <w:rsid w:val="003D6AE1"/>
    <w:rsid w:val="003D6F59"/>
    <w:rsid w:val="003D700B"/>
    <w:rsid w:val="003D712F"/>
    <w:rsid w:val="003D78B4"/>
    <w:rsid w:val="003D7E30"/>
    <w:rsid w:val="003E0592"/>
    <w:rsid w:val="003E0887"/>
    <w:rsid w:val="003E0A8D"/>
    <w:rsid w:val="003E0BD5"/>
    <w:rsid w:val="003E0C30"/>
    <w:rsid w:val="003E0CCE"/>
    <w:rsid w:val="003E10AC"/>
    <w:rsid w:val="003E114A"/>
    <w:rsid w:val="003E123B"/>
    <w:rsid w:val="003E1520"/>
    <w:rsid w:val="003E163D"/>
    <w:rsid w:val="003E190E"/>
    <w:rsid w:val="003E1A08"/>
    <w:rsid w:val="003E1A4F"/>
    <w:rsid w:val="003E1A60"/>
    <w:rsid w:val="003E1F64"/>
    <w:rsid w:val="003E1FA2"/>
    <w:rsid w:val="003E2BF5"/>
    <w:rsid w:val="003E2C0A"/>
    <w:rsid w:val="003E2D00"/>
    <w:rsid w:val="003E2E59"/>
    <w:rsid w:val="003E31D5"/>
    <w:rsid w:val="003E329B"/>
    <w:rsid w:val="003E335E"/>
    <w:rsid w:val="003E3404"/>
    <w:rsid w:val="003E3732"/>
    <w:rsid w:val="003E391D"/>
    <w:rsid w:val="003E3ACF"/>
    <w:rsid w:val="003E3BDA"/>
    <w:rsid w:val="003E40B7"/>
    <w:rsid w:val="003E4442"/>
    <w:rsid w:val="003E453B"/>
    <w:rsid w:val="003E455F"/>
    <w:rsid w:val="003E45A0"/>
    <w:rsid w:val="003E4610"/>
    <w:rsid w:val="003E46AB"/>
    <w:rsid w:val="003E473F"/>
    <w:rsid w:val="003E47B3"/>
    <w:rsid w:val="003E4BBB"/>
    <w:rsid w:val="003E4D3F"/>
    <w:rsid w:val="003E4E1C"/>
    <w:rsid w:val="003E4E7F"/>
    <w:rsid w:val="003E4E9A"/>
    <w:rsid w:val="003E4FA9"/>
    <w:rsid w:val="003E52B0"/>
    <w:rsid w:val="003E5471"/>
    <w:rsid w:val="003E552E"/>
    <w:rsid w:val="003E56F5"/>
    <w:rsid w:val="003E57D6"/>
    <w:rsid w:val="003E58C4"/>
    <w:rsid w:val="003E59A0"/>
    <w:rsid w:val="003E5B45"/>
    <w:rsid w:val="003E5CB5"/>
    <w:rsid w:val="003E5D81"/>
    <w:rsid w:val="003E60CA"/>
    <w:rsid w:val="003E628C"/>
    <w:rsid w:val="003E65CB"/>
    <w:rsid w:val="003E6AB7"/>
    <w:rsid w:val="003E6C44"/>
    <w:rsid w:val="003E6C98"/>
    <w:rsid w:val="003E6DCA"/>
    <w:rsid w:val="003E6F9E"/>
    <w:rsid w:val="003E6FCC"/>
    <w:rsid w:val="003E721E"/>
    <w:rsid w:val="003E7241"/>
    <w:rsid w:val="003E76EE"/>
    <w:rsid w:val="003E7782"/>
    <w:rsid w:val="003E7810"/>
    <w:rsid w:val="003E78E5"/>
    <w:rsid w:val="003E7970"/>
    <w:rsid w:val="003E7BE8"/>
    <w:rsid w:val="003E7E0E"/>
    <w:rsid w:val="003E7E65"/>
    <w:rsid w:val="003E7F0B"/>
    <w:rsid w:val="003F0477"/>
    <w:rsid w:val="003F047B"/>
    <w:rsid w:val="003F049A"/>
    <w:rsid w:val="003F09F0"/>
    <w:rsid w:val="003F0B21"/>
    <w:rsid w:val="003F0CF4"/>
    <w:rsid w:val="003F0DF8"/>
    <w:rsid w:val="003F10E4"/>
    <w:rsid w:val="003F133D"/>
    <w:rsid w:val="003F1797"/>
    <w:rsid w:val="003F1869"/>
    <w:rsid w:val="003F1BB9"/>
    <w:rsid w:val="003F1BE4"/>
    <w:rsid w:val="003F1EA0"/>
    <w:rsid w:val="003F1F8F"/>
    <w:rsid w:val="003F1FF2"/>
    <w:rsid w:val="003F237E"/>
    <w:rsid w:val="003F2423"/>
    <w:rsid w:val="003F2570"/>
    <w:rsid w:val="003F261D"/>
    <w:rsid w:val="003F2678"/>
    <w:rsid w:val="003F2697"/>
    <w:rsid w:val="003F285E"/>
    <w:rsid w:val="003F292F"/>
    <w:rsid w:val="003F29E8"/>
    <w:rsid w:val="003F2B83"/>
    <w:rsid w:val="003F2C13"/>
    <w:rsid w:val="003F2CF6"/>
    <w:rsid w:val="003F2D54"/>
    <w:rsid w:val="003F2D5F"/>
    <w:rsid w:val="003F2F28"/>
    <w:rsid w:val="003F2F3C"/>
    <w:rsid w:val="003F2F7E"/>
    <w:rsid w:val="003F30D4"/>
    <w:rsid w:val="003F321E"/>
    <w:rsid w:val="003F33E4"/>
    <w:rsid w:val="003F353D"/>
    <w:rsid w:val="003F35D2"/>
    <w:rsid w:val="003F39D3"/>
    <w:rsid w:val="003F3AD0"/>
    <w:rsid w:val="003F3B62"/>
    <w:rsid w:val="003F3BCE"/>
    <w:rsid w:val="003F3BD8"/>
    <w:rsid w:val="003F3C21"/>
    <w:rsid w:val="003F3ED2"/>
    <w:rsid w:val="003F407E"/>
    <w:rsid w:val="003F42D3"/>
    <w:rsid w:val="003F4303"/>
    <w:rsid w:val="003F435E"/>
    <w:rsid w:val="003F4478"/>
    <w:rsid w:val="003F4741"/>
    <w:rsid w:val="003F4881"/>
    <w:rsid w:val="003F49D1"/>
    <w:rsid w:val="003F4A6D"/>
    <w:rsid w:val="003F4E69"/>
    <w:rsid w:val="003F4ECA"/>
    <w:rsid w:val="003F4F4E"/>
    <w:rsid w:val="003F4F5C"/>
    <w:rsid w:val="003F5439"/>
    <w:rsid w:val="003F559C"/>
    <w:rsid w:val="003F58D8"/>
    <w:rsid w:val="003F59CB"/>
    <w:rsid w:val="003F5B8C"/>
    <w:rsid w:val="003F5C57"/>
    <w:rsid w:val="003F604D"/>
    <w:rsid w:val="003F6058"/>
    <w:rsid w:val="003F606F"/>
    <w:rsid w:val="003F6132"/>
    <w:rsid w:val="003F6173"/>
    <w:rsid w:val="003F6622"/>
    <w:rsid w:val="003F6A27"/>
    <w:rsid w:val="003F6B77"/>
    <w:rsid w:val="003F6C67"/>
    <w:rsid w:val="003F6CAB"/>
    <w:rsid w:val="003F6DC0"/>
    <w:rsid w:val="003F6FAF"/>
    <w:rsid w:val="003F7012"/>
    <w:rsid w:val="003F7430"/>
    <w:rsid w:val="003F74E6"/>
    <w:rsid w:val="003F7550"/>
    <w:rsid w:val="003F789E"/>
    <w:rsid w:val="003F7C69"/>
    <w:rsid w:val="003F7F03"/>
    <w:rsid w:val="003F7F86"/>
    <w:rsid w:val="00400243"/>
    <w:rsid w:val="004003EF"/>
    <w:rsid w:val="00400461"/>
    <w:rsid w:val="004005A6"/>
    <w:rsid w:val="004006C1"/>
    <w:rsid w:val="004008D3"/>
    <w:rsid w:val="00400AFA"/>
    <w:rsid w:val="00400DE3"/>
    <w:rsid w:val="00400FAC"/>
    <w:rsid w:val="0040108F"/>
    <w:rsid w:val="004010E3"/>
    <w:rsid w:val="00401497"/>
    <w:rsid w:val="004017B9"/>
    <w:rsid w:val="004017E7"/>
    <w:rsid w:val="0040186D"/>
    <w:rsid w:val="004018C3"/>
    <w:rsid w:val="00401AD8"/>
    <w:rsid w:val="00401B59"/>
    <w:rsid w:val="00401C44"/>
    <w:rsid w:val="00401F04"/>
    <w:rsid w:val="00401F5A"/>
    <w:rsid w:val="00401F5B"/>
    <w:rsid w:val="00401F73"/>
    <w:rsid w:val="00401FFE"/>
    <w:rsid w:val="004020DB"/>
    <w:rsid w:val="004021DD"/>
    <w:rsid w:val="004021E0"/>
    <w:rsid w:val="00402597"/>
    <w:rsid w:val="004025EC"/>
    <w:rsid w:val="00402734"/>
    <w:rsid w:val="0040282C"/>
    <w:rsid w:val="00402A3D"/>
    <w:rsid w:val="00402B55"/>
    <w:rsid w:val="00402BE6"/>
    <w:rsid w:val="00402EE5"/>
    <w:rsid w:val="00403019"/>
    <w:rsid w:val="00403190"/>
    <w:rsid w:val="00403207"/>
    <w:rsid w:val="004032A9"/>
    <w:rsid w:val="004032EE"/>
    <w:rsid w:val="00403335"/>
    <w:rsid w:val="0040376A"/>
    <w:rsid w:val="0040409D"/>
    <w:rsid w:val="00404205"/>
    <w:rsid w:val="004044B6"/>
    <w:rsid w:val="0040456A"/>
    <w:rsid w:val="004048FD"/>
    <w:rsid w:val="00404B24"/>
    <w:rsid w:val="00404BD4"/>
    <w:rsid w:val="00404CBE"/>
    <w:rsid w:val="00404CC1"/>
    <w:rsid w:val="00404E6C"/>
    <w:rsid w:val="00404ED8"/>
    <w:rsid w:val="00405076"/>
    <w:rsid w:val="00405094"/>
    <w:rsid w:val="00405232"/>
    <w:rsid w:val="0040532A"/>
    <w:rsid w:val="00405372"/>
    <w:rsid w:val="0040559B"/>
    <w:rsid w:val="004055AE"/>
    <w:rsid w:val="0040568B"/>
    <w:rsid w:val="00405CC2"/>
    <w:rsid w:val="00405E51"/>
    <w:rsid w:val="0040601C"/>
    <w:rsid w:val="0040617A"/>
    <w:rsid w:val="004061F0"/>
    <w:rsid w:val="00406494"/>
    <w:rsid w:val="004064CE"/>
    <w:rsid w:val="00406A85"/>
    <w:rsid w:val="00406AEA"/>
    <w:rsid w:val="00406B0F"/>
    <w:rsid w:val="00406B6B"/>
    <w:rsid w:val="00406E9A"/>
    <w:rsid w:val="00406F61"/>
    <w:rsid w:val="0040703C"/>
    <w:rsid w:val="0040708B"/>
    <w:rsid w:val="0040729F"/>
    <w:rsid w:val="0040765C"/>
    <w:rsid w:val="004076BB"/>
    <w:rsid w:val="00407701"/>
    <w:rsid w:val="004079A1"/>
    <w:rsid w:val="00407A76"/>
    <w:rsid w:val="00407ACD"/>
    <w:rsid w:val="00407B51"/>
    <w:rsid w:val="00407D42"/>
    <w:rsid w:val="00407E87"/>
    <w:rsid w:val="004100E9"/>
    <w:rsid w:val="0041013C"/>
    <w:rsid w:val="004104FB"/>
    <w:rsid w:val="0041063C"/>
    <w:rsid w:val="00410645"/>
    <w:rsid w:val="0041074D"/>
    <w:rsid w:val="00410A60"/>
    <w:rsid w:val="00410CAE"/>
    <w:rsid w:val="00410E39"/>
    <w:rsid w:val="00410FF7"/>
    <w:rsid w:val="00411238"/>
    <w:rsid w:val="004113F6"/>
    <w:rsid w:val="004116E1"/>
    <w:rsid w:val="00411CD7"/>
    <w:rsid w:val="00411CDF"/>
    <w:rsid w:val="00411DC4"/>
    <w:rsid w:val="00412270"/>
    <w:rsid w:val="00412280"/>
    <w:rsid w:val="0041288F"/>
    <w:rsid w:val="004129D8"/>
    <w:rsid w:val="00412BDD"/>
    <w:rsid w:val="00412C03"/>
    <w:rsid w:val="00412F82"/>
    <w:rsid w:val="00412FD4"/>
    <w:rsid w:val="004130F4"/>
    <w:rsid w:val="00413363"/>
    <w:rsid w:val="004135F6"/>
    <w:rsid w:val="0041369B"/>
    <w:rsid w:val="00413965"/>
    <w:rsid w:val="00413A1E"/>
    <w:rsid w:val="00413A57"/>
    <w:rsid w:val="00413B88"/>
    <w:rsid w:val="00413B89"/>
    <w:rsid w:val="00413BCD"/>
    <w:rsid w:val="00413EF9"/>
    <w:rsid w:val="004140A7"/>
    <w:rsid w:val="00414E42"/>
    <w:rsid w:val="00414E89"/>
    <w:rsid w:val="00414EF8"/>
    <w:rsid w:val="00414F96"/>
    <w:rsid w:val="00414FFC"/>
    <w:rsid w:val="004151A0"/>
    <w:rsid w:val="004151D4"/>
    <w:rsid w:val="00415224"/>
    <w:rsid w:val="00415443"/>
    <w:rsid w:val="00415454"/>
    <w:rsid w:val="0041563F"/>
    <w:rsid w:val="004157D9"/>
    <w:rsid w:val="004158DB"/>
    <w:rsid w:val="00415929"/>
    <w:rsid w:val="004159D5"/>
    <w:rsid w:val="00415C49"/>
    <w:rsid w:val="00415ED4"/>
    <w:rsid w:val="00416131"/>
    <w:rsid w:val="00416162"/>
    <w:rsid w:val="00416593"/>
    <w:rsid w:val="004168C4"/>
    <w:rsid w:val="004168CE"/>
    <w:rsid w:val="00416B51"/>
    <w:rsid w:val="00417504"/>
    <w:rsid w:val="0041752A"/>
    <w:rsid w:val="004175A3"/>
    <w:rsid w:val="00417829"/>
    <w:rsid w:val="00417F5C"/>
    <w:rsid w:val="00420743"/>
    <w:rsid w:val="00420A1C"/>
    <w:rsid w:val="00420A32"/>
    <w:rsid w:val="00420BA9"/>
    <w:rsid w:val="00420BEC"/>
    <w:rsid w:val="00420C4C"/>
    <w:rsid w:val="00420D2A"/>
    <w:rsid w:val="00420F6F"/>
    <w:rsid w:val="00421179"/>
    <w:rsid w:val="00421205"/>
    <w:rsid w:val="004214B9"/>
    <w:rsid w:val="004216D0"/>
    <w:rsid w:val="00421709"/>
    <w:rsid w:val="004218DA"/>
    <w:rsid w:val="00421A77"/>
    <w:rsid w:val="00421A89"/>
    <w:rsid w:val="00421ABB"/>
    <w:rsid w:val="00421E96"/>
    <w:rsid w:val="00422137"/>
    <w:rsid w:val="00422214"/>
    <w:rsid w:val="00422263"/>
    <w:rsid w:val="004224AE"/>
    <w:rsid w:val="0042253A"/>
    <w:rsid w:val="00422927"/>
    <w:rsid w:val="00422973"/>
    <w:rsid w:val="00422C23"/>
    <w:rsid w:val="00422C6F"/>
    <w:rsid w:val="00422EF8"/>
    <w:rsid w:val="00422FEC"/>
    <w:rsid w:val="004230F6"/>
    <w:rsid w:val="00423290"/>
    <w:rsid w:val="004233D5"/>
    <w:rsid w:val="004234E0"/>
    <w:rsid w:val="004235AF"/>
    <w:rsid w:val="0042369B"/>
    <w:rsid w:val="004238EE"/>
    <w:rsid w:val="00423D23"/>
    <w:rsid w:val="00423DA3"/>
    <w:rsid w:val="00423E07"/>
    <w:rsid w:val="00423E2F"/>
    <w:rsid w:val="00423EC1"/>
    <w:rsid w:val="00423EF9"/>
    <w:rsid w:val="00423F14"/>
    <w:rsid w:val="00423F5C"/>
    <w:rsid w:val="004241C6"/>
    <w:rsid w:val="004242F5"/>
    <w:rsid w:val="00424524"/>
    <w:rsid w:val="0042472C"/>
    <w:rsid w:val="0042472D"/>
    <w:rsid w:val="00424C82"/>
    <w:rsid w:val="00424E3F"/>
    <w:rsid w:val="00424E50"/>
    <w:rsid w:val="00425060"/>
    <w:rsid w:val="004251E6"/>
    <w:rsid w:val="004254B4"/>
    <w:rsid w:val="00425573"/>
    <w:rsid w:val="004255B6"/>
    <w:rsid w:val="004255D5"/>
    <w:rsid w:val="00425618"/>
    <w:rsid w:val="00425A56"/>
    <w:rsid w:val="00425C4C"/>
    <w:rsid w:val="0042636A"/>
    <w:rsid w:val="00426682"/>
    <w:rsid w:val="00426972"/>
    <w:rsid w:val="00426AF3"/>
    <w:rsid w:val="00426E23"/>
    <w:rsid w:val="00426E48"/>
    <w:rsid w:val="0042722D"/>
    <w:rsid w:val="004276A1"/>
    <w:rsid w:val="004277EA"/>
    <w:rsid w:val="00427B40"/>
    <w:rsid w:val="00427C55"/>
    <w:rsid w:val="00427E03"/>
    <w:rsid w:val="0043029A"/>
    <w:rsid w:val="0043066E"/>
    <w:rsid w:val="0043095F"/>
    <w:rsid w:val="00430D04"/>
    <w:rsid w:val="00430E88"/>
    <w:rsid w:val="00430EB6"/>
    <w:rsid w:val="00431048"/>
    <w:rsid w:val="004312BC"/>
    <w:rsid w:val="004316DF"/>
    <w:rsid w:val="004316E9"/>
    <w:rsid w:val="00431855"/>
    <w:rsid w:val="00431974"/>
    <w:rsid w:val="004319D9"/>
    <w:rsid w:val="004319F9"/>
    <w:rsid w:val="00431AE1"/>
    <w:rsid w:val="00431BDE"/>
    <w:rsid w:val="00431DC7"/>
    <w:rsid w:val="00431EEC"/>
    <w:rsid w:val="00431FB5"/>
    <w:rsid w:val="00432059"/>
    <w:rsid w:val="00432502"/>
    <w:rsid w:val="0043261D"/>
    <w:rsid w:val="004328BF"/>
    <w:rsid w:val="004329D1"/>
    <w:rsid w:val="00432B30"/>
    <w:rsid w:val="00432C13"/>
    <w:rsid w:val="00432EB6"/>
    <w:rsid w:val="00432F63"/>
    <w:rsid w:val="00433136"/>
    <w:rsid w:val="004333BA"/>
    <w:rsid w:val="0043379D"/>
    <w:rsid w:val="00433C8D"/>
    <w:rsid w:val="00433CFD"/>
    <w:rsid w:val="00433F16"/>
    <w:rsid w:val="0043415A"/>
    <w:rsid w:val="00434224"/>
    <w:rsid w:val="0043432E"/>
    <w:rsid w:val="00434399"/>
    <w:rsid w:val="00434709"/>
    <w:rsid w:val="00434CDF"/>
    <w:rsid w:val="00434D3A"/>
    <w:rsid w:val="00434F10"/>
    <w:rsid w:val="00435171"/>
    <w:rsid w:val="004351FD"/>
    <w:rsid w:val="004355BA"/>
    <w:rsid w:val="00435A3E"/>
    <w:rsid w:val="00435AE4"/>
    <w:rsid w:val="00435C45"/>
    <w:rsid w:val="00435C64"/>
    <w:rsid w:val="00435D73"/>
    <w:rsid w:val="00435E9A"/>
    <w:rsid w:val="004360EA"/>
    <w:rsid w:val="0043611D"/>
    <w:rsid w:val="0043626A"/>
    <w:rsid w:val="004362FE"/>
    <w:rsid w:val="00436354"/>
    <w:rsid w:val="004364F9"/>
    <w:rsid w:val="00436598"/>
    <w:rsid w:val="004365BE"/>
    <w:rsid w:val="004365F1"/>
    <w:rsid w:val="004366B5"/>
    <w:rsid w:val="004367B3"/>
    <w:rsid w:val="00436A28"/>
    <w:rsid w:val="00436B0E"/>
    <w:rsid w:val="00436F3C"/>
    <w:rsid w:val="00436F43"/>
    <w:rsid w:val="00436FAA"/>
    <w:rsid w:val="00436FBD"/>
    <w:rsid w:val="00437027"/>
    <w:rsid w:val="004372CD"/>
    <w:rsid w:val="00437445"/>
    <w:rsid w:val="00437797"/>
    <w:rsid w:val="00437838"/>
    <w:rsid w:val="004379DD"/>
    <w:rsid w:val="00437A11"/>
    <w:rsid w:val="00437AEA"/>
    <w:rsid w:val="00437F91"/>
    <w:rsid w:val="0044029D"/>
    <w:rsid w:val="00440311"/>
    <w:rsid w:val="004403C7"/>
    <w:rsid w:val="00440590"/>
    <w:rsid w:val="004405A7"/>
    <w:rsid w:val="00440D73"/>
    <w:rsid w:val="004417E4"/>
    <w:rsid w:val="00441937"/>
    <w:rsid w:val="0044198B"/>
    <w:rsid w:val="004419C6"/>
    <w:rsid w:val="00441A1F"/>
    <w:rsid w:val="00441BC9"/>
    <w:rsid w:val="00441D78"/>
    <w:rsid w:val="00441E86"/>
    <w:rsid w:val="0044216E"/>
    <w:rsid w:val="004421A3"/>
    <w:rsid w:val="00442242"/>
    <w:rsid w:val="0044238F"/>
    <w:rsid w:val="004423B6"/>
    <w:rsid w:val="004423F0"/>
    <w:rsid w:val="00442590"/>
    <w:rsid w:val="00442620"/>
    <w:rsid w:val="0044263E"/>
    <w:rsid w:val="004428FF"/>
    <w:rsid w:val="00442A48"/>
    <w:rsid w:val="00442B0C"/>
    <w:rsid w:val="00442BF3"/>
    <w:rsid w:val="00442D03"/>
    <w:rsid w:val="00442D8C"/>
    <w:rsid w:val="00442E88"/>
    <w:rsid w:val="00442EE3"/>
    <w:rsid w:val="00443043"/>
    <w:rsid w:val="004430A1"/>
    <w:rsid w:val="004431CF"/>
    <w:rsid w:val="004432A1"/>
    <w:rsid w:val="004432E2"/>
    <w:rsid w:val="004433A3"/>
    <w:rsid w:val="0044348B"/>
    <w:rsid w:val="0044363C"/>
    <w:rsid w:val="004438A3"/>
    <w:rsid w:val="0044393D"/>
    <w:rsid w:val="00443D14"/>
    <w:rsid w:val="00443E6A"/>
    <w:rsid w:val="004444A4"/>
    <w:rsid w:val="00444746"/>
    <w:rsid w:val="0044497D"/>
    <w:rsid w:val="00444BDD"/>
    <w:rsid w:val="00444CAA"/>
    <w:rsid w:val="00444F04"/>
    <w:rsid w:val="00445116"/>
    <w:rsid w:val="004453A5"/>
    <w:rsid w:val="0044560C"/>
    <w:rsid w:val="00445612"/>
    <w:rsid w:val="004456E8"/>
    <w:rsid w:val="004462AB"/>
    <w:rsid w:val="0044689E"/>
    <w:rsid w:val="004468AC"/>
    <w:rsid w:val="004469F0"/>
    <w:rsid w:val="00446BF7"/>
    <w:rsid w:val="00446ED6"/>
    <w:rsid w:val="00447086"/>
    <w:rsid w:val="004470E2"/>
    <w:rsid w:val="004470FD"/>
    <w:rsid w:val="00447480"/>
    <w:rsid w:val="00447515"/>
    <w:rsid w:val="00447812"/>
    <w:rsid w:val="00447AA1"/>
    <w:rsid w:val="00447AC7"/>
    <w:rsid w:val="00447AD5"/>
    <w:rsid w:val="00447C4E"/>
    <w:rsid w:val="00447CCD"/>
    <w:rsid w:val="00447FDB"/>
    <w:rsid w:val="00447FFB"/>
    <w:rsid w:val="00450152"/>
    <w:rsid w:val="004501B5"/>
    <w:rsid w:val="0045029B"/>
    <w:rsid w:val="00450572"/>
    <w:rsid w:val="004506DC"/>
    <w:rsid w:val="00450737"/>
    <w:rsid w:val="00450798"/>
    <w:rsid w:val="00450C0B"/>
    <w:rsid w:val="00450E23"/>
    <w:rsid w:val="00450E71"/>
    <w:rsid w:val="00451085"/>
    <w:rsid w:val="004511B2"/>
    <w:rsid w:val="00451284"/>
    <w:rsid w:val="004515DE"/>
    <w:rsid w:val="00451946"/>
    <w:rsid w:val="00451B28"/>
    <w:rsid w:val="00451BA3"/>
    <w:rsid w:val="00451C6D"/>
    <w:rsid w:val="00451CB2"/>
    <w:rsid w:val="0045203C"/>
    <w:rsid w:val="00452426"/>
    <w:rsid w:val="00452518"/>
    <w:rsid w:val="0045253A"/>
    <w:rsid w:val="004527BA"/>
    <w:rsid w:val="004528B9"/>
    <w:rsid w:val="00452A6D"/>
    <w:rsid w:val="00452C9F"/>
    <w:rsid w:val="00452FA8"/>
    <w:rsid w:val="00452FAF"/>
    <w:rsid w:val="004534F8"/>
    <w:rsid w:val="004538BC"/>
    <w:rsid w:val="00453927"/>
    <w:rsid w:val="0045394C"/>
    <w:rsid w:val="0045397A"/>
    <w:rsid w:val="00453D4B"/>
    <w:rsid w:val="00453D88"/>
    <w:rsid w:val="00453E0D"/>
    <w:rsid w:val="00453F5B"/>
    <w:rsid w:val="00454018"/>
    <w:rsid w:val="0045402A"/>
    <w:rsid w:val="004541B2"/>
    <w:rsid w:val="00454231"/>
    <w:rsid w:val="0045436E"/>
    <w:rsid w:val="004543E2"/>
    <w:rsid w:val="0045482A"/>
    <w:rsid w:val="00454B7E"/>
    <w:rsid w:val="00454C8D"/>
    <w:rsid w:val="00454CD5"/>
    <w:rsid w:val="00454DE7"/>
    <w:rsid w:val="00455033"/>
    <w:rsid w:val="00455164"/>
    <w:rsid w:val="00455816"/>
    <w:rsid w:val="00455891"/>
    <w:rsid w:val="00455BBC"/>
    <w:rsid w:val="00455D09"/>
    <w:rsid w:val="004560FB"/>
    <w:rsid w:val="004565B9"/>
    <w:rsid w:val="00456AEB"/>
    <w:rsid w:val="00456B69"/>
    <w:rsid w:val="00456C74"/>
    <w:rsid w:val="00456EC0"/>
    <w:rsid w:val="0045718D"/>
    <w:rsid w:val="00457212"/>
    <w:rsid w:val="00457440"/>
    <w:rsid w:val="00457711"/>
    <w:rsid w:val="0045787C"/>
    <w:rsid w:val="00457980"/>
    <w:rsid w:val="00457A48"/>
    <w:rsid w:val="00457A8B"/>
    <w:rsid w:val="00457AA2"/>
    <w:rsid w:val="00457D18"/>
    <w:rsid w:val="00457D91"/>
    <w:rsid w:val="004600B5"/>
    <w:rsid w:val="004600F4"/>
    <w:rsid w:val="00460170"/>
    <w:rsid w:val="0046048E"/>
    <w:rsid w:val="004607CE"/>
    <w:rsid w:val="004607FD"/>
    <w:rsid w:val="0046098A"/>
    <w:rsid w:val="00460A20"/>
    <w:rsid w:val="00460B3A"/>
    <w:rsid w:val="00460C66"/>
    <w:rsid w:val="004611A6"/>
    <w:rsid w:val="004613FD"/>
    <w:rsid w:val="004614DD"/>
    <w:rsid w:val="00461589"/>
    <w:rsid w:val="004615FF"/>
    <w:rsid w:val="0046178A"/>
    <w:rsid w:val="004618B4"/>
    <w:rsid w:val="004618BA"/>
    <w:rsid w:val="00461A9F"/>
    <w:rsid w:val="00461BE0"/>
    <w:rsid w:val="004620B1"/>
    <w:rsid w:val="004622D8"/>
    <w:rsid w:val="00462318"/>
    <w:rsid w:val="0046268A"/>
    <w:rsid w:val="0046284C"/>
    <w:rsid w:val="00462954"/>
    <w:rsid w:val="0046296D"/>
    <w:rsid w:val="00462A24"/>
    <w:rsid w:val="00462D25"/>
    <w:rsid w:val="00462DFC"/>
    <w:rsid w:val="00463471"/>
    <w:rsid w:val="0046358E"/>
    <w:rsid w:val="00463836"/>
    <w:rsid w:val="0046384C"/>
    <w:rsid w:val="004638F5"/>
    <w:rsid w:val="00463942"/>
    <w:rsid w:val="00463A00"/>
    <w:rsid w:val="00463A70"/>
    <w:rsid w:val="00463BD7"/>
    <w:rsid w:val="00463C1C"/>
    <w:rsid w:val="00463C23"/>
    <w:rsid w:val="00463C82"/>
    <w:rsid w:val="00463D23"/>
    <w:rsid w:val="00464088"/>
    <w:rsid w:val="0046439A"/>
    <w:rsid w:val="0046459B"/>
    <w:rsid w:val="004647E7"/>
    <w:rsid w:val="00464E85"/>
    <w:rsid w:val="00464F36"/>
    <w:rsid w:val="004650F0"/>
    <w:rsid w:val="00465121"/>
    <w:rsid w:val="004652F4"/>
    <w:rsid w:val="00465622"/>
    <w:rsid w:val="004656AE"/>
    <w:rsid w:val="00465716"/>
    <w:rsid w:val="00465B88"/>
    <w:rsid w:val="00465C71"/>
    <w:rsid w:val="00465F49"/>
    <w:rsid w:val="00465F50"/>
    <w:rsid w:val="0046605C"/>
    <w:rsid w:val="004663A5"/>
    <w:rsid w:val="00466468"/>
    <w:rsid w:val="004666EF"/>
    <w:rsid w:val="00466736"/>
    <w:rsid w:val="00466841"/>
    <w:rsid w:val="00466AD5"/>
    <w:rsid w:val="00466AD9"/>
    <w:rsid w:val="00466B0D"/>
    <w:rsid w:val="00466B15"/>
    <w:rsid w:val="00466C24"/>
    <w:rsid w:val="00466C2E"/>
    <w:rsid w:val="00466D17"/>
    <w:rsid w:val="00466E95"/>
    <w:rsid w:val="0046744E"/>
    <w:rsid w:val="004675DF"/>
    <w:rsid w:val="0046781F"/>
    <w:rsid w:val="0046789F"/>
    <w:rsid w:val="004678C4"/>
    <w:rsid w:val="00467BED"/>
    <w:rsid w:val="00467C2D"/>
    <w:rsid w:val="00467C3D"/>
    <w:rsid w:val="00467DD5"/>
    <w:rsid w:val="00470048"/>
    <w:rsid w:val="004700A0"/>
    <w:rsid w:val="004702DE"/>
    <w:rsid w:val="0047093D"/>
    <w:rsid w:val="00470C6A"/>
    <w:rsid w:val="00470ECF"/>
    <w:rsid w:val="00470F8E"/>
    <w:rsid w:val="00470F91"/>
    <w:rsid w:val="0047103E"/>
    <w:rsid w:val="00471089"/>
    <w:rsid w:val="00471291"/>
    <w:rsid w:val="00471370"/>
    <w:rsid w:val="00471663"/>
    <w:rsid w:val="00471711"/>
    <w:rsid w:val="0047174F"/>
    <w:rsid w:val="00471769"/>
    <w:rsid w:val="0047179A"/>
    <w:rsid w:val="0047179D"/>
    <w:rsid w:val="00471C0C"/>
    <w:rsid w:val="00471CA0"/>
    <w:rsid w:val="00471CEC"/>
    <w:rsid w:val="00471D2A"/>
    <w:rsid w:val="00471DD6"/>
    <w:rsid w:val="00471F3A"/>
    <w:rsid w:val="00472021"/>
    <w:rsid w:val="004720D2"/>
    <w:rsid w:val="00472224"/>
    <w:rsid w:val="00472401"/>
    <w:rsid w:val="004724A8"/>
    <w:rsid w:val="004725C5"/>
    <w:rsid w:val="00472789"/>
    <w:rsid w:val="00472993"/>
    <w:rsid w:val="004729E1"/>
    <w:rsid w:val="00472A6C"/>
    <w:rsid w:val="00472AA9"/>
    <w:rsid w:val="00472BE9"/>
    <w:rsid w:val="00472C12"/>
    <w:rsid w:val="004731C0"/>
    <w:rsid w:val="004733F9"/>
    <w:rsid w:val="00473526"/>
    <w:rsid w:val="0047384F"/>
    <w:rsid w:val="0047388A"/>
    <w:rsid w:val="0047398F"/>
    <w:rsid w:val="00473C8C"/>
    <w:rsid w:val="00473D44"/>
    <w:rsid w:val="00474023"/>
    <w:rsid w:val="00474210"/>
    <w:rsid w:val="0047439E"/>
    <w:rsid w:val="00474511"/>
    <w:rsid w:val="00474677"/>
    <w:rsid w:val="00474740"/>
    <w:rsid w:val="004748CA"/>
    <w:rsid w:val="00474979"/>
    <w:rsid w:val="00474D91"/>
    <w:rsid w:val="00475533"/>
    <w:rsid w:val="004755DD"/>
    <w:rsid w:val="00475646"/>
    <w:rsid w:val="0047569C"/>
    <w:rsid w:val="00475757"/>
    <w:rsid w:val="0047578F"/>
    <w:rsid w:val="004758A8"/>
    <w:rsid w:val="00475A4C"/>
    <w:rsid w:val="00475B42"/>
    <w:rsid w:val="00475EB6"/>
    <w:rsid w:val="0047604C"/>
    <w:rsid w:val="00476131"/>
    <w:rsid w:val="004762E4"/>
    <w:rsid w:val="004763AC"/>
    <w:rsid w:val="0047646E"/>
    <w:rsid w:val="00476A90"/>
    <w:rsid w:val="00476D23"/>
    <w:rsid w:val="00476D8F"/>
    <w:rsid w:val="00476E7E"/>
    <w:rsid w:val="00476FB7"/>
    <w:rsid w:val="0047708B"/>
    <w:rsid w:val="004770AB"/>
    <w:rsid w:val="0047737A"/>
    <w:rsid w:val="004774E4"/>
    <w:rsid w:val="004775F1"/>
    <w:rsid w:val="004776B1"/>
    <w:rsid w:val="00477AC0"/>
    <w:rsid w:val="00477B61"/>
    <w:rsid w:val="00477CBB"/>
    <w:rsid w:val="00477EC6"/>
    <w:rsid w:val="00477F2A"/>
    <w:rsid w:val="00477FBA"/>
    <w:rsid w:val="00477FD5"/>
    <w:rsid w:val="0048005A"/>
    <w:rsid w:val="004800AD"/>
    <w:rsid w:val="004800B8"/>
    <w:rsid w:val="004803DD"/>
    <w:rsid w:val="00480541"/>
    <w:rsid w:val="004805C1"/>
    <w:rsid w:val="00480631"/>
    <w:rsid w:val="004806A4"/>
    <w:rsid w:val="00480B00"/>
    <w:rsid w:val="00480C19"/>
    <w:rsid w:val="00480F13"/>
    <w:rsid w:val="00481042"/>
    <w:rsid w:val="00481120"/>
    <w:rsid w:val="00481315"/>
    <w:rsid w:val="004816DB"/>
    <w:rsid w:val="004819F1"/>
    <w:rsid w:val="00481C7C"/>
    <w:rsid w:val="00481D5D"/>
    <w:rsid w:val="00481DB7"/>
    <w:rsid w:val="00481F37"/>
    <w:rsid w:val="0048210F"/>
    <w:rsid w:val="00482112"/>
    <w:rsid w:val="00482172"/>
    <w:rsid w:val="004821A6"/>
    <w:rsid w:val="004822A8"/>
    <w:rsid w:val="00482598"/>
    <w:rsid w:val="004825BC"/>
    <w:rsid w:val="0048283A"/>
    <w:rsid w:val="00482B72"/>
    <w:rsid w:val="00482B8D"/>
    <w:rsid w:val="00482BEC"/>
    <w:rsid w:val="00482DD8"/>
    <w:rsid w:val="00482DE9"/>
    <w:rsid w:val="00482E59"/>
    <w:rsid w:val="00482EF3"/>
    <w:rsid w:val="00483035"/>
    <w:rsid w:val="004833BA"/>
    <w:rsid w:val="0048363F"/>
    <w:rsid w:val="004836E4"/>
    <w:rsid w:val="00483736"/>
    <w:rsid w:val="00483765"/>
    <w:rsid w:val="00483983"/>
    <w:rsid w:val="004839C2"/>
    <w:rsid w:val="004839CA"/>
    <w:rsid w:val="00483BC6"/>
    <w:rsid w:val="00483EC8"/>
    <w:rsid w:val="00483F0A"/>
    <w:rsid w:val="00483FE7"/>
    <w:rsid w:val="004840A1"/>
    <w:rsid w:val="0048429D"/>
    <w:rsid w:val="004843E4"/>
    <w:rsid w:val="004845F1"/>
    <w:rsid w:val="004847B5"/>
    <w:rsid w:val="00484B14"/>
    <w:rsid w:val="00484B29"/>
    <w:rsid w:val="00484B9A"/>
    <w:rsid w:val="00484C9F"/>
    <w:rsid w:val="00484CE4"/>
    <w:rsid w:val="00485040"/>
    <w:rsid w:val="0048507F"/>
    <w:rsid w:val="0048520A"/>
    <w:rsid w:val="004853D0"/>
    <w:rsid w:val="00485493"/>
    <w:rsid w:val="00485532"/>
    <w:rsid w:val="00485DDD"/>
    <w:rsid w:val="00485FD4"/>
    <w:rsid w:val="004860C5"/>
    <w:rsid w:val="004861AA"/>
    <w:rsid w:val="0048637D"/>
    <w:rsid w:val="004864CA"/>
    <w:rsid w:val="004867FD"/>
    <w:rsid w:val="00486801"/>
    <w:rsid w:val="004869B7"/>
    <w:rsid w:val="00486AA2"/>
    <w:rsid w:val="00486BD0"/>
    <w:rsid w:val="00486C28"/>
    <w:rsid w:val="00486C63"/>
    <w:rsid w:val="00486C67"/>
    <w:rsid w:val="00486E8F"/>
    <w:rsid w:val="00486F92"/>
    <w:rsid w:val="00486FE8"/>
    <w:rsid w:val="00487144"/>
    <w:rsid w:val="0048737D"/>
    <w:rsid w:val="004874EE"/>
    <w:rsid w:val="00487676"/>
    <w:rsid w:val="00487837"/>
    <w:rsid w:val="00487994"/>
    <w:rsid w:val="00487B0A"/>
    <w:rsid w:val="00487CFC"/>
    <w:rsid w:val="00487E97"/>
    <w:rsid w:val="00487F33"/>
    <w:rsid w:val="00487FE2"/>
    <w:rsid w:val="004900EA"/>
    <w:rsid w:val="0049018A"/>
    <w:rsid w:val="004901DD"/>
    <w:rsid w:val="00490220"/>
    <w:rsid w:val="0049025D"/>
    <w:rsid w:val="0049051D"/>
    <w:rsid w:val="00490C60"/>
    <w:rsid w:val="00490D7E"/>
    <w:rsid w:val="00490F10"/>
    <w:rsid w:val="00491408"/>
    <w:rsid w:val="0049156F"/>
    <w:rsid w:val="00491888"/>
    <w:rsid w:val="00491945"/>
    <w:rsid w:val="00491BBD"/>
    <w:rsid w:val="00491C9B"/>
    <w:rsid w:val="0049209A"/>
    <w:rsid w:val="00492122"/>
    <w:rsid w:val="004921ED"/>
    <w:rsid w:val="00492219"/>
    <w:rsid w:val="00492339"/>
    <w:rsid w:val="004924E6"/>
    <w:rsid w:val="00492657"/>
    <w:rsid w:val="0049282A"/>
    <w:rsid w:val="004929D2"/>
    <w:rsid w:val="00492A31"/>
    <w:rsid w:val="00492B95"/>
    <w:rsid w:val="00492E36"/>
    <w:rsid w:val="00492FCE"/>
    <w:rsid w:val="004930A3"/>
    <w:rsid w:val="004930B6"/>
    <w:rsid w:val="00493380"/>
    <w:rsid w:val="0049361B"/>
    <w:rsid w:val="004938B7"/>
    <w:rsid w:val="00493B26"/>
    <w:rsid w:val="00493CE4"/>
    <w:rsid w:val="00493D2C"/>
    <w:rsid w:val="00493D73"/>
    <w:rsid w:val="00493DC0"/>
    <w:rsid w:val="00493E65"/>
    <w:rsid w:val="00493F31"/>
    <w:rsid w:val="00494345"/>
    <w:rsid w:val="0049438C"/>
    <w:rsid w:val="004943BB"/>
    <w:rsid w:val="004946D4"/>
    <w:rsid w:val="00494A52"/>
    <w:rsid w:val="00494EAC"/>
    <w:rsid w:val="00495051"/>
    <w:rsid w:val="00495231"/>
    <w:rsid w:val="00495304"/>
    <w:rsid w:val="004954B3"/>
    <w:rsid w:val="0049581F"/>
    <w:rsid w:val="00495CD2"/>
    <w:rsid w:val="00495DB5"/>
    <w:rsid w:val="00496003"/>
    <w:rsid w:val="0049612E"/>
    <w:rsid w:val="00496181"/>
    <w:rsid w:val="0049637E"/>
    <w:rsid w:val="004964C1"/>
    <w:rsid w:val="004965E6"/>
    <w:rsid w:val="004968C3"/>
    <w:rsid w:val="004968FD"/>
    <w:rsid w:val="004969C1"/>
    <w:rsid w:val="00496A45"/>
    <w:rsid w:val="00496ACC"/>
    <w:rsid w:val="00496B3F"/>
    <w:rsid w:val="00496C3C"/>
    <w:rsid w:val="00496EE8"/>
    <w:rsid w:val="00497050"/>
    <w:rsid w:val="00497223"/>
    <w:rsid w:val="0049753C"/>
    <w:rsid w:val="0049770A"/>
    <w:rsid w:val="004977B2"/>
    <w:rsid w:val="00497B69"/>
    <w:rsid w:val="00497CE8"/>
    <w:rsid w:val="00497E9F"/>
    <w:rsid w:val="00497F26"/>
    <w:rsid w:val="00497F73"/>
    <w:rsid w:val="004A0084"/>
    <w:rsid w:val="004A01C9"/>
    <w:rsid w:val="004A03DA"/>
    <w:rsid w:val="004A0586"/>
    <w:rsid w:val="004A0607"/>
    <w:rsid w:val="004A065F"/>
    <w:rsid w:val="004A09A3"/>
    <w:rsid w:val="004A0BBC"/>
    <w:rsid w:val="004A0E47"/>
    <w:rsid w:val="004A0EF1"/>
    <w:rsid w:val="004A1013"/>
    <w:rsid w:val="004A13FF"/>
    <w:rsid w:val="004A1519"/>
    <w:rsid w:val="004A16F7"/>
    <w:rsid w:val="004A18EE"/>
    <w:rsid w:val="004A190E"/>
    <w:rsid w:val="004A1C99"/>
    <w:rsid w:val="004A1F7F"/>
    <w:rsid w:val="004A1FB6"/>
    <w:rsid w:val="004A202F"/>
    <w:rsid w:val="004A2074"/>
    <w:rsid w:val="004A2215"/>
    <w:rsid w:val="004A2389"/>
    <w:rsid w:val="004A2514"/>
    <w:rsid w:val="004A252C"/>
    <w:rsid w:val="004A2695"/>
    <w:rsid w:val="004A26F0"/>
    <w:rsid w:val="004A26F3"/>
    <w:rsid w:val="004A2748"/>
    <w:rsid w:val="004A2835"/>
    <w:rsid w:val="004A2A5B"/>
    <w:rsid w:val="004A2C81"/>
    <w:rsid w:val="004A2D6D"/>
    <w:rsid w:val="004A2E9C"/>
    <w:rsid w:val="004A3013"/>
    <w:rsid w:val="004A3085"/>
    <w:rsid w:val="004A31D1"/>
    <w:rsid w:val="004A358A"/>
    <w:rsid w:val="004A363B"/>
    <w:rsid w:val="004A36AF"/>
    <w:rsid w:val="004A3746"/>
    <w:rsid w:val="004A3B0D"/>
    <w:rsid w:val="004A3CAA"/>
    <w:rsid w:val="004A3E3F"/>
    <w:rsid w:val="004A3EB9"/>
    <w:rsid w:val="004A40B9"/>
    <w:rsid w:val="004A4171"/>
    <w:rsid w:val="004A435D"/>
    <w:rsid w:val="004A437F"/>
    <w:rsid w:val="004A46CC"/>
    <w:rsid w:val="004A48DF"/>
    <w:rsid w:val="004A494A"/>
    <w:rsid w:val="004A4CAE"/>
    <w:rsid w:val="004A5234"/>
    <w:rsid w:val="004A52CC"/>
    <w:rsid w:val="004A531B"/>
    <w:rsid w:val="004A543D"/>
    <w:rsid w:val="004A5592"/>
    <w:rsid w:val="004A55D8"/>
    <w:rsid w:val="004A5637"/>
    <w:rsid w:val="004A564C"/>
    <w:rsid w:val="004A591C"/>
    <w:rsid w:val="004A5B8A"/>
    <w:rsid w:val="004A60C8"/>
    <w:rsid w:val="004A61CB"/>
    <w:rsid w:val="004A62A0"/>
    <w:rsid w:val="004A63A4"/>
    <w:rsid w:val="004A641A"/>
    <w:rsid w:val="004A64B3"/>
    <w:rsid w:val="004A65AC"/>
    <w:rsid w:val="004A6760"/>
    <w:rsid w:val="004A67A2"/>
    <w:rsid w:val="004A68EA"/>
    <w:rsid w:val="004A68F9"/>
    <w:rsid w:val="004A6A01"/>
    <w:rsid w:val="004A6AF3"/>
    <w:rsid w:val="004A6C76"/>
    <w:rsid w:val="004A6D0E"/>
    <w:rsid w:val="004A707C"/>
    <w:rsid w:val="004A71A0"/>
    <w:rsid w:val="004A76D9"/>
    <w:rsid w:val="004A7972"/>
    <w:rsid w:val="004A7A49"/>
    <w:rsid w:val="004A7A58"/>
    <w:rsid w:val="004A7C65"/>
    <w:rsid w:val="004A7D94"/>
    <w:rsid w:val="004A7DD6"/>
    <w:rsid w:val="004A7F12"/>
    <w:rsid w:val="004A7F6B"/>
    <w:rsid w:val="004B0128"/>
    <w:rsid w:val="004B0385"/>
    <w:rsid w:val="004B0428"/>
    <w:rsid w:val="004B04FA"/>
    <w:rsid w:val="004B068F"/>
    <w:rsid w:val="004B06DE"/>
    <w:rsid w:val="004B0AC1"/>
    <w:rsid w:val="004B0BD8"/>
    <w:rsid w:val="004B0FE0"/>
    <w:rsid w:val="004B10BD"/>
    <w:rsid w:val="004B1123"/>
    <w:rsid w:val="004B14D6"/>
    <w:rsid w:val="004B1572"/>
    <w:rsid w:val="004B178C"/>
    <w:rsid w:val="004B18A1"/>
    <w:rsid w:val="004B1BF1"/>
    <w:rsid w:val="004B1C66"/>
    <w:rsid w:val="004B1D9D"/>
    <w:rsid w:val="004B1E2A"/>
    <w:rsid w:val="004B1F44"/>
    <w:rsid w:val="004B1FF1"/>
    <w:rsid w:val="004B21E4"/>
    <w:rsid w:val="004B24FD"/>
    <w:rsid w:val="004B2861"/>
    <w:rsid w:val="004B2C0D"/>
    <w:rsid w:val="004B2DF9"/>
    <w:rsid w:val="004B2EC6"/>
    <w:rsid w:val="004B2FB2"/>
    <w:rsid w:val="004B2FF5"/>
    <w:rsid w:val="004B309C"/>
    <w:rsid w:val="004B30FB"/>
    <w:rsid w:val="004B3148"/>
    <w:rsid w:val="004B31DB"/>
    <w:rsid w:val="004B365D"/>
    <w:rsid w:val="004B3718"/>
    <w:rsid w:val="004B375B"/>
    <w:rsid w:val="004B3790"/>
    <w:rsid w:val="004B3997"/>
    <w:rsid w:val="004B39AD"/>
    <w:rsid w:val="004B39BB"/>
    <w:rsid w:val="004B3A95"/>
    <w:rsid w:val="004B3ADA"/>
    <w:rsid w:val="004B3C74"/>
    <w:rsid w:val="004B3CBC"/>
    <w:rsid w:val="004B3DE1"/>
    <w:rsid w:val="004B3F3B"/>
    <w:rsid w:val="004B3F45"/>
    <w:rsid w:val="004B3F64"/>
    <w:rsid w:val="004B4060"/>
    <w:rsid w:val="004B43CD"/>
    <w:rsid w:val="004B4451"/>
    <w:rsid w:val="004B45BF"/>
    <w:rsid w:val="004B468C"/>
    <w:rsid w:val="004B46DA"/>
    <w:rsid w:val="004B4B46"/>
    <w:rsid w:val="004B4B6D"/>
    <w:rsid w:val="004B4C5E"/>
    <w:rsid w:val="004B50C5"/>
    <w:rsid w:val="004B5104"/>
    <w:rsid w:val="004B565A"/>
    <w:rsid w:val="004B58F1"/>
    <w:rsid w:val="004B5B94"/>
    <w:rsid w:val="004B5DD5"/>
    <w:rsid w:val="004B5E35"/>
    <w:rsid w:val="004B5F01"/>
    <w:rsid w:val="004B5FB2"/>
    <w:rsid w:val="004B6346"/>
    <w:rsid w:val="004B6361"/>
    <w:rsid w:val="004B6372"/>
    <w:rsid w:val="004B6827"/>
    <w:rsid w:val="004B6958"/>
    <w:rsid w:val="004B6A45"/>
    <w:rsid w:val="004B6CEB"/>
    <w:rsid w:val="004B6DD7"/>
    <w:rsid w:val="004B6E1B"/>
    <w:rsid w:val="004B707D"/>
    <w:rsid w:val="004B7101"/>
    <w:rsid w:val="004B73C8"/>
    <w:rsid w:val="004B73D7"/>
    <w:rsid w:val="004B73DF"/>
    <w:rsid w:val="004B7A26"/>
    <w:rsid w:val="004B7AE7"/>
    <w:rsid w:val="004C003B"/>
    <w:rsid w:val="004C00C1"/>
    <w:rsid w:val="004C02E5"/>
    <w:rsid w:val="004C03B5"/>
    <w:rsid w:val="004C0753"/>
    <w:rsid w:val="004C0A27"/>
    <w:rsid w:val="004C0B46"/>
    <w:rsid w:val="004C10BF"/>
    <w:rsid w:val="004C19A2"/>
    <w:rsid w:val="004C1A91"/>
    <w:rsid w:val="004C1BD7"/>
    <w:rsid w:val="004C1F25"/>
    <w:rsid w:val="004C20FE"/>
    <w:rsid w:val="004C217F"/>
    <w:rsid w:val="004C23F7"/>
    <w:rsid w:val="004C2435"/>
    <w:rsid w:val="004C24DB"/>
    <w:rsid w:val="004C262F"/>
    <w:rsid w:val="004C2687"/>
    <w:rsid w:val="004C27F5"/>
    <w:rsid w:val="004C2A6A"/>
    <w:rsid w:val="004C2BAB"/>
    <w:rsid w:val="004C2BF7"/>
    <w:rsid w:val="004C325C"/>
    <w:rsid w:val="004C332C"/>
    <w:rsid w:val="004C33A0"/>
    <w:rsid w:val="004C35D6"/>
    <w:rsid w:val="004C37A5"/>
    <w:rsid w:val="004C3914"/>
    <w:rsid w:val="004C3A89"/>
    <w:rsid w:val="004C3C0A"/>
    <w:rsid w:val="004C3C28"/>
    <w:rsid w:val="004C3C94"/>
    <w:rsid w:val="004C42F0"/>
    <w:rsid w:val="004C430B"/>
    <w:rsid w:val="004C43F7"/>
    <w:rsid w:val="004C4477"/>
    <w:rsid w:val="004C45CC"/>
    <w:rsid w:val="004C4608"/>
    <w:rsid w:val="004C4AE7"/>
    <w:rsid w:val="004C4EA6"/>
    <w:rsid w:val="004C4EC5"/>
    <w:rsid w:val="004C5009"/>
    <w:rsid w:val="004C537F"/>
    <w:rsid w:val="004C5595"/>
    <w:rsid w:val="004C5631"/>
    <w:rsid w:val="004C5835"/>
    <w:rsid w:val="004C5920"/>
    <w:rsid w:val="004C5A4D"/>
    <w:rsid w:val="004C5B5A"/>
    <w:rsid w:val="004C5C99"/>
    <w:rsid w:val="004C5D26"/>
    <w:rsid w:val="004C5D83"/>
    <w:rsid w:val="004C5D8E"/>
    <w:rsid w:val="004C5EA4"/>
    <w:rsid w:val="004C5F4A"/>
    <w:rsid w:val="004C6044"/>
    <w:rsid w:val="004C604D"/>
    <w:rsid w:val="004C620C"/>
    <w:rsid w:val="004C62D7"/>
    <w:rsid w:val="004C63C7"/>
    <w:rsid w:val="004C63F0"/>
    <w:rsid w:val="004C655B"/>
    <w:rsid w:val="004C658E"/>
    <w:rsid w:val="004C68D4"/>
    <w:rsid w:val="004C69C6"/>
    <w:rsid w:val="004C6A5D"/>
    <w:rsid w:val="004C6A6B"/>
    <w:rsid w:val="004C703C"/>
    <w:rsid w:val="004C706B"/>
    <w:rsid w:val="004C710B"/>
    <w:rsid w:val="004C7111"/>
    <w:rsid w:val="004C71CE"/>
    <w:rsid w:val="004C727F"/>
    <w:rsid w:val="004C72B3"/>
    <w:rsid w:val="004C739C"/>
    <w:rsid w:val="004C74D0"/>
    <w:rsid w:val="004C74D5"/>
    <w:rsid w:val="004C7563"/>
    <w:rsid w:val="004C775B"/>
    <w:rsid w:val="004C78BF"/>
    <w:rsid w:val="004D0150"/>
    <w:rsid w:val="004D02F7"/>
    <w:rsid w:val="004D05A6"/>
    <w:rsid w:val="004D08D1"/>
    <w:rsid w:val="004D090F"/>
    <w:rsid w:val="004D0A8C"/>
    <w:rsid w:val="004D0BDD"/>
    <w:rsid w:val="004D0D05"/>
    <w:rsid w:val="004D0D9D"/>
    <w:rsid w:val="004D1149"/>
    <w:rsid w:val="004D1215"/>
    <w:rsid w:val="004D12D1"/>
    <w:rsid w:val="004D13A8"/>
    <w:rsid w:val="004D1412"/>
    <w:rsid w:val="004D1555"/>
    <w:rsid w:val="004D1587"/>
    <w:rsid w:val="004D15CB"/>
    <w:rsid w:val="004D16B4"/>
    <w:rsid w:val="004D18F7"/>
    <w:rsid w:val="004D1EBE"/>
    <w:rsid w:val="004D1F43"/>
    <w:rsid w:val="004D212D"/>
    <w:rsid w:val="004D21A0"/>
    <w:rsid w:val="004D21BD"/>
    <w:rsid w:val="004D226D"/>
    <w:rsid w:val="004D258C"/>
    <w:rsid w:val="004D289F"/>
    <w:rsid w:val="004D2963"/>
    <w:rsid w:val="004D2BB5"/>
    <w:rsid w:val="004D2C3B"/>
    <w:rsid w:val="004D2D12"/>
    <w:rsid w:val="004D2DE1"/>
    <w:rsid w:val="004D2E78"/>
    <w:rsid w:val="004D2EF9"/>
    <w:rsid w:val="004D2F9B"/>
    <w:rsid w:val="004D3333"/>
    <w:rsid w:val="004D34E7"/>
    <w:rsid w:val="004D37D2"/>
    <w:rsid w:val="004D38B4"/>
    <w:rsid w:val="004D3A12"/>
    <w:rsid w:val="004D3AEB"/>
    <w:rsid w:val="004D3BD5"/>
    <w:rsid w:val="004D3E57"/>
    <w:rsid w:val="004D3F18"/>
    <w:rsid w:val="004D4004"/>
    <w:rsid w:val="004D4160"/>
    <w:rsid w:val="004D41A4"/>
    <w:rsid w:val="004D4223"/>
    <w:rsid w:val="004D4651"/>
    <w:rsid w:val="004D478D"/>
    <w:rsid w:val="004D4B81"/>
    <w:rsid w:val="004D4BEE"/>
    <w:rsid w:val="004D4D87"/>
    <w:rsid w:val="004D4DFF"/>
    <w:rsid w:val="004D4F71"/>
    <w:rsid w:val="004D548D"/>
    <w:rsid w:val="004D568D"/>
    <w:rsid w:val="004D576C"/>
    <w:rsid w:val="004D5AA8"/>
    <w:rsid w:val="004D5C0B"/>
    <w:rsid w:val="004D6049"/>
    <w:rsid w:val="004D621A"/>
    <w:rsid w:val="004D62AA"/>
    <w:rsid w:val="004D6679"/>
    <w:rsid w:val="004D6921"/>
    <w:rsid w:val="004D693F"/>
    <w:rsid w:val="004D694A"/>
    <w:rsid w:val="004D6AE4"/>
    <w:rsid w:val="004D6D8A"/>
    <w:rsid w:val="004D6FC5"/>
    <w:rsid w:val="004D7333"/>
    <w:rsid w:val="004D7391"/>
    <w:rsid w:val="004D749F"/>
    <w:rsid w:val="004D7515"/>
    <w:rsid w:val="004D76EA"/>
    <w:rsid w:val="004D76EB"/>
    <w:rsid w:val="004D7787"/>
    <w:rsid w:val="004D79F0"/>
    <w:rsid w:val="004D7A14"/>
    <w:rsid w:val="004D7ABC"/>
    <w:rsid w:val="004D7B9B"/>
    <w:rsid w:val="004D7BFC"/>
    <w:rsid w:val="004D7C98"/>
    <w:rsid w:val="004D7DAD"/>
    <w:rsid w:val="004D7E8E"/>
    <w:rsid w:val="004E01D0"/>
    <w:rsid w:val="004E0315"/>
    <w:rsid w:val="004E038B"/>
    <w:rsid w:val="004E041D"/>
    <w:rsid w:val="004E0481"/>
    <w:rsid w:val="004E05B6"/>
    <w:rsid w:val="004E0779"/>
    <w:rsid w:val="004E094C"/>
    <w:rsid w:val="004E0B7B"/>
    <w:rsid w:val="004E0C12"/>
    <w:rsid w:val="004E0C4E"/>
    <w:rsid w:val="004E0D30"/>
    <w:rsid w:val="004E0D67"/>
    <w:rsid w:val="004E0DA2"/>
    <w:rsid w:val="004E0DB8"/>
    <w:rsid w:val="004E0EE9"/>
    <w:rsid w:val="004E0FBB"/>
    <w:rsid w:val="004E0FBE"/>
    <w:rsid w:val="004E11C4"/>
    <w:rsid w:val="004E1372"/>
    <w:rsid w:val="004E14CB"/>
    <w:rsid w:val="004E1657"/>
    <w:rsid w:val="004E167D"/>
    <w:rsid w:val="004E16BD"/>
    <w:rsid w:val="004E17F0"/>
    <w:rsid w:val="004E1876"/>
    <w:rsid w:val="004E18D2"/>
    <w:rsid w:val="004E195D"/>
    <w:rsid w:val="004E1995"/>
    <w:rsid w:val="004E1C3C"/>
    <w:rsid w:val="004E1D1B"/>
    <w:rsid w:val="004E1F2E"/>
    <w:rsid w:val="004E2378"/>
    <w:rsid w:val="004E23A1"/>
    <w:rsid w:val="004E25DB"/>
    <w:rsid w:val="004E2793"/>
    <w:rsid w:val="004E28A1"/>
    <w:rsid w:val="004E28E4"/>
    <w:rsid w:val="004E2ADB"/>
    <w:rsid w:val="004E2CBF"/>
    <w:rsid w:val="004E32F4"/>
    <w:rsid w:val="004E3380"/>
    <w:rsid w:val="004E37C7"/>
    <w:rsid w:val="004E3C8F"/>
    <w:rsid w:val="004E3F79"/>
    <w:rsid w:val="004E3FC4"/>
    <w:rsid w:val="004E4043"/>
    <w:rsid w:val="004E4170"/>
    <w:rsid w:val="004E4381"/>
    <w:rsid w:val="004E43C2"/>
    <w:rsid w:val="004E4434"/>
    <w:rsid w:val="004E493E"/>
    <w:rsid w:val="004E4A36"/>
    <w:rsid w:val="004E4B39"/>
    <w:rsid w:val="004E4E74"/>
    <w:rsid w:val="004E4EEC"/>
    <w:rsid w:val="004E515F"/>
    <w:rsid w:val="004E5303"/>
    <w:rsid w:val="004E5398"/>
    <w:rsid w:val="004E5537"/>
    <w:rsid w:val="004E55D5"/>
    <w:rsid w:val="004E5811"/>
    <w:rsid w:val="004E59CC"/>
    <w:rsid w:val="004E5A0A"/>
    <w:rsid w:val="004E5AF4"/>
    <w:rsid w:val="004E5BA6"/>
    <w:rsid w:val="004E5D8F"/>
    <w:rsid w:val="004E5FA4"/>
    <w:rsid w:val="004E60D5"/>
    <w:rsid w:val="004E6114"/>
    <w:rsid w:val="004E6392"/>
    <w:rsid w:val="004E646E"/>
    <w:rsid w:val="004E647B"/>
    <w:rsid w:val="004E65DC"/>
    <w:rsid w:val="004E672A"/>
    <w:rsid w:val="004E68C6"/>
    <w:rsid w:val="004E6A92"/>
    <w:rsid w:val="004E6B21"/>
    <w:rsid w:val="004E6C45"/>
    <w:rsid w:val="004E6D9C"/>
    <w:rsid w:val="004E6F6E"/>
    <w:rsid w:val="004E70A9"/>
    <w:rsid w:val="004E753A"/>
    <w:rsid w:val="004E7824"/>
    <w:rsid w:val="004E7B09"/>
    <w:rsid w:val="004F0077"/>
    <w:rsid w:val="004F07E6"/>
    <w:rsid w:val="004F0856"/>
    <w:rsid w:val="004F0988"/>
    <w:rsid w:val="004F0AF2"/>
    <w:rsid w:val="004F0D71"/>
    <w:rsid w:val="004F0D7A"/>
    <w:rsid w:val="004F0FD4"/>
    <w:rsid w:val="004F130B"/>
    <w:rsid w:val="004F14B0"/>
    <w:rsid w:val="004F153F"/>
    <w:rsid w:val="004F16C1"/>
    <w:rsid w:val="004F17D3"/>
    <w:rsid w:val="004F1888"/>
    <w:rsid w:val="004F18AC"/>
    <w:rsid w:val="004F1940"/>
    <w:rsid w:val="004F1EFD"/>
    <w:rsid w:val="004F2101"/>
    <w:rsid w:val="004F211F"/>
    <w:rsid w:val="004F23AD"/>
    <w:rsid w:val="004F24C1"/>
    <w:rsid w:val="004F2620"/>
    <w:rsid w:val="004F2902"/>
    <w:rsid w:val="004F29D5"/>
    <w:rsid w:val="004F2ADA"/>
    <w:rsid w:val="004F2CE3"/>
    <w:rsid w:val="004F2F0A"/>
    <w:rsid w:val="004F3089"/>
    <w:rsid w:val="004F322B"/>
    <w:rsid w:val="004F3343"/>
    <w:rsid w:val="004F35A3"/>
    <w:rsid w:val="004F3708"/>
    <w:rsid w:val="004F3B05"/>
    <w:rsid w:val="004F3D2C"/>
    <w:rsid w:val="004F43FC"/>
    <w:rsid w:val="004F4426"/>
    <w:rsid w:val="004F454B"/>
    <w:rsid w:val="004F45AE"/>
    <w:rsid w:val="004F4604"/>
    <w:rsid w:val="004F465D"/>
    <w:rsid w:val="004F46FC"/>
    <w:rsid w:val="004F488B"/>
    <w:rsid w:val="004F4B5A"/>
    <w:rsid w:val="004F4C78"/>
    <w:rsid w:val="004F4D52"/>
    <w:rsid w:val="004F4E39"/>
    <w:rsid w:val="004F4E4B"/>
    <w:rsid w:val="004F4E5F"/>
    <w:rsid w:val="004F4FEA"/>
    <w:rsid w:val="004F5024"/>
    <w:rsid w:val="004F5222"/>
    <w:rsid w:val="004F5388"/>
    <w:rsid w:val="004F556E"/>
    <w:rsid w:val="004F5853"/>
    <w:rsid w:val="004F593E"/>
    <w:rsid w:val="004F5BE6"/>
    <w:rsid w:val="004F5D30"/>
    <w:rsid w:val="004F5D66"/>
    <w:rsid w:val="004F5EB9"/>
    <w:rsid w:val="004F6080"/>
    <w:rsid w:val="004F6299"/>
    <w:rsid w:val="004F63F5"/>
    <w:rsid w:val="004F65BA"/>
    <w:rsid w:val="004F6796"/>
    <w:rsid w:val="004F68DC"/>
    <w:rsid w:val="004F6B7C"/>
    <w:rsid w:val="004F6BF8"/>
    <w:rsid w:val="004F6E95"/>
    <w:rsid w:val="004F6F80"/>
    <w:rsid w:val="004F6FFC"/>
    <w:rsid w:val="004F7154"/>
    <w:rsid w:val="004F74FD"/>
    <w:rsid w:val="004F75B1"/>
    <w:rsid w:val="004F76E9"/>
    <w:rsid w:val="004F7885"/>
    <w:rsid w:val="004F79A6"/>
    <w:rsid w:val="004F79F0"/>
    <w:rsid w:val="004F7A53"/>
    <w:rsid w:val="004F7B1E"/>
    <w:rsid w:val="004F7C8A"/>
    <w:rsid w:val="004F7C93"/>
    <w:rsid w:val="004F7C9D"/>
    <w:rsid w:val="0050023E"/>
    <w:rsid w:val="0050041C"/>
    <w:rsid w:val="005006A1"/>
    <w:rsid w:val="00500767"/>
    <w:rsid w:val="005007AA"/>
    <w:rsid w:val="00500810"/>
    <w:rsid w:val="00500A24"/>
    <w:rsid w:val="00500CA9"/>
    <w:rsid w:val="00500EB0"/>
    <w:rsid w:val="00500F52"/>
    <w:rsid w:val="00501066"/>
    <w:rsid w:val="005012E3"/>
    <w:rsid w:val="005012FB"/>
    <w:rsid w:val="0050139C"/>
    <w:rsid w:val="005013FF"/>
    <w:rsid w:val="00501406"/>
    <w:rsid w:val="00501435"/>
    <w:rsid w:val="0050154B"/>
    <w:rsid w:val="005016AC"/>
    <w:rsid w:val="005019F7"/>
    <w:rsid w:val="00501C5A"/>
    <w:rsid w:val="00501D64"/>
    <w:rsid w:val="00501FCA"/>
    <w:rsid w:val="0050235A"/>
    <w:rsid w:val="005023F2"/>
    <w:rsid w:val="00502B88"/>
    <w:rsid w:val="00502C28"/>
    <w:rsid w:val="00502CEF"/>
    <w:rsid w:val="00502D21"/>
    <w:rsid w:val="00502D32"/>
    <w:rsid w:val="0050300E"/>
    <w:rsid w:val="0050330B"/>
    <w:rsid w:val="00503603"/>
    <w:rsid w:val="00503653"/>
    <w:rsid w:val="0050380A"/>
    <w:rsid w:val="00503895"/>
    <w:rsid w:val="005038AF"/>
    <w:rsid w:val="00503AC2"/>
    <w:rsid w:val="00503B5C"/>
    <w:rsid w:val="00503D57"/>
    <w:rsid w:val="00503F27"/>
    <w:rsid w:val="00504103"/>
    <w:rsid w:val="00504389"/>
    <w:rsid w:val="00504494"/>
    <w:rsid w:val="00504515"/>
    <w:rsid w:val="00504674"/>
    <w:rsid w:val="00504854"/>
    <w:rsid w:val="00504F86"/>
    <w:rsid w:val="00505131"/>
    <w:rsid w:val="00505266"/>
    <w:rsid w:val="00505335"/>
    <w:rsid w:val="0050560F"/>
    <w:rsid w:val="00505627"/>
    <w:rsid w:val="005057B5"/>
    <w:rsid w:val="00505A76"/>
    <w:rsid w:val="00505BCD"/>
    <w:rsid w:val="00505D65"/>
    <w:rsid w:val="00505FEC"/>
    <w:rsid w:val="005061C3"/>
    <w:rsid w:val="0050621B"/>
    <w:rsid w:val="005063E1"/>
    <w:rsid w:val="0050643C"/>
    <w:rsid w:val="00506497"/>
    <w:rsid w:val="0050671E"/>
    <w:rsid w:val="0050674E"/>
    <w:rsid w:val="005069C7"/>
    <w:rsid w:val="00506C05"/>
    <w:rsid w:val="00506E22"/>
    <w:rsid w:val="00506EE6"/>
    <w:rsid w:val="00506FAF"/>
    <w:rsid w:val="00507009"/>
    <w:rsid w:val="00507027"/>
    <w:rsid w:val="00507927"/>
    <w:rsid w:val="00507B73"/>
    <w:rsid w:val="00507D12"/>
    <w:rsid w:val="00507E1A"/>
    <w:rsid w:val="00507EFC"/>
    <w:rsid w:val="00507F7C"/>
    <w:rsid w:val="00507F82"/>
    <w:rsid w:val="00507FD6"/>
    <w:rsid w:val="00510175"/>
    <w:rsid w:val="00510201"/>
    <w:rsid w:val="00510260"/>
    <w:rsid w:val="0051067B"/>
    <w:rsid w:val="00510C78"/>
    <w:rsid w:val="005110EB"/>
    <w:rsid w:val="005111AC"/>
    <w:rsid w:val="005112C3"/>
    <w:rsid w:val="005112F1"/>
    <w:rsid w:val="00511356"/>
    <w:rsid w:val="005114A6"/>
    <w:rsid w:val="00511691"/>
    <w:rsid w:val="00511695"/>
    <w:rsid w:val="005116D9"/>
    <w:rsid w:val="005117E4"/>
    <w:rsid w:val="00511BC1"/>
    <w:rsid w:val="00511F36"/>
    <w:rsid w:val="005120D3"/>
    <w:rsid w:val="005120FA"/>
    <w:rsid w:val="00512255"/>
    <w:rsid w:val="00512720"/>
    <w:rsid w:val="00512749"/>
    <w:rsid w:val="005127BC"/>
    <w:rsid w:val="00512825"/>
    <w:rsid w:val="00512875"/>
    <w:rsid w:val="0051287A"/>
    <w:rsid w:val="005129B9"/>
    <w:rsid w:val="00512AA2"/>
    <w:rsid w:val="00512C3F"/>
    <w:rsid w:val="00512CA7"/>
    <w:rsid w:val="00512F7C"/>
    <w:rsid w:val="00513648"/>
    <w:rsid w:val="0051376F"/>
    <w:rsid w:val="00513806"/>
    <w:rsid w:val="00513959"/>
    <w:rsid w:val="00514223"/>
    <w:rsid w:val="005144FF"/>
    <w:rsid w:val="00514524"/>
    <w:rsid w:val="005147B0"/>
    <w:rsid w:val="00514890"/>
    <w:rsid w:val="005149CF"/>
    <w:rsid w:val="00514CB5"/>
    <w:rsid w:val="00514D3A"/>
    <w:rsid w:val="005151E0"/>
    <w:rsid w:val="00515334"/>
    <w:rsid w:val="0051533B"/>
    <w:rsid w:val="0051533E"/>
    <w:rsid w:val="00515727"/>
    <w:rsid w:val="00515864"/>
    <w:rsid w:val="0051594F"/>
    <w:rsid w:val="00515A7D"/>
    <w:rsid w:val="00515E7B"/>
    <w:rsid w:val="00515EB6"/>
    <w:rsid w:val="00515F68"/>
    <w:rsid w:val="0051626A"/>
    <w:rsid w:val="005162D6"/>
    <w:rsid w:val="00516600"/>
    <w:rsid w:val="00516691"/>
    <w:rsid w:val="00516710"/>
    <w:rsid w:val="005169CC"/>
    <w:rsid w:val="00516A09"/>
    <w:rsid w:val="00516BC4"/>
    <w:rsid w:val="00516EB5"/>
    <w:rsid w:val="00517185"/>
    <w:rsid w:val="005171EE"/>
    <w:rsid w:val="0051747A"/>
    <w:rsid w:val="0051750E"/>
    <w:rsid w:val="0051784A"/>
    <w:rsid w:val="00517862"/>
    <w:rsid w:val="005179B1"/>
    <w:rsid w:val="00517A3C"/>
    <w:rsid w:val="00517D3B"/>
    <w:rsid w:val="00517D7E"/>
    <w:rsid w:val="00517F08"/>
    <w:rsid w:val="0052002F"/>
    <w:rsid w:val="00520175"/>
    <w:rsid w:val="00520235"/>
    <w:rsid w:val="00520243"/>
    <w:rsid w:val="005203B6"/>
    <w:rsid w:val="00520407"/>
    <w:rsid w:val="00520610"/>
    <w:rsid w:val="00520757"/>
    <w:rsid w:val="00520B31"/>
    <w:rsid w:val="00520C18"/>
    <w:rsid w:val="00520D09"/>
    <w:rsid w:val="00520D28"/>
    <w:rsid w:val="00520D3A"/>
    <w:rsid w:val="00520D55"/>
    <w:rsid w:val="00520FE4"/>
    <w:rsid w:val="0052116C"/>
    <w:rsid w:val="005211A1"/>
    <w:rsid w:val="00521274"/>
    <w:rsid w:val="0052138C"/>
    <w:rsid w:val="00521646"/>
    <w:rsid w:val="00521757"/>
    <w:rsid w:val="005217B8"/>
    <w:rsid w:val="005217EF"/>
    <w:rsid w:val="005218F3"/>
    <w:rsid w:val="00521A08"/>
    <w:rsid w:val="00521A1F"/>
    <w:rsid w:val="00521A48"/>
    <w:rsid w:val="00521DB2"/>
    <w:rsid w:val="00521E7E"/>
    <w:rsid w:val="005220BF"/>
    <w:rsid w:val="005220E3"/>
    <w:rsid w:val="00522536"/>
    <w:rsid w:val="00522546"/>
    <w:rsid w:val="0052254E"/>
    <w:rsid w:val="005228E8"/>
    <w:rsid w:val="00522AE8"/>
    <w:rsid w:val="00522C64"/>
    <w:rsid w:val="00522CE9"/>
    <w:rsid w:val="0052336B"/>
    <w:rsid w:val="005233CC"/>
    <w:rsid w:val="005234C7"/>
    <w:rsid w:val="005235F2"/>
    <w:rsid w:val="005236A1"/>
    <w:rsid w:val="00523912"/>
    <w:rsid w:val="00524136"/>
    <w:rsid w:val="005244A1"/>
    <w:rsid w:val="005248D2"/>
    <w:rsid w:val="00524996"/>
    <w:rsid w:val="00524BB4"/>
    <w:rsid w:val="00524C27"/>
    <w:rsid w:val="00524DD0"/>
    <w:rsid w:val="00524E7D"/>
    <w:rsid w:val="00524EBE"/>
    <w:rsid w:val="00524EC5"/>
    <w:rsid w:val="005251FE"/>
    <w:rsid w:val="00525314"/>
    <w:rsid w:val="005253AC"/>
    <w:rsid w:val="005256DF"/>
    <w:rsid w:val="005256FD"/>
    <w:rsid w:val="00525709"/>
    <w:rsid w:val="00525913"/>
    <w:rsid w:val="005259B4"/>
    <w:rsid w:val="00525BAC"/>
    <w:rsid w:val="00525BDD"/>
    <w:rsid w:val="00525E71"/>
    <w:rsid w:val="00526054"/>
    <w:rsid w:val="00526066"/>
    <w:rsid w:val="005261F5"/>
    <w:rsid w:val="0052626C"/>
    <w:rsid w:val="00526785"/>
    <w:rsid w:val="00526793"/>
    <w:rsid w:val="00526824"/>
    <w:rsid w:val="00526A99"/>
    <w:rsid w:val="00526B55"/>
    <w:rsid w:val="00526BDA"/>
    <w:rsid w:val="00526C8C"/>
    <w:rsid w:val="00526D30"/>
    <w:rsid w:val="0052707E"/>
    <w:rsid w:val="005270F6"/>
    <w:rsid w:val="005271BA"/>
    <w:rsid w:val="00527372"/>
    <w:rsid w:val="00527874"/>
    <w:rsid w:val="0052793C"/>
    <w:rsid w:val="00527B5D"/>
    <w:rsid w:val="00527CF0"/>
    <w:rsid w:val="00530373"/>
    <w:rsid w:val="0053060B"/>
    <w:rsid w:val="0053075B"/>
    <w:rsid w:val="005307B6"/>
    <w:rsid w:val="0053097C"/>
    <w:rsid w:val="005309F4"/>
    <w:rsid w:val="00530D21"/>
    <w:rsid w:val="00530EBE"/>
    <w:rsid w:val="00530F65"/>
    <w:rsid w:val="00531179"/>
    <w:rsid w:val="005311B0"/>
    <w:rsid w:val="0053150E"/>
    <w:rsid w:val="00531D7A"/>
    <w:rsid w:val="00531F55"/>
    <w:rsid w:val="00532179"/>
    <w:rsid w:val="005325EE"/>
    <w:rsid w:val="00532855"/>
    <w:rsid w:val="0053285B"/>
    <w:rsid w:val="00532AE7"/>
    <w:rsid w:val="00532D25"/>
    <w:rsid w:val="00532D72"/>
    <w:rsid w:val="00532DB2"/>
    <w:rsid w:val="00532E38"/>
    <w:rsid w:val="00532E72"/>
    <w:rsid w:val="00532EBA"/>
    <w:rsid w:val="00532F98"/>
    <w:rsid w:val="0053314A"/>
    <w:rsid w:val="00533527"/>
    <w:rsid w:val="0053358F"/>
    <w:rsid w:val="005335A6"/>
    <w:rsid w:val="0053374F"/>
    <w:rsid w:val="0053384C"/>
    <w:rsid w:val="0053389F"/>
    <w:rsid w:val="00533A3F"/>
    <w:rsid w:val="00533B8E"/>
    <w:rsid w:val="00533DCD"/>
    <w:rsid w:val="00533E5F"/>
    <w:rsid w:val="00533FC7"/>
    <w:rsid w:val="005342D3"/>
    <w:rsid w:val="005346C7"/>
    <w:rsid w:val="0053478C"/>
    <w:rsid w:val="00534987"/>
    <w:rsid w:val="005349E8"/>
    <w:rsid w:val="00534B87"/>
    <w:rsid w:val="00534CED"/>
    <w:rsid w:val="00534D10"/>
    <w:rsid w:val="00534F3F"/>
    <w:rsid w:val="00535078"/>
    <w:rsid w:val="005350D9"/>
    <w:rsid w:val="00535128"/>
    <w:rsid w:val="0053526A"/>
    <w:rsid w:val="005352A8"/>
    <w:rsid w:val="005355CC"/>
    <w:rsid w:val="00535680"/>
    <w:rsid w:val="00535E3F"/>
    <w:rsid w:val="00536233"/>
    <w:rsid w:val="005362B5"/>
    <w:rsid w:val="005363D9"/>
    <w:rsid w:val="0053650D"/>
    <w:rsid w:val="00536568"/>
    <w:rsid w:val="0053659B"/>
    <w:rsid w:val="00536609"/>
    <w:rsid w:val="005366A0"/>
    <w:rsid w:val="0053683D"/>
    <w:rsid w:val="00536D7B"/>
    <w:rsid w:val="00536F30"/>
    <w:rsid w:val="00537367"/>
    <w:rsid w:val="005373DB"/>
    <w:rsid w:val="005374E6"/>
    <w:rsid w:val="005374F0"/>
    <w:rsid w:val="00537510"/>
    <w:rsid w:val="005376D6"/>
    <w:rsid w:val="00537DC6"/>
    <w:rsid w:val="00537E4B"/>
    <w:rsid w:val="005401D9"/>
    <w:rsid w:val="0054020C"/>
    <w:rsid w:val="0054035D"/>
    <w:rsid w:val="005403BD"/>
    <w:rsid w:val="00540422"/>
    <w:rsid w:val="00540553"/>
    <w:rsid w:val="00540600"/>
    <w:rsid w:val="005407AA"/>
    <w:rsid w:val="005407D8"/>
    <w:rsid w:val="0054082C"/>
    <w:rsid w:val="005408B6"/>
    <w:rsid w:val="0054093A"/>
    <w:rsid w:val="00540A18"/>
    <w:rsid w:val="00540AB5"/>
    <w:rsid w:val="00540D85"/>
    <w:rsid w:val="00541122"/>
    <w:rsid w:val="005411AA"/>
    <w:rsid w:val="00541771"/>
    <w:rsid w:val="00541909"/>
    <w:rsid w:val="00541AA6"/>
    <w:rsid w:val="00541C00"/>
    <w:rsid w:val="00541FC9"/>
    <w:rsid w:val="00542250"/>
    <w:rsid w:val="005422CE"/>
    <w:rsid w:val="00542335"/>
    <w:rsid w:val="00542337"/>
    <w:rsid w:val="00542463"/>
    <w:rsid w:val="005424DD"/>
    <w:rsid w:val="00542561"/>
    <w:rsid w:val="005425B5"/>
    <w:rsid w:val="00542653"/>
    <w:rsid w:val="005427F3"/>
    <w:rsid w:val="00542800"/>
    <w:rsid w:val="0054286B"/>
    <w:rsid w:val="0054287B"/>
    <w:rsid w:val="0054296C"/>
    <w:rsid w:val="005429FE"/>
    <w:rsid w:val="00542A04"/>
    <w:rsid w:val="00542A98"/>
    <w:rsid w:val="00542AA0"/>
    <w:rsid w:val="00542C63"/>
    <w:rsid w:val="00542CEE"/>
    <w:rsid w:val="00542DC6"/>
    <w:rsid w:val="00542F8F"/>
    <w:rsid w:val="0054307D"/>
    <w:rsid w:val="005433CE"/>
    <w:rsid w:val="005433ED"/>
    <w:rsid w:val="00543430"/>
    <w:rsid w:val="005434C6"/>
    <w:rsid w:val="00543E7F"/>
    <w:rsid w:val="00543EC8"/>
    <w:rsid w:val="00544211"/>
    <w:rsid w:val="0054478B"/>
    <w:rsid w:val="0054491C"/>
    <w:rsid w:val="00544ACB"/>
    <w:rsid w:val="00544BD4"/>
    <w:rsid w:val="00544FA6"/>
    <w:rsid w:val="00545038"/>
    <w:rsid w:val="005450DE"/>
    <w:rsid w:val="00545219"/>
    <w:rsid w:val="00545223"/>
    <w:rsid w:val="005452D9"/>
    <w:rsid w:val="005453F9"/>
    <w:rsid w:val="0054599E"/>
    <w:rsid w:val="005459B8"/>
    <w:rsid w:val="00545C57"/>
    <w:rsid w:val="00545D4C"/>
    <w:rsid w:val="00545E45"/>
    <w:rsid w:val="00545E49"/>
    <w:rsid w:val="00545FAF"/>
    <w:rsid w:val="00545FF1"/>
    <w:rsid w:val="00546036"/>
    <w:rsid w:val="005460E6"/>
    <w:rsid w:val="005467D9"/>
    <w:rsid w:val="005468CF"/>
    <w:rsid w:val="00546ABE"/>
    <w:rsid w:val="00546DD3"/>
    <w:rsid w:val="00546E9C"/>
    <w:rsid w:val="00546F0A"/>
    <w:rsid w:val="00547087"/>
    <w:rsid w:val="00547159"/>
    <w:rsid w:val="005471EE"/>
    <w:rsid w:val="00547352"/>
    <w:rsid w:val="0054768C"/>
    <w:rsid w:val="00547BA8"/>
    <w:rsid w:val="00547BEE"/>
    <w:rsid w:val="00547D07"/>
    <w:rsid w:val="00547D5C"/>
    <w:rsid w:val="00547DA5"/>
    <w:rsid w:val="00550016"/>
    <w:rsid w:val="00550263"/>
    <w:rsid w:val="005504D2"/>
    <w:rsid w:val="005504DA"/>
    <w:rsid w:val="005508E7"/>
    <w:rsid w:val="00550A24"/>
    <w:rsid w:val="00550C5C"/>
    <w:rsid w:val="00550DE1"/>
    <w:rsid w:val="00551022"/>
    <w:rsid w:val="00551139"/>
    <w:rsid w:val="005512FF"/>
    <w:rsid w:val="00551397"/>
    <w:rsid w:val="00551451"/>
    <w:rsid w:val="00551824"/>
    <w:rsid w:val="00551946"/>
    <w:rsid w:val="00551947"/>
    <w:rsid w:val="00551B30"/>
    <w:rsid w:val="00551BD1"/>
    <w:rsid w:val="00551D87"/>
    <w:rsid w:val="00551E17"/>
    <w:rsid w:val="00551E33"/>
    <w:rsid w:val="00551FDF"/>
    <w:rsid w:val="0055251A"/>
    <w:rsid w:val="005525AD"/>
    <w:rsid w:val="005525D2"/>
    <w:rsid w:val="00552860"/>
    <w:rsid w:val="005528C5"/>
    <w:rsid w:val="005528DE"/>
    <w:rsid w:val="005528E5"/>
    <w:rsid w:val="00552935"/>
    <w:rsid w:val="00552A2F"/>
    <w:rsid w:val="00552A7A"/>
    <w:rsid w:val="00552BED"/>
    <w:rsid w:val="00552C16"/>
    <w:rsid w:val="00552C5E"/>
    <w:rsid w:val="00552D31"/>
    <w:rsid w:val="00552D69"/>
    <w:rsid w:val="00553044"/>
    <w:rsid w:val="005530CD"/>
    <w:rsid w:val="00553113"/>
    <w:rsid w:val="0055326E"/>
    <w:rsid w:val="00553399"/>
    <w:rsid w:val="005533CD"/>
    <w:rsid w:val="0055353E"/>
    <w:rsid w:val="0055372A"/>
    <w:rsid w:val="0055393A"/>
    <w:rsid w:val="00553ADA"/>
    <w:rsid w:val="00553DFB"/>
    <w:rsid w:val="00553FC0"/>
    <w:rsid w:val="00554040"/>
    <w:rsid w:val="005546E0"/>
    <w:rsid w:val="00554711"/>
    <w:rsid w:val="00554939"/>
    <w:rsid w:val="00554969"/>
    <w:rsid w:val="00554C2D"/>
    <w:rsid w:val="00554E32"/>
    <w:rsid w:val="00554F8F"/>
    <w:rsid w:val="00555145"/>
    <w:rsid w:val="005552DC"/>
    <w:rsid w:val="005553C4"/>
    <w:rsid w:val="00555515"/>
    <w:rsid w:val="005559B4"/>
    <w:rsid w:val="005559E1"/>
    <w:rsid w:val="00555ABD"/>
    <w:rsid w:val="00555E22"/>
    <w:rsid w:val="00556152"/>
    <w:rsid w:val="00556295"/>
    <w:rsid w:val="005566C7"/>
    <w:rsid w:val="00556889"/>
    <w:rsid w:val="00556970"/>
    <w:rsid w:val="00556A17"/>
    <w:rsid w:val="00556A51"/>
    <w:rsid w:val="00556CBC"/>
    <w:rsid w:val="0055755D"/>
    <w:rsid w:val="00557663"/>
    <w:rsid w:val="005576C3"/>
    <w:rsid w:val="005576F8"/>
    <w:rsid w:val="00557727"/>
    <w:rsid w:val="005579FC"/>
    <w:rsid w:val="00557B03"/>
    <w:rsid w:val="00557C2E"/>
    <w:rsid w:val="00557CAE"/>
    <w:rsid w:val="00557DDF"/>
    <w:rsid w:val="00557E4D"/>
    <w:rsid w:val="00557FDE"/>
    <w:rsid w:val="005600B4"/>
    <w:rsid w:val="00560141"/>
    <w:rsid w:val="005608BF"/>
    <w:rsid w:val="00560969"/>
    <w:rsid w:val="00560B93"/>
    <w:rsid w:val="00560CAB"/>
    <w:rsid w:val="00560D6C"/>
    <w:rsid w:val="00560DA5"/>
    <w:rsid w:val="0056101A"/>
    <w:rsid w:val="00561132"/>
    <w:rsid w:val="005611E6"/>
    <w:rsid w:val="00561371"/>
    <w:rsid w:val="005616AF"/>
    <w:rsid w:val="00561798"/>
    <w:rsid w:val="00561824"/>
    <w:rsid w:val="0056188E"/>
    <w:rsid w:val="00561982"/>
    <w:rsid w:val="00561B54"/>
    <w:rsid w:val="00561E9B"/>
    <w:rsid w:val="005621A4"/>
    <w:rsid w:val="00562772"/>
    <w:rsid w:val="00562AE6"/>
    <w:rsid w:val="00562D95"/>
    <w:rsid w:val="00562E31"/>
    <w:rsid w:val="00562FB2"/>
    <w:rsid w:val="005633C0"/>
    <w:rsid w:val="005636B0"/>
    <w:rsid w:val="005637BC"/>
    <w:rsid w:val="00563865"/>
    <w:rsid w:val="00563894"/>
    <w:rsid w:val="0056394B"/>
    <w:rsid w:val="0056398F"/>
    <w:rsid w:val="00563C85"/>
    <w:rsid w:val="00563EE4"/>
    <w:rsid w:val="00563FA8"/>
    <w:rsid w:val="005640CD"/>
    <w:rsid w:val="00564153"/>
    <w:rsid w:val="00564169"/>
    <w:rsid w:val="00564A37"/>
    <w:rsid w:val="00564AA5"/>
    <w:rsid w:val="00565056"/>
    <w:rsid w:val="00565136"/>
    <w:rsid w:val="005653CC"/>
    <w:rsid w:val="005655F8"/>
    <w:rsid w:val="00565982"/>
    <w:rsid w:val="00565A7E"/>
    <w:rsid w:val="00565B3B"/>
    <w:rsid w:val="00565CBC"/>
    <w:rsid w:val="00565DF1"/>
    <w:rsid w:val="0056605A"/>
    <w:rsid w:val="005661D3"/>
    <w:rsid w:val="00566369"/>
    <w:rsid w:val="00566688"/>
    <w:rsid w:val="005667BC"/>
    <w:rsid w:val="00566823"/>
    <w:rsid w:val="0056684D"/>
    <w:rsid w:val="005668FE"/>
    <w:rsid w:val="00566BC0"/>
    <w:rsid w:val="00566BEB"/>
    <w:rsid w:val="00566C51"/>
    <w:rsid w:val="00566DC0"/>
    <w:rsid w:val="00566E74"/>
    <w:rsid w:val="0056712B"/>
    <w:rsid w:val="00567155"/>
    <w:rsid w:val="005671C3"/>
    <w:rsid w:val="0056725F"/>
    <w:rsid w:val="00567478"/>
    <w:rsid w:val="0056758B"/>
    <w:rsid w:val="005677AA"/>
    <w:rsid w:val="0056785C"/>
    <w:rsid w:val="00567B12"/>
    <w:rsid w:val="00567BC5"/>
    <w:rsid w:val="00567CC4"/>
    <w:rsid w:val="00567FD7"/>
    <w:rsid w:val="00570389"/>
    <w:rsid w:val="005705A1"/>
    <w:rsid w:val="00570C53"/>
    <w:rsid w:val="00570C55"/>
    <w:rsid w:val="00570C6C"/>
    <w:rsid w:val="00570D27"/>
    <w:rsid w:val="00570D8E"/>
    <w:rsid w:val="00570DBE"/>
    <w:rsid w:val="00570E1A"/>
    <w:rsid w:val="00570F10"/>
    <w:rsid w:val="00570F6A"/>
    <w:rsid w:val="00571121"/>
    <w:rsid w:val="005712FD"/>
    <w:rsid w:val="00571350"/>
    <w:rsid w:val="005713A4"/>
    <w:rsid w:val="005713C0"/>
    <w:rsid w:val="00571454"/>
    <w:rsid w:val="005714B4"/>
    <w:rsid w:val="00571865"/>
    <w:rsid w:val="00571AEF"/>
    <w:rsid w:val="00571C20"/>
    <w:rsid w:val="00571C60"/>
    <w:rsid w:val="00571CAD"/>
    <w:rsid w:val="00571D29"/>
    <w:rsid w:val="00571EC0"/>
    <w:rsid w:val="005723B6"/>
    <w:rsid w:val="005725C5"/>
    <w:rsid w:val="00572A6C"/>
    <w:rsid w:val="00572A90"/>
    <w:rsid w:val="00572B4E"/>
    <w:rsid w:val="00572B5D"/>
    <w:rsid w:val="00572D33"/>
    <w:rsid w:val="00572F0B"/>
    <w:rsid w:val="00572F52"/>
    <w:rsid w:val="00573092"/>
    <w:rsid w:val="005734BE"/>
    <w:rsid w:val="005734C3"/>
    <w:rsid w:val="00573500"/>
    <w:rsid w:val="0057361F"/>
    <w:rsid w:val="00573821"/>
    <w:rsid w:val="005738EF"/>
    <w:rsid w:val="00573E03"/>
    <w:rsid w:val="00573E7D"/>
    <w:rsid w:val="00573FED"/>
    <w:rsid w:val="005743E9"/>
    <w:rsid w:val="005745A8"/>
    <w:rsid w:val="0057466E"/>
    <w:rsid w:val="00574697"/>
    <w:rsid w:val="0057486F"/>
    <w:rsid w:val="005752AD"/>
    <w:rsid w:val="005752E5"/>
    <w:rsid w:val="0057536C"/>
    <w:rsid w:val="005753E8"/>
    <w:rsid w:val="0057561F"/>
    <w:rsid w:val="00575687"/>
    <w:rsid w:val="0057571C"/>
    <w:rsid w:val="00575801"/>
    <w:rsid w:val="005759A9"/>
    <w:rsid w:val="00575C9C"/>
    <w:rsid w:val="00575DA4"/>
    <w:rsid w:val="00576473"/>
    <w:rsid w:val="00576692"/>
    <w:rsid w:val="00576953"/>
    <w:rsid w:val="00576973"/>
    <w:rsid w:val="00576A3D"/>
    <w:rsid w:val="00576A8C"/>
    <w:rsid w:val="00576AB2"/>
    <w:rsid w:val="00576CBD"/>
    <w:rsid w:val="00576DBD"/>
    <w:rsid w:val="00576E03"/>
    <w:rsid w:val="00576E77"/>
    <w:rsid w:val="00577102"/>
    <w:rsid w:val="00577215"/>
    <w:rsid w:val="0057722F"/>
    <w:rsid w:val="0057748A"/>
    <w:rsid w:val="00577530"/>
    <w:rsid w:val="00577552"/>
    <w:rsid w:val="005776AC"/>
    <w:rsid w:val="005776BF"/>
    <w:rsid w:val="00577916"/>
    <w:rsid w:val="0057791A"/>
    <w:rsid w:val="00577934"/>
    <w:rsid w:val="0057797A"/>
    <w:rsid w:val="00577996"/>
    <w:rsid w:val="00577A35"/>
    <w:rsid w:val="00577ACB"/>
    <w:rsid w:val="00577C25"/>
    <w:rsid w:val="00577FCB"/>
    <w:rsid w:val="0058011C"/>
    <w:rsid w:val="005801F0"/>
    <w:rsid w:val="00580493"/>
    <w:rsid w:val="0058052F"/>
    <w:rsid w:val="00580643"/>
    <w:rsid w:val="00580AB5"/>
    <w:rsid w:val="00580C54"/>
    <w:rsid w:val="00580FC2"/>
    <w:rsid w:val="00581099"/>
    <w:rsid w:val="0058120F"/>
    <w:rsid w:val="005812B9"/>
    <w:rsid w:val="005812FC"/>
    <w:rsid w:val="00581392"/>
    <w:rsid w:val="0058144A"/>
    <w:rsid w:val="005814AC"/>
    <w:rsid w:val="0058167D"/>
    <w:rsid w:val="00581910"/>
    <w:rsid w:val="00581960"/>
    <w:rsid w:val="00581C86"/>
    <w:rsid w:val="00581ED9"/>
    <w:rsid w:val="005820FB"/>
    <w:rsid w:val="005820FF"/>
    <w:rsid w:val="00582114"/>
    <w:rsid w:val="00582583"/>
    <w:rsid w:val="0058269F"/>
    <w:rsid w:val="00582964"/>
    <w:rsid w:val="00582E28"/>
    <w:rsid w:val="00582E4C"/>
    <w:rsid w:val="00583817"/>
    <w:rsid w:val="00583853"/>
    <w:rsid w:val="005839A1"/>
    <w:rsid w:val="00583A14"/>
    <w:rsid w:val="00583B1E"/>
    <w:rsid w:val="00583B38"/>
    <w:rsid w:val="00583D08"/>
    <w:rsid w:val="00583E1C"/>
    <w:rsid w:val="00583E88"/>
    <w:rsid w:val="005840CF"/>
    <w:rsid w:val="00584455"/>
    <w:rsid w:val="005844EE"/>
    <w:rsid w:val="005845EF"/>
    <w:rsid w:val="00584880"/>
    <w:rsid w:val="005848F9"/>
    <w:rsid w:val="00584903"/>
    <w:rsid w:val="00584ACE"/>
    <w:rsid w:val="00584AF1"/>
    <w:rsid w:val="005850AF"/>
    <w:rsid w:val="00585301"/>
    <w:rsid w:val="0058555A"/>
    <w:rsid w:val="0058572B"/>
    <w:rsid w:val="00585794"/>
    <w:rsid w:val="00585A25"/>
    <w:rsid w:val="00585AA7"/>
    <w:rsid w:val="00585B76"/>
    <w:rsid w:val="00585D2F"/>
    <w:rsid w:val="00585E13"/>
    <w:rsid w:val="005860D5"/>
    <w:rsid w:val="005860DC"/>
    <w:rsid w:val="005861A4"/>
    <w:rsid w:val="00586298"/>
    <w:rsid w:val="0058651C"/>
    <w:rsid w:val="00586609"/>
    <w:rsid w:val="00586738"/>
    <w:rsid w:val="005867C4"/>
    <w:rsid w:val="005869CC"/>
    <w:rsid w:val="00586BDE"/>
    <w:rsid w:val="00586D14"/>
    <w:rsid w:val="00586E46"/>
    <w:rsid w:val="00586F22"/>
    <w:rsid w:val="0058716D"/>
    <w:rsid w:val="0058718E"/>
    <w:rsid w:val="00587256"/>
    <w:rsid w:val="005875EC"/>
    <w:rsid w:val="00587711"/>
    <w:rsid w:val="005877A9"/>
    <w:rsid w:val="00587933"/>
    <w:rsid w:val="00587C9F"/>
    <w:rsid w:val="00590090"/>
    <w:rsid w:val="005900A0"/>
    <w:rsid w:val="005905EA"/>
    <w:rsid w:val="00590773"/>
    <w:rsid w:val="005907C8"/>
    <w:rsid w:val="0059085A"/>
    <w:rsid w:val="005908F9"/>
    <w:rsid w:val="00590AA9"/>
    <w:rsid w:val="00590D07"/>
    <w:rsid w:val="00590E59"/>
    <w:rsid w:val="005910F8"/>
    <w:rsid w:val="005911AA"/>
    <w:rsid w:val="005911F5"/>
    <w:rsid w:val="005912E8"/>
    <w:rsid w:val="00591300"/>
    <w:rsid w:val="005913C5"/>
    <w:rsid w:val="0059141A"/>
    <w:rsid w:val="005914CE"/>
    <w:rsid w:val="0059191D"/>
    <w:rsid w:val="00591AC0"/>
    <w:rsid w:val="00591B03"/>
    <w:rsid w:val="00591B61"/>
    <w:rsid w:val="00591BCD"/>
    <w:rsid w:val="0059236A"/>
    <w:rsid w:val="0059251C"/>
    <w:rsid w:val="00592777"/>
    <w:rsid w:val="00592972"/>
    <w:rsid w:val="00592B12"/>
    <w:rsid w:val="00592F29"/>
    <w:rsid w:val="0059302F"/>
    <w:rsid w:val="005930C6"/>
    <w:rsid w:val="00593363"/>
    <w:rsid w:val="00593585"/>
    <w:rsid w:val="005935F3"/>
    <w:rsid w:val="00593B18"/>
    <w:rsid w:val="00593DC8"/>
    <w:rsid w:val="00593F95"/>
    <w:rsid w:val="00593FD2"/>
    <w:rsid w:val="005940B6"/>
    <w:rsid w:val="005940FB"/>
    <w:rsid w:val="0059410E"/>
    <w:rsid w:val="0059418E"/>
    <w:rsid w:val="005942B1"/>
    <w:rsid w:val="005942D3"/>
    <w:rsid w:val="005942D7"/>
    <w:rsid w:val="005943C4"/>
    <w:rsid w:val="0059466E"/>
    <w:rsid w:val="00594836"/>
    <w:rsid w:val="00594859"/>
    <w:rsid w:val="005948F7"/>
    <w:rsid w:val="00594FDC"/>
    <w:rsid w:val="0059500D"/>
    <w:rsid w:val="00595169"/>
    <w:rsid w:val="005951BB"/>
    <w:rsid w:val="005954F3"/>
    <w:rsid w:val="00595849"/>
    <w:rsid w:val="00595B4C"/>
    <w:rsid w:val="00595B6C"/>
    <w:rsid w:val="00595BD2"/>
    <w:rsid w:val="00595E00"/>
    <w:rsid w:val="00595E88"/>
    <w:rsid w:val="00596235"/>
    <w:rsid w:val="005963D1"/>
    <w:rsid w:val="0059641D"/>
    <w:rsid w:val="0059646B"/>
    <w:rsid w:val="00596907"/>
    <w:rsid w:val="00596B2C"/>
    <w:rsid w:val="00596B3C"/>
    <w:rsid w:val="00596F0C"/>
    <w:rsid w:val="00597009"/>
    <w:rsid w:val="00597133"/>
    <w:rsid w:val="00597412"/>
    <w:rsid w:val="00597499"/>
    <w:rsid w:val="0059756B"/>
    <w:rsid w:val="005975AC"/>
    <w:rsid w:val="0059779A"/>
    <w:rsid w:val="00597C1F"/>
    <w:rsid w:val="00597D7E"/>
    <w:rsid w:val="00597E08"/>
    <w:rsid w:val="00597EEF"/>
    <w:rsid w:val="00597F7A"/>
    <w:rsid w:val="00597FCD"/>
    <w:rsid w:val="005A030F"/>
    <w:rsid w:val="005A0572"/>
    <w:rsid w:val="005A058F"/>
    <w:rsid w:val="005A05AF"/>
    <w:rsid w:val="005A07CB"/>
    <w:rsid w:val="005A082D"/>
    <w:rsid w:val="005A0831"/>
    <w:rsid w:val="005A08FD"/>
    <w:rsid w:val="005A0925"/>
    <w:rsid w:val="005A0941"/>
    <w:rsid w:val="005A0A43"/>
    <w:rsid w:val="005A0AC8"/>
    <w:rsid w:val="005A0ADA"/>
    <w:rsid w:val="005A0F7D"/>
    <w:rsid w:val="005A121D"/>
    <w:rsid w:val="005A1328"/>
    <w:rsid w:val="005A13F2"/>
    <w:rsid w:val="005A169E"/>
    <w:rsid w:val="005A1797"/>
    <w:rsid w:val="005A1899"/>
    <w:rsid w:val="005A1AA4"/>
    <w:rsid w:val="005A1B82"/>
    <w:rsid w:val="005A1E26"/>
    <w:rsid w:val="005A1E7F"/>
    <w:rsid w:val="005A2097"/>
    <w:rsid w:val="005A221A"/>
    <w:rsid w:val="005A2225"/>
    <w:rsid w:val="005A26F9"/>
    <w:rsid w:val="005A270B"/>
    <w:rsid w:val="005A2D05"/>
    <w:rsid w:val="005A2D28"/>
    <w:rsid w:val="005A2E66"/>
    <w:rsid w:val="005A312E"/>
    <w:rsid w:val="005A3140"/>
    <w:rsid w:val="005A31B9"/>
    <w:rsid w:val="005A32D6"/>
    <w:rsid w:val="005A331E"/>
    <w:rsid w:val="005A33D3"/>
    <w:rsid w:val="005A37B9"/>
    <w:rsid w:val="005A383A"/>
    <w:rsid w:val="005A3D1C"/>
    <w:rsid w:val="005A426F"/>
    <w:rsid w:val="005A42FA"/>
    <w:rsid w:val="005A43E6"/>
    <w:rsid w:val="005A4A36"/>
    <w:rsid w:val="005A4AFA"/>
    <w:rsid w:val="005A4B11"/>
    <w:rsid w:val="005A4C65"/>
    <w:rsid w:val="005A4CAA"/>
    <w:rsid w:val="005A4D70"/>
    <w:rsid w:val="005A4DC8"/>
    <w:rsid w:val="005A4DF2"/>
    <w:rsid w:val="005A4EFB"/>
    <w:rsid w:val="005A4F57"/>
    <w:rsid w:val="005A5445"/>
    <w:rsid w:val="005A55A6"/>
    <w:rsid w:val="005A5618"/>
    <w:rsid w:val="005A570C"/>
    <w:rsid w:val="005A5723"/>
    <w:rsid w:val="005A5836"/>
    <w:rsid w:val="005A5B07"/>
    <w:rsid w:val="005A5BD0"/>
    <w:rsid w:val="005A5D69"/>
    <w:rsid w:val="005A5D97"/>
    <w:rsid w:val="005A5DED"/>
    <w:rsid w:val="005A5E51"/>
    <w:rsid w:val="005A5E90"/>
    <w:rsid w:val="005A5EED"/>
    <w:rsid w:val="005A5FB6"/>
    <w:rsid w:val="005A61C4"/>
    <w:rsid w:val="005A6594"/>
    <w:rsid w:val="005A6AA1"/>
    <w:rsid w:val="005A6E71"/>
    <w:rsid w:val="005A70B6"/>
    <w:rsid w:val="005A70BF"/>
    <w:rsid w:val="005A71AA"/>
    <w:rsid w:val="005A7269"/>
    <w:rsid w:val="005A72BF"/>
    <w:rsid w:val="005A7672"/>
    <w:rsid w:val="005A7A30"/>
    <w:rsid w:val="005A7B26"/>
    <w:rsid w:val="005A7B8D"/>
    <w:rsid w:val="005A7B92"/>
    <w:rsid w:val="005A7CF6"/>
    <w:rsid w:val="005A7D59"/>
    <w:rsid w:val="005B00FA"/>
    <w:rsid w:val="005B04B9"/>
    <w:rsid w:val="005B0B82"/>
    <w:rsid w:val="005B0BDB"/>
    <w:rsid w:val="005B0DC8"/>
    <w:rsid w:val="005B109F"/>
    <w:rsid w:val="005B10D9"/>
    <w:rsid w:val="005B1259"/>
    <w:rsid w:val="005B14D2"/>
    <w:rsid w:val="005B15E2"/>
    <w:rsid w:val="005B1A92"/>
    <w:rsid w:val="005B1B74"/>
    <w:rsid w:val="005B1B76"/>
    <w:rsid w:val="005B1BB0"/>
    <w:rsid w:val="005B1DE8"/>
    <w:rsid w:val="005B1F80"/>
    <w:rsid w:val="005B20DD"/>
    <w:rsid w:val="005B234F"/>
    <w:rsid w:val="005B2465"/>
    <w:rsid w:val="005B28AB"/>
    <w:rsid w:val="005B29D9"/>
    <w:rsid w:val="005B2AB8"/>
    <w:rsid w:val="005B2C85"/>
    <w:rsid w:val="005B2C8A"/>
    <w:rsid w:val="005B2D71"/>
    <w:rsid w:val="005B3017"/>
    <w:rsid w:val="005B30EA"/>
    <w:rsid w:val="005B311B"/>
    <w:rsid w:val="005B31E7"/>
    <w:rsid w:val="005B3239"/>
    <w:rsid w:val="005B36F2"/>
    <w:rsid w:val="005B3EB4"/>
    <w:rsid w:val="005B3F8E"/>
    <w:rsid w:val="005B41AB"/>
    <w:rsid w:val="005B423A"/>
    <w:rsid w:val="005B4CB5"/>
    <w:rsid w:val="005B51E0"/>
    <w:rsid w:val="005B52CF"/>
    <w:rsid w:val="005B544F"/>
    <w:rsid w:val="005B5A89"/>
    <w:rsid w:val="005B5AB9"/>
    <w:rsid w:val="005B5DBC"/>
    <w:rsid w:val="005B5ED5"/>
    <w:rsid w:val="005B614D"/>
    <w:rsid w:val="005B6202"/>
    <w:rsid w:val="005B625E"/>
    <w:rsid w:val="005B6370"/>
    <w:rsid w:val="005B657C"/>
    <w:rsid w:val="005B6887"/>
    <w:rsid w:val="005B691C"/>
    <w:rsid w:val="005B6D47"/>
    <w:rsid w:val="005B6D9E"/>
    <w:rsid w:val="005B6E9A"/>
    <w:rsid w:val="005B72B3"/>
    <w:rsid w:val="005B72E6"/>
    <w:rsid w:val="005B7301"/>
    <w:rsid w:val="005B738E"/>
    <w:rsid w:val="005B7481"/>
    <w:rsid w:val="005B78BE"/>
    <w:rsid w:val="005B7960"/>
    <w:rsid w:val="005B7ABD"/>
    <w:rsid w:val="005B7ADE"/>
    <w:rsid w:val="005B7DD6"/>
    <w:rsid w:val="005B7F80"/>
    <w:rsid w:val="005C0341"/>
    <w:rsid w:val="005C0426"/>
    <w:rsid w:val="005C072F"/>
    <w:rsid w:val="005C0737"/>
    <w:rsid w:val="005C08EE"/>
    <w:rsid w:val="005C0AA6"/>
    <w:rsid w:val="005C0AA9"/>
    <w:rsid w:val="005C0AC1"/>
    <w:rsid w:val="005C0BDF"/>
    <w:rsid w:val="005C0E78"/>
    <w:rsid w:val="005C0F3D"/>
    <w:rsid w:val="005C10A5"/>
    <w:rsid w:val="005C124C"/>
    <w:rsid w:val="005C139F"/>
    <w:rsid w:val="005C1546"/>
    <w:rsid w:val="005C1B96"/>
    <w:rsid w:val="005C1BAD"/>
    <w:rsid w:val="005C1C36"/>
    <w:rsid w:val="005C21C4"/>
    <w:rsid w:val="005C22B4"/>
    <w:rsid w:val="005C24F2"/>
    <w:rsid w:val="005C2564"/>
    <w:rsid w:val="005C25F5"/>
    <w:rsid w:val="005C2621"/>
    <w:rsid w:val="005C26FC"/>
    <w:rsid w:val="005C27CC"/>
    <w:rsid w:val="005C2A12"/>
    <w:rsid w:val="005C2A57"/>
    <w:rsid w:val="005C2DAC"/>
    <w:rsid w:val="005C2DC0"/>
    <w:rsid w:val="005C2DEF"/>
    <w:rsid w:val="005C2F84"/>
    <w:rsid w:val="005C3557"/>
    <w:rsid w:val="005C3768"/>
    <w:rsid w:val="005C382A"/>
    <w:rsid w:val="005C3A44"/>
    <w:rsid w:val="005C3B99"/>
    <w:rsid w:val="005C3C51"/>
    <w:rsid w:val="005C40AC"/>
    <w:rsid w:val="005C41A7"/>
    <w:rsid w:val="005C4493"/>
    <w:rsid w:val="005C4554"/>
    <w:rsid w:val="005C4655"/>
    <w:rsid w:val="005C4B17"/>
    <w:rsid w:val="005C4D48"/>
    <w:rsid w:val="005C4DB6"/>
    <w:rsid w:val="005C55A3"/>
    <w:rsid w:val="005C57C6"/>
    <w:rsid w:val="005C58BE"/>
    <w:rsid w:val="005C5C2E"/>
    <w:rsid w:val="005C5EDC"/>
    <w:rsid w:val="005C602F"/>
    <w:rsid w:val="005C68AB"/>
    <w:rsid w:val="005C6A0B"/>
    <w:rsid w:val="005C6A2C"/>
    <w:rsid w:val="005C6CB3"/>
    <w:rsid w:val="005C6D63"/>
    <w:rsid w:val="005C70D0"/>
    <w:rsid w:val="005C7205"/>
    <w:rsid w:val="005C7463"/>
    <w:rsid w:val="005C7516"/>
    <w:rsid w:val="005C76C9"/>
    <w:rsid w:val="005C7AC0"/>
    <w:rsid w:val="005C7C2A"/>
    <w:rsid w:val="005C7D5E"/>
    <w:rsid w:val="005D0060"/>
    <w:rsid w:val="005D018B"/>
    <w:rsid w:val="005D0736"/>
    <w:rsid w:val="005D07E1"/>
    <w:rsid w:val="005D0928"/>
    <w:rsid w:val="005D0C28"/>
    <w:rsid w:val="005D0FDC"/>
    <w:rsid w:val="005D105D"/>
    <w:rsid w:val="005D110F"/>
    <w:rsid w:val="005D119A"/>
    <w:rsid w:val="005D1217"/>
    <w:rsid w:val="005D122F"/>
    <w:rsid w:val="005D130F"/>
    <w:rsid w:val="005D1487"/>
    <w:rsid w:val="005D1755"/>
    <w:rsid w:val="005D1978"/>
    <w:rsid w:val="005D1B0D"/>
    <w:rsid w:val="005D1BD2"/>
    <w:rsid w:val="005D1C82"/>
    <w:rsid w:val="005D1F18"/>
    <w:rsid w:val="005D1F77"/>
    <w:rsid w:val="005D218C"/>
    <w:rsid w:val="005D2205"/>
    <w:rsid w:val="005D25DA"/>
    <w:rsid w:val="005D265F"/>
    <w:rsid w:val="005D31B2"/>
    <w:rsid w:val="005D32DE"/>
    <w:rsid w:val="005D354D"/>
    <w:rsid w:val="005D366E"/>
    <w:rsid w:val="005D36C3"/>
    <w:rsid w:val="005D371C"/>
    <w:rsid w:val="005D37DA"/>
    <w:rsid w:val="005D3839"/>
    <w:rsid w:val="005D3A0A"/>
    <w:rsid w:val="005D3A8D"/>
    <w:rsid w:val="005D3CCA"/>
    <w:rsid w:val="005D3CD3"/>
    <w:rsid w:val="005D3CE1"/>
    <w:rsid w:val="005D3CED"/>
    <w:rsid w:val="005D3DA6"/>
    <w:rsid w:val="005D3E0E"/>
    <w:rsid w:val="005D41D6"/>
    <w:rsid w:val="005D4326"/>
    <w:rsid w:val="005D435A"/>
    <w:rsid w:val="005D44CA"/>
    <w:rsid w:val="005D4773"/>
    <w:rsid w:val="005D4783"/>
    <w:rsid w:val="005D489A"/>
    <w:rsid w:val="005D4B9D"/>
    <w:rsid w:val="005D4BA2"/>
    <w:rsid w:val="005D4C0A"/>
    <w:rsid w:val="005D4E62"/>
    <w:rsid w:val="005D5115"/>
    <w:rsid w:val="005D5140"/>
    <w:rsid w:val="005D515D"/>
    <w:rsid w:val="005D55B7"/>
    <w:rsid w:val="005D56F0"/>
    <w:rsid w:val="005D58D7"/>
    <w:rsid w:val="005D59A1"/>
    <w:rsid w:val="005D5A78"/>
    <w:rsid w:val="005D5ACE"/>
    <w:rsid w:val="005D5BA6"/>
    <w:rsid w:val="005D5D8D"/>
    <w:rsid w:val="005D611A"/>
    <w:rsid w:val="005D61C0"/>
    <w:rsid w:val="005D61D6"/>
    <w:rsid w:val="005D638E"/>
    <w:rsid w:val="005D66B1"/>
    <w:rsid w:val="005D6797"/>
    <w:rsid w:val="005D6A10"/>
    <w:rsid w:val="005D6A1A"/>
    <w:rsid w:val="005D6ADB"/>
    <w:rsid w:val="005D6BCD"/>
    <w:rsid w:val="005D6C29"/>
    <w:rsid w:val="005D6D85"/>
    <w:rsid w:val="005D6FEB"/>
    <w:rsid w:val="005D7089"/>
    <w:rsid w:val="005D71C4"/>
    <w:rsid w:val="005D74B2"/>
    <w:rsid w:val="005D77E9"/>
    <w:rsid w:val="005D7927"/>
    <w:rsid w:val="005D7A73"/>
    <w:rsid w:val="005D7B7F"/>
    <w:rsid w:val="005D7C40"/>
    <w:rsid w:val="005D7CB7"/>
    <w:rsid w:val="005D7CCD"/>
    <w:rsid w:val="005D7DFA"/>
    <w:rsid w:val="005E00EA"/>
    <w:rsid w:val="005E04E5"/>
    <w:rsid w:val="005E0BA7"/>
    <w:rsid w:val="005E12BA"/>
    <w:rsid w:val="005E15AA"/>
    <w:rsid w:val="005E15C0"/>
    <w:rsid w:val="005E15F7"/>
    <w:rsid w:val="005E1765"/>
    <w:rsid w:val="005E1AB2"/>
    <w:rsid w:val="005E1C8A"/>
    <w:rsid w:val="005E1DFC"/>
    <w:rsid w:val="005E202D"/>
    <w:rsid w:val="005E21A6"/>
    <w:rsid w:val="005E222C"/>
    <w:rsid w:val="005E2394"/>
    <w:rsid w:val="005E2545"/>
    <w:rsid w:val="005E25B1"/>
    <w:rsid w:val="005E28F9"/>
    <w:rsid w:val="005E2AF3"/>
    <w:rsid w:val="005E2B96"/>
    <w:rsid w:val="005E2F30"/>
    <w:rsid w:val="005E309A"/>
    <w:rsid w:val="005E321E"/>
    <w:rsid w:val="005E3251"/>
    <w:rsid w:val="005E3620"/>
    <w:rsid w:val="005E37E4"/>
    <w:rsid w:val="005E3B9A"/>
    <w:rsid w:val="005E3E65"/>
    <w:rsid w:val="005E406A"/>
    <w:rsid w:val="005E408D"/>
    <w:rsid w:val="005E4169"/>
    <w:rsid w:val="005E41C5"/>
    <w:rsid w:val="005E420C"/>
    <w:rsid w:val="005E435D"/>
    <w:rsid w:val="005E4516"/>
    <w:rsid w:val="005E45BF"/>
    <w:rsid w:val="005E4991"/>
    <w:rsid w:val="005E49B4"/>
    <w:rsid w:val="005E4ADB"/>
    <w:rsid w:val="005E4E97"/>
    <w:rsid w:val="005E523C"/>
    <w:rsid w:val="005E52C2"/>
    <w:rsid w:val="005E5378"/>
    <w:rsid w:val="005E543D"/>
    <w:rsid w:val="005E5BB3"/>
    <w:rsid w:val="005E5C8F"/>
    <w:rsid w:val="005E607A"/>
    <w:rsid w:val="005E6473"/>
    <w:rsid w:val="005E6A66"/>
    <w:rsid w:val="005E6B71"/>
    <w:rsid w:val="005E6B7B"/>
    <w:rsid w:val="005E6CE8"/>
    <w:rsid w:val="005E6DFA"/>
    <w:rsid w:val="005E6E78"/>
    <w:rsid w:val="005E6EB7"/>
    <w:rsid w:val="005E70F8"/>
    <w:rsid w:val="005E72E0"/>
    <w:rsid w:val="005E737A"/>
    <w:rsid w:val="005E75FC"/>
    <w:rsid w:val="005E760A"/>
    <w:rsid w:val="005E77D7"/>
    <w:rsid w:val="005E7AA1"/>
    <w:rsid w:val="005E7B64"/>
    <w:rsid w:val="005E7CFB"/>
    <w:rsid w:val="005E7D7B"/>
    <w:rsid w:val="005E7EE5"/>
    <w:rsid w:val="005E7F5E"/>
    <w:rsid w:val="005F0040"/>
    <w:rsid w:val="005F040C"/>
    <w:rsid w:val="005F04DD"/>
    <w:rsid w:val="005F0A2B"/>
    <w:rsid w:val="005F0AD5"/>
    <w:rsid w:val="005F0D8B"/>
    <w:rsid w:val="005F0DB8"/>
    <w:rsid w:val="005F121C"/>
    <w:rsid w:val="005F1260"/>
    <w:rsid w:val="005F12B7"/>
    <w:rsid w:val="005F13C7"/>
    <w:rsid w:val="005F1672"/>
    <w:rsid w:val="005F187D"/>
    <w:rsid w:val="005F1917"/>
    <w:rsid w:val="005F1D5D"/>
    <w:rsid w:val="005F1E6A"/>
    <w:rsid w:val="005F1EAF"/>
    <w:rsid w:val="005F21DC"/>
    <w:rsid w:val="005F2338"/>
    <w:rsid w:val="005F236A"/>
    <w:rsid w:val="005F29F8"/>
    <w:rsid w:val="005F2AB7"/>
    <w:rsid w:val="005F2BDF"/>
    <w:rsid w:val="005F321D"/>
    <w:rsid w:val="005F3243"/>
    <w:rsid w:val="005F360F"/>
    <w:rsid w:val="005F37BF"/>
    <w:rsid w:val="005F381D"/>
    <w:rsid w:val="005F38BD"/>
    <w:rsid w:val="005F3953"/>
    <w:rsid w:val="005F3975"/>
    <w:rsid w:val="005F3C1D"/>
    <w:rsid w:val="005F434F"/>
    <w:rsid w:val="005F4574"/>
    <w:rsid w:val="005F459F"/>
    <w:rsid w:val="005F462F"/>
    <w:rsid w:val="005F4645"/>
    <w:rsid w:val="005F4B82"/>
    <w:rsid w:val="005F4C5D"/>
    <w:rsid w:val="005F4D53"/>
    <w:rsid w:val="005F4E77"/>
    <w:rsid w:val="005F51B8"/>
    <w:rsid w:val="005F5225"/>
    <w:rsid w:val="005F52B1"/>
    <w:rsid w:val="005F52E4"/>
    <w:rsid w:val="005F54BE"/>
    <w:rsid w:val="005F5584"/>
    <w:rsid w:val="005F569C"/>
    <w:rsid w:val="005F5765"/>
    <w:rsid w:val="005F57AA"/>
    <w:rsid w:val="005F58B5"/>
    <w:rsid w:val="005F58D0"/>
    <w:rsid w:val="005F5AAE"/>
    <w:rsid w:val="005F5C54"/>
    <w:rsid w:val="005F5C93"/>
    <w:rsid w:val="005F5E16"/>
    <w:rsid w:val="005F60FF"/>
    <w:rsid w:val="005F645F"/>
    <w:rsid w:val="005F65BA"/>
    <w:rsid w:val="005F67F6"/>
    <w:rsid w:val="005F6923"/>
    <w:rsid w:val="005F6C77"/>
    <w:rsid w:val="005F6CE6"/>
    <w:rsid w:val="005F6D59"/>
    <w:rsid w:val="005F6EAE"/>
    <w:rsid w:val="005F7352"/>
    <w:rsid w:val="005F73CB"/>
    <w:rsid w:val="005F742D"/>
    <w:rsid w:val="005F7681"/>
    <w:rsid w:val="005F7886"/>
    <w:rsid w:val="005F7AC3"/>
    <w:rsid w:val="005F7C7B"/>
    <w:rsid w:val="005F7CE4"/>
    <w:rsid w:val="005F7E7D"/>
    <w:rsid w:val="005F7F54"/>
    <w:rsid w:val="00600079"/>
    <w:rsid w:val="006000DC"/>
    <w:rsid w:val="00600402"/>
    <w:rsid w:val="006004E6"/>
    <w:rsid w:val="00600597"/>
    <w:rsid w:val="00600703"/>
    <w:rsid w:val="00600718"/>
    <w:rsid w:val="0060081D"/>
    <w:rsid w:val="0060082B"/>
    <w:rsid w:val="006008D4"/>
    <w:rsid w:val="00600A75"/>
    <w:rsid w:val="00600AD1"/>
    <w:rsid w:val="0060120F"/>
    <w:rsid w:val="0060137B"/>
    <w:rsid w:val="00601636"/>
    <w:rsid w:val="006018ED"/>
    <w:rsid w:val="00601933"/>
    <w:rsid w:val="00601ABF"/>
    <w:rsid w:val="00601B16"/>
    <w:rsid w:val="00601BFC"/>
    <w:rsid w:val="00601CA0"/>
    <w:rsid w:val="00601D9C"/>
    <w:rsid w:val="00601E70"/>
    <w:rsid w:val="00601FC9"/>
    <w:rsid w:val="00602245"/>
    <w:rsid w:val="0060242F"/>
    <w:rsid w:val="006024EA"/>
    <w:rsid w:val="00602A03"/>
    <w:rsid w:val="00602C72"/>
    <w:rsid w:val="00602E6F"/>
    <w:rsid w:val="00602FFD"/>
    <w:rsid w:val="0060302A"/>
    <w:rsid w:val="006034EA"/>
    <w:rsid w:val="006036A2"/>
    <w:rsid w:val="006037B8"/>
    <w:rsid w:val="006037BE"/>
    <w:rsid w:val="006037C5"/>
    <w:rsid w:val="00603986"/>
    <w:rsid w:val="00603C3A"/>
    <w:rsid w:val="00603DCF"/>
    <w:rsid w:val="00603E8E"/>
    <w:rsid w:val="006044B7"/>
    <w:rsid w:val="0060485D"/>
    <w:rsid w:val="00604914"/>
    <w:rsid w:val="00604A09"/>
    <w:rsid w:val="00604AF5"/>
    <w:rsid w:val="00604C88"/>
    <w:rsid w:val="00604D6B"/>
    <w:rsid w:val="0060505A"/>
    <w:rsid w:val="0060516E"/>
    <w:rsid w:val="00605379"/>
    <w:rsid w:val="00605380"/>
    <w:rsid w:val="00605546"/>
    <w:rsid w:val="00605586"/>
    <w:rsid w:val="00605DD2"/>
    <w:rsid w:val="00605E0D"/>
    <w:rsid w:val="00605EA0"/>
    <w:rsid w:val="0060625C"/>
    <w:rsid w:val="006062D6"/>
    <w:rsid w:val="00606305"/>
    <w:rsid w:val="00606569"/>
    <w:rsid w:val="006069F6"/>
    <w:rsid w:val="006069FE"/>
    <w:rsid w:val="00606B64"/>
    <w:rsid w:val="00606BEA"/>
    <w:rsid w:val="00606D54"/>
    <w:rsid w:val="00606D66"/>
    <w:rsid w:val="00606D70"/>
    <w:rsid w:val="00606E5B"/>
    <w:rsid w:val="0060711B"/>
    <w:rsid w:val="006071C2"/>
    <w:rsid w:val="00607360"/>
    <w:rsid w:val="0060739C"/>
    <w:rsid w:val="006073E1"/>
    <w:rsid w:val="0060747F"/>
    <w:rsid w:val="0060749F"/>
    <w:rsid w:val="0060758E"/>
    <w:rsid w:val="00607618"/>
    <w:rsid w:val="00607969"/>
    <w:rsid w:val="00607AB7"/>
    <w:rsid w:val="00607ABB"/>
    <w:rsid w:val="00607BE5"/>
    <w:rsid w:val="00607DE5"/>
    <w:rsid w:val="00607E91"/>
    <w:rsid w:val="00607F0B"/>
    <w:rsid w:val="0061007C"/>
    <w:rsid w:val="00610145"/>
    <w:rsid w:val="006101C2"/>
    <w:rsid w:val="00610647"/>
    <w:rsid w:val="006107AA"/>
    <w:rsid w:val="00610883"/>
    <w:rsid w:val="00610902"/>
    <w:rsid w:val="0061099D"/>
    <w:rsid w:val="006109D3"/>
    <w:rsid w:val="00610AFC"/>
    <w:rsid w:val="00610BBA"/>
    <w:rsid w:val="00610DFD"/>
    <w:rsid w:val="00610F45"/>
    <w:rsid w:val="006111EB"/>
    <w:rsid w:val="0061156D"/>
    <w:rsid w:val="006116BA"/>
    <w:rsid w:val="00611750"/>
    <w:rsid w:val="006117C0"/>
    <w:rsid w:val="00611868"/>
    <w:rsid w:val="00611BDA"/>
    <w:rsid w:val="00611E8B"/>
    <w:rsid w:val="00611F1A"/>
    <w:rsid w:val="00611FC2"/>
    <w:rsid w:val="0061234B"/>
    <w:rsid w:val="00612491"/>
    <w:rsid w:val="006125EB"/>
    <w:rsid w:val="006128C8"/>
    <w:rsid w:val="00612C35"/>
    <w:rsid w:val="00612CFA"/>
    <w:rsid w:val="00612DF9"/>
    <w:rsid w:val="00612F07"/>
    <w:rsid w:val="00612F47"/>
    <w:rsid w:val="0061302B"/>
    <w:rsid w:val="00613500"/>
    <w:rsid w:val="0061376C"/>
    <w:rsid w:val="006137C9"/>
    <w:rsid w:val="0061381D"/>
    <w:rsid w:val="00613846"/>
    <w:rsid w:val="00613984"/>
    <w:rsid w:val="006139A9"/>
    <w:rsid w:val="006139B6"/>
    <w:rsid w:val="00613B70"/>
    <w:rsid w:val="00613B81"/>
    <w:rsid w:val="00613FE8"/>
    <w:rsid w:val="006140A7"/>
    <w:rsid w:val="006143AF"/>
    <w:rsid w:val="006147AD"/>
    <w:rsid w:val="006147F8"/>
    <w:rsid w:val="00614835"/>
    <w:rsid w:val="00614F4E"/>
    <w:rsid w:val="00614FEB"/>
    <w:rsid w:val="006150BD"/>
    <w:rsid w:val="006151A2"/>
    <w:rsid w:val="006152B1"/>
    <w:rsid w:val="006152F7"/>
    <w:rsid w:val="0061531D"/>
    <w:rsid w:val="00615382"/>
    <w:rsid w:val="0061555A"/>
    <w:rsid w:val="00615770"/>
    <w:rsid w:val="006157AA"/>
    <w:rsid w:val="006159C0"/>
    <w:rsid w:val="00615CBB"/>
    <w:rsid w:val="00615D1D"/>
    <w:rsid w:val="00615EAC"/>
    <w:rsid w:val="0061601A"/>
    <w:rsid w:val="00616085"/>
    <w:rsid w:val="00616102"/>
    <w:rsid w:val="00616124"/>
    <w:rsid w:val="00616447"/>
    <w:rsid w:val="0061672D"/>
    <w:rsid w:val="006168D2"/>
    <w:rsid w:val="0061698F"/>
    <w:rsid w:val="00616BFB"/>
    <w:rsid w:val="00616CE5"/>
    <w:rsid w:val="00616E12"/>
    <w:rsid w:val="00616FA5"/>
    <w:rsid w:val="0061707E"/>
    <w:rsid w:val="0061740F"/>
    <w:rsid w:val="006175F3"/>
    <w:rsid w:val="00617DD7"/>
    <w:rsid w:val="00617F26"/>
    <w:rsid w:val="00620180"/>
    <w:rsid w:val="006206F4"/>
    <w:rsid w:val="00620AF3"/>
    <w:rsid w:val="00620BFF"/>
    <w:rsid w:val="00620DBD"/>
    <w:rsid w:val="00620EB8"/>
    <w:rsid w:val="00621179"/>
    <w:rsid w:val="006211D2"/>
    <w:rsid w:val="0062137D"/>
    <w:rsid w:val="006216B9"/>
    <w:rsid w:val="00621738"/>
    <w:rsid w:val="00621896"/>
    <w:rsid w:val="006219B4"/>
    <w:rsid w:val="006219F5"/>
    <w:rsid w:val="00621BD2"/>
    <w:rsid w:val="00621C4B"/>
    <w:rsid w:val="00621CDD"/>
    <w:rsid w:val="00621DA0"/>
    <w:rsid w:val="00621EAB"/>
    <w:rsid w:val="00622113"/>
    <w:rsid w:val="006222DE"/>
    <w:rsid w:val="00622314"/>
    <w:rsid w:val="006223AE"/>
    <w:rsid w:val="00622547"/>
    <w:rsid w:val="006225B9"/>
    <w:rsid w:val="006225C2"/>
    <w:rsid w:val="0062268F"/>
    <w:rsid w:val="00622D41"/>
    <w:rsid w:val="00622DCC"/>
    <w:rsid w:val="00622E21"/>
    <w:rsid w:val="00622FC5"/>
    <w:rsid w:val="00623018"/>
    <w:rsid w:val="00623083"/>
    <w:rsid w:val="0062328C"/>
    <w:rsid w:val="006232AA"/>
    <w:rsid w:val="00623547"/>
    <w:rsid w:val="00623C4B"/>
    <w:rsid w:val="0062409D"/>
    <w:rsid w:val="0062410A"/>
    <w:rsid w:val="006241F8"/>
    <w:rsid w:val="006242A6"/>
    <w:rsid w:val="0062435E"/>
    <w:rsid w:val="00624453"/>
    <w:rsid w:val="00624631"/>
    <w:rsid w:val="0062464F"/>
    <w:rsid w:val="006249F3"/>
    <w:rsid w:val="00624BBB"/>
    <w:rsid w:val="00624C04"/>
    <w:rsid w:val="00624EC1"/>
    <w:rsid w:val="00624EC8"/>
    <w:rsid w:val="00625074"/>
    <w:rsid w:val="0062509A"/>
    <w:rsid w:val="006250F1"/>
    <w:rsid w:val="0062522F"/>
    <w:rsid w:val="006252BB"/>
    <w:rsid w:val="006254C6"/>
    <w:rsid w:val="0062553D"/>
    <w:rsid w:val="00625812"/>
    <w:rsid w:val="006258EF"/>
    <w:rsid w:val="00625A71"/>
    <w:rsid w:val="00625B67"/>
    <w:rsid w:val="00625C75"/>
    <w:rsid w:val="00625CE9"/>
    <w:rsid w:val="00625D01"/>
    <w:rsid w:val="00625DDD"/>
    <w:rsid w:val="00625EF3"/>
    <w:rsid w:val="00625F35"/>
    <w:rsid w:val="00625F8F"/>
    <w:rsid w:val="006260A7"/>
    <w:rsid w:val="006260C0"/>
    <w:rsid w:val="006262EF"/>
    <w:rsid w:val="00626546"/>
    <w:rsid w:val="00626815"/>
    <w:rsid w:val="00626938"/>
    <w:rsid w:val="0062693F"/>
    <w:rsid w:val="00626A4C"/>
    <w:rsid w:val="00626D2A"/>
    <w:rsid w:val="00626E6C"/>
    <w:rsid w:val="00626EAD"/>
    <w:rsid w:val="00626F44"/>
    <w:rsid w:val="00626F45"/>
    <w:rsid w:val="006270BB"/>
    <w:rsid w:val="006270DE"/>
    <w:rsid w:val="006271B9"/>
    <w:rsid w:val="00627290"/>
    <w:rsid w:val="006273CF"/>
    <w:rsid w:val="00627550"/>
    <w:rsid w:val="0062772A"/>
    <w:rsid w:val="00627736"/>
    <w:rsid w:val="0062783A"/>
    <w:rsid w:val="006279C9"/>
    <w:rsid w:val="00627A07"/>
    <w:rsid w:val="00627B18"/>
    <w:rsid w:val="00627BF4"/>
    <w:rsid w:val="00627C5D"/>
    <w:rsid w:val="00627DC3"/>
    <w:rsid w:val="00627E92"/>
    <w:rsid w:val="00627E95"/>
    <w:rsid w:val="00627EF7"/>
    <w:rsid w:val="006300C0"/>
    <w:rsid w:val="00630179"/>
    <w:rsid w:val="006301F9"/>
    <w:rsid w:val="00630255"/>
    <w:rsid w:val="00630339"/>
    <w:rsid w:val="00630430"/>
    <w:rsid w:val="00630C4A"/>
    <w:rsid w:val="0063100D"/>
    <w:rsid w:val="0063106C"/>
    <w:rsid w:val="006310BC"/>
    <w:rsid w:val="0063117A"/>
    <w:rsid w:val="006314E7"/>
    <w:rsid w:val="00631A27"/>
    <w:rsid w:val="00631A71"/>
    <w:rsid w:val="00631A88"/>
    <w:rsid w:val="00632215"/>
    <w:rsid w:val="006322D4"/>
    <w:rsid w:val="00632400"/>
    <w:rsid w:val="006325D4"/>
    <w:rsid w:val="006325F1"/>
    <w:rsid w:val="006329D8"/>
    <w:rsid w:val="00632ABF"/>
    <w:rsid w:val="00632C68"/>
    <w:rsid w:val="00632C74"/>
    <w:rsid w:val="00632D82"/>
    <w:rsid w:val="00632F95"/>
    <w:rsid w:val="00632FD4"/>
    <w:rsid w:val="0063302E"/>
    <w:rsid w:val="006333E1"/>
    <w:rsid w:val="0063353C"/>
    <w:rsid w:val="00633552"/>
    <w:rsid w:val="00633853"/>
    <w:rsid w:val="006339DD"/>
    <w:rsid w:val="00633B72"/>
    <w:rsid w:val="00633BA5"/>
    <w:rsid w:val="00633C94"/>
    <w:rsid w:val="00633E64"/>
    <w:rsid w:val="00634162"/>
    <w:rsid w:val="00634206"/>
    <w:rsid w:val="006344DD"/>
    <w:rsid w:val="006345CF"/>
    <w:rsid w:val="006345F5"/>
    <w:rsid w:val="006346FD"/>
    <w:rsid w:val="006347FF"/>
    <w:rsid w:val="006349B7"/>
    <w:rsid w:val="00634A80"/>
    <w:rsid w:val="00634AA2"/>
    <w:rsid w:val="00634B32"/>
    <w:rsid w:val="00634B7E"/>
    <w:rsid w:val="00634C1A"/>
    <w:rsid w:val="00634C75"/>
    <w:rsid w:val="00634D56"/>
    <w:rsid w:val="00634D94"/>
    <w:rsid w:val="006352E8"/>
    <w:rsid w:val="006354E4"/>
    <w:rsid w:val="00635884"/>
    <w:rsid w:val="006359DF"/>
    <w:rsid w:val="00635A25"/>
    <w:rsid w:val="00635A3C"/>
    <w:rsid w:val="00635B5A"/>
    <w:rsid w:val="00635CEB"/>
    <w:rsid w:val="00635D44"/>
    <w:rsid w:val="00635E9D"/>
    <w:rsid w:val="006362DA"/>
    <w:rsid w:val="00636310"/>
    <w:rsid w:val="0063632A"/>
    <w:rsid w:val="0063638F"/>
    <w:rsid w:val="00636495"/>
    <w:rsid w:val="006365A8"/>
    <w:rsid w:val="00636609"/>
    <w:rsid w:val="00636636"/>
    <w:rsid w:val="00636A25"/>
    <w:rsid w:val="00636AE7"/>
    <w:rsid w:val="00637006"/>
    <w:rsid w:val="00637080"/>
    <w:rsid w:val="00637098"/>
    <w:rsid w:val="006370F6"/>
    <w:rsid w:val="006371BB"/>
    <w:rsid w:val="00637217"/>
    <w:rsid w:val="00637263"/>
    <w:rsid w:val="00637267"/>
    <w:rsid w:val="006375A3"/>
    <w:rsid w:val="0063762B"/>
    <w:rsid w:val="006376DF"/>
    <w:rsid w:val="006379DF"/>
    <w:rsid w:val="00637B5B"/>
    <w:rsid w:val="00637BD5"/>
    <w:rsid w:val="00637C5E"/>
    <w:rsid w:val="00637CAF"/>
    <w:rsid w:val="00637CB4"/>
    <w:rsid w:val="00637DB2"/>
    <w:rsid w:val="00637F1B"/>
    <w:rsid w:val="006401F5"/>
    <w:rsid w:val="0064032A"/>
    <w:rsid w:val="00640473"/>
    <w:rsid w:val="00640495"/>
    <w:rsid w:val="006405DA"/>
    <w:rsid w:val="006407D3"/>
    <w:rsid w:val="006409A3"/>
    <w:rsid w:val="00640A4C"/>
    <w:rsid w:val="00640A64"/>
    <w:rsid w:val="0064117E"/>
    <w:rsid w:val="0064119D"/>
    <w:rsid w:val="00641545"/>
    <w:rsid w:val="006415C5"/>
    <w:rsid w:val="00641933"/>
    <w:rsid w:val="00641CB0"/>
    <w:rsid w:val="00641F93"/>
    <w:rsid w:val="00641FBD"/>
    <w:rsid w:val="006422CC"/>
    <w:rsid w:val="006423C7"/>
    <w:rsid w:val="0064242A"/>
    <w:rsid w:val="0064246D"/>
    <w:rsid w:val="006425E6"/>
    <w:rsid w:val="00642669"/>
    <w:rsid w:val="0064266F"/>
    <w:rsid w:val="006426DA"/>
    <w:rsid w:val="00642723"/>
    <w:rsid w:val="00642BED"/>
    <w:rsid w:val="00642BFA"/>
    <w:rsid w:val="006431D4"/>
    <w:rsid w:val="006432A1"/>
    <w:rsid w:val="006435AC"/>
    <w:rsid w:val="006436BF"/>
    <w:rsid w:val="006436C4"/>
    <w:rsid w:val="006437CF"/>
    <w:rsid w:val="0064381F"/>
    <w:rsid w:val="00643895"/>
    <w:rsid w:val="00643899"/>
    <w:rsid w:val="00643ADE"/>
    <w:rsid w:val="00643E05"/>
    <w:rsid w:val="0064422E"/>
    <w:rsid w:val="00644293"/>
    <w:rsid w:val="006443C6"/>
    <w:rsid w:val="006444B3"/>
    <w:rsid w:val="006445B6"/>
    <w:rsid w:val="006445CC"/>
    <w:rsid w:val="00644607"/>
    <w:rsid w:val="00644625"/>
    <w:rsid w:val="00644664"/>
    <w:rsid w:val="00644A69"/>
    <w:rsid w:val="00644BE3"/>
    <w:rsid w:val="00644C15"/>
    <w:rsid w:val="00644CB0"/>
    <w:rsid w:val="00644E32"/>
    <w:rsid w:val="00645180"/>
    <w:rsid w:val="006451A1"/>
    <w:rsid w:val="0064536A"/>
    <w:rsid w:val="0064555C"/>
    <w:rsid w:val="0064589F"/>
    <w:rsid w:val="00645AD8"/>
    <w:rsid w:val="00645B00"/>
    <w:rsid w:val="00645C75"/>
    <w:rsid w:val="00645C81"/>
    <w:rsid w:val="00645CE9"/>
    <w:rsid w:val="00645DE4"/>
    <w:rsid w:val="00645EEA"/>
    <w:rsid w:val="00645F06"/>
    <w:rsid w:val="00645F46"/>
    <w:rsid w:val="0064621B"/>
    <w:rsid w:val="00646235"/>
    <w:rsid w:val="006462E7"/>
    <w:rsid w:val="006462EC"/>
    <w:rsid w:val="006465D1"/>
    <w:rsid w:val="006466D7"/>
    <w:rsid w:val="0064670E"/>
    <w:rsid w:val="00646838"/>
    <w:rsid w:val="0064687C"/>
    <w:rsid w:val="0064689C"/>
    <w:rsid w:val="00646B8C"/>
    <w:rsid w:val="00646B95"/>
    <w:rsid w:val="00646F82"/>
    <w:rsid w:val="00646FE5"/>
    <w:rsid w:val="00647027"/>
    <w:rsid w:val="006473F1"/>
    <w:rsid w:val="0064744B"/>
    <w:rsid w:val="006474E7"/>
    <w:rsid w:val="0064764D"/>
    <w:rsid w:val="006476EB"/>
    <w:rsid w:val="0064796E"/>
    <w:rsid w:val="00647A2E"/>
    <w:rsid w:val="00647B4C"/>
    <w:rsid w:val="00647C26"/>
    <w:rsid w:val="00647E3D"/>
    <w:rsid w:val="00650105"/>
    <w:rsid w:val="0065026D"/>
    <w:rsid w:val="00650478"/>
    <w:rsid w:val="00650771"/>
    <w:rsid w:val="006507E2"/>
    <w:rsid w:val="00650862"/>
    <w:rsid w:val="006508A7"/>
    <w:rsid w:val="00650E42"/>
    <w:rsid w:val="00650E99"/>
    <w:rsid w:val="00651357"/>
    <w:rsid w:val="00651493"/>
    <w:rsid w:val="0065164A"/>
    <w:rsid w:val="00651829"/>
    <w:rsid w:val="0065197B"/>
    <w:rsid w:val="00651BCC"/>
    <w:rsid w:val="00651D29"/>
    <w:rsid w:val="00651D77"/>
    <w:rsid w:val="00651FD5"/>
    <w:rsid w:val="006520A7"/>
    <w:rsid w:val="006522C0"/>
    <w:rsid w:val="00652853"/>
    <w:rsid w:val="006529A9"/>
    <w:rsid w:val="00652A62"/>
    <w:rsid w:val="00652AFC"/>
    <w:rsid w:val="00652D24"/>
    <w:rsid w:val="00653040"/>
    <w:rsid w:val="00653105"/>
    <w:rsid w:val="00653636"/>
    <w:rsid w:val="00653A90"/>
    <w:rsid w:val="00653B39"/>
    <w:rsid w:val="00653C64"/>
    <w:rsid w:val="00653C79"/>
    <w:rsid w:val="00653C89"/>
    <w:rsid w:val="00653D36"/>
    <w:rsid w:val="00653FC3"/>
    <w:rsid w:val="006540A7"/>
    <w:rsid w:val="006542D8"/>
    <w:rsid w:val="006542FC"/>
    <w:rsid w:val="006544EC"/>
    <w:rsid w:val="006547BF"/>
    <w:rsid w:val="006547C5"/>
    <w:rsid w:val="006549B0"/>
    <w:rsid w:val="00654AD4"/>
    <w:rsid w:val="00654B97"/>
    <w:rsid w:val="00654C5A"/>
    <w:rsid w:val="00655008"/>
    <w:rsid w:val="0065510F"/>
    <w:rsid w:val="006554F6"/>
    <w:rsid w:val="0065564C"/>
    <w:rsid w:val="00655C39"/>
    <w:rsid w:val="00655C87"/>
    <w:rsid w:val="0065624E"/>
    <w:rsid w:val="00656419"/>
    <w:rsid w:val="00656465"/>
    <w:rsid w:val="0065674B"/>
    <w:rsid w:val="00656894"/>
    <w:rsid w:val="00656AEA"/>
    <w:rsid w:val="00656E05"/>
    <w:rsid w:val="00657142"/>
    <w:rsid w:val="00657168"/>
    <w:rsid w:val="00657171"/>
    <w:rsid w:val="006572A0"/>
    <w:rsid w:val="006576B8"/>
    <w:rsid w:val="006578EF"/>
    <w:rsid w:val="00657998"/>
    <w:rsid w:val="006579DB"/>
    <w:rsid w:val="00657D26"/>
    <w:rsid w:val="00657D6F"/>
    <w:rsid w:val="0066012F"/>
    <w:rsid w:val="00660198"/>
    <w:rsid w:val="006602BC"/>
    <w:rsid w:val="00660372"/>
    <w:rsid w:val="0066064E"/>
    <w:rsid w:val="0066068F"/>
    <w:rsid w:val="0066080E"/>
    <w:rsid w:val="00660816"/>
    <w:rsid w:val="00660969"/>
    <w:rsid w:val="0066096B"/>
    <w:rsid w:val="00660A05"/>
    <w:rsid w:val="00660A21"/>
    <w:rsid w:val="00660A5F"/>
    <w:rsid w:val="00660B89"/>
    <w:rsid w:val="00660C68"/>
    <w:rsid w:val="00660E35"/>
    <w:rsid w:val="00660E42"/>
    <w:rsid w:val="00661145"/>
    <w:rsid w:val="0066124F"/>
    <w:rsid w:val="006613D4"/>
    <w:rsid w:val="006617CC"/>
    <w:rsid w:val="00661AA1"/>
    <w:rsid w:val="00661B33"/>
    <w:rsid w:val="0066203C"/>
    <w:rsid w:val="00662092"/>
    <w:rsid w:val="0066217C"/>
    <w:rsid w:val="0066249E"/>
    <w:rsid w:val="006624F3"/>
    <w:rsid w:val="0066267D"/>
    <w:rsid w:val="006626EB"/>
    <w:rsid w:val="0066295F"/>
    <w:rsid w:val="00662A65"/>
    <w:rsid w:val="00662B9A"/>
    <w:rsid w:val="00662BFB"/>
    <w:rsid w:val="00662C8C"/>
    <w:rsid w:val="00662EBF"/>
    <w:rsid w:val="00663087"/>
    <w:rsid w:val="00663542"/>
    <w:rsid w:val="00663564"/>
    <w:rsid w:val="0066362E"/>
    <w:rsid w:val="00663DD7"/>
    <w:rsid w:val="00663EE5"/>
    <w:rsid w:val="006640BD"/>
    <w:rsid w:val="00664177"/>
    <w:rsid w:val="0066441D"/>
    <w:rsid w:val="006644D7"/>
    <w:rsid w:val="00664922"/>
    <w:rsid w:val="00664F75"/>
    <w:rsid w:val="006653F4"/>
    <w:rsid w:val="00665518"/>
    <w:rsid w:val="00665613"/>
    <w:rsid w:val="0066577F"/>
    <w:rsid w:val="00665889"/>
    <w:rsid w:val="00665D79"/>
    <w:rsid w:val="00665E6D"/>
    <w:rsid w:val="00665E93"/>
    <w:rsid w:val="00665F76"/>
    <w:rsid w:val="00665FB7"/>
    <w:rsid w:val="00666026"/>
    <w:rsid w:val="0066623C"/>
    <w:rsid w:val="00666243"/>
    <w:rsid w:val="00666409"/>
    <w:rsid w:val="0066646D"/>
    <w:rsid w:val="00666566"/>
    <w:rsid w:val="00666719"/>
    <w:rsid w:val="006667AA"/>
    <w:rsid w:val="00666808"/>
    <w:rsid w:val="00666A48"/>
    <w:rsid w:val="00666CEF"/>
    <w:rsid w:val="00666D47"/>
    <w:rsid w:val="00667040"/>
    <w:rsid w:val="0066713B"/>
    <w:rsid w:val="00667140"/>
    <w:rsid w:val="006671E1"/>
    <w:rsid w:val="0066730C"/>
    <w:rsid w:val="00667361"/>
    <w:rsid w:val="0066761A"/>
    <w:rsid w:val="00667647"/>
    <w:rsid w:val="00667668"/>
    <w:rsid w:val="00667836"/>
    <w:rsid w:val="006678BD"/>
    <w:rsid w:val="00667A08"/>
    <w:rsid w:val="00667AE1"/>
    <w:rsid w:val="00667BD0"/>
    <w:rsid w:val="00667CD8"/>
    <w:rsid w:val="00667CF1"/>
    <w:rsid w:val="00667DCF"/>
    <w:rsid w:val="00667E00"/>
    <w:rsid w:val="006701AE"/>
    <w:rsid w:val="006704F7"/>
    <w:rsid w:val="006707EE"/>
    <w:rsid w:val="00670833"/>
    <w:rsid w:val="0067084C"/>
    <w:rsid w:val="00670987"/>
    <w:rsid w:val="006709E8"/>
    <w:rsid w:val="00670A36"/>
    <w:rsid w:val="00670D5B"/>
    <w:rsid w:val="00670DBA"/>
    <w:rsid w:val="00670F86"/>
    <w:rsid w:val="006710E2"/>
    <w:rsid w:val="006712D0"/>
    <w:rsid w:val="00671446"/>
    <w:rsid w:val="006717DB"/>
    <w:rsid w:val="006718BD"/>
    <w:rsid w:val="00671970"/>
    <w:rsid w:val="00671979"/>
    <w:rsid w:val="0067198F"/>
    <w:rsid w:val="006719ED"/>
    <w:rsid w:val="00671A4E"/>
    <w:rsid w:val="00671A8C"/>
    <w:rsid w:val="00671A9B"/>
    <w:rsid w:val="00671AF5"/>
    <w:rsid w:val="0067240C"/>
    <w:rsid w:val="00672FB8"/>
    <w:rsid w:val="00673450"/>
    <w:rsid w:val="00673492"/>
    <w:rsid w:val="00673586"/>
    <w:rsid w:val="006738EE"/>
    <w:rsid w:val="00673949"/>
    <w:rsid w:val="0067442E"/>
    <w:rsid w:val="006744E4"/>
    <w:rsid w:val="006745BF"/>
    <w:rsid w:val="0067497F"/>
    <w:rsid w:val="00674A61"/>
    <w:rsid w:val="00674A88"/>
    <w:rsid w:val="00674BA8"/>
    <w:rsid w:val="00674CB7"/>
    <w:rsid w:val="00674CDE"/>
    <w:rsid w:val="00674D9F"/>
    <w:rsid w:val="00674F4C"/>
    <w:rsid w:val="00675016"/>
    <w:rsid w:val="00675038"/>
    <w:rsid w:val="006750C6"/>
    <w:rsid w:val="006752B3"/>
    <w:rsid w:val="00675523"/>
    <w:rsid w:val="0067573F"/>
    <w:rsid w:val="00675871"/>
    <w:rsid w:val="00675AAD"/>
    <w:rsid w:val="00675B88"/>
    <w:rsid w:val="00675BF6"/>
    <w:rsid w:val="00675C3B"/>
    <w:rsid w:val="00675D7F"/>
    <w:rsid w:val="00675DD5"/>
    <w:rsid w:val="00675E85"/>
    <w:rsid w:val="00675FFB"/>
    <w:rsid w:val="006768FC"/>
    <w:rsid w:val="00677067"/>
    <w:rsid w:val="006770EE"/>
    <w:rsid w:val="0067715A"/>
    <w:rsid w:val="006772AB"/>
    <w:rsid w:val="00677783"/>
    <w:rsid w:val="00677906"/>
    <w:rsid w:val="00677909"/>
    <w:rsid w:val="00677927"/>
    <w:rsid w:val="00677B9B"/>
    <w:rsid w:val="00677D0C"/>
    <w:rsid w:val="00677E49"/>
    <w:rsid w:val="00680029"/>
    <w:rsid w:val="006802C5"/>
    <w:rsid w:val="006802CA"/>
    <w:rsid w:val="00680393"/>
    <w:rsid w:val="00680461"/>
    <w:rsid w:val="00680500"/>
    <w:rsid w:val="006805D3"/>
    <w:rsid w:val="006806BB"/>
    <w:rsid w:val="00680797"/>
    <w:rsid w:val="00680991"/>
    <w:rsid w:val="00680A75"/>
    <w:rsid w:val="00680B79"/>
    <w:rsid w:val="00680CF4"/>
    <w:rsid w:val="00680D37"/>
    <w:rsid w:val="00680F62"/>
    <w:rsid w:val="00680FFC"/>
    <w:rsid w:val="006810C5"/>
    <w:rsid w:val="006810D3"/>
    <w:rsid w:val="0068119A"/>
    <w:rsid w:val="0068134E"/>
    <w:rsid w:val="0068149D"/>
    <w:rsid w:val="0068150C"/>
    <w:rsid w:val="00681779"/>
    <w:rsid w:val="006817F4"/>
    <w:rsid w:val="00681953"/>
    <w:rsid w:val="006819CB"/>
    <w:rsid w:val="00681BB2"/>
    <w:rsid w:val="00681BFF"/>
    <w:rsid w:val="00681C6F"/>
    <w:rsid w:val="00681CAF"/>
    <w:rsid w:val="00681D5B"/>
    <w:rsid w:val="00681DD6"/>
    <w:rsid w:val="00681EAF"/>
    <w:rsid w:val="00682066"/>
    <w:rsid w:val="00682160"/>
    <w:rsid w:val="006822ED"/>
    <w:rsid w:val="0068234B"/>
    <w:rsid w:val="00682389"/>
    <w:rsid w:val="00682438"/>
    <w:rsid w:val="00682AC3"/>
    <w:rsid w:val="00682FF2"/>
    <w:rsid w:val="006830CD"/>
    <w:rsid w:val="006830EB"/>
    <w:rsid w:val="006831FF"/>
    <w:rsid w:val="00683238"/>
    <w:rsid w:val="006832B5"/>
    <w:rsid w:val="00683300"/>
    <w:rsid w:val="0068349C"/>
    <w:rsid w:val="006837AB"/>
    <w:rsid w:val="00683C1A"/>
    <w:rsid w:val="00683C56"/>
    <w:rsid w:val="00683E6A"/>
    <w:rsid w:val="00683F63"/>
    <w:rsid w:val="006840A6"/>
    <w:rsid w:val="00684264"/>
    <w:rsid w:val="006845CE"/>
    <w:rsid w:val="00684809"/>
    <w:rsid w:val="0068480C"/>
    <w:rsid w:val="00684817"/>
    <w:rsid w:val="0068482C"/>
    <w:rsid w:val="006848B1"/>
    <w:rsid w:val="00684931"/>
    <w:rsid w:val="00684ACD"/>
    <w:rsid w:val="00685037"/>
    <w:rsid w:val="00685053"/>
    <w:rsid w:val="00685057"/>
    <w:rsid w:val="00685178"/>
    <w:rsid w:val="0068519C"/>
    <w:rsid w:val="0068519D"/>
    <w:rsid w:val="0068525B"/>
    <w:rsid w:val="00685314"/>
    <w:rsid w:val="00685459"/>
    <w:rsid w:val="00685472"/>
    <w:rsid w:val="0068560C"/>
    <w:rsid w:val="0068572A"/>
    <w:rsid w:val="00685872"/>
    <w:rsid w:val="00685996"/>
    <w:rsid w:val="00685B2C"/>
    <w:rsid w:val="00685B96"/>
    <w:rsid w:val="00685E65"/>
    <w:rsid w:val="00685EA4"/>
    <w:rsid w:val="006860D3"/>
    <w:rsid w:val="0068612C"/>
    <w:rsid w:val="00686133"/>
    <w:rsid w:val="006861AE"/>
    <w:rsid w:val="00686296"/>
    <w:rsid w:val="006862AB"/>
    <w:rsid w:val="006864EB"/>
    <w:rsid w:val="0068660A"/>
    <w:rsid w:val="00686957"/>
    <w:rsid w:val="00686C50"/>
    <w:rsid w:val="00687054"/>
    <w:rsid w:val="00687427"/>
    <w:rsid w:val="0068744D"/>
    <w:rsid w:val="00687473"/>
    <w:rsid w:val="00687714"/>
    <w:rsid w:val="00687A57"/>
    <w:rsid w:val="00687B71"/>
    <w:rsid w:val="00687B79"/>
    <w:rsid w:val="00687CD9"/>
    <w:rsid w:val="00687D83"/>
    <w:rsid w:val="00687D8D"/>
    <w:rsid w:val="00687DC7"/>
    <w:rsid w:val="00687F25"/>
    <w:rsid w:val="00690023"/>
    <w:rsid w:val="00690064"/>
    <w:rsid w:val="006900A1"/>
    <w:rsid w:val="0069026C"/>
    <w:rsid w:val="006903A1"/>
    <w:rsid w:val="006903ED"/>
    <w:rsid w:val="00690488"/>
    <w:rsid w:val="006904F7"/>
    <w:rsid w:val="00690732"/>
    <w:rsid w:val="0069078E"/>
    <w:rsid w:val="0069082A"/>
    <w:rsid w:val="00690CFE"/>
    <w:rsid w:val="00690EC4"/>
    <w:rsid w:val="00690F55"/>
    <w:rsid w:val="00690F77"/>
    <w:rsid w:val="00690FED"/>
    <w:rsid w:val="0069108C"/>
    <w:rsid w:val="006910F1"/>
    <w:rsid w:val="00691154"/>
    <w:rsid w:val="00691338"/>
    <w:rsid w:val="0069135A"/>
    <w:rsid w:val="0069146D"/>
    <w:rsid w:val="0069171E"/>
    <w:rsid w:val="0069176E"/>
    <w:rsid w:val="006917F1"/>
    <w:rsid w:val="00691AC6"/>
    <w:rsid w:val="00691B39"/>
    <w:rsid w:val="00691C16"/>
    <w:rsid w:val="00691ECA"/>
    <w:rsid w:val="00691FFC"/>
    <w:rsid w:val="00692419"/>
    <w:rsid w:val="006929B5"/>
    <w:rsid w:val="00692A4C"/>
    <w:rsid w:val="00692E8A"/>
    <w:rsid w:val="006930CB"/>
    <w:rsid w:val="006930F3"/>
    <w:rsid w:val="0069319B"/>
    <w:rsid w:val="006933B5"/>
    <w:rsid w:val="0069356A"/>
    <w:rsid w:val="0069375B"/>
    <w:rsid w:val="006937B0"/>
    <w:rsid w:val="00693B6C"/>
    <w:rsid w:val="00693C30"/>
    <w:rsid w:val="00693EA4"/>
    <w:rsid w:val="00693FD4"/>
    <w:rsid w:val="0069413E"/>
    <w:rsid w:val="00694260"/>
    <w:rsid w:val="00694471"/>
    <w:rsid w:val="00694588"/>
    <w:rsid w:val="006945DC"/>
    <w:rsid w:val="00694831"/>
    <w:rsid w:val="00694987"/>
    <w:rsid w:val="006949E6"/>
    <w:rsid w:val="00694A5C"/>
    <w:rsid w:val="00694ACB"/>
    <w:rsid w:val="00694B27"/>
    <w:rsid w:val="00694CF7"/>
    <w:rsid w:val="00694E99"/>
    <w:rsid w:val="00695103"/>
    <w:rsid w:val="006952A2"/>
    <w:rsid w:val="0069532F"/>
    <w:rsid w:val="00695366"/>
    <w:rsid w:val="006955DE"/>
    <w:rsid w:val="0069583B"/>
    <w:rsid w:val="00695A76"/>
    <w:rsid w:val="00695B7E"/>
    <w:rsid w:val="00695D83"/>
    <w:rsid w:val="00695E8D"/>
    <w:rsid w:val="00695F55"/>
    <w:rsid w:val="006960D8"/>
    <w:rsid w:val="006962BC"/>
    <w:rsid w:val="006968A7"/>
    <w:rsid w:val="00696C90"/>
    <w:rsid w:val="00696FA1"/>
    <w:rsid w:val="00696FA6"/>
    <w:rsid w:val="006970B4"/>
    <w:rsid w:val="00697441"/>
    <w:rsid w:val="00697445"/>
    <w:rsid w:val="006975F8"/>
    <w:rsid w:val="00697944"/>
    <w:rsid w:val="00697AA9"/>
    <w:rsid w:val="00697C54"/>
    <w:rsid w:val="00697DE8"/>
    <w:rsid w:val="00697F95"/>
    <w:rsid w:val="006A0096"/>
    <w:rsid w:val="006A0166"/>
    <w:rsid w:val="006A02DB"/>
    <w:rsid w:val="006A0476"/>
    <w:rsid w:val="006A0482"/>
    <w:rsid w:val="006A04E4"/>
    <w:rsid w:val="006A073F"/>
    <w:rsid w:val="006A09DD"/>
    <w:rsid w:val="006A0A89"/>
    <w:rsid w:val="006A0B76"/>
    <w:rsid w:val="006A0CFF"/>
    <w:rsid w:val="006A0D58"/>
    <w:rsid w:val="006A0E00"/>
    <w:rsid w:val="006A0E18"/>
    <w:rsid w:val="006A0F1C"/>
    <w:rsid w:val="006A11A4"/>
    <w:rsid w:val="006A12AD"/>
    <w:rsid w:val="006A12F5"/>
    <w:rsid w:val="006A136C"/>
    <w:rsid w:val="006A15DC"/>
    <w:rsid w:val="006A17C7"/>
    <w:rsid w:val="006A1824"/>
    <w:rsid w:val="006A18EE"/>
    <w:rsid w:val="006A1D87"/>
    <w:rsid w:val="006A1E52"/>
    <w:rsid w:val="006A20A9"/>
    <w:rsid w:val="006A2290"/>
    <w:rsid w:val="006A23A0"/>
    <w:rsid w:val="006A25E5"/>
    <w:rsid w:val="006A2904"/>
    <w:rsid w:val="006A2C78"/>
    <w:rsid w:val="006A2D9C"/>
    <w:rsid w:val="006A2F84"/>
    <w:rsid w:val="006A30C5"/>
    <w:rsid w:val="006A31D7"/>
    <w:rsid w:val="006A343F"/>
    <w:rsid w:val="006A353B"/>
    <w:rsid w:val="006A36C6"/>
    <w:rsid w:val="006A3827"/>
    <w:rsid w:val="006A39CF"/>
    <w:rsid w:val="006A3C23"/>
    <w:rsid w:val="006A3FF3"/>
    <w:rsid w:val="006A41F0"/>
    <w:rsid w:val="006A42DC"/>
    <w:rsid w:val="006A4384"/>
    <w:rsid w:val="006A4599"/>
    <w:rsid w:val="006A4669"/>
    <w:rsid w:val="006A496E"/>
    <w:rsid w:val="006A4970"/>
    <w:rsid w:val="006A4A70"/>
    <w:rsid w:val="006A4B80"/>
    <w:rsid w:val="006A4C2F"/>
    <w:rsid w:val="006A4CE2"/>
    <w:rsid w:val="006A4D19"/>
    <w:rsid w:val="006A4D1C"/>
    <w:rsid w:val="006A5049"/>
    <w:rsid w:val="006A56D7"/>
    <w:rsid w:val="006A56FC"/>
    <w:rsid w:val="006A5741"/>
    <w:rsid w:val="006A57C9"/>
    <w:rsid w:val="006A58CB"/>
    <w:rsid w:val="006A5B5D"/>
    <w:rsid w:val="006A5E7D"/>
    <w:rsid w:val="006A6250"/>
    <w:rsid w:val="006A64E2"/>
    <w:rsid w:val="006A660E"/>
    <w:rsid w:val="006A661F"/>
    <w:rsid w:val="006A6720"/>
    <w:rsid w:val="006A68A5"/>
    <w:rsid w:val="006A694E"/>
    <w:rsid w:val="006A6957"/>
    <w:rsid w:val="006A6A43"/>
    <w:rsid w:val="006A6DE2"/>
    <w:rsid w:val="006A7255"/>
    <w:rsid w:val="006A72F1"/>
    <w:rsid w:val="006A7433"/>
    <w:rsid w:val="006A77F1"/>
    <w:rsid w:val="006A7829"/>
    <w:rsid w:val="006A7854"/>
    <w:rsid w:val="006B0004"/>
    <w:rsid w:val="006B00A2"/>
    <w:rsid w:val="006B00AB"/>
    <w:rsid w:val="006B017A"/>
    <w:rsid w:val="006B03B1"/>
    <w:rsid w:val="006B056C"/>
    <w:rsid w:val="006B063A"/>
    <w:rsid w:val="006B07E2"/>
    <w:rsid w:val="006B0A95"/>
    <w:rsid w:val="006B0C77"/>
    <w:rsid w:val="006B1330"/>
    <w:rsid w:val="006B133B"/>
    <w:rsid w:val="006B1376"/>
    <w:rsid w:val="006B150C"/>
    <w:rsid w:val="006B1588"/>
    <w:rsid w:val="006B18E9"/>
    <w:rsid w:val="006B19BD"/>
    <w:rsid w:val="006B19DC"/>
    <w:rsid w:val="006B1A3E"/>
    <w:rsid w:val="006B1C08"/>
    <w:rsid w:val="006B1CDC"/>
    <w:rsid w:val="006B1DA7"/>
    <w:rsid w:val="006B1DB5"/>
    <w:rsid w:val="006B1E96"/>
    <w:rsid w:val="006B213E"/>
    <w:rsid w:val="006B2692"/>
    <w:rsid w:val="006B2704"/>
    <w:rsid w:val="006B27CA"/>
    <w:rsid w:val="006B287B"/>
    <w:rsid w:val="006B28F8"/>
    <w:rsid w:val="006B2956"/>
    <w:rsid w:val="006B2B17"/>
    <w:rsid w:val="006B2BA1"/>
    <w:rsid w:val="006B2BEC"/>
    <w:rsid w:val="006B2C41"/>
    <w:rsid w:val="006B2C8B"/>
    <w:rsid w:val="006B2DE5"/>
    <w:rsid w:val="006B30AB"/>
    <w:rsid w:val="006B30B5"/>
    <w:rsid w:val="006B3255"/>
    <w:rsid w:val="006B363D"/>
    <w:rsid w:val="006B367A"/>
    <w:rsid w:val="006B370D"/>
    <w:rsid w:val="006B382C"/>
    <w:rsid w:val="006B3BF8"/>
    <w:rsid w:val="006B3FD1"/>
    <w:rsid w:val="006B4065"/>
    <w:rsid w:val="006B4265"/>
    <w:rsid w:val="006B4312"/>
    <w:rsid w:val="006B437A"/>
    <w:rsid w:val="006B43B2"/>
    <w:rsid w:val="006B4AEA"/>
    <w:rsid w:val="006B4CC8"/>
    <w:rsid w:val="006B4E07"/>
    <w:rsid w:val="006B5498"/>
    <w:rsid w:val="006B5504"/>
    <w:rsid w:val="006B57B2"/>
    <w:rsid w:val="006B58E4"/>
    <w:rsid w:val="006B5A07"/>
    <w:rsid w:val="006B5C7C"/>
    <w:rsid w:val="006B6001"/>
    <w:rsid w:val="006B6135"/>
    <w:rsid w:val="006B6147"/>
    <w:rsid w:val="006B636B"/>
    <w:rsid w:val="006B6451"/>
    <w:rsid w:val="006B6748"/>
    <w:rsid w:val="006B682A"/>
    <w:rsid w:val="006B692B"/>
    <w:rsid w:val="006B6937"/>
    <w:rsid w:val="006B6CB9"/>
    <w:rsid w:val="006B6E18"/>
    <w:rsid w:val="006B6F18"/>
    <w:rsid w:val="006B7023"/>
    <w:rsid w:val="006B71C8"/>
    <w:rsid w:val="006B7364"/>
    <w:rsid w:val="006B748E"/>
    <w:rsid w:val="006B7564"/>
    <w:rsid w:val="006B78FF"/>
    <w:rsid w:val="006B798C"/>
    <w:rsid w:val="006B7A93"/>
    <w:rsid w:val="006B7CC5"/>
    <w:rsid w:val="006B7D01"/>
    <w:rsid w:val="006B7F0A"/>
    <w:rsid w:val="006B7FF7"/>
    <w:rsid w:val="006C019B"/>
    <w:rsid w:val="006C01CE"/>
    <w:rsid w:val="006C05EA"/>
    <w:rsid w:val="006C0856"/>
    <w:rsid w:val="006C094F"/>
    <w:rsid w:val="006C0C20"/>
    <w:rsid w:val="006C0E2A"/>
    <w:rsid w:val="006C0F1C"/>
    <w:rsid w:val="006C1173"/>
    <w:rsid w:val="006C12BA"/>
    <w:rsid w:val="006C13FA"/>
    <w:rsid w:val="006C146D"/>
    <w:rsid w:val="006C16D4"/>
    <w:rsid w:val="006C189A"/>
    <w:rsid w:val="006C1C31"/>
    <w:rsid w:val="006C1D60"/>
    <w:rsid w:val="006C1DF6"/>
    <w:rsid w:val="006C1F47"/>
    <w:rsid w:val="006C21BB"/>
    <w:rsid w:val="006C2247"/>
    <w:rsid w:val="006C2616"/>
    <w:rsid w:val="006C28B7"/>
    <w:rsid w:val="006C29BC"/>
    <w:rsid w:val="006C2AD7"/>
    <w:rsid w:val="006C2B89"/>
    <w:rsid w:val="006C2C55"/>
    <w:rsid w:val="006C2E07"/>
    <w:rsid w:val="006C2E7E"/>
    <w:rsid w:val="006C2EA4"/>
    <w:rsid w:val="006C2EC2"/>
    <w:rsid w:val="006C2ED1"/>
    <w:rsid w:val="006C3078"/>
    <w:rsid w:val="006C30EE"/>
    <w:rsid w:val="006C32B5"/>
    <w:rsid w:val="006C33BE"/>
    <w:rsid w:val="006C341F"/>
    <w:rsid w:val="006C348F"/>
    <w:rsid w:val="006C34E2"/>
    <w:rsid w:val="006C39E4"/>
    <w:rsid w:val="006C3B32"/>
    <w:rsid w:val="006C3B8F"/>
    <w:rsid w:val="006C3BB4"/>
    <w:rsid w:val="006C3D40"/>
    <w:rsid w:val="006C3D7A"/>
    <w:rsid w:val="006C3E79"/>
    <w:rsid w:val="006C4091"/>
    <w:rsid w:val="006C4106"/>
    <w:rsid w:val="006C4173"/>
    <w:rsid w:val="006C41B5"/>
    <w:rsid w:val="006C42A7"/>
    <w:rsid w:val="006C4637"/>
    <w:rsid w:val="006C47BC"/>
    <w:rsid w:val="006C47FC"/>
    <w:rsid w:val="006C499E"/>
    <w:rsid w:val="006C4BA7"/>
    <w:rsid w:val="006C4C85"/>
    <w:rsid w:val="006C4CE0"/>
    <w:rsid w:val="006C4E46"/>
    <w:rsid w:val="006C4E61"/>
    <w:rsid w:val="006C4EDF"/>
    <w:rsid w:val="006C4EEA"/>
    <w:rsid w:val="006C5121"/>
    <w:rsid w:val="006C51D4"/>
    <w:rsid w:val="006C521D"/>
    <w:rsid w:val="006C54E1"/>
    <w:rsid w:val="006C560F"/>
    <w:rsid w:val="006C5632"/>
    <w:rsid w:val="006C5855"/>
    <w:rsid w:val="006C5ACB"/>
    <w:rsid w:val="006C5C92"/>
    <w:rsid w:val="006C610B"/>
    <w:rsid w:val="006C613E"/>
    <w:rsid w:val="006C6357"/>
    <w:rsid w:val="006C648B"/>
    <w:rsid w:val="006C6653"/>
    <w:rsid w:val="006C6676"/>
    <w:rsid w:val="006C6682"/>
    <w:rsid w:val="006C6B38"/>
    <w:rsid w:val="006C6DBE"/>
    <w:rsid w:val="006C6E1A"/>
    <w:rsid w:val="006C6EAA"/>
    <w:rsid w:val="006C6FBB"/>
    <w:rsid w:val="006C7056"/>
    <w:rsid w:val="006C738A"/>
    <w:rsid w:val="006C74BF"/>
    <w:rsid w:val="006C74FF"/>
    <w:rsid w:val="006C768E"/>
    <w:rsid w:val="006C76A0"/>
    <w:rsid w:val="006C76FB"/>
    <w:rsid w:val="006C770D"/>
    <w:rsid w:val="006C7724"/>
    <w:rsid w:val="006C7733"/>
    <w:rsid w:val="006C7771"/>
    <w:rsid w:val="006C7988"/>
    <w:rsid w:val="006C79DD"/>
    <w:rsid w:val="006C7C17"/>
    <w:rsid w:val="006C7F4B"/>
    <w:rsid w:val="006D00C3"/>
    <w:rsid w:val="006D01B6"/>
    <w:rsid w:val="006D0281"/>
    <w:rsid w:val="006D06A0"/>
    <w:rsid w:val="006D06A3"/>
    <w:rsid w:val="006D0784"/>
    <w:rsid w:val="006D0A13"/>
    <w:rsid w:val="006D0C18"/>
    <w:rsid w:val="006D0D9A"/>
    <w:rsid w:val="006D0F41"/>
    <w:rsid w:val="006D1002"/>
    <w:rsid w:val="006D12A9"/>
    <w:rsid w:val="006D175A"/>
    <w:rsid w:val="006D17B0"/>
    <w:rsid w:val="006D1B05"/>
    <w:rsid w:val="006D1BA9"/>
    <w:rsid w:val="006D1BB5"/>
    <w:rsid w:val="006D1DCB"/>
    <w:rsid w:val="006D1F8C"/>
    <w:rsid w:val="006D214A"/>
    <w:rsid w:val="006D2174"/>
    <w:rsid w:val="006D2200"/>
    <w:rsid w:val="006D241F"/>
    <w:rsid w:val="006D24B4"/>
    <w:rsid w:val="006D2837"/>
    <w:rsid w:val="006D28B9"/>
    <w:rsid w:val="006D28D7"/>
    <w:rsid w:val="006D2911"/>
    <w:rsid w:val="006D2F64"/>
    <w:rsid w:val="006D3029"/>
    <w:rsid w:val="006D323A"/>
    <w:rsid w:val="006D32CC"/>
    <w:rsid w:val="006D3433"/>
    <w:rsid w:val="006D3517"/>
    <w:rsid w:val="006D3550"/>
    <w:rsid w:val="006D35D1"/>
    <w:rsid w:val="006D3663"/>
    <w:rsid w:val="006D38FF"/>
    <w:rsid w:val="006D393A"/>
    <w:rsid w:val="006D3C01"/>
    <w:rsid w:val="006D3CBE"/>
    <w:rsid w:val="006D3E92"/>
    <w:rsid w:val="006D4119"/>
    <w:rsid w:val="006D4153"/>
    <w:rsid w:val="006D4286"/>
    <w:rsid w:val="006D43DE"/>
    <w:rsid w:val="006D43E7"/>
    <w:rsid w:val="006D440D"/>
    <w:rsid w:val="006D451C"/>
    <w:rsid w:val="006D48B9"/>
    <w:rsid w:val="006D48CA"/>
    <w:rsid w:val="006D4DB1"/>
    <w:rsid w:val="006D4E14"/>
    <w:rsid w:val="006D4F64"/>
    <w:rsid w:val="006D5154"/>
    <w:rsid w:val="006D5313"/>
    <w:rsid w:val="006D555C"/>
    <w:rsid w:val="006D560E"/>
    <w:rsid w:val="006D5873"/>
    <w:rsid w:val="006D595C"/>
    <w:rsid w:val="006D5A82"/>
    <w:rsid w:val="006D5C78"/>
    <w:rsid w:val="006D5ED9"/>
    <w:rsid w:val="006D5EDD"/>
    <w:rsid w:val="006D60F1"/>
    <w:rsid w:val="006D6126"/>
    <w:rsid w:val="006D65BB"/>
    <w:rsid w:val="006D6612"/>
    <w:rsid w:val="006D663E"/>
    <w:rsid w:val="006D6666"/>
    <w:rsid w:val="006D69D0"/>
    <w:rsid w:val="006D6B98"/>
    <w:rsid w:val="006D6BC8"/>
    <w:rsid w:val="006D6D74"/>
    <w:rsid w:val="006D6ECB"/>
    <w:rsid w:val="006D6F5E"/>
    <w:rsid w:val="006D707F"/>
    <w:rsid w:val="006D7138"/>
    <w:rsid w:val="006D73A3"/>
    <w:rsid w:val="006D7496"/>
    <w:rsid w:val="006D74BC"/>
    <w:rsid w:val="006D7695"/>
    <w:rsid w:val="006D774E"/>
    <w:rsid w:val="006D77D5"/>
    <w:rsid w:val="006D799A"/>
    <w:rsid w:val="006D7C44"/>
    <w:rsid w:val="006D7C62"/>
    <w:rsid w:val="006D7CD0"/>
    <w:rsid w:val="006D7DBD"/>
    <w:rsid w:val="006D7ED8"/>
    <w:rsid w:val="006E006C"/>
    <w:rsid w:val="006E01DD"/>
    <w:rsid w:val="006E0369"/>
    <w:rsid w:val="006E04EF"/>
    <w:rsid w:val="006E0532"/>
    <w:rsid w:val="006E054E"/>
    <w:rsid w:val="006E08AC"/>
    <w:rsid w:val="006E092E"/>
    <w:rsid w:val="006E0998"/>
    <w:rsid w:val="006E0AF4"/>
    <w:rsid w:val="006E0D97"/>
    <w:rsid w:val="006E0E62"/>
    <w:rsid w:val="006E1195"/>
    <w:rsid w:val="006E11DC"/>
    <w:rsid w:val="006E17A8"/>
    <w:rsid w:val="006E1971"/>
    <w:rsid w:val="006E1E0B"/>
    <w:rsid w:val="006E1F06"/>
    <w:rsid w:val="006E212A"/>
    <w:rsid w:val="006E22DC"/>
    <w:rsid w:val="006E22FA"/>
    <w:rsid w:val="006E26A9"/>
    <w:rsid w:val="006E286F"/>
    <w:rsid w:val="006E29DC"/>
    <w:rsid w:val="006E2A0D"/>
    <w:rsid w:val="006E2A65"/>
    <w:rsid w:val="006E2B46"/>
    <w:rsid w:val="006E2BAF"/>
    <w:rsid w:val="006E2FD3"/>
    <w:rsid w:val="006E30E1"/>
    <w:rsid w:val="006E363B"/>
    <w:rsid w:val="006E3948"/>
    <w:rsid w:val="006E398D"/>
    <w:rsid w:val="006E399E"/>
    <w:rsid w:val="006E3D27"/>
    <w:rsid w:val="006E3E7F"/>
    <w:rsid w:val="006E3FBE"/>
    <w:rsid w:val="006E40A4"/>
    <w:rsid w:val="006E436E"/>
    <w:rsid w:val="006E4831"/>
    <w:rsid w:val="006E4BF0"/>
    <w:rsid w:val="006E4C00"/>
    <w:rsid w:val="006E4E09"/>
    <w:rsid w:val="006E50D6"/>
    <w:rsid w:val="006E51FE"/>
    <w:rsid w:val="006E52A1"/>
    <w:rsid w:val="006E5792"/>
    <w:rsid w:val="006E5793"/>
    <w:rsid w:val="006E57A0"/>
    <w:rsid w:val="006E57F3"/>
    <w:rsid w:val="006E5C67"/>
    <w:rsid w:val="006E5D92"/>
    <w:rsid w:val="006E5E27"/>
    <w:rsid w:val="006E5F53"/>
    <w:rsid w:val="006E625D"/>
    <w:rsid w:val="006E632D"/>
    <w:rsid w:val="006E64DC"/>
    <w:rsid w:val="006E66A8"/>
    <w:rsid w:val="006E673D"/>
    <w:rsid w:val="006E6916"/>
    <w:rsid w:val="006E6B6F"/>
    <w:rsid w:val="006E7195"/>
    <w:rsid w:val="006E720B"/>
    <w:rsid w:val="006E738D"/>
    <w:rsid w:val="006E74BB"/>
    <w:rsid w:val="006E75BE"/>
    <w:rsid w:val="006E76CE"/>
    <w:rsid w:val="006E7786"/>
    <w:rsid w:val="006E78CB"/>
    <w:rsid w:val="006E78D7"/>
    <w:rsid w:val="006E7A34"/>
    <w:rsid w:val="006E7ACA"/>
    <w:rsid w:val="006E7CC6"/>
    <w:rsid w:val="006E7F43"/>
    <w:rsid w:val="006F0170"/>
    <w:rsid w:val="006F0194"/>
    <w:rsid w:val="006F02C0"/>
    <w:rsid w:val="006F05E8"/>
    <w:rsid w:val="006F07E2"/>
    <w:rsid w:val="006F0F62"/>
    <w:rsid w:val="006F11CC"/>
    <w:rsid w:val="006F1200"/>
    <w:rsid w:val="006F12BD"/>
    <w:rsid w:val="006F13C4"/>
    <w:rsid w:val="006F15AC"/>
    <w:rsid w:val="006F1642"/>
    <w:rsid w:val="006F16AD"/>
    <w:rsid w:val="006F1701"/>
    <w:rsid w:val="006F170D"/>
    <w:rsid w:val="006F19ED"/>
    <w:rsid w:val="006F1D10"/>
    <w:rsid w:val="006F1D1F"/>
    <w:rsid w:val="006F200E"/>
    <w:rsid w:val="006F205D"/>
    <w:rsid w:val="006F23BD"/>
    <w:rsid w:val="006F2490"/>
    <w:rsid w:val="006F2791"/>
    <w:rsid w:val="006F2832"/>
    <w:rsid w:val="006F2855"/>
    <w:rsid w:val="006F2985"/>
    <w:rsid w:val="006F2A13"/>
    <w:rsid w:val="006F2F31"/>
    <w:rsid w:val="006F308E"/>
    <w:rsid w:val="006F31EC"/>
    <w:rsid w:val="006F34B9"/>
    <w:rsid w:val="006F3542"/>
    <w:rsid w:val="006F3BC9"/>
    <w:rsid w:val="006F3CA8"/>
    <w:rsid w:val="006F3F88"/>
    <w:rsid w:val="006F4206"/>
    <w:rsid w:val="006F4434"/>
    <w:rsid w:val="006F45FA"/>
    <w:rsid w:val="006F469F"/>
    <w:rsid w:val="006F46A6"/>
    <w:rsid w:val="006F47E3"/>
    <w:rsid w:val="006F48F9"/>
    <w:rsid w:val="006F4AD6"/>
    <w:rsid w:val="006F4B2C"/>
    <w:rsid w:val="006F521B"/>
    <w:rsid w:val="006F55C4"/>
    <w:rsid w:val="006F5730"/>
    <w:rsid w:val="006F5746"/>
    <w:rsid w:val="006F5856"/>
    <w:rsid w:val="006F5972"/>
    <w:rsid w:val="006F5BC9"/>
    <w:rsid w:val="006F5F5D"/>
    <w:rsid w:val="006F5F6D"/>
    <w:rsid w:val="006F5FFB"/>
    <w:rsid w:val="006F6127"/>
    <w:rsid w:val="006F633A"/>
    <w:rsid w:val="006F6584"/>
    <w:rsid w:val="006F6606"/>
    <w:rsid w:val="006F6994"/>
    <w:rsid w:val="006F6BDE"/>
    <w:rsid w:val="006F6F76"/>
    <w:rsid w:val="006F7094"/>
    <w:rsid w:val="006F72D6"/>
    <w:rsid w:val="006F7468"/>
    <w:rsid w:val="006F750F"/>
    <w:rsid w:val="006F7527"/>
    <w:rsid w:val="006F753C"/>
    <w:rsid w:val="006F76BB"/>
    <w:rsid w:val="006F777D"/>
    <w:rsid w:val="006F780F"/>
    <w:rsid w:val="006F78CD"/>
    <w:rsid w:val="006F78EE"/>
    <w:rsid w:val="006F7927"/>
    <w:rsid w:val="006F794F"/>
    <w:rsid w:val="006F7DB4"/>
    <w:rsid w:val="006F7E3E"/>
    <w:rsid w:val="006F7F69"/>
    <w:rsid w:val="006F7FBB"/>
    <w:rsid w:val="00700737"/>
    <w:rsid w:val="00700794"/>
    <w:rsid w:val="00700952"/>
    <w:rsid w:val="007009D8"/>
    <w:rsid w:val="00700C7E"/>
    <w:rsid w:val="00700CB9"/>
    <w:rsid w:val="00700E02"/>
    <w:rsid w:val="00700F20"/>
    <w:rsid w:val="00700F78"/>
    <w:rsid w:val="00700F7E"/>
    <w:rsid w:val="00701041"/>
    <w:rsid w:val="00701162"/>
    <w:rsid w:val="00701176"/>
    <w:rsid w:val="007013E7"/>
    <w:rsid w:val="00701681"/>
    <w:rsid w:val="0070173E"/>
    <w:rsid w:val="00701843"/>
    <w:rsid w:val="00701A03"/>
    <w:rsid w:val="00701A54"/>
    <w:rsid w:val="00701D06"/>
    <w:rsid w:val="00701D8F"/>
    <w:rsid w:val="00701F9C"/>
    <w:rsid w:val="007026EF"/>
    <w:rsid w:val="007028C0"/>
    <w:rsid w:val="00702934"/>
    <w:rsid w:val="00702A57"/>
    <w:rsid w:val="00702A69"/>
    <w:rsid w:val="00702AA6"/>
    <w:rsid w:val="00702BA6"/>
    <w:rsid w:val="00702D41"/>
    <w:rsid w:val="00702DB2"/>
    <w:rsid w:val="00702E21"/>
    <w:rsid w:val="00702E56"/>
    <w:rsid w:val="00702FB4"/>
    <w:rsid w:val="007030EF"/>
    <w:rsid w:val="00703266"/>
    <w:rsid w:val="007032AC"/>
    <w:rsid w:val="0070331A"/>
    <w:rsid w:val="00703512"/>
    <w:rsid w:val="007036AF"/>
    <w:rsid w:val="00703876"/>
    <w:rsid w:val="00703CC2"/>
    <w:rsid w:val="00703CFE"/>
    <w:rsid w:val="00703EB8"/>
    <w:rsid w:val="00703FAF"/>
    <w:rsid w:val="007040B6"/>
    <w:rsid w:val="00704277"/>
    <w:rsid w:val="007042BE"/>
    <w:rsid w:val="007043C2"/>
    <w:rsid w:val="007043D9"/>
    <w:rsid w:val="00704400"/>
    <w:rsid w:val="00704672"/>
    <w:rsid w:val="0070480A"/>
    <w:rsid w:val="007048CD"/>
    <w:rsid w:val="00704EE0"/>
    <w:rsid w:val="00704EE4"/>
    <w:rsid w:val="007054AE"/>
    <w:rsid w:val="00705ABC"/>
    <w:rsid w:val="00705B3B"/>
    <w:rsid w:val="00705C0D"/>
    <w:rsid w:val="00705CBC"/>
    <w:rsid w:val="00705D06"/>
    <w:rsid w:val="00705D7C"/>
    <w:rsid w:val="00706205"/>
    <w:rsid w:val="00706259"/>
    <w:rsid w:val="0070625B"/>
    <w:rsid w:val="007062DC"/>
    <w:rsid w:val="00706428"/>
    <w:rsid w:val="007067E1"/>
    <w:rsid w:val="007069F5"/>
    <w:rsid w:val="00706B0D"/>
    <w:rsid w:val="00706C53"/>
    <w:rsid w:val="00706C7B"/>
    <w:rsid w:val="00706D73"/>
    <w:rsid w:val="00706D75"/>
    <w:rsid w:val="00706DF5"/>
    <w:rsid w:val="007070F1"/>
    <w:rsid w:val="0070722E"/>
    <w:rsid w:val="00707277"/>
    <w:rsid w:val="0070729E"/>
    <w:rsid w:val="0070734C"/>
    <w:rsid w:val="00707507"/>
    <w:rsid w:val="00707A33"/>
    <w:rsid w:val="00707B36"/>
    <w:rsid w:val="00707BEE"/>
    <w:rsid w:val="007105EA"/>
    <w:rsid w:val="007106D1"/>
    <w:rsid w:val="00710954"/>
    <w:rsid w:val="00710D3B"/>
    <w:rsid w:val="00710D5B"/>
    <w:rsid w:val="00710DCF"/>
    <w:rsid w:val="00710DEF"/>
    <w:rsid w:val="00710E88"/>
    <w:rsid w:val="00711007"/>
    <w:rsid w:val="007111FB"/>
    <w:rsid w:val="007113ED"/>
    <w:rsid w:val="0071140B"/>
    <w:rsid w:val="007114A2"/>
    <w:rsid w:val="00711535"/>
    <w:rsid w:val="00711670"/>
    <w:rsid w:val="00711681"/>
    <w:rsid w:val="0071186B"/>
    <w:rsid w:val="00711910"/>
    <w:rsid w:val="00711A01"/>
    <w:rsid w:val="00711CFF"/>
    <w:rsid w:val="00711EA6"/>
    <w:rsid w:val="00712065"/>
    <w:rsid w:val="007120C0"/>
    <w:rsid w:val="0071245F"/>
    <w:rsid w:val="007129B8"/>
    <w:rsid w:val="00712A86"/>
    <w:rsid w:val="00712CA5"/>
    <w:rsid w:val="00712DEB"/>
    <w:rsid w:val="00712E94"/>
    <w:rsid w:val="0071338B"/>
    <w:rsid w:val="007134B6"/>
    <w:rsid w:val="0071374C"/>
    <w:rsid w:val="007138B8"/>
    <w:rsid w:val="0071394E"/>
    <w:rsid w:val="007139AF"/>
    <w:rsid w:val="00713A23"/>
    <w:rsid w:val="00713AC6"/>
    <w:rsid w:val="00713B05"/>
    <w:rsid w:val="00713BE9"/>
    <w:rsid w:val="00713C49"/>
    <w:rsid w:val="00713C63"/>
    <w:rsid w:val="00713D05"/>
    <w:rsid w:val="00713DA8"/>
    <w:rsid w:val="00713DBA"/>
    <w:rsid w:val="00713F57"/>
    <w:rsid w:val="0071413E"/>
    <w:rsid w:val="00714308"/>
    <w:rsid w:val="00714332"/>
    <w:rsid w:val="007144ED"/>
    <w:rsid w:val="00714732"/>
    <w:rsid w:val="007148BE"/>
    <w:rsid w:val="0071497E"/>
    <w:rsid w:val="007149D2"/>
    <w:rsid w:val="00714AC0"/>
    <w:rsid w:val="00714C2A"/>
    <w:rsid w:val="00714CDD"/>
    <w:rsid w:val="007154C1"/>
    <w:rsid w:val="0071553A"/>
    <w:rsid w:val="00715F73"/>
    <w:rsid w:val="00715FCD"/>
    <w:rsid w:val="00716036"/>
    <w:rsid w:val="007160AC"/>
    <w:rsid w:val="007160E6"/>
    <w:rsid w:val="00716119"/>
    <w:rsid w:val="00716395"/>
    <w:rsid w:val="007164CC"/>
    <w:rsid w:val="007165F6"/>
    <w:rsid w:val="00716606"/>
    <w:rsid w:val="0071683E"/>
    <w:rsid w:val="00716868"/>
    <w:rsid w:val="0071686C"/>
    <w:rsid w:val="00716A53"/>
    <w:rsid w:val="00716B24"/>
    <w:rsid w:val="00716BCF"/>
    <w:rsid w:val="00716D56"/>
    <w:rsid w:val="00716FF5"/>
    <w:rsid w:val="007171BF"/>
    <w:rsid w:val="00717259"/>
    <w:rsid w:val="00717307"/>
    <w:rsid w:val="007173C2"/>
    <w:rsid w:val="0071742E"/>
    <w:rsid w:val="00717611"/>
    <w:rsid w:val="007176F0"/>
    <w:rsid w:val="00717965"/>
    <w:rsid w:val="00717A36"/>
    <w:rsid w:val="00717D8C"/>
    <w:rsid w:val="00717EC9"/>
    <w:rsid w:val="00720002"/>
    <w:rsid w:val="007200E7"/>
    <w:rsid w:val="00720105"/>
    <w:rsid w:val="00720168"/>
    <w:rsid w:val="0072028C"/>
    <w:rsid w:val="00720293"/>
    <w:rsid w:val="00720409"/>
    <w:rsid w:val="007207BD"/>
    <w:rsid w:val="007209E8"/>
    <w:rsid w:val="00720D54"/>
    <w:rsid w:val="00721072"/>
    <w:rsid w:val="00721293"/>
    <w:rsid w:val="00721572"/>
    <w:rsid w:val="00721801"/>
    <w:rsid w:val="00721B2B"/>
    <w:rsid w:val="00721B35"/>
    <w:rsid w:val="00721D41"/>
    <w:rsid w:val="00721DF0"/>
    <w:rsid w:val="00721E1D"/>
    <w:rsid w:val="00722152"/>
    <w:rsid w:val="007221E5"/>
    <w:rsid w:val="007222C3"/>
    <w:rsid w:val="00722454"/>
    <w:rsid w:val="00722C82"/>
    <w:rsid w:val="00722DA3"/>
    <w:rsid w:val="00722E1A"/>
    <w:rsid w:val="00722F02"/>
    <w:rsid w:val="00722FC6"/>
    <w:rsid w:val="00722FDB"/>
    <w:rsid w:val="007231C2"/>
    <w:rsid w:val="007232D6"/>
    <w:rsid w:val="007236D0"/>
    <w:rsid w:val="007236F4"/>
    <w:rsid w:val="0072389D"/>
    <w:rsid w:val="00723952"/>
    <w:rsid w:val="00723D82"/>
    <w:rsid w:val="00723E64"/>
    <w:rsid w:val="00723F70"/>
    <w:rsid w:val="00723F9A"/>
    <w:rsid w:val="007240AF"/>
    <w:rsid w:val="007240F9"/>
    <w:rsid w:val="0072421B"/>
    <w:rsid w:val="00724230"/>
    <w:rsid w:val="0072435F"/>
    <w:rsid w:val="0072439D"/>
    <w:rsid w:val="00724481"/>
    <w:rsid w:val="007249E3"/>
    <w:rsid w:val="00724D24"/>
    <w:rsid w:val="00724EB5"/>
    <w:rsid w:val="00725024"/>
    <w:rsid w:val="00725133"/>
    <w:rsid w:val="007251C0"/>
    <w:rsid w:val="007252E1"/>
    <w:rsid w:val="00725390"/>
    <w:rsid w:val="00725457"/>
    <w:rsid w:val="00725B47"/>
    <w:rsid w:val="00725E90"/>
    <w:rsid w:val="007260C1"/>
    <w:rsid w:val="0072624D"/>
    <w:rsid w:val="007263A3"/>
    <w:rsid w:val="00726A67"/>
    <w:rsid w:val="00726B0D"/>
    <w:rsid w:val="007270DF"/>
    <w:rsid w:val="007270EF"/>
    <w:rsid w:val="00727107"/>
    <w:rsid w:val="00727116"/>
    <w:rsid w:val="0072720D"/>
    <w:rsid w:val="007273E3"/>
    <w:rsid w:val="00727643"/>
    <w:rsid w:val="00727792"/>
    <w:rsid w:val="007278AE"/>
    <w:rsid w:val="007278BA"/>
    <w:rsid w:val="007278C4"/>
    <w:rsid w:val="007278F5"/>
    <w:rsid w:val="00727BFC"/>
    <w:rsid w:val="00727C29"/>
    <w:rsid w:val="00727D30"/>
    <w:rsid w:val="00727EDC"/>
    <w:rsid w:val="00727FC1"/>
    <w:rsid w:val="00727FDA"/>
    <w:rsid w:val="00727FF4"/>
    <w:rsid w:val="007303A7"/>
    <w:rsid w:val="007304C8"/>
    <w:rsid w:val="00730607"/>
    <w:rsid w:val="00730802"/>
    <w:rsid w:val="00730854"/>
    <w:rsid w:val="007309B3"/>
    <w:rsid w:val="00730DB0"/>
    <w:rsid w:val="00730E25"/>
    <w:rsid w:val="00730FCA"/>
    <w:rsid w:val="00730FD2"/>
    <w:rsid w:val="007311FF"/>
    <w:rsid w:val="007313FB"/>
    <w:rsid w:val="00731409"/>
    <w:rsid w:val="007315BE"/>
    <w:rsid w:val="007319F4"/>
    <w:rsid w:val="00731E0F"/>
    <w:rsid w:val="00731F09"/>
    <w:rsid w:val="00731F2B"/>
    <w:rsid w:val="00731FA1"/>
    <w:rsid w:val="0073254E"/>
    <w:rsid w:val="007327E0"/>
    <w:rsid w:val="00732A21"/>
    <w:rsid w:val="00732B70"/>
    <w:rsid w:val="00732BFF"/>
    <w:rsid w:val="00732CE7"/>
    <w:rsid w:val="00732D17"/>
    <w:rsid w:val="00732DFA"/>
    <w:rsid w:val="00732EA8"/>
    <w:rsid w:val="00732FFB"/>
    <w:rsid w:val="007331F5"/>
    <w:rsid w:val="00733419"/>
    <w:rsid w:val="00733437"/>
    <w:rsid w:val="00733540"/>
    <w:rsid w:val="00733889"/>
    <w:rsid w:val="00733A13"/>
    <w:rsid w:val="00733C9B"/>
    <w:rsid w:val="00733CAE"/>
    <w:rsid w:val="00733F85"/>
    <w:rsid w:val="0073439A"/>
    <w:rsid w:val="00734B08"/>
    <w:rsid w:val="00734BC6"/>
    <w:rsid w:val="00734C1D"/>
    <w:rsid w:val="00734DB9"/>
    <w:rsid w:val="00734EF7"/>
    <w:rsid w:val="00734F75"/>
    <w:rsid w:val="00734F99"/>
    <w:rsid w:val="007351BF"/>
    <w:rsid w:val="00735504"/>
    <w:rsid w:val="007355CC"/>
    <w:rsid w:val="007357FC"/>
    <w:rsid w:val="0073588C"/>
    <w:rsid w:val="007358E1"/>
    <w:rsid w:val="00735930"/>
    <w:rsid w:val="0073598B"/>
    <w:rsid w:val="00735A3F"/>
    <w:rsid w:val="00735D34"/>
    <w:rsid w:val="00735DD0"/>
    <w:rsid w:val="0073606C"/>
    <w:rsid w:val="007361A7"/>
    <w:rsid w:val="007361DB"/>
    <w:rsid w:val="00736279"/>
    <w:rsid w:val="00736289"/>
    <w:rsid w:val="00736610"/>
    <w:rsid w:val="00736CBA"/>
    <w:rsid w:val="00736DAC"/>
    <w:rsid w:val="00736DAE"/>
    <w:rsid w:val="0073730D"/>
    <w:rsid w:val="0073731C"/>
    <w:rsid w:val="00737338"/>
    <w:rsid w:val="007373CA"/>
    <w:rsid w:val="007373E7"/>
    <w:rsid w:val="00737725"/>
    <w:rsid w:val="00737AF8"/>
    <w:rsid w:val="00737B5A"/>
    <w:rsid w:val="00740010"/>
    <w:rsid w:val="00740042"/>
    <w:rsid w:val="0074017A"/>
    <w:rsid w:val="007404B9"/>
    <w:rsid w:val="00740684"/>
    <w:rsid w:val="007406AD"/>
    <w:rsid w:val="00740A34"/>
    <w:rsid w:val="00740A52"/>
    <w:rsid w:val="00740AAF"/>
    <w:rsid w:val="00740B74"/>
    <w:rsid w:val="00740C08"/>
    <w:rsid w:val="0074114B"/>
    <w:rsid w:val="007412FE"/>
    <w:rsid w:val="007414CD"/>
    <w:rsid w:val="007415C8"/>
    <w:rsid w:val="00741667"/>
    <w:rsid w:val="00741762"/>
    <w:rsid w:val="00741827"/>
    <w:rsid w:val="00741903"/>
    <w:rsid w:val="00741A73"/>
    <w:rsid w:val="00741B35"/>
    <w:rsid w:val="00741B64"/>
    <w:rsid w:val="00741C17"/>
    <w:rsid w:val="00741CCF"/>
    <w:rsid w:val="00741D6F"/>
    <w:rsid w:val="00741E2D"/>
    <w:rsid w:val="00742079"/>
    <w:rsid w:val="0074219C"/>
    <w:rsid w:val="007422C6"/>
    <w:rsid w:val="00742645"/>
    <w:rsid w:val="007427F2"/>
    <w:rsid w:val="00742C59"/>
    <w:rsid w:val="00743105"/>
    <w:rsid w:val="0074316C"/>
    <w:rsid w:val="0074333F"/>
    <w:rsid w:val="007435CA"/>
    <w:rsid w:val="00743BD3"/>
    <w:rsid w:val="00743CBE"/>
    <w:rsid w:val="0074414B"/>
    <w:rsid w:val="00744343"/>
    <w:rsid w:val="007443D4"/>
    <w:rsid w:val="0074444A"/>
    <w:rsid w:val="00744669"/>
    <w:rsid w:val="0074492B"/>
    <w:rsid w:val="007449CE"/>
    <w:rsid w:val="00744C0A"/>
    <w:rsid w:val="00744CDD"/>
    <w:rsid w:val="00744E2D"/>
    <w:rsid w:val="00744EB8"/>
    <w:rsid w:val="00744F03"/>
    <w:rsid w:val="007450FC"/>
    <w:rsid w:val="007451C1"/>
    <w:rsid w:val="0074538C"/>
    <w:rsid w:val="007454F8"/>
    <w:rsid w:val="007456C4"/>
    <w:rsid w:val="007457AB"/>
    <w:rsid w:val="00745813"/>
    <w:rsid w:val="0074583A"/>
    <w:rsid w:val="00745A28"/>
    <w:rsid w:val="00745A70"/>
    <w:rsid w:val="00745B8D"/>
    <w:rsid w:val="00745D40"/>
    <w:rsid w:val="00745D5F"/>
    <w:rsid w:val="00746A1E"/>
    <w:rsid w:val="00746A89"/>
    <w:rsid w:val="00746AA2"/>
    <w:rsid w:val="00746AB7"/>
    <w:rsid w:val="00746B4A"/>
    <w:rsid w:val="00746B70"/>
    <w:rsid w:val="00747324"/>
    <w:rsid w:val="00747542"/>
    <w:rsid w:val="00747616"/>
    <w:rsid w:val="00747633"/>
    <w:rsid w:val="00747638"/>
    <w:rsid w:val="007476D9"/>
    <w:rsid w:val="00747AEB"/>
    <w:rsid w:val="00747B32"/>
    <w:rsid w:val="00747B45"/>
    <w:rsid w:val="00747E0F"/>
    <w:rsid w:val="00750593"/>
    <w:rsid w:val="0075068A"/>
    <w:rsid w:val="007506F6"/>
    <w:rsid w:val="00750ACD"/>
    <w:rsid w:val="00750B4D"/>
    <w:rsid w:val="00750BFD"/>
    <w:rsid w:val="00750CF7"/>
    <w:rsid w:val="0075117C"/>
    <w:rsid w:val="0075131C"/>
    <w:rsid w:val="00751453"/>
    <w:rsid w:val="0075146E"/>
    <w:rsid w:val="00751525"/>
    <w:rsid w:val="0075161E"/>
    <w:rsid w:val="00751713"/>
    <w:rsid w:val="007519CD"/>
    <w:rsid w:val="00751AF3"/>
    <w:rsid w:val="00751B1D"/>
    <w:rsid w:val="00751B20"/>
    <w:rsid w:val="00751BE1"/>
    <w:rsid w:val="00751C63"/>
    <w:rsid w:val="00751CF6"/>
    <w:rsid w:val="00751DC8"/>
    <w:rsid w:val="007521F6"/>
    <w:rsid w:val="007522EE"/>
    <w:rsid w:val="00752449"/>
    <w:rsid w:val="00752469"/>
    <w:rsid w:val="0075258E"/>
    <w:rsid w:val="00752987"/>
    <w:rsid w:val="00752990"/>
    <w:rsid w:val="007529AD"/>
    <w:rsid w:val="00752CFA"/>
    <w:rsid w:val="00753784"/>
    <w:rsid w:val="00753CD0"/>
    <w:rsid w:val="00753D38"/>
    <w:rsid w:val="00753D92"/>
    <w:rsid w:val="00753E9F"/>
    <w:rsid w:val="00753EE4"/>
    <w:rsid w:val="0075402B"/>
    <w:rsid w:val="00754321"/>
    <w:rsid w:val="00754393"/>
    <w:rsid w:val="007547F0"/>
    <w:rsid w:val="00754A20"/>
    <w:rsid w:val="00754A26"/>
    <w:rsid w:val="00754D4F"/>
    <w:rsid w:val="00754F94"/>
    <w:rsid w:val="00755240"/>
    <w:rsid w:val="00755280"/>
    <w:rsid w:val="007552C9"/>
    <w:rsid w:val="007552D2"/>
    <w:rsid w:val="007553C4"/>
    <w:rsid w:val="00755AE7"/>
    <w:rsid w:val="00755B7E"/>
    <w:rsid w:val="00755BF4"/>
    <w:rsid w:val="00755C53"/>
    <w:rsid w:val="00755DC3"/>
    <w:rsid w:val="00755E3C"/>
    <w:rsid w:val="00755E78"/>
    <w:rsid w:val="0075600E"/>
    <w:rsid w:val="007561B1"/>
    <w:rsid w:val="007563E5"/>
    <w:rsid w:val="0075664F"/>
    <w:rsid w:val="007567DB"/>
    <w:rsid w:val="007567FF"/>
    <w:rsid w:val="007568A4"/>
    <w:rsid w:val="00756A31"/>
    <w:rsid w:val="00756E36"/>
    <w:rsid w:val="0075704D"/>
    <w:rsid w:val="0075730C"/>
    <w:rsid w:val="007575F1"/>
    <w:rsid w:val="00757623"/>
    <w:rsid w:val="00757797"/>
    <w:rsid w:val="007578B6"/>
    <w:rsid w:val="0075796A"/>
    <w:rsid w:val="00757A0C"/>
    <w:rsid w:val="00757B86"/>
    <w:rsid w:val="00757C40"/>
    <w:rsid w:val="007600D1"/>
    <w:rsid w:val="007601D8"/>
    <w:rsid w:val="0076024C"/>
    <w:rsid w:val="00760406"/>
    <w:rsid w:val="00760425"/>
    <w:rsid w:val="00760426"/>
    <w:rsid w:val="0076055E"/>
    <w:rsid w:val="0076073D"/>
    <w:rsid w:val="00760A8B"/>
    <w:rsid w:val="00760AFA"/>
    <w:rsid w:val="00760D23"/>
    <w:rsid w:val="00760E4D"/>
    <w:rsid w:val="00760E93"/>
    <w:rsid w:val="00760E9B"/>
    <w:rsid w:val="00761053"/>
    <w:rsid w:val="007610B7"/>
    <w:rsid w:val="007612CC"/>
    <w:rsid w:val="0076131C"/>
    <w:rsid w:val="00761350"/>
    <w:rsid w:val="00761461"/>
    <w:rsid w:val="00761655"/>
    <w:rsid w:val="00761847"/>
    <w:rsid w:val="00761902"/>
    <w:rsid w:val="007619BD"/>
    <w:rsid w:val="00761AEE"/>
    <w:rsid w:val="00761B97"/>
    <w:rsid w:val="00761CE5"/>
    <w:rsid w:val="00762094"/>
    <w:rsid w:val="00762343"/>
    <w:rsid w:val="0076239D"/>
    <w:rsid w:val="007623DA"/>
    <w:rsid w:val="007626FB"/>
    <w:rsid w:val="007628E5"/>
    <w:rsid w:val="00762934"/>
    <w:rsid w:val="00762984"/>
    <w:rsid w:val="00762CAC"/>
    <w:rsid w:val="00762D67"/>
    <w:rsid w:val="00762D96"/>
    <w:rsid w:val="00762E98"/>
    <w:rsid w:val="007631C1"/>
    <w:rsid w:val="007632F7"/>
    <w:rsid w:val="0076332E"/>
    <w:rsid w:val="007635F9"/>
    <w:rsid w:val="00763771"/>
    <w:rsid w:val="00763AEE"/>
    <w:rsid w:val="00763B0A"/>
    <w:rsid w:val="00763C73"/>
    <w:rsid w:val="00763F12"/>
    <w:rsid w:val="00764109"/>
    <w:rsid w:val="00764438"/>
    <w:rsid w:val="007644CA"/>
    <w:rsid w:val="007646EF"/>
    <w:rsid w:val="00764915"/>
    <w:rsid w:val="00764DA3"/>
    <w:rsid w:val="00764DB4"/>
    <w:rsid w:val="007650B3"/>
    <w:rsid w:val="00765206"/>
    <w:rsid w:val="00765563"/>
    <w:rsid w:val="00765694"/>
    <w:rsid w:val="007656DD"/>
    <w:rsid w:val="00765A8F"/>
    <w:rsid w:val="00765E4B"/>
    <w:rsid w:val="00765EF9"/>
    <w:rsid w:val="00766060"/>
    <w:rsid w:val="007660B0"/>
    <w:rsid w:val="00766423"/>
    <w:rsid w:val="00766646"/>
    <w:rsid w:val="00766712"/>
    <w:rsid w:val="0076682C"/>
    <w:rsid w:val="00766D46"/>
    <w:rsid w:val="00766D61"/>
    <w:rsid w:val="0076750E"/>
    <w:rsid w:val="007675E0"/>
    <w:rsid w:val="00767ACF"/>
    <w:rsid w:val="00767AE9"/>
    <w:rsid w:val="00767C9B"/>
    <w:rsid w:val="00767DD2"/>
    <w:rsid w:val="007701DC"/>
    <w:rsid w:val="00770395"/>
    <w:rsid w:val="007704DA"/>
    <w:rsid w:val="0077052E"/>
    <w:rsid w:val="007709B7"/>
    <w:rsid w:val="00770A78"/>
    <w:rsid w:val="00770BAD"/>
    <w:rsid w:val="00770DC2"/>
    <w:rsid w:val="0077100E"/>
    <w:rsid w:val="007715F1"/>
    <w:rsid w:val="007717CE"/>
    <w:rsid w:val="0077197A"/>
    <w:rsid w:val="00771C14"/>
    <w:rsid w:val="00771C83"/>
    <w:rsid w:val="00771F16"/>
    <w:rsid w:val="0077226D"/>
    <w:rsid w:val="007725A4"/>
    <w:rsid w:val="0077265B"/>
    <w:rsid w:val="00772746"/>
    <w:rsid w:val="007728CB"/>
    <w:rsid w:val="007728D6"/>
    <w:rsid w:val="00772B9A"/>
    <w:rsid w:val="00772D97"/>
    <w:rsid w:val="00773015"/>
    <w:rsid w:val="0077332E"/>
    <w:rsid w:val="0077348A"/>
    <w:rsid w:val="00773554"/>
    <w:rsid w:val="00773577"/>
    <w:rsid w:val="007735C2"/>
    <w:rsid w:val="0077372A"/>
    <w:rsid w:val="007737D1"/>
    <w:rsid w:val="00773A1A"/>
    <w:rsid w:val="00773E60"/>
    <w:rsid w:val="00773E9D"/>
    <w:rsid w:val="00773ECD"/>
    <w:rsid w:val="00774220"/>
    <w:rsid w:val="00774547"/>
    <w:rsid w:val="007746E9"/>
    <w:rsid w:val="007748F9"/>
    <w:rsid w:val="00774BBE"/>
    <w:rsid w:val="00774BF4"/>
    <w:rsid w:val="0077515F"/>
    <w:rsid w:val="007751A6"/>
    <w:rsid w:val="00775598"/>
    <w:rsid w:val="007757DC"/>
    <w:rsid w:val="00775A6F"/>
    <w:rsid w:val="00775BD2"/>
    <w:rsid w:val="00775C1C"/>
    <w:rsid w:val="00776112"/>
    <w:rsid w:val="00776522"/>
    <w:rsid w:val="0077652B"/>
    <w:rsid w:val="007765C2"/>
    <w:rsid w:val="007766EF"/>
    <w:rsid w:val="0077672A"/>
    <w:rsid w:val="00776942"/>
    <w:rsid w:val="00776A90"/>
    <w:rsid w:val="00776B19"/>
    <w:rsid w:val="00776B57"/>
    <w:rsid w:val="00776D87"/>
    <w:rsid w:val="00776F1B"/>
    <w:rsid w:val="00777014"/>
    <w:rsid w:val="007770E6"/>
    <w:rsid w:val="00777431"/>
    <w:rsid w:val="007775A4"/>
    <w:rsid w:val="007777FB"/>
    <w:rsid w:val="007778DA"/>
    <w:rsid w:val="00777B4C"/>
    <w:rsid w:val="00777EC4"/>
    <w:rsid w:val="00777EC7"/>
    <w:rsid w:val="00777EE0"/>
    <w:rsid w:val="00780040"/>
    <w:rsid w:val="00780149"/>
    <w:rsid w:val="00780237"/>
    <w:rsid w:val="00780329"/>
    <w:rsid w:val="007804A1"/>
    <w:rsid w:val="007804EA"/>
    <w:rsid w:val="00780541"/>
    <w:rsid w:val="00780559"/>
    <w:rsid w:val="0078059C"/>
    <w:rsid w:val="00780847"/>
    <w:rsid w:val="00780B09"/>
    <w:rsid w:val="00780C0F"/>
    <w:rsid w:val="00780D52"/>
    <w:rsid w:val="00781360"/>
    <w:rsid w:val="00781399"/>
    <w:rsid w:val="007813CA"/>
    <w:rsid w:val="00781460"/>
    <w:rsid w:val="007814FA"/>
    <w:rsid w:val="0078155B"/>
    <w:rsid w:val="00781852"/>
    <w:rsid w:val="00781957"/>
    <w:rsid w:val="00781996"/>
    <w:rsid w:val="00781B83"/>
    <w:rsid w:val="00781BB9"/>
    <w:rsid w:val="00781F1A"/>
    <w:rsid w:val="00781FFE"/>
    <w:rsid w:val="0078223A"/>
    <w:rsid w:val="0078232C"/>
    <w:rsid w:val="007824D8"/>
    <w:rsid w:val="00782600"/>
    <w:rsid w:val="0078264A"/>
    <w:rsid w:val="0078269E"/>
    <w:rsid w:val="007826A5"/>
    <w:rsid w:val="007826B2"/>
    <w:rsid w:val="0078272B"/>
    <w:rsid w:val="00782851"/>
    <w:rsid w:val="0078286C"/>
    <w:rsid w:val="00782A0E"/>
    <w:rsid w:val="00782A33"/>
    <w:rsid w:val="00782A85"/>
    <w:rsid w:val="00782B87"/>
    <w:rsid w:val="00782B8C"/>
    <w:rsid w:val="00782BC3"/>
    <w:rsid w:val="00782DA9"/>
    <w:rsid w:val="00782FA4"/>
    <w:rsid w:val="00782FBE"/>
    <w:rsid w:val="007830B3"/>
    <w:rsid w:val="007830F6"/>
    <w:rsid w:val="00783254"/>
    <w:rsid w:val="007835F4"/>
    <w:rsid w:val="00783746"/>
    <w:rsid w:val="007838B0"/>
    <w:rsid w:val="00783927"/>
    <w:rsid w:val="00784176"/>
    <w:rsid w:val="00784235"/>
    <w:rsid w:val="007842F5"/>
    <w:rsid w:val="007842FB"/>
    <w:rsid w:val="007844EB"/>
    <w:rsid w:val="00784564"/>
    <w:rsid w:val="0078467C"/>
    <w:rsid w:val="00784D37"/>
    <w:rsid w:val="00784DB8"/>
    <w:rsid w:val="0078513B"/>
    <w:rsid w:val="007851EB"/>
    <w:rsid w:val="007852E3"/>
    <w:rsid w:val="00785496"/>
    <w:rsid w:val="007855C5"/>
    <w:rsid w:val="007859F7"/>
    <w:rsid w:val="00785BFB"/>
    <w:rsid w:val="00785C09"/>
    <w:rsid w:val="00785CED"/>
    <w:rsid w:val="00785E08"/>
    <w:rsid w:val="00785F5B"/>
    <w:rsid w:val="00785F77"/>
    <w:rsid w:val="00785FED"/>
    <w:rsid w:val="00786594"/>
    <w:rsid w:val="00786681"/>
    <w:rsid w:val="00786801"/>
    <w:rsid w:val="00786AF9"/>
    <w:rsid w:val="00787153"/>
    <w:rsid w:val="007874C8"/>
    <w:rsid w:val="007874CB"/>
    <w:rsid w:val="007874DC"/>
    <w:rsid w:val="00787599"/>
    <w:rsid w:val="007877CC"/>
    <w:rsid w:val="00787A22"/>
    <w:rsid w:val="00787AC0"/>
    <w:rsid w:val="00787C05"/>
    <w:rsid w:val="00787D03"/>
    <w:rsid w:val="007900A0"/>
    <w:rsid w:val="007901CD"/>
    <w:rsid w:val="00790212"/>
    <w:rsid w:val="00790271"/>
    <w:rsid w:val="0079036B"/>
    <w:rsid w:val="0079049B"/>
    <w:rsid w:val="00790584"/>
    <w:rsid w:val="00790741"/>
    <w:rsid w:val="00790A2E"/>
    <w:rsid w:val="00790C2C"/>
    <w:rsid w:val="00790D31"/>
    <w:rsid w:val="00790D53"/>
    <w:rsid w:val="00790D68"/>
    <w:rsid w:val="0079102D"/>
    <w:rsid w:val="00791152"/>
    <w:rsid w:val="00791218"/>
    <w:rsid w:val="0079142F"/>
    <w:rsid w:val="00791479"/>
    <w:rsid w:val="007916E4"/>
    <w:rsid w:val="00791740"/>
    <w:rsid w:val="007917C2"/>
    <w:rsid w:val="007917E4"/>
    <w:rsid w:val="00791867"/>
    <w:rsid w:val="00791A8C"/>
    <w:rsid w:val="00791B4A"/>
    <w:rsid w:val="00791D57"/>
    <w:rsid w:val="00791DD7"/>
    <w:rsid w:val="00791DDD"/>
    <w:rsid w:val="00791E9C"/>
    <w:rsid w:val="00791FFC"/>
    <w:rsid w:val="00792159"/>
    <w:rsid w:val="0079232A"/>
    <w:rsid w:val="007923E4"/>
    <w:rsid w:val="00792454"/>
    <w:rsid w:val="007928AC"/>
    <w:rsid w:val="00792991"/>
    <w:rsid w:val="00792B29"/>
    <w:rsid w:val="00792EEB"/>
    <w:rsid w:val="00792FD2"/>
    <w:rsid w:val="00793275"/>
    <w:rsid w:val="00793492"/>
    <w:rsid w:val="00793598"/>
    <w:rsid w:val="007936C9"/>
    <w:rsid w:val="0079375F"/>
    <w:rsid w:val="00793990"/>
    <w:rsid w:val="007939B0"/>
    <w:rsid w:val="00793AF4"/>
    <w:rsid w:val="00793C19"/>
    <w:rsid w:val="00793D0D"/>
    <w:rsid w:val="00793E58"/>
    <w:rsid w:val="00793FDC"/>
    <w:rsid w:val="007940DA"/>
    <w:rsid w:val="0079421D"/>
    <w:rsid w:val="00794418"/>
    <w:rsid w:val="00794497"/>
    <w:rsid w:val="00794564"/>
    <w:rsid w:val="0079473B"/>
    <w:rsid w:val="00794893"/>
    <w:rsid w:val="00794C78"/>
    <w:rsid w:val="00794CDC"/>
    <w:rsid w:val="00794EAF"/>
    <w:rsid w:val="00794EFD"/>
    <w:rsid w:val="00795081"/>
    <w:rsid w:val="007950CF"/>
    <w:rsid w:val="007950F4"/>
    <w:rsid w:val="00795108"/>
    <w:rsid w:val="0079513C"/>
    <w:rsid w:val="0079527D"/>
    <w:rsid w:val="007952DA"/>
    <w:rsid w:val="00795536"/>
    <w:rsid w:val="0079571E"/>
    <w:rsid w:val="0079595E"/>
    <w:rsid w:val="00795A58"/>
    <w:rsid w:val="00795BB4"/>
    <w:rsid w:val="00795C53"/>
    <w:rsid w:val="00795D15"/>
    <w:rsid w:val="00795D2D"/>
    <w:rsid w:val="00795E97"/>
    <w:rsid w:val="00795F7E"/>
    <w:rsid w:val="0079616F"/>
    <w:rsid w:val="00796185"/>
    <w:rsid w:val="00796398"/>
    <w:rsid w:val="00796583"/>
    <w:rsid w:val="007965EF"/>
    <w:rsid w:val="0079669E"/>
    <w:rsid w:val="007966A4"/>
    <w:rsid w:val="00796796"/>
    <w:rsid w:val="007967DE"/>
    <w:rsid w:val="00796A43"/>
    <w:rsid w:val="00796CE3"/>
    <w:rsid w:val="00796E8B"/>
    <w:rsid w:val="00796FFA"/>
    <w:rsid w:val="0079701D"/>
    <w:rsid w:val="00797390"/>
    <w:rsid w:val="00797458"/>
    <w:rsid w:val="007977D6"/>
    <w:rsid w:val="007978E9"/>
    <w:rsid w:val="007979E8"/>
    <w:rsid w:val="00797A0F"/>
    <w:rsid w:val="00797A76"/>
    <w:rsid w:val="00797C80"/>
    <w:rsid w:val="00797F46"/>
    <w:rsid w:val="007A030A"/>
    <w:rsid w:val="007A0474"/>
    <w:rsid w:val="007A0513"/>
    <w:rsid w:val="007A05BF"/>
    <w:rsid w:val="007A08A8"/>
    <w:rsid w:val="007A0935"/>
    <w:rsid w:val="007A0AF2"/>
    <w:rsid w:val="007A0E1C"/>
    <w:rsid w:val="007A0FD9"/>
    <w:rsid w:val="007A12E3"/>
    <w:rsid w:val="007A14FE"/>
    <w:rsid w:val="007A1624"/>
    <w:rsid w:val="007A167C"/>
    <w:rsid w:val="007A1680"/>
    <w:rsid w:val="007A168D"/>
    <w:rsid w:val="007A173E"/>
    <w:rsid w:val="007A1F21"/>
    <w:rsid w:val="007A20DE"/>
    <w:rsid w:val="007A279D"/>
    <w:rsid w:val="007A2B30"/>
    <w:rsid w:val="007A2BBC"/>
    <w:rsid w:val="007A2C0F"/>
    <w:rsid w:val="007A2DB4"/>
    <w:rsid w:val="007A2EA7"/>
    <w:rsid w:val="007A3005"/>
    <w:rsid w:val="007A30DF"/>
    <w:rsid w:val="007A3207"/>
    <w:rsid w:val="007A375A"/>
    <w:rsid w:val="007A376D"/>
    <w:rsid w:val="007A389D"/>
    <w:rsid w:val="007A38CF"/>
    <w:rsid w:val="007A3AB7"/>
    <w:rsid w:val="007A3B4B"/>
    <w:rsid w:val="007A3FCB"/>
    <w:rsid w:val="007A411B"/>
    <w:rsid w:val="007A424A"/>
    <w:rsid w:val="007A4692"/>
    <w:rsid w:val="007A4783"/>
    <w:rsid w:val="007A479A"/>
    <w:rsid w:val="007A47C0"/>
    <w:rsid w:val="007A490E"/>
    <w:rsid w:val="007A4B1E"/>
    <w:rsid w:val="007A4CF0"/>
    <w:rsid w:val="007A4D60"/>
    <w:rsid w:val="007A4D62"/>
    <w:rsid w:val="007A4D77"/>
    <w:rsid w:val="007A4EAC"/>
    <w:rsid w:val="007A4F72"/>
    <w:rsid w:val="007A5356"/>
    <w:rsid w:val="007A541D"/>
    <w:rsid w:val="007A5476"/>
    <w:rsid w:val="007A55E6"/>
    <w:rsid w:val="007A5828"/>
    <w:rsid w:val="007A58DF"/>
    <w:rsid w:val="007A5E65"/>
    <w:rsid w:val="007A6073"/>
    <w:rsid w:val="007A61E8"/>
    <w:rsid w:val="007A6236"/>
    <w:rsid w:val="007A6485"/>
    <w:rsid w:val="007A692C"/>
    <w:rsid w:val="007A6A00"/>
    <w:rsid w:val="007A6BFF"/>
    <w:rsid w:val="007A6F18"/>
    <w:rsid w:val="007A6FC7"/>
    <w:rsid w:val="007A709D"/>
    <w:rsid w:val="007A7299"/>
    <w:rsid w:val="007A738A"/>
    <w:rsid w:val="007A770B"/>
    <w:rsid w:val="007A775B"/>
    <w:rsid w:val="007A798F"/>
    <w:rsid w:val="007A79C3"/>
    <w:rsid w:val="007A7AE0"/>
    <w:rsid w:val="007A7B72"/>
    <w:rsid w:val="007A7C66"/>
    <w:rsid w:val="007A7CB6"/>
    <w:rsid w:val="007A7CF7"/>
    <w:rsid w:val="007A7DC1"/>
    <w:rsid w:val="007A7EFA"/>
    <w:rsid w:val="007B004C"/>
    <w:rsid w:val="007B00DC"/>
    <w:rsid w:val="007B01E0"/>
    <w:rsid w:val="007B0346"/>
    <w:rsid w:val="007B03F0"/>
    <w:rsid w:val="007B04F5"/>
    <w:rsid w:val="007B0833"/>
    <w:rsid w:val="007B09DB"/>
    <w:rsid w:val="007B09E7"/>
    <w:rsid w:val="007B0A16"/>
    <w:rsid w:val="007B0A68"/>
    <w:rsid w:val="007B0D08"/>
    <w:rsid w:val="007B0E69"/>
    <w:rsid w:val="007B11B8"/>
    <w:rsid w:val="007B12D1"/>
    <w:rsid w:val="007B132D"/>
    <w:rsid w:val="007B143D"/>
    <w:rsid w:val="007B147F"/>
    <w:rsid w:val="007B17CC"/>
    <w:rsid w:val="007B199F"/>
    <w:rsid w:val="007B1A82"/>
    <w:rsid w:val="007B1E77"/>
    <w:rsid w:val="007B1F35"/>
    <w:rsid w:val="007B1FD8"/>
    <w:rsid w:val="007B2315"/>
    <w:rsid w:val="007B2376"/>
    <w:rsid w:val="007B23F9"/>
    <w:rsid w:val="007B248E"/>
    <w:rsid w:val="007B25BA"/>
    <w:rsid w:val="007B2840"/>
    <w:rsid w:val="007B28F5"/>
    <w:rsid w:val="007B2AE4"/>
    <w:rsid w:val="007B2D0D"/>
    <w:rsid w:val="007B2FA6"/>
    <w:rsid w:val="007B3116"/>
    <w:rsid w:val="007B349B"/>
    <w:rsid w:val="007B3F33"/>
    <w:rsid w:val="007B3FA5"/>
    <w:rsid w:val="007B42F7"/>
    <w:rsid w:val="007B43F3"/>
    <w:rsid w:val="007B4441"/>
    <w:rsid w:val="007B451E"/>
    <w:rsid w:val="007B4551"/>
    <w:rsid w:val="007B458B"/>
    <w:rsid w:val="007B45DB"/>
    <w:rsid w:val="007B484E"/>
    <w:rsid w:val="007B48EF"/>
    <w:rsid w:val="007B4927"/>
    <w:rsid w:val="007B4BA7"/>
    <w:rsid w:val="007B51A0"/>
    <w:rsid w:val="007B51C5"/>
    <w:rsid w:val="007B5240"/>
    <w:rsid w:val="007B54E3"/>
    <w:rsid w:val="007B566C"/>
    <w:rsid w:val="007B56D6"/>
    <w:rsid w:val="007B56EB"/>
    <w:rsid w:val="007B5B9F"/>
    <w:rsid w:val="007B5BD0"/>
    <w:rsid w:val="007B600A"/>
    <w:rsid w:val="007B603A"/>
    <w:rsid w:val="007B6051"/>
    <w:rsid w:val="007B6194"/>
    <w:rsid w:val="007B624E"/>
    <w:rsid w:val="007B627F"/>
    <w:rsid w:val="007B631C"/>
    <w:rsid w:val="007B63AA"/>
    <w:rsid w:val="007B641F"/>
    <w:rsid w:val="007B64B2"/>
    <w:rsid w:val="007B65AD"/>
    <w:rsid w:val="007B6605"/>
    <w:rsid w:val="007B672E"/>
    <w:rsid w:val="007B68C9"/>
    <w:rsid w:val="007B69D8"/>
    <w:rsid w:val="007B69FC"/>
    <w:rsid w:val="007B6A5C"/>
    <w:rsid w:val="007B6B91"/>
    <w:rsid w:val="007B6D03"/>
    <w:rsid w:val="007B7075"/>
    <w:rsid w:val="007B7084"/>
    <w:rsid w:val="007B7220"/>
    <w:rsid w:val="007B72BC"/>
    <w:rsid w:val="007B75DE"/>
    <w:rsid w:val="007B76DA"/>
    <w:rsid w:val="007B7BF1"/>
    <w:rsid w:val="007B7D53"/>
    <w:rsid w:val="007B7FB5"/>
    <w:rsid w:val="007C0003"/>
    <w:rsid w:val="007C01E9"/>
    <w:rsid w:val="007C0214"/>
    <w:rsid w:val="007C07D5"/>
    <w:rsid w:val="007C09BA"/>
    <w:rsid w:val="007C0A00"/>
    <w:rsid w:val="007C0C5E"/>
    <w:rsid w:val="007C0E94"/>
    <w:rsid w:val="007C0FA4"/>
    <w:rsid w:val="007C0FBE"/>
    <w:rsid w:val="007C1103"/>
    <w:rsid w:val="007C12C3"/>
    <w:rsid w:val="007C1313"/>
    <w:rsid w:val="007C14E6"/>
    <w:rsid w:val="007C1BD4"/>
    <w:rsid w:val="007C1BE1"/>
    <w:rsid w:val="007C1CAD"/>
    <w:rsid w:val="007C1F8C"/>
    <w:rsid w:val="007C201B"/>
    <w:rsid w:val="007C21E4"/>
    <w:rsid w:val="007C2254"/>
    <w:rsid w:val="007C231B"/>
    <w:rsid w:val="007C2377"/>
    <w:rsid w:val="007C2577"/>
    <w:rsid w:val="007C2A79"/>
    <w:rsid w:val="007C2D32"/>
    <w:rsid w:val="007C33A8"/>
    <w:rsid w:val="007C38CC"/>
    <w:rsid w:val="007C3ABE"/>
    <w:rsid w:val="007C3BAD"/>
    <w:rsid w:val="007C3D35"/>
    <w:rsid w:val="007C3E2A"/>
    <w:rsid w:val="007C3EA8"/>
    <w:rsid w:val="007C3EDD"/>
    <w:rsid w:val="007C3F33"/>
    <w:rsid w:val="007C3FB6"/>
    <w:rsid w:val="007C426B"/>
    <w:rsid w:val="007C463B"/>
    <w:rsid w:val="007C47FE"/>
    <w:rsid w:val="007C4AA9"/>
    <w:rsid w:val="007C4E5C"/>
    <w:rsid w:val="007C4FB2"/>
    <w:rsid w:val="007C508A"/>
    <w:rsid w:val="007C50B6"/>
    <w:rsid w:val="007C53B8"/>
    <w:rsid w:val="007C5614"/>
    <w:rsid w:val="007C565C"/>
    <w:rsid w:val="007C5A49"/>
    <w:rsid w:val="007C5A56"/>
    <w:rsid w:val="007C5A69"/>
    <w:rsid w:val="007C5A78"/>
    <w:rsid w:val="007C5D05"/>
    <w:rsid w:val="007C5D95"/>
    <w:rsid w:val="007C5DC2"/>
    <w:rsid w:val="007C5EE0"/>
    <w:rsid w:val="007C5F8B"/>
    <w:rsid w:val="007C686B"/>
    <w:rsid w:val="007C6991"/>
    <w:rsid w:val="007C6A0D"/>
    <w:rsid w:val="007C6C82"/>
    <w:rsid w:val="007C6F11"/>
    <w:rsid w:val="007C6F2E"/>
    <w:rsid w:val="007C7322"/>
    <w:rsid w:val="007C74D9"/>
    <w:rsid w:val="007C7537"/>
    <w:rsid w:val="007C7804"/>
    <w:rsid w:val="007C7B0F"/>
    <w:rsid w:val="007C7B71"/>
    <w:rsid w:val="007C7CC9"/>
    <w:rsid w:val="007C7F08"/>
    <w:rsid w:val="007D044F"/>
    <w:rsid w:val="007D05B3"/>
    <w:rsid w:val="007D068D"/>
    <w:rsid w:val="007D08D5"/>
    <w:rsid w:val="007D094F"/>
    <w:rsid w:val="007D0B3F"/>
    <w:rsid w:val="007D0CD5"/>
    <w:rsid w:val="007D0E6B"/>
    <w:rsid w:val="007D0FB8"/>
    <w:rsid w:val="007D10D9"/>
    <w:rsid w:val="007D1104"/>
    <w:rsid w:val="007D11FB"/>
    <w:rsid w:val="007D1372"/>
    <w:rsid w:val="007D14BB"/>
    <w:rsid w:val="007D16AD"/>
    <w:rsid w:val="007D1823"/>
    <w:rsid w:val="007D18C4"/>
    <w:rsid w:val="007D1C85"/>
    <w:rsid w:val="007D207E"/>
    <w:rsid w:val="007D21E6"/>
    <w:rsid w:val="007D23B4"/>
    <w:rsid w:val="007D26E9"/>
    <w:rsid w:val="007D278B"/>
    <w:rsid w:val="007D289E"/>
    <w:rsid w:val="007D295B"/>
    <w:rsid w:val="007D2BC5"/>
    <w:rsid w:val="007D2E0B"/>
    <w:rsid w:val="007D2E3D"/>
    <w:rsid w:val="007D3240"/>
    <w:rsid w:val="007D3507"/>
    <w:rsid w:val="007D3681"/>
    <w:rsid w:val="007D3771"/>
    <w:rsid w:val="007D37AA"/>
    <w:rsid w:val="007D3A0C"/>
    <w:rsid w:val="007D3A91"/>
    <w:rsid w:val="007D3D80"/>
    <w:rsid w:val="007D3E1C"/>
    <w:rsid w:val="007D41C0"/>
    <w:rsid w:val="007D4306"/>
    <w:rsid w:val="007D4C6B"/>
    <w:rsid w:val="007D4CFF"/>
    <w:rsid w:val="007D4FEC"/>
    <w:rsid w:val="007D520D"/>
    <w:rsid w:val="007D591F"/>
    <w:rsid w:val="007D5B45"/>
    <w:rsid w:val="007D5CA7"/>
    <w:rsid w:val="007D5F58"/>
    <w:rsid w:val="007D6029"/>
    <w:rsid w:val="007D631B"/>
    <w:rsid w:val="007D6394"/>
    <w:rsid w:val="007D6614"/>
    <w:rsid w:val="007D6A5D"/>
    <w:rsid w:val="007D6F5C"/>
    <w:rsid w:val="007D71D8"/>
    <w:rsid w:val="007D73A8"/>
    <w:rsid w:val="007D7523"/>
    <w:rsid w:val="007D7605"/>
    <w:rsid w:val="007D763F"/>
    <w:rsid w:val="007D7763"/>
    <w:rsid w:val="007D7D1E"/>
    <w:rsid w:val="007D7E5B"/>
    <w:rsid w:val="007E0319"/>
    <w:rsid w:val="007E05F1"/>
    <w:rsid w:val="007E0A53"/>
    <w:rsid w:val="007E0C5C"/>
    <w:rsid w:val="007E0C95"/>
    <w:rsid w:val="007E0DF5"/>
    <w:rsid w:val="007E0E3B"/>
    <w:rsid w:val="007E0ECA"/>
    <w:rsid w:val="007E0F88"/>
    <w:rsid w:val="007E10AE"/>
    <w:rsid w:val="007E13B5"/>
    <w:rsid w:val="007E13FF"/>
    <w:rsid w:val="007E143A"/>
    <w:rsid w:val="007E1750"/>
    <w:rsid w:val="007E1A60"/>
    <w:rsid w:val="007E1AC5"/>
    <w:rsid w:val="007E1ACB"/>
    <w:rsid w:val="007E1CAE"/>
    <w:rsid w:val="007E1CDF"/>
    <w:rsid w:val="007E1D24"/>
    <w:rsid w:val="007E1D54"/>
    <w:rsid w:val="007E1E9F"/>
    <w:rsid w:val="007E24A1"/>
    <w:rsid w:val="007E2512"/>
    <w:rsid w:val="007E27E4"/>
    <w:rsid w:val="007E28C5"/>
    <w:rsid w:val="007E2B54"/>
    <w:rsid w:val="007E2F69"/>
    <w:rsid w:val="007E30F3"/>
    <w:rsid w:val="007E32CB"/>
    <w:rsid w:val="007E344F"/>
    <w:rsid w:val="007E35B0"/>
    <w:rsid w:val="007E3649"/>
    <w:rsid w:val="007E3670"/>
    <w:rsid w:val="007E3760"/>
    <w:rsid w:val="007E39DD"/>
    <w:rsid w:val="007E3B80"/>
    <w:rsid w:val="007E3C4A"/>
    <w:rsid w:val="007E3DA4"/>
    <w:rsid w:val="007E417E"/>
    <w:rsid w:val="007E434E"/>
    <w:rsid w:val="007E4621"/>
    <w:rsid w:val="007E483E"/>
    <w:rsid w:val="007E486F"/>
    <w:rsid w:val="007E4B1C"/>
    <w:rsid w:val="007E4B7F"/>
    <w:rsid w:val="007E4C24"/>
    <w:rsid w:val="007E4C41"/>
    <w:rsid w:val="007E4E5B"/>
    <w:rsid w:val="007E4FAC"/>
    <w:rsid w:val="007E4FDB"/>
    <w:rsid w:val="007E5101"/>
    <w:rsid w:val="007E550E"/>
    <w:rsid w:val="007E572D"/>
    <w:rsid w:val="007E5A2C"/>
    <w:rsid w:val="007E5CF7"/>
    <w:rsid w:val="007E5D47"/>
    <w:rsid w:val="007E5D60"/>
    <w:rsid w:val="007E5FA9"/>
    <w:rsid w:val="007E600F"/>
    <w:rsid w:val="007E6350"/>
    <w:rsid w:val="007E6465"/>
    <w:rsid w:val="007E6552"/>
    <w:rsid w:val="007E6908"/>
    <w:rsid w:val="007E69C2"/>
    <w:rsid w:val="007E6B36"/>
    <w:rsid w:val="007E6DE3"/>
    <w:rsid w:val="007E7138"/>
    <w:rsid w:val="007E74B3"/>
    <w:rsid w:val="007E74C3"/>
    <w:rsid w:val="007E756C"/>
    <w:rsid w:val="007E77F2"/>
    <w:rsid w:val="007E794E"/>
    <w:rsid w:val="007F014B"/>
    <w:rsid w:val="007F034C"/>
    <w:rsid w:val="007F06E5"/>
    <w:rsid w:val="007F06FE"/>
    <w:rsid w:val="007F1219"/>
    <w:rsid w:val="007F1446"/>
    <w:rsid w:val="007F1547"/>
    <w:rsid w:val="007F1972"/>
    <w:rsid w:val="007F1992"/>
    <w:rsid w:val="007F19A7"/>
    <w:rsid w:val="007F1A65"/>
    <w:rsid w:val="007F221D"/>
    <w:rsid w:val="007F22C9"/>
    <w:rsid w:val="007F26E6"/>
    <w:rsid w:val="007F2835"/>
    <w:rsid w:val="007F2967"/>
    <w:rsid w:val="007F2A0F"/>
    <w:rsid w:val="007F2B75"/>
    <w:rsid w:val="007F2BD6"/>
    <w:rsid w:val="007F2CA1"/>
    <w:rsid w:val="007F2E18"/>
    <w:rsid w:val="007F2ED0"/>
    <w:rsid w:val="007F2FD5"/>
    <w:rsid w:val="007F3196"/>
    <w:rsid w:val="007F31DC"/>
    <w:rsid w:val="007F323B"/>
    <w:rsid w:val="007F336D"/>
    <w:rsid w:val="007F3749"/>
    <w:rsid w:val="007F3962"/>
    <w:rsid w:val="007F39B6"/>
    <w:rsid w:val="007F3E2B"/>
    <w:rsid w:val="007F40BB"/>
    <w:rsid w:val="007F40F6"/>
    <w:rsid w:val="007F421A"/>
    <w:rsid w:val="007F432F"/>
    <w:rsid w:val="007F4380"/>
    <w:rsid w:val="007F4620"/>
    <w:rsid w:val="007F46F0"/>
    <w:rsid w:val="007F4A44"/>
    <w:rsid w:val="007F4BBF"/>
    <w:rsid w:val="007F4EFE"/>
    <w:rsid w:val="007F4F5C"/>
    <w:rsid w:val="007F5133"/>
    <w:rsid w:val="007F5278"/>
    <w:rsid w:val="007F52DB"/>
    <w:rsid w:val="007F5389"/>
    <w:rsid w:val="007F5442"/>
    <w:rsid w:val="007F54F6"/>
    <w:rsid w:val="007F550E"/>
    <w:rsid w:val="007F560F"/>
    <w:rsid w:val="007F5687"/>
    <w:rsid w:val="007F5733"/>
    <w:rsid w:val="007F5858"/>
    <w:rsid w:val="007F59B5"/>
    <w:rsid w:val="007F5FBB"/>
    <w:rsid w:val="007F6016"/>
    <w:rsid w:val="007F640D"/>
    <w:rsid w:val="007F6419"/>
    <w:rsid w:val="007F6590"/>
    <w:rsid w:val="007F65AD"/>
    <w:rsid w:val="007F6637"/>
    <w:rsid w:val="007F68E4"/>
    <w:rsid w:val="007F6B08"/>
    <w:rsid w:val="007F6BE1"/>
    <w:rsid w:val="007F6D40"/>
    <w:rsid w:val="007F6E40"/>
    <w:rsid w:val="007F71D3"/>
    <w:rsid w:val="007F72B1"/>
    <w:rsid w:val="007F742F"/>
    <w:rsid w:val="007F7445"/>
    <w:rsid w:val="007F7529"/>
    <w:rsid w:val="007F7606"/>
    <w:rsid w:val="007F78B6"/>
    <w:rsid w:val="007F7A12"/>
    <w:rsid w:val="007F7AFB"/>
    <w:rsid w:val="007F7BB9"/>
    <w:rsid w:val="007F7C32"/>
    <w:rsid w:val="007F7C56"/>
    <w:rsid w:val="007F7CC1"/>
    <w:rsid w:val="007F7D66"/>
    <w:rsid w:val="007F7E25"/>
    <w:rsid w:val="007F7E47"/>
    <w:rsid w:val="00800467"/>
    <w:rsid w:val="008008DB"/>
    <w:rsid w:val="00800994"/>
    <w:rsid w:val="00800B7F"/>
    <w:rsid w:val="00800C2D"/>
    <w:rsid w:val="00800CF7"/>
    <w:rsid w:val="00800F45"/>
    <w:rsid w:val="00800FA1"/>
    <w:rsid w:val="0080106A"/>
    <w:rsid w:val="00801217"/>
    <w:rsid w:val="0080122F"/>
    <w:rsid w:val="0080147B"/>
    <w:rsid w:val="0080148C"/>
    <w:rsid w:val="00801822"/>
    <w:rsid w:val="008018CA"/>
    <w:rsid w:val="008018E0"/>
    <w:rsid w:val="00801C8D"/>
    <w:rsid w:val="00801D54"/>
    <w:rsid w:val="00801D9E"/>
    <w:rsid w:val="00801DF8"/>
    <w:rsid w:val="00801ED6"/>
    <w:rsid w:val="00802442"/>
    <w:rsid w:val="0080250E"/>
    <w:rsid w:val="00802C14"/>
    <w:rsid w:val="00802CE7"/>
    <w:rsid w:val="00802CF1"/>
    <w:rsid w:val="00802E50"/>
    <w:rsid w:val="00802E75"/>
    <w:rsid w:val="00802F50"/>
    <w:rsid w:val="008032A6"/>
    <w:rsid w:val="00803631"/>
    <w:rsid w:val="00803689"/>
    <w:rsid w:val="008037D0"/>
    <w:rsid w:val="00803854"/>
    <w:rsid w:val="00803D29"/>
    <w:rsid w:val="00803E67"/>
    <w:rsid w:val="00803E7E"/>
    <w:rsid w:val="008040B2"/>
    <w:rsid w:val="008041FE"/>
    <w:rsid w:val="00804311"/>
    <w:rsid w:val="0080431A"/>
    <w:rsid w:val="008044AD"/>
    <w:rsid w:val="008048C0"/>
    <w:rsid w:val="00804C72"/>
    <w:rsid w:val="00804D0D"/>
    <w:rsid w:val="00804EA2"/>
    <w:rsid w:val="00804F10"/>
    <w:rsid w:val="0080521D"/>
    <w:rsid w:val="00805273"/>
    <w:rsid w:val="008052D7"/>
    <w:rsid w:val="00805471"/>
    <w:rsid w:val="008055DB"/>
    <w:rsid w:val="00805ACA"/>
    <w:rsid w:val="00805BFB"/>
    <w:rsid w:val="00805CBC"/>
    <w:rsid w:val="00805CE0"/>
    <w:rsid w:val="0080608C"/>
    <w:rsid w:val="008063D6"/>
    <w:rsid w:val="008065AE"/>
    <w:rsid w:val="00806640"/>
    <w:rsid w:val="008067AB"/>
    <w:rsid w:val="00806918"/>
    <w:rsid w:val="00806A74"/>
    <w:rsid w:val="00806CD8"/>
    <w:rsid w:val="00806D50"/>
    <w:rsid w:val="008070B7"/>
    <w:rsid w:val="00807120"/>
    <w:rsid w:val="00807489"/>
    <w:rsid w:val="0080764C"/>
    <w:rsid w:val="00807980"/>
    <w:rsid w:val="008079B5"/>
    <w:rsid w:val="00807A9A"/>
    <w:rsid w:val="00807D27"/>
    <w:rsid w:val="00807F59"/>
    <w:rsid w:val="00807FD7"/>
    <w:rsid w:val="0081003D"/>
    <w:rsid w:val="008100A4"/>
    <w:rsid w:val="0081011D"/>
    <w:rsid w:val="00810238"/>
    <w:rsid w:val="0081045B"/>
    <w:rsid w:val="0081049D"/>
    <w:rsid w:val="00810639"/>
    <w:rsid w:val="008106B0"/>
    <w:rsid w:val="00810C27"/>
    <w:rsid w:val="00810DF5"/>
    <w:rsid w:val="00810F16"/>
    <w:rsid w:val="00811256"/>
    <w:rsid w:val="0081161A"/>
    <w:rsid w:val="008116AD"/>
    <w:rsid w:val="00811822"/>
    <w:rsid w:val="00811A43"/>
    <w:rsid w:val="00811B65"/>
    <w:rsid w:val="00811C6C"/>
    <w:rsid w:val="00811D46"/>
    <w:rsid w:val="00811DD1"/>
    <w:rsid w:val="00812353"/>
    <w:rsid w:val="008123B4"/>
    <w:rsid w:val="0081253C"/>
    <w:rsid w:val="008125B0"/>
    <w:rsid w:val="00812818"/>
    <w:rsid w:val="00812A3B"/>
    <w:rsid w:val="00813197"/>
    <w:rsid w:val="008131EB"/>
    <w:rsid w:val="00813399"/>
    <w:rsid w:val="00813426"/>
    <w:rsid w:val="00813BB6"/>
    <w:rsid w:val="00814044"/>
    <w:rsid w:val="00814522"/>
    <w:rsid w:val="00814595"/>
    <w:rsid w:val="008145E1"/>
    <w:rsid w:val="00814616"/>
    <w:rsid w:val="00814687"/>
    <w:rsid w:val="00814973"/>
    <w:rsid w:val="00814DBC"/>
    <w:rsid w:val="00814E94"/>
    <w:rsid w:val="00814FAF"/>
    <w:rsid w:val="00814FF4"/>
    <w:rsid w:val="00815054"/>
    <w:rsid w:val="008150E7"/>
    <w:rsid w:val="00815158"/>
    <w:rsid w:val="008151B0"/>
    <w:rsid w:val="00815249"/>
    <w:rsid w:val="00815488"/>
    <w:rsid w:val="0081580F"/>
    <w:rsid w:val="00815B2A"/>
    <w:rsid w:val="00815E6A"/>
    <w:rsid w:val="0081614E"/>
    <w:rsid w:val="0081633A"/>
    <w:rsid w:val="0081646D"/>
    <w:rsid w:val="008166A9"/>
    <w:rsid w:val="008166DC"/>
    <w:rsid w:val="00816988"/>
    <w:rsid w:val="008169C1"/>
    <w:rsid w:val="00816CF4"/>
    <w:rsid w:val="00816DE7"/>
    <w:rsid w:val="00816E27"/>
    <w:rsid w:val="00816FAC"/>
    <w:rsid w:val="008170E3"/>
    <w:rsid w:val="0081735D"/>
    <w:rsid w:val="00817588"/>
    <w:rsid w:val="008178A2"/>
    <w:rsid w:val="00817D92"/>
    <w:rsid w:val="008200C1"/>
    <w:rsid w:val="0082013B"/>
    <w:rsid w:val="00820287"/>
    <w:rsid w:val="008203D7"/>
    <w:rsid w:val="00820447"/>
    <w:rsid w:val="00820487"/>
    <w:rsid w:val="008205B4"/>
    <w:rsid w:val="008207F6"/>
    <w:rsid w:val="008207FC"/>
    <w:rsid w:val="0082087A"/>
    <w:rsid w:val="00820990"/>
    <w:rsid w:val="008209B3"/>
    <w:rsid w:val="00820B25"/>
    <w:rsid w:val="00820E41"/>
    <w:rsid w:val="00821361"/>
    <w:rsid w:val="00821927"/>
    <w:rsid w:val="00821A4F"/>
    <w:rsid w:val="00821FBF"/>
    <w:rsid w:val="008220E2"/>
    <w:rsid w:val="008222A8"/>
    <w:rsid w:val="008223CF"/>
    <w:rsid w:val="008223EC"/>
    <w:rsid w:val="008228EB"/>
    <w:rsid w:val="00822A28"/>
    <w:rsid w:val="00822ACE"/>
    <w:rsid w:val="00822BB5"/>
    <w:rsid w:val="00822C04"/>
    <w:rsid w:val="00822CEE"/>
    <w:rsid w:val="00822DF7"/>
    <w:rsid w:val="00822F40"/>
    <w:rsid w:val="00823131"/>
    <w:rsid w:val="0082327D"/>
    <w:rsid w:val="0082342F"/>
    <w:rsid w:val="00823541"/>
    <w:rsid w:val="00823833"/>
    <w:rsid w:val="00823A3F"/>
    <w:rsid w:val="00823AFE"/>
    <w:rsid w:val="00823B11"/>
    <w:rsid w:val="00823D36"/>
    <w:rsid w:val="00823F46"/>
    <w:rsid w:val="008240D5"/>
    <w:rsid w:val="0082412E"/>
    <w:rsid w:val="00824599"/>
    <w:rsid w:val="008245B1"/>
    <w:rsid w:val="0082475C"/>
    <w:rsid w:val="008248C7"/>
    <w:rsid w:val="008249DA"/>
    <w:rsid w:val="00824AE9"/>
    <w:rsid w:val="00824DFC"/>
    <w:rsid w:val="008251B2"/>
    <w:rsid w:val="00825328"/>
    <w:rsid w:val="00825702"/>
    <w:rsid w:val="00825B8B"/>
    <w:rsid w:val="00825D1D"/>
    <w:rsid w:val="0082603E"/>
    <w:rsid w:val="00826245"/>
    <w:rsid w:val="00826543"/>
    <w:rsid w:val="0082661F"/>
    <w:rsid w:val="00826623"/>
    <w:rsid w:val="008268B4"/>
    <w:rsid w:val="008269B5"/>
    <w:rsid w:val="00826C3A"/>
    <w:rsid w:val="00826D94"/>
    <w:rsid w:val="00826F7C"/>
    <w:rsid w:val="00827101"/>
    <w:rsid w:val="0082714D"/>
    <w:rsid w:val="00827354"/>
    <w:rsid w:val="0082747C"/>
    <w:rsid w:val="008274CA"/>
    <w:rsid w:val="008275B2"/>
    <w:rsid w:val="00827974"/>
    <w:rsid w:val="00827ABF"/>
    <w:rsid w:val="00827B7B"/>
    <w:rsid w:val="00827E85"/>
    <w:rsid w:val="00827F68"/>
    <w:rsid w:val="00830076"/>
    <w:rsid w:val="008300B0"/>
    <w:rsid w:val="008302E8"/>
    <w:rsid w:val="00830444"/>
    <w:rsid w:val="008304DC"/>
    <w:rsid w:val="00830564"/>
    <w:rsid w:val="008305D3"/>
    <w:rsid w:val="00830614"/>
    <w:rsid w:val="0083061E"/>
    <w:rsid w:val="008306DC"/>
    <w:rsid w:val="008307A2"/>
    <w:rsid w:val="00830BA9"/>
    <w:rsid w:val="00830E12"/>
    <w:rsid w:val="00830E75"/>
    <w:rsid w:val="00831870"/>
    <w:rsid w:val="008318CE"/>
    <w:rsid w:val="008318FC"/>
    <w:rsid w:val="008319A0"/>
    <w:rsid w:val="00831D4E"/>
    <w:rsid w:val="00831DA5"/>
    <w:rsid w:val="00831E95"/>
    <w:rsid w:val="008323F7"/>
    <w:rsid w:val="0083270D"/>
    <w:rsid w:val="00832846"/>
    <w:rsid w:val="0083288D"/>
    <w:rsid w:val="00832999"/>
    <w:rsid w:val="00832C9C"/>
    <w:rsid w:val="00832D86"/>
    <w:rsid w:val="00832FB0"/>
    <w:rsid w:val="0083305E"/>
    <w:rsid w:val="008331A9"/>
    <w:rsid w:val="008332CA"/>
    <w:rsid w:val="008333B5"/>
    <w:rsid w:val="00833510"/>
    <w:rsid w:val="0083360D"/>
    <w:rsid w:val="0083380D"/>
    <w:rsid w:val="008338DC"/>
    <w:rsid w:val="00833A2B"/>
    <w:rsid w:val="00833B3D"/>
    <w:rsid w:val="00833C18"/>
    <w:rsid w:val="00833C29"/>
    <w:rsid w:val="00833E00"/>
    <w:rsid w:val="00833F90"/>
    <w:rsid w:val="00833FEB"/>
    <w:rsid w:val="0083412A"/>
    <w:rsid w:val="0083436C"/>
    <w:rsid w:val="008346F5"/>
    <w:rsid w:val="00834938"/>
    <w:rsid w:val="008349AE"/>
    <w:rsid w:val="00834C94"/>
    <w:rsid w:val="008351CB"/>
    <w:rsid w:val="008351E3"/>
    <w:rsid w:val="00835349"/>
    <w:rsid w:val="00835424"/>
    <w:rsid w:val="0083563A"/>
    <w:rsid w:val="00835650"/>
    <w:rsid w:val="00835E02"/>
    <w:rsid w:val="00835F95"/>
    <w:rsid w:val="00835FF5"/>
    <w:rsid w:val="0083621A"/>
    <w:rsid w:val="008362AD"/>
    <w:rsid w:val="0083641D"/>
    <w:rsid w:val="00836448"/>
    <w:rsid w:val="008364E2"/>
    <w:rsid w:val="00836665"/>
    <w:rsid w:val="0083678D"/>
    <w:rsid w:val="0083682E"/>
    <w:rsid w:val="0083693B"/>
    <w:rsid w:val="008369DA"/>
    <w:rsid w:val="008370E3"/>
    <w:rsid w:val="0083743D"/>
    <w:rsid w:val="008376D9"/>
    <w:rsid w:val="00837836"/>
    <w:rsid w:val="00837886"/>
    <w:rsid w:val="00837971"/>
    <w:rsid w:val="00837A20"/>
    <w:rsid w:val="00837A4C"/>
    <w:rsid w:val="00837A6A"/>
    <w:rsid w:val="00837BB7"/>
    <w:rsid w:val="00837BE5"/>
    <w:rsid w:val="00837FFD"/>
    <w:rsid w:val="008400C2"/>
    <w:rsid w:val="008400D1"/>
    <w:rsid w:val="00840500"/>
    <w:rsid w:val="0084070D"/>
    <w:rsid w:val="00840B3D"/>
    <w:rsid w:val="00840B89"/>
    <w:rsid w:val="00840F56"/>
    <w:rsid w:val="00841039"/>
    <w:rsid w:val="00841058"/>
    <w:rsid w:val="008410F9"/>
    <w:rsid w:val="00841366"/>
    <w:rsid w:val="00841594"/>
    <w:rsid w:val="008418E2"/>
    <w:rsid w:val="00841ADA"/>
    <w:rsid w:val="00841D2C"/>
    <w:rsid w:val="00841F09"/>
    <w:rsid w:val="00842027"/>
    <w:rsid w:val="00842262"/>
    <w:rsid w:val="0084236F"/>
    <w:rsid w:val="008423F8"/>
    <w:rsid w:val="00842BCC"/>
    <w:rsid w:val="00842BEF"/>
    <w:rsid w:val="00842E49"/>
    <w:rsid w:val="00842ED8"/>
    <w:rsid w:val="00842F0C"/>
    <w:rsid w:val="0084302A"/>
    <w:rsid w:val="00843289"/>
    <w:rsid w:val="008434D8"/>
    <w:rsid w:val="0084351A"/>
    <w:rsid w:val="008436F3"/>
    <w:rsid w:val="00843814"/>
    <w:rsid w:val="00843C11"/>
    <w:rsid w:val="00843CA8"/>
    <w:rsid w:val="008441AC"/>
    <w:rsid w:val="00844313"/>
    <w:rsid w:val="00844600"/>
    <w:rsid w:val="00844752"/>
    <w:rsid w:val="00844753"/>
    <w:rsid w:val="008448B8"/>
    <w:rsid w:val="00844BE8"/>
    <w:rsid w:val="00844E04"/>
    <w:rsid w:val="008451E2"/>
    <w:rsid w:val="008452AF"/>
    <w:rsid w:val="008456AF"/>
    <w:rsid w:val="00845928"/>
    <w:rsid w:val="00845AB5"/>
    <w:rsid w:val="00845D45"/>
    <w:rsid w:val="00845DB9"/>
    <w:rsid w:val="00845F9F"/>
    <w:rsid w:val="008460CF"/>
    <w:rsid w:val="0084646E"/>
    <w:rsid w:val="00846503"/>
    <w:rsid w:val="00846590"/>
    <w:rsid w:val="0084679E"/>
    <w:rsid w:val="0084681A"/>
    <w:rsid w:val="00846BAD"/>
    <w:rsid w:val="00846BE9"/>
    <w:rsid w:val="00846D1B"/>
    <w:rsid w:val="00846D3F"/>
    <w:rsid w:val="00847170"/>
    <w:rsid w:val="0084731A"/>
    <w:rsid w:val="00847449"/>
    <w:rsid w:val="00847514"/>
    <w:rsid w:val="008477F5"/>
    <w:rsid w:val="00847A10"/>
    <w:rsid w:val="00847CA6"/>
    <w:rsid w:val="00847F83"/>
    <w:rsid w:val="0085012E"/>
    <w:rsid w:val="00850130"/>
    <w:rsid w:val="008501E0"/>
    <w:rsid w:val="0085020B"/>
    <w:rsid w:val="008504AF"/>
    <w:rsid w:val="00850605"/>
    <w:rsid w:val="00850672"/>
    <w:rsid w:val="0085076B"/>
    <w:rsid w:val="00850C17"/>
    <w:rsid w:val="00850D42"/>
    <w:rsid w:val="00850EC6"/>
    <w:rsid w:val="0085123B"/>
    <w:rsid w:val="0085132B"/>
    <w:rsid w:val="00851392"/>
    <w:rsid w:val="00851495"/>
    <w:rsid w:val="008515B2"/>
    <w:rsid w:val="00851639"/>
    <w:rsid w:val="00851830"/>
    <w:rsid w:val="008518D0"/>
    <w:rsid w:val="00851914"/>
    <w:rsid w:val="0085191E"/>
    <w:rsid w:val="00851945"/>
    <w:rsid w:val="00851A31"/>
    <w:rsid w:val="00851B1B"/>
    <w:rsid w:val="00851B64"/>
    <w:rsid w:val="00851CD0"/>
    <w:rsid w:val="008520BE"/>
    <w:rsid w:val="00852128"/>
    <w:rsid w:val="0085213A"/>
    <w:rsid w:val="0085221C"/>
    <w:rsid w:val="00852941"/>
    <w:rsid w:val="008529A5"/>
    <w:rsid w:val="00852A8B"/>
    <w:rsid w:val="00852C6A"/>
    <w:rsid w:val="00852E43"/>
    <w:rsid w:val="00852EAA"/>
    <w:rsid w:val="00852F97"/>
    <w:rsid w:val="0085306D"/>
    <w:rsid w:val="00853319"/>
    <w:rsid w:val="008533FF"/>
    <w:rsid w:val="0085344B"/>
    <w:rsid w:val="008534E9"/>
    <w:rsid w:val="008534F0"/>
    <w:rsid w:val="008537C7"/>
    <w:rsid w:val="00853E0C"/>
    <w:rsid w:val="00853E5B"/>
    <w:rsid w:val="00853F35"/>
    <w:rsid w:val="0085420D"/>
    <w:rsid w:val="008543FB"/>
    <w:rsid w:val="00854499"/>
    <w:rsid w:val="008544D6"/>
    <w:rsid w:val="00854522"/>
    <w:rsid w:val="00854ADD"/>
    <w:rsid w:val="00854EEA"/>
    <w:rsid w:val="008550E4"/>
    <w:rsid w:val="00855161"/>
    <w:rsid w:val="00855173"/>
    <w:rsid w:val="008554F1"/>
    <w:rsid w:val="008558CA"/>
    <w:rsid w:val="008558FB"/>
    <w:rsid w:val="00855983"/>
    <w:rsid w:val="00855994"/>
    <w:rsid w:val="00855AD9"/>
    <w:rsid w:val="00855B20"/>
    <w:rsid w:val="00855EAB"/>
    <w:rsid w:val="00855EDD"/>
    <w:rsid w:val="00855EE2"/>
    <w:rsid w:val="008562C0"/>
    <w:rsid w:val="008562CC"/>
    <w:rsid w:val="0085655F"/>
    <w:rsid w:val="00856925"/>
    <w:rsid w:val="00856A0D"/>
    <w:rsid w:val="00856B71"/>
    <w:rsid w:val="00856C1A"/>
    <w:rsid w:val="00856C9D"/>
    <w:rsid w:val="00856CE6"/>
    <w:rsid w:val="00857397"/>
    <w:rsid w:val="008573D8"/>
    <w:rsid w:val="00857525"/>
    <w:rsid w:val="00857543"/>
    <w:rsid w:val="008575A9"/>
    <w:rsid w:val="008575F5"/>
    <w:rsid w:val="0085770D"/>
    <w:rsid w:val="00857718"/>
    <w:rsid w:val="00857732"/>
    <w:rsid w:val="008579C7"/>
    <w:rsid w:val="00857A5F"/>
    <w:rsid w:val="00857AEC"/>
    <w:rsid w:val="00857BBA"/>
    <w:rsid w:val="00857CF3"/>
    <w:rsid w:val="00857D00"/>
    <w:rsid w:val="00857E4B"/>
    <w:rsid w:val="00857F50"/>
    <w:rsid w:val="0086002E"/>
    <w:rsid w:val="008600FE"/>
    <w:rsid w:val="008601AD"/>
    <w:rsid w:val="008602D0"/>
    <w:rsid w:val="008603E0"/>
    <w:rsid w:val="008604F7"/>
    <w:rsid w:val="008606FC"/>
    <w:rsid w:val="00860772"/>
    <w:rsid w:val="0086077F"/>
    <w:rsid w:val="00860860"/>
    <w:rsid w:val="00860BEB"/>
    <w:rsid w:val="00860E60"/>
    <w:rsid w:val="00860EF8"/>
    <w:rsid w:val="00860F2A"/>
    <w:rsid w:val="00861158"/>
    <w:rsid w:val="00861469"/>
    <w:rsid w:val="008617AE"/>
    <w:rsid w:val="008617B4"/>
    <w:rsid w:val="0086182A"/>
    <w:rsid w:val="0086187E"/>
    <w:rsid w:val="00861C74"/>
    <w:rsid w:val="00862166"/>
    <w:rsid w:val="008621B9"/>
    <w:rsid w:val="0086223D"/>
    <w:rsid w:val="0086253C"/>
    <w:rsid w:val="008625C6"/>
    <w:rsid w:val="0086270C"/>
    <w:rsid w:val="00862915"/>
    <w:rsid w:val="008629AC"/>
    <w:rsid w:val="00862AF2"/>
    <w:rsid w:val="0086307E"/>
    <w:rsid w:val="008632AA"/>
    <w:rsid w:val="0086344E"/>
    <w:rsid w:val="008634C9"/>
    <w:rsid w:val="00863617"/>
    <w:rsid w:val="0086362F"/>
    <w:rsid w:val="008639B0"/>
    <w:rsid w:val="00863B6D"/>
    <w:rsid w:val="00863ED4"/>
    <w:rsid w:val="008640C9"/>
    <w:rsid w:val="00864349"/>
    <w:rsid w:val="00864528"/>
    <w:rsid w:val="008645AA"/>
    <w:rsid w:val="008646D2"/>
    <w:rsid w:val="00864706"/>
    <w:rsid w:val="008647E7"/>
    <w:rsid w:val="0086491B"/>
    <w:rsid w:val="00864C84"/>
    <w:rsid w:val="00864C97"/>
    <w:rsid w:val="00864D10"/>
    <w:rsid w:val="00864E98"/>
    <w:rsid w:val="00864EF0"/>
    <w:rsid w:val="00865071"/>
    <w:rsid w:val="00865498"/>
    <w:rsid w:val="008654A1"/>
    <w:rsid w:val="00865681"/>
    <w:rsid w:val="0086571D"/>
    <w:rsid w:val="00865764"/>
    <w:rsid w:val="00865CBA"/>
    <w:rsid w:val="00865D41"/>
    <w:rsid w:val="00865DFC"/>
    <w:rsid w:val="00865E58"/>
    <w:rsid w:val="00865E97"/>
    <w:rsid w:val="0086613A"/>
    <w:rsid w:val="0086628C"/>
    <w:rsid w:val="008663FD"/>
    <w:rsid w:val="008664E4"/>
    <w:rsid w:val="00866569"/>
    <w:rsid w:val="008665AC"/>
    <w:rsid w:val="0086678A"/>
    <w:rsid w:val="008669A8"/>
    <w:rsid w:val="00866A08"/>
    <w:rsid w:val="00866A25"/>
    <w:rsid w:val="00866A65"/>
    <w:rsid w:val="00866FC0"/>
    <w:rsid w:val="00867207"/>
    <w:rsid w:val="008676C4"/>
    <w:rsid w:val="0086780C"/>
    <w:rsid w:val="00867AB8"/>
    <w:rsid w:val="00867ABC"/>
    <w:rsid w:val="00867B81"/>
    <w:rsid w:val="00867C5E"/>
    <w:rsid w:val="00867C89"/>
    <w:rsid w:val="00867D5B"/>
    <w:rsid w:val="00867E4D"/>
    <w:rsid w:val="0086A926"/>
    <w:rsid w:val="00870272"/>
    <w:rsid w:val="0087035D"/>
    <w:rsid w:val="008704D2"/>
    <w:rsid w:val="008704DD"/>
    <w:rsid w:val="00870548"/>
    <w:rsid w:val="008705DE"/>
    <w:rsid w:val="00870627"/>
    <w:rsid w:val="0087069D"/>
    <w:rsid w:val="008708EE"/>
    <w:rsid w:val="0087093E"/>
    <w:rsid w:val="00870968"/>
    <w:rsid w:val="008709AF"/>
    <w:rsid w:val="00870A05"/>
    <w:rsid w:val="00870A15"/>
    <w:rsid w:val="00870B7F"/>
    <w:rsid w:val="00871169"/>
    <w:rsid w:val="008712BB"/>
    <w:rsid w:val="0087140A"/>
    <w:rsid w:val="0087162C"/>
    <w:rsid w:val="008716C9"/>
    <w:rsid w:val="00871B40"/>
    <w:rsid w:val="0087240A"/>
    <w:rsid w:val="00872418"/>
    <w:rsid w:val="00872446"/>
    <w:rsid w:val="008724F8"/>
    <w:rsid w:val="0087276A"/>
    <w:rsid w:val="008727EE"/>
    <w:rsid w:val="00872A55"/>
    <w:rsid w:val="00872D20"/>
    <w:rsid w:val="00872FAA"/>
    <w:rsid w:val="00873024"/>
    <w:rsid w:val="00873195"/>
    <w:rsid w:val="008733E5"/>
    <w:rsid w:val="00873528"/>
    <w:rsid w:val="00873AE1"/>
    <w:rsid w:val="00873B54"/>
    <w:rsid w:val="00873BC0"/>
    <w:rsid w:val="00873C37"/>
    <w:rsid w:val="0087429F"/>
    <w:rsid w:val="008745CB"/>
    <w:rsid w:val="0087482A"/>
    <w:rsid w:val="00874A43"/>
    <w:rsid w:val="00874BA4"/>
    <w:rsid w:val="00874BB5"/>
    <w:rsid w:val="00874C4E"/>
    <w:rsid w:val="00874E62"/>
    <w:rsid w:val="00874EA5"/>
    <w:rsid w:val="00874FBF"/>
    <w:rsid w:val="00875009"/>
    <w:rsid w:val="0087502A"/>
    <w:rsid w:val="00875097"/>
    <w:rsid w:val="0087529C"/>
    <w:rsid w:val="0087540B"/>
    <w:rsid w:val="0087555E"/>
    <w:rsid w:val="008758EE"/>
    <w:rsid w:val="00875A04"/>
    <w:rsid w:val="00875AFC"/>
    <w:rsid w:val="00875BE4"/>
    <w:rsid w:val="00875D67"/>
    <w:rsid w:val="00875E77"/>
    <w:rsid w:val="00875EB3"/>
    <w:rsid w:val="00876132"/>
    <w:rsid w:val="00876188"/>
    <w:rsid w:val="0087628A"/>
    <w:rsid w:val="0087629D"/>
    <w:rsid w:val="008762FA"/>
    <w:rsid w:val="00876604"/>
    <w:rsid w:val="008766F1"/>
    <w:rsid w:val="0087672A"/>
    <w:rsid w:val="0087687D"/>
    <w:rsid w:val="008769EB"/>
    <w:rsid w:val="00876AA0"/>
    <w:rsid w:val="00876B07"/>
    <w:rsid w:val="00876CDF"/>
    <w:rsid w:val="00876D6A"/>
    <w:rsid w:val="00876F3E"/>
    <w:rsid w:val="0087710A"/>
    <w:rsid w:val="0087713E"/>
    <w:rsid w:val="00877263"/>
    <w:rsid w:val="00877647"/>
    <w:rsid w:val="00877A01"/>
    <w:rsid w:val="00877AB4"/>
    <w:rsid w:val="00877B97"/>
    <w:rsid w:val="00877EF3"/>
    <w:rsid w:val="008800B5"/>
    <w:rsid w:val="00880188"/>
    <w:rsid w:val="00880454"/>
    <w:rsid w:val="00880971"/>
    <w:rsid w:val="00880A4F"/>
    <w:rsid w:val="00880B13"/>
    <w:rsid w:val="00880DB3"/>
    <w:rsid w:val="00880DE4"/>
    <w:rsid w:val="00880FB1"/>
    <w:rsid w:val="008810C8"/>
    <w:rsid w:val="008812F1"/>
    <w:rsid w:val="00881523"/>
    <w:rsid w:val="0088162C"/>
    <w:rsid w:val="008816C0"/>
    <w:rsid w:val="008819DB"/>
    <w:rsid w:val="00881C82"/>
    <w:rsid w:val="00881E1B"/>
    <w:rsid w:val="00881F06"/>
    <w:rsid w:val="00881F8C"/>
    <w:rsid w:val="00882138"/>
    <w:rsid w:val="008821F3"/>
    <w:rsid w:val="0088228C"/>
    <w:rsid w:val="0088236B"/>
    <w:rsid w:val="0088244E"/>
    <w:rsid w:val="008825D3"/>
    <w:rsid w:val="00882997"/>
    <w:rsid w:val="008829CA"/>
    <w:rsid w:val="00882AE9"/>
    <w:rsid w:val="00882D1B"/>
    <w:rsid w:val="00882E9A"/>
    <w:rsid w:val="00882EC5"/>
    <w:rsid w:val="0088320E"/>
    <w:rsid w:val="00883213"/>
    <w:rsid w:val="00883331"/>
    <w:rsid w:val="00883348"/>
    <w:rsid w:val="00883361"/>
    <w:rsid w:val="008837F2"/>
    <w:rsid w:val="008839F2"/>
    <w:rsid w:val="00883A0A"/>
    <w:rsid w:val="00883A8B"/>
    <w:rsid w:val="00883B9F"/>
    <w:rsid w:val="008841BB"/>
    <w:rsid w:val="0088426D"/>
    <w:rsid w:val="00884398"/>
    <w:rsid w:val="008846EE"/>
    <w:rsid w:val="008848C3"/>
    <w:rsid w:val="008848DC"/>
    <w:rsid w:val="00884A75"/>
    <w:rsid w:val="00884B1E"/>
    <w:rsid w:val="00884BB9"/>
    <w:rsid w:val="00884D54"/>
    <w:rsid w:val="00884D9C"/>
    <w:rsid w:val="00884EE1"/>
    <w:rsid w:val="00884F40"/>
    <w:rsid w:val="00885025"/>
    <w:rsid w:val="00885245"/>
    <w:rsid w:val="00885632"/>
    <w:rsid w:val="0088577A"/>
    <w:rsid w:val="0088578D"/>
    <w:rsid w:val="00885841"/>
    <w:rsid w:val="00885903"/>
    <w:rsid w:val="00885A44"/>
    <w:rsid w:val="00885BC5"/>
    <w:rsid w:val="00885BE4"/>
    <w:rsid w:val="00885C23"/>
    <w:rsid w:val="00885D7C"/>
    <w:rsid w:val="00885F3E"/>
    <w:rsid w:val="0088613B"/>
    <w:rsid w:val="00886257"/>
    <w:rsid w:val="008863D6"/>
    <w:rsid w:val="0088651B"/>
    <w:rsid w:val="0088676E"/>
    <w:rsid w:val="008867C1"/>
    <w:rsid w:val="008869B1"/>
    <w:rsid w:val="00886D06"/>
    <w:rsid w:val="00886DDE"/>
    <w:rsid w:val="00886E7D"/>
    <w:rsid w:val="00886EF6"/>
    <w:rsid w:val="00886F21"/>
    <w:rsid w:val="00887073"/>
    <w:rsid w:val="00887151"/>
    <w:rsid w:val="008875FF"/>
    <w:rsid w:val="008877BD"/>
    <w:rsid w:val="00887829"/>
    <w:rsid w:val="00887E24"/>
    <w:rsid w:val="00887FAD"/>
    <w:rsid w:val="0089005A"/>
    <w:rsid w:val="00890112"/>
    <w:rsid w:val="008902ED"/>
    <w:rsid w:val="008904D9"/>
    <w:rsid w:val="00890511"/>
    <w:rsid w:val="008905A6"/>
    <w:rsid w:val="00890885"/>
    <w:rsid w:val="00890988"/>
    <w:rsid w:val="00890C8F"/>
    <w:rsid w:val="00890E6B"/>
    <w:rsid w:val="00890E77"/>
    <w:rsid w:val="00890FB7"/>
    <w:rsid w:val="00891215"/>
    <w:rsid w:val="00891438"/>
    <w:rsid w:val="00891449"/>
    <w:rsid w:val="008914BC"/>
    <w:rsid w:val="008915F4"/>
    <w:rsid w:val="0089195C"/>
    <w:rsid w:val="00891BC2"/>
    <w:rsid w:val="00891D08"/>
    <w:rsid w:val="00891D93"/>
    <w:rsid w:val="00891DAF"/>
    <w:rsid w:val="00891DE2"/>
    <w:rsid w:val="00891EA0"/>
    <w:rsid w:val="00891EF9"/>
    <w:rsid w:val="00892041"/>
    <w:rsid w:val="00892060"/>
    <w:rsid w:val="0089212C"/>
    <w:rsid w:val="008922A6"/>
    <w:rsid w:val="008923FD"/>
    <w:rsid w:val="00892462"/>
    <w:rsid w:val="008925C2"/>
    <w:rsid w:val="0089276D"/>
    <w:rsid w:val="00892AAC"/>
    <w:rsid w:val="00892C31"/>
    <w:rsid w:val="00892CED"/>
    <w:rsid w:val="00893026"/>
    <w:rsid w:val="008936CB"/>
    <w:rsid w:val="008939F5"/>
    <w:rsid w:val="00893B33"/>
    <w:rsid w:val="00893D80"/>
    <w:rsid w:val="00893D8F"/>
    <w:rsid w:val="00893D95"/>
    <w:rsid w:val="00893E59"/>
    <w:rsid w:val="00893E85"/>
    <w:rsid w:val="008940DB"/>
    <w:rsid w:val="008942BB"/>
    <w:rsid w:val="0089431B"/>
    <w:rsid w:val="00894385"/>
    <w:rsid w:val="008944B2"/>
    <w:rsid w:val="008944C3"/>
    <w:rsid w:val="0089455A"/>
    <w:rsid w:val="00894941"/>
    <w:rsid w:val="00894B9B"/>
    <w:rsid w:val="00894D17"/>
    <w:rsid w:val="00894F53"/>
    <w:rsid w:val="0089507B"/>
    <w:rsid w:val="0089534B"/>
    <w:rsid w:val="00895581"/>
    <w:rsid w:val="008959B7"/>
    <w:rsid w:val="00895A50"/>
    <w:rsid w:val="00895A6E"/>
    <w:rsid w:val="00895D56"/>
    <w:rsid w:val="00895E06"/>
    <w:rsid w:val="008961B4"/>
    <w:rsid w:val="0089631B"/>
    <w:rsid w:val="008965FE"/>
    <w:rsid w:val="0089684A"/>
    <w:rsid w:val="008968B1"/>
    <w:rsid w:val="00896A73"/>
    <w:rsid w:val="008970A6"/>
    <w:rsid w:val="00897116"/>
    <w:rsid w:val="0089733C"/>
    <w:rsid w:val="00897686"/>
    <w:rsid w:val="008977F7"/>
    <w:rsid w:val="00897827"/>
    <w:rsid w:val="008978E1"/>
    <w:rsid w:val="00897A48"/>
    <w:rsid w:val="00897B32"/>
    <w:rsid w:val="00897B72"/>
    <w:rsid w:val="00897DDA"/>
    <w:rsid w:val="008A0364"/>
    <w:rsid w:val="008A0674"/>
    <w:rsid w:val="008A06BC"/>
    <w:rsid w:val="008A06F1"/>
    <w:rsid w:val="008A0710"/>
    <w:rsid w:val="008A072A"/>
    <w:rsid w:val="008A093E"/>
    <w:rsid w:val="008A098A"/>
    <w:rsid w:val="008A0D61"/>
    <w:rsid w:val="008A0E05"/>
    <w:rsid w:val="008A10BD"/>
    <w:rsid w:val="008A12F1"/>
    <w:rsid w:val="008A156F"/>
    <w:rsid w:val="008A15A2"/>
    <w:rsid w:val="008A17E1"/>
    <w:rsid w:val="008A1893"/>
    <w:rsid w:val="008A1E72"/>
    <w:rsid w:val="008A2157"/>
    <w:rsid w:val="008A2207"/>
    <w:rsid w:val="008A224F"/>
    <w:rsid w:val="008A23C5"/>
    <w:rsid w:val="008A243E"/>
    <w:rsid w:val="008A2708"/>
    <w:rsid w:val="008A2821"/>
    <w:rsid w:val="008A2CBF"/>
    <w:rsid w:val="008A2FE8"/>
    <w:rsid w:val="008A31FC"/>
    <w:rsid w:val="008A3265"/>
    <w:rsid w:val="008A3591"/>
    <w:rsid w:val="008A367B"/>
    <w:rsid w:val="008A3A04"/>
    <w:rsid w:val="008A3A3B"/>
    <w:rsid w:val="008A3D3B"/>
    <w:rsid w:val="008A3D40"/>
    <w:rsid w:val="008A3E4E"/>
    <w:rsid w:val="008A4257"/>
    <w:rsid w:val="008A4388"/>
    <w:rsid w:val="008A4836"/>
    <w:rsid w:val="008A48CD"/>
    <w:rsid w:val="008A4907"/>
    <w:rsid w:val="008A4930"/>
    <w:rsid w:val="008A49A8"/>
    <w:rsid w:val="008A4B84"/>
    <w:rsid w:val="008A4CAE"/>
    <w:rsid w:val="008A4D86"/>
    <w:rsid w:val="008A4E47"/>
    <w:rsid w:val="008A5047"/>
    <w:rsid w:val="008A5172"/>
    <w:rsid w:val="008A51EC"/>
    <w:rsid w:val="008A526A"/>
    <w:rsid w:val="008A5286"/>
    <w:rsid w:val="008A529A"/>
    <w:rsid w:val="008A52BD"/>
    <w:rsid w:val="008A5473"/>
    <w:rsid w:val="008A5494"/>
    <w:rsid w:val="008A55B0"/>
    <w:rsid w:val="008A55F2"/>
    <w:rsid w:val="008A56B2"/>
    <w:rsid w:val="008A570B"/>
    <w:rsid w:val="008A578C"/>
    <w:rsid w:val="008A57AA"/>
    <w:rsid w:val="008A5E0F"/>
    <w:rsid w:val="008A607B"/>
    <w:rsid w:val="008A61E0"/>
    <w:rsid w:val="008A64E7"/>
    <w:rsid w:val="008A65A6"/>
    <w:rsid w:val="008A65D6"/>
    <w:rsid w:val="008A665D"/>
    <w:rsid w:val="008A684C"/>
    <w:rsid w:val="008A6F02"/>
    <w:rsid w:val="008A7084"/>
    <w:rsid w:val="008A720E"/>
    <w:rsid w:val="008A7338"/>
    <w:rsid w:val="008A7411"/>
    <w:rsid w:val="008A74D3"/>
    <w:rsid w:val="008A75B0"/>
    <w:rsid w:val="008A7B5C"/>
    <w:rsid w:val="008A7DC0"/>
    <w:rsid w:val="008A7FB9"/>
    <w:rsid w:val="008B0009"/>
    <w:rsid w:val="008B016A"/>
    <w:rsid w:val="008B016E"/>
    <w:rsid w:val="008B026D"/>
    <w:rsid w:val="008B089C"/>
    <w:rsid w:val="008B0984"/>
    <w:rsid w:val="008B0AC7"/>
    <w:rsid w:val="008B0B50"/>
    <w:rsid w:val="008B0C3E"/>
    <w:rsid w:val="008B0DC1"/>
    <w:rsid w:val="008B0E5F"/>
    <w:rsid w:val="008B1003"/>
    <w:rsid w:val="008B1056"/>
    <w:rsid w:val="008B12F1"/>
    <w:rsid w:val="008B149D"/>
    <w:rsid w:val="008B14BE"/>
    <w:rsid w:val="008B161F"/>
    <w:rsid w:val="008B1810"/>
    <w:rsid w:val="008B185A"/>
    <w:rsid w:val="008B1906"/>
    <w:rsid w:val="008B1BE3"/>
    <w:rsid w:val="008B1DCA"/>
    <w:rsid w:val="008B1E4C"/>
    <w:rsid w:val="008B2018"/>
    <w:rsid w:val="008B2642"/>
    <w:rsid w:val="008B277E"/>
    <w:rsid w:val="008B28BF"/>
    <w:rsid w:val="008B2AED"/>
    <w:rsid w:val="008B2C94"/>
    <w:rsid w:val="008B2EAB"/>
    <w:rsid w:val="008B342A"/>
    <w:rsid w:val="008B3494"/>
    <w:rsid w:val="008B34D3"/>
    <w:rsid w:val="008B34EF"/>
    <w:rsid w:val="008B38BA"/>
    <w:rsid w:val="008B3AEB"/>
    <w:rsid w:val="008B3E17"/>
    <w:rsid w:val="008B3F52"/>
    <w:rsid w:val="008B3F88"/>
    <w:rsid w:val="008B3FB1"/>
    <w:rsid w:val="008B4135"/>
    <w:rsid w:val="008B416F"/>
    <w:rsid w:val="008B426A"/>
    <w:rsid w:val="008B4343"/>
    <w:rsid w:val="008B43DD"/>
    <w:rsid w:val="008B4412"/>
    <w:rsid w:val="008B472F"/>
    <w:rsid w:val="008B47AC"/>
    <w:rsid w:val="008B47B4"/>
    <w:rsid w:val="008B48CF"/>
    <w:rsid w:val="008B48D0"/>
    <w:rsid w:val="008B496B"/>
    <w:rsid w:val="008B49AD"/>
    <w:rsid w:val="008B49EC"/>
    <w:rsid w:val="008B4DF9"/>
    <w:rsid w:val="008B4E5C"/>
    <w:rsid w:val="008B4EE6"/>
    <w:rsid w:val="008B4F6B"/>
    <w:rsid w:val="008B526C"/>
    <w:rsid w:val="008B54D8"/>
    <w:rsid w:val="008B5B07"/>
    <w:rsid w:val="008B5CAF"/>
    <w:rsid w:val="008B61D5"/>
    <w:rsid w:val="008B6383"/>
    <w:rsid w:val="008B6477"/>
    <w:rsid w:val="008B6567"/>
    <w:rsid w:val="008B65EB"/>
    <w:rsid w:val="008B666F"/>
    <w:rsid w:val="008B6675"/>
    <w:rsid w:val="008B66DE"/>
    <w:rsid w:val="008B67C1"/>
    <w:rsid w:val="008B6BA6"/>
    <w:rsid w:val="008B6C20"/>
    <w:rsid w:val="008B6D28"/>
    <w:rsid w:val="008B6F87"/>
    <w:rsid w:val="008B73FC"/>
    <w:rsid w:val="008B73FD"/>
    <w:rsid w:val="008B76D1"/>
    <w:rsid w:val="008B76F3"/>
    <w:rsid w:val="008B7701"/>
    <w:rsid w:val="008B7959"/>
    <w:rsid w:val="008B7A28"/>
    <w:rsid w:val="008B7D35"/>
    <w:rsid w:val="008B7D98"/>
    <w:rsid w:val="008B7DF7"/>
    <w:rsid w:val="008B7E13"/>
    <w:rsid w:val="008B7EC8"/>
    <w:rsid w:val="008B7ECC"/>
    <w:rsid w:val="008C0067"/>
    <w:rsid w:val="008C0313"/>
    <w:rsid w:val="008C03AF"/>
    <w:rsid w:val="008C0423"/>
    <w:rsid w:val="008C05C8"/>
    <w:rsid w:val="008C066C"/>
    <w:rsid w:val="008C08F0"/>
    <w:rsid w:val="008C0A76"/>
    <w:rsid w:val="008C0B2C"/>
    <w:rsid w:val="008C0CBA"/>
    <w:rsid w:val="008C0E46"/>
    <w:rsid w:val="008C0FAA"/>
    <w:rsid w:val="008C105D"/>
    <w:rsid w:val="008C108B"/>
    <w:rsid w:val="008C1186"/>
    <w:rsid w:val="008C124C"/>
    <w:rsid w:val="008C12A0"/>
    <w:rsid w:val="008C13F3"/>
    <w:rsid w:val="008C14F7"/>
    <w:rsid w:val="008C1507"/>
    <w:rsid w:val="008C17E0"/>
    <w:rsid w:val="008C1814"/>
    <w:rsid w:val="008C1962"/>
    <w:rsid w:val="008C1A4D"/>
    <w:rsid w:val="008C1C40"/>
    <w:rsid w:val="008C1C6E"/>
    <w:rsid w:val="008C1CB5"/>
    <w:rsid w:val="008C1D3A"/>
    <w:rsid w:val="008C1DDA"/>
    <w:rsid w:val="008C2162"/>
    <w:rsid w:val="008C21E5"/>
    <w:rsid w:val="008C241D"/>
    <w:rsid w:val="008C256A"/>
    <w:rsid w:val="008C27B8"/>
    <w:rsid w:val="008C27E2"/>
    <w:rsid w:val="008C27E4"/>
    <w:rsid w:val="008C2AB5"/>
    <w:rsid w:val="008C3058"/>
    <w:rsid w:val="008C3066"/>
    <w:rsid w:val="008C330F"/>
    <w:rsid w:val="008C33DB"/>
    <w:rsid w:val="008C3463"/>
    <w:rsid w:val="008C36BB"/>
    <w:rsid w:val="008C373F"/>
    <w:rsid w:val="008C3854"/>
    <w:rsid w:val="008C3873"/>
    <w:rsid w:val="008C3918"/>
    <w:rsid w:val="008C3A48"/>
    <w:rsid w:val="008C3A97"/>
    <w:rsid w:val="008C3D1D"/>
    <w:rsid w:val="008C3DA5"/>
    <w:rsid w:val="008C3F9C"/>
    <w:rsid w:val="008C3FC8"/>
    <w:rsid w:val="008C40CA"/>
    <w:rsid w:val="008C40D3"/>
    <w:rsid w:val="008C40F3"/>
    <w:rsid w:val="008C476B"/>
    <w:rsid w:val="008C47D7"/>
    <w:rsid w:val="008C4B23"/>
    <w:rsid w:val="008C4BAB"/>
    <w:rsid w:val="008C4EBF"/>
    <w:rsid w:val="008C4F6E"/>
    <w:rsid w:val="008C510B"/>
    <w:rsid w:val="008C5116"/>
    <w:rsid w:val="008C5143"/>
    <w:rsid w:val="008C51E3"/>
    <w:rsid w:val="008C52FB"/>
    <w:rsid w:val="008C554C"/>
    <w:rsid w:val="008C5614"/>
    <w:rsid w:val="008C58B8"/>
    <w:rsid w:val="008C5B40"/>
    <w:rsid w:val="008C5C0F"/>
    <w:rsid w:val="008C5D93"/>
    <w:rsid w:val="008C5E21"/>
    <w:rsid w:val="008C5FAB"/>
    <w:rsid w:val="008C6031"/>
    <w:rsid w:val="008C62C3"/>
    <w:rsid w:val="008C671A"/>
    <w:rsid w:val="008C6804"/>
    <w:rsid w:val="008C68B4"/>
    <w:rsid w:val="008C69DE"/>
    <w:rsid w:val="008C6B2D"/>
    <w:rsid w:val="008C6EB3"/>
    <w:rsid w:val="008C6ECB"/>
    <w:rsid w:val="008C710C"/>
    <w:rsid w:val="008C73BF"/>
    <w:rsid w:val="008C74E5"/>
    <w:rsid w:val="008C754C"/>
    <w:rsid w:val="008C76AA"/>
    <w:rsid w:val="008C7A0C"/>
    <w:rsid w:val="008C7BF0"/>
    <w:rsid w:val="008C7C72"/>
    <w:rsid w:val="008C7CAA"/>
    <w:rsid w:val="008C7F31"/>
    <w:rsid w:val="008D007B"/>
    <w:rsid w:val="008D016C"/>
    <w:rsid w:val="008D0229"/>
    <w:rsid w:val="008D07CE"/>
    <w:rsid w:val="008D0AAB"/>
    <w:rsid w:val="008D0AC0"/>
    <w:rsid w:val="008D0B5F"/>
    <w:rsid w:val="008D0BC6"/>
    <w:rsid w:val="008D0CBA"/>
    <w:rsid w:val="008D0CC2"/>
    <w:rsid w:val="008D0E47"/>
    <w:rsid w:val="008D0E6D"/>
    <w:rsid w:val="008D0F4C"/>
    <w:rsid w:val="008D0F62"/>
    <w:rsid w:val="008D1054"/>
    <w:rsid w:val="008D11AE"/>
    <w:rsid w:val="008D1246"/>
    <w:rsid w:val="008D1277"/>
    <w:rsid w:val="008D1288"/>
    <w:rsid w:val="008D1317"/>
    <w:rsid w:val="008D1356"/>
    <w:rsid w:val="008D13A9"/>
    <w:rsid w:val="008D1431"/>
    <w:rsid w:val="008D1579"/>
    <w:rsid w:val="008D15A6"/>
    <w:rsid w:val="008D166C"/>
    <w:rsid w:val="008D1BCF"/>
    <w:rsid w:val="008D1BDE"/>
    <w:rsid w:val="008D1C31"/>
    <w:rsid w:val="008D1D09"/>
    <w:rsid w:val="008D1D6F"/>
    <w:rsid w:val="008D1F3C"/>
    <w:rsid w:val="008D201C"/>
    <w:rsid w:val="008D21A2"/>
    <w:rsid w:val="008D23B5"/>
    <w:rsid w:val="008D23CA"/>
    <w:rsid w:val="008D23CC"/>
    <w:rsid w:val="008D23D2"/>
    <w:rsid w:val="008D254E"/>
    <w:rsid w:val="008D256F"/>
    <w:rsid w:val="008D2668"/>
    <w:rsid w:val="008D27BB"/>
    <w:rsid w:val="008D27CE"/>
    <w:rsid w:val="008D2C72"/>
    <w:rsid w:val="008D2C8C"/>
    <w:rsid w:val="008D2F1F"/>
    <w:rsid w:val="008D2F32"/>
    <w:rsid w:val="008D30BF"/>
    <w:rsid w:val="008D30DC"/>
    <w:rsid w:val="008D3252"/>
    <w:rsid w:val="008D3446"/>
    <w:rsid w:val="008D3651"/>
    <w:rsid w:val="008D370F"/>
    <w:rsid w:val="008D3860"/>
    <w:rsid w:val="008D399A"/>
    <w:rsid w:val="008D39D9"/>
    <w:rsid w:val="008D3B1B"/>
    <w:rsid w:val="008D3BF9"/>
    <w:rsid w:val="008D3C8C"/>
    <w:rsid w:val="008D3E1B"/>
    <w:rsid w:val="008D3F73"/>
    <w:rsid w:val="008D3FA4"/>
    <w:rsid w:val="008D3FC1"/>
    <w:rsid w:val="008D3FCB"/>
    <w:rsid w:val="008D4A4A"/>
    <w:rsid w:val="008D4BCC"/>
    <w:rsid w:val="008D4DF7"/>
    <w:rsid w:val="008D4E4A"/>
    <w:rsid w:val="008D4F44"/>
    <w:rsid w:val="008D5023"/>
    <w:rsid w:val="008D5124"/>
    <w:rsid w:val="008D52FA"/>
    <w:rsid w:val="008D5490"/>
    <w:rsid w:val="008D570A"/>
    <w:rsid w:val="008D5B09"/>
    <w:rsid w:val="008D5B1C"/>
    <w:rsid w:val="008D5BF0"/>
    <w:rsid w:val="008D5D24"/>
    <w:rsid w:val="008D6171"/>
    <w:rsid w:val="008D6472"/>
    <w:rsid w:val="008D679C"/>
    <w:rsid w:val="008D68A4"/>
    <w:rsid w:val="008D697D"/>
    <w:rsid w:val="008D69C0"/>
    <w:rsid w:val="008D6BB4"/>
    <w:rsid w:val="008D6C16"/>
    <w:rsid w:val="008D6D67"/>
    <w:rsid w:val="008D6E18"/>
    <w:rsid w:val="008D6EE7"/>
    <w:rsid w:val="008D6EF0"/>
    <w:rsid w:val="008D7045"/>
    <w:rsid w:val="008D706C"/>
    <w:rsid w:val="008D7074"/>
    <w:rsid w:val="008D7077"/>
    <w:rsid w:val="008D70EB"/>
    <w:rsid w:val="008D71BC"/>
    <w:rsid w:val="008D7203"/>
    <w:rsid w:val="008D765F"/>
    <w:rsid w:val="008D7842"/>
    <w:rsid w:val="008D785A"/>
    <w:rsid w:val="008D7A7D"/>
    <w:rsid w:val="008D7AFD"/>
    <w:rsid w:val="008D7ED3"/>
    <w:rsid w:val="008E00B1"/>
    <w:rsid w:val="008E01A7"/>
    <w:rsid w:val="008E031E"/>
    <w:rsid w:val="008E077E"/>
    <w:rsid w:val="008E0782"/>
    <w:rsid w:val="008E0846"/>
    <w:rsid w:val="008E08AA"/>
    <w:rsid w:val="008E0C74"/>
    <w:rsid w:val="008E0DF8"/>
    <w:rsid w:val="008E0E76"/>
    <w:rsid w:val="008E1021"/>
    <w:rsid w:val="008E1077"/>
    <w:rsid w:val="008E129F"/>
    <w:rsid w:val="008E152F"/>
    <w:rsid w:val="008E16D2"/>
    <w:rsid w:val="008E188E"/>
    <w:rsid w:val="008E18A9"/>
    <w:rsid w:val="008E1C11"/>
    <w:rsid w:val="008E1C74"/>
    <w:rsid w:val="008E1CF4"/>
    <w:rsid w:val="008E1F61"/>
    <w:rsid w:val="008E21D9"/>
    <w:rsid w:val="008E220D"/>
    <w:rsid w:val="008E221A"/>
    <w:rsid w:val="008E226E"/>
    <w:rsid w:val="008E2590"/>
    <w:rsid w:val="008E259F"/>
    <w:rsid w:val="008E2629"/>
    <w:rsid w:val="008E2B5F"/>
    <w:rsid w:val="008E2E67"/>
    <w:rsid w:val="008E2EB4"/>
    <w:rsid w:val="008E30DD"/>
    <w:rsid w:val="008E3267"/>
    <w:rsid w:val="008E3497"/>
    <w:rsid w:val="008E3563"/>
    <w:rsid w:val="008E3685"/>
    <w:rsid w:val="008E3783"/>
    <w:rsid w:val="008E3911"/>
    <w:rsid w:val="008E3A2D"/>
    <w:rsid w:val="008E3A67"/>
    <w:rsid w:val="008E3BA1"/>
    <w:rsid w:val="008E3BDD"/>
    <w:rsid w:val="008E3CA8"/>
    <w:rsid w:val="008E3CE2"/>
    <w:rsid w:val="008E3E84"/>
    <w:rsid w:val="008E3EC2"/>
    <w:rsid w:val="008E3F72"/>
    <w:rsid w:val="008E41C9"/>
    <w:rsid w:val="008E44D4"/>
    <w:rsid w:val="008E45B8"/>
    <w:rsid w:val="008E45F6"/>
    <w:rsid w:val="008E493B"/>
    <w:rsid w:val="008E49E6"/>
    <w:rsid w:val="008E4A64"/>
    <w:rsid w:val="008E4A92"/>
    <w:rsid w:val="008E4B62"/>
    <w:rsid w:val="008E4C71"/>
    <w:rsid w:val="008E4CA5"/>
    <w:rsid w:val="008E4CF1"/>
    <w:rsid w:val="008E4D56"/>
    <w:rsid w:val="008E4FC9"/>
    <w:rsid w:val="008E5186"/>
    <w:rsid w:val="008E51EC"/>
    <w:rsid w:val="008E561D"/>
    <w:rsid w:val="008E56D1"/>
    <w:rsid w:val="008E575E"/>
    <w:rsid w:val="008E576E"/>
    <w:rsid w:val="008E57AF"/>
    <w:rsid w:val="008E5873"/>
    <w:rsid w:val="008E59B0"/>
    <w:rsid w:val="008E5AD1"/>
    <w:rsid w:val="008E5B9E"/>
    <w:rsid w:val="008E5CBC"/>
    <w:rsid w:val="008E5D1C"/>
    <w:rsid w:val="008E5DD3"/>
    <w:rsid w:val="008E5E63"/>
    <w:rsid w:val="008E60C1"/>
    <w:rsid w:val="008E61B9"/>
    <w:rsid w:val="008E63FF"/>
    <w:rsid w:val="008E6484"/>
    <w:rsid w:val="008E670C"/>
    <w:rsid w:val="008E69AF"/>
    <w:rsid w:val="008E6A11"/>
    <w:rsid w:val="008E6E7B"/>
    <w:rsid w:val="008E6F55"/>
    <w:rsid w:val="008E7160"/>
    <w:rsid w:val="008E7164"/>
    <w:rsid w:val="008E73A8"/>
    <w:rsid w:val="008E7407"/>
    <w:rsid w:val="008E7A1F"/>
    <w:rsid w:val="008E7A30"/>
    <w:rsid w:val="008E7C43"/>
    <w:rsid w:val="008E7FD8"/>
    <w:rsid w:val="008F007D"/>
    <w:rsid w:val="008F0166"/>
    <w:rsid w:val="008F05EE"/>
    <w:rsid w:val="008F066F"/>
    <w:rsid w:val="008F07A7"/>
    <w:rsid w:val="008F096D"/>
    <w:rsid w:val="008F09FD"/>
    <w:rsid w:val="008F0DFC"/>
    <w:rsid w:val="008F0ECC"/>
    <w:rsid w:val="008F0FFE"/>
    <w:rsid w:val="008F11CB"/>
    <w:rsid w:val="008F11E1"/>
    <w:rsid w:val="008F1204"/>
    <w:rsid w:val="008F157B"/>
    <w:rsid w:val="008F1D50"/>
    <w:rsid w:val="008F1DFC"/>
    <w:rsid w:val="008F1F88"/>
    <w:rsid w:val="008F20CF"/>
    <w:rsid w:val="008F2169"/>
    <w:rsid w:val="008F216E"/>
    <w:rsid w:val="008F21AD"/>
    <w:rsid w:val="008F21F9"/>
    <w:rsid w:val="008F23D3"/>
    <w:rsid w:val="008F2613"/>
    <w:rsid w:val="008F28D5"/>
    <w:rsid w:val="008F2A1A"/>
    <w:rsid w:val="008F2A62"/>
    <w:rsid w:val="008F2BCF"/>
    <w:rsid w:val="008F2CB8"/>
    <w:rsid w:val="008F2DB9"/>
    <w:rsid w:val="008F2FE6"/>
    <w:rsid w:val="008F3164"/>
    <w:rsid w:val="008F3171"/>
    <w:rsid w:val="008F32E0"/>
    <w:rsid w:val="008F36D2"/>
    <w:rsid w:val="008F37A0"/>
    <w:rsid w:val="008F3CAC"/>
    <w:rsid w:val="008F3DC0"/>
    <w:rsid w:val="008F3F2A"/>
    <w:rsid w:val="008F3F39"/>
    <w:rsid w:val="008F4040"/>
    <w:rsid w:val="008F4372"/>
    <w:rsid w:val="008F45B4"/>
    <w:rsid w:val="008F45EF"/>
    <w:rsid w:val="008F475C"/>
    <w:rsid w:val="008F4766"/>
    <w:rsid w:val="008F48EB"/>
    <w:rsid w:val="008F49F7"/>
    <w:rsid w:val="008F4DFF"/>
    <w:rsid w:val="008F4F8E"/>
    <w:rsid w:val="008F5205"/>
    <w:rsid w:val="008F527C"/>
    <w:rsid w:val="008F554A"/>
    <w:rsid w:val="008F5571"/>
    <w:rsid w:val="008F56B4"/>
    <w:rsid w:val="008F5947"/>
    <w:rsid w:val="008F5B61"/>
    <w:rsid w:val="008F6165"/>
    <w:rsid w:val="008F621A"/>
    <w:rsid w:val="008F6539"/>
    <w:rsid w:val="008F67C6"/>
    <w:rsid w:val="008F6999"/>
    <w:rsid w:val="008F6CDE"/>
    <w:rsid w:val="008F6F37"/>
    <w:rsid w:val="008F730E"/>
    <w:rsid w:val="008F73B4"/>
    <w:rsid w:val="008F7545"/>
    <w:rsid w:val="008F761A"/>
    <w:rsid w:val="008F783C"/>
    <w:rsid w:val="008F7A21"/>
    <w:rsid w:val="008F7B6E"/>
    <w:rsid w:val="008F7C8D"/>
    <w:rsid w:val="008F7F0D"/>
    <w:rsid w:val="008F7FC8"/>
    <w:rsid w:val="0090035C"/>
    <w:rsid w:val="00900638"/>
    <w:rsid w:val="00900D1C"/>
    <w:rsid w:val="00900EE0"/>
    <w:rsid w:val="00900EF2"/>
    <w:rsid w:val="00900FF9"/>
    <w:rsid w:val="00901106"/>
    <w:rsid w:val="00901285"/>
    <w:rsid w:val="0090128D"/>
    <w:rsid w:val="00901330"/>
    <w:rsid w:val="009014C8"/>
    <w:rsid w:val="00901682"/>
    <w:rsid w:val="009018ED"/>
    <w:rsid w:val="0090194D"/>
    <w:rsid w:val="00901A6B"/>
    <w:rsid w:val="00901BA9"/>
    <w:rsid w:val="00901C56"/>
    <w:rsid w:val="00901F0A"/>
    <w:rsid w:val="00901F4F"/>
    <w:rsid w:val="00901F5E"/>
    <w:rsid w:val="00901F65"/>
    <w:rsid w:val="00902356"/>
    <w:rsid w:val="00902382"/>
    <w:rsid w:val="009023DD"/>
    <w:rsid w:val="0090240C"/>
    <w:rsid w:val="00902410"/>
    <w:rsid w:val="00902499"/>
    <w:rsid w:val="0090259D"/>
    <w:rsid w:val="009026E0"/>
    <w:rsid w:val="009026FA"/>
    <w:rsid w:val="0090274D"/>
    <w:rsid w:val="0090285E"/>
    <w:rsid w:val="00902A4C"/>
    <w:rsid w:val="00902AA7"/>
    <w:rsid w:val="00902B55"/>
    <w:rsid w:val="00902CA6"/>
    <w:rsid w:val="00902D61"/>
    <w:rsid w:val="00902D72"/>
    <w:rsid w:val="00902E94"/>
    <w:rsid w:val="00902F5A"/>
    <w:rsid w:val="00903034"/>
    <w:rsid w:val="009030F8"/>
    <w:rsid w:val="00903591"/>
    <w:rsid w:val="00903C5A"/>
    <w:rsid w:val="00903EF4"/>
    <w:rsid w:val="00903F2E"/>
    <w:rsid w:val="00903F96"/>
    <w:rsid w:val="009040E4"/>
    <w:rsid w:val="009040F4"/>
    <w:rsid w:val="00904174"/>
    <w:rsid w:val="009041AD"/>
    <w:rsid w:val="009042CE"/>
    <w:rsid w:val="00904327"/>
    <w:rsid w:val="0090438F"/>
    <w:rsid w:val="0090445A"/>
    <w:rsid w:val="00904480"/>
    <w:rsid w:val="0090450C"/>
    <w:rsid w:val="00904852"/>
    <w:rsid w:val="00904948"/>
    <w:rsid w:val="00904E27"/>
    <w:rsid w:val="0090509B"/>
    <w:rsid w:val="0090529F"/>
    <w:rsid w:val="0090534C"/>
    <w:rsid w:val="0090558A"/>
    <w:rsid w:val="009055CF"/>
    <w:rsid w:val="00905827"/>
    <w:rsid w:val="0090589A"/>
    <w:rsid w:val="00905976"/>
    <w:rsid w:val="00905F58"/>
    <w:rsid w:val="0090653E"/>
    <w:rsid w:val="009067A4"/>
    <w:rsid w:val="009067FC"/>
    <w:rsid w:val="00906930"/>
    <w:rsid w:val="0090699E"/>
    <w:rsid w:val="009069AA"/>
    <w:rsid w:val="00906A12"/>
    <w:rsid w:val="00906A2D"/>
    <w:rsid w:val="00906CF2"/>
    <w:rsid w:val="00906D71"/>
    <w:rsid w:val="0090710C"/>
    <w:rsid w:val="0090719F"/>
    <w:rsid w:val="00907542"/>
    <w:rsid w:val="00907605"/>
    <w:rsid w:val="009077EC"/>
    <w:rsid w:val="00907A3C"/>
    <w:rsid w:val="00907DAB"/>
    <w:rsid w:val="00907DDE"/>
    <w:rsid w:val="00907E24"/>
    <w:rsid w:val="00907EAE"/>
    <w:rsid w:val="00907F3A"/>
    <w:rsid w:val="00907FCD"/>
    <w:rsid w:val="00910095"/>
    <w:rsid w:val="00910168"/>
    <w:rsid w:val="009101A7"/>
    <w:rsid w:val="00910324"/>
    <w:rsid w:val="00910553"/>
    <w:rsid w:val="00910586"/>
    <w:rsid w:val="00910601"/>
    <w:rsid w:val="00910817"/>
    <w:rsid w:val="00910892"/>
    <w:rsid w:val="009109CF"/>
    <w:rsid w:val="00910B9D"/>
    <w:rsid w:val="00910F05"/>
    <w:rsid w:val="00911180"/>
    <w:rsid w:val="00911329"/>
    <w:rsid w:val="00911418"/>
    <w:rsid w:val="009114B9"/>
    <w:rsid w:val="0091169C"/>
    <w:rsid w:val="009118A7"/>
    <w:rsid w:val="00911A76"/>
    <w:rsid w:val="00911D93"/>
    <w:rsid w:val="00911F01"/>
    <w:rsid w:val="00912365"/>
    <w:rsid w:val="009123D6"/>
    <w:rsid w:val="0091289B"/>
    <w:rsid w:val="00912A35"/>
    <w:rsid w:val="00912A37"/>
    <w:rsid w:val="00912C6B"/>
    <w:rsid w:val="009130AC"/>
    <w:rsid w:val="009131DE"/>
    <w:rsid w:val="009133CB"/>
    <w:rsid w:val="00913B62"/>
    <w:rsid w:val="00913BF7"/>
    <w:rsid w:val="00913C97"/>
    <w:rsid w:val="00913FCB"/>
    <w:rsid w:val="0091409C"/>
    <w:rsid w:val="0091411D"/>
    <w:rsid w:val="00914190"/>
    <w:rsid w:val="009143E4"/>
    <w:rsid w:val="0091440C"/>
    <w:rsid w:val="00914A03"/>
    <w:rsid w:val="00914C25"/>
    <w:rsid w:val="00914D32"/>
    <w:rsid w:val="00914F17"/>
    <w:rsid w:val="00914FAA"/>
    <w:rsid w:val="00915255"/>
    <w:rsid w:val="00915784"/>
    <w:rsid w:val="009159BD"/>
    <w:rsid w:val="00915E90"/>
    <w:rsid w:val="009160DD"/>
    <w:rsid w:val="009162CB"/>
    <w:rsid w:val="009162E7"/>
    <w:rsid w:val="009163DB"/>
    <w:rsid w:val="00916515"/>
    <w:rsid w:val="009167B9"/>
    <w:rsid w:val="009168BD"/>
    <w:rsid w:val="00916B07"/>
    <w:rsid w:val="00916B79"/>
    <w:rsid w:val="00916BA5"/>
    <w:rsid w:val="00916D6B"/>
    <w:rsid w:val="00916EEA"/>
    <w:rsid w:val="00916F7C"/>
    <w:rsid w:val="00916FC2"/>
    <w:rsid w:val="00916FCA"/>
    <w:rsid w:val="0091711B"/>
    <w:rsid w:val="00917253"/>
    <w:rsid w:val="0091739B"/>
    <w:rsid w:val="009176EA"/>
    <w:rsid w:val="0091772F"/>
    <w:rsid w:val="009179DE"/>
    <w:rsid w:val="00917A5C"/>
    <w:rsid w:val="00917DB8"/>
    <w:rsid w:val="00917DFF"/>
    <w:rsid w:val="00917E67"/>
    <w:rsid w:val="00917F96"/>
    <w:rsid w:val="009206A6"/>
    <w:rsid w:val="009209DE"/>
    <w:rsid w:val="00920C9C"/>
    <w:rsid w:val="00920F07"/>
    <w:rsid w:val="009212CD"/>
    <w:rsid w:val="009212DA"/>
    <w:rsid w:val="009217C1"/>
    <w:rsid w:val="009218D1"/>
    <w:rsid w:val="00921F04"/>
    <w:rsid w:val="00922035"/>
    <w:rsid w:val="00922156"/>
    <w:rsid w:val="0092224A"/>
    <w:rsid w:val="009223FB"/>
    <w:rsid w:val="00922424"/>
    <w:rsid w:val="0092261B"/>
    <w:rsid w:val="00922995"/>
    <w:rsid w:val="00922A51"/>
    <w:rsid w:val="00922AEC"/>
    <w:rsid w:val="00922BE7"/>
    <w:rsid w:val="00922D55"/>
    <w:rsid w:val="00922D71"/>
    <w:rsid w:val="00922DDA"/>
    <w:rsid w:val="00922E3A"/>
    <w:rsid w:val="00922FDE"/>
    <w:rsid w:val="0092302F"/>
    <w:rsid w:val="00923132"/>
    <w:rsid w:val="0092337F"/>
    <w:rsid w:val="0092340E"/>
    <w:rsid w:val="009234BC"/>
    <w:rsid w:val="009235E3"/>
    <w:rsid w:val="00923838"/>
    <w:rsid w:val="009238E0"/>
    <w:rsid w:val="00923B07"/>
    <w:rsid w:val="00924120"/>
    <w:rsid w:val="0092419F"/>
    <w:rsid w:val="009244F6"/>
    <w:rsid w:val="0092471E"/>
    <w:rsid w:val="009248B3"/>
    <w:rsid w:val="00924A0F"/>
    <w:rsid w:val="00924A36"/>
    <w:rsid w:val="00924B1A"/>
    <w:rsid w:val="00924B21"/>
    <w:rsid w:val="00924B3B"/>
    <w:rsid w:val="00924FBC"/>
    <w:rsid w:val="00924FDD"/>
    <w:rsid w:val="009252D7"/>
    <w:rsid w:val="009253DB"/>
    <w:rsid w:val="0092553B"/>
    <w:rsid w:val="00925596"/>
    <w:rsid w:val="009258A3"/>
    <w:rsid w:val="0092597F"/>
    <w:rsid w:val="00925B49"/>
    <w:rsid w:val="00925B63"/>
    <w:rsid w:val="009264B1"/>
    <w:rsid w:val="009264E1"/>
    <w:rsid w:val="0092662B"/>
    <w:rsid w:val="00926BEE"/>
    <w:rsid w:val="00926C1B"/>
    <w:rsid w:val="00926C49"/>
    <w:rsid w:val="00926CF9"/>
    <w:rsid w:val="00926DA4"/>
    <w:rsid w:val="00926DB3"/>
    <w:rsid w:val="009270B3"/>
    <w:rsid w:val="00927143"/>
    <w:rsid w:val="009273BC"/>
    <w:rsid w:val="0092742F"/>
    <w:rsid w:val="00927498"/>
    <w:rsid w:val="00927553"/>
    <w:rsid w:val="00927949"/>
    <w:rsid w:val="00927AD6"/>
    <w:rsid w:val="009300B9"/>
    <w:rsid w:val="009301EB"/>
    <w:rsid w:val="00930248"/>
    <w:rsid w:val="0093025B"/>
    <w:rsid w:val="0093045D"/>
    <w:rsid w:val="00930564"/>
    <w:rsid w:val="00930657"/>
    <w:rsid w:val="009306A6"/>
    <w:rsid w:val="009306F4"/>
    <w:rsid w:val="00930765"/>
    <w:rsid w:val="009307F6"/>
    <w:rsid w:val="00930826"/>
    <w:rsid w:val="00930922"/>
    <w:rsid w:val="009309AE"/>
    <w:rsid w:val="009309B2"/>
    <w:rsid w:val="00930B0C"/>
    <w:rsid w:val="00930C7D"/>
    <w:rsid w:val="00931100"/>
    <w:rsid w:val="0093117A"/>
    <w:rsid w:val="009311B7"/>
    <w:rsid w:val="00931593"/>
    <w:rsid w:val="009315A1"/>
    <w:rsid w:val="009315D9"/>
    <w:rsid w:val="009317AB"/>
    <w:rsid w:val="00931C5B"/>
    <w:rsid w:val="00932151"/>
    <w:rsid w:val="00932604"/>
    <w:rsid w:val="009328AD"/>
    <w:rsid w:val="00932AF5"/>
    <w:rsid w:val="00932BC4"/>
    <w:rsid w:val="00932C0B"/>
    <w:rsid w:val="00932F0F"/>
    <w:rsid w:val="00932F1A"/>
    <w:rsid w:val="0093313A"/>
    <w:rsid w:val="009331D9"/>
    <w:rsid w:val="009333CF"/>
    <w:rsid w:val="009336D9"/>
    <w:rsid w:val="00933C51"/>
    <w:rsid w:val="00933CBD"/>
    <w:rsid w:val="00933D48"/>
    <w:rsid w:val="00933E5D"/>
    <w:rsid w:val="00933E88"/>
    <w:rsid w:val="00933EA9"/>
    <w:rsid w:val="00934489"/>
    <w:rsid w:val="00934538"/>
    <w:rsid w:val="009347FE"/>
    <w:rsid w:val="00934AE4"/>
    <w:rsid w:val="00934B62"/>
    <w:rsid w:val="00934DCB"/>
    <w:rsid w:val="00934DF9"/>
    <w:rsid w:val="00934F6C"/>
    <w:rsid w:val="00934F99"/>
    <w:rsid w:val="00935062"/>
    <w:rsid w:val="009350E8"/>
    <w:rsid w:val="00935692"/>
    <w:rsid w:val="00935747"/>
    <w:rsid w:val="009357C0"/>
    <w:rsid w:val="009358B0"/>
    <w:rsid w:val="00935904"/>
    <w:rsid w:val="00935990"/>
    <w:rsid w:val="00935A0A"/>
    <w:rsid w:val="00935DA6"/>
    <w:rsid w:val="00935F82"/>
    <w:rsid w:val="00936175"/>
    <w:rsid w:val="009362FB"/>
    <w:rsid w:val="00936345"/>
    <w:rsid w:val="00936367"/>
    <w:rsid w:val="00936440"/>
    <w:rsid w:val="009366E8"/>
    <w:rsid w:val="00936ACD"/>
    <w:rsid w:val="00936B3D"/>
    <w:rsid w:val="00936E8F"/>
    <w:rsid w:val="0093765E"/>
    <w:rsid w:val="00937ABE"/>
    <w:rsid w:val="00937C7B"/>
    <w:rsid w:val="00937ED6"/>
    <w:rsid w:val="00937FBE"/>
    <w:rsid w:val="00937FE8"/>
    <w:rsid w:val="0094063C"/>
    <w:rsid w:val="009407D9"/>
    <w:rsid w:val="0094090F"/>
    <w:rsid w:val="00940E3E"/>
    <w:rsid w:val="00940EA5"/>
    <w:rsid w:val="00940F0D"/>
    <w:rsid w:val="00941102"/>
    <w:rsid w:val="00941124"/>
    <w:rsid w:val="0094117B"/>
    <w:rsid w:val="0094119F"/>
    <w:rsid w:val="0094121B"/>
    <w:rsid w:val="00941381"/>
    <w:rsid w:val="00941533"/>
    <w:rsid w:val="00941654"/>
    <w:rsid w:val="009417B9"/>
    <w:rsid w:val="00941946"/>
    <w:rsid w:val="00941BCE"/>
    <w:rsid w:val="00941C71"/>
    <w:rsid w:val="00941F44"/>
    <w:rsid w:val="009420D0"/>
    <w:rsid w:val="00942114"/>
    <w:rsid w:val="009421AD"/>
    <w:rsid w:val="009422B4"/>
    <w:rsid w:val="00942624"/>
    <w:rsid w:val="0094271C"/>
    <w:rsid w:val="0094275C"/>
    <w:rsid w:val="0094289C"/>
    <w:rsid w:val="009428F3"/>
    <w:rsid w:val="00942974"/>
    <w:rsid w:val="00942C8E"/>
    <w:rsid w:val="0094316A"/>
    <w:rsid w:val="00943453"/>
    <w:rsid w:val="00943889"/>
    <w:rsid w:val="00943960"/>
    <w:rsid w:val="00943973"/>
    <w:rsid w:val="00943CDE"/>
    <w:rsid w:val="00943E35"/>
    <w:rsid w:val="00943E73"/>
    <w:rsid w:val="00943F89"/>
    <w:rsid w:val="00944156"/>
    <w:rsid w:val="009443A2"/>
    <w:rsid w:val="009445AE"/>
    <w:rsid w:val="009445E0"/>
    <w:rsid w:val="009446A8"/>
    <w:rsid w:val="009447DE"/>
    <w:rsid w:val="00944A74"/>
    <w:rsid w:val="00944B41"/>
    <w:rsid w:val="00944F37"/>
    <w:rsid w:val="00944FE6"/>
    <w:rsid w:val="00945098"/>
    <w:rsid w:val="0094533E"/>
    <w:rsid w:val="0094536E"/>
    <w:rsid w:val="009456C4"/>
    <w:rsid w:val="00945762"/>
    <w:rsid w:val="009458BD"/>
    <w:rsid w:val="009459FB"/>
    <w:rsid w:val="00945AAE"/>
    <w:rsid w:val="00945D0E"/>
    <w:rsid w:val="00945DB9"/>
    <w:rsid w:val="009461B7"/>
    <w:rsid w:val="00946368"/>
    <w:rsid w:val="0094649A"/>
    <w:rsid w:val="00946657"/>
    <w:rsid w:val="00946661"/>
    <w:rsid w:val="009466B0"/>
    <w:rsid w:val="00946770"/>
    <w:rsid w:val="00946D09"/>
    <w:rsid w:val="00946D59"/>
    <w:rsid w:val="00946E7F"/>
    <w:rsid w:val="00947268"/>
    <w:rsid w:val="00947507"/>
    <w:rsid w:val="009475E3"/>
    <w:rsid w:val="00947645"/>
    <w:rsid w:val="00947795"/>
    <w:rsid w:val="009477A2"/>
    <w:rsid w:val="00947866"/>
    <w:rsid w:val="00947C09"/>
    <w:rsid w:val="00950033"/>
    <w:rsid w:val="00950089"/>
    <w:rsid w:val="009502D4"/>
    <w:rsid w:val="009503D8"/>
    <w:rsid w:val="00950487"/>
    <w:rsid w:val="0095091A"/>
    <w:rsid w:val="0095093A"/>
    <w:rsid w:val="00950BFA"/>
    <w:rsid w:val="00950E97"/>
    <w:rsid w:val="0095106F"/>
    <w:rsid w:val="009511B5"/>
    <w:rsid w:val="009512DC"/>
    <w:rsid w:val="0095133F"/>
    <w:rsid w:val="00951345"/>
    <w:rsid w:val="009513CE"/>
    <w:rsid w:val="009514BE"/>
    <w:rsid w:val="009514E4"/>
    <w:rsid w:val="009519C7"/>
    <w:rsid w:val="00951FAF"/>
    <w:rsid w:val="009522DD"/>
    <w:rsid w:val="009526E3"/>
    <w:rsid w:val="00952755"/>
    <w:rsid w:val="00952896"/>
    <w:rsid w:val="00952D48"/>
    <w:rsid w:val="00952E76"/>
    <w:rsid w:val="00952EC5"/>
    <w:rsid w:val="0095300A"/>
    <w:rsid w:val="00953097"/>
    <w:rsid w:val="009530A5"/>
    <w:rsid w:val="00953497"/>
    <w:rsid w:val="009534F1"/>
    <w:rsid w:val="00953514"/>
    <w:rsid w:val="0095361B"/>
    <w:rsid w:val="00953775"/>
    <w:rsid w:val="009538C6"/>
    <w:rsid w:val="009538F8"/>
    <w:rsid w:val="00953968"/>
    <w:rsid w:val="009539B4"/>
    <w:rsid w:val="009539D0"/>
    <w:rsid w:val="00953A20"/>
    <w:rsid w:val="00953AEE"/>
    <w:rsid w:val="00953BB6"/>
    <w:rsid w:val="00953C10"/>
    <w:rsid w:val="00953E2A"/>
    <w:rsid w:val="00953ED2"/>
    <w:rsid w:val="00953F04"/>
    <w:rsid w:val="00953F31"/>
    <w:rsid w:val="009541A1"/>
    <w:rsid w:val="009541B7"/>
    <w:rsid w:val="0095442C"/>
    <w:rsid w:val="009544A7"/>
    <w:rsid w:val="00954747"/>
    <w:rsid w:val="00954A63"/>
    <w:rsid w:val="00954A65"/>
    <w:rsid w:val="00954B8F"/>
    <w:rsid w:val="00954C7B"/>
    <w:rsid w:val="00954DE9"/>
    <w:rsid w:val="00954E29"/>
    <w:rsid w:val="00954EB1"/>
    <w:rsid w:val="0095529C"/>
    <w:rsid w:val="009554F3"/>
    <w:rsid w:val="00955548"/>
    <w:rsid w:val="009555D9"/>
    <w:rsid w:val="00955CBD"/>
    <w:rsid w:val="00955DA6"/>
    <w:rsid w:val="00956583"/>
    <w:rsid w:val="00956B00"/>
    <w:rsid w:val="00956B94"/>
    <w:rsid w:val="00956BEB"/>
    <w:rsid w:val="00956CEF"/>
    <w:rsid w:val="00957108"/>
    <w:rsid w:val="00957552"/>
    <w:rsid w:val="00957587"/>
    <w:rsid w:val="009579AE"/>
    <w:rsid w:val="009579BA"/>
    <w:rsid w:val="00957B21"/>
    <w:rsid w:val="00957E66"/>
    <w:rsid w:val="009605BD"/>
    <w:rsid w:val="0096077D"/>
    <w:rsid w:val="009608DA"/>
    <w:rsid w:val="009609E7"/>
    <w:rsid w:val="009610A7"/>
    <w:rsid w:val="009610CF"/>
    <w:rsid w:val="00961332"/>
    <w:rsid w:val="009614BA"/>
    <w:rsid w:val="00961617"/>
    <w:rsid w:val="00961806"/>
    <w:rsid w:val="00961BBE"/>
    <w:rsid w:val="00961D81"/>
    <w:rsid w:val="00961E59"/>
    <w:rsid w:val="009620AD"/>
    <w:rsid w:val="009620DA"/>
    <w:rsid w:val="009621FE"/>
    <w:rsid w:val="00962274"/>
    <w:rsid w:val="00962331"/>
    <w:rsid w:val="00962D85"/>
    <w:rsid w:val="00962E48"/>
    <w:rsid w:val="00962F24"/>
    <w:rsid w:val="0096302E"/>
    <w:rsid w:val="00963340"/>
    <w:rsid w:val="009633A1"/>
    <w:rsid w:val="0096351F"/>
    <w:rsid w:val="00963552"/>
    <w:rsid w:val="0096360B"/>
    <w:rsid w:val="0096365C"/>
    <w:rsid w:val="009637A9"/>
    <w:rsid w:val="00963E2E"/>
    <w:rsid w:val="00963E3D"/>
    <w:rsid w:val="00963E9D"/>
    <w:rsid w:val="00963FB3"/>
    <w:rsid w:val="009646DC"/>
    <w:rsid w:val="009647AB"/>
    <w:rsid w:val="00964849"/>
    <w:rsid w:val="009648D6"/>
    <w:rsid w:val="00964ACA"/>
    <w:rsid w:val="00964B16"/>
    <w:rsid w:val="00964FB8"/>
    <w:rsid w:val="0096514D"/>
    <w:rsid w:val="0096515C"/>
    <w:rsid w:val="0096554E"/>
    <w:rsid w:val="00965C1D"/>
    <w:rsid w:val="00965CD0"/>
    <w:rsid w:val="00965EFE"/>
    <w:rsid w:val="00965F08"/>
    <w:rsid w:val="0096601C"/>
    <w:rsid w:val="009660BA"/>
    <w:rsid w:val="00966287"/>
    <w:rsid w:val="00966364"/>
    <w:rsid w:val="009665C0"/>
    <w:rsid w:val="009666A3"/>
    <w:rsid w:val="00966725"/>
    <w:rsid w:val="00966761"/>
    <w:rsid w:val="009667CD"/>
    <w:rsid w:val="0096686B"/>
    <w:rsid w:val="00966B5F"/>
    <w:rsid w:val="00966B9A"/>
    <w:rsid w:val="00966C8D"/>
    <w:rsid w:val="00966DA4"/>
    <w:rsid w:val="00966FA1"/>
    <w:rsid w:val="00966FBF"/>
    <w:rsid w:val="0096711B"/>
    <w:rsid w:val="009677E0"/>
    <w:rsid w:val="0096785A"/>
    <w:rsid w:val="00967865"/>
    <w:rsid w:val="00967B89"/>
    <w:rsid w:val="00967C16"/>
    <w:rsid w:val="00967C28"/>
    <w:rsid w:val="00967C50"/>
    <w:rsid w:val="00967D08"/>
    <w:rsid w:val="00967D21"/>
    <w:rsid w:val="00967F30"/>
    <w:rsid w:val="00970195"/>
    <w:rsid w:val="0097033E"/>
    <w:rsid w:val="00970E07"/>
    <w:rsid w:val="00970E43"/>
    <w:rsid w:val="00970E56"/>
    <w:rsid w:val="00970E7C"/>
    <w:rsid w:val="00970F18"/>
    <w:rsid w:val="00971071"/>
    <w:rsid w:val="0097110B"/>
    <w:rsid w:val="0097115E"/>
    <w:rsid w:val="0097120C"/>
    <w:rsid w:val="00971507"/>
    <w:rsid w:val="00971668"/>
    <w:rsid w:val="009718CD"/>
    <w:rsid w:val="009719EF"/>
    <w:rsid w:val="00971A60"/>
    <w:rsid w:val="00971AFD"/>
    <w:rsid w:val="00971FC2"/>
    <w:rsid w:val="0097227D"/>
    <w:rsid w:val="009724AB"/>
    <w:rsid w:val="009725EC"/>
    <w:rsid w:val="00972821"/>
    <w:rsid w:val="009729AF"/>
    <w:rsid w:val="009732CE"/>
    <w:rsid w:val="009734B4"/>
    <w:rsid w:val="009734BE"/>
    <w:rsid w:val="009735C3"/>
    <w:rsid w:val="009736A5"/>
    <w:rsid w:val="00973704"/>
    <w:rsid w:val="0097384E"/>
    <w:rsid w:val="009738B7"/>
    <w:rsid w:val="00973A7E"/>
    <w:rsid w:val="00973E20"/>
    <w:rsid w:val="00973E68"/>
    <w:rsid w:val="00974004"/>
    <w:rsid w:val="00974084"/>
    <w:rsid w:val="00974150"/>
    <w:rsid w:val="009742CE"/>
    <w:rsid w:val="00974380"/>
    <w:rsid w:val="0097470A"/>
    <w:rsid w:val="0097481B"/>
    <w:rsid w:val="00974E2D"/>
    <w:rsid w:val="00974F5A"/>
    <w:rsid w:val="0097505B"/>
    <w:rsid w:val="00975090"/>
    <w:rsid w:val="009750B9"/>
    <w:rsid w:val="00975266"/>
    <w:rsid w:val="009752D5"/>
    <w:rsid w:val="0097532B"/>
    <w:rsid w:val="00975432"/>
    <w:rsid w:val="00975B20"/>
    <w:rsid w:val="00975BB4"/>
    <w:rsid w:val="00975CA0"/>
    <w:rsid w:val="00975E1F"/>
    <w:rsid w:val="00975E6C"/>
    <w:rsid w:val="0097607E"/>
    <w:rsid w:val="009762C0"/>
    <w:rsid w:val="00976426"/>
    <w:rsid w:val="0097642E"/>
    <w:rsid w:val="009764EC"/>
    <w:rsid w:val="00976640"/>
    <w:rsid w:val="00976652"/>
    <w:rsid w:val="0097677F"/>
    <w:rsid w:val="009767CB"/>
    <w:rsid w:val="0097682A"/>
    <w:rsid w:val="00976BDB"/>
    <w:rsid w:val="00976C79"/>
    <w:rsid w:val="00977062"/>
    <w:rsid w:val="0097707B"/>
    <w:rsid w:val="00977519"/>
    <w:rsid w:val="00977661"/>
    <w:rsid w:val="009777A0"/>
    <w:rsid w:val="00977808"/>
    <w:rsid w:val="00977A72"/>
    <w:rsid w:val="00980228"/>
    <w:rsid w:val="0098024F"/>
    <w:rsid w:val="00980542"/>
    <w:rsid w:val="00980773"/>
    <w:rsid w:val="00980949"/>
    <w:rsid w:val="009809A4"/>
    <w:rsid w:val="00980E5D"/>
    <w:rsid w:val="00981017"/>
    <w:rsid w:val="009811F7"/>
    <w:rsid w:val="009814AF"/>
    <w:rsid w:val="00981691"/>
    <w:rsid w:val="00981A13"/>
    <w:rsid w:val="00981DAF"/>
    <w:rsid w:val="00981E31"/>
    <w:rsid w:val="00981F4E"/>
    <w:rsid w:val="009823A3"/>
    <w:rsid w:val="00982427"/>
    <w:rsid w:val="009824CF"/>
    <w:rsid w:val="00982527"/>
    <w:rsid w:val="0098257B"/>
    <w:rsid w:val="00982962"/>
    <w:rsid w:val="00982A78"/>
    <w:rsid w:val="00983267"/>
    <w:rsid w:val="0098343A"/>
    <w:rsid w:val="0098349A"/>
    <w:rsid w:val="009834CA"/>
    <w:rsid w:val="00983598"/>
    <w:rsid w:val="009835E4"/>
    <w:rsid w:val="009836A8"/>
    <w:rsid w:val="009839F6"/>
    <w:rsid w:val="00983AA1"/>
    <w:rsid w:val="00983AC8"/>
    <w:rsid w:val="00983F0A"/>
    <w:rsid w:val="00983F2D"/>
    <w:rsid w:val="0098414F"/>
    <w:rsid w:val="009842CD"/>
    <w:rsid w:val="009843C9"/>
    <w:rsid w:val="0098453F"/>
    <w:rsid w:val="00984839"/>
    <w:rsid w:val="009848B9"/>
    <w:rsid w:val="00984A56"/>
    <w:rsid w:val="00984C1C"/>
    <w:rsid w:val="00984E69"/>
    <w:rsid w:val="0098502E"/>
    <w:rsid w:val="0098557D"/>
    <w:rsid w:val="00985635"/>
    <w:rsid w:val="009856D8"/>
    <w:rsid w:val="009858DD"/>
    <w:rsid w:val="00985CD3"/>
    <w:rsid w:val="00986013"/>
    <w:rsid w:val="00986705"/>
    <w:rsid w:val="00986986"/>
    <w:rsid w:val="00986C03"/>
    <w:rsid w:val="00986CAA"/>
    <w:rsid w:val="00987003"/>
    <w:rsid w:val="00987703"/>
    <w:rsid w:val="00987763"/>
    <w:rsid w:val="009878B5"/>
    <w:rsid w:val="00987C10"/>
    <w:rsid w:val="00990165"/>
    <w:rsid w:val="009904C8"/>
    <w:rsid w:val="00990B15"/>
    <w:rsid w:val="00990B31"/>
    <w:rsid w:val="00990C0C"/>
    <w:rsid w:val="00990E67"/>
    <w:rsid w:val="00990ECB"/>
    <w:rsid w:val="00990EFA"/>
    <w:rsid w:val="00991263"/>
    <w:rsid w:val="009913FF"/>
    <w:rsid w:val="00991405"/>
    <w:rsid w:val="00991406"/>
    <w:rsid w:val="0099145C"/>
    <w:rsid w:val="009914EB"/>
    <w:rsid w:val="009915C0"/>
    <w:rsid w:val="009917C8"/>
    <w:rsid w:val="00991C77"/>
    <w:rsid w:val="0099229D"/>
    <w:rsid w:val="009922B4"/>
    <w:rsid w:val="00992300"/>
    <w:rsid w:val="009926AD"/>
    <w:rsid w:val="009927E6"/>
    <w:rsid w:val="009928A7"/>
    <w:rsid w:val="00992A65"/>
    <w:rsid w:val="00992A9C"/>
    <w:rsid w:val="00992CC2"/>
    <w:rsid w:val="00992D1E"/>
    <w:rsid w:val="00992D87"/>
    <w:rsid w:val="00992D97"/>
    <w:rsid w:val="009936CE"/>
    <w:rsid w:val="00993728"/>
    <w:rsid w:val="009937D1"/>
    <w:rsid w:val="00993AAD"/>
    <w:rsid w:val="0099401C"/>
    <w:rsid w:val="00994170"/>
    <w:rsid w:val="009941DC"/>
    <w:rsid w:val="00994311"/>
    <w:rsid w:val="0099460A"/>
    <w:rsid w:val="00994815"/>
    <w:rsid w:val="00994953"/>
    <w:rsid w:val="00994EDE"/>
    <w:rsid w:val="00994F39"/>
    <w:rsid w:val="009951C4"/>
    <w:rsid w:val="0099530B"/>
    <w:rsid w:val="009957A7"/>
    <w:rsid w:val="009957C0"/>
    <w:rsid w:val="009957DC"/>
    <w:rsid w:val="009958F5"/>
    <w:rsid w:val="00995B72"/>
    <w:rsid w:val="009960D4"/>
    <w:rsid w:val="0099640D"/>
    <w:rsid w:val="00996413"/>
    <w:rsid w:val="00996481"/>
    <w:rsid w:val="0099685C"/>
    <w:rsid w:val="00996959"/>
    <w:rsid w:val="00996A41"/>
    <w:rsid w:val="00996C25"/>
    <w:rsid w:val="00996C33"/>
    <w:rsid w:val="00996C3A"/>
    <w:rsid w:val="00996C6B"/>
    <w:rsid w:val="00996CFE"/>
    <w:rsid w:val="00996E1D"/>
    <w:rsid w:val="00996E40"/>
    <w:rsid w:val="00996EBD"/>
    <w:rsid w:val="0099708E"/>
    <w:rsid w:val="009970BC"/>
    <w:rsid w:val="009974E5"/>
    <w:rsid w:val="00997556"/>
    <w:rsid w:val="00997641"/>
    <w:rsid w:val="009979B0"/>
    <w:rsid w:val="00997C71"/>
    <w:rsid w:val="00997CDD"/>
    <w:rsid w:val="00997E34"/>
    <w:rsid w:val="009A003E"/>
    <w:rsid w:val="009A018C"/>
    <w:rsid w:val="009A02F8"/>
    <w:rsid w:val="009A03E4"/>
    <w:rsid w:val="009A04F1"/>
    <w:rsid w:val="009A069F"/>
    <w:rsid w:val="009A06C4"/>
    <w:rsid w:val="009A0905"/>
    <w:rsid w:val="009A0928"/>
    <w:rsid w:val="009A09BC"/>
    <w:rsid w:val="009A0B2A"/>
    <w:rsid w:val="009A0BF2"/>
    <w:rsid w:val="009A0E85"/>
    <w:rsid w:val="009A0FBB"/>
    <w:rsid w:val="009A0FE4"/>
    <w:rsid w:val="009A1044"/>
    <w:rsid w:val="009A1051"/>
    <w:rsid w:val="009A1171"/>
    <w:rsid w:val="009A1396"/>
    <w:rsid w:val="009A13EF"/>
    <w:rsid w:val="009A1651"/>
    <w:rsid w:val="009A186A"/>
    <w:rsid w:val="009A18DA"/>
    <w:rsid w:val="009A1B61"/>
    <w:rsid w:val="009A1C25"/>
    <w:rsid w:val="009A2097"/>
    <w:rsid w:val="009A25B0"/>
    <w:rsid w:val="009A28A7"/>
    <w:rsid w:val="009A2B89"/>
    <w:rsid w:val="009A2C25"/>
    <w:rsid w:val="009A2CA9"/>
    <w:rsid w:val="009A2DF1"/>
    <w:rsid w:val="009A308D"/>
    <w:rsid w:val="009A30B2"/>
    <w:rsid w:val="009A314E"/>
    <w:rsid w:val="009A318D"/>
    <w:rsid w:val="009A31CE"/>
    <w:rsid w:val="009A34D1"/>
    <w:rsid w:val="009A34E2"/>
    <w:rsid w:val="009A3BE5"/>
    <w:rsid w:val="009A405E"/>
    <w:rsid w:val="009A41A0"/>
    <w:rsid w:val="009A41D8"/>
    <w:rsid w:val="009A427B"/>
    <w:rsid w:val="009A44E2"/>
    <w:rsid w:val="009A468B"/>
    <w:rsid w:val="009A46BD"/>
    <w:rsid w:val="009A46C3"/>
    <w:rsid w:val="009A4837"/>
    <w:rsid w:val="009A48CC"/>
    <w:rsid w:val="009A497D"/>
    <w:rsid w:val="009A4AA1"/>
    <w:rsid w:val="009A4BFF"/>
    <w:rsid w:val="009A4CB1"/>
    <w:rsid w:val="009A4CB6"/>
    <w:rsid w:val="009A4F68"/>
    <w:rsid w:val="009A4F6C"/>
    <w:rsid w:val="009A5077"/>
    <w:rsid w:val="009A5096"/>
    <w:rsid w:val="009A50E1"/>
    <w:rsid w:val="009A5241"/>
    <w:rsid w:val="009A52AA"/>
    <w:rsid w:val="009A52D6"/>
    <w:rsid w:val="009A57B9"/>
    <w:rsid w:val="009A5A6A"/>
    <w:rsid w:val="009A5A9D"/>
    <w:rsid w:val="009A5B06"/>
    <w:rsid w:val="009A5C52"/>
    <w:rsid w:val="009A5D50"/>
    <w:rsid w:val="009A5DB6"/>
    <w:rsid w:val="009A5F31"/>
    <w:rsid w:val="009A6210"/>
    <w:rsid w:val="009A632F"/>
    <w:rsid w:val="009A6334"/>
    <w:rsid w:val="009A63E3"/>
    <w:rsid w:val="009A6525"/>
    <w:rsid w:val="009A67EC"/>
    <w:rsid w:val="009A690C"/>
    <w:rsid w:val="009A6978"/>
    <w:rsid w:val="009A6C58"/>
    <w:rsid w:val="009A6C7B"/>
    <w:rsid w:val="009A6D33"/>
    <w:rsid w:val="009A6E6F"/>
    <w:rsid w:val="009A6E89"/>
    <w:rsid w:val="009A6F83"/>
    <w:rsid w:val="009A700A"/>
    <w:rsid w:val="009A70BD"/>
    <w:rsid w:val="009A714A"/>
    <w:rsid w:val="009A7155"/>
    <w:rsid w:val="009A7254"/>
    <w:rsid w:val="009A76E3"/>
    <w:rsid w:val="009A7745"/>
    <w:rsid w:val="009A7760"/>
    <w:rsid w:val="009A7822"/>
    <w:rsid w:val="009A7858"/>
    <w:rsid w:val="009A790C"/>
    <w:rsid w:val="009A79DB"/>
    <w:rsid w:val="009A7BE0"/>
    <w:rsid w:val="009A7C01"/>
    <w:rsid w:val="009A7D93"/>
    <w:rsid w:val="009A7E62"/>
    <w:rsid w:val="009A7E6E"/>
    <w:rsid w:val="009ADB97"/>
    <w:rsid w:val="009B0194"/>
    <w:rsid w:val="009B03B2"/>
    <w:rsid w:val="009B0442"/>
    <w:rsid w:val="009B065A"/>
    <w:rsid w:val="009B0955"/>
    <w:rsid w:val="009B12C3"/>
    <w:rsid w:val="009B154B"/>
    <w:rsid w:val="009B1730"/>
    <w:rsid w:val="009B1AAF"/>
    <w:rsid w:val="009B1AD4"/>
    <w:rsid w:val="009B1BD9"/>
    <w:rsid w:val="009B1C7F"/>
    <w:rsid w:val="009B1D74"/>
    <w:rsid w:val="009B2317"/>
    <w:rsid w:val="009B2509"/>
    <w:rsid w:val="009B2735"/>
    <w:rsid w:val="009B2787"/>
    <w:rsid w:val="009B2DB3"/>
    <w:rsid w:val="009B2DD3"/>
    <w:rsid w:val="009B2DE9"/>
    <w:rsid w:val="009B2E77"/>
    <w:rsid w:val="009B2F09"/>
    <w:rsid w:val="009B2F17"/>
    <w:rsid w:val="009B300E"/>
    <w:rsid w:val="009B32B2"/>
    <w:rsid w:val="009B3535"/>
    <w:rsid w:val="009B372E"/>
    <w:rsid w:val="009B3855"/>
    <w:rsid w:val="009B3902"/>
    <w:rsid w:val="009B3956"/>
    <w:rsid w:val="009B3968"/>
    <w:rsid w:val="009B3C85"/>
    <w:rsid w:val="009B3FFD"/>
    <w:rsid w:val="009B4016"/>
    <w:rsid w:val="009B4299"/>
    <w:rsid w:val="009B4393"/>
    <w:rsid w:val="009B4455"/>
    <w:rsid w:val="009B46C7"/>
    <w:rsid w:val="009B46DE"/>
    <w:rsid w:val="009B47B8"/>
    <w:rsid w:val="009B484C"/>
    <w:rsid w:val="009B4946"/>
    <w:rsid w:val="009B4A4A"/>
    <w:rsid w:val="009B4A9F"/>
    <w:rsid w:val="009B4B7A"/>
    <w:rsid w:val="009B4B89"/>
    <w:rsid w:val="009B4C6C"/>
    <w:rsid w:val="009B4E23"/>
    <w:rsid w:val="009B4E41"/>
    <w:rsid w:val="009B52BD"/>
    <w:rsid w:val="009B53BB"/>
    <w:rsid w:val="009B5944"/>
    <w:rsid w:val="009B59BF"/>
    <w:rsid w:val="009B5ACE"/>
    <w:rsid w:val="009B5B97"/>
    <w:rsid w:val="009B5B9E"/>
    <w:rsid w:val="009B5CD2"/>
    <w:rsid w:val="009B5DEC"/>
    <w:rsid w:val="009B5E40"/>
    <w:rsid w:val="009B5F4E"/>
    <w:rsid w:val="009B61D3"/>
    <w:rsid w:val="009B61E6"/>
    <w:rsid w:val="009B6263"/>
    <w:rsid w:val="009B6682"/>
    <w:rsid w:val="009B671F"/>
    <w:rsid w:val="009B67B6"/>
    <w:rsid w:val="009B693F"/>
    <w:rsid w:val="009B6B48"/>
    <w:rsid w:val="009B6B64"/>
    <w:rsid w:val="009B6BC8"/>
    <w:rsid w:val="009B6F46"/>
    <w:rsid w:val="009B7121"/>
    <w:rsid w:val="009B7185"/>
    <w:rsid w:val="009B7280"/>
    <w:rsid w:val="009B7558"/>
    <w:rsid w:val="009B75E4"/>
    <w:rsid w:val="009B784D"/>
    <w:rsid w:val="009B789D"/>
    <w:rsid w:val="009B7BC7"/>
    <w:rsid w:val="009B7BCA"/>
    <w:rsid w:val="009B7F12"/>
    <w:rsid w:val="009B7F5D"/>
    <w:rsid w:val="009C023B"/>
    <w:rsid w:val="009C0270"/>
    <w:rsid w:val="009C0284"/>
    <w:rsid w:val="009C0397"/>
    <w:rsid w:val="009C03C4"/>
    <w:rsid w:val="009C0428"/>
    <w:rsid w:val="009C0578"/>
    <w:rsid w:val="009C071D"/>
    <w:rsid w:val="009C0967"/>
    <w:rsid w:val="009C0A9E"/>
    <w:rsid w:val="009C0B7A"/>
    <w:rsid w:val="009C0FC9"/>
    <w:rsid w:val="009C11A9"/>
    <w:rsid w:val="009C1382"/>
    <w:rsid w:val="009C13AD"/>
    <w:rsid w:val="009C1400"/>
    <w:rsid w:val="009C14E1"/>
    <w:rsid w:val="009C18DB"/>
    <w:rsid w:val="009C1913"/>
    <w:rsid w:val="009C1A5E"/>
    <w:rsid w:val="009C1B7B"/>
    <w:rsid w:val="009C1BD3"/>
    <w:rsid w:val="009C1C29"/>
    <w:rsid w:val="009C2085"/>
    <w:rsid w:val="009C20C0"/>
    <w:rsid w:val="009C23C6"/>
    <w:rsid w:val="009C2511"/>
    <w:rsid w:val="009C27A9"/>
    <w:rsid w:val="009C2802"/>
    <w:rsid w:val="009C2A4C"/>
    <w:rsid w:val="009C2C2D"/>
    <w:rsid w:val="009C3152"/>
    <w:rsid w:val="009C319E"/>
    <w:rsid w:val="009C345D"/>
    <w:rsid w:val="009C346D"/>
    <w:rsid w:val="009C347D"/>
    <w:rsid w:val="009C34B9"/>
    <w:rsid w:val="009C37F0"/>
    <w:rsid w:val="009C3931"/>
    <w:rsid w:val="009C3A53"/>
    <w:rsid w:val="009C3B3C"/>
    <w:rsid w:val="009C40A6"/>
    <w:rsid w:val="009C42F1"/>
    <w:rsid w:val="009C42FD"/>
    <w:rsid w:val="009C465A"/>
    <w:rsid w:val="009C46C6"/>
    <w:rsid w:val="009C4A65"/>
    <w:rsid w:val="009C4D50"/>
    <w:rsid w:val="009C4D79"/>
    <w:rsid w:val="009C4FFB"/>
    <w:rsid w:val="009C5047"/>
    <w:rsid w:val="009C51B0"/>
    <w:rsid w:val="009C547D"/>
    <w:rsid w:val="009C5625"/>
    <w:rsid w:val="009C56DD"/>
    <w:rsid w:val="009C5EC6"/>
    <w:rsid w:val="009C6104"/>
    <w:rsid w:val="009C61D3"/>
    <w:rsid w:val="009C6309"/>
    <w:rsid w:val="009C6337"/>
    <w:rsid w:val="009C633D"/>
    <w:rsid w:val="009C63AB"/>
    <w:rsid w:val="009C64C7"/>
    <w:rsid w:val="009C678E"/>
    <w:rsid w:val="009C68D0"/>
    <w:rsid w:val="009C6A1D"/>
    <w:rsid w:val="009C6BF8"/>
    <w:rsid w:val="009C6C0A"/>
    <w:rsid w:val="009C6F61"/>
    <w:rsid w:val="009C6FF3"/>
    <w:rsid w:val="009C71BF"/>
    <w:rsid w:val="009C7235"/>
    <w:rsid w:val="009C729B"/>
    <w:rsid w:val="009C72DE"/>
    <w:rsid w:val="009C7817"/>
    <w:rsid w:val="009C7916"/>
    <w:rsid w:val="009C79E4"/>
    <w:rsid w:val="009C7A2E"/>
    <w:rsid w:val="009C7F77"/>
    <w:rsid w:val="009D0288"/>
    <w:rsid w:val="009D02C8"/>
    <w:rsid w:val="009D0400"/>
    <w:rsid w:val="009D04A1"/>
    <w:rsid w:val="009D04F6"/>
    <w:rsid w:val="009D0916"/>
    <w:rsid w:val="009D09CB"/>
    <w:rsid w:val="009D0F21"/>
    <w:rsid w:val="009D1024"/>
    <w:rsid w:val="009D1060"/>
    <w:rsid w:val="009D119C"/>
    <w:rsid w:val="009D149B"/>
    <w:rsid w:val="009D14E3"/>
    <w:rsid w:val="009D15B3"/>
    <w:rsid w:val="009D1630"/>
    <w:rsid w:val="009D171C"/>
    <w:rsid w:val="009D1728"/>
    <w:rsid w:val="009D191A"/>
    <w:rsid w:val="009D1ACF"/>
    <w:rsid w:val="009D1B36"/>
    <w:rsid w:val="009D1BB6"/>
    <w:rsid w:val="009D1BFC"/>
    <w:rsid w:val="009D1E00"/>
    <w:rsid w:val="009D1F6D"/>
    <w:rsid w:val="009D2046"/>
    <w:rsid w:val="009D208B"/>
    <w:rsid w:val="009D213C"/>
    <w:rsid w:val="009D21A7"/>
    <w:rsid w:val="009D238A"/>
    <w:rsid w:val="009D2451"/>
    <w:rsid w:val="009D2BA4"/>
    <w:rsid w:val="009D2FE2"/>
    <w:rsid w:val="009D31F2"/>
    <w:rsid w:val="009D35DB"/>
    <w:rsid w:val="009D3890"/>
    <w:rsid w:val="009D3BBF"/>
    <w:rsid w:val="009D3F4A"/>
    <w:rsid w:val="009D439E"/>
    <w:rsid w:val="009D45F6"/>
    <w:rsid w:val="009D479A"/>
    <w:rsid w:val="009D4829"/>
    <w:rsid w:val="009D4996"/>
    <w:rsid w:val="009D4E74"/>
    <w:rsid w:val="009D5026"/>
    <w:rsid w:val="009D5778"/>
    <w:rsid w:val="009D5A05"/>
    <w:rsid w:val="009D5A0F"/>
    <w:rsid w:val="009D5A80"/>
    <w:rsid w:val="009D5AE7"/>
    <w:rsid w:val="009D5C5A"/>
    <w:rsid w:val="009D67E0"/>
    <w:rsid w:val="009D6A8A"/>
    <w:rsid w:val="009D6E57"/>
    <w:rsid w:val="009D785C"/>
    <w:rsid w:val="009D7A8F"/>
    <w:rsid w:val="009D7C9D"/>
    <w:rsid w:val="009D7CD8"/>
    <w:rsid w:val="009D7D7C"/>
    <w:rsid w:val="009D7F55"/>
    <w:rsid w:val="009D7FF5"/>
    <w:rsid w:val="009D7FF9"/>
    <w:rsid w:val="009E0080"/>
    <w:rsid w:val="009E009D"/>
    <w:rsid w:val="009E055E"/>
    <w:rsid w:val="009E0582"/>
    <w:rsid w:val="009E0995"/>
    <w:rsid w:val="009E0A67"/>
    <w:rsid w:val="009E0B06"/>
    <w:rsid w:val="009E0C98"/>
    <w:rsid w:val="009E0EBD"/>
    <w:rsid w:val="009E109D"/>
    <w:rsid w:val="009E1335"/>
    <w:rsid w:val="009E139F"/>
    <w:rsid w:val="009E14D2"/>
    <w:rsid w:val="009E155E"/>
    <w:rsid w:val="009E17D6"/>
    <w:rsid w:val="009E185B"/>
    <w:rsid w:val="009E1887"/>
    <w:rsid w:val="009E1A07"/>
    <w:rsid w:val="009E1A5F"/>
    <w:rsid w:val="009E1A6C"/>
    <w:rsid w:val="009E1A72"/>
    <w:rsid w:val="009E1AA3"/>
    <w:rsid w:val="009E1AD5"/>
    <w:rsid w:val="009E1C3E"/>
    <w:rsid w:val="009E1D48"/>
    <w:rsid w:val="009E1DC8"/>
    <w:rsid w:val="009E2049"/>
    <w:rsid w:val="009E21D1"/>
    <w:rsid w:val="009E2270"/>
    <w:rsid w:val="009E239E"/>
    <w:rsid w:val="009E244B"/>
    <w:rsid w:val="009E254D"/>
    <w:rsid w:val="009E2B13"/>
    <w:rsid w:val="009E2DD5"/>
    <w:rsid w:val="009E2EAB"/>
    <w:rsid w:val="009E2ED7"/>
    <w:rsid w:val="009E2EF7"/>
    <w:rsid w:val="009E2F1F"/>
    <w:rsid w:val="009E2F91"/>
    <w:rsid w:val="009E3100"/>
    <w:rsid w:val="009E3130"/>
    <w:rsid w:val="009E31D5"/>
    <w:rsid w:val="009E31F0"/>
    <w:rsid w:val="009E3423"/>
    <w:rsid w:val="009E3597"/>
    <w:rsid w:val="009E3648"/>
    <w:rsid w:val="009E3855"/>
    <w:rsid w:val="009E38AE"/>
    <w:rsid w:val="009E3CD7"/>
    <w:rsid w:val="009E3D99"/>
    <w:rsid w:val="009E4085"/>
    <w:rsid w:val="009E417F"/>
    <w:rsid w:val="009E42D2"/>
    <w:rsid w:val="009E441C"/>
    <w:rsid w:val="009E4771"/>
    <w:rsid w:val="009E490E"/>
    <w:rsid w:val="009E4F90"/>
    <w:rsid w:val="009E5B9F"/>
    <w:rsid w:val="009E5BB0"/>
    <w:rsid w:val="009E5EC9"/>
    <w:rsid w:val="009E60D3"/>
    <w:rsid w:val="009E6315"/>
    <w:rsid w:val="009E6B4B"/>
    <w:rsid w:val="009E6BEB"/>
    <w:rsid w:val="009E6DEC"/>
    <w:rsid w:val="009E6E53"/>
    <w:rsid w:val="009E700A"/>
    <w:rsid w:val="009E7117"/>
    <w:rsid w:val="009E72B5"/>
    <w:rsid w:val="009E72D6"/>
    <w:rsid w:val="009E76FC"/>
    <w:rsid w:val="009E7799"/>
    <w:rsid w:val="009E7875"/>
    <w:rsid w:val="009E78C4"/>
    <w:rsid w:val="009E7B17"/>
    <w:rsid w:val="009E7E61"/>
    <w:rsid w:val="009E7E6D"/>
    <w:rsid w:val="009E7F7C"/>
    <w:rsid w:val="009F0177"/>
    <w:rsid w:val="009F0570"/>
    <w:rsid w:val="009F09DB"/>
    <w:rsid w:val="009F0BA7"/>
    <w:rsid w:val="009F0E06"/>
    <w:rsid w:val="009F0F1D"/>
    <w:rsid w:val="009F0F2F"/>
    <w:rsid w:val="009F10D6"/>
    <w:rsid w:val="009F1150"/>
    <w:rsid w:val="009F12A6"/>
    <w:rsid w:val="009F1388"/>
    <w:rsid w:val="009F13E9"/>
    <w:rsid w:val="009F1577"/>
    <w:rsid w:val="009F167B"/>
    <w:rsid w:val="009F16EB"/>
    <w:rsid w:val="009F1A19"/>
    <w:rsid w:val="009F1A63"/>
    <w:rsid w:val="009F1A6F"/>
    <w:rsid w:val="009F1C3A"/>
    <w:rsid w:val="009F1C8B"/>
    <w:rsid w:val="009F2145"/>
    <w:rsid w:val="009F21D7"/>
    <w:rsid w:val="009F2413"/>
    <w:rsid w:val="009F258A"/>
    <w:rsid w:val="009F2A28"/>
    <w:rsid w:val="009F2BC1"/>
    <w:rsid w:val="009F2D5D"/>
    <w:rsid w:val="009F2F00"/>
    <w:rsid w:val="009F316B"/>
    <w:rsid w:val="009F32A4"/>
    <w:rsid w:val="009F33FE"/>
    <w:rsid w:val="009F35CD"/>
    <w:rsid w:val="009F3CE6"/>
    <w:rsid w:val="009F3EFD"/>
    <w:rsid w:val="009F3F75"/>
    <w:rsid w:val="009F4016"/>
    <w:rsid w:val="009F4238"/>
    <w:rsid w:val="009F440B"/>
    <w:rsid w:val="009F4752"/>
    <w:rsid w:val="009F4767"/>
    <w:rsid w:val="009F48C7"/>
    <w:rsid w:val="009F4908"/>
    <w:rsid w:val="009F4953"/>
    <w:rsid w:val="009F49A8"/>
    <w:rsid w:val="009F4A24"/>
    <w:rsid w:val="009F4B2A"/>
    <w:rsid w:val="009F4BD3"/>
    <w:rsid w:val="009F4C2F"/>
    <w:rsid w:val="009F4C54"/>
    <w:rsid w:val="009F4DF7"/>
    <w:rsid w:val="009F4E11"/>
    <w:rsid w:val="009F5178"/>
    <w:rsid w:val="009F52D1"/>
    <w:rsid w:val="009F52D4"/>
    <w:rsid w:val="009F5451"/>
    <w:rsid w:val="009F56F5"/>
    <w:rsid w:val="009F5716"/>
    <w:rsid w:val="009F5731"/>
    <w:rsid w:val="009F5796"/>
    <w:rsid w:val="009F5806"/>
    <w:rsid w:val="009F5B2B"/>
    <w:rsid w:val="009F5C4D"/>
    <w:rsid w:val="009F5E80"/>
    <w:rsid w:val="009F5F45"/>
    <w:rsid w:val="009F5FB8"/>
    <w:rsid w:val="009F60BD"/>
    <w:rsid w:val="009F60E0"/>
    <w:rsid w:val="009F6437"/>
    <w:rsid w:val="009F644C"/>
    <w:rsid w:val="009F6462"/>
    <w:rsid w:val="009F687A"/>
    <w:rsid w:val="009F69C3"/>
    <w:rsid w:val="009F6A06"/>
    <w:rsid w:val="009F6A07"/>
    <w:rsid w:val="009F6B0B"/>
    <w:rsid w:val="009F6BD3"/>
    <w:rsid w:val="009F6DC0"/>
    <w:rsid w:val="009F6F36"/>
    <w:rsid w:val="009F71AC"/>
    <w:rsid w:val="009F7250"/>
    <w:rsid w:val="009F72F4"/>
    <w:rsid w:val="009F74A7"/>
    <w:rsid w:val="009F778A"/>
    <w:rsid w:val="009F7825"/>
    <w:rsid w:val="009F78B5"/>
    <w:rsid w:val="009F7BB3"/>
    <w:rsid w:val="009F7CE6"/>
    <w:rsid w:val="009F7D76"/>
    <w:rsid w:val="009F7FDD"/>
    <w:rsid w:val="00A000AC"/>
    <w:rsid w:val="00A002CB"/>
    <w:rsid w:val="00A00576"/>
    <w:rsid w:val="00A006DD"/>
    <w:rsid w:val="00A00821"/>
    <w:rsid w:val="00A00914"/>
    <w:rsid w:val="00A00C27"/>
    <w:rsid w:val="00A00DBA"/>
    <w:rsid w:val="00A00EBF"/>
    <w:rsid w:val="00A00EED"/>
    <w:rsid w:val="00A01308"/>
    <w:rsid w:val="00A01639"/>
    <w:rsid w:val="00A01838"/>
    <w:rsid w:val="00A018AE"/>
    <w:rsid w:val="00A01B82"/>
    <w:rsid w:val="00A01D5E"/>
    <w:rsid w:val="00A01EA5"/>
    <w:rsid w:val="00A01FD3"/>
    <w:rsid w:val="00A02484"/>
    <w:rsid w:val="00A0250F"/>
    <w:rsid w:val="00A025D1"/>
    <w:rsid w:val="00A0286F"/>
    <w:rsid w:val="00A028D5"/>
    <w:rsid w:val="00A029F6"/>
    <w:rsid w:val="00A02CC5"/>
    <w:rsid w:val="00A02CDB"/>
    <w:rsid w:val="00A02D88"/>
    <w:rsid w:val="00A02DBC"/>
    <w:rsid w:val="00A02E94"/>
    <w:rsid w:val="00A02F99"/>
    <w:rsid w:val="00A03299"/>
    <w:rsid w:val="00A03494"/>
    <w:rsid w:val="00A03644"/>
    <w:rsid w:val="00A0375E"/>
    <w:rsid w:val="00A03865"/>
    <w:rsid w:val="00A03912"/>
    <w:rsid w:val="00A039C4"/>
    <w:rsid w:val="00A03A02"/>
    <w:rsid w:val="00A03B34"/>
    <w:rsid w:val="00A03B9A"/>
    <w:rsid w:val="00A03D19"/>
    <w:rsid w:val="00A03D93"/>
    <w:rsid w:val="00A043DF"/>
    <w:rsid w:val="00A0446E"/>
    <w:rsid w:val="00A044A1"/>
    <w:rsid w:val="00A04939"/>
    <w:rsid w:val="00A04A2E"/>
    <w:rsid w:val="00A04C42"/>
    <w:rsid w:val="00A04C9E"/>
    <w:rsid w:val="00A04E60"/>
    <w:rsid w:val="00A04EA5"/>
    <w:rsid w:val="00A05104"/>
    <w:rsid w:val="00A05689"/>
    <w:rsid w:val="00A05872"/>
    <w:rsid w:val="00A05A96"/>
    <w:rsid w:val="00A05D39"/>
    <w:rsid w:val="00A05FBF"/>
    <w:rsid w:val="00A0630A"/>
    <w:rsid w:val="00A06659"/>
    <w:rsid w:val="00A068D0"/>
    <w:rsid w:val="00A06B20"/>
    <w:rsid w:val="00A06C97"/>
    <w:rsid w:val="00A06D30"/>
    <w:rsid w:val="00A07101"/>
    <w:rsid w:val="00A071BD"/>
    <w:rsid w:val="00A0726C"/>
    <w:rsid w:val="00A07373"/>
    <w:rsid w:val="00A074FA"/>
    <w:rsid w:val="00A07652"/>
    <w:rsid w:val="00A07770"/>
    <w:rsid w:val="00A079A8"/>
    <w:rsid w:val="00A07A3F"/>
    <w:rsid w:val="00A07BFB"/>
    <w:rsid w:val="00A07D3B"/>
    <w:rsid w:val="00A07D66"/>
    <w:rsid w:val="00A100B6"/>
    <w:rsid w:val="00A100BA"/>
    <w:rsid w:val="00A100D4"/>
    <w:rsid w:val="00A10374"/>
    <w:rsid w:val="00A10741"/>
    <w:rsid w:val="00A10800"/>
    <w:rsid w:val="00A10E6B"/>
    <w:rsid w:val="00A10EC0"/>
    <w:rsid w:val="00A10F83"/>
    <w:rsid w:val="00A110F5"/>
    <w:rsid w:val="00A1121F"/>
    <w:rsid w:val="00A1132A"/>
    <w:rsid w:val="00A1151D"/>
    <w:rsid w:val="00A117A6"/>
    <w:rsid w:val="00A118C7"/>
    <w:rsid w:val="00A1191A"/>
    <w:rsid w:val="00A11990"/>
    <w:rsid w:val="00A11ACF"/>
    <w:rsid w:val="00A11BF5"/>
    <w:rsid w:val="00A1216E"/>
    <w:rsid w:val="00A12233"/>
    <w:rsid w:val="00A1227C"/>
    <w:rsid w:val="00A123E2"/>
    <w:rsid w:val="00A124B0"/>
    <w:rsid w:val="00A125A5"/>
    <w:rsid w:val="00A1264C"/>
    <w:rsid w:val="00A1282E"/>
    <w:rsid w:val="00A12C87"/>
    <w:rsid w:val="00A12FAF"/>
    <w:rsid w:val="00A1315F"/>
    <w:rsid w:val="00A133A4"/>
    <w:rsid w:val="00A134BA"/>
    <w:rsid w:val="00A135A3"/>
    <w:rsid w:val="00A13B42"/>
    <w:rsid w:val="00A13B77"/>
    <w:rsid w:val="00A13CF2"/>
    <w:rsid w:val="00A13D5A"/>
    <w:rsid w:val="00A1406D"/>
    <w:rsid w:val="00A140A9"/>
    <w:rsid w:val="00A140D0"/>
    <w:rsid w:val="00A14155"/>
    <w:rsid w:val="00A14390"/>
    <w:rsid w:val="00A143EE"/>
    <w:rsid w:val="00A1440D"/>
    <w:rsid w:val="00A14A49"/>
    <w:rsid w:val="00A14A64"/>
    <w:rsid w:val="00A14C2B"/>
    <w:rsid w:val="00A14C90"/>
    <w:rsid w:val="00A14CB4"/>
    <w:rsid w:val="00A14D19"/>
    <w:rsid w:val="00A14ED7"/>
    <w:rsid w:val="00A150F8"/>
    <w:rsid w:val="00A15289"/>
    <w:rsid w:val="00A15432"/>
    <w:rsid w:val="00A15672"/>
    <w:rsid w:val="00A157FF"/>
    <w:rsid w:val="00A15FFB"/>
    <w:rsid w:val="00A16443"/>
    <w:rsid w:val="00A166A0"/>
    <w:rsid w:val="00A16747"/>
    <w:rsid w:val="00A1689F"/>
    <w:rsid w:val="00A1697A"/>
    <w:rsid w:val="00A169D7"/>
    <w:rsid w:val="00A16B06"/>
    <w:rsid w:val="00A16C8D"/>
    <w:rsid w:val="00A16CD0"/>
    <w:rsid w:val="00A16E8D"/>
    <w:rsid w:val="00A17821"/>
    <w:rsid w:val="00A1793F"/>
    <w:rsid w:val="00A17A15"/>
    <w:rsid w:val="00A17E1E"/>
    <w:rsid w:val="00A20063"/>
    <w:rsid w:val="00A205DB"/>
    <w:rsid w:val="00A20617"/>
    <w:rsid w:val="00A20636"/>
    <w:rsid w:val="00A2063D"/>
    <w:rsid w:val="00A20726"/>
    <w:rsid w:val="00A20EFE"/>
    <w:rsid w:val="00A21133"/>
    <w:rsid w:val="00A2139B"/>
    <w:rsid w:val="00A214FA"/>
    <w:rsid w:val="00A218E5"/>
    <w:rsid w:val="00A21989"/>
    <w:rsid w:val="00A21B97"/>
    <w:rsid w:val="00A21C1D"/>
    <w:rsid w:val="00A21D32"/>
    <w:rsid w:val="00A21D5F"/>
    <w:rsid w:val="00A21E90"/>
    <w:rsid w:val="00A21F31"/>
    <w:rsid w:val="00A2201E"/>
    <w:rsid w:val="00A220F5"/>
    <w:rsid w:val="00A2214F"/>
    <w:rsid w:val="00A22284"/>
    <w:rsid w:val="00A2242B"/>
    <w:rsid w:val="00A225D3"/>
    <w:rsid w:val="00A2263F"/>
    <w:rsid w:val="00A2265E"/>
    <w:rsid w:val="00A226BE"/>
    <w:rsid w:val="00A22B7E"/>
    <w:rsid w:val="00A22BE7"/>
    <w:rsid w:val="00A22C9A"/>
    <w:rsid w:val="00A23202"/>
    <w:rsid w:val="00A2377E"/>
    <w:rsid w:val="00A23A25"/>
    <w:rsid w:val="00A23AAD"/>
    <w:rsid w:val="00A23E5E"/>
    <w:rsid w:val="00A23E8B"/>
    <w:rsid w:val="00A23ECA"/>
    <w:rsid w:val="00A2423B"/>
    <w:rsid w:val="00A2443F"/>
    <w:rsid w:val="00A244E7"/>
    <w:rsid w:val="00A2466C"/>
    <w:rsid w:val="00A24823"/>
    <w:rsid w:val="00A248AF"/>
    <w:rsid w:val="00A249A1"/>
    <w:rsid w:val="00A249D4"/>
    <w:rsid w:val="00A24B2A"/>
    <w:rsid w:val="00A24D0D"/>
    <w:rsid w:val="00A25077"/>
    <w:rsid w:val="00A2511C"/>
    <w:rsid w:val="00A253B9"/>
    <w:rsid w:val="00A2545A"/>
    <w:rsid w:val="00A255EA"/>
    <w:rsid w:val="00A2562A"/>
    <w:rsid w:val="00A2568C"/>
    <w:rsid w:val="00A25725"/>
    <w:rsid w:val="00A25736"/>
    <w:rsid w:val="00A25AB1"/>
    <w:rsid w:val="00A25BF7"/>
    <w:rsid w:val="00A25D23"/>
    <w:rsid w:val="00A25FFF"/>
    <w:rsid w:val="00A26195"/>
    <w:rsid w:val="00A26363"/>
    <w:rsid w:val="00A26629"/>
    <w:rsid w:val="00A26663"/>
    <w:rsid w:val="00A26691"/>
    <w:rsid w:val="00A266A9"/>
    <w:rsid w:val="00A26752"/>
    <w:rsid w:val="00A268F6"/>
    <w:rsid w:val="00A2697F"/>
    <w:rsid w:val="00A26A2F"/>
    <w:rsid w:val="00A26DA8"/>
    <w:rsid w:val="00A26DE5"/>
    <w:rsid w:val="00A26FEA"/>
    <w:rsid w:val="00A270F8"/>
    <w:rsid w:val="00A2740B"/>
    <w:rsid w:val="00A275D0"/>
    <w:rsid w:val="00A275F8"/>
    <w:rsid w:val="00A2767D"/>
    <w:rsid w:val="00A27A9F"/>
    <w:rsid w:val="00A27B97"/>
    <w:rsid w:val="00A27C16"/>
    <w:rsid w:val="00A27C48"/>
    <w:rsid w:val="00A27C6A"/>
    <w:rsid w:val="00A27C82"/>
    <w:rsid w:val="00A27CF0"/>
    <w:rsid w:val="00A27E94"/>
    <w:rsid w:val="00A27EA8"/>
    <w:rsid w:val="00A27F65"/>
    <w:rsid w:val="00A27FA9"/>
    <w:rsid w:val="00A3043E"/>
    <w:rsid w:val="00A30486"/>
    <w:rsid w:val="00A304B6"/>
    <w:rsid w:val="00A304FF"/>
    <w:rsid w:val="00A305EE"/>
    <w:rsid w:val="00A3070E"/>
    <w:rsid w:val="00A30868"/>
    <w:rsid w:val="00A30F8E"/>
    <w:rsid w:val="00A30FB7"/>
    <w:rsid w:val="00A31011"/>
    <w:rsid w:val="00A31422"/>
    <w:rsid w:val="00A316F1"/>
    <w:rsid w:val="00A31734"/>
    <w:rsid w:val="00A3182C"/>
    <w:rsid w:val="00A31A65"/>
    <w:rsid w:val="00A31EA8"/>
    <w:rsid w:val="00A321DB"/>
    <w:rsid w:val="00A322A6"/>
    <w:rsid w:val="00A32362"/>
    <w:rsid w:val="00A325CB"/>
    <w:rsid w:val="00A325EF"/>
    <w:rsid w:val="00A32682"/>
    <w:rsid w:val="00A327DD"/>
    <w:rsid w:val="00A327FC"/>
    <w:rsid w:val="00A3283A"/>
    <w:rsid w:val="00A32964"/>
    <w:rsid w:val="00A32D2D"/>
    <w:rsid w:val="00A332B3"/>
    <w:rsid w:val="00A33467"/>
    <w:rsid w:val="00A33534"/>
    <w:rsid w:val="00A335DB"/>
    <w:rsid w:val="00A335DF"/>
    <w:rsid w:val="00A33735"/>
    <w:rsid w:val="00A338DD"/>
    <w:rsid w:val="00A33902"/>
    <w:rsid w:val="00A33AB4"/>
    <w:rsid w:val="00A33B15"/>
    <w:rsid w:val="00A33C25"/>
    <w:rsid w:val="00A33D4D"/>
    <w:rsid w:val="00A33DAA"/>
    <w:rsid w:val="00A34160"/>
    <w:rsid w:val="00A341FA"/>
    <w:rsid w:val="00A3425B"/>
    <w:rsid w:val="00A34485"/>
    <w:rsid w:val="00A3478F"/>
    <w:rsid w:val="00A349AD"/>
    <w:rsid w:val="00A349B9"/>
    <w:rsid w:val="00A34A09"/>
    <w:rsid w:val="00A34B83"/>
    <w:rsid w:val="00A3514A"/>
    <w:rsid w:val="00A35363"/>
    <w:rsid w:val="00A35484"/>
    <w:rsid w:val="00A3583A"/>
    <w:rsid w:val="00A35916"/>
    <w:rsid w:val="00A35926"/>
    <w:rsid w:val="00A35EA7"/>
    <w:rsid w:val="00A35ED8"/>
    <w:rsid w:val="00A35FBF"/>
    <w:rsid w:val="00A36189"/>
    <w:rsid w:val="00A36533"/>
    <w:rsid w:val="00A368D1"/>
    <w:rsid w:val="00A36A0D"/>
    <w:rsid w:val="00A36B0D"/>
    <w:rsid w:val="00A36B17"/>
    <w:rsid w:val="00A37061"/>
    <w:rsid w:val="00A3743A"/>
    <w:rsid w:val="00A37565"/>
    <w:rsid w:val="00A3762C"/>
    <w:rsid w:val="00A376FD"/>
    <w:rsid w:val="00A37850"/>
    <w:rsid w:val="00A378AA"/>
    <w:rsid w:val="00A3793E"/>
    <w:rsid w:val="00A37A20"/>
    <w:rsid w:val="00A37BD9"/>
    <w:rsid w:val="00A37BF1"/>
    <w:rsid w:val="00A37C2A"/>
    <w:rsid w:val="00A37C98"/>
    <w:rsid w:val="00A37EBF"/>
    <w:rsid w:val="00A37F18"/>
    <w:rsid w:val="00A40018"/>
    <w:rsid w:val="00A40573"/>
    <w:rsid w:val="00A40B0D"/>
    <w:rsid w:val="00A410B3"/>
    <w:rsid w:val="00A411BE"/>
    <w:rsid w:val="00A414BB"/>
    <w:rsid w:val="00A41787"/>
    <w:rsid w:val="00A41A97"/>
    <w:rsid w:val="00A41C00"/>
    <w:rsid w:val="00A41D14"/>
    <w:rsid w:val="00A41E58"/>
    <w:rsid w:val="00A42155"/>
    <w:rsid w:val="00A42404"/>
    <w:rsid w:val="00A4276C"/>
    <w:rsid w:val="00A427B1"/>
    <w:rsid w:val="00A4283E"/>
    <w:rsid w:val="00A42B15"/>
    <w:rsid w:val="00A42C81"/>
    <w:rsid w:val="00A42D34"/>
    <w:rsid w:val="00A42D98"/>
    <w:rsid w:val="00A42ED9"/>
    <w:rsid w:val="00A42EF2"/>
    <w:rsid w:val="00A43094"/>
    <w:rsid w:val="00A431D7"/>
    <w:rsid w:val="00A43A3A"/>
    <w:rsid w:val="00A43B7D"/>
    <w:rsid w:val="00A43C06"/>
    <w:rsid w:val="00A43C54"/>
    <w:rsid w:val="00A43CF9"/>
    <w:rsid w:val="00A43DB5"/>
    <w:rsid w:val="00A43FC0"/>
    <w:rsid w:val="00A43FFB"/>
    <w:rsid w:val="00A44060"/>
    <w:rsid w:val="00A44289"/>
    <w:rsid w:val="00A445FD"/>
    <w:rsid w:val="00A4478E"/>
    <w:rsid w:val="00A44859"/>
    <w:rsid w:val="00A448AD"/>
    <w:rsid w:val="00A44A7D"/>
    <w:rsid w:val="00A44EB5"/>
    <w:rsid w:val="00A450AC"/>
    <w:rsid w:val="00A4510D"/>
    <w:rsid w:val="00A452BA"/>
    <w:rsid w:val="00A453C2"/>
    <w:rsid w:val="00A45A1A"/>
    <w:rsid w:val="00A45A1B"/>
    <w:rsid w:val="00A45A98"/>
    <w:rsid w:val="00A45C46"/>
    <w:rsid w:val="00A45D84"/>
    <w:rsid w:val="00A45E81"/>
    <w:rsid w:val="00A45F60"/>
    <w:rsid w:val="00A4600C"/>
    <w:rsid w:val="00A46041"/>
    <w:rsid w:val="00A461AB"/>
    <w:rsid w:val="00A46467"/>
    <w:rsid w:val="00A46490"/>
    <w:rsid w:val="00A4655D"/>
    <w:rsid w:val="00A465AA"/>
    <w:rsid w:val="00A46738"/>
    <w:rsid w:val="00A4675E"/>
    <w:rsid w:val="00A467E3"/>
    <w:rsid w:val="00A4685F"/>
    <w:rsid w:val="00A4686C"/>
    <w:rsid w:val="00A46C2D"/>
    <w:rsid w:val="00A46CFA"/>
    <w:rsid w:val="00A46D14"/>
    <w:rsid w:val="00A46EB1"/>
    <w:rsid w:val="00A4721E"/>
    <w:rsid w:val="00A47246"/>
    <w:rsid w:val="00A47406"/>
    <w:rsid w:val="00A47498"/>
    <w:rsid w:val="00A474B2"/>
    <w:rsid w:val="00A4754C"/>
    <w:rsid w:val="00A4794A"/>
    <w:rsid w:val="00A47955"/>
    <w:rsid w:val="00A47FC2"/>
    <w:rsid w:val="00A50216"/>
    <w:rsid w:val="00A50470"/>
    <w:rsid w:val="00A50B8E"/>
    <w:rsid w:val="00A50BCC"/>
    <w:rsid w:val="00A51072"/>
    <w:rsid w:val="00A511DE"/>
    <w:rsid w:val="00A513E5"/>
    <w:rsid w:val="00A5145C"/>
    <w:rsid w:val="00A514B3"/>
    <w:rsid w:val="00A515FB"/>
    <w:rsid w:val="00A5167A"/>
    <w:rsid w:val="00A51877"/>
    <w:rsid w:val="00A51D0E"/>
    <w:rsid w:val="00A51F0D"/>
    <w:rsid w:val="00A521B8"/>
    <w:rsid w:val="00A5223E"/>
    <w:rsid w:val="00A5230E"/>
    <w:rsid w:val="00A523C3"/>
    <w:rsid w:val="00A52601"/>
    <w:rsid w:val="00A5286D"/>
    <w:rsid w:val="00A529A8"/>
    <w:rsid w:val="00A52BC7"/>
    <w:rsid w:val="00A52C0F"/>
    <w:rsid w:val="00A52EB0"/>
    <w:rsid w:val="00A530EA"/>
    <w:rsid w:val="00A53152"/>
    <w:rsid w:val="00A531B5"/>
    <w:rsid w:val="00A531B7"/>
    <w:rsid w:val="00A53508"/>
    <w:rsid w:val="00A536D2"/>
    <w:rsid w:val="00A537FB"/>
    <w:rsid w:val="00A53845"/>
    <w:rsid w:val="00A5393C"/>
    <w:rsid w:val="00A539B2"/>
    <w:rsid w:val="00A53D42"/>
    <w:rsid w:val="00A540EA"/>
    <w:rsid w:val="00A540FD"/>
    <w:rsid w:val="00A541AE"/>
    <w:rsid w:val="00A54366"/>
    <w:rsid w:val="00A543F9"/>
    <w:rsid w:val="00A54460"/>
    <w:rsid w:val="00A54757"/>
    <w:rsid w:val="00A54AB7"/>
    <w:rsid w:val="00A54B8F"/>
    <w:rsid w:val="00A54F51"/>
    <w:rsid w:val="00A54F8B"/>
    <w:rsid w:val="00A550A2"/>
    <w:rsid w:val="00A55198"/>
    <w:rsid w:val="00A5521E"/>
    <w:rsid w:val="00A55266"/>
    <w:rsid w:val="00A5526B"/>
    <w:rsid w:val="00A5531E"/>
    <w:rsid w:val="00A55766"/>
    <w:rsid w:val="00A55F76"/>
    <w:rsid w:val="00A56103"/>
    <w:rsid w:val="00A56198"/>
    <w:rsid w:val="00A5665F"/>
    <w:rsid w:val="00A56977"/>
    <w:rsid w:val="00A569B4"/>
    <w:rsid w:val="00A56DD4"/>
    <w:rsid w:val="00A56E0B"/>
    <w:rsid w:val="00A571BE"/>
    <w:rsid w:val="00A57232"/>
    <w:rsid w:val="00A57A26"/>
    <w:rsid w:val="00A57AEF"/>
    <w:rsid w:val="00A57DA7"/>
    <w:rsid w:val="00A57F83"/>
    <w:rsid w:val="00A60401"/>
    <w:rsid w:val="00A6049F"/>
    <w:rsid w:val="00A60584"/>
    <w:rsid w:val="00A60BFC"/>
    <w:rsid w:val="00A60FAE"/>
    <w:rsid w:val="00A613DD"/>
    <w:rsid w:val="00A615B4"/>
    <w:rsid w:val="00A618E3"/>
    <w:rsid w:val="00A61B1A"/>
    <w:rsid w:val="00A61D8B"/>
    <w:rsid w:val="00A61EE1"/>
    <w:rsid w:val="00A61FAE"/>
    <w:rsid w:val="00A620CD"/>
    <w:rsid w:val="00A6226D"/>
    <w:rsid w:val="00A62499"/>
    <w:rsid w:val="00A627FC"/>
    <w:rsid w:val="00A62B7D"/>
    <w:rsid w:val="00A62CEC"/>
    <w:rsid w:val="00A62D9B"/>
    <w:rsid w:val="00A62EDA"/>
    <w:rsid w:val="00A62F82"/>
    <w:rsid w:val="00A6316B"/>
    <w:rsid w:val="00A63178"/>
    <w:rsid w:val="00A631C4"/>
    <w:rsid w:val="00A6321D"/>
    <w:rsid w:val="00A632E5"/>
    <w:rsid w:val="00A634DC"/>
    <w:rsid w:val="00A63509"/>
    <w:rsid w:val="00A635E2"/>
    <w:rsid w:val="00A6371F"/>
    <w:rsid w:val="00A63878"/>
    <w:rsid w:val="00A6389A"/>
    <w:rsid w:val="00A63981"/>
    <w:rsid w:val="00A63B6F"/>
    <w:rsid w:val="00A63CA1"/>
    <w:rsid w:val="00A64005"/>
    <w:rsid w:val="00A640D5"/>
    <w:rsid w:val="00A64365"/>
    <w:rsid w:val="00A64658"/>
    <w:rsid w:val="00A646CF"/>
    <w:rsid w:val="00A64972"/>
    <w:rsid w:val="00A64C43"/>
    <w:rsid w:val="00A64CC0"/>
    <w:rsid w:val="00A64EF9"/>
    <w:rsid w:val="00A64FD9"/>
    <w:rsid w:val="00A65061"/>
    <w:rsid w:val="00A65435"/>
    <w:rsid w:val="00A657D5"/>
    <w:rsid w:val="00A658E7"/>
    <w:rsid w:val="00A65AFA"/>
    <w:rsid w:val="00A65BEA"/>
    <w:rsid w:val="00A65CF0"/>
    <w:rsid w:val="00A65DD9"/>
    <w:rsid w:val="00A65E24"/>
    <w:rsid w:val="00A65F0D"/>
    <w:rsid w:val="00A6622B"/>
    <w:rsid w:val="00A662B5"/>
    <w:rsid w:val="00A66594"/>
    <w:rsid w:val="00A66B9B"/>
    <w:rsid w:val="00A66C4E"/>
    <w:rsid w:val="00A66C82"/>
    <w:rsid w:val="00A66CF3"/>
    <w:rsid w:val="00A66D9E"/>
    <w:rsid w:val="00A66FC2"/>
    <w:rsid w:val="00A6746F"/>
    <w:rsid w:val="00A67471"/>
    <w:rsid w:val="00A67A78"/>
    <w:rsid w:val="00A67B49"/>
    <w:rsid w:val="00A67D74"/>
    <w:rsid w:val="00A67E84"/>
    <w:rsid w:val="00A70033"/>
    <w:rsid w:val="00A7010B"/>
    <w:rsid w:val="00A701E8"/>
    <w:rsid w:val="00A70703"/>
    <w:rsid w:val="00A70A3C"/>
    <w:rsid w:val="00A70A4F"/>
    <w:rsid w:val="00A70B4C"/>
    <w:rsid w:val="00A70C59"/>
    <w:rsid w:val="00A70CE3"/>
    <w:rsid w:val="00A70D76"/>
    <w:rsid w:val="00A70FDC"/>
    <w:rsid w:val="00A71120"/>
    <w:rsid w:val="00A714A8"/>
    <w:rsid w:val="00A714CB"/>
    <w:rsid w:val="00A716A6"/>
    <w:rsid w:val="00A71AD1"/>
    <w:rsid w:val="00A71D0D"/>
    <w:rsid w:val="00A71ED6"/>
    <w:rsid w:val="00A72308"/>
    <w:rsid w:val="00A72350"/>
    <w:rsid w:val="00A7235C"/>
    <w:rsid w:val="00A7236A"/>
    <w:rsid w:val="00A724F2"/>
    <w:rsid w:val="00A72525"/>
    <w:rsid w:val="00A72569"/>
    <w:rsid w:val="00A72923"/>
    <w:rsid w:val="00A732E8"/>
    <w:rsid w:val="00A7337F"/>
    <w:rsid w:val="00A73390"/>
    <w:rsid w:val="00A7344A"/>
    <w:rsid w:val="00A734AD"/>
    <w:rsid w:val="00A735AE"/>
    <w:rsid w:val="00A73804"/>
    <w:rsid w:val="00A7385C"/>
    <w:rsid w:val="00A739D2"/>
    <w:rsid w:val="00A73A91"/>
    <w:rsid w:val="00A73C63"/>
    <w:rsid w:val="00A73CF1"/>
    <w:rsid w:val="00A73E39"/>
    <w:rsid w:val="00A73F51"/>
    <w:rsid w:val="00A73FA3"/>
    <w:rsid w:val="00A740EB"/>
    <w:rsid w:val="00A7412E"/>
    <w:rsid w:val="00A742FE"/>
    <w:rsid w:val="00A74457"/>
    <w:rsid w:val="00A74532"/>
    <w:rsid w:val="00A746BA"/>
    <w:rsid w:val="00A74B97"/>
    <w:rsid w:val="00A74EDB"/>
    <w:rsid w:val="00A75158"/>
    <w:rsid w:val="00A755E8"/>
    <w:rsid w:val="00A757D1"/>
    <w:rsid w:val="00A758FF"/>
    <w:rsid w:val="00A75ADA"/>
    <w:rsid w:val="00A75BE8"/>
    <w:rsid w:val="00A75D21"/>
    <w:rsid w:val="00A7619E"/>
    <w:rsid w:val="00A761E4"/>
    <w:rsid w:val="00A762BD"/>
    <w:rsid w:val="00A76682"/>
    <w:rsid w:val="00A766FE"/>
    <w:rsid w:val="00A76706"/>
    <w:rsid w:val="00A76938"/>
    <w:rsid w:val="00A76CCD"/>
    <w:rsid w:val="00A76D15"/>
    <w:rsid w:val="00A76ECE"/>
    <w:rsid w:val="00A76EE1"/>
    <w:rsid w:val="00A7713E"/>
    <w:rsid w:val="00A77267"/>
    <w:rsid w:val="00A7732C"/>
    <w:rsid w:val="00A77678"/>
    <w:rsid w:val="00A7773B"/>
    <w:rsid w:val="00A77791"/>
    <w:rsid w:val="00A77BC8"/>
    <w:rsid w:val="00A77D75"/>
    <w:rsid w:val="00A77FE8"/>
    <w:rsid w:val="00A80013"/>
    <w:rsid w:val="00A8033D"/>
    <w:rsid w:val="00A80351"/>
    <w:rsid w:val="00A803AB"/>
    <w:rsid w:val="00A803F9"/>
    <w:rsid w:val="00A8050D"/>
    <w:rsid w:val="00A80578"/>
    <w:rsid w:val="00A805E0"/>
    <w:rsid w:val="00A8086F"/>
    <w:rsid w:val="00A809D9"/>
    <w:rsid w:val="00A80AC2"/>
    <w:rsid w:val="00A80D1A"/>
    <w:rsid w:val="00A80DB5"/>
    <w:rsid w:val="00A812E8"/>
    <w:rsid w:val="00A81310"/>
    <w:rsid w:val="00A814BC"/>
    <w:rsid w:val="00A8163A"/>
    <w:rsid w:val="00A818E0"/>
    <w:rsid w:val="00A81A1B"/>
    <w:rsid w:val="00A81BA4"/>
    <w:rsid w:val="00A81D42"/>
    <w:rsid w:val="00A81FBF"/>
    <w:rsid w:val="00A820AD"/>
    <w:rsid w:val="00A8212F"/>
    <w:rsid w:val="00A82190"/>
    <w:rsid w:val="00A82202"/>
    <w:rsid w:val="00A82263"/>
    <w:rsid w:val="00A823E8"/>
    <w:rsid w:val="00A82540"/>
    <w:rsid w:val="00A82587"/>
    <w:rsid w:val="00A826C0"/>
    <w:rsid w:val="00A8271B"/>
    <w:rsid w:val="00A828DC"/>
    <w:rsid w:val="00A82BC9"/>
    <w:rsid w:val="00A82BEE"/>
    <w:rsid w:val="00A82E1E"/>
    <w:rsid w:val="00A83062"/>
    <w:rsid w:val="00A831AB"/>
    <w:rsid w:val="00A832B7"/>
    <w:rsid w:val="00A8362E"/>
    <w:rsid w:val="00A8366F"/>
    <w:rsid w:val="00A836FE"/>
    <w:rsid w:val="00A8393E"/>
    <w:rsid w:val="00A83BD6"/>
    <w:rsid w:val="00A83BE5"/>
    <w:rsid w:val="00A83C9D"/>
    <w:rsid w:val="00A83E8B"/>
    <w:rsid w:val="00A83F2B"/>
    <w:rsid w:val="00A84383"/>
    <w:rsid w:val="00A8449C"/>
    <w:rsid w:val="00A84586"/>
    <w:rsid w:val="00A846E8"/>
    <w:rsid w:val="00A84835"/>
    <w:rsid w:val="00A848FA"/>
    <w:rsid w:val="00A84916"/>
    <w:rsid w:val="00A84934"/>
    <w:rsid w:val="00A849F7"/>
    <w:rsid w:val="00A84A2C"/>
    <w:rsid w:val="00A84ADF"/>
    <w:rsid w:val="00A84B21"/>
    <w:rsid w:val="00A84CC4"/>
    <w:rsid w:val="00A84CC8"/>
    <w:rsid w:val="00A84DC0"/>
    <w:rsid w:val="00A84E15"/>
    <w:rsid w:val="00A85071"/>
    <w:rsid w:val="00A8569B"/>
    <w:rsid w:val="00A856BB"/>
    <w:rsid w:val="00A85722"/>
    <w:rsid w:val="00A85D2A"/>
    <w:rsid w:val="00A85DAE"/>
    <w:rsid w:val="00A85DC9"/>
    <w:rsid w:val="00A860D6"/>
    <w:rsid w:val="00A8630A"/>
    <w:rsid w:val="00A8631C"/>
    <w:rsid w:val="00A8648D"/>
    <w:rsid w:val="00A864D2"/>
    <w:rsid w:val="00A864F5"/>
    <w:rsid w:val="00A86588"/>
    <w:rsid w:val="00A86687"/>
    <w:rsid w:val="00A866B2"/>
    <w:rsid w:val="00A868DA"/>
    <w:rsid w:val="00A86A0A"/>
    <w:rsid w:val="00A86FDD"/>
    <w:rsid w:val="00A871EF"/>
    <w:rsid w:val="00A877A9"/>
    <w:rsid w:val="00A8781A"/>
    <w:rsid w:val="00A878C1"/>
    <w:rsid w:val="00A87B08"/>
    <w:rsid w:val="00A87DE1"/>
    <w:rsid w:val="00A87DE3"/>
    <w:rsid w:val="00A90426"/>
    <w:rsid w:val="00A9061D"/>
    <w:rsid w:val="00A90627"/>
    <w:rsid w:val="00A90654"/>
    <w:rsid w:val="00A906A6"/>
    <w:rsid w:val="00A908B0"/>
    <w:rsid w:val="00A90BA9"/>
    <w:rsid w:val="00A90CC9"/>
    <w:rsid w:val="00A90E73"/>
    <w:rsid w:val="00A9115C"/>
    <w:rsid w:val="00A913D3"/>
    <w:rsid w:val="00A91615"/>
    <w:rsid w:val="00A916D0"/>
    <w:rsid w:val="00A917EA"/>
    <w:rsid w:val="00A91C79"/>
    <w:rsid w:val="00A91D31"/>
    <w:rsid w:val="00A923F9"/>
    <w:rsid w:val="00A92649"/>
    <w:rsid w:val="00A92900"/>
    <w:rsid w:val="00A92BE3"/>
    <w:rsid w:val="00A92DCF"/>
    <w:rsid w:val="00A92EA9"/>
    <w:rsid w:val="00A92EC2"/>
    <w:rsid w:val="00A93002"/>
    <w:rsid w:val="00A9314B"/>
    <w:rsid w:val="00A935E6"/>
    <w:rsid w:val="00A936C6"/>
    <w:rsid w:val="00A93890"/>
    <w:rsid w:val="00A93987"/>
    <w:rsid w:val="00A93CB4"/>
    <w:rsid w:val="00A93DC6"/>
    <w:rsid w:val="00A940C4"/>
    <w:rsid w:val="00A941B5"/>
    <w:rsid w:val="00A94209"/>
    <w:rsid w:val="00A942DC"/>
    <w:rsid w:val="00A94301"/>
    <w:rsid w:val="00A94576"/>
    <w:rsid w:val="00A94857"/>
    <w:rsid w:val="00A9485E"/>
    <w:rsid w:val="00A94A89"/>
    <w:rsid w:val="00A94CA7"/>
    <w:rsid w:val="00A94D72"/>
    <w:rsid w:val="00A94D7D"/>
    <w:rsid w:val="00A9507F"/>
    <w:rsid w:val="00A950AF"/>
    <w:rsid w:val="00A95497"/>
    <w:rsid w:val="00A95ED7"/>
    <w:rsid w:val="00A960DB"/>
    <w:rsid w:val="00A96180"/>
    <w:rsid w:val="00A96252"/>
    <w:rsid w:val="00A963E3"/>
    <w:rsid w:val="00A963F0"/>
    <w:rsid w:val="00A966B8"/>
    <w:rsid w:val="00A96704"/>
    <w:rsid w:val="00A96B8A"/>
    <w:rsid w:val="00A96BD2"/>
    <w:rsid w:val="00A96D39"/>
    <w:rsid w:val="00A96D46"/>
    <w:rsid w:val="00A96FAF"/>
    <w:rsid w:val="00A96FD9"/>
    <w:rsid w:val="00A971E4"/>
    <w:rsid w:val="00A972EC"/>
    <w:rsid w:val="00A97489"/>
    <w:rsid w:val="00A975E8"/>
    <w:rsid w:val="00A979E9"/>
    <w:rsid w:val="00A97A44"/>
    <w:rsid w:val="00A97B69"/>
    <w:rsid w:val="00A97D55"/>
    <w:rsid w:val="00A97F89"/>
    <w:rsid w:val="00AA036D"/>
    <w:rsid w:val="00AA0639"/>
    <w:rsid w:val="00AA063B"/>
    <w:rsid w:val="00AA098B"/>
    <w:rsid w:val="00AA09C9"/>
    <w:rsid w:val="00AA0A95"/>
    <w:rsid w:val="00AA0BF4"/>
    <w:rsid w:val="00AA0D43"/>
    <w:rsid w:val="00AA0DD6"/>
    <w:rsid w:val="00AA0DE1"/>
    <w:rsid w:val="00AA11FD"/>
    <w:rsid w:val="00AA129C"/>
    <w:rsid w:val="00AA130E"/>
    <w:rsid w:val="00AA144D"/>
    <w:rsid w:val="00AA14AF"/>
    <w:rsid w:val="00AA1597"/>
    <w:rsid w:val="00AA15CF"/>
    <w:rsid w:val="00AA1755"/>
    <w:rsid w:val="00AA17E2"/>
    <w:rsid w:val="00AA196B"/>
    <w:rsid w:val="00AA1A07"/>
    <w:rsid w:val="00AA1B03"/>
    <w:rsid w:val="00AA1BD0"/>
    <w:rsid w:val="00AA1F72"/>
    <w:rsid w:val="00AA207C"/>
    <w:rsid w:val="00AA211C"/>
    <w:rsid w:val="00AA213D"/>
    <w:rsid w:val="00AA230F"/>
    <w:rsid w:val="00AA25BF"/>
    <w:rsid w:val="00AA26BE"/>
    <w:rsid w:val="00AA28D0"/>
    <w:rsid w:val="00AA2906"/>
    <w:rsid w:val="00AA292D"/>
    <w:rsid w:val="00AA2933"/>
    <w:rsid w:val="00AA2CB4"/>
    <w:rsid w:val="00AA2CCD"/>
    <w:rsid w:val="00AA2D47"/>
    <w:rsid w:val="00AA2DCF"/>
    <w:rsid w:val="00AA2EB7"/>
    <w:rsid w:val="00AA301A"/>
    <w:rsid w:val="00AA3095"/>
    <w:rsid w:val="00AA35CC"/>
    <w:rsid w:val="00AA3AA9"/>
    <w:rsid w:val="00AA4166"/>
    <w:rsid w:val="00AA4783"/>
    <w:rsid w:val="00AA4CC1"/>
    <w:rsid w:val="00AA50E6"/>
    <w:rsid w:val="00AA5112"/>
    <w:rsid w:val="00AA5304"/>
    <w:rsid w:val="00AA5333"/>
    <w:rsid w:val="00AA55BC"/>
    <w:rsid w:val="00AA561D"/>
    <w:rsid w:val="00AA56E3"/>
    <w:rsid w:val="00AA5A14"/>
    <w:rsid w:val="00AA5A1A"/>
    <w:rsid w:val="00AA5A8E"/>
    <w:rsid w:val="00AA5B79"/>
    <w:rsid w:val="00AA5C8D"/>
    <w:rsid w:val="00AA5CD0"/>
    <w:rsid w:val="00AA5FB1"/>
    <w:rsid w:val="00AA606D"/>
    <w:rsid w:val="00AA67B8"/>
    <w:rsid w:val="00AA695A"/>
    <w:rsid w:val="00AA6D85"/>
    <w:rsid w:val="00AA6F21"/>
    <w:rsid w:val="00AA6F3C"/>
    <w:rsid w:val="00AA6FD1"/>
    <w:rsid w:val="00AA70D6"/>
    <w:rsid w:val="00AA711F"/>
    <w:rsid w:val="00AA7149"/>
    <w:rsid w:val="00AA7553"/>
    <w:rsid w:val="00AA7597"/>
    <w:rsid w:val="00AA76C6"/>
    <w:rsid w:val="00AA7914"/>
    <w:rsid w:val="00AA7A7E"/>
    <w:rsid w:val="00AA7B71"/>
    <w:rsid w:val="00AA7E12"/>
    <w:rsid w:val="00AA7F2C"/>
    <w:rsid w:val="00AB0113"/>
    <w:rsid w:val="00AB0189"/>
    <w:rsid w:val="00AB01AB"/>
    <w:rsid w:val="00AB01C6"/>
    <w:rsid w:val="00AB0362"/>
    <w:rsid w:val="00AB0579"/>
    <w:rsid w:val="00AB0644"/>
    <w:rsid w:val="00AB0753"/>
    <w:rsid w:val="00AB0944"/>
    <w:rsid w:val="00AB0A87"/>
    <w:rsid w:val="00AB0ABE"/>
    <w:rsid w:val="00AB0C84"/>
    <w:rsid w:val="00AB0FA9"/>
    <w:rsid w:val="00AB108B"/>
    <w:rsid w:val="00AB1256"/>
    <w:rsid w:val="00AB1495"/>
    <w:rsid w:val="00AB15BB"/>
    <w:rsid w:val="00AB165C"/>
    <w:rsid w:val="00AB17E9"/>
    <w:rsid w:val="00AB18C0"/>
    <w:rsid w:val="00AB1A31"/>
    <w:rsid w:val="00AB1E4E"/>
    <w:rsid w:val="00AB1F76"/>
    <w:rsid w:val="00AB1FBC"/>
    <w:rsid w:val="00AB1FE0"/>
    <w:rsid w:val="00AB2066"/>
    <w:rsid w:val="00AB221F"/>
    <w:rsid w:val="00AB25E9"/>
    <w:rsid w:val="00AB2DDF"/>
    <w:rsid w:val="00AB2DF0"/>
    <w:rsid w:val="00AB2E09"/>
    <w:rsid w:val="00AB2F93"/>
    <w:rsid w:val="00AB2FF0"/>
    <w:rsid w:val="00AB31BD"/>
    <w:rsid w:val="00AB3628"/>
    <w:rsid w:val="00AB3761"/>
    <w:rsid w:val="00AB4173"/>
    <w:rsid w:val="00AB41E1"/>
    <w:rsid w:val="00AB42D0"/>
    <w:rsid w:val="00AB43A4"/>
    <w:rsid w:val="00AB4476"/>
    <w:rsid w:val="00AB455B"/>
    <w:rsid w:val="00AB4579"/>
    <w:rsid w:val="00AB4676"/>
    <w:rsid w:val="00AB46A7"/>
    <w:rsid w:val="00AB4717"/>
    <w:rsid w:val="00AB47C7"/>
    <w:rsid w:val="00AB4878"/>
    <w:rsid w:val="00AB490D"/>
    <w:rsid w:val="00AB4A02"/>
    <w:rsid w:val="00AB4A1B"/>
    <w:rsid w:val="00AB4A5B"/>
    <w:rsid w:val="00AB4BE3"/>
    <w:rsid w:val="00AB4D46"/>
    <w:rsid w:val="00AB4F5E"/>
    <w:rsid w:val="00AB50F0"/>
    <w:rsid w:val="00AB5121"/>
    <w:rsid w:val="00AB51A8"/>
    <w:rsid w:val="00AB5202"/>
    <w:rsid w:val="00AB588A"/>
    <w:rsid w:val="00AB59FF"/>
    <w:rsid w:val="00AB5A7E"/>
    <w:rsid w:val="00AB5A8D"/>
    <w:rsid w:val="00AB5CEB"/>
    <w:rsid w:val="00AB5E48"/>
    <w:rsid w:val="00AB5F0E"/>
    <w:rsid w:val="00AB624E"/>
    <w:rsid w:val="00AB6252"/>
    <w:rsid w:val="00AB6713"/>
    <w:rsid w:val="00AB67F7"/>
    <w:rsid w:val="00AB6A87"/>
    <w:rsid w:val="00AB6D49"/>
    <w:rsid w:val="00AB6E31"/>
    <w:rsid w:val="00AB6F40"/>
    <w:rsid w:val="00AB6F8C"/>
    <w:rsid w:val="00AB6FFB"/>
    <w:rsid w:val="00AB706E"/>
    <w:rsid w:val="00AB70BE"/>
    <w:rsid w:val="00AB7167"/>
    <w:rsid w:val="00AB71C7"/>
    <w:rsid w:val="00AB7268"/>
    <w:rsid w:val="00AB72C3"/>
    <w:rsid w:val="00AB7671"/>
    <w:rsid w:val="00AB7725"/>
    <w:rsid w:val="00AB775E"/>
    <w:rsid w:val="00AB7AA0"/>
    <w:rsid w:val="00AB7AB5"/>
    <w:rsid w:val="00AB7B6F"/>
    <w:rsid w:val="00AB7FB9"/>
    <w:rsid w:val="00AC0011"/>
    <w:rsid w:val="00AC01E6"/>
    <w:rsid w:val="00AC0323"/>
    <w:rsid w:val="00AC06F7"/>
    <w:rsid w:val="00AC0AAF"/>
    <w:rsid w:val="00AC0B29"/>
    <w:rsid w:val="00AC0D6F"/>
    <w:rsid w:val="00AC0DAA"/>
    <w:rsid w:val="00AC0EA8"/>
    <w:rsid w:val="00AC12AF"/>
    <w:rsid w:val="00AC1432"/>
    <w:rsid w:val="00AC1468"/>
    <w:rsid w:val="00AC152F"/>
    <w:rsid w:val="00AC159F"/>
    <w:rsid w:val="00AC16DF"/>
    <w:rsid w:val="00AC183D"/>
    <w:rsid w:val="00AC1A35"/>
    <w:rsid w:val="00AC1A9F"/>
    <w:rsid w:val="00AC1CE5"/>
    <w:rsid w:val="00AC1D9D"/>
    <w:rsid w:val="00AC1DD4"/>
    <w:rsid w:val="00AC1E0A"/>
    <w:rsid w:val="00AC1ECF"/>
    <w:rsid w:val="00AC1FD7"/>
    <w:rsid w:val="00AC24C4"/>
    <w:rsid w:val="00AC2578"/>
    <w:rsid w:val="00AC2843"/>
    <w:rsid w:val="00AC285F"/>
    <w:rsid w:val="00AC2A7C"/>
    <w:rsid w:val="00AC2AE1"/>
    <w:rsid w:val="00AC2C24"/>
    <w:rsid w:val="00AC2C4F"/>
    <w:rsid w:val="00AC2D0B"/>
    <w:rsid w:val="00AC3046"/>
    <w:rsid w:val="00AC30D3"/>
    <w:rsid w:val="00AC30F6"/>
    <w:rsid w:val="00AC362A"/>
    <w:rsid w:val="00AC363A"/>
    <w:rsid w:val="00AC3742"/>
    <w:rsid w:val="00AC386A"/>
    <w:rsid w:val="00AC3AEE"/>
    <w:rsid w:val="00AC3B02"/>
    <w:rsid w:val="00AC3B41"/>
    <w:rsid w:val="00AC3E90"/>
    <w:rsid w:val="00AC4372"/>
    <w:rsid w:val="00AC438B"/>
    <w:rsid w:val="00AC49A2"/>
    <w:rsid w:val="00AC4B94"/>
    <w:rsid w:val="00AC4DB0"/>
    <w:rsid w:val="00AC4DB8"/>
    <w:rsid w:val="00AC4F40"/>
    <w:rsid w:val="00AC5137"/>
    <w:rsid w:val="00AC5162"/>
    <w:rsid w:val="00AC517B"/>
    <w:rsid w:val="00AC53D2"/>
    <w:rsid w:val="00AC5538"/>
    <w:rsid w:val="00AC56FF"/>
    <w:rsid w:val="00AC57DD"/>
    <w:rsid w:val="00AC58B9"/>
    <w:rsid w:val="00AC5925"/>
    <w:rsid w:val="00AC5ABC"/>
    <w:rsid w:val="00AC5BA2"/>
    <w:rsid w:val="00AC5C42"/>
    <w:rsid w:val="00AC6076"/>
    <w:rsid w:val="00AC63D0"/>
    <w:rsid w:val="00AC63DF"/>
    <w:rsid w:val="00AC64DE"/>
    <w:rsid w:val="00AC656A"/>
    <w:rsid w:val="00AC67A1"/>
    <w:rsid w:val="00AC6840"/>
    <w:rsid w:val="00AC6BAF"/>
    <w:rsid w:val="00AC7053"/>
    <w:rsid w:val="00AC7087"/>
    <w:rsid w:val="00AC7146"/>
    <w:rsid w:val="00AC71E8"/>
    <w:rsid w:val="00AC7238"/>
    <w:rsid w:val="00AC7292"/>
    <w:rsid w:val="00AC729E"/>
    <w:rsid w:val="00AC73F3"/>
    <w:rsid w:val="00AC7802"/>
    <w:rsid w:val="00AC7967"/>
    <w:rsid w:val="00AC7A8B"/>
    <w:rsid w:val="00AC7B8B"/>
    <w:rsid w:val="00AC7BCB"/>
    <w:rsid w:val="00AC7D72"/>
    <w:rsid w:val="00AC7ECF"/>
    <w:rsid w:val="00AC7EE5"/>
    <w:rsid w:val="00AC7F1B"/>
    <w:rsid w:val="00AC7FBF"/>
    <w:rsid w:val="00AD05C2"/>
    <w:rsid w:val="00AD066A"/>
    <w:rsid w:val="00AD069A"/>
    <w:rsid w:val="00AD06FE"/>
    <w:rsid w:val="00AD0810"/>
    <w:rsid w:val="00AD0982"/>
    <w:rsid w:val="00AD0C90"/>
    <w:rsid w:val="00AD0DB1"/>
    <w:rsid w:val="00AD0DB4"/>
    <w:rsid w:val="00AD0F19"/>
    <w:rsid w:val="00AD1059"/>
    <w:rsid w:val="00AD129D"/>
    <w:rsid w:val="00AD13F3"/>
    <w:rsid w:val="00AD1BAE"/>
    <w:rsid w:val="00AD1CAC"/>
    <w:rsid w:val="00AD1CB7"/>
    <w:rsid w:val="00AD1D64"/>
    <w:rsid w:val="00AD22C3"/>
    <w:rsid w:val="00AD2359"/>
    <w:rsid w:val="00AD25EF"/>
    <w:rsid w:val="00AD2761"/>
    <w:rsid w:val="00AD27EF"/>
    <w:rsid w:val="00AD286C"/>
    <w:rsid w:val="00AD287B"/>
    <w:rsid w:val="00AD28DF"/>
    <w:rsid w:val="00AD2D19"/>
    <w:rsid w:val="00AD2E66"/>
    <w:rsid w:val="00AD2FF6"/>
    <w:rsid w:val="00AD2FF7"/>
    <w:rsid w:val="00AD3417"/>
    <w:rsid w:val="00AD3955"/>
    <w:rsid w:val="00AD3A1C"/>
    <w:rsid w:val="00AD3D02"/>
    <w:rsid w:val="00AD3D97"/>
    <w:rsid w:val="00AD3E06"/>
    <w:rsid w:val="00AD3E54"/>
    <w:rsid w:val="00AD3EB4"/>
    <w:rsid w:val="00AD4251"/>
    <w:rsid w:val="00AD434A"/>
    <w:rsid w:val="00AD441C"/>
    <w:rsid w:val="00AD45BB"/>
    <w:rsid w:val="00AD46F9"/>
    <w:rsid w:val="00AD479D"/>
    <w:rsid w:val="00AD47D8"/>
    <w:rsid w:val="00AD48F4"/>
    <w:rsid w:val="00AD49E7"/>
    <w:rsid w:val="00AD4A96"/>
    <w:rsid w:val="00AD4B33"/>
    <w:rsid w:val="00AD4C9E"/>
    <w:rsid w:val="00AD4CAC"/>
    <w:rsid w:val="00AD4DE0"/>
    <w:rsid w:val="00AD4E3A"/>
    <w:rsid w:val="00AD4F8C"/>
    <w:rsid w:val="00AD500F"/>
    <w:rsid w:val="00AD51C1"/>
    <w:rsid w:val="00AD5212"/>
    <w:rsid w:val="00AD541D"/>
    <w:rsid w:val="00AD5497"/>
    <w:rsid w:val="00AD5526"/>
    <w:rsid w:val="00AD578C"/>
    <w:rsid w:val="00AD57C9"/>
    <w:rsid w:val="00AD5A02"/>
    <w:rsid w:val="00AD5E04"/>
    <w:rsid w:val="00AD5F41"/>
    <w:rsid w:val="00AD626D"/>
    <w:rsid w:val="00AD6290"/>
    <w:rsid w:val="00AD6508"/>
    <w:rsid w:val="00AD65AA"/>
    <w:rsid w:val="00AD69D9"/>
    <w:rsid w:val="00AD69F2"/>
    <w:rsid w:val="00AD6C6C"/>
    <w:rsid w:val="00AD6F12"/>
    <w:rsid w:val="00AD6F31"/>
    <w:rsid w:val="00AD6F53"/>
    <w:rsid w:val="00AD6FC3"/>
    <w:rsid w:val="00AD70F5"/>
    <w:rsid w:val="00AD74E2"/>
    <w:rsid w:val="00AD7558"/>
    <w:rsid w:val="00AD75D0"/>
    <w:rsid w:val="00AD76CF"/>
    <w:rsid w:val="00AD7730"/>
    <w:rsid w:val="00AD7935"/>
    <w:rsid w:val="00AD7CE0"/>
    <w:rsid w:val="00AD7CEC"/>
    <w:rsid w:val="00AE00D9"/>
    <w:rsid w:val="00AE01D8"/>
    <w:rsid w:val="00AE054D"/>
    <w:rsid w:val="00AE06AC"/>
    <w:rsid w:val="00AE0758"/>
    <w:rsid w:val="00AE0FD5"/>
    <w:rsid w:val="00AE11A3"/>
    <w:rsid w:val="00AE1377"/>
    <w:rsid w:val="00AE14C1"/>
    <w:rsid w:val="00AE16C5"/>
    <w:rsid w:val="00AE18EF"/>
    <w:rsid w:val="00AE18FD"/>
    <w:rsid w:val="00AE1974"/>
    <w:rsid w:val="00AE1A02"/>
    <w:rsid w:val="00AE1A03"/>
    <w:rsid w:val="00AE1A1D"/>
    <w:rsid w:val="00AE1ADE"/>
    <w:rsid w:val="00AE1B92"/>
    <w:rsid w:val="00AE1B9C"/>
    <w:rsid w:val="00AE1D8D"/>
    <w:rsid w:val="00AE1F86"/>
    <w:rsid w:val="00AE240E"/>
    <w:rsid w:val="00AE273A"/>
    <w:rsid w:val="00AE297A"/>
    <w:rsid w:val="00AE298D"/>
    <w:rsid w:val="00AE29AA"/>
    <w:rsid w:val="00AE3260"/>
    <w:rsid w:val="00AE335F"/>
    <w:rsid w:val="00AE3413"/>
    <w:rsid w:val="00AE3443"/>
    <w:rsid w:val="00AE346A"/>
    <w:rsid w:val="00AE351C"/>
    <w:rsid w:val="00AE364D"/>
    <w:rsid w:val="00AE3C72"/>
    <w:rsid w:val="00AE3CEE"/>
    <w:rsid w:val="00AE400D"/>
    <w:rsid w:val="00AE4034"/>
    <w:rsid w:val="00AE40A4"/>
    <w:rsid w:val="00AE422E"/>
    <w:rsid w:val="00AE4380"/>
    <w:rsid w:val="00AE43CE"/>
    <w:rsid w:val="00AE4941"/>
    <w:rsid w:val="00AE4AF0"/>
    <w:rsid w:val="00AE4CFC"/>
    <w:rsid w:val="00AE5025"/>
    <w:rsid w:val="00AE506A"/>
    <w:rsid w:val="00AE56CF"/>
    <w:rsid w:val="00AE58A5"/>
    <w:rsid w:val="00AE5BFE"/>
    <w:rsid w:val="00AE5E97"/>
    <w:rsid w:val="00AE63C2"/>
    <w:rsid w:val="00AE6611"/>
    <w:rsid w:val="00AE68BC"/>
    <w:rsid w:val="00AE6943"/>
    <w:rsid w:val="00AE6971"/>
    <w:rsid w:val="00AE6A6A"/>
    <w:rsid w:val="00AE6D6C"/>
    <w:rsid w:val="00AE701C"/>
    <w:rsid w:val="00AE7644"/>
    <w:rsid w:val="00AE7AC2"/>
    <w:rsid w:val="00AE7BB8"/>
    <w:rsid w:val="00AE7DA7"/>
    <w:rsid w:val="00AE7ED3"/>
    <w:rsid w:val="00AE7F42"/>
    <w:rsid w:val="00AF01FE"/>
    <w:rsid w:val="00AF027B"/>
    <w:rsid w:val="00AF0391"/>
    <w:rsid w:val="00AF0580"/>
    <w:rsid w:val="00AF0922"/>
    <w:rsid w:val="00AF09B5"/>
    <w:rsid w:val="00AF0B2C"/>
    <w:rsid w:val="00AF10B2"/>
    <w:rsid w:val="00AF1279"/>
    <w:rsid w:val="00AF1961"/>
    <w:rsid w:val="00AF1AF8"/>
    <w:rsid w:val="00AF1B01"/>
    <w:rsid w:val="00AF1B9B"/>
    <w:rsid w:val="00AF2001"/>
    <w:rsid w:val="00AF232F"/>
    <w:rsid w:val="00AF2569"/>
    <w:rsid w:val="00AF2597"/>
    <w:rsid w:val="00AF25F4"/>
    <w:rsid w:val="00AF280A"/>
    <w:rsid w:val="00AF2B4B"/>
    <w:rsid w:val="00AF2B99"/>
    <w:rsid w:val="00AF2D1A"/>
    <w:rsid w:val="00AF359E"/>
    <w:rsid w:val="00AF3675"/>
    <w:rsid w:val="00AF376D"/>
    <w:rsid w:val="00AF3907"/>
    <w:rsid w:val="00AF3915"/>
    <w:rsid w:val="00AF3C73"/>
    <w:rsid w:val="00AF3D4A"/>
    <w:rsid w:val="00AF3E8C"/>
    <w:rsid w:val="00AF3FD3"/>
    <w:rsid w:val="00AF4028"/>
    <w:rsid w:val="00AF411E"/>
    <w:rsid w:val="00AF413E"/>
    <w:rsid w:val="00AF456D"/>
    <w:rsid w:val="00AF4837"/>
    <w:rsid w:val="00AF49AA"/>
    <w:rsid w:val="00AF49E8"/>
    <w:rsid w:val="00AF4B53"/>
    <w:rsid w:val="00AF4BAE"/>
    <w:rsid w:val="00AF4C8D"/>
    <w:rsid w:val="00AF4D04"/>
    <w:rsid w:val="00AF4E0E"/>
    <w:rsid w:val="00AF4F3F"/>
    <w:rsid w:val="00AF5484"/>
    <w:rsid w:val="00AF575B"/>
    <w:rsid w:val="00AF5B4A"/>
    <w:rsid w:val="00AF5B60"/>
    <w:rsid w:val="00AF5BAC"/>
    <w:rsid w:val="00AF5BF7"/>
    <w:rsid w:val="00AF6692"/>
    <w:rsid w:val="00AF6709"/>
    <w:rsid w:val="00AF6921"/>
    <w:rsid w:val="00AF6CE6"/>
    <w:rsid w:val="00AF6D01"/>
    <w:rsid w:val="00AF6F6E"/>
    <w:rsid w:val="00AF702D"/>
    <w:rsid w:val="00AF7348"/>
    <w:rsid w:val="00AF7842"/>
    <w:rsid w:val="00AF787C"/>
    <w:rsid w:val="00AF798E"/>
    <w:rsid w:val="00AF7B21"/>
    <w:rsid w:val="00AF7B40"/>
    <w:rsid w:val="00AF7D6C"/>
    <w:rsid w:val="00B00260"/>
    <w:rsid w:val="00B00369"/>
    <w:rsid w:val="00B005B9"/>
    <w:rsid w:val="00B007FD"/>
    <w:rsid w:val="00B00A24"/>
    <w:rsid w:val="00B00AFB"/>
    <w:rsid w:val="00B00CAB"/>
    <w:rsid w:val="00B00D3B"/>
    <w:rsid w:val="00B00E2C"/>
    <w:rsid w:val="00B01046"/>
    <w:rsid w:val="00B01228"/>
    <w:rsid w:val="00B015FB"/>
    <w:rsid w:val="00B016FF"/>
    <w:rsid w:val="00B017B0"/>
    <w:rsid w:val="00B017EF"/>
    <w:rsid w:val="00B01836"/>
    <w:rsid w:val="00B01AAE"/>
    <w:rsid w:val="00B01AD6"/>
    <w:rsid w:val="00B01B0F"/>
    <w:rsid w:val="00B01CED"/>
    <w:rsid w:val="00B01E37"/>
    <w:rsid w:val="00B02172"/>
    <w:rsid w:val="00B0218A"/>
    <w:rsid w:val="00B022CE"/>
    <w:rsid w:val="00B02354"/>
    <w:rsid w:val="00B0235F"/>
    <w:rsid w:val="00B02612"/>
    <w:rsid w:val="00B028AC"/>
    <w:rsid w:val="00B02EB5"/>
    <w:rsid w:val="00B03025"/>
    <w:rsid w:val="00B03207"/>
    <w:rsid w:val="00B0327C"/>
    <w:rsid w:val="00B03438"/>
    <w:rsid w:val="00B035E4"/>
    <w:rsid w:val="00B03668"/>
    <w:rsid w:val="00B036A5"/>
    <w:rsid w:val="00B03740"/>
    <w:rsid w:val="00B037EF"/>
    <w:rsid w:val="00B0393F"/>
    <w:rsid w:val="00B03D41"/>
    <w:rsid w:val="00B040FA"/>
    <w:rsid w:val="00B0444E"/>
    <w:rsid w:val="00B0455C"/>
    <w:rsid w:val="00B046A2"/>
    <w:rsid w:val="00B04EF2"/>
    <w:rsid w:val="00B04F3C"/>
    <w:rsid w:val="00B04F6E"/>
    <w:rsid w:val="00B0505E"/>
    <w:rsid w:val="00B05182"/>
    <w:rsid w:val="00B05205"/>
    <w:rsid w:val="00B052C0"/>
    <w:rsid w:val="00B0532A"/>
    <w:rsid w:val="00B05336"/>
    <w:rsid w:val="00B0538D"/>
    <w:rsid w:val="00B057B0"/>
    <w:rsid w:val="00B05A8C"/>
    <w:rsid w:val="00B06128"/>
    <w:rsid w:val="00B062A8"/>
    <w:rsid w:val="00B065A4"/>
    <w:rsid w:val="00B065A9"/>
    <w:rsid w:val="00B06AE7"/>
    <w:rsid w:val="00B0710D"/>
    <w:rsid w:val="00B0736A"/>
    <w:rsid w:val="00B0741E"/>
    <w:rsid w:val="00B074D0"/>
    <w:rsid w:val="00B0763A"/>
    <w:rsid w:val="00B07A60"/>
    <w:rsid w:val="00B07AF6"/>
    <w:rsid w:val="00B07B0D"/>
    <w:rsid w:val="00B07BB9"/>
    <w:rsid w:val="00B07C57"/>
    <w:rsid w:val="00B07F59"/>
    <w:rsid w:val="00B1014C"/>
    <w:rsid w:val="00B103DA"/>
    <w:rsid w:val="00B10830"/>
    <w:rsid w:val="00B10A3E"/>
    <w:rsid w:val="00B10AA0"/>
    <w:rsid w:val="00B10D59"/>
    <w:rsid w:val="00B10FB7"/>
    <w:rsid w:val="00B1136C"/>
    <w:rsid w:val="00B1153A"/>
    <w:rsid w:val="00B11596"/>
    <w:rsid w:val="00B11641"/>
    <w:rsid w:val="00B1177E"/>
    <w:rsid w:val="00B11886"/>
    <w:rsid w:val="00B11897"/>
    <w:rsid w:val="00B11B3E"/>
    <w:rsid w:val="00B11CE3"/>
    <w:rsid w:val="00B11D46"/>
    <w:rsid w:val="00B11E0C"/>
    <w:rsid w:val="00B11E4E"/>
    <w:rsid w:val="00B120E6"/>
    <w:rsid w:val="00B12251"/>
    <w:rsid w:val="00B1262F"/>
    <w:rsid w:val="00B12991"/>
    <w:rsid w:val="00B12A03"/>
    <w:rsid w:val="00B12B63"/>
    <w:rsid w:val="00B12C85"/>
    <w:rsid w:val="00B12EA0"/>
    <w:rsid w:val="00B12EEF"/>
    <w:rsid w:val="00B12F3E"/>
    <w:rsid w:val="00B12FE3"/>
    <w:rsid w:val="00B13405"/>
    <w:rsid w:val="00B13407"/>
    <w:rsid w:val="00B134F9"/>
    <w:rsid w:val="00B1366B"/>
    <w:rsid w:val="00B137A9"/>
    <w:rsid w:val="00B137B4"/>
    <w:rsid w:val="00B138EF"/>
    <w:rsid w:val="00B13989"/>
    <w:rsid w:val="00B13ABC"/>
    <w:rsid w:val="00B13C78"/>
    <w:rsid w:val="00B14312"/>
    <w:rsid w:val="00B143EB"/>
    <w:rsid w:val="00B1482C"/>
    <w:rsid w:val="00B14A3B"/>
    <w:rsid w:val="00B14A58"/>
    <w:rsid w:val="00B14BF5"/>
    <w:rsid w:val="00B14C67"/>
    <w:rsid w:val="00B14D6D"/>
    <w:rsid w:val="00B152ED"/>
    <w:rsid w:val="00B153D9"/>
    <w:rsid w:val="00B156C8"/>
    <w:rsid w:val="00B156E0"/>
    <w:rsid w:val="00B1587F"/>
    <w:rsid w:val="00B15914"/>
    <w:rsid w:val="00B15BC8"/>
    <w:rsid w:val="00B15C4F"/>
    <w:rsid w:val="00B15D41"/>
    <w:rsid w:val="00B15D96"/>
    <w:rsid w:val="00B15DD5"/>
    <w:rsid w:val="00B15DF3"/>
    <w:rsid w:val="00B160A0"/>
    <w:rsid w:val="00B160B9"/>
    <w:rsid w:val="00B162DF"/>
    <w:rsid w:val="00B16880"/>
    <w:rsid w:val="00B16AB0"/>
    <w:rsid w:val="00B16B56"/>
    <w:rsid w:val="00B16FE7"/>
    <w:rsid w:val="00B17011"/>
    <w:rsid w:val="00B17102"/>
    <w:rsid w:val="00B17261"/>
    <w:rsid w:val="00B172E5"/>
    <w:rsid w:val="00B1733D"/>
    <w:rsid w:val="00B1737F"/>
    <w:rsid w:val="00B173DD"/>
    <w:rsid w:val="00B177C3"/>
    <w:rsid w:val="00B178A0"/>
    <w:rsid w:val="00B17970"/>
    <w:rsid w:val="00B17B2A"/>
    <w:rsid w:val="00B17CCB"/>
    <w:rsid w:val="00B17D0B"/>
    <w:rsid w:val="00B201EE"/>
    <w:rsid w:val="00B20344"/>
    <w:rsid w:val="00B203DA"/>
    <w:rsid w:val="00B2065B"/>
    <w:rsid w:val="00B208D5"/>
    <w:rsid w:val="00B2091F"/>
    <w:rsid w:val="00B20B98"/>
    <w:rsid w:val="00B20BCD"/>
    <w:rsid w:val="00B20C0D"/>
    <w:rsid w:val="00B20E30"/>
    <w:rsid w:val="00B20E6F"/>
    <w:rsid w:val="00B20F3D"/>
    <w:rsid w:val="00B2118D"/>
    <w:rsid w:val="00B211B2"/>
    <w:rsid w:val="00B212B2"/>
    <w:rsid w:val="00B21546"/>
    <w:rsid w:val="00B215FF"/>
    <w:rsid w:val="00B2171F"/>
    <w:rsid w:val="00B21923"/>
    <w:rsid w:val="00B21986"/>
    <w:rsid w:val="00B219C1"/>
    <w:rsid w:val="00B21B17"/>
    <w:rsid w:val="00B21B97"/>
    <w:rsid w:val="00B21C56"/>
    <w:rsid w:val="00B21C8B"/>
    <w:rsid w:val="00B21D71"/>
    <w:rsid w:val="00B21ECB"/>
    <w:rsid w:val="00B21FB9"/>
    <w:rsid w:val="00B2217B"/>
    <w:rsid w:val="00B22342"/>
    <w:rsid w:val="00B22374"/>
    <w:rsid w:val="00B22681"/>
    <w:rsid w:val="00B2275B"/>
    <w:rsid w:val="00B229D0"/>
    <w:rsid w:val="00B22A4F"/>
    <w:rsid w:val="00B22B5B"/>
    <w:rsid w:val="00B22B99"/>
    <w:rsid w:val="00B22BEA"/>
    <w:rsid w:val="00B22C22"/>
    <w:rsid w:val="00B22D18"/>
    <w:rsid w:val="00B22D59"/>
    <w:rsid w:val="00B22FF3"/>
    <w:rsid w:val="00B230F4"/>
    <w:rsid w:val="00B23112"/>
    <w:rsid w:val="00B23292"/>
    <w:rsid w:val="00B23322"/>
    <w:rsid w:val="00B23388"/>
    <w:rsid w:val="00B2354D"/>
    <w:rsid w:val="00B236BD"/>
    <w:rsid w:val="00B237E7"/>
    <w:rsid w:val="00B2382E"/>
    <w:rsid w:val="00B23840"/>
    <w:rsid w:val="00B239EA"/>
    <w:rsid w:val="00B23D41"/>
    <w:rsid w:val="00B23E76"/>
    <w:rsid w:val="00B23ECE"/>
    <w:rsid w:val="00B240B5"/>
    <w:rsid w:val="00B242A8"/>
    <w:rsid w:val="00B2431C"/>
    <w:rsid w:val="00B243CB"/>
    <w:rsid w:val="00B24487"/>
    <w:rsid w:val="00B2476E"/>
    <w:rsid w:val="00B24852"/>
    <w:rsid w:val="00B24D9F"/>
    <w:rsid w:val="00B2501B"/>
    <w:rsid w:val="00B25069"/>
    <w:rsid w:val="00B250C1"/>
    <w:rsid w:val="00B25190"/>
    <w:rsid w:val="00B252BA"/>
    <w:rsid w:val="00B252CD"/>
    <w:rsid w:val="00B253CA"/>
    <w:rsid w:val="00B253DC"/>
    <w:rsid w:val="00B25537"/>
    <w:rsid w:val="00B255C1"/>
    <w:rsid w:val="00B257D4"/>
    <w:rsid w:val="00B25A22"/>
    <w:rsid w:val="00B25D7F"/>
    <w:rsid w:val="00B25E4C"/>
    <w:rsid w:val="00B25F57"/>
    <w:rsid w:val="00B260AC"/>
    <w:rsid w:val="00B2628B"/>
    <w:rsid w:val="00B2646B"/>
    <w:rsid w:val="00B2668D"/>
    <w:rsid w:val="00B267D2"/>
    <w:rsid w:val="00B26A41"/>
    <w:rsid w:val="00B26C16"/>
    <w:rsid w:val="00B26D28"/>
    <w:rsid w:val="00B270B9"/>
    <w:rsid w:val="00B2743F"/>
    <w:rsid w:val="00B27675"/>
    <w:rsid w:val="00B277EB"/>
    <w:rsid w:val="00B2781D"/>
    <w:rsid w:val="00B278C5"/>
    <w:rsid w:val="00B278C8"/>
    <w:rsid w:val="00B27E48"/>
    <w:rsid w:val="00B27F07"/>
    <w:rsid w:val="00B30009"/>
    <w:rsid w:val="00B30170"/>
    <w:rsid w:val="00B301A4"/>
    <w:rsid w:val="00B301B8"/>
    <w:rsid w:val="00B30275"/>
    <w:rsid w:val="00B3038B"/>
    <w:rsid w:val="00B3087F"/>
    <w:rsid w:val="00B308F0"/>
    <w:rsid w:val="00B30958"/>
    <w:rsid w:val="00B309D4"/>
    <w:rsid w:val="00B30A48"/>
    <w:rsid w:val="00B30CE4"/>
    <w:rsid w:val="00B30D31"/>
    <w:rsid w:val="00B30D4C"/>
    <w:rsid w:val="00B30F4C"/>
    <w:rsid w:val="00B31047"/>
    <w:rsid w:val="00B3132E"/>
    <w:rsid w:val="00B313B8"/>
    <w:rsid w:val="00B317CC"/>
    <w:rsid w:val="00B31840"/>
    <w:rsid w:val="00B3184C"/>
    <w:rsid w:val="00B31858"/>
    <w:rsid w:val="00B31AD7"/>
    <w:rsid w:val="00B31DB6"/>
    <w:rsid w:val="00B32087"/>
    <w:rsid w:val="00B321A9"/>
    <w:rsid w:val="00B3221E"/>
    <w:rsid w:val="00B323BF"/>
    <w:rsid w:val="00B32677"/>
    <w:rsid w:val="00B32B8C"/>
    <w:rsid w:val="00B32BC6"/>
    <w:rsid w:val="00B32BCE"/>
    <w:rsid w:val="00B32D3F"/>
    <w:rsid w:val="00B33102"/>
    <w:rsid w:val="00B33195"/>
    <w:rsid w:val="00B331CE"/>
    <w:rsid w:val="00B331EA"/>
    <w:rsid w:val="00B3323B"/>
    <w:rsid w:val="00B3343B"/>
    <w:rsid w:val="00B338EF"/>
    <w:rsid w:val="00B33AF0"/>
    <w:rsid w:val="00B33BDE"/>
    <w:rsid w:val="00B33C38"/>
    <w:rsid w:val="00B33C70"/>
    <w:rsid w:val="00B33CE5"/>
    <w:rsid w:val="00B33D09"/>
    <w:rsid w:val="00B33E2E"/>
    <w:rsid w:val="00B33E93"/>
    <w:rsid w:val="00B33FE8"/>
    <w:rsid w:val="00B34214"/>
    <w:rsid w:val="00B34241"/>
    <w:rsid w:val="00B345BC"/>
    <w:rsid w:val="00B34635"/>
    <w:rsid w:val="00B3465C"/>
    <w:rsid w:val="00B346DB"/>
    <w:rsid w:val="00B3494E"/>
    <w:rsid w:val="00B3498D"/>
    <w:rsid w:val="00B349DC"/>
    <w:rsid w:val="00B34A41"/>
    <w:rsid w:val="00B34B30"/>
    <w:rsid w:val="00B34C58"/>
    <w:rsid w:val="00B34C92"/>
    <w:rsid w:val="00B34D2C"/>
    <w:rsid w:val="00B34EFA"/>
    <w:rsid w:val="00B34EFF"/>
    <w:rsid w:val="00B35014"/>
    <w:rsid w:val="00B35302"/>
    <w:rsid w:val="00B354CA"/>
    <w:rsid w:val="00B355F0"/>
    <w:rsid w:val="00B358CD"/>
    <w:rsid w:val="00B36030"/>
    <w:rsid w:val="00B360AA"/>
    <w:rsid w:val="00B36113"/>
    <w:rsid w:val="00B36214"/>
    <w:rsid w:val="00B36231"/>
    <w:rsid w:val="00B362CF"/>
    <w:rsid w:val="00B363E3"/>
    <w:rsid w:val="00B3645D"/>
    <w:rsid w:val="00B3658B"/>
    <w:rsid w:val="00B3660E"/>
    <w:rsid w:val="00B368D5"/>
    <w:rsid w:val="00B36B78"/>
    <w:rsid w:val="00B36D11"/>
    <w:rsid w:val="00B36F49"/>
    <w:rsid w:val="00B36F5C"/>
    <w:rsid w:val="00B36FDF"/>
    <w:rsid w:val="00B372BF"/>
    <w:rsid w:val="00B37563"/>
    <w:rsid w:val="00B37639"/>
    <w:rsid w:val="00B37840"/>
    <w:rsid w:val="00B3787A"/>
    <w:rsid w:val="00B37ACC"/>
    <w:rsid w:val="00B37C29"/>
    <w:rsid w:val="00B37D0E"/>
    <w:rsid w:val="00B37EA8"/>
    <w:rsid w:val="00B37F5B"/>
    <w:rsid w:val="00B37FD2"/>
    <w:rsid w:val="00B40296"/>
    <w:rsid w:val="00B40419"/>
    <w:rsid w:val="00B40497"/>
    <w:rsid w:val="00B4056B"/>
    <w:rsid w:val="00B40579"/>
    <w:rsid w:val="00B40712"/>
    <w:rsid w:val="00B40A6E"/>
    <w:rsid w:val="00B40BB8"/>
    <w:rsid w:val="00B40BEF"/>
    <w:rsid w:val="00B40E02"/>
    <w:rsid w:val="00B40EA2"/>
    <w:rsid w:val="00B4145F"/>
    <w:rsid w:val="00B415FD"/>
    <w:rsid w:val="00B4182E"/>
    <w:rsid w:val="00B418A1"/>
    <w:rsid w:val="00B41915"/>
    <w:rsid w:val="00B41C3E"/>
    <w:rsid w:val="00B41CBD"/>
    <w:rsid w:val="00B41E4D"/>
    <w:rsid w:val="00B42074"/>
    <w:rsid w:val="00B42527"/>
    <w:rsid w:val="00B428DE"/>
    <w:rsid w:val="00B428E1"/>
    <w:rsid w:val="00B42A96"/>
    <w:rsid w:val="00B42DC9"/>
    <w:rsid w:val="00B43059"/>
    <w:rsid w:val="00B430DC"/>
    <w:rsid w:val="00B43407"/>
    <w:rsid w:val="00B4341B"/>
    <w:rsid w:val="00B437C9"/>
    <w:rsid w:val="00B437F5"/>
    <w:rsid w:val="00B43B0B"/>
    <w:rsid w:val="00B43C7F"/>
    <w:rsid w:val="00B43FDE"/>
    <w:rsid w:val="00B440D7"/>
    <w:rsid w:val="00B44104"/>
    <w:rsid w:val="00B442B4"/>
    <w:rsid w:val="00B44A14"/>
    <w:rsid w:val="00B44A31"/>
    <w:rsid w:val="00B44B7E"/>
    <w:rsid w:val="00B44BC5"/>
    <w:rsid w:val="00B44E06"/>
    <w:rsid w:val="00B44F0A"/>
    <w:rsid w:val="00B4511E"/>
    <w:rsid w:val="00B4557A"/>
    <w:rsid w:val="00B4572B"/>
    <w:rsid w:val="00B45A61"/>
    <w:rsid w:val="00B45CBE"/>
    <w:rsid w:val="00B45CFA"/>
    <w:rsid w:val="00B46244"/>
    <w:rsid w:val="00B466C5"/>
    <w:rsid w:val="00B466E5"/>
    <w:rsid w:val="00B466EA"/>
    <w:rsid w:val="00B4673B"/>
    <w:rsid w:val="00B46CF7"/>
    <w:rsid w:val="00B46F11"/>
    <w:rsid w:val="00B470D0"/>
    <w:rsid w:val="00B472C1"/>
    <w:rsid w:val="00B473A3"/>
    <w:rsid w:val="00B47893"/>
    <w:rsid w:val="00B47A3D"/>
    <w:rsid w:val="00B47C2A"/>
    <w:rsid w:val="00B47C8F"/>
    <w:rsid w:val="00B47DB6"/>
    <w:rsid w:val="00B47DD6"/>
    <w:rsid w:val="00B47E6F"/>
    <w:rsid w:val="00B47E81"/>
    <w:rsid w:val="00B47F35"/>
    <w:rsid w:val="00B47F65"/>
    <w:rsid w:val="00B50034"/>
    <w:rsid w:val="00B5032D"/>
    <w:rsid w:val="00B505EB"/>
    <w:rsid w:val="00B50639"/>
    <w:rsid w:val="00B506A7"/>
    <w:rsid w:val="00B5082F"/>
    <w:rsid w:val="00B50951"/>
    <w:rsid w:val="00B50BFE"/>
    <w:rsid w:val="00B50D3F"/>
    <w:rsid w:val="00B50DD5"/>
    <w:rsid w:val="00B50DE9"/>
    <w:rsid w:val="00B50F89"/>
    <w:rsid w:val="00B51004"/>
    <w:rsid w:val="00B51252"/>
    <w:rsid w:val="00B513C7"/>
    <w:rsid w:val="00B514C5"/>
    <w:rsid w:val="00B51552"/>
    <w:rsid w:val="00B5158A"/>
    <w:rsid w:val="00B515B7"/>
    <w:rsid w:val="00B515E0"/>
    <w:rsid w:val="00B515FC"/>
    <w:rsid w:val="00B517C8"/>
    <w:rsid w:val="00B51985"/>
    <w:rsid w:val="00B5199D"/>
    <w:rsid w:val="00B51C7D"/>
    <w:rsid w:val="00B51E0C"/>
    <w:rsid w:val="00B5206D"/>
    <w:rsid w:val="00B5246B"/>
    <w:rsid w:val="00B52488"/>
    <w:rsid w:val="00B52B05"/>
    <w:rsid w:val="00B52B2F"/>
    <w:rsid w:val="00B52C3B"/>
    <w:rsid w:val="00B52D02"/>
    <w:rsid w:val="00B52E36"/>
    <w:rsid w:val="00B52FA9"/>
    <w:rsid w:val="00B53152"/>
    <w:rsid w:val="00B532B4"/>
    <w:rsid w:val="00B5363B"/>
    <w:rsid w:val="00B53A25"/>
    <w:rsid w:val="00B53AD8"/>
    <w:rsid w:val="00B53BDF"/>
    <w:rsid w:val="00B53D8C"/>
    <w:rsid w:val="00B53F51"/>
    <w:rsid w:val="00B53FD4"/>
    <w:rsid w:val="00B54106"/>
    <w:rsid w:val="00B541B0"/>
    <w:rsid w:val="00B542C7"/>
    <w:rsid w:val="00B5451D"/>
    <w:rsid w:val="00B54601"/>
    <w:rsid w:val="00B54840"/>
    <w:rsid w:val="00B548B3"/>
    <w:rsid w:val="00B54C27"/>
    <w:rsid w:val="00B54C56"/>
    <w:rsid w:val="00B54FDB"/>
    <w:rsid w:val="00B54FE4"/>
    <w:rsid w:val="00B5502A"/>
    <w:rsid w:val="00B550C7"/>
    <w:rsid w:val="00B55199"/>
    <w:rsid w:val="00B551A4"/>
    <w:rsid w:val="00B55254"/>
    <w:rsid w:val="00B5560E"/>
    <w:rsid w:val="00B5579D"/>
    <w:rsid w:val="00B5591A"/>
    <w:rsid w:val="00B55E8A"/>
    <w:rsid w:val="00B5601E"/>
    <w:rsid w:val="00B562CB"/>
    <w:rsid w:val="00B56430"/>
    <w:rsid w:val="00B565C8"/>
    <w:rsid w:val="00B56787"/>
    <w:rsid w:val="00B5679F"/>
    <w:rsid w:val="00B569D5"/>
    <w:rsid w:val="00B56E48"/>
    <w:rsid w:val="00B570F6"/>
    <w:rsid w:val="00B57158"/>
    <w:rsid w:val="00B572CA"/>
    <w:rsid w:val="00B5730D"/>
    <w:rsid w:val="00B57328"/>
    <w:rsid w:val="00B574AD"/>
    <w:rsid w:val="00B576DB"/>
    <w:rsid w:val="00B579B9"/>
    <w:rsid w:val="00B57AC1"/>
    <w:rsid w:val="00B57DB7"/>
    <w:rsid w:val="00B60447"/>
    <w:rsid w:val="00B6045A"/>
    <w:rsid w:val="00B604A3"/>
    <w:rsid w:val="00B6066B"/>
    <w:rsid w:val="00B606D6"/>
    <w:rsid w:val="00B609B7"/>
    <w:rsid w:val="00B60A08"/>
    <w:rsid w:val="00B60A5B"/>
    <w:rsid w:val="00B61332"/>
    <w:rsid w:val="00B61374"/>
    <w:rsid w:val="00B61781"/>
    <w:rsid w:val="00B6194C"/>
    <w:rsid w:val="00B61A0B"/>
    <w:rsid w:val="00B61AE2"/>
    <w:rsid w:val="00B61D02"/>
    <w:rsid w:val="00B61F8F"/>
    <w:rsid w:val="00B6202A"/>
    <w:rsid w:val="00B620DD"/>
    <w:rsid w:val="00B62173"/>
    <w:rsid w:val="00B62193"/>
    <w:rsid w:val="00B62236"/>
    <w:rsid w:val="00B622C3"/>
    <w:rsid w:val="00B62385"/>
    <w:rsid w:val="00B62A91"/>
    <w:rsid w:val="00B62CE7"/>
    <w:rsid w:val="00B62CFF"/>
    <w:rsid w:val="00B62EE5"/>
    <w:rsid w:val="00B62EE6"/>
    <w:rsid w:val="00B631F5"/>
    <w:rsid w:val="00B6324E"/>
    <w:rsid w:val="00B6328D"/>
    <w:rsid w:val="00B632FA"/>
    <w:rsid w:val="00B634A1"/>
    <w:rsid w:val="00B6352D"/>
    <w:rsid w:val="00B635A7"/>
    <w:rsid w:val="00B63754"/>
    <w:rsid w:val="00B637C1"/>
    <w:rsid w:val="00B6387A"/>
    <w:rsid w:val="00B639DB"/>
    <w:rsid w:val="00B63B97"/>
    <w:rsid w:val="00B63EF2"/>
    <w:rsid w:val="00B6406B"/>
    <w:rsid w:val="00B64374"/>
    <w:rsid w:val="00B64377"/>
    <w:rsid w:val="00B6439B"/>
    <w:rsid w:val="00B643E8"/>
    <w:rsid w:val="00B64406"/>
    <w:rsid w:val="00B64565"/>
    <w:rsid w:val="00B64882"/>
    <w:rsid w:val="00B64A43"/>
    <w:rsid w:val="00B64A6C"/>
    <w:rsid w:val="00B64C46"/>
    <w:rsid w:val="00B65077"/>
    <w:rsid w:val="00B65132"/>
    <w:rsid w:val="00B653AC"/>
    <w:rsid w:val="00B656AB"/>
    <w:rsid w:val="00B659D3"/>
    <w:rsid w:val="00B65BD1"/>
    <w:rsid w:val="00B65C62"/>
    <w:rsid w:val="00B65D92"/>
    <w:rsid w:val="00B65D9E"/>
    <w:rsid w:val="00B65F5A"/>
    <w:rsid w:val="00B66140"/>
    <w:rsid w:val="00B6622B"/>
    <w:rsid w:val="00B6660F"/>
    <w:rsid w:val="00B669DB"/>
    <w:rsid w:val="00B66E24"/>
    <w:rsid w:val="00B66E3C"/>
    <w:rsid w:val="00B66FBC"/>
    <w:rsid w:val="00B67218"/>
    <w:rsid w:val="00B672D2"/>
    <w:rsid w:val="00B67BB3"/>
    <w:rsid w:val="00B67E59"/>
    <w:rsid w:val="00B7018B"/>
    <w:rsid w:val="00B701C1"/>
    <w:rsid w:val="00B7038A"/>
    <w:rsid w:val="00B703C4"/>
    <w:rsid w:val="00B7049E"/>
    <w:rsid w:val="00B7051C"/>
    <w:rsid w:val="00B70A68"/>
    <w:rsid w:val="00B70A83"/>
    <w:rsid w:val="00B70AF4"/>
    <w:rsid w:val="00B70CE1"/>
    <w:rsid w:val="00B70D61"/>
    <w:rsid w:val="00B71638"/>
    <w:rsid w:val="00B71713"/>
    <w:rsid w:val="00B7174E"/>
    <w:rsid w:val="00B717C6"/>
    <w:rsid w:val="00B717F4"/>
    <w:rsid w:val="00B718B8"/>
    <w:rsid w:val="00B718E2"/>
    <w:rsid w:val="00B719AC"/>
    <w:rsid w:val="00B71A11"/>
    <w:rsid w:val="00B71D25"/>
    <w:rsid w:val="00B71D26"/>
    <w:rsid w:val="00B72038"/>
    <w:rsid w:val="00B7209F"/>
    <w:rsid w:val="00B721EB"/>
    <w:rsid w:val="00B7234A"/>
    <w:rsid w:val="00B723BB"/>
    <w:rsid w:val="00B724F3"/>
    <w:rsid w:val="00B72584"/>
    <w:rsid w:val="00B72AE4"/>
    <w:rsid w:val="00B73278"/>
    <w:rsid w:val="00B734B2"/>
    <w:rsid w:val="00B739C5"/>
    <w:rsid w:val="00B739FF"/>
    <w:rsid w:val="00B73BC3"/>
    <w:rsid w:val="00B73DE8"/>
    <w:rsid w:val="00B73EE6"/>
    <w:rsid w:val="00B73FF2"/>
    <w:rsid w:val="00B7414B"/>
    <w:rsid w:val="00B741B2"/>
    <w:rsid w:val="00B741EB"/>
    <w:rsid w:val="00B74456"/>
    <w:rsid w:val="00B74462"/>
    <w:rsid w:val="00B744FB"/>
    <w:rsid w:val="00B74B42"/>
    <w:rsid w:val="00B7513E"/>
    <w:rsid w:val="00B7529F"/>
    <w:rsid w:val="00B75918"/>
    <w:rsid w:val="00B7599B"/>
    <w:rsid w:val="00B75AAB"/>
    <w:rsid w:val="00B75D2C"/>
    <w:rsid w:val="00B76120"/>
    <w:rsid w:val="00B76126"/>
    <w:rsid w:val="00B76252"/>
    <w:rsid w:val="00B76679"/>
    <w:rsid w:val="00B768A5"/>
    <w:rsid w:val="00B76996"/>
    <w:rsid w:val="00B76A41"/>
    <w:rsid w:val="00B76B32"/>
    <w:rsid w:val="00B76B4A"/>
    <w:rsid w:val="00B76CEE"/>
    <w:rsid w:val="00B77285"/>
    <w:rsid w:val="00B776D2"/>
    <w:rsid w:val="00B7771C"/>
    <w:rsid w:val="00B77739"/>
    <w:rsid w:val="00B7778E"/>
    <w:rsid w:val="00B77846"/>
    <w:rsid w:val="00B778FA"/>
    <w:rsid w:val="00B7796F"/>
    <w:rsid w:val="00B77A00"/>
    <w:rsid w:val="00B77AA8"/>
    <w:rsid w:val="00B77BDE"/>
    <w:rsid w:val="00B77BEE"/>
    <w:rsid w:val="00B77C6F"/>
    <w:rsid w:val="00B77F75"/>
    <w:rsid w:val="00B77FD0"/>
    <w:rsid w:val="00B80280"/>
    <w:rsid w:val="00B80372"/>
    <w:rsid w:val="00B80576"/>
    <w:rsid w:val="00B805FA"/>
    <w:rsid w:val="00B809D0"/>
    <w:rsid w:val="00B80A1A"/>
    <w:rsid w:val="00B80D4B"/>
    <w:rsid w:val="00B80EB7"/>
    <w:rsid w:val="00B80F5A"/>
    <w:rsid w:val="00B80F6C"/>
    <w:rsid w:val="00B8125B"/>
    <w:rsid w:val="00B8125C"/>
    <w:rsid w:val="00B812AF"/>
    <w:rsid w:val="00B81544"/>
    <w:rsid w:val="00B815A2"/>
    <w:rsid w:val="00B816A1"/>
    <w:rsid w:val="00B81950"/>
    <w:rsid w:val="00B81BB9"/>
    <w:rsid w:val="00B81D3A"/>
    <w:rsid w:val="00B81E66"/>
    <w:rsid w:val="00B81EAC"/>
    <w:rsid w:val="00B81FA0"/>
    <w:rsid w:val="00B82024"/>
    <w:rsid w:val="00B821A9"/>
    <w:rsid w:val="00B821CD"/>
    <w:rsid w:val="00B8224C"/>
    <w:rsid w:val="00B822D2"/>
    <w:rsid w:val="00B82998"/>
    <w:rsid w:val="00B82AA7"/>
    <w:rsid w:val="00B82C62"/>
    <w:rsid w:val="00B82D90"/>
    <w:rsid w:val="00B82EE8"/>
    <w:rsid w:val="00B82F24"/>
    <w:rsid w:val="00B82F91"/>
    <w:rsid w:val="00B8314E"/>
    <w:rsid w:val="00B832AF"/>
    <w:rsid w:val="00B833F3"/>
    <w:rsid w:val="00B83C61"/>
    <w:rsid w:val="00B83E44"/>
    <w:rsid w:val="00B8406B"/>
    <w:rsid w:val="00B84275"/>
    <w:rsid w:val="00B84892"/>
    <w:rsid w:val="00B848D3"/>
    <w:rsid w:val="00B84BB9"/>
    <w:rsid w:val="00B84C14"/>
    <w:rsid w:val="00B84F84"/>
    <w:rsid w:val="00B84FF6"/>
    <w:rsid w:val="00B850FE"/>
    <w:rsid w:val="00B85190"/>
    <w:rsid w:val="00B85197"/>
    <w:rsid w:val="00B851F0"/>
    <w:rsid w:val="00B85220"/>
    <w:rsid w:val="00B853B1"/>
    <w:rsid w:val="00B853FC"/>
    <w:rsid w:val="00B8585D"/>
    <w:rsid w:val="00B85A36"/>
    <w:rsid w:val="00B85D63"/>
    <w:rsid w:val="00B85DEC"/>
    <w:rsid w:val="00B85F44"/>
    <w:rsid w:val="00B8616A"/>
    <w:rsid w:val="00B865DE"/>
    <w:rsid w:val="00B8681D"/>
    <w:rsid w:val="00B86971"/>
    <w:rsid w:val="00B86B0A"/>
    <w:rsid w:val="00B86B28"/>
    <w:rsid w:val="00B86B6C"/>
    <w:rsid w:val="00B86BBB"/>
    <w:rsid w:val="00B86CC3"/>
    <w:rsid w:val="00B86EE6"/>
    <w:rsid w:val="00B872AE"/>
    <w:rsid w:val="00B872FE"/>
    <w:rsid w:val="00B87366"/>
    <w:rsid w:val="00B87465"/>
    <w:rsid w:val="00B875B9"/>
    <w:rsid w:val="00B87761"/>
    <w:rsid w:val="00B87958"/>
    <w:rsid w:val="00B87A2B"/>
    <w:rsid w:val="00B87A3B"/>
    <w:rsid w:val="00B87B36"/>
    <w:rsid w:val="00B87C81"/>
    <w:rsid w:val="00B87FB4"/>
    <w:rsid w:val="00B9029F"/>
    <w:rsid w:val="00B9036B"/>
    <w:rsid w:val="00B9052A"/>
    <w:rsid w:val="00B9067C"/>
    <w:rsid w:val="00B90A29"/>
    <w:rsid w:val="00B90BB9"/>
    <w:rsid w:val="00B90C66"/>
    <w:rsid w:val="00B90E62"/>
    <w:rsid w:val="00B90F44"/>
    <w:rsid w:val="00B90F74"/>
    <w:rsid w:val="00B91119"/>
    <w:rsid w:val="00B9138A"/>
    <w:rsid w:val="00B9148C"/>
    <w:rsid w:val="00B917F8"/>
    <w:rsid w:val="00B9181B"/>
    <w:rsid w:val="00B919DC"/>
    <w:rsid w:val="00B91C2D"/>
    <w:rsid w:val="00B91CE0"/>
    <w:rsid w:val="00B91D40"/>
    <w:rsid w:val="00B920C8"/>
    <w:rsid w:val="00B92140"/>
    <w:rsid w:val="00B92374"/>
    <w:rsid w:val="00B924B1"/>
    <w:rsid w:val="00B924EC"/>
    <w:rsid w:val="00B928A4"/>
    <w:rsid w:val="00B9294F"/>
    <w:rsid w:val="00B9298E"/>
    <w:rsid w:val="00B92A53"/>
    <w:rsid w:val="00B92AED"/>
    <w:rsid w:val="00B92E04"/>
    <w:rsid w:val="00B92EB8"/>
    <w:rsid w:val="00B9329A"/>
    <w:rsid w:val="00B9335C"/>
    <w:rsid w:val="00B93474"/>
    <w:rsid w:val="00B936E7"/>
    <w:rsid w:val="00B93823"/>
    <w:rsid w:val="00B9382B"/>
    <w:rsid w:val="00B93941"/>
    <w:rsid w:val="00B93D6C"/>
    <w:rsid w:val="00B93EC0"/>
    <w:rsid w:val="00B940B3"/>
    <w:rsid w:val="00B941FB"/>
    <w:rsid w:val="00B94223"/>
    <w:rsid w:val="00B94234"/>
    <w:rsid w:val="00B945DA"/>
    <w:rsid w:val="00B94626"/>
    <w:rsid w:val="00B94A42"/>
    <w:rsid w:val="00B94B57"/>
    <w:rsid w:val="00B94B7C"/>
    <w:rsid w:val="00B95052"/>
    <w:rsid w:val="00B95120"/>
    <w:rsid w:val="00B9518D"/>
    <w:rsid w:val="00B9559F"/>
    <w:rsid w:val="00B955C0"/>
    <w:rsid w:val="00B95883"/>
    <w:rsid w:val="00B95940"/>
    <w:rsid w:val="00B959A6"/>
    <w:rsid w:val="00B95B25"/>
    <w:rsid w:val="00B95B2C"/>
    <w:rsid w:val="00B95E76"/>
    <w:rsid w:val="00B95E97"/>
    <w:rsid w:val="00B96032"/>
    <w:rsid w:val="00B96056"/>
    <w:rsid w:val="00B96298"/>
    <w:rsid w:val="00B96520"/>
    <w:rsid w:val="00B967E8"/>
    <w:rsid w:val="00B9680F"/>
    <w:rsid w:val="00B9696B"/>
    <w:rsid w:val="00B96A3C"/>
    <w:rsid w:val="00B96DE7"/>
    <w:rsid w:val="00B96FFF"/>
    <w:rsid w:val="00B971E2"/>
    <w:rsid w:val="00B97354"/>
    <w:rsid w:val="00B97829"/>
    <w:rsid w:val="00B97831"/>
    <w:rsid w:val="00B9794F"/>
    <w:rsid w:val="00B97A7B"/>
    <w:rsid w:val="00B97BE5"/>
    <w:rsid w:val="00B97E40"/>
    <w:rsid w:val="00BA0257"/>
    <w:rsid w:val="00BA0666"/>
    <w:rsid w:val="00BA0943"/>
    <w:rsid w:val="00BA0AA3"/>
    <w:rsid w:val="00BA0C7F"/>
    <w:rsid w:val="00BA0E8F"/>
    <w:rsid w:val="00BA0F72"/>
    <w:rsid w:val="00BA130A"/>
    <w:rsid w:val="00BA18FC"/>
    <w:rsid w:val="00BA1C06"/>
    <w:rsid w:val="00BA1D0F"/>
    <w:rsid w:val="00BA1F72"/>
    <w:rsid w:val="00BA2011"/>
    <w:rsid w:val="00BA2362"/>
    <w:rsid w:val="00BA24CA"/>
    <w:rsid w:val="00BA253E"/>
    <w:rsid w:val="00BA257F"/>
    <w:rsid w:val="00BA2687"/>
    <w:rsid w:val="00BA270F"/>
    <w:rsid w:val="00BA2731"/>
    <w:rsid w:val="00BA28DA"/>
    <w:rsid w:val="00BA2A10"/>
    <w:rsid w:val="00BA2B7B"/>
    <w:rsid w:val="00BA2F71"/>
    <w:rsid w:val="00BA317D"/>
    <w:rsid w:val="00BA3317"/>
    <w:rsid w:val="00BA3873"/>
    <w:rsid w:val="00BA39FE"/>
    <w:rsid w:val="00BA3CBA"/>
    <w:rsid w:val="00BA4003"/>
    <w:rsid w:val="00BA446D"/>
    <w:rsid w:val="00BA46B0"/>
    <w:rsid w:val="00BA494D"/>
    <w:rsid w:val="00BA4989"/>
    <w:rsid w:val="00BA4A82"/>
    <w:rsid w:val="00BA4E27"/>
    <w:rsid w:val="00BA512B"/>
    <w:rsid w:val="00BA51BC"/>
    <w:rsid w:val="00BA5238"/>
    <w:rsid w:val="00BA530C"/>
    <w:rsid w:val="00BA5559"/>
    <w:rsid w:val="00BA57A6"/>
    <w:rsid w:val="00BA58AE"/>
    <w:rsid w:val="00BA58B3"/>
    <w:rsid w:val="00BA5A48"/>
    <w:rsid w:val="00BA5CD1"/>
    <w:rsid w:val="00BA5D32"/>
    <w:rsid w:val="00BA5EC8"/>
    <w:rsid w:val="00BA5F4F"/>
    <w:rsid w:val="00BA622F"/>
    <w:rsid w:val="00BA6393"/>
    <w:rsid w:val="00BA642A"/>
    <w:rsid w:val="00BA6473"/>
    <w:rsid w:val="00BA6681"/>
    <w:rsid w:val="00BA6804"/>
    <w:rsid w:val="00BA6B1D"/>
    <w:rsid w:val="00BA6BDC"/>
    <w:rsid w:val="00BA6DCE"/>
    <w:rsid w:val="00BA7072"/>
    <w:rsid w:val="00BA71B2"/>
    <w:rsid w:val="00BA726E"/>
    <w:rsid w:val="00BA7698"/>
    <w:rsid w:val="00BA76C1"/>
    <w:rsid w:val="00BA7863"/>
    <w:rsid w:val="00BA79ED"/>
    <w:rsid w:val="00BA7AC0"/>
    <w:rsid w:val="00BA7BCC"/>
    <w:rsid w:val="00BB0227"/>
    <w:rsid w:val="00BB0456"/>
    <w:rsid w:val="00BB071D"/>
    <w:rsid w:val="00BB072C"/>
    <w:rsid w:val="00BB0810"/>
    <w:rsid w:val="00BB09DC"/>
    <w:rsid w:val="00BB0A33"/>
    <w:rsid w:val="00BB0A39"/>
    <w:rsid w:val="00BB0BD8"/>
    <w:rsid w:val="00BB0D01"/>
    <w:rsid w:val="00BB0D11"/>
    <w:rsid w:val="00BB1135"/>
    <w:rsid w:val="00BB13D2"/>
    <w:rsid w:val="00BB1470"/>
    <w:rsid w:val="00BB1980"/>
    <w:rsid w:val="00BB1B16"/>
    <w:rsid w:val="00BB1D1B"/>
    <w:rsid w:val="00BB1F44"/>
    <w:rsid w:val="00BB1F9D"/>
    <w:rsid w:val="00BB28C7"/>
    <w:rsid w:val="00BB295A"/>
    <w:rsid w:val="00BB2B5B"/>
    <w:rsid w:val="00BB2E04"/>
    <w:rsid w:val="00BB2E30"/>
    <w:rsid w:val="00BB3152"/>
    <w:rsid w:val="00BB3695"/>
    <w:rsid w:val="00BB3708"/>
    <w:rsid w:val="00BB3AAB"/>
    <w:rsid w:val="00BB3B6A"/>
    <w:rsid w:val="00BB3B86"/>
    <w:rsid w:val="00BB3BAB"/>
    <w:rsid w:val="00BB3E81"/>
    <w:rsid w:val="00BB4405"/>
    <w:rsid w:val="00BB44A9"/>
    <w:rsid w:val="00BB45E4"/>
    <w:rsid w:val="00BB47E6"/>
    <w:rsid w:val="00BB49C5"/>
    <w:rsid w:val="00BB4D4F"/>
    <w:rsid w:val="00BB4D70"/>
    <w:rsid w:val="00BB4DAF"/>
    <w:rsid w:val="00BB509F"/>
    <w:rsid w:val="00BB5176"/>
    <w:rsid w:val="00BB5472"/>
    <w:rsid w:val="00BB54BA"/>
    <w:rsid w:val="00BB5688"/>
    <w:rsid w:val="00BB57C0"/>
    <w:rsid w:val="00BB5A14"/>
    <w:rsid w:val="00BB5D8B"/>
    <w:rsid w:val="00BB5EA0"/>
    <w:rsid w:val="00BB5EE6"/>
    <w:rsid w:val="00BB5F8D"/>
    <w:rsid w:val="00BB5FF4"/>
    <w:rsid w:val="00BB620F"/>
    <w:rsid w:val="00BB628C"/>
    <w:rsid w:val="00BB64F9"/>
    <w:rsid w:val="00BB6A83"/>
    <w:rsid w:val="00BB6BA8"/>
    <w:rsid w:val="00BB6D4E"/>
    <w:rsid w:val="00BB6FA1"/>
    <w:rsid w:val="00BB70ED"/>
    <w:rsid w:val="00BB732E"/>
    <w:rsid w:val="00BB77CD"/>
    <w:rsid w:val="00BB7844"/>
    <w:rsid w:val="00BB7955"/>
    <w:rsid w:val="00BB7F18"/>
    <w:rsid w:val="00BB7F4F"/>
    <w:rsid w:val="00BC0020"/>
    <w:rsid w:val="00BC0150"/>
    <w:rsid w:val="00BC026C"/>
    <w:rsid w:val="00BC0435"/>
    <w:rsid w:val="00BC05A2"/>
    <w:rsid w:val="00BC067F"/>
    <w:rsid w:val="00BC06E3"/>
    <w:rsid w:val="00BC0DB3"/>
    <w:rsid w:val="00BC0DDC"/>
    <w:rsid w:val="00BC0FDC"/>
    <w:rsid w:val="00BC1433"/>
    <w:rsid w:val="00BC1471"/>
    <w:rsid w:val="00BC14E1"/>
    <w:rsid w:val="00BC156F"/>
    <w:rsid w:val="00BC16CF"/>
    <w:rsid w:val="00BC1716"/>
    <w:rsid w:val="00BC1CCE"/>
    <w:rsid w:val="00BC1F18"/>
    <w:rsid w:val="00BC1FEE"/>
    <w:rsid w:val="00BC2121"/>
    <w:rsid w:val="00BC2139"/>
    <w:rsid w:val="00BC21F0"/>
    <w:rsid w:val="00BC2579"/>
    <w:rsid w:val="00BC266C"/>
    <w:rsid w:val="00BC26C5"/>
    <w:rsid w:val="00BC283E"/>
    <w:rsid w:val="00BC28B6"/>
    <w:rsid w:val="00BC28B8"/>
    <w:rsid w:val="00BC2CEF"/>
    <w:rsid w:val="00BC2CF2"/>
    <w:rsid w:val="00BC2CF9"/>
    <w:rsid w:val="00BC2DBB"/>
    <w:rsid w:val="00BC345A"/>
    <w:rsid w:val="00BC37B6"/>
    <w:rsid w:val="00BC3983"/>
    <w:rsid w:val="00BC39D5"/>
    <w:rsid w:val="00BC3C1A"/>
    <w:rsid w:val="00BC3CD9"/>
    <w:rsid w:val="00BC418D"/>
    <w:rsid w:val="00BC41A6"/>
    <w:rsid w:val="00BC43DB"/>
    <w:rsid w:val="00BC44EB"/>
    <w:rsid w:val="00BC4513"/>
    <w:rsid w:val="00BC452F"/>
    <w:rsid w:val="00BC4596"/>
    <w:rsid w:val="00BC4853"/>
    <w:rsid w:val="00BC499C"/>
    <w:rsid w:val="00BC4E6D"/>
    <w:rsid w:val="00BC4EE4"/>
    <w:rsid w:val="00BC538A"/>
    <w:rsid w:val="00BC57DA"/>
    <w:rsid w:val="00BC589D"/>
    <w:rsid w:val="00BC5A71"/>
    <w:rsid w:val="00BC5B91"/>
    <w:rsid w:val="00BC5D2D"/>
    <w:rsid w:val="00BC5D32"/>
    <w:rsid w:val="00BC5DBD"/>
    <w:rsid w:val="00BC5F4A"/>
    <w:rsid w:val="00BC627C"/>
    <w:rsid w:val="00BC630A"/>
    <w:rsid w:val="00BC63B1"/>
    <w:rsid w:val="00BC63E6"/>
    <w:rsid w:val="00BC6724"/>
    <w:rsid w:val="00BC67B5"/>
    <w:rsid w:val="00BC6899"/>
    <w:rsid w:val="00BC69B4"/>
    <w:rsid w:val="00BC6DF0"/>
    <w:rsid w:val="00BC6F45"/>
    <w:rsid w:val="00BC71A2"/>
    <w:rsid w:val="00BC7721"/>
    <w:rsid w:val="00BC77F1"/>
    <w:rsid w:val="00BC78DE"/>
    <w:rsid w:val="00BC79B2"/>
    <w:rsid w:val="00BC79E1"/>
    <w:rsid w:val="00BC7A68"/>
    <w:rsid w:val="00BC7A6F"/>
    <w:rsid w:val="00BC7B9E"/>
    <w:rsid w:val="00BC7C49"/>
    <w:rsid w:val="00BC7EDA"/>
    <w:rsid w:val="00BC7F91"/>
    <w:rsid w:val="00BC7FB5"/>
    <w:rsid w:val="00BD013E"/>
    <w:rsid w:val="00BD0223"/>
    <w:rsid w:val="00BD030E"/>
    <w:rsid w:val="00BD0486"/>
    <w:rsid w:val="00BD0543"/>
    <w:rsid w:val="00BD066A"/>
    <w:rsid w:val="00BD0885"/>
    <w:rsid w:val="00BD0AF7"/>
    <w:rsid w:val="00BD0B5A"/>
    <w:rsid w:val="00BD0C43"/>
    <w:rsid w:val="00BD0F2A"/>
    <w:rsid w:val="00BD118F"/>
    <w:rsid w:val="00BD1457"/>
    <w:rsid w:val="00BD15D2"/>
    <w:rsid w:val="00BD1605"/>
    <w:rsid w:val="00BD1839"/>
    <w:rsid w:val="00BD1871"/>
    <w:rsid w:val="00BD1922"/>
    <w:rsid w:val="00BD1926"/>
    <w:rsid w:val="00BD1AE8"/>
    <w:rsid w:val="00BD1B3C"/>
    <w:rsid w:val="00BD1C0C"/>
    <w:rsid w:val="00BD1C30"/>
    <w:rsid w:val="00BD1E68"/>
    <w:rsid w:val="00BD2055"/>
    <w:rsid w:val="00BD2608"/>
    <w:rsid w:val="00BD2A20"/>
    <w:rsid w:val="00BD2BD2"/>
    <w:rsid w:val="00BD2E30"/>
    <w:rsid w:val="00BD2E93"/>
    <w:rsid w:val="00BD2F30"/>
    <w:rsid w:val="00BD3205"/>
    <w:rsid w:val="00BD3343"/>
    <w:rsid w:val="00BD3633"/>
    <w:rsid w:val="00BD3838"/>
    <w:rsid w:val="00BD3867"/>
    <w:rsid w:val="00BD39BA"/>
    <w:rsid w:val="00BD3CD1"/>
    <w:rsid w:val="00BD3E33"/>
    <w:rsid w:val="00BD4121"/>
    <w:rsid w:val="00BD42DD"/>
    <w:rsid w:val="00BD4309"/>
    <w:rsid w:val="00BD430E"/>
    <w:rsid w:val="00BD4403"/>
    <w:rsid w:val="00BD45D8"/>
    <w:rsid w:val="00BD4675"/>
    <w:rsid w:val="00BD47CC"/>
    <w:rsid w:val="00BD4854"/>
    <w:rsid w:val="00BD486C"/>
    <w:rsid w:val="00BD4A30"/>
    <w:rsid w:val="00BD4BB6"/>
    <w:rsid w:val="00BD4BF3"/>
    <w:rsid w:val="00BD5351"/>
    <w:rsid w:val="00BD54CD"/>
    <w:rsid w:val="00BD559B"/>
    <w:rsid w:val="00BD58B4"/>
    <w:rsid w:val="00BD5A0B"/>
    <w:rsid w:val="00BD5A34"/>
    <w:rsid w:val="00BD5C13"/>
    <w:rsid w:val="00BD5EA8"/>
    <w:rsid w:val="00BD605B"/>
    <w:rsid w:val="00BD60D3"/>
    <w:rsid w:val="00BD6231"/>
    <w:rsid w:val="00BD6681"/>
    <w:rsid w:val="00BD6812"/>
    <w:rsid w:val="00BD6868"/>
    <w:rsid w:val="00BD6AAE"/>
    <w:rsid w:val="00BD6B58"/>
    <w:rsid w:val="00BD6E3B"/>
    <w:rsid w:val="00BD709A"/>
    <w:rsid w:val="00BD70FE"/>
    <w:rsid w:val="00BD71E8"/>
    <w:rsid w:val="00BD737A"/>
    <w:rsid w:val="00BD74D0"/>
    <w:rsid w:val="00BD74D2"/>
    <w:rsid w:val="00BD76ED"/>
    <w:rsid w:val="00BD771D"/>
    <w:rsid w:val="00BD7732"/>
    <w:rsid w:val="00BD7804"/>
    <w:rsid w:val="00BD7CBE"/>
    <w:rsid w:val="00BD7CC8"/>
    <w:rsid w:val="00BD7DE9"/>
    <w:rsid w:val="00BD7E62"/>
    <w:rsid w:val="00BE00B4"/>
    <w:rsid w:val="00BE0828"/>
    <w:rsid w:val="00BE09C8"/>
    <w:rsid w:val="00BE0D2F"/>
    <w:rsid w:val="00BE0E9C"/>
    <w:rsid w:val="00BE0EFF"/>
    <w:rsid w:val="00BE0F15"/>
    <w:rsid w:val="00BE1059"/>
    <w:rsid w:val="00BE11E5"/>
    <w:rsid w:val="00BE145D"/>
    <w:rsid w:val="00BE1540"/>
    <w:rsid w:val="00BE1599"/>
    <w:rsid w:val="00BE17F6"/>
    <w:rsid w:val="00BE189C"/>
    <w:rsid w:val="00BE1926"/>
    <w:rsid w:val="00BE1B1B"/>
    <w:rsid w:val="00BE1D22"/>
    <w:rsid w:val="00BE1D55"/>
    <w:rsid w:val="00BE1E70"/>
    <w:rsid w:val="00BE2209"/>
    <w:rsid w:val="00BE22A3"/>
    <w:rsid w:val="00BE22CC"/>
    <w:rsid w:val="00BE2591"/>
    <w:rsid w:val="00BE25FA"/>
    <w:rsid w:val="00BE27B6"/>
    <w:rsid w:val="00BE27CD"/>
    <w:rsid w:val="00BE27E0"/>
    <w:rsid w:val="00BE2E76"/>
    <w:rsid w:val="00BE30E7"/>
    <w:rsid w:val="00BE338C"/>
    <w:rsid w:val="00BE34C1"/>
    <w:rsid w:val="00BE3613"/>
    <w:rsid w:val="00BE368E"/>
    <w:rsid w:val="00BE37F5"/>
    <w:rsid w:val="00BE3EBA"/>
    <w:rsid w:val="00BE43F7"/>
    <w:rsid w:val="00BE4573"/>
    <w:rsid w:val="00BE467F"/>
    <w:rsid w:val="00BE47C1"/>
    <w:rsid w:val="00BE4BD0"/>
    <w:rsid w:val="00BE4BDC"/>
    <w:rsid w:val="00BE4C97"/>
    <w:rsid w:val="00BE4D5A"/>
    <w:rsid w:val="00BE5137"/>
    <w:rsid w:val="00BE5313"/>
    <w:rsid w:val="00BE555D"/>
    <w:rsid w:val="00BE5908"/>
    <w:rsid w:val="00BE5A0C"/>
    <w:rsid w:val="00BE5B71"/>
    <w:rsid w:val="00BE5E31"/>
    <w:rsid w:val="00BE5F8A"/>
    <w:rsid w:val="00BE5FBE"/>
    <w:rsid w:val="00BE600F"/>
    <w:rsid w:val="00BE6013"/>
    <w:rsid w:val="00BE6125"/>
    <w:rsid w:val="00BE6290"/>
    <w:rsid w:val="00BE62B0"/>
    <w:rsid w:val="00BE649F"/>
    <w:rsid w:val="00BE66AF"/>
    <w:rsid w:val="00BE66FE"/>
    <w:rsid w:val="00BE67D6"/>
    <w:rsid w:val="00BE6A0B"/>
    <w:rsid w:val="00BE6F38"/>
    <w:rsid w:val="00BE7295"/>
    <w:rsid w:val="00BE72F9"/>
    <w:rsid w:val="00BE76AD"/>
    <w:rsid w:val="00BE770C"/>
    <w:rsid w:val="00BE77CC"/>
    <w:rsid w:val="00BE7805"/>
    <w:rsid w:val="00BE7838"/>
    <w:rsid w:val="00BE787E"/>
    <w:rsid w:val="00BE792E"/>
    <w:rsid w:val="00BE7B74"/>
    <w:rsid w:val="00BE7D5B"/>
    <w:rsid w:val="00BE7E42"/>
    <w:rsid w:val="00BF0013"/>
    <w:rsid w:val="00BF00DD"/>
    <w:rsid w:val="00BF03A6"/>
    <w:rsid w:val="00BF070D"/>
    <w:rsid w:val="00BF076F"/>
    <w:rsid w:val="00BF07DF"/>
    <w:rsid w:val="00BF0B06"/>
    <w:rsid w:val="00BF0F82"/>
    <w:rsid w:val="00BF1042"/>
    <w:rsid w:val="00BF1848"/>
    <w:rsid w:val="00BF19B8"/>
    <w:rsid w:val="00BF19E7"/>
    <w:rsid w:val="00BF1A28"/>
    <w:rsid w:val="00BF1B23"/>
    <w:rsid w:val="00BF1D82"/>
    <w:rsid w:val="00BF1E9B"/>
    <w:rsid w:val="00BF250E"/>
    <w:rsid w:val="00BF25A4"/>
    <w:rsid w:val="00BF2694"/>
    <w:rsid w:val="00BF27BC"/>
    <w:rsid w:val="00BF29F1"/>
    <w:rsid w:val="00BF2B7F"/>
    <w:rsid w:val="00BF2D3C"/>
    <w:rsid w:val="00BF2D8B"/>
    <w:rsid w:val="00BF2DBA"/>
    <w:rsid w:val="00BF301F"/>
    <w:rsid w:val="00BF304E"/>
    <w:rsid w:val="00BF30C8"/>
    <w:rsid w:val="00BF311E"/>
    <w:rsid w:val="00BF32EE"/>
    <w:rsid w:val="00BF337B"/>
    <w:rsid w:val="00BF33C0"/>
    <w:rsid w:val="00BF3619"/>
    <w:rsid w:val="00BF367B"/>
    <w:rsid w:val="00BF36CE"/>
    <w:rsid w:val="00BF36FA"/>
    <w:rsid w:val="00BF3BDA"/>
    <w:rsid w:val="00BF3BF9"/>
    <w:rsid w:val="00BF3D57"/>
    <w:rsid w:val="00BF3E2E"/>
    <w:rsid w:val="00BF3ECC"/>
    <w:rsid w:val="00BF3EF9"/>
    <w:rsid w:val="00BF4054"/>
    <w:rsid w:val="00BF40AF"/>
    <w:rsid w:val="00BF4387"/>
    <w:rsid w:val="00BF4428"/>
    <w:rsid w:val="00BF470C"/>
    <w:rsid w:val="00BF487B"/>
    <w:rsid w:val="00BF48D9"/>
    <w:rsid w:val="00BF4BD5"/>
    <w:rsid w:val="00BF4C7B"/>
    <w:rsid w:val="00BF5173"/>
    <w:rsid w:val="00BF5748"/>
    <w:rsid w:val="00BF5966"/>
    <w:rsid w:val="00BF5C2E"/>
    <w:rsid w:val="00BF5C33"/>
    <w:rsid w:val="00BF5F3C"/>
    <w:rsid w:val="00BF611E"/>
    <w:rsid w:val="00BF62D1"/>
    <w:rsid w:val="00BF636A"/>
    <w:rsid w:val="00BF698B"/>
    <w:rsid w:val="00BF6B30"/>
    <w:rsid w:val="00BF6B7A"/>
    <w:rsid w:val="00BF6BC5"/>
    <w:rsid w:val="00BF6D95"/>
    <w:rsid w:val="00BF6EC7"/>
    <w:rsid w:val="00BF7177"/>
    <w:rsid w:val="00BF71DB"/>
    <w:rsid w:val="00BF7268"/>
    <w:rsid w:val="00BF79FB"/>
    <w:rsid w:val="00BF7AA1"/>
    <w:rsid w:val="00BF7CE9"/>
    <w:rsid w:val="00BF7D65"/>
    <w:rsid w:val="00C003C8"/>
    <w:rsid w:val="00C00852"/>
    <w:rsid w:val="00C00866"/>
    <w:rsid w:val="00C00C1E"/>
    <w:rsid w:val="00C00E31"/>
    <w:rsid w:val="00C00E3D"/>
    <w:rsid w:val="00C00E42"/>
    <w:rsid w:val="00C00E86"/>
    <w:rsid w:val="00C00E87"/>
    <w:rsid w:val="00C00EA9"/>
    <w:rsid w:val="00C00EEB"/>
    <w:rsid w:val="00C00EEE"/>
    <w:rsid w:val="00C010D6"/>
    <w:rsid w:val="00C014CB"/>
    <w:rsid w:val="00C0153E"/>
    <w:rsid w:val="00C01561"/>
    <w:rsid w:val="00C0157C"/>
    <w:rsid w:val="00C017EC"/>
    <w:rsid w:val="00C01A27"/>
    <w:rsid w:val="00C01BDA"/>
    <w:rsid w:val="00C01D7F"/>
    <w:rsid w:val="00C01DBA"/>
    <w:rsid w:val="00C01E1D"/>
    <w:rsid w:val="00C01E64"/>
    <w:rsid w:val="00C01E68"/>
    <w:rsid w:val="00C021D5"/>
    <w:rsid w:val="00C021DE"/>
    <w:rsid w:val="00C02214"/>
    <w:rsid w:val="00C0223B"/>
    <w:rsid w:val="00C023B4"/>
    <w:rsid w:val="00C024AB"/>
    <w:rsid w:val="00C024B9"/>
    <w:rsid w:val="00C028CE"/>
    <w:rsid w:val="00C02935"/>
    <w:rsid w:val="00C029E1"/>
    <w:rsid w:val="00C02A2A"/>
    <w:rsid w:val="00C02E82"/>
    <w:rsid w:val="00C02F65"/>
    <w:rsid w:val="00C02FD9"/>
    <w:rsid w:val="00C0304D"/>
    <w:rsid w:val="00C030EA"/>
    <w:rsid w:val="00C031CF"/>
    <w:rsid w:val="00C0345F"/>
    <w:rsid w:val="00C03584"/>
    <w:rsid w:val="00C03961"/>
    <w:rsid w:val="00C03B2F"/>
    <w:rsid w:val="00C03C4E"/>
    <w:rsid w:val="00C040C4"/>
    <w:rsid w:val="00C04113"/>
    <w:rsid w:val="00C0451E"/>
    <w:rsid w:val="00C045E4"/>
    <w:rsid w:val="00C046CE"/>
    <w:rsid w:val="00C04A0B"/>
    <w:rsid w:val="00C04ACD"/>
    <w:rsid w:val="00C04BD5"/>
    <w:rsid w:val="00C04CC8"/>
    <w:rsid w:val="00C04E12"/>
    <w:rsid w:val="00C04EBF"/>
    <w:rsid w:val="00C05136"/>
    <w:rsid w:val="00C051C8"/>
    <w:rsid w:val="00C052F4"/>
    <w:rsid w:val="00C054D7"/>
    <w:rsid w:val="00C05738"/>
    <w:rsid w:val="00C05BDB"/>
    <w:rsid w:val="00C05BDD"/>
    <w:rsid w:val="00C061A9"/>
    <w:rsid w:val="00C06367"/>
    <w:rsid w:val="00C06374"/>
    <w:rsid w:val="00C06391"/>
    <w:rsid w:val="00C0645D"/>
    <w:rsid w:val="00C0657A"/>
    <w:rsid w:val="00C06689"/>
    <w:rsid w:val="00C066E9"/>
    <w:rsid w:val="00C069B4"/>
    <w:rsid w:val="00C06B53"/>
    <w:rsid w:val="00C06B89"/>
    <w:rsid w:val="00C06D37"/>
    <w:rsid w:val="00C06DD6"/>
    <w:rsid w:val="00C06DFF"/>
    <w:rsid w:val="00C07045"/>
    <w:rsid w:val="00C07197"/>
    <w:rsid w:val="00C071C4"/>
    <w:rsid w:val="00C07417"/>
    <w:rsid w:val="00C07688"/>
    <w:rsid w:val="00C07A3F"/>
    <w:rsid w:val="00C07C11"/>
    <w:rsid w:val="00C07EDD"/>
    <w:rsid w:val="00C10253"/>
    <w:rsid w:val="00C1044F"/>
    <w:rsid w:val="00C10667"/>
    <w:rsid w:val="00C108E8"/>
    <w:rsid w:val="00C10EA0"/>
    <w:rsid w:val="00C10F98"/>
    <w:rsid w:val="00C11191"/>
    <w:rsid w:val="00C111A4"/>
    <w:rsid w:val="00C112C3"/>
    <w:rsid w:val="00C113CB"/>
    <w:rsid w:val="00C114A5"/>
    <w:rsid w:val="00C11530"/>
    <w:rsid w:val="00C11782"/>
    <w:rsid w:val="00C11862"/>
    <w:rsid w:val="00C11CCF"/>
    <w:rsid w:val="00C11FA2"/>
    <w:rsid w:val="00C12225"/>
    <w:rsid w:val="00C125CD"/>
    <w:rsid w:val="00C12628"/>
    <w:rsid w:val="00C12775"/>
    <w:rsid w:val="00C12786"/>
    <w:rsid w:val="00C127CC"/>
    <w:rsid w:val="00C1281F"/>
    <w:rsid w:val="00C12BC6"/>
    <w:rsid w:val="00C12C6A"/>
    <w:rsid w:val="00C12D12"/>
    <w:rsid w:val="00C13099"/>
    <w:rsid w:val="00C1315B"/>
    <w:rsid w:val="00C1320C"/>
    <w:rsid w:val="00C13345"/>
    <w:rsid w:val="00C13369"/>
    <w:rsid w:val="00C1369E"/>
    <w:rsid w:val="00C1388B"/>
    <w:rsid w:val="00C13921"/>
    <w:rsid w:val="00C1392F"/>
    <w:rsid w:val="00C139D4"/>
    <w:rsid w:val="00C13AF4"/>
    <w:rsid w:val="00C13B58"/>
    <w:rsid w:val="00C13CBB"/>
    <w:rsid w:val="00C13D27"/>
    <w:rsid w:val="00C13DD5"/>
    <w:rsid w:val="00C13FFC"/>
    <w:rsid w:val="00C14334"/>
    <w:rsid w:val="00C14347"/>
    <w:rsid w:val="00C14435"/>
    <w:rsid w:val="00C1454B"/>
    <w:rsid w:val="00C1484A"/>
    <w:rsid w:val="00C148BF"/>
    <w:rsid w:val="00C14B2C"/>
    <w:rsid w:val="00C14CC4"/>
    <w:rsid w:val="00C14DCB"/>
    <w:rsid w:val="00C14E7F"/>
    <w:rsid w:val="00C14E84"/>
    <w:rsid w:val="00C1526D"/>
    <w:rsid w:val="00C15385"/>
    <w:rsid w:val="00C155CF"/>
    <w:rsid w:val="00C157EB"/>
    <w:rsid w:val="00C15803"/>
    <w:rsid w:val="00C15A45"/>
    <w:rsid w:val="00C15AE4"/>
    <w:rsid w:val="00C15BCA"/>
    <w:rsid w:val="00C15DDF"/>
    <w:rsid w:val="00C15E37"/>
    <w:rsid w:val="00C15F2A"/>
    <w:rsid w:val="00C15F5A"/>
    <w:rsid w:val="00C16352"/>
    <w:rsid w:val="00C16489"/>
    <w:rsid w:val="00C165BE"/>
    <w:rsid w:val="00C169F9"/>
    <w:rsid w:val="00C16B1C"/>
    <w:rsid w:val="00C16B9B"/>
    <w:rsid w:val="00C16BAB"/>
    <w:rsid w:val="00C16E97"/>
    <w:rsid w:val="00C16F35"/>
    <w:rsid w:val="00C1713B"/>
    <w:rsid w:val="00C174F6"/>
    <w:rsid w:val="00C176F7"/>
    <w:rsid w:val="00C179F2"/>
    <w:rsid w:val="00C17C33"/>
    <w:rsid w:val="00C17CA0"/>
    <w:rsid w:val="00C20068"/>
    <w:rsid w:val="00C20070"/>
    <w:rsid w:val="00C20265"/>
    <w:rsid w:val="00C204E8"/>
    <w:rsid w:val="00C207E1"/>
    <w:rsid w:val="00C20855"/>
    <w:rsid w:val="00C20BBE"/>
    <w:rsid w:val="00C20FE3"/>
    <w:rsid w:val="00C2102F"/>
    <w:rsid w:val="00C211F6"/>
    <w:rsid w:val="00C2133E"/>
    <w:rsid w:val="00C21D09"/>
    <w:rsid w:val="00C21DDD"/>
    <w:rsid w:val="00C21F3A"/>
    <w:rsid w:val="00C220A7"/>
    <w:rsid w:val="00C2215B"/>
    <w:rsid w:val="00C222BD"/>
    <w:rsid w:val="00C2259C"/>
    <w:rsid w:val="00C2276E"/>
    <w:rsid w:val="00C228C8"/>
    <w:rsid w:val="00C22935"/>
    <w:rsid w:val="00C22A43"/>
    <w:rsid w:val="00C22AE8"/>
    <w:rsid w:val="00C22B5F"/>
    <w:rsid w:val="00C22D32"/>
    <w:rsid w:val="00C22DC6"/>
    <w:rsid w:val="00C22DD4"/>
    <w:rsid w:val="00C23071"/>
    <w:rsid w:val="00C230C6"/>
    <w:rsid w:val="00C2327C"/>
    <w:rsid w:val="00C232B4"/>
    <w:rsid w:val="00C23318"/>
    <w:rsid w:val="00C2334E"/>
    <w:rsid w:val="00C2369E"/>
    <w:rsid w:val="00C236E0"/>
    <w:rsid w:val="00C23825"/>
    <w:rsid w:val="00C23870"/>
    <w:rsid w:val="00C23B2E"/>
    <w:rsid w:val="00C23CCB"/>
    <w:rsid w:val="00C23E51"/>
    <w:rsid w:val="00C23F2C"/>
    <w:rsid w:val="00C240D2"/>
    <w:rsid w:val="00C24452"/>
    <w:rsid w:val="00C2490C"/>
    <w:rsid w:val="00C24BBE"/>
    <w:rsid w:val="00C24DA7"/>
    <w:rsid w:val="00C24E86"/>
    <w:rsid w:val="00C24FE0"/>
    <w:rsid w:val="00C2511D"/>
    <w:rsid w:val="00C251F1"/>
    <w:rsid w:val="00C252A9"/>
    <w:rsid w:val="00C254AC"/>
    <w:rsid w:val="00C2569C"/>
    <w:rsid w:val="00C2597F"/>
    <w:rsid w:val="00C259D8"/>
    <w:rsid w:val="00C25E2F"/>
    <w:rsid w:val="00C25FC7"/>
    <w:rsid w:val="00C2612D"/>
    <w:rsid w:val="00C261F5"/>
    <w:rsid w:val="00C2639D"/>
    <w:rsid w:val="00C26793"/>
    <w:rsid w:val="00C2692A"/>
    <w:rsid w:val="00C26F1F"/>
    <w:rsid w:val="00C26F6B"/>
    <w:rsid w:val="00C26FAE"/>
    <w:rsid w:val="00C270F5"/>
    <w:rsid w:val="00C273FF"/>
    <w:rsid w:val="00C274AA"/>
    <w:rsid w:val="00C27682"/>
    <w:rsid w:val="00C27707"/>
    <w:rsid w:val="00C27840"/>
    <w:rsid w:val="00C279B6"/>
    <w:rsid w:val="00C27A81"/>
    <w:rsid w:val="00C27CDD"/>
    <w:rsid w:val="00C27D2A"/>
    <w:rsid w:val="00C27E02"/>
    <w:rsid w:val="00C27EEE"/>
    <w:rsid w:val="00C27F29"/>
    <w:rsid w:val="00C30069"/>
    <w:rsid w:val="00C30201"/>
    <w:rsid w:val="00C30329"/>
    <w:rsid w:val="00C304CC"/>
    <w:rsid w:val="00C307B3"/>
    <w:rsid w:val="00C30995"/>
    <w:rsid w:val="00C309EC"/>
    <w:rsid w:val="00C30C0A"/>
    <w:rsid w:val="00C30CD8"/>
    <w:rsid w:val="00C31042"/>
    <w:rsid w:val="00C31453"/>
    <w:rsid w:val="00C31801"/>
    <w:rsid w:val="00C31A74"/>
    <w:rsid w:val="00C31B31"/>
    <w:rsid w:val="00C31CBA"/>
    <w:rsid w:val="00C31D30"/>
    <w:rsid w:val="00C32142"/>
    <w:rsid w:val="00C32405"/>
    <w:rsid w:val="00C325A5"/>
    <w:rsid w:val="00C3280C"/>
    <w:rsid w:val="00C32824"/>
    <w:rsid w:val="00C32A51"/>
    <w:rsid w:val="00C32F95"/>
    <w:rsid w:val="00C3338A"/>
    <w:rsid w:val="00C33411"/>
    <w:rsid w:val="00C337AA"/>
    <w:rsid w:val="00C33A25"/>
    <w:rsid w:val="00C33CD2"/>
    <w:rsid w:val="00C33E9B"/>
    <w:rsid w:val="00C3410E"/>
    <w:rsid w:val="00C343BA"/>
    <w:rsid w:val="00C344EC"/>
    <w:rsid w:val="00C34713"/>
    <w:rsid w:val="00C34AE0"/>
    <w:rsid w:val="00C34EF1"/>
    <w:rsid w:val="00C34F7E"/>
    <w:rsid w:val="00C34FBC"/>
    <w:rsid w:val="00C35133"/>
    <w:rsid w:val="00C35222"/>
    <w:rsid w:val="00C352DE"/>
    <w:rsid w:val="00C3546F"/>
    <w:rsid w:val="00C35607"/>
    <w:rsid w:val="00C35622"/>
    <w:rsid w:val="00C356A6"/>
    <w:rsid w:val="00C35861"/>
    <w:rsid w:val="00C35966"/>
    <w:rsid w:val="00C35B9B"/>
    <w:rsid w:val="00C35C56"/>
    <w:rsid w:val="00C35CC0"/>
    <w:rsid w:val="00C35CFC"/>
    <w:rsid w:val="00C35D95"/>
    <w:rsid w:val="00C35DB9"/>
    <w:rsid w:val="00C361AE"/>
    <w:rsid w:val="00C3636A"/>
    <w:rsid w:val="00C36854"/>
    <w:rsid w:val="00C36BDC"/>
    <w:rsid w:val="00C37177"/>
    <w:rsid w:val="00C372F7"/>
    <w:rsid w:val="00C37446"/>
    <w:rsid w:val="00C3751E"/>
    <w:rsid w:val="00C37643"/>
    <w:rsid w:val="00C376E8"/>
    <w:rsid w:val="00C3789A"/>
    <w:rsid w:val="00C379D6"/>
    <w:rsid w:val="00C37A6A"/>
    <w:rsid w:val="00C37A6D"/>
    <w:rsid w:val="00C37B17"/>
    <w:rsid w:val="00C37BFD"/>
    <w:rsid w:val="00C37E64"/>
    <w:rsid w:val="00C400EB"/>
    <w:rsid w:val="00C404C6"/>
    <w:rsid w:val="00C406D8"/>
    <w:rsid w:val="00C406FC"/>
    <w:rsid w:val="00C407BE"/>
    <w:rsid w:val="00C40815"/>
    <w:rsid w:val="00C408FB"/>
    <w:rsid w:val="00C40939"/>
    <w:rsid w:val="00C409E5"/>
    <w:rsid w:val="00C40BAA"/>
    <w:rsid w:val="00C40E1C"/>
    <w:rsid w:val="00C40E3F"/>
    <w:rsid w:val="00C40F1E"/>
    <w:rsid w:val="00C41131"/>
    <w:rsid w:val="00C41182"/>
    <w:rsid w:val="00C41483"/>
    <w:rsid w:val="00C41577"/>
    <w:rsid w:val="00C41579"/>
    <w:rsid w:val="00C4186E"/>
    <w:rsid w:val="00C418FE"/>
    <w:rsid w:val="00C41A9C"/>
    <w:rsid w:val="00C41D09"/>
    <w:rsid w:val="00C41DD4"/>
    <w:rsid w:val="00C41F6C"/>
    <w:rsid w:val="00C41FAD"/>
    <w:rsid w:val="00C420D0"/>
    <w:rsid w:val="00C421BB"/>
    <w:rsid w:val="00C422E7"/>
    <w:rsid w:val="00C4250C"/>
    <w:rsid w:val="00C4256D"/>
    <w:rsid w:val="00C426FD"/>
    <w:rsid w:val="00C429A4"/>
    <w:rsid w:val="00C42B0F"/>
    <w:rsid w:val="00C42D5D"/>
    <w:rsid w:val="00C42DCC"/>
    <w:rsid w:val="00C42FF3"/>
    <w:rsid w:val="00C4304F"/>
    <w:rsid w:val="00C4334B"/>
    <w:rsid w:val="00C435A4"/>
    <w:rsid w:val="00C438D2"/>
    <w:rsid w:val="00C43B6C"/>
    <w:rsid w:val="00C43B79"/>
    <w:rsid w:val="00C43C72"/>
    <w:rsid w:val="00C43D05"/>
    <w:rsid w:val="00C43DA8"/>
    <w:rsid w:val="00C43F8D"/>
    <w:rsid w:val="00C43F99"/>
    <w:rsid w:val="00C44438"/>
    <w:rsid w:val="00C445F6"/>
    <w:rsid w:val="00C447B0"/>
    <w:rsid w:val="00C44B94"/>
    <w:rsid w:val="00C44C4E"/>
    <w:rsid w:val="00C44D98"/>
    <w:rsid w:val="00C44F68"/>
    <w:rsid w:val="00C450FB"/>
    <w:rsid w:val="00C45607"/>
    <w:rsid w:val="00C4571C"/>
    <w:rsid w:val="00C459EB"/>
    <w:rsid w:val="00C45A0B"/>
    <w:rsid w:val="00C45A54"/>
    <w:rsid w:val="00C45B70"/>
    <w:rsid w:val="00C45D34"/>
    <w:rsid w:val="00C460C2"/>
    <w:rsid w:val="00C46273"/>
    <w:rsid w:val="00C463CA"/>
    <w:rsid w:val="00C4673E"/>
    <w:rsid w:val="00C46860"/>
    <w:rsid w:val="00C46908"/>
    <w:rsid w:val="00C4694A"/>
    <w:rsid w:val="00C46A08"/>
    <w:rsid w:val="00C46C7D"/>
    <w:rsid w:val="00C46F8E"/>
    <w:rsid w:val="00C47163"/>
    <w:rsid w:val="00C473A1"/>
    <w:rsid w:val="00C473A4"/>
    <w:rsid w:val="00C47820"/>
    <w:rsid w:val="00C47833"/>
    <w:rsid w:val="00C47905"/>
    <w:rsid w:val="00C47B8E"/>
    <w:rsid w:val="00C47CA1"/>
    <w:rsid w:val="00C47CE4"/>
    <w:rsid w:val="00C47E21"/>
    <w:rsid w:val="00C47F3C"/>
    <w:rsid w:val="00C50154"/>
    <w:rsid w:val="00C5018D"/>
    <w:rsid w:val="00C50246"/>
    <w:rsid w:val="00C50ABC"/>
    <w:rsid w:val="00C50B13"/>
    <w:rsid w:val="00C50C5D"/>
    <w:rsid w:val="00C50D01"/>
    <w:rsid w:val="00C50D84"/>
    <w:rsid w:val="00C50F21"/>
    <w:rsid w:val="00C51134"/>
    <w:rsid w:val="00C512C3"/>
    <w:rsid w:val="00C512C7"/>
    <w:rsid w:val="00C5143D"/>
    <w:rsid w:val="00C514B6"/>
    <w:rsid w:val="00C51603"/>
    <w:rsid w:val="00C51713"/>
    <w:rsid w:val="00C517B2"/>
    <w:rsid w:val="00C51812"/>
    <w:rsid w:val="00C51892"/>
    <w:rsid w:val="00C51944"/>
    <w:rsid w:val="00C519EE"/>
    <w:rsid w:val="00C51D41"/>
    <w:rsid w:val="00C51E4F"/>
    <w:rsid w:val="00C51FB3"/>
    <w:rsid w:val="00C52107"/>
    <w:rsid w:val="00C5225B"/>
    <w:rsid w:val="00C52335"/>
    <w:rsid w:val="00C523AA"/>
    <w:rsid w:val="00C52444"/>
    <w:rsid w:val="00C52777"/>
    <w:rsid w:val="00C52845"/>
    <w:rsid w:val="00C52BBC"/>
    <w:rsid w:val="00C52C6D"/>
    <w:rsid w:val="00C52E88"/>
    <w:rsid w:val="00C5320A"/>
    <w:rsid w:val="00C53228"/>
    <w:rsid w:val="00C5328F"/>
    <w:rsid w:val="00C533F9"/>
    <w:rsid w:val="00C535D5"/>
    <w:rsid w:val="00C53824"/>
    <w:rsid w:val="00C53C92"/>
    <w:rsid w:val="00C53D6C"/>
    <w:rsid w:val="00C53DB1"/>
    <w:rsid w:val="00C540D0"/>
    <w:rsid w:val="00C54194"/>
    <w:rsid w:val="00C542BB"/>
    <w:rsid w:val="00C542FC"/>
    <w:rsid w:val="00C54798"/>
    <w:rsid w:val="00C548A7"/>
    <w:rsid w:val="00C548D6"/>
    <w:rsid w:val="00C54905"/>
    <w:rsid w:val="00C549D3"/>
    <w:rsid w:val="00C54BD5"/>
    <w:rsid w:val="00C54F87"/>
    <w:rsid w:val="00C55105"/>
    <w:rsid w:val="00C55121"/>
    <w:rsid w:val="00C5520A"/>
    <w:rsid w:val="00C55270"/>
    <w:rsid w:val="00C552F2"/>
    <w:rsid w:val="00C55333"/>
    <w:rsid w:val="00C55481"/>
    <w:rsid w:val="00C55724"/>
    <w:rsid w:val="00C55752"/>
    <w:rsid w:val="00C5585C"/>
    <w:rsid w:val="00C5588F"/>
    <w:rsid w:val="00C558DB"/>
    <w:rsid w:val="00C55A5B"/>
    <w:rsid w:val="00C55BEF"/>
    <w:rsid w:val="00C55E73"/>
    <w:rsid w:val="00C55E7C"/>
    <w:rsid w:val="00C55F27"/>
    <w:rsid w:val="00C56417"/>
    <w:rsid w:val="00C56A5D"/>
    <w:rsid w:val="00C5701D"/>
    <w:rsid w:val="00C57087"/>
    <w:rsid w:val="00C57317"/>
    <w:rsid w:val="00C5757C"/>
    <w:rsid w:val="00C57732"/>
    <w:rsid w:val="00C57751"/>
    <w:rsid w:val="00C57903"/>
    <w:rsid w:val="00C57E4B"/>
    <w:rsid w:val="00C57F4C"/>
    <w:rsid w:val="00C600BB"/>
    <w:rsid w:val="00C6020C"/>
    <w:rsid w:val="00C60242"/>
    <w:rsid w:val="00C602E1"/>
    <w:rsid w:val="00C6034B"/>
    <w:rsid w:val="00C603AB"/>
    <w:rsid w:val="00C604B1"/>
    <w:rsid w:val="00C6059B"/>
    <w:rsid w:val="00C6059F"/>
    <w:rsid w:val="00C606C1"/>
    <w:rsid w:val="00C60892"/>
    <w:rsid w:val="00C60955"/>
    <w:rsid w:val="00C60A4D"/>
    <w:rsid w:val="00C60CC9"/>
    <w:rsid w:val="00C60EA8"/>
    <w:rsid w:val="00C60F71"/>
    <w:rsid w:val="00C60FFC"/>
    <w:rsid w:val="00C61101"/>
    <w:rsid w:val="00C615A2"/>
    <w:rsid w:val="00C61869"/>
    <w:rsid w:val="00C61FD2"/>
    <w:rsid w:val="00C621C3"/>
    <w:rsid w:val="00C62244"/>
    <w:rsid w:val="00C623AA"/>
    <w:rsid w:val="00C62550"/>
    <w:rsid w:val="00C62585"/>
    <w:rsid w:val="00C62748"/>
    <w:rsid w:val="00C62884"/>
    <w:rsid w:val="00C62B33"/>
    <w:rsid w:val="00C62BF1"/>
    <w:rsid w:val="00C62C18"/>
    <w:rsid w:val="00C62D1F"/>
    <w:rsid w:val="00C62D65"/>
    <w:rsid w:val="00C63245"/>
    <w:rsid w:val="00C63329"/>
    <w:rsid w:val="00C633C8"/>
    <w:rsid w:val="00C63635"/>
    <w:rsid w:val="00C636C1"/>
    <w:rsid w:val="00C63979"/>
    <w:rsid w:val="00C63C79"/>
    <w:rsid w:val="00C63D69"/>
    <w:rsid w:val="00C6412F"/>
    <w:rsid w:val="00C6418D"/>
    <w:rsid w:val="00C6441B"/>
    <w:rsid w:val="00C64718"/>
    <w:rsid w:val="00C648E3"/>
    <w:rsid w:val="00C64D69"/>
    <w:rsid w:val="00C64EA8"/>
    <w:rsid w:val="00C65035"/>
    <w:rsid w:val="00C65084"/>
    <w:rsid w:val="00C650EE"/>
    <w:rsid w:val="00C65154"/>
    <w:rsid w:val="00C6535F"/>
    <w:rsid w:val="00C6591A"/>
    <w:rsid w:val="00C65927"/>
    <w:rsid w:val="00C6596D"/>
    <w:rsid w:val="00C65E15"/>
    <w:rsid w:val="00C65E98"/>
    <w:rsid w:val="00C65F35"/>
    <w:rsid w:val="00C65F98"/>
    <w:rsid w:val="00C65FDA"/>
    <w:rsid w:val="00C664DA"/>
    <w:rsid w:val="00C66540"/>
    <w:rsid w:val="00C66800"/>
    <w:rsid w:val="00C669DA"/>
    <w:rsid w:val="00C66C6D"/>
    <w:rsid w:val="00C66D24"/>
    <w:rsid w:val="00C66D5B"/>
    <w:rsid w:val="00C66EB1"/>
    <w:rsid w:val="00C66EEF"/>
    <w:rsid w:val="00C670BC"/>
    <w:rsid w:val="00C67124"/>
    <w:rsid w:val="00C671CC"/>
    <w:rsid w:val="00C67238"/>
    <w:rsid w:val="00C6767A"/>
    <w:rsid w:val="00C67EB2"/>
    <w:rsid w:val="00C67F9B"/>
    <w:rsid w:val="00C7002A"/>
    <w:rsid w:val="00C70034"/>
    <w:rsid w:val="00C70088"/>
    <w:rsid w:val="00C700E6"/>
    <w:rsid w:val="00C702BB"/>
    <w:rsid w:val="00C70436"/>
    <w:rsid w:val="00C70515"/>
    <w:rsid w:val="00C70599"/>
    <w:rsid w:val="00C708CE"/>
    <w:rsid w:val="00C70930"/>
    <w:rsid w:val="00C709AB"/>
    <w:rsid w:val="00C70A68"/>
    <w:rsid w:val="00C70B53"/>
    <w:rsid w:val="00C70D2A"/>
    <w:rsid w:val="00C70EAE"/>
    <w:rsid w:val="00C70EF1"/>
    <w:rsid w:val="00C70F9E"/>
    <w:rsid w:val="00C714C0"/>
    <w:rsid w:val="00C714D5"/>
    <w:rsid w:val="00C7175F"/>
    <w:rsid w:val="00C71777"/>
    <w:rsid w:val="00C71B74"/>
    <w:rsid w:val="00C71C48"/>
    <w:rsid w:val="00C71F19"/>
    <w:rsid w:val="00C722FD"/>
    <w:rsid w:val="00C723E2"/>
    <w:rsid w:val="00C7251B"/>
    <w:rsid w:val="00C72529"/>
    <w:rsid w:val="00C7299D"/>
    <w:rsid w:val="00C729A9"/>
    <w:rsid w:val="00C729F7"/>
    <w:rsid w:val="00C72AF6"/>
    <w:rsid w:val="00C72C70"/>
    <w:rsid w:val="00C732A8"/>
    <w:rsid w:val="00C7332B"/>
    <w:rsid w:val="00C73520"/>
    <w:rsid w:val="00C7354B"/>
    <w:rsid w:val="00C73633"/>
    <w:rsid w:val="00C7386C"/>
    <w:rsid w:val="00C73955"/>
    <w:rsid w:val="00C73BC9"/>
    <w:rsid w:val="00C73E1D"/>
    <w:rsid w:val="00C7417B"/>
    <w:rsid w:val="00C7418C"/>
    <w:rsid w:val="00C742B2"/>
    <w:rsid w:val="00C744E2"/>
    <w:rsid w:val="00C7476A"/>
    <w:rsid w:val="00C747E7"/>
    <w:rsid w:val="00C74BA8"/>
    <w:rsid w:val="00C75040"/>
    <w:rsid w:val="00C751C9"/>
    <w:rsid w:val="00C753F4"/>
    <w:rsid w:val="00C756DF"/>
    <w:rsid w:val="00C756F7"/>
    <w:rsid w:val="00C75882"/>
    <w:rsid w:val="00C7599D"/>
    <w:rsid w:val="00C75B42"/>
    <w:rsid w:val="00C75C1F"/>
    <w:rsid w:val="00C75DD6"/>
    <w:rsid w:val="00C76331"/>
    <w:rsid w:val="00C767C8"/>
    <w:rsid w:val="00C7689B"/>
    <w:rsid w:val="00C76AE4"/>
    <w:rsid w:val="00C76E45"/>
    <w:rsid w:val="00C771D6"/>
    <w:rsid w:val="00C7721D"/>
    <w:rsid w:val="00C772E4"/>
    <w:rsid w:val="00C77303"/>
    <w:rsid w:val="00C77436"/>
    <w:rsid w:val="00C77520"/>
    <w:rsid w:val="00C776A8"/>
    <w:rsid w:val="00C776D5"/>
    <w:rsid w:val="00C77714"/>
    <w:rsid w:val="00C777B2"/>
    <w:rsid w:val="00C7789E"/>
    <w:rsid w:val="00C7790C"/>
    <w:rsid w:val="00C77989"/>
    <w:rsid w:val="00C77B33"/>
    <w:rsid w:val="00C77CAF"/>
    <w:rsid w:val="00C77E82"/>
    <w:rsid w:val="00C8000B"/>
    <w:rsid w:val="00C8031D"/>
    <w:rsid w:val="00C8037D"/>
    <w:rsid w:val="00C803AB"/>
    <w:rsid w:val="00C80562"/>
    <w:rsid w:val="00C80576"/>
    <w:rsid w:val="00C806FC"/>
    <w:rsid w:val="00C807A4"/>
    <w:rsid w:val="00C80F15"/>
    <w:rsid w:val="00C810EC"/>
    <w:rsid w:val="00C812A8"/>
    <w:rsid w:val="00C812BA"/>
    <w:rsid w:val="00C8191A"/>
    <w:rsid w:val="00C8196A"/>
    <w:rsid w:val="00C81A18"/>
    <w:rsid w:val="00C81A1A"/>
    <w:rsid w:val="00C81A90"/>
    <w:rsid w:val="00C81C3C"/>
    <w:rsid w:val="00C81C4F"/>
    <w:rsid w:val="00C81F8B"/>
    <w:rsid w:val="00C82013"/>
    <w:rsid w:val="00C8202D"/>
    <w:rsid w:val="00C8230F"/>
    <w:rsid w:val="00C82314"/>
    <w:rsid w:val="00C82366"/>
    <w:rsid w:val="00C82440"/>
    <w:rsid w:val="00C826E3"/>
    <w:rsid w:val="00C82815"/>
    <w:rsid w:val="00C82841"/>
    <w:rsid w:val="00C8298D"/>
    <w:rsid w:val="00C82B32"/>
    <w:rsid w:val="00C82B90"/>
    <w:rsid w:val="00C82C33"/>
    <w:rsid w:val="00C82CA2"/>
    <w:rsid w:val="00C82ECD"/>
    <w:rsid w:val="00C835F6"/>
    <w:rsid w:val="00C83B95"/>
    <w:rsid w:val="00C83CE1"/>
    <w:rsid w:val="00C83F1D"/>
    <w:rsid w:val="00C83FFE"/>
    <w:rsid w:val="00C84069"/>
    <w:rsid w:val="00C840CE"/>
    <w:rsid w:val="00C84209"/>
    <w:rsid w:val="00C842D7"/>
    <w:rsid w:val="00C843BA"/>
    <w:rsid w:val="00C846D3"/>
    <w:rsid w:val="00C846EB"/>
    <w:rsid w:val="00C847DA"/>
    <w:rsid w:val="00C84CF7"/>
    <w:rsid w:val="00C84D19"/>
    <w:rsid w:val="00C850EB"/>
    <w:rsid w:val="00C8518E"/>
    <w:rsid w:val="00C851F9"/>
    <w:rsid w:val="00C85530"/>
    <w:rsid w:val="00C85718"/>
    <w:rsid w:val="00C857DB"/>
    <w:rsid w:val="00C858B5"/>
    <w:rsid w:val="00C859E3"/>
    <w:rsid w:val="00C85AFA"/>
    <w:rsid w:val="00C85BE6"/>
    <w:rsid w:val="00C85C97"/>
    <w:rsid w:val="00C86112"/>
    <w:rsid w:val="00C8622C"/>
    <w:rsid w:val="00C86BED"/>
    <w:rsid w:val="00C86CF7"/>
    <w:rsid w:val="00C86E1C"/>
    <w:rsid w:val="00C86FBA"/>
    <w:rsid w:val="00C86FEB"/>
    <w:rsid w:val="00C87177"/>
    <w:rsid w:val="00C8719B"/>
    <w:rsid w:val="00C8778E"/>
    <w:rsid w:val="00C8790F"/>
    <w:rsid w:val="00C879A9"/>
    <w:rsid w:val="00C87D08"/>
    <w:rsid w:val="00C87D73"/>
    <w:rsid w:val="00C90461"/>
    <w:rsid w:val="00C9069F"/>
    <w:rsid w:val="00C9072D"/>
    <w:rsid w:val="00C907FA"/>
    <w:rsid w:val="00C90804"/>
    <w:rsid w:val="00C90811"/>
    <w:rsid w:val="00C90A0D"/>
    <w:rsid w:val="00C90C4B"/>
    <w:rsid w:val="00C90D49"/>
    <w:rsid w:val="00C90FFB"/>
    <w:rsid w:val="00C9100E"/>
    <w:rsid w:val="00C91022"/>
    <w:rsid w:val="00C91312"/>
    <w:rsid w:val="00C91407"/>
    <w:rsid w:val="00C91412"/>
    <w:rsid w:val="00C9148E"/>
    <w:rsid w:val="00C9170E"/>
    <w:rsid w:val="00C91742"/>
    <w:rsid w:val="00C9186A"/>
    <w:rsid w:val="00C919BD"/>
    <w:rsid w:val="00C91AF8"/>
    <w:rsid w:val="00C91C5F"/>
    <w:rsid w:val="00C91FEF"/>
    <w:rsid w:val="00C92028"/>
    <w:rsid w:val="00C92277"/>
    <w:rsid w:val="00C92364"/>
    <w:rsid w:val="00C92647"/>
    <w:rsid w:val="00C9272D"/>
    <w:rsid w:val="00C927B2"/>
    <w:rsid w:val="00C928AD"/>
    <w:rsid w:val="00C92DB2"/>
    <w:rsid w:val="00C92F5F"/>
    <w:rsid w:val="00C92FF4"/>
    <w:rsid w:val="00C932BD"/>
    <w:rsid w:val="00C933A5"/>
    <w:rsid w:val="00C936B5"/>
    <w:rsid w:val="00C93780"/>
    <w:rsid w:val="00C9390A"/>
    <w:rsid w:val="00C93A01"/>
    <w:rsid w:val="00C93A38"/>
    <w:rsid w:val="00C93A9F"/>
    <w:rsid w:val="00C93ADA"/>
    <w:rsid w:val="00C93C71"/>
    <w:rsid w:val="00C93E09"/>
    <w:rsid w:val="00C9400E"/>
    <w:rsid w:val="00C9417B"/>
    <w:rsid w:val="00C943C0"/>
    <w:rsid w:val="00C94467"/>
    <w:rsid w:val="00C94725"/>
    <w:rsid w:val="00C94792"/>
    <w:rsid w:val="00C94BA4"/>
    <w:rsid w:val="00C94BF8"/>
    <w:rsid w:val="00C94CD3"/>
    <w:rsid w:val="00C94D57"/>
    <w:rsid w:val="00C94D62"/>
    <w:rsid w:val="00C95137"/>
    <w:rsid w:val="00C951A8"/>
    <w:rsid w:val="00C9526D"/>
    <w:rsid w:val="00C9528B"/>
    <w:rsid w:val="00C95520"/>
    <w:rsid w:val="00C955CF"/>
    <w:rsid w:val="00C9587A"/>
    <w:rsid w:val="00C958ED"/>
    <w:rsid w:val="00C9595C"/>
    <w:rsid w:val="00C95B13"/>
    <w:rsid w:val="00C95E01"/>
    <w:rsid w:val="00C95EC0"/>
    <w:rsid w:val="00C96008"/>
    <w:rsid w:val="00C9603F"/>
    <w:rsid w:val="00C960AE"/>
    <w:rsid w:val="00C960B9"/>
    <w:rsid w:val="00C960C9"/>
    <w:rsid w:val="00C96110"/>
    <w:rsid w:val="00C96435"/>
    <w:rsid w:val="00C964C8"/>
    <w:rsid w:val="00C9669B"/>
    <w:rsid w:val="00C967C8"/>
    <w:rsid w:val="00C969A4"/>
    <w:rsid w:val="00C96AAA"/>
    <w:rsid w:val="00C96C12"/>
    <w:rsid w:val="00C96EB0"/>
    <w:rsid w:val="00C96F08"/>
    <w:rsid w:val="00C96FBB"/>
    <w:rsid w:val="00C970DC"/>
    <w:rsid w:val="00C971EC"/>
    <w:rsid w:val="00C975FA"/>
    <w:rsid w:val="00C9763B"/>
    <w:rsid w:val="00C97648"/>
    <w:rsid w:val="00C9765D"/>
    <w:rsid w:val="00C978EA"/>
    <w:rsid w:val="00C9797A"/>
    <w:rsid w:val="00C97A09"/>
    <w:rsid w:val="00C97D8E"/>
    <w:rsid w:val="00C97EA2"/>
    <w:rsid w:val="00CA009A"/>
    <w:rsid w:val="00CA039A"/>
    <w:rsid w:val="00CA0484"/>
    <w:rsid w:val="00CA0C1D"/>
    <w:rsid w:val="00CA0C3E"/>
    <w:rsid w:val="00CA0DB2"/>
    <w:rsid w:val="00CA1262"/>
    <w:rsid w:val="00CA1351"/>
    <w:rsid w:val="00CA147E"/>
    <w:rsid w:val="00CA14DC"/>
    <w:rsid w:val="00CA160C"/>
    <w:rsid w:val="00CA1619"/>
    <w:rsid w:val="00CA1C91"/>
    <w:rsid w:val="00CA2102"/>
    <w:rsid w:val="00CA2129"/>
    <w:rsid w:val="00CA22C1"/>
    <w:rsid w:val="00CA2347"/>
    <w:rsid w:val="00CA23D2"/>
    <w:rsid w:val="00CA24AA"/>
    <w:rsid w:val="00CA25C3"/>
    <w:rsid w:val="00CA267F"/>
    <w:rsid w:val="00CA28FC"/>
    <w:rsid w:val="00CA2B17"/>
    <w:rsid w:val="00CA2B3A"/>
    <w:rsid w:val="00CA2BE5"/>
    <w:rsid w:val="00CA2E73"/>
    <w:rsid w:val="00CA2F86"/>
    <w:rsid w:val="00CA3041"/>
    <w:rsid w:val="00CA304F"/>
    <w:rsid w:val="00CA3113"/>
    <w:rsid w:val="00CA32B4"/>
    <w:rsid w:val="00CA38AC"/>
    <w:rsid w:val="00CA38BC"/>
    <w:rsid w:val="00CA39C1"/>
    <w:rsid w:val="00CA3A16"/>
    <w:rsid w:val="00CA3C42"/>
    <w:rsid w:val="00CA3C6A"/>
    <w:rsid w:val="00CA3E66"/>
    <w:rsid w:val="00CA3E92"/>
    <w:rsid w:val="00CA3F43"/>
    <w:rsid w:val="00CA3FD5"/>
    <w:rsid w:val="00CA421E"/>
    <w:rsid w:val="00CA4542"/>
    <w:rsid w:val="00CA46D1"/>
    <w:rsid w:val="00CA4755"/>
    <w:rsid w:val="00CA4784"/>
    <w:rsid w:val="00CA4797"/>
    <w:rsid w:val="00CA498E"/>
    <w:rsid w:val="00CA4D43"/>
    <w:rsid w:val="00CA52A4"/>
    <w:rsid w:val="00CA52ED"/>
    <w:rsid w:val="00CA5306"/>
    <w:rsid w:val="00CA564A"/>
    <w:rsid w:val="00CA580C"/>
    <w:rsid w:val="00CA58CA"/>
    <w:rsid w:val="00CA5A09"/>
    <w:rsid w:val="00CA5CAE"/>
    <w:rsid w:val="00CA5D50"/>
    <w:rsid w:val="00CA5DF7"/>
    <w:rsid w:val="00CA611F"/>
    <w:rsid w:val="00CA631F"/>
    <w:rsid w:val="00CA6482"/>
    <w:rsid w:val="00CA6597"/>
    <w:rsid w:val="00CA6977"/>
    <w:rsid w:val="00CA6B85"/>
    <w:rsid w:val="00CA6C75"/>
    <w:rsid w:val="00CA6DB4"/>
    <w:rsid w:val="00CA6EFC"/>
    <w:rsid w:val="00CA6F9E"/>
    <w:rsid w:val="00CA74E4"/>
    <w:rsid w:val="00CA74EE"/>
    <w:rsid w:val="00CA7DFD"/>
    <w:rsid w:val="00CA7F32"/>
    <w:rsid w:val="00CB0362"/>
    <w:rsid w:val="00CB03D0"/>
    <w:rsid w:val="00CB0554"/>
    <w:rsid w:val="00CB05BD"/>
    <w:rsid w:val="00CB06CD"/>
    <w:rsid w:val="00CB0716"/>
    <w:rsid w:val="00CB0764"/>
    <w:rsid w:val="00CB0841"/>
    <w:rsid w:val="00CB099E"/>
    <w:rsid w:val="00CB0D30"/>
    <w:rsid w:val="00CB115F"/>
    <w:rsid w:val="00CB11EE"/>
    <w:rsid w:val="00CB12EC"/>
    <w:rsid w:val="00CB17E3"/>
    <w:rsid w:val="00CB18D4"/>
    <w:rsid w:val="00CB18E3"/>
    <w:rsid w:val="00CB1DC5"/>
    <w:rsid w:val="00CB2123"/>
    <w:rsid w:val="00CB2238"/>
    <w:rsid w:val="00CB254C"/>
    <w:rsid w:val="00CB258E"/>
    <w:rsid w:val="00CB2AF6"/>
    <w:rsid w:val="00CB2CDD"/>
    <w:rsid w:val="00CB2D9D"/>
    <w:rsid w:val="00CB2FA0"/>
    <w:rsid w:val="00CB35B7"/>
    <w:rsid w:val="00CB3613"/>
    <w:rsid w:val="00CB3690"/>
    <w:rsid w:val="00CB39B0"/>
    <w:rsid w:val="00CB3A5A"/>
    <w:rsid w:val="00CB3CAB"/>
    <w:rsid w:val="00CB4078"/>
    <w:rsid w:val="00CB45A0"/>
    <w:rsid w:val="00CB488B"/>
    <w:rsid w:val="00CB4C02"/>
    <w:rsid w:val="00CB4DE7"/>
    <w:rsid w:val="00CB4ED3"/>
    <w:rsid w:val="00CB4EDC"/>
    <w:rsid w:val="00CB4F62"/>
    <w:rsid w:val="00CB540F"/>
    <w:rsid w:val="00CB57E0"/>
    <w:rsid w:val="00CB59DE"/>
    <w:rsid w:val="00CB5AAB"/>
    <w:rsid w:val="00CB5ABE"/>
    <w:rsid w:val="00CB5C1F"/>
    <w:rsid w:val="00CB5F51"/>
    <w:rsid w:val="00CB602C"/>
    <w:rsid w:val="00CB610C"/>
    <w:rsid w:val="00CB61DD"/>
    <w:rsid w:val="00CB6595"/>
    <w:rsid w:val="00CB6679"/>
    <w:rsid w:val="00CB66D1"/>
    <w:rsid w:val="00CB680B"/>
    <w:rsid w:val="00CB6839"/>
    <w:rsid w:val="00CB6875"/>
    <w:rsid w:val="00CB6968"/>
    <w:rsid w:val="00CB6CB6"/>
    <w:rsid w:val="00CB742C"/>
    <w:rsid w:val="00CB78BC"/>
    <w:rsid w:val="00CB7C52"/>
    <w:rsid w:val="00CB7C9C"/>
    <w:rsid w:val="00CB7D1E"/>
    <w:rsid w:val="00CB7DB8"/>
    <w:rsid w:val="00CB7FD3"/>
    <w:rsid w:val="00CC04E1"/>
    <w:rsid w:val="00CC05BD"/>
    <w:rsid w:val="00CC05C9"/>
    <w:rsid w:val="00CC06B0"/>
    <w:rsid w:val="00CC07B8"/>
    <w:rsid w:val="00CC08ED"/>
    <w:rsid w:val="00CC0A66"/>
    <w:rsid w:val="00CC0AC6"/>
    <w:rsid w:val="00CC0CE9"/>
    <w:rsid w:val="00CC0DA5"/>
    <w:rsid w:val="00CC0EF8"/>
    <w:rsid w:val="00CC0F56"/>
    <w:rsid w:val="00CC1112"/>
    <w:rsid w:val="00CC1379"/>
    <w:rsid w:val="00CC1741"/>
    <w:rsid w:val="00CC1F28"/>
    <w:rsid w:val="00CC2094"/>
    <w:rsid w:val="00CC214F"/>
    <w:rsid w:val="00CC2246"/>
    <w:rsid w:val="00CC2493"/>
    <w:rsid w:val="00CC264A"/>
    <w:rsid w:val="00CC29C1"/>
    <w:rsid w:val="00CC2A97"/>
    <w:rsid w:val="00CC2DEF"/>
    <w:rsid w:val="00CC2DF7"/>
    <w:rsid w:val="00CC2E3E"/>
    <w:rsid w:val="00CC3162"/>
    <w:rsid w:val="00CC3554"/>
    <w:rsid w:val="00CC35A4"/>
    <w:rsid w:val="00CC35CF"/>
    <w:rsid w:val="00CC3655"/>
    <w:rsid w:val="00CC367A"/>
    <w:rsid w:val="00CC3979"/>
    <w:rsid w:val="00CC3C91"/>
    <w:rsid w:val="00CC3DDC"/>
    <w:rsid w:val="00CC3E2F"/>
    <w:rsid w:val="00CC3E8B"/>
    <w:rsid w:val="00CC3EC7"/>
    <w:rsid w:val="00CC3ECA"/>
    <w:rsid w:val="00CC40B6"/>
    <w:rsid w:val="00CC4294"/>
    <w:rsid w:val="00CC4354"/>
    <w:rsid w:val="00CC43AC"/>
    <w:rsid w:val="00CC4595"/>
    <w:rsid w:val="00CC45D8"/>
    <w:rsid w:val="00CC4622"/>
    <w:rsid w:val="00CC4694"/>
    <w:rsid w:val="00CC47CF"/>
    <w:rsid w:val="00CC4B61"/>
    <w:rsid w:val="00CC4FF8"/>
    <w:rsid w:val="00CC5085"/>
    <w:rsid w:val="00CC50B2"/>
    <w:rsid w:val="00CC522B"/>
    <w:rsid w:val="00CC5349"/>
    <w:rsid w:val="00CC540F"/>
    <w:rsid w:val="00CC54CF"/>
    <w:rsid w:val="00CC5535"/>
    <w:rsid w:val="00CC55E0"/>
    <w:rsid w:val="00CC5A1C"/>
    <w:rsid w:val="00CC5ADD"/>
    <w:rsid w:val="00CC5DC3"/>
    <w:rsid w:val="00CC6209"/>
    <w:rsid w:val="00CC631A"/>
    <w:rsid w:val="00CC6492"/>
    <w:rsid w:val="00CC6601"/>
    <w:rsid w:val="00CC67B2"/>
    <w:rsid w:val="00CC6D3A"/>
    <w:rsid w:val="00CC6FD0"/>
    <w:rsid w:val="00CC703E"/>
    <w:rsid w:val="00CC71D7"/>
    <w:rsid w:val="00CC7223"/>
    <w:rsid w:val="00CC72A9"/>
    <w:rsid w:val="00CC746D"/>
    <w:rsid w:val="00CC7655"/>
    <w:rsid w:val="00CC772D"/>
    <w:rsid w:val="00CC7817"/>
    <w:rsid w:val="00CC7BB0"/>
    <w:rsid w:val="00CC7C83"/>
    <w:rsid w:val="00CC7D2E"/>
    <w:rsid w:val="00CC7F05"/>
    <w:rsid w:val="00CC7F2C"/>
    <w:rsid w:val="00CD028C"/>
    <w:rsid w:val="00CD033C"/>
    <w:rsid w:val="00CD073F"/>
    <w:rsid w:val="00CD081D"/>
    <w:rsid w:val="00CD0A77"/>
    <w:rsid w:val="00CD0C52"/>
    <w:rsid w:val="00CD0C5B"/>
    <w:rsid w:val="00CD0D6B"/>
    <w:rsid w:val="00CD0DD5"/>
    <w:rsid w:val="00CD0E16"/>
    <w:rsid w:val="00CD10AC"/>
    <w:rsid w:val="00CD10F1"/>
    <w:rsid w:val="00CD110D"/>
    <w:rsid w:val="00CD1210"/>
    <w:rsid w:val="00CD129E"/>
    <w:rsid w:val="00CD136D"/>
    <w:rsid w:val="00CD1610"/>
    <w:rsid w:val="00CD1626"/>
    <w:rsid w:val="00CD19E0"/>
    <w:rsid w:val="00CD1A63"/>
    <w:rsid w:val="00CD1AC6"/>
    <w:rsid w:val="00CD1B2F"/>
    <w:rsid w:val="00CD1B32"/>
    <w:rsid w:val="00CD1C9E"/>
    <w:rsid w:val="00CD1EEC"/>
    <w:rsid w:val="00CD233F"/>
    <w:rsid w:val="00CD23B7"/>
    <w:rsid w:val="00CD246E"/>
    <w:rsid w:val="00CD24D0"/>
    <w:rsid w:val="00CD253A"/>
    <w:rsid w:val="00CD28A5"/>
    <w:rsid w:val="00CD2B4F"/>
    <w:rsid w:val="00CD2B91"/>
    <w:rsid w:val="00CD2CD6"/>
    <w:rsid w:val="00CD2D39"/>
    <w:rsid w:val="00CD307A"/>
    <w:rsid w:val="00CD3364"/>
    <w:rsid w:val="00CD33C9"/>
    <w:rsid w:val="00CD3417"/>
    <w:rsid w:val="00CD346D"/>
    <w:rsid w:val="00CD3473"/>
    <w:rsid w:val="00CD34CE"/>
    <w:rsid w:val="00CD37BA"/>
    <w:rsid w:val="00CD3923"/>
    <w:rsid w:val="00CD3BC6"/>
    <w:rsid w:val="00CD3E4D"/>
    <w:rsid w:val="00CD401D"/>
    <w:rsid w:val="00CD40D9"/>
    <w:rsid w:val="00CD41EE"/>
    <w:rsid w:val="00CD41F5"/>
    <w:rsid w:val="00CD421F"/>
    <w:rsid w:val="00CD425F"/>
    <w:rsid w:val="00CD4314"/>
    <w:rsid w:val="00CD459F"/>
    <w:rsid w:val="00CD4751"/>
    <w:rsid w:val="00CD47AF"/>
    <w:rsid w:val="00CD4920"/>
    <w:rsid w:val="00CD4CB9"/>
    <w:rsid w:val="00CD4DFF"/>
    <w:rsid w:val="00CD4EF7"/>
    <w:rsid w:val="00CD510B"/>
    <w:rsid w:val="00CD521E"/>
    <w:rsid w:val="00CD5283"/>
    <w:rsid w:val="00CD529F"/>
    <w:rsid w:val="00CD5455"/>
    <w:rsid w:val="00CD5686"/>
    <w:rsid w:val="00CD5906"/>
    <w:rsid w:val="00CD59B5"/>
    <w:rsid w:val="00CD5A81"/>
    <w:rsid w:val="00CD5BB5"/>
    <w:rsid w:val="00CD5BDA"/>
    <w:rsid w:val="00CD5DF8"/>
    <w:rsid w:val="00CD5F6E"/>
    <w:rsid w:val="00CD6309"/>
    <w:rsid w:val="00CD649A"/>
    <w:rsid w:val="00CD64E8"/>
    <w:rsid w:val="00CD65BB"/>
    <w:rsid w:val="00CD65FD"/>
    <w:rsid w:val="00CD6830"/>
    <w:rsid w:val="00CD6D43"/>
    <w:rsid w:val="00CD6E39"/>
    <w:rsid w:val="00CD6E52"/>
    <w:rsid w:val="00CD6F61"/>
    <w:rsid w:val="00CD7113"/>
    <w:rsid w:val="00CD7130"/>
    <w:rsid w:val="00CD7156"/>
    <w:rsid w:val="00CD734D"/>
    <w:rsid w:val="00CD778A"/>
    <w:rsid w:val="00CD7B81"/>
    <w:rsid w:val="00CD7BD1"/>
    <w:rsid w:val="00CE0015"/>
    <w:rsid w:val="00CE0242"/>
    <w:rsid w:val="00CE0720"/>
    <w:rsid w:val="00CE078B"/>
    <w:rsid w:val="00CE081E"/>
    <w:rsid w:val="00CE0849"/>
    <w:rsid w:val="00CE097A"/>
    <w:rsid w:val="00CE0CA6"/>
    <w:rsid w:val="00CE0EEF"/>
    <w:rsid w:val="00CE0F04"/>
    <w:rsid w:val="00CE1016"/>
    <w:rsid w:val="00CE10FD"/>
    <w:rsid w:val="00CE1150"/>
    <w:rsid w:val="00CE1690"/>
    <w:rsid w:val="00CE1748"/>
    <w:rsid w:val="00CE1761"/>
    <w:rsid w:val="00CE17C3"/>
    <w:rsid w:val="00CE1E08"/>
    <w:rsid w:val="00CE25D4"/>
    <w:rsid w:val="00CE28E3"/>
    <w:rsid w:val="00CE2AE1"/>
    <w:rsid w:val="00CE2B04"/>
    <w:rsid w:val="00CE2C45"/>
    <w:rsid w:val="00CE2C61"/>
    <w:rsid w:val="00CE2C8D"/>
    <w:rsid w:val="00CE2D68"/>
    <w:rsid w:val="00CE2DC6"/>
    <w:rsid w:val="00CE2FF2"/>
    <w:rsid w:val="00CE30A2"/>
    <w:rsid w:val="00CE3249"/>
    <w:rsid w:val="00CE32A9"/>
    <w:rsid w:val="00CE32CF"/>
    <w:rsid w:val="00CE337A"/>
    <w:rsid w:val="00CE363C"/>
    <w:rsid w:val="00CE3C39"/>
    <w:rsid w:val="00CE3C81"/>
    <w:rsid w:val="00CE3D88"/>
    <w:rsid w:val="00CE3E28"/>
    <w:rsid w:val="00CE3EBA"/>
    <w:rsid w:val="00CE3F16"/>
    <w:rsid w:val="00CE4000"/>
    <w:rsid w:val="00CE427D"/>
    <w:rsid w:val="00CE441F"/>
    <w:rsid w:val="00CE4497"/>
    <w:rsid w:val="00CE44A4"/>
    <w:rsid w:val="00CE47C6"/>
    <w:rsid w:val="00CE4C31"/>
    <w:rsid w:val="00CE4E98"/>
    <w:rsid w:val="00CE4F7D"/>
    <w:rsid w:val="00CE512F"/>
    <w:rsid w:val="00CE537A"/>
    <w:rsid w:val="00CE5560"/>
    <w:rsid w:val="00CE55DE"/>
    <w:rsid w:val="00CE594B"/>
    <w:rsid w:val="00CE59A1"/>
    <w:rsid w:val="00CE5A0E"/>
    <w:rsid w:val="00CE5BA2"/>
    <w:rsid w:val="00CE5CFC"/>
    <w:rsid w:val="00CE5D38"/>
    <w:rsid w:val="00CE605F"/>
    <w:rsid w:val="00CE612A"/>
    <w:rsid w:val="00CE6163"/>
    <w:rsid w:val="00CE61B2"/>
    <w:rsid w:val="00CE66A8"/>
    <w:rsid w:val="00CE66F2"/>
    <w:rsid w:val="00CE6BE5"/>
    <w:rsid w:val="00CE6E53"/>
    <w:rsid w:val="00CE6F66"/>
    <w:rsid w:val="00CE71BE"/>
    <w:rsid w:val="00CE7388"/>
    <w:rsid w:val="00CE73F5"/>
    <w:rsid w:val="00CE7A12"/>
    <w:rsid w:val="00CE7AD0"/>
    <w:rsid w:val="00CE7BB0"/>
    <w:rsid w:val="00CE7EBB"/>
    <w:rsid w:val="00CE7FE9"/>
    <w:rsid w:val="00CF01EB"/>
    <w:rsid w:val="00CF02B4"/>
    <w:rsid w:val="00CF0328"/>
    <w:rsid w:val="00CF038B"/>
    <w:rsid w:val="00CF0497"/>
    <w:rsid w:val="00CF04BE"/>
    <w:rsid w:val="00CF0A29"/>
    <w:rsid w:val="00CF0C8E"/>
    <w:rsid w:val="00CF0CFC"/>
    <w:rsid w:val="00CF0D3F"/>
    <w:rsid w:val="00CF0F6A"/>
    <w:rsid w:val="00CF0F77"/>
    <w:rsid w:val="00CF1081"/>
    <w:rsid w:val="00CF1090"/>
    <w:rsid w:val="00CF1154"/>
    <w:rsid w:val="00CF11A1"/>
    <w:rsid w:val="00CF1226"/>
    <w:rsid w:val="00CF14E2"/>
    <w:rsid w:val="00CF1665"/>
    <w:rsid w:val="00CF16F2"/>
    <w:rsid w:val="00CF18CB"/>
    <w:rsid w:val="00CF1A52"/>
    <w:rsid w:val="00CF1C52"/>
    <w:rsid w:val="00CF1FAB"/>
    <w:rsid w:val="00CF1FF0"/>
    <w:rsid w:val="00CF201E"/>
    <w:rsid w:val="00CF2580"/>
    <w:rsid w:val="00CF278B"/>
    <w:rsid w:val="00CF282A"/>
    <w:rsid w:val="00CF2A4F"/>
    <w:rsid w:val="00CF2A8C"/>
    <w:rsid w:val="00CF2C4F"/>
    <w:rsid w:val="00CF2FD1"/>
    <w:rsid w:val="00CF3566"/>
    <w:rsid w:val="00CF36C7"/>
    <w:rsid w:val="00CF36D2"/>
    <w:rsid w:val="00CF3901"/>
    <w:rsid w:val="00CF3BE7"/>
    <w:rsid w:val="00CF3C0B"/>
    <w:rsid w:val="00CF3D88"/>
    <w:rsid w:val="00CF3D8D"/>
    <w:rsid w:val="00CF3F56"/>
    <w:rsid w:val="00CF4010"/>
    <w:rsid w:val="00CF40AD"/>
    <w:rsid w:val="00CF41A6"/>
    <w:rsid w:val="00CF45A8"/>
    <w:rsid w:val="00CF4714"/>
    <w:rsid w:val="00CF498E"/>
    <w:rsid w:val="00CF4BE0"/>
    <w:rsid w:val="00CF4BF6"/>
    <w:rsid w:val="00CF4BFE"/>
    <w:rsid w:val="00CF4EAD"/>
    <w:rsid w:val="00CF4FB5"/>
    <w:rsid w:val="00CF509B"/>
    <w:rsid w:val="00CF51F4"/>
    <w:rsid w:val="00CF526F"/>
    <w:rsid w:val="00CF52E0"/>
    <w:rsid w:val="00CF53FE"/>
    <w:rsid w:val="00CF5797"/>
    <w:rsid w:val="00CF57F8"/>
    <w:rsid w:val="00CF58C6"/>
    <w:rsid w:val="00CF58CA"/>
    <w:rsid w:val="00CF5963"/>
    <w:rsid w:val="00CF5A4B"/>
    <w:rsid w:val="00CF5C0B"/>
    <w:rsid w:val="00CF5C37"/>
    <w:rsid w:val="00CF5ED0"/>
    <w:rsid w:val="00CF5F12"/>
    <w:rsid w:val="00CF5FD0"/>
    <w:rsid w:val="00CF5FEB"/>
    <w:rsid w:val="00CF602C"/>
    <w:rsid w:val="00CF6083"/>
    <w:rsid w:val="00CF617E"/>
    <w:rsid w:val="00CF62E1"/>
    <w:rsid w:val="00CF6343"/>
    <w:rsid w:val="00CF6651"/>
    <w:rsid w:val="00CF69C8"/>
    <w:rsid w:val="00CF6A12"/>
    <w:rsid w:val="00CF6A36"/>
    <w:rsid w:val="00CF6D12"/>
    <w:rsid w:val="00CF6E13"/>
    <w:rsid w:val="00CF7114"/>
    <w:rsid w:val="00CF7204"/>
    <w:rsid w:val="00CF75D1"/>
    <w:rsid w:val="00CF76CC"/>
    <w:rsid w:val="00CF792B"/>
    <w:rsid w:val="00CF798A"/>
    <w:rsid w:val="00CF79FE"/>
    <w:rsid w:val="00CF7AB5"/>
    <w:rsid w:val="00CF7BC1"/>
    <w:rsid w:val="00CF7F0B"/>
    <w:rsid w:val="00D003AB"/>
    <w:rsid w:val="00D0053F"/>
    <w:rsid w:val="00D005A9"/>
    <w:rsid w:val="00D00908"/>
    <w:rsid w:val="00D009A8"/>
    <w:rsid w:val="00D00BD6"/>
    <w:rsid w:val="00D00C40"/>
    <w:rsid w:val="00D00CAD"/>
    <w:rsid w:val="00D00CCE"/>
    <w:rsid w:val="00D00D3D"/>
    <w:rsid w:val="00D00ED6"/>
    <w:rsid w:val="00D013A6"/>
    <w:rsid w:val="00D01548"/>
    <w:rsid w:val="00D0178A"/>
    <w:rsid w:val="00D017BF"/>
    <w:rsid w:val="00D019A7"/>
    <w:rsid w:val="00D019B5"/>
    <w:rsid w:val="00D01A13"/>
    <w:rsid w:val="00D01A90"/>
    <w:rsid w:val="00D01CA2"/>
    <w:rsid w:val="00D01CA9"/>
    <w:rsid w:val="00D01E7D"/>
    <w:rsid w:val="00D01F14"/>
    <w:rsid w:val="00D01FEE"/>
    <w:rsid w:val="00D0213E"/>
    <w:rsid w:val="00D02150"/>
    <w:rsid w:val="00D02426"/>
    <w:rsid w:val="00D0262E"/>
    <w:rsid w:val="00D02657"/>
    <w:rsid w:val="00D02846"/>
    <w:rsid w:val="00D02F5C"/>
    <w:rsid w:val="00D02F63"/>
    <w:rsid w:val="00D034FF"/>
    <w:rsid w:val="00D03AEE"/>
    <w:rsid w:val="00D03D47"/>
    <w:rsid w:val="00D03D50"/>
    <w:rsid w:val="00D03DBC"/>
    <w:rsid w:val="00D03FAB"/>
    <w:rsid w:val="00D0404E"/>
    <w:rsid w:val="00D041BF"/>
    <w:rsid w:val="00D042EF"/>
    <w:rsid w:val="00D04314"/>
    <w:rsid w:val="00D0472B"/>
    <w:rsid w:val="00D04B09"/>
    <w:rsid w:val="00D04CE4"/>
    <w:rsid w:val="00D04D91"/>
    <w:rsid w:val="00D04F0A"/>
    <w:rsid w:val="00D050F5"/>
    <w:rsid w:val="00D05373"/>
    <w:rsid w:val="00D054BE"/>
    <w:rsid w:val="00D056EB"/>
    <w:rsid w:val="00D0571B"/>
    <w:rsid w:val="00D05773"/>
    <w:rsid w:val="00D05915"/>
    <w:rsid w:val="00D05AAA"/>
    <w:rsid w:val="00D05AF5"/>
    <w:rsid w:val="00D05B22"/>
    <w:rsid w:val="00D05CE2"/>
    <w:rsid w:val="00D05E03"/>
    <w:rsid w:val="00D05F6E"/>
    <w:rsid w:val="00D062EF"/>
    <w:rsid w:val="00D063F5"/>
    <w:rsid w:val="00D0644F"/>
    <w:rsid w:val="00D064C4"/>
    <w:rsid w:val="00D065E2"/>
    <w:rsid w:val="00D06729"/>
    <w:rsid w:val="00D067DA"/>
    <w:rsid w:val="00D06966"/>
    <w:rsid w:val="00D06A82"/>
    <w:rsid w:val="00D06C8E"/>
    <w:rsid w:val="00D06CDB"/>
    <w:rsid w:val="00D06DE1"/>
    <w:rsid w:val="00D06E0B"/>
    <w:rsid w:val="00D06F77"/>
    <w:rsid w:val="00D06FD8"/>
    <w:rsid w:val="00D070FF"/>
    <w:rsid w:val="00D07223"/>
    <w:rsid w:val="00D07289"/>
    <w:rsid w:val="00D074BE"/>
    <w:rsid w:val="00D07614"/>
    <w:rsid w:val="00D07D4A"/>
    <w:rsid w:val="00D07D6E"/>
    <w:rsid w:val="00D07EC5"/>
    <w:rsid w:val="00D102D0"/>
    <w:rsid w:val="00D102E2"/>
    <w:rsid w:val="00D10574"/>
    <w:rsid w:val="00D1058C"/>
    <w:rsid w:val="00D10724"/>
    <w:rsid w:val="00D109C3"/>
    <w:rsid w:val="00D10A6F"/>
    <w:rsid w:val="00D10B5D"/>
    <w:rsid w:val="00D10EA8"/>
    <w:rsid w:val="00D111B4"/>
    <w:rsid w:val="00D1150E"/>
    <w:rsid w:val="00D115A0"/>
    <w:rsid w:val="00D115CB"/>
    <w:rsid w:val="00D115D6"/>
    <w:rsid w:val="00D1167C"/>
    <w:rsid w:val="00D117FE"/>
    <w:rsid w:val="00D11BCD"/>
    <w:rsid w:val="00D11C05"/>
    <w:rsid w:val="00D11CB8"/>
    <w:rsid w:val="00D11ECC"/>
    <w:rsid w:val="00D11F42"/>
    <w:rsid w:val="00D12121"/>
    <w:rsid w:val="00D121FD"/>
    <w:rsid w:val="00D12342"/>
    <w:rsid w:val="00D124EC"/>
    <w:rsid w:val="00D126E4"/>
    <w:rsid w:val="00D12837"/>
    <w:rsid w:val="00D12B24"/>
    <w:rsid w:val="00D12B65"/>
    <w:rsid w:val="00D12C53"/>
    <w:rsid w:val="00D132CF"/>
    <w:rsid w:val="00D134A8"/>
    <w:rsid w:val="00D137A7"/>
    <w:rsid w:val="00D1383C"/>
    <w:rsid w:val="00D139BB"/>
    <w:rsid w:val="00D13D0B"/>
    <w:rsid w:val="00D140FA"/>
    <w:rsid w:val="00D14180"/>
    <w:rsid w:val="00D142C1"/>
    <w:rsid w:val="00D14344"/>
    <w:rsid w:val="00D143AF"/>
    <w:rsid w:val="00D143CB"/>
    <w:rsid w:val="00D1443C"/>
    <w:rsid w:val="00D14460"/>
    <w:rsid w:val="00D1464B"/>
    <w:rsid w:val="00D1472E"/>
    <w:rsid w:val="00D14893"/>
    <w:rsid w:val="00D14994"/>
    <w:rsid w:val="00D14B9E"/>
    <w:rsid w:val="00D14C1E"/>
    <w:rsid w:val="00D14D0D"/>
    <w:rsid w:val="00D14D9B"/>
    <w:rsid w:val="00D14E78"/>
    <w:rsid w:val="00D14EBB"/>
    <w:rsid w:val="00D15573"/>
    <w:rsid w:val="00D15589"/>
    <w:rsid w:val="00D15663"/>
    <w:rsid w:val="00D1573B"/>
    <w:rsid w:val="00D157AF"/>
    <w:rsid w:val="00D15843"/>
    <w:rsid w:val="00D158CE"/>
    <w:rsid w:val="00D15A1F"/>
    <w:rsid w:val="00D15D33"/>
    <w:rsid w:val="00D15D77"/>
    <w:rsid w:val="00D15D87"/>
    <w:rsid w:val="00D15FD4"/>
    <w:rsid w:val="00D16050"/>
    <w:rsid w:val="00D16155"/>
    <w:rsid w:val="00D1618D"/>
    <w:rsid w:val="00D1622E"/>
    <w:rsid w:val="00D167A0"/>
    <w:rsid w:val="00D167E5"/>
    <w:rsid w:val="00D16B26"/>
    <w:rsid w:val="00D16BAC"/>
    <w:rsid w:val="00D16ED1"/>
    <w:rsid w:val="00D1709D"/>
    <w:rsid w:val="00D1716B"/>
    <w:rsid w:val="00D174B8"/>
    <w:rsid w:val="00D1757B"/>
    <w:rsid w:val="00D17822"/>
    <w:rsid w:val="00D17945"/>
    <w:rsid w:val="00D17CA7"/>
    <w:rsid w:val="00D17D57"/>
    <w:rsid w:val="00D17EEA"/>
    <w:rsid w:val="00D20264"/>
    <w:rsid w:val="00D2034B"/>
    <w:rsid w:val="00D20368"/>
    <w:rsid w:val="00D205F7"/>
    <w:rsid w:val="00D2060A"/>
    <w:rsid w:val="00D208B1"/>
    <w:rsid w:val="00D20914"/>
    <w:rsid w:val="00D20D5F"/>
    <w:rsid w:val="00D21144"/>
    <w:rsid w:val="00D217CA"/>
    <w:rsid w:val="00D21976"/>
    <w:rsid w:val="00D21B20"/>
    <w:rsid w:val="00D21D3E"/>
    <w:rsid w:val="00D21DA7"/>
    <w:rsid w:val="00D222A6"/>
    <w:rsid w:val="00D225CE"/>
    <w:rsid w:val="00D227C3"/>
    <w:rsid w:val="00D22877"/>
    <w:rsid w:val="00D22A0D"/>
    <w:rsid w:val="00D22BC2"/>
    <w:rsid w:val="00D22D1B"/>
    <w:rsid w:val="00D22DA5"/>
    <w:rsid w:val="00D23014"/>
    <w:rsid w:val="00D235A5"/>
    <w:rsid w:val="00D23946"/>
    <w:rsid w:val="00D2399D"/>
    <w:rsid w:val="00D23CE3"/>
    <w:rsid w:val="00D23D9D"/>
    <w:rsid w:val="00D23E2F"/>
    <w:rsid w:val="00D23E80"/>
    <w:rsid w:val="00D23FDC"/>
    <w:rsid w:val="00D24159"/>
    <w:rsid w:val="00D241A9"/>
    <w:rsid w:val="00D246A7"/>
    <w:rsid w:val="00D248DF"/>
    <w:rsid w:val="00D24A3F"/>
    <w:rsid w:val="00D24AFE"/>
    <w:rsid w:val="00D24BCC"/>
    <w:rsid w:val="00D24E1B"/>
    <w:rsid w:val="00D24E49"/>
    <w:rsid w:val="00D251D1"/>
    <w:rsid w:val="00D251E3"/>
    <w:rsid w:val="00D25385"/>
    <w:rsid w:val="00D253DE"/>
    <w:rsid w:val="00D25448"/>
    <w:rsid w:val="00D2561F"/>
    <w:rsid w:val="00D25779"/>
    <w:rsid w:val="00D25785"/>
    <w:rsid w:val="00D25A22"/>
    <w:rsid w:val="00D25B85"/>
    <w:rsid w:val="00D25C2F"/>
    <w:rsid w:val="00D25C58"/>
    <w:rsid w:val="00D25E65"/>
    <w:rsid w:val="00D25F53"/>
    <w:rsid w:val="00D25FDB"/>
    <w:rsid w:val="00D260A6"/>
    <w:rsid w:val="00D260D3"/>
    <w:rsid w:val="00D264C3"/>
    <w:rsid w:val="00D2651B"/>
    <w:rsid w:val="00D2654A"/>
    <w:rsid w:val="00D265AE"/>
    <w:rsid w:val="00D266D5"/>
    <w:rsid w:val="00D266EE"/>
    <w:rsid w:val="00D268B4"/>
    <w:rsid w:val="00D269D8"/>
    <w:rsid w:val="00D269F3"/>
    <w:rsid w:val="00D26A13"/>
    <w:rsid w:val="00D26A9A"/>
    <w:rsid w:val="00D26B85"/>
    <w:rsid w:val="00D26CA1"/>
    <w:rsid w:val="00D26D84"/>
    <w:rsid w:val="00D26E07"/>
    <w:rsid w:val="00D26F04"/>
    <w:rsid w:val="00D26F73"/>
    <w:rsid w:val="00D26FF3"/>
    <w:rsid w:val="00D270CC"/>
    <w:rsid w:val="00D27759"/>
    <w:rsid w:val="00D27992"/>
    <w:rsid w:val="00D27D10"/>
    <w:rsid w:val="00D30052"/>
    <w:rsid w:val="00D306C5"/>
    <w:rsid w:val="00D3094F"/>
    <w:rsid w:val="00D30A88"/>
    <w:rsid w:val="00D30C96"/>
    <w:rsid w:val="00D30E4F"/>
    <w:rsid w:val="00D30E7C"/>
    <w:rsid w:val="00D30E80"/>
    <w:rsid w:val="00D31159"/>
    <w:rsid w:val="00D312E2"/>
    <w:rsid w:val="00D31429"/>
    <w:rsid w:val="00D3165E"/>
    <w:rsid w:val="00D316B3"/>
    <w:rsid w:val="00D31B34"/>
    <w:rsid w:val="00D31BF8"/>
    <w:rsid w:val="00D31D24"/>
    <w:rsid w:val="00D31D7D"/>
    <w:rsid w:val="00D31E8E"/>
    <w:rsid w:val="00D31FB2"/>
    <w:rsid w:val="00D3222D"/>
    <w:rsid w:val="00D32260"/>
    <w:rsid w:val="00D3235F"/>
    <w:rsid w:val="00D3247A"/>
    <w:rsid w:val="00D32619"/>
    <w:rsid w:val="00D3261C"/>
    <w:rsid w:val="00D3265D"/>
    <w:rsid w:val="00D3267D"/>
    <w:rsid w:val="00D328E4"/>
    <w:rsid w:val="00D32CB4"/>
    <w:rsid w:val="00D32DCC"/>
    <w:rsid w:val="00D32EA2"/>
    <w:rsid w:val="00D32ED9"/>
    <w:rsid w:val="00D32EDA"/>
    <w:rsid w:val="00D32F56"/>
    <w:rsid w:val="00D33479"/>
    <w:rsid w:val="00D33830"/>
    <w:rsid w:val="00D33B36"/>
    <w:rsid w:val="00D33C6A"/>
    <w:rsid w:val="00D33D7A"/>
    <w:rsid w:val="00D340A8"/>
    <w:rsid w:val="00D34121"/>
    <w:rsid w:val="00D34185"/>
    <w:rsid w:val="00D34415"/>
    <w:rsid w:val="00D34547"/>
    <w:rsid w:val="00D34667"/>
    <w:rsid w:val="00D348A8"/>
    <w:rsid w:val="00D34A94"/>
    <w:rsid w:val="00D34C60"/>
    <w:rsid w:val="00D34DB4"/>
    <w:rsid w:val="00D34E2E"/>
    <w:rsid w:val="00D34E37"/>
    <w:rsid w:val="00D34EA9"/>
    <w:rsid w:val="00D34EAC"/>
    <w:rsid w:val="00D34F2D"/>
    <w:rsid w:val="00D34F66"/>
    <w:rsid w:val="00D35404"/>
    <w:rsid w:val="00D35447"/>
    <w:rsid w:val="00D357F2"/>
    <w:rsid w:val="00D35D9E"/>
    <w:rsid w:val="00D35ED5"/>
    <w:rsid w:val="00D3600F"/>
    <w:rsid w:val="00D36280"/>
    <w:rsid w:val="00D3642B"/>
    <w:rsid w:val="00D36513"/>
    <w:rsid w:val="00D36730"/>
    <w:rsid w:val="00D36787"/>
    <w:rsid w:val="00D36939"/>
    <w:rsid w:val="00D36B2D"/>
    <w:rsid w:val="00D36BAE"/>
    <w:rsid w:val="00D36C05"/>
    <w:rsid w:val="00D36CCA"/>
    <w:rsid w:val="00D36D21"/>
    <w:rsid w:val="00D37026"/>
    <w:rsid w:val="00D3702C"/>
    <w:rsid w:val="00D3709F"/>
    <w:rsid w:val="00D37155"/>
    <w:rsid w:val="00D37163"/>
    <w:rsid w:val="00D3740C"/>
    <w:rsid w:val="00D378F8"/>
    <w:rsid w:val="00D37BB3"/>
    <w:rsid w:val="00D37E18"/>
    <w:rsid w:val="00D4022D"/>
    <w:rsid w:val="00D4039B"/>
    <w:rsid w:val="00D4041B"/>
    <w:rsid w:val="00D40502"/>
    <w:rsid w:val="00D405CD"/>
    <w:rsid w:val="00D40A19"/>
    <w:rsid w:val="00D40AC0"/>
    <w:rsid w:val="00D40ACF"/>
    <w:rsid w:val="00D40D9C"/>
    <w:rsid w:val="00D40E9B"/>
    <w:rsid w:val="00D4105A"/>
    <w:rsid w:val="00D4135E"/>
    <w:rsid w:val="00D41422"/>
    <w:rsid w:val="00D4156B"/>
    <w:rsid w:val="00D4164B"/>
    <w:rsid w:val="00D419D4"/>
    <w:rsid w:val="00D41BC7"/>
    <w:rsid w:val="00D41C74"/>
    <w:rsid w:val="00D41D86"/>
    <w:rsid w:val="00D41DAE"/>
    <w:rsid w:val="00D42291"/>
    <w:rsid w:val="00D42311"/>
    <w:rsid w:val="00D4243A"/>
    <w:rsid w:val="00D42474"/>
    <w:rsid w:val="00D424BD"/>
    <w:rsid w:val="00D4298B"/>
    <w:rsid w:val="00D429F5"/>
    <w:rsid w:val="00D42E4C"/>
    <w:rsid w:val="00D42F28"/>
    <w:rsid w:val="00D43062"/>
    <w:rsid w:val="00D4340A"/>
    <w:rsid w:val="00D434EE"/>
    <w:rsid w:val="00D435A2"/>
    <w:rsid w:val="00D43778"/>
    <w:rsid w:val="00D439F7"/>
    <w:rsid w:val="00D43A47"/>
    <w:rsid w:val="00D43FF7"/>
    <w:rsid w:val="00D440C5"/>
    <w:rsid w:val="00D440D1"/>
    <w:rsid w:val="00D441C3"/>
    <w:rsid w:val="00D44303"/>
    <w:rsid w:val="00D44360"/>
    <w:rsid w:val="00D44407"/>
    <w:rsid w:val="00D4465B"/>
    <w:rsid w:val="00D447C1"/>
    <w:rsid w:val="00D4481B"/>
    <w:rsid w:val="00D44860"/>
    <w:rsid w:val="00D44908"/>
    <w:rsid w:val="00D44B53"/>
    <w:rsid w:val="00D44B9A"/>
    <w:rsid w:val="00D44D40"/>
    <w:rsid w:val="00D450CD"/>
    <w:rsid w:val="00D452AA"/>
    <w:rsid w:val="00D4538B"/>
    <w:rsid w:val="00D4550B"/>
    <w:rsid w:val="00D456D9"/>
    <w:rsid w:val="00D4570F"/>
    <w:rsid w:val="00D457B1"/>
    <w:rsid w:val="00D4587F"/>
    <w:rsid w:val="00D45989"/>
    <w:rsid w:val="00D45B08"/>
    <w:rsid w:val="00D45B5B"/>
    <w:rsid w:val="00D45CC0"/>
    <w:rsid w:val="00D45D31"/>
    <w:rsid w:val="00D46046"/>
    <w:rsid w:val="00D46057"/>
    <w:rsid w:val="00D46326"/>
    <w:rsid w:val="00D46421"/>
    <w:rsid w:val="00D46674"/>
    <w:rsid w:val="00D466E0"/>
    <w:rsid w:val="00D466FA"/>
    <w:rsid w:val="00D468C3"/>
    <w:rsid w:val="00D46CC1"/>
    <w:rsid w:val="00D46D50"/>
    <w:rsid w:val="00D46F3B"/>
    <w:rsid w:val="00D472BC"/>
    <w:rsid w:val="00D472C9"/>
    <w:rsid w:val="00D47346"/>
    <w:rsid w:val="00D4744D"/>
    <w:rsid w:val="00D47538"/>
    <w:rsid w:val="00D4781B"/>
    <w:rsid w:val="00D47913"/>
    <w:rsid w:val="00D47A57"/>
    <w:rsid w:val="00D47AA9"/>
    <w:rsid w:val="00D47B6E"/>
    <w:rsid w:val="00D47E94"/>
    <w:rsid w:val="00D50047"/>
    <w:rsid w:val="00D504DD"/>
    <w:rsid w:val="00D50963"/>
    <w:rsid w:val="00D50B2F"/>
    <w:rsid w:val="00D5126C"/>
    <w:rsid w:val="00D512E5"/>
    <w:rsid w:val="00D514F5"/>
    <w:rsid w:val="00D5153B"/>
    <w:rsid w:val="00D515D4"/>
    <w:rsid w:val="00D518A2"/>
    <w:rsid w:val="00D51CC8"/>
    <w:rsid w:val="00D51CDB"/>
    <w:rsid w:val="00D51D64"/>
    <w:rsid w:val="00D51F02"/>
    <w:rsid w:val="00D51F24"/>
    <w:rsid w:val="00D51F7E"/>
    <w:rsid w:val="00D52130"/>
    <w:rsid w:val="00D525B4"/>
    <w:rsid w:val="00D527F0"/>
    <w:rsid w:val="00D5281A"/>
    <w:rsid w:val="00D52C30"/>
    <w:rsid w:val="00D52EBE"/>
    <w:rsid w:val="00D52F5B"/>
    <w:rsid w:val="00D53003"/>
    <w:rsid w:val="00D531D1"/>
    <w:rsid w:val="00D531ED"/>
    <w:rsid w:val="00D533B0"/>
    <w:rsid w:val="00D533FA"/>
    <w:rsid w:val="00D53721"/>
    <w:rsid w:val="00D537A1"/>
    <w:rsid w:val="00D5397C"/>
    <w:rsid w:val="00D53A77"/>
    <w:rsid w:val="00D53B4B"/>
    <w:rsid w:val="00D53ED5"/>
    <w:rsid w:val="00D540D4"/>
    <w:rsid w:val="00D543D2"/>
    <w:rsid w:val="00D54499"/>
    <w:rsid w:val="00D5456A"/>
    <w:rsid w:val="00D54673"/>
    <w:rsid w:val="00D54924"/>
    <w:rsid w:val="00D54E93"/>
    <w:rsid w:val="00D550E8"/>
    <w:rsid w:val="00D55284"/>
    <w:rsid w:val="00D552B8"/>
    <w:rsid w:val="00D55438"/>
    <w:rsid w:val="00D55578"/>
    <w:rsid w:val="00D556DE"/>
    <w:rsid w:val="00D557CA"/>
    <w:rsid w:val="00D559C8"/>
    <w:rsid w:val="00D55A7B"/>
    <w:rsid w:val="00D55B84"/>
    <w:rsid w:val="00D55EB3"/>
    <w:rsid w:val="00D561BC"/>
    <w:rsid w:val="00D561CC"/>
    <w:rsid w:val="00D561EB"/>
    <w:rsid w:val="00D562DE"/>
    <w:rsid w:val="00D56486"/>
    <w:rsid w:val="00D56511"/>
    <w:rsid w:val="00D565B3"/>
    <w:rsid w:val="00D565E3"/>
    <w:rsid w:val="00D56995"/>
    <w:rsid w:val="00D56C58"/>
    <w:rsid w:val="00D56EC7"/>
    <w:rsid w:val="00D56F2B"/>
    <w:rsid w:val="00D56F61"/>
    <w:rsid w:val="00D571C5"/>
    <w:rsid w:val="00D571D2"/>
    <w:rsid w:val="00D576F7"/>
    <w:rsid w:val="00D5796F"/>
    <w:rsid w:val="00D57BE2"/>
    <w:rsid w:val="00D57C59"/>
    <w:rsid w:val="00D57C70"/>
    <w:rsid w:val="00D57C81"/>
    <w:rsid w:val="00D57EFE"/>
    <w:rsid w:val="00D6040D"/>
    <w:rsid w:val="00D60430"/>
    <w:rsid w:val="00D605BF"/>
    <w:rsid w:val="00D607A6"/>
    <w:rsid w:val="00D608EA"/>
    <w:rsid w:val="00D60BB7"/>
    <w:rsid w:val="00D60F14"/>
    <w:rsid w:val="00D610D4"/>
    <w:rsid w:val="00D6168B"/>
    <w:rsid w:val="00D61700"/>
    <w:rsid w:val="00D61882"/>
    <w:rsid w:val="00D61A69"/>
    <w:rsid w:val="00D61AC9"/>
    <w:rsid w:val="00D61B99"/>
    <w:rsid w:val="00D61C50"/>
    <w:rsid w:val="00D61EF8"/>
    <w:rsid w:val="00D61F0C"/>
    <w:rsid w:val="00D61FB2"/>
    <w:rsid w:val="00D6218B"/>
    <w:rsid w:val="00D6248B"/>
    <w:rsid w:val="00D62861"/>
    <w:rsid w:val="00D62C39"/>
    <w:rsid w:val="00D62EBB"/>
    <w:rsid w:val="00D631AC"/>
    <w:rsid w:val="00D63211"/>
    <w:rsid w:val="00D6321D"/>
    <w:rsid w:val="00D6324E"/>
    <w:rsid w:val="00D637D2"/>
    <w:rsid w:val="00D63904"/>
    <w:rsid w:val="00D63A43"/>
    <w:rsid w:val="00D63A63"/>
    <w:rsid w:val="00D63BEC"/>
    <w:rsid w:val="00D63C10"/>
    <w:rsid w:val="00D63C54"/>
    <w:rsid w:val="00D63DFD"/>
    <w:rsid w:val="00D63E63"/>
    <w:rsid w:val="00D64209"/>
    <w:rsid w:val="00D64576"/>
    <w:rsid w:val="00D64683"/>
    <w:rsid w:val="00D64B80"/>
    <w:rsid w:val="00D64CB6"/>
    <w:rsid w:val="00D6507E"/>
    <w:rsid w:val="00D6516D"/>
    <w:rsid w:val="00D651E6"/>
    <w:rsid w:val="00D65350"/>
    <w:rsid w:val="00D654DB"/>
    <w:rsid w:val="00D65514"/>
    <w:rsid w:val="00D656C0"/>
    <w:rsid w:val="00D65779"/>
    <w:rsid w:val="00D658A6"/>
    <w:rsid w:val="00D658E9"/>
    <w:rsid w:val="00D658F3"/>
    <w:rsid w:val="00D659D6"/>
    <w:rsid w:val="00D65A5C"/>
    <w:rsid w:val="00D65E69"/>
    <w:rsid w:val="00D65F39"/>
    <w:rsid w:val="00D661E7"/>
    <w:rsid w:val="00D66322"/>
    <w:rsid w:val="00D6658F"/>
    <w:rsid w:val="00D66694"/>
    <w:rsid w:val="00D667BF"/>
    <w:rsid w:val="00D667DA"/>
    <w:rsid w:val="00D66886"/>
    <w:rsid w:val="00D66AC4"/>
    <w:rsid w:val="00D66D20"/>
    <w:rsid w:val="00D670CB"/>
    <w:rsid w:val="00D6718E"/>
    <w:rsid w:val="00D671A3"/>
    <w:rsid w:val="00D6735C"/>
    <w:rsid w:val="00D67435"/>
    <w:rsid w:val="00D6746B"/>
    <w:rsid w:val="00D6764A"/>
    <w:rsid w:val="00D67729"/>
    <w:rsid w:val="00D6798D"/>
    <w:rsid w:val="00D679FE"/>
    <w:rsid w:val="00D67E04"/>
    <w:rsid w:val="00D67FA0"/>
    <w:rsid w:val="00D701C8"/>
    <w:rsid w:val="00D70311"/>
    <w:rsid w:val="00D7070A"/>
    <w:rsid w:val="00D70809"/>
    <w:rsid w:val="00D70B51"/>
    <w:rsid w:val="00D70BF0"/>
    <w:rsid w:val="00D70C61"/>
    <w:rsid w:val="00D70CAA"/>
    <w:rsid w:val="00D70CFB"/>
    <w:rsid w:val="00D70DFF"/>
    <w:rsid w:val="00D70FE1"/>
    <w:rsid w:val="00D71149"/>
    <w:rsid w:val="00D712DE"/>
    <w:rsid w:val="00D7130C"/>
    <w:rsid w:val="00D713B0"/>
    <w:rsid w:val="00D71572"/>
    <w:rsid w:val="00D7188A"/>
    <w:rsid w:val="00D718B9"/>
    <w:rsid w:val="00D71AF3"/>
    <w:rsid w:val="00D71D2D"/>
    <w:rsid w:val="00D71FEC"/>
    <w:rsid w:val="00D72140"/>
    <w:rsid w:val="00D721D5"/>
    <w:rsid w:val="00D72211"/>
    <w:rsid w:val="00D7227F"/>
    <w:rsid w:val="00D7249F"/>
    <w:rsid w:val="00D72595"/>
    <w:rsid w:val="00D726AA"/>
    <w:rsid w:val="00D72A3E"/>
    <w:rsid w:val="00D72CEE"/>
    <w:rsid w:val="00D72E7A"/>
    <w:rsid w:val="00D72EC9"/>
    <w:rsid w:val="00D72ECB"/>
    <w:rsid w:val="00D73533"/>
    <w:rsid w:val="00D73751"/>
    <w:rsid w:val="00D739B9"/>
    <w:rsid w:val="00D73A67"/>
    <w:rsid w:val="00D73AA2"/>
    <w:rsid w:val="00D73AEF"/>
    <w:rsid w:val="00D73AF3"/>
    <w:rsid w:val="00D73B3E"/>
    <w:rsid w:val="00D73D21"/>
    <w:rsid w:val="00D73DB0"/>
    <w:rsid w:val="00D74039"/>
    <w:rsid w:val="00D740DD"/>
    <w:rsid w:val="00D743AE"/>
    <w:rsid w:val="00D74426"/>
    <w:rsid w:val="00D74773"/>
    <w:rsid w:val="00D748C5"/>
    <w:rsid w:val="00D74C6E"/>
    <w:rsid w:val="00D74D9D"/>
    <w:rsid w:val="00D74E89"/>
    <w:rsid w:val="00D74EFE"/>
    <w:rsid w:val="00D74F06"/>
    <w:rsid w:val="00D75215"/>
    <w:rsid w:val="00D7565A"/>
    <w:rsid w:val="00D7565D"/>
    <w:rsid w:val="00D756B4"/>
    <w:rsid w:val="00D756F0"/>
    <w:rsid w:val="00D756FE"/>
    <w:rsid w:val="00D757C5"/>
    <w:rsid w:val="00D7597A"/>
    <w:rsid w:val="00D75BB8"/>
    <w:rsid w:val="00D761DD"/>
    <w:rsid w:val="00D76415"/>
    <w:rsid w:val="00D765C3"/>
    <w:rsid w:val="00D76894"/>
    <w:rsid w:val="00D768BF"/>
    <w:rsid w:val="00D76959"/>
    <w:rsid w:val="00D76AB1"/>
    <w:rsid w:val="00D76B29"/>
    <w:rsid w:val="00D76B36"/>
    <w:rsid w:val="00D76C65"/>
    <w:rsid w:val="00D77201"/>
    <w:rsid w:val="00D778CF"/>
    <w:rsid w:val="00D77B8A"/>
    <w:rsid w:val="00D77C23"/>
    <w:rsid w:val="00D77CD0"/>
    <w:rsid w:val="00D77D4D"/>
    <w:rsid w:val="00D77E03"/>
    <w:rsid w:val="00D77EF4"/>
    <w:rsid w:val="00D80039"/>
    <w:rsid w:val="00D802D4"/>
    <w:rsid w:val="00D80397"/>
    <w:rsid w:val="00D80799"/>
    <w:rsid w:val="00D8096B"/>
    <w:rsid w:val="00D80A63"/>
    <w:rsid w:val="00D80AF7"/>
    <w:rsid w:val="00D80B3B"/>
    <w:rsid w:val="00D81041"/>
    <w:rsid w:val="00D81157"/>
    <w:rsid w:val="00D812C2"/>
    <w:rsid w:val="00D8169F"/>
    <w:rsid w:val="00D818D0"/>
    <w:rsid w:val="00D81B2D"/>
    <w:rsid w:val="00D81C6E"/>
    <w:rsid w:val="00D81CEB"/>
    <w:rsid w:val="00D81EEE"/>
    <w:rsid w:val="00D822C7"/>
    <w:rsid w:val="00D8281C"/>
    <w:rsid w:val="00D82829"/>
    <w:rsid w:val="00D82996"/>
    <w:rsid w:val="00D829AC"/>
    <w:rsid w:val="00D82A43"/>
    <w:rsid w:val="00D82AE5"/>
    <w:rsid w:val="00D82C1C"/>
    <w:rsid w:val="00D82D2D"/>
    <w:rsid w:val="00D82DC6"/>
    <w:rsid w:val="00D82ECB"/>
    <w:rsid w:val="00D82F8A"/>
    <w:rsid w:val="00D830D5"/>
    <w:rsid w:val="00D8336B"/>
    <w:rsid w:val="00D839F0"/>
    <w:rsid w:val="00D839F3"/>
    <w:rsid w:val="00D83A30"/>
    <w:rsid w:val="00D83B69"/>
    <w:rsid w:val="00D84022"/>
    <w:rsid w:val="00D84038"/>
    <w:rsid w:val="00D840D1"/>
    <w:rsid w:val="00D841D0"/>
    <w:rsid w:val="00D8421C"/>
    <w:rsid w:val="00D8456C"/>
    <w:rsid w:val="00D84BE8"/>
    <w:rsid w:val="00D84C6C"/>
    <w:rsid w:val="00D85010"/>
    <w:rsid w:val="00D8517D"/>
    <w:rsid w:val="00D852AD"/>
    <w:rsid w:val="00D85317"/>
    <w:rsid w:val="00D85325"/>
    <w:rsid w:val="00D85473"/>
    <w:rsid w:val="00D854E3"/>
    <w:rsid w:val="00D85507"/>
    <w:rsid w:val="00D8552C"/>
    <w:rsid w:val="00D85776"/>
    <w:rsid w:val="00D8583B"/>
    <w:rsid w:val="00D859A4"/>
    <w:rsid w:val="00D85AA8"/>
    <w:rsid w:val="00D85B0E"/>
    <w:rsid w:val="00D85EA3"/>
    <w:rsid w:val="00D85ED4"/>
    <w:rsid w:val="00D85F6B"/>
    <w:rsid w:val="00D86764"/>
    <w:rsid w:val="00D86818"/>
    <w:rsid w:val="00D86A69"/>
    <w:rsid w:val="00D86FD1"/>
    <w:rsid w:val="00D86FE7"/>
    <w:rsid w:val="00D873D2"/>
    <w:rsid w:val="00D87519"/>
    <w:rsid w:val="00D87599"/>
    <w:rsid w:val="00D8771A"/>
    <w:rsid w:val="00D87A9E"/>
    <w:rsid w:val="00D87B43"/>
    <w:rsid w:val="00D9002F"/>
    <w:rsid w:val="00D90094"/>
    <w:rsid w:val="00D901D4"/>
    <w:rsid w:val="00D902AF"/>
    <w:rsid w:val="00D90322"/>
    <w:rsid w:val="00D90B21"/>
    <w:rsid w:val="00D90CE4"/>
    <w:rsid w:val="00D90CF2"/>
    <w:rsid w:val="00D90D80"/>
    <w:rsid w:val="00D90F36"/>
    <w:rsid w:val="00D9101F"/>
    <w:rsid w:val="00D91047"/>
    <w:rsid w:val="00D911AA"/>
    <w:rsid w:val="00D9123A"/>
    <w:rsid w:val="00D91476"/>
    <w:rsid w:val="00D914AD"/>
    <w:rsid w:val="00D91535"/>
    <w:rsid w:val="00D917FA"/>
    <w:rsid w:val="00D91AAC"/>
    <w:rsid w:val="00D91B78"/>
    <w:rsid w:val="00D92089"/>
    <w:rsid w:val="00D921B3"/>
    <w:rsid w:val="00D922E8"/>
    <w:rsid w:val="00D92328"/>
    <w:rsid w:val="00D92384"/>
    <w:rsid w:val="00D92A0E"/>
    <w:rsid w:val="00D92A76"/>
    <w:rsid w:val="00D92C3C"/>
    <w:rsid w:val="00D92CBB"/>
    <w:rsid w:val="00D9302D"/>
    <w:rsid w:val="00D93073"/>
    <w:rsid w:val="00D93189"/>
    <w:rsid w:val="00D93456"/>
    <w:rsid w:val="00D934B9"/>
    <w:rsid w:val="00D935E4"/>
    <w:rsid w:val="00D9364F"/>
    <w:rsid w:val="00D937D6"/>
    <w:rsid w:val="00D93AF7"/>
    <w:rsid w:val="00D93D0E"/>
    <w:rsid w:val="00D940C5"/>
    <w:rsid w:val="00D94100"/>
    <w:rsid w:val="00D9411B"/>
    <w:rsid w:val="00D945C6"/>
    <w:rsid w:val="00D947F2"/>
    <w:rsid w:val="00D949F8"/>
    <w:rsid w:val="00D94BCC"/>
    <w:rsid w:val="00D94C52"/>
    <w:rsid w:val="00D94CF2"/>
    <w:rsid w:val="00D94D50"/>
    <w:rsid w:val="00D94DC8"/>
    <w:rsid w:val="00D951B7"/>
    <w:rsid w:val="00D954C4"/>
    <w:rsid w:val="00D95932"/>
    <w:rsid w:val="00D95A27"/>
    <w:rsid w:val="00D95B36"/>
    <w:rsid w:val="00D95C78"/>
    <w:rsid w:val="00D95D82"/>
    <w:rsid w:val="00D95E11"/>
    <w:rsid w:val="00D96319"/>
    <w:rsid w:val="00D9633A"/>
    <w:rsid w:val="00D963D8"/>
    <w:rsid w:val="00D96909"/>
    <w:rsid w:val="00D96B42"/>
    <w:rsid w:val="00D96C4C"/>
    <w:rsid w:val="00D96E03"/>
    <w:rsid w:val="00D96EC4"/>
    <w:rsid w:val="00D96FDC"/>
    <w:rsid w:val="00D97060"/>
    <w:rsid w:val="00D97132"/>
    <w:rsid w:val="00D9732E"/>
    <w:rsid w:val="00D97370"/>
    <w:rsid w:val="00D97400"/>
    <w:rsid w:val="00D9741C"/>
    <w:rsid w:val="00D974D0"/>
    <w:rsid w:val="00D97599"/>
    <w:rsid w:val="00D975F6"/>
    <w:rsid w:val="00D97B16"/>
    <w:rsid w:val="00D97B79"/>
    <w:rsid w:val="00D97D47"/>
    <w:rsid w:val="00DA01FB"/>
    <w:rsid w:val="00DA0506"/>
    <w:rsid w:val="00DA0643"/>
    <w:rsid w:val="00DA073F"/>
    <w:rsid w:val="00DA0769"/>
    <w:rsid w:val="00DA090B"/>
    <w:rsid w:val="00DA0940"/>
    <w:rsid w:val="00DA0B62"/>
    <w:rsid w:val="00DA0C66"/>
    <w:rsid w:val="00DA0CD2"/>
    <w:rsid w:val="00DA0CE8"/>
    <w:rsid w:val="00DA0CF9"/>
    <w:rsid w:val="00DA0DDB"/>
    <w:rsid w:val="00DA0EC3"/>
    <w:rsid w:val="00DA0FE8"/>
    <w:rsid w:val="00DA1432"/>
    <w:rsid w:val="00DA1712"/>
    <w:rsid w:val="00DA1886"/>
    <w:rsid w:val="00DA18DC"/>
    <w:rsid w:val="00DA196C"/>
    <w:rsid w:val="00DA1C88"/>
    <w:rsid w:val="00DA1F3E"/>
    <w:rsid w:val="00DA1FE0"/>
    <w:rsid w:val="00DA263C"/>
    <w:rsid w:val="00DA2644"/>
    <w:rsid w:val="00DA28F0"/>
    <w:rsid w:val="00DA313C"/>
    <w:rsid w:val="00DA331C"/>
    <w:rsid w:val="00DA3534"/>
    <w:rsid w:val="00DA3837"/>
    <w:rsid w:val="00DA3A21"/>
    <w:rsid w:val="00DA3AC5"/>
    <w:rsid w:val="00DA3D1E"/>
    <w:rsid w:val="00DA4178"/>
    <w:rsid w:val="00DA418E"/>
    <w:rsid w:val="00DA4280"/>
    <w:rsid w:val="00DA438D"/>
    <w:rsid w:val="00DA4580"/>
    <w:rsid w:val="00DA4897"/>
    <w:rsid w:val="00DA499C"/>
    <w:rsid w:val="00DA4AA5"/>
    <w:rsid w:val="00DA4D47"/>
    <w:rsid w:val="00DA4D77"/>
    <w:rsid w:val="00DA4DCC"/>
    <w:rsid w:val="00DA4E8B"/>
    <w:rsid w:val="00DA5004"/>
    <w:rsid w:val="00DA52F5"/>
    <w:rsid w:val="00DA5411"/>
    <w:rsid w:val="00DA5512"/>
    <w:rsid w:val="00DA558C"/>
    <w:rsid w:val="00DA55F4"/>
    <w:rsid w:val="00DA56B4"/>
    <w:rsid w:val="00DA56C8"/>
    <w:rsid w:val="00DA595E"/>
    <w:rsid w:val="00DA5A2C"/>
    <w:rsid w:val="00DA5AEE"/>
    <w:rsid w:val="00DA5C72"/>
    <w:rsid w:val="00DA5E3D"/>
    <w:rsid w:val="00DA5E6B"/>
    <w:rsid w:val="00DA621C"/>
    <w:rsid w:val="00DA6729"/>
    <w:rsid w:val="00DA69C7"/>
    <w:rsid w:val="00DA6B77"/>
    <w:rsid w:val="00DA6DA2"/>
    <w:rsid w:val="00DA71B8"/>
    <w:rsid w:val="00DA7369"/>
    <w:rsid w:val="00DA7764"/>
    <w:rsid w:val="00DA7C4F"/>
    <w:rsid w:val="00DA7E5D"/>
    <w:rsid w:val="00DA7EBE"/>
    <w:rsid w:val="00DB02E0"/>
    <w:rsid w:val="00DB03A0"/>
    <w:rsid w:val="00DB03AB"/>
    <w:rsid w:val="00DB05B7"/>
    <w:rsid w:val="00DB0724"/>
    <w:rsid w:val="00DB0747"/>
    <w:rsid w:val="00DB0992"/>
    <w:rsid w:val="00DB09E4"/>
    <w:rsid w:val="00DB0B70"/>
    <w:rsid w:val="00DB0C40"/>
    <w:rsid w:val="00DB0E41"/>
    <w:rsid w:val="00DB0E96"/>
    <w:rsid w:val="00DB0F08"/>
    <w:rsid w:val="00DB0F61"/>
    <w:rsid w:val="00DB101E"/>
    <w:rsid w:val="00DB113E"/>
    <w:rsid w:val="00DB1262"/>
    <w:rsid w:val="00DB1434"/>
    <w:rsid w:val="00DB1540"/>
    <w:rsid w:val="00DB1835"/>
    <w:rsid w:val="00DB18C9"/>
    <w:rsid w:val="00DB1A8D"/>
    <w:rsid w:val="00DB1B52"/>
    <w:rsid w:val="00DB1CEC"/>
    <w:rsid w:val="00DB1D4A"/>
    <w:rsid w:val="00DB1E8C"/>
    <w:rsid w:val="00DB1EE6"/>
    <w:rsid w:val="00DB1EFD"/>
    <w:rsid w:val="00DB209A"/>
    <w:rsid w:val="00DB2221"/>
    <w:rsid w:val="00DB2260"/>
    <w:rsid w:val="00DB237A"/>
    <w:rsid w:val="00DB2436"/>
    <w:rsid w:val="00DB2511"/>
    <w:rsid w:val="00DB27E2"/>
    <w:rsid w:val="00DB2A39"/>
    <w:rsid w:val="00DB2A9A"/>
    <w:rsid w:val="00DB2B08"/>
    <w:rsid w:val="00DB2B7D"/>
    <w:rsid w:val="00DB2CBA"/>
    <w:rsid w:val="00DB2DDF"/>
    <w:rsid w:val="00DB2E61"/>
    <w:rsid w:val="00DB2F0E"/>
    <w:rsid w:val="00DB31EC"/>
    <w:rsid w:val="00DB33B8"/>
    <w:rsid w:val="00DB33FE"/>
    <w:rsid w:val="00DB35E5"/>
    <w:rsid w:val="00DB3884"/>
    <w:rsid w:val="00DB38DD"/>
    <w:rsid w:val="00DB395E"/>
    <w:rsid w:val="00DB3A19"/>
    <w:rsid w:val="00DB3BA5"/>
    <w:rsid w:val="00DB3BED"/>
    <w:rsid w:val="00DB3C12"/>
    <w:rsid w:val="00DB3C8A"/>
    <w:rsid w:val="00DB3D51"/>
    <w:rsid w:val="00DB3E46"/>
    <w:rsid w:val="00DB3E71"/>
    <w:rsid w:val="00DB3E74"/>
    <w:rsid w:val="00DB4055"/>
    <w:rsid w:val="00DB40F0"/>
    <w:rsid w:val="00DB430D"/>
    <w:rsid w:val="00DB4757"/>
    <w:rsid w:val="00DB4909"/>
    <w:rsid w:val="00DB4A62"/>
    <w:rsid w:val="00DB4B38"/>
    <w:rsid w:val="00DB4BAF"/>
    <w:rsid w:val="00DB4DCC"/>
    <w:rsid w:val="00DB4E29"/>
    <w:rsid w:val="00DB5421"/>
    <w:rsid w:val="00DB5424"/>
    <w:rsid w:val="00DB5622"/>
    <w:rsid w:val="00DB5772"/>
    <w:rsid w:val="00DB577A"/>
    <w:rsid w:val="00DB5FD9"/>
    <w:rsid w:val="00DB660A"/>
    <w:rsid w:val="00DB6959"/>
    <w:rsid w:val="00DB6A21"/>
    <w:rsid w:val="00DB6A2D"/>
    <w:rsid w:val="00DB6CA9"/>
    <w:rsid w:val="00DB6F6B"/>
    <w:rsid w:val="00DB6FA6"/>
    <w:rsid w:val="00DB6FD6"/>
    <w:rsid w:val="00DB7683"/>
    <w:rsid w:val="00DB7D3E"/>
    <w:rsid w:val="00DB7E6B"/>
    <w:rsid w:val="00DC0713"/>
    <w:rsid w:val="00DC098E"/>
    <w:rsid w:val="00DC0D63"/>
    <w:rsid w:val="00DC0E09"/>
    <w:rsid w:val="00DC1113"/>
    <w:rsid w:val="00DC1130"/>
    <w:rsid w:val="00DC1495"/>
    <w:rsid w:val="00DC15A5"/>
    <w:rsid w:val="00DC15B8"/>
    <w:rsid w:val="00DC1C49"/>
    <w:rsid w:val="00DC1C6A"/>
    <w:rsid w:val="00DC1C97"/>
    <w:rsid w:val="00DC1EA1"/>
    <w:rsid w:val="00DC21C3"/>
    <w:rsid w:val="00DC22A0"/>
    <w:rsid w:val="00DC23A8"/>
    <w:rsid w:val="00DC25FD"/>
    <w:rsid w:val="00DC2631"/>
    <w:rsid w:val="00DC2748"/>
    <w:rsid w:val="00DC2850"/>
    <w:rsid w:val="00DC29D9"/>
    <w:rsid w:val="00DC2A0C"/>
    <w:rsid w:val="00DC2A95"/>
    <w:rsid w:val="00DC2BEC"/>
    <w:rsid w:val="00DC2D12"/>
    <w:rsid w:val="00DC2DCA"/>
    <w:rsid w:val="00DC2DFF"/>
    <w:rsid w:val="00DC2E19"/>
    <w:rsid w:val="00DC2E44"/>
    <w:rsid w:val="00DC2EA5"/>
    <w:rsid w:val="00DC2ED5"/>
    <w:rsid w:val="00DC2F9A"/>
    <w:rsid w:val="00DC3109"/>
    <w:rsid w:val="00DC31A5"/>
    <w:rsid w:val="00DC3242"/>
    <w:rsid w:val="00DC3259"/>
    <w:rsid w:val="00DC3293"/>
    <w:rsid w:val="00DC33D2"/>
    <w:rsid w:val="00DC34E1"/>
    <w:rsid w:val="00DC3522"/>
    <w:rsid w:val="00DC356B"/>
    <w:rsid w:val="00DC3579"/>
    <w:rsid w:val="00DC39E2"/>
    <w:rsid w:val="00DC3A59"/>
    <w:rsid w:val="00DC3A62"/>
    <w:rsid w:val="00DC3AFD"/>
    <w:rsid w:val="00DC44B7"/>
    <w:rsid w:val="00DC44E9"/>
    <w:rsid w:val="00DC450C"/>
    <w:rsid w:val="00DC4548"/>
    <w:rsid w:val="00DC460F"/>
    <w:rsid w:val="00DC4626"/>
    <w:rsid w:val="00DC4887"/>
    <w:rsid w:val="00DC4913"/>
    <w:rsid w:val="00DC498E"/>
    <w:rsid w:val="00DC49AB"/>
    <w:rsid w:val="00DC49B2"/>
    <w:rsid w:val="00DC4A60"/>
    <w:rsid w:val="00DC4AFC"/>
    <w:rsid w:val="00DC4B59"/>
    <w:rsid w:val="00DC4C2C"/>
    <w:rsid w:val="00DC4DDC"/>
    <w:rsid w:val="00DC5019"/>
    <w:rsid w:val="00DC51BF"/>
    <w:rsid w:val="00DC52FE"/>
    <w:rsid w:val="00DC5369"/>
    <w:rsid w:val="00DC54D8"/>
    <w:rsid w:val="00DC551B"/>
    <w:rsid w:val="00DC55A9"/>
    <w:rsid w:val="00DC5691"/>
    <w:rsid w:val="00DC5891"/>
    <w:rsid w:val="00DC58D5"/>
    <w:rsid w:val="00DC59C8"/>
    <w:rsid w:val="00DC5AE9"/>
    <w:rsid w:val="00DC5D40"/>
    <w:rsid w:val="00DC5F2F"/>
    <w:rsid w:val="00DC5FD9"/>
    <w:rsid w:val="00DC610D"/>
    <w:rsid w:val="00DC626C"/>
    <w:rsid w:val="00DC65BB"/>
    <w:rsid w:val="00DC672A"/>
    <w:rsid w:val="00DC67EF"/>
    <w:rsid w:val="00DC6B01"/>
    <w:rsid w:val="00DC6BA8"/>
    <w:rsid w:val="00DC6C85"/>
    <w:rsid w:val="00DC6E0D"/>
    <w:rsid w:val="00DC70A7"/>
    <w:rsid w:val="00DC7111"/>
    <w:rsid w:val="00DC72CD"/>
    <w:rsid w:val="00DC7B0F"/>
    <w:rsid w:val="00DC7B11"/>
    <w:rsid w:val="00DC7D61"/>
    <w:rsid w:val="00DD003F"/>
    <w:rsid w:val="00DD033D"/>
    <w:rsid w:val="00DD048D"/>
    <w:rsid w:val="00DD04C5"/>
    <w:rsid w:val="00DD05A6"/>
    <w:rsid w:val="00DD05E2"/>
    <w:rsid w:val="00DD06C6"/>
    <w:rsid w:val="00DD06DC"/>
    <w:rsid w:val="00DD0750"/>
    <w:rsid w:val="00DD09E0"/>
    <w:rsid w:val="00DD0CE7"/>
    <w:rsid w:val="00DD0F55"/>
    <w:rsid w:val="00DD1016"/>
    <w:rsid w:val="00DD1204"/>
    <w:rsid w:val="00DD1339"/>
    <w:rsid w:val="00DD13A6"/>
    <w:rsid w:val="00DD159E"/>
    <w:rsid w:val="00DD15B6"/>
    <w:rsid w:val="00DD16DA"/>
    <w:rsid w:val="00DD184D"/>
    <w:rsid w:val="00DD19A5"/>
    <w:rsid w:val="00DD1BEF"/>
    <w:rsid w:val="00DD1D1E"/>
    <w:rsid w:val="00DD1E57"/>
    <w:rsid w:val="00DD1F2E"/>
    <w:rsid w:val="00DD1F5A"/>
    <w:rsid w:val="00DD2114"/>
    <w:rsid w:val="00DD24E2"/>
    <w:rsid w:val="00DD27A6"/>
    <w:rsid w:val="00DD287D"/>
    <w:rsid w:val="00DD28DD"/>
    <w:rsid w:val="00DD2CD1"/>
    <w:rsid w:val="00DD2D7A"/>
    <w:rsid w:val="00DD2FA7"/>
    <w:rsid w:val="00DD315B"/>
    <w:rsid w:val="00DD31C6"/>
    <w:rsid w:val="00DD32D4"/>
    <w:rsid w:val="00DD32F1"/>
    <w:rsid w:val="00DD3300"/>
    <w:rsid w:val="00DD3C99"/>
    <w:rsid w:val="00DD3D22"/>
    <w:rsid w:val="00DD3EA4"/>
    <w:rsid w:val="00DD3F25"/>
    <w:rsid w:val="00DD42AB"/>
    <w:rsid w:val="00DD43C3"/>
    <w:rsid w:val="00DD45CB"/>
    <w:rsid w:val="00DD460D"/>
    <w:rsid w:val="00DD478C"/>
    <w:rsid w:val="00DD4892"/>
    <w:rsid w:val="00DD4B6F"/>
    <w:rsid w:val="00DD4DBD"/>
    <w:rsid w:val="00DD5019"/>
    <w:rsid w:val="00DD5214"/>
    <w:rsid w:val="00DD5369"/>
    <w:rsid w:val="00DD571B"/>
    <w:rsid w:val="00DD59B7"/>
    <w:rsid w:val="00DD5ADC"/>
    <w:rsid w:val="00DD5B98"/>
    <w:rsid w:val="00DD5BDC"/>
    <w:rsid w:val="00DD5D18"/>
    <w:rsid w:val="00DD5DF7"/>
    <w:rsid w:val="00DD5F13"/>
    <w:rsid w:val="00DD604F"/>
    <w:rsid w:val="00DD6313"/>
    <w:rsid w:val="00DD6389"/>
    <w:rsid w:val="00DD64C0"/>
    <w:rsid w:val="00DD66BC"/>
    <w:rsid w:val="00DD6732"/>
    <w:rsid w:val="00DD68B9"/>
    <w:rsid w:val="00DD6918"/>
    <w:rsid w:val="00DD6BDC"/>
    <w:rsid w:val="00DD6BFE"/>
    <w:rsid w:val="00DD6DA8"/>
    <w:rsid w:val="00DD6DD5"/>
    <w:rsid w:val="00DD731E"/>
    <w:rsid w:val="00DD7607"/>
    <w:rsid w:val="00DD7668"/>
    <w:rsid w:val="00DD773E"/>
    <w:rsid w:val="00DD7847"/>
    <w:rsid w:val="00DD790F"/>
    <w:rsid w:val="00DD79A7"/>
    <w:rsid w:val="00DD7B6E"/>
    <w:rsid w:val="00DD7E87"/>
    <w:rsid w:val="00DD7EFA"/>
    <w:rsid w:val="00DE00E9"/>
    <w:rsid w:val="00DE038B"/>
    <w:rsid w:val="00DE05CB"/>
    <w:rsid w:val="00DE075D"/>
    <w:rsid w:val="00DE076E"/>
    <w:rsid w:val="00DE0D3B"/>
    <w:rsid w:val="00DE0DCD"/>
    <w:rsid w:val="00DE11B6"/>
    <w:rsid w:val="00DE139C"/>
    <w:rsid w:val="00DE13B3"/>
    <w:rsid w:val="00DE1440"/>
    <w:rsid w:val="00DE15AE"/>
    <w:rsid w:val="00DE18B9"/>
    <w:rsid w:val="00DE18C8"/>
    <w:rsid w:val="00DE196C"/>
    <w:rsid w:val="00DE1A2D"/>
    <w:rsid w:val="00DE1A53"/>
    <w:rsid w:val="00DE1ADB"/>
    <w:rsid w:val="00DE1B26"/>
    <w:rsid w:val="00DE1E20"/>
    <w:rsid w:val="00DE1E4C"/>
    <w:rsid w:val="00DE219B"/>
    <w:rsid w:val="00DE2207"/>
    <w:rsid w:val="00DE228A"/>
    <w:rsid w:val="00DE22EB"/>
    <w:rsid w:val="00DE2539"/>
    <w:rsid w:val="00DE297D"/>
    <w:rsid w:val="00DE2AF1"/>
    <w:rsid w:val="00DE2CB1"/>
    <w:rsid w:val="00DE2D26"/>
    <w:rsid w:val="00DE2E5D"/>
    <w:rsid w:val="00DE3013"/>
    <w:rsid w:val="00DE30DA"/>
    <w:rsid w:val="00DE3173"/>
    <w:rsid w:val="00DE321D"/>
    <w:rsid w:val="00DE3292"/>
    <w:rsid w:val="00DE3728"/>
    <w:rsid w:val="00DE39E4"/>
    <w:rsid w:val="00DE3A7D"/>
    <w:rsid w:val="00DE3BAB"/>
    <w:rsid w:val="00DE3BFA"/>
    <w:rsid w:val="00DE3DF1"/>
    <w:rsid w:val="00DE3E0A"/>
    <w:rsid w:val="00DE3F96"/>
    <w:rsid w:val="00DE4287"/>
    <w:rsid w:val="00DE437B"/>
    <w:rsid w:val="00DE4382"/>
    <w:rsid w:val="00DE4597"/>
    <w:rsid w:val="00DE4790"/>
    <w:rsid w:val="00DE47BC"/>
    <w:rsid w:val="00DE4849"/>
    <w:rsid w:val="00DE4957"/>
    <w:rsid w:val="00DE4B01"/>
    <w:rsid w:val="00DE4BE5"/>
    <w:rsid w:val="00DE4D58"/>
    <w:rsid w:val="00DE4DD3"/>
    <w:rsid w:val="00DE4E10"/>
    <w:rsid w:val="00DE50F7"/>
    <w:rsid w:val="00DE51B4"/>
    <w:rsid w:val="00DE5353"/>
    <w:rsid w:val="00DE540C"/>
    <w:rsid w:val="00DE54A0"/>
    <w:rsid w:val="00DE54C7"/>
    <w:rsid w:val="00DE5808"/>
    <w:rsid w:val="00DE5893"/>
    <w:rsid w:val="00DE5BFD"/>
    <w:rsid w:val="00DE5D44"/>
    <w:rsid w:val="00DE5F6B"/>
    <w:rsid w:val="00DE6055"/>
    <w:rsid w:val="00DE60CD"/>
    <w:rsid w:val="00DE6302"/>
    <w:rsid w:val="00DE63B2"/>
    <w:rsid w:val="00DE63E6"/>
    <w:rsid w:val="00DE6430"/>
    <w:rsid w:val="00DE6433"/>
    <w:rsid w:val="00DE64A4"/>
    <w:rsid w:val="00DE6605"/>
    <w:rsid w:val="00DE67D3"/>
    <w:rsid w:val="00DE68B8"/>
    <w:rsid w:val="00DE6998"/>
    <w:rsid w:val="00DE6CFA"/>
    <w:rsid w:val="00DE6D1F"/>
    <w:rsid w:val="00DE7139"/>
    <w:rsid w:val="00DE715A"/>
    <w:rsid w:val="00DE7228"/>
    <w:rsid w:val="00DE72FD"/>
    <w:rsid w:val="00DE74AE"/>
    <w:rsid w:val="00DE7501"/>
    <w:rsid w:val="00DE77EC"/>
    <w:rsid w:val="00DE7A19"/>
    <w:rsid w:val="00DE7BE2"/>
    <w:rsid w:val="00DE7CBD"/>
    <w:rsid w:val="00DE7EAB"/>
    <w:rsid w:val="00DF00B8"/>
    <w:rsid w:val="00DF013C"/>
    <w:rsid w:val="00DF0522"/>
    <w:rsid w:val="00DF0724"/>
    <w:rsid w:val="00DF0762"/>
    <w:rsid w:val="00DF076E"/>
    <w:rsid w:val="00DF0781"/>
    <w:rsid w:val="00DF084C"/>
    <w:rsid w:val="00DF08FE"/>
    <w:rsid w:val="00DF09C2"/>
    <w:rsid w:val="00DF0CFB"/>
    <w:rsid w:val="00DF0E52"/>
    <w:rsid w:val="00DF0F04"/>
    <w:rsid w:val="00DF1401"/>
    <w:rsid w:val="00DF1670"/>
    <w:rsid w:val="00DF1832"/>
    <w:rsid w:val="00DF1BD9"/>
    <w:rsid w:val="00DF1C0F"/>
    <w:rsid w:val="00DF1CFF"/>
    <w:rsid w:val="00DF1DE2"/>
    <w:rsid w:val="00DF20BF"/>
    <w:rsid w:val="00DF212F"/>
    <w:rsid w:val="00DF2159"/>
    <w:rsid w:val="00DF24E1"/>
    <w:rsid w:val="00DF2520"/>
    <w:rsid w:val="00DF257A"/>
    <w:rsid w:val="00DF286D"/>
    <w:rsid w:val="00DF2BFD"/>
    <w:rsid w:val="00DF2E10"/>
    <w:rsid w:val="00DF2E2E"/>
    <w:rsid w:val="00DF2E2F"/>
    <w:rsid w:val="00DF2E9D"/>
    <w:rsid w:val="00DF2FFF"/>
    <w:rsid w:val="00DF30AF"/>
    <w:rsid w:val="00DF3359"/>
    <w:rsid w:val="00DF33BA"/>
    <w:rsid w:val="00DF3480"/>
    <w:rsid w:val="00DF3488"/>
    <w:rsid w:val="00DF3861"/>
    <w:rsid w:val="00DF3E56"/>
    <w:rsid w:val="00DF4008"/>
    <w:rsid w:val="00DF4108"/>
    <w:rsid w:val="00DF45A2"/>
    <w:rsid w:val="00DF45AB"/>
    <w:rsid w:val="00DF47F4"/>
    <w:rsid w:val="00DF4A0E"/>
    <w:rsid w:val="00DF4E36"/>
    <w:rsid w:val="00DF5142"/>
    <w:rsid w:val="00DF514E"/>
    <w:rsid w:val="00DF533C"/>
    <w:rsid w:val="00DF55CB"/>
    <w:rsid w:val="00DF5721"/>
    <w:rsid w:val="00DF573E"/>
    <w:rsid w:val="00DF5970"/>
    <w:rsid w:val="00DF5A32"/>
    <w:rsid w:val="00DF5B6A"/>
    <w:rsid w:val="00DF5B9A"/>
    <w:rsid w:val="00DF5BCA"/>
    <w:rsid w:val="00DF5CB7"/>
    <w:rsid w:val="00DF5DEE"/>
    <w:rsid w:val="00DF5F46"/>
    <w:rsid w:val="00DF629B"/>
    <w:rsid w:val="00DF62E4"/>
    <w:rsid w:val="00DF6715"/>
    <w:rsid w:val="00DF676B"/>
    <w:rsid w:val="00DF67B5"/>
    <w:rsid w:val="00DF6A68"/>
    <w:rsid w:val="00DF6ACB"/>
    <w:rsid w:val="00DF6BBD"/>
    <w:rsid w:val="00DF6E48"/>
    <w:rsid w:val="00DF6E6B"/>
    <w:rsid w:val="00DF70A9"/>
    <w:rsid w:val="00DF71C3"/>
    <w:rsid w:val="00DF71F5"/>
    <w:rsid w:val="00DF727D"/>
    <w:rsid w:val="00DF72DB"/>
    <w:rsid w:val="00DF7433"/>
    <w:rsid w:val="00DF7701"/>
    <w:rsid w:val="00DF7752"/>
    <w:rsid w:val="00DF7B38"/>
    <w:rsid w:val="00DF7E74"/>
    <w:rsid w:val="00DF7FFC"/>
    <w:rsid w:val="00E000CD"/>
    <w:rsid w:val="00E00264"/>
    <w:rsid w:val="00E00388"/>
    <w:rsid w:val="00E00392"/>
    <w:rsid w:val="00E0041E"/>
    <w:rsid w:val="00E004FB"/>
    <w:rsid w:val="00E0059F"/>
    <w:rsid w:val="00E0065D"/>
    <w:rsid w:val="00E0068D"/>
    <w:rsid w:val="00E006DC"/>
    <w:rsid w:val="00E0089D"/>
    <w:rsid w:val="00E00E20"/>
    <w:rsid w:val="00E010B0"/>
    <w:rsid w:val="00E010C3"/>
    <w:rsid w:val="00E01123"/>
    <w:rsid w:val="00E0117A"/>
    <w:rsid w:val="00E01463"/>
    <w:rsid w:val="00E014A2"/>
    <w:rsid w:val="00E0156F"/>
    <w:rsid w:val="00E01634"/>
    <w:rsid w:val="00E01CA1"/>
    <w:rsid w:val="00E01E77"/>
    <w:rsid w:val="00E01EF8"/>
    <w:rsid w:val="00E01F79"/>
    <w:rsid w:val="00E01F7D"/>
    <w:rsid w:val="00E0201F"/>
    <w:rsid w:val="00E02108"/>
    <w:rsid w:val="00E0227D"/>
    <w:rsid w:val="00E02439"/>
    <w:rsid w:val="00E0243A"/>
    <w:rsid w:val="00E02459"/>
    <w:rsid w:val="00E027D8"/>
    <w:rsid w:val="00E0284D"/>
    <w:rsid w:val="00E02BC0"/>
    <w:rsid w:val="00E03539"/>
    <w:rsid w:val="00E03543"/>
    <w:rsid w:val="00E038FA"/>
    <w:rsid w:val="00E03A8C"/>
    <w:rsid w:val="00E03ABF"/>
    <w:rsid w:val="00E03D45"/>
    <w:rsid w:val="00E0432B"/>
    <w:rsid w:val="00E044E2"/>
    <w:rsid w:val="00E04541"/>
    <w:rsid w:val="00E0454A"/>
    <w:rsid w:val="00E04608"/>
    <w:rsid w:val="00E04639"/>
    <w:rsid w:val="00E047AD"/>
    <w:rsid w:val="00E048BB"/>
    <w:rsid w:val="00E04B62"/>
    <w:rsid w:val="00E04C4A"/>
    <w:rsid w:val="00E04CC5"/>
    <w:rsid w:val="00E05219"/>
    <w:rsid w:val="00E05626"/>
    <w:rsid w:val="00E05681"/>
    <w:rsid w:val="00E05741"/>
    <w:rsid w:val="00E05985"/>
    <w:rsid w:val="00E05A52"/>
    <w:rsid w:val="00E05D1F"/>
    <w:rsid w:val="00E062A3"/>
    <w:rsid w:val="00E062E9"/>
    <w:rsid w:val="00E064E4"/>
    <w:rsid w:val="00E06696"/>
    <w:rsid w:val="00E0675A"/>
    <w:rsid w:val="00E06BE0"/>
    <w:rsid w:val="00E06CA1"/>
    <w:rsid w:val="00E06E11"/>
    <w:rsid w:val="00E06E8A"/>
    <w:rsid w:val="00E07063"/>
    <w:rsid w:val="00E074A4"/>
    <w:rsid w:val="00E07686"/>
    <w:rsid w:val="00E07728"/>
    <w:rsid w:val="00E079E0"/>
    <w:rsid w:val="00E07AEE"/>
    <w:rsid w:val="00E07C4C"/>
    <w:rsid w:val="00E1002D"/>
    <w:rsid w:val="00E10053"/>
    <w:rsid w:val="00E100C3"/>
    <w:rsid w:val="00E1027D"/>
    <w:rsid w:val="00E10455"/>
    <w:rsid w:val="00E10998"/>
    <w:rsid w:val="00E10AD4"/>
    <w:rsid w:val="00E10C62"/>
    <w:rsid w:val="00E1151E"/>
    <w:rsid w:val="00E11662"/>
    <w:rsid w:val="00E119BA"/>
    <w:rsid w:val="00E11A39"/>
    <w:rsid w:val="00E11A5D"/>
    <w:rsid w:val="00E11A60"/>
    <w:rsid w:val="00E11AC8"/>
    <w:rsid w:val="00E11C5C"/>
    <w:rsid w:val="00E11CA5"/>
    <w:rsid w:val="00E11FD5"/>
    <w:rsid w:val="00E12131"/>
    <w:rsid w:val="00E123B7"/>
    <w:rsid w:val="00E124DC"/>
    <w:rsid w:val="00E12525"/>
    <w:rsid w:val="00E128A0"/>
    <w:rsid w:val="00E12CC1"/>
    <w:rsid w:val="00E12CD3"/>
    <w:rsid w:val="00E12D7B"/>
    <w:rsid w:val="00E12EB4"/>
    <w:rsid w:val="00E12FAE"/>
    <w:rsid w:val="00E12FAF"/>
    <w:rsid w:val="00E13290"/>
    <w:rsid w:val="00E1365C"/>
    <w:rsid w:val="00E1385C"/>
    <w:rsid w:val="00E13B58"/>
    <w:rsid w:val="00E13FA3"/>
    <w:rsid w:val="00E14077"/>
    <w:rsid w:val="00E14155"/>
    <w:rsid w:val="00E142D4"/>
    <w:rsid w:val="00E1432B"/>
    <w:rsid w:val="00E14423"/>
    <w:rsid w:val="00E14475"/>
    <w:rsid w:val="00E14837"/>
    <w:rsid w:val="00E1485F"/>
    <w:rsid w:val="00E149F5"/>
    <w:rsid w:val="00E14A8B"/>
    <w:rsid w:val="00E14C6E"/>
    <w:rsid w:val="00E14F3E"/>
    <w:rsid w:val="00E14FB8"/>
    <w:rsid w:val="00E1541B"/>
    <w:rsid w:val="00E15476"/>
    <w:rsid w:val="00E158F1"/>
    <w:rsid w:val="00E1590A"/>
    <w:rsid w:val="00E15935"/>
    <w:rsid w:val="00E15ADF"/>
    <w:rsid w:val="00E15B39"/>
    <w:rsid w:val="00E15F23"/>
    <w:rsid w:val="00E15F34"/>
    <w:rsid w:val="00E15FE7"/>
    <w:rsid w:val="00E1600E"/>
    <w:rsid w:val="00E16043"/>
    <w:rsid w:val="00E162C7"/>
    <w:rsid w:val="00E166C0"/>
    <w:rsid w:val="00E16829"/>
    <w:rsid w:val="00E16BCD"/>
    <w:rsid w:val="00E171DD"/>
    <w:rsid w:val="00E17235"/>
    <w:rsid w:val="00E1725C"/>
    <w:rsid w:val="00E1730B"/>
    <w:rsid w:val="00E17523"/>
    <w:rsid w:val="00E17627"/>
    <w:rsid w:val="00E17A3C"/>
    <w:rsid w:val="00E17AF1"/>
    <w:rsid w:val="00E17F6E"/>
    <w:rsid w:val="00E202EB"/>
    <w:rsid w:val="00E20542"/>
    <w:rsid w:val="00E2074B"/>
    <w:rsid w:val="00E209B3"/>
    <w:rsid w:val="00E20A0D"/>
    <w:rsid w:val="00E20BC6"/>
    <w:rsid w:val="00E20C42"/>
    <w:rsid w:val="00E20D3F"/>
    <w:rsid w:val="00E20D76"/>
    <w:rsid w:val="00E212A4"/>
    <w:rsid w:val="00E213F7"/>
    <w:rsid w:val="00E215B8"/>
    <w:rsid w:val="00E215F6"/>
    <w:rsid w:val="00E2161D"/>
    <w:rsid w:val="00E21721"/>
    <w:rsid w:val="00E21951"/>
    <w:rsid w:val="00E219F0"/>
    <w:rsid w:val="00E21F48"/>
    <w:rsid w:val="00E21F6F"/>
    <w:rsid w:val="00E221CC"/>
    <w:rsid w:val="00E221D2"/>
    <w:rsid w:val="00E22384"/>
    <w:rsid w:val="00E2246A"/>
    <w:rsid w:val="00E22537"/>
    <w:rsid w:val="00E22579"/>
    <w:rsid w:val="00E22A33"/>
    <w:rsid w:val="00E22CCD"/>
    <w:rsid w:val="00E230FB"/>
    <w:rsid w:val="00E233CA"/>
    <w:rsid w:val="00E23662"/>
    <w:rsid w:val="00E23BCF"/>
    <w:rsid w:val="00E23F29"/>
    <w:rsid w:val="00E240E3"/>
    <w:rsid w:val="00E242E3"/>
    <w:rsid w:val="00E2454D"/>
    <w:rsid w:val="00E2463C"/>
    <w:rsid w:val="00E247E2"/>
    <w:rsid w:val="00E24AD6"/>
    <w:rsid w:val="00E24C44"/>
    <w:rsid w:val="00E24D74"/>
    <w:rsid w:val="00E24E8F"/>
    <w:rsid w:val="00E24EC5"/>
    <w:rsid w:val="00E25050"/>
    <w:rsid w:val="00E25236"/>
    <w:rsid w:val="00E25379"/>
    <w:rsid w:val="00E25541"/>
    <w:rsid w:val="00E255E9"/>
    <w:rsid w:val="00E255F2"/>
    <w:rsid w:val="00E25738"/>
    <w:rsid w:val="00E257A7"/>
    <w:rsid w:val="00E2595E"/>
    <w:rsid w:val="00E25BAE"/>
    <w:rsid w:val="00E25C5A"/>
    <w:rsid w:val="00E25E2B"/>
    <w:rsid w:val="00E261D4"/>
    <w:rsid w:val="00E26247"/>
    <w:rsid w:val="00E2647F"/>
    <w:rsid w:val="00E264D5"/>
    <w:rsid w:val="00E268F4"/>
    <w:rsid w:val="00E26C20"/>
    <w:rsid w:val="00E26C9D"/>
    <w:rsid w:val="00E26DF8"/>
    <w:rsid w:val="00E26DFE"/>
    <w:rsid w:val="00E26E4F"/>
    <w:rsid w:val="00E271A1"/>
    <w:rsid w:val="00E279D8"/>
    <w:rsid w:val="00E27BB4"/>
    <w:rsid w:val="00E27F14"/>
    <w:rsid w:val="00E27F68"/>
    <w:rsid w:val="00E301F4"/>
    <w:rsid w:val="00E303BE"/>
    <w:rsid w:val="00E3048A"/>
    <w:rsid w:val="00E305F3"/>
    <w:rsid w:val="00E3060A"/>
    <w:rsid w:val="00E3065F"/>
    <w:rsid w:val="00E306D6"/>
    <w:rsid w:val="00E30723"/>
    <w:rsid w:val="00E307A3"/>
    <w:rsid w:val="00E30844"/>
    <w:rsid w:val="00E30890"/>
    <w:rsid w:val="00E3093D"/>
    <w:rsid w:val="00E30AA7"/>
    <w:rsid w:val="00E30AF2"/>
    <w:rsid w:val="00E30C62"/>
    <w:rsid w:val="00E30DE3"/>
    <w:rsid w:val="00E31107"/>
    <w:rsid w:val="00E31304"/>
    <w:rsid w:val="00E314D3"/>
    <w:rsid w:val="00E3155A"/>
    <w:rsid w:val="00E31626"/>
    <w:rsid w:val="00E31786"/>
    <w:rsid w:val="00E317BE"/>
    <w:rsid w:val="00E319E3"/>
    <w:rsid w:val="00E31D8B"/>
    <w:rsid w:val="00E31E06"/>
    <w:rsid w:val="00E32085"/>
    <w:rsid w:val="00E32091"/>
    <w:rsid w:val="00E320C6"/>
    <w:rsid w:val="00E320CA"/>
    <w:rsid w:val="00E3235D"/>
    <w:rsid w:val="00E325C3"/>
    <w:rsid w:val="00E329E2"/>
    <w:rsid w:val="00E32A1E"/>
    <w:rsid w:val="00E32C17"/>
    <w:rsid w:val="00E32C45"/>
    <w:rsid w:val="00E32CB8"/>
    <w:rsid w:val="00E32EC3"/>
    <w:rsid w:val="00E32F34"/>
    <w:rsid w:val="00E333F5"/>
    <w:rsid w:val="00E336D6"/>
    <w:rsid w:val="00E338C9"/>
    <w:rsid w:val="00E33C46"/>
    <w:rsid w:val="00E33CA3"/>
    <w:rsid w:val="00E33D0C"/>
    <w:rsid w:val="00E33E43"/>
    <w:rsid w:val="00E33E8A"/>
    <w:rsid w:val="00E33F4F"/>
    <w:rsid w:val="00E340F7"/>
    <w:rsid w:val="00E34168"/>
    <w:rsid w:val="00E3443A"/>
    <w:rsid w:val="00E3449E"/>
    <w:rsid w:val="00E34681"/>
    <w:rsid w:val="00E346DC"/>
    <w:rsid w:val="00E3480E"/>
    <w:rsid w:val="00E34955"/>
    <w:rsid w:val="00E34CDC"/>
    <w:rsid w:val="00E34DA9"/>
    <w:rsid w:val="00E34DC2"/>
    <w:rsid w:val="00E34F77"/>
    <w:rsid w:val="00E351C4"/>
    <w:rsid w:val="00E351E8"/>
    <w:rsid w:val="00E352B5"/>
    <w:rsid w:val="00E355C9"/>
    <w:rsid w:val="00E359C9"/>
    <w:rsid w:val="00E36150"/>
    <w:rsid w:val="00E36498"/>
    <w:rsid w:val="00E364F9"/>
    <w:rsid w:val="00E36525"/>
    <w:rsid w:val="00E36584"/>
    <w:rsid w:val="00E369BD"/>
    <w:rsid w:val="00E36C63"/>
    <w:rsid w:val="00E36CBF"/>
    <w:rsid w:val="00E36E15"/>
    <w:rsid w:val="00E36F32"/>
    <w:rsid w:val="00E36F9E"/>
    <w:rsid w:val="00E370DD"/>
    <w:rsid w:val="00E371BE"/>
    <w:rsid w:val="00E3738F"/>
    <w:rsid w:val="00E373D2"/>
    <w:rsid w:val="00E37532"/>
    <w:rsid w:val="00E3761B"/>
    <w:rsid w:val="00E37743"/>
    <w:rsid w:val="00E37818"/>
    <w:rsid w:val="00E378EA"/>
    <w:rsid w:val="00E37B02"/>
    <w:rsid w:val="00E37BDC"/>
    <w:rsid w:val="00E37D9E"/>
    <w:rsid w:val="00E37F83"/>
    <w:rsid w:val="00E401F9"/>
    <w:rsid w:val="00E402A8"/>
    <w:rsid w:val="00E40327"/>
    <w:rsid w:val="00E4041F"/>
    <w:rsid w:val="00E40509"/>
    <w:rsid w:val="00E40E11"/>
    <w:rsid w:val="00E40EA2"/>
    <w:rsid w:val="00E40F48"/>
    <w:rsid w:val="00E40FA1"/>
    <w:rsid w:val="00E410C4"/>
    <w:rsid w:val="00E4115D"/>
    <w:rsid w:val="00E41299"/>
    <w:rsid w:val="00E412A0"/>
    <w:rsid w:val="00E41315"/>
    <w:rsid w:val="00E413BD"/>
    <w:rsid w:val="00E417F5"/>
    <w:rsid w:val="00E4183B"/>
    <w:rsid w:val="00E41898"/>
    <w:rsid w:val="00E419EF"/>
    <w:rsid w:val="00E41A4B"/>
    <w:rsid w:val="00E41ACE"/>
    <w:rsid w:val="00E41B41"/>
    <w:rsid w:val="00E41D7E"/>
    <w:rsid w:val="00E41EB7"/>
    <w:rsid w:val="00E41FEA"/>
    <w:rsid w:val="00E421D2"/>
    <w:rsid w:val="00E4243B"/>
    <w:rsid w:val="00E424BE"/>
    <w:rsid w:val="00E4296A"/>
    <w:rsid w:val="00E42B4F"/>
    <w:rsid w:val="00E42B86"/>
    <w:rsid w:val="00E42EB8"/>
    <w:rsid w:val="00E42F41"/>
    <w:rsid w:val="00E43163"/>
    <w:rsid w:val="00E431C0"/>
    <w:rsid w:val="00E433ED"/>
    <w:rsid w:val="00E4379A"/>
    <w:rsid w:val="00E437B2"/>
    <w:rsid w:val="00E43A8C"/>
    <w:rsid w:val="00E43E80"/>
    <w:rsid w:val="00E4409B"/>
    <w:rsid w:val="00E44168"/>
    <w:rsid w:val="00E44242"/>
    <w:rsid w:val="00E44346"/>
    <w:rsid w:val="00E443F5"/>
    <w:rsid w:val="00E44586"/>
    <w:rsid w:val="00E445D2"/>
    <w:rsid w:val="00E446B4"/>
    <w:rsid w:val="00E44AF1"/>
    <w:rsid w:val="00E44CB1"/>
    <w:rsid w:val="00E44D54"/>
    <w:rsid w:val="00E44DB0"/>
    <w:rsid w:val="00E45019"/>
    <w:rsid w:val="00E45148"/>
    <w:rsid w:val="00E4531D"/>
    <w:rsid w:val="00E45363"/>
    <w:rsid w:val="00E45938"/>
    <w:rsid w:val="00E45E3D"/>
    <w:rsid w:val="00E45F73"/>
    <w:rsid w:val="00E45FB1"/>
    <w:rsid w:val="00E46184"/>
    <w:rsid w:val="00E46456"/>
    <w:rsid w:val="00E464BF"/>
    <w:rsid w:val="00E466A4"/>
    <w:rsid w:val="00E4688A"/>
    <w:rsid w:val="00E4699C"/>
    <w:rsid w:val="00E46B2F"/>
    <w:rsid w:val="00E46D64"/>
    <w:rsid w:val="00E46E9F"/>
    <w:rsid w:val="00E46F5C"/>
    <w:rsid w:val="00E476C5"/>
    <w:rsid w:val="00E4786C"/>
    <w:rsid w:val="00E478A6"/>
    <w:rsid w:val="00E47A66"/>
    <w:rsid w:val="00E47A8F"/>
    <w:rsid w:val="00E47B8B"/>
    <w:rsid w:val="00E5006A"/>
    <w:rsid w:val="00E5019D"/>
    <w:rsid w:val="00E50345"/>
    <w:rsid w:val="00E505C1"/>
    <w:rsid w:val="00E50D20"/>
    <w:rsid w:val="00E50E18"/>
    <w:rsid w:val="00E50E5C"/>
    <w:rsid w:val="00E5116B"/>
    <w:rsid w:val="00E513A9"/>
    <w:rsid w:val="00E514A4"/>
    <w:rsid w:val="00E51822"/>
    <w:rsid w:val="00E51AEB"/>
    <w:rsid w:val="00E51BE4"/>
    <w:rsid w:val="00E51F92"/>
    <w:rsid w:val="00E52124"/>
    <w:rsid w:val="00E522B3"/>
    <w:rsid w:val="00E523B2"/>
    <w:rsid w:val="00E52474"/>
    <w:rsid w:val="00E52A91"/>
    <w:rsid w:val="00E52D6D"/>
    <w:rsid w:val="00E52EBC"/>
    <w:rsid w:val="00E52F99"/>
    <w:rsid w:val="00E53223"/>
    <w:rsid w:val="00E53386"/>
    <w:rsid w:val="00E534A4"/>
    <w:rsid w:val="00E534FA"/>
    <w:rsid w:val="00E5350F"/>
    <w:rsid w:val="00E5375C"/>
    <w:rsid w:val="00E53875"/>
    <w:rsid w:val="00E539FD"/>
    <w:rsid w:val="00E53A17"/>
    <w:rsid w:val="00E53D3A"/>
    <w:rsid w:val="00E53E60"/>
    <w:rsid w:val="00E53EDD"/>
    <w:rsid w:val="00E544D8"/>
    <w:rsid w:val="00E5451F"/>
    <w:rsid w:val="00E54555"/>
    <w:rsid w:val="00E548CA"/>
    <w:rsid w:val="00E5492C"/>
    <w:rsid w:val="00E54B9B"/>
    <w:rsid w:val="00E54BB1"/>
    <w:rsid w:val="00E54BBD"/>
    <w:rsid w:val="00E551CF"/>
    <w:rsid w:val="00E5540C"/>
    <w:rsid w:val="00E55562"/>
    <w:rsid w:val="00E55620"/>
    <w:rsid w:val="00E556CA"/>
    <w:rsid w:val="00E55721"/>
    <w:rsid w:val="00E55A2D"/>
    <w:rsid w:val="00E55B01"/>
    <w:rsid w:val="00E55CF5"/>
    <w:rsid w:val="00E5611C"/>
    <w:rsid w:val="00E561BA"/>
    <w:rsid w:val="00E564E1"/>
    <w:rsid w:val="00E5670E"/>
    <w:rsid w:val="00E567B3"/>
    <w:rsid w:val="00E56B55"/>
    <w:rsid w:val="00E56D75"/>
    <w:rsid w:val="00E570C8"/>
    <w:rsid w:val="00E57161"/>
    <w:rsid w:val="00E57383"/>
    <w:rsid w:val="00E576B0"/>
    <w:rsid w:val="00E57715"/>
    <w:rsid w:val="00E57738"/>
    <w:rsid w:val="00E57B06"/>
    <w:rsid w:val="00E57CED"/>
    <w:rsid w:val="00E57D47"/>
    <w:rsid w:val="00E57EDC"/>
    <w:rsid w:val="00E57F62"/>
    <w:rsid w:val="00E60029"/>
    <w:rsid w:val="00E60065"/>
    <w:rsid w:val="00E6008B"/>
    <w:rsid w:val="00E600F9"/>
    <w:rsid w:val="00E60205"/>
    <w:rsid w:val="00E60599"/>
    <w:rsid w:val="00E608D0"/>
    <w:rsid w:val="00E60BBC"/>
    <w:rsid w:val="00E61193"/>
    <w:rsid w:val="00E6136B"/>
    <w:rsid w:val="00E61435"/>
    <w:rsid w:val="00E61452"/>
    <w:rsid w:val="00E614CE"/>
    <w:rsid w:val="00E61571"/>
    <w:rsid w:val="00E619FB"/>
    <w:rsid w:val="00E620B5"/>
    <w:rsid w:val="00E6215B"/>
    <w:rsid w:val="00E621AE"/>
    <w:rsid w:val="00E621B8"/>
    <w:rsid w:val="00E62208"/>
    <w:rsid w:val="00E626FD"/>
    <w:rsid w:val="00E62710"/>
    <w:rsid w:val="00E62B3B"/>
    <w:rsid w:val="00E62CE6"/>
    <w:rsid w:val="00E62D8D"/>
    <w:rsid w:val="00E62F63"/>
    <w:rsid w:val="00E63025"/>
    <w:rsid w:val="00E630CC"/>
    <w:rsid w:val="00E63300"/>
    <w:rsid w:val="00E6352F"/>
    <w:rsid w:val="00E635A7"/>
    <w:rsid w:val="00E635D1"/>
    <w:rsid w:val="00E63690"/>
    <w:rsid w:val="00E6381C"/>
    <w:rsid w:val="00E63A18"/>
    <w:rsid w:val="00E63C01"/>
    <w:rsid w:val="00E63C25"/>
    <w:rsid w:val="00E63CE3"/>
    <w:rsid w:val="00E63EE4"/>
    <w:rsid w:val="00E64065"/>
    <w:rsid w:val="00E640F3"/>
    <w:rsid w:val="00E642EF"/>
    <w:rsid w:val="00E6440D"/>
    <w:rsid w:val="00E64844"/>
    <w:rsid w:val="00E6489B"/>
    <w:rsid w:val="00E648A3"/>
    <w:rsid w:val="00E64AF2"/>
    <w:rsid w:val="00E64B6B"/>
    <w:rsid w:val="00E64C57"/>
    <w:rsid w:val="00E64DE3"/>
    <w:rsid w:val="00E64E07"/>
    <w:rsid w:val="00E65047"/>
    <w:rsid w:val="00E652D7"/>
    <w:rsid w:val="00E655B9"/>
    <w:rsid w:val="00E656AF"/>
    <w:rsid w:val="00E656F8"/>
    <w:rsid w:val="00E65A3B"/>
    <w:rsid w:val="00E664D6"/>
    <w:rsid w:val="00E665DA"/>
    <w:rsid w:val="00E66658"/>
    <w:rsid w:val="00E667EA"/>
    <w:rsid w:val="00E668B1"/>
    <w:rsid w:val="00E669FB"/>
    <w:rsid w:val="00E66A30"/>
    <w:rsid w:val="00E66BBD"/>
    <w:rsid w:val="00E66ECD"/>
    <w:rsid w:val="00E66F16"/>
    <w:rsid w:val="00E6707E"/>
    <w:rsid w:val="00E67193"/>
    <w:rsid w:val="00E67264"/>
    <w:rsid w:val="00E6746D"/>
    <w:rsid w:val="00E6746E"/>
    <w:rsid w:val="00E674D7"/>
    <w:rsid w:val="00E674F2"/>
    <w:rsid w:val="00E67573"/>
    <w:rsid w:val="00E675C5"/>
    <w:rsid w:val="00E67604"/>
    <w:rsid w:val="00E67A42"/>
    <w:rsid w:val="00E67B54"/>
    <w:rsid w:val="00E67B8D"/>
    <w:rsid w:val="00E67C24"/>
    <w:rsid w:val="00E67C4A"/>
    <w:rsid w:val="00E67EE4"/>
    <w:rsid w:val="00E70046"/>
    <w:rsid w:val="00E70077"/>
    <w:rsid w:val="00E70209"/>
    <w:rsid w:val="00E70275"/>
    <w:rsid w:val="00E70744"/>
    <w:rsid w:val="00E708B3"/>
    <w:rsid w:val="00E70B48"/>
    <w:rsid w:val="00E70B85"/>
    <w:rsid w:val="00E70D44"/>
    <w:rsid w:val="00E70FF0"/>
    <w:rsid w:val="00E710E7"/>
    <w:rsid w:val="00E713DF"/>
    <w:rsid w:val="00E71547"/>
    <w:rsid w:val="00E71686"/>
    <w:rsid w:val="00E71724"/>
    <w:rsid w:val="00E71880"/>
    <w:rsid w:val="00E71996"/>
    <w:rsid w:val="00E71B15"/>
    <w:rsid w:val="00E71BF6"/>
    <w:rsid w:val="00E71C86"/>
    <w:rsid w:val="00E71DF0"/>
    <w:rsid w:val="00E71F67"/>
    <w:rsid w:val="00E71FC8"/>
    <w:rsid w:val="00E722C9"/>
    <w:rsid w:val="00E723CD"/>
    <w:rsid w:val="00E724AE"/>
    <w:rsid w:val="00E72625"/>
    <w:rsid w:val="00E726F6"/>
    <w:rsid w:val="00E729B3"/>
    <w:rsid w:val="00E72B1C"/>
    <w:rsid w:val="00E72B92"/>
    <w:rsid w:val="00E72DF6"/>
    <w:rsid w:val="00E731F3"/>
    <w:rsid w:val="00E73344"/>
    <w:rsid w:val="00E735AE"/>
    <w:rsid w:val="00E739A2"/>
    <w:rsid w:val="00E73A32"/>
    <w:rsid w:val="00E73C47"/>
    <w:rsid w:val="00E73F38"/>
    <w:rsid w:val="00E74044"/>
    <w:rsid w:val="00E745E2"/>
    <w:rsid w:val="00E747DB"/>
    <w:rsid w:val="00E74A3A"/>
    <w:rsid w:val="00E74A94"/>
    <w:rsid w:val="00E74E33"/>
    <w:rsid w:val="00E75092"/>
    <w:rsid w:val="00E750C6"/>
    <w:rsid w:val="00E754CD"/>
    <w:rsid w:val="00E75799"/>
    <w:rsid w:val="00E757D1"/>
    <w:rsid w:val="00E759B9"/>
    <w:rsid w:val="00E75ADB"/>
    <w:rsid w:val="00E75D2F"/>
    <w:rsid w:val="00E75EEC"/>
    <w:rsid w:val="00E75F4E"/>
    <w:rsid w:val="00E7601A"/>
    <w:rsid w:val="00E76284"/>
    <w:rsid w:val="00E7628C"/>
    <w:rsid w:val="00E76547"/>
    <w:rsid w:val="00E768EB"/>
    <w:rsid w:val="00E76C27"/>
    <w:rsid w:val="00E76CB3"/>
    <w:rsid w:val="00E76E84"/>
    <w:rsid w:val="00E76F03"/>
    <w:rsid w:val="00E77231"/>
    <w:rsid w:val="00E7770E"/>
    <w:rsid w:val="00E779A9"/>
    <w:rsid w:val="00E77A8E"/>
    <w:rsid w:val="00E77B13"/>
    <w:rsid w:val="00E77BF6"/>
    <w:rsid w:val="00E77DAC"/>
    <w:rsid w:val="00E77EC7"/>
    <w:rsid w:val="00E80028"/>
    <w:rsid w:val="00E80169"/>
    <w:rsid w:val="00E80270"/>
    <w:rsid w:val="00E80331"/>
    <w:rsid w:val="00E80459"/>
    <w:rsid w:val="00E80512"/>
    <w:rsid w:val="00E805E2"/>
    <w:rsid w:val="00E806A9"/>
    <w:rsid w:val="00E80853"/>
    <w:rsid w:val="00E80996"/>
    <w:rsid w:val="00E809EF"/>
    <w:rsid w:val="00E80B82"/>
    <w:rsid w:val="00E80B89"/>
    <w:rsid w:val="00E811A6"/>
    <w:rsid w:val="00E812A2"/>
    <w:rsid w:val="00E812A5"/>
    <w:rsid w:val="00E8141E"/>
    <w:rsid w:val="00E817F6"/>
    <w:rsid w:val="00E81818"/>
    <w:rsid w:val="00E8187F"/>
    <w:rsid w:val="00E81967"/>
    <w:rsid w:val="00E81BAF"/>
    <w:rsid w:val="00E81D64"/>
    <w:rsid w:val="00E81E16"/>
    <w:rsid w:val="00E81FCE"/>
    <w:rsid w:val="00E820BE"/>
    <w:rsid w:val="00E8260B"/>
    <w:rsid w:val="00E82644"/>
    <w:rsid w:val="00E82AAE"/>
    <w:rsid w:val="00E82AE3"/>
    <w:rsid w:val="00E82B7B"/>
    <w:rsid w:val="00E82C48"/>
    <w:rsid w:val="00E82DEA"/>
    <w:rsid w:val="00E82F9D"/>
    <w:rsid w:val="00E83056"/>
    <w:rsid w:val="00E830B9"/>
    <w:rsid w:val="00E830DD"/>
    <w:rsid w:val="00E833A1"/>
    <w:rsid w:val="00E833FF"/>
    <w:rsid w:val="00E83406"/>
    <w:rsid w:val="00E837A5"/>
    <w:rsid w:val="00E8380A"/>
    <w:rsid w:val="00E83853"/>
    <w:rsid w:val="00E839C6"/>
    <w:rsid w:val="00E83D2C"/>
    <w:rsid w:val="00E83F2A"/>
    <w:rsid w:val="00E840CE"/>
    <w:rsid w:val="00E8443B"/>
    <w:rsid w:val="00E84AAA"/>
    <w:rsid w:val="00E84C71"/>
    <w:rsid w:val="00E84F7B"/>
    <w:rsid w:val="00E85090"/>
    <w:rsid w:val="00E85344"/>
    <w:rsid w:val="00E854B1"/>
    <w:rsid w:val="00E856AD"/>
    <w:rsid w:val="00E857AB"/>
    <w:rsid w:val="00E858AD"/>
    <w:rsid w:val="00E85A44"/>
    <w:rsid w:val="00E85B38"/>
    <w:rsid w:val="00E85B77"/>
    <w:rsid w:val="00E85BDB"/>
    <w:rsid w:val="00E85C1E"/>
    <w:rsid w:val="00E85CFA"/>
    <w:rsid w:val="00E85DB3"/>
    <w:rsid w:val="00E8609C"/>
    <w:rsid w:val="00E861C9"/>
    <w:rsid w:val="00E8624A"/>
    <w:rsid w:val="00E862A0"/>
    <w:rsid w:val="00E862F8"/>
    <w:rsid w:val="00E869B2"/>
    <w:rsid w:val="00E86AAA"/>
    <w:rsid w:val="00E86C64"/>
    <w:rsid w:val="00E86CC9"/>
    <w:rsid w:val="00E86E5D"/>
    <w:rsid w:val="00E86F38"/>
    <w:rsid w:val="00E8702C"/>
    <w:rsid w:val="00E87187"/>
    <w:rsid w:val="00E8734A"/>
    <w:rsid w:val="00E877C6"/>
    <w:rsid w:val="00E87814"/>
    <w:rsid w:val="00E87940"/>
    <w:rsid w:val="00E87B1E"/>
    <w:rsid w:val="00E87BC5"/>
    <w:rsid w:val="00E87EBD"/>
    <w:rsid w:val="00E902A6"/>
    <w:rsid w:val="00E90393"/>
    <w:rsid w:val="00E90B09"/>
    <w:rsid w:val="00E90C54"/>
    <w:rsid w:val="00E90F3F"/>
    <w:rsid w:val="00E913EA"/>
    <w:rsid w:val="00E913F1"/>
    <w:rsid w:val="00E91478"/>
    <w:rsid w:val="00E916BD"/>
    <w:rsid w:val="00E9179C"/>
    <w:rsid w:val="00E91CFF"/>
    <w:rsid w:val="00E91E95"/>
    <w:rsid w:val="00E91FC2"/>
    <w:rsid w:val="00E9206C"/>
    <w:rsid w:val="00E92444"/>
    <w:rsid w:val="00E924F9"/>
    <w:rsid w:val="00E926F3"/>
    <w:rsid w:val="00E92768"/>
    <w:rsid w:val="00E928A8"/>
    <w:rsid w:val="00E928F0"/>
    <w:rsid w:val="00E92B1E"/>
    <w:rsid w:val="00E92C36"/>
    <w:rsid w:val="00E9306F"/>
    <w:rsid w:val="00E930A1"/>
    <w:rsid w:val="00E93264"/>
    <w:rsid w:val="00E9327B"/>
    <w:rsid w:val="00E933DC"/>
    <w:rsid w:val="00E93548"/>
    <w:rsid w:val="00E93550"/>
    <w:rsid w:val="00E93A29"/>
    <w:rsid w:val="00E93C6F"/>
    <w:rsid w:val="00E93D67"/>
    <w:rsid w:val="00E94165"/>
    <w:rsid w:val="00E94179"/>
    <w:rsid w:val="00E943BC"/>
    <w:rsid w:val="00E9441B"/>
    <w:rsid w:val="00E948D9"/>
    <w:rsid w:val="00E949F5"/>
    <w:rsid w:val="00E94A4D"/>
    <w:rsid w:val="00E94A7D"/>
    <w:rsid w:val="00E94ABD"/>
    <w:rsid w:val="00E94ACB"/>
    <w:rsid w:val="00E94C67"/>
    <w:rsid w:val="00E94DFD"/>
    <w:rsid w:val="00E94E81"/>
    <w:rsid w:val="00E94FCF"/>
    <w:rsid w:val="00E94FD6"/>
    <w:rsid w:val="00E95069"/>
    <w:rsid w:val="00E952B9"/>
    <w:rsid w:val="00E9538A"/>
    <w:rsid w:val="00E95449"/>
    <w:rsid w:val="00E95728"/>
    <w:rsid w:val="00E95B13"/>
    <w:rsid w:val="00E95B4D"/>
    <w:rsid w:val="00E95B5E"/>
    <w:rsid w:val="00E95B5F"/>
    <w:rsid w:val="00E95BE8"/>
    <w:rsid w:val="00E95C18"/>
    <w:rsid w:val="00E95CEF"/>
    <w:rsid w:val="00E95D2A"/>
    <w:rsid w:val="00E95F68"/>
    <w:rsid w:val="00E96097"/>
    <w:rsid w:val="00E960D8"/>
    <w:rsid w:val="00E96225"/>
    <w:rsid w:val="00E9627F"/>
    <w:rsid w:val="00E965EF"/>
    <w:rsid w:val="00E965FE"/>
    <w:rsid w:val="00E966FE"/>
    <w:rsid w:val="00E96762"/>
    <w:rsid w:val="00E9680D"/>
    <w:rsid w:val="00E96AD9"/>
    <w:rsid w:val="00E96ED3"/>
    <w:rsid w:val="00E970A8"/>
    <w:rsid w:val="00E9711A"/>
    <w:rsid w:val="00E9719D"/>
    <w:rsid w:val="00E97265"/>
    <w:rsid w:val="00E975BC"/>
    <w:rsid w:val="00E9798E"/>
    <w:rsid w:val="00E97D48"/>
    <w:rsid w:val="00E97E38"/>
    <w:rsid w:val="00EA0336"/>
    <w:rsid w:val="00EA0545"/>
    <w:rsid w:val="00EA061B"/>
    <w:rsid w:val="00EA06A8"/>
    <w:rsid w:val="00EA079D"/>
    <w:rsid w:val="00EA07FD"/>
    <w:rsid w:val="00EA082F"/>
    <w:rsid w:val="00EA088D"/>
    <w:rsid w:val="00EA0A1C"/>
    <w:rsid w:val="00EA0C5C"/>
    <w:rsid w:val="00EA0CB9"/>
    <w:rsid w:val="00EA0ECA"/>
    <w:rsid w:val="00EA0F4A"/>
    <w:rsid w:val="00EA11F1"/>
    <w:rsid w:val="00EA123D"/>
    <w:rsid w:val="00EA1391"/>
    <w:rsid w:val="00EA1830"/>
    <w:rsid w:val="00EA1855"/>
    <w:rsid w:val="00EA1896"/>
    <w:rsid w:val="00EA18F6"/>
    <w:rsid w:val="00EA1A0E"/>
    <w:rsid w:val="00EA1B8E"/>
    <w:rsid w:val="00EA1E92"/>
    <w:rsid w:val="00EA1F17"/>
    <w:rsid w:val="00EA2036"/>
    <w:rsid w:val="00EA219F"/>
    <w:rsid w:val="00EA236C"/>
    <w:rsid w:val="00EA2380"/>
    <w:rsid w:val="00EA280C"/>
    <w:rsid w:val="00EA29DA"/>
    <w:rsid w:val="00EA2E00"/>
    <w:rsid w:val="00EA32D1"/>
    <w:rsid w:val="00EA334A"/>
    <w:rsid w:val="00EA336E"/>
    <w:rsid w:val="00EA3387"/>
    <w:rsid w:val="00EA3466"/>
    <w:rsid w:val="00EA3B0C"/>
    <w:rsid w:val="00EA3BB0"/>
    <w:rsid w:val="00EA3CFF"/>
    <w:rsid w:val="00EA3DF2"/>
    <w:rsid w:val="00EA3FFC"/>
    <w:rsid w:val="00EA44E4"/>
    <w:rsid w:val="00EA458C"/>
    <w:rsid w:val="00EA4793"/>
    <w:rsid w:val="00EA4915"/>
    <w:rsid w:val="00EA4A53"/>
    <w:rsid w:val="00EA4BBE"/>
    <w:rsid w:val="00EA4D84"/>
    <w:rsid w:val="00EA4DE9"/>
    <w:rsid w:val="00EA4E04"/>
    <w:rsid w:val="00EA4E41"/>
    <w:rsid w:val="00EA4F64"/>
    <w:rsid w:val="00EA4F9F"/>
    <w:rsid w:val="00EA4FBA"/>
    <w:rsid w:val="00EA50DB"/>
    <w:rsid w:val="00EA51B3"/>
    <w:rsid w:val="00EA54B1"/>
    <w:rsid w:val="00EA57BF"/>
    <w:rsid w:val="00EA5849"/>
    <w:rsid w:val="00EA585F"/>
    <w:rsid w:val="00EA5972"/>
    <w:rsid w:val="00EA5BC2"/>
    <w:rsid w:val="00EA5EF8"/>
    <w:rsid w:val="00EA60AD"/>
    <w:rsid w:val="00EA63FC"/>
    <w:rsid w:val="00EA64DA"/>
    <w:rsid w:val="00EA6612"/>
    <w:rsid w:val="00EA6735"/>
    <w:rsid w:val="00EA6BA4"/>
    <w:rsid w:val="00EA6C98"/>
    <w:rsid w:val="00EA6E2D"/>
    <w:rsid w:val="00EA6FC1"/>
    <w:rsid w:val="00EA7420"/>
    <w:rsid w:val="00EA7476"/>
    <w:rsid w:val="00EA752F"/>
    <w:rsid w:val="00EA7547"/>
    <w:rsid w:val="00EA7617"/>
    <w:rsid w:val="00EA7847"/>
    <w:rsid w:val="00EA788C"/>
    <w:rsid w:val="00EA7AD1"/>
    <w:rsid w:val="00EA7BFE"/>
    <w:rsid w:val="00EA7D68"/>
    <w:rsid w:val="00EA7DA1"/>
    <w:rsid w:val="00EB0505"/>
    <w:rsid w:val="00EB0522"/>
    <w:rsid w:val="00EB05EC"/>
    <w:rsid w:val="00EB06D3"/>
    <w:rsid w:val="00EB09EB"/>
    <w:rsid w:val="00EB0A50"/>
    <w:rsid w:val="00EB0AD7"/>
    <w:rsid w:val="00EB0CB3"/>
    <w:rsid w:val="00EB0E60"/>
    <w:rsid w:val="00EB0FCB"/>
    <w:rsid w:val="00EB10D9"/>
    <w:rsid w:val="00EB1103"/>
    <w:rsid w:val="00EB150F"/>
    <w:rsid w:val="00EB1880"/>
    <w:rsid w:val="00EB19F8"/>
    <w:rsid w:val="00EB1C73"/>
    <w:rsid w:val="00EB1E42"/>
    <w:rsid w:val="00EB1FDD"/>
    <w:rsid w:val="00EB206E"/>
    <w:rsid w:val="00EB20FB"/>
    <w:rsid w:val="00EB229D"/>
    <w:rsid w:val="00EB23E8"/>
    <w:rsid w:val="00EB23FD"/>
    <w:rsid w:val="00EB2417"/>
    <w:rsid w:val="00EB24B8"/>
    <w:rsid w:val="00EB25F3"/>
    <w:rsid w:val="00EB274C"/>
    <w:rsid w:val="00EB29AC"/>
    <w:rsid w:val="00EB2A9D"/>
    <w:rsid w:val="00EB2D0D"/>
    <w:rsid w:val="00EB2D43"/>
    <w:rsid w:val="00EB2D97"/>
    <w:rsid w:val="00EB2E15"/>
    <w:rsid w:val="00EB3127"/>
    <w:rsid w:val="00EB368B"/>
    <w:rsid w:val="00EB3832"/>
    <w:rsid w:val="00EB3919"/>
    <w:rsid w:val="00EB3A47"/>
    <w:rsid w:val="00EB3AEA"/>
    <w:rsid w:val="00EB3D64"/>
    <w:rsid w:val="00EB3D99"/>
    <w:rsid w:val="00EB3F57"/>
    <w:rsid w:val="00EB410B"/>
    <w:rsid w:val="00EB4174"/>
    <w:rsid w:val="00EB419E"/>
    <w:rsid w:val="00EB41C3"/>
    <w:rsid w:val="00EB41FC"/>
    <w:rsid w:val="00EB42AF"/>
    <w:rsid w:val="00EB438E"/>
    <w:rsid w:val="00EB458B"/>
    <w:rsid w:val="00EB46DE"/>
    <w:rsid w:val="00EB485A"/>
    <w:rsid w:val="00EB4ACF"/>
    <w:rsid w:val="00EB4C0D"/>
    <w:rsid w:val="00EB4D60"/>
    <w:rsid w:val="00EB4DE5"/>
    <w:rsid w:val="00EB4E0F"/>
    <w:rsid w:val="00EB5313"/>
    <w:rsid w:val="00EB5505"/>
    <w:rsid w:val="00EB5540"/>
    <w:rsid w:val="00EB56E1"/>
    <w:rsid w:val="00EB5825"/>
    <w:rsid w:val="00EB587B"/>
    <w:rsid w:val="00EB58DE"/>
    <w:rsid w:val="00EB596E"/>
    <w:rsid w:val="00EB5999"/>
    <w:rsid w:val="00EB5A90"/>
    <w:rsid w:val="00EB5BE3"/>
    <w:rsid w:val="00EB5CF5"/>
    <w:rsid w:val="00EB6077"/>
    <w:rsid w:val="00EB6197"/>
    <w:rsid w:val="00EB61A6"/>
    <w:rsid w:val="00EB61C2"/>
    <w:rsid w:val="00EB623A"/>
    <w:rsid w:val="00EB62BE"/>
    <w:rsid w:val="00EB644F"/>
    <w:rsid w:val="00EB6915"/>
    <w:rsid w:val="00EB6B0C"/>
    <w:rsid w:val="00EB6B92"/>
    <w:rsid w:val="00EB6C24"/>
    <w:rsid w:val="00EB6D38"/>
    <w:rsid w:val="00EB6D5E"/>
    <w:rsid w:val="00EB6EB4"/>
    <w:rsid w:val="00EB6EC3"/>
    <w:rsid w:val="00EB6EF1"/>
    <w:rsid w:val="00EB70D0"/>
    <w:rsid w:val="00EB70E6"/>
    <w:rsid w:val="00EB71C5"/>
    <w:rsid w:val="00EB7359"/>
    <w:rsid w:val="00EB75E3"/>
    <w:rsid w:val="00EB763D"/>
    <w:rsid w:val="00EB7682"/>
    <w:rsid w:val="00EB76FF"/>
    <w:rsid w:val="00EB7BDC"/>
    <w:rsid w:val="00EB7C1E"/>
    <w:rsid w:val="00EB7CB8"/>
    <w:rsid w:val="00EB7DE5"/>
    <w:rsid w:val="00EB7DE6"/>
    <w:rsid w:val="00EB7F0E"/>
    <w:rsid w:val="00EC0001"/>
    <w:rsid w:val="00EC0142"/>
    <w:rsid w:val="00EC01B3"/>
    <w:rsid w:val="00EC098C"/>
    <w:rsid w:val="00EC0AE8"/>
    <w:rsid w:val="00EC0BA2"/>
    <w:rsid w:val="00EC0C7B"/>
    <w:rsid w:val="00EC0D84"/>
    <w:rsid w:val="00EC0F29"/>
    <w:rsid w:val="00EC10E2"/>
    <w:rsid w:val="00EC126A"/>
    <w:rsid w:val="00EC1328"/>
    <w:rsid w:val="00EC1440"/>
    <w:rsid w:val="00EC180C"/>
    <w:rsid w:val="00EC1866"/>
    <w:rsid w:val="00EC1CAD"/>
    <w:rsid w:val="00EC1EC9"/>
    <w:rsid w:val="00EC2190"/>
    <w:rsid w:val="00EC21F2"/>
    <w:rsid w:val="00EC22D6"/>
    <w:rsid w:val="00EC22F6"/>
    <w:rsid w:val="00EC2329"/>
    <w:rsid w:val="00EC2531"/>
    <w:rsid w:val="00EC26C4"/>
    <w:rsid w:val="00EC2AC3"/>
    <w:rsid w:val="00EC2E59"/>
    <w:rsid w:val="00EC3072"/>
    <w:rsid w:val="00EC3154"/>
    <w:rsid w:val="00EC32B4"/>
    <w:rsid w:val="00EC366E"/>
    <w:rsid w:val="00EC3755"/>
    <w:rsid w:val="00EC37FF"/>
    <w:rsid w:val="00EC3953"/>
    <w:rsid w:val="00EC3BB2"/>
    <w:rsid w:val="00EC3DA8"/>
    <w:rsid w:val="00EC3DAD"/>
    <w:rsid w:val="00EC3F1B"/>
    <w:rsid w:val="00EC3F25"/>
    <w:rsid w:val="00EC3FA4"/>
    <w:rsid w:val="00EC3FD4"/>
    <w:rsid w:val="00EC41A8"/>
    <w:rsid w:val="00EC43EB"/>
    <w:rsid w:val="00EC444A"/>
    <w:rsid w:val="00EC47BD"/>
    <w:rsid w:val="00EC47DD"/>
    <w:rsid w:val="00EC4A83"/>
    <w:rsid w:val="00EC4B2E"/>
    <w:rsid w:val="00EC4D0F"/>
    <w:rsid w:val="00EC4E04"/>
    <w:rsid w:val="00EC4F30"/>
    <w:rsid w:val="00EC5042"/>
    <w:rsid w:val="00EC52CE"/>
    <w:rsid w:val="00EC530F"/>
    <w:rsid w:val="00EC5AB6"/>
    <w:rsid w:val="00EC5B80"/>
    <w:rsid w:val="00EC5D8A"/>
    <w:rsid w:val="00EC5DEA"/>
    <w:rsid w:val="00EC5E5B"/>
    <w:rsid w:val="00EC605B"/>
    <w:rsid w:val="00EC6309"/>
    <w:rsid w:val="00EC637D"/>
    <w:rsid w:val="00EC6616"/>
    <w:rsid w:val="00EC66D7"/>
    <w:rsid w:val="00EC67B5"/>
    <w:rsid w:val="00EC6909"/>
    <w:rsid w:val="00EC691C"/>
    <w:rsid w:val="00EC692B"/>
    <w:rsid w:val="00EC69C6"/>
    <w:rsid w:val="00EC6ADD"/>
    <w:rsid w:val="00EC6AF8"/>
    <w:rsid w:val="00EC6BEC"/>
    <w:rsid w:val="00EC6C39"/>
    <w:rsid w:val="00EC6C70"/>
    <w:rsid w:val="00EC6D6A"/>
    <w:rsid w:val="00EC7111"/>
    <w:rsid w:val="00EC727A"/>
    <w:rsid w:val="00EC7495"/>
    <w:rsid w:val="00EC7505"/>
    <w:rsid w:val="00EC7720"/>
    <w:rsid w:val="00EC7786"/>
    <w:rsid w:val="00EC79BA"/>
    <w:rsid w:val="00EC7BFB"/>
    <w:rsid w:val="00EC7E48"/>
    <w:rsid w:val="00EC7E71"/>
    <w:rsid w:val="00EC7FE6"/>
    <w:rsid w:val="00ED038B"/>
    <w:rsid w:val="00ED06BB"/>
    <w:rsid w:val="00ED06E1"/>
    <w:rsid w:val="00ED090C"/>
    <w:rsid w:val="00ED09FE"/>
    <w:rsid w:val="00ED0B16"/>
    <w:rsid w:val="00ED0EA9"/>
    <w:rsid w:val="00ED10F0"/>
    <w:rsid w:val="00ED160E"/>
    <w:rsid w:val="00ED191B"/>
    <w:rsid w:val="00ED19D8"/>
    <w:rsid w:val="00ED1A48"/>
    <w:rsid w:val="00ED1A54"/>
    <w:rsid w:val="00ED1B57"/>
    <w:rsid w:val="00ED1C15"/>
    <w:rsid w:val="00ED213D"/>
    <w:rsid w:val="00ED220B"/>
    <w:rsid w:val="00ED249B"/>
    <w:rsid w:val="00ED24AB"/>
    <w:rsid w:val="00ED251E"/>
    <w:rsid w:val="00ED29E7"/>
    <w:rsid w:val="00ED2A9C"/>
    <w:rsid w:val="00ED2E45"/>
    <w:rsid w:val="00ED3193"/>
    <w:rsid w:val="00ED333E"/>
    <w:rsid w:val="00ED355D"/>
    <w:rsid w:val="00ED37FC"/>
    <w:rsid w:val="00ED3837"/>
    <w:rsid w:val="00ED3FD2"/>
    <w:rsid w:val="00ED4027"/>
    <w:rsid w:val="00ED4192"/>
    <w:rsid w:val="00ED4239"/>
    <w:rsid w:val="00ED42FC"/>
    <w:rsid w:val="00ED45D6"/>
    <w:rsid w:val="00ED45FA"/>
    <w:rsid w:val="00ED4649"/>
    <w:rsid w:val="00ED46C4"/>
    <w:rsid w:val="00ED47B8"/>
    <w:rsid w:val="00ED49AB"/>
    <w:rsid w:val="00ED49F3"/>
    <w:rsid w:val="00ED4AEE"/>
    <w:rsid w:val="00ED4B3D"/>
    <w:rsid w:val="00ED4C93"/>
    <w:rsid w:val="00ED4E7B"/>
    <w:rsid w:val="00ED4FC9"/>
    <w:rsid w:val="00ED50CF"/>
    <w:rsid w:val="00ED54D9"/>
    <w:rsid w:val="00ED5855"/>
    <w:rsid w:val="00ED5A99"/>
    <w:rsid w:val="00ED5D55"/>
    <w:rsid w:val="00ED5FAE"/>
    <w:rsid w:val="00ED602E"/>
    <w:rsid w:val="00ED61FD"/>
    <w:rsid w:val="00ED6419"/>
    <w:rsid w:val="00ED6551"/>
    <w:rsid w:val="00ED6646"/>
    <w:rsid w:val="00ED6698"/>
    <w:rsid w:val="00ED6699"/>
    <w:rsid w:val="00ED672B"/>
    <w:rsid w:val="00ED6849"/>
    <w:rsid w:val="00ED6868"/>
    <w:rsid w:val="00ED6897"/>
    <w:rsid w:val="00ED6F13"/>
    <w:rsid w:val="00ED7221"/>
    <w:rsid w:val="00ED7307"/>
    <w:rsid w:val="00ED734F"/>
    <w:rsid w:val="00ED73CD"/>
    <w:rsid w:val="00ED773E"/>
    <w:rsid w:val="00ED782C"/>
    <w:rsid w:val="00ED78ED"/>
    <w:rsid w:val="00ED7AD2"/>
    <w:rsid w:val="00ED7C68"/>
    <w:rsid w:val="00ED7D53"/>
    <w:rsid w:val="00ED7F0E"/>
    <w:rsid w:val="00ED7FAD"/>
    <w:rsid w:val="00EE075F"/>
    <w:rsid w:val="00EE078B"/>
    <w:rsid w:val="00EE0954"/>
    <w:rsid w:val="00EE0C15"/>
    <w:rsid w:val="00EE0C68"/>
    <w:rsid w:val="00EE11A6"/>
    <w:rsid w:val="00EE13CB"/>
    <w:rsid w:val="00EE1529"/>
    <w:rsid w:val="00EE1613"/>
    <w:rsid w:val="00EE177A"/>
    <w:rsid w:val="00EE1AFD"/>
    <w:rsid w:val="00EE1AFE"/>
    <w:rsid w:val="00EE1EC5"/>
    <w:rsid w:val="00EE203F"/>
    <w:rsid w:val="00EE20F7"/>
    <w:rsid w:val="00EE21CB"/>
    <w:rsid w:val="00EE228F"/>
    <w:rsid w:val="00EE231C"/>
    <w:rsid w:val="00EE26BF"/>
    <w:rsid w:val="00EE277C"/>
    <w:rsid w:val="00EE2820"/>
    <w:rsid w:val="00EE2C57"/>
    <w:rsid w:val="00EE2C73"/>
    <w:rsid w:val="00EE32E5"/>
    <w:rsid w:val="00EE33C9"/>
    <w:rsid w:val="00EE3527"/>
    <w:rsid w:val="00EE353D"/>
    <w:rsid w:val="00EE370E"/>
    <w:rsid w:val="00EE3A2A"/>
    <w:rsid w:val="00EE3A89"/>
    <w:rsid w:val="00EE3DE3"/>
    <w:rsid w:val="00EE3E35"/>
    <w:rsid w:val="00EE3FCA"/>
    <w:rsid w:val="00EE41DB"/>
    <w:rsid w:val="00EE4330"/>
    <w:rsid w:val="00EE4409"/>
    <w:rsid w:val="00EE4A46"/>
    <w:rsid w:val="00EE4A66"/>
    <w:rsid w:val="00EE4D1B"/>
    <w:rsid w:val="00EE4ECB"/>
    <w:rsid w:val="00EE5435"/>
    <w:rsid w:val="00EE5B40"/>
    <w:rsid w:val="00EE63AB"/>
    <w:rsid w:val="00EE676C"/>
    <w:rsid w:val="00EE6790"/>
    <w:rsid w:val="00EE684A"/>
    <w:rsid w:val="00EE6891"/>
    <w:rsid w:val="00EE6A4F"/>
    <w:rsid w:val="00EE6A8A"/>
    <w:rsid w:val="00EE6CCB"/>
    <w:rsid w:val="00EE6E66"/>
    <w:rsid w:val="00EE6EC2"/>
    <w:rsid w:val="00EE7180"/>
    <w:rsid w:val="00EE74CF"/>
    <w:rsid w:val="00EE764B"/>
    <w:rsid w:val="00EE770F"/>
    <w:rsid w:val="00EE779A"/>
    <w:rsid w:val="00EE7885"/>
    <w:rsid w:val="00EE7A62"/>
    <w:rsid w:val="00EE7E55"/>
    <w:rsid w:val="00EF0010"/>
    <w:rsid w:val="00EF0049"/>
    <w:rsid w:val="00EF04ED"/>
    <w:rsid w:val="00EF0604"/>
    <w:rsid w:val="00EF08C2"/>
    <w:rsid w:val="00EF099A"/>
    <w:rsid w:val="00EF0AAD"/>
    <w:rsid w:val="00EF0B23"/>
    <w:rsid w:val="00EF0B47"/>
    <w:rsid w:val="00EF1077"/>
    <w:rsid w:val="00EF1143"/>
    <w:rsid w:val="00EF11C2"/>
    <w:rsid w:val="00EF11C3"/>
    <w:rsid w:val="00EF12BF"/>
    <w:rsid w:val="00EF175B"/>
    <w:rsid w:val="00EF18DD"/>
    <w:rsid w:val="00EF1967"/>
    <w:rsid w:val="00EF196B"/>
    <w:rsid w:val="00EF1972"/>
    <w:rsid w:val="00EF19FA"/>
    <w:rsid w:val="00EF1A4B"/>
    <w:rsid w:val="00EF1AB4"/>
    <w:rsid w:val="00EF1AF8"/>
    <w:rsid w:val="00EF1C66"/>
    <w:rsid w:val="00EF1CF5"/>
    <w:rsid w:val="00EF1E10"/>
    <w:rsid w:val="00EF2351"/>
    <w:rsid w:val="00EF237B"/>
    <w:rsid w:val="00EF23A9"/>
    <w:rsid w:val="00EF261B"/>
    <w:rsid w:val="00EF2648"/>
    <w:rsid w:val="00EF26FA"/>
    <w:rsid w:val="00EF28FC"/>
    <w:rsid w:val="00EF296A"/>
    <w:rsid w:val="00EF2B7E"/>
    <w:rsid w:val="00EF2D3B"/>
    <w:rsid w:val="00EF3110"/>
    <w:rsid w:val="00EF3234"/>
    <w:rsid w:val="00EF3713"/>
    <w:rsid w:val="00EF3FB4"/>
    <w:rsid w:val="00EF40FA"/>
    <w:rsid w:val="00EF41E9"/>
    <w:rsid w:val="00EF4308"/>
    <w:rsid w:val="00EF4345"/>
    <w:rsid w:val="00EF44EE"/>
    <w:rsid w:val="00EF4A52"/>
    <w:rsid w:val="00EF4CF0"/>
    <w:rsid w:val="00EF4E1E"/>
    <w:rsid w:val="00EF5210"/>
    <w:rsid w:val="00EF5256"/>
    <w:rsid w:val="00EF5391"/>
    <w:rsid w:val="00EF554D"/>
    <w:rsid w:val="00EF5861"/>
    <w:rsid w:val="00EF58C6"/>
    <w:rsid w:val="00EF5B4A"/>
    <w:rsid w:val="00EF5D39"/>
    <w:rsid w:val="00EF5D6B"/>
    <w:rsid w:val="00EF5D94"/>
    <w:rsid w:val="00EF610E"/>
    <w:rsid w:val="00EF63D2"/>
    <w:rsid w:val="00EF6471"/>
    <w:rsid w:val="00EF6482"/>
    <w:rsid w:val="00EF64C5"/>
    <w:rsid w:val="00EF6658"/>
    <w:rsid w:val="00EF6713"/>
    <w:rsid w:val="00EF68C3"/>
    <w:rsid w:val="00EF68C6"/>
    <w:rsid w:val="00EF6968"/>
    <w:rsid w:val="00EF6BF3"/>
    <w:rsid w:val="00EF6C9F"/>
    <w:rsid w:val="00EF6D05"/>
    <w:rsid w:val="00EF7424"/>
    <w:rsid w:val="00EF75FE"/>
    <w:rsid w:val="00EF7600"/>
    <w:rsid w:val="00EF7647"/>
    <w:rsid w:val="00EF7670"/>
    <w:rsid w:val="00EF774C"/>
    <w:rsid w:val="00EF7794"/>
    <w:rsid w:val="00EF799C"/>
    <w:rsid w:val="00EF79A2"/>
    <w:rsid w:val="00EF7AAF"/>
    <w:rsid w:val="00EF7EE4"/>
    <w:rsid w:val="00F00055"/>
    <w:rsid w:val="00F0023D"/>
    <w:rsid w:val="00F0040C"/>
    <w:rsid w:val="00F0062D"/>
    <w:rsid w:val="00F00729"/>
    <w:rsid w:val="00F0072D"/>
    <w:rsid w:val="00F00758"/>
    <w:rsid w:val="00F00909"/>
    <w:rsid w:val="00F009F9"/>
    <w:rsid w:val="00F00B27"/>
    <w:rsid w:val="00F00B43"/>
    <w:rsid w:val="00F00EB8"/>
    <w:rsid w:val="00F00F69"/>
    <w:rsid w:val="00F01009"/>
    <w:rsid w:val="00F01461"/>
    <w:rsid w:val="00F016FD"/>
    <w:rsid w:val="00F0198D"/>
    <w:rsid w:val="00F019D2"/>
    <w:rsid w:val="00F01E3D"/>
    <w:rsid w:val="00F01EB2"/>
    <w:rsid w:val="00F01F2F"/>
    <w:rsid w:val="00F0202A"/>
    <w:rsid w:val="00F0213C"/>
    <w:rsid w:val="00F022B2"/>
    <w:rsid w:val="00F02458"/>
    <w:rsid w:val="00F025B6"/>
    <w:rsid w:val="00F0285F"/>
    <w:rsid w:val="00F02978"/>
    <w:rsid w:val="00F02A38"/>
    <w:rsid w:val="00F02C38"/>
    <w:rsid w:val="00F02DED"/>
    <w:rsid w:val="00F02FE7"/>
    <w:rsid w:val="00F030A9"/>
    <w:rsid w:val="00F03121"/>
    <w:rsid w:val="00F0316F"/>
    <w:rsid w:val="00F0336C"/>
    <w:rsid w:val="00F03454"/>
    <w:rsid w:val="00F03497"/>
    <w:rsid w:val="00F03577"/>
    <w:rsid w:val="00F035E0"/>
    <w:rsid w:val="00F039A4"/>
    <w:rsid w:val="00F039B6"/>
    <w:rsid w:val="00F03EB6"/>
    <w:rsid w:val="00F0450E"/>
    <w:rsid w:val="00F04569"/>
    <w:rsid w:val="00F048B9"/>
    <w:rsid w:val="00F048D7"/>
    <w:rsid w:val="00F048EC"/>
    <w:rsid w:val="00F04C2F"/>
    <w:rsid w:val="00F04C56"/>
    <w:rsid w:val="00F04D8D"/>
    <w:rsid w:val="00F04FFA"/>
    <w:rsid w:val="00F0509A"/>
    <w:rsid w:val="00F051B6"/>
    <w:rsid w:val="00F053F5"/>
    <w:rsid w:val="00F05412"/>
    <w:rsid w:val="00F05507"/>
    <w:rsid w:val="00F0566B"/>
    <w:rsid w:val="00F056B2"/>
    <w:rsid w:val="00F056D5"/>
    <w:rsid w:val="00F05A02"/>
    <w:rsid w:val="00F05C13"/>
    <w:rsid w:val="00F05D7D"/>
    <w:rsid w:val="00F05E67"/>
    <w:rsid w:val="00F05EE8"/>
    <w:rsid w:val="00F05F23"/>
    <w:rsid w:val="00F05FD2"/>
    <w:rsid w:val="00F06016"/>
    <w:rsid w:val="00F060C3"/>
    <w:rsid w:val="00F062D2"/>
    <w:rsid w:val="00F0653A"/>
    <w:rsid w:val="00F066D2"/>
    <w:rsid w:val="00F06892"/>
    <w:rsid w:val="00F068CF"/>
    <w:rsid w:val="00F068DC"/>
    <w:rsid w:val="00F06A6F"/>
    <w:rsid w:val="00F06BAF"/>
    <w:rsid w:val="00F06D7F"/>
    <w:rsid w:val="00F06DF7"/>
    <w:rsid w:val="00F06F92"/>
    <w:rsid w:val="00F0722D"/>
    <w:rsid w:val="00F07414"/>
    <w:rsid w:val="00F0752D"/>
    <w:rsid w:val="00F0753D"/>
    <w:rsid w:val="00F0793D"/>
    <w:rsid w:val="00F07C5A"/>
    <w:rsid w:val="00F07E91"/>
    <w:rsid w:val="00F07FB8"/>
    <w:rsid w:val="00F103B7"/>
    <w:rsid w:val="00F10456"/>
    <w:rsid w:val="00F1071B"/>
    <w:rsid w:val="00F10C69"/>
    <w:rsid w:val="00F10CB3"/>
    <w:rsid w:val="00F10DA1"/>
    <w:rsid w:val="00F10E47"/>
    <w:rsid w:val="00F10EFB"/>
    <w:rsid w:val="00F10F15"/>
    <w:rsid w:val="00F10F85"/>
    <w:rsid w:val="00F11043"/>
    <w:rsid w:val="00F112C3"/>
    <w:rsid w:val="00F1149E"/>
    <w:rsid w:val="00F11875"/>
    <w:rsid w:val="00F119AA"/>
    <w:rsid w:val="00F11AC1"/>
    <w:rsid w:val="00F11B43"/>
    <w:rsid w:val="00F11D63"/>
    <w:rsid w:val="00F11D99"/>
    <w:rsid w:val="00F120FD"/>
    <w:rsid w:val="00F1287C"/>
    <w:rsid w:val="00F12890"/>
    <w:rsid w:val="00F12ADF"/>
    <w:rsid w:val="00F12C07"/>
    <w:rsid w:val="00F12D83"/>
    <w:rsid w:val="00F12E98"/>
    <w:rsid w:val="00F12EF9"/>
    <w:rsid w:val="00F12FF0"/>
    <w:rsid w:val="00F13067"/>
    <w:rsid w:val="00F1337F"/>
    <w:rsid w:val="00F13A1A"/>
    <w:rsid w:val="00F13A4E"/>
    <w:rsid w:val="00F13AE7"/>
    <w:rsid w:val="00F13BBD"/>
    <w:rsid w:val="00F1449A"/>
    <w:rsid w:val="00F1468D"/>
    <w:rsid w:val="00F1480C"/>
    <w:rsid w:val="00F14875"/>
    <w:rsid w:val="00F14921"/>
    <w:rsid w:val="00F1498E"/>
    <w:rsid w:val="00F149BE"/>
    <w:rsid w:val="00F14AA1"/>
    <w:rsid w:val="00F14D59"/>
    <w:rsid w:val="00F14DD8"/>
    <w:rsid w:val="00F14F88"/>
    <w:rsid w:val="00F15216"/>
    <w:rsid w:val="00F15366"/>
    <w:rsid w:val="00F15420"/>
    <w:rsid w:val="00F1547E"/>
    <w:rsid w:val="00F154ED"/>
    <w:rsid w:val="00F1570C"/>
    <w:rsid w:val="00F15942"/>
    <w:rsid w:val="00F1594C"/>
    <w:rsid w:val="00F15A3F"/>
    <w:rsid w:val="00F15B3C"/>
    <w:rsid w:val="00F15C46"/>
    <w:rsid w:val="00F15D76"/>
    <w:rsid w:val="00F15DB7"/>
    <w:rsid w:val="00F15E00"/>
    <w:rsid w:val="00F15F89"/>
    <w:rsid w:val="00F1604A"/>
    <w:rsid w:val="00F163CE"/>
    <w:rsid w:val="00F1691C"/>
    <w:rsid w:val="00F16A5D"/>
    <w:rsid w:val="00F16A73"/>
    <w:rsid w:val="00F16AF1"/>
    <w:rsid w:val="00F16B3A"/>
    <w:rsid w:val="00F16C1A"/>
    <w:rsid w:val="00F16D93"/>
    <w:rsid w:val="00F16E26"/>
    <w:rsid w:val="00F16EA6"/>
    <w:rsid w:val="00F1733F"/>
    <w:rsid w:val="00F1737C"/>
    <w:rsid w:val="00F173B5"/>
    <w:rsid w:val="00F17490"/>
    <w:rsid w:val="00F1776B"/>
    <w:rsid w:val="00F177C8"/>
    <w:rsid w:val="00F17844"/>
    <w:rsid w:val="00F17B86"/>
    <w:rsid w:val="00F17D51"/>
    <w:rsid w:val="00F17DB1"/>
    <w:rsid w:val="00F17DB3"/>
    <w:rsid w:val="00F17FE6"/>
    <w:rsid w:val="00F20069"/>
    <w:rsid w:val="00F201D4"/>
    <w:rsid w:val="00F201D5"/>
    <w:rsid w:val="00F203BF"/>
    <w:rsid w:val="00F203F8"/>
    <w:rsid w:val="00F2047E"/>
    <w:rsid w:val="00F2078B"/>
    <w:rsid w:val="00F20991"/>
    <w:rsid w:val="00F20BB9"/>
    <w:rsid w:val="00F20D50"/>
    <w:rsid w:val="00F21158"/>
    <w:rsid w:val="00F211E6"/>
    <w:rsid w:val="00F21283"/>
    <w:rsid w:val="00F213F0"/>
    <w:rsid w:val="00F21456"/>
    <w:rsid w:val="00F2148D"/>
    <w:rsid w:val="00F215A4"/>
    <w:rsid w:val="00F21623"/>
    <w:rsid w:val="00F216D0"/>
    <w:rsid w:val="00F21A96"/>
    <w:rsid w:val="00F21AB6"/>
    <w:rsid w:val="00F21AD3"/>
    <w:rsid w:val="00F21C36"/>
    <w:rsid w:val="00F21C73"/>
    <w:rsid w:val="00F21F42"/>
    <w:rsid w:val="00F21FBE"/>
    <w:rsid w:val="00F2228D"/>
    <w:rsid w:val="00F225F9"/>
    <w:rsid w:val="00F2265C"/>
    <w:rsid w:val="00F2293D"/>
    <w:rsid w:val="00F22ACE"/>
    <w:rsid w:val="00F22C63"/>
    <w:rsid w:val="00F22C8E"/>
    <w:rsid w:val="00F22CC9"/>
    <w:rsid w:val="00F22CED"/>
    <w:rsid w:val="00F23204"/>
    <w:rsid w:val="00F2345C"/>
    <w:rsid w:val="00F23550"/>
    <w:rsid w:val="00F235CB"/>
    <w:rsid w:val="00F23F5D"/>
    <w:rsid w:val="00F24334"/>
    <w:rsid w:val="00F24428"/>
    <w:rsid w:val="00F24552"/>
    <w:rsid w:val="00F245A5"/>
    <w:rsid w:val="00F2464B"/>
    <w:rsid w:val="00F24760"/>
    <w:rsid w:val="00F247F9"/>
    <w:rsid w:val="00F2486E"/>
    <w:rsid w:val="00F24C63"/>
    <w:rsid w:val="00F24DF7"/>
    <w:rsid w:val="00F24F4F"/>
    <w:rsid w:val="00F252F5"/>
    <w:rsid w:val="00F2548F"/>
    <w:rsid w:val="00F25820"/>
    <w:rsid w:val="00F25838"/>
    <w:rsid w:val="00F25C50"/>
    <w:rsid w:val="00F26310"/>
    <w:rsid w:val="00F26578"/>
    <w:rsid w:val="00F26A5F"/>
    <w:rsid w:val="00F26A7E"/>
    <w:rsid w:val="00F26B59"/>
    <w:rsid w:val="00F26D21"/>
    <w:rsid w:val="00F26EB1"/>
    <w:rsid w:val="00F26F0C"/>
    <w:rsid w:val="00F26F74"/>
    <w:rsid w:val="00F271DA"/>
    <w:rsid w:val="00F274D2"/>
    <w:rsid w:val="00F275AC"/>
    <w:rsid w:val="00F275D8"/>
    <w:rsid w:val="00F2794D"/>
    <w:rsid w:val="00F27B56"/>
    <w:rsid w:val="00F27C06"/>
    <w:rsid w:val="00F27E34"/>
    <w:rsid w:val="00F27EBE"/>
    <w:rsid w:val="00F27FB1"/>
    <w:rsid w:val="00F30051"/>
    <w:rsid w:val="00F30106"/>
    <w:rsid w:val="00F30402"/>
    <w:rsid w:val="00F304C3"/>
    <w:rsid w:val="00F305C9"/>
    <w:rsid w:val="00F30713"/>
    <w:rsid w:val="00F30947"/>
    <w:rsid w:val="00F30AB1"/>
    <w:rsid w:val="00F30AB5"/>
    <w:rsid w:val="00F30ACD"/>
    <w:rsid w:val="00F310AE"/>
    <w:rsid w:val="00F31127"/>
    <w:rsid w:val="00F3112D"/>
    <w:rsid w:val="00F31222"/>
    <w:rsid w:val="00F31228"/>
    <w:rsid w:val="00F31261"/>
    <w:rsid w:val="00F31544"/>
    <w:rsid w:val="00F3180E"/>
    <w:rsid w:val="00F3186B"/>
    <w:rsid w:val="00F319C0"/>
    <w:rsid w:val="00F31BB7"/>
    <w:rsid w:val="00F31CC3"/>
    <w:rsid w:val="00F31D2F"/>
    <w:rsid w:val="00F31F5B"/>
    <w:rsid w:val="00F32027"/>
    <w:rsid w:val="00F325C0"/>
    <w:rsid w:val="00F3276D"/>
    <w:rsid w:val="00F3291E"/>
    <w:rsid w:val="00F32B38"/>
    <w:rsid w:val="00F33172"/>
    <w:rsid w:val="00F334C9"/>
    <w:rsid w:val="00F33545"/>
    <w:rsid w:val="00F336CB"/>
    <w:rsid w:val="00F33961"/>
    <w:rsid w:val="00F33AC8"/>
    <w:rsid w:val="00F33CD0"/>
    <w:rsid w:val="00F33DC5"/>
    <w:rsid w:val="00F341E9"/>
    <w:rsid w:val="00F342C6"/>
    <w:rsid w:val="00F34614"/>
    <w:rsid w:val="00F347D7"/>
    <w:rsid w:val="00F34872"/>
    <w:rsid w:val="00F348BA"/>
    <w:rsid w:val="00F348DA"/>
    <w:rsid w:val="00F3491B"/>
    <w:rsid w:val="00F349CD"/>
    <w:rsid w:val="00F34C6E"/>
    <w:rsid w:val="00F34CB4"/>
    <w:rsid w:val="00F34F5C"/>
    <w:rsid w:val="00F35577"/>
    <w:rsid w:val="00F356D7"/>
    <w:rsid w:val="00F356E4"/>
    <w:rsid w:val="00F35F84"/>
    <w:rsid w:val="00F36417"/>
    <w:rsid w:val="00F3647B"/>
    <w:rsid w:val="00F3648E"/>
    <w:rsid w:val="00F3661F"/>
    <w:rsid w:val="00F36994"/>
    <w:rsid w:val="00F36AD7"/>
    <w:rsid w:val="00F36B10"/>
    <w:rsid w:val="00F36B67"/>
    <w:rsid w:val="00F36EED"/>
    <w:rsid w:val="00F3705D"/>
    <w:rsid w:val="00F370B9"/>
    <w:rsid w:val="00F374C5"/>
    <w:rsid w:val="00F374D5"/>
    <w:rsid w:val="00F3754E"/>
    <w:rsid w:val="00F3775B"/>
    <w:rsid w:val="00F37A09"/>
    <w:rsid w:val="00F37BBC"/>
    <w:rsid w:val="00F37D5F"/>
    <w:rsid w:val="00F40219"/>
    <w:rsid w:val="00F40637"/>
    <w:rsid w:val="00F409E6"/>
    <w:rsid w:val="00F40C9F"/>
    <w:rsid w:val="00F40D47"/>
    <w:rsid w:val="00F40D91"/>
    <w:rsid w:val="00F40E20"/>
    <w:rsid w:val="00F40F6F"/>
    <w:rsid w:val="00F4120A"/>
    <w:rsid w:val="00F41276"/>
    <w:rsid w:val="00F412DC"/>
    <w:rsid w:val="00F41415"/>
    <w:rsid w:val="00F41516"/>
    <w:rsid w:val="00F41628"/>
    <w:rsid w:val="00F41660"/>
    <w:rsid w:val="00F416EE"/>
    <w:rsid w:val="00F418BC"/>
    <w:rsid w:val="00F41D86"/>
    <w:rsid w:val="00F41DEF"/>
    <w:rsid w:val="00F41EBB"/>
    <w:rsid w:val="00F4222C"/>
    <w:rsid w:val="00F42236"/>
    <w:rsid w:val="00F422BB"/>
    <w:rsid w:val="00F4265E"/>
    <w:rsid w:val="00F427AF"/>
    <w:rsid w:val="00F4283E"/>
    <w:rsid w:val="00F4284C"/>
    <w:rsid w:val="00F428BE"/>
    <w:rsid w:val="00F42C13"/>
    <w:rsid w:val="00F42C99"/>
    <w:rsid w:val="00F42F57"/>
    <w:rsid w:val="00F431E6"/>
    <w:rsid w:val="00F4324A"/>
    <w:rsid w:val="00F43342"/>
    <w:rsid w:val="00F434C8"/>
    <w:rsid w:val="00F435D3"/>
    <w:rsid w:val="00F435E9"/>
    <w:rsid w:val="00F43620"/>
    <w:rsid w:val="00F43925"/>
    <w:rsid w:val="00F43BEA"/>
    <w:rsid w:val="00F43CFD"/>
    <w:rsid w:val="00F43DEC"/>
    <w:rsid w:val="00F43FA0"/>
    <w:rsid w:val="00F440B8"/>
    <w:rsid w:val="00F44483"/>
    <w:rsid w:val="00F448E0"/>
    <w:rsid w:val="00F4492E"/>
    <w:rsid w:val="00F449BC"/>
    <w:rsid w:val="00F44A0F"/>
    <w:rsid w:val="00F44AD7"/>
    <w:rsid w:val="00F44C9F"/>
    <w:rsid w:val="00F44CB5"/>
    <w:rsid w:val="00F44EF3"/>
    <w:rsid w:val="00F45031"/>
    <w:rsid w:val="00F452F9"/>
    <w:rsid w:val="00F4590C"/>
    <w:rsid w:val="00F45A28"/>
    <w:rsid w:val="00F45A7D"/>
    <w:rsid w:val="00F45C95"/>
    <w:rsid w:val="00F45CB9"/>
    <w:rsid w:val="00F45E77"/>
    <w:rsid w:val="00F45F46"/>
    <w:rsid w:val="00F46365"/>
    <w:rsid w:val="00F46678"/>
    <w:rsid w:val="00F4692D"/>
    <w:rsid w:val="00F46A4D"/>
    <w:rsid w:val="00F46C4B"/>
    <w:rsid w:val="00F46DDB"/>
    <w:rsid w:val="00F46DED"/>
    <w:rsid w:val="00F46EAE"/>
    <w:rsid w:val="00F46EBA"/>
    <w:rsid w:val="00F46EF5"/>
    <w:rsid w:val="00F46FA9"/>
    <w:rsid w:val="00F46FEE"/>
    <w:rsid w:val="00F4702E"/>
    <w:rsid w:val="00F4723A"/>
    <w:rsid w:val="00F473C4"/>
    <w:rsid w:val="00F47566"/>
    <w:rsid w:val="00F47771"/>
    <w:rsid w:val="00F47C33"/>
    <w:rsid w:val="00F47D7F"/>
    <w:rsid w:val="00F47E16"/>
    <w:rsid w:val="00F500F9"/>
    <w:rsid w:val="00F50130"/>
    <w:rsid w:val="00F504E2"/>
    <w:rsid w:val="00F50595"/>
    <w:rsid w:val="00F506A9"/>
    <w:rsid w:val="00F5090C"/>
    <w:rsid w:val="00F50B09"/>
    <w:rsid w:val="00F50BF8"/>
    <w:rsid w:val="00F50C09"/>
    <w:rsid w:val="00F51242"/>
    <w:rsid w:val="00F51453"/>
    <w:rsid w:val="00F51749"/>
    <w:rsid w:val="00F51820"/>
    <w:rsid w:val="00F518A5"/>
    <w:rsid w:val="00F519A1"/>
    <w:rsid w:val="00F51AEF"/>
    <w:rsid w:val="00F51FA4"/>
    <w:rsid w:val="00F520B5"/>
    <w:rsid w:val="00F522A2"/>
    <w:rsid w:val="00F52610"/>
    <w:rsid w:val="00F52670"/>
    <w:rsid w:val="00F528C7"/>
    <w:rsid w:val="00F529B0"/>
    <w:rsid w:val="00F52A5C"/>
    <w:rsid w:val="00F52BD7"/>
    <w:rsid w:val="00F52BE1"/>
    <w:rsid w:val="00F53082"/>
    <w:rsid w:val="00F534C2"/>
    <w:rsid w:val="00F5376F"/>
    <w:rsid w:val="00F538C7"/>
    <w:rsid w:val="00F539BF"/>
    <w:rsid w:val="00F53B52"/>
    <w:rsid w:val="00F53D4A"/>
    <w:rsid w:val="00F53FD9"/>
    <w:rsid w:val="00F541B7"/>
    <w:rsid w:val="00F5445C"/>
    <w:rsid w:val="00F544E1"/>
    <w:rsid w:val="00F54702"/>
    <w:rsid w:val="00F548BE"/>
    <w:rsid w:val="00F54954"/>
    <w:rsid w:val="00F54BD0"/>
    <w:rsid w:val="00F54BE0"/>
    <w:rsid w:val="00F54D7F"/>
    <w:rsid w:val="00F54D9B"/>
    <w:rsid w:val="00F54DDE"/>
    <w:rsid w:val="00F54DEA"/>
    <w:rsid w:val="00F55175"/>
    <w:rsid w:val="00F55230"/>
    <w:rsid w:val="00F55279"/>
    <w:rsid w:val="00F552D9"/>
    <w:rsid w:val="00F556E3"/>
    <w:rsid w:val="00F55738"/>
    <w:rsid w:val="00F558A6"/>
    <w:rsid w:val="00F55FF9"/>
    <w:rsid w:val="00F5611F"/>
    <w:rsid w:val="00F561F5"/>
    <w:rsid w:val="00F562BC"/>
    <w:rsid w:val="00F564C2"/>
    <w:rsid w:val="00F5667F"/>
    <w:rsid w:val="00F567C1"/>
    <w:rsid w:val="00F569F1"/>
    <w:rsid w:val="00F56B15"/>
    <w:rsid w:val="00F570D4"/>
    <w:rsid w:val="00F5738D"/>
    <w:rsid w:val="00F5743D"/>
    <w:rsid w:val="00F57455"/>
    <w:rsid w:val="00F575ED"/>
    <w:rsid w:val="00F57611"/>
    <w:rsid w:val="00F576A1"/>
    <w:rsid w:val="00F576E6"/>
    <w:rsid w:val="00F5776F"/>
    <w:rsid w:val="00F57A56"/>
    <w:rsid w:val="00F57A62"/>
    <w:rsid w:val="00F57C73"/>
    <w:rsid w:val="00F57D1D"/>
    <w:rsid w:val="00F57F5B"/>
    <w:rsid w:val="00F60055"/>
    <w:rsid w:val="00F602C4"/>
    <w:rsid w:val="00F6032A"/>
    <w:rsid w:val="00F60489"/>
    <w:rsid w:val="00F60620"/>
    <w:rsid w:val="00F60B9B"/>
    <w:rsid w:val="00F60EC7"/>
    <w:rsid w:val="00F60FE4"/>
    <w:rsid w:val="00F6105C"/>
    <w:rsid w:val="00F61117"/>
    <w:rsid w:val="00F611BA"/>
    <w:rsid w:val="00F615DF"/>
    <w:rsid w:val="00F61615"/>
    <w:rsid w:val="00F616D5"/>
    <w:rsid w:val="00F61733"/>
    <w:rsid w:val="00F61B21"/>
    <w:rsid w:val="00F61C95"/>
    <w:rsid w:val="00F61D61"/>
    <w:rsid w:val="00F61E31"/>
    <w:rsid w:val="00F62272"/>
    <w:rsid w:val="00F626BE"/>
    <w:rsid w:val="00F629AA"/>
    <w:rsid w:val="00F629EE"/>
    <w:rsid w:val="00F62B2D"/>
    <w:rsid w:val="00F62FFA"/>
    <w:rsid w:val="00F63385"/>
    <w:rsid w:val="00F63442"/>
    <w:rsid w:val="00F63636"/>
    <w:rsid w:val="00F63832"/>
    <w:rsid w:val="00F63A12"/>
    <w:rsid w:val="00F63FAE"/>
    <w:rsid w:val="00F640B9"/>
    <w:rsid w:val="00F641A9"/>
    <w:rsid w:val="00F64342"/>
    <w:rsid w:val="00F644BC"/>
    <w:rsid w:val="00F645FC"/>
    <w:rsid w:val="00F646F7"/>
    <w:rsid w:val="00F646FF"/>
    <w:rsid w:val="00F64BA1"/>
    <w:rsid w:val="00F650EE"/>
    <w:rsid w:val="00F65239"/>
    <w:rsid w:val="00F65282"/>
    <w:rsid w:val="00F6528E"/>
    <w:rsid w:val="00F65563"/>
    <w:rsid w:val="00F6578D"/>
    <w:rsid w:val="00F657D7"/>
    <w:rsid w:val="00F657E1"/>
    <w:rsid w:val="00F65B1A"/>
    <w:rsid w:val="00F65B1E"/>
    <w:rsid w:val="00F66087"/>
    <w:rsid w:val="00F6610C"/>
    <w:rsid w:val="00F66955"/>
    <w:rsid w:val="00F669D1"/>
    <w:rsid w:val="00F66D31"/>
    <w:rsid w:val="00F67072"/>
    <w:rsid w:val="00F67467"/>
    <w:rsid w:val="00F67682"/>
    <w:rsid w:val="00F67A43"/>
    <w:rsid w:val="00F67C8A"/>
    <w:rsid w:val="00F67CA2"/>
    <w:rsid w:val="00F67D05"/>
    <w:rsid w:val="00F67E1D"/>
    <w:rsid w:val="00F700F5"/>
    <w:rsid w:val="00F70349"/>
    <w:rsid w:val="00F703ED"/>
    <w:rsid w:val="00F70737"/>
    <w:rsid w:val="00F7084B"/>
    <w:rsid w:val="00F709C4"/>
    <w:rsid w:val="00F70ABD"/>
    <w:rsid w:val="00F70BCB"/>
    <w:rsid w:val="00F70D1C"/>
    <w:rsid w:val="00F70E0C"/>
    <w:rsid w:val="00F7117B"/>
    <w:rsid w:val="00F711C6"/>
    <w:rsid w:val="00F711C7"/>
    <w:rsid w:val="00F711D6"/>
    <w:rsid w:val="00F71294"/>
    <w:rsid w:val="00F71326"/>
    <w:rsid w:val="00F716C5"/>
    <w:rsid w:val="00F7180D"/>
    <w:rsid w:val="00F71B5C"/>
    <w:rsid w:val="00F71C91"/>
    <w:rsid w:val="00F71EBF"/>
    <w:rsid w:val="00F723BC"/>
    <w:rsid w:val="00F7250C"/>
    <w:rsid w:val="00F72761"/>
    <w:rsid w:val="00F7279B"/>
    <w:rsid w:val="00F7283A"/>
    <w:rsid w:val="00F72A82"/>
    <w:rsid w:val="00F72AF4"/>
    <w:rsid w:val="00F72B04"/>
    <w:rsid w:val="00F730C7"/>
    <w:rsid w:val="00F73174"/>
    <w:rsid w:val="00F731C2"/>
    <w:rsid w:val="00F731E5"/>
    <w:rsid w:val="00F734CD"/>
    <w:rsid w:val="00F73503"/>
    <w:rsid w:val="00F73577"/>
    <w:rsid w:val="00F73645"/>
    <w:rsid w:val="00F737D6"/>
    <w:rsid w:val="00F7386C"/>
    <w:rsid w:val="00F73AEA"/>
    <w:rsid w:val="00F73B6A"/>
    <w:rsid w:val="00F73BE6"/>
    <w:rsid w:val="00F73E9D"/>
    <w:rsid w:val="00F73F8D"/>
    <w:rsid w:val="00F73F99"/>
    <w:rsid w:val="00F7402C"/>
    <w:rsid w:val="00F74398"/>
    <w:rsid w:val="00F7489E"/>
    <w:rsid w:val="00F748A6"/>
    <w:rsid w:val="00F7493E"/>
    <w:rsid w:val="00F74DB8"/>
    <w:rsid w:val="00F74E4A"/>
    <w:rsid w:val="00F75138"/>
    <w:rsid w:val="00F7516A"/>
    <w:rsid w:val="00F751FA"/>
    <w:rsid w:val="00F7528A"/>
    <w:rsid w:val="00F752B6"/>
    <w:rsid w:val="00F753AF"/>
    <w:rsid w:val="00F75446"/>
    <w:rsid w:val="00F754F2"/>
    <w:rsid w:val="00F7558F"/>
    <w:rsid w:val="00F75B1F"/>
    <w:rsid w:val="00F75BE6"/>
    <w:rsid w:val="00F75DDC"/>
    <w:rsid w:val="00F75EE8"/>
    <w:rsid w:val="00F7634D"/>
    <w:rsid w:val="00F763DF"/>
    <w:rsid w:val="00F7656B"/>
    <w:rsid w:val="00F765A7"/>
    <w:rsid w:val="00F7688F"/>
    <w:rsid w:val="00F76B26"/>
    <w:rsid w:val="00F76CC9"/>
    <w:rsid w:val="00F76E58"/>
    <w:rsid w:val="00F773EA"/>
    <w:rsid w:val="00F77435"/>
    <w:rsid w:val="00F77541"/>
    <w:rsid w:val="00F7766A"/>
    <w:rsid w:val="00F7798F"/>
    <w:rsid w:val="00F77B07"/>
    <w:rsid w:val="00F77D51"/>
    <w:rsid w:val="00F77E66"/>
    <w:rsid w:val="00F77F36"/>
    <w:rsid w:val="00F80009"/>
    <w:rsid w:val="00F8012F"/>
    <w:rsid w:val="00F801F8"/>
    <w:rsid w:val="00F8024E"/>
    <w:rsid w:val="00F80506"/>
    <w:rsid w:val="00F8061C"/>
    <w:rsid w:val="00F809D9"/>
    <w:rsid w:val="00F80D79"/>
    <w:rsid w:val="00F80EF7"/>
    <w:rsid w:val="00F80F68"/>
    <w:rsid w:val="00F810A3"/>
    <w:rsid w:val="00F81331"/>
    <w:rsid w:val="00F813A2"/>
    <w:rsid w:val="00F818E3"/>
    <w:rsid w:val="00F8191C"/>
    <w:rsid w:val="00F81BFE"/>
    <w:rsid w:val="00F81D05"/>
    <w:rsid w:val="00F81F91"/>
    <w:rsid w:val="00F821E4"/>
    <w:rsid w:val="00F8267C"/>
    <w:rsid w:val="00F82898"/>
    <w:rsid w:val="00F82A12"/>
    <w:rsid w:val="00F82BD9"/>
    <w:rsid w:val="00F82C84"/>
    <w:rsid w:val="00F82F7B"/>
    <w:rsid w:val="00F83407"/>
    <w:rsid w:val="00F83509"/>
    <w:rsid w:val="00F83611"/>
    <w:rsid w:val="00F837CA"/>
    <w:rsid w:val="00F839CE"/>
    <w:rsid w:val="00F83B50"/>
    <w:rsid w:val="00F83B9B"/>
    <w:rsid w:val="00F83C32"/>
    <w:rsid w:val="00F8419A"/>
    <w:rsid w:val="00F843B8"/>
    <w:rsid w:val="00F84561"/>
    <w:rsid w:val="00F84A7A"/>
    <w:rsid w:val="00F84DBB"/>
    <w:rsid w:val="00F84E2A"/>
    <w:rsid w:val="00F84ED2"/>
    <w:rsid w:val="00F850C2"/>
    <w:rsid w:val="00F85354"/>
    <w:rsid w:val="00F853AC"/>
    <w:rsid w:val="00F8547C"/>
    <w:rsid w:val="00F858DD"/>
    <w:rsid w:val="00F85946"/>
    <w:rsid w:val="00F85A34"/>
    <w:rsid w:val="00F85A8C"/>
    <w:rsid w:val="00F85CD1"/>
    <w:rsid w:val="00F85D7D"/>
    <w:rsid w:val="00F85E58"/>
    <w:rsid w:val="00F85F2A"/>
    <w:rsid w:val="00F86034"/>
    <w:rsid w:val="00F86078"/>
    <w:rsid w:val="00F860E2"/>
    <w:rsid w:val="00F86570"/>
    <w:rsid w:val="00F865BE"/>
    <w:rsid w:val="00F86BA8"/>
    <w:rsid w:val="00F86BBD"/>
    <w:rsid w:val="00F86E6F"/>
    <w:rsid w:val="00F870E4"/>
    <w:rsid w:val="00F871F0"/>
    <w:rsid w:val="00F87201"/>
    <w:rsid w:val="00F87561"/>
    <w:rsid w:val="00F8779C"/>
    <w:rsid w:val="00F87D93"/>
    <w:rsid w:val="00F9005C"/>
    <w:rsid w:val="00F900FD"/>
    <w:rsid w:val="00F90290"/>
    <w:rsid w:val="00F902EA"/>
    <w:rsid w:val="00F9042D"/>
    <w:rsid w:val="00F90430"/>
    <w:rsid w:val="00F9058E"/>
    <w:rsid w:val="00F9058F"/>
    <w:rsid w:val="00F907E8"/>
    <w:rsid w:val="00F9082E"/>
    <w:rsid w:val="00F9094F"/>
    <w:rsid w:val="00F90BEC"/>
    <w:rsid w:val="00F90F29"/>
    <w:rsid w:val="00F90F49"/>
    <w:rsid w:val="00F91113"/>
    <w:rsid w:val="00F91497"/>
    <w:rsid w:val="00F91550"/>
    <w:rsid w:val="00F915C4"/>
    <w:rsid w:val="00F9178F"/>
    <w:rsid w:val="00F917FE"/>
    <w:rsid w:val="00F91895"/>
    <w:rsid w:val="00F91896"/>
    <w:rsid w:val="00F91969"/>
    <w:rsid w:val="00F91AE7"/>
    <w:rsid w:val="00F91D38"/>
    <w:rsid w:val="00F91ED3"/>
    <w:rsid w:val="00F91F4B"/>
    <w:rsid w:val="00F92B19"/>
    <w:rsid w:val="00F92FFD"/>
    <w:rsid w:val="00F93342"/>
    <w:rsid w:val="00F93431"/>
    <w:rsid w:val="00F935DF"/>
    <w:rsid w:val="00F938B8"/>
    <w:rsid w:val="00F93960"/>
    <w:rsid w:val="00F939D5"/>
    <w:rsid w:val="00F93C0B"/>
    <w:rsid w:val="00F93C20"/>
    <w:rsid w:val="00F93C96"/>
    <w:rsid w:val="00F93D47"/>
    <w:rsid w:val="00F93E1F"/>
    <w:rsid w:val="00F93E2F"/>
    <w:rsid w:val="00F93EC5"/>
    <w:rsid w:val="00F94492"/>
    <w:rsid w:val="00F94621"/>
    <w:rsid w:val="00F946D0"/>
    <w:rsid w:val="00F946DA"/>
    <w:rsid w:val="00F948B2"/>
    <w:rsid w:val="00F94CB0"/>
    <w:rsid w:val="00F94DC6"/>
    <w:rsid w:val="00F95606"/>
    <w:rsid w:val="00F956A9"/>
    <w:rsid w:val="00F956AE"/>
    <w:rsid w:val="00F95A8E"/>
    <w:rsid w:val="00F95BBF"/>
    <w:rsid w:val="00F95BC2"/>
    <w:rsid w:val="00F95E85"/>
    <w:rsid w:val="00F95E9F"/>
    <w:rsid w:val="00F95EB7"/>
    <w:rsid w:val="00F961E0"/>
    <w:rsid w:val="00F96616"/>
    <w:rsid w:val="00F96770"/>
    <w:rsid w:val="00F969AB"/>
    <w:rsid w:val="00F96A59"/>
    <w:rsid w:val="00F96D95"/>
    <w:rsid w:val="00F96DEC"/>
    <w:rsid w:val="00F97040"/>
    <w:rsid w:val="00F9709B"/>
    <w:rsid w:val="00F9717A"/>
    <w:rsid w:val="00F9725D"/>
    <w:rsid w:val="00F972B8"/>
    <w:rsid w:val="00F97393"/>
    <w:rsid w:val="00F973E3"/>
    <w:rsid w:val="00F97511"/>
    <w:rsid w:val="00F975F6"/>
    <w:rsid w:val="00F9780E"/>
    <w:rsid w:val="00F97878"/>
    <w:rsid w:val="00F97CA7"/>
    <w:rsid w:val="00F97D5F"/>
    <w:rsid w:val="00FA0228"/>
    <w:rsid w:val="00FA02D2"/>
    <w:rsid w:val="00FA0352"/>
    <w:rsid w:val="00FA041C"/>
    <w:rsid w:val="00FA078F"/>
    <w:rsid w:val="00FA0964"/>
    <w:rsid w:val="00FA0C65"/>
    <w:rsid w:val="00FA0C88"/>
    <w:rsid w:val="00FA0CAA"/>
    <w:rsid w:val="00FA0CCD"/>
    <w:rsid w:val="00FA0D0C"/>
    <w:rsid w:val="00FA1335"/>
    <w:rsid w:val="00FA1339"/>
    <w:rsid w:val="00FA13D3"/>
    <w:rsid w:val="00FA168C"/>
    <w:rsid w:val="00FA16E6"/>
    <w:rsid w:val="00FA1BDF"/>
    <w:rsid w:val="00FA1CD8"/>
    <w:rsid w:val="00FA1D9E"/>
    <w:rsid w:val="00FA1E51"/>
    <w:rsid w:val="00FA22FA"/>
    <w:rsid w:val="00FA2354"/>
    <w:rsid w:val="00FA23AA"/>
    <w:rsid w:val="00FA261E"/>
    <w:rsid w:val="00FA284E"/>
    <w:rsid w:val="00FA2C77"/>
    <w:rsid w:val="00FA2F47"/>
    <w:rsid w:val="00FA3309"/>
    <w:rsid w:val="00FA3529"/>
    <w:rsid w:val="00FA36F0"/>
    <w:rsid w:val="00FA381C"/>
    <w:rsid w:val="00FA3980"/>
    <w:rsid w:val="00FA3C2A"/>
    <w:rsid w:val="00FA3DE7"/>
    <w:rsid w:val="00FA3EB6"/>
    <w:rsid w:val="00FA41F4"/>
    <w:rsid w:val="00FA4290"/>
    <w:rsid w:val="00FA42AE"/>
    <w:rsid w:val="00FA4302"/>
    <w:rsid w:val="00FA440D"/>
    <w:rsid w:val="00FA4654"/>
    <w:rsid w:val="00FA47D9"/>
    <w:rsid w:val="00FA4922"/>
    <w:rsid w:val="00FA4B55"/>
    <w:rsid w:val="00FA4F47"/>
    <w:rsid w:val="00FA51F3"/>
    <w:rsid w:val="00FA526C"/>
    <w:rsid w:val="00FA53B1"/>
    <w:rsid w:val="00FA54CA"/>
    <w:rsid w:val="00FA5592"/>
    <w:rsid w:val="00FA5600"/>
    <w:rsid w:val="00FA562A"/>
    <w:rsid w:val="00FA5720"/>
    <w:rsid w:val="00FA584A"/>
    <w:rsid w:val="00FA59C2"/>
    <w:rsid w:val="00FA5B88"/>
    <w:rsid w:val="00FA5BD2"/>
    <w:rsid w:val="00FA5C24"/>
    <w:rsid w:val="00FA5C4B"/>
    <w:rsid w:val="00FA5FA6"/>
    <w:rsid w:val="00FA5FED"/>
    <w:rsid w:val="00FA61E2"/>
    <w:rsid w:val="00FA64DD"/>
    <w:rsid w:val="00FA66B8"/>
    <w:rsid w:val="00FA67ED"/>
    <w:rsid w:val="00FA682E"/>
    <w:rsid w:val="00FA6A87"/>
    <w:rsid w:val="00FA7014"/>
    <w:rsid w:val="00FA707B"/>
    <w:rsid w:val="00FA7447"/>
    <w:rsid w:val="00FA7991"/>
    <w:rsid w:val="00FA7A28"/>
    <w:rsid w:val="00FA7A50"/>
    <w:rsid w:val="00FA7C92"/>
    <w:rsid w:val="00FA7DCF"/>
    <w:rsid w:val="00FA7EB3"/>
    <w:rsid w:val="00FB0067"/>
    <w:rsid w:val="00FB00C0"/>
    <w:rsid w:val="00FB0471"/>
    <w:rsid w:val="00FB04A2"/>
    <w:rsid w:val="00FB0506"/>
    <w:rsid w:val="00FB07F9"/>
    <w:rsid w:val="00FB092E"/>
    <w:rsid w:val="00FB0952"/>
    <w:rsid w:val="00FB0A0F"/>
    <w:rsid w:val="00FB0ADE"/>
    <w:rsid w:val="00FB12BB"/>
    <w:rsid w:val="00FB131D"/>
    <w:rsid w:val="00FB1401"/>
    <w:rsid w:val="00FB1458"/>
    <w:rsid w:val="00FB194F"/>
    <w:rsid w:val="00FB19B7"/>
    <w:rsid w:val="00FB1D14"/>
    <w:rsid w:val="00FB1DD7"/>
    <w:rsid w:val="00FB1FAF"/>
    <w:rsid w:val="00FB1FE5"/>
    <w:rsid w:val="00FB23C9"/>
    <w:rsid w:val="00FB23D3"/>
    <w:rsid w:val="00FB25D5"/>
    <w:rsid w:val="00FB266A"/>
    <w:rsid w:val="00FB2760"/>
    <w:rsid w:val="00FB27DC"/>
    <w:rsid w:val="00FB2F74"/>
    <w:rsid w:val="00FB2FF4"/>
    <w:rsid w:val="00FB3108"/>
    <w:rsid w:val="00FB31CC"/>
    <w:rsid w:val="00FB323D"/>
    <w:rsid w:val="00FB3681"/>
    <w:rsid w:val="00FB3695"/>
    <w:rsid w:val="00FB36B3"/>
    <w:rsid w:val="00FB36C0"/>
    <w:rsid w:val="00FB38EB"/>
    <w:rsid w:val="00FB3A07"/>
    <w:rsid w:val="00FB3FE3"/>
    <w:rsid w:val="00FB46A9"/>
    <w:rsid w:val="00FB4AE9"/>
    <w:rsid w:val="00FB52AF"/>
    <w:rsid w:val="00FB5487"/>
    <w:rsid w:val="00FB587C"/>
    <w:rsid w:val="00FB5AD0"/>
    <w:rsid w:val="00FB5D09"/>
    <w:rsid w:val="00FB5F7C"/>
    <w:rsid w:val="00FB5F8B"/>
    <w:rsid w:val="00FB656C"/>
    <w:rsid w:val="00FB683E"/>
    <w:rsid w:val="00FB6934"/>
    <w:rsid w:val="00FB6ED1"/>
    <w:rsid w:val="00FB6F77"/>
    <w:rsid w:val="00FB7262"/>
    <w:rsid w:val="00FB74B8"/>
    <w:rsid w:val="00FB7502"/>
    <w:rsid w:val="00FB761D"/>
    <w:rsid w:val="00FB7A16"/>
    <w:rsid w:val="00FB7A87"/>
    <w:rsid w:val="00FB7B8F"/>
    <w:rsid w:val="00FB7C74"/>
    <w:rsid w:val="00FB7D34"/>
    <w:rsid w:val="00FB7FDE"/>
    <w:rsid w:val="00FC0034"/>
    <w:rsid w:val="00FC005F"/>
    <w:rsid w:val="00FC0213"/>
    <w:rsid w:val="00FC0247"/>
    <w:rsid w:val="00FC03AA"/>
    <w:rsid w:val="00FC04B7"/>
    <w:rsid w:val="00FC0728"/>
    <w:rsid w:val="00FC0813"/>
    <w:rsid w:val="00FC0D44"/>
    <w:rsid w:val="00FC0DAB"/>
    <w:rsid w:val="00FC0DB9"/>
    <w:rsid w:val="00FC12C4"/>
    <w:rsid w:val="00FC1329"/>
    <w:rsid w:val="00FC13D0"/>
    <w:rsid w:val="00FC175A"/>
    <w:rsid w:val="00FC18B8"/>
    <w:rsid w:val="00FC18D0"/>
    <w:rsid w:val="00FC1907"/>
    <w:rsid w:val="00FC1AC0"/>
    <w:rsid w:val="00FC1AC6"/>
    <w:rsid w:val="00FC1C40"/>
    <w:rsid w:val="00FC1C9A"/>
    <w:rsid w:val="00FC1F15"/>
    <w:rsid w:val="00FC1F26"/>
    <w:rsid w:val="00FC1F41"/>
    <w:rsid w:val="00FC28C3"/>
    <w:rsid w:val="00FC2962"/>
    <w:rsid w:val="00FC31A3"/>
    <w:rsid w:val="00FC32DA"/>
    <w:rsid w:val="00FC3301"/>
    <w:rsid w:val="00FC3315"/>
    <w:rsid w:val="00FC33A3"/>
    <w:rsid w:val="00FC33AD"/>
    <w:rsid w:val="00FC34BB"/>
    <w:rsid w:val="00FC35AA"/>
    <w:rsid w:val="00FC35E3"/>
    <w:rsid w:val="00FC3648"/>
    <w:rsid w:val="00FC3789"/>
    <w:rsid w:val="00FC37C7"/>
    <w:rsid w:val="00FC37F5"/>
    <w:rsid w:val="00FC3906"/>
    <w:rsid w:val="00FC392E"/>
    <w:rsid w:val="00FC398C"/>
    <w:rsid w:val="00FC399F"/>
    <w:rsid w:val="00FC3A0F"/>
    <w:rsid w:val="00FC3AEA"/>
    <w:rsid w:val="00FC3DD2"/>
    <w:rsid w:val="00FC3FAA"/>
    <w:rsid w:val="00FC3FF8"/>
    <w:rsid w:val="00FC418F"/>
    <w:rsid w:val="00FC44CE"/>
    <w:rsid w:val="00FC450D"/>
    <w:rsid w:val="00FC4635"/>
    <w:rsid w:val="00FC48A0"/>
    <w:rsid w:val="00FC4CA8"/>
    <w:rsid w:val="00FC4F0E"/>
    <w:rsid w:val="00FC52A9"/>
    <w:rsid w:val="00FC5304"/>
    <w:rsid w:val="00FC544F"/>
    <w:rsid w:val="00FC548D"/>
    <w:rsid w:val="00FC56B5"/>
    <w:rsid w:val="00FC573D"/>
    <w:rsid w:val="00FC58E1"/>
    <w:rsid w:val="00FC59AC"/>
    <w:rsid w:val="00FC5AC6"/>
    <w:rsid w:val="00FC5D2C"/>
    <w:rsid w:val="00FC6015"/>
    <w:rsid w:val="00FC603C"/>
    <w:rsid w:val="00FC6098"/>
    <w:rsid w:val="00FC60D6"/>
    <w:rsid w:val="00FC62BA"/>
    <w:rsid w:val="00FC62C5"/>
    <w:rsid w:val="00FC64B5"/>
    <w:rsid w:val="00FC659A"/>
    <w:rsid w:val="00FC66D1"/>
    <w:rsid w:val="00FC6804"/>
    <w:rsid w:val="00FC6886"/>
    <w:rsid w:val="00FC697C"/>
    <w:rsid w:val="00FC69C9"/>
    <w:rsid w:val="00FC6ABE"/>
    <w:rsid w:val="00FC6B18"/>
    <w:rsid w:val="00FC6BE4"/>
    <w:rsid w:val="00FC6BFC"/>
    <w:rsid w:val="00FC6C08"/>
    <w:rsid w:val="00FC6DD7"/>
    <w:rsid w:val="00FC6F17"/>
    <w:rsid w:val="00FC6F6D"/>
    <w:rsid w:val="00FC7177"/>
    <w:rsid w:val="00FC7189"/>
    <w:rsid w:val="00FC7477"/>
    <w:rsid w:val="00FC7500"/>
    <w:rsid w:val="00FC7756"/>
    <w:rsid w:val="00FC78D0"/>
    <w:rsid w:val="00FC79F4"/>
    <w:rsid w:val="00FC7BDD"/>
    <w:rsid w:val="00FC7BF0"/>
    <w:rsid w:val="00FC7D3D"/>
    <w:rsid w:val="00FC7D7D"/>
    <w:rsid w:val="00FD01B8"/>
    <w:rsid w:val="00FD0253"/>
    <w:rsid w:val="00FD044E"/>
    <w:rsid w:val="00FD0469"/>
    <w:rsid w:val="00FD050B"/>
    <w:rsid w:val="00FD087C"/>
    <w:rsid w:val="00FD0ADE"/>
    <w:rsid w:val="00FD0BAE"/>
    <w:rsid w:val="00FD0CB9"/>
    <w:rsid w:val="00FD0EE1"/>
    <w:rsid w:val="00FD110E"/>
    <w:rsid w:val="00FD1391"/>
    <w:rsid w:val="00FD13BF"/>
    <w:rsid w:val="00FD13CB"/>
    <w:rsid w:val="00FD15A0"/>
    <w:rsid w:val="00FD15B3"/>
    <w:rsid w:val="00FD15C7"/>
    <w:rsid w:val="00FD1692"/>
    <w:rsid w:val="00FD183D"/>
    <w:rsid w:val="00FD1AB4"/>
    <w:rsid w:val="00FD1ACF"/>
    <w:rsid w:val="00FD1BB5"/>
    <w:rsid w:val="00FD1DC6"/>
    <w:rsid w:val="00FD1F33"/>
    <w:rsid w:val="00FD1FF2"/>
    <w:rsid w:val="00FD23E5"/>
    <w:rsid w:val="00FD260A"/>
    <w:rsid w:val="00FD27A6"/>
    <w:rsid w:val="00FD295A"/>
    <w:rsid w:val="00FD299D"/>
    <w:rsid w:val="00FD2B68"/>
    <w:rsid w:val="00FD30F7"/>
    <w:rsid w:val="00FD31DC"/>
    <w:rsid w:val="00FD3387"/>
    <w:rsid w:val="00FD3911"/>
    <w:rsid w:val="00FD392A"/>
    <w:rsid w:val="00FD3A67"/>
    <w:rsid w:val="00FD3A6D"/>
    <w:rsid w:val="00FD3B5D"/>
    <w:rsid w:val="00FD3E1F"/>
    <w:rsid w:val="00FD418C"/>
    <w:rsid w:val="00FD443B"/>
    <w:rsid w:val="00FD45DC"/>
    <w:rsid w:val="00FD46A7"/>
    <w:rsid w:val="00FD48EB"/>
    <w:rsid w:val="00FD49D3"/>
    <w:rsid w:val="00FD4BBD"/>
    <w:rsid w:val="00FD4C7A"/>
    <w:rsid w:val="00FD4C97"/>
    <w:rsid w:val="00FD50F4"/>
    <w:rsid w:val="00FD51A1"/>
    <w:rsid w:val="00FD56D3"/>
    <w:rsid w:val="00FD5751"/>
    <w:rsid w:val="00FD59B8"/>
    <w:rsid w:val="00FD5B08"/>
    <w:rsid w:val="00FD5B82"/>
    <w:rsid w:val="00FD5C58"/>
    <w:rsid w:val="00FD5DD9"/>
    <w:rsid w:val="00FD5E36"/>
    <w:rsid w:val="00FD5EAC"/>
    <w:rsid w:val="00FD6296"/>
    <w:rsid w:val="00FD65A7"/>
    <w:rsid w:val="00FD690D"/>
    <w:rsid w:val="00FD694C"/>
    <w:rsid w:val="00FD6959"/>
    <w:rsid w:val="00FD698E"/>
    <w:rsid w:val="00FD6D32"/>
    <w:rsid w:val="00FD6E4F"/>
    <w:rsid w:val="00FD6F0A"/>
    <w:rsid w:val="00FD6FC6"/>
    <w:rsid w:val="00FD776D"/>
    <w:rsid w:val="00FD779E"/>
    <w:rsid w:val="00FD7A95"/>
    <w:rsid w:val="00FD7AFE"/>
    <w:rsid w:val="00FD7B99"/>
    <w:rsid w:val="00FD7C8E"/>
    <w:rsid w:val="00FD7DFC"/>
    <w:rsid w:val="00FD7FD5"/>
    <w:rsid w:val="00FE06CC"/>
    <w:rsid w:val="00FE0901"/>
    <w:rsid w:val="00FE0A69"/>
    <w:rsid w:val="00FE0B5B"/>
    <w:rsid w:val="00FE0B92"/>
    <w:rsid w:val="00FE0C12"/>
    <w:rsid w:val="00FE0C5C"/>
    <w:rsid w:val="00FE0EED"/>
    <w:rsid w:val="00FE1011"/>
    <w:rsid w:val="00FE12E2"/>
    <w:rsid w:val="00FE12E8"/>
    <w:rsid w:val="00FE142D"/>
    <w:rsid w:val="00FE1582"/>
    <w:rsid w:val="00FE16DC"/>
    <w:rsid w:val="00FE1789"/>
    <w:rsid w:val="00FE18A7"/>
    <w:rsid w:val="00FE198C"/>
    <w:rsid w:val="00FE1A34"/>
    <w:rsid w:val="00FE1AA8"/>
    <w:rsid w:val="00FE1B56"/>
    <w:rsid w:val="00FE1E07"/>
    <w:rsid w:val="00FE1E4A"/>
    <w:rsid w:val="00FE1E95"/>
    <w:rsid w:val="00FE1ECB"/>
    <w:rsid w:val="00FE1EDB"/>
    <w:rsid w:val="00FE1F39"/>
    <w:rsid w:val="00FE1F65"/>
    <w:rsid w:val="00FE2025"/>
    <w:rsid w:val="00FE20DD"/>
    <w:rsid w:val="00FE2246"/>
    <w:rsid w:val="00FE226D"/>
    <w:rsid w:val="00FE25A0"/>
    <w:rsid w:val="00FE2A4C"/>
    <w:rsid w:val="00FE2CBD"/>
    <w:rsid w:val="00FE2EA5"/>
    <w:rsid w:val="00FE2FDE"/>
    <w:rsid w:val="00FE3068"/>
    <w:rsid w:val="00FE3553"/>
    <w:rsid w:val="00FE36B3"/>
    <w:rsid w:val="00FE3B0E"/>
    <w:rsid w:val="00FE3FCE"/>
    <w:rsid w:val="00FE3FF3"/>
    <w:rsid w:val="00FE40B8"/>
    <w:rsid w:val="00FE41AF"/>
    <w:rsid w:val="00FE41C3"/>
    <w:rsid w:val="00FE42D2"/>
    <w:rsid w:val="00FE43DC"/>
    <w:rsid w:val="00FE43E4"/>
    <w:rsid w:val="00FE4533"/>
    <w:rsid w:val="00FE4683"/>
    <w:rsid w:val="00FE4AE1"/>
    <w:rsid w:val="00FE4AE6"/>
    <w:rsid w:val="00FE4B14"/>
    <w:rsid w:val="00FE4B66"/>
    <w:rsid w:val="00FE4D6B"/>
    <w:rsid w:val="00FE4F87"/>
    <w:rsid w:val="00FE5056"/>
    <w:rsid w:val="00FE508B"/>
    <w:rsid w:val="00FE52EE"/>
    <w:rsid w:val="00FE52F7"/>
    <w:rsid w:val="00FE5324"/>
    <w:rsid w:val="00FE532D"/>
    <w:rsid w:val="00FE5359"/>
    <w:rsid w:val="00FE53D4"/>
    <w:rsid w:val="00FE5487"/>
    <w:rsid w:val="00FE5539"/>
    <w:rsid w:val="00FE5596"/>
    <w:rsid w:val="00FE57B7"/>
    <w:rsid w:val="00FE589C"/>
    <w:rsid w:val="00FE5A0B"/>
    <w:rsid w:val="00FE5A4B"/>
    <w:rsid w:val="00FE5B6A"/>
    <w:rsid w:val="00FE5D72"/>
    <w:rsid w:val="00FE61F2"/>
    <w:rsid w:val="00FE625B"/>
    <w:rsid w:val="00FE647D"/>
    <w:rsid w:val="00FE66F8"/>
    <w:rsid w:val="00FE66FB"/>
    <w:rsid w:val="00FE6944"/>
    <w:rsid w:val="00FE6A9C"/>
    <w:rsid w:val="00FE6CC7"/>
    <w:rsid w:val="00FE6CFD"/>
    <w:rsid w:val="00FE6D08"/>
    <w:rsid w:val="00FE6E5E"/>
    <w:rsid w:val="00FE6E79"/>
    <w:rsid w:val="00FE6FB0"/>
    <w:rsid w:val="00FE6FC7"/>
    <w:rsid w:val="00FE7023"/>
    <w:rsid w:val="00FE7463"/>
    <w:rsid w:val="00FE74A0"/>
    <w:rsid w:val="00FE74B1"/>
    <w:rsid w:val="00FE76F2"/>
    <w:rsid w:val="00FE792F"/>
    <w:rsid w:val="00FE7CD0"/>
    <w:rsid w:val="00FE7D9F"/>
    <w:rsid w:val="00FE7ED7"/>
    <w:rsid w:val="00FF0158"/>
    <w:rsid w:val="00FF0319"/>
    <w:rsid w:val="00FF0562"/>
    <w:rsid w:val="00FF0981"/>
    <w:rsid w:val="00FF114E"/>
    <w:rsid w:val="00FF133F"/>
    <w:rsid w:val="00FF16FE"/>
    <w:rsid w:val="00FF174A"/>
    <w:rsid w:val="00FF17E1"/>
    <w:rsid w:val="00FF1A3C"/>
    <w:rsid w:val="00FF1AD8"/>
    <w:rsid w:val="00FF1B66"/>
    <w:rsid w:val="00FF1C94"/>
    <w:rsid w:val="00FF1F51"/>
    <w:rsid w:val="00FF2177"/>
    <w:rsid w:val="00FF220A"/>
    <w:rsid w:val="00FF224D"/>
    <w:rsid w:val="00FF25F5"/>
    <w:rsid w:val="00FF26D3"/>
    <w:rsid w:val="00FF27B5"/>
    <w:rsid w:val="00FF285A"/>
    <w:rsid w:val="00FF2879"/>
    <w:rsid w:val="00FF2A52"/>
    <w:rsid w:val="00FF2A91"/>
    <w:rsid w:val="00FF2AA2"/>
    <w:rsid w:val="00FF2B6F"/>
    <w:rsid w:val="00FF2C3D"/>
    <w:rsid w:val="00FF2E3C"/>
    <w:rsid w:val="00FF2EF8"/>
    <w:rsid w:val="00FF2F02"/>
    <w:rsid w:val="00FF2F65"/>
    <w:rsid w:val="00FF2F85"/>
    <w:rsid w:val="00FF2FA6"/>
    <w:rsid w:val="00FF31F3"/>
    <w:rsid w:val="00FF32A1"/>
    <w:rsid w:val="00FF33E6"/>
    <w:rsid w:val="00FF33EF"/>
    <w:rsid w:val="00FF36C2"/>
    <w:rsid w:val="00FF3829"/>
    <w:rsid w:val="00FF3924"/>
    <w:rsid w:val="00FF3A0A"/>
    <w:rsid w:val="00FF3F6F"/>
    <w:rsid w:val="00FF3F72"/>
    <w:rsid w:val="00FF4050"/>
    <w:rsid w:val="00FF43C0"/>
    <w:rsid w:val="00FF44AB"/>
    <w:rsid w:val="00FF47BB"/>
    <w:rsid w:val="00FF480E"/>
    <w:rsid w:val="00FF4AF0"/>
    <w:rsid w:val="00FF4F94"/>
    <w:rsid w:val="00FF505C"/>
    <w:rsid w:val="00FF5901"/>
    <w:rsid w:val="00FF5AA5"/>
    <w:rsid w:val="00FF5B6F"/>
    <w:rsid w:val="00FF5EB3"/>
    <w:rsid w:val="00FF5EE5"/>
    <w:rsid w:val="00FF5FF1"/>
    <w:rsid w:val="00FF6099"/>
    <w:rsid w:val="00FF6119"/>
    <w:rsid w:val="00FF65E2"/>
    <w:rsid w:val="00FF66FD"/>
    <w:rsid w:val="00FF67E3"/>
    <w:rsid w:val="00FF69A0"/>
    <w:rsid w:val="00FF69AD"/>
    <w:rsid w:val="00FF6BB0"/>
    <w:rsid w:val="00FF6E0F"/>
    <w:rsid w:val="00FF71EA"/>
    <w:rsid w:val="00FF754D"/>
    <w:rsid w:val="00FF75DA"/>
    <w:rsid w:val="00FF7890"/>
    <w:rsid w:val="00FF78E9"/>
    <w:rsid w:val="00FF7BBB"/>
    <w:rsid w:val="00FF7E8E"/>
    <w:rsid w:val="010ED09C"/>
    <w:rsid w:val="0122EE0F"/>
    <w:rsid w:val="013CE025"/>
    <w:rsid w:val="016540D4"/>
    <w:rsid w:val="01F1428D"/>
    <w:rsid w:val="0236ABF8"/>
    <w:rsid w:val="024CA0CE"/>
    <w:rsid w:val="0259510E"/>
    <w:rsid w:val="02C16D29"/>
    <w:rsid w:val="02F6FBB7"/>
    <w:rsid w:val="030B1FD2"/>
    <w:rsid w:val="0346963D"/>
    <w:rsid w:val="03786E07"/>
    <w:rsid w:val="03CD59B0"/>
    <w:rsid w:val="03D29A2C"/>
    <w:rsid w:val="0410FF4F"/>
    <w:rsid w:val="04161210"/>
    <w:rsid w:val="044CE03A"/>
    <w:rsid w:val="04646F4C"/>
    <w:rsid w:val="0496B883"/>
    <w:rsid w:val="04C3DFF0"/>
    <w:rsid w:val="04CBEFAF"/>
    <w:rsid w:val="04DFBDD9"/>
    <w:rsid w:val="05060D85"/>
    <w:rsid w:val="05850239"/>
    <w:rsid w:val="05F91BA9"/>
    <w:rsid w:val="05F9854B"/>
    <w:rsid w:val="069BDAA1"/>
    <w:rsid w:val="069EB4F8"/>
    <w:rsid w:val="06CD113B"/>
    <w:rsid w:val="06D69C2A"/>
    <w:rsid w:val="070A1D1B"/>
    <w:rsid w:val="07200490"/>
    <w:rsid w:val="078326F4"/>
    <w:rsid w:val="07A757A7"/>
    <w:rsid w:val="07C4CF77"/>
    <w:rsid w:val="07E5D1A3"/>
    <w:rsid w:val="082AC892"/>
    <w:rsid w:val="083008BC"/>
    <w:rsid w:val="084D5B94"/>
    <w:rsid w:val="08650AFE"/>
    <w:rsid w:val="08B04511"/>
    <w:rsid w:val="08E98333"/>
    <w:rsid w:val="093A4E77"/>
    <w:rsid w:val="093CC25B"/>
    <w:rsid w:val="09663EE4"/>
    <w:rsid w:val="096D9A79"/>
    <w:rsid w:val="09AD77BF"/>
    <w:rsid w:val="09C4D155"/>
    <w:rsid w:val="09CA48E6"/>
    <w:rsid w:val="09EA6787"/>
    <w:rsid w:val="0A03ABFC"/>
    <w:rsid w:val="0A855394"/>
    <w:rsid w:val="0AB6F7BA"/>
    <w:rsid w:val="0B011232"/>
    <w:rsid w:val="0B1BC69E"/>
    <w:rsid w:val="0B1DE0AC"/>
    <w:rsid w:val="0B278AC7"/>
    <w:rsid w:val="0B2F3EA4"/>
    <w:rsid w:val="0B328613"/>
    <w:rsid w:val="0BBAA6DA"/>
    <w:rsid w:val="0BFA0539"/>
    <w:rsid w:val="0C0090FE"/>
    <w:rsid w:val="0C0852DC"/>
    <w:rsid w:val="0C1F2C56"/>
    <w:rsid w:val="0C20A684"/>
    <w:rsid w:val="0CAF2D59"/>
    <w:rsid w:val="0CC963AB"/>
    <w:rsid w:val="0DBCBC2A"/>
    <w:rsid w:val="0DE8BBB0"/>
    <w:rsid w:val="0E567458"/>
    <w:rsid w:val="0E6F138E"/>
    <w:rsid w:val="0E7776C2"/>
    <w:rsid w:val="0EF3559F"/>
    <w:rsid w:val="0F4132AB"/>
    <w:rsid w:val="0F45CC6D"/>
    <w:rsid w:val="0F846173"/>
    <w:rsid w:val="0FF00EF5"/>
    <w:rsid w:val="10376E79"/>
    <w:rsid w:val="10454F51"/>
    <w:rsid w:val="1080A407"/>
    <w:rsid w:val="108AEB4D"/>
    <w:rsid w:val="10ACCCE8"/>
    <w:rsid w:val="11043F12"/>
    <w:rsid w:val="115EF60D"/>
    <w:rsid w:val="116834DB"/>
    <w:rsid w:val="11A4C18E"/>
    <w:rsid w:val="11C4192A"/>
    <w:rsid w:val="11C734C5"/>
    <w:rsid w:val="11D21F86"/>
    <w:rsid w:val="11DF3E4F"/>
    <w:rsid w:val="11E65FCD"/>
    <w:rsid w:val="11E727CC"/>
    <w:rsid w:val="1230E606"/>
    <w:rsid w:val="12826F85"/>
    <w:rsid w:val="12BC0235"/>
    <w:rsid w:val="12F3DE04"/>
    <w:rsid w:val="134560BF"/>
    <w:rsid w:val="13FB44DC"/>
    <w:rsid w:val="140B79B2"/>
    <w:rsid w:val="143FC2FD"/>
    <w:rsid w:val="144375D0"/>
    <w:rsid w:val="144F5214"/>
    <w:rsid w:val="145B7C20"/>
    <w:rsid w:val="14BA3B86"/>
    <w:rsid w:val="14F8EE49"/>
    <w:rsid w:val="1534D887"/>
    <w:rsid w:val="1552A2A3"/>
    <w:rsid w:val="15A14D21"/>
    <w:rsid w:val="15F3A2F7"/>
    <w:rsid w:val="1622FDD0"/>
    <w:rsid w:val="16235FE3"/>
    <w:rsid w:val="166A1861"/>
    <w:rsid w:val="17141F96"/>
    <w:rsid w:val="17215B42"/>
    <w:rsid w:val="174C4AFB"/>
    <w:rsid w:val="1783A808"/>
    <w:rsid w:val="183D05D4"/>
    <w:rsid w:val="187C622E"/>
    <w:rsid w:val="1895750E"/>
    <w:rsid w:val="18A235FA"/>
    <w:rsid w:val="18ACBA1A"/>
    <w:rsid w:val="18CCB101"/>
    <w:rsid w:val="18EFBD5C"/>
    <w:rsid w:val="196185E3"/>
    <w:rsid w:val="19715411"/>
    <w:rsid w:val="19C10F99"/>
    <w:rsid w:val="19D3D318"/>
    <w:rsid w:val="19E29271"/>
    <w:rsid w:val="1A171926"/>
    <w:rsid w:val="1AAA06E8"/>
    <w:rsid w:val="1B417772"/>
    <w:rsid w:val="1B704C43"/>
    <w:rsid w:val="1B8040C8"/>
    <w:rsid w:val="1BBCEC95"/>
    <w:rsid w:val="1BE6A5D5"/>
    <w:rsid w:val="1C0E480B"/>
    <w:rsid w:val="1C608496"/>
    <w:rsid w:val="1CA72E6B"/>
    <w:rsid w:val="1CAD400C"/>
    <w:rsid w:val="1CB5C9C0"/>
    <w:rsid w:val="1CCF01E9"/>
    <w:rsid w:val="1CD94CBF"/>
    <w:rsid w:val="1CE871A3"/>
    <w:rsid w:val="1D008A94"/>
    <w:rsid w:val="1D0F9B7F"/>
    <w:rsid w:val="1D807F02"/>
    <w:rsid w:val="1D99484A"/>
    <w:rsid w:val="1DCE2B29"/>
    <w:rsid w:val="1DDB5531"/>
    <w:rsid w:val="1E5456F7"/>
    <w:rsid w:val="1E6C337B"/>
    <w:rsid w:val="1EBB2D43"/>
    <w:rsid w:val="1EED781A"/>
    <w:rsid w:val="1FE75A62"/>
    <w:rsid w:val="1FEDF406"/>
    <w:rsid w:val="20064B09"/>
    <w:rsid w:val="205108F6"/>
    <w:rsid w:val="20D554A7"/>
    <w:rsid w:val="2121A531"/>
    <w:rsid w:val="215E5DAC"/>
    <w:rsid w:val="2182E85B"/>
    <w:rsid w:val="219B2AFE"/>
    <w:rsid w:val="21E570C2"/>
    <w:rsid w:val="21FDE717"/>
    <w:rsid w:val="2202F2E4"/>
    <w:rsid w:val="2221EA7F"/>
    <w:rsid w:val="22335156"/>
    <w:rsid w:val="225BED29"/>
    <w:rsid w:val="22DE9151"/>
    <w:rsid w:val="22FF86D9"/>
    <w:rsid w:val="235314B1"/>
    <w:rsid w:val="23786B00"/>
    <w:rsid w:val="23B26358"/>
    <w:rsid w:val="23D041E7"/>
    <w:rsid w:val="23DEC8F7"/>
    <w:rsid w:val="2445EDE4"/>
    <w:rsid w:val="247B5D0A"/>
    <w:rsid w:val="2496CDCA"/>
    <w:rsid w:val="24A49502"/>
    <w:rsid w:val="24C3FD22"/>
    <w:rsid w:val="24D95E83"/>
    <w:rsid w:val="25A2C317"/>
    <w:rsid w:val="25E2CF55"/>
    <w:rsid w:val="263EC6CD"/>
    <w:rsid w:val="26FA945C"/>
    <w:rsid w:val="270459E0"/>
    <w:rsid w:val="272C0546"/>
    <w:rsid w:val="275C3558"/>
    <w:rsid w:val="27AC878E"/>
    <w:rsid w:val="280FBBC2"/>
    <w:rsid w:val="28639761"/>
    <w:rsid w:val="286865B0"/>
    <w:rsid w:val="286C4432"/>
    <w:rsid w:val="288C5FD5"/>
    <w:rsid w:val="288DE57A"/>
    <w:rsid w:val="28AF44C2"/>
    <w:rsid w:val="294596BB"/>
    <w:rsid w:val="294857EF"/>
    <w:rsid w:val="29B292A6"/>
    <w:rsid w:val="2A1C0219"/>
    <w:rsid w:val="2A89C553"/>
    <w:rsid w:val="2B31C0F7"/>
    <w:rsid w:val="2B5E9361"/>
    <w:rsid w:val="2BAADE61"/>
    <w:rsid w:val="2BDAABC5"/>
    <w:rsid w:val="2C2F5A9F"/>
    <w:rsid w:val="2C3A8794"/>
    <w:rsid w:val="2C469257"/>
    <w:rsid w:val="2C883557"/>
    <w:rsid w:val="2C90224D"/>
    <w:rsid w:val="2CB06DE7"/>
    <w:rsid w:val="2D13F93B"/>
    <w:rsid w:val="2D140A83"/>
    <w:rsid w:val="2D39C44D"/>
    <w:rsid w:val="2D5823BF"/>
    <w:rsid w:val="2DC58AAF"/>
    <w:rsid w:val="2DC8B4DD"/>
    <w:rsid w:val="2DFEEEB1"/>
    <w:rsid w:val="2E5C7685"/>
    <w:rsid w:val="2E6DCAEE"/>
    <w:rsid w:val="2E8040C9"/>
    <w:rsid w:val="2EAEB6D4"/>
    <w:rsid w:val="2EB68139"/>
    <w:rsid w:val="2EC6C6A3"/>
    <w:rsid w:val="2ECD24CC"/>
    <w:rsid w:val="2ED39B75"/>
    <w:rsid w:val="2F179F7A"/>
    <w:rsid w:val="2F265533"/>
    <w:rsid w:val="2F5596C4"/>
    <w:rsid w:val="2F6291FC"/>
    <w:rsid w:val="2F91122F"/>
    <w:rsid w:val="2FBA8BCB"/>
    <w:rsid w:val="2FE4EE39"/>
    <w:rsid w:val="2FEB574A"/>
    <w:rsid w:val="30206CEB"/>
    <w:rsid w:val="3084EC68"/>
    <w:rsid w:val="3088C704"/>
    <w:rsid w:val="30D39A56"/>
    <w:rsid w:val="30DF7C9C"/>
    <w:rsid w:val="30EFBA8E"/>
    <w:rsid w:val="310D380E"/>
    <w:rsid w:val="31928DC8"/>
    <w:rsid w:val="31FD5F9A"/>
    <w:rsid w:val="32039D13"/>
    <w:rsid w:val="320AB03E"/>
    <w:rsid w:val="322AD55E"/>
    <w:rsid w:val="322F6466"/>
    <w:rsid w:val="3247F8CF"/>
    <w:rsid w:val="32C10BBE"/>
    <w:rsid w:val="32E54B63"/>
    <w:rsid w:val="3301568F"/>
    <w:rsid w:val="330669CB"/>
    <w:rsid w:val="3378ADE5"/>
    <w:rsid w:val="338E2890"/>
    <w:rsid w:val="33C02AFD"/>
    <w:rsid w:val="33C2E45F"/>
    <w:rsid w:val="33C3DF2F"/>
    <w:rsid w:val="341FD67A"/>
    <w:rsid w:val="34373561"/>
    <w:rsid w:val="3472DF53"/>
    <w:rsid w:val="34931C8F"/>
    <w:rsid w:val="34D24E66"/>
    <w:rsid w:val="34E59A03"/>
    <w:rsid w:val="3518F1B8"/>
    <w:rsid w:val="3533688A"/>
    <w:rsid w:val="3538741D"/>
    <w:rsid w:val="353B058A"/>
    <w:rsid w:val="35ABB584"/>
    <w:rsid w:val="35D42701"/>
    <w:rsid w:val="3636B3B9"/>
    <w:rsid w:val="3685870A"/>
    <w:rsid w:val="3690CD56"/>
    <w:rsid w:val="36B8823B"/>
    <w:rsid w:val="3706B3A9"/>
    <w:rsid w:val="37A96D1A"/>
    <w:rsid w:val="3810C58F"/>
    <w:rsid w:val="3812D8CD"/>
    <w:rsid w:val="381DA2ED"/>
    <w:rsid w:val="3830A1B5"/>
    <w:rsid w:val="38597DEF"/>
    <w:rsid w:val="38707BCE"/>
    <w:rsid w:val="38B63E0E"/>
    <w:rsid w:val="38BFA77B"/>
    <w:rsid w:val="38EC8A02"/>
    <w:rsid w:val="392E5637"/>
    <w:rsid w:val="398FE9BF"/>
    <w:rsid w:val="399C9F86"/>
    <w:rsid w:val="39A3C2C3"/>
    <w:rsid w:val="39B73BE6"/>
    <w:rsid w:val="39DF7DED"/>
    <w:rsid w:val="3A169DD6"/>
    <w:rsid w:val="3A548809"/>
    <w:rsid w:val="3A5AC569"/>
    <w:rsid w:val="3A6261CD"/>
    <w:rsid w:val="3A6F91B5"/>
    <w:rsid w:val="3A7DFAD7"/>
    <w:rsid w:val="3AC2A145"/>
    <w:rsid w:val="3ADB322A"/>
    <w:rsid w:val="3AE66B94"/>
    <w:rsid w:val="3B2BE4F0"/>
    <w:rsid w:val="3B47C3D4"/>
    <w:rsid w:val="3B66B157"/>
    <w:rsid w:val="3B7F8901"/>
    <w:rsid w:val="3B918153"/>
    <w:rsid w:val="3BAA470E"/>
    <w:rsid w:val="3C1E558F"/>
    <w:rsid w:val="3C1F1549"/>
    <w:rsid w:val="3C395E67"/>
    <w:rsid w:val="3C77D1E7"/>
    <w:rsid w:val="3C830618"/>
    <w:rsid w:val="3C9D713A"/>
    <w:rsid w:val="3D086107"/>
    <w:rsid w:val="3D68760A"/>
    <w:rsid w:val="3DAD8EA4"/>
    <w:rsid w:val="3DBF4C67"/>
    <w:rsid w:val="3DFC2B23"/>
    <w:rsid w:val="3E04C5B5"/>
    <w:rsid w:val="3E21EF4B"/>
    <w:rsid w:val="3E282462"/>
    <w:rsid w:val="3E341826"/>
    <w:rsid w:val="3E9E5219"/>
    <w:rsid w:val="3ED29B9A"/>
    <w:rsid w:val="3F31C6FF"/>
    <w:rsid w:val="3F5EE4A3"/>
    <w:rsid w:val="3F694787"/>
    <w:rsid w:val="3F6B8746"/>
    <w:rsid w:val="3F6D644D"/>
    <w:rsid w:val="3F823A89"/>
    <w:rsid w:val="3FBA62AF"/>
    <w:rsid w:val="3FC81F24"/>
    <w:rsid w:val="3FD37A6A"/>
    <w:rsid w:val="3FE35D55"/>
    <w:rsid w:val="3FFAD809"/>
    <w:rsid w:val="40712A1A"/>
    <w:rsid w:val="40894CA4"/>
    <w:rsid w:val="40C8C0B7"/>
    <w:rsid w:val="40F687F2"/>
    <w:rsid w:val="41135A89"/>
    <w:rsid w:val="4113804B"/>
    <w:rsid w:val="41194B96"/>
    <w:rsid w:val="414125F1"/>
    <w:rsid w:val="415359E5"/>
    <w:rsid w:val="416F718E"/>
    <w:rsid w:val="41A96026"/>
    <w:rsid w:val="41B0F151"/>
    <w:rsid w:val="41C58116"/>
    <w:rsid w:val="41D030ED"/>
    <w:rsid w:val="41E0E2A3"/>
    <w:rsid w:val="4208EFC6"/>
    <w:rsid w:val="427A679D"/>
    <w:rsid w:val="429992F2"/>
    <w:rsid w:val="42C68CDF"/>
    <w:rsid w:val="42FCC475"/>
    <w:rsid w:val="42FD4670"/>
    <w:rsid w:val="437F9D16"/>
    <w:rsid w:val="43FB0B2B"/>
    <w:rsid w:val="4470996C"/>
    <w:rsid w:val="44AA35BA"/>
    <w:rsid w:val="44AFF6CB"/>
    <w:rsid w:val="44B4A420"/>
    <w:rsid w:val="44CA981F"/>
    <w:rsid w:val="44FD214E"/>
    <w:rsid w:val="4509F1CF"/>
    <w:rsid w:val="45112C52"/>
    <w:rsid w:val="4579D0B8"/>
    <w:rsid w:val="45E7FBEB"/>
    <w:rsid w:val="45F798CF"/>
    <w:rsid w:val="46094DE0"/>
    <w:rsid w:val="46264B7E"/>
    <w:rsid w:val="465D21DA"/>
    <w:rsid w:val="4684F2D5"/>
    <w:rsid w:val="468CE1A2"/>
    <w:rsid w:val="46B92201"/>
    <w:rsid w:val="46CC65CC"/>
    <w:rsid w:val="46E52369"/>
    <w:rsid w:val="4709F02F"/>
    <w:rsid w:val="4710F8EB"/>
    <w:rsid w:val="4728282A"/>
    <w:rsid w:val="472C5244"/>
    <w:rsid w:val="4794CE3B"/>
    <w:rsid w:val="47D28D68"/>
    <w:rsid w:val="47E8081E"/>
    <w:rsid w:val="481ECA5C"/>
    <w:rsid w:val="48D682DC"/>
    <w:rsid w:val="49283E65"/>
    <w:rsid w:val="4963ADBC"/>
    <w:rsid w:val="49A2071A"/>
    <w:rsid w:val="49C48264"/>
    <w:rsid w:val="4A4BF140"/>
    <w:rsid w:val="4A896D36"/>
    <w:rsid w:val="4B12FCF1"/>
    <w:rsid w:val="4BCB57F2"/>
    <w:rsid w:val="4BD58C37"/>
    <w:rsid w:val="4BDD9103"/>
    <w:rsid w:val="4C3B49FD"/>
    <w:rsid w:val="4C4A344B"/>
    <w:rsid w:val="4C4AD497"/>
    <w:rsid w:val="4C8439A2"/>
    <w:rsid w:val="4CB3305D"/>
    <w:rsid w:val="4CC8854C"/>
    <w:rsid w:val="4CEE91F7"/>
    <w:rsid w:val="4D72AC46"/>
    <w:rsid w:val="4DEA16C8"/>
    <w:rsid w:val="4E194C68"/>
    <w:rsid w:val="4E1DCABC"/>
    <w:rsid w:val="4E274BD9"/>
    <w:rsid w:val="4E2C210C"/>
    <w:rsid w:val="4E3DF7BD"/>
    <w:rsid w:val="4E6AEC8C"/>
    <w:rsid w:val="4E6F085F"/>
    <w:rsid w:val="4E761B65"/>
    <w:rsid w:val="4EFE1D31"/>
    <w:rsid w:val="4F201C25"/>
    <w:rsid w:val="4F35C383"/>
    <w:rsid w:val="4F4AE61B"/>
    <w:rsid w:val="4F536710"/>
    <w:rsid w:val="4F68D8E8"/>
    <w:rsid w:val="4FBB75BD"/>
    <w:rsid w:val="50BEE20E"/>
    <w:rsid w:val="50F51786"/>
    <w:rsid w:val="515B23C8"/>
    <w:rsid w:val="516A46F5"/>
    <w:rsid w:val="516C80DE"/>
    <w:rsid w:val="517406D6"/>
    <w:rsid w:val="5198C335"/>
    <w:rsid w:val="51FFEB04"/>
    <w:rsid w:val="520DEAE0"/>
    <w:rsid w:val="52C2CE5F"/>
    <w:rsid w:val="5341819E"/>
    <w:rsid w:val="53496749"/>
    <w:rsid w:val="5419F534"/>
    <w:rsid w:val="544BDEF0"/>
    <w:rsid w:val="54875EFC"/>
    <w:rsid w:val="54DCDF02"/>
    <w:rsid w:val="54E97C6A"/>
    <w:rsid w:val="554E277B"/>
    <w:rsid w:val="55AF60B7"/>
    <w:rsid w:val="55E4AFFB"/>
    <w:rsid w:val="55FE51FD"/>
    <w:rsid w:val="569E5DE2"/>
    <w:rsid w:val="56A0113C"/>
    <w:rsid w:val="56D035BF"/>
    <w:rsid w:val="56D1FE6F"/>
    <w:rsid w:val="5702E6D2"/>
    <w:rsid w:val="574D7910"/>
    <w:rsid w:val="57DED924"/>
    <w:rsid w:val="5847F728"/>
    <w:rsid w:val="585BFB9E"/>
    <w:rsid w:val="58A82669"/>
    <w:rsid w:val="58C518AB"/>
    <w:rsid w:val="58F36874"/>
    <w:rsid w:val="5934E1A2"/>
    <w:rsid w:val="5935DE2C"/>
    <w:rsid w:val="5971708F"/>
    <w:rsid w:val="59BC78C9"/>
    <w:rsid w:val="5A283F3D"/>
    <w:rsid w:val="5A56E565"/>
    <w:rsid w:val="5AB89AC3"/>
    <w:rsid w:val="5ACFCD2A"/>
    <w:rsid w:val="5B4A92FF"/>
    <w:rsid w:val="5B70506C"/>
    <w:rsid w:val="5BB3731E"/>
    <w:rsid w:val="5BE2F998"/>
    <w:rsid w:val="5C7E62F0"/>
    <w:rsid w:val="5C8492C8"/>
    <w:rsid w:val="5CB94B4E"/>
    <w:rsid w:val="5D3A4814"/>
    <w:rsid w:val="5D514294"/>
    <w:rsid w:val="5D8ED670"/>
    <w:rsid w:val="5DA2F3ED"/>
    <w:rsid w:val="5DA6642B"/>
    <w:rsid w:val="5DB1CEDF"/>
    <w:rsid w:val="5DF163B6"/>
    <w:rsid w:val="5E4BCD63"/>
    <w:rsid w:val="5E81E352"/>
    <w:rsid w:val="5E9C4D58"/>
    <w:rsid w:val="5EE3FE78"/>
    <w:rsid w:val="5F4E36B8"/>
    <w:rsid w:val="5F58A859"/>
    <w:rsid w:val="5FE4A624"/>
    <w:rsid w:val="5FF7F777"/>
    <w:rsid w:val="60073A10"/>
    <w:rsid w:val="604ED349"/>
    <w:rsid w:val="607767AE"/>
    <w:rsid w:val="60AE3282"/>
    <w:rsid w:val="60EE109C"/>
    <w:rsid w:val="6187CC49"/>
    <w:rsid w:val="61B11DAF"/>
    <w:rsid w:val="61B1D37C"/>
    <w:rsid w:val="625BBC39"/>
    <w:rsid w:val="626162BA"/>
    <w:rsid w:val="626DADB3"/>
    <w:rsid w:val="626FFDBE"/>
    <w:rsid w:val="62711E7A"/>
    <w:rsid w:val="62CA9616"/>
    <w:rsid w:val="62DA02C9"/>
    <w:rsid w:val="62FB8516"/>
    <w:rsid w:val="6310AE60"/>
    <w:rsid w:val="632F00C1"/>
    <w:rsid w:val="63472059"/>
    <w:rsid w:val="63473463"/>
    <w:rsid w:val="63949209"/>
    <w:rsid w:val="63BF79F9"/>
    <w:rsid w:val="63CDD7B9"/>
    <w:rsid w:val="63D5DFCF"/>
    <w:rsid w:val="63EB3840"/>
    <w:rsid w:val="63F2D41A"/>
    <w:rsid w:val="64123730"/>
    <w:rsid w:val="643110EC"/>
    <w:rsid w:val="647FC68C"/>
    <w:rsid w:val="648E5EC6"/>
    <w:rsid w:val="64AB0046"/>
    <w:rsid w:val="64C642B3"/>
    <w:rsid w:val="64CD191A"/>
    <w:rsid w:val="65533FFC"/>
    <w:rsid w:val="65949008"/>
    <w:rsid w:val="65AC3D71"/>
    <w:rsid w:val="65BBD84C"/>
    <w:rsid w:val="65E371D0"/>
    <w:rsid w:val="6649B0E3"/>
    <w:rsid w:val="66AE1B3B"/>
    <w:rsid w:val="66B03F10"/>
    <w:rsid w:val="670838BA"/>
    <w:rsid w:val="6752451A"/>
    <w:rsid w:val="67DA1C7C"/>
    <w:rsid w:val="67E9EC7E"/>
    <w:rsid w:val="67F8BE86"/>
    <w:rsid w:val="67FA4C0D"/>
    <w:rsid w:val="67FBC965"/>
    <w:rsid w:val="67FC4BC1"/>
    <w:rsid w:val="686505B3"/>
    <w:rsid w:val="68C3AEC6"/>
    <w:rsid w:val="68CEDDD6"/>
    <w:rsid w:val="68FEE2E1"/>
    <w:rsid w:val="69164DA0"/>
    <w:rsid w:val="69C615C3"/>
    <w:rsid w:val="69EAB0E3"/>
    <w:rsid w:val="6A548368"/>
    <w:rsid w:val="6A5E73DF"/>
    <w:rsid w:val="6A76930D"/>
    <w:rsid w:val="6A90D5DD"/>
    <w:rsid w:val="6AD00BBB"/>
    <w:rsid w:val="6AEBB270"/>
    <w:rsid w:val="6AF99474"/>
    <w:rsid w:val="6AFAE4EC"/>
    <w:rsid w:val="6B007FF0"/>
    <w:rsid w:val="6B5E3A95"/>
    <w:rsid w:val="6BA9DB9D"/>
    <w:rsid w:val="6BBFE2A1"/>
    <w:rsid w:val="6BF2BDF3"/>
    <w:rsid w:val="6C2D8873"/>
    <w:rsid w:val="6CBF7DC1"/>
    <w:rsid w:val="6CC4F1DC"/>
    <w:rsid w:val="6CC53540"/>
    <w:rsid w:val="6CF39E80"/>
    <w:rsid w:val="6D128859"/>
    <w:rsid w:val="6DB8300C"/>
    <w:rsid w:val="6DB90230"/>
    <w:rsid w:val="6DC732FD"/>
    <w:rsid w:val="6DD46F57"/>
    <w:rsid w:val="6E10FEE6"/>
    <w:rsid w:val="6E2C1699"/>
    <w:rsid w:val="6E99223F"/>
    <w:rsid w:val="6E9EAA6F"/>
    <w:rsid w:val="6ED90FA2"/>
    <w:rsid w:val="6F2E04D2"/>
    <w:rsid w:val="6F2F2A22"/>
    <w:rsid w:val="6F6C01B5"/>
    <w:rsid w:val="6F878DD1"/>
    <w:rsid w:val="6F88A1E6"/>
    <w:rsid w:val="6FA9BDB7"/>
    <w:rsid w:val="6FF37D31"/>
    <w:rsid w:val="701EDEF3"/>
    <w:rsid w:val="70306946"/>
    <w:rsid w:val="7034C8A9"/>
    <w:rsid w:val="7049A5DB"/>
    <w:rsid w:val="70572FCC"/>
    <w:rsid w:val="7097111D"/>
    <w:rsid w:val="70A54AEE"/>
    <w:rsid w:val="70E059EB"/>
    <w:rsid w:val="70E98020"/>
    <w:rsid w:val="7172596C"/>
    <w:rsid w:val="7181E5E3"/>
    <w:rsid w:val="719A4489"/>
    <w:rsid w:val="719E0E0F"/>
    <w:rsid w:val="71C39808"/>
    <w:rsid w:val="720C55BC"/>
    <w:rsid w:val="72862E5D"/>
    <w:rsid w:val="729317D5"/>
    <w:rsid w:val="7297F136"/>
    <w:rsid w:val="72AD040E"/>
    <w:rsid w:val="72AEC9E0"/>
    <w:rsid w:val="72CC1F6B"/>
    <w:rsid w:val="72CE8B10"/>
    <w:rsid w:val="72FDE792"/>
    <w:rsid w:val="731AFAE6"/>
    <w:rsid w:val="731D519D"/>
    <w:rsid w:val="732BCBA4"/>
    <w:rsid w:val="735AFCA7"/>
    <w:rsid w:val="73A1C4AC"/>
    <w:rsid w:val="73F3DAA7"/>
    <w:rsid w:val="7400783C"/>
    <w:rsid w:val="741A1240"/>
    <w:rsid w:val="74AB228D"/>
    <w:rsid w:val="74F643A8"/>
    <w:rsid w:val="74FDAA32"/>
    <w:rsid w:val="750FE52C"/>
    <w:rsid w:val="75DC8661"/>
    <w:rsid w:val="76D7A783"/>
    <w:rsid w:val="773633E9"/>
    <w:rsid w:val="77DAC1FC"/>
    <w:rsid w:val="782A2316"/>
    <w:rsid w:val="78449711"/>
    <w:rsid w:val="78963F5F"/>
    <w:rsid w:val="790176BE"/>
    <w:rsid w:val="7927E810"/>
    <w:rsid w:val="793F2AA9"/>
    <w:rsid w:val="794B3D8E"/>
    <w:rsid w:val="79E8B99F"/>
    <w:rsid w:val="79F2780C"/>
    <w:rsid w:val="7A20405B"/>
    <w:rsid w:val="7A6B01E4"/>
    <w:rsid w:val="7AA93466"/>
    <w:rsid w:val="7AFFF88C"/>
    <w:rsid w:val="7B0A1ABF"/>
    <w:rsid w:val="7B7095A1"/>
    <w:rsid w:val="7BA02CF1"/>
    <w:rsid w:val="7BC72C44"/>
    <w:rsid w:val="7BD6CA4F"/>
    <w:rsid w:val="7BDBAF89"/>
    <w:rsid w:val="7C0C8319"/>
    <w:rsid w:val="7C13E880"/>
    <w:rsid w:val="7C47D7BD"/>
    <w:rsid w:val="7C49D2B5"/>
    <w:rsid w:val="7C71C12E"/>
    <w:rsid w:val="7CB5882B"/>
    <w:rsid w:val="7CDD3C8F"/>
    <w:rsid w:val="7D40E6F6"/>
    <w:rsid w:val="7D6E89B4"/>
    <w:rsid w:val="7E93A312"/>
    <w:rsid w:val="7E94934A"/>
    <w:rsid w:val="7ED60616"/>
    <w:rsid w:val="7F05444A"/>
    <w:rsid w:val="7F22E0E3"/>
    <w:rsid w:val="7F457AC7"/>
    <w:rsid w:val="7F70B7D7"/>
    <w:rsid w:val="7FA1B229"/>
    <w:rsid w:val="7FBBC167"/>
    <w:rsid w:val="7FD9B595"/>
    <w:rsid w:val="7FDDD9A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95A611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513CE"/>
    <w:pPr>
      <w:spacing w:after="160" w:line="259" w:lineRule="auto"/>
    </w:pPr>
    <w:rPr>
      <w:rFonts w:eastAsiaTheme="minorEastAsia"/>
    </w:rPr>
  </w:style>
  <w:style w:type="paragraph" w:styleId="Heading1">
    <w:name w:val="heading 1"/>
    <w:basedOn w:val="Normal"/>
    <w:next w:val="Normal"/>
    <w:link w:val="Heading1Char"/>
    <w:uiPriority w:val="9"/>
    <w:qFormat/>
    <w:rsid w:val="003F1FF2"/>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1404A2"/>
    <w:pPr>
      <w:keepNext/>
      <w:keepLines/>
      <w:numPr>
        <w:ilvl w:val="1"/>
        <w:numId w:val="1"/>
      </w:numPr>
      <w:spacing w:before="40" w:after="0" w:line="240" w:lineRule="auto"/>
      <w:outlineLvl w:val="1"/>
    </w:pPr>
    <w:rPr>
      <w:rFonts w:asciiTheme="majorHAnsi" w:eastAsia="Times New Roman" w:hAnsiTheme="majorHAnsi" w:cstheme="majorBidi"/>
      <w:color w:val="365F91" w:themeColor="accent1" w:themeShade="BF"/>
      <w:sz w:val="32"/>
      <w:szCs w:val="32"/>
      <w:lang w:eastAsia="en-IE"/>
    </w:rPr>
  </w:style>
  <w:style w:type="paragraph" w:styleId="Heading3">
    <w:name w:val="heading 3"/>
    <w:basedOn w:val="Normal"/>
    <w:next w:val="Normal"/>
    <w:link w:val="Heading3Char"/>
    <w:uiPriority w:val="9"/>
    <w:unhideWhenUsed/>
    <w:qFormat/>
    <w:rsid w:val="0053389F"/>
    <w:pPr>
      <w:keepNext/>
      <w:keepLines/>
      <w:spacing w:before="40" w:after="0" w:line="240" w:lineRule="auto"/>
      <w:outlineLvl w:val="2"/>
    </w:pPr>
    <w:rPr>
      <w:rFonts w:asciiTheme="majorHAnsi" w:eastAsiaTheme="majorEastAsia" w:hAnsiTheme="majorHAnsi" w:cstheme="majorBidi"/>
      <w:color w:val="365F91" w:themeColor="accent1" w:themeShade="BF"/>
      <w:sz w:val="28"/>
      <w:szCs w:val="28"/>
    </w:rPr>
  </w:style>
  <w:style w:type="paragraph" w:styleId="Heading4">
    <w:name w:val="heading 4"/>
    <w:basedOn w:val="Normal"/>
    <w:next w:val="Normal"/>
    <w:link w:val="Heading4Char"/>
    <w:uiPriority w:val="9"/>
    <w:unhideWhenUsed/>
    <w:qFormat/>
    <w:rsid w:val="0053389F"/>
    <w:pPr>
      <w:keepNext/>
      <w:keepLines/>
      <w:spacing w:before="40" w:after="0"/>
      <w:outlineLvl w:val="3"/>
    </w:pPr>
    <w:rPr>
      <w:rFonts w:asciiTheme="majorHAnsi" w:eastAsiaTheme="majorEastAsia" w:hAnsiTheme="majorHAnsi" w:cstheme="majorBidi"/>
      <w:color w:val="365F91" w:themeColor="accent1" w:themeShade="BF"/>
      <w:sz w:val="24"/>
      <w:szCs w:val="24"/>
    </w:rPr>
  </w:style>
  <w:style w:type="paragraph" w:styleId="Heading5">
    <w:name w:val="heading 5"/>
    <w:basedOn w:val="Normal"/>
    <w:next w:val="Normal"/>
    <w:link w:val="Heading5Char"/>
    <w:uiPriority w:val="9"/>
    <w:unhideWhenUsed/>
    <w:qFormat/>
    <w:rsid w:val="00851392"/>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1404A2"/>
    <w:rPr>
      <w:rFonts w:asciiTheme="majorHAnsi" w:eastAsia="Times New Roman" w:hAnsiTheme="majorHAnsi" w:cstheme="majorBidi"/>
      <w:color w:val="365F91" w:themeColor="accent1" w:themeShade="BF"/>
      <w:sz w:val="32"/>
      <w:szCs w:val="32"/>
      <w:lang w:val="ro-RO" w:eastAsia="en-IE"/>
    </w:rPr>
  </w:style>
  <w:style w:type="character" w:customStyle="1" w:styleId="Heading3Char">
    <w:name w:val="Heading 3 Char"/>
    <w:basedOn w:val="DefaultParagraphFont"/>
    <w:link w:val="Heading3"/>
    <w:uiPriority w:val="9"/>
    <w:rsid w:val="0053389F"/>
    <w:rPr>
      <w:rFonts w:asciiTheme="majorHAnsi" w:eastAsiaTheme="majorEastAsia" w:hAnsiTheme="majorHAnsi" w:cstheme="majorBidi"/>
      <w:color w:val="365F91" w:themeColor="accent1" w:themeShade="BF"/>
      <w:sz w:val="28"/>
      <w:szCs w:val="28"/>
    </w:rPr>
  </w:style>
  <w:style w:type="character" w:customStyle="1" w:styleId="Heading4Char">
    <w:name w:val="Heading 4 Char"/>
    <w:basedOn w:val="DefaultParagraphFont"/>
    <w:link w:val="Heading4"/>
    <w:uiPriority w:val="9"/>
    <w:rsid w:val="0053389F"/>
    <w:rPr>
      <w:rFonts w:asciiTheme="majorHAnsi" w:eastAsiaTheme="majorEastAsia" w:hAnsiTheme="majorHAnsi" w:cstheme="majorBidi"/>
      <w:color w:val="365F91" w:themeColor="accent1" w:themeShade="BF"/>
      <w:sz w:val="24"/>
      <w:szCs w:val="24"/>
    </w:rPr>
  </w:style>
  <w:style w:type="paragraph" w:styleId="ListParagraph">
    <w:name w:val="List Paragraph"/>
    <w:aliases w:val="Numbered Para 1,Dot pt,No Spacing1,List Paragraph Char Char Char,Indicator Text,Bullet 1,List Paragraph1,Bullet Points,MAIN CONTENT,List Paragraph12,F5 List Paragraph,Heading 2_sj,1st level - Bullet List Paragraph,Lettre d'introduction,L"/>
    <w:basedOn w:val="Normal"/>
    <w:link w:val="ListParagraphChar"/>
    <w:uiPriority w:val="34"/>
    <w:qFormat/>
    <w:rsid w:val="0053389F"/>
    <w:pPr>
      <w:ind w:left="720"/>
      <w:contextualSpacing/>
    </w:pPr>
  </w:style>
  <w:style w:type="character" w:customStyle="1" w:styleId="ListParagraphChar">
    <w:name w:val="List Paragraph Char"/>
    <w:aliases w:val="Numbered Para 1 Char,Dot pt Char,No Spacing1 Char,List Paragraph Char Char Char Char,Indicator Text Char,Bullet 1 Char,List Paragraph1 Char,Bullet Points Char,MAIN CONTENT Char,List Paragraph12 Char,F5 List Paragraph Char,L Char"/>
    <w:link w:val="ListParagraph"/>
    <w:uiPriority w:val="34"/>
    <w:qFormat/>
    <w:rsid w:val="0053389F"/>
    <w:rPr>
      <w:rFonts w:eastAsiaTheme="minorEastAsia"/>
    </w:rPr>
  </w:style>
  <w:style w:type="paragraph" w:styleId="FootnoteText">
    <w:name w:val="footnote text"/>
    <w:basedOn w:val="Normal"/>
    <w:link w:val="FootnoteTextChar"/>
    <w:uiPriority w:val="99"/>
    <w:unhideWhenUsed/>
    <w:rsid w:val="003F1FF2"/>
    <w:pPr>
      <w:spacing w:after="0" w:line="240" w:lineRule="auto"/>
      <w:jc w:val="both"/>
    </w:pPr>
    <w:rPr>
      <w:rFonts w:ascii="Times New Roman" w:eastAsiaTheme="minorHAnsi" w:hAnsi="Times New Roman"/>
      <w:sz w:val="20"/>
      <w:szCs w:val="20"/>
    </w:rPr>
  </w:style>
  <w:style w:type="character" w:customStyle="1" w:styleId="FootnoteTextChar">
    <w:name w:val="Footnote Text Char"/>
    <w:basedOn w:val="DefaultParagraphFont"/>
    <w:link w:val="FootnoteText"/>
    <w:uiPriority w:val="99"/>
    <w:rsid w:val="003F1FF2"/>
    <w:rPr>
      <w:rFonts w:ascii="Times New Roman" w:hAnsi="Times New Roman"/>
      <w:sz w:val="20"/>
      <w:szCs w:val="20"/>
    </w:rPr>
  </w:style>
  <w:style w:type="character" w:styleId="FootnoteReference">
    <w:name w:val="footnote reference"/>
    <w:aliases w:val="Footnote symbol,IT Fußnotenzeichen,Footnote symboFußnotenzeichen,Footnote sign,-E Fußnotenzeichen,ESPON Footnote No,Footnote call,Footnote Reference Superscript,Footnote reference number,Times 10 Point,Exposant 3 Point,Ref,SUPERS,numb"/>
    <w:basedOn w:val="DefaultParagraphFont"/>
    <w:uiPriority w:val="99"/>
    <w:unhideWhenUsed/>
    <w:qFormat/>
    <w:rsid w:val="003F1FF2"/>
    <w:rPr>
      <w:vertAlign w:val="superscript"/>
    </w:rPr>
  </w:style>
  <w:style w:type="paragraph" w:styleId="Title">
    <w:name w:val="Title"/>
    <w:basedOn w:val="Normal"/>
    <w:next w:val="Normal"/>
    <w:link w:val="TitleChar"/>
    <w:uiPriority w:val="10"/>
    <w:qFormat/>
    <w:rsid w:val="003F1FF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1FF2"/>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3F1FF2"/>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5362B5"/>
    <w:pPr>
      <w:outlineLvl w:val="9"/>
    </w:pPr>
  </w:style>
  <w:style w:type="paragraph" w:styleId="TOC1">
    <w:name w:val="toc 1"/>
    <w:basedOn w:val="Normal"/>
    <w:next w:val="Normal"/>
    <w:autoRedefine/>
    <w:uiPriority w:val="39"/>
    <w:unhideWhenUsed/>
    <w:rsid w:val="0021675B"/>
    <w:pPr>
      <w:tabs>
        <w:tab w:val="left" w:pos="440"/>
        <w:tab w:val="right" w:leader="dot" w:pos="9062"/>
      </w:tabs>
      <w:spacing w:after="100"/>
    </w:pPr>
    <w:rPr>
      <w:rFonts w:ascii="Times New Roman" w:hAnsi="Times New Roman" w:cs="Times New Roman"/>
      <w:noProof/>
      <w:color w:val="000000" w:themeColor="text1"/>
      <w:lang w:eastAsia="en-IE"/>
    </w:rPr>
  </w:style>
  <w:style w:type="paragraph" w:styleId="TOC2">
    <w:name w:val="toc 2"/>
    <w:basedOn w:val="Normal"/>
    <w:next w:val="Normal"/>
    <w:autoRedefine/>
    <w:uiPriority w:val="39"/>
    <w:unhideWhenUsed/>
    <w:rsid w:val="003F09F0"/>
    <w:pPr>
      <w:tabs>
        <w:tab w:val="left" w:pos="880"/>
        <w:tab w:val="right" w:leader="dot" w:pos="9062"/>
      </w:tabs>
      <w:spacing w:after="100"/>
      <w:ind w:left="220"/>
    </w:pPr>
  </w:style>
  <w:style w:type="character" w:styleId="Hyperlink">
    <w:name w:val="Hyperlink"/>
    <w:basedOn w:val="DefaultParagraphFont"/>
    <w:uiPriority w:val="99"/>
    <w:unhideWhenUsed/>
    <w:rsid w:val="005362B5"/>
    <w:rPr>
      <w:color w:val="0000FF" w:themeColor="hyperlink"/>
      <w:u w:val="single"/>
    </w:rPr>
  </w:style>
  <w:style w:type="character" w:styleId="CommentReference">
    <w:name w:val="annotation reference"/>
    <w:basedOn w:val="DefaultParagraphFont"/>
    <w:uiPriority w:val="99"/>
    <w:semiHidden/>
    <w:unhideWhenUsed/>
    <w:rsid w:val="00777014"/>
    <w:rPr>
      <w:sz w:val="16"/>
      <w:szCs w:val="16"/>
    </w:rPr>
  </w:style>
  <w:style w:type="paragraph" w:styleId="CommentText">
    <w:name w:val="annotation text"/>
    <w:basedOn w:val="Normal"/>
    <w:link w:val="CommentTextChar"/>
    <w:uiPriority w:val="99"/>
    <w:unhideWhenUsed/>
    <w:rsid w:val="00777014"/>
    <w:pPr>
      <w:spacing w:line="240" w:lineRule="auto"/>
    </w:pPr>
    <w:rPr>
      <w:sz w:val="20"/>
      <w:szCs w:val="20"/>
    </w:rPr>
  </w:style>
  <w:style w:type="character" w:customStyle="1" w:styleId="CommentTextChar">
    <w:name w:val="Comment Text Char"/>
    <w:basedOn w:val="DefaultParagraphFont"/>
    <w:link w:val="CommentText"/>
    <w:uiPriority w:val="99"/>
    <w:rsid w:val="00777014"/>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777014"/>
    <w:rPr>
      <w:b/>
      <w:bCs/>
    </w:rPr>
  </w:style>
  <w:style w:type="character" w:customStyle="1" w:styleId="CommentSubjectChar">
    <w:name w:val="Comment Subject Char"/>
    <w:basedOn w:val="CommentTextChar"/>
    <w:link w:val="CommentSubject"/>
    <w:uiPriority w:val="99"/>
    <w:semiHidden/>
    <w:rsid w:val="00777014"/>
    <w:rPr>
      <w:rFonts w:eastAsiaTheme="minorEastAsia"/>
      <w:b/>
      <w:bCs/>
      <w:sz w:val="20"/>
      <w:szCs w:val="20"/>
    </w:rPr>
  </w:style>
  <w:style w:type="paragraph" w:styleId="TOC3">
    <w:name w:val="toc 3"/>
    <w:basedOn w:val="Normal"/>
    <w:next w:val="Normal"/>
    <w:autoRedefine/>
    <w:uiPriority w:val="39"/>
    <w:unhideWhenUsed/>
    <w:rsid w:val="00DD16DA"/>
    <w:pPr>
      <w:tabs>
        <w:tab w:val="left" w:pos="1100"/>
        <w:tab w:val="right" w:leader="dot" w:pos="9062"/>
      </w:tabs>
      <w:spacing w:after="100"/>
      <w:ind w:left="440"/>
    </w:pPr>
  </w:style>
  <w:style w:type="paragraph" w:styleId="Revision">
    <w:name w:val="Revision"/>
    <w:hidden/>
    <w:uiPriority w:val="99"/>
    <w:semiHidden/>
    <w:rsid w:val="000C5FF3"/>
    <w:pPr>
      <w:spacing w:after="0" w:line="240" w:lineRule="auto"/>
    </w:pPr>
    <w:rPr>
      <w:rFonts w:eastAsiaTheme="minorEastAsia"/>
    </w:rPr>
  </w:style>
  <w:style w:type="paragraph" w:styleId="Header">
    <w:name w:val="header"/>
    <w:basedOn w:val="Normal"/>
    <w:link w:val="HeaderChar"/>
    <w:uiPriority w:val="99"/>
    <w:unhideWhenUsed/>
    <w:rsid w:val="00904480"/>
    <w:pPr>
      <w:tabs>
        <w:tab w:val="center" w:pos="4513"/>
        <w:tab w:val="right" w:pos="9026"/>
      </w:tabs>
      <w:spacing w:after="0" w:line="240" w:lineRule="auto"/>
    </w:pPr>
  </w:style>
  <w:style w:type="character" w:customStyle="1" w:styleId="HeaderChar">
    <w:name w:val="Header Char"/>
    <w:basedOn w:val="DefaultParagraphFont"/>
    <w:link w:val="Header"/>
    <w:uiPriority w:val="99"/>
    <w:rsid w:val="00904480"/>
    <w:rPr>
      <w:rFonts w:eastAsiaTheme="minorEastAsia"/>
    </w:rPr>
  </w:style>
  <w:style w:type="paragraph" w:styleId="Footer">
    <w:name w:val="footer"/>
    <w:basedOn w:val="Normal"/>
    <w:link w:val="FooterChar"/>
    <w:uiPriority w:val="99"/>
    <w:unhideWhenUsed/>
    <w:rsid w:val="00904480"/>
    <w:pPr>
      <w:tabs>
        <w:tab w:val="center" w:pos="4513"/>
        <w:tab w:val="right" w:pos="9026"/>
      </w:tabs>
      <w:spacing w:after="0" w:line="240" w:lineRule="auto"/>
    </w:pPr>
  </w:style>
  <w:style w:type="character" w:customStyle="1" w:styleId="FooterChar">
    <w:name w:val="Footer Char"/>
    <w:basedOn w:val="DefaultParagraphFont"/>
    <w:link w:val="Footer"/>
    <w:uiPriority w:val="99"/>
    <w:rsid w:val="00904480"/>
    <w:rPr>
      <w:rFonts w:eastAsiaTheme="minorEastAsia"/>
    </w:rPr>
  </w:style>
  <w:style w:type="character" w:customStyle="1" w:styleId="UnresolvedMention1">
    <w:name w:val="Unresolved Mention1"/>
    <w:basedOn w:val="DefaultParagraphFont"/>
    <w:uiPriority w:val="99"/>
    <w:semiHidden/>
    <w:unhideWhenUsed/>
    <w:rsid w:val="00CA28FC"/>
    <w:rPr>
      <w:color w:val="605E5C"/>
      <w:shd w:val="clear" w:color="auto" w:fill="E1DFDD"/>
    </w:rPr>
  </w:style>
  <w:style w:type="paragraph" w:styleId="EndnoteText">
    <w:name w:val="endnote text"/>
    <w:basedOn w:val="Normal"/>
    <w:link w:val="EndnoteTextChar"/>
    <w:uiPriority w:val="99"/>
    <w:semiHidden/>
    <w:unhideWhenUsed/>
    <w:rsid w:val="00A5167A"/>
    <w:pPr>
      <w:spacing w:after="0" w:line="240" w:lineRule="auto"/>
    </w:pPr>
    <w:rPr>
      <w:sz w:val="20"/>
      <w:szCs w:val="20"/>
    </w:rPr>
  </w:style>
  <w:style w:type="character" w:customStyle="1" w:styleId="EndnoteTextChar">
    <w:name w:val="Endnote Text Char"/>
    <w:basedOn w:val="DefaultParagraphFont"/>
    <w:link w:val="EndnoteText"/>
    <w:uiPriority w:val="99"/>
    <w:semiHidden/>
    <w:rsid w:val="00A5167A"/>
    <w:rPr>
      <w:rFonts w:eastAsiaTheme="minorEastAsia"/>
      <w:sz w:val="20"/>
      <w:szCs w:val="20"/>
    </w:rPr>
  </w:style>
  <w:style w:type="character" w:styleId="EndnoteReference">
    <w:name w:val="endnote reference"/>
    <w:basedOn w:val="DefaultParagraphFont"/>
    <w:uiPriority w:val="99"/>
    <w:semiHidden/>
    <w:unhideWhenUsed/>
    <w:rsid w:val="00A5167A"/>
    <w:rPr>
      <w:vertAlign w:val="superscript"/>
    </w:rPr>
  </w:style>
  <w:style w:type="character" w:styleId="FollowedHyperlink">
    <w:name w:val="FollowedHyperlink"/>
    <w:basedOn w:val="DefaultParagraphFont"/>
    <w:uiPriority w:val="99"/>
    <w:semiHidden/>
    <w:unhideWhenUsed/>
    <w:rsid w:val="00224B7D"/>
    <w:rPr>
      <w:color w:val="800080" w:themeColor="followedHyperlink"/>
      <w:u w:val="single"/>
    </w:rPr>
  </w:style>
  <w:style w:type="character" w:customStyle="1" w:styleId="Mention1">
    <w:name w:val="Mention1"/>
    <w:basedOn w:val="DefaultParagraphFont"/>
    <w:uiPriority w:val="99"/>
    <w:unhideWhenUsed/>
    <w:rsid w:val="006D799A"/>
    <w:rPr>
      <w:color w:val="2B579A"/>
      <w:shd w:val="clear" w:color="auto" w:fill="E1DFDD"/>
    </w:rPr>
  </w:style>
  <w:style w:type="paragraph" w:customStyle="1" w:styleId="Text1">
    <w:name w:val="Text 1"/>
    <w:basedOn w:val="Normal"/>
    <w:uiPriority w:val="1"/>
    <w:qFormat/>
    <w:rsid w:val="003F1797"/>
    <w:pPr>
      <w:spacing w:after="240" w:line="240" w:lineRule="auto"/>
      <w:ind w:left="482"/>
      <w:jc w:val="both"/>
    </w:pPr>
    <w:rPr>
      <w:rFonts w:ascii="Times New Roman" w:eastAsia="Times New Roman" w:hAnsi="Times New Roman" w:cs="Times New Roman"/>
      <w:sz w:val="24"/>
      <w:szCs w:val="20"/>
      <w:lang w:eastAsia="en-GB"/>
    </w:rPr>
  </w:style>
  <w:style w:type="character" w:customStyle="1" w:styleId="ui-provider">
    <w:name w:val="ui-provider"/>
    <w:basedOn w:val="DefaultParagraphFont"/>
    <w:rsid w:val="00507EFC"/>
  </w:style>
  <w:style w:type="character" w:customStyle="1" w:styleId="normaltextrun">
    <w:name w:val="normaltextrun"/>
    <w:basedOn w:val="DefaultParagraphFont"/>
    <w:rsid w:val="00B61F8F"/>
  </w:style>
  <w:style w:type="character" w:customStyle="1" w:styleId="eop">
    <w:name w:val="eop"/>
    <w:basedOn w:val="DefaultParagraphFont"/>
    <w:rsid w:val="00B61F8F"/>
  </w:style>
  <w:style w:type="character" w:customStyle="1" w:styleId="superscript">
    <w:name w:val="superscript"/>
    <w:basedOn w:val="DefaultParagraphFont"/>
    <w:rsid w:val="00865498"/>
  </w:style>
  <w:style w:type="character" w:customStyle="1" w:styleId="Marker">
    <w:name w:val="Marker"/>
    <w:basedOn w:val="DefaultParagraphFont"/>
    <w:rsid w:val="00915255"/>
    <w:rPr>
      <w:color w:val="0000FF"/>
      <w:shd w:val="clear" w:color="auto" w:fill="auto"/>
    </w:rPr>
  </w:style>
  <w:style w:type="paragraph" w:customStyle="1" w:styleId="Pagedecouverture">
    <w:name w:val="Page de couverture"/>
    <w:basedOn w:val="Normal"/>
    <w:next w:val="Normal"/>
    <w:link w:val="PagedecouvertureChar"/>
    <w:rsid w:val="00915255"/>
    <w:pPr>
      <w:spacing w:after="0" w:line="240" w:lineRule="auto"/>
      <w:jc w:val="both"/>
    </w:pPr>
    <w:rPr>
      <w:rFonts w:ascii="Times New Roman" w:eastAsiaTheme="minorHAnsi" w:hAnsi="Times New Roman" w:cs="Times New Roman"/>
      <w:sz w:val="24"/>
    </w:rPr>
  </w:style>
  <w:style w:type="paragraph" w:customStyle="1" w:styleId="Typedudocument">
    <w:name w:val="Type du document"/>
    <w:basedOn w:val="Normal"/>
    <w:next w:val="Normal"/>
    <w:rsid w:val="00915255"/>
    <w:pPr>
      <w:spacing w:before="360" w:after="0" w:line="240" w:lineRule="auto"/>
      <w:jc w:val="center"/>
    </w:pPr>
    <w:rPr>
      <w:rFonts w:ascii="Times New Roman" w:eastAsiaTheme="minorHAnsi" w:hAnsi="Times New Roman" w:cs="Times New Roman"/>
      <w:b/>
      <w:sz w:val="24"/>
    </w:rPr>
  </w:style>
  <w:style w:type="paragraph" w:customStyle="1" w:styleId="Titreobjet">
    <w:name w:val="Titre objet"/>
    <w:basedOn w:val="Normal"/>
    <w:next w:val="Normal"/>
    <w:rsid w:val="00915255"/>
    <w:pPr>
      <w:spacing w:before="360" w:after="360" w:line="240" w:lineRule="auto"/>
      <w:jc w:val="center"/>
    </w:pPr>
    <w:rPr>
      <w:rFonts w:ascii="Times New Roman" w:eastAsiaTheme="minorHAnsi" w:hAnsi="Times New Roman" w:cs="Times New Roman"/>
      <w:b/>
      <w:sz w:val="24"/>
    </w:rPr>
  </w:style>
  <w:style w:type="paragraph" w:customStyle="1" w:styleId="FooterCoverPage">
    <w:name w:val="Footer Cover Page"/>
    <w:basedOn w:val="Normal"/>
    <w:link w:val="FooterCoverPageChar"/>
    <w:rsid w:val="00915255"/>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PagedecouvertureChar">
    <w:name w:val="Page de couverture Char"/>
    <w:basedOn w:val="DefaultParagraphFont"/>
    <w:link w:val="Pagedecouverture"/>
    <w:rsid w:val="00915255"/>
    <w:rPr>
      <w:rFonts w:ascii="Times New Roman" w:hAnsi="Times New Roman" w:cs="Times New Roman"/>
      <w:sz w:val="24"/>
    </w:rPr>
  </w:style>
  <w:style w:type="character" w:customStyle="1" w:styleId="FooterCoverPageChar">
    <w:name w:val="Footer Cover Page Char"/>
    <w:basedOn w:val="PagedecouvertureChar"/>
    <w:link w:val="FooterCoverPage"/>
    <w:rsid w:val="00915255"/>
    <w:rPr>
      <w:rFonts w:ascii="Times New Roman" w:eastAsiaTheme="minorEastAsia" w:hAnsi="Times New Roman" w:cs="Times New Roman"/>
      <w:sz w:val="24"/>
    </w:rPr>
  </w:style>
  <w:style w:type="paragraph" w:customStyle="1" w:styleId="FooterSensitivity">
    <w:name w:val="Footer Sensitivity"/>
    <w:basedOn w:val="Normal"/>
    <w:link w:val="FooterSensitivityChar"/>
    <w:rsid w:val="00915255"/>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PagedecouvertureChar"/>
    <w:link w:val="FooterSensitivity"/>
    <w:rsid w:val="00915255"/>
    <w:rPr>
      <w:rFonts w:ascii="Times New Roman" w:eastAsiaTheme="minorEastAsia" w:hAnsi="Times New Roman" w:cs="Times New Roman"/>
      <w:b/>
      <w:sz w:val="32"/>
    </w:rPr>
  </w:style>
  <w:style w:type="paragraph" w:customStyle="1" w:styleId="HeaderCoverPage">
    <w:name w:val="Header Cover Page"/>
    <w:basedOn w:val="Normal"/>
    <w:link w:val="HeaderCoverPageChar"/>
    <w:rsid w:val="00915255"/>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PagedecouvertureChar"/>
    <w:link w:val="HeaderCoverPage"/>
    <w:rsid w:val="00915255"/>
    <w:rPr>
      <w:rFonts w:ascii="Times New Roman" w:eastAsiaTheme="minorEastAsia" w:hAnsi="Times New Roman" w:cs="Times New Roman"/>
      <w:sz w:val="24"/>
    </w:rPr>
  </w:style>
  <w:style w:type="paragraph" w:customStyle="1" w:styleId="HeaderSensitivity">
    <w:name w:val="Header Sensitivity"/>
    <w:basedOn w:val="Normal"/>
    <w:link w:val="HeaderSensitivityChar"/>
    <w:rsid w:val="00915255"/>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PagedecouvertureChar"/>
    <w:link w:val="HeaderSensitivity"/>
    <w:rsid w:val="00915255"/>
    <w:rPr>
      <w:rFonts w:ascii="Times New Roman" w:eastAsiaTheme="minorEastAsia" w:hAnsi="Times New Roman" w:cs="Times New Roman"/>
      <w:b/>
      <w:sz w:val="32"/>
    </w:rPr>
  </w:style>
  <w:style w:type="paragraph" w:customStyle="1" w:styleId="HeaderSensitivityRight">
    <w:name w:val="Header Sensitivity Right"/>
    <w:basedOn w:val="Normal"/>
    <w:link w:val="HeaderSensitivityRightChar"/>
    <w:rsid w:val="00915255"/>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PagedecouvertureChar"/>
    <w:link w:val="HeaderSensitivityRight"/>
    <w:rsid w:val="00915255"/>
    <w:rPr>
      <w:rFonts w:ascii="Times New Roman" w:eastAsiaTheme="minorEastAsia" w:hAnsi="Times New Roman" w:cs="Times New Roman"/>
      <w:sz w:val="28"/>
    </w:rPr>
  </w:style>
  <w:style w:type="character" w:customStyle="1" w:styleId="Heading5Char">
    <w:name w:val="Heading 5 Char"/>
    <w:basedOn w:val="DefaultParagraphFont"/>
    <w:link w:val="Heading5"/>
    <w:uiPriority w:val="9"/>
    <w:rsid w:val="00851392"/>
    <w:rPr>
      <w:rFonts w:asciiTheme="majorHAnsi" w:eastAsiaTheme="majorEastAsia" w:hAnsiTheme="majorHAnsi" w:cstheme="majorBidi"/>
      <w:color w:val="365F91" w:themeColor="accent1" w:themeShade="BF"/>
    </w:rPr>
  </w:style>
  <w:style w:type="character" w:customStyle="1" w:styleId="cf01">
    <w:name w:val="cf01"/>
    <w:basedOn w:val="DefaultParagraphFont"/>
    <w:rsid w:val="00F00729"/>
    <w:rPr>
      <w:rFonts w:ascii="Segoe UI" w:hAnsi="Segoe UI" w:cs="Segoe UI" w:hint="default"/>
      <w:sz w:val="18"/>
      <w:szCs w:val="18"/>
    </w:rPr>
  </w:style>
  <w:style w:type="paragraph" w:styleId="BalloonText">
    <w:name w:val="Balloon Text"/>
    <w:basedOn w:val="Normal"/>
    <w:link w:val="BalloonTextChar"/>
    <w:uiPriority w:val="99"/>
    <w:semiHidden/>
    <w:unhideWhenUsed/>
    <w:rsid w:val="00EF525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5256"/>
    <w:rPr>
      <w:rFonts w:ascii="Segoe UI" w:eastAsiaTheme="minorEastAsia" w:hAnsi="Segoe UI" w:cs="Segoe UI"/>
      <w:sz w:val="18"/>
      <w:szCs w:val="18"/>
    </w:rPr>
  </w:style>
  <w:style w:type="character" w:customStyle="1" w:styleId="UnresolvedMention">
    <w:name w:val="Unresolved Mention"/>
    <w:basedOn w:val="DefaultParagraphFont"/>
    <w:uiPriority w:val="99"/>
    <w:semiHidden/>
    <w:unhideWhenUsed/>
    <w:rsid w:val="00875A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9720405">
      <w:bodyDiv w:val="1"/>
      <w:marLeft w:val="0"/>
      <w:marRight w:val="0"/>
      <w:marTop w:val="0"/>
      <w:marBottom w:val="0"/>
      <w:divBdr>
        <w:top w:val="none" w:sz="0" w:space="0" w:color="auto"/>
        <w:left w:val="none" w:sz="0" w:space="0" w:color="auto"/>
        <w:bottom w:val="none" w:sz="0" w:space="0" w:color="auto"/>
        <w:right w:val="none" w:sz="0" w:space="0" w:color="auto"/>
      </w:divBdr>
    </w:div>
    <w:div w:id="358900420">
      <w:bodyDiv w:val="1"/>
      <w:marLeft w:val="0"/>
      <w:marRight w:val="0"/>
      <w:marTop w:val="0"/>
      <w:marBottom w:val="0"/>
      <w:divBdr>
        <w:top w:val="none" w:sz="0" w:space="0" w:color="auto"/>
        <w:left w:val="none" w:sz="0" w:space="0" w:color="auto"/>
        <w:bottom w:val="none" w:sz="0" w:space="0" w:color="auto"/>
        <w:right w:val="none" w:sz="0" w:space="0" w:color="auto"/>
      </w:divBdr>
    </w:div>
    <w:div w:id="365065273">
      <w:bodyDiv w:val="1"/>
      <w:marLeft w:val="0"/>
      <w:marRight w:val="0"/>
      <w:marTop w:val="0"/>
      <w:marBottom w:val="0"/>
      <w:divBdr>
        <w:top w:val="none" w:sz="0" w:space="0" w:color="auto"/>
        <w:left w:val="none" w:sz="0" w:space="0" w:color="auto"/>
        <w:bottom w:val="none" w:sz="0" w:space="0" w:color="auto"/>
        <w:right w:val="none" w:sz="0" w:space="0" w:color="auto"/>
      </w:divBdr>
    </w:div>
    <w:div w:id="383876553">
      <w:bodyDiv w:val="1"/>
      <w:marLeft w:val="0"/>
      <w:marRight w:val="0"/>
      <w:marTop w:val="0"/>
      <w:marBottom w:val="0"/>
      <w:divBdr>
        <w:top w:val="none" w:sz="0" w:space="0" w:color="auto"/>
        <w:left w:val="none" w:sz="0" w:space="0" w:color="auto"/>
        <w:bottom w:val="none" w:sz="0" w:space="0" w:color="auto"/>
        <w:right w:val="none" w:sz="0" w:space="0" w:color="auto"/>
      </w:divBdr>
    </w:div>
    <w:div w:id="422262284">
      <w:bodyDiv w:val="1"/>
      <w:marLeft w:val="0"/>
      <w:marRight w:val="0"/>
      <w:marTop w:val="0"/>
      <w:marBottom w:val="0"/>
      <w:divBdr>
        <w:top w:val="none" w:sz="0" w:space="0" w:color="auto"/>
        <w:left w:val="none" w:sz="0" w:space="0" w:color="auto"/>
        <w:bottom w:val="none" w:sz="0" w:space="0" w:color="auto"/>
        <w:right w:val="none" w:sz="0" w:space="0" w:color="auto"/>
      </w:divBdr>
    </w:div>
    <w:div w:id="529953912">
      <w:bodyDiv w:val="1"/>
      <w:marLeft w:val="0"/>
      <w:marRight w:val="0"/>
      <w:marTop w:val="0"/>
      <w:marBottom w:val="0"/>
      <w:divBdr>
        <w:top w:val="none" w:sz="0" w:space="0" w:color="auto"/>
        <w:left w:val="none" w:sz="0" w:space="0" w:color="auto"/>
        <w:bottom w:val="none" w:sz="0" w:space="0" w:color="auto"/>
        <w:right w:val="none" w:sz="0" w:space="0" w:color="auto"/>
      </w:divBdr>
    </w:div>
    <w:div w:id="544682505">
      <w:bodyDiv w:val="1"/>
      <w:marLeft w:val="0"/>
      <w:marRight w:val="0"/>
      <w:marTop w:val="0"/>
      <w:marBottom w:val="0"/>
      <w:divBdr>
        <w:top w:val="none" w:sz="0" w:space="0" w:color="auto"/>
        <w:left w:val="none" w:sz="0" w:space="0" w:color="auto"/>
        <w:bottom w:val="none" w:sz="0" w:space="0" w:color="auto"/>
        <w:right w:val="none" w:sz="0" w:space="0" w:color="auto"/>
      </w:divBdr>
    </w:div>
    <w:div w:id="591474248">
      <w:bodyDiv w:val="1"/>
      <w:marLeft w:val="0"/>
      <w:marRight w:val="0"/>
      <w:marTop w:val="0"/>
      <w:marBottom w:val="0"/>
      <w:divBdr>
        <w:top w:val="none" w:sz="0" w:space="0" w:color="auto"/>
        <w:left w:val="none" w:sz="0" w:space="0" w:color="auto"/>
        <w:bottom w:val="none" w:sz="0" w:space="0" w:color="auto"/>
        <w:right w:val="none" w:sz="0" w:space="0" w:color="auto"/>
      </w:divBdr>
    </w:div>
    <w:div w:id="632366832">
      <w:bodyDiv w:val="1"/>
      <w:marLeft w:val="0"/>
      <w:marRight w:val="0"/>
      <w:marTop w:val="0"/>
      <w:marBottom w:val="0"/>
      <w:divBdr>
        <w:top w:val="none" w:sz="0" w:space="0" w:color="auto"/>
        <w:left w:val="none" w:sz="0" w:space="0" w:color="auto"/>
        <w:bottom w:val="none" w:sz="0" w:space="0" w:color="auto"/>
        <w:right w:val="none" w:sz="0" w:space="0" w:color="auto"/>
      </w:divBdr>
    </w:div>
    <w:div w:id="647174555">
      <w:bodyDiv w:val="1"/>
      <w:marLeft w:val="0"/>
      <w:marRight w:val="0"/>
      <w:marTop w:val="0"/>
      <w:marBottom w:val="0"/>
      <w:divBdr>
        <w:top w:val="none" w:sz="0" w:space="0" w:color="auto"/>
        <w:left w:val="none" w:sz="0" w:space="0" w:color="auto"/>
        <w:bottom w:val="none" w:sz="0" w:space="0" w:color="auto"/>
        <w:right w:val="none" w:sz="0" w:space="0" w:color="auto"/>
      </w:divBdr>
    </w:div>
    <w:div w:id="744031736">
      <w:bodyDiv w:val="1"/>
      <w:marLeft w:val="0"/>
      <w:marRight w:val="0"/>
      <w:marTop w:val="0"/>
      <w:marBottom w:val="0"/>
      <w:divBdr>
        <w:top w:val="none" w:sz="0" w:space="0" w:color="auto"/>
        <w:left w:val="none" w:sz="0" w:space="0" w:color="auto"/>
        <w:bottom w:val="none" w:sz="0" w:space="0" w:color="auto"/>
        <w:right w:val="none" w:sz="0" w:space="0" w:color="auto"/>
      </w:divBdr>
    </w:div>
    <w:div w:id="763764609">
      <w:bodyDiv w:val="1"/>
      <w:marLeft w:val="0"/>
      <w:marRight w:val="0"/>
      <w:marTop w:val="0"/>
      <w:marBottom w:val="0"/>
      <w:divBdr>
        <w:top w:val="none" w:sz="0" w:space="0" w:color="auto"/>
        <w:left w:val="none" w:sz="0" w:space="0" w:color="auto"/>
        <w:bottom w:val="none" w:sz="0" w:space="0" w:color="auto"/>
        <w:right w:val="none" w:sz="0" w:space="0" w:color="auto"/>
      </w:divBdr>
    </w:div>
    <w:div w:id="777062709">
      <w:bodyDiv w:val="1"/>
      <w:marLeft w:val="0"/>
      <w:marRight w:val="0"/>
      <w:marTop w:val="0"/>
      <w:marBottom w:val="0"/>
      <w:divBdr>
        <w:top w:val="none" w:sz="0" w:space="0" w:color="auto"/>
        <w:left w:val="none" w:sz="0" w:space="0" w:color="auto"/>
        <w:bottom w:val="none" w:sz="0" w:space="0" w:color="auto"/>
        <w:right w:val="none" w:sz="0" w:space="0" w:color="auto"/>
      </w:divBdr>
    </w:div>
    <w:div w:id="800222156">
      <w:bodyDiv w:val="1"/>
      <w:marLeft w:val="0"/>
      <w:marRight w:val="0"/>
      <w:marTop w:val="0"/>
      <w:marBottom w:val="0"/>
      <w:divBdr>
        <w:top w:val="none" w:sz="0" w:space="0" w:color="auto"/>
        <w:left w:val="none" w:sz="0" w:space="0" w:color="auto"/>
        <w:bottom w:val="none" w:sz="0" w:space="0" w:color="auto"/>
        <w:right w:val="none" w:sz="0" w:space="0" w:color="auto"/>
      </w:divBdr>
    </w:div>
    <w:div w:id="902789652">
      <w:bodyDiv w:val="1"/>
      <w:marLeft w:val="0"/>
      <w:marRight w:val="0"/>
      <w:marTop w:val="0"/>
      <w:marBottom w:val="0"/>
      <w:divBdr>
        <w:top w:val="none" w:sz="0" w:space="0" w:color="auto"/>
        <w:left w:val="none" w:sz="0" w:space="0" w:color="auto"/>
        <w:bottom w:val="none" w:sz="0" w:space="0" w:color="auto"/>
        <w:right w:val="none" w:sz="0" w:space="0" w:color="auto"/>
      </w:divBdr>
    </w:div>
    <w:div w:id="946471371">
      <w:bodyDiv w:val="1"/>
      <w:marLeft w:val="0"/>
      <w:marRight w:val="0"/>
      <w:marTop w:val="0"/>
      <w:marBottom w:val="0"/>
      <w:divBdr>
        <w:top w:val="none" w:sz="0" w:space="0" w:color="auto"/>
        <w:left w:val="none" w:sz="0" w:space="0" w:color="auto"/>
        <w:bottom w:val="none" w:sz="0" w:space="0" w:color="auto"/>
        <w:right w:val="none" w:sz="0" w:space="0" w:color="auto"/>
      </w:divBdr>
    </w:div>
    <w:div w:id="965812771">
      <w:bodyDiv w:val="1"/>
      <w:marLeft w:val="0"/>
      <w:marRight w:val="0"/>
      <w:marTop w:val="0"/>
      <w:marBottom w:val="0"/>
      <w:divBdr>
        <w:top w:val="none" w:sz="0" w:space="0" w:color="auto"/>
        <w:left w:val="none" w:sz="0" w:space="0" w:color="auto"/>
        <w:bottom w:val="none" w:sz="0" w:space="0" w:color="auto"/>
        <w:right w:val="none" w:sz="0" w:space="0" w:color="auto"/>
      </w:divBdr>
    </w:div>
    <w:div w:id="1083066943">
      <w:bodyDiv w:val="1"/>
      <w:marLeft w:val="0"/>
      <w:marRight w:val="0"/>
      <w:marTop w:val="0"/>
      <w:marBottom w:val="0"/>
      <w:divBdr>
        <w:top w:val="none" w:sz="0" w:space="0" w:color="auto"/>
        <w:left w:val="none" w:sz="0" w:space="0" w:color="auto"/>
        <w:bottom w:val="none" w:sz="0" w:space="0" w:color="auto"/>
        <w:right w:val="none" w:sz="0" w:space="0" w:color="auto"/>
      </w:divBdr>
    </w:div>
    <w:div w:id="1150751631">
      <w:bodyDiv w:val="1"/>
      <w:marLeft w:val="0"/>
      <w:marRight w:val="0"/>
      <w:marTop w:val="0"/>
      <w:marBottom w:val="0"/>
      <w:divBdr>
        <w:top w:val="none" w:sz="0" w:space="0" w:color="auto"/>
        <w:left w:val="none" w:sz="0" w:space="0" w:color="auto"/>
        <w:bottom w:val="none" w:sz="0" w:space="0" w:color="auto"/>
        <w:right w:val="none" w:sz="0" w:space="0" w:color="auto"/>
      </w:divBdr>
    </w:div>
    <w:div w:id="1153183816">
      <w:bodyDiv w:val="1"/>
      <w:marLeft w:val="0"/>
      <w:marRight w:val="0"/>
      <w:marTop w:val="0"/>
      <w:marBottom w:val="0"/>
      <w:divBdr>
        <w:top w:val="none" w:sz="0" w:space="0" w:color="auto"/>
        <w:left w:val="none" w:sz="0" w:space="0" w:color="auto"/>
        <w:bottom w:val="none" w:sz="0" w:space="0" w:color="auto"/>
        <w:right w:val="none" w:sz="0" w:space="0" w:color="auto"/>
      </w:divBdr>
    </w:div>
    <w:div w:id="1269696332">
      <w:bodyDiv w:val="1"/>
      <w:marLeft w:val="0"/>
      <w:marRight w:val="0"/>
      <w:marTop w:val="0"/>
      <w:marBottom w:val="0"/>
      <w:divBdr>
        <w:top w:val="none" w:sz="0" w:space="0" w:color="auto"/>
        <w:left w:val="none" w:sz="0" w:space="0" w:color="auto"/>
        <w:bottom w:val="none" w:sz="0" w:space="0" w:color="auto"/>
        <w:right w:val="none" w:sz="0" w:space="0" w:color="auto"/>
      </w:divBdr>
    </w:div>
    <w:div w:id="1303729939">
      <w:bodyDiv w:val="1"/>
      <w:marLeft w:val="0"/>
      <w:marRight w:val="0"/>
      <w:marTop w:val="0"/>
      <w:marBottom w:val="0"/>
      <w:divBdr>
        <w:top w:val="none" w:sz="0" w:space="0" w:color="auto"/>
        <w:left w:val="none" w:sz="0" w:space="0" w:color="auto"/>
        <w:bottom w:val="none" w:sz="0" w:space="0" w:color="auto"/>
        <w:right w:val="none" w:sz="0" w:space="0" w:color="auto"/>
      </w:divBdr>
    </w:div>
    <w:div w:id="1363823117">
      <w:bodyDiv w:val="1"/>
      <w:marLeft w:val="0"/>
      <w:marRight w:val="0"/>
      <w:marTop w:val="0"/>
      <w:marBottom w:val="0"/>
      <w:divBdr>
        <w:top w:val="none" w:sz="0" w:space="0" w:color="auto"/>
        <w:left w:val="none" w:sz="0" w:space="0" w:color="auto"/>
        <w:bottom w:val="none" w:sz="0" w:space="0" w:color="auto"/>
        <w:right w:val="none" w:sz="0" w:space="0" w:color="auto"/>
      </w:divBdr>
    </w:div>
    <w:div w:id="1454010367">
      <w:bodyDiv w:val="1"/>
      <w:marLeft w:val="0"/>
      <w:marRight w:val="0"/>
      <w:marTop w:val="0"/>
      <w:marBottom w:val="0"/>
      <w:divBdr>
        <w:top w:val="none" w:sz="0" w:space="0" w:color="auto"/>
        <w:left w:val="none" w:sz="0" w:space="0" w:color="auto"/>
        <w:bottom w:val="none" w:sz="0" w:space="0" w:color="auto"/>
        <w:right w:val="none" w:sz="0" w:space="0" w:color="auto"/>
      </w:divBdr>
    </w:div>
    <w:div w:id="1459251912">
      <w:bodyDiv w:val="1"/>
      <w:marLeft w:val="0"/>
      <w:marRight w:val="0"/>
      <w:marTop w:val="0"/>
      <w:marBottom w:val="0"/>
      <w:divBdr>
        <w:top w:val="none" w:sz="0" w:space="0" w:color="auto"/>
        <w:left w:val="none" w:sz="0" w:space="0" w:color="auto"/>
        <w:bottom w:val="none" w:sz="0" w:space="0" w:color="auto"/>
        <w:right w:val="none" w:sz="0" w:space="0" w:color="auto"/>
      </w:divBdr>
    </w:div>
    <w:div w:id="1543593251">
      <w:bodyDiv w:val="1"/>
      <w:marLeft w:val="0"/>
      <w:marRight w:val="0"/>
      <w:marTop w:val="0"/>
      <w:marBottom w:val="0"/>
      <w:divBdr>
        <w:top w:val="none" w:sz="0" w:space="0" w:color="auto"/>
        <w:left w:val="none" w:sz="0" w:space="0" w:color="auto"/>
        <w:bottom w:val="none" w:sz="0" w:space="0" w:color="auto"/>
        <w:right w:val="none" w:sz="0" w:space="0" w:color="auto"/>
      </w:divBdr>
    </w:div>
    <w:div w:id="1558663890">
      <w:bodyDiv w:val="1"/>
      <w:marLeft w:val="0"/>
      <w:marRight w:val="0"/>
      <w:marTop w:val="0"/>
      <w:marBottom w:val="0"/>
      <w:divBdr>
        <w:top w:val="none" w:sz="0" w:space="0" w:color="auto"/>
        <w:left w:val="none" w:sz="0" w:space="0" w:color="auto"/>
        <w:bottom w:val="none" w:sz="0" w:space="0" w:color="auto"/>
        <w:right w:val="none" w:sz="0" w:space="0" w:color="auto"/>
      </w:divBdr>
    </w:div>
    <w:div w:id="1589339456">
      <w:bodyDiv w:val="1"/>
      <w:marLeft w:val="0"/>
      <w:marRight w:val="0"/>
      <w:marTop w:val="0"/>
      <w:marBottom w:val="0"/>
      <w:divBdr>
        <w:top w:val="none" w:sz="0" w:space="0" w:color="auto"/>
        <w:left w:val="none" w:sz="0" w:space="0" w:color="auto"/>
        <w:bottom w:val="none" w:sz="0" w:space="0" w:color="auto"/>
        <w:right w:val="none" w:sz="0" w:space="0" w:color="auto"/>
      </w:divBdr>
    </w:div>
    <w:div w:id="1635215781">
      <w:bodyDiv w:val="1"/>
      <w:marLeft w:val="0"/>
      <w:marRight w:val="0"/>
      <w:marTop w:val="0"/>
      <w:marBottom w:val="0"/>
      <w:divBdr>
        <w:top w:val="none" w:sz="0" w:space="0" w:color="auto"/>
        <w:left w:val="none" w:sz="0" w:space="0" w:color="auto"/>
        <w:bottom w:val="none" w:sz="0" w:space="0" w:color="auto"/>
        <w:right w:val="none" w:sz="0" w:space="0" w:color="auto"/>
      </w:divBdr>
    </w:div>
    <w:div w:id="1652447017">
      <w:bodyDiv w:val="1"/>
      <w:marLeft w:val="0"/>
      <w:marRight w:val="0"/>
      <w:marTop w:val="0"/>
      <w:marBottom w:val="0"/>
      <w:divBdr>
        <w:top w:val="none" w:sz="0" w:space="0" w:color="auto"/>
        <w:left w:val="none" w:sz="0" w:space="0" w:color="auto"/>
        <w:bottom w:val="none" w:sz="0" w:space="0" w:color="auto"/>
        <w:right w:val="none" w:sz="0" w:space="0" w:color="auto"/>
      </w:divBdr>
    </w:div>
    <w:div w:id="1652561831">
      <w:bodyDiv w:val="1"/>
      <w:marLeft w:val="0"/>
      <w:marRight w:val="0"/>
      <w:marTop w:val="0"/>
      <w:marBottom w:val="0"/>
      <w:divBdr>
        <w:top w:val="none" w:sz="0" w:space="0" w:color="auto"/>
        <w:left w:val="none" w:sz="0" w:space="0" w:color="auto"/>
        <w:bottom w:val="none" w:sz="0" w:space="0" w:color="auto"/>
        <w:right w:val="none" w:sz="0" w:space="0" w:color="auto"/>
      </w:divBdr>
    </w:div>
    <w:div w:id="1668365388">
      <w:bodyDiv w:val="1"/>
      <w:marLeft w:val="0"/>
      <w:marRight w:val="0"/>
      <w:marTop w:val="0"/>
      <w:marBottom w:val="0"/>
      <w:divBdr>
        <w:top w:val="none" w:sz="0" w:space="0" w:color="auto"/>
        <w:left w:val="none" w:sz="0" w:space="0" w:color="auto"/>
        <w:bottom w:val="none" w:sz="0" w:space="0" w:color="auto"/>
        <w:right w:val="none" w:sz="0" w:space="0" w:color="auto"/>
      </w:divBdr>
    </w:div>
    <w:div w:id="1676684930">
      <w:bodyDiv w:val="1"/>
      <w:marLeft w:val="0"/>
      <w:marRight w:val="0"/>
      <w:marTop w:val="0"/>
      <w:marBottom w:val="0"/>
      <w:divBdr>
        <w:top w:val="none" w:sz="0" w:space="0" w:color="auto"/>
        <w:left w:val="none" w:sz="0" w:space="0" w:color="auto"/>
        <w:bottom w:val="none" w:sz="0" w:space="0" w:color="auto"/>
        <w:right w:val="none" w:sz="0" w:space="0" w:color="auto"/>
      </w:divBdr>
    </w:div>
    <w:div w:id="1709179511">
      <w:bodyDiv w:val="1"/>
      <w:marLeft w:val="0"/>
      <w:marRight w:val="0"/>
      <w:marTop w:val="0"/>
      <w:marBottom w:val="0"/>
      <w:divBdr>
        <w:top w:val="none" w:sz="0" w:space="0" w:color="auto"/>
        <w:left w:val="none" w:sz="0" w:space="0" w:color="auto"/>
        <w:bottom w:val="none" w:sz="0" w:space="0" w:color="auto"/>
        <w:right w:val="none" w:sz="0" w:space="0" w:color="auto"/>
      </w:divBdr>
    </w:div>
    <w:div w:id="1926644065">
      <w:bodyDiv w:val="1"/>
      <w:marLeft w:val="0"/>
      <w:marRight w:val="0"/>
      <w:marTop w:val="0"/>
      <w:marBottom w:val="0"/>
      <w:divBdr>
        <w:top w:val="none" w:sz="0" w:space="0" w:color="auto"/>
        <w:left w:val="none" w:sz="0" w:space="0" w:color="auto"/>
        <w:bottom w:val="none" w:sz="0" w:space="0" w:color="auto"/>
        <w:right w:val="none" w:sz="0" w:space="0" w:color="auto"/>
      </w:divBdr>
    </w:div>
    <w:div w:id="2026246563">
      <w:bodyDiv w:val="1"/>
      <w:marLeft w:val="0"/>
      <w:marRight w:val="0"/>
      <w:marTop w:val="0"/>
      <w:marBottom w:val="0"/>
      <w:divBdr>
        <w:top w:val="none" w:sz="0" w:space="0" w:color="auto"/>
        <w:left w:val="none" w:sz="0" w:space="0" w:color="auto"/>
        <w:bottom w:val="none" w:sz="0" w:space="0" w:color="auto"/>
        <w:right w:val="none" w:sz="0" w:space="0" w:color="auto"/>
      </w:divBdr>
      <w:divsChild>
        <w:div w:id="276572375">
          <w:marLeft w:val="1080"/>
          <w:marRight w:val="0"/>
          <w:marTop w:val="100"/>
          <w:marBottom w:val="360"/>
          <w:divBdr>
            <w:top w:val="none" w:sz="0" w:space="0" w:color="auto"/>
            <w:left w:val="none" w:sz="0" w:space="0" w:color="auto"/>
            <w:bottom w:val="none" w:sz="0" w:space="0" w:color="auto"/>
            <w:right w:val="none" w:sz="0" w:space="0" w:color="auto"/>
          </w:divBdr>
        </w:div>
        <w:div w:id="755519716">
          <w:marLeft w:val="1080"/>
          <w:marRight w:val="0"/>
          <w:marTop w:val="100"/>
          <w:marBottom w:val="360"/>
          <w:divBdr>
            <w:top w:val="none" w:sz="0" w:space="0" w:color="auto"/>
            <w:left w:val="none" w:sz="0" w:space="0" w:color="auto"/>
            <w:bottom w:val="none" w:sz="0" w:space="0" w:color="auto"/>
            <w:right w:val="none" w:sz="0" w:space="0" w:color="auto"/>
          </w:divBdr>
        </w:div>
        <w:div w:id="1658413389">
          <w:marLeft w:val="1080"/>
          <w:marRight w:val="0"/>
          <w:marTop w:val="100"/>
          <w:marBottom w:val="36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2.png"/><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4.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5.xm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RO/ALL/?uri=CELEX%3A52023SC0339" TargetMode="External"/><Relationship Id="rId13" Type="http://schemas.openxmlformats.org/officeDocument/2006/relationships/hyperlink" Target="https://eur-lex.europa.eu/legal-content/EN/TXT/PDF/?uri=CELEX:52021DC0082&amp;from=EN" TargetMode="External"/><Relationship Id="rId18" Type="http://schemas.openxmlformats.org/officeDocument/2006/relationships/hyperlink" Target="https://eur-lex.europa.eu/legal-content/RO/TXT/HTML/?uri=CELEX:52023PC0416" TargetMode="External"/><Relationship Id="rId26" Type="http://schemas.openxmlformats.org/officeDocument/2006/relationships/hyperlink" Target="https://eur-lex.europa.eu/legal-content/RO/TXT/HTML/?uri=CELEX:52023DC0102" TargetMode="External"/><Relationship Id="rId39" Type="http://schemas.openxmlformats.org/officeDocument/2006/relationships/hyperlink" Target="https://www.ecb.europa.eu/pub/economic-bulletin/focus/2023/html/ecb.ebbox202306_05~f5ec994b9e.en.html" TargetMode="External"/><Relationship Id="rId3" Type="http://schemas.openxmlformats.org/officeDocument/2006/relationships/hyperlink" Target="https://www.eea.europa.eu/publications/european-climate-risk-assessment" TargetMode="External"/><Relationship Id="rId21" Type="http://schemas.openxmlformats.org/officeDocument/2006/relationships/hyperlink" Target="https://climate-risk-dashboard.climateanalytics.org/" TargetMode="External"/><Relationship Id="rId34" Type="http://schemas.openxmlformats.org/officeDocument/2006/relationships/hyperlink" Target="https://eurocodes.jrc.ec.europa.eu/2nd-generation/second-generation-eurocodes-what-new" TargetMode="External"/><Relationship Id="rId42" Type="http://schemas.openxmlformats.org/officeDocument/2006/relationships/hyperlink" Target="https://eur-lex.europa.eu/legal-content/RO/TXT/?uri=COM%3A2023%3A535%3AFIN" TargetMode="External"/><Relationship Id="rId7" Type="http://schemas.openxmlformats.org/officeDocument/2006/relationships/hyperlink" Target="https://www.consilium.europa.eu/media/67650/20231027-european-council-conclusions-ro.pdf" TargetMode="External"/><Relationship Id="rId12" Type="http://schemas.openxmlformats.org/officeDocument/2006/relationships/hyperlink" Target="https://eur-lex.europa.eu/legal-content/RO/TXT/HTML/?uri=CELEX:52023JC0019" TargetMode="External"/><Relationship Id="rId17" Type="http://schemas.openxmlformats.org/officeDocument/2006/relationships/hyperlink" Target="https://eur-lex.europa.eu/legal-content/RO/TXT/HTML/?uri=CELEX:52023PC0728" TargetMode="External"/><Relationship Id="rId25" Type="http://schemas.openxmlformats.org/officeDocument/2006/relationships/hyperlink" Target="https://www.ipcc.ch/assessment-report/ar6/" TargetMode="External"/><Relationship Id="rId33" Type="http://schemas.openxmlformats.org/officeDocument/2006/relationships/hyperlink" Target="https://osha.europa.eu/en/oshnews/heat-work-guidance-workplaces" TargetMode="External"/><Relationship Id="rId38" Type="http://schemas.openxmlformats.org/officeDocument/2006/relationships/hyperlink" Target="https://publications.jrc.ec.europa.eu/repository/handle/JRC136274" TargetMode="External"/><Relationship Id="rId2" Type="http://schemas.openxmlformats.org/officeDocument/2006/relationships/hyperlink" Target="https://climate.copernicus.eu/copernicus-2023-hottest-year-record" TargetMode="External"/><Relationship Id="rId16" Type="http://schemas.openxmlformats.org/officeDocument/2006/relationships/hyperlink" Target="https://www.wekeo.eu/" TargetMode="External"/><Relationship Id="rId20" Type="http://schemas.openxmlformats.org/officeDocument/2006/relationships/hyperlink" Target="https://drmkc.jrc.ec.europa.eu/risk-data-hub" TargetMode="External"/><Relationship Id="rId29" Type="http://schemas.openxmlformats.org/officeDocument/2006/relationships/hyperlink" Target="https://health.ec.europa.eu/non-communicable-diseases/healthier-together-eu-non-communicable-diseases-initiative_en" TargetMode="External"/><Relationship Id="rId41" Type="http://schemas.openxmlformats.org/officeDocument/2006/relationships/hyperlink" Target="https://eur-lex.europa.eu/legal-content/RO/TXT/?uri=CELEX%3A52023JC0020" TargetMode="External"/><Relationship Id="rId1" Type="http://schemas.openxmlformats.org/officeDocument/2006/relationships/hyperlink" Target="https://eur-lex.europa.eu/legal-content/RO/TXT/HTML/?uri=CELEX:52024DC0063" TargetMode="External"/><Relationship Id="rId6" Type="http://schemas.openxmlformats.org/officeDocument/2006/relationships/hyperlink" Target="https://www.europarl.europa.eu/doceo/document/TA-9-2022-0330_RO.html" TargetMode="External"/><Relationship Id="rId11" Type="http://schemas.openxmlformats.org/officeDocument/2006/relationships/hyperlink" Target="https://civil-protection-humanitarian-aid.ec.europa.eu/what/civil-protection/european-disaster-risk-management_en" TargetMode="External"/><Relationship Id="rId24" Type="http://schemas.openxmlformats.org/officeDocument/2006/relationships/hyperlink" Target="https://eur-lex.europa.eu/legal-content/RO/TXT/?uri=CELEX:52023DC0061" TargetMode="External"/><Relationship Id="rId32" Type="http://schemas.openxmlformats.org/officeDocument/2006/relationships/hyperlink" Target="https://www.cop28.com/en/cop28-uae-declaration-on-climate-and-health" TargetMode="External"/><Relationship Id="rId37" Type="http://schemas.openxmlformats.org/officeDocument/2006/relationships/hyperlink" Target="https://eur-lex.europa.eu/legal-content/RO/TXT/HTML/?uri=CELEX:52022DC0409" TargetMode="External"/><Relationship Id="rId40" Type="http://schemas.openxmlformats.org/officeDocument/2006/relationships/hyperlink" Target="https://eur-lex.europa.eu/legal-content/ro/ALL/?uri=CELEX%3A52020DC0103" TargetMode="External"/><Relationship Id="rId5" Type="http://schemas.openxmlformats.org/officeDocument/2006/relationships/hyperlink" Target="https://www.ecb.europa.eu/press/pr/date/2023/html/ecb.pr231218_1~6b3bea9532.en.html" TargetMode="External"/><Relationship Id="rId15" Type="http://schemas.openxmlformats.org/officeDocument/2006/relationships/hyperlink" Target="https://dataspace.copernicus.eu/" TargetMode="External"/><Relationship Id="rId23" Type="http://schemas.openxmlformats.org/officeDocument/2006/relationships/hyperlink" Target="https://new-european-bauhaus.europa.eu/get-involved/use-compass_en" TargetMode="External"/><Relationship Id="rId28" Type="http://schemas.openxmlformats.org/officeDocument/2006/relationships/hyperlink" Target="https://www.exhaustion.eu/" TargetMode="External"/><Relationship Id="rId36" Type="http://schemas.openxmlformats.org/officeDocument/2006/relationships/hyperlink" Target="http://www.tradeministersonclimate.org/" TargetMode="External"/><Relationship Id="rId10" Type="http://schemas.openxmlformats.org/officeDocument/2006/relationships/hyperlink" Target="https://commission.europa.eu/energy-climate-change-environment/implementation-eu-countries/energy-and-climate-governance-and-reporting/national-energy-and-climate-plans_en?prefLang=ro" TargetMode="External"/><Relationship Id="rId19" Type="http://schemas.openxmlformats.org/officeDocument/2006/relationships/hyperlink" Target="https://climate-adapt.eea.europa.eu/en/knowledge/european-climate-data-explorer/" TargetMode="External"/><Relationship Id="rId31" Type="http://schemas.openxmlformats.org/officeDocument/2006/relationships/hyperlink" Target="https://www.who.int/europe/publications/i/item/EURO-Budapest2023-6" TargetMode="External"/><Relationship Id="rId4" Type="http://schemas.openxmlformats.org/officeDocument/2006/relationships/hyperlink" Target="https://www.weforum.org/publications/global-risks-report-2024/" TargetMode="External"/><Relationship Id="rId9" Type="http://schemas.openxmlformats.org/officeDocument/2006/relationships/hyperlink" Target="https://climate.ec.europa.eu/system/files/2023-12/SWD_2023_932_1_EN.pdf" TargetMode="External"/><Relationship Id="rId14" Type="http://schemas.openxmlformats.org/officeDocument/2006/relationships/hyperlink" Target="https://climate.ec.europa.eu/document/download/768bc81f-5f48-48e3-b4d4-e02ba09faca1_en" TargetMode="External"/><Relationship Id="rId22" Type="http://schemas.openxmlformats.org/officeDocument/2006/relationships/hyperlink" Target="https://eur-lex.europa.eu/legal-content/RO/ALL/?uri=COM:2023:667:FIN" TargetMode="External"/><Relationship Id="rId27" Type="http://schemas.openxmlformats.org/officeDocument/2006/relationships/hyperlink" Target="https://research-and-innovation.ec.europa.eu/funding/funding-opportunities/funding-programmes-and-open-calls/horizon-europe/eu-missions-horizon-europe/restore-our-ocean-and-waters_ro" TargetMode="External"/><Relationship Id="rId30" Type="http://schemas.openxmlformats.org/officeDocument/2006/relationships/hyperlink" Target="https://health.ec.europa.eu/publications/comprehensive-approach-mental-health_en" TargetMode="External"/><Relationship Id="rId35" Type="http://schemas.openxmlformats.org/officeDocument/2006/relationships/hyperlink" Target="https://climate.ec.europa.eu/document/download/768bc81f-5f48-48e3-b4d4-e02ba09faca1_en" TargetMode="External"/><Relationship Id="rId43" Type="http://schemas.openxmlformats.org/officeDocument/2006/relationships/hyperlink" Target="https://eur-lex.europa.eu/legal-content/RO/TXT/HTML/?uri=CELEX:52023PC02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CFDF3D715AA394A9B15E0E0FAA07E37" ma:contentTypeVersion="19" ma:contentTypeDescription="Create a new document." ma:contentTypeScope="" ma:versionID="5bf29b2a3c6ecafbb31bdd03e5262a3d">
  <xsd:schema xmlns:xsd="http://www.w3.org/2001/XMLSchema" xmlns:xs="http://www.w3.org/2001/XMLSchema" xmlns:p="http://schemas.microsoft.com/office/2006/metadata/properties" xmlns:ns1="http://schemas.microsoft.com/sharepoint/v3" xmlns:ns2="33e07890-6196-4e26-9dd2-53178dae8e48" xmlns:ns3="faa54b14-608b-44ba-8621-4287d9574b27" targetNamespace="http://schemas.microsoft.com/office/2006/metadata/properties" ma:root="true" ma:fieldsID="cc6c822d7742d136d6b2ce621399e9cf" ns1:_="" ns2:_="" ns3:_="">
    <xsd:import namespace="http://schemas.microsoft.com/sharepoint/v3"/>
    <xsd:import namespace="33e07890-6196-4e26-9dd2-53178dae8e48"/>
    <xsd:import namespace="faa54b14-608b-44ba-8621-4287d9574b2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Location" minOccurs="0"/>
                <xsd:element ref="ns2:MediaServiceGenerationTime" minOccurs="0"/>
                <xsd:element ref="ns2:MediaServiceEventHashCode" minOccurs="0"/>
                <xsd:element ref="ns2:MediaServiceOCR" minOccurs="0"/>
                <xsd:element ref="ns1:_ip_UnifiedCompliancePolicyProperties" minOccurs="0"/>
                <xsd:element ref="ns1:_ip_UnifiedCompliancePolicyUIAction"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e07890-6196-4e26-9dd2-53178dae8e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aa54b14-608b-44ba-8621-4287d9574b2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e2d1171-1b20-46c7-b5af-210c5dce4f7c}" ma:internalName="TaxCatchAll" ma:showField="CatchAllData" ma:web="faa54b14-608b-44ba-8621-4287d9574b2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33e07890-6196-4e26-9dd2-53178dae8e48">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TaxCatchAll xmlns="faa54b14-608b-44ba-8621-4287d9574b27"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ED45BD-9959-4C35-B33C-C6B8397C3E22}">
  <ds:schemaRefs>
    <ds:schemaRef ds:uri="http://schemas.microsoft.com/sharepoint/v3/contenttype/forms"/>
  </ds:schemaRefs>
</ds:datastoreItem>
</file>

<file path=customXml/itemProps2.xml><?xml version="1.0" encoding="utf-8"?>
<ds:datastoreItem xmlns:ds="http://schemas.openxmlformats.org/officeDocument/2006/customXml" ds:itemID="{FE6E9AAA-56B9-46EF-B05C-1F80F5D0FD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3e07890-6196-4e26-9dd2-53178dae8e48"/>
    <ds:schemaRef ds:uri="faa54b14-608b-44ba-8621-4287d9574b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3FF0186-E0D7-4E5E-B46D-6F54AD0AB0DF}">
  <ds:schemaRefs>
    <ds:schemaRef ds:uri="http://schemas.microsoft.com/office/2006/metadata/properties"/>
    <ds:schemaRef ds:uri="http://schemas.microsoft.com/office/infopath/2007/PartnerControls"/>
    <ds:schemaRef ds:uri="http://schemas.microsoft.com/sharepoint/v3"/>
    <ds:schemaRef ds:uri="33e07890-6196-4e26-9dd2-53178dae8e48"/>
    <ds:schemaRef ds:uri="faa54b14-608b-44ba-8621-4287d9574b27"/>
  </ds:schemaRefs>
</ds:datastoreItem>
</file>

<file path=customXml/itemProps4.xml><?xml version="1.0" encoding="utf-8"?>
<ds:datastoreItem xmlns:ds="http://schemas.openxmlformats.org/officeDocument/2006/customXml" ds:itemID="{85D7E0AB-6ECA-4340-9F3C-011690F3E3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11240</Words>
  <Characters>64068</Characters>
  <Application>Microsoft Office Word</Application>
  <DocSecurity>0</DocSecurity>
  <Lines>533</Lines>
  <Paragraphs>150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75158</CharactersWithSpaces>
  <SharedDoc>false</SharedDoc>
  <HLinks>
    <vt:vector size="264" baseType="variant">
      <vt:variant>
        <vt:i4>7208998</vt:i4>
      </vt:variant>
      <vt:variant>
        <vt:i4>132</vt:i4>
      </vt:variant>
      <vt:variant>
        <vt:i4>0</vt:i4>
      </vt:variant>
      <vt:variant>
        <vt:i4>5</vt:i4>
      </vt:variant>
      <vt:variant>
        <vt:lpwstr>https://eur-lex.europa.eu/legal-content/EN/TXT/?uri=CELEX%3A52023PC0240</vt:lpwstr>
      </vt:variant>
      <vt:variant>
        <vt:lpwstr/>
      </vt:variant>
      <vt:variant>
        <vt:i4>8257634</vt:i4>
      </vt:variant>
      <vt:variant>
        <vt:i4>129</vt:i4>
      </vt:variant>
      <vt:variant>
        <vt:i4>0</vt:i4>
      </vt:variant>
      <vt:variant>
        <vt:i4>5</vt:i4>
      </vt:variant>
      <vt:variant>
        <vt:lpwstr>https://eur-lex.europa.eu/legal-content/EN/TXT/?uri=COM%3A2023%3A535%3AFIN</vt:lpwstr>
      </vt:variant>
      <vt:variant>
        <vt:lpwstr/>
      </vt:variant>
      <vt:variant>
        <vt:i4>7471140</vt:i4>
      </vt:variant>
      <vt:variant>
        <vt:i4>126</vt:i4>
      </vt:variant>
      <vt:variant>
        <vt:i4>0</vt:i4>
      </vt:variant>
      <vt:variant>
        <vt:i4>5</vt:i4>
      </vt:variant>
      <vt:variant>
        <vt:lpwstr>https://eur-lex.europa.eu/legal-content/EN/TXT/?uri=CELEX%3A52023JC0020</vt:lpwstr>
      </vt:variant>
      <vt:variant>
        <vt:lpwstr/>
      </vt:variant>
      <vt:variant>
        <vt:i4>7536690</vt:i4>
      </vt:variant>
      <vt:variant>
        <vt:i4>123</vt:i4>
      </vt:variant>
      <vt:variant>
        <vt:i4>0</vt:i4>
      </vt:variant>
      <vt:variant>
        <vt:i4>5</vt:i4>
      </vt:variant>
      <vt:variant>
        <vt:lpwstr>https://eur-lex.europa.eu/legal-content/en/ALL/?uri=CELEX%3A52020DC0103</vt:lpwstr>
      </vt:variant>
      <vt:variant>
        <vt:lpwstr/>
      </vt:variant>
      <vt:variant>
        <vt:i4>3407966</vt:i4>
      </vt:variant>
      <vt:variant>
        <vt:i4>120</vt:i4>
      </vt:variant>
      <vt:variant>
        <vt:i4>0</vt:i4>
      </vt:variant>
      <vt:variant>
        <vt:i4>5</vt:i4>
      </vt:variant>
      <vt:variant>
        <vt:lpwstr>https://www.ecb.europa.eu/pub/economic-bulletin/focus/2023/html/ecb.ebbox202306_05~f5ec994b9e.en.html</vt:lpwstr>
      </vt:variant>
      <vt:variant>
        <vt:lpwstr/>
      </vt:variant>
      <vt:variant>
        <vt:i4>131136</vt:i4>
      </vt:variant>
      <vt:variant>
        <vt:i4>117</vt:i4>
      </vt:variant>
      <vt:variant>
        <vt:i4>0</vt:i4>
      </vt:variant>
      <vt:variant>
        <vt:i4>5</vt:i4>
      </vt:variant>
      <vt:variant>
        <vt:lpwstr>https://publications.jrc.ec.europa.eu/repository/handle/JRC136274</vt:lpwstr>
      </vt:variant>
      <vt:variant>
        <vt:lpwstr/>
      </vt:variant>
      <vt:variant>
        <vt:i4>8257569</vt:i4>
      </vt:variant>
      <vt:variant>
        <vt:i4>114</vt:i4>
      </vt:variant>
      <vt:variant>
        <vt:i4>0</vt:i4>
      </vt:variant>
      <vt:variant>
        <vt:i4>5</vt:i4>
      </vt:variant>
      <vt:variant>
        <vt:lpwstr>https://eur-lex.europa.eu/legal-content/EN/TXT/?uri=CELEX%3A52022DC0409</vt:lpwstr>
      </vt:variant>
      <vt:variant>
        <vt:lpwstr/>
      </vt:variant>
      <vt:variant>
        <vt:i4>3407975</vt:i4>
      </vt:variant>
      <vt:variant>
        <vt:i4>111</vt:i4>
      </vt:variant>
      <vt:variant>
        <vt:i4>0</vt:i4>
      </vt:variant>
      <vt:variant>
        <vt:i4>5</vt:i4>
      </vt:variant>
      <vt:variant>
        <vt:lpwstr>http://www.tradeministersonclimate.org/</vt:lpwstr>
      </vt:variant>
      <vt:variant>
        <vt:lpwstr/>
      </vt:variant>
      <vt:variant>
        <vt:i4>5767227</vt:i4>
      </vt:variant>
      <vt:variant>
        <vt:i4>108</vt:i4>
      </vt:variant>
      <vt:variant>
        <vt:i4>0</vt:i4>
      </vt:variant>
      <vt:variant>
        <vt:i4>5</vt:i4>
      </vt:variant>
      <vt:variant>
        <vt:lpwstr>https://climate.ec.europa.eu/document/download/768bc81f-5f48-48e3-b4d4-e02ba09faca1_en</vt:lpwstr>
      </vt:variant>
      <vt:variant>
        <vt:lpwstr/>
      </vt:variant>
      <vt:variant>
        <vt:i4>3014781</vt:i4>
      </vt:variant>
      <vt:variant>
        <vt:i4>105</vt:i4>
      </vt:variant>
      <vt:variant>
        <vt:i4>0</vt:i4>
      </vt:variant>
      <vt:variant>
        <vt:i4>5</vt:i4>
      </vt:variant>
      <vt:variant>
        <vt:lpwstr>https://eurocodes.jrc.ec.europa.eu/2nd-generation/second-generation-eurocodes-what-new</vt:lpwstr>
      </vt:variant>
      <vt:variant>
        <vt:lpwstr/>
      </vt:variant>
      <vt:variant>
        <vt:i4>6422573</vt:i4>
      </vt:variant>
      <vt:variant>
        <vt:i4>102</vt:i4>
      </vt:variant>
      <vt:variant>
        <vt:i4>0</vt:i4>
      </vt:variant>
      <vt:variant>
        <vt:i4>5</vt:i4>
      </vt:variant>
      <vt:variant>
        <vt:lpwstr>https://osha.europa.eu/en/oshnews/heat-work-guidance-workplaces</vt:lpwstr>
      </vt:variant>
      <vt:variant>
        <vt:lpwstr/>
      </vt:variant>
      <vt:variant>
        <vt:i4>1441862</vt:i4>
      </vt:variant>
      <vt:variant>
        <vt:i4>99</vt:i4>
      </vt:variant>
      <vt:variant>
        <vt:i4>0</vt:i4>
      </vt:variant>
      <vt:variant>
        <vt:i4>5</vt:i4>
      </vt:variant>
      <vt:variant>
        <vt:lpwstr>https://www.cop28.com/en/cop28-uae-declaration-on-climate-and-health</vt:lpwstr>
      </vt:variant>
      <vt:variant>
        <vt:lpwstr/>
      </vt:variant>
      <vt:variant>
        <vt:i4>4063335</vt:i4>
      </vt:variant>
      <vt:variant>
        <vt:i4>96</vt:i4>
      </vt:variant>
      <vt:variant>
        <vt:i4>0</vt:i4>
      </vt:variant>
      <vt:variant>
        <vt:i4>5</vt:i4>
      </vt:variant>
      <vt:variant>
        <vt:lpwstr>https://www.who.int/europe/publications/i/item/EURO-Budapest2023-6</vt:lpwstr>
      </vt:variant>
      <vt:variant>
        <vt:lpwstr/>
      </vt:variant>
      <vt:variant>
        <vt:i4>7274505</vt:i4>
      </vt:variant>
      <vt:variant>
        <vt:i4>93</vt:i4>
      </vt:variant>
      <vt:variant>
        <vt:i4>0</vt:i4>
      </vt:variant>
      <vt:variant>
        <vt:i4>5</vt:i4>
      </vt:variant>
      <vt:variant>
        <vt:lpwstr>https://health.ec.europa.eu/publications/comprehensive-approach-mental-health_en</vt:lpwstr>
      </vt:variant>
      <vt:variant>
        <vt:lpwstr/>
      </vt:variant>
      <vt:variant>
        <vt:i4>7012420</vt:i4>
      </vt:variant>
      <vt:variant>
        <vt:i4>90</vt:i4>
      </vt:variant>
      <vt:variant>
        <vt:i4>0</vt:i4>
      </vt:variant>
      <vt:variant>
        <vt:i4>5</vt:i4>
      </vt:variant>
      <vt:variant>
        <vt:lpwstr>https://health.ec.europa.eu/non-communicable-diseases/healthier-together-eu-non-communicable-diseases-initiative_en</vt:lpwstr>
      </vt:variant>
      <vt:variant>
        <vt:lpwstr/>
      </vt:variant>
      <vt:variant>
        <vt:i4>7274616</vt:i4>
      </vt:variant>
      <vt:variant>
        <vt:i4>87</vt:i4>
      </vt:variant>
      <vt:variant>
        <vt:i4>0</vt:i4>
      </vt:variant>
      <vt:variant>
        <vt:i4>5</vt:i4>
      </vt:variant>
      <vt:variant>
        <vt:lpwstr>https://www.exhaustion.eu/</vt:lpwstr>
      </vt:variant>
      <vt:variant>
        <vt:lpwstr/>
      </vt:variant>
      <vt:variant>
        <vt:i4>1704042</vt:i4>
      </vt:variant>
      <vt:variant>
        <vt:i4>84</vt:i4>
      </vt:variant>
      <vt:variant>
        <vt:i4>0</vt:i4>
      </vt:variant>
      <vt:variant>
        <vt:i4>5</vt:i4>
      </vt:variant>
      <vt:variant>
        <vt:lpwstr>https://research-and-innovation.ec.europa.eu/funding/funding-opportunities/funding-programmes-and-open-calls/horizon-europe/eu-missions-horizon-europe/restore-our-ocean-and-waters_en</vt:lpwstr>
      </vt:variant>
      <vt:variant>
        <vt:lpwstr/>
      </vt:variant>
      <vt:variant>
        <vt:i4>8257573</vt:i4>
      </vt:variant>
      <vt:variant>
        <vt:i4>81</vt:i4>
      </vt:variant>
      <vt:variant>
        <vt:i4>0</vt:i4>
      </vt:variant>
      <vt:variant>
        <vt:i4>5</vt:i4>
      </vt:variant>
      <vt:variant>
        <vt:lpwstr>https://eur-lex.europa.eu/legal-content/EN/TXT/?uri=CELEX%3A52023DC0102</vt:lpwstr>
      </vt:variant>
      <vt:variant>
        <vt:lpwstr/>
      </vt:variant>
      <vt:variant>
        <vt:i4>2359411</vt:i4>
      </vt:variant>
      <vt:variant>
        <vt:i4>78</vt:i4>
      </vt:variant>
      <vt:variant>
        <vt:i4>0</vt:i4>
      </vt:variant>
      <vt:variant>
        <vt:i4>5</vt:i4>
      </vt:variant>
      <vt:variant>
        <vt:lpwstr>https://www.worldbank.org/en/publication/changing-wealth-of-nations</vt:lpwstr>
      </vt:variant>
      <vt:variant>
        <vt:lpwstr/>
      </vt:variant>
      <vt:variant>
        <vt:i4>6357098</vt:i4>
      </vt:variant>
      <vt:variant>
        <vt:i4>72</vt:i4>
      </vt:variant>
      <vt:variant>
        <vt:i4>0</vt:i4>
      </vt:variant>
      <vt:variant>
        <vt:i4>5</vt:i4>
      </vt:variant>
      <vt:variant>
        <vt:lpwstr>https://www.ipcc.ch/assessment-report/ar6/</vt:lpwstr>
      </vt:variant>
      <vt:variant>
        <vt:lpwstr/>
      </vt:variant>
      <vt:variant>
        <vt:i4>393239</vt:i4>
      </vt:variant>
      <vt:variant>
        <vt:i4>69</vt:i4>
      </vt:variant>
      <vt:variant>
        <vt:i4>0</vt:i4>
      </vt:variant>
      <vt:variant>
        <vt:i4>5</vt:i4>
      </vt:variant>
      <vt:variant>
        <vt:lpwstr>https://eur-lex.europa.eu/legal-content/EN/TXT/?uri=CELEX:52023DC0061</vt:lpwstr>
      </vt:variant>
      <vt:variant>
        <vt:lpwstr/>
      </vt:variant>
      <vt:variant>
        <vt:i4>5767203</vt:i4>
      </vt:variant>
      <vt:variant>
        <vt:i4>66</vt:i4>
      </vt:variant>
      <vt:variant>
        <vt:i4>0</vt:i4>
      </vt:variant>
      <vt:variant>
        <vt:i4>5</vt:i4>
      </vt:variant>
      <vt:variant>
        <vt:lpwstr>https://new-european-bauhaus.europa.eu/get-involved/use-compass_en</vt:lpwstr>
      </vt:variant>
      <vt:variant>
        <vt:lpwstr/>
      </vt:variant>
      <vt:variant>
        <vt:i4>786496</vt:i4>
      </vt:variant>
      <vt:variant>
        <vt:i4>63</vt:i4>
      </vt:variant>
      <vt:variant>
        <vt:i4>0</vt:i4>
      </vt:variant>
      <vt:variant>
        <vt:i4>5</vt:i4>
      </vt:variant>
      <vt:variant>
        <vt:lpwstr>https://eur-lex.europa.eu/legal-content/EN/ALL/?uri=COM:2023:667:FIN</vt:lpwstr>
      </vt:variant>
      <vt:variant>
        <vt:lpwstr/>
      </vt:variant>
      <vt:variant>
        <vt:i4>5439558</vt:i4>
      </vt:variant>
      <vt:variant>
        <vt:i4>60</vt:i4>
      </vt:variant>
      <vt:variant>
        <vt:i4>0</vt:i4>
      </vt:variant>
      <vt:variant>
        <vt:i4>5</vt:i4>
      </vt:variant>
      <vt:variant>
        <vt:lpwstr>https://climate-risk-dashboard.climateanalytics.org/</vt:lpwstr>
      </vt:variant>
      <vt:variant>
        <vt:lpwstr/>
      </vt:variant>
      <vt:variant>
        <vt:i4>196668</vt:i4>
      </vt:variant>
      <vt:variant>
        <vt:i4>57</vt:i4>
      </vt:variant>
      <vt:variant>
        <vt:i4>0</vt:i4>
      </vt:variant>
      <vt:variant>
        <vt:i4>5</vt:i4>
      </vt:variant>
      <vt:variant>
        <vt:lpwstr>https://drmkc.jrc.ec.europa.eu/risk-data-hub</vt:lpwstr>
      </vt:variant>
      <vt:variant>
        <vt:lpwstr>/</vt:lpwstr>
      </vt:variant>
      <vt:variant>
        <vt:i4>5046346</vt:i4>
      </vt:variant>
      <vt:variant>
        <vt:i4>54</vt:i4>
      </vt:variant>
      <vt:variant>
        <vt:i4>0</vt:i4>
      </vt:variant>
      <vt:variant>
        <vt:i4>5</vt:i4>
      </vt:variant>
      <vt:variant>
        <vt:lpwstr>https://climate-adapt.eea.europa.eu/en/knowledge/european-climate-data-explorer/</vt:lpwstr>
      </vt:variant>
      <vt:variant>
        <vt:lpwstr/>
      </vt:variant>
      <vt:variant>
        <vt:i4>7012384</vt:i4>
      </vt:variant>
      <vt:variant>
        <vt:i4>51</vt:i4>
      </vt:variant>
      <vt:variant>
        <vt:i4>0</vt:i4>
      </vt:variant>
      <vt:variant>
        <vt:i4>5</vt:i4>
      </vt:variant>
      <vt:variant>
        <vt:lpwstr>https://eur-lex.europa.eu/legal-content/EN/TXT/?uri=CELEX%3A52023PC0416</vt:lpwstr>
      </vt:variant>
      <vt:variant>
        <vt:lpwstr/>
      </vt:variant>
      <vt:variant>
        <vt:i4>7405667</vt:i4>
      </vt:variant>
      <vt:variant>
        <vt:i4>48</vt:i4>
      </vt:variant>
      <vt:variant>
        <vt:i4>0</vt:i4>
      </vt:variant>
      <vt:variant>
        <vt:i4>5</vt:i4>
      </vt:variant>
      <vt:variant>
        <vt:lpwstr>https://eur-lex.europa.eu/legal-content/EN/TXT/?uri=COM%3A2023%3A728%3AFIN</vt:lpwstr>
      </vt:variant>
      <vt:variant>
        <vt:lpwstr/>
      </vt:variant>
      <vt:variant>
        <vt:i4>1245270</vt:i4>
      </vt:variant>
      <vt:variant>
        <vt:i4>45</vt:i4>
      </vt:variant>
      <vt:variant>
        <vt:i4>0</vt:i4>
      </vt:variant>
      <vt:variant>
        <vt:i4>5</vt:i4>
      </vt:variant>
      <vt:variant>
        <vt:lpwstr>https://www.wekeo.eu/</vt:lpwstr>
      </vt:variant>
      <vt:variant>
        <vt:lpwstr/>
      </vt:variant>
      <vt:variant>
        <vt:i4>1179649</vt:i4>
      </vt:variant>
      <vt:variant>
        <vt:i4>42</vt:i4>
      </vt:variant>
      <vt:variant>
        <vt:i4>0</vt:i4>
      </vt:variant>
      <vt:variant>
        <vt:i4>5</vt:i4>
      </vt:variant>
      <vt:variant>
        <vt:lpwstr>https://dataspace.copernicus.eu/</vt:lpwstr>
      </vt:variant>
      <vt:variant>
        <vt:lpwstr/>
      </vt:variant>
      <vt:variant>
        <vt:i4>5767227</vt:i4>
      </vt:variant>
      <vt:variant>
        <vt:i4>39</vt:i4>
      </vt:variant>
      <vt:variant>
        <vt:i4>0</vt:i4>
      </vt:variant>
      <vt:variant>
        <vt:i4>5</vt:i4>
      </vt:variant>
      <vt:variant>
        <vt:lpwstr>https://climate.ec.europa.eu/document/download/768bc81f-5f48-48e3-b4d4-e02ba09faca1_en</vt:lpwstr>
      </vt:variant>
      <vt:variant>
        <vt:lpwstr/>
      </vt:variant>
      <vt:variant>
        <vt:i4>4325464</vt:i4>
      </vt:variant>
      <vt:variant>
        <vt:i4>36</vt:i4>
      </vt:variant>
      <vt:variant>
        <vt:i4>0</vt:i4>
      </vt:variant>
      <vt:variant>
        <vt:i4>5</vt:i4>
      </vt:variant>
      <vt:variant>
        <vt:lpwstr>https://eur-lex.europa.eu/legal-content/EN/TXT/PDF/?uri=CELEX:52021DC0082&amp;from=EN</vt:lpwstr>
      </vt:variant>
      <vt:variant>
        <vt:lpwstr/>
      </vt:variant>
      <vt:variant>
        <vt:i4>7405604</vt:i4>
      </vt:variant>
      <vt:variant>
        <vt:i4>33</vt:i4>
      </vt:variant>
      <vt:variant>
        <vt:i4>0</vt:i4>
      </vt:variant>
      <vt:variant>
        <vt:i4>5</vt:i4>
      </vt:variant>
      <vt:variant>
        <vt:lpwstr>https://eur-lex.europa.eu/legal-content/EN/TXT/?uri=CELEX%3A52023JC0019</vt:lpwstr>
      </vt:variant>
      <vt:variant>
        <vt:lpwstr/>
      </vt:variant>
      <vt:variant>
        <vt:i4>589885</vt:i4>
      </vt:variant>
      <vt:variant>
        <vt:i4>30</vt:i4>
      </vt:variant>
      <vt:variant>
        <vt:i4>0</vt:i4>
      </vt:variant>
      <vt:variant>
        <vt:i4>5</vt:i4>
      </vt:variant>
      <vt:variant>
        <vt:lpwstr>https://civil-protection-humanitarian-aid.ec.europa.eu/what/civil-protection/european-disaster-risk-management_en</vt:lpwstr>
      </vt:variant>
      <vt:variant>
        <vt:lpwstr/>
      </vt:variant>
      <vt:variant>
        <vt:i4>7798798</vt:i4>
      </vt:variant>
      <vt:variant>
        <vt:i4>27</vt:i4>
      </vt:variant>
      <vt:variant>
        <vt:i4>0</vt:i4>
      </vt:variant>
      <vt:variant>
        <vt:i4>5</vt:i4>
      </vt:variant>
      <vt:variant>
        <vt:lpwstr>https://commission.europa.eu/energy-climate-change-environment/implementation-eu-countries/energy-and-climate-governance-and-reporting/national-energy-and-climate-plans_en</vt:lpwstr>
      </vt:variant>
      <vt:variant>
        <vt:lpwstr/>
      </vt:variant>
      <vt:variant>
        <vt:i4>6226007</vt:i4>
      </vt:variant>
      <vt:variant>
        <vt:i4>24</vt:i4>
      </vt:variant>
      <vt:variant>
        <vt:i4>0</vt:i4>
      </vt:variant>
      <vt:variant>
        <vt:i4>5</vt:i4>
      </vt:variant>
      <vt:variant>
        <vt:lpwstr>https://climate.ec.europa.eu/system/files/2023-12/SWD_2023_932_1_EN.pdf</vt:lpwstr>
      </vt:variant>
      <vt:variant>
        <vt:lpwstr/>
      </vt:variant>
      <vt:variant>
        <vt:i4>1638400</vt:i4>
      </vt:variant>
      <vt:variant>
        <vt:i4>21</vt:i4>
      </vt:variant>
      <vt:variant>
        <vt:i4>0</vt:i4>
      </vt:variant>
      <vt:variant>
        <vt:i4>5</vt:i4>
      </vt:variant>
      <vt:variant>
        <vt:lpwstr>https://eur-lex.europa.eu/legal-content/EN/ALL/?uri=CELEX:52023SC0339</vt:lpwstr>
      </vt:variant>
      <vt:variant>
        <vt:lpwstr/>
      </vt:variant>
      <vt:variant>
        <vt:i4>131099</vt:i4>
      </vt:variant>
      <vt:variant>
        <vt:i4>18</vt:i4>
      </vt:variant>
      <vt:variant>
        <vt:i4>0</vt:i4>
      </vt:variant>
      <vt:variant>
        <vt:i4>5</vt:i4>
      </vt:variant>
      <vt:variant>
        <vt:lpwstr>https://www.consilium.europa.eu/media/67627/20241027-european-council-conclusions.pdf</vt:lpwstr>
      </vt:variant>
      <vt:variant>
        <vt:lpwstr/>
      </vt:variant>
      <vt:variant>
        <vt:i4>327717</vt:i4>
      </vt:variant>
      <vt:variant>
        <vt:i4>15</vt:i4>
      </vt:variant>
      <vt:variant>
        <vt:i4>0</vt:i4>
      </vt:variant>
      <vt:variant>
        <vt:i4>5</vt:i4>
      </vt:variant>
      <vt:variant>
        <vt:lpwstr>https://www.europarl.europa.eu/doceo/document/TA-9-2022-0330_EN.html</vt:lpwstr>
      </vt:variant>
      <vt:variant>
        <vt:lpwstr/>
      </vt:variant>
      <vt:variant>
        <vt:i4>6684748</vt:i4>
      </vt:variant>
      <vt:variant>
        <vt:i4>12</vt:i4>
      </vt:variant>
      <vt:variant>
        <vt:i4>0</vt:i4>
      </vt:variant>
      <vt:variant>
        <vt:i4>5</vt:i4>
      </vt:variant>
      <vt:variant>
        <vt:lpwstr>https://www.ecb.europa.eu/press/pr/date/2023/html/ecb.pr231218_1~6b3bea9532.en.html</vt:lpwstr>
      </vt:variant>
      <vt:variant>
        <vt:lpwstr/>
      </vt:variant>
      <vt:variant>
        <vt:i4>7077949</vt:i4>
      </vt:variant>
      <vt:variant>
        <vt:i4>9</vt:i4>
      </vt:variant>
      <vt:variant>
        <vt:i4>0</vt:i4>
      </vt:variant>
      <vt:variant>
        <vt:i4>5</vt:i4>
      </vt:variant>
      <vt:variant>
        <vt:lpwstr>https://www.weforum.org/publications/global-risks-report-2024/</vt:lpwstr>
      </vt:variant>
      <vt:variant>
        <vt:lpwstr/>
      </vt:variant>
      <vt:variant>
        <vt:i4>3342457</vt:i4>
      </vt:variant>
      <vt:variant>
        <vt:i4>6</vt:i4>
      </vt:variant>
      <vt:variant>
        <vt:i4>0</vt:i4>
      </vt:variant>
      <vt:variant>
        <vt:i4>5</vt:i4>
      </vt:variant>
      <vt:variant>
        <vt:lpwstr>https://www.eea.europa.eu/publications/european-climate-risk-assessment</vt:lpwstr>
      </vt:variant>
      <vt:variant>
        <vt:lpwstr/>
      </vt:variant>
      <vt:variant>
        <vt:i4>1835017</vt:i4>
      </vt:variant>
      <vt:variant>
        <vt:i4>3</vt:i4>
      </vt:variant>
      <vt:variant>
        <vt:i4>0</vt:i4>
      </vt:variant>
      <vt:variant>
        <vt:i4>5</vt:i4>
      </vt:variant>
      <vt:variant>
        <vt:lpwstr>https://climate.copernicus.eu/copernicus-2023-hottest-year-record</vt:lpwstr>
      </vt:variant>
      <vt:variant>
        <vt:lpwstr/>
      </vt:variant>
      <vt:variant>
        <vt:i4>5832730</vt:i4>
      </vt:variant>
      <vt:variant>
        <vt:i4>0</vt:i4>
      </vt:variant>
      <vt:variant>
        <vt:i4>0</vt:i4>
      </vt:variant>
      <vt:variant>
        <vt:i4>5</vt:i4>
      </vt:variant>
      <vt:variant>
        <vt:lpwstr>https://eur-lex.europa.eu/legal-content/EN/TXT/?uri=COM%3A2024%3A63%3AFIN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2024-03-11T21:25:00Z</dcterms:created>
  <dcterms:modified xsi:type="dcterms:W3CDTF">2024-03-18T22:02:00Z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9.0, Build 20230317</vt:lpwstr>
  </property>
  <property fmtid="{D5CDD505-2E9C-101B-9397-08002B2CF9AE}" pid="4" name="MSIP_Label_6bd9ddd1-4d20-43f6-abfa-fc3c07406f94_Name">
    <vt:lpwstr>Commission Use</vt:lpwstr>
  </property>
  <property fmtid="{D5CDD505-2E9C-101B-9397-08002B2CF9AE}" pid="5" name="Part">
    <vt:lpwstr>1</vt:lpwstr>
  </property>
  <property fmtid="{D5CDD505-2E9C-101B-9397-08002B2CF9AE}" pid="6" name="MediaServiceImageTags">
    <vt:lpwstr/>
  </property>
  <property fmtid="{D5CDD505-2E9C-101B-9397-08002B2CF9AE}" pid="7" name="ContentTypeId">
    <vt:lpwstr>0x010100ECFDF3D715AA394A9B15E0E0FAA07E37</vt:lpwstr>
  </property>
  <property fmtid="{D5CDD505-2E9C-101B-9397-08002B2CF9AE}" pid="8" name="MSIP_Label_6bd9ddd1-4d20-43f6-abfa-fc3c07406f94_ContentBits">
    <vt:lpwstr>0</vt:lpwstr>
  </property>
  <property fmtid="{D5CDD505-2E9C-101B-9397-08002B2CF9AE}" pid="9" name="CPTemplateID">
    <vt:lpwstr>CP-014</vt:lpwstr>
  </property>
  <property fmtid="{D5CDD505-2E9C-101B-9397-08002B2CF9AE}" pid="10" name="MSIP_Label_6bd9ddd1-4d20-43f6-abfa-fc3c07406f94_SiteId">
    <vt:lpwstr>b24c8b06-522c-46fe-9080-70926f8dddb1</vt:lpwstr>
  </property>
  <property fmtid="{D5CDD505-2E9C-101B-9397-08002B2CF9AE}" pid="11" name="MSIP_Label_6bd9ddd1-4d20-43f6-abfa-fc3c07406f94_Method">
    <vt:lpwstr>Standard</vt:lpwstr>
  </property>
  <property fmtid="{D5CDD505-2E9C-101B-9397-08002B2CF9AE}" pid="12" name="MSIP_Label_6bd9ddd1-4d20-43f6-abfa-fc3c07406f94_Enabled">
    <vt:lpwstr>true</vt:lpwstr>
  </property>
  <property fmtid="{D5CDD505-2E9C-101B-9397-08002B2CF9AE}" pid="13" name="Total parts">
    <vt:lpwstr>1</vt:lpwstr>
  </property>
  <property fmtid="{D5CDD505-2E9C-101B-9397-08002B2CF9AE}" pid="14" name="MSIP_Label_6bd9ddd1-4d20-43f6-abfa-fc3c07406f94_SetDate">
    <vt:lpwstr>2024-02-09T06:41:38Z</vt:lpwstr>
  </property>
  <property fmtid="{D5CDD505-2E9C-101B-9397-08002B2CF9AE}" pid="15" name="Level of sensitivity">
    <vt:lpwstr>Standard treatment</vt:lpwstr>
  </property>
  <property fmtid="{D5CDD505-2E9C-101B-9397-08002B2CF9AE}" pid="16" name="MSIP_Label_6bd9ddd1-4d20-43f6-abfa-fc3c07406f94_ActionId">
    <vt:lpwstr>823e5efc-0c59-42b9-b19c-7cfeca294b5c</vt:lpwstr>
  </property>
</Properties>
</file>